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宋体" w:hAnsi="宋体" w:cs="宋体"/>
          <w:b/>
          <w:color w:val="auto"/>
          <w:spacing w:val="22"/>
          <w:sz w:val="32"/>
          <w:szCs w:val="32"/>
        </w:rPr>
      </w:pPr>
    </w:p>
    <w:p>
      <w:pPr>
        <w:snapToGrid w:val="0"/>
        <w:spacing w:line="360" w:lineRule="auto"/>
        <w:jc w:val="center"/>
        <w:rPr>
          <w:rFonts w:ascii="宋体" w:hAnsi="宋体" w:cs="宋体"/>
          <w:b/>
          <w:color w:val="auto"/>
          <w:spacing w:val="22"/>
          <w:sz w:val="44"/>
          <w:szCs w:val="44"/>
        </w:rPr>
      </w:pPr>
    </w:p>
    <w:p>
      <w:pPr>
        <w:snapToGrid w:val="0"/>
        <w:spacing w:line="360" w:lineRule="auto"/>
        <w:jc w:val="center"/>
        <w:rPr>
          <w:rFonts w:ascii="宋体" w:hAnsi="宋体" w:cs="宋体"/>
          <w:b/>
          <w:color w:val="auto"/>
          <w:spacing w:val="10"/>
          <w:sz w:val="44"/>
          <w:szCs w:val="44"/>
        </w:rPr>
      </w:pPr>
      <w:r>
        <w:rPr>
          <w:rFonts w:hint="eastAsia" w:ascii="宋体" w:hAnsi="宋体" w:cs="宋体"/>
          <w:b/>
          <w:color w:val="auto"/>
          <w:spacing w:val="22"/>
          <w:sz w:val="44"/>
          <w:szCs w:val="44"/>
        </w:rPr>
        <w:t>房地产</w:t>
      </w:r>
      <w:r>
        <w:rPr>
          <w:rFonts w:hint="eastAsia" w:ascii="宋体" w:hAnsi="宋体" w:cs="宋体"/>
          <w:b/>
          <w:color w:val="auto"/>
          <w:spacing w:val="10"/>
          <w:sz w:val="44"/>
          <w:szCs w:val="44"/>
        </w:rPr>
        <w:t>估价报告</w:t>
      </w:r>
    </w:p>
    <w:p>
      <w:pPr>
        <w:spacing w:line="360" w:lineRule="auto"/>
        <w:rPr>
          <w:rFonts w:ascii="宋体" w:hAnsi="宋体" w:cs="宋体"/>
          <w:imprint/>
          <w:color w:val="auto"/>
          <w:sz w:val="32"/>
          <w:szCs w:val="32"/>
          <w:bdr w:val="single" w:color="auto" w:sz="4" w:space="0"/>
          <w:shd w:val="pct10" w:color="auto" w:fill="FFFFFF"/>
        </w:rPr>
      </w:pPr>
    </w:p>
    <w:p>
      <w:pPr>
        <w:spacing w:line="360" w:lineRule="auto"/>
        <w:rPr>
          <w:rFonts w:ascii="宋体" w:hAnsi="宋体" w:cs="宋体"/>
          <w:imprint/>
          <w:color w:val="auto"/>
          <w:sz w:val="32"/>
          <w:szCs w:val="32"/>
          <w:bdr w:val="single" w:color="auto" w:sz="4" w:space="0"/>
          <w:shd w:val="pct10" w:color="auto" w:fill="FFFFFF"/>
        </w:rPr>
      </w:pPr>
    </w:p>
    <w:p>
      <w:pPr>
        <w:rPr>
          <w:color w:val="auto"/>
        </w:rPr>
      </w:pPr>
    </w:p>
    <w:p>
      <w:pPr>
        <w:spacing w:line="360" w:lineRule="auto"/>
        <w:rPr>
          <w:rFonts w:ascii="宋体" w:hAnsi="宋体" w:cs="宋体"/>
          <w:imprint/>
          <w:color w:val="auto"/>
          <w:sz w:val="32"/>
          <w:szCs w:val="32"/>
          <w:bdr w:val="single" w:color="auto" w:sz="4" w:space="0"/>
          <w:shd w:val="pct10" w:color="auto" w:fill="FFFFFF"/>
        </w:rPr>
      </w:pPr>
    </w:p>
    <w:p>
      <w:pPr>
        <w:spacing w:line="360" w:lineRule="auto"/>
        <w:rPr>
          <w:rFonts w:ascii="宋体" w:hAnsi="宋体" w:cs="宋体"/>
          <w:imprint/>
          <w:color w:val="auto"/>
          <w:sz w:val="32"/>
          <w:szCs w:val="32"/>
          <w:bdr w:val="single" w:color="auto" w:sz="4" w:space="0"/>
          <w:shd w:val="pct10" w:color="auto" w:fill="FFFFFF"/>
        </w:rPr>
      </w:pPr>
    </w:p>
    <w:p>
      <w:pPr>
        <w:spacing w:line="360" w:lineRule="auto"/>
        <w:rPr>
          <w:rFonts w:ascii="宋体" w:hAnsi="宋体" w:cs="宋体"/>
          <w:imprint/>
          <w:color w:val="auto"/>
          <w:sz w:val="32"/>
          <w:szCs w:val="32"/>
          <w:bdr w:val="single" w:color="auto" w:sz="4" w:space="0"/>
          <w:shd w:val="pct10" w:color="auto" w:fill="FFFFFF"/>
        </w:rPr>
      </w:pPr>
    </w:p>
    <w:p>
      <w:pPr>
        <w:spacing w:line="360" w:lineRule="auto"/>
        <w:rPr>
          <w:rFonts w:ascii="宋体" w:hAnsi="宋体" w:cs="宋体"/>
          <w:imprint/>
          <w:color w:val="auto"/>
          <w:sz w:val="32"/>
          <w:szCs w:val="32"/>
          <w:bdr w:val="single" w:color="auto" w:sz="4" w:space="0"/>
          <w:shd w:val="pct10" w:color="auto" w:fill="FFFFFF"/>
        </w:rPr>
      </w:pPr>
    </w:p>
    <w:p>
      <w:pPr>
        <w:spacing w:line="360" w:lineRule="auto"/>
        <w:rPr>
          <w:rFonts w:ascii="宋体" w:hAnsi="宋体" w:cs="宋体"/>
          <w:imprint/>
          <w:color w:val="auto"/>
          <w:sz w:val="32"/>
          <w:szCs w:val="32"/>
          <w:bdr w:val="single" w:color="auto" w:sz="4" w:space="0"/>
          <w:shd w:val="pct10" w:color="auto" w:fill="FFFFFF"/>
        </w:rPr>
      </w:pPr>
    </w:p>
    <w:p>
      <w:pPr>
        <w:spacing w:line="360" w:lineRule="auto"/>
        <w:rPr>
          <w:rFonts w:ascii="宋体" w:hAnsi="宋体" w:cs="宋体"/>
          <w:imprint/>
          <w:color w:val="auto"/>
          <w:sz w:val="32"/>
          <w:szCs w:val="32"/>
          <w:bdr w:val="single" w:color="auto" w:sz="4" w:space="0"/>
          <w:shd w:val="pct10" w:color="auto" w:fill="FFFFFF"/>
        </w:rPr>
      </w:pPr>
    </w:p>
    <w:p>
      <w:pPr>
        <w:spacing w:line="360" w:lineRule="auto"/>
        <w:rPr>
          <w:rFonts w:ascii="宋体" w:hAnsi="宋体" w:cs="宋体"/>
          <w:imprint/>
          <w:color w:val="auto"/>
          <w:sz w:val="32"/>
          <w:szCs w:val="32"/>
          <w:bdr w:val="single" w:color="auto" w:sz="4" w:space="0"/>
          <w:shd w:val="pct10" w:color="auto" w:fill="FFFFFF"/>
        </w:rPr>
      </w:pPr>
    </w:p>
    <w:p>
      <w:pPr>
        <w:spacing w:line="360" w:lineRule="auto"/>
        <w:rPr>
          <w:rFonts w:ascii="宋体" w:hAnsi="宋体" w:cs="宋体"/>
          <w:imprint/>
          <w:color w:val="auto"/>
          <w:sz w:val="32"/>
          <w:szCs w:val="32"/>
          <w:bdr w:val="single" w:color="auto" w:sz="4" w:space="0"/>
          <w:shd w:val="pct10" w:color="auto" w:fill="FFFFFF"/>
        </w:rPr>
      </w:pPr>
    </w:p>
    <w:p>
      <w:pPr>
        <w:spacing w:line="360" w:lineRule="auto"/>
        <w:ind w:firstLine="570"/>
        <w:rPr>
          <w:rFonts w:ascii="宋体" w:hAnsi="宋体" w:cs="宋体"/>
          <w:color w:val="auto"/>
          <w:sz w:val="28"/>
          <w:szCs w:val="28"/>
        </w:rPr>
      </w:pPr>
      <w:r>
        <w:rPr>
          <w:rFonts w:hint="eastAsia" w:ascii="宋体" w:hAnsi="宋体" w:cs="宋体"/>
          <w:b/>
          <w:color w:val="auto"/>
          <w:sz w:val="28"/>
          <w:szCs w:val="28"/>
        </w:rPr>
        <w:t>估价报告编号：</w:t>
      </w:r>
      <w:r>
        <w:rPr>
          <w:rFonts w:hint="eastAsia" w:ascii="宋体" w:hAnsi="宋体" w:cs="宋体"/>
          <w:color w:val="auto"/>
          <w:sz w:val="28"/>
          <w:szCs w:val="28"/>
        </w:rPr>
        <w:t>同心联谊[文]房估字【</w:t>
      </w:r>
      <w:r>
        <w:rPr>
          <w:rFonts w:hint="eastAsia" w:ascii="宋体" w:hAnsi="宋体" w:cs="宋体"/>
          <w:color w:val="auto"/>
          <w:spacing w:val="22"/>
          <w:sz w:val="28"/>
          <w:szCs w:val="28"/>
        </w:rPr>
        <w:t>2020</w:t>
      </w:r>
      <w:r>
        <w:rPr>
          <w:rFonts w:hint="eastAsia" w:ascii="宋体" w:hAnsi="宋体" w:cs="宋体"/>
          <w:color w:val="auto"/>
          <w:sz w:val="28"/>
          <w:szCs w:val="28"/>
        </w:rPr>
        <w:t>】第006号</w:t>
      </w:r>
    </w:p>
    <w:p>
      <w:pPr>
        <w:spacing w:line="360" w:lineRule="auto"/>
        <w:ind w:firstLine="570"/>
        <w:rPr>
          <w:rFonts w:ascii="宋体" w:hAnsi="宋体" w:cs="宋体"/>
          <w:color w:val="auto"/>
          <w:sz w:val="28"/>
          <w:szCs w:val="28"/>
        </w:rPr>
      </w:pPr>
      <w:r>
        <w:rPr>
          <w:rFonts w:hint="eastAsia" w:ascii="宋体" w:hAnsi="宋体" w:cs="宋体"/>
          <w:b/>
          <w:color w:val="auto"/>
          <w:sz w:val="28"/>
          <w:szCs w:val="28"/>
        </w:rPr>
        <w:t>估价项目名称：</w:t>
      </w:r>
      <w:r>
        <w:rPr>
          <w:rFonts w:hint="eastAsia" w:ascii="宋体" w:hAnsi="宋体" w:cs="宋体"/>
          <w:color w:val="auto"/>
          <w:sz w:val="28"/>
          <w:szCs w:val="28"/>
        </w:rPr>
        <w:t>何忠慰所有的位于砚山县平远镇新平社区小黑山房地产价值评估</w:t>
      </w:r>
    </w:p>
    <w:p>
      <w:pPr>
        <w:spacing w:line="360" w:lineRule="auto"/>
        <w:ind w:firstLine="570"/>
        <w:rPr>
          <w:rFonts w:ascii="宋体" w:hAnsi="宋体" w:cs="宋体"/>
          <w:color w:val="auto"/>
          <w:sz w:val="28"/>
          <w:szCs w:val="28"/>
        </w:rPr>
      </w:pPr>
      <w:r>
        <w:rPr>
          <w:rFonts w:hint="eastAsia" w:ascii="宋体" w:hAnsi="宋体" w:cs="宋体"/>
          <w:b/>
          <w:color w:val="auto"/>
          <w:sz w:val="28"/>
          <w:szCs w:val="28"/>
        </w:rPr>
        <w:t>估价委托人：</w:t>
      </w:r>
      <w:r>
        <w:rPr>
          <w:rFonts w:hint="eastAsia" w:ascii="宋体" w:hAnsi="宋体" w:cs="宋体"/>
          <w:color w:val="auto"/>
          <w:sz w:val="28"/>
          <w:szCs w:val="28"/>
        </w:rPr>
        <w:t>云南省文山壮族苗族自治州中级人民法院</w:t>
      </w:r>
    </w:p>
    <w:p>
      <w:pPr>
        <w:spacing w:line="360" w:lineRule="auto"/>
        <w:ind w:firstLine="570"/>
        <w:rPr>
          <w:rFonts w:ascii="宋体" w:hAnsi="宋体" w:cs="宋体"/>
          <w:color w:val="auto"/>
          <w:sz w:val="28"/>
          <w:szCs w:val="28"/>
        </w:rPr>
      </w:pPr>
      <w:r>
        <w:rPr>
          <w:rFonts w:hint="eastAsia" w:ascii="宋体" w:hAnsi="宋体" w:cs="宋体"/>
          <w:b/>
          <w:color w:val="auto"/>
          <w:sz w:val="28"/>
          <w:szCs w:val="28"/>
        </w:rPr>
        <w:t>估价机构：</w:t>
      </w:r>
      <w:r>
        <w:rPr>
          <w:rFonts w:hint="eastAsia" w:ascii="宋体" w:hAnsi="宋体" w:cs="宋体"/>
          <w:color w:val="auto"/>
          <w:sz w:val="28"/>
          <w:szCs w:val="28"/>
        </w:rPr>
        <w:t>文山同心联谊房地产评估有限公司</w:t>
      </w:r>
    </w:p>
    <w:p>
      <w:pPr>
        <w:spacing w:line="360" w:lineRule="auto"/>
        <w:ind w:firstLine="570"/>
        <w:rPr>
          <w:rFonts w:ascii="宋体" w:hAnsi="宋体" w:cs="宋体"/>
          <w:color w:val="auto"/>
          <w:sz w:val="28"/>
          <w:szCs w:val="28"/>
        </w:rPr>
      </w:pPr>
      <w:r>
        <w:rPr>
          <w:rFonts w:hint="eastAsia" w:ascii="宋体" w:hAnsi="宋体" w:cs="宋体"/>
          <w:b/>
          <w:color w:val="auto"/>
          <w:sz w:val="28"/>
          <w:szCs w:val="28"/>
        </w:rPr>
        <w:t>注册房地产估价师：</w:t>
      </w:r>
      <w:r>
        <w:rPr>
          <w:rFonts w:hint="eastAsia" w:ascii="宋体" w:hAnsi="宋体" w:cs="宋体"/>
          <w:color w:val="auto"/>
          <w:sz w:val="28"/>
          <w:szCs w:val="28"/>
        </w:rPr>
        <w:t xml:space="preserve">刘芳芳（注册号：5320150025） </w:t>
      </w:r>
    </w:p>
    <w:p>
      <w:pPr>
        <w:spacing w:line="360" w:lineRule="auto"/>
        <w:ind w:firstLine="3080" w:firstLineChars="1100"/>
        <w:rPr>
          <w:rFonts w:ascii="宋体" w:hAnsi="宋体" w:cs="宋体"/>
          <w:color w:val="auto"/>
          <w:sz w:val="28"/>
          <w:szCs w:val="28"/>
        </w:rPr>
      </w:pPr>
      <w:r>
        <w:rPr>
          <w:rFonts w:hint="eastAsia" w:ascii="宋体" w:hAnsi="宋体" w:cs="宋体"/>
          <w:color w:val="auto"/>
          <w:sz w:val="28"/>
          <w:szCs w:val="28"/>
        </w:rPr>
        <w:t>黄加林（注册号：5320160067）</w:t>
      </w:r>
    </w:p>
    <w:p>
      <w:pPr>
        <w:spacing w:line="360" w:lineRule="auto"/>
        <w:ind w:firstLine="562" w:firstLineChars="200"/>
        <w:rPr>
          <w:rFonts w:ascii="宋体" w:hAnsi="宋体" w:cs="宋体"/>
          <w:color w:val="auto"/>
          <w:sz w:val="28"/>
          <w:szCs w:val="28"/>
        </w:rPr>
      </w:pPr>
      <w:r>
        <w:rPr>
          <w:rFonts w:hint="eastAsia" w:ascii="宋体" w:hAnsi="宋体" w:cs="宋体"/>
          <w:b/>
          <w:color w:val="auto"/>
          <w:sz w:val="28"/>
          <w:szCs w:val="28"/>
        </w:rPr>
        <w:t>估价报告出具日期：</w:t>
      </w:r>
      <w:r>
        <w:rPr>
          <w:rFonts w:hint="eastAsia" w:ascii="宋体" w:hAnsi="宋体" w:cs="宋体"/>
          <w:color w:val="auto"/>
          <w:spacing w:val="22"/>
          <w:sz w:val="28"/>
          <w:szCs w:val="28"/>
        </w:rPr>
        <w:t>2020年4月20日</w:t>
      </w:r>
    </w:p>
    <w:p>
      <w:pPr>
        <w:ind w:hanging="1502"/>
        <w:rPr>
          <w:rFonts w:ascii="宋体" w:hAnsi="宋体" w:cs="宋体"/>
          <w:imprint/>
          <w:color w:val="auto"/>
          <w:sz w:val="32"/>
          <w:szCs w:val="32"/>
          <w:bdr w:val="single" w:color="auto" w:sz="4" w:space="0"/>
          <w:shd w:val="pct10" w:color="auto" w:fill="FFFFFF"/>
        </w:rPr>
      </w:pPr>
    </w:p>
    <w:p>
      <w:pPr>
        <w:rPr>
          <w:rFonts w:ascii="宋体" w:hAnsi="宋体" w:cs="宋体"/>
          <w:b/>
          <w:color w:val="auto"/>
          <w:sz w:val="32"/>
          <w:szCs w:val="32"/>
        </w:rPr>
      </w:pPr>
    </w:p>
    <w:p>
      <w:pPr>
        <w:spacing w:line="276" w:lineRule="auto"/>
        <w:jc w:val="center"/>
        <w:rPr>
          <w:rFonts w:ascii="宋体" w:hAnsi="宋体" w:cs="宋体"/>
          <w:b/>
          <w:color w:val="auto"/>
          <w:spacing w:val="10"/>
          <w:sz w:val="36"/>
          <w:szCs w:val="36"/>
        </w:rPr>
      </w:pPr>
      <w:r>
        <w:rPr>
          <w:rFonts w:hint="eastAsia" w:ascii="宋体" w:hAnsi="宋体" w:cs="宋体"/>
          <w:b/>
          <w:color w:val="auto"/>
          <w:spacing w:val="10"/>
          <w:sz w:val="44"/>
          <w:szCs w:val="44"/>
        </w:rPr>
        <w:t xml:space="preserve"> </w:t>
      </w:r>
    </w:p>
    <w:p>
      <w:pPr>
        <w:spacing w:line="276" w:lineRule="auto"/>
        <w:jc w:val="center"/>
        <w:rPr>
          <w:rFonts w:ascii="宋体" w:hAnsi="宋体" w:cs="宋体"/>
          <w:b/>
          <w:color w:val="auto"/>
          <w:spacing w:val="10"/>
          <w:sz w:val="36"/>
          <w:szCs w:val="36"/>
        </w:rPr>
      </w:pPr>
      <w:r>
        <w:rPr>
          <w:rFonts w:hint="eastAsia" w:ascii="宋体" w:hAnsi="宋体" w:cs="宋体"/>
          <w:b/>
          <w:color w:val="auto"/>
          <w:spacing w:val="10"/>
          <w:sz w:val="36"/>
          <w:szCs w:val="36"/>
        </w:rPr>
        <w:t>致估价委托人函</w:t>
      </w:r>
    </w:p>
    <w:p>
      <w:pPr>
        <w:spacing w:line="276" w:lineRule="auto"/>
        <w:jc w:val="center"/>
        <w:rPr>
          <w:rFonts w:ascii="宋体" w:hAnsi="宋体" w:cs="宋体"/>
          <w:b/>
          <w:color w:val="auto"/>
          <w:sz w:val="28"/>
          <w:szCs w:val="28"/>
        </w:rPr>
      </w:pPr>
    </w:p>
    <w:p>
      <w:pPr>
        <w:adjustRightInd w:val="0"/>
        <w:snapToGrid w:val="0"/>
        <w:spacing w:line="360" w:lineRule="auto"/>
        <w:rPr>
          <w:rFonts w:ascii="宋体" w:hAnsi="宋体" w:cs="宋体"/>
          <w:b/>
          <w:color w:val="auto"/>
          <w:sz w:val="28"/>
          <w:szCs w:val="28"/>
        </w:rPr>
      </w:pPr>
      <w:r>
        <w:rPr>
          <w:rFonts w:hint="eastAsia" w:ascii="宋体" w:hAnsi="宋体" w:cs="宋体"/>
          <w:b/>
          <w:color w:val="auto"/>
          <w:sz w:val="28"/>
          <w:szCs w:val="28"/>
        </w:rPr>
        <w:t>云南省文山壮族苗族自治州中级人民法院：</w:t>
      </w:r>
    </w:p>
    <w:p>
      <w:pPr>
        <w:spacing w:line="360" w:lineRule="auto"/>
        <w:ind w:firstLine="600"/>
        <w:rPr>
          <w:rFonts w:ascii="宋体" w:hAnsi="宋体" w:cs="宋体"/>
          <w:color w:val="auto"/>
          <w:sz w:val="28"/>
          <w:szCs w:val="28"/>
        </w:rPr>
      </w:pPr>
      <w:r>
        <w:rPr>
          <w:rFonts w:hint="eastAsia" w:ascii="宋体" w:hAnsi="宋体" w:cs="宋体"/>
          <w:color w:val="auto"/>
          <w:sz w:val="28"/>
          <w:szCs w:val="28"/>
        </w:rPr>
        <w:t>受贵单位委托，我公司本着独立、客观、公正的原则，对何忠慰所有的位于砚山县平远镇新平社区小黑山房地产进行了评估，有关内容如下。</w:t>
      </w:r>
    </w:p>
    <w:p>
      <w:pPr>
        <w:spacing w:line="360" w:lineRule="auto"/>
        <w:ind w:firstLine="600"/>
        <w:rPr>
          <w:rFonts w:ascii="宋体" w:hAnsi="宋体" w:cs="宋体"/>
          <w:color w:val="auto"/>
          <w:sz w:val="28"/>
          <w:szCs w:val="28"/>
        </w:rPr>
      </w:pPr>
      <w:r>
        <w:rPr>
          <w:rFonts w:hint="eastAsia" w:ascii="宋体" w:hAnsi="宋体" w:cs="宋体"/>
          <w:color w:val="auto"/>
          <w:sz w:val="28"/>
          <w:szCs w:val="28"/>
        </w:rPr>
        <w:t>价值时点：2020年03月18日。</w:t>
      </w:r>
    </w:p>
    <w:p>
      <w:pPr>
        <w:spacing w:line="360" w:lineRule="auto"/>
        <w:ind w:firstLine="600"/>
        <w:rPr>
          <w:rFonts w:ascii="宋体" w:hAnsi="宋体" w:cs="宋体"/>
          <w:color w:val="auto"/>
          <w:sz w:val="28"/>
          <w:szCs w:val="28"/>
        </w:rPr>
      </w:pPr>
      <w:r>
        <w:rPr>
          <w:rFonts w:hint="eastAsia" w:ascii="宋体" w:hAnsi="宋体" w:cs="宋体"/>
          <w:color w:val="auto"/>
          <w:sz w:val="28"/>
          <w:szCs w:val="28"/>
        </w:rPr>
        <w:t>估价目的：</w:t>
      </w:r>
      <w:r>
        <w:rPr>
          <w:rFonts w:hint="eastAsia" w:ascii="宋体" w:hAnsi="宋体"/>
          <w:color w:val="auto"/>
          <w:sz w:val="28"/>
          <w:szCs w:val="28"/>
        </w:rPr>
        <w:t>为委托方司法拍卖估价对象提供房地产价值参考依据而评估房地产市场价值</w:t>
      </w:r>
      <w:r>
        <w:rPr>
          <w:rFonts w:hint="eastAsia" w:ascii="宋体" w:hAnsi="宋体" w:cs="宋体"/>
          <w:color w:val="auto"/>
          <w:sz w:val="28"/>
          <w:szCs w:val="28"/>
        </w:rPr>
        <w:t>。</w:t>
      </w:r>
    </w:p>
    <w:p>
      <w:pPr>
        <w:spacing w:line="360" w:lineRule="auto"/>
        <w:ind w:firstLine="600"/>
        <w:rPr>
          <w:rFonts w:ascii="宋体" w:hAnsi="宋体" w:cs="宋体"/>
          <w:color w:val="auto"/>
          <w:sz w:val="28"/>
          <w:szCs w:val="28"/>
        </w:rPr>
      </w:pPr>
      <w:r>
        <w:rPr>
          <w:rFonts w:hint="eastAsia" w:ascii="宋体" w:hAnsi="宋体" w:cs="宋体"/>
          <w:color w:val="auto"/>
          <w:sz w:val="28"/>
          <w:szCs w:val="28"/>
        </w:rPr>
        <w:t>估价对象：</w:t>
      </w:r>
    </w:p>
    <w:p>
      <w:pPr>
        <w:spacing w:line="360" w:lineRule="auto"/>
        <w:ind w:firstLine="600"/>
        <w:rPr>
          <w:rFonts w:ascii="宋体" w:hAnsi="宋体" w:cs="宋体"/>
          <w:color w:val="auto"/>
          <w:sz w:val="28"/>
          <w:szCs w:val="28"/>
        </w:rPr>
      </w:pPr>
      <w:r>
        <w:rPr>
          <w:rFonts w:hint="eastAsia" w:ascii="宋体" w:hAnsi="宋体" w:cs="宋体"/>
          <w:color w:val="auto"/>
          <w:sz w:val="28"/>
          <w:szCs w:val="28"/>
        </w:rPr>
        <w:t>砚山县平远镇新平社区小黑山房地产，土地使用权面积：2967.11m</w:t>
      </w:r>
      <w:r>
        <w:rPr>
          <w:rFonts w:hint="eastAsia" w:ascii="宋体" w:hAnsi="宋体" w:cs="宋体"/>
          <w:color w:val="auto"/>
          <w:sz w:val="28"/>
          <w:szCs w:val="28"/>
          <w:vertAlign w:val="superscript"/>
        </w:rPr>
        <w:t>2</w:t>
      </w:r>
      <w:r>
        <w:rPr>
          <w:rFonts w:hint="eastAsia" w:ascii="宋体" w:hAnsi="宋体" w:cs="宋体"/>
          <w:color w:val="auto"/>
          <w:sz w:val="28"/>
          <w:szCs w:val="28"/>
        </w:rPr>
        <w:t>，用途为城镇单一住宅用地，土地使用权人为何忠慰；房屋所有权人为何忠慰，用途为住宅，总建筑面积：965.50㎡，(其中有证面积：379.30m</w:t>
      </w:r>
      <w:r>
        <w:rPr>
          <w:rFonts w:hint="eastAsia" w:ascii="宋体" w:hAnsi="宋体" w:cs="宋体"/>
          <w:color w:val="auto"/>
          <w:sz w:val="28"/>
          <w:szCs w:val="28"/>
          <w:vertAlign w:val="superscript"/>
        </w:rPr>
        <w:t>2</w:t>
      </w:r>
      <w:r>
        <w:rPr>
          <w:rFonts w:hint="eastAsia" w:ascii="宋体" w:hAnsi="宋体" w:cs="宋体"/>
          <w:color w:val="auto"/>
          <w:sz w:val="28"/>
          <w:szCs w:val="28"/>
        </w:rPr>
        <w:t>，无证面积：586.20m</w:t>
      </w:r>
      <w:r>
        <w:rPr>
          <w:rFonts w:hint="eastAsia" w:ascii="宋体" w:hAnsi="宋体" w:cs="宋体"/>
          <w:color w:val="auto"/>
          <w:sz w:val="28"/>
          <w:szCs w:val="28"/>
          <w:vertAlign w:val="superscript"/>
        </w:rPr>
        <w:t>2</w:t>
      </w:r>
      <w:r>
        <w:rPr>
          <w:rFonts w:hint="eastAsia" w:ascii="宋体" w:hAnsi="宋体" w:cs="宋体"/>
          <w:color w:val="auto"/>
          <w:sz w:val="28"/>
          <w:szCs w:val="28"/>
        </w:rPr>
        <w:t>）产权人为何忠慰；财产范围为土地使用权及地上建构筑物所有权，不包括动产、债权债务、特许经营权等其他财产或权益。价值类型：市场价值。</w:t>
      </w:r>
    </w:p>
    <w:p>
      <w:pPr>
        <w:spacing w:line="360" w:lineRule="auto"/>
        <w:ind w:firstLine="600"/>
        <w:rPr>
          <w:rFonts w:ascii="宋体" w:hAnsi="宋体" w:cs="宋体"/>
          <w:color w:val="auto"/>
          <w:sz w:val="28"/>
          <w:szCs w:val="28"/>
        </w:rPr>
      </w:pPr>
      <w:r>
        <w:rPr>
          <w:rFonts w:hint="eastAsia" w:ascii="宋体" w:hAnsi="宋体" w:cs="宋体"/>
          <w:color w:val="auto"/>
          <w:sz w:val="28"/>
          <w:szCs w:val="28"/>
        </w:rPr>
        <w:t>估价方法：市场比较法、基准地价系数修正法和成本法。</w:t>
      </w:r>
    </w:p>
    <w:p>
      <w:pPr>
        <w:adjustRightInd w:val="0"/>
        <w:snapToGrid w:val="0"/>
        <w:spacing w:line="360" w:lineRule="auto"/>
        <w:ind w:firstLine="700" w:firstLineChars="250"/>
        <w:rPr>
          <w:rFonts w:hint="eastAsia" w:ascii="宋体" w:hAnsi="宋体" w:cs="宋体"/>
          <w:color w:val="auto"/>
          <w:sz w:val="28"/>
          <w:szCs w:val="28"/>
        </w:rPr>
      </w:pPr>
      <w:r>
        <w:rPr>
          <w:rFonts w:hint="eastAsia" w:ascii="宋体" w:hAnsi="宋体" w:cs="宋体"/>
          <w:color w:val="auto"/>
          <w:sz w:val="28"/>
          <w:szCs w:val="28"/>
        </w:rPr>
        <w:t>我公司于2020年03月18日，派房地产评估专业技术人员到现场勘察、调查搜集资料，根据估价目的和估价对象特点，遵循估价原则，按照估价工作程序，在认真分析所搜集资料的基础上，经过周密细致的分析测算，并结合估价经验，利用科学的估价方法进行评估，综合考虑了影响房地产价格的各项因素，最终确定估价对象于价值时点</w:t>
      </w:r>
      <w:r>
        <w:rPr>
          <w:rFonts w:hint="eastAsia" w:ascii="宋体" w:hAnsi="宋体" w:cs="宋体"/>
          <w:color w:val="auto"/>
          <w:spacing w:val="22"/>
          <w:sz w:val="28"/>
          <w:szCs w:val="28"/>
        </w:rPr>
        <w:t>2020年03月18日</w:t>
      </w:r>
      <w:r>
        <w:rPr>
          <w:rFonts w:hint="eastAsia" w:ascii="宋体" w:hAnsi="宋体" w:cs="宋体"/>
          <w:color w:val="auto"/>
          <w:sz w:val="28"/>
          <w:szCs w:val="28"/>
          <w:lang w:val="zh-CN"/>
        </w:rPr>
        <w:t>的市场价值为</w:t>
      </w:r>
      <w:r>
        <w:rPr>
          <w:rFonts w:hint="eastAsia" w:ascii="宋体" w:hAnsi="宋体" w:cs="宋体"/>
          <w:color w:val="auto"/>
          <w:sz w:val="28"/>
          <w:szCs w:val="28"/>
        </w:rPr>
        <w:t>人民币大写：叁佰玖拾</w:t>
      </w:r>
      <w:r>
        <w:rPr>
          <w:rFonts w:hint="eastAsia" w:ascii="宋体" w:hAnsi="宋体" w:cs="宋体"/>
          <w:color w:val="auto"/>
          <w:sz w:val="28"/>
          <w:szCs w:val="28"/>
          <w:lang w:eastAsia="zh-CN"/>
        </w:rPr>
        <w:t>伍</w:t>
      </w:r>
      <w:r>
        <w:rPr>
          <w:rFonts w:hint="eastAsia" w:ascii="宋体" w:hAnsi="宋体" w:cs="宋体"/>
          <w:color w:val="auto"/>
          <w:sz w:val="28"/>
          <w:szCs w:val="28"/>
        </w:rPr>
        <w:t>万</w:t>
      </w:r>
      <w:r>
        <w:rPr>
          <w:rFonts w:hint="eastAsia" w:ascii="宋体" w:hAnsi="宋体" w:cs="宋体"/>
          <w:color w:val="auto"/>
          <w:sz w:val="28"/>
          <w:szCs w:val="28"/>
          <w:lang w:eastAsia="zh-CN"/>
        </w:rPr>
        <w:t>柒</w:t>
      </w:r>
      <w:r>
        <w:rPr>
          <w:rFonts w:hint="eastAsia" w:ascii="宋体" w:hAnsi="宋体" w:cs="宋体"/>
          <w:color w:val="auto"/>
          <w:sz w:val="28"/>
          <w:szCs w:val="28"/>
        </w:rPr>
        <w:t>仟</w:t>
      </w:r>
      <w:r>
        <w:rPr>
          <w:rFonts w:hint="eastAsia" w:ascii="宋体" w:hAnsi="宋体" w:cs="宋体"/>
          <w:color w:val="auto"/>
          <w:sz w:val="28"/>
          <w:szCs w:val="28"/>
          <w:lang w:eastAsia="zh-CN"/>
        </w:rPr>
        <w:t>伍</w:t>
      </w:r>
      <w:r>
        <w:rPr>
          <w:rFonts w:hint="eastAsia" w:ascii="宋体" w:hAnsi="宋体" w:cs="宋体"/>
          <w:color w:val="auto"/>
          <w:sz w:val="28"/>
          <w:szCs w:val="28"/>
        </w:rPr>
        <w:t>佰元整（￥：39</w:t>
      </w:r>
      <w:r>
        <w:rPr>
          <w:rFonts w:hint="eastAsia" w:ascii="宋体" w:hAnsi="宋体" w:cs="宋体"/>
          <w:color w:val="auto"/>
          <w:sz w:val="28"/>
          <w:szCs w:val="28"/>
          <w:lang w:val="en-US" w:eastAsia="zh-CN"/>
        </w:rPr>
        <w:t>575</w:t>
      </w:r>
      <w:r>
        <w:rPr>
          <w:rFonts w:hint="eastAsia" w:ascii="宋体" w:hAnsi="宋体" w:cs="宋体"/>
          <w:color w:val="auto"/>
          <w:sz w:val="28"/>
          <w:szCs w:val="28"/>
        </w:rPr>
        <w:t>00.00元）</w:t>
      </w:r>
    </w:p>
    <w:p>
      <w:pPr>
        <w:adjustRightInd w:val="0"/>
        <w:snapToGrid w:val="0"/>
        <w:spacing w:line="360" w:lineRule="auto"/>
        <w:ind w:firstLine="700" w:firstLineChars="250"/>
        <w:jc w:val="center"/>
        <w:rPr>
          <w:rFonts w:hint="eastAsia" w:ascii="宋体" w:hAnsi="宋体" w:cs="宋体"/>
          <w:color w:val="auto"/>
          <w:sz w:val="28"/>
          <w:szCs w:val="28"/>
        </w:rPr>
      </w:pPr>
    </w:p>
    <w:p>
      <w:pPr>
        <w:adjustRightInd w:val="0"/>
        <w:snapToGrid w:val="0"/>
        <w:spacing w:line="360" w:lineRule="auto"/>
        <w:ind w:firstLine="700" w:firstLineChars="250"/>
        <w:jc w:val="center"/>
        <w:rPr>
          <w:rFonts w:hint="eastAsia" w:ascii="宋体" w:hAnsi="宋体" w:cs="宋体"/>
          <w:color w:val="auto"/>
          <w:sz w:val="28"/>
          <w:szCs w:val="28"/>
        </w:rPr>
      </w:pPr>
    </w:p>
    <w:p>
      <w:pPr>
        <w:adjustRightInd w:val="0"/>
        <w:snapToGrid w:val="0"/>
        <w:spacing w:line="360" w:lineRule="auto"/>
        <w:ind w:firstLine="700" w:firstLineChars="250"/>
        <w:jc w:val="center"/>
        <w:rPr>
          <w:rFonts w:hint="eastAsia" w:ascii="宋体" w:hAnsi="宋体" w:cs="宋体"/>
          <w:color w:val="auto"/>
          <w:sz w:val="28"/>
          <w:szCs w:val="28"/>
        </w:rPr>
      </w:pPr>
    </w:p>
    <w:p>
      <w:pPr>
        <w:adjustRightInd w:val="0"/>
        <w:snapToGrid w:val="0"/>
        <w:spacing w:line="360" w:lineRule="auto"/>
        <w:ind w:firstLine="700" w:firstLineChars="250"/>
        <w:jc w:val="center"/>
        <w:rPr>
          <w:rFonts w:hint="eastAsia" w:ascii="宋体" w:hAnsi="宋体" w:cs="宋体"/>
          <w:color w:val="auto"/>
          <w:sz w:val="28"/>
          <w:szCs w:val="28"/>
        </w:rPr>
      </w:pPr>
    </w:p>
    <w:p>
      <w:pPr>
        <w:adjustRightInd w:val="0"/>
        <w:snapToGrid w:val="0"/>
        <w:spacing w:line="360" w:lineRule="auto"/>
        <w:ind w:firstLine="700" w:firstLineChars="250"/>
        <w:jc w:val="center"/>
        <w:rPr>
          <w:rFonts w:hint="eastAsia" w:ascii="宋体" w:hAnsi="宋体" w:cs="宋体"/>
          <w:color w:val="auto"/>
          <w:sz w:val="28"/>
          <w:szCs w:val="28"/>
        </w:rPr>
      </w:pPr>
    </w:p>
    <w:p>
      <w:pPr>
        <w:adjustRightInd w:val="0"/>
        <w:snapToGrid w:val="0"/>
        <w:spacing w:line="360" w:lineRule="auto"/>
        <w:ind w:firstLine="700" w:firstLineChars="250"/>
        <w:jc w:val="center"/>
        <w:rPr>
          <w:rFonts w:ascii="宋体" w:hAnsi="宋体" w:cs="宋体"/>
          <w:color w:val="auto"/>
          <w:sz w:val="28"/>
          <w:szCs w:val="28"/>
        </w:rPr>
      </w:pPr>
      <w:r>
        <w:rPr>
          <w:rFonts w:hint="eastAsia" w:ascii="宋体" w:hAnsi="宋体" w:cs="宋体"/>
          <w:color w:val="auto"/>
          <w:sz w:val="28"/>
          <w:szCs w:val="28"/>
        </w:rPr>
        <w:t>估价结果表</w:t>
      </w:r>
    </w:p>
    <w:tbl>
      <w:tblPr>
        <w:tblStyle w:val="21"/>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621"/>
        <w:gridCol w:w="1326"/>
        <w:gridCol w:w="1170"/>
        <w:gridCol w:w="1560"/>
        <w:gridCol w:w="1492"/>
        <w:gridCol w:w="916"/>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土地</w:t>
            </w:r>
          </w:p>
        </w:tc>
        <w:tc>
          <w:tcPr>
            <w:tcW w:w="4677" w:type="dxa"/>
            <w:gridSpan w:val="4"/>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土地面积（m</w:t>
            </w:r>
            <w:r>
              <w:rPr>
                <w:rFonts w:hint="eastAsia" w:ascii="宋体" w:hAnsi="宋体" w:cs="宋体"/>
                <w:color w:val="auto"/>
                <w:szCs w:val="21"/>
                <w:vertAlign w:val="superscript"/>
              </w:rPr>
              <w:t>2</w:t>
            </w:r>
            <w:r>
              <w:rPr>
                <w:rFonts w:hint="eastAsia" w:ascii="宋体" w:hAnsi="宋体" w:cs="宋体"/>
                <w:color w:val="auto"/>
                <w:szCs w:val="21"/>
              </w:rPr>
              <w:t>）</w:t>
            </w:r>
          </w:p>
        </w:tc>
        <w:tc>
          <w:tcPr>
            <w:tcW w:w="2408" w:type="dxa"/>
            <w:gridSpan w:val="2"/>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土地评估单价（元/m</w:t>
            </w:r>
            <w:r>
              <w:rPr>
                <w:rFonts w:hint="eastAsia" w:ascii="宋体" w:hAnsi="宋体" w:cs="宋体"/>
                <w:color w:val="auto"/>
                <w:szCs w:val="21"/>
                <w:vertAlign w:val="superscript"/>
              </w:rPr>
              <w:t>2</w:t>
            </w:r>
            <w:r>
              <w:rPr>
                <w:rFonts w:hint="eastAsia" w:ascii="宋体" w:hAnsi="宋体" w:cs="宋体"/>
                <w:color w:val="auto"/>
                <w:szCs w:val="21"/>
              </w:rPr>
              <w:t>）</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价值（万元）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4677" w:type="dxa"/>
            <w:gridSpan w:val="4"/>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2967.11</w:t>
            </w:r>
          </w:p>
        </w:tc>
        <w:tc>
          <w:tcPr>
            <w:tcW w:w="2408" w:type="dxa"/>
            <w:gridSpan w:val="2"/>
            <w:vAlign w:val="center"/>
          </w:tcPr>
          <w:p>
            <w:pPr>
              <w:adjustRightInd w:val="0"/>
              <w:snapToGrid w:val="0"/>
              <w:spacing w:line="360" w:lineRule="auto"/>
              <w:jc w:val="center"/>
              <w:rPr>
                <w:rFonts w:ascii="宋体" w:hAnsi="宋体" w:cs="宋体"/>
                <w:color w:val="auto"/>
                <w:szCs w:val="21"/>
              </w:rPr>
            </w:pPr>
            <w:r>
              <w:rPr>
                <w:rFonts w:hint="eastAsia" w:ascii="宋体" w:hAnsi="宋体" w:eastAsia="宋体" w:cs="宋体"/>
                <w:color w:val="auto"/>
                <w:sz w:val="18"/>
                <w:szCs w:val="18"/>
              </w:rPr>
              <w:t>11</w:t>
            </w:r>
            <w:r>
              <w:rPr>
                <w:rFonts w:hint="eastAsia" w:ascii="宋体" w:hAnsi="宋体" w:eastAsia="宋体" w:cs="宋体"/>
                <w:color w:val="auto"/>
                <w:sz w:val="18"/>
                <w:szCs w:val="18"/>
                <w:lang w:val="en-US" w:eastAsia="zh-CN"/>
              </w:rPr>
              <w:t>72.66</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34</w:t>
            </w:r>
            <w:r>
              <w:rPr>
                <w:rFonts w:hint="eastAsia" w:ascii="宋体" w:hAnsi="宋体" w:cs="宋体"/>
                <w:color w:val="auto"/>
                <w:szCs w:val="21"/>
                <w:lang w:val="en-US" w:eastAsia="zh-CN"/>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房屋</w:t>
            </w: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幢号</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建筑结构</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建筑面积</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r>
              <w:rPr>
                <w:rFonts w:hint="eastAsia" w:ascii="宋体" w:hAnsi="宋体" w:cs="宋体"/>
                <w:color w:val="auto"/>
                <w:szCs w:val="21"/>
              </w:rPr>
              <w:t>）</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重置成本单价</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（元/m</w:t>
            </w:r>
            <w:r>
              <w:rPr>
                <w:rFonts w:hint="eastAsia" w:ascii="宋体" w:hAnsi="宋体" w:cs="宋体"/>
                <w:color w:val="auto"/>
                <w:szCs w:val="21"/>
                <w:vertAlign w:val="superscript"/>
              </w:rPr>
              <w:t>2</w:t>
            </w:r>
            <w:r>
              <w:rPr>
                <w:rFonts w:hint="eastAsia" w:ascii="宋体" w:hAnsi="宋体" w:cs="宋体"/>
                <w:color w:val="auto"/>
                <w:szCs w:val="21"/>
              </w:rPr>
              <w:t>）</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装修单价</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（元/m</w:t>
            </w:r>
            <w:r>
              <w:rPr>
                <w:rFonts w:hint="eastAsia" w:ascii="宋体" w:hAnsi="宋体" w:cs="宋体"/>
                <w:color w:val="auto"/>
                <w:szCs w:val="21"/>
                <w:vertAlign w:val="superscript"/>
              </w:rPr>
              <w:t>2</w:t>
            </w:r>
            <w:r>
              <w:rPr>
                <w:rFonts w:hint="eastAsia" w:ascii="宋体" w:hAnsi="宋体" w:cs="宋体"/>
                <w:color w:val="auto"/>
                <w:szCs w:val="21"/>
              </w:rPr>
              <w:t>）</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成新率</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价值（万元)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有证</w:t>
            </w: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砖混</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379.30</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1080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无证</w:t>
            </w: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简易C</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56.64</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51.98</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620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彩钢瓦房</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86.36</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160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35%</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4</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35.56</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45%</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55.66</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20.54</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208.76</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620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8</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70.7</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620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1" w:type="dxa"/>
            <w:gridSpan w:val="7"/>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共计</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1" w:type="dxa"/>
            <w:gridSpan w:val="7"/>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房地产总价值</w:t>
            </w:r>
          </w:p>
        </w:tc>
        <w:tc>
          <w:tcPr>
            <w:tcW w:w="1589" w:type="dxa"/>
            <w:vAlign w:val="center"/>
          </w:tcPr>
          <w:p>
            <w:pPr>
              <w:adjustRightInd w:val="0"/>
              <w:snapToGrid w:val="0"/>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rPr>
              <w:t>39</w:t>
            </w:r>
            <w:r>
              <w:rPr>
                <w:rFonts w:hint="eastAsia" w:ascii="宋体" w:hAnsi="宋体" w:cs="宋体"/>
                <w:color w:val="auto"/>
                <w:szCs w:val="21"/>
                <w:lang w:val="en-US" w:eastAsia="zh-CN"/>
              </w:rPr>
              <w:t>5.75</w:t>
            </w:r>
          </w:p>
        </w:tc>
      </w:tr>
    </w:tbl>
    <w:p>
      <w:pPr>
        <w:adjustRightInd w:val="0"/>
        <w:snapToGrid w:val="0"/>
        <w:spacing w:line="360" w:lineRule="auto"/>
        <w:ind w:firstLine="700" w:firstLineChars="250"/>
        <w:rPr>
          <w:rFonts w:ascii="宋体" w:hAnsi="宋体" w:cs="宋体"/>
          <w:color w:val="auto"/>
          <w:sz w:val="28"/>
          <w:szCs w:val="28"/>
        </w:rPr>
      </w:pPr>
    </w:p>
    <w:p>
      <w:pPr>
        <w:spacing w:line="360" w:lineRule="auto"/>
        <w:ind w:firstLine="600"/>
        <w:rPr>
          <w:rFonts w:hint="eastAsia" w:ascii="宋体" w:hAnsi="宋体" w:cs="宋体"/>
          <w:color w:val="auto"/>
          <w:sz w:val="28"/>
          <w:szCs w:val="28"/>
        </w:rPr>
      </w:pPr>
      <w:r>
        <w:rPr>
          <w:rFonts w:hint="eastAsia" w:ascii="宋体" w:hAnsi="宋体" w:cs="宋体"/>
          <w:color w:val="auto"/>
          <w:sz w:val="28"/>
          <w:szCs w:val="28"/>
        </w:rPr>
        <w:t>特别提示：</w:t>
      </w:r>
    </w:p>
    <w:p>
      <w:pPr>
        <w:spacing w:line="360" w:lineRule="auto"/>
        <w:ind w:firstLine="600"/>
        <w:rPr>
          <w:rFonts w:hint="eastAsia" w:ascii="宋体" w:hAnsi="宋体" w:cs="宋体"/>
          <w:color w:val="auto"/>
          <w:sz w:val="28"/>
          <w:szCs w:val="28"/>
        </w:rPr>
      </w:pPr>
      <w:bookmarkStart w:id="388" w:name="_GoBack"/>
      <w:bookmarkEnd w:id="388"/>
    </w:p>
    <w:p>
      <w:pPr>
        <w:tabs>
          <w:tab w:val="left" w:pos="3990"/>
        </w:tabs>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（1）报告人在使用本报告之前须对报告全文，特别是“估价的假设和限制条件”认真阅读，以免使用不当，造成损失！</w:t>
      </w:r>
    </w:p>
    <w:p>
      <w:pPr>
        <w:tabs>
          <w:tab w:val="left" w:pos="3990"/>
        </w:tabs>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（2）估价结果不包括估价对象原有的担保物权和其他法定优先受偿权，也不考虑抵押、查封等因素对估价结果的影响。</w:t>
      </w:r>
    </w:p>
    <w:p>
      <w:pPr>
        <w:tabs>
          <w:tab w:val="left" w:pos="3990"/>
        </w:tabs>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（3）估价结果没有扣除拍卖过程发生的处置费用和税金等交易费用。</w:t>
      </w:r>
    </w:p>
    <w:p>
      <w:pPr>
        <w:tabs>
          <w:tab w:val="left" w:pos="3990"/>
        </w:tabs>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（4）本估价结果不应作为价格实现的保证。</w:t>
      </w:r>
    </w:p>
    <w:p>
      <w:pPr>
        <w:tabs>
          <w:tab w:val="left" w:pos="3990"/>
        </w:tabs>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（5）若要了解本次评估的测算过程，需认真阅读本评估报告的全部内容。</w:t>
      </w:r>
    </w:p>
    <w:p>
      <w:pPr>
        <w:adjustRightInd w:val="0"/>
        <w:snapToGrid w:val="0"/>
        <w:spacing w:line="360" w:lineRule="auto"/>
        <w:ind w:right="30" w:firstLine="4760" w:firstLineChars="1700"/>
        <w:rPr>
          <w:rFonts w:ascii="宋体" w:hAnsi="宋体" w:cs="宋体"/>
          <w:color w:val="auto"/>
          <w:kern w:val="0"/>
          <w:sz w:val="28"/>
          <w:szCs w:val="28"/>
        </w:rPr>
      </w:pPr>
    </w:p>
    <w:p>
      <w:pPr>
        <w:adjustRightInd w:val="0"/>
        <w:snapToGrid w:val="0"/>
        <w:spacing w:line="360" w:lineRule="auto"/>
        <w:ind w:right="30" w:firstLine="4760" w:firstLineChars="1700"/>
        <w:rPr>
          <w:rFonts w:ascii="宋体" w:hAnsi="宋体" w:cs="宋体"/>
          <w:color w:val="auto"/>
          <w:kern w:val="0"/>
          <w:sz w:val="28"/>
          <w:szCs w:val="28"/>
          <w:lang w:val="zh-CN"/>
        </w:rPr>
      </w:pPr>
      <w:r>
        <w:rPr>
          <w:rFonts w:hint="eastAsia" w:ascii="宋体" w:hAnsi="宋体" w:cs="宋体"/>
          <w:color w:val="auto"/>
          <w:kern w:val="0"/>
          <w:sz w:val="28"/>
          <w:szCs w:val="28"/>
        </w:rPr>
        <w:t>文山同心联谊房地产评估有限公司</w:t>
      </w:r>
    </w:p>
    <w:p>
      <w:pPr>
        <w:spacing w:line="480" w:lineRule="auto"/>
        <w:ind w:firstLine="4900" w:firstLineChars="1750"/>
        <w:rPr>
          <w:rFonts w:ascii="宋体" w:hAnsi="宋体" w:cs="宋体"/>
          <w:color w:val="auto"/>
          <w:sz w:val="28"/>
          <w:szCs w:val="28"/>
        </w:rPr>
      </w:pPr>
      <w:r>
        <w:rPr>
          <w:rFonts w:hint="eastAsia" w:ascii="宋体" w:hAnsi="宋体" w:cs="宋体"/>
          <w:color w:val="auto"/>
          <w:kern w:val="0"/>
          <w:sz w:val="28"/>
          <w:szCs w:val="28"/>
        </w:rPr>
        <w:t>法定代表人：</w:t>
      </w:r>
    </w:p>
    <w:p>
      <w:pPr>
        <w:spacing w:line="480" w:lineRule="auto"/>
        <w:ind w:firstLine="5040" w:firstLineChars="1800"/>
        <w:rPr>
          <w:rFonts w:ascii="宋体" w:hAnsi="宋体" w:cs="宋体"/>
          <w:color w:val="auto"/>
          <w:sz w:val="28"/>
          <w:szCs w:val="28"/>
        </w:rPr>
      </w:pPr>
      <w:r>
        <w:rPr>
          <w:rFonts w:hint="eastAsia" w:ascii="宋体" w:hAnsi="宋体" w:cs="宋体"/>
          <w:color w:val="auto"/>
          <w:sz w:val="28"/>
          <w:szCs w:val="28"/>
        </w:rPr>
        <w:t>二0二0年四月二十日</w:t>
      </w:r>
    </w:p>
    <w:p>
      <w:pPr>
        <w:spacing w:line="276" w:lineRule="auto"/>
        <w:jc w:val="center"/>
        <w:rPr>
          <w:rFonts w:ascii="宋体" w:hAnsi="宋体" w:cs="宋体"/>
          <w:b/>
          <w:color w:val="auto"/>
          <w:spacing w:val="10"/>
          <w:sz w:val="44"/>
          <w:szCs w:val="44"/>
        </w:rPr>
        <w:sectPr>
          <w:footerReference r:id="rId3" w:type="default"/>
          <w:pgSz w:w="11906" w:h="16838"/>
          <w:pgMar w:top="1134" w:right="1304" w:bottom="1077" w:left="1361" w:header="851" w:footer="851" w:gutter="0"/>
          <w:pgNumType w:fmt="numberInDash"/>
          <w:cols w:space="720" w:num="1"/>
          <w:titlePg/>
          <w:docGrid w:linePitch="312" w:charSpace="0"/>
        </w:sectPr>
      </w:pPr>
    </w:p>
    <w:p>
      <w:pPr>
        <w:snapToGrid w:val="0"/>
        <w:spacing w:line="360" w:lineRule="auto"/>
        <w:jc w:val="center"/>
        <w:rPr>
          <w:rFonts w:ascii="宋体" w:hAnsi="宋体" w:cs="宋体"/>
          <w:b/>
          <w:color w:val="auto"/>
          <w:spacing w:val="10"/>
          <w:sz w:val="28"/>
          <w:szCs w:val="28"/>
        </w:rPr>
      </w:pPr>
      <w:r>
        <w:rPr>
          <w:rFonts w:hint="eastAsia" w:ascii="宋体" w:hAnsi="宋体" w:cs="宋体"/>
          <w:b/>
          <w:color w:val="auto"/>
          <w:spacing w:val="10"/>
          <w:sz w:val="28"/>
          <w:szCs w:val="28"/>
        </w:rPr>
        <w:t>目   录</w:t>
      </w:r>
    </w:p>
    <w:p>
      <w:pPr>
        <w:snapToGrid w:val="0"/>
        <w:spacing w:line="360" w:lineRule="auto"/>
        <w:jc w:val="center"/>
        <w:rPr>
          <w:rFonts w:ascii="宋体" w:hAnsi="宋体" w:cs="宋体"/>
          <w:b/>
          <w:color w:val="auto"/>
          <w:spacing w:val="10"/>
          <w:sz w:val="28"/>
          <w:szCs w:val="28"/>
        </w:rPr>
      </w:pPr>
    </w:p>
    <w:p>
      <w:pPr>
        <w:pStyle w:val="15"/>
        <w:tabs>
          <w:tab w:val="right" w:leader="dot" w:pos="9241"/>
          <w:tab w:val="clear" w:pos="9231"/>
        </w:tabs>
        <w:snapToGrid w:val="0"/>
        <w:rPr>
          <w:color w:val="auto"/>
          <w:sz w:val="28"/>
          <w:szCs w:val="28"/>
        </w:rPr>
      </w:pPr>
      <w:r>
        <w:rPr>
          <w:rFonts w:ascii="宋体" w:hAnsi="宋体" w:cs="宋体"/>
          <w:color w:val="auto"/>
          <w:sz w:val="28"/>
          <w:szCs w:val="28"/>
        </w:rPr>
        <w:fldChar w:fldCharType="begin"/>
      </w:r>
      <w:r>
        <w:rPr>
          <w:rFonts w:ascii="宋体" w:hAnsi="宋体" w:cs="宋体"/>
          <w:color w:val="auto"/>
          <w:sz w:val="28"/>
          <w:szCs w:val="28"/>
        </w:rPr>
        <w:instrText xml:space="preserve">TOC \o "1-3" \h \u </w:instrText>
      </w:r>
      <w:r>
        <w:rPr>
          <w:rFonts w:ascii="宋体" w:hAnsi="宋体" w:cs="宋体"/>
          <w:color w:val="auto"/>
          <w:sz w:val="28"/>
          <w:szCs w:val="28"/>
        </w:rPr>
        <w:fldChar w:fldCharType="separate"/>
      </w:r>
      <w:r>
        <w:rPr>
          <w:color w:val="auto"/>
        </w:rPr>
        <w:fldChar w:fldCharType="begin"/>
      </w:r>
      <w:r>
        <w:rPr>
          <w:color w:val="auto"/>
        </w:rPr>
        <w:instrText xml:space="preserve"> HYPERLINK \l "_Toc28890" </w:instrText>
      </w:r>
      <w:r>
        <w:rPr>
          <w:color w:val="auto"/>
        </w:rPr>
        <w:fldChar w:fldCharType="separate"/>
      </w:r>
      <w:r>
        <w:rPr>
          <w:rFonts w:hint="eastAsia" w:ascii="宋体" w:hAnsi="宋体" w:cs="宋体"/>
          <w:color w:val="auto"/>
          <w:sz w:val="28"/>
          <w:szCs w:val="28"/>
        </w:rPr>
        <w:t>估价师声明</w:t>
      </w:r>
      <w:r>
        <w:rPr>
          <w:color w:val="auto"/>
          <w:sz w:val="28"/>
          <w:szCs w:val="28"/>
        </w:rPr>
        <w:tab/>
      </w:r>
      <w:r>
        <w:rPr>
          <w:color w:val="auto"/>
          <w:sz w:val="28"/>
          <w:szCs w:val="28"/>
        </w:rPr>
        <w:fldChar w:fldCharType="begin"/>
      </w:r>
      <w:r>
        <w:rPr>
          <w:color w:val="auto"/>
          <w:sz w:val="28"/>
          <w:szCs w:val="28"/>
        </w:rPr>
        <w:instrText xml:space="preserve"> PAGEREF _Toc28890 </w:instrText>
      </w:r>
      <w:r>
        <w:rPr>
          <w:color w:val="auto"/>
          <w:sz w:val="28"/>
          <w:szCs w:val="28"/>
        </w:rPr>
        <w:fldChar w:fldCharType="separate"/>
      </w:r>
      <w:r>
        <w:rPr>
          <w:color w:val="auto"/>
          <w:sz w:val="28"/>
          <w:szCs w:val="28"/>
        </w:rPr>
        <w:t>- 1 -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"_Toc26475" </w:instrText>
      </w:r>
      <w:r>
        <w:rPr>
          <w:color w:val="auto"/>
        </w:rPr>
        <w:fldChar w:fldCharType="separate"/>
      </w:r>
      <w:r>
        <w:rPr>
          <w:rFonts w:hint="eastAsia" w:ascii="宋体" w:hAnsi="宋体" w:cs="宋体"/>
          <w:color w:val="auto"/>
          <w:sz w:val="28"/>
          <w:szCs w:val="28"/>
        </w:rPr>
        <w:t>估价假设和限制条件</w:t>
      </w:r>
      <w:r>
        <w:rPr>
          <w:color w:val="auto"/>
          <w:sz w:val="28"/>
          <w:szCs w:val="28"/>
        </w:rPr>
        <w:tab/>
      </w:r>
      <w:r>
        <w:rPr>
          <w:color w:val="auto"/>
          <w:sz w:val="28"/>
          <w:szCs w:val="28"/>
        </w:rPr>
        <w:fldChar w:fldCharType="begin"/>
      </w:r>
      <w:r>
        <w:rPr>
          <w:color w:val="auto"/>
          <w:sz w:val="28"/>
          <w:szCs w:val="28"/>
        </w:rPr>
        <w:instrText xml:space="preserve"> PAGEREF _Toc26475 </w:instrText>
      </w:r>
      <w:r>
        <w:rPr>
          <w:color w:val="auto"/>
          <w:sz w:val="28"/>
          <w:szCs w:val="28"/>
        </w:rPr>
        <w:fldChar w:fldCharType="separate"/>
      </w:r>
      <w:r>
        <w:rPr>
          <w:color w:val="auto"/>
          <w:sz w:val="28"/>
          <w:szCs w:val="28"/>
        </w:rPr>
        <w:t>- 2 -</w:t>
      </w:r>
      <w:r>
        <w:rPr>
          <w:color w:val="auto"/>
          <w:sz w:val="28"/>
          <w:szCs w:val="28"/>
        </w:rPr>
        <w:fldChar w:fldCharType="end"/>
      </w:r>
      <w:r>
        <w:rPr>
          <w:color w:val="auto"/>
          <w:sz w:val="28"/>
          <w:szCs w:val="28"/>
        </w:rPr>
        <w:fldChar w:fldCharType="end"/>
      </w:r>
    </w:p>
    <w:p>
      <w:pPr>
        <w:pStyle w:val="15"/>
        <w:tabs>
          <w:tab w:val="right" w:leader="dot" w:pos="9241"/>
          <w:tab w:val="clear" w:pos="9231"/>
        </w:tabs>
        <w:snapToGrid w:val="0"/>
        <w:rPr>
          <w:color w:val="auto"/>
          <w:sz w:val="28"/>
          <w:szCs w:val="28"/>
        </w:rPr>
      </w:pPr>
      <w:r>
        <w:rPr>
          <w:color w:val="auto"/>
        </w:rPr>
        <w:fldChar w:fldCharType="begin"/>
      </w:r>
      <w:r>
        <w:rPr>
          <w:color w:val="auto"/>
        </w:rPr>
        <w:instrText xml:space="preserve"> HYPERLINK \l "_Toc2135" </w:instrText>
      </w:r>
      <w:r>
        <w:rPr>
          <w:color w:val="auto"/>
        </w:rPr>
        <w:fldChar w:fldCharType="separate"/>
      </w:r>
      <w:r>
        <w:rPr>
          <w:rFonts w:hint="eastAsia" w:ascii="宋体" w:hAnsi="宋体" w:cs="宋体"/>
          <w:color w:val="auto"/>
          <w:sz w:val="28"/>
          <w:szCs w:val="28"/>
        </w:rPr>
        <w:t>估价结果报告</w:t>
      </w:r>
      <w:r>
        <w:rPr>
          <w:color w:val="auto"/>
          <w:sz w:val="28"/>
          <w:szCs w:val="28"/>
        </w:rPr>
        <w:tab/>
      </w:r>
      <w:r>
        <w:rPr>
          <w:color w:val="auto"/>
          <w:sz w:val="28"/>
          <w:szCs w:val="28"/>
        </w:rPr>
        <w:fldChar w:fldCharType="begin"/>
      </w:r>
      <w:r>
        <w:rPr>
          <w:color w:val="auto"/>
          <w:sz w:val="28"/>
          <w:szCs w:val="28"/>
        </w:rPr>
        <w:instrText xml:space="preserve"> PAGEREF _Toc2135 </w:instrText>
      </w:r>
      <w:r>
        <w:rPr>
          <w:color w:val="auto"/>
          <w:sz w:val="28"/>
          <w:szCs w:val="28"/>
        </w:rPr>
        <w:fldChar w:fldCharType="separate"/>
      </w:r>
      <w:r>
        <w:rPr>
          <w:color w:val="auto"/>
          <w:sz w:val="28"/>
          <w:szCs w:val="28"/>
        </w:rPr>
        <w:t>- 4 -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"_Toc19430" </w:instrText>
      </w:r>
      <w:r>
        <w:rPr>
          <w:color w:val="auto"/>
        </w:rPr>
        <w:fldChar w:fldCharType="separate"/>
      </w:r>
      <w:r>
        <w:rPr>
          <w:rFonts w:hint="eastAsia" w:ascii="宋体" w:hAnsi="宋体" w:cs="宋体"/>
          <w:color w:val="auto"/>
          <w:kern w:val="0"/>
          <w:sz w:val="28"/>
          <w:szCs w:val="28"/>
        </w:rPr>
        <w:t>一、</w:t>
      </w:r>
      <w:r>
        <w:rPr>
          <w:rFonts w:hint="eastAsia" w:ascii="宋体" w:hAnsi="宋体" w:cs="宋体"/>
          <w:color w:val="auto"/>
          <w:sz w:val="28"/>
          <w:szCs w:val="28"/>
        </w:rPr>
        <w:t>估价委托人</w:t>
      </w:r>
      <w:r>
        <w:rPr>
          <w:color w:val="auto"/>
          <w:sz w:val="28"/>
          <w:szCs w:val="28"/>
        </w:rPr>
        <w:tab/>
      </w:r>
      <w:r>
        <w:rPr>
          <w:color w:val="auto"/>
          <w:sz w:val="28"/>
          <w:szCs w:val="28"/>
        </w:rPr>
        <w:fldChar w:fldCharType="begin"/>
      </w:r>
      <w:r>
        <w:rPr>
          <w:color w:val="auto"/>
          <w:sz w:val="28"/>
          <w:szCs w:val="28"/>
        </w:rPr>
        <w:instrText xml:space="preserve"> PAGEREF _Toc19430 </w:instrText>
      </w:r>
      <w:r>
        <w:rPr>
          <w:color w:val="auto"/>
          <w:sz w:val="28"/>
          <w:szCs w:val="28"/>
        </w:rPr>
        <w:fldChar w:fldCharType="separate"/>
      </w:r>
      <w:r>
        <w:rPr>
          <w:color w:val="auto"/>
          <w:sz w:val="28"/>
          <w:szCs w:val="28"/>
        </w:rPr>
        <w:t>- 4 -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"_Toc12724" </w:instrText>
      </w:r>
      <w:r>
        <w:rPr>
          <w:color w:val="auto"/>
        </w:rPr>
        <w:fldChar w:fldCharType="separate"/>
      </w:r>
      <w:r>
        <w:rPr>
          <w:rFonts w:hint="eastAsia" w:ascii="宋体" w:hAnsi="宋体" w:cs="宋体"/>
          <w:color w:val="auto"/>
          <w:kern w:val="0"/>
          <w:sz w:val="28"/>
          <w:szCs w:val="28"/>
        </w:rPr>
        <w:t>二、房地产估价机构</w:t>
      </w:r>
      <w:r>
        <w:rPr>
          <w:color w:val="auto"/>
          <w:sz w:val="28"/>
          <w:szCs w:val="28"/>
        </w:rPr>
        <w:tab/>
      </w:r>
      <w:r>
        <w:rPr>
          <w:color w:val="auto"/>
          <w:sz w:val="28"/>
          <w:szCs w:val="28"/>
        </w:rPr>
        <w:fldChar w:fldCharType="begin"/>
      </w:r>
      <w:r>
        <w:rPr>
          <w:color w:val="auto"/>
          <w:sz w:val="28"/>
          <w:szCs w:val="28"/>
        </w:rPr>
        <w:instrText xml:space="preserve"> PAGEREF _Toc12724 </w:instrText>
      </w:r>
      <w:r>
        <w:rPr>
          <w:color w:val="auto"/>
          <w:sz w:val="28"/>
          <w:szCs w:val="28"/>
        </w:rPr>
        <w:fldChar w:fldCharType="separate"/>
      </w:r>
      <w:r>
        <w:rPr>
          <w:color w:val="auto"/>
          <w:sz w:val="28"/>
          <w:szCs w:val="28"/>
        </w:rPr>
        <w:t>- 4 -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"_Toc17549" </w:instrText>
      </w:r>
      <w:r>
        <w:rPr>
          <w:color w:val="auto"/>
        </w:rPr>
        <w:fldChar w:fldCharType="separate"/>
      </w:r>
      <w:r>
        <w:rPr>
          <w:rFonts w:hint="eastAsia" w:ascii="宋体" w:hAnsi="宋体" w:cs="宋体"/>
          <w:color w:val="auto"/>
          <w:kern w:val="0"/>
          <w:sz w:val="28"/>
          <w:szCs w:val="28"/>
        </w:rPr>
        <w:t>三、估价目的</w:t>
      </w:r>
      <w:r>
        <w:rPr>
          <w:color w:val="auto"/>
          <w:sz w:val="28"/>
          <w:szCs w:val="28"/>
        </w:rPr>
        <w:tab/>
      </w:r>
      <w:r>
        <w:rPr>
          <w:color w:val="auto"/>
          <w:sz w:val="28"/>
          <w:szCs w:val="28"/>
        </w:rPr>
        <w:fldChar w:fldCharType="begin"/>
      </w:r>
      <w:r>
        <w:rPr>
          <w:color w:val="auto"/>
          <w:sz w:val="28"/>
          <w:szCs w:val="28"/>
        </w:rPr>
        <w:instrText xml:space="preserve"> PAGEREF _Toc17549 </w:instrText>
      </w:r>
      <w:r>
        <w:rPr>
          <w:color w:val="auto"/>
          <w:sz w:val="28"/>
          <w:szCs w:val="28"/>
        </w:rPr>
        <w:fldChar w:fldCharType="separate"/>
      </w:r>
      <w:r>
        <w:rPr>
          <w:color w:val="auto"/>
          <w:sz w:val="28"/>
          <w:szCs w:val="28"/>
        </w:rPr>
        <w:t>- 4 -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"_Toc32296" </w:instrText>
      </w:r>
      <w:r>
        <w:rPr>
          <w:color w:val="auto"/>
        </w:rPr>
        <w:fldChar w:fldCharType="separate"/>
      </w:r>
      <w:r>
        <w:rPr>
          <w:rFonts w:hint="eastAsia" w:ascii="宋体" w:hAnsi="宋体" w:cs="宋体"/>
          <w:color w:val="auto"/>
          <w:kern w:val="0"/>
          <w:sz w:val="28"/>
          <w:szCs w:val="28"/>
        </w:rPr>
        <w:t>四、估价对象</w:t>
      </w:r>
      <w:r>
        <w:rPr>
          <w:color w:val="auto"/>
          <w:sz w:val="28"/>
          <w:szCs w:val="28"/>
        </w:rPr>
        <w:tab/>
      </w:r>
      <w:r>
        <w:rPr>
          <w:color w:val="auto"/>
          <w:sz w:val="28"/>
          <w:szCs w:val="28"/>
        </w:rPr>
        <w:fldChar w:fldCharType="begin"/>
      </w:r>
      <w:r>
        <w:rPr>
          <w:color w:val="auto"/>
          <w:sz w:val="28"/>
          <w:szCs w:val="28"/>
        </w:rPr>
        <w:instrText xml:space="preserve"> PAGEREF _Toc32296 </w:instrText>
      </w:r>
      <w:r>
        <w:rPr>
          <w:color w:val="auto"/>
          <w:sz w:val="28"/>
          <w:szCs w:val="28"/>
        </w:rPr>
        <w:fldChar w:fldCharType="separate"/>
      </w:r>
      <w:r>
        <w:rPr>
          <w:color w:val="auto"/>
          <w:sz w:val="28"/>
          <w:szCs w:val="28"/>
        </w:rPr>
        <w:t>- 4 -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"_Toc32274" </w:instrText>
      </w:r>
      <w:r>
        <w:rPr>
          <w:color w:val="auto"/>
        </w:rPr>
        <w:fldChar w:fldCharType="separate"/>
      </w:r>
      <w:r>
        <w:rPr>
          <w:rFonts w:hint="eastAsia" w:ascii="宋体" w:hAnsi="宋体" w:cs="宋体"/>
          <w:color w:val="auto"/>
          <w:kern w:val="0"/>
          <w:sz w:val="28"/>
          <w:szCs w:val="28"/>
        </w:rPr>
        <w:t>五、价值时点</w:t>
      </w:r>
      <w:r>
        <w:rPr>
          <w:color w:val="auto"/>
          <w:sz w:val="28"/>
          <w:szCs w:val="28"/>
        </w:rPr>
        <w:tab/>
      </w:r>
      <w:r>
        <w:rPr>
          <w:color w:val="auto"/>
          <w:sz w:val="28"/>
          <w:szCs w:val="28"/>
        </w:rPr>
        <w:fldChar w:fldCharType="begin"/>
      </w:r>
      <w:r>
        <w:rPr>
          <w:color w:val="auto"/>
          <w:sz w:val="28"/>
          <w:szCs w:val="28"/>
        </w:rPr>
        <w:instrText xml:space="preserve"> PAGEREF _Toc32274 </w:instrText>
      </w:r>
      <w:r>
        <w:rPr>
          <w:color w:val="auto"/>
          <w:sz w:val="28"/>
          <w:szCs w:val="28"/>
        </w:rPr>
        <w:fldChar w:fldCharType="separate"/>
      </w:r>
      <w:r>
        <w:rPr>
          <w:color w:val="auto"/>
          <w:sz w:val="28"/>
          <w:szCs w:val="28"/>
        </w:rPr>
        <w:t>- 8 -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"_Toc11923" </w:instrText>
      </w:r>
      <w:r>
        <w:rPr>
          <w:color w:val="auto"/>
        </w:rPr>
        <w:fldChar w:fldCharType="separate"/>
      </w:r>
      <w:r>
        <w:rPr>
          <w:rFonts w:hint="eastAsia" w:ascii="宋体" w:hAnsi="宋体" w:cs="宋体"/>
          <w:color w:val="auto"/>
          <w:kern w:val="0"/>
          <w:sz w:val="28"/>
          <w:szCs w:val="28"/>
        </w:rPr>
        <w:t>六、价值类型</w:t>
      </w:r>
      <w:r>
        <w:rPr>
          <w:color w:val="auto"/>
          <w:sz w:val="28"/>
          <w:szCs w:val="28"/>
        </w:rPr>
        <w:tab/>
      </w:r>
      <w:r>
        <w:rPr>
          <w:color w:val="auto"/>
          <w:sz w:val="28"/>
          <w:szCs w:val="28"/>
        </w:rPr>
        <w:fldChar w:fldCharType="begin"/>
      </w:r>
      <w:r>
        <w:rPr>
          <w:color w:val="auto"/>
          <w:sz w:val="28"/>
          <w:szCs w:val="28"/>
        </w:rPr>
        <w:instrText xml:space="preserve"> PAGEREF _Toc11923 </w:instrText>
      </w:r>
      <w:r>
        <w:rPr>
          <w:color w:val="auto"/>
          <w:sz w:val="28"/>
          <w:szCs w:val="28"/>
        </w:rPr>
        <w:fldChar w:fldCharType="separate"/>
      </w:r>
      <w:r>
        <w:rPr>
          <w:color w:val="auto"/>
          <w:sz w:val="28"/>
          <w:szCs w:val="28"/>
        </w:rPr>
        <w:t>- 8 -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"_Toc10499" </w:instrText>
      </w:r>
      <w:r>
        <w:rPr>
          <w:color w:val="auto"/>
        </w:rPr>
        <w:fldChar w:fldCharType="separate"/>
      </w:r>
      <w:r>
        <w:rPr>
          <w:rFonts w:hint="eastAsia" w:ascii="宋体" w:hAnsi="宋体" w:cs="宋体"/>
          <w:color w:val="auto"/>
          <w:kern w:val="0"/>
          <w:sz w:val="28"/>
          <w:szCs w:val="28"/>
        </w:rPr>
        <w:t>七、估价原则</w:t>
      </w:r>
      <w:r>
        <w:rPr>
          <w:color w:val="auto"/>
          <w:sz w:val="28"/>
          <w:szCs w:val="28"/>
        </w:rPr>
        <w:tab/>
      </w:r>
      <w:r>
        <w:rPr>
          <w:color w:val="auto"/>
          <w:sz w:val="28"/>
          <w:szCs w:val="28"/>
        </w:rPr>
        <w:fldChar w:fldCharType="begin"/>
      </w:r>
      <w:r>
        <w:rPr>
          <w:color w:val="auto"/>
          <w:sz w:val="28"/>
          <w:szCs w:val="28"/>
        </w:rPr>
        <w:instrText xml:space="preserve"> PAGEREF _Toc10499 </w:instrText>
      </w:r>
      <w:r>
        <w:rPr>
          <w:color w:val="auto"/>
          <w:sz w:val="28"/>
          <w:szCs w:val="28"/>
        </w:rPr>
        <w:fldChar w:fldCharType="separate"/>
      </w:r>
      <w:r>
        <w:rPr>
          <w:color w:val="auto"/>
          <w:sz w:val="28"/>
          <w:szCs w:val="28"/>
        </w:rPr>
        <w:t>- 9 -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"_Toc32717" </w:instrText>
      </w:r>
      <w:r>
        <w:rPr>
          <w:color w:val="auto"/>
        </w:rPr>
        <w:fldChar w:fldCharType="separate"/>
      </w:r>
      <w:r>
        <w:rPr>
          <w:rFonts w:hint="eastAsia" w:ascii="宋体" w:hAnsi="宋体" w:cs="宋体"/>
          <w:color w:val="auto"/>
          <w:kern w:val="0"/>
          <w:sz w:val="28"/>
          <w:szCs w:val="28"/>
        </w:rPr>
        <w:t>八、估价依据</w:t>
      </w:r>
      <w:r>
        <w:rPr>
          <w:color w:val="auto"/>
          <w:sz w:val="28"/>
          <w:szCs w:val="28"/>
        </w:rPr>
        <w:tab/>
      </w:r>
      <w:r>
        <w:rPr>
          <w:color w:val="auto"/>
          <w:sz w:val="28"/>
          <w:szCs w:val="28"/>
        </w:rPr>
        <w:fldChar w:fldCharType="begin"/>
      </w:r>
      <w:r>
        <w:rPr>
          <w:color w:val="auto"/>
          <w:sz w:val="28"/>
          <w:szCs w:val="28"/>
        </w:rPr>
        <w:instrText xml:space="preserve"> PAGEREF _Toc32717 </w:instrText>
      </w:r>
      <w:r>
        <w:rPr>
          <w:color w:val="auto"/>
          <w:sz w:val="28"/>
          <w:szCs w:val="28"/>
        </w:rPr>
        <w:fldChar w:fldCharType="separate"/>
      </w:r>
      <w:r>
        <w:rPr>
          <w:color w:val="auto"/>
          <w:sz w:val="28"/>
          <w:szCs w:val="28"/>
        </w:rPr>
        <w:t>- 10 -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"_Toc11087" </w:instrText>
      </w:r>
      <w:r>
        <w:rPr>
          <w:color w:val="auto"/>
        </w:rPr>
        <w:fldChar w:fldCharType="separate"/>
      </w:r>
      <w:r>
        <w:rPr>
          <w:rFonts w:hint="eastAsia" w:ascii="宋体" w:hAnsi="宋体" w:cs="宋体"/>
          <w:color w:val="auto"/>
          <w:kern w:val="0"/>
          <w:sz w:val="28"/>
          <w:szCs w:val="28"/>
        </w:rPr>
        <w:t>九、估价方法</w:t>
      </w:r>
      <w:r>
        <w:rPr>
          <w:color w:val="auto"/>
          <w:sz w:val="28"/>
          <w:szCs w:val="28"/>
        </w:rPr>
        <w:tab/>
      </w:r>
      <w:r>
        <w:rPr>
          <w:color w:val="auto"/>
          <w:sz w:val="28"/>
          <w:szCs w:val="28"/>
        </w:rPr>
        <w:fldChar w:fldCharType="begin"/>
      </w:r>
      <w:r>
        <w:rPr>
          <w:color w:val="auto"/>
          <w:sz w:val="28"/>
          <w:szCs w:val="28"/>
        </w:rPr>
        <w:instrText xml:space="preserve"> PAGEREF _Toc11087 </w:instrText>
      </w:r>
      <w:r>
        <w:rPr>
          <w:color w:val="auto"/>
          <w:sz w:val="28"/>
          <w:szCs w:val="28"/>
        </w:rPr>
        <w:fldChar w:fldCharType="separate"/>
      </w:r>
      <w:r>
        <w:rPr>
          <w:color w:val="auto"/>
          <w:sz w:val="28"/>
          <w:szCs w:val="28"/>
        </w:rPr>
        <w:t>- 12 -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"_Toc21146" </w:instrText>
      </w:r>
      <w:r>
        <w:rPr>
          <w:color w:val="auto"/>
        </w:rPr>
        <w:fldChar w:fldCharType="separate"/>
      </w:r>
      <w:r>
        <w:rPr>
          <w:rFonts w:hint="eastAsia" w:ascii="宋体" w:hAnsi="宋体" w:cs="宋体"/>
          <w:color w:val="auto"/>
          <w:kern w:val="0"/>
          <w:sz w:val="28"/>
          <w:szCs w:val="28"/>
        </w:rPr>
        <w:t>十、估价结果</w:t>
      </w:r>
      <w:r>
        <w:rPr>
          <w:color w:val="auto"/>
          <w:sz w:val="28"/>
          <w:szCs w:val="28"/>
        </w:rPr>
        <w:tab/>
      </w:r>
      <w:r>
        <w:rPr>
          <w:color w:val="auto"/>
          <w:sz w:val="28"/>
          <w:szCs w:val="28"/>
        </w:rPr>
        <w:fldChar w:fldCharType="begin"/>
      </w:r>
      <w:r>
        <w:rPr>
          <w:color w:val="auto"/>
          <w:sz w:val="28"/>
          <w:szCs w:val="28"/>
        </w:rPr>
        <w:instrText xml:space="preserve"> PAGEREF _Toc21146 </w:instrText>
      </w:r>
      <w:r>
        <w:rPr>
          <w:color w:val="auto"/>
          <w:sz w:val="28"/>
          <w:szCs w:val="28"/>
        </w:rPr>
        <w:fldChar w:fldCharType="separate"/>
      </w:r>
      <w:r>
        <w:rPr>
          <w:color w:val="auto"/>
          <w:sz w:val="28"/>
          <w:szCs w:val="28"/>
        </w:rPr>
        <w:t>- 12 -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"_Toc29429" </w:instrText>
      </w:r>
      <w:r>
        <w:rPr>
          <w:color w:val="auto"/>
        </w:rPr>
        <w:fldChar w:fldCharType="separate"/>
      </w:r>
      <w:r>
        <w:rPr>
          <w:rFonts w:hint="eastAsia" w:ascii="宋体" w:hAnsi="宋体" w:cs="宋体"/>
          <w:color w:val="auto"/>
          <w:sz w:val="28"/>
          <w:szCs w:val="28"/>
        </w:rPr>
        <w:t xml:space="preserve">十一、 </w:t>
      </w:r>
      <w:r>
        <w:rPr>
          <w:rFonts w:hint="eastAsia" w:ascii="宋体" w:hAnsi="宋体" w:cs="宋体"/>
          <w:color w:val="auto"/>
          <w:kern w:val="0"/>
          <w:sz w:val="28"/>
          <w:szCs w:val="28"/>
        </w:rPr>
        <w:t>注册房地产估价师</w:t>
      </w:r>
      <w:r>
        <w:rPr>
          <w:color w:val="auto"/>
          <w:sz w:val="28"/>
          <w:szCs w:val="28"/>
        </w:rPr>
        <w:tab/>
      </w:r>
      <w:r>
        <w:rPr>
          <w:color w:val="auto"/>
          <w:sz w:val="28"/>
          <w:szCs w:val="28"/>
        </w:rPr>
        <w:fldChar w:fldCharType="begin"/>
      </w:r>
      <w:r>
        <w:rPr>
          <w:color w:val="auto"/>
          <w:sz w:val="28"/>
          <w:szCs w:val="28"/>
        </w:rPr>
        <w:instrText xml:space="preserve"> PAGEREF _Toc29429 </w:instrText>
      </w:r>
      <w:r>
        <w:rPr>
          <w:color w:val="auto"/>
          <w:sz w:val="28"/>
          <w:szCs w:val="28"/>
        </w:rPr>
        <w:fldChar w:fldCharType="separate"/>
      </w:r>
      <w:r>
        <w:rPr>
          <w:color w:val="auto"/>
          <w:sz w:val="28"/>
          <w:szCs w:val="28"/>
        </w:rPr>
        <w:t>- 13 -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"_Toc21534" </w:instrText>
      </w:r>
      <w:r>
        <w:rPr>
          <w:color w:val="auto"/>
        </w:rPr>
        <w:fldChar w:fldCharType="separate"/>
      </w:r>
      <w:r>
        <w:rPr>
          <w:rFonts w:hint="eastAsia" w:ascii="宋体" w:hAnsi="宋体" w:cs="宋体"/>
          <w:color w:val="auto"/>
          <w:kern w:val="0"/>
          <w:sz w:val="28"/>
          <w:szCs w:val="28"/>
        </w:rPr>
        <w:t>十二、实地查勘期</w:t>
      </w:r>
      <w:r>
        <w:rPr>
          <w:color w:val="auto"/>
          <w:sz w:val="28"/>
          <w:szCs w:val="28"/>
        </w:rPr>
        <w:tab/>
      </w:r>
      <w:r>
        <w:rPr>
          <w:color w:val="auto"/>
          <w:sz w:val="28"/>
          <w:szCs w:val="28"/>
        </w:rPr>
        <w:fldChar w:fldCharType="begin"/>
      </w:r>
      <w:r>
        <w:rPr>
          <w:color w:val="auto"/>
          <w:sz w:val="28"/>
          <w:szCs w:val="28"/>
        </w:rPr>
        <w:instrText xml:space="preserve"> PAGEREF _Toc21534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"_Toc6949" </w:instrText>
      </w:r>
      <w:r>
        <w:rPr>
          <w:color w:val="auto"/>
        </w:rPr>
        <w:fldChar w:fldCharType="separate"/>
      </w:r>
      <w:r>
        <w:rPr>
          <w:rFonts w:hint="eastAsia" w:ascii="宋体" w:hAnsi="宋体" w:cs="宋体"/>
          <w:color w:val="auto"/>
          <w:kern w:val="0"/>
          <w:sz w:val="28"/>
          <w:szCs w:val="28"/>
        </w:rPr>
        <w:t>十三、估价作业日期</w:t>
      </w:r>
      <w:r>
        <w:rPr>
          <w:color w:val="auto"/>
          <w:sz w:val="28"/>
          <w:szCs w:val="28"/>
        </w:rPr>
        <w:tab/>
      </w:r>
      <w:r>
        <w:rPr>
          <w:color w:val="auto"/>
          <w:sz w:val="28"/>
          <w:szCs w:val="28"/>
        </w:rPr>
        <w:fldChar w:fldCharType="begin"/>
      </w:r>
      <w:r>
        <w:rPr>
          <w:color w:val="auto"/>
          <w:sz w:val="28"/>
          <w:szCs w:val="28"/>
        </w:rPr>
        <w:instrText xml:space="preserve"> PAGEREF _Toc6949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15"/>
        <w:tabs>
          <w:tab w:val="right" w:leader="dot" w:pos="9241"/>
          <w:tab w:val="clear" w:pos="9231"/>
        </w:tabs>
        <w:snapToGrid w:val="0"/>
        <w:rPr>
          <w:color w:val="auto"/>
          <w:sz w:val="28"/>
          <w:szCs w:val="28"/>
        </w:rPr>
      </w:pPr>
      <w:r>
        <w:rPr>
          <w:color w:val="auto"/>
        </w:rPr>
        <w:fldChar w:fldCharType="begin"/>
      </w:r>
      <w:r>
        <w:rPr>
          <w:color w:val="auto"/>
        </w:rPr>
        <w:instrText xml:space="preserve"> HYPERLINK \l "_Toc13055" </w:instrText>
      </w:r>
      <w:r>
        <w:rPr>
          <w:color w:val="auto"/>
        </w:rPr>
        <w:fldChar w:fldCharType="separate"/>
      </w:r>
      <w:r>
        <w:rPr>
          <w:rFonts w:hint="eastAsia" w:ascii="宋体" w:hAnsi="宋体" w:cs="宋体"/>
          <w:color w:val="auto"/>
          <w:sz w:val="28"/>
          <w:szCs w:val="28"/>
        </w:rPr>
        <w:t>估价技术报告</w:t>
      </w:r>
      <w:r>
        <w:rPr>
          <w:color w:val="auto"/>
          <w:sz w:val="28"/>
          <w:szCs w:val="28"/>
        </w:rPr>
        <w:tab/>
      </w:r>
      <w:r>
        <w:rPr>
          <w:color w:val="auto"/>
          <w:sz w:val="28"/>
          <w:szCs w:val="28"/>
        </w:rPr>
        <w:fldChar w:fldCharType="begin"/>
      </w:r>
      <w:r>
        <w:rPr>
          <w:color w:val="auto"/>
          <w:sz w:val="28"/>
          <w:szCs w:val="28"/>
        </w:rPr>
        <w:instrText xml:space="preserve"> PAGEREF _Toc6949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"_Toc24402" </w:instrText>
      </w:r>
      <w:r>
        <w:rPr>
          <w:color w:val="auto"/>
        </w:rPr>
        <w:fldChar w:fldCharType="separate"/>
      </w:r>
      <w:r>
        <w:rPr>
          <w:rFonts w:hint="eastAsia" w:ascii="宋体" w:hAnsi="宋体" w:cs="宋体"/>
          <w:color w:val="auto"/>
          <w:kern w:val="0"/>
          <w:sz w:val="28"/>
          <w:szCs w:val="28"/>
        </w:rPr>
        <w:t>一、估价对象描述与分析</w:t>
      </w:r>
      <w:r>
        <w:rPr>
          <w:color w:val="auto"/>
          <w:sz w:val="28"/>
          <w:szCs w:val="28"/>
        </w:rPr>
        <w:tab/>
      </w:r>
      <w:r>
        <w:rPr>
          <w:color w:val="auto"/>
          <w:sz w:val="28"/>
          <w:szCs w:val="28"/>
        </w:rPr>
        <w:fldChar w:fldCharType="begin"/>
      </w:r>
      <w:r>
        <w:rPr>
          <w:color w:val="auto"/>
          <w:sz w:val="28"/>
          <w:szCs w:val="28"/>
        </w:rPr>
        <w:instrText xml:space="preserve"> PAGEREF _Toc6949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"_Toc3744" </w:instrText>
      </w:r>
      <w:r>
        <w:rPr>
          <w:color w:val="auto"/>
        </w:rPr>
        <w:fldChar w:fldCharType="separate"/>
      </w:r>
      <w:r>
        <w:rPr>
          <w:rFonts w:hint="eastAsia" w:ascii="宋体" w:hAnsi="宋体" w:cs="宋体"/>
          <w:color w:val="auto"/>
          <w:kern w:val="0"/>
          <w:sz w:val="28"/>
          <w:szCs w:val="28"/>
        </w:rPr>
        <w:t>二、市场背景描述与分析</w:t>
      </w:r>
      <w:r>
        <w:rPr>
          <w:color w:val="auto"/>
          <w:sz w:val="28"/>
          <w:szCs w:val="28"/>
        </w:rPr>
        <w:tab/>
      </w:r>
      <w:r>
        <w:rPr>
          <w:color w:val="auto"/>
          <w:sz w:val="28"/>
          <w:szCs w:val="28"/>
        </w:rPr>
        <w:fldChar w:fldCharType="begin"/>
      </w:r>
      <w:r>
        <w:rPr>
          <w:color w:val="auto"/>
          <w:sz w:val="28"/>
          <w:szCs w:val="28"/>
        </w:rPr>
        <w:instrText xml:space="preserve"> PAGEREF _Toc6949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"_Toc29716" </w:instrText>
      </w:r>
      <w:r>
        <w:rPr>
          <w:color w:val="auto"/>
        </w:rPr>
        <w:fldChar w:fldCharType="separate"/>
      </w:r>
      <w:r>
        <w:rPr>
          <w:rFonts w:hint="eastAsia" w:ascii="宋体" w:hAnsi="宋体" w:cs="宋体"/>
          <w:color w:val="auto"/>
          <w:kern w:val="0"/>
          <w:sz w:val="28"/>
          <w:szCs w:val="28"/>
        </w:rPr>
        <w:t>三、估价对象最高最佳利用分析</w:t>
      </w:r>
      <w:r>
        <w:rPr>
          <w:color w:val="auto"/>
          <w:sz w:val="28"/>
          <w:szCs w:val="28"/>
        </w:rPr>
        <w:tab/>
      </w:r>
      <w:r>
        <w:rPr>
          <w:color w:val="auto"/>
          <w:sz w:val="28"/>
          <w:szCs w:val="28"/>
        </w:rPr>
        <w:fldChar w:fldCharType="begin"/>
      </w:r>
      <w:r>
        <w:rPr>
          <w:color w:val="auto"/>
          <w:sz w:val="28"/>
          <w:szCs w:val="28"/>
        </w:rPr>
        <w:instrText xml:space="preserve"> PAGEREF _Toc6949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"_Toc30992" </w:instrText>
      </w:r>
      <w:r>
        <w:rPr>
          <w:color w:val="auto"/>
        </w:rPr>
        <w:fldChar w:fldCharType="separate"/>
      </w:r>
      <w:r>
        <w:rPr>
          <w:rFonts w:hint="eastAsia" w:ascii="宋体" w:hAnsi="宋体" w:cs="宋体"/>
          <w:color w:val="auto"/>
          <w:kern w:val="0"/>
          <w:sz w:val="28"/>
          <w:szCs w:val="28"/>
        </w:rPr>
        <w:t>四、估价方法适用性分析</w:t>
      </w:r>
      <w:r>
        <w:rPr>
          <w:color w:val="auto"/>
          <w:sz w:val="28"/>
          <w:szCs w:val="28"/>
        </w:rPr>
        <w:tab/>
      </w:r>
      <w:r>
        <w:rPr>
          <w:color w:val="auto"/>
          <w:sz w:val="28"/>
          <w:szCs w:val="28"/>
        </w:rPr>
        <w:fldChar w:fldCharType="begin"/>
      </w:r>
      <w:r>
        <w:rPr>
          <w:color w:val="auto"/>
          <w:sz w:val="28"/>
          <w:szCs w:val="28"/>
        </w:rPr>
        <w:instrText xml:space="preserve"> PAGEREF _Toc6949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"_Toc23490" </w:instrText>
      </w:r>
      <w:r>
        <w:rPr>
          <w:color w:val="auto"/>
        </w:rPr>
        <w:fldChar w:fldCharType="separate"/>
      </w:r>
      <w:r>
        <w:rPr>
          <w:rFonts w:hint="eastAsia" w:ascii="宋体" w:hAnsi="宋体" w:cs="宋体"/>
          <w:color w:val="auto"/>
          <w:kern w:val="0"/>
          <w:sz w:val="28"/>
          <w:szCs w:val="28"/>
        </w:rPr>
        <w:t>五、估价测算过程</w:t>
      </w:r>
      <w:r>
        <w:rPr>
          <w:color w:val="auto"/>
          <w:sz w:val="28"/>
          <w:szCs w:val="28"/>
        </w:rPr>
        <w:tab/>
      </w:r>
      <w:r>
        <w:rPr>
          <w:color w:val="auto"/>
          <w:sz w:val="28"/>
          <w:szCs w:val="28"/>
        </w:rPr>
        <w:fldChar w:fldCharType="begin"/>
      </w:r>
      <w:r>
        <w:rPr>
          <w:color w:val="auto"/>
          <w:sz w:val="28"/>
          <w:szCs w:val="28"/>
        </w:rPr>
        <w:instrText xml:space="preserve"> PAGEREF _Toc6949 </w:instrText>
      </w:r>
      <w:r>
        <w:rPr>
          <w:color w:val="auto"/>
          <w:sz w:val="28"/>
          <w:szCs w:val="28"/>
        </w:rPr>
        <w:fldChar w:fldCharType="separate"/>
      </w:r>
      <w:r>
        <w:rPr>
          <w:color w:val="auto"/>
          <w:sz w:val="28"/>
          <w:szCs w:val="28"/>
        </w:rPr>
        <w:t>- 14 -</w:t>
      </w:r>
      <w:r>
        <w:rPr>
          <w:color w:val="auto"/>
          <w:sz w:val="28"/>
          <w:szCs w:val="28"/>
        </w:rPr>
        <w:fldChar w:fldCharType="end"/>
      </w:r>
      <w:r>
        <w:rPr>
          <w:color w:val="auto"/>
          <w:sz w:val="28"/>
          <w:szCs w:val="28"/>
        </w:rPr>
        <w:fldChar w:fldCharType="end"/>
      </w:r>
    </w:p>
    <w:p>
      <w:pPr>
        <w:pStyle w:val="18"/>
        <w:tabs>
          <w:tab w:val="right" w:leader="dot" w:pos="9241"/>
        </w:tabs>
        <w:snapToGrid w:val="0"/>
        <w:spacing w:line="360" w:lineRule="auto"/>
        <w:rPr>
          <w:color w:val="auto"/>
          <w:sz w:val="28"/>
          <w:szCs w:val="28"/>
        </w:rPr>
      </w:pPr>
      <w:r>
        <w:rPr>
          <w:color w:val="auto"/>
        </w:rPr>
        <w:fldChar w:fldCharType="begin"/>
      </w:r>
      <w:r>
        <w:rPr>
          <w:color w:val="auto"/>
        </w:rPr>
        <w:instrText xml:space="preserve"> HYPERLINK \l "_Toc13533" </w:instrText>
      </w:r>
      <w:r>
        <w:rPr>
          <w:color w:val="auto"/>
        </w:rPr>
        <w:fldChar w:fldCharType="separate"/>
      </w:r>
      <w:r>
        <w:rPr>
          <w:rFonts w:hint="eastAsia" w:ascii="宋体" w:hAnsi="宋体" w:cs="宋体"/>
          <w:color w:val="auto"/>
          <w:kern w:val="0"/>
          <w:sz w:val="28"/>
          <w:szCs w:val="28"/>
        </w:rPr>
        <w:t>六、估价结果确定</w:t>
      </w:r>
      <w:r>
        <w:rPr>
          <w:color w:val="auto"/>
          <w:sz w:val="28"/>
          <w:szCs w:val="28"/>
        </w:rPr>
        <w:tab/>
      </w:r>
      <w:r>
        <w:rPr>
          <w:color w:val="auto"/>
          <w:sz w:val="28"/>
          <w:szCs w:val="28"/>
        </w:rPr>
        <w:fldChar w:fldCharType="begin"/>
      </w:r>
      <w:r>
        <w:rPr>
          <w:color w:val="auto"/>
          <w:sz w:val="28"/>
          <w:szCs w:val="28"/>
        </w:rPr>
        <w:instrText xml:space="preserve"> PAGEREF _Toc13533 </w:instrText>
      </w:r>
      <w:r>
        <w:rPr>
          <w:color w:val="auto"/>
          <w:sz w:val="28"/>
          <w:szCs w:val="28"/>
        </w:rPr>
        <w:fldChar w:fldCharType="separate"/>
      </w:r>
      <w:r>
        <w:rPr>
          <w:color w:val="auto"/>
          <w:sz w:val="28"/>
          <w:szCs w:val="28"/>
        </w:rPr>
        <w:t>- 46 -</w:t>
      </w:r>
      <w:r>
        <w:rPr>
          <w:color w:val="auto"/>
          <w:sz w:val="28"/>
          <w:szCs w:val="28"/>
        </w:rPr>
        <w:fldChar w:fldCharType="end"/>
      </w:r>
      <w:r>
        <w:rPr>
          <w:color w:val="auto"/>
          <w:sz w:val="28"/>
          <w:szCs w:val="28"/>
        </w:rPr>
        <w:fldChar w:fldCharType="end"/>
      </w:r>
    </w:p>
    <w:p>
      <w:pPr>
        <w:pStyle w:val="15"/>
        <w:tabs>
          <w:tab w:val="right" w:leader="dot" w:pos="9241"/>
          <w:tab w:val="clear" w:pos="9231"/>
        </w:tabs>
        <w:snapToGrid w:val="0"/>
        <w:rPr>
          <w:color w:val="auto"/>
          <w:sz w:val="28"/>
          <w:szCs w:val="28"/>
        </w:rPr>
      </w:pPr>
      <w:r>
        <w:rPr>
          <w:color w:val="auto"/>
        </w:rPr>
        <w:fldChar w:fldCharType="begin"/>
      </w:r>
      <w:r>
        <w:rPr>
          <w:color w:val="auto"/>
        </w:rPr>
        <w:instrText xml:space="preserve"> HYPERLINK \l "_Toc3013" </w:instrText>
      </w:r>
      <w:r>
        <w:rPr>
          <w:color w:val="auto"/>
        </w:rPr>
        <w:fldChar w:fldCharType="separate"/>
      </w:r>
      <w:r>
        <w:rPr>
          <w:rFonts w:hint="eastAsia" w:ascii="宋体" w:hAnsi="宋体" w:cs="宋体"/>
          <w:color w:val="auto"/>
          <w:sz w:val="28"/>
          <w:szCs w:val="28"/>
        </w:rPr>
        <w:t>附  件</w:t>
      </w:r>
      <w:r>
        <w:rPr>
          <w:color w:val="auto"/>
          <w:sz w:val="28"/>
          <w:szCs w:val="28"/>
        </w:rPr>
        <w:tab/>
      </w:r>
      <w:r>
        <w:rPr>
          <w:color w:val="auto"/>
          <w:sz w:val="28"/>
          <w:szCs w:val="28"/>
        </w:rPr>
        <w:fldChar w:fldCharType="begin"/>
      </w:r>
      <w:r>
        <w:rPr>
          <w:color w:val="auto"/>
          <w:sz w:val="28"/>
          <w:szCs w:val="28"/>
        </w:rPr>
        <w:instrText xml:space="preserve"> PAGEREF _Toc3013 </w:instrText>
      </w:r>
      <w:r>
        <w:rPr>
          <w:color w:val="auto"/>
          <w:sz w:val="28"/>
          <w:szCs w:val="28"/>
        </w:rPr>
        <w:fldChar w:fldCharType="separate"/>
      </w:r>
      <w:r>
        <w:rPr>
          <w:color w:val="auto"/>
          <w:sz w:val="28"/>
          <w:szCs w:val="28"/>
        </w:rPr>
        <w:t>- 47 -</w:t>
      </w:r>
      <w:r>
        <w:rPr>
          <w:color w:val="auto"/>
          <w:sz w:val="28"/>
          <w:szCs w:val="28"/>
        </w:rPr>
        <w:fldChar w:fldCharType="end"/>
      </w:r>
      <w:r>
        <w:rPr>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color w:val="auto"/>
          <w:sz w:val="28"/>
          <w:szCs w:val="28"/>
        </w:rPr>
      </w:pPr>
      <w:r>
        <w:rPr>
          <w:color w:val="auto"/>
        </w:rPr>
        <w:fldChar w:fldCharType="begin"/>
      </w:r>
      <w:r>
        <w:rPr>
          <w:color w:val="auto"/>
        </w:rPr>
        <w:instrText xml:space="preserve"> HYPERLINK \l "_Toc7638" </w:instrText>
      </w:r>
      <w:r>
        <w:rPr>
          <w:color w:val="auto"/>
        </w:rPr>
        <w:fldChar w:fldCharType="separate"/>
      </w:r>
      <w:r>
        <w:rPr>
          <w:rFonts w:hint="eastAsia" w:ascii="宋体" w:hAnsi="宋体" w:cs="宋体"/>
          <w:color w:val="auto"/>
          <w:sz w:val="28"/>
          <w:szCs w:val="28"/>
        </w:rPr>
        <w:t>（一）《云南省文山壮族苗族自治州中级人民法院委托书》（2020）云26执17号</w:t>
      </w:r>
      <w:r>
        <w:rPr>
          <w:rFonts w:hint="eastAsia" w:ascii="宋体" w:hAnsi="宋体" w:cs="宋体"/>
          <w:color w:val="auto"/>
          <w:sz w:val="28"/>
          <w:szCs w:val="28"/>
        </w:rPr>
        <w:fldChar w:fldCharType="end"/>
      </w:r>
    </w:p>
    <w:p>
      <w:pPr>
        <w:pStyle w:val="18"/>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color w:val="auto"/>
          <w:sz w:val="28"/>
          <w:szCs w:val="28"/>
        </w:rPr>
      </w:pPr>
      <w:r>
        <w:rPr>
          <w:color w:val="auto"/>
        </w:rPr>
        <w:fldChar w:fldCharType="begin"/>
      </w:r>
      <w:r>
        <w:rPr>
          <w:color w:val="auto"/>
        </w:rPr>
        <w:instrText xml:space="preserve"> HYPERLINK \l "_Toc18612" </w:instrText>
      </w:r>
      <w:r>
        <w:rPr>
          <w:color w:val="auto"/>
        </w:rPr>
        <w:fldChar w:fldCharType="separate"/>
      </w:r>
      <w:r>
        <w:rPr>
          <w:rFonts w:hint="eastAsia" w:ascii="宋体" w:hAnsi="宋体" w:cs="宋体"/>
          <w:color w:val="auto"/>
          <w:sz w:val="28"/>
          <w:szCs w:val="28"/>
        </w:rPr>
        <w:t>（二）《云南省文山壮族苗族自治州中级人民法院执行裁定书》（2016）云26执106号之一</w:t>
      </w:r>
      <w:r>
        <w:rPr>
          <w:rFonts w:hint="eastAsia" w:ascii="宋体" w:hAnsi="宋体" w:cs="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color w:val="auto"/>
          <w:sz w:val="28"/>
          <w:szCs w:val="28"/>
        </w:rPr>
      </w:pPr>
      <w:r>
        <w:rPr>
          <w:color w:val="auto"/>
        </w:rPr>
        <w:fldChar w:fldCharType="begin"/>
      </w:r>
      <w:r>
        <w:rPr>
          <w:color w:val="auto"/>
        </w:rPr>
        <w:instrText xml:space="preserve"> HYPERLINK \l "_Toc29850" </w:instrText>
      </w:r>
      <w:r>
        <w:rPr>
          <w:color w:val="auto"/>
        </w:rPr>
        <w:fldChar w:fldCharType="separate"/>
      </w:r>
      <w:r>
        <w:rPr>
          <w:rFonts w:hint="eastAsia" w:ascii="宋体" w:hAnsi="宋体" w:cs="宋体"/>
          <w:color w:val="auto"/>
          <w:sz w:val="28"/>
          <w:szCs w:val="28"/>
        </w:rPr>
        <w:t>（三）估价对象区域位置图</w:t>
      </w:r>
      <w:r>
        <w:rPr>
          <w:rFonts w:hint="eastAsia" w:ascii="宋体" w:hAnsi="宋体" w:cs="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color w:val="auto"/>
          <w:sz w:val="28"/>
          <w:szCs w:val="28"/>
        </w:rPr>
      </w:pPr>
      <w:r>
        <w:rPr>
          <w:color w:val="auto"/>
        </w:rPr>
        <w:fldChar w:fldCharType="begin"/>
      </w:r>
      <w:r>
        <w:rPr>
          <w:color w:val="auto"/>
        </w:rPr>
        <w:instrText xml:space="preserve"> HYPERLINK \l "_Toc15449" </w:instrText>
      </w:r>
      <w:r>
        <w:rPr>
          <w:color w:val="auto"/>
        </w:rPr>
        <w:fldChar w:fldCharType="separate"/>
      </w:r>
      <w:r>
        <w:rPr>
          <w:rFonts w:hint="eastAsia" w:ascii="宋体" w:hAnsi="宋体" w:cs="宋体"/>
          <w:color w:val="auto"/>
          <w:sz w:val="28"/>
          <w:szCs w:val="28"/>
        </w:rPr>
        <w:t>（四）估价对象实景照片</w:t>
      </w:r>
      <w:r>
        <w:rPr>
          <w:rFonts w:hint="eastAsia" w:ascii="宋体" w:hAnsi="宋体" w:cs="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rFonts w:hint="eastAsia" w:ascii="宋体" w:hAnsi="宋体" w:cs="宋体"/>
          <w:color w:val="auto"/>
          <w:sz w:val="28"/>
          <w:szCs w:val="28"/>
        </w:rPr>
      </w:pPr>
      <w:r>
        <w:rPr>
          <w:color w:val="auto"/>
        </w:rPr>
        <w:fldChar w:fldCharType="begin"/>
      </w:r>
      <w:r>
        <w:rPr>
          <w:color w:val="auto"/>
        </w:rPr>
        <w:instrText xml:space="preserve"> HYPERLINK \l "_Toc20472" </w:instrText>
      </w:r>
      <w:r>
        <w:rPr>
          <w:color w:val="auto"/>
        </w:rPr>
        <w:fldChar w:fldCharType="separate"/>
      </w:r>
      <w:r>
        <w:rPr>
          <w:rFonts w:hint="eastAsia" w:ascii="宋体" w:hAnsi="宋体" w:cs="宋体"/>
          <w:color w:val="auto"/>
          <w:sz w:val="28"/>
          <w:szCs w:val="28"/>
        </w:rPr>
        <w:t>（五）《房屋所有权证》、《土地使用证》复印件</w:t>
      </w:r>
      <w:r>
        <w:rPr>
          <w:rFonts w:hint="eastAsia" w:ascii="宋体" w:hAnsi="宋体" w:cs="宋体"/>
          <w:color w:val="auto"/>
          <w:sz w:val="28"/>
          <w:szCs w:val="28"/>
        </w:rPr>
        <w:fldChar w:fldCharType="end"/>
      </w:r>
    </w:p>
    <w:p>
      <w:pPr>
        <w:keepNext w:val="0"/>
        <w:keepLines w:val="0"/>
        <w:pageBreakBefore w:val="0"/>
        <w:widowControl w:val="0"/>
        <w:kinsoku/>
        <w:wordWrap/>
        <w:overflowPunct/>
        <w:topLinePunct w:val="0"/>
        <w:autoSpaceDE/>
        <w:autoSpaceDN/>
        <w:bidi w:val="0"/>
        <w:adjustRightInd/>
        <w:snapToGrid w:val="0"/>
        <w:spacing w:line="360" w:lineRule="auto"/>
        <w:ind w:firstLine="840" w:firstLineChars="400"/>
        <w:textAlignment w:val="auto"/>
        <w:rPr>
          <w:color w:val="auto"/>
        </w:rPr>
      </w:pPr>
      <w:r>
        <w:rPr>
          <w:color w:val="auto"/>
        </w:rPr>
        <w:fldChar w:fldCharType="begin"/>
      </w:r>
      <w:r>
        <w:rPr>
          <w:color w:val="auto"/>
        </w:rPr>
        <w:instrText xml:space="preserve"> HYPERLINK \l "_Toc20472" </w:instrText>
      </w:r>
      <w:r>
        <w:rPr>
          <w:color w:val="auto"/>
        </w:rPr>
        <w:fldChar w:fldCharType="separate"/>
      </w:r>
      <w:r>
        <w:rPr>
          <w:rFonts w:hint="eastAsia" w:ascii="宋体" w:hAnsi="宋体" w:cs="宋体"/>
          <w:color w:val="auto"/>
          <w:sz w:val="28"/>
          <w:szCs w:val="28"/>
        </w:rPr>
        <w:t>（</w:t>
      </w:r>
      <w:r>
        <w:rPr>
          <w:rFonts w:hint="eastAsia" w:ascii="宋体" w:hAnsi="宋体" w:cs="宋体"/>
          <w:color w:val="auto"/>
          <w:sz w:val="28"/>
          <w:szCs w:val="28"/>
          <w:lang w:eastAsia="zh-CN"/>
        </w:rPr>
        <w:t>六</w:t>
      </w:r>
      <w:r>
        <w:rPr>
          <w:rFonts w:hint="eastAsia" w:ascii="宋体" w:hAnsi="宋体" w:cs="宋体"/>
          <w:color w:val="auto"/>
          <w:sz w:val="28"/>
          <w:szCs w:val="28"/>
        </w:rPr>
        <w:t>）</w:t>
      </w:r>
      <w:r>
        <w:rPr>
          <w:rFonts w:hint="eastAsia" w:ascii="宋体" w:hAnsi="宋体"/>
          <w:bCs/>
          <w:color w:val="auto"/>
          <w:sz w:val="28"/>
          <w:szCs w:val="28"/>
        </w:rPr>
        <w:t>同心联谊（文）测字（2020）第21号《</w:t>
      </w:r>
      <w:r>
        <w:rPr>
          <w:rFonts w:hint="eastAsia" w:ascii="宋体" w:hAnsi="宋体" w:cs="宋体"/>
          <w:bCs/>
          <w:color w:val="auto"/>
          <w:sz w:val="28"/>
          <w:szCs w:val="28"/>
          <w:shd w:val="solid" w:color="FFFFFF" w:fill="auto"/>
        </w:rPr>
        <w:t>何忠慰位于平远镇新平社区小黑山</w:t>
      </w:r>
      <w:r>
        <w:rPr>
          <w:rFonts w:hint="eastAsia" w:ascii="宋体" w:hAnsi="宋体" w:cs="宋体"/>
          <w:bCs/>
          <w:color w:val="auto"/>
          <w:spacing w:val="30"/>
          <w:kern w:val="52"/>
          <w:position w:val="2"/>
          <w:sz w:val="28"/>
          <w:szCs w:val="28"/>
          <w:shd w:val="solid" w:color="FFFFFF" w:fill="auto"/>
        </w:rPr>
        <w:t>建构筑物面积测算报告</w:t>
      </w:r>
      <w:r>
        <w:rPr>
          <w:rFonts w:hint="eastAsia" w:ascii="宋体" w:hAnsi="宋体"/>
          <w:bCs/>
          <w:color w:val="auto"/>
          <w:sz w:val="28"/>
          <w:szCs w:val="28"/>
        </w:rPr>
        <w:t>》</w:t>
      </w:r>
      <w:r>
        <w:rPr>
          <w:rFonts w:hint="eastAsia" w:ascii="宋体" w:hAnsi="宋体" w:cs="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color w:val="auto"/>
          <w:sz w:val="28"/>
          <w:szCs w:val="28"/>
        </w:rPr>
      </w:pPr>
      <w:r>
        <w:rPr>
          <w:color w:val="auto"/>
        </w:rPr>
        <w:fldChar w:fldCharType="begin"/>
      </w:r>
      <w:r>
        <w:rPr>
          <w:color w:val="auto"/>
        </w:rPr>
        <w:instrText xml:space="preserve"> HYPERLINK \l "_Toc11514" </w:instrText>
      </w:r>
      <w:r>
        <w:rPr>
          <w:color w:val="auto"/>
        </w:rPr>
        <w:fldChar w:fldCharType="separate"/>
      </w:r>
      <w:r>
        <w:rPr>
          <w:rFonts w:hint="eastAsia" w:ascii="宋体" w:hAnsi="宋体" w:cs="宋体"/>
          <w:color w:val="auto"/>
          <w:sz w:val="28"/>
          <w:szCs w:val="28"/>
        </w:rPr>
        <w:t>（</w:t>
      </w:r>
      <w:r>
        <w:rPr>
          <w:rFonts w:hint="eastAsia" w:ascii="宋体" w:hAnsi="宋体" w:cs="宋体"/>
          <w:color w:val="auto"/>
          <w:sz w:val="28"/>
          <w:szCs w:val="28"/>
          <w:lang w:eastAsia="zh-CN"/>
        </w:rPr>
        <w:t>七</w:t>
      </w:r>
      <w:r>
        <w:rPr>
          <w:rFonts w:hint="eastAsia" w:ascii="宋体" w:hAnsi="宋体" w:cs="宋体"/>
          <w:color w:val="auto"/>
          <w:sz w:val="28"/>
          <w:szCs w:val="28"/>
        </w:rPr>
        <w:t>）估价师到相关部门调查收集的相关资料复印件</w:t>
      </w:r>
      <w:r>
        <w:rPr>
          <w:rFonts w:hint="eastAsia" w:ascii="宋体" w:hAnsi="宋体" w:cs="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color w:val="auto"/>
          <w:sz w:val="28"/>
          <w:szCs w:val="28"/>
        </w:rPr>
      </w:pPr>
      <w:r>
        <w:rPr>
          <w:color w:val="auto"/>
        </w:rPr>
        <w:fldChar w:fldCharType="begin"/>
      </w:r>
      <w:r>
        <w:rPr>
          <w:color w:val="auto"/>
        </w:rPr>
        <w:instrText xml:space="preserve"> HYPERLINK \l "_Toc19334" </w:instrText>
      </w:r>
      <w:r>
        <w:rPr>
          <w:color w:val="auto"/>
        </w:rPr>
        <w:fldChar w:fldCharType="separate"/>
      </w:r>
      <w:r>
        <w:rPr>
          <w:rFonts w:hint="eastAsia" w:ascii="宋体" w:hAnsi="宋体" w:cs="宋体"/>
          <w:color w:val="auto"/>
          <w:sz w:val="28"/>
          <w:szCs w:val="28"/>
        </w:rPr>
        <w:t>（</w:t>
      </w:r>
      <w:r>
        <w:rPr>
          <w:rFonts w:hint="eastAsia" w:ascii="宋体" w:hAnsi="宋体" w:cs="宋体"/>
          <w:color w:val="auto"/>
          <w:sz w:val="28"/>
          <w:szCs w:val="28"/>
          <w:lang w:eastAsia="zh-CN"/>
        </w:rPr>
        <w:t>八</w:t>
      </w:r>
      <w:r>
        <w:rPr>
          <w:rFonts w:hint="eastAsia" w:ascii="宋体" w:hAnsi="宋体" w:cs="宋体"/>
          <w:color w:val="auto"/>
          <w:sz w:val="28"/>
          <w:szCs w:val="28"/>
        </w:rPr>
        <w:t>）房地产估价机构营业执照复印件</w:t>
      </w:r>
      <w:r>
        <w:rPr>
          <w:rFonts w:hint="eastAsia" w:ascii="宋体" w:hAnsi="宋体" w:cs="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color w:val="auto"/>
          <w:sz w:val="28"/>
          <w:szCs w:val="28"/>
        </w:rPr>
      </w:pPr>
      <w:r>
        <w:rPr>
          <w:color w:val="auto"/>
        </w:rPr>
        <w:fldChar w:fldCharType="begin"/>
      </w:r>
      <w:r>
        <w:rPr>
          <w:color w:val="auto"/>
        </w:rPr>
        <w:instrText xml:space="preserve"> HYPERLINK \l "_Toc30777" </w:instrText>
      </w:r>
      <w:r>
        <w:rPr>
          <w:color w:val="auto"/>
        </w:rPr>
        <w:fldChar w:fldCharType="separate"/>
      </w:r>
      <w:r>
        <w:rPr>
          <w:rFonts w:hint="eastAsia" w:ascii="宋体" w:hAnsi="宋体" w:cs="宋体"/>
          <w:color w:val="auto"/>
          <w:sz w:val="28"/>
          <w:szCs w:val="28"/>
        </w:rPr>
        <w:t>（</w:t>
      </w:r>
      <w:r>
        <w:rPr>
          <w:rFonts w:hint="eastAsia" w:ascii="宋体" w:hAnsi="宋体" w:cs="宋体"/>
          <w:color w:val="auto"/>
          <w:sz w:val="28"/>
          <w:szCs w:val="28"/>
          <w:lang w:eastAsia="zh-CN"/>
        </w:rPr>
        <w:t>九</w:t>
      </w:r>
      <w:r>
        <w:rPr>
          <w:rFonts w:hint="eastAsia" w:ascii="宋体" w:hAnsi="宋体" w:cs="宋体"/>
          <w:color w:val="auto"/>
          <w:sz w:val="28"/>
          <w:szCs w:val="28"/>
        </w:rPr>
        <w:t>）房地产估价机构备案证书复印件</w:t>
      </w:r>
      <w:r>
        <w:rPr>
          <w:rFonts w:hint="eastAsia" w:ascii="宋体" w:hAnsi="宋体" w:cs="宋体"/>
          <w:color w:val="auto"/>
          <w:sz w:val="28"/>
          <w:szCs w:val="28"/>
        </w:rPr>
        <w:fldChar w:fldCharType="end"/>
      </w:r>
    </w:p>
    <w:p>
      <w:pPr>
        <w:pStyle w:val="9"/>
        <w:keepNext w:val="0"/>
        <w:keepLines w:val="0"/>
        <w:pageBreakBefore w:val="0"/>
        <w:widowControl w:val="0"/>
        <w:tabs>
          <w:tab w:val="right" w:leader="dot" w:pos="9241"/>
        </w:tabs>
        <w:kinsoku/>
        <w:wordWrap/>
        <w:overflowPunct/>
        <w:topLinePunct w:val="0"/>
        <w:autoSpaceDE/>
        <w:autoSpaceDN/>
        <w:bidi w:val="0"/>
        <w:adjustRightInd/>
        <w:snapToGrid w:val="0"/>
        <w:spacing w:line="360" w:lineRule="auto"/>
        <w:textAlignment w:val="auto"/>
        <w:rPr>
          <w:color w:val="auto"/>
          <w:sz w:val="28"/>
          <w:szCs w:val="28"/>
        </w:rPr>
      </w:pPr>
      <w:r>
        <w:rPr>
          <w:color w:val="auto"/>
        </w:rPr>
        <w:fldChar w:fldCharType="begin"/>
      </w:r>
      <w:r>
        <w:rPr>
          <w:color w:val="auto"/>
        </w:rPr>
        <w:instrText xml:space="preserve"> HYPERLINK \l "_Toc27928" </w:instrText>
      </w:r>
      <w:r>
        <w:rPr>
          <w:color w:val="auto"/>
        </w:rPr>
        <w:fldChar w:fldCharType="separate"/>
      </w:r>
      <w:r>
        <w:rPr>
          <w:rFonts w:hint="eastAsia" w:ascii="宋体" w:hAnsi="宋体" w:cs="宋体"/>
          <w:color w:val="auto"/>
          <w:sz w:val="28"/>
          <w:szCs w:val="28"/>
        </w:rPr>
        <w:t>（</w:t>
      </w:r>
      <w:r>
        <w:rPr>
          <w:rFonts w:hint="eastAsia" w:ascii="宋体" w:hAnsi="宋体" w:cs="宋体"/>
          <w:color w:val="auto"/>
          <w:sz w:val="28"/>
          <w:szCs w:val="28"/>
          <w:lang w:eastAsia="zh-CN"/>
        </w:rPr>
        <w:t>十</w:t>
      </w:r>
      <w:r>
        <w:rPr>
          <w:rFonts w:hint="eastAsia" w:ascii="宋体" w:hAnsi="宋体" w:cs="宋体"/>
          <w:color w:val="auto"/>
          <w:sz w:val="28"/>
          <w:szCs w:val="28"/>
        </w:rPr>
        <w:t>）注册房地产估价师注册证书复印件</w:t>
      </w:r>
      <w:r>
        <w:rPr>
          <w:rFonts w:hint="eastAsia" w:ascii="宋体" w:hAnsi="宋体" w:cs="宋体"/>
          <w:color w:val="auto"/>
          <w:sz w:val="28"/>
          <w:szCs w:val="28"/>
        </w:rPr>
        <w:fldChar w:fldCharType="end"/>
      </w:r>
    </w:p>
    <w:p>
      <w:pPr>
        <w:snapToGrid w:val="0"/>
        <w:spacing w:line="360" w:lineRule="auto"/>
        <w:jc w:val="center"/>
        <w:rPr>
          <w:rFonts w:ascii="宋体" w:hAnsi="宋体" w:cs="宋体"/>
          <w:color w:val="auto"/>
          <w:sz w:val="36"/>
          <w:szCs w:val="36"/>
        </w:rPr>
      </w:pPr>
      <w:r>
        <w:rPr>
          <w:rFonts w:ascii="宋体" w:hAnsi="宋体" w:cs="宋体"/>
          <w:color w:val="auto"/>
          <w:sz w:val="28"/>
          <w:szCs w:val="28"/>
        </w:rPr>
        <w:fldChar w:fldCharType="end"/>
      </w:r>
    </w:p>
    <w:p>
      <w:pPr>
        <w:spacing w:line="360" w:lineRule="auto"/>
        <w:jc w:val="center"/>
        <w:rPr>
          <w:rFonts w:ascii="宋体" w:hAnsi="宋体" w:cs="宋体"/>
          <w:color w:val="auto"/>
          <w:sz w:val="36"/>
          <w:szCs w:val="36"/>
        </w:rPr>
      </w:pPr>
    </w:p>
    <w:p>
      <w:pPr>
        <w:spacing w:line="360" w:lineRule="auto"/>
        <w:jc w:val="center"/>
        <w:rPr>
          <w:rFonts w:ascii="宋体" w:hAnsi="宋体" w:cs="宋体"/>
          <w:color w:val="auto"/>
          <w:sz w:val="36"/>
          <w:szCs w:val="36"/>
        </w:rPr>
      </w:pPr>
    </w:p>
    <w:p>
      <w:pPr>
        <w:spacing w:line="360" w:lineRule="auto"/>
        <w:jc w:val="center"/>
        <w:rPr>
          <w:rFonts w:ascii="宋体" w:hAnsi="宋体" w:cs="宋体"/>
          <w:color w:val="auto"/>
          <w:sz w:val="36"/>
          <w:szCs w:val="36"/>
        </w:rPr>
      </w:pPr>
    </w:p>
    <w:p>
      <w:pPr>
        <w:spacing w:line="360" w:lineRule="auto"/>
        <w:jc w:val="center"/>
        <w:rPr>
          <w:rFonts w:ascii="宋体" w:hAnsi="宋体" w:cs="宋体"/>
          <w:color w:val="auto"/>
          <w:sz w:val="36"/>
          <w:szCs w:val="36"/>
        </w:rPr>
        <w:sectPr>
          <w:footerReference r:id="rId5" w:type="first"/>
          <w:footerReference r:id="rId4" w:type="default"/>
          <w:pgSz w:w="11906" w:h="16838"/>
          <w:pgMar w:top="1134" w:right="1304" w:bottom="1077" w:left="1361" w:header="851" w:footer="851" w:gutter="0"/>
          <w:pgNumType w:start="0"/>
          <w:cols w:space="720" w:num="1"/>
          <w:titlePg/>
          <w:docGrid w:linePitch="312" w:charSpace="0"/>
        </w:sectPr>
      </w:pPr>
    </w:p>
    <w:p>
      <w:pPr>
        <w:pStyle w:val="2"/>
        <w:jc w:val="center"/>
        <w:rPr>
          <w:rFonts w:ascii="宋体" w:hAnsi="宋体" w:cs="宋体"/>
          <w:color w:val="auto"/>
          <w:sz w:val="36"/>
          <w:szCs w:val="36"/>
        </w:rPr>
      </w:pPr>
      <w:bookmarkStart w:id="0" w:name="_Toc16189204"/>
      <w:bookmarkStart w:id="1" w:name="_Toc16665755"/>
      <w:bookmarkStart w:id="2" w:name="_Toc522873487"/>
      <w:bookmarkStart w:id="3" w:name="_Toc22423"/>
      <w:bookmarkStart w:id="4" w:name="_Toc16189041"/>
      <w:bookmarkStart w:id="5" w:name="_Toc15323"/>
      <w:bookmarkStart w:id="6" w:name="_Toc414265233"/>
      <w:bookmarkStart w:id="7" w:name="_Toc417220309"/>
      <w:bookmarkStart w:id="8" w:name="_Toc414265152"/>
      <w:bookmarkStart w:id="9" w:name="_Toc417214131"/>
      <w:bookmarkStart w:id="10" w:name="_Toc28890"/>
      <w:bookmarkStart w:id="11" w:name="_Toc521944352"/>
      <w:bookmarkStart w:id="12" w:name="_Toc417282111"/>
      <w:r>
        <w:rPr>
          <w:rFonts w:hint="eastAsia" w:ascii="宋体" w:hAnsi="宋体" w:cs="宋体"/>
          <w:color w:val="auto"/>
          <w:sz w:val="36"/>
          <w:szCs w:val="36"/>
        </w:rPr>
        <w:t>估价师声明</w:t>
      </w:r>
      <w:bookmarkEnd w:id="0"/>
      <w:bookmarkEnd w:id="1"/>
      <w:bookmarkEnd w:id="2"/>
      <w:bookmarkEnd w:id="3"/>
      <w:bookmarkEnd w:id="4"/>
      <w:bookmarkEnd w:id="5"/>
      <w:bookmarkEnd w:id="6"/>
      <w:bookmarkEnd w:id="7"/>
      <w:bookmarkEnd w:id="8"/>
      <w:bookmarkEnd w:id="9"/>
      <w:bookmarkEnd w:id="10"/>
      <w:bookmarkEnd w:id="11"/>
      <w:bookmarkEnd w:id="12"/>
    </w:p>
    <w:p>
      <w:pPr>
        <w:adjustRightInd w:val="0"/>
        <w:snapToGrid w:val="0"/>
        <w:spacing w:line="336" w:lineRule="auto"/>
        <w:ind w:firstLine="562"/>
        <w:rPr>
          <w:rFonts w:ascii="宋体" w:hAnsi="宋体" w:cs="宋体"/>
          <w:b/>
          <w:color w:val="auto"/>
          <w:sz w:val="28"/>
          <w:szCs w:val="28"/>
        </w:rPr>
      </w:pPr>
      <w:r>
        <w:rPr>
          <w:rFonts w:hint="eastAsia" w:ascii="宋体" w:hAnsi="宋体" w:cs="宋体"/>
          <w:b/>
          <w:color w:val="auto"/>
          <w:sz w:val="28"/>
          <w:szCs w:val="28"/>
        </w:rPr>
        <w:t>我们根据自己的专业知识和职业道德，在此郑重声明：</w:t>
      </w:r>
    </w:p>
    <w:p>
      <w:pPr>
        <w:adjustRightInd w:val="0"/>
        <w:snapToGrid w:val="0"/>
        <w:spacing w:line="336" w:lineRule="auto"/>
        <w:ind w:firstLine="560"/>
        <w:rPr>
          <w:rFonts w:ascii="宋体" w:hAnsi="宋体" w:cs="宋体"/>
          <w:color w:val="auto"/>
          <w:sz w:val="28"/>
          <w:szCs w:val="28"/>
        </w:rPr>
      </w:pPr>
      <w:r>
        <w:rPr>
          <w:rFonts w:hint="eastAsia" w:ascii="宋体" w:hAnsi="宋体" w:cs="宋体"/>
          <w:color w:val="auto"/>
          <w:sz w:val="28"/>
          <w:szCs w:val="28"/>
        </w:rPr>
        <w:t>1、我们在本评估报告中对事实的说明是真实的和准确的，没有虚假记载、误导性陈述和重大遗漏。</w:t>
      </w:r>
    </w:p>
    <w:p>
      <w:pPr>
        <w:adjustRightInd w:val="0"/>
        <w:snapToGrid w:val="0"/>
        <w:spacing w:line="336" w:lineRule="auto"/>
        <w:ind w:firstLine="560"/>
        <w:rPr>
          <w:rFonts w:ascii="宋体" w:hAnsi="宋体" w:cs="宋体"/>
          <w:color w:val="auto"/>
          <w:sz w:val="28"/>
          <w:szCs w:val="28"/>
        </w:rPr>
      </w:pPr>
      <w:r>
        <w:rPr>
          <w:rFonts w:hint="eastAsia" w:ascii="宋体" w:hAnsi="宋体" w:cs="宋体"/>
          <w:color w:val="auto"/>
          <w:sz w:val="28"/>
          <w:szCs w:val="28"/>
        </w:rPr>
        <w:t>2、本估价报告中的分析、意见和结论是我们独立、客观、公正的专业分析、意见和结论，但受到本估价报告中已经说明的估价假设和限制条件的限制。</w:t>
      </w:r>
    </w:p>
    <w:p>
      <w:pPr>
        <w:adjustRightInd w:val="0"/>
        <w:snapToGrid w:val="0"/>
        <w:spacing w:line="336" w:lineRule="auto"/>
        <w:ind w:firstLine="560"/>
        <w:rPr>
          <w:rFonts w:ascii="宋体" w:hAnsi="宋体" w:cs="宋体"/>
          <w:color w:val="auto"/>
          <w:sz w:val="28"/>
          <w:szCs w:val="28"/>
        </w:rPr>
      </w:pPr>
      <w:r>
        <w:rPr>
          <w:rFonts w:hint="eastAsia" w:ascii="宋体" w:hAnsi="宋体" w:cs="宋体"/>
          <w:color w:val="auto"/>
          <w:sz w:val="28"/>
          <w:szCs w:val="28"/>
        </w:rPr>
        <w:t>3、我们与本估价报告中的估价对象没有现实或潜在的利益，与估价委托人及估价利害关系人没有利害关系。</w:t>
      </w:r>
    </w:p>
    <w:p>
      <w:pPr>
        <w:adjustRightInd w:val="0"/>
        <w:snapToGrid w:val="0"/>
        <w:spacing w:line="336" w:lineRule="auto"/>
        <w:ind w:firstLine="560"/>
        <w:rPr>
          <w:rFonts w:ascii="宋体" w:hAnsi="宋体" w:cs="宋体"/>
          <w:color w:val="auto"/>
          <w:sz w:val="28"/>
          <w:szCs w:val="28"/>
        </w:rPr>
      </w:pPr>
      <w:r>
        <w:rPr>
          <w:rFonts w:hint="eastAsia" w:ascii="宋体" w:hAnsi="宋体" w:cs="宋体"/>
          <w:color w:val="auto"/>
          <w:sz w:val="28"/>
          <w:szCs w:val="28"/>
        </w:rPr>
        <w:t>4、我们对本估价报告中的估价对象、估价委托人及估价利害关系人没有偏见。</w:t>
      </w:r>
    </w:p>
    <w:p>
      <w:pPr>
        <w:adjustRightInd w:val="0"/>
        <w:snapToGrid w:val="0"/>
        <w:spacing w:line="336" w:lineRule="auto"/>
        <w:ind w:firstLine="560"/>
        <w:rPr>
          <w:rFonts w:ascii="宋体" w:hAnsi="宋体" w:cs="宋体"/>
          <w:color w:val="auto"/>
          <w:sz w:val="28"/>
          <w:szCs w:val="28"/>
        </w:rPr>
      </w:pPr>
      <w:r>
        <w:rPr>
          <w:rFonts w:hint="eastAsia" w:ascii="宋体" w:hAnsi="宋体" w:cs="宋体"/>
          <w:color w:val="auto"/>
          <w:sz w:val="28"/>
          <w:szCs w:val="28"/>
        </w:rPr>
        <w:t>5、我们依照中华人民共和国国家标准《房地产估价规范》（GB/T50291-2015）、《房地产估价基本术语标准》（GB/T50899-2013）、《城镇土地估价规程》（GB/T18508-2014）进行分析，形成意见和结论，撰写估价报告。</w:t>
      </w:r>
    </w:p>
    <w:p>
      <w:pPr>
        <w:adjustRightInd w:val="0"/>
        <w:snapToGrid w:val="0"/>
        <w:spacing w:line="336" w:lineRule="auto"/>
        <w:ind w:firstLine="561"/>
        <w:rPr>
          <w:rFonts w:ascii="宋体" w:hAnsi="宋体" w:cs="宋体"/>
          <w:color w:val="auto"/>
          <w:sz w:val="28"/>
          <w:szCs w:val="28"/>
        </w:rPr>
      </w:pPr>
      <w:r>
        <w:rPr>
          <w:rFonts w:hint="eastAsia" w:ascii="宋体" w:hAnsi="宋体" w:cs="宋体"/>
          <w:color w:val="auto"/>
          <w:sz w:val="28"/>
          <w:szCs w:val="28"/>
        </w:rPr>
        <w:t>6、我公司注册房地产估价师刘芳芳、黄加林于2020年03月18日对本估价报告中的估价对象进行了实地查勘、现场拍照和市场行情进行了调查。</w:t>
      </w:r>
    </w:p>
    <w:p>
      <w:pPr>
        <w:adjustRightInd w:val="0"/>
        <w:snapToGrid w:val="0"/>
        <w:spacing w:line="336" w:lineRule="auto"/>
        <w:ind w:firstLine="560"/>
        <w:rPr>
          <w:rFonts w:ascii="宋体" w:hAnsi="宋体" w:cs="宋体"/>
          <w:color w:val="auto"/>
          <w:sz w:val="28"/>
          <w:szCs w:val="28"/>
        </w:rPr>
      </w:pPr>
      <w:r>
        <w:rPr>
          <w:rFonts w:hint="eastAsia" w:ascii="宋体" w:hAnsi="宋体" w:cs="宋体"/>
          <w:color w:val="auto"/>
          <w:sz w:val="28"/>
          <w:szCs w:val="28"/>
        </w:rPr>
        <w:t>7、没有人对本估价报告提供重要专业帮助。</w:t>
      </w:r>
    </w:p>
    <w:p>
      <w:pPr>
        <w:spacing w:line="360" w:lineRule="auto"/>
        <w:ind w:firstLine="480" w:firstLineChars="150"/>
        <w:jc w:val="center"/>
        <w:rPr>
          <w:rFonts w:ascii="宋体" w:hAnsi="宋体" w:cs="宋体"/>
          <w:color w:val="auto"/>
          <w:sz w:val="32"/>
          <w:szCs w:val="32"/>
        </w:rPr>
      </w:pPr>
    </w:p>
    <w:p>
      <w:pPr>
        <w:spacing w:line="360" w:lineRule="auto"/>
        <w:ind w:firstLine="480" w:firstLineChars="150"/>
        <w:jc w:val="center"/>
        <w:rPr>
          <w:rFonts w:ascii="宋体" w:hAnsi="宋体" w:cs="宋体"/>
          <w:color w:val="auto"/>
          <w:sz w:val="32"/>
          <w:szCs w:val="32"/>
        </w:rPr>
      </w:pPr>
    </w:p>
    <w:p>
      <w:pPr>
        <w:spacing w:line="360" w:lineRule="auto"/>
        <w:ind w:firstLine="482" w:firstLineChars="150"/>
        <w:jc w:val="center"/>
        <w:rPr>
          <w:rFonts w:ascii="宋体" w:hAnsi="宋体" w:cs="宋体"/>
          <w:b/>
          <w:color w:val="auto"/>
          <w:sz w:val="32"/>
          <w:szCs w:val="32"/>
        </w:rPr>
      </w:pPr>
    </w:p>
    <w:p>
      <w:pPr>
        <w:adjustRightInd w:val="0"/>
        <w:snapToGrid w:val="0"/>
        <w:spacing w:line="396" w:lineRule="auto"/>
        <w:jc w:val="center"/>
        <w:rPr>
          <w:rFonts w:ascii="宋体" w:hAnsi="宋体" w:cs="宋体"/>
          <w:b/>
          <w:color w:val="auto"/>
          <w:sz w:val="32"/>
          <w:szCs w:val="32"/>
        </w:rPr>
      </w:pPr>
    </w:p>
    <w:p>
      <w:pPr>
        <w:adjustRightInd w:val="0"/>
        <w:snapToGrid w:val="0"/>
        <w:spacing w:line="396" w:lineRule="auto"/>
        <w:jc w:val="center"/>
        <w:rPr>
          <w:rFonts w:ascii="宋体" w:hAnsi="宋体" w:cs="宋体"/>
          <w:b/>
          <w:color w:val="auto"/>
          <w:sz w:val="32"/>
          <w:szCs w:val="32"/>
        </w:rPr>
      </w:pPr>
    </w:p>
    <w:p>
      <w:pPr>
        <w:pStyle w:val="2"/>
        <w:jc w:val="center"/>
        <w:rPr>
          <w:rFonts w:ascii="宋体" w:hAnsi="宋体" w:cs="宋体"/>
          <w:color w:val="auto"/>
          <w:sz w:val="32"/>
          <w:szCs w:val="32"/>
        </w:rPr>
        <w:sectPr>
          <w:footerReference r:id="rId6" w:type="default"/>
          <w:pgSz w:w="11906" w:h="16838"/>
          <w:pgMar w:top="1134" w:right="1304" w:bottom="1077" w:left="1361" w:header="851" w:footer="851" w:gutter="0"/>
          <w:pgNumType w:fmt="numberInDash" w:start="1"/>
          <w:cols w:space="720" w:num="1"/>
          <w:docGrid w:linePitch="312" w:charSpace="0"/>
        </w:sectPr>
      </w:pPr>
    </w:p>
    <w:p>
      <w:pPr>
        <w:pStyle w:val="3"/>
        <w:jc w:val="center"/>
        <w:rPr>
          <w:rFonts w:ascii="宋体" w:hAnsi="宋体" w:eastAsia="宋体" w:cs="宋体"/>
          <w:color w:val="auto"/>
        </w:rPr>
      </w:pPr>
      <w:bookmarkStart w:id="13" w:name="_Toc522873488"/>
      <w:bookmarkStart w:id="14" w:name="_Toc414265234"/>
      <w:bookmarkStart w:id="15" w:name="_Toc414265153"/>
      <w:bookmarkStart w:id="16" w:name="_Toc16665756"/>
      <w:bookmarkStart w:id="17" w:name="_Toc15014"/>
      <w:bookmarkStart w:id="18" w:name="_Toc26475"/>
      <w:bookmarkStart w:id="19" w:name="_Toc21775"/>
      <w:bookmarkStart w:id="20" w:name="_Toc16189205"/>
      <w:bookmarkStart w:id="21" w:name="_Toc16189042"/>
      <w:bookmarkStart w:id="22" w:name="_Toc521944353"/>
      <w:bookmarkStart w:id="23" w:name="_Toc417282112"/>
      <w:bookmarkStart w:id="24" w:name="_Toc417220310"/>
      <w:bookmarkStart w:id="25" w:name="_Toc417214132"/>
      <w:r>
        <w:rPr>
          <w:rFonts w:hint="eastAsia" w:ascii="宋体" w:hAnsi="宋体" w:eastAsia="宋体" w:cs="宋体"/>
          <w:color w:val="auto"/>
        </w:rPr>
        <w:t>估价假设和限制条件</w:t>
      </w:r>
      <w:bookmarkEnd w:id="13"/>
      <w:bookmarkEnd w:id="14"/>
      <w:bookmarkEnd w:id="15"/>
      <w:bookmarkEnd w:id="16"/>
      <w:bookmarkEnd w:id="17"/>
      <w:bookmarkEnd w:id="18"/>
      <w:bookmarkEnd w:id="19"/>
      <w:bookmarkEnd w:id="20"/>
      <w:bookmarkEnd w:id="21"/>
      <w:bookmarkEnd w:id="22"/>
      <w:bookmarkEnd w:id="23"/>
      <w:bookmarkEnd w:id="24"/>
      <w:bookmarkEnd w:id="25"/>
    </w:p>
    <w:p>
      <w:pPr>
        <w:adjustRightInd w:val="0"/>
        <w:snapToGrid w:val="0"/>
        <w:spacing w:line="360" w:lineRule="auto"/>
        <w:rPr>
          <w:rFonts w:ascii="宋体" w:hAnsi="宋体" w:cs="宋体"/>
          <w:b/>
          <w:bCs/>
          <w:color w:val="auto"/>
          <w:sz w:val="28"/>
          <w:szCs w:val="28"/>
        </w:rPr>
      </w:pPr>
      <w:r>
        <w:rPr>
          <w:rFonts w:hint="eastAsia" w:ascii="宋体" w:hAnsi="宋体" w:cs="宋体"/>
          <w:b/>
          <w:bCs/>
          <w:color w:val="auto"/>
          <w:sz w:val="28"/>
          <w:szCs w:val="28"/>
        </w:rPr>
        <w:t>一、一般假设</w:t>
      </w:r>
    </w:p>
    <w:p>
      <w:pPr>
        <w:adjustRightInd w:val="0"/>
        <w:snapToGrid w:val="0"/>
        <w:spacing w:line="360" w:lineRule="auto"/>
        <w:ind w:firstLine="630"/>
        <w:rPr>
          <w:rFonts w:ascii="宋体" w:hAnsi="宋体"/>
          <w:bCs/>
          <w:color w:val="auto"/>
          <w:sz w:val="28"/>
          <w:szCs w:val="28"/>
        </w:rPr>
      </w:pPr>
      <w:r>
        <w:rPr>
          <w:rFonts w:hint="eastAsia" w:ascii="宋体" w:hAnsi="宋体"/>
          <w:bCs/>
          <w:color w:val="auto"/>
          <w:sz w:val="28"/>
          <w:szCs w:val="28"/>
        </w:rPr>
        <w:t>1、</w:t>
      </w:r>
      <w:r>
        <w:rPr>
          <w:rFonts w:hint="eastAsia" w:ascii="宋体" w:hAnsi="宋体" w:cs="仿宋"/>
          <w:color w:val="auto"/>
          <w:sz w:val="28"/>
          <w:szCs w:val="28"/>
        </w:rPr>
        <w:t>估价对象范围内的房屋所有权及其占用土地使用权均为合法取得，并无权属争议。</w:t>
      </w:r>
    </w:p>
    <w:p>
      <w:pPr>
        <w:adjustRightInd w:val="0"/>
        <w:snapToGrid w:val="0"/>
        <w:spacing w:line="360" w:lineRule="auto"/>
        <w:ind w:firstLine="630"/>
        <w:rPr>
          <w:rFonts w:ascii="宋体" w:hAnsi="宋体" w:cs="仿宋"/>
          <w:color w:val="auto"/>
          <w:sz w:val="28"/>
          <w:szCs w:val="28"/>
        </w:rPr>
      </w:pPr>
      <w:r>
        <w:rPr>
          <w:rFonts w:hint="eastAsia" w:ascii="宋体" w:hAnsi="宋体"/>
          <w:bCs/>
          <w:color w:val="auto"/>
          <w:sz w:val="28"/>
          <w:szCs w:val="28"/>
        </w:rPr>
        <w:t>2、</w:t>
      </w:r>
      <w:r>
        <w:rPr>
          <w:rFonts w:hint="eastAsia" w:ascii="宋体" w:hAnsi="宋体" w:cs="仿宋"/>
          <w:color w:val="auto"/>
          <w:sz w:val="28"/>
          <w:szCs w:val="28"/>
        </w:rPr>
        <w:t>估价对象建筑物建立在建筑设计符合国家有关设计规范，建筑施工符合国家有关施工验收规范的基础上。</w:t>
      </w:r>
    </w:p>
    <w:p>
      <w:pPr>
        <w:adjustRightInd w:val="0"/>
        <w:snapToGrid w:val="0"/>
        <w:spacing w:line="360" w:lineRule="auto"/>
        <w:ind w:firstLine="630"/>
        <w:rPr>
          <w:rFonts w:ascii="宋体" w:hAnsi="宋体" w:cs="仿宋"/>
          <w:color w:val="auto"/>
          <w:sz w:val="28"/>
        </w:rPr>
      </w:pPr>
      <w:r>
        <w:rPr>
          <w:rFonts w:hint="eastAsia" w:ascii="宋体" w:hAnsi="宋体" w:cs="仿宋"/>
          <w:color w:val="auto"/>
          <w:sz w:val="28"/>
          <w:szCs w:val="28"/>
        </w:rPr>
        <w:t>3、</w:t>
      </w:r>
      <w:r>
        <w:rPr>
          <w:rFonts w:hint="eastAsia" w:ascii="宋体" w:hAnsi="宋体" w:cs="仿宋"/>
          <w:color w:val="auto"/>
          <w:sz w:val="28"/>
        </w:rPr>
        <w:t>本次估价未对且无专业机构对估价对象做建筑物基础和结构上的鉴定和检测，评估假设其无基础、结构等方面的重大质量安全问题。</w:t>
      </w:r>
    </w:p>
    <w:p>
      <w:pPr>
        <w:adjustRightInd w:val="0"/>
        <w:snapToGrid w:val="0"/>
        <w:spacing w:line="336" w:lineRule="auto"/>
        <w:ind w:firstLine="630"/>
        <w:rPr>
          <w:rFonts w:ascii="宋体" w:hAnsi="宋体" w:cs="仿宋"/>
          <w:color w:val="auto"/>
          <w:sz w:val="28"/>
          <w:szCs w:val="28"/>
        </w:rPr>
      </w:pPr>
      <w:r>
        <w:rPr>
          <w:rFonts w:hint="eastAsia" w:ascii="宋体" w:hAnsi="宋体" w:cs="仿宋"/>
          <w:color w:val="auto"/>
          <w:sz w:val="28"/>
        </w:rPr>
        <w:t>4、本次估价未对且无专业机构对估价对象范围内做环境污染的监测，评估假设其无因环境污染造成价值减损的重大环境质量问题。</w:t>
      </w:r>
    </w:p>
    <w:p>
      <w:pPr>
        <w:adjustRightInd w:val="0"/>
        <w:snapToGrid w:val="0"/>
        <w:spacing w:line="360" w:lineRule="auto"/>
        <w:ind w:firstLine="630"/>
        <w:rPr>
          <w:rFonts w:ascii="宋体" w:hAnsi="宋体"/>
          <w:bCs/>
          <w:color w:val="auto"/>
          <w:sz w:val="28"/>
          <w:szCs w:val="28"/>
        </w:rPr>
      </w:pPr>
      <w:r>
        <w:rPr>
          <w:rFonts w:hint="eastAsia" w:ascii="宋体" w:hAnsi="宋体" w:cs="仿宋"/>
          <w:color w:val="auto"/>
          <w:sz w:val="28"/>
          <w:szCs w:val="28"/>
        </w:rPr>
        <w:t>5、估价委托而提供的资料合法、真实、准确、完整。</w:t>
      </w:r>
    </w:p>
    <w:p>
      <w:pPr>
        <w:adjustRightInd w:val="0"/>
        <w:snapToGrid w:val="0"/>
        <w:spacing w:line="360" w:lineRule="auto"/>
        <w:ind w:firstLine="630"/>
        <w:rPr>
          <w:rFonts w:ascii="宋体" w:hAnsi="宋体"/>
          <w:bCs/>
          <w:color w:val="auto"/>
          <w:sz w:val="28"/>
          <w:szCs w:val="28"/>
        </w:rPr>
      </w:pPr>
      <w:r>
        <w:rPr>
          <w:rFonts w:hint="eastAsia" w:ascii="宋体" w:hAnsi="宋体"/>
          <w:bCs/>
          <w:color w:val="auto"/>
          <w:sz w:val="28"/>
          <w:szCs w:val="28"/>
        </w:rPr>
        <w:t>6、估价对象的产权面积来源于委托人提供的《国有土地使用权》、《房屋所有权证》及同心联谊（文）测字（2020）第21号《</w:t>
      </w:r>
      <w:r>
        <w:rPr>
          <w:rFonts w:hint="eastAsia" w:ascii="宋体" w:hAnsi="宋体" w:cs="宋体"/>
          <w:bCs/>
          <w:color w:val="auto"/>
          <w:sz w:val="28"/>
          <w:szCs w:val="28"/>
          <w:shd w:val="solid" w:color="FFFFFF" w:fill="auto"/>
        </w:rPr>
        <w:t>何忠慰位于平远镇新平社区小黑山</w:t>
      </w:r>
      <w:r>
        <w:rPr>
          <w:rFonts w:hint="eastAsia" w:ascii="宋体" w:hAnsi="宋体" w:cs="宋体"/>
          <w:bCs/>
          <w:color w:val="auto"/>
          <w:spacing w:val="30"/>
          <w:kern w:val="52"/>
          <w:position w:val="2"/>
          <w:sz w:val="28"/>
          <w:szCs w:val="28"/>
          <w:shd w:val="solid" w:color="FFFFFF" w:fill="auto"/>
        </w:rPr>
        <w:t>建构筑物面积测算报告</w:t>
      </w:r>
      <w:r>
        <w:rPr>
          <w:rFonts w:hint="eastAsia" w:ascii="宋体" w:hAnsi="宋体"/>
          <w:bCs/>
          <w:color w:val="auto"/>
          <w:sz w:val="28"/>
          <w:szCs w:val="28"/>
        </w:rPr>
        <w:t>》，若与实际不符，应据实调整评估价值。</w:t>
      </w:r>
    </w:p>
    <w:p>
      <w:pPr>
        <w:adjustRightInd w:val="0"/>
        <w:snapToGrid w:val="0"/>
        <w:spacing w:line="360" w:lineRule="auto"/>
        <w:ind w:firstLine="630"/>
        <w:rPr>
          <w:rFonts w:ascii="宋体" w:hAnsi="宋体" w:cs="宋体"/>
          <w:color w:val="auto"/>
          <w:sz w:val="28"/>
          <w:szCs w:val="28"/>
        </w:rPr>
      </w:pPr>
      <w:r>
        <w:rPr>
          <w:rFonts w:hint="eastAsia" w:ascii="宋体" w:hAnsi="宋体"/>
          <w:bCs/>
          <w:color w:val="auto"/>
          <w:sz w:val="28"/>
          <w:szCs w:val="28"/>
        </w:rPr>
        <w:t>7、假设估价对象在价值时点的状况与实地查勘完成之日的状况一致。</w:t>
      </w:r>
    </w:p>
    <w:p>
      <w:pPr>
        <w:adjustRightInd w:val="0"/>
        <w:snapToGrid w:val="0"/>
        <w:spacing w:line="360" w:lineRule="auto"/>
        <w:rPr>
          <w:rFonts w:ascii="宋体" w:hAnsi="宋体" w:cs="宋体"/>
          <w:b/>
          <w:bCs/>
          <w:color w:val="auto"/>
          <w:sz w:val="28"/>
          <w:szCs w:val="28"/>
        </w:rPr>
      </w:pPr>
      <w:r>
        <w:rPr>
          <w:rFonts w:hint="eastAsia" w:ascii="宋体" w:hAnsi="宋体" w:cs="宋体"/>
          <w:b/>
          <w:bCs/>
          <w:color w:val="auto"/>
          <w:sz w:val="28"/>
          <w:szCs w:val="28"/>
        </w:rPr>
        <w:t>二、未定事项假设</w:t>
      </w:r>
    </w:p>
    <w:p>
      <w:pPr>
        <w:adjustRightInd w:val="0"/>
        <w:snapToGrid w:val="0"/>
        <w:spacing w:line="360" w:lineRule="auto"/>
        <w:ind w:firstLine="560"/>
        <w:rPr>
          <w:rFonts w:ascii="宋体" w:hAnsi="宋体" w:cs="宋体"/>
          <w:bCs/>
          <w:color w:val="auto"/>
          <w:sz w:val="28"/>
          <w:szCs w:val="28"/>
        </w:rPr>
      </w:pPr>
      <w:r>
        <w:rPr>
          <w:rFonts w:hint="eastAsia" w:ascii="宋体" w:hAnsi="宋体" w:cs="宋体"/>
          <w:bCs/>
          <w:color w:val="auto"/>
          <w:sz w:val="28"/>
          <w:szCs w:val="28"/>
        </w:rPr>
        <w:t xml:space="preserve">无未定事项假设。  </w:t>
      </w:r>
    </w:p>
    <w:p>
      <w:pPr>
        <w:adjustRightInd w:val="0"/>
        <w:snapToGrid w:val="0"/>
        <w:spacing w:line="360" w:lineRule="auto"/>
        <w:rPr>
          <w:rFonts w:ascii="宋体" w:hAnsi="宋体" w:cs="宋体"/>
          <w:b/>
          <w:bCs/>
          <w:color w:val="auto"/>
          <w:sz w:val="28"/>
          <w:szCs w:val="28"/>
        </w:rPr>
      </w:pPr>
      <w:r>
        <w:rPr>
          <w:rFonts w:hint="eastAsia" w:ascii="宋体" w:hAnsi="宋体" w:cs="宋体"/>
          <w:b/>
          <w:bCs/>
          <w:color w:val="auto"/>
          <w:sz w:val="28"/>
          <w:szCs w:val="28"/>
        </w:rPr>
        <w:t>三、背离实际情况假设</w:t>
      </w:r>
    </w:p>
    <w:p>
      <w:pPr>
        <w:pStyle w:val="10"/>
        <w:adjustRightInd w:val="0"/>
        <w:snapToGrid w:val="0"/>
        <w:spacing w:line="360" w:lineRule="auto"/>
        <w:ind w:firstLine="560" w:firstLineChars="200"/>
        <w:rPr>
          <w:rFonts w:hAnsi="宋体" w:cs="宋体"/>
          <w:bCs/>
          <w:color w:val="auto"/>
          <w:sz w:val="28"/>
          <w:szCs w:val="28"/>
        </w:rPr>
      </w:pPr>
      <w:r>
        <w:rPr>
          <w:rFonts w:hint="eastAsia" w:hAnsi="宋体" w:cs="宋体"/>
          <w:bCs/>
          <w:color w:val="auto"/>
          <w:sz w:val="28"/>
          <w:szCs w:val="28"/>
        </w:rPr>
        <w:t>本报告的估价结果为房地产市场价值，由熟悉情况的交易双方以公平交易方式在评估时点自愿进行交易的金额，不考虑房屋抵押、查封等因素对估价结果的影响。</w:t>
      </w:r>
    </w:p>
    <w:p>
      <w:pPr>
        <w:adjustRightInd w:val="0"/>
        <w:snapToGrid w:val="0"/>
        <w:spacing w:line="360" w:lineRule="auto"/>
        <w:rPr>
          <w:rFonts w:ascii="宋体" w:hAnsi="宋体" w:cs="宋体"/>
          <w:b/>
          <w:bCs/>
          <w:color w:val="auto"/>
          <w:sz w:val="28"/>
          <w:szCs w:val="28"/>
        </w:rPr>
      </w:pPr>
      <w:r>
        <w:rPr>
          <w:rFonts w:hint="eastAsia" w:ascii="宋体" w:hAnsi="宋体" w:cs="宋体"/>
          <w:b/>
          <w:bCs/>
          <w:color w:val="auto"/>
          <w:sz w:val="28"/>
          <w:szCs w:val="28"/>
        </w:rPr>
        <w:t>四、不相一致假设</w:t>
      </w:r>
    </w:p>
    <w:p>
      <w:pPr>
        <w:adjustRightInd w:val="0"/>
        <w:snapToGrid w:val="0"/>
        <w:spacing w:line="360" w:lineRule="auto"/>
        <w:ind w:firstLine="560"/>
        <w:rPr>
          <w:rFonts w:ascii="宋体" w:hAnsi="宋体" w:cs="宋体"/>
          <w:bCs/>
          <w:color w:val="auto"/>
          <w:sz w:val="28"/>
          <w:szCs w:val="28"/>
        </w:rPr>
      </w:pPr>
      <w:r>
        <w:rPr>
          <w:rFonts w:hint="eastAsia" w:ascii="宋体" w:hAnsi="宋体" w:cs="宋体"/>
          <w:bCs/>
          <w:color w:val="auto"/>
          <w:sz w:val="28"/>
          <w:szCs w:val="28"/>
        </w:rPr>
        <w:t>无不相一致假设。</w:t>
      </w:r>
    </w:p>
    <w:p>
      <w:pPr>
        <w:adjustRightInd w:val="0"/>
        <w:snapToGrid w:val="0"/>
        <w:spacing w:line="360" w:lineRule="auto"/>
        <w:rPr>
          <w:rFonts w:ascii="宋体" w:hAnsi="宋体" w:cs="宋体"/>
          <w:b/>
          <w:bCs/>
          <w:color w:val="auto"/>
          <w:sz w:val="28"/>
          <w:szCs w:val="28"/>
        </w:rPr>
      </w:pPr>
      <w:r>
        <w:rPr>
          <w:rFonts w:hint="eastAsia" w:ascii="宋体" w:hAnsi="宋体" w:cs="宋体"/>
          <w:b/>
          <w:bCs/>
          <w:color w:val="auto"/>
          <w:sz w:val="28"/>
          <w:szCs w:val="28"/>
        </w:rPr>
        <w:t>五、依据不足假设</w:t>
      </w:r>
    </w:p>
    <w:p>
      <w:pPr>
        <w:adjustRightInd w:val="0"/>
        <w:snapToGrid w:val="0"/>
        <w:spacing w:line="360" w:lineRule="auto"/>
        <w:ind w:firstLine="560"/>
        <w:rPr>
          <w:rFonts w:ascii="宋体" w:hAnsi="宋体"/>
          <w:color w:val="auto"/>
          <w:sz w:val="28"/>
          <w:szCs w:val="28"/>
        </w:rPr>
      </w:pPr>
      <w:r>
        <w:rPr>
          <w:rFonts w:hint="eastAsia" w:ascii="宋体" w:hAnsi="宋体"/>
          <w:color w:val="auto"/>
          <w:sz w:val="28"/>
          <w:szCs w:val="28"/>
        </w:rPr>
        <w:t>（1）估价所需的《宗地用地规划设计条件》等资料，注册房地产估价师虽然进行了尽职调查，但仍难以取得，故本次评估根据</w:t>
      </w:r>
      <w:r>
        <w:rPr>
          <w:rFonts w:hint="eastAsia" w:ascii="宋体" w:hAnsi="宋体" w:cs="宋体"/>
          <w:color w:val="auto"/>
          <w:sz w:val="28"/>
          <w:szCs w:val="28"/>
        </w:rPr>
        <w:t>《砚山县平远镇城镇总体规划修编》</w:t>
      </w:r>
      <w:r>
        <w:rPr>
          <w:rFonts w:hint="eastAsia" w:ascii="宋体" w:hAnsi="宋体"/>
          <w:color w:val="auto"/>
          <w:sz w:val="28"/>
          <w:szCs w:val="28"/>
        </w:rPr>
        <w:t>确定的该宗地平均容积率为1.2。</w:t>
      </w:r>
    </w:p>
    <w:p>
      <w:pPr>
        <w:adjustRightInd w:val="0"/>
        <w:snapToGrid w:val="0"/>
        <w:spacing w:line="336" w:lineRule="auto"/>
        <w:ind w:firstLine="630"/>
        <w:rPr>
          <w:rFonts w:ascii="宋体" w:hAnsi="宋体" w:cs="宋体"/>
          <w:color w:val="auto"/>
          <w:sz w:val="28"/>
          <w:szCs w:val="28"/>
        </w:rPr>
      </w:pPr>
      <w:r>
        <w:rPr>
          <w:rFonts w:hint="eastAsia" w:ascii="宋体" w:hAnsi="宋体"/>
          <w:color w:val="auto"/>
          <w:sz w:val="28"/>
          <w:szCs w:val="28"/>
        </w:rPr>
        <w:t>（2）</w:t>
      </w:r>
      <w:r>
        <w:rPr>
          <w:rFonts w:hint="eastAsia" w:ascii="宋体" w:hAnsi="宋体"/>
          <w:color w:val="auto"/>
          <w:spacing w:val="10"/>
          <w:sz w:val="28"/>
          <w:szCs w:val="28"/>
        </w:rPr>
        <w:t>根据调查</w:t>
      </w:r>
      <w:r>
        <w:rPr>
          <w:rFonts w:hint="eastAsia" w:ascii="宋体" w:hAnsi="宋体"/>
          <w:color w:val="auto"/>
          <w:sz w:val="28"/>
          <w:szCs w:val="28"/>
        </w:rPr>
        <w:t>砚山县是现行建筑工程市场，</w:t>
      </w:r>
      <w:r>
        <w:rPr>
          <w:rFonts w:hint="eastAsia" w:ascii="宋体" w:hAnsi="宋体"/>
          <w:color w:val="auto"/>
          <w:spacing w:val="10"/>
          <w:sz w:val="28"/>
          <w:szCs w:val="28"/>
        </w:rPr>
        <w:t>假设估价对象开发周期为1年</w:t>
      </w:r>
      <w:r>
        <w:rPr>
          <w:rFonts w:hint="eastAsia" w:ascii="宋体" w:hAnsi="宋体" w:cs="宋体"/>
          <w:color w:val="auto"/>
          <w:sz w:val="28"/>
          <w:szCs w:val="28"/>
        </w:rPr>
        <w:t>。</w:t>
      </w:r>
    </w:p>
    <w:p>
      <w:pPr>
        <w:adjustRightInd w:val="0"/>
        <w:snapToGrid w:val="0"/>
        <w:spacing w:line="360" w:lineRule="auto"/>
        <w:rPr>
          <w:rFonts w:ascii="宋体" w:hAnsi="宋体" w:cs="宋体"/>
          <w:b/>
          <w:bCs/>
          <w:color w:val="auto"/>
          <w:sz w:val="28"/>
          <w:szCs w:val="28"/>
        </w:rPr>
      </w:pPr>
      <w:r>
        <w:rPr>
          <w:rFonts w:hint="eastAsia" w:ascii="宋体" w:hAnsi="宋体" w:cs="宋体"/>
          <w:b/>
          <w:bCs/>
          <w:color w:val="auto"/>
          <w:sz w:val="28"/>
          <w:szCs w:val="28"/>
        </w:rPr>
        <w:t>六、估价报告使用的限制条件</w:t>
      </w:r>
    </w:p>
    <w:p>
      <w:pPr>
        <w:adjustRightInd w:val="0"/>
        <w:snapToGrid w:val="0"/>
        <w:spacing w:line="360" w:lineRule="auto"/>
        <w:ind w:firstLine="630"/>
        <w:rPr>
          <w:rFonts w:ascii="宋体" w:hAnsi="宋体"/>
          <w:color w:val="auto"/>
          <w:sz w:val="28"/>
          <w:szCs w:val="28"/>
        </w:rPr>
      </w:pPr>
      <w:r>
        <w:rPr>
          <w:rFonts w:hint="eastAsia" w:ascii="宋体" w:hAnsi="宋体"/>
          <w:bCs/>
          <w:color w:val="auto"/>
          <w:sz w:val="28"/>
          <w:szCs w:val="28"/>
        </w:rPr>
        <w:t>1、</w:t>
      </w:r>
      <w:r>
        <w:rPr>
          <w:rFonts w:hint="eastAsia" w:ascii="宋体" w:hAnsi="宋体"/>
          <w:color w:val="auto"/>
          <w:sz w:val="28"/>
          <w:szCs w:val="28"/>
        </w:rPr>
        <w:t>在满足上述全部假设和限制条件下，方可使用本报告估价结果。</w:t>
      </w:r>
    </w:p>
    <w:p>
      <w:pPr>
        <w:adjustRightInd w:val="0"/>
        <w:snapToGrid w:val="0"/>
        <w:spacing w:line="360" w:lineRule="auto"/>
        <w:ind w:firstLine="630"/>
        <w:rPr>
          <w:rFonts w:ascii="宋体" w:hAnsi="宋体"/>
          <w:color w:val="auto"/>
          <w:sz w:val="28"/>
          <w:szCs w:val="28"/>
        </w:rPr>
      </w:pPr>
      <w:r>
        <w:rPr>
          <w:rFonts w:hint="eastAsia" w:ascii="宋体" w:hAnsi="宋体"/>
          <w:bCs/>
          <w:color w:val="auto"/>
          <w:sz w:val="28"/>
          <w:szCs w:val="28"/>
        </w:rPr>
        <w:t>2、</w:t>
      </w:r>
      <w:r>
        <w:rPr>
          <w:rFonts w:hint="eastAsia" w:ascii="宋体" w:hAnsi="宋体"/>
          <w:color w:val="auto"/>
          <w:sz w:val="28"/>
          <w:szCs w:val="28"/>
        </w:rPr>
        <w:t>本报告必须完整使用为有效。</w:t>
      </w:r>
    </w:p>
    <w:p>
      <w:pPr>
        <w:adjustRightInd w:val="0"/>
        <w:snapToGrid w:val="0"/>
        <w:spacing w:line="360" w:lineRule="auto"/>
        <w:ind w:firstLine="630"/>
        <w:rPr>
          <w:rFonts w:ascii="宋体" w:hAnsi="宋体"/>
          <w:color w:val="auto"/>
          <w:sz w:val="28"/>
          <w:szCs w:val="28"/>
        </w:rPr>
      </w:pPr>
      <w:r>
        <w:rPr>
          <w:rFonts w:hint="eastAsia" w:ascii="宋体" w:hAnsi="宋体"/>
          <w:bCs/>
          <w:color w:val="auto"/>
          <w:sz w:val="28"/>
          <w:szCs w:val="28"/>
        </w:rPr>
        <w:t>3、</w:t>
      </w:r>
      <w:r>
        <w:rPr>
          <w:rFonts w:hint="eastAsia" w:ascii="宋体" w:hAnsi="宋体"/>
          <w:color w:val="auto"/>
          <w:sz w:val="28"/>
          <w:szCs w:val="28"/>
        </w:rPr>
        <w:t>本报告估价结果仅为委托方司法拍卖估价对象提供市场价值参考依据，不作它用。</w:t>
      </w:r>
    </w:p>
    <w:p>
      <w:pPr>
        <w:adjustRightInd w:val="0"/>
        <w:snapToGrid w:val="0"/>
        <w:spacing w:line="360" w:lineRule="auto"/>
        <w:ind w:firstLine="630"/>
        <w:rPr>
          <w:rFonts w:ascii="宋体" w:hAnsi="宋体"/>
          <w:color w:val="auto"/>
          <w:sz w:val="28"/>
          <w:szCs w:val="28"/>
        </w:rPr>
      </w:pPr>
      <w:r>
        <w:rPr>
          <w:rFonts w:hint="eastAsia" w:ascii="宋体" w:hAnsi="宋体"/>
          <w:color w:val="auto"/>
          <w:sz w:val="28"/>
          <w:szCs w:val="28"/>
        </w:rPr>
        <w:t>4、估价对象的使用和运作方式符合国家和</w:t>
      </w:r>
      <w:r>
        <w:rPr>
          <w:rFonts w:hint="eastAsia" w:ascii="宋体" w:hAnsi="宋体" w:cs="宋体"/>
          <w:color w:val="auto"/>
          <w:sz w:val="28"/>
          <w:szCs w:val="28"/>
        </w:rPr>
        <w:t>云南省、文山州、砚山县、平远镇</w:t>
      </w:r>
      <w:r>
        <w:rPr>
          <w:rFonts w:hint="eastAsia" w:ascii="宋体" w:hAnsi="宋体"/>
          <w:color w:val="auto"/>
          <w:sz w:val="28"/>
          <w:szCs w:val="28"/>
        </w:rPr>
        <w:t>相关的法律、法规和政策规定。</w:t>
      </w:r>
    </w:p>
    <w:p>
      <w:pPr>
        <w:spacing w:line="360" w:lineRule="auto"/>
        <w:ind w:firstLine="700" w:firstLineChars="250"/>
        <w:rPr>
          <w:rFonts w:ascii="宋体" w:hAnsi="宋体"/>
          <w:color w:val="auto"/>
          <w:sz w:val="28"/>
          <w:szCs w:val="28"/>
        </w:rPr>
      </w:pPr>
      <w:r>
        <w:rPr>
          <w:rFonts w:hint="eastAsia" w:ascii="宋体" w:hAnsi="宋体"/>
          <w:color w:val="auto"/>
          <w:sz w:val="28"/>
          <w:szCs w:val="28"/>
        </w:rPr>
        <w:t>5、未经本公司同意，不得向委托方和估价报告审查部门之外的单位和个人提供本报告，报告的全部和部分内容未经许可不得发表于任何公开媒体上。</w:t>
      </w:r>
    </w:p>
    <w:p>
      <w:pPr>
        <w:spacing w:line="360" w:lineRule="auto"/>
        <w:ind w:firstLine="700" w:firstLineChars="250"/>
        <w:rPr>
          <w:rFonts w:ascii="宋体" w:hAnsi="宋体"/>
          <w:color w:val="auto"/>
          <w:sz w:val="28"/>
          <w:szCs w:val="28"/>
        </w:rPr>
      </w:pPr>
      <w:r>
        <w:rPr>
          <w:rFonts w:hint="eastAsia" w:ascii="宋体" w:hAnsi="宋体"/>
          <w:color w:val="auto"/>
          <w:sz w:val="28"/>
          <w:szCs w:val="28"/>
        </w:rPr>
        <w:t>6、本评估报告应用有效期为一年（</w:t>
      </w:r>
      <w:r>
        <w:rPr>
          <w:rFonts w:hint="eastAsia" w:ascii="宋体" w:hAnsi="宋体" w:cs="宋体"/>
          <w:color w:val="auto"/>
          <w:sz w:val="28"/>
          <w:szCs w:val="28"/>
        </w:rPr>
        <w:t>自</w:t>
      </w:r>
      <w:r>
        <w:rPr>
          <w:rFonts w:hint="eastAsia" w:ascii="宋体" w:hAnsi="宋体" w:cs="宋体"/>
          <w:bCs/>
          <w:color w:val="auto"/>
          <w:sz w:val="28"/>
          <w:szCs w:val="28"/>
        </w:rPr>
        <w:t>2020年4月20日</w:t>
      </w:r>
      <w:r>
        <w:rPr>
          <w:rFonts w:hint="eastAsia" w:ascii="宋体" w:hAnsi="宋体" w:cs="宋体"/>
          <w:color w:val="auto"/>
          <w:sz w:val="28"/>
          <w:szCs w:val="28"/>
        </w:rPr>
        <w:t>起至2021年4月19日止</w:t>
      </w:r>
      <w:r>
        <w:rPr>
          <w:rFonts w:hint="eastAsia" w:ascii="宋体" w:hAnsi="宋体"/>
          <w:color w:val="auto"/>
          <w:sz w:val="28"/>
          <w:szCs w:val="28"/>
        </w:rPr>
        <w:t>）。即估价目的在报告完成后的一年内实现，超过一年或市场变化较快对估价结果产生明显影响时，估价结果应作相应调整或重新估价。</w:t>
      </w:r>
    </w:p>
    <w:p>
      <w:pPr>
        <w:spacing w:line="360" w:lineRule="auto"/>
        <w:ind w:firstLine="700" w:firstLineChars="250"/>
        <w:rPr>
          <w:rFonts w:ascii="宋体" w:hAnsi="宋体"/>
          <w:color w:val="auto"/>
          <w:sz w:val="28"/>
          <w:szCs w:val="28"/>
        </w:rPr>
      </w:pPr>
      <w:r>
        <w:rPr>
          <w:rFonts w:hint="eastAsia" w:ascii="宋体" w:hAnsi="宋体"/>
          <w:color w:val="auto"/>
          <w:sz w:val="28"/>
          <w:szCs w:val="28"/>
        </w:rPr>
        <w:t>7、本估价报告经估价机构加盖公章、法定代表人签名（或盖章）及注册房地产估价师签名后有效。</w:t>
      </w:r>
    </w:p>
    <w:p>
      <w:pPr>
        <w:spacing w:line="360" w:lineRule="auto"/>
        <w:ind w:firstLine="700" w:firstLineChars="250"/>
        <w:rPr>
          <w:rFonts w:ascii="宋体" w:hAnsi="宋体"/>
          <w:color w:val="auto"/>
          <w:sz w:val="28"/>
          <w:szCs w:val="28"/>
        </w:rPr>
      </w:pPr>
      <w:r>
        <w:rPr>
          <w:rFonts w:hint="eastAsia" w:ascii="宋体" w:hAnsi="宋体"/>
          <w:color w:val="auto"/>
          <w:sz w:val="28"/>
          <w:szCs w:val="28"/>
        </w:rPr>
        <w:t>8、</w:t>
      </w:r>
      <w:r>
        <w:rPr>
          <w:rFonts w:hint="eastAsia" w:ascii="宋体" w:hAnsi="宋体" w:cs="宋体"/>
          <w:color w:val="auto"/>
          <w:sz w:val="28"/>
          <w:szCs w:val="28"/>
        </w:rPr>
        <w:t>本报告一式六份，五份提交委托方，一份留存本公司</w:t>
      </w:r>
      <w:r>
        <w:rPr>
          <w:rFonts w:hint="eastAsia" w:ascii="宋体" w:hAnsi="宋体"/>
          <w:color w:val="auto"/>
          <w:sz w:val="28"/>
          <w:szCs w:val="28"/>
        </w:rPr>
        <w:t>。</w:t>
      </w:r>
    </w:p>
    <w:p>
      <w:pPr>
        <w:spacing w:line="360" w:lineRule="auto"/>
        <w:ind w:firstLine="700" w:firstLineChars="250"/>
        <w:rPr>
          <w:rFonts w:ascii="宋体" w:hAnsi="宋体" w:cs="宋体"/>
          <w:bCs/>
          <w:color w:val="auto"/>
          <w:sz w:val="28"/>
          <w:szCs w:val="28"/>
        </w:rPr>
      </w:pPr>
      <w:r>
        <w:rPr>
          <w:rFonts w:hint="eastAsia" w:ascii="宋体" w:hAnsi="宋体"/>
          <w:color w:val="auto"/>
          <w:sz w:val="28"/>
          <w:szCs w:val="28"/>
        </w:rPr>
        <w:t>9、本报告由文山同心联谊房地产评估有限公司负责解释。</w:t>
      </w:r>
    </w:p>
    <w:p>
      <w:pPr>
        <w:adjustRightInd w:val="0"/>
        <w:snapToGrid w:val="0"/>
        <w:spacing w:line="360" w:lineRule="auto"/>
        <w:ind w:firstLine="560"/>
        <w:rPr>
          <w:rFonts w:ascii="宋体" w:hAnsi="宋体" w:cs="宋体"/>
          <w:color w:val="auto"/>
          <w:spacing w:val="10"/>
          <w:sz w:val="32"/>
          <w:szCs w:val="32"/>
        </w:rPr>
      </w:pPr>
    </w:p>
    <w:p>
      <w:pPr>
        <w:pStyle w:val="2"/>
        <w:jc w:val="center"/>
        <w:rPr>
          <w:rFonts w:ascii="宋体" w:hAnsi="宋体" w:cs="宋体"/>
          <w:color w:val="auto"/>
          <w:sz w:val="32"/>
          <w:szCs w:val="32"/>
        </w:rPr>
        <w:sectPr>
          <w:pgSz w:w="11906" w:h="16838"/>
          <w:pgMar w:top="1134" w:right="1304" w:bottom="1077" w:left="1361" w:header="851" w:footer="851" w:gutter="0"/>
          <w:pgNumType w:fmt="numberInDash"/>
          <w:cols w:space="720" w:num="1"/>
          <w:docGrid w:linePitch="312" w:charSpace="0"/>
        </w:sectPr>
      </w:pPr>
    </w:p>
    <w:p>
      <w:pPr>
        <w:pStyle w:val="2"/>
        <w:jc w:val="center"/>
        <w:rPr>
          <w:rFonts w:ascii="宋体" w:hAnsi="宋体" w:cs="宋体"/>
          <w:color w:val="auto"/>
          <w:sz w:val="36"/>
          <w:szCs w:val="36"/>
        </w:rPr>
      </w:pPr>
      <w:bookmarkStart w:id="26" w:name="_Toc417220311"/>
      <w:bookmarkStart w:id="27" w:name="_Toc414265235"/>
      <w:bookmarkStart w:id="28" w:name="_Toc522873489"/>
      <w:bookmarkStart w:id="29" w:name="_Toc2135"/>
      <w:bookmarkStart w:id="30" w:name="_Toc16665757"/>
      <w:bookmarkStart w:id="31" w:name="_Toc16189206"/>
      <w:bookmarkStart w:id="32" w:name="_Toc3695"/>
      <w:bookmarkStart w:id="33" w:name="_Toc417214133"/>
      <w:bookmarkStart w:id="34" w:name="_Toc417282113"/>
      <w:bookmarkStart w:id="35" w:name="_Toc414265154"/>
      <w:bookmarkStart w:id="36" w:name="_Toc25552"/>
      <w:bookmarkStart w:id="37" w:name="_Toc521944354"/>
      <w:bookmarkStart w:id="38" w:name="_Toc16189043"/>
      <w:r>
        <w:rPr>
          <w:rFonts w:hint="eastAsia" w:ascii="宋体" w:hAnsi="宋体" w:cs="宋体"/>
          <w:color w:val="auto"/>
          <w:sz w:val="36"/>
          <w:szCs w:val="36"/>
        </w:rPr>
        <w:t>估价结果报告</w:t>
      </w:r>
      <w:bookmarkEnd w:id="26"/>
      <w:bookmarkEnd w:id="27"/>
      <w:bookmarkEnd w:id="28"/>
      <w:bookmarkEnd w:id="29"/>
      <w:bookmarkEnd w:id="30"/>
      <w:bookmarkEnd w:id="31"/>
      <w:bookmarkEnd w:id="32"/>
      <w:bookmarkEnd w:id="33"/>
      <w:bookmarkEnd w:id="34"/>
      <w:bookmarkEnd w:id="35"/>
      <w:bookmarkEnd w:id="36"/>
      <w:bookmarkEnd w:id="37"/>
      <w:bookmarkEnd w:id="38"/>
    </w:p>
    <w:p>
      <w:pPr>
        <w:pStyle w:val="3"/>
        <w:rPr>
          <w:rFonts w:ascii="宋体" w:hAnsi="宋体" w:eastAsia="宋体" w:cs="宋体"/>
          <w:color w:val="auto"/>
          <w:kern w:val="0"/>
          <w:sz w:val="28"/>
          <w:szCs w:val="28"/>
        </w:rPr>
      </w:pPr>
      <w:bookmarkStart w:id="39" w:name="_Toc25798"/>
      <w:bookmarkStart w:id="40" w:name="_Toc16665758"/>
      <w:bookmarkStart w:id="41" w:name="_Toc414265155"/>
      <w:bookmarkStart w:id="42" w:name="_Toc414265236"/>
      <w:bookmarkStart w:id="43" w:name="_Toc16189207"/>
      <w:bookmarkStart w:id="44" w:name="_Toc417220312"/>
      <w:bookmarkStart w:id="45" w:name="_Toc522873490"/>
      <w:bookmarkStart w:id="46" w:name="_Toc19430"/>
      <w:bookmarkStart w:id="47" w:name="_Toc417214134"/>
      <w:bookmarkStart w:id="48" w:name="_Toc417282114"/>
      <w:bookmarkStart w:id="49" w:name="_Toc521944355"/>
      <w:bookmarkStart w:id="50" w:name="_Toc16189044"/>
      <w:bookmarkStart w:id="51" w:name="_Toc28290"/>
      <w:r>
        <w:rPr>
          <w:rFonts w:hint="eastAsia" w:ascii="宋体" w:hAnsi="宋体" w:eastAsia="宋体" w:cs="宋体"/>
          <w:color w:val="auto"/>
          <w:kern w:val="0"/>
          <w:sz w:val="28"/>
          <w:szCs w:val="28"/>
        </w:rPr>
        <w:t>一、</w:t>
      </w:r>
      <w:r>
        <w:rPr>
          <w:rFonts w:hint="eastAsia" w:ascii="宋体" w:hAnsi="宋体" w:eastAsia="宋体" w:cs="宋体"/>
          <w:color w:val="auto"/>
          <w:sz w:val="28"/>
          <w:szCs w:val="28"/>
        </w:rPr>
        <w:t>估价委托人</w:t>
      </w:r>
      <w:bookmarkEnd w:id="39"/>
      <w:bookmarkEnd w:id="40"/>
      <w:bookmarkEnd w:id="41"/>
      <w:bookmarkEnd w:id="42"/>
      <w:bookmarkEnd w:id="43"/>
      <w:bookmarkEnd w:id="44"/>
      <w:bookmarkEnd w:id="45"/>
      <w:bookmarkEnd w:id="46"/>
      <w:bookmarkEnd w:id="47"/>
      <w:bookmarkEnd w:id="48"/>
      <w:bookmarkEnd w:id="49"/>
      <w:bookmarkEnd w:id="50"/>
      <w:bookmarkEnd w:id="51"/>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kern w:val="0"/>
          <w:sz w:val="28"/>
          <w:szCs w:val="28"/>
        </w:rPr>
        <w:t>委托人：</w:t>
      </w:r>
      <w:r>
        <w:rPr>
          <w:rFonts w:hint="eastAsia" w:ascii="宋体" w:hAnsi="宋体" w:cs="宋体"/>
          <w:color w:val="auto"/>
          <w:sz w:val="28"/>
          <w:szCs w:val="28"/>
        </w:rPr>
        <w:t>云南省文山壮族苗族自治州中级人民法院</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地址：文山市凤凰路55号</w:t>
      </w:r>
    </w:p>
    <w:p>
      <w:pPr>
        <w:pStyle w:val="3"/>
        <w:rPr>
          <w:rFonts w:ascii="宋体" w:hAnsi="宋体" w:eastAsia="宋体" w:cs="宋体"/>
          <w:color w:val="auto"/>
          <w:kern w:val="0"/>
          <w:sz w:val="28"/>
          <w:szCs w:val="28"/>
        </w:rPr>
      </w:pPr>
      <w:bookmarkStart w:id="52" w:name="_Toc414265156"/>
      <w:bookmarkStart w:id="53" w:name="_Toc1079"/>
      <w:bookmarkStart w:id="54" w:name="_Toc414265237"/>
      <w:bookmarkStart w:id="55" w:name="_Toc522873491"/>
      <w:bookmarkStart w:id="56" w:name="_Toc16189208"/>
      <w:bookmarkStart w:id="57" w:name="_Toc417282115"/>
      <w:bookmarkStart w:id="58" w:name="_Toc12724"/>
      <w:bookmarkStart w:id="59" w:name="_Toc417214135"/>
      <w:bookmarkStart w:id="60" w:name="_Toc16189045"/>
      <w:bookmarkStart w:id="61" w:name="_Toc16665759"/>
      <w:bookmarkStart w:id="62" w:name="_Toc521944356"/>
      <w:bookmarkStart w:id="63" w:name="_Toc417220313"/>
      <w:bookmarkStart w:id="64" w:name="_Toc26145"/>
      <w:r>
        <w:rPr>
          <w:rFonts w:hint="eastAsia" w:ascii="宋体" w:hAnsi="宋体" w:eastAsia="宋体" w:cs="宋体"/>
          <w:color w:val="auto"/>
          <w:kern w:val="0"/>
          <w:sz w:val="28"/>
          <w:szCs w:val="28"/>
        </w:rPr>
        <w:t>二、房地产估价机构</w:t>
      </w:r>
      <w:bookmarkEnd w:id="52"/>
      <w:bookmarkEnd w:id="53"/>
      <w:bookmarkEnd w:id="54"/>
      <w:bookmarkEnd w:id="55"/>
      <w:bookmarkEnd w:id="56"/>
      <w:bookmarkEnd w:id="57"/>
      <w:bookmarkEnd w:id="58"/>
      <w:bookmarkEnd w:id="59"/>
      <w:bookmarkEnd w:id="60"/>
      <w:bookmarkEnd w:id="61"/>
      <w:bookmarkEnd w:id="62"/>
      <w:bookmarkEnd w:id="63"/>
      <w:bookmarkEnd w:id="64"/>
    </w:p>
    <w:p>
      <w:pPr>
        <w:spacing w:line="336" w:lineRule="auto"/>
        <w:ind w:firstLine="560" w:firstLineChars="200"/>
        <w:rPr>
          <w:rFonts w:ascii="宋体" w:hAnsi="宋体" w:cs="宋体"/>
          <w:color w:val="auto"/>
          <w:sz w:val="28"/>
          <w:szCs w:val="28"/>
        </w:rPr>
      </w:pPr>
      <w:r>
        <w:rPr>
          <w:rFonts w:hint="eastAsia" w:ascii="宋体" w:hAnsi="宋体" w:cs="宋体"/>
          <w:color w:val="auto"/>
          <w:sz w:val="28"/>
          <w:szCs w:val="28"/>
        </w:rPr>
        <w:t>估价机构：文山同心联谊房地产评估有限公司</w:t>
      </w:r>
    </w:p>
    <w:p>
      <w:pPr>
        <w:spacing w:line="336" w:lineRule="auto"/>
        <w:ind w:firstLine="560" w:firstLineChars="200"/>
        <w:rPr>
          <w:rFonts w:ascii="宋体" w:hAnsi="宋体" w:cs="宋体"/>
          <w:color w:val="auto"/>
          <w:sz w:val="28"/>
          <w:szCs w:val="28"/>
        </w:rPr>
      </w:pPr>
      <w:r>
        <w:rPr>
          <w:rFonts w:hint="eastAsia" w:ascii="宋体" w:hAnsi="宋体" w:cs="宋体"/>
          <w:color w:val="auto"/>
          <w:sz w:val="28"/>
          <w:szCs w:val="28"/>
        </w:rPr>
        <w:t>法定代表人：李建</w:t>
      </w:r>
    </w:p>
    <w:p>
      <w:pPr>
        <w:spacing w:line="336" w:lineRule="auto"/>
        <w:ind w:firstLine="560" w:firstLineChars="200"/>
        <w:rPr>
          <w:rFonts w:ascii="宋体" w:hAnsi="宋体" w:cs="宋体"/>
          <w:color w:val="auto"/>
          <w:sz w:val="28"/>
          <w:szCs w:val="28"/>
        </w:rPr>
      </w:pPr>
      <w:r>
        <w:rPr>
          <w:rFonts w:hint="eastAsia" w:ascii="宋体" w:hAnsi="宋体" w:cs="宋体"/>
          <w:color w:val="auto"/>
          <w:sz w:val="28"/>
          <w:szCs w:val="28"/>
        </w:rPr>
        <w:t>备案等级：贰级</w:t>
      </w:r>
    </w:p>
    <w:p>
      <w:pPr>
        <w:spacing w:line="336" w:lineRule="auto"/>
        <w:ind w:firstLine="560" w:firstLineChars="200"/>
        <w:rPr>
          <w:rFonts w:ascii="宋体" w:hAnsi="宋体" w:cs="宋体"/>
          <w:color w:val="auto"/>
          <w:sz w:val="28"/>
          <w:szCs w:val="28"/>
        </w:rPr>
      </w:pPr>
      <w:r>
        <w:rPr>
          <w:rFonts w:hint="eastAsia" w:ascii="宋体" w:hAnsi="宋体" w:cs="宋体"/>
          <w:color w:val="auto"/>
          <w:sz w:val="28"/>
          <w:szCs w:val="28"/>
        </w:rPr>
        <w:t>备案证书编号：云建房证估字第51号</w:t>
      </w:r>
    </w:p>
    <w:p>
      <w:pPr>
        <w:spacing w:line="336" w:lineRule="auto"/>
        <w:ind w:firstLine="560" w:firstLineChars="200"/>
        <w:rPr>
          <w:rFonts w:ascii="宋体" w:hAnsi="宋体" w:cs="宋体"/>
          <w:color w:val="auto"/>
          <w:sz w:val="28"/>
          <w:szCs w:val="28"/>
        </w:rPr>
      </w:pPr>
      <w:r>
        <w:rPr>
          <w:rFonts w:hint="eastAsia" w:ascii="宋体" w:hAnsi="宋体" w:cs="宋体"/>
          <w:color w:val="auto"/>
          <w:sz w:val="28"/>
          <w:szCs w:val="28"/>
        </w:rPr>
        <w:t>地址：文山市开化中路222号(大兴寺旁)</w:t>
      </w:r>
    </w:p>
    <w:p>
      <w:pPr>
        <w:spacing w:line="336" w:lineRule="auto"/>
        <w:ind w:firstLine="560" w:firstLineChars="200"/>
        <w:rPr>
          <w:rFonts w:ascii="宋体" w:hAnsi="宋体" w:cs="宋体"/>
          <w:color w:val="auto"/>
          <w:sz w:val="28"/>
          <w:szCs w:val="28"/>
        </w:rPr>
      </w:pPr>
      <w:r>
        <w:rPr>
          <w:rFonts w:hint="eastAsia" w:ascii="宋体" w:hAnsi="宋体" w:cs="宋体"/>
          <w:color w:val="auto"/>
          <w:sz w:val="28"/>
          <w:szCs w:val="28"/>
        </w:rPr>
        <w:t>联系电话：0876-2126555</w:t>
      </w:r>
    </w:p>
    <w:p>
      <w:pPr>
        <w:pStyle w:val="3"/>
        <w:rPr>
          <w:rFonts w:ascii="宋体" w:hAnsi="宋体" w:eastAsia="宋体" w:cs="宋体"/>
          <w:color w:val="auto"/>
          <w:kern w:val="0"/>
          <w:sz w:val="28"/>
          <w:szCs w:val="28"/>
        </w:rPr>
      </w:pPr>
      <w:bookmarkStart w:id="65" w:name="_Toc417214137"/>
      <w:bookmarkStart w:id="66" w:name="_Toc414265239"/>
      <w:bookmarkStart w:id="67" w:name="_Toc16189046"/>
      <w:bookmarkStart w:id="68" w:name="_Toc417282117"/>
      <w:bookmarkStart w:id="69" w:name="_Toc20903"/>
      <w:bookmarkStart w:id="70" w:name="_Toc414265158"/>
      <w:bookmarkStart w:id="71" w:name="_Toc16189209"/>
      <w:bookmarkStart w:id="72" w:name="_Toc522873492"/>
      <w:bookmarkStart w:id="73" w:name="_Toc417220315"/>
      <w:bookmarkStart w:id="74" w:name="_Toc16665760"/>
      <w:bookmarkStart w:id="75" w:name="_Toc17549"/>
      <w:bookmarkStart w:id="76" w:name="_Toc521944357"/>
      <w:bookmarkStart w:id="77" w:name="_Toc10397"/>
      <w:r>
        <w:rPr>
          <w:rFonts w:hint="eastAsia" w:ascii="宋体" w:hAnsi="宋体" w:eastAsia="宋体" w:cs="宋体"/>
          <w:color w:val="auto"/>
          <w:kern w:val="0"/>
          <w:sz w:val="28"/>
          <w:szCs w:val="28"/>
        </w:rPr>
        <w:t>三、估价目的</w:t>
      </w:r>
      <w:bookmarkEnd w:id="65"/>
      <w:bookmarkEnd w:id="66"/>
      <w:bookmarkEnd w:id="67"/>
      <w:bookmarkEnd w:id="68"/>
      <w:bookmarkEnd w:id="69"/>
      <w:bookmarkEnd w:id="70"/>
      <w:bookmarkEnd w:id="71"/>
      <w:bookmarkEnd w:id="72"/>
      <w:bookmarkEnd w:id="73"/>
      <w:bookmarkEnd w:id="74"/>
      <w:bookmarkEnd w:id="75"/>
      <w:bookmarkEnd w:id="76"/>
      <w:bookmarkEnd w:id="77"/>
    </w:p>
    <w:p>
      <w:pPr>
        <w:adjustRightInd w:val="0"/>
        <w:snapToGrid w:val="0"/>
        <w:spacing w:line="360" w:lineRule="auto"/>
        <w:ind w:firstLine="560" w:firstLineChars="200"/>
        <w:rPr>
          <w:rFonts w:ascii="宋体" w:hAnsi="宋体" w:cs="宋体"/>
          <w:color w:val="auto"/>
          <w:sz w:val="28"/>
          <w:szCs w:val="28"/>
        </w:rPr>
      </w:pPr>
      <w:r>
        <w:rPr>
          <w:rFonts w:hint="eastAsia" w:ascii="宋体" w:hAnsi="宋体"/>
          <w:color w:val="auto"/>
          <w:sz w:val="28"/>
          <w:szCs w:val="28"/>
        </w:rPr>
        <w:t>为委托方司法拍卖估价对象提供房地产价值参考依据而评估房地产市场价值</w:t>
      </w:r>
      <w:r>
        <w:rPr>
          <w:rFonts w:hint="eastAsia" w:ascii="宋体" w:hAnsi="宋体" w:cs="宋体"/>
          <w:color w:val="auto"/>
          <w:sz w:val="28"/>
          <w:szCs w:val="28"/>
        </w:rPr>
        <w:t>。</w:t>
      </w:r>
    </w:p>
    <w:p>
      <w:pPr>
        <w:pStyle w:val="3"/>
        <w:rPr>
          <w:rFonts w:ascii="宋体" w:hAnsi="宋体" w:eastAsia="宋体" w:cs="宋体"/>
          <w:color w:val="auto"/>
          <w:kern w:val="0"/>
          <w:sz w:val="28"/>
          <w:szCs w:val="28"/>
        </w:rPr>
      </w:pPr>
      <w:bookmarkStart w:id="78" w:name="_Toc21108"/>
      <w:bookmarkStart w:id="79" w:name="_Toc32296"/>
      <w:bookmarkStart w:id="80" w:name="_Toc16189210"/>
      <w:bookmarkStart w:id="81" w:name="_Toc16665761"/>
      <w:bookmarkStart w:id="82" w:name="_Toc521944358"/>
      <w:bookmarkStart w:id="83" w:name="_Toc417214138"/>
      <w:bookmarkStart w:id="84" w:name="_Toc522873493"/>
      <w:bookmarkStart w:id="85" w:name="_Toc28125"/>
      <w:bookmarkStart w:id="86" w:name="_Toc414265240"/>
      <w:bookmarkStart w:id="87" w:name="_Toc417282118"/>
      <w:bookmarkStart w:id="88" w:name="_Toc16189047"/>
      <w:bookmarkStart w:id="89" w:name="_Toc417220316"/>
      <w:bookmarkStart w:id="90" w:name="_Toc414265159"/>
      <w:r>
        <w:rPr>
          <w:rFonts w:hint="eastAsia" w:ascii="宋体" w:hAnsi="宋体" w:eastAsia="宋体" w:cs="宋体"/>
          <w:color w:val="auto"/>
          <w:kern w:val="0"/>
          <w:sz w:val="28"/>
          <w:szCs w:val="28"/>
        </w:rPr>
        <w:t>四、估价对象</w:t>
      </w:r>
      <w:bookmarkEnd w:id="78"/>
      <w:bookmarkEnd w:id="79"/>
      <w:bookmarkEnd w:id="80"/>
      <w:bookmarkEnd w:id="81"/>
      <w:bookmarkEnd w:id="82"/>
      <w:bookmarkEnd w:id="83"/>
      <w:bookmarkEnd w:id="84"/>
      <w:bookmarkEnd w:id="85"/>
      <w:bookmarkEnd w:id="86"/>
      <w:bookmarkEnd w:id="87"/>
      <w:bookmarkEnd w:id="88"/>
      <w:bookmarkEnd w:id="89"/>
      <w:bookmarkEnd w:id="90"/>
    </w:p>
    <w:p>
      <w:pPr>
        <w:adjustRightInd w:val="0"/>
        <w:snapToGrid w:val="0"/>
        <w:spacing w:line="360" w:lineRule="auto"/>
        <w:rPr>
          <w:rFonts w:ascii="宋体" w:hAnsi="宋体" w:cs="宋体"/>
          <w:b/>
          <w:bCs/>
          <w:color w:val="auto"/>
          <w:sz w:val="28"/>
          <w:szCs w:val="28"/>
        </w:rPr>
      </w:pPr>
      <w:r>
        <w:rPr>
          <w:rFonts w:hint="eastAsia" w:ascii="宋体" w:hAnsi="宋体" w:cs="宋体"/>
          <w:b/>
          <w:bCs/>
          <w:color w:val="auto"/>
          <w:sz w:val="28"/>
          <w:szCs w:val="28"/>
        </w:rPr>
        <w:t>（一）估价对象财产范围</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估价对象财产范围为估价对象土地使用权及地上建构筑物所有权，不包括动产、债权债务、特许经营权等其他财产或权益。</w:t>
      </w:r>
    </w:p>
    <w:p>
      <w:pPr>
        <w:adjustRightInd w:val="0"/>
        <w:snapToGrid w:val="0"/>
        <w:spacing w:line="360" w:lineRule="auto"/>
        <w:rPr>
          <w:rFonts w:ascii="宋体" w:hAnsi="宋体" w:cs="宋体"/>
          <w:b/>
          <w:bCs/>
          <w:color w:val="auto"/>
          <w:sz w:val="28"/>
          <w:szCs w:val="28"/>
        </w:rPr>
      </w:pPr>
      <w:r>
        <w:rPr>
          <w:rFonts w:hint="eastAsia" w:ascii="宋体" w:hAnsi="宋体" w:cs="宋体"/>
          <w:b/>
          <w:bCs/>
          <w:color w:val="auto"/>
          <w:sz w:val="28"/>
          <w:szCs w:val="28"/>
        </w:rPr>
        <w:t>（二）估价对象基本状况</w:t>
      </w:r>
    </w:p>
    <w:p>
      <w:pPr>
        <w:adjustRightInd w:val="0"/>
        <w:snapToGrid w:val="0"/>
        <w:spacing w:line="360" w:lineRule="auto"/>
        <w:ind w:firstLine="281" w:firstLineChars="100"/>
        <w:rPr>
          <w:rFonts w:ascii="宋体" w:hAnsi="宋体" w:cs="宋体"/>
          <w:b/>
          <w:bCs/>
          <w:color w:val="auto"/>
          <w:sz w:val="28"/>
          <w:szCs w:val="28"/>
        </w:rPr>
      </w:pPr>
      <w:bookmarkStart w:id="91" w:name="_Toc16665775"/>
      <w:bookmarkStart w:id="92" w:name="_Toc521944372"/>
      <w:bookmarkStart w:id="93" w:name="_Toc417220332"/>
      <w:bookmarkStart w:id="94" w:name="_Toc414265175"/>
      <w:bookmarkStart w:id="95" w:name="_Toc522873507"/>
      <w:bookmarkStart w:id="96" w:name="_Toc16189224"/>
      <w:bookmarkStart w:id="97" w:name="_Toc417282134"/>
      <w:bookmarkStart w:id="98" w:name="_Toc414265256"/>
      <w:bookmarkStart w:id="99" w:name="_Toc417214154"/>
      <w:bookmarkStart w:id="100" w:name="_Toc16189061"/>
      <w:bookmarkStart w:id="101" w:name="_Toc16189066"/>
      <w:bookmarkStart w:id="102" w:name="_Toc522873512"/>
      <w:bookmarkStart w:id="103" w:name="_Toc414265264"/>
      <w:bookmarkStart w:id="104" w:name="_Toc417214159"/>
      <w:bookmarkStart w:id="105" w:name="_Toc521944379"/>
      <w:bookmarkStart w:id="106" w:name="_Toc417220337"/>
      <w:bookmarkStart w:id="107" w:name="_Toc417282139"/>
      <w:bookmarkStart w:id="108" w:name="_Toc16665780"/>
      <w:bookmarkStart w:id="109" w:name="_Toc414265188"/>
      <w:bookmarkStart w:id="110" w:name="_Toc16189229"/>
      <w:r>
        <w:rPr>
          <w:rFonts w:hint="eastAsia" w:ascii="宋体" w:hAnsi="宋体" w:cs="宋体"/>
          <w:b/>
          <w:bCs/>
          <w:color w:val="auto"/>
          <w:sz w:val="28"/>
          <w:szCs w:val="28"/>
        </w:rPr>
        <w:t>1、估价对象区位状况</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估价对象位于砚山县平远镇新平社区小黑山，区域内多为居民自建住房和汽车修理厂，无规划，无绿化，</w:t>
      </w:r>
      <w:r>
        <w:rPr>
          <w:rFonts w:hint="eastAsia" w:ascii="宋体" w:hAnsi="宋体" w:cs="宋体"/>
          <w:color w:val="auto"/>
          <w:sz w:val="28"/>
          <w:szCs w:val="28"/>
          <w:lang w:eastAsia="zh-CN"/>
        </w:rPr>
        <w:t>绿地覆盖率一般，</w:t>
      </w:r>
      <w:r>
        <w:rPr>
          <w:rFonts w:hint="eastAsia" w:ascii="宋体" w:hAnsi="宋体" w:cs="宋体"/>
          <w:color w:val="auto"/>
          <w:sz w:val="28"/>
          <w:szCs w:val="28"/>
        </w:rPr>
        <w:t>环境一般，</w:t>
      </w:r>
      <w:r>
        <w:rPr>
          <w:rFonts w:hint="eastAsia" w:ascii="宋体" w:hAnsi="宋体" w:cs="宋体"/>
          <w:color w:val="auto"/>
          <w:sz w:val="28"/>
          <w:szCs w:val="28"/>
          <w:lang w:eastAsia="zh-CN"/>
        </w:rPr>
        <w:t>地质条件较优，</w:t>
      </w:r>
      <w:r>
        <w:rPr>
          <w:rFonts w:hint="eastAsia" w:ascii="宋体" w:hAnsi="宋体" w:cs="宋体"/>
          <w:color w:val="auto"/>
          <w:sz w:val="28"/>
          <w:szCs w:val="28"/>
        </w:rPr>
        <w:t>临祥平路，该道路与一些巷道相交形成该区域的交通路网，门前道路为一条弯弯曲曲的小路，该道路为土石路</w:t>
      </w:r>
      <w:r>
        <w:rPr>
          <w:rFonts w:hint="eastAsia" w:ascii="宋体" w:hAnsi="宋体" w:cs="宋体"/>
          <w:color w:val="auto"/>
          <w:sz w:val="28"/>
          <w:szCs w:val="28"/>
          <w:lang w:eastAsia="zh-CN"/>
        </w:rPr>
        <w:t>，</w:t>
      </w:r>
      <w:r>
        <w:rPr>
          <w:rFonts w:hint="eastAsia" w:ascii="宋体" w:hAnsi="宋体" w:cs="宋体"/>
          <w:color w:val="auto"/>
          <w:sz w:val="28"/>
          <w:szCs w:val="28"/>
        </w:rPr>
        <w:t>区域内</w:t>
      </w:r>
      <w:r>
        <w:rPr>
          <w:rFonts w:hint="eastAsia" w:ascii="宋体" w:hAnsi="宋体" w:cs="宋体"/>
          <w:color w:val="auto"/>
          <w:spacing w:val="22"/>
          <w:sz w:val="28"/>
          <w:szCs w:val="28"/>
        </w:rPr>
        <w:t>无公交车经过，出入可利用交通工具有：摩托车、出租车、网约车等，</w:t>
      </w:r>
      <w:r>
        <w:rPr>
          <w:rFonts w:hint="eastAsia" w:ascii="宋体" w:hAnsi="宋体" w:cs="宋体"/>
          <w:color w:val="auto"/>
          <w:sz w:val="28"/>
          <w:szCs w:val="28"/>
        </w:rPr>
        <w:t>交通较方便，估价对象场地平整，停车方便，院内有车棚、菜园，</w:t>
      </w:r>
      <w:r>
        <w:rPr>
          <w:rFonts w:hint="eastAsia" w:ascii="宋体" w:hAnsi="宋体" w:cs="宋体"/>
          <w:color w:val="auto"/>
          <w:sz w:val="28"/>
          <w:szCs w:val="28"/>
          <w:lang w:eastAsia="zh-CN"/>
        </w:rPr>
        <w:t>未达到最佳最有效利用。</w:t>
      </w:r>
      <w:r>
        <w:rPr>
          <w:rFonts w:hint="eastAsia" w:ascii="宋体" w:hAnsi="宋体" w:cs="宋体"/>
          <w:color w:val="auto"/>
          <w:sz w:val="28"/>
          <w:szCs w:val="28"/>
        </w:rPr>
        <w:t>距平远镇政府590米，距砚山县第二人民医院1.5公里，距砚山县平远镇第二小学1.6公里</w:t>
      </w:r>
      <w:r>
        <w:rPr>
          <w:rFonts w:hint="eastAsia" w:ascii="宋体" w:hAnsi="宋体" w:cs="宋体"/>
          <w:color w:val="auto"/>
          <w:sz w:val="28"/>
          <w:szCs w:val="28"/>
          <w:lang w:eastAsia="zh-CN"/>
        </w:rPr>
        <w:t>，距农贸市场</w:t>
      </w:r>
      <w:r>
        <w:rPr>
          <w:rFonts w:hint="eastAsia" w:ascii="宋体" w:hAnsi="宋体" w:cs="宋体"/>
          <w:color w:val="auto"/>
          <w:sz w:val="28"/>
          <w:szCs w:val="28"/>
          <w:lang w:val="en-US" w:eastAsia="zh-CN"/>
        </w:rPr>
        <w:t>1.6公里</w:t>
      </w:r>
      <w:r>
        <w:rPr>
          <w:rFonts w:hint="eastAsia" w:ascii="宋体" w:hAnsi="宋体" w:cs="宋体"/>
          <w:color w:val="auto"/>
          <w:sz w:val="28"/>
          <w:szCs w:val="28"/>
        </w:rPr>
        <w:t>。周边主要是居民自建住宅，居住聚集度较聚集，主要有中国石化加油站、中国南方电网等公共服务设施，公共服务设施一般，生活不方便。</w:t>
      </w:r>
    </w:p>
    <w:p>
      <w:pPr>
        <w:adjustRightInd w:val="0"/>
        <w:snapToGrid w:val="0"/>
        <w:spacing w:line="360" w:lineRule="auto"/>
        <w:ind w:firstLine="281" w:firstLineChars="100"/>
        <w:rPr>
          <w:rFonts w:ascii="宋体" w:hAnsi="宋体" w:cs="宋体"/>
          <w:b/>
          <w:bCs/>
          <w:color w:val="auto"/>
          <w:sz w:val="28"/>
          <w:szCs w:val="28"/>
        </w:rPr>
      </w:pPr>
      <w:r>
        <w:rPr>
          <w:rFonts w:hint="eastAsia" w:ascii="宋体" w:hAnsi="宋体" w:cs="宋体"/>
          <w:b/>
          <w:bCs/>
          <w:color w:val="auto"/>
          <w:sz w:val="28"/>
          <w:szCs w:val="28"/>
        </w:rPr>
        <w:t>2、估价对象实物状况</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(1)土地实物状况</w:t>
      </w:r>
    </w:p>
    <w:p>
      <w:pPr>
        <w:pStyle w:val="10"/>
        <w:spacing w:line="360" w:lineRule="auto"/>
        <w:ind w:firstLine="560"/>
        <w:contextualSpacing/>
        <w:rPr>
          <w:rFonts w:hAnsi="宋体" w:cs="宋体"/>
          <w:color w:val="auto"/>
          <w:kern w:val="0"/>
          <w:sz w:val="28"/>
          <w:szCs w:val="28"/>
        </w:rPr>
      </w:pPr>
      <w:r>
        <w:rPr>
          <w:rFonts w:hint="eastAsia" w:hAnsi="宋体" w:cs="宋体"/>
          <w:color w:val="auto"/>
          <w:sz w:val="28"/>
          <w:szCs w:val="28"/>
        </w:rPr>
        <w:t>估价对象位于砚山县平远镇新平社区小黑山，土地使用权人：何忠慰，，地类（用途）：城镇单一住宅用地，使用权类型：出让，使用权面积：2967.11m</w:t>
      </w:r>
      <w:r>
        <w:rPr>
          <w:rFonts w:hint="eastAsia" w:hAnsi="宋体" w:cs="宋体"/>
          <w:color w:val="auto"/>
          <w:sz w:val="28"/>
          <w:szCs w:val="28"/>
          <w:vertAlign w:val="superscript"/>
        </w:rPr>
        <w:t>2</w:t>
      </w:r>
      <w:r>
        <w:rPr>
          <w:rFonts w:hint="eastAsia" w:hAnsi="宋体" w:cs="宋体"/>
          <w:color w:val="auto"/>
          <w:sz w:val="28"/>
          <w:szCs w:val="28"/>
        </w:rPr>
        <w:t xml:space="preserve">，地势平整，土地形状不规则，开发程度为五通一平，估价对象东临道路，南临李廷艳宗地，西临旱地，北临道路。 </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（2）建筑物实物状况</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房屋坐落：平远镇新平社区小黑山，估价对象房屋所有权人为何忠慰，经调查，估价对象宗地上共建9幢房屋，房屋约建于1999年，只有一幢房屋进行产权登记，其余8幢房屋未进行产权登记，本次评估房屋总建筑面积：965.50m</w:t>
      </w:r>
      <w:r>
        <w:rPr>
          <w:rFonts w:hint="eastAsia" w:ascii="宋体" w:hAnsi="宋体" w:cs="宋体"/>
          <w:color w:val="auto"/>
          <w:sz w:val="28"/>
          <w:szCs w:val="28"/>
          <w:vertAlign w:val="superscript"/>
        </w:rPr>
        <w:t>2</w:t>
      </w:r>
      <w:r>
        <w:rPr>
          <w:rFonts w:hint="eastAsia" w:ascii="宋体" w:hAnsi="宋体" w:cs="宋体"/>
          <w:color w:val="auto"/>
          <w:sz w:val="28"/>
          <w:szCs w:val="28"/>
        </w:rPr>
        <w:t>。</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有证房屋建筑面积：379.30m</w:t>
      </w:r>
      <w:r>
        <w:rPr>
          <w:rFonts w:hint="eastAsia" w:ascii="宋体" w:hAnsi="宋体" w:cs="宋体"/>
          <w:color w:val="auto"/>
          <w:sz w:val="28"/>
          <w:szCs w:val="28"/>
          <w:vertAlign w:val="superscript"/>
        </w:rPr>
        <w:t>2</w:t>
      </w:r>
      <w:r>
        <w:rPr>
          <w:rFonts w:hint="eastAsia" w:ascii="宋体" w:hAnsi="宋体" w:cs="宋体"/>
          <w:color w:val="auto"/>
          <w:sz w:val="28"/>
          <w:szCs w:val="28"/>
        </w:rPr>
        <w:t>，用途：住宅；层高一般；户型设计合理；层数：2；所在层：1-2；朝向：朝南；建筑结构：砖混；设施设备：水电、消防等设施较齐全；装饰装修：外墙贴瓷砖，内墙刷双飞粉，地面铺砌地板砖，部分铺木地板条，门窗部分为钢窗钢门，部分为实木包门，装修为普通装修；维护保养较好；完损状况：基本完好房。</w:t>
      </w:r>
    </w:p>
    <w:p>
      <w:pPr>
        <w:spacing w:line="560" w:lineRule="exact"/>
        <w:ind w:firstLine="560" w:firstLineChars="200"/>
        <w:rPr>
          <w:rFonts w:ascii="宋体" w:hAnsi="宋体"/>
          <w:color w:val="auto"/>
          <w:sz w:val="28"/>
          <w:szCs w:val="28"/>
        </w:rPr>
      </w:pPr>
      <w:r>
        <w:rPr>
          <w:rFonts w:hint="eastAsia" w:ascii="宋体" w:hAnsi="宋体"/>
          <w:bCs/>
          <w:color w:val="auto"/>
          <w:sz w:val="28"/>
          <w:szCs w:val="28"/>
        </w:rPr>
        <w:t>根据同心联谊（文）测字（2020）第21号《</w:t>
      </w:r>
      <w:r>
        <w:rPr>
          <w:rFonts w:hint="eastAsia" w:ascii="宋体" w:hAnsi="宋体" w:cs="宋体"/>
          <w:bCs/>
          <w:color w:val="auto"/>
          <w:sz w:val="28"/>
          <w:szCs w:val="28"/>
          <w:shd w:val="solid" w:color="FFFFFF" w:fill="auto"/>
        </w:rPr>
        <w:t>何忠慰位于平远镇新平社区小黑山</w:t>
      </w:r>
      <w:r>
        <w:rPr>
          <w:rFonts w:hint="eastAsia" w:ascii="宋体" w:hAnsi="宋体" w:cs="宋体"/>
          <w:bCs/>
          <w:color w:val="auto"/>
          <w:spacing w:val="30"/>
          <w:kern w:val="52"/>
          <w:position w:val="2"/>
          <w:sz w:val="28"/>
          <w:szCs w:val="28"/>
          <w:shd w:val="solid" w:color="FFFFFF" w:fill="auto"/>
        </w:rPr>
        <w:t>建构筑物面积测算报告</w:t>
      </w:r>
      <w:r>
        <w:rPr>
          <w:rFonts w:hint="eastAsia" w:ascii="宋体" w:hAnsi="宋体"/>
          <w:bCs/>
          <w:color w:val="auto"/>
          <w:sz w:val="28"/>
          <w:szCs w:val="28"/>
        </w:rPr>
        <w:t>》，</w:t>
      </w:r>
      <w:r>
        <w:rPr>
          <w:rFonts w:hint="eastAsia" w:ascii="宋体" w:hAnsi="宋体" w:cs="宋体"/>
          <w:color w:val="auto"/>
          <w:sz w:val="28"/>
          <w:szCs w:val="28"/>
        </w:rPr>
        <w:t>无证房屋总建筑面积：586.20m</w:t>
      </w:r>
      <w:r>
        <w:rPr>
          <w:rFonts w:hint="eastAsia" w:ascii="宋体" w:hAnsi="宋体" w:cs="宋体"/>
          <w:color w:val="auto"/>
          <w:sz w:val="28"/>
          <w:szCs w:val="28"/>
          <w:vertAlign w:val="superscript"/>
        </w:rPr>
        <w:t>2</w:t>
      </w:r>
      <w:r>
        <w:rPr>
          <w:rFonts w:hint="eastAsia" w:ascii="宋体" w:hAnsi="宋体" w:cs="宋体"/>
          <w:color w:val="auto"/>
          <w:sz w:val="28"/>
          <w:szCs w:val="28"/>
        </w:rPr>
        <w:t>，</w:t>
      </w:r>
      <w:r>
        <w:rPr>
          <w:rFonts w:hint="eastAsia" w:ascii="宋体" w:hAnsi="宋体"/>
          <w:color w:val="auto"/>
          <w:sz w:val="28"/>
          <w:szCs w:val="28"/>
        </w:rPr>
        <w:t>详见建筑物面积统计表。</w:t>
      </w:r>
    </w:p>
    <w:p>
      <w:pPr>
        <w:spacing w:line="560" w:lineRule="exact"/>
        <w:ind w:firstLine="560" w:firstLineChars="200"/>
        <w:jc w:val="center"/>
        <w:rPr>
          <w:rFonts w:ascii="宋体" w:hAnsi="宋体" w:cs="仿宋"/>
          <w:color w:val="auto"/>
          <w:sz w:val="28"/>
          <w:szCs w:val="28"/>
        </w:rPr>
      </w:pPr>
      <w:r>
        <w:rPr>
          <w:rFonts w:hint="eastAsia" w:ascii="宋体" w:hAnsi="宋体" w:cs="仿宋"/>
          <w:color w:val="auto"/>
          <w:sz w:val="28"/>
          <w:szCs w:val="28"/>
        </w:rPr>
        <w:t>建筑物面积统计表</w:t>
      </w:r>
    </w:p>
    <w:p>
      <w:pPr>
        <w:adjustRightInd w:val="0"/>
        <w:snapToGrid w:val="0"/>
        <w:spacing w:line="360" w:lineRule="auto"/>
        <w:ind w:firstLine="560" w:firstLineChars="200"/>
        <w:rPr>
          <w:rFonts w:ascii="宋体" w:hAnsi="宋体" w:cs="宋体"/>
          <w:color w:val="auto"/>
          <w:sz w:val="28"/>
          <w:szCs w:val="28"/>
        </w:r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4"/>
        <w:gridCol w:w="2364"/>
        <w:gridCol w:w="2364"/>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幢号</w:t>
            </w:r>
          </w:p>
        </w:tc>
        <w:tc>
          <w:tcPr>
            <w:tcW w:w="236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结构</w:t>
            </w:r>
          </w:p>
        </w:tc>
        <w:tc>
          <w:tcPr>
            <w:tcW w:w="236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面积</w:t>
            </w:r>
          </w:p>
        </w:tc>
        <w:tc>
          <w:tcPr>
            <w:tcW w:w="236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1幢</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简易C</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56.64</w:t>
            </w:r>
          </w:p>
        </w:tc>
        <w:tc>
          <w:tcPr>
            <w:tcW w:w="2365" w:type="dxa"/>
            <w:vAlign w:val="center"/>
          </w:tcPr>
          <w:p>
            <w:pPr>
              <w:adjustRightInd w:val="0"/>
              <w:snapToGrid w:val="0"/>
              <w:spacing w:line="36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2幢</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砖木C</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 xml:space="preserve">51.98 </w:t>
            </w:r>
          </w:p>
        </w:tc>
        <w:tc>
          <w:tcPr>
            <w:tcW w:w="2365" w:type="dxa"/>
            <w:vAlign w:val="center"/>
          </w:tcPr>
          <w:p>
            <w:pPr>
              <w:adjustRightInd w:val="0"/>
              <w:snapToGrid w:val="0"/>
              <w:spacing w:line="36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3幢</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彩钢瓦房</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86.36</w:t>
            </w:r>
          </w:p>
        </w:tc>
        <w:tc>
          <w:tcPr>
            <w:tcW w:w="2365" w:type="dxa"/>
            <w:vAlign w:val="center"/>
          </w:tcPr>
          <w:p>
            <w:pPr>
              <w:adjustRightInd w:val="0"/>
              <w:snapToGrid w:val="0"/>
              <w:spacing w:line="36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4幢</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简易A</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35.56</w:t>
            </w:r>
          </w:p>
        </w:tc>
        <w:tc>
          <w:tcPr>
            <w:tcW w:w="2365" w:type="dxa"/>
            <w:vAlign w:val="center"/>
          </w:tcPr>
          <w:p>
            <w:pPr>
              <w:adjustRightInd w:val="0"/>
              <w:snapToGrid w:val="0"/>
              <w:spacing w:line="36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5幢</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简易A</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55.66</w:t>
            </w:r>
          </w:p>
        </w:tc>
        <w:tc>
          <w:tcPr>
            <w:tcW w:w="2365" w:type="dxa"/>
            <w:vAlign w:val="center"/>
          </w:tcPr>
          <w:p>
            <w:pPr>
              <w:adjustRightInd w:val="0"/>
              <w:snapToGrid w:val="0"/>
              <w:spacing w:line="36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6幢</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简易A</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20.54</w:t>
            </w:r>
          </w:p>
        </w:tc>
        <w:tc>
          <w:tcPr>
            <w:tcW w:w="2365" w:type="dxa"/>
            <w:vAlign w:val="center"/>
          </w:tcPr>
          <w:p>
            <w:pPr>
              <w:adjustRightInd w:val="0"/>
              <w:snapToGrid w:val="0"/>
              <w:spacing w:line="36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7幢</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砖木C</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208.76</w:t>
            </w:r>
          </w:p>
        </w:tc>
        <w:tc>
          <w:tcPr>
            <w:tcW w:w="2365" w:type="dxa"/>
            <w:vAlign w:val="center"/>
          </w:tcPr>
          <w:p>
            <w:pPr>
              <w:adjustRightInd w:val="0"/>
              <w:snapToGrid w:val="0"/>
              <w:spacing w:line="36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8幢</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砖木C</w:t>
            </w:r>
          </w:p>
        </w:tc>
        <w:tc>
          <w:tcPr>
            <w:tcW w:w="2364" w:type="dxa"/>
            <w:vAlign w:val="center"/>
          </w:tcPr>
          <w:p>
            <w:pPr>
              <w:widowControl/>
              <w:jc w:val="center"/>
              <w:rPr>
                <w:rFonts w:ascii="宋体" w:hAnsi="宋体" w:cs="宋体"/>
                <w:color w:val="auto"/>
                <w:szCs w:val="21"/>
              </w:rPr>
            </w:pPr>
            <w:r>
              <w:rPr>
                <w:rFonts w:hint="eastAsia" w:ascii="宋体" w:hAnsi="宋体" w:cs="宋体"/>
                <w:color w:val="auto"/>
                <w:kern w:val="0"/>
                <w:sz w:val="22"/>
                <w:szCs w:val="22"/>
              </w:rPr>
              <w:t>70.70</w:t>
            </w:r>
          </w:p>
        </w:tc>
        <w:tc>
          <w:tcPr>
            <w:tcW w:w="2365" w:type="dxa"/>
            <w:vAlign w:val="center"/>
          </w:tcPr>
          <w:p>
            <w:pPr>
              <w:adjustRightInd w:val="0"/>
              <w:snapToGrid w:val="0"/>
              <w:spacing w:line="360"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8" w:type="dxa"/>
            <w:gridSpan w:val="2"/>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合计</w:t>
            </w:r>
          </w:p>
        </w:tc>
        <w:tc>
          <w:tcPr>
            <w:tcW w:w="2364" w:type="dxa"/>
            <w:vAlign w:val="center"/>
          </w:tcPr>
          <w:p>
            <w:pPr>
              <w:widowControl/>
              <w:jc w:val="center"/>
              <w:rPr>
                <w:rFonts w:ascii="宋体" w:hAnsi="宋体" w:cs="宋体"/>
                <w:color w:val="auto"/>
                <w:kern w:val="0"/>
                <w:sz w:val="22"/>
                <w:szCs w:val="22"/>
              </w:rPr>
            </w:pPr>
            <w:r>
              <w:rPr>
                <w:rFonts w:hint="eastAsia" w:ascii="宋体" w:hAnsi="宋体" w:cs="宋体"/>
                <w:color w:val="auto"/>
                <w:kern w:val="0"/>
                <w:sz w:val="22"/>
                <w:szCs w:val="22"/>
              </w:rPr>
              <w:t>586.20</w:t>
            </w:r>
          </w:p>
        </w:tc>
        <w:tc>
          <w:tcPr>
            <w:tcW w:w="2365" w:type="dxa"/>
            <w:vAlign w:val="center"/>
          </w:tcPr>
          <w:p>
            <w:pPr>
              <w:adjustRightInd w:val="0"/>
              <w:snapToGrid w:val="0"/>
              <w:spacing w:line="360" w:lineRule="auto"/>
              <w:jc w:val="center"/>
              <w:rPr>
                <w:rFonts w:ascii="宋体" w:hAnsi="宋体" w:cs="宋体"/>
                <w:color w:val="auto"/>
                <w:szCs w:val="21"/>
              </w:rPr>
            </w:pPr>
          </w:p>
        </w:tc>
      </w:tr>
    </w:tbl>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1幢房屋实际用途：住宅；层高一般；户型设计合理；层数1；所在层1-1；朝向：朝南；建筑结构：简易C；设施设备：水电、消防等设施较齐全；装饰装修：彩钢瓦棚，铝合金窗作简易围护，毛坯房；维护保养较差；完损状况：一般损坏房。</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2幢房屋实际用途：住宅；层高一般；户型设计合理；层数1；所在层1-1；朝向：朝东；建筑结构：砖木C；设施设备：水电、消防等设施较齐全；装饰装修：外墙刷双飞粉，内墙刷双飞粉，水泥地坪，毛坯房；维护保养较差；完损状况：一般损坏房。</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3幢房屋实际用途：车棚；层高较高；户型设计合理；层数1；所在层1-1；朝向：朝南；建筑结构：彩钢瓦房；设施设备：水电、消防等设施较齐全；装饰装修：彩钢瓦棚，无围护，毛坯；维护保养较差；完损状况：一般损坏房。</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4幢房屋实际用途：住宅；层高一般；户型设计合理；层数1；所在层1-1；朝向：朝南；建筑结构：简易A；设施设备：水电、消防等设施较齐全；装饰装修：砖墙围护，毛坯；维护保养较差；完损状况：一般损坏房。</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5幢房屋实际用途：猪圈；层高较矮；户型设计合理；层数1；所在层1-1；朝向：朝北；建筑结构：简易A；设施设备：水电、消防等设施较齐全；装饰装修：毛坯房；维护保养较差；完损状况：一般损坏房。</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6幢房屋实际用途：厕所；层高一般；户型设计合理；层数1；所在层1-1；朝向：朝北；建筑结构：简易A；设施设备：水电、消防等设施较齐全；装饰装修：毛坯房；维护保养较差；完损状况：一般损坏房。</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7幢房屋实际用途：餐厅包间；层高较矮；户型设计合理；层数1；所在层1-1；朝向：朝北、朝西；建筑结构：砖木C；设施设备：水电、消防等设施较齐全；装饰装修：毛坯房；维护保养较差；完损状况：一般损坏房。</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8幢房屋实际用途：住宅；层高一般；户型设计合理；层数1；所在层1-1；朝向：朝南；建筑结构：砖木C；设施设备：水电、消防等设施较齐全；装饰装修：毛坯房；维护保养较差；完损状况：一般损坏房。</w:t>
      </w:r>
    </w:p>
    <w:p>
      <w:pPr>
        <w:adjustRightInd w:val="0"/>
        <w:snapToGrid w:val="0"/>
        <w:spacing w:line="360" w:lineRule="auto"/>
        <w:ind w:firstLine="281" w:firstLineChars="100"/>
        <w:rPr>
          <w:rFonts w:ascii="宋体" w:hAnsi="宋体" w:cs="宋体"/>
          <w:b/>
          <w:bCs/>
          <w:color w:val="auto"/>
          <w:sz w:val="28"/>
          <w:szCs w:val="28"/>
        </w:rPr>
      </w:pPr>
      <w:r>
        <w:rPr>
          <w:rFonts w:hint="eastAsia" w:ascii="宋体" w:hAnsi="宋体" w:cs="宋体"/>
          <w:b/>
          <w:bCs/>
          <w:color w:val="auto"/>
          <w:sz w:val="28"/>
          <w:szCs w:val="28"/>
        </w:rPr>
        <w:t>3、估价对象权益状况</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（1）土地权益状况</w:t>
      </w:r>
    </w:p>
    <w:p>
      <w:pPr>
        <w:pStyle w:val="10"/>
        <w:snapToGrid w:val="0"/>
        <w:spacing w:line="360" w:lineRule="auto"/>
        <w:ind w:firstLine="560"/>
        <w:contextualSpacing/>
        <w:rPr>
          <w:rFonts w:hAnsi="宋体" w:cs="宋体"/>
          <w:color w:val="auto"/>
          <w:sz w:val="28"/>
          <w:szCs w:val="28"/>
        </w:rPr>
      </w:pPr>
      <w:r>
        <w:rPr>
          <w:rFonts w:hint="eastAsia" w:hAnsi="宋体" w:cs="宋体"/>
          <w:color w:val="auto"/>
          <w:sz w:val="28"/>
          <w:szCs w:val="28"/>
        </w:rPr>
        <w:t>①土地使用权证号：砚国用（2010）第01587号</w:t>
      </w:r>
    </w:p>
    <w:p>
      <w:pPr>
        <w:pStyle w:val="10"/>
        <w:spacing w:line="360" w:lineRule="auto"/>
        <w:ind w:firstLine="560"/>
        <w:contextualSpacing/>
        <w:rPr>
          <w:rFonts w:hAnsi="宋体" w:cs="宋体"/>
          <w:color w:val="auto"/>
          <w:sz w:val="28"/>
          <w:szCs w:val="28"/>
        </w:rPr>
      </w:pPr>
      <w:r>
        <w:rPr>
          <w:rFonts w:hint="eastAsia" w:hAnsi="宋体" w:cs="宋体"/>
          <w:color w:val="auto"/>
          <w:sz w:val="28"/>
          <w:szCs w:val="28"/>
        </w:rPr>
        <w:t>②土地所有权人：国家</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③土地使用权人：何忠慰</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④他项权利状况：截止估价期日，估价对象于2015年01月08日设定抵押至今；</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⑤土地使用权取得时间：2010年10月19日</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⑥终止日期：2074年09月01日</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⑦地类用途：城镇单一住宅用地</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⑧使用权类型：出让</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⑨使用权面积：2967.11m</w:t>
      </w:r>
      <w:r>
        <w:rPr>
          <w:rFonts w:hint="eastAsia" w:ascii="宋体" w:hAnsi="宋体" w:cs="宋体"/>
          <w:color w:val="auto"/>
          <w:sz w:val="28"/>
          <w:szCs w:val="28"/>
          <w:vertAlign w:val="superscript"/>
        </w:rPr>
        <w:t>2</w:t>
      </w:r>
    </w:p>
    <w:p>
      <w:pPr>
        <w:pStyle w:val="10"/>
        <w:spacing w:line="360" w:lineRule="auto"/>
        <w:ind w:firstLine="560"/>
        <w:contextualSpacing/>
        <w:rPr>
          <w:rFonts w:hAnsi="宋体" w:cs="宋体"/>
          <w:color w:val="auto"/>
          <w:sz w:val="28"/>
          <w:szCs w:val="28"/>
        </w:rPr>
      </w:pPr>
      <w:r>
        <w:rPr>
          <w:rFonts w:hint="eastAsia" w:hAnsi="宋体" w:cs="宋体"/>
          <w:color w:val="auto"/>
          <w:sz w:val="28"/>
          <w:szCs w:val="28"/>
        </w:rPr>
        <w:t>⑩容积率:</w:t>
      </w:r>
      <w:r>
        <w:rPr>
          <w:rFonts w:hint="eastAsia" w:hAnsi="宋体"/>
          <w:color w:val="auto"/>
          <w:sz w:val="28"/>
          <w:szCs w:val="28"/>
        </w:rPr>
        <w:t>估价所需的《宗地用地规划设计条件》等资料，注册房地产估价师虽然进行了尽职调查，但仍难以取得，故本次评估根据</w:t>
      </w:r>
      <w:r>
        <w:rPr>
          <w:rFonts w:hint="eastAsia" w:hAnsi="宋体" w:cs="宋体"/>
          <w:color w:val="auto"/>
          <w:sz w:val="28"/>
          <w:szCs w:val="28"/>
        </w:rPr>
        <w:t>《砚山县平远镇城镇总体规划修编》</w:t>
      </w:r>
      <w:r>
        <w:rPr>
          <w:rFonts w:hint="eastAsia" w:hAnsi="宋体"/>
          <w:color w:val="auto"/>
          <w:sz w:val="28"/>
          <w:szCs w:val="28"/>
        </w:rPr>
        <w:t>确定的该宗地平均容积率为1.2。</w:t>
      </w:r>
    </w:p>
    <w:p>
      <w:pPr>
        <w:pStyle w:val="10"/>
        <w:spacing w:line="360" w:lineRule="auto"/>
        <w:ind w:firstLine="560"/>
        <w:contextualSpacing/>
        <w:rPr>
          <w:rFonts w:hAnsi="宋体" w:cs="宋体"/>
          <w:color w:val="auto"/>
          <w:sz w:val="28"/>
          <w:szCs w:val="28"/>
        </w:rPr>
      </w:pPr>
      <w:r>
        <w:rPr>
          <w:rFonts w:hint="eastAsia" w:hAnsi="宋体" w:cs="宋体"/>
          <w:color w:val="auto"/>
          <w:sz w:val="28"/>
          <w:szCs w:val="28"/>
        </w:rPr>
        <w:t>（2）建筑物权益状况</w:t>
      </w:r>
    </w:p>
    <w:p>
      <w:pPr>
        <w:pStyle w:val="10"/>
        <w:spacing w:line="360" w:lineRule="auto"/>
        <w:ind w:firstLine="560"/>
        <w:contextualSpacing/>
        <w:rPr>
          <w:rFonts w:hAnsi="宋体" w:cs="宋体"/>
          <w:color w:val="auto"/>
          <w:sz w:val="28"/>
          <w:szCs w:val="28"/>
        </w:rPr>
      </w:pPr>
      <w:r>
        <w:rPr>
          <w:rFonts w:hint="eastAsia" w:hAnsi="宋体" w:cs="宋体"/>
          <w:color w:val="auto"/>
          <w:sz w:val="28"/>
          <w:szCs w:val="28"/>
        </w:rPr>
        <w:t>①房屋所有权证号：砚山县房权证平远镇字第2010228号</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②房屋所有权人：何忠慰</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 xml:space="preserve">③共有情况：单独所有     </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④房屋性质：私产</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⑤规划用途：住宅</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⑥建筑结构：有证房屋建筑结构：砖混；无证房屋1幢建筑结构：简易C；2幢建筑结构：砖木C；3幢建筑结构：彩钢瓦房；4幢建筑结构：简易A；5幢建筑结构：简易A；6幢建筑结构：简易A；7幢建筑结构：砖木C；8幢建筑结构：砖木C。</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⑦房屋层数：有证房屋层数：2；无证房屋均为1层。</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⑧所在层数：有证所在层：1-2；无证房屋均为1-1层。</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⑨建筑面积：总建筑面积：965.50m</w:t>
      </w:r>
      <w:r>
        <w:rPr>
          <w:rFonts w:hint="eastAsia" w:ascii="宋体" w:hAnsi="宋体" w:cs="宋体"/>
          <w:color w:val="auto"/>
          <w:sz w:val="28"/>
          <w:szCs w:val="28"/>
          <w:vertAlign w:val="superscript"/>
        </w:rPr>
        <w:t>2</w:t>
      </w:r>
      <w:r>
        <w:rPr>
          <w:rFonts w:hint="eastAsia" w:ascii="宋体" w:hAnsi="宋体" w:cs="宋体"/>
          <w:color w:val="auto"/>
          <w:sz w:val="28"/>
          <w:szCs w:val="28"/>
        </w:rPr>
        <w:t>，其中有证房屋建筑面积：379.30m</w:t>
      </w:r>
      <w:r>
        <w:rPr>
          <w:rFonts w:hint="eastAsia" w:ascii="宋体" w:hAnsi="宋体" w:cs="宋体"/>
          <w:color w:val="auto"/>
          <w:sz w:val="28"/>
          <w:szCs w:val="28"/>
          <w:vertAlign w:val="superscript"/>
        </w:rPr>
        <w:t>2</w:t>
      </w:r>
      <w:r>
        <w:rPr>
          <w:rFonts w:hint="eastAsia" w:ascii="宋体" w:hAnsi="宋体" w:cs="宋体"/>
          <w:color w:val="auto"/>
          <w:sz w:val="28"/>
          <w:szCs w:val="28"/>
        </w:rPr>
        <w:t>，无证房屋建筑面积：586.20m</w:t>
      </w:r>
      <w:r>
        <w:rPr>
          <w:rFonts w:hint="eastAsia" w:ascii="宋体" w:hAnsi="宋体" w:cs="宋体"/>
          <w:color w:val="auto"/>
          <w:sz w:val="28"/>
          <w:szCs w:val="28"/>
          <w:vertAlign w:val="superscript"/>
        </w:rPr>
        <w:t>2</w:t>
      </w:r>
      <w:r>
        <w:rPr>
          <w:rFonts w:hint="eastAsia" w:ascii="宋体" w:hAnsi="宋体" w:cs="宋体"/>
          <w:color w:val="auto"/>
          <w:sz w:val="28"/>
          <w:szCs w:val="28"/>
        </w:rPr>
        <w:t>（1幢建筑面积：56.64m</w:t>
      </w:r>
      <w:r>
        <w:rPr>
          <w:rFonts w:hint="eastAsia" w:ascii="宋体" w:hAnsi="宋体" w:cs="宋体"/>
          <w:color w:val="auto"/>
          <w:sz w:val="28"/>
          <w:szCs w:val="28"/>
          <w:vertAlign w:val="superscript"/>
        </w:rPr>
        <w:t>2</w:t>
      </w:r>
      <w:r>
        <w:rPr>
          <w:rFonts w:hint="eastAsia" w:ascii="宋体" w:hAnsi="宋体" w:cs="宋体"/>
          <w:color w:val="auto"/>
          <w:sz w:val="28"/>
          <w:szCs w:val="28"/>
        </w:rPr>
        <w:t>，2幢建筑面积：51.98m</w:t>
      </w:r>
      <w:r>
        <w:rPr>
          <w:rFonts w:hint="eastAsia" w:ascii="宋体" w:hAnsi="宋体" w:cs="宋体"/>
          <w:color w:val="auto"/>
          <w:sz w:val="28"/>
          <w:szCs w:val="28"/>
          <w:vertAlign w:val="superscript"/>
        </w:rPr>
        <w:t>2</w:t>
      </w:r>
      <w:r>
        <w:rPr>
          <w:rFonts w:hint="eastAsia" w:ascii="宋体" w:hAnsi="宋体" w:cs="宋体"/>
          <w:color w:val="auto"/>
          <w:sz w:val="28"/>
          <w:szCs w:val="28"/>
        </w:rPr>
        <w:t>，3幢建筑面积：86.36m</w:t>
      </w:r>
      <w:r>
        <w:rPr>
          <w:rFonts w:hint="eastAsia" w:ascii="宋体" w:hAnsi="宋体" w:cs="宋体"/>
          <w:color w:val="auto"/>
          <w:sz w:val="28"/>
          <w:szCs w:val="28"/>
          <w:vertAlign w:val="superscript"/>
        </w:rPr>
        <w:t>2</w:t>
      </w:r>
      <w:r>
        <w:rPr>
          <w:rFonts w:hint="eastAsia" w:ascii="宋体" w:hAnsi="宋体" w:cs="宋体"/>
          <w:color w:val="auto"/>
          <w:sz w:val="28"/>
          <w:szCs w:val="28"/>
        </w:rPr>
        <w:t>，4幢建筑面积：35.56m</w:t>
      </w:r>
      <w:r>
        <w:rPr>
          <w:rFonts w:hint="eastAsia" w:ascii="宋体" w:hAnsi="宋体" w:cs="宋体"/>
          <w:color w:val="auto"/>
          <w:sz w:val="28"/>
          <w:szCs w:val="28"/>
          <w:vertAlign w:val="superscript"/>
        </w:rPr>
        <w:t>2</w:t>
      </w:r>
      <w:r>
        <w:rPr>
          <w:rFonts w:hint="eastAsia" w:ascii="宋体" w:hAnsi="宋体" w:cs="宋体"/>
          <w:color w:val="auto"/>
          <w:sz w:val="28"/>
          <w:szCs w:val="28"/>
        </w:rPr>
        <w:t>，5幢建筑面积：55.66m</w:t>
      </w:r>
      <w:r>
        <w:rPr>
          <w:rFonts w:hint="eastAsia" w:ascii="宋体" w:hAnsi="宋体" w:cs="宋体"/>
          <w:color w:val="auto"/>
          <w:sz w:val="28"/>
          <w:szCs w:val="28"/>
          <w:vertAlign w:val="superscript"/>
        </w:rPr>
        <w:t>2</w:t>
      </w:r>
      <w:r>
        <w:rPr>
          <w:rFonts w:hint="eastAsia" w:ascii="宋体" w:hAnsi="宋体" w:cs="宋体"/>
          <w:color w:val="auto"/>
          <w:sz w:val="28"/>
          <w:szCs w:val="28"/>
        </w:rPr>
        <w:t>，6幢建筑面积：20.54m</w:t>
      </w:r>
      <w:r>
        <w:rPr>
          <w:rFonts w:hint="eastAsia" w:ascii="宋体" w:hAnsi="宋体" w:cs="宋体"/>
          <w:color w:val="auto"/>
          <w:sz w:val="28"/>
          <w:szCs w:val="28"/>
          <w:vertAlign w:val="superscript"/>
        </w:rPr>
        <w:t>2</w:t>
      </w:r>
      <w:r>
        <w:rPr>
          <w:rFonts w:hint="eastAsia" w:ascii="宋体" w:hAnsi="宋体" w:cs="宋体"/>
          <w:color w:val="auto"/>
          <w:sz w:val="28"/>
          <w:szCs w:val="28"/>
        </w:rPr>
        <w:t>，7幢建筑面积：208.76m</w:t>
      </w:r>
      <w:r>
        <w:rPr>
          <w:rFonts w:hint="eastAsia" w:ascii="宋体" w:hAnsi="宋体" w:cs="宋体"/>
          <w:color w:val="auto"/>
          <w:sz w:val="28"/>
          <w:szCs w:val="28"/>
          <w:vertAlign w:val="superscript"/>
        </w:rPr>
        <w:t>2</w:t>
      </w:r>
      <w:r>
        <w:rPr>
          <w:rFonts w:hint="eastAsia" w:ascii="宋体" w:hAnsi="宋体" w:cs="宋体"/>
          <w:color w:val="auto"/>
          <w:sz w:val="28"/>
          <w:szCs w:val="28"/>
        </w:rPr>
        <w:t>，8幢建筑面积：70.70m</w:t>
      </w:r>
      <w:r>
        <w:rPr>
          <w:rFonts w:hint="eastAsia" w:ascii="宋体" w:hAnsi="宋体" w:cs="宋体"/>
          <w:color w:val="auto"/>
          <w:sz w:val="28"/>
          <w:szCs w:val="28"/>
          <w:vertAlign w:val="superscript"/>
        </w:rPr>
        <w:t>2</w:t>
      </w:r>
      <w:r>
        <w:rPr>
          <w:rFonts w:hint="eastAsia" w:ascii="宋体" w:hAnsi="宋体" w:cs="宋体"/>
          <w:color w:val="auto"/>
          <w:sz w:val="28"/>
          <w:szCs w:val="28"/>
        </w:rPr>
        <w:t>)。</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⑩建造年代：约为1999年建造</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（3）其他权利状况：估价对象于2015年01月08日设定抵押至今；</w:t>
      </w:r>
    </w:p>
    <w:p>
      <w:pPr>
        <w:pStyle w:val="10"/>
        <w:spacing w:line="360" w:lineRule="auto"/>
        <w:ind w:firstLine="560" w:firstLineChars="200"/>
        <w:contextualSpacing/>
        <w:rPr>
          <w:rFonts w:hAnsi="宋体" w:cs="宋体"/>
          <w:color w:val="auto"/>
          <w:sz w:val="28"/>
          <w:szCs w:val="28"/>
        </w:rPr>
      </w:pPr>
      <w:r>
        <w:rPr>
          <w:rFonts w:hint="eastAsia" w:hAnsi="宋体" w:cs="宋体"/>
          <w:color w:val="auto"/>
          <w:sz w:val="28"/>
          <w:szCs w:val="28"/>
        </w:rPr>
        <w:t>（4）使用状况：全部自用；</w:t>
      </w:r>
    </w:p>
    <w:p>
      <w:pPr>
        <w:pStyle w:val="10"/>
        <w:spacing w:line="360" w:lineRule="auto"/>
        <w:ind w:firstLine="560" w:firstLineChars="200"/>
        <w:contextualSpacing/>
        <w:rPr>
          <w:rFonts w:hAnsi="宋体" w:cs="宋体"/>
          <w:color w:val="auto"/>
          <w:sz w:val="28"/>
          <w:szCs w:val="28"/>
        </w:rPr>
      </w:pPr>
      <w:r>
        <w:rPr>
          <w:rFonts w:hint="eastAsia" w:hAnsi="宋体" w:cs="宋体"/>
          <w:color w:val="auto"/>
          <w:sz w:val="28"/>
          <w:szCs w:val="28"/>
        </w:rPr>
        <w:t>（5）物业服务水平：无物业服务。</w:t>
      </w:r>
    </w:p>
    <w:p>
      <w:pPr>
        <w:pStyle w:val="3"/>
        <w:rPr>
          <w:rFonts w:ascii="宋体" w:hAnsi="宋体" w:eastAsia="宋体" w:cs="宋体"/>
          <w:color w:val="auto"/>
          <w:kern w:val="0"/>
          <w:sz w:val="28"/>
          <w:szCs w:val="28"/>
        </w:rPr>
      </w:pPr>
      <w:bookmarkStart w:id="111" w:name="_Toc417214139"/>
      <w:bookmarkStart w:id="112" w:name="_Toc16189211"/>
      <w:bookmarkStart w:id="113" w:name="_Toc15132"/>
      <w:bookmarkStart w:id="114" w:name="_Toc29247"/>
      <w:bookmarkStart w:id="115" w:name="_Toc417220317"/>
      <w:bookmarkStart w:id="116" w:name="_Toc522873494"/>
      <w:bookmarkStart w:id="117" w:name="_Toc16189048"/>
      <w:bookmarkStart w:id="118" w:name="_Toc414265241"/>
      <w:bookmarkStart w:id="119" w:name="_Toc521944359"/>
      <w:bookmarkStart w:id="120" w:name="_Toc32274"/>
      <w:bookmarkStart w:id="121" w:name="_Toc414265160"/>
      <w:bookmarkStart w:id="122" w:name="_Toc417282119"/>
      <w:bookmarkStart w:id="123" w:name="_Toc16665762"/>
      <w:r>
        <w:rPr>
          <w:rFonts w:hint="eastAsia" w:ascii="宋体" w:hAnsi="宋体" w:eastAsia="宋体" w:cs="宋体"/>
          <w:color w:val="auto"/>
          <w:kern w:val="0"/>
          <w:sz w:val="28"/>
          <w:szCs w:val="28"/>
        </w:rPr>
        <w:t>五、价值时点</w:t>
      </w:r>
      <w:bookmarkEnd w:id="111"/>
      <w:bookmarkEnd w:id="112"/>
      <w:bookmarkEnd w:id="113"/>
      <w:bookmarkEnd w:id="114"/>
      <w:bookmarkEnd w:id="115"/>
      <w:bookmarkEnd w:id="116"/>
      <w:bookmarkEnd w:id="117"/>
      <w:bookmarkEnd w:id="118"/>
      <w:bookmarkEnd w:id="119"/>
      <w:bookmarkEnd w:id="120"/>
      <w:bookmarkEnd w:id="121"/>
      <w:bookmarkEnd w:id="122"/>
      <w:bookmarkEnd w:id="123"/>
    </w:p>
    <w:p>
      <w:pPr>
        <w:adjustRightInd w:val="0"/>
        <w:snapToGrid w:val="0"/>
        <w:spacing w:line="360" w:lineRule="auto"/>
        <w:ind w:firstLine="555"/>
        <w:rPr>
          <w:rFonts w:ascii="宋体" w:hAnsi="宋体" w:cs="宋体"/>
          <w:color w:val="auto"/>
          <w:kern w:val="0"/>
          <w:sz w:val="28"/>
          <w:szCs w:val="28"/>
        </w:rPr>
      </w:pPr>
      <w:r>
        <w:rPr>
          <w:rFonts w:hint="eastAsia" w:ascii="宋体" w:hAnsi="宋体" w:cs="宋体"/>
          <w:color w:val="auto"/>
          <w:kern w:val="0"/>
          <w:sz w:val="28"/>
          <w:szCs w:val="28"/>
        </w:rPr>
        <w:t>2020年03月18日（现场勘察日）。</w:t>
      </w:r>
    </w:p>
    <w:p>
      <w:pPr>
        <w:pStyle w:val="3"/>
        <w:rPr>
          <w:rFonts w:ascii="宋体" w:hAnsi="宋体" w:eastAsia="宋体" w:cs="宋体"/>
          <w:color w:val="auto"/>
          <w:kern w:val="0"/>
          <w:sz w:val="28"/>
          <w:szCs w:val="28"/>
        </w:rPr>
      </w:pPr>
      <w:bookmarkStart w:id="124" w:name="_Toc414265161"/>
      <w:bookmarkStart w:id="125" w:name="_Toc10076"/>
      <w:bookmarkStart w:id="126" w:name="_Toc417214140"/>
      <w:bookmarkStart w:id="127" w:name="_Toc16189212"/>
      <w:bookmarkStart w:id="128" w:name="_Toc417220318"/>
      <w:bookmarkStart w:id="129" w:name="_Toc16189049"/>
      <w:bookmarkStart w:id="130" w:name="_Toc521944360"/>
      <w:bookmarkStart w:id="131" w:name="_Toc414265242"/>
      <w:bookmarkStart w:id="132" w:name="_Toc16665763"/>
      <w:bookmarkStart w:id="133" w:name="_Toc11923"/>
      <w:bookmarkStart w:id="134" w:name="_Toc8044"/>
      <w:bookmarkStart w:id="135" w:name="_Toc417282120"/>
      <w:bookmarkStart w:id="136" w:name="_Toc522873495"/>
      <w:r>
        <w:rPr>
          <w:rFonts w:hint="eastAsia" w:ascii="宋体" w:hAnsi="宋体" w:eastAsia="宋体" w:cs="宋体"/>
          <w:color w:val="auto"/>
          <w:kern w:val="0"/>
          <w:sz w:val="28"/>
          <w:szCs w:val="28"/>
        </w:rPr>
        <w:t>六、价值类型</w:t>
      </w:r>
      <w:bookmarkEnd w:id="124"/>
      <w:bookmarkEnd w:id="125"/>
      <w:bookmarkEnd w:id="126"/>
      <w:bookmarkEnd w:id="127"/>
      <w:bookmarkEnd w:id="128"/>
      <w:bookmarkEnd w:id="129"/>
      <w:bookmarkEnd w:id="130"/>
      <w:bookmarkEnd w:id="131"/>
      <w:bookmarkEnd w:id="132"/>
      <w:bookmarkEnd w:id="133"/>
      <w:bookmarkEnd w:id="134"/>
      <w:bookmarkEnd w:id="135"/>
      <w:bookmarkEnd w:id="136"/>
    </w:p>
    <w:p>
      <w:pPr>
        <w:snapToGrid w:val="0"/>
        <w:spacing w:line="360" w:lineRule="auto"/>
        <w:ind w:firstLine="560" w:firstLineChars="200"/>
        <w:rPr>
          <w:rFonts w:hint="eastAsia" w:ascii="宋体" w:hAnsi="宋体"/>
          <w:color w:val="auto"/>
          <w:kern w:val="0"/>
          <w:sz w:val="28"/>
          <w:szCs w:val="28"/>
        </w:rPr>
      </w:pPr>
      <w:r>
        <w:rPr>
          <w:rFonts w:hint="eastAsia" w:ascii="宋体" w:hAnsi="宋体"/>
          <w:color w:val="auto"/>
          <w:kern w:val="0"/>
          <w:sz w:val="28"/>
          <w:szCs w:val="28"/>
        </w:rPr>
        <w:t>价值标准：市场价值。</w:t>
      </w:r>
    </w:p>
    <w:p>
      <w:pPr>
        <w:adjustRightInd w:val="0"/>
        <w:snapToGrid w:val="0"/>
        <w:spacing w:line="336" w:lineRule="auto"/>
        <w:ind w:firstLine="548" w:firstLineChars="196"/>
        <w:rPr>
          <w:rFonts w:ascii="宋体" w:hAnsi="宋体" w:cs="宋体"/>
          <w:color w:val="auto"/>
          <w:kern w:val="0"/>
          <w:sz w:val="28"/>
          <w:szCs w:val="28"/>
        </w:rPr>
      </w:pPr>
      <w:r>
        <w:rPr>
          <w:rFonts w:hint="eastAsia" w:ascii="宋体" w:hAnsi="宋体"/>
          <w:color w:val="auto"/>
          <w:kern w:val="0"/>
          <w:sz w:val="28"/>
          <w:szCs w:val="28"/>
        </w:rPr>
        <w:t>价值内涵：在公开市场上最可能形成的价格。公开市场是指在该市场上交易双方进行交易的目的在于最大限度地追求经济效益，并掌握必要的市场信息，有较充裕的时间进行交易，对交易对象具有必要的专业知识，交易条件公开并不具有排它性。</w:t>
      </w:r>
    </w:p>
    <w:p>
      <w:pPr>
        <w:pStyle w:val="3"/>
        <w:rPr>
          <w:rFonts w:ascii="宋体" w:hAnsi="宋体" w:eastAsia="宋体" w:cs="宋体"/>
          <w:color w:val="auto"/>
          <w:kern w:val="0"/>
          <w:sz w:val="28"/>
          <w:szCs w:val="28"/>
        </w:rPr>
      </w:pPr>
      <w:bookmarkStart w:id="137" w:name="_Toc417214141"/>
      <w:bookmarkStart w:id="138" w:name="_Toc414265243"/>
      <w:bookmarkStart w:id="139" w:name="_Toc16189213"/>
      <w:bookmarkStart w:id="140" w:name="_Toc521944361"/>
      <w:bookmarkStart w:id="141" w:name="_Toc14658"/>
      <w:bookmarkStart w:id="142" w:name="_Toc10499"/>
      <w:bookmarkStart w:id="143" w:name="_Toc417282121"/>
      <w:bookmarkStart w:id="144" w:name="_Toc16665764"/>
      <w:bookmarkStart w:id="145" w:name="_Toc17721"/>
      <w:bookmarkStart w:id="146" w:name="_Toc417220319"/>
      <w:bookmarkStart w:id="147" w:name="_Toc16189050"/>
      <w:bookmarkStart w:id="148" w:name="_Toc414265162"/>
      <w:bookmarkStart w:id="149" w:name="_Toc522873496"/>
      <w:r>
        <w:rPr>
          <w:rFonts w:hint="eastAsia" w:ascii="宋体" w:hAnsi="宋体" w:eastAsia="宋体" w:cs="宋体"/>
          <w:color w:val="auto"/>
          <w:kern w:val="0"/>
          <w:sz w:val="28"/>
          <w:szCs w:val="28"/>
        </w:rPr>
        <w:t>七、估价原则</w:t>
      </w:r>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10"/>
        <w:spacing w:line="360" w:lineRule="auto"/>
        <w:ind w:firstLine="560"/>
        <w:rPr>
          <w:rFonts w:hAnsi="宋体" w:cs="宋体"/>
          <w:color w:val="auto"/>
          <w:kern w:val="0"/>
          <w:sz w:val="28"/>
          <w:szCs w:val="28"/>
        </w:rPr>
      </w:pPr>
      <w:r>
        <w:rPr>
          <w:rFonts w:hint="eastAsia" w:hAnsi="宋体" w:cs="宋体"/>
          <w:color w:val="auto"/>
          <w:kern w:val="0"/>
          <w:sz w:val="28"/>
          <w:szCs w:val="28"/>
        </w:rPr>
        <w:t>本次估价遵循独立、客观、公正原则；合法原则；价值时点原则；替代原则；最高最佳使用原则等房地产估价原则。</w:t>
      </w:r>
    </w:p>
    <w:p>
      <w:pPr>
        <w:pStyle w:val="8"/>
        <w:spacing w:line="360" w:lineRule="auto"/>
        <w:ind w:firstLine="501"/>
        <w:rPr>
          <w:rFonts w:ascii="宋体" w:hAnsi="宋体" w:eastAsia="宋体" w:cs="宋体"/>
          <w:color w:val="auto"/>
          <w:kern w:val="0"/>
          <w:sz w:val="28"/>
          <w:szCs w:val="28"/>
        </w:rPr>
      </w:pPr>
      <w:r>
        <w:rPr>
          <w:rFonts w:hint="eastAsia" w:ascii="宋体" w:hAnsi="宋体" w:eastAsia="宋体" w:cs="宋体"/>
          <w:color w:val="auto"/>
          <w:kern w:val="0"/>
          <w:sz w:val="28"/>
          <w:szCs w:val="28"/>
        </w:rPr>
        <w:t>1、独立、客观、公正原则</w:t>
      </w:r>
    </w:p>
    <w:p>
      <w:pPr>
        <w:pStyle w:val="10"/>
        <w:spacing w:line="360" w:lineRule="auto"/>
        <w:ind w:firstLine="560"/>
        <w:rPr>
          <w:rFonts w:hAnsi="宋体" w:cs="宋体"/>
          <w:color w:val="auto"/>
          <w:kern w:val="0"/>
          <w:sz w:val="28"/>
          <w:szCs w:val="28"/>
        </w:rPr>
      </w:pPr>
      <w:r>
        <w:rPr>
          <w:rFonts w:hint="eastAsia" w:hAnsi="宋体" w:cs="宋体"/>
          <w:color w:val="auto"/>
          <w:kern w:val="0"/>
          <w:sz w:val="28"/>
          <w:szCs w:val="28"/>
        </w:rPr>
        <w:t>独立、客观、公正原则要求房地产估价师站在中立的立场上，评估出对双方当事人来说均是公平合理的价格。</w:t>
      </w:r>
    </w:p>
    <w:p>
      <w:pPr>
        <w:pStyle w:val="10"/>
        <w:spacing w:line="360" w:lineRule="auto"/>
        <w:ind w:firstLine="560"/>
        <w:rPr>
          <w:rFonts w:hAnsi="宋体" w:cs="宋体"/>
          <w:color w:val="auto"/>
          <w:kern w:val="0"/>
          <w:sz w:val="28"/>
          <w:szCs w:val="28"/>
        </w:rPr>
      </w:pPr>
      <w:r>
        <w:rPr>
          <w:rFonts w:hint="eastAsia" w:hAnsi="宋体" w:cs="宋体"/>
          <w:color w:val="auto"/>
          <w:kern w:val="0"/>
          <w:sz w:val="28"/>
          <w:szCs w:val="28"/>
        </w:rPr>
        <w:t>2、合法原则</w:t>
      </w:r>
    </w:p>
    <w:p>
      <w:pPr>
        <w:pStyle w:val="10"/>
        <w:spacing w:line="360" w:lineRule="auto"/>
        <w:ind w:firstLine="560"/>
        <w:rPr>
          <w:rFonts w:hAnsi="宋体" w:cs="宋体"/>
          <w:color w:val="auto"/>
          <w:kern w:val="0"/>
          <w:sz w:val="28"/>
          <w:szCs w:val="28"/>
        </w:rPr>
      </w:pPr>
      <w:r>
        <w:rPr>
          <w:rFonts w:hint="eastAsia" w:hAnsi="宋体" w:cs="宋体"/>
          <w:color w:val="auto"/>
          <w:kern w:val="0"/>
          <w:sz w:val="28"/>
          <w:szCs w:val="28"/>
        </w:rPr>
        <w:t>合法原则要求房地产估价应以估价对象的合法权益为前提进行。合法权益包括合法产权、合法使用、合法处分等方面，应以房地产权属证书和有关证件为依据；在合法使用方面，应以城市规划、土地利用管制等为依据；在合法处分方面，应以法律、法规或合同（如土地使用人出让合同）等允许的处分方式为依据；在其他方面，如评估出的价格必须符合国家的价格政策。</w:t>
      </w:r>
    </w:p>
    <w:p>
      <w:pPr>
        <w:pStyle w:val="8"/>
        <w:spacing w:line="360" w:lineRule="auto"/>
        <w:ind w:firstLine="501"/>
        <w:rPr>
          <w:rFonts w:ascii="宋体" w:hAnsi="宋体" w:eastAsia="宋体" w:cs="宋体"/>
          <w:color w:val="auto"/>
          <w:kern w:val="0"/>
          <w:sz w:val="28"/>
          <w:szCs w:val="28"/>
        </w:rPr>
      </w:pPr>
      <w:r>
        <w:rPr>
          <w:rFonts w:hint="eastAsia" w:ascii="宋体" w:hAnsi="宋体" w:eastAsia="宋体" w:cs="宋体"/>
          <w:color w:val="auto"/>
          <w:kern w:val="0"/>
          <w:sz w:val="28"/>
          <w:szCs w:val="28"/>
        </w:rPr>
        <w:t>3、价值时点原则</w:t>
      </w:r>
    </w:p>
    <w:p>
      <w:pPr>
        <w:pStyle w:val="8"/>
        <w:spacing w:line="360" w:lineRule="auto"/>
        <w:ind w:firstLine="501"/>
        <w:rPr>
          <w:rFonts w:ascii="宋体" w:hAnsi="宋体" w:eastAsia="宋体" w:cs="宋体"/>
          <w:color w:val="auto"/>
          <w:kern w:val="0"/>
          <w:sz w:val="28"/>
          <w:szCs w:val="28"/>
        </w:rPr>
      </w:pPr>
      <w:r>
        <w:rPr>
          <w:rFonts w:hint="eastAsia" w:ascii="宋体" w:hAnsi="宋体" w:eastAsia="宋体" w:cs="宋体"/>
          <w:color w:val="auto"/>
          <w:kern w:val="0"/>
          <w:sz w:val="28"/>
          <w:szCs w:val="28"/>
        </w:rPr>
        <w:t>房地产市场是不断变化的，房地产价格具有很强的时间性，它是某一时点上的价格。在不同时点，同一宗房地产往往会有不同的价格。价值时点原则是指求取某一时点上的价格，所以在评估一宗房地产价格时，必须假定市场停止在价值时点上，同时估价对象房地产的状况通常也是以其在该时点时的状况为准。</w:t>
      </w:r>
    </w:p>
    <w:p>
      <w:pPr>
        <w:pStyle w:val="8"/>
        <w:spacing w:line="360" w:lineRule="auto"/>
        <w:ind w:firstLine="501"/>
        <w:rPr>
          <w:rFonts w:ascii="宋体" w:hAnsi="宋体" w:eastAsia="宋体" w:cs="宋体"/>
          <w:color w:val="auto"/>
          <w:kern w:val="0"/>
          <w:sz w:val="28"/>
          <w:szCs w:val="28"/>
        </w:rPr>
      </w:pPr>
      <w:r>
        <w:rPr>
          <w:rFonts w:hint="eastAsia" w:ascii="宋体" w:hAnsi="宋体" w:eastAsia="宋体" w:cs="宋体"/>
          <w:color w:val="auto"/>
          <w:kern w:val="0"/>
          <w:sz w:val="28"/>
          <w:szCs w:val="28"/>
        </w:rPr>
        <w:t>4、替代原则</w:t>
      </w:r>
    </w:p>
    <w:p>
      <w:pPr>
        <w:pStyle w:val="8"/>
        <w:spacing w:line="360" w:lineRule="auto"/>
        <w:ind w:firstLine="501"/>
        <w:rPr>
          <w:rFonts w:ascii="宋体" w:hAnsi="宋体" w:eastAsia="宋体" w:cs="宋体"/>
          <w:color w:val="auto"/>
          <w:kern w:val="0"/>
          <w:sz w:val="28"/>
          <w:szCs w:val="28"/>
        </w:rPr>
      </w:pPr>
      <w:r>
        <w:rPr>
          <w:rFonts w:hint="eastAsia" w:ascii="宋体" w:hAnsi="宋体" w:eastAsia="宋体" w:cs="宋体"/>
          <w:color w:val="auto"/>
          <w:kern w:val="0"/>
          <w:sz w:val="28"/>
          <w:szCs w:val="28"/>
        </w:rPr>
        <w:t>根据市场运行规律，在同一商品市场中，商品或提供服务的效用相同或大致相似时，价格低者吸引需求，即有两个以上互有替代性的商品或服务同时存在时，商品或服务的价格中经过相互影响与比较之后来决定的。</w:t>
      </w:r>
    </w:p>
    <w:p>
      <w:pPr>
        <w:adjustRightInd w:val="0"/>
        <w:snapToGrid w:val="0"/>
        <w:spacing w:line="360" w:lineRule="auto"/>
        <w:ind w:firstLine="548" w:firstLineChars="196"/>
        <w:rPr>
          <w:rFonts w:ascii="宋体" w:hAnsi="宋体" w:cs="宋体"/>
          <w:color w:val="auto"/>
          <w:kern w:val="0"/>
          <w:sz w:val="28"/>
          <w:szCs w:val="28"/>
        </w:rPr>
      </w:pPr>
      <w:r>
        <w:rPr>
          <w:rFonts w:hint="eastAsia" w:ascii="宋体" w:hAnsi="宋体" w:cs="宋体"/>
          <w:color w:val="auto"/>
          <w:kern w:val="0"/>
          <w:sz w:val="28"/>
          <w:szCs w:val="28"/>
        </w:rPr>
        <w:t>房地产价格也同样遵循替代规律，受其它具有相同使用价值的房地产，即同类型具有替代可能的房地产价格所牵制。换而言之，具有相同使用价值。替代可能的房地产之间，会相互影响和竞争，使价格相互牵制而趋于一致。</w:t>
      </w:r>
    </w:p>
    <w:p>
      <w:pPr>
        <w:pStyle w:val="10"/>
        <w:spacing w:line="360" w:lineRule="auto"/>
        <w:ind w:firstLine="560"/>
        <w:rPr>
          <w:rFonts w:hAnsi="宋体" w:cs="宋体"/>
          <w:color w:val="auto"/>
          <w:kern w:val="0"/>
          <w:sz w:val="28"/>
          <w:szCs w:val="28"/>
        </w:rPr>
      </w:pPr>
      <w:r>
        <w:rPr>
          <w:rFonts w:hint="eastAsia" w:hAnsi="宋体" w:cs="宋体"/>
          <w:color w:val="auto"/>
          <w:kern w:val="0"/>
          <w:sz w:val="28"/>
          <w:szCs w:val="28"/>
        </w:rPr>
        <w:t>5、最高最佳使用原则</w:t>
      </w:r>
    </w:p>
    <w:p>
      <w:pPr>
        <w:pStyle w:val="10"/>
        <w:spacing w:line="360" w:lineRule="auto"/>
        <w:ind w:firstLine="560"/>
        <w:rPr>
          <w:rFonts w:hAnsi="宋体" w:cs="宋体"/>
          <w:color w:val="auto"/>
          <w:kern w:val="0"/>
          <w:sz w:val="28"/>
          <w:szCs w:val="28"/>
        </w:rPr>
      </w:pPr>
      <w:r>
        <w:rPr>
          <w:rFonts w:hint="eastAsia" w:hAnsi="宋体" w:cs="宋体"/>
          <w:color w:val="auto"/>
          <w:kern w:val="0"/>
          <w:sz w:val="28"/>
          <w:szCs w:val="28"/>
        </w:rPr>
        <w:t>所谓的最高最佳使用时估价对象一种最可能的使用，这种最可能的使用时法律上的允许、技术上的可能、经济上的可行，经过充分合理的论证，并能给予估价对象带来最高价值的使用。它是一种具体表现，是以能使估价对象获利最多的用途和开发强度来衡量。这是因为在房地产市场中，每位房地产拥有者在主观上都试图充分发挥房地产的潜力，采用最高最佳利用方式，取得最大的收益。</w:t>
      </w:r>
    </w:p>
    <w:p>
      <w:pPr>
        <w:pStyle w:val="3"/>
        <w:spacing w:line="360" w:lineRule="auto"/>
        <w:rPr>
          <w:rFonts w:ascii="宋体" w:hAnsi="宋体" w:eastAsia="宋体" w:cs="宋体"/>
          <w:color w:val="auto"/>
          <w:kern w:val="0"/>
          <w:sz w:val="28"/>
          <w:szCs w:val="28"/>
        </w:rPr>
      </w:pPr>
      <w:bookmarkStart w:id="150" w:name="_Toc522873497"/>
      <w:bookmarkStart w:id="151" w:name="_Toc417220320"/>
      <w:bookmarkStart w:id="152" w:name="_Toc414265163"/>
      <w:bookmarkStart w:id="153" w:name="_Toc521944362"/>
      <w:bookmarkStart w:id="154" w:name="_Toc1017"/>
      <w:bookmarkStart w:id="155" w:name="_Toc16665765"/>
      <w:bookmarkStart w:id="156" w:name="_Toc417214142"/>
      <w:bookmarkStart w:id="157" w:name="_Toc22174"/>
      <w:bookmarkStart w:id="158" w:name="_Toc417282122"/>
      <w:bookmarkStart w:id="159" w:name="_Toc414265244"/>
      <w:bookmarkStart w:id="160" w:name="_Toc32717"/>
      <w:bookmarkStart w:id="161" w:name="_Toc16189051"/>
      <w:bookmarkStart w:id="162" w:name="_Toc16189214"/>
      <w:r>
        <w:rPr>
          <w:rFonts w:hint="eastAsia" w:ascii="宋体" w:hAnsi="宋体" w:eastAsia="宋体" w:cs="宋体"/>
          <w:color w:val="auto"/>
          <w:kern w:val="0"/>
          <w:sz w:val="28"/>
          <w:szCs w:val="28"/>
        </w:rPr>
        <w:t>八、估价依据</w:t>
      </w:r>
      <w:bookmarkEnd w:id="150"/>
      <w:bookmarkEnd w:id="151"/>
      <w:bookmarkEnd w:id="152"/>
      <w:bookmarkEnd w:id="153"/>
      <w:bookmarkEnd w:id="154"/>
      <w:bookmarkEnd w:id="155"/>
      <w:bookmarkEnd w:id="156"/>
      <w:bookmarkEnd w:id="157"/>
      <w:bookmarkEnd w:id="158"/>
      <w:bookmarkEnd w:id="159"/>
      <w:bookmarkEnd w:id="160"/>
      <w:bookmarkEnd w:id="161"/>
      <w:bookmarkEnd w:id="162"/>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（一）法律、法规、政策依据</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1、《中华人民共和国城市房地产管理法》（中华人民共和国主席令第七十二号），2009年8月 27日第十一届全国人民代表大会常务委员会第十次会议《全国人民代表大会常务委员会关于修改部分法律的决定》修正，自修正之日起实施；</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2、《中华人民共和国土地管理法》（中华人民共和国主席令第二十八号），2019年8月26日第十三届全国人民代表大会常务委员会第十二次会议《关于修改〈中华人民共和国土地管理法〉、〈中华人民共和国城市房地产管理法〉的决定》第三次修正，自2020年1月1日起施行；</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3、</w:t>
      </w:r>
      <w:r>
        <w:rPr>
          <w:rFonts w:hint="eastAsia" w:ascii="宋体" w:hAnsi="宋体" w:cs="宋体"/>
          <w:color w:val="auto"/>
          <w:sz w:val="28"/>
          <w:szCs w:val="28"/>
        </w:rPr>
        <w:t>《中华人民共和国物权法》（中华人民共和国主席令第六十二号），自2007年10月1日起施行</w:t>
      </w:r>
      <w:r>
        <w:rPr>
          <w:rFonts w:hint="eastAsia" w:ascii="宋体" w:hAnsi="宋体" w:cs="宋体"/>
          <w:color w:val="auto"/>
          <w:kern w:val="0"/>
          <w:sz w:val="28"/>
          <w:szCs w:val="28"/>
        </w:rPr>
        <w:t>；</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4、《中华人民共和国城乡规划法》；</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5、《中华人民共和国资产评估法》（中华人民共和国主席令第四十六号），自2016年12月1日起施行；</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6、《中华人民共和国城镇国有土地使用权出让和转让暂行条例》（国务院令第55号），自1999年5月 19日起施行；</w:t>
      </w:r>
    </w:p>
    <w:p>
      <w:pPr>
        <w:snapToGrid w:val="0"/>
        <w:spacing w:line="360" w:lineRule="auto"/>
        <w:ind w:firstLine="565" w:firstLineChars="202"/>
        <w:rPr>
          <w:rFonts w:ascii="宋体" w:hAnsi="宋体" w:cs="宋体"/>
          <w:color w:val="auto"/>
          <w:sz w:val="28"/>
          <w:szCs w:val="28"/>
        </w:rPr>
      </w:pPr>
      <w:r>
        <w:rPr>
          <w:rFonts w:hint="eastAsia" w:ascii="宋体" w:hAnsi="宋体" w:cs="宋体"/>
          <w:color w:val="auto"/>
          <w:sz w:val="28"/>
          <w:szCs w:val="28"/>
          <w:shd w:val="clear" w:color="auto" w:fill="FFFFFF"/>
        </w:rPr>
        <w:t>7、</w:t>
      </w:r>
      <w:bookmarkStart w:id="163" w:name="OLE_LINK2"/>
      <w:r>
        <w:rPr>
          <w:rFonts w:hint="eastAsia" w:ascii="宋体" w:hAnsi="宋体" w:cs="宋体"/>
          <w:color w:val="auto"/>
          <w:sz w:val="28"/>
          <w:szCs w:val="28"/>
        </w:rPr>
        <w:t>《人民法院委托评估工作规范》（法办〔2018〕273号）</w:t>
      </w:r>
      <w:bookmarkEnd w:id="163"/>
      <w:r>
        <w:rPr>
          <w:rFonts w:hint="eastAsia" w:ascii="宋体" w:hAnsi="宋体" w:cs="宋体"/>
          <w:color w:val="auto"/>
          <w:sz w:val="28"/>
          <w:szCs w:val="28"/>
        </w:rPr>
        <w:t>；</w:t>
      </w:r>
    </w:p>
    <w:p>
      <w:pPr>
        <w:snapToGrid w:val="0"/>
        <w:spacing w:beforeLines="50" w:line="360" w:lineRule="auto"/>
        <w:ind w:firstLine="560" w:firstLineChars="200"/>
        <w:rPr>
          <w:rFonts w:ascii="宋体" w:hAnsi="宋体" w:cs="宋体"/>
          <w:color w:val="auto"/>
          <w:sz w:val="28"/>
          <w:szCs w:val="28"/>
          <w:shd w:val="clear" w:color="auto" w:fill="FFFFFF"/>
        </w:rPr>
      </w:pPr>
      <w:r>
        <w:rPr>
          <w:rFonts w:hint="eastAsia" w:ascii="宋体" w:hAnsi="宋体" w:cs="宋体"/>
          <w:color w:val="auto"/>
          <w:sz w:val="28"/>
          <w:szCs w:val="28"/>
        </w:rPr>
        <w:t>8、</w:t>
      </w:r>
      <w:r>
        <w:rPr>
          <w:rFonts w:hint="eastAsia" w:ascii="宋体" w:hAnsi="宋体" w:cs="仿宋"/>
          <w:color w:val="auto"/>
          <w:sz w:val="28"/>
          <w:szCs w:val="28"/>
        </w:rPr>
        <w:t>《最高人民法院关于人民法院确定财产处置参考价若干问题的规定》（法释〔2018〕15号）。</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（二）技术依据</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sz w:val="28"/>
          <w:szCs w:val="28"/>
        </w:rPr>
        <w:t>1、中华人民共和国国家标准</w:t>
      </w:r>
      <w:r>
        <w:rPr>
          <w:rFonts w:hint="eastAsia" w:ascii="宋体" w:hAnsi="宋体" w:cs="宋体"/>
          <w:color w:val="auto"/>
          <w:kern w:val="0"/>
          <w:sz w:val="28"/>
          <w:szCs w:val="28"/>
        </w:rPr>
        <w:t>《房地产估价规范》（</w:t>
      </w:r>
      <w:r>
        <w:rPr>
          <w:rFonts w:hint="eastAsia" w:ascii="宋体" w:hAnsi="宋体" w:cs="宋体"/>
          <w:color w:val="auto"/>
          <w:sz w:val="28"/>
          <w:szCs w:val="28"/>
        </w:rPr>
        <w:t>GB/T50291－2015</w:t>
      </w:r>
      <w:r>
        <w:rPr>
          <w:rFonts w:hint="eastAsia" w:ascii="宋体" w:hAnsi="宋体" w:cs="宋体"/>
          <w:color w:val="auto"/>
          <w:kern w:val="0"/>
          <w:sz w:val="28"/>
          <w:szCs w:val="28"/>
        </w:rPr>
        <w:t>），自2015年12月1日起实施；</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2、中华人民共和国国家标准《城镇土地估价规程》（GB/T18508-2014），自2014年12月1日起实施；</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3、中华人民共和国国家标准《土地利用现状分类》（GB/T21010-2017），自2017年11月1日起实施；</w:t>
      </w:r>
    </w:p>
    <w:p>
      <w:pPr>
        <w:autoSpaceDE w:val="0"/>
        <w:autoSpaceDN w:val="0"/>
        <w:adjustRightInd w:val="0"/>
        <w:snapToGrid w:val="0"/>
        <w:spacing w:line="360" w:lineRule="auto"/>
        <w:ind w:firstLine="560" w:firstLineChars="200"/>
        <w:contextualSpacing/>
        <w:textAlignment w:val="bottom"/>
        <w:rPr>
          <w:rFonts w:ascii="宋体" w:hAnsi="宋体" w:cs="宋体"/>
          <w:color w:val="auto"/>
          <w:sz w:val="28"/>
          <w:szCs w:val="28"/>
        </w:rPr>
      </w:pPr>
      <w:r>
        <w:rPr>
          <w:rFonts w:hint="eastAsia" w:ascii="宋体" w:hAnsi="宋体" w:cs="宋体"/>
          <w:color w:val="auto"/>
          <w:kern w:val="0"/>
          <w:sz w:val="28"/>
          <w:szCs w:val="28"/>
          <w:lang w:val="en-US" w:eastAsia="zh-CN"/>
        </w:rPr>
        <w:t>4</w:t>
      </w:r>
      <w:r>
        <w:rPr>
          <w:rFonts w:hint="eastAsia" w:ascii="宋体" w:hAnsi="宋体" w:cs="宋体"/>
          <w:color w:val="auto"/>
          <w:kern w:val="0"/>
          <w:sz w:val="28"/>
          <w:szCs w:val="28"/>
        </w:rPr>
        <w:t>、</w:t>
      </w:r>
      <w:r>
        <w:rPr>
          <w:rFonts w:hint="eastAsia" w:ascii="宋体" w:hAnsi="宋体" w:cs="宋体"/>
          <w:color w:val="auto"/>
          <w:sz w:val="28"/>
          <w:szCs w:val="28"/>
        </w:rPr>
        <w:t>中华人民共和国国家标准</w:t>
      </w:r>
      <w:r>
        <w:rPr>
          <w:rFonts w:hint="eastAsia" w:ascii="宋体" w:hAnsi="宋体" w:cs="宋体"/>
          <w:color w:val="auto"/>
          <w:kern w:val="0"/>
          <w:sz w:val="28"/>
          <w:szCs w:val="28"/>
        </w:rPr>
        <w:t>《房地产估价基本术语标准》（</w:t>
      </w:r>
      <w:r>
        <w:rPr>
          <w:rFonts w:hint="eastAsia" w:ascii="宋体" w:hAnsi="宋体" w:cs="宋体"/>
          <w:color w:val="auto"/>
          <w:sz w:val="28"/>
          <w:szCs w:val="28"/>
        </w:rPr>
        <w:t>GB/T50899－2013</w:t>
      </w:r>
      <w:r>
        <w:rPr>
          <w:rFonts w:hint="eastAsia" w:ascii="宋体" w:hAnsi="宋体" w:cs="宋体"/>
          <w:color w:val="auto"/>
          <w:kern w:val="0"/>
          <w:sz w:val="28"/>
          <w:szCs w:val="28"/>
        </w:rPr>
        <w:t>），自2014年2月1日起实施。</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（三）委托方提供的有关资料</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1、《</w:t>
      </w:r>
      <w:r>
        <w:rPr>
          <w:rFonts w:hint="eastAsia" w:ascii="宋体" w:hAnsi="宋体" w:cs="宋体"/>
          <w:color w:val="auto"/>
          <w:sz w:val="28"/>
          <w:szCs w:val="28"/>
        </w:rPr>
        <w:t>云南省文山壮族苗族自治州中级人民法院委托书》（2020）云26执17号</w:t>
      </w:r>
      <w:r>
        <w:rPr>
          <w:rFonts w:hint="eastAsia" w:ascii="宋体" w:hAnsi="宋体" w:cs="宋体"/>
          <w:color w:val="auto"/>
          <w:kern w:val="0"/>
          <w:sz w:val="28"/>
          <w:szCs w:val="28"/>
        </w:rPr>
        <w:t>；</w:t>
      </w:r>
    </w:p>
    <w:p>
      <w:pPr>
        <w:adjustRightInd w:val="0"/>
        <w:snapToGrid w:val="0"/>
        <w:spacing w:line="360" w:lineRule="auto"/>
        <w:ind w:firstLine="560"/>
        <w:rPr>
          <w:rFonts w:ascii="宋体" w:hAnsi="宋体" w:cs="宋体"/>
          <w:color w:val="auto"/>
          <w:kern w:val="0"/>
          <w:sz w:val="28"/>
          <w:szCs w:val="28"/>
        </w:rPr>
      </w:pPr>
      <w:r>
        <w:rPr>
          <w:rFonts w:hint="eastAsia" w:ascii="宋体" w:hAnsi="宋体" w:cs="宋体"/>
          <w:color w:val="auto"/>
          <w:kern w:val="0"/>
          <w:sz w:val="28"/>
          <w:szCs w:val="28"/>
        </w:rPr>
        <w:t>2、《云南省文山壮族苗族自治州中级人民法院执行裁定书》（2016）云26执106号之一</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2、砚山县房权证平远镇字第2010228号《房屋所有权证》；</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3、砚国用（2010）第01587号《国有土地使用证》；</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4、</w:t>
      </w:r>
      <w:r>
        <w:rPr>
          <w:rFonts w:hint="eastAsia" w:ascii="宋体" w:hAnsi="宋体" w:cs="宋体"/>
          <w:color w:val="auto"/>
          <w:sz w:val="28"/>
          <w:shd w:val="solid" w:color="FFFFFF" w:fill="auto"/>
        </w:rPr>
        <w:t>同心联谊（文）测字（2020）第021号</w:t>
      </w:r>
      <w:r>
        <w:rPr>
          <w:rFonts w:hint="eastAsia" w:ascii="宋体" w:hAnsi="宋体" w:cs="宋体"/>
          <w:color w:val="auto"/>
          <w:sz w:val="28"/>
          <w:szCs w:val="28"/>
        </w:rPr>
        <w:t>《</w:t>
      </w:r>
      <w:r>
        <w:rPr>
          <w:rFonts w:hint="eastAsia" w:ascii="宋体" w:hAnsi="宋体" w:cs="宋体"/>
          <w:bCs/>
          <w:color w:val="auto"/>
          <w:sz w:val="28"/>
          <w:szCs w:val="28"/>
          <w:shd w:val="solid" w:color="FFFFFF" w:fill="auto"/>
        </w:rPr>
        <w:t>何忠慰位于平远镇新平社区小黑山</w:t>
      </w:r>
      <w:r>
        <w:rPr>
          <w:rFonts w:hint="eastAsia" w:ascii="宋体" w:hAnsi="宋体" w:cs="宋体"/>
          <w:bCs/>
          <w:color w:val="auto"/>
          <w:spacing w:val="30"/>
          <w:kern w:val="52"/>
          <w:position w:val="2"/>
          <w:sz w:val="28"/>
          <w:szCs w:val="28"/>
          <w:shd w:val="solid" w:color="FFFFFF" w:fill="auto"/>
        </w:rPr>
        <w:t>建构筑物面积测算报告</w:t>
      </w:r>
      <w:r>
        <w:rPr>
          <w:rFonts w:hint="eastAsia" w:ascii="宋体" w:hAnsi="宋体" w:cs="宋体"/>
          <w:color w:val="auto"/>
          <w:sz w:val="28"/>
          <w:szCs w:val="28"/>
        </w:rPr>
        <w:t>》。</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（四）估价方收集的有关资料</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1、《实地查看记录表》</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2、估价对象区域位置图；</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3、估价对象实景照片。</w:t>
      </w:r>
    </w:p>
    <w:p>
      <w:pPr>
        <w:pStyle w:val="3"/>
        <w:snapToGrid w:val="0"/>
        <w:spacing w:line="360" w:lineRule="auto"/>
        <w:rPr>
          <w:rFonts w:ascii="宋体" w:hAnsi="宋体" w:eastAsia="宋体" w:cs="宋体"/>
          <w:color w:val="auto"/>
          <w:kern w:val="0"/>
          <w:sz w:val="28"/>
          <w:szCs w:val="28"/>
        </w:rPr>
      </w:pPr>
      <w:bookmarkStart w:id="164" w:name="_Toc521944363"/>
      <w:bookmarkStart w:id="165" w:name="_Toc522873498"/>
      <w:bookmarkStart w:id="166" w:name="_Toc417282123"/>
      <w:bookmarkStart w:id="167" w:name="_Toc414265164"/>
      <w:bookmarkStart w:id="168" w:name="_Toc16665766"/>
      <w:bookmarkStart w:id="169" w:name="_Toc417220321"/>
      <w:bookmarkStart w:id="170" w:name="_Toc417214143"/>
      <w:bookmarkStart w:id="171" w:name="_Toc16189215"/>
      <w:bookmarkStart w:id="172" w:name="_Toc414265245"/>
      <w:bookmarkStart w:id="173" w:name="_Toc16481"/>
      <w:bookmarkStart w:id="174" w:name="_Toc16189052"/>
      <w:bookmarkStart w:id="175" w:name="_Toc20197"/>
      <w:bookmarkStart w:id="176" w:name="_Toc11087"/>
      <w:r>
        <w:rPr>
          <w:rFonts w:hint="eastAsia" w:ascii="宋体" w:hAnsi="宋体" w:eastAsia="宋体" w:cs="宋体"/>
          <w:color w:val="auto"/>
          <w:kern w:val="0"/>
          <w:sz w:val="28"/>
          <w:szCs w:val="28"/>
        </w:rPr>
        <w:t>九、估价方法</w:t>
      </w:r>
      <w:bookmarkEnd w:id="164"/>
      <w:bookmarkEnd w:id="165"/>
      <w:bookmarkEnd w:id="166"/>
      <w:bookmarkEnd w:id="167"/>
      <w:bookmarkEnd w:id="168"/>
      <w:bookmarkEnd w:id="169"/>
      <w:bookmarkEnd w:id="170"/>
      <w:bookmarkEnd w:id="171"/>
      <w:bookmarkEnd w:id="172"/>
      <w:bookmarkEnd w:id="173"/>
      <w:bookmarkEnd w:id="174"/>
      <w:bookmarkEnd w:id="175"/>
      <w:bookmarkEnd w:id="176"/>
    </w:p>
    <w:p>
      <w:pPr>
        <w:adjustRightInd w:val="0"/>
        <w:snapToGrid w:val="0"/>
        <w:spacing w:line="360" w:lineRule="auto"/>
        <w:ind w:firstLine="570"/>
        <w:rPr>
          <w:rFonts w:ascii="宋体" w:hAnsi="宋体" w:cs="宋体"/>
          <w:color w:val="auto"/>
          <w:kern w:val="0"/>
          <w:sz w:val="28"/>
          <w:szCs w:val="28"/>
        </w:rPr>
      </w:pPr>
      <w:bookmarkStart w:id="177" w:name="_Toc414265246"/>
      <w:bookmarkStart w:id="178" w:name="_Toc16665767"/>
      <w:bookmarkStart w:id="179" w:name="_Toc16189216"/>
      <w:bookmarkStart w:id="180" w:name="_Toc417220322"/>
      <w:bookmarkStart w:id="181" w:name="_Toc417282124"/>
      <w:bookmarkStart w:id="182" w:name="_Toc414265165"/>
      <w:bookmarkStart w:id="183" w:name="_Toc521944364"/>
      <w:bookmarkStart w:id="184" w:name="_Toc522873499"/>
      <w:bookmarkStart w:id="185" w:name="_Toc16189053"/>
      <w:bookmarkStart w:id="186" w:name="_Toc417214144"/>
      <w:r>
        <w:rPr>
          <w:rFonts w:hint="eastAsia" w:ascii="宋体" w:hAnsi="宋体" w:cs="宋体"/>
          <w:color w:val="auto"/>
          <w:kern w:val="0"/>
          <w:sz w:val="28"/>
          <w:szCs w:val="28"/>
        </w:rPr>
        <w:t>根据中华人民共和国《房地产估价规范》以及估价对象在价值时点现状的实际情况和委托方提供的有关评估资料，结合国家、当地政府有关房屋、土地政策、规定，依照估价惯例，根据估价规范要求并结合估价目的，以及估价对象现状。根据估价规范要求并结合估价目的，以及估价对象现状</w:t>
      </w:r>
      <w:r>
        <w:rPr>
          <w:rFonts w:hint="eastAsia" w:ascii="宋体" w:hAnsi="宋体" w:cs="宋体"/>
          <w:color w:val="auto"/>
          <w:kern w:val="0"/>
          <w:sz w:val="28"/>
          <w:szCs w:val="28"/>
          <w:lang w:eastAsia="zh-CN"/>
        </w:rPr>
        <w:t>。</w:t>
      </w:r>
      <w:r>
        <w:rPr>
          <w:rFonts w:hint="eastAsia" w:ascii="宋体" w:hAnsi="宋体" w:cs="宋体"/>
          <w:color w:val="auto"/>
          <w:kern w:val="0"/>
          <w:sz w:val="28"/>
          <w:szCs w:val="28"/>
        </w:rPr>
        <w:t>由于目前与估价对象同一区域内类似土地的交易较多，</w:t>
      </w:r>
      <w:r>
        <w:rPr>
          <w:rFonts w:hint="eastAsia" w:ascii="宋体" w:hAnsi="宋体" w:cs="宋体"/>
          <w:color w:val="auto"/>
          <w:sz w:val="28"/>
        </w:rPr>
        <w:t>估价对象位于砚山县平远镇新平社区小黑山，在平远镇集镇规划区域内，属于基准地价覆盖区，所处土地级别为平远镇Ⅰ级集镇住宅用地；</w:t>
      </w:r>
      <w:r>
        <w:rPr>
          <w:rFonts w:hint="eastAsia" w:ascii="宋体" w:hAnsi="宋体" w:cs="宋体"/>
          <w:color w:val="auto"/>
          <w:kern w:val="0"/>
          <w:sz w:val="28"/>
          <w:szCs w:val="28"/>
        </w:rPr>
        <w:t>建筑物结构在同类区域相类似的成本较易获取，故宜采用房地分开评估的方法，宗地采用市场比较法和基准地价修正法进行评估，房屋采用成本法进行评估，最后将两者相加得出估价对象房地产价值。</w:t>
      </w:r>
    </w:p>
    <w:p>
      <w:pPr>
        <w:adjustRightInd w:val="0"/>
        <w:snapToGrid w:val="0"/>
        <w:spacing w:line="360" w:lineRule="auto"/>
        <w:ind w:firstLine="570"/>
        <w:rPr>
          <w:rFonts w:ascii="宋体" w:hAnsi="宋体" w:cs="宋体"/>
          <w:color w:val="auto"/>
          <w:kern w:val="0"/>
          <w:sz w:val="28"/>
          <w:szCs w:val="28"/>
        </w:rPr>
      </w:pPr>
      <w:r>
        <w:rPr>
          <w:rFonts w:hint="eastAsia" w:ascii="宋体" w:hAnsi="宋体" w:cs="宋体"/>
          <w:color w:val="auto"/>
          <w:sz w:val="28"/>
          <w:szCs w:val="28"/>
        </w:rPr>
        <w:t>市场比较法：</w:t>
      </w:r>
      <w:r>
        <w:rPr>
          <w:rFonts w:hint="eastAsia" w:ascii="宋体" w:hAnsi="宋体" w:cs="宋体"/>
          <w:color w:val="auto"/>
          <w:kern w:val="0"/>
          <w:sz w:val="28"/>
          <w:szCs w:val="28"/>
        </w:rPr>
        <w:t>是根据土地市场中的替代原理，将估价对象与具有替代性的且在估价期日近期市场上交易的类似地产进行比较，并对类似地产的成交价格作适当修正，以此估算估价对象客观合理价格的方法。</w:t>
      </w:r>
    </w:p>
    <w:p>
      <w:pPr>
        <w:snapToGrid w:val="0"/>
        <w:spacing w:line="360" w:lineRule="auto"/>
        <w:ind w:firstLine="565" w:firstLineChars="202"/>
        <w:rPr>
          <w:rFonts w:ascii="宋体" w:hAnsi="宋体" w:cs="宋体"/>
          <w:color w:val="auto"/>
          <w:sz w:val="28"/>
        </w:rPr>
      </w:pPr>
      <w:r>
        <w:rPr>
          <w:rFonts w:hint="eastAsia" w:ascii="宋体" w:hAnsi="宋体" w:cs="宋体"/>
          <w:color w:val="auto"/>
          <w:sz w:val="28"/>
        </w:rPr>
        <w:t>基准地价修正法：是利用政府公示的城镇基准地价及基准地价修正体系成果，按照替代原则就待估宗地的区域条件和个别条件等与其所处区域的平均条件相比较，并对照修正体系选取相应的修正系数对基准地价进行修正，进而求取待估宗地在估价期日价格的方法</w:t>
      </w:r>
      <w:r>
        <w:rPr>
          <w:rFonts w:hint="eastAsia" w:ascii="宋体" w:hAnsi="宋体" w:cs="宋体"/>
          <w:color w:val="auto"/>
          <w:sz w:val="28"/>
          <w:szCs w:val="28"/>
        </w:rPr>
        <w:t>。</w:t>
      </w:r>
    </w:p>
    <w:p>
      <w:pPr>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成本法：是求取估价对象在价值时点的重新购建价格和折旧，然后将重新购建价格减去折旧来求取估价对象价值的方法。所谓重新购建价格，是指假设在价值时点重新取得全新状况的估价对象的必要支出，或者重新开发建设全新状况的估价对象的必要支出及应得利润，建筑物重新构建价格分为重建价格和重置价格。所谓折旧，是指各种原因造成的房地产价值减损。</w:t>
      </w:r>
    </w:p>
    <w:p>
      <w:pPr>
        <w:pStyle w:val="3"/>
        <w:rPr>
          <w:rFonts w:ascii="宋体" w:hAnsi="宋体" w:eastAsia="宋体" w:cs="宋体"/>
          <w:color w:val="auto"/>
          <w:kern w:val="0"/>
          <w:sz w:val="28"/>
          <w:szCs w:val="28"/>
        </w:rPr>
      </w:pPr>
      <w:bookmarkStart w:id="187" w:name="_Toc30277"/>
      <w:bookmarkStart w:id="188" w:name="_Toc10249"/>
      <w:bookmarkStart w:id="189" w:name="_Toc21146"/>
      <w:r>
        <w:rPr>
          <w:rFonts w:hint="eastAsia" w:ascii="宋体" w:hAnsi="宋体" w:eastAsia="宋体" w:cs="宋体"/>
          <w:color w:val="auto"/>
          <w:kern w:val="0"/>
          <w:sz w:val="28"/>
          <w:szCs w:val="28"/>
        </w:rPr>
        <w:t>十、估价结果</w:t>
      </w:r>
      <w:bookmarkEnd w:id="177"/>
      <w:bookmarkEnd w:id="178"/>
      <w:bookmarkEnd w:id="179"/>
      <w:bookmarkEnd w:id="180"/>
      <w:bookmarkEnd w:id="181"/>
      <w:bookmarkEnd w:id="182"/>
      <w:bookmarkEnd w:id="183"/>
      <w:bookmarkEnd w:id="184"/>
      <w:bookmarkEnd w:id="185"/>
      <w:bookmarkEnd w:id="186"/>
      <w:bookmarkEnd w:id="187"/>
      <w:bookmarkEnd w:id="188"/>
      <w:bookmarkEnd w:id="189"/>
    </w:p>
    <w:p>
      <w:pPr>
        <w:adjustRightInd w:val="0"/>
        <w:snapToGrid w:val="0"/>
        <w:spacing w:line="360" w:lineRule="auto"/>
        <w:ind w:firstLine="700" w:firstLineChars="250"/>
        <w:rPr>
          <w:rFonts w:hint="eastAsia" w:ascii="宋体" w:hAnsi="宋体" w:cs="宋体"/>
          <w:color w:val="auto"/>
          <w:sz w:val="28"/>
          <w:szCs w:val="28"/>
        </w:rPr>
      </w:pPr>
      <w:r>
        <w:rPr>
          <w:rFonts w:hint="eastAsia" w:ascii="宋体" w:hAnsi="宋体" w:cs="宋体"/>
          <w:color w:val="auto"/>
          <w:kern w:val="0"/>
          <w:sz w:val="28"/>
          <w:szCs w:val="28"/>
        </w:rPr>
        <w:t>本估价机构根据估价目的，遵循估价原则，运用科学的估价方法，按照规范的估价程序，依据中华人民共和国有关法律、法规以及《房地产估价规范》，在对估价对象进行了实地查看、广泛收集估价对象相关资料及有关市场资料的基础上，全面分析影响房地产市场价格因素，利用有关数学公式或数学模型和数据进行测算，根据测算结果以及市场行情并结合注册房地产估价师的专业经验，确定估价对象于价值时点满足估价设定条件下的价值为：</w:t>
      </w:r>
      <w:r>
        <w:rPr>
          <w:rFonts w:hint="eastAsia" w:ascii="宋体" w:hAnsi="宋体" w:cs="宋体"/>
          <w:color w:val="auto"/>
          <w:sz w:val="28"/>
          <w:szCs w:val="28"/>
        </w:rPr>
        <w:t>位于砚山县平远镇新平社区小黑山</w:t>
      </w:r>
      <w:r>
        <w:rPr>
          <w:rFonts w:hint="eastAsia" w:ascii="宋体" w:hAnsi="宋体" w:cs="宋体"/>
          <w:color w:val="auto"/>
          <w:kern w:val="0"/>
          <w:sz w:val="28"/>
          <w:szCs w:val="28"/>
        </w:rPr>
        <w:t>于价值时点</w:t>
      </w:r>
      <w:r>
        <w:rPr>
          <w:rFonts w:hint="eastAsia" w:ascii="宋体" w:hAnsi="宋体" w:cs="宋体"/>
          <w:color w:val="auto"/>
          <w:spacing w:val="22"/>
          <w:sz w:val="28"/>
          <w:szCs w:val="28"/>
        </w:rPr>
        <w:t>2020年03月18日</w:t>
      </w:r>
      <w:r>
        <w:rPr>
          <w:rFonts w:hint="eastAsia" w:ascii="宋体" w:hAnsi="宋体" w:cs="宋体"/>
          <w:color w:val="auto"/>
          <w:sz w:val="28"/>
          <w:szCs w:val="28"/>
          <w:lang w:val="zh-CN"/>
        </w:rPr>
        <w:t>的市场价值为</w:t>
      </w:r>
      <w:r>
        <w:rPr>
          <w:rFonts w:hint="eastAsia" w:ascii="宋体" w:hAnsi="宋体" w:cs="宋体"/>
          <w:color w:val="auto"/>
          <w:sz w:val="28"/>
          <w:szCs w:val="28"/>
        </w:rPr>
        <w:t>人民币大写：</w:t>
      </w:r>
      <w:bookmarkStart w:id="190" w:name="_Toc522873500"/>
      <w:bookmarkStart w:id="191" w:name="_Toc16189217"/>
      <w:bookmarkStart w:id="192" w:name="_Toc521944365"/>
      <w:bookmarkStart w:id="193" w:name="_Toc16665768"/>
      <w:bookmarkStart w:id="194" w:name="_Toc16189054"/>
      <w:r>
        <w:rPr>
          <w:rFonts w:hint="eastAsia" w:ascii="宋体" w:hAnsi="宋体" w:cs="宋体"/>
          <w:color w:val="auto"/>
          <w:sz w:val="28"/>
          <w:szCs w:val="28"/>
        </w:rPr>
        <w:t>叁佰玖拾</w:t>
      </w:r>
      <w:r>
        <w:rPr>
          <w:rFonts w:hint="eastAsia" w:ascii="宋体" w:hAnsi="宋体" w:cs="宋体"/>
          <w:color w:val="auto"/>
          <w:sz w:val="28"/>
          <w:szCs w:val="28"/>
          <w:lang w:eastAsia="zh-CN"/>
        </w:rPr>
        <w:t>伍</w:t>
      </w:r>
      <w:r>
        <w:rPr>
          <w:rFonts w:hint="eastAsia" w:ascii="宋体" w:hAnsi="宋体" w:cs="宋体"/>
          <w:color w:val="auto"/>
          <w:sz w:val="28"/>
          <w:szCs w:val="28"/>
        </w:rPr>
        <w:t>万</w:t>
      </w:r>
      <w:r>
        <w:rPr>
          <w:rFonts w:hint="eastAsia" w:ascii="宋体" w:hAnsi="宋体" w:cs="宋体"/>
          <w:color w:val="auto"/>
          <w:sz w:val="28"/>
          <w:szCs w:val="28"/>
          <w:lang w:eastAsia="zh-CN"/>
        </w:rPr>
        <w:t>柒</w:t>
      </w:r>
      <w:r>
        <w:rPr>
          <w:rFonts w:hint="eastAsia" w:ascii="宋体" w:hAnsi="宋体" w:cs="宋体"/>
          <w:color w:val="auto"/>
          <w:sz w:val="28"/>
          <w:szCs w:val="28"/>
        </w:rPr>
        <w:t>仟</w:t>
      </w:r>
      <w:r>
        <w:rPr>
          <w:rFonts w:hint="eastAsia" w:ascii="宋体" w:hAnsi="宋体" w:cs="宋体"/>
          <w:color w:val="auto"/>
          <w:sz w:val="28"/>
          <w:szCs w:val="28"/>
          <w:lang w:eastAsia="zh-CN"/>
        </w:rPr>
        <w:t>伍</w:t>
      </w:r>
      <w:r>
        <w:rPr>
          <w:rFonts w:hint="eastAsia" w:ascii="宋体" w:hAnsi="宋体" w:cs="宋体"/>
          <w:color w:val="auto"/>
          <w:sz w:val="28"/>
          <w:szCs w:val="28"/>
        </w:rPr>
        <w:t>佰元整（￥：39</w:t>
      </w:r>
      <w:r>
        <w:rPr>
          <w:rFonts w:hint="eastAsia" w:ascii="宋体" w:hAnsi="宋体" w:cs="宋体"/>
          <w:color w:val="auto"/>
          <w:sz w:val="28"/>
          <w:szCs w:val="28"/>
          <w:lang w:val="en-US" w:eastAsia="zh-CN"/>
        </w:rPr>
        <w:t>575</w:t>
      </w:r>
      <w:r>
        <w:rPr>
          <w:rFonts w:hint="eastAsia" w:ascii="宋体" w:hAnsi="宋体" w:cs="宋体"/>
          <w:color w:val="auto"/>
          <w:sz w:val="28"/>
          <w:szCs w:val="28"/>
        </w:rPr>
        <w:t>00.00元）。</w:t>
      </w:r>
    </w:p>
    <w:p>
      <w:pPr>
        <w:adjustRightInd w:val="0"/>
        <w:snapToGrid w:val="0"/>
        <w:spacing w:line="360" w:lineRule="auto"/>
        <w:ind w:firstLine="700" w:firstLineChars="250"/>
        <w:jc w:val="center"/>
        <w:rPr>
          <w:rFonts w:ascii="宋体" w:hAnsi="宋体" w:cs="宋体"/>
          <w:color w:val="auto"/>
          <w:sz w:val="28"/>
          <w:szCs w:val="28"/>
        </w:rPr>
      </w:pPr>
      <w:bookmarkStart w:id="195" w:name="_Toc29429"/>
      <w:bookmarkStart w:id="196" w:name="_Toc4356"/>
      <w:bookmarkStart w:id="197" w:name="_Toc16531"/>
      <w:r>
        <w:rPr>
          <w:rFonts w:hint="eastAsia" w:ascii="宋体" w:hAnsi="宋体" w:cs="宋体"/>
          <w:color w:val="auto"/>
          <w:sz w:val="28"/>
          <w:szCs w:val="28"/>
        </w:rPr>
        <w:t>估价结果表</w:t>
      </w:r>
    </w:p>
    <w:tbl>
      <w:tblPr>
        <w:tblStyle w:val="21"/>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
        <w:gridCol w:w="621"/>
        <w:gridCol w:w="1326"/>
        <w:gridCol w:w="1170"/>
        <w:gridCol w:w="1560"/>
        <w:gridCol w:w="1492"/>
        <w:gridCol w:w="916"/>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土地</w:t>
            </w:r>
          </w:p>
        </w:tc>
        <w:tc>
          <w:tcPr>
            <w:tcW w:w="4677" w:type="dxa"/>
            <w:gridSpan w:val="4"/>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土地面积（m</w:t>
            </w:r>
            <w:r>
              <w:rPr>
                <w:rFonts w:hint="eastAsia" w:ascii="宋体" w:hAnsi="宋体" w:cs="宋体"/>
                <w:color w:val="auto"/>
                <w:szCs w:val="21"/>
                <w:vertAlign w:val="superscript"/>
              </w:rPr>
              <w:t>2</w:t>
            </w:r>
            <w:r>
              <w:rPr>
                <w:rFonts w:hint="eastAsia" w:ascii="宋体" w:hAnsi="宋体" w:cs="宋体"/>
                <w:color w:val="auto"/>
                <w:szCs w:val="21"/>
              </w:rPr>
              <w:t>）</w:t>
            </w:r>
          </w:p>
        </w:tc>
        <w:tc>
          <w:tcPr>
            <w:tcW w:w="2408" w:type="dxa"/>
            <w:gridSpan w:val="2"/>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土地评估单价（元/m</w:t>
            </w:r>
            <w:r>
              <w:rPr>
                <w:rFonts w:hint="eastAsia" w:ascii="宋体" w:hAnsi="宋体" w:cs="宋体"/>
                <w:color w:val="auto"/>
                <w:szCs w:val="21"/>
                <w:vertAlign w:val="superscript"/>
              </w:rPr>
              <w:t>2</w:t>
            </w:r>
            <w:r>
              <w:rPr>
                <w:rFonts w:hint="eastAsia" w:ascii="宋体" w:hAnsi="宋体" w:cs="宋体"/>
                <w:color w:val="auto"/>
                <w:szCs w:val="21"/>
              </w:rPr>
              <w:t>）</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价值（万元）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4677" w:type="dxa"/>
            <w:gridSpan w:val="4"/>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2967.11</w:t>
            </w:r>
          </w:p>
        </w:tc>
        <w:tc>
          <w:tcPr>
            <w:tcW w:w="2408" w:type="dxa"/>
            <w:gridSpan w:val="2"/>
            <w:vAlign w:val="center"/>
          </w:tcPr>
          <w:p>
            <w:pPr>
              <w:adjustRightInd w:val="0"/>
              <w:snapToGrid w:val="0"/>
              <w:spacing w:line="360" w:lineRule="auto"/>
              <w:jc w:val="center"/>
              <w:rPr>
                <w:rFonts w:ascii="宋体" w:hAnsi="宋体" w:cs="宋体"/>
                <w:color w:val="auto"/>
                <w:szCs w:val="21"/>
              </w:rPr>
            </w:pPr>
            <w:r>
              <w:rPr>
                <w:rFonts w:hint="eastAsia" w:ascii="宋体" w:hAnsi="宋体" w:eastAsia="宋体" w:cs="宋体"/>
                <w:color w:val="auto"/>
                <w:sz w:val="18"/>
                <w:szCs w:val="18"/>
              </w:rPr>
              <w:t>11</w:t>
            </w:r>
            <w:r>
              <w:rPr>
                <w:rFonts w:hint="eastAsia" w:ascii="宋体" w:hAnsi="宋体" w:eastAsia="宋体" w:cs="宋体"/>
                <w:color w:val="auto"/>
                <w:sz w:val="18"/>
                <w:szCs w:val="18"/>
                <w:lang w:val="en-US" w:eastAsia="zh-CN"/>
              </w:rPr>
              <w:t>72.66</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34</w:t>
            </w:r>
            <w:r>
              <w:rPr>
                <w:rFonts w:hint="eastAsia" w:ascii="宋体" w:hAnsi="宋体" w:cs="宋体"/>
                <w:color w:val="auto"/>
                <w:szCs w:val="21"/>
                <w:lang w:val="en-US" w:eastAsia="zh-CN"/>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房屋</w:t>
            </w: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幢号</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建筑结构</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建筑面积</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（m</w:t>
            </w:r>
            <w:r>
              <w:rPr>
                <w:rFonts w:hint="eastAsia" w:ascii="宋体" w:hAnsi="宋体" w:cs="宋体"/>
                <w:color w:val="auto"/>
                <w:szCs w:val="21"/>
                <w:vertAlign w:val="superscript"/>
              </w:rPr>
              <w:t>2</w:t>
            </w:r>
            <w:r>
              <w:rPr>
                <w:rFonts w:hint="eastAsia" w:ascii="宋体" w:hAnsi="宋体" w:cs="宋体"/>
                <w:color w:val="auto"/>
                <w:szCs w:val="21"/>
              </w:rPr>
              <w:t>）</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重置成本单价</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（元/m</w:t>
            </w:r>
            <w:r>
              <w:rPr>
                <w:rFonts w:hint="eastAsia" w:ascii="宋体" w:hAnsi="宋体" w:cs="宋体"/>
                <w:color w:val="auto"/>
                <w:szCs w:val="21"/>
                <w:vertAlign w:val="superscript"/>
              </w:rPr>
              <w:t>2</w:t>
            </w:r>
            <w:r>
              <w:rPr>
                <w:rFonts w:hint="eastAsia" w:ascii="宋体" w:hAnsi="宋体" w:cs="宋体"/>
                <w:color w:val="auto"/>
                <w:szCs w:val="21"/>
              </w:rPr>
              <w:t>）</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装修单价</w:t>
            </w:r>
          </w:p>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（元/m</w:t>
            </w:r>
            <w:r>
              <w:rPr>
                <w:rFonts w:hint="eastAsia" w:ascii="宋体" w:hAnsi="宋体" w:cs="宋体"/>
                <w:color w:val="auto"/>
                <w:szCs w:val="21"/>
                <w:vertAlign w:val="superscript"/>
              </w:rPr>
              <w:t>2</w:t>
            </w:r>
            <w:r>
              <w:rPr>
                <w:rFonts w:hint="eastAsia" w:ascii="宋体" w:hAnsi="宋体" w:cs="宋体"/>
                <w:color w:val="auto"/>
                <w:szCs w:val="21"/>
              </w:rPr>
              <w:t>）</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成新率</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价值（万元)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有证</w:t>
            </w: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砖混</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379.30</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1080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restart"/>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无证</w:t>
            </w: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简易C</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56.64</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51.98</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620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彩钢瓦房</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86.36</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160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35%</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jc w:val="center"/>
              <w:rPr>
                <w:rFonts w:ascii="宋体" w:hAnsi="宋体" w:cs="宋体"/>
                <w:color w:val="auto"/>
                <w:szCs w:val="21"/>
              </w:rPr>
            </w:pPr>
            <w:r>
              <w:rPr>
                <w:rFonts w:hint="eastAsia" w:ascii="宋体" w:hAnsi="宋体" w:cs="宋体"/>
                <w:color w:val="auto"/>
                <w:szCs w:val="21"/>
              </w:rPr>
              <w:t>4</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35.56</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45%</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55.66</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20.54</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208.76</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620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50%</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vMerge w:val="continue"/>
            <w:vAlign w:val="center"/>
          </w:tcPr>
          <w:p>
            <w:pPr>
              <w:adjustRightInd w:val="0"/>
              <w:snapToGrid w:val="0"/>
              <w:spacing w:line="360" w:lineRule="auto"/>
              <w:jc w:val="center"/>
              <w:rPr>
                <w:rFonts w:ascii="宋体" w:hAnsi="宋体" w:cs="宋体"/>
                <w:color w:val="auto"/>
                <w:szCs w:val="21"/>
              </w:rPr>
            </w:pPr>
          </w:p>
        </w:tc>
        <w:tc>
          <w:tcPr>
            <w:tcW w:w="62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8</w:t>
            </w:r>
          </w:p>
        </w:tc>
        <w:tc>
          <w:tcPr>
            <w:tcW w:w="132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17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70.7</w:t>
            </w:r>
          </w:p>
        </w:tc>
        <w:tc>
          <w:tcPr>
            <w:tcW w:w="156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620</w:t>
            </w:r>
          </w:p>
        </w:tc>
        <w:tc>
          <w:tcPr>
            <w:tcW w:w="149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91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1" w:type="dxa"/>
            <w:gridSpan w:val="7"/>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共计</w:t>
            </w:r>
          </w:p>
        </w:tc>
        <w:tc>
          <w:tcPr>
            <w:tcW w:w="1589"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1" w:type="dxa"/>
            <w:gridSpan w:val="7"/>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房地产总价值</w:t>
            </w:r>
          </w:p>
        </w:tc>
        <w:tc>
          <w:tcPr>
            <w:tcW w:w="1589" w:type="dxa"/>
            <w:vAlign w:val="center"/>
          </w:tcPr>
          <w:p>
            <w:pPr>
              <w:adjustRightInd w:val="0"/>
              <w:snapToGrid w:val="0"/>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rPr>
              <w:t>39</w:t>
            </w:r>
            <w:r>
              <w:rPr>
                <w:rFonts w:hint="eastAsia" w:ascii="宋体" w:hAnsi="宋体" w:cs="宋体"/>
                <w:color w:val="auto"/>
                <w:szCs w:val="21"/>
                <w:lang w:val="en-US" w:eastAsia="zh-CN"/>
              </w:rPr>
              <w:t>5.75</w:t>
            </w:r>
          </w:p>
        </w:tc>
      </w:tr>
    </w:tbl>
    <w:p>
      <w:pPr>
        <w:pStyle w:val="3"/>
        <w:numPr>
          <w:ilvl w:val="0"/>
          <w:numId w:val="1"/>
        </w:numPr>
        <w:rPr>
          <w:rFonts w:hint="eastAsia" w:ascii="宋体" w:hAnsi="宋体" w:cs="宋体"/>
          <w:b/>
          <w:bCs/>
          <w:color w:val="auto"/>
          <w:sz w:val="28"/>
          <w:szCs w:val="28"/>
        </w:rPr>
      </w:pPr>
      <w:r>
        <w:rPr>
          <w:rFonts w:hint="eastAsia" w:ascii="宋体" w:hAnsi="宋体" w:eastAsia="宋体" w:cs="宋体"/>
          <w:color w:val="auto"/>
          <w:kern w:val="0"/>
          <w:sz w:val="28"/>
          <w:szCs w:val="28"/>
        </w:rPr>
        <w:t>注册房地产估价师</w:t>
      </w:r>
      <w:bookmarkEnd w:id="190"/>
      <w:bookmarkEnd w:id="191"/>
      <w:bookmarkEnd w:id="192"/>
      <w:bookmarkEnd w:id="193"/>
      <w:bookmarkEnd w:id="194"/>
      <w:bookmarkEnd w:id="195"/>
      <w:bookmarkEnd w:id="196"/>
      <w:bookmarkEnd w:id="197"/>
    </w:p>
    <w:p>
      <w:pPr>
        <w:rPr>
          <w:rFonts w:hint="eastAsia" w:ascii="宋体" w:hAnsi="宋体" w:eastAsia="宋体" w:cs="宋体"/>
          <w:color w:val="auto"/>
          <w:kern w:val="0"/>
          <w:sz w:val="28"/>
          <w:szCs w:val="28"/>
        </w:rPr>
      </w:pPr>
    </w:p>
    <w:p>
      <w:pPr>
        <w:rPr>
          <w:rFonts w:hint="eastAsia" w:ascii="宋体" w:hAnsi="宋体" w:eastAsia="宋体" w:cs="宋体"/>
          <w:color w:val="auto"/>
          <w:kern w:val="0"/>
          <w:sz w:val="28"/>
          <w:szCs w:val="28"/>
        </w:rPr>
      </w:pPr>
    </w:p>
    <w:p>
      <w:pPr>
        <w:adjustRightInd w:val="0"/>
        <w:snapToGrid w:val="0"/>
        <w:spacing w:line="360" w:lineRule="auto"/>
        <w:ind w:firstLine="555"/>
        <w:jc w:val="center"/>
        <w:rPr>
          <w:rFonts w:ascii="宋体" w:hAnsi="宋体" w:cs="宋体"/>
          <w:b/>
          <w:bCs/>
          <w:color w:val="auto"/>
          <w:sz w:val="28"/>
          <w:szCs w:val="28"/>
        </w:rPr>
      </w:pPr>
      <w:r>
        <w:rPr>
          <w:rFonts w:hint="eastAsia" w:ascii="宋体" w:hAnsi="宋体" w:cs="宋体"/>
          <w:b/>
          <w:bCs/>
          <w:color w:val="auto"/>
          <w:sz w:val="28"/>
          <w:szCs w:val="28"/>
        </w:rPr>
        <w:t>注册房地产估价师（盖章）</w:t>
      </w:r>
    </w:p>
    <w:tbl>
      <w:tblPr>
        <w:tblStyle w:val="20"/>
        <w:tblW w:w="9633"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897"/>
        <w:gridCol w:w="2127"/>
        <w:gridCol w:w="2693"/>
        <w:gridCol w:w="2916"/>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1134" w:hRule="atLeast"/>
          <w:jc w:val="center"/>
        </w:trPr>
        <w:tc>
          <w:tcPr>
            <w:tcW w:w="1897" w:type="dxa"/>
            <w:vAlign w:val="center"/>
          </w:tcPr>
          <w:p>
            <w:pPr>
              <w:spacing w:line="360" w:lineRule="auto"/>
              <w:jc w:val="center"/>
              <w:rPr>
                <w:rFonts w:ascii="宋体" w:hAnsi="宋体" w:cs="宋体"/>
                <w:b/>
                <w:color w:val="auto"/>
                <w:sz w:val="28"/>
                <w:szCs w:val="28"/>
              </w:rPr>
            </w:pPr>
            <w:r>
              <w:rPr>
                <w:rFonts w:hint="eastAsia" w:ascii="宋体" w:hAnsi="宋体" w:cs="宋体"/>
                <w:b/>
                <w:color w:val="auto"/>
                <w:sz w:val="28"/>
                <w:szCs w:val="28"/>
              </w:rPr>
              <w:t>姓名</w:t>
            </w:r>
          </w:p>
        </w:tc>
        <w:tc>
          <w:tcPr>
            <w:tcW w:w="2127" w:type="dxa"/>
            <w:vAlign w:val="center"/>
          </w:tcPr>
          <w:p>
            <w:pPr>
              <w:spacing w:line="360" w:lineRule="auto"/>
              <w:jc w:val="center"/>
              <w:rPr>
                <w:rFonts w:ascii="宋体" w:hAnsi="宋体" w:cs="宋体"/>
                <w:b/>
                <w:color w:val="auto"/>
                <w:sz w:val="28"/>
                <w:szCs w:val="28"/>
              </w:rPr>
            </w:pPr>
            <w:r>
              <w:rPr>
                <w:rFonts w:hint="eastAsia" w:ascii="宋体" w:hAnsi="宋体" w:cs="宋体"/>
                <w:b/>
                <w:color w:val="auto"/>
                <w:sz w:val="28"/>
                <w:szCs w:val="28"/>
              </w:rPr>
              <w:t>注册号</w:t>
            </w:r>
          </w:p>
        </w:tc>
        <w:tc>
          <w:tcPr>
            <w:tcW w:w="2693" w:type="dxa"/>
            <w:vAlign w:val="center"/>
          </w:tcPr>
          <w:p>
            <w:pPr>
              <w:spacing w:line="360" w:lineRule="auto"/>
              <w:jc w:val="center"/>
              <w:rPr>
                <w:rFonts w:ascii="宋体" w:hAnsi="宋体" w:cs="宋体"/>
                <w:b/>
                <w:color w:val="auto"/>
                <w:sz w:val="28"/>
                <w:szCs w:val="28"/>
              </w:rPr>
            </w:pPr>
            <w:r>
              <w:rPr>
                <w:rFonts w:hint="eastAsia" w:ascii="宋体" w:hAnsi="宋体" w:cs="宋体"/>
                <w:b/>
                <w:color w:val="auto"/>
                <w:sz w:val="28"/>
                <w:szCs w:val="28"/>
              </w:rPr>
              <w:t>签名</w:t>
            </w:r>
          </w:p>
        </w:tc>
        <w:tc>
          <w:tcPr>
            <w:tcW w:w="2916" w:type="dxa"/>
            <w:vAlign w:val="center"/>
          </w:tcPr>
          <w:p>
            <w:pPr>
              <w:spacing w:line="360" w:lineRule="auto"/>
              <w:jc w:val="center"/>
              <w:rPr>
                <w:rFonts w:ascii="宋体" w:hAnsi="宋体" w:cs="宋体"/>
                <w:b/>
                <w:color w:val="auto"/>
                <w:sz w:val="28"/>
                <w:szCs w:val="28"/>
              </w:rPr>
            </w:pPr>
            <w:r>
              <w:rPr>
                <w:rFonts w:hint="eastAsia" w:ascii="宋体" w:hAnsi="宋体" w:cs="宋体"/>
                <w:b/>
                <w:color w:val="auto"/>
                <w:sz w:val="28"/>
                <w:szCs w:val="28"/>
              </w:rPr>
              <w:t>签名日期</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40" w:hRule="atLeast"/>
          <w:jc w:val="center"/>
        </w:trPr>
        <w:tc>
          <w:tcPr>
            <w:tcW w:w="1897" w:type="dxa"/>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刘芳芳</w:t>
            </w:r>
          </w:p>
        </w:tc>
        <w:tc>
          <w:tcPr>
            <w:tcW w:w="2127" w:type="dxa"/>
            <w:vAlign w:val="center"/>
          </w:tcPr>
          <w:p>
            <w:pPr>
              <w:adjustRightInd w:val="0"/>
              <w:snapToGrid w:val="0"/>
              <w:spacing w:line="360" w:lineRule="auto"/>
              <w:jc w:val="center"/>
              <w:rPr>
                <w:rFonts w:ascii="宋体" w:hAnsi="宋体" w:cs="宋体"/>
                <w:color w:val="auto"/>
                <w:sz w:val="28"/>
                <w:szCs w:val="28"/>
              </w:rPr>
            </w:pPr>
            <w:r>
              <w:rPr>
                <w:rFonts w:hint="eastAsia" w:ascii="宋体" w:hAnsi="宋体" w:cs="宋体"/>
                <w:color w:val="auto"/>
                <w:sz w:val="28"/>
                <w:szCs w:val="28"/>
              </w:rPr>
              <w:t>5320150025</w:t>
            </w:r>
          </w:p>
        </w:tc>
        <w:tc>
          <w:tcPr>
            <w:tcW w:w="2693" w:type="dxa"/>
            <w:vAlign w:val="center"/>
          </w:tcPr>
          <w:p>
            <w:pPr>
              <w:adjustRightInd w:val="0"/>
              <w:snapToGrid w:val="0"/>
              <w:spacing w:line="360" w:lineRule="auto"/>
              <w:jc w:val="center"/>
              <w:rPr>
                <w:rFonts w:ascii="宋体" w:hAnsi="宋体" w:cs="宋体"/>
                <w:bCs/>
                <w:color w:val="auto"/>
                <w:sz w:val="28"/>
                <w:szCs w:val="28"/>
              </w:rPr>
            </w:pPr>
          </w:p>
        </w:tc>
        <w:tc>
          <w:tcPr>
            <w:tcW w:w="2916" w:type="dxa"/>
            <w:vAlign w:val="center"/>
          </w:tcPr>
          <w:p>
            <w:pPr>
              <w:adjustRightInd w:val="0"/>
              <w:snapToGrid w:val="0"/>
              <w:spacing w:line="360" w:lineRule="auto"/>
              <w:jc w:val="center"/>
              <w:rPr>
                <w:rFonts w:ascii="宋体" w:hAnsi="宋体" w:cs="宋体"/>
                <w:bCs/>
                <w:color w:val="auto"/>
                <w:sz w:val="28"/>
                <w:szCs w:val="28"/>
              </w:rPr>
            </w:pPr>
            <w:r>
              <w:rPr>
                <w:rFonts w:hint="eastAsia" w:ascii="宋体" w:hAnsi="宋体" w:cs="宋体"/>
                <w:bCs/>
                <w:color w:val="auto"/>
                <w:sz w:val="28"/>
                <w:szCs w:val="28"/>
              </w:rPr>
              <w:t>2020年4月20日</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08" w:hRule="atLeast"/>
          <w:jc w:val="center"/>
        </w:trPr>
        <w:tc>
          <w:tcPr>
            <w:tcW w:w="1897" w:type="dxa"/>
            <w:vAlign w:val="center"/>
          </w:tcPr>
          <w:p>
            <w:pPr>
              <w:adjustRightInd w:val="0"/>
              <w:snapToGrid w:val="0"/>
              <w:spacing w:line="360" w:lineRule="auto"/>
              <w:jc w:val="center"/>
              <w:rPr>
                <w:rFonts w:ascii="宋体" w:hAnsi="宋体" w:cs="宋体"/>
                <w:bCs/>
                <w:color w:val="auto"/>
                <w:sz w:val="28"/>
                <w:szCs w:val="28"/>
              </w:rPr>
            </w:pPr>
            <w:r>
              <w:rPr>
                <w:rFonts w:hint="eastAsia" w:ascii="宋体" w:hAnsi="宋体" w:cs="宋体"/>
                <w:color w:val="auto"/>
                <w:sz w:val="28"/>
                <w:szCs w:val="28"/>
              </w:rPr>
              <w:t>黄加林</w:t>
            </w:r>
          </w:p>
        </w:tc>
        <w:tc>
          <w:tcPr>
            <w:tcW w:w="2127" w:type="dxa"/>
            <w:vAlign w:val="center"/>
          </w:tcPr>
          <w:p>
            <w:pPr>
              <w:adjustRightInd w:val="0"/>
              <w:snapToGrid w:val="0"/>
              <w:spacing w:line="360" w:lineRule="auto"/>
              <w:jc w:val="center"/>
              <w:rPr>
                <w:rFonts w:ascii="宋体" w:hAnsi="宋体" w:cs="宋体"/>
                <w:bCs/>
                <w:color w:val="auto"/>
                <w:sz w:val="28"/>
                <w:szCs w:val="28"/>
              </w:rPr>
            </w:pPr>
            <w:r>
              <w:rPr>
                <w:rFonts w:hint="eastAsia" w:ascii="宋体" w:hAnsi="宋体" w:cs="宋体"/>
                <w:color w:val="auto"/>
                <w:sz w:val="28"/>
                <w:szCs w:val="28"/>
              </w:rPr>
              <w:t>5320160067</w:t>
            </w:r>
          </w:p>
        </w:tc>
        <w:tc>
          <w:tcPr>
            <w:tcW w:w="2693" w:type="dxa"/>
            <w:vAlign w:val="center"/>
          </w:tcPr>
          <w:p>
            <w:pPr>
              <w:adjustRightInd w:val="0"/>
              <w:snapToGrid w:val="0"/>
              <w:spacing w:line="360" w:lineRule="auto"/>
              <w:jc w:val="center"/>
              <w:rPr>
                <w:rFonts w:ascii="宋体" w:hAnsi="宋体" w:cs="宋体"/>
                <w:bCs/>
                <w:color w:val="auto"/>
                <w:sz w:val="28"/>
                <w:szCs w:val="28"/>
              </w:rPr>
            </w:pPr>
          </w:p>
        </w:tc>
        <w:tc>
          <w:tcPr>
            <w:tcW w:w="2916" w:type="dxa"/>
            <w:vAlign w:val="center"/>
          </w:tcPr>
          <w:p>
            <w:pPr>
              <w:adjustRightInd w:val="0"/>
              <w:snapToGrid w:val="0"/>
              <w:spacing w:line="360" w:lineRule="auto"/>
              <w:jc w:val="center"/>
              <w:rPr>
                <w:rFonts w:ascii="宋体" w:hAnsi="宋体" w:cs="宋体"/>
                <w:bCs/>
                <w:color w:val="auto"/>
                <w:sz w:val="28"/>
                <w:szCs w:val="28"/>
              </w:rPr>
            </w:pPr>
            <w:r>
              <w:rPr>
                <w:rFonts w:hint="eastAsia" w:ascii="宋体" w:hAnsi="宋体" w:cs="宋体"/>
                <w:bCs/>
                <w:color w:val="auto"/>
                <w:sz w:val="28"/>
                <w:szCs w:val="28"/>
              </w:rPr>
              <w:t>2020年4月20日</w:t>
            </w:r>
          </w:p>
        </w:tc>
      </w:tr>
    </w:tbl>
    <w:p>
      <w:pPr>
        <w:adjustRightInd w:val="0"/>
        <w:snapToGrid w:val="0"/>
        <w:spacing w:line="360" w:lineRule="auto"/>
        <w:ind w:firstLine="555"/>
        <w:jc w:val="center"/>
        <w:rPr>
          <w:rFonts w:ascii="宋体" w:hAnsi="宋体" w:cs="宋体"/>
          <w:b/>
          <w:bCs/>
          <w:color w:val="auto"/>
          <w:sz w:val="28"/>
          <w:szCs w:val="28"/>
        </w:rPr>
      </w:pPr>
    </w:p>
    <w:p>
      <w:pPr>
        <w:pStyle w:val="3"/>
        <w:rPr>
          <w:rFonts w:ascii="宋体" w:hAnsi="宋体" w:eastAsia="宋体" w:cs="宋体"/>
          <w:color w:val="auto"/>
          <w:kern w:val="0"/>
          <w:sz w:val="28"/>
          <w:szCs w:val="28"/>
        </w:rPr>
      </w:pPr>
      <w:bookmarkStart w:id="198" w:name="_Toc521944366"/>
      <w:bookmarkStart w:id="199" w:name="_Toc2489"/>
      <w:bookmarkStart w:id="200" w:name="_Toc414265166"/>
      <w:bookmarkStart w:id="201" w:name="_Toc16665769"/>
      <w:bookmarkStart w:id="202" w:name="_Toc417282125"/>
      <w:bookmarkStart w:id="203" w:name="_Toc16189055"/>
      <w:bookmarkStart w:id="204" w:name="_Toc522873501"/>
      <w:bookmarkStart w:id="205" w:name="_Toc16189218"/>
      <w:bookmarkStart w:id="206" w:name="_Toc22020"/>
      <w:bookmarkStart w:id="207" w:name="_Toc417214145"/>
      <w:bookmarkStart w:id="208" w:name="_Toc417220323"/>
      <w:bookmarkStart w:id="209" w:name="_Toc414265247"/>
      <w:bookmarkStart w:id="210" w:name="_Toc21534"/>
      <w:r>
        <w:rPr>
          <w:rFonts w:hint="eastAsia" w:ascii="宋体" w:hAnsi="宋体" w:eastAsia="宋体" w:cs="宋体"/>
          <w:color w:val="auto"/>
          <w:kern w:val="0"/>
          <w:sz w:val="28"/>
          <w:szCs w:val="28"/>
        </w:rPr>
        <w:t>十二、实地查勘期</w:t>
      </w:r>
      <w:bookmarkEnd w:id="198"/>
      <w:bookmarkEnd w:id="199"/>
      <w:bookmarkEnd w:id="200"/>
      <w:bookmarkEnd w:id="201"/>
      <w:bookmarkEnd w:id="202"/>
      <w:bookmarkEnd w:id="203"/>
      <w:bookmarkEnd w:id="204"/>
      <w:bookmarkEnd w:id="205"/>
      <w:bookmarkEnd w:id="206"/>
      <w:bookmarkEnd w:id="207"/>
      <w:bookmarkEnd w:id="208"/>
      <w:bookmarkEnd w:id="209"/>
      <w:bookmarkEnd w:id="210"/>
    </w:p>
    <w:p>
      <w:pPr>
        <w:adjustRightInd w:val="0"/>
        <w:snapToGrid w:val="0"/>
        <w:spacing w:line="360" w:lineRule="auto"/>
        <w:ind w:firstLine="810" w:firstLineChars="250"/>
        <w:rPr>
          <w:rFonts w:ascii="宋体" w:hAnsi="宋体" w:cs="宋体"/>
          <w:color w:val="auto"/>
          <w:kern w:val="0"/>
          <w:sz w:val="28"/>
          <w:szCs w:val="28"/>
        </w:rPr>
      </w:pPr>
      <w:r>
        <w:rPr>
          <w:rFonts w:hint="eastAsia" w:ascii="宋体" w:hAnsi="宋体" w:cs="宋体"/>
          <w:color w:val="auto"/>
          <w:spacing w:val="22"/>
          <w:sz w:val="28"/>
          <w:szCs w:val="28"/>
        </w:rPr>
        <w:t>2020年03月18日</w:t>
      </w:r>
    </w:p>
    <w:p>
      <w:pPr>
        <w:pStyle w:val="3"/>
        <w:rPr>
          <w:rFonts w:ascii="宋体" w:hAnsi="宋体" w:eastAsia="宋体" w:cs="宋体"/>
          <w:color w:val="auto"/>
          <w:kern w:val="0"/>
          <w:sz w:val="28"/>
          <w:szCs w:val="28"/>
        </w:rPr>
      </w:pPr>
      <w:bookmarkStart w:id="211" w:name="_Toc414265167"/>
      <w:bookmarkStart w:id="212" w:name="_Toc417214146"/>
      <w:bookmarkStart w:id="213" w:name="_Toc2609"/>
      <w:bookmarkStart w:id="214" w:name="_Toc414265248"/>
      <w:bookmarkStart w:id="215" w:name="_Toc417220324"/>
      <w:bookmarkStart w:id="216" w:name="_Toc22453"/>
      <w:bookmarkStart w:id="217" w:name="_Toc16665770"/>
      <w:bookmarkStart w:id="218" w:name="_Toc417282126"/>
      <w:bookmarkStart w:id="219" w:name="_Toc16189056"/>
      <w:bookmarkStart w:id="220" w:name="_Toc521944367"/>
      <w:bookmarkStart w:id="221" w:name="_Toc16189219"/>
      <w:bookmarkStart w:id="222" w:name="_Toc522873502"/>
      <w:bookmarkStart w:id="223" w:name="_Toc6949"/>
      <w:r>
        <w:rPr>
          <w:rFonts w:hint="eastAsia" w:ascii="宋体" w:hAnsi="宋体" w:eastAsia="宋体" w:cs="宋体"/>
          <w:color w:val="auto"/>
          <w:kern w:val="0"/>
          <w:sz w:val="28"/>
          <w:szCs w:val="28"/>
        </w:rPr>
        <w:t>十三、估价作业日期</w:t>
      </w:r>
      <w:bookmarkEnd w:id="211"/>
      <w:bookmarkEnd w:id="212"/>
      <w:bookmarkEnd w:id="213"/>
      <w:bookmarkEnd w:id="214"/>
      <w:bookmarkEnd w:id="215"/>
      <w:bookmarkEnd w:id="216"/>
      <w:bookmarkEnd w:id="217"/>
      <w:bookmarkEnd w:id="218"/>
      <w:bookmarkEnd w:id="219"/>
      <w:bookmarkEnd w:id="220"/>
      <w:bookmarkEnd w:id="221"/>
      <w:bookmarkEnd w:id="222"/>
      <w:bookmarkEnd w:id="223"/>
    </w:p>
    <w:p>
      <w:pPr>
        <w:adjustRightInd w:val="0"/>
        <w:snapToGrid w:val="0"/>
        <w:spacing w:line="360" w:lineRule="auto"/>
        <w:ind w:firstLine="810" w:firstLineChars="250"/>
        <w:rPr>
          <w:rFonts w:ascii="宋体" w:hAnsi="宋体" w:cs="宋体"/>
          <w:color w:val="auto"/>
        </w:rPr>
        <w:sectPr>
          <w:footerReference r:id="rId7" w:type="default"/>
          <w:endnotePr>
            <w:numFmt w:val="decimal"/>
          </w:endnotePr>
          <w:pgSz w:w="11906" w:h="16838"/>
          <w:pgMar w:top="1077" w:right="1361" w:bottom="1134" w:left="1304" w:header="851" w:footer="851" w:gutter="0"/>
          <w:pgNumType w:fmt="numberInDash"/>
          <w:cols w:space="720" w:num="1"/>
          <w:docGrid w:linePitch="312" w:charSpace="0"/>
        </w:sectPr>
      </w:pPr>
      <w:bookmarkStart w:id="224" w:name="_Toc414265249"/>
      <w:bookmarkStart w:id="225" w:name="_Toc414265168"/>
      <w:r>
        <w:rPr>
          <w:rFonts w:hint="eastAsia" w:ascii="宋体" w:hAnsi="宋体" w:cs="宋体"/>
          <w:color w:val="auto"/>
          <w:spacing w:val="22"/>
          <w:sz w:val="28"/>
          <w:szCs w:val="28"/>
        </w:rPr>
        <w:t>2020年03月11日—</w:t>
      </w:r>
      <w:bookmarkEnd w:id="224"/>
      <w:bookmarkEnd w:id="225"/>
      <w:r>
        <w:rPr>
          <w:rFonts w:hint="eastAsia" w:ascii="宋体" w:hAnsi="宋体" w:cs="宋体"/>
          <w:color w:val="auto"/>
          <w:spacing w:val="22"/>
          <w:sz w:val="28"/>
          <w:szCs w:val="28"/>
        </w:rPr>
        <w:t>2020年4月20日</w:t>
      </w:r>
    </w:p>
    <w:p>
      <w:pPr>
        <w:pStyle w:val="2"/>
        <w:snapToGrid w:val="0"/>
        <w:spacing w:line="360" w:lineRule="auto"/>
        <w:jc w:val="center"/>
        <w:rPr>
          <w:rFonts w:ascii="宋体" w:hAnsi="宋体" w:cs="宋体"/>
          <w:color w:val="auto"/>
          <w:sz w:val="36"/>
          <w:szCs w:val="36"/>
        </w:rPr>
      </w:pPr>
      <w:bookmarkStart w:id="226" w:name="_Toc417282130"/>
      <w:bookmarkStart w:id="227" w:name="_Toc13055"/>
      <w:bookmarkStart w:id="228" w:name="_Toc16189057"/>
      <w:bookmarkStart w:id="229" w:name="_Toc521944368"/>
      <w:bookmarkStart w:id="230" w:name="_Toc14514"/>
      <w:bookmarkStart w:id="231" w:name="_Toc417220328"/>
      <w:bookmarkStart w:id="232" w:name="_Toc12033"/>
      <w:bookmarkStart w:id="233" w:name="_Toc417214150"/>
      <w:bookmarkStart w:id="234" w:name="_Toc16189220"/>
      <w:bookmarkStart w:id="235" w:name="_Toc522873503"/>
      <w:bookmarkStart w:id="236" w:name="_Toc414265171"/>
      <w:bookmarkStart w:id="237" w:name="_Toc16665771"/>
      <w:bookmarkStart w:id="238" w:name="_Toc414265252"/>
      <w:r>
        <w:rPr>
          <w:rFonts w:hint="eastAsia" w:ascii="宋体" w:hAnsi="宋体" w:cs="宋体"/>
          <w:color w:val="auto"/>
          <w:sz w:val="36"/>
          <w:szCs w:val="36"/>
        </w:rPr>
        <w:t>估价技术报告</w:t>
      </w:r>
      <w:bookmarkEnd w:id="226"/>
      <w:bookmarkEnd w:id="227"/>
      <w:bookmarkEnd w:id="228"/>
      <w:bookmarkEnd w:id="229"/>
      <w:bookmarkEnd w:id="230"/>
      <w:bookmarkEnd w:id="231"/>
      <w:bookmarkEnd w:id="232"/>
      <w:bookmarkEnd w:id="233"/>
      <w:bookmarkEnd w:id="234"/>
      <w:bookmarkEnd w:id="235"/>
      <w:bookmarkEnd w:id="236"/>
      <w:bookmarkEnd w:id="237"/>
      <w:bookmarkEnd w:id="238"/>
    </w:p>
    <w:p>
      <w:pPr>
        <w:pStyle w:val="3"/>
        <w:rPr>
          <w:rFonts w:ascii="宋体" w:hAnsi="宋体" w:eastAsia="宋体" w:cs="宋体"/>
          <w:color w:val="auto"/>
          <w:kern w:val="0"/>
          <w:sz w:val="28"/>
          <w:szCs w:val="28"/>
        </w:rPr>
      </w:pPr>
      <w:bookmarkStart w:id="239" w:name="_Toc24402"/>
      <w:r>
        <w:rPr>
          <w:rFonts w:hint="eastAsia" w:ascii="宋体" w:hAnsi="宋体" w:eastAsia="宋体" w:cs="宋体"/>
          <w:color w:val="auto"/>
          <w:kern w:val="0"/>
          <w:sz w:val="28"/>
          <w:szCs w:val="28"/>
        </w:rPr>
        <w:t>一、估价对象描述与分析</w:t>
      </w:r>
      <w:bookmarkEnd w:id="239"/>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1、位置状况描述</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（1）坐落：砚山县平远镇新平社区小黑山；</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（2）方位：东临道路，南邻私人宗地，西临旱地，北临道路</w:t>
      </w:r>
      <w:r>
        <w:rPr>
          <w:rFonts w:hint="eastAsia" w:ascii="宋体" w:hAnsi="宋体" w:cs="宋体"/>
          <w:color w:val="auto"/>
          <w:kern w:val="0"/>
          <w:sz w:val="28"/>
          <w:szCs w:val="28"/>
        </w:rPr>
        <w:t>；</w:t>
      </w:r>
    </w:p>
    <w:p>
      <w:pPr>
        <w:tabs>
          <w:tab w:val="left" w:pos="360"/>
        </w:tabs>
        <w:spacing w:line="360" w:lineRule="auto"/>
        <w:ind w:right="57" w:firstLine="560" w:firstLineChars="200"/>
        <w:rPr>
          <w:rFonts w:hint="default" w:ascii="宋体" w:hAnsi="宋体" w:cs="宋体"/>
          <w:color w:val="auto"/>
          <w:sz w:val="28"/>
          <w:szCs w:val="28"/>
          <w:lang w:val="en-US"/>
        </w:rPr>
      </w:pPr>
      <w:r>
        <w:rPr>
          <w:rFonts w:hint="eastAsia" w:ascii="宋体" w:hAnsi="宋体" w:cs="宋体"/>
          <w:color w:val="auto"/>
          <w:sz w:val="28"/>
          <w:szCs w:val="28"/>
        </w:rPr>
        <w:t>（3）与重要场所距离：距平远镇政府590米，距砚山县第二人民医院1.5公里，距砚山县平远镇第二小学1.6公里</w:t>
      </w:r>
      <w:r>
        <w:rPr>
          <w:rFonts w:hint="eastAsia" w:ascii="宋体" w:hAnsi="宋体" w:cs="宋体"/>
          <w:color w:val="auto"/>
          <w:sz w:val="28"/>
          <w:szCs w:val="28"/>
          <w:lang w:eastAsia="zh-CN"/>
        </w:rPr>
        <w:t>，距农贸市场</w:t>
      </w:r>
      <w:r>
        <w:rPr>
          <w:rFonts w:hint="eastAsia" w:ascii="宋体" w:hAnsi="宋体" w:cs="宋体"/>
          <w:color w:val="auto"/>
          <w:sz w:val="28"/>
          <w:szCs w:val="28"/>
          <w:lang w:val="en-US" w:eastAsia="zh-CN"/>
        </w:rPr>
        <w:t>1.6公里；</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（4）临路状况：估价对象两面临路；</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（5）朝向：有证房屋朝向：朝南；无证房屋1幢朝向：朝南；2幢朝向：朝东；3幢朝向：朝南；4幢朝向：朝南；5幢朝向：朝北；6幢朝向：朝北；7幢朝向：朝北、朝西；8幢朝向：朝南。</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（6）房屋层数：有证房屋层数：2；无证房屋均为1层。</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（7）所在层数：有证房屋所在层：1-2；无证房屋所在层均为1-1。</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2、交通状况描述</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（1）道路状况：估价对象门前道路为一条弯弯曲曲的小路，该道路为土石路；</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（2）出入可利用的交通工具：该区域内无</w:t>
      </w:r>
      <w:r>
        <w:rPr>
          <w:rFonts w:hint="eastAsia" w:ascii="宋体" w:hAnsi="宋体" w:cs="宋体"/>
          <w:color w:val="auto"/>
          <w:spacing w:val="22"/>
          <w:sz w:val="28"/>
          <w:szCs w:val="28"/>
        </w:rPr>
        <w:t>公交车经过，出入可利用交通工具有：摩托车、出租车、网约车等</w:t>
      </w:r>
      <w:r>
        <w:rPr>
          <w:rFonts w:hint="eastAsia" w:ascii="宋体" w:hAnsi="宋体" w:cs="宋体"/>
          <w:color w:val="auto"/>
          <w:sz w:val="28"/>
          <w:szCs w:val="28"/>
        </w:rPr>
        <w:t>；</w:t>
      </w:r>
    </w:p>
    <w:p>
      <w:pPr>
        <w:tabs>
          <w:tab w:val="left" w:pos="360"/>
        </w:tabs>
        <w:spacing w:line="360" w:lineRule="auto"/>
        <w:ind w:right="57" w:firstLine="560" w:firstLineChars="200"/>
        <w:rPr>
          <w:rFonts w:ascii="宋体" w:hAnsi="宋体" w:cs="宋体"/>
          <w:color w:val="auto"/>
          <w:spacing w:val="22"/>
          <w:sz w:val="28"/>
          <w:szCs w:val="28"/>
        </w:rPr>
      </w:pPr>
      <w:r>
        <w:rPr>
          <w:rFonts w:hint="eastAsia" w:ascii="宋体" w:hAnsi="宋体" w:cs="宋体"/>
          <w:color w:val="auto"/>
          <w:sz w:val="28"/>
          <w:szCs w:val="28"/>
        </w:rPr>
        <w:t>（3）交通管制情况：祥平路与一些巷道相交形成该区域的交通路网，区域内</w:t>
      </w:r>
      <w:r>
        <w:rPr>
          <w:rFonts w:hint="eastAsia" w:ascii="宋体" w:hAnsi="宋体" w:cs="宋体"/>
          <w:color w:val="auto"/>
          <w:spacing w:val="22"/>
          <w:sz w:val="28"/>
          <w:szCs w:val="28"/>
        </w:rPr>
        <w:t>无公交车经过，</w:t>
      </w:r>
      <w:r>
        <w:rPr>
          <w:rFonts w:hint="eastAsia" w:ascii="宋体" w:hAnsi="宋体" w:cs="宋体"/>
          <w:color w:val="auto"/>
          <w:sz w:val="28"/>
          <w:szCs w:val="28"/>
        </w:rPr>
        <w:t>交通受一定管制；</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（4）停车方便程度：估价对象院内设有停车棚，停车方便。</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3、周围环境状况描述</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（1）自然环境:一般；</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（2）人文环境：人文环境一股；</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（3）景观：</w:t>
      </w:r>
      <w:r>
        <w:rPr>
          <w:rFonts w:hint="eastAsia" w:ascii="宋体" w:hAnsi="宋体" w:cs="宋体"/>
          <w:color w:val="auto"/>
          <w:sz w:val="28"/>
          <w:szCs w:val="28"/>
          <w:lang w:eastAsia="zh-CN"/>
        </w:rPr>
        <w:t>绿地覆盖率一般，</w:t>
      </w:r>
      <w:r>
        <w:rPr>
          <w:rFonts w:hint="eastAsia" w:ascii="宋体" w:hAnsi="宋体" w:cs="宋体"/>
          <w:color w:val="auto"/>
          <w:sz w:val="28"/>
          <w:szCs w:val="28"/>
        </w:rPr>
        <w:t>环境景观一般。</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4、外部配套设施状况描述</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（1）基础设施：五通一平；</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（2）公共服务设施：主要有中国石化加油站、中国南方电网等公共服务设施，公共服务设施一般；</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5、区位状况分析</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综上所述，估价对象位于砚山县平远镇新平社区小黑山</w:t>
      </w:r>
      <w:r>
        <w:rPr>
          <w:rFonts w:hint="eastAsia" w:ascii="宋体" w:hAnsi="宋体" w:cs="宋体"/>
          <w:color w:val="auto"/>
          <w:spacing w:val="20"/>
          <w:sz w:val="28"/>
          <w:szCs w:val="28"/>
        </w:rPr>
        <w:t>，周边公共服务设施一般，环境一般，生活不方便，周边大多为居民自建房，居住聚集度较聚集，交通较便利，有一定的区位优势</w:t>
      </w:r>
      <w:r>
        <w:rPr>
          <w:rFonts w:hint="eastAsia" w:ascii="宋体" w:hAnsi="宋体" w:cs="宋体"/>
          <w:color w:val="auto"/>
          <w:sz w:val="28"/>
          <w:szCs w:val="28"/>
        </w:rPr>
        <w:t>。</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 xml:space="preserve">（二）实物状况描述与分析 </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1、土地实物状况描述</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（1）名称及坐落：砚山县平远镇新平社区小黑山；</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（2）四至：东临道路，南邻私人宗地，西临旱地，北临道路</w:t>
      </w:r>
      <w:r>
        <w:rPr>
          <w:rFonts w:hint="eastAsia" w:ascii="宋体" w:hAnsi="宋体" w:cs="宋体"/>
          <w:color w:val="auto"/>
          <w:kern w:val="0"/>
          <w:sz w:val="28"/>
          <w:szCs w:val="28"/>
        </w:rPr>
        <w:t>；</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（3）土地使用权面积：2967.11m</w:t>
      </w:r>
      <w:r>
        <w:rPr>
          <w:rFonts w:hint="eastAsia" w:ascii="宋体" w:hAnsi="宋体" w:cs="宋体"/>
          <w:color w:val="auto"/>
          <w:sz w:val="28"/>
          <w:szCs w:val="28"/>
          <w:vertAlign w:val="superscript"/>
        </w:rPr>
        <w:t>2</w:t>
      </w:r>
      <w:r>
        <w:rPr>
          <w:rFonts w:hint="eastAsia" w:ascii="宋体" w:hAnsi="宋体" w:cs="宋体"/>
          <w:color w:val="auto"/>
          <w:sz w:val="28"/>
          <w:szCs w:val="28"/>
        </w:rPr>
        <w:t>；</w:t>
      </w:r>
    </w:p>
    <w:p>
      <w:pPr>
        <w:pStyle w:val="10"/>
        <w:spacing w:line="360" w:lineRule="auto"/>
        <w:ind w:firstLine="560"/>
        <w:contextualSpacing/>
        <w:rPr>
          <w:rFonts w:hAnsi="宋体" w:cs="宋体"/>
          <w:bCs/>
          <w:color w:val="auto"/>
          <w:sz w:val="28"/>
          <w:szCs w:val="28"/>
        </w:rPr>
      </w:pPr>
      <w:r>
        <w:rPr>
          <w:rFonts w:hint="eastAsia" w:hAnsi="宋体" w:cs="宋体"/>
          <w:color w:val="auto"/>
          <w:sz w:val="28"/>
          <w:szCs w:val="28"/>
        </w:rPr>
        <w:t>（4）用途：城镇单一住宅用地</w:t>
      </w:r>
      <w:r>
        <w:rPr>
          <w:rFonts w:hint="eastAsia" w:hAnsi="宋体" w:cs="宋体"/>
          <w:bCs/>
          <w:color w:val="auto"/>
          <w:sz w:val="28"/>
          <w:szCs w:val="28"/>
        </w:rPr>
        <w:t>；</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（3）形状：不</w:t>
      </w:r>
      <w:r>
        <w:rPr>
          <w:rFonts w:hint="eastAsia" w:ascii="宋体" w:hAnsi="宋体" w:cs="宋体"/>
          <w:color w:val="auto"/>
          <w:kern w:val="0"/>
          <w:sz w:val="28"/>
          <w:szCs w:val="28"/>
        </w:rPr>
        <w:t>规则</w:t>
      </w:r>
      <w:r>
        <w:rPr>
          <w:rFonts w:hint="eastAsia" w:ascii="宋体" w:hAnsi="宋体" w:cs="宋体"/>
          <w:color w:val="auto"/>
          <w:sz w:val="28"/>
          <w:szCs w:val="28"/>
        </w:rPr>
        <w:t>；</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（6）地形地势：</w:t>
      </w:r>
      <w:r>
        <w:rPr>
          <w:rFonts w:hint="eastAsia" w:ascii="宋体" w:hAnsi="宋体" w:cs="宋体"/>
          <w:color w:val="auto"/>
          <w:kern w:val="0"/>
          <w:sz w:val="28"/>
          <w:szCs w:val="28"/>
        </w:rPr>
        <w:t>平坦</w:t>
      </w:r>
      <w:r>
        <w:rPr>
          <w:rFonts w:hint="eastAsia" w:ascii="宋体" w:hAnsi="宋体" w:cs="宋体"/>
          <w:color w:val="auto"/>
          <w:kern w:val="0"/>
          <w:sz w:val="28"/>
          <w:szCs w:val="28"/>
          <w:lang w:eastAsia="zh-CN"/>
        </w:rPr>
        <w:t>，地质条件较好</w:t>
      </w:r>
      <w:r>
        <w:rPr>
          <w:rFonts w:hint="eastAsia" w:ascii="宋体" w:hAnsi="宋体" w:cs="宋体"/>
          <w:color w:val="auto"/>
          <w:sz w:val="28"/>
          <w:szCs w:val="28"/>
        </w:rPr>
        <w:t>；</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（7）开发程度：即宗地红线内五通一平（通供水、通排水、通路、通电、通讯，宗地内场地平整）；</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（8）土地利用状况：主要是住宅用房，目前为自用；</w:t>
      </w:r>
    </w:p>
    <w:p>
      <w:pPr>
        <w:adjustRightInd w:val="0"/>
        <w:snapToGrid w:val="0"/>
        <w:spacing w:line="360" w:lineRule="auto"/>
        <w:ind w:firstLine="560"/>
        <w:rPr>
          <w:rFonts w:hint="eastAsia" w:ascii="宋体" w:hAnsi="宋体"/>
          <w:color w:val="auto"/>
          <w:sz w:val="28"/>
          <w:szCs w:val="28"/>
        </w:rPr>
      </w:pPr>
      <w:r>
        <w:rPr>
          <w:rFonts w:hint="eastAsia" w:ascii="宋体" w:hAnsi="宋体" w:cs="宋体"/>
          <w:color w:val="auto"/>
          <w:sz w:val="28"/>
          <w:szCs w:val="28"/>
        </w:rPr>
        <w:t>（9）容积率：</w:t>
      </w:r>
      <w:r>
        <w:rPr>
          <w:rFonts w:hint="eastAsia" w:ascii="宋体" w:hAnsi="宋体"/>
          <w:color w:val="auto"/>
          <w:sz w:val="28"/>
          <w:szCs w:val="28"/>
        </w:rPr>
        <w:t>估价所需的《宗地用地规划设计条件》等资料，注册房地产估价师虽然进行了尽职调查，但仍难以取得，故本次评估根据</w:t>
      </w:r>
      <w:r>
        <w:rPr>
          <w:rFonts w:hint="eastAsia" w:ascii="宋体" w:hAnsi="宋体" w:cs="宋体"/>
          <w:color w:val="auto"/>
          <w:sz w:val="28"/>
          <w:szCs w:val="28"/>
        </w:rPr>
        <w:t>《砚山县平远镇城镇总体规划修编》</w:t>
      </w:r>
      <w:r>
        <w:rPr>
          <w:rFonts w:hint="eastAsia" w:ascii="宋体" w:hAnsi="宋体"/>
          <w:color w:val="auto"/>
          <w:sz w:val="28"/>
          <w:szCs w:val="28"/>
        </w:rPr>
        <w:t>确定的该宗地平均容积率为1.2。</w:t>
      </w:r>
    </w:p>
    <w:p>
      <w:pPr>
        <w:adjustRightInd w:val="0"/>
        <w:snapToGrid w:val="0"/>
        <w:spacing w:line="348" w:lineRule="auto"/>
        <w:ind w:left="420"/>
        <w:rPr>
          <w:rFonts w:ascii="宋体" w:hAnsi="宋体" w:cs="宋体"/>
          <w:color w:val="auto"/>
          <w:sz w:val="28"/>
          <w:szCs w:val="28"/>
        </w:rPr>
      </w:pPr>
      <w:r>
        <w:rPr>
          <w:rFonts w:hint="eastAsia" w:ascii="宋体" w:hAnsi="宋体"/>
          <w:color w:val="auto"/>
          <w:sz w:val="28"/>
          <w:szCs w:val="28"/>
          <w:lang w:eastAsia="zh-CN"/>
        </w:rPr>
        <w:t>（</w:t>
      </w:r>
      <w:r>
        <w:rPr>
          <w:rFonts w:hint="eastAsia" w:ascii="宋体" w:hAnsi="宋体"/>
          <w:color w:val="auto"/>
          <w:sz w:val="28"/>
          <w:szCs w:val="28"/>
          <w:lang w:val="en-US" w:eastAsia="zh-CN"/>
        </w:rPr>
        <w:t>10）</w:t>
      </w:r>
      <w:r>
        <w:rPr>
          <w:rFonts w:hint="eastAsia" w:ascii="宋体" w:hAnsi="宋体" w:cs="宋体"/>
          <w:color w:val="auto"/>
          <w:sz w:val="28"/>
          <w:szCs w:val="28"/>
        </w:rPr>
        <w:t>土地实物状况分析</w:t>
      </w:r>
    </w:p>
    <w:p>
      <w:pPr>
        <w:adjustRightInd w:val="0"/>
        <w:snapToGrid w:val="0"/>
        <w:spacing w:line="348" w:lineRule="auto"/>
        <w:ind w:firstLine="560"/>
        <w:rPr>
          <w:rFonts w:ascii="宋体" w:hAnsi="宋体" w:cs="宋体"/>
          <w:color w:val="auto"/>
          <w:sz w:val="28"/>
          <w:szCs w:val="28"/>
        </w:rPr>
      </w:pPr>
      <w:r>
        <w:rPr>
          <w:rFonts w:hint="eastAsia" w:ascii="宋体" w:hAnsi="宋体" w:cs="宋体"/>
          <w:color w:val="auto"/>
          <w:sz w:val="28"/>
          <w:szCs w:val="28"/>
        </w:rPr>
        <w:t>综上所述，该宗地形状不规则，地势平坦，地质条件较好，</w:t>
      </w:r>
      <w:r>
        <w:rPr>
          <w:rFonts w:hint="eastAsia" w:ascii="宋体" w:hAnsi="宋体" w:cs="宋体"/>
          <w:color w:val="auto"/>
          <w:sz w:val="28"/>
          <w:szCs w:val="28"/>
          <w:lang w:eastAsia="zh-CN"/>
        </w:rPr>
        <w:t>二</w:t>
      </w:r>
      <w:r>
        <w:rPr>
          <w:rFonts w:hint="eastAsia" w:ascii="宋体" w:hAnsi="宋体" w:cs="宋体"/>
          <w:color w:val="auto"/>
          <w:sz w:val="28"/>
          <w:szCs w:val="28"/>
        </w:rPr>
        <w:t>面临路，土地开发程度高，利用状况较好，对土地价值有正向影响。</w:t>
      </w:r>
    </w:p>
    <w:p>
      <w:pPr>
        <w:pStyle w:val="10"/>
        <w:spacing w:line="360" w:lineRule="auto"/>
        <w:ind w:firstLine="560"/>
        <w:contextualSpacing/>
        <w:rPr>
          <w:rFonts w:hAnsi="宋体" w:cs="宋体"/>
          <w:color w:val="auto"/>
          <w:kern w:val="0"/>
          <w:sz w:val="28"/>
          <w:szCs w:val="28"/>
        </w:rPr>
      </w:pPr>
      <w:r>
        <w:rPr>
          <w:rFonts w:hint="eastAsia" w:hAnsi="宋体" w:cs="宋体"/>
          <w:color w:val="auto"/>
          <w:kern w:val="0"/>
          <w:sz w:val="28"/>
          <w:szCs w:val="28"/>
        </w:rPr>
        <w:t>2、建筑物实物状况描述</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（1）总建筑面积：965.50m</w:t>
      </w:r>
      <w:r>
        <w:rPr>
          <w:rFonts w:hint="eastAsia" w:ascii="宋体" w:hAnsi="宋体" w:cs="宋体"/>
          <w:color w:val="auto"/>
          <w:sz w:val="28"/>
          <w:szCs w:val="28"/>
          <w:vertAlign w:val="superscript"/>
        </w:rPr>
        <w:t>2</w:t>
      </w:r>
      <w:r>
        <w:rPr>
          <w:rFonts w:hint="eastAsia" w:ascii="宋体" w:hAnsi="宋体" w:cs="宋体"/>
          <w:color w:val="auto"/>
          <w:sz w:val="28"/>
          <w:szCs w:val="28"/>
        </w:rPr>
        <w:t>，其中有证房屋建筑面积：379.30m</w:t>
      </w:r>
      <w:r>
        <w:rPr>
          <w:rFonts w:hint="eastAsia" w:ascii="宋体" w:hAnsi="宋体" w:cs="宋体"/>
          <w:color w:val="auto"/>
          <w:sz w:val="28"/>
          <w:szCs w:val="28"/>
          <w:vertAlign w:val="superscript"/>
        </w:rPr>
        <w:t>2</w:t>
      </w:r>
      <w:r>
        <w:rPr>
          <w:rFonts w:hint="eastAsia" w:ascii="宋体" w:hAnsi="宋体" w:cs="宋体"/>
          <w:color w:val="auto"/>
          <w:sz w:val="28"/>
          <w:szCs w:val="28"/>
        </w:rPr>
        <w:t>，无证房屋建筑面积：586.20m</w:t>
      </w:r>
      <w:r>
        <w:rPr>
          <w:rFonts w:hint="eastAsia" w:ascii="宋体" w:hAnsi="宋体" w:cs="宋体"/>
          <w:color w:val="auto"/>
          <w:sz w:val="28"/>
          <w:szCs w:val="28"/>
          <w:vertAlign w:val="superscript"/>
        </w:rPr>
        <w:t>2</w:t>
      </w:r>
      <w:r>
        <w:rPr>
          <w:rFonts w:hint="eastAsia" w:ascii="宋体" w:hAnsi="宋体" w:cs="宋体"/>
          <w:color w:val="auto"/>
          <w:sz w:val="28"/>
          <w:szCs w:val="28"/>
        </w:rPr>
        <w:t>（1幢建筑面积：56.64m</w:t>
      </w:r>
      <w:r>
        <w:rPr>
          <w:rFonts w:hint="eastAsia" w:ascii="宋体" w:hAnsi="宋体" w:cs="宋体"/>
          <w:color w:val="auto"/>
          <w:sz w:val="28"/>
          <w:szCs w:val="28"/>
          <w:vertAlign w:val="superscript"/>
        </w:rPr>
        <w:t>2</w:t>
      </w:r>
      <w:r>
        <w:rPr>
          <w:rFonts w:hint="eastAsia" w:ascii="宋体" w:hAnsi="宋体" w:cs="宋体"/>
          <w:color w:val="auto"/>
          <w:sz w:val="28"/>
          <w:szCs w:val="28"/>
        </w:rPr>
        <w:t>，2幢建筑面积：51.98m</w:t>
      </w:r>
      <w:r>
        <w:rPr>
          <w:rFonts w:hint="eastAsia" w:ascii="宋体" w:hAnsi="宋体" w:cs="宋体"/>
          <w:color w:val="auto"/>
          <w:sz w:val="28"/>
          <w:szCs w:val="28"/>
          <w:vertAlign w:val="superscript"/>
        </w:rPr>
        <w:t>2</w:t>
      </w:r>
      <w:r>
        <w:rPr>
          <w:rFonts w:hint="eastAsia" w:ascii="宋体" w:hAnsi="宋体" w:cs="宋体"/>
          <w:color w:val="auto"/>
          <w:sz w:val="28"/>
          <w:szCs w:val="28"/>
        </w:rPr>
        <w:t>，3幢建筑面积：86.36m</w:t>
      </w:r>
      <w:r>
        <w:rPr>
          <w:rFonts w:hint="eastAsia" w:ascii="宋体" w:hAnsi="宋体" w:cs="宋体"/>
          <w:color w:val="auto"/>
          <w:sz w:val="28"/>
          <w:szCs w:val="28"/>
          <w:vertAlign w:val="superscript"/>
        </w:rPr>
        <w:t>2</w:t>
      </w:r>
      <w:r>
        <w:rPr>
          <w:rFonts w:hint="eastAsia" w:ascii="宋体" w:hAnsi="宋体" w:cs="宋体"/>
          <w:color w:val="auto"/>
          <w:sz w:val="28"/>
          <w:szCs w:val="28"/>
        </w:rPr>
        <w:t>，4幢建筑面积：35.56m</w:t>
      </w:r>
      <w:r>
        <w:rPr>
          <w:rFonts w:hint="eastAsia" w:ascii="宋体" w:hAnsi="宋体" w:cs="宋体"/>
          <w:color w:val="auto"/>
          <w:sz w:val="28"/>
          <w:szCs w:val="28"/>
          <w:vertAlign w:val="superscript"/>
        </w:rPr>
        <w:t>2</w:t>
      </w:r>
      <w:r>
        <w:rPr>
          <w:rFonts w:hint="eastAsia" w:ascii="宋体" w:hAnsi="宋体" w:cs="宋体"/>
          <w:color w:val="auto"/>
          <w:sz w:val="28"/>
          <w:szCs w:val="28"/>
        </w:rPr>
        <w:t>，5幢建筑面积：55.66m</w:t>
      </w:r>
      <w:r>
        <w:rPr>
          <w:rFonts w:hint="eastAsia" w:ascii="宋体" w:hAnsi="宋体" w:cs="宋体"/>
          <w:color w:val="auto"/>
          <w:sz w:val="28"/>
          <w:szCs w:val="28"/>
          <w:vertAlign w:val="superscript"/>
        </w:rPr>
        <w:t>2</w:t>
      </w:r>
      <w:r>
        <w:rPr>
          <w:rFonts w:hint="eastAsia" w:ascii="宋体" w:hAnsi="宋体" w:cs="宋体"/>
          <w:color w:val="auto"/>
          <w:sz w:val="28"/>
          <w:szCs w:val="28"/>
        </w:rPr>
        <w:t>，6幢建筑面积：20.54m</w:t>
      </w:r>
      <w:r>
        <w:rPr>
          <w:rFonts w:hint="eastAsia" w:ascii="宋体" w:hAnsi="宋体" w:cs="宋体"/>
          <w:color w:val="auto"/>
          <w:sz w:val="28"/>
          <w:szCs w:val="28"/>
          <w:vertAlign w:val="superscript"/>
        </w:rPr>
        <w:t>2</w:t>
      </w:r>
      <w:r>
        <w:rPr>
          <w:rFonts w:hint="eastAsia" w:ascii="宋体" w:hAnsi="宋体" w:cs="宋体"/>
          <w:color w:val="auto"/>
          <w:sz w:val="28"/>
          <w:szCs w:val="28"/>
        </w:rPr>
        <w:t>，7幢建筑面积：208.76m</w:t>
      </w:r>
      <w:r>
        <w:rPr>
          <w:rFonts w:hint="eastAsia" w:ascii="宋体" w:hAnsi="宋体" w:cs="宋体"/>
          <w:color w:val="auto"/>
          <w:sz w:val="28"/>
          <w:szCs w:val="28"/>
          <w:vertAlign w:val="superscript"/>
        </w:rPr>
        <w:t>2</w:t>
      </w:r>
      <w:r>
        <w:rPr>
          <w:rFonts w:hint="eastAsia" w:ascii="宋体" w:hAnsi="宋体" w:cs="宋体"/>
          <w:color w:val="auto"/>
          <w:sz w:val="28"/>
          <w:szCs w:val="28"/>
        </w:rPr>
        <w:t>，8幢建筑面积：70.70m</w:t>
      </w:r>
      <w:r>
        <w:rPr>
          <w:rFonts w:hint="eastAsia" w:ascii="宋体" w:hAnsi="宋体" w:cs="宋体"/>
          <w:color w:val="auto"/>
          <w:sz w:val="28"/>
          <w:szCs w:val="28"/>
          <w:vertAlign w:val="superscript"/>
        </w:rPr>
        <w:t>2</w:t>
      </w:r>
      <w:r>
        <w:rPr>
          <w:rFonts w:hint="eastAsia" w:ascii="宋体" w:hAnsi="宋体" w:cs="宋体"/>
          <w:color w:val="auto"/>
          <w:sz w:val="28"/>
          <w:szCs w:val="28"/>
        </w:rPr>
        <w:t>。）；</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（2）用途：主要为住宅用；</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（3）层数:有证房屋层数为2层；无证房屋层数均为1层；</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（4）朝向：有证房屋朝向：朝南；无证房屋1幢朝向：朝南；2幢朝向：朝东；3幢朝向：朝南；4幢朝向：朝南；5幢朝向：朝北；6幢朝向：朝北；7幢朝向：朝北、朝西；8幢朝向：朝南；</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5）建筑结构：有证房屋建筑结构：砖混；无证房屋1幢建筑结构：简易C；2幢建筑结构：砖木C；3幢建筑结构：彩钢瓦房；4幢建筑结构：简易A；5幢建筑结构：简易A；6幢建筑结构：简易A；7幢建筑结构：砖木C；8幢建筑结构：砖木C；</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（6）设施设备：水电、消防等设施均较齐全；</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（7）层高：均约3.0米；</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（8）建成时间：均为1999年；</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9）装饰装修：有证装饰装修：外墙贴瓷砖，内墙刷双飞粉，地面铺砌地板砖，部分铺木地板条，门窗部分为钢窗钢门，部分为实木包门，装修为普通装修；无证房屋1幢装饰装修：彩钢瓦棚，铝合金窗作简易围护，毛坯房；2幢装饰装修：外墙刷双飞粉，内墙刷双飞粉，水泥地坪，毛坯房；3幢装饰装修：彩钢瓦棚，无围护，毛坯；4幢装饰装修：彩钢瓦棚，无围护，毛坯；5幢装饰装修：毛坯房；6幢装饰装修：毛坯房；7幢装饰装修：毛坯房；8幢装饰装修：毛坯房；</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（10）使用及维护状况、完损状况：有证房屋维护保养较好，完损状况为基本完好；无证房屋维护保养均为较差，完损状况均为一般损坏房。</w:t>
      </w:r>
    </w:p>
    <w:p>
      <w:pPr>
        <w:adjustRightInd w:val="0"/>
        <w:snapToGrid w:val="0"/>
        <w:spacing w:line="360" w:lineRule="auto"/>
        <w:ind w:left="420"/>
        <w:rPr>
          <w:rFonts w:ascii="宋体" w:hAnsi="宋体" w:cs="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11）建筑物实</w:t>
      </w:r>
      <w:r>
        <w:rPr>
          <w:rFonts w:hint="eastAsia" w:ascii="宋体" w:hAnsi="宋体" w:cs="宋体"/>
          <w:color w:val="auto"/>
          <w:sz w:val="28"/>
          <w:szCs w:val="28"/>
        </w:rPr>
        <w:t>物状况分析</w:t>
      </w:r>
    </w:p>
    <w:p>
      <w:pPr>
        <w:adjustRightInd w:val="0"/>
        <w:snapToGrid w:val="0"/>
        <w:spacing w:line="348" w:lineRule="auto"/>
        <w:ind w:firstLine="560"/>
        <w:rPr>
          <w:rFonts w:ascii="宋体" w:hAnsi="宋体" w:cs="宋体"/>
          <w:color w:val="auto"/>
          <w:sz w:val="28"/>
          <w:szCs w:val="28"/>
        </w:rPr>
      </w:pPr>
      <w:r>
        <w:rPr>
          <w:rFonts w:hint="eastAsia" w:ascii="宋体" w:hAnsi="宋体" w:cs="宋体"/>
          <w:color w:val="auto"/>
          <w:sz w:val="28"/>
          <w:szCs w:val="28"/>
        </w:rPr>
        <w:t>综上所述，房屋约建于1999年，有证房屋维护保养较好，完损状况为基本完好；无证房屋维护保养均为较差，完损状况均为一般损坏房，对建构筑物</w:t>
      </w:r>
      <w:r>
        <w:rPr>
          <w:rFonts w:hint="eastAsia" w:ascii="宋体" w:hAnsi="宋体" w:cs="宋体"/>
          <w:color w:val="auto"/>
          <w:sz w:val="28"/>
          <w:szCs w:val="28"/>
          <w:lang w:eastAsia="zh-CN"/>
        </w:rPr>
        <w:t>价值</w:t>
      </w:r>
      <w:r>
        <w:rPr>
          <w:rFonts w:hint="eastAsia" w:ascii="宋体" w:hAnsi="宋体" w:cs="宋体"/>
          <w:color w:val="auto"/>
          <w:sz w:val="28"/>
          <w:szCs w:val="28"/>
        </w:rPr>
        <w:t>有负向影响。</w:t>
      </w:r>
    </w:p>
    <w:p>
      <w:pPr>
        <w:tabs>
          <w:tab w:val="left" w:pos="360"/>
        </w:tabs>
        <w:spacing w:line="360" w:lineRule="auto"/>
        <w:ind w:right="57" w:firstLine="560" w:firstLineChars="200"/>
        <w:rPr>
          <w:rFonts w:ascii="宋体" w:hAnsi="宋体" w:cs="宋体"/>
          <w:color w:val="auto"/>
          <w:sz w:val="28"/>
          <w:szCs w:val="28"/>
        </w:rPr>
      </w:pPr>
      <w:r>
        <w:rPr>
          <w:rFonts w:hint="eastAsia" w:ascii="宋体" w:hAnsi="宋体" w:cs="宋体"/>
          <w:color w:val="auto"/>
          <w:sz w:val="28"/>
          <w:szCs w:val="28"/>
        </w:rPr>
        <w:t>（三）权益状况描述与分析</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（1）土地权益状况</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①土地使用证号：砚国用（2010）第01587号</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②地号：532622102-0C-05-127</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③地类用途：城镇单一住宅用地</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④使用权类型：出让</w:t>
      </w:r>
    </w:p>
    <w:p>
      <w:pPr>
        <w:adjustRightInd w:val="0"/>
        <w:snapToGrid w:val="0"/>
        <w:spacing w:line="360" w:lineRule="auto"/>
        <w:ind w:firstLine="560" w:firstLineChars="200"/>
        <w:rPr>
          <w:rFonts w:ascii="宋体" w:hAnsi="宋体" w:cs="宋体"/>
          <w:color w:val="auto"/>
          <w:sz w:val="28"/>
          <w:szCs w:val="28"/>
          <w:vertAlign w:val="superscript"/>
        </w:rPr>
      </w:pPr>
      <w:r>
        <w:rPr>
          <w:rFonts w:hint="eastAsia" w:ascii="宋体" w:hAnsi="宋体" w:cs="宋体"/>
          <w:color w:val="auto"/>
          <w:sz w:val="28"/>
          <w:szCs w:val="28"/>
        </w:rPr>
        <w:t>⑤使用权面积：2967.11m</w:t>
      </w:r>
      <w:r>
        <w:rPr>
          <w:rFonts w:hint="eastAsia" w:ascii="宋体" w:hAnsi="宋体" w:cs="宋体"/>
          <w:color w:val="auto"/>
          <w:sz w:val="28"/>
          <w:szCs w:val="28"/>
          <w:vertAlign w:val="superscript"/>
        </w:rPr>
        <w:t>2</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⑥终止日期：2074年09月01日</w:t>
      </w:r>
    </w:p>
    <w:p>
      <w:pPr>
        <w:pStyle w:val="10"/>
        <w:numPr>
          <w:ilvl w:val="0"/>
          <w:numId w:val="2"/>
        </w:numPr>
        <w:spacing w:line="360" w:lineRule="auto"/>
        <w:ind w:firstLine="560"/>
        <w:contextualSpacing/>
        <w:rPr>
          <w:rFonts w:hAnsi="宋体" w:cs="宋体"/>
          <w:color w:val="auto"/>
          <w:sz w:val="28"/>
          <w:szCs w:val="28"/>
        </w:rPr>
      </w:pPr>
      <w:r>
        <w:rPr>
          <w:rFonts w:hint="eastAsia" w:hAnsi="宋体" w:cs="宋体"/>
          <w:color w:val="auto"/>
          <w:sz w:val="28"/>
          <w:szCs w:val="28"/>
        </w:rPr>
        <w:t>建筑物权益状况</w:t>
      </w:r>
    </w:p>
    <w:p>
      <w:pPr>
        <w:pStyle w:val="10"/>
        <w:spacing w:line="360" w:lineRule="auto"/>
        <w:ind w:firstLine="560"/>
        <w:contextualSpacing/>
        <w:rPr>
          <w:rFonts w:hAnsi="宋体" w:cs="宋体"/>
          <w:color w:val="auto"/>
          <w:sz w:val="28"/>
          <w:szCs w:val="28"/>
        </w:rPr>
      </w:pPr>
      <w:r>
        <w:rPr>
          <w:rFonts w:hint="eastAsia" w:hAnsi="宋体" w:cs="宋体"/>
          <w:color w:val="auto"/>
          <w:sz w:val="28"/>
          <w:szCs w:val="28"/>
        </w:rPr>
        <w:t>①房屋所有权证号：砚山县房权证平远镇字第2010228号</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②房屋所有权人：何忠慰</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③共有情况：单独所有</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④建筑结构：有证房屋建筑结构：砖混；无证房屋1幢建筑结构：简易C；2幢建筑结构：砖木C；3幢建筑结构：彩钢瓦房；4幢建筑结构：简易A；5幢建筑结构：简易A；6幢建筑结构：简易A；7幢建筑结构：砖木C；8幢建筑结构：砖木C。</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⑤房屋总层数：有证房屋层数为2层；无证房屋层数均为1层。</w:t>
      </w:r>
    </w:p>
    <w:p>
      <w:pPr>
        <w:adjustRightInd w:val="0"/>
        <w:snapToGrid w:val="0"/>
        <w:spacing w:line="360" w:lineRule="auto"/>
        <w:ind w:firstLine="562"/>
        <w:rPr>
          <w:rFonts w:ascii="宋体" w:hAnsi="宋体" w:cs="宋体"/>
          <w:color w:val="auto"/>
          <w:sz w:val="28"/>
          <w:szCs w:val="28"/>
        </w:rPr>
      </w:pPr>
      <w:r>
        <w:rPr>
          <w:rFonts w:hint="eastAsia" w:ascii="宋体" w:hAnsi="宋体" w:cs="宋体"/>
          <w:color w:val="auto"/>
          <w:sz w:val="28"/>
          <w:szCs w:val="28"/>
        </w:rPr>
        <w:t>⑥所在层数：有证房屋所在层为1-2层；无证房屋所在层均为1-1层。</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⑦总建筑面积：965.50m</w:t>
      </w:r>
      <w:r>
        <w:rPr>
          <w:rFonts w:hint="eastAsia" w:ascii="宋体" w:hAnsi="宋体" w:cs="宋体"/>
          <w:color w:val="auto"/>
          <w:sz w:val="28"/>
          <w:szCs w:val="28"/>
          <w:vertAlign w:val="superscript"/>
        </w:rPr>
        <w:t>2</w:t>
      </w:r>
      <w:r>
        <w:rPr>
          <w:rFonts w:hint="eastAsia" w:ascii="宋体" w:hAnsi="宋体" w:cs="宋体"/>
          <w:color w:val="auto"/>
          <w:sz w:val="28"/>
          <w:szCs w:val="28"/>
        </w:rPr>
        <w:t>，其中有证房屋建筑面积：379.30m</w:t>
      </w:r>
      <w:r>
        <w:rPr>
          <w:rFonts w:hint="eastAsia" w:ascii="宋体" w:hAnsi="宋体" w:cs="宋体"/>
          <w:color w:val="auto"/>
          <w:sz w:val="28"/>
          <w:szCs w:val="28"/>
          <w:vertAlign w:val="superscript"/>
        </w:rPr>
        <w:t>2</w:t>
      </w:r>
      <w:r>
        <w:rPr>
          <w:rFonts w:hint="eastAsia" w:ascii="宋体" w:hAnsi="宋体" w:cs="宋体"/>
          <w:color w:val="auto"/>
          <w:sz w:val="28"/>
          <w:szCs w:val="28"/>
        </w:rPr>
        <w:t>，无证房屋建筑面积：586.20m</w:t>
      </w:r>
      <w:r>
        <w:rPr>
          <w:rFonts w:hint="eastAsia" w:ascii="宋体" w:hAnsi="宋体" w:cs="宋体"/>
          <w:color w:val="auto"/>
          <w:sz w:val="28"/>
          <w:szCs w:val="28"/>
          <w:vertAlign w:val="superscript"/>
        </w:rPr>
        <w:t>2</w:t>
      </w:r>
      <w:r>
        <w:rPr>
          <w:rFonts w:hint="eastAsia" w:ascii="宋体" w:hAnsi="宋体" w:cs="宋体"/>
          <w:color w:val="auto"/>
          <w:sz w:val="28"/>
          <w:szCs w:val="28"/>
        </w:rPr>
        <w:t>；</w:t>
      </w:r>
    </w:p>
    <w:p>
      <w:pPr>
        <w:pStyle w:val="10"/>
        <w:spacing w:line="360" w:lineRule="auto"/>
        <w:ind w:firstLine="560" w:firstLineChars="200"/>
        <w:contextualSpacing/>
        <w:rPr>
          <w:rFonts w:hAnsi="宋体" w:cs="宋体"/>
          <w:color w:val="auto"/>
          <w:sz w:val="28"/>
          <w:szCs w:val="28"/>
        </w:rPr>
      </w:pPr>
      <w:r>
        <w:rPr>
          <w:rFonts w:hint="eastAsia" w:hAnsi="宋体" w:cs="宋体"/>
          <w:color w:val="auto"/>
          <w:sz w:val="28"/>
          <w:szCs w:val="28"/>
        </w:rPr>
        <w:t>（3）其他权利状况：估价对象于2015年01月08日设定抵押至今 ；</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（4）使用状况：主要为住宅使用，目前为自用；</w:t>
      </w:r>
    </w:p>
    <w:p>
      <w:pPr>
        <w:pStyle w:val="10"/>
        <w:spacing w:line="360" w:lineRule="auto"/>
        <w:ind w:firstLine="560" w:firstLineChars="200"/>
        <w:contextualSpacing/>
        <w:rPr>
          <w:rFonts w:hAnsi="宋体" w:cs="宋体"/>
          <w:color w:val="auto"/>
          <w:sz w:val="28"/>
          <w:szCs w:val="28"/>
        </w:rPr>
      </w:pPr>
      <w:r>
        <w:rPr>
          <w:rFonts w:hint="eastAsia" w:hAnsi="宋体" w:cs="宋体"/>
          <w:color w:val="auto"/>
          <w:sz w:val="28"/>
          <w:szCs w:val="28"/>
        </w:rPr>
        <w:t>（5）物业服务水平：无物业服务；</w:t>
      </w:r>
    </w:p>
    <w:p>
      <w:pPr>
        <w:pStyle w:val="10"/>
        <w:spacing w:line="360" w:lineRule="auto"/>
        <w:ind w:firstLine="560" w:firstLineChars="200"/>
        <w:contextualSpacing/>
        <w:rPr>
          <w:rFonts w:hAnsi="宋体" w:cs="宋体"/>
          <w:color w:val="auto"/>
          <w:sz w:val="28"/>
          <w:szCs w:val="28"/>
        </w:rPr>
      </w:pPr>
      <w:r>
        <w:rPr>
          <w:rFonts w:hint="eastAsia" w:hAnsi="宋体" w:cs="宋体"/>
          <w:color w:val="auto"/>
          <w:sz w:val="28"/>
          <w:szCs w:val="28"/>
        </w:rPr>
        <w:t>（6）权益状况分析</w:t>
      </w:r>
    </w:p>
    <w:p>
      <w:pPr>
        <w:pStyle w:val="10"/>
        <w:snapToGrid w:val="0"/>
        <w:spacing w:line="360" w:lineRule="auto"/>
        <w:ind w:firstLine="560"/>
        <w:contextualSpacing/>
        <w:rPr>
          <w:rFonts w:hAnsi="宋体" w:cs="宋体"/>
          <w:color w:val="auto"/>
          <w:sz w:val="28"/>
          <w:szCs w:val="28"/>
        </w:rPr>
      </w:pPr>
      <w:r>
        <w:rPr>
          <w:rFonts w:hint="eastAsia" w:hAnsi="宋体" w:cs="宋体"/>
          <w:color w:val="auto"/>
          <w:kern w:val="0"/>
          <w:sz w:val="28"/>
          <w:szCs w:val="28"/>
        </w:rPr>
        <w:t>综上所述，</w:t>
      </w:r>
      <w:r>
        <w:rPr>
          <w:rFonts w:hint="eastAsia" w:hAnsi="宋体" w:cs="宋体"/>
          <w:color w:val="auto"/>
          <w:sz w:val="28"/>
          <w:szCs w:val="28"/>
        </w:rPr>
        <w:t>产权为</w:t>
      </w:r>
      <w:r>
        <w:rPr>
          <w:rFonts w:hint="eastAsia" w:hAnsi="宋体" w:cs="宋体"/>
          <w:color w:val="auto"/>
          <w:sz w:val="28"/>
          <w:szCs w:val="28"/>
          <w:lang w:eastAsia="zh-CN"/>
        </w:rPr>
        <w:t>何忠慰</w:t>
      </w:r>
      <w:r>
        <w:rPr>
          <w:rFonts w:hint="eastAsia" w:hAnsi="宋体" w:cs="宋体"/>
          <w:color w:val="auto"/>
          <w:sz w:val="28"/>
          <w:szCs w:val="28"/>
        </w:rPr>
        <w:t>所有，为国有的出让</w:t>
      </w:r>
      <w:r>
        <w:rPr>
          <w:rFonts w:hint="eastAsia" w:hAnsi="宋体" w:cs="宋体"/>
          <w:color w:val="auto"/>
          <w:sz w:val="28"/>
          <w:szCs w:val="28"/>
          <w:lang w:eastAsia="zh-CN"/>
        </w:rPr>
        <w:t>城镇住宅</w:t>
      </w:r>
      <w:r>
        <w:rPr>
          <w:rFonts w:hint="eastAsia" w:hAnsi="宋体" w:cs="宋体"/>
          <w:color w:val="auto"/>
          <w:sz w:val="28"/>
          <w:szCs w:val="28"/>
        </w:rPr>
        <w:t>用地，土地剩余使用年限为</w:t>
      </w:r>
      <w:r>
        <w:rPr>
          <w:rFonts w:hint="eastAsia" w:hAnsi="宋体" w:cs="宋体"/>
          <w:color w:val="auto"/>
          <w:sz w:val="28"/>
          <w:szCs w:val="28"/>
          <w:lang w:val="en-US" w:eastAsia="zh-CN"/>
        </w:rPr>
        <w:t>54.5</w:t>
      </w:r>
      <w:r>
        <w:rPr>
          <w:rFonts w:hint="eastAsia" w:hAnsi="宋体" w:cs="宋体"/>
          <w:color w:val="auto"/>
          <w:sz w:val="28"/>
          <w:szCs w:val="28"/>
        </w:rPr>
        <w:t>年，权属清晰，无争议。</w:t>
      </w:r>
    </w:p>
    <w:p>
      <w:pPr>
        <w:pStyle w:val="3"/>
        <w:rPr>
          <w:rFonts w:ascii="宋体" w:hAnsi="宋体" w:eastAsia="宋体" w:cs="宋体"/>
          <w:color w:val="auto"/>
          <w:kern w:val="0"/>
          <w:sz w:val="28"/>
          <w:szCs w:val="28"/>
        </w:rPr>
      </w:pPr>
      <w:bookmarkStart w:id="240" w:name="_Toc16189222"/>
      <w:bookmarkStart w:id="241" w:name="_Toc521944370"/>
      <w:bookmarkStart w:id="242" w:name="_Toc3744"/>
      <w:bookmarkStart w:id="243" w:name="_Toc16189059"/>
      <w:bookmarkStart w:id="244" w:name="_Toc417282132"/>
      <w:bookmarkStart w:id="245" w:name="_Toc3688"/>
      <w:bookmarkStart w:id="246" w:name="_Toc417220330"/>
      <w:bookmarkStart w:id="247" w:name="_Toc417214152"/>
      <w:bookmarkStart w:id="248" w:name="_Toc414265254"/>
      <w:bookmarkStart w:id="249" w:name="_Toc16665773"/>
      <w:bookmarkStart w:id="250" w:name="_Toc414265173"/>
      <w:bookmarkStart w:id="251" w:name="_Toc27826"/>
      <w:bookmarkStart w:id="252" w:name="_Toc522873505"/>
      <w:r>
        <w:rPr>
          <w:rFonts w:hint="eastAsia" w:ascii="宋体" w:hAnsi="宋体" w:eastAsia="宋体" w:cs="宋体"/>
          <w:color w:val="auto"/>
          <w:kern w:val="0"/>
          <w:sz w:val="28"/>
          <w:szCs w:val="28"/>
        </w:rPr>
        <w:t>二、市场背景描述与分析</w:t>
      </w:r>
      <w:bookmarkEnd w:id="240"/>
      <w:bookmarkEnd w:id="241"/>
      <w:bookmarkEnd w:id="242"/>
      <w:bookmarkEnd w:id="243"/>
      <w:bookmarkEnd w:id="244"/>
      <w:bookmarkEnd w:id="245"/>
      <w:bookmarkEnd w:id="246"/>
      <w:bookmarkEnd w:id="247"/>
      <w:bookmarkEnd w:id="248"/>
      <w:bookmarkEnd w:id="249"/>
      <w:bookmarkEnd w:id="250"/>
      <w:bookmarkEnd w:id="251"/>
      <w:bookmarkEnd w:id="252"/>
    </w:p>
    <w:p>
      <w:pPr>
        <w:adjustRightInd w:val="0"/>
        <w:snapToGrid w:val="0"/>
        <w:spacing w:line="360" w:lineRule="auto"/>
        <w:ind w:firstLine="560" w:firstLineChars="200"/>
        <w:rPr>
          <w:rFonts w:hint="eastAsia" w:ascii="宋体" w:hAnsi="宋体" w:cs="宋体"/>
          <w:i w:val="0"/>
          <w:caps w:val="0"/>
          <w:color w:val="auto"/>
          <w:spacing w:val="0"/>
          <w:sz w:val="28"/>
          <w:szCs w:val="28"/>
          <w:shd w:val="clear" w:fill="FFFFFF"/>
          <w:lang w:val="en-US" w:eastAsia="zh-CN"/>
        </w:rPr>
      </w:pPr>
      <w:bookmarkStart w:id="253" w:name="_Toc521944371"/>
      <w:bookmarkStart w:id="254" w:name="_Toc417220331"/>
      <w:bookmarkStart w:id="255" w:name="_Toc16189060"/>
      <w:bookmarkStart w:id="256" w:name="_Toc16189223"/>
      <w:bookmarkStart w:id="257" w:name="_Toc414265174"/>
      <w:bookmarkStart w:id="258" w:name="_Toc417214153"/>
      <w:bookmarkStart w:id="259" w:name="_Toc522873506"/>
      <w:bookmarkStart w:id="260" w:name="_Toc22216"/>
      <w:bookmarkStart w:id="261" w:name="_Toc7890"/>
      <w:bookmarkStart w:id="262" w:name="_Toc417282133"/>
      <w:bookmarkStart w:id="263" w:name="_Toc16665774"/>
      <w:bookmarkStart w:id="264" w:name="_Toc414265255"/>
      <w:r>
        <w:rPr>
          <w:rFonts w:hint="eastAsia" w:ascii="宋体" w:hAnsi="宋体" w:eastAsia="宋体" w:cs="宋体"/>
          <w:i w:val="0"/>
          <w:caps w:val="0"/>
          <w:color w:val="auto"/>
          <w:spacing w:val="0"/>
          <w:sz w:val="28"/>
          <w:szCs w:val="28"/>
          <w:shd w:val="clear" w:fill="FFFFFF"/>
        </w:rPr>
        <w:t>砚山县位于云南省东南部、</w:t>
      </w:r>
      <w:r>
        <w:rPr>
          <w:rFonts w:hint="eastAsia" w:ascii="宋体" w:hAnsi="宋体" w:eastAsia="宋体" w:cs="宋体"/>
          <w:i w:val="0"/>
          <w:caps w:val="0"/>
          <w:color w:val="auto"/>
          <w:spacing w:val="0"/>
          <w:sz w:val="28"/>
          <w:szCs w:val="28"/>
          <w:u w:val="none"/>
          <w:shd w:val="clear" w:fill="FFFFFF"/>
        </w:rPr>
        <w:fldChar w:fldCharType="begin"/>
      </w:r>
      <w:r>
        <w:rPr>
          <w:rFonts w:hint="eastAsia" w:ascii="宋体" w:hAnsi="宋体" w:eastAsia="宋体" w:cs="宋体"/>
          <w:i w:val="0"/>
          <w:caps w:val="0"/>
          <w:color w:val="auto"/>
          <w:spacing w:val="0"/>
          <w:sz w:val="28"/>
          <w:szCs w:val="28"/>
          <w:u w:val="none"/>
          <w:shd w:val="clear" w:fill="FFFFFF"/>
        </w:rPr>
        <w:instrText xml:space="preserve"> HYPERLINK "https://baike.baidu.com/item/%E6%96%87%E5%B1%B1%E5%A3%AE%E6%97%8F%E8%8B%97%E6%97%8F%E8%87%AA%E6%B2%BB%E5%B7%9E" \t "https://baike.baidu.com/item/%E7%A0%9A%E5%B1%B1%E5%8E%BF/_blank" </w:instrText>
      </w:r>
      <w:r>
        <w:rPr>
          <w:rFonts w:hint="eastAsia" w:ascii="宋体" w:hAnsi="宋体" w:eastAsia="宋体" w:cs="宋体"/>
          <w:i w:val="0"/>
          <w:caps w:val="0"/>
          <w:color w:val="auto"/>
          <w:spacing w:val="0"/>
          <w:sz w:val="28"/>
          <w:szCs w:val="28"/>
          <w:u w:val="none"/>
          <w:shd w:val="clear" w:fill="FFFFFF"/>
        </w:rPr>
        <w:fldChar w:fldCharType="separate"/>
      </w:r>
      <w:r>
        <w:rPr>
          <w:rStyle w:val="25"/>
          <w:rFonts w:hint="eastAsia" w:ascii="宋体" w:hAnsi="宋体" w:eastAsia="宋体" w:cs="宋体"/>
          <w:i w:val="0"/>
          <w:caps w:val="0"/>
          <w:color w:val="auto"/>
          <w:spacing w:val="0"/>
          <w:sz w:val="28"/>
          <w:szCs w:val="28"/>
          <w:u w:val="none"/>
          <w:shd w:val="clear" w:fill="FFFFFF"/>
        </w:rPr>
        <w:t>文山壮族苗族自治州</w:t>
      </w:r>
      <w:r>
        <w:rPr>
          <w:rFonts w:hint="eastAsia" w:ascii="宋体" w:hAnsi="宋体" w:eastAsia="宋体" w:cs="宋体"/>
          <w:i w:val="0"/>
          <w:caps w:val="0"/>
          <w:color w:val="auto"/>
          <w:spacing w:val="0"/>
          <w:sz w:val="28"/>
          <w:szCs w:val="28"/>
          <w:u w:val="none"/>
          <w:shd w:val="clear" w:fill="FFFFFF"/>
        </w:rPr>
        <w:fldChar w:fldCharType="end"/>
      </w:r>
      <w:r>
        <w:rPr>
          <w:rFonts w:hint="eastAsia" w:ascii="宋体" w:hAnsi="宋体" w:eastAsia="宋体" w:cs="宋体"/>
          <w:i w:val="0"/>
          <w:caps w:val="0"/>
          <w:color w:val="auto"/>
          <w:spacing w:val="0"/>
          <w:sz w:val="28"/>
          <w:szCs w:val="28"/>
          <w:shd w:val="clear" w:fill="FFFFFF"/>
        </w:rPr>
        <w:t>中西部。砚山地处滇、桂、黔干线要冲，交通便利，四通八达，323国道线贯穿全境。</w:t>
      </w:r>
      <w:r>
        <w:rPr>
          <w:rFonts w:hint="eastAsia" w:ascii="宋体" w:hAnsi="宋体" w:cs="宋体"/>
          <w:i w:val="0"/>
          <w:caps w:val="0"/>
          <w:color w:val="auto"/>
          <w:spacing w:val="0"/>
          <w:sz w:val="28"/>
          <w:szCs w:val="28"/>
          <w:shd w:val="clear" w:fill="FFFFFF"/>
          <w:lang w:eastAsia="zh-CN"/>
        </w:rPr>
        <w:t>资源丰富，民族分布较广，至</w:t>
      </w:r>
      <w:r>
        <w:rPr>
          <w:rFonts w:hint="eastAsia" w:ascii="宋体" w:hAnsi="宋体" w:cs="宋体"/>
          <w:i w:val="0"/>
          <w:caps w:val="0"/>
          <w:color w:val="auto"/>
          <w:spacing w:val="0"/>
          <w:sz w:val="28"/>
          <w:szCs w:val="28"/>
          <w:shd w:val="clear" w:fill="FFFFFF"/>
          <w:lang w:val="en-US" w:eastAsia="zh-CN"/>
        </w:rPr>
        <w:t>2018年以来经济发展较快。</w:t>
      </w:r>
    </w:p>
    <w:p>
      <w:pPr>
        <w:widowControl/>
        <w:shd w:val="clear" w:color="auto" w:fill="FFFFFF"/>
        <w:snapToGrid w:val="0"/>
        <w:spacing w:after="225" w:line="360" w:lineRule="auto"/>
        <w:ind w:firstLine="560" w:firstLineChars="200"/>
        <w:jc w:val="left"/>
        <w:rPr>
          <w:rFonts w:hint="eastAsia" w:ascii="宋体" w:hAnsi="宋体" w:eastAsia="宋体" w:cs="宋体"/>
          <w:color w:val="auto"/>
          <w:kern w:val="0"/>
          <w:sz w:val="28"/>
          <w:szCs w:val="28"/>
          <w:shd w:val="clear" w:color="auto" w:fill="FFFFFF"/>
          <w:lang w:eastAsia="zh-CN"/>
        </w:rPr>
      </w:pPr>
      <w:r>
        <w:rPr>
          <w:rFonts w:hint="eastAsia" w:ascii="宋体" w:hAnsi="宋体" w:cs="宋体"/>
          <w:color w:val="auto"/>
          <w:sz w:val="28"/>
          <w:szCs w:val="28"/>
          <w:shd w:val="clear" w:color="auto" w:fill="FFFFFF"/>
        </w:rPr>
        <w:t>平远镇位于文山州西部，砚山县西北部。东临稼依镇、南抵阿舍乡和文山县德厚镇，西至开远市中和营乡，北达丘北县腻脚乡。距省城昆明275公里、文山州府65公里、砚山县城76公里。省道210线与国道323交线汇于此，锁砚高速公路横贯境内，是滇东南重要的交通枢纽，交通、通信便捷，土地、区位优势明显，平远因其地势平坦、开阔而得名</w:t>
      </w:r>
      <w:r>
        <w:rPr>
          <w:rFonts w:hint="eastAsia" w:ascii="宋体" w:hAnsi="宋体" w:cs="宋体"/>
          <w:color w:val="auto"/>
          <w:sz w:val="28"/>
          <w:szCs w:val="28"/>
          <w:shd w:val="clear" w:color="auto" w:fill="FFFFFF"/>
          <w:lang w:eastAsia="zh-CN"/>
        </w:rPr>
        <w:t>。</w:t>
      </w:r>
    </w:p>
    <w:p>
      <w:pPr>
        <w:widowControl/>
        <w:numPr>
          <w:ilvl w:val="0"/>
          <w:numId w:val="0"/>
        </w:numPr>
        <w:shd w:val="clear" w:color="auto" w:fill="FFFFFF"/>
        <w:snapToGrid w:val="0"/>
        <w:spacing w:after="225" w:line="360" w:lineRule="auto"/>
        <w:ind w:firstLine="560" w:firstLineChars="200"/>
        <w:jc w:val="left"/>
        <w:rPr>
          <w:rFonts w:ascii="宋体" w:hAnsi="宋体" w:cs="宋体"/>
          <w:color w:val="auto"/>
          <w:kern w:val="0"/>
          <w:sz w:val="28"/>
          <w:szCs w:val="28"/>
          <w:shd w:val="clear" w:color="auto" w:fill="FFFFFF"/>
        </w:rPr>
      </w:pPr>
      <w:r>
        <w:rPr>
          <w:rFonts w:hint="eastAsia" w:ascii="宋体" w:hAnsi="宋体" w:cs="宋体"/>
          <w:color w:val="auto"/>
          <w:kern w:val="0"/>
          <w:sz w:val="28"/>
          <w:szCs w:val="28"/>
          <w:shd w:val="clear" w:color="auto" w:fill="FFFFFF"/>
        </w:rPr>
        <w:t>平远镇所有自然村都实现了通电、通路、通电视、通电话四通。除了两个社区及田心、车白泥等少数在政府周边的村民委通自来水外，大部分村民委仍没通</w:t>
      </w:r>
    </w:p>
    <w:p>
      <w:pPr>
        <w:widowControl/>
        <w:shd w:val="clear" w:color="auto" w:fill="FFFFFF"/>
        <w:snapToGrid w:val="0"/>
        <w:spacing w:after="225" w:line="360" w:lineRule="auto"/>
        <w:ind w:firstLine="560" w:firstLineChars="200"/>
        <w:jc w:val="left"/>
        <w:rPr>
          <w:rFonts w:ascii="宋体" w:hAnsi="宋体" w:cs="宋体"/>
          <w:color w:val="auto"/>
          <w:sz w:val="28"/>
          <w:szCs w:val="28"/>
        </w:rPr>
      </w:pPr>
      <w:r>
        <w:rPr>
          <w:rFonts w:hint="eastAsia" w:ascii="宋体" w:hAnsi="宋体" w:cs="宋体"/>
          <w:color w:val="auto"/>
          <w:kern w:val="0"/>
          <w:sz w:val="28"/>
          <w:szCs w:val="28"/>
          <w:shd w:val="clear" w:color="auto" w:fill="FFFFFF"/>
        </w:rPr>
        <w:t>镇党委、政府加快了平远镇道路基础设施建设，自筹资金1246.34万元对镇区15条道路8.9万平方米的路面进行了改造，吸引社会资金4826万元完成了商贸大街、新平路、文平大道等4条主干道建设。同时为改善群众生活、提升小城镇品位，新建了占地16.7万平方米的新平、丰湖两个休闲广场截止2006年底。进一步加强了全镇12个重点项目的总体建设，累计完成投资19458万元。共动工各类水利工程420件，累计完成投资150余万元，新增灌溉面积7197亩，改善灌溉面积10853亩，解决改善农村3000余人、800多头大牲畜的饮水困难，农村基础设施建设得到明显改善。新建沼气池94口，节约了农村能源，方便了群众的生产生活。平锁高速公路已竣工投入使用，贾大公路已完工验收。平远220KV变电站前期工作取得了实质性进展，平文大道延长线扩宽等项目相继实施。</w:t>
      </w:r>
    </w:p>
    <w:p>
      <w:pPr>
        <w:widowControl/>
        <w:shd w:val="clear" w:color="auto" w:fill="FFFFFF"/>
        <w:snapToGrid w:val="0"/>
        <w:spacing w:after="225" w:line="360" w:lineRule="auto"/>
        <w:ind w:firstLine="560" w:firstLineChars="200"/>
        <w:jc w:val="left"/>
        <w:rPr>
          <w:rFonts w:ascii="宋体" w:hAnsi="宋体" w:cs="宋体"/>
          <w:color w:val="auto"/>
          <w:sz w:val="28"/>
          <w:szCs w:val="28"/>
        </w:rPr>
      </w:pPr>
      <w:bookmarkStart w:id="265" w:name="_Toc29716"/>
      <w:r>
        <w:rPr>
          <w:rFonts w:hint="eastAsia" w:ascii="宋体" w:hAnsi="宋体" w:cs="宋体"/>
          <w:color w:val="auto"/>
          <w:kern w:val="0"/>
          <w:sz w:val="28"/>
          <w:szCs w:val="28"/>
          <w:shd w:val="clear" w:color="auto" w:fill="FFFFFF"/>
          <w:lang w:eastAsia="zh-CN"/>
        </w:rPr>
        <w:t>平远镇</w:t>
      </w:r>
      <w:r>
        <w:rPr>
          <w:rFonts w:hint="eastAsia" w:ascii="宋体" w:hAnsi="宋体" w:cs="宋体"/>
          <w:color w:val="auto"/>
          <w:sz w:val="28"/>
          <w:szCs w:val="28"/>
          <w:shd w:val="clear" w:color="auto" w:fill="FFFFFF"/>
        </w:rPr>
        <w:t>是滇东南重要的交通枢纽，交通、通信便捷，土地、区位优势明显，平远因其地势平坦、开阔而得名</w:t>
      </w:r>
      <w:r>
        <w:rPr>
          <w:rFonts w:hint="eastAsia" w:ascii="宋体" w:hAnsi="宋体" w:cs="宋体"/>
          <w:color w:val="auto"/>
          <w:sz w:val="28"/>
          <w:szCs w:val="28"/>
          <w:shd w:val="clear" w:color="auto" w:fill="FFFFFF"/>
          <w:lang w:eastAsia="zh-CN"/>
        </w:rPr>
        <w:t>。</w:t>
      </w:r>
      <w:r>
        <w:rPr>
          <w:rFonts w:hint="eastAsia" w:ascii="宋体" w:hAnsi="宋体" w:cs="宋体"/>
          <w:color w:val="auto"/>
          <w:kern w:val="0"/>
          <w:sz w:val="28"/>
          <w:szCs w:val="28"/>
          <w:shd w:val="clear" w:color="auto" w:fill="FFFFFF"/>
        </w:rPr>
        <w:t>镇党委、政府加快了平远镇道路基础设施建设，将使得</w:t>
      </w:r>
      <w:r>
        <w:rPr>
          <w:rFonts w:hint="eastAsia" w:ascii="宋体" w:hAnsi="宋体" w:cs="宋体"/>
          <w:color w:val="auto"/>
          <w:kern w:val="0"/>
          <w:sz w:val="28"/>
          <w:szCs w:val="28"/>
          <w:shd w:val="clear" w:color="auto" w:fill="FFFFFF"/>
          <w:lang w:eastAsia="zh-CN"/>
        </w:rPr>
        <w:t>住宅</w:t>
      </w:r>
      <w:r>
        <w:rPr>
          <w:rFonts w:hint="eastAsia" w:ascii="宋体" w:hAnsi="宋体" w:cs="宋体"/>
          <w:color w:val="auto"/>
          <w:kern w:val="0"/>
          <w:sz w:val="28"/>
          <w:szCs w:val="28"/>
          <w:shd w:val="clear" w:color="auto" w:fill="FFFFFF"/>
        </w:rPr>
        <w:t>用地的土地市场得到更好的发展。</w:t>
      </w:r>
    </w:p>
    <w:p>
      <w:pPr>
        <w:pStyle w:val="3"/>
        <w:rPr>
          <w:rFonts w:ascii="宋体" w:hAnsi="宋体" w:eastAsia="宋体" w:cs="宋体"/>
          <w:color w:val="auto"/>
          <w:kern w:val="0"/>
          <w:sz w:val="28"/>
          <w:szCs w:val="28"/>
        </w:rPr>
      </w:pPr>
      <w:r>
        <w:rPr>
          <w:rFonts w:hint="eastAsia" w:ascii="宋体" w:hAnsi="宋体" w:eastAsia="宋体" w:cs="宋体"/>
          <w:color w:val="auto"/>
          <w:kern w:val="0"/>
          <w:sz w:val="28"/>
          <w:szCs w:val="28"/>
        </w:rPr>
        <w:t>三、估价对象最高最佳利用分析</w:t>
      </w:r>
      <w:bookmarkEnd w:id="253"/>
      <w:bookmarkEnd w:id="254"/>
      <w:bookmarkEnd w:id="255"/>
      <w:bookmarkEnd w:id="256"/>
      <w:bookmarkEnd w:id="257"/>
      <w:bookmarkEnd w:id="258"/>
      <w:bookmarkEnd w:id="259"/>
      <w:bookmarkEnd w:id="260"/>
      <w:bookmarkEnd w:id="261"/>
      <w:bookmarkEnd w:id="262"/>
      <w:bookmarkEnd w:id="263"/>
      <w:bookmarkEnd w:id="264"/>
      <w:bookmarkEnd w:id="265"/>
    </w:p>
    <w:p>
      <w:pPr>
        <w:tabs>
          <w:tab w:val="left" w:pos="360"/>
        </w:tabs>
        <w:spacing w:line="360" w:lineRule="auto"/>
        <w:ind w:right="57" w:firstLine="561"/>
        <w:rPr>
          <w:rFonts w:ascii="宋体" w:hAnsi="宋体" w:cs="宋体"/>
          <w:color w:val="auto"/>
          <w:sz w:val="28"/>
          <w:szCs w:val="28"/>
        </w:rPr>
      </w:pPr>
      <w:r>
        <w:rPr>
          <w:rFonts w:hint="eastAsia" w:ascii="宋体" w:hAnsi="宋体" w:cs="宋体"/>
          <w:color w:val="auto"/>
          <w:sz w:val="28"/>
          <w:szCs w:val="28"/>
        </w:rPr>
        <w:t>房地产估价应以估价对象的最高最佳利用为前提进行估价，最高最佳利用是指法律上允许、技术上可能、经济上可行，价值最大化，经充分合理考虑，使估价对象产生最高最佳的利用价值。</w:t>
      </w:r>
    </w:p>
    <w:p>
      <w:pPr>
        <w:adjustRightInd w:val="0"/>
        <w:snapToGrid w:val="0"/>
        <w:spacing w:line="360" w:lineRule="auto"/>
        <w:ind w:firstLine="560"/>
        <w:rPr>
          <w:rFonts w:ascii="宋体" w:hAnsi="宋体" w:cs="宋体"/>
          <w:color w:val="auto"/>
          <w:sz w:val="28"/>
          <w:szCs w:val="28"/>
        </w:rPr>
      </w:pPr>
      <w:r>
        <w:rPr>
          <w:rFonts w:hint="eastAsia" w:ascii="宋体" w:hAnsi="宋体" w:cs="宋体"/>
          <w:color w:val="auto"/>
          <w:sz w:val="28"/>
          <w:szCs w:val="28"/>
        </w:rPr>
        <w:t>结合实地查勘，对估价对象的区位因素和实物因素及权益因素进行分析，估价对象所在区域居住聚集度较聚集，</w:t>
      </w:r>
      <w:r>
        <w:rPr>
          <w:rFonts w:hint="eastAsia" w:ascii="宋体" w:hAnsi="宋体" w:cs="宋体"/>
          <w:color w:val="auto"/>
          <w:sz w:val="28"/>
          <w:szCs w:val="28"/>
          <w:lang w:eastAsia="zh-CN"/>
        </w:rPr>
        <w:t>周边大都是居民自建住宅，</w:t>
      </w:r>
      <w:r>
        <w:rPr>
          <w:rFonts w:hint="eastAsia" w:ascii="宋体" w:hAnsi="宋体" w:cs="宋体"/>
          <w:color w:val="auto"/>
          <w:sz w:val="28"/>
          <w:szCs w:val="28"/>
        </w:rPr>
        <w:t>因此估价对象以证载用途为最高最佳的利用。</w:t>
      </w:r>
    </w:p>
    <w:p>
      <w:pPr>
        <w:pStyle w:val="3"/>
        <w:rPr>
          <w:rFonts w:ascii="宋体" w:hAnsi="宋体" w:eastAsia="宋体" w:cs="宋体"/>
          <w:color w:val="auto"/>
          <w:kern w:val="0"/>
          <w:sz w:val="28"/>
          <w:szCs w:val="28"/>
        </w:rPr>
      </w:pPr>
      <w:bookmarkStart w:id="266" w:name="_Toc25869"/>
      <w:bookmarkStart w:id="267" w:name="_Toc6542"/>
      <w:bookmarkStart w:id="268" w:name="_Toc30992"/>
      <w:r>
        <w:rPr>
          <w:rFonts w:hint="eastAsia" w:ascii="宋体" w:hAnsi="宋体" w:eastAsia="宋体" w:cs="宋体"/>
          <w:color w:val="auto"/>
          <w:kern w:val="0"/>
          <w:sz w:val="28"/>
          <w:szCs w:val="28"/>
        </w:rPr>
        <w:t>四、估价方法适用性分析</w:t>
      </w:r>
      <w:bookmarkEnd w:id="91"/>
      <w:bookmarkEnd w:id="92"/>
      <w:bookmarkEnd w:id="93"/>
      <w:bookmarkEnd w:id="94"/>
      <w:bookmarkEnd w:id="95"/>
      <w:bookmarkEnd w:id="96"/>
      <w:bookmarkEnd w:id="97"/>
      <w:bookmarkEnd w:id="98"/>
      <w:bookmarkEnd w:id="99"/>
      <w:bookmarkEnd w:id="100"/>
      <w:bookmarkEnd w:id="266"/>
      <w:bookmarkEnd w:id="267"/>
      <w:bookmarkEnd w:id="268"/>
    </w:p>
    <w:bookmarkEnd w:id="101"/>
    <w:bookmarkEnd w:id="102"/>
    <w:bookmarkEnd w:id="103"/>
    <w:bookmarkEnd w:id="104"/>
    <w:bookmarkEnd w:id="105"/>
    <w:bookmarkEnd w:id="106"/>
    <w:bookmarkEnd w:id="107"/>
    <w:bookmarkEnd w:id="108"/>
    <w:bookmarkEnd w:id="109"/>
    <w:bookmarkEnd w:id="110"/>
    <w:p>
      <w:pPr>
        <w:spacing w:line="560" w:lineRule="exact"/>
        <w:ind w:firstLine="560" w:firstLineChars="200"/>
        <w:rPr>
          <w:rFonts w:ascii="宋体" w:hAnsi="宋体" w:cs="宋体"/>
          <w:color w:val="auto"/>
          <w:kern w:val="0"/>
          <w:sz w:val="28"/>
          <w:szCs w:val="28"/>
        </w:rPr>
      </w:pPr>
      <w:bookmarkStart w:id="269" w:name="_Toc414265257"/>
      <w:bookmarkStart w:id="270" w:name="_Toc417214155"/>
      <w:bookmarkStart w:id="271" w:name="_Toc414265176"/>
      <w:bookmarkStart w:id="272" w:name="_Toc417282135"/>
      <w:bookmarkStart w:id="273" w:name="_Toc417220333"/>
      <w:r>
        <w:rPr>
          <w:rFonts w:hint="eastAsia" w:ascii="宋体" w:hAnsi="宋体" w:cs="宋体"/>
          <w:color w:val="auto"/>
          <w:kern w:val="0"/>
          <w:sz w:val="28"/>
          <w:szCs w:val="28"/>
        </w:rPr>
        <w:t xml:space="preserve">根据中华人民共和国《房地产估价规范》以及估价对象在价值时点现状的实际情况和委托方提供的有关评估资料，结合国家、当地政府有关房屋、土地政策、规定，依照估价惯例，根据估价规范要求并结合估价目的，以及估价对象现状，估价对象宗地上建筑物比较分散，不宜采用房地合一方法进行评估，适宜采用房地分开评估，再综合确定房地产价值。  </w:t>
      </w:r>
    </w:p>
    <w:p>
      <w:pPr>
        <w:spacing w:line="560" w:lineRule="exact"/>
        <w:ind w:firstLine="560" w:firstLineChars="200"/>
        <w:rPr>
          <w:rFonts w:ascii="宋体" w:hAnsi="宋体" w:cs="宋体"/>
          <w:color w:val="auto"/>
          <w:kern w:val="0"/>
          <w:sz w:val="28"/>
          <w:szCs w:val="28"/>
        </w:rPr>
      </w:pPr>
      <w:r>
        <w:rPr>
          <w:rFonts w:hint="eastAsia" w:ascii="宋体" w:hAnsi="宋体" w:cs="宋体"/>
          <w:color w:val="auto"/>
          <w:kern w:val="0"/>
          <w:sz w:val="28"/>
          <w:szCs w:val="28"/>
        </w:rPr>
        <w:t>1、土地价值估价方法的选择</w:t>
      </w:r>
    </w:p>
    <w:p>
      <w:pPr>
        <w:spacing w:line="560" w:lineRule="exact"/>
        <w:ind w:firstLine="560" w:firstLineChars="200"/>
        <w:rPr>
          <w:rFonts w:ascii="宋体" w:hAnsi="宋体" w:cs="宋体"/>
          <w:color w:val="auto"/>
          <w:sz w:val="28"/>
        </w:rPr>
      </w:pPr>
      <w:r>
        <w:rPr>
          <w:rFonts w:hint="eastAsia" w:ascii="宋体" w:hAnsi="宋体" w:cs="宋体"/>
          <w:color w:val="auto"/>
          <w:sz w:val="28"/>
        </w:rPr>
        <w:t>估价方法应根据估价目的和估价对象特点等条件选取，并与估价原则和估价依据衔接一致，根据《城镇土地估价规程》</w:t>
      </w:r>
      <w:r>
        <w:rPr>
          <w:rFonts w:hint="eastAsia" w:ascii="宋体" w:hAnsi="宋体" w:cs="宋体"/>
          <w:color w:val="auto"/>
          <w:sz w:val="28"/>
          <w:szCs w:val="28"/>
        </w:rPr>
        <w:t>GB/T 18508-2014，</w:t>
      </w:r>
      <w:r>
        <w:rPr>
          <w:rFonts w:hint="eastAsia" w:ascii="宋体" w:hAnsi="宋体" w:cs="宋体"/>
          <w:color w:val="auto"/>
          <w:sz w:val="28"/>
        </w:rPr>
        <w:t>评估方法有收益还原法、市场比较法、剩余法、成本逼近法、公示地价系数修正法（基准地价、标定地价）五种方法。应至少选用以上五种评估方法中的两种；应至少采用两种评估方法，包括收益还原法、市场比较法、剩余法三种方法之一，以及成本逼近法或公示地价系数修正法（基准地价、标定地价）。</w:t>
      </w:r>
    </w:p>
    <w:p>
      <w:pPr>
        <w:widowControl/>
        <w:spacing w:line="560" w:lineRule="exact"/>
        <w:ind w:firstLine="560" w:firstLineChars="200"/>
        <w:jc w:val="left"/>
        <w:rPr>
          <w:rFonts w:ascii="宋体" w:hAnsi="宋体" w:cs="宋体"/>
          <w:color w:val="auto"/>
          <w:sz w:val="28"/>
        </w:rPr>
      </w:pPr>
      <w:r>
        <w:rPr>
          <w:rFonts w:hint="eastAsia" w:ascii="宋体" w:hAnsi="宋体" w:cs="宋体"/>
          <w:color w:val="auto"/>
          <w:sz w:val="28"/>
        </w:rPr>
        <w:t>在遵循上述要求的基础上，根据估价对象用途为住宅用地，使用权类型为出让，</w:t>
      </w:r>
      <w:r>
        <w:rPr>
          <w:rFonts w:hint="eastAsia" w:ascii="宋体" w:hAnsi="宋体" w:cs="宋体"/>
          <w:color w:val="auto"/>
          <w:sz w:val="28"/>
          <w:lang w:eastAsia="zh-CN"/>
        </w:rPr>
        <w:t>终止日期为</w:t>
      </w:r>
      <w:r>
        <w:rPr>
          <w:rFonts w:hint="eastAsia" w:ascii="宋体" w:hAnsi="宋体" w:cs="宋体"/>
          <w:color w:val="auto"/>
          <w:sz w:val="28"/>
          <w:lang w:val="en-US" w:eastAsia="zh-CN"/>
        </w:rPr>
        <w:t>2074年09月01日，</w:t>
      </w:r>
      <w:r>
        <w:rPr>
          <w:rFonts w:hint="eastAsia" w:ascii="宋体" w:hAnsi="宋体" w:cs="宋体"/>
          <w:color w:val="auto"/>
          <w:sz w:val="28"/>
        </w:rPr>
        <w:t>结合本次估价目的，同时充分考虑估价对象所在区域现有的基准地价成果、委托方提供的资料及估价人员现场勘查、收集的有关资料，经综合分析，本次评估采用</w:t>
      </w:r>
      <w:r>
        <w:rPr>
          <w:rFonts w:hint="eastAsia" w:ascii="宋体" w:hAnsi="宋体" w:cs="宋体"/>
          <w:color w:val="auto"/>
          <w:sz w:val="28"/>
          <w:szCs w:val="28"/>
        </w:rPr>
        <w:t>市场比较法、基准地价系数修正法进行</w:t>
      </w:r>
      <w:r>
        <w:rPr>
          <w:rFonts w:hint="eastAsia" w:ascii="宋体" w:hAnsi="宋体" w:cs="宋体"/>
          <w:color w:val="auto"/>
          <w:sz w:val="28"/>
        </w:rPr>
        <w:t>评估。</w:t>
      </w:r>
    </w:p>
    <w:p>
      <w:pPr>
        <w:widowControl/>
        <w:snapToGrid w:val="0"/>
        <w:spacing w:line="360" w:lineRule="auto"/>
        <w:ind w:firstLine="560" w:firstLineChars="200"/>
        <w:jc w:val="left"/>
        <w:rPr>
          <w:rFonts w:ascii="宋体" w:hAnsi="宋体" w:cs="宋体"/>
          <w:color w:val="auto"/>
          <w:sz w:val="28"/>
        </w:rPr>
      </w:pPr>
      <w:r>
        <w:rPr>
          <w:rFonts w:hint="eastAsia" w:ascii="宋体" w:hAnsi="宋体" w:cs="宋体"/>
          <w:color w:val="auto"/>
          <w:sz w:val="28"/>
        </w:rPr>
        <w:t>（1）选用方法的理由</w:t>
      </w:r>
    </w:p>
    <w:p>
      <w:pPr>
        <w:widowControl/>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①选用市场比较法的理由</w:t>
      </w:r>
    </w:p>
    <w:p>
      <w:pPr>
        <w:widowControl/>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估价对象位于砚山县平远镇新平社区小黑山，</w:t>
      </w:r>
      <w:r>
        <w:rPr>
          <w:rFonts w:hint="eastAsia" w:ascii="宋体" w:hAnsi="宋体" w:cs="宋体"/>
          <w:color w:val="auto"/>
          <w:kern w:val="0"/>
          <w:sz w:val="28"/>
          <w:szCs w:val="28"/>
        </w:rPr>
        <w:t>与估价对象同一区域内类似土地的交易</w:t>
      </w:r>
      <w:r>
        <w:rPr>
          <w:rFonts w:hint="eastAsia" w:ascii="宋体" w:hAnsi="宋体" w:cs="宋体"/>
          <w:color w:val="auto"/>
          <w:kern w:val="0"/>
          <w:sz w:val="28"/>
          <w:szCs w:val="28"/>
          <w:lang w:eastAsia="zh-CN"/>
        </w:rPr>
        <w:t>活跃</w:t>
      </w:r>
      <w:r>
        <w:rPr>
          <w:rFonts w:hint="eastAsia" w:ascii="宋体" w:hAnsi="宋体" w:cs="宋体"/>
          <w:color w:val="auto"/>
          <w:sz w:val="28"/>
          <w:szCs w:val="28"/>
        </w:rPr>
        <w:t>，</w:t>
      </w:r>
      <w:r>
        <w:rPr>
          <w:rFonts w:hint="eastAsia" w:ascii="宋体" w:hAnsi="宋体" w:cs="宋体"/>
          <w:color w:val="auto"/>
          <w:sz w:val="28"/>
          <w:szCs w:val="28"/>
          <w:lang w:eastAsia="zh-CN"/>
        </w:rPr>
        <w:t>易</w:t>
      </w:r>
      <w:r>
        <w:rPr>
          <w:rFonts w:hint="eastAsia" w:ascii="宋体" w:hAnsi="宋体" w:cs="宋体"/>
          <w:color w:val="auto"/>
          <w:sz w:val="28"/>
          <w:szCs w:val="28"/>
        </w:rPr>
        <w:t>获得与估价对象用途相同条件类似的土地交易实例，并且可比实例的交易时间、交易情况、区域因素和个别因素明确，可以合理确定比较因素修正系数，客观测算比准价格。</w:t>
      </w:r>
    </w:p>
    <w:p>
      <w:pPr>
        <w:widowControl/>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②选用基准地价系数修正法的理由</w:t>
      </w:r>
    </w:p>
    <w:p>
      <w:pPr>
        <w:widowControl/>
        <w:snapToGrid w:val="0"/>
        <w:spacing w:line="360" w:lineRule="auto"/>
        <w:ind w:firstLine="560" w:firstLineChars="200"/>
        <w:jc w:val="left"/>
        <w:rPr>
          <w:rFonts w:ascii="宋体" w:hAnsi="宋体" w:cs="宋体"/>
          <w:color w:val="auto"/>
          <w:sz w:val="28"/>
        </w:rPr>
      </w:pPr>
      <w:r>
        <w:rPr>
          <w:rFonts w:hint="eastAsia" w:ascii="宋体" w:hAnsi="宋体" w:cs="宋体"/>
          <w:color w:val="auto"/>
          <w:sz w:val="28"/>
        </w:rPr>
        <w:t>估价对象位于砚山县平远镇新平社区小黑山，在平远镇集镇规划区域内，属于基准地价覆盖区，所处土地级别为平远镇Ⅰ级集镇住宅用地，可利用基准地价修正体系对估价对象宗地各项条件进行修正得出估价对象价格，平远镇集镇规划区基准地价于2017年2月4日由砚山县人民政府批准公布实施，距估价期日虽已超过3年，但当地政府未公布新基准地价，也未发布通知停用当前基准地价，故继续沿用当前基准地价进行修正。</w:t>
      </w:r>
    </w:p>
    <w:p>
      <w:pPr>
        <w:widowControl/>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（2）其他估价方法未选用的理由</w:t>
      </w:r>
    </w:p>
    <w:p>
      <w:pPr>
        <w:widowControl/>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①不选择收益还原较法的理由</w:t>
      </w:r>
    </w:p>
    <w:p>
      <w:pPr>
        <w:widowControl/>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收益还原法适用于有现实收益或潜在收益的土地估价，但该区域与估价对象土地上与估价对象相类似的房屋租金及费用难以获得，故不选用收益还原法进行评估；</w:t>
      </w:r>
    </w:p>
    <w:p>
      <w:pPr>
        <w:widowControl/>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②不选择成本逼近法的理由</w:t>
      </w:r>
    </w:p>
    <w:p>
      <w:pPr>
        <w:widowControl/>
        <w:snapToGrid w:val="0"/>
        <w:spacing w:line="360" w:lineRule="auto"/>
        <w:ind w:firstLine="560" w:firstLineChars="200"/>
        <w:jc w:val="left"/>
        <w:rPr>
          <w:rFonts w:ascii="宋体" w:hAnsi="宋体" w:cs="宋体"/>
          <w:color w:val="auto"/>
          <w:sz w:val="28"/>
        </w:rPr>
      </w:pPr>
      <w:r>
        <w:rPr>
          <w:rFonts w:hint="eastAsia" w:ascii="宋体" w:hAnsi="宋体" w:cs="宋体"/>
          <w:color w:val="auto"/>
          <w:sz w:val="28"/>
        </w:rPr>
        <w:t>估价对象用途城镇住宅用地，土地的开发成本不能准确反映城镇住宅用地的客观市场价格，故不选用成本逼近法进行评估；</w:t>
      </w:r>
    </w:p>
    <w:p>
      <w:pPr>
        <w:widowControl/>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③不选择剩余法的理由</w:t>
      </w:r>
    </w:p>
    <w:p>
      <w:pPr>
        <w:widowControl/>
        <w:numPr>
          <w:ilvl w:val="0"/>
          <w:numId w:val="0"/>
        </w:numPr>
        <w:adjustRightInd w:val="0"/>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rPr>
        <w:t>在合法现状利用下，结合本次评估目的，估价对象是已建成并投入使用的物业，故不选用剩余法进行评估。</w:t>
      </w:r>
    </w:p>
    <w:p>
      <w:pPr>
        <w:widowControl/>
        <w:numPr>
          <w:ilvl w:val="0"/>
          <w:numId w:val="3"/>
        </w:numPr>
        <w:adjustRightInd w:val="0"/>
        <w:snapToGrid w:val="0"/>
        <w:spacing w:line="360" w:lineRule="auto"/>
        <w:ind w:firstLine="560" w:firstLineChars="200"/>
        <w:jc w:val="left"/>
        <w:rPr>
          <w:rFonts w:ascii="宋体" w:hAnsi="宋体" w:cs="宋体"/>
          <w:color w:val="auto"/>
          <w:sz w:val="28"/>
          <w:szCs w:val="28"/>
        </w:rPr>
      </w:pPr>
      <w:r>
        <w:rPr>
          <w:rFonts w:hint="eastAsia" w:ascii="宋体" w:hAnsi="宋体" w:cs="宋体"/>
          <w:color w:val="auto"/>
          <w:sz w:val="28"/>
          <w:szCs w:val="28"/>
        </w:rPr>
        <w:t>建筑物价值估价方法的选择</w:t>
      </w:r>
    </w:p>
    <w:p>
      <w:pPr>
        <w:widowControl/>
        <w:snapToGrid w:val="0"/>
        <w:spacing w:line="360" w:lineRule="auto"/>
        <w:ind w:firstLine="560"/>
        <w:jc w:val="left"/>
        <w:rPr>
          <w:rFonts w:ascii="宋体" w:hAnsi="宋体" w:cs="宋体"/>
          <w:color w:val="auto"/>
          <w:sz w:val="28"/>
        </w:rPr>
      </w:pPr>
      <w:r>
        <w:rPr>
          <w:rFonts w:hint="eastAsia" w:ascii="宋体" w:hAnsi="宋体" w:cs="宋体"/>
          <w:color w:val="auto"/>
          <w:sz w:val="28"/>
        </w:rPr>
        <w:t>根据《房地产估价规范》，建筑物应采用成本法进行估价，估价对象属于旧的建筑物，旧的建筑物价值=建筑物重新购建成本-建筑物折旧，而建筑物重新购建成本应采用重置价格或重建价格来求取。</w:t>
      </w:r>
    </w:p>
    <w:p>
      <w:pPr>
        <w:widowControl/>
        <w:snapToGrid w:val="0"/>
        <w:spacing w:line="360" w:lineRule="auto"/>
        <w:ind w:firstLine="560"/>
        <w:jc w:val="left"/>
        <w:rPr>
          <w:rFonts w:ascii="宋体" w:hAnsi="宋体" w:cs="宋体"/>
          <w:color w:val="auto"/>
          <w:sz w:val="28"/>
        </w:rPr>
      </w:pPr>
      <w:r>
        <w:rPr>
          <w:rFonts w:hint="eastAsia" w:ascii="宋体" w:hAnsi="宋体" w:cs="宋体"/>
          <w:color w:val="auto"/>
          <w:sz w:val="28"/>
        </w:rPr>
        <w:t>建筑物的重置价格，宜用于一般建筑物和因年代久远、已缺少与旧有建筑物相同的建筑材料，或因建筑技术变迁，使得旧有建筑物复原建造有困难的建筑物的估价。</w:t>
      </w:r>
    </w:p>
    <w:p>
      <w:pPr>
        <w:widowControl/>
        <w:snapToGrid w:val="0"/>
        <w:spacing w:line="360" w:lineRule="auto"/>
        <w:ind w:firstLine="560"/>
        <w:jc w:val="left"/>
        <w:rPr>
          <w:rFonts w:ascii="宋体" w:hAnsi="宋体" w:cs="宋体"/>
          <w:color w:val="auto"/>
          <w:sz w:val="28"/>
        </w:rPr>
      </w:pPr>
      <w:r>
        <w:rPr>
          <w:rFonts w:hint="eastAsia" w:ascii="宋体" w:hAnsi="宋体" w:cs="宋体"/>
          <w:color w:val="auto"/>
          <w:sz w:val="28"/>
        </w:rPr>
        <w:t>建筑物的重建价格，宜用于有特殊保护价值的建筑物的估价。</w:t>
      </w:r>
    </w:p>
    <w:p>
      <w:pPr>
        <w:adjustRightInd w:val="0"/>
        <w:snapToGrid w:val="0"/>
        <w:spacing w:line="360" w:lineRule="auto"/>
        <w:ind w:firstLine="570"/>
        <w:rPr>
          <w:rFonts w:ascii="宋体" w:hAnsi="宋体" w:cs="宋体"/>
          <w:color w:val="auto"/>
          <w:spacing w:val="-2"/>
          <w:sz w:val="28"/>
          <w:szCs w:val="28"/>
        </w:rPr>
      </w:pPr>
      <w:r>
        <w:rPr>
          <w:rFonts w:hint="eastAsia" w:ascii="宋体" w:hAnsi="宋体" w:cs="宋体"/>
          <w:color w:val="auto"/>
          <w:sz w:val="28"/>
        </w:rPr>
        <w:t>根据估价对象建筑物的现状及特点，估价对象属于一般建筑物，不属于有特殊保护价值的建筑物，故宜选用重置价格求取其重新购建成本，再计算出建筑物折旧，两者相减得出估价对象建筑物价值。</w:t>
      </w:r>
    </w:p>
    <w:p>
      <w:pPr>
        <w:pStyle w:val="3"/>
        <w:rPr>
          <w:rFonts w:ascii="宋体" w:hAnsi="宋体" w:eastAsia="宋体" w:cs="宋体"/>
          <w:color w:val="auto"/>
          <w:sz w:val="28"/>
          <w:szCs w:val="28"/>
        </w:rPr>
      </w:pPr>
      <w:bookmarkStart w:id="274" w:name="_Toc21563"/>
      <w:bookmarkStart w:id="275" w:name="_Toc16189225"/>
      <w:bookmarkStart w:id="276" w:name="_Toc16189062"/>
      <w:bookmarkStart w:id="277" w:name="_Toc521944373"/>
      <w:bookmarkStart w:id="278" w:name="_Toc23841924"/>
      <w:bookmarkStart w:id="279" w:name="_Toc16665776"/>
      <w:bookmarkStart w:id="280" w:name="_Toc25083"/>
      <w:bookmarkStart w:id="281" w:name="_Toc23841959"/>
      <w:bookmarkStart w:id="282" w:name="_Toc522873508"/>
      <w:bookmarkStart w:id="283" w:name="_Toc23490"/>
      <w:r>
        <w:rPr>
          <w:rFonts w:hint="eastAsia" w:ascii="宋体" w:hAnsi="宋体" w:eastAsia="宋体" w:cs="宋体"/>
          <w:color w:val="auto"/>
          <w:kern w:val="0"/>
          <w:sz w:val="28"/>
          <w:szCs w:val="28"/>
        </w:rPr>
        <w:t>五、估价测算过程</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pStyle w:val="4"/>
        <w:ind w:firstLine="562" w:firstLineChars="200"/>
        <w:rPr>
          <w:rFonts w:ascii="宋体" w:hAnsi="宋体" w:cs="宋体"/>
          <w:color w:val="auto"/>
          <w:sz w:val="28"/>
          <w:szCs w:val="28"/>
        </w:rPr>
      </w:pPr>
      <w:bookmarkStart w:id="284" w:name="_Toc27049"/>
      <w:bookmarkStart w:id="285" w:name="_Toc430448853"/>
      <w:bookmarkStart w:id="286" w:name="_Toc22314"/>
      <w:bookmarkStart w:id="287" w:name="_Toc519003097"/>
      <w:bookmarkStart w:id="288" w:name="_Toc470189773"/>
      <w:bookmarkStart w:id="289" w:name="_Toc23841925"/>
      <w:bookmarkStart w:id="290" w:name="_Toc468636054"/>
      <w:bookmarkStart w:id="291" w:name="_Toc421199860"/>
      <w:bookmarkStart w:id="292" w:name="_Toc26974"/>
      <w:bookmarkStart w:id="293" w:name="_Toc2637"/>
      <w:bookmarkStart w:id="294" w:name="_Toc3071"/>
      <w:bookmarkStart w:id="295" w:name="_Toc468635845"/>
      <w:bookmarkStart w:id="296" w:name="_Toc400721909"/>
      <w:bookmarkStart w:id="297" w:name="_Toc23841960"/>
      <w:bookmarkStart w:id="298" w:name="_Toc519003062"/>
      <w:bookmarkStart w:id="299" w:name="_Toc424849396"/>
      <w:bookmarkStart w:id="300" w:name="_Toc471911613"/>
      <w:bookmarkStart w:id="301" w:name="_Toc432185383"/>
      <w:bookmarkStart w:id="302" w:name="_Toc430448940"/>
      <w:bookmarkStart w:id="303" w:name="_Toc397349849"/>
      <w:bookmarkStart w:id="304" w:name="_Toc468635842"/>
      <w:bookmarkStart w:id="305" w:name="_Toc471911610"/>
      <w:bookmarkStart w:id="306" w:name="_Toc468636051"/>
      <w:bookmarkStart w:id="307" w:name="_Toc470189770"/>
      <w:r>
        <w:rPr>
          <w:rFonts w:hint="eastAsia" w:ascii="宋体" w:hAnsi="宋体" w:cs="宋体"/>
          <w:color w:val="auto"/>
          <w:sz w:val="28"/>
          <w:szCs w:val="28"/>
        </w:rPr>
        <w:t>（一）土地价值的计算</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bookmarkEnd w:id="304"/>
    <w:bookmarkEnd w:id="305"/>
    <w:bookmarkEnd w:id="306"/>
    <w:bookmarkEnd w:id="307"/>
    <w:p>
      <w:pPr>
        <w:keepNext w:val="0"/>
        <w:keepLines w:val="0"/>
        <w:pageBreakBefore w:val="0"/>
        <w:kinsoku/>
        <w:wordWrap/>
        <w:overflowPunct/>
        <w:topLinePunct w:val="0"/>
        <w:autoSpaceDE/>
        <w:autoSpaceDN/>
        <w:bidi w:val="0"/>
        <w:adjustRightInd/>
        <w:snapToGrid w:val="0"/>
        <w:spacing w:line="360" w:lineRule="auto"/>
        <w:ind w:firstLine="565" w:firstLineChars="202"/>
        <w:textAlignment w:val="auto"/>
        <w:rPr>
          <w:rFonts w:ascii="宋体" w:hAnsi="宋体" w:cs="宋体"/>
          <w:color w:val="auto"/>
          <w:sz w:val="28"/>
        </w:rPr>
      </w:pPr>
      <w:bookmarkStart w:id="308" w:name="_Toc519003059"/>
      <w:bookmarkStart w:id="309" w:name="_Toc2092574"/>
      <w:bookmarkStart w:id="310" w:name="_Toc519003094"/>
      <w:r>
        <w:rPr>
          <w:rFonts w:hint="eastAsia" w:ascii="宋体" w:hAnsi="宋体" w:cs="宋体"/>
          <w:color w:val="auto"/>
          <w:sz w:val="28"/>
          <w:lang w:val="en-US" w:eastAsia="zh-CN"/>
        </w:rPr>
        <w:t>1</w:t>
      </w:r>
      <w:r>
        <w:rPr>
          <w:rFonts w:hint="eastAsia" w:ascii="宋体" w:hAnsi="宋体" w:cs="宋体"/>
          <w:color w:val="auto"/>
          <w:sz w:val="28"/>
        </w:rPr>
        <w:t>、采用基准地价系数修正法评估出让地价</w:t>
      </w:r>
    </w:p>
    <w:p>
      <w:pPr>
        <w:keepNext w:val="0"/>
        <w:keepLines w:val="0"/>
        <w:pageBreakBefore w:val="0"/>
        <w:kinsoku/>
        <w:wordWrap/>
        <w:overflowPunct/>
        <w:topLinePunct w:val="0"/>
        <w:autoSpaceDE/>
        <w:autoSpaceDN/>
        <w:bidi w:val="0"/>
        <w:adjustRightInd/>
        <w:snapToGrid w:val="0"/>
        <w:spacing w:line="360" w:lineRule="auto"/>
        <w:ind w:firstLine="565" w:firstLineChars="202"/>
        <w:textAlignment w:val="auto"/>
        <w:rPr>
          <w:rFonts w:ascii="宋体" w:hAnsi="宋体" w:cs="宋体"/>
          <w:color w:val="auto"/>
          <w:sz w:val="28"/>
          <w:szCs w:val="28"/>
        </w:rPr>
      </w:pPr>
      <w:r>
        <w:rPr>
          <w:rFonts w:hint="eastAsia" w:ascii="宋体" w:hAnsi="宋体" w:cs="宋体"/>
          <w:color w:val="auto"/>
          <w:sz w:val="28"/>
        </w:rPr>
        <w:t>基准地价系数修正法，是利用政府公示的城镇基准地价及基准地价修正体系成果，按照替代原则就待估宗地的区域条件和个别条件等与其所处区域的平均条件相比较，并对照修正体系选取相应的修正系数对基准地价进行修正，进而求取待估宗地在估价期日价格的方法</w:t>
      </w:r>
      <w:r>
        <w:rPr>
          <w:rFonts w:hint="eastAsia" w:ascii="宋体" w:hAnsi="宋体" w:cs="宋体"/>
          <w:color w:val="auto"/>
          <w:sz w:val="28"/>
          <w:szCs w:val="28"/>
        </w:rPr>
        <w:t>。</w:t>
      </w:r>
    </w:p>
    <w:p>
      <w:pPr>
        <w:pStyle w:val="11"/>
        <w:keepNext w:val="0"/>
        <w:keepLines w:val="0"/>
        <w:pageBreakBefore w:val="0"/>
        <w:widowControl/>
        <w:kinsoku/>
        <w:wordWrap/>
        <w:overflowPunct/>
        <w:topLinePunct w:val="0"/>
        <w:autoSpaceDE/>
        <w:autoSpaceDN/>
        <w:bidi w:val="0"/>
        <w:adjustRightInd/>
        <w:snapToGrid w:val="0"/>
        <w:spacing w:line="360" w:lineRule="auto"/>
        <w:ind w:left="0" w:leftChars="0" w:firstLine="560" w:firstLineChars="200"/>
        <w:jc w:val="left"/>
        <w:textAlignment w:val="auto"/>
        <w:rPr>
          <w:rFonts w:ascii="宋体" w:hAnsi="宋体" w:cs="宋体"/>
          <w:color w:val="auto"/>
          <w:sz w:val="28"/>
          <w:szCs w:val="28"/>
        </w:rPr>
      </w:pPr>
      <w:r>
        <w:rPr>
          <w:rFonts w:hint="eastAsia" w:ascii="宋体" w:hAnsi="宋体" w:cs="宋体"/>
          <w:color w:val="auto"/>
          <w:sz w:val="28"/>
          <w:szCs w:val="28"/>
        </w:rPr>
        <w:t>⑴平远镇集镇规划区土地定级与基准地价批准情况。</w:t>
      </w:r>
    </w:p>
    <w:p>
      <w:pPr>
        <w:pStyle w:val="11"/>
        <w:widowControl/>
        <w:snapToGrid w:val="0"/>
        <w:spacing w:line="360" w:lineRule="auto"/>
        <w:ind w:left="0" w:leftChars="0" w:firstLine="560" w:firstLineChars="200"/>
        <w:jc w:val="left"/>
        <w:rPr>
          <w:rFonts w:ascii="宋体" w:hAnsi="宋体" w:cs="宋体"/>
          <w:color w:val="auto"/>
          <w:sz w:val="28"/>
          <w:szCs w:val="28"/>
        </w:rPr>
      </w:pPr>
      <w:r>
        <w:rPr>
          <w:rFonts w:hint="eastAsia" w:ascii="宋体" w:hAnsi="宋体" w:cs="宋体"/>
          <w:color w:val="auto"/>
          <w:sz w:val="28"/>
          <w:szCs w:val="28"/>
        </w:rPr>
        <w:t>①批准机关：砚山县人民政府。</w:t>
      </w:r>
    </w:p>
    <w:p>
      <w:pPr>
        <w:pStyle w:val="11"/>
        <w:widowControl/>
        <w:snapToGrid w:val="0"/>
        <w:spacing w:line="360" w:lineRule="auto"/>
        <w:ind w:left="0" w:leftChars="0" w:firstLine="560" w:firstLineChars="200"/>
        <w:jc w:val="left"/>
        <w:rPr>
          <w:rFonts w:ascii="宋体" w:hAnsi="宋体" w:cs="宋体"/>
          <w:color w:val="auto"/>
          <w:sz w:val="28"/>
          <w:szCs w:val="28"/>
        </w:rPr>
      </w:pPr>
      <w:r>
        <w:rPr>
          <w:rFonts w:hint="eastAsia" w:ascii="宋体" w:hAnsi="宋体" w:cs="宋体"/>
          <w:color w:val="auto"/>
          <w:sz w:val="28"/>
          <w:szCs w:val="28"/>
        </w:rPr>
        <w:t>②批准文号：砚政复〔2017〕78号。</w:t>
      </w:r>
    </w:p>
    <w:p>
      <w:pPr>
        <w:pStyle w:val="11"/>
        <w:widowControl/>
        <w:snapToGrid w:val="0"/>
        <w:spacing w:line="360" w:lineRule="auto"/>
        <w:ind w:left="0" w:leftChars="0" w:firstLine="560" w:firstLineChars="200"/>
        <w:jc w:val="left"/>
        <w:rPr>
          <w:rFonts w:ascii="宋体" w:hAnsi="宋体" w:cs="宋体"/>
          <w:color w:val="auto"/>
          <w:szCs w:val="28"/>
        </w:rPr>
      </w:pPr>
      <w:r>
        <w:rPr>
          <w:rFonts w:hint="eastAsia" w:ascii="宋体" w:hAnsi="宋体" w:cs="宋体"/>
          <w:color w:val="auto"/>
          <w:sz w:val="28"/>
          <w:szCs w:val="28"/>
        </w:rPr>
        <w:t>③批准公布实施时间：2017年2月4日。</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⑵平远镇基准地价内涵</w:t>
      </w:r>
    </w:p>
    <w:p>
      <w:pPr>
        <w:spacing w:line="560" w:lineRule="exact"/>
        <w:ind w:firstLine="526" w:firstLineChars="188"/>
        <w:rPr>
          <w:rFonts w:ascii="宋体" w:hAnsi="宋体" w:cs="宋体"/>
          <w:color w:val="auto"/>
          <w:sz w:val="28"/>
          <w:szCs w:val="28"/>
        </w:rPr>
      </w:pPr>
      <w:r>
        <w:rPr>
          <w:rFonts w:hint="eastAsia" w:ascii="宋体" w:hAnsi="宋体" w:cs="宋体"/>
          <w:color w:val="auto"/>
          <w:sz w:val="28"/>
          <w:szCs w:val="28"/>
        </w:rPr>
        <w:t>①基准地价的估价期日：2016年1月1日</w:t>
      </w:r>
    </w:p>
    <w:p>
      <w:pPr>
        <w:spacing w:line="560" w:lineRule="exact"/>
        <w:ind w:firstLine="526" w:firstLineChars="188"/>
        <w:rPr>
          <w:rFonts w:ascii="宋体" w:hAnsi="宋体" w:cs="宋体"/>
          <w:color w:val="auto"/>
          <w:sz w:val="28"/>
          <w:szCs w:val="28"/>
        </w:rPr>
      </w:pPr>
      <w:r>
        <w:rPr>
          <w:rFonts w:hint="eastAsia" w:ascii="宋体" w:hAnsi="宋体" w:cs="宋体"/>
          <w:color w:val="auto"/>
          <w:sz w:val="28"/>
          <w:szCs w:val="28"/>
        </w:rPr>
        <w:t>②设定土地开发程度：</w:t>
      </w:r>
    </w:p>
    <w:p>
      <w:pPr>
        <w:spacing w:line="560" w:lineRule="exact"/>
        <w:ind w:firstLine="526" w:firstLineChars="188"/>
        <w:rPr>
          <w:rFonts w:ascii="宋体" w:hAnsi="宋体" w:cs="宋体"/>
          <w:color w:val="auto"/>
          <w:sz w:val="28"/>
          <w:szCs w:val="28"/>
        </w:rPr>
      </w:pPr>
      <w:r>
        <w:rPr>
          <w:rFonts w:hint="eastAsia" w:ascii="宋体" w:hAnsi="宋体" w:cs="宋体"/>
          <w:color w:val="auto"/>
          <w:sz w:val="28"/>
          <w:szCs w:val="28"/>
        </w:rPr>
        <w:t>平远镇集镇规划Ⅰ级区域“五通一平”（通供水，通排水，通电，通讯，通路，宗地内场平）；Ⅱ级区域“四通一平”（通供水，通电，通讯，通路，宗地内场平）；Ⅲ级区域“两通”（通电，通讯）。</w:t>
      </w:r>
    </w:p>
    <w:p>
      <w:pPr>
        <w:spacing w:line="560" w:lineRule="exact"/>
        <w:ind w:firstLine="526" w:firstLineChars="188"/>
        <w:rPr>
          <w:rFonts w:ascii="宋体" w:hAnsi="宋体" w:cs="宋体"/>
          <w:color w:val="auto"/>
          <w:sz w:val="28"/>
          <w:szCs w:val="28"/>
        </w:rPr>
      </w:pPr>
      <w:r>
        <w:rPr>
          <w:rFonts w:hint="eastAsia" w:ascii="宋体" w:hAnsi="宋体" w:cs="宋体"/>
          <w:color w:val="auto"/>
          <w:sz w:val="28"/>
          <w:szCs w:val="28"/>
        </w:rPr>
        <w:t>③平均容积率：</w:t>
      </w:r>
    </w:p>
    <w:p>
      <w:pPr>
        <w:spacing w:line="560" w:lineRule="exact"/>
        <w:ind w:firstLine="526" w:firstLineChars="188"/>
        <w:rPr>
          <w:rFonts w:ascii="宋体" w:hAnsi="宋体" w:cs="宋体"/>
          <w:color w:val="auto"/>
          <w:sz w:val="28"/>
          <w:szCs w:val="28"/>
        </w:rPr>
      </w:pPr>
      <w:r>
        <w:rPr>
          <w:rFonts w:hint="eastAsia" w:ascii="宋体" w:hAnsi="宋体" w:cs="宋体"/>
          <w:color w:val="auto"/>
          <w:sz w:val="28"/>
          <w:szCs w:val="28"/>
        </w:rPr>
        <w:t>根据《砚山县平远镇城镇总体规划修编》确定的规划平均容积率，本次集镇各类用地平均容积率为：</w:t>
      </w:r>
    </w:p>
    <w:p>
      <w:pPr>
        <w:spacing w:line="560" w:lineRule="exact"/>
        <w:ind w:firstLine="526" w:firstLineChars="188"/>
        <w:rPr>
          <w:rFonts w:ascii="宋体" w:hAnsi="宋体" w:cs="宋体"/>
          <w:color w:val="auto"/>
          <w:sz w:val="28"/>
          <w:szCs w:val="28"/>
        </w:rPr>
      </w:pPr>
      <w:r>
        <w:rPr>
          <w:rFonts w:hint="eastAsia" w:ascii="宋体" w:hAnsi="宋体" w:cs="宋体"/>
          <w:color w:val="auto"/>
          <w:sz w:val="28"/>
          <w:szCs w:val="28"/>
          <w:lang w:val="en-US" w:eastAsia="zh-CN"/>
        </w:rPr>
        <w:t>1.</w:t>
      </w:r>
      <w:r>
        <w:rPr>
          <w:rFonts w:hint="eastAsia" w:ascii="宋体" w:hAnsi="宋体" w:cs="宋体"/>
          <w:color w:val="auto"/>
          <w:sz w:val="28"/>
          <w:szCs w:val="28"/>
        </w:rPr>
        <w:t>商服用地：1.4</w:t>
      </w:r>
    </w:p>
    <w:p>
      <w:pPr>
        <w:spacing w:line="560" w:lineRule="exact"/>
        <w:ind w:firstLine="526" w:firstLineChars="188"/>
        <w:rPr>
          <w:rFonts w:ascii="宋体" w:hAnsi="宋体" w:cs="宋体"/>
          <w:color w:val="auto"/>
          <w:sz w:val="28"/>
          <w:szCs w:val="28"/>
        </w:rPr>
      </w:pPr>
      <w:r>
        <w:rPr>
          <w:rFonts w:hint="eastAsia" w:ascii="宋体" w:hAnsi="宋体" w:cs="宋体"/>
          <w:color w:val="auto"/>
          <w:sz w:val="28"/>
          <w:szCs w:val="28"/>
          <w:lang w:val="en-US" w:eastAsia="zh-CN"/>
        </w:rPr>
        <w:t>2.</w:t>
      </w:r>
      <w:r>
        <w:rPr>
          <w:rFonts w:hint="eastAsia" w:ascii="宋体" w:hAnsi="宋体" w:cs="宋体"/>
          <w:color w:val="auto"/>
          <w:sz w:val="28"/>
          <w:szCs w:val="28"/>
        </w:rPr>
        <w:t>住宅用地：1.2</w:t>
      </w:r>
    </w:p>
    <w:p>
      <w:pPr>
        <w:spacing w:line="560" w:lineRule="exact"/>
        <w:ind w:firstLine="526" w:firstLineChars="188"/>
        <w:rPr>
          <w:rFonts w:ascii="宋体" w:hAnsi="宋体" w:cs="宋体"/>
          <w:color w:val="auto"/>
          <w:sz w:val="28"/>
          <w:szCs w:val="28"/>
        </w:rPr>
      </w:pPr>
      <w:r>
        <w:rPr>
          <w:rFonts w:hint="eastAsia" w:ascii="宋体" w:hAnsi="宋体" w:cs="宋体"/>
          <w:color w:val="auto"/>
          <w:sz w:val="28"/>
          <w:szCs w:val="28"/>
          <w:lang w:val="en-US" w:eastAsia="zh-CN"/>
        </w:rPr>
        <w:t>3.</w:t>
      </w:r>
      <w:r>
        <w:rPr>
          <w:rFonts w:hint="eastAsia" w:ascii="宋体" w:hAnsi="宋体" w:cs="宋体"/>
          <w:color w:val="auto"/>
          <w:sz w:val="28"/>
          <w:szCs w:val="28"/>
        </w:rPr>
        <w:t>工业（仓储）用地：0.8</w:t>
      </w:r>
    </w:p>
    <w:p>
      <w:pPr>
        <w:spacing w:line="560" w:lineRule="exact"/>
        <w:ind w:firstLine="526" w:firstLineChars="188"/>
        <w:rPr>
          <w:rFonts w:ascii="宋体" w:hAnsi="宋体" w:cs="宋体"/>
          <w:color w:val="auto"/>
          <w:sz w:val="28"/>
          <w:szCs w:val="28"/>
        </w:rPr>
      </w:pPr>
      <w:r>
        <w:rPr>
          <w:rFonts w:hint="eastAsia" w:ascii="宋体" w:hAnsi="宋体" w:cs="宋体"/>
          <w:color w:val="auto"/>
          <w:sz w:val="28"/>
          <w:szCs w:val="28"/>
        </w:rPr>
        <w:t>④使用年期：</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根据1990年5月19日国务院发布实施《中华人民共和国城镇国有土地使用权出让与转让暂行条例》（即国务院55号令）第12条规定，土地使用权出让的最高年限按用途分别为：</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⒈商服用地：40年</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⒉住宅用地：70年</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⒊工业（仓储）用地：50年</w:t>
      </w:r>
    </w:p>
    <w:p>
      <w:pPr>
        <w:spacing w:line="560" w:lineRule="exact"/>
        <w:ind w:firstLine="529" w:firstLineChars="189"/>
        <w:jc w:val="left"/>
        <w:rPr>
          <w:rFonts w:ascii="宋体" w:hAnsi="宋体" w:cs="宋体"/>
          <w:color w:val="auto"/>
          <w:sz w:val="28"/>
          <w:szCs w:val="28"/>
        </w:rPr>
      </w:pPr>
      <w:r>
        <w:rPr>
          <w:rFonts w:hint="eastAsia" w:ascii="宋体" w:hAnsi="宋体" w:cs="宋体"/>
          <w:color w:val="auto"/>
          <w:sz w:val="28"/>
        </w:rPr>
        <w:t>⑤土地利用状况：有偿使用（出让，租赁，作价入股），无他项权利限制下的土地使用权价格。</w:t>
      </w:r>
    </w:p>
    <w:p>
      <w:pPr>
        <w:spacing w:line="560" w:lineRule="exact"/>
        <w:ind w:firstLine="529" w:firstLineChars="189"/>
        <w:rPr>
          <w:rFonts w:ascii="宋体" w:hAnsi="宋体" w:cs="宋体"/>
          <w:color w:val="auto"/>
          <w:sz w:val="28"/>
        </w:rPr>
      </w:pPr>
      <w:r>
        <w:rPr>
          <w:rFonts w:hint="eastAsia" w:ascii="宋体" w:hAnsi="宋体" w:cs="宋体"/>
          <w:color w:val="auto"/>
          <w:sz w:val="28"/>
        </w:rPr>
        <w:t>⑥耕地质量补偿费的说明：此价格成本不包括坝区耕地质量补偿费。</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rPr>
        <w:t>⑶</w:t>
      </w:r>
      <w:r>
        <w:rPr>
          <w:rFonts w:hint="eastAsia" w:ascii="宋体" w:hAnsi="宋体" w:cs="宋体"/>
          <w:color w:val="auto"/>
          <w:sz w:val="28"/>
          <w:szCs w:val="28"/>
        </w:rPr>
        <w:t>基准地价计算公式</w:t>
      </w:r>
    </w:p>
    <w:p>
      <w:pPr>
        <w:spacing w:line="560" w:lineRule="exact"/>
        <w:ind w:firstLine="529" w:firstLineChars="189"/>
        <w:jc w:val="center"/>
        <w:rPr>
          <w:rFonts w:ascii="宋体" w:hAnsi="宋体" w:cs="宋体"/>
          <w:color w:val="auto"/>
          <w:sz w:val="28"/>
          <w:szCs w:val="28"/>
        </w:rPr>
      </w:pPr>
      <w:r>
        <w:rPr>
          <w:rFonts w:hint="eastAsia" w:ascii="宋体" w:hAnsi="宋体" w:cs="宋体"/>
          <w:color w:val="auto"/>
          <w:sz w:val="28"/>
        </w:rPr>
        <w:t>P</w:t>
      </w:r>
      <w:r>
        <w:rPr>
          <w:rFonts w:hint="eastAsia" w:ascii="宋体" w:hAnsi="宋体" w:cs="宋体"/>
          <w:color w:val="auto"/>
          <w:sz w:val="28"/>
          <w:szCs w:val="28"/>
        </w:rPr>
        <w:t>＝P</w:t>
      </w:r>
      <w:r>
        <w:rPr>
          <w:rFonts w:hint="eastAsia" w:ascii="宋体" w:hAnsi="宋体" w:cs="宋体"/>
          <w:color w:val="auto"/>
          <w:sz w:val="28"/>
          <w:szCs w:val="28"/>
          <w:vertAlign w:val="subscript"/>
        </w:rPr>
        <w:t>1b</w:t>
      </w:r>
      <w:r>
        <w:rPr>
          <w:rFonts w:hint="eastAsia" w:ascii="宋体" w:hAnsi="宋体" w:cs="宋体"/>
          <w:color w:val="auto"/>
          <w:sz w:val="28"/>
          <w:szCs w:val="28"/>
        </w:rPr>
        <w:t>×（1±∑K</w:t>
      </w:r>
      <w:r>
        <w:rPr>
          <w:rFonts w:hint="eastAsia" w:ascii="宋体" w:hAnsi="宋体" w:cs="宋体"/>
          <w:color w:val="auto"/>
          <w:sz w:val="28"/>
          <w:szCs w:val="28"/>
          <w:vertAlign w:val="subscript"/>
        </w:rPr>
        <w:t>i</w:t>
      </w:r>
      <w:r>
        <w:rPr>
          <w:rFonts w:hint="eastAsia" w:ascii="宋体" w:hAnsi="宋体" w:cs="宋体"/>
          <w:color w:val="auto"/>
          <w:sz w:val="28"/>
          <w:szCs w:val="28"/>
        </w:rPr>
        <w:t>）×K</w:t>
      </w:r>
      <w:r>
        <w:rPr>
          <w:rFonts w:hint="eastAsia" w:ascii="宋体" w:hAnsi="宋体" w:cs="宋体"/>
          <w:color w:val="auto"/>
          <w:sz w:val="28"/>
          <w:szCs w:val="28"/>
          <w:vertAlign w:val="subscript"/>
        </w:rPr>
        <w:t>j</w:t>
      </w:r>
      <w:r>
        <w:rPr>
          <w:rFonts w:hint="eastAsia" w:ascii="宋体" w:hAnsi="宋体" w:cs="宋体"/>
          <w:color w:val="auto"/>
          <w:sz w:val="28"/>
          <w:szCs w:val="28"/>
        </w:rPr>
        <w:t>＋D</w:t>
      </w:r>
    </w:p>
    <w:p>
      <w:pPr>
        <w:spacing w:line="560" w:lineRule="exact"/>
        <w:rPr>
          <w:rFonts w:ascii="宋体" w:hAnsi="宋体" w:cs="宋体"/>
          <w:color w:val="auto"/>
          <w:sz w:val="28"/>
          <w:szCs w:val="28"/>
        </w:rPr>
      </w:pPr>
      <w:r>
        <w:rPr>
          <w:rFonts w:hint="eastAsia" w:ascii="宋体" w:hAnsi="宋体" w:cs="宋体"/>
          <w:color w:val="auto"/>
          <w:sz w:val="28"/>
          <w:szCs w:val="28"/>
        </w:rPr>
        <w:t>式中：</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P       ——待估宗地价格；</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P</w:t>
      </w:r>
      <w:r>
        <w:rPr>
          <w:rFonts w:hint="eastAsia" w:ascii="宋体" w:hAnsi="宋体" w:cs="宋体"/>
          <w:color w:val="auto"/>
          <w:sz w:val="28"/>
          <w:szCs w:val="28"/>
          <w:vertAlign w:val="subscript"/>
        </w:rPr>
        <w:t xml:space="preserve">1b            </w:t>
      </w:r>
      <w:r>
        <w:rPr>
          <w:rFonts w:hint="eastAsia" w:ascii="宋体" w:hAnsi="宋体" w:cs="宋体"/>
          <w:color w:val="auto"/>
          <w:sz w:val="28"/>
          <w:szCs w:val="28"/>
        </w:rPr>
        <w:t>——某一用途、某级别（均质区域）的基准地价；</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∑K</w:t>
      </w:r>
      <w:r>
        <w:rPr>
          <w:rFonts w:hint="eastAsia" w:ascii="宋体" w:hAnsi="宋体" w:cs="宋体"/>
          <w:color w:val="auto"/>
          <w:sz w:val="28"/>
          <w:szCs w:val="28"/>
          <w:vertAlign w:val="subscript"/>
        </w:rPr>
        <w:t xml:space="preserve">i         </w:t>
      </w:r>
      <w:r>
        <w:rPr>
          <w:rFonts w:hint="eastAsia" w:ascii="宋体" w:hAnsi="宋体" w:cs="宋体"/>
          <w:color w:val="auto"/>
          <w:sz w:val="28"/>
          <w:szCs w:val="28"/>
        </w:rPr>
        <w:t>——宗地地价修正系数；</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K</w:t>
      </w:r>
      <w:r>
        <w:rPr>
          <w:rFonts w:hint="eastAsia" w:ascii="宋体" w:hAnsi="宋体" w:cs="宋体"/>
          <w:color w:val="auto"/>
          <w:sz w:val="28"/>
          <w:szCs w:val="28"/>
          <w:vertAlign w:val="subscript"/>
        </w:rPr>
        <w:t xml:space="preserve">j             </w:t>
      </w:r>
      <w:r>
        <w:rPr>
          <w:rFonts w:hint="eastAsia" w:ascii="宋体" w:hAnsi="宋体" w:cs="宋体"/>
          <w:color w:val="auto"/>
          <w:sz w:val="28"/>
          <w:szCs w:val="28"/>
        </w:rPr>
        <w:t>——估价期日、容积率、土地使用年期等其他修正系数；</w:t>
      </w:r>
    </w:p>
    <w:p>
      <w:pPr>
        <w:spacing w:line="560" w:lineRule="exact"/>
        <w:ind w:firstLine="529" w:firstLineChars="189"/>
        <w:rPr>
          <w:rFonts w:ascii="宋体" w:hAnsi="宋体" w:cs="宋体"/>
          <w:color w:val="auto"/>
          <w:sz w:val="28"/>
          <w:szCs w:val="28"/>
        </w:rPr>
      </w:pPr>
      <w:r>
        <w:rPr>
          <w:rFonts w:hint="eastAsia" w:ascii="宋体" w:hAnsi="宋体" w:cs="宋体"/>
          <w:color w:val="auto"/>
          <w:sz w:val="28"/>
          <w:szCs w:val="28"/>
        </w:rPr>
        <w:t>D       ——土地开发程度修正值。</w:t>
      </w:r>
    </w:p>
    <w:p>
      <w:pPr>
        <w:spacing w:line="560" w:lineRule="exact"/>
        <w:ind w:firstLine="529" w:firstLineChars="189"/>
        <w:rPr>
          <w:rFonts w:ascii="宋体" w:hAnsi="宋体" w:cs="宋体"/>
          <w:color w:val="auto"/>
          <w:sz w:val="28"/>
        </w:rPr>
      </w:pPr>
      <w:r>
        <w:rPr>
          <w:rFonts w:hint="eastAsia" w:ascii="宋体" w:hAnsi="宋体" w:cs="宋体"/>
          <w:color w:val="auto"/>
          <w:sz w:val="28"/>
        </w:rPr>
        <w:t>⑷估价对象所处基准地价级别及基准地价（P</w:t>
      </w:r>
      <w:r>
        <w:rPr>
          <w:rFonts w:hint="eastAsia" w:ascii="宋体" w:hAnsi="宋体" w:cs="宋体"/>
          <w:color w:val="auto"/>
          <w:sz w:val="28"/>
          <w:vertAlign w:val="subscript"/>
        </w:rPr>
        <w:t>1b</w:t>
      </w:r>
      <w:r>
        <w:rPr>
          <w:rFonts w:hint="eastAsia" w:ascii="宋体" w:hAnsi="宋体" w:cs="宋体"/>
          <w:color w:val="auto"/>
          <w:sz w:val="28"/>
        </w:rPr>
        <w:t>）</w:t>
      </w:r>
    </w:p>
    <w:p>
      <w:pPr>
        <w:spacing w:line="560" w:lineRule="exact"/>
        <w:ind w:firstLine="529" w:firstLineChars="189"/>
        <w:rPr>
          <w:rFonts w:ascii="宋体" w:hAnsi="宋体" w:cs="宋体"/>
          <w:color w:val="auto"/>
          <w:sz w:val="28"/>
        </w:rPr>
      </w:pPr>
      <w:r>
        <w:rPr>
          <w:rFonts w:hint="eastAsia" w:ascii="宋体" w:hAnsi="宋体" w:cs="宋体"/>
          <w:color w:val="auto"/>
          <w:sz w:val="28"/>
        </w:rPr>
        <w:t>估价对象位于</w:t>
      </w:r>
      <w:r>
        <w:rPr>
          <w:rFonts w:hint="eastAsia" w:ascii="宋体" w:hAnsi="宋体" w:cs="宋体"/>
          <w:color w:val="auto"/>
          <w:sz w:val="28"/>
          <w:szCs w:val="28"/>
        </w:rPr>
        <w:t>平远镇新平社区小黑山</w:t>
      </w:r>
      <w:r>
        <w:rPr>
          <w:rFonts w:hint="eastAsia" w:ascii="宋体" w:hAnsi="宋体" w:cs="宋体"/>
          <w:color w:val="auto"/>
          <w:sz w:val="28"/>
        </w:rPr>
        <w:t>，所处区域为Ⅰ级城镇住宅用地，</w:t>
      </w:r>
      <w:r>
        <w:rPr>
          <w:rFonts w:hint="eastAsia" w:ascii="宋体" w:hAnsi="宋体" w:cs="宋体"/>
          <w:color w:val="auto"/>
          <w:sz w:val="28"/>
          <w:szCs w:val="28"/>
        </w:rPr>
        <w:t>Ⅰ</w:t>
      </w:r>
      <w:r>
        <w:rPr>
          <w:rFonts w:hint="eastAsia" w:ascii="宋体" w:hAnsi="宋体" w:cs="宋体"/>
          <w:color w:val="auto"/>
          <w:sz w:val="28"/>
        </w:rPr>
        <w:t>级城镇住宅用地基准地价为549.00元/m</w:t>
      </w:r>
      <w:r>
        <w:rPr>
          <w:rFonts w:hint="eastAsia" w:ascii="宋体" w:hAnsi="宋体" w:cs="宋体"/>
          <w:color w:val="auto"/>
          <w:sz w:val="28"/>
          <w:vertAlign w:val="superscript"/>
        </w:rPr>
        <w:t>2</w:t>
      </w:r>
      <w:r>
        <w:rPr>
          <w:rFonts w:hint="eastAsia" w:ascii="宋体" w:hAnsi="宋体" w:cs="宋体"/>
          <w:color w:val="auto"/>
          <w:sz w:val="28"/>
        </w:rPr>
        <w:t>（地面单价）。</w:t>
      </w:r>
    </w:p>
    <w:p>
      <w:pPr>
        <w:spacing w:line="560" w:lineRule="exact"/>
        <w:ind w:firstLine="529" w:firstLineChars="189"/>
        <w:rPr>
          <w:rFonts w:ascii="宋体" w:hAnsi="宋体" w:cs="宋体"/>
          <w:color w:val="auto"/>
          <w:sz w:val="28"/>
        </w:rPr>
      </w:pPr>
      <w:r>
        <w:rPr>
          <w:rFonts w:hint="eastAsia" w:ascii="宋体" w:hAnsi="宋体" w:cs="宋体"/>
          <w:color w:val="auto"/>
          <w:sz w:val="28"/>
        </w:rPr>
        <w:t>⑸确定估价对象地价修正系数（</w:t>
      </w:r>
      <w:r>
        <w:rPr>
          <w:rFonts w:hint="eastAsia" w:ascii="宋体" w:hAnsi="宋体" w:cs="宋体"/>
          <w:color w:val="auto"/>
          <w:sz w:val="28"/>
          <w:szCs w:val="28"/>
        </w:rPr>
        <w:t>∑K</w:t>
      </w:r>
      <w:r>
        <w:rPr>
          <w:rFonts w:hint="eastAsia" w:ascii="宋体" w:hAnsi="宋体" w:cs="宋体"/>
          <w:color w:val="auto"/>
          <w:sz w:val="28"/>
          <w:szCs w:val="28"/>
          <w:vertAlign w:val="subscript"/>
        </w:rPr>
        <w:t>i</w:t>
      </w:r>
      <w:r>
        <w:rPr>
          <w:rFonts w:hint="eastAsia" w:ascii="宋体" w:hAnsi="宋体" w:cs="宋体"/>
          <w:color w:val="auto"/>
          <w:sz w:val="28"/>
        </w:rPr>
        <w:t>）</w:t>
      </w:r>
    </w:p>
    <w:p>
      <w:pPr>
        <w:adjustRightInd w:val="0"/>
        <w:snapToGrid w:val="0"/>
        <w:spacing w:line="560" w:lineRule="exact"/>
        <w:ind w:right="-23" w:firstLine="529" w:firstLineChars="189"/>
        <w:rPr>
          <w:rFonts w:ascii="宋体" w:hAnsi="宋体" w:cs="宋体"/>
          <w:color w:val="auto"/>
          <w:sz w:val="28"/>
          <w:szCs w:val="28"/>
        </w:rPr>
      </w:pPr>
      <w:r>
        <w:rPr>
          <w:rFonts w:hint="eastAsia" w:ascii="宋体" w:hAnsi="宋体" w:cs="宋体"/>
          <w:color w:val="auto"/>
          <w:sz w:val="28"/>
          <w:szCs w:val="28"/>
        </w:rPr>
        <w:t>①基准地价影响因素指标说明表、修正系数表，来源于砚山县人民政府于2017年2月4日公布实施的《平远镇集镇规划区土地定级与基准地价更新测算技术报告》，因待估宗地属城镇住宅用地，对应的城镇住宅用地修正体系内容详见下页表。</w:t>
      </w:r>
    </w:p>
    <w:p>
      <w:pPr>
        <w:tabs>
          <w:tab w:val="left" w:pos="720"/>
        </w:tabs>
        <w:spacing w:line="384" w:lineRule="auto"/>
        <w:ind w:firstLine="1058" w:firstLineChars="378"/>
        <w:rPr>
          <w:rFonts w:ascii="宋体" w:hAnsi="宋体" w:cs="宋体"/>
          <w:color w:val="auto"/>
          <w:sz w:val="28"/>
          <w:szCs w:val="28"/>
        </w:rPr>
        <w:sectPr>
          <w:footerReference r:id="rId8" w:type="default"/>
          <w:pgSz w:w="11906" w:h="16838"/>
          <w:pgMar w:top="1418" w:right="1077" w:bottom="1418" w:left="1077" w:header="851" w:footer="851" w:gutter="340"/>
          <w:cols w:space="720" w:num="1"/>
          <w:titlePg/>
          <w:docGrid w:linePitch="312" w:charSpace="0"/>
        </w:sectPr>
      </w:pPr>
    </w:p>
    <w:p>
      <w:pPr>
        <w:tabs>
          <w:tab w:val="left" w:pos="720"/>
        </w:tabs>
        <w:spacing w:line="384" w:lineRule="auto"/>
        <w:ind w:firstLine="1058" w:firstLineChars="378"/>
        <w:rPr>
          <w:rFonts w:ascii="宋体" w:hAnsi="宋体" w:cs="宋体"/>
          <w:color w:val="auto"/>
          <w:sz w:val="28"/>
          <w:szCs w:val="28"/>
        </w:rPr>
      </w:pPr>
    </w:p>
    <w:p>
      <w:pPr>
        <w:pStyle w:val="16"/>
        <w:spacing w:before="120" w:after="120"/>
        <w:rPr>
          <w:rFonts w:eastAsia="宋体" w:cs="宋体"/>
          <w:color w:val="auto"/>
        </w:rPr>
      </w:pPr>
      <w:r>
        <w:rPr>
          <w:rFonts w:hint="eastAsia" w:eastAsia="宋体" w:cs="宋体"/>
          <w:color w:val="auto"/>
        </w:rPr>
        <w:t>平远镇集镇土地住宅用地宗地地价影响因素指标说明表</w:t>
      </w:r>
    </w:p>
    <w:tbl>
      <w:tblPr>
        <w:tblStyle w:val="20"/>
        <w:tblpPr w:leftFromText="180" w:rightFromText="180" w:vertAnchor="text" w:horzAnchor="page" w:tblpXSpec="center" w:tblpY="176"/>
        <w:tblW w:w="48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4"/>
        <w:gridCol w:w="1451"/>
        <w:gridCol w:w="779"/>
        <w:gridCol w:w="779"/>
        <w:gridCol w:w="779"/>
        <w:gridCol w:w="779"/>
        <w:gridCol w:w="793"/>
        <w:gridCol w:w="779"/>
        <w:gridCol w:w="779"/>
        <w:gridCol w:w="779"/>
        <w:gridCol w:w="779"/>
        <w:gridCol w:w="779"/>
        <w:gridCol w:w="14"/>
        <w:gridCol w:w="765"/>
        <w:gridCol w:w="779"/>
        <w:gridCol w:w="779"/>
        <w:gridCol w:w="779"/>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708" w:type="pct"/>
            <w:gridSpan w:val="2"/>
            <w:tcBorders>
              <w:tl2br w:val="single" w:color="auto" w:sz="4" w:space="0"/>
            </w:tcBorders>
            <w:vAlign w:val="center"/>
          </w:tcPr>
          <w:p>
            <w:pPr>
              <w:jc w:val="right"/>
              <w:rPr>
                <w:rFonts w:ascii="宋体" w:hAnsi="宋体" w:cs="宋体"/>
                <w:color w:val="auto"/>
                <w:sz w:val="18"/>
                <w:szCs w:val="18"/>
              </w:rPr>
            </w:pPr>
            <w:r>
              <w:rPr>
                <w:rFonts w:hint="eastAsia" w:ascii="宋体" w:hAnsi="宋体" w:cs="宋体"/>
                <w:color w:val="auto"/>
                <w:sz w:val="18"/>
                <w:szCs w:val="18"/>
              </w:rPr>
              <w:t>级 别</w:t>
            </w:r>
          </w:p>
          <w:p>
            <w:pPr>
              <w:jc w:val="left"/>
              <w:rPr>
                <w:rFonts w:ascii="宋体" w:hAnsi="宋体" w:cs="宋体"/>
                <w:color w:val="auto"/>
                <w:sz w:val="18"/>
                <w:szCs w:val="18"/>
              </w:rPr>
            </w:pPr>
            <w:r>
              <w:rPr>
                <w:rFonts w:hint="eastAsia" w:ascii="宋体" w:hAnsi="宋体" w:cs="宋体"/>
                <w:color w:val="auto"/>
                <w:sz w:val="18"/>
                <w:szCs w:val="18"/>
              </w:rPr>
              <w:t>因素档次</w:t>
            </w:r>
          </w:p>
        </w:tc>
        <w:tc>
          <w:tcPr>
            <w:tcW w:w="1430" w:type="pct"/>
            <w:gridSpan w:val="5"/>
            <w:vAlign w:val="center"/>
          </w:tcPr>
          <w:p>
            <w:pPr>
              <w:widowControl/>
              <w:overflowPunct w:val="0"/>
              <w:autoSpaceDE w:val="0"/>
              <w:autoSpaceDN w:val="0"/>
              <w:adjustRightInd w:val="0"/>
              <w:jc w:val="center"/>
              <w:textAlignment w:val="baseline"/>
              <w:rPr>
                <w:rFonts w:ascii="宋体" w:hAnsi="宋体" w:cs="宋体"/>
                <w:color w:val="auto"/>
                <w:kern w:val="0"/>
                <w:sz w:val="18"/>
                <w:szCs w:val="18"/>
                <w:lang w:val="en-GB"/>
              </w:rPr>
            </w:pPr>
            <w:r>
              <w:rPr>
                <w:rFonts w:hint="eastAsia" w:ascii="宋体" w:hAnsi="宋体" w:cs="宋体"/>
                <w:color w:val="auto"/>
                <w:kern w:val="0"/>
                <w:sz w:val="18"/>
                <w:szCs w:val="18"/>
                <w:lang w:val="en-GB"/>
              </w:rPr>
              <w:t>Ⅰ级</w:t>
            </w:r>
          </w:p>
        </w:tc>
        <w:tc>
          <w:tcPr>
            <w:tcW w:w="1430" w:type="pct"/>
            <w:gridSpan w:val="6"/>
            <w:vAlign w:val="center"/>
          </w:tcPr>
          <w:p>
            <w:pPr>
              <w:widowControl/>
              <w:overflowPunct w:val="0"/>
              <w:autoSpaceDE w:val="0"/>
              <w:autoSpaceDN w:val="0"/>
              <w:adjustRightInd w:val="0"/>
              <w:jc w:val="center"/>
              <w:textAlignment w:val="baseline"/>
              <w:rPr>
                <w:rFonts w:ascii="宋体" w:hAnsi="宋体" w:cs="宋体"/>
                <w:color w:val="auto"/>
                <w:kern w:val="0"/>
                <w:sz w:val="18"/>
                <w:szCs w:val="18"/>
                <w:lang w:val="en-GB"/>
              </w:rPr>
            </w:pPr>
            <w:r>
              <w:rPr>
                <w:rFonts w:hint="eastAsia" w:ascii="宋体" w:hAnsi="宋体" w:cs="宋体"/>
                <w:color w:val="auto"/>
                <w:kern w:val="0"/>
                <w:sz w:val="18"/>
                <w:szCs w:val="18"/>
                <w:lang w:val="en-GB"/>
              </w:rPr>
              <w:t>Ⅱ级</w:t>
            </w:r>
          </w:p>
        </w:tc>
        <w:tc>
          <w:tcPr>
            <w:tcW w:w="1431" w:type="pct"/>
            <w:gridSpan w:val="5"/>
            <w:vAlign w:val="center"/>
          </w:tcPr>
          <w:p>
            <w:pPr>
              <w:widowControl/>
              <w:overflowPunct w:val="0"/>
              <w:autoSpaceDE w:val="0"/>
              <w:autoSpaceDN w:val="0"/>
              <w:adjustRightInd w:val="0"/>
              <w:jc w:val="center"/>
              <w:textAlignment w:val="baseline"/>
              <w:rPr>
                <w:rFonts w:ascii="宋体" w:hAnsi="宋体" w:cs="宋体"/>
                <w:color w:val="auto"/>
                <w:kern w:val="0"/>
                <w:sz w:val="18"/>
                <w:szCs w:val="18"/>
                <w:lang w:val="en-GB"/>
              </w:rPr>
            </w:pPr>
            <w:r>
              <w:rPr>
                <w:rFonts w:hint="eastAsia" w:ascii="宋体" w:hAnsi="宋体" w:cs="宋体"/>
                <w:color w:val="auto"/>
                <w:kern w:val="0"/>
                <w:sz w:val="18"/>
                <w:szCs w:val="18"/>
                <w:lang w:val="en-GB"/>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708" w:type="pct"/>
            <w:gridSpan w:val="2"/>
            <w:tcBorders>
              <w:tl2br w:val="single" w:color="auto" w:sz="4" w:space="0"/>
            </w:tcBorders>
            <w:vAlign w:val="center"/>
          </w:tcPr>
          <w:p>
            <w:pPr>
              <w:jc w:val="right"/>
              <w:rPr>
                <w:rFonts w:ascii="宋体" w:hAnsi="宋体" w:cs="宋体"/>
                <w:color w:val="auto"/>
                <w:sz w:val="18"/>
                <w:szCs w:val="18"/>
              </w:rPr>
            </w:pPr>
            <w:r>
              <w:rPr>
                <w:rFonts w:hint="eastAsia" w:ascii="宋体" w:hAnsi="宋体" w:cs="宋体"/>
                <w:color w:val="auto"/>
                <w:sz w:val="18"/>
                <w:szCs w:val="18"/>
              </w:rPr>
              <w:t>指标说明</w:t>
            </w:r>
          </w:p>
          <w:p>
            <w:pPr>
              <w:jc w:val="left"/>
              <w:rPr>
                <w:rFonts w:ascii="宋体" w:hAnsi="宋体" w:cs="宋体"/>
                <w:color w:val="auto"/>
                <w:sz w:val="18"/>
                <w:szCs w:val="18"/>
              </w:rPr>
            </w:pPr>
            <w:r>
              <w:rPr>
                <w:rFonts w:hint="eastAsia" w:ascii="宋体" w:hAnsi="宋体" w:cs="宋体"/>
                <w:color w:val="auto"/>
                <w:sz w:val="18"/>
                <w:szCs w:val="18"/>
              </w:rPr>
              <w:t>因素类别</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优</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较优</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85" w:type="pct"/>
            <w:vAlign w:val="center"/>
          </w:tcPr>
          <w:p>
            <w:pPr>
              <w:widowControl/>
              <w:overflowPunct w:val="0"/>
              <w:autoSpaceDE w:val="0"/>
              <w:autoSpaceDN w:val="0"/>
              <w:adjustRightInd w:val="0"/>
              <w:jc w:val="center"/>
              <w:textAlignment w:val="baseline"/>
              <w:rPr>
                <w:rFonts w:ascii="宋体" w:hAnsi="宋体" w:cs="宋体"/>
                <w:color w:val="auto"/>
                <w:kern w:val="0"/>
                <w:sz w:val="18"/>
                <w:szCs w:val="18"/>
                <w:lang w:val="en-GB"/>
              </w:rPr>
            </w:pPr>
            <w:r>
              <w:rPr>
                <w:rFonts w:hint="eastAsia" w:ascii="宋体" w:hAnsi="宋体" w:cs="宋体"/>
                <w:color w:val="auto"/>
                <w:kern w:val="0"/>
                <w:sz w:val="18"/>
                <w:szCs w:val="18"/>
                <w:lang w:val="en-GB"/>
              </w:rPr>
              <w:t>较劣</w:t>
            </w:r>
          </w:p>
        </w:tc>
        <w:tc>
          <w:tcPr>
            <w:tcW w:w="285" w:type="pct"/>
            <w:vAlign w:val="center"/>
          </w:tcPr>
          <w:p>
            <w:pPr>
              <w:widowControl/>
              <w:overflowPunct w:val="0"/>
              <w:autoSpaceDE w:val="0"/>
              <w:autoSpaceDN w:val="0"/>
              <w:adjustRightInd w:val="0"/>
              <w:jc w:val="center"/>
              <w:textAlignment w:val="baseline"/>
              <w:rPr>
                <w:rFonts w:ascii="宋体" w:hAnsi="宋体" w:cs="宋体"/>
                <w:color w:val="auto"/>
                <w:kern w:val="0"/>
                <w:sz w:val="18"/>
                <w:szCs w:val="18"/>
                <w:lang w:val="en-GB"/>
              </w:rPr>
            </w:pPr>
            <w:r>
              <w:rPr>
                <w:rFonts w:hint="eastAsia" w:ascii="宋体" w:hAnsi="宋体" w:cs="宋体"/>
                <w:color w:val="auto"/>
                <w:kern w:val="0"/>
                <w:sz w:val="18"/>
                <w:szCs w:val="18"/>
                <w:lang w:val="en-GB"/>
              </w:rPr>
              <w:t>劣</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优</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较优</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85" w:type="pct"/>
            <w:vAlign w:val="center"/>
          </w:tcPr>
          <w:p>
            <w:pPr>
              <w:widowControl/>
              <w:overflowPunct w:val="0"/>
              <w:autoSpaceDE w:val="0"/>
              <w:autoSpaceDN w:val="0"/>
              <w:adjustRightInd w:val="0"/>
              <w:jc w:val="center"/>
              <w:textAlignment w:val="baseline"/>
              <w:rPr>
                <w:rFonts w:ascii="宋体" w:hAnsi="宋体" w:cs="宋体"/>
                <w:color w:val="auto"/>
                <w:kern w:val="0"/>
                <w:sz w:val="18"/>
                <w:szCs w:val="18"/>
                <w:lang w:val="en-GB"/>
              </w:rPr>
            </w:pPr>
            <w:r>
              <w:rPr>
                <w:rFonts w:hint="eastAsia" w:ascii="宋体" w:hAnsi="宋体" w:cs="宋体"/>
                <w:color w:val="auto"/>
                <w:kern w:val="0"/>
                <w:sz w:val="18"/>
                <w:szCs w:val="18"/>
                <w:lang w:val="en-GB"/>
              </w:rPr>
              <w:t>较劣</w:t>
            </w:r>
          </w:p>
        </w:tc>
        <w:tc>
          <w:tcPr>
            <w:tcW w:w="285" w:type="pct"/>
            <w:vAlign w:val="center"/>
          </w:tcPr>
          <w:p>
            <w:pPr>
              <w:widowControl/>
              <w:overflowPunct w:val="0"/>
              <w:autoSpaceDE w:val="0"/>
              <w:autoSpaceDN w:val="0"/>
              <w:adjustRightInd w:val="0"/>
              <w:jc w:val="center"/>
              <w:textAlignment w:val="baseline"/>
              <w:rPr>
                <w:rFonts w:ascii="宋体" w:hAnsi="宋体" w:cs="宋体"/>
                <w:color w:val="auto"/>
                <w:kern w:val="0"/>
                <w:sz w:val="18"/>
                <w:szCs w:val="18"/>
                <w:lang w:val="en-GB"/>
              </w:rPr>
            </w:pPr>
            <w:r>
              <w:rPr>
                <w:rFonts w:hint="eastAsia" w:ascii="宋体" w:hAnsi="宋体" w:cs="宋体"/>
                <w:color w:val="auto"/>
                <w:kern w:val="0"/>
                <w:sz w:val="18"/>
                <w:szCs w:val="18"/>
                <w:lang w:val="en-GB"/>
              </w:rPr>
              <w:t>劣</w:t>
            </w:r>
          </w:p>
        </w:tc>
        <w:tc>
          <w:tcPr>
            <w:tcW w:w="285" w:type="pct"/>
            <w:gridSpan w:val="2"/>
            <w:vAlign w:val="center"/>
          </w:tcPr>
          <w:p>
            <w:pPr>
              <w:jc w:val="center"/>
              <w:rPr>
                <w:rFonts w:ascii="宋体" w:hAnsi="宋体" w:cs="宋体"/>
                <w:color w:val="auto"/>
                <w:sz w:val="18"/>
                <w:szCs w:val="18"/>
              </w:rPr>
            </w:pPr>
            <w:r>
              <w:rPr>
                <w:rFonts w:hint="eastAsia" w:ascii="宋体" w:hAnsi="宋体" w:cs="宋体"/>
                <w:color w:val="auto"/>
                <w:sz w:val="18"/>
                <w:szCs w:val="18"/>
              </w:rPr>
              <w:t>优</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较优</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85" w:type="pct"/>
            <w:vAlign w:val="center"/>
          </w:tcPr>
          <w:p>
            <w:pPr>
              <w:widowControl/>
              <w:overflowPunct w:val="0"/>
              <w:autoSpaceDE w:val="0"/>
              <w:autoSpaceDN w:val="0"/>
              <w:adjustRightInd w:val="0"/>
              <w:jc w:val="center"/>
              <w:textAlignment w:val="baseline"/>
              <w:rPr>
                <w:rFonts w:ascii="宋体" w:hAnsi="宋体" w:cs="宋体"/>
                <w:color w:val="auto"/>
                <w:kern w:val="0"/>
                <w:sz w:val="18"/>
                <w:szCs w:val="18"/>
                <w:lang w:val="en-GB"/>
              </w:rPr>
            </w:pPr>
            <w:r>
              <w:rPr>
                <w:rFonts w:hint="eastAsia" w:ascii="宋体" w:hAnsi="宋体" w:cs="宋体"/>
                <w:color w:val="auto"/>
                <w:kern w:val="0"/>
                <w:sz w:val="18"/>
                <w:szCs w:val="18"/>
                <w:lang w:val="en-GB"/>
              </w:rPr>
              <w:t>较劣</w:t>
            </w:r>
          </w:p>
        </w:tc>
        <w:tc>
          <w:tcPr>
            <w:tcW w:w="290" w:type="pct"/>
            <w:vAlign w:val="center"/>
          </w:tcPr>
          <w:p>
            <w:pPr>
              <w:widowControl/>
              <w:overflowPunct w:val="0"/>
              <w:autoSpaceDE w:val="0"/>
              <w:autoSpaceDN w:val="0"/>
              <w:adjustRightInd w:val="0"/>
              <w:jc w:val="center"/>
              <w:textAlignment w:val="baseline"/>
              <w:rPr>
                <w:rFonts w:ascii="宋体" w:hAnsi="宋体" w:cs="宋体"/>
                <w:color w:val="auto"/>
                <w:kern w:val="0"/>
                <w:sz w:val="18"/>
                <w:szCs w:val="18"/>
                <w:lang w:val="en-GB"/>
              </w:rPr>
            </w:pPr>
            <w:r>
              <w:rPr>
                <w:rFonts w:hint="eastAsia" w:ascii="宋体" w:hAnsi="宋体" w:cs="宋体"/>
                <w:color w:val="auto"/>
                <w:kern w:val="0"/>
                <w:sz w:val="18"/>
                <w:szCs w:val="18"/>
                <w:lang w:val="en-GB"/>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Align w:val="center"/>
          </w:tcPr>
          <w:p>
            <w:pPr>
              <w:jc w:val="center"/>
              <w:rPr>
                <w:rFonts w:ascii="宋体" w:hAnsi="宋体" w:cs="宋体"/>
                <w:color w:val="auto"/>
                <w:sz w:val="18"/>
                <w:szCs w:val="18"/>
              </w:rPr>
            </w:pPr>
            <w:r>
              <w:rPr>
                <w:rFonts w:hint="eastAsia" w:ascii="宋体" w:hAnsi="宋体" w:cs="宋体"/>
                <w:color w:val="auto"/>
                <w:sz w:val="18"/>
                <w:szCs w:val="18"/>
              </w:rPr>
              <w:t>区域</w:t>
            </w:r>
          </w:p>
          <w:p>
            <w:pPr>
              <w:jc w:val="center"/>
              <w:rPr>
                <w:rFonts w:ascii="宋体" w:hAnsi="宋体" w:cs="宋体"/>
                <w:color w:val="auto"/>
                <w:sz w:val="18"/>
                <w:szCs w:val="18"/>
              </w:rPr>
            </w:pPr>
            <w:r>
              <w:rPr>
                <w:rFonts w:hint="eastAsia" w:ascii="宋体" w:hAnsi="宋体" w:cs="宋体"/>
                <w:color w:val="auto"/>
                <w:sz w:val="18"/>
                <w:szCs w:val="18"/>
              </w:rPr>
              <w:t>因素</w:t>
            </w:r>
          </w:p>
        </w:tc>
        <w:tc>
          <w:tcPr>
            <w:tcW w:w="530" w:type="pct"/>
            <w:vAlign w:val="center"/>
          </w:tcPr>
          <w:p>
            <w:pPr>
              <w:jc w:val="center"/>
              <w:rPr>
                <w:rFonts w:ascii="宋体" w:hAnsi="宋体" w:cs="宋体"/>
                <w:color w:val="auto"/>
                <w:sz w:val="18"/>
                <w:szCs w:val="18"/>
              </w:rPr>
            </w:pPr>
            <w:r>
              <w:rPr>
                <w:rFonts w:hint="eastAsia" w:ascii="宋体" w:hAnsi="宋体" w:cs="宋体"/>
                <w:color w:val="auto"/>
                <w:kern w:val="0"/>
                <w:sz w:val="18"/>
                <w:szCs w:val="18"/>
              </w:rPr>
              <w:t>定级因素综合分值</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≥80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80-72</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72-60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60-54</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54-47</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47-44</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44-41</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41-38</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38-35</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35-33</w:t>
            </w:r>
          </w:p>
        </w:tc>
        <w:tc>
          <w:tcPr>
            <w:tcW w:w="285" w:type="pct"/>
            <w:gridSpan w:val="2"/>
            <w:vAlign w:val="center"/>
          </w:tcPr>
          <w:p>
            <w:pPr>
              <w:jc w:val="center"/>
              <w:rPr>
                <w:rFonts w:ascii="宋体" w:hAnsi="宋体" w:cs="宋体"/>
                <w:color w:val="auto"/>
                <w:sz w:val="18"/>
                <w:szCs w:val="18"/>
              </w:rPr>
            </w:pPr>
            <w:r>
              <w:rPr>
                <w:rFonts w:hint="eastAsia" w:ascii="宋体" w:hAnsi="宋体" w:cs="宋体"/>
                <w:color w:val="auto"/>
                <w:sz w:val="18"/>
                <w:szCs w:val="18"/>
              </w:rPr>
              <w:t>33-27</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27-20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20-13</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136-7</w:t>
            </w:r>
          </w:p>
        </w:tc>
        <w:tc>
          <w:tcPr>
            <w:tcW w:w="290" w:type="pct"/>
            <w:vAlign w:val="center"/>
          </w:tcPr>
          <w:p>
            <w:pPr>
              <w:jc w:val="center"/>
              <w:rPr>
                <w:rFonts w:ascii="宋体" w:hAnsi="宋体" w:cs="宋体"/>
                <w:color w:val="auto"/>
                <w:sz w:val="18"/>
                <w:szCs w:val="18"/>
              </w:rPr>
            </w:pPr>
            <w:r>
              <w:rPr>
                <w:rFonts w:hint="eastAsia" w:ascii="宋体" w:hAnsi="宋体" w:cs="宋体"/>
                <w:color w:val="auto"/>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个</w:t>
            </w:r>
          </w:p>
          <w:p>
            <w:pPr>
              <w:jc w:val="center"/>
              <w:rPr>
                <w:rFonts w:ascii="宋体" w:hAnsi="宋体" w:cs="宋体"/>
                <w:color w:val="auto"/>
                <w:sz w:val="18"/>
                <w:szCs w:val="18"/>
              </w:rPr>
            </w:pPr>
          </w:p>
          <w:p>
            <w:pPr>
              <w:jc w:val="center"/>
              <w:rPr>
                <w:rFonts w:ascii="宋体" w:hAnsi="宋体" w:cs="宋体"/>
                <w:color w:val="auto"/>
                <w:sz w:val="18"/>
                <w:szCs w:val="18"/>
              </w:rPr>
            </w:pPr>
            <w:r>
              <w:rPr>
                <w:rFonts w:hint="eastAsia" w:ascii="宋体" w:hAnsi="宋体" w:cs="宋体"/>
                <w:color w:val="auto"/>
                <w:sz w:val="18"/>
                <w:szCs w:val="18"/>
              </w:rPr>
              <w:t>别</w:t>
            </w:r>
          </w:p>
          <w:p>
            <w:pPr>
              <w:jc w:val="center"/>
              <w:rPr>
                <w:rFonts w:ascii="宋体" w:hAnsi="宋体" w:cs="宋体"/>
                <w:color w:val="auto"/>
                <w:sz w:val="18"/>
                <w:szCs w:val="18"/>
              </w:rPr>
            </w:pPr>
          </w:p>
          <w:p>
            <w:pPr>
              <w:jc w:val="center"/>
              <w:rPr>
                <w:rFonts w:ascii="宋体" w:hAnsi="宋体" w:cs="宋体"/>
                <w:color w:val="auto"/>
                <w:sz w:val="18"/>
                <w:szCs w:val="18"/>
              </w:rPr>
            </w:pPr>
            <w:r>
              <w:rPr>
                <w:rFonts w:hint="eastAsia" w:ascii="宋体" w:hAnsi="宋体" w:cs="宋体"/>
                <w:color w:val="auto"/>
                <w:sz w:val="18"/>
                <w:szCs w:val="18"/>
              </w:rPr>
              <w:t>因</w:t>
            </w:r>
          </w:p>
          <w:p>
            <w:pPr>
              <w:jc w:val="center"/>
              <w:rPr>
                <w:rFonts w:ascii="宋体" w:hAnsi="宋体" w:cs="宋体"/>
                <w:color w:val="auto"/>
                <w:sz w:val="18"/>
                <w:szCs w:val="18"/>
              </w:rPr>
            </w:pPr>
          </w:p>
          <w:p>
            <w:pPr>
              <w:jc w:val="center"/>
              <w:rPr>
                <w:rFonts w:ascii="宋体" w:hAnsi="宋体" w:cs="宋体"/>
                <w:color w:val="auto"/>
                <w:sz w:val="18"/>
                <w:szCs w:val="18"/>
              </w:rPr>
            </w:pPr>
            <w:r>
              <w:rPr>
                <w:rFonts w:hint="eastAsia" w:ascii="宋体" w:hAnsi="宋体" w:cs="宋体"/>
                <w:color w:val="auto"/>
                <w:sz w:val="18"/>
                <w:szCs w:val="18"/>
              </w:rPr>
              <w:t>素</w:t>
            </w:r>
          </w:p>
        </w:tc>
        <w:tc>
          <w:tcPr>
            <w:tcW w:w="530" w:type="pct"/>
            <w:vAlign w:val="center"/>
          </w:tcPr>
          <w:p>
            <w:pPr>
              <w:jc w:val="center"/>
              <w:rPr>
                <w:rFonts w:ascii="宋体" w:hAnsi="宋体" w:cs="宋体"/>
                <w:color w:val="auto"/>
                <w:sz w:val="18"/>
                <w:szCs w:val="18"/>
              </w:rPr>
            </w:pPr>
            <w:r>
              <w:rPr>
                <w:rFonts w:hint="eastAsia" w:ascii="宋体" w:hAnsi="宋体" w:cs="宋体"/>
                <w:color w:val="auto"/>
                <w:sz w:val="18"/>
                <w:szCs w:val="18"/>
              </w:rPr>
              <w:t>公用设施完备度</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≥92</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92-88</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88-84</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84-80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80-76</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76-72</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72-68</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68-64</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64-60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60-56</w:t>
            </w:r>
          </w:p>
        </w:tc>
        <w:tc>
          <w:tcPr>
            <w:tcW w:w="285" w:type="pct"/>
            <w:gridSpan w:val="2"/>
            <w:vAlign w:val="center"/>
          </w:tcPr>
          <w:p>
            <w:pPr>
              <w:jc w:val="center"/>
              <w:rPr>
                <w:rFonts w:ascii="宋体" w:hAnsi="宋体" w:cs="宋体"/>
                <w:color w:val="auto"/>
                <w:sz w:val="18"/>
                <w:szCs w:val="18"/>
              </w:rPr>
            </w:pPr>
            <w:r>
              <w:rPr>
                <w:rFonts w:hint="eastAsia" w:ascii="宋体" w:hAnsi="宋体" w:cs="宋体"/>
                <w:color w:val="auto"/>
                <w:sz w:val="18"/>
                <w:szCs w:val="18"/>
              </w:rPr>
              <w:t>56-52</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52-48</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48-44</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44-40</w:t>
            </w:r>
          </w:p>
        </w:tc>
        <w:tc>
          <w:tcPr>
            <w:tcW w:w="290" w:type="pct"/>
            <w:vAlign w:val="center"/>
          </w:tcPr>
          <w:p>
            <w:pPr>
              <w:jc w:val="center"/>
              <w:rPr>
                <w:rFonts w:ascii="宋体" w:hAnsi="宋体" w:cs="宋体"/>
                <w:color w:val="auto"/>
                <w:sz w:val="18"/>
                <w:szCs w:val="18"/>
              </w:rPr>
            </w:pPr>
            <w:r>
              <w:rPr>
                <w:rFonts w:hint="eastAsia" w:ascii="宋体" w:hAnsi="宋体" w:cs="宋体"/>
                <w:color w:val="auto"/>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Merge w:val="continue"/>
            <w:vAlign w:val="center"/>
          </w:tcPr>
          <w:p>
            <w:pPr>
              <w:jc w:val="center"/>
              <w:rPr>
                <w:rFonts w:ascii="宋体" w:hAnsi="宋体" w:cs="宋体"/>
                <w:color w:val="auto"/>
                <w:sz w:val="18"/>
                <w:szCs w:val="18"/>
              </w:rPr>
            </w:pPr>
          </w:p>
        </w:tc>
        <w:tc>
          <w:tcPr>
            <w:tcW w:w="530" w:type="pct"/>
            <w:vAlign w:val="center"/>
          </w:tcPr>
          <w:p>
            <w:pPr>
              <w:jc w:val="center"/>
              <w:rPr>
                <w:rFonts w:ascii="宋体" w:hAnsi="宋体" w:cs="宋体"/>
                <w:color w:val="auto"/>
                <w:sz w:val="18"/>
                <w:szCs w:val="18"/>
              </w:rPr>
            </w:pPr>
            <w:r>
              <w:rPr>
                <w:rFonts w:hint="eastAsia" w:ascii="宋体" w:hAnsi="宋体" w:cs="宋体"/>
                <w:color w:val="auto"/>
                <w:sz w:val="18"/>
                <w:szCs w:val="18"/>
              </w:rPr>
              <w:t>建筑物朝向</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朝南</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朝东</w:t>
            </w:r>
          </w:p>
          <w:p>
            <w:pPr>
              <w:jc w:val="center"/>
              <w:rPr>
                <w:rFonts w:ascii="宋体" w:hAnsi="宋体" w:cs="宋体"/>
                <w:color w:val="auto"/>
                <w:sz w:val="18"/>
                <w:szCs w:val="18"/>
              </w:rPr>
            </w:pPr>
            <w:r>
              <w:rPr>
                <w:rFonts w:hint="eastAsia" w:ascii="宋体" w:hAnsi="宋体" w:cs="宋体"/>
                <w:color w:val="auto"/>
                <w:sz w:val="18"/>
                <w:szCs w:val="18"/>
              </w:rPr>
              <w:t>朝东南</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朝西南</w:t>
            </w:r>
          </w:p>
          <w:p>
            <w:pPr>
              <w:jc w:val="center"/>
              <w:rPr>
                <w:rFonts w:ascii="宋体" w:hAnsi="宋体" w:cs="宋体"/>
                <w:color w:val="auto"/>
                <w:sz w:val="18"/>
                <w:szCs w:val="18"/>
              </w:rPr>
            </w:pPr>
            <w:r>
              <w:rPr>
                <w:rFonts w:hint="eastAsia" w:ascii="宋体" w:hAnsi="宋体" w:cs="宋体"/>
                <w:color w:val="auto"/>
                <w:sz w:val="18"/>
                <w:szCs w:val="18"/>
              </w:rPr>
              <w:t>朝东北</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朝西</w:t>
            </w:r>
          </w:p>
          <w:p>
            <w:pPr>
              <w:jc w:val="center"/>
              <w:rPr>
                <w:rFonts w:ascii="宋体" w:hAnsi="宋体" w:cs="宋体"/>
                <w:color w:val="auto"/>
                <w:sz w:val="18"/>
                <w:szCs w:val="18"/>
              </w:rPr>
            </w:pPr>
            <w:r>
              <w:rPr>
                <w:rFonts w:hint="eastAsia" w:ascii="宋体" w:hAnsi="宋体" w:cs="宋体"/>
                <w:color w:val="auto"/>
                <w:sz w:val="18"/>
                <w:szCs w:val="18"/>
              </w:rPr>
              <w:t>朝北</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朝南</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朝东</w:t>
            </w:r>
          </w:p>
          <w:p>
            <w:pPr>
              <w:jc w:val="center"/>
              <w:rPr>
                <w:rFonts w:ascii="宋体" w:hAnsi="宋体" w:cs="宋体"/>
                <w:color w:val="auto"/>
                <w:sz w:val="18"/>
                <w:szCs w:val="18"/>
              </w:rPr>
            </w:pPr>
            <w:r>
              <w:rPr>
                <w:rFonts w:hint="eastAsia" w:ascii="宋体" w:hAnsi="宋体" w:cs="宋体"/>
                <w:color w:val="auto"/>
                <w:sz w:val="18"/>
                <w:szCs w:val="18"/>
              </w:rPr>
              <w:t>朝东南</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朝西南</w:t>
            </w:r>
          </w:p>
          <w:p>
            <w:pPr>
              <w:jc w:val="center"/>
              <w:rPr>
                <w:rFonts w:ascii="宋体" w:hAnsi="宋体" w:cs="宋体"/>
                <w:color w:val="auto"/>
                <w:sz w:val="18"/>
                <w:szCs w:val="18"/>
              </w:rPr>
            </w:pPr>
            <w:r>
              <w:rPr>
                <w:rFonts w:hint="eastAsia" w:ascii="宋体" w:hAnsi="宋体" w:cs="宋体"/>
                <w:color w:val="auto"/>
                <w:sz w:val="18"/>
                <w:szCs w:val="18"/>
              </w:rPr>
              <w:t>朝东北</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朝西</w:t>
            </w:r>
          </w:p>
          <w:p>
            <w:pPr>
              <w:jc w:val="center"/>
              <w:rPr>
                <w:rFonts w:ascii="宋体" w:hAnsi="宋体" w:cs="宋体"/>
                <w:color w:val="auto"/>
                <w:sz w:val="18"/>
                <w:szCs w:val="18"/>
              </w:rPr>
            </w:pPr>
            <w:r>
              <w:rPr>
                <w:rFonts w:hint="eastAsia" w:ascii="宋体" w:hAnsi="宋体" w:cs="宋体"/>
                <w:color w:val="auto"/>
                <w:sz w:val="18"/>
                <w:szCs w:val="18"/>
              </w:rPr>
              <w:t>朝北</w:t>
            </w:r>
          </w:p>
        </w:tc>
        <w:tc>
          <w:tcPr>
            <w:tcW w:w="285" w:type="pct"/>
            <w:gridSpan w:val="2"/>
            <w:vAlign w:val="center"/>
          </w:tcPr>
          <w:p>
            <w:pPr>
              <w:jc w:val="center"/>
              <w:rPr>
                <w:rFonts w:ascii="宋体" w:hAnsi="宋体" w:cs="宋体"/>
                <w:color w:val="auto"/>
                <w:sz w:val="18"/>
                <w:szCs w:val="18"/>
              </w:rPr>
            </w:pPr>
            <w:r>
              <w:rPr>
                <w:rFonts w:hint="eastAsia" w:ascii="宋体" w:hAnsi="宋体" w:cs="宋体"/>
                <w:color w:val="auto"/>
                <w:sz w:val="18"/>
                <w:szCs w:val="18"/>
              </w:rPr>
              <w:t>朝南</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朝东</w:t>
            </w:r>
          </w:p>
          <w:p>
            <w:pPr>
              <w:jc w:val="center"/>
              <w:rPr>
                <w:rFonts w:ascii="宋体" w:hAnsi="宋体" w:cs="宋体"/>
                <w:color w:val="auto"/>
                <w:sz w:val="18"/>
                <w:szCs w:val="18"/>
              </w:rPr>
            </w:pPr>
            <w:r>
              <w:rPr>
                <w:rFonts w:hint="eastAsia" w:ascii="宋体" w:hAnsi="宋体" w:cs="宋体"/>
                <w:color w:val="auto"/>
                <w:sz w:val="18"/>
                <w:szCs w:val="18"/>
              </w:rPr>
              <w:t>朝东南</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朝西南</w:t>
            </w:r>
          </w:p>
          <w:p>
            <w:pPr>
              <w:jc w:val="center"/>
              <w:rPr>
                <w:rFonts w:ascii="宋体" w:hAnsi="宋体" w:cs="宋体"/>
                <w:color w:val="auto"/>
                <w:sz w:val="18"/>
                <w:szCs w:val="18"/>
              </w:rPr>
            </w:pPr>
            <w:r>
              <w:rPr>
                <w:rFonts w:hint="eastAsia" w:ascii="宋体" w:hAnsi="宋体" w:cs="宋体"/>
                <w:color w:val="auto"/>
                <w:sz w:val="18"/>
                <w:szCs w:val="18"/>
              </w:rPr>
              <w:t>朝东北</w:t>
            </w:r>
          </w:p>
        </w:tc>
        <w:tc>
          <w:tcPr>
            <w:tcW w:w="290" w:type="pct"/>
            <w:vAlign w:val="center"/>
          </w:tcPr>
          <w:p>
            <w:pPr>
              <w:jc w:val="center"/>
              <w:rPr>
                <w:rFonts w:ascii="宋体" w:hAnsi="宋体" w:cs="宋体"/>
                <w:color w:val="auto"/>
                <w:sz w:val="18"/>
                <w:szCs w:val="18"/>
              </w:rPr>
            </w:pPr>
            <w:r>
              <w:rPr>
                <w:rFonts w:hint="eastAsia" w:ascii="宋体" w:hAnsi="宋体" w:cs="宋体"/>
                <w:color w:val="auto"/>
                <w:sz w:val="18"/>
                <w:szCs w:val="18"/>
              </w:rPr>
              <w:t>朝西</w:t>
            </w:r>
          </w:p>
          <w:p>
            <w:pPr>
              <w:jc w:val="center"/>
              <w:rPr>
                <w:rFonts w:ascii="宋体" w:hAnsi="宋体" w:cs="宋体"/>
                <w:color w:val="auto"/>
                <w:sz w:val="18"/>
                <w:szCs w:val="18"/>
              </w:rPr>
            </w:pPr>
            <w:r>
              <w:rPr>
                <w:rFonts w:hint="eastAsia" w:ascii="宋体" w:hAnsi="宋体" w:cs="宋体"/>
                <w:color w:val="auto"/>
                <w:sz w:val="18"/>
                <w:szCs w:val="18"/>
              </w:rPr>
              <w:t>朝北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Merge w:val="continue"/>
            <w:vAlign w:val="center"/>
          </w:tcPr>
          <w:p>
            <w:pPr>
              <w:jc w:val="center"/>
              <w:rPr>
                <w:rFonts w:ascii="宋体" w:hAnsi="宋体" w:cs="宋体"/>
                <w:color w:val="auto"/>
                <w:sz w:val="18"/>
                <w:szCs w:val="18"/>
              </w:rPr>
            </w:pPr>
          </w:p>
        </w:tc>
        <w:tc>
          <w:tcPr>
            <w:tcW w:w="530" w:type="pct"/>
            <w:vAlign w:val="center"/>
          </w:tcPr>
          <w:p>
            <w:pPr>
              <w:jc w:val="center"/>
              <w:rPr>
                <w:rFonts w:ascii="宋体" w:hAnsi="宋体" w:cs="宋体"/>
                <w:color w:val="auto"/>
                <w:sz w:val="18"/>
                <w:szCs w:val="18"/>
              </w:rPr>
            </w:pPr>
            <w:r>
              <w:rPr>
                <w:rFonts w:hint="eastAsia" w:ascii="宋体" w:hAnsi="宋体" w:cs="宋体"/>
                <w:color w:val="auto"/>
                <w:sz w:val="18"/>
                <w:szCs w:val="18"/>
              </w:rPr>
              <w:t>宗地面积</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400～</w:t>
            </w:r>
          </w:p>
          <w:p>
            <w:pPr>
              <w:jc w:val="center"/>
              <w:rPr>
                <w:rFonts w:ascii="宋体" w:hAnsi="宋体" w:cs="宋体"/>
                <w:color w:val="auto"/>
                <w:sz w:val="18"/>
                <w:szCs w:val="18"/>
              </w:rPr>
            </w:pPr>
            <w:r>
              <w:rPr>
                <w:rFonts w:hint="eastAsia" w:ascii="宋体" w:hAnsi="宋体" w:cs="宋体"/>
                <w:color w:val="auto"/>
                <w:sz w:val="18"/>
                <w:szCs w:val="18"/>
              </w:rPr>
              <w:t>300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300～</w:t>
            </w:r>
          </w:p>
          <w:p>
            <w:pPr>
              <w:jc w:val="center"/>
              <w:rPr>
                <w:rFonts w:ascii="宋体" w:hAnsi="宋体" w:cs="宋体"/>
                <w:color w:val="auto"/>
                <w:sz w:val="18"/>
                <w:szCs w:val="18"/>
              </w:rPr>
            </w:pPr>
            <w:r>
              <w:rPr>
                <w:rFonts w:hint="eastAsia" w:ascii="宋体" w:hAnsi="宋体" w:cs="宋体"/>
                <w:color w:val="auto"/>
                <w:sz w:val="18"/>
                <w:szCs w:val="18"/>
              </w:rPr>
              <w:t>200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200～</w:t>
            </w:r>
          </w:p>
          <w:p>
            <w:pPr>
              <w:jc w:val="center"/>
              <w:rPr>
                <w:rFonts w:ascii="宋体" w:hAnsi="宋体" w:cs="宋体"/>
                <w:color w:val="auto"/>
                <w:sz w:val="18"/>
                <w:szCs w:val="18"/>
              </w:rPr>
            </w:pPr>
            <w:r>
              <w:rPr>
                <w:rFonts w:hint="eastAsia" w:ascii="宋体" w:hAnsi="宋体" w:cs="宋体"/>
                <w:color w:val="auto"/>
                <w:sz w:val="18"/>
                <w:szCs w:val="18"/>
              </w:rPr>
              <w:t>100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&lt;100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400～</w:t>
            </w:r>
          </w:p>
          <w:p>
            <w:pPr>
              <w:jc w:val="center"/>
              <w:rPr>
                <w:rFonts w:ascii="宋体" w:hAnsi="宋体" w:cs="宋体"/>
                <w:color w:val="auto"/>
                <w:sz w:val="18"/>
                <w:szCs w:val="18"/>
              </w:rPr>
            </w:pPr>
            <w:r>
              <w:rPr>
                <w:rFonts w:hint="eastAsia" w:ascii="宋体" w:hAnsi="宋体" w:cs="宋体"/>
                <w:color w:val="auto"/>
                <w:sz w:val="18"/>
                <w:szCs w:val="18"/>
              </w:rPr>
              <w:t>300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300～</w:t>
            </w:r>
          </w:p>
          <w:p>
            <w:pPr>
              <w:jc w:val="center"/>
              <w:rPr>
                <w:rFonts w:ascii="宋体" w:hAnsi="宋体" w:cs="宋体"/>
                <w:color w:val="auto"/>
                <w:sz w:val="18"/>
                <w:szCs w:val="18"/>
              </w:rPr>
            </w:pPr>
            <w:r>
              <w:rPr>
                <w:rFonts w:hint="eastAsia" w:ascii="宋体" w:hAnsi="宋体" w:cs="宋体"/>
                <w:color w:val="auto"/>
                <w:sz w:val="18"/>
                <w:szCs w:val="18"/>
              </w:rPr>
              <w:t>200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200～</w:t>
            </w:r>
          </w:p>
          <w:p>
            <w:pPr>
              <w:jc w:val="center"/>
              <w:rPr>
                <w:rFonts w:ascii="宋体" w:hAnsi="宋体" w:cs="宋体"/>
                <w:color w:val="auto"/>
                <w:sz w:val="18"/>
                <w:szCs w:val="18"/>
              </w:rPr>
            </w:pPr>
            <w:r>
              <w:rPr>
                <w:rFonts w:hint="eastAsia" w:ascii="宋体" w:hAnsi="宋体" w:cs="宋体"/>
                <w:color w:val="auto"/>
                <w:sz w:val="18"/>
                <w:szCs w:val="18"/>
              </w:rPr>
              <w:t>100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&lt;100</w:t>
            </w:r>
          </w:p>
        </w:tc>
        <w:tc>
          <w:tcPr>
            <w:tcW w:w="285" w:type="pct"/>
            <w:gridSpan w:val="2"/>
            <w:vAlign w:val="center"/>
          </w:tcPr>
          <w:p>
            <w:pPr>
              <w:jc w:val="center"/>
              <w:rPr>
                <w:rFonts w:ascii="宋体" w:hAnsi="宋体" w:cs="宋体"/>
                <w:color w:val="auto"/>
                <w:sz w:val="18"/>
                <w:szCs w:val="18"/>
              </w:rPr>
            </w:pPr>
            <w:r>
              <w:rPr>
                <w:rFonts w:hint="eastAsia" w:ascii="宋体" w:hAnsi="宋体" w:cs="宋体"/>
                <w:color w:val="auto"/>
                <w:sz w:val="18"/>
                <w:szCs w:val="18"/>
              </w:rPr>
              <w:t>≥400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400～</w:t>
            </w:r>
          </w:p>
          <w:p>
            <w:pPr>
              <w:jc w:val="center"/>
              <w:rPr>
                <w:rFonts w:ascii="宋体" w:hAnsi="宋体" w:cs="宋体"/>
                <w:color w:val="auto"/>
                <w:sz w:val="18"/>
                <w:szCs w:val="18"/>
              </w:rPr>
            </w:pPr>
            <w:r>
              <w:rPr>
                <w:rFonts w:hint="eastAsia" w:ascii="宋体" w:hAnsi="宋体" w:cs="宋体"/>
                <w:color w:val="auto"/>
                <w:sz w:val="18"/>
                <w:szCs w:val="18"/>
              </w:rPr>
              <w:t>300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300～</w:t>
            </w:r>
          </w:p>
          <w:p>
            <w:pPr>
              <w:jc w:val="center"/>
              <w:rPr>
                <w:rFonts w:ascii="宋体" w:hAnsi="宋体" w:cs="宋体"/>
                <w:color w:val="auto"/>
                <w:sz w:val="18"/>
                <w:szCs w:val="18"/>
              </w:rPr>
            </w:pPr>
            <w:r>
              <w:rPr>
                <w:rFonts w:hint="eastAsia" w:ascii="宋体" w:hAnsi="宋体" w:cs="宋体"/>
                <w:color w:val="auto"/>
                <w:sz w:val="18"/>
                <w:szCs w:val="18"/>
              </w:rPr>
              <w:t>200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200～</w:t>
            </w:r>
          </w:p>
          <w:p>
            <w:pPr>
              <w:jc w:val="center"/>
              <w:rPr>
                <w:rFonts w:ascii="宋体" w:hAnsi="宋体" w:cs="宋体"/>
                <w:color w:val="auto"/>
                <w:sz w:val="18"/>
                <w:szCs w:val="18"/>
              </w:rPr>
            </w:pPr>
            <w:r>
              <w:rPr>
                <w:rFonts w:hint="eastAsia" w:ascii="宋体" w:hAnsi="宋体" w:cs="宋体"/>
                <w:color w:val="auto"/>
                <w:sz w:val="18"/>
                <w:szCs w:val="18"/>
              </w:rPr>
              <w:t>100</w:t>
            </w:r>
          </w:p>
        </w:tc>
        <w:tc>
          <w:tcPr>
            <w:tcW w:w="290" w:type="pct"/>
            <w:vAlign w:val="center"/>
          </w:tcPr>
          <w:p>
            <w:pPr>
              <w:jc w:val="center"/>
              <w:rPr>
                <w:rFonts w:ascii="宋体" w:hAnsi="宋体" w:cs="宋体"/>
                <w:color w:val="auto"/>
                <w:sz w:val="18"/>
                <w:szCs w:val="18"/>
              </w:rPr>
            </w:pPr>
            <w:r>
              <w:rPr>
                <w:rFonts w:hint="eastAsia" w:ascii="宋体" w:hAnsi="宋体" w:cs="宋体"/>
                <w:color w:val="auto"/>
                <w:sz w:val="18"/>
                <w:szCs w:val="18"/>
              </w:rPr>
              <w:t>&lt;100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Merge w:val="continue"/>
            <w:vAlign w:val="center"/>
          </w:tcPr>
          <w:p>
            <w:pPr>
              <w:jc w:val="center"/>
              <w:rPr>
                <w:rFonts w:ascii="宋体" w:hAnsi="宋体" w:cs="宋体"/>
                <w:color w:val="auto"/>
                <w:sz w:val="18"/>
                <w:szCs w:val="18"/>
              </w:rPr>
            </w:pPr>
          </w:p>
        </w:tc>
        <w:tc>
          <w:tcPr>
            <w:tcW w:w="530" w:type="pct"/>
            <w:vAlign w:val="center"/>
          </w:tcPr>
          <w:p>
            <w:pPr>
              <w:jc w:val="center"/>
              <w:rPr>
                <w:rFonts w:ascii="宋体" w:hAnsi="宋体" w:cs="宋体"/>
                <w:color w:val="auto"/>
                <w:sz w:val="18"/>
                <w:szCs w:val="18"/>
              </w:rPr>
            </w:pPr>
            <w:r>
              <w:rPr>
                <w:rFonts w:hint="eastAsia" w:ascii="宋体" w:hAnsi="宋体" w:cs="宋体"/>
                <w:color w:val="auto"/>
                <w:sz w:val="18"/>
                <w:szCs w:val="18"/>
              </w:rPr>
              <w:t>距农贸市场距离</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&lt;400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400～600</w:t>
            </w:r>
          </w:p>
        </w:tc>
        <w:tc>
          <w:tcPr>
            <w:tcW w:w="285" w:type="pct"/>
            <w:vAlign w:val="center"/>
          </w:tcPr>
          <w:p>
            <w:pPr>
              <w:autoSpaceDE w:val="0"/>
              <w:autoSpaceDN w:val="0"/>
              <w:adjustRightInd w:val="0"/>
              <w:jc w:val="center"/>
              <w:rPr>
                <w:rFonts w:ascii="宋体" w:hAnsi="宋体" w:cs="宋体"/>
                <w:color w:val="auto"/>
                <w:kern w:val="0"/>
                <w:sz w:val="18"/>
                <w:szCs w:val="18"/>
              </w:rPr>
            </w:pPr>
            <w:r>
              <w:rPr>
                <w:rFonts w:hint="eastAsia" w:ascii="宋体" w:hAnsi="宋体" w:cs="宋体"/>
                <w:color w:val="auto"/>
                <w:kern w:val="0"/>
                <w:sz w:val="18"/>
                <w:szCs w:val="18"/>
              </w:rPr>
              <w:t>600-800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lang w:val="en-GB"/>
              </w:rPr>
              <w:t>800</w:t>
            </w:r>
            <w:r>
              <w:rPr>
                <w:rFonts w:hint="eastAsia" w:ascii="宋体" w:hAnsi="宋体" w:cs="宋体"/>
                <w:color w:val="auto"/>
                <w:sz w:val="18"/>
                <w:szCs w:val="18"/>
              </w:rPr>
              <w:t>～1200</w:t>
            </w:r>
          </w:p>
        </w:tc>
        <w:tc>
          <w:tcPr>
            <w:tcW w:w="285" w:type="pct"/>
            <w:vAlign w:val="center"/>
          </w:tcPr>
          <w:p>
            <w:pPr>
              <w:autoSpaceDE w:val="0"/>
              <w:autoSpaceDN w:val="0"/>
              <w:adjustRightInd w:val="0"/>
              <w:jc w:val="center"/>
              <w:rPr>
                <w:rFonts w:ascii="宋体" w:hAnsi="宋体" w:cs="宋体"/>
                <w:color w:val="auto"/>
                <w:kern w:val="0"/>
                <w:sz w:val="18"/>
                <w:szCs w:val="18"/>
              </w:rPr>
            </w:pPr>
            <w:r>
              <w:rPr>
                <w:rFonts w:hint="eastAsia" w:ascii="宋体" w:hAnsi="宋体" w:cs="宋体"/>
                <w:color w:val="auto"/>
                <w:kern w:val="0"/>
                <w:sz w:val="18"/>
                <w:szCs w:val="18"/>
              </w:rPr>
              <w:t>&gt;1200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&lt;400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400～600</w:t>
            </w:r>
          </w:p>
        </w:tc>
        <w:tc>
          <w:tcPr>
            <w:tcW w:w="285" w:type="pct"/>
            <w:vAlign w:val="center"/>
          </w:tcPr>
          <w:p>
            <w:pPr>
              <w:autoSpaceDE w:val="0"/>
              <w:autoSpaceDN w:val="0"/>
              <w:adjustRightInd w:val="0"/>
              <w:jc w:val="center"/>
              <w:rPr>
                <w:rFonts w:ascii="宋体" w:hAnsi="宋体" w:cs="宋体"/>
                <w:color w:val="auto"/>
                <w:kern w:val="0"/>
                <w:sz w:val="18"/>
                <w:szCs w:val="18"/>
              </w:rPr>
            </w:pPr>
            <w:r>
              <w:rPr>
                <w:rFonts w:hint="eastAsia" w:ascii="宋体" w:hAnsi="宋体" w:cs="宋体"/>
                <w:color w:val="auto"/>
                <w:kern w:val="0"/>
                <w:sz w:val="18"/>
                <w:szCs w:val="18"/>
              </w:rPr>
              <w:t>600-800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lang w:val="en-GB"/>
              </w:rPr>
              <w:t>800</w:t>
            </w:r>
            <w:r>
              <w:rPr>
                <w:rFonts w:hint="eastAsia" w:ascii="宋体" w:hAnsi="宋体" w:cs="宋体"/>
                <w:color w:val="auto"/>
                <w:sz w:val="18"/>
                <w:szCs w:val="18"/>
              </w:rPr>
              <w:t>～1200</w:t>
            </w:r>
          </w:p>
        </w:tc>
        <w:tc>
          <w:tcPr>
            <w:tcW w:w="285" w:type="pct"/>
            <w:vAlign w:val="center"/>
          </w:tcPr>
          <w:p>
            <w:pPr>
              <w:autoSpaceDE w:val="0"/>
              <w:autoSpaceDN w:val="0"/>
              <w:adjustRightInd w:val="0"/>
              <w:jc w:val="center"/>
              <w:rPr>
                <w:rFonts w:ascii="宋体" w:hAnsi="宋体" w:cs="宋体"/>
                <w:color w:val="auto"/>
                <w:kern w:val="0"/>
                <w:sz w:val="18"/>
                <w:szCs w:val="18"/>
              </w:rPr>
            </w:pPr>
            <w:r>
              <w:rPr>
                <w:rFonts w:hint="eastAsia" w:ascii="宋体" w:hAnsi="宋体" w:cs="宋体"/>
                <w:color w:val="auto"/>
                <w:kern w:val="0"/>
                <w:sz w:val="18"/>
                <w:szCs w:val="18"/>
              </w:rPr>
              <w:t>&gt;1200</w:t>
            </w:r>
          </w:p>
        </w:tc>
        <w:tc>
          <w:tcPr>
            <w:tcW w:w="285" w:type="pct"/>
            <w:gridSpan w:val="2"/>
            <w:vAlign w:val="center"/>
          </w:tcPr>
          <w:p>
            <w:pPr>
              <w:jc w:val="center"/>
              <w:rPr>
                <w:rFonts w:ascii="宋体" w:hAnsi="宋体" w:cs="宋体"/>
                <w:color w:val="auto"/>
                <w:sz w:val="18"/>
                <w:szCs w:val="18"/>
              </w:rPr>
            </w:pPr>
            <w:r>
              <w:rPr>
                <w:rFonts w:hint="eastAsia" w:ascii="宋体" w:hAnsi="宋体" w:cs="宋体"/>
                <w:color w:val="auto"/>
                <w:sz w:val="18"/>
                <w:szCs w:val="18"/>
              </w:rPr>
              <w:t>&lt;400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400～600</w:t>
            </w:r>
          </w:p>
        </w:tc>
        <w:tc>
          <w:tcPr>
            <w:tcW w:w="285" w:type="pct"/>
            <w:vAlign w:val="center"/>
          </w:tcPr>
          <w:p>
            <w:pPr>
              <w:autoSpaceDE w:val="0"/>
              <w:autoSpaceDN w:val="0"/>
              <w:adjustRightInd w:val="0"/>
              <w:jc w:val="center"/>
              <w:rPr>
                <w:rFonts w:ascii="宋体" w:hAnsi="宋体" w:cs="宋体"/>
                <w:color w:val="auto"/>
                <w:kern w:val="0"/>
                <w:sz w:val="18"/>
                <w:szCs w:val="18"/>
              </w:rPr>
            </w:pPr>
            <w:r>
              <w:rPr>
                <w:rFonts w:hint="eastAsia" w:ascii="宋体" w:hAnsi="宋体" w:cs="宋体"/>
                <w:color w:val="auto"/>
                <w:kern w:val="0"/>
                <w:sz w:val="18"/>
                <w:szCs w:val="18"/>
              </w:rPr>
              <w:t>600-800</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lang w:val="en-GB"/>
              </w:rPr>
              <w:t>800</w:t>
            </w:r>
            <w:r>
              <w:rPr>
                <w:rFonts w:hint="eastAsia" w:ascii="宋体" w:hAnsi="宋体" w:cs="宋体"/>
                <w:color w:val="auto"/>
                <w:sz w:val="18"/>
                <w:szCs w:val="18"/>
              </w:rPr>
              <w:t>～1200</w:t>
            </w:r>
          </w:p>
        </w:tc>
        <w:tc>
          <w:tcPr>
            <w:tcW w:w="290" w:type="pct"/>
            <w:vAlign w:val="center"/>
          </w:tcPr>
          <w:p>
            <w:pPr>
              <w:autoSpaceDE w:val="0"/>
              <w:autoSpaceDN w:val="0"/>
              <w:adjustRightInd w:val="0"/>
              <w:jc w:val="center"/>
              <w:rPr>
                <w:rFonts w:ascii="宋体" w:hAnsi="宋体" w:cs="宋体"/>
                <w:color w:val="auto"/>
                <w:kern w:val="0"/>
                <w:sz w:val="18"/>
                <w:szCs w:val="18"/>
              </w:rPr>
            </w:pPr>
            <w:r>
              <w:rPr>
                <w:rFonts w:hint="eastAsia" w:ascii="宋体" w:hAnsi="宋体" w:cs="宋体"/>
                <w:color w:val="auto"/>
                <w:kern w:val="0"/>
                <w:sz w:val="18"/>
                <w:szCs w:val="18"/>
              </w:rPr>
              <w:t>&gt;1200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Merge w:val="continue"/>
            <w:vAlign w:val="center"/>
          </w:tcPr>
          <w:p>
            <w:pPr>
              <w:jc w:val="center"/>
              <w:rPr>
                <w:rFonts w:ascii="宋体" w:hAnsi="宋体" w:cs="宋体"/>
                <w:color w:val="auto"/>
                <w:sz w:val="18"/>
                <w:szCs w:val="18"/>
              </w:rPr>
            </w:pPr>
          </w:p>
        </w:tc>
        <w:tc>
          <w:tcPr>
            <w:tcW w:w="530" w:type="pct"/>
            <w:vAlign w:val="center"/>
          </w:tcPr>
          <w:p>
            <w:pPr>
              <w:jc w:val="center"/>
              <w:rPr>
                <w:rFonts w:ascii="宋体" w:hAnsi="宋体" w:cs="宋体"/>
                <w:color w:val="auto"/>
                <w:sz w:val="18"/>
                <w:szCs w:val="18"/>
              </w:rPr>
            </w:pPr>
            <w:r>
              <w:rPr>
                <w:rFonts w:hint="eastAsia" w:ascii="宋体" w:hAnsi="宋体" w:cs="宋体"/>
                <w:color w:val="auto"/>
                <w:sz w:val="18"/>
                <w:szCs w:val="18"/>
              </w:rPr>
              <w:t>宗地自然条件</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好</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较好</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较差</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差</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好</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较好</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较差</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差</w:t>
            </w:r>
          </w:p>
        </w:tc>
        <w:tc>
          <w:tcPr>
            <w:tcW w:w="285" w:type="pct"/>
            <w:gridSpan w:val="2"/>
            <w:vAlign w:val="center"/>
          </w:tcPr>
          <w:p>
            <w:pPr>
              <w:jc w:val="center"/>
              <w:rPr>
                <w:rFonts w:ascii="宋体" w:hAnsi="宋体" w:cs="宋体"/>
                <w:color w:val="auto"/>
                <w:sz w:val="18"/>
                <w:szCs w:val="18"/>
              </w:rPr>
            </w:pPr>
            <w:r>
              <w:rPr>
                <w:rFonts w:hint="eastAsia" w:ascii="宋体" w:hAnsi="宋体" w:cs="宋体"/>
                <w:color w:val="auto"/>
                <w:sz w:val="18"/>
                <w:szCs w:val="18"/>
              </w:rPr>
              <w:t>好</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较好</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较差</w:t>
            </w:r>
          </w:p>
        </w:tc>
        <w:tc>
          <w:tcPr>
            <w:tcW w:w="290" w:type="pct"/>
            <w:vAlign w:val="center"/>
          </w:tcPr>
          <w:p>
            <w:pPr>
              <w:jc w:val="center"/>
              <w:rPr>
                <w:rFonts w:ascii="宋体" w:hAnsi="宋体" w:cs="宋体"/>
                <w:color w:val="auto"/>
                <w:sz w:val="18"/>
                <w:szCs w:val="18"/>
              </w:rPr>
            </w:pPr>
            <w:r>
              <w:rPr>
                <w:rFonts w:hint="eastAsia" w:ascii="宋体" w:hAnsi="宋体" w:cs="宋体"/>
                <w:color w:val="auto"/>
                <w:sz w:val="18"/>
                <w:szCs w:val="18"/>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Merge w:val="continue"/>
            <w:vAlign w:val="center"/>
          </w:tcPr>
          <w:p>
            <w:pPr>
              <w:jc w:val="center"/>
              <w:rPr>
                <w:rFonts w:ascii="宋体" w:hAnsi="宋体" w:cs="宋体"/>
                <w:color w:val="auto"/>
                <w:sz w:val="18"/>
                <w:szCs w:val="18"/>
              </w:rPr>
            </w:pPr>
          </w:p>
        </w:tc>
        <w:tc>
          <w:tcPr>
            <w:tcW w:w="530" w:type="pct"/>
            <w:vAlign w:val="center"/>
          </w:tcPr>
          <w:p>
            <w:pPr>
              <w:jc w:val="center"/>
              <w:rPr>
                <w:rFonts w:ascii="宋体" w:hAnsi="宋体" w:cs="宋体"/>
                <w:color w:val="auto"/>
                <w:sz w:val="18"/>
                <w:szCs w:val="18"/>
              </w:rPr>
            </w:pPr>
            <w:r>
              <w:rPr>
                <w:rFonts w:hint="eastAsia" w:ascii="宋体" w:hAnsi="宋体" w:cs="宋体"/>
                <w:color w:val="auto"/>
                <w:sz w:val="18"/>
                <w:szCs w:val="18"/>
              </w:rPr>
              <w:t>绿地覆盖度</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好</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较好</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较差</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差</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好</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较好</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较差</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差</w:t>
            </w:r>
          </w:p>
        </w:tc>
        <w:tc>
          <w:tcPr>
            <w:tcW w:w="781" w:type="dxa"/>
            <w:gridSpan w:val="2"/>
            <w:vAlign w:val="center"/>
          </w:tcPr>
          <w:p>
            <w:pPr>
              <w:jc w:val="center"/>
              <w:rPr>
                <w:rFonts w:ascii="宋体" w:hAnsi="宋体" w:cs="宋体"/>
                <w:color w:val="auto"/>
                <w:sz w:val="18"/>
                <w:szCs w:val="18"/>
              </w:rPr>
            </w:pPr>
            <w:r>
              <w:rPr>
                <w:rFonts w:hint="eastAsia" w:ascii="宋体" w:hAnsi="宋体" w:cs="宋体"/>
                <w:color w:val="auto"/>
                <w:sz w:val="18"/>
                <w:szCs w:val="18"/>
              </w:rPr>
              <w:t>好</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较好</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781" w:type="dxa"/>
            <w:vAlign w:val="center"/>
          </w:tcPr>
          <w:p>
            <w:pPr>
              <w:jc w:val="center"/>
              <w:rPr>
                <w:rFonts w:ascii="宋体" w:hAnsi="宋体" w:cs="宋体"/>
                <w:color w:val="auto"/>
                <w:sz w:val="18"/>
                <w:szCs w:val="18"/>
              </w:rPr>
            </w:pPr>
            <w:r>
              <w:rPr>
                <w:rFonts w:hint="eastAsia" w:ascii="宋体" w:hAnsi="宋体" w:cs="宋体"/>
                <w:color w:val="auto"/>
                <w:sz w:val="18"/>
                <w:szCs w:val="18"/>
              </w:rPr>
              <w:t>较差</w:t>
            </w:r>
          </w:p>
        </w:tc>
        <w:tc>
          <w:tcPr>
            <w:tcW w:w="795" w:type="dxa"/>
            <w:vAlign w:val="center"/>
          </w:tcPr>
          <w:p>
            <w:pPr>
              <w:jc w:val="center"/>
              <w:rPr>
                <w:rFonts w:ascii="宋体" w:hAnsi="宋体" w:cs="宋体"/>
                <w:color w:val="auto"/>
                <w:sz w:val="18"/>
                <w:szCs w:val="18"/>
              </w:rPr>
            </w:pPr>
            <w:r>
              <w:rPr>
                <w:rFonts w:hint="eastAsia" w:ascii="宋体" w:hAnsi="宋体" w:cs="宋体"/>
                <w:color w:val="auto"/>
                <w:sz w:val="18"/>
                <w:szCs w:val="18"/>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Merge w:val="continue"/>
            <w:vAlign w:val="center"/>
          </w:tcPr>
          <w:p>
            <w:pPr>
              <w:jc w:val="center"/>
              <w:rPr>
                <w:rFonts w:ascii="宋体" w:hAnsi="宋体" w:cs="宋体"/>
                <w:color w:val="auto"/>
                <w:sz w:val="18"/>
                <w:szCs w:val="18"/>
              </w:rPr>
            </w:pPr>
          </w:p>
        </w:tc>
        <w:tc>
          <w:tcPr>
            <w:tcW w:w="530" w:type="pct"/>
            <w:vAlign w:val="center"/>
          </w:tcPr>
          <w:p>
            <w:pPr>
              <w:jc w:val="center"/>
              <w:rPr>
                <w:rFonts w:ascii="宋体" w:hAnsi="宋体" w:cs="宋体"/>
                <w:color w:val="auto"/>
                <w:sz w:val="18"/>
                <w:szCs w:val="18"/>
              </w:rPr>
            </w:pPr>
            <w:r>
              <w:rPr>
                <w:rFonts w:hint="eastAsia" w:ascii="宋体" w:hAnsi="宋体" w:cs="宋体"/>
                <w:color w:val="auto"/>
                <w:sz w:val="18"/>
                <w:szCs w:val="18"/>
              </w:rPr>
              <w:t>人口密度</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密集</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较密集</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较分散</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分散</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密集</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较密集</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较分散</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分散</w:t>
            </w:r>
          </w:p>
        </w:tc>
        <w:tc>
          <w:tcPr>
            <w:tcW w:w="285" w:type="pct"/>
            <w:gridSpan w:val="2"/>
            <w:vAlign w:val="center"/>
          </w:tcPr>
          <w:p>
            <w:pPr>
              <w:jc w:val="center"/>
              <w:rPr>
                <w:rFonts w:ascii="宋体" w:hAnsi="宋体" w:cs="宋体"/>
                <w:color w:val="auto"/>
                <w:sz w:val="18"/>
                <w:szCs w:val="18"/>
              </w:rPr>
            </w:pPr>
            <w:r>
              <w:rPr>
                <w:rFonts w:hint="eastAsia" w:ascii="宋体" w:hAnsi="宋体" w:cs="宋体"/>
                <w:color w:val="auto"/>
                <w:sz w:val="18"/>
                <w:szCs w:val="18"/>
              </w:rPr>
              <w:t>密集</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较密集</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85" w:type="pct"/>
            <w:vAlign w:val="center"/>
          </w:tcPr>
          <w:p>
            <w:pPr>
              <w:jc w:val="center"/>
              <w:rPr>
                <w:rFonts w:ascii="宋体" w:hAnsi="宋体" w:cs="宋体"/>
                <w:color w:val="auto"/>
                <w:sz w:val="18"/>
                <w:szCs w:val="18"/>
              </w:rPr>
            </w:pPr>
            <w:r>
              <w:rPr>
                <w:rFonts w:hint="eastAsia" w:ascii="宋体" w:hAnsi="宋体" w:cs="宋体"/>
                <w:color w:val="auto"/>
                <w:sz w:val="18"/>
                <w:szCs w:val="18"/>
              </w:rPr>
              <w:t>较分散</w:t>
            </w:r>
          </w:p>
        </w:tc>
        <w:tc>
          <w:tcPr>
            <w:tcW w:w="290" w:type="pct"/>
            <w:vAlign w:val="center"/>
          </w:tcPr>
          <w:p>
            <w:pPr>
              <w:jc w:val="center"/>
              <w:rPr>
                <w:rFonts w:ascii="宋体" w:hAnsi="宋体" w:cs="宋体"/>
                <w:color w:val="auto"/>
                <w:sz w:val="18"/>
                <w:szCs w:val="18"/>
              </w:rPr>
            </w:pPr>
            <w:r>
              <w:rPr>
                <w:rFonts w:hint="eastAsia" w:ascii="宋体" w:hAnsi="宋体" w:cs="宋体"/>
                <w:color w:val="auto"/>
                <w:sz w:val="18"/>
                <w:szCs w:val="18"/>
              </w:rPr>
              <w:t>分散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Merge w:val="continue"/>
            <w:vAlign w:val="center"/>
          </w:tcPr>
          <w:p>
            <w:pPr>
              <w:jc w:val="center"/>
              <w:rPr>
                <w:rFonts w:ascii="宋体" w:hAnsi="宋体" w:cs="宋体"/>
                <w:color w:val="auto"/>
                <w:sz w:val="18"/>
                <w:szCs w:val="18"/>
              </w:rPr>
            </w:pPr>
          </w:p>
        </w:tc>
        <w:tc>
          <w:tcPr>
            <w:tcW w:w="530" w:type="pct"/>
            <w:vAlign w:val="center"/>
          </w:tcPr>
          <w:p>
            <w:pPr>
              <w:jc w:val="center"/>
              <w:rPr>
                <w:rFonts w:ascii="宋体" w:hAnsi="宋体" w:cs="宋体"/>
                <w:color w:val="auto"/>
                <w:sz w:val="18"/>
                <w:szCs w:val="18"/>
              </w:rPr>
            </w:pPr>
            <w:r>
              <w:rPr>
                <w:rFonts w:hint="eastAsia" w:ascii="宋体" w:hAnsi="宋体" w:cs="宋体"/>
                <w:color w:val="auto"/>
                <w:sz w:val="18"/>
                <w:szCs w:val="18"/>
              </w:rPr>
              <w:t>供水保障率</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供水保障率较好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供水保障率一般</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供水保障率较差</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供水保障率差</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供水保障率较好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供水保障率一般</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供水保障率较差</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供水保障率差</w:t>
            </w:r>
          </w:p>
        </w:tc>
        <w:tc>
          <w:tcPr>
            <w:tcW w:w="285" w:type="pct"/>
            <w:gridSpan w:val="2"/>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供水保障率较好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供水保障率一般</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供水保障率较差</w:t>
            </w:r>
          </w:p>
        </w:tc>
        <w:tc>
          <w:tcPr>
            <w:tcW w:w="290"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供水保障率差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40" w:hRule="atLeast"/>
        </w:trPr>
        <w:tc>
          <w:tcPr>
            <w:tcW w:w="177" w:type="pct"/>
            <w:vMerge w:val="continue"/>
            <w:vAlign w:val="center"/>
          </w:tcPr>
          <w:p>
            <w:pPr>
              <w:jc w:val="center"/>
              <w:rPr>
                <w:rFonts w:ascii="宋体" w:hAnsi="宋体" w:cs="宋体"/>
                <w:color w:val="auto"/>
                <w:sz w:val="18"/>
                <w:szCs w:val="18"/>
              </w:rPr>
            </w:pPr>
          </w:p>
        </w:tc>
        <w:tc>
          <w:tcPr>
            <w:tcW w:w="530" w:type="pct"/>
            <w:vAlign w:val="center"/>
          </w:tcPr>
          <w:p>
            <w:pPr>
              <w:jc w:val="center"/>
              <w:rPr>
                <w:rFonts w:ascii="宋体" w:hAnsi="宋体" w:cs="宋体"/>
                <w:color w:val="auto"/>
                <w:sz w:val="18"/>
                <w:szCs w:val="18"/>
              </w:rPr>
            </w:pPr>
            <w:r>
              <w:rPr>
                <w:rFonts w:hint="eastAsia" w:ascii="宋体" w:hAnsi="宋体" w:cs="宋体"/>
                <w:color w:val="auto"/>
                <w:sz w:val="18"/>
                <w:szCs w:val="18"/>
              </w:rPr>
              <w:t>排水保障率</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排水保障率较好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排水保障率一般</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排水保障率较差</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排水保障率差</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排水保障率较好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排水保障率一般</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排水保障率较差</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排水保障率差</w:t>
            </w:r>
          </w:p>
        </w:tc>
        <w:tc>
          <w:tcPr>
            <w:tcW w:w="285" w:type="pct"/>
            <w:gridSpan w:val="2"/>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排水保障率较好</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排水保障率一般</w:t>
            </w:r>
          </w:p>
        </w:tc>
        <w:tc>
          <w:tcPr>
            <w:tcW w:w="285"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排水保障率较差</w:t>
            </w:r>
          </w:p>
        </w:tc>
        <w:tc>
          <w:tcPr>
            <w:tcW w:w="290" w:type="pct"/>
            <w:vAlign w:val="center"/>
          </w:tcPr>
          <w:p>
            <w:pPr>
              <w:spacing w:line="180" w:lineRule="exact"/>
              <w:jc w:val="center"/>
              <w:rPr>
                <w:rFonts w:ascii="宋体" w:hAnsi="宋体" w:cs="宋体"/>
                <w:color w:val="auto"/>
                <w:sz w:val="18"/>
                <w:szCs w:val="18"/>
              </w:rPr>
            </w:pPr>
            <w:r>
              <w:rPr>
                <w:rFonts w:hint="eastAsia" w:ascii="宋体" w:hAnsi="宋体" w:cs="宋体"/>
                <w:color w:val="auto"/>
                <w:sz w:val="18"/>
                <w:szCs w:val="18"/>
              </w:rPr>
              <w:t>排水保障率差</w:t>
            </w:r>
          </w:p>
        </w:tc>
      </w:tr>
    </w:tbl>
    <w:p>
      <w:pPr>
        <w:spacing w:line="240" w:lineRule="atLeast"/>
        <w:rPr>
          <w:rFonts w:ascii="宋体" w:hAnsi="宋体" w:cs="宋体"/>
          <w:b/>
          <w:bCs/>
          <w:color w:val="auto"/>
          <w:sz w:val="24"/>
        </w:rPr>
      </w:pPr>
    </w:p>
    <w:p>
      <w:pPr>
        <w:jc w:val="center"/>
        <w:rPr>
          <w:rFonts w:ascii="宋体" w:hAnsi="宋体" w:cs="宋体"/>
          <w:b/>
          <w:bCs/>
          <w:color w:val="auto"/>
          <w:sz w:val="28"/>
        </w:rPr>
      </w:pPr>
    </w:p>
    <w:p>
      <w:pPr>
        <w:jc w:val="center"/>
        <w:rPr>
          <w:rFonts w:ascii="宋体" w:hAnsi="宋体" w:cs="宋体"/>
          <w:b/>
          <w:bCs/>
          <w:color w:val="auto"/>
          <w:sz w:val="28"/>
        </w:rPr>
      </w:pPr>
    </w:p>
    <w:p>
      <w:pPr>
        <w:jc w:val="center"/>
        <w:rPr>
          <w:rFonts w:ascii="宋体" w:hAnsi="宋体" w:cs="宋体"/>
          <w:b/>
          <w:bCs/>
          <w:color w:val="auto"/>
          <w:sz w:val="28"/>
        </w:rPr>
      </w:pPr>
    </w:p>
    <w:p>
      <w:pPr>
        <w:jc w:val="center"/>
        <w:rPr>
          <w:rFonts w:ascii="宋体" w:hAnsi="宋体" w:cs="宋体"/>
          <w:b/>
          <w:bCs/>
          <w:color w:val="auto"/>
          <w:sz w:val="28"/>
        </w:rPr>
      </w:pPr>
    </w:p>
    <w:p>
      <w:pPr>
        <w:pStyle w:val="16"/>
        <w:spacing w:before="120" w:after="120"/>
        <w:rPr>
          <w:rFonts w:eastAsia="宋体" w:cs="宋体"/>
          <w:color w:val="auto"/>
          <w:sz w:val="18"/>
          <w:szCs w:val="18"/>
        </w:rPr>
      </w:pPr>
      <w:r>
        <w:rPr>
          <w:rFonts w:hint="eastAsia" w:eastAsia="宋体" w:cs="宋体"/>
          <w:color w:val="auto"/>
        </w:rPr>
        <w:t>平远镇集镇土地住宅用地宗地地价修正系数表</w:t>
      </w:r>
    </w:p>
    <w:tbl>
      <w:tblPr>
        <w:tblStyle w:val="20"/>
        <w:tblW w:w="4898" w:type="pct"/>
        <w:jc w:val="center"/>
        <w:tblLayout w:type="fixed"/>
        <w:tblCellMar>
          <w:top w:w="0" w:type="dxa"/>
          <w:left w:w="0" w:type="dxa"/>
          <w:bottom w:w="0" w:type="dxa"/>
          <w:right w:w="0" w:type="dxa"/>
        </w:tblCellMar>
      </w:tblPr>
      <w:tblGrid>
        <w:gridCol w:w="416"/>
        <w:gridCol w:w="641"/>
        <w:gridCol w:w="1368"/>
        <w:gridCol w:w="753"/>
        <w:gridCol w:w="752"/>
        <w:gridCol w:w="752"/>
        <w:gridCol w:w="752"/>
        <w:gridCol w:w="758"/>
        <w:gridCol w:w="752"/>
        <w:gridCol w:w="752"/>
        <w:gridCol w:w="752"/>
        <w:gridCol w:w="752"/>
        <w:gridCol w:w="758"/>
        <w:gridCol w:w="752"/>
        <w:gridCol w:w="752"/>
        <w:gridCol w:w="752"/>
        <w:gridCol w:w="752"/>
        <w:gridCol w:w="760"/>
      </w:tblGrid>
      <w:tr>
        <w:tblPrEx>
          <w:tblCellMar>
            <w:top w:w="0" w:type="dxa"/>
            <w:left w:w="0" w:type="dxa"/>
            <w:bottom w:w="0" w:type="dxa"/>
            <w:right w:w="0" w:type="dxa"/>
          </w:tblCellMar>
        </w:tblPrEx>
        <w:trPr>
          <w:cantSplit/>
          <w:trHeight w:val="467" w:hRule="atLeast"/>
          <w:jc w:val="center"/>
        </w:trPr>
        <w:tc>
          <w:tcPr>
            <w:tcW w:w="882" w:type="pct"/>
            <w:gridSpan w:val="3"/>
            <w:tcBorders>
              <w:top w:val="single" w:color="auto" w:sz="4" w:space="0"/>
              <w:left w:val="single" w:color="auto" w:sz="4" w:space="0"/>
              <w:bottom w:val="single" w:color="auto" w:sz="4" w:space="0"/>
              <w:right w:val="single" w:color="auto" w:sz="4" w:space="0"/>
              <w:tl2br w:val="single" w:color="auto" w:sz="4" w:space="0"/>
            </w:tcBorders>
            <w:noWrap/>
            <w:vAlign w:val="center"/>
          </w:tcPr>
          <w:p>
            <w:pPr>
              <w:jc w:val="right"/>
              <w:rPr>
                <w:rFonts w:ascii="宋体" w:hAnsi="宋体" w:cs="宋体"/>
                <w:color w:val="auto"/>
                <w:sz w:val="18"/>
              </w:rPr>
            </w:pPr>
            <w:r>
              <w:rPr>
                <w:rFonts w:hint="eastAsia" w:ascii="宋体" w:hAnsi="宋体" w:cs="宋体"/>
                <w:color w:val="auto"/>
                <w:sz w:val="18"/>
                <w:szCs w:val="16"/>
              </w:rPr>
              <w:t>级 别</w:t>
            </w:r>
          </w:p>
          <w:p>
            <w:pPr>
              <w:jc w:val="left"/>
              <w:rPr>
                <w:rFonts w:ascii="宋体" w:hAnsi="宋体" w:cs="宋体"/>
                <w:color w:val="auto"/>
                <w:sz w:val="18"/>
              </w:rPr>
            </w:pPr>
            <w:r>
              <w:rPr>
                <w:rFonts w:hint="eastAsia" w:ascii="宋体" w:hAnsi="宋体" w:cs="宋体"/>
                <w:color w:val="auto"/>
                <w:sz w:val="18"/>
                <w:szCs w:val="16"/>
              </w:rPr>
              <w:t>因素档次</w:t>
            </w:r>
          </w:p>
        </w:tc>
        <w:tc>
          <w:tcPr>
            <w:tcW w:w="1372" w:type="pct"/>
            <w:gridSpan w:val="5"/>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Ⅰ级</w:t>
            </w:r>
          </w:p>
        </w:tc>
        <w:tc>
          <w:tcPr>
            <w:tcW w:w="1372" w:type="pct"/>
            <w:gridSpan w:val="5"/>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Ⅱ级</w:t>
            </w:r>
          </w:p>
        </w:tc>
        <w:tc>
          <w:tcPr>
            <w:tcW w:w="1373" w:type="pct"/>
            <w:gridSpan w:val="5"/>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22"/>
              </w:rPr>
            </w:pPr>
            <w:r>
              <w:rPr>
                <w:rFonts w:hint="eastAsia" w:ascii="宋体" w:hAnsi="宋体" w:cs="宋体"/>
                <w:color w:val="auto"/>
                <w:sz w:val="22"/>
              </w:rPr>
              <w:t>Ⅲ级</w:t>
            </w:r>
          </w:p>
        </w:tc>
      </w:tr>
      <w:tr>
        <w:tblPrEx>
          <w:tblCellMar>
            <w:top w:w="0" w:type="dxa"/>
            <w:left w:w="0" w:type="dxa"/>
            <w:bottom w:w="0" w:type="dxa"/>
            <w:right w:w="0" w:type="dxa"/>
          </w:tblCellMar>
        </w:tblPrEx>
        <w:trPr>
          <w:cantSplit/>
          <w:trHeight w:val="467" w:hRule="atLeast"/>
          <w:jc w:val="center"/>
        </w:trPr>
        <w:tc>
          <w:tcPr>
            <w:tcW w:w="882" w:type="pct"/>
            <w:gridSpan w:val="3"/>
            <w:tcBorders>
              <w:top w:val="single" w:color="auto" w:sz="4" w:space="0"/>
              <w:left w:val="single" w:color="auto" w:sz="4" w:space="0"/>
              <w:bottom w:val="single" w:color="auto" w:sz="4" w:space="0"/>
              <w:right w:val="single" w:color="auto" w:sz="4" w:space="0"/>
              <w:tl2br w:val="single" w:color="auto" w:sz="4" w:space="0"/>
            </w:tcBorders>
            <w:noWrap/>
            <w:vAlign w:val="center"/>
          </w:tcPr>
          <w:p>
            <w:pPr>
              <w:jc w:val="right"/>
              <w:rPr>
                <w:rFonts w:ascii="宋体" w:hAnsi="宋体" w:cs="宋体"/>
                <w:color w:val="auto"/>
                <w:sz w:val="18"/>
              </w:rPr>
            </w:pPr>
            <w:r>
              <w:rPr>
                <w:rFonts w:hint="eastAsia" w:ascii="宋体" w:hAnsi="宋体" w:cs="宋体"/>
                <w:color w:val="auto"/>
                <w:sz w:val="18"/>
                <w:szCs w:val="16"/>
              </w:rPr>
              <w:t>指标说明</w:t>
            </w:r>
          </w:p>
          <w:p>
            <w:pPr>
              <w:jc w:val="left"/>
              <w:rPr>
                <w:rFonts w:ascii="宋体" w:hAnsi="宋体" w:cs="宋体"/>
                <w:color w:val="auto"/>
                <w:sz w:val="18"/>
              </w:rPr>
            </w:pPr>
            <w:r>
              <w:rPr>
                <w:rFonts w:hint="eastAsia" w:ascii="宋体" w:hAnsi="宋体" w:cs="宋体"/>
                <w:color w:val="auto"/>
                <w:sz w:val="18"/>
                <w:szCs w:val="16"/>
              </w:rPr>
              <w:t>因素类别</w:t>
            </w:r>
          </w:p>
        </w:tc>
        <w:tc>
          <w:tcPr>
            <w:tcW w:w="274"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优</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较优</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较劣(-)</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劣(-)</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优</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较优</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较劣(-)</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劣(-)</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优</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较优</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274"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较劣(-)</w:t>
            </w:r>
          </w:p>
        </w:tc>
        <w:tc>
          <w:tcPr>
            <w:tcW w:w="275"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劣(-)</w:t>
            </w:r>
          </w:p>
        </w:tc>
      </w:tr>
      <w:tr>
        <w:trPr>
          <w:cantSplit/>
          <w:trHeight w:val="467"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区域因素</w:t>
            </w: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0.30</w:t>
            </w:r>
          </w:p>
        </w:tc>
        <w:tc>
          <w:tcPr>
            <w:tcW w:w="496" w:type="pct"/>
            <w:tcBorders>
              <w:top w:val="single" w:color="auto" w:sz="4" w:space="0"/>
              <w:left w:val="nil"/>
              <w:bottom w:val="single" w:color="auto" w:sz="4" w:space="0"/>
              <w:right w:val="nil"/>
            </w:tcBorders>
            <w:vAlign w:val="center"/>
          </w:tcPr>
          <w:p>
            <w:pPr>
              <w:jc w:val="center"/>
              <w:rPr>
                <w:rFonts w:ascii="宋体" w:hAnsi="宋体" w:cs="宋体"/>
                <w:color w:val="auto"/>
                <w:sz w:val="18"/>
                <w:szCs w:val="15"/>
              </w:rPr>
            </w:pPr>
            <w:r>
              <w:rPr>
                <w:rFonts w:hint="eastAsia" w:ascii="宋体" w:hAnsi="宋体" w:cs="宋体"/>
                <w:color w:val="auto"/>
                <w:sz w:val="18"/>
                <w:szCs w:val="15"/>
              </w:rPr>
              <w:t>定级因素综合分值</w:t>
            </w:r>
          </w:p>
        </w:tc>
        <w:tc>
          <w:tcPr>
            <w:tcW w:w="274"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0.0473</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0.0237</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0.0121</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0.0241</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0.0365</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0.0182</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0.0107</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0.0214</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0.0434</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0.0217</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0.0131</w:t>
            </w:r>
          </w:p>
        </w:tc>
        <w:tc>
          <w:tcPr>
            <w:tcW w:w="275"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0.0263</w:t>
            </w:r>
          </w:p>
        </w:tc>
      </w:tr>
      <w:tr>
        <w:trPr>
          <w:cantSplit/>
          <w:trHeight w:val="467" w:hRule="atLeast"/>
          <w:jc w:val="center"/>
        </w:trPr>
        <w:tc>
          <w:tcPr>
            <w:tcW w:w="151" w:type="pct"/>
            <w:vMerge w:val="restart"/>
            <w:tcBorders>
              <w:top w:val="single" w:color="auto" w:sz="4" w:space="0"/>
              <w:left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个</w:t>
            </w:r>
          </w:p>
          <w:p>
            <w:pPr>
              <w:jc w:val="center"/>
              <w:rPr>
                <w:rFonts w:ascii="宋体" w:hAnsi="宋体" w:cs="宋体"/>
                <w:color w:val="auto"/>
                <w:sz w:val="18"/>
                <w:szCs w:val="15"/>
              </w:rPr>
            </w:pPr>
            <w:r>
              <w:rPr>
                <w:rFonts w:hint="eastAsia" w:ascii="宋体" w:hAnsi="宋体" w:cs="宋体"/>
                <w:color w:val="auto"/>
                <w:sz w:val="18"/>
                <w:szCs w:val="15"/>
              </w:rPr>
              <w:t>别</w:t>
            </w:r>
          </w:p>
          <w:p>
            <w:pPr>
              <w:jc w:val="center"/>
              <w:rPr>
                <w:rFonts w:ascii="宋体" w:hAnsi="宋体" w:cs="宋体"/>
                <w:color w:val="auto"/>
                <w:sz w:val="18"/>
                <w:szCs w:val="15"/>
              </w:rPr>
            </w:pPr>
            <w:r>
              <w:rPr>
                <w:rFonts w:hint="eastAsia" w:ascii="宋体" w:hAnsi="宋体" w:cs="宋体"/>
                <w:color w:val="auto"/>
                <w:sz w:val="18"/>
                <w:szCs w:val="15"/>
              </w:rPr>
              <w:t>因</w:t>
            </w:r>
          </w:p>
          <w:p>
            <w:pPr>
              <w:jc w:val="center"/>
              <w:rPr>
                <w:rFonts w:ascii="宋体" w:hAnsi="宋体" w:cs="宋体"/>
                <w:color w:val="auto"/>
                <w:sz w:val="18"/>
                <w:szCs w:val="15"/>
              </w:rPr>
            </w:pPr>
            <w:r>
              <w:rPr>
                <w:rFonts w:hint="eastAsia" w:ascii="宋体" w:hAnsi="宋体" w:cs="宋体"/>
                <w:color w:val="auto"/>
                <w:sz w:val="18"/>
                <w:szCs w:val="15"/>
              </w:rPr>
              <w:t>素</w:t>
            </w: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0.14</w:t>
            </w:r>
          </w:p>
        </w:tc>
        <w:tc>
          <w:tcPr>
            <w:tcW w:w="496"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公用设施完备度</w:t>
            </w:r>
          </w:p>
        </w:tc>
        <w:tc>
          <w:tcPr>
            <w:tcW w:w="274" w:type="pct"/>
            <w:tcBorders>
              <w:top w:val="single" w:color="auto" w:sz="4" w:space="0"/>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0.0221</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0.0110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0.0056</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0.0113</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0.0170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0.0085</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0.0100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0.0202</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0.0101</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0.0061</w:t>
            </w:r>
          </w:p>
        </w:tc>
        <w:tc>
          <w:tcPr>
            <w:tcW w:w="275"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0.0123</w:t>
            </w:r>
          </w:p>
        </w:tc>
      </w:tr>
      <w:tr>
        <w:trPr>
          <w:cantSplit/>
          <w:trHeight w:val="467" w:hRule="atLeast"/>
          <w:jc w:val="center"/>
        </w:trPr>
        <w:tc>
          <w:tcPr>
            <w:tcW w:w="151" w:type="pct"/>
            <w:vMerge w:val="continue"/>
            <w:tcBorders>
              <w:left w:val="single" w:color="auto" w:sz="4" w:space="0"/>
              <w:right w:val="single" w:color="auto" w:sz="4" w:space="0"/>
            </w:tcBorders>
            <w:vAlign w:val="center"/>
          </w:tcPr>
          <w:p>
            <w:pPr>
              <w:jc w:val="center"/>
              <w:rPr>
                <w:rFonts w:ascii="宋体" w:hAnsi="宋体" w:cs="宋体"/>
                <w:color w:val="auto"/>
                <w:sz w:val="18"/>
                <w:szCs w:val="15"/>
              </w:rPr>
            </w:pP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0.09</w:t>
            </w:r>
          </w:p>
        </w:tc>
        <w:tc>
          <w:tcPr>
            <w:tcW w:w="496"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建筑物朝向</w:t>
            </w:r>
          </w:p>
        </w:tc>
        <w:tc>
          <w:tcPr>
            <w:tcW w:w="274" w:type="pct"/>
            <w:tcBorders>
              <w:top w:val="single" w:color="auto" w:sz="4" w:space="0"/>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0.0142</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0.0071</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0.0036</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0.0072</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0.0109</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0.0055</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0.0032</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0.0064</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0.0130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0.0065</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0.0039</w:t>
            </w:r>
          </w:p>
        </w:tc>
        <w:tc>
          <w:tcPr>
            <w:tcW w:w="275"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0.0079</w:t>
            </w:r>
          </w:p>
        </w:tc>
      </w:tr>
      <w:tr>
        <w:trPr>
          <w:cantSplit/>
          <w:trHeight w:val="467" w:hRule="atLeast"/>
          <w:jc w:val="center"/>
        </w:trPr>
        <w:tc>
          <w:tcPr>
            <w:tcW w:w="151" w:type="pct"/>
            <w:vMerge w:val="continue"/>
            <w:tcBorders>
              <w:left w:val="single" w:color="auto" w:sz="4" w:space="0"/>
              <w:right w:val="single" w:color="auto" w:sz="4" w:space="0"/>
            </w:tcBorders>
            <w:vAlign w:val="center"/>
          </w:tcPr>
          <w:p>
            <w:pPr>
              <w:jc w:val="center"/>
              <w:rPr>
                <w:rFonts w:ascii="宋体" w:hAnsi="宋体" w:cs="宋体"/>
                <w:color w:val="auto"/>
                <w:sz w:val="18"/>
                <w:szCs w:val="15"/>
              </w:rPr>
            </w:pP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0.08</w:t>
            </w:r>
          </w:p>
        </w:tc>
        <w:tc>
          <w:tcPr>
            <w:tcW w:w="496"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宗地面积</w:t>
            </w:r>
          </w:p>
        </w:tc>
        <w:tc>
          <w:tcPr>
            <w:tcW w:w="274" w:type="pct"/>
            <w:tcBorders>
              <w:top w:val="single" w:color="auto" w:sz="4" w:space="0"/>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0.0126</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0.0063</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0.0032</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0.0064</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0.0097</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0.0049</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0.0028</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0.0057</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0.0116</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0.0058</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0.0035</w:t>
            </w:r>
          </w:p>
        </w:tc>
        <w:tc>
          <w:tcPr>
            <w:tcW w:w="275"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0.0070</w:t>
            </w:r>
          </w:p>
        </w:tc>
      </w:tr>
      <w:tr>
        <w:trPr>
          <w:cantSplit/>
          <w:trHeight w:val="467" w:hRule="atLeast"/>
          <w:jc w:val="center"/>
        </w:trPr>
        <w:tc>
          <w:tcPr>
            <w:tcW w:w="151" w:type="pct"/>
            <w:vMerge w:val="continue"/>
            <w:tcBorders>
              <w:left w:val="single" w:color="auto" w:sz="4" w:space="0"/>
              <w:right w:val="single" w:color="auto" w:sz="4" w:space="0"/>
            </w:tcBorders>
            <w:vAlign w:val="center"/>
          </w:tcPr>
          <w:p>
            <w:pPr>
              <w:jc w:val="center"/>
              <w:rPr>
                <w:rFonts w:ascii="宋体" w:hAnsi="宋体" w:cs="宋体"/>
                <w:color w:val="auto"/>
                <w:sz w:val="18"/>
                <w:szCs w:val="15"/>
              </w:rPr>
            </w:pP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0.08</w:t>
            </w:r>
          </w:p>
        </w:tc>
        <w:tc>
          <w:tcPr>
            <w:tcW w:w="496"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距农贸市场距离</w:t>
            </w:r>
          </w:p>
        </w:tc>
        <w:tc>
          <w:tcPr>
            <w:tcW w:w="274" w:type="pct"/>
            <w:tcBorders>
              <w:top w:val="single" w:color="auto" w:sz="4" w:space="0"/>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0.0126</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0.0063</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0.0032</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0.0064</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0.0097</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0.0049</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0.0028</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0.0057</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0.0116</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0.0058</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0.0035</w:t>
            </w:r>
          </w:p>
        </w:tc>
        <w:tc>
          <w:tcPr>
            <w:tcW w:w="275"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0.0070</w:t>
            </w:r>
          </w:p>
        </w:tc>
      </w:tr>
      <w:tr>
        <w:trPr>
          <w:cantSplit/>
          <w:trHeight w:val="467" w:hRule="atLeast"/>
          <w:jc w:val="center"/>
        </w:trPr>
        <w:tc>
          <w:tcPr>
            <w:tcW w:w="151" w:type="pct"/>
            <w:vMerge w:val="continue"/>
            <w:tcBorders>
              <w:left w:val="single" w:color="auto" w:sz="4" w:space="0"/>
              <w:right w:val="single" w:color="auto" w:sz="4" w:space="0"/>
            </w:tcBorders>
            <w:vAlign w:val="center"/>
          </w:tcPr>
          <w:p>
            <w:pPr>
              <w:jc w:val="center"/>
              <w:rPr>
                <w:rFonts w:ascii="宋体" w:hAnsi="宋体" w:cs="宋体"/>
                <w:color w:val="auto"/>
                <w:sz w:val="18"/>
                <w:szCs w:val="15"/>
              </w:rPr>
            </w:pP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0.06</w:t>
            </w:r>
          </w:p>
        </w:tc>
        <w:tc>
          <w:tcPr>
            <w:tcW w:w="496"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宗地自然条件</w:t>
            </w:r>
          </w:p>
        </w:tc>
        <w:tc>
          <w:tcPr>
            <w:tcW w:w="753" w:type="dxa"/>
            <w:tcBorders>
              <w:top w:val="single" w:color="auto" w:sz="4" w:space="0"/>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0.0095</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0.0047</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0.0024</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0.0048</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0.0073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0.0036</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0.0021</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0.0087</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0.0026</w:t>
            </w:r>
          </w:p>
        </w:tc>
        <w:tc>
          <w:tcPr>
            <w:tcW w:w="755"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0.0053</w:t>
            </w:r>
          </w:p>
        </w:tc>
      </w:tr>
      <w:tr>
        <w:trPr>
          <w:cantSplit/>
          <w:trHeight w:val="467" w:hRule="atLeast"/>
          <w:jc w:val="center"/>
        </w:trPr>
        <w:tc>
          <w:tcPr>
            <w:tcW w:w="151" w:type="pct"/>
            <w:vMerge w:val="continue"/>
            <w:tcBorders>
              <w:left w:val="single" w:color="auto" w:sz="4" w:space="0"/>
              <w:right w:val="single" w:color="auto" w:sz="4" w:space="0"/>
            </w:tcBorders>
            <w:vAlign w:val="center"/>
          </w:tcPr>
          <w:p>
            <w:pPr>
              <w:jc w:val="center"/>
              <w:rPr>
                <w:rFonts w:ascii="宋体" w:hAnsi="宋体" w:cs="宋体"/>
                <w:color w:val="auto"/>
                <w:sz w:val="18"/>
                <w:szCs w:val="15"/>
              </w:rPr>
            </w:pP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0.06</w:t>
            </w:r>
          </w:p>
        </w:tc>
        <w:tc>
          <w:tcPr>
            <w:tcW w:w="496" w:type="pct"/>
            <w:tcBorders>
              <w:top w:val="single" w:color="auto" w:sz="4" w:space="0"/>
              <w:left w:val="nil"/>
              <w:bottom w:val="single" w:color="auto" w:sz="4" w:space="0"/>
              <w:right w:val="nil"/>
            </w:tcBorders>
            <w:vAlign w:val="center"/>
          </w:tcPr>
          <w:p>
            <w:pPr>
              <w:jc w:val="center"/>
              <w:rPr>
                <w:rFonts w:ascii="宋体" w:hAnsi="宋体" w:cs="宋体"/>
                <w:color w:val="auto"/>
                <w:sz w:val="18"/>
                <w:szCs w:val="15"/>
              </w:rPr>
            </w:pPr>
            <w:r>
              <w:rPr>
                <w:rFonts w:hint="eastAsia" w:ascii="宋体" w:hAnsi="宋体" w:cs="宋体"/>
                <w:color w:val="auto"/>
                <w:sz w:val="18"/>
                <w:szCs w:val="15"/>
              </w:rPr>
              <w:t>绿地覆盖度</w:t>
            </w:r>
          </w:p>
        </w:tc>
        <w:tc>
          <w:tcPr>
            <w:tcW w:w="753" w:type="dxa"/>
            <w:tcBorders>
              <w:top w:val="single" w:color="auto" w:sz="4" w:space="0"/>
              <w:left w:val="single" w:color="auto" w:sz="4" w:space="0"/>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0.0095</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0.0047</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0.0024</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0.0048</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0.0073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0.0036</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0.0021</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0.0087</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0.0026</w:t>
            </w:r>
          </w:p>
        </w:tc>
        <w:tc>
          <w:tcPr>
            <w:tcW w:w="755"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0.0053</w:t>
            </w:r>
          </w:p>
        </w:tc>
      </w:tr>
      <w:tr>
        <w:trPr>
          <w:cantSplit/>
          <w:trHeight w:val="467" w:hRule="atLeast"/>
          <w:jc w:val="center"/>
        </w:trPr>
        <w:tc>
          <w:tcPr>
            <w:tcW w:w="151" w:type="pct"/>
            <w:vMerge w:val="continue"/>
            <w:tcBorders>
              <w:left w:val="single" w:color="auto" w:sz="4" w:space="0"/>
              <w:right w:val="single" w:color="auto" w:sz="4" w:space="0"/>
            </w:tcBorders>
            <w:vAlign w:val="center"/>
          </w:tcPr>
          <w:p>
            <w:pPr>
              <w:jc w:val="center"/>
              <w:rPr>
                <w:rFonts w:ascii="宋体" w:hAnsi="宋体" w:cs="宋体"/>
                <w:color w:val="auto"/>
                <w:sz w:val="18"/>
                <w:szCs w:val="15"/>
              </w:rPr>
            </w:pP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0.07</w:t>
            </w:r>
          </w:p>
        </w:tc>
        <w:tc>
          <w:tcPr>
            <w:tcW w:w="496"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人口密度</w:t>
            </w:r>
          </w:p>
        </w:tc>
        <w:tc>
          <w:tcPr>
            <w:tcW w:w="274" w:type="pct"/>
            <w:tcBorders>
              <w:top w:val="single" w:color="auto" w:sz="4" w:space="0"/>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0.0110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0.0055</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0.0028</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0.0056</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0.0085</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0.0043</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0.0025</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0.0101</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0.0051</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0.0031</w:t>
            </w:r>
          </w:p>
        </w:tc>
        <w:tc>
          <w:tcPr>
            <w:tcW w:w="275"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0.0061</w:t>
            </w:r>
          </w:p>
        </w:tc>
      </w:tr>
      <w:tr>
        <w:trPr>
          <w:cantSplit/>
          <w:trHeight w:val="467" w:hRule="atLeast"/>
          <w:jc w:val="center"/>
        </w:trPr>
        <w:tc>
          <w:tcPr>
            <w:tcW w:w="151" w:type="pct"/>
            <w:vMerge w:val="continue"/>
            <w:tcBorders>
              <w:left w:val="single" w:color="auto" w:sz="4" w:space="0"/>
              <w:right w:val="single" w:color="auto" w:sz="4" w:space="0"/>
            </w:tcBorders>
            <w:vAlign w:val="center"/>
          </w:tcPr>
          <w:p>
            <w:pPr>
              <w:jc w:val="center"/>
              <w:rPr>
                <w:rFonts w:ascii="宋体" w:hAnsi="宋体" w:cs="宋体"/>
                <w:color w:val="auto"/>
                <w:sz w:val="18"/>
                <w:szCs w:val="15"/>
              </w:rPr>
            </w:pP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0.06</w:t>
            </w:r>
          </w:p>
        </w:tc>
        <w:tc>
          <w:tcPr>
            <w:tcW w:w="496"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供水保障率</w:t>
            </w:r>
          </w:p>
        </w:tc>
        <w:tc>
          <w:tcPr>
            <w:tcW w:w="753" w:type="dxa"/>
            <w:tcBorders>
              <w:top w:val="single" w:color="auto" w:sz="4" w:space="0"/>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0.0095</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0.0047</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0.0024</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0.0048</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0.0073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0.0036</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0.0021</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0.0087</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0.0026</w:t>
            </w:r>
          </w:p>
        </w:tc>
        <w:tc>
          <w:tcPr>
            <w:tcW w:w="755"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0.0053</w:t>
            </w:r>
          </w:p>
        </w:tc>
      </w:tr>
      <w:tr>
        <w:trPr>
          <w:cantSplit/>
          <w:trHeight w:val="467" w:hRule="atLeast"/>
          <w:jc w:val="center"/>
        </w:trPr>
        <w:tc>
          <w:tcPr>
            <w:tcW w:w="151" w:type="pct"/>
            <w:vMerge w:val="continue"/>
            <w:tcBorders>
              <w:left w:val="single" w:color="auto" w:sz="4" w:space="0"/>
              <w:bottom w:val="single" w:color="auto" w:sz="4" w:space="0"/>
              <w:right w:val="single" w:color="auto" w:sz="4" w:space="0"/>
            </w:tcBorders>
            <w:vAlign w:val="center"/>
          </w:tcPr>
          <w:p>
            <w:pPr>
              <w:jc w:val="center"/>
              <w:rPr>
                <w:rFonts w:ascii="宋体" w:hAnsi="宋体" w:cs="宋体"/>
                <w:color w:val="auto"/>
                <w:sz w:val="18"/>
                <w:szCs w:val="15"/>
              </w:rPr>
            </w:pPr>
          </w:p>
        </w:tc>
        <w:tc>
          <w:tcPr>
            <w:tcW w:w="233" w:type="pct"/>
            <w:tcBorders>
              <w:top w:val="single" w:color="auto" w:sz="4" w:space="0"/>
              <w:left w:val="single" w:color="auto" w:sz="4" w:space="0"/>
              <w:bottom w:val="single" w:color="auto" w:sz="4" w:space="0"/>
              <w:right w:val="single" w:color="auto" w:sz="4" w:space="0"/>
            </w:tcBorders>
            <w:vAlign w:val="center"/>
          </w:tcPr>
          <w:p>
            <w:pPr>
              <w:pStyle w:val="33"/>
              <w:rPr>
                <w:rFonts w:cs="宋体"/>
                <w:color w:val="auto"/>
              </w:rPr>
            </w:pPr>
            <w:r>
              <w:rPr>
                <w:rFonts w:hint="eastAsia" w:cs="宋体"/>
                <w:color w:val="auto"/>
              </w:rPr>
              <w:t>0.06</w:t>
            </w:r>
          </w:p>
        </w:tc>
        <w:tc>
          <w:tcPr>
            <w:tcW w:w="496"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5"/>
              </w:rPr>
            </w:pPr>
            <w:r>
              <w:rPr>
                <w:rFonts w:hint="eastAsia" w:ascii="宋体" w:hAnsi="宋体" w:cs="宋体"/>
                <w:color w:val="auto"/>
                <w:sz w:val="18"/>
                <w:szCs w:val="15"/>
              </w:rPr>
              <w:t>排水保障率</w:t>
            </w:r>
          </w:p>
        </w:tc>
        <w:tc>
          <w:tcPr>
            <w:tcW w:w="753" w:type="dxa"/>
            <w:tcBorders>
              <w:top w:val="single" w:color="auto" w:sz="4" w:space="0"/>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0.0095</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0.0047</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0.0024</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0.0048</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0.0073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0.0036</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0.0021</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0.0087</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0.0043</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0.0026</w:t>
            </w:r>
          </w:p>
        </w:tc>
        <w:tc>
          <w:tcPr>
            <w:tcW w:w="755"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0.0053</w:t>
            </w:r>
          </w:p>
        </w:tc>
      </w:tr>
      <w:tr>
        <w:trPr>
          <w:cantSplit/>
          <w:trHeight w:val="467" w:hRule="atLeast"/>
          <w:jc w:val="center"/>
        </w:trPr>
        <w:tc>
          <w:tcPr>
            <w:tcW w:w="882" w:type="pct"/>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cs="宋体"/>
                <w:color w:val="auto"/>
                <w:sz w:val="18"/>
                <w:szCs w:val="15"/>
              </w:rPr>
            </w:pPr>
            <w:r>
              <w:rPr>
                <w:rFonts w:hint="eastAsia" w:ascii="宋体" w:hAnsi="宋体" w:cs="宋体"/>
                <w:color w:val="auto"/>
                <w:sz w:val="18"/>
                <w:szCs w:val="15"/>
              </w:rPr>
              <w:t>修正幅度</w:t>
            </w:r>
          </w:p>
        </w:tc>
        <w:tc>
          <w:tcPr>
            <w:tcW w:w="274" w:type="pct"/>
            <w:tcBorders>
              <w:top w:val="nil"/>
              <w:left w:val="nil"/>
              <w:bottom w:val="single" w:color="auto" w:sz="8" w:space="0"/>
              <w:right w:val="single" w:color="auto" w:sz="4" w:space="0"/>
            </w:tcBorders>
            <w:vAlign w:val="center"/>
          </w:tcPr>
          <w:p>
            <w:pPr>
              <w:pStyle w:val="33"/>
              <w:rPr>
                <w:rFonts w:cs="宋体"/>
                <w:color w:val="auto"/>
                <w:sz w:val="18"/>
                <w:szCs w:val="18"/>
              </w:rPr>
            </w:pPr>
            <w:r>
              <w:rPr>
                <w:rFonts w:hint="eastAsia" w:cs="宋体"/>
                <w:color w:val="auto"/>
                <w:sz w:val="18"/>
                <w:szCs w:val="18"/>
              </w:rPr>
              <w:t>0.1578</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0.0789</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8" w:space="0"/>
              <w:right w:val="single" w:color="auto" w:sz="4" w:space="0"/>
            </w:tcBorders>
            <w:vAlign w:val="center"/>
          </w:tcPr>
          <w:p>
            <w:pPr>
              <w:pStyle w:val="33"/>
              <w:rPr>
                <w:rFonts w:cs="宋体"/>
                <w:color w:val="auto"/>
                <w:sz w:val="18"/>
                <w:szCs w:val="18"/>
              </w:rPr>
            </w:pPr>
            <w:r>
              <w:rPr>
                <w:rFonts w:hint="eastAsia" w:cs="宋体"/>
                <w:color w:val="auto"/>
                <w:sz w:val="18"/>
                <w:szCs w:val="18"/>
              </w:rPr>
              <w:t>0.0402</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0.0804</w:t>
            </w:r>
          </w:p>
        </w:tc>
        <w:tc>
          <w:tcPr>
            <w:tcW w:w="274" w:type="pct"/>
            <w:tcBorders>
              <w:top w:val="nil"/>
              <w:left w:val="nil"/>
              <w:bottom w:val="single" w:color="auto" w:sz="8" w:space="0"/>
              <w:right w:val="single" w:color="auto" w:sz="4" w:space="0"/>
            </w:tcBorders>
            <w:vAlign w:val="center"/>
          </w:tcPr>
          <w:p>
            <w:pPr>
              <w:pStyle w:val="33"/>
              <w:rPr>
                <w:rFonts w:cs="宋体"/>
                <w:color w:val="auto"/>
                <w:sz w:val="18"/>
                <w:szCs w:val="18"/>
              </w:rPr>
            </w:pPr>
            <w:r>
              <w:rPr>
                <w:rFonts w:hint="eastAsia" w:cs="宋体"/>
                <w:color w:val="auto"/>
                <w:sz w:val="18"/>
                <w:szCs w:val="18"/>
              </w:rPr>
              <w:t>0.1216</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0.0608</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 xml:space="preserve">0  </w:t>
            </w:r>
          </w:p>
        </w:tc>
        <w:tc>
          <w:tcPr>
            <w:tcW w:w="753" w:type="dxa"/>
            <w:tcBorders>
              <w:top w:val="nil"/>
              <w:left w:val="nil"/>
              <w:bottom w:val="single" w:color="auto" w:sz="8" w:space="0"/>
              <w:right w:val="single" w:color="auto" w:sz="4" w:space="0"/>
            </w:tcBorders>
            <w:vAlign w:val="center"/>
          </w:tcPr>
          <w:p>
            <w:pPr>
              <w:pStyle w:val="33"/>
              <w:rPr>
                <w:rFonts w:cs="宋体"/>
                <w:color w:val="auto"/>
                <w:sz w:val="18"/>
                <w:szCs w:val="18"/>
              </w:rPr>
            </w:pPr>
            <w:r>
              <w:rPr>
                <w:rFonts w:hint="eastAsia" w:cs="宋体"/>
                <w:color w:val="auto"/>
                <w:sz w:val="18"/>
                <w:szCs w:val="18"/>
              </w:rPr>
              <w:t>0.0356</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0.0712</w:t>
            </w:r>
          </w:p>
        </w:tc>
        <w:tc>
          <w:tcPr>
            <w:tcW w:w="753" w:type="dxa"/>
            <w:tcBorders>
              <w:top w:val="nil"/>
              <w:left w:val="nil"/>
              <w:bottom w:val="single" w:color="auto" w:sz="8" w:space="0"/>
              <w:right w:val="single" w:color="auto" w:sz="4" w:space="0"/>
            </w:tcBorders>
            <w:vAlign w:val="center"/>
          </w:tcPr>
          <w:p>
            <w:pPr>
              <w:pStyle w:val="33"/>
              <w:rPr>
                <w:rFonts w:cs="宋体"/>
                <w:color w:val="auto"/>
                <w:sz w:val="18"/>
                <w:szCs w:val="18"/>
              </w:rPr>
            </w:pPr>
            <w:r>
              <w:rPr>
                <w:rFonts w:hint="eastAsia" w:cs="宋体"/>
                <w:color w:val="auto"/>
                <w:sz w:val="18"/>
                <w:szCs w:val="18"/>
              </w:rPr>
              <w:t>0.1445</w:t>
            </w:r>
          </w:p>
        </w:tc>
        <w:tc>
          <w:tcPr>
            <w:tcW w:w="753" w:type="dxa"/>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0.0723</w:t>
            </w:r>
          </w:p>
        </w:tc>
        <w:tc>
          <w:tcPr>
            <w:tcW w:w="274"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w:t>
            </w:r>
          </w:p>
        </w:tc>
        <w:tc>
          <w:tcPr>
            <w:tcW w:w="274" w:type="pct"/>
            <w:tcBorders>
              <w:top w:val="nil"/>
              <w:left w:val="nil"/>
              <w:bottom w:val="single" w:color="auto" w:sz="8" w:space="0"/>
              <w:right w:val="single" w:color="auto" w:sz="4" w:space="0"/>
            </w:tcBorders>
            <w:vAlign w:val="center"/>
          </w:tcPr>
          <w:p>
            <w:pPr>
              <w:pStyle w:val="33"/>
              <w:rPr>
                <w:rFonts w:cs="宋体"/>
                <w:color w:val="auto"/>
                <w:sz w:val="18"/>
                <w:szCs w:val="18"/>
              </w:rPr>
            </w:pPr>
            <w:r>
              <w:rPr>
                <w:rFonts w:hint="eastAsia" w:cs="宋体"/>
                <w:color w:val="auto"/>
                <w:sz w:val="18"/>
                <w:szCs w:val="18"/>
              </w:rPr>
              <w:t>0.0438</w:t>
            </w:r>
          </w:p>
        </w:tc>
        <w:tc>
          <w:tcPr>
            <w:tcW w:w="275" w:type="pct"/>
            <w:tcBorders>
              <w:top w:val="nil"/>
              <w:left w:val="nil"/>
              <w:bottom w:val="single" w:color="auto" w:sz="4" w:space="0"/>
              <w:right w:val="single" w:color="auto" w:sz="4" w:space="0"/>
            </w:tcBorders>
            <w:vAlign w:val="center"/>
          </w:tcPr>
          <w:p>
            <w:pPr>
              <w:pStyle w:val="33"/>
              <w:rPr>
                <w:rFonts w:cs="宋体"/>
                <w:color w:val="auto"/>
                <w:sz w:val="18"/>
                <w:szCs w:val="18"/>
              </w:rPr>
            </w:pPr>
            <w:r>
              <w:rPr>
                <w:rFonts w:hint="eastAsia" w:cs="宋体"/>
                <w:color w:val="auto"/>
                <w:sz w:val="18"/>
                <w:szCs w:val="18"/>
              </w:rPr>
              <w:t>0.0875</w:t>
            </w:r>
          </w:p>
        </w:tc>
      </w:tr>
    </w:tbl>
    <w:p>
      <w:pPr>
        <w:spacing w:line="360" w:lineRule="auto"/>
        <w:ind w:firstLine="556"/>
        <w:rPr>
          <w:rFonts w:ascii="宋体" w:hAnsi="宋体" w:cs="宋体"/>
          <w:color w:val="auto"/>
          <w:sz w:val="28"/>
        </w:rPr>
        <w:sectPr>
          <w:footerReference r:id="rId9" w:type="default"/>
          <w:footerReference r:id="rId10" w:type="even"/>
          <w:pgSz w:w="16838" w:h="11906" w:orient="landscape"/>
          <w:pgMar w:top="1077" w:right="1418" w:bottom="1077" w:left="1418" w:header="851" w:footer="850" w:gutter="340"/>
          <w:cols w:space="720" w:num="1"/>
          <w:titlePg/>
          <w:docGrid w:linePitch="312" w:charSpace="0"/>
        </w:sectPr>
      </w:pPr>
    </w:p>
    <w:p>
      <w:pPr>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②编制估价对象因素条件说明表</w:t>
      </w:r>
    </w:p>
    <w:p>
      <w:pPr>
        <w:spacing w:line="560" w:lineRule="exact"/>
        <w:ind w:firstLine="422" w:firstLineChars="200"/>
        <w:jc w:val="center"/>
        <w:rPr>
          <w:rFonts w:ascii="宋体" w:hAnsi="宋体" w:cs="宋体"/>
          <w:b/>
          <w:color w:val="auto"/>
          <w:szCs w:val="21"/>
        </w:rPr>
      </w:pPr>
      <w:r>
        <w:rPr>
          <w:rFonts w:hint="eastAsia" w:ascii="宋体" w:hAnsi="宋体" w:cs="宋体"/>
          <w:b/>
          <w:color w:val="auto"/>
          <w:szCs w:val="21"/>
        </w:rPr>
        <w:t>估价对象各项因素条件说明表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458"/>
        <w:gridCol w:w="3128"/>
        <w:gridCol w:w="3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28" w:type="dxa"/>
            <w:gridSpan w:val="2"/>
            <w:vAlign w:val="center"/>
          </w:tcPr>
          <w:p>
            <w:pPr>
              <w:jc w:val="center"/>
              <w:rPr>
                <w:rFonts w:ascii="宋体" w:hAnsi="宋体" w:cs="宋体"/>
                <w:color w:val="auto"/>
                <w:sz w:val="18"/>
                <w:szCs w:val="18"/>
              </w:rPr>
            </w:pPr>
            <w:r>
              <w:rPr>
                <w:rFonts w:hint="eastAsia" w:ascii="宋体" w:hAnsi="宋体" w:cs="宋体"/>
                <w:color w:val="auto"/>
                <w:sz w:val="18"/>
                <w:szCs w:val="18"/>
              </w:rPr>
              <w:t>因素类别</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估价对象因素指标</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估价对象因素档次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Align w:val="center"/>
          </w:tcPr>
          <w:p>
            <w:pPr>
              <w:jc w:val="center"/>
              <w:rPr>
                <w:rFonts w:ascii="宋体" w:hAnsi="宋体" w:cs="宋体"/>
                <w:color w:val="auto"/>
                <w:sz w:val="18"/>
                <w:szCs w:val="18"/>
              </w:rPr>
            </w:pPr>
            <w:r>
              <w:rPr>
                <w:rFonts w:hint="eastAsia" w:ascii="宋体" w:hAnsi="宋体" w:cs="宋体"/>
                <w:color w:val="auto"/>
                <w:sz w:val="18"/>
                <w:szCs w:val="18"/>
              </w:rPr>
              <w:t>区域因素</w:t>
            </w: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定级因素综合分值</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73</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Merge w:val="restart"/>
            <w:vAlign w:val="center"/>
          </w:tcPr>
          <w:p>
            <w:pPr>
              <w:jc w:val="center"/>
              <w:rPr>
                <w:rFonts w:ascii="宋体" w:hAnsi="宋体" w:cs="宋体"/>
                <w:color w:val="auto"/>
                <w:sz w:val="18"/>
                <w:szCs w:val="18"/>
              </w:rPr>
            </w:pPr>
            <w:r>
              <w:rPr>
                <w:rFonts w:hint="eastAsia" w:ascii="宋体" w:hAnsi="宋体" w:cs="宋体"/>
                <w:color w:val="auto"/>
                <w:sz w:val="18"/>
                <w:szCs w:val="18"/>
              </w:rPr>
              <w:t>个</w:t>
            </w:r>
          </w:p>
          <w:p>
            <w:pPr>
              <w:jc w:val="center"/>
              <w:rPr>
                <w:rFonts w:ascii="宋体" w:hAnsi="宋体" w:cs="宋体"/>
                <w:color w:val="auto"/>
                <w:sz w:val="18"/>
                <w:szCs w:val="18"/>
              </w:rPr>
            </w:pPr>
            <w:r>
              <w:rPr>
                <w:rFonts w:hint="eastAsia" w:ascii="宋体" w:hAnsi="宋体" w:cs="宋体"/>
                <w:color w:val="auto"/>
                <w:sz w:val="18"/>
                <w:szCs w:val="18"/>
              </w:rPr>
              <w:t>别</w:t>
            </w:r>
          </w:p>
          <w:p>
            <w:pPr>
              <w:jc w:val="center"/>
              <w:rPr>
                <w:rFonts w:ascii="宋体" w:hAnsi="宋体" w:cs="宋体"/>
                <w:color w:val="auto"/>
                <w:sz w:val="18"/>
                <w:szCs w:val="18"/>
              </w:rPr>
            </w:pPr>
            <w:r>
              <w:rPr>
                <w:rFonts w:hint="eastAsia" w:ascii="宋体" w:hAnsi="宋体" w:cs="宋体"/>
                <w:color w:val="auto"/>
                <w:sz w:val="18"/>
                <w:szCs w:val="18"/>
              </w:rPr>
              <w:t>因</w:t>
            </w:r>
          </w:p>
          <w:p>
            <w:pPr>
              <w:jc w:val="center"/>
              <w:rPr>
                <w:rFonts w:ascii="宋体" w:hAnsi="宋体" w:cs="宋体"/>
                <w:color w:val="auto"/>
                <w:sz w:val="18"/>
                <w:szCs w:val="18"/>
              </w:rPr>
            </w:pPr>
            <w:r>
              <w:rPr>
                <w:rFonts w:hint="eastAsia" w:ascii="宋体" w:hAnsi="宋体" w:cs="宋体"/>
                <w:color w:val="auto"/>
                <w:sz w:val="18"/>
                <w:szCs w:val="18"/>
              </w:rPr>
              <w:t>素</w:t>
            </w: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公用设施完备度</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85</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Merge w:val="continue"/>
            <w:vAlign w:val="center"/>
          </w:tcPr>
          <w:p>
            <w:pPr>
              <w:jc w:val="center"/>
              <w:rPr>
                <w:rFonts w:ascii="宋体" w:hAnsi="宋体" w:cs="宋体"/>
                <w:color w:val="auto"/>
                <w:sz w:val="18"/>
                <w:szCs w:val="18"/>
              </w:rPr>
            </w:pP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建筑物朝向</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朝南</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Merge w:val="continue"/>
            <w:vAlign w:val="center"/>
          </w:tcPr>
          <w:p>
            <w:pPr>
              <w:jc w:val="center"/>
              <w:rPr>
                <w:rFonts w:ascii="宋体" w:hAnsi="宋体" w:cs="宋体"/>
                <w:color w:val="auto"/>
                <w:sz w:val="18"/>
                <w:szCs w:val="18"/>
              </w:rPr>
            </w:pP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宗地面积</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2967.11m</w:t>
            </w:r>
            <w:r>
              <w:rPr>
                <w:rFonts w:hint="eastAsia" w:ascii="宋体" w:hAnsi="宋体" w:cs="宋体"/>
                <w:color w:val="auto"/>
                <w:sz w:val="18"/>
                <w:szCs w:val="18"/>
                <w:vertAlign w:val="superscript"/>
              </w:rPr>
              <w:t>2</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Merge w:val="continue"/>
            <w:vAlign w:val="center"/>
          </w:tcPr>
          <w:p>
            <w:pPr>
              <w:jc w:val="center"/>
              <w:rPr>
                <w:rFonts w:ascii="宋体" w:hAnsi="宋体" w:cs="宋体"/>
                <w:color w:val="auto"/>
                <w:sz w:val="18"/>
                <w:szCs w:val="18"/>
              </w:rPr>
            </w:pP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距农贸市场距离</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1.6公里</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Merge w:val="continue"/>
            <w:vAlign w:val="center"/>
          </w:tcPr>
          <w:p>
            <w:pPr>
              <w:jc w:val="center"/>
              <w:rPr>
                <w:rFonts w:ascii="宋体" w:hAnsi="宋体" w:cs="宋体"/>
                <w:color w:val="auto"/>
                <w:sz w:val="18"/>
                <w:szCs w:val="18"/>
              </w:rPr>
            </w:pP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宗地自然条件</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Merge w:val="continue"/>
            <w:vAlign w:val="center"/>
          </w:tcPr>
          <w:p>
            <w:pPr>
              <w:jc w:val="center"/>
              <w:rPr>
                <w:rFonts w:ascii="宋体" w:hAnsi="宋体" w:cs="宋体"/>
                <w:color w:val="auto"/>
                <w:sz w:val="18"/>
                <w:szCs w:val="18"/>
              </w:rPr>
            </w:pP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绿地覆盖度</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Merge w:val="continue"/>
            <w:vAlign w:val="center"/>
          </w:tcPr>
          <w:p>
            <w:pPr>
              <w:jc w:val="center"/>
              <w:rPr>
                <w:rFonts w:ascii="宋体" w:hAnsi="宋体" w:cs="宋体"/>
                <w:color w:val="auto"/>
                <w:sz w:val="18"/>
                <w:szCs w:val="18"/>
              </w:rPr>
            </w:pP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人口密度</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较密集</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Merge w:val="continue"/>
            <w:vAlign w:val="center"/>
          </w:tcPr>
          <w:p>
            <w:pPr>
              <w:jc w:val="center"/>
              <w:rPr>
                <w:rFonts w:ascii="宋体" w:hAnsi="宋体" w:cs="宋体"/>
                <w:color w:val="auto"/>
                <w:sz w:val="18"/>
                <w:szCs w:val="18"/>
              </w:rPr>
            </w:pP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供水保障率</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好</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70" w:type="dxa"/>
            <w:vMerge w:val="continue"/>
            <w:vAlign w:val="center"/>
          </w:tcPr>
          <w:p>
            <w:pPr>
              <w:jc w:val="center"/>
              <w:rPr>
                <w:rFonts w:ascii="宋体" w:hAnsi="宋体" w:cs="宋体"/>
                <w:color w:val="auto"/>
                <w:sz w:val="18"/>
                <w:szCs w:val="18"/>
              </w:rPr>
            </w:pPr>
          </w:p>
        </w:tc>
        <w:tc>
          <w:tcPr>
            <w:tcW w:w="2458" w:type="dxa"/>
            <w:vAlign w:val="center"/>
          </w:tcPr>
          <w:p>
            <w:pPr>
              <w:jc w:val="center"/>
              <w:rPr>
                <w:rFonts w:ascii="宋体" w:hAnsi="宋体" w:cs="宋体"/>
                <w:color w:val="auto"/>
                <w:sz w:val="18"/>
                <w:szCs w:val="18"/>
              </w:rPr>
            </w:pPr>
            <w:r>
              <w:rPr>
                <w:rFonts w:hint="eastAsia" w:ascii="宋体" w:hAnsi="宋体" w:cs="宋体"/>
                <w:color w:val="auto"/>
                <w:sz w:val="18"/>
                <w:szCs w:val="18"/>
              </w:rPr>
              <w:t>排水保障率</w:t>
            </w:r>
          </w:p>
        </w:tc>
        <w:tc>
          <w:tcPr>
            <w:tcW w:w="3128" w:type="dxa"/>
            <w:vAlign w:val="center"/>
          </w:tcPr>
          <w:p>
            <w:pPr>
              <w:jc w:val="center"/>
              <w:rPr>
                <w:rFonts w:ascii="宋体" w:hAnsi="宋体" w:cs="宋体"/>
                <w:color w:val="auto"/>
                <w:sz w:val="18"/>
                <w:szCs w:val="18"/>
              </w:rPr>
            </w:pPr>
            <w:r>
              <w:rPr>
                <w:rFonts w:hint="eastAsia" w:ascii="宋体" w:hAnsi="宋体" w:cs="宋体"/>
                <w:color w:val="auto"/>
                <w:sz w:val="18"/>
                <w:szCs w:val="18"/>
              </w:rPr>
              <w:t>好</w:t>
            </w:r>
          </w:p>
        </w:tc>
        <w:tc>
          <w:tcPr>
            <w:tcW w:w="3129" w:type="dxa"/>
            <w:vAlign w:val="center"/>
          </w:tcPr>
          <w:p>
            <w:pPr>
              <w:jc w:val="center"/>
              <w:rPr>
                <w:rFonts w:ascii="宋体" w:hAnsi="宋体" w:cs="宋体"/>
                <w:color w:val="auto"/>
                <w:sz w:val="18"/>
                <w:szCs w:val="18"/>
              </w:rPr>
            </w:pPr>
            <w:r>
              <w:rPr>
                <w:rFonts w:hint="eastAsia" w:ascii="宋体" w:hAnsi="宋体" w:cs="宋体"/>
                <w:color w:val="auto"/>
                <w:sz w:val="18"/>
                <w:szCs w:val="18"/>
              </w:rPr>
              <w:t>优</w:t>
            </w:r>
          </w:p>
        </w:tc>
      </w:tr>
    </w:tbl>
    <w:p>
      <w:pPr>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③确定估价对象各项因素修正系数和综合修正系数。</w:t>
      </w:r>
    </w:p>
    <w:p>
      <w:pPr>
        <w:spacing w:line="560" w:lineRule="exact"/>
        <w:ind w:firstLine="422" w:firstLineChars="200"/>
        <w:jc w:val="center"/>
        <w:rPr>
          <w:rFonts w:ascii="宋体" w:hAnsi="宋体" w:cs="宋体"/>
          <w:b/>
          <w:color w:val="auto"/>
          <w:szCs w:val="21"/>
        </w:rPr>
      </w:pPr>
      <w:r>
        <w:rPr>
          <w:rFonts w:hint="eastAsia" w:ascii="宋体" w:hAnsi="宋体" w:cs="宋体"/>
          <w:b/>
          <w:color w:val="auto"/>
          <w:szCs w:val="21"/>
        </w:rPr>
        <w:t>估价对象各项因素修正系数和综合修正系数表</w:t>
      </w:r>
    </w:p>
    <w:tbl>
      <w:tblPr>
        <w:tblStyle w:val="20"/>
        <w:tblW w:w="5000" w:type="pct"/>
        <w:jc w:val="center"/>
        <w:tblLayout w:type="autofit"/>
        <w:tblCellMar>
          <w:top w:w="0" w:type="dxa"/>
          <w:left w:w="0" w:type="dxa"/>
          <w:bottom w:w="0" w:type="dxa"/>
          <w:right w:w="0" w:type="dxa"/>
        </w:tblCellMar>
      </w:tblPr>
      <w:tblGrid>
        <w:gridCol w:w="1280"/>
        <w:gridCol w:w="4015"/>
        <w:gridCol w:w="3956"/>
      </w:tblGrid>
      <w:tr>
        <w:tblPrEx>
          <w:tblCellMar>
            <w:top w:w="0" w:type="dxa"/>
            <w:left w:w="0" w:type="dxa"/>
            <w:bottom w:w="0" w:type="dxa"/>
            <w:right w:w="0" w:type="dxa"/>
          </w:tblCellMar>
        </w:tblPrEx>
        <w:trPr>
          <w:cantSplit/>
          <w:trHeight w:val="360" w:hRule="atLeast"/>
          <w:jc w:val="center"/>
        </w:trPr>
        <w:tc>
          <w:tcPr>
            <w:tcW w:w="2862"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因  素  类  别</w:t>
            </w:r>
          </w:p>
        </w:tc>
        <w:tc>
          <w:tcPr>
            <w:tcW w:w="2138"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估价对象各因素修正系数</w:t>
            </w:r>
          </w:p>
        </w:tc>
      </w:tr>
      <w:tr>
        <w:tblPrEx>
          <w:tblCellMar>
            <w:top w:w="0" w:type="dxa"/>
            <w:left w:w="0" w:type="dxa"/>
            <w:bottom w:w="0" w:type="dxa"/>
            <w:right w:w="0" w:type="dxa"/>
          </w:tblCellMar>
        </w:tblPrEx>
        <w:trPr>
          <w:cantSplit/>
          <w:trHeight w:val="360" w:hRule="atLeast"/>
          <w:jc w:val="center"/>
        </w:trPr>
        <w:tc>
          <w:tcPr>
            <w:tcW w:w="692" w:type="pct"/>
            <w:tcBorders>
              <w:top w:val="nil"/>
              <w:left w:val="single" w:color="auto" w:sz="4" w:space="0"/>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区域因素</w:t>
            </w:r>
          </w:p>
        </w:tc>
        <w:tc>
          <w:tcPr>
            <w:tcW w:w="2170"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定级因素综合分值</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0.0237</w:t>
            </w:r>
          </w:p>
        </w:tc>
      </w:tr>
      <w:tr>
        <w:tblPrEx>
          <w:tblCellMar>
            <w:top w:w="0" w:type="dxa"/>
            <w:left w:w="0" w:type="dxa"/>
            <w:bottom w:w="0" w:type="dxa"/>
            <w:right w:w="0" w:type="dxa"/>
          </w:tblCellMar>
        </w:tblPrEx>
        <w:trPr>
          <w:cantSplit/>
          <w:trHeight w:val="360" w:hRule="atLeast"/>
          <w:jc w:val="center"/>
        </w:trPr>
        <w:tc>
          <w:tcPr>
            <w:tcW w:w="692" w:type="pct"/>
            <w:vMerge w:val="restart"/>
            <w:tcBorders>
              <w:top w:val="single" w:color="auto" w:sz="4" w:space="0"/>
              <w:left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个</w:t>
            </w:r>
          </w:p>
          <w:p>
            <w:pPr>
              <w:jc w:val="center"/>
              <w:rPr>
                <w:rFonts w:ascii="宋体" w:hAnsi="宋体" w:cs="宋体"/>
                <w:color w:val="auto"/>
                <w:sz w:val="18"/>
                <w:szCs w:val="18"/>
              </w:rPr>
            </w:pPr>
          </w:p>
          <w:p>
            <w:pPr>
              <w:jc w:val="center"/>
              <w:rPr>
                <w:rFonts w:ascii="宋体" w:hAnsi="宋体" w:cs="宋体"/>
                <w:color w:val="auto"/>
                <w:sz w:val="18"/>
                <w:szCs w:val="18"/>
              </w:rPr>
            </w:pPr>
            <w:r>
              <w:rPr>
                <w:rFonts w:hint="eastAsia" w:ascii="宋体" w:hAnsi="宋体" w:cs="宋体"/>
                <w:color w:val="auto"/>
                <w:sz w:val="18"/>
                <w:szCs w:val="18"/>
              </w:rPr>
              <w:t>别</w:t>
            </w:r>
          </w:p>
          <w:p>
            <w:pPr>
              <w:jc w:val="center"/>
              <w:rPr>
                <w:rFonts w:ascii="宋体" w:hAnsi="宋体" w:cs="宋体"/>
                <w:color w:val="auto"/>
                <w:sz w:val="18"/>
                <w:szCs w:val="18"/>
              </w:rPr>
            </w:pPr>
          </w:p>
          <w:p>
            <w:pPr>
              <w:jc w:val="center"/>
              <w:rPr>
                <w:rFonts w:ascii="宋体" w:hAnsi="宋体" w:cs="宋体"/>
                <w:color w:val="auto"/>
                <w:sz w:val="18"/>
                <w:szCs w:val="18"/>
              </w:rPr>
            </w:pPr>
            <w:r>
              <w:rPr>
                <w:rFonts w:hint="eastAsia" w:ascii="宋体" w:hAnsi="宋体" w:cs="宋体"/>
                <w:color w:val="auto"/>
                <w:sz w:val="18"/>
                <w:szCs w:val="18"/>
              </w:rPr>
              <w:t>因</w:t>
            </w:r>
          </w:p>
          <w:p>
            <w:pPr>
              <w:jc w:val="center"/>
              <w:rPr>
                <w:rFonts w:ascii="宋体" w:hAnsi="宋体" w:cs="宋体"/>
                <w:color w:val="auto"/>
                <w:sz w:val="18"/>
                <w:szCs w:val="18"/>
              </w:rPr>
            </w:pPr>
          </w:p>
          <w:p>
            <w:pPr>
              <w:jc w:val="center"/>
              <w:rPr>
                <w:rFonts w:ascii="宋体" w:hAnsi="宋体" w:cs="宋体"/>
                <w:color w:val="auto"/>
                <w:sz w:val="18"/>
                <w:szCs w:val="18"/>
              </w:rPr>
            </w:pPr>
            <w:r>
              <w:rPr>
                <w:rFonts w:hint="eastAsia" w:ascii="宋体" w:hAnsi="宋体" w:cs="宋体"/>
                <w:color w:val="auto"/>
                <w:sz w:val="18"/>
                <w:szCs w:val="18"/>
              </w:rPr>
              <w:t>素</w:t>
            </w:r>
          </w:p>
        </w:tc>
        <w:tc>
          <w:tcPr>
            <w:tcW w:w="2170" w:type="pct"/>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18"/>
              </w:rPr>
            </w:pPr>
            <w:r>
              <w:rPr>
                <w:rFonts w:hint="eastAsia" w:ascii="宋体" w:hAnsi="宋体" w:cs="宋体"/>
                <w:color w:val="auto"/>
                <w:sz w:val="18"/>
              </w:rPr>
              <w:t>公用设施完备度</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w:t>
            </w:r>
          </w:p>
        </w:tc>
      </w:tr>
      <w:tr>
        <w:tblPrEx>
          <w:tblCellMar>
            <w:top w:w="0" w:type="dxa"/>
            <w:left w:w="0" w:type="dxa"/>
            <w:bottom w:w="0" w:type="dxa"/>
            <w:right w:w="0" w:type="dxa"/>
          </w:tblCellMar>
        </w:tblPrEx>
        <w:trPr>
          <w:cantSplit/>
          <w:trHeight w:val="360" w:hRule="atLeast"/>
          <w:jc w:val="center"/>
        </w:trPr>
        <w:tc>
          <w:tcPr>
            <w:tcW w:w="692" w:type="pct"/>
            <w:vMerge w:val="continue"/>
            <w:tcBorders>
              <w:left w:val="single" w:color="auto" w:sz="4" w:space="0"/>
              <w:right w:val="single" w:color="auto" w:sz="4" w:space="0"/>
            </w:tcBorders>
            <w:vAlign w:val="center"/>
          </w:tcPr>
          <w:p>
            <w:pPr>
              <w:jc w:val="center"/>
              <w:rPr>
                <w:rFonts w:ascii="宋体" w:hAnsi="宋体" w:cs="宋体"/>
                <w:color w:val="auto"/>
                <w:sz w:val="18"/>
                <w:szCs w:val="18"/>
              </w:rPr>
            </w:pPr>
          </w:p>
        </w:tc>
        <w:tc>
          <w:tcPr>
            <w:tcW w:w="2170" w:type="pct"/>
            <w:tcBorders>
              <w:top w:val="nil"/>
              <w:left w:val="nil"/>
              <w:bottom w:val="single" w:color="auto" w:sz="4" w:space="0"/>
              <w:right w:val="single" w:color="auto" w:sz="4" w:space="0"/>
            </w:tcBorders>
            <w:vAlign w:val="center"/>
          </w:tcPr>
          <w:p>
            <w:pPr>
              <w:jc w:val="center"/>
              <w:rPr>
                <w:rFonts w:ascii="宋体" w:hAnsi="宋体" w:cs="宋体"/>
                <w:color w:val="auto"/>
                <w:sz w:val="18"/>
              </w:rPr>
            </w:pPr>
            <w:r>
              <w:rPr>
                <w:rFonts w:hint="eastAsia" w:ascii="宋体" w:hAnsi="宋体" w:cs="宋体"/>
                <w:color w:val="auto"/>
                <w:kern w:val="0"/>
                <w:sz w:val="18"/>
                <w:szCs w:val="18"/>
              </w:rPr>
              <w:t>建筑物朝向</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0.0142</w:t>
            </w:r>
          </w:p>
        </w:tc>
      </w:tr>
      <w:tr>
        <w:tblPrEx>
          <w:tblCellMar>
            <w:top w:w="0" w:type="dxa"/>
            <w:left w:w="0" w:type="dxa"/>
            <w:bottom w:w="0" w:type="dxa"/>
            <w:right w:w="0" w:type="dxa"/>
          </w:tblCellMar>
        </w:tblPrEx>
        <w:trPr>
          <w:cantSplit/>
          <w:trHeight w:val="360" w:hRule="atLeast"/>
          <w:jc w:val="center"/>
        </w:trPr>
        <w:tc>
          <w:tcPr>
            <w:tcW w:w="692" w:type="pct"/>
            <w:vMerge w:val="continue"/>
            <w:tcBorders>
              <w:left w:val="single" w:color="auto" w:sz="4" w:space="0"/>
              <w:right w:val="single" w:color="auto" w:sz="4" w:space="0"/>
            </w:tcBorders>
            <w:vAlign w:val="center"/>
          </w:tcPr>
          <w:p>
            <w:pPr>
              <w:jc w:val="center"/>
              <w:rPr>
                <w:rFonts w:ascii="宋体" w:hAnsi="宋体" w:cs="宋体"/>
                <w:color w:val="auto"/>
                <w:sz w:val="18"/>
                <w:szCs w:val="18"/>
              </w:rPr>
            </w:pPr>
          </w:p>
        </w:tc>
        <w:tc>
          <w:tcPr>
            <w:tcW w:w="2170" w:type="pct"/>
            <w:tcBorders>
              <w:top w:val="nil"/>
              <w:left w:val="nil"/>
              <w:bottom w:val="single" w:color="auto" w:sz="4" w:space="0"/>
              <w:right w:val="single" w:color="auto" w:sz="4" w:space="0"/>
            </w:tcBorders>
            <w:vAlign w:val="center"/>
          </w:tcPr>
          <w:p>
            <w:pPr>
              <w:jc w:val="center"/>
              <w:rPr>
                <w:rFonts w:ascii="宋体" w:hAnsi="宋体" w:cs="宋体"/>
                <w:color w:val="auto"/>
                <w:sz w:val="18"/>
              </w:rPr>
            </w:pPr>
            <w:r>
              <w:rPr>
                <w:rFonts w:hint="eastAsia" w:ascii="宋体" w:hAnsi="宋体" w:cs="宋体"/>
                <w:color w:val="auto"/>
                <w:kern w:val="0"/>
                <w:sz w:val="18"/>
                <w:szCs w:val="18"/>
              </w:rPr>
              <w:t>宗地面积</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0.0126</w:t>
            </w:r>
          </w:p>
        </w:tc>
      </w:tr>
      <w:tr>
        <w:tblPrEx>
          <w:tblCellMar>
            <w:top w:w="0" w:type="dxa"/>
            <w:left w:w="0" w:type="dxa"/>
            <w:bottom w:w="0" w:type="dxa"/>
            <w:right w:w="0" w:type="dxa"/>
          </w:tblCellMar>
        </w:tblPrEx>
        <w:trPr>
          <w:cantSplit/>
          <w:trHeight w:val="360" w:hRule="atLeast"/>
          <w:jc w:val="center"/>
        </w:trPr>
        <w:tc>
          <w:tcPr>
            <w:tcW w:w="692" w:type="pct"/>
            <w:vMerge w:val="continue"/>
            <w:tcBorders>
              <w:left w:val="single" w:color="auto" w:sz="4" w:space="0"/>
              <w:right w:val="single" w:color="auto" w:sz="4" w:space="0"/>
            </w:tcBorders>
            <w:vAlign w:val="center"/>
          </w:tcPr>
          <w:p>
            <w:pPr>
              <w:jc w:val="center"/>
              <w:rPr>
                <w:rFonts w:ascii="宋体" w:hAnsi="宋体" w:cs="宋体"/>
                <w:color w:val="auto"/>
                <w:sz w:val="18"/>
                <w:szCs w:val="18"/>
              </w:rPr>
            </w:pPr>
          </w:p>
        </w:tc>
        <w:tc>
          <w:tcPr>
            <w:tcW w:w="2170" w:type="pct"/>
            <w:tcBorders>
              <w:top w:val="nil"/>
              <w:left w:val="nil"/>
              <w:bottom w:val="single" w:color="auto" w:sz="4" w:space="0"/>
              <w:right w:val="single" w:color="auto" w:sz="4" w:space="0"/>
            </w:tcBorders>
            <w:vAlign w:val="center"/>
          </w:tcPr>
          <w:p>
            <w:pPr>
              <w:jc w:val="center"/>
              <w:rPr>
                <w:rFonts w:ascii="宋体" w:hAnsi="宋体" w:cs="宋体"/>
                <w:color w:val="auto"/>
                <w:sz w:val="18"/>
              </w:rPr>
            </w:pPr>
            <w:r>
              <w:rPr>
                <w:rFonts w:hint="eastAsia" w:ascii="宋体" w:hAnsi="宋体" w:cs="宋体"/>
                <w:color w:val="auto"/>
                <w:kern w:val="0"/>
                <w:sz w:val="18"/>
                <w:szCs w:val="18"/>
              </w:rPr>
              <w:t>距农贸市场距离</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-0.0064</w:t>
            </w:r>
          </w:p>
        </w:tc>
      </w:tr>
      <w:tr>
        <w:tblPrEx>
          <w:tblCellMar>
            <w:top w:w="0" w:type="dxa"/>
            <w:left w:w="0" w:type="dxa"/>
            <w:bottom w:w="0" w:type="dxa"/>
            <w:right w:w="0" w:type="dxa"/>
          </w:tblCellMar>
        </w:tblPrEx>
        <w:trPr>
          <w:cantSplit/>
          <w:trHeight w:val="360" w:hRule="atLeast"/>
          <w:jc w:val="center"/>
        </w:trPr>
        <w:tc>
          <w:tcPr>
            <w:tcW w:w="692" w:type="pct"/>
            <w:vMerge w:val="continue"/>
            <w:tcBorders>
              <w:left w:val="single" w:color="auto" w:sz="4" w:space="0"/>
              <w:right w:val="single" w:color="auto" w:sz="4" w:space="0"/>
            </w:tcBorders>
            <w:vAlign w:val="center"/>
          </w:tcPr>
          <w:p>
            <w:pPr>
              <w:jc w:val="center"/>
              <w:rPr>
                <w:rFonts w:ascii="宋体" w:hAnsi="宋体" w:cs="宋体"/>
                <w:color w:val="auto"/>
                <w:sz w:val="18"/>
                <w:szCs w:val="18"/>
              </w:rPr>
            </w:pPr>
          </w:p>
        </w:tc>
        <w:tc>
          <w:tcPr>
            <w:tcW w:w="2170" w:type="pct"/>
            <w:tcBorders>
              <w:top w:val="nil"/>
              <w:left w:val="nil"/>
              <w:bottom w:val="single" w:color="auto" w:sz="4" w:space="0"/>
              <w:right w:val="single" w:color="auto" w:sz="4" w:space="0"/>
            </w:tcBorders>
            <w:vAlign w:val="center"/>
          </w:tcPr>
          <w:p>
            <w:pPr>
              <w:jc w:val="center"/>
              <w:rPr>
                <w:rFonts w:ascii="宋体" w:hAnsi="宋体" w:cs="宋体"/>
                <w:color w:val="auto"/>
                <w:sz w:val="18"/>
              </w:rPr>
            </w:pPr>
            <w:r>
              <w:rPr>
                <w:rFonts w:hint="eastAsia" w:ascii="宋体" w:hAnsi="宋体" w:cs="宋体"/>
                <w:color w:val="auto"/>
                <w:sz w:val="18"/>
              </w:rPr>
              <w:t>宗地自然条件</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w:t>
            </w:r>
          </w:p>
        </w:tc>
      </w:tr>
      <w:tr>
        <w:tblPrEx>
          <w:tblCellMar>
            <w:top w:w="0" w:type="dxa"/>
            <w:left w:w="0" w:type="dxa"/>
            <w:bottom w:w="0" w:type="dxa"/>
            <w:right w:w="0" w:type="dxa"/>
          </w:tblCellMar>
        </w:tblPrEx>
        <w:trPr>
          <w:cantSplit/>
          <w:trHeight w:val="360" w:hRule="atLeast"/>
          <w:jc w:val="center"/>
        </w:trPr>
        <w:tc>
          <w:tcPr>
            <w:tcW w:w="692" w:type="pct"/>
            <w:vMerge w:val="continue"/>
            <w:tcBorders>
              <w:left w:val="single" w:color="auto" w:sz="4" w:space="0"/>
              <w:right w:val="single" w:color="auto" w:sz="4" w:space="0"/>
            </w:tcBorders>
            <w:vAlign w:val="center"/>
          </w:tcPr>
          <w:p>
            <w:pPr>
              <w:jc w:val="center"/>
              <w:rPr>
                <w:rFonts w:ascii="宋体" w:hAnsi="宋体" w:cs="宋体"/>
                <w:color w:val="auto"/>
                <w:sz w:val="18"/>
                <w:szCs w:val="18"/>
              </w:rPr>
            </w:pPr>
          </w:p>
        </w:tc>
        <w:tc>
          <w:tcPr>
            <w:tcW w:w="2170" w:type="pct"/>
            <w:tcBorders>
              <w:top w:val="nil"/>
              <w:left w:val="nil"/>
              <w:bottom w:val="single" w:color="auto" w:sz="4" w:space="0"/>
              <w:right w:val="single" w:color="auto" w:sz="4" w:space="0"/>
            </w:tcBorders>
            <w:vAlign w:val="center"/>
          </w:tcPr>
          <w:p>
            <w:pPr>
              <w:jc w:val="center"/>
              <w:rPr>
                <w:rFonts w:ascii="宋体" w:hAnsi="宋体" w:cs="宋体"/>
                <w:color w:val="auto"/>
                <w:sz w:val="18"/>
              </w:rPr>
            </w:pPr>
            <w:r>
              <w:rPr>
                <w:rFonts w:hint="eastAsia" w:ascii="宋体" w:hAnsi="宋体" w:cs="宋体"/>
                <w:color w:val="auto"/>
                <w:sz w:val="18"/>
              </w:rPr>
              <w:t>绿地覆盖度</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w:t>
            </w:r>
          </w:p>
        </w:tc>
      </w:tr>
      <w:tr>
        <w:tblPrEx>
          <w:tblCellMar>
            <w:top w:w="0" w:type="dxa"/>
            <w:left w:w="0" w:type="dxa"/>
            <w:bottom w:w="0" w:type="dxa"/>
            <w:right w:w="0" w:type="dxa"/>
          </w:tblCellMar>
        </w:tblPrEx>
        <w:trPr>
          <w:cantSplit/>
          <w:trHeight w:val="360" w:hRule="atLeast"/>
          <w:jc w:val="center"/>
        </w:trPr>
        <w:tc>
          <w:tcPr>
            <w:tcW w:w="692" w:type="pct"/>
            <w:vMerge w:val="continue"/>
            <w:tcBorders>
              <w:left w:val="single" w:color="auto" w:sz="4" w:space="0"/>
              <w:right w:val="single" w:color="auto" w:sz="4" w:space="0"/>
            </w:tcBorders>
            <w:vAlign w:val="center"/>
          </w:tcPr>
          <w:p>
            <w:pPr>
              <w:jc w:val="center"/>
              <w:rPr>
                <w:rFonts w:ascii="宋体" w:hAnsi="宋体" w:cs="宋体"/>
                <w:color w:val="auto"/>
                <w:sz w:val="18"/>
                <w:szCs w:val="18"/>
              </w:rPr>
            </w:pPr>
          </w:p>
        </w:tc>
        <w:tc>
          <w:tcPr>
            <w:tcW w:w="2170" w:type="pct"/>
            <w:tcBorders>
              <w:top w:val="nil"/>
              <w:left w:val="nil"/>
              <w:bottom w:val="single" w:color="auto" w:sz="4" w:space="0"/>
              <w:right w:val="single" w:color="auto" w:sz="4" w:space="0"/>
            </w:tcBorders>
            <w:vAlign w:val="center"/>
          </w:tcPr>
          <w:p>
            <w:pPr>
              <w:jc w:val="center"/>
              <w:rPr>
                <w:rFonts w:ascii="宋体" w:hAnsi="宋体" w:cs="宋体"/>
                <w:color w:val="auto"/>
                <w:sz w:val="18"/>
              </w:rPr>
            </w:pPr>
            <w:r>
              <w:rPr>
                <w:rFonts w:hint="eastAsia" w:ascii="宋体" w:hAnsi="宋体" w:cs="宋体"/>
                <w:color w:val="auto"/>
                <w:sz w:val="18"/>
              </w:rPr>
              <w:t>人口密度</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0.0055</w:t>
            </w:r>
          </w:p>
        </w:tc>
      </w:tr>
      <w:tr>
        <w:tblPrEx>
          <w:tblCellMar>
            <w:top w:w="0" w:type="dxa"/>
            <w:left w:w="0" w:type="dxa"/>
            <w:bottom w:w="0" w:type="dxa"/>
            <w:right w:w="0" w:type="dxa"/>
          </w:tblCellMar>
        </w:tblPrEx>
        <w:trPr>
          <w:cantSplit/>
          <w:trHeight w:val="360" w:hRule="atLeast"/>
          <w:jc w:val="center"/>
        </w:trPr>
        <w:tc>
          <w:tcPr>
            <w:tcW w:w="692" w:type="pct"/>
            <w:vMerge w:val="continue"/>
            <w:tcBorders>
              <w:left w:val="single" w:color="auto" w:sz="4" w:space="0"/>
              <w:right w:val="single" w:color="auto" w:sz="4" w:space="0"/>
            </w:tcBorders>
            <w:vAlign w:val="center"/>
          </w:tcPr>
          <w:p>
            <w:pPr>
              <w:jc w:val="center"/>
              <w:rPr>
                <w:rFonts w:ascii="宋体" w:hAnsi="宋体" w:cs="宋体"/>
                <w:color w:val="auto"/>
                <w:sz w:val="18"/>
                <w:szCs w:val="18"/>
              </w:rPr>
            </w:pPr>
          </w:p>
        </w:tc>
        <w:tc>
          <w:tcPr>
            <w:tcW w:w="2170" w:type="pct"/>
            <w:tcBorders>
              <w:top w:val="nil"/>
              <w:left w:val="nil"/>
              <w:bottom w:val="single" w:color="auto" w:sz="4" w:space="0"/>
              <w:right w:val="single" w:color="auto" w:sz="4" w:space="0"/>
            </w:tcBorders>
            <w:vAlign w:val="center"/>
          </w:tcPr>
          <w:p>
            <w:pPr>
              <w:jc w:val="center"/>
              <w:rPr>
                <w:rFonts w:ascii="宋体" w:hAnsi="宋体" w:cs="宋体"/>
                <w:color w:val="auto"/>
                <w:sz w:val="18"/>
              </w:rPr>
            </w:pPr>
            <w:r>
              <w:rPr>
                <w:rFonts w:hint="eastAsia" w:ascii="宋体" w:hAnsi="宋体" w:cs="宋体"/>
                <w:color w:val="auto"/>
                <w:sz w:val="18"/>
              </w:rPr>
              <w:t>供水保障率</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0.0095</w:t>
            </w:r>
          </w:p>
        </w:tc>
      </w:tr>
      <w:tr>
        <w:tblPrEx>
          <w:tblCellMar>
            <w:top w:w="0" w:type="dxa"/>
            <w:left w:w="0" w:type="dxa"/>
            <w:bottom w:w="0" w:type="dxa"/>
            <w:right w:w="0" w:type="dxa"/>
          </w:tblCellMar>
        </w:tblPrEx>
        <w:trPr>
          <w:cantSplit/>
          <w:trHeight w:val="360" w:hRule="atLeast"/>
          <w:jc w:val="center"/>
        </w:trPr>
        <w:tc>
          <w:tcPr>
            <w:tcW w:w="692" w:type="pct"/>
            <w:vMerge w:val="continue"/>
            <w:tcBorders>
              <w:left w:val="single" w:color="auto" w:sz="4" w:space="0"/>
              <w:bottom w:val="single" w:color="auto" w:sz="4" w:space="0"/>
              <w:right w:val="single" w:color="auto" w:sz="4" w:space="0"/>
            </w:tcBorders>
            <w:vAlign w:val="center"/>
          </w:tcPr>
          <w:p>
            <w:pPr>
              <w:jc w:val="center"/>
              <w:rPr>
                <w:rFonts w:ascii="宋体" w:hAnsi="宋体" w:cs="宋体"/>
                <w:color w:val="auto"/>
                <w:sz w:val="18"/>
                <w:szCs w:val="18"/>
              </w:rPr>
            </w:pPr>
          </w:p>
        </w:tc>
        <w:tc>
          <w:tcPr>
            <w:tcW w:w="2170" w:type="pct"/>
            <w:tcBorders>
              <w:top w:val="nil"/>
              <w:left w:val="nil"/>
              <w:bottom w:val="single" w:color="auto" w:sz="4" w:space="0"/>
              <w:right w:val="single" w:color="auto" w:sz="4" w:space="0"/>
            </w:tcBorders>
            <w:vAlign w:val="center"/>
          </w:tcPr>
          <w:p>
            <w:pPr>
              <w:jc w:val="center"/>
              <w:rPr>
                <w:rFonts w:ascii="宋体" w:hAnsi="宋体" w:cs="宋体"/>
                <w:color w:val="auto"/>
                <w:sz w:val="18"/>
              </w:rPr>
            </w:pPr>
            <w:r>
              <w:rPr>
                <w:rFonts w:hint="eastAsia" w:ascii="宋体" w:hAnsi="宋体" w:cs="宋体"/>
                <w:color w:val="auto"/>
                <w:sz w:val="18"/>
              </w:rPr>
              <w:t>排水保障率</w:t>
            </w:r>
          </w:p>
        </w:tc>
        <w:tc>
          <w:tcPr>
            <w:tcW w:w="2138" w:type="pct"/>
            <w:tcBorders>
              <w:top w:val="nil"/>
              <w:left w:val="nil"/>
              <w:bottom w:val="single" w:color="auto" w:sz="4"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0.0095</w:t>
            </w:r>
          </w:p>
        </w:tc>
      </w:tr>
      <w:tr>
        <w:tblPrEx>
          <w:tblCellMar>
            <w:top w:w="0" w:type="dxa"/>
            <w:left w:w="0" w:type="dxa"/>
            <w:bottom w:w="0" w:type="dxa"/>
            <w:right w:w="0" w:type="dxa"/>
          </w:tblCellMar>
        </w:tblPrEx>
        <w:trPr>
          <w:cantSplit/>
          <w:trHeight w:val="335" w:hRule="atLeast"/>
          <w:jc w:val="center"/>
        </w:trPr>
        <w:tc>
          <w:tcPr>
            <w:tcW w:w="2862" w:type="pct"/>
            <w:gridSpan w:val="2"/>
            <w:tcBorders>
              <w:top w:val="nil"/>
              <w:left w:val="single" w:color="auto" w:sz="4" w:space="0"/>
              <w:bottom w:val="single" w:color="auto" w:sz="8"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估价对象综合修正系数</w:t>
            </w:r>
          </w:p>
        </w:tc>
        <w:tc>
          <w:tcPr>
            <w:tcW w:w="2138" w:type="pct"/>
            <w:tcBorders>
              <w:top w:val="nil"/>
              <w:left w:val="nil"/>
              <w:bottom w:val="single" w:color="auto" w:sz="8" w:space="0"/>
              <w:right w:val="single" w:color="auto" w:sz="4" w:space="0"/>
            </w:tcBorders>
            <w:vAlign w:val="center"/>
          </w:tcPr>
          <w:p>
            <w:pPr>
              <w:jc w:val="center"/>
              <w:rPr>
                <w:rFonts w:ascii="宋体" w:hAnsi="宋体" w:cs="宋体"/>
                <w:color w:val="auto"/>
                <w:sz w:val="18"/>
                <w:szCs w:val="18"/>
              </w:rPr>
            </w:pPr>
            <w:r>
              <w:rPr>
                <w:rFonts w:hint="eastAsia" w:ascii="宋体" w:hAnsi="宋体" w:cs="宋体"/>
                <w:color w:val="auto"/>
                <w:sz w:val="18"/>
                <w:szCs w:val="18"/>
              </w:rPr>
              <w:t>0.0686</w:t>
            </w:r>
          </w:p>
        </w:tc>
      </w:tr>
    </w:tbl>
    <w:p>
      <w:pPr>
        <w:adjustRightInd w:val="0"/>
        <w:snapToGrid w:val="0"/>
        <w:spacing w:line="560" w:lineRule="exact"/>
        <w:ind w:right="-23" w:firstLine="560" w:firstLineChars="200"/>
        <w:rPr>
          <w:rFonts w:ascii="宋体" w:hAnsi="宋体" w:cs="宋体"/>
          <w:color w:val="auto"/>
          <w:sz w:val="28"/>
          <w:szCs w:val="28"/>
        </w:rPr>
      </w:pPr>
      <w:r>
        <w:rPr>
          <w:rFonts w:hint="eastAsia" w:ascii="宋体" w:hAnsi="宋体" w:cs="宋体"/>
          <w:color w:val="auto"/>
          <w:sz w:val="28"/>
          <w:szCs w:val="28"/>
        </w:rPr>
        <w:t>⑹确定估价对象估价期日、容积率、土地使用年期等其他修正系数（K</w:t>
      </w:r>
      <w:r>
        <w:rPr>
          <w:rFonts w:hint="eastAsia" w:ascii="宋体" w:hAnsi="宋体" w:cs="宋体"/>
          <w:color w:val="auto"/>
          <w:sz w:val="28"/>
          <w:szCs w:val="28"/>
          <w:vertAlign w:val="subscript"/>
        </w:rPr>
        <w:t>j</w:t>
      </w:r>
      <w:r>
        <w:rPr>
          <w:rFonts w:hint="eastAsia" w:ascii="宋体" w:hAnsi="宋体" w:cs="宋体"/>
          <w:color w:val="auto"/>
          <w:sz w:val="28"/>
          <w:szCs w:val="28"/>
        </w:rPr>
        <w:t>）</w:t>
      </w:r>
    </w:p>
    <w:p>
      <w:pPr>
        <w:adjustRightInd w:val="0"/>
        <w:snapToGrid w:val="0"/>
        <w:spacing w:line="560" w:lineRule="exact"/>
        <w:ind w:right="-23" w:firstLine="560" w:firstLineChars="200"/>
        <w:rPr>
          <w:rFonts w:ascii="宋体" w:hAnsi="宋体" w:cs="宋体"/>
          <w:color w:val="auto"/>
          <w:sz w:val="28"/>
          <w:szCs w:val="28"/>
        </w:rPr>
      </w:pPr>
      <w:r>
        <w:rPr>
          <w:rFonts w:hint="eastAsia" w:ascii="宋体" w:hAnsi="宋体" w:cs="宋体"/>
          <w:color w:val="auto"/>
          <w:sz w:val="28"/>
          <w:szCs w:val="28"/>
        </w:rPr>
        <w:t>K</w:t>
      </w:r>
      <w:r>
        <w:rPr>
          <w:rFonts w:hint="eastAsia" w:ascii="宋体" w:hAnsi="宋体" w:cs="宋体"/>
          <w:color w:val="auto"/>
          <w:sz w:val="28"/>
          <w:szCs w:val="28"/>
          <w:vertAlign w:val="subscript"/>
        </w:rPr>
        <w:t>j</w:t>
      </w:r>
      <w:r>
        <w:rPr>
          <w:rFonts w:hint="eastAsia" w:ascii="宋体" w:hAnsi="宋体" w:cs="宋体"/>
          <w:color w:val="auto"/>
          <w:sz w:val="28"/>
          <w:szCs w:val="28"/>
        </w:rPr>
        <w:t>＝估价期日修正系数（K</w:t>
      </w:r>
      <w:r>
        <w:rPr>
          <w:rFonts w:hint="eastAsia" w:ascii="宋体" w:hAnsi="宋体" w:cs="宋体"/>
          <w:color w:val="auto"/>
          <w:sz w:val="28"/>
          <w:szCs w:val="28"/>
          <w:vertAlign w:val="subscript"/>
        </w:rPr>
        <w:t>j1</w:t>
      </w:r>
      <w:r>
        <w:rPr>
          <w:rFonts w:hint="eastAsia" w:ascii="宋体" w:hAnsi="宋体" w:cs="宋体"/>
          <w:color w:val="auto"/>
          <w:sz w:val="28"/>
          <w:szCs w:val="28"/>
        </w:rPr>
        <w:t>）×容积率修正系数（K</w:t>
      </w:r>
      <w:r>
        <w:rPr>
          <w:rFonts w:hint="eastAsia" w:ascii="宋体" w:hAnsi="宋体" w:cs="宋体"/>
          <w:color w:val="auto"/>
          <w:sz w:val="28"/>
          <w:szCs w:val="28"/>
          <w:vertAlign w:val="subscript"/>
        </w:rPr>
        <w:t>j2</w:t>
      </w:r>
      <w:r>
        <w:rPr>
          <w:rFonts w:hint="eastAsia" w:ascii="宋体" w:hAnsi="宋体" w:cs="宋体"/>
          <w:color w:val="auto"/>
          <w:sz w:val="28"/>
          <w:szCs w:val="28"/>
        </w:rPr>
        <w:t>）×土地使用年期修正系数（K</w:t>
      </w:r>
      <w:r>
        <w:rPr>
          <w:rFonts w:hint="eastAsia" w:ascii="宋体" w:hAnsi="宋体" w:cs="宋体"/>
          <w:color w:val="auto"/>
          <w:sz w:val="28"/>
          <w:szCs w:val="28"/>
          <w:vertAlign w:val="subscript"/>
        </w:rPr>
        <w:t>j3</w:t>
      </w:r>
      <w:r>
        <w:rPr>
          <w:rFonts w:hint="eastAsia" w:ascii="宋体" w:hAnsi="宋体" w:cs="宋体"/>
          <w:color w:val="auto"/>
          <w:sz w:val="28"/>
          <w:szCs w:val="28"/>
        </w:rPr>
        <w:t>）</w:t>
      </w:r>
    </w:p>
    <w:p>
      <w:pPr>
        <w:adjustRightInd w:val="0"/>
        <w:snapToGrid w:val="0"/>
        <w:spacing w:line="560" w:lineRule="exact"/>
        <w:ind w:right="-23" w:firstLine="560" w:firstLineChars="200"/>
        <w:rPr>
          <w:rFonts w:ascii="宋体" w:hAnsi="宋体" w:cs="宋体"/>
          <w:color w:val="auto"/>
          <w:sz w:val="28"/>
          <w:szCs w:val="28"/>
        </w:rPr>
      </w:pPr>
      <w:r>
        <w:rPr>
          <w:rFonts w:hint="eastAsia" w:ascii="宋体" w:hAnsi="宋体" w:cs="宋体"/>
          <w:color w:val="auto"/>
          <w:sz w:val="28"/>
          <w:szCs w:val="28"/>
        </w:rPr>
        <w:t>①估价期日修正系数的确定（K</w:t>
      </w:r>
      <w:r>
        <w:rPr>
          <w:rFonts w:hint="eastAsia" w:ascii="宋体" w:hAnsi="宋体" w:cs="宋体"/>
          <w:color w:val="auto"/>
          <w:sz w:val="28"/>
          <w:szCs w:val="28"/>
          <w:vertAlign w:val="subscript"/>
        </w:rPr>
        <w:t>j1</w:t>
      </w:r>
      <w:r>
        <w:rPr>
          <w:rFonts w:hint="eastAsia" w:ascii="宋体" w:hAnsi="宋体" w:cs="宋体"/>
          <w:color w:val="auto"/>
          <w:sz w:val="28"/>
          <w:szCs w:val="28"/>
        </w:rPr>
        <w:t>）</w:t>
      </w:r>
    </w:p>
    <w:p>
      <w:pPr>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本次评估的估价期日为2020年3月18日。基准地价所对应的估价期日为2016年1月1日，基准地价估价期日与本次估价期日不一致，应进行期日修正。</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color w:val="auto"/>
          <w:sz w:val="28"/>
          <w:szCs w:val="28"/>
        </w:rPr>
        <w:t>编制地价指数表：</w:t>
      </w:r>
      <w:r>
        <w:rPr>
          <w:rFonts w:hint="eastAsia" w:ascii="宋体" w:hAnsi="宋体" w:cs="宋体"/>
          <w:bCs/>
          <w:color w:val="auto"/>
          <w:sz w:val="28"/>
        </w:rPr>
        <w:t>在编制期日修正系数表时，地价指数可根据政府公布数据或通过各年政府公布的基准地价结合市场交易推算。因砚山县人民政府未公布地价指数数据，在砚山县人民政府砚</w:t>
      </w:r>
      <w:r>
        <w:rPr>
          <w:rFonts w:hint="eastAsia" w:ascii="宋体" w:hAnsi="宋体" w:cs="宋体"/>
          <w:color w:val="auto"/>
          <w:sz w:val="28"/>
          <w:szCs w:val="28"/>
        </w:rPr>
        <w:t>政复〔2017〕78号文件批准</w:t>
      </w:r>
      <w:r>
        <w:rPr>
          <w:rFonts w:hint="eastAsia" w:ascii="宋体" w:hAnsi="宋体" w:cs="宋体"/>
          <w:bCs/>
          <w:color w:val="auto"/>
          <w:sz w:val="28"/>
        </w:rPr>
        <w:t>公布实施的基准地价成果中体现了各等级各类用地地价增长幅度，见下表：</w:t>
      </w:r>
    </w:p>
    <w:p>
      <w:pPr>
        <w:ind w:right="420" w:firstLine="360"/>
        <w:jc w:val="center"/>
        <w:rPr>
          <w:rFonts w:ascii="宋体" w:hAnsi="宋体" w:cs="宋体"/>
          <w:color w:val="auto"/>
          <w:sz w:val="18"/>
          <w:szCs w:val="18"/>
        </w:rPr>
      </w:pPr>
      <w:r>
        <w:rPr>
          <w:rFonts w:hint="eastAsia" w:ascii="宋体" w:hAnsi="宋体" w:cs="宋体"/>
          <w:b/>
          <w:color w:val="auto"/>
        </w:rPr>
        <w:t>平远镇基准地价结果汇总表</w:t>
      </w:r>
      <w:r>
        <w:rPr>
          <w:rFonts w:hint="eastAsia" w:ascii="宋体" w:hAnsi="宋体" w:cs="宋体"/>
          <w:b/>
          <w:color w:val="auto"/>
          <w:sz w:val="24"/>
        </w:rPr>
        <w:t xml:space="preserve"> </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2013"/>
        <w:gridCol w:w="2134"/>
        <w:gridCol w:w="213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级别</w:t>
            </w:r>
          </w:p>
        </w:tc>
        <w:tc>
          <w:tcPr>
            <w:tcW w:w="1064"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年度</w:t>
            </w:r>
          </w:p>
        </w:tc>
        <w:tc>
          <w:tcPr>
            <w:tcW w:w="1128"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商服用地</w:t>
            </w:r>
          </w:p>
        </w:tc>
        <w:tc>
          <w:tcPr>
            <w:tcW w:w="1128"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住宅用地</w:t>
            </w:r>
          </w:p>
        </w:tc>
        <w:tc>
          <w:tcPr>
            <w:tcW w:w="1002"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restart"/>
            <w:shd w:val="clear" w:color="auto" w:fill="auto"/>
            <w:vAlign w:val="center"/>
          </w:tcPr>
          <w:p>
            <w:pPr>
              <w:jc w:val="center"/>
              <w:rPr>
                <w:rFonts w:ascii="宋体" w:hAnsi="宋体" w:cs="宋体"/>
                <w:color w:val="auto"/>
                <w:szCs w:val="21"/>
              </w:rPr>
            </w:pPr>
            <w:r>
              <w:rPr>
                <w:rFonts w:hint="eastAsia" w:ascii="宋体" w:hAnsi="宋体" w:cs="宋体"/>
                <w:color w:val="auto"/>
                <w:szCs w:val="21"/>
              </w:rPr>
              <w:t>Ⅰ级</w:t>
            </w:r>
          </w:p>
        </w:tc>
        <w:tc>
          <w:tcPr>
            <w:tcW w:w="1064" w:type="pct"/>
            <w:shd w:val="clear" w:color="auto" w:fill="auto"/>
            <w:vAlign w:val="bottom"/>
          </w:tcPr>
          <w:p>
            <w:pPr>
              <w:pStyle w:val="33"/>
              <w:rPr>
                <w:rFonts w:cs="宋体"/>
                <w:color w:val="auto"/>
              </w:rPr>
            </w:pPr>
            <w:r>
              <w:rPr>
                <w:rFonts w:hint="eastAsia" w:cs="宋体"/>
                <w:color w:val="auto"/>
              </w:rPr>
              <w:t>2016</w:t>
            </w:r>
          </w:p>
        </w:tc>
        <w:tc>
          <w:tcPr>
            <w:tcW w:w="1128" w:type="pct"/>
            <w:shd w:val="clear" w:color="auto" w:fill="auto"/>
            <w:vAlign w:val="bottom"/>
          </w:tcPr>
          <w:p>
            <w:pPr>
              <w:pStyle w:val="33"/>
              <w:rPr>
                <w:rFonts w:cs="宋体"/>
                <w:color w:val="auto"/>
              </w:rPr>
            </w:pPr>
            <w:r>
              <w:rPr>
                <w:rFonts w:hint="eastAsia" w:cs="宋体"/>
                <w:color w:val="auto"/>
              </w:rPr>
              <w:t>800</w:t>
            </w:r>
          </w:p>
        </w:tc>
        <w:tc>
          <w:tcPr>
            <w:tcW w:w="1128" w:type="pct"/>
            <w:shd w:val="clear" w:color="auto" w:fill="auto"/>
            <w:vAlign w:val="bottom"/>
          </w:tcPr>
          <w:p>
            <w:pPr>
              <w:pStyle w:val="33"/>
              <w:rPr>
                <w:rFonts w:cs="宋体"/>
                <w:color w:val="auto"/>
              </w:rPr>
            </w:pPr>
            <w:r>
              <w:rPr>
                <w:rFonts w:hint="eastAsia" w:cs="宋体"/>
                <w:color w:val="auto"/>
              </w:rPr>
              <w:t>549</w:t>
            </w:r>
          </w:p>
        </w:tc>
        <w:tc>
          <w:tcPr>
            <w:tcW w:w="1002" w:type="pct"/>
            <w:shd w:val="clear" w:color="auto" w:fill="auto"/>
            <w:vAlign w:val="bottom"/>
          </w:tcPr>
          <w:p>
            <w:pPr>
              <w:pStyle w:val="33"/>
              <w:rPr>
                <w:rFonts w:cs="宋体"/>
                <w:color w:val="auto"/>
              </w:rPr>
            </w:pPr>
            <w:r>
              <w:rPr>
                <w:rFonts w:hint="eastAsia" w:cs="宋体"/>
                <w:color w:val="auto"/>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2010</w:t>
            </w:r>
          </w:p>
        </w:tc>
        <w:tc>
          <w:tcPr>
            <w:tcW w:w="1128" w:type="pct"/>
            <w:shd w:val="clear" w:color="auto" w:fill="auto"/>
            <w:vAlign w:val="bottom"/>
          </w:tcPr>
          <w:p>
            <w:pPr>
              <w:pStyle w:val="33"/>
              <w:rPr>
                <w:rFonts w:cs="宋体"/>
                <w:color w:val="auto"/>
              </w:rPr>
            </w:pPr>
            <w:r>
              <w:rPr>
                <w:rFonts w:hint="eastAsia" w:cs="宋体"/>
                <w:color w:val="auto"/>
              </w:rPr>
              <w:t>473</w:t>
            </w:r>
          </w:p>
        </w:tc>
        <w:tc>
          <w:tcPr>
            <w:tcW w:w="1128" w:type="pct"/>
            <w:shd w:val="clear" w:color="auto" w:fill="auto"/>
            <w:vAlign w:val="bottom"/>
          </w:tcPr>
          <w:p>
            <w:pPr>
              <w:pStyle w:val="33"/>
              <w:rPr>
                <w:rFonts w:cs="宋体"/>
                <w:color w:val="auto"/>
              </w:rPr>
            </w:pPr>
            <w:r>
              <w:rPr>
                <w:rFonts w:hint="eastAsia" w:cs="宋体"/>
                <w:color w:val="auto"/>
              </w:rPr>
              <w:t>430</w:t>
            </w:r>
          </w:p>
        </w:tc>
        <w:tc>
          <w:tcPr>
            <w:tcW w:w="1002" w:type="pct"/>
            <w:shd w:val="clear" w:color="auto" w:fill="auto"/>
            <w:vAlign w:val="bottom"/>
          </w:tcPr>
          <w:p>
            <w:pPr>
              <w:pStyle w:val="33"/>
              <w:rPr>
                <w:rFonts w:cs="宋体"/>
                <w:color w:val="auto"/>
              </w:rPr>
            </w:pPr>
            <w:r>
              <w:rPr>
                <w:rFonts w:hint="eastAsia"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差值</w:t>
            </w:r>
          </w:p>
        </w:tc>
        <w:tc>
          <w:tcPr>
            <w:tcW w:w="1128" w:type="pct"/>
            <w:shd w:val="clear" w:color="auto" w:fill="auto"/>
            <w:vAlign w:val="bottom"/>
          </w:tcPr>
          <w:p>
            <w:pPr>
              <w:pStyle w:val="33"/>
              <w:rPr>
                <w:rFonts w:cs="宋体"/>
                <w:color w:val="auto"/>
              </w:rPr>
            </w:pPr>
            <w:r>
              <w:rPr>
                <w:rFonts w:hint="eastAsia" w:cs="宋体"/>
                <w:color w:val="auto"/>
              </w:rPr>
              <w:t>327</w:t>
            </w:r>
          </w:p>
        </w:tc>
        <w:tc>
          <w:tcPr>
            <w:tcW w:w="1128" w:type="pct"/>
            <w:shd w:val="clear" w:color="auto" w:fill="auto"/>
            <w:vAlign w:val="bottom"/>
          </w:tcPr>
          <w:p>
            <w:pPr>
              <w:pStyle w:val="33"/>
              <w:rPr>
                <w:rFonts w:cs="宋体"/>
                <w:color w:val="auto"/>
              </w:rPr>
            </w:pPr>
            <w:r>
              <w:rPr>
                <w:rFonts w:hint="eastAsia" w:cs="宋体"/>
                <w:color w:val="auto"/>
              </w:rPr>
              <w:t>119</w:t>
            </w:r>
          </w:p>
        </w:tc>
        <w:tc>
          <w:tcPr>
            <w:tcW w:w="1002" w:type="pct"/>
            <w:shd w:val="clear" w:color="auto" w:fill="auto"/>
            <w:vAlign w:val="bottom"/>
          </w:tcPr>
          <w:p>
            <w:pPr>
              <w:pStyle w:val="33"/>
              <w:rPr>
                <w:rFonts w:cs="宋体"/>
                <w:color w:val="auto"/>
              </w:rPr>
            </w:pPr>
            <w:r>
              <w:rPr>
                <w:rFonts w:hint="eastAsia"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平均增长率</w:t>
            </w:r>
          </w:p>
        </w:tc>
        <w:tc>
          <w:tcPr>
            <w:tcW w:w="1128" w:type="pct"/>
            <w:shd w:val="clear" w:color="auto" w:fill="auto"/>
            <w:vAlign w:val="bottom"/>
          </w:tcPr>
          <w:p>
            <w:pPr>
              <w:pStyle w:val="33"/>
              <w:rPr>
                <w:rFonts w:cs="宋体"/>
                <w:color w:val="auto"/>
              </w:rPr>
            </w:pPr>
            <w:r>
              <w:rPr>
                <w:rFonts w:hint="eastAsia" w:cs="宋体"/>
                <w:color w:val="auto"/>
              </w:rPr>
              <w:t>9.15%</w:t>
            </w:r>
          </w:p>
        </w:tc>
        <w:tc>
          <w:tcPr>
            <w:tcW w:w="1128" w:type="pct"/>
            <w:shd w:val="clear" w:color="auto" w:fill="auto"/>
            <w:vAlign w:val="bottom"/>
          </w:tcPr>
          <w:p>
            <w:pPr>
              <w:pStyle w:val="33"/>
              <w:rPr>
                <w:rFonts w:cs="宋体"/>
                <w:color w:val="auto"/>
              </w:rPr>
            </w:pPr>
            <w:r>
              <w:rPr>
                <w:rFonts w:hint="eastAsia" w:cs="宋体"/>
                <w:color w:val="auto"/>
              </w:rPr>
              <w:t>4.16%</w:t>
            </w:r>
          </w:p>
        </w:tc>
        <w:tc>
          <w:tcPr>
            <w:tcW w:w="1002" w:type="pct"/>
            <w:shd w:val="clear" w:color="auto" w:fill="auto"/>
            <w:vAlign w:val="bottom"/>
          </w:tcPr>
          <w:p>
            <w:pPr>
              <w:pStyle w:val="33"/>
              <w:rPr>
                <w:rFonts w:cs="宋体"/>
                <w:color w:val="auto"/>
              </w:rPr>
            </w:pPr>
            <w:r>
              <w:rPr>
                <w:rFonts w:hint="eastAsia"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restart"/>
            <w:shd w:val="clear" w:color="auto" w:fill="auto"/>
            <w:vAlign w:val="center"/>
          </w:tcPr>
          <w:p>
            <w:pPr>
              <w:jc w:val="center"/>
              <w:rPr>
                <w:rFonts w:ascii="宋体" w:hAnsi="宋体" w:cs="宋体"/>
                <w:color w:val="auto"/>
                <w:szCs w:val="21"/>
              </w:rPr>
            </w:pPr>
            <w:r>
              <w:rPr>
                <w:rFonts w:hint="eastAsia" w:ascii="宋体" w:hAnsi="宋体" w:cs="宋体"/>
                <w:color w:val="auto"/>
                <w:szCs w:val="21"/>
              </w:rPr>
              <w:t>Ⅱ级</w:t>
            </w:r>
          </w:p>
        </w:tc>
        <w:tc>
          <w:tcPr>
            <w:tcW w:w="1064" w:type="pct"/>
            <w:shd w:val="clear" w:color="auto" w:fill="auto"/>
            <w:vAlign w:val="bottom"/>
          </w:tcPr>
          <w:p>
            <w:pPr>
              <w:pStyle w:val="33"/>
              <w:rPr>
                <w:rFonts w:cs="宋体"/>
                <w:color w:val="auto"/>
              </w:rPr>
            </w:pPr>
            <w:r>
              <w:rPr>
                <w:rFonts w:hint="eastAsia" w:cs="宋体"/>
                <w:color w:val="auto"/>
              </w:rPr>
              <w:t>2016</w:t>
            </w:r>
          </w:p>
        </w:tc>
        <w:tc>
          <w:tcPr>
            <w:tcW w:w="1128" w:type="pct"/>
            <w:shd w:val="clear" w:color="auto" w:fill="auto"/>
            <w:vAlign w:val="bottom"/>
          </w:tcPr>
          <w:p>
            <w:pPr>
              <w:pStyle w:val="33"/>
              <w:rPr>
                <w:rFonts w:cs="宋体"/>
                <w:color w:val="auto"/>
              </w:rPr>
            </w:pPr>
            <w:r>
              <w:rPr>
                <w:rFonts w:hint="eastAsia" w:cs="宋体"/>
                <w:color w:val="auto"/>
              </w:rPr>
              <w:t>510</w:t>
            </w:r>
          </w:p>
        </w:tc>
        <w:tc>
          <w:tcPr>
            <w:tcW w:w="1128" w:type="pct"/>
            <w:shd w:val="clear" w:color="auto" w:fill="auto"/>
            <w:vAlign w:val="bottom"/>
          </w:tcPr>
          <w:p>
            <w:pPr>
              <w:pStyle w:val="33"/>
              <w:rPr>
                <w:rFonts w:cs="宋体"/>
                <w:color w:val="auto"/>
              </w:rPr>
            </w:pPr>
            <w:r>
              <w:rPr>
                <w:rFonts w:hint="eastAsia" w:cs="宋体"/>
                <w:color w:val="auto"/>
              </w:rPr>
              <w:t>399</w:t>
            </w:r>
          </w:p>
        </w:tc>
        <w:tc>
          <w:tcPr>
            <w:tcW w:w="1002" w:type="pct"/>
            <w:shd w:val="clear" w:color="auto" w:fill="auto"/>
            <w:vAlign w:val="bottom"/>
          </w:tcPr>
          <w:p>
            <w:pPr>
              <w:pStyle w:val="33"/>
              <w:rPr>
                <w:rFonts w:cs="宋体"/>
                <w:color w:val="auto"/>
              </w:rPr>
            </w:pPr>
            <w:r>
              <w:rPr>
                <w:rFonts w:hint="eastAsia" w:cs="宋体"/>
                <w:color w:val="auto"/>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2010</w:t>
            </w:r>
          </w:p>
        </w:tc>
        <w:tc>
          <w:tcPr>
            <w:tcW w:w="1128" w:type="pct"/>
            <w:shd w:val="clear" w:color="auto" w:fill="auto"/>
            <w:vAlign w:val="bottom"/>
          </w:tcPr>
          <w:p>
            <w:pPr>
              <w:pStyle w:val="33"/>
              <w:rPr>
                <w:rFonts w:cs="宋体"/>
                <w:color w:val="auto"/>
              </w:rPr>
            </w:pPr>
            <w:r>
              <w:rPr>
                <w:rFonts w:hint="eastAsia" w:cs="宋体"/>
                <w:color w:val="auto"/>
              </w:rPr>
              <w:t>326</w:t>
            </w:r>
          </w:p>
        </w:tc>
        <w:tc>
          <w:tcPr>
            <w:tcW w:w="1128" w:type="pct"/>
            <w:shd w:val="clear" w:color="auto" w:fill="auto"/>
            <w:vAlign w:val="bottom"/>
          </w:tcPr>
          <w:p>
            <w:pPr>
              <w:pStyle w:val="33"/>
              <w:rPr>
                <w:rFonts w:cs="宋体"/>
                <w:color w:val="auto"/>
              </w:rPr>
            </w:pPr>
            <w:r>
              <w:rPr>
                <w:rFonts w:hint="eastAsia" w:cs="宋体"/>
                <w:color w:val="auto"/>
              </w:rPr>
              <w:t>296</w:t>
            </w:r>
          </w:p>
        </w:tc>
        <w:tc>
          <w:tcPr>
            <w:tcW w:w="1002" w:type="pct"/>
            <w:shd w:val="clear" w:color="auto" w:fill="auto"/>
            <w:vAlign w:val="bottom"/>
          </w:tcPr>
          <w:p>
            <w:pPr>
              <w:pStyle w:val="33"/>
              <w:rPr>
                <w:rFonts w:cs="宋体"/>
                <w:color w:val="auto"/>
              </w:rPr>
            </w:pPr>
            <w:r>
              <w:rPr>
                <w:rFonts w:hint="eastAsia" w:cs="宋体"/>
                <w:color w:val="auto"/>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差值</w:t>
            </w:r>
          </w:p>
        </w:tc>
        <w:tc>
          <w:tcPr>
            <w:tcW w:w="1128" w:type="pct"/>
            <w:shd w:val="clear" w:color="auto" w:fill="auto"/>
            <w:vAlign w:val="bottom"/>
          </w:tcPr>
          <w:p>
            <w:pPr>
              <w:pStyle w:val="33"/>
              <w:rPr>
                <w:rFonts w:cs="宋体"/>
                <w:color w:val="auto"/>
              </w:rPr>
            </w:pPr>
            <w:r>
              <w:rPr>
                <w:rFonts w:hint="eastAsia" w:cs="宋体"/>
                <w:color w:val="auto"/>
              </w:rPr>
              <w:t>184</w:t>
            </w:r>
          </w:p>
        </w:tc>
        <w:tc>
          <w:tcPr>
            <w:tcW w:w="1128" w:type="pct"/>
            <w:shd w:val="clear" w:color="auto" w:fill="auto"/>
            <w:vAlign w:val="bottom"/>
          </w:tcPr>
          <w:p>
            <w:pPr>
              <w:pStyle w:val="33"/>
              <w:rPr>
                <w:rFonts w:cs="宋体"/>
                <w:color w:val="auto"/>
              </w:rPr>
            </w:pPr>
            <w:r>
              <w:rPr>
                <w:rFonts w:hint="eastAsia" w:cs="宋体"/>
                <w:color w:val="auto"/>
              </w:rPr>
              <w:t>103</w:t>
            </w:r>
          </w:p>
        </w:tc>
        <w:tc>
          <w:tcPr>
            <w:tcW w:w="1002" w:type="pct"/>
            <w:shd w:val="clear" w:color="auto" w:fill="auto"/>
            <w:vAlign w:val="bottom"/>
          </w:tcPr>
          <w:p>
            <w:pPr>
              <w:pStyle w:val="33"/>
              <w:rPr>
                <w:rFonts w:cs="宋体"/>
                <w:color w:val="auto"/>
              </w:rPr>
            </w:pPr>
            <w:r>
              <w:rPr>
                <w:rFonts w:hint="eastAsia" w:cs="宋体"/>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平均增长率</w:t>
            </w:r>
          </w:p>
        </w:tc>
        <w:tc>
          <w:tcPr>
            <w:tcW w:w="1128" w:type="pct"/>
            <w:shd w:val="clear" w:color="auto" w:fill="auto"/>
            <w:vAlign w:val="bottom"/>
          </w:tcPr>
          <w:p>
            <w:pPr>
              <w:pStyle w:val="33"/>
              <w:rPr>
                <w:rFonts w:cs="宋体"/>
                <w:color w:val="auto"/>
              </w:rPr>
            </w:pPr>
            <w:r>
              <w:rPr>
                <w:rFonts w:hint="eastAsia" w:cs="宋体"/>
                <w:color w:val="auto"/>
              </w:rPr>
              <w:t>7.74%</w:t>
            </w:r>
          </w:p>
        </w:tc>
        <w:tc>
          <w:tcPr>
            <w:tcW w:w="1128" w:type="pct"/>
            <w:shd w:val="clear" w:color="auto" w:fill="auto"/>
            <w:vAlign w:val="bottom"/>
          </w:tcPr>
          <w:p>
            <w:pPr>
              <w:pStyle w:val="33"/>
              <w:rPr>
                <w:rFonts w:cs="宋体"/>
                <w:color w:val="auto"/>
              </w:rPr>
            </w:pPr>
            <w:r>
              <w:rPr>
                <w:rFonts w:hint="eastAsia" w:cs="宋体"/>
                <w:color w:val="auto"/>
              </w:rPr>
              <w:t>5.10%</w:t>
            </w:r>
          </w:p>
        </w:tc>
        <w:tc>
          <w:tcPr>
            <w:tcW w:w="1002" w:type="pct"/>
            <w:shd w:val="clear" w:color="auto" w:fill="auto"/>
            <w:vAlign w:val="bottom"/>
          </w:tcPr>
          <w:p>
            <w:pPr>
              <w:pStyle w:val="33"/>
              <w:rPr>
                <w:rFonts w:cs="宋体"/>
                <w:color w:val="auto"/>
              </w:rPr>
            </w:pPr>
            <w:r>
              <w:rPr>
                <w:rFonts w:hint="eastAsia" w:cs="宋体"/>
                <w:color w:val="auto"/>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restart"/>
            <w:vAlign w:val="center"/>
          </w:tcPr>
          <w:p>
            <w:pPr>
              <w:jc w:val="center"/>
              <w:rPr>
                <w:rFonts w:ascii="宋体" w:hAnsi="宋体" w:cs="宋体"/>
                <w:color w:val="auto"/>
                <w:szCs w:val="21"/>
              </w:rPr>
            </w:pPr>
            <w:r>
              <w:rPr>
                <w:rFonts w:hint="eastAsia" w:ascii="宋体" w:hAnsi="宋体" w:cs="宋体"/>
                <w:color w:val="auto"/>
                <w:szCs w:val="21"/>
              </w:rPr>
              <w:t>Ⅲ级</w:t>
            </w:r>
          </w:p>
        </w:tc>
        <w:tc>
          <w:tcPr>
            <w:tcW w:w="1064" w:type="pct"/>
            <w:shd w:val="clear" w:color="auto" w:fill="auto"/>
            <w:vAlign w:val="bottom"/>
          </w:tcPr>
          <w:p>
            <w:pPr>
              <w:pStyle w:val="33"/>
              <w:rPr>
                <w:rFonts w:cs="宋体"/>
                <w:color w:val="auto"/>
              </w:rPr>
            </w:pPr>
            <w:r>
              <w:rPr>
                <w:rFonts w:hint="eastAsia" w:cs="宋体"/>
                <w:color w:val="auto"/>
              </w:rPr>
              <w:t>2016</w:t>
            </w:r>
          </w:p>
        </w:tc>
        <w:tc>
          <w:tcPr>
            <w:tcW w:w="1128" w:type="pct"/>
            <w:shd w:val="clear" w:color="auto" w:fill="auto"/>
            <w:vAlign w:val="bottom"/>
          </w:tcPr>
          <w:p>
            <w:pPr>
              <w:pStyle w:val="33"/>
              <w:rPr>
                <w:rFonts w:cs="宋体"/>
                <w:color w:val="auto"/>
              </w:rPr>
            </w:pPr>
            <w:r>
              <w:rPr>
                <w:rFonts w:hint="eastAsia" w:cs="宋体"/>
                <w:color w:val="auto"/>
              </w:rPr>
              <w:t>305</w:t>
            </w:r>
          </w:p>
        </w:tc>
        <w:tc>
          <w:tcPr>
            <w:tcW w:w="1128" w:type="pct"/>
            <w:shd w:val="clear" w:color="auto" w:fill="auto"/>
            <w:vAlign w:val="bottom"/>
          </w:tcPr>
          <w:p>
            <w:pPr>
              <w:pStyle w:val="33"/>
              <w:rPr>
                <w:rFonts w:cs="宋体"/>
                <w:color w:val="auto"/>
              </w:rPr>
            </w:pPr>
            <w:r>
              <w:rPr>
                <w:rFonts w:hint="eastAsia" w:cs="宋体"/>
                <w:color w:val="auto"/>
              </w:rPr>
              <w:t>239</w:t>
            </w:r>
          </w:p>
        </w:tc>
        <w:tc>
          <w:tcPr>
            <w:tcW w:w="1002" w:type="pct"/>
            <w:shd w:val="clear" w:color="auto" w:fill="auto"/>
            <w:vAlign w:val="bottom"/>
          </w:tcPr>
          <w:p>
            <w:pPr>
              <w:pStyle w:val="33"/>
              <w:rPr>
                <w:rFonts w:cs="宋体"/>
                <w:color w:val="auto"/>
              </w:rPr>
            </w:pPr>
            <w:r>
              <w:rPr>
                <w:rFonts w:hint="eastAsia" w:cs="宋体"/>
                <w:color w:val="auto"/>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2010</w:t>
            </w:r>
          </w:p>
        </w:tc>
        <w:tc>
          <w:tcPr>
            <w:tcW w:w="1128" w:type="pct"/>
            <w:shd w:val="clear" w:color="auto" w:fill="auto"/>
            <w:vAlign w:val="bottom"/>
          </w:tcPr>
          <w:p>
            <w:pPr>
              <w:pStyle w:val="33"/>
              <w:rPr>
                <w:rFonts w:cs="宋体"/>
                <w:color w:val="auto"/>
              </w:rPr>
            </w:pPr>
            <w:r>
              <w:rPr>
                <w:rFonts w:hint="eastAsia" w:cs="宋体"/>
                <w:color w:val="auto"/>
              </w:rPr>
              <w:t>209</w:t>
            </w:r>
          </w:p>
        </w:tc>
        <w:tc>
          <w:tcPr>
            <w:tcW w:w="1128" w:type="pct"/>
            <w:shd w:val="clear" w:color="auto" w:fill="auto"/>
            <w:vAlign w:val="bottom"/>
          </w:tcPr>
          <w:p>
            <w:pPr>
              <w:pStyle w:val="33"/>
              <w:rPr>
                <w:rFonts w:cs="宋体"/>
                <w:color w:val="auto"/>
              </w:rPr>
            </w:pPr>
            <w:r>
              <w:rPr>
                <w:rFonts w:hint="eastAsia" w:cs="宋体"/>
                <w:color w:val="auto"/>
              </w:rPr>
              <w:t>199</w:t>
            </w:r>
          </w:p>
        </w:tc>
        <w:tc>
          <w:tcPr>
            <w:tcW w:w="1002" w:type="pct"/>
            <w:shd w:val="clear" w:color="auto" w:fill="auto"/>
            <w:vAlign w:val="bottom"/>
          </w:tcPr>
          <w:p>
            <w:pPr>
              <w:pStyle w:val="33"/>
              <w:rPr>
                <w:rFonts w:cs="宋体"/>
                <w:color w:val="auto"/>
              </w:rPr>
            </w:pPr>
            <w:r>
              <w:rPr>
                <w:rFonts w:hint="eastAsia" w:cs="宋体"/>
                <w:color w:val="auto"/>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差值</w:t>
            </w:r>
          </w:p>
        </w:tc>
        <w:tc>
          <w:tcPr>
            <w:tcW w:w="1128" w:type="pct"/>
            <w:shd w:val="clear" w:color="auto" w:fill="auto"/>
            <w:vAlign w:val="bottom"/>
          </w:tcPr>
          <w:p>
            <w:pPr>
              <w:pStyle w:val="33"/>
              <w:rPr>
                <w:rFonts w:cs="宋体"/>
                <w:color w:val="auto"/>
              </w:rPr>
            </w:pPr>
            <w:r>
              <w:rPr>
                <w:rFonts w:hint="eastAsia" w:cs="宋体"/>
                <w:color w:val="auto"/>
              </w:rPr>
              <w:t>96</w:t>
            </w:r>
          </w:p>
        </w:tc>
        <w:tc>
          <w:tcPr>
            <w:tcW w:w="1128" w:type="pct"/>
            <w:shd w:val="clear" w:color="auto" w:fill="auto"/>
            <w:vAlign w:val="bottom"/>
          </w:tcPr>
          <w:p>
            <w:pPr>
              <w:pStyle w:val="33"/>
              <w:rPr>
                <w:rFonts w:cs="宋体"/>
                <w:color w:val="auto"/>
              </w:rPr>
            </w:pPr>
            <w:r>
              <w:rPr>
                <w:rFonts w:hint="eastAsia" w:cs="宋体"/>
                <w:color w:val="auto"/>
              </w:rPr>
              <w:t>40</w:t>
            </w:r>
          </w:p>
        </w:tc>
        <w:tc>
          <w:tcPr>
            <w:tcW w:w="1002" w:type="pct"/>
            <w:shd w:val="clear" w:color="auto" w:fill="auto"/>
            <w:vAlign w:val="bottom"/>
          </w:tcPr>
          <w:p>
            <w:pPr>
              <w:pStyle w:val="33"/>
              <w:rPr>
                <w:rFonts w:cs="宋体"/>
                <w:color w:val="auto"/>
              </w:rPr>
            </w:pPr>
            <w:r>
              <w:rPr>
                <w:rFonts w:hint="eastAsia" w:cs="宋体"/>
                <w:color w:val="auto"/>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6"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平均增长率</w:t>
            </w:r>
          </w:p>
        </w:tc>
        <w:tc>
          <w:tcPr>
            <w:tcW w:w="1128" w:type="pct"/>
            <w:shd w:val="clear" w:color="auto" w:fill="auto"/>
            <w:vAlign w:val="bottom"/>
          </w:tcPr>
          <w:p>
            <w:pPr>
              <w:pStyle w:val="33"/>
              <w:rPr>
                <w:rFonts w:cs="宋体"/>
                <w:color w:val="auto"/>
              </w:rPr>
            </w:pPr>
            <w:r>
              <w:rPr>
                <w:rFonts w:hint="eastAsia" w:cs="宋体"/>
                <w:color w:val="auto"/>
              </w:rPr>
              <w:t>6.50%</w:t>
            </w:r>
          </w:p>
        </w:tc>
        <w:tc>
          <w:tcPr>
            <w:tcW w:w="1128" w:type="pct"/>
            <w:shd w:val="clear" w:color="auto" w:fill="auto"/>
            <w:vAlign w:val="bottom"/>
          </w:tcPr>
          <w:p>
            <w:pPr>
              <w:pStyle w:val="33"/>
              <w:rPr>
                <w:rFonts w:cs="宋体"/>
                <w:color w:val="auto"/>
              </w:rPr>
            </w:pPr>
            <w:r>
              <w:rPr>
                <w:rFonts w:hint="eastAsia" w:cs="宋体"/>
                <w:color w:val="auto"/>
              </w:rPr>
              <w:t>3.10%</w:t>
            </w:r>
          </w:p>
        </w:tc>
        <w:tc>
          <w:tcPr>
            <w:tcW w:w="1002" w:type="pct"/>
            <w:shd w:val="clear" w:color="auto" w:fill="auto"/>
            <w:vAlign w:val="bottom"/>
          </w:tcPr>
          <w:p>
            <w:pPr>
              <w:pStyle w:val="33"/>
              <w:rPr>
                <w:rFonts w:cs="宋体"/>
                <w:color w:val="auto"/>
              </w:rPr>
            </w:pPr>
            <w:r>
              <w:rPr>
                <w:rFonts w:hint="eastAsia" w:cs="宋体"/>
                <w:color w:val="auto"/>
              </w:rPr>
              <w:t>2.76%</w:t>
            </w:r>
          </w:p>
        </w:tc>
      </w:tr>
    </w:tbl>
    <w:p>
      <w:pPr>
        <w:spacing w:line="560" w:lineRule="exact"/>
        <w:ind w:firstLine="560" w:firstLineChars="200"/>
        <w:jc w:val="left"/>
        <w:rPr>
          <w:rFonts w:ascii="宋体" w:hAnsi="宋体" w:cs="宋体"/>
          <w:color w:val="auto"/>
          <w:sz w:val="28"/>
          <w:szCs w:val="28"/>
        </w:rPr>
      </w:pPr>
      <w:r>
        <w:rPr>
          <w:rFonts w:hint="eastAsia" w:ascii="宋体" w:hAnsi="宋体" w:cs="宋体"/>
          <w:color w:val="auto"/>
          <w:sz w:val="28"/>
          <w:szCs w:val="28"/>
        </w:rPr>
        <w:t>估价对象位于基准地价Ⅰ级城镇住宅用地区域，</w:t>
      </w:r>
      <w:r>
        <w:rPr>
          <w:rFonts w:hint="eastAsia" w:ascii="宋体" w:hAnsi="宋体" w:cs="宋体"/>
          <w:bCs/>
          <w:color w:val="auto"/>
          <w:sz w:val="28"/>
          <w:szCs w:val="28"/>
        </w:rPr>
        <w:t>结合估价对象</w:t>
      </w:r>
      <w:r>
        <w:rPr>
          <w:rFonts w:hint="eastAsia" w:ascii="宋体" w:hAnsi="宋体" w:cs="宋体"/>
          <w:bCs/>
          <w:color w:val="auto"/>
          <w:sz w:val="28"/>
        </w:rPr>
        <w:t>及市场交易实际情况的价格水平进行分析测算，认为该增长幅度较为符合客观实际情况，故以此编制平远镇集镇住宅用地地价指数。</w:t>
      </w:r>
      <w:r>
        <w:rPr>
          <w:rFonts w:hint="eastAsia" w:ascii="宋体" w:hAnsi="宋体" w:cs="宋体"/>
          <w:color w:val="auto"/>
          <w:sz w:val="28"/>
          <w:szCs w:val="28"/>
        </w:rPr>
        <w:t>以2016年1月为基期，编制平远镇集镇住宅用地地价指数表，交易时间修正系数按地价指数表计，平远镇集镇住宅用地地价指数（定基指数）见下表：</w:t>
      </w:r>
    </w:p>
    <w:p>
      <w:pPr>
        <w:spacing w:line="560" w:lineRule="exact"/>
        <w:ind w:firstLine="562" w:firstLineChars="200"/>
        <w:contextualSpacing/>
        <w:jc w:val="center"/>
        <w:rPr>
          <w:rFonts w:ascii="宋体" w:hAnsi="宋体" w:cs="宋体"/>
          <w:b/>
          <w:color w:val="auto"/>
          <w:sz w:val="28"/>
          <w:szCs w:val="28"/>
        </w:rPr>
      </w:pPr>
      <w:r>
        <w:rPr>
          <w:rFonts w:hint="eastAsia" w:ascii="宋体" w:hAnsi="宋体" w:cs="宋体"/>
          <w:b/>
          <w:color w:val="auto"/>
          <w:sz w:val="28"/>
          <w:szCs w:val="28"/>
        </w:rPr>
        <w:t>平远镇集镇住宅用地地价指数表</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1414"/>
        <w:gridCol w:w="1415"/>
        <w:gridCol w:w="1415"/>
        <w:gridCol w:w="1415"/>
        <w:gridCol w:w="1415"/>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56" w:type="dxa"/>
            <w:vAlign w:val="center"/>
          </w:tcPr>
          <w:p>
            <w:pPr>
              <w:jc w:val="center"/>
              <w:rPr>
                <w:rFonts w:ascii="宋体" w:hAnsi="宋体" w:cs="宋体"/>
                <w:color w:val="auto"/>
                <w:sz w:val="18"/>
                <w:szCs w:val="18"/>
              </w:rPr>
            </w:pPr>
            <w:r>
              <w:rPr>
                <w:rFonts w:hint="eastAsia" w:ascii="宋体" w:hAnsi="宋体" w:cs="宋体"/>
                <w:color w:val="auto"/>
                <w:sz w:val="18"/>
                <w:szCs w:val="18"/>
              </w:rPr>
              <w:t>年度</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2016年1月</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2017年1月</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2018年1月</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2019年1月</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2020年1月</w:t>
            </w:r>
          </w:p>
        </w:tc>
        <w:tc>
          <w:tcPr>
            <w:tcW w:w="1420" w:type="dxa"/>
            <w:vAlign w:val="center"/>
          </w:tcPr>
          <w:p>
            <w:pPr>
              <w:jc w:val="center"/>
              <w:rPr>
                <w:rFonts w:ascii="宋体" w:hAnsi="宋体" w:cs="宋体"/>
                <w:color w:val="auto"/>
                <w:sz w:val="18"/>
                <w:szCs w:val="18"/>
              </w:rPr>
            </w:pPr>
            <w:r>
              <w:rPr>
                <w:rFonts w:hint="eastAsia" w:ascii="宋体" w:hAnsi="宋体" w:cs="宋体"/>
                <w:color w:val="auto"/>
                <w:sz w:val="18"/>
                <w:szCs w:val="18"/>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56" w:type="dxa"/>
            <w:vAlign w:val="center"/>
          </w:tcPr>
          <w:p>
            <w:pPr>
              <w:jc w:val="center"/>
              <w:rPr>
                <w:rFonts w:ascii="宋体" w:hAnsi="宋体" w:cs="宋体"/>
                <w:color w:val="auto"/>
                <w:sz w:val="18"/>
                <w:szCs w:val="18"/>
              </w:rPr>
            </w:pPr>
            <w:r>
              <w:rPr>
                <w:rFonts w:hint="eastAsia" w:ascii="宋体" w:hAnsi="宋体" w:cs="宋体"/>
                <w:color w:val="auto"/>
                <w:sz w:val="18"/>
                <w:szCs w:val="18"/>
              </w:rPr>
              <w:t>地价指数</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100</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104.16</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108.32</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112.48</w:t>
            </w:r>
          </w:p>
        </w:tc>
        <w:tc>
          <w:tcPr>
            <w:tcW w:w="1415" w:type="dxa"/>
            <w:vAlign w:val="center"/>
          </w:tcPr>
          <w:p>
            <w:pPr>
              <w:jc w:val="center"/>
              <w:rPr>
                <w:rFonts w:ascii="宋体" w:hAnsi="宋体" w:cs="宋体"/>
                <w:color w:val="auto"/>
                <w:sz w:val="18"/>
                <w:szCs w:val="18"/>
              </w:rPr>
            </w:pPr>
            <w:r>
              <w:rPr>
                <w:rFonts w:hint="eastAsia" w:ascii="宋体" w:hAnsi="宋体" w:cs="宋体"/>
                <w:color w:val="auto"/>
                <w:sz w:val="18"/>
                <w:szCs w:val="18"/>
              </w:rPr>
              <w:t>116.64</w:t>
            </w:r>
          </w:p>
        </w:tc>
        <w:tc>
          <w:tcPr>
            <w:tcW w:w="1420" w:type="dxa"/>
            <w:vAlign w:val="center"/>
          </w:tcPr>
          <w:p>
            <w:pPr>
              <w:jc w:val="center"/>
              <w:rPr>
                <w:rFonts w:ascii="宋体" w:hAnsi="宋体" w:cs="宋体"/>
                <w:color w:val="auto"/>
                <w:sz w:val="18"/>
                <w:szCs w:val="18"/>
              </w:rPr>
            </w:pPr>
            <w:r>
              <w:rPr>
                <w:rFonts w:hint="eastAsia" w:ascii="宋体" w:hAnsi="宋体" w:cs="宋体"/>
                <w:color w:val="auto"/>
                <w:sz w:val="18"/>
                <w:szCs w:val="18"/>
              </w:rPr>
              <w:t>117.34</w:t>
            </w:r>
          </w:p>
        </w:tc>
      </w:tr>
    </w:tbl>
    <w:p>
      <w:pPr>
        <w:spacing w:line="560" w:lineRule="exact"/>
        <w:ind w:firstLine="565" w:firstLineChars="205"/>
        <w:rPr>
          <w:rFonts w:ascii="宋体" w:hAnsi="宋体" w:cs="宋体"/>
          <w:color w:val="auto"/>
          <w:sz w:val="28"/>
          <w:szCs w:val="28"/>
        </w:rPr>
      </w:pPr>
      <w:r>
        <w:rPr>
          <w:rFonts w:hint="eastAsia" w:ascii="宋体" w:hAnsi="宋体" w:cs="宋体"/>
          <w:color w:val="auto"/>
          <w:spacing w:val="-2"/>
          <w:sz w:val="28"/>
          <w:szCs w:val="28"/>
        </w:rPr>
        <w:t>期日修正系数</w:t>
      </w:r>
      <w:r>
        <w:rPr>
          <w:rFonts w:hint="eastAsia" w:ascii="宋体" w:hAnsi="宋体" w:cs="宋体"/>
          <w:color w:val="auto"/>
          <w:sz w:val="28"/>
          <w:szCs w:val="28"/>
        </w:rPr>
        <w:t>（K</w:t>
      </w:r>
      <w:r>
        <w:rPr>
          <w:rFonts w:hint="eastAsia" w:ascii="宋体" w:hAnsi="宋体" w:cs="宋体"/>
          <w:color w:val="auto"/>
          <w:sz w:val="28"/>
          <w:szCs w:val="28"/>
          <w:vertAlign w:val="subscript"/>
        </w:rPr>
        <w:t>j1</w:t>
      </w:r>
      <w:r>
        <w:rPr>
          <w:rFonts w:hint="eastAsia" w:ascii="宋体" w:hAnsi="宋体" w:cs="宋体"/>
          <w:color w:val="auto"/>
          <w:sz w:val="28"/>
          <w:szCs w:val="28"/>
        </w:rPr>
        <w:t>）</w:t>
      </w:r>
      <w:r>
        <w:rPr>
          <w:rFonts w:hint="eastAsia" w:ascii="宋体" w:hAnsi="宋体" w:cs="宋体"/>
          <w:color w:val="auto"/>
          <w:spacing w:val="-2"/>
          <w:sz w:val="28"/>
          <w:szCs w:val="28"/>
        </w:rPr>
        <w:t>＝估价对象估价期日地价指数/基准地价估价期日地价指数</w:t>
      </w:r>
      <w:r>
        <w:rPr>
          <w:rFonts w:hint="eastAsia" w:ascii="宋体" w:hAnsi="宋体" w:cs="宋体"/>
          <w:color w:val="auto"/>
          <w:sz w:val="28"/>
          <w:szCs w:val="28"/>
        </w:rPr>
        <w:t>＝117.34/100＝1.1734。</w:t>
      </w:r>
    </w:p>
    <w:p>
      <w:pPr>
        <w:spacing w:line="560" w:lineRule="exact"/>
        <w:ind w:firstLine="574" w:firstLineChars="205"/>
        <w:rPr>
          <w:rFonts w:ascii="宋体" w:hAnsi="宋体" w:cs="宋体"/>
          <w:color w:val="auto"/>
          <w:kern w:val="0"/>
          <w:sz w:val="28"/>
          <w:szCs w:val="28"/>
          <w:lang w:val="en-GB"/>
        </w:rPr>
      </w:pPr>
      <w:r>
        <w:rPr>
          <w:rFonts w:hint="eastAsia" w:ascii="宋体" w:hAnsi="宋体" w:cs="宋体"/>
          <w:color w:val="auto"/>
          <w:sz w:val="28"/>
        </w:rPr>
        <w:t>②</w:t>
      </w:r>
      <w:r>
        <w:rPr>
          <w:rFonts w:hint="eastAsia" w:ascii="宋体" w:hAnsi="宋体" w:cs="宋体"/>
          <w:color w:val="auto"/>
          <w:kern w:val="0"/>
          <w:sz w:val="28"/>
          <w:szCs w:val="28"/>
          <w:lang w:val="en-GB"/>
        </w:rPr>
        <w:t>容积率修正系数的确定（</w:t>
      </w:r>
      <w:r>
        <w:rPr>
          <w:rFonts w:hint="eastAsia" w:ascii="宋体" w:hAnsi="宋体" w:cs="宋体"/>
          <w:color w:val="auto"/>
          <w:sz w:val="28"/>
          <w:szCs w:val="28"/>
        </w:rPr>
        <w:t>K</w:t>
      </w:r>
      <w:r>
        <w:rPr>
          <w:rFonts w:hint="eastAsia" w:ascii="宋体" w:hAnsi="宋体" w:cs="宋体"/>
          <w:color w:val="auto"/>
          <w:sz w:val="28"/>
          <w:szCs w:val="28"/>
          <w:vertAlign w:val="subscript"/>
        </w:rPr>
        <w:t>j2</w:t>
      </w:r>
      <w:r>
        <w:rPr>
          <w:rFonts w:hint="eastAsia" w:ascii="宋体" w:hAnsi="宋体" w:cs="宋体"/>
          <w:color w:val="auto"/>
          <w:kern w:val="0"/>
          <w:sz w:val="28"/>
          <w:szCs w:val="28"/>
          <w:lang w:val="en-GB"/>
        </w:rPr>
        <w:t>）</w:t>
      </w:r>
    </w:p>
    <w:p>
      <w:pPr>
        <w:spacing w:line="560" w:lineRule="exact"/>
        <w:ind w:firstLine="526" w:firstLineChars="188"/>
        <w:rPr>
          <w:rFonts w:ascii="宋体" w:hAnsi="宋体" w:cs="宋体"/>
          <w:color w:val="auto"/>
          <w:kern w:val="0"/>
          <w:sz w:val="28"/>
          <w:szCs w:val="28"/>
          <w:lang w:val="en-GB"/>
        </w:rPr>
      </w:pPr>
      <w:r>
        <w:rPr>
          <w:rFonts w:hint="eastAsia" w:ascii="宋体" w:hAnsi="宋体"/>
          <w:color w:val="auto"/>
          <w:sz w:val="28"/>
          <w:szCs w:val="28"/>
        </w:rPr>
        <w:t>估价所需的《宗地用地规划设计条件》等资料，注册房地产估价师虽然进行了尽职调查，但仍难以取得，故</w:t>
      </w:r>
      <w:r>
        <w:rPr>
          <w:rFonts w:hint="eastAsia" w:ascii="宋体" w:hAnsi="宋体" w:cs="宋体"/>
          <w:color w:val="auto"/>
          <w:sz w:val="28"/>
          <w:szCs w:val="28"/>
        </w:rPr>
        <w:t>本次评估根据《砚山县平远镇城镇总体规划修编》确定的规划平均容积率，住宅用地平均容积率为1.2确定估价对象容积率。</w:t>
      </w:r>
      <w:r>
        <w:rPr>
          <w:rFonts w:hint="eastAsia" w:ascii="宋体" w:hAnsi="宋体" w:cs="宋体"/>
          <w:color w:val="auto"/>
          <w:kern w:val="0"/>
          <w:sz w:val="28"/>
          <w:szCs w:val="28"/>
          <w:lang w:val="en-GB"/>
        </w:rPr>
        <w:t>根据</w:t>
      </w:r>
      <w:r>
        <w:rPr>
          <w:rFonts w:hint="eastAsia" w:ascii="宋体" w:hAnsi="宋体" w:cs="宋体"/>
          <w:color w:val="auto"/>
          <w:sz w:val="28"/>
          <w:szCs w:val="28"/>
        </w:rPr>
        <w:t>砚山县人民政府于2017年2月4日公布实施的基准地价更新成果技术报告中《平远镇集镇规划区住宅用地容积率修正系数表》（见下表）查表得出（K</w:t>
      </w:r>
      <w:r>
        <w:rPr>
          <w:rFonts w:hint="eastAsia" w:ascii="宋体" w:hAnsi="宋体" w:cs="宋体"/>
          <w:color w:val="auto"/>
          <w:sz w:val="28"/>
          <w:szCs w:val="28"/>
          <w:vertAlign w:val="subscript"/>
        </w:rPr>
        <w:t>j2</w:t>
      </w:r>
      <w:r>
        <w:rPr>
          <w:rFonts w:hint="eastAsia" w:ascii="宋体" w:hAnsi="宋体" w:cs="宋体"/>
          <w:color w:val="auto"/>
          <w:sz w:val="28"/>
          <w:szCs w:val="28"/>
        </w:rPr>
        <w:t>）为1.0</w:t>
      </w:r>
      <w:r>
        <w:rPr>
          <w:rFonts w:hint="eastAsia" w:ascii="宋体" w:hAnsi="宋体" w:cs="宋体"/>
          <w:color w:val="auto"/>
          <w:kern w:val="0"/>
          <w:sz w:val="28"/>
          <w:szCs w:val="28"/>
          <w:lang w:val="en-GB"/>
        </w:rPr>
        <w:t>。</w:t>
      </w:r>
    </w:p>
    <w:p>
      <w:pPr>
        <w:pStyle w:val="16"/>
        <w:spacing w:before="120" w:after="120" w:line="240" w:lineRule="auto"/>
        <w:rPr>
          <w:rFonts w:eastAsia="宋体" w:cs="宋体"/>
          <w:color w:val="auto"/>
          <w:szCs w:val="24"/>
        </w:rPr>
      </w:pPr>
      <w:r>
        <w:rPr>
          <w:rFonts w:hint="eastAsia" w:eastAsia="宋体" w:cs="宋体"/>
          <w:b/>
          <w:color w:val="auto"/>
          <w:szCs w:val="24"/>
        </w:rPr>
        <w:t>平远镇集镇规划区住宅用地容积率修正系数表</w:t>
      </w:r>
    </w:p>
    <w:tbl>
      <w:tblPr>
        <w:tblStyle w:val="20"/>
        <w:tblW w:w="4947" w:type="pct"/>
        <w:tblInd w:w="0" w:type="dxa"/>
        <w:tblLayout w:type="autofit"/>
        <w:tblCellMar>
          <w:top w:w="0" w:type="dxa"/>
          <w:left w:w="108" w:type="dxa"/>
          <w:bottom w:w="0" w:type="dxa"/>
          <w:right w:w="108" w:type="dxa"/>
        </w:tblCellMar>
      </w:tblPr>
      <w:tblGrid>
        <w:gridCol w:w="1149"/>
        <w:gridCol w:w="1172"/>
        <w:gridCol w:w="1172"/>
        <w:gridCol w:w="1172"/>
        <w:gridCol w:w="1172"/>
        <w:gridCol w:w="1172"/>
        <w:gridCol w:w="1172"/>
        <w:gridCol w:w="1176"/>
      </w:tblGrid>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容积率</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0.8</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0.9</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1.0</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1.1</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1.2</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1.3</w:t>
            </w:r>
          </w:p>
        </w:tc>
        <w:tc>
          <w:tcPr>
            <w:tcW w:w="628"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1.4</w:t>
            </w: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修正系数</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0.96</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0.97</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0.98</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0.99</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1.0</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1.01</w:t>
            </w:r>
          </w:p>
        </w:tc>
        <w:tc>
          <w:tcPr>
            <w:tcW w:w="628"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1.02</w:t>
            </w: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容积率</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1.5</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1.6</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1.7</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1.8</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1.9</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2.0</w:t>
            </w:r>
          </w:p>
        </w:tc>
        <w:tc>
          <w:tcPr>
            <w:tcW w:w="628"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2.1</w:t>
            </w: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修正系数</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1.03</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1.04</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1.05</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1.06</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1.07</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1.08</w:t>
            </w:r>
          </w:p>
        </w:tc>
        <w:tc>
          <w:tcPr>
            <w:tcW w:w="628"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Cs w:val="21"/>
              </w:rPr>
            </w:pPr>
            <w:r>
              <w:rPr>
                <w:rFonts w:hint="eastAsia" w:cs="宋体"/>
                <w:color w:val="auto"/>
                <w:szCs w:val="21"/>
              </w:rPr>
              <w:t>1.10</w:t>
            </w: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容积率</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2.2</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2.3</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2.4</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2.5</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2.6</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2.7</w:t>
            </w:r>
          </w:p>
        </w:tc>
        <w:tc>
          <w:tcPr>
            <w:tcW w:w="628"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修正系数</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1.11</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1.13</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1.14</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1.15</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1.16</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r>
              <w:rPr>
                <w:rFonts w:hint="eastAsia" w:cs="宋体"/>
                <w:color w:val="auto"/>
                <w:szCs w:val="21"/>
              </w:rPr>
              <w:t>1.17</w:t>
            </w:r>
          </w:p>
        </w:tc>
        <w:tc>
          <w:tcPr>
            <w:tcW w:w="628"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szCs w:val="21"/>
              </w:rPr>
            </w:pPr>
          </w:p>
        </w:tc>
      </w:tr>
    </w:tbl>
    <w:p>
      <w:pPr>
        <w:spacing w:line="560" w:lineRule="exact"/>
        <w:ind w:firstLine="565" w:firstLineChars="195"/>
        <w:jc w:val="left"/>
        <w:rPr>
          <w:rFonts w:ascii="宋体" w:hAnsi="宋体" w:cs="宋体"/>
          <w:color w:val="auto"/>
          <w:kern w:val="0"/>
          <w:sz w:val="28"/>
          <w:szCs w:val="28"/>
          <w:lang w:val="en-GB"/>
        </w:rPr>
      </w:pPr>
      <w:r>
        <w:rPr>
          <w:rFonts w:hint="eastAsia" w:ascii="宋体" w:hAnsi="宋体" w:cs="宋体"/>
          <w:color w:val="auto"/>
          <w:spacing w:val="5"/>
          <w:sz w:val="28"/>
          <w:szCs w:val="28"/>
        </w:rPr>
        <w:t>③</w:t>
      </w:r>
      <w:r>
        <w:rPr>
          <w:rFonts w:hint="eastAsia" w:ascii="宋体" w:hAnsi="宋体" w:cs="宋体"/>
          <w:color w:val="auto"/>
          <w:kern w:val="0"/>
          <w:sz w:val="28"/>
          <w:szCs w:val="28"/>
          <w:lang w:val="en-GB"/>
        </w:rPr>
        <w:t>土地使用年期修正系数的确定（</w:t>
      </w:r>
      <w:r>
        <w:rPr>
          <w:rFonts w:hint="eastAsia" w:ascii="宋体" w:hAnsi="宋体" w:cs="宋体"/>
          <w:color w:val="auto"/>
          <w:sz w:val="28"/>
          <w:szCs w:val="28"/>
        </w:rPr>
        <w:t>K</w:t>
      </w:r>
      <w:r>
        <w:rPr>
          <w:rFonts w:hint="eastAsia" w:ascii="宋体" w:hAnsi="宋体" w:cs="宋体"/>
          <w:color w:val="auto"/>
          <w:sz w:val="28"/>
          <w:szCs w:val="28"/>
          <w:vertAlign w:val="subscript"/>
        </w:rPr>
        <w:t>j3</w:t>
      </w:r>
      <w:r>
        <w:rPr>
          <w:rFonts w:hint="eastAsia" w:ascii="宋体" w:hAnsi="宋体" w:cs="宋体"/>
          <w:color w:val="auto"/>
          <w:kern w:val="0"/>
          <w:sz w:val="28"/>
          <w:szCs w:val="28"/>
          <w:lang w:val="en-GB"/>
        </w:rPr>
        <w:t>）</w:t>
      </w:r>
    </w:p>
    <w:p>
      <w:pPr>
        <w:spacing w:line="560" w:lineRule="exact"/>
        <w:ind w:firstLine="546" w:firstLineChars="195"/>
        <w:rPr>
          <w:rFonts w:ascii="宋体" w:hAnsi="宋体" w:cs="宋体"/>
          <w:color w:val="auto"/>
          <w:sz w:val="28"/>
          <w:szCs w:val="28"/>
        </w:rPr>
      </w:pPr>
      <w:r>
        <w:rPr>
          <w:rFonts w:hint="eastAsia" w:ascii="宋体" w:hAnsi="宋体" w:cs="宋体"/>
          <w:color w:val="auto"/>
          <w:sz w:val="28"/>
          <w:szCs w:val="28"/>
        </w:rPr>
        <w:t>A．土地使用年期修正公式为：</w:t>
      </w:r>
    </w:p>
    <w:p>
      <w:pPr>
        <w:spacing w:line="560" w:lineRule="exact"/>
        <w:ind w:firstLine="504" w:firstLineChars="180"/>
        <w:jc w:val="center"/>
        <w:rPr>
          <w:rFonts w:ascii="宋体" w:hAnsi="宋体" w:cs="宋体"/>
          <w:color w:val="auto"/>
          <w:sz w:val="28"/>
          <w:szCs w:val="28"/>
        </w:rPr>
      </w:pPr>
      <w:r>
        <w:rPr>
          <w:rFonts w:hint="eastAsia" w:ascii="宋体" w:hAnsi="宋体" w:cs="宋体"/>
          <w:color w:val="auto"/>
          <w:sz w:val="28"/>
          <w:szCs w:val="28"/>
        </w:rPr>
        <w:t>K</w:t>
      </w:r>
      <w:r>
        <w:rPr>
          <w:rFonts w:hint="eastAsia" w:ascii="宋体" w:hAnsi="宋体" w:cs="宋体"/>
          <w:color w:val="auto"/>
          <w:sz w:val="28"/>
          <w:szCs w:val="28"/>
          <w:vertAlign w:val="subscript"/>
        </w:rPr>
        <w:t>j3</w:t>
      </w:r>
      <w:r>
        <w:rPr>
          <w:rFonts w:hint="eastAsia" w:ascii="宋体" w:hAnsi="宋体" w:cs="宋体"/>
          <w:color w:val="auto"/>
          <w:sz w:val="28"/>
          <w:szCs w:val="28"/>
        </w:rPr>
        <w:t>＝[1-1/(1+r)</w:t>
      </w:r>
      <w:r>
        <w:rPr>
          <w:rFonts w:hint="eastAsia" w:ascii="宋体" w:hAnsi="宋体" w:cs="宋体"/>
          <w:color w:val="auto"/>
          <w:sz w:val="28"/>
          <w:szCs w:val="28"/>
          <w:vertAlign w:val="superscript"/>
        </w:rPr>
        <w:t>n</w:t>
      </w:r>
      <w:r>
        <w:rPr>
          <w:rFonts w:hint="eastAsia" w:ascii="宋体" w:hAnsi="宋体" w:cs="宋体"/>
          <w:color w:val="auto"/>
          <w:sz w:val="28"/>
          <w:szCs w:val="28"/>
        </w:rPr>
        <w:t>]/[ 1-1/(1+r)</w:t>
      </w:r>
      <w:r>
        <w:rPr>
          <w:rFonts w:hint="eastAsia" w:ascii="宋体" w:hAnsi="宋体" w:cs="宋体"/>
          <w:color w:val="auto"/>
          <w:sz w:val="28"/>
          <w:szCs w:val="28"/>
          <w:vertAlign w:val="superscript"/>
        </w:rPr>
        <w:t>m</w:t>
      </w:r>
      <w:r>
        <w:rPr>
          <w:rFonts w:hint="eastAsia" w:ascii="宋体" w:hAnsi="宋体" w:cs="宋体"/>
          <w:color w:val="auto"/>
          <w:sz w:val="28"/>
          <w:szCs w:val="28"/>
        </w:rPr>
        <w:t>]</w:t>
      </w:r>
    </w:p>
    <w:p>
      <w:pPr>
        <w:spacing w:line="560" w:lineRule="exact"/>
        <w:rPr>
          <w:rFonts w:ascii="宋体" w:hAnsi="宋体" w:cs="宋体"/>
          <w:color w:val="auto"/>
          <w:sz w:val="28"/>
          <w:szCs w:val="28"/>
        </w:rPr>
      </w:pPr>
      <w:r>
        <w:rPr>
          <w:rFonts w:hint="eastAsia" w:ascii="宋体" w:hAnsi="宋体" w:cs="宋体"/>
          <w:color w:val="auto"/>
          <w:sz w:val="28"/>
          <w:szCs w:val="28"/>
        </w:rPr>
        <w:t xml:space="preserve">式中： </w:t>
      </w:r>
    </w:p>
    <w:p>
      <w:pPr>
        <w:spacing w:line="560" w:lineRule="exact"/>
        <w:ind w:firstLine="991" w:firstLineChars="354"/>
        <w:rPr>
          <w:rFonts w:ascii="宋体" w:hAnsi="宋体" w:cs="宋体"/>
          <w:color w:val="auto"/>
          <w:sz w:val="28"/>
          <w:szCs w:val="28"/>
        </w:rPr>
      </w:pPr>
      <w:r>
        <w:rPr>
          <w:rFonts w:hint="eastAsia" w:ascii="宋体" w:hAnsi="宋体" w:cs="宋体"/>
          <w:color w:val="auto"/>
          <w:sz w:val="28"/>
          <w:szCs w:val="28"/>
        </w:rPr>
        <w:t>K</w:t>
      </w:r>
      <w:r>
        <w:rPr>
          <w:rFonts w:hint="eastAsia" w:ascii="宋体" w:hAnsi="宋体" w:cs="宋体"/>
          <w:color w:val="auto"/>
          <w:sz w:val="28"/>
          <w:szCs w:val="28"/>
          <w:vertAlign w:val="subscript"/>
        </w:rPr>
        <w:t xml:space="preserve">j3      </w:t>
      </w:r>
      <w:r>
        <w:rPr>
          <w:rFonts w:hint="eastAsia" w:ascii="宋体" w:hAnsi="宋体" w:cs="宋体"/>
          <w:color w:val="auto"/>
          <w:sz w:val="28"/>
          <w:szCs w:val="28"/>
        </w:rPr>
        <w:t>——估价对象的土地使用年期修正系数</w:t>
      </w:r>
    </w:p>
    <w:p>
      <w:pPr>
        <w:spacing w:line="560" w:lineRule="exact"/>
        <w:ind w:firstLine="991" w:firstLineChars="354"/>
        <w:rPr>
          <w:rFonts w:ascii="宋体" w:hAnsi="宋体" w:cs="宋体"/>
          <w:color w:val="auto"/>
          <w:sz w:val="28"/>
          <w:szCs w:val="28"/>
        </w:rPr>
      </w:pPr>
      <w:r>
        <w:rPr>
          <w:rFonts w:hint="eastAsia" w:ascii="宋体" w:hAnsi="宋体" w:cs="宋体"/>
          <w:color w:val="auto"/>
          <w:sz w:val="28"/>
          <w:szCs w:val="28"/>
        </w:rPr>
        <w:t>r    ——土地还原率</w:t>
      </w:r>
    </w:p>
    <w:p>
      <w:pPr>
        <w:spacing w:line="560" w:lineRule="exact"/>
        <w:ind w:firstLine="991" w:firstLineChars="354"/>
        <w:rPr>
          <w:rFonts w:ascii="宋体" w:hAnsi="宋体" w:cs="宋体"/>
          <w:color w:val="auto"/>
          <w:sz w:val="28"/>
          <w:szCs w:val="28"/>
        </w:rPr>
      </w:pPr>
      <w:r>
        <w:rPr>
          <w:rFonts w:hint="eastAsia" w:ascii="宋体" w:hAnsi="宋体" w:cs="宋体"/>
          <w:color w:val="auto"/>
          <w:sz w:val="28"/>
          <w:szCs w:val="28"/>
        </w:rPr>
        <w:t>n    ——估价对象使用年限</w:t>
      </w:r>
    </w:p>
    <w:p>
      <w:pPr>
        <w:spacing w:line="560" w:lineRule="exact"/>
        <w:ind w:firstLine="991" w:firstLineChars="354"/>
        <w:rPr>
          <w:rFonts w:ascii="宋体" w:hAnsi="宋体" w:cs="宋体"/>
          <w:color w:val="auto"/>
          <w:sz w:val="28"/>
          <w:szCs w:val="28"/>
        </w:rPr>
      </w:pPr>
      <w:r>
        <w:rPr>
          <w:rFonts w:hint="eastAsia" w:ascii="宋体" w:hAnsi="宋体" w:cs="宋体"/>
          <w:color w:val="auto"/>
          <w:sz w:val="28"/>
          <w:szCs w:val="28"/>
        </w:rPr>
        <w:t>m    ——基准地价设定土地使用年期</w:t>
      </w:r>
    </w:p>
    <w:p>
      <w:pPr>
        <w:spacing w:line="560" w:lineRule="exact"/>
        <w:ind w:firstLine="504" w:firstLineChars="180"/>
        <w:rPr>
          <w:rFonts w:ascii="宋体" w:hAnsi="宋体" w:cs="宋体"/>
          <w:color w:val="auto"/>
          <w:sz w:val="28"/>
          <w:szCs w:val="28"/>
        </w:rPr>
      </w:pPr>
      <w:r>
        <w:rPr>
          <w:rFonts w:hint="eastAsia" w:ascii="宋体" w:hAnsi="宋体" w:cs="宋体"/>
          <w:color w:val="auto"/>
          <w:sz w:val="28"/>
          <w:szCs w:val="28"/>
        </w:rPr>
        <w:t>B．土地还原率的确定</w:t>
      </w:r>
    </w:p>
    <w:p>
      <w:pPr>
        <w:spacing w:line="560" w:lineRule="exact"/>
        <w:ind w:firstLine="504" w:firstLineChars="180"/>
        <w:rPr>
          <w:rFonts w:ascii="宋体" w:hAnsi="宋体" w:cs="宋体"/>
          <w:color w:val="auto"/>
          <w:sz w:val="28"/>
          <w:szCs w:val="28"/>
        </w:rPr>
      </w:pPr>
      <w:r>
        <w:rPr>
          <w:rFonts w:hint="eastAsia" w:ascii="宋体" w:hAnsi="宋体" w:cs="宋体"/>
          <w:color w:val="auto"/>
          <w:sz w:val="28"/>
          <w:szCs w:val="28"/>
        </w:rPr>
        <w:t>根据《城镇土地估价规程》（GB/T 18508-2014），选取估价期日中国人民银行公布的一年期定期存款年利率1.5%作为安全利率。风险调整值的确定综合考虑以下因素：估价对象所在地区土地平均收益状况、估价对象的地理位置、估价对象的用途等。根据估价人员对估价对象所在的区域土地市场的调查，以及综合分析该区域社会经济发展、土地市场状况及行业竞争、城市规划、用途变更等对土地投资的影响程度，确定风险调整值为5%～6.5%，由此求得土地还原率为6.5%～8%。</w:t>
      </w:r>
    </w:p>
    <w:p>
      <w:pPr>
        <w:spacing w:line="560" w:lineRule="exact"/>
        <w:ind w:firstLine="504" w:firstLineChars="180"/>
        <w:rPr>
          <w:rFonts w:ascii="宋体" w:hAnsi="宋体" w:cs="宋体"/>
          <w:color w:val="auto"/>
          <w:sz w:val="28"/>
          <w:szCs w:val="28"/>
        </w:rPr>
      </w:pPr>
      <w:r>
        <w:rPr>
          <w:rFonts w:hint="eastAsia" w:ascii="宋体" w:hAnsi="宋体" w:cs="宋体"/>
          <w:color w:val="auto"/>
          <w:sz w:val="28"/>
          <w:szCs w:val="28"/>
        </w:rPr>
        <w:t>经分析判断，城镇住宅用地具有一定增值潜力，可在安全利率加风险调整值法确定土地还原率基础上，靠近上限，据此确定本次土地估价的城镇住宅用地土地还原率为8%。</w:t>
      </w:r>
    </w:p>
    <w:p>
      <w:pPr>
        <w:spacing w:line="560" w:lineRule="exact"/>
        <w:ind w:firstLine="504" w:firstLineChars="180"/>
        <w:rPr>
          <w:rFonts w:ascii="宋体" w:hAnsi="宋体" w:cs="宋体"/>
          <w:color w:val="auto"/>
          <w:sz w:val="28"/>
          <w:szCs w:val="28"/>
        </w:rPr>
      </w:pPr>
      <w:r>
        <w:rPr>
          <w:rFonts w:hint="eastAsia" w:ascii="宋体" w:hAnsi="宋体" w:cs="宋体"/>
          <w:color w:val="auto"/>
          <w:sz w:val="28"/>
          <w:szCs w:val="28"/>
        </w:rPr>
        <w:t>C．本次评估估价对象土地使用剩余年限n为54.5年，基准地价内涵中对城镇住宅用地法定最高出让年限m按70年确定，土地还原率r为8%，则：</w:t>
      </w:r>
    </w:p>
    <w:p>
      <w:pPr>
        <w:spacing w:line="560" w:lineRule="exact"/>
        <w:ind w:firstLine="504" w:firstLineChars="180"/>
        <w:rPr>
          <w:rFonts w:ascii="宋体" w:hAnsi="宋体" w:cs="宋体"/>
          <w:color w:val="auto"/>
          <w:sz w:val="28"/>
          <w:szCs w:val="28"/>
        </w:rPr>
      </w:pPr>
      <w:r>
        <w:rPr>
          <w:rFonts w:hint="eastAsia" w:ascii="宋体" w:hAnsi="宋体" w:cs="宋体"/>
          <w:color w:val="auto"/>
          <w:sz w:val="28"/>
          <w:szCs w:val="28"/>
        </w:rPr>
        <w:t>K</w:t>
      </w:r>
      <w:r>
        <w:rPr>
          <w:rFonts w:hint="eastAsia" w:ascii="宋体" w:hAnsi="宋体" w:cs="宋体"/>
          <w:color w:val="auto"/>
          <w:sz w:val="28"/>
          <w:szCs w:val="28"/>
          <w:vertAlign w:val="subscript"/>
        </w:rPr>
        <w:t>j3</w:t>
      </w:r>
      <w:r>
        <w:rPr>
          <w:rFonts w:hint="eastAsia" w:ascii="宋体" w:hAnsi="宋体" w:cs="宋体"/>
          <w:color w:val="auto"/>
          <w:sz w:val="28"/>
          <w:szCs w:val="28"/>
        </w:rPr>
        <w:t>＝[1-1/(1+8%)</w:t>
      </w:r>
      <w:r>
        <w:rPr>
          <w:rFonts w:hint="eastAsia" w:ascii="宋体" w:hAnsi="宋体" w:cs="宋体"/>
          <w:color w:val="auto"/>
          <w:sz w:val="28"/>
          <w:szCs w:val="28"/>
          <w:vertAlign w:val="superscript"/>
        </w:rPr>
        <w:t>54.5</w:t>
      </w:r>
      <w:r>
        <w:rPr>
          <w:rFonts w:hint="eastAsia" w:ascii="宋体" w:hAnsi="宋体" w:cs="宋体"/>
          <w:color w:val="auto"/>
          <w:sz w:val="28"/>
          <w:szCs w:val="28"/>
        </w:rPr>
        <w:t>]/[ 1-1/(1+8%)</w:t>
      </w:r>
      <w:r>
        <w:rPr>
          <w:rFonts w:hint="eastAsia" w:ascii="宋体" w:hAnsi="宋体" w:cs="宋体"/>
          <w:color w:val="auto"/>
          <w:sz w:val="28"/>
          <w:szCs w:val="28"/>
          <w:vertAlign w:val="superscript"/>
        </w:rPr>
        <w:t>70</w:t>
      </w:r>
      <w:r>
        <w:rPr>
          <w:rFonts w:hint="eastAsia" w:ascii="宋体" w:hAnsi="宋体" w:cs="宋体"/>
          <w:color w:val="auto"/>
          <w:sz w:val="28"/>
          <w:szCs w:val="28"/>
        </w:rPr>
        <w:t>]＝0.9894</w:t>
      </w:r>
    </w:p>
    <w:p>
      <w:pPr>
        <w:spacing w:line="560" w:lineRule="exact"/>
        <w:ind w:firstLine="504" w:firstLineChars="180"/>
        <w:rPr>
          <w:rFonts w:ascii="宋体" w:hAnsi="宋体" w:cs="宋体"/>
          <w:color w:val="auto"/>
          <w:sz w:val="28"/>
          <w:szCs w:val="28"/>
        </w:rPr>
      </w:pPr>
      <w:r>
        <w:rPr>
          <w:rFonts w:hint="eastAsia" w:ascii="宋体" w:hAnsi="宋体" w:cs="宋体"/>
          <w:color w:val="auto"/>
          <w:sz w:val="28"/>
          <w:szCs w:val="28"/>
        </w:rPr>
        <w:t>综上，系数K</w:t>
      </w:r>
      <w:r>
        <w:rPr>
          <w:rFonts w:hint="eastAsia" w:ascii="宋体" w:hAnsi="宋体" w:cs="宋体"/>
          <w:color w:val="auto"/>
          <w:sz w:val="28"/>
          <w:szCs w:val="28"/>
          <w:vertAlign w:val="subscript"/>
        </w:rPr>
        <w:t>j</w:t>
      </w:r>
      <w:r>
        <w:rPr>
          <w:rFonts w:hint="eastAsia" w:ascii="宋体" w:hAnsi="宋体" w:cs="宋体"/>
          <w:color w:val="auto"/>
          <w:sz w:val="28"/>
          <w:szCs w:val="28"/>
        </w:rPr>
        <w:t>＝K</w:t>
      </w:r>
      <w:r>
        <w:rPr>
          <w:rFonts w:hint="eastAsia" w:ascii="宋体" w:hAnsi="宋体" w:cs="宋体"/>
          <w:color w:val="auto"/>
          <w:sz w:val="28"/>
          <w:szCs w:val="28"/>
          <w:vertAlign w:val="subscript"/>
        </w:rPr>
        <w:t>j1</w:t>
      </w:r>
      <w:r>
        <w:rPr>
          <w:rFonts w:hint="eastAsia" w:ascii="宋体" w:hAnsi="宋体" w:cs="宋体"/>
          <w:color w:val="auto"/>
          <w:sz w:val="28"/>
          <w:szCs w:val="28"/>
        </w:rPr>
        <w:t>×K</w:t>
      </w:r>
      <w:r>
        <w:rPr>
          <w:rFonts w:hint="eastAsia" w:ascii="宋体" w:hAnsi="宋体" w:cs="宋体"/>
          <w:color w:val="auto"/>
          <w:sz w:val="28"/>
          <w:szCs w:val="28"/>
          <w:vertAlign w:val="subscript"/>
        </w:rPr>
        <w:t>j2</w:t>
      </w:r>
      <w:r>
        <w:rPr>
          <w:rFonts w:hint="eastAsia" w:ascii="宋体" w:hAnsi="宋体" w:cs="宋体"/>
          <w:color w:val="auto"/>
          <w:sz w:val="28"/>
          <w:szCs w:val="28"/>
        </w:rPr>
        <w:t>×K</w:t>
      </w:r>
      <w:r>
        <w:rPr>
          <w:rFonts w:hint="eastAsia" w:ascii="宋体" w:hAnsi="宋体" w:cs="宋体"/>
          <w:color w:val="auto"/>
          <w:sz w:val="28"/>
          <w:szCs w:val="28"/>
          <w:vertAlign w:val="subscript"/>
        </w:rPr>
        <w:t>j3</w:t>
      </w:r>
      <w:r>
        <w:rPr>
          <w:rFonts w:hint="eastAsia" w:ascii="宋体" w:hAnsi="宋体" w:cs="宋体"/>
          <w:color w:val="auto"/>
          <w:sz w:val="28"/>
          <w:szCs w:val="28"/>
        </w:rPr>
        <w:t>＝1.1734×1.0×0.9894＝1.1610</w:t>
      </w:r>
    </w:p>
    <w:p>
      <w:pPr>
        <w:spacing w:line="560" w:lineRule="exact"/>
        <w:ind w:firstLine="522" w:firstLineChars="180"/>
        <w:rPr>
          <w:rFonts w:ascii="宋体" w:hAnsi="宋体" w:cs="宋体"/>
          <w:color w:val="auto"/>
          <w:kern w:val="0"/>
          <w:sz w:val="28"/>
          <w:szCs w:val="28"/>
          <w:lang w:val="en-GB"/>
        </w:rPr>
      </w:pPr>
      <w:r>
        <w:rPr>
          <w:rFonts w:hint="eastAsia" w:ascii="宋体" w:hAnsi="宋体" w:cs="宋体"/>
          <w:color w:val="auto"/>
          <w:spacing w:val="5"/>
          <w:sz w:val="28"/>
          <w:szCs w:val="28"/>
        </w:rPr>
        <w:t>⑺确定土地</w:t>
      </w:r>
      <w:r>
        <w:rPr>
          <w:rFonts w:hint="eastAsia" w:ascii="宋体" w:hAnsi="宋体" w:cs="宋体"/>
          <w:color w:val="auto"/>
          <w:sz w:val="28"/>
          <w:szCs w:val="28"/>
        </w:rPr>
        <w:t>开发程度修正值（D）</w:t>
      </w:r>
    </w:p>
    <w:p>
      <w:pPr>
        <w:spacing w:line="560" w:lineRule="exact"/>
        <w:ind w:firstLine="504" w:firstLineChars="180"/>
        <w:rPr>
          <w:rFonts w:ascii="宋体" w:hAnsi="宋体" w:cs="宋体"/>
          <w:color w:val="auto"/>
          <w:spacing w:val="5"/>
          <w:sz w:val="28"/>
          <w:szCs w:val="28"/>
        </w:rPr>
      </w:pPr>
      <w:r>
        <w:rPr>
          <w:rFonts w:hint="eastAsia" w:ascii="宋体" w:hAnsi="宋体" w:cs="宋体"/>
          <w:color w:val="auto"/>
          <w:sz w:val="28"/>
          <w:szCs w:val="28"/>
        </w:rPr>
        <w:t>宗地具体土地开发程度差异按照各项基础设施开发费进行修正，修正幅度</w:t>
      </w:r>
      <w:r>
        <w:rPr>
          <w:rFonts w:hint="eastAsia" w:ascii="宋体" w:hAnsi="宋体" w:cs="宋体"/>
          <w:color w:val="auto"/>
          <w:spacing w:val="5"/>
          <w:sz w:val="28"/>
          <w:szCs w:val="28"/>
        </w:rPr>
        <w:t>根据</w:t>
      </w:r>
      <w:r>
        <w:rPr>
          <w:rFonts w:hint="eastAsia" w:ascii="宋体" w:hAnsi="宋体" w:cs="宋体"/>
          <w:color w:val="auto"/>
          <w:sz w:val="28"/>
          <w:szCs w:val="28"/>
        </w:rPr>
        <w:t>《平远镇集镇规划区土地定级与基准地价更新测算技术报告》中基础设施修正幅度表确定。</w:t>
      </w:r>
    </w:p>
    <w:p>
      <w:pPr>
        <w:spacing w:line="560" w:lineRule="exact"/>
        <w:jc w:val="center"/>
        <w:rPr>
          <w:rFonts w:ascii="宋体" w:hAnsi="宋体" w:cs="宋体"/>
          <w:b/>
          <w:bCs/>
          <w:color w:val="auto"/>
          <w:spacing w:val="16"/>
          <w:sz w:val="24"/>
        </w:rPr>
      </w:pPr>
      <w:r>
        <w:rPr>
          <w:rFonts w:hint="eastAsia" w:ascii="宋体" w:hAnsi="宋体" w:cs="宋体"/>
          <w:b/>
          <w:bCs/>
          <w:color w:val="auto"/>
          <w:spacing w:val="16"/>
          <w:sz w:val="24"/>
        </w:rPr>
        <w:t>基础设施修正幅度表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0"/>
        <w:gridCol w:w="1159"/>
        <w:gridCol w:w="1159"/>
        <w:gridCol w:w="1159"/>
        <w:gridCol w:w="1160"/>
        <w:gridCol w:w="1160"/>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22" w:type="pct"/>
            <w:vAlign w:val="center"/>
          </w:tcPr>
          <w:p>
            <w:pPr>
              <w:widowControl/>
              <w:jc w:val="center"/>
              <w:rPr>
                <w:rFonts w:ascii="宋体" w:hAnsi="宋体" w:cs="宋体"/>
                <w:color w:val="auto"/>
                <w:kern w:val="0"/>
                <w:szCs w:val="21"/>
              </w:rPr>
            </w:pPr>
            <w:r>
              <w:rPr>
                <w:rFonts w:hint="eastAsia" w:ascii="宋体" w:hAnsi="宋体" w:cs="宋体"/>
                <w:color w:val="auto"/>
                <w:kern w:val="0"/>
                <w:szCs w:val="21"/>
              </w:rPr>
              <w:t>开发程度</w:t>
            </w:r>
          </w:p>
        </w:tc>
        <w:tc>
          <w:tcPr>
            <w:tcW w:w="613" w:type="pct"/>
            <w:vAlign w:val="center"/>
          </w:tcPr>
          <w:p>
            <w:pPr>
              <w:widowControl/>
              <w:jc w:val="center"/>
              <w:rPr>
                <w:rFonts w:ascii="宋体" w:hAnsi="宋体" w:cs="宋体"/>
                <w:color w:val="auto"/>
                <w:kern w:val="0"/>
                <w:szCs w:val="21"/>
              </w:rPr>
            </w:pPr>
            <w:r>
              <w:rPr>
                <w:rFonts w:hint="eastAsia" w:ascii="宋体" w:hAnsi="宋体" w:cs="宋体"/>
                <w:color w:val="auto"/>
                <w:kern w:val="0"/>
                <w:szCs w:val="21"/>
              </w:rPr>
              <w:t>通供水</w:t>
            </w:r>
          </w:p>
        </w:tc>
        <w:tc>
          <w:tcPr>
            <w:tcW w:w="613" w:type="pct"/>
            <w:vAlign w:val="center"/>
          </w:tcPr>
          <w:p>
            <w:pPr>
              <w:widowControl/>
              <w:jc w:val="center"/>
              <w:rPr>
                <w:rFonts w:ascii="宋体" w:hAnsi="宋体" w:cs="宋体"/>
                <w:color w:val="auto"/>
                <w:kern w:val="0"/>
                <w:szCs w:val="21"/>
              </w:rPr>
            </w:pPr>
            <w:r>
              <w:rPr>
                <w:rFonts w:hint="eastAsia" w:ascii="宋体" w:hAnsi="宋体" w:cs="宋体"/>
                <w:color w:val="auto"/>
                <w:kern w:val="0"/>
                <w:szCs w:val="21"/>
              </w:rPr>
              <w:t>通排水</w:t>
            </w:r>
          </w:p>
        </w:tc>
        <w:tc>
          <w:tcPr>
            <w:tcW w:w="613" w:type="pct"/>
            <w:vAlign w:val="center"/>
          </w:tcPr>
          <w:p>
            <w:pPr>
              <w:widowControl/>
              <w:jc w:val="center"/>
              <w:rPr>
                <w:rFonts w:ascii="宋体" w:hAnsi="宋体" w:cs="宋体"/>
                <w:color w:val="auto"/>
                <w:kern w:val="0"/>
                <w:szCs w:val="21"/>
              </w:rPr>
            </w:pPr>
            <w:r>
              <w:rPr>
                <w:rFonts w:hint="eastAsia" w:ascii="宋体" w:hAnsi="宋体" w:cs="宋体"/>
                <w:color w:val="auto"/>
                <w:kern w:val="0"/>
                <w:szCs w:val="21"/>
              </w:rPr>
              <w:t>通电</w:t>
            </w:r>
          </w:p>
        </w:tc>
        <w:tc>
          <w:tcPr>
            <w:tcW w:w="613" w:type="pct"/>
            <w:vAlign w:val="center"/>
          </w:tcPr>
          <w:p>
            <w:pPr>
              <w:widowControl/>
              <w:jc w:val="center"/>
              <w:rPr>
                <w:rFonts w:ascii="宋体" w:hAnsi="宋体" w:cs="宋体"/>
                <w:color w:val="auto"/>
                <w:kern w:val="0"/>
                <w:szCs w:val="21"/>
              </w:rPr>
            </w:pPr>
            <w:r>
              <w:rPr>
                <w:rFonts w:hint="eastAsia" w:ascii="宋体" w:hAnsi="宋体" w:cs="宋体"/>
                <w:color w:val="auto"/>
                <w:kern w:val="0"/>
                <w:szCs w:val="21"/>
              </w:rPr>
              <w:t>通路</w:t>
            </w:r>
          </w:p>
        </w:tc>
        <w:tc>
          <w:tcPr>
            <w:tcW w:w="613" w:type="pct"/>
            <w:vAlign w:val="center"/>
          </w:tcPr>
          <w:p>
            <w:pPr>
              <w:widowControl/>
              <w:jc w:val="center"/>
              <w:rPr>
                <w:rFonts w:ascii="宋体" w:hAnsi="宋体" w:cs="宋体"/>
                <w:color w:val="auto"/>
                <w:kern w:val="0"/>
                <w:szCs w:val="21"/>
              </w:rPr>
            </w:pPr>
            <w:r>
              <w:rPr>
                <w:rFonts w:hint="eastAsia" w:ascii="宋体" w:hAnsi="宋体" w:cs="宋体"/>
                <w:color w:val="auto"/>
                <w:kern w:val="0"/>
                <w:szCs w:val="21"/>
              </w:rPr>
              <w:t>通讯</w:t>
            </w:r>
          </w:p>
        </w:tc>
        <w:tc>
          <w:tcPr>
            <w:tcW w:w="613" w:type="pct"/>
            <w:vAlign w:val="center"/>
          </w:tcPr>
          <w:p>
            <w:pPr>
              <w:widowControl/>
              <w:jc w:val="center"/>
              <w:rPr>
                <w:rFonts w:ascii="宋体" w:hAnsi="宋体" w:cs="宋体"/>
                <w:color w:val="auto"/>
                <w:kern w:val="0"/>
                <w:szCs w:val="21"/>
              </w:rPr>
            </w:pPr>
            <w:r>
              <w:rPr>
                <w:rFonts w:hint="eastAsia" w:ascii="宋体" w:hAnsi="宋体" w:cs="宋体"/>
                <w:color w:val="auto"/>
                <w:kern w:val="0"/>
                <w:szCs w:val="21"/>
              </w:rPr>
              <w:t>场平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22" w:type="pct"/>
            <w:vAlign w:val="center"/>
          </w:tcPr>
          <w:p>
            <w:pPr>
              <w:widowControl/>
              <w:jc w:val="center"/>
              <w:rPr>
                <w:rFonts w:ascii="宋体" w:hAnsi="宋体" w:cs="宋体"/>
                <w:color w:val="auto"/>
                <w:kern w:val="0"/>
                <w:szCs w:val="21"/>
              </w:rPr>
            </w:pPr>
            <w:r>
              <w:rPr>
                <w:rFonts w:hint="eastAsia" w:ascii="宋体" w:hAnsi="宋体" w:cs="宋体"/>
                <w:color w:val="auto"/>
                <w:kern w:val="0"/>
                <w:szCs w:val="21"/>
              </w:rPr>
              <w:t>修正幅度（元/平米）</w:t>
            </w:r>
          </w:p>
        </w:tc>
        <w:tc>
          <w:tcPr>
            <w:tcW w:w="613" w:type="pct"/>
            <w:vAlign w:val="center"/>
          </w:tcPr>
          <w:p>
            <w:pPr>
              <w:jc w:val="center"/>
              <w:rPr>
                <w:rFonts w:ascii="宋体" w:hAnsi="宋体" w:cs="宋体"/>
                <w:color w:val="auto"/>
                <w:kern w:val="0"/>
                <w:szCs w:val="21"/>
              </w:rPr>
            </w:pPr>
            <w:r>
              <w:rPr>
                <w:rFonts w:hint="eastAsia" w:ascii="宋体" w:hAnsi="宋体" w:cs="宋体"/>
                <w:color w:val="auto"/>
                <w:kern w:val="0"/>
                <w:szCs w:val="21"/>
              </w:rPr>
              <w:t>25</w:t>
            </w:r>
          </w:p>
        </w:tc>
        <w:tc>
          <w:tcPr>
            <w:tcW w:w="613" w:type="pct"/>
            <w:vAlign w:val="center"/>
          </w:tcPr>
          <w:p>
            <w:pPr>
              <w:jc w:val="center"/>
              <w:rPr>
                <w:rFonts w:ascii="宋体" w:hAnsi="宋体" w:cs="宋体"/>
                <w:color w:val="auto"/>
                <w:kern w:val="0"/>
                <w:szCs w:val="21"/>
              </w:rPr>
            </w:pPr>
            <w:r>
              <w:rPr>
                <w:rFonts w:hint="eastAsia" w:ascii="宋体" w:hAnsi="宋体" w:cs="宋体"/>
                <w:color w:val="auto"/>
                <w:kern w:val="0"/>
                <w:szCs w:val="21"/>
              </w:rPr>
              <w:t>30</w:t>
            </w:r>
          </w:p>
        </w:tc>
        <w:tc>
          <w:tcPr>
            <w:tcW w:w="613" w:type="pct"/>
            <w:vAlign w:val="center"/>
          </w:tcPr>
          <w:p>
            <w:pPr>
              <w:jc w:val="center"/>
              <w:rPr>
                <w:rFonts w:ascii="宋体" w:hAnsi="宋体" w:cs="宋体"/>
                <w:color w:val="auto"/>
                <w:kern w:val="0"/>
                <w:szCs w:val="21"/>
              </w:rPr>
            </w:pPr>
            <w:r>
              <w:rPr>
                <w:rFonts w:hint="eastAsia" w:ascii="宋体" w:hAnsi="宋体" w:cs="宋体"/>
                <w:color w:val="auto"/>
                <w:kern w:val="0"/>
                <w:szCs w:val="21"/>
              </w:rPr>
              <w:t>10</w:t>
            </w:r>
          </w:p>
        </w:tc>
        <w:tc>
          <w:tcPr>
            <w:tcW w:w="613" w:type="pct"/>
            <w:vAlign w:val="center"/>
          </w:tcPr>
          <w:p>
            <w:pPr>
              <w:jc w:val="center"/>
              <w:rPr>
                <w:rFonts w:ascii="宋体" w:hAnsi="宋体" w:cs="宋体"/>
                <w:color w:val="auto"/>
                <w:kern w:val="0"/>
                <w:szCs w:val="21"/>
              </w:rPr>
            </w:pPr>
            <w:r>
              <w:rPr>
                <w:rFonts w:hint="eastAsia" w:ascii="宋体" w:hAnsi="宋体" w:cs="宋体"/>
                <w:color w:val="auto"/>
                <w:kern w:val="0"/>
                <w:szCs w:val="21"/>
              </w:rPr>
              <w:t>20</w:t>
            </w:r>
          </w:p>
        </w:tc>
        <w:tc>
          <w:tcPr>
            <w:tcW w:w="613" w:type="pct"/>
            <w:vAlign w:val="center"/>
          </w:tcPr>
          <w:p>
            <w:pPr>
              <w:jc w:val="center"/>
              <w:rPr>
                <w:rFonts w:ascii="宋体" w:hAnsi="宋体" w:cs="宋体"/>
                <w:color w:val="auto"/>
                <w:kern w:val="0"/>
                <w:szCs w:val="21"/>
              </w:rPr>
            </w:pPr>
            <w:r>
              <w:rPr>
                <w:rFonts w:hint="eastAsia" w:ascii="宋体" w:hAnsi="宋体" w:cs="宋体"/>
                <w:color w:val="auto"/>
                <w:kern w:val="0"/>
                <w:szCs w:val="21"/>
              </w:rPr>
              <w:t>10</w:t>
            </w:r>
          </w:p>
        </w:tc>
        <w:tc>
          <w:tcPr>
            <w:tcW w:w="613" w:type="pct"/>
            <w:vAlign w:val="center"/>
          </w:tcPr>
          <w:p>
            <w:pPr>
              <w:jc w:val="center"/>
              <w:rPr>
                <w:rFonts w:ascii="宋体" w:hAnsi="宋体" w:cs="宋体"/>
                <w:color w:val="auto"/>
                <w:kern w:val="0"/>
                <w:szCs w:val="21"/>
              </w:rPr>
            </w:pPr>
            <w:r>
              <w:rPr>
                <w:rFonts w:hint="eastAsia" w:ascii="宋体" w:hAnsi="宋体" w:cs="宋体"/>
                <w:color w:val="auto"/>
                <w:kern w:val="0"/>
                <w:szCs w:val="21"/>
              </w:rPr>
              <w:t>30</w:t>
            </w:r>
          </w:p>
        </w:tc>
      </w:tr>
    </w:tbl>
    <w:p>
      <w:pPr>
        <w:tabs>
          <w:tab w:val="left" w:pos="720"/>
        </w:tabs>
        <w:spacing w:beforeLines="100" w:line="560" w:lineRule="exact"/>
        <w:ind w:firstLine="565" w:firstLineChars="202"/>
        <w:contextualSpacing/>
        <w:rPr>
          <w:rFonts w:ascii="宋体" w:hAnsi="宋体" w:cs="宋体"/>
          <w:color w:val="auto"/>
          <w:spacing w:val="5"/>
          <w:sz w:val="28"/>
          <w:szCs w:val="28"/>
        </w:rPr>
      </w:pPr>
      <w:r>
        <w:rPr>
          <w:rFonts w:hint="eastAsia" w:ascii="宋体" w:hAnsi="宋体" w:cs="宋体"/>
          <w:color w:val="auto"/>
          <w:sz w:val="28"/>
          <w:szCs w:val="28"/>
        </w:rPr>
        <w:t>估价对象处平远镇集镇住宅用地土地级别Ⅰ级地区，根据基准地价内涵，Ⅰ级基准地价对应土地开发程度为</w:t>
      </w:r>
      <w:r>
        <w:rPr>
          <w:rFonts w:hint="eastAsia" w:ascii="宋体" w:hAnsi="宋体" w:cs="宋体"/>
          <w:color w:val="auto"/>
          <w:spacing w:val="5"/>
          <w:sz w:val="28"/>
          <w:szCs w:val="28"/>
        </w:rPr>
        <w:t>“五通一平”（通供水，通排水，通电，通路，通讯，宗地内场平），与基准地价确定的开发程度一致，无需对宗地外开发程度进行修正。</w:t>
      </w:r>
    </w:p>
    <w:p>
      <w:pPr>
        <w:tabs>
          <w:tab w:val="left" w:pos="720"/>
        </w:tabs>
        <w:spacing w:beforeLines="100" w:line="560" w:lineRule="exact"/>
        <w:ind w:firstLine="565" w:firstLineChars="202"/>
        <w:contextualSpacing/>
        <w:rPr>
          <w:rFonts w:ascii="宋体" w:hAnsi="宋体" w:cs="宋体"/>
          <w:color w:val="auto"/>
          <w:sz w:val="28"/>
          <w:szCs w:val="28"/>
        </w:rPr>
      </w:pPr>
      <w:r>
        <w:rPr>
          <w:rFonts w:hint="eastAsia" w:ascii="宋体" w:hAnsi="宋体" w:cs="宋体"/>
          <w:color w:val="auto"/>
          <w:sz w:val="28"/>
          <w:szCs w:val="28"/>
        </w:rPr>
        <w:t>⑻基准地价系数修正法修正结果为：</w:t>
      </w:r>
    </w:p>
    <w:p>
      <w:pPr>
        <w:spacing w:line="560" w:lineRule="exact"/>
        <w:ind w:firstLine="565" w:firstLineChars="202"/>
        <w:rPr>
          <w:rFonts w:ascii="宋体" w:hAnsi="宋体" w:cs="宋体"/>
          <w:color w:val="auto"/>
          <w:sz w:val="28"/>
          <w:szCs w:val="28"/>
        </w:rPr>
      </w:pPr>
      <w:r>
        <w:rPr>
          <w:rFonts w:hint="eastAsia" w:ascii="宋体" w:hAnsi="宋体" w:cs="宋体"/>
          <w:color w:val="auto"/>
          <w:sz w:val="28"/>
        </w:rPr>
        <w:t>P</w:t>
      </w:r>
      <w:r>
        <w:rPr>
          <w:rFonts w:hint="eastAsia" w:ascii="宋体" w:hAnsi="宋体" w:cs="宋体"/>
          <w:color w:val="auto"/>
          <w:sz w:val="28"/>
          <w:szCs w:val="28"/>
        </w:rPr>
        <w:t>＝P</w:t>
      </w:r>
      <w:r>
        <w:rPr>
          <w:rFonts w:hint="eastAsia" w:ascii="宋体" w:hAnsi="宋体" w:cs="宋体"/>
          <w:color w:val="auto"/>
          <w:sz w:val="28"/>
          <w:szCs w:val="28"/>
          <w:vertAlign w:val="subscript"/>
        </w:rPr>
        <w:t>1b</w:t>
      </w:r>
      <w:r>
        <w:rPr>
          <w:rFonts w:hint="eastAsia" w:ascii="宋体" w:hAnsi="宋体" w:cs="宋体"/>
          <w:color w:val="auto"/>
          <w:sz w:val="28"/>
          <w:szCs w:val="28"/>
        </w:rPr>
        <w:t>×（1±∑K</w:t>
      </w:r>
      <w:r>
        <w:rPr>
          <w:rFonts w:hint="eastAsia" w:ascii="宋体" w:hAnsi="宋体" w:cs="宋体"/>
          <w:color w:val="auto"/>
          <w:sz w:val="28"/>
          <w:szCs w:val="28"/>
          <w:vertAlign w:val="subscript"/>
        </w:rPr>
        <w:t>i</w:t>
      </w:r>
      <w:r>
        <w:rPr>
          <w:rFonts w:hint="eastAsia" w:ascii="宋体" w:hAnsi="宋体" w:cs="宋体"/>
          <w:color w:val="auto"/>
          <w:sz w:val="28"/>
          <w:szCs w:val="28"/>
        </w:rPr>
        <w:t>）×K</w:t>
      </w:r>
      <w:r>
        <w:rPr>
          <w:rFonts w:hint="eastAsia" w:ascii="宋体" w:hAnsi="宋体" w:cs="宋体"/>
          <w:color w:val="auto"/>
          <w:sz w:val="28"/>
          <w:szCs w:val="28"/>
          <w:vertAlign w:val="subscript"/>
        </w:rPr>
        <w:t>j</w:t>
      </w:r>
      <w:r>
        <w:rPr>
          <w:rFonts w:hint="eastAsia" w:ascii="宋体" w:hAnsi="宋体" w:cs="宋体"/>
          <w:color w:val="auto"/>
          <w:sz w:val="28"/>
          <w:szCs w:val="28"/>
        </w:rPr>
        <w:t>＋D</w:t>
      </w:r>
    </w:p>
    <w:p>
      <w:pPr>
        <w:spacing w:line="560" w:lineRule="exact"/>
        <w:ind w:firstLine="700" w:firstLineChars="250"/>
        <w:rPr>
          <w:rFonts w:ascii="宋体" w:hAnsi="宋体" w:cs="宋体"/>
          <w:color w:val="auto"/>
          <w:sz w:val="28"/>
          <w:szCs w:val="28"/>
        </w:rPr>
      </w:pPr>
      <w:r>
        <w:rPr>
          <w:rFonts w:hint="eastAsia" w:ascii="宋体" w:hAnsi="宋体" w:cs="宋体"/>
          <w:color w:val="auto"/>
          <w:sz w:val="28"/>
          <w:szCs w:val="28"/>
        </w:rPr>
        <w:t>＝549.00×(1+0.0686)×1.1610+0</w:t>
      </w:r>
    </w:p>
    <w:p>
      <w:pPr>
        <w:spacing w:line="560" w:lineRule="exact"/>
        <w:ind w:firstLine="700" w:firstLineChars="250"/>
        <w:contextualSpacing/>
        <w:rPr>
          <w:rFonts w:ascii="宋体" w:hAnsi="宋体" w:cs="宋体"/>
          <w:color w:val="auto"/>
          <w:sz w:val="28"/>
          <w:szCs w:val="28"/>
        </w:rPr>
      </w:pPr>
      <w:r>
        <w:rPr>
          <w:rFonts w:hint="eastAsia" w:ascii="宋体" w:hAnsi="宋体" w:cs="宋体"/>
          <w:color w:val="auto"/>
          <w:sz w:val="28"/>
          <w:szCs w:val="28"/>
        </w:rPr>
        <w:t>＝681.11元/平方米</w:t>
      </w:r>
    </w:p>
    <w:p>
      <w:pPr>
        <w:spacing w:line="560" w:lineRule="exact"/>
        <w:ind w:firstLine="560" w:firstLineChars="200"/>
        <w:contextualSpacing/>
        <w:rPr>
          <w:rFonts w:ascii="宋体" w:hAnsi="宋体" w:cs="宋体"/>
          <w:color w:val="auto"/>
          <w:sz w:val="28"/>
        </w:rPr>
      </w:pPr>
      <w:r>
        <w:rPr>
          <w:rFonts w:hint="eastAsia" w:ascii="宋体" w:hAnsi="宋体" w:cs="宋体"/>
          <w:color w:val="auto"/>
          <w:sz w:val="28"/>
          <w:lang w:val="en-US" w:eastAsia="zh-CN"/>
        </w:rPr>
        <w:t>2</w:t>
      </w:r>
      <w:r>
        <w:rPr>
          <w:rFonts w:hint="eastAsia" w:ascii="宋体" w:hAnsi="宋体" w:cs="宋体"/>
          <w:color w:val="auto"/>
          <w:sz w:val="28"/>
        </w:rPr>
        <w:t>、</w:t>
      </w:r>
      <w:bookmarkEnd w:id="308"/>
      <w:bookmarkEnd w:id="309"/>
      <w:bookmarkEnd w:id="310"/>
      <w:r>
        <w:rPr>
          <w:rFonts w:hint="eastAsia" w:ascii="宋体" w:hAnsi="宋体" w:cs="宋体"/>
          <w:color w:val="auto"/>
          <w:sz w:val="28"/>
        </w:rPr>
        <w:t>采用</w:t>
      </w:r>
      <w:r>
        <w:rPr>
          <w:rFonts w:hint="eastAsia" w:ascii="宋体" w:hAnsi="宋体" w:cs="宋体"/>
          <w:color w:val="auto"/>
          <w:sz w:val="28"/>
          <w:szCs w:val="30"/>
        </w:rPr>
        <w:t>市场比较法</w:t>
      </w:r>
      <w:r>
        <w:rPr>
          <w:rFonts w:hint="eastAsia" w:ascii="宋体" w:hAnsi="宋体" w:cs="宋体"/>
          <w:color w:val="auto"/>
          <w:sz w:val="28"/>
        </w:rPr>
        <w:t>评估出让地价</w:t>
      </w:r>
    </w:p>
    <w:p>
      <w:pPr>
        <w:widowControl/>
        <w:autoSpaceDE w:val="0"/>
        <w:autoSpaceDN w:val="0"/>
        <w:adjustRightInd w:val="0"/>
        <w:spacing w:line="560" w:lineRule="exact"/>
        <w:ind w:firstLine="560" w:firstLineChars="200"/>
        <w:contextualSpacing/>
        <w:jc w:val="left"/>
        <w:rPr>
          <w:rFonts w:ascii="宋体" w:hAnsi="宋体" w:cs="宋体"/>
          <w:color w:val="auto"/>
          <w:kern w:val="0"/>
          <w:sz w:val="28"/>
          <w:szCs w:val="28"/>
        </w:rPr>
      </w:pPr>
      <w:r>
        <w:rPr>
          <w:rFonts w:hint="eastAsia" w:ascii="宋体" w:hAnsi="宋体" w:cs="宋体"/>
          <w:color w:val="auto"/>
          <w:kern w:val="0"/>
          <w:sz w:val="28"/>
          <w:szCs w:val="28"/>
        </w:rPr>
        <w:t>市场比较法，是根据土地市场中的替代原理，将估价对象与具有替代性的且在估价期日近期市场上交易的类似地产进行比较，并对类似地产的成交价格作适当修正，以此估算估价对象客观合理价格的方法。市场比较法计算公式为：</w:t>
      </w:r>
    </w:p>
    <w:p>
      <w:pPr>
        <w:widowControl/>
        <w:autoSpaceDE w:val="0"/>
        <w:autoSpaceDN w:val="0"/>
        <w:adjustRightInd w:val="0"/>
        <w:spacing w:line="560" w:lineRule="exact"/>
        <w:ind w:firstLine="515"/>
        <w:contextualSpacing/>
        <w:jc w:val="center"/>
        <w:rPr>
          <w:rFonts w:ascii="宋体" w:hAnsi="宋体" w:cs="宋体"/>
          <w:color w:val="auto"/>
          <w:kern w:val="0"/>
          <w:sz w:val="28"/>
          <w:szCs w:val="28"/>
        </w:rPr>
      </w:pPr>
      <w:r>
        <w:rPr>
          <w:rFonts w:hint="eastAsia" w:ascii="宋体" w:hAnsi="宋体" w:cs="宋体"/>
          <w:color w:val="auto"/>
          <w:kern w:val="0"/>
          <w:sz w:val="28"/>
          <w:szCs w:val="28"/>
        </w:rPr>
        <w:t>P＝P</w:t>
      </w:r>
      <w:r>
        <w:rPr>
          <w:rFonts w:hint="eastAsia" w:ascii="宋体" w:hAnsi="宋体" w:cs="宋体"/>
          <w:color w:val="auto"/>
          <w:kern w:val="0"/>
          <w:sz w:val="28"/>
          <w:szCs w:val="28"/>
          <w:vertAlign w:val="subscript"/>
        </w:rPr>
        <w:t>B</w:t>
      </w:r>
      <w:r>
        <w:rPr>
          <w:rFonts w:hint="eastAsia" w:ascii="宋体" w:hAnsi="宋体" w:cs="宋体"/>
          <w:color w:val="auto"/>
          <w:kern w:val="0"/>
          <w:sz w:val="28"/>
          <w:szCs w:val="28"/>
        </w:rPr>
        <w:t>×A×B×C×D×E</w:t>
      </w:r>
    </w:p>
    <w:p>
      <w:pPr>
        <w:spacing w:line="560" w:lineRule="exact"/>
        <w:rPr>
          <w:rFonts w:ascii="宋体" w:hAnsi="宋体" w:cs="宋体"/>
          <w:color w:val="auto"/>
          <w:sz w:val="28"/>
          <w:szCs w:val="28"/>
        </w:rPr>
      </w:pPr>
      <w:r>
        <w:rPr>
          <w:rFonts w:hint="eastAsia" w:ascii="宋体" w:hAnsi="宋体" w:cs="宋体"/>
          <w:color w:val="auto"/>
          <w:sz w:val="28"/>
          <w:szCs w:val="28"/>
        </w:rPr>
        <w:t>式中：</w:t>
      </w:r>
    </w:p>
    <w:p>
      <w:pPr>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P ——待估宗地价格；</w:t>
      </w:r>
    </w:p>
    <w:p>
      <w:pPr>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P</w:t>
      </w:r>
      <w:r>
        <w:rPr>
          <w:rFonts w:hint="eastAsia" w:ascii="宋体" w:hAnsi="宋体" w:cs="宋体"/>
          <w:color w:val="auto"/>
          <w:sz w:val="28"/>
          <w:szCs w:val="28"/>
          <w:vertAlign w:val="subscript"/>
        </w:rPr>
        <w:t xml:space="preserve">B </w:t>
      </w:r>
      <w:r>
        <w:rPr>
          <w:rFonts w:hint="eastAsia" w:ascii="宋体" w:hAnsi="宋体" w:cs="宋体"/>
          <w:color w:val="auto"/>
          <w:sz w:val="28"/>
          <w:szCs w:val="28"/>
        </w:rPr>
        <w:t>——比较实例价格；</w:t>
      </w:r>
    </w:p>
    <w:p>
      <w:pPr>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A ——待估宗地交易情况指数除以比较实例宗地交易情况指数；</w:t>
      </w:r>
    </w:p>
    <w:p>
      <w:pPr>
        <w:spacing w:line="560" w:lineRule="exact"/>
        <w:ind w:firstLine="560" w:firstLineChars="200"/>
        <w:rPr>
          <w:rFonts w:ascii="宋体" w:hAnsi="宋体" w:cs="宋体"/>
          <w:color w:val="auto"/>
          <w:sz w:val="28"/>
          <w:szCs w:val="28"/>
        </w:rPr>
      </w:pPr>
      <w:r>
        <w:rPr>
          <w:rFonts w:hint="eastAsia" w:ascii="宋体" w:hAnsi="宋体" w:cs="宋体"/>
          <w:color w:val="auto"/>
          <w:sz w:val="28"/>
          <w:szCs w:val="28"/>
        </w:rPr>
        <w:t>B ——待估宗地估价期日地价指数除以比较实例宗地交易日期地价指数；</w:t>
      </w:r>
    </w:p>
    <w:p>
      <w:pPr>
        <w:widowControl/>
        <w:autoSpaceDE w:val="0"/>
        <w:autoSpaceDN w:val="0"/>
        <w:adjustRightInd w:val="0"/>
        <w:spacing w:line="560" w:lineRule="exact"/>
        <w:ind w:firstLine="560" w:firstLineChars="200"/>
        <w:contextualSpacing/>
        <w:jc w:val="left"/>
        <w:rPr>
          <w:rFonts w:ascii="宋体" w:hAnsi="宋体" w:cs="宋体"/>
          <w:color w:val="auto"/>
          <w:sz w:val="28"/>
          <w:szCs w:val="28"/>
        </w:rPr>
      </w:pPr>
      <w:r>
        <w:rPr>
          <w:rFonts w:hint="eastAsia" w:ascii="宋体" w:hAnsi="宋体" w:cs="宋体"/>
          <w:color w:val="auto"/>
          <w:sz w:val="28"/>
          <w:szCs w:val="28"/>
        </w:rPr>
        <w:t>C ——待估宗地区域因素条件指数除以比较实例宗地区域因素条件指数；</w:t>
      </w:r>
    </w:p>
    <w:p>
      <w:pPr>
        <w:widowControl/>
        <w:autoSpaceDE w:val="0"/>
        <w:autoSpaceDN w:val="0"/>
        <w:adjustRightInd w:val="0"/>
        <w:spacing w:line="560" w:lineRule="exact"/>
        <w:ind w:firstLine="560" w:firstLineChars="200"/>
        <w:contextualSpacing/>
        <w:jc w:val="left"/>
        <w:rPr>
          <w:rFonts w:ascii="宋体" w:hAnsi="宋体" w:cs="宋体"/>
          <w:color w:val="auto"/>
          <w:sz w:val="28"/>
          <w:szCs w:val="28"/>
        </w:rPr>
      </w:pPr>
      <w:r>
        <w:rPr>
          <w:rFonts w:hint="eastAsia" w:ascii="宋体" w:hAnsi="宋体" w:cs="宋体"/>
          <w:color w:val="auto"/>
          <w:sz w:val="28"/>
          <w:szCs w:val="28"/>
        </w:rPr>
        <w:t>D ——待估宗地个别因素条件指数除以比较实例宗地个别因素条件指数；</w:t>
      </w:r>
    </w:p>
    <w:p>
      <w:pPr>
        <w:widowControl/>
        <w:autoSpaceDE w:val="0"/>
        <w:autoSpaceDN w:val="0"/>
        <w:adjustRightInd w:val="0"/>
        <w:spacing w:line="560" w:lineRule="exact"/>
        <w:ind w:firstLine="560" w:firstLineChars="200"/>
        <w:contextualSpacing/>
        <w:jc w:val="left"/>
        <w:rPr>
          <w:rFonts w:ascii="宋体" w:hAnsi="宋体" w:cs="宋体"/>
          <w:color w:val="auto"/>
          <w:sz w:val="28"/>
          <w:szCs w:val="28"/>
        </w:rPr>
      </w:pPr>
      <w:r>
        <w:rPr>
          <w:rFonts w:hint="eastAsia" w:ascii="宋体" w:hAnsi="宋体" w:cs="宋体"/>
          <w:color w:val="auto"/>
          <w:sz w:val="28"/>
          <w:szCs w:val="28"/>
        </w:rPr>
        <w:t>E ——待估宗地年期修正指数除以比较实例年期修正指数。</w:t>
      </w:r>
    </w:p>
    <w:p>
      <w:pPr>
        <w:widowControl/>
        <w:autoSpaceDE w:val="0"/>
        <w:autoSpaceDN w:val="0"/>
        <w:adjustRightInd w:val="0"/>
        <w:spacing w:line="560" w:lineRule="exact"/>
        <w:ind w:firstLine="515"/>
        <w:contextualSpacing/>
        <w:jc w:val="left"/>
        <w:rPr>
          <w:rFonts w:ascii="宋体" w:hAnsi="宋体" w:cs="宋体"/>
          <w:color w:val="auto"/>
          <w:sz w:val="28"/>
          <w:szCs w:val="28"/>
        </w:rPr>
      </w:pPr>
      <w:r>
        <w:rPr>
          <w:rFonts w:hint="eastAsia" w:ascii="宋体" w:hAnsi="宋体" w:cs="宋体"/>
          <w:color w:val="auto"/>
          <w:sz w:val="28"/>
          <w:szCs w:val="28"/>
        </w:rPr>
        <w:t>⑴收集宗地交易实例并确定比较实例</w:t>
      </w:r>
    </w:p>
    <w:p>
      <w:pPr>
        <w:widowControl/>
        <w:autoSpaceDE w:val="0"/>
        <w:autoSpaceDN w:val="0"/>
        <w:adjustRightInd w:val="0"/>
        <w:spacing w:line="560" w:lineRule="exact"/>
        <w:ind w:firstLine="515"/>
        <w:contextualSpacing/>
        <w:jc w:val="left"/>
        <w:rPr>
          <w:rFonts w:ascii="宋体" w:hAnsi="宋体" w:cs="宋体"/>
          <w:color w:val="auto"/>
          <w:sz w:val="28"/>
          <w:szCs w:val="28"/>
        </w:rPr>
      </w:pPr>
      <w:r>
        <w:rPr>
          <w:rFonts w:hint="eastAsia" w:ascii="宋体" w:hAnsi="宋体" w:cs="宋体"/>
          <w:color w:val="auto"/>
          <w:sz w:val="28"/>
          <w:szCs w:val="28"/>
        </w:rPr>
        <w:t>交易实例资料收集范围包括地块位置、面积、用途、成交时间、使用年期、交易条件等影响地价的区域和个别因素、土地价格及明确的价格内涵等。同时应注意遵循以下要求：</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①</w:t>
      </w:r>
      <w:r>
        <w:rPr>
          <w:rFonts w:hint="eastAsia" w:ascii="宋体" w:hAnsi="宋体" w:cs="宋体"/>
          <w:color w:val="auto"/>
          <w:sz w:val="28"/>
          <w:szCs w:val="28"/>
        </w:rPr>
        <w:t>比较实例数量应达到3个以上（含3个），且比较实例的交易日期距估价期日原则上不超过3年；</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②比较实例与待估宗地条件的相似性大于差异性；</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③比较实例用途与待估宗地用途相同或相近；</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④比较实例与待估宗地处于同一供需圈内相邻地区或类似地区；</w:t>
      </w:r>
    </w:p>
    <w:p>
      <w:pPr>
        <w:pStyle w:val="10"/>
        <w:widowControl/>
        <w:spacing w:line="560" w:lineRule="exact"/>
        <w:ind w:firstLine="560" w:firstLineChars="200"/>
        <w:contextualSpacing/>
        <w:jc w:val="left"/>
        <w:rPr>
          <w:rFonts w:hAnsi="宋体" w:cs="宋体"/>
          <w:color w:val="auto"/>
          <w:kern w:val="0"/>
          <w:sz w:val="28"/>
          <w:szCs w:val="28"/>
        </w:rPr>
      </w:pPr>
      <w:r>
        <w:rPr>
          <w:rFonts w:hint="eastAsia" w:hAnsi="宋体" w:cs="宋体"/>
          <w:color w:val="auto"/>
          <w:kern w:val="0"/>
          <w:sz w:val="28"/>
          <w:szCs w:val="28"/>
        </w:rPr>
        <w:t>本次评估收集到以下四个真实成交的比较实例，实例基本情况见下表：</w:t>
      </w:r>
    </w:p>
    <w:p>
      <w:pPr>
        <w:pStyle w:val="10"/>
        <w:widowControl/>
        <w:spacing w:line="560" w:lineRule="exact"/>
        <w:contextualSpacing/>
        <w:jc w:val="center"/>
        <w:rPr>
          <w:rFonts w:hAnsi="宋体" w:cs="宋体"/>
          <w:b/>
          <w:color w:val="auto"/>
          <w:kern w:val="0"/>
          <w:szCs w:val="21"/>
        </w:rPr>
      </w:pPr>
      <w:r>
        <w:rPr>
          <w:rFonts w:hint="eastAsia" w:hAnsi="宋体" w:cs="宋体"/>
          <w:b/>
          <w:color w:val="auto"/>
          <w:kern w:val="0"/>
          <w:szCs w:val="21"/>
        </w:rPr>
        <w:t>估价对象同一供需圈成交实例情况一览表</w:t>
      </w:r>
    </w:p>
    <w:tbl>
      <w:tblPr>
        <w:tblStyle w:val="21"/>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995"/>
        <w:gridCol w:w="720"/>
        <w:gridCol w:w="780"/>
        <w:gridCol w:w="1342"/>
        <w:gridCol w:w="898"/>
        <w:gridCol w:w="765"/>
        <w:gridCol w:w="780"/>
        <w:gridCol w:w="1253"/>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0"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序号</w:t>
            </w:r>
          </w:p>
        </w:tc>
        <w:tc>
          <w:tcPr>
            <w:tcW w:w="531"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位置</w:t>
            </w:r>
          </w:p>
        </w:tc>
        <w:tc>
          <w:tcPr>
            <w:tcW w:w="384"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出让方式</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面积（㎡）</w:t>
            </w:r>
          </w:p>
        </w:tc>
        <w:tc>
          <w:tcPr>
            <w:tcW w:w="716"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土地</w:t>
            </w:r>
          </w:p>
          <w:p>
            <w:pPr>
              <w:pStyle w:val="10"/>
              <w:widowControl/>
              <w:contextualSpacing/>
              <w:jc w:val="center"/>
              <w:rPr>
                <w:rFonts w:hAnsi="宋体" w:cs="宋体"/>
                <w:bCs/>
                <w:color w:val="auto"/>
                <w:sz w:val="18"/>
                <w:szCs w:val="18"/>
              </w:rPr>
            </w:pPr>
            <w:r>
              <w:rPr>
                <w:rFonts w:hint="eastAsia" w:hAnsi="宋体" w:cs="宋体"/>
                <w:bCs/>
                <w:color w:val="auto"/>
                <w:sz w:val="18"/>
                <w:szCs w:val="18"/>
              </w:rPr>
              <w:t>用途</w:t>
            </w:r>
          </w:p>
        </w:tc>
        <w:tc>
          <w:tcPr>
            <w:tcW w:w="480"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土地使用年期</w:t>
            </w:r>
          </w:p>
        </w:tc>
        <w:tc>
          <w:tcPr>
            <w:tcW w:w="409"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容积率</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土地</w:t>
            </w:r>
          </w:p>
          <w:p>
            <w:pPr>
              <w:pStyle w:val="10"/>
              <w:widowControl/>
              <w:contextualSpacing/>
              <w:jc w:val="center"/>
              <w:rPr>
                <w:rFonts w:hAnsi="宋体" w:cs="宋体"/>
                <w:bCs/>
                <w:color w:val="auto"/>
                <w:sz w:val="18"/>
                <w:szCs w:val="18"/>
              </w:rPr>
            </w:pPr>
            <w:r>
              <w:rPr>
                <w:rFonts w:hint="eastAsia" w:hAnsi="宋体" w:cs="宋体"/>
                <w:bCs/>
                <w:color w:val="auto"/>
                <w:sz w:val="18"/>
                <w:szCs w:val="18"/>
              </w:rPr>
              <w:t>级别</w:t>
            </w:r>
          </w:p>
        </w:tc>
        <w:tc>
          <w:tcPr>
            <w:tcW w:w="669"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交易日期</w:t>
            </w:r>
          </w:p>
        </w:tc>
        <w:tc>
          <w:tcPr>
            <w:tcW w:w="763"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成交地面单价（元/㎡）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0"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1</w:t>
            </w:r>
          </w:p>
        </w:tc>
        <w:tc>
          <w:tcPr>
            <w:tcW w:w="531"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平远镇小黑山</w:t>
            </w:r>
          </w:p>
        </w:tc>
        <w:tc>
          <w:tcPr>
            <w:tcW w:w="384"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出让</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1000.0</w:t>
            </w:r>
          </w:p>
        </w:tc>
        <w:tc>
          <w:tcPr>
            <w:tcW w:w="716"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城镇住宅用地</w:t>
            </w:r>
          </w:p>
        </w:tc>
        <w:tc>
          <w:tcPr>
            <w:tcW w:w="480"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70年</w:t>
            </w:r>
          </w:p>
        </w:tc>
        <w:tc>
          <w:tcPr>
            <w:tcW w:w="409" w:type="pct"/>
            <w:vAlign w:val="center"/>
          </w:tcPr>
          <w:p>
            <w:pPr>
              <w:pStyle w:val="10"/>
              <w:widowControl/>
              <w:contextualSpacing/>
              <w:jc w:val="center"/>
              <w:rPr>
                <w:rFonts w:hint="default" w:hAnsi="宋体" w:eastAsia="宋体" w:cs="宋体"/>
                <w:bCs/>
                <w:color w:val="auto"/>
                <w:sz w:val="18"/>
                <w:szCs w:val="18"/>
                <w:lang w:val="en-US" w:eastAsia="zh-CN"/>
              </w:rPr>
            </w:pPr>
            <w:r>
              <w:rPr>
                <w:rFonts w:hint="eastAsia" w:hAnsi="宋体" w:cs="宋体"/>
                <w:bCs/>
                <w:color w:val="auto"/>
                <w:sz w:val="18"/>
                <w:szCs w:val="18"/>
                <w:lang w:val="en-US" w:eastAsia="zh-CN"/>
              </w:rPr>
              <w:t>1.2</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Ⅰ级</w:t>
            </w:r>
          </w:p>
        </w:tc>
        <w:tc>
          <w:tcPr>
            <w:tcW w:w="669"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2019/01/30</w:t>
            </w:r>
          </w:p>
        </w:tc>
        <w:tc>
          <w:tcPr>
            <w:tcW w:w="763"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1</w:t>
            </w:r>
            <w:r>
              <w:rPr>
                <w:rFonts w:hint="eastAsia" w:hAnsi="宋体" w:cs="宋体"/>
                <w:bCs/>
                <w:color w:val="auto"/>
                <w:sz w:val="18"/>
                <w:szCs w:val="18"/>
                <w:lang w:val="en-US" w:eastAsia="zh-CN"/>
              </w:rPr>
              <w:t>2</w:t>
            </w:r>
            <w:r>
              <w:rPr>
                <w:rFonts w:hint="eastAsia" w:hAnsi="宋体" w:cs="宋体"/>
                <w:bCs/>
                <w:color w:val="auto"/>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0"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2</w:t>
            </w:r>
          </w:p>
        </w:tc>
        <w:tc>
          <w:tcPr>
            <w:tcW w:w="531"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平远镇小黑山</w:t>
            </w:r>
          </w:p>
        </w:tc>
        <w:tc>
          <w:tcPr>
            <w:tcW w:w="384"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出让</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635.0</w:t>
            </w:r>
          </w:p>
        </w:tc>
        <w:tc>
          <w:tcPr>
            <w:tcW w:w="716"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城镇住宅用地</w:t>
            </w:r>
          </w:p>
        </w:tc>
        <w:tc>
          <w:tcPr>
            <w:tcW w:w="480" w:type="pct"/>
            <w:vAlign w:val="center"/>
          </w:tcPr>
          <w:p>
            <w:pPr>
              <w:jc w:val="center"/>
              <w:rPr>
                <w:rFonts w:ascii="宋体" w:hAnsi="宋体" w:cs="宋体"/>
                <w:color w:val="auto"/>
                <w:sz w:val="18"/>
                <w:szCs w:val="18"/>
              </w:rPr>
            </w:pPr>
            <w:r>
              <w:rPr>
                <w:rFonts w:hint="eastAsia" w:ascii="宋体" w:hAnsi="宋体" w:cs="宋体"/>
                <w:bCs/>
                <w:color w:val="auto"/>
                <w:sz w:val="18"/>
                <w:szCs w:val="18"/>
              </w:rPr>
              <w:t>70年</w:t>
            </w:r>
          </w:p>
        </w:tc>
        <w:tc>
          <w:tcPr>
            <w:tcW w:w="409" w:type="pct"/>
            <w:vAlign w:val="center"/>
          </w:tcPr>
          <w:p>
            <w:pPr>
              <w:widowControl/>
              <w:contextualSpacing/>
              <w:jc w:val="center"/>
              <w:rPr>
                <w:rFonts w:hAnsi="宋体" w:cs="宋体"/>
                <w:bCs/>
                <w:color w:val="auto"/>
                <w:sz w:val="18"/>
                <w:szCs w:val="18"/>
              </w:rPr>
            </w:pPr>
            <w:r>
              <w:rPr>
                <w:rFonts w:hint="eastAsia" w:hAnsi="宋体" w:cs="宋体"/>
                <w:bCs/>
                <w:color w:val="auto"/>
                <w:sz w:val="18"/>
                <w:szCs w:val="18"/>
                <w:lang w:val="en-US" w:eastAsia="zh-CN"/>
              </w:rPr>
              <w:t>1.2</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Ⅰ级</w:t>
            </w:r>
          </w:p>
        </w:tc>
        <w:tc>
          <w:tcPr>
            <w:tcW w:w="669"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2018/12/05</w:t>
            </w:r>
          </w:p>
        </w:tc>
        <w:tc>
          <w:tcPr>
            <w:tcW w:w="763"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1</w:t>
            </w:r>
            <w:r>
              <w:rPr>
                <w:rFonts w:hint="eastAsia" w:hAnsi="宋体" w:cs="宋体"/>
                <w:bCs/>
                <w:color w:val="auto"/>
                <w:sz w:val="18"/>
                <w:szCs w:val="18"/>
                <w:lang w:val="en-US" w:eastAsia="zh-CN"/>
              </w:rPr>
              <w:t>36</w:t>
            </w:r>
            <w:r>
              <w:rPr>
                <w:rFonts w:hint="eastAsia" w:hAnsi="宋体" w:cs="宋体"/>
                <w:bCs/>
                <w:color w:val="auto"/>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0"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3</w:t>
            </w:r>
          </w:p>
        </w:tc>
        <w:tc>
          <w:tcPr>
            <w:tcW w:w="531"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平远镇小黑山</w:t>
            </w:r>
          </w:p>
        </w:tc>
        <w:tc>
          <w:tcPr>
            <w:tcW w:w="384"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出让</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244.0</w:t>
            </w:r>
          </w:p>
        </w:tc>
        <w:tc>
          <w:tcPr>
            <w:tcW w:w="716"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城镇住宅用地</w:t>
            </w:r>
          </w:p>
        </w:tc>
        <w:tc>
          <w:tcPr>
            <w:tcW w:w="480" w:type="pct"/>
            <w:vAlign w:val="center"/>
          </w:tcPr>
          <w:p>
            <w:pPr>
              <w:jc w:val="center"/>
              <w:rPr>
                <w:rFonts w:ascii="宋体" w:hAnsi="宋体" w:cs="宋体"/>
                <w:color w:val="auto"/>
                <w:sz w:val="18"/>
                <w:szCs w:val="18"/>
              </w:rPr>
            </w:pPr>
            <w:r>
              <w:rPr>
                <w:rFonts w:hint="eastAsia" w:ascii="宋体" w:hAnsi="宋体" w:cs="宋体"/>
                <w:bCs/>
                <w:color w:val="auto"/>
                <w:sz w:val="18"/>
                <w:szCs w:val="18"/>
              </w:rPr>
              <w:t>70年</w:t>
            </w:r>
          </w:p>
        </w:tc>
        <w:tc>
          <w:tcPr>
            <w:tcW w:w="409" w:type="pct"/>
            <w:vAlign w:val="center"/>
          </w:tcPr>
          <w:p>
            <w:pPr>
              <w:widowControl/>
              <w:contextualSpacing/>
              <w:jc w:val="center"/>
              <w:rPr>
                <w:rFonts w:hAnsi="宋体" w:cs="宋体"/>
                <w:bCs/>
                <w:color w:val="auto"/>
                <w:sz w:val="18"/>
                <w:szCs w:val="18"/>
              </w:rPr>
            </w:pPr>
            <w:r>
              <w:rPr>
                <w:rFonts w:hint="eastAsia" w:hAnsi="宋体" w:cs="宋体"/>
                <w:bCs/>
                <w:color w:val="auto"/>
                <w:sz w:val="18"/>
                <w:szCs w:val="18"/>
                <w:lang w:val="en-US" w:eastAsia="zh-CN"/>
              </w:rPr>
              <w:t>1.2</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Ⅰ级</w:t>
            </w:r>
          </w:p>
        </w:tc>
        <w:tc>
          <w:tcPr>
            <w:tcW w:w="669"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2019/02/05</w:t>
            </w:r>
          </w:p>
        </w:tc>
        <w:tc>
          <w:tcPr>
            <w:tcW w:w="763"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10"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4</w:t>
            </w:r>
          </w:p>
        </w:tc>
        <w:tc>
          <w:tcPr>
            <w:tcW w:w="531"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平远镇兴隆路</w:t>
            </w:r>
          </w:p>
        </w:tc>
        <w:tc>
          <w:tcPr>
            <w:tcW w:w="384"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出让</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81.0</w:t>
            </w:r>
          </w:p>
        </w:tc>
        <w:tc>
          <w:tcPr>
            <w:tcW w:w="716"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城镇住宅用地</w:t>
            </w:r>
          </w:p>
        </w:tc>
        <w:tc>
          <w:tcPr>
            <w:tcW w:w="480" w:type="pct"/>
            <w:vAlign w:val="center"/>
          </w:tcPr>
          <w:p>
            <w:pPr>
              <w:jc w:val="center"/>
              <w:rPr>
                <w:rFonts w:ascii="宋体" w:hAnsi="宋体" w:cs="宋体"/>
                <w:color w:val="auto"/>
                <w:sz w:val="18"/>
                <w:szCs w:val="18"/>
              </w:rPr>
            </w:pPr>
            <w:r>
              <w:rPr>
                <w:rFonts w:hint="eastAsia" w:ascii="宋体" w:hAnsi="宋体" w:cs="宋体"/>
                <w:bCs/>
                <w:color w:val="auto"/>
                <w:sz w:val="18"/>
                <w:szCs w:val="18"/>
              </w:rPr>
              <w:t>70年</w:t>
            </w:r>
          </w:p>
        </w:tc>
        <w:tc>
          <w:tcPr>
            <w:tcW w:w="409" w:type="pct"/>
            <w:vAlign w:val="center"/>
          </w:tcPr>
          <w:p>
            <w:pPr>
              <w:widowControl/>
              <w:contextualSpacing/>
              <w:jc w:val="center"/>
              <w:rPr>
                <w:rFonts w:hAnsi="宋体" w:cs="宋体"/>
                <w:bCs/>
                <w:color w:val="auto"/>
                <w:sz w:val="18"/>
                <w:szCs w:val="18"/>
              </w:rPr>
            </w:pPr>
            <w:r>
              <w:rPr>
                <w:rFonts w:hint="eastAsia" w:hAnsi="宋体" w:cs="宋体"/>
                <w:bCs/>
                <w:color w:val="auto"/>
                <w:sz w:val="18"/>
                <w:szCs w:val="18"/>
                <w:lang w:val="en-US" w:eastAsia="zh-CN"/>
              </w:rPr>
              <w:t>1.2</w:t>
            </w:r>
          </w:p>
        </w:tc>
        <w:tc>
          <w:tcPr>
            <w:tcW w:w="417"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Ⅰ级</w:t>
            </w:r>
          </w:p>
        </w:tc>
        <w:tc>
          <w:tcPr>
            <w:tcW w:w="669"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2017/05/16</w:t>
            </w:r>
          </w:p>
        </w:tc>
        <w:tc>
          <w:tcPr>
            <w:tcW w:w="763" w:type="pct"/>
            <w:vAlign w:val="center"/>
          </w:tcPr>
          <w:p>
            <w:pPr>
              <w:pStyle w:val="10"/>
              <w:widowControl/>
              <w:contextualSpacing/>
              <w:jc w:val="center"/>
              <w:rPr>
                <w:rFonts w:hAnsi="宋体" w:cs="宋体"/>
                <w:bCs/>
                <w:color w:val="auto"/>
                <w:sz w:val="18"/>
                <w:szCs w:val="18"/>
              </w:rPr>
            </w:pPr>
            <w:r>
              <w:rPr>
                <w:rFonts w:hint="eastAsia" w:hAnsi="宋体" w:cs="宋体"/>
                <w:bCs/>
                <w:color w:val="auto"/>
                <w:sz w:val="18"/>
                <w:szCs w:val="18"/>
              </w:rPr>
              <w:t>2650</w:t>
            </w:r>
          </w:p>
        </w:tc>
      </w:tr>
    </w:tbl>
    <w:p>
      <w:pPr>
        <w:pStyle w:val="10"/>
        <w:widowControl/>
        <w:spacing w:line="560" w:lineRule="exact"/>
        <w:ind w:firstLine="560" w:firstLineChars="200"/>
        <w:contextualSpacing/>
        <w:jc w:val="left"/>
        <w:rPr>
          <w:rFonts w:hAnsi="宋体" w:cs="宋体"/>
          <w:bCs/>
          <w:color w:val="auto"/>
          <w:sz w:val="28"/>
        </w:rPr>
      </w:pPr>
      <w:r>
        <w:rPr>
          <w:rFonts w:hint="eastAsia" w:hAnsi="宋体" w:cs="宋体"/>
          <w:bCs/>
          <w:color w:val="auto"/>
          <w:sz w:val="28"/>
        </w:rPr>
        <w:t>根据以上要求，表中1、2、3号交易实例与估价对象位于同一供需圈，所处区域与估价对象距离较近，用途相同（均属城镇住宅用地），条件类似，且交易日期距估价期日未超过3年；4号比较实例虽也与估价对象位于同一供需圈，用途相同，所处区域与估价对象距离也较远，且交易日期距估价期日已接近3年，故选取1、2、3号交易实例作为估价对象的比较实例，而没有选取4号交易实例作为估价对象的比较实例。</w:t>
      </w:r>
    </w:p>
    <w:p>
      <w:pPr>
        <w:pStyle w:val="10"/>
        <w:widowControl/>
        <w:spacing w:line="560" w:lineRule="exact"/>
        <w:ind w:firstLine="560" w:firstLineChars="200"/>
        <w:contextualSpacing/>
        <w:jc w:val="left"/>
        <w:rPr>
          <w:rFonts w:hAnsi="宋体" w:cs="宋体"/>
          <w:bCs/>
          <w:color w:val="auto"/>
          <w:sz w:val="28"/>
        </w:rPr>
      </w:pPr>
      <w:r>
        <w:rPr>
          <w:rFonts w:hint="eastAsia" w:hAnsi="宋体" w:cs="宋体"/>
          <w:bCs/>
          <w:color w:val="auto"/>
          <w:sz w:val="28"/>
        </w:rPr>
        <w:t>选为比较实例的三宗地具体情况如下：以下实例均来源于市场调查</w:t>
      </w:r>
    </w:p>
    <w:p>
      <w:pPr>
        <w:pStyle w:val="10"/>
        <w:widowControl/>
        <w:spacing w:line="560" w:lineRule="exact"/>
        <w:ind w:firstLine="560" w:firstLineChars="200"/>
        <w:contextualSpacing/>
        <w:jc w:val="left"/>
        <w:rPr>
          <w:rFonts w:hAnsi="宋体" w:cs="宋体"/>
          <w:bCs/>
          <w:color w:val="auto"/>
          <w:sz w:val="28"/>
        </w:rPr>
      </w:pPr>
      <w:r>
        <w:rPr>
          <w:rFonts w:hint="eastAsia" w:hAnsi="宋体" w:cs="宋体"/>
          <w:bCs/>
          <w:color w:val="auto"/>
          <w:sz w:val="28"/>
        </w:rPr>
        <w:t>实例一：</w:t>
      </w:r>
      <w:r>
        <w:rPr>
          <w:rFonts w:hint="eastAsia" w:hAnsi="宋体" w:cs="宋体"/>
          <w:color w:val="auto"/>
          <w:sz w:val="28"/>
          <w:szCs w:val="28"/>
        </w:rPr>
        <w:t>位于平远镇小黑山，属Ⅰ级城镇住宅用地，面积1000.0㎡，用途为城镇住宅用地，容积率1.</w:t>
      </w:r>
      <w:r>
        <w:rPr>
          <w:rFonts w:hint="eastAsia" w:hAnsi="宋体" w:cs="宋体"/>
          <w:color w:val="auto"/>
          <w:sz w:val="28"/>
          <w:szCs w:val="28"/>
          <w:lang w:val="en-US" w:eastAsia="zh-CN"/>
        </w:rPr>
        <w:t>2</w:t>
      </w:r>
      <w:r>
        <w:rPr>
          <w:rFonts w:hint="eastAsia" w:hAnsi="宋体" w:cs="宋体"/>
          <w:color w:val="auto"/>
          <w:sz w:val="28"/>
          <w:szCs w:val="28"/>
        </w:rPr>
        <w:t>，宗地形状</w:t>
      </w:r>
      <w:r>
        <w:rPr>
          <w:rFonts w:hint="eastAsia" w:hAnsi="宋体" w:cs="宋体"/>
          <w:color w:val="auto"/>
          <w:sz w:val="28"/>
          <w:szCs w:val="28"/>
          <w:lang w:eastAsia="zh-CN"/>
        </w:rPr>
        <w:t>较</w:t>
      </w:r>
      <w:r>
        <w:rPr>
          <w:rFonts w:hint="eastAsia" w:hAnsi="宋体" w:cs="宋体"/>
          <w:color w:val="auto"/>
          <w:sz w:val="28"/>
          <w:szCs w:val="28"/>
        </w:rPr>
        <w:t>规则，道路类型为混合型支路，开发程度达到宗地红线外“五通”，宗地红线内“场地平整”，宗地所在区域内公共服务设施一般，居住聚集度较聚集，交通较便捷，一面临路，</w:t>
      </w:r>
      <w:r>
        <w:rPr>
          <w:rFonts w:hint="eastAsia" w:hAnsi="宋体" w:cs="宋体"/>
          <w:color w:val="auto"/>
          <w:sz w:val="28"/>
          <w:szCs w:val="28"/>
          <w:lang w:eastAsia="zh-CN"/>
        </w:rPr>
        <w:t>绿地覆盖率一般，</w:t>
      </w:r>
      <w:r>
        <w:rPr>
          <w:rFonts w:hint="eastAsia" w:hAnsi="宋体" w:cs="宋体"/>
          <w:color w:val="auto"/>
          <w:sz w:val="28"/>
          <w:szCs w:val="28"/>
        </w:rPr>
        <w:t>环境</w:t>
      </w:r>
      <w:r>
        <w:rPr>
          <w:rFonts w:hint="eastAsia" w:hAnsi="宋体" w:cs="宋体"/>
          <w:color w:val="auto"/>
          <w:sz w:val="28"/>
          <w:szCs w:val="28"/>
          <w:lang w:eastAsia="zh-CN"/>
        </w:rPr>
        <w:t>质量</w:t>
      </w:r>
      <w:r>
        <w:rPr>
          <w:rFonts w:hint="eastAsia" w:hAnsi="宋体" w:cs="宋体"/>
          <w:color w:val="auto"/>
          <w:sz w:val="28"/>
          <w:szCs w:val="28"/>
        </w:rPr>
        <w:t>一般，</w:t>
      </w:r>
      <w:r>
        <w:rPr>
          <w:rFonts w:hint="eastAsia" w:hAnsi="宋体" w:cs="宋体"/>
          <w:color w:val="auto"/>
          <w:sz w:val="28"/>
          <w:szCs w:val="28"/>
          <w:lang w:eastAsia="zh-CN"/>
        </w:rPr>
        <w:t>无规划限制，道路等级为巷道，道路类型为生活型，</w:t>
      </w:r>
      <w:r>
        <w:rPr>
          <w:rFonts w:hint="eastAsia" w:hAnsi="宋体" w:cs="宋体"/>
          <w:color w:val="auto"/>
          <w:sz w:val="28"/>
          <w:szCs w:val="28"/>
        </w:rPr>
        <w:t>地质条件</w:t>
      </w:r>
      <w:r>
        <w:rPr>
          <w:rFonts w:hint="eastAsia" w:hAnsi="宋体" w:cs="宋体"/>
          <w:color w:val="auto"/>
          <w:sz w:val="28"/>
          <w:szCs w:val="28"/>
          <w:lang w:eastAsia="zh-CN"/>
        </w:rPr>
        <w:t>较优</w:t>
      </w:r>
      <w:r>
        <w:rPr>
          <w:rFonts w:hint="eastAsia" w:hAnsi="宋体" w:cs="宋体"/>
          <w:color w:val="auto"/>
          <w:sz w:val="28"/>
          <w:szCs w:val="28"/>
        </w:rPr>
        <w:t>，</w:t>
      </w:r>
      <w:r>
        <w:rPr>
          <w:rFonts w:hint="eastAsia" w:hAnsi="宋体" w:cs="宋体"/>
          <w:color w:val="auto"/>
          <w:sz w:val="28"/>
          <w:szCs w:val="28"/>
          <w:lang w:eastAsia="zh-CN"/>
        </w:rPr>
        <w:t>宗地未达到最佳最有效利用，</w:t>
      </w:r>
      <w:r>
        <w:rPr>
          <w:rFonts w:hint="eastAsia" w:hAnsi="宋体" w:cs="宋体"/>
          <w:color w:val="auto"/>
          <w:sz w:val="28"/>
          <w:szCs w:val="28"/>
        </w:rPr>
        <w:t>无工业污染，2019年01月30日成交单价：1200元/㎡。</w:t>
      </w:r>
    </w:p>
    <w:p>
      <w:pPr>
        <w:widowControl/>
        <w:autoSpaceDE w:val="0"/>
        <w:autoSpaceDN w:val="0"/>
        <w:adjustRightInd w:val="0"/>
        <w:spacing w:line="560" w:lineRule="exact"/>
        <w:ind w:firstLine="515"/>
        <w:contextualSpacing/>
        <w:jc w:val="both"/>
        <w:rPr>
          <w:rFonts w:ascii="宋体" w:hAnsi="宋体" w:cs="宋体"/>
          <w:color w:val="auto"/>
          <w:spacing w:val="-2"/>
          <w:kern w:val="0"/>
          <w:sz w:val="28"/>
          <w:szCs w:val="28"/>
        </w:rPr>
      </w:pPr>
      <w:r>
        <w:rPr>
          <w:rFonts w:hint="eastAsia" w:ascii="宋体" w:hAnsi="宋体" w:cs="宋体"/>
          <w:color w:val="auto"/>
          <w:spacing w:val="-2"/>
          <w:kern w:val="0"/>
          <w:sz w:val="28"/>
          <w:szCs w:val="28"/>
        </w:rPr>
        <w:t>实例二：</w:t>
      </w:r>
      <w:r>
        <w:rPr>
          <w:rFonts w:hint="eastAsia" w:ascii="宋体" w:hAnsi="宋体" w:cs="宋体"/>
          <w:bCs/>
          <w:color w:val="auto"/>
          <w:sz w:val="28"/>
          <w:szCs w:val="28"/>
        </w:rPr>
        <w:t>位于平远镇小黑山，</w:t>
      </w:r>
      <w:r>
        <w:rPr>
          <w:rFonts w:hint="eastAsia" w:ascii="宋体" w:hAnsi="宋体" w:cs="宋体"/>
          <w:color w:val="auto"/>
          <w:sz w:val="28"/>
          <w:szCs w:val="28"/>
        </w:rPr>
        <w:t>属</w:t>
      </w:r>
      <w:r>
        <w:rPr>
          <w:rFonts w:hint="eastAsia" w:hAnsi="宋体" w:cs="宋体"/>
          <w:color w:val="auto"/>
          <w:sz w:val="28"/>
          <w:szCs w:val="28"/>
        </w:rPr>
        <w:t>Ⅰ</w:t>
      </w:r>
      <w:r>
        <w:rPr>
          <w:rFonts w:hint="eastAsia" w:ascii="宋体" w:hAnsi="宋体" w:cs="宋体"/>
          <w:color w:val="auto"/>
          <w:sz w:val="28"/>
          <w:szCs w:val="28"/>
        </w:rPr>
        <w:t>级城镇住宅用地，面积635.0</w:t>
      </w:r>
      <w:r>
        <w:rPr>
          <w:rFonts w:hint="eastAsia" w:hAnsi="宋体" w:cs="宋体"/>
          <w:color w:val="auto"/>
          <w:sz w:val="28"/>
          <w:szCs w:val="28"/>
        </w:rPr>
        <w:t>㎡</w:t>
      </w:r>
      <w:r>
        <w:rPr>
          <w:rFonts w:hint="eastAsia" w:ascii="宋体" w:hAnsi="宋体" w:cs="宋体"/>
          <w:color w:val="auto"/>
          <w:sz w:val="28"/>
          <w:szCs w:val="28"/>
        </w:rPr>
        <w:t>，用途为城镇住宅用地，容积率</w:t>
      </w:r>
      <w:r>
        <w:rPr>
          <w:rFonts w:hint="eastAsia" w:ascii="宋体" w:hAnsi="宋体" w:cs="宋体"/>
          <w:color w:val="auto"/>
          <w:sz w:val="28"/>
          <w:szCs w:val="28"/>
          <w:lang w:val="en-US" w:eastAsia="zh-CN"/>
        </w:rPr>
        <w:t>1.2</w:t>
      </w:r>
      <w:r>
        <w:rPr>
          <w:rFonts w:hint="eastAsia" w:ascii="宋体" w:hAnsi="宋体" w:cs="宋体"/>
          <w:color w:val="auto"/>
          <w:sz w:val="28"/>
          <w:szCs w:val="28"/>
        </w:rPr>
        <w:t>，宗地形状</w:t>
      </w:r>
      <w:r>
        <w:rPr>
          <w:rFonts w:hint="eastAsia" w:ascii="宋体" w:hAnsi="宋体" w:cs="宋体"/>
          <w:color w:val="auto"/>
          <w:sz w:val="28"/>
          <w:szCs w:val="28"/>
          <w:lang w:eastAsia="zh-CN"/>
        </w:rPr>
        <w:t>较</w:t>
      </w:r>
      <w:r>
        <w:rPr>
          <w:rFonts w:hint="eastAsia" w:ascii="宋体" w:hAnsi="宋体" w:cs="宋体"/>
          <w:color w:val="auto"/>
          <w:sz w:val="28"/>
          <w:szCs w:val="28"/>
        </w:rPr>
        <w:t>规则，道路类型为混合型支路，开发程度达到宗地红线外“五通”，宗地红线内“场地平整”，宗地所在区域内公共服务设施一般，居住聚集度较聚集，交通较便捷，一面临路，</w:t>
      </w:r>
      <w:r>
        <w:rPr>
          <w:rFonts w:hint="eastAsia" w:ascii="宋体" w:hAnsi="宋体" w:cs="宋体"/>
          <w:color w:val="auto"/>
          <w:sz w:val="28"/>
          <w:szCs w:val="28"/>
          <w:lang w:eastAsia="zh-CN"/>
        </w:rPr>
        <w:t>绿</w:t>
      </w:r>
      <w:r>
        <w:rPr>
          <w:rFonts w:hint="eastAsia" w:hAnsi="宋体" w:cs="宋体"/>
          <w:color w:val="auto"/>
          <w:sz w:val="28"/>
          <w:szCs w:val="28"/>
          <w:lang w:eastAsia="zh-CN"/>
        </w:rPr>
        <w:t>地覆盖率一般，</w:t>
      </w:r>
      <w:r>
        <w:rPr>
          <w:rFonts w:hint="eastAsia" w:hAnsi="宋体" w:cs="宋体"/>
          <w:color w:val="auto"/>
          <w:sz w:val="28"/>
          <w:szCs w:val="28"/>
        </w:rPr>
        <w:t>环境</w:t>
      </w:r>
      <w:r>
        <w:rPr>
          <w:rFonts w:hint="eastAsia" w:hAnsi="宋体" w:cs="宋体"/>
          <w:color w:val="auto"/>
          <w:sz w:val="28"/>
          <w:szCs w:val="28"/>
          <w:lang w:eastAsia="zh-CN"/>
        </w:rPr>
        <w:t>质量</w:t>
      </w:r>
      <w:r>
        <w:rPr>
          <w:rFonts w:hint="eastAsia" w:hAnsi="宋体" w:cs="宋体"/>
          <w:color w:val="auto"/>
          <w:sz w:val="28"/>
          <w:szCs w:val="28"/>
        </w:rPr>
        <w:t>一般，</w:t>
      </w:r>
      <w:r>
        <w:rPr>
          <w:rFonts w:hint="eastAsia" w:hAnsi="宋体" w:cs="宋体"/>
          <w:color w:val="auto"/>
          <w:sz w:val="28"/>
          <w:szCs w:val="28"/>
          <w:lang w:eastAsia="zh-CN"/>
        </w:rPr>
        <w:t>无规划限制，道路等级为巷道，道路类型为生活型，</w:t>
      </w:r>
      <w:r>
        <w:rPr>
          <w:rFonts w:hint="eastAsia" w:hAnsi="宋体" w:cs="宋体"/>
          <w:color w:val="auto"/>
          <w:sz w:val="28"/>
          <w:szCs w:val="28"/>
        </w:rPr>
        <w:t>地质条件</w:t>
      </w:r>
      <w:r>
        <w:rPr>
          <w:rFonts w:hint="eastAsia" w:hAnsi="宋体" w:cs="宋体"/>
          <w:color w:val="auto"/>
          <w:sz w:val="28"/>
          <w:szCs w:val="28"/>
          <w:lang w:eastAsia="zh-CN"/>
        </w:rPr>
        <w:t>较优</w:t>
      </w:r>
      <w:r>
        <w:rPr>
          <w:rFonts w:hint="eastAsia" w:hAnsi="宋体" w:cs="宋体"/>
          <w:color w:val="auto"/>
          <w:sz w:val="28"/>
          <w:szCs w:val="28"/>
        </w:rPr>
        <w:t>，</w:t>
      </w:r>
      <w:r>
        <w:rPr>
          <w:rFonts w:hint="eastAsia" w:hAnsi="宋体" w:cs="宋体"/>
          <w:color w:val="auto"/>
          <w:sz w:val="28"/>
          <w:szCs w:val="28"/>
          <w:lang w:eastAsia="zh-CN"/>
        </w:rPr>
        <w:t>宗地达到最佳最有效利用，</w:t>
      </w:r>
      <w:r>
        <w:rPr>
          <w:rFonts w:hint="eastAsia" w:ascii="宋体" w:hAnsi="宋体" w:cs="宋体"/>
          <w:color w:val="auto"/>
          <w:sz w:val="28"/>
          <w:szCs w:val="28"/>
        </w:rPr>
        <w:t>无工业污染，2018年12月05日成交单价：1360元/㎡。</w:t>
      </w:r>
    </w:p>
    <w:p>
      <w:pPr>
        <w:widowControl/>
        <w:autoSpaceDE w:val="0"/>
        <w:autoSpaceDN w:val="0"/>
        <w:adjustRightInd w:val="0"/>
        <w:spacing w:line="560" w:lineRule="exact"/>
        <w:ind w:firstLine="515"/>
        <w:contextualSpacing/>
        <w:jc w:val="left"/>
        <w:rPr>
          <w:rFonts w:ascii="宋体" w:hAnsi="宋体" w:cs="宋体"/>
          <w:color w:val="auto"/>
          <w:spacing w:val="-2"/>
          <w:kern w:val="0"/>
          <w:sz w:val="28"/>
          <w:szCs w:val="28"/>
        </w:rPr>
      </w:pPr>
      <w:r>
        <w:rPr>
          <w:rFonts w:hint="eastAsia" w:ascii="宋体" w:hAnsi="宋体" w:cs="宋体"/>
          <w:color w:val="auto"/>
          <w:kern w:val="0"/>
          <w:sz w:val="28"/>
          <w:szCs w:val="28"/>
        </w:rPr>
        <w:t>实例三：</w:t>
      </w:r>
      <w:r>
        <w:rPr>
          <w:rFonts w:hint="eastAsia" w:hAnsi="宋体" w:cs="宋体"/>
          <w:bCs/>
          <w:color w:val="auto"/>
          <w:sz w:val="28"/>
          <w:szCs w:val="28"/>
        </w:rPr>
        <w:t>位于平远镇小黑山</w:t>
      </w:r>
      <w:r>
        <w:rPr>
          <w:rFonts w:hint="eastAsia" w:ascii="宋体" w:hAnsi="宋体" w:cs="宋体"/>
          <w:color w:val="auto"/>
          <w:sz w:val="28"/>
          <w:szCs w:val="28"/>
        </w:rPr>
        <w:t>，属</w:t>
      </w:r>
      <w:r>
        <w:rPr>
          <w:rFonts w:hint="eastAsia" w:hAnsi="宋体" w:cs="宋体"/>
          <w:color w:val="auto"/>
          <w:sz w:val="28"/>
          <w:szCs w:val="28"/>
        </w:rPr>
        <w:t>Ⅰ</w:t>
      </w:r>
      <w:r>
        <w:rPr>
          <w:rFonts w:hint="eastAsia" w:ascii="宋体" w:hAnsi="宋体" w:cs="宋体"/>
          <w:color w:val="auto"/>
          <w:sz w:val="28"/>
          <w:szCs w:val="28"/>
        </w:rPr>
        <w:t>级城镇住宅用地，面积244.0</w:t>
      </w:r>
      <w:r>
        <w:rPr>
          <w:rFonts w:hint="eastAsia" w:hAnsi="宋体" w:cs="宋体"/>
          <w:color w:val="auto"/>
          <w:sz w:val="28"/>
          <w:szCs w:val="28"/>
        </w:rPr>
        <w:t>㎡</w:t>
      </w:r>
      <w:r>
        <w:rPr>
          <w:rFonts w:hint="eastAsia" w:ascii="宋体" w:hAnsi="宋体" w:cs="宋体"/>
          <w:color w:val="auto"/>
          <w:sz w:val="28"/>
          <w:szCs w:val="28"/>
        </w:rPr>
        <w:t>，用途为城镇住宅用地，容积率</w:t>
      </w:r>
      <w:r>
        <w:rPr>
          <w:rFonts w:hint="eastAsia" w:ascii="宋体" w:hAnsi="宋体" w:cs="宋体"/>
          <w:color w:val="auto"/>
          <w:sz w:val="28"/>
          <w:szCs w:val="28"/>
          <w:lang w:val="en-US" w:eastAsia="zh-CN"/>
        </w:rPr>
        <w:t>1.2</w:t>
      </w:r>
      <w:r>
        <w:rPr>
          <w:rFonts w:hint="eastAsia" w:ascii="宋体" w:hAnsi="宋体" w:cs="宋体"/>
          <w:color w:val="auto"/>
          <w:sz w:val="28"/>
          <w:szCs w:val="28"/>
        </w:rPr>
        <w:t>，宗地形状较规则，道路类型为混合型</w:t>
      </w:r>
      <w:r>
        <w:rPr>
          <w:rFonts w:hint="eastAsia" w:hAnsi="宋体" w:cs="宋体"/>
          <w:color w:val="auto"/>
          <w:sz w:val="28"/>
          <w:szCs w:val="28"/>
        </w:rPr>
        <w:t>支路</w:t>
      </w:r>
      <w:r>
        <w:rPr>
          <w:rFonts w:hint="eastAsia" w:ascii="宋体" w:hAnsi="宋体" w:cs="宋体"/>
          <w:color w:val="auto"/>
          <w:sz w:val="28"/>
          <w:szCs w:val="28"/>
        </w:rPr>
        <w:t>，开发程度达到宗地红线外“五通”，宗地红线内“场地平整”，宗地所在区域</w:t>
      </w:r>
      <w:r>
        <w:rPr>
          <w:rFonts w:hint="eastAsia" w:hAnsi="宋体" w:cs="宋体"/>
          <w:color w:val="auto"/>
          <w:sz w:val="28"/>
          <w:szCs w:val="28"/>
        </w:rPr>
        <w:t>内公共服务设施一般，</w:t>
      </w:r>
      <w:r>
        <w:rPr>
          <w:rFonts w:hint="eastAsia" w:ascii="宋体" w:hAnsi="宋体" w:cs="宋体"/>
          <w:color w:val="auto"/>
          <w:sz w:val="28"/>
          <w:szCs w:val="28"/>
        </w:rPr>
        <w:t>居住聚集度较聚集，交通较便捷，一面临路，</w:t>
      </w:r>
      <w:r>
        <w:rPr>
          <w:rFonts w:hint="eastAsia" w:ascii="宋体" w:hAnsi="宋体" w:cs="宋体"/>
          <w:color w:val="auto"/>
          <w:sz w:val="28"/>
          <w:szCs w:val="28"/>
          <w:lang w:eastAsia="zh-CN"/>
        </w:rPr>
        <w:t>绿</w:t>
      </w:r>
      <w:r>
        <w:rPr>
          <w:rFonts w:hint="eastAsia" w:hAnsi="宋体" w:cs="宋体"/>
          <w:color w:val="auto"/>
          <w:sz w:val="28"/>
          <w:szCs w:val="28"/>
          <w:lang w:eastAsia="zh-CN"/>
        </w:rPr>
        <w:t>地覆盖率一般，</w:t>
      </w:r>
      <w:r>
        <w:rPr>
          <w:rFonts w:hint="eastAsia" w:hAnsi="宋体" w:cs="宋体"/>
          <w:color w:val="auto"/>
          <w:sz w:val="28"/>
          <w:szCs w:val="28"/>
        </w:rPr>
        <w:t>环境</w:t>
      </w:r>
      <w:r>
        <w:rPr>
          <w:rFonts w:hint="eastAsia" w:hAnsi="宋体" w:cs="宋体"/>
          <w:color w:val="auto"/>
          <w:sz w:val="28"/>
          <w:szCs w:val="28"/>
          <w:lang w:eastAsia="zh-CN"/>
        </w:rPr>
        <w:t>质量</w:t>
      </w:r>
      <w:r>
        <w:rPr>
          <w:rFonts w:hint="eastAsia" w:hAnsi="宋体" w:cs="宋体"/>
          <w:color w:val="auto"/>
          <w:sz w:val="28"/>
          <w:szCs w:val="28"/>
        </w:rPr>
        <w:t>一般，</w:t>
      </w:r>
      <w:r>
        <w:rPr>
          <w:rFonts w:hint="eastAsia" w:hAnsi="宋体" w:cs="宋体"/>
          <w:color w:val="auto"/>
          <w:sz w:val="28"/>
          <w:szCs w:val="28"/>
          <w:lang w:eastAsia="zh-CN"/>
        </w:rPr>
        <w:t>无规划限制，道路等级为巷道，道路类型为生活型，</w:t>
      </w:r>
      <w:r>
        <w:rPr>
          <w:rFonts w:hint="eastAsia" w:hAnsi="宋体" w:cs="宋体"/>
          <w:color w:val="auto"/>
          <w:sz w:val="28"/>
          <w:szCs w:val="28"/>
        </w:rPr>
        <w:t>地质条件</w:t>
      </w:r>
      <w:r>
        <w:rPr>
          <w:rFonts w:hint="eastAsia" w:hAnsi="宋体" w:cs="宋体"/>
          <w:color w:val="auto"/>
          <w:sz w:val="28"/>
          <w:szCs w:val="28"/>
          <w:lang w:eastAsia="zh-CN"/>
        </w:rPr>
        <w:t>较优</w:t>
      </w:r>
      <w:r>
        <w:rPr>
          <w:rFonts w:hint="eastAsia" w:hAnsi="宋体" w:cs="宋体"/>
          <w:color w:val="auto"/>
          <w:sz w:val="28"/>
          <w:szCs w:val="28"/>
        </w:rPr>
        <w:t>，</w:t>
      </w:r>
      <w:r>
        <w:rPr>
          <w:rFonts w:hint="eastAsia" w:hAnsi="宋体" w:cs="宋体"/>
          <w:color w:val="auto"/>
          <w:sz w:val="28"/>
          <w:szCs w:val="28"/>
          <w:lang w:eastAsia="zh-CN"/>
        </w:rPr>
        <w:t>宗地达到最佳最有效利用，</w:t>
      </w:r>
      <w:r>
        <w:rPr>
          <w:rFonts w:hint="eastAsia" w:ascii="宋体" w:hAnsi="宋体" w:cs="宋体"/>
          <w:color w:val="auto"/>
          <w:sz w:val="28"/>
          <w:szCs w:val="28"/>
        </w:rPr>
        <w:t>无工业污染，2019年02月05日成交单价：1460元/㎡。</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⑵建立价格可比基础</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上述收集比较实例的价格可比基础已统一，故不再进行调整。</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⑶比较因素的选择</w:t>
      </w:r>
    </w:p>
    <w:p>
      <w:pPr>
        <w:widowControl/>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根据估价对象的用途及区域位置等条件，结合比较实例的具体情况，选择影响估价对象价格的主要因素有：</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①估价期日修正：分别确定估价对象与比较实例交易期日修正指数，将比较实例在其成交日期的价格调整为估价期日的价格。</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②交易情况修正：判断比较实例是否为正常、客观、公平的交易，对有特殊交易情况的进行修正，排除交易行为中的一些特殊因素所造成的的比较实例的价格偏差，将其成交价格修正为正常市场价格。</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③土地使用年期修正：根据土地使用年期修正公式计算确定修正系数。</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④区域因素修正因子：基础设施状况、商服繁华度、交通条件、道路通达度、公交便捷度、公用设施完善度、环境质量优劣度、绿地覆盖率、规划限制等。</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⑤个别因素修正因子：容积率、宗地面积、宗地形状、临街状况、地质条件、宗地权属界线内土地开发程度、宗地最佳最有效利用等。</w:t>
      </w:r>
    </w:p>
    <w:p>
      <w:pPr>
        <w:widowControl/>
        <w:autoSpaceDE w:val="0"/>
        <w:autoSpaceDN w:val="0"/>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⑷比较因素条件说明</w:t>
      </w:r>
    </w:p>
    <w:p>
      <w:pPr>
        <w:widowControl/>
        <w:adjustRightInd w:val="0"/>
        <w:spacing w:line="560" w:lineRule="exact"/>
        <w:ind w:firstLine="515"/>
        <w:contextualSpacing/>
        <w:jc w:val="left"/>
        <w:rPr>
          <w:rFonts w:ascii="宋体" w:hAnsi="宋体" w:cs="宋体"/>
          <w:color w:val="auto"/>
          <w:kern w:val="0"/>
          <w:sz w:val="28"/>
          <w:szCs w:val="28"/>
        </w:rPr>
      </w:pPr>
      <w:r>
        <w:rPr>
          <w:rFonts w:hint="eastAsia" w:ascii="宋体" w:hAnsi="宋体" w:cs="宋体"/>
          <w:color w:val="auto"/>
          <w:kern w:val="0"/>
          <w:sz w:val="28"/>
          <w:szCs w:val="28"/>
        </w:rPr>
        <w:t>将估价对象与可比较实例的比较因素具体情况列表如下。</w:t>
      </w:r>
    </w:p>
    <w:p>
      <w:pPr>
        <w:adjustRightInd w:val="0"/>
        <w:ind w:firstLine="562" w:firstLineChars="200"/>
        <w:contextualSpacing/>
        <w:jc w:val="center"/>
        <w:rPr>
          <w:rFonts w:ascii="宋体" w:hAnsi="宋体" w:cs="宋体"/>
          <w:b/>
          <w:bCs/>
          <w:color w:val="auto"/>
          <w:sz w:val="28"/>
        </w:rPr>
      </w:pPr>
    </w:p>
    <w:p>
      <w:pPr>
        <w:adjustRightInd w:val="0"/>
        <w:ind w:firstLine="562" w:firstLineChars="200"/>
        <w:contextualSpacing/>
        <w:jc w:val="center"/>
        <w:rPr>
          <w:rFonts w:hint="eastAsia" w:ascii="宋体" w:hAnsi="宋体" w:cs="宋体"/>
          <w:b/>
          <w:bCs/>
          <w:color w:val="auto"/>
          <w:sz w:val="28"/>
        </w:rPr>
      </w:pPr>
    </w:p>
    <w:p>
      <w:pPr>
        <w:adjustRightInd w:val="0"/>
        <w:ind w:firstLine="562" w:firstLineChars="200"/>
        <w:contextualSpacing/>
        <w:jc w:val="center"/>
        <w:rPr>
          <w:rFonts w:hint="eastAsia" w:ascii="宋体" w:hAnsi="宋体" w:cs="宋体"/>
          <w:b/>
          <w:bCs/>
          <w:color w:val="auto"/>
          <w:sz w:val="28"/>
        </w:rPr>
      </w:pPr>
    </w:p>
    <w:p>
      <w:pPr>
        <w:adjustRightInd w:val="0"/>
        <w:ind w:firstLine="562" w:firstLineChars="200"/>
        <w:contextualSpacing/>
        <w:jc w:val="center"/>
        <w:rPr>
          <w:rFonts w:ascii="宋体" w:hAnsi="宋体" w:cs="宋体"/>
          <w:b/>
          <w:bCs/>
          <w:color w:val="auto"/>
          <w:sz w:val="28"/>
        </w:rPr>
      </w:pPr>
      <w:r>
        <w:rPr>
          <w:rFonts w:hint="eastAsia" w:ascii="宋体" w:hAnsi="宋体" w:cs="宋体"/>
          <w:b/>
          <w:bCs/>
          <w:color w:val="auto"/>
          <w:sz w:val="28"/>
        </w:rPr>
        <w:t>宗地比较因素条件说明表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
        <w:gridCol w:w="700"/>
        <w:gridCol w:w="1999"/>
        <w:gridCol w:w="1723"/>
        <w:gridCol w:w="1598"/>
        <w:gridCol w:w="15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1633" w:type="pct"/>
            <w:gridSpan w:val="3"/>
            <w:vMerge w:val="restart"/>
            <w:vAlign w:val="center"/>
          </w:tcPr>
          <w:p>
            <w:pPr>
              <w:pStyle w:val="27"/>
              <w:snapToGrid w:val="0"/>
              <w:ind w:right="-95"/>
              <w:jc w:val="center"/>
              <w:textAlignment w:val="auto"/>
              <w:rPr>
                <w:rFonts w:hAnsi="宋体" w:cs="宋体"/>
                <w:color w:val="auto"/>
                <w:sz w:val="18"/>
                <w:szCs w:val="18"/>
              </w:rPr>
            </w:pPr>
            <w:r>
              <w:rPr>
                <w:rFonts w:hint="eastAsia" w:hAnsi="宋体" w:cs="宋体"/>
                <w:color w:val="auto"/>
                <w:sz w:val="18"/>
                <w:szCs w:val="18"/>
              </w:rPr>
              <w:t>比较因素</w:t>
            </w:r>
          </w:p>
        </w:tc>
        <w:tc>
          <w:tcPr>
            <w:tcW w:w="3367" w:type="pct"/>
            <w:gridSpan w:val="4"/>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估价对象与比较实例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1633" w:type="pct"/>
            <w:gridSpan w:val="3"/>
            <w:vMerge w:val="continue"/>
            <w:vAlign w:val="center"/>
          </w:tcPr>
          <w:p>
            <w:pPr>
              <w:tabs>
                <w:tab w:val="left" w:pos="1890"/>
              </w:tabs>
              <w:adjustRightInd w:val="0"/>
              <w:snapToGrid w:val="0"/>
              <w:ind w:right="-199" w:rightChars="-95" w:firstLine="720" w:firstLineChars="400"/>
              <w:rPr>
                <w:rFonts w:ascii="宋体" w:hAnsi="宋体" w:cs="宋体"/>
                <w:color w:val="auto"/>
                <w:sz w:val="18"/>
                <w:szCs w:val="18"/>
              </w:rPr>
            </w:pP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待估宗地</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实例一</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实例二</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实例三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1633" w:type="pct"/>
            <w:gridSpan w:val="3"/>
            <w:vAlign w:val="center"/>
          </w:tcPr>
          <w:p>
            <w:pPr>
              <w:tabs>
                <w:tab w:val="left" w:pos="1890"/>
              </w:tabs>
              <w:adjustRightInd w:val="0"/>
              <w:snapToGrid w:val="0"/>
              <w:ind w:right="-199" w:rightChars="-95"/>
              <w:jc w:val="center"/>
              <w:rPr>
                <w:rFonts w:ascii="宋体" w:hAnsi="宋体" w:cs="宋体"/>
                <w:color w:val="auto"/>
                <w:sz w:val="18"/>
                <w:szCs w:val="18"/>
              </w:rPr>
            </w:pPr>
            <w:r>
              <w:rPr>
                <w:rFonts w:hint="eastAsia" w:ascii="宋体" w:hAnsi="宋体" w:cs="宋体"/>
                <w:color w:val="auto"/>
                <w:sz w:val="18"/>
                <w:szCs w:val="18"/>
              </w:rPr>
              <w:t>交易价格</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待估</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1200</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1360</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1633"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交易时间</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2020.3</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2019.1</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2018.12</w:t>
            </w:r>
          </w:p>
        </w:tc>
        <w:tc>
          <w:tcPr>
            <w:tcW w:w="808" w:type="pct"/>
            <w:vAlign w:val="center"/>
          </w:tcPr>
          <w:p>
            <w:pPr>
              <w:adjustRightInd w:val="0"/>
              <w:snapToGrid w:val="0"/>
              <w:ind w:left="-107" w:leftChars="-51" w:right="-95"/>
              <w:jc w:val="center"/>
              <w:rPr>
                <w:rFonts w:ascii="宋体" w:hAnsi="宋体" w:cs="宋体"/>
                <w:color w:val="auto"/>
                <w:sz w:val="18"/>
                <w:szCs w:val="18"/>
              </w:rPr>
            </w:pPr>
            <w:r>
              <w:rPr>
                <w:rFonts w:hint="eastAsia" w:ascii="宋体" w:hAnsi="宋体" w:cs="宋体"/>
                <w:color w:val="auto"/>
                <w:sz w:val="18"/>
                <w:szCs w:val="18"/>
              </w:rPr>
              <w:t>2019.2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1633"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交易情况</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正常</w:t>
            </w:r>
          </w:p>
        </w:tc>
        <w:tc>
          <w:tcPr>
            <w:tcW w:w="845" w:type="pct"/>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正常</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正常</w:t>
            </w:r>
          </w:p>
        </w:tc>
        <w:tc>
          <w:tcPr>
            <w:tcW w:w="808" w:type="pct"/>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1633"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交易方式</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出让</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出让</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出让</w:t>
            </w:r>
          </w:p>
        </w:tc>
        <w:tc>
          <w:tcPr>
            <w:tcW w:w="808" w:type="pct"/>
            <w:vAlign w:val="center"/>
          </w:tcPr>
          <w:p>
            <w:pPr>
              <w:adjustRightInd w:val="0"/>
              <w:snapToGrid w:val="0"/>
              <w:ind w:left="-107" w:leftChars="-51" w:right="-95"/>
              <w:jc w:val="center"/>
              <w:rPr>
                <w:rFonts w:ascii="宋体" w:hAnsi="宋体" w:cs="宋体"/>
                <w:color w:val="auto"/>
                <w:sz w:val="18"/>
                <w:szCs w:val="18"/>
              </w:rPr>
            </w:pPr>
            <w:r>
              <w:rPr>
                <w:rFonts w:hint="eastAsia" w:ascii="宋体" w:hAnsi="宋体" w:cs="宋体"/>
                <w:color w:val="auto"/>
                <w:sz w:val="18"/>
                <w:szCs w:val="18"/>
              </w:rPr>
              <w:t>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1633"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土地使用年期</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54.5年</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70年</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70年</w:t>
            </w:r>
          </w:p>
        </w:tc>
        <w:tc>
          <w:tcPr>
            <w:tcW w:w="808" w:type="pct"/>
            <w:vAlign w:val="center"/>
          </w:tcPr>
          <w:p>
            <w:pPr>
              <w:adjustRightInd w:val="0"/>
              <w:snapToGrid w:val="0"/>
              <w:ind w:left="-107" w:leftChars="-51" w:right="-95"/>
              <w:jc w:val="center"/>
              <w:rPr>
                <w:rFonts w:ascii="宋体" w:hAnsi="宋体" w:cs="宋体"/>
                <w:color w:val="auto"/>
                <w:sz w:val="18"/>
                <w:szCs w:val="18"/>
              </w:rPr>
            </w:pPr>
            <w:r>
              <w:rPr>
                <w:rFonts w:hint="eastAsia" w:ascii="宋体" w:hAnsi="宋体" w:cs="宋体"/>
                <w:color w:val="auto"/>
                <w:sz w:val="18"/>
                <w:szCs w:val="18"/>
              </w:rPr>
              <w:t>70年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1633"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土地用途</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城镇住宅用地</w:t>
            </w:r>
          </w:p>
        </w:tc>
        <w:tc>
          <w:tcPr>
            <w:tcW w:w="845" w:type="pct"/>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城镇住宅用地</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城镇住宅用地</w:t>
            </w:r>
          </w:p>
        </w:tc>
        <w:tc>
          <w:tcPr>
            <w:tcW w:w="808" w:type="pct"/>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城镇住宅用地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restar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区域因素</w:t>
            </w: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基础设施状况</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红线外“五通”</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红线外“五通”</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红线外“五通”</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红线外“五通”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居住聚集度</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较聚集</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较聚集</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较聚集</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较聚集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交通条件</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370" w:type="pct"/>
            <w:vMerge w:val="restar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道路通达度</w:t>
            </w:r>
          </w:p>
        </w:tc>
        <w:tc>
          <w:tcPr>
            <w:tcW w:w="1056"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道路等级</w:t>
            </w:r>
          </w:p>
        </w:tc>
        <w:tc>
          <w:tcPr>
            <w:tcW w:w="911" w:type="pct"/>
            <w:vAlign w:val="center"/>
          </w:tcPr>
          <w:p>
            <w:pPr>
              <w:jc w:val="center"/>
              <w:rPr>
                <w:rFonts w:ascii="宋体" w:hAnsi="宋体" w:cs="宋体"/>
                <w:color w:val="auto"/>
                <w:sz w:val="18"/>
                <w:szCs w:val="18"/>
              </w:rPr>
            </w:pPr>
            <w:r>
              <w:rPr>
                <w:rFonts w:hint="eastAsia" w:ascii="宋体" w:hAnsi="宋体" w:cs="宋体"/>
                <w:color w:val="auto"/>
                <w:sz w:val="18"/>
                <w:szCs w:val="18"/>
              </w:rPr>
              <w:t>巷道</w:t>
            </w:r>
          </w:p>
        </w:tc>
        <w:tc>
          <w:tcPr>
            <w:tcW w:w="845" w:type="pct"/>
            <w:vAlign w:val="center"/>
          </w:tcPr>
          <w:p>
            <w:pPr>
              <w:jc w:val="center"/>
              <w:rPr>
                <w:rFonts w:ascii="宋体" w:hAnsi="宋体" w:cs="宋体"/>
                <w:color w:val="auto"/>
                <w:sz w:val="18"/>
                <w:szCs w:val="18"/>
              </w:rPr>
            </w:pPr>
            <w:r>
              <w:rPr>
                <w:rFonts w:hint="eastAsia" w:ascii="宋体" w:hAnsi="宋体" w:cs="宋体"/>
                <w:color w:val="auto"/>
                <w:sz w:val="18"/>
                <w:szCs w:val="18"/>
              </w:rPr>
              <w:t>巷道</w:t>
            </w:r>
          </w:p>
        </w:tc>
        <w:tc>
          <w:tcPr>
            <w:tcW w:w="803" w:type="pct"/>
            <w:vAlign w:val="center"/>
          </w:tcPr>
          <w:p>
            <w:pPr>
              <w:jc w:val="center"/>
              <w:rPr>
                <w:rFonts w:ascii="宋体" w:hAnsi="宋体" w:cs="宋体"/>
                <w:color w:val="auto"/>
                <w:sz w:val="18"/>
                <w:szCs w:val="18"/>
              </w:rPr>
            </w:pPr>
            <w:r>
              <w:rPr>
                <w:rFonts w:hint="eastAsia" w:ascii="宋体" w:hAnsi="宋体" w:cs="宋体"/>
                <w:color w:val="auto"/>
                <w:sz w:val="18"/>
                <w:szCs w:val="18"/>
              </w:rPr>
              <w:t>巷道</w:t>
            </w:r>
          </w:p>
        </w:tc>
        <w:tc>
          <w:tcPr>
            <w:tcW w:w="808" w:type="pct"/>
            <w:vAlign w:val="center"/>
          </w:tcPr>
          <w:p>
            <w:pPr>
              <w:jc w:val="center"/>
              <w:rPr>
                <w:rFonts w:ascii="宋体" w:hAnsi="宋体" w:cs="宋体"/>
                <w:color w:val="auto"/>
                <w:sz w:val="18"/>
                <w:szCs w:val="18"/>
              </w:rPr>
            </w:pPr>
            <w:r>
              <w:rPr>
                <w:rFonts w:hint="eastAsia" w:ascii="宋体" w:hAnsi="宋体" w:cs="宋体"/>
                <w:color w:val="auto"/>
                <w:sz w:val="18"/>
                <w:szCs w:val="18"/>
              </w:rPr>
              <w:t>巷道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370" w:type="pct"/>
            <w:vMerge w:val="continue"/>
            <w:vAlign w:val="center"/>
          </w:tcPr>
          <w:p>
            <w:pPr>
              <w:adjustRightInd w:val="0"/>
              <w:snapToGrid w:val="0"/>
              <w:ind w:right="-95"/>
              <w:jc w:val="center"/>
              <w:rPr>
                <w:rFonts w:ascii="宋体" w:hAnsi="宋体" w:cs="宋体"/>
                <w:color w:val="auto"/>
                <w:sz w:val="18"/>
                <w:szCs w:val="18"/>
              </w:rPr>
            </w:pPr>
          </w:p>
        </w:tc>
        <w:tc>
          <w:tcPr>
            <w:tcW w:w="1056"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道路类型</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生活型</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生活型</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生活型</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生活型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公交便捷度</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较便捷</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较便捷</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较便捷</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公用设施完善度</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环境质量优劣度</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绿地覆盖率</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规划限制</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无规划限制</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无规划限制</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无规划限制</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无规划限制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restar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个别因素</w:t>
            </w: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容积率</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1.2</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1.2</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1.2</w:t>
            </w:r>
          </w:p>
        </w:tc>
        <w:tc>
          <w:tcPr>
            <w:tcW w:w="808" w:type="pct"/>
            <w:vAlign w:val="center"/>
          </w:tcPr>
          <w:p>
            <w:pPr>
              <w:adjustRightInd w:val="0"/>
              <w:snapToGrid w:val="0"/>
              <w:ind w:left="-107" w:leftChars="-51" w:right="-95"/>
              <w:jc w:val="center"/>
              <w:rPr>
                <w:rFonts w:ascii="宋体" w:hAnsi="宋体" w:cs="宋体"/>
                <w:color w:val="auto"/>
                <w:sz w:val="18"/>
                <w:szCs w:val="18"/>
              </w:rPr>
            </w:pPr>
            <w:r>
              <w:rPr>
                <w:rFonts w:hint="eastAsia" w:ascii="宋体" w:hAnsi="宋体" w:cs="宋体"/>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宗地面积</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偏大</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偏大</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较合适</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较合适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宗地形状</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不规则</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较规则</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较规则</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临街状况</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二面临路</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一面临路</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一面临路</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一面临路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地质条件</w:t>
            </w:r>
          </w:p>
        </w:tc>
        <w:tc>
          <w:tcPr>
            <w:tcW w:w="91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较优</w:t>
            </w:r>
          </w:p>
        </w:tc>
        <w:tc>
          <w:tcPr>
            <w:tcW w:w="845"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较优</w:t>
            </w:r>
          </w:p>
        </w:tc>
        <w:tc>
          <w:tcPr>
            <w:tcW w:w="80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较优</w:t>
            </w:r>
          </w:p>
        </w:tc>
        <w:tc>
          <w:tcPr>
            <w:tcW w:w="808"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较优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宗地权属界线内土地开发程度</w:t>
            </w:r>
          </w:p>
        </w:tc>
        <w:tc>
          <w:tcPr>
            <w:tcW w:w="911"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场地平整</w:t>
            </w:r>
          </w:p>
        </w:tc>
        <w:tc>
          <w:tcPr>
            <w:tcW w:w="845"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场地平整</w:t>
            </w:r>
          </w:p>
        </w:tc>
        <w:tc>
          <w:tcPr>
            <w:tcW w:w="803"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场地平整</w:t>
            </w:r>
          </w:p>
        </w:tc>
        <w:tc>
          <w:tcPr>
            <w:tcW w:w="808"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trPr>
        <w:tc>
          <w:tcPr>
            <w:tcW w:w="207" w:type="pct"/>
            <w:vMerge w:val="continue"/>
            <w:vAlign w:val="center"/>
          </w:tcPr>
          <w:p>
            <w:pPr>
              <w:adjustRightInd w:val="0"/>
              <w:snapToGrid w:val="0"/>
              <w:ind w:right="-95"/>
              <w:jc w:val="center"/>
              <w:rPr>
                <w:rFonts w:ascii="宋体" w:hAnsi="宋体" w:cs="宋体"/>
                <w:color w:val="auto"/>
                <w:sz w:val="18"/>
                <w:szCs w:val="18"/>
              </w:rPr>
            </w:pPr>
          </w:p>
        </w:tc>
        <w:tc>
          <w:tcPr>
            <w:tcW w:w="1427" w:type="pct"/>
            <w:gridSpan w:val="2"/>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宗地最佳最有效利用</w:t>
            </w:r>
          </w:p>
        </w:tc>
        <w:tc>
          <w:tcPr>
            <w:tcW w:w="911"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未达到最佳最有效</w:t>
            </w:r>
          </w:p>
        </w:tc>
        <w:tc>
          <w:tcPr>
            <w:tcW w:w="845"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未达到最佳最有效</w:t>
            </w:r>
          </w:p>
        </w:tc>
        <w:tc>
          <w:tcPr>
            <w:tcW w:w="803"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达到最佳最有效</w:t>
            </w:r>
          </w:p>
        </w:tc>
        <w:tc>
          <w:tcPr>
            <w:tcW w:w="808"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达到最佳最有效</w:t>
            </w:r>
          </w:p>
        </w:tc>
      </w:tr>
    </w:tbl>
    <w:p>
      <w:pPr>
        <w:widowControl/>
        <w:autoSpaceDE w:val="0"/>
        <w:autoSpaceDN w:val="0"/>
        <w:adjustRightInd w:val="0"/>
        <w:spacing w:line="560" w:lineRule="exact"/>
        <w:ind w:firstLine="565" w:firstLineChars="202"/>
        <w:contextualSpacing/>
        <w:jc w:val="left"/>
        <w:rPr>
          <w:rFonts w:ascii="宋体" w:hAnsi="宋体" w:cs="宋体"/>
          <w:color w:val="auto"/>
          <w:kern w:val="0"/>
          <w:sz w:val="28"/>
          <w:szCs w:val="28"/>
        </w:rPr>
      </w:pPr>
      <w:r>
        <w:rPr>
          <w:rFonts w:hint="eastAsia" w:ascii="宋体" w:hAnsi="宋体" w:cs="宋体"/>
          <w:color w:val="auto"/>
          <w:kern w:val="0"/>
          <w:sz w:val="28"/>
          <w:szCs w:val="28"/>
        </w:rPr>
        <w:t>⑸编制比较因素条件指数表</w:t>
      </w:r>
    </w:p>
    <w:p>
      <w:pPr>
        <w:autoSpaceDE w:val="0"/>
        <w:autoSpaceDN w:val="0"/>
        <w:adjustRightInd w:val="0"/>
        <w:spacing w:line="560" w:lineRule="exact"/>
        <w:ind w:firstLine="565" w:firstLineChars="202"/>
        <w:contextualSpacing/>
        <w:jc w:val="left"/>
        <w:rPr>
          <w:rFonts w:ascii="宋体" w:hAnsi="宋体" w:cs="宋体"/>
          <w:color w:val="auto"/>
          <w:kern w:val="0"/>
          <w:sz w:val="28"/>
          <w:szCs w:val="28"/>
        </w:rPr>
      </w:pPr>
      <w:r>
        <w:rPr>
          <w:rFonts w:hint="eastAsia" w:ascii="宋体" w:hAnsi="宋体" w:cs="宋体"/>
          <w:color w:val="auto"/>
          <w:kern w:val="0"/>
          <w:sz w:val="28"/>
          <w:szCs w:val="28"/>
        </w:rPr>
        <w:t>根据估价对象与比较实例各种因素具体情况，编制比较因素条件指数。</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A.交易时间：在编制期日修正系数表时，地价指数可根据政府公布数据或通过各年政府公布的基准地价结合市场交易推算。因砚山县人民政府未公布地价指数数据，在砚山县人民政府砚</w:t>
      </w:r>
      <w:r>
        <w:rPr>
          <w:rFonts w:hint="eastAsia" w:ascii="宋体" w:hAnsi="宋体" w:cs="宋体"/>
          <w:color w:val="auto"/>
          <w:sz w:val="28"/>
          <w:szCs w:val="28"/>
        </w:rPr>
        <w:t>政复〔2017〕78号文件批准</w:t>
      </w:r>
      <w:r>
        <w:rPr>
          <w:rFonts w:hint="eastAsia" w:ascii="宋体" w:hAnsi="宋体" w:cs="宋体"/>
          <w:bCs/>
          <w:color w:val="auto"/>
          <w:sz w:val="28"/>
        </w:rPr>
        <w:t>公布实施的基准地价成果中体现了各等级各类用地地价增长幅度，见下表：</w:t>
      </w:r>
    </w:p>
    <w:p>
      <w:pPr>
        <w:ind w:right="420" w:firstLine="360"/>
        <w:jc w:val="center"/>
        <w:rPr>
          <w:rFonts w:ascii="宋体" w:hAnsi="宋体" w:cs="宋体"/>
          <w:color w:val="auto"/>
          <w:sz w:val="18"/>
          <w:szCs w:val="18"/>
        </w:rPr>
      </w:pPr>
      <w:r>
        <w:rPr>
          <w:rFonts w:hint="eastAsia" w:ascii="宋体" w:hAnsi="宋体" w:cs="宋体"/>
          <w:b/>
          <w:color w:val="auto"/>
        </w:rPr>
        <w:t>平远镇基准地价结果汇总表</w:t>
      </w:r>
      <w:r>
        <w:rPr>
          <w:rFonts w:hint="eastAsia" w:ascii="宋体" w:hAnsi="宋体" w:cs="宋体"/>
          <w:b/>
          <w:color w:val="auto"/>
          <w:sz w:val="24"/>
        </w:rPr>
        <w:t xml:space="preserve"> </w:t>
      </w:r>
    </w:p>
    <w:tbl>
      <w:tblPr>
        <w:tblStyle w:val="20"/>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977"/>
        <w:gridCol w:w="2097"/>
        <w:gridCol w:w="2097"/>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级别</w:t>
            </w:r>
          </w:p>
        </w:tc>
        <w:tc>
          <w:tcPr>
            <w:tcW w:w="1064"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年度</w:t>
            </w:r>
          </w:p>
        </w:tc>
        <w:tc>
          <w:tcPr>
            <w:tcW w:w="1128"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商服用地</w:t>
            </w:r>
          </w:p>
        </w:tc>
        <w:tc>
          <w:tcPr>
            <w:tcW w:w="1128"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住宅用地</w:t>
            </w:r>
          </w:p>
        </w:tc>
        <w:tc>
          <w:tcPr>
            <w:tcW w:w="1003" w:type="pct"/>
            <w:shd w:val="clear" w:color="auto" w:fill="auto"/>
            <w:vAlign w:val="center"/>
          </w:tcPr>
          <w:p>
            <w:pPr>
              <w:jc w:val="center"/>
              <w:rPr>
                <w:rFonts w:ascii="宋体" w:hAnsi="宋体" w:cs="宋体"/>
                <w:color w:val="auto"/>
                <w:szCs w:val="21"/>
              </w:rPr>
            </w:pPr>
            <w:r>
              <w:rPr>
                <w:rFonts w:hint="eastAsia" w:ascii="宋体" w:hAnsi="宋体" w:cs="宋体"/>
                <w:color w:val="auto"/>
                <w:szCs w:val="21"/>
              </w:rPr>
              <w:t>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restart"/>
            <w:shd w:val="clear" w:color="auto" w:fill="auto"/>
            <w:vAlign w:val="center"/>
          </w:tcPr>
          <w:p>
            <w:pPr>
              <w:jc w:val="center"/>
              <w:rPr>
                <w:rFonts w:ascii="宋体" w:hAnsi="宋体" w:cs="宋体"/>
                <w:color w:val="auto"/>
                <w:szCs w:val="21"/>
              </w:rPr>
            </w:pPr>
            <w:r>
              <w:rPr>
                <w:rFonts w:hint="eastAsia" w:ascii="宋体" w:hAnsi="宋体" w:cs="宋体"/>
                <w:color w:val="auto"/>
                <w:szCs w:val="21"/>
              </w:rPr>
              <w:t>Ⅰ级</w:t>
            </w:r>
          </w:p>
        </w:tc>
        <w:tc>
          <w:tcPr>
            <w:tcW w:w="1064" w:type="pct"/>
            <w:shd w:val="clear" w:color="auto" w:fill="auto"/>
            <w:vAlign w:val="bottom"/>
          </w:tcPr>
          <w:p>
            <w:pPr>
              <w:pStyle w:val="33"/>
              <w:rPr>
                <w:rFonts w:cs="宋体"/>
                <w:color w:val="auto"/>
              </w:rPr>
            </w:pPr>
            <w:r>
              <w:rPr>
                <w:rFonts w:hint="eastAsia" w:cs="宋体"/>
                <w:color w:val="auto"/>
              </w:rPr>
              <w:t>2016</w:t>
            </w:r>
          </w:p>
        </w:tc>
        <w:tc>
          <w:tcPr>
            <w:tcW w:w="1128" w:type="pct"/>
            <w:shd w:val="clear" w:color="auto" w:fill="auto"/>
            <w:vAlign w:val="bottom"/>
          </w:tcPr>
          <w:p>
            <w:pPr>
              <w:pStyle w:val="33"/>
              <w:rPr>
                <w:rFonts w:cs="宋体"/>
                <w:color w:val="auto"/>
              </w:rPr>
            </w:pPr>
            <w:r>
              <w:rPr>
                <w:rFonts w:hint="eastAsia" w:cs="宋体"/>
                <w:color w:val="auto"/>
              </w:rPr>
              <w:t>800</w:t>
            </w:r>
          </w:p>
        </w:tc>
        <w:tc>
          <w:tcPr>
            <w:tcW w:w="1128" w:type="pct"/>
            <w:shd w:val="clear" w:color="auto" w:fill="auto"/>
            <w:vAlign w:val="bottom"/>
          </w:tcPr>
          <w:p>
            <w:pPr>
              <w:pStyle w:val="33"/>
              <w:rPr>
                <w:rFonts w:cs="宋体"/>
                <w:color w:val="auto"/>
              </w:rPr>
            </w:pPr>
            <w:r>
              <w:rPr>
                <w:rFonts w:hint="eastAsia" w:cs="宋体"/>
                <w:color w:val="auto"/>
              </w:rPr>
              <w:t>549</w:t>
            </w:r>
          </w:p>
        </w:tc>
        <w:tc>
          <w:tcPr>
            <w:tcW w:w="1003" w:type="pct"/>
            <w:shd w:val="clear" w:color="auto" w:fill="auto"/>
            <w:vAlign w:val="bottom"/>
          </w:tcPr>
          <w:p>
            <w:pPr>
              <w:pStyle w:val="33"/>
              <w:rPr>
                <w:rFonts w:cs="宋体"/>
                <w:color w:val="auto"/>
              </w:rPr>
            </w:pPr>
            <w:r>
              <w:rPr>
                <w:rFonts w:hint="eastAsia" w:cs="宋体"/>
                <w:color w:val="auto"/>
              </w:rPr>
              <w:t>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2010</w:t>
            </w:r>
          </w:p>
        </w:tc>
        <w:tc>
          <w:tcPr>
            <w:tcW w:w="1128" w:type="pct"/>
            <w:shd w:val="clear" w:color="auto" w:fill="auto"/>
            <w:vAlign w:val="bottom"/>
          </w:tcPr>
          <w:p>
            <w:pPr>
              <w:pStyle w:val="33"/>
              <w:rPr>
                <w:rFonts w:cs="宋体"/>
                <w:color w:val="auto"/>
              </w:rPr>
            </w:pPr>
            <w:r>
              <w:rPr>
                <w:rFonts w:hint="eastAsia" w:cs="宋体"/>
                <w:color w:val="auto"/>
              </w:rPr>
              <w:t>473</w:t>
            </w:r>
          </w:p>
        </w:tc>
        <w:tc>
          <w:tcPr>
            <w:tcW w:w="1128" w:type="pct"/>
            <w:shd w:val="clear" w:color="auto" w:fill="auto"/>
            <w:vAlign w:val="bottom"/>
          </w:tcPr>
          <w:p>
            <w:pPr>
              <w:pStyle w:val="33"/>
              <w:rPr>
                <w:rFonts w:cs="宋体"/>
                <w:color w:val="auto"/>
              </w:rPr>
            </w:pPr>
            <w:r>
              <w:rPr>
                <w:rFonts w:hint="eastAsia" w:cs="宋体"/>
                <w:color w:val="auto"/>
              </w:rPr>
              <w:t>430</w:t>
            </w:r>
          </w:p>
        </w:tc>
        <w:tc>
          <w:tcPr>
            <w:tcW w:w="1003" w:type="pct"/>
            <w:shd w:val="clear" w:color="auto" w:fill="auto"/>
            <w:vAlign w:val="bottom"/>
          </w:tcPr>
          <w:p>
            <w:pPr>
              <w:pStyle w:val="33"/>
              <w:rPr>
                <w:rFonts w:cs="宋体"/>
                <w:color w:val="auto"/>
              </w:rPr>
            </w:pPr>
            <w:r>
              <w:rPr>
                <w:rFonts w:hint="eastAsia"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差值</w:t>
            </w:r>
          </w:p>
        </w:tc>
        <w:tc>
          <w:tcPr>
            <w:tcW w:w="1128" w:type="pct"/>
            <w:shd w:val="clear" w:color="auto" w:fill="auto"/>
            <w:vAlign w:val="bottom"/>
          </w:tcPr>
          <w:p>
            <w:pPr>
              <w:pStyle w:val="33"/>
              <w:rPr>
                <w:rFonts w:cs="宋体"/>
                <w:color w:val="auto"/>
              </w:rPr>
            </w:pPr>
            <w:r>
              <w:rPr>
                <w:rFonts w:hint="eastAsia" w:cs="宋体"/>
                <w:color w:val="auto"/>
              </w:rPr>
              <w:t>327</w:t>
            </w:r>
          </w:p>
        </w:tc>
        <w:tc>
          <w:tcPr>
            <w:tcW w:w="1128" w:type="pct"/>
            <w:shd w:val="clear" w:color="auto" w:fill="auto"/>
            <w:vAlign w:val="bottom"/>
          </w:tcPr>
          <w:p>
            <w:pPr>
              <w:pStyle w:val="33"/>
              <w:rPr>
                <w:rFonts w:cs="宋体"/>
                <w:color w:val="auto"/>
              </w:rPr>
            </w:pPr>
            <w:r>
              <w:rPr>
                <w:rFonts w:hint="eastAsia" w:cs="宋体"/>
                <w:color w:val="auto"/>
              </w:rPr>
              <w:t>119</w:t>
            </w:r>
          </w:p>
        </w:tc>
        <w:tc>
          <w:tcPr>
            <w:tcW w:w="1003" w:type="pct"/>
            <w:shd w:val="clear" w:color="auto" w:fill="auto"/>
            <w:vAlign w:val="bottom"/>
          </w:tcPr>
          <w:p>
            <w:pPr>
              <w:pStyle w:val="33"/>
              <w:rPr>
                <w:rFonts w:cs="宋体"/>
                <w:color w:val="auto"/>
              </w:rPr>
            </w:pPr>
            <w:r>
              <w:rPr>
                <w:rFonts w:hint="eastAsia"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平均增长率</w:t>
            </w:r>
          </w:p>
        </w:tc>
        <w:tc>
          <w:tcPr>
            <w:tcW w:w="1128" w:type="pct"/>
            <w:shd w:val="clear" w:color="auto" w:fill="auto"/>
            <w:vAlign w:val="bottom"/>
          </w:tcPr>
          <w:p>
            <w:pPr>
              <w:pStyle w:val="33"/>
              <w:rPr>
                <w:rFonts w:cs="宋体"/>
                <w:color w:val="auto"/>
              </w:rPr>
            </w:pPr>
            <w:r>
              <w:rPr>
                <w:rFonts w:hint="eastAsia" w:cs="宋体"/>
                <w:color w:val="auto"/>
              </w:rPr>
              <w:t>9.15%</w:t>
            </w:r>
          </w:p>
        </w:tc>
        <w:tc>
          <w:tcPr>
            <w:tcW w:w="1128" w:type="pct"/>
            <w:shd w:val="clear" w:color="auto" w:fill="auto"/>
            <w:vAlign w:val="bottom"/>
          </w:tcPr>
          <w:p>
            <w:pPr>
              <w:pStyle w:val="33"/>
              <w:rPr>
                <w:rFonts w:cs="宋体"/>
                <w:color w:val="auto"/>
              </w:rPr>
            </w:pPr>
            <w:r>
              <w:rPr>
                <w:rFonts w:hint="eastAsia" w:cs="宋体"/>
                <w:color w:val="auto"/>
              </w:rPr>
              <w:t>4.16%</w:t>
            </w:r>
          </w:p>
        </w:tc>
        <w:tc>
          <w:tcPr>
            <w:tcW w:w="1003" w:type="pct"/>
            <w:shd w:val="clear" w:color="auto" w:fill="auto"/>
            <w:vAlign w:val="bottom"/>
          </w:tcPr>
          <w:p>
            <w:pPr>
              <w:pStyle w:val="33"/>
              <w:rPr>
                <w:rFonts w:cs="宋体"/>
                <w:color w:val="auto"/>
              </w:rPr>
            </w:pPr>
            <w:r>
              <w:rPr>
                <w:rFonts w:hint="eastAsia" w:cs="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restart"/>
            <w:shd w:val="clear" w:color="auto" w:fill="auto"/>
            <w:vAlign w:val="center"/>
          </w:tcPr>
          <w:p>
            <w:pPr>
              <w:jc w:val="center"/>
              <w:rPr>
                <w:rFonts w:ascii="宋体" w:hAnsi="宋体" w:cs="宋体"/>
                <w:color w:val="auto"/>
                <w:szCs w:val="21"/>
              </w:rPr>
            </w:pPr>
            <w:r>
              <w:rPr>
                <w:rFonts w:hint="eastAsia" w:ascii="宋体" w:hAnsi="宋体" w:cs="宋体"/>
                <w:color w:val="auto"/>
                <w:szCs w:val="21"/>
              </w:rPr>
              <w:t>Ⅱ级</w:t>
            </w:r>
          </w:p>
        </w:tc>
        <w:tc>
          <w:tcPr>
            <w:tcW w:w="1064" w:type="pct"/>
            <w:shd w:val="clear" w:color="auto" w:fill="auto"/>
            <w:vAlign w:val="bottom"/>
          </w:tcPr>
          <w:p>
            <w:pPr>
              <w:pStyle w:val="33"/>
              <w:rPr>
                <w:rFonts w:cs="宋体"/>
                <w:color w:val="auto"/>
              </w:rPr>
            </w:pPr>
            <w:r>
              <w:rPr>
                <w:rFonts w:hint="eastAsia" w:cs="宋体"/>
                <w:color w:val="auto"/>
              </w:rPr>
              <w:t>2016</w:t>
            </w:r>
          </w:p>
        </w:tc>
        <w:tc>
          <w:tcPr>
            <w:tcW w:w="1128" w:type="pct"/>
            <w:shd w:val="clear" w:color="auto" w:fill="auto"/>
            <w:vAlign w:val="bottom"/>
          </w:tcPr>
          <w:p>
            <w:pPr>
              <w:pStyle w:val="33"/>
              <w:rPr>
                <w:rFonts w:cs="宋体"/>
                <w:color w:val="auto"/>
              </w:rPr>
            </w:pPr>
            <w:r>
              <w:rPr>
                <w:rFonts w:hint="eastAsia" w:cs="宋体"/>
                <w:color w:val="auto"/>
              </w:rPr>
              <w:t>510</w:t>
            </w:r>
          </w:p>
        </w:tc>
        <w:tc>
          <w:tcPr>
            <w:tcW w:w="1128" w:type="pct"/>
            <w:shd w:val="clear" w:color="auto" w:fill="auto"/>
            <w:vAlign w:val="bottom"/>
          </w:tcPr>
          <w:p>
            <w:pPr>
              <w:pStyle w:val="33"/>
              <w:rPr>
                <w:rFonts w:cs="宋体"/>
                <w:color w:val="auto"/>
              </w:rPr>
            </w:pPr>
            <w:r>
              <w:rPr>
                <w:rFonts w:hint="eastAsia" w:cs="宋体"/>
                <w:color w:val="auto"/>
              </w:rPr>
              <w:t>399</w:t>
            </w:r>
          </w:p>
        </w:tc>
        <w:tc>
          <w:tcPr>
            <w:tcW w:w="1003" w:type="pct"/>
            <w:shd w:val="clear" w:color="auto" w:fill="auto"/>
            <w:vAlign w:val="bottom"/>
          </w:tcPr>
          <w:p>
            <w:pPr>
              <w:pStyle w:val="33"/>
              <w:rPr>
                <w:rFonts w:cs="宋体"/>
                <w:color w:val="auto"/>
              </w:rPr>
            </w:pPr>
            <w:r>
              <w:rPr>
                <w:rFonts w:hint="eastAsia" w:cs="宋体"/>
                <w:color w:val="auto"/>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2010</w:t>
            </w:r>
          </w:p>
        </w:tc>
        <w:tc>
          <w:tcPr>
            <w:tcW w:w="1128" w:type="pct"/>
            <w:shd w:val="clear" w:color="auto" w:fill="auto"/>
            <w:vAlign w:val="bottom"/>
          </w:tcPr>
          <w:p>
            <w:pPr>
              <w:pStyle w:val="33"/>
              <w:rPr>
                <w:rFonts w:cs="宋体"/>
                <w:color w:val="auto"/>
              </w:rPr>
            </w:pPr>
            <w:r>
              <w:rPr>
                <w:rFonts w:hint="eastAsia" w:cs="宋体"/>
                <w:color w:val="auto"/>
              </w:rPr>
              <w:t>326</w:t>
            </w:r>
          </w:p>
        </w:tc>
        <w:tc>
          <w:tcPr>
            <w:tcW w:w="1128" w:type="pct"/>
            <w:shd w:val="clear" w:color="auto" w:fill="auto"/>
            <w:vAlign w:val="bottom"/>
          </w:tcPr>
          <w:p>
            <w:pPr>
              <w:pStyle w:val="33"/>
              <w:rPr>
                <w:rFonts w:cs="宋体"/>
                <w:color w:val="auto"/>
              </w:rPr>
            </w:pPr>
            <w:r>
              <w:rPr>
                <w:rFonts w:hint="eastAsia" w:cs="宋体"/>
                <w:color w:val="auto"/>
              </w:rPr>
              <w:t>296</w:t>
            </w:r>
          </w:p>
        </w:tc>
        <w:tc>
          <w:tcPr>
            <w:tcW w:w="1003" w:type="pct"/>
            <w:shd w:val="clear" w:color="auto" w:fill="auto"/>
            <w:vAlign w:val="bottom"/>
          </w:tcPr>
          <w:p>
            <w:pPr>
              <w:pStyle w:val="33"/>
              <w:rPr>
                <w:rFonts w:cs="宋体"/>
                <w:color w:val="auto"/>
              </w:rPr>
            </w:pPr>
            <w:r>
              <w:rPr>
                <w:rFonts w:hint="eastAsia" w:cs="宋体"/>
                <w:color w:val="auto"/>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差值</w:t>
            </w:r>
          </w:p>
        </w:tc>
        <w:tc>
          <w:tcPr>
            <w:tcW w:w="1128" w:type="pct"/>
            <w:shd w:val="clear" w:color="auto" w:fill="auto"/>
            <w:vAlign w:val="bottom"/>
          </w:tcPr>
          <w:p>
            <w:pPr>
              <w:pStyle w:val="33"/>
              <w:rPr>
                <w:rFonts w:cs="宋体"/>
                <w:color w:val="auto"/>
              </w:rPr>
            </w:pPr>
            <w:r>
              <w:rPr>
                <w:rFonts w:hint="eastAsia" w:cs="宋体"/>
                <w:color w:val="auto"/>
              </w:rPr>
              <w:t>184</w:t>
            </w:r>
          </w:p>
        </w:tc>
        <w:tc>
          <w:tcPr>
            <w:tcW w:w="1128" w:type="pct"/>
            <w:shd w:val="clear" w:color="auto" w:fill="auto"/>
            <w:vAlign w:val="bottom"/>
          </w:tcPr>
          <w:p>
            <w:pPr>
              <w:pStyle w:val="33"/>
              <w:rPr>
                <w:rFonts w:cs="宋体"/>
                <w:color w:val="auto"/>
              </w:rPr>
            </w:pPr>
            <w:r>
              <w:rPr>
                <w:rFonts w:hint="eastAsia" w:cs="宋体"/>
                <w:color w:val="auto"/>
              </w:rPr>
              <w:t>103</w:t>
            </w:r>
          </w:p>
        </w:tc>
        <w:tc>
          <w:tcPr>
            <w:tcW w:w="1003" w:type="pct"/>
            <w:shd w:val="clear" w:color="auto" w:fill="auto"/>
            <w:vAlign w:val="bottom"/>
          </w:tcPr>
          <w:p>
            <w:pPr>
              <w:pStyle w:val="33"/>
              <w:rPr>
                <w:rFonts w:cs="宋体"/>
                <w:color w:val="auto"/>
              </w:rPr>
            </w:pPr>
            <w:r>
              <w:rPr>
                <w:rFonts w:hint="eastAsia" w:cs="宋体"/>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平均增长率</w:t>
            </w:r>
          </w:p>
        </w:tc>
        <w:tc>
          <w:tcPr>
            <w:tcW w:w="1128" w:type="pct"/>
            <w:shd w:val="clear" w:color="auto" w:fill="auto"/>
            <w:vAlign w:val="bottom"/>
          </w:tcPr>
          <w:p>
            <w:pPr>
              <w:pStyle w:val="33"/>
              <w:rPr>
                <w:rFonts w:cs="宋体"/>
                <w:color w:val="auto"/>
              </w:rPr>
            </w:pPr>
            <w:r>
              <w:rPr>
                <w:rFonts w:hint="eastAsia" w:cs="宋体"/>
                <w:color w:val="auto"/>
              </w:rPr>
              <w:t>7.74%</w:t>
            </w:r>
          </w:p>
        </w:tc>
        <w:tc>
          <w:tcPr>
            <w:tcW w:w="1128" w:type="pct"/>
            <w:shd w:val="clear" w:color="auto" w:fill="auto"/>
            <w:vAlign w:val="bottom"/>
          </w:tcPr>
          <w:p>
            <w:pPr>
              <w:pStyle w:val="33"/>
              <w:rPr>
                <w:rFonts w:cs="宋体"/>
                <w:color w:val="auto"/>
              </w:rPr>
            </w:pPr>
            <w:r>
              <w:rPr>
                <w:rFonts w:hint="eastAsia" w:cs="宋体"/>
                <w:color w:val="auto"/>
              </w:rPr>
              <w:t>5.10%</w:t>
            </w:r>
          </w:p>
        </w:tc>
        <w:tc>
          <w:tcPr>
            <w:tcW w:w="1003" w:type="pct"/>
            <w:shd w:val="clear" w:color="auto" w:fill="auto"/>
            <w:vAlign w:val="bottom"/>
          </w:tcPr>
          <w:p>
            <w:pPr>
              <w:pStyle w:val="33"/>
              <w:rPr>
                <w:rFonts w:cs="宋体"/>
                <w:color w:val="auto"/>
              </w:rPr>
            </w:pPr>
            <w:r>
              <w:rPr>
                <w:rFonts w:hint="eastAsia" w:cs="宋体"/>
                <w:color w:val="auto"/>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restart"/>
            <w:vAlign w:val="center"/>
          </w:tcPr>
          <w:p>
            <w:pPr>
              <w:jc w:val="center"/>
              <w:rPr>
                <w:rFonts w:ascii="宋体" w:hAnsi="宋体" w:cs="宋体"/>
                <w:color w:val="auto"/>
                <w:szCs w:val="21"/>
              </w:rPr>
            </w:pPr>
            <w:r>
              <w:rPr>
                <w:rFonts w:hint="eastAsia" w:ascii="宋体" w:hAnsi="宋体" w:cs="宋体"/>
                <w:color w:val="auto"/>
                <w:szCs w:val="21"/>
              </w:rPr>
              <w:t>Ⅲ级</w:t>
            </w:r>
          </w:p>
        </w:tc>
        <w:tc>
          <w:tcPr>
            <w:tcW w:w="1064" w:type="pct"/>
            <w:shd w:val="clear" w:color="auto" w:fill="auto"/>
            <w:vAlign w:val="bottom"/>
          </w:tcPr>
          <w:p>
            <w:pPr>
              <w:pStyle w:val="33"/>
              <w:rPr>
                <w:rFonts w:cs="宋体"/>
                <w:color w:val="auto"/>
              </w:rPr>
            </w:pPr>
            <w:r>
              <w:rPr>
                <w:rFonts w:hint="eastAsia" w:cs="宋体"/>
                <w:color w:val="auto"/>
              </w:rPr>
              <w:t>2016</w:t>
            </w:r>
          </w:p>
        </w:tc>
        <w:tc>
          <w:tcPr>
            <w:tcW w:w="1128" w:type="pct"/>
            <w:shd w:val="clear" w:color="auto" w:fill="auto"/>
            <w:vAlign w:val="bottom"/>
          </w:tcPr>
          <w:p>
            <w:pPr>
              <w:pStyle w:val="33"/>
              <w:rPr>
                <w:rFonts w:cs="宋体"/>
                <w:color w:val="auto"/>
              </w:rPr>
            </w:pPr>
            <w:r>
              <w:rPr>
                <w:rFonts w:hint="eastAsia" w:cs="宋体"/>
                <w:color w:val="auto"/>
              </w:rPr>
              <w:t>305</w:t>
            </w:r>
          </w:p>
        </w:tc>
        <w:tc>
          <w:tcPr>
            <w:tcW w:w="1128" w:type="pct"/>
            <w:shd w:val="clear" w:color="auto" w:fill="auto"/>
            <w:vAlign w:val="bottom"/>
          </w:tcPr>
          <w:p>
            <w:pPr>
              <w:pStyle w:val="33"/>
              <w:rPr>
                <w:rFonts w:cs="宋体"/>
                <w:color w:val="auto"/>
              </w:rPr>
            </w:pPr>
            <w:r>
              <w:rPr>
                <w:rFonts w:hint="eastAsia" w:cs="宋体"/>
                <w:color w:val="auto"/>
              </w:rPr>
              <w:t>239</w:t>
            </w:r>
          </w:p>
        </w:tc>
        <w:tc>
          <w:tcPr>
            <w:tcW w:w="1003" w:type="pct"/>
            <w:shd w:val="clear" w:color="auto" w:fill="auto"/>
            <w:vAlign w:val="bottom"/>
          </w:tcPr>
          <w:p>
            <w:pPr>
              <w:pStyle w:val="33"/>
              <w:rPr>
                <w:rFonts w:cs="宋体"/>
                <w:color w:val="auto"/>
              </w:rPr>
            </w:pPr>
            <w:r>
              <w:rPr>
                <w:rFonts w:hint="eastAsia" w:cs="宋体"/>
                <w:color w:val="auto"/>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2010</w:t>
            </w:r>
          </w:p>
        </w:tc>
        <w:tc>
          <w:tcPr>
            <w:tcW w:w="1128" w:type="pct"/>
            <w:shd w:val="clear" w:color="auto" w:fill="auto"/>
            <w:vAlign w:val="bottom"/>
          </w:tcPr>
          <w:p>
            <w:pPr>
              <w:pStyle w:val="33"/>
              <w:rPr>
                <w:rFonts w:cs="宋体"/>
                <w:color w:val="auto"/>
              </w:rPr>
            </w:pPr>
            <w:r>
              <w:rPr>
                <w:rFonts w:hint="eastAsia" w:cs="宋体"/>
                <w:color w:val="auto"/>
              </w:rPr>
              <w:t>209</w:t>
            </w:r>
          </w:p>
        </w:tc>
        <w:tc>
          <w:tcPr>
            <w:tcW w:w="1128" w:type="pct"/>
            <w:shd w:val="clear" w:color="auto" w:fill="auto"/>
            <w:vAlign w:val="bottom"/>
          </w:tcPr>
          <w:p>
            <w:pPr>
              <w:pStyle w:val="33"/>
              <w:rPr>
                <w:rFonts w:cs="宋体"/>
                <w:color w:val="auto"/>
              </w:rPr>
            </w:pPr>
            <w:r>
              <w:rPr>
                <w:rFonts w:hint="eastAsia" w:cs="宋体"/>
                <w:color w:val="auto"/>
              </w:rPr>
              <w:t>199</w:t>
            </w:r>
          </w:p>
        </w:tc>
        <w:tc>
          <w:tcPr>
            <w:tcW w:w="1003" w:type="pct"/>
            <w:shd w:val="clear" w:color="auto" w:fill="auto"/>
            <w:vAlign w:val="bottom"/>
          </w:tcPr>
          <w:p>
            <w:pPr>
              <w:pStyle w:val="33"/>
              <w:rPr>
                <w:rFonts w:cs="宋体"/>
                <w:color w:val="auto"/>
              </w:rPr>
            </w:pPr>
            <w:r>
              <w:rPr>
                <w:rFonts w:hint="eastAsia" w:cs="宋体"/>
                <w:color w:val="auto"/>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差值</w:t>
            </w:r>
          </w:p>
        </w:tc>
        <w:tc>
          <w:tcPr>
            <w:tcW w:w="1128" w:type="pct"/>
            <w:shd w:val="clear" w:color="auto" w:fill="auto"/>
            <w:vAlign w:val="bottom"/>
          </w:tcPr>
          <w:p>
            <w:pPr>
              <w:pStyle w:val="33"/>
              <w:rPr>
                <w:rFonts w:cs="宋体"/>
                <w:color w:val="auto"/>
              </w:rPr>
            </w:pPr>
            <w:r>
              <w:rPr>
                <w:rFonts w:hint="eastAsia" w:cs="宋体"/>
                <w:color w:val="auto"/>
              </w:rPr>
              <w:t>96</w:t>
            </w:r>
          </w:p>
        </w:tc>
        <w:tc>
          <w:tcPr>
            <w:tcW w:w="1128" w:type="pct"/>
            <w:shd w:val="clear" w:color="auto" w:fill="auto"/>
            <w:vAlign w:val="bottom"/>
          </w:tcPr>
          <w:p>
            <w:pPr>
              <w:pStyle w:val="33"/>
              <w:rPr>
                <w:rFonts w:cs="宋体"/>
                <w:color w:val="auto"/>
              </w:rPr>
            </w:pPr>
            <w:r>
              <w:rPr>
                <w:rFonts w:hint="eastAsia" w:cs="宋体"/>
                <w:color w:val="auto"/>
              </w:rPr>
              <w:t>40</w:t>
            </w:r>
          </w:p>
        </w:tc>
        <w:tc>
          <w:tcPr>
            <w:tcW w:w="1003" w:type="pct"/>
            <w:shd w:val="clear" w:color="auto" w:fill="auto"/>
            <w:vAlign w:val="bottom"/>
          </w:tcPr>
          <w:p>
            <w:pPr>
              <w:pStyle w:val="33"/>
              <w:rPr>
                <w:rFonts w:cs="宋体"/>
                <w:color w:val="auto"/>
              </w:rPr>
            </w:pPr>
            <w:r>
              <w:rPr>
                <w:rFonts w:hint="eastAsia" w:cs="宋体"/>
                <w:color w:val="auto"/>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75" w:type="pct"/>
            <w:vMerge w:val="continue"/>
            <w:vAlign w:val="center"/>
          </w:tcPr>
          <w:p>
            <w:pPr>
              <w:jc w:val="center"/>
              <w:rPr>
                <w:rFonts w:ascii="宋体" w:hAnsi="宋体" w:cs="宋体"/>
                <w:color w:val="auto"/>
                <w:szCs w:val="21"/>
              </w:rPr>
            </w:pPr>
          </w:p>
        </w:tc>
        <w:tc>
          <w:tcPr>
            <w:tcW w:w="1064" w:type="pct"/>
            <w:shd w:val="clear" w:color="auto" w:fill="auto"/>
            <w:vAlign w:val="bottom"/>
          </w:tcPr>
          <w:p>
            <w:pPr>
              <w:pStyle w:val="33"/>
              <w:rPr>
                <w:rFonts w:cs="宋体"/>
                <w:color w:val="auto"/>
              </w:rPr>
            </w:pPr>
            <w:r>
              <w:rPr>
                <w:rFonts w:hint="eastAsia" w:cs="宋体"/>
                <w:color w:val="auto"/>
              </w:rPr>
              <w:t>平均增长率</w:t>
            </w:r>
          </w:p>
        </w:tc>
        <w:tc>
          <w:tcPr>
            <w:tcW w:w="1128" w:type="pct"/>
            <w:shd w:val="clear" w:color="auto" w:fill="auto"/>
            <w:vAlign w:val="bottom"/>
          </w:tcPr>
          <w:p>
            <w:pPr>
              <w:pStyle w:val="33"/>
              <w:rPr>
                <w:rFonts w:cs="宋体"/>
                <w:color w:val="auto"/>
              </w:rPr>
            </w:pPr>
            <w:r>
              <w:rPr>
                <w:rFonts w:hint="eastAsia" w:cs="宋体"/>
                <w:color w:val="auto"/>
              </w:rPr>
              <w:t>6.50%</w:t>
            </w:r>
          </w:p>
        </w:tc>
        <w:tc>
          <w:tcPr>
            <w:tcW w:w="1128" w:type="pct"/>
            <w:shd w:val="clear" w:color="auto" w:fill="auto"/>
            <w:vAlign w:val="bottom"/>
          </w:tcPr>
          <w:p>
            <w:pPr>
              <w:pStyle w:val="33"/>
              <w:rPr>
                <w:rFonts w:cs="宋体"/>
                <w:color w:val="auto"/>
              </w:rPr>
            </w:pPr>
            <w:r>
              <w:rPr>
                <w:rFonts w:hint="eastAsia" w:cs="宋体"/>
                <w:color w:val="auto"/>
              </w:rPr>
              <w:t>3.10%</w:t>
            </w:r>
          </w:p>
        </w:tc>
        <w:tc>
          <w:tcPr>
            <w:tcW w:w="1003" w:type="pct"/>
            <w:shd w:val="clear" w:color="auto" w:fill="auto"/>
            <w:vAlign w:val="bottom"/>
          </w:tcPr>
          <w:p>
            <w:pPr>
              <w:pStyle w:val="33"/>
              <w:rPr>
                <w:rFonts w:cs="宋体"/>
                <w:color w:val="auto"/>
              </w:rPr>
            </w:pPr>
            <w:r>
              <w:rPr>
                <w:rFonts w:hint="eastAsia" w:cs="宋体"/>
                <w:color w:val="auto"/>
              </w:rPr>
              <w:t>2.76%</w:t>
            </w:r>
          </w:p>
        </w:tc>
      </w:tr>
    </w:tbl>
    <w:p>
      <w:pPr>
        <w:spacing w:line="560" w:lineRule="exact"/>
        <w:ind w:firstLine="560" w:firstLineChars="200"/>
        <w:jc w:val="left"/>
        <w:rPr>
          <w:rFonts w:ascii="宋体" w:hAnsi="宋体" w:cs="宋体"/>
          <w:color w:val="auto"/>
          <w:sz w:val="28"/>
          <w:szCs w:val="28"/>
        </w:rPr>
      </w:pPr>
      <w:r>
        <w:rPr>
          <w:rFonts w:hint="eastAsia" w:ascii="宋体" w:hAnsi="宋体" w:cs="宋体"/>
          <w:color w:val="auto"/>
          <w:sz w:val="28"/>
          <w:szCs w:val="28"/>
        </w:rPr>
        <w:t>估价对象位于基准地价Ⅰ级城镇住宅用地区域，</w:t>
      </w:r>
      <w:r>
        <w:rPr>
          <w:rFonts w:hint="eastAsia" w:ascii="宋体" w:hAnsi="宋体" w:cs="宋体"/>
          <w:bCs/>
          <w:color w:val="auto"/>
          <w:sz w:val="28"/>
          <w:szCs w:val="28"/>
        </w:rPr>
        <w:t>结合估价对象</w:t>
      </w:r>
      <w:r>
        <w:rPr>
          <w:rFonts w:hint="eastAsia" w:ascii="宋体" w:hAnsi="宋体" w:cs="宋体"/>
          <w:bCs/>
          <w:color w:val="auto"/>
          <w:sz w:val="28"/>
        </w:rPr>
        <w:t>及市场交易实际情况的价格水平进行分析测算，认为该增长幅度较为符合客观实际情况，故以此编制平远镇集镇住宅用地地价指数。</w:t>
      </w:r>
      <w:r>
        <w:rPr>
          <w:rFonts w:hint="eastAsia" w:ascii="宋体" w:hAnsi="宋体" w:cs="宋体"/>
          <w:color w:val="auto"/>
          <w:sz w:val="28"/>
          <w:szCs w:val="28"/>
        </w:rPr>
        <w:t>以2016年1月为基期，编制平远镇地价指数表，交易时间修正系数按地价指数表计，平远镇集镇住宅用地地价指数（定基指数）见下表：</w:t>
      </w:r>
    </w:p>
    <w:p>
      <w:pPr>
        <w:spacing w:line="560" w:lineRule="exact"/>
        <w:ind w:firstLine="562" w:firstLineChars="200"/>
        <w:contextualSpacing/>
        <w:jc w:val="center"/>
        <w:rPr>
          <w:rFonts w:ascii="宋体" w:hAnsi="宋体" w:cs="宋体"/>
          <w:b/>
          <w:color w:val="auto"/>
          <w:sz w:val="28"/>
          <w:szCs w:val="28"/>
        </w:rPr>
      </w:pPr>
      <w:r>
        <w:rPr>
          <w:rFonts w:hint="eastAsia" w:ascii="宋体" w:hAnsi="宋体" w:cs="宋体"/>
          <w:b/>
          <w:color w:val="auto"/>
          <w:sz w:val="28"/>
          <w:szCs w:val="28"/>
        </w:rPr>
        <w:t>平远镇集镇住宅用地地价指数表</w:t>
      </w:r>
    </w:p>
    <w:tbl>
      <w:tblPr>
        <w:tblStyle w:val="20"/>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405"/>
        <w:gridCol w:w="1405"/>
        <w:gridCol w:w="1405"/>
        <w:gridCol w:w="1405"/>
        <w:gridCol w:w="1405"/>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93" w:type="pct"/>
            <w:vAlign w:val="center"/>
          </w:tcPr>
          <w:p>
            <w:pPr>
              <w:jc w:val="center"/>
              <w:rPr>
                <w:rFonts w:ascii="宋体" w:hAnsi="宋体" w:cs="宋体"/>
                <w:color w:val="auto"/>
                <w:sz w:val="18"/>
                <w:szCs w:val="18"/>
              </w:rPr>
            </w:pPr>
            <w:r>
              <w:rPr>
                <w:rFonts w:hint="eastAsia" w:ascii="宋体" w:hAnsi="宋体" w:cs="宋体"/>
                <w:color w:val="auto"/>
                <w:sz w:val="18"/>
                <w:szCs w:val="18"/>
              </w:rPr>
              <w:t>年度</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2016年1月</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2018年1月</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2018年12月</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2019年1月</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2019年2月</w:t>
            </w:r>
          </w:p>
        </w:tc>
        <w:tc>
          <w:tcPr>
            <w:tcW w:w="753" w:type="pct"/>
            <w:vAlign w:val="center"/>
          </w:tcPr>
          <w:p>
            <w:pPr>
              <w:jc w:val="center"/>
              <w:rPr>
                <w:rFonts w:ascii="宋体" w:hAnsi="宋体" w:cs="宋体"/>
                <w:color w:val="auto"/>
                <w:sz w:val="18"/>
                <w:szCs w:val="18"/>
              </w:rPr>
            </w:pPr>
            <w:r>
              <w:rPr>
                <w:rFonts w:hint="eastAsia" w:ascii="宋体" w:hAnsi="宋体" w:cs="宋体"/>
                <w:color w:val="auto"/>
                <w:sz w:val="18"/>
                <w:szCs w:val="18"/>
              </w:rPr>
              <w:t>2020年3月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93" w:type="pct"/>
            <w:vAlign w:val="center"/>
          </w:tcPr>
          <w:p>
            <w:pPr>
              <w:jc w:val="center"/>
              <w:rPr>
                <w:rFonts w:ascii="宋体" w:hAnsi="宋体" w:cs="宋体"/>
                <w:color w:val="auto"/>
                <w:sz w:val="18"/>
                <w:szCs w:val="18"/>
              </w:rPr>
            </w:pPr>
            <w:r>
              <w:rPr>
                <w:rFonts w:hint="eastAsia" w:ascii="宋体" w:hAnsi="宋体" w:cs="宋体"/>
                <w:color w:val="auto"/>
                <w:sz w:val="18"/>
                <w:szCs w:val="18"/>
              </w:rPr>
              <w:t>地价指数</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100</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108.32</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112.13</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112.48</w:t>
            </w:r>
          </w:p>
        </w:tc>
        <w:tc>
          <w:tcPr>
            <w:tcW w:w="750" w:type="pct"/>
            <w:vAlign w:val="center"/>
          </w:tcPr>
          <w:p>
            <w:pPr>
              <w:jc w:val="center"/>
              <w:rPr>
                <w:rFonts w:ascii="宋体" w:hAnsi="宋体" w:cs="宋体"/>
                <w:color w:val="auto"/>
                <w:sz w:val="18"/>
                <w:szCs w:val="18"/>
              </w:rPr>
            </w:pPr>
            <w:r>
              <w:rPr>
                <w:rFonts w:hint="eastAsia" w:ascii="宋体" w:hAnsi="宋体" w:cs="宋体"/>
                <w:color w:val="auto"/>
                <w:sz w:val="18"/>
                <w:szCs w:val="18"/>
              </w:rPr>
              <w:t>112.83</w:t>
            </w:r>
          </w:p>
        </w:tc>
        <w:tc>
          <w:tcPr>
            <w:tcW w:w="753" w:type="pct"/>
            <w:vAlign w:val="center"/>
          </w:tcPr>
          <w:p>
            <w:pPr>
              <w:jc w:val="center"/>
              <w:rPr>
                <w:rFonts w:ascii="宋体" w:hAnsi="宋体" w:cs="宋体"/>
                <w:color w:val="auto"/>
                <w:sz w:val="18"/>
                <w:szCs w:val="18"/>
              </w:rPr>
            </w:pPr>
            <w:r>
              <w:rPr>
                <w:rFonts w:hint="eastAsia" w:ascii="宋体" w:hAnsi="宋体" w:cs="宋体"/>
                <w:color w:val="auto"/>
                <w:sz w:val="18"/>
                <w:szCs w:val="18"/>
              </w:rPr>
              <w:t>117.34</w:t>
            </w:r>
          </w:p>
        </w:tc>
      </w:tr>
    </w:tbl>
    <w:p>
      <w:pPr>
        <w:adjustRightInd w:val="0"/>
        <w:spacing w:line="560" w:lineRule="exact"/>
        <w:ind w:firstLine="565" w:firstLineChars="202"/>
        <w:contextualSpacing/>
        <w:rPr>
          <w:rFonts w:ascii="宋体" w:hAnsi="宋体" w:cs="宋体"/>
          <w:bCs/>
          <w:color w:val="auto"/>
          <w:sz w:val="28"/>
        </w:rPr>
      </w:pPr>
      <w:r>
        <w:rPr>
          <w:rFonts w:hint="eastAsia" w:ascii="宋体" w:hAnsi="宋体" w:cs="宋体"/>
          <w:bCs/>
          <w:color w:val="auto"/>
          <w:sz w:val="28"/>
        </w:rPr>
        <w:t>B.交易情况：以待估宗地条件指数为100，待估宗地与比较实例情况一致，不做修正；</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C.交易方式：以待估宗地条件指数为100，待估宗地与比较实例情况一致，不做修正；</w:t>
      </w:r>
    </w:p>
    <w:p>
      <w:pPr>
        <w:spacing w:line="560" w:lineRule="exact"/>
        <w:ind w:firstLine="504" w:firstLineChars="180"/>
        <w:rPr>
          <w:rFonts w:hint="eastAsia" w:ascii="宋体" w:hAnsi="宋体" w:eastAsia="宋体" w:cs="宋体"/>
          <w:bCs/>
          <w:color w:val="auto"/>
          <w:sz w:val="28"/>
          <w:lang w:eastAsia="zh-CN"/>
        </w:rPr>
      </w:pPr>
      <w:r>
        <w:rPr>
          <w:rFonts w:hint="eastAsia" w:ascii="宋体" w:hAnsi="宋体" w:cs="宋体"/>
          <w:bCs/>
          <w:color w:val="auto"/>
          <w:sz w:val="28"/>
        </w:rPr>
        <w:t>D.土地使用年期：按年期修正公式计算条件指数，</w:t>
      </w:r>
      <w:r>
        <w:rPr>
          <w:rFonts w:hint="eastAsia" w:ascii="宋体" w:hAnsi="宋体" w:cs="宋体"/>
          <w:bCs/>
          <w:color w:val="auto"/>
          <w:sz w:val="28"/>
          <w:lang w:eastAsia="zh-CN"/>
        </w:rPr>
        <w:t>根据基准地价系数修正法求得估价对象</w:t>
      </w:r>
      <w:r>
        <w:rPr>
          <w:rFonts w:hint="eastAsia" w:ascii="宋体" w:hAnsi="宋体" w:cs="宋体"/>
          <w:color w:val="auto"/>
          <w:sz w:val="28"/>
          <w:szCs w:val="28"/>
        </w:rPr>
        <w:t>土地使用年期修正系数</w:t>
      </w:r>
      <w:r>
        <w:rPr>
          <w:rFonts w:hint="eastAsia" w:ascii="宋体" w:hAnsi="宋体" w:cs="宋体"/>
          <w:color w:val="auto"/>
          <w:sz w:val="28"/>
          <w:szCs w:val="28"/>
          <w:lang w:val="en-US" w:eastAsia="zh-CN"/>
        </w:rPr>
        <w:t>为</w:t>
      </w:r>
      <w:r>
        <w:rPr>
          <w:rFonts w:hint="eastAsia" w:ascii="宋体" w:hAnsi="宋体" w:cs="宋体"/>
          <w:color w:val="auto"/>
          <w:sz w:val="28"/>
          <w:szCs w:val="28"/>
        </w:rPr>
        <w:t>0.9894</w:t>
      </w:r>
      <w:r>
        <w:rPr>
          <w:rFonts w:hint="eastAsia" w:ascii="宋体" w:hAnsi="宋体" w:cs="宋体"/>
          <w:color w:val="auto"/>
          <w:sz w:val="28"/>
          <w:szCs w:val="28"/>
          <w:lang w:eastAsia="zh-CN"/>
        </w:rPr>
        <w:t>；</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E.土地用途：以待估宗地条件指数为100，待估宗地与比较实例情况一致，不做修正；</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F.基础设施状况：以待估宗地条件指数为100，待估宗地与比较实例情况一致，不做修正；</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G.居住聚集度：按居住聚集度分为聚集、较聚集、较分散、分散四个等级，以待估宗地条件指数为100，待估宗地与比较实例情况一致，不做修正；</w:t>
      </w:r>
    </w:p>
    <w:p>
      <w:pPr>
        <w:adjustRightInd w:val="0"/>
        <w:spacing w:line="560" w:lineRule="exact"/>
        <w:ind w:firstLine="630" w:firstLineChars="225"/>
        <w:contextualSpacing/>
        <w:rPr>
          <w:rFonts w:ascii="宋体" w:hAnsi="宋体" w:cs="宋体"/>
          <w:color w:val="auto"/>
          <w:kern w:val="0"/>
          <w:sz w:val="28"/>
          <w:szCs w:val="28"/>
        </w:rPr>
      </w:pPr>
      <w:r>
        <w:rPr>
          <w:rFonts w:hint="eastAsia" w:ascii="宋体" w:hAnsi="宋体" w:cs="宋体"/>
          <w:bCs/>
          <w:color w:val="auto"/>
          <w:sz w:val="28"/>
        </w:rPr>
        <w:t>H.交通条件：按交通条件分为优、较优、一般、较差、差五个等级，以待估宗地条件指数为100，待估宗地与比较实例情况一致，不做修正；</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I.道路等级：按道路通行量分为主干道、次干道、支路、巷道</w:t>
      </w:r>
      <w:r>
        <w:rPr>
          <w:rFonts w:hint="eastAsia" w:ascii="宋体" w:hAnsi="宋体" w:cs="宋体"/>
          <w:bCs/>
          <w:color w:val="auto"/>
          <w:sz w:val="28"/>
          <w:lang w:eastAsia="zh-CN"/>
        </w:rPr>
        <w:t>四</w:t>
      </w:r>
      <w:r>
        <w:rPr>
          <w:rFonts w:hint="eastAsia" w:ascii="宋体" w:hAnsi="宋体" w:cs="宋体"/>
          <w:bCs/>
          <w:color w:val="auto"/>
          <w:sz w:val="28"/>
        </w:rPr>
        <w:t>个等级，以待估宗地条件指数为100，待估宗地与比较实例情况一致，不做修正；</w:t>
      </w:r>
    </w:p>
    <w:p>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225"/>
        <w:contextualSpacing/>
        <w:textAlignment w:val="auto"/>
        <w:rPr>
          <w:rFonts w:ascii="宋体" w:hAnsi="宋体" w:cs="宋体"/>
          <w:bCs/>
          <w:color w:val="auto"/>
          <w:sz w:val="28"/>
        </w:rPr>
      </w:pPr>
      <w:r>
        <w:rPr>
          <w:rFonts w:hint="eastAsia" w:ascii="宋体" w:hAnsi="宋体" w:cs="宋体"/>
          <w:bCs/>
          <w:color w:val="auto"/>
          <w:sz w:val="28"/>
        </w:rPr>
        <w:t>J.道路类型：按道路通行类别分为交通型、混合型、生活型三个等级，根据设定用途判断道路等级对宗地地价的影响，以待估宗地条件指数为100，待估宗地与比较实例情况一致，不做修正；</w:t>
      </w:r>
    </w:p>
    <w:p>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225"/>
        <w:contextualSpacing/>
        <w:textAlignment w:val="auto"/>
        <w:rPr>
          <w:rFonts w:ascii="宋体" w:hAnsi="宋体" w:cs="宋体"/>
          <w:color w:val="auto"/>
          <w:sz w:val="28"/>
        </w:rPr>
      </w:pPr>
      <w:r>
        <w:rPr>
          <w:rFonts w:hint="eastAsia" w:ascii="宋体" w:hAnsi="宋体" w:cs="宋体"/>
          <w:color w:val="auto"/>
          <w:sz w:val="28"/>
        </w:rPr>
        <w:t>K.公交便捷度：按公共交通便捷程度分为便捷、较便捷、不便捷三个等级，</w:t>
      </w:r>
      <w:r>
        <w:rPr>
          <w:rFonts w:hint="eastAsia" w:ascii="宋体" w:hAnsi="宋体" w:cs="宋体"/>
          <w:bCs/>
          <w:color w:val="auto"/>
          <w:sz w:val="28"/>
        </w:rPr>
        <w:t>以待估宗地条件指数为100，待估宗地与比较实例情况一致，不做修正；</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ascii="宋体" w:hAnsi="宋体" w:cs="宋体"/>
          <w:bCs/>
          <w:color w:val="auto"/>
          <w:sz w:val="28"/>
        </w:rPr>
      </w:pPr>
      <w:r>
        <w:rPr>
          <w:rFonts w:hint="eastAsia" w:ascii="宋体" w:hAnsi="宋体" w:cs="宋体"/>
          <w:bCs/>
          <w:color w:val="auto"/>
          <w:sz w:val="28"/>
        </w:rPr>
        <w:t xml:space="preserve">L.公用设施完善度：按公用设施拥有量分为完善、较完善、一般、不完善四个等级，以待估宗地条件指数为100，待估宗地与比较实例情况一致，不做修正； </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ascii="宋体" w:hAnsi="宋体" w:cs="宋体"/>
          <w:bCs/>
          <w:color w:val="auto"/>
          <w:sz w:val="28"/>
        </w:rPr>
      </w:pPr>
      <w:r>
        <w:rPr>
          <w:rFonts w:hint="eastAsia" w:ascii="宋体" w:hAnsi="宋体" w:cs="宋体"/>
          <w:bCs/>
          <w:color w:val="auto"/>
          <w:sz w:val="28"/>
        </w:rPr>
        <w:t>M.环境质量优劣度：按污染程度分为优、较优、一般、较劣、劣五个等级，以待估宗地条件指数为100，待估宗地与比较实例情况一致，不做修正；</w:t>
      </w:r>
    </w:p>
    <w:p>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225"/>
        <w:contextualSpacing/>
        <w:textAlignment w:val="auto"/>
        <w:rPr>
          <w:rFonts w:ascii="宋体" w:hAnsi="宋体" w:cs="宋体"/>
          <w:bCs/>
          <w:color w:val="auto"/>
          <w:sz w:val="28"/>
        </w:rPr>
      </w:pPr>
      <w:r>
        <w:rPr>
          <w:rFonts w:hint="eastAsia" w:ascii="宋体" w:hAnsi="宋体" w:cs="宋体"/>
          <w:bCs/>
          <w:color w:val="auto"/>
          <w:sz w:val="28"/>
        </w:rPr>
        <w:t>N.绿地覆盖率：按绿地覆盖面积多少分为高、较高、一般、较低、低五个等级，以待估宗地条件指数为100，待估宗地与比较实例情况一致，不做修正；</w:t>
      </w:r>
    </w:p>
    <w:p>
      <w:pPr>
        <w:adjustRightInd w:val="0"/>
        <w:snapToGrid w:val="0"/>
        <w:spacing w:line="360" w:lineRule="auto"/>
        <w:ind w:firstLine="630" w:firstLineChars="225"/>
        <w:contextualSpacing/>
        <w:rPr>
          <w:rFonts w:ascii="宋体" w:hAnsi="宋体" w:cs="宋体"/>
          <w:bCs/>
          <w:color w:val="auto"/>
          <w:sz w:val="28"/>
        </w:rPr>
      </w:pPr>
      <w:r>
        <w:rPr>
          <w:rFonts w:hint="eastAsia" w:ascii="宋体" w:hAnsi="宋体" w:cs="宋体"/>
          <w:bCs/>
          <w:color w:val="auto"/>
          <w:sz w:val="28"/>
        </w:rPr>
        <w:t>O.规划限制：按区域内规划限制分有规划限制、一般规划限制、无规划限制三个等级，以待估宗地条件指数为100，待估宗地与比较实例情况一致，不做修正；</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P.</w:t>
      </w:r>
      <w:r>
        <w:rPr>
          <w:rFonts w:hint="eastAsia" w:ascii="宋体" w:hAnsi="宋体" w:cs="宋体"/>
          <w:color w:val="auto"/>
          <w:kern w:val="0"/>
          <w:sz w:val="28"/>
          <w:szCs w:val="28"/>
        </w:rPr>
        <w:t>容积率：以砚山县人民政府于2017年2月4日公布实施的平远镇基准地价更新技术报告中的容积率修正系数表确定</w:t>
      </w:r>
      <w:r>
        <w:rPr>
          <w:rFonts w:hint="eastAsia" w:ascii="宋体" w:hAnsi="宋体" w:cs="宋体"/>
          <w:bCs/>
          <w:color w:val="auto"/>
          <w:sz w:val="28"/>
        </w:rPr>
        <w:t>。</w:t>
      </w:r>
    </w:p>
    <w:p>
      <w:pPr>
        <w:pStyle w:val="16"/>
        <w:spacing w:before="120" w:after="120" w:line="240" w:lineRule="auto"/>
        <w:rPr>
          <w:rFonts w:eastAsia="宋体" w:cs="宋体"/>
          <w:color w:val="auto"/>
          <w:szCs w:val="24"/>
        </w:rPr>
      </w:pPr>
      <w:r>
        <w:rPr>
          <w:rFonts w:hint="eastAsia" w:eastAsia="宋体" w:cs="宋体"/>
          <w:b/>
          <w:color w:val="auto"/>
          <w:szCs w:val="24"/>
        </w:rPr>
        <w:t>平远镇集镇规划区住宅用地容积率修正系数表</w:t>
      </w:r>
    </w:p>
    <w:tbl>
      <w:tblPr>
        <w:tblStyle w:val="20"/>
        <w:tblW w:w="4947" w:type="pct"/>
        <w:tblInd w:w="0" w:type="dxa"/>
        <w:tblLayout w:type="autofit"/>
        <w:tblCellMar>
          <w:top w:w="0" w:type="dxa"/>
          <w:left w:w="108" w:type="dxa"/>
          <w:bottom w:w="0" w:type="dxa"/>
          <w:right w:w="108" w:type="dxa"/>
        </w:tblCellMar>
      </w:tblPr>
      <w:tblGrid>
        <w:gridCol w:w="1149"/>
        <w:gridCol w:w="1172"/>
        <w:gridCol w:w="1172"/>
        <w:gridCol w:w="1172"/>
        <w:gridCol w:w="1172"/>
        <w:gridCol w:w="1172"/>
        <w:gridCol w:w="1172"/>
        <w:gridCol w:w="1176"/>
      </w:tblGrid>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容积率</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0.8</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0.9</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1.0</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1.1</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1.2</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1.3</w:t>
            </w:r>
          </w:p>
        </w:tc>
        <w:tc>
          <w:tcPr>
            <w:tcW w:w="628"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1.4</w:t>
            </w: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修正系数</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0.96</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0.97</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0.98</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0.99</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rPr>
            </w:pPr>
            <w:r>
              <w:rPr>
                <w:rFonts w:hint="eastAsia" w:cs="宋体"/>
                <w:color w:val="auto"/>
              </w:rPr>
              <w:t>1.0</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1.01</w:t>
            </w:r>
          </w:p>
        </w:tc>
        <w:tc>
          <w:tcPr>
            <w:tcW w:w="628"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1.02</w:t>
            </w: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容积率</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1.5</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1.6</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1.7</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1.8</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1.9</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2.0</w:t>
            </w:r>
          </w:p>
        </w:tc>
        <w:tc>
          <w:tcPr>
            <w:tcW w:w="628"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2.1</w:t>
            </w: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修正系数</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1.03</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1.04</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1.05</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1.06</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rPr>
            </w:pPr>
            <w:r>
              <w:rPr>
                <w:rFonts w:hint="eastAsia" w:cs="宋体"/>
                <w:color w:val="auto"/>
              </w:rPr>
              <w:t>1.07</w:t>
            </w:r>
          </w:p>
        </w:tc>
        <w:tc>
          <w:tcPr>
            <w:tcW w:w="626"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1.08</w:t>
            </w:r>
          </w:p>
        </w:tc>
        <w:tc>
          <w:tcPr>
            <w:tcW w:w="628" w:type="pct"/>
            <w:tcBorders>
              <w:top w:val="single" w:color="auto" w:sz="8" w:space="0"/>
              <w:left w:val="nil"/>
              <w:bottom w:val="single" w:color="auto" w:sz="8" w:space="0"/>
              <w:right w:val="single" w:color="auto" w:sz="8" w:space="0"/>
            </w:tcBorders>
            <w:shd w:val="clear" w:color="auto" w:fill="auto"/>
            <w:vAlign w:val="bottom"/>
          </w:tcPr>
          <w:p>
            <w:pPr>
              <w:pStyle w:val="33"/>
              <w:rPr>
                <w:rFonts w:cs="宋体"/>
                <w:color w:val="auto"/>
                <w:sz w:val="24"/>
                <w:szCs w:val="24"/>
              </w:rPr>
            </w:pPr>
            <w:r>
              <w:rPr>
                <w:rFonts w:hint="eastAsia" w:cs="宋体"/>
                <w:color w:val="auto"/>
                <w:sz w:val="24"/>
                <w:szCs w:val="24"/>
              </w:rPr>
              <w:t>1.10</w:t>
            </w: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容积率</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2.2</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2.3</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2.4</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2.5</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2.6</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2.7</w:t>
            </w:r>
          </w:p>
        </w:tc>
        <w:tc>
          <w:tcPr>
            <w:tcW w:w="628"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p>
        </w:tc>
      </w:tr>
      <w:tr>
        <w:tblPrEx>
          <w:tblCellMar>
            <w:top w:w="0" w:type="dxa"/>
            <w:left w:w="108" w:type="dxa"/>
            <w:bottom w:w="0" w:type="dxa"/>
            <w:right w:w="108" w:type="dxa"/>
          </w:tblCellMar>
        </w:tblPrEx>
        <w:trPr>
          <w:trHeight w:val="320" w:hRule="atLeast"/>
        </w:trPr>
        <w:tc>
          <w:tcPr>
            <w:tcW w:w="614" w:type="pct"/>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color w:val="auto"/>
                <w:szCs w:val="21"/>
              </w:rPr>
            </w:pPr>
            <w:r>
              <w:rPr>
                <w:rFonts w:hint="eastAsia" w:ascii="宋体" w:hAnsi="宋体" w:cs="宋体"/>
                <w:color w:val="auto"/>
                <w:szCs w:val="21"/>
              </w:rPr>
              <w:t>修正系数</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1.11</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1.13</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1.14</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1.15</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1.16</w:t>
            </w:r>
          </w:p>
        </w:tc>
        <w:tc>
          <w:tcPr>
            <w:tcW w:w="626"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r>
              <w:rPr>
                <w:rFonts w:hint="eastAsia" w:cs="宋体"/>
                <w:color w:val="auto"/>
              </w:rPr>
              <w:t>1.17</w:t>
            </w:r>
          </w:p>
        </w:tc>
        <w:tc>
          <w:tcPr>
            <w:tcW w:w="628" w:type="pct"/>
            <w:tcBorders>
              <w:top w:val="single" w:color="auto" w:sz="8" w:space="0"/>
              <w:left w:val="nil"/>
              <w:bottom w:val="single" w:color="auto" w:sz="8" w:space="0"/>
              <w:right w:val="single" w:color="auto" w:sz="8" w:space="0"/>
            </w:tcBorders>
            <w:shd w:val="clear" w:color="auto" w:fill="auto"/>
            <w:vAlign w:val="center"/>
          </w:tcPr>
          <w:p>
            <w:pPr>
              <w:pStyle w:val="33"/>
              <w:rPr>
                <w:rFonts w:cs="宋体"/>
                <w:color w:val="auto"/>
              </w:rPr>
            </w:pPr>
          </w:p>
        </w:tc>
      </w:tr>
    </w:tbl>
    <w:p>
      <w:pPr>
        <w:adjustRightInd w:val="0"/>
        <w:spacing w:line="560" w:lineRule="exact"/>
        <w:ind w:firstLine="630" w:firstLineChars="225"/>
        <w:contextualSpacing/>
        <w:rPr>
          <w:rFonts w:ascii="宋体" w:hAnsi="宋体" w:cs="宋体"/>
          <w:bCs/>
          <w:color w:val="auto"/>
          <w:sz w:val="28"/>
        </w:rPr>
      </w:pPr>
      <w:r>
        <w:rPr>
          <w:rFonts w:hint="eastAsia" w:ascii="宋体" w:hAnsi="宋体" w:cs="宋体"/>
          <w:color w:val="auto"/>
          <w:kern w:val="0"/>
          <w:sz w:val="28"/>
          <w:szCs w:val="28"/>
        </w:rPr>
        <w:t>Q.</w:t>
      </w:r>
      <w:r>
        <w:rPr>
          <w:rFonts w:hint="eastAsia" w:ascii="宋体" w:hAnsi="宋体" w:cs="宋体"/>
          <w:bCs/>
          <w:color w:val="auto"/>
          <w:sz w:val="28"/>
        </w:rPr>
        <w:t>宗地面积：按宗地规划用途分为合适、较合适、偏小或偏大、过小或过大四个等级，</w:t>
      </w:r>
      <w:r>
        <w:rPr>
          <w:rFonts w:hint="eastAsia" w:ascii="宋体" w:hAnsi="宋体" w:cs="宋体"/>
          <w:bCs/>
          <w:color w:val="auto"/>
          <w:sz w:val="28"/>
          <w:lang w:eastAsia="zh-CN"/>
        </w:rPr>
        <w:t>（住宅用地一般＜</w:t>
      </w:r>
      <w:r>
        <w:rPr>
          <w:rFonts w:hint="eastAsia" w:ascii="宋体" w:hAnsi="宋体" w:cs="宋体"/>
          <w:bCs/>
          <w:color w:val="auto"/>
          <w:sz w:val="28"/>
          <w:lang w:val="en-US" w:eastAsia="zh-CN"/>
        </w:rPr>
        <w:t>150m</w:t>
      </w:r>
      <w:r>
        <w:rPr>
          <w:rFonts w:hint="eastAsia" w:ascii="宋体" w:hAnsi="宋体" w:cs="宋体"/>
          <w:bCs/>
          <w:color w:val="auto"/>
          <w:sz w:val="28"/>
          <w:vertAlign w:val="superscript"/>
          <w:lang w:val="en-US" w:eastAsia="zh-CN"/>
        </w:rPr>
        <w:t>2</w:t>
      </w:r>
      <w:r>
        <w:rPr>
          <w:rFonts w:hint="eastAsia" w:ascii="宋体" w:hAnsi="宋体" w:cs="宋体"/>
          <w:bCs/>
          <w:color w:val="auto"/>
          <w:sz w:val="28"/>
          <w:lang w:val="en-US" w:eastAsia="zh-CN"/>
        </w:rPr>
        <w:t>为过小，150-300m</w:t>
      </w:r>
      <w:r>
        <w:rPr>
          <w:rFonts w:hint="eastAsia" w:ascii="宋体" w:hAnsi="宋体" w:cs="宋体"/>
          <w:bCs/>
          <w:color w:val="auto"/>
          <w:sz w:val="28"/>
          <w:vertAlign w:val="superscript"/>
          <w:lang w:val="en-US" w:eastAsia="zh-CN"/>
        </w:rPr>
        <w:t>2</w:t>
      </w:r>
      <w:r>
        <w:rPr>
          <w:rFonts w:hint="eastAsia" w:ascii="宋体" w:hAnsi="宋体" w:cs="宋体"/>
          <w:bCs/>
          <w:color w:val="auto"/>
          <w:sz w:val="28"/>
          <w:lang w:val="en-US" w:eastAsia="zh-CN"/>
        </w:rPr>
        <w:t>为偏小，301-600m</w:t>
      </w:r>
      <w:r>
        <w:rPr>
          <w:rFonts w:hint="eastAsia" w:ascii="宋体" w:hAnsi="宋体" w:cs="宋体"/>
          <w:bCs/>
          <w:color w:val="auto"/>
          <w:sz w:val="28"/>
          <w:vertAlign w:val="superscript"/>
          <w:lang w:val="en-US" w:eastAsia="zh-CN"/>
        </w:rPr>
        <w:t>2</w:t>
      </w:r>
      <w:r>
        <w:rPr>
          <w:rFonts w:hint="eastAsia" w:ascii="宋体" w:hAnsi="宋体" w:cs="宋体"/>
          <w:bCs/>
          <w:color w:val="auto"/>
          <w:sz w:val="28"/>
          <w:lang w:val="en-US" w:eastAsia="zh-CN"/>
        </w:rPr>
        <w:t>为合适，601-900m</w:t>
      </w:r>
      <w:r>
        <w:rPr>
          <w:rFonts w:hint="eastAsia" w:ascii="宋体" w:hAnsi="宋体" w:cs="宋体"/>
          <w:bCs/>
          <w:color w:val="auto"/>
          <w:sz w:val="28"/>
          <w:vertAlign w:val="superscript"/>
          <w:lang w:val="en-US" w:eastAsia="zh-CN"/>
        </w:rPr>
        <w:t>2</w:t>
      </w:r>
      <w:r>
        <w:rPr>
          <w:rFonts w:hint="eastAsia" w:ascii="宋体" w:hAnsi="宋体" w:cs="宋体"/>
          <w:bCs/>
          <w:color w:val="auto"/>
          <w:sz w:val="28"/>
          <w:lang w:val="en-US" w:eastAsia="zh-CN"/>
        </w:rPr>
        <w:t>为较合适，901-3000m</w:t>
      </w:r>
      <w:r>
        <w:rPr>
          <w:rFonts w:hint="eastAsia" w:ascii="宋体" w:hAnsi="宋体" w:cs="宋体"/>
          <w:bCs/>
          <w:color w:val="auto"/>
          <w:sz w:val="28"/>
          <w:vertAlign w:val="superscript"/>
          <w:lang w:val="en-US" w:eastAsia="zh-CN"/>
        </w:rPr>
        <w:t>2</w:t>
      </w:r>
      <w:r>
        <w:rPr>
          <w:rFonts w:hint="eastAsia" w:ascii="宋体" w:hAnsi="宋体" w:cs="宋体"/>
          <w:bCs/>
          <w:color w:val="auto"/>
          <w:sz w:val="28"/>
          <w:lang w:val="en-US" w:eastAsia="zh-CN"/>
        </w:rPr>
        <w:t>为偏大，＞3000m</w:t>
      </w:r>
      <w:r>
        <w:rPr>
          <w:rFonts w:hint="eastAsia" w:ascii="宋体" w:hAnsi="宋体" w:cs="宋体"/>
          <w:bCs/>
          <w:color w:val="auto"/>
          <w:sz w:val="28"/>
          <w:vertAlign w:val="superscript"/>
          <w:lang w:val="en-US" w:eastAsia="zh-CN"/>
        </w:rPr>
        <w:t>2</w:t>
      </w:r>
      <w:r>
        <w:rPr>
          <w:rFonts w:hint="eastAsia" w:ascii="宋体" w:hAnsi="宋体" w:cs="宋体"/>
          <w:bCs/>
          <w:color w:val="auto"/>
          <w:sz w:val="28"/>
          <w:lang w:val="en-US" w:eastAsia="zh-CN"/>
        </w:rPr>
        <w:t>为过大），</w:t>
      </w:r>
      <w:r>
        <w:rPr>
          <w:rFonts w:hint="eastAsia" w:ascii="宋体" w:hAnsi="宋体" w:cs="宋体"/>
          <w:bCs/>
          <w:color w:val="auto"/>
          <w:sz w:val="28"/>
        </w:rPr>
        <w:t>以待估宗地条件指数为100，每相差一个等级，指数相应修正</w:t>
      </w:r>
      <w:r>
        <w:rPr>
          <w:rFonts w:hint="eastAsia" w:ascii="宋体" w:hAnsi="宋体" w:cs="宋体"/>
          <w:bCs/>
          <w:color w:val="auto"/>
          <w:sz w:val="28"/>
          <w:lang w:val="en-US" w:eastAsia="zh-CN"/>
        </w:rPr>
        <w:t>7</w:t>
      </w:r>
      <w:r>
        <w:rPr>
          <w:rFonts w:hint="eastAsia" w:ascii="宋体" w:hAnsi="宋体" w:cs="宋体"/>
          <w:bCs/>
          <w:color w:val="auto"/>
          <w:sz w:val="28"/>
        </w:rPr>
        <w:t>%；</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R.宗地形状：按宗地规划利用状况分为规则、较规则、不规则三个等级，以待估宗地条件指数为100，每相差一个等级，指数相应修正</w:t>
      </w:r>
      <w:r>
        <w:rPr>
          <w:rFonts w:hint="eastAsia" w:ascii="宋体" w:hAnsi="宋体" w:cs="宋体"/>
          <w:bCs/>
          <w:color w:val="auto"/>
          <w:sz w:val="28"/>
          <w:lang w:val="en-US" w:eastAsia="zh-CN"/>
        </w:rPr>
        <w:t>5</w:t>
      </w:r>
      <w:r>
        <w:rPr>
          <w:rFonts w:hint="eastAsia" w:ascii="宋体" w:hAnsi="宋体" w:cs="宋体"/>
          <w:bCs/>
          <w:color w:val="auto"/>
          <w:sz w:val="28"/>
        </w:rPr>
        <w:t>%；</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S.临街状况：按宗地规划利用状况分为四面临街、三面临街、二面临街、一面临街、不临街五个等级，以待估宗地条件指数为100，每相差一个等级，指数相应修正4%；</w:t>
      </w:r>
    </w:p>
    <w:p>
      <w:pPr>
        <w:adjustRightInd w:val="0"/>
        <w:spacing w:line="560" w:lineRule="exact"/>
        <w:ind w:firstLine="630" w:firstLineChars="225"/>
        <w:contextualSpacing/>
        <w:rPr>
          <w:rFonts w:ascii="宋体" w:hAnsi="宋体" w:cs="宋体"/>
          <w:bCs/>
          <w:color w:val="auto"/>
          <w:sz w:val="28"/>
        </w:rPr>
      </w:pPr>
      <w:r>
        <w:rPr>
          <w:rFonts w:hint="eastAsia" w:ascii="宋体" w:hAnsi="宋体" w:cs="宋体"/>
          <w:bCs/>
          <w:color w:val="auto"/>
          <w:sz w:val="28"/>
        </w:rPr>
        <w:t>T.地质条件：按宗地地形坡度及地基承载力分为优、较优、一般、较劣、劣五个等级，以待估宗地条件指数为100，待估宗地与比较实例情况一致，不做修正；</w:t>
      </w:r>
    </w:p>
    <w:p>
      <w:pPr>
        <w:adjustRightInd w:val="0"/>
        <w:spacing w:line="560" w:lineRule="exact"/>
        <w:ind w:firstLine="660" w:firstLineChars="236"/>
        <w:contextualSpacing/>
        <w:rPr>
          <w:rFonts w:ascii="宋体" w:hAnsi="宋体" w:cs="宋体"/>
          <w:bCs/>
          <w:color w:val="auto"/>
          <w:sz w:val="28"/>
        </w:rPr>
      </w:pPr>
      <w:r>
        <w:rPr>
          <w:rFonts w:hint="eastAsia" w:ascii="宋体" w:hAnsi="宋体" w:cs="宋体"/>
          <w:bCs/>
          <w:color w:val="auto"/>
          <w:sz w:val="28"/>
        </w:rPr>
        <w:t>U.宗地权属界线内土地开发程度：分为平整、较平整、不平整三个等级，以待估宗地条件指数为100，待估宗地与比较实例情况一致，不做修正；</w:t>
      </w:r>
    </w:p>
    <w:p>
      <w:pPr>
        <w:adjustRightInd w:val="0"/>
        <w:spacing w:line="560" w:lineRule="exact"/>
        <w:ind w:firstLine="660" w:firstLineChars="236"/>
        <w:contextualSpacing/>
        <w:rPr>
          <w:rFonts w:ascii="宋体" w:hAnsi="宋体" w:cs="宋体"/>
          <w:bCs/>
          <w:color w:val="auto"/>
          <w:sz w:val="28"/>
          <w:szCs w:val="28"/>
        </w:rPr>
      </w:pPr>
      <w:r>
        <w:rPr>
          <w:rFonts w:hint="eastAsia" w:ascii="宋体" w:hAnsi="宋体" w:cs="宋体"/>
          <w:bCs/>
          <w:color w:val="auto"/>
          <w:sz w:val="28"/>
        </w:rPr>
        <w:t>V.</w:t>
      </w:r>
      <w:r>
        <w:rPr>
          <w:rFonts w:hint="eastAsia" w:ascii="宋体" w:hAnsi="宋体" w:cs="宋体"/>
          <w:color w:val="auto"/>
          <w:kern w:val="0"/>
          <w:sz w:val="28"/>
          <w:szCs w:val="28"/>
        </w:rPr>
        <w:t>宗地最佳最有效利用：按宗地规划利用条件分为达到最佳最有效利用、未达到最佳最有效利用两个等级，</w:t>
      </w:r>
      <w:r>
        <w:rPr>
          <w:rFonts w:hint="eastAsia" w:ascii="宋体" w:hAnsi="宋体" w:cs="宋体"/>
          <w:bCs/>
          <w:color w:val="auto"/>
          <w:sz w:val="28"/>
        </w:rPr>
        <w:t>以待估宗地条件指数为100，每相差一个等级，指数相应修正</w:t>
      </w:r>
      <w:r>
        <w:rPr>
          <w:rFonts w:hint="eastAsia" w:ascii="宋体" w:hAnsi="宋体" w:cs="宋体"/>
          <w:bCs/>
          <w:color w:val="auto"/>
          <w:sz w:val="28"/>
          <w:lang w:val="en-US" w:eastAsia="zh-CN"/>
        </w:rPr>
        <w:t>10</w:t>
      </w:r>
      <w:r>
        <w:rPr>
          <w:rFonts w:hint="eastAsia" w:ascii="宋体" w:hAnsi="宋体" w:cs="宋体"/>
          <w:bCs/>
          <w:color w:val="auto"/>
          <w:sz w:val="28"/>
        </w:rPr>
        <w:t>%。</w:t>
      </w:r>
    </w:p>
    <w:p>
      <w:pPr>
        <w:adjustRightInd w:val="0"/>
        <w:ind w:firstLine="562" w:firstLineChars="200"/>
        <w:contextualSpacing/>
        <w:jc w:val="center"/>
        <w:rPr>
          <w:rFonts w:ascii="宋体" w:hAnsi="宋体" w:cs="宋体"/>
          <w:b/>
          <w:bCs/>
          <w:color w:val="auto"/>
          <w:sz w:val="28"/>
        </w:rPr>
      </w:pPr>
      <w:r>
        <w:rPr>
          <w:rFonts w:hint="eastAsia" w:ascii="宋体" w:hAnsi="宋体" w:cs="宋体"/>
          <w:b/>
          <w:bCs/>
          <w:color w:val="auto"/>
          <w:sz w:val="28"/>
        </w:rPr>
        <w:t>宗地</w:t>
      </w:r>
      <w:r>
        <w:rPr>
          <w:rFonts w:hint="eastAsia" w:ascii="宋体" w:hAnsi="宋体" w:cs="宋体"/>
          <w:b/>
          <w:color w:val="auto"/>
          <w:sz w:val="28"/>
        </w:rPr>
        <w:t>比较因素条件指数表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025"/>
        <w:gridCol w:w="1947"/>
        <w:gridCol w:w="1512"/>
        <w:gridCol w:w="1513"/>
        <w:gridCol w:w="1513"/>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369" w:type="dxa"/>
            <w:gridSpan w:val="3"/>
            <w:vMerge w:val="restart"/>
            <w:vAlign w:val="center"/>
          </w:tcPr>
          <w:p>
            <w:pPr>
              <w:pStyle w:val="27"/>
              <w:snapToGrid w:val="0"/>
              <w:ind w:right="-95"/>
              <w:jc w:val="center"/>
              <w:textAlignment w:val="auto"/>
              <w:rPr>
                <w:rFonts w:hAnsi="宋体" w:cs="宋体"/>
                <w:color w:val="auto"/>
                <w:sz w:val="18"/>
                <w:szCs w:val="18"/>
              </w:rPr>
            </w:pPr>
            <w:r>
              <w:rPr>
                <w:rFonts w:hint="eastAsia" w:hAnsi="宋体" w:cs="宋体"/>
                <w:color w:val="auto"/>
                <w:sz w:val="18"/>
                <w:szCs w:val="18"/>
              </w:rPr>
              <w:t>比较因素</w:t>
            </w:r>
          </w:p>
        </w:tc>
        <w:tc>
          <w:tcPr>
            <w:tcW w:w="6051" w:type="dxa"/>
            <w:gridSpan w:val="4"/>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估价对象与比较实例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369" w:type="dxa"/>
            <w:gridSpan w:val="3"/>
            <w:vMerge w:val="continue"/>
            <w:vAlign w:val="center"/>
          </w:tcPr>
          <w:p>
            <w:pPr>
              <w:tabs>
                <w:tab w:val="left" w:pos="1890"/>
              </w:tabs>
              <w:adjustRightInd w:val="0"/>
              <w:snapToGrid w:val="0"/>
              <w:ind w:right="-199" w:rightChars="-95" w:firstLine="720" w:firstLineChars="400"/>
              <w:jc w:val="center"/>
              <w:rPr>
                <w:rFonts w:ascii="宋体" w:hAnsi="宋体" w:cs="宋体"/>
                <w:color w:val="auto"/>
                <w:sz w:val="18"/>
                <w:szCs w:val="18"/>
              </w:rPr>
            </w:pP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待估宗地</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实例一</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实例二</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实例三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369" w:type="dxa"/>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交易时间</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117.34</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112.48</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112.13</w:t>
            </w:r>
          </w:p>
        </w:tc>
        <w:tc>
          <w:tcPr>
            <w:tcW w:w="1513" w:type="dxa"/>
            <w:vAlign w:val="center"/>
          </w:tcPr>
          <w:p>
            <w:pPr>
              <w:adjustRightInd w:val="0"/>
              <w:snapToGrid w:val="0"/>
              <w:ind w:left="-107" w:leftChars="-51" w:right="-95"/>
              <w:jc w:val="center"/>
              <w:rPr>
                <w:rFonts w:ascii="宋体" w:hAnsi="宋体" w:cs="宋体"/>
                <w:color w:val="auto"/>
                <w:sz w:val="18"/>
                <w:szCs w:val="18"/>
              </w:rPr>
            </w:pPr>
            <w:r>
              <w:rPr>
                <w:rFonts w:hint="eastAsia" w:ascii="宋体" w:hAnsi="宋体" w:cs="宋体"/>
                <w:color w:val="auto"/>
                <w:sz w:val="18"/>
                <w:szCs w:val="18"/>
              </w:rPr>
              <w:t>112.83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369" w:type="dxa"/>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交易情况</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369" w:type="dxa"/>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交易方式</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369" w:type="dxa"/>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土地使用年期</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98.94</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369" w:type="dxa"/>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土地用途</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restar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区域因素</w:t>
            </w: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基础设施状况</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居住聚集度</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交通条件</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1025" w:type="dxa"/>
            <w:vMerge w:val="restar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道路通达度</w:t>
            </w:r>
          </w:p>
        </w:tc>
        <w:tc>
          <w:tcPr>
            <w:tcW w:w="1947"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道路等级</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1025" w:type="dxa"/>
            <w:vMerge w:val="continue"/>
            <w:vAlign w:val="center"/>
          </w:tcPr>
          <w:p>
            <w:pPr>
              <w:adjustRightInd w:val="0"/>
              <w:snapToGrid w:val="0"/>
              <w:ind w:right="-95"/>
              <w:jc w:val="center"/>
              <w:rPr>
                <w:rFonts w:ascii="宋体" w:hAnsi="宋体" w:cs="宋体"/>
                <w:color w:val="auto"/>
                <w:sz w:val="18"/>
                <w:szCs w:val="18"/>
              </w:rPr>
            </w:pPr>
          </w:p>
        </w:tc>
        <w:tc>
          <w:tcPr>
            <w:tcW w:w="1947"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道路类型</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公交便捷度</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公用设施完善度</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环境质量优劣度</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绿地覆盖率</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规划限制</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restar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个别因素</w:t>
            </w: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容积率</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100</w:t>
            </w:r>
          </w:p>
        </w:tc>
        <w:tc>
          <w:tcPr>
            <w:tcW w:w="1513" w:type="dxa"/>
            <w:vAlign w:val="center"/>
          </w:tcPr>
          <w:p>
            <w:pPr>
              <w:adjustRightInd w:val="0"/>
              <w:snapToGrid w:val="0"/>
              <w:ind w:right="-95"/>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100</w:t>
            </w:r>
          </w:p>
        </w:tc>
        <w:tc>
          <w:tcPr>
            <w:tcW w:w="1513" w:type="dxa"/>
            <w:vAlign w:val="center"/>
          </w:tcPr>
          <w:p>
            <w:pPr>
              <w:adjustRightInd w:val="0"/>
              <w:snapToGrid w:val="0"/>
              <w:ind w:left="-107" w:leftChars="-51" w:right="-95"/>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宗地面积</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w:t>
            </w:r>
            <w:r>
              <w:rPr>
                <w:rFonts w:hint="eastAsia" w:ascii="宋体" w:hAnsi="宋体" w:cs="宋体"/>
                <w:color w:val="auto"/>
                <w:sz w:val="18"/>
                <w:szCs w:val="18"/>
                <w:lang w:val="en-US" w:eastAsia="zh-CN"/>
              </w:rPr>
              <w:t>7</w:t>
            </w:r>
          </w:p>
        </w:tc>
        <w:tc>
          <w:tcPr>
            <w:tcW w:w="1513" w:type="dxa"/>
            <w:vAlign w:val="center"/>
          </w:tcPr>
          <w:p>
            <w:pPr>
              <w:adjustRightInd w:val="0"/>
              <w:snapToGrid w:val="0"/>
              <w:ind w:left="-110" w:leftChars="-53" w:right="-95" w:hanging="1" w:hangingChars="1"/>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w:t>
            </w:r>
            <w:r>
              <w:rPr>
                <w:rFonts w:hint="eastAsia" w:ascii="宋体" w:hAnsi="宋体" w:cs="宋体"/>
                <w:color w:val="auto"/>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宗地形状</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w:t>
            </w:r>
            <w:r>
              <w:rPr>
                <w:rFonts w:hint="eastAsia" w:ascii="宋体" w:hAnsi="宋体" w:cs="宋体"/>
                <w:color w:val="auto"/>
                <w:sz w:val="18"/>
                <w:szCs w:val="18"/>
                <w:lang w:val="en-US" w:eastAsia="zh-CN"/>
              </w:rPr>
              <w:t>5</w:t>
            </w:r>
          </w:p>
        </w:tc>
        <w:tc>
          <w:tcPr>
            <w:tcW w:w="1513" w:type="dxa"/>
            <w:vAlign w:val="center"/>
          </w:tcPr>
          <w:p>
            <w:pPr>
              <w:adjustRightInd w:val="0"/>
              <w:snapToGrid w:val="0"/>
              <w:ind w:right="-95"/>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w:t>
            </w:r>
            <w:r>
              <w:rPr>
                <w:rFonts w:hint="eastAsia" w:ascii="宋体" w:hAnsi="宋体" w:cs="宋体"/>
                <w:color w:val="auto"/>
                <w:sz w:val="18"/>
                <w:szCs w:val="18"/>
                <w:lang w:val="en-US" w:eastAsia="zh-CN"/>
              </w:rPr>
              <w:t>5</w:t>
            </w:r>
          </w:p>
        </w:tc>
        <w:tc>
          <w:tcPr>
            <w:tcW w:w="1513" w:type="dxa"/>
            <w:vAlign w:val="center"/>
          </w:tcPr>
          <w:p>
            <w:pPr>
              <w:adjustRightInd w:val="0"/>
              <w:snapToGrid w:val="0"/>
              <w:ind w:right="-95"/>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w:t>
            </w:r>
            <w:r>
              <w:rPr>
                <w:rFonts w:hint="eastAsia" w:ascii="宋体" w:hAnsi="宋体" w:cs="宋体"/>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临街状况</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96</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96</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地质条件</w:t>
            </w:r>
          </w:p>
        </w:tc>
        <w:tc>
          <w:tcPr>
            <w:tcW w:w="1512"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宗地权属界线内土地开发程度</w:t>
            </w:r>
          </w:p>
        </w:tc>
        <w:tc>
          <w:tcPr>
            <w:tcW w:w="1512" w:type="dxa"/>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tcBorders>
              <w:bottom w:val="single" w:color="auto" w:sz="4" w:space="0"/>
            </w:tcBorders>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tcBorders>
              <w:bottom w:val="single" w:color="auto" w:sz="4" w:space="0"/>
            </w:tcBorders>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397" w:type="dxa"/>
            <w:vMerge w:val="continue"/>
            <w:vAlign w:val="center"/>
          </w:tcPr>
          <w:p>
            <w:pPr>
              <w:adjustRightInd w:val="0"/>
              <w:snapToGrid w:val="0"/>
              <w:ind w:right="-95"/>
              <w:jc w:val="center"/>
              <w:rPr>
                <w:rFonts w:ascii="宋体" w:hAnsi="宋体" w:cs="宋体"/>
                <w:color w:val="auto"/>
                <w:sz w:val="18"/>
                <w:szCs w:val="18"/>
              </w:rPr>
            </w:pPr>
          </w:p>
        </w:tc>
        <w:tc>
          <w:tcPr>
            <w:tcW w:w="2972" w:type="dxa"/>
            <w:gridSpan w:val="2"/>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宗地最佳最有效利用</w:t>
            </w:r>
          </w:p>
        </w:tc>
        <w:tc>
          <w:tcPr>
            <w:tcW w:w="1512" w:type="dxa"/>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w:t>
            </w:r>
          </w:p>
        </w:tc>
        <w:tc>
          <w:tcPr>
            <w:tcW w:w="1513" w:type="dxa"/>
            <w:tcBorders>
              <w:bottom w:val="single" w:color="auto" w:sz="4" w:space="0"/>
            </w:tcBorders>
            <w:vAlign w:val="center"/>
          </w:tcPr>
          <w:p>
            <w:pPr>
              <w:adjustRightInd w:val="0"/>
              <w:snapToGrid w:val="0"/>
              <w:ind w:left="-110" w:leftChars="-53" w:right="-95" w:hanging="1" w:hangingChars="1"/>
              <w:jc w:val="center"/>
              <w:rPr>
                <w:rFonts w:ascii="宋体" w:hAnsi="宋体" w:cs="宋体"/>
                <w:color w:val="auto"/>
                <w:sz w:val="18"/>
                <w:szCs w:val="18"/>
              </w:rPr>
            </w:pPr>
            <w:r>
              <w:rPr>
                <w:rFonts w:hint="eastAsia" w:ascii="宋体" w:hAnsi="宋体" w:cs="宋体"/>
                <w:color w:val="auto"/>
                <w:sz w:val="18"/>
                <w:szCs w:val="18"/>
              </w:rPr>
              <w:t>100</w:t>
            </w:r>
          </w:p>
        </w:tc>
        <w:tc>
          <w:tcPr>
            <w:tcW w:w="1513" w:type="dxa"/>
            <w:tcBorders>
              <w:bottom w:val="single" w:color="auto" w:sz="4" w:space="0"/>
            </w:tcBorders>
            <w:vAlign w:val="center"/>
          </w:tcPr>
          <w:p>
            <w:pPr>
              <w:adjustRightInd w:val="0"/>
              <w:snapToGrid w:val="0"/>
              <w:ind w:right="-95"/>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1</w:t>
            </w:r>
            <w:r>
              <w:rPr>
                <w:rFonts w:hint="eastAsia" w:ascii="宋体" w:hAnsi="宋体" w:cs="宋体"/>
                <w:color w:val="auto"/>
                <w:sz w:val="18"/>
                <w:szCs w:val="18"/>
                <w:lang w:val="en-US" w:eastAsia="zh-CN"/>
              </w:rPr>
              <w:t>10</w:t>
            </w:r>
          </w:p>
        </w:tc>
        <w:tc>
          <w:tcPr>
            <w:tcW w:w="1513" w:type="dxa"/>
            <w:tcBorders>
              <w:bottom w:val="single" w:color="auto" w:sz="4" w:space="0"/>
            </w:tcBorders>
            <w:vAlign w:val="center"/>
          </w:tcPr>
          <w:p>
            <w:pPr>
              <w:adjustRightInd w:val="0"/>
              <w:snapToGrid w:val="0"/>
              <w:ind w:left="-110" w:leftChars="-53" w:right="-95" w:hanging="1" w:hangingChars="1"/>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1</w:t>
            </w:r>
            <w:r>
              <w:rPr>
                <w:rFonts w:hint="eastAsia" w:ascii="宋体" w:hAnsi="宋体" w:cs="宋体"/>
                <w:color w:val="auto"/>
                <w:sz w:val="18"/>
                <w:szCs w:val="18"/>
                <w:lang w:val="en-US" w:eastAsia="zh-CN"/>
              </w:rPr>
              <w:t>10</w:t>
            </w:r>
          </w:p>
        </w:tc>
      </w:tr>
    </w:tbl>
    <w:p>
      <w:pPr>
        <w:adjustRightInd w:val="0"/>
        <w:spacing w:line="560" w:lineRule="exact"/>
        <w:ind w:firstLine="560" w:firstLineChars="200"/>
        <w:contextualSpacing/>
        <w:jc w:val="left"/>
        <w:rPr>
          <w:rFonts w:ascii="宋体" w:hAnsi="宋体" w:cs="宋体"/>
          <w:color w:val="auto"/>
          <w:kern w:val="0"/>
          <w:sz w:val="28"/>
          <w:szCs w:val="28"/>
        </w:rPr>
      </w:pPr>
      <w:r>
        <w:rPr>
          <w:rFonts w:hint="eastAsia" w:ascii="宋体" w:hAnsi="宋体" w:cs="宋体"/>
          <w:bCs/>
          <w:color w:val="auto"/>
          <w:sz w:val="28"/>
        </w:rPr>
        <w:t>⑹根据以上比较因素指数的说明，</w:t>
      </w:r>
      <w:r>
        <w:rPr>
          <w:rFonts w:hint="eastAsia" w:ascii="宋体" w:hAnsi="宋体" w:cs="宋体"/>
          <w:color w:val="auto"/>
          <w:kern w:val="0"/>
          <w:sz w:val="28"/>
          <w:szCs w:val="28"/>
        </w:rPr>
        <w:t>编制比较因素条件指数表及比较因素修正系数表（见下页表）：</w:t>
      </w:r>
    </w:p>
    <w:p>
      <w:pPr>
        <w:adjustRightInd w:val="0"/>
        <w:spacing w:line="560" w:lineRule="exact"/>
        <w:ind w:firstLine="562" w:firstLineChars="200"/>
        <w:contextualSpacing/>
        <w:jc w:val="center"/>
        <w:rPr>
          <w:rFonts w:ascii="宋体" w:hAnsi="宋体" w:cs="宋体"/>
          <w:b/>
          <w:bCs/>
          <w:color w:val="auto"/>
          <w:sz w:val="28"/>
        </w:rPr>
      </w:pPr>
      <w:r>
        <w:rPr>
          <w:rFonts w:hint="eastAsia" w:ascii="宋体" w:hAnsi="宋体" w:cs="宋体"/>
          <w:b/>
          <w:bCs/>
          <w:color w:val="auto"/>
          <w:sz w:val="28"/>
        </w:rPr>
        <w:t>宗地比较因素修正系数表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313"/>
        <w:gridCol w:w="1740"/>
        <w:gridCol w:w="1973"/>
        <w:gridCol w:w="1973"/>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Merge w:val="restart"/>
            <w:vAlign w:val="center"/>
          </w:tcPr>
          <w:p>
            <w:pPr>
              <w:pStyle w:val="27"/>
              <w:snapToGrid w:val="0"/>
              <w:ind w:right="-95"/>
              <w:jc w:val="center"/>
              <w:textAlignment w:val="auto"/>
              <w:rPr>
                <w:rFonts w:hAnsi="宋体" w:cs="宋体"/>
                <w:color w:val="auto"/>
                <w:sz w:val="18"/>
                <w:szCs w:val="18"/>
              </w:rPr>
            </w:pPr>
            <w:r>
              <w:rPr>
                <w:rFonts w:hint="eastAsia" w:hAnsi="宋体" w:cs="宋体"/>
                <w:color w:val="auto"/>
                <w:sz w:val="18"/>
                <w:szCs w:val="18"/>
              </w:rPr>
              <w:t>比较因素</w:t>
            </w:r>
          </w:p>
        </w:tc>
        <w:tc>
          <w:tcPr>
            <w:tcW w:w="3128"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比较实例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Merge w:val="continue"/>
            <w:vAlign w:val="center"/>
          </w:tcPr>
          <w:p>
            <w:pPr>
              <w:tabs>
                <w:tab w:val="left" w:pos="1890"/>
              </w:tabs>
              <w:adjustRightInd w:val="0"/>
              <w:snapToGrid w:val="0"/>
              <w:ind w:right="-199" w:rightChars="-95" w:firstLine="720" w:firstLineChars="400"/>
              <w:rPr>
                <w:rFonts w:ascii="宋体" w:hAnsi="宋体" w:cs="宋体"/>
                <w:color w:val="auto"/>
                <w:sz w:val="18"/>
                <w:szCs w:val="18"/>
              </w:rPr>
            </w:pP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实例一</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实例二</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实例三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交易价格（元/㎡）</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1200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1360</w:t>
            </w:r>
          </w:p>
        </w:tc>
        <w:tc>
          <w:tcPr>
            <w:tcW w:w="1041" w:type="pct"/>
            <w:vAlign w:val="center"/>
          </w:tcPr>
          <w:p>
            <w:pPr>
              <w:adjustRightInd w:val="0"/>
              <w:snapToGrid w:val="0"/>
              <w:ind w:left="-107" w:leftChars="-51" w:right="-95"/>
              <w:jc w:val="center"/>
              <w:rPr>
                <w:rFonts w:ascii="宋体" w:hAnsi="宋体" w:cs="宋体"/>
                <w:color w:val="auto"/>
                <w:sz w:val="18"/>
                <w:szCs w:val="18"/>
              </w:rPr>
            </w:pPr>
            <w:r>
              <w:rPr>
                <w:rFonts w:hint="eastAsia" w:ascii="宋体" w:hAnsi="宋体" w:cs="宋体"/>
                <w:color w:val="auto"/>
                <w:sz w:val="18"/>
                <w:szCs w:val="18"/>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交易时间</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117.34/112.48</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117.34/112.13</w:t>
            </w:r>
          </w:p>
        </w:tc>
        <w:tc>
          <w:tcPr>
            <w:tcW w:w="1041" w:type="pct"/>
            <w:vAlign w:val="center"/>
          </w:tcPr>
          <w:p>
            <w:pPr>
              <w:adjustRightInd w:val="0"/>
              <w:snapToGrid w:val="0"/>
              <w:ind w:left="-107" w:leftChars="-51" w:right="-95"/>
              <w:jc w:val="center"/>
              <w:rPr>
                <w:rFonts w:ascii="宋体" w:hAnsi="宋体" w:cs="宋体"/>
                <w:color w:val="auto"/>
                <w:sz w:val="18"/>
                <w:szCs w:val="18"/>
              </w:rPr>
            </w:pPr>
            <w:r>
              <w:rPr>
                <w:rFonts w:hint="eastAsia" w:ascii="宋体" w:hAnsi="宋体" w:cs="宋体"/>
                <w:color w:val="auto"/>
                <w:sz w:val="18"/>
                <w:szCs w:val="18"/>
              </w:rPr>
              <w:t>117.34/112.83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交易情况</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交易方式</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土地使用年期</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98.94/100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98.94/100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98.94/100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土地用途</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restar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区域因素</w:t>
            </w: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基础设施状况</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居住聚集度</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交通条件</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694" w:type="pct"/>
            <w:vMerge w:val="restar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道路通达度</w:t>
            </w:r>
          </w:p>
        </w:tc>
        <w:tc>
          <w:tcPr>
            <w:tcW w:w="919"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道路等级</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694" w:type="pct"/>
            <w:vMerge w:val="continue"/>
            <w:vAlign w:val="center"/>
          </w:tcPr>
          <w:p>
            <w:pPr>
              <w:adjustRightInd w:val="0"/>
              <w:snapToGrid w:val="0"/>
              <w:ind w:right="-95"/>
              <w:jc w:val="center"/>
              <w:rPr>
                <w:rFonts w:ascii="宋体" w:hAnsi="宋体" w:cs="宋体"/>
                <w:color w:val="auto"/>
                <w:sz w:val="18"/>
                <w:szCs w:val="18"/>
              </w:rPr>
            </w:pPr>
          </w:p>
        </w:tc>
        <w:tc>
          <w:tcPr>
            <w:tcW w:w="919"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道路类型</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公交便捷度</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公用设施完善度</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环境质量优劣度</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绿地覆盖率</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规划限制</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restar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个别因素</w:t>
            </w: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容积率</w:t>
            </w:r>
          </w:p>
        </w:tc>
        <w:tc>
          <w:tcPr>
            <w:tcW w:w="1043" w:type="pct"/>
            <w:vAlign w:val="center"/>
          </w:tcPr>
          <w:p>
            <w:pPr>
              <w:adjustRightInd w:val="0"/>
              <w:snapToGrid w:val="0"/>
              <w:ind w:right="-95"/>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rPr>
              <w:t>100/10</w:t>
            </w:r>
            <w:r>
              <w:rPr>
                <w:rFonts w:hint="eastAsia" w:ascii="宋体" w:hAnsi="宋体" w:cs="宋体"/>
                <w:color w:val="auto"/>
                <w:sz w:val="18"/>
                <w:szCs w:val="18"/>
                <w:lang w:val="en-US" w:eastAsia="zh-CN"/>
              </w:rPr>
              <w:t>0</w:t>
            </w:r>
          </w:p>
        </w:tc>
        <w:tc>
          <w:tcPr>
            <w:tcW w:w="1043" w:type="pct"/>
            <w:vAlign w:val="center"/>
          </w:tcPr>
          <w:p>
            <w:pPr>
              <w:adjustRightInd w:val="0"/>
              <w:snapToGrid w:val="0"/>
              <w:ind w:right="-95"/>
              <w:jc w:val="center"/>
              <w:rPr>
                <w:rFonts w:hint="eastAsia" w:ascii="宋体" w:hAnsi="宋体" w:eastAsia="宋体" w:cs="宋体"/>
                <w:color w:val="auto"/>
                <w:sz w:val="18"/>
                <w:szCs w:val="18"/>
                <w:lang w:val="en-US" w:eastAsia="zh-CN"/>
              </w:rPr>
            </w:pPr>
            <w:r>
              <w:rPr>
                <w:rFonts w:hint="eastAsia" w:ascii="宋体" w:hAnsi="宋体" w:cs="宋体"/>
                <w:color w:val="auto"/>
                <w:sz w:val="18"/>
                <w:szCs w:val="18"/>
              </w:rPr>
              <w:t>100/10</w:t>
            </w:r>
            <w:r>
              <w:rPr>
                <w:rFonts w:hint="eastAsia" w:ascii="宋体" w:hAnsi="宋体" w:cs="宋体"/>
                <w:color w:val="auto"/>
                <w:sz w:val="18"/>
                <w:szCs w:val="18"/>
                <w:lang w:val="en-US" w:eastAsia="zh-CN"/>
              </w:rPr>
              <w:t>0</w:t>
            </w:r>
          </w:p>
        </w:tc>
        <w:tc>
          <w:tcPr>
            <w:tcW w:w="1041" w:type="pct"/>
            <w:vAlign w:val="center"/>
          </w:tcPr>
          <w:p>
            <w:pPr>
              <w:adjustRightInd w:val="0"/>
              <w:snapToGrid w:val="0"/>
              <w:ind w:right="-95"/>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100/1</w:t>
            </w:r>
            <w:r>
              <w:rPr>
                <w:rFonts w:hint="eastAsia" w:ascii="宋体" w:hAnsi="宋体" w:cs="宋体"/>
                <w:color w:val="auto"/>
                <w:sz w:val="18"/>
                <w:szCs w:val="18"/>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宗地面积</w:t>
            </w:r>
          </w:p>
        </w:tc>
        <w:tc>
          <w:tcPr>
            <w:tcW w:w="1043"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tcBorders>
              <w:bottom w:val="single" w:color="auto" w:sz="4" w:space="0"/>
            </w:tcBorders>
            <w:vAlign w:val="center"/>
          </w:tcPr>
          <w:p>
            <w:pPr>
              <w:adjustRightInd w:val="0"/>
              <w:snapToGrid w:val="0"/>
              <w:ind w:right="-95"/>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100/10</w:t>
            </w:r>
            <w:r>
              <w:rPr>
                <w:rFonts w:hint="eastAsia" w:ascii="宋体" w:hAnsi="宋体" w:cs="宋体"/>
                <w:color w:val="auto"/>
                <w:sz w:val="18"/>
                <w:szCs w:val="18"/>
                <w:lang w:val="en-US" w:eastAsia="zh-CN"/>
              </w:rPr>
              <w:t>7</w:t>
            </w:r>
          </w:p>
        </w:tc>
        <w:tc>
          <w:tcPr>
            <w:tcW w:w="1041" w:type="pct"/>
            <w:tcBorders>
              <w:bottom w:val="single" w:color="auto" w:sz="4" w:space="0"/>
            </w:tcBorders>
            <w:vAlign w:val="center"/>
          </w:tcPr>
          <w:p>
            <w:pPr>
              <w:adjustRightInd w:val="0"/>
              <w:snapToGrid w:val="0"/>
              <w:ind w:right="-95"/>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100/10</w:t>
            </w:r>
            <w:r>
              <w:rPr>
                <w:rFonts w:hint="eastAsia" w:ascii="宋体" w:hAnsi="宋体" w:cs="宋体"/>
                <w:color w:val="auto"/>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宗地形状</w:t>
            </w:r>
          </w:p>
        </w:tc>
        <w:tc>
          <w:tcPr>
            <w:tcW w:w="1043" w:type="pct"/>
            <w:tcBorders>
              <w:bottom w:val="single" w:color="auto" w:sz="4" w:space="0"/>
            </w:tcBorders>
            <w:vAlign w:val="center"/>
          </w:tcPr>
          <w:p>
            <w:pPr>
              <w:adjustRightInd w:val="0"/>
              <w:snapToGrid w:val="0"/>
              <w:ind w:right="-95"/>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100/10</w:t>
            </w:r>
            <w:r>
              <w:rPr>
                <w:rFonts w:hint="eastAsia" w:ascii="宋体" w:hAnsi="宋体" w:cs="宋体"/>
                <w:color w:val="auto"/>
                <w:sz w:val="18"/>
                <w:szCs w:val="18"/>
                <w:lang w:val="en-US" w:eastAsia="zh-CN"/>
              </w:rPr>
              <w:t>5</w:t>
            </w:r>
          </w:p>
        </w:tc>
        <w:tc>
          <w:tcPr>
            <w:tcW w:w="1043" w:type="pct"/>
            <w:tcBorders>
              <w:bottom w:val="single" w:color="auto" w:sz="4" w:space="0"/>
            </w:tcBorders>
            <w:vAlign w:val="center"/>
          </w:tcPr>
          <w:p>
            <w:pPr>
              <w:adjustRightInd w:val="0"/>
              <w:snapToGrid w:val="0"/>
              <w:ind w:right="-95"/>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100/10</w:t>
            </w:r>
            <w:r>
              <w:rPr>
                <w:rFonts w:hint="eastAsia" w:ascii="宋体" w:hAnsi="宋体" w:cs="宋体"/>
                <w:color w:val="auto"/>
                <w:sz w:val="18"/>
                <w:szCs w:val="18"/>
                <w:lang w:val="en-US" w:eastAsia="zh-CN"/>
              </w:rPr>
              <w:t>5</w:t>
            </w:r>
          </w:p>
        </w:tc>
        <w:tc>
          <w:tcPr>
            <w:tcW w:w="1041" w:type="pct"/>
            <w:tcBorders>
              <w:bottom w:val="single" w:color="auto" w:sz="4" w:space="0"/>
            </w:tcBorders>
            <w:vAlign w:val="center"/>
          </w:tcPr>
          <w:p>
            <w:pPr>
              <w:adjustRightInd w:val="0"/>
              <w:snapToGrid w:val="0"/>
              <w:ind w:right="-95"/>
              <w:jc w:val="center"/>
              <w:rPr>
                <w:rFonts w:hint="eastAsia" w:ascii="宋体" w:hAnsi="宋体" w:eastAsia="宋体" w:cs="宋体"/>
                <w:color w:val="auto"/>
                <w:sz w:val="18"/>
                <w:szCs w:val="18"/>
                <w:lang w:eastAsia="zh-CN"/>
              </w:rPr>
            </w:pPr>
            <w:r>
              <w:rPr>
                <w:rFonts w:hint="eastAsia" w:ascii="宋体" w:hAnsi="宋体" w:cs="宋体"/>
                <w:color w:val="auto"/>
                <w:sz w:val="18"/>
                <w:szCs w:val="18"/>
              </w:rPr>
              <w:t>100/10</w:t>
            </w:r>
            <w:r>
              <w:rPr>
                <w:rFonts w:hint="eastAsia" w:ascii="宋体" w:hAnsi="宋体" w:cs="宋体"/>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临街状况</w:t>
            </w:r>
          </w:p>
        </w:tc>
        <w:tc>
          <w:tcPr>
            <w:tcW w:w="1043"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100/96</w:t>
            </w:r>
          </w:p>
        </w:tc>
        <w:tc>
          <w:tcPr>
            <w:tcW w:w="1043"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100/96</w:t>
            </w:r>
          </w:p>
        </w:tc>
        <w:tc>
          <w:tcPr>
            <w:tcW w:w="1041"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地质条件</w:t>
            </w:r>
          </w:p>
        </w:tc>
        <w:tc>
          <w:tcPr>
            <w:tcW w:w="1043"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宗地权属界线内土地开发程度</w:t>
            </w:r>
          </w:p>
        </w:tc>
        <w:tc>
          <w:tcPr>
            <w:tcW w:w="1043"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1" w:type="pct"/>
            <w:tcBorders>
              <w:bottom w:val="single" w:color="auto" w:sz="4" w:space="0"/>
            </w:tcBorders>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257" w:type="pct"/>
            <w:vMerge w:val="continue"/>
            <w:vAlign w:val="center"/>
          </w:tcPr>
          <w:p>
            <w:pPr>
              <w:adjustRightInd w:val="0"/>
              <w:snapToGrid w:val="0"/>
              <w:ind w:right="-95"/>
              <w:jc w:val="center"/>
              <w:rPr>
                <w:rFonts w:ascii="宋体" w:hAnsi="宋体" w:cs="宋体"/>
                <w:color w:val="auto"/>
                <w:sz w:val="18"/>
                <w:szCs w:val="18"/>
              </w:rPr>
            </w:pPr>
          </w:p>
        </w:tc>
        <w:tc>
          <w:tcPr>
            <w:tcW w:w="1614" w:type="pct"/>
            <w:gridSpan w:val="2"/>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宗地最佳最有效利用</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100/100</w:t>
            </w:r>
          </w:p>
        </w:tc>
        <w:tc>
          <w:tcPr>
            <w:tcW w:w="1043" w:type="pct"/>
            <w:vAlign w:val="center"/>
          </w:tcPr>
          <w:p>
            <w:pPr>
              <w:adjustRightInd w:val="0"/>
              <w:snapToGrid w:val="0"/>
              <w:ind w:right="-95"/>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100/1</w:t>
            </w:r>
            <w:r>
              <w:rPr>
                <w:rFonts w:hint="eastAsia" w:ascii="宋体" w:hAnsi="宋体" w:cs="宋体"/>
                <w:color w:val="auto"/>
                <w:sz w:val="18"/>
                <w:szCs w:val="18"/>
                <w:lang w:val="en-US" w:eastAsia="zh-CN"/>
              </w:rPr>
              <w:t>10</w:t>
            </w:r>
          </w:p>
        </w:tc>
        <w:tc>
          <w:tcPr>
            <w:tcW w:w="1041" w:type="pct"/>
            <w:vAlign w:val="center"/>
          </w:tcPr>
          <w:p>
            <w:pPr>
              <w:adjustRightInd w:val="0"/>
              <w:snapToGrid w:val="0"/>
              <w:ind w:right="-95"/>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100/1</w:t>
            </w:r>
            <w:r>
              <w:rPr>
                <w:rFonts w:hint="eastAsia" w:ascii="宋体" w:hAnsi="宋体" w:cs="宋体"/>
                <w:color w:val="auto"/>
                <w:sz w:val="18"/>
                <w:szCs w:val="1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比准价格（元/㎡）</w:t>
            </w:r>
          </w:p>
        </w:tc>
        <w:tc>
          <w:tcPr>
            <w:tcW w:w="1043" w:type="pct"/>
            <w:vAlign w:val="center"/>
          </w:tcPr>
          <w:p>
            <w:pPr>
              <w:adjustRightInd w:val="0"/>
              <w:snapToGrid w:val="0"/>
              <w:ind w:right="-95"/>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12</w:t>
            </w:r>
            <w:r>
              <w:rPr>
                <w:rFonts w:hint="eastAsia" w:ascii="宋体" w:hAnsi="宋体" w:cs="宋体"/>
                <w:color w:val="auto"/>
                <w:sz w:val="18"/>
                <w:szCs w:val="18"/>
                <w:lang w:val="en-US" w:eastAsia="zh-CN"/>
              </w:rPr>
              <w:t>28.75</w:t>
            </w:r>
          </w:p>
        </w:tc>
        <w:tc>
          <w:tcPr>
            <w:tcW w:w="1043" w:type="pct"/>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1</w:t>
            </w:r>
            <w:r>
              <w:rPr>
                <w:rFonts w:hint="eastAsia" w:ascii="宋体" w:hAnsi="宋体" w:cs="宋体"/>
                <w:color w:val="auto"/>
                <w:sz w:val="18"/>
                <w:szCs w:val="18"/>
                <w:lang w:val="en-US" w:eastAsia="zh-CN"/>
              </w:rPr>
              <w:t>186.86</w:t>
            </w:r>
          </w:p>
        </w:tc>
        <w:tc>
          <w:tcPr>
            <w:tcW w:w="1041" w:type="pct"/>
            <w:vAlign w:val="center"/>
          </w:tcPr>
          <w:p>
            <w:pPr>
              <w:adjustRightInd w:val="0"/>
              <w:snapToGrid w:val="0"/>
              <w:ind w:right="-95"/>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12</w:t>
            </w:r>
            <w:r>
              <w:rPr>
                <w:rFonts w:hint="eastAsia" w:ascii="宋体" w:hAnsi="宋体" w:cs="宋体"/>
                <w:color w:val="auto"/>
                <w:sz w:val="18"/>
                <w:szCs w:val="18"/>
                <w:lang w:val="en-US" w:eastAsia="zh-CN"/>
              </w:rPr>
              <w:t>66.22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1871" w:type="pct"/>
            <w:gridSpan w:val="3"/>
            <w:vAlign w:val="center"/>
          </w:tcPr>
          <w:p>
            <w:pPr>
              <w:adjustRightInd w:val="0"/>
              <w:snapToGrid w:val="0"/>
              <w:ind w:right="-95"/>
              <w:jc w:val="center"/>
              <w:rPr>
                <w:rFonts w:ascii="宋体" w:hAnsi="宋体" w:cs="宋体"/>
                <w:color w:val="auto"/>
                <w:sz w:val="18"/>
                <w:szCs w:val="18"/>
              </w:rPr>
            </w:pPr>
            <w:r>
              <w:rPr>
                <w:rFonts w:hint="eastAsia" w:ascii="宋体" w:hAnsi="宋体" w:cs="宋体"/>
                <w:color w:val="auto"/>
                <w:sz w:val="18"/>
                <w:szCs w:val="18"/>
              </w:rPr>
              <w:t>估价对象评估价格（元/㎡）</w:t>
            </w:r>
          </w:p>
        </w:tc>
        <w:tc>
          <w:tcPr>
            <w:tcW w:w="3128" w:type="pct"/>
            <w:gridSpan w:val="3"/>
            <w:tcBorders>
              <w:bottom w:val="single" w:color="auto" w:sz="4" w:space="0"/>
            </w:tcBorders>
            <w:vAlign w:val="center"/>
          </w:tcPr>
          <w:p>
            <w:pPr>
              <w:adjustRightInd w:val="0"/>
              <w:snapToGrid w:val="0"/>
              <w:jc w:val="center"/>
              <w:rPr>
                <w:rFonts w:hint="default" w:ascii="宋体" w:hAnsi="宋体" w:eastAsia="宋体" w:cs="宋体"/>
                <w:color w:val="auto"/>
                <w:sz w:val="18"/>
                <w:szCs w:val="18"/>
                <w:lang w:val="en-US" w:eastAsia="zh-CN"/>
              </w:rPr>
            </w:pPr>
            <w:r>
              <w:rPr>
                <w:rFonts w:hint="eastAsia" w:ascii="宋体" w:hAnsi="宋体" w:cs="宋体"/>
                <w:color w:val="auto"/>
                <w:sz w:val="18"/>
                <w:szCs w:val="18"/>
              </w:rPr>
              <w:t>122</w:t>
            </w:r>
            <w:r>
              <w:rPr>
                <w:rFonts w:hint="eastAsia" w:ascii="宋体" w:hAnsi="宋体" w:cs="宋体"/>
                <w:color w:val="auto"/>
                <w:sz w:val="18"/>
                <w:szCs w:val="18"/>
                <w:lang w:val="en-US" w:eastAsia="zh-CN"/>
              </w:rPr>
              <w:t>7.28</w:t>
            </w:r>
          </w:p>
        </w:tc>
      </w:tr>
    </w:tbl>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cs="宋体"/>
          <w:color w:val="auto"/>
          <w:sz w:val="28"/>
          <w:szCs w:val="28"/>
        </w:rPr>
      </w:pPr>
      <w:r>
        <w:rPr>
          <w:rFonts w:hint="eastAsia" w:ascii="宋体" w:hAnsi="宋体" w:cs="宋体"/>
          <w:color w:val="auto"/>
          <w:sz w:val="28"/>
          <w:szCs w:val="28"/>
        </w:rPr>
        <w:t>由于测算得出的三个比准价格较为接近，故以三个比准价格的简单算术平均值作为市场比较法的最终结果。</w:t>
      </w:r>
    </w:p>
    <w:p>
      <w:pPr>
        <w:spacing w:line="560" w:lineRule="exact"/>
        <w:ind w:firstLine="556"/>
        <w:rPr>
          <w:rFonts w:ascii="宋体" w:hAnsi="宋体" w:cs="宋体"/>
          <w:color w:val="auto"/>
          <w:sz w:val="28"/>
        </w:rPr>
      </w:pPr>
      <w:r>
        <w:rPr>
          <w:rFonts w:hint="eastAsia" w:ascii="宋体" w:hAnsi="宋体" w:cs="宋体"/>
          <w:color w:val="auto"/>
          <w:sz w:val="28"/>
        </w:rPr>
        <w:t>3、地价的确定和估价结果</w:t>
      </w:r>
    </w:p>
    <w:p>
      <w:pPr>
        <w:spacing w:line="500" w:lineRule="exact"/>
        <w:ind w:firstLine="555"/>
        <w:jc w:val="left"/>
        <w:rPr>
          <w:rFonts w:ascii="宋体" w:hAnsi="宋体" w:cs="宋体"/>
          <w:color w:val="auto"/>
          <w:sz w:val="28"/>
        </w:rPr>
      </w:pPr>
      <w:r>
        <w:rPr>
          <w:rFonts w:hint="eastAsia" w:ascii="宋体" w:hAnsi="宋体" w:cs="宋体"/>
          <w:color w:val="auto"/>
          <w:sz w:val="28"/>
        </w:rPr>
        <w:t>根据评估目的，估价对象划拨地价评估采用收益还原法和成本逼近法测算；出让地价采用市场比较法和基准地价系数修正法测算得到估价对象土地价格详见如下《</w:t>
      </w:r>
      <w:r>
        <w:rPr>
          <w:rFonts w:hint="eastAsia" w:ascii="宋体" w:hAnsi="宋体" w:cs="宋体"/>
          <w:color w:val="auto"/>
          <w:spacing w:val="10"/>
          <w:sz w:val="28"/>
        </w:rPr>
        <w:t>地价测算结果一览表</w:t>
      </w:r>
      <w:r>
        <w:rPr>
          <w:rFonts w:hint="eastAsia" w:ascii="宋体" w:hAnsi="宋体" w:cs="宋体"/>
          <w:color w:val="auto"/>
          <w:sz w:val="28"/>
        </w:rPr>
        <w:t>》:</w:t>
      </w:r>
    </w:p>
    <w:p>
      <w:pPr>
        <w:spacing w:line="560" w:lineRule="exact"/>
        <w:ind w:firstLine="556"/>
        <w:jc w:val="center"/>
        <w:rPr>
          <w:rFonts w:ascii="宋体" w:hAnsi="宋体" w:cs="宋体"/>
          <w:b/>
          <w:bCs/>
          <w:color w:val="auto"/>
          <w:spacing w:val="10"/>
          <w:sz w:val="28"/>
        </w:rPr>
      </w:pPr>
      <w:r>
        <w:rPr>
          <w:rFonts w:hint="eastAsia" w:ascii="宋体" w:hAnsi="宋体" w:cs="宋体"/>
          <w:b/>
          <w:bCs/>
          <w:color w:val="auto"/>
          <w:spacing w:val="10"/>
          <w:sz w:val="28"/>
        </w:rPr>
        <w:t>地价测算结果一览表</w:t>
      </w:r>
    </w:p>
    <w:tbl>
      <w:tblPr>
        <w:tblStyle w:val="20"/>
        <w:tblW w:w="50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877"/>
        <w:gridCol w:w="1334"/>
        <w:gridCol w:w="915"/>
        <w:gridCol w:w="1356"/>
        <w:gridCol w:w="1369"/>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1" w:hRule="atLeast"/>
          <w:jc w:val="center"/>
        </w:trPr>
        <w:tc>
          <w:tcPr>
            <w:tcW w:w="720" w:type="pct"/>
            <w:vAlign w:val="center"/>
          </w:tcPr>
          <w:p>
            <w:pPr>
              <w:pStyle w:val="10"/>
              <w:jc w:val="center"/>
              <w:rPr>
                <w:rFonts w:hAnsi="宋体" w:cs="宋体"/>
                <w:color w:val="auto"/>
                <w:sz w:val="18"/>
                <w:szCs w:val="18"/>
              </w:rPr>
            </w:pPr>
            <w:r>
              <w:rPr>
                <w:rFonts w:hint="eastAsia" w:hAnsi="宋体" w:cs="宋体"/>
                <w:color w:val="auto"/>
                <w:sz w:val="18"/>
                <w:szCs w:val="18"/>
              </w:rPr>
              <w:t>宗 地 名 称</w:t>
            </w:r>
          </w:p>
        </w:tc>
        <w:tc>
          <w:tcPr>
            <w:tcW w:w="988" w:type="pct"/>
            <w:vAlign w:val="center"/>
          </w:tcPr>
          <w:p>
            <w:pPr>
              <w:pStyle w:val="10"/>
              <w:jc w:val="center"/>
              <w:rPr>
                <w:rFonts w:hAnsi="宋体" w:cs="宋体"/>
                <w:color w:val="auto"/>
                <w:sz w:val="18"/>
                <w:szCs w:val="18"/>
              </w:rPr>
            </w:pPr>
            <w:r>
              <w:rPr>
                <w:rFonts w:hint="eastAsia" w:hAnsi="宋体" w:cs="宋体"/>
                <w:color w:val="auto"/>
                <w:sz w:val="18"/>
                <w:szCs w:val="18"/>
              </w:rPr>
              <w:t>评 估 方 法</w:t>
            </w:r>
          </w:p>
        </w:tc>
        <w:tc>
          <w:tcPr>
            <w:tcW w:w="703" w:type="pct"/>
            <w:vAlign w:val="center"/>
          </w:tcPr>
          <w:p>
            <w:pPr>
              <w:pStyle w:val="10"/>
              <w:jc w:val="center"/>
              <w:rPr>
                <w:rFonts w:hAnsi="宋体" w:cs="宋体"/>
                <w:color w:val="auto"/>
                <w:sz w:val="18"/>
                <w:szCs w:val="18"/>
              </w:rPr>
            </w:pPr>
            <w:r>
              <w:rPr>
                <w:rFonts w:hint="eastAsia" w:hAnsi="宋体" w:cs="宋体"/>
                <w:color w:val="auto"/>
                <w:sz w:val="18"/>
                <w:szCs w:val="18"/>
              </w:rPr>
              <w:t>评 估 结 果</w:t>
            </w:r>
          </w:p>
          <w:p>
            <w:pPr>
              <w:pStyle w:val="10"/>
              <w:jc w:val="center"/>
              <w:rPr>
                <w:rFonts w:hAnsi="宋体" w:cs="宋体"/>
                <w:color w:val="auto"/>
                <w:sz w:val="18"/>
                <w:szCs w:val="18"/>
              </w:rPr>
            </w:pPr>
            <w:r>
              <w:rPr>
                <w:rFonts w:hint="eastAsia" w:hAnsi="宋体" w:cs="宋体"/>
                <w:color w:val="auto"/>
                <w:sz w:val="18"/>
                <w:szCs w:val="18"/>
              </w:rPr>
              <w:t>（元/平方米）</w:t>
            </w:r>
          </w:p>
        </w:tc>
        <w:tc>
          <w:tcPr>
            <w:tcW w:w="482" w:type="pct"/>
            <w:vAlign w:val="center"/>
          </w:tcPr>
          <w:p>
            <w:pPr>
              <w:pStyle w:val="10"/>
              <w:jc w:val="center"/>
              <w:rPr>
                <w:rFonts w:hAnsi="宋体" w:cs="宋体"/>
                <w:color w:val="auto"/>
                <w:sz w:val="18"/>
                <w:szCs w:val="18"/>
              </w:rPr>
            </w:pPr>
            <w:r>
              <w:rPr>
                <w:rFonts w:hint="eastAsia" w:hAnsi="宋体" w:cs="宋体"/>
                <w:color w:val="auto"/>
                <w:sz w:val="18"/>
                <w:szCs w:val="18"/>
              </w:rPr>
              <w:t>权重值</w:t>
            </w:r>
          </w:p>
        </w:tc>
        <w:tc>
          <w:tcPr>
            <w:tcW w:w="715" w:type="pct"/>
            <w:vAlign w:val="center"/>
          </w:tcPr>
          <w:p>
            <w:pPr>
              <w:pStyle w:val="10"/>
              <w:jc w:val="center"/>
              <w:rPr>
                <w:rFonts w:hAnsi="宋体" w:cs="宋体"/>
                <w:color w:val="auto"/>
                <w:sz w:val="18"/>
                <w:szCs w:val="18"/>
              </w:rPr>
            </w:pPr>
            <w:r>
              <w:rPr>
                <w:rFonts w:hint="eastAsia" w:hAnsi="宋体" w:cs="宋体"/>
                <w:color w:val="auto"/>
                <w:sz w:val="18"/>
                <w:szCs w:val="18"/>
              </w:rPr>
              <w:t>最 终 结 果</w:t>
            </w:r>
          </w:p>
          <w:p>
            <w:pPr>
              <w:pStyle w:val="10"/>
              <w:jc w:val="center"/>
              <w:rPr>
                <w:rFonts w:hAnsi="宋体" w:cs="宋体"/>
                <w:color w:val="auto"/>
                <w:sz w:val="18"/>
                <w:szCs w:val="18"/>
              </w:rPr>
            </w:pPr>
            <w:r>
              <w:rPr>
                <w:rFonts w:hint="eastAsia" w:hAnsi="宋体" w:cs="宋体"/>
                <w:color w:val="auto"/>
                <w:sz w:val="18"/>
                <w:szCs w:val="18"/>
              </w:rPr>
              <w:t>（元/平方米）</w:t>
            </w:r>
          </w:p>
        </w:tc>
        <w:tc>
          <w:tcPr>
            <w:tcW w:w="1389" w:type="pct"/>
            <w:gridSpan w:val="2"/>
            <w:vAlign w:val="center"/>
          </w:tcPr>
          <w:p>
            <w:pPr>
              <w:pStyle w:val="10"/>
              <w:jc w:val="center"/>
              <w:rPr>
                <w:rFonts w:hAnsi="宋体" w:cs="宋体"/>
                <w:color w:val="auto"/>
                <w:sz w:val="18"/>
                <w:szCs w:val="18"/>
              </w:rPr>
            </w:pPr>
            <w:r>
              <w:rPr>
                <w:rFonts w:hint="eastAsia" w:hAnsi="宋体" w:cs="宋体"/>
                <w:color w:val="auto"/>
                <w:sz w:val="18"/>
                <w:szCs w:val="18"/>
              </w:rPr>
              <w:t>土地价值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720" w:type="pct"/>
            <w:vMerge w:val="restart"/>
            <w:vAlign w:val="center"/>
          </w:tcPr>
          <w:p>
            <w:pPr>
              <w:pStyle w:val="10"/>
              <w:jc w:val="center"/>
              <w:rPr>
                <w:rFonts w:hAnsi="宋体" w:cs="宋体"/>
                <w:color w:val="auto"/>
                <w:sz w:val="18"/>
                <w:szCs w:val="18"/>
              </w:rPr>
            </w:pPr>
            <w:r>
              <w:rPr>
                <w:rFonts w:hint="eastAsia" w:hAnsi="宋体" w:cs="宋体"/>
                <w:color w:val="auto"/>
                <w:sz w:val="18"/>
                <w:szCs w:val="18"/>
              </w:rPr>
              <w:t>砚山县532622101-0C-05-127宗地</w:t>
            </w:r>
          </w:p>
        </w:tc>
        <w:tc>
          <w:tcPr>
            <w:tcW w:w="988" w:type="pct"/>
            <w:vAlign w:val="center"/>
          </w:tcPr>
          <w:p>
            <w:pPr>
              <w:pStyle w:val="10"/>
              <w:jc w:val="center"/>
              <w:rPr>
                <w:rFonts w:hAnsi="宋体" w:cs="宋体"/>
                <w:color w:val="auto"/>
                <w:sz w:val="18"/>
                <w:szCs w:val="18"/>
              </w:rPr>
            </w:pPr>
            <w:r>
              <w:rPr>
                <w:rFonts w:hint="eastAsia" w:asciiTheme="minorEastAsia" w:hAnsiTheme="minorEastAsia" w:eastAsiaTheme="minorEastAsia"/>
                <w:color w:val="auto"/>
                <w:sz w:val="18"/>
                <w:szCs w:val="18"/>
              </w:rPr>
              <w:t>基准地价系数修正</w:t>
            </w:r>
            <w:r>
              <w:rPr>
                <w:rFonts w:asciiTheme="minorEastAsia" w:hAnsiTheme="minorEastAsia" w:eastAsiaTheme="minorEastAsia"/>
                <w:color w:val="auto"/>
                <w:sz w:val="18"/>
                <w:szCs w:val="18"/>
              </w:rPr>
              <w:t>法</w:t>
            </w:r>
          </w:p>
        </w:tc>
        <w:tc>
          <w:tcPr>
            <w:tcW w:w="703" w:type="pct"/>
            <w:vAlign w:val="center"/>
          </w:tcPr>
          <w:p>
            <w:pPr>
              <w:jc w:val="center"/>
              <w:rPr>
                <w:rFonts w:hint="default" w:ascii="宋体" w:hAnsi="宋体" w:eastAsia="宋体" w:cs="宋体"/>
                <w:color w:val="auto"/>
                <w:sz w:val="18"/>
                <w:szCs w:val="18"/>
                <w:lang w:val="en-US" w:eastAsia="zh-CN"/>
              </w:rPr>
            </w:pPr>
            <w:r>
              <w:rPr>
                <w:rFonts w:hint="eastAsia" w:asciiTheme="minorEastAsia" w:hAnsiTheme="minorEastAsia" w:eastAsiaTheme="minorEastAsia"/>
                <w:color w:val="auto"/>
                <w:sz w:val="18"/>
                <w:szCs w:val="18"/>
              </w:rPr>
              <w:t>681.11</w:t>
            </w:r>
          </w:p>
        </w:tc>
        <w:tc>
          <w:tcPr>
            <w:tcW w:w="482" w:type="pct"/>
            <w:vAlign w:val="center"/>
          </w:tcPr>
          <w:p>
            <w:pPr>
              <w:pStyle w:val="10"/>
              <w:jc w:val="center"/>
              <w:rPr>
                <w:rFonts w:hAnsi="宋体" w:cs="宋体"/>
                <w:color w:val="auto"/>
                <w:sz w:val="18"/>
                <w:szCs w:val="18"/>
              </w:rPr>
            </w:pPr>
            <w:r>
              <w:rPr>
                <w:rFonts w:hint="eastAsia" w:asciiTheme="minorEastAsia" w:hAnsiTheme="minorEastAsia" w:eastAsiaTheme="minorEastAsia"/>
                <w:color w:val="auto"/>
                <w:sz w:val="18"/>
                <w:szCs w:val="18"/>
              </w:rPr>
              <w:t>0.1</w:t>
            </w:r>
          </w:p>
        </w:tc>
        <w:tc>
          <w:tcPr>
            <w:tcW w:w="715" w:type="pct"/>
            <w:vMerge w:val="restart"/>
            <w:vAlign w:val="center"/>
          </w:tcPr>
          <w:p>
            <w:pPr>
              <w:pStyle w:val="10"/>
              <w:jc w:val="center"/>
              <w:rPr>
                <w:rFonts w:hint="default" w:hAnsi="宋体" w:eastAsia="宋体" w:cs="宋体"/>
                <w:color w:val="auto"/>
                <w:sz w:val="18"/>
                <w:szCs w:val="18"/>
                <w:lang w:val="en-US" w:eastAsia="zh-CN"/>
              </w:rPr>
            </w:pPr>
            <w:r>
              <w:rPr>
                <w:rFonts w:hint="eastAsia" w:hAnsi="宋体" w:cs="宋体"/>
                <w:color w:val="auto"/>
                <w:sz w:val="18"/>
                <w:szCs w:val="18"/>
              </w:rPr>
              <w:t>11</w:t>
            </w:r>
            <w:r>
              <w:rPr>
                <w:rFonts w:hint="eastAsia" w:hAnsi="宋体" w:cs="宋体"/>
                <w:color w:val="auto"/>
                <w:sz w:val="18"/>
                <w:szCs w:val="18"/>
                <w:lang w:val="en-US" w:eastAsia="zh-CN"/>
              </w:rPr>
              <w:t>72.66</w:t>
            </w:r>
          </w:p>
        </w:tc>
        <w:tc>
          <w:tcPr>
            <w:tcW w:w="722" w:type="pct"/>
            <w:vAlign w:val="center"/>
          </w:tcPr>
          <w:p>
            <w:pPr>
              <w:pStyle w:val="10"/>
              <w:jc w:val="center"/>
              <w:rPr>
                <w:rFonts w:hAnsi="宋体" w:cs="宋体"/>
                <w:color w:val="auto"/>
                <w:sz w:val="18"/>
                <w:szCs w:val="18"/>
              </w:rPr>
            </w:pPr>
            <w:r>
              <w:rPr>
                <w:rFonts w:hint="eastAsia" w:hAnsi="宋体" w:cs="宋体"/>
                <w:color w:val="auto"/>
                <w:sz w:val="18"/>
                <w:szCs w:val="18"/>
              </w:rPr>
              <w:t>面积（m</w:t>
            </w:r>
            <w:r>
              <w:rPr>
                <w:rFonts w:hint="eastAsia" w:hAnsi="宋体" w:cs="宋体"/>
                <w:color w:val="auto"/>
                <w:sz w:val="18"/>
                <w:szCs w:val="18"/>
                <w:vertAlign w:val="superscript"/>
              </w:rPr>
              <w:t>2</w:t>
            </w:r>
            <w:r>
              <w:rPr>
                <w:rFonts w:hint="eastAsia" w:hAnsi="宋体" w:cs="宋体"/>
                <w:color w:val="auto"/>
                <w:sz w:val="18"/>
                <w:szCs w:val="18"/>
              </w:rPr>
              <w:t>）</w:t>
            </w:r>
          </w:p>
        </w:tc>
        <w:tc>
          <w:tcPr>
            <w:tcW w:w="666" w:type="pct"/>
            <w:vAlign w:val="center"/>
          </w:tcPr>
          <w:p>
            <w:pPr>
              <w:pStyle w:val="10"/>
              <w:jc w:val="center"/>
              <w:rPr>
                <w:rFonts w:hAnsi="宋体" w:cs="宋体"/>
                <w:color w:val="auto"/>
                <w:sz w:val="18"/>
                <w:szCs w:val="18"/>
              </w:rPr>
            </w:pPr>
            <w:r>
              <w:rPr>
                <w:rFonts w:hint="eastAsia" w:hAnsi="宋体" w:cs="宋体"/>
                <w:color w:val="auto"/>
                <w:sz w:val="18"/>
                <w:szCs w:val="18"/>
              </w:rPr>
              <w:t>2967.11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720" w:type="pct"/>
            <w:vMerge w:val="continue"/>
            <w:vAlign w:val="center"/>
          </w:tcPr>
          <w:p>
            <w:pPr>
              <w:pStyle w:val="10"/>
              <w:jc w:val="center"/>
              <w:rPr>
                <w:rFonts w:asciiTheme="minorEastAsia" w:hAnsiTheme="minorEastAsia" w:eastAsiaTheme="minorEastAsia"/>
                <w:color w:val="auto"/>
                <w:sz w:val="18"/>
                <w:szCs w:val="18"/>
              </w:rPr>
            </w:pPr>
          </w:p>
        </w:tc>
        <w:tc>
          <w:tcPr>
            <w:tcW w:w="988" w:type="pct"/>
            <w:vAlign w:val="center"/>
          </w:tcPr>
          <w:p>
            <w:pPr>
              <w:pStyle w:val="10"/>
              <w:jc w:val="center"/>
              <w:rPr>
                <w:rFonts w:asciiTheme="minorEastAsia" w:hAnsiTheme="minorEastAsia" w:eastAsiaTheme="minorEastAsia"/>
                <w:color w:val="auto"/>
                <w:sz w:val="18"/>
                <w:szCs w:val="18"/>
              </w:rPr>
            </w:pPr>
            <w:r>
              <w:rPr>
                <w:rFonts w:hint="eastAsia" w:hAnsi="宋体" w:cs="宋体"/>
                <w:color w:val="auto"/>
                <w:sz w:val="18"/>
                <w:szCs w:val="18"/>
              </w:rPr>
              <w:t>市场比较法</w:t>
            </w:r>
          </w:p>
        </w:tc>
        <w:tc>
          <w:tcPr>
            <w:tcW w:w="703" w:type="pct"/>
            <w:vAlign w:val="center"/>
          </w:tcPr>
          <w:p>
            <w:pPr>
              <w:jc w:val="center"/>
              <w:rPr>
                <w:rFonts w:asciiTheme="minorEastAsia" w:hAnsiTheme="minorEastAsia" w:eastAsiaTheme="minorEastAsia"/>
                <w:color w:val="auto"/>
                <w:sz w:val="18"/>
                <w:szCs w:val="18"/>
              </w:rPr>
            </w:pPr>
            <w:r>
              <w:rPr>
                <w:rFonts w:hint="eastAsia" w:ascii="宋体" w:hAnsi="宋体" w:cs="宋体"/>
                <w:color w:val="auto"/>
                <w:sz w:val="18"/>
                <w:szCs w:val="18"/>
              </w:rPr>
              <w:t>122</w:t>
            </w:r>
            <w:r>
              <w:rPr>
                <w:rFonts w:hint="eastAsia" w:ascii="宋体" w:hAnsi="宋体" w:cs="宋体"/>
                <w:color w:val="auto"/>
                <w:sz w:val="18"/>
                <w:szCs w:val="18"/>
                <w:lang w:val="en-US" w:eastAsia="zh-CN"/>
              </w:rPr>
              <w:t>7.28</w:t>
            </w:r>
          </w:p>
        </w:tc>
        <w:tc>
          <w:tcPr>
            <w:tcW w:w="482" w:type="pct"/>
            <w:vAlign w:val="center"/>
          </w:tcPr>
          <w:p>
            <w:pPr>
              <w:pStyle w:val="10"/>
              <w:jc w:val="center"/>
              <w:rPr>
                <w:rFonts w:asciiTheme="minorEastAsia" w:hAnsiTheme="minorEastAsia" w:eastAsiaTheme="minorEastAsia"/>
                <w:color w:val="auto"/>
                <w:sz w:val="18"/>
                <w:szCs w:val="18"/>
              </w:rPr>
            </w:pPr>
            <w:r>
              <w:rPr>
                <w:rFonts w:hint="eastAsia" w:hAnsi="宋体" w:cs="宋体"/>
                <w:color w:val="auto"/>
                <w:sz w:val="18"/>
                <w:szCs w:val="18"/>
              </w:rPr>
              <w:t>0.9</w:t>
            </w:r>
          </w:p>
        </w:tc>
        <w:tc>
          <w:tcPr>
            <w:tcW w:w="715" w:type="pct"/>
            <w:vMerge w:val="continue"/>
            <w:vAlign w:val="center"/>
          </w:tcPr>
          <w:p>
            <w:pPr>
              <w:pStyle w:val="10"/>
              <w:jc w:val="center"/>
              <w:rPr>
                <w:rFonts w:asciiTheme="minorEastAsia" w:hAnsiTheme="minorEastAsia" w:eastAsiaTheme="minorEastAsia"/>
                <w:color w:val="auto"/>
                <w:sz w:val="18"/>
                <w:szCs w:val="18"/>
              </w:rPr>
            </w:pPr>
          </w:p>
        </w:tc>
        <w:tc>
          <w:tcPr>
            <w:tcW w:w="722" w:type="pct"/>
            <w:vAlign w:val="center"/>
          </w:tcPr>
          <w:p>
            <w:pPr>
              <w:pStyle w:val="10"/>
              <w:jc w:val="center"/>
              <w:rPr>
                <w:rFonts w:asciiTheme="minorEastAsia" w:hAnsiTheme="minorEastAsia" w:eastAsiaTheme="minorEastAsia"/>
                <w:color w:val="auto"/>
                <w:sz w:val="18"/>
                <w:szCs w:val="18"/>
              </w:rPr>
            </w:pPr>
            <w:r>
              <w:rPr>
                <w:rFonts w:hint="eastAsia" w:asciiTheme="minorEastAsia" w:hAnsiTheme="minorEastAsia" w:eastAsiaTheme="minorEastAsia"/>
                <w:color w:val="auto"/>
                <w:sz w:val="18"/>
                <w:szCs w:val="18"/>
              </w:rPr>
              <w:t>价值（万元）</w:t>
            </w:r>
          </w:p>
        </w:tc>
        <w:tc>
          <w:tcPr>
            <w:tcW w:w="666" w:type="pct"/>
            <w:vAlign w:val="center"/>
          </w:tcPr>
          <w:p>
            <w:pPr>
              <w:pStyle w:val="10"/>
              <w:jc w:val="center"/>
              <w:rPr>
                <w:rFonts w:hint="default" w:asciiTheme="minorEastAsia" w:hAnsiTheme="minorEastAsia" w:eastAsiaTheme="minorEastAsia"/>
                <w:color w:val="auto"/>
                <w:sz w:val="18"/>
                <w:szCs w:val="18"/>
                <w:lang w:val="en-US" w:eastAsia="zh-CN"/>
              </w:rPr>
            </w:pPr>
            <w:r>
              <w:rPr>
                <w:rFonts w:hint="eastAsia" w:asciiTheme="minorEastAsia" w:hAnsiTheme="minorEastAsia" w:eastAsiaTheme="minorEastAsia"/>
                <w:color w:val="auto"/>
                <w:sz w:val="18"/>
                <w:szCs w:val="18"/>
              </w:rPr>
              <w:t>34</w:t>
            </w:r>
            <w:r>
              <w:rPr>
                <w:rFonts w:hint="eastAsia" w:asciiTheme="minorEastAsia" w:hAnsiTheme="minorEastAsia" w:eastAsiaTheme="minorEastAsia"/>
                <w:color w:val="auto"/>
                <w:sz w:val="18"/>
                <w:szCs w:val="18"/>
                <w:lang w:val="en-US" w:eastAsia="zh-CN"/>
              </w:rPr>
              <w:t>7.94</w:t>
            </w:r>
          </w:p>
        </w:tc>
      </w:tr>
    </w:tbl>
    <w:p>
      <w:pPr>
        <w:pStyle w:val="10"/>
        <w:ind w:firstLine="556"/>
        <w:contextualSpacing/>
        <w:rPr>
          <w:rFonts w:hAnsi="宋体" w:cs="宋体"/>
          <w:color w:val="auto"/>
        </w:rPr>
      </w:pPr>
      <w:r>
        <w:rPr>
          <w:rFonts w:hint="eastAsia" w:hAnsi="宋体" w:cs="宋体"/>
          <w:color w:val="auto"/>
        </w:rPr>
        <w:t>注：最终结果保留小数点两位数</w:t>
      </w:r>
    </w:p>
    <w:p>
      <w:pPr>
        <w:pStyle w:val="10"/>
        <w:spacing w:line="560" w:lineRule="exact"/>
        <w:ind w:firstLine="556"/>
        <w:contextualSpacing/>
        <w:rPr>
          <w:rFonts w:hAnsi="宋体" w:cs="宋体"/>
          <w:color w:val="auto"/>
          <w:sz w:val="28"/>
        </w:rPr>
      </w:pPr>
      <w:r>
        <w:rPr>
          <w:rFonts w:hint="eastAsia" w:hAnsi="宋体" w:cs="宋体"/>
          <w:color w:val="auto"/>
          <w:sz w:val="28"/>
        </w:rPr>
        <w:t>估价对象所在区域市场交易实例较多，估价师在与估价对象同一供需圈内，选择了三个可比实例，各实例间价格差异较小，修正后的各比准价格接近，以简单算术平均值作为估价对象的比较价格，能客观地反映估价对象的市场价格，因此采用市场比较法所测算的结果现势性较强。基准地价系数修正法是依据平远镇人民政府公布的基准地价以及相应修正体系测算的宗地价格。砚山县更新的基准地价于2017年2月4日正式公布实施，宗地地价修正体系完善科学，虽距估价时点已超过3年，但在新一轮基准地价未公布之前，还继续具有参考价值，估价人员对估价对象价格也做了科学的期日修正，其结果也能够反映出当地的土地市场状况。两种方法从不同侧面反映了估价对象的地价水平，经综合分析后采用两种测算结果的加权平均值（市场比较法权重值为0.9，基准地价系数修正法权重值为0.1）确定出让土地使用权地价结果。</w:t>
      </w:r>
    </w:p>
    <w:p>
      <w:pPr>
        <w:pStyle w:val="4"/>
        <w:numPr>
          <w:ilvl w:val="0"/>
          <w:numId w:val="4"/>
        </w:numPr>
        <w:rPr>
          <w:rFonts w:ascii="宋体" w:hAnsi="宋体" w:cs="宋体"/>
          <w:color w:val="auto"/>
          <w:sz w:val="28"/>
          <w:szCs w:val="28"/>
        </w:rPr>
      </w:pPr>
      <w:bookmarkStart w:id="311" w:name="_Toc519003096"/>
      <w:bookmarkStart w:id="312" w:name="_Toc519003061"/>
      <w:bookmarkStart w:id="313" w:name="_Toc23841926"/>
      <w:bookmarkStart w:id="314" w:name="_Toc23841961"/>
      <w:bookmarkStart w:id="315" w:name="_Toc15478"/>
      <w:bookmarkStart w:id="316" w:name="_Toc16813"/>
      <w:bookmarkStart w:id="317" w:name="_Toc15659"/>
      <w:r>
        <w:rPr>
          <w:rFonts w:hint="eastAsia" w:ascii="宋体" w:hAnsi="宋体" w:cs="宋体"/>
          <w:color w:val="auto"/>
          <w:sz w:val="28"/>
          <w:szCs w:val="28"/>
        </w:rPr>
        <w:t>房屋价值</w:t>
      </w:r>
      <w:bookmarkEnd w:id="311"/>
      <w:bookmarkEnd w:id="312"/>
      <w:r>
        <w:rPr>
          <w:rFonts w:hint="eastAsia" w:ascii="宋体" w:hAnsi="宋体" w:cs="宋体"/>
          <w:color w:val="auto"/>
          <w:sz w:val="28"/>
          <w:szCs w:val="28"/>
        </w:rPr>
        <w:t>的计算</w:t>
      </w:r>
      <w:bookmarkEnd w:id="313"/>
      <w:bookmarkEnd w:id="314"/>
      <w:bookmarkEnd w:id="315"/>
      <w:bookmarkEnd w:id="316"/>
      <w:bookmarkEnd w:id="317"/>
    </w:p>
    <w:p>
      <w:pPr>
        <w:adjustRightInd w:val="0"/>
        <w:snapToGrid w:val="0"/>
        <w:spacing w:line="360" w:lineRule="auto"/>
        <w:ind w:firstLine="562" w:firstLineChars="200"/>
        <w:rPr>
          <w:rFonts w:ascii="宋体" w:hAnsi="宋体" w:cs="宋体"/>
          <w:b/>
          <w:bCs/>
          <w:color w:val="auto"/>
          <w:sz w:val="28"/>
          <w:szCs w:val="28"/>
        </w:rPr>
      </w:pPr>
      <w:r>
        <w:rPr>
          <w:rFonts w:hint="eastAsia" w:ascii="宋体" w:hAnsi="宋体" w:cs="宋体"/>
          <w:b/>
          <w:bCs/>
          <w:color w:val="auto"/>
          <w:sz w:val="28"/>
          <w:szCs w:val="28"/>
        </w:rPr>
        <w:t>1、估价测算步骤、测算公式</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（1）估价测算步骤</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①选择具体估价路径；</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②测算重置成本或重建成本；</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 xml:space="preserve">③测算折旧； </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④计算成本价值。</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（2）基本公式：</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建筑物现值=重置成本</w:t>
      </w:r>
      <w:r>
        <w:rPr>
          <w:rFonts w:hint="eastAsia" w:ascii="宋体" w:hAnsi="宋体"/>
          <w:color w:val="auto"/>
          <w:sz w:val="28"/>
          <w:szCs w:val="28"/>
        </w:rPr>
        <w:t>×建筑面积</w:t>
      </w:r>
      <w:r>
        <w:rPr>
          <w:rFonts w:hint="eastAsia" w:ascii="宋体" w:hAnsi="宋体" w:cs="宋体"/>
          <w:color w:val="auto"/>
          <w:sz w:val="28"/>
          <w:szCs w:val="28"/>
        </w:rPr>
        <w:t>×成新率</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其中：重置成本=建筑物建设成本+管理费用+销售费用+投资利息+销售税费+开发利润</w:t>
      </w:r>
    </w:p>
    <w:p>
      <w:pPr>
        <w:adjustRightInd w:val="0"/>
        <w:snapToGrid w:val="0"/>
        <w:spacing w:line="360" w:lineRule="auto"/>
        <w:ind w:firstLine="562" w:firstLineChars="200"/>
        <w:rPr>
          <w:rFonts w:ascii="宋体" w:hAnsi="宋体" w:cs="宋体"/>
          <w:color w:val="auto"/>
          <w:sz w:val="28"/>
          <w:szCs w:val="28"/>
        </w:rPr>
      </w:pPr>
      <w:r>
        <w:rPr>
          <w:rFonts w:hint="eastAsia" w:ascii="宋体" w:hAnsi="宋体" w:cs="宋体"/>
          <w:b/>
          <w:bCs/>
          <w:color w:val="auto"/>
          <w:sz w:val="28"/>
          <w:szCs w:val="28"/>
        </w:rPr>
        <w:t>2、建筑物重置成本单价测算过程</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（1）建筑物建设成本</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建筑物建设成本包括勘察设计和前期工程费、建筑安装工程费、基础设施建设费、公共配套设施建设费、开发期间税费等。</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A、建筑安装工程费</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建筑安装工程费包括建造商品房及附属工程所发生的土建工程费、按照工程费、装饰装修工程费等费用，一般采用单位面积法进行计算，单位面积法是调查在价值时点的近期建成的相同或相似建筑物的单位建筑面积建筑安装工程费，然后对其进行适当的处理来求取估价对象建筑物建筑安装工程费的方法。</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经查阅文山州建筑工程概预算定额和砚山县建筑工程造价资料，建筑安装工程费由基础工程、墙体工程、模板和脚手架工程、防水隔热工程、门窗工程、装饰工程、电器及安装工程、给排水工程、规费、税金等项组成。根据相关建设工程投资估算指标，结合估价对象的建筑结构、层数、功能布局等各方面状况采用单位市场比较法估算建筑安装工程费。详见下表：</w:t>
      </w:r>
    </w:p>
    <w:p>
      <w:pPr>
        <w:keepNext w:val="0"/>
        <w:keepLines w:val="0"/>
        <w:pageBreakBefore w:val="0"/>
        <w:kinsoku/>
        <w:wordWrap/>
        <w:overflowPunct/>
        <w:topLinePunct w:val="0"/>
        <w:autoSpaceDE/>
        <w:autoSpaceDN/>
        <w:bidi w:val="0"/>
        <w:adjustRightInd w:val="0"/>
        <w:snapToGrid w:val="0"/>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各结构建安工程费造价估算表</w:t>
      </w:r>
    </w:p>
    <w:tbl>
      <w:tblPr>
        <w:tblStyle w:val="21"/>
        <w:tblpPr w:leftFromText="180" w:rightFromText="180" w:vertAnchor="text" w:horzAnchor="page" w:tblpX="1308" w:tblpY="543"/>
        <w:tblOverlap w:val="never"/>
        <w:tblW w:w="9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688"/>
        <w:gridCol w:w="1688"/>
        <w:gridCol w:w="1688"/>
        <w:gridCol w:w="1688"/>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848"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项目</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688"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砖混B单价</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88"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砖木C单价</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88"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简易A结构</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88"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简易C结构</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92"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彩钢瓦房</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48" w:type="dxa"/>
            <w:vAlign w:val="center"/>
          </w:tcPr>
          <w:p>
            <w:pPr>
              <w:keepNext w:val="0"/>
              <w:keepLines w:val="0"/>
              <w:pageBreakBefore w:val="0"/>
              <w:kinsoku/>
              <w:wordWrap/>
              <w:overflowPunct/>
              <w:topLinePunct w:val="0"/>
              <w:autoSpaceDE/>
              <w:autoSpaceDN/>
              <w:bidi w:val="0"/>
              <w:snapToGrid w:val="0"/>
              <w:jc w:val="center"/>
              <w:rPr>
                <w:rFonts w:ascii="宋体" w:hAnsi="宋体" w:cs="宋体"/>
                <w:color w:val="auto"/>
                <w:sz w:val="18"/>
                <w:szCs w:val="18"/>
              </w:rPr>
            </w:pPr>
            <w:r>
              <w:rPr>
                <w:rFonts w:hint="eastAsia" w:ascii="宋体" w:hAnsi="宋体" w:cs="宋体"/>
                <w:color w:val="auto"/>
                <w:sz w:val="18"/>
                <w:szCs w:val="18"/>
              </w:rPr>
              <w:t>合计</w:t>
            </w:r>
          </w:p>
        </w:tc>
        <w:tc>
          <w:tcPr>
            <w:tcW w:w="1688"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sz w:val="18"/>
                <w:szCs w:val="18"/>
              </w:rPr>
            </w:pPr>
            <w:r>
              <w:rPr>
                <w:rFonts w:hint="eastAsia" w:ascii="宋体" w:hAnsi="宋体" w:cs="宋体"/>
                <w:color w:val="auto"/>
                <w:kern w:val="0"/>
                <w:sz w:val="18"/>
                <w:szCs w:val="18"/>
              </w:rPr>
              <w:t>695</w:t>
            </w:r>
          </w:p>
        </w:tc>
        <w:tc>
          <w:tcPr>
            <w:tcW w:w="1688"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sz w:val="18"/>
                <w:szCs w:val="18"/>
              </w:rPr>
            </w:pPr>
            <w:r>
              <w:rPr>
                <w:rFonts w:hint="eastAsia" w:ascii="宋体" w:hAnsi="宋体" w:cs="宋体"/>
                <w:color w:val="auto"/>
                <w:kern w:val="0"/>
                <w:sz w:val="18"/>
                <w:szCs w:val="18"/>
              </w:rPr>
              <w:t>400</w:t>
            </w:r>
          </w:p>
        </w:tc>
        <w:tc>
          <w:tcPr>
            <w:tcW w:w="1688"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309</w:t>
            </w:r>
          </w:p>
        </w:tc>
        <w:tc>
          <w:tcPr>
            <w:tcW w:w="1688"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129</w:t>
            </w:r>
          </w:p>
        </w:tc>
        <w:tc>
          <w:tcPr>
            <w:tcW w:w="1692"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104</w:t>
            </w:r>
          </w:p>
        </w:tc>
      </w:tr>
    </w:tbl>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B、勘察设计和前期工程费</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勘察设计和前期工程费，如市场调研、可行性研究、项目策划、工程勘察、环境影响评价、交通影响评价、规划及建筑设计、建设工程招标，以及施工通水、通电、通路、场地平整和临时用房等房地产开发项目前期工作的必要支出。勘察设计和前期工程费按建筑安装工程费的3%-9%计算。经估价人员调查了解与分析砚山县现行建筑项目的勘察设计和前期工程费一般为建筑安装工程费的6%计算。</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勘察设计和前期工程费=建筑安装工程费×6%，列表计算</w:t>
      </w:r>
    </w:p>
    <w:p>
      <w:pPr>
        <w:adjustRightInd w:val="0"/>
        <w:snapToGrid w:val="0"/>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各结构勘察设计和前期工程费计算结果表</w:t>
      </w:r>
    </w:p>
    <w:tbl>
      <w:tblPr>
        <w:tblStyle w:val="21"/>
        <w:tblpPr w:leftFromText="180" w:rightFromText="180" w:vertAnchor="text" w:horzAnchor="page" w:tblpX="1717" w:tblpY="73"/>
        <w:tblOverlap w:val="never"/>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598"/>
        <w:gridCol w:w="1598"/>
        <w:gridCol w:w="1598"/>
        <w:gridCol w:w="1598"/>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331"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项目</w:t>
            </w:r>
          </w:p>
          <w:p>
            <w:pPr>
              <w:snapToGrid w:val="0"/>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598"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砖混B单价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598"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砖木C单价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598"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简易A结构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598"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简易C结构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599"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彩钢瓦房</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331" w:type="dxa"/>
            <w:vAlign w:val="center"/>
          </w:tcPr>
          <w:p>
            <w:pPr>
              <w:snapToGrid w:val="0"/>
              <w:jc w:val="center"/>
              <w:rPr>
                <w:rFonts w:ascii="宋体" w:hAnsi="宋体" w:cs="宋体"/>
                <w:color w:val="auto"/>
                <w:sz w:val="18"/>
                <w:szCs w:val="18"/>
              </w:rPr>
            </w:pPr>
            <w:r>
              <w:rPr>
                <w:rFonts w:hint="eastAsia" w:ascii="宋体" w:hAnsi="宋体" w:cs="宋体"/>
                <w:color w:val="auto"/>
                <w:sz w:val="18"/>
                <w:szCs w:val="18"/>
              </w:rPr>
              <w:t>合计</w:t>
            </w:r>
          </w:p>
        </w:tc>
        <w:tc>
          <w:tcPr>
            <w:tcW w:w="1598"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kern w:val="0"/>
                <w:sz w:val="18"/>
                <w:szCs w:val="18"/>
              </w:rPr>
              <w:t>41.7</w:t>
            </w:r>
          </w:p>
        </w:tc>
        <w:tc>
          <w:tcPr>
            <w:tcW w:w="1598"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kern w:val="0"/>
                <w:sz w:val="18"/>
                <w:szCs w:val="18"/>
              </w:rPr>
              <w:t>24.0</w:t>
            </w:r>
          </w:p>
        </w:tc>
        <w:tc>
          <w:tcPr>
            <w:tcW w:w="1598"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18.54</w:t>
            </w:r>
          </w:p>
        </w:tc>
        <w:tc>
          <w:tcPr>
            <w:tcW w:w="1598"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7.74</w:t>
            </w:r>
          </w:p>
        </w:tc>
        <w:tc>
          <w:tcPr>
            <w:tcW w:w="1599"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6.24</w:t>
            </w:r>
          </w:p>
        </w:tc>
      </w:tr>
    </w:tbl>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C、基础设施建设费</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包括城市规划要求配套的道路、给水、排水、电力、通信、燃气、供热等设施的建设费用。根据调查，基础设施建设费按建筑安装工程费的5%计算。</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基础设施建设费=建筑安装工程费×5%，列表计算</w:t>
      </w:r>
    </w:p>
    <w:p>
      <w:pPr>
        <w:keepNext w:val="0"/>
        <w:keepLines w:val="0"/>
        <w:pageBreakBefore w:val="0"/>
        <w:kinsoku/>
        <w:wordWrap/>
        <w:overflowPunct/>
        <w:topLinePunct w:val="0"/>
        <w:autoSpaceDE/>
        <w:autoSpaceDN/>
        <w:bidi w:val="0"/>
        <w:adjustRightInd w:val="0"/>
        <w:snapToGrid w:val="0"/>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各结构基础设施建设费计算结果表</w:t>
      </w:r>
    </w:p>
    <w:tbl>
      <w:tblPr>
        <w:tblStyle w:val="21"/>
        <w:tblpPr w:leftFromText="180" w:rightFromText="180" w:vertAnchor="text" w:horzAnchor="page" w:tblpX="1308" w:tblpY="543"/>
        <w:tblOverlap w:val="never"/>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685"/>
        <w:gridCol w:w="1685"/>
        <w:gridCol w:w="1685"/>
        <w:gridCol w:w="1685"/>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48" w:type="dxa"/>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项目</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685" w:type="dxa"/>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砖混B单价</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85" w:type="dxa"/>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砖木C单价</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85" w:type="dxa"/>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简易A结构</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85" w:type="dxa"/>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简易C结构</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89" w:type="dxa"/>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彩钢瓦房</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tcPr>
          <w:p>
            <w:pPr>
              <w:keepNext w:val="0"/>
              <w:keepLines w:val="0"/>
              <w:pageBreakBefore w:val="0"/>
              <w:kinsoku/>
              <w:wordWrap/>
              <w:overflowPunct/>
              <w:topLinePunct w:val="0"/>
              <w:autoSpaceDE/>
              <w:autoSpaceDN/>
              <w:bidi w:val="0"/>
              <w:snapToGrid w:val="0"/>
              <w:jc w:val="center"/>
              <w:rPr>
                <w:rFonts w:ascii="宋体" w:hAnsi="宋体" w:cs="宋体"/>
                <w:color w:val="auto"/>
                <w:sz w:val="18"/>
                <w:szCs w:val="18"/>
              </w:rPr>
            </w:pPr>
            <w:r>
              <w:rPr>
                <w:rFonts w:hint="eastAsia" w:ascii="宋体" w:hAnsi="宋体" w:cs="宋体"/>
                <w:color w:val="auto"/>
                <w:sz w:val="18"/>
                <w:szCs w:val="18"/>
              </w:rPr>
              <w:t>合计</w:t>
            </w:r>
          </w:p>
        </w:tc>
        <w:tc>
          <w:tcPr>
            <w:tcW w:w="1685" w:type="dxa"/>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sz w:val="18"/>
                <w:szCs w:val="18"/>
              </w:rPr>
            </w:pPr>
            <w:r>
              <w:rPr>
                <w:rFonts w:hint="eastAsia" w:ascii="宋体" w:hAnsi="宋体" w:cs="宋体"/>
                <w:color w:val="auto"/>
                <w:sz w:val="18"/>
                <w:szCs w:val="18"/>
              </w:rPr>
              <w:t>34.75</w:t>
            </w:r>
          </w:p>
        </w:tc>
        <w:tc>
          <w:tcPr>
            <w:tcW w:w="1685" w:type="dxa"/>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sz w:val="18"/>
                <w:szCs w:val="18"/>
              </w:rPr>
            </w:pPr>
            <w:r>
              <w:rPr>
                <w:rFonts w:hint="eastAsia" w:ascii="宋体" w:hAnsi="宋体" w:cs="宋体"/>
                <w:color w:val="auto"/>
                <w:kern w:val="0"/>
                <w:sz w:val="18"/>
                <w:szCs w:val="18"/>
              </w:rPr>
              <w:t>20.0</w:t>
            </w:r>
          </w:p>
        </w:tc>
        <w:tc>
          <w:tcPr>
            <w:tcW w:w="1685" w:type="dxa"/>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15.45</w:t>
            </w:r>
          </w:p>
        </w:tc>
        <w:tc>
          <w:tcPr>
            <w:tcW w:w="1685" w:type="dxa"/>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6.45</w:t>
            </w:r>
          </w:p>
        </w:tc>
        <w:tc>
          <w:tcPr>
            <w:tcW w:w="1689" w:type="dxa"/>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5.2</w:t>
            </w:r>
          </w:p>
        </w:tc>
      </w:tr>
    </w:tbl>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D、公共配套设施建设费</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包括城市规划要求配套的教育（如幼儿园）、医疗卫生（如医院）、文化体育（如文化活动中心）、社区服务（如居委会）、市政公用（如公共厕所）等非营业性设施的建设费用。经调查与分析，公共配套设施建设费按建筑安装工程费的4%计算。</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公共配套设施建设费=建筑安装工程费×4%，列表计算</w:t>
      </w:r>
    </w:p>
    <w:p>
      <w:pPr>
        <w:keepNext w:val="0"/>
        <w:keepLines w:val="0"/>
        <w:pageBreakBefore w:val="0"/>
        <w:kinsoku/>
        <w:wordWrap/>
        <w:overflowPunct/>
        <w:topLinePunct w:val="0"/>
        <w:autoSpaceDE/>
        <w:autoSpaceDN/>
        <w:bidi w:val="0"/>
        <w:adjustRightInd w:val="0"/>
        <w:snapToGrid w:val="0"/>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各结构公共配套设施建设费计算结果表</w:t>
      </w:r>
    </w:p>
    <w:tbl>
      <w:tblPr>
        <w:tblStyle w:val="21"/>
        <w:tblpPr w:leftFromText="180" w:rightFromText="180" w:vertAnchor="text" w:horzAnchor="page" w:tblpX="1308" w:tblpY="543"/>
        <w:tblOverlap w:val="never"/>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667"/>
        <w:gridCol w:w="1667"/>
        <w:gridCol w:w="1667"/>
        <w:gridCol w:w="166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48"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项目</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667"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砖混B单价</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67"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砖木C单价</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67"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简易A结构</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67"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简易C结构</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1" w:type="dxa"/>
            <w:vAlign w:val="center"/>
          </w:tcPr>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彩钢瓦房</w:t>
            </w:r>
          </w:p>
          <w:p>
            <w:pPr>
              <w:keepNext w:val="0"/>
              <w:keepLines w:val="0"/>
              <w:pageBreakBefore w:val="0"/>
              <w:kinsoku/>
              <w:wordWrap/>
              <w:overflowPunct/>
              <w:topLinePunct w:val="0"/>
              <w:autoSpaceDE/>
              <w:autoSpaceDN/>
              <w:bidi w:val="0"/>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8" w:type="dxa"/>
            <w:vAlign w:val="center"/>
          </w:tcPr>
          <w:p>
            <w:pPr>
              <w:keepNext w:val="0"/>
              <w:keepLines w:val="0"/>
              <w:pageBreakBefore w:val="0"/>
              <w:kinsoku/>
              <w:wordWrap/>
              <w:overflowPunct/>
              <w:topLinePunct w:val="0"/>
              <w:autoSpaceDE/>
              <w:autoSpaceDN/>
              <w:bidi w:val="0"/>
              <w:snapToGrid w:val="0"/>
              <w:jc w:val="center"/>
              <w:rPr>
                <w:rFonts w:ascii="宋体" w:hAnsi="宋体" w:cs="宋体"/>
                <w:color w:val="auto"/>
                <w:sz w:val="18"/>
                <w:szCs w:val="18"/>
              </w:rPr>
            </w:pPr>
            <w:r>
              <w:rPr>
                <w:rFonts w:hint="eastAsia" w:ascii="宋体" w:hAnsi="宋体" w:cs="宋体"/>
                <w:color w:val="auto"/>
                <w:sz w:val="18"/>
                <w:szCs w:val="18"/>
              </w:rPr>
              <w:t>合计</w:t>
            </w:r>
          </w:p>
        </w:tc>
        <w:tc>
          <w:tcPr>
            <w:tcW w:w="1667"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sz w:val="18"/>
                <w:szCs w:val="18"/>
              </w:rPr>
            </w:pPr>
            <w:r>
              <w:rPr>
                <w:rFonts w:hint="eastAsia" w:ascii="宋体" w:hAnsi="宋体" w:cs="宋体"/>
                <w:color w:val="auto"/>
                <w:sz w:val="18"/>
                <w:szCs w:val="18"/>
              </w:rPr>
              <w:t>27.8</w:t>
            </w:r>
          </w:p>
        </w:tc>
        <w:tc>
          <w:tcPr>
            <w:tcW w:w="1667"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sz w:val="18"/>
                <w:szCs w:val="18"/>
              </w:rPr>
            </w:pPr>
            <w:r>
              <w:rPr>
                <w:rFonts w:hint="eastAsia" w:ascii="宋体" w:hAnsi="宋体" w:cs="宋体"/>
                <w:color w:val="auto"/>
                <w:sz w:val="18"/>
                <w:szCs w:val="18"/>
              </w:rPr>
              <w:t>16.0</w:t>
            </w:r>
          </w:p>
        </w:tc>
        <w:tc>
          <w:tcPr>
            <w:tcW w:w="1667"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sz w:val="18"/>
                <w:szCs w:val="18"/>
              </w:rPr>
            </w:pPr>
            <w:r>
              <w:rPr>
                <w:rFonts w:hint="eastAsia" w:ascii="宋体" w:hAnsi="宋体" w:cs="宋体"/>
                <w:color w:val="auto"/>
                <w:kern w:val="0"/>
                <w:sz w:val="18"/>
                <w:szCs w:val="18"/>
              </w:rPr>
              <w:t>12.36</w:t>
            </w:r>
          </w:p>
        </w:tc>
        <w:tc>
          <w:tcPr>
            <w:tcW w:w="1667"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5.16</w:t>
            </w:r>
          </w:p>
        </w:tc>
        <w:tc>
          <w:tcPr>
            <w:tcW w:w="1671" w:type="dxa"/>
            <w:vAlign w:val="center"/>
          </w:tcPr>
          <w:p>
            <w:pPr>
              <w:keepNext w:val="0"/>
              <w:keepLines w:val="0"/>
              <w:pageBreakBefore w:val="0"/>
              <w:widowControl/>
              <w:kinsoku/>
              <w:wordWrap/>
              <w:overflowPunct/>
              <w:topLinePunct w:val="0"/>
              <w:autoSpaceDE/>
              <w:autoSpaceDN/>
              <w:bidi w:val="0"/>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4.16</w:t>
            </w:r>
          </w:p>
        </w:tc>
      </w:tr>
    </w:tbl>
    <w:p>
      <w:pPr>
        <w:numPr>
          <w:ilvl w:val="0"/>
          <w:numId w:val="5"/>
        </w:num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开发期间税费</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开发期间税费，包括有关税收和地方政府或其有关部门收取的费用，如绿化建设费、人防工程费等。经调查了解，开发期间税费按建筑安装工程费的5.5%计算。</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开发期间税费=建筑安装工程费×5.5%，列表计算</w:t>
      </w:r>
    </w:p>
    <w:p>
      <w:pPr>
        <w:adjustRightInd w:val="0"/>
        <w:snapToGrid w:val="0"/>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各结构开发期间税费计算结果表</w:t>
      </w:r>
    </w:p>
    <w:tbl>
      <w:tblPr>
        <w:tblStyle w:val="21"/>
        <w:tblpPr w:leftFromText="180" w:rightFromText="180" w:vertAnchor="text" w:horzAnchor="page" w:tblpX="1308" w:tblpY="543"/>
        <w:tblOverlap w:val="never"/>
        <w:tblW w:w="91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667"/>
        <w:gridCol w:w="1667"/>
        <w:gridCol w:w="1667"/>
        <w:gridCol w:w="166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848"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项目</w:t>
            </w:r>
          </w:p>
          <w:p>
            <w:pPr>
              <w:snapToGrid w:val="0"/>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667"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砖混B单价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67"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砖木C单价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67"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简易A结构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67"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简易C结构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1"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彩钢瓦房</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48" w:type="dxa"/>
            <w:vAlign w:val="center"/>
          </w:tcPr>
          <w:p>
            <w:pPr>
              <w:snapToGrid w:val="0"/>
              <w:jc w:val="center"/>
              <w:rPr>
                <w:rFonts w:ascii="宋体" w:hAnsi="宋体" w:cs="宋体"/>
                <w:color w:val="auto"/>
                <w:sz w:val="18"/>
                <w:szCs w:val="18"/>
              </w:rPr>
            </w:pPr>
            <w:r>
              <w:rPr>
                <w:rFonts w:hint="eastAsia" w:ascii="宋体" w:hAnsi="宋体" w:cs="宋体"/>
                <w:color w:val="auto"/>
                <w:sz w:val="18"/>
                <w:szCs w:val="18"/>
              </w:rPr>
              <w:t>合计</w:t>
            </w:r>
          </w:p>
        </w:tc>
        <w:tc>
          <w:tcPr>
            <w:tcW w:w="1667"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sz w:val="18"/>
                <w:szCs w:val="18"/>
              </w:rPr>
              <w:t>38.23</w:t>
            </w:r>
          </w:p>
        </w:tc>
        <w:tc>
          <w:tcPr>
            <w:tcW w:w="1667"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sz w:val="18"/>
                <w:szCs w:val="18"/>
              </w:rPr>
              <w:t>22.0</w:t>
            </w:r>
          </w:p>
        </w:tc>
        <w:tc>
          <w:tcPr>
            <w:tcW w:w="1667"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kern w:val="0"/>
                <w:sz w:val="18"/>
                <w:szCs w:val="18"/>
              </w:rPr>
              <w:t>17.0</w:t>
            </w:r>
          </w:p>
        </w:tc>
        <w:tc>
          <w:tcPr>
            <w:tcW w:w="1667"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7.10</w:t>
            </w:r>
          </w:p>
        </w:tc>
        <w:tc>
          <w:tcPr>
            <w:tcW w:w="1671"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5.72</w:t>
            </w:r>
          </w:p>
        </w:tc>
      </w:tr>
    </w:tbl>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建筑物建设成本=建筑安装工程费+勘察设计和前期工程费+基础设施建设费+公共配套设施建设费+开发期间税费，列表计算</w:t>
      </w:r>
    </w:p>
    <w:p>
      <w:pPr>
        <w:adjustRightInd w:val="0"/>
        <w:snapToGrid w:val="0"/>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各结构建筑物建设成本计算结果表</w:t>
      </w:r>
    </w:p>
    <w:tbl>
      <w:tblPr>
        <w:tblStyle w:val="21"/>
        <w:tblpPr w:leftFromText="180" w:rightFromText="180" w:vertAnchor="text" w:horzAnchor="page" w:tblpX="1308" w:tblpY="543"/>
        <w:tblOverlap w:val="never"/>
        <w:tblW w:w="9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670"/>
        <w:gridCol w:w="1670"/>
        <w:gridCol w:w="1670"/>
        <w:gridCol w:w="1670"/>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48"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项目</w:t>
            </w:r>
          </w:p>
          <w:p>
            <w:pPr>
              <w:snapToGrid w:val="0"/>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670"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砖混B单价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0"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砖木C单价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0"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简易A结构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0"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简易C结构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4"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彩钢瓦房</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48" w:type="dxa"/>
            <w:vAlign w:val="center"/>
          </w:tcPr>
          <w:p>
            <w:pPr>
              <w:snapToGrid w:val="0"/>
              <w:jc w:val="center"/>
              <w:rPr>
                <w:rFonts w:ascii="宋体" w:hAnsi="宋体" w:cs="宋体"/>
                <w:color w:val="auto"/>
                <w:sz w:val="18"/>
                <w:szCs w:val="18"/>
              </w:rPr>
            </w:pPr>
            <w:r>
              <w:rPr>
                <w:rFonts w:hint="eastAsia" w:ascii="宋体" w:hAnsi="宋体" w:cs="宋体"/>
                <w:color w:val="auto"/>
                <w:sz w:val="18"/>
                <w:szCs w:val="18"/>
              </w:rPr>
              <w:t>合计</w:t>
            </w:r>
          </w:p>
        </w:tc>
        <w:tc>
          <w:tcPr>
            <w:tcW w:w="1670"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sz w:val="18"/>
                <w:szCs w:val="18"/>
              </w:rPr>
              <w:t>837.48</w:t>
            </w:r>
          </w:p>
        </w:tc>
        <w:tc>
          <w:tcPr>
            <w:tcW w:w="1670"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sz w:val="18"/>
                <w:szCs w:val="18"/>
              </w:rPr>
              <w:t>482.0</w:t>
            </w:r>
          </w:p>
        </w:tc>
        <w:tc>
          <w:tcPr>
            <w:tcW w:w="1670"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kern w:val="0"/>
                <w:sz w:val="18"/>
                <w:szCs w:val="18"/>
              </w:rPr>
              <w:t>372.35</w:t>
            </w:r>
          </w:p>
        </w:tc>
        <w:tc>
          <w:tcPr>
            <w:tcW w:w="1670"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155.45</w:t>
            </w:r>
          </w:p>
        </w:tc>
        <w:tc>
          <w:tcPr>
            <w:tcW w:w="1674"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125.32</w:t>
            </w:r>
          </w:p>
        </w:tc>
      </w:tr>
    </w:tbl>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（2）管理费用</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管理费用是指房地产开发企业为组织和管理房地产开发经营活动的必要支出，包括房地产开发企业的人员工资及福利费、办公费、差旅费等。管理费用一般为建筑物建设成本和专业费用之和的2%-4%，根据估价对象特点和投资规模，经估价人员的调查了解与分析，砚山县现行建筑项目的管理费用一般为建筑物建设成本的3%计算。</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管理费用=建筑物建设成本×3%，列表计算</w:t>
      </w:r>
    </w:p>
    <w:p>
      <w:pPr>
        <w:adjustRightInd w:val="0"/>
        <w:snapToGrid w:val="0"/>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各结构管理费用计算结果表</w:t>
      </w:r>
    </w:p>
    <w:tbl>
      <w:tblPr>
        <w:tblStyle w:val="21"/>
        <w:tblpPr w:leftFromText="180" w:rightFromText="180" w:vertAnchor="text" w:horzAnchor="page" w:tblpX="1308" w:tblpY="543"/>
        <w:tblOverlap w:val="never"/>
        <w:tblW w:w="9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670"/>
        <w:gridCol w:w="1670"/>
        <w:gridCol w:w="1670"/>
        <w:gridCol w:w="1670"/>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848"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项目</w:t>
            </w:r>
          </w:p>
          <w:p>
            <w:pPr>
              <w:snapToGrid w:val="0"/>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670"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砖混B单价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0"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砖木C单价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0"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简易A结构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0"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简易C结构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674"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彩钢瓦房</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48" w:type="dxa"/>
            <w:vAlign w:val="center"/>
          </w:tcPr>
          <w:p>
            <w:pPr>
              <w:snapToGrid w:val="0"/>
              <w:jc w:val="center"/>
              <w:rPr>
                <w:rFonts w:ascii="宋体" w:hAnsi="宋体" w:cs="宋体"/>
                <w:color w:val="auto"/>
                <w:sz w:val="18"/>
                <w:szCs w:val="18"/>
              </w:rPr>
            </w:pPr>
            <w:r>
              <w:rPr>
                <w:rFonts w:hint="eastAsia" w:ascii="宋体" w:hAnsi="宋体" w:cs="宋体"/>
                <w:color w:val="auto"/>
                <w:sz w:val="18"/>
                <w:szCs w:val="18"/>
              </w:rPr>
              <w:t>合计</w:t>
            </w:r>
          </w:p>
        </w:tc>
        <w:tc>
          <w:tcPr>
            <w:tcW w:w="1670"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sz w:val="18"/>
                <w:szCs w:val="18"/>
              </w:rPr>
              <w:t>25.12</w:t>
            </w:r>
          </w:p>
        </w:tc>
        <w:tc>
          <w:tcPr>
            <w:tcW w:w="1670"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sz w:val="18"/>
                <w:szCs w:val="18"/>
              </w:rPr>
              <w:t>14.46</w:t>
            </w:r>
          </w:p>
        </w:tc>
        <w:tc>
          <w:tcPr>
            <w:tcW w:w="1670"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kern w:val="0"/>
                <w:sz w:val="18"/>
                <w:szCs w:val="18"/>
              </w:rPr>
              <w:t>11.17</w:t>
            </w:r>
          </w:p>
        </w:tc>
        <w:tc>
          <w:tcPr>
            <w:tcW w:w="1670"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4.66</w:t>
            </w:r>
          </w:p>
        </w:tc>
        <w:tc>
          <w:tcPr>
            <w:tcW w:w="1674"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3.76</w:t>
            </w:r>
          </w:p>
        </w:tc>
      </w:tr>
    </w:tbl>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（3）销售费用</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销售费用是指销售开发完成后的房地产所需要的费用，包括广告宣传费、销售代理费、销售人员的工资和福利等。经估价人员调查了解与分析，结合估价对象的区位、规模及档次等因素，本次销售费用取重置成本的4%，设定估价对象的重置成本单价为V。</w:t>
      </w:r>
    </w:p>
    <w:p>
      <w:pPr>
        <w:adjustRightInd w:val="0"/>
        <w:snapToGrid w:val="0"/>
        <w:spacing w:line="360" w:lineRule="auto"/>
        <w:ind w:left="279" w:leftChars="133" w:firstLine="420" w:firstLineChars="150"/>
        <w:rPr>
          <w:rFonts w:ascii="宋体" w:hAnsi="宋体" w:cs="宋体"/>
          <w:color w:val="auto"/>
          <w:sz w:val="28"/>
          <w:szCs w:val="28"/>
        </w:rPr>
      </w:pPr>
      <w:r>
        <w:rPr>
          <w:rFonts w:hint="eastAsia" w:ascii="宋体" w:hAnsi="宋体" w:cs="宋体"/>
          <w:color w:val="auto"/>
          <w:sz w:val="28"/>
          <w:szCs w:val="28"/>
        </w:rPr>
        <w:t>销售费用=重置成本单价V×4%=0.04V</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（4）投资利息</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投资无论是借贷资金还是自有资金都应该计算利息，因为借贷资金要支付贷款利息，自有资金要放弃可得的存款利息，即基于资金机会成本的考虑。建筑物的建设成本、管理费用及销售费用在开发周期内均匀投入，假设估价对象开发期为1年，相应期限的贷款利率为2020年中国人民银行公布的一年期贷款利率4.35%。投资利息=（建设成本+管理费用+销售费用）×｛（1+4.35%）</w:t>
      </w:r>
      <w:r>
        <w:rPr>
          <w:rFonts w:hint="eastAsia" w:ascii="宋体" w:hAnsi="宋体" w:cs="宋体"/>
          <w:color w:val="auto"/>
          <w:sz w:val="28"/>
          <w:szCs w:val="28"/>
          <w:vertAlign w:val="superscript"/>
        </w:rPr>
        <w:t>1/2</w:t>
      </w:r>
      <w:r>
        <w:rPr>
          <w:rFonts w:hint="eastAsia" w:ascii="宋体" w:hAnsi="宋体" w:cs="宋体"/>
          <w:color w:val="auto"/>
          <w:sz w:val="28"/>
          <w:szCs w:val="28"/>
        </w:rPr>
        <w:t>-1｝，列表计算</w:t>
      </w:r>
    </w:p>
    <w:p>
      <w:pPr>
        <w:adjustRightInd w:val="0"/>
        <w:snapToGrid w:val="0"/>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各结构投资利息计算结果表</w:t>
      </w:r>
    </w:p>
    <w:tbl>
      <w:tblPr>
        <w:tblStyle w:val="21"/>
        <w:tblpPr w:leftFromText="180" w:rightFromText="180" w:vertAnchor="text" w:horzAnchor="page" w:tblpX="1308" w:tblpY="543"/>
        <w:tblOverlap w:val="never"/>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746"/>
        <w:gridCol w:w="1746"/>
        <w:gridCol w:w="1746"/>
        <w:gridCol w:w="1746"/>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592"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项目</w:t>
            </w:r>
          </w:p>
          <w:p>
            <w:pPr>
              <w:snapToGrid w:val="0"/>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746"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砖混B单价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746"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砖木C单价</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746"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简易A结构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746"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简易C结构</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c>
          <w:tcPr>
            <w:tcW w:w="1746" w:type="dxa"/>
            <w:vAlign w:val="center"/>
          </w:tcPr>
          <w:p>
            <w:pPr>
              <w:snapToGrid w:val="0"/>
              <w:jc w:val="center"/>
              <w:rPr>
                <w:rFonts w:ascii="宋体" w:hAnsi="宋体" w:cs="宋体"/>
                <w:b/>
                <w:bCs/>
                <w:color w:val="auto"/>
                <w:sz w:val="18"/>
                <w:szCs w:val="18"/>
              </w:rPr>
            </w:pPr>
            <w:r>
              <w:rPr>
                <w:rFonts w:hint="eastAsia" w:ascii="宋体" w:hAnsi="宋体" w:cs="宋体"/>
                <w:b/>
                <w:bCs/>
                <w:color w:val="auto"/>
                <w:sz w:val="18"/>
                <w:szCs w:val="18"/>
              </w:rPr>
              <w:t>彩钢瓦房</w:t>
            </w:r>
          </w:p>
          <w:p>
            <w:pPr>
              <w:snapToGrid w:val="0"/>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92" w:type="dxa"/>
            <w:vAlign w:val="center"/>
          </w:tcPr>
          <w:p>
            <w:pPr>
              <w:snapToGrid w:val="0"/>
              <w:jc w:val="center"/>
              <w:rPr>
                <w:rFonts w:ascii="宋体" w:hAnsi="宋体" w:cs="宋体"/>
                <w:color w:val="auto"/>
                <w:sz w:val="18"/>
                <w:szCs w:val="18"/>
              </w:rPr>
            </w:pPr>
            <w:r>
              <w:rPr>
                <w:rFonts w:hint="eastAsia" w:ascii="宋体" w:hAnsi="宋体" w:cs="宋体"/>
                <w:color w:val="auto"/>
                <w:sz w:val="18"/>
                <w:szCs w:val="18"/>
              </w:rPr>
              <w:t>合计</w:t>
            </w:r>
          </w:p>
        </w:tc>
        <w:tc>
          <w:tcPr>
            <w:tcW w:w="1746"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sz w:val="18"/>
                <w:szCs w:val="18"/>
              </w:rPr>
              <w:t>18.56+0.00086V</w:t>
            </w:r>
          </w:p>
        </w:tc>
        <w:tc>
          <w:tcPr>
            <w:tcW w:w="1746"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sz w:val="18"/>
                <w:szCs w:val="18"/>
              </w:rPr>
              <w:t>10.68+0.00086V</w:t>
            </w:r>
          </w:p>
        </w:tc>
        <w:tc>
          <w:tcPr>
            <w:tcW w:w="1746" w:type="dxa"/>
            <w:vAlign w:val="center"/>
          </w:tcPr>
          <w:p>
            <w:pPr>
              <w:widowControl/>
              <w:snapToGrid w:val="0"/>
              <w:jc w:val="center"/>
              <w:textAlignment w:val="top"/>
              <w:rPr>
                <w:rFonts w:ascii="宋体" w:hAnsi="宋体" w:cs="宋体"/>
                <w:color w:val="auto"/>
                <w:sz w:val="18"/>
                <w:szCs w:val="18"/>
              </w:rPr>
            </w:pPr>
            <w:r>
              <w:rPr>
                <w:rFonts w:hint="eastAsia" w:ascii="宋体" w:hAnsi="宋体" w:cs="宋体"/>
                <w:color w:val="auto"/>
                <w:sz w:val="18"/>
                <w:szCs w:val="18"/>
              </w:rPr>
              <w:t>8.25+0.00086V</w:t>
            </w:r>
          </w:p>
        </w:tc>
        <w:tc>
          <w:tcPr>
            <w:tcW w:w="1746"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kern w:val="0"/>
                <w:sz w:val="18"/>
                <w:szCs w:val="18"/>
              </w:rPr>
              <w:t>3.45+0.00086V</w:t>
            </w:r>
          </w:p>
        </w:tc>
        <w:tc>
          <w:tcPr>
            <w:tcW w:w="1746" w:type="dxa"/>
            <w:vAlign w:val="center"/>
          </w:tcPr>
          <w:p>
            <w:pPr>
              <w:widowControl/>
              <w:snapToGrid w:val="0"/>
              <w:jc w:val="center"/>
              <w:textAlignment w:val="top"/>
              <w:rPr>
                <w:rFonts w:ascii="宋体" w:hAnsi="宋体" w:cs="宋体"/>
                <w:color w:val="auto"/>
                <w:kern w:val="0"/>
                <w:sz w:val="18"/>
                <w:szCs w:val="18"/>
              </w:rPr>
            </w:pPr>
            <w:r>
              <w:rPr>
                <w:rFonts w:hint="eastAsia" w:ascii="宋体" w:hAnsi="宋体" w:cs="宋体"/>
                <w:color w:val="auto"/>
                <w:sz w:val="18"/>
                <w:szCs w:val="18"/>
              </w:rPr>
              <w:t>2.78+0.00086V</w:t>
            </w:r>
          </w:p>
        </w:tc>
      </w:tr>
    </w:tbl>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（5）销售税费</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销售税费是指销售开发成后的房地产应由卖方（开发商）缴纳的税费。包括销售税金及附加，和增值税、城市维护建设税和教育附加等。税费比例为6%，按重置成本单价的6%计算, 设定估价对象的重置成本单价为V。</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销售税费=重置成本单价V×6%=0.06V</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（6）开发利润</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开发利润是指房地产开发企业（或业主、建设单位）的利润，而不是建筑施工企业的利润，是典型的房地产开发企业进行特定的房地产开发所期望获得的利润（平均利润）。根据对类似房地产的统计分析，结合区域房地产市场情况，综合考虑开发成本利润为10%，开发利润=（建设成本+管理费用+销售费用+投资利息）×10%，列表计算</w:t>
      </w:r>
    </w:p>
    <w:p>
      <w:pPr>
        <w:adjustRightInd w:val="0"/>
        <w:snapToGrid w:val="0"/>
        <w:spacing w:line="360" w:lineRule="auto"/>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各结构开发利润计算结果表</w:t>
      </w:r>
    </w:p>
    <w:tbl>
      <w:tblPr>
        <w:tblStyle w:val="21"/>
        <w:tblpPr w:leftFromText="180" w:rightFromText="180" w:vertAnchor="text" w:horzAnchor="page" w:tblpX="1308" w:tblpY="543"/>
        <w:tblOverlap w:val="never"/>
        <w:tblW w:w="9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700"/>
        <w:gridCol w:w="1700"/>
        <w:gridCol w:w="1700"/>
        <w:gridCol w:w="1700"/>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48"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项目</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700"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砖混B单价</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c>
          <w:tcPr>
            <w:tcW w:w="1700"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砖木C单价</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c>
          <w:tcPr>
            <w:tcW w:w="1700"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简易A结构</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c>
          <w:tcPr>
            <w:tcW w:w="1700"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简易C结构</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c>
          <w:tcPr>
            <w:tcW w:w="1704"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彩钢瓦房</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48" w:type="dxa"/>
            <w:vAlign w:val="center"/>
          </w:tcPr>
          <w:p>
            <w:pPr>
              <w:snapToGrid w:val="0"/>
              <w:spacing w:line="360" w:lineRule="auto"/>
              <w:jc w:val="center"/>
              <w:rPr>
                <w:rFonts w:ascii="宋体" w:hAnsi="宋体" w:cs="宋体"/>
                <w:color w:val="auto"/>
                <w:sz w:val="18"/>
                <w:szCs w:val="18"/>
              </w:rPr>
            </w:pPr>
            <w:r>
              <w:rPr>
                <w:rFonts w:hint="eastAsia" w:ascii="宋体" w:hAnsi="宋体" w:cs="宋体"/>
                <w:color w:val="auto"/>
                <w:sz w:val="18"/>
                <w:szCs w:val="18"/>
              </w:rPr>
              <w:t>合计</w:t>
            </w:r>
          </w:p>
        </w:tc>
        <w:tc>
          <w:tcPr>
            <w:tcW w:w="1700" w:type="dxa"/>
            <w:vAlign w:val="center"/>
          </w:tcPr>
          <w:p>
            <w:pPr>
              <w:widowControl/>
              <w:snapToGrid w:val="0"/>
              <w:spacing w:line="360" w:lineRule="auto"/>
              <w:jc w:val="center"/>
              <w:textAlignment w:val="top"/>
              <w:rPr>
                <w:rFonts w:ascii="宋体" w:hAnsi="宋体" w:cs="宋体"/>
                <w:color w:val="auto"/>
                <w:sz w:val="18"/>
                <w:szCs w:val="18"/>
              </w:rPr>
            </w:pPr>
            <w:r>
              <w:rPr>
                <w:rFonts w:hint="eastAsia" w:ascii="宋体" w:hAnsi="宋体" w:cs="宋体"/>
                <w:color w:val="auto"/>
                <w:sz w:val="18"/>
                <w:szCs w:val="18"/>
              </w:rPr>
              <w:t>88.12+0.0041V</w:t>
            </w:r>
          </w:p>
        </w:tc>
        <w:tc>
          <w:tcPr>
            <w:tcW w:w="1700" w:type="dxa"/>
            <w:vAlign w:val="center"/>
          </w:tcPr>
          <w:p>
            <w:pPr>
              <w:widowControl/>
              <w:snapToGrid w:val="0"/>
              <w:spacing w:line="360" w:lineRule="auto"/>
              <w:jc w:val="center"/>
              <w:textAlignment w:val="top"/>
              <w:rPr>
                <w:rFonts w:ascii="宋体" w:hAnsi="宋体" w:cs="宋体"/>
                <w:color w:val="auto"/>
                <w:sz w:val="18"/>
                <w:szCs w:val="18"/>
              </w:rPr>
            </w:pPr>
            <w:r>
              <w:rPr>
                <w:rFonts w:hint="eastAsia" w:ascii="宋体" w:hAnsi="宋体" w:cs="宋体"/>
                <w:color w:val="auto"/>
                <w:sz w:val="18"/>
                <w:szCs w:val="18"/>
              </w:rPr>
              <w:t>50.71+0.0041V</w:t>
            </w:r>
          </w:p>
        </w:tc>
        <w:tc>
          <w:tcPr>
            <w:tcW w:w="1700" w:type="dxa"/>
            <w:vAlign w:val="center"/>
          </w:tcPr>
          <w:p>
            <w:pPr>
              <w:widowControl/>
              <w:snapToGrid w:val="0"/>
              <w:spacing w:line="360" w:lineRule="auto"/>
              <w:jc w:val="center"/>
              <w:textAlignment w:val="top"/>
              <w:rPr>
                <w:rFonts w:ascii="宋体" w:hAnsi="宋体" w:cs="宋体"/>
                <w:color w:val="auto"/>
                <w:sz w:val="18"/>
                <w:szCs w:val="18"/>
              </w:rPr>
            </w:pPr>
            <w:r>
              <w:rPr>
                <w:rFonts w:hint="eastAsia" w:ascii="宋体" w:hAnsi="宋体" w:cs="宋体"/>
                <w:color w:val="auto"/>
                <w:sz w:val="18"/>
                <w:szCs w:val="18"/>
              </w:rPr>
              <w:t>39.18+0.0041V</w:t>
            </w:r>
          </w:p>
        </w:tc>
        <w:tc>
          <w:tcPr>
            <w:tcW w:w="1700" w:type="dxa"/>
            <w:vAlign w:val="center"/>
          </w:tcPr>
          <w:p>
            <w:pPr>
              <w:widowControl/>
              <w:snapToGrid w:val="0"/>
              <w:spacing w:line="360" w:lineRule="auto"/>
              <w:jc w:val="center"/>
              <w:textAlignment w:val="top"/>
              <w:rPr>
                <w:rFonts w:ascii="宋体" w:hAnsi="宋体" w:cs="宋体"/>
                <w:color w:val="auto"/>
                <w:kern w:val="0"/>
                <w:sz w:val="18"/>
                <w:szCs w:val="18"/>
              </w:rPr>
            </w:pPr>
            <w:r>
              <w:rPr>
                <w:rFonts w:hint="eastAsia" w:ascii="宋体" w:hAnsi="宋体" w:cs="宋体"/>
                <w:color w:val="auto"/>
                <w:kern w:val="0"/>
                <w:sz w:val="18"/>
                <w:szCs w:val="18"/>
              </w:rPr>
              <w:t>16.36+0.0041V</w:t>
            </w:r>
          </w:p>
        </w:tc>
        <w:tc>
          <w:tcPr>
            <w:tcW w:w="1704" w:type="dxa"/>
            <w:vAlign w:val="center"/>
          </w:tcPr>
          <w:p>
            <w:pPr>
              <w:widowControl/>
              <w:snapToGrid w:val="0"/>
              <w:spacing w:line="360" w:lineRule="auto"/>
              <w:jc w:val="center"/>
              <w:textAlignment w:val="top"/>
              <w:rPr>
                <w:rFonts w:ascii="宋体" w:hAnsi="宋体" w:cs="宋体"/>
                <w:color w:val="auto"/>
                <w:kern w:val="0"/>
                <w:sz w:val="18"/>
                <w:szCs w:val="18"/>
              </w:rPr>
            </w:pPr>
            <w:r>
              <w:rPr>
                <w:rFonts w:hint="eastAsia" w:ascii="宋体" w:hAnsi="宋体" w:cs="宋体"/>
                <w:color w:val="auto"/>
                <w:sz w:val="18"/>
                <w:szCs w:val="18"/>
              </w:rPr>
              <w:t>13.19+0.0041V</w:t>
            </w:r>
          </w:p>
        </w:tc>
      </w:tr>
    </w:tbl>
    <w:p>
      <w:pPr>
        <w:numPr>
          <w:ilvl w:val="0"/>
          <w:numId w:val="6"/>
        </w:num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建筑物重置成本单价=建筑物建设成本+管理费用+销售费用+投资利息+销售税费+开发利润，列表计算</w:t>
      </w:r>
    </w:p>
    <w:p>
      <w:pPr>
        <w:adjustRightInd w:val="0"/>
        <w:snapToGrid w:val="0"/>
        <w:spacing w:line="360" w:lineRule="auto"/>
        <w:ind w:firstLine="562" w:firstLineChars="200"/>
        <w:jc w:val="center"/>
        <w:rPr>
          <w:rFonts w:ascii="宋体" w:hAnsi="宋体" w:cs="宋体"/>
          <w:color w:val="auto"/>
          <w:sz w:val="28"/>
          <w:szCs w:val="28"/>
        </w:rPr>
      </w:pPr>
      <w:r>
        <w:rPr>
          <w:rFonts w:hint="eastAsia" w:ascii="宋体" w:hAnsi="宋体" w:cs="宋体"/>
          <w:b/>
          <w:bCs/>
          <w:color w:val="auto"/>
          <w:sz w:val="28"/>
          <w:szCs w:val="28"/>
        </w:rPr>
        <w:t>各结构建筑物重置成本单价计算结果表</w:t>
      </w:r>
    </w:p>
    <w:tbl>
      <w:tblPr>
        <w:tblStyle w:val="21"/>
        <w:tblpPr w:leftFromText="180" w:rightFromText="180" w:vertAnchor="text" w:horzAnchor="page" w:tblpX="1308" w:tblpY="543"/>
        <w:tblOverlap w:val="never"/>
        <w:tblW w:w="9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700"/>
        <w:gridCol w:w="1700"/>
        <w:gridCol w:w="1700"/>
        <w:gridCol w:w="1700"/>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848"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项目</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结构</w:t>
            </w:r>
          </w:p>
        </w:tc>
        <w:tc>
          <w:tcPr>
            <w:tcW w:w="1700"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砖混B单价</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c>
          <w:tcPr>
            <w:tcW w:w="1700"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砖木C单价</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c>
          <w:tcPr>
            <w:tcW w:w="1700"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简易A结构</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c>
          <w:tcPr>
            <w:tcW w:w="1700"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简易C结构</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c>
          <w:tcPr>
            <w:tcW w:w="1704" w:type="dxa"/>
            <w:vAlign w:val="center"/>
          </w:tcPr>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彩钢瓦房</w:t>
            </w:r>
          </w:p>
          <w:p>
            <w:pPr>
              <w:snapToGrid w:val="0"/>
              <w:spacing w:line="360" w:lineRule="auto"/>
              <w:jc w:val="center"/>
              <w:rPr>
                <w:rFonts w:ascii="宋体" w:hAnsi="宋体" w:cs="宋体"/>
                <w:b/>
                <w:bCs/>
                <w:color w:val="auto"/>
                <w:sz w:val="18"/>
                <w:szCs w:val="18"/>
              </w:rPr>
            </w:pPr>
            <w:r>
              <w:rPr>
                <w:rFonts w:hint="eastAsia" w:ascii="宋体" w:hAnsi="宋体" w:cs="宋体"/>
                <w:b/>
                <w:bCs/>
                <w:color w:val="auto"/>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48" w:type="dxa"/>
            <w:vAlign w:val="center"/>
          </w:tcPr>
          <w:p>
            <w:pPr>
              <w:snapToGrid w:val="0"/>
              <w:spacing w:line="360" w:lineRule="auto"/>
              <w:jc w:val="center"/>
              <w:rPr>
                <w:rFonts w:ascii="宋体" w:hAnsi="宋体" w:cs="宋体"/>
                <w:color w:val="auto"/>
                <w:sz w:val="18"/>
                <w:szCs w:val="18"/>
              </w:rPr>
            </w:pPr>
            <w:r>
              <w:rPr>
                <w:rFonts w:hint="eastAsia" w:ascii="宋体" w:hAnsi="宋体" w:cs="宋体"/>
                <w:color w:val="auto"/>
                <w:sz w:val="18"/>
                <w:szCs w:val="18"/>
              </w:rPr>
              <w:t>合计</w:t>
            </w:r>
          </w:p>
        </w:tc>
        <w:tc>
          <w:tcPr>
            <w:tcW w:w="1700" w:type="dxa"/>
            <w:vAlign w:val="center"/>
          </w:tcPr>
          <w:p>
            <w:pPr>
              <w:widowControl/>
              <w:snapToGrid w:val="0"/>
              <w:spacing w:line="360" w:lineRule="auto"/>
              <w:jc w:val="center"/>
              <w:textAlignment w:val="top"/>
              <w:rPr>
                <w:rFonts w:ascii="宋体" w:hAnsi="宋体" w:cs="宋体"/>
                <w:color w:val="auto"/>
                <w:sz w:val="18"/>
                <w:szCs w:val="18"/>
              </w:rPr>
            </w:pPr>
            <w:r>
              <w:rPr>
                <w:rFonts w:hint="eastAsia" w:ascii="宋体" w:hAnsi="宋体" w:cs="宋体"/>
                <w:color w:val="auto"/>
                <w:sz w:val="18"/>
                <w:szCs w:val="18"/>
              </w:rPr>
              <w:t>1080</w:t>
            </w:r>
          </w:p>
        </w:tc>
        <w:tc>
          <w:tcPr>
            <w:tcW w:w="1700" w:type="dxa"/>
            <w:vAlign w:val="center"/>
          </w:tcPr>
          <w:p>
            <w:pPr>
              <w:widowControl/>
              <w:snapToGrid w:val="0"/>
              <w:spacing w:line="360" w:lineRule="auto"/>
              <w:jc w:val="center"/>
              <w:textAlignment w:val="top"/>
              <w:rPr>
                <w:rFonts w:ascii="宋体" w:hAnsi="宋体" w:cs="宋体"/>
                <w:color w:val="auto"/>
                <w:sz w:val="18"/>
                <w:szCs w:val="18"/>
              </w:rPr>
            </w:pPr>
            <w:r>
              <w:rPr>
                <w:rFonts w:hint="eastAsia" w:ascii="宋体" w:hAnsi="宋体" w:cs="宋体"/>
                <w:color w:val="auto"/>
                <w:sz w:val="18"/>
                <w:szCs w:val="18"/>
              </w:rPr>
              <w:t>620</w:t>
            </w:r>
          </w:p>
        </w:tc>
        <w:tc>
          <w:tcPr>
            <w:tcW w:w="1700" w:type="dxa"/>
            <w:vAlign w:val="center"/>
          </w:tcPr>
          <w:p>
            <w:pPr>
              <w:widowControl/>
              <w:snapToGrid w:val="0"/>
              <w:spacing w:line="360" w:lineRule="auto"/>
              <w:jc w:val="center"/>
              <w:textAlignment w:val="top"/>
              <w:rPr>
                <w:rFonts w:ascii="宋体" w:hAnsi="宋体" w:cs="宋体"/>
                <w:color w:val="auto"/>
                <w:sz w:val="18"/>
                <w:szCs w:val="18"/>
              </w:rPr>
            </w:pPr>
            <w:r>
              <w:rPr>
                <w:rFonts w:hint="eastAsia" w:ascii="宋体" w:hAnsi="宋体" w:cs="宋体"/>
                <w:color w:val="auto"/>
                <w:kern w:val="0"/>
                <w:sz w:val="18"/>
                <w:szCs w:val="18"/>
              </w:rPr>
              <w:t>480</w:t>
            </w:r>
          </w:p>
        </w:tc>
        <w:tc>
          <w:tcPr>
            <w:tcW w:w="1700" w:type="dxa"/>
            <w:vAlign w:val="center"/>
          </w:tcPr>
          <w:p>
            <w:pPr>
              <w:widowControl/>
              <w:snapToGrid w:val="0"/>
              <w:spacing w:line="360" w:lineRule="auto"/>
              <w:jc w:val="center"/>
              <w:textAlignment w:val="top"/>
              <w:rPr>
                <w:rFonts w:ascii="宋体" w:hAnsi="宋体" w:cs="宋体"/>
                <w:color w:val="auto"/>
                <w:kern w:val="0"/>
                <w:sz w:val="18"/>
                <w:szCs w:val="18"/>
              </w:rPr>
            </w:pPr>
            <w:r>
              <w:rPr>
                <w:rFonts w:hint="eastAsia" w:ascii="宋体" w:hAnsi="宋体" w:cs="宋体"/>
                <w:color w:val="auto"/>
                <w:kern w:val="0"/>
                <w:sz w:val="18"/>
                <w:szCs w:val="18"/>
              </w:rPr>
              <w:t>200</w:t>
            </w:r>
          </w:p>
        </w:tc>
        <w:tc>
          <w:tcPr>
            <w:tcW w:w="1704" w:type="dxa"/>
            <w:vAlign w:val="center"/>
          </w:tcPr>
          <w:p>
            <w:pPr>
              <w:widowControl/>
              <w:snapToGrid w:val="0"/>
              <w:spacing w:line="360" w:lineRule="auto"/>
              <w:jc w:val="center"/>
              <w:textAlignment w:val="top"/>
              <w:rPr>
                <w:rFonts w:ascii="宋体" w:hAnsi="宋体" w:cs="宋体"/>
                <w:color w:val="auto"/>
                <w:kern w:val="0"/>
                <w:sz w:val="18"/>
                <w:szCs w:val="18"/>
              </w:rPr>
            </w:pPr>
            <w:r>
              <w:rPr>
                <w:rFonts w:hint="eastAsia" w:ascii="宋体" w:hAnsi="宋体" w:cs="宋体"/>
                <w:color w:val="auto"/>
                <w:kern w:val="0"/>
                <w:sz w:val="18"/>
                <w:szCs w:val="18"/>
              </w:rPr>
              <w:t>160</w:t>
            </w:r>
          </w:p>
        </w:tc>
      </w:tr>
    </w:tbl>
    <w:p>
      <w:pPr>
        <w:adjustRightInd w:val="0"/>
        <w:snapToGrid w:val="0"/>
        <w:spacing w:line="360" w:lineRule="auto"/>
        <w:rPr>
          <w:rFonts w:ascii="宋体" w:hAnsi="宋体" w:cs="宋体"/>
          <w:b/>
          <w:bCs/>
          <w:color w:val="auto"/>
          <w:sz w:val="28"/>
          <w:szCs w:val="28"/>
        </w:rPr>
      </w:pPr>
      <w:r>
        <w:rPr>
          <w:rFonts w:hint="eastAsia" w:ascii="宋体" w:hAnsi="宋体" w:cs="宋体"/>
          <w:color w:val="auto"/>
          <w:sz w:val="28"/>
          <w:szCs w:val="28"/>
        </w:rPr>
        <w:t xml:space="preserve">     </w:t>
      </w:r>
      <w:r>
        <w:rPr>
          <w:rFonts w:hint="eastAsia" w:ascii="宋体" w:hAnsi="宋体" w:cs="宋体"/>
          <w:b/>
          <w:bCs/>
          <w:color w:val="auto"/>
          <w:sz w:val="28"/>
          <w:szCs w:val="28"/>
        </w:rPr>
        <w:t>3、建筑物折旧</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根据引起建筑物折旧的原因，建筑物折旧分为物质折旧、功能折旧、和外部折旧。</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建筑物折旧的求取方法有年限法、市场提取法和分解法，本次估价范围大，居民自建房和企事业单位用房各类建筑物较多，宜采用年限法中的成新折扣法求取建筑价值，计算公式：V=C×q</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其中：V——建筑物的现值</w:t>
      </w:r>
    </w:p>
    <w:p>
      <w:pPr>
        <w:adjustRightInd w:val="0"/>
        <w:snapToGrid w:val="0"/>
        <w:spacing w:line="360" w:lineRule="auto"/>
        <w:ind w:firstLine="1400" w:firstLineChars="500"/>
        <w:rPr>
          <w:rFonts w:ascii="宋体" w:hAnsi="宋体" w:cs="宋体"/>
          <w:color w:val="auto"/>
          <w:sz w:val="28"/>
          <w:szCs w:val="28"/>
        </w:rPr>
      </w:pPr>
      <w:r>
        <w:rPr>
          <w:rFonts w:hint="eastAsia" w:ascii="宋体" w:hAnsi="宋体" w:cs="宋体"/>
          <w:color w:val="auto"/>
          <w:sz w:val="28"/>
          <w:szCs w:val="28"/>
        </w:rPr>
        <w:t>C——建筑物的重新购建价格（重置成本）</w:t>
      </w:r>
    </w:p>
    <w:p>
      <w:pPr>
        <w:adjustRightInd w:val="0"/>
        <w:snapToGrid w:val="0"/>
        <w:spacing w:line="360" w:lineRule="auto"/>
        <w:ind w:firstLine="1400" w:firstLineChars="500"/>
        <w:rPr>
          <w:rFonts w:ascii="宋体" w:hAnsi="宋体" w:cs="宋体"/>
          <w:color w:val="auto"/>
          <w:sz w:val="28"/>
          <w:szCs w:val="28"/>
        </w:rPr>
      </w:pPr>
      <w:r>
        <w:rPr>
          <w:rFonts w:hint="eastAsia" w:ascii="宋体" w:hAnsi="宋体" w:cs="宋体"/>
          <w:color w:val="auto"/>
          <w:sz w:val="28"/>
          <w:szCs w:val="28"/>
        </w:rPr>
        <w:t>q——建筑物的成新率（%）</w:t>
      </w:r>
    </w:p>
    <w:p>
      <w:pPr>
        <w:adjustRightInd w:val="0"/>
        <w:snapToGrid w:val="0"/>
        <w:spacing w:line="360" w:lineRule="auto"/>
        <w:ind w:firstLine="1400" w:firstLineChars="500"/>
        <w:rPr>
          <w:rFonts w:ascii="宋体" w:hAnsi="宋体" w:cs="宋体"/>
          <w:color w:val="auto"/>
          <w:sz w:val="28"/>
          <w:szCs w:val="28"/>
        </w:rPr>
      </w:pPr>
      <w:r>
        <w:rPr>
          <w:rFonts w:hint="eastAsia" w:ascii="宋体" w:hAnsi="宋体" w:cs="宋体"/>
          <w:color w:val="auto"/>
          <w:sz w:val="28"/>
          <w:szCs w:val="28"/>
        </w:rPr>
        <w:t>q=［1－(1－R)t/N］×100%</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成新率采用理论成新率与现场勘查评定现场成新率综合评定。根据各类结构房屋的建造年代，已使用年限［1－(1－R)t/N］评定理论成新率，再根据估价人员到现场观察其房屋的维护保养情况、设施设备完善程度、装饰装修情况等，综合评定其现场成新率。</w:t>
      </w:r>
    </w:p>
    <w:p>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估价对象建筑物大多已使用20年以上，基础设施完善，排水较好，管网排列较整齐，消防设施较完善，抗震能力较强，由于估价对象主要是办公综合用房，维护保养较好和较差，估价人员根据估价对象建筑物现状，结合理论成新率综合确定各幢建筑物的现场成新率，如下表所示</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710"/>
        <w:gridCol w:w="1650"/>
        <w:gridCol w:w="1440"/>
        <w:gridCol w:w="181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dxa"/>
            <w:gridSpan w:val="2"/>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建筑物名称</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建筑结构</w:t>
            </w:r>
          </w:p>
        </w:tc>
        <w:tc>
          <w:tcPr>
            <w:tcW w:w="144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建造年代</w:t>
            </w:r>
          </w:p>
        </w:tc>
        <w:tc>
          <w:tcPr>
            <w:tcW w:w="181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维护保养情况</w:t>
            </w: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综合成新率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5" w:type="dxa"/>
            <w:gridSpan w:val="2"/>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有证房屋</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砖混</w:t>
            </w:r>
          </w:p>
        </w:tc>
        <w:tc>
          <w:tcPr>
            <w:tcW w:w="1440" w:type="dxa"/>
            <w:vMerge w:val="restart"/>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1999年</w:t>
            </w:r>
          </w:p>
        </w:tc>
        <w:tc>
          <w:tcPr>
            <w:tcW w:w="181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较好</w:t>
            </w: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无证房屋</w:t>
            </w:r>
          </w:p>
        </w:tc>
        <w:tc>
          <w:tcPr>
            <w:tcW w:w="171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1幢</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简易C</w:t>
            </w:r>
          </w:p>
        </w:tc>
        <w:tc>
          <w:tcPr>
            <w:tcW w:w="1440" w:type="dxa"/>
            <w:vMerge w:val="continue"/>
            <w:vAlign w:val="center"/>
          </w:tcPr>
          <w:p>
            <w:pPr>
              <w:adjustRightInd w:val="0"/>
              <w:snapToGrid w:val="0"/>
              <w:spacing w:line="360" w:lineRule="auto"/>
              <w:jc w:val="center"/>
              <w:rPr>
                <w:rFonts w:ascii="宋体" w:hAnsi="宋体" w:cs="宋体"/>
                <w:color w:val="auto"/>
                <w:szCs w:val="21"/>
              </w:rPr>
            </w:pPr>
          </w:p>
        </w:tc>
        <w:tc>
          <w:tcPr>
            <w:tcW w:w="1815" w:type="dxa"/>
            <w:vMerge w:val="restart"/>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较差</w:t>
            </w: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adjustRightInd w:val="0"/>
              <w:snapToGrid w:val="0"/>
              <w:spacing w:line="360" w:lineRule="auto"/>
              <w:jc w:val="center"/>
              <w:rPr>
                <w:rFonts w:ascii="宋体" w:hAnsi="宋体" w:cs="宋体"/>
                <w:color w:val="auto"/>
                <w:szCs w:val="21"/>
              </w:rPr>
            </w:pPr>
          </w:p>
        </w:tc>
        <w:tc>
          <w:tcPr>
            <w:tcW w:w="171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2幢</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440" w:type="dxa"/>
            <w:vMerge w:val="continue"/>
            <w:vAlign w:val="center"/>
          </w:tcPr>
          <w:p>
            <w:pPr>
              <w:adjustRightInd w:val="0"/>
              <w:snapToGrid w:val="0"/>
              <w:spacing w:line="360" w:lineRule="auto"/>
              <w:jc w:val="center"/>
              <w:rPr>
                <w:rFonts w:ascii="宋体" w:hAnsi="宋体" w:cs="宋体"/>
                <w:color w:val="auto"/>
                <w:szCs w:val="21"/>
              </w:rPr>
            </w:pPr>
          </w:p>
        </w:tc>
        <w:tc>
          <w:tcPr>
            <w:tcW w:w="1815" w:type="dxa"/>
            <w:vMerge w:val="continue"/>
            <w:vAlign w:val="center"/>
          </w:tcPr>
          <w:p>
            <w:pPr>
              <w:adjustRightInd w:val="0"/>
              <w:snapToGrid w:val="0"/>
              <w:spacing w:line="360" w:lineRule="auto"/>
              <w:jc w:val="center"/>
              <w:rPr>
                <w:rFonts w:ascii="宋体" w:hAnsi="宋体" w:cs="宋体"/>
                <w:color w:val="auto"/>
                <w:szCs w:val="21"/>
              </w:rPr>
            </w:pP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adjustRightInd w:val="0"/>
              <w:snapToGrid w:val="0"/>
              <w:spacing w:line="360" w:lineRule="auto"/>
              <w:jc w:val="center"/>
              <w:rPr>
                <w:rFonts w:ascii="宋体" w:hAnsi="宋体" w:cs="宋体"/>
                <w:color w:val="auto"/>
                <w:szCs w:val="21"/>
              </w:rPr>
            </w:pPr>
          </w:p>
        </w:tc>
        <w:tc>
          <w:tcPr>
            <w:tcW w:w="171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3幢</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彩钢瓦房</w:t>
            </w:r>
          </w:p>
        </w:tc>
        <w:tc>
          <w:tcPr>
            <w:tcW w:w="1440" w:type="dxa"/>
            <w:vMerge w:val="continue"/>
            <w:vAlign w:val="center"/>
          </w:tcPr>
          <w:p>
            <w:pPr>
              <w:adjustRightInd w:val="0"/>
              <w:snapToGrid w:val="0"/>
              <w:spacing w:line="360" w:lineRule="auto"/>
              <w:jc w:val="center"/>
              <w:rPr>
                <w:rFonts w:ascii="宋体" w:hAnsi="宋体" w:cs="宋体"/>
                <w:color w:val="auto"/>
                <w:szCs w:val="21"/>
              </w:rPr>
            </w:pPr>
          </w:p>
        </w:tc>
        <w:tc>
          <w:tcPr>
            <w:tcW w:w="1815" w:type="dxa"/>
            <w:vMerge w:val="continue"/>
            <w:vAlign w:val="center"/>
          </w:tcPr>
          <w:p>
            <w:pPr>
              <w:adjustRightInd w:val="0"/>
              <w:snapToGrid w:val="0"/>
              <w:spacing w:line="360" w:lineRule="auto"/>
              <w:jc w:val="center"/>
              <w:rPr>
                <w:rFonts w:ascii="宋体" w:hAnsi="宋体" w:cs="宋体"/>
                <w:color w:val="auto"/>
                <w:szCs w:val="21"/>
              </w:rPr>
            </w:pP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adjustRightInd w:val="0"/>
              <w:snapToGrid w:val="0"/>
              <w:spacing w:line="360" w:lineRule="auto"/>
              <w:jc w:val="center"/>
              <w:rPr>
                <w:rFonts w:ascii="宋体" w:hAnsi="宋体" w:cs="宋体"/>
                <w:color w:val="auto"/>
                <w:szCs w:val="21"/>
              </w:rPr>
            </w:pPr>
          </w:p>
        </w:tc>
        <w:tc>
          <w:tcPr>
            <w:tcW w:w="171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4幢</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440" w:type="dxa"/>
            <w:vMerge w:val="continue"/>
            <w:vAlign w:val="center"/>
          </w:tcPr>
          <w:p>
            <w:pPr>
              <w:adjustRightInd w:val="0"/>
              <w:snapToGrid w:val="0"/>
              <w:spacing w:line="360" w:lineRule="auto"/>
              <w:jc w:val="center"/>
              <w:rPr>
                <w:rFonts w:ascii="宋体" w:hAnsi="宋体" w:cs="宋体"/>
                <w:color w:val="auto"/>
                <w:szCs w:val="21"/>
              </w:rPr>
            </w:pPr>
          </w:p>
        </w:tc>
        <w:tc>
          <w:tcPr>
            <w:tcW w:w="1815" w:type="dxa"/>
            <w:vMerge w:val="continue"/>
            <w:vAlign w:val="center"/>
          </w:tcPr>
          <w:p>
            <w:pPr>
              <w:adjustRightInd w:val="0"/>
              <w:snapToGrid w:val="0"/>
              <w:spacing w:line="360" w:lineRule="auto"/>
              <w:jc w:val="center"/>
              <w:rPr>
                <w:rFonts w:ascii="宋体" w:hAnsi="宋体" w:cs="宋体"/>
                <w:color w:val="auto"/>
                <w:szCs w:val="21"/>
              </w:rPr>
            </w:pP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adjustRightInd w:val="0"/>
              <w:snapToGrid w:val="0"/>
              <w:spacing w:line="360" w:lineRule="auto"/>
              <w:jc w:val="center"/>
              <w:rPr>
                <w:rFonts w:ascii="宋体" w:hAnsi="宋体" w:cs="宋体"/>
                <w:color w:val="auto"/>
                <w:szCs w:val="21"/>
              </w:rPr>
            </w:pPr>
          </w:p>
        </w:tc>
        <w:tc>
          <w:tcPr>
            <w:tcW w:w="171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5幢</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440" w:type="dxa"/>
            <w:vMerge w:val="continue"/>
            <w:vAlign w:val="center"/>
          </w:tcPr>
          <w:p>
            <w:pPr>
              <w:adjustRightInd w:val="0"/>
              <w:snapToGrid w:val="0"/>
              <w:spacing w:line="360" w:lineRule="auto"/>
              <w:jc w:val="center"/>
              <w:rPr>
                <w:rFonts w:ascii="宋体" w:hAnsi="宋体" w:cs="宋体"/>
                <w:color w:val="auto"/>
                <w:szCs w:val="21"/>
              </w:rPr>
            </w:pPr>
          </w:p>
        </w:tc>
        <w:tc>
          <w:tcPr>
            <w:tcW w:w="1815" w:type="dxa"/>
            <w:vMerge w:val="continue"/>
            <w:vAlign w:val="center"/>
          </w:tcPr>
          <w:p>
            <w:pPr>
              <w:adjustRightInd w:val="0"/>
              <w:snapToGrid w:val="0"/>
              <w:spacing w:line="360" w:lineRule="auto"/>
              <w:jc w:val="center"/>
              <w:rPr>
                <w:rFonts w:ascii="宋体" w:hAnsi="宋体" w:cs="宋体"/>
                <w:color w:val="auto"/>
                <w:szCs w:val="21"/>
              </w:rPr>
            </w:pP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adjustRightInd w:val="0"/>
              <w:snapToGrid w:val="0"/>
              <w:spacing w:line="360" w:lineRule="auto"/>
              <w:jc w:val="center"/>
              <w:rPr>
                <w:rFonts w:ascii="宋体" w:hAnsi="宋体" w:cs="宋体"/>
                <w:color w:val="auto"/>
                <w:szCs w:val="21"/>
              </w:rPr>
            </w:pPr>
          </w:p>
        </w:tc>
        <w:tc>
          <w:tcPr>
            <w:tcW w:w="171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6幢</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440" w:type="dxa"/>
            <w:vMerge w:val="continue"/>
            <w:vAlign w:val="center"/>
          </w:tcPr>
          <w:p>
            <w:pPr>
              <w:adjustRightInd w:val="0"/>
              <w:snapToGrid w:val="0"/>
              <w:spacing w:line="360" w:lineRule="auto"/>
              <w:jc w:val="center"/>
              <w:rPr>
                <w:rFonts w:ascii="宋体" w:hAnsi="宋体" w:cs="宋体"/>
                <w:color w:val="auto"/>
                <w:szCs w:val="21"/>
              </w:rPr>
            </w:pPr>
          </w:p>
        </w:tc>
        <w:tc>
          <w:tcPr>
            <w:tcW w:w="1815" w:type="dxa"/>
            <w:vMerge w:val="continue"/>
            <w:vAlign w:val="center"/>
          </w:tcPr>
          <w:p>
            <w:pPr>
              <w:adjustRightInd w:val="0"/>
              <w:snapToGrid w:val="0"/>
              <w:spacing w:line="360" w:lineRule="auto"/>
              <w:jc w:val="center"/>
              <w:rPr>
                <w:rFonts w:ascii="宋体" w:hAnsi="宋体" w:cs="宋体"/>
                <w:color w:val="auto"/>
                <w:szCs w:val="21"/>
              </w:rPr>
            </w:pP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adjustRightInd w:val="0"/>
              <w:snapToGrid w:val="0"/>
              <w:spacing w:line="360" w:lineRule="auto"/>
              <w:jc w:val="center"/>
              <w:rPr>
                <w:rFonts w:ascii="宋体" w:hAnsi="宋体" w:cs="宋体"/>
                <w:color w:val="auto"/>
                <w:szCs w:val="21"/>
              </w:rPr>
            </w:pPr>
          </w:p>
        </w:tc>
        <w:tc>
          <w:tcPr>
            <w:tcW w:w="171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7幢</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440" w:type="dxa"/>
            <w:vMerge w:val="continue"/>
            <w:vAlign w:val="center"/>
          </w:tcPr>
          <w:p>
            <w:pPr>
              <w:adjustRightInd w:val="0"/>
              <w:snapToGrid w:val="0"/>
              <w:spacing w:line="360" w:lineRule="auto"/>
              <w:jc w:val="center"/>
              <w:rPr>
                <w:rFonts w:ascii="宋体" w:hAnsi="宋体" w:cs="宋体"/>
                <w:color w:val="auto"/>
                <w:szCs w:val="21"/>
              </w:rPr>
            </w:pPr>
          </w:p>
        </w:tc>
        <w:tc>
          <w:tcPr>
            <w:tcW w:w="1815" w:type="dxa"/>
            <w:vMerge w:val="continue"/>
            <w:vAlign w:val="center"/>
          </w:tcPr>
          <w:p>
            <w:pPr>
              <w:adjustRightInd w:val="0"/>
              <w:snapToGrid w:val="0"/>
              <w:spacing w:line="360" w:lineRule="auto"/>
              <w:jc w:val="center"/>
              <w:rPr>
                <w:rFonts w:ascii="宋体" w:hAnsi="宋体" w:cs="宋体"/>
                <w:color w:val="auto"/>
                <w:szCs w:val="21"/>
              </w:rPr>
            </w:pP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pPr>
              <w:adjustRightInd w:val="0"/>
              <w:snapToGrid w:val="0"/>
              <w:spacing w:line="360" w:lineRule="auto"/>
              <w:jc w:val="center"/>
              <w:rPr>
                <w:rFonts w:ascii="宋体" w:hAnsi="宋体" w:cs="宋体"/>
                <w:color w:val="auto"/>
                <w:szCs w:val="21"/>
              </w:rPr>
            </w:pPr>
          </w:p>
        </w:tc>
        <w:tc>
          <w:tcPr>
            <w:tcW w:w="171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8幢</w:t>
            </w:r>
          </w:p>
        </w:tc>
        <w:tc>
          <w:tcPr>
            <w:tcW w:w="165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440" w:type="dxa"/>
            <w:vAlign w:val="center"/>
          </w:tcPr>
          <w:p>
            <w:pPr>
              <w:adjustRightInd w:val="0"/>
              <w:snapToGrid w:val="0"/>
              <w:spacing w:line="360" w:lineRule="auto"/>
              <w:jc w:val="center"/>
              <w:rPr>
                <w:rFonts w:ascii="宋体" w:hAnsi="宋体" w:cs="宋体"/>
                <w:color w:val="auto"/>
                <w:szCs w:val="21"/>
              </w:rPr>
            </w:pPr>
          </w:p>
        </w:tc>
        <w:tc>
          <w:tcPr>
            <w:tcW w:w="1815" w:type="dxa"/>
            <w:vAlign w:val="center"/>
          </w:tcPr>
          <w:p>
            <w:pPr>
              <w:adjustRightInd w:val="0"/>
              <w:snapToGrid w:val="0"/>
              <w:spacing w:line="360" w:lineRule="auto"/>
              <w:jc w:val="center"/>
              <w:rPr>
                <w:rFonts w:ascii="宋体" w:hAnsi="宋体" w:cs="宋体"/>
                <w:color w:val="auto"/>
                <w:szCs w:val="21"/>
              </w:rPr>
            </w:pPr>
          </w:p>
        </w:tc>
        <w:tc>
          <w:tcPr>
            <w:tcW w:w="1575"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w:t>
            </w:r>
          </w:p>
        </w:tc>
      </w:tr>
    </w:tbl>
    <w:p>
      <w:pPr>
        <w:adjustRightInd w:val="0"/>
        <w:snapToGrid w:val="0"/>
        <w:spacing w:line="360" w:lineRule="auto"/>
        <w:ind w:firstLine="560" w:firstLineChars="200"/>
        <w:rPr>
          <w:rFonts w:ascii="宋体" w:hAnsi="宋体" w:cs="宋体"/>
          <w:color w:val="auto"/>
          <w:sz w:val="28"/>
          <w:szCs w:val="28"/>
        </w:rPr>
      </w:pPr>
    </w:p>
    <w:p>
      <w:pPr>
        <w:numPr>
          <w:ilvl w:val="0"/>
          <w:numId w:val="7"/>
        </w:numPr>
        <w:adjustRightInd w:val="0"/>
        <w:snapToGrid w:val="0"/>
        <w:spacing w:line="360" w:lineRule="auto"/>
        <w:ind w:firstLine="562" w:firstLineChars="200"/>
        <w:rPr>
          <w:rFonts w:ascii="宋体" w:hAnsi="宋体" w:cs="宋体"/>
          <w:b/>
          <w:bCs/>
          <w:color w:val="auto"/>
          <w:sz w:val="28"/>
          <w:szCs w:val="28"/>
        </w:rPr>
      </w:pPr>
      <w:r>
        <w:rPr>
          <w:rFonts w:hint="eastAsia" w:ascii="宋体" w:hAnsi="宋体" w:cs="宋体"/>
          <w:b/>
          <w:bCs/>
          <w:color w:val="auto"/>
          <w:sz w:val="28"/>
          <w:szCs w:val="28"/>
        </w:rPr>
        <w:t>装修价格：</w:t>
      </w:r>
    </w:p>
    <w:p>
      <w:pPr>
        <w:adjustRightInd w:val="0"/>
        <w:snapToGrid w:val="0"/>
        <w:spacing w:line="360" w:lineRule="auto"/>
        <w:ind w:firstLine="570"/>
        <w:rPr>
          <w:rFonts w:ascii="宋体" w:hAnsi="宋体" w:cs="宋体"/>
          <w:color w:val="auto"/>
          <w:sz w:val="28"/>
          <w:szCs w:val="28"/>
        </w:rPr>
      </w:pPr>
      <w:r>
        <w:rPr>
          <w:rFonts w:hint="eastAsia" w:ascii="宋体" w:hAnsi="宋体" w:cs="宋体"/>
          <w:color w:val="auto"/>
          <w:sz w:val="28"/>
          <w:szCs w:val="28"/>
        </w:rPr>
        <w:t>根据估价师现场调查，估价对象房屋为普通装修和毛坯房，市场综合价格普通装修为200元/m</w:t>
      </w:r>
      <w:r>
        <w:rPr>
          <w:rFonts w:hint="eastAsia" w:ascii="宋体" w:hAnsi="宋体" w:cs="宋体"/>
          <w:color w:val="auto"/>
          <w:sz w:val="28"/>
          <w:szCs w:val="28"/>
          <w:vertAlign w:val="superscript"/>
        </w:rPr>
        <w:t>2</w:t>
      </w:r>
      <w:r>
        <w:rPr>
          <w:rFonts w:hint="eastAsia" w:ascii="宋体" w:hAnsi="宋体" w:cs="宋体"/>
          <w:color w:val="auto"/>
          <w:sz w:val="28"/>
          <w:szCs w:val="28"/>
        </w:rPr>
        <w:t>，毛坯房为0元/m</w:t>
      </w:r>
      <w:r>
        <w:rPr>
          <w:rFonts w:hint="eastAsia" w:ascii="宋体" w:hAnsi="宋体" w:cs="宋体"/>
          <w:color w:val="auto"/>
          <w:sz w:val="28"/>
          <w:szCs w:val="28"/>
          <w:vertAlign w:val="superscript"/>
        </w:rPr>
        <w:t>2</w:t>
      </w:r>
      <w:r>
        <w:rPr>
          <w:rFonts w:hint="eastAsia" w:ascii="宋体" w:hAnsi="宋体" w:cs="宋体"/>
          <w:color w:val="auto"/>
          <w:sz w:val="28"/>
          <w:szCs w:val="28"/>
        </w:rPr>
        <w:t>。</w:t>
      </w:r>
    </w:p>
    <w:p>
      <w:pPr>
        <w:numPr>
          <w:ilvl w:val="0"/>
          <w:numId w:val="7"/>
        </w:numPr>
        <w:adjustRightInd w:val="0"/>
        <w:snapToGrid w:val="0"/>
        <w:spacing w:line="360" w:lineRule="auto"/>
        <w:ind w:firstLine="562" w:firstLineChars="200"/>
        <w:rPr>
          <w:rFonts w:ascii="宋体" w:hAnsi="宋体" w:cs="宋体"/>
          <w:b/>
          <w:bCs/>
          <w:color w:val="auto"/>
          <w:sz w:val="28"/>
          <w:szCs w:val="28"/>
        </w:rPr>
      </w:pPr>
      <w:r>
        <w:rPr>
          <w:rFonts w:hint="eastAsia" w:ascii="宋体" w:hAnsi="宋体" w:cs="宋体"/>
          <w:b/>
          <w:bCs/>
          <w:color w:val="auto"/>
          <w:sz w:val="28"/>
          <w:szCs w:val="28"/>
        </w:rPr>
        <w:t>建筑物价值：=（重置成本单价+装修单价）×成新率×建筑面积</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934"/>
        <w:gridCol w:w="1111"/>
        <w:gridCol w:w="1430"/>
        <w:gridCol w:w="1096"/>
        <w:gridCol w:w="1162"/>
        <w:gridCol w:w="878"/>
        <w:gridCol w:w="1090"/>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gridSpan w:val="2"/>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建筑物名称</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建筑结构</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重置成本单价（元/m</w:t>
            </w:r>
            <w:r>
              <w:rPr>
                <w:rFonts w:hint="eastAsia" w:ascii="宋体" w:hAnsi="宋体" w:cs="宋体"/>
                <w:color w:val="auto"/>
                <w:szCs w:val="21"/>
                <w:vertAlign w:val="superscript"/>
              </w:rPr>
              <w:t>2</w:t>
            </w:r>
            <w:r>
              <w:rPr>
                <w:rFonts w:hint="eastAsia" w:ascii="宋体" w:hAnsi="宋体" w:cs="宋体"/>
                <w:color w:val="auto"/>
                <w:szCs w:val="21"/>
              </w:rPr>
              <w:t xml:space="preserve"> ）</w:t>
            </w:r>
          </w:p>
        </w:tc>
        <w:tc>
          <w:tcPr>
            <w:tcW w:w="109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装修情况</w:t>
            </w: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装修单价（元/m</w:t>
            </w:r>
            <w:r>
              <w:rPr>
                <w:rFonts w:hint="eastAsia" w:ascii="宋体" w:hAnsi="宋体" w:cs="宋体"/>
                <w:color w:val="auto"/>
                <w:szCs w:val="21"/>
                <w:vertAlign w:val="superscript"/>
              </w:rPr>
              <w:t>2</w:t>
            </w:r>
            <w:r>
              <w:rPr>
                <w:rFonts w:hint="eastAsia" w:ascii="宋体" w:hAnsi="宋体" w:cs="宋体"/>
                <w:color w:val="auto"/>
                <w:szCs w:val="21"/>
              </w:rPr>
              <w:t xml:space="preserve"> ）</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成新率</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建筑面积（m</w:t>
            </w:r>
            <w:r>
              <w:rPr>
                <w:rFonts w:hint="eastAsia" w:ascii="宋体" w:hAnsi="宋体" w:cs="宋体"/>
                <w:color w:val="auto"/>
                <w:szCs w:val="21"/>
                <w:vertAlign w:val="superscript"/>
              </w:rPr>
              <w:t>2</w:t>
            </w:r>
            <w:r>
              <w:rPr>
                <w:rFonts w:hint="eastAsia" w:ascii="宋体" w:hAnsi="宋体" w:cs="宋体"/>
                <w:color w:val="auto"/>
                <w:szCs w:val="21"/>
              </w:rPr>
              <w:t>）</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建筑物价值（元）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gridSpan w:val="2"/>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有证房屋</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砖混</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1080</w:t>
            </w:r>
          </w:p>
        </w:tc>
        <w:tc>
          <w:tcPr>
            <w:tcW w:w="109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普通装修</w:t>
            </w: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200</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70%</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379.30</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339852.8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Merge w:val="restart"/>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无证房屋</w:t>
            </w:r>
          </w:p>
        </w:tc>
        <w:tc>
          <w:tcPr>
            <w:tcW w:w="93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1幢</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简易C</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200</w:t>
            </w:r>
          </w:p>
        </w:tc>
        <w:tc>
          <w:tcPr>
            <w:tcW w:w="1096" w:type="dxa"/>
            <w:vMerge w:val="restart"/>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毛坯房</w:t>
            </w: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56.64</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4531.2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Merge w:val="continue"/>
            <w:vAlign w:val="center"/>
          </w:tcPr>
          <w:p>
            <w:pPr>
              <w:adjustRightInd w:val="0"/>
              <w:snapToGrid w:val="0"/>
              <w:spacing w:line="360" w:lineRule="auto"/>
              <w:jc w:val="center"/>
              <w:rPr>
                <w:rFonts w:ascii="宋体" w:hAnsi="宋体" w:cs="宋体"/>
                <w:color w:val="auto"/>
                <w:szCs w:val="21"/>
              </w:rPr>
            </w:pPr>
          </w:p>
        </w:tc>
        <w:tc>
          <w:tcPr>
            <w:tcW w:w="93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2幢</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620</w:t>
            </w:r>
          </w:p>
        </w:tc>
        <w:tc>
          <w:tcPr>
            <w:tcW w:w="1096" w:type="dxa"/>
            <w:vMerge w:val="continue"/>
            <w:vAlign w:val="center"/>
          </w:tcPr>
          <w:p>
            <w:pPr>
              <w:adjustRightInd w:val="0"/>
              <w:snapToGrid w:val="0"/>
              <w:spacing w:line="360" w:lineRule="auto"/>
              <w:jc w:val="center"/>
              <w:rPr>
                <w:rFonts w:ascii="宋体" w:hAnsi="宋体" w:cs="宋体"/>
                <w:color w:val="auto"/>
                <w:szCs w:val="21"/>
              </w:rPr>
            </w:pP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51.98</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17725.18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Merge w:val="continue"/>
            <w:vAlign w:val="center"/>
          </w:tcPr>
          <w:p>
            <w:pPr>
              <w:adjustRightInd w:val="0"/>
              <w:snapToGrid w:val="0"/>
              <w:spacing w:line="360" w:lineRule="auto"/>
              <w:jc w:val="center"/>
              <w:rPr>
                <w:rFonts w:ascii="宋体" w:hAnsi="宋体" w:cs="宋体"/>
                <w:color w:val="auto"/>
                <w:szCs w:val="21"/>
              </w:rPr>
            </w:pPr>
          </w:p>
        </w:tc>
        <w:tc>
          <w:tcPr>
            <w:tcW w:w="93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3幢</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彩钢瓦房</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160</w:t>
            </w:r>
          </w:p>
        </w:tc>
        <w:tc>
          <w:tcPr>
            <w:tcW w:w="1096" w:type="dxa"/>
            <w:vMerge w:val="continue"/>
            <w:vAlign w:val="center"/>
          </w:tcPr>
          <w:p>
            <w:pPr>
              <w:adjustRightInd w:val="0"/>
              <w:snapToGrid w:val="0"/>
              <w:spacing w:line="360" w:lineRule="auto"/>
              <w:jc w:val="center"/>
              <w:rPr>
                <w:rFonts w:ascii="宋体" w:hAnsi="宋体" w:cs="宋体"/>
                <w:color w:val="auto"/>
                <w:szCs w:val="21"/>
              </w:rPr>
            </w:pP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35%</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86.36</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4836.16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Merge w:val="continue"/>
            <w:vAlign w:val="center"/>
          </w:tcPr>
          <w:p>
            <w:pPr>
              <w:adjustRightInd w:val="0"/>
              <w:snapToGrid w:val="0"/>
              <w:spacing w:line="360" w:lineRule="auto"/>
              <w:jc w:val="center"/>
              <w:rPr>
                <w:rFonts w:ascii="宋体" w:hAnsi="宋体" w:cs="宋体"/>
                <w:color w:val="auto"/>
                <w:szCs w:val="21"/>
              </w:rPr>
            </w:pPr>
          </w:p>
        </w:tc>
        <w:tc>
          <w:tcPr>
            <w:tcW w:w="93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4幢</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480</w:t>
            </w:r>
          </w:p>
        </w:tc>
        <w:tc>
          <w:tcPr>
            <w:tcW w:w="1096" w:type="dxa"/>
            <w:vMerge w:val="continue"/>
            <w:vAlign w:val="center"/>
          </w:tcPr>
          <w:p>
            <w:pPr>
              <w:adjustRightInd w:val="0"/>
              <w:snapToGrid w:val="0"/>
              <w:spacing w:line="360" w:lineRule="auto"/>
              <w:jc w:val="center"/>
              <w:rPr>
                <w:rFonts w:ascii="宋体" w:hAnsi="宋体" w:cs="宋体"/>
                <w:color w:val="auto"/>
                <w:szCs w:val="21"/>
              </w:rPr>
            </w:pP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45%</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35.56</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7680.96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Merge w:val="continue"/>
            <w:vAlign w:val="center"/>
          </w:tcPr>
          <w:p>
            <w:pPr>
              <w:adjustRightInd w:val="0"/>
              <w:snapToGrid w:val="0"/>
              <w:spacing w:line="360" w:lineRule="auto"/>
              <w:jc w:val="center"/>
              <w:rPr>
                <w:rFonts w:ascii="宋体" w:hAnsi="宋体" w:cs="宋体"/>
                <w:color w:val="auto"/>
                <w:szCs w:val="21"/>
              </w:rPr>
            </w:pPr>
          </w:p>
        </w:tc>
        <w:tc>
          <w:tcPr>
            <w:tcW w:w="93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5幢</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480</w:t>
            </w:r>
          </w:p>
        </w:tc>
        <w:tc>
          <w:tcPr>
            <w:tcW w:w="1096" w:type="dxa"/>
            <w:vMerge w:val="continue"/>
            <w:vAlign w:val="center"/>
          </w:tcPr>
          <w:p>
            <w:pPr>
              <w:adjustRightInd w:val="0"/>
              <w:snapToGrid w:val="0"/>
              <w:spacing w:line="360" w:lineRule="auto"/>
              <w:jc w:val="center"/>
              <w:rPr>
                <w:rFonts w:ascii="宋体" w:hAnsi="宋体" w:cs="宋体"/>
                <w:color w:val="auto"/>
                <w:szCs w:val="21"/>
              </w:rPr>
            </w:pP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55.66</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10686.72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Merge w:val="continue"/>
            <w:vAlign w:val="center"/>
          </w:tcPr>
          <w:p>
            <w:pPr>
              <w:adjustRightInd w:val="0"/>
              <w:snapToGrid w:val="0"/>
              <w:spacing w:line="360" w:lineRule="auto"/>
              <w:jc w:val="center"/>
              <w:rPr>
                <w:rFonts w:ascii="宋体" w:hAnsi="宋体" w:cs="宋体"/>
                <w:color w:val="auto"/>
                <w:szCs w:val="21"/>
              </w:rPr>
            </w:pPr>
          </w:p>
        </w:tc>
        <w:tc>
          <w:tcPr>
            <w:tcW w:w="93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6幢</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简易A</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480</w:t>
            </w:r>
          </w:p>
        </w:tc>
        <w:tc>
          <w:tcPr>
            <w:tcW w:w="1096" w:type="dxa"/>
            <w:vMerge w:val="continue"/>
            <w:vAlign w:val="center"/>
          </w:tcPr>
          <w:p>
            <w:pPr>
              <w:adjustRightInd w:val="0"/>
              <w:snapToGrid w:val="0"/>
              <w:spacing w:line="360" w:lineRule="auto"/>
              <w:jc w:val="center"/>
              <w:rPr>
                <w:rFonts w:ascii="宋体" w:hAnsi="宋体" w:cs="宋体"/>
                <w:color w:val="auto"/>
                <w:szCs w:val="21"/>
              </w:rPr>
            </w:pP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40%</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20.54</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3943.68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Merge w:val="continue"/>
            <w:vAlign w:val="center"/>
          </w:tcPr>
          <w:p>
            <w:pPr>
              <w:adjustRightInd w:val="0"/>
              <w:snapToGrid w:val="0"/>
              <w:spacing w:line="360" w:lineRule="auto"/>
              <w:jc w:val="center"/>
              <w:rPr>
                <w:rFonts w:ascii="宋体" w:hAnsi="宋体" w:cs="宋体"/>
                <w:color w:val="auto"/>
                <w:szCs w:val="21"/>
              </w:rPr>
            </w:pPr>
          </w:p>
        </w:tc>
        <w:tc>
          <w:tcPr>
            <w:tcW w:w="93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7幢</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620</w:t>
            </w:r>
          </w:p>
        </w:tc>
        <w:tc>
          <w:tcPr>
            <w:tcW w:w="1096" w:type="dxa"/>
            <w:vMerge w:val="continue"/>
            <w:vAlign w:val="center"/>
          </w:tcPr>
          <w:p>
            <w:pPr>
              <w:adjustRightInd w:val="0"/>
              <w:snapToGrid w:val="0"/>
              <w:spacing w:line="360" w:lineRule="auto"/>
              <w:jc w:val="center"/>
              <w:rPr>
                <w:rFonts w:ascii="宋体" w:hAnsi="宋体" w:cs="宋体"/>
                <w:color w:val="auto"/>
                <w:szCs w:val="21"/>
              </w:rPr>
            </w:pP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50%</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208.76</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64715.6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dxa"/>
            <w:vMerge w:val="continue"/>
            <w:vAlign w:val="center"/>
          </w:tcPr>
          <w:p>
            <w:pPr>
              <w:adjustRightInd w:val="0"/>
              <w:snapToGrid w:val="0"/>
              <w:spacing w:line="360" w:lineRule="auto"/>
              <w:jc w:val="center"/>
              <w:rPr>
                <w:rFonts w:ascii="宋体" w:hAnsi="宋体" w:cs="宋体"/>
                <w:color w:val="auto"/>
                <w:szCs w:val="21"/>
              </w:rPr>
            </w:pPr>
          </w:p>
        </w:tc>
        <w:tc>
          <w:tcPr>
            <w:tcW w:w="934"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8幢</w:t>
            </w:r>
          </w:p>
        </w:tc>
        <w:tc>
          <w:tcPr>
            <w:tcW w:w="1111"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砖木C</w:t>
            </w:r>
          </w:p>
        </w:tc>
        <w:tc>
          <w:tcPr>
            <w:tcW w:w="143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620</w:t>
            </w:r>
          </w:p>
        </w:tc>
        <w:tc>
          <w:tcPr>
            <w:tcW w:w="1096" w:type="dxa"/>
            <w:vMerge w:val="continue"/>
            <w:vAlign w:val="center"/>
          </w:tcPr>
          <w:p>
            <w:pPr>
              <w:adjustRightInd w:val="0"/>
              <w:snapToGrid w:val="0"/>
              <w:spacing w:line="360" w:lineRule="auto"/>
              <w:jc w:val="center"/>
              <w:rPr>
                <w:rFonts w:ascii="宋体" w:hAnsi="宋体" w:cs="宋体"/>
                <w:color w:val="auto"/>
                <w:szCs w:val="21"/>
              </w:rPr>
            </w:pPr>
          </w:p>
        </w:tc>
        <w:tc>
          <w:tcPr>
            <w:tcW w:w="1162"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0</w:t>
            </w:r>
          </w:p>
        </w:tc>
        <w:tc>
          <w:tcPr>
            <w:tcW w:w="878"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55%</w:t>
            </w:r>
          </w:p>
        </w:tc>
        <w:tc>
          <w:tcPr>
            <w:tcW w:w="1090"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70.70</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24108.7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1" w:type="dxa"/>
            <w:gridSpan w:val="8"/>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建筑物总价值</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478081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91" w:type="dxa"/>
            <w:gridSpan w:val="8"/>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≈（万元）</w:t>
            </w:r>
          </w:p>
        </w:tc>
        <w:tc>
          <w:tcPr>
            <w:tcW w:w="1266" w:type="dxa"/>
            <w:vAlign w:val="center"/>
          </w:tcPr>
          <w:p>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47.81</w:t>
            </w:r>
          </w:p>
        </w:tc>
      </w:tr>
    </w:tbl>
    <w:p>
      <w:pPr>
        <w:pStyle w:val="4"/>
        <w:rPr>
          <w:rFonts w:ascii="宋体" w:hAnsi="宋体" w:cs="宋体"/>
          <w:color w:val="auto"/>
          <w:sz w:val="28"/>
          <w:szCs w:val="28"/>
        </w:rPr>
      </w:pPr>
      <w:bookmarkStart w:id="318" w:name="_Toc11454"/>
      <w:bookmarkStart w:id="319" w:name="_Toc17315"/>
      <w:bookmarkStart w:id="320" w:name="_Toc23841962"/>
      <w:bookmarkStart w:id="321" w:name="_Toc23841927"/>
      <w:bookmarkStart w:id="322" w:name="_Toc11636"/>
      <w:r>
        <w:rPr>
          <w:rFonts w:hint="eastAsia" w:ascii="宋体" w:hAnsi="宋体" w:cs="宋体"/>
          <w:color w:val="auto"/>
          <w:sz w:val="28"/>
          <w:szCs w:val="28"/>
        </w:rPr>
        <w:t>（三）房地产总价值的确定</w:t>
      </w:r>
      <w:bookmarkEnd w:id="318"/>
      <w:bookmarkEnd w:id="319"/>
      <w:bookmarkEnd w:id="320"/>
      <w:bookmarkEnd w:id="321"/>
      <w:bookmarkEnd w:id="322"/>
    </w:p>
    <w:p>
      <w:pPr>
        <w:adjustRightInd w:val="0"/>
        <w:snapToGrid w:val="0"/>
        <w:spacing w:line="360" w:lineRule="auto"/>
        <w:ind w:firstLine="560" w:firstLineChars="200"/>
        <w:rPr>
          <w:rFonts w:ascii="宋体" w:hAnsi="宋体" w:cs="宋体"/>
          <w:color w:val="auto"/>
          <w:kern w:val="0"/>
          <w:sz w:val="28"/>
          <w:szCs w:val="28"/>
        </w:rPr>
      </w:pPr>
      <w:r>
        <w:rPr>
          <w:rFonts w:hint="eastAsia" w:ascii="宋体" w:hAnsi="宋体" w:cs="宋体"/>
          <w:color w:val="auto"/>
          <w:kern w:val="0"/>
          <w:sz w:val="28"/>
          <w:szCs w:val="28"/>
        </w:rPr>
        <w:t>房地产总价=土地价值+建筑物价值</w:t>
      </w:r>
    </w:p>
    <w:p>
      <w:pPr>
        <w:adjustRightInd w:val="0"/>
        <w:snapToGrid w:val="0"/>
        <w:spacing w:line="360" w:lineRule="auto"/>
        <w:ind w:firstLine="1960" w:firstLineChars="700"/>
        <w:rPr>
          <w:rFonts w:ascii="宋体" w:hAnsi="宋体" w:cs="宋体"/>
          <w:color w:val="auto"/>
          <w:kern w:val="0"/>
          <w:sz w:val="28"/>
          <w:szCs w:val="28"/>
        </w:rPr>
      </w:pPr>
      <w:r>
        <w:rPr>
          <w:rFonts w:hint="eastAsia" w:ascii="宋体" w:hAnsi="宋体" w:cs="宋体"/>
          <w:color w:val="auto"/>
          <w:kern w:val="0"/>
          <w:sz w:val="28"/>
          <w:szCs w:val="28"/>
        </w:rPr>
        <w:t>=34</w:t>
      </w:r>
      <w:r>
        <w:rPr>
          <w:rFonts w:hint="eastAsia" w:ascii="宋体" w:hAnsi="宋体" w:cs="宋体"/>
          <w:color w:val="auto"/>
          <w:kern w:val="0"/>
          <w:sz w:val="28"/>
          <w:szCs w:val="28"/>
          <w:lang w:val="en-US" w:eastAsia="zh-CN"/>
        </w:rPr>
        <w:t>7.94</w:t>
      </w:r>
      <w:r>
        <w:rPr>
          <w:rFonts w:hint="eastAsia" w:ascii="宋体" w:hAnsi="宋体" w:cs="宋体"/>
          <w:color w:val="auto"/>
          <w:kern w:val="0"/>
          <w:sz w:val="28"/>
          <w:szCs w:val="28"/>
        </w:rPr>
        <w:t>+47.81=39</w:t>
      </w:r>
      <w:r>
        <w:rPr>
          <w:rFonts w:hint="eastAsia" w:ascii="宋体" w:hAnsi="宋体" w:cs="宋体"/>
          <w:color w:val="auto"/>
          <w:kern w:val="0"/>
          <w:sz w:val="28"/>
          <w:szCs w:val="28"/>
          <w:lang w:val="en-US" w:eastAsia="zh-CN"/>
        </w:rPr>
        <w:t>5.75</w:t>
      </w:r>
      <w:r>
        <w:rPr>
          <w:rFonts w:hint="eastAsia" w:ascii="宋体" w:hAnsi="宋体" w:cs="宋体"/>
          <w:color w:val="auto"/>
          <w:kern w:val="0"/>
          <w:sz w:val="28"/>
          <w:szCs w:val="28"/>
        </w:rPr>
        <w:t>万元</w:t>
      </w:r>
    </w:p>
    <w:p>
      <w:pPr>
        <w:pStyle w:val="3"/>
        <w:rPr>
          <w:rFonts w:ascii="宋体" w:hAnsi="宋体" w:eastAsia="宋体" w:cs="宋体"/>
          <w:color w:val="auto"/>
          <w:kern w:val="0"/>
          <w:sz w:val="28"/>
          <w:szCs w:val="28"/>
        </w:rPr>
      </w:pPr>
      <w:bookmarkStart w:id="323" w:name="_Toc23841963"/>
      <w:bookmarkStart w:id="324" w:name="_Toc13533"/>
      <w:bookmarkStart w:id="325" w:name="_Toc28499"/>
      <w:bookmarkStart w:id="326" w:name="_Toc26353"/>
      <w:bookmarkStart w:id="327" w:name="_Toc23841928"/>
      <w:r>
        <w:rPr>
          <w:rFonts w:hint="eastAsia" w:ascii="宋体" w:hAnsi="宋体" w:eastAsia="宋体" w:cs="宋体"/>
          <w:color w:val="auto"/>
          <w:kern w:val="0"/>
          <w:sz w:val="28"/>
          <w:szCs w:val="28"/>
        </w:rPr>
        <w:t>六、估价结果确定</w:t>
      </w:r>
      <w:bookmarkEnd w:id="323"/>
      <w:bookmarkEnd w:id="324"/>
      <w:bookmarkEnd w:id="325"/>
      <w:bookmarkEnd w:id="326"/>
      <w:bookmarkEnd w:id="327"/>
    </w:p>
    <w:p>
      <w:pPr>
        <w:adjustRightInd w:val="0"/>
        <w:snapToGrid w:val="0"/>
        <w:spacing w:line="360" w:lineRule="auto"/>
        <w:ind w:firstLine="700" w:firstLineChars="250"/>
        <w:rPr>
          <w:rFonts w:ascii="宋体" w:hAnsi="宋体" w:cs="宋体"/>
          <w:color w:val="auto"/>
          <w:sz w:val="28"/>
          <w:szCs w:val="28"/>
        </w:rPr>
      </w:pPr>
      <w:r>
        <w:rPr>
          <w:rFonts w:hint="eastAsia" w:ascii="宋体" w:hAnsi="宋体" w:cs="宋体"/>
          <w:color w:val="auto"/>
          <w:kern w:val="0"/>
          <w:sz w:val="28"/>
          <w:szCs w:val="28"/>
        </w:rPr>
        <w:t>根据估价目的，遵循估价原则，采用科学合理的估价方法，在认真分析现有资料的基础上，经过测算，结合估价经验与对影响房地产市场价值因素进行分析，确定估价对象在符合报告中的有关假设和限制条件的基础上，在公开市场条件下，于价值时点</w:t>
      </w:r>
      <w:r>
        <w:rPr>
          <w:rFonts w:hint="eastAsia" w:ascii="宋体" w:hAnsi="宋体" w:cs="宋体"/>
          <w:color w:val="auto"/>
          <w:spacing w:val="22"/>
          <w:sz w:val="28"/>
          <w:szCs w:val="28"/>
        </w:rPr>
        <w:t>2020年03月18日</w:t>
      </w:r>
      <w:r>
        <w:rPr>
          <w:rFonts w:hint="eastAsia" w:ascii="宋体" w:hAnsi="宋体" w:cs="宋体"/>
          <w:color w:val="auto"/>
          <w:sz w:val="28"/>
          <w:szCs w:val="28"/>
          <w:lang w:val="zh-CN"/>
        </w:rPr>
        <w:t>的市场价值为</w:t>
      </w:r>
      <w:r>
        <w:rPr>
          <w:rFonts w:hint="eastAsia" w:ascii="宋体" w:hAnsi="宋体" w:cs="宋体"/>
          <w:color w:val="auto"/>
          <w:sz w:val="28"/>
          <w:szCs w:val="28"/>
        </w:rPr>
        <w:t>人民币大写：叁佰玖拾</w:t>
      </w:r>
      <w:r>
        <w:rPr>
          <w:rFonts w:hint="eastAsia" w:ascii="宋体" w:hAnsi="宋体" w:cs="宋体"/>
          <w:color w:val="auto"/>
          <w:sz w:val="28"/>
          <w:szCs w:val="28"/>
          <w:lang w:eastAsia="zh-CN"/>
        </w:rPr>
        <w:t>伍</w:t>
      </w:r>
      <w:r>
        <w:rPr>
          <w:rFonts w:hint="eastAsia" w:ascii="宋体" w:hAnsi="宋体" w:cs="宋体"/>
          <w:color w:val="auto"/>
          <w:sz w:val="28"/>
          <w:szCs w:val="28"/>
        </w:rPr>
        <w:t>万</w:t>
      </w:r>
      <w:r>
        <w:rPr>
          <w:rFonts w:hint="eastAsia" w:ascii="宋体" w:hAnsi="宋体" w:cs="宋体"/>
          <w:color w:val="auto"/>
          <w:sz w:val="28"/>
          <w:szCs w:val="28"/>
          <w:lang w:eastAsia="zh-CN"/>
        </w:rPr>
        <w:t>柒</w:t>
      </w:r>
      <w:r>
        <w:rPr>
          <w:rFonts w:hint="eastAsia" w:ascii="宋体" w:hAnsi="宋体" w:cs="宋体"/>
          <w:color w:val="auto"/>
          <w:sz w:val="28"/>
          <w:szCs w:val="28"/>
        </w:rPr>
        <w:t>仟</w:t>
      </w:r>
      <w:r>
        <w:rPr>
          <w:rFonts w:hint="eastAsia" w:ascii="宋体" w:hAnsi="宋体" w:cs="宋体"/>
          <w:color w:val="auto"/>
          <w:sz w:val="28"/>
          <w:szCs w:val="28"/>
          <w:lang w:eastAsia="zh-CN"/>
        </w:rPr>
        <w:t>伍</w:t>
      </w:r>
      <w:r>
        <w:rPr>
          <w:rFonts w:hint="eastAsia" w:ascii="宋体" w:hAnsi="宋体" w:cs="宋体"/>
          <w:color w:val="auto"/>
          <w:sz w:val="28"/>
          <w:szCs w:val="28"/>
        </w:rPr>
        <w:t>佰元整（￥：39</w:t>
      </w:r>
      <w:r>
        <w:rPr>
          <w:rFonts w:hint="eastAsia" w:ascii="宋体" w:hAnsi="宋体" w:cs="宋体"/>
          <w:color w:val="auto"/>
          <w:sz w:val="28"/>
          <w:szCs w:val="28"/>
          <w:lang w:val="en-US" w:eastAsia="zh-CN"/>
        </w:rPr>
        <w:t>575</w:t>
      </w:r>
      <w:r>
        <w:rPr>
          <w:rFonts w:hint="eastAsia" w:ascii="宋体" w:hAnsi="宋体" w:cs="宋体"/>
          <w:color w:val="auto"/>
          <w:sz w:val="28"/>
          <w:szCs w:val="28"/>
        </w:rPr>
        <w:t>00.00元）。</w:t>
      </w:r>
    </w:p>
    <w:p>
      <w:pPr>
        <w:adjustRightInd w:val="0"/>
        <w:snapToGrid w:val="0"/>
        <w:spacing w:line="360" w:lineRule="auto"/>
        <w:ind w:firstLine="3360" w:firstLineChars="1200"/>
        <w:jc w:val="right"/>
        <w:rPr>
          <w:rFonts w:ascii="宋体" w:hAnsi="宋体" w:cs="宋体"/>
          <w:color w:val="auto"/>
          <w:sz w:val="28"/>
          <w:szCs w:val="28"/>
        </w:rPr>
      </w:pPr>
    </w:p>
    <w:p>
      <w:pPr>
        <w:adjustRightInd w:val="0"/>
        <w:snapToGrid w:val="0"/>
        <w:spacing w:line="360" w:lineRule="auto"/>
        <w:ind w:firstLine="3360" w:firstLineChars="1200"/>
        <w:jc w:val="right"/>
        <w:rPr>
          <w:rFonts w:ascii="宋体" w:hAnsi="宋体" w:cs="宋体"/>
          <w:color w:val="auto"/>
          <w:sz w:val="28"/>
          <w:szCs w:val="28"/>
        </w:rPr>
      </w:pPr>
    </w:p>
    <w:p>
      <w:pPr>
        <w:adjustRightInd w:val="0"/>
        <w:snapToGrid w:val="0"/>
        <w:spacing w:line="360" w:lineRule="auto"/>
        <w:ind w:firstLine="3360" w:firstLineChars="1200"/>
        <w:jc w:val="right"/>
        <w:rPr>
          <w:rFonts w:ascii="宋体" w:hAnsi="宋体" w:cs="宋体"/>
          <w:color w:val="auto"/>
          <w:sz w:val="28"/>
          <w:szCs w:val="28"/>
        </w:rPr>
      </w:pPr>
    </w:p>
    <w:p>
      <w:pPr>
        <w:adjustRightInd w:val="0"/>
        <w:snapToGrid w:val="0"/>
        <w:spacing w:line="360" w:lineRule="auto"/>
        <w:ind w:firstLine="3360" w:firstLineChars="1200"/>
        <w:jc w:val="right"/>
        <w:rPr>
          <w:rFonts w:ascii="宋体" w:hAnsi="宋体" w:cs="宋体"/>
          <w:color w:val="auto"/>
          <w:sz w:val="28"/>
          <w:szCs w:val="28"/>
        </w:rPr>
      </w:pPr>
      <w:r>
        <w:rPr>
          <w:rFonts w:hint="eastAsia" w:ascii="宋体" w:hAnsi="宋体" w:cs="宋体"/>
          <w:color w:val="auto"/>
          <w:sz w:val="28"/>
          <w:szCs w:val="28"/>
        </w:rPr>
        <w:drawing>
          <wp:anchor distT="0" distB="0" distL="114300" distR="114300" simplePos="0" relativeHeight="251655168" behindDoc="0" locked="0" layoutInCell="1" allowOverlap="1">
            <wp:simplePos x="0" y="0"/>
            <wp:positionH relativeFrom="column">
              <wp:posOffset>4208780</wp:posOffset>
            </wp:positionH>
            <wp:positionV relativeFrom="paragraph">
              <wp:posOffset>292735</wp:posOffset>
            </wp:positionV>
            <wp:extent cx="895350" cy="485775"/>
            <wp:effectExtent l="19050" t="0" r="0" b="0"/>
            <wp:wrapNone/>
            <wp:docPr id="26" name="图片 26" descr="李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李建"/>
                    <pic:cNvPicPr>
                      <a:picLocks noChangeAspect="1" noChangeArrowheads="1"/>
                    </pic:cNvPicPr>
                  </pic:nvPicPr>
                  <pic:blipFill>
                    <a:blip r:embed="rId14" cstate="print"/>
                    <a:srcRect/>
                    <a:stretch>
                      <a:fillRect/>
                    </a:stretch>
                  </pic:blipFill>
                  <pic:spPr>
                    <a:xfrm>
                      <a:off x="0" y="0"/>
                      <a:ext cx="895350" cy="485775"/>
                    </a:xfrm>
                    <a:prstGeom prst="rect">
                      <a:avLst/>
                    </a:prstGeom>
                    <a:noFill/>
                    <a:ln w="9525">
                      <a:noFill/>
                      <a:miter lim="800000"/>
                      <a:headEnd/>
                      <a:tailEnd/>
                    </a:ln>
                  </pic:spPr>
                </pic:pic>
              </a:graphicData>
            </a:graphic>
          </wp:anchor>
        </w:drawing>
      </w:r>
      <w:r>
        <w:rPr>
          <w:rFonts w:hint="eastAsia" w:ascii="宋体" w:hAnsi="宋体" w:cs="宋体"/>
          <w:color w:val="auto"/>
          <w:sz w:val="28"/>
          <w:szCs w:val="28"/>
        </w:rPr>
        <w:t>文山同心联谊房地产评估有限公司</w:t>
      </w:r>
    </w:p>
    <w:p>
      <w:pPr>
        <w:adjustRightInd w:val="0"/>
        <w:snapToGrid w:val="0"/>
        <w:spacing w:line="360" w:lineRule="auto"/>
        <w:ind w:right="560" w:firstLine="5180" w:firstLineChars="1850"/>
        <w:rPr>
          <w:rFonts w:ascii="宋体" w:hAnsi="宋体" w:cs="宋体"/>
          <w:color w:val="auto"/>
          <w:sz w:val="28"/>
          <w:szCs w:val="28"/>
        </w:rPr>
      </w:pPr>
      <w:r>
        <w:rPr>
          <w:rFonts w:hint="eastAsia" w:ascii="宋体" w:hAnsi="宋体" w:cs="宋体"/>
          <w:color w:val="auto"/>
          <w:sz w:val="28"/>
          <w:szCs w:val="28"/>
        </w:rPr>
        <w:t>技术审核：</w:t>
      </w:r>
    </w:p>
    <w:p>
      <w:pPr>
        <w:spacing w:line="480" w:lineRule="auto"/>
        <w:ind w:firstLine="5740" w:firstLineChars="2050"/>
        <w:rPr>
          <w:rFonts w:ascii="宋体" w:hAnsi="宋体" w:cs="宋体"/>
          <w:color w:val="auto"/>
          <w:sz w:val="28"/>
          <w:szCs w:val="28"/>
        </w:rPr>
      </w:pPr>
      <w:bookmarkStart w:id="328" w:name="_Toc417220338"/>
      <w:bookmarkStart w:id="329" w:name="_Toc417214160"/>
      <w:bookmarkStart w:id="330" w:name="_Toc414265265"/>
      <w:bookmarkStart w:id="331" w:name="_Toc414265189"/>
      <w:bookmarkStart w:id="332" w:name="_Toc521944380"/>
      <w:bookmarkStart w:id="333" w:name="_Toc417282140"/>
    </w:p>
    <w:p>
      <w:pPr>
        <w:ind w:firstLine="5320" w:firstLineChars="1900"/>
        <w:rPr>
          <w:rFonts w:ascii="宋体" w:hAnsi="宋体" w:cs="宋体"/>
          <w:color w:val="auto"/>
          <w:sz w:val="28"/>
          <w:szCs w:val="28"/>
        </w:rPr>
      </w:pPr>
      <w:bookmarkStart w:id="334" w:name="_Toc16189230"/>
      <w:bookmarkStart w:id="335" w:name="_Toc16189067"/>
      <w:bookmarkStart w:id="336" w:name="_Toc522873513"/>
      <w:r>
        <w:rPr>
          <w:rFonts w:hint="eastAsia" w:ascii="宋体" w:hAnsi="宋体" w:cs="宋体"/>
          <w:color w:val="auto"/>
          <w:sz w:val="28"/>
          <w:szCs w:val="28"/>
        </w:rPr>
        <w:t>二0二0年四月二十日</w:t>
      </w:r>
    </w:p>
    <w:p>
      <w:pPr>
        <w:rPr>
          <w:rFonts w:ascii="宋体" w:hAnsi="宋体" w:cs="宋体"/>
          <w:color w:val="auto"/>
          <w:kern w:val="44"/>
        </w:rPr>
      </w:pPr>
      <w:r>
        <w:rPr>
          <w:rFonts w:hint="eastAsia" w:ascii="宋体" w:hAnsi="宋体" w:cs="宋体"/>
          <w:color w:val="auto"/>
        </w:rPr>
        <w:br w:type="page"/>
      </w:r>
    </w:p>
    <w:p>
      <w:pPr>
        <w:pStyle w:val="2"/>
        <w:jc w:val="center"/>
        <w:rPr>
          <w:rFonts w:ascii="宋体" w:hAnsi="宋体" w:cs="宋体"/>
          <w:color w:val="auto"/>
          <w:sz w:val="36"/>
          <w:szCs w:val="36"/>
        </w:rPr>
      </w:pPr>
      <w:bookmarkStart w:id="337" w:name="_Toc16665781"/>
      <w:bookmarkStart w:id="338" w:name="_Toc30820"/>
      <w:bookmarkStart w:id="339" w:name="_Toc25594"/>
      <w:bookmarkStart w:id="340" w:name="_Toc3013"/>
      <w:r>
        <w:rPr>
          <w:rFonts w:hint="eastAsia" w:ascii="宋体" w:hAnsi="宋体" w:cs="宋体"/>
          <w:color w:val="auto"/>
          <w:sz w:val="36"/>
          <w:szCs w:val="36"/>
        </w:rPr>
        <w:t>附  件</w:t>
      </w:r>
      <w:bookmarkEnd w:id="328"/>
      <w:bookmarkEnd w:id="329"/>
      <w:bookmarkEnd w:id="330"/>
      <w:bookmarkEnd w:id="331"/>
      <w:bookmarkEnd w:id="332"/>
      <w:bookmarkEnd w:id="333"/>
      <w:bookmarkEnd w:id="334"/>
      <w:bookmarkEnd w:id="335"/>
      <w:bookmarkEnd w:id="336"/>
      <w:bookmarkEnd w:id="337"/>
      <w:bookmarkEnd w:id="338"/>
      <w:bookmarkEnd w:id="339"/>
      <w:bookmarkEnd w:id="340"/>
    </w:p>
    <w:p>
      <w:pPr>
        <w:pStyle w:val="4"/>
        <w:rPr>
          <w:rFonts w:ascii="宋体" w:hAnsi="宋体" w:cs="宋体"/>
          <w:color w:val="auto"/>
          <w:sz w:val="28"/>
          <w:szCs w:val="28"/>
        </w:rPr>
      </w:pPr>
      <w:bookmarkStart w:id="341" w:name="_Toc16189068"/>
      <w:bookmarkStart w:id="342" w:name="_Toc16665782"/>
      <w:bookmarkStart w:id="343" w:name="_Toc16189231"/>
      <w:bookmarkStart w:id="344" w:name="_Toc11458"/>
      <w:bookmarkStart w:id="345" w:name="_Toc11557"/>
      <w:bookmarkStart w:id="346" w:name="_Toc7638"/>
      <w:r>
        <w:rPr>
          <w:rFonts w:hint="eastAsia" w:ascii="宋体" w:hAnsi="宋体" w:cs="宋体"/>
          <w:color w:val="auto"/>
          <w:sz w:val="28"/>
          <w:szCs w:val="28"/>
        </w:rPr>
        <w:t>（一）</w:t>
      </w:r>
      <w:bookmarkEnd w:id="341"/>
      <w:bookmarkEnd w:id="342"/>
      <w:bookmarkEnd w:id="343"/>
      <w:r>
        <w:rPr>
          <w:rFonts w:hint="eastAsia" w:ascii="宋体" w:hAnsi="宋体" w:cs="宋体"/>
          <w:color w:val="auto"/>
          <w:sz w:val="28"/>
          <w:szCs w:val="28"/>
        </w:rPr>
        <w:t>《云南省文山壮族苗族自治州中级人民法院委托书》</w:t>
      </w:r>
      <w:bookmarkEnd w:id="344"/>
      <w:bookmarkEnd w:id="345"/>
      <w:r>
        <w:rPr>
          <w:rFonts w:hint="eastAsia" w:ascii="宋体" w:hAnsi="宋体" w:cs="宋体"/>
          <w:color w:val="auto"/>
          <w:sz w:val="28"/>
          <w:szCs w:val="28"/>
        </w:rPr>
        <w:t>（2020）云26执17号</w:t>
      </w:r>
      <w:bookmarkEnd w:id="346"/>
    </w:p>
    <w:p>
      <w:pPr>
        <w:pStyle w:val="3"/>
        <w:rPr>
          <w:rFonts w:ascii="宋体" w:hAnsi="宋体" w:eastAsia="宋体" w:cs="宋体"/>
          <w:color w:val="auto"/>
          <w:sz w:val="28"/>
          <w:szCs w:val="28"/>
        </w:rPr>
      </w:pPr>
      <w:bookmarkStart w:id="347" w:name="_Toc18612"/>
      <w:r>
        <w:rPr>
          <w:rFonts w:hint="eastAsia" w:ascii="宋体" w:hAnsi="宋体" w:cs="宋体"/>
          <w:color w:val="auto"/>
          <w:sz w:val="28"/>
          <w:szCs w:val="28"/>
        </w:rPr>
        <w:t>（二）</w:t>
      </w:r>
      <w:r>
        <w:rPr>
          <w:rFonts w:hint="eastAsia" w:ascii="宋体" w:hAnsi="宋体" w:eastAsia="宋体" w:cs="宋体"/>
          <w:color w:val="auto"/>
          <w:sz w:val="28"/>
          <w:szCs w:val="28"/>
        </w:rPr>
        <w:t>《云南省文山壮族苗族自治州中级人民法院执行裁定书》（2016）云26执106号之一</w:t>
      </w:r>
      <w:bookmarkEnd w:id="347"/>
    </w:p>
    <w:p>
      <w:pPr>
        <w:pStyle w:val="4"/>
        <w:rPr>
          <w:rFonts w:ascii="宋体" w:hAnsi="宋体" w:cs="宋体"/>
          <w:color w:val="auto"/>
          <w:sz w:val="28"/>
          <w:szCs w:val="28"/>
        </w:rPr>
      </w:pPr>
      <w:bookmarkStart w:id="348" w:name="_Toc16189232"/>
      <w:bookmarkStart w:id="349" w:name="_Toc16665783"/>
      <w:bookmarkStart w:id="350" w:name="_Toc517"/>
      <w:bookmarkStart w:id="351" w:name="_Toc16189069"/>
      <w:bookmarkStart w:id="352" w:name="_Toc2658"/>
      <w:bookmarkStart w:id="353" w:name="_Toc29850"/>
      <w:r>
        <w:rPr>
          <w:rFonts w:hint="eastAsia" w:ascii="宋体" w:hAnsi="宋体" w:cs="宋体"/>
          <w:color w:val="auto"/>
          <w:sz w:val="28"/>
          <w:szCs w:val="28"/>
        </w:rPr>
        <w:t>（三）估价对象区域位置图</w:t>
      </w:r>
      <w:bookmarkEnd w:id="348"/>
      <w:bookmarkEnd w:id="349"/>
      <w:bookmarkEnd w:id="350"/>
      <w:bookmarkEnd w:id="351"/>
      <w:bookmarkEnd w:id="352"/>
      <w:bookmarkEnd w:id="353"/>
    </w:p>
    <w:p>
      <w:pPr>
        <w:pStyle w:val="4"/>
        <w:rPr>
          <w:rFonts w:ascii="宋体" w:hAnsi="宋体" w:cs="宋体"/>
          <w:color w:val="auto"/>
          <w:sz w:val="28"/>
          <w:szCs w:val="28"/>
        </w:rPr>
      </w:pPr>
      <w:bookmarkStart w:id="354" w:name="_Toc1290"/>
      <w:bookmarkStart w:id="355" w:name="_Toc24229"/>
      <w:bookmarkStart w:id="356" w:name="_Toc16189070"/>
      <w:bookmarkStart w:id="357" w:name="_Toc16189233"/>
      <w:bookmarkStart w:id="358" w:name="_Toc16665784"/>
      <w:bookmarkStart w:id="359" w:name="_Toc15449"/>
      <w:r>
        <w:rPr>
          <w:rFonts w:hint="eastAsia" w:ascii="宋体" w:hAnsi="宋体" w:cs="宋体"/>
          <w:color w:val="auto"/>
          <w:sz w:val="28"/>
          <w:szCs w:val="28"/>
        </w:rPr>
        <w:t>（四）估价对象实景照片</w:t>
      </w:r>
      <w:bookmarkEnd w:id="354"/>
      <w:bookmarkEnd w:id="355"/>
      <w:bookmarkEnd w:id="356"/>
      <w:bookmarkEnd w:id="357"/>
      <w:bookmarkEnd w:id="358"/>
      <w:bookmarkEnd w:id="359"/>
    </w:p>
    <w:p>
      <w:pPr>
        <w:pStyle w:val="4"/>
        <w:rPr>
          <w:rFonts w:hint="eastAsia" w:ascii="宋体" w:hAnsi="宋体" w:cs="宋体"/>
          <w:color w:val="auto"/>
          <w:sz w:val="28"/>
          <w:szCs w:val="28"/>
        </w:rPr>
      </w:pPr>
      <w:bookmarkStart w:id="360" w:name="_Toc26668"/>
      <w:bookmarkStart w:id="361" w:name="_Toc16665785"/>
      <w:bookmarkStart w:id="362" w:name="_Toc22775"/>
      <w:bookmarkStart w:id="363" w:name="_Toc20472"/>
      <w:bookmarkStart w:id="364" w:name="_Toc16189234"/>
      <w:bookmarkStart w:id="365" w:name="_Toc16189071"/>
      <w:r>
        <w:rPr>
          <w:rFonts w:hint="eastAsia" w:ascii="宋体" w:hAnsi="宋体" w:cs="宋体"/>
          <w:color w:val="auto"/>
          <w:sz w:val="28"/>
          <w:szCs w:val="28"/>
        </w:rPr>
        <w:t>（五）《房屋所有权证》、《土地使用证》复印件</w:t>
      </w:r>
      <w:bookmarkEnd w:id="360"/>
      <w:bookmarkEnd w:id="361"/>
      <w:bookmarkEnd w:id="362"/>
      <w:bookmarkEnd w:id="363"/>
    </w:p>
    <w:p>
      <w:pPr>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rPr>
      </w:pPr>
      <w:r>
        <w:rPr>
          <w:rFonts w:hint="eastAsia" w:ascii="宋体" w:hAnsi="宋体" w:cs="宋体"/>
          <w:b/>
          <w:bCs/>
          <w:color w:val="auto"/>
          <w:sz w:val="28"/>
          <w:szCs w:val="28"/>
        </w:rPr>
        <w:t>（六）</w:t>
      </w:r>
      <w:r>
        <w:rPr>
          <w:rFonts w:hint="eastAsia" w:ascii="宋体" w:hAnsi="宋体" w:cs="宋体"/>
          <w:b/>
          <w:bCs/>
          <w:color w:val="auto"/>
          <w:sz w:val="28"/>
          <w:szCs w:val="28"/>
          <w:shd w:val="solid" w:color="FFFFFF" w:fill="auto"/>
        </w:rPr>
        <w:t>同心联谊（文）测字（2020）第021号</w:t>
      </w:r>
      <w:r>
        <w:rPr>
          <w:rFonts w:hint="eastAsia" w:ascii="宋体" w:hAnsi="宋体" w:cs="宋体"/>
          <w:b/>
          <w:bCs/>
          <w:color w:val="auto"/>
          <w:sz w:val="28"/>
          <w:szCs w:val="28"/>
        </w:rPr>
        <w:t>《</w:t>
      </w:r>
      <w:r>
        <w:rPr>
          <w:rFonts w:hint="eastAsia" w:ascii="宋体" w:hAnsi="宋体" w:cs="宋体"/>
          <w:b/>
          <w:bCs/>
          <w:color w:val="auto"/>
          <w:sz w:val="28"/>
          <w:szCs w:val="28"/>
          <w:shd w:val="solid" w:color="FFFFFF" w:fill="auto"/>
        </w:rPr>
        <w:t>何忠慰位于平远镇新平社区小黑山</w:t>
      </w:r>
      <w:r>
        <w:rPr>
          <w:rFonts w:hint="eastAsia" w:ascii="宋体" w:hAnsi="宋体" w:cs="宋体"/>
          <w:b/>
          <w:bCs/>
          <w:color w:val="auto"/>
          <w:spacing w:val="30"/>
          <w:kern w:val="52"/>
          <w:position w:val="2"/>
          <w:sz w:val="28"/>
          <w:szCs w:val="28"/>
          <w:shd w:val="solid" w:color="FFFFFF" w:fill="auto"/>
        </w:rPr>
        <w:t>建构筑物面积测算报告</w:t>
      </w:r>
      <w:r>
        <w:rPr>
          <w:rFonts w:hint="eastAsia" w:ascii="宋体" w:hAnsi="宋体" w:cs="宋体"/>
          <w:b/>
          <w:bCs/>
          <w:color w:val="auto"/>
          <w:sz w:val="28"/>
          <w:szCs w:val="28"/>
        </w:rPr>
        <w:t>》</w:t>
      </w:r>
    </w:p>
    <w:p>
      <w:pPr>
        <w:pStyle w:val="4"/>
        <w:rPr>
          <w:rFonts w:ascii="宋体" w:hAnsi="宋体" w:cs="宋体"/>
          <w:color w:val="auto"/>
          <w:sz w:val="28"/>
          <w:szCs w:val="28"/>
        </w:rPr>
      </w:pPr>
      <w:bookmarkStart w:id="366" w:name="_Toc16665786"/>
      <w:bookmarkStart w:id="367" w:name="_Toc5025"/>
      <w:bookmarkStart w:id="368" w:name="_Toc23658"/>
      <w:bookmarkStart w:id="369" w:name="_Toc11514"/>
      <w:r>
        <w:rPr>
          <w:rFonts w:hint="eastAsia" w:ascii="宋体" w:hAnsi="宋体" w:cs="宋体"/>
          <w:color w:val="auto"/>
          <w:sz w:val="28"/>
          <w:szCs w:val="28"/>
        </w:rPr>
        <w:t>（七）估价师到相关部门调查收集的相关资料复印件</w:t>
      </w:r>
      <w:bookmarkEnd w:id="364"/>
      <w:bookmarkEnd w:id="365"/>
      <w:bookmarkEnd w:id="366"/>
      <w:bookmarkEnd w:id="367"/>
      <w:bookmarkEnd w:id="368"/>
      <w:bookmarkEnd w:id="369"/>
    </w:p>
    <w:p>
      <w:pPr>
        <w:pStyle w:val="4"/>
        <w:rPr>
          <w:rFonts w:ascii="宋体" w:hAnsi="宋体" w:cs="宋体"/>
          <w:color w:val="auto"/>
          <w:sz w:val="28"/>
          <w:szCs w:val="28"/>
        </w:rPr>
      </w:pPr>
      <w:bookmarkStart w:id="370" w:name="_Toc16189072"/>
      <w:bookmarkStart w:id="371" w:name="_Toc16189235"/>
      <w:bookmarkStart w:id="372" w:name="_Toc16665787"/>
      <w:bookmarkStart w:id="373" w:name="_Toc6202"/>
      <w:bookmarkStart w:id="374" w:name="_Toc8688"/>
      <w:bookmarkStart w:id="375" w:name="_Toc19334"/>
      <w:r>
        <w:rPr>
          <w:rFonts w:hint="eastAsia" w:ascii="宋体" w:hAnsi="宋体" w:cs="宋体"/>
          <w:color w:val="auto"/>
          <w:sz w:val="28"/>
          <w:szCs w:val="28"/>
        </w:rPr>
        <w:t>（八）房地产估价机构营业执照复印件</w:t>
      </w:r>
      <w:bookmarkEnd w:id="370"/>
      <w:bookmarkEnd w:id="371"/>
      <w:bookmarkEnd w:id="372"/>
      <w:bookmarkEnd w:id="373"/>
      <w:bookmarkEnd w:id="374"/>
      <w:bookmarkEnd w:id="375"/>
    </w:p>
    <w:p>
      <w:pPr>
        <w:pStyle w:val="4"/>
        <w:rPr>
          <w:rFonts w:ascii="宋体" w:hAnsi="宋体" w:cs="宋体"/>
          <w:color w:val="auto"/>
          <w:sz w:val="28"/>
          <w:szCs w:val="28"/>
        </w:rPr>
      </w:pPr>
      <w:bookmarkStart w:id="376" w:name="_Toc16189236"/>
      <w:bookmarkStart w:id="377" w:name="_Toc16665788"/>
      <w:bookmarkStart w:id="378" w:name="_Toc16189073"/>
      <w:bookmarkStart w:id="379" w:name="_Toc14605"/>
      <w:bookmarkStart w:id="380" w:name="_Toc6233"/>
      <w:bookmarkStart w:id="381" w:name="_Toc30777"/>
      <w:r>
        <w:rPr>
          <w:rFonts w:hint="eastAsia" w:ascii="宋体" w:hAnsi="宋体" w:cs="宋体"/>
          <w:color w:val="auto"/>
          <w:sz w:val="28"/>
          <w:szCs w:val="28"/>
        </w:rPr>
        <w:t>（九）房地产估价机构备案证书复印件</w:t>
      </w:r>
      <w:bookmarkEnd w:id="376"/>
      <w:bookmarkEnd w:id="377"/>
      <w:bookmarkEnd w:id="378"/>
      <w:bookmarkEnd w:id="379"/>
      <w:bookmarkEnd w:id="380"/>
      <w:bookmarkEnd w:id="381"/>
    </w:p>
    <w:p>
      <w:pPr>
        <w:pStyle w:val="4"/>
        <w:rPr>
          <w:rFonts w:ascii="宋体" w:hAnsi="宋体" w:cs="宋体"/>
          <w:color w:val="auto"/>
          <w:sz w:val="32"/>
          <w:szCs w:val="32"/>
        </w:rPr>
      </w:pPr>
      <w:bookmarkStart w:id="382" w:name="_Toc4444"/>
      <w:bookmarkStart w:id="383" w:name="_Toc11052"/>
      <w:bookmarkStart w:id="384" w:name="_Toc16189074"/>
      <w:bookmarkStart w:id="385" w:name="_Toc16665789"/>
      <w:bookmarkStart w:id="386" w:name="_Toc16189237"/>
      <w:bookmarkStart w:id="387" w:name="_Toc27928"/>
      <w:r>
        <w:rPr>
          <w:rFonts w:hint="eastAsia" w:ascii="宋体" w:hAnsi="宋体" w:cs="宋体"/>
          <w:color w:val="auto"/>
          <w:sz w:val="28"/>
          <w:szCs w:val="28"/>
        </w:rPr>
        <w:t>（</w:t>
      </w:r>
      <w:r>
        <w:rPr>
          <w:rFonts w:hint="eastAsia" w:ascii="宋体" w:hAnsi="宋体" w:cs="宋体"/>
          <w:color w:val="auto"/>
          <w:sz w:val="28"/>
          <w:szCs w:val="28"/>
          <w:lang w:eastAsia="zh-CN"/>
        </w:rPr>
        <w:t>十</w:t>
      </w:r>
      <w:r>
        <w:rPr>
          <w:rFonts w:hint="eastAsia" w:ascii="宋体" w:hAnsi="宋体" w:cs="宋体"/>
          <w:color w:val="auto"/>
          <w:sz w:val="28"/>
          <w:szCs w:val="28"/>
        </w:rPr>
        <w:t>）注册房地产估价师注册证书复印件</w:t>
      </w:r>
      <w:bookmarkEnd w:id="382"/>
      <w:bookmarkEnd w:id="383"/>
      <w:bookmarkEnd w:id="384"/>
      <w:bookmarkEnd w:id="385"/>
      <w:bookmarkEnd w:id="386"/>
      <w:bookmarkEnd w:id="387"/>
    </w:p>
    <w:p>
      <w:pPr>
        <w:rPr>
          <w:rFonts w:ascii="宋体" w:hAnsi="宋体" w:cs="宋体"/>
          <w:color w:val="auto"/>
          <w:sz w:val="32"/>
          <w:szCs w:val="32"/>
        </w:rPr>
      </w:pPr>
    </w:p>
    <w:p>
      <w:pPr>
        <w:rPr>
          <w:rFonts w:ascii="宋体" w:hAnsi="宋体" w:cs="宋体"/>
          <w:color w:val="auto"/>
          <w:sz w:val="32"/>
          <w:szCs w:val="32"/>
        </w:rPr>
      </w:pPr>
    </w:p>
    <w:p>
      <w:pPr>
        <w:rPr>
          <w:rFonts w:ascii="宋体" w:hAnsi="宋体" w:cs="宋体"/>
          <w:color w:val="auto"/>
          <w:sz w:val="32"/>
          <w:szCs w:val="32"/>
        </w:rPr>
      </w:pPr>
    </w:p>
    <w:p>
      <w:pPr>
        <w:rPr>
          <w:rFonts w:ascii="宋体" w:hAnsi="宋体" w:cs="宋体"/>
          <w:color w:val="auto"/>
          <w:sz w:val="32"/>
          <w:szCs w:val="32"/>
        </w:rPr>
      </w:pPr>
    </w:p>
    <w:p>
      <w:pPr>
        <w:rPr>
          <w:rFonts w:ascii="宋体" w:hAnsi="宋体" w:cs="宋体"/>
          <w:color w:val="auto"/>
          <w:sz w:val="32"/>
          <w:szCs w:val="32"/>
        </w:rPr>
      </w:pPr>
    </w:p>
    <w:p>
      <w:pPr>
        <w:rPr>
          <w:rFonts w:ascii="宋体" w:hAnsi="宋体" w:cs="宋体"/>
          <w:color w:val="auto"/>
          <w:sz w:val="32"/>
          <w:szCs w:val="32"/>
        </w:rPr>
      </w:pPr>
    </w:p>
    <w:p>
      <w:pPr>
        <w:widowControl/>
        <w:jc w:val="left"/>
        <w:rPr>
          <w:rFonts w:ascii="宋体" w:hAnsi="宋体" w:cs="宋体"/>
          <w:color w:val="auto"/>
          <w:kern w:val="0"/>
          <w:sz w:val="24"/>
          <w:szCs w:val="24"/>
        </w:rPr>
        <w:sectPr>
          <w:footerReference r:id="rId11" w:type="default"/>
          <w:footerReference r:id="rId12" w:type="even"/>
          <w:pgSz w:w="11906" w:h="16838"/>
          <w:pgMar w:top="1077" w:right="1361" w:bottom="1134" w:left="1304" w:header="851" w:footer="851" w:gutter="0"/>
          <w:pgNumType w:fmt="numberInDash"/>
          <w:cols w:space="720" w:num="1"/>
          <w:docGrid w:linePitch="312" w:charSpace="0"/>
        </w:sectPr>
      </w:pPr>
    </w:p>
    <w:p>
      <w:pPr>
        <w:widowControl/>
        <w:jc w:val="center"/>
        <w:rPr>
          <w:rFonts w:ascii="宋体" w:hAnsi="宋体" w:cs="宋体"/>
          <w:b/>
          <w:bCs/>
          <w:color w:val="auto"/>
          <w:kern w:val="0"/>
          <w:sz w:val="36"/>
          <w:szCs w:val="36"/>
        </w:rPr>
      </w:pPr>
      <w:r>
        <w:rPr>
          <w:rFonts w:hint="eastAsia" w:ascii="宋体" w:hAnsi="宋体" w:cs="宋体"/>
          <w:b/>
          <w:bCs/>
          <w:color w:val="auto"/>
          <w:kern w:val="0"/>
          <w:sz w:val="36"/>
          <w:szCs w:val="36"/>
        </w:rPr>
        <w:t>估价对象区域位置图</w:t>
      </w:r>
    </w:p>
    <w:p>
      <w:pPr>
        <w:widowControl/>
        <w:jc w:val="left"/>
        <w:rPr>
          <w:rFonts w:ascii="宋体" w:hAnsi="宋体" w:cs="宋体"/>
          <w:color w:val="auto"/>
          <w:kern w:val="0"/>
          <w:sz w:val="24"/>
          <w:szCs w:val="24"/>
        </w:rPr>
      </w:pPr>
      <w:r>
        <w:rPr>
          <w:rFonts w:hint="eastAsia" w:ascii="宋体" w:hAnsi="宋体" w:cs="宋体"/>
          <w:color w:val="auto"/>
          <w:kern w:val="0"/>
          <w:sz w:val="24"/>
          <w:szCs w:val="24"/>
        </w:rPr>
        <w:drawing>
          <wp:anchor distT="0" distB="0" distL="114300" distR="114300" simplePos="0" relativeHeight="252227584" behindDoc="1" locked="0" layoutInCell="1" allowOverlap="1">
            <wp:simplePos x="0" y="0"/>
            <wp:positionH relativeFrom="column">
              <wp:posOffset>38100</wp:posOffset>
            </wp:positionH>
            <wp:positionV relativeFrom="paragraph">
              <wp:posOffset>37465</wp:posOffset>
            </wp:positionV>
            <wp:extent cx="9284970" cy="5236845"/>
            <wp:effectExtent l="0" t="0" r="11430" b="1905"/>
            <wp:wrapNone/>
            <wp:docPr id="1" name="图片 1" descr="1586334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6334777(1)"/>
                    <pic:cNvPicPr>
                      <a:picLocks noChangeAspect="1"/>
                    </pic:cNvPicPr>
                  </pic:nvPicPr>
                  <pic:blipFill>
                    <a:blip r:embed="rId15" cstate="print"/>
                    <a:stretch>
                      <a:fillRect/>
                    </a:stretch>
                  </pic:blipFill>
                  <pic:spPr>
                    <a:xfrm>
                      <a:off x="0" y="0"/>
                      <a:ext cx="9284970" cy="5236845"/>
                    </a:xfrm>
                    <a:prstGeom prst="rect">
                      <a:avLst/>
                    </a:prstGeom>
                  </pic:spPr>
                </pic:pic>
              </a:graphicData>
            </a:graphic>
          </wp:anchor>
        </w:drawing>
      </w:r>
    </w:p>
    <w:p>
      <w:pPr>
        <w:widowControl/>
        <w:jc w:val="left"/>
        <w:rPr>
          <w:rFonts w:ascii="宋体" w:hAnsi="宋体" w:cs="宋体"/>
          <w:color w:val="auto"/>
        </w:rPr>
      </w:pPr>
    </w:p>
    <w:p>
      <w:pPr>
        <w:widowControl/>
        <w:jc w:val="left"/>
        <w:rPr>
          <w:rFonts w:ascii="宋体" w:hAnsi="宋体" w:cs="宋体"/>
          <w:color w:val="auto"/>
        </w:rPr>
      </w:pPr>
    </w:p>
    <w:p>
      <w:pPr>
        <w:widowControl/>
        <w:jc w:val="left"/>
        <w:rPr>
          <w:rFonts w:ascii="宋体" w:hAnsi="宋体" w:cs="宋体"/>
          <w:color w:val="auto"/>
        </w:rPr>
      </w:pPr>
    </w:p>
    <w:p>
      <w:pPr>
        <w:widowControl/>
        <w:jc w:val="left"/>
        <w:rPr>
          <w:rFonts w:ascii="宋体" w:hAnsi="宋体" w:cs="宋体"/>
          <w:color w:val="auto"/>
        </w:rPr>
      </w:pPr>
    </w:p>
    <w:p>
      <w:pPr>
        <w:widowControl/>
        <w:jc w:val="left"/>
        <w:rPr>
          <w:rFonts w:ascii="宋体" w:hAnsi="宋体" w:cs="宋体"/>
          <w:color w:val="auto"/>
        </w:rPr>
      </w:pPr>
    </w:p>
    <w:p>
      <w:pPr>
        <w:widowControl/>
        <w:jc w:val="left"/>
        <w:rPr>
          <w:rFonts w:ascii="宋体" w:hAnsi="宋体" w:cs="宋体"/>
          <w:color w:val="auto"/>
        </w:rPr>
      </w:pPr>
    </w:p>
    <w:p>
      <w:pPr>
        <w:widowControl/>
        <w:jc w:val="left"/>
        <w:rPr>
          <w:rFonts w:ascii="宋体" w:hAnsi="宋体" w:cs="宋体"/>
          <w:color w:val="auto"/>
          <w:kern w:val="0"/>
          <w:sz w:val="24"/>
          <w:szCs w:val="24"/>
        </w:rPr>
      </w:pPr>
    </w:p>
    <w:p>
      <w:pPr>
        <w:widowControl/>
        <w:jc w:val="left"/>
        <w:rPr>
          <w:rFonts w:ascii="宋体" w:hAnsi="宋体" w:cs="宋体"/>
          <w:color w:val="auto"/>
          <w:kern w:val="0"/>
          <w:sz w:val="24"/>
          <w:szCs w:val="24"/>
        </w:rPr>
      </w:pPr>
    </w:p>
    <w:p>
      <w:pPr>
        <w:widowControl/>
        <w:jc w:val="left"/>
        <w:rPr>
          <w:rFonts w:ascii="宋体" w:hAnsi="宋体" w:cs="宋体"/>
          <w:color w:val="auto"/>
          <w:kern w:val="0"/>
          <w:sz w:val="24"/>
          <w:szCs w:val="24"/>
        </w:rPr>
      </w:pPr>
      <w:r>
        <w:rPr>
          <w:rFonts w:ascii="宋体" w:hAnsi="宋体" w:cs="宋体"/>
          <w:color w:val="auto"/>
        </w:rPr>
        <w:pict>
          <v:shape id="_x0000_s1026" o:spid="_x0000_s1026" o:spt="62" type="#_x0000_t62" style="position:absolute;left:0pt;margin-left:167.15pt;margin-top:3.2pt;height:27.1pt;width:119.75pt;z-index:251923456;mso-width-relative:page;mso-height-relative:page;" stroked="t" coordsize="21600,21600" adj="21657,55873">
            <v:path/>
            <v:fill opacity="0f" focussize="0,0"/>
            <v:stroke color="#00B050" joinstyle="miter"/>
            <v:imagedata o:title=""/>
            <o:lock v:ext="edit"/>
            <v:textbox>
              <w:txbxContent>
                <w:p>
                  <w:pPr>
                    <w:jc w:val="center"/>
                    <w:rPr>
                      <w:color w:val="FF0000"/>
                      <w:sz w:val="28"/>
                      <w:szCs w:val="28"/>
                    </w:rPr>
                  </w:pPr>
                  <w:r>
                    <w:rPr>
                      <w:rFonts w:hint="eastAsia"/>
                      <w:color w:val="FF0000"/>
                      <w:sz w:val="28"/>
                      <w:szCs w:val="28"/>
                    </w:rPr>
                    <w:t>估价对象位置</w:t>
                  </w:r>
                </w:p>
              </w:txbxContent>
            </v:textbox>
          </v:shape>
        </w:pict>
      </w:r>
    </w:p>
    <w:p>
      <w:pPr>
        <w:widowControl/>
        <w:jc w:val="left"/>
        <w:rPr>
          <w:rFonts w:ascii="宋体" w:hAnsi="宋体" w:cs="宋体"/>
          <w:color w:val="auto"/>
          <w:kern w:val="0"/>
          <w:sz w:val="24"/>
          <w:szCs w:val="24"/>
        </w:rPr>
      </w:pPr>
    </w:p>
    <w:p>
      <w:pPr>
        <w:widowControl/>
        <w:jc w:val="left"/>
        <w:rPr>
          <w:rFonts w:ascii="宋体" w:hAnsi="宋体" w:cs="宋体"/>
          <w:color w:val="auto"/>
          <w:kern w:val="0"/>
          <w:sz w:val="24"/>
          <w:szCs w:val="24"/>
        </w:rPr>
      </w:pPr>
    </w:p>
    <w:p>
      <w:pPr>
        <w:widowControl/>
        <w:jc w:val="left"/>
        <w:rPr>
          <w:rFonts w:ascii="宋体" w:hAnsi="宋体" w:cs="宋体"/>
          <w:color w:val="auto"/>
          <w:kern w:val="0"/>
          <w:sz w:val="24"/>
          <w:szCs w:val="24"/>
        </w:rPr>
        <w:sectPr>
          <w:pgSz w:w="16838" w:h="11906" w:orient="landscape"/>
          <w:pgMar w:top="1304" w:right="1077" w:bottom="1361" w:left="1134" w:header="851" w:footer="850" w:gutter="0"/>
          <w:pgNumType w:fmt="numberInDash"/>
          <w:cols w:space="0" w:num="1"/>
          <w:docGrid w:linePitch="312" w:charSpace="0"/>
        </w:sectPr>
      </w:pPr>
    </w:p>
    <w:p>
      <w:pPr>
        <w:widowControl/>
        <w:jc w:val="left"/>
        <w:rPr>
          <w:rFonts w:ascii="宋体" w:hAnsi="宋体" w:cs="宋体"/>
          <w:color w:val="auto"/>
        </w:rPr>
      </w:pPr>
    </w:p>
    <w:p>
      <w:pPr>
        <w:jc w:val="center"/>
        <w:rPr>
          <w:rFonts w:ascii="宋体" w:hAnsi="宋体" w:cs="宋体"/>
          <w:b/>
          <w:bCs/>
          <w:color w:val="auto"/>
          <w:sz w:val="36"/>
          <w:szCs w:val="36"/>
        </w:rPr>
      </w:pPr>
      <w:r>
        <w:rPr>
          <w:rFonts w:hint="eastAsia" w:ascii="宋体" w:hAnsi="宋体" w:cs="宋体"/>
          <w:b/>
          <w:bCs/>
          <w:color w:val="auto"/>
          <w:sz w:val="36"/>
          <w:szCs w:val="36"/>
        </w:rPr>
        <w:t>估价对象实景照片</w:t>
      </w: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192768" behindDoc="0" locked="0" layoutInCell="1" allowOverlap="1">
            <wp:simplePos x="0" y="0"/>
            <wp:positionH relativeFrom="column">
              <wp:posOffset>9525</wp:posOffset>
            </wp:positionH>
            <wp:positionV relativeFrom="paragraph">
              <wp:posOffset>187960</wp:posOffset>
            </wp:positionV>
            <wp:extent cx="2771775" cy="2376170"/>
            <wp:effectExtent l="0" t="0" r="9525" b="5080"/>
            <wp:wrapNone/>
            <wp:docPr id="3" name="图片 3" descr="微信图片_20200408163854"/>
            <wp:cNvGraphicFramePr/>
            <a:graphic xmlns:a="http://schemas.openxmlformats.org/drawingml/2006/main">
              <a:graphicData uri="http://schemas.openxmlformats.org/drawingml/2006/picture">
                <pic:pic xmlns:pic="http://schemas.openxmlformats.org/drawingml/2006/picture">
                  <pic:nvPicPr>
                    <pic:cNvPr id="3" name="图片 3" descr="微信图片_20200408163854"/>
                    <pic:cNvPicPr/>
                  </pic:nvPicPr>
                  <pic:blipFill>
                    <a:blip r:embed="rId16"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197888" behindDoc="0" locked="0" layoutInCell="1" allowOverlap="1">
            <wp:simplePos x="0" y="0"/>
            <wp:positionH relativeFrom="column">
              <wp:posOffset>3028950</wp:posOffset>
            </wp:positionH>
            <wp:positionV relativeFrom="paragraph">
              <wp:posOffset>183515</wp:posOffset>
            </wp:positionV>
            <wp:extent cx="2771775" cy="2376170"/>
            <wp:effectExtent l="0" t="0" r="9525" b="5080"/>
            <wp:wrapNone/>
            <wp:docPr id="12" name="图片 12" descr="微信图片_2020040816462423"/>
            <wp:cNvGraphicFramePr/>
            <a:graphic xmlns:a="http://schemas.openxmlformats.org/drawingml/2006/main">
              <a:graphicData uri="http://schemas.openxmlformats.org/drawingml/2006/picture">
                <pic:pic xmlns:pic="http://schemas.openxmlformats.org/drawingml/2006/picture">
                  <pic:nvPicPr>
                    <pic:cNvPr id="12" name="图片 12" descr="微信图片_2020040816462423"/>
                    <pic:cNvPicPr/>
                  </pic:nvPicPr>
                  <pic:blipFill>
                    <a:blip r:embed="rId17"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br w:type="textWrapp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估价对象临路状况实景照片一            估价对象临路状况实景照片二</w:t>
      </w: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194816" behindDoc="0" locked="0" layoutInCell="1" allowOverlap="1">
            <wp:simplePos x="0" y="0"/>
            <wp:positionH relativeFrom="column">
              <wp:posOffset>3095625</wp:posOffset>
            </wp:positionH>
            <wp:positionV relativeFrom="paragraph">
              <wp:posOffset>57785</wp:posOffset>
            </wp:positionV>
            <wp:extent cx="2771775" cy="2376170"/>
            <wp:effectExtent l="0" t="0" r="9525" b="5080"/>
            <wp:wrapNone/>
            <wp:docPr id="9" name="图片 9" descr="微信图片_2020040816462426"/>
            <wp:cNvGraphicFramePr/>
            <a:graphic xmlns:a="http://schemas.openxmlformats.org/drawingml/2006/main">
              <a:graphicData uri="http://schemas.openxmlformats.org/drawingml/2006/picture">
                <pic:pic xmlns:pic="http://schemas.openxmlformats.org/drawingml/2006/picture">
                  <pic:nvPicPr>
                    <pic:cNvPr id="9" name="图片 9" descr="微信图片_2020040816462426"/>
                    <pic:cNvPicPr/>
                  </pic:nvPicPr>
                  <pic:blipFill>
                    <a:blip r:embed="rId18"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195840" behindDoc="0" locked="0" layoutInCell="1" allowOverlap="1">
            <wp:simplePos x="0" y="0"/>
            <wp:positionH relativeFrom="column">
              <wp:posOffset>9525</wp:posOffset>
            </wp:positionH>
            <wp:positionV relativeFrom="paragraph">
              <wp:posOffset>57785</wp:posOffset>
            </wp:positionV>
            <wp:extent cx="2771775" cy="2376170"/>
            <wp:effectExtent l="0" t="0" r="9525" b="5080"/>
            <wp:wrapNone/>
            <wp:docPr id="10" name="图片 10" descr="微信图片_2020040816462425"/>
            <wp:cNvGraphicFramePr/>
            <a:graphic xmlns:a="http://schemas.openxmlformats.org/drawingml/2006/main">
              <a:graphicData uri="http://schemas.openxmlformats.org/drawingml/2006/picture">
                <pic:pic xmlns:pic="http://schemas.openxmlformats.org/drawingml/2006/picture">
                  <pic:nvPicPr>
                    <pic:cNvPr id="10" name="图片 10" descr="微信图片_2020040816462425"/>
                    <pic:cNvPicPr/>
                  </pic:nvPicPr>
                  <pic:blipFill>
                    <a:blip r:embed="rId19"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估价对象临路状况实景照片三            估价对象临路状况实景照片四</w:t>
      </w: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17344" behindDoc="0" locked="0" layoutInCell="1" allowOverlap="1">
            <wp:simplePos x="0" y="0"/>
            <wp:positionH relativeFrom="column">
              <wp:posOffset>3209925</wp:posOffset>
            </wp:positionH>
            <wp:positionV relativeFrom="paragraph">
              <wp:posOffset>93345</wp:posOffset>
            </wp:positionV>
            <wp:extent cx="2771775" cy="2376170"/>
            <wp:effectExtent l="0" t="0" r="9525" b="5080"/>
            <wp:wrapNone/>
            <wp:docPr id="33" name="图片 33" descr="微信图片_202004081646244"/>
            <wp:cNvGraphicFramePr/>
            <a:graphic xmlns:a="http://schemas.openxmlformats.org/drawingml/2006/main">
              <a:graphicData uri="http://schemas.openxmlformats.org/drawingml/2006/picture">
                <pic:pic xmlns:pic="http://schemas.openxmlformats.org/drawingml/2006/picture">
                  <pic:nvPicPr>
                    <pic:cNvPr id="33" name="图片 33" descr="微信图片_202004081646244"/>
                    <pic:cNvPicPr/>
                  </pic:nvPicPr>
                  <pic:blipFill>
                    <a:blip r:embed="rId20"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18368" behindDoc="0" locked="0" layoutInCell="1" allowOverlap="1">
            <wp:simplePos x="0" y="0"/>
            <wp:positionH relativeFrom="column">
              <wp:posOffset>133350</wp:posOffset>
            </wp:positionH>
            <wp:positionV relativeFrom="paragraph">
              <wp:posOffset>93345</wp:posOffset>
            </wp:positionV>
            <wp:extent cx="2771775" cy="2376170"/>
            <wp:effectExtent l="0" t="0" r="9525" b="5080"/>
            <wp:wrapNone/>
            <wp:docPr id="34" name="图片 34" descr="微信图片_202004081646243"/>
            <wp:cNvGraphicFramePr/>
            <a:graphic xmlns:a="http://schemas.openxmlformats.org/drawingml/2006/main">
              <a:graphicData uri="http://schemas.openxmlformats.org/drawingml/2006/picture">
                <pic:pic xmlns:pic="http://schemas.openxmlformats.org/drawingml/2006/picture">
                  <pic:nvPicPr>
                    <pic:cNvPr id="34" name="图片 34" descr="微信图片_202004081646243"/>
                    <pic:cNvPicPr/>
                  </pic:nvPicPr>
                  <pic:blipFill>
                    <a:blip r:embed="rId21"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估价对象主房实景照片一               估价对象主房实景照片二</w:t>
      </w: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16320" behindDoc="0" locked="0" layoutInCell="1" allowOverlap="1">
            <wp:simplePos x="0" y="0"/>
            <wp:positionH relativeFrom="column">
              <wp:posOffset>3105150</wp:posOffset>
            </wp:positionH>
            <wp:positionV relativeFrom="paragraph">
              <wp:posOffset>99060</wp:posOffset>
            </wp:positionV>
            <wp:extent cx="2771775" cy="2376170"/>
            <wp:effectExtent l="0" t="0" r="9525" b="5080"/>
            <wp:wrapNone/>
            <wp:docPr id="32" name="图片 32" descr="微信图片_202004081646245"/>
            <wp:cNvGraphicFramePr/>
            <a:graphic xmlns:a="http://schemas.openxmlformats.org/drawingml/2006/main">
              <a:graphicData uri="http://schemas.openxmlformats.org/drawingml/2006/picture">
                <pic:pic xmlns:pic="http://schemas.openxmlformats.org/drawingml/2006/picture">
                  <pic:nvPicPr>
                    <pic:cNvPr id="32" name="图片 32" descr="微信图片_202004081646245"/>
                    <pic:cNvPicPr/>
                  </pic:nvPicPr>
                  <pic:blipFill>
                    <a:blip r:embed="rId22"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13248" behindDoc="0" locked="0" layoutInCell="1" allowOverlap="1">
            <wp:simplePos x="0" y="0"/>
            <wp:positionH relativeFrom="column">
              <wp:posOffset>-57150</wp:posOffset>
            </wp:positionH>
            <wp:positionV relativeFrom="paragraph">
              <wp:posOffset>89535</wp:posOffset>
            </wp:positionV>
            <wp:extent cx="2771775" cy="2376170"/>
            <wp:effectExtent l="0" t="0" r="9525" b="5080"/>
            <wp:wrapNone/>
            <wp:docPr id="29" name="图片 29" descr="微信图片_202004081646248"/>
            <wp:cNvGraphicFramePr/>
            <a:graphic xmlns:a="http://schemas.openxmlformats.org/drawingml/2006/main">
              <a:graphicData uri="http://schemas.openxmlformats.org/drawingml/2006/picture">
                <pic:pic xmlns:pic="http://schemas.openxmlformats.org/drawingml/2006/picture">
                  <pic:nvPicPr>
                    <pic:cNvPr id="29" name="图片 29" descr="微信图片_202004081646248"/>
                    <pic:cNvPicPr/>
                  </pic:nvPicPr>
                  <pic:blipFill>
                    <a:blip r:embed="rId23"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估价对象主房室内实景照片一                估价对象主房室内实景照片二</w:t>
      </w: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14272" behindDoc="0" locked="0" layoutInCell="1" allowOverlap="1">
            <wp:simplePos x="0" y="0"/>
            <wp:positionH relativeFrom="column">
              <wp:posOffset>3286125</wp:posOffset>
            </wp:positionH>
            <wp:positionV relativeFrom="paragraph">
              <wp:posOffset>75565</wp:posOffset>
            </wp:positionV>
            <wp:extent cx="2771775" cy="2376170"/>
            <wp:effectExtent l="0" t="0" r="9525" b="5080"/>
            <wp:wrapNone/>
            <wp:docPr id="30" name="图片 30" descr="微信图片_202004081646247"/>
            <wp:cNvGraphicFramePr/>
            <a:graphic xmlns:a="http://schemas.openxmlformats.org/drawingml/2006/main">
              <a:graphicData uri="http://schemas.openxmlformats.org/drawingml/2006/picture">
                <pic:pic xmlns:pic="http://schemas.openxmlformats.org/drawingml/2006/picture">
                  <pic:nvPicPr>
                    <pic:cNvPr id="30" name="图片 30" descr="微信图片_202004081646247"/>
                    <pic:cNvPicPr/>
                  </pic:nvPicPr>
                  <pic:blipFill>
                    <a:blip r:embed="rId24"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15296" behindDoc="0" locked="0" layoutInCell="1" allowOverlap="1">
            <wp:simplePos x="0" y="0"/>
            <wp:positionH relativeFrom="column">
              <wp:posOffset>-85725</wp:posOffset>
            </wp:positionH>
            <wp:positionV relativeFrom="paragraph">
              <wp:posOffset>104140</wp:posOffset>
            </wp:positionV>
            <wp:extent cx="2771775" cy="2376170"/>
            <wp:effectExtent l="0" t="0" r="9525" b="5080"/>
            <wp:wrapNone/>
            <wp:docPr id="31" name="图片 31" descr="微信图片_202004081646246"/>
            <wp:cNvGraphicFramePr/>
            <a:graphic xmlns:a="http://schemas.openxmlformats.org/drawingml/2006/main">
              <a:graphicData uri="http://schemas.openxmlformats.org/drawingml/2006/picture">
                <pic:pic xmlns:pic="http://schemas.openxmlformats.org/drawingml/2006/picture">
                  <pic:nvPicPr>
                    <pic:cNvPr id="31" name="图片 31" descr="微信图片_202004081646246"/>
                    <pic:cNvPicPr/>
                  </pic:nvPicPr>
                  <pic:blipFill>
                    <a:blip r:embed="rId25"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估价对象主房卫生间实景照片               估价对象主房卧室实景照片</w:t>
      </w: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191744" behindDoc="0" locked="0" layoutInCell="1" allowOverlap="1">
            <wp:simplePos x="0" y="0"/>
            <wp:positionH relativeFrom="column">
              <wp:posOffset>3181350</wp:posOffset>
            </wp:positionH>
            <wp:positionV relativeFrom="paragraph">
              <wp:posOffset>53975</wp:posOffset>
            </wp:positionV>
            <wp:extent cx="2771775" cy="2376170"/>
            <wp:effectExtent l="0" t="0" r="9525" b="5080"/>
            <wp:wrapNone/>
            <wp:docPr id="4" name="图片 4" descr="微信图片_202004081638541"/>
            <wp:cNvGraphicFramePr/>
            <a:graphic xmlns:a="http://schemas.openxmlformats.org/drawingml/2006/main">
              <a:graphicData uri="http://schemas.openxmlformats.org/drawingml/2006/picture">
                <pic:pic xmlns:pic="http://schemas.openxmlformats.org/drawingml/2006/picture">
                  <pic:nvPicPr>
                    <pic:cNvPr id="4" name="图片 4" descr="微信图片_202004081638541"/>
                    <pic:cNvPicPr/>
                  </pic:nvPicPr>
                  <pic:blipFill>
                    <a:blip r:embed="rId26"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193792" behindDoc="0" locked="0" layoutInCell="1" allowOverlap="1">
            <wp:simplePos x="0" y="0"/>
            <wp:positionH relativeFrom="column">
              <wp:posOffset>66675</wp:posOffset>
            </wp:positionH>
            <wp:positionV relativeFrom="paragraph">
              <wp:posOffset>63500</wp:posOffset>
            </wp:positionV>
            <wp:extent cx="2771775" cy="2376170"/>
            <wp:effectExtent l="0" t="0" r="9525" b="5080"/>
            <wp:wrapNone/>
            <wp:docPr id="2" name="图片 2" descr="微信图片_202004081638542"/>
            <wp:cNvGraphicFramePr/>
            <a:graphic xmlns:a="http://schemas.openxmlformats.org/drawingml/2006/main">
              <a:graphicData uri="http://schemas.openxmlformats.org/drawingml/2006/picture">
                <pic:pic xmlns:pic="http://schemas.openxmlformats.org/drawingml/2006/picture">
                  <pic:nvPicPr>
                    <pic:cNvPr id="2" name="图片 2" descr="微信图片_202004081638542"/>
                    <pic:cNvPicPr/>
                  </pic:nvPicPr>
                  <pic:blipFill>
                    <a:blip r:embed="rId27"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tabs>
          <w:tab w:val="left" w:pos="7140"/>
        </w:tabs>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估价对象餐厅室内实景照片               估价对象餐厅实景照片</w:t>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198912" behindDoc="0" locked="0" layoutInCell="1" allowOverlap="1">
            <wp:simplePos x="0" y="0"/>
            <wp:positionH relativeFrom="column">
              <wp:posOffset>3105150</wp:posOffset>
            </wp:positionH>
            <wp:positionV relativeFrom="paragraph">
              <wp:posOffset>142875</wp:posOffset>
            </wp:positionV>
            <wp:extent cx="2771775" cy="2376170"/>
            <wp:effectExtent l="0" t="0" r="9525" b="5080"/>
            <wp:wrapNone/>
            <wp:docPr id="13" name="图片 13" descr="微信图片_2020040816462422"/>
            <wp:cNvGraphicFramePr/>
            <a:graphic xmlns:a="http://schemas.openxmlformats.org/drawingml/2006/main">
              <a:graphicData uri="http://schemas.openxmlformats.org/drawingml/2006/picture">
                <pic:pic xmlns:pic="http://schemas.openxmlformats.org/drawingml/2006/picture">
                  <pic:nvPicPr>
                    <pic:cNvPr id="13" name="图片 13" descr="微信图片_2020040816462422"/>
                    <pic:cNvPicPr/>
                  </pic:nvPicPr>
                  <pic:blipFill>
                    <a:blip r:embed="rId28"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19392" behindDoc="0" locked="0" layoutInCell="1" allowOverlap="1">
            <wp:simplePos x="0" y="0"/>
            <wp:positionH relativeFrom="column">
              <wp:posOffset>9525</wp:posOffset>
            </wp:positionH>
            <wp:positionV relativeFrom="paragraph">
              <wp:posOffset>130810</wp:posOffset>
            </wp:positionV>
            <wp:extent cx="2771775" cy="2376170"/>
            <wp:effectExtent l="0" t="0" r="9525" b="5080"/>
            <wp:wrapNone/>
            <wp:docPr id="35" name="图片 35" descr="微信图片_202004081646242"/>
            <wp:cNvGraphicFramePr/>
            <a:graphic xmlns:a="http://schemas.openxmlformats.org/drawingml/2006/main">
              <a:graphicData uri="http://schemas.openxmlformats.org/drawingml/2006/picture">
                <pic:pic xmlns:pic="http://schemas.openxmlformats.org/drawingml/2006/picture">
                  <pic:nvPicPr>
                    <pic:cNvPr id="35" name="图片 35" descr="微信图片_202004081646242"/>
                    <pic:cNvPicPr/>
                  </pic:nvPicPr>
                  <pic:blipFill>
                    <a:blip r:embed="rId29"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估价对象院心实景照片一              估价对象院心实景照片二</w:t>
      </w: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07104" behindDoc="0" locked="0" layoutInCell="1" allowOverlap="1">
            <wp:simplePos x="0" y="0"/>
            <wp:positionH relativeFrom="column">
              <wp:posOffset>3105150</wp:posOffset>
            </wp:positionH>
            <wp:positionV relativeFrom="paragraph">
              <wp:posOffset>102235</wp:posOffset>
            </wp:positionV>
            <wp:extent cx="2771775" cy="2376170"/>
            <wp:effectExtent l="0" t="0" r="9525" b="5080"/>
            <wp:wrapNone/>
            <wp:docPr id="21" name="图片 21" descr="微信图片_2020040816462414"/>
            <wp:cNvGraphicFramePr/>
            <a:graphic xmlns:a="http://schemas.openxmlformats.org/drawingml/2006/main">
              <a:graphicData uri="http://schemas.openxmlformats.org/drawingml/2006/picture">
                <pic:pic xmlns:pic="http://schemas.openxmlformats.org/drawingml/2006/picture">
                  <pic:nvPicPr>
                    <pic:cNvPr id="21" name="图片 21" descr="微信图片_2020040816462414"/>
                    <pic:cNvPicPr/>
                  </pic:nvPicPr>
                  <pic:blipFill>
                    <a:blip r:embed="rId30"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01984" behindDoc="0" locked="0" layoutInCell="1" allowOverlap="1">
            <wp:simplePos x="0" y="0"/>
            <wp:positionH relativeFrom="column">
              <wp:posOffset>38100</wp:posOffset>
            </wp:positionH>
            <wp:positionV relativeFrom="paragraph">
              <wp:posOffset>102235</wp:posOffset>
            </wp:positionV>
            <wp:extent cx="2771775" cy="2376170"/>
            <wp:effectExtent l="0" t="0" r="9525" b="5080"/>
            <wp:wrapNone/>
            <wp:docPr id="16" name="图片 16" descr="微信图片_2020040816462419"/>
            <wp:cNvGraphicFramePr/>
            <a:graphic xmlns:a="http://schemas.openxmlformats.org/drawingml/2006/main">
              <a:graphicData uri="http://schemas.openxmlformats.org/drawingml/2006/picture">
                <pic:pic xmlns:pic="http://schemas.openxmlformats.org/drawingml/2006/picture">
                  <pic:nvPicPr>
                    <pic:cNvPr id="16" name="图片 16" descr="微信图片_2020040816462419"/>
                    <pic:cNvPicPr/>
                  </pic:nvPicPr>
                  <pic:blipFill>
                    <a:blip r:embed="rId31"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估价对象院心实景照片三              估价对象院心实景照片四</w:t>
      </w: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08128" behindDoc="0" locked="0" layoutInCell="1" allowOverlap="1">
            <wp:simplePos x="0" y="0"/>
            <wp:positionH relativeFrom="column">
              <wp:posOffset>3105150</wp:posOffset>
            </wp:positionH>
            <wp:positionV relativeFrom="paragraph">
              <wp:posOffset>128905</wp:posOffset>
            </wp:positionV>
            <wp:extent cx="2771775" cy="2376170"/>
            <wp:effectExtent l="0" t="0" r="9525" b="5080"/>
            <wp:wrapNone/>
            <wp:docPr id="22" name="图片 22" descr="微信图片_2020040816462413"/>
            <wp:cNvGraphicFramePr/>
            <a:graphic xmlns:a="http://schemas.openxmlformats.org/drawingml/2006/main">
              <a:graphicData uri="http://schemas.openxmlformats.org/drawingml/2006/picture">
                <pic:pic xmlns:pic="http://schemas.openxmlformats.org/drawingml/2006/picture">
                  <pic:nvPicPr>
                    <pic:cNvPr id="22" name="图片 22" descr="微信图片_2020040816462413"/>
                    <pic:cNvPicPr/>
                  </pic:nvPicPr>
                  <pic:blipFill>
                    <a:blip r:embed="rId32"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09152" behindDoc="0" locked="0" layoutInCell="1" allowOverlap="1">
            <wp:simplePos x="0" y="0"/>
            <wp:positionH relativeFrom="column">
              <wp:posOffset>38100</wp:posOffset>
            </wp:positionH>
            <wp:positionV relativeFrom="paragraph">
              <wp:posOffset>158750</wp:posOffset>
            </wp:positionV>
            <wp:extent cx="2771775" cy="2376170"/>
            <wp:effectExtent l="0" t="0" r="9525" b="5080"/>
            <wp:wrapNone/>
            <wp:docPr id="23" name="图片 23" descr="微信图片_2020040816462412"/>
            <wp:cNvGraphicFramePr/>
            <a:graphic xmlns:a="http://schemas.openxmlformats.org/drawingml/2006/main">
              <a:graphicData uri="http://schemas.openxmlformats.org/drawingml/2006/picture">
                <pic:pic xmlns:pic="http://schemas.openxmlformats.org/drawingml/2006/picture">
                  <pic:nvPicPr>
                    <pic:cNvPr id="23" name="图片 23" descr="微信图片_2020040816462412"/>
                    <pic:cNvPicPr/>
                  </pic:nvPicPr>
                  <pic:blipFill>
                    <a:blip r:embed="rId33"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估价对象包间实景照片一              估价对象包间实景照片二</w:t>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11200" behindDoc="0" locked="0" layoutInCell="1" allowOverlap="1">
            <wp:simplePos x="0" y="0"/>
            <wp:positionH relativeFrom="column">
              <wp:posOffset>3076575</wp:posOffset>
            </wp:positionH>
            <wp:positionV relativeFrom="paragraph">
              <wp:posOffset>34925</wp:posOffset>
            </wp:positionV>
            <wp:extent cx="2771775" cy="2376170"/>
            <wp:effectExtent l="0" t="0" r="9525" b="5080"/>
            <wp:wrapNone/>
            <wp:docPr id="27" name="图片 27" descr="微信图片_2020040816462410"/>
            <wp:cNvGraphicFramePr/>
            <a:graphic xmlns:a="http://schemas.openxmlformats.org/drawingml/2006/main">
              <a:graphicData uri="http://schemas.openxmlformats.org/drawingml/2006/picture">
                <pic:pic xmlns:pic="http://schemas.openxmlformats.org/drawingml/2006/picture">
                  <pic:nvPicPr>
                    <pic:cNvPr id="27" name="图片 27" descr="微信图片_2020040816462410"/>
                    <pic:cNvPicPr/>
                  </pic:nvPicPr>
                  <pic:blipFill>
                    <a:blip r:embed="rId34"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10176" behindDoc="0" locked="0" layoutInCell="1" allowOverlap="1">
            <wp:simplePos x="0" y="0"/>
            <wp:positionH relativeFrom="column">
              <wp:posOffset>-19050</wp:posOffset>
            </wp:positionH>
            <wp:positionV relativeFrom="paragraph">
              <wp:posOffset>24765</wp:posOffset>
            </wp:positionV>
            <wp:extent cx="2771775" cy="2376170"/>
            <wp:effectExtent l="0" t="0" r="9525" b="5080"/>
            <wp:wrapNone/>
            <wp:docPr id="24" name="图片 24" descr="微信图片_2020040816462411"/>
            <wp:cNvGraphicFramePr/>
            <a:graphic xmlns:a="http://schemas.openxmlformats.org/drawingml/2006/main">
              <a:graphicData uri="http://schemas.openxmlformats.org/drawingml/2006/picture">
                <pic:pic xmlns:pic="http://schemas.openxmlformats.org/drawingml/2006/picture">
                  <pic:nvPicPr>
                    <pic:cNvPr id="24" name="图片 24" descr="微信图片_2020040816462411"/>
                    <pic:cNvPicPr/>
                  </pic:nvPicPr>
                  <pic:blipFill>
                    <a:blip r:embed="rId35"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估价对象包间实景照片三               估价对象包间实景照片四</w:t>
      </w: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00960" behindDoc="0" locked="0" layoutInCell="1" allowOverlap="1">
            <wp:simplePos x="0" y="0"/>
            <wp:positionH relativeFrom="column">
              <wp:posOffset>3095625</wp:posOffset>
            </wp:positionH>
            <wp:positionV relativeFrom="paragraph">
              <wp:posOffset>127000</wp:posOffset>
            </wp:positionV>
            <wp:extent cx="2771775" cy="2376170"/>
            <wp:effectExtent l="0" t="0" r="9525" b="5080"/>
            <wp:wrapNone/>
            <wp:docPr id="15" name="图片 15" descr="微信图片_2020040816462420"/>
            <wp:cNvGraphicFramePr/>
            <a:graphic xmlns:a="http://schemas.openxmlformats.org/drawingml/2006/main">
              <a:graphicData uri="http://schemas.openxmlformats.org/drawingml/2006/picture">
                <pic:pic xmlns:pic="http://schemas.openxmlformats.org/drawingml/2006/picture">
                  <pic:nvPicPr>
                    <pic:cNvPr id="15" name="图片 15" descr="微信图片_2020040816462420"/>
                    <pic:cNvPicPr/>
                  </pic:nvPicPr>
                  <pic:blipFill>
                    <a:blip r:embed="rId36"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03008" behindDoc="0" locked="0" layoutInCell="1" allowOverlap="1">
            <wp:simplePos x="0" y="0"/>
            <wp:positionH relativeFrom="column">
              <wp:posOffset>-19050</wp:posOffset>
            </wp:positionH>
            <wp:positionV relativeFrom="paragraph">
              <wp:posOffset>99695</wp:posOffset>
            </wp:positionV>
            <wp:extent cx="2771775" cy="2376170"/>
            <wp:effectExtent l="0" t="0" r="9525" b="5080"/>
            <wp:wrapNone/>
            <wp:docPr id="17" name="图片 17" descr="微信图片_2020040816462418"/>
            <wp:cNvGraphicFramePr/>
            <a:graphic xmlns:a="http://schemas.openxmlformats.org/drawingml/2006/main">
              <a:graphicData uri="http://schemas.openxmlformats.org/drawingml/2006/picture">
                <pic:pic xmlns:pic="http://schemas.openxmlformats.org/drawingml/2006/picture">
                  <pic:nvPicPr>
                    <pic:cNvPr id="17" name="图片 17" descr="微信图片_2020040816462418"/>
                    <pic:cNvPicPr/>
                  </pic:nvPicPr>
                  <pic:blipFill>
                    <a:blip r:embed="rId37"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估价对象院心实景照片五           估价对象院心实景照片六</w:t>
      </w: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05056" behindDoc="0" locked="0" layoutInCell="1" allowOverlap="1">
            <wp:simplePos x="0" y="0"/>
            <wp:positionH relativeFrom="column">
              <wp:posOffset>1657350</wp:posOffset>
            </wp:positionH>
            <wp:positionV relativeFrom="paragraph">
              <wp:posOffset>117475</wp:posOffset>
            </wp:positionV>
            <wp:extent cx="2771775" cy="2160270"/>
            <wp:effectExtent l="0" t="0" r="9525" b="11430"/>
            <wp:wrapNone/>
            <wp:docPr id="19" name="图片 19" descr="微信图片_2020040816462416"/>
            <wp:cNvGraphicFramePr/>
            <a:graphic xmlns:a="http://schemas.openxmlformats.org/drawingml/2006/main">
              <a:graphicData uri="http://schemas.openxmlformats.org/drawingml/2006/picture">
                <pic:pic xmlns:pic="http://schemas.openxmlformats.org/drawingml/2006/picture">
                  <pic:nvPicPr>
                    <pic:cNvPr id="19" name="图片 19" descr="微信图片_2020040816462416"/>
                    <pic:cNvPicPr/>
                  </pic:nvPicPr>
                  <pic:blipFill>
                    <a:blip r:embed="rId38" cstate="print"/>
                    <a:stretch>
                      <a:fillRect/>
                    </a:stretch>
                  </pic:blipFill>
                  <pic:spPr>
                    <a:xfrm>
                      <a:off x="0" y="0"/>
                      <a:ext cx="2771775" cy="21602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估价对象院心实景照片七</w:t>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06080" behindDoc="0" locked="0" layoutInCell="1" allowOverlap="1">
            <wp:simplePos x="0" y="0"/>
            <wp:positionH relativeFrom="column">
              <wp:posOffset>3190875</wp:posOffset>
            </wp:positionH>
            <wp:positionV relativeFrom="paragraph">
              <wp:posOffset>175895</wp:posOffset>
            </wp:positionV>
            <wp:extent cx="2771775" cy="2376170"/>
            <wp:effectExtent l="0" t="0" r="9525" b="5080"/>
            <wp:wrapNone/>
            <wp:docPr id="20" name="图片 20" descr="微信图片_2020040816462415"/>
            <wp:cNvGraphicFramePr/>
            <a:graphic xmlns:a="http://schemas.openxmlformats.org/drawingml/2006/main">
              <a:graphicData uri="http://schemas.openxmlformats.org/drawingml/2006/picture">
                <pic:pic xmlns:pic="http://schemas.openxmlformats.org/drawingml/2006/picture">
                  <pic:nvPicPr>
                    <pic:cNvPr id="20" name="图片 20" descr="微信图片_2020040816462415"/>
                    <pic:cNvPicPr/>
                  </pic:nvPicPr>
                  <pic:blipFill>
                    <a:blip r:embed="rId39"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04032" behindDoc="0" locked="0" layoutInCell="1" allowOverlap="1">
            <wp:simplePos x="0" y="0"/>
            <wp:positionH relativeFrom="column">
              <wp:posOffset>114300</wp:posOffset>
            </wp:positionH>
            <wp:positionV relativeFrom="paragraph">
              <wp:posOffset>147320</wp:posOffset>
            </wp:positionV>
            <wp:extent cx="2771775" cy="2376170"/>
            <wp:effectExtent l="0" t="0" r="9525" b="5080"/>
            <wp:wrapNone/>
            <wp:docPr id="18" name="图片 18" descr="微信图片_2020040816462417"/>
            <wp:cNvGraphicFramePr/>
            <a:graphic xmlns:a="http://schemas.openxmlformats.org/drawingml/2006/main">
              <a:graphicData uri="http://schemas.openxmlformats.org/drawingml/2006/picture">
                <pic:pic xmlns:pic="http://schemas.openxmlformats.org/drawingml/2006/picture">
                  <pic:nvPicPr>
                    <pic:cNvPr id="18" name="图片 18" descr="微信图片_2020040816462417"/>
                    <pic:cNvPicPr/>
                  </pic:nvPicPr>
                  <pic:blipFill>
                    <a:blip r:embed="rId40"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估价对象简易房实景照片              估价对象厕所实景照片</w:t>
      </w: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12224" behindDoc="0" locked="0" layoutInCell="1" allowOverlap="1">
            <wp:simplePos x="0" y="0"/>
            <wp:positionH relativeFrom="column">
              <wp:posOffset>1619250</wp:posOffset>
            </wp:positionH>
            <wp:positionV relativeFrom="paragraph">
              <wp:posOffset>50165</wp:posOffset>
            </wp:positionV>
            <wp:extent cx="2771775" cy="2376170"/>
            <wp:effectExtent l="0" t="0" r="9525" b="5080"/>
            <wp:wrapNone/>
            <wp:docPr id="28" name="图片 28" descr="微信图片_202004081646249"/>
            <wp:cNvGraphicFramePr/>
            <a:graphic xmlns:a="http://schemas.openxmlformats.org/drawingml/2006/main">
              <a:graphicData uri="http://schemas.openxmlformats.org/drawingml/2006/picture">
                <pic:pic xmlns:pic="http://schemas.openxmlformats.org/drawingml/2006/picture">
                  <pic:nvPicPr>
                    <pic:cNvPr id="28" name="图片 28" descr="微信图片_202004081646249"/>
                    <pic:cNvPicPr/>
                  </pic:nvPicPr>
                  <pic:blipFill>
                    <a:blip r:embed="rId41"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估价对象车棚实景照片</w:t>
      </w: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drawing>
          <wp:anchor distT="0" distB="0" distL="114300" distR="114300" simplePos="0" relativeHeight="252222464" behindDoc="0" locked="0" layoutInCell="1" allowOverlap="1">
            <wp:simplePos x="0" y="0"/>
            <wp:positionH relativeFrom="column">
              <wp:posOffset>3105150</wp:posOffset>
            </wp:positionH>
            <wp:positionV relativeFrom="paragraph">
              <wp:posOffset>99060</wp:posOffset>
            </wp:positionV>
            <wp:extent cx="2771775" cy="2376170"/>
            <wp:effectExtent l="0" t="0" r="9525" b="5080"/>
            <wp:wrapNone/>
            <wp:docPr id="38" name="图片 38" descr="微信图片_2020040816462429"/>
            <wp:cNvGraphicFramePr/>
            <a:graphic xmlns:a="http://schemas.openxmlformats.org/drawingml/2006/main">
              <a:graphicData uri="http://schemas.openxmlformats.org/drawingml/2006/picture">
                <pic:pic xmlns:pic="http://schemas.openxmlformats.org/drawingml/2006/picture">
                  <pic:nvPicPr>
                    <pic:cNvPr id="38" name="图片 38" descr="微信图片_2020040816462429"/>
                    <pic:cNvPicPr/>
                  </pic:nvPicPr>
                  <pic:blipFill>
                    <a:blip r:embed="rId42" cstate="print"/>
                    <a:stretch>
                      <a:fillRect/>
                    </a:stretch>
                  </pic:blipFill>
                  <pic:spPr>
                    <a:xfrm>
                      <a:off x="0" y="0"/>
                      <a:ext cx="2771775" cy="2376170"/>
                    </a:xfrm>
                    <a:prstGeom prst="rect">
                      <a:avLst/>
                    </a:prstGeom>
                  </pic:spPr>
                </pic:pic>
              </a:graphicData>
            </a:graphic>
          </wp:anchor>
        </w:drawing>
      </w:r>
      <w:r>
        <w:rPr>
          <w:rFonts w:hint="eastAsia" w:ascii="宋体" w:hAnsi="宋体" w:cs="宋体"/>
          <w:color w:val="auto"/>
          <w:sz w:val="24"/>
          <w:szCs w:val="24"/>
        </w:rPr>
        <w:drawing>
          <wp:anchor distT="0" distB="0" distL="114300" distR="114300" simplePos="0" relativeHeight="252223488" behindDoc="0" locked="0" layoutInCell="1" allowOverlap="1">
            <wp:simplePos x="0" y="0"/>
            <wp:positionH relativeFrom="column">
              <wp:posOffset>28575</wp:posOffset>
            </wp:positionH>
            <wp:positionV relativeFrom="paragraph">
              <wp:posOffset>79375</wp:posOffset>
            </wp:positionV>
            <wp:extent cx="2771775" cy="2376170"/>
            <wp:effectExtent l="0" t="0" r="9525" b="5080"/>
            <wp:wrapNone/>
            <wp:docPr id="39" name="图片 39" descr="微信图片_2020040816462430"/>
            <wp:cNvGraphicFramePr/>
            <a:graphic xmlns:a="http://schemas.openxmlformats.org/drawingml/2006/main">
              <a:graphicData uri="http://schemas.openxmlformats.org/drawingml/2006/picture">
                <pic:pic xmlns:pic="http://schemas.openxmlformats.org/drawingml/2006/picture">
                  <pic:nvPicPr>
                    <pic:cNvPr id="39" name="图片 39" descr="微信图片_2020040816462430"/>
                    <pic:cNvPicPr/>
                  </pic:nvPicPr>
                  <pic:blipFill>
                    <a:blip r:embed="rId43" cstate="print"/>
                    <a:stretch>
                      <a:fillRect/>
                    </a:stretch>
                  </pic:blipFill>
                  <pic:spPr>
                    <a:xfrm>
                      <a:off x="0" y="0"/>
                      <a:ext cx="2771775" cy="2376170"/>
                    </a:xfrm>
                    <a:prstGeom prst="rect">
                      <a:avLst/>
                    </a:prstGeom>
                  </pic:spPr>
                </pic:pic>
              </a:graphicData>
            </a:graphic>
          </wp:anchor>
        </w:drawing>
      </w: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p>
    <w:p>
      <w:pPr>
        <w:jc w:val="center"/>
        <w:rPr>
          <w:rFonts w:ascii="宋体" w:hAnsi="宋体" w:cs="宋体"/>
          <w:color w:val="auto"/>
          <w:sz w:val="24"/>
          <w:szCs w:val="24"/>
        </w:rPr>
      </w:pPr>
      <w:r>
        <w:rPr>
          <w:rFonts w:hint="eastAsia" w:ascii="宋体" w:hAnsi="宋体" w:cs="宋体"/>
          <w:color w:val="auto"/>
          <w:sz w:val="24"/>
          <w:szCs w:val="24"/>
        </w:rPr>
        <w:t>估价对象砖木房室内实景照片一              估价对象砖木房室内实景照片二</w:t>
      </w:r>
    </w:p>
    <w:p>
      <w:pPr>
        <w:jc w:val="center"/>
        <w:rPr>
          <w:rFonts w:ascii="宋体" w:hAnsi="宋体" w:cs="宋体"/>
          <w:color w:val="auto"/>
          <w:sz w:val="24"/>
          <w:szCs w:val="24"/>
        </w:rPr>
      </w:pPr>
    </w:p>
    <w:sectPr>
      <w:pgSz w:w="11906" w:h="16838"/>
      <w:pgMar w:top="1077" w:right="1361" w:bottom="1134" w:left="1304" w:header="851" w:footer="85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0000000000000000000"/>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separate"/>
    </w:r>
    <w:r>
      <w:rPr>
        <w:rStyle w:val="24"/>
      </w:rPr>
      <w:t>5</w:t>
    </w:r>
    <w:r>
      <w:fldChar w:fldCharType="end"/>
    </w:r>
  </w:p>
  <w:p>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- 3 -</w:t>
    </w:r>
    <w:r>
      <w:rPr>
        <w:rStyle w:val="24"/>
      </w:rPr>
      <w:fldChar w:fldCharType="end"/>
    </w:r>
  </w:p>
  <w:p>
    <w:pPr>
      <w:pStyle w:val="1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- 14 -</w:t>
    </w:r>
    <w:r>
      <w:rPr>
        <w:rStyle w:val="24"/>
      </w:rPr>
      <w:fldChar w:fldCharType="end"/>
    </w:r>
  </w:p>
  <w:p>
    <w:pPr>
      <w:pStyle w:val="1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文本框 27" o:spid="_x0000_s2051" o:spt="202" type="#_x0000_t202" style="position:absolute;left:0pt;margin-top:0pt;height:144pt;width:144pt;mso-position-horizontal:center;mso-position-horizontal-relative:margin;mso-wrap-style:none;z-index:252804096;mso-width-relative:page;mso-height-relative:page;" filled="f" stroked="f" coordsize="21600,21600">
          <v:path/>
          <v:fill on="f" focussize="0,0"/>
          <v:stroke on="f" joinstyle="miter"/>
          <v:imagedata o:title=""/>
          <o:lock v:ext="edit"/>
          <v:textbox inset="0mm,0mm,0mm,0mm" style="mso-fit-shape-to-text:t;">
            <w:txbxContent>
              <w:p>
                <w:pPr>
                  <w:pStyle w:val="13"/>
                </w:pPr>
                <w:r>
                  <w:fldChar w:fldCharType="begin"/>
                </w:r>
                <w:r>
                  <w:instrText xml:space="preserve"> PAGE  \* MERGEFORMAT </w:instrText>
                </w:r>
                <w:r>
                  <w:fldChar w:fldCharType="separate"/>
                </w:r>
                <w:r>
                  <w:t>25</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文本框 28" o:spid="_x0000_s2052" o:spt="202" type="#_x0000_t202" style="position:absolute;left:0pt;margin-top:0pt;height:144pt;width:144pt;mso-position-horizontal:center;mso-position-horizontal-relative:margin;mso-wrap-style:none;z-index:252805120;mso-width-relative:page;mso-height-relative:page;" filled="f" stroked="f" coordsize="21600,21600">
          <v:path/>
          <v:fill on="f" focussize="0,0"/>
          <v:stroke on="f" joinstyle="miter"/>
          <v:imagedata o:title=""/>
          <o:lock v:ext="edit"/>
          <v:textbox inset="0mm,0mm,0mm,0mm" style="mso-fit-shape-to-text:t;">
            <w:txbxContent>
              <w:p>
                <w:pPr>
                  <w:pStyle w:val="13"/>
                </w:pPr>
                <w:r>
                  <w:fldChar w:fldCharType="begin"/>
                </w:r>
                <w:r>
                  <w:instrText xml:space="preserve"> PAGE  \* MERGEFORMAT </w:instrText>
                </w:r>
                <w:r>
                  <w:fldChar w:fldCharType="separate"/>
                </w:r>
                <w:r>
                  <w:t>38</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end"/>
    </w:r>
  </w:p>
  <w:p>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- 50 -</w:t>
    </w:r>
    <w:r>
      <w:rPr>
        <w:rStyle w:val="24"/>
      </w:rPr>
      <w:fldChar w:fldCharType="end"/>
    </w:r>
  </w:p>
  <w:p>
    <w:pPr>
      <w:pStyle w:val="1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4378BD"/>
    <w:multiLevelType w:val="singleLevel"/>
    <w:tmpl w:val="994378BD"/>
    <w:lvl w:ilvl="0" w:tentative="0">
      <w:start w:val="7"/>
      <w:numFmt w:val="decimal"/>
      <w:suff w:val="nothing"/>
      <w:lvlText w:val="（%1）"/>
      <w:lvlJc w:val="left"/>
    </w:lvl>
  </w:abstractNum>
  <w:abstractNum w:abstractNumId="1">
    <w:nsid w:val="B1232D82"/>
    <w:multiLevelType w:val="singleLevel"/>
    <w:tmpl w:val="B1232D82"/>
    <w:lvl w:ilvl="0" w:tentative="0">
      <w:start w:val="2"/>
      <w:numFmt w:val="decimal"/>
      <w:suff w:val="nothing"/>
      <w:lvlText w:val="%1、"/>
      <w:lvlJc w:val="left"/>
    </w:lvl>
  </w:abstractNum>
  <w:abstractNum w:abstractNumId="2">
    <w:nsid w:val="D4E8C5A6"/>
    <w:multiLevelType w:val="singleLevel"/>
    <w:tmpl w:val="D4E8C5A6"/>
    <w:lvl w:ilvl="0" w:tentative="0">
      <w:start w:val="5"/>
      <w:numFmt w:val="upperLetter"/>
      <w:suff w:val="nothing"/>
      <w:lvlText w:val="%1、"/>
      <w:lvlJc w:val="left"/>
    </w:lvl>
  </w:abstractNum>
  <w:abstractNum w:abstractNumId="3">
    <w:nsid w:val="03396D5F"/>
    <w:multiLevelType w:val="singleLevel"/>
    <w:tmpl w:val="03396D5F"/>
    <w:lvl w:ilvl="0" w:tentative="0">
      <w:start w:val="4"/>
      <w:numFmt w:val="decimal"/>
      <w:suff w:val="nothing"/>
      <w:lvlText w:val="%1、"/>
      <w:lvlJc w:val="left"/>
    </w:lvl>
  </w:abstractNum>
  <w:abstractNum w:abstractNumId="4">
    <w:nsid w:val="2C73ADC4"/>
    <w:multiLevelType w:val="singleLevel"/>
    <w:tmpl w:val="2C73ADC4"/>
    <w:lvl w:ilvl="0" w:tentative="0">
      <w:start w:val="11"/>
      <w:numFmt w:val="chineseCounting"/>
      <w:suff w:val="nothing"/>
      <w:lvlText w:val="%1、"/>
      <w:lvlJc w:val="left"/>
      <w:rPr>
        <w:rFonts w:hint="eastAsia"/>
      </w:rPr>
    </w:lvl>
  </w:abstractNum>
  <w:abstractNum w:abstractNumId="5">
    <w:nsid w:val="435C1EEB"/>
    <w:multiLevelType w:val="singleLevel"/>
    <w:tmpl w:val="435C1EEB"/>
    <w:lvl w:ilvl="0" w:tentative="0">
      <w:start w:val="2"/>
      <w:numFmt w:val="decimal"/>
      <w:suff w:val="nothing"/>
      <w:lvlText w:val="（%1）"/>
      <w:lvlJc w:val="left"/>
    </w:lvl>
  </w:abstractNum>
  <w:abstractNum w:abstractNumId="6">
    <w:nsid w:val="4F39F47E"/>
    <w:multiLevelType w:val="singleLevel"/>
    <w:tmpl w:val="4F39F47E"/>
    <w:lvl w:ilvl="0" w:tentative="0">
      <w:start w:val="2"/>
      <w:numFmt w:val="chineseCounting"/>
      <w:suff w:val="nothing"/>
      <w:lvlText w:val="（%1）"/>
      <w:lvlJc w:val="left"/>
      <w:rPr>
        <w:rFonts w:hint="eastAsia"/>
      </w:rPr>
    </w:lvl>
  </w:abstractNum>
  <w:num w:numId="1">
    <w:abstractNumId w:val="4"/>
  </w:num>
  <w:num w:numId="2">
    <w:abstractNumId w:val="5"/>
  </w:num>
  <w:num w:numId="3">
    <w:abstractNumId w:val="1"/>
  </w:num>
  <w:num w:numId="4">
    <w:abstractNumId w:val="6"/>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D10BD"/>
    <w:rsid w:val="000028F7"/>
    <w:rsid w:val="00007B49"/>
    <w:rsid w:val="00010507"/>
    <w:rsid w:val="000107D3"/>
    <w:rsid w:val="00012798"/>
    <w:rsid w:val="00013A8F"/>
    <w:rsid w:val="00014997"/>
    <w:rsid w:val="000154F0"/>
    <w:rsid w:val="00020208"/>
    <w:rsid w:val="000225B0"/>
    <w:rsid w:val="00023ABB"/>
    <w:rsid w:val="000250CE"/>
    <w:rsid w:val="00031ABA"/>
    <w:rsid w:val="00045316"/>
    <w:rsid w:val="000470A3"/>
    <w:rsid w:val="00052071"/>
    <w:rsid w:val="00054F4E"/>
    <w:rsid w:val="000558F0"/>
    <w:rsid w:val="00055DC5"/>
    <w:rsid w:val="000565F8"/>
    <w:rsid w:val="0006094E"/>
    <w:rsid w:val="0006311D"/>
    <w:rsid w:val="00063794"/>
    <w:rsid w:val="000637F7"/>
    <w:rsid w:val="0006411F"/>
    <w:rsid w:val="000709C0"/>
    <w:rsid w:val="00070B08"/>
    <w:rsid w:val="000739C1"/>
    <w:rsid w:val="000747CA"/>
    <w:rsid w:val="0007549B"/>
    <w:rsid w:val="000826FE"/>
    <w:rsid w:val="00083A79"/>
    <w:rsid w:val="00085377"/>
    <w:rsid w:val="00091F08"/>
    <w:rsid w:val="00093E61"/>
    <w:rsid w:val="000A0190"/>
    <w:rsid w:val="000A37CC"/>
    <w:rsid w:val="000A513E"/>
    <w:rsid w:val="000A6C10"/>
    <w:rsid w:val="000B17CB"/>
    <w:rsid w:val="000B1C84"/>
    <w:rsid w:val="000C5B6E"/>
    <w:rsid w:val="000D18E0"/>
    <w:rsid w:val="000D1D83"/>
    <w:rsid w:val="000D20C1"/>
    <w:rsid w:val="000D61BD"/>
    <w:rsid w:val="000E08EA"/>
    <w:rsid w:val="000E15A9"/>
    <w:rsid w:val="000E2145"/>
    <w:rsid w:val="000E44A4"/>
    <w:rsid w:val="000E6653"/>
    <w:rsid w:val="000E7C87"/>
    <w:rsid w:val="000F06B3"/>
    <w:rsid w:val="000F2402"/>
    <w:rsid w:val="000F2D06"/>
    <w:rsid w:val="000F7E99"/>
    <w:rsid w:val="001002A3"/>
    <w:rsid w:val="00110511"/>
    <w:rsid w:val="001166BA"/>
    <w:rsid w:val="00126CB6"/>
    <w:rsid w:val="00126F5B"/>
    <w:rsid w:val="001279CB"/>
    <w:rsid w:val="00130426"/>
    <w:rsid w:val="0013060E"/>
    <w:rsid w:val="00132042"/>
    <w:rsid w:val="0013207A"/>
    <w:rsid w:val="001320AA"/>
    <w:rsid w:val="001358BB"/>
    <w:rsid w:val="00140F9B"/>
    <w:rsid w:val="00142E8C"/>
    <w:rsid w:val="00145BFE"/>
    <w:rsid w:val="00146180"/>
    <w:rsid w:val="00146365"/>
    <w:rsid w:val="00154248"/>
    <w:rsid w:val="001557E1"/>
    <w:rsid w:val="001602F3"/>
    <w:rsid w:val="00162399"/>
    <w:rsid w:val="001663EF"/>
    <w:rsid w:val="00167653"/>
    <w:rsid w:val="001724C7"/>
    <w:rsid w:val="00172C3E"/>
    <w:rsid w:val="00174B29"/>
    <w:rsid w:val="001761A0"/>
    <w:rsid w:val="001773D6"/>
    <w:rsid w:val="00181892"/>
    <w:rsid w:val="00181FC6"/>
    <w:rsid w:val="00183FC5"/>
    <w:rsid w:val="00185A63"/>
    <w:rsid w:val="00185FD6"/>
    <w:rsid w:val="00187142"/>
    <w:rsid w:val="001900E6"/>
    <w:rsid w:val="00190675"/>
    <w:rsid w:val="001907D1"/>
    <w:rsid w:val="001938ED"/>
    <w:rsid w:val="0019436D"/>
    <w:rsid w:val="00194459"/>
    <w:rsid w:val="00196D3F"/>
    <w:rsid w:val="001A0D8D"/>
    <w:rsid w:val="001A4B84"/>
    <w:rsid w:val="001A53B6"/>
    <w:rsid w:val="001A6A70"/>
    <w:rsid w:val="001B01B4"/>
    <w:rsid w:val="001B01E3"/>
    <w:rsid w:val="001B190A"/>
    <w:rsid w:val="001B19AE"/>
    <w:rsid w:val="001C1709"/>
    <w:rsid w:val="001C2423"/>
    <w:rsid w:val="001C276A"/>
    <w:rsid w:val="001C4084"/>
    <w:rsid w:val="001C7098"/>
    <w:rsid w:val="001D04DA"/>
    <w:rsid w:val="001D40CC"/>
    <w:rsid w:val="001D4391"/>
    <w:rsid w:val="001D541E"/>
    <w:rsid w:val="001D5ED5"/>
    <w:rsid w:val="001E0241"/>
    <w:rsid w:val="001E1EF0"/>
    <w:rsid w:val="001E40AA"/>
    <w:rsid w:val="001E51B4"/>
    <w:rsid w:val="001E5921"/>
    <w:rsid w:val="001E5B53"/>
    <w:rsid w:val="001E6248"/>
    <w:rsid w:val="001F1038"/>
    <w:rsid w:val="001F34FC"/>
    <w:rsid w:val="001F3536"/>
    <w:rsid w:val="0020099E"/>
    <w:rsid w:val="00201AF7"/>
    <w:rsid w:val="00205D76"/>
    <w:rsid w:val="0021112C"/>
    <w:rsid w:val="00213F69"/>
    <w:rsid w:val="00214DF0"/>
    <w:rsid w:val="00215C8D"/>
    <w:rsid w:val="00220B96"/>
    <w:rsid w:val="00221C57"/>
    <w:rsid w:val="00225A46"/>
    <w:rsid w:val="00226144"/>
    <w:rsid w:val="00230FE3"/>
    <w:rsid w:val="002322CA"/>
    <w:rsid w:val="00237871"/>
    <w:rsid w:val="00237A6B"/>
    <w:rsid w:val="0024061E"/>
    <w:rsid w:val="002419B9"/>
    <w:rsid w:val="00241F9F"/>
    <w:rsid w:val="002454E7"/>
    <w:rsid w:val="00245582"/>
    <w:rsid w:val="00247978"/>
    <w:rsid w:val="00247BDD"/>
    <w:rsid w:val="002537D9"/>
    <w:rsid w:val="00253DB0"/>
    <w:rsid w:val="00254E0F"/>
    <w:rsid w:val="00262DA9"/>
    <w:rsid w:val="002637D8"/>
    <w:rsid w:val="00267E5C"/>
    <w:rsid w:val="0028191E"/>
    <w:rsid w:val="00282ECE"/>
    <w:rsid w:val="00283383"/>
    <w:rsid w:val="00283A57"/>
    <w:rsid w:val="00284C1C"/>
    <w:rsid w:val="00287B9B"/>
    <w:rsid w:val="00292665"/>
    <w:rsid w:val="002A1BE2"/>
    <w:rsid w:val="002A24EE"/>
    <w:rsid w:val="002A577F"/>
    <w:rsid w:val="002A629B"/>
    <w:rsid w:val="002A73A7"/>
    <w:rsid w:val="002B0D57"/>
    <w:rsid w:val="002B3EFF"/>
    <w:rsid w:val="002B72B2"/>
    <w:rsid w:val="002C1AF7"/>
    <w:rsid w:val="002C40F7"/>
    <w:rsid w:val="002C6206"/>
    <w:rsid w:val="002D1FA1"/>
    <w:rsid w:val="002E263B"/>
    <w:rsid w:val="002E2BB7"/>
    <w:rsid w:val="002E4BD9"/>
    <w:rsid w:val="002F0B12"/>
    <w:rsid w:val="002F2442"/>
    <w:rsid w:val="002F5064"/>
    <w:rsid w:val="003007B8"/>
    <w:rsid w:val="003041D9"/>
    <w:rsid w:val="00304B12"/>
    <w:rsid w:val="00305EBC"/>
    <w:rsid w:val="0030657D"/>
    <w:rsid w:val="00311BE1"/>
    <w:rsid w:val="00315750"/>
    <w:rsid w:val="0032049E"/>
    <w:rsid w:val="00321F52"/>
    <w:rsid w:val="003240D9"/>
    <w:rsid w:val="00331D16"/>
    <w:rsid w:val="003348C2"/>
    <w:rsid w:val="00335789"/>
    <w:rsid w:val="003423A7"/>
    <w:rsid w:val="00354EBE"/>
    <w:rsid w:val="003573BA"/>
    <w:rsid w:val="00357514"/>
    <w:rsid w:val="00360BC2"/>
    <w:rsid w:val="00361598"/>
    <w:rsid w:val="00370686"/>
    <w:rsid w:val="00372AED"/>
    <w:rsid w:val="00380C83"/>
    <w:rsid w:val="00384486"/>
    <w:rsid w:val="00395938"/>
    <w:rsid w:val="00397325"/>
    <w:rsid w:val="003975D4"/>
    <w:rsid w:val="003B1286"/>
    <w:rsid w:val="003B794E"/>
    <w:rsid w:val="003C22C2"/>
    <w:rsid w:val="003C2C96"/>
    <w:rsid w:val="003C318F"/>
    <w:rsid w:val="003C435F"/>
    <w:rsid w:val="003C4CAD"/>
    <w:rsid w:val="003C6392"/>
    <w:rsid w:val="003C78EB"/>
    <w:rsid w:val="003D0E1F"/>
    <w:rsid w:val="003D2624"/>
    <w:rsid w:val="003D4E80"/>
    <w:rsid w:val="003D5388"/>
    <w:rsid w:val="003E0F53"/>
    <w:rsid w:val="003E2225"/>
    <w:rsid w:val="003E2360"/>
    <w:rsid w:val="003E302C"/>
    <w:rsid w:val="003E6B09"/>
    <w:rsid w:val="003E6C0C"/>
    <w:rsid w:val="003F1C73"/>
    <w:rsid w:val="003F41E1"/>
    <w:rsid w:val="003F4410"/>
    <w:rsid w:val="003F6095"/>
    <w:rsid w:val="003F681F"/>
    <w:rsid w:val="003F6EB9"/>
    <w:rsid w:val="003F7276"/>
    <w:rsid w:val="00402158"/>
    <w:rsid w:val="004038D8"/>
    <w:rsid w:val="004056AF"/>
    <w:rsid w:val="00411C11"/>
    <w:rsid w:val="00413E64"/>
    <w:rsid w:val="00414BEF"/>
    <w:rsid w:val="004160A5"/>
    <w:rsid w:val="00416404"/>
    <w:rsid w:val="004206E7"/>
    <w:rsid w:val="00423F9F"/>
    <w:rsid w:val="004257E3"/>
    <w:rsid w:val="0043007A"/>
    <w:rsid w:val="00430616"/>
    <w:rsid w:val="004307B1"/>
    <w:rsid w:val="00434C02"/>
    <w:rsid w:val="00436C52"/>
    <w:rsid w:val="00437A69"/>
    <w:rsid w:val="00440AC1"/>
    <w:rsid w:val="00441555"/>
    <w:rsid w:val="004418F4"/>
    <w:rsid w:val="004455C9"/>
    <w:rsid w:val="0045499F"/>
    <w:rsid w:val="00457B23"/>
    <w:rsid w:val="00461EB2"/>
    <w:rsid w:val="0046666B"/>
    <w:rsid w:val="00467453"/>
    <w:rsid w:val="00467478"/>
    <w:rsid w:val="004717AC"/>
    <w:rsid w:val="004718BA"/>
    <w:rsid w:val="004746BB"/>
    <w:rsid w:val="00476352"/>
    <w:rsid w:val="00477813"/>
    <w:rsid w:val="00481660"/>
    <w:rsid w:val="00484C60"/>
    <w:rsid w:val="00487958"/>
    <w:rsid w:val="004902DF"/>
    <w:rsid w:val="00490DCF"/>
    <w:rsid w:val="00492FCB"/>
    <w:rsid w:val="00495D8C"/>
    <w:rsid w:val="004A1736"/>
    <w:rsid w:val="004A1F8D"/>
    <w:rsid w:val="004A4B6F"/>
    <w:rsid w:val="004B02FD"/>
    <w:rsid w:val="004B068C"/>
    <w:rsid w:val="004B1721"/>
    <w:rsid w:val="004B24A5"/>
    <w:rsid w:val="004B5CBA"/>
    <w:rsid w:val="004C3098"/>
    <w:rsid w:val="004C5146"/>
    <w:rsid w:val="004D051D"/>
    <w:rsid w:val="004D1399"/>
    <w:rsid w:val="004E1E02"/>
    <w:rsid w:val="004E20B6"/>
    <w:rsid w:val="004E743B"/>
    <w:rsid w:val="004F0250"/>
    <w:rsid w:val="004F3D5C"/>
    <w:rsid w:val="004F4406"/>
    <w:rsid w:val="004F55E4"/>
    <w:rsid w:val="004F5C76"/>
    <w:rsid w:val="004F6F27"/>
    <w:rsid w:val="00500D02"/>
    <w:rsid w:val="00501858"/>
    <w:rsid w:val="00502722"/>
    <w:rsid w:val="00505FBF"/>
    <w:rsid w:val="00514F03"/>
    <w:rsid w:val="00515E15"/>
    <w:rsid w:val="00515F58"/>
    <w:rsid w:val="00517148"/>
    <w:rsid w:val="0051757C"/>
    <w:rsid w:val="00521C8B"/>
    <w:rsid w:val="00524270"/>
    <w:rsid w:val="00527723"/>
    <w:rsid w:val="00527CC1"/>
    <w:rsid w:val="0054078E"/>
    <w:rsid w:val="00541898"/>
    <w:rsid w:val="00551FA6"/>
    <w:rsid w:val="00553AFD"/>
    <w:rsid w:val="005559E5"/>
    <w:rsid w:val="005573EF"/>
    <w:rsid w:val="00557C81"/>
    <w:rsid w:val="00560594"/>
    <w:rsid w:val="00562212"/>
    <w:rsid w:val="0056383A"/>
    <w:rsid w:val="00566087"/>
    <w:rsid w:val="00566283"/>
    <w:rsid w:val="00567C8B"/>
    <w:rsid w:val="00574D29"/>
    <w:rsid w:val="005848A8"/>
    <w:rsid w:val="00584FC7"/>
    <w:rsid w:val="00590BF9"/>
    <w:rsid w:val="00592930"/>
    <w:rsid w:val="00592986"/>
    <w:rsid w:val="005952D2"/>
    <w:rsid w:val="00597950"/>
    <w:rsid w:val="005A1E67"/>
    <w:rsid w:val="005A2789"/>
    <w:rsid w:val="005A3943"/>
    <w:rsid w:val="005A5D19"/>
    <w:rsid w:val="005B0B24"/>
    <w:rsid w:val="005B2CF4"/>
    <w:rsid w:val="005B60D6"/>
    <w:rsid w:val="005C29AC"/>
    <w:rsid w:val="005C4DCE"/>
    <w:rsid w:val="005C6884"/>
    <w:rsid w:val="005D064E"/>
    <w:rsid w:val="005D10BD"/>
    <w:rsid w:val="005D191C"/>
    <w:rsid w:val="005D482E"/>
    <w:rsid w:val="005E224E"/>
    <w:rsid w:val="005E418E"/>
    <w:rsid w:val="005E6121"/>
    <w:rsid w:val="005F08F2"/>
    <w:rsid w:val="005F2E66"/>
    <w:rsid w:val="005F3B07"/>
    <w:rsid w:val="005F4FAD"/>
    <w:rsid w:val="00601B25"/>
    <w:rsid w:val="00602EFC"/>
    <w:rsid w:val="0061357A"/>
    <w:rsid w:val="006147F2"/>
    <w:rsid w:val="006172F0"/>
    <w:rsid w:val="00617C41"/>
    <w:rsid w:val="0062694E"/>
    <w:rsid w:val="00627006"/>
    <w:rsid w:val="006428F4"/>
    <w:rsid w:val="0064364F"/>
    <w:rsid w:val="006523E2"/>
    <w:rsid w:val="00652DD5"/>
    <w:rsid w:val="00652FBE"/>
    <w:rsid w:val="0065535F"/>
    <w:rsid w:val="00655731"/>
    <w:rsid w:val="00656C1C"/>
    <w:rsid w:val="0065784B"/>
    <w:rsid w:val="00665ED8"/>
    <w:rsid w:val="00666220"/>
    <w:rsid w:val="00666510"/>
    <w:rsid w:val="00667A72"/>
    <w:rsid w:val="00671D53"/>
    <w:rsid w:val="00671D58"/>
    <w:rsid w:val="00677D9E"/>
    <w:rsid w:val="00682BB6"/>
    <w:rsid w:val="00683541"/>
    <w:rsid w:val="00686C2A"/>
    <w:rsid w:val="00695E4B"/>
    <w:rsid w:val="00696079"/>
    <w:rsid w:val="0069630E"/>
    <w:rsid w:val="006963AF"/>
    <w:rsid w:val="006A363E"/>
    <w:rsid w:val="006A53FA"/>
    <w:rsid w:val="006A7280"/>
    <w:rsid w:val="006A764E"/>
    <w:rsid w:val="006A7B5B"/>
    <w:rsid w:val="006A7CCA"/>
    <w:rsid w:val="006B2868"/>
    <w:rsid w:val="006B3C82"/>
    <w:rsid w:val="006B67DA"/>
    <w:rsid w:val="006C216E"/>
    <w:rsid w:val="006C56B5"/>
    <w:rsid w:val="006C6936"/>
    <w:rsid w:val="006D16E1"/>
    <w:rsid w:val="006D18BA"/>
    <w:rsid w:val="006D65BF"/>
    <w:rsid w:val="006D7C01"/>
    <w:rsid w:val="006E7A6D"/>
    <w:rsid w:val="006F2127"/>
    <w:rsid w:val="0070112A"/>
    <w:rsid w:val="00717B10"/>
    <w:rsid w:val="00730139"/>
    <w:rsid w:val="00730897"/>
    <w:rsid w:val="00730BB0"/>
    <w:rsid w:val="00732E49"/>
    <w:rsid w:val="00732FA0"/>
    <w:rsid w:val="007371C7"/>
    <w:rsid w:val="00737530"/>
    <w:rsid w:val="007378FB"/>
    <w:rsid w:val="00741188"/>
    <w:rsid w:val="00742F6C"/>
    <w:rsid w:val="00751032"/>
    <w:rsid w:val="00751D93"/>
    <w:rsid w:val="007566EF"/>
    <w:rsid w:val="00756C5C"/>
    <w:rsid w:val="00760CA6"/>
    <w:rsid w:val="00764F00"/>
    <w:rsid w:val="007659C0"/>
    <w:rsid w:val="0077035A"/>
    <w:rsid w:val="00774953"/>
    <w:rsid w:val="00777F15"/>
    <w:rsid w:val="00787FAB"/>
    <w:rsid w:val="00793EC1"/>
    <w:rsid w:val="007A0935"/>
    <w:rsid w:val="007A68E2"/>
    <w:rsid w:val="007A7552"/>
    <w:rsid w:val="007B45CC"/>
    <w:rsid w:val="007B6BC6"/>
    <w:rsid w:val="007C1A88"/>
    <w:rsid w:val="007C6187"/>
    <w:rsid w:val="007C7437"/>
    <w:rsid w:val="007D0156"/>
    <w:rsid w:val="007D5059"/>
    <w:rsid w:val="007D581E"/>
    <w:rsid w:val="007D7B1A"/>
    <w:rsid w:val="007E119F"/>
    <w:rsid w:val="007E6B43"/>
    <w:rsid w:val="007E7EBC"/>
    <w:rsid w:val="007F0218"/>
    <w:rsid w:val="007F2816"/>
    <w:rsid w:val="007F3125"/>
    <w:rsid w:val="007F3E23"/>
    <w:rsid w:val="007F4462"/>
    <w:rsid w:val="007F54F7"/>
    <w:rsid w:val="007F7441"/>
    <w:rsid w:val="00800B71"/>
    <w:rsid w:val="00802099"/>
    <w:rsid w:val="0080338B"/>
    <w:rsid w:val="008054A1"/>
    <w:rsid w:val="00812837"/>
    <w:rsid w:val="008137D7"/>
    <w:rsid w:val="00821AC1"/>
    <w:rsid w:val="008247AC"/>
    <w:rsid w:val="00831535"/>
    <w:rsid w:val="00835672"/>
    <w:rsid w:val="00846BBD"/>
    <w:rsid w:val="00847437"/>
    <w:rsid w:val="00847F03"/>
    <w:rsid w:val="00853505"/>
    <w:rsid w:val="008565CE"/>
    <w:rsid w:val="00856750"/>
    <w:rsid w:val="008570F0"/>
    <w:rsid w:val="00861D34"/>
    <w:rsid w:val="00861E1F"/>
    <w:rsid w:val="008631F9"/>
    <w:rsid w:val="00870D9F"/>
    <w:rsid w:val="008749C9"/>
    <w:rsid w:val="00875643"/>
    <w:rsid w:val="00880E3E"/>
    <w:rsid w:val="008819B7"/>
    <w:rsid w:val="008862BB"/>
    <w:rsid w:val="00891EA8"/>
    <w:rsid w:val="008963C5"/>
    <w:rsid w:val="00897141"/>
    <w:rsid w:val="008A130C"/>
    <w:rsid w:val="008A36C4"/>
    <w:rsid w:val="008A3B80"/>
    <w:rsid w:val="008A431C"/>
    <w:rsid w:val="008B29BA"/>
    <w:rsid w:val="008B2A87"/>
    <w:rsid w:val="008B43D2"/>
    <w:rsid w:val="008B5BCF"/>
    <w:rsid w:val="008C51E7"/>
    <w:rsid w:val="008D008C"/>
    <w:rsid w:val="008D0A09"/>
    <w:rsid w:val="008D1F49"/>
    <w:rsid w:val="008D46B9"/>
    <w:rsid w:val="008D59D3"/>
    <w:rsid w:val="008D79C1"/>
    <w:rsid w:val="008E1F74"/>
    <w:rsid w:val="008F406D"/>
    <w:rsid w:val="008F67D2"/>
    <w:rsid w:val="009023A2"/>
    <w:rsid w:val="00907FFE"/>
    <w:rsid w:val="00914BA5"/>
    <w:rsid w:val="009245BE"/>
    <w:rsid w:val="00924AA2"/>
    <w:rsid w:val="0092503F"/>
    <w:rsid w:val="00925F41"/>
    <w:rsid w:val="00926CF7"/>
    <w:rsid w:val="00926FE4"/>
    <w:rsid w:val="00927F54"/>
    <w:rsid w:val="0093283F"/>
    <w:rsid w:val="00932FEC"/>
    <w:rsid w:val="00933FB3"/>
    <w:rsid w:val="009412AB"/>
    <w:rsid w:val="009415FA"/>
    <w:rsid w:val="00943685"/>
    <w:rsid w:val="0094410A"/>
    <w:rsid w:val="00945AEE"/>
    <w:rsid w:val="009507FD"/>
    <w:rsid w:val="00950BC7"/>
    <w:rsid w:val="00951D62"/>
    <w:rsid w:val="00952835"/>
    <w:rsid w:val="00952A29"/>
    <w:rsid w:val="009608A5"/>
    <w:rsid w:val="00960C30"/>
    <w:rsid w:val="0096184C"/>
    <w:rsid w:val="00963111"/>
    <w:rsid w:val="00966A9A"/>
    <w:rsid w:val="00974424"/>
    <w:rsid w:val="00980C5D"/>
    <w:rsid w:val="00980D1A"/>
    <w:rsid w:val="00981CA6"/>
    <w:rsid w:val="009874A7"/>
    <w:rsid w:val="009923F4"/>
    <w:rsid w:val="00993FF9"/>
    <w:rsid w:val="00994799"/>
    <w:rsid w:val="009950E2"/>
    <w:rsid w:val="0099775A"/>
    <w:rsid w:val="0099788B"/>
    <w:rsid w:val="009A049D"/>
    <w:rsid w:val="009A25B6"/>
    <w:rsid w:val="009A5329"/>
    <w:rsid w:val="009A6D9D"/>
    <w:rsid w:val="009A7F0D"/>
    <w:rsid w:val="009B39FC"/>
    <w:rsid w:val="009B6A13"/>
    <w:rsid w:val="009C7CCD"/>
    <w:rsid w:val="009D38EB"/>
    <w:rsid w:val="009D434A"/>
    <w:rsid w:val="009D6BF9"/>
    <w:rsid w:val="009E41C5"/>
    <w:rsid w:val="009E538F"/>
    <w:rsid w:val="009F0473"/>
    <w:rsid w:val="009F40FB"/>
    <w:rsid w:val="00A02A6A"/>
    <w:rsid w:val="00A055A8"/>
    <w:rsid w:val="00A12B86"/>
    <w:rsid w:val="00A14AAE"/>
    <w:rsid w:val="00A151CF"/>
    <w:rsid w:val="00A1643E"/>
    <w:rsid w:val="00A24847"/>
    <w:rsid w:val="00A33780"/>
    <w:rsid w:val="00A34606"/>
    <w:rsid w:val="00A37BB3"/>
    <w:rsid w:val="00A37CAB"/>
    <w:rsid w:val="00A46AD3"/>
    <w:rsid w:val="00A517AB"/>
    <w:rsid w:val="00A525F6"/>
    <w:rsid w:val="00A54EDA"/>
    <w:rsid w:val="00A553C1"/>
    <w:rsid w:val="00A61D5C"/>
    <w:rsid w:val="00A62C08"/>
    <w:rsid w:val="00A70A70"/>
    <w:rsid w:val="00A753A8"/>
    <w:rsid w:val="00A8334D"/>
    <w:rsid w:val="00A858CC"/>
    <w:rsid w:val="00A87756"/>
    <w:rsid w:val="00A961E6"/>
    <w:rsid w:val="00A9640C"/>
    <w:rsid w:val="00AA39A7"/>
    <w:rsid w:val="00AB57B4"/>
    <w:rsid w:val="00AB5E91"/>
    <w:rsid w:val="00AB65F9"/>
    <w:rsid w:val="00AC3A7A"/>
    <w:rsid w:val="00AC4BB2"/>
    <w:rsid w:val="00AC5428"/>
    <w:rsid w:val="00AC6171"/>
    <w:rsid w:val="00AC77B4"/>
    <w:rsid w:val="00AC7E89"/>
    <w:rsid w:val="00AD79FF"/>
    <w:rsid w:val="00AF0575"/>
    <w:rsid w:val="00AF1390"/>
    <w:rsid w:val="00AF3B4D"/>
    <w:rsid w:val="00AF5A37"/>
    <w:rsid w:val="00B01251"/>
    <w:rsid w:val="00B05D81"/>
    <w:rsid w:val="00B12489"/>
    <w:rsid w:val="00B14311"/>
    <w:rsid w:val="00B17FD5"/>
    <w:rsid w:val="00B2655B"/>
    <w:rsid w:val="00B279DC"/>
    <w:rsid w:val="00B32CDE"/>
    <w:rsid w:val="00B364F7"/>
    <w:rsid w:val="00B36B7B"/>
    <w:rsid w:val="00B4063D"/>
    <w:rsid w:val="00B40B39"/>
    <w:rsid w:val="00B439D5"/>
    <w:rsid w:val="00B45617"/>
    <w:rsid w:val="00B4610B"/>
    <w:rsid w:val="00B50B32"/>
    <w:rsid w:val="00B5105E"/>
    <w:rsid w:val="00B543CD"/>
    <w:rsid w:val="00B56AF2"/>
    <w:rsid w:val="00B56E18"/>
    <w:rsid w:val="00B57351"/>
    <w:rsid w:val="00B61046"/>
    <w:rsid w:val="00B61DB4"/>
    <w:rsid w:val="00B64932"/>
    <w:rsid w:val="00B6744C"/>
    <w:rsid w:val="00B7287C"/>
    <w:rsid w:val="00B74E7E"/>
    <w:rsid w:val="00B76472"/>
    <w:rsid w:val="00B769A7"/>
    <w:rsid w:val="00B82A66"/>
    <w:rsid w:val="00B835C2"/>
    <w:rsid w:val="00B84C93"/>
    <w:rsid w:val="00BA5FC4"/>
    <w:rsid w:val="00BB25E2"/>
    <w:rsid w:val="00BC0F0B"/>
    <w:rsid w:val="00BC1B4C"/>
    <w:rsid w:val="00BC206D"/>
    <w:rsid w:val="00BC2396"/>
    <w:rsid w:val="00BC40F1"/>
    <w:rsid w:val="00BC4D74"/>
    <w:rsid w:val="00BC6FE5"/>
    <w:rsid w:val="00BD5B48"/>
    <w:rsid w:val="00BD5F40"/>
    <w:rsid w:val="00BD63A1"/>
    <w:rsid w:val="00BD714C"/>
    <w:rsid w:val="00BE1722"/>
    <w:rsid w:val="00BE263A"/>
    <w:rsid w:val="00BE2ADE"/>
    <w:rsid w:val="00BE359E"/>
    <w:rsid w:val="00BE405D"/>
    <w:rsid w:val="00BE4B3E"/>
    <w:rsid w:val="00BE50C1"/>
    <w:rsid w:val="00BE5AC1"/>
    <w:rsid w:val="00BE5D7B"/>
    <w:rsid w:val="00BF023D"/>
    <w:rsid w:val="00BF0FFB"/>
    <w:rsid w:val="00BF109E"/>
    <w:rsid w:val="00BF4843"/>
    <w:rsid w:val="00BF5ED9"/>
    <w:rsid w:val="00BF7D58"/>
    <w:rsid w:val="00BF7E31"/>
    <w:rsid w:val="00C049CF"/>
    <w:rsid w:val="00C05913"/>
    <w:rsid w:val="00C06E66"/>
    <w:rsid w:val="00C07A0F"/>
    <w:rsid w:val="00C10D0B"/>
    <w:rsid w:val="00C15857"/>
    <w:rsid w:val="00C32600"/>
    <w:rsid w:val="00C33D7D"/>
    <w:rsid w:val="00C33E98"/>
    <w:rsid w:val="00C35393"/>
    <w:rsid w:val="00C36252"/>
    <w:rsid w:val="00C4752D"/>
    <w:rsid w:val="00C47559"/>
    <w:rsid w:val="00C5294D"/>
    <w:rsid w:val="00C55846"/>
    <w:rsid w:val="00C56930"/>
    <w:rsid w:val="00C56A95"/>
    <w:rsid w:val="00C60578"/>
    <w:rsid w:val="00C64B6C"/>
    <w:rsid w:val="00C652C1"/>
    <w:rsid w:val="00C655D3"/>
    <w:rsid w:val="00C70473"/>
    <w:rsid w:val="00C72F9B"/>
    <w:rsid w:val="00C82716"/>
    <w:rsid w:val="00C83252"/>
    <w:rsid w:val="00C846C8"/>
    <w:rsid w:val="00C851DC"/>
    <w:rsid w:val="00C915CD"/>
    <w:rsid w:val="00C93982"/>
    <w:rsid w:val="00CA01E0"/>
    <w:rsid w:val="00CA08AB"/>
    <w:rsid w:val="00CA1368"/>
    <w:rsid w:val="00CB1B55"/>
    <w:rsid w:val="00CB2024"/>
    <w:rsid w:val="00CB2FB9"/>
    <w:rsid w:val="00CB312C"/>
    <w:rsid w:val="00CB48FD"/>
    <w:rsid w:val="00CC2C58"/>
    <w:rsid w:val="00CC5F46"/>
    <w:rsid w:val="00CC7DA1"/>
    <w:rsid w:val="00CD0640"/>
    <w:rsid w:val="00CD208D"/>
    <w:rsid w:val="00CD6FD7"/>
    <w:rsid w:val="00CE0BC3"/>
    <w:rsid w:val="00CE3B27"/>
    <w:rsid w:val="00CE4B32"/>
    <w:rsid w:val="00CE5A15"/>
    <w:rsid w:val="00CE6165"/>
    <w:rsid w:val="00CF3447"/>
    <w:rsid w:val="00CF5AE5"/>
    <w:rsid w:val="00CF711B"/>
    <w:rsid w:val="00D00626"/>
    <w:rsid w:val="00D015FD"/>
    <w:rsid w:val="00D02D0F"/>
    <w:rsid w:val="00D0353B"/>
    <w:rsid w:val="00D03F80"/>
    <w:rsid w:val="00D1297C"/>
    <w:rsid w:val="00D14094"/>
    <w:rsid w:val="00D20572"/>
    <w:rsid w:val="00D22EBD"/>
    <w:rsid w:val="00D22F8F"/>
    <w:rsid w:val="00D242DA"/>
    <w:rsid w:val="00D27CBD"/>
    <w:rsid w:val="00D33783"/>
    <w:rsid w:val="00D33E40"/>
    <w:rsid w:val="00D34654"/>
    <w:rsid w:val="00D37BEC"/>
    <w:rsid w:val="00D447E9"/>
    <w:rsid w:val="00D45AB5"/>
    <w:rsid w:val="00D500F2"/>
    <w:rsid w:val="00D51F36"/>
    <w:rsid w:val="00D550DD"/>
    <w:rsid w:val="00D601D0"/>
    <w:rsid w:val="00D607B1"/>
    <w:rsid w:val="00D6117F"/>
    <w:rsid w:val="00D62076"/>
    <w:rsid w:val="00D623DA"/>
    <w:rsid w:val="00D62BFE"/>
    <w:rsid w:val="00D634FF"/>
    <w:rsid w:val="00D63EBA"/>
    <w:rsid w:val="00D659D6"/>
    <w:rsid w:val="00D709B5"/>
    <w:rsid w:val="00D72312"/>
    <w:rsid w:val="00D75A10"/>
    <w:rsid w:val="00D75A55"/>
    <w:rsid w:val="00D77463"/>
    <w:rsid w:val="00D8113F"/>
    <w:rsid w:val="00D87022"/>
    <w:rsid w:val="00D914B3"/>
    <w:rsid w:val="00D9238F"/>
    <w:rsid w:val="00D940CB"/>
    <w:rsid w:val="00D9484D"/>
    <w:rsid w:val="00DA2457"/>
    <w:rsid w:val="00DA54DC"/>
    <w:rsid w:val="00DA6967"/>
    <w:rsid w:val="00DB5211"/>
    <w:rsid w:val="00DC082A"/>
    <w:rsid w:val="00DC18E0"/>
    <w:rsid w:val="00DC285F"/>
    <w:rsid w:val="00DC6583"/>
    <w:rsid w:val="00DC70EC"/>
    <w:rsid w:val="00DD1381"/>
    <w:rsid w:val="00DD2964"/>
    <w:rsid w:val="00DD5EC5"/>
    <w:rsid w:val="00DD7E75"/>
    <w:rsid w:val="00DE6062"/>
    <w:rsid w:val="00DF1941"/>
    <w:rsid w:val="00DF727A"/>
    <w:rsid w:val="00E02789"/>
    <w:rsid w:val="00E052A1"/>
    <w:rsid w:val="00E05448"/>
    <w:rsid w:val="00E06885"/>
    <w:rsid w:val="00E06DEB"/>
    <w:rsid w:val="00E06E09"/>
    <w:rsid w:val="00E12020"/>
    <w:rsid w:val="00E133C4"/>
    <w:rsid w:val="00E14B3F"/>
    <w:rsid w:val="00E14C8C"/>
    <w:rsid w:val="00E15135"/>
    <w:rsid w:val="00E155EF"/>
    <w:rsid w:val="00E1720E"/>
    <w:rsid w:val="00E2101C"/>
    <w:rsid w:val="00E210DE"/>
    <w:rsid w:val="00E21CC2"/>
    <w:rsid w:val="00E22014"/>
    <w:rsid w:val="00E232B8"/>
    <w:rsid w:val="00E23997"/>
    <w:rsid w:val="00E2402D"/>
    <w:rsid w:val="00E241BF"/>
    <w:rsid w:val="00E31E47"/>
    <w:rsid w:val="00E3619E"/>
    <w:rsid w:val="00E373E1"/>
    <w:rsid w:val="00E40E30"/>
    <w:rsid w:val="00E5220D"/>
    <w:rsid w:val="00E56B4F"/>
    <w:rsid w:val="00E604F0"/>
    <w:rsid w:val="00E62B21"/>
    <w:rsid w:val="00E65C89"/>
    <w:rsid w:val="00E70AA8"/>
    <w:rsid w:val="00E71BE8"/>
    <w:rsid w:val="00E724EB"/>
    <w:rsid w:val="00E74DB5"/>
    <w:rsid w:val="00E815AD"/>
    <w:rsid w:val="00E84338"/>
    <w:rsid w:val="00E84B0D"/>
    <w:rsid w:val="00E8576F"/>
    <w:rsid w:val="00E8689D"/>
    <w:rsid w:val="00E87C5C"/>
    <w:rsid w:val="00E92D9B"/>
    <w:rsid w:val="00E96649"/>
    <w:rsid w:val="00E966F1"/>
    <w:rsid w:val="00EA30A5"/>
    <w:rsid w:val="00EA33F0"/>
    <w:rsid w:val="00EA3B3B"/>
    <w:rsid w:val="00EA49D0"/>
    <w:rsid w:val="00EB11EE"/>
    <w:rsid w:val="00EB51C8"/>
    <w:rsid w:val="00EB666D"/>
    <w:rsid w:val="00EC04D5"/>
    <w:rsid w:val="00EC1C0B"/>
    <w:rsid w:val="00EC3896"/>
    <w:rsid w:val="00EC7427"/>
    <w:rsid w:val="00ED0761"/>
    <w:rsid w:val="00ED3822"/>
    <w:rsid w:val="00ED5F98"/>
    <w:rsid w:val="00EE791F"/>
    <w:rsid w:val="00EF0073"/>
    <w:rsid w:val="00EF1FBF"/>
    <w:rsid w:val="00EF4359"/>
    <w:rsid w:val="00F00D6F"/>
    <w:rsid w:val="00F01133"/>
    <w:rsid w:val="00F012F2"/>
    <w:rsid w:val="00F02AAE"/>
    <w:rsid w:val="00F06AD5"/>
    <w:rsid w:val="00F114B0"/>
    <w:rsid w:val="00F149E0"/>
    <w:rsid w:val="00F2087A"/>
    <w:rsid w:val="00F22F8F"/>
    <w:rsid w:val="00F235FF"/>
    <w:rsid w:val="00F2478D"/>
    <w:rsid w:val="00F279B5"/>
    <w:rsid w:val="00F27FD8"/>
    <w:rsid w:val="00F3282B"/>
    <w:rsid w:val="00F333EE"/>
    <w:rsid w:val="00F415E1"/>
    <w:rsid w:val="00F416C2"/>
    <w:rsid w:val="00F47474"/>
    <w:rsid w:val="00F50B56"/>
    <w:rsid w:val="00F50F84"/>
    <w:rsid w:val="00F52E74"/>
    <w:rsid w:val="00F558D6"/>
    <w:rsid w:val="00F5729A"/>
    <w:rsid w:val="00F65EC4"/>
    <w:rsid w:val="00F675FD"/>
    <w:rsid w:val="00F67E60"/>
    <w:rsid w:val="00F76B85"/>
    <w:rsid w:val="00F76F63"/>
    <w:rsid w:val="00F80A57"/>
    <w:rsid w:val="00F81FB1"/>
    <w:rsid w:val="00F85095"/>
    <w:rsid w:val="00F92407"/>
    <w:rsid w:val="00F96AAD"/>
    <w:rsid w:val="00FA3D8E"/>
    <w:rsid w:val="00FA47CF"/>
    <w:rsid w:val="00FA7403"/>
    <w:rsid w:val="00FB122A"/>
    <w:rsid w:val="00FB1385"/>
    <w:rsid w:val="00FB1886"/>
    <w:rsid w:val="00FB5D8B"/>
    <w:rsid w:val="00FB7D2B"/>
    <w:rsid w:val="00FC245D"/>
    <w:rsid w:val="00FC2AC7"/>
    <w:rsid w:val="00FC40D6"/>
    <w:rsid w:val="00FC6210"/>
    <w:rsid w:val="00FD0295"/>
    <w:rsid w:val="00FD1CA8"/>
    <w:rsid w:val="00FD3F66"/>
    <w:rsid w:val="00FE68F4"/>
    <w:rsid w:val="00FE7534"/>
    <w:rsid w:val="00FF1E3C"/>
    <w:rsid w:val="00FF201A"/>
    <w:rsid w:val="00FF5FC0"/>
    <w:rsid w:val="00FF6D8F"/>
    <w:rsid w:val="011253D8"/>
    <w:rsid w:val="01316480"/>
    <w:rsid w:val="016300DF"/>
    <w:rsid w:val="01722EBA"/>
    <w:rsid w:val="017257DA"/>
    <w:rsid w:val="01A01655"/>
    <w:rsid w:val="01E974F9"/>
    <w:rsid w:val="022350A1"/>
    <w:rsid w:val="02277404"/>
    <w:rsid w:val="024A74AB"/>
    <w:rsid w:val="02656E33"/>
    <w:rsid w:val="02854D7E"/>
    <w:rsid w:val="029B24E3"/>
    <w:rsid w:val="02CF6E9F"/>
    <w:rsid w:val="02DE1029"/>
    <w:rsid w:val="02F73776"/>
    <w:rsid w:val="0331365C"/>
    <w:rsid w:val="03647335"/>
    <w:rsid w:val="03AA69A2"/>
    <w:rsid w:val="03D77439"/>
    <w:rsid w:val="03DE3C8A"/>
    <w:rsid w:val="03F27152"/>
    <w:rsid w:val="0403261F"/>
    <w:rsid w:val="045B39BD"/>
    <w:rsid w:val="04652E5A"/>
    <w:rsid w:val="04D23220"/>
    <w:rsid w:val="04DE4EB7"/>
    <w:rsid w:val="04DE74CA"/>
    <w:rsid w:val="05C414B8"/>
    <w:rsid w:val="05C63AE8"/>
    <w:rsid w:val="05DB69BC"/>
    <w:rsid w:val="05E27F71"/>
    <w:rsid w:val="05E63CB6"/>
    <w:rsid w:val="061746B8"/>
    <w:rsid w:val="0630687A"/>
    <w:rsid w:val="064C5173"/>
    <w:rsid w:val="0652604F"/>
    <w:rsid w:val="065A25B3"/>
    <w:rsid w:val="06623F8F"/>
    <w:rsid w:val="06865D7A"/>
    <w:rsid w:val="06910921"/>
    <w:rsid w:val="06A94684"/>
    <w:rsid w:val="06B02498"/>
    <w:rsid w:val="06FA5E5D"/>
    <w:rsid w:val="076221F8"/>
    <w:rsid w:val="07E2298B"/>
    <w:rsid w:val="07F10DDE"/>
    <w:rsid w:val="081F6730"/>
    <w:rsid w:val="082E18B2"/>
    <w:rsid w:val="082F56AB"/>
    <w:rsid w:val="084B6EE2"/>
    <w:rsid w:val="08C524DA"/>
    <w:rsid w:val="091B16DD"/>
    <w:rsid w:val="091B7B54"/>
    <w:rsid w:val="094C3002"/>
    <w:rsid w:val="096C0ECF"/>
    <w:rsid w:val="09803A83"/>
    <w:rsid w:val="0A497995"/>
    <w:rsid w:val="0A584C1C"/>
    <w:rsid w:val="0A914F5D"/>
    <w:rsid w:val="0AB25D51"/>
    <w:rsid w:val="0AD31695"/>
    <w:rsid w:val="0B5426A4"/>
    <w:rsid w:val="0BD41ACA"/>
    <w:rsid w:val="0BF860CD"/>
    <w:rsid w:val="0C481490"/>
    <w:rsid w:val="0C5226EC"/>
    <w:rsid w:val="0C5C4A39"/>
    <w:rsid w:val="0C7574F5"/>
    <w:rsid w:val="0CAF5BEC"/>
    <w:rsid w:val="0CDC14FC"/>
    <w:rsid w:val="0D2A2EE7"/>
    <w:rsid w:val="0D8D397D"/>
    <w:rsid w:val="0DC84315"/>
    <w:rsid w:val="0DCC1931"/>
    <w:rsid w:val="0DDF3F41"/>
    <w:rsid w:val="0DED7E73"/>
    <w:rsid w:val="0DF046ED"/>
    <w:rsid w:val="0DF524E7"/>
    <w:rsid w:val="0E3C735D"/>
    <w:rsid w:val="0E4768C0"/>
    <w:rsid w:val="0E6D4700"/>
    <w:rsid w:val="0E734A7E"/>
    <w:rsid w:val="0E9E5662"/>
    <w:rsid w:val="0EA56B2A"/>
    <w:rsid w:val="0EC009F3"/>
    <w:rsid w:val="0EC04CE8"/>
    <w:rsid w:val="0EEC3B41"/>
    <w:rsid w:val="0EEF45CE"/>
    <w:rsid w:val="0F025CD9"/>
    <w:rsid w:val="0F1137B2"/>
    <w:rsid w:val="0F6A60EE"/>
    <w:rsid w:val="0F877321"/>
    <w:rsid w:val="0F9A5D83"/>
    <w:rsid w:val="0FA93F3A"/>
    <w:rsid w:val="0FB449E9"/>
    <w:rsid w:val="0FB54411"/>
    <w:rsid w:val="0FEE6A87"/>
    <w:rsid w:val="1068011B"/>
    <w:rsid w:val="109E2248"/>
    <w:rsid w:val="10B77A23"/>
    <w:rsid w:val="10CF4570"/>
    <w:rsid w:val="10F44261"/>
    <w:rsid w:val="11024ADF"/>
    <w:rsid w:val="1102765F"/>
    <w:rsid w:val="1183025B"/>
    <w:rsid w:val="11B41608"/>
    <w:rsid w:val="11B43E06"/>
    <w:rsid w:val="11E01313"/>
    <w:rsid w:val="11E36190"/>
    <w:rsid w:val="11F56C20"/>
    <w:rsid w:val="1226215F"/>
    <w:rsid w:val="124D775E"/>
    <w:rsid w:val="12527A74"/>
    <w:rsid w:val="125F421B"/>
    <w:rsid w:val="127C3FD8"/>
    <w:rsid w:val="128461CE"/>
    <w:rsid w:val="129F6533"/>
    <w:rsid w:val="12A63002"/>
    <w:rsid w:val="12B12CBA"/>
    <w:rsid w:val="12C30FEA"/>
    <w:rsid w:val="12CF6C00"/>
    <w:rsid w:val="12E0483F"/>
    <w:rsid w:val="13155225"/>
    <w:rsid w:val="132360AE"/>
    <w:rsid w:val="13291395"/>
    <w:rsid w:val="13476199"/>
    <w:rsid w:val="135334C5"/>
    <w:rsid w:val="135855C5"/>
    <w:rsid w:val="1384547C"/>
    <w:rsid w:val="13BD2021"/>
    <w:rsid w:val="14121443"/>
    <w:rsid w:val="142D6104"/>
    <w:rsid w:val="14364316"/>
    <w:rsid w:val="144C5827"/>
    <w:rsid w:val="145E7349"/>
    <w:rsid w:val="14965C36"/>
    <w:rsid w:val="14A37AFF"/>
    <w:rsid w:val="14A44FF2"/>
    <w:rsid w:val="14AC63B1"/>
    <w:rsid w:val="14C345EC"/>
    <w:rsid w:val="150A5C39"/>
    <w:rsid w:val="150D0F06"/>
    <w:rsid w:val="1556177C"/>
    <w:rsid w:val="15602EBF"/>
    <w:rsid w:val="15631AFB"/>
    <w:rsid w:val="15637FCD"/>
    <w:rsid w:val="158012A6"/>
    <w:rsid w:val="15812231"/>
    <w:rsid w:val="15A123BA"/>
    <w:rsid w:val="160F70D8"/>
    <w:rsid w:val="162439A7"/>
    <w:rsid w:val="162D135E"/>
    <w:rsid w:val="163F7BB0"/>
    <w:rsid w:val="16627669"/>
    <w:rsid w:val="16AC300B"/>
    <w:rsid w:val="16B763ED"/>
    <w:rsid w:val="16D3645C"/>
    <w:rsid w:val="16F4239A"/>
    <w:rsid w:val="170917CF"/>
    <w:rsid w:val="171860E2"/>
    <w:rsid w:val="17262000"/>
    <w:rsid w:val="174B5E64"/>
    <w:rsid w:val="17780312"/>
    <w:rsid w:val="179F5BEE"/>
    <w:rsid w:val="17E31653"/>
    <w:rsid w:val="18041674"/>
    <w:rsid w:val="18101AF0"/>
    <w:rsid w:val="181625D6"/>
    <w:rsid w:val="181A75F8"/>
    <w:rsid w:val="181C08D7"/>
    <w:rsid w:val="185B3386"/>
    <w:rsid w:val="186668F2"/>
    <w:rsid w:val="18E141C5"/>
    <w:rsid w:val="18F94EA4"/>
    <w:rsid w:val="18FA7971"/>
    <w:rsid w:val="1924034F"/>
    <w:rsid w:val="193560D1"/>
    <w:rsid w:val="193B1DE0"/>
    <w:rsid w:val="195C2290"/>
    <w:rsid w:val="19670E90"/>
    <w:rsid w:val="19AA0BD1"/>
    <w:rsid w:val="19FE41D8"/>
    <w:rsid w:val="1A5E1552"/>
    <w:rsid w:val="1A994765"/>
    <w:rsid w:val="1AA40EA8"/>
    <w:rsid w:val="1AAA335D"/>
    <w:rsid w:val="1AFB1080"/>
    <w:rsid w:val="1B0305D6"/>
    <w:rsid w:val="1B431B39"/>
    <w:rsid w:val="1B4406B3"/>
    <w:rsid w:val="1B543F9E"/>
    <w:rsid w:val="1B60209E"/>
    <w:rsid w:val="1BA10DBB"/>
    <w:rsid w:val="1BAA7828"/>
    <w:rsid w:val="1BB46365"/>
    <w:rsid w:val="1BCD7153"/>
    <w:rsid w:val="1BFB574F"/>
    <w:rsid w:val="1C452370"/>
    <w:rsid w:val="1C7A3AAF"/>
    <w:rsid w:val="1C9A2FD7"/>
    <w:rsid w:val="1D52386F"/>
    <w:rsid w:val="1D701220"/>
    <w:rsid w:val="1D7E60E4"/>
    <w:rsid w:val="1DA74238"/>
    <w:rsid w:val="1DE25016"/>
    <w:rsid w:val="1DEA64B0"/>
    <w:rsid w:val="1E171089"/>
    <w:rsid w:val="1E8E03ED"/>
    <w:rsid w:val="1EA341DC"/>
    <w:rsid w:val="1EA64454"/>
    <w:rsid w:val="1ED75B1D"/>
    <w:rsid w:val="1ED76F40"/>
    <w:rsid w:val="1EFA14EC"/>
    <w:rsid w:val="1F2A61B1"/>
    <w:rsid w:val="1F3307B0"/>
    <w:rsid w:val="1F735315"/>
    <w:rsid w:val="1F7A0831"/>
    <w:rsid w:val="1F8C6FBA"/>
    <w:rsid w:val="1FDB1DBF"/>
    <w:rsid w:val="20166205"/>
    <w:rsid w:val="203112E6"/>
    <w:rsid w:val="20381138"/>
    <w:rsid w:val="204F6D84"/>
    <w:rsid w:val="20511F26"/>
    <w:rsid w:val="20A92B47"/>
    <w:rsid w:val="20DD7D8B"/>
    <w:rsid w:val="20FE66E2"/>
    <w:rsid w:val="213E70A7"/>
    <w:rsid w:val="217147DF"/>
    <w:rsid w:val="21F5051E"/>
    <w:rsid w:val="21FF3BC5"/>
    <w:rsid w:val="227A37A0"/>
    <w:rsid w:val="229F5D53"/>
    <w:rsid w:val="22C617C0"/>
    <w:rsid w:val="22DB2A91"/>
    <w:rsid w:val="230A18DA"/>
    <w:rsid w:val="23DD5048"/>
    <w:rsid w:val="23DD5E54"/>
    <w:rsid w:val="23F93F09"/>
    <w:rsid w:val="240012BA"/>
    <w:rsid w:val="241418F5"/>
    <w:rsid w:val="242D7A51"/>
    <w:rsid w:val="243E737B"/>
    <w:rsid w:val="243F2852"/>
    <w:rsid w:val="24536409"/>
    <w:rsid w:val="248F6F85"/>
    <w:rsid w:val="24E10C52"/>
    <w:rsid w:val="24EB4723"/>
    <w:rsid w:val="24EC42E5"/>
    <w:rsid w:val="24F04918"/>
    <w:rsid w:val="25051A78"/>
    <w:rsid w:val="250716BA"/>
    <w:rsid w:val="25316238"/>
    <w:rsid w:val="25546E72"/>
    <w:rsid w:val="256B1D34"/>
    <w:rsid w:val="25B52D19"/>
    <w:rsid w:val="25DD28A9"/>
    <w:rsid w:val="262802A3"/>
    <w:rsid w:val="26357F17"/>
    <w:rsid w:val="26406B7D"/>
    <w:rsid w:val="26556623"/>
    <w:rsid w:val="268E7076"/>
    <w:rsid w:val="269B0784"/>
    <w:rsid w:val="26A06774"/>
    <w:rsid w:val="26AC3F36"/>
    <w:rsid w:val="26E55E76"/>
    <w:rsid w:val="270D622C"/>
    <w:rsid w:val="271E44B4"/>
    <w:rsid w:val="275747B2"/>
    <w:rsid w:val="27671AA9"/>
    <w:rsid w:val="2773004E"/>
    <w:rsid w:val="278B1AE6"/>
    <w:rsid w:val="27942F56"/>
    <w:rsid w:val="2798147D"/>
    <w:rsid w:val="27B76B38"/>
    <w:rsid w:val="27F13F1B"/>
    <w:rsid w:val="28154839"/>
    <w:rsid w:val="28264E06"/>
    <w:rsid w:val="28322CC2"/>
    <w:rsid w:val="28AC6E8F"/>
    <w:rsid w:val="28B01FE4"/>
    <w:rsid w:val="28EC1A34"/>
    <w:rsid w:val="29537634"/>
    <w:rsid w:val="29633D58"/>
    <w:rsid w:val="2973006A"/>
    <w:rsid w:val="297353CD"/>
    <w:rsid w:val="29A569A2"/>
    <w:rsid w:val="29FB593E"/>
    <w:rsid w:val="2A017BB5"/>
    <w:rsid w:val="2A043B13"/>
    <w:rsid w:val="2A3712D6"/>
    <w:rsid w:val="2A3A2E52"/>
    <w:rsid w:val="2A5C7C02"/>
    <w:rsid w:val="2A874840"/>
    <w:rsid w:val="2ADF4AE3"/>
    <w:rsid w:val="2ADF7804"/>
    <w:rsid w:val="2AF229EA"/>
    <w:rsid w:val="2B9920FB"/>
    <w:rsid w:val="2B9D2399"/>
    <w:rsid w:val="2BA34DCB"/>
    <w:rsid w:val="2C180989"/>
    <w:rsid w:val="2C447BA2"/>
    <w:rsid w:val="2C5D751B"/>
    <w:rsid w:val="2C6C4649"/>
    <w:rsid w:val="2D3B77BA"/>
    <w:rsid w:val="2D3D3E16"/>
    <w:rsid w:val="2D7A6407"/>
    <w:rsid w:val="2D8E41F3"/>
    <w:rsid w:val="2DA477B3"/>
    <w:rsid w:val="2DB12AB9"/>
    <w:rsid w:val="2DBA74EC"/>
    <w:rsid w:val="2E302517"/>
    <w:rsid w:val="2E7A10B7"/>
    <w:rsid w:val="2EA96EEC"/>
    <w:rsid w:val="2ED86065"/>
    <w:rsid w:val="2F303C5D"/>
    <w:rsid w:val="2FBE29C8"/>
    <w:rsid w:val="2FDC74D2"/>
    <w:rsid w:val="305178B5"/>
    <w:rsid w:val="306579D8"/>
    <w:rsid w:val="307D05A3"/>
    <w:rsid w:val="309254B8"/>
    <w:rsid w:val="30B96505"/>
    <w:rsid w:val="30BF65C8"/>
    <w:rsid w:val="30C00CD1"/>
    <w:rsid w:val="30F6510E"/>
    <w:rsid w:val="3124301F"/>
    <w:rsid w:val="315A2795"/>
    <w:rsid w:val="31891716"/>
    <w:rsid w:val="31EB5D06"/>
    <w:rsid w:val="3270680A"/>
    <w:rsid w:val="329043CB"/>
    <w:rsid w:val="330F33F2"/>
    <w:rsid w:val="332E26EA"/>
    <w:rsid w:val="33380AF0"/>
    <w:rsid w:val="335719C7"/>
    <w:rsid w:val="340C5288"/>
    <w:rsid w:val="342D5817"/>
    <w:rsid w:val="343D0E98"/>
    <w:rsid w:val="34590213"/>
    <w:rsid w:val="349E0594"/>
    <w:rsid w:val="34A62404"/>
    <w:rsid w:val="34E92611"/>
    <w:rsid w:val="350E0A49"/>
    <w:rsid w:val="35147326"/>
    <w:rsid w:val="352261C8"/>
    <w:rsid w:val="35236D4D"/>
    <w:rsid w:val="354F0ABE"/>
    <w:rsid w:val="35660306"/>
    <w:rsid w:val="358902A2"/>
    <w:rsid w:val="35AB0B81"/>
    <w:rsid w:val="35AD5E5F"/>
    <w:rsid w:val="35B6770A"/>
    <w:rsid w:val="360C4EEC"/>
    <w:rsid w:val="363768BD"/>
    <w:rsid w:val="366C7F2E"/>
    <w:rsid w:val="367C5FBA"/>
    <w:rsid w:val="36826851"/>
    <w:rsid w:val="36EF1DD6"/>
    <w:rsid w:val="36FE4301"/>
    <w:rsid w:val="37047234"/>
    <w:rsid w:val="377316C4"/>
    <w:rsid w:val="37C93EFE"/>
    <w:rsid w:val="37CF5BEF"/>
    <w:rsid w:val="37DA7511"/>
    <w:rsid w:val="37DB050C"/>
    <w:rsid w:val="37E002C2"/>
    <w:rsid w:val="37EF4413"/>
    <w:rsid w:val="381A015A"/>
    <w:rsid w:val="387E2E65"/>
    <w:rsid w:val="38AB2734"/>
    <w:rsid w:val="38C13A8D"/>
    <w:rsid w:val="38D2293B"/>
    <w:rsid w:val="38E80655"/>
    <w:rsid w:val="39156D99"/>
    <w:rsid w:val="3921750D"/>
    <w:rsid w:val="39563076"/>
    <w:rsid w:val="398C2AEF"/>
    <w:rsid w:val="39B11946"/>
    <w:rsid w:val="39C9035D"/>
    <w:rsid w:val="3A463506"/>
    <w:rsid w:val="3A6E73A9"/>
    <w:rsid w:val="3A7335AA"/>
    <w:rsid w:val="3A9106D0"/>
    <w:rsid w:val="3AE067C9"/>
    <w:rsid w:val="3AFD4E05"/>
    <w:rsid w:val="3B045C09"/>
    <w:rsid w:val="3B524871"/>
    <w:rsid w:val="3B6A0BFF"/>
    <w:rsid w:val="3B8A3D8A"/>
    <w:rsid w:val="3BAF22D2"/>
    <w:rsid w:val="3BB44E44"/>
    <w:rsid w:val="3BE1229D"/>
    <w:rsid w:val="3C027120"/>
    <w:rsid w:val="3C06782D"/>
    <w:rsid w:val="3C074BB6"/>
    <w:rsid w:val="3C2C722E"/>
    <w:rsid w:val="3C5947B6"/>
    <w:rsid w:val="3C7F2168"/>
    <w:rsid w:val="3CEE4CDE"/>
    <w:rsid w:val="3D123BFE"/>
    <w:rsid w:val="3D1413E7"/>
    <w:rsid w:val="3DE54E44"/>
    <w:rsid w:val="3DF502C3"/>
    <w:rsid w:val="3E107BE1"/>
    <w:rsid w:val="3E1E7220"/>
    <w:rsid w:val="3E251E48"/>
    <w:rsid w:val="3E6E677D"/>
    <w:rsid w:val="3E8E290F"/>
    <w:rsid w:val="3E954C40"/>
    <w:rsid w:val="3EAC396E"/>
    <w:rsid w:val="3EE309B3"/>
    <w:rsid w:val="3EFC43EB"/>
    <w:rsid w:val="3F0F7FBE"/>
    <w:rsid w:val="3F1E7721"/>
    <w:rsid w:val="3F450BA5"/>
    <w:rsid w:val="3F6764D3"/>
    <w:rsid w:val="3F84661A"/>
    <w:rsid w:val="3F8E6889"/>
    <w:rsid w:val="3FC34353"/>
    <w:rsid w:val="3FE628C0"/>
    <w:rsid w:val="402A1870"/>
    <w:rsid w:val="40715E9F"/>
    <w:rsid w:val="40A51E73"/>
    <w:rsid w:val="40EF5675"/>
    <w:rsid w:val="411143C5"/>
    <w:rsid w:val="41180A6A"/>
    <w:rsid w:val="416B396C"/>
    <w:rsid w:val="419B078D"/>
    <w:rsid w:val="41A7740D"/>
    <w:rsid w:val="41B439E3"/>
    <w:rsid w:val="41EF3BDE"/>
    <w:rsid w:val="42115E5E"/>
    <w:rsid w:val="429F76FC"/>
    <w:rsid w:val="42E26411"/>
    <w:rsid w:val="42E35171"/>
    <w:rsid w:val="43070C15"/>
    <w:rsid w:val="43312931"/>
    <w:rsid w:val="433F0D9D"/>
    <w:rsid w:val="435C4ABC"/>
    <w:rsid w:val="43921ACC"/>
    <w:rsid w:val="43AC4C67"/>
    <w:rsid w:val="43D73AC1"/>
    <w:rsid w:val="44094D5D"/>
    <w:rsid w:val="444B26EF"/>
    <w:rsid w:val="44507776"/>
    <w:rsid w:val="446A47A4"/>
    <w:rsid w:val="449263F4"/>
    <w:rsid w:val="44C93A57"/>
    <w:rsid w:val="44EE422F"/>
    <w:rsid w:val="45B8486B"/>
    <w:rsid w:val="45B857AF"/>
    <w:rsid w:val="45C0202A"/>
    <w:rsid w:val="45CF2CD2"/>
    <w:rsid w:val="45D53234"/>
    <w:rsid w:val="45E309C9"/>
    <w:rsid w:val="45E54078"/>
    <w:rsid w:val="463A4F75"/>
    <w:rsid w:val="46674D0F"/>
    <w:rsid w:val="466A69BC"/>
    <w:rsid w:val="467E5D22"/>
    <w:rsid w:val="468651E9"/>
    <w:rsid w:val="46C224C5"/>
    <w:rsid w:val="471F50AB"/>
    <w:rsid w:val="476F7B59"/>
    <w:rsid w:val="47997461"/>
    <w:rsid w:val="47EC0D5D"/>
    <w:rsid w:val="47F054BA"/>
    <w:rsid w:val="47FD13DC"/>
    <w:rsid w:val="487870C0"/>
    <w:rsid w:val="488B0C26"/>
    <w:rsid w:val="489361E8"/>
    <w:rsid w:val="48CC0701"/>
    <w:rsid w:val="4909494C"/>
    <w:rsid w:val="49104DAE"/>
    <w:rsid w:val="491A1A06"/>
    <w:rsid w:val="49227857"/>
    <w:rsid w:val="49C4532E"/>
    <w:rsid w:val="49DB269D"/>
    <w:rsid w:val="4A1B02FB"/>
    <w:rsid w:val="4A1D0A31"/>
    <w:rsid w:val="4A2638EA"/>
    <w:rsid w:val="4AA370CA"/>
    <w:rsid w:val="4AD7600A"/>
    <w:rsid w:val="4AE12667"/>
    <w:rsid w:val="4B040912"/>
    <w:rsid w:val="4B1530EE"/>
    <w:rsid w:val="4B1F21C9"/>
    <w:rsid w:val="4B7D3876"/>
    <w:rsid w:val="4C0B3DA9"/>
    <w:rsid w:val="4C601322"/>
    <w:rsid w:val="4C736AB7"/>
    <w:rsid w:val="4C7E65A3"/>
    <w:rsid w:val="4C8A3D72"/>
    <w:rsid w:val="4C95234E"/>
    <w:rsid w:val="4CB06204"/>
    <w:rsid w:val="4D0F082B"/>
    <w:rsid w:val="4D316484"/>
    <w:rsid w:val="4D3215DF"/>
    <w:rsid w:val="4D450AA8"/>
    <w:rsid w:val="4D4A581E"/>
    <w:rsid w:val="4D813170"/>
    <w:rsid w:val="4D857C85"/>
    <w:rsid w:val="4E0B1866"/>
    <w:rsid w:val="4E235A77"/>
    <w:rsid w:val="4E6E4471"/>
    <w:rsid w:val="4E87293C"/>
    <w:rsid w:val="4E9E3117"/>
    <w:rsid w:val="4EB662C2"/>
    <w:rsid w:val="4EE207AF"/>
    <w:rsid w:val="4EE620C9"/>
    <w:rsid w:val="4EE935D8"/>
    <w:rsid w:val="4F7944ED"/>
    <w:rsid w:val="4F8B2777"/>
    <w:rsid w:val="4F940321"/>
    <w:rsid w:val="4F9C41DA"/>
    <w:rsid w:val="4FB970BA"/>
    <w:rsid w:val="4FCD148B"/>
    <w:rsid w:val="4FCE0316"/>
    <w:rsid w:val="4FD60CD1"/>
    <w:rsid w:val="4FF9079F"/>
    <w:rsid w:val="500876B4"/>
    <w:rsid w:val="507B6C27"/>
    <w:rsid w:val="50955EAB"/>
    <w:rsid w:val="50D05C65"/>
    <w:rsid w:val="514D5D5E"/>
    <w:rsid w:val="51B75032"/>
    <w:rsid w:val="51D65290"/>
    <w:rsid w:val="51FA7803"/>
    <w:rsid w:val="520A08BA"/>
    <w:rsid w:val="52587A9D"/>
    <w:rsid w:val="52AB418F"/>
    <w:rsid w:val="52B339CD"/>
    <w:rsid w:val="52CE2D81"/>
    <w:rsid w:val="52E62743"/>
    <w:rsid w:val="52F32B26"/>
    <w:rsid w:val="52F626A7"/>
    <w:rsid w:val="53136313"/>
    <w:rsid w:val="53390518"/>
    <w:rsid w:val="538809C3"/>
    <w:rsid w:val="53A14582"/>
    <w:rsid w:val="53DC107D"/>
    <w:rsid w:val="53ED0201"/>
    <w:rsid w:val="53F77FF7"/>
    <w:rsid w:val="5412022D"/>
    <w:rsid w:val="54146D1D"/>
    <w:rsid w:val="54297C5F"/>
    <w:rsid w:val="54523955"/>
    <w:rsid w:val="54524660"/>
    <w:rsid w:val="54A50A1E"/>
    <w:rsid w:val="54BA5730"/>
    <w:rsid w:val="54C31E44"/>
    <w:rsid w:val="54DC0ADC"/>
    <w:rsid w:val="553166CB"/>
    <w:rsid w:val="5548215B"/>
    <w:rsid w:val="557C0E98"/>
    <w:rsid w:val="558509AB"/>
    <w:rsid w:val="558D6FA9"/>
    <w:rsid w:val="55A429AE"/>
    <w:rsid w:val="55E437D4"/>
    <w:rsid w:val="55EF6C81"/>
    <w:rsid w:val="56025BF0"/>
    <w:rsid w:val="56735263"/>
    <w:rsid w:val="567F383E"/>
    <w:rsid w:val="577E1A03"/>
    <w:rsid w:val="57A0603C"/>
    <w:rsid w:val="57FD5F63"/>
    <w:rsid w:val="58122DB5"/>
    <w:rsid w:val="581941C1"/>
    <w:rsid w:val="585077D3"/>
    <w:rsid w:val="585B3F20"/>
    <w:rsid w:val="58FE24E5"/>
    <w:rsid w:val="590E7600"/>
    <w:rsid w:val="591246F5"/>
    <w:rsid w:val="59166C9E"/>
    <w:rsid w:val="592400F4"/>
    <w:rsid w:val="5945376F"/>
    <w:rsid w:val="59D77E31"/>
    <w:rsid w:val="59DC21BC"/>
    <w:rsid w:val="59E02245"/>
    <w:rsid w:val="5A0311A4"/>
    <w:rsid w:val="5A1C605E"/>
    <w:rsid w:val="5A247A9F"/>
    <w:rsid w:val="5A686816"/>
    <w:rsid w:val="5ACC7FBA"/>
    <w:rsid w:val="5AE93500"/>
    <w:rsid w:val="5AEE25A3"/>
    <w:rsid w:val="5B257640"/>
    <w:rsid w:val="5B2F67DE"/>
    <w:rsid w:val="5BE976A1"/>
    <w:rsid w:val="5C3A5FC5"/>
    <w:rsid w:val="5C3B0DF9"/>
    <w:rsid w:val="5C421456"/>
    <w:rsid w:val="5C7C3E37"/>
    <w:rsid w:val="5CAD3481"/>
    <w:rsid w:val="5CDB3994"/>
    <w:rsid w:val="5D1D7FAC"/>
    <w:rsid w:val="5D385BC5"/>
    <w:rsid w:val="5D526827"/>
    <w:rsid w:val="5D71242A"/>
    <w:rsid w:val="5D790741"/>
    <w:rsid w:val="5DEF478A"/>
    <w:rsid w:val="5DFE0910"/>
    <w:rsid w:val="5E1012C2"/>
    <w:rsid w:val="5E321869"/>
    <w:rsid w:val="5E3257AE"/>
    <w:rsid w:val="5E421386"/>
    <w:rsid w:val="5E6F7A46"/>
    <w:rsid w:val="5E7603F7"/>
    <w:rsid w:val="5F7551DF"/>
    <w:rsid w:val="5F796FE0"/>
    <w:rsid w:val="5FA35899"/>
    <w:rsid w:val="5FC71CBE"/>
    <w:rsid w:val="5FD20E68"/>
    <w:rsid w:val="5FF06B7D"/>
    <w:rsid w:val="60206D8C"/>
    <w:rsid w:val="60290583"/>
    <w:rsid w:val="602C37A3"/>
    <w:rsid w:val="604307BD"/>
    <w:rsid w:val="60BE458E"/>
    <w:rsid w:val="60D33FAF"/>
    <w:rsid w:val="60E90716"/>
    <w:rsid w:val="610313FD"/>
    <w:rsid w:val="618F7F90"/>
    <w:rsid w:val="61B71713"/>
    <w:rsid w:val="61BF390A"/>
    <w:rsid w:val="61E03962"/>
    <w:rsid w:val="61E72C01"/>
    <w:rsid w:val="61F63359"/>
    <w:rsid w:val="620E1852"/>
    <w:rsid w:val="62141600"/>
    <w:rsid w:val="621833D6"/>
    <w:rsid w:val="62226502"/>
    <w:rsid w:val="62270F17"/>
    <w:rsid w:val="624F28CF"/>
    <w:rsid w:val="6267427B"/>
    <w:rsid w:val="62802FAB"/>
    <w:rsid w:val="62812D4F"/>
    <w:rsid w:val="62CD6D1D"/>
    <w:rsid w:val="62F27E42"/>
    <w:rsid w:val="63026D77"/>
    <w:rsid w:val="63031CFE"/>
    <w:rsid w:val="63050DE3"/>
    <w:rsid w:val="630A04EF"/>
    <w:rsid w:val="632F1BE9"/>
    <w:rsid w:val="639A7499"/>
    <w:rsid w:val="63D342B6"/>
    <w:rsid w:val="63EF4726"/>
    <w:rsid w:val="64095061"/>
    <w:rsid w:val="641978C3"/>
    <w:rsid w:val="641E0CFA"/>
    <w:rsid w:val="643955A0"/>
    <w:rsid w:val="64CE1DCE"/>
    <w:rsid w:val="650504EA"/>
    <w:rsid w:val="6540373A"/>
    <w:rsid w:val="65500F4F"/>
    <w:rsid w:val="65605077"/>
    <w:rsid w:val="65784E05"/>
    <w:rsid w:val="659659B3"/>
    <w:rsid w:val="65BA1531"/>
    <w:rsid w:val="65BD254E"/>
    <w:rsid w:val="665270FB"/>
    <w:rsid w:val="6659735F"/>
    <w:rsid w:val="66961FC3"/>
    <w:rsid w:val="66A93DE3"/>
    <w:rsid w:val="66AD7FC0"/>
    <w:rsid w:val="66BB1BD6"/>
    <w:rsid w:val="66C6426B"/>
    <w:rsid w:val="67092CB7"/>
    <w:rsid w:val="67133E1F"/>
    <w:rsid w:val="672B2963"/>
    <w:rsid w:val="6743352E"/>
    <w:rsid w:val="67485A41"/>
    <w:rsid w:val="674E7B1B"/>
    <w:rsid w:val="676E360C"/>
    <w:rsid w:val="67916951"/>
    <w:rsid w:val="67DF0D84"/>
    <w:rsid w:val="682043C5"/>
    <w:rsid w:val="684C7D11"/>
    <w:rsid w:val="686221EF"/>
    <w:rsid w:val="687867A0"/>
    <w:rsid w:val="687F1D3F"/>
    <w:rsid w:val="68875657"/>
    <w:rsid w:val="6896018D"/>
    <w:rsid w:val="68A225B6"/>
    <w:rsid w:val="68AF3303"/>
    <w:rsid w:val="68F85A93"/>
    <w:rsid w:val="68FC66A6"/>
    <w:rsid w:val="698A2A68"/>
    <w:rsid w:val="69BD794E"/>
    <w:rsid w:val="69D769FE"/>
    <w:rsid w:val="69EB232E"/>
    <w:rsid w:val="69F672F9"/>
    <w:rsid w:val="6A4B3941"/>
    <w:rsid w:val="6A964ADE"/>
    <w:rsid w:val="6AAA6970"/>
    <w:rsid w:val="6B090D04"/>
    <w:rsid w:val="6B0A5133"/>
    <w:rsid w:val="6B133B73"/>
    <w:rsid w:val="6B145917"/>
    <w:rsid w:val="6B4359D7"/>
    <w:rsid w:val="6B4A1414"/>
    <w:rsid w:val="6B560378"/>
    <w:rsid w:val="6B96584B"/>
    <w:rsid w:val="6C17400F"/>
    <w:rsid w:val="6C2619DF"/>
    <w:rsid w:val="6CAB34E1"/>
    <w:rsid w:val="6CBA2651"/>
    <w:rsid w:val="6CBB22A6"/>
    <w:rsid w:val="6CBD00B8"/>
    <w:rsid w:val="6CCA0010"/>
    <w:rsid w:val="6D005EE0"/>
    <w:rsid w:val="6D345222"/>
    <w:rsid w:val="6D772ED4"/>
    <w:rsid w:val="6DB72E17"/>
    <w:rsid w:val="6DD32815"/>
    <w:rsid w:val="6DE566FA"/>
    <w:rsid w:val="6DF06A76"/>
    <w:rsid w:val="6DFA491B"/>
    <w:rsid w:val="6E593C44"/>
    <w:rsid w:val="6E5A20F6"/>
    <w:rsid w:val="6E5B10FB"/>
    <w:rsid w:val="6E637317"/>
    <w:rsid w:val="6E7112FA"/>
    <w:rsid w:val="6E7329D0"/>
    <w:rsid w:val="6E8C467E"/>
    <w:rsid w:val="6E9E20A2"/>
    <w:rsid w:val="6F4342ED"/>
    <w:rsid w:val="6F5452A9"/>
    <w:rsid w:val="6F7752E8"/>
    <w:rsid w:val="6F9C6528"/>
    <w:rsid w:val="6F9D0770"/>
    <w:rsid w:val="6FA24E1C"/>
    <w:rsid w:val="6FA910A6"/>
    <w:rsid w:val="6FC857EE"/>
    <w:rsid w:val="6FDB075A"/>
    <w:rsid w:val="6FDB4CD3"/>
    <w:rsid w:val="702C1928"/>
    <w:rsid w:val="70741A5C"/>
    <w:rsid w:val="7078367F"/>
    <w:rsid w:val="707F6F7B"/>
    <w:rsid w:val="70851611"/>
    <w:rsid w:val="70892F64"/>
    <w:rsid w:val="709018B3"/>
    <w:rsid w:val="70C90E90"/>
    <w:rsid w:val="70CC76A3"/>
    <w:rsid w:val="70E04E2F"/>
    <w:rsid w:val="714712BD"/>
    <w:rsid w:val="71766AFA"/>
    <w:rsid w:val="719E09EB"/>
    <w:rsid w:val="71B42BB2"/>
    <w:rsid w:val="71BA537F"/>
    <w:rsid w:val="71C239ED"/>
    <w:rsid w:val="72193444"/>
    <w:rsid w:val="72211F1C"/>
    <w:rsid w:val="72397CDC"/>
    <w:rsid w:val="725B4611"/>
    <w:rsid w:val="72B81C83"/>
    <w:rsid w:val="732C624E"/>
    <w:rsid w:val="73716CB9"/>
    <w:rsid w:val="73751E7B"/>
    <w:rsid w:val="737D3693"/>
    <w:rsid w:val="739D1E32"/>
    <w:rsid w:val="73D82E8B"/>
    <w:rsid w:val="740B4E41"/>
    <w:rsid w:val="742F565F"/>
    <w:rsid w:val="744A1C82"/>
    <w:rsid w:val="748A5EFC"/>
    <w:rsid w:val="74E14CE5"/>
    <w:rsid w:val="74ED2B6E"/>
    <w:rsid w:val="7521071D"/>
    <w:rsid w:val="757A5403"/>
    <w:rsid w:val="75B01191"/>
    <w:rsid w:val="76177625"/>
    <w:rsid w:val="761C0858"/>
    <w:rsid w:val="761D0C47"/>
    <w:rsid w:val="761E0FBB"/>
    <w:rsid w:val="766E7C29"/>
    <w:rsid w:val="76EA47C0"/>
    <w:rsid w:val="77012B44"/>
    <w:rsid w:val="77420447"/>
    <w:rsid w:val="775B3E38"/>
    <w:rsid w:val="776B058B"/>
    <w:rsid w:val="776D0A4A"/>
    <w:rsid w:val="77741C54"/>
    <w:rsid w:val="77A77E7E"/>
    <w:rsid w:val="77E06EAE"/>
    <w:rsid w:val="77F75D29"/>
    <w:rsid w:val="77FE0785"/>
    <w:rsid w:val="78152410"/>
    <w:rsid w:val="785D4348"/>
    <w:rsid w:val="78933D87"/>
    <w:rsid w:val="78B20C01"/>
    <w:rsid w:val="79001587"/>
    <w:rsid w:val="79307B0B"/>
    <w:rsid w:val="794D658D"/>
    <w:rsid w:val="7965269A"/>
    <w:rsid w:val="797D3CD3"/>
    <w:rsid w:val="79802548"/>
    <w:rsid w:val="79936090"/>
    <w:rsid w:val="799B0C05"/>
    <w:rsid w:val="79A72BC9"/>
    <w:rsid w:val="79A82455"/>
    <w:rsid w:val="79BB0283"/>
    <w:rsid w:val="79D41E10"/>
    <w:rsid w:val="79E57B3D"/>
    <w:rsid w:val="7A111887"/>
    <w:rsid w:val="7A343B1E"/>
    <w:rsid w:val="7A621668"/>
    <w:rsid w:val="7A816952"/>
    <w:rsid w:val="7AC1738B"/>
    <w:rsid w:val="7B2A4946"/>
    <w:rsid w:val="7B8D123E"/>
    <w:rsid w:val="7B8F0B24"/>
    <w:rsid w:val="7C62234E"/>
    <w:rsid w:val="7C7B2053"/>
    <w:rsid w:val="7C8B22AE"/>
    <w:rsid w:val="7CF80D87"/>
    <w:rsid w:val="7D202897"/>
    <w:rsid w:val="7D271393"/>
    <w:rsid w:val="7D4055F1"/>
    <w:rsid w:val="7D412FA9"/>
    <w:rsid w:val="7D44264F"/>
    <w:rsid w:val="7D6B6E4D"/>
    <w:rsid w:val="7D7B0291"/>
    <w:rsid w:val="7DD57452"/>
    <w:rsid w:val="7DDE3806"/>
    <w:rsid w:val="7E003733"/>
    <w:rsid w:val="7E1661D3"/>
    <w:rsid w:val="7E537138"/>
    <w:rsid w:val="7EB05958"/>
    <w:rsid w:val="7ED346E5"/>
    <w:rsid w:val="7F146C9B"/>
    <w:rsid w:val="7F476FD4"/>
    <w:rsid w:val="7F5A577B"/>
    <w:rsid w:val="7F786C04"/>
    <w:rsid w:val="7FE71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420" w:firstLineChars="200"/>
    </w:pPr>
  </w:style>
  <w:style w:type="paragraph" w:styleId="6">
    <w:name w:val="Document Map"/>
    <w:basedOn w:val="1"/>
    <w:semiHidden/>
    <w:qFormat/>
    <w:uiPriority w:val="0"/>
    <w:pPr>
      <w:shd w:val="clear" w:color="auto" w:fill="000080"/>
    </w:pPr>
  </w:style>
  <w:style w:type="paragraph" w:styleId="7">
    <w:name w:val="Body Text Indent"/>
    <w:basedOn w:val="1"/>
    <w:qFormat/>
    <w:uiPriority w:val="0"/>
    <w:pPr>
      <w:ind w:firstLine="640" w:firstLineChars="200"/>
    </w:pPr>
    <w:rPr>
      <w:sz w:val="32"/>
    </w:rPr>
  </w:style>
  <w:style w:type="paragraph" w:styleId="8">
    <w:name w:val="Block Text"/>
    <w:basedOn w:val="1"/>
    <w:qFormat/>
    <w:uiPriority w:val="0"/>
    <w:pPr>
      <w:ind w:left="2" w:leftChars="1" w:right="57" w:firstLine="537" w:firstLineChars="179"/>
      <w:jc w:val="left"/>
    </w:pPr>
    <w:rPr>
      <w:rFonts w:ascii="华文中宋" w:hAnsi="华文中宋" w:eastAsia="华文中宋"/>
      <w:sz w:val="30"/>
      <w:szCs w:val="30"/>
    </w:rPr>
  </w:style>
  <w:style w:type="paragraph" w:styleId="9">
    <w:name w:val="toc 3"/>
    <w:basedOn w:val="1"/>
    <w:next w:val="1"/>
    <w:qFormat/>
    <w:uiPriority w:val="39"/>
    <w:pPr>
      <w:ind w:left="840" w:leftChars="400"/>
    </w:pPr>
  </w:style>
  <w:style w:type="paragraph" w:styleId="10">
    <w:name w:val="Plain Text"/>
    <w:basedOn w:val="1"/>
    <w:link w:val="28"/>
    <w:qFormat/>
    <w:uiPriority w:val="0"/>
    <w:rPr>
      <w:rFonts w:ascii="宋体" w:hAnsi="Courier New"/>
    </w:rPr>
  </w:style>
  <w:style w:type="paragraph" w:styleId="11">
    <w:name w:val="Date"/>
    <w:basedOn w:val="1"/>
    <w:next w:val="1"/>
    <w:link w:val="32"/>
    <w:qFormat/>
    <w:uiPriority w:val="0"/>
    <w:pPr>
      <w:ind w:left="100" w:leftChars="2500"/>
    </w:pPr>
  </w:style>
  <w:style w:type="paragraph" w:styleId="12">
    <w:name w:val="Balloon Text"/>
    <w:basedOn w:val="1"/>
    <w:link w:val="42"/>
    <w:qFormat/>
    <w:uiPriority w:val="0"/>
    <w:rPr>
      <w:sz w:val="18"/>
      <w:szCs w:val="18"/>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link w:val="30"/>
    <w:qFormat/>
    <w:uiPriority w:val="99"/>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39"/>
    <w:pPr>
      <w:tabs>
        <w:tab w:val="right" w:leader="dot" w:pos="9231"/>
      </w:tabs>
      <w:spacing w:line="360" w:lineRule="auto"/>
    </w:pPr>
  </w:style>
  <w:style w:type="paragraph" w:styleId="16">
    <w:name w:val="Subtitle"/>
    <w:basedOn w:val="1"/>
    <w:next w:val="1"/>
    <w:link w:val="34"/>
    <w:qFormat/>
    <w:uiPriority w:val="0"/>
    <w:pPr>
      <w:spacing w:beforeLines="50" w:afterLines="50" w:line="360" w:lineRule="auto"/>
      <w:jc w:val="center"/>
    </w:pPr>
    <w:rPr>
      <w:rFonts w:ascii="宋体" w:hAnsi="宋体" w:eastAsia="黑体" w:cstheme="majorBidi"/>
      <w:bCs/>
      <w:color w:val="00B0F0"/>
      <w:kern w:val="28"/>
      <w:sz w:val="24"/>
      <w:szCs w:val="32"/>
    </w:rPr>
  </w:style>
  <w:style w:type="paragraph" w:styleId="17">
    <w:name w:val="Body Text Indent 3"/>
    <w:basedOn w:val="1"/>
    <w:qFormat/>
    <w:uiPriority w:val="0"/>
    <w:pPr>
      <w:spacing w:after="120"/>
      <w:ind w:left="420" w:leftChars="200"/>
    </w:pPr>
    <w:rPr>
      <w:sz w:val="16"/>
    </w:rPr>
  </w:style>
  <w:style w:type="paragraph" w:styleId="18">
    <w:name w:val="toc 2"/>
    <w:basedOn w:val="1"/>
    <w:next w:val="1"/>
    <w:qFormat/>
    <w:uiPriority w:val="39"/>
    <w:pPr>
      <w:ind w:left="420" w:leftChars="200"/>
    </w:pPr>
  </w:style>
  <w:style w:type="paragraph" w:styleId="19">
    <w:name w:val="Normal (Web)"/>
    <w:basedOn w:val="1"/>
    <w:qFormat/>
    <w:uiPriority w:val="0"/>
    <w:pPr>
      <w:spacing w:before="100" w:beforeAutospacing="1" w:after="100" w:afterAutospacing="1"/>
      <w:jc w:val="left"/>
    </w:pPr>
    <w:rPr>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Hyperlink"/>
    <w:basedOn w:val="22"/>
    <w:qFormat/>
    <w:uiPriority w:val="99"/>
    <w:rPr>
      <w:color w:val="0000FF"/>
      <w:u w:val="single"/>
    </w:rPr>
  </w:style>
  <w:style w:type="paragraph" w:customStyle="1" w:styleId="26">
    <w:name w:val="Char Char Char Char Char Char Char1"/>
    <w:basedOn w:val="1"/>
    <w:qFormat/>
    <w:uiPriority w:val="0"/>
    <w:rPr>
      <w:szCs w:val="24"/>
    </w:rPr>
  </w:style>
  <w:style w:type="paragraph" w:customStyle="1" w:styleId="27">
    <w:name w:val="纯文本1"/>
    <w:basedOn w:val="1"/>
    <w:qFormat/>
    <w:uiPriority w:val="0"/>
    <w:pPr>
      <w:adjustRightInd w:val="0"/>
      <w:textAlignment w:val="baseline"/>
    </w:pPr>
    <w:rPr>
      <w:rFonts w:ascii="宋体" w:hAnsi="Courier New"/>
    </w:rPr>
  </w:style>
  <w:style w:type="character" w:customStyle="1" w:styleId="28">
    <w:name w:val="纯文本 Char"/>
    <w:basedOn w:val="22"/>
    <w:link w:val="10"/>
    <w:qFormat/>
    <w:uiPriority w:val="0"/>
    <w:rPr>
      <w:rFonts w:ascii="宋体" w:hAnsi="Courier New" w:eastAsia="宋体"/>
      <w:kern w:val="2"/>
      <w:sz w:val="21"/>
      <w:lang w:val="en-US" w:eastAsia="zh-CN" w:bidi="ar-SA"/>
    </w:rPr>
  </w:style>
  <w:style w:type="paragraph" w:customStyle="1" w:styleId="29">
    <w:name w:val="Char"/>
    <w:basedOn w:val="1"/>
    <w:qFormat/>
    <w:uiPriority w:val="0"/>
    <w:rPr>
      <w:szCs w:val="24"/>
    </w:rPr>
  </w:style>
  <w:style w:type="character" w:customStyle="1" w:styleId="30">
    <w:name w:val="页眉 Char"/>
    <w:basedOn w:val="22"/>
    <w:link w:val="14"/>
    <w:qFormat/>
    <w:uiPriority w:val="99"/>
    <w:rPr>
      <w:kern w:val="2"/>
      <w:sz w:val="18"/>
    </w:rPr>
  </w:style>
  <w:style w:type="character" w:customStyle="1" w:styleId="31">
    <w:name w:val="页脚 Char"/>
    <w:basedOn w:val="22"/>
    <w:link w:val="13"/>
    <w:qFormat/>
    <w:uiPriority w:val="0"/>
    <w:rPr>
      <w:kern w:val="2"/>
      <w:sz w:val="18"/>
    </w:rPr>
  </w:style>
  <w:style w:type="character" w:customStyle="1" w:styleId="32">
    <w:name w:val="日期 Char"/>
    <w:basedOn w:val="22"/>
    <w:link w:val="11"/>
    <w:qFormat/>
    <w:uiPriority w:val="0"/>
    <w:rPr>
      <w:kern w:val="2"/>
      <w:sz w:val="21"/>
    </w:rPr>
  </w:style>
  <w:style w:type="paragraph" w:styleId="33">
    <w:name w:val="No Spacing"/>
    <w:qFormat/>
    <w:uiPriority w:val="1"/>
    <w:pPr>
      <w:widowControl w:val="0"/>
      <w:jc w:val="center"/>
    </w:pPr>
    <w:rPr>
      <w:rFonts w:ascii="宋体" w:hAnsi="宋体" w:eastAsia="宋体" w:cstheme="minorBidi"/>
      <w:color w:val="FF00FF"/>
      <w:kern w:val="2"/>
      <w:sz w:val="21"/>
      <w:szCs w:val="22"/>
      <w:lang w:val="en-US" w:eastAsia="zh-CN" w:bidi="ar-SA"/>
    </w:rPr>
  </w:style>
  <w:style w:type="character" w:customStyle="1" w:styleId="34">
    <w:name w:val="副标题 Char"/>
    <w:basedOn w:val="22"/>
    <w:link w:val="16"/>
    <w:qFormat/>
    <w:uiPriority w:val="0"/>
    <w:rPr>
      <w:rFonts w:ascii="宋体" w:hAnsi="宋体" w:eastAsia="黑体" w:cstheme="majorBidi"/>
      <w:bCs/>
      <w:color w:val="00B0F0"/>
      <w:kern w:val="28"/>
      <w:sz w:val="24"/>
      <w:szCs w:val="32"/>
    </w:rPr>
  </w:style>
  <w:style w:type="paragraph" w:styleId="35">
    <w:name w:val="List Paragraph"/>
    <w:basedOn w:val="1"/>
    <w:unhideWhenUsed/>
    <w:qFormat/>
    <w:uiPriority w:val="99"/>
    <w:pPr>
      <w:ind w:firstLine="420" w:firstLineChars="200"/>
    </w:pPr>
  </w:style>
  <w:style w:type="paragraph" w:customStyle="1" w:styleId="36">
    <w:name w:val="列出段落1"/>
    <w:basedOn w:val="1"/>
    <w:qFormat/>
    <w:uiPriority w:val="99"/>
    <w:pPr>
      <w:ind w:firstLine="420" w:firstLineChars="200"/>
    </w:pPr>
    <w:rPr>
      <w:szCs w:val="21"/>
    </w:rPr>
  </w:style>
  <w:style w:type="paragraph" w:customStyle="1" w:styleId="37">
    <w:name w:val="p"/>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9">
    <w:name w:val="无间隔1"/>
    <w:qFormat/>
    <w:uiPriority w:val="1"/>
    <w:pPr>
      <w:widowControl w:val="0"/>
      <w:jc w:val="center"/>
    </w:pPr>
    <w:rPr>
      <w:rFonts w:ascii="宋体" w:hAnsi="宋体" w:eastAsia="宋体" w:cs="Times New Roman"/>
      <w:color w:val="FF00FF"/>
      <w:kern w:val="2"/>
      <w:sz w:val="21"/>
      <w:szCs w:val="22"/>
      <w:lang w:val="en-US" w:eastAsia="zh-CN" w:bidi="ar-SA"/>
    </w:rPr>
  </w:style>
  <w:style w:type="paragraph" w:customStyle="1" w:styleId="40">
    <w:name w:val="纯文本2"/>
    <w:basedOn w:val="1"/>
    <w:qFormat/>
    <w:uiPriority w:val="0"/>
    <w:pPr>
      <w:adjustRightInd w:val="0"/>
      <w:textAlignment w:val="baseline"/>
    </w:pPr>
    <w:rPr>
      <w:rFonts w:ascii="宋体" w:hAnsi="Courier New"/>
    </w:rPr>
  </w:style>
  <w:style w:type="paragraph" w:customStyle="1" w:styleId="41">
    <w:name w:val="样式7"/>
    <w:basedOn w:val="1"/>
    <w:qFormat/>
    <w:uiPriority w:val="0"/>
    <w:pPr>
      <w:spacing w:line="360" w:lineRule="auto"/>
      <w:ind w:firstLine="567"/>
    </w:pPr>
    <w:rPr>
      <w:rFonts w:ascii="仿宋_GB2312" w:eastAsia="仿宋_GB2312"/>
      <w:sz w:val="28"/>
    </w:rPr>
  </w:style>
  <w:style w:type="character" w:customStyle="1" w:styleId="42">
    <w:name w:val="批注框文本 Char"/>
    <w:basedOn w:val="22"/>
    <w:link w:val="1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er" Target="foot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1"/>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125F6C-81F9-4202-BDC9-7A86632D1335}">
  <ds:schemaRefs/>
</ds:datastoreItem>
</file>

<file path=docProps/app.xml><?xml version="1.0" encoding="utf-8"?>
<Properties xmlns="http://schemas.openxmlformats.org/officeDocument/2006/extended-properties" xmlns:vt="http://schemas.openxmlformats.org/officeDocument/2006/docPropsVTypes">
  <Template>Normal</Template>
  <Company>www.ftpdown.com</Company>
  <Pages>62</Pages>
  <Words>5642</Words>
  <Characters>32162</Characters>
  <Lines>268</Lines>
  <Paragraphs>75</Paragraphs>
  <TotalTime>47</TotalTime>
  <ScaleCrop>false</ScaleCrop>
  <LinksUpToDate>false</LinksUpToDate>
  <CharactersWithSpaces>37729</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2018-08-01T09:59:00Z</dcterms:created>
  <dc:creator>FtpDown</dc:creator>
  <cp:lastModifiedBy>Administrator</cp:lastModifiedBy>
  <cp:lastPrinted>2020-04-29T08:26:59Z</cp:lastPrinted>
  <dcterms:modified xsi:type="dcterms:W3CDTF">2020-04-29T08:54:47Z</dcterms:modified>
  <dc:title>房地产抵押估价报告</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