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15" w:firstLineChars="783"/>
        <w:outlineLvl w:val="0"/>
        <w:rPr>
          <w:rFonts w:hint="eastAsia" w:ascii="仿宋" w:hAnsi="仿宋" w:eastAsia="仿宋" w:cs="仿宋"/>
          <w:b/>
          <w:position w:val="10"/>
          <w:sz w:val="32"/>
          <w:szCs w:val="32"/>
        </w:rPr>
      </w:pPr>
      <w:bookmarkStart w:id="0" w:name="_Toc237405182"/>
      <w:r>
        <w:rPr>
          <w:rFonts w:hint="eastAsia" w:ascii="仿宋" w:hAnsi="仿宋" w:eastAsia="仿宋" w:cs="仿宋"/>
          <w:b/>
          <w:position w:val="10"/>
          <w:sz w:val="32"/>
          <w:szCs w:val="32"/>
        </w:rPr>
        <w:t>第四部分   房地产估价结果报告</w:t>
      </w:r>
      <w:bookmarkEnd w:id="0"/>
    </w:p>
    <w:p>
      <w:pPr>
        <w:spacing w:line="500" w:lineRule="exact"/>
        <w:outlineLvl w:val="1"/>
        <w:rPr>
          <w:rFonts w:hint="eastAsia" w:ascii="仿宋" w:hAnsi="仿宋" w:eastAsia="仿宋" w:cs="仿宋"/>
          <w:b/>
          <w:position w:val="10"/>
          <w:sz w:val="28"/>
          <w:szCs w:val="28"/>
        </w:rPr>
      </w:pPr>
      <w:bookmarkStart w:id="1" w:name="_Toc237405183"/>
      <w:r>
        <w:rPr>
          <w:rFonts w:hint="eastAsia" w:ascii="仿宋" w:hAnsi="仿宋" w:eastAsia="仿宋" w:cs="仿宋"/>
          <w:b/>
          <w:position w:val="10"/>
          <w:sz w:val="28"/>
          <w:szCs w:val="28"/>
        </w:rPr>
        <w:t>一、</w:t>
      </w:r>
      <w:bookmarkEnd w:id="1"/>
      <w:r>
        <w:rPr>
          <w:rFonts w:hint="eastAsia" w:ascii="仿宋" w:hAnsi="仿宋" w:eastAsia="仿宋" w:cs="仿宋"/>
          <w:b/>
          <w:position w:val="10"/>
          <w:sz w:val="28"/>
          <w:szCs w:val="28"/>
        </w:rPr>
        <w:t>估价委托人</w:t>
      </w:r>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委托人名称：安徽省凤阳县人民法院</w:t>
      </w:r>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委托人地址：安徽省滁州市凤阳县西华路</w:t>
      </w:r>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联系人：    焦杰</w:t>
      </w:r>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联系电话：  18110752973</w:t>
      </w:r>
    </w:p>
    <w:p>
      <w:pPr>
        <w:spacing w:line="500" w:lineRule="exact"/>
        <w:outlineLvl w:val="1"/>
        <w:rPr>
          <w:rFonts w:hint="eastAsia" w:ascii="仿宋" w:hAnsi="仿宋" w:eastAsia="仿宋" w:cs="仿宋"/>
          <w:b/>
          <w:position w:val="10"/>
          <w:sz w:val="28"/>
          <w:szCs w:val="28"/>
        </w:rPr>
      </w:pPr>
      <w:bookmarkStart w:id="2" w:name="_Toc237405184"/>
      <w:r>
        <w:rPr>
          <w:rFonts w:hint="eastAsia" w:ascii="仿宋" w:hAnsi="仿宋" w:eastAsia="仿宋" w:cs="仿宋"/>
          <w:b/>
          <w:position w:val="10"/>
          <w:sz w:val="28"/>
          <w:szCs w:val="28"/>
        </w:rPr>
        <w:t>二、</w:t>
      </w:r>
      <w:bookmarkEnd w:id="2"/>
      <w:r>
        <w:rPr>
          <w:rFonts w:hint="eastAsia" w:ascii="仿宋" w:hAnsi="仿宋" w:eastAsia="仿宋" w:cs="仿宋"/>
          <w:b/>
          <w:position w:val="10"/>
          <w:sz w:val="28"/>
          <w:szCs w:val="28"/>
        </w:rPr>
        <w:t>房地产估价机构</w:t>
      </w:r>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单位名称：合肥市房地产土地评估事务所有限公司</w:t>
      </w:r>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单位资质：国家一级房地产估价机构资格</w:t>
      </w:r>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地    址：合肥市宿州路238号房地产大厦B座七楼</w:t>
      </w:r>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法人代表：王定保</w:t>
      </w:r>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资质编号：GA171002</w:t>
      </w:r>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联系电话：0551-62629350</w:t>
      </w:r>
    </w:p>
    <w:p>
      <w:pPr>
        <w:spacing w:line="500" w:lineRule="exact"/>
        <w:outlineLvl w:val="1"/>
        <w:rPr>
          <w:rFonts w:hint="eastAsia" w:ascii="仿宋" w:hAnsi="仿宋" w:eastAsia="仿宋" w:cs="仿宋"/>
          <w:b/>
          <w:position w:val="10"/>
          <w:sz w:val="28"/>
          <w:szCs w:val="28"/>
        </w:rPr>
      </w:pPr>
      <w:bookmarkStart w:id="3" w:name="_Toc237405186"/>
      <w:r>
        <w:rPr>
          <w:rFonts w:hint="eastAsia" w:ascii="仿宋" w:hAnsi="仿宋" w:eastAsia="仿宋" w:cs="仿宋"/>
          <w:b/>
          <w:position w:val="10"/>
          <w:sz w:val="28"/>
          <w:szCs w:val="28"/>
        </w:rPr>
        <w:t>三、估价目的</w:t>
      </w:r>
      <w:bookmarkEnd w:id="3"/>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估价目的：为人民法院确定财产处置参考价提供参考依据。</w:t>
      </w:r>
    </w:p>
    <w:p>
      <w:pPr>
        <w:spacing w:line="500" w:lineRule="exact"/>
        <w:outlineLvl w:val="1"/>
        <w:rPr>
          <w:rFonts w:hint="eastAsia" w:ascii="仿宋" w:hAnsi="仿宋" w:eastAsia="仿宋" w:cs="仿宋"/>
          <w:b/>
          <w:position w:val="10"/>
          <w:sz w:val="28"/>
          <w:szCs w:val="28"/>
        </w:rPr>
      </w:pPr>
      <w:bookmarkStart w:id="4" w:name="_Toc237405185"/>
      <w:r>
        <w:rPr>
          <w:rFonts w:hint="eastAsia" w:ascii="仿宋" w:hAnsi="仿宋" w:eastAsia="仿宋" w:cs="仿宋"/>
          <w:b/>
          <w:position w:val="10"/>
          <w:sz w:val="28"/>
          <w:szCs w:val="28"/>
        </w:rPr>
        <w:t>四、估价对象</w:t>
      </w:r>
      <w:bookmarkEnd w:id="4"/>
    </w:p>
    <w:p>
      <w:pPr>
        <w:adjustRightInd w:val="0"/>
        <w:snapToGrid w:val="0"/>
        <w:spacing w:line="500" w:lineRule="exact"/>
        <w:ind w:right="-223" w:rightChars="-106"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估价对象为凤阳县府城镇花铺廊街西侧56-4号住宅房地产。</w:t>
      </w:r>
    </w:p>
    <w:p>
      <w:pPr>
        <w:numPr>
          <w:ilvl w:val="0"/>
          <w:numId w:val="1"/>
        </w:numPr>
        <w:adjustRightInd w:val="0"/>
        <w:snapToGrid w:val="0"/>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估价对象基本状况：</w:t>
      </w:r>
    </w:p>
    <w:p>
      <w:pPr>
        <w:adjustRightInd w:val="0"/>
        <w:snapToGrid w:val="0"/>
        <w:spacing w:line="500" w:lineRule="exact"/>
        <w:jc w:val="center"/>
        <w:rPr>
          <w:rFonts w:hint="eastAsia" w:ascii="仿宋" w:hAnsi="仿宋" w:eastAsia="仿宋" w:cs="仿宋"/>
          <w:b/>
          <w:position w:val="10"/>
          <w:sz w:val="28"/>
          <w:szCs w:val="28"/>
        </w:rPr>
      </w:pPr>
      <w:r>
        <w:rPr>
          <w:rFonts w:hint="eastAsia" w:ascii="仿宋" w:hAnsi="仿宋" w:eastAsia="仿宋" w:cs="仿宋"/>
          <w:b/>
          <w:position w:val="10"/>
          <w:sz w:val="28"/>
          <w:szCs w:val="28"/>
        </w:rPr>
        <w:t>估价对象一览表</w:t>
      </w:r>
    </w:p>
    <w:tbl>
      <w:tblPr>
        <w:tblStyle w:val="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770"/>
        <w:gridCol w:w="949"/>
        <w:gridCol w:w="53"/>
        <w:gridCol w:w="536"/>
        <w:gridCol w:w="491"/>
        <w:gridCol w:w="480"/>
        <w:gridCol w:w="1219"/>
        <w:gridCol w:w="1599"/>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7"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估价对象</w:t>
            </w:r>
          </w:p>
        </w:tc>
        <w:tc>
          <w:tcPr>
            <w:tcW w:w="7497" w:type="dxa"/>
            <w:gridSpan w:val="9"/>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凤阳县府城镇花铺廊街西侧56-4号住宅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7"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产权方</w:t>
            </w:r>
          </w:p>
        </w:tc>
        <w:tc>
          <w:tcPr>
            <w:tcW w:w="1772" w:type="dxa"/>
            <w:gridSpan w:val="3"/>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马正武</w:t>
            </w:r>
          </w:p>
        </w:tc>
        <w:tc>
          <w:tcPr>
            <w:tcW w:w="1027" w:type="dxa"/>
            <w:gridSpan w:val="2"/>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不动产权证号</w:t>
            </w:r>
          </w:p>
        </w:tc>
        <w:tc>
          <w:tcPr>
            <w:tcW w:w="1699" w:type="dxa"/>
            <w:gridSpan w:val="2"/>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20081307号</w:t>
            </w:r>
          </w:p>
        </w:tc>
        <w:tc>
          <w:tcPr>
            <w:tcW w:w="1599"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规划用途</w:t>
            </w:r>
          </w:p>
        </w:tc>
        <w:tc>
          <w:tcPr>
            <w:tcW w:w="1400"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7"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产权登记建筑面积</w:t>
            </w:r>
          </w:p>
        </w:tc>
        <w:tc>
          <w:tcPr>
            <w:tcW w:w="1772" w:type="dxa"/>
            <w:gridSpan w:val="3"/>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35.14平方米</w:t>
            </w:r>
          </w:p>
        </w:tc>
        <w:tc>
          <w:tcPr>
            <w:tcW w:w="1027" w:type="dxa"/>
            <w:gridSpan w:val="2"/>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结构</w:t>
            </w:r>
          </w:p>
        </w:tc>
        <w:tc>
          <w:tcPr>
            <w:tcW w:w="1699" w:type="dxa"/>
            <w:gridSpan w:val="2"/>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砖瓦</w:t>
            </w:r>
          </w:p>
        </w:tc>
        <w:tc>
          <w:tcPr>
            <w:tcW w:w="1599"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使用现状</w:t>
            </w:r>
          </w:p>
        </w:tc>
        <w:tc>
          <w:tcPr>
            <w:tcW w:w="1400"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7" w:type="dxa"/>
            <w:vAlign w:val="center"/>
          </w:tcPr>
          <w:p>
            <w:pPr>
              <w:pStyle w:val="5"/>
              <w:spacing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所在层/总楼层</w:t>
            </w:r>
          </w:p>
        </w:tc>
        <w:tc>
          <w:tcPr>
            <w:tcW w:w="1772" w:type="dxa"/>
            <w:gridSpan w:val="3"/>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1027" w:type="dxa"/>
            <w:gridSpan w:val="2"/>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坐落</w:t>
            </w:r>
          </w:p>
        </w:tc>
        <w:tc>
          <w:tcPr>
            <w:tcW w:w="1699" w:type="dxa"/>
            <w:gridSpan w:val="2"/>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府城镇花铺廊街西侧56-4号</w:t>
            </w:r>
          </w:p>
        </w:tc>
        <w:tc>
          <w:tcPr>
            <w:tcW w:w="1599"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土地使用权类型</w:t>
            </w:r>
          </w:p>
        </w:tc>
        <w:tc>
          <w:tcPr>
            <w:tcW w:w="1400"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7"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规模</w:t>
            </w:r>
          </w:p>
        </w:tc>
        <w:tc>
          <w:tcPr>
            <w:tcW w:w="1772" w:type="dxa"/>
            <w:gridSpan w:val="3"/>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适中</w:t>
            </w:r>
          </w:p>
        </w:tc>
        <w:tc>
          <w:tcPr>
            <w:tcW w:w="1027" w:type="dxa"/>
            <w:gridSpan w:val="2"/>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建成年代</w:t>
            </w:r>
          </w:p>
        </w:tc>
        <w:tc>
          <w:tcPr>
            <w:tcW w:w="1699" w:type="dxa"/>
            <w:gridSpan w:val="2"/>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建成于2007年（设定）</w:t>
            </w:r>
          </w:p>
        </w:tc>
        <w:tc>
          <w:tcPr>
            <w:tcW w:w="1599"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他项权利状况</w:t>
            </w:r>
          </w:p>
        </w:tc>
        <w:tc>
          <w:tcPr>
            <w:tcW w:w="1400"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未知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7"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坐落范围</w:t>
            </w:r>
          </w:p>
        </w:tc>
        <w:tc>
          <w:tcPr>
            <w:tcW w:w="7497" w:type="dxa"/>
            <w:gridSpan w:val="9"/>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东至：花铺廊街，西至：火巷子，南至：楼西街，北至：府东街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7"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财产范围</w:t>
            </w:r>
          </w:p>
        </w:tc>
        <w:tc>
          <w:tcPr>
            <w:tcW w:w="7497" w:type="dxa"/>
            <w:gridSpan w:val="9"/>
            <w:vAlign w:val="center"/>
          </w:tcPr>
          <w:p>
            <w:pPr>
              <w:pStyle w:val="5"/>
              <w:spacing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包括建筑物（含室内二次装修）、公共配套设施，不包括动产、债权债务、特许经营权等其他财产或权益。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7" w:type="dxa"/>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特殊情况</w:t>
            </w:r>
          </w:p>
        </w:tc>
        <w:tc>
          <w:tcPr>
            <w:tcW w:w="7497" w:type="dxa"/>
            <w:gridSpan w:val="9"/>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估价对象于价值时点存在司法限制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41" w:hRule="atLeast"/>
        </w:trPr>
        <w:tc>
          <w:tcPr>
            <w:tcW w:w="9004"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无证房产</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29" w:hRule="atLeast"/>
        </w:trPr>
        <w:tc>
          <w:tcPr>
            <w:tcW w:w="150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序号</w:t>
            </w:r>
          </w:p>
        </w:tc>
        <w:tc>
          <w:tcPr>
            <w:tcW w:w="77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名称</w:t>
            </w:r>
          </w:p>
        </w:tc>
        <w:tc>
          <w:tcPr>
            <w:tcW w:w="949"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数值</w:t>
            </w:r>
          </w:p>
        </w:tc>
        <w:tc>
          <w:tcPr>
            <w:tcW w:w="589"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单位</w:t>
            </w:r>
          </w:p>
        </w:tc>
        <w:tc>
          <w:tcPr>
            <w:tcW w:w="971"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建筑年代(年）</w:t>
            </w:r>
          </w:p>
        </w:tc>
        <w:tc>
          <w:tcPr>
            <w:tcW w:w="421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状况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56" w:hRule="atLeast"/>
        </w:trPr>
        <w:tc>
          <w:tcPr>
            <w:tcW w:w="150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w:t>
            </w:r>
          </w:p>
        </w:tc>
        <w:tc>
          <w:tcPr>
            <w:tcW w:w="77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自建房</w:t>
            </w:r>
          </w:p>
        </w:tc>
        <w:tc>
          <w:tcPr>
            <w:tcW w:w="949"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19.04</w:t>
            </w:r>
          </w:p>
        </w:tc>
        <w:tc>
          <w:tcPr>
            <w:tcW w:w="589"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w:t>
            </w:r>
          </w:p>
        </w:tc>
        <w:tc>
          <w:tcPr>
            <w:tcW w:w="971"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未知</w:t>
            </w:r>
          </w:p>
        </w:tc>
        <w:tc>
          <w:tcPr>
            <w:tcW w:w="421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混合结构，入室不锈钢防盗门，厨房卫生间墙面墙砖、地面地砖，扣板吊顶；采光窗、墙面粉刷。</w:t>
            </w:r>
          </w:p>
        </w:tc>
      </w:tr>
    </w:tbl>
    <w:p>
      <w:pPr>
        <w:adjustRightInd w:val="0"/>
        <w:snapToGrid w:val="0"/>
        <w:spacing w:line="288" w:lineRule="auto"/>
        <w:rPr>
          <w:rFonts w:hint="eastAsia" w:ascii="仿宋" w:hAnsi="仿宋" w:eastAsia="仿宋" w:cs="仿宋"/>
          <w:position w:val="10"/>
          <w:sz w:val="28"/>
          <w:szCs w:val="28"/>
        </w:rPr>
      </w:pPr>
      <w:r>
        <w:rPr>
          <w:rFonts w:hint="eastAsia" w:ascii="仿宋" w:hAnsi="仿宋" w:eastAsia="仿宋" w:cs="仿宋"/>
          <w:position w:val="10"/>
          <w:sz w:val="28"/>
          <w:szCs w:val="28"/>
        </w:rPr>
        <w:t>（二）土地基本状况：</w:t>
      </w:r>
    </w:p>
    <w:tbl>
      <w:tblPr>
        <w:tblStyle w:val="4"/>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080"/>
        <w:gridCol w:w="160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名称</w:t>
            </w:r>
          </w:p>
        </w:tc>
        <w:tc>
          <w:tcPr>
            <w:tcW w:w="3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凤阳县府城镇花铺廊街西侧56-4号住宅</w:t>
            </w:r>
          </w:p>
        </w:tc>
        <w:tc>
          <w:tcPr>
            <w:tcW w:w="16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土地面积</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建筑物所分摊的土地面积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土地形状</w:t>
            </w:r>
          </w:p>
        </w:tc>
        <w:tc>
          <w:tcPr>
            <w:tcW w:w="3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地块近长方形，易于开发</w:t>
            </w:r>
          </w:p>
        </w:tc>
        <w:tc>
          <w:tcPr>
            <w:tcW w:w="16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环境、景观</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周边环境、景观良好，有利于居住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土地用途</w:t>
            </w:r>
          </w:p>
        </w:tc>
        <w:tc>
          <w:tcPr>
            <w:tcW w:w="3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住宅（设定）</w:t>
            </w:r>
          </w:p>
        </w:tc>
        <w:tc>
          <w:tcPr>
            <w:tcW w:w="16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基础设施完备程度</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五通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地势</w:t>
            </w:r>
          </w:p>
        </w:tc>
        <w:tc>
          <w:tcPr>
            <w:tcW w:w="3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地势平坦，无起伏</w:t>
            </w:r>
          </w:p>
        </w:tc>
        <w:tc>
          <w:tcPr>
            <w:tcW w:w="16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地质</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地块承载力一般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土地平整程度</w:t>
            </w:r>
          </w:p>
        </w:tc>
        <w:tc>
          <w:tcPr>
            <w:tcW w:w="7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估价对象所在的地块土地平整，易于开发。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水文状况</w:t>
            </w:r>
          </w:p>
        </w:tc>
        <w:tc>
          <w:tcPr>
            <w:tcW w:w="7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地表排雨水状况良好，一般无地表积水现象。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规划条件</w:t>
            </w:r>
          </w:p>
        </w:tc>
        <w:tc>
          <w:tcPr>
            <w:tcW w:w="7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估价对象所在的地块规划为居住功能，周边无不利的规划限制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土地开发程度</w:t>
            </w:r>
          </w:p>
        </w:tc>
        <w:tc>
          <w:tcPr>
            <w:tcW w:w="7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估价对象所在的地块已完成开发。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土地利用现状</w:t>
            </w:r>
          </w:p>
        </w:tc>
        <w:tc>
          <w:tcPr>
            <w:tcW w:w="7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估价对象所在的地块的利用现状为多幢住宅，沿街有少量商业设施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权属状况</w:t>
            </w:r>
          </w:p>
        </w:tc>
        <w:tc>
          <w:tcPr>
            <w:tcW w:w="7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委托人未提供土地资料，经《凤阳县镇私有房产所有权申请登记书》记载确定来源为房改房，且未进行二次交易，故土地使用权性质为划拨。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pStyle w:val="5"/>
              <w:rPr>
                <w:rFonts w:hint="eastAsia" w:ascii="仿宋" w:hAnsi="仿宋" w:eastAsia="仿宋" w:cs="仿宋"/>
                <w:color w:val="auto"/>
                <w:sz w:val="24"/>
                <w:szCs w:val="24"/>
              </w:rPr>
            </w:pPr>
            <w:r>
              <w:rPr>
                <w:rFonts w:hint="eastAsia" w:ascii="仿宋" w:hAnsi="仿宋" w:eastAsia="仿宋" w:cs="仿宋"/>
                <w:color w:val="auto"/>
                <w:sz w:val="24"/>
                <w:szCs w:val="24"/>
              </w:rPr>
              <w:t>四至</w:t>
            </w:r>
          </w:p>
        </w:tc>
        <w:tc>
          <w:tcPr>
            <w:tcW w:w="7560" w:type="dxa"/>
            <w:gridSpan w:val="3"/>
            <w:tcBorders>
              <w:top w:val="single" w:color="auto" w:sz="4" w:space="0"/>
              <w:left w:val="single" w:color="auto" w:sz="4" w:space="0"/>
              <w:bottom w:val="single" w:color="auto" w:sz="4" w:space="0"/>
              <w:right w:val="single" w:color="auto" w:sz="4" w:space="0"/>
            </w:tcBorders>
            <w:vAlign w:val="center"/>
          </w:tcPr>
          <w:p>
            <w:pPr>
              <w:pStyle w:val="5"/>
              <w:jc w:val="both"/>
              <w:rPr>
                <w:rFonts w:hint="eastAsia" w:ascii="仿宋" w:hAnsi="仿宋" w:eastAsia="仿宋" w:cs="仿宋"/>
                <w:color w:val="auto"/>
                <w:sz w:val="24"/>
                <w:szCs w:val="24"/>
              </w:rPr>
            </w:pPr>
            <w:r>
              <w:rPr>
                <w:rFonts w:hint="eastAsia" w:ascii="仿宋" w:hAnsi="仿宋" w:eastAsia="仿宋" w:cs="仿宋"/>
                <w:color w:val="auto"/>
                <w:sz w:val="24"/>
                <w:szCs w:val="24"/>
              </w:rPr>
              <w:t>东至：花铺廊街，西至：火巷子，南至：楼西街，北至：府东街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土地使用期限</w:t>
            </w:r>
          </w:p>
        </w:tc>
        <w:tc>
          <w:tcPr>
            <w:tcW w:w="7560" w:type="dxa"/>
            <w:gridSpan w:val="3"/>
            <w:tcBorders>
              <w:top w:val="single" w:color="auto" w:sz="4" w:space="0"/>
              <w:left w:val="single" w:color="auto" w:sz="4" w:space="0"/>
              <w:bottom w:val="single" w:color="auto" w:sz="4" w:space="0"/>
              <w:right w:val="single" w:color="auto" w:sz="4" w:space="0"/>
            </w:tcBorders>
            <w:vAlign w:val="center"/>
          </w:tcPr>
          <w:p>
            <w:pPr>
              <w:widowControl/>
              <w:spacing w:line="159" w:lineRule="atLeast"/>
              <w:rPr>
                <w:rFonts w:hint="eastAsia" w:ascii="仿宋" w:hAnsi="仿宋" w:eastAsia="仿宋" w:cs="仿宋"/>
                <w:sz w:val="24"/>
                <w:szCs w:val="24"/>
              </w:rPr>
            </w:pPr>
            <w:r>
              <w:rPr>
                <w:rFonts w:hint="eastAsia" w:ascii="仿宋" w:hAnsi="仿宋" w:eastAsia="仿宋" w:cs="仿宋"/>
                <w:sz w:val="24"/>
                <w:szCs w:val="24"/>
              </w:rPr>
              <w:t>委托人未提供土地资料，故本次设定</w:t>
            </w:r>
            <w:r>
              <w:rPr>
                <w:rFonts w:hint="eastAsia" w:ascii="仿宋" w:hAnsi="仿宋" w:eastAsia="仿宋" w:cs="仿宋"/>
                <w:sz w:val="24"/>
                <w:szCs w:val="24"/>
                <w:lang w:val="en-US" w:eastAsia="zh-CN"/>
              </w:rPr>
              <w:t>自价值时点</w:t>
            </w:r>
            <w:r>
              <w:rPr>
                <w:rFonts w:hint="eastAsia" w:ascii="仿宋" w:hAnsi="仿宋" w:eastAsia="仿宋" w:cs="仿宋"/>
                <w:sz w:val="24"/>
                <w:szCs w:val="24"/>
              </w:rPr>
              <w:t>剩余土地使用期限为56年。</w:t>
            </w:r>
          </w:p>
        </w:tc>
      </w:tr>
    </w:tbl>
    <w:p>
      <w:pPr>
        <w:adjustRightInd w:val="0"/>
        <w:snapToGrid w:val="0"/>
        <w:spacing w:line="288" w:lineRule="auto"/>
        <w:rPr>
          <w:rFonts w:hint="eastAsia" w:ascii="仿宋" w:hAnsi="仿宋" w:eastAsia="仿宋" w:cs="仿宋"/>
          <w:position w:val="10"/>
          <w:sz w:val="28"/>
          <w:szCs w:val="28"/>
        </w:rPr>
      </w:pPr>
      <w:r>
        <w:rPr>
          <w:rFonts w:hint="eastAsia" w:ascii="仿宋" w:hAnsi="仿宋" w:eastAsia="仿宋" w:cs="仿宋"/>
          <w:position w:val="10"/>
          <w:sz w:val="28"/>
          <w:szCs w:val="28"/>
        </w:rPr>
        <w:t>（三）建筑物基本状况：</w:t>
      </w:r>
    </w:p>
    <w:tbl>
      <w:tblPr>
        <w:tblStyle w:val="4"/>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06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bookmarkStart w:id="5" w:name="_Toc237405187"/>
            <w:r>
              <w:rPr>
                <w:rFonts w:hint="eastAsia" w:ascii="仿宋" w:hAnsi="仿宋" w:eastAsia="仿宋" w:cs="仿宋"/>
                <w:sz w:val="24"/>
                <w:szCs w:val="24"/>
              </w:rPr>
              <w:t>名称</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凤阳县府城镇花铺廊街西侧56-4号住宅</w:t>
            </w:r>
          </w:p>
        </w:tc>
        <w:tc>
          <w:tcPr>
            <w:tcW w:w="162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不动产权证号</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20081307号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所有权人</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rPr>
                <w:rFonts w:hint="eastAsia" w:ascii="仿宋" w:hAnsi="仿宋" w:eastAsia="仿宋" w:cs="仿宋"/>
                <w:color w:val="auto"/>
                <w:sz w:val="24"/>
                <w:szCs w:val="24"/>
              </w:rPr>
            </w:pPr>
            <w:r>
              <w:rPr>
                <w:rFonts w:hint="eastAsia" w:ascii="仿宋" w:hAnsi="仿宋" w:eastAsia="仿宋" w:cs="仿宋"/>
                <w:color w:val="auto"/>
                <w:sz w:val="24"/>
                <w:szCs w:val="24"/>
              </w:rPr>
              <w:t>马正武</w:t>
            </w:r>
          </w:p>
        </w:tc>
        <w:tc>
          <w:tcPr>
            <w:tcW w:w="162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建设面积</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35.14平方米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规划用途</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住宅</w:t>
            </w:r>
          </w:p>
        </w:tc>
        <w:tc>
          <w:tcPr>
            <w:tcW w:w="162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层数/总层数</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建筑结构</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砖瓦</w:t>
            </w:r>
          </w:p>
        </w:tc>
        <w:tc>
          <w:tcPr>
            <w:tcW w:w="162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层高</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平面布置</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合理</w:t>
            </w:r>
          </w:p>
        </w:tc>
        <w:tc>
          <w:tcPr>
            <w:tcW w:w="162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工程质量</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设施设备</w:t>
            </w:r>
          </w:p>
        </w:tc>
        <w:tc>
          <w:tcPr>
            <w:tcW w:w="7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估价对象的供水、供电、通讯、卫生、照明等系统和设备配置齐全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装饰装修</w:t>
            </w:r>
          </w:p>
        </w:tc>
        <w:tc>
          <w:tcPr>
            <w:tcW w:w="7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房屋外立面为水泥粉刷，入室不锈钢防盗门，客厅地面地砖，扣板吊顶，墙面涂料，卧室墙面涂料、地面地砖、窗户为采光窗；厨房卫生间地面为地板砖，内墙为墙砖，扣板吊顶。根据估价人员进入室内查勘的情况，设定估价对象内部为简单装修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空间布局</w:t>
            </w:r>
          </w:p>
        </w:tc>
        <w:tc>
          <w:tcPr>
            <w:tcW w:w="7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根据估价人员进入室内进行查勘，估价对象总层数一层，所在层一层，估价对象的空间布局合理。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建成时间</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建成于2007年（设定）</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完损状况</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完整，无破损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使用及维护状况</w:t>
            </w:r>
          </w:p>
        </w:tc>
        <w:tc>
          <w:tcPr>
            <w:tcW w:w="7560" w:type="dxa"/>
            <w:gridSpan w:val="3"/>
            <w:tcBorders>
              <w:top w:val="single" w:color="auto" w:sz="4" w:space="0"/>
              <w:left w:val="single" w:color="auto" w:sz="4" w:space="0"/>
              <w:bottom w:val="single" w:color="auto" w:sz="4" w:space="0"/>
              <w:right w:val="single" w:color="auto" w:sz="4" w:space="0"/>
            </w:tcBorders>
            <w:vAlign w:val="center"/>
          </w:tcPr>
          <w:p>
            <w:pPr>
              <w:widowControl/>
              <w:spacing w:line="159" w:lineRule="atLeast"/>
              <w:rPr>
                <w:rFonts w:hint="eastAsia" w:ascii="仿宋" w:hAnsi="仿宋" w:eastAsia="仿宋" w:cs="仿宋"/>
                <w:sz w:val="24"/>
                <w:szCs w:val="24"/>
              </w:rPr>
            </w:pPr>
            <w:r>
              <w:rPr>
                <w:rFonts w:hint="eastAsia" w:ascii="仿宋" w:hAnsi="仿宋" w:eastAsia="仿宋" w:cs="仿宋"/>
                <w:sz w:val="24"/>
                <w:szCs w:val="24"/>
              </w:rPr>
              <w:t>估价对象建筑物整体做住宅，用途为居住。根据估价人员进入室内查勘，内部设施设备齐全。外部设施设备较齐全，外部维护保养情况良好。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公共配套设施完备程度</w:t>
            </w:r>
          </w:p>
        </w:tc>
        <w:tc>
          <w:tcPr>
            <w:tcW w:w="7560" w:type="dxa"/>
            <w:gridSpan w:val="3"/>
            <w:tcBorders>
              <w:top w:val="single" w:color="auto" w:sz="4" w:space="0"/>
              <w:left w:val="single" w:color="auto" w:sz="4" w:space="0"/>
              <w:bottom w:val="single" w:color="auto" w:sz="4" w:space="0"/>
              <w:right w:val="single" w:color="auto" w:sz="4" w:space="0"/>
            </w:tcBorders>
            <w:vAlign w:val="center"/>
          </w:tcPr>
          <w:p>
            <w:pPr>
              <w:widowControl/>
              <w:spacing w:line="159" w:lineRule="atLeast"/>
              <w:rPr>
                <w:rFonts w:hint="eastAsia" w:ascii="仿宋" w:hAnsi="仿宋" w:eastAsia="仿宋" w:cs="仿宋"/>
                <w:sz w:val="24"/>
                <w:szCs w:val="24"/>
              </w:rPr>
            </w:pPr>
            <w:r>
              <w:rPr>
                <w:rFonts w:hint="eastAsia" w:ascii="仿宋" w:hAnsi="仿宋" w:eastAsia="仿宋" w:cs="仿宋"/>
                <w:sz w:val="24"/>
                <w:szCs w:val="24"/>
              </w:rPr>
              <w:t>小区公用道路、</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"http://baike.so.com/doc/6470737.html" \t "_blank" </w:instrText>
            </w:r>
            <w:r>
              <w:rPr>
                <w:rFonts w:hint="eastAsia" w:ascii="仿宋" w:hAnsi="仿宋" w:eastAsia="仿宋" w:cs="仿宋"/>
                <w:sz w:val="24"/>
                <w:szCs w:val="24"/>
              </w:rPr>
              <w:fldChar w:fldCharType="separate"/>
            </w:r>
            <w:r>
              <w:rPr>
                <w:rFonts w:hint="eastAsia" w:ascii="仿宋" w:hAnsi="仿宋" w:eastAsia="仿宋" w:cs="仿宋"/>
                <w:sz w:val="24"/>
                <w:szCs w:val="24"/>
              </w:rPr>
              <w:t>公交站场</w:t>
            </w:r>
            <w:r>
              <w:rPr>
                <w:rFonts w:hint="eastAsia" w:ascii="仿宋" w:hAnsi="仿宋" w:eastAsia="仿宋" w:cs="仿宋"/>
                <w:sz w:val="24"/>
                <w:szCs w:val="24"/>
              </w:rPr>
              <w:fldChar w:fldCharType="end"/>
            </w:r>
            <w:r>
              <w:rPr>
                <w:rFonts w:hint="eastAsia" w:ascii="仿宋" w:hAnsi="仿宋" w:eastAsia="仿宋" w:cs="仿宋"/>
                <w:sz w:val="24"/>
                <w:szCs w:val="24"/>
              </w:rPr>
              <w:t>、环卫设施、各类公用管线；教育、医疗卫生、文化体育、</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"http://baike.so.com/doc/1183006.html" \t "_blank" </w:instrText>
            </w:r>
            <w:r>
              <w:rPr>
                <w:rFonts w:hint="eastAsia" w:ascii="仿宋" w:hAnsi="仿宋" w:eastAsia="仿宋" w:cs="仿宋"/>
                <w:sz w:val="24"/>
                <w:szCs w:val="24"/>
              </w:rPr>
              <w:fldChar w:fldCharType="separate"/>
            </w:r>
            <w:r>
              <w:rPr>
                <w:rFonts w:hint="eastAsia" w:ascii="仿宋" w:hAnsi="仿宋" w:eastAsia="仿宋" w:cs="仿宋"/>
                <w:sz w:val="24"/>
                <w:szCs w:val="24"/>
              </w:rPr>
              <w:t>商业服务</w:t>
            </w:r>
            <w:r>
              <w:rPr>
                <w:rFonts w:hint="eastAsia" w:ascii="仿宋" w:hAnsi="仿宋" w:eastAsia="仿宋" w:cs="仿宋"/>
                <w:sz w:val="24"/>
                <w:szCs w:val="24"/>
              </w:rPr>
              <w:fldChar w:fldCharType="end"/>
            </w:r>
            <w:r>
              <w:rPr>
                <w:rFonts w:hint="eastAsia" w:ascii="仿宋" w:hAnsi="仿宋" w:eastAsia="仿宋" w:cs="仿宋"/>
                <w:sz w:val="24"/>
                <w:szCs w:val="24"/>
              </w:rPr>
              <w:t>、行政管理和社区服务和绿地等设施齐备。</w:t>
            </w:r>
          </w:p>
        </w:tc>
      </w:tr>
    </w:tbl>
    <w:p>
      <w:pPr>
        <w:adjustRightInd w:val="0"/>
        <w:snapToGrid w:val="0"/>
        <w:spacing w:line="288" w:lineRule="auto"/>
        <w:rPr>
          <w:rFonts w:hint="eastAsia" w:ascii="仿宋" w:hAnsi="仿宋" w:eastAsia="仿宋" w:cs="仿宋"/>
          <w:position w:val="10"/>
          <w:sz w:val="28"/>
          <w:szCs w:val="28"/>
        </w:rPr>
      </w:pPr>
    </w:p>
    <w:p>
      <w:pPr>
        <w:adjustRightInd w:val="0"/>
        <w:snapToGrid w:val="0"/>
        <w:spacing w:line="288" w:lineRule="auto"/>
        <w:rPr>
          <w:rFonts w:hint="eastAsia" w:ascii="仿宋" w:hAnsi="仿宋" w:eastAsia="仿宋" w:cs="仿宋"/>
          <w:position w:val="10"/>
          <w:sz w:val="28"/>
          <w:szCs w:val="28"/>
        </w:rPr>
      </w:pPr>
      <w:r>
        <w:rPr>
          <w:rFonts w:hint="eastAsia" w:ascii="仿宋" w:hAnsi="仿宋" w:eastAsia="仿宋" w:cs="仿宋"/>
          <w:position w:val="10"/>
          <w:sz w:val="28"/>
          <w:szCs w:val="28"/>
        </w:rPr>
        <w:t>（四）估价对象的权益状况：</w:t>
      </w:r>
    </w:p>
    <w:tbl>
      <w:tblPr>
        <w:tblStyle w:val="4"/>
        <w:tblW w:w="9200"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248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4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名称</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凤阳县府城镇花铺廊街西侧56-4号住宅</w:t>
            </w:r>
          </w:p>
        </w:tc>
        <w:tc>
          <w:tcPr>
            <w:tcW w:w="162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不动产权证号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20081307号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4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所有权人</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rPr>
                <w:rFonts w:hint="eastAsia" w:ascii="仿宋" w:hAnsi="仿宋" w:eastAsia="仿宋" w:cs="仿宋"/>
                <w:color w:val="auto"/>
                <w:sz w:val="24"/>
                <w:szCs w:val="24"/>
              </w:rPr>
            </w:pPr>
            <w:r>
              <w:rPr>
                <w:rFonts w:hint="eastAsia" w:ascii="仿宋" w:hAnsi="仿宋" w:eastAsia="仿宋" w:cs="仿宋"/>
                <w:color w:val="auto"/>
                <w:sz w:val="24"/>
                <w:szCs w:val="24"/>
              </w:rPr>
              <w:t>马正武</w:t>
            </w:r>
          </w:p>
        </w:tc>
        <w:tc>
          <w:tcPr>
            <w:tcW w:w="162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kern w:val="0"/>
                <w:sz w:val="24"/>
                <w:szCs w:val="24"/>
              </w:rPr>
              <w:t>土地所有权</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国有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4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土地使用管制</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住宅（设定），无其他管制</w:t>
            </w:r>
          </w:p>
        </w:tc>
        <w:tc>
          <w:tcPr>
            <w:tcW w:w="162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kern w:val="0"/>
                <w:sz w:val="24"/>
                <w:szCs w:val="24"/>
              </w:rPr>
              <w:t>土地权利性质</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规划用途</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住宅</w:t>
            </w:r>
          </w:p>
        </w:tc>
        <w:tc>
          <w:tcPr>
            <w:tcW w:w="162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kern w:val="0"/>
                <w:sz w:val="24"/>
                <w:szCs w:val="24"/>
              </w:rPr>
              <w:t>权属清晰情况</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kern w:val="0"/>
                <w:sz w:val="24"/>
                <w:szCs w:val="24"/>
              </w:rPr>
              <w:t>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kern w:val="0"/>
                <w:sz w:val="24"/>
                <w:szCs w:val="24"/>
              </w:rPr>
              <w:t>共有情况</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单独所有</w:t>
            </w:r>
          </w:p>
        </w:tc>
        <w:tc>
          <w:tcPr>
            <w:tcW w:w="162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jc w:val="center"/>
              <w:rPr>
                <w:rFonts w:hint="eastAsia" w:ascii="仿宋" w:hAnsi="仿宋" w:eastAsia="仿宋" w:cs="仿宋"/>
                <w:sz w:val="24"/>
                <w:szCs w:val="24"/>
              </w:rPr>
            </w:pPr>
            <w:r>
              <w:rPr>
                <w:rFonts w:hint="eastAsia" w:ascii="仿宋" w:hAnsi="仿宋" w:eastAsia="仿宋" w:cs="仿宋"/>
                <w:kern w:val="0"/>
                <w:sz w:val="24"/>
                <w:szCs w:val="24"/>
              </w:rPr>
              <w:t>拖欠税费情况</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无（设定）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ind w:firstLine="240" w:firstLineChars="100"/>
              <w:jc w:val="center"/>
              <w:rPr>
                <w:rFonts w:hint="eastAsia" w:ascii="仿宋" w:hAnsi="仿宋" w:eastAsia="仿宋" w:cs="仿宋"/>
                <w:kern w:val="0"/>
                <w:sz w:val="24"/>
                <w:szCs w:val="24"/>
              </w:rPr>
            </w:pPr>
            <w:r>
              <w:rPr>
                <w:rFonts w:hint="eastAsia" w:ascii="仿宋" w:hAnsi="仿宋" w:eastAsia="仿宋" w:cs="仿宋"/>
                <w:kern w:val="0"/>
                <w:sz w:val="24"/>
                <w:szCs w:val="24"/>
              </w:rPr>
              <w:t>他项权利</w:t>
            </w:r>
          </w:p>
          <w:p>
            <w:pPr>
              <w:spacing w:line="360" w:lineRule="exact"/>
              <w:ind w:firstLine="120" w:firstLineChars="50"/>
              <w:jc w:val="center"/>
              <w:rPr>
                <w:rFonts w:hint="eastAsia" w:ascii="仿宋" w:hAnsi="仿宋" w:eastAsia="仿宋" w:cs="仿宋"/>
                <w:sz w:val="24"/>
                <w:szCs w:val="24"/>
              </w:rPr>
            </w:pPr>
            <w:r>
              <w:rPr>
                <w:rFonts w:hint="eastAsia" w:ascii="仿宋" w:hAnsi="仿宋" w:eastAsia="仿宋" w:cs="仿宋"/>
                <w:kern w:val="0"/>
                <w:sz w:val="24"/>
                <w:szCs w:val="24"/>
              </w:rPr>
              <w:t>设立情况</w:t>
            </w:r>
          </w:p>
        </w:tc>
        <w:tc>
          <w:tcPr>
            <w:tcW w:w="2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未知</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kern w:val="0"/>
                <w:sz w:val="24"/>
                <w:szCs w:val="24"/>
              </w:rPr>
              <w:t>担保物权          设立情况</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exact"/>
              <w:ind w:firstLine="240" w:firstLineChars="100"/>
              <w:jc w:val="center"/>
              <w:rPr>
                <w:rFonts w:hint="eastAsia" w:ascii="仿宋" w:hAnsi="仿宋" w:eastAsia="仿宋" w:cs="仿宋"/>
                <w:kern w:val="0"/>
                <w:sz w:val="24"/>
                <w:szCs w:val="24"/>
              </w:rPr>
            </w:pPr>
            <w:r>
              <w:rPr>
                <w:rFonts w:hint="eastAsia" w:ascii="仿宋" w:hAnsi="仿宋" w:eastAsia="仿宋" w:cs="仿宋"/>
                <w:kern w:val="0"/>
                <w:sz w:val="24"/>
                <w:szCs w:val="24"/>
              </w:rPr>
              <w:t>租赁或占用情况</w:t>
            </w:r>
          </w:p>
        </w:tc>
        <w:tc>
          <w:tcPr>
            <w:tcW w:w="2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自用</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法定优先收偿款</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0" w:type="dxa"/>
            <w:tcBorders>
              <w:top w:val="single" w:color="auto" w:sz="4" w:space="0"/>
              <w:left w:val="single" w:color="auto" w:sz="4" w:space="0"/>
              <w:bottom w:val="single" w:color="auto" w:sz="4" w:space="0"/>
              <w:right w:val="single" w:color="auto" w:sz="4" w:space="0"/>
            </w:tcBorders>
            <w:shd w:val="clear" w:color="auto" w:fill="CCCCCC"/>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建筑物和土地的其他特殊情况</w:t>
            </w:r>
          </w:p>
        </w:tc>
        <w:tc>
          <w:tcPr>
            <w:tcW w:w="68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估价对象于价值时点存在司法限制</w:t>
            </w:r>
          </w:p>
        </w:tc>
      </w:tr>
    </w:tbl>
    <w:p>
      <w:pPr>
        <w:spacing w:line="500" w:lineRule="exact"/>
        <w:outlineLvl w:val="1"/>
        <w:rPr>
          <w:rFonts w:hint="eastAsia" w:ascii="仿宋" w:hAnsi="仿宋" w:eastAsia="仿宋" w:cs="仿宋"/>
          <w:b/>
          <w:position w:val="10"/>
          <w:sz w:val="28"/>
          <w:szCs w:val="28"/>
        </w:rPr>
      </w:pPr>
      <w:r>
        <w:rPr>
          <w:rFonts w:hint="eastAsia" w:ascii="仿宋" w:hAnsi="仿宋" w:eastAsia="仿宋" w:cs="仿宋"/>
          <w:b/>
          <w:position w:val="10"/>
          <w:sz w:val="28"/>
          <w:szCs w:val="28"/>
        </w:rPr>
        <w:t>五、价值时点</w:t>
      </w:r>
      <w:bookmarkEnd w:id="5"/>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2020年1月20日（为现场查勘之日）</w:t>
      </w:r>
    </w:p>
    <w:p>
      <w:pPr>
        <w:spacing w:line="500" w:lineRule="exact"/>
        <w:outlineLvl w:val="1"/>
        <w:rPr>
          <w:rFonts w:hint="eastAsia" w:ascii="仿宋" w:hAnsi="仿宋" w:eastAsia="仿宋" w:cs="仿宋"/>
          <w:b/>
          <w:position w:val="10"/>
          <w:sz w:val="28"/>
          <w:szCs w:val="28"/>
        </w:rPr>
      </w:pPr>
      <w:bookmarkStart w:id="6" w:name="_Toc237405188"/>
      <w:r>
        <w:rPr>
          <w:rFonts w:hint="eastAsia" w:ascii="仿宋" w:hAnsi="仿宋" w:eastAsia="仿宋" w:cs="仿宋"/>
          <w:b/>
          <w:position w:val="10"/>
          <w:sz w:val="28"/>
          <w:szCs w:val="28"/>
        </w:rPr>
        <w:t>六、</w:t>
      </w:r>
      <w:bookmarkEnd w:id="6"/>
      <w:r>
        <w:rPr>
          <w:rFonts w:hint="eastAsia" w:ascii="仿宋" w:hAnsi="仿宋" w:eastAsia="仿宋" w:cs="仿宋"/>
          <w:b/>
          <w:position w:val="10"/>
          <w:sz w:val="28"/>
          <w:szCs w:val="28"/>
        </w:rPr>
        <w:t>价值类型</w:t>
      </w:r>
    </w:p>
    <w:p>
      <w:pPr>
        <w:pStyle w:val="6"/>
        <w:spacing w:line="500" w:lineRule="exact"/>
        <w:ind w:firstLine="560" w:firstLineChars="200"/>
        <w:rPr>
          <w:rFonts w:hint="eastAsia" w:ascii="仿宋" w:hAnsi="仿宋" w:eastAsia="仿宋" w:cs="仿宋"/>
          <w:position w:val="10"/>
          <w:sz w:val="28"/>
          <w:szCs w:val="28"/>
        </w:rPr>
      </w:pPr>
      <w:bookmarkStart w:id="7" w:name="_Toc237405189"/>
      <w:r>
        <w:rPr>
          <w:rFonts w:hint="eastAsia" w:ascii="仿宋" w:hAnsi="仿宋" w:eastAsia="仿宋" w:cs="仿宋"/>
          <w:position w:val="10"/>
          <w:sz w:val="28"/>
          <w:szCs w:val="28"/>
        </w:rPr>
        <w:t>本次评估的价值类型是估价对象在价值时点的市场价值。</w:t>
      </w:r>
    </w:p>
    <w:p>
      <w:pPr>
        <w:pStyle w:val="6"/>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价值定义：市场价值为估价对象经适当营销后，由熟悉情况、谨慎行事且不受强迫的交易双方，以公平交易方式在价值时点自愿进行交易的金额。</w:t>
      </w:r>
    </w:p>
    <w:p>
      <w:pPr>
        <w:pStyle w:val="6"/>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价值内涵：为估价对象在价值时点，满足本次估价假设和限制条件下包括建筑物（含室内二次装修）、公共配套设施，不包括动产、债权债务、特许经营权等其他财产或权益。付款方式是一次性付清房价款；房屋面积内涵是建筑面积，开发程度为现房，具备“五通”；没有扣除预期实现房屋处置的费用和税金等。</w:t>
      </w:r>
    </w:p>
    <w:p>
      <w:pPr>
        <w:spacing w:line="500" w:lineRule="exact"/>
        <w:outlineLvl w:val="1"/>
        <w:rPr>
          <w:rFonts w:hint="eastAsia" w:ascii="仿宋" w:hAnsi="仿宋" w:eastAsia="仿宋" w:cs="仿宋"/>
          <w:b/>
          <w:position w:val="10"/>
          <w:sz w:val="28"/>
          <w:szCs w:val="28"/>
        </w:rPr>
      </w:pPr>
      <w:bookmarkStart w:id="8" w:name="_Toc237405190"/>
      <w:r>
        <w:rPr>
          <w:rFonts w:hint="eastAsia" w:ascii="仿宋" w:hAnsi="仿宋" w:eastAsia="仿宋" w:cs="仿宋"/>
          <w:b/>
          <w:position w:val="10"/>
          <w:sz w:val="28"/>
          <w:szCs w:val="28"/>
        </w:rPr>
        <w:t>七、估价原则</w:t>
      </w:r>
      <w:bookmarkEnd w:id="8"/>
    </w:p>
    <w:p>
      <w:pPr>
        <w:pStyle w:val="6"/>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房地产估价的基本原则是独立、客观、公正，在本次估价作业中，我们遵循的原则主要有下列五项：</w:t>
      </w:r>
    </w:p>
    <w:p>
      <w:pPr>
        <w:pStyle w:val="6"/>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（一）独立、客观、公正原则</w:t>
      </w:r>
    </w:p>
    <w:p>
      <w:pPr>
        <w:pStyle w:val="6"/>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遵循独立、客观、公正原则，应站在中立的立场上，实事求是、公平正直地评估出对各方估价利害关系人均是公平合理的价值。</w:t>
      </w:r>
    </w:p>
    <w:p>
      <w:pPr>
        <w:pStyle w:val="6"/>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（二）合法原则</w:t>
      </w:r>
    </w:p>
    <w:p>
      <w:pPr>
        <w:pStyle w:val="6"/>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遵循合法原则，估价结果应是在依法判定的估价对象状况下的价值。</w:t>
      </w:r>
    </w:p>
    <w:p>
      <w:pPr>
        <w:pStyle w:val="6"/>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（三）价值时点原则</w:t>
      </w:r>
    </w:p>
    <w:p>
      <w:pPr>
        <w:pStyle w:val="6"/>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遵循价值时点原则，估价结果应是在根据估价目的确定的某一特定日期的价值。</w:t>
      </w:r>
    </w:p>
    <w:p>
      <w:pPr>
        <w:pStyle w:val="6"/>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（四）替代原则</w:t>
      </w:r>
    </w:p>
    <w:p>
      <w:pPr>
        <w:pStyle w:val="6"/>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遵循替代原则，估价结果应与类似房地产在同等条件下的价值偏差在合理范围内。</w:t>
      </w:r>
    </w:p>
    <w:p>
      <w:pPr>
        <w:pStyle w:val="6"/>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（五）最高最佳利用原则</w:t>
      </w:r>
    </w:p>
    <w:p>
      <w:pPr>
        <w:pStyle w:val="6"/>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遵循最高最佳利用原则，要求房地产估价应以估价对象的最高最佳使用为前提进行。它是指法律上允许，技术上可能，经济上可行，经过充分合理的论证，能使估价对象的价值达到最大的一种最可能的使用。</w:t>
      </w:r>
    </w:p>
    <w:p>
      <w:pPr>
        <w:spacing w:line="500" w:lineRule="exact"/>
        <w:outlineLvl w:val="1"/>
        <w:rPr>
          <w:rFonts w:hint="eastAsia" w:ascii="仿宋" w:hAnsi="仿宋" w:eastAsia="仿宋" w:cs="仿宋"/>
          <w:b/>
          <w:position w:val="10"/>
          <w:sz w:val="28"/>
          <w:szCs w:val="28"/>
        </w:rPr>
      </w:pPr>
      <w:r>
        <w:rPr>
          <w:rFonts w:hint="eastAsia" w:ascii="仿宋" w:hAnsi="仿宋" w:eastAsia="仿宋" w:cs="仿宋"/>
          <w:b/>
          <w:position w:val="10"/>
          <w:sz w:val="28"/>
          <w:szCs w:val="28"/>
        </w:rPr>
        <w:t>八、估价依据</w:t>
      </w:r>
      <w:bookmarkEnd w:id="7"/>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(一)国家法律、法规：</w:t>
      </w:r>
    </w:p>
    <w:p>
      <w:pPr>
        <w:numPr>
          <w:ilvl w:val="0"/>
          <w:numId w:val="2"/>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《中华人民共和国物权法》（2007年10月1日施行）</w:t>
      </w:r>
    </w:p>
    <w:p>
      <w:pPr>
        <w:numPr>
          <w:ilvl w:val="0"/>
          <w:numId w:val="2"/>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《中华人民共和国城市房地产管理法》（1995年1月1日施行）</w:t>
      </w:r>
    </w:p>
    <w:p>
      <w:pPr>
        <w:numPr>
          <w:ilvl w:val="0"/>
          <w:numId w:val="2"/>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《中华人民共和国土地管理法》（2004年10月25日施行）</w:t>
      </w:r>
    </w:p>
    <w:p>
      <w:pPr>
        <w:numPr>
          <w:ilvl w:val="0"/>
          <w:numId w:val="2"/>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《中华人民共和国城镇国有土地使用权出让和转让暂行条例》（1990年5月19日施行）</w:t>
      </w:r>
    </w:p>
    <w:p>
      <w:pPr>
        <w:numPr>
          <w:ilvl w:val="0"/>
          <w:numId w:val="2"/>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《中华人民共和国土地管理法实施条例》（1999年1月1日施行）</w:t>
      </w:r>
    </w:p>
    <w:p>
      <w:pPr>
        <w:numPr>
          <w:ilvl w:val="0"/>
          <w:numId w:val="2"/>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《中华人民共和国资产评估法》（2016年12月1日施行）</w:t>
      </w:r>
    </w:p>
    <w:p>
      <w:pPr>
        <w:numPr>
          <w:ilvl w:val="0"/>
          <w:numId w:val="2"/>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《中华人民共和国城市开发经营管理条例》（1998年7月20日施行）</w:t>
      </w:r>
    </w:p>
    <w:p>
      <w:pPr>
        <w:numPr>
          <w:ilvl w:val="0"/>
          <w:numId w:val="2"/>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《最高人民法院关于人民法院民事执行中拍卖、变卖财产的规定》（2004年10月26日，法释〔2004〕16号）</w:t>
      </w:r>
    </w:p>
    <w:p>
      <w:pPr>
        <w:numPr>
          <w:ilvl w:val="0"/>
          <w:numId w:val="2"/>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《最高人民法院关于人民法院委托评估、拍卖和变卖工作的若干规定》（2009年8月24日，法释〔2009〕16号）</w:t>
      </w:r>
    </w:p>
    <w:p>
      <w:pPr>
        <w:numPr>
          <w:ilvl w:val="0"/>
          <w:numId w:val="2"/>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《最高人民法院对外委托鉴定、评估、拍卖等工作管理规定》（2007年8月23日，法办发[2007]5号）</w:t>
      </w:r>
    </w:p>
    <w:p>
      <w:pPr>
        <w:numPr>
          <w:ilvl w:val="0"/>
          <w:numId w:val="2"/>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《全国人民代表大会常务委员会关于司法鉴定管理问题的决定》（2005年2月28日）</w:t>
      </w:r>
    </w:p>
    <w:p>
      <w:pPr>
        <w:numPr>
          <w:ilvl w:val="0"/>
          <w:numId w:val="2"/>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《司法鉴定程序通则》（2015年12月24日司法部部务会议修订通过，自2016年5月1日起施行，司法部令第132号）</w:t>
      </w:r>
    </w:p>
    <w:p>
      <w:pPr>
        <w:spacing w:line="500" w:lineRule="exact"/>
        <w:ind w:left="560"/>
        <w:rPr>
          <w:rFonts w:hint="eastAsia" w:ascii="仿宋" w:hAnsi="仿宋" w:eastAsia="仿宋" w:cs="仿宋"/>
          <w:position w:val="10"/>
          <w:sz w:val="28"/>
          <w:szCs w:val="28"/>
        </w:rPr>
      </w:pPr>
      <w:r>
        <w:rPr>
          <w:rFonts w:hint="eastAsia" w:ascii="仿宋" w:hAnsi="仿宋" w:eastAsia="仿宋" w:cs="仿宋"/>
          <w:position w:val="10"/>
          <w:sz w:val="28"/>
          <w:szCs w:val="28"/>
        </w:rPr>
        <w:t xml:space="preserve">13、《最高人民法院关于人民法院民事执行中查封、扣押、冻结财产的规定》2004年10月26日通过，2005年1月1日起施行 </w:t>
      </w:r>
    </w:p>
    <w:p>
      <w:pPr>
        <w:spacing w:line="500" w:lineRule="exact"/>
        <w:ind w:left="560"/>
        <w:rPr>
          <w:rFonts w:hint="eastAsia" w:ascii="仿宋" w:hAnsi="仿宋" w:eastAsia="仿宋" w:cs="仿宋"/>
          <w:position w:val="10"/>
          <w:sz w:val="28"/>
          <w:szCs w:val="28"/>
        </w:rPr>
      </w:pPr>
      <w:r>
        <w:rPr>
          <w:rFonts w:hint="eastAsia" w:ascii="仿宋" w:hAnsi="仿宋" w:eastAsia="仿宋" w:cs="仿宋"/>
          <w:position w:val="10"/>
          <w:sz w:val="28"/>
          <w:szCs w:val="28"/>
        </w:rPr>
        <w:t>14、《最高人民法院关于人民法院网络司法拍卖若干问题的规定》法释〔2016〕18号，自2017年1月1日起施行</w:t>
      </w:r>
    </w:p>
    <w:p>
      <w:pPr>
        <w:spacing w:line="500" w:lineRule="exact"/>
        <w:ind w:left="560"/>
        <w:rPr>
          <w:rFonts w:hint="eastAsia" w:ascii="仿宋" w:hAnsi="仿宋" w:eastAsia="仿宋" w:cs="仿宋"/>
          <w:position w:val="10"/>
          <w:sz w:val="28"/>
          <w:szCs w:val="28"/>
        </w:rPr>
      </w:pPr>
      <w:r>
        <w:rPr>
          <w:rFonts w:hint="eastAsia" w:ascii="仿宋" w:hAnsi="仿宋" w:eastAsia="仿宋" w:cs="仿宋"/>
          <w:position w:val="10"/>
          <w:sz w:val="28"/>
          <w:szCs w:val="28"/>
        </w:rPr>
        <w:t>15、《最高人民法院关于人民法院确定财产处置参考价若干问题的规定》法释〔2018〕15号，自2018年9月1日起施行</w:t>
      </w:r>
    </w:p>
    <w:p>
      <w:pPr>
        <w:pStyle w:val="2"/>
        <w:spacing w:before="0" w:beforeAutospacing="0" w:after="0" w:afterAutospacing="0" w:line="384" w:lineRule="atLeast"/>
        <w:ind w:firstLine="560" w:firstLineChars="200"/>
        <w:jc w:val="both"/>
        <w:rPr>
          <w:rFonts w:hint="eastAsia" w:ascii="仿宋" w:hAnsi="仿宋" w:eastAsia="仿宋" w:cs="仿宋"/>
          <w:position w:val="10"/>
          <w:sz w:val="28"/>
          <w:szCs w:val="28"/>
        </w:rPr>
      </w:pPr>
      <w:r>
        <w:rPr>
          <w:rFonts w:hint="eastAsia" w:ascii="仿宋" w:hAnsi="仿宋" w:eastAsia="仿宋" w:cs="仿宋"/>
          <w:position w:val="10"/>
          <w:sz w:val="28"/>
          <w:szCs w:val="28"/>
        </w:rPr>
        <w:t>16、《</w:t>
      </w:r>
      <w:r>
        <w:rPr>
          <w:rFonts w:hint="eastAsia" w:ascii="仿宋" w:hAnsi="仿宋" w:eastAsia="仿宋" w:cs="仿宋"/>
          <w:kern w:val="2"/>
          <w:position w:val="10"/>
          <w:sz w:val="28"/>
          <w:szCs w:val="28"/>
        </w:rPr>
        <w:t>关于印发《人民法院委托评估工作规范》的通知</w:t>
      </w:r>
      <w:r>
        <w:rPr>
          <w:rFonts w:hint="eastAsia" w:ascii="仿宋" w:hAnsi="仿宋" w:eastAsia="仿宋" w:cs="仿宋"/>
          <w:position w:val="10"/>
          <w:sz w:val="28"/>
          <w:szCs w:val="28"/>
        </w:rPr>
        <w:t>》</w:t>
      </w:r>
      <w:r>
        <w:rPr>
          <w:rFonts w:hint="eastAsia" w:ascii="仿宋" w:hAnsi="仿宋" w:eastAsia="仿宋" w:cs="仿宋"/>
          <w:kern w:val="2"/>
          <w:position w:val="10"/>
          <w:sz w:val="28"/>
          <w:szCs w:val="28"/>
        </w:rPr>
        <w:t xml:space="preserve"> 法办〔2018〕273号</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 xml:space="preserve"> (二)部门规章、规范性文件：</w:t>
      </w:r>
    </w:p>
    <w:p>
      <w:pPr>
        <w:numPr>
          <w:ilvl w:val="0"/>
          <w:numId w:val="3"/>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《城市房地产转让管理规定》（</w:t>
      </w:r>
      <w:r>
        <w:rPr>
          <w:rFonts w:hint="eastAsia" w:ascii="仿宋" w:hAnsi="仿宋" w:eastAsia="仿宋" w:cs="仿宋"/>
          <w:kern w:val="0"/>
          <w:sz w:val="20"/>
        </w:rPr>
        <w:t> </w:t>
      </w:r>
      <w:r>
        <w:rPr>
          <w:rFonts w:hint="eastAsia" w:ascii="仿宋" w:hAnsi="仿宋" w:eastAsia="仿宋" w:cs="仿宋"/>
          <w:position w:val="10"/>
          <w:sz w:val="28"/>
          <w:szCs w:val="28"/>
        </w:rPr>
        <w:t>2001年7月23日建设部第45次常务会议审议通过）</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 xml:space="preserve"> (三)技术标准：</w:t>
      </w:r>
    </w:p>
    <w:p>
      <w:pPr>
        <w:spacing w:line="500" w:lineRule="exact"/>
        <w:ind w:firstLine="420" w:firstLineChars="200"/>
        <w:rPr>
          <w:rFonts w:hint="eastAsia" w:ascii="仿宋" w:hAnsi="仿宋" w:eastAsia="仿宋" w:cs="仿宋"/>
          <w:position w:val="10"/>
          <w:sz w:val="28"/>
          <w:szCs w:val="28"/>
        </w:rPr>
      </w:pPr>
      <w:r>
        <w:rPr>
          <w:rFonts w:hint="eastAsia" w:ascii="仿宋" w:hAnsi="仿宋" w:eastAsia="仿宋" w:cs="仿宋"/>
        </w:rPr>
        <w:t xml:space="preserve">   </w:t>
      </w:r>
      <w:r>
        <w:rPr>
          <w:rFonts w:hint="eastAsia" w:ascii="仿宋" w:hAnsi="仿宋" w:eastAsia="仿宋" w:cs="仿宋"/>
          <w:position w:val="10"/>
          <w:sz w:val="28"/>
          <w:szCs w:val="28"/>
        </w:rPr>
        <w:t>1.《房地产估价规范》(国标GB 50291-2015) </w:t>
      </w:r>
    </w:p>
    <w:p>
      <w:pPr>
        <w:spacing w:line="500" w:lineRule="exact"/>
        <w:ind w:left="560"/>
        <w:rPr>
          <w:rFonts w:hint="eastAsia" w:ascii="仿宋" w:hAnsi="仿宋" w:eastAsia="仿宋" w:cs="仿宋"/>
          <w:position w:val="10"/>
          <w:sz w:val="28"/>
          <w:szCs w:val="28"/>
        </w:rPr>
      </w:pPr>
      <w:r>
        <w:rPr>
          <w:rFonts w:hint="eastAsia" w:ascii="仿宋" w:hAnsi="仿宋" w:eastAsia="仿宋" w:cs="仿宋"/>
          <w:position w:val="10"/>
          <w:sz w:val="28"/>
          <w:szCs w:val="28"/>
        </w:rPr>
        <w:t xml:space="preserve"> 2.《城镇土地估价规程》(国标GB/T 18508-2014)</w:t>
      </w:r>
    </w:p>
    <w:p>
      <w:pPr>
        <w:spacing w:line="500" w:lineRule="exact"/>
        <w:ind w:left="500"/>
        <w:rPr>
          <w:rFonts w:hint="eastAsia" w:ascii="仿宋" w:hAnsi="仿宋" w:eastAsia="仿宋" w:cs="仿宋"/>
          <w:position w:val="10"/>
          <w:sz w:val="28"/>
          <w:szCs w:val="28"/>
        </w:rPr>
      </w:pPr>
      <w:r>
        <w:rPr>
          <w:rFonts w:hint="eastAsia" w:ascii="仿宋" w:hAnsi="仿宋" w:eastAsia="仿宋" w:cs="仿宋"/>
          <w:position w:val="10"/>
          <w:sz w:val="28"/>
          <w:szCs w:val="28"/>
        </w:rPr>
        <w:t xml:space="preserve"> 3.《房地产估价基本术语标准》（GB/T 50899-2013）</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(四)地方法规：</w:t>
      </w:r>
    </w:p>
    <w:p>
      <w:pPr>
        <w:numPr>
          <w:ilvl w:val="0"/>
          <w:numId w:val="4"/>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《安徽省城市房地产交易管理条例》（自2000年12月1日起施行）</w:t>
      </w:r>
    </w:p>
    <w:p>
      <w:pPr>
        <w:numPr>
          <w:ilvl w:val="0"/>
          <w:numId w:val="4"/>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《安徽省高级人民法院委托鉴定工作实施细则》（2014年7月21日）</w:t>
      </w:r>
    </w:p>
    <w:p>
      <w:pPr>
        <w:numPr>
          <w:ilvl w:val="0"/>
          <w:numId w:val="4"/>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《安徽省高级人民法院关于规范司法鉴定对外委托工作的若干意见》（试行）（2016年8月8日）</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(五)委托人提供的有关资料</w:t>
      </w:r>
    </w:p>
    <w:p>
      <w:pPr>
        <w:spacing w:line="500" w:lineRule="exact"/>
        <w:ind w:left="559" w:leftChars="266"/>
        <w:rPr>
          <w:rFonts w:hint="eastAsia" w:ascii="仿宋" w:hAnsi="仿宋" w:eastAsia="仿宋" w:cs="仿宋"/>
          <w:position w:val="10"/>
          <w:sz w:val="28"/>
          <w:szCs w:val="28"/>
        </w:rPr>
      </w:pPr>
      <w:r>
        <w:rPr>
          <w:rFonts w:hint="eastAsia" w:ascii="仿宋" w:hAnsi="仿宋" w:eastAsia="仿宋" w:cs="仿宋"/>
          <w:position w:val="10"/>
          <w:sz w:val="28"/>
          <w:szCs w:val="28"/>
        </w:rPr>
        <w:t>《房产转移登记档案》《不动产登记信息》《评估拍卖申请书》《私有房产所有权申请登记书》《凤阳县城镇住房制度改革中公有住房买卖契约》</w:t>
      </w:r>
    </w:p>
    <w:p>
      <w:pPr>
        <w:numPr>
          <w:ilvl w:val="0"/>
          <w:numId w:val="5"/>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委托评估函【（2019）皖1126委评字第00037号】</w:t>
      </w:r>
    </w:p>
    <w:p>
      <w:pPr>
        <w:numPr>
          <w:ilvl w:val="0"/>
          <w:numId w:val="5"/>
        </w:numPr>
        <w:tabs>
          <w:tab w:val="clear" w:pos="980"/>
        </w:tabs>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其他与本次评估相关的资料</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(六)评估人员调查收集的资料</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1.估价对象现状利用照片</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2.实地查勘记录</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3.可比实例等相关资料</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4.当地市场调查和搜集的有关资料等</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5.滁州市公布的工程造价信息</w:t>
      </w:r>
    </w:p>
    <w:p>
      <w:pPr>
        <w:spacing w:line="500" w:lineRule="exact"/>
        <w:outlineLvl w:val="1"/>
        <w:rPr>
          <w:rFonts w:hint="eastAsia" w:ascii="仿宋" w:hAnsi="仿宋" w:eastAsia="仿宋" w:cs="仿宋"/>
          <w:b/>
          <w:position w:val="10"/>
          <w:sz w:val="28"/>
          <w:szCs w:val="28"/>
        </w:rPr>
      </w:pPr>
      <w:bookmarkStart w:id="9" w:name="_Toc237405191"/>
      <w:r>
        <w:rPr>
          <w:rFonts w:hint="eastAsia" w:ascii="仿宋" w:hAnsi="仿宋" w:eastAsia="仿宋" w:cs="仿宋"/>
          <w:b/>
          <w:position w:val="10"/>
          <w:sz w:val="28"/>
          <w:szCs w:val="28"/>
        </w:rPr>
        <w:t>九、估价方法</w:t>
      </w:r>
      <w:bookmarkEnd w:id="9"/>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在进行房地产公开市场价值评估时，评估人员严格按照房地产估价的各项原则，在认真分析研究了所掌握的资料和对临近地区同类物业调查之后，按照《房地产估价规范》规定的估价程序，进行客观公正的评估。具体步骤如下：</w:t>
      </w:r>
    </w:p>
    <w:p>
      <w:pPr>
        <w:numPr>
          <w:ilvl w:val="0"/>
          <w:numId w:val="6"/>
        </w:numPr>
        <w:spacing w:line="500" w:lineRule="exact"/>
        <w:rPr>
          <w:rFonts w:hint="eastAsia" w:ascii="仿宋" w:hAnsi="仿宋" w:eastAsia="仿宋" w:cs="仿宋"/>
          <w:position w:val="10"/>
          <w:sz w:val="28"/>
          <w:szCs w:val="28"/>
        </w:rPr>
      </w:pPr>
      <w:r>
        <w:rPr>
          <w:rFonts w:hint="eastAsia" w:ascii="仿宋" w:hAnsi="仿宋" w:eastAsia="仿宋" w:cs="仿宋"/>
          <w:position w:val="10"/>
          <w:sz w:val="28"/>
          <w:szCs w:val="28"/>
        </w:rPr>
        <w:t>估价方法的选用</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根据《房地产估价规范》，常用的房地产估价方法有比较法、收益法、成本法、假设开发法。现根据估价对象和房地产市场状况等客观条件，逐一分析各估价方法是否适用本次估价对象。</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1、比较法：凤阳县目前的房地产市场交易较为活跃，周边可供参考的交易案例较多，符合比较法的应用条件。</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2、收益法：估价对象为住宅房地产，即可通过调查周边同类物业的客观收益状况和估价对象已有的租约中的租金水平，确定估价对象的收益状况，故适宜选用收益法。</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3、成本法：估价对象属于住宅用途房地产，所在建筑物的宗地地价不易分摊，不宜采用成本累加的方法进行评估，故不宜采用成本法。</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4、假设开发法：假设开发法适于对在建工程及空地估价，而估价对象为已完工工程，因此本次估价不宜采用假设开发法。</w:t>
      </w:r>
    </w:p>
    <w:p>
      <w:pPr>
        <w:spacing w:line="500" w:lineRule="exact"/>
        <w:ind w:right="-328" w:rightChars="-156"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综上：最终决定选取收益法、比较法作为本次估价的基本方法，并将收益法和比较法的计算结果进行综合分析，确定估价对象房地产的总价值和单位价值。</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 xml:space="preserve"> (二)估价方法的定义</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1、收益法</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预计估价对象的未来收益，利用报酬率或资本化率、收益乘数将未来收益转换为价值得到到估价对象价值或价格的方法。</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2、比较法</w:t>
      </w:r>
    </w:p>
    <w:p>
      <w:pPr>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选取一定数量的可比实例，将它们与估价对象进行比较，根据其间的差异对可比实例成交价格进行处理后得到估价对象价值或价格的方法。</w:t>
      </w:r>
    </w:p>
    <w:p>
      <w:pPr>
        <w:spacing w:line="500" w:lineRule="exact"/>
        <w:outlineLvl w:val="1"/>
        <w:rPr>
          <w:rFonts w:hint="eastAsia" w:ascii="仿宋" w:hAnsi="仿宋" w:eastAsia="仿宋" w:cs="仿宋"/>
          <w:b/>
          <w:position w:val="10"/>
          <w:sz w:val="28"/>
          <w:szCs w:val="28"/>
        </w:rPr>
      </w:pPr>
      <w:bookmarkStart w:id="10" w:name="_Toc237405192"/>
      <w:r>
        <w:rPr>
          <w:rFonts w:hint="eastAsia" w:ascii="仿宋" w:hAnsi="仿宋" w:eastAsia="仿宋" w:cs="仿宋"/>
          <w:b/>
          <w:position w:val="10"/>
          <w:sz w:val="28"/>
          <w:szCs w:val="28"/>
        </w:rPr>
        <w:t>十、估价结果</w:t>
      </w:r>
      <w:bookmarkEnd w:id="10"/>
    </w:p>
    <w:p>
      <w:pPr>
        <w:adjustRightInd w:val="0"/>
        <w:snapToGrid w:val="0"/>
        <w:spacing w:line="500" w:lineRule="exact"/>
        <w:ind w:firstLine="560" w:firstLineChars="200"/>
        <w:rPr>
          <w:rFonts w:hint="eastAsia" w:ascii="仿宋" w:hAnsi="仿宋" w:eastAsia="仿宋" w:cs="仿宋"/>
          <w:sz w:val="28"/>
        </w:rPr>
      </w:pPr>
      <w:bookmarkStart w:id="11" w:name="_Toc237405193"/>
      <w:r>
        <w:rPr>
          <w:rFonts w:hint="eastAsia" w:ascii="仿宋" w:hAnsi="仿宋" w:eastAsia="仿宋" w:cs="仿宋"/>
          <w:sz w:val="28"/>
        </w:rPr>
        <w:t>遵照有关的法律法规、政策文件和估价标准，根据估价委托人提供的相关资料以及本估价机构及注册房地产估价师掌握的资料，按照估价目的，遵循估价原则，采用比较法和收益法进行了分析、测算和判断，在满足估价假设和限制条件下，估价对象于价值时点（2020年1月20日）的估价结果见下表</w:t>
      </w:r>
    </w:p>
    <w:p>
      <w:pPr>
        <w:adjustRightInd w:val="0"/>
        <w:snapToGrid w:val="0"/>
        <w:spacing w:line="500" w:lineRule="exact"/>
        <w:jc w:val="center"/>
        <w:rPr>
          <w:rFonts w:hint="eastAsia" w:ascii="仿宋" w:hAnsi="仿宋" w:eastAsia="仿宋" w:cs="仿宋"/>
          <w:position w:val="10"/>
          <w:sz w:val="28"/>
          <w:szCs w:val="28"/>
        </w:rPr>
      </w:pPr>
      <w:r>
        <w:rPr>
          <w:rFonts w:hint="eastAsia" w:ascii="仿宋" w:hAnsi="仿宋" w:eastAsia="仿宋" w:cs="仿宋"/>
          <w:position w:val="10"/>
          <w:sz w:val="28"/>
          <w:szCs w:val="28"/>
        </w:rPr>
        <w:t>估价结果汇总表</w:t>
      </w:r>
    </w:p>
    <w:p>
      <w:pPr>
        <w:adjustRightInd w:val="0"/>
        <w:snapToGrid w:val="0"/>
        <w:ind w:firstLine="6720" w:firstLineChars="2400"/>
        <w:rPr>
          <w:rFonts w:hint="eastAsia" w:ascii="仿宋" w:hAnsi="仿宋" w:eastAsia="仿宋" w:cs="仿宋"/>
          <w:sz w:val="28"/>
        </w:rPr>
      </w:pPr>
    </w:p>
    <w:p>
      <w:pPr>
        <w:adjustRightInd w:val="0"/>
        <w:snapToGrid w:val="0"/>
        <w:ind w:firstLine="6720" w:firstLineChars="2400"/>
        <w:rPr>
          <w:rFonts w:hint="eastAsia" w:ascii="仿宋" w:hAnsi="仿宋" w:eastAsia="仿宋" w:cs="仿宋"/>
          <w:sz w:val="28"/>
        </w:rPr>
      </w:pPr>
      <w:r>
        <w:rPr>
          <w:rFonts w:hint="eastAsia" w:ascii="仿宋" w:hAnsi="仿宋" w:eastAsia="仿宋" w:cs="仿宋"/>
          <w:sz w:val="28"/>
        </w:rPr>
        <w:t>(货币种类：人民币)</w:t>
      </w:r>
    </w:p>
    <w:tbl>
      <w:tblPr>
        <w:tblStyle w:val="4"/>
        <w:tblW w:w="9400" w:type="dxa"/>
        <w:tblInd w:w="91" w:type="dxa"/>
        <w:tblLayout w:type="fixed"/>
        <w:tblCellMar>
          <w:top w:w="0" w:type="dxa"/>
          <w:left w:w="108" w:type="dxa"/>
          <w:bottom w:w="0" w:type="dxa"/>
          <w:right w:w="108" w:type="dxa"/>
        </w:tblCellMar>
      </w:tblPr>
      <w:tblGrid>
        <w:gridCol w:w="2460"/>
        <w:gridCol w:w="2460"/>
        <w:gridCol w:w="2240"/>
        <w:gridCol w:w="2240"/>
      </w:tblGrid>
      <w:tr>
        <w:tblPrEx>
          <w:tblLayout w:type="fixed"/>
          <w:tblCellMar>
            <w:top w:w="0" w:type="dxa"/>
            <w:left w:w="108" w:type="dxa"/>
            <w:bottom w:w="0" w:type="dxa"/>
            <w:right w:w="108" w:type="dxa"/>
          </w:tblCellMar>
        </w:tblPrEx>
        <w:trPr>
          <w:trHeight w:val="390" w:hRule="atLeast"/>
        </w:trPr>
        <w:tc>
          <w:tcPr>
            <w:tcW w:w="4920" w:type="dxa"/>
            <w:gridSpan w:val="2"/>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ind w:right="460"/>
              <w:jc w:val="center"/>
              <w:rPr>
                <w:rFonts w:hint="eastAsia" w:ascii="仿宋" w:hAnsi="仿宋" w:eastAsia="仿宋" w:cs="仿宋"/>
                <w:kern w:val="0"/>
                <w:sz w:val="28"/>
                <w:szCs w:val="28"/>
              </w:rPr>
            </w:pPr>
            <w:r>
              <w:rPr>
                <w:rFonts w:hint="eastAsia" w:ascii="仿宋" w:hAnsi="仿宋" w:eastAsia="仿宋" w:cs="仿宋"/>
                <w:kern w:val="0"/>
                <w:sz w:val="28"/>
                <w:szCs w:val="28"/>
              </w:rPr>
              <w:t xml:space="preserve">                       估价方法</w:t>
            </w:r>
          </w:p>
          <w:p>
            <w:pPr>
              <w:widowControl/>
              <w:ind w:firstLine="1120" w:firstLineChars="400"/>
              <w:rPr>
                <w:rFonts w:hint="eastAsia" w:ascii="仿宋" w:hAnsi="仿宋" w:eastAsia="仿宋" w:cs="仿宋"/>
                <w:kern w:val="0"/>
                <w:sz w:val="28"/>
                <w:szCs w:val="28"/>
              </w:rPr>
            </w:pPr>
            <w:r>
              <w:rPr>
                <w:rFonts w:hint="eastAsia" w:ascii="仿宋" w:hAnsi="仿宋" w:eastAsia="仿宋" w:cs="仿宋"/>
                <w:kern w:val="0"/>
                <w:sz w:val="28"/>
                <w:szCs w:val="28"/>
              </w:rPr>
              <w:t>相关结果</w:t>
            </w:r>
          </w:p>
        </w:tc>
        <w:tc>
          <w:tcPr>
            <w:tcW w:w="22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比较法</w:t>
            </w:r>
          </w:p>
        </w:tc>
        <w:tc>
          <w:tcPr>
            <w:tcW w:w="22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收益法</w:t>
            </w:r>
          </w:p>
        </w:tc>
      </w:tr>
      <w:tr>
        <w:tblPrEx>
          <w:tblLayout w:type="fixed"/>
          <w:tblCellMar>
            <w:top w:w="0" w:type="dxa"/>
            <w:left w:w="108" w:type="dxa"/>
            <w:bottom w:w="0" w:type="dxa"/>
            <w:right w:w="108" w:type="dxa"/>
          </w:tblCellMar>
        </w:tblPrEx>
        <w:trPr>
          <w:trHeight w:val="390" w:hRule="atLeast"/>
        </w:trPr>
        <w:tc>
          <w:tcPr>
            <w:tcW w:w="49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8"/>
                <w:szCs w:val="28"/>
              </w:rPr>
            </w:pPr>
          </w:p>
        </w:tc>
        <w:tc>
          <w:tcPr>
            <w:tcW w:w="2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8"/>
                <w:szCs w:val="28"/>
              </w:rPr>
            </w:pPr>
          </w:p>
        </w:tc>
        <w:tc>
          <w:tcPr>
            <w:tcW w:w="2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570" w:hRule="atLeast"/>
        </w:trPr>
        <w:tc>
          <w:tcPr>
            <w:tcW w:w="2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测算结果</w:t>
            </w:r>
          </w:p>
        </w:tc>
        <w:tc>
          <w:tcPr>
            <w:tcW w:w="246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单价（元/平方米）</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8"/>
                <w:szCs w:val="28"/>
                <w:lang w:eastAsia="zh-CN"/>
              </w:rPr>
            </w:pPr>
            <w:r>
              <w:rPr>
                <w:rFonts w:hint="eastAsia" w:ascii="仿宋" w:hAnsi="仿宋" w:eastAsia="仿宋" w:cs="仿宋"/>
                <w:sz w:val="28"/>
                <w:szCs w:val="28"/>
                <w:lang w:eastAsia="zh-CN"/>
              </w:rPr>
              <w:t>4597</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3345</w:t>
            </w:r>
          </w:p>
        </w:tc>
      </w:tr>
      <w:tr>
        <w:tblPrEx>
          <w:tblLayout w:type="fixed"/>
          <w:tblCellMar>
            <w:top w:w="0" w:type="dxa"/>
            <w:left w:w="108" w:type="dxa"/>
            <w:bottom w:w="0" w:type="dxa"/>
            <w:right w:w="108" w:type="dxa"/>
          </w:tblCellMar>
        </w:tblPrEx>
        <w:trPr>
          <w:trHeight w:val="675" w:hRule="atLeast"/>
        </w:trPr>
        <w:tc>
          <w:tcPr>
            <w:tcW w:w="246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有证房产评估市场价值</w:t>
            </w:r>
          </w:p>
        </w:tc>
        <w:tc>
          <w:tcPr>
            <w:tcW w:w="246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总价（元）</w:t>
            </w:r>
          </w:p>
        </w:tc>
        <w:tc>
          <w:tcPr>
            <w:tcW w:w="448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8"/>
                <w:szCs w:val="28"/>
                <w:lang w:eastAsia="zh-CN"/>
              </w:rPr>
            </w:pPr>
            <w:r>
              <w:rPr>
                <w:rFonts w:hint="eastAsia" w:ascii="仿宋" w:hAnsi="仿宋" w:eastAsia="仿宋" w:cs="仿宋"/>
                <w:sz w:val="28"/>
                <w:lang w:eastAsia="zh-CN"/>
              </w:rPr>
              <w:t>161539</w:t>
            </w:r>
          </w:p>
        </w:tc>
      </w:tr>
      <w:tr>
        <w:tblPrEx>
          <w:tblLayout w:type="fixed"/>
          <w:tblCellMar>
            <w:top w:w="0" w:type="dxa"/>
            <w:left w:w="108" w:type="dxa"/>
            <w:bottom w:w="0" w:type="dxa"/>
            <w:right w:w="108" w:type="dxa"/>
          </w:tblCellMar>
        </w:tblPrEx>
        <w:trPr>
          <w:trHeight w:val="570" w:hRule="atLeast"/>
        </w:trPr>
        <w:tc>
          <w:tcPr>
            <w:tcW w:w="24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8"/>
                <w:szCs w:val="28"/>
              </w:rPr>
            </w:pPr>
          </w:p>
        </w:tc>
        <w:tc>
          <w:tcPr>
            <w:tcW w:w="246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单价（元/平方米）</w:t>
            </w:r>
          </w:p>
        </w:tc>
        <w:tc>
          <w:tcPr>
            <w:tcW w:w="448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8"/>
                <w:szCs w:val="28"/>
                <w:lang w:eastAsia="zh-CN"/>
              </w:rPr>
            </w:pPr>
            <w:r>
              <w:rPr>
                <w:rFonts w:hint="eastAsia" w:ascii="仿宋" w:hAnsi="仿宋" w:eastAsia="仿宋" w:cs="仿宋"/>
                <w:sz w:val="28"/>
                <w:szCs w:val="28"/>
                <w:lang w:eastAsia="zh-CN"/>
              </w:rPr>
              <w:t>4597</w:t>
            </w:r>
          </w:p>
        </w:tc>
      </w:tr>
      <w:tr>
        <w:tblPrEx>
          <w:tblLayout w:type="fixed"/>
          <w:tblCellMar>
            <w:top w:w="0" w:type="dxa"/>
            <w:left w:w="108" w:type="dxa"/>
            <w:bottom w:w="0" w:type="dxa"/>
            <w:right w:w="108" w:type="dxa"/>
          </w:tblCellMar>
        </w:tblPrEx>
        <w:trPr>
          <w:trHeight w:val="570" w:hRule="atLeast"/>
        </w:trPr>
        <w:tc>
          <w:tcPr>
            <w:tcW w:w="492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扣除土地收益金后房地产价值（元）</w:t>
            </w:r>
          </w:p>
        </w:tc>
        <w:tc>
          <w:tcPr>
            <w:tcW w:w="448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159924</w:t>
            </w:r>
          </w:p>
        </w:tc>
      </w:tr>
      <w:tr>
        <w:tblPrEx>
          <w:tblLayout w:type="fixed"/>
          <w:tblCellMar>
            <w:top w:w="15" w:type="dxa"/>
            <w:left w:w="15" w:type="dxa"/>
            <w:bottom w:w="15" w:type="dxa"/>
            <w:right w:w="15" w:type="dxa"/>
          </w:tblCellMar>
        </w:tblPrEx>
        <w:trPr>
          <w:trHeight w:val="550" w:hRule="atLeast"/>
        </w:trPr>
        <w:tc>
          <w:tcPr>
            <w:tcW w:w="2460" w:type="dxa"/>
            <w:vMerge w:val="restart"/>
            <w:tcBorders>
              <w:top w:val="nil"/>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8"/>
                <w:szCs w:val="22"/>
              </w:rPr>
            </w:pPr>
            <w:r>
              <w:rPr>
                <w:rFonts w:hint="eastAsia" w:ascii="仿宋" w:hAnsi="仿宋" w:eastAsia="仿宋" w:cs="仿宋"/>
                <w:sz w:val="28"/>
                <w:szCs w:val="22"/>
              </w:rPr>
              <w:t>无证房产评估价值</w:t>
            </w:r>
          </w:p>
        </w:tc>
        <w:tc>
          <w:tcPr>
            <w:tcW w:w="2460" w:type="dxa"/>
            <w:tcBorders>
              <w:top w:val="nil"/>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8"/>
                <w:szCs w:val="22"/>
              </w:rPr>
            </w:pPr>
            <w:r>
              <w:rPr>
                <w:rFonts w:hint="eastAsia" w:ascii="仿宋" w:hAnsi="仿宋" w:eastAsia="仿宋" w:cs="仿宋"/>
                <w:sz w:val="28"/>
                <w:szCs w:val="22"/>
              </w:rPr>
              <w:t>总价（元）</w:t>
            </w:r>
          </w:p>
        </w:tc>
        <w:tc>
          <w:tcPr>
            <w:tcW w:w="4480" w:type="dxa"/>
            <w:gridSpan w:val="2"/>
            <w:tcBorders>
              <w:top w:val="nil"/>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8"/>
                <w:szCs w:val="22"/>
              </w:rPr>
            </w:pPr>
            <w:r>
              <w:rPr>
                <w:rFonts w:hint="eastAsia" w:ascii="仿宋" w:hAnsi="仿宋" w:eastAsia="仿宋" w:cs="仿宋"/>
                <w:sz w:val="28"/>
                <w:szCs w:val="22"/>
              </w:rPr>
              <w:t>13785</w:t>
            </w:r>
          </w:p>
        </w:tc>
      </w:tr>
      <w:tr>
        <w:tblPrEx>
          <w:tblLayout w:type="fixed"/>
          <w:tblCellMar>
            <w:top w:w="15" w:type="dxa"/>
            <w:left w:w="15" w:type="dxa"/>
            <w:bottom w:w="15" w:type="dxa"/>
            <w:right w:w="15" w:type="dxa"/>
          </w:tblCellMar>
        </w:tblPrEx>
        <w:trPr>
          <w:trHeight w:val="465" w:hRule="atLeast"/>
        </w:trPr>
        <w:tc>
          <w:tcPr>
            <w:tcW w:w="2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8"/>
                <w:szCs w:val="22"/>
              </w:rPr>
            </w:pP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8"/>
                <w:szCs w:val="22"/>
              </w:rPr>
            </w:pPr>
            <w:r>
              <w:rPr>
                <w:rFonts w:hint="eastAsia" w:ascii="仿宋" w:hAnsi="仿宋" w:eastAsia="仿宋" w:cs="仿宋"/>
                <w:sz w:val="28"/>
                <w:szCs w:val="22"/>
              </w:rPr>
              <w:t>单价（元/平方米）</w:t>
            </w:r>
          </w:p>
        </w:tc>
        <w:tc>
          <w:tcPr>
            <w:tcW w:w="44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8"/>
                <w:szCs w:val="22"/>
              </w:rPr>
            </w:pPr>
            <w:r>
              <w:rPr>
                <w:rFonts w:hint="eastAsia" w:ascii="仿宋" w:hAnsi="仿宋" w:eastAsia="仿宋" w:cs="仿宋"/>
                <w:sz w:val="28"/>
                <w:szCs w:val="22"/>
              </w:rPr>
              <w:t>724</w:t>
            </w:r>
          </w:p>
        </w:tc>
      </w:tr>
      <w:tr>
        <w:tblPrEx>
          <w:tblLayout w:type="fixed"/>
          <w:tblCellMar>
            <w:top w:w="15" w:type="dxa"/>
            <w:left w:w="15" w:type="dxa"/>
            <w:bottom w:w="15" w:type="dxa"/>
            <w:right w:w="15" w:type="dxa"/>
          </w:tblCellMar>
        </w:tblPrEx>
        <w:trPr>
          <w:trHeight w:val="390" w:hRule="atLeast"/>
        </w:trPr>
        <w:tc>
          <w:tcPr>
            <w:tcW w:w="4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8"/>
                <w:szCs w:val="22"/>
              </w:rPr>
            </w:pPr>
            <w:r>
              <w:rPr>
                <w:rFonts w:hint="eastAsia" w:ascii="仿宋" w:hAnsi="仿宋" w:eastAsia="仿宋" w:cs="仿宋"/>
                <w:sz w:val="28"/>
                <w:szCs w:val="22"/>
              </w:rPr>
              <w:t>合计</w:t>
            </w:r>
          </w:p>
        </w:tc>
        <w:tc>
          <w:tcPr>
            <w:tcW w:w="4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8"/>
                <w:szCs w:val="22"/>
              </w:rPr>
            </w:pPr>
            <w:r>
              <w:rPr>
                <w:rFonts w:hint="eastAsia" w:ascii="仿宋" w:hAnsi="仿宋" w:eastAsia="仿宋" w:cs="仿宋"/>
                <w:sz w:val="28"/>
                <w:szCs w:val="22"/>
                <w:lang w:eastAsia="zh-CN"/>
              </w:rPr>
              <w:t>173709</w:t>
            </w:r>
            <w:r>
              <w:rPr>
                <w:rFonts w:hint="eastAsia" w:ascii="仿宋" w:hAnsi="仿宋" w:eastAsia="仿宋" w:cs="仿宋"/>
                <w:sz w:val="28"/>
                <w:szCs w:val="22"/>
              </w:rPr>
              <w:t>元（大写：</w:t>
            </w:r>
            <w:r>
              <w:rPr>
                <w:rFonts w:hint="eastAsia" w:ascii="仿宋" w:hAnsi="仿宋" w:eastAsia="仿宋" w:cs="仿宋"/>
                <w:sz w:val="28"/>
                <w:szCs w:val="22"/>
                <w:lang w:eastAsia="zh-CN"/>
              </w:rPr>
              <w:t>壹拾柒万叁仟柒佰零玖</w:t>
            </w:r>
            <w:r>
              <w:rPr>
                <w:rFonts w:hint="eastAsia" w:ascii="仿宋" w:hAnsi="仿宋" w:eastAsia="仿宋" w:cs="仿宋"/>
                <w:sz w:val="28"/>
                <w:szCs w:val="22"/>
              </w:rPr>
              <w:t>元整）</w:t>
            </w:r>
          </w:p>
        </w:tc>
      </w:tr>
    </w:tbl>
    <w:p>
      <w:pPr>
        <w:pStyle w:val="6"/>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估价结果的价值内涵为估价对象在价值时点，满足本次估价假设和限制条件下包括建筑物（含室内二次装修）、公共配套设施，不包括动产、债权债务、特许经营权等其他财产或权益；付款方式是一次性付清房价款；房屋面积内涵是建筑面积，开发程度为现房，具备“五通”；没有扣除预期实现交易的费用和税金等。</w:t>
      </w:r>
    </w:p>
    <w:p>
      <w:pPr>
        <w:spacing w:line="500" w:lineRule="exact"/>
        <w:outlineLvl w:val="1"/>
        <w:rPr>
          <w:rFonts w:hint="eastAsia" w:ascii="仿宋" w:hAnsi="仿宋" w:eastAsia="仿宋" w:cs="仿宋"/>
          <w:b/>
          <w:position w:val="10"/>
          <w:sz w:val="28"/>
          <w:szCs w:val="28"/>
        </w:rPr>
      </w:pPr>
      <w:r>
        <w:rPr>
          <w:rFonts w:hint="eastAsia" w:ascii="仿宋" w:hAnsi="仿宋" w:eastAsia="仿宋" w:cs="仿宋"/>
          <w:b/>
          <w:position w:val="10"/>
          <w:sz w:val="28"/>
          <w:szCs w:val="28"/>
        </w:rPr>
        <w:t>十一、</w:t>
      </w:r>
      <w:bookmarkEnd w:id="11"/>
      <w:bookmarkStart w:id="12" w:name="_Toc237405194"/>
      <w:r>
        <w:rPr>
          <w:rFonts w:hint="eastAsia" w:ascii="仿宋" w:hAnsi="仿宋" w:eastAsia="仿宋" w:cs="仿宋"/>
          <w:position w:val="10"/>
          <w:sz w:val="28"/>
          <w:szCs w:val="28"/>
        </w:rPr>
        <w:t>注册房地产估价师</w:t>
      </w:r>
      <w:r>
        <w:rPr>
          <w:rFonts w:hint="eastAsia" w:ascii="仿宋" w:hAnsi="仿宋" w:eastAsia="仿宋" w:cs="仿宋"/>
          <w:b/>
          <w:position w:val="10"/>
          <w:sz w:val="28"/>
          <w:szCs w:val="28"/>
        </w:rPr>
        <w:t>：</w:t>
      </w:r>
    </w:p>
    <w:tbl>
      <w:tblPr>
        <w:tblStyle w:val="4"/>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2700"/>
        <w:gridCol w:w="270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8" w:type="dxa"/>
            <w:vAlign w:val="center"/>
          </w:tcPr>
          <w:p>
            <w:pPr>
              <w:adjustRightInd w:val="0"/>
              <w:snapToGrid w:val="0"/>
              <w:spacing w:line="288" w:lineRule="auto"/>
              <w:ind w:firstLine="560" w:firstLineChars="200"/>
              <w:jc w:val="both"/>
              <w:rPr>
                <w:rFonts w:hint="eastAsia" w:ascii="仿宋" w:hAnsi="仿宋" w:eastAsia="仿宋" w:cs="仿宋"/>
                <w:position w:val="10"/>
                <w:sz w:val="28"/>
                <w:szCs w:val="28"/>
              </w:rPr>
            </w:pPr>
            <w:r>
              <w:rPr>
                <w:rFonts w:hint="eastAsia" w:ascii="仿宋" w:hAnsi="仿宋" w:eastAsia="仿宋" w:cs="仿宋"/>
                <w:position w:val="10"/>
                <w:sz w:val="28"/>
                <w:szCs w:val="28"/>
              </w:rPr>
              <w:t>姓 名</w:t>
            </w:r>
          </w:p>
        </w:tc>
        <w:tc>
          <w:tcPr>
            <w:tcW w:w="2700" w:type="dxa"/>
            <w:vAlign w:val="center"/>
          </w:tcPr>
          <w:p>
            <w:pPr>
              <w:adjustRightInd w:val="0"/>
              <w:snapToGrid w:val="0"/>
              <w:spacing w:line="288" w:lineRule="auto"/>
              <w:ind w:firstLine="560" w:firstLineChars="200"/>
              <w:jc w:val="both"/>
              <w:rPr>
                <w:rFonts w:hint="eastAsia" w:ascii="仿宋" w:hAnsi="仿宋" w:eastAsia="仿宋" w:cs="仿宋"/>
                <w:position w:val="10"/>
                <w:sz w:val="28"/>
                <w:szCs w:val="28"/>
              </w:rPr>
            </w:pPr>
            <w:r>
              <w:rPr>
                <w:rFonts w:hint="eastAsia" w:ascii="仿宋" w:hAnsi="仿宋" w:eastAsia="仿宋" w:cs="仿宋"/>
                <w:position w:val="10"/>
                <w:sz w:val="28"/>
                <w:szCs w:val="28"/>
              </w:rPr>
              <w:t>注册号</w:t>
            </w:r>
          </w:p>
        </w:tc>
        <w:tc>
          <w:tcPr>
            <w:tcW w:w="2700" w:type="dxa"/>
            <w:vAlign w:val="center"/>
          </w:tcPr>
          <w:p>
            <w:pPr>
              <w:adjustRightInd w:val="0"/>
              <w:snapToGrid w:val="0"/>
              <w:spacing w:line="288" w:lineRule="auto"/>
              <w:ind w:firstLine="560" w:firstLineChars="200"/>
              <w:jc w:val="both"/>
              <w:rPr>
                <w:rFonts w:hint="eastAsia" w:ascii="仿宋" w:hAnsi="仿宋" w:eastAsia="仿宋" w:cs="仿宋"/>
                <w:position w:val="10"/>
                <w:sz w:val="28"/>
                <w:szCs w:val="28"/>
              </w:rPr>
            </w:pPr>
            <w:r>
              <w:rPr>
                <w:rFonts w:hint="eastAsia" w:ascii="仿宋" w:hAnsi="仿宋" w:eastAsia="仿宋" w:cs="仿宋"/>
                <w:position w:val="10"/>
                <w:sz w:val="28"/>
                <w:szCs w:val="28"/>
              </w:rPr>
              <w:t>签 名</w:t>
            </w:r>
          </w:p>
        </w:tc>
        <w:tc>
          <w:tcPr>
            <w:tcW w:w="2400" w:type="dxa"/>
            <w:vAlign w:val="center"/>
          </w:tcPr>
          <w:p>
            <w:pPr>
              <w:adjustRightInd w:val="0"/>
              <w:snapToGrid w:val="0"/>
              <w:spacing w:line="288" w:lineRule="auto"/>
              <w:ind w:firstLine="560" w:firstLineChars="200"/>
              <w:jc w:val="both"/>
              <w:rPr>
                <w:rFonts w:hint="eastAsia" w:ascii="仿宋" w:hAnsi="仿宋" w:eastAsia="仿宋" w:cs="仿宋"/>
                <w:position w:val="10"/>
                <w:sz w:val="28"/>
                <w:szCs w:val="28"/>
              </w:rPr>
            </w:pPr>
            <w:r>
              <w:rPr>
                <w:rFonts w:hint="eastAsia" w:ascii="仿宋" w:hAnsi="仿宋" w:eastAsia="仿宋" w:cs="仿宋"/>
                <w:position w:val="1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608" w:type="dxa"/>
            <w:vAlign w:val="center"/>
          </w:tcPr>
          <w:p>
            <w:pPr>
              <w:adjustRightInd w:val="0"/>
              <w:snapToGrid w:val="0"/>
              <w:spacing w:line="288" w:lineRule="auto"/>
              <w:jc w:val="center"/>
              <w:rPr>
                <w:rFonts w:hint="eastAsia" w:ascii="仿宋" w:hAnsi="仿宋" w:eastAsia="仿宋" w:cs="仿宋"/>
                <w:position w:val="10"/>
                <w:sz w:val="28"/>
                <w:szCs w:val="28"/>
              </w:rPr>
            </w:pPr>
            <w:r>
              <w:rPr>
                <w:rFonts w:hint="eastAsia" w:ascii="仿宋" w:hAnsi="仿宋" w:eastAsia="仿宋" w:cs="仿宋"/>
                <w:position w:val="10"/>
                <w:sz w:val="28"/>
                <w:szCs w:val="28"/>
              </w:rPr>
              <w:t>黄丁亮</w:t>
            </w:r>
          </w:p>
        </w:tc>
        <w:tc>
          <w:tcPr>
            <w:tcW w:w="2700" w:type="dxa"/>
            <w:vAlign w:val="center"/>
          </w:tcPr>
          <w:p>
            <w:pPr>
              <w:adjustRightInd w:val="0"/>
              <w:snapToGrid w:val="0"/>
              <w:spacing w:line="288" w:lineRule="auto"/>
              <w:jc w:val="center"/>
              <w:rPr>
                <w:rFonts w:hint="eastAsia" w:ascii="仿宋" w:hAnsi="仿宋" w:eastAsia="仿宋" w:cs="仿宋"/>
                <w:position w:val="10"/>
                <w:sz w:val="28"/>
                <w:szCs w:val="28"/>
              </w:rPr>
            </w:pPr>
            <w:r>
              <w:rPr>
                <w:rFonts w:hint="eastAsia" w:ascii="仿宋" w:hAnsi="仿宋" w:eastAsia="仿宋" w:cs="仿宋"/>
                <w:position w:val="10"/>
                <w:sz w:val="28"/>
                <w:szCs w:val="28"/>
              </w:rPr>
              <w:t>3420140036</w:t>
            </w:r>
          </w:p>
        </w:tc>
        <w:tc>
          <w:tcPr>
            <w:tcW w:w="2700" w:type="dxa"/>
            <w:vAlign w:val="center"/>
          </w:tcPr>
          <w:p>
            <w:pPr>
              <w:adjustRightInd w:val="0"/>
              <w:snapToGrid w:val="0"/>
              <w:spacing w:line="288" w:lineRule="auto"/>
              <w:ind w:firstLine="560" w:firstLineChars="200"/>
              <w:rPr>
                <w:rFonts w:hint="eastAsia" w:ascii="仿宋" w:hAnsi="仿宋" w:eastAsia="仿宋" w:cs="仿宋"/>
                <w:position w:val="10"/>
                <w:sz w:val="28"/>
                <w:szCs w:val="28"/>
              </w:rPr>
            </w:pPr>
          </w:p>
          <w:p>
            <w:pPr>
              <w:adjustRightInd w:val="0"/>
              <w:snapToGrid w:val="0"/>
              <w:spacing w:line="288" w:lineRule="auto"/>
              <w:ind w:firstLine="560" w:firstLineChars="200"/>
              <w:rPr>
                <w:rFonts w:hint="eastAsia" w:ascii="仿宋" w:hAnsi="仿宋" w:eastAsia="仿宋" w:cs="仿宋"/>
                <w:position w:val="10"/>
                <w:sz w:val="28"/>
                <w:szCs w:val="28"/>
              </w:rPr>
            </w:pPr>
          </w:p>
        </w:tc>
        <w:tc>
          <w:tcPr>
            <w:tcW w:w="2400" w:type="dxa"/>
            <w:vAlign w:val="center"/>
          </w:tcPr>
          <w:p>
            <w:pPr>
              <w:adjustRightInd w:val="0"/>
              <w:snapToGrid w:val="0"/>
              <w:spacing w:line="288" w:lineRule="auto"/>
              <w:rPr>
                <w:rFonts w:hint="eastAsia" w:ascii="仿宋" w:hAnsi="仿宋" w:eastAsia="仿宋" w:cs="仿宋"/>
                <w:position w:val="10"/>
                <w:sz w:val="28"/>
                <w:szCs w:val="28"/>
              </w:rPr>
            </w:pPr>
            <w:r>
              <w:rPr>
                <w:rFonts w:hint="eastAsia" w:ascii="仿宋" w:hAnsi="仿宋" w:eastAsia="仿宋" w:cs="仿宋"/>
                <w:position w:val="10"/>
                <w:sz w:val="28"/>
                <w:szCs w:val="28"/>
              </w:rPr>
              <w:t>2020年3月17日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608" w:type="dxa"/>
            <w:vAlign w:val="center"/>
          </w:tcPr>
          <w:p>
            <w:pPr>
              <w:adjustRightInd w:val="0"/>
              <w:snapToGrid w:val="0"/>
              <w:spacing w:line="288" w:lineRule="auto"/>
              <w:jc w:val="center"/>
              <w:rPr>
                <w:rFonts w:hint="eastAsia" w:ascii="仿宋" w:hAnsi="仿宋" w:eastAsia="仿宋" w:cs="仿宋"/>
                <w:position w:val="10"/>
                <w:sz w:val="28"/>
                <w:szCs w:val="28"/>
              </w:rPr>
            </w:pPr>
            <w:r>
              <w:rPr>
                <w:rFonts w:hint="eastAsia" w:ascii="仿宋" w:hAnsi="仿宋" w:eastAsia="仿宋" w:cs="仿宋"/>
                <w:position w:val="10"/>
                <w:sz w:val="28"/>
                <w:szCs w:val="28"/>
              </w:rPr>
              <w:t>王定保</w:t>
            </w:r>
          </w:p>
        </w:tc>
        <w:tc>
          <w:tcPr>
            <w:tcW w:w="2700" w:type="dxa"/>
            <w:vAlign w:val="center"/>
          </w:tcPr>
          <w:p>
            <w:pPr>
              <w:adjustRightInd w:val="0"/>
              <w:snapToGrid w:val="0"/>
              <w:spacing w:line="288" w:lineRule="auto"/>
              <w:jc w:val="center"/>
              <w:rPr>
                <w:rFonts w:hint="eastAsia" w:ascii="仿宋" w:hAnsi="仿宋" w:eastAsia="仿宋" w:cs="仿宋"/>
                <w:position w:val="10"/>
                <w:sz w:val="28"/>
                <w:szCs w:val="28"/>
              </w:rPr>
            </w:pPr>
            <w:r>
              <w:rPr>
                <w:rFonts w:hint="eastAsia" w:ascii="仿宋" w:hAnsi="仿宋" w:eastAsia="仿宋" w:cs="仿宋"/>
                <w:position w:val="10"/>
                <w:sz w:val="28"/>
                <w:szCs w:val="28"/>
              </w:rPr>
              <w:t>3420070037</w:t>
            </w:r>
          </w:p>
        </w:tc>
        <w:tc>
          <w:tcPr>
            <w:tcW w:w="2700" w:type="dxa"/>
            <w:vAlign w:val="center"/>
          </w:tcPr>
          <w:p>
            <w:pPr>
              <w:adjustRightInd w:val="0"/>
              <w:snapToGrid w:val="0"/>
              <w:spacing w:line="288" w:lineRule="auto"/>
              <w:ind w:firstLine="560" w:firstLineChars="200"/>
              <w:rPr>
                <w:rFonts w:hint="eastAsia" w:ascii="仿宋" w:hAnsi="仿宋" w:eastAsia="仿宋" w:cs="仿宋"/>
                <w:position w:val="10"/>
                <w:sz w:val="28"/>
                <w:szCs w:val="28"/>
              </w:rPr>
            </w:pPr>
          </w:p>
          <w:p>
            <w:pPr>
              <w:adjustRightInd w:val="0"/>
              <w:snapToGrid w:val="0"/>
              <w:spacing w:line="288" w:lineRule="auto"/>
              <w:ind w:firstLine="560" w:firstLineChars="200"/>
              <w:rPr>
                <w:rFonts w:hint="eastAsia" w:ascii="仿宋" w:hAnsi="仿宋" w:eastAsia="仿宋" w:cs="仿宋"/>
                <w:position w:val="10"/>
                <w:sz w:val="28"/>
                <w:szCs w:val="28"/>
              </w:rPr>
            </w:pPr>
          </w:p>
        </w:tc>
        <w:tc>
          <w:tcPr>
            <w:tcW w:w="2400" w:type="dxa"/>
            <w:vAlign w:val="center"/>
          </w:tcPr>
          <w:p>
            <w:pPr>
              <w:adjustRightInd w:val="0"/>
              <w:snapToGrid w:val="0"/>
              <w:spacing w:line="288" w:lineRule="auto"/>
              <w:rPr>
                <w:rFonts w:hint="eastAsia" w:ascii="仿宋" w:hAnsi="仿宋" w:eastAsia="仿宋" w:cs="仿宋"/>
                <w:position w:val="10"/>
                <w:sz w:val="28"/>
                <w:szCs w:val="28"/>
              </w:rPr>
            </w:pPr>
            <w:r>
              <w:rPr>
                <w:rFonts w:hint="eastAsia" w:ascii="仿宋" w:hAnsi="仿宋" w:eastAsia="仿宋" w:cs="仿宋"/>
                <w:position w:val="10"/>
                <w:sz w:val="28"/>
                <w:szCs w:val="28"/>
              </w:rPr>
              <w:t>2020年3月17日</w:t>
            </w:r>
          </w:p>
        </w:tc>
      </w:tr>
    </w:tbl>
    <w:p>
      <w:pPr>
        <w:spacing w:line="500" w:lineRule="exact"/>
        <w:outlineLvl w:val="1"/>
        <w:rPr>
          <w:rFonts w:hint="eastAsia" w:ascii="仿宋" w:hAnsi="仿宋" w:eastAsia="仿宋" w:cs="仿宋"/>
          <w:b/>
          <w:position w:val="10"/>
          <w:sz w:val="28"/>
          <w:szCs w:val="28"/>
        </w:rPr>
      </w:pPr>
      <w:r>
        <w:rPr>
          <w:rFonts w:hint="eastAsia" w:ascii="仿宋" w:hAnsi="仿宋" w:eastAsia="仿宋" w:cs="仿宋"/>
          <w:b/>
          <w:position w:val="10"/>
          <w:sz w:val="28"/>
          <w:szCs w:val="28"/>
        </w:rPr>
        <w:t>十二、</w:t>
      </w:r>
      <w:bookmarkEnd w:id="12"/>
      <w:r>
        <w:rPr>
          <w:rFonts w:hint="eastAsia" w:ascii="仿宋" w:hAnsi="仿宋" w:eastAsia="仿宋" w:cs="仿宋"/>
          <w:b/>
          <w:position w:val="10"/>
          <w:sz w:val="28"/>
          <w:szCs w:val="28"/>
        </w:rPr>
        <w:t>实地查勘期</w:t>
      </w:r>
    </w:p>
    <w:p>
      <w:pPr>
        <w:adjustRightInd w:val="0"/>
        <w:snapToGrid w:val="0"/>
        <w:spacing w:line="500" w:lineRule="exact"/>
        <w:ind w:firstLine="840" w:firstLineChars="300"/>
        <w:rPr>
          <w:rFonts w:hint="eastAsia" w:ascii="仿宋" w:hAnsi="仿宋" w:eastAsia="仿宋" w:cs="仿宋"/>
          <w:position w:val="10"/>
          <w:sz w:val="28"/>
          <w:szCs w:val="28"/>
        </w:rPr>
      </w:pPr>
      <w:r>
        <w:rPr>
          <w:rFonts w:hint="eastAsia" w:ascii="仿宋" w:hAnsi="仿宋" w:eastAsia="仿宋" w:cs="仿宋"/>
          <w:position w:val="10"/>
          <w:sz w:val="28"/>
          <w:szCs w:val="28"/>
        </w:rPr>
        <w:t>注册房地产估价师完成实地查勘期为2020年1月20日</w:t>
      </w:r>
    </w:p>
    <w:p>
      <w:pPr>
        <w:spacing w:line="500" w:lineRule="exact"/>
        <w:outlineLvl w:val="1"/>
        <w:rPr>
          <w:rFonts w:hint="eastAsia" w:ascii="仿宋" w:hAnsi="仿宋" w:eastAsia="仿宋" w:cs="仿宋"/>
          <w:b/>
          <w:position w:val="10"/>
          <w:sz w:val="28"/>
          <w:szCs w:val="28"/>
        </w:rPr>
      </w:pPr>
      <w:bookmarkStart w:id="13" w:name="_Toc237405195"/>
      <w:r>
        <w:rPr>
          <w:rFonts w:hint="eastAsia" w:ascii="仿宋" w:hAnsi="仿宋" w:eastAsia="仿宋" w:cs="仿宋"/>
          <w:b/>
          <w:position w:val="10"/>
          <w:sz w:val="28"/>
          <w:szCs w:val="28"/>
        </w:rPr>
        <w:t>十三、估价</w:t>
      </w:r>
      <w:bookmarkEnd w:id="13"/>
      <w:r>
        <w:rPr>
          <w:rFonts w:hint="eastAsia" w:ascii="仿宋" w:hAnsi="仿宋" w:eastAsia="仿宋" w:cs="仿宋"/>
          <w:b/>
          <w:position w:val="10"/>
          <w:sz w:val="28"/>
          <w:szCs w:val="28"/>
        </w:rPr>
        <w:t>作业期</w:t>
      </w:r>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 xml:space="preserve"> 2020年1月8日-2020年3月17日</w:t>
      </w:r>
    </w:p>
    <w:p>
      <w:pPr>
        <w:spacing w:line="500" w:lineRule="exact"/>
        <w:outlineLvl w:val="1"/>
        <w:rPr>
          <w:rFonts w:hint="eastAsia" w:ascii="仿宋" w:hAnsi="仿宋" w:eastAsia="仿宋" w:cs="仿宋"/>
          <w:b/>
          <w:position w:val="10"/>
          <w:sz w:val="28"/>
          <w:szCs w:val="28"/>
        </w:rPr>
      </w:pPr>
      <w:r>
        <w:rPr>
          <w:rFonts w:hint="eastAsia" w:ascii="仿宋" w:hAnsi="仿宋" w:eastAsia="仿宋" w:cs="仿宋"/>
          <w:b/>
          <w:position w:val="10"/>
          <w:sz w:val="28"/>
          <w:szCs w:val="28"/>
        </w:rPr>
        <w:t>十四、估价报告应用的有效期</w:t>
      </w:r>
    </w:p>
    <w:p>
      <w:pPr>
        <w:adjustRightInd w:val="0"/>
        <w:snapToGrid w:val="0"/>
        <w:spacing w:line="500" w:lineRule="exact"/>
        <w:ind w:firstLine="560" w:firstLineChars="200"/>
        <w:rPr>
          <w:rFonts w:hint="eastAsia" w:ascii="仿宋" w:hAnsi="仿宋" w:eastAsia="仿宋" w:cs="仿宋"/>
          <w:position w:val="10"/>
          <w:sz w:val="28"/>
          <w:szCs w:val="28"/>
        </w:rPr>
      </w:pPr>
      <w:r>
        <w:rPr>
          <w:rFonts w:hint="eastAsia" w:ascii="仿宋" w:hAnsi="仿宋" w:eastAsia="仿宋" w:cs="仿宋"/>
          <w:position w:val="10"/>
          <w:sz w:val="28"/>
          <w:szCs w:val="28"/>
        </w:rPr>
        <w:t xml:space="preserve">  本评估报告的最长应用有效期为出具报告之日起一年内有效，如当地房地产市场出现较大的变化时，其应用有效期应相应缩短。</w:t>
      </w:r>
    </w:p>
    <w:p>
      <w:pPr>
        <w:widowControl/>
        <w:numPr>
          <w:ilvl w:val="0"/>
          <w:numId w:val="7"/>
        </w:numPr>
        <w:jc w:val="left"/>
        <w:rPr>
          <w:rFonts w:hint="eastAsia" w:ascii="仿宋" w:hAnsi="仿宋" w:eastAsia="仿宋" w:cs="仿宋"/>
          <w:b/>
          <w:bCs/>
          <w:kern w:val="0"/>
          <w:sz w:val="28"/>
          <w:szCs w:val="28"/>
          <w:lang w:bidi="ar"/>
        </w:rPr>
      </w:pPr>
      <w:r>
        <w:rPr>
          <w:rFonts w:hint="eastAsia" w:ascii="仿宋" w:hAnsi="仿宋" w:eastAsia="仿宋" w:cs="仿宋"/>
          <w:b/>
          <w:bCs/>
          <w:kern w:val="0"/>
          <w:sz w:val="28"/>
          <w:szCs w:val="28"/>
          <w:lang w:bidi="ar"/>
        </w:rPr>
        <w:t>异议的处理</w:t>
      </w:r>
    </w:p>
    <w:p>
      <w:pPr>
        <w:adjustRightInd w:val="0"/>
        <w:snapToGrid w:val="0"/>
        <w:spacing w:line="500" w:lineRule="exact"/>
        <w:ind w:firstLine="560" w:firstLineChars="200"/>
        <w:rPr>
          <w:rFonts w:hint="eastAsia" w:ascii="仿宋" w:hAnsi="仿宋" w:eastAsia="仿宋" w:cs="仿宋"/>
          <w:kern w:val="0"/>
          <w:sz w:val="28"/>
          <w:szCs w:val="28"/>
          <w:lang w:bidi="ar"/>
        </w:rPr>
      </w:pPr>
      <w:r>
        <w:rPr>
          <w:rFonts w:hint="eastAsia" w:ascii="仿宋" w:hAnsi="仿宋" w:eastAsia="仿宋" w:cs="仿宋"/>
          <w:kern w:val="0"/>
          <w:sz w:val="28"/>
          <w:szCs w:val="28"/>
          <w:lang w:bidi="ar"/>
        </w:rPr>
        <w:t>当事人或者其他利害关系人对评估报告有异议的，应自收到人民法院通知之日起5日内提交书面说明。</w:t>
      </w:r>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D26BAE"/>
    <w:multiLevelType w:val="singleLevel"/>
    <w:tmpl w:val="BAD26BAE"/>
    <w:lvl w:ilvl="0" w:tentative="0">
      <w:start w:val="15"/>
      <w:numFmt w:val="chineseCounting"/>
      <w:suff w:val="nothing"/>
      <w:lvlText w:val="%1、"/>
      <w:lvlJc w:val="left"/>
      <w:rPr>
        <w:rFonts w:hint="eastAsia"/>
      </w:rPr>
    </w:lvl>
  </w:abstractNum>
  <w:abstractNum w:abstractNumId="1">
    <w:nsid w:val="0000000B"/>
    <w:multiLevelType w:val="multilevel"/>
    <w:tmpl w:val="0000000B"/>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0000000C"/>
    <w:multiLevelType w:val="multilevel"/>
    <w:tmpl w:val="0000000C"/>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0000000D"/>
    <w:multiLevelType w:val="multilevel"/>
    <w:tmpl w:val="0000000D"/>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
    <w:nsid w:val="0000000E"/>
    <w:multiLevelType w:val="multilevel"/>
    <w:tmpl w:val="0000000E"/>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5">
    <w:nsid w:val="240E5D6A"/>
    <w:multiLevelType w:val="multilevel"/>
    <w:tmpl w:val="240E5D6A"/>
    <w:lvl w:ilvl="0" w:tentative="0">
      <w:start w:val="1"/>
      <w:numFmt w:val="japaneseCounting"/>
      <w:lvlText w:val="（%1）"/>
      <w:lvlJc w:val="left"/>
      <w:pPr>
        <w:ind w:left="1396" w:hanging="855"/>
      </w:pPr>
      <w:rPr>
        <w:rFonts w:hint="default"/>
      </w:rPr>
    </w:lvl>
    <w:lvl w:ilvl="1" w:tentative="0">
      <w:start w:val="1"/>
      <w:numFmt w:val="lowerLetter"/>
      <w:lvlText w:val="%2)"/>
      <w:lvlJc w:val="left"/>
      <w:pPr>
        <w:ind w:left="1381" w:hanging="420"/>
      </w:pPr>
    </w:lvl>
    <w:lvl w:ilvl="2" w:tentative="0">
      <w:start w:val="1"/>
      <w:numFmt w:val="lowerRoman"/>
      <w:lvlText w:val="%3."/>
      <w:lvlJc w:val="right"/>
      <w:pPr>
        <w:ind w:left="1801" w:hanging="420"/>
      </w:pPr>
    </w:lvl>
    <w:lvl w:ilvl="3" w:tentative="0">
      <w:start w:val="1"/>
      <w:numFmt w:val="decimal"/>
      <w:lvlText w:val="%4."/>
      <w:lvlJc w:val="left"/>
      <w:pPr>
        <w:ind w:left="2221" w:hanging="420"/>
      </w:pPr>
    </w:lvl>
    <w:lvl w:ilvl="4" w:tentative="0">
      <w:start w:val="1"/>
      <w:numFmt w:val="lowerLetter"/>
      <w:lvlText w:val="%5)"/>
      <w:lvlJc w:val="left"/>
      <w:pPr>
        <w:ind w:left="2641" w:hanging="420"/>
      </w:pPr>
    </w:lvl>
    <w:lvl w:ilvl="5" w:tentative="0">
      <w:start w:val="1"/>
      <w:numFmt w:val="lowerRoman"/>
      <w:lvlText w:val="%6."/>
      <w:lvlJc w:val="right"/>
      <w:pPr>
        <w:ind w:left="3061" w:hanging="420"/>
      </w:pPr>
    </w:lvl>
    <w:lvl w:ilvl="6" w:tentative="0">
      <w:start w:val="1"/>
      <w:numFmt w:val="decimal"/>
      <w:lvlText w:val="%7."/>
      <w:lvlJc w:val="left"/>
      <w:pPr>
        <w:ind w:left="3481" w:hanging="420"/>
      </w:pPr>
    </w:lvl>
    <w:lvl w:ilvl="7" w:tentative="0">
      <w:start w:val="1"/>
      <w:numFmt w:val="lowerLetter"/>
      <w:lvlText w:val="%8)"/>
      <w:lvlJc w:val="left"/>
      <w:pPr>
        <w:ind w:left="3901" w:hanging="420"/>
      </w:pPr>
    </w:lvl>
    <w:lvl w:ilvl="8" w:tentative="0">
      <w:start w:val="1"/>
      <w:numFmt w:val="lowerRoman"/>
      <w:lvlText w:val="%9."/>
      <w:lvlJc w:val="right"/>
      <w:pPr>
        <w:ind w:left="4321" w:hanging="420"/>
      </w:pPr>
    </w:lvl>
  </w:abstractNum>
  <w:abstractNum w:abstractNumId="6">
    <w:nsid w:val="5BD96F45"/>
    <w:multiLevelType w:val="multilevel"/>
    <w:tmpl w:val="5BD96F45"/>
    <w:lvl w:ilvl="0" w:tentative="0">
      <w:start w:val="1"/>
      <w:numFmt w:val="japaneseCounting"/>
      <w:lvlText w:val="(%1)"/>
      <w:lvlJc w:val="left"/>
      <w:pPr>
        <w:tabs>
          <w:tab w:val="left" w:pos="1320"/>
        </w:tabs>
        <w:ind w:left="1320" w:hanging="720"/>
      </w:pPr>
      <w:rPr>
        <w:rFonts w:hint="default"/>
      </w:rPr>
    </w:lvl>
    <w:lvl w:ilvl="1" w:tentative="0">
      <w:start w:val="1"/>
      <w:numFmt w:val="lowerLetter"/>
      <w:lvlText w:val="%2)"/>
      <w:lvlJc w:val="left"/>
      <w:pPr>
        <w:tabs>
          <w:tab w:val="left" w:pos="1381"/>
        </w:tabs>
        <w:ind w:left="1381" w:hanging="420"/>
      </w:pPr>
    </w:lvl>
    <w:lvl w:ilvl="2" w:tentative="0">
      <w:start w:val="1"/>
      <w:numFmt w:val="lowerRoman"/>
      <w:lvlText w:val="%3."/>
      <w:lvlJc w:val="right"/>
      <w:pPr>
        <w:tabs>
          <w:tab w:val="left" w:pos="1801"/>
        </w:tabs>
        <w:ind w:left="1801" w:hanging="420"/>
      </w:pPr>
    </w:lvl>
    <w:lvl w:ilvl="3" w:tentative="0">
      <w:start w:val="1"/>
      <w:numFmt w:val="decimal"/>
      <w:lvlText w:val="%4."/>
      <w:lvlJc w:val="left"/>
      <w:pPr>
        <w:tabs>
          <w:tab w:val="left" w:pos="2221"/>
        </w:tabs>
        <w:ind w:left="2221" w:hanging="420"/>
      </w:pPr>
    </w:lvl>
    <w:lvl w:ilvl="4" w:tentative="0">
      <w:start w:val="1"/>
      <w:numFmt w:val="lowerLetter"/>
      <w:lvlText w:val="%5)"/>
      <w:lvlJc w:val="left"/>
      <w:pPr>
        <w:tabs>
          <w:tab w:val="left" w:pos="2641"/>
        </w:tabs>
        <w:ind w:left="2641" w:hanging="420"/>
      </w:pPr>
    </w:lvl>
    <w:lvl w:ilvl="5" w:tentative="0">
      <w:start w:val="1"/>
      <w:numFmt w:val="lowerRoman"/>
      <w:lvlText w:val="%6."/>
      <w:lvlJc w:val="right"/>
      <w:pPr>
        <w:tabs>
          <w:tab w:val="left" w:pos="3061"/>
        </w:tabs>
        <w:ind w:left="3061" w:hanging="420"/>
      </w:pPr>
    </w:lvl>
    <w:lvl w:ilvl="6" w:tentative="0">
      <w:start w:val="1"/>
      <w:numFmt w:val="decimal"/>
      <w:lvlText w:val="%7."/>
      <w:lvlJc w:val="left"/>
      <w:pPr>
        <w:tabs>
          <w:tab w:val="left" w:pos="3481"/>
        </w:tabs>
        <w:ind w:left="3481" w:hanging="420"/>
      </w:pPr>
    </w:lvl>
    <w:lvl w:ilvl="7" w:tentative="0">
      <w:start w:val="1"/>
      <w:numFmt w:val="lowerLetter"/>
      <w:lvlText w:val="%8)"/>
      <w:lvlJc w:val="left"/>
      <w:pPr>
        <w:tabs>
          <w:tab w:val="left" w:pos="3901"/>
        </w:tabs>
        <w:ind w:left="3901" w:hanging="420"/>
      </w:pPr>
    </w:lvl>
    <w:lvl w:ilvl="8" w:tentative="0">
      <w:start w:val="1"/>
      <w:numFmt w:val="lowerRoman"/>
      <w:lvlText w:val="%9."/>
      <w:lvlJc w:val="right"/>
      <w:pPr>
        <w:tabs>
          <w:tab w:val="left" w:pos="4321"/>
        </w:tabs>
        <w:ind w:left="4321" w:hanging="42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A7A0D"/>
    <w:rsid w:val="531A7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5">
    <w:name w:val="模版-正文居中"/>
    <w:basedOn w:val="1"/>
    <w:qFormat/>
    <w:uiPriority w:val="0"/>
    <w:pPr>
      <w:widowControl/>
      <w:adjustRightInd w:val="0"/>
      <w:snapToGrid w:val="0"/>
      <w:spacing w:line="300" w:lineRule="auto"/>
      <w:jc w:val="center"/>
    </w:pPr>
    <w:rPr>
      <w:rFonts w:ascii="宋体" w:hAnsi="宋体"/>
      <w:color w:val="FF0000"/>
      <w:sz w:val="18"/>
      <w:szCs w:val="22"/>
    </w:rPr>
  </w:style>
  <w:style w:type="paragraph" w:customStyle="1" w:styleId="6">
    <w:name w:val="模版-正文空两格"/>
    <w:basedOn w:val="1"/>
    <w:qFormat/>
    <w:uiPriority w:val="0"/>
    <w:pPr>
      <w:widowControl/>
      <w:adjustRightInd w:val="0"/>
      <w:snapToGrid w:val="0"/>
      <w:spacing w:line="300" w:lineRule="exact"/>
      <w:ind w:firstLine="360"/>
    </w:pPr>
    <w:rPr>
      <w:rFonts w:eastAsia="华文细黑"/>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2020-05-08T00:55:00Z</dcterms:created>
  <dc:creator>一生所爱</dc:creator>
  <cp:lastModifiedBy>一生所爱</cp:lastModifiedBy>
  <dcterms:modified xsi:type="dcterms:W3CDTF">2020-05-08T00:56:21Z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