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000000" w:themeColor="text1"/>
          <w:szCs w:val="28"/>
        </w:rPr>
      </w:pPr>
      <w:r>
        <w:rPr>
          <w:rFonts w:hint="eastAsia" w:ascii="仿宋_GB2312" w:eastAsia="仿宋_GB2312"/>
          <w:b/>
          <w:bCs/>
          <w:color w:val="000000" w:themeColor="text1"/>
          <w:sz w:val="28"/>
          <w:szCs w:val="28"/>
        </w:rPr>
        <w:t>河贵评（2020）106</w:t>
      </w:r>
      <w:r>
        <w:rPr>
          <w:rFonts w:hint="eastAsia" w:ascii="仿宋_GB2312" w:eastAsia="仿宋_GB2312"/>
          <w:b/>
          <w:bCs/>
          <w:color w:val="000000" w:themeColor="text1"/>
          <w:sz w:val="28"/>
          <w:szCs w:val="28"/>
          <w:lang w:val="en-US" w:eastAsia="zh-CN"/>
        </w:rPr>
        <w:t>1</w:t>
      </w:r>
      <w:r>
        <w:rPr>
          <w:rFonts w:hint="eastAsia" w:ascii="仿宋_GB2312" w:eastAsia="仿宋_GB2312"/>
          <w:b/>
          <w:bCs/>
          <w:color w:val="000000" w:themeColor="text1"/>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color w:val="000000" w:themeColor="text1"/>
          <w:sz w:val="32"/>
          <w:szCs w:val="32"/>
          <w:u w:val="single"/>
        </w:rPr>
        <w:t xml:space="preserve">    河贵</w:t>
      </w:r>
      <w:r>
        <w:rPr>
          <w:rFonts w:hint="eastAsia" w:ascii="仿宋_GB2312" w:eastAsia="仿宋_GB2312"/>
          <w:bCs/>
          <w:color w:val="000000" w:themeColor="text1"/>
          <w:sz w:val="32"/>
          <w:szCs w:val="32"/>
          <w:u w:val="single"/>
        </w:rPr>
        <w:t>评</w:t>
      </w:r>
      <w:r>
        <w:rPr>
          <w:rFonts w:hint="eastAsia" w:ascii="仿宋_GB2312" w:eastAsia="仿宋_GB2312"/>
          <w:color w:val="000000" w:themeColor="text1"/>
          <w:sz w:val="32"/>
          <w:szCs w:val="32"/>
          <w:u w:val="single"/>
        </w:rPr>
        <w:t>（2020）106</w:t>
      </w:r>
      <w:r>
        <w:rPr>
          <w:rFonts w:hint="eastAsia" w:ascii="仿宋_GB2312" w:eastAsia="仿宋_GB2312"/>
          <w:color w:val="000000" w:themeColor="text1"/>
          <w:sz w:val="32"/>
          <w:szCs w:val="32"/>
          <w:u w:val="single"/>
          <w:lang w:val="en-US" w:eastAsia="zh-CN"/>
        </w:rPr>
        <w:t>1</w:t>
      </w:r>
      <w:r>
        <w:rPr>
          <w:rFonts w:hint="eastAsia" w:ascii="仿宋_GB2312" w:eastAsia="仿宋_GB2312"/>
          <w:color w:val="000000" w:themeColor="text1"/>
          <w:sz w:val="32"/>
          <w:szCs w:val="32"/>
          <w:u w:val="single"/>
        </w:rPr>
        <w:t xml:space="preserve">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w:t>
      </w:r>
      <w:r>
        <w:rPr>
          <w:rFonts w:hint="eastAsia" w:ascii="宋体" w:hAnsi="宋体"/>
          <w:sz w:val="28"/>
          <w:szCs w:val="28"/>
          <w:lang w:eastAsia="zh-CN"/>
        </w:rPr>
        <w:t>对</w:t>
      </w:r>
      <w:r>
        <w:rPr>
          <w:rFonts w:hint="eastAsia" w:ascii="宋体" w:hAnsi="宋体"/>
          <w:sz w:val="28"/>
          <w:szCs w:val="28"/>
        </w:rPr>
        <w:t>您单位委托书所列指的标的的价格进行评估。现将价格评估情况综述如下：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sz w:val="28"/>
          <w:szCs w:val="28"/>
          <w:lang w:eastAsia="zh-CN"/>
        </w:rPr>
        <w:t>江南绿城</w:t>
      </w:r>
      <w:r>
        <w:rPr>
          <w:rFonts w:hint="eastAsia" w:ascii="宋体" w:hAnsi="宋体"/>
          <w:sz w:val="28"/>
          <w:szCs w:val="28"/>
          <w:lang w:val="en-US" w:eastAsia="zh-CN"/>
        </w:rPr>
        <w:t>8幢1单元11层1101号</w:t>
      </w:r>
      <w:r>
        <w:rPr>
          <w:rFonts w:hint="eastAsia" w:ascii="宋体" w:hAnsi="宋体"/>
          <w:color w:val="000000" w:themeColor="text1"/>
          <w:sz w:val="28"/>
          <w:szCs w:val="28"/>
        </w:rPr>
        <w:t>房产；</w:t>
      </w:r>
    </w:p>
    <w:p>
      <w:pPr>
        <w:pStyle w:val="6"/>
        <w:spacing w:line="570" w:lineRule="exact"/>
        <w:ind w:left="570"/>
        <w:rPr>
          <w:rFonts w:ascii="宋体" w:hAnsi="宋体"/>
          <w:color w:val="000000" w:themeColor="text1"/>
          <w:sz w:val="28"/>
          <w:szCs w:val="28"/>
        </w:rPr>
      </w:pPr>
      <w:r>
        <w:rPr>
          <w:rFonts w:hint="eastAsia" w:ascii="宋体" w:hAnsi="宋体"/>
          <w:sz w:val="28"/>
          <w:szCs w:val="28"/>
        </w:rPr>
        <w:t>房产位置：</w:t>
      </w:r>
      <w:r>
        <w:rPr>
          <w:rFonts w:hint="eastAsia" w:ascii="宋体" w:hAnsi="宋体"/>
          <w:color w:val="000000" w:themeColor="text1"/>
          <w:sz w:val="28"/>
          <w:szCs w:val="28"/>
        </w:rPr>
        <w:t>滑县新区</w:t>
      </w:r>
      <w:r>
        <w:rPr>
          <w:rFonts w:hint="eastAsia" w:ascii="宋体" w:hAnsi="宋体"/>
          <w:color w:val="000000" w:themeColor="text1"/>
          <w:sz w:val="28"/>
          <w:szCs w:val="28"/>
          <w:lang w:eastAsia="zh-CN"/>
        </w:rPr>
        <w:t>南环路与</w:t>
      </w:r>
      <w:r>
        <w:rPr>
          <w:rFonts w:hint="eastAsia" w:ascii="宋体" w:hAnsi="宋体"/>
          <w:color w:val="000000" w:themeColor="text1"/>
          <w:sz w:val="28"/>
          <w:szCs w:val="28"/>
        </w:rPr>
        <w:t>文明路</w:t>
      </w:r>
      <w:r>
        <w:rPr>
          <w:rFonts w:hint="eastAsia" w:ascii="宋体" w:hAnsi="宋体"/>
          <w:color w:val="000000" w:themeColor="text1"/>
          <w:sz w:val="28"/>
          <w:szCs w:val="28"/>
          <w:lang w:eastAsia="zh-CN"/>
        </w:rPr>
        <w:t>交汇处东南角</w:t>
      </w:r>
      <w:r>
        <w:rPr>
          <w:rFonts w:hint="eastAsia" w:ascii="宋体" w:hAnsi="宋体"/>
          <w:color w:val="000000" w:themeColor="text1"/>
          <w:sz w:val="28"/>
          <w:szCs w:val="28"/>
        </w:rPr>
        <w:t>；</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w:t>
      </w:r>
      <w:r>
        <w:rPr>
          <w:rFonts w:hint="eastAsia" w:ascii="宋体" w:hAnsi="宋体"/>
          <w:color w:val="000000" w:themeColor="text1"/>
          <w:sz w:val="28"/>
          <w:szCs w:val="28"/>
          <w:lang w:eastAsia="zh-CN"/>
        </w:rPr>
        <w:t>赵彦占</w:t>
      </w:r>
      <w:r>
        <w:rPr>
          <w:rFonts w:hint="eastAsia" w:ascii="宋体" w:hAnsi="宋体"/>
          <w:color w:val="000000" w:themeColor="text1"/>
          <w:sz w:val="28"/>
          <w:szCs w:val="28"/>
        </w:rPr>
        <w:t>；</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房产简介：该房产设计用途为住宅，属混合结构，层高为</w:t>
      </w:r>
      <w:r>
        <w:rPr>
          <w:rFonts w:hint="eastAsia" w:ascii="宋体" w:hAnsi="宋体"/>
          <w:color w:val="000000" w:themeColor="text1"/>
          <w:sz w:val="28"/>
          <w:szCs w:val="28"/>
          <w:lang w:val="en-US" w:eastAsia="zh-CN"/>
        </w:rPr>
        <w:t>3</w:t>
      </w:r>
      <w:r>
        <w:rPr>
          <w:rFonts w:hint="eastAsia" w:ascii="宋体" w:hAnsi="宋体"/>
          <w:color w:val="000000" w:themeColor="text1"/>
          <w:sz w:val="28"/>
          <w:szCs w:val="28"/>
        </w:rPr>
        <w:t>M，房产建筑面积为</w:t>
      </w:r>
      <w:r>
        <w:rPr>
          <w:rFonts w:hint="eastAsia" w:ascii="宋体" w:hAnsi="宋体" w:cs="宋体"/>
          <w:color w:val="000000" w:themeColor="text1"/>
          <w:sz w:val="28"/>
          <w:szCs w:val="28"/>
        </w:rPr>
        <w:t>167.63平方米，朝向：</w:t>
      </w:r>
      <w:r>
        <w:rPr>
          <w:rFonts w:hint="eastAsia" w:ascii="宋体" w:hAnsi="宋体" w:cs="宋体"/>
          <w:color w:val="000000" w:themeColor="text1"/>
          <w:sz w:val="28"/>
          <w:szCs w:val="28"/>
          <w:lang w:eastAsia="zh-CN"/>
        </w:rPr>
        <w:t>南北</w:t>
      </w:r>
      <w:r>
        <w:rPr>
          <w:rFonts w:hint="eastAsia" w:ascii="宋体" w:hAnsi="宋体" w:cs="宋体"/>
          <w:color w:val="000000" w:themeColor="text1"/>
          <w:sz w:val="28"/>
          <w:szCs w:val="28"/>
        </w:rPr>
        <w:t>，户型：四室两厅二卫，入室方式：电梯（一梯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户），</w:t>
      </w:r>
      <w:r>
        <w:rPr>
          <w:rFonts w:hint="eastAsia" w:ascii="宋体" w:hAnsi="宋体"/>
          <w:color w:val="000000" w:themeColor="text1"/>
          <w:sz w:val="28"/>
          <w:szCs w:val="28"/>
        </w:rPr>
        <w:t>建筑总层数为12层，地上11层，地下1层</w:t>
      </w:r>
      <w:r>
        <w:rPr>
          <w:rFonts w:hint="eastAsia" w:ascii="宋体" w:hAnsi="宋体" w:cs="宋体"/>
          <w:color w:val="000000" w:themeColor="text1"/>
          <w:sz w:val="28"/>
          <w:szCs w:val="28"/>
        </w:rPr>
        <w:t>，委估标的位于11层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2020年4月</w:t>
      </w:r>
      <w:r>
        <w:rPr>
          <w:rFonts w:hint="eastAsia" w:ascii="宋体" w:hAnsi="宋体"/>
          <w:color w:val="000000" w:themeColor="text1"/>
          <w:sz w:val="28"/>
          <w:szCs w:val="28"/>
          <w:lang w:val="en-US" w:eastAsia="zh-CN"/>
        </w:rPr>
        <w:t>9</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2、《国家计委价格认证管理办法》。</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rPr>
        <w:t>赵彦占名下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滑县新区南环路与文明路交汇处东南角江南绿城8幢1单元11层1101号房产。该房产设计用途为住宅，属混合结构，层高为</w:t>
      </w:r>
      <w:r>
        <w:rPr>
          <w:rFonts w:hint="eastAsia" w:ascii="宋体" w:hAnsi="宋体"/>
          <w:color w:val="000000" w:themeColor="text1"/>
          <w:sz w:val="28"/>
          <w:szCs w:val="28"/>
          <w:lang w:val="en-US" w:eastAsia="zh-CN"/>
        </w:rPr>
        <w:t>3</w:t>
      </w:r>
      <w:r>
        <w:rPr>
          <w:rFonts w:hint="eastAsia" w:ascii="宋体" w:hAnsi="宋体"/>
          <w:color w:val="000000" w:themeColor="text1"/>
          <w:sz w:val="28"/>
          <w:szCs w:val="28"/>
        </w:rPr>
        <w:t>M，房产建筑面积为</w:t>
      </w:r>
      <w:r>
        <w:rPr>
          <w:rFonts w:hint="eastAsia" w:ascii="宋体" w:hAnsi="宋体" w:cs="宋体"/>
          <w:color w:val="000000" w:themeColor="text1"/>
          <w:sz w:val="28"/>
          <w:szCs w:val="28"/>
        </w:rPr>
        <w:t>167.63平方米，朝向：</w:t>
      </w:r>
      <w:r>
        <w:rPr>
          <w:rFonts w:hint="eastAsia" w:ascii="宋体" w:hAnsi="宋体" w:cs="宋体"/>
          <w:color w:val="000000" w:themeColor="text1"/>
          <w:sz w:val="28"/>
          <w:szCs w:val="28"/>
          <w:lang w:eastAsia="zh-CN"/>
        </w:rPr>
        <w:t>南北</w:t>
      </w:r>
      <w:r>
        <w:rPr>
          <w:rFonts w:hint="eastAsia" w:ascii="宋体" w:hAnsi="宋体" w:cs="宋体"/>
          <w:color w:val="000000" w:themeColor="text1"/>
          <w:sz w:val="28"/>
          <w:szCs w:val="28"/>
        </w:rPr>
        <w:t>，户型：四室两厅二卫，入室方式：电梯（一梯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户），</w:t>
      </w:r>
      <w:r>
        <w:rPr>
          <w:rFonts w:hint="eastAsia" w:ascii="宋体" w:hAnsi="宋体"/>
          <w:color w:val="000000" w:themeColor="text1"/>
          <w:sz w:val="28"/>
          <w:szCs w:val="28"/>
        </w:rPr>
        <w:t>建筑总层数为12层，地上11层，地下1层</w:t>
      </w:r>
      <w:r>
        <w:rPr>
          <w:rFonts w:hint="eastAsia" w:ascii="宋体" w:hAnsi="宋体" w:cs="宋体"/>
          <w:color w:val="000000" w:themeColor="text1"/>
          <w:sz w:val="28"/>
          <w:szCs w:val="28"/>
        </w:rPr>
        <w:t>，委估标的位于11层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室内装修为：中高等装修。遵照我国相关法律、法规和制度，遵循估价原则，</w:t>
      </w:r>
      <w:r>
        <w:rPr>
          <w:rFonts w:hint="eastAsia" w:ascii="宋体" w:hAnsi="宋体" w:cs="宋体"/>
          <w:sz w:val="28"/>
          <w:szCs w:val="28"/>
        </w:rPr>
        <w:t>按照估价程序，采用合理的估价方法，在综合分析房地产价格因素的基础上，对该房产在估价时点（评估基准日）的客观合理价值进行了评定估算，最终确定委估房产在估价时点的客观合理价值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color w:val="000000" w:themeColor="text1"/>
          <w:sz w:val="28"/>
          <w:szCs w:val="28"/>
        </w:rPr>
        <w:t>：</w:t>
      </w:r>
      <w:r>
        <w:rPr>
          <w:rFonts w:hint="eastAsia"/>
          <w:color w:val="000000" w:themeColor="text1"/>
          <w:sz w:val="28"/>
          <w:szCs w:val="28"/>
          <w:lang w:eastAsia="zh-CN"/>
        </w:rPr>
        <w:t>捌拾柒万贰仟</w:t>
      </w:r>
      <w:r>
        <w:rPr>
          <w:rFonts w:hint="eastAsia"/>
          <w:color w:val="000000" w:themeColor="text1"/>
          <w:sz w:val="28"/>
          <w:szCs w:val="28"/>
        </w:rPr>
        <w:t>圆整（RMB：</w:t>
      </w:r>
      <w:r>
        <w:rPr>
          <w:rFonts w:hint="eastAsia"/>
          <w:color w:val="000000" w:themeColor="text1"/>
          <w:sz w:val="28"/>
          <w:szCs w:val="28"/>
          <w:lang w:val="en-US" w:eastAsia="zh-CN"/>
        </w:rPr>
        <w:t>87</w:t>
      </w:r>
      <w:r>
        <w:rPr>
          <w:rFonts w:hint="eastAsia"/>
          <w:color w:val="000000" w:themeColor="text1"/>
          <w:sz w:val="28"/>
          <w:szCs w:val="28"/>
        </w:rPr>
        <w:t>2000.00元）。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捌拾柒万贰仟</w:t>
      </w:r>
      <w:r>
        <w:rPr>
          <w:rFonts w:hint="eastAsia"/>
          <w:color w:val="000000" w:themeColor="text1"/>
          <w:sz w:val="28"/>
          <w:szCs w:val="28"/>
        </w:rPr>
        <w:t>圆整（RMB：</w:t>
      </w:r>
      <w:r>
        <w:rPr>
          <w:rFonts w:hint="eastAsia"/>
          <w:color w:val="000000" w:themeColor="text1"/>
          <w:sz w:val="28"/>
          <w:szCs w:val="28"/>
          <w:lang w:val="en-US" w:eastAsia="zh-CN"/>
        </w:rPr>
        <w:t>87</w:t>
      </w:r>
      <w:r>
        <w:rPr>
          <w:rFonts w:hint="eastAsia"/>
          <w:color w:val="000000" w:themeColor="text1"/>
          <w:sz w:val="28"/>
          <w:szCs w:val="28"/>
        </w:rPr>
        <w:t>2000.00元）；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柒拾捌万伍仟</w:t>
      </w:r>
      <w:r>
        <w:rPr>
          <w:rFonts w:hint="eastAsia"/>
          <w:color w:val="000000" w:themeColor="text1"/>
          <w:sz w:val="28"/>
          <w:szCs w:val="28"/>
        </w:rPr>
        <w:t>圆整（RMB：</w:t>
      </w:r>
      <w:r>
        <w:rPr>
          <w:rFonts w:hint="eastAsia"/>
          <w:color w:val="000000" w:themeColor="text1"/>
          <w:sz w:val="28"/>
          <w:szCs w:val="28"/>
          <w:lang w:val="en-US" w:eastAsia="zh-CN"/>
        </w:rPr>
        <w:t>785</w:t>
      </w:r>
      <w:r>
        <w:rPr>
          <w:rFonts w:hint="eastAsia"/>
          <w:color w:val="000000" w:themeColor="text1"/>
          <w:sz w:val="28"/>
          <w:szCs w:val="28"/>
        </w:rPr>
        <w:t>000.00元）。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（六）本鉴定评估意见书的有效期为一年，即从</w:t>
      </w:r>
      <w:r>
        <w:rPr>
          <w:rFonts w:hint="eastAsia"/>
          <w:color w:val="000000" w:themeColor="text1"/>
          <w:sz w:val="28"/>
          <w:szCs w:val="28"/>
        </w:rPr>
        <w:t>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20</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19</w:t>
      </w:r>
      <w:r>
        <w:rPr>
          <w:rFonts w:hint="eastAsia"/>
          <w:color w:val="000000" w:themeColor="text1"/>
          <w:sz w:val="28"/>
          <w:szCs w:val="28"/>
        </w:rPr>
        <w:t>日止。如在有效期内当地政策调整或市场发生重大变化对评估意见书产生重大影响时，应当重新确定评估基准日进行</w:t>
      </w:r>
      <w:r>
        <w:rPr>
          <w:rFonts w:hint="eastAsia"/>
          <w:sz w:val="28"/>
          <w:szCs w:val="28"/>
        </w:rPr>
        <w:t>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8</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17</w:t>
      </w:r>
      <w:r>
        <w:rPr>
          <w:rFonts w:hint="eastAsia" w:ascii="宋体" w:hAnsi="宋体" w:cs="宋体"/>
          <w:color w:val="000000" w:themeColor="text1"/>
          <w:sz w:val="28"/>
          <w:szCs w:val="28"/>
        </w:rPr>
        <w:t>日</w:t>
      </w:r>
    </w:p>
    <w:p>
      <w:pPr>
        <w:spacing w:line="570" w:lineRule="exact"/>
        <w:ind w:firstLine="560"/>
        <w:rPr>
          <w:rFonts w:ascii="黑体" w:eastAsia="黑体"/>
          <w:color w:val="000000" w:themeColor="text1"/>
          <w:sz w:val="32"/>
          <w:szCs w:val="32"/>
        </w:rPr>
      </w:pPr>
      <w:r>
        <w:rPr>
          <w:rFonts w:hint="eastAsia" w:ascii="黑体" w:eastAsia="黑体"/>
          <w:color w:val="000000" w:themeColor="text1"/>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机构名称：河南省贵合资产鉴定评估有限公司</w:t>
      </w:r>
    </w:p>
    <w:p>
      <w:pPr>
        <w:spacing w:line="570" w:lineRule="exact"/>
        <w:ind w:firstLine="608" w:firstLineChars="190"/>
        <w:rPr>
          <w:rFonts w:ascii="仿宋" w:hAnsi="仿宋" w:eastAsia="仿宋" w:cs="仿宋"/>
          <w:sz w:val="32"/>
          <w:szCs w:val="32"/>
        </w:rPr>
      </w:pPr>
      <w:r>
        <w:rPr>
          <w:rFonts w:hint="eastAsia" w:ascii="仿宋" w:hAnsi="仿宋" w:eastAsia="仿宋" w:cs="仿宋"/>
          <w:sz w:val="32"/>
          <w:szCs w:val="32"/>
          <w:u w:val="thick"/>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hint="eastAsia" w:ascii="仿宋" w:hAnsi="仿宋" w:eastAsia="仿宋" w:cs="仿宋"/>
          <w:color w:val="000000" w:themeColor="text1"/>
          <w:sz w:val="32"/>
          <w:szCs w:val="32"/>
        </w:rPr>
      </w:pPr>
    </w:p>
    <w:p>
      <w:pPr>
        <w:spacing w:line="570" w:lineRule="exact"/>
        <w:ind w:firstLine="3200" w:firstLineChars="10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四</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二十</w:t>
      </w:r>
      <w:bookmarkStart w:id="0" w:name="_GoBack"/>
      <w:bookmarkEnd w:id="0"/>
      <w:r>
        <w:rPr>
          <w:rFonts w:hint="eastAsia" w:ascii="仿宋" w:hAnsi="仿宋" w:eastAsia="仿宋" w:cs="仿宋"/>
          <w:color w:val="000000" w:themeColor="text1"/>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1C0821"/>
    <w:rsid w:val="00215AA9"/>
    <w:rsid w:val="00246483"/>
    <w:rsid w:val="00255DB3"/>
    <w:rsid w:val="00340F9B"/>
    <w:rsid w:val="003B1B8C"/>
    <w:rsid w:val="00410038"/>
    <w:rsid w:val="00474499"/>
    <w:rsid w:val="004946C4"/>
    <w:rsid w:val="00567B06"/>
    <w:rsid w:val="005B77AE"/>
    <w:rsid w:val="0062183B"/>
    <w:rsid w:val="006A18DA"/>
    <w:rsid w:val="006B12BF"/>
    <w:rsid w:val="00856FE6"/>
    <w:rsid w:val="008B3EF6"/>
    <w:rsid w:val="008E322D"/>
    <w:rsid w:val="0091720A"/>
    <w:rsid w:val="009D6BE8"/>
    <w:rsid w:val="00A76119"/>
    <w:rsid w:val="00AA4EC7"/>
    <w:rsid w:val="00B247A0"/>
    <w:rsid w:val="00B411AA"/>
    <w:rsid w:val="00C10C8A"/>
    <w:rsid w:val="00D05887"/>
    <w:rsid w:val="00D675E8"/>
    <w:rsid w:val="00D72B42"/>
    <w:rsid w:val="00D83E81"/>
    <w:rsid w:val="00E17705"/>
    <w:rsid w:val="00E71571"/>
    <w:rsid w:val="00E95A18"/>
    <w:rsid w:val="00F42EA1"/>
    <w:rsid w:val="00F86BA7"/>
    <w:rsid w:val="00FE2955"/>
    <w:rsid w:val="01315C01"/>
    <w:rsid w:val="019611DC"/>
    <w:rsid w:val="024E77A7"/>
    <w:rsid w:val="029B693F"/>
    <w:rsid w:val="03A64CAC"/>
    <w:rsid w:val="090C3CB3"/>
    <w:rsid w:val="09877558"/>
    <w:rsid w:val="0A4E5DF0"/>
    <w:rsid w:val="0A776592"/>
    <w:rsid w:val="0AAA2C68"/>
    <w:rsid w:val="0B520DA6"/>
    <w:rsid w:val="0D3503A2"/>
    <w:rsid w:val="0E5424A7"/>
    <w:rsid w:val="0F031CAD"/>
    <w:rsid w:val="0F9012B0"/>
    <w:rsid w:val="12E14B7B"/>
    <w:rsid w:val="135D1325"/>
    <w:rsid w:val="14DC377A"/>
    <w:rsid w:val="15004B4F"/>
    <w:rsid w:val="15345676"/>
    <w:rsid w:val="153A47F5"/>
    <w:rsid w:val="16AE7DAF"/>
    <w:rsid w:val="178525EA"/>
    <w:rsid w:val="193D5954"/>
    <w:rsid w:val="1BC610C0"/>
    <w:rsid w:val="1CEF5172"/>
    <w:rsid w:val="1D874EF2"/>
    <w:rsid w:val="1F230115"/>
    <w:rsid w:val="1F790C01"/>
    <w:rsid w:val="1F926C83"/>
    <w:rsid w:val="20524578"/>
    <w:rsid w:val="20E4292B"/>
    <w:rsid w:val="216E4278"/>
    <w:rsid w:val="216F5094"/>
    <w:rsid w:val="21DC35F4"/>
    <w:rsid w:val="22BE2632"/>
    <w:rsid w:val="22C540B1"/>
    <w:rsid w:val="22D9178F"/>
    <w:rsid w:val="22F2501D"/>
    <w:rsid w:val="230B491E"/>
    <w:rsid w:val="24582800"/>
    <w:rsid w:val="25A62A81"/>
    <w:rsid w:val="29192F7B"/>
    <w:rsid w:val="2AAC132D"/>
    <w:rsid w:val="2AAE323E"/>
    <w:rsid w:val="2CC70B55"/>
    <w:rsid w:val="2D1048E7"/>
    <w:rsid w:val="2D3F3A3A"/>
    <w:rsid w:val="2DC519E4"/>
    <w:rsid w:val="2DF938C7"/>
    <w:rsid w:val="2F2824D3"/>
    <w:rsid w:val="2F82261D"/>
    <w:rsid w:val="31581572"/>
    <w:rsid w:val="315B03AD"/>
    <w:rsid w:val="319D2E5E"/>
    <w:rsid w:val="3540209D"/>
    <w:rsid w:val="365F5791"/>
    <w:rsid w:val="36FC73F6"/>
    <w:rsid w:val="373E6886"/>
    <w:rsid w:val="3A1D2D40"/>
    <w:rsid w:val="3C777C21"/>
    <w:rsid w:val="3CB4263F"/>
    <w:rsid w:val="42B96134"/>
    <w:rsid w:val="468A6A08"/>
    <w:rsid w:val="47046219"/>
    <w:rsid w:val="49C5625F"/>
    <w:rsid w:val="4CF10812"/>
    <w:rsid w:val="4DEE16CD"/>
    <w:rsid w:val="4EAA23D2"/>
    <w:rsid w:val="50A27AD6"/>
    <w:rsid w:val="50F412EA"/>
    <w:rsid w:val="52D67BB3"/>
    <w:rsid w:val="54F86FF7"/>
    <w:rsid w:val="55C41F81"/>
    <w:rsid w:val="57792B80"/>
    <w:rsid w:val="582F2B15"/>
    <w:rsid w:val="58F70F1F"/>
    <w:rsid w:val="591A1ADA"/>
    <w:rsid w:val="5DAB6CE7"/>
    <w:rsid w:val="5F240E35"/>
    <w:rsid w:val="61E27065"/>
    <w:rsid w:val="6391142F"/>
    <w:rsid w:val="65911249"/>
    <w:rsid w:val="66EC5FF2"/>
    <w:rsid w:val="68AD5BE1"/>
    <w:rsid w:val="6BD859AD"/>
    <w:rsid w:val="6D035B2E"/>
    <w:rsid w:val="6D2228DA"/>
    <w:rsid w:val="6D535020"/>
    <w:rsid w:val="6D9D0FCB"/>
    <w:rsid w:val="6E3D1CB6"/>
    <w:rsid w:val="6F1F1FBA"/>
    <w:rsid w:val="6F5C2E93"/>
    <w:rsid w:val="72303B7C"/>
    <w:rsid w:val="74674E45"/>
    <w:rsid w:val="746E0F07"/>
    <w:rsid w:val="75703DE2"/>
    <w:rsid w:val="75BD28E5"/>
    <w:rsid w:val="771C38CD"/>
    <w:rsid w:val="7731314D"/>
    <w:rsid w:val="775479BA"/>
    <w:rsid w:val="77F23AED"/>
    <w:rsid w:val="787B17A4"/>
    <w:rsid w:val="7A685C7B"/>
    <w:rsid w:val="7A913942"/>
    <w:rsid w:val="7B2C6E78"/>
    <w:rsid w:val="7B6F326B"/>
    <w:rsid w:val="7CEE3579"/>
    <w:rsid w:val="7DB254F6"/>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394</Words>
  <Characters>2247</Characters>
  <Lines>18</Lines>
  <Paragraphs>5</Paragraphs>
  <TotalTime>55</TotalTime>
  <ScaleCrop>false</ScaleCrop>
  <LinksUpToDate>false</LinksUpToDate>
  <CharactersWithSpaces>2636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2020-04-10T01:42:00Z</dcterms:created>
  <dc:creator>wangjunli</dc:creator>
  <cp:lastModifiedBy>stys</cp:lastModifiedBy>
  <cp:lastPrinted>2019-06-17T09:25:00Z</cp:lastPrinted>
  <dcterms:modified xsi:type="dcterms:W3CDTF">2020-04-19T01:19:52Z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