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28"/>
        </w:rPr>
      </w:pPr>
      <w:bookmarkStart w:id="147" w:name="_GoBack"/>
      <w:bookmarkEnd w:id="147"/>
      <w:r>
        <w:rPr>
          <w:rFonts w:hint="eastAsia" w:ascii="宋体" w:hAnsi="宋体"/>
          <w:color w:val="000000"/>
          <w:sz w:val="28"/>
        </w:rPr>
        <w:t xml:space="preserve"> </w:t>
      </w:r>
    </w:p>
    <w:p>
      <w:pPr>
        <w:rPr>
          <w:rFonts w:ascii="宋体" w:hAnsi="宋体"/>
          <w:color w:val="000000"/>
          <w:sz w:val="28"/>
        </w:rPr>
      </w:pPr>
    </w:p>
    <w:p>
      <w:pPr>
        <w:pStyle w:val="7"/>
        <w:rPr>
          <w:rFonts w:ascii="宋体" w:hAnsi="宋体" w:eastAsia="宋体"/>
          <w:b/>
          <w:color w:val="000000"/>
          <w:sz w:val="48"/>
          <w:szCs w:val="48"/>
        </w:rPr>
      </w:pPr>
    </w:p>
    <w:p>
      <w:pPr>
        <w:rPr>
          <w:lang w:val="zh-CN"/>
        </w:rPr>
      </w:pPr>
    </w:p>
    <w:p>
      <w:pPr>
        <w:rPr>
          <w:color w:val="000000"/>
        </w:rPr>
      </w:pPr>
    </w:p>
    <w:p>
      <w:pPr>
        <w:pStyle w:val="7"/>
        <w:jc w:val="center"/>
        <w:rPr>
          <w:rFonts w:ascii="宋体" w:hAnsi="宋体" w:eastAsia="宋体"/>
          <w:b/>
          <w:color w:val="000000"/>
          <w:sz w:val="48"/>
          <w:szCs w:val="48"/>
        </w:rPr>
      </w:pPr>
    </w:p>
    <w:p>
      <w:pPr>
        <w:pStyle w:val="7"/>
        <w:jc w:val="center"/>
        <w:rPr>
          <w:rFonts w:ascii="宋体" w:hAnsi="宋体" w:eastAsia="宋体"/>
          <w:b/>
          <w:color w:val="000000"/>
          <w:sz w:val="48"/>
          <w:szCs w:val="48"/>
        </w:rPr>
      </w:pPr>
      <w:r>
        <w:rPr>
          <w:rFonts w:hint="eastAsia" w:ascii="宋体" w:hAnsi="宋体" w:eastAsia="宋体"/>
          <w:b/>
          <w:color w:val="000000"/>
          <w:sz w:val="48"/>
          <w:szCs w:val="48"/>
        </w:rPr>
        <w:t>房 地 产 估 价 报 告</w:t>
      </w:r>
    </w:p>
    <w:p>
      <w:pPr>
        <w:spacing w:line="560" w:lineRule="exact"/>
        <w:ind w:left="3383" w:leftChars="428" w:hanging="2484" w:hangingChars="690"/>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rPr>
          <w:rFonts w:ascii="宋体" w:hAnsi="宋体"/>
          <w:color w:val="000000"/>
          <w:sz w:val="32"/>
        </w:rPr>
      </w:pPr>
    </w:p>
    <w:p>
      <w:pPr>
        <w:spacing w:line="560" w:lineRule="exact"/>
        <w:rPr>
          <w:rFonts w:ascii="宋体" w:hAnsi="宋体"/>
          <w:color w:val="000000"/>
          <w:sz w:val="32"/>
        </w:rPr>
      </w:pPr>
    </w:p>
    <w:p>
      <w:pPr>
        <w:spacing w:line="560" w:lineRule="exact"/>
        <w:ind w:left="2817" w:leftChars="427" w:hanging="1920" w:hangingChars="600"/>
        <w:rPr>
          <w:rFonts w:ascii="宋体" w:hAnsi="宋体"/>
          <w:color w:val="000000"/>
          <w:sz w:val="32"/>
        </w:rPr>
      </w:pPr>
      <w:r>
        <w:rPr>
          <w:rFonts w:hint="eastAsia" w:ascii="宋体" w:hAnsi="宋体"/>
          <w:color w:val="000000"/>
          <w:sz w:val="32"/>
        </w:rPr>
        <w:t>估 价 项 目：临清市运河小区12号楼1-604室、2-604室、13号楼1-604室、2-601室、15号楼1-604室、2-601室、18号楼1-402室、19号楼1-202室、2-402室、21号楼1-601室、1-602室、22号楼1-402室、23号楼1-402室、1-502室、2-401室住宅及储藏室房地产价值评估</w:t>
      </w:r>
    </w:p>
    <w:p>
      <w:pPr>
        <w:spacing w:line="560" w:lineRule="exact"/>
        <w:ind w:left="3217" w:leftChars="427" w:hanging="2320" w:hangingChars="725"/>
        <w:rPr>
          <w:rFonts w:ascii="宋体" w:hAnsi="宋体"/>
          <w:color w:val="000000"/>
          <w:sz w:val="30"/>
          <w:szCs w:val="30"/>
        </w:rPr>
      </w:pPr>
      <w:r>
        <w:rPr>
          <w:rFonts w:hint="eastAsia" w:ascii="宋体" w:hAnsi="宋体"/>
          <w:color w:val="000000"/>
          <w:sz w:val="32"/>
        </w:rPr>
        <w:t>估价委托人：山东产权交易中心有限公司</w:t>
      </w:r>
    </w:p>
    <w:p>
      <w:pPr>
        <w:ind w:firstLine="899" w:firstLineChars="281"/>
        <w:rPr>
          <w:rFonts w:ascii="宋体" w:hAnsi="宋体"/>
          <w:color w:val="000000"/>
          <w:sz w:val="32"/>
        </w:rPr>
      </w:pPr>
      <w:r>
        <w:rPr>
          <w:rFonts w:hint="eastAsia" w:ascii="宋体" w:hAnsi="宋体"/>
          <w:color w:val="000000"/>
          <w:sz w:val="32"/>
        </w:rPr>
        <w:t>估 价 机 构：山东成达土地房地产资产评估有限公司</w:t>
      </w:r>
    </w:p>
    <w:p>
      <w:pPr>
        <w:ind w:firstLine="899" w:firstLineChars="281"/>
        <w:rPr>
          <w:rFonts w:ascii="宋体" w:hAnsi="宋体"/>
          <w:color w:val="000000"/>
          <w:sz w:val="32"/>
        </w:rPr>
      </w:pPr>
      <w:r>
        <w:rPr>
          <w:rFonts w:hint="eastAsia" w:ascii="宋体" w:hAnsi="宋体"/>
          <w:color w:val="000000"/>
          <w:sz w:val="32"/>
        </w:rPr>
        <w:t>注册房地产估价师：赵德强（注册号：3720030103）</w:t>
      </w:r>
    </w:p>
    <w:p>
      <w:pPr>
        <w:ind w:firstLine="3776" w:firstLineChars="1180"/>
        <w:rPr>
          <w:rFonts w:ascii="宋体" w:hAnsi="宋体"/>
          <w:color w:val="000000"/>
          <w:sz w:val="32"/>
        </w:rPr>
      </w:pPr>
      <w:r>
        <w:rPr>
          <w:rFonts w:hint="eastAsia" w:ascii="宋体" w:hAnsi="宋体"/>
          <w:color w:val="000000"/>
          <w:sz w:val="32"/>
        </w:rPr>
        <w:t>张增坤（注册号：3720190070）</w:t>
      </w:r>
    </w:p>
    <w:p>
      <w:pPr>
        <w:ind w:firstLine="960" w:firstLineChars="300"/>
        <w:rPr>
          <w:rFonts w:ascii="宋体" w:hAnsi="宋体"/>
          <w:color w:val="000000"/>
          <w:sz w:val="32"/>
          <w:lang w:val="zh-CN"/>
        </w:rPr>
      </w:pPr>
      <w:r>
        <w:rPr>
          <w:rFonts w:hint="eastAsia" w:ascii="宋体" w:hAnsi="宋体"/>
          <w:color w:val="000000"/>
          <w:sz w:val="32"/>
          <w:lang w:val="zh-CN"/>
        </w:rPr>
        <w:t>估价报告出具日期：2020年4月8日</w:t>
      </w:r>
    </w:p>
    <w:p>
      <w:pPr>
        <w:ind w:firstLine="899" w:firstLineChars="281"/>
        <w:rPr>
          <w:rFonts w:ascii="宋体" w:hAnsi="宋体"/>
          <w:color w:val="000000"/>
          <w:sz w:val="32"/>
          <w:lang w:val="zh-CN"/>
        </w:rPr>
      </w:pPr>
      <w:r>
        <w:rPr>
          <w:rFonts w:hint="eastAsia" w:ascii="宋体" w:hAnsi="宋体"/>
          <w:color w:val="000000"/>
          <w:sz w:val="32"/>
        </w:rPr>
        <w:t>估价报告编号：</w:t>
      </w:r>
      <w:r>
        <w:rPr>
          <w:rFonts w:hint="eastAsia" w:ascii="宋体" w:hAnsi="宋体"/>
          <w:color w:val="000000"/>
          <w:sz w:val="32"/>
          <w:lang w:val="zh-CN"/>
        </w:rPr>
        <w:t>鲁成（20</w:t>
      </w:r>
      <w:r>
        <w:rPr>
          <w:rFonts w:hint="eastAsia" w:ascii="宋体" w:hAnsi="宋体"/>
          <w:color w:val="000000"/>
          <w:sz w:val="32"/>
        </w:rPr>
        <w:t>20</w:t>
      </w:r>
      <w:r>
        <w:rPr>
          <w:rFonts w:hint="eastAsia" w:ascii="宋体" w:hAnsi="宋体"/>
          <w:color w:val="000000"/>
          <w:sz w:val="32"/>
          <w:lang w:val="zh-CN"/>
        </w:rPr>
        <w:t>）估字A</w:t>
      </w:r>
      <w:r>
        <w:rPr>
          <w:rFonts w:ascii="宋体" w:hAnsi="宋体"/>
          <w:color w:val="000000"/>
          <w:sz w:val="32"/>
          <w:lang w:val="zh-CN"/>
        </w:rPr>
        <w:t>052</w:t>
      </w:r>
      <w:r>
        <w:rPr>
          <w:rFonts w:hint="eastAsia" w:ascii="宋体" w:hAnsi="宋体"/>
          <w:color w:val="000000"/>
          <w:sz w:val="32"/>
          <w:lang w:val="zh-CN"/>
        </w:rPr>
        <w:t>号</w:t>
      </w:r>
    </w:p>
    <w:p>
      <w:pPr>
        <w:ind w:firstLine="899" w:firstLineChars="281"/>
        <w:rPr>
          <w:rFonts w:ascii="宋体" w:hAnsi="宋体"/>
          <w:color w:val="000000"/>
          <w:sz w:val="32"/>
          <w:lang w:val="zh-CN"/>
        </w:rPr>
      </w:pPr>
    </w:p>
    <w:p>
      <w:pPr>
        <w:snapToGrid w:val="0"/>
        <w:spacing w:line="480" w:lineRule="exact"/>
        <w:jc w:val="center"/>
        <w:rPr>
          <w:rFonts w:ascii="宋体" w:hAnsi="宋体"/>
          <w:color w:val="000000"/>
          <w:sz w:val="36"/>
          <w:szCs w:val="36"/>
        </w:rPr>
      </w:pPr>
      <w:r>
        <w:rPr>
          <w:rFonts w:hint="eastAsia" w:ascii="宋体" w:hAnsi="宋体"/>
          <w:color w:val="000000"/>
          <w:sz w:val="36"/>
          <w:szCs w:val="36"/>
        </w:rPr>
        <w:t>致 估 价 委 托 人 函</w:t>
      </w:r>
    </w:p>
    <w:p>
      <w:pPr>
        <w:pStyle w:val="7"/>
        <w:snapToGrid w:val="0"/>
        <w:spacing w:line="480" w:lineRule="exact"/>
        <w:rPr>
          <w:rFonts w:ascii="宋体" w:hAnsi="宋体" w:eastAsia="宋体"/>
          <w:color w:val="000000"/>
          <w:szCs w:val="28"/>
        </w:rPr>
      </w:pPr>
      <w:r>
        <w:rPr>
          <w:rFonts w:hint="eastAsia" w:ascii="宋体" w:hAnsi="宋体" w:eastAsia="宋体"/>
          <w:color w:val="000000"/>
          <w:szCs w:val="28"/>
        </w:rPr>
        <w:t>山东产权交易中心有限公司：</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受贵单位委托，我评估公司本着独立、客观、公正的原则，对委托评估的位于临清市运河小区12号楼1-604室、2-604室、13号楼1-604室、2-601室、15号楼1-604室、2-601室、18号楼1-402室、19号楼1-202室、2-402室、21号楼1-601室、1-602室、22号楼1-402室、23号楼1-402室、1-502室、2-401室住宅及</w:t>
      </w:r>
      <w:r>
        <w:rPr>
          <w:rFonts w:ascii="宋体" w:hAnsi="宋体"/>
          <w:color w:val="000000"/>
          <w:sz w:val="28"/>
          <w:szCs w:val="28"/>
        </w:rPr>
        <w:t>储藏室</w:t>
      </w:r>
      <w:r>
        <w:rPr>
          <w:rFonts w:hint="eastAsia" w:ascii="宋体" w:hAnsi="宋体"/>
          <w:color w:val="000000"/>
          <w:sz w:val="28"/>
          <w:szCs w:val="28"/>
        </w:rPr>
        <w:t>房地产于2020年4月3日进行了现场查勘并进行了评估测算。评估工作现已完成，现将报告主要内容说明如下：</w:t>
      </w:r>
    </w:p>
    <w:p>
      <w:pPr>
        <w:snapToGrid w:val="0"/>
        <w:spacing w:line="480" w:lineRule="exact"/>
        <w:ind w:firstLine="562" w:firstLineChars="200"/>
        <w:rPr>
          <w:rFonts w:ascii="宋体" w:hAnsi="宋体"/>
          <w:b/>
          <w:color w:val="000000"/>
          <w:sz w:val="28"/>
        </w:rPr>
      </w:pPr>
      <w:r>
        <w:rPr>
          <w:rFonts w:hint="eastAsia" w:ascii="宋体" w:hAnsi="宋体"/>
          <w:b/>
          <w:color w:val="000000"/>
          <w:sz w:val="28"/>
        </w:rPr>
        <w:t>估价对象：</w:t>
      </w:r>
      <w:r>
        <w:rPr>
          <w:rFonts w:hint="eastAsia" w:ascii="宋体" w:hAnsi="宋体" w:cs="宋体"/>
          <w:color w:val="000000"/>
          <w:sz w:val="28"/>
          <w:lang w:val="zh-CN"/>
        </w:rPr>
        <w:t>根据估价委托人提供的商品房买卖合同及现场勘查确定估价对象权属状况如下</w:t>
      </w:r>
      <w:r>
        <w:rPr>
          <w:rFonts w:hint="eastAsia" w:ascii="宋体" w:hAnsi="宋体" w:cs="宋体"/>
          <w:color w:val="000000"/>
          <w:sz w:val="28"/>
        </w:rPr>
        <w:t>：</w:t>
      </w:r>
    </w:p>
    <w:tbl>
      <w:tblPr>
        <w:tblStyle w:val="20"/>
        <w:tblW w:w="1039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228"/>
        <w:gridCol w:w="1276"/>
        <w:gridCol w:w="2693"/>
        <w:gridCol w:w="1276"/>
        <w:gridCol w:w="992"/>
        <w:gridCol w:w="1276"/>
        <w:gridCol w:w="16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合同编号</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所有权人</w:t>
            </w:r>
          </w:p>
        </w:tc>
        <w:tc>
          <w:tcPr>
            <w:tcW w:w="269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坐落</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合同约定面积（㎡）</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建筑结构</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所在层数/总层数</w:t>
            </w:r>
          </w:p>
        </w:tc>
        <w:tc>
          <w:tcPr>
            <w:tcW w:w="165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规划用途</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widowControl/>
              <w:jc w:val="center"/>
              <w:rPr>
                <w:rFonts w:ascii="宋体" w:hAnsi="宋体"/>
                <w:kern w:val="0"/>
                <w:sz w:val="24"/>
              </w:rPr>
            </w:pPr>
            <w:r>
              <w:rPr>
                <w:rFonts w:hint="eastAsia" w:ascii="宋体" w:hAnsi="宋体"/>
                <w:sz w:val="24"/>
              </w:rPr>
              <w:t>20140001</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widowControl/>
              <w:jc w:val="center"/>
              <w:rPr>
                <w:rFonts w:ascii="宋体" w:hAnsi="宋体"/>
                <w:kern w:val="0"/>
                <w:sz w:val="24"/>
              </w:rPr>
            </w:pPr>
            <w:r>
              <w:rPr>
                <w:rFonts w:hint="eastAsia" w:ascii="宋体" w:hAnsi="宋体"/>
                <w:sz w:val="24"/>
              </w:rPr>
              <w:t>84.16</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20140002</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2</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jc w:val="center"/>
              <w:rPr>
                <w:rFonts w:ascii="宋体" w:hAnsi="宋体"/>
                <w:sz w:val="24"/>
              </w:rPr>
            </w:pPr>
            <w:r>
              <w:rPr>
                <w:rFonts w:hint="eastAsia" w:ascii="宋体" w:hAnsi="宋体"/>
                <w:sz w:val="24"/>
              </w:rPr>
              <w:t>80.83</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20140003</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20140004</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号楼2单元601室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20140005</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20140006</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号楼2单元601室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restart"/>
            <w:vAlign w:val="center"/>
          </w:tcPr>
          <w:p>
            <w:pPr>
              <w:jc w:val="center"/>
              <w:rPr>
                <w:rFonts w:ascii="宋体" w:hAnsi="宋体"/>
                <w:sz w:val="24"/>
              </w:rPr>
            </w:pPr>
            <w:r>
              <w:rPr>
                <w:rFonts w:hint="eastAsia" w:ascii="宋体" w:hAnsi="宋体"/>
                <w:sz w:val="24"/>
              </w:rPr>
              <w:t>20140007</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18</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vAlign w:val="center"/>
          </w:tcPr>
          <w:p>
            <w:pPr>
              <w:widowControl/>
              <w:jc w:val="center"/>
              <w:rPr>
                <w:rFonts w:ascii="宋体" w:hAnsi="宋体"/>
                <w:kern w:val="0"/>
                <w:sz w:val="24"/>
              </w:rPr>
            </w:pPr>
            <w:r>
              <w:rPr>
                <w:rFonts w:hint="eastAsia" w:ascii="宋体" w:hAnsi="宋体"/>
                <w:sz w:val="24"/>
              </w:rPr>
              <w:t>151.16</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continue"/>
            <w:vAlign w:val="center"/>
          </w:tcPr>
          <w:p>
            <w:pPr>
              <w:widowControl/>
              <w:jc w:val="center"/>
              <w:textAlignment w:val="center"/>
              <w:rPr>
                <w:rFonts w:ascii="宋体" w:hAnsi="宋体" w:cs="宋体"/>
                <w:color w:val="000000"/>
                <w:kern w:val="0"/>
                <w:sz w:val="24"/>
                <w:lang w:bidi="ar"/>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18</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vAlign w:val="center"/>
          </w:tcPr>
          <w:p>
            <w:pPr>
              <w:widowControl/>
              <w:jc w:val="center"/>
              <w:rPr>
                <w:rFonts w:ascii="宋体" w:hAnsi="宋体" w:cs="宋体"/>
                <w:color w:val="000000"/>
                <w:kern w:val="0"/>
                <w:sz w:val="24"/>
                <w:lang w:bidi="ar"/>
              </w:rPr>
            </w:pPr>
            <w:r>
              <w:rPr>
                <w:rFonts w:hint="eastAsia" w:ascii="宋体" w:hAnsi="宋体"/>
                <w:sz w:val="24"/>
              </w:rPr>
              <w:t>21.07</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restart"/>
            <w:vAlign w:val="center"/>
          </w:tcPr>
          <w:p>
            <w:pPr>
              <w:jc w:val="center"/>
              <w:rPr>
                <w:rFonts w:ascii="宋体" w:hAnsi="宋体"/>
                <w:sz w:val="24"/>
              </w:rPr>
            </w:pPr>
            <w:r>
              <w:rPr>
                <w:rFonts w:hint="eastAsia" w:ascii="宋体" w:hAnsi="宋体"/>
                <w:sz w:val="24"/>
              </w:rPr>
              <w:t>2014000</w:t>
            </w:r>
            <w:r>
              <w:rPr>
                <w:rFonts w:ascii="宋体" w:hAnsi="宋体"/>
                <w:sz w:val="24"/>
              </w:rPr>
              <w:t>8</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号楼1单元</w:t>
            </w:r>
            <w:r>
              <w:rPr>
                <w:rFonts w:ascii="宋体" w:hAnsi="宋体" w:cs="宋体"/>
                <w:color w:val="000000"/>
                <w:kern w:val="0"/>
                <w:sz w:val="24"/>
                <w:lang w:bidi="ar"/>
              </w:rPr>
              <w:t>2</w:t>
            </w:r>
            <w:r>
              <w:rPr>
                <w:rFonts w:hint="eastAsia" w:ascii="宋体" w:hAnsi="宋体" w:cs="宋体"/>
                <w:color w:val="000000"/>
                <w:kern w:val="0"/>
                <w:sz w:val="24"/>
                <w:lang w:bidi="ar"/>
              </w:rPr>
              <w:t>02室住宅</w:t>
            </w:r>
          </w:p>
        </w:tc>
        <w:tc>
          <w:tcPr>
            <w:tcW w:w="1276" w:type="dxa"/>
            <w:vAlign w:val="center"/>
          </w:tcPr>
          <w:p>
            <w:pPr>
              <w:widowControl/>
              <w:jc w:val="center"/>
              <w:rPr>
                <w:rFonts w:ascii="宋体" w:hAnsi="宋体" w:cs="宋体"/>
                <w:color w:val="000000"/>
                <w:kern w:val="0"/>
                <w:sz w:val="24"/>
                <w:lang w:bidi="ar"/>
              </w:rPr>
            </w:pPr>
            <w:r>
              <w:rPr>
                <w:rFonts w:hint="eastAsia" w:ascii="宋体" w:hAnsi="宋体"/>
                <w:sz w:val="24"/>
              </w:rPr>
              <w:t>156.95</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continue"/>
            <w:vAlign w:val="center"/>
          </w:tcPr>
          <w:p>
            <w:pPr>
              <w:widowControl/>
              <w:jc w:val="center"/>
              <w:textAlignment w:val="center"/>
              <w:rPr>
                <w:rFonts w:ascii="宋体" w:hAnsi="宋体" w:cs="宋体"/>
                <w:color w:val="000000"/>
                <w:kern w:val="0"/>
                <w:sz w:val="24"/>
                <w:lang w:bidi="ar"/>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w:t>
            </w:r>
            <w:r>
              <w:rPr>
                <w:rFonts w:ascii="宋体" w:hAnsi="宋体" w:cs="宋体"/>
                <w:color w:val="000000"/>
                <w:kern w:val="0"/>
                <w:sz w:val="24"/>
                <w:lang w:bidi="ar"/>
              </w:rPr>
              <w:t>2</w:t>
            </w:r>
            <w:r>
              <w:rPr>
                <w:rFonts w:hint="eastAsia" w:ascii="宋体" w:hAnsi="宋体" w:cs="宋体"/>
                <w:color w:val="000000"/>
                <w:kern w:val="0"/>
                <w:sz w:val="24"/>
                <w:lang w:bidi="ar"/>
              </w:rPr>
              <w:t>02室储藏室</w:t>
            </w:r>
          </w:p>
        </w:tc>
        <w:tc>
          <w:tcPr>
            <w:tcW w:w="1276" w:type="dxa"/>
            <w:vAlign w:val="center"/>
          </w:tcPr>
          <w:p>
            <w:pPr>
              <w:widowControl/>
              <w:jc w:val="center"/>
              <w:rPr>
                <w:rFonts w:ascii="宋体" w:hAnsi="宋体" w:cs="宋体"/>
                <w:color w:val="000000"/>
                <w:kern w:val="0"/>
                <w:sz w:val="24"/>
                <w:lang w:bidi="ar"/>
              </w:rPr>
            </w:pPr>
            <w:r>
              <w:rPr>
                <w:rFonts w:hint="eastAsia" w:ascii="宋体" w:hAnsi="宋体"/>
                <w:sz w:val="24"/>
              </w:rPr>
              <w:t>27.81</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05" w:hRule="atLeast"/>
          <w:jc w:val="center"/>
        </w:trPr>
        <w:tc>
          <w:tcPr>
            <w:tcW w:w="1228" w:type="dxa"/>
            <w:vMerge w:val="restart"/>
            <w:vAlign w:val="center"/>
          </w:tcPr>
          <w:p>
            <w:pPr>
              <w:jc w:val="center"/>
              <w:rPr>
                <w:rFonts w:ascii="宋体" w:hAnsi="宋体"/>
                <w:sz w:val="24"/>
              </w:rPr>
            </w:pPr>
            <w:r>
              <w:rPr>
                <w:rFonts w:ascii="宋体" w:hAnsi="宋体"/>
                <w:sz w:val="24"/>
              </w:rPr>
              <w:t>20140009</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临清市运河半岛小区19号楼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151.11</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3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21.18</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65" w:hRule="atLeast"/>
          <w:jc w:val="center"/>
        </w:trPr>
        <w:tc>
          <w:tcPr>
            <w:tcW w:w="1228" w:type="dxa"/>
            <w:vMerge w:val="restart"/>
            <w:vAlign w:val="center"/>
          </w:tcPr>
          <w:p>
            <w:pPr>
              <w:jc w:val="center"/>
              <w:rPr>
                <w:rFonts w:ascii="宋体" w:hAnsi="宋体"/>
                <w:sz w:val="24"/>
              </w:rPr>
            </w:pPr>
            <w:r>
              <w:rPr>
                <w:rFonts w:ascii="宋体" w:hAnsi="宋体"/>
                <w:sz w:val="24"/>
              </w:rPr>
              <w:t>20140010</w:t>
            </w:r>
          </w:p>
        </w:tc>
        <w:tc>
          <w:tcPr>
            <w:tcW w:w="1276"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601</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194.33</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7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601</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5.26</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75" w:hRule="atLeast"/>
          <w:jc w:val="center"/>
        </w:trPr>
        <w:tc>
          <w:tcPr>
            <w:tcW w:w="1228" w:type="dxa"/>
            <w:vMerge w:val="restart"/>
            <w:vAlign w:val="center"/>
          </w:tcPr>
          <w:p>
            <w:pPr>
              <w:jc w:val="center"/>
              <w:rPr>
                <w:rFonts w:ascii="宋体" w:hAnsi="宋体"/>
                <w:sz w:val="24"/>
              </w:rPr>
            </w:pPr>
            <w:r>
              <w:rPr>
                <w:rFonts w:ascii="宋体" w:hAnsi="宋体"/>
                <w:sz w:val="24"/>
              </w:rPr>
              <w:t>20140011</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196.93</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6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8.05</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80" w:hRule="atLeast"/>
          <w:jc w:val="center"/>
        </w:trPr>
        <w:tc>
          <w:tcPr>
            <w:tcW w:w="1228" w:type="dxa"/>
            <w:vMerge w:val="restart"/>
            <w:vAlign w:val="center"/>
          </w:tcPr>
          <w:p>
            <w:pPr>
              <w:widowControl/>
              <w:jc w:val="center"/>
              <w:rPr>
                <w:rFonts w:ascii="宋体" w:hAnsi="宋体"/>
                <w:kern w:val="0"/>
                <w:sz w:val="24"/>
              </w:rPr>
            </w:pPr>
            <w:r>
              <w:rPr>
                <w:rFonts w:hint="eastAsia" w:ascii="宋体" w:hAnsi="宋体"/>
                <w:sz w:val="24"/>
              </w:rPr>
              <w:t>-</w:t>
            </w:r>
          </w:p>
        </w:tc>
        <w:tc>
          <w:tcPr>
            <w:tcW w:w="1276"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22</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147.82</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60" w:hRule="atLeast"/>
          <w:jc w:val="center"/>
        </w:trPr>
        <w:tc>
          <w:tcPr>
            <w:tcW w:w="1228" w:type="dxa"/>
            <w:vMerge w:val="continue"/>
            <w:vAlign w:val="center"/>
          </w:tcPr>
          <w:p>
            <w:pPr>
              <w:widowControl/>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22</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21.81</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05" w:hRule="atLeast"/>
          <w:jc w:val="center"/>
        </w:trPr>
        <w:tc>
          <w:tcPr>
            <w:tcW w:w="1228" w:type="dxa"/>
            <w:vMerge w:val="restart"/>
            <w:vAlign w:val="center"/>
          </w:tcPr>
          <w:p>
            <w:pPr>
              <w:jc w:val="center"/>
              <w:rPr>
                <w:rFonts w:ascii="宋体" w:hAnsi="宋体"/>
                <w:sz w:val="24"/>
              </w:rPr>
            </w:pPr>
            <w:r>
              <w:rPr>
                <w:rFonts w:hint="eastAsia" w:ascii="宋体" w:hAnsi="宋体"/>
                <w:sz w:val="24"/>
              </w:rPr>
              <w:t>20140014</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3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21.44</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50" w:hRule="atLeast"/>
          <w:jc w:val="center"/>
        </w:trPr>
        <w:tc>
          <w:tcPr>
            <w:tcW w:w="1228" w:type="dxa"/>
            <w:vMerge w:val="restart"/>
            <w:vAlign w:val="center"/>
          </w:tcPr>
          <w:p>
            <w:pPr>
              <w:jc w:val="center"/>
              <w:rPr>
                <w:rFonts w:ascii="宋体" w:hAnsi="宋体"/>
                <w:sz w:val="24"/>
              </w:rPr>
            </w:pPr>
            <w:r>
              <w:rPr>
                <w:rFonts w:hint="eastAsia" w:ascii="宋体" w:hAnsi="宋体"/>
                <w:sz w:val="24"/>
              </w:rPr>
              <w:t>20140015</w:t>
            </w:r>
          </w:p>
        </w:tc>
        <w:tc>
          <w:tcPr>
            <w:tcW w:w="1276"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502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178.93</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5</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90"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502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27.75</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20" w:hRule="atLeast"/>
          <w:jc w:val="center"/>
        </w:trPr>
        <w:tc>
          <w:tcPr>
            <w:tcW w:w="1228" w:type="dxa"/>
            <w:vMerge w:val="restart"/>
            <w:vAlign w:val="center"/>
          </w:tcPr>
          <w:p>
            <w:pPr>
              <w:jc w:val="center"/>
              <w:rPr>
                <w:rFonts w:ascii="宋体" w:hAnsi="宋体"/>
                <w:sz w:val="24"/>
              </w:rPr>
            </w:pPr>
            <w:r>
              <w:rPr>
                <w:rFonts w:hint="eastAsia" w:ascii="宋体" w:hAnsi="宋体"/>
                <w:sz w:val="24"/>
              </w:rPr>
              <w:t>20140016</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401</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0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401</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21.77</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bl>
    <w:p>
      <w:pPr>
        <w:snapToGrid w:val="0"/>
        <w:spacing w:line="480" w:lineRule="exact"/>
        <w:ind w:firstLine="551" w:firstLineChars="196"/>
        <w:rPr>
          <w:rFonts w:ascii="宋体" w:hAnsi="宋体"/>
          <w:color w:val="000000"/>
          <w:sz w:val="28"/>
        </w:rPr>
      </w:pPr>
      <w:r>
        <w:rPr>
          <w:rFonts w:hint="eastAsia" w:ascii="宋体" w:hAnsi="宋体"/>
          <w:b/>
          <w:color w:val="000000"/>
          <w:sz w:val="28"/>
        </w:rPr>
        <w:t>估价目的</w:t>
      </w:r>
      <w:r>
        <w:rPr>
          <w:rFonts w:hint="eastAsia" w:ascii="宋体" w:hAnsi="宋体"/>
          <w:color w:val="000000"/>
          <w:sz w:val="28"/>
        </w:rPr>
        <w:t>：为人民法院确定财产处置参考价提供参考依据。</w:t>
      </w:r>
    </w:p>
    <w:p>
      <w:pPr>
        <w:snapToGrid w:val="0"/>
        <w:spacing w:line="480" w:lineRule="exact"/>
        <w:ind w:firstLine="562" w:firstLineChars="200"/>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：2020年4月3日（现场查勘日期）。</w:t>
      </w:r>
    </w:p>
    <w:p>
      <w:pPr>
        <w:spacing w:line="480" w:lineRule="exact"/>
        <w:ind w:firstLine="555"/>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根据估价目的，本报告所采用的价值标准为公开市场价值标准。</w:t>
      </w:r>
    </w:p>
    <w:p>
      <w:pPr>
        <w:snapToGrid w:val="0"/>
        <w:spacing w:line="480" w:lineRule="exact"/>
        <w:ind w:firstLine="551" w:firstLineChars="196"/>
        <w:rPr>
          <w:rFonts w:ascii="宋体" w:hAnsi="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根据估价目的，结合估价对象具体状况，本次采用比较法和收益法进行评估。</w:t>
      </w:r>
    </w:p>
    <w:p>
      <w:pPr>
        <w:snapToGrid w:val="0"/>
        <w:spacing w:line="480" w:lineRule="exact"/>
        <w:ind w:firstLine="551" w:firstLineChars="196"/>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经测算，并结合估价经验与对影响房地产价值因素的综合分析，最终确定估价对象于价值时点的评估结果为:（币种：人民币）</w:t>
      </w:r>
    </w:p>
    <w:tbl>
      <w:tblPr>
        <w:tblStyle w:val="20"/>
        <w:tblW w:w="1024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210"/>
        <w:gridCol w:w="1258"/>
        <w:gridCol w:w="2657"/>
        <w:gridCol w:w="1258"/>
        <w:gridCol w:w="1014"/>
        <w:gridCol w:w="1221"/>
        <w:gridCol w:w="16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合同编号</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所有权人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坐落</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合同约定面积（㎡）</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评估单价</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（元/㎡）</w:t>
            </w:r>
          </w:p>
        </w:tc>
        <w:tc>
          <w:tcPr>
            <w:tcW w:w="1221" w:type="dxa"/>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评估总价</w:t>
            </w:r>
          </w:p>
          <w:p>
            <w:pPr>
              <w:jc w:val="center"/>
              <w:rPr>
                <w:rFonts w:ascii="宋体" w:hAnsi="宋体" w:cs="宋体"/>
                <w:color w:val="000000"/>
                <w:kern w:val="0"/>
                <w:sz w:val="24"/>
                <w:lang w:bidi="ar"/>
              </w:rPr>
            </w:pPr>
            <w:r>
              <w:rPr>
                <w:rFonts w:hint="eastAsia" w:ascii="宋体" w:hAnsi="宋体" w:cs="宋体"/>
                <w:color w:val="000000"/>
                <w:kern w:val="0"/>
                <w:sz w:val="24"/>
                <w:lang w:bidi="ar"/>
              </w:rPr>
              <w:t>（万元）</w:t>
            </w:r>
          </w:p>
        </w:tc>
        <w:tc>
          <w:tcPr>
            <w:tcW w:w="1626" w:type="dxa"/>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20140001</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84.16</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26.75</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20140002</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2</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80.83</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25.69</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20140003</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20140004</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号楼2单元601室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20140005</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20140006</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号楼2单元601室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20140007</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18</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151.16</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64.91</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w:t>
            </w:r>
            <w:r>
              <w:rPr>
                <w:rFonts w:ascii="宋体" w:hAnsi="宋体" w:cs="宋体"/>
                <w:color w:val="000000"/>
                <w:kern w:val="0"/>
                <w:sz w:val="24"/>
                <w:lang w:bidi="ar"/>
              </w:rPr>
              <w:t>8</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号楼1单元</w:t>
            </w:r>
            <w:r>
              <w:rPr>
                <w:rFonts w:ascii="宋体" w:hAnsi="宋体" w:cs="宋体"/>
                <w:color w:val="000000"/>
                <w:kern w:val="0"/>
                <w:sz w:val="24"/>
                <w:lang w:bidi="ar"/>
              </w:rPr>
              <w:t>2</w:t>
            </w:r>
            <w:r>
              <w:rPr>
                <w:rFonts w:hint="eastAsia" w:ascii="宋体" w:hAnsi="宋体" w:cs="宋体"/>
                <w:color w:val="000000"/>
                <w:kern w:val="0"/>
                <w:sz w:val="24"/>
                <w:lang w:bidi="ar"/>
              </w:rPr>
              <w:t>02室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156.95</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4273</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67.06</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76"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20140009</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临清市运河半岛小区19号楼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151.11</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64.89</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201"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20140010</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601</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194.33</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3114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60.51</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62"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20140011</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196.93</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3114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61.32</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20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22</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147.82</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63.47</w:t>
            </w:r>
          </w:p>
        </w:tc>
        <w:tc>
          <w:tcPr>
            <w:tcW w:w="1626" w:type="dxa"/>
            <w:tcBorders>
              <w:bottom w:val="single" w:color="auto" w:sz="4" w:space="0"/>
            </w:tcBorders>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76"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20140014</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62.07</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94"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20140015</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502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178.93</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3242</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58.01</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81"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20140016</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401</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62.07</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1"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合计</w:t>
            </w:r>
          </w:p>
        </w:tc>
        <w:tc>
          <w:tcPr>
            <w:tcW w:w="1258" w:type="dxa"/>
            <w:vAlign w:val="center"/>
          </w:tcPr>
          <w:p>
            <w:pPr>
              <w:widowControl/>
              <w:jc w:val="center"/>
              <w:textAlignment w:val="center"/>
              <w:rPr>
                <w:rFonts w:ascii="宋体" w:hAnsi="宋体" w:cs="宋体"/>
                <w:color w:val="000000"/>
                <w:kern w:val="0"/>
                <w:sz w:val="24"/>
                <w:lang w:bidi="ar"/>
              </w:rPr>
            </w:pPr>
          </w:p>
        </w:tc>
        <w:tc>
          <w:tcPr>
            <w:tcW w:w="2657" w:type="dxa"/>
            <w:tcBorders>
              <w:top w:val="single" w:color="auto" w:sz="4" w:space="0"/>
            </w:tcBorders>
            <w:vAlign w:val="center"/>
          </w:tcPr>
          <w:p>
            <w:pPr>
              <w:widowControl/>
              <w:jc w:val="center"/>
              <w:textAlignment w:val="center"/>
              <w:rPr>
                <w:rFonts w:ascii="宋体" w:hAnsi="宋体" w:cs="宋体"/>
                <w:color w:val="000000"/>
                <w:kern w:val="0"/>
                <w:sz w:val="24"/>
                <w:lang w:bidi="ar"/>
              </w:rPr>
            </w:pPr>
          </w:p>
        </w:tc>
        <w:tc>
          <w:tcPr>
            <w:tcW w:w="1258"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1972.44</w:t>
            </w:r>
          </w:p>
        </w:tc>
        <w:tc>
          <w:tcPr>
            <w:tcW w:w="1014" w:type="dxa"/>
            <w:tcBorders>
              <w:top w:val="single" w:color="auto" w:sz="4" w:space="0"/>
            </w:tcBorders>
            <w:vAlign w:val="center"/>
          </w:tcPr>
          <w:p>
            <w:pPr>
              <w:widowControl/>
              <w:jc w:val="center"/>
              <w:textAlignment w:val="center"/>
              <w:rPr>
                <w:rFonts w:ascii="宋体" w:hAnsi="宋体" w:cs="宋体"/>
                <w:color w:val="000000"/>
                <w:kern w:val="0"/>
                <w:sz w:val="24"/>
                <w:lang w:bidi="ar"/>
              </w:rPr>
            </w:pPr>
          </w:p>
        </w:tc>
        <w:tc>
          <w:tcPr>
            <w:tcW w:w="1221"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725.15</w:t>
            </w:r>
          </w:p>
        </w:tc>
        <w:tc>
          <w:tcPr>
            <w:tcW w:w="1626" w:type="dxa"/>
            <w:tcBorders>
              <w:top w:val="single" w:color="auto" w:sz="4" w:space="0"/>
            </w:tcBorders>
            <w:vAlign w:val="center"/>
          </w:tcPr>
          <w:p>
            <w:pPr>
              <w:widowControl/>
              <w:jc w:val="center"/>
              <w:textAlignment w:val="center"/>
              <w:rPr>
                <w:rFonts w:ascii="宋体" w:hAnsi="宋体" w:cs="宋体"/>
                <w:color w:val="000000"/>
                <w:kern w:val="0"/>
                <w:sz w:val="24"/>
                <w:lang w:bidi="ar"/>
              </w:rPr>
            </w:pPr>
          </w:p>
        </w:tc>
      </w:tr>
    </w:tbl>
    <w:p>
      <w:pPr>
        <w:snapToGrid w:val="0"/>
        <w:spacing w:line="540" w:lineRule="exact"/>
        <w:ind w:left="-38" w:leftChars="-18" w:firstLine="686" w:firstLineChars="245"/>
        <w:rPr>
          <w:rFonts w:ascii="宋体" w:hAnsi="宋体"/>
          <w:sz w:val="28"/>
        </w:rPr>
      </w:pPr>
      <w:r>
        <w:rPr>
          <w:rFonts w:hint="eastAsia" w:ascii="宋体" w:hAnsi="宋体"/>
          <w:sz w:val="28"/>
        </w:rPr>
        <w:t>人民币大写：柒佰贰拾伍万壹仟伍佰元整。</w:t>
      </w:r>
    </w:p>
    <w:p>
      <w:pPr>
        <w:snapToGrid w:val="0"/>
        <w:spacing w:line="560" w:lineRule="exact"/>
        <w:ind w:firstLine="555"/>
        <w:rPr>
          <w:rFonts w:ascii="宋体" w:hAnsi="宋体"/>
          <w:b/>
          <w:color w:val="000000"/>
          <w:sz w:val="28"/>
        </w:rPr>
      </w:pPr>
      <w:r>
        <w:rPr>
          <w:rFonts w:hint="eastAsia" w:ascii="宋体" w:hAnsi="宋体"/>
          <w:b/>
          <w:color w:val="000000"/>
          <w:sz w:val="28"/>
        </w:rPr>
        <w:t>注：</w:t>
      </w:r>
    </w:p>
    <w:p>
      <w:pPr>
        <w:snapToGrid w:val="0"/>
        <w:spacing w:line="560" w:lineRule="exact"/>
        <w:ind w:firstLine="555"/>
        <w:rPr>
          <w:rFonts w:ascii="宋体" w:hAnsi="宋体"/>
          <w:color w:val="000000"/>
          <w:sz w:val="28"/>
        </w:rPr>
      </w:pPr>
      <w:r>
        <w:rPr>
          <w:rFonts w:hint="eastAsia" w:ascii="宋体" w:hAnsi="宋体"/>
          <w:color w:val="000000"/>
          <w:sz w:val="28"/>
        </w:rPr>
        <w:t>1、本估价报告应用有效期为一年，即自2020年4月8日至2021年</w:t>
      </w:r>
      <w:r>
        <w:rPr>
          <w:rFonts w:ascii="宋体" w:hAnsi="宋体"/>
          <w:color w:val="000000"/>
          <w:sz w:val="28"/>
        </w:rPr>
        <w:t>4</w:t>
      </w:r>
      <w:r>
        <w:rPr>
          <w:rFonts w:hint="eastAsia" w:ascii="宋体" w:hAnsi="宋体"/>
          <w:color w:val="000000"/>
          <w:sz w:val="28"/>
        </w:rPr>
        <w:t>月</w:t>
      </w:r>
      <w:r>
        <w:rPr>
          <w:rFonts w:ascii="宋体" w:hAnsi="宋体"/>
          <w:color w:val="000000"/>
          <w:sz w:val="28"/>
        </w:rPr>
        <w:t>7</w:t>
      </w:r>
      <w:r>
        <w:rPr>
          <w:rFonts w:hint="eastAsia" w:ascii="宋体" w:hAnsi="宋体"/>
          <w:color w:val="000000"/>
          <w:sz w:val="28"/>
        </w:rPr>
        <w:t>日。</w:t>
      </w:r>
    </w:p>
    <w:p>
      <w:pPr>
        <w:snapToGrid w:val="0"/>
        <w:spacing w:line="560" w:lineRule="exact"/>
        <w:ind w:firstLine="555"/>
        <w:rPr>
          <w:rFonts w:ascii="宋体" w:hAnsi="宋体"/>
          <w:color w:val="000000"/>
          <w:sz w:val="28"/>
        </w:rPr>
      </w:pPr>
      <w:r>
        <w:rPr>
          <w:rFonts w:hint="eastAsia" w:ascii="宋体" w:hAnsi="宋体"/>
          <w:color w:val="000000"/>
          <w:sz w:val="28"/>
        </w:rPr>
        <w:t>2、以上内容摘自评估报告，详细内容见《房地产估价结果报告》。如对报告有异议，请在收到报告之日起十日内通过山东产权交易中心有限公司向我公司书面提出。</w:t>
      </w:r>
    </w:p>
    <w:p>
      <w:pPr>
        <w:snapToGrid w:val="0"/>
        <w:spacing w:line="560" w:lineRule="exact"/>
        <w:ind w:right="358" w:firstLine="556"/>
        <w:jc w:val="right"/>
        <w:rPr>
          <w:rFonts w:ascii="宋体" w:hAnsi="宋体"/>
          <w:color w:val="000000"/>
          <w:sz w:val="28"/>
          <w:szCs w:val="28"/>
          <w:lang w:val="zh-CN"/>
        </w:rPr>
      </w:pPr>
      <w:r>
        <w:rPr>
          <w:rFonts w:hint="eastAsia" w:ascii="宋体" w:hAnsi="宋体"/>
          <w:color w:val="000000"/>
          <w:sz w:val="28"/>
          <w:szCs w:val="28"/>
        </w:rPr>
        <w:t>山东成达土地房地产资产评估有限公司</w:t>
      </w:r>
    </w:p>
    <w:p>
      <w:pPr>
        <w:snapToGrid w:val="0"/>
        <w:spacing w:line="560" w:lineRule="exact"/>
        <w:ind w:right="918"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法定代表人：</w:t>
      </w:r>
      <w:r>
        <w:rPr>
          <w:rFonts w:hint="eastAsia" w:ascii="宋体" w:hAnsi="宋体"/>
          <w:color w:val="000000"/>
          <w:sz w:val="28"/>
          <w:szCs w:val="28"/>
          <w:lang w:val="zh-CN"/>
        </w:rPr>
        <w:t>程新军</w:t>
      </w:r>
    </w:p>
    <w:p>
      <w:pPr>
        <w:snapToGrid w:val="0"/>
        <w:spacing w:line="560" w:lineRule="exact"/>
        <w:ind w:right="-110"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 xml:space="preserve"> 二○二○年四月八日</w:t>
      </w:r>
    </w:p>
    <w:p>
      <w:pPr>
        <w:spacing w:line="600" w:lineRule="exact"/>
        <w:jc w:val="center"/>
        <w:rPr>
          <w:rFonts w:ascii="宋体" w:hAnsi="宋体"/>
          <w:color w:val="000000"/>
          <w:sz w:val="36"/>
        </w:rPr>
      </w:pPr>
    </w:p>
    <w:p>
      <w:pPr>
        <w:spacing w:line="600" w:lineRule="exact"/>
        <w:jc w:val="center"/>
        <w:rPr>
          <w:rFonts w:ascii="宋体" w:hAnsi="宋体"/>
          <w:color w:val="000000"/>
          <w:sz w:val="36"/>
        </w:rPr>
      </w:pPr>
    </w:p>
    <w:p>
      <w:pPr>
        <w:spacing w:line="600" w:lineRule="exact"/>
        <w:jc w:val="center"/>
        <w:rPr>
          <w:rFonts w:ascii="宋体" w:hAnsi="宋体"/>
          <w:color w:val="000000"/>
          <w:sz w:val="36"/>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49"/>
        <w:jc w:val="center"/>
        <w:rPr>
          <w:rFonts w:ascii="宋体" w:hAnsi="宋体"/>
          <w:b/>
          <w:color w:val="auto"/>
          <w:sz w:val="36"/>
          <w:szCs w:val="36"/>
        </w:rPr>
      </w:pPr>
      <w:r>
        <w:rPr>
          <w:rFonts w:ascii="宋体" w:hAnsi="宋体"/>
          <w:b/>
          <w:color w:val="auto"/>
          <w:sz w:val="36"/>
          <w:szCs w:val="36"/>
        </w:rPr>
        <w:t>目</w:t>
      </w:r>
      <w:r>
        <w:rPr>
          <w:rFonts w:hint="eastAsia" w:ascii="宋体" w:hAnsi="宋体"/>
          <w:b/>
          <w:color w:val="auto"/>
          <w:sz w:val="36"/>
          <w:szCs w:val="36"/>
        </w:rPr>
        <w:t xml:space="preserve">  </w:t>
      </w:r>
      <w:r>
        <w:rPr>
          <w:rFonts w:ascii="宋体" w:hAnsi="宋体"/>
          <w:b/>
          <w:color w:val="auto"/>
          <w:sz w:val="36"/>
          <w:szCs w:val="36"/>
        </w:rPr>
        <w:t>录</w:t>
      </w:r>
    </w:p>
    <w:p>
      <w:pPr>
        <w:rPr>
          <w:lang w:val="zh-CN"/>
        </w:rPr>
      </w:pPr>
    </w:p>
    <w:p>
      <w:pPr>
        <w:pStyle w:val="15"/>
        <w:tabs>
          <w:tab w:val="right" w:leader="dot" w:pos="9060"/>
        </w:tabs>
        <w:rPr>
          <w:rFonts w:ascii="宋体" w:hAnsi="宋体"/>
          <w:sz w:val="28"/>
          <w:szCs w:val="28"/>
        </w:rPr>
      </w:pPr>
      <w:r>
        <w:rPr>
          <w:rFonts w:hint="eastAsia" w:ascii="宋体" w:hAnsi="宋体"/>
          <w:sz w:val="28"/>
          <w:szCs w:val="28"/>
        </w:rPr>
        <w:t>一</w:t>
      </w: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"_Toc16234169" </w:instrText>
      </w:r>
      <w:r>
        <w:fldChar w:fldCharType="separate"/>
      </w:r>
      <w:r>
        <w:rPr>
          <w:rStyle w:val="25"/>
          <w:rFonts w:hint="eastAsia" w:ascii="宋体" w:hAnsi="宋体"/>
          <w:color w:val="auto"/>
          <w:sz w:val="28"/>
          <w:szCs w:val="28"/>
          <w:u w:val="none"/>
        </w:rPr>
        <w:t>估价师声明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_Toc16234169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15"/>
        <w:tabs>
          <w:tab w:val="right" w:leader="dot" w:pos="9060"/>
        </w:tabs>
        <w:rPr>
          <w:rFonts w:ascii="宋体" w:hAnsi="宋体"/>
          <w:sz w:val="28"/>
          <w:szCs w:val="28"/>
        </w:rPr>
      </w:pPr>
      <w:r>
        <w:rPr>
          <w:rStyle w:val="25"/>
          <w:rFonts w:hint="eastAsia" w:ascii="宋体" w:hAnsi="宋体"/>
          <w:color w:val="auto"/>
          <w:sz w:val="28"/>
          <w:szCs w:val="28"/>
          <w:u w:val="none"/>
        </w:rPr>
        <w:t>二</w:t>
      </w:r>
      <w:r>
        <w:rPr>
          <w:rStyle w:val="25"/>
          <w:rFonts w:ascii="宋体" w:hAnsi="宋体"/>
          <w:color w:val="auto"/>
          <w:sz w:val="28"/>
          <w:szCs w:val="28"/>
          <w:u w:val="none"/>
        </w:rPr>
        <w:t>、</w:t>
      </w:r>
      <w:r>
        <w:fldChar w:fldCharType="begin"/>
      </w:r>
      <w:r>
        <w:instrText xml:space="preserve"> HYPERLINK \l "_Toc16234170" </w:instrText>
      </w:r>
      <w:r>
        <w:fldChar w:fldCharType="separate"/>
      </w:r>
      <w:r>
        <w:rPr>
          <w:rStyle w:val="25"/>
          <w:rFonts w:hint="eastAsia" w:ascii="宋体" w:hAnsi="宋体"/>
          <w:color w:val="auto"/>
          <w:sz w:val="28"/>
          <w:szCs w:val="28"/>
          <w:u w:val="none"/>
        </w:rPr>
        <w:t>估价假设和限制条件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_Toc16234170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15"/>
        <w:tabs>
          <w:tab w:val="right" w:leader="dot" w:pos="9060"/>
        </w:tabs>
        <w:rPr>
          <w:rFonts w:ascii="宋体" w:hAnsi="宋体"/>
          <w:sz w:val="28"/>
          <w:szCs w:val="28"/>
        </w:rPr>
      </w:pPr>
      <w:r>
        <w:rPr>
          <w:rStyle w:val="25"/>
          <w:rFonts w:hint="eastAsia" w:ascii="宋体" w:hAnsi="宋体"/>
          <w:color w:val="auto"/>
          <w:sz w:val="28"/>
          <w:szCs w:val="28"/>
          <w:u w:val="none"/>
        </w:rPr>
        <w:t>三</w:t>
      </w:r>
      <w:r>
        <w:rPr>
          <w:rStyle w:val="25"/>
          <w:rFonts w:ascii="宋体" w:hAnsi="宋体"/>
          <w:color w:val="auto"/>
          <w:sz w:val="28"/>
          <w:szCs w:val="28"/>
          <w:u w:val="none"/>
        </w:rPr>
        <w:t>、</w:t>
      </w:r>
      <w:r>
        <w:fldChar w:fldCharType="begin"/>
      </w:r>
      <w:r>
        <w:instrText xml:space="preserve"> HYPERLINK \l "_Toc16234171" </w:instrText>
      </w:r>
      <w:r>
        <w:fldChar w:fldCharType="separate"/>
      </w:r>
      <w:r>
        <w:rPr>
          <w:rStyle w:val="25"/>
          <w:rFonts w:hint="eastAsia" w:ascii="宋体" w:hAnsi="宋体"/>
          <w:color w:val="auto"/>
          <w:sz w:val="28"/>
          <w:szCs w:val="28"/>
          <w:u w:val="none"/>
        </w:rPr>
        <w:t>房地产估价结果报告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_Toc16234171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"_Toc16234172" </w:instrText>
      </w:r>
      <w:r>
        <w:fldChar w:fldCharType="separate"/>
      </w:r>
      <w:r>
        <w:rPr>
          <w:rStyle w:val="25"/>
          <w:rFonts w:hint="eastAsia" w:ascii="宋体" w:hAnsi="宋体"/>
          <w:color w:val="auto"/>
          <w:sz w:val="28"/>
          <w:szCs w:val="28"/>
          <w:u w:val="none"/>
        </w:rPr>
        <w:t>一</w:t>
      </w:r>
      <w:r>
        <w:rPr>
          <w:rFonts w:hint="eastAsia" w:ascii="宋体" w:hAnsi="宋体"/>
          <w:sz w:val="28"/>
        </w:rPr>
        <w:t>）</w:t>
      </w:r>
      <w:r>
        <w:rPr>
          <w:rStyle w:val="25"/>
          <w:rFonts w:hint="eastAsia" w:ascii="宋体" w:hAnsi="宋体"/>
          <w:color w:val="auto"/>
          <w:sz w:val="28"/>
          <w:szCs w:val="28"/>
          <w:u w:val="none"/>
        </w:rPr>
        <w:t>估价委托人</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_Toc16234172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"_Toc16234173" </w:instrText>
      </w:r>
      <w:r>
        <w:fldChar w:fldCharType="separate"/>
      </w:r>
      <w:r>
        <w:rPr>
          <w:rStyle w:val="25"/>
          <w:rFonts w:hint="eastAsia" w:ascii="宋体" w:hAnsi="宋体"/>
          <w:color w:val="auto"/>
          <w:sz w:val="28"/>
          <w:szCs w:val="28"/>
          <w:u w:val="none"/>
        </w:rPr>
        <w:t>二</w:t>
      </w:r>
      <w:r>
        <w:rPr>
          <w:rFonts w:hint="eastAsia" w:ascii="宋体" w:hAnsi="宋体"/>
          <w:sz w:val="28"/>
        </w:rPr>
        <w:t>）</w:t>
      </w:r>
      <w:r>
        <w:rPr>
          <w:rStyle w:val="25"/>
          <w:rFonts w:hint="eastAsia" w:ascii="宋体" w:hAnsi="宋体"/>
          <w:color w:val="auto"/>
          <w:sz w:val="28"/>
          <w:szCs w:val="28"/>
          <w:u w:val="none"/>
        </w:rPr>
        <w:t>房地产估价机构</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_Toc16234173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"_Toc16234174" </w:instrText>
      </w:r>
      <w:r>
        <w:fldChar w:fldCharType="separate"/>
      </w:r>
      <w:r>
        <w:rPr>
          <w:rStyle w:val="25"/>
          <w:rFonts w:hint="eastAsia" w:ascii="宋体" w:hAnsi="宋体"/>
          <w:color w:val="auto"/>
          <w:sz w:val="28"/>
          <w:szCs w:val="28"/>
          <w:u w:val="none"/>
        </w:rPr>
        <w:t>三</w:t>
      </w:r>
      <w:r>
        <w:rPr>
          <w:rFonts w:hint="eastAsia" w:ascii="宋体" w:hAnsi="宋体"/>
          <w:sz w:val="28"/>
        </w:rPr>
        <w:t>）</w:t>
      </w:r>
      <w:r>
        <w:rPr>
          <w:rStyle w:val="25"/>
          <w:rFonts w:hint="eastAsia" w:ascii="宋体" w:hAnsi="宋体"/>
          <w:color w:val="auto"/>
          <w:sz w:val="28"/>
          <w:szCs w:val="28"/>
          <w:u w:val="none"/>
        </w:rPr>
        <w:t>估价目的</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_Toc16234174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"_Toc16234175" </w:instrText>
      </w:r>
      <w:r>
        <w:fldChar w:fldCharType="separate"/>
      </w:r>
      <w:r>
        <w:rPr>
          <w:rStyle w:val="25"/>
          <w:rFonts w:hint="eastAsia" w:ascii="宋体" w:hAnsi="宋体"/>
          <w:color w:val="auto"/>
          <w:sz w:val="28"/>
          <w:szCs w:val="28"/>
          <w:u w:val="none"/>
        </w:rPr>
        <w:t>四</w:t>
      </w:r>
      <w:r>
        <w:rPr>
          <w:rFonts w:hint="eastAsia" w:ascii="宋体" w:hAnsi="宋体"/>
          <w:sz w:val="28"/>
        </w:rPr>
        <w:t>）</w:t>
      </w:r>
      <w:r>
        <w:rPr>
          <w:rStyle w:val="25"/>
          <w:rFonts w:hint="eastAsia" w:ascii="宋体" w:hAnsi="宋体"/>
          <w:color w:val="auto"/>
          <w:sz w:val="28"/>
          <w:szCs w:val="28"/>
          <w:u w:val="none"/>
        </w:rPr>
        <w:t>估价对象</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_Toc16234175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"_Toc16234176" </w:instrText>
      </w:r>
      <w:r>
        <w:fldChar w:fldCharType="separate"/>
      </w:r>
      <w:r>
        <w:rPr>
          <w:rStyle w:val="25"/>
          <w:rFonts w:hint="eastAsia" w:ascii="宋体" w:hAnsi="宋体"/>
          <w:color w:val="auto"/>
          <w:sz w:val="28"/>
          <w:szCs w:val="28"/>
          <w:u w:val="none"/>
        </w:rPr>
        <w:t>五</w:t>
      </w:r>
      <w:r>
        <w:rPr>
          <w:rFonts w:hint="eastAsia" w:ascii="宋体" w:hAnsi="宋体"/>
          <w:sz w:val="28"/>
        </w:rPr>
        <w:t>）</w:t>
      </w:r>
      <w:r>
        <w:rPr>
          <w:rStyle w:val="25"/>
          <w:rFonts w:hint="eastAsia" w:ascii="宋体" w:hAnsi="宋体"/>
          <w:color w:val="auto"/>
          <w:sz w:val="28"/>
          <w:szCs w:val="28"/>
          <w:u w:val="none"/>
        </w:rPr>
        <w:t>价值时点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_Toc16234176 \h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"_Toc16234177" </w:instrText>
      </w:r>
      <w:r>
        <w:fldChar w:fldCharType="separate"/>
      </w:r>
      <w:r>
        <w:rPr>
          <w:rStyle w:val="25"/>
          <w:rFonts w:hint="eastAsia" w:ascii="宋体" w:hAnsi="宋体"/>
          <w:color w:val="auto"/>
          <w:sz w:val="28"/>
          <w:szCs w:val="28"/>
          <w:u w:val="none"/>
        </w:rPr>
        <w:t>六</w:t>
      </w:r>
      <w:r>
        <w:rPr>
          <w:rFonts w:hint="eastAsia" w:ascii="宋体" w:hAnsi="宋体"/>
          <w:sz w:val="28"/>
        </w:rPr>
        <w:t>）</w:t>
      </w:r>
      <w:r>
        <w:rPr>
          <w:rStyle w:val="25"/>
          <w:rFonts w:hint="eastAsia" w:ascii="宋体" w:hAnsi="宋体"/>
          <w:color w:val="auto"/>
          <w:sz w:val="28"/>
          <w:szCs w:val="28"/>
          <w:u w:val="none"/>
        </w:rPr>
        <w:t>价值类型</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_Toc16234177 \h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"_Toc16234178" </w:instrText>
      </w:r>
      <w:r>
        <w:fldChar w:fldCharType="separate"/>
      </w:r>
      <w:r>
        <w:rPr>
          <w:rStyle w:val="25"/>
          <w:rFonts w:hint="eastAsia" w:ascii="宋体" w:hAnsi="宋体"/>
          <w:color w:val="auto"/>
          <w:sz w:val="28"/>
          <w:szCs w:val="28"/>
          <w:u w:val="none"/>
        </w:rPr>
        <w:t>七</w:t>
      </w:r>
      <w:r>
        <w:rPr>
          <w:rFonts w:hint="eastAsia" w:ascii="宋体" w:hAnsi="宋体"/>
          <w:sz w:val="28"/>
        </w:rPr>
        <w:t>）</w:t>
      </w:r>
      <w:r>
        <w:rPr>
          <w:rStyle w:val="25"/>
          <w:rFonts w:hint="eastAsia" w:ascii="宋体" w:hAnsi="宋体"/>
          <w:color w:val="auto"/>
          <w:sz w:val="28"/>
          <w:szCs w:val="28"/>
          <w:u w:val="none"/>
        </w:rPr>
        <w:t>估价原则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_Toc16234178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"_Toc16234179" </w:instrText>
      </w:r>
      <w:r>
        <w:fldChar w:fldCharType="separate"/>
      </w:r>
      <w:r>
        <w:rPr>
          <w:rStyle w:val="25"/>
          <w:rFonts w:hint="eastAsia" w:ascii="宋体" w:hAnsi="宋体"/>
          <w:color w:val="auto"/>
          <w:sz w:val="28"/>
          <w:szCs w:val="28"/>
          <w:u w:val="none"/>
        </w:rPr>
        <w:t>八</w:t>
      </w:r>
      <w:r>
        <w:rPr>
          <w:rFonts w:hint="eastAsia" w:ascii="宋体" w:hAnsi="宋体"/>
          <w:sz w:val="28"/>
        </w:rPr>
        <w:t>）</w:t>
      </w:r>
      <w:r>
        <w:rPr>
          <w:rStyle w:val="25"/>
          <w:rFonts w:hint="eastAsia" w:ascii="宋体" w:hAnsi="宋体"/>
          <w:color w:val="auto"/>
          <w:sz w:val="28"/>
          <w:szCs w:val="28"/>
          <w:u w:val="none"/>
        </w:rPr>
        <w:t>估价依据</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_Toc16234179 \h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"_Toc16234180" </w:instrText>
      </w:r>
      <w:r>
        <w:fldChar w:fldCharType="separate"/>
      </w:r>
      <w:r>
        <w:rPr>
          <w:rStyle w:val="25"/>
          <w:rFonts w:hint="eastAsia" w:ascii="宋体" w:hAnsi="宋体"/>
          <w:color w:val="auto"/>
          <w:sz w:val="28"/>
          <w:szCs w:val="28"/>
          <w:u w:val="none"/>
        </w:rPr>
        <w:t>九</w:t>
      </w:r>
      <w:r>
        <w:rPr>
          <w:rFonts w:hint="eastAsia" w:ascii="宋体" w:hAnsi="宋体"/>
          <w:sz w:val="28"/>
        </w:rPr>
        <w:t>）</w:t>
      </w:r>
      <w:r>
        <w:rPr>
          <w:rStyle w:val="25"/>
          <w:rFonts w:hint="eastAsia" w:ascii="宋体" w:hAnsi="宋体"/>
          <w:color w:val="auto"/>
          <w:sz w:val="28"/>
          <w:szCs w:val="28"/>
          <w:u w:val="none"/>
        </w:rPr>
        <w:t>估价方法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_Toc16234180 \h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"_Toc16234181" </w:instrText>
      </w:r>
      <w:r>
        <w:fldChar w:fldCharType="separate"/>
      </w:r>
      <w:r>
        <w:rPr>
          <w:rStyle w:val="25"/>
          <w:rFonts w:hint="eastAsia" w:ascii="宋体" w:hAnsi="宋体"/>
          <w:color w:val="auto"/>
          <w:sz w:val="28"/>
          <w:szCs w:val="28"/>
          <w:u w:val="none"/>
        </w:rPr>
        <w:t>十</w:t>
      </w:r>
      <w:r>
        <w:rPr>
          <w:rFonts w:hint="eastAsia" w:ascii="宋体" w:hAnsi="宋体"/>
          <w:sz w:val="28"/>
        </w:rPr>
        <w:t>）</w:t>
      </w:r>
      <w:r>
        <w:rPr>
          <w:rStyle w:val="25"/>
          <w:rFonts w:hint="eastAsia" w:ascii="宋体" w:hAnsi="宋体"/>
          <w:color w:val="auto"/>
          <w:sz w:val="28"/>
          <w:szCs w:val="28"/>
          <w:u w:val="none"/>
        </w:rPr>
        <w:t>估价结果</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_Toc16234181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"_Toc16234182" </w:instrText>
      </w:r>
      <w:r>
        <w:fldChar w:fldCharType="separate"/>
      </w:r>
      <w:r>
        <w:rPr>
          <w:rStyle w:val="25"/>
          <w:rFonts w:hint="eastAsia" w:ascii="宋体" w:hAnsi="宋体"/>
          <w:color w:val="auto"/>
          <w:sz w:val="28"/>
          <w:szCs w:val="28"/>
          <w:u w:val="none"/>
        </w:rPr>
        <w:t>十一</w:t>
      </w:r>
      <w:r>
        <w:rPr>
          <w:rFonts w:hint="eastAsia" w:ascii="宋体" w:hAnsi="宋体"/>
          <w:sz w:val="28"/>
        </w:rPr>
        <w:t>）</w:t>
      </w:r>
      <w:r>
        <w:rPr>
          <w:rStyle w:val="25"/>
          <w:rFonts w:hint="eastAsia" w:ascii="宋体" w:hAnsi="宋体"/>
          <w:color w:val="auto"/>
          <w:sz w:val="28"/>
          <w:szCs w:val="28"/>
          <w:u w:val="none"/>
        </w:rPr>
        <w:t>注册房地产估价师</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_Toc16234182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"_Toc16234183" </w:instrText>
      </w:r>
      <w:r>
        <w:fldChar w:fldCharType="separate"/>
      </w:r>
      <w:r>
        <w:rPr>
          <w:rStyle w:val="25"/>
          <w:rFonts w:hint="eastAsia" w:ascii="宋体" w:hAnsi="宋体"/>
          <w:color w:val="auto"/>
          <w:sz w:val="28"/>
          <w:szCs w:val="28"/>
          <w:u w:val="none"/>
        </w:rPr>
        <w:t>十二</w:t>
      </w:r>
      <w:r>
        <w:rPr>
          <w:rFonts w:hint="eastAsia" w:ascii="宋体" w:hAnsi="宋体"/>
          <w:sz w:val="28"/>
        </w:rPr>
        <w:t>）</w:t>
      </w:r>
      <w:r>
        <w:rPr>
          <w:rStyle w:val="25"/>
          <w:rFonts w:hint="eastAsia" w:ascii="宋体" w:hAnsi="宋体"/>
          <w:color w:val="auto"/>
          <w:sz w:val="28"/>
          <w:szCs w:val="28"/>
          <w:u w:val="none"/>
        </w:rPr>
        <w:t>实地查勘期</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_Toc16234183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17"/>
        <w:tabs>
          <w:tab w:val="right" w:leader="dot" w:pos="9060"/>
        </w:tabs>
        <w:rPr>
          <w:rFonts w:ascii="宋体" w:hAnsi="宋体"/>
          <w:sz w:val="28"/>
          <w:szCs w:val="28"/>
        </w:rPr>
      </w:pPr>
      <w:r>
        <w:rPr>
          <w:rFonts w:hint="eastAsia" w:ascii="宋体" w:hAnsi="宋体"/>
          <w:sz w:val="28"/>
        </w:rPr>
        <w:t>（</w:t>
      </w:r>
      <w:r>
        <w:fldChar w:fldCharType="begin"/>
      </w:r>
      <w:r>
        <w:instrText xml:space="preserve"> HYPERLINK \l "_Toc16234184" </w:instrText>
      </w:r>
      <w:r>
        <w:fldChar w:fldCharType="separate"/>
      </w:r>
      <w:r>
        <w:rPr>
          <w:rStyle w:val="25"/>
          <w:rFonts w:hint="eastAsia" w:ascii="宋体" w:hAnsi="宋体"/>
          <w:color w:val="auto"/>
          <w:sz w:val="28"/>
          <w:szCs w:val="28"/>
          <w:u w:val="none"/>
        </w:rPr>
        <w:t>十三</w:t>
      </w:r>
      <w:r>
        <w:rPr>
          <w:rFonts w:hint="eastAsia" w:ascii="宋体" w:hAnsi="宋体"/>
          <w:sz w:val="28"/>
        </w:rPr>
        <w:t>）</w:t>
      </w:r>
      <w:r>
        <w:rPr>
          <w:rStyle w:val="25"/>
          <w:rFonts w:hint="eastAsia" w:ascii="宋体" w:hAnsi="宋体"/>
          <w:color w:val="auto"/>
          <w:sz w:val="28"/>
          <w:szCs w:val="28"/>
          <w:u w:val="none"/>
        </w:rPr>
        <w:t>估价作业期</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_Toc16234184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15"/>
        <w:tabs>
          <w:tab w:val="right" w:leader="dot" w:pos="9060"/>
        </w:tabs>
        <w:rPr>
          <w:rStyle w:val="25"/>
          <w:rFonts w:ascii="宋体" w:hAnsi="宋体"/>
          <w:color w:val="auto"/>
          <w:sz w:val="28"/>
          <w:szCs w:val="28"/>
          <w:u w:val="none"/>
        </w:rPr>
      </w:pPr>
      <w:r>
        <w:rPr>
          <w:rStyle w:val="25"/>
          <w:rFonts w:hint="eastAsia" w:ascii="宋体" w:hAnsi="宋体"/>
          <w:color w:val="auto"/>
          <w:sz w:val="28"/>
          <w:szCs w:val="28"/>
          <w:u w:val="none"/>
        </w:rPr>
        <w:t>四</w:t>
      </w:r>
      <w:r>
        <w:rPr>
          <w:rStyle w:val="25"/>
          <w:rFonts w:ascii="宋体" w:hAnsi="宋体"/>
          <w:color w:val="auto"/>
          <w:sz w:val="28"/>
          <w:szCs w:val="28"/>
          <w:u w:val="none"/>
        </w:rPr>
        <w:t>、</w:t>
      </w:r>
      <w:r>
        <w:fldChar w:fldCharType="begin"/>
      </w:r>
      <w:r>
        <w:instrText xml:space="preserve"> HYPERLINK \l "_Toc16234185" </w:instrText>
      </w:r>
      <w:r>
        <w:fldChar w:fldCharType="separate"/>
      </w:r>
      <w:r>
        <w:rPr>
          <w:rStyle w:val="25"/>
          <w:rFonts w:hint="eastAsia" w:ascii="宋体" w:hAnsi="宋体"/>
          <w:color w:val="auto"/>
          <w:sz w:val="28"/>
          <w:szCs w:val="28"/>
          <w:u w:val="none"/>
        </w:rPr>
        <w:t>附件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_Toc16234185 \h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ascii="宋体" w:hAnsi="宋体"/>
          <w:sz w:val="28"/>
          <w:szCs w:val="28"/>
        </w:rPr>
        <w:fldChar w:fldCharType="end"/>
      </w:r>
    </w:p>
    <w:p/>
    <w:p/>
    <w:p>
      <w:r>
        <w:rPr>
          <w:rFonts w:ascii="宋体" w:hAnsi="宋体"/>
          <w:b/>
          <w:bCs/>
          <w:sz w:val="28"/>
          <w:szCs w:val="28"/>
          <w:lang w:val="zh-CN"/>
        </w:rPr>
        <w:fldChar w:fldCharType="end"/>
      </w:r>
      <w:bookmarkStart w:id="0" w:name="_Toc24121729"/>
      <w:bookmarkStart w:id="1" w:name="_Toc16234431"/>
      <w:bookmarkStart w:id="2" w:name="_Toc16234169"/>
      <w:bookmarkStart w:id="3" w:name="_Toc17471982"/>
      <w:bookmarkStart w:id="4" w:name="_Toc19087050"/>
      <w:bookmarkStart w:id="5" w:name="_Toc17471951"/>
    </w:p>
    <w:p>
      <w:pPr>
        <w:pStyle w:val="49"/>
        <w:spacing w:line="480" w:lineRule="exact"/>
        <w:jc w:val="center"/>
        <w:rPr>
          <w:rFonts w:ascii="宋体" w:hAnsi="宋体"/>
          <w:b/>
          <w:color w:val="auto"/>
          <w:sz w:val="36"/>
          <w:szCs w:val="36"/>
        </w:rPr>
      </w:pPr>
      <w:r>
        <w:rPr>
          <w:rFonts w:ascii="宋体" w:hAnsi="宋体"/>
          <w:b/>
          <w:color w:val="auto"/>
          <w:sz w:val="36"/>
          <w:szCs w:val="36"/>
          <w:lang w:val="en-US"/>
        </w:rPr>
        <w:br w:type="page"/>
      </w:r>
      <w:r>
        <w:rPr>
          <w:rFonts w:hint="eastAsia" w:ascii="宋体" w:hAnsi="宋体"/>
          <w:b/>
          <w:color w:val="auto"/>
          <w:sz w:val="36"/>
          <w:szCs w:val="36"/>
        </w:rPr>
        <w:t>估 价 师 声 明</w:t>
      </w:r>
      <w:bookmarkEnd w:id="0"/>
      <w:bookmarkEnd w:id="1"/>
      <w:bookmarkEnd w:id="2"/>
      <w:bookmarkEnd w:id="3"/>
      <w:bookmarkEnd w:id="4"/>
      <w:bookmarkEnd w:id="5"/>
    </w:p>
    <w:p>
      <w:pPr>
        <w:spacing w:line="480" w:lineRule="exact"/>
        <w:rPr>
          <w:rFonts w:ascii="宋体" w:hAnsi="宋体"/>
          <w:color w:val="000000"/>
          <w:sz w:val="28"/>
          <w:szCs w:val="28"/>
        </w:rPr>
      </w:pPr>
      <w:r>
        <w:rPr>
          <w:rFonts w:hint="eastAsia" w:ascii="宋体" w:hAnsi="宋体"/>
          <w:color w:val="000000"/>
          <w:sz w:val="28"/>
          <w:szCs w:val="28"/>
        </w:rPr>
        <w:t>我们郑重声明：</w:t>
      </w:r>
    </w:p>
    <w:p>
      <w:pPr>
        <w:spacing w:line="480" w:lineRule="exact"/>
        <w:ind w:firstLine="555"/>
        <w:rPr>
          <w:rFonts w:ascii="宋体" w:hAnsi="宋体"/>
          <w:color w:val="000000"/>
          <w:sz w:val="28"/>
          <w:szCs w:val="28"/>
        </w:rPr>
      </w:pPr>
      <w:r>
        <w:rPr>
          <w:rFonts w:hint="eastAsia" w:ascii="宋体" w:hAnsi="宋体"/>
          <w:color w:val="000000"/>
          <w:sz w:val="28"/>
          <w:szCs w:val="28"/>
        </w:rPr>
        <w:t>1、注册房地产估价师在估价报告中对事实的说明是真实和准确的，没有虚假记载、误导性陈述和重大遗漏。</w:t>
      </w:r>
    </w:p>
    <w:p>
      <w:pPr>
        <w:spacing w:line="480" w:lineRule="exact"/>
        <w:ind w:firstLine="555"/>
        <w:rPr>
          <w:rFonts w:ascii="宋体" w:hAnsi="宋体"/>
          <w:color w:val="000000"/>
          <w:sz w:val="28"/>
          <w:szCs w:val="28"/>
        </w:rPr>
      </w:pPr>
      <w:r>
        <w:rPr>
          <w:rFonts w:hint="eastAsia" w:ascii="宋体" w:hAnsi="宋体"/>
          <w:color w:val="000000"/>
          <w:sz w:val="28"/>
          <w:szCs w:val="28"/>
        </w:rPr>
        <w:t>2、估价报告中的分析、意见和结论是注册房地产估价师独立、客观、公正的专业分析、意见和结论，但受到估价报告中已说明的估价假设和限制条件的限制。</w:t>
      </w:r>
    </w:p>
    <w:p>
      <w:pPr>
        <w:spacing w:line="480" w:lineRule="exact"/>
        <w:ind w:firstLine="555"/>
        <w:rPr>
          <w:rFonts w:ascii="宋体" w:hAnsi="宋体"/>
          <w:color w:val="000000"/>
          <w:sz w:val="28"/>
          <w:szCs w:val="28"/>
        </w:rPr>
      </w:pPr>
      <w:r>
        <w:rPr>
          <w:rFonts w:hint="eastAsia" w:ascii="宋体" w:hAnsi="宋体"/>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480" w:lineRule="exact"/>
        <w:ind w:firstLine="560" w:firstLineChars="200"/>
        <w:rPr>
          <w:rFonts w:ascii="宋体" w:hAnsi="宋体"/>
          <w:color w:val="000000"/>
          <w:sz w:val="28"/>
          <w:szCs w:val="28"/>
        </w:rPr>
      </w:pPr>
      <w:r>
        <w:rPr>
          <w:rFonts w:hint="eastAsia" w:ascii="宋体" w:hAnsi="宋体"/>
          <w:color w:val="000000"/>
          <w:sz w:val="28"/>
          <w:szCs w:val="28"/>
        </w:rPr>
        <w:t>4、我们依照中华人民共和国国家标准《房地产估价规范》、《房地产估价基本术语标准》以及相关房地产估价专项标准进行分析，形成意见和结论，撰写估价报告。</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我们于2020年4月3日对本估价报告中的估价对象进行了实地查勘。因当事人原因，注册房地产估价师未能入户查勘，对估价对象的查勘限于估价对象的外观状况，注册房地产估价师不承担对估价对象建筑结构质量进行调查的责任，也不承担对其他未暴露及难于接触到的部分进行查勘的责任。</w:t>
      </w:r>
    </w:p>
    <w:p>
      <w:pPr>
        <w:spacing w:line="480" w:lineRule="exact"/>
        <w:ind w:firstLine="556"/>
        <w:rPr>
          <w:rFonts w:ascii="宋体" w:hAnsi="宋体"/>
          <w:color w:val="000000"/>
          <w:sz w:val="28"/>
          <w:szCs w:val="28"/>
        </w:rPr>
      </w:pPr>
      <w:r>
        <w:rPr>
          <w:rFonts w:hint="eastAsia" w:ascii="宋体" w:hAnsi="宋体"/>
          <w:color w:val="000000"/>
          <w:sz w:val="28"/>
          <w:szCs w:val="28"/>
        </w:rPr>
        <w:t>6、本次评估价值时点为2020年4月3日，故本次估价结果是假设价值时点时的估价对象状况与查勘日期时的状况相一致的情况下的价值。</w:t>
      </w:r>
    </w:p>
    <w:p>
      <w:pPr>
        <w:spacing w:line="480" w:lineRule="exact"/>
        <w:ind w:firstLine="556"/>
        <w:rPr>
          <w:rFonts w:ascii="宋体" w:hAnsi="宋体"/>
          <w:color w:val="000000"/>
          <w:sz w:val="28"/>
          <w:szCs w:val="28"/>
        </w:rPr>
      </w:pPr>
      <w:r>
        <w:rPr>
          <w:rFonts w:hint="eastAsia" w:ascii="宋体" w:hAnsi="宋体"/>
          <w:color w:val="000000"/>
          <w:sz w:val="28"/>
          <w:szCs w:val="28"/>
        </w:rPr>
        <w:t>7、估价委托人对其所提供资料的真实性、准确性负责。</w:t>
      </w:r>
    </w:p>
    <w:p>
      <w:pPr>
        <w:spacing w:line="480" w:lineRule="exact"/>
        <w:ind w:firstLine="556"/>
        <w:rPr>
          <w:rFonts w:ascii="宋体" w:hAnsi="宋体"/>
          <w:color w:val="000000"/>
          <w:sz w:val="28"/>
          <w:szCs w:val="28"/>
        </w:rPr>
      </w:pPr>
      <w:r>
        <w:rPr>
          <w:rFonts w:ascii="宋体" w:hAnsi="宋体"/>
          <w:color w:val="000000"/>
          <w:sz w:val="28"/>
          <w:szCs w:val="28"/>
        </w:rPr>
        <w:t>8</w:t>
      </w:r>
      <w:r>
        <w:rPr>
          <w:rFonts w:hint="eastAsia" w:ascii="宋体" w:hAnsi="宋体"/>
          <w:color w:val="000000"/>
          <w:sz w:val="28"/>
          <w:szCs w:val="28"/>
        </w:rPr>
        <w:t>、因当事人原因，注册房地产估价师未能进入估价对象内部进行查勘，本次评估假定估价对象内部为简单装修，请报告使用人注意。</w:t>
      </w:r>
    </w:p>
    <w:p>
      <w:pPr>
        <w:spacing w:line="480" w:lineRule="exact"/>
        <w:ind w:firstLine="556"/>
        <w:rPr>
          <w:rFonts w:ascii="宋体" w:hAnsi="宋体"/>
          <w:color w:val="000000"/>
          <w:sz w:val="28"/>
          <w:szCs w:val="28"/>
        </w:rPr>
      </w:pPr>
      <w:r>
        <w:rPr>
          <w:rFonts w:ascii="宋体" w:hAnsi="宋体"/>
          <w:color w:val="000000"/>
          <w:sz w:val="28"/>
          <w:szCs w:val="28"/>
        </w:rPr>
        <w:t>9</w:t>
      </w:r>
      <w:r>
        <w:rPr>
          <w:rFonts w:hint="eastAsia" w:ascii="宋体" w:hAnsi="宋体"/>
          <w:color w:val="000000"/>
          <w:sz w:val="28"/>
          <w:szCs w:val="28"/>
        </w:rPr>
        <w:t>、因当事人原因，现场查勘未能</w:t>
      </w:r>
      <w:r>
        <w:rPr>
          <w:rFonts w:ascii="宋体" w:hAnsi="宋体"/>
          <w:color w:val="000000"/>
          <w:sz w:val="28"/>
          <w:szCs w:val="28"/>
        </w:rPr>
        <w:t>明确储藏室位置，</w:t>
      </w:r>
      <w:r>
        <w:rPr>
          <w:rFonts w:hint="eastAsia" w:ascii="宋体" w:hAnsi="宋体"/>
          <w:color w:val="000000"/>
          <w:sz w:val="28"/>
          <w:szCs w:val="28"/>
        </w:rPr>
        <w:t>请报告使用人注意。</w:t>
      </w:r>
    </w:p>
    <w:p>
      <w:pPr>
        <w:spacing w:line="480" w:lineRule="exact"/>
        <w:ind w:firstLine="556"/>
        <w:rPr>
          <w:rFonts w:ascii="宋体" w:hAnsi="宋体"/>
          <w:color w:val="000000"/>
          <w:sz w:val="28"/>
          <w:szCs w:val="28"/>
        </w:rPr>
      </w:pPr>
      <w:r>
        <w:rPr>
          <w:rFonts w:ascii="宋体" w:hAnsi="宋体"/>
          <w:color w:val="000000"/>
          <w:sz w:val="28"/>
          <w:szCs w:val="28"/>
        </w:rPr>
        <w:t>10</w:t>
      </w:r>
      <w:r>
        <w:rPr>
          <w:rFonts w:hint="eastAsia" w:ascii="宋体" w:hAnsi="宋体"/>
          <w:color w:val="000000"/>
          <w:sz w:val="28"/>
          <w:szCs w:val="28"/>
        </w:rPr>
        <w:t>、没有人对本估价报告提供重要专业帮助，本估价报告由山东成达土地房地产资产评估有限公司负责解释。</w:t>
      </w:r>
    </w:p>
    <w:p>
      <w:pPr>
        <w:spacing w:line="480" w:lineRule="exact"/>
        <w:ind w:firstLine="556"/>
        <w:rPr>
          <w:rFonts w:ascii="宋体" w:hAnsi="宋体"/>
          <w:color w:val="000000"/>
          <w:sz w:val="28"/>
          <w:szCs w:val="28"/>
        </w:rPr>
      </w:pPr>
      <w:r>
        <w:rPr>
          <w:rFonts w:ascii="宋体" w:hAnsi="宋体"/>
          <w:color w:val="000000"/>
          <w:sz w:val="28"/>
          <w:szCs w:val="28"/>
        </w:rPr>
        <w:t>11</w:t>
      </w:r>
      <w:r>
        <w:rPr>
          <w:rFonts w:hint="eastAsia" w:ascii="宋体" w:hAnsi="宋体"/>
          <w:color w:val="000000"/>
          <w:sz w:val="28"/>
          <w:szCs w:val="28"/>
        </w:rPr>
        <w:t>、使用本报告，请注意估价假设和限制条件及报告说明。</w:t>
      </w:r>
    </w:p>
    <w:p>
      <w:pPr>
        <w:spacing w:line="480" w:lineRule="exact"/>
        <w:ind w:firstLine="786" w:firstLineChars="281"/>
        <w:rPr>
          <w:rFonts w:ascii="宋体" w:hAnsi="宋体"/>
          <w:color w:val="000000"/>
          <w:sz w:val="28"/>
          <w:szCs w:val="28"/>
        </w:rPr>
      </w:pPr>
      <w:r>
        <w:rPr>
          <w:rFonts w:hint="eastAsia" w:ascii="宋体" w:hAnsi="宋体"/>
          <w:color w:val="000000"/>
          <w:sz w:val="28"/>
          <w:szCs w:val="28"/>
        </w:rPr>
        <w:t xml:space="preserve">注册房地产估价师：  </w:t>
      </w:r>
    </w:p>
    <w:p>
      <w:pPr>
        <w:spacing w:line="480" w:lineRule="exact"/>
        <w:ind w:firstLine="786" w:firstLineChars="281"/>
        <w:jc w:val="center"/>
        <w:rPr>
          <w:sz w:val="28"/>
        </w:rPr>
      </w:pPr>
      <w:r>
        <w:rPr>
          <w:rFonts w:hint="eastAsia" w:ascii="宋体" w:hAnsi="宋体"/>
          <w:color w:val="000000"/>
          <w:sz w:val="28"/>
          <w:szCs w:val="28"/>
        </w:rPr>
        <w:t xml:space="preserve">赵德强（注册号：3720030103）  张增坤（注册号：3720190070）  </w:t>
      </w:r>
      <w:bookmarkStart w:id="6" w:name="_Toc24121730"/>
      <w:bookmarkStart w:id="7" w:name="_Toc16234432"/>
      <w:bookmarkStart w:id="8" w:name="_Toc19087051"/>
      <w:bookmarkStart w:id="9" w:name="_Toc17471983"/>
      <w:bookmarkStart w:id="10" w:name="_Toc16234170"/>
      <w:bookmarkStart w:id="11" w:name="_Toc17471952"/>
      <w:r>
        <w:br w:type="page"/>
      </w:r>
      <w:r>
        <w:rPr>
          <w:rFonts w:hint="eastAsia" w:ascii="宋体" w:hAnsi="宋体"/>
          <w:sz w:val="36"/>
          <w:szCs w:val="36"/>
          <w:lang w:val="zh-CN"/>
        </w:rPr>
        <w:t>估价假设和限制条件</w:t>
      </w:r>
      <w:bookmarkEnd w:id="6"/>
      <w:bookmarkEnd w:id="7"/>
      <w:bookmarkEnd w:id="8"/>
      <w:bookmarkEnd w:id="9"/>
      <w:bookmarkEnd w:id="10"/>
      <w:bookmarkEnd w:id="11"/>
    </w:p>
    <w:p>
      <w:pPr>
        <w:ind w:firstLine="560" w:firstLineChars="200"/>
        <w:rPr>
          <w:rFonts w:ascii="宋体" w:hAnsi="宋体"/>
          <w:color w:val="000000"/>
          <w:sz w:val="28"/>
          <w:szCs w:val="28"/>
        </w:rPr>
      </w:pPr>
      <w:r>
        <w:rPr>
          <w:rFonts w:hint="eastAsia" w:ascii="宋体" w:hAnsi="宋体"/>
          <w:color w:val="000000"/>
          <w:sz w:val="28"/>
          <w:szCs w:val="28"/>
        </w:rPr>
        <w:t>1、本次估价的一般假设</w:t>
      </w:r>
    </w:p>
    <w:p>
      <w:pPr>
        <w:tabs>
          <w:tab w:val="left" w:pos="675"/>
        </w:tabs>
        <w:spacing w:line="60" w:lineRule="auto"/>
        <w:ind w:firstLine="560" w:firstLineChars="200"/>
        <w:rPr>
          <w:rFonts w:ascii="宋体" w:hAnsi="宋体"/>
          <w:color w:val="000000"/>
          <w:sz w:val="28"/>
          <w:szCs w:val="28"/>
        </w:rPr>
      </w:pPr>
      <w:r>
        <w:rPr>
          <w:rFonts w:hint="eastAsia" w:ascii="宋体" w:hAnsi="宋体"/>
          <w:color w:val="000000"/>
          <w:sz w:val="28"/>
          <w:szCs w:val="28"/>
        </w:rPr>
        <w:t>（1）本次估价以估价对象为合法房地产，权属清楚，无纠纷且未设定他项权利为假设前提。</w:t>
      </w:r>
    </w:p>
    <w:p>
      <w:pPr>
        <w:tabs>
          <w:tab w:val="left" w:pos="675"/>
        </w:tabs>
        <w:spacing w:line="60" w:lineRule="auto"/>
        <w:ind w:firstLine="560" w:firstLineChars="200"/>
        <w:rPr>
          <w:rFonts w:ascii="宋体" w:hAnsi="宋体"/>
          <w:color w:val="000000"/>
          <w:sz w:val="28"/>
          <w:szCs w:val="28"/>
        </w:rPr>
      </w:pPr>
      <w:r>
        <w:rPr>
          <w:rFonts w:hint="eastAsia" w:ascii="宋体" w:hAnsi="宋体"/>
          <w:color w:val="000000"/>
          <w:sz w:val="28"/>
          <w:szCs w:val="28"/>
        </w:rPr>
        <w:t>（2）本次估价是为估价委托人确定该房地产市场价值提供参考依据。根据《房地产估价规范》有关规定，本次估价采用公开市场价值标准。</w:t>
      </w:r>
    </w:p>
    <w:p>
      <w:pPr>
        <w:ind w:firstLine="560" w:firstLineChars="200"/>
        <w:rPr>
          <w:rFonts w:ascii="宋体" w:hAnsi="宋体"/>
          <w:color w:val="000000"/>
          <w:sz w:val="28"/>
          <w:szCs w:val="28"/>
        </w:rPr>
      </w:pPr>
      <w:r>
        <w:rPr>
          <w:rFonts w:hint="eastAsia" w:ascii="宋体" w:hAnsi="宋体"/>
          <w:color w:val="000000"/>
          <w:sz w:val="28"/>
          <w:szCs w:val="28"/>
        </w:rPr>
        <w:t>（3）本次估价依据估价委托人提供的估价对象产权资料为依据，委托人应对其合法、真实、准确和完整性负责。</w:t>
      </w:r>
    </w:p>
    <w:p>
      <w:pPr>
        <w:ind w:firstLine="560" w:firstLineChars="200"/>
        <w:rPr>
          <w:rFonts w:ascii="宋体" w:hAnsi="宋体"/>
          <w:color w:val="000000"/>
          <w:sz w:val="28"/>
          <w:szCs w:val="28"/>
        </w:rPr>
      </w:pPr>
      <w:r>
        <w:rPr>
          <w:rFonts w:hint="eastAsia" w:ascii="宋体" w:hAnsi="宋体"/>
          <w:color w:val="000000"/>
          <w:sz w:val="28"/>
          <w:szCs w:val="28"/>
        </w:rPr>
        <w:t>（4）注册房地产估价师已对房屋安全、环境污染等影响估价对象价值的重大因素给予了关注，在无理由怀疑估价对象存在安全隐患且无相应的专业机构进行鉴定、检测的情况下，假定估价对象能正常安全使用。</w:t>
      </w:r>
    </w:p>
    <w:p>
      <w:pPr>
        <w:ind w:firstLine="560" w:firstLineChars="20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）估价人员未对估价对象做建筑物基础和结构上的测量和实验，本次估价假设估价对象无基础、结构等方面的重大质量问题，并对此假设前提不承担相应责任。</w:t>
      </w:r>
    </w:p>
    <w:p>
      <w:pPr>
        <w:ind w:firstLine="560" w:firstLineChars="200"/>
        <w:rPr>
          <w:rFonts w:ascii="宋体" w:hAnsi="宋体"/>
          <w:color w:val="000000"/>
          <w:sz w:val="28"/>
          <w:szCs w:val="28"/>
        </w:rPr>
      </w:pPr>
      <w:r>
        <w:rPr>
          <w:rFonts w:hint="eastAsia" w:ascii="宋体" w:hAnsi="宋体"/>
          <w:color w:val="000000"/>
          <w:sz w:val="28"/>
          <w:szCs w:val="28"/>
        </w:rPr>
        <w:t>2、未定事项假设</w:t>
      </w:r>
    </w:p>
    <w:p>
      <w:pPr>
        <w:ind w:firstLine="560" w:firstLineChars="200"/>
        <w:rPr>
          <w:rFonts w:ascii="宋体" w:hAnsi="宋体"/>
          <w:color w:val="000000"/>
          <w:sz w:val="28"/>
          <w:szCs w:val="28"/>
        </w:rPr>
      </w:pPr>
      <w:r>
        <w:rPr>
          <w:rFonts w:hint="eastAsia" w:ascii="宋体" w:hAnsi="宋体"/>
          <w:color w:val="000000"/>
          <w:sz w:val="28"/>
          <w:szCs w:val="28"/>
        </w:rPr>
        <w:t>估价委托人提供的产权材料</w:t>
      </w:r>
      <w:r>
        <w:rPr>
          <w:rFonts w:ascii="宋体" w:hAnsi="宋体"/>
          <w:color w:val="000000"/>
          <w:sz w:val="28"/>
          <w:szCs w:val="28"/>
        </w:rPr>
        <w:t>齐全，无未定事项假设</w:t>
      </w:r>
      <w:r>
        <w:rPr>
          <w:rFonts w:hint="eastAsia"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olor w:val="000000"/>
          <w:sz w:val="28"/>
          <w:szCs w:val="28"/>
        </w:rPr>
        <w:t>3、背离事实假设</w:t>
      </w:r>
    </w:p>
    <w:p>
      <w:pPr>
        <w:ind w:firstLine="560" w:firstLineChars="200"/>
        <w:rPr>
          <w:rFonts w:ascii="宋体" w:hAnsi="宋体"/>
          <w:color w:val="000000"/>
          <w:sz w:val="28"/>
          <w:szCs w:val="28"/>
        </w:rPr>
      </w:pPr>
      <w:r>
        <w:rPr>
          <w:rFonts w:hint="eastAsia" w:ascii="宋体" w:hAnsi="宋体"/>
          <w:color w:val="000000"/>
          <w:sz w:val="28"/>
          <w:szCs w:val="28"/>
        </w:rPr>
        <w:t>（1）本次评估未考虑估价对象抵押、查封、租赁以及原有担保物权和其他优先受偿权对价值的影响。</w:t>
      </w:r>
    </w:p>
    <w:p>
      <w:pPr>
        <w:ind w:firstLine="560" w:firstLineChars="20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估价对象的实际用途、登记用途一致，本次估价对象无不相一致假设。</w:t>
      </w:r>
    </w:p>
    <w:p>
      <w:pPr>
        <w:spacing w:line="560" w:lineRule="exact"/>
        <w:ind w:firstLine="560" w:firstLineChars="200"/>
        <w:rPr>
          <w:rFonts w:ascii="宋体" w:hAnsi="宋体"/>
          <w:sz w:val="28"/>
          <w:szCs w:val="28"/>
        </w:rPr>
      </w:pPr>
      <w:r>
        <w:rPr>
          <w:rFonts w:hint="eastAsia" w:ascii="宋体" w:hAnsi="宋体"/>
          <w:sz w:val="28"/>
          <w:szCs w:val="28"/>
        </w:rPr>
        <w:t>5、依据不足假设</w:t>
      </w:r>
    </w:p>
    <w:p>
      <w:pPr>
        <w:spacing w:line="560" w:lineRule="exact"/>
        <w:ind w:firstLine="560" w:firstLineChars="200"/>
        <w:rPr>
          <w:rFonts w:ascii="宋体" w:hAnsi="宋体" w:cs="宋体"/>
          <w:sz w:val="28"/>
          <w:szCs w:val="28"/>
        </w:rPr>
      </w:pPr>
      <w:r>
        <w:rPr>
          <w:rFonts w:hint="eastAsia" w:ascii="宋体" w:hAnsi="宋体" w:cs="宋体"/>
          <w:sz w:val="28"/>
          <w:szCs w:val="28"/>
        </w:rPr>
        <w:t>（1）估价委托人未提供相关拖欠税费、物业费、供暖费、水电气费等资料，本次评估不考虑其对价值的影响，请报告使用人注意。</w:t>
      </w:r>
    </w:p>
    <w:p>
      <w:pPr>
        <w:spacing w:line="560" w:lineRule="exact"/>
        <w:ind w:firstLine="560" w:firstLineChars="200"/>
        <w:rPr>
          <w:rFonts w:ascii="宋体" w:hAnsi="宋体" w:cs="宋体"/>
          <w:sz w:val="28"/>
          <w:szCs w:val="28"/>
        </w:rPr>
      </w:pPr>
      <w:r>
        <w:rPr>
          <w:rFonts w:hint="eastAsia" w:ascii="宋体" w:hAnsi="宋体" w:cs="宋体"/>
          <w:sz w:val="28"/>
          <w:szCs w:val="28"/>
        </w:rPr>
        <w:t>（2）因当事人原因，注册房地产估价师未能进入估价对象内部进行查勘，本次评估假定估价对象内部为简单装修，请报告使用人注意。</w:t>
      </w:r>
    </w:p>
    <w:p>
      <w:pPr>
        <w:spacing w:line="560" w:lineRule="exact"/>
        <w:ind w:firstLine="560" w:firstLineChars="200"/>
        <w:rPr>
          <w:rFonts w:ascii="宋体" w:hAnsi="宋体" w:cs="宋体"/>
          <w:sz w:val="28"/>
          <w:szCs w:val="28"/>
        </w:rPr>
      </w:pPr>
      <w:r>
        <w:rPr>
          <w:rFonts w:hint="eastAsia" w:ascii="宋体" w:hAnsi="宋体" w:cs="宋体"/>
          <w:sz w:val="28"/>
          <w:szCs w:val="28"/>
        </w:rPr>
        <w:t>（3）因当事人原因，现场</w:t>
      </w:r>
      <w:r>
        <w:rPr>
          <w:rFonts w:ascii="宋体" w:hAnsi="宋体" w:cs="宋体"/>
          <w:sz w:val="28"/>
          <w:szCs w:val="28"/>
        </w:rPr>
        <w:t>查勘</w:t>
      </w:r>
      <w:r>
        <w:rPr>
          <w:rFonts w:hint="eastAsia" w:ascii="宋体" w:hAnsi="宋体" w:cs="宋体"/>
          <w:sz w:val="28"/>
          <w:szCs w:val="28"/>
        </w:rPr>
        <w:t>未能明确储藏室位置，请报告使用人注意。</w:t>
      </w:r>
    </w:p>
    <w:p>
      <w:pPr>
        <w:spacing w:line="560" w:lineRule="exact"/>
        <w:ind w:firstLine="560" w:firstLineChars="200"/>
        <w:rPr>
          <w:rFonts w:ascii="宋体" w:hAns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）估价委托人未提供房屋所有权证书，本次评估数据来自估价委托人提供的商品房买卖合同，如评估数据有变，评估结果相应调整。</w:t>
      </w:r>
    </w:p>
    <w:p>
      <w:pPr>
        <w:rPr>
          <w:rFonts w:ascii="宋体" w:hAnsi="宋体"/>
          <w:color w:val="000000"/>
          <w:sz w:val="28"/>
          <w:szCs w:val="28"/>
        </w:rPr>
      </w:pPr>
      <w:r>
        <w:rPr>
          <w:rFonts w:hint="eastAsia" w:ascii="宋体" w:hAnsi="宋体"/>
          <w:color w:val="000000"/>
          <w:sz w:val="28"/>
          <w:szCs w:val="28"/>
        </w:rPr>
        <w:t xml:space="preserve">    6、估价报告使用限制</w:t>
      </w:r>
    </w:p>
    <w:p>
      <w:pPr>
        <w:ind w:firstLine="420" w:firstLineChars="150"/>
        <w:rPr>
          <w:rFonts w:ascii="宋体" w:hAnsi="宋体"/>
          <w:color w:val="000000"/>
          <w:sz w:val="28"/>
          <w:szCs w:val="28"/>
        </w:rPr>
      </w:pPr>
      <w:r>
        <w:rPr>
          <w:rFonts w:hint="eastAsia" w:ascii="宋体" w:hAnsi="宋体"/>
          <w:color w:val="000000"/>
          <w:sz w:val="28"/>
          <w:szCs w:val="28"/>
        </w:rPr>
        <w:t>（1）本估价报告按估价目的提供给估价委托人使用，不作他用。若改变估价目的而使用本估价报告，需向本估价公司咨询后做必要的修正，重新出具报告。</w:t>
      </w:r>
    </w:p>
    <w:p>
      <w:pPr>
        <w:tabs>
          <w:tab w:val="left" w:pos="675"/>
        </w:tabs>
        <w:spacing w:line="60" w:lineRule="auto"/>
        <w:ind w:firstLine="560" w:firstLineChars="20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60" w:lineRule="auto"/>
        <w:ind w:firstLine="560" w:firstLineChars="20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tabs>
          <w:tab w:val="left" w:pos="8265"/>
        </w:tabs>
        <w:ind w:firstLine="560" w:firstLineChars="200"/>
        <w:rPr>
          <w:rFonts w:ascii="宋体" w:hAnsi="宋体"/>
          <w:color w:val="000000"/>
          <w:sz w:val="28"/>
          <w:szCs w:val="28"/>
        </w:rPr>
      </w:pPr>
      <w:r>
        <w:rPr>
          <w:rFonts w:hint="eastAsia" w:ascii="宋体" w:hAnsi="宋体"/>
          <w:color w:val="000000"/>
          <w:sz w:val="28"/>
          <w:szCs w:val="28"/>
        </w:rPr>
        <w:t>（4）本估价报告应用的有效期为自出具报告之日起一年。</w:t>
      </w:r>
    </w:p>
    <w:p>
      <w:pPr>
        <w:jc w:val="center"/>
        <w:rPr>
          <w:rFonts w:ascii="宋体" w:hAnsi="宋体"/>
          <w:color w:val="000000"/>
          <w:sz w:val="36"/>
        </w:rPr>
      </w:pPr>
    </w:p>
    <w:p>
      <w:pPr>
        <w:jc w:val="center"/>
        <w:rPr>
          <w:rFonts w:ascii="宋体" w:hAnsi="宋体"/>
          <w:color w:val="000000"/>
          <w:sz w:val="36"/>
        </w:rPr>
      </w:pPr>
    </w:p>
    <w:p>
      <w:pPr>
        <w:jc w:val="center"/>
        <w:rPr>
          <w:rFonts w:ascii="宋体" w:hAnsi="宋体"/>
          <w:color w:val="000000"/>
          <w:sz w:val="36"/>
        </w:rPr>
      </w:pPr>
    </w:p>
    <w:p>
      <w:pPr>
        <w:pStyle w:val="2"/>
        <w:rPr>
          <w:sz w:val="28"/>
        </w:rPr>
      </w:pPr>
      <w:bookmarkStart w:id="12" w:name="_Toc17471984"/>
      <w:bookmarkStart w:id="13" w:name="_Toc16234433"/>
      <w:bookmarkStart w:id="14" w:name="_Toc28941828"/>
      <w:bookmarkStart w:id="15" w:name="_Toc19087052"/>
      <w:bookmarkStart w:id="16" w:name="_Toc16234171"/>
      <w:bookmarkStart w:id="17" w:name="_Toc17471953"/>
      <w:bookmarkStart w:id="18" w:name="_Toc27736460"/>
      <w:bookmarkStart w:id="19" w:name="_Toc24121731"/>
      <w:bookmarkStart w:id="20" w:name="_Toc37235820"/>
      <w:r>
        <w:rPr>
          <w:rFonts w:hint="eastAsia"/>
        </w:rPr>
        <w:t>房 地 产 估 价 结 果 报 告</w:t>
      </w:r>
      <w:bookmarkEnd w:id="12"/>
      <w:bookmarkEnd w:id="13"/>
      <w:bookmarkEnd w:id="14"/>
      <w:bookmarkEnd w:id="15"/>
      <w:bookmarkEnd w:id="16"/>
      <w:bookmarkEnd w:id="17"/>
      <w:bookmarkEnd w:id="18"/>
      <w:bookmarkEnd w:id="19"/>
      <w:bookmarkEnd w:id="20"/>
    </w:p>
    <w:p>
      <w:pPr>
        <w:snapToGrid w:val="0"/>
        <w:spacing w:line="600" w:lineRule="exact"/>
        <w:ind w:firstLine="594" w:firstLineChars="200"/>
        <w:rPr>
          <w:rFonts w:ascii="宋体" w:hAnsi="宋体"/>
          <w:b/>
          <w:bCs/>
          <w:color w:val="000000"/>
          <w:sz w:val="28"/>
        </w:rPr>
      </w:pPr>
      <w:bookmarkStart w:id="21" w:name="_Toc17471954"/>
      <w:bookmarkStart w:id="22" w:name="_Toc17471985"/>
      <w:bookmarkStart w:id="23" w:name="_Toc16234172"/>
      <w:bookmarkStart w:id="24" w:name="_Toc28941829"/>
      <w:bookmarkStart w:id="25" w:name="_Toc24121732"/>
      <w:bookmarkStart w:id="26" w:name="_Toc19087053"/>
      <w:bookmarkStart w:id="27" w:name="_Toc16234434"/>
      <w:bookmarkStart w:id="28" w:name="_Toc27736461"/>
      <w:bookmarkStart w:id="29" w:name="_Toc37235821"/>
      <w:r>
        <w:rPr>
          <w:rStyle w:val="47"/>
          <w:rFonts w:hint="eastAsia"/>
        </w:rPr>
        <w:t>一、估价委托人</w:t>
      </w:r>
      <w:bookmarkEnd w:id="21"/>
      <w:bookmarkEnd w:id="22"/>
      <w:bookmarkEnd w:id="23"/>
      <w:bookmarkEnd w:id="24"/>
      <w:bookmarkEnd w:id="25"/>
      <w:bookmarkEnd w:id="26"/>
      <w:bookmarkEnd w:id="27"/>
      <w:bookmarkEnd w:id="28"/>
      <w:bookmarkEnd w:id="29"/>
      <w:r>
        <w:rPr>
          <w:rFonts w:hint="eastAsia" w:ascii="宋体" w:hAnsi="宋体"/>
          <w:b/>
          <w:bCs/>
          <w:color w:val="000000"/>
          <w:sz w:val="28"/>
        </w:rPr>
        <w:t>:</w:t>
      </w:r>
      <w:r>
        <w:rPr>
          <w:rFonts w:hint="eastAsia" w:ascii="宋体" w:hAnsi="宋体"/>
          <w:bCs/>
          <w:color w:val="000000"/>
          <w:sz w:val="28"/>
        </w:rPr>
        <w:t>山东产权交易中心有限公司</w:t>
      </w:r>
    </w:p>
    <w:p>
      <w:pPr>
        <w:snapToGrid w:val="0"/>
        <w:spacing w:line="600" w:lineRule="exact"/>
        <w:ind w:firstLine="588" w:firstLineChars="198"/>
        <w:rPr>
          <w:rFonts w:ascii="宋体" w:hAnsi="宋体"/>
          <w:color w:val="000000"/>
          <w:sz w:val="28"/>
        </w:rPr>
      </w:pPr>
      <w:bookmarkStart w:id="30" w:name="_Toc28941830"/>
      <w:bookmarkStart w:id="31" w:name="_Toc17471986"/>
      <w:bookmarkStart w:id="32" w:name="_Toc27736462"/>
      <w:bookmarkStart w:id="33" w:name="_Toc16234435"/>
      <w:bookmarkStart w:id="34" w:name="_Toc24121733"/>
      <w:bookmarkStart w:id="35" w:name="_Toc17471955"/>
      <w:bookmarkStart w:id="36" w:name="_Toc19087054"/>
      <w:bookmarkStart w:id="37" w:name="_Toc16234173"/>
      <w:bookmarkStart w:id="38" w:name="_Toc37235822"/>
      <w:r>
        <w:rPr>
          <w:rStyle w:val="47"/>
          <w:rFonts w:hint="eastAsia"/>
        </w:rPr>
        <w:t>二、房地产估价机构</w:t>
      </w:r>
      <w:bookmarkEnd w:id="30"/>
      <w:bookmarkEnd w:id="31"/>
      <w:bookmarkEnd w:id="32"/>
      <w:bookmarkEnd w:id="33"/>
      <w:bookmarkEnd w:id="34"/>
      <w:bookmarkEnd w:id="35"/>
      <w:bookmarkEnd w:id="36"/>
      <w:bookmarkEnd w:id="37"/>
      <w:bookmarkEnd w:id="38"/>
      <w:r>
        <w:rPr>
          <w:rFonts w:hint="eastAsia" w:ascii="宋体" w:hAnsi="宋体"/>
          <w:b/>
          <w:bCs/>
          <w:color w:val="000000"/>
          <w:sz w:val="28"/>
        </w:rPr>
        <w:t>：</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单位名称：山东成达土地房地产资产评估有限公司</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住  所：山东省济南市市中区济大路7号8号楼102室</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营业执照注册号：91370800750883682G</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资质证书编号：鲁评092012号</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资质等级：贰级</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法人代表：程新军</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联 系 人：赵伟伟</w:t>
      </w:r>
    </w:p>
    <w:p>
      <w:pPr>
        <w:pStyle w:val="7"/>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电    话：15054111187</w:t>
      </w:r>
    </w:p>
    <w:p>
      <w:pPr>
        <w:pStyle w:val="7"/>
        <w:tabs>
          <w:tab w:val="center" w:pos="4815"/>
        </w:tabs>
        <w:snapToGrid w:val="0"/>
        <w:spacing w:line="600" w:lineRule="exact"/>
        <w:ind w:firstLine="594" w:firstLineChars="200"/>
        <w:rPr>
          <w:rFonts w:ascii="宋体" w:hAnsi="宋体" w:eastAsia="宋体"/>
          <w:b/>
          <w:color w:val="000000"/>
        </w:rPr>
      </w:pPr>
      <w:bookmarkStart w:id="39" w:name="_Toc27736463"/>
      <w:bookmarkStart w:id="40" w:name="_Toc28941831"/>
      <w:bookmarkStart w:id="41" w:name="_Toc16234436"/>
      <w:bookmarkStart w:id="42" w:name="_Toc24121734"/>
      <w:bookmarkStart w:id="43" w:name="_Toc17471956"/>
      <w:bookmarkStart w:id="44" w:name="_Toc17471987"/>
      <w:bookmarkStart w:id="45" w:name="_Toc16234174"/>
      <w:bookmarkStart w:id="46" w:name="_Toc19087055"/>
      <w:bookmarkStart w:id="47" w:name="_Toc37235823"/>
      <w:r>
        <w:rPr>
          <w:rStyle w:val="47"/>
          <w:rFonts w:hint="eastAsia"/>
        </w:rPr>
        <w:t>三、估价目的</w:t>
      </w:r>
      <w:bookmarkEnd w:id="39"/>
      <w:bookmarkEnd w:id="40"/>
      <w:bookmarkEnd w:id="41"/>
      <w:bookmarkEnd w:id="42"/>
      <w:bookmarkEnd w:id="43"/>
      <w:bookmarkEnd w:id="44"/>
      <w:bookmarkEnd w:id="45"/>
      <w:bookmarkEnd w:id="46"/>
      <w:bookmarkEnd w:id="47"/>
      <w:r>
        <w:rPr>
          <w:rFonts w:hint="eastAsia" w:ascii="宋体" w:hAnsi="宋体" w:eastAsia="宋体"/>
          <w:b/>
          <w:color w:val="000000"/>
        </w:rPr>
        <w:t>：</w:t>
      </w:r>
      <w:r>
        <w:rPr>
          <w:rFonts w:hint="eastAsia" w:ascii="宋体" w:hAnsi="宋体" w:eastAsia="宋体"/>
          <w:bCs/>
          <w:color w:val="000000"/>
        </w:rPr>
        <w:t>为人民法院确定财产处置参考价提供参考依据。</w:t>
      </w:r>
    </w:p>
    <w:p>
      <w:pPr>
        <w:pStyle w:val="7"/>
        <w:snapToGrid w:val="0"/>
        <w:spacing w:line="600" w:lineRule="exact"/>
        <w:ind w:firstLine="582" w:firstLineChars="196"/>
        <w:rPr>
          <w:rFonts w:ascii="宋体" w:hAnsi="宋体" w:eastAsia="宋体"/>
          <w:b/>
          <w:color w:val="000000"/>
        </w:rPr>
      </w:pPr>
      <w:bookmarkStart w:id="48" w:name="_Toc16234175"/>
      <w:bookmarkStart w:id="49" w:name="_Toc27736464"/>
      <w:bookmarkStart w:id="50" w:name="_Toc17471988"/>
      <w:bookmarkStart w:id="51" w:name="_Toc16234437"/>
      <w:bookmarkStart w:id="52" w:name="_Toc17471957"/>
      <w:bookmarkStart w:id="53" w:name="_Toc24121735"/>
      <w:bookmarkStart w:id="54" w:name="_Toc19087056"/>
      <w:bookmarkStart w:id="55" w:name="_Toc28941832"/>
      <w:bookmarkStart w:id="56" w:name="_Toc37235824"/>
      <w:r>
        <w:rPr>
          <w:rStyle w:val="47"/>
          <w:rFonts w:hint="eastAsia"/>
        </w:rPr>
        <w:t>四、估价对象</w:t>
      </w:r>
      <w:bookmarkEnd w:id="48"/>
      <w:bookmarkEnd w:id="49"/>
      <w:bookmarkEnd w:id="50"/>
      <w:bookmarkEnd w:id="51"/>
      <w:bookmarkEnd w:id="52"/>
      <w:bookmarkEnd w:id="53"/>
      <w:bookmarkEnd w:id="54"/>
      <w:bookmarkEnd w:id="55"/>
      <w:bookmarkEnd w:id="56"/>
      <w:r>
        <w:rPr>
          <w:rFonts w:hint="eastAsia" w:ascii="宋体" w:hAnsi="宋体" w:eastAsia="宋体"/>
          <w:b/>
          <w:color w:val="000000"/>
        </w:rPr>
        <w:t>：</w:t>
      </w:r>
    </w:p>
    <w:p>
      <w:pPr>
        <w:pStyle w:val="7"/>
        <w:snapToGrid w:val="0"/>
        <w:spacing w:line="600" w:lineRule="exact"/>
        <w:ind w:firstLine="562" w:firstLineChars="200"/>
        <w:rPr>
          <w:rFonts w:ascii="宋体" w:hAnsi="宋体" w:eastAsia="宋体"/>
          <w:b/>
          <w:color w:val="000000"/>
        </w:rPr>
      </w:pPr>
      <w:r>
        <w:rPr>
          <w:rFonts w:hint="eastAsia" w:ascii="宋体" w:hAnsi="宋体" w:eastAsia="宋体"/>
          <w:b/>
          <w:color w:val="000000"/>
        </w:rPr>
        <w:t>（一）权益状况分析：</w:t>
      </w:r>
    </w:p>
    <w:p>
      <w:pPr>
        <w:snapToGrid w:val="0"/>
        <w:spacing w:line="560" w:lineRule="exact"/>
        <w:ind w:firstLine="560" w:firstLineChars="200"/>
        <w:rPr>
          <w:rFonts w:ascii="宋体" w:hAnsi="宋体"/>
          <w:b/>
          <w:color w:val="000000"/>
          <w:sz w:val="28"/>
        </w:rPr>
      </w:pPr>
      <w:r>
        <w:rPr>
          <w:rFonts w:hint="eastAsia" w:ascii="宋体" w:hAnsi="宋体" w:cs="宋体"/>
          <w:color w:val="000000"/>
          <w:sz w:val="28"/>
          <w:lang w:val="zh-CN"/>
        </w:rPr>
        <w:t>根据估价委托人提供的商品房买卖合同及现场勘查确定估价对象权属状况如下</w:t>
      </w:r>
      <w:r>
        <w:rPr>
          <w:rFonts w:hint="eastAsia" w:ascii="宋体" w:hAnsi="宋体" w:cs="宋体"/>
          <w:color w:val="000000"/>
          <w:sz w:val="28"/>
        </w:rPr>
        <w:t>：</w:t>
      </w:r>
    </w:p>
    <w:tbl>
      <w:tblPr>
        <w:tblStyle w:val="20"/>
        <w:tblW w:w="1039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228"/>
        <w:gridCol w:w="1276"/>
        <w:gridCol w:w="2693"/>
        <w:gridCol w:w="1276"/>
        <w:gridCol w:w="992"/>
        <w:gridCol w:w="1276"/>
        <w:gridCol w:w="16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合同编号</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所有权人</w:t>
            </w:r>
          </w:p>
        </w:tc>
        <w:tc>
          <w:tcPr>
            <w:tcW w:w="269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坐落</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合同约定面积（㎡）</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建筑结构</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所在层数/总层数</w:t>
            </w:r>
          </w:p>
        </w:tc>
        <w:tc>
          <w:tcPr>
            <w:tcW w:w="165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规划用途</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widowControl/>
              <w:jc w:val="center"/>
              <w:rPr>
                <w:rFonts w:ascii="宋体" w:hAnsi="宋体"/>
                <w:kern w:val="0"/>
                <w:sz w:val="24"/>
              </w:rPr>
            </w:pPr>
            <w:r>
              <w:rPr>
                <w:rFonts w:hint="eastAsia" w:ascii="宋体" w:hAnsi="宋体"/>
                <w:sz w:val="24"/>
              </w:rPr>
              <w:t>20140001</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widowControl/>
              <w:jc w:val="center"/>
              <w:rPr>
                <w:rFonts w:ascii="宋体" w:hAnsi="宋体"/>
                <w:kern w:val="0"/>
                <w:sz w:val="24"/>
              </w:rPr>
            </w:pPr>
            <w:r>
              <w:rPr>
                <w:rFonts w:hint="eastAsia" w:ascii="宋体" w:hAnsi="宋体"/>
                <w:sz w:val="24"/>
              </w:rPr>
              <w:t>84.16</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20140002</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2</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jc w:val="center"/>
              <w:rPr>
                <w:rFonts w:ascii="宋体" w:hAnsi="宋体"/>
                <w:sz w:val="24"/>
              </w:rPr>
            </w:pPr>
            <w:r>
              <w:rPr>
                <w:rFonts w:hint="eastAsia" w:ascii="宋体" w:hAnsi="宋体"/>
                <w:sz w:val="24"/>
              </w:rPr>
              <w:t>80.83</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20140003</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20140004</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号楼2单元601室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20140005</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Align w:val="center"/>
          </w:tcPr>
          <w:p>
            <w:pPr>
              <w:jc w:val="center"/>
              <w:rPr>
                <w:rFonts w:ascii="宋体" w:hAnsi="宋体"/>
                <w:sz w:val="24"/>
              </w:rPr>
            </w:pPr>
            <w:r>
              <w:rPr>
                <w:rFonts w:hint="eastAsia" w:ascii="宋体" w:hAnsi="宋体"/>
                <w:sz w:val="24"/>
              </w:rPr>
              <w:t>20140006</w:t>
            </w:r>
          </w:p>
        </w:tc>
        <w:tc>
          <w:tcPr>
            <w:tcW w:w="1276"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vAlign w:val="center"/>
          </w:tcPr>
          <w:p>
            <w:pPr>
              <w:jc w:val="center"/>
              <w:rPr>
                <w:rFonts w:ascii="宋体" w:hAnsi="宋体"/>
                <w:sz w:val="24"/>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号楼2单元601室</w:t>
            </w:r>
          </w:p>
        </w:tc>
        <w:tc>
          <w:tcPr>
            <w:tcW w:w="1276" w:type="dxa"/>
            <w:vAlign w:val="center"/>
          </w:tcPr>
          <w:p>
            <w:pPr>
              <w:jc w:val="center"/>
              <w:rPr>
                <w:rFonts w:ascii="宋体" w:hAnsi="宋体"/>
                <w:sz w:val="24"/>
              </w:rPr>
            </w:pPr>
            <w:r>
              <w:rPr>
                <w:rFonts w:hint="eastAsia" w:ascii="宋体" w:hAnsi="宋体"/>
                <w:sz w:val="24"/>
              </w:rPr>
              <w:t>85.28</w:t>
            </w:r>
          </w:p>
        </w:tc>
        <w:tc>
          <w:tcPr>
            <w:tcW w:w="992" w:type="dxa"/>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vAlign w:val="center"/>
          </w:tcPr>
          <w:p>
            <w:pPr>
              <w:jc w:val="center"/>
              <w:rPr>
                <w:rFonts w:ascii="宋体" w:hAnsi="宋体"/>
                <w:sz w:val="24"/>
              </w:rPr>
            </w:pPr>
            <w:r>
              <w:rPr>
                <w:rFonts w:hint="eastAsia" w:ascii="宋体" w:hAnsi="宋体" w:cs="宋体"/>
                <w:color w:val="000000"/>
                <w:kern w:val="0"/>
                <w:sz w:val="24"/>
                <w:lang w:bidi="ar"/>
              </w:rPr>
              <w:t>6层/6层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restart"/>
            <w:vAlign w:val="center"/>
          </w:tcPr>
          <w:p>
            <w:pPr>
              <w:jc w:val="center"/>
              <w:rPr>
                <w:rFonts w:ascii="宋体" w:hAnsi="宋体"/>
                <w:sz w:val="24"/>
              </w:rPr>
            </w:pPr>
            <w:r>
              <w:rPr>
                <w:rFonts w:hint="eastAsia" w:ascii="宋体" w:hAnsi="宋体"/>
                <w:sz w:val="24"/>
              </w:rPr>
              <w:t>20140007</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18</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vAlign w:val="center"/>
          </w:tcPr>
          <w:p>
            <w:pPr>
              <w:widowControl/>
              <w:jc w:val="center"/>
              <w:rPr>
                <w:rFonts w:ascii="宋体" w:hAnsi="宋体"/>
                <w:kern w:val="0"/>
                <w:sz w:val="24"/>
              </w:rPr>
            </w:pPr>
            <w:r>
              <w:rPr>
                <w:rFonts w:hint="eastAsia" w:ascii="宋体" w:hAnsi="宋体"/>
                <w:sz w:val="24"/>
              </w:rPr>
              <w:t>151.16</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continue"/>
            <w:vAlign w:val="center"/>
          </w:tcPr>
          <w:p>
            <w:pPr>
              <w:widowControl/>
              <w:jc w:val="center"/>
              <w:textAlignment w:val="center"/>
              <w:rPr>
                <w:rFonts w:ascii="宋体" w:hAnsi="宋体" w:cs="宋体"/>
                <w:color w:val="000000"/>
                <w:kern w:val="0"/>
                <w:sz w:val="24"/>
                <w:lang w:bidi="ar"/>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18</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vAlign w:val="center"/>
          </w:tcPr>
          <w:p>
            <w:pPr>
              <w:widowControl/>
              <w:jc w:val="center"/>
              <w:rPr>
                <w:rFonts w:ascii="宋体" w:hAnsi="宋体" w:cs="宋体"/>
                <w:color w:val="000000"/>
                <w:kern w:val="0"/>
                <w:sz w:val="24"/>
                <w:lang w:bidi="ar"/>
              </w:rPr>
            </w:pPr>
            <w:r>
              <w:rPr>
                <w:rFonts w:hint="eastAsia" w:ascii="宋体" w:hAnsi="宋体"/>
                <w:sz w:val="24"/>
              </w:rPr>
              <w:t>21.07</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restart"/>
            <w:vAlign w:val="center"/>
          </w:tcPr>
          <w:p>
            <w:pPr>
              <w:jc w:val="center"/>
              <w:rPr>
                <w:rFonts w:ascii="宋体" w:hAnsi="宋体"/>
                <w:sz w:val="24"/>
              </w:rPr>
            </w:pPr>
            <w:r>
              <w:rPr>
                <w:rFonts w:hint="eastAsia" w:ascii="宋体" w:hAnsi="宋体"/>
                <w:sz w:val="24"/>
              </w:rPr>
              <w:t>2014000</w:t>
            </w:r>
            <w:r>
              <w:rPr>
                <w:rFonts w:ascii="宋体" w:hAnsi="宋体"/>
                <w:sz w:val="24"/>
              </w:rPr>
              <w:t>8</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号楼1单元</w:t>
            </w:r>
            <w:r>
              <w:rPr>
                <w:rFonts w:ascii="宋体" w:hAnsi="宋体" w:cs="宋体"/>
                <w:color w:val="000000"/>
                <w:kern w:val="0"/>
                <w:sz w:val="24"/>
                <w:lang w:bidi="ar"/>
              </w:rPr>
              <w:t>2</w:t>
            </w:r>
            <w:r>
              <w:rPr>
                <w:rFonts w:hint="eastAsia" w:ascii="宋体" w:hAnsi="宋体" w:cs="宋体"/>
                <w:color w:val="000000"/>
                <w:kern w:val="0"/>
                <w:sz w:val="24"/>
                <w:lang w:bidi="ar"/>
              </w:rPr>
              <w:t>02室住宅</w:t>
            </w:r>
          </w:p>
        </w:tc>
        <w:tc>
          <w:tcPr>
            <w:tcW w:w="1276" w:type="dxa"/>
            <w:vAlign w:val="center"/>
          </w:tcPr>
          <w:p>
            <w:pPr>
              <w:widowControl/>
              <w:jc w:val="center"/>
              <w:rPr>
                <w:rFonts w:ascii="宋体" w:hAnsi="宋体" w:cs="宋体"/>
                <w:color w:val="000000"/>
                <w:kern w:val="0"/>
                <w:sz w:val="24"/>
                <w:lang w:bidi="ar"/>
              </w:rPr>
            </w:pPr>
            <w:r>
              <w:rPr>
                <w:rFonts w:hint="eastAsia" w:ascii="宋体" w:hAnsi="宋体"/>
                <w:sz w:val="24"/>
              </w:rPr>
              <w:t>156.95</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层/6层</w:t>
            </w:r>
          </w:p>
        </w:tc>
        <w:tc>
          <w:tcPr>
            <w:tcW w:w="165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825" w:hRule="atLeast"/>
          <w:jc w:val="center"/>
        </w:trPr>
        <w:tc>
          <w:tcPr>
            <w:tcW w:w="1228" w:type="dxa"/>
            <w:vMerge w:val="continue"/>
            <w:vAlign w:val="center"/>
          </w:tcPr>
          <w:p>
            <w:pPr>
              <w:widowControl/>
              <w:jc w:val="center"/>
              <w:textAlignment w:val="center"/>
              <w:rPr>
                <w:rFonts w:ascii="宋体" w:hAnsi="宋体" w:cs="宋体"/>
                <w:color w:val="000000"/>
                <w:kern w:val="0"/>
                <w:sz w:val="24"/>
                <w:lang w:bidi="ar"/>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w:t>
            </w:r>
            <w:r>
              <w:rPr>
                <w:rFonts w:ascii="宋体" w:hAnsi="宋体" w:cs="宋体"/>
                <w:color w:val="000000"/>
                <w:kern w:val="0"/>
                <w:sz w:val="24"/>
                <w:lang w:bidi="ar"/>
              </w:rPr>
              <w:t>2</w:t>
            </w:r>
            <w:r>
              <w:rPr>
                <w:rFonts w:hint="eastAsia" w:ascii="宋体" w:hAnsi="宋体" w:cs="宋体"/>
                <w:color w:val="000000"/>
                <w:kern w:val="0"/>
                <w:sz w:val="24"/>
                <w:lang w:bidi="ar"/>
              </w:rPr>
              <w:t>02室储藏室</w:t>
            </w:r>
          </w:p>
        </w:tc>
        <w:tc>
          <w:tcPr>
            <w:tcW w:w="1276" w:type="dxa"/>
            <w:vAlign w:val="center"/>
          </w:tcPr>
          <w:p>
            <w:pPr>
              <w:widowControl/>
              <w:jc w:val="center"/>
              <w:rPr>
                <w:rFonts w:ascii="宋体" w:hAnsi="宋体" w:cs="宋体"/>
                <w:color w:val="000000"/>
                <w:kern w:val="0"/>
                <w:sz w:val="24"/>
                <w:lang w:bidi="ar"/>
              </w:rPr>
            </w:pPr>
            <w:r>
              <w:rPr>
                <w:rFonts w:hint="eastAsia" w:ascii="宋体" w:hAnsi="宋体"/>
                <w:sz w:val="24"/>
              </w:rPr>
              <w:t>27.81</w:t>
            </w:r>
          </w:p>
        </w:tc>
        <w:tc>
          <w:tcPr>
            <w:tcW w:w="992"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砖混</w:t>
            </w:r>
          </w:p>
        </w:tc>
        <w:tc>
          <w:tcPr>
            <w:tcW w:w="127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05" w:hRule="atLeast"/>
          <w:jc w:val="center"/>
        </w:trPr>
        <w:tc>
          <w:tcPr>
            <w:tcW w:w="1228" w:type="dxa"/>
            <w:vMerge w:val="restart"/>
            <w:vAlign w:val="center"/>
          </w:tcPr>
          <w:p>
            <w:pPr>
              <w:jc w:val="center"/>
              <w:rPr>
                <w:rFonts w:ascii="宋体" w:hAnsi="宋体"/>
                <w:sz w:val="24"/>
              </w:rPr>
            </w:pPr>
            <w:r>
              <w:rPr>
                <w:rFonts w:ascii="宋体" w:hAnsi="宋体"/>
                <w:sz w:val="24"/>
              </w:rPr>
              <w:t>20140009</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临清市运河半岛小区19号楼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151.11</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3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21.18</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65" w:hRule="atLeast"/>
          <w:jc w:val="center"/>
        </w:trPr>
        <w:tc>
          <w:tcPr>
            <w:tcW w:w="1228" w:type="dxa"/>
            <w:vMerge w:val="restart"/>
            <w:vAlign w:val="center"/>
          </w:tcPr>
          <w:p>
            <w:pPr>
              <w:jc w:val="center"/>
              <w:rPr>
                <w:rFonts w:ascii="宋体" w:hAnsi="宋体"/>
                <w:sz w:val="24"/>
              </w:rPr>
            </w:pPr>
            <w:r>
              <w:rPr>
                <w:rFonts w:ascii="宋体" w:hAnsi="宋体"/>
                <w:sz w:val="24"/>
              </w:rPr>
              <w:t>20140010</w:t>
            </w:r>
          </w:p>
        </w:tc>
        <w:tc>
          <w:tcPr>
            <w:tcW w:w="1276"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601</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194.33</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7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601</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5.26</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75" w:hRule="atLeast"/>
          <w:jc w:val="center"/>
        </w:trPr>
        <w:tc>
          <w:tcPr>
            <w:tcW w:w="1228" w:type="dxa"/>
            <w:vMerge w:val="restart"/>
            <w:vAlign w:val="center"/>
          </w:tcPr>
          <w:p>
            <w:pPr>
              <w:jc w:val="center"/>
              <w:rPr>
                <w:rFonts w:ascii="宋体" w:hAnsi="宋体"/>
                <w:sz w:val="24"/>
              </w:rPr>
            </w:pPr>
            <w:r>
              <w:rPr>
                <w:rFonts w:ascii="宋体" w:hAnsi="宋体"/>
                <w:sz w:val="24"/>
              </w:rPr>
              <w:t>20140011</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196.93</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6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8.05</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80" w:hRule="atLeast"/>
          <w:jc w:val="center"/>
        </w:trPr>
        <w:tc>
          <w:tcPr>
            <w:tcW w:w="1228" w:type="dxa"/>
            <w:vMerge w:val="restart"/>
            <w:vAlign w:val="center"/>
          </w:tcPr>
          <w:p>
            <w:pPr>
              <w:widowControl/>
              <w:jc w:val="center"/>
              <w:rPr>
                <w:rFonts w:ascii="宋体" w:hAnsi="宋体"/>
                <w:kern w:val="0"/>
                <w:sz w:val="24"/>
              </w:rPr>
            </w:pPr>
            <w:r>
              <w:rPr>
                <w:rFonts w:hint="eastAsia" w:ascii="宋体" w:hAnsi="宋体"/>
                <w:sz w:val="24"/>
              </w:rPr>
              <w:t>-</w:t>
            </w:r>
          </w:p>
        </w:tc>
        <w:tc>
          <w:tcPr>
            <w:tcW w:w="1276"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22</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147.82</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60" w:hRule="atLeast"/>
          <w:jc w:val="center"/>
        </w:trPr>
        <w:tc>
          <w:tcPr>
            <w:tcW w:w="1228" w:type="dxa"/>
            <w:vMerge w:val="continue"/>
            <w:vAlign w:val="center"/>
          </w:tcPr>
          <w:p>
            <w:pPr>
              <w:widowControl/>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22</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21.81</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05" w:hRule="atLeast"/>
          <w:jc w:val="center"/>
        </w:trPr>
        <w:tc>
          <w:tcPr>
            <w:tcW w:w="1228" w:type="dxa"/>
            <w:vMerge w:val="restart"/>
            <w:vAlign w:val="center"/>
          </w:tcPr>
          <w:p>
            <w:pPr>
              <w:jc w:val="center"/>
              <w:rPr>
                <w:rFonts w:ascii="宋体" w:hAnsi="宋体"/>
                <w:sz w:val="24"/>
              </w:rPr>
            </w:pPr>
            <w:r>
              <w:rPr>
                <w:rFonts w:hint="eastAsia" w:ascii="宋体" w:hAnsi="宋体"/>
                <w:sz w:val="24"/>
              </w:rPr>
              <w:t>20140014</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3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21.44</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50" w:hRule="atLeast"/>
          <w:jc w:val="center"/>
        </w:trPr>
        <w:tc>
          <w:tcPr>
            <w:tcW w:w="1228" w:type="dxa"/>
            <w:vMerge w:val="restart"/>
            <w:vAlign w:val="center"/>
          </w:tcPr>
          <w:p>
            <w:pPr>
              <w:jc w:val="center"/>
              <w:rPr>
                <w:rFonts w:ascii="宋体" w:hAnsi="宋体"/>
                <w:sz w:val="24"/>
              </w:rPr>
            </w:pPr>
            <w:r>
              <w:rPr>
                <w:rFonts w:hint="eastAsia" w:ascii="宋体" w:hAnsi="宋体"/>
                <w:sz w:val="24"/>
              </w:rPr>
              <w:t>20140015</w:t>
            </w:r>
          </w:p>
        </w:tc>
        <w:tc>
          <w:tcPr>
            <w:tcW w:w="1276"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502</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178.93</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5</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90"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502</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27.75</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20" w:hRule="atLeast"/>
          <w:jc w:val="center"/>
        </w:trPr>
        <w:tc>
          <w:tcPr>
            <w:tcW w:w="1228" w:type="dxa"/>
            <w:vMerge w:val="restart"/>
            <w:vAlign w:val="center"/>
          </w:tcPr>
          <w:p>
            <w:pPr>
              <w:jc w:val="center"/>
              <w:rPr>
                <w:rFonts w:ascii="宋体" w:hAnsi="宋体"/>
                <w:sz w:val="24"/>
              </w:rPr>
            </w:pPr>
            <w:r>
              <w:rPr>
                <w:rFonts w:hint="eastAsia" w:ascii="宋体" w:hAnsi="宋体"/>
                <w:sz w:val="24"/>
              </w:rPr>
              <w:t>20140016</w:t>
            </w:r>
          </w:p>
        </w:tc>
        <w:tc>
          <w:tcPr>
            <w:tcW w:w="1276" w:type="dxa"/>
            <w:vMerge w:val="restart"/>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93"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401</w:t>
            </w:r>
            <w:r>
              <w:rPr>
                <w:rFonts w:hint="eastAsia" w:ascii="宋体" w:hAnsi="宋体" w:cs="宋体"/>
                <w:color w:val="000000"/>
                <w:kern w:val="0"/>
                <w:sz w:val="24"/>
                <w:lang w:bidi="ar"/>
              </w:rPr>
              <w:t>室住宅</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992" w:type="dxa"/>
            <w:tcBorders>
              <w:bottom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层/6层</w:t>
            </w:r>
          </w:p>
        </w:tc>
        <w:tc>
          <w:tcPr>
            <w:tcW w:w="1650" w:type="dxa"/>
            <w:tcBorders>
              <w:bottom w:val="single" w:color="auto"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住宅/住宅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405" w:hRule="atLeast"/>
          <w:jc w:val="center"/>
        </w:trPr>
        <w:tc>
          <w:tcPr>
            <w:tcW w:w="1228" w:type="dxa"/>
            <w:vMerge w:val="continue"/>
            <w:vAlign w:val="center"/>
          </w:tcPr>
          <w:p>
            <w:pPr>
              <w:jc w:val="center"/>
              <w:rPr>
                <w:rFonts w:ascii="宋体" w:hAnsi="宋体"/>
                <w:sz w:val="24"/>
              </w:rPr>
            </w:pPr>
          </w:p>
        </w:tc>
        <w:tc>
          <w:tcPr>
            <w:tcW w:w="1276" w:type="dxa"/>
            <w:vMerge w:val="continue"/>
            <w:vAlign w:val="center"/>
          </w:tcPr>
          <w:p>
            <w:pPr>
              <w:widowControl/>
              <w:jc w:val="center"/>
              <w:textAlignment w:val="center"/>
              <w:rPr>
                <w:rFonts w:ascii="宋体" w:hAnsi="宋体" w:cs="宋体"/>
                <w:color w:val="000000"/>
                <w:kern w:val="0"/>
                <w:sz w:val="24"/>
                <w:lang w:bidi="ar"/>
              </w:rPr>
            </w:pPr>
          </w:p>
        </w:tc>
        <w:tc>
          <w:tcPr>
            <w:tcW w:w="2693"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401</w:t>
            </w:r>
            <w:r>
              <w:rPr>
                <w:rFonts w:hint="eastAsia" w:ascii="宋体" w:hAnsi="宋体" w:cs="宋体"/>
                <w:color w:val="000000"/>
                <w:kern w:val="0"/>
                <w:sz w:val="24"/>
                <w:lang w:bidi="ar"/>
              </w:rPr>
              <w:t>室储藏室</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21.77</w:t>
            </w:r>
          </w:p>
        </w:tc>
        <w:tc>
          <w:tcPr>
            <w:tcW w:w="992" w:type="dxa"/>
            <w:tcBorders>
              <w:top w:val="single" w:color="auto" w:sz="4" w:space="0"/>
            </w:tcBorders>
            <w:vAlign w:val="center"/>
          </w:tcPr>
          <w:p>
            <w:pPr>
              <w:jc w:val="center"/>
              <w:rPr>
                <w:rFonts w:ascii="宋体" w:hAnsi="宋体"/>
                <w:sz w:val="24"/>
              </w:rPr>
            </w:pPr>
            <w:r>
              <w:rPr>
                <w:rFonts w:hint="eastAsia" w:ascii="宋体" w:hAnsi="宋体" w:cs="宋体"/>
                <w:color w:val="000000"/>
                <w:kern w:val="0"/>
                <w:sz w:val="24"/>
                <w:lang w:bidi="ar"/>
              </w:rPr>
              <w:t>砖混</w:t>
            </w:r>
          </w:p>
        </w:tc>
        <w:tc>
          <w:tcPr>
            <w:tcW w:w="1276"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储藏室层/6层</w:t>
            </w:r>
          </w:p>
        </w:tc>
        <w:tc>
          <w:tcPr>
            <w:tcW w:w="1650"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储藏室/储藏室</w:t>
            </w:r>
          </w:p>
        </w:tc>
      </w:tr>
    </w:tbl>
    <w:p>
      <w:pPr>
        <w:pStyle w:val="7"/>
        <w:tabs>
          <w:tab w:val="center" w:pos="4815"/>
        </w:tabs>
        <w:snapToGrid w:val="0"/>
        <w:spacing w:line="580" w:lineRule="exact"/>
        <w:ind w:firstLine="422" w:firstLineChars="150"/>
        <w:rPr>
          <w:rFonts w:ascii="宋体" w:hAnsi="宋体" w:eastAsia="宋体"/>
          <w:b/>
          <w:color w:val="000000"/>
        </w:rPr>
      </w:pPr>
      <w:r>
        <w:rPr>
          <w:rFonts w:hint="eastAsia" w:ascii="宋体" w:hAnsi="宋体" w:eastAsia="宋体"/>
          <w:b/>
          <w:color w:val="000000"/>
        </w:rPr>
        <w:t>（二）实物状况分析：</w:t>
      </w:r>
    </w:p>
    <w:p>
      <w:pPr>
        <w:snapToGrid w:val="0"/>
        <w:spacing w:line="560" w:lineRule="exact"/>
        <w:ind w:firstLine="548" w:firstLineChars="196"/>
        <w:rPr>
          <w:rFonts w:ascii="宋体" w:hAnsi="宋体"/>
          <w:color w:val="000000"/>
          <w:sz w:val="28"/>
        </w:rPr>
      </w:pPr>
      <w:r>
        <w:rPr>
          <w:rFonts w:hint="eastAsia" w:ascii="宋体" w:hAnsi="宋体"/>
          <w:color w:val="000000"/>
          <w:sz w:val="28"/>
        </w:rPr>
        <w:t>估价对象位于临清市运河小区12号楼1-604室、2-604室、13号楼1-604室、2-601室、15号楼1-604室、2-601室、18号楼1-402室、19号楼1-202室、2-402室、21号楼1-601室、1-602室、22号楼1-402室、23号楼1-402室、1-502室、2-401室，目前实际用途为住宅，位于6层、</w:t>
      </w:r>
      <w:r>
        <w:rPr>
          <w:rFonts w:ascii="宋体" w:hAnsi="宋体"/>
          <w:color w:val="000000"/>
          <w:sz w:val="28"/>
        </w:rPr>
        <w:t>4</w:t>
      </w:r>
      <w:r>
        <w:rPr>
          <w:rFonts w:hint="eastAsia" w:ascii="宋体" w:hAnsi="宋体"/>
          <w:color w:val="000000"/>
          <w:sz w:val="28"/>
        </w:rPr>
        <w:t>层、2层、</w:t>
      </w:r>
      <w:r>
        <w:rPr>
          <w:rFonts w:ascii="宋体" w:hAnsi="宋体"/>
          <w:color w:val="000000"/>
          <w:sz w:val="28"/>
        </w:rPr>
        <w:t>5</w:t>
      </w:r>
      <w:r>
        <w:rPr>
          <w:rFonts w:hint="eastAsia" w:ascii="宋体" w:hAnsi="宋体"/>
          <w:color w:val="000000"/>
          <w:sz w:val="28"/>
        </w:rPr>
        <w:t>层，均为砖混结构。估价对象18号楼1-402室、19号楼1-202室、2-402室、21号楼1-601室、1-602室、22号楼1-402室、23号楼1-402室、1-502室、2-401室有</w:t>
      </w:r>
      <w:r>
        <w:rPr>
          <w:rFonts w:ascii="宋体" w:hAnsi="宋体"/>
          <w:color w:val="000000"/>
          <w:sz w:val="28"/>
        </w:rPr>
        <w:t>储藏室。</w:t>
      </w:r>
    </w:p>
    <w:p>
      <w:pPr>
        <w:snapToGrid w:val="0"/>
        <w:spacing w:line="560" w:lineRule="exact"/>
        <w:ind w:firstLine="548" w:firstLineChars="196"/>
        <w:rPr>
          <w:rFonts w:ascii="宋体" w:hAnsi="宋体" w:cs="宋体"/>
          <w:color w:val="000000"/>
          <w:sz w:val="28"/>
        </w:rPr>
      </w:pPr>
      <w:r>
        <w:rPr>
          <w:rFonts w:hint="eastAsia" w:ascii="宋体" w:hAnsi="宋体" w:cs="宋体"/>
          <w:color w:val="000000"/>
          <w:sz w:val="28"/>
          <w:lang w:val="zh-CN"/>
        </w:rPr>
        <w:t>估价对象外墙涂料，单元防盗门，入户防盗门，塑钢窗，因当事人原因，注册房地产估价师未能进入估价对象内部进行查勘，本次评估假定估价对象内部为简单装修，请报告使用人注意。</w:t>
      </w:r>
    </w:p>
    <w:p>
      <w:pPr>
        <w:pStyle w:val="7"/>
        <w:tabs>
          <w:tab w:val="center" w:pos="4815"/>
        </w:tabs>
        <w:snapToGrid w:val="0"/>
        <w:spacing w:line="600" w:lineRule="exact"/>
        <w:ind w:firstLine="422" w:firstLineChars="150"/>
        <w:rPr>
          <w:rFonts w:ascii="宋体" w:hAnsi="宋体" w:eastAsia="宋体"/>
          <w:b/>
          <w:color w:val="000000"/>
        </w:rPr>
      </w:pPr>
      <w:r>
        <w:rPr>
          <w:rFonts w:hint="eastAsia" w:ascii="宋体" w:hAnsi="宋体" w:eastAsia="宋体"/>
          <w:b/>
          <w:color w:val="000000"/>
        </w:rPr>
        <w:t>（三）区位状况分析：</w:t>
      </w:r>
    </w:p>
    <w:p>
      <w:pPr>
        <w:snapToGrid w:val="0"/>
        <w:spacing w:line="560" w:lineRule="exact"/>
        <w:ind w:firstLine="548" w:firstLineChars="196"/>
        <w:rPr>
          <w:rFonts w:ascii="宋体" w:hAnsi="宋体" w:cs="宋体"/>
          <w:color w:val="000000"/>
          <w:sz w:val="28"/>
          <w:lang w:val="zh-CN"/>
        </w:rPr>
      </w:pPr>
      <w:bookmarkStart w:id="57" w:name="_Toc16234438"/>
      <w:bookmarkStart w:id="58" w:name="_Toc17471989"/>
      <w:bookmarkStart w:id="59" w:name="_Toc24121736"/>
      <w:bookmarkStart w:id="60" w:name="_Toc19087057"/>
      <w:bookmarkStart w:id="61" w:name="_Toc16234176"/>
      <w:bookmarkStart w:id="62" w:name="_Toc17471958"/>
      <w:r>
        <w:rPr>
          <w:rFonts w:hint="eastAsia" w:ascii="宋体" w:hAnsi="宋体" w:cs="宋体"/>
          <w:color w:val="000000"/>
          <w:sz w:val="28"/>
          <w:lang w:val="zh-CN"/>
        </w:rPr>
        <w:t>估价对象位于临清市新华路以东、青年路以北，附近有临清108路、临清1路、临清9路等多路公交通过，交通方便，道路通达性好；估价对象附近有聊城百货大楼，大家庭购物广场，临清市人民医院，临清市妇幼保健院，农业银行，临清农商银行等，生活配套设施齐全，环境质量较好；附近有爱心艺术幼儿园，东红双语幼儿园，临清市第三高级中学，临清市第一中学等，教育配套设施好。</w:t>
      </w:r>
    </w:p>
    <w:p>
      <w:pPr>
        <w:spacing w:line="580" w:lineRule="exact"/>
        <w:ind w:firstLine="594" w:firstLineChars="200"/>
        <w:rPr>
          <w:rFonts w:ascii="宋体" w:hAnsi="宋体"/>
          <w:b/>
          <w:color w:val="000000"/>
        </w:rPr>
      </w:pPr>
      <w:bookmarkStart w:id="63" w:name="_Toc28941833"/>
      <w:bookmarkStart w:id="64" w:name="_Toc27736465"/>
      <w:bookmarkStart w:id="65" w:name="_Toc37235825"/>
      <w:r>
        <w:rPr>
          <w:rStyle w:val="47"/>
          <w:rFonts w:hint="eastAsia"/>
        </w:rPr>
        <w:t>五、价值时点</w:t>
      </w:r>
      <w:bookmarkEnd w:id="57"/>
      <w:bookmarkEnd w:id="58"/>
      <w:bookmarkEnd w:id="59"/>
      <w:bookmarkEnd w:id="60"/>
      <w:bookmarkEnd w:id="61"/>
      <w:bookmarkEnd w:id="62"/>
      <w:bookmarkEnd w:id="63"/>
      <w:bookmarkEnd w:id="64"/>
      <w:bookmarkEnd w:id="65"/>
      <w:r>
        <w:rPr>
          <w:rFonts w:hint="eastAsia" w:ascii="宋体" w:hAnsi="宋体"/>
          <w:b/>
          <w:color w:val="000000"/>
        </w:rPr>
        <w:t>：</w:t>
      </w:r>
      <w:r>
        <w:rPr>
          <w:rFonts w:hint="eastAsia" w:ascii="宋体" w:hAnsi="宋体"/>
          <w:color w:val="000000"/>
          <w:sz w:val="30"/>
          <w:szCs w:val="30"/>
        </w:rPr>
        <w:t>2020年4月3日（现场查勘日期）</w:t>
      </w:r>
      <w:r>
        <w:rPr>
          <w:rFonts w:hint="eastAsia" w:ascii="宋体" w:hAnsi="宋体"/>
          <w:color w:val="000000"/>
        </w:rPr>
        <w:t>。</w:t>
      </w:r>
    </w:p>
    <w:p>
      <w:pPr>
        <w:spacing w:line="580" w:lineRule="exact"/>
        <w:ind w:firstLine="594" w:firstLineChars="200"/>
        <w:rPr>
          <w:rFonts w:ascii="宋体" w:hAnsi="宋体"/>
          <w:color w:val="000000"/>
          <w:sz w:val="28"/>
        </w:rPr>
      </w:pPr>
      <w:bookmarkStart w:id="66" w:name="_Toc28941834"/>
      <w:bookmarkStart w:id="67" w:name="_Toc24121737"/>
      <w:bookmarkStart w:id="68" w:name="_Toc17471990"/>
      <w:bookmarkStart w:id="69" w:name="_Toc27736466"/>
      <w:bookmarkStart w:id="70" w:name="_Toc16234177"/>
      <w:bookmarkStart w:id="71" w:name="_Toc19087058"/>
      <w:bookmarkStart w:id="72" w:name="_Toc17471959"/>
      <w:bookmarkStart w:id="73" w:name="_Toc16234439"/>
      <w:bookmarkStart w:id="74" w:name="_Toc37235826"/>
      <w:r>
        <w:rPr>
          <w:rStyle w:val="47"/>
          <w:rFonts w:hint="eastAsia"/>
        </w:rPr>
        <w:t>六、价值类型</w:t>
      </w:r>
      <w:bookmarkEnd w:id="66"/>
      <w:bookmarkEnd w:id="67"/>
      <w:bookmarkEnd w:id="68"/>
      <w:bookmarkEnd w:id="69"/>
      <w:bookmarkEnd w:id="70"/>
      <w:bookmarkEnd w:id="71"/>
      <w:bookmarkEnd w:id="72"/>
      <w:bookmarkEnd w:id="73"/>
      <w:bookmarkEnd w:id="74"/>
      <w:r>
        <w:rPr>
          <w:rFonts w:hint="eastAsia" w:ascii="宋体" w:hAnsi="宋体"/>
          <w:color w:val="000000"/>
          <w:sz w:val="28"/>
        </w:rPr>
        <w:t>：</w:t>
      </w:r>
    </w:p>
    <w:p>
      <w:pPr>
        <w:spacing w:line="600" w:lineRule="exact"/>
        <w:ind w:firstLine="556"/>
        <w:rPr>
          <w:rFonts w:ascii="宋体" w:hAnsi="宋体"/>
          <w:color w:val="000000"/>
          <w:sz w:val="28"/>
        </w:rPr>
      </w:pPr>
      <w:r>
        <w:rPr>
          <w:rFonts w:hint="eastAsia" w:ascii="宋体" w:hAnsi="宋体"/>
          <w:color w:val="000000"/>
          <w:sz w:val="28"/>
        </w:rPr>
        <w:t>根据估价目的，本报告所采用的价值标准为公开市场价值标准，所谓公开市场价值是指在公开市场上最有可能形成或成立的价格。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本次评估价值为房地合一价值。</w:t>
      </w:r>
    </w:p>
    <w:p>
      <w:pPr>
        <w:spacing w:line="580" w:lineRule="exact"/>
        <w:ind w:firstLine="594" w:firstLineChars="200"/>
        <w:rPr>
          <w:rFonts w:ascii="宋体" w:hAnsi="宋体"/>
          <w:b/>
          <w:color w:val="000000"/>
          <w:sz w:val="28"/>
        </w:rPr>
      </w:pPr>
      <w:bookmarkStart w:id="75" w:name="_Toc19087059"/>
      <w:bookmarkStart w:id="76" w:name="_Toc16234178"/>
      <w:bookmarkStart w:id="77" w:name="_Toc28941835"/>
      <w:bookmarkStart w:id="78" w:name="_Toc24121738"/>
      <w:bookmarkStart w:id="79" w:name="_Toc17471960"/>
      <w:bookmarkStart w:id="80" w:name="_Toc17471991"/>
      <w:bookmarkStart w:id="81" w:name="_Toc16234440"/>
      <w:bookmarkStart w:id="82" w:name="_Toc27736467"/>
      <w:bookmarkStart w:id="83" w:name="_Toc37235827"/>
      <w:r>
        <w:rPr>
          <w:rStyle w:val="47"/>
          <w:rFonts w:hint="eastAsia"/>
        </w:rPr>
        <w:t>七、估价原则</w:t>
      </w:r>
      <w:bookmarkEnd w:id="75"/>
      <w:bookmarkEnd w:id="76"/>
      <w:bookmarkEnd w:id="77"/>
      <w:bookmarkEnd w:id="78"/>
      <w:bookmarkEnd w:id="79"/>
      <w:bookmarkEnd w:id="80"/>
      <w:bookmarkEnd w:id="81"/>
      <w:bookmarkEnd w:id="82"/>
      <w:bookmarkEnd w:id="83"/>
      <w:r>
        <w:rPr>
          <w:rFonts w:hint="eastAsia" w:ascii="宋体" w:hAnsi="宋体"/>
          <w:b/>
          <w:color w:val="000000"/>
          <w:sz w:val="28"/>
        </w:rPr>
        <w:t>：</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本次估价遵守独立、客观、公正、合法的原则及最高最佳使用原则、价值时点原则、替代原则等技术性原则。</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（一）独立、客观、公正原则</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要求估价机构有完全独立性，估价机构和注册房地产估价师与估价对象及相关当事人没有利害关系，不受外部干扰因素影响，从实际出发，公平合理地进行估价。</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（二）合法原则</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应以估价对象的合法使用、合法处分为前提进行。所谓合法，是指符合国家的法律、法规和当地政府的有关规定，其权益才能受法律保护，并体现其权益价值。</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（三）价值时点原则</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估价结果应是估价对象在价值时点的客观合理价格或价值。</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（四）替代原则</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估价结果不得明显偏离类似房地产在同等条件下的正常价格。同一供求范围内，在用途、规模、档次、建筑结构等方面类似的房地产之间具有相互影响作用，其价格会相互牵掣而趋于一致。</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（五）最高最佳利用原则</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应以估价对象的最高最佳利用为前提进行。在合法使用前提下，房地产只有在最高最佳利用状态下才能发挥最大效用。最高最佳利用应是法律上允许、技术上可能、经济上可行，经过充分合理的论证，能使估价对象产生最高价值的利用方式。</w:t>
      </w:r>
    </w:p>
    <w:p>
      <w:pPr>
        <w:pStyle w:val="7"/>
        <w:spacing w:line="600" w:lineRule="exact"/>
        <w:ind w:firstLine="594" w:firstLineChars="200"/>
        <w:rPr>
          <w:rFonts w:ascii="宋体" w:hAnsi="宋体" w:eastAsia="宋体"/>
          <w:b/>
          <w:color w:val="000000"/>
        </w:rPr>
      </w:pPr>
      <w:bookmarkStart w:id="84" w:name="_Toc28941836"/>
      <w:bookmarkStart w:id="85" w:name="_Toc24121739"/>
      <w:bookmarkStart w:id="86" w:name="_Toc16234441"/>
      <w:bookmarkStart w:id="87" w:name="_Toc16234179"/>
      <w:bookmarkStart w:id="88" w:name="_Toc17471961"/>
      <w:bookmarkStart w:id="89" w:name="_Toc19087060"/>
      <w:bookmarkStart w:id="90" w:name="_Toc17471992"/>
      <w:bookmarkStart w:id="91" w:name="_Toc27736468"/>
      <w:bookmarkStart w:id="92" w:name="_Toc37235828"/>
      <w:r>
        <w:rPr>
          <w:rStyle w:val="47"/>
          <w:rFonts w:hint="eastAsia"/>
        </w:rPr>
        <w:t>八、估价依据</w:t>
      </w:r>
      <w:bookmarkEnd w:id="84"/>
      <w:bookmarkEnd w:id="85"/>
      <w:bookmarkEnd w:id="86"/>
      <w:bookmarkEnd w:id="87"/>
      <w:bookmarkEnd w:id="88"/>
      <w:bookmarkEnd w:id="89"/>
      <w:bookmarkEnd w:id="90"/>
      <w:bookmarkEnd w:id="91"/>
      <w:bookmarkEnd w:id="92"/>
      <w:r>
        <w:rPr>
          <w:rFonts w:hint="eastAsia" w:ascii="宋体" w:hAnsi="宋体" w:eastAsia="宋体"/>
          <w:b/>
          <w:color w:val="000000"/>
        </w:rPr>
        <w:t>：</w:t>
      </w:r>
    </w:p>
    <w:p>
      <w:pPr>
        <w:spacing w:line="600" w:lineRule="exact"/>
        <w:ind w:left="561" w:leftChars="267"/>
        <w:rPr>
          <w:rFonts w:ascii="宋体" w:hAnsi="宋体"/>
          <w:color w:val="000000"/>
          <w:sz w:val="28"/>
          <w:szCs w:val="28"/>
        </w:rPr>
      </w:pPr>
      <w:r>
        <w:rPr>
          <w:rFonts w:hint="eastAsia" w:ascii="宋体" w:hAnsi="宋体"/>
          <w:color w:val="000000"/>
          <w:sz w:val="28"/>
          <w:szCs w:val="28"/>
        </w:rPr>
        <w:t>（一）本次估价所依据的有关法律、法规和部门规章</w:t>
      </w:r>
    </w:p>
    <w:p>
      <w:pPr>
        <w:spacing w:line="600" w:lineRule="exact"/>
        <w:ind w:left="561" w:leftChars="267"/>
        <w:rPr>
          <w:rFonts w:ascii="宋体" w:hAnsi="宋体"/>
          <w:color w:val="000000"/>
          <w:sz w:val="28"/>
          <w:szCs w:val="28"/>
        </w:rPr>
      </w:pPr>
      <w:r>
        <w:rPr>
          <w:rFonts w:hint="eastAsia" w:ascii="宋体" w:hAnsi="宋体"/>
          <w:color w:val="000000"/>
          <w:sz w:val="28"/>
          <w:szCs w:val="28"/>
        </w:rPr>
        <w:t>1、《中华人民共和国城市房地产管理法》；</w:t>
      </w:r>
    </w:p>
    <w:p>
      <w:pPr>
        <w:spacing w:line="600" w:lineRule="exact"/>
        <w:ind w:left="561" w:leftChars="267"/>
        <w:rPr>
          <w:rFonts w:ascii="宋体" w:hAnsi="宋体"/>
          <w:color w:val="000000"/>
          <w:sz w:val="28"/>
          <w:szCs w:val="28"/>
        </w:rPr>
      </w:pPr>
      <w:r>
        <w:rPr>
          <w:rFonts w:hint="eastAsia" w:ascii="宋体" w:hAnsi="宋体"/>
          <w:color w:val="000000"/>
          <w:sz w:val="28"/>
          <w:szCs w:val="28"/>
        </w:rPr>
        <w:t>2、《中华人民共和国土地管理法》；</w:t>
      </w:r>
    </w:p>
    <w:p>
      <w:pPr>
        <w:spacing w:line="600" w:lineRule="exact"/>
        <w:ind w:left="561" w:leftChars="267"/>
        <w:rPr>
          <w:rFonts w:ascii="宋体" w:hAnsi="宋体"/>
          <w:color w:val="000000"/>
          <w:sz w:val="28"/>
          <w:szCs w:val="28"/>
        </w:rPr>
      </w:pPr>
      <w:r>
        <w:rPr>
          <w:rFonts w:hint="eastAsia" w:ascii="宋体" w:hAnsi="宋体"/>
          <w:color w:val="000000"/>
          <w:sz w:val="28"/>
          <w:szCs w:val="28"/>
        </w:rPr>
        <w:t>3、《中华人民共和国物权法》；</w:t>
      </w:r>
    </w:p>
    <w:p>
      <w:pPr>
        <w:spacing w:line="600" w:lineRule="exact"/>
        <w:ind w:left="561" w:leftChars="267"/>
        <w:rPr>
          <w:rFonts w:ascii="宋体" w:hAnsi="宋体"/>
          <w:color w:val="000000"/>
          <w:sz w:val="28"/>
          <w:szCs w:val="28"/>
        </w:rPr>
      </w:pPr>
      <w:r>
        <w:rPr>
          <w:rFonts w:hint="eastAsia" w:ascii="宋体" w:hAnsi="宋体"/>
          <w:color w:val="000000"/>
          <w:sz w:val="28"/>
          <w:szCs w:val="28"/>
        </w:rPr>
        <w:t>4、《中华人民共和国资产评估法》；</w:t>
      </w:r>
    </w:p>
    <w:p>
      <w:pPr>
        <w:spacing w:line="600" w:lineRule="exact"/>
        <w:ind w:left="561" w:leftChars="267"/>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、《最高人民法院关于人民法院确定财产处置参考价若干问题的规定》（法释〔2018〕15号）。</w:t>
      </w:r>
    </w:p>
    <w:p>
      <w:pPr>
        <w:spacing w:line="600" w:lineRule="exact"/>
        <w:ind w:left="563" w:leftChars="268"/>
        <w:rPr>
          <w:rFonts w:ascii="宋体" w:hAnsi="宋体"/>
          <w:color w:val="000000"/>
          <w:sz w:val="28"/>
          <w:szCs w:val="28"/>
        </w:rPr>
      </w:pPr>
      <w:r>
        <w:rPr>
          <w:rFonts w:hint="eastAsia" w:ascii="宋体" w:hAnsi="宋体"/>
          <w:color w:val="000000"/>
          <w:sz w:val="28"/>
          <w:szCs w:val="28"/>
        </w:rPr>
        <w:t>（二）本次估价采用的技术规程</w:t>
      </w:r>
    </w:p>
    <w:p>
      <w:pPr>
        <w:spacing w:line="600" w:lineRule="exact"/>
        <w:ind w:left="563" w:leftChars="268"/>
        <w:rPr>
          <w:rFonts w:ascii="宋体" w:hAnsi="宋体"/>
          <w:color w:val="000000"/>
          <w:sz w:val="28"/>
          <w:szCs w:val="28"/>
        </w:rPr>
      </w:pPr>
      <w:r>
        <w:rPr>
          <w:rFonts w:hint="eastAsia" w:ascii="宋体" w:hAnsi="宋体"/>
          <w:color w:val="000000"/>
          <w:sz w:val="28"/>
          <w:szCs w:val="28"/>
        </w:rPr>
        <w:t>1、中华人民共和国国家标准GB/T50291-2015《房地产估价规范》；</w:t>
      </w:r>
    </w:p>
    <w:p>
      <w:pPr>
        <w:spacing w:line="600" w:lineRule="exact"/>
        <w:ind w:left="141" w:leftChars="67" w:firstLine="420" w:firstLineChars="150"/>
        <w:rPr>
          <w:rFonts w:ascii="宋体" w:hAnsi="宋体"/>
          <w:color w:val="000000"/>
          <w:sz w:val="28"/>
          <w:szCs w:val="28"/>
        </w:rPr>
      </w:pPr>
      <w:r>
        <w:rPr>
          <w:rFonts w:hint="eastAsia" w:ascii="宋体" w:hAnsi="宋体"/>
          <w:color w:val="000000"/>
          <w:sz w:val="28"/>
          <w:szCs w:val="28"/>
        </w:rPr>
        <w:t>2、中华人民共和国国家标准GB/T50899-2013《房地产估价基本术语标准》。</w:t>
      </w:r>
    </w:p>
    <w:p>
      <w:pPr>
        <w:spacing w:line="600" w:lineRule="exact"/>
        <w:ind w:left="141" w:leftChars="67" w:firstLine="420" w:firstLineChars="150"/>
        <w:rPr>
          <w:rFonts w:ascii="宋体" w:hAnsi="宋体"/>
          <w:color w:val="000000"/>
          <w:sz w:val="28"/>
          <w:szCs w:val="28"/>
        </w:rPr>
      </w:pPr>
      <w:r>
        <w:rPr>
          <w:rFonts w:hint="eastAsia" w:ascii="宋体" w:hAnsi="宋体"/>
          <w:color w:val="000000"/>
          <w:sz w:val="28"/>
          <w:szCs w:val="28"/>
        </w:rPr>
        <w:t>（三）估价委托人及当事人提供的有关资料</w:t>
      </w:r>
    </w:p>
    <w:p>
      <w:pPr>
        <w:spacing w:line="600" w:lineRule="exact"/>
        <w:ind w:firstLine="560" w:firstLineChars="200"/>
        <w:rPr>
          <w:rFonts w:ascii="宋体" w:hAnsi="宋体"/>
          <w:color w:val="000000"/>
          <w:sz w:val="28"/>
        </w:rPr>
      </w:pPr>
      <w:r>
        <w:rPr>
          <w:rFonts w:hint="eastAsia" w:ascii="宋体" w:hAnsi="宋体"/>
          <w:color w:val="000000"/>
          <w:sz w:val="28"/>
        </w:rPr>
        <w:t>1、司法询价委托函复印件；</w:t>
      </w:r>
    </w:p>
    <w:p>
      <w:pPr>
        <w:spacing w:line="600" w:lineRule="exact"/>
        <w:ind w:firstLine="560" w:firstLineChars="200"/>
        <w:rPr>
          <w:rFonts w:ascii="宋体" w:hAnsi="宋体"/>
          <w:color w:val="000000"/>
          <w:sz w:val="28"/>
        </w:rPr>
      </w:pPr>
      <w:r>
        <w:rPr>
          <w:rFonts w:hint="eastAsia" w:ascii="宋体" w:hAnsi="宋体"/>
          <w:color w:val="000000"/>
          <w:sz w:val="28"/>
        </w:rPr>
        <w:t>2、</w:t>
      </w:r>
      <w:r>
        <w:rPr>
          <w:rFonts w:hint="eastAsia" w:ascii="宋体" w:hAnsi="宋体" w:cs="宋体"/>
          <w:color w:val="000000"/>
          <w:sz w:val="28"/>
          <w:lang w:val="zh-CN"/>
        </w:rPr>
        <w:t>商品房买卖合同复印件</w:t>
      </w:r>
      <w:r>
        <w:rPr>
          <w:rFonts w:hint="eastAsia" w:ascii="宋体" w:hAnsi="宋体"/>
          <w:color w:val="000000"/>
          <w:sz w:val="28"/>
        </w:rPr>
        <w:t>。</w:t>
      </w:r>
    </w:p>
    <w:p>
      <w:pPr>
        <w:spacing w:line="600" w:lineRule="exact"/>
        <w:rPr>
          <w:rFonts w:ascii="宋体" w:hAnsi="宋体"/>
          <w:color w:val="000000"/>
          <w:sz w:val="28"/>
          <w:szCs w:val="28"/>
        </w:rPr>
      </w:pPr>
      <w:r>
        <w:rPr>
          <w:rFonts w:hint="eastAsia" w:ascii="宋体" w:hAnsi="宋体"/>
          <w:color w:val="000000"/>
          <w:sz w:val="28"/>
          <w:szCs w:val="28"/>
        </w:rPr>
        <w:t xml:space="preserve">    （四）估价机构和房地产估价师所搜集掌握的有关资料。</w:t>
      </w:r>
    </w:p>
    <w:p>
      <w:pPr>
        <w:spacing w:line="600" w:lineRule="exact"/>
        <w:ind w:left="561" w:leftChars="267"/>
        <w:rPr>
          <w:rFonts w:ascii="宋体" w:hAnsi="宋体"/>
          <w:color w:val="000000"/>
          <w:sz w:val="28"/>
          <w:szCs w:val="28"/>
        </w:rPr>
      </w:pPr>
      <w:r>
        <w:rPr>
          <w:rFonts w:hint="eastAsia" w:ascii="宋体" w:hAnsi="宋体"/>
          <w:color w:val="000000"/>
          <w:sz w:val="28"/>
          <w:szCs w:val="28"/>
        </w:rPr>
        <w:t>1、估价对象的区位、权属、实物状况及其配套设施；</w:t>
      </w:r>
    </w:p>
    <w:p>
      <w:pPr>
        <w:pStyle w:val="7"/>
        <w:adjustRightInd w:val="0"/>
        <w:spacing w:line="600" w:lineRule="exact"/>
        <w:ind w:firstLine="560" w:firstLineChars="200"/>
        <w:rPr>
          <w:rFonts w:ascii="宋体" w:hAnsi="宋体" w:eastAsia="宋体"/>
          <w:color w:val="000000"/>
          <w:szCs w:val="28"/>
        </w:rPr>
      </w:pPr>
      <w:r>
        <w:rPr>
          <w:rFonts w:hint="eastAsia" w:ascii="宋体" w:hAnsi="宋体" w:eastAsia="宋体"/>
          <w:color w:val="000000"/>
          <w:szCs w:val="28"/>
        </w:rPr>
        <w:t>2、估价对象同一供求圈内的实际成交案例区位、权属、实物状况及成交价格。</w:t>
      </w:r>
    </w:p>
    <w:p>
      <w:pPr>
        <w:pStyle w:val="7"/>
        <w:spacing w:line="620" w:lineRule="exact"/>
        <w:ind w:firstLine="594" w:firstLineChars="200"/>
        <w:rPr>
          <w:rFonts w:ascii="宋体" w:hAnsi="宋体" w:eastAsia="宋体"/>
          <w:b/>
          <w:color w:val="000000"/>
        </w:rPr>
      </w:pPr>
      <w:bookmarkStart w:id="93" w:name="_Toc16234442"/>
      <w:bookmarkStart w:id="94" w:name="_Toc28941837"/>
      <w:bookmarkStart w:id="95" w:name="_Toc27736469"/>
      <w:bookmarkStart w:id="96" w:name="_Toc24121740"/>
      <w:bookmarkStart w:id="97" w:name="_Toc19087061"/>
      <w:bookmarkStart w:id="98" w:name="_Toc17471962"/>
      <w:bookmarkStart w:id="99" w:name="_Toc17471993"/>
      <w:bookmarkStart w:id="100" w:name="_Toc16234180"/>
      <w:bookmarkStart w:id="101" w:name="_Toc37235829"/>
      <w:r>
        <w:rPr>
          <w:rStyle w:val="47"/>
          <w:rFonts w:hint="eastAsia"/>
        </w:rPr>
        <w:t>九、估价方法</w:t>
      </w:r>
      <w:bookmarkEnd w:id="93"/>
      <w:bookmarkEnd w:id="94"/>
      <w:bookmarkEnd w:id="95"/>
      <w:bookmarkEnd w:id="96"/>
      <w:bookmarkEnd w:id="97"/>
      <w:bookmarkEnd w:id="98"/>
      <w:bookmarkEnd w:id="99"/>
      <w:bookmarkEnd w:id="100"/>
      <w:bookmarkEnd w:id="101"/>
      <w:r>
        <w:rPr>
          <w:rFonts w:hint="eastAsia" w:ascii="宋体" w:hAnsi="宋体" w:eastAsia="宋体"/>
          <w:b/>
          <w:color w:val="000000"/>
        </w:rPr>
        <w:t>：</w:t>
      </w:r>
    </w:p>
    <w:p>
      <w:pPr>
        <w:spacing w:line="620" w:lineRule="exact"/>
        <w:ind w:firstLine="560" w:firstLineChars="200"/>
        <w:rPr>
          <w:rFonts w:ascii="宋体" w:hAnsi="宋体" w:cs="宋体"/>
          <w:color w:val="000000"/>
          <w:sz w:val="28"/>
        </w:rPr>
      </w:pPr>
      <w:r>
        <w:rPr>
          <w:rFonts w:hint="eastAsia" w:ascii="宋体" w:hAnsi="宋体" w:cs="宋体"/>
          <w:color w:val="000000"/>
          <w:sz w:val="28"/>
        </w:rPr>
        <w:t>根据《房地产估价规范》房地产估价常用方法有比较法、收益法、成本法、假设开发法等，估价过程中应根据估价对象的实际情况选择适合的评估方法。</w:t>
      </w:r>
    </w:p>
    <w:p>
      <w:pPr>
        <w:spacing w:line="620" w:lineRule="exact"/>
        <w:ind w:firstLine="560" w:firstLineChars="200"/>
        <w:rPr>
          <w:rFonts w:ascii="宋体" w:hAnsi="宋体" w:cs="宋体"/>
          <w:color w:val="000000"/>
          <w:sz w:val="28"/>
        </w:rPr>
      </w:pPr>
      <w:r>
        <w:rPr>
          <w:rFonts w:hint="eastAsia" w:ascii="宋体" w:hAnsi="宋体" w:cs="宋体"/>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铺等。估价对象用途为住宅，在估价对象坐落于同一供求范围内，有与其相似的房地产交易实例，且可比性较好，根据替代原则适于使用比较法进行评估。</w:t>
      </w:r>
    </w:p>
    <w:p>
      <w:pPr>
        <w:spacing w:line="620" w:lineRule="exact"/>
        <w:ind w:firstLine="560" w:firstLineChars="200"/>
        <w:rPr>
          <w:rFonts w:ascii="宋体" w:hAnsi="宋体" w:cs="宋体"/>
          <w:color w:val="000000"/>
          <w:sz w:val="28"/>
        </w:rPr>
      </w:pPr>
      <w:r>
        <w:rPr>
          <w:rFonts w:hint="eastAsia" w:ascii="宋体" w:hAnsi="宋体" w:cs="宋体"/>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估价对象用途为住宅，收益较好确定，故适于使用收益法进行评估。</w:t>
      </w:r>
    </w:p>
    <w:p>
      <w:pPr>
        <w:spacing w:line="620" w:lineRule="exact"/>
        <w:ind w:firstLine="560" w:firstLineChars="200"/>
        <w:rPr>
          <w:rFonts w:ascii="宋体" w:hAnsi="宋体" w:cs="宋体"/>
          <w:color w:val="000000"/>
          <w:sz w:val="28"/>
        </w:rPr>
      </w:pPr>
      <w:r>
        <w:rPr>
          <w:rFonts w:hint="eastAsia" w:ascii="宋体" w:hAnsi="宋体" w:cs="宋体"/>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用途为住宅，其价值已并非各项要素资产的简单估价加总，不宜采用成本法进行评估。</w:t>
      </w:r>
    </w:p>
    <w:p>
      <w:pPr>
        <w:spacing w:line="620" w:lineRule="exact"/>
        <w:ind w:firstLine="560" w:firstLineChars="200"/>
        <w:rPr>
          <w:rFonts w:ascii="宋体" w:hAnsi="宋体" w:cs="宋体"/>
          <w:color w:val="000000"/>
          <w:sz w:val="28"/>
        </w:rPr>
      </w:pPr>
      <w:r>
        <w:rPr>
          <w:rFonts w:hint="eastAsia" w:ascii="宋体" w:hAnsi="宋体" w:cs="宋体"/>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不具备开发或再开发潜力，根据预期原理不适于使用假设开发法进行评估。</w:t>
      </w:r>
    </w:p>
    <w:p>
      <w:pPr>
        <w:spacing w:line="620" w:lineRule="exact"/>
        <w:ind w:firstLine="560" w:firstLineChars="200"/>
        <w:rPr>
          <w:rFonts w:ascii="宋体" w:hAnsi="宋体" w:cs="宋体"/>
          <w:color w:val="000000"/>
          <w:sz w:val="28"/>
        </w:rPr>
      </w:pPr>
      <w:r>
        <w:rPr>
          <w:rFonts w:hint="eastAsia" w:ascii="宋体" w:hAnsi="宋体" w:cs="宋体"/>
          <w:color w:val="000000"/>
          <w:sz w:val="28"/>
        </w:rPr>
        <w:t>综上所述，本次选用比较法和收益法进行评估。</w:t>
      </w:r>
    </w:p>
    <w:p>
      <w:pPr>
        <w:spacing w:line="620" w:lineRule="exact"/>
        <w:ind w:firstLine="594" w:firstLineChars="200"/>
        <w:rPr>
          <w:rFonts w:ascii="宋体" w:hAnsi="宋体"/>
          <w:b/>
          <w:color w:val="000000"/>
          <w:sz w:val="28"/>
        </w:rPr>
      </w:pPr>
      <w:bookmarkStart w:id="102" w:name="_Toc16234443"/>
      <w:bookmarkStart w:id="103" w:name="_Toc19087062"/>
      <w:bookmarkStart w:id="104" w:name="_Toc17471994"/>
      <w:bookmarkStart w:id="105" w:name="_Toc27736470"/>
      <w:bookmarkStart w:id="106" w:name="_Toc17471963"/>
      <w:bookmarkStart w:id="107" w:name="_Toc16234181"/>
      <w:bookmarkStart w:id="108" w:name="_Toc28941838"/>
      <w:bookmarkStart w:id="109" w:name="_Toc24121741"/>
      <w:bookmarkStart w:id="110" w:name="_Toc37235830"/>
      <w:r>
        <w:rPr>
          <w:rStyle w:val="47"/>
          <w:rFonts w:hint="eastAsia"/>
        </w:rPr>
        <w:t>十、估价结果</w:t>
      </w:r>
      <w:bookmarkEnd w:id="102"/>
      <w:bookmarkEnd w:id="103"/>
      <w:bookmarkEnd w:id="104"/>
      <w:bookmarkEnd w:id="105"/>
      <w:bookmarkEnd w:id="106"/>
      <w:bookmarkEnd w:id="107"/>
      <w:bookmarkEnd w:id="108"/>
      <w:bookmarkEnd w:id="109"/>
      <w:bookmarkEnd w:id="110"/>
      <w:r>
        <w:rPr>
          <w:rFonts w:hint="eastAsia" w:ascii="宋体" w:hAnsi="宋体"/>
          <w:b/>
          <w:color w:val="000000"/>
          <w:sz w:val="28"/>
        </w:rPr>
        <w:t>：</w:t>
      </w:r>
    </w:p>
    <w:p>
      <w:pPr>
        <w:snapToGrid w:val="0"/>
        <w:spacing w:line="620" w:lineRule="exact"/>
        <w:ind w:left="-38" w:leftChars="-18" w:firstLine="560" w:firstLineChars="200"/>
        <w:rPr>
          <w:rFonts w:ascii="宋体" w:hAnsi="宋体"/>
          <w:color w:val="000000"/>
          <w:sz w:val="28"/>
        </w:rPr>
      </w:pPr>
      <w:r>
        <w:rPr>
          <w:rFonts w:hint="eastAsia" w:ascii="宋体" w:hAnsi="宋体"/>
          <w:color w:val="000000"/>
          <w:sz w:val="28"/>
        </w:rPr>
        <w:t>注册房地产估价师根据估价目的，遵循估价原则，按照估价工作程序，采用适宜的估价方法，在认真分析现有资料的基础上，经测算，并结合估价经验与对影响房地产价值因素的综合分析，最终确定估价对象于价值时点的评估结果为:（币种：人民币）</w:t>
      </w:r>
    </w:p>
    <w:tbl>
      <w:tblPr>
        <w:tblStyle w:val="20"/>
        <w:tblW w:w="1024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210"/>
        <w:gridCol w:w="1258"/>
        <w:gridCol w:w="2657"/>
        <w:gridCol w:w="1258"/>
        <w:gridCol w:w="1014"/>
        <w:gridCol w:w="1221"/>
        <w:gridCol w:w="16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bookmarkStart w:id="111" w:name="_Toc17471995"/>
            <w:bookmarkStart w:id="112" w:name="_Toc27736471"/>
            <w:bookmarkStart w:id="113" w:name="_Toc16234182"/>
            <w:bookmarkStart w:id="114" w:name="_Toc19087063"/>
            <w:bookmarkStart w:id="115" w:name="_Toc16234444"/>
            <w:bookmarkStart w:id="116" w:name="_Toc17471964"/>
            <w:bookmarkStart w:id="117" w:name="_Toc24121742"/>
            <w:bookmarkStart w:id="118" w:name="_Toc28941839"/>
            <w:r>
              <w:rPr>
                <w:rFonts w:hint="eastAsia" w:ascii="宋体" w:hAnsi="宋体" w:cs="宋体"/>
                <w:color w:val="000000"/>
                <w:kern w:val="0"/>
                <w:sz w:val="24"/>
                <w:lang w:bidi="ar"/>
              </w:rPr>
              <w:t>合同编号</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所有权人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坐落</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合同约定面积（㎡）</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评估单价</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（元/㎡）</w:t>
            </w:r>
          </w:p>
        </w:tc>
        <w:tc>
          <w:tcPr>
            <w:tcW w:w="1221" w:type="dxa"/>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评估总价</w:t>
            </w:r>
          </w:p>
          <w:p>
            <w:pPr>
              <w:jc w:val="center"/>
              <w:rPr>
                <w:rFonts w:ascii="宋体" w:hAnsi="宋体" w:cs="宋体"/>
                <w:color w:val="000000"/>
                <w:kern w:val="0"/>
                <w:sz w:val="24"/>
                <w:lang w:bidi="ar"/>
              </w:rPr>
            </w:pPr>
            <w:r>
              <w:rPr>
                <w:rFonts w:hint="eastAsia" w:ascii="宋体" w:hAnsi="宋体" w:cs="宋体"/>
                <w:color w:val="000000"/>
                <w:kern w:val="0"/>
                <w:sz w:val="24"/>
                <w:lang w:bidi="ar"/>
              </w:rPr>
              <w:t>（万元）</w:t>
            </w:r>
          </w:p>
        </w:tc>
        <w:tc>
          <w:tcPr>
            <w:tcW w:w="1626" w:type="dxa"/>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20140001</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84.16</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26.75</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20140002</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临清市运河半岛小区12号楼</w:t>
            </w:r>
            <w:r>
              <w:rPr>
                <w:rFonts w:ascii="宋体" w:hAnsi="宋体" w:cs="宋体"/>
                <w:color w:val="000000"/>
                <w:kern w:val="0"/>
                <w:sz w:val="24"/>
                <w:lang w:bidi="ar"/>
              </w:rPr>
              <w:t>2</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80.83</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25.69</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20140003</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20140004</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13</w:t>
            </w:r>
            <w:r>
              <w:rPr>
                <w:rFonts w:hint="eastAsia" w:ascii="宋体" w:hAnsi="宋体" w:cs="宋体"/>
                <w:color w:val="000000"/>
                <w:kern w:val="0"/>
                <w:sz w:val="24"/>
                <w:lang w:bidi="ar"/>
              </w:rPr>
              <w:t>号楼2单元601室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20140005</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w:t>
            </w:r>
            <w:r>
              <w:rPr>
                <w:rFonts w:ascii="宋体" w:hAnsi="宋体" w:cs="宋体"/>
                <w:color w:val="000000"/>
                <w:kern w:val="0"/>
                <w:sz w:val="24"/>
                <w:lang w:bidi="ar"/>
              </w:rPr>
              <w:t>1</w:t>
            </w:r>
            <w:r>
              <w:rPr>
                <w:rFonts w:hint="eastAsia" w:ascii="宋体" w:hAnsi="宋体" w:cs="宋体"/>
                <w:color w:val="000000"/>
                <w:kern w:val="0"/>
                <w:sz w:val="24"/>
                <w:lang w:bidi="ar"/>
              </w:rPr>
              <w:t>单元60</w:t>
            </w:r>
            <w:r>
              <w:rPr>
                <w:rFonts w:ascii="宋体" w:hAnsi="宋体" w:cs="宋体"/>
                <w:color w:val="000000"/>
                <w:kern w:val="0"/>
                <w:sz w:val="24"/>
                <w:lang w:bidi="ar"/>
              </w:rPr>
              <w:t>4</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20140006</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15</w:t>
            </w:r>
            <w:r>
              <w:rPr>
                <w:rFonts w:hint="eastAsia" w:ascii="宋体" w:hAnsi="宋体" w:cs="宋体"/>
                <w:color w:val="000000"/>
                <w:kern w:val="0"/>
                <w:sz w:val="24"/>
                <w:lang w:bidi="ar"/>
              </w:rPr>
              <w:t>号楼2单元601室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85.28</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3178</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27.10</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20140007</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18</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151.16</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64.91</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35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2014000</w:t>
            </w:r>
            <w:r>
              <w:rPr>
                <w:rFonts w:ascii="宋体" w:hAnsi="宋体" w:cs="宋体"/>
                <w:color w:val="000000"/>
                <w:kern w:val="0"/>
                <w:sz w:val="24"/>
                <w:lang w:bidi="ar"/>
              </w:rPr>
              <w:t>8</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19</w:t>
            </w:r>
            <w:r>
              <w:rPr>
                <w:rFonts w:hint="eastAsia" w:ascii="宋体" w:hAnsi="宋体" w:cs="宋体"/>
                <w:color w:val="000000"/>
                <w:kern w:val="0"/>
                <w:sz w:val="24"/>
                <w:lang w:bidi="ar"/>
              </w:rPr>
              <w:t>号楼1单元</w:t>
            </w:r>
            <w:r>
              <w:rPr>
                <w:rFonts w:ascii="宋体" w:hAnsi="宋体" w:cs="宋体"/>
                <w:color w:val="000000"/>
                <w:kern w:val="0"/>
                <w:sz w:val="24"/>
                <w:lang w:bidi="ar"/>
              </w:rPr>
              <w:t>2</w:t>
            </w:r>
            <w:r>
              <w:rPr>
                <w:rFonts w:hint="eastAsia" w:ascii="宋体" w:hAnsi="宋体" w:cs="宋体"/>
                <w:color w:val="000000"/>
                <w:kern w:val="0"/>
                <w:sz w:val="24"/>
                <w:lang w:bidi="ar"/>
              </w:rPr>
              <w:t>02室</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156.95</w:t>
            </w:r>
          </w:p>
        </w:tc>
        <w:tc>
          <w:tcPr>
            <w:tcW w:w="1014"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4273</w:t>
            </w:r>
          </w:p>
        </w:tc>
        <w:tc>
          <w:tcPr>
            <w:tcW w:w="1221"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67.06</w:t>
            </w:r>
          </w:p>
        </w:tc>
        <w:tc>
          <w:tcPr>
            <w:tcW w:w="1626"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76"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20140009</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临清市运河半岛小区19号楼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151.11</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64.89</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201"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20140010</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601</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194.33</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3114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60.51</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62"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20140011</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21</w:t>
            </w:r>
            <w:r>
              <w:rPr>
                <w:rFonts w:hint="eastAsia" w:ascii="宋体" w:hAnsi="宋体" w:cs="宋体"/>
                <w:color w:val="000000"/>
                <w:kern w:val="0"/>
                <w:sz w:val="24"/>
                <w:lang w:bidi="ar"/>
              </w:rPr>
              <w:t>号楼1单元</w:t>
            </w:r>
            <w:r>
              <w:rPr>
                <w:rFonts w:ascii="宋体" w:hAnsi="宋体" w:cs="宋体"/>
                <w:color w:val="000000"/>
                <w:kern w:val="0"/>
                <w:sz w:val="24"/>
                <w:lang w:bidi="ar"/>
              </w:rPr>
              <w:t>602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196.93</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3114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61.32</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208"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22</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147.82</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63.47</w:t>
            </w:r>
          </w:p>
        </w:tc>
        <w:tc>
          <w:tcPr>
            <w:tcW w:w="1626" w:type="dxa"/>
            <w:tcBorders>
              <w:bottom w:val="single" w:color="auto" w:sz="4" w:space="0"/>
            </w:tcBorders>
            <w:vAlign w:val="center"/>
          </w:tcPr>
          <w:p>
            <w:pPr>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76"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20140014</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402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62.07</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94"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20140015</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号楼1单元</w:t>
            </w:r>
            <w:r>
              <w:rPr>
                <w:rFonts w:ascii="宋体" w:hAnsi="宋体" w:cs="宋体"/>
                <w:color w:val="000000"/>
                <w:kern w:val="0"/>
                <w:sz w:val="24"/>
                <w:lang w:bidi="ar"/>
              </w:rPr>
              <w:t>502</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178.93</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3242</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58.01</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81"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20140016</w:t>
            </w:r>
          </w:p>
        </w:tc>
        <w:tc>
          <w:tcPr>
            <w:tcW w:w="1258"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柳怀旺</w:t>
            </w:r>
          </w:p>
        </w:tc>
        <w:tc>
          <w:tcPr>
            <w:tcW w:w="2657"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临清市运河半岛小区</w:t>
            </w:r>
            <w:r>
              <w:rPr>
                <w:rFonts w:ascii="宋体" w:hAnsi="宋体" w:cs="宋体"/>
                <w:color w:val="000000"/>
                <w:kern w:val="0"/>
                <w:sz w:val="24"/>
                <w:lang w:bidi="ar"/>
              </w:rPr>
              <w:t>23</w:t>
            </w:r>
            <w:r>
              <w:rPr>
                <w:rFonts w:hint="eastAsia" w:ascii="宋体" w:hAnsi="宋体" w:cs="宋体"/>
                <w:color w:val="000000"/>
                <w:kern w:val="0"/>
                <w:sz w:val="24"/>
                <w:lang w:bidi="ar"/>
              </w:rPr>
              <w:t>号楼</w:t>
            </w:r>
            <w:r>
              <w:rPr>
                <w:rFonts w:ascii="宋体" w:hAnsi="宋体" w:cs="宋体"/>
                <w:color w:val="000000"/>
                <w:kern w:val="0"/>
                <w:sz w:val="24"/>
                <w:lang w:bidi="ar"/>
              </w:rPr>
              <w:t>2</w:t>
            </w:r>
            <w:r>
              <w:rPr>
                <w:rFonts w:hint="eastAsia" w:ascii="宋体" w:hAnsi="宋体" w:cs="宋体"/>
                <w:color w:val="000000"/>
                <w:kern w:val="0"/>
                <w:sz w:val="24"/>
                <w:lang w:bidi="ar"/>
              </w:rPr>
              <w:t>单元</w:t>
            </w:r>
            <w:r>
              <w:rPr>
                <w:rFonts w:ascii="宋体" w:hAnsi="宋体" w:cs="宋体"/>
                <w:color w:val="000000"/>
                <w:kern w:val="0"/>
                <w:sz w:val="24"/>
                <w:lang w:bidi="ar"/>
              </w:rPr>
              <w:t>401</w:t>
            </w:r>
            <w:r>
              <w:rPr>
                <w:rFonts w:hint="eastAsia" w:ascii="宋体" w:hAnsi="宋体" w:cs="宋体"/>
                <w:color w:val="000000"/>
                <w:kern w:val="0"/>
                <w:sz w:val="24"/>
                <w:lang w:bidi="ar"/>
              </w:rPr>
              <w:t>室</w:t>
            </w:r>
          </w:p>
        </w:tc>
        <w:tc>
          <w:tcPr>
            <w:tcW w:w="1258"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144.55</w:t>
            </w:r>
          </w:p>
        </w:tc>
        <w:tc>
          <w:tcPr>
            <w:tcW w:w="1014"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4294</w:t>
            </w:r>
          </w:p>
        </w:tc>
        <w:tc>
          <w:tcPr>
            <w:tcW w:w="1221"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62.07</w:t>
            </w:r>
          </w:p>
        </w:tc>
        <w:tc>
          <w:tcPr>
            <w:tcW w:w="1626" w:type="dxa"/>
            <w:tcBorders>
              <w:bottom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此价值包含储藏室价值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1" w:hRule="atLeast"/>
          <w:jc w:val="center"/>
        </w:trPr>
        <w:tc>
          <w:tcPr>
            <w:tcW w:w="121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合计</w:t>
            </w:r>
          </w:p>
        </w:tc>
        <w:tc>
          <w:tcPr>
            <w:tcW w:w="1258" w:type="dxa"/>
            <w:vAlign w:val="center"/>
          </w:tcPr>
          <w:p>
            <w:pPr>
              <w:widowControl/>
              <w:jc w:val="center"/>
              <w:textAlignment w:val="center"/>
              <w:rPr>
                <w:rFonts w:ascii="宋体" w:hAnsi="宋体" w:cs="宋体"/>
                <w:color w:val="000000"/>
                <w:kern w:val="0"/>
                <w:sz w:val="24"/>
                <w:lang w:bidi="ar"/>
              </w:rPr>
            </w:pPr>
          </w:p>
        </w:tc>
        <w:tc>
          <w:tcPr>
            <w:tcW w:w="2657" w:type="dxa"/>
            <w:tcBorders>
              <w:top w:val="single" w:color="auto" w:sz="4" w:space="0"/>
            </w:tcBorders>
            <w:vAlign w:val="center"/>
          </w:tcPr>
          <w:p>
            <w:pPr>
              <w:widowControl/>
              <w:jc w:val="center"/>
              <w:textAlignment w:val="center"/>
              <w:rPr>
                <w:rFonts w:ascii="宋体" w:hAnsi="宋体" w:cs="宋体"/>
                <w:color w:val="000000"/>
                <w:kern w:val="0"/>
                <w:sz w:val="24"/>
                <w:lang w:bidi="ar"/>
              </w:rPr>
            </w:pPr>
          </w:p>
        </w:tc>
        <w:tc>
          <w:tcPr>
            <w:tcW w:w="1258"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1972.44</w:t>
            </w:r>
          </w:p>
        </w:tc>
        <w:tc>
          <w:tcPr>
            <w:tcW w:w="1014" w:type="dxa"/>
            <w:tcBorders>
              <w:top w:val="single" w:color="auto" w:sz="4" w:space="0"/>
            </w:tcBorders>
            <w:vAlign w:val="center"/>
          </w:tcPr>
          <w:p>
            <w:pPr>
              <w:widowControl/>
              <w:jc w:val="center"/>
              <w:textAlignment w:val="center"/>
              <w:rPr>
                <w:rFonts w:ascii="宋体" w:hAnsi="宋体" w:cs="宋体"/>
                <w:color w:val="000000"/>
                <w:kern w:val="0"/>
                <w:sz w:val="24"/>
                <w:lang w:bidi="ar"/>
              </w:rPr>
            </w:pPr>
          </w:p>
        </w:tc>
        <w:tc>
          <w:tcPr>
            <w:tcW w:w="1221" w:type="dxa"/>
            <w:tcBorders>
              <w:top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725.15</w:t>
            </w:r>
          </w:p>
        </w:tc>
        <w:tc>
          <w:tcPr>
            <w:tcW w:w="1626" w:type="dxa"/>
            <w:tcBorders>
              <w:top w:val="single" w:color="auto" w:sz="4" w:space="0"/>
            </w:tcBorders>
            <w:vAlign w:val="center"/>
          </w:tcPr>
          <w:p>
            <w:pPr>
              <w:widowControl/>
              <w:jc w:val="center"/>
              <w:textAlignment w:val="center"/>
              <w:rPr>
                <w:rFonts w:ascii="宋体" w:hAnsi="宋体" w:cs="宋体"/>
                <w:color w:val="000000"/>
                <w:kern w:val="0"/>
                <w:sz w:val="24"/>
                <w:lang w:bidi="ar"/>
              </w:rPr>
            </w:pPr>
          </w:p>
        </w:tc>
      </w:tr>
    </w:tbl>
    <w:p>
      <w:pPr>
        <w:snapToGrid w:val="0"/>
        <w:spacing w:line="540" w:lineRule="exact"/>
        <w:ind w:left="-38" w:leftChars="-18" w:firstLine="686" w:firstLineChars="245"/>
        <w:rPr>
          <w:rFonts w:ascii="宋体" w:hAnsi="宋体"/>
          <w:sz w:val="28"/>
        </w:rPr>
      </w:pPr>
      <w:r>
        <w:rPr>
          <w:rFonts w:hint="eastAsia" w:ascii="宋体" w:hAnsi="宋体"/>
          <w:sz w:val="28"/>
        </w:rPr>
        <w:t>人民币大写：柒佰贰拾伍万壹仟伍佰元整。</w:t>
      </w:r>
    </w:p>
    <w:p>
      <w:pPr>
        <w:numPr>
          <w:ilvl w:val="0"/>
          <w:numId w:val="1"/>
        </w:numPr>
        <w:spacing w:line="600" w:lineRule="exact"/>
        <w:ind w:firstLine="594" w:firstLineChars="200"/>
        <w:rPr>
          <w:rFonts w:ascii="宋体" w:hAnsi="宋体"/>
          <w:b/>
          <w:color w:val="000000"/>
          <w:sz w:val="28"/>
        </w:rPr>
      </w:pPr>
      <w:bookmarkStart w:id="119" w:name="_Toc37235831"/>
      <w:r>
        <w:rPr>
          <w:rStyle w:val="47"/>
          <w:rFonts w:hint="eastAsia"/>
        </w:rPr>
        <w:t>注册房地产估价师</w:t>
      </w:r>
      <w:bookmarkEnd w:id="111"/>
      <w:bookmarkEnd w:id="112"/>
      <w:bookmarkEnd w:id="113"/>
      <w:bookmarkEnd w:id="114"/>
      <w:bookmarkEnd w:id="115"/>
      <w:bookmarkEnd w:id="116"/>
      <w:bookmarkEnd w:id="117"/>
      <w:bookmarkEnd w:id="118"/>
      <w:bookmarkEnd w:id="119"/>
      <w:r>
        <w:rPr>
          <w:rFonts w:hint="eastAsia" w:ascii="宋体" w:hAnsi="宋体"/>
          <w:b/>
          <w:color w:val="000000"/>
          <w:sz w:val="28"/>
        </w:rPr>
        <w:t>：</w:t>
      </w:r>
    </w:p>
    <w:tbl>
      <w:tblPr>
        <w:tblStyle w:val="20"/>
        <w:tblW w:w="963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17"/>
        <w:gridCol w:w="2388"/>
        <w:gridCol w:w="2064"/>
        <w:gridCol w:w="30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117" w:type="dxa"/>
            <w:vAlign w:val="center"/>
          </w:tcPr>
          <w:p>
            <w:pPr>
              <w:spacing w:line="600" w:lineRule="exact"/>
              <w:jc w:val="center"/>
              <w:rPr>
                <w:rFonts w:ascii="宋体" w:hAnsi="宋体"/>
                <w:color w:val="000000"/>
                <w:sz w:val="28"/>
              </w:rPr>
            </w:pPr>
            <w:r>
              <w:rPr>
                <w:rFonts w:hint="eastAsia" w:ascii="宋体" w:hAnsi="宋体"/>
                <w:color w:val="000000"/>
                <w:sz w:val="28"/>
              </w:rPr>
              <w:t>姓名</w:t>
            </w:r>
          </w:p>
        </w:tc>
        <w:tc>
          <w:tcPr>
            <w:tcW w:w="2388" w:type="dxa"/>
            <w:vAlign w:val="center"/>
          </w:tcPr>
          <w:p>
            <w:pPr>
              <w:spacing w:line="600" w:lineRule="exact"/>
              <w:jc w:val="center"/>
              <w:rPr>
                <w:rFonts w:ascii="宋体" w:hAnsi="宋体"/>
                <w:color w:val="000000"/>
                <w:sz w:val="28"/>
              </w:rPr>
            </w:pPr>
            <w:r>
              <w:rPr>
                <w:rFonts w:hint="eastAsia" w:ascii="宋体" w:hAnsi="宋体"/>
                <w:color w:val="000000"/>
                <w:sz w:val="28"/>
              </w:rPr>
              <w:t>注册号</w:t>
            </w:r>
          </w:p>
        </w:tc>
        <w:tc>
          <w:tcPr>
            <w:tcW w:w="2064" w:type="dxa"/>
            <w:vAlign w:val="center"/>
          </w:tcPr>
          <w:p>
            <w:pPr>
              <w:spacing w:line="600" w:lineRule="exact"/>
              <w:jc w:val="center"/>
              <w:rPr>
                <w:rFonts w:ascii="宋体" w:hAnsi="宋体"/>
                <w:color w:val="000000"/>
                <w:sz w:val="28"/>
              </w:rPr>
            </w:pPr>
            <w:r>
              <w:rPr>
                <w:rFonts w:hint="eastAsia" w:ascii="宋体" w:hAnsi="宋体"/>
                <w:color w:val="000000"/>
                <w:sz w:val="28"/>
              </w:rPr>
              <w:t>盖章签名</w:t>
            </w:r>
          </w:p>
        </w:tc>
        <w:tc>
          <w:tcPr>
            <w:tcW w:w="3065" w:type="dxa"/>
            <w:vAlign w:val="center"/>
          </w:tcPr>
          <w:p>
            <w:pPr>
              <w:spacing w:line="60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6" w:hRule="atLeast"/>
          <w:jc w:val="center"/>
        </w:trPr>
        <w:tc>
          <w:tcPr>
            <w:tcW w:w="2117"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赵德强</w:t>
            </w:r>
          </w:p>
        </w:tc>
        <w:tc>
          <w:tcPr>
            <w:tcW w:w="2388" w:type="dxa"/>
            <w:vAlign w:val="center"/>
          </w:tcPr>
          <w:p>
            <w:pPr>
              <w:spacing w:line="600" w:lineRule="exact"/>
              <w:jc w:val="center"/>
              <w:rPr>
                <w:rFonts w:ascii="宋体" w:hAnsi="宋体"/>
                <w:color w:val="000000"/>
                <w:sz w:val="28"/>
                <w:szCs w:val="28"/>
              </w:rPr>
            </w:pPr>
            <w:r>
              <w:rPr>
                <w:rFonts w:ascii="宋体" w:hAnsi="宋体" w:cs="宋体"/>
                <w:color w:val="000000"/>
                <w:kern w:val="0"/>
                <w:sz w:val="28"/>
                <w:szCs w:val="28"/>
              </w:rPr>
              <w:t xml:space="preserve">3720030103 </w:t>
            </w:r>
          </w:p>
        </w:tc>
        <w:tc>
          <w:tcPr>
            <w:tcW w:w="2064" w:type="dxa"/>
          </w:tcPr>
          <w:p>
            <w:pPr>
              <w:spacing w:line="600" w:lineRule="exact"/>
              <w:rPr>
                <w:rFonts w:ascii="宋体" w:hAnsi="宋体"/>
                <w:color w:val="000000"/>
                <w:sz w:val="28"/>
                <w:szCs w:val="28"/>
              </w:rPr>
            </w:pPr>
          </w:p>
        </w:tc>
        <w:tc>
          <w:tcPr>
            <w:tcW w:w="3065" w:type="dxa"/>
            <w:vAlign w:val="center"/>
          </w:tcPr>
          <w:p>
            <w:pPr>
              <w:spacing w:line="600" w:lineRule="exact"/>
              <w:ind w:firstLine="570"/>
              <w:jc w:val="center"/>
              <w:rPr>
                <w:rFonts w:ascii="宋体" w:hAnsi="宋体"/>
                <w:color w:val="000000"/>
                <w:sz w:val="28"/>
                <w:szCs w:val="28"/>
              </w:rPr>
            </w:pPr>
            <w:r>
              <w:rPr>
                <w:rFonts w:hint="eastAsia" w:ascii="宋体" w:hAnsi="宋体"/>
                <w:color w:val="000000"/>
                <w:sz w:val="28"/>
                <w:szCs w:val="28"/>
              </w:rPr>
              <w:t>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2117"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 xml:space="preserve">张增坤 </w:t>
            </w:r>
          </w:p>
        </w:tc>
        <w:tc>
          <w:tcPr>
            <w:tcW w:w="2388" w:type="dxa"/>
            <w:vAlign w:val="center"/>
          </w:tcPr>
          <w:p>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064" w:type="dxa"/>
          </w:tcPr>
          <w:p>
            <w:pPr>
              <w:spacing w:line="600" w:lineRule="exact"/>
              <w:rPr>
                <w:rFonts w:ascii="宋体" w:hAnsi="宋体"/>
                <w:color w:val="000000"/>
                <w:sz w:val="28"/>
                <w:szCs w:val="28"/>
              </w:rPr>
            </w:pPr>
          </w:p>
        </w:tc>
        <w:tc>
          <w:tcPr>
            <w:tcW w:w="3065"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 xml:space="preserve">    年  月  日</w:t>
            </w:r>
          </w:p>
        </w:tc>
      </w:tr>
    </w:tbl>
    <w:p>
      <w:pPr>
        <w:spacing w:line="600" w:lineRule="exact"/>
        <w:ind w:firstLine="594" w:firstLineChars="200"/>
        <w:rPr>
          <w:rFonts w:ascii="宋体" w:hAnsi="宋体"/>
          <w:color w:val="000000"/>
          <w:sz w:val="28"/>
        </w:rPr>
      </w:pPr>
      <w:bookmarkStart w:id="120" w:name="_Toc16234445"/>
      <w:bookmarkStart w:id="121" w:name="_Toc27736472"/>
      <w:bookmarkStart w:id="122" w:name="_Toc17471996"/>
      <w:bookmarkStart w:id="123" w:name="_Toc28941840"/>
      <w:bookmarkStart w:id="124" w:name="_Toc16234183"/>
      <w:bookmarkStart w:id="125" w:name="_Toc19087064"/>
      <w:bookmarkStart w:id="126" w:name="_Toc24121743"/>
      <w:bookmarkStart w:id="127" w:name="_Toc17471965"/>
      <w:bookmarkStart w:id="128" w:name="_Toc37235832"/>
      <w:r>
        <w:rPr>
          <w:rStyle w:val="47"/>
          <w:rFonts w:hint="eastAsia"/>
        </w:rPr>
        <w:t>十二、实地查勘期</w:t>
      </w:r>
      <w:bookmarkEnd w:id="120"/>
      <w:bookmarkEnd w:id="121"/>
      <w:bookmarkEnd w:id="122"/>
      <w:bookmarkEnd w:id="123"/>
      <w:bookmarkEnd w:id="124"/>
      <w:bookmarkEnd w:id="125"/>
      <w:bookmarkEnd w:id="126"/>
      <w:bookmarkEnd w:id="127"/>
      <w:bookmarkEnd w:id="128"/>
      <w:r>
        <w:rPr>
          <w:rFonts w:hint="eastAsia" w:ascii="宋体" w:hAnsi="宋体"/>
          <w:b/>
          <w:color w:val="000000"/>
          <w:sz w:val="28"/>
        </w:rPr>
        <w:t>：</w:t>
      </w:r>
      <w:r>
        <w:rPr>
          <w:rFonts w:hint="eastAsia" w:ascii="宋体" w:hAnsi="宋体"/>
          <w:color w:val="000000"/>
          <w:sz w:val="28"/>
        </w:rPr>
        <w:t>2020年4月3日至2020年4月3日。</w:t>
      </w:r>
    </w:p>
    <w:p>
      <w:pPr>
        <w:spacing w:line="600" w:lineRule="exact"/>
        <w:ind w:firstLine="594" w:firstLineChars="200"/>
        <w:rPr>
          <w:rFonts w:ascii="宋体" w:hAnsi="宋体"/>
          <w:color w:val="000000"/>
          <w:sz w:val="28"/>
        </w:rPr>
      </w:pPr>
      <w:bookmarkStart w:id="129" w:name="_Toc19087065"/>
      <w:bookmarkStart w:id="130" w:name="_Toc16234184"/>
      <w:bookmarkStart w:id="131" w:name="_Toc17471966"/>
      <w:bookmarkStart w:id="132" w:name="_Toc17471997"/>
      <w:bookmarkStart w:id="133" w:name="_Toc28941841"/>
      <w:bookmarkStart w:id="134" w:name="_Toc16234446"/>
      <w:bookmarkStart w:id="135" w:name="_Toc27736473"/>
      <w:bookmarkStart w:id="136" w:name="_Toc24121744"/>
      <w:bookmarkStart w:id="137" w:name="_Toc37235833"/>
      <w:r>
        <w:rPr>
          <w:rStyle w:val="47"/>
          <w:rFonts w:hint="eastAsia"/>
        </w:rPr>
        <w:t>十三、估价作业期</w:t>
      </w:r>
      <w:bookmarkEnd w:id="129"/>
      <w:bookmarkEnd w:id="130"/>
      <w:bookmarkEnd w:id="131"/>
      <w:bookmarkEnd w:id="132"/>
      <w:bookmarkEnd w:id="133"/>
      <w:bookmarkEnd w:id="134"/>
      <w:bookmarkEnd w:id="135"/>
      <w:bookmarkEnd w:id="136"/>
      <w:bookmarkEnd w:id="137"/>
      <w:r>
        <w:rPr>
          <w:rFonts w:hint="eastAsia" w:ascii="宋体" w:hAnsi="宋体"/>
          <w:color w:val="000000"/>
          <w:sz w:val="28"/>
        </w:rPr>
        <w:t xml:space="preserve">：2020年4月3日至2020年4月8日。 </w:t>
      </w:r>
    </w:p>
    <w:p>
      <w:pPr>
        <w:spacing w:line="600" w:lineRule="exact"/>
        <w:ind w:firstLine="560" w:firstLineChars="200"/>
        <w:rPr>
          <w:rFonts w:ascii="宋体" w:hAnsi="宋体"/>
          <w:color w:val="000000"/>
          <w:sz w:val="28"/>
        </w:rPr>
      </w:pPr>
    </w:p>
    <w:p>
      <w:pPr>
        <w:spacing w:line="600" w:lineRule="exact"/>
        <w:ind w:firstLine="4200" w:firstLineChars="1500"/>
        <w:rPr>
          <w:rFonts w:ascii="宋体" w:hAnsi="宋体"/>
          <w:color w:val="000000"/>
          <w:sz w:val="28"/>
        </w:rPr>
      </w:pPr>
      <w:r>
        <w:rPr>
          <w:rFonts w:hint="eastAsia" w:ascii="宋体" w:hAnsi="宋体"/>
          <w:color w:val="000000"/>
          <w:sz w:val="28"/>
          <w:szCs w:val="28"/>
        </w:rPr>
        <w:t>山东成达土地房地产资产评估有限公司</w:t>
      </w:r>
    </w:p>
    <w:p>
      <w:pPr>
        <w:tabs>
          <w:tab w:val="left" w:pos="6030"/>
        </w:tabs>
        <w:spacing w:line="600" w:lineRule="exact"/>
        <w:jc w:val="center"/>
        <w:rPr>
          <w:rFonts w:ascii="宋体" w:hAnsi="宋体"/>
          <w:color w:val="000000"/>
          <w:sz w:val="28"/>
        </w:rPr>
      </w:pPr>
      <w:r>
        <w:rPr>
          <w:rFonts w:hint="eastAsia" w:ascii="宋体" w:hAnsi="宋体"/>
          <w:color w:val="000000"/>
          <w:sz w:val="28"/>
        </w:rPr>
        <w:t xml:space="preserve">                                二○二○年四月八日</w:t>
      </w:r>
    </w:p>
    <w:p>
      <w:pPr>
        <w:tabs>
          <w:tab w:val="left" w:pos="6030"/>
        </w:tabs>
        <w:spacing w:line="600" w:lineRule="exact"/>
        <w:jc w:val="center"/>
        <w:rPr>
          <w:rFonts w:ascii="宋体" w:hAnsi="宋体"/>
          <w:color w:val="000000"/>
          <w:sz w:val="28"/>
        </w:rPr>
      </w:pPr>
    </w:p>
    <w:p>
      <w:pPr>
        <w:tabs>
          <w:tab w:val="left" w:pos="6030"/>
        </w:tabs>
        <w:spacing w:line="600" w:lineRule="exact"/>
        <w:jc w:val="center"/>
        <w:rPr>
          <w:rFonts w:ascii="宋体" w:hAnsi="宋体"/>
          <w:color w:val="000000"/>
          <w:sz w:val="28"/>
        </w:rPr>
      </w:pPr>
    </w:p>
    <w:p>
      <w:pPr>
        <w:tabs>
          <w:tab w:val="left" w:pos="6030"/>
        </w:tabs>
        <w:spacing w:line="600" w:lineRule="exact"/>
        <w:jc w:val="center"/>
        <w:rPr>
          <w:rFonts w:ascii="宋体" w:hAnsi="宋体"/>
          <w:color w:val="000000"/>
          <w:sz w:val="28"/>
        </w:rPr>
      </w:pPr>
    </w:p>
    <w:p>
      <w:pPr>
        <w:tabs>
          <w:tab w:val="left" w:pos="6030"/>
        </w:tabs>
        <w:spacing w:line="600" w:lineRule="exact"/>
        <w:jc w:val="center"/>
        <w:rPr>
          <w:rFonts w:ascii="宋体" w:hAnsi="宋体"/>
          <w:color w:val="000000"/>
          <w:sz w:val="28"/>
        </w:rPr>
      </w:pPr>
    </w:p>
    <w:p>
      <w:pPr>
        <w:tabs>
          <w:tab w:val="left" w:pos="6030"/>
        </w:tabs>
        <w:spacing w:line="600" w:lineRule="exact"/>
        <w:jc w:val="center"/>
        <w:rPr>
          <w:rFonts w:ascii="宋体" w:hAnsi="宋体"/>
          <w:color w:val="000000"/>
          <w:sz w:val="28"/>
        </w:rPr>
      </w:pPr>
    </w:p>
    <w:p>
      <w:pPr>
        <w:tabs>
          <w:tab w:val="left" w:pos="6030"/>
        </w:tabs>
        <w:spacing w:line="600" w:lineRule="exact"/>
        <w:jc w:val="center"/>
        <w:rPr>
          <w:rFonts w:ascii="宋体" w:hAnsi="宋体"/>
          <w:color w:val="000000"/>
          <w:sz w:val="28"/>
        </w:rPr>
      </w:pPr>
    </w:p>
    <w:p>
      <w:pPr>
        <w:pStyle w:val="2"/>
        <w:rPr>
          <w:sz w:val="28"/>
          <w:lang w:val="en-US"/>
        </w:rPr>
      </w:pPr>
      <w:bookmarkStart w:id="138" w:name="_Toc24121745"/>
      <w:bookmarkStart w:id="139" w:name="_Toc16234447"/>
      <w:bookmarkStart w:id="140" w:name="_Toc19087066"/>
      <w:bookmarkStart w:id="141" w:name="_Toc16234185"/>
      <w:bookmarkStart w:id="142" w:name="_Toc27736474"/>
      <w:bookmarkStart w:id="143" w:name="_Toc17471998"/>
      <w:bookmarkStart w:id="144" w:name="_Toc17471967"/>
      <w:bookmarkStart w:id="145" w:name="_Toc28941842"/>
      <w:bookmarkStart w:id="146" w:name="_Toc37235834"/>
      <w:r>
        <w:rPr>
          <w:rFonts w:hint="eastAsia"/>
        </w:rPr>
        <w:t>附</w:t>
      </w:r>
      <w:r>
        <w:rPr>
          <w:rFonts w:hint="eastAsia"/>
          <w:lang w:val="en-US"/>
        </w:rPr>
        <w:t xml:space="preserve">   </w:t>
      </w:r>
      <w:r>
        <w:rPr>
          <w:rFonts w:hint="eastAsia"/>
        </w:rPr>
        <w:t>件</w:t>
      </w:r>
      <w:bookmarkEnd w:id="138"/>
      <w:bookmarkEnd w:id="139"/>
      <w:bookmarkEnd w:id="140"/>
      <w:bookmarkEnd w:id="141"/>
      <w:bookmarkEnd w:id="142"/>
      <w:bookmarkEnd w:id="143"/>
      <w:bookmarkEnd w:id="144"/>
      <w:bookmarkEnd w:id="145"/>
      <w:bookmarkEnd w:id="146"/>
    </w:p>
    <w:p>
      <w:pPr>
        <w:spacing w:line="600" w:lineRule="exact"/>
        <w:ind w:firstLine="560" w:firstLineChars="200"/>
        <w:rPr>
          <w:rFonts w:ascii="宋体" w:hAnsi="宋体"/>
          <w:color w:val="000000"/>
          <w:sz w:val="28"/>
        </w:rPr>
      </w:pPr>
      <w:r>
        <w:rPr>
          <w:rFonts w:hint="eastAsia" w:ascii="宋体" w:hAnsi="宋体"/>
          <w:color w:val="000000"/>
          <w:sz w:val="28"/>
        </w:rPr>
        <w:t>（一）估价对象位置图；</w:t>
      </w:r>
    </w:p>
    <w:p>
      <w:pPr>
        <w:spacing w:line="600" w:lineRule="exact"/>
        <w:ind w:firstLine="560" w:firstLineChars="200"/>
        <w:rPr>
          <w:rFonts w:ascii="宋体" w:hAnsi="宋体"/>
          <w:color w:val="000000"/>
          <w:sz w:val="28"/>
        </w:rPr>
      </w:pPr>
      <w:r>
        <w:rPr>
          <w:rFonts w:hint="eastAsia" w:ascii="宋体" w:hAnsi="宋体"/>
          <w:color w:val="000000"/>
          <w:sz w:val="28"/>
        </w:rPr>
        <w:t>（二）评估照片；</w:t>
      </w:r>
    </w:p>
    <w:p>
      <w:pPr>
        <w:spacing w:line="600" w:lineRule="exact"/>
        <w:ind w:firstLine="560" w:firstLineChars="200"/>
        <w:rPr>
          <w:rFonts w:ascii="宋体" w:hAnsi="宋体"/>
          <w:color w:val="000000"/>
          <w:sz w:val="28"/>
        </w:rPr>
      </w:pPr>
      <w:r>
        <w:rPr>
          <w:rFonts w:hint="eastAsia" w:ascii="宋体" w:hAnsi="宋体"/>
          <w:color w:val="000000"/>
          <w:sz w:val="28"/>
        </w:rPr>
        <w:t>（三）司法询价委托函（复印件）；</w:t>
      </w:r>
    </w:p>
    <w:p>
      <w:pPr>
        <w:spacing w:line="600" w:lineRule="exact"/>
        <w:rPr>
          <w:rFonts w:ascii="宋体" w:hAnsi="宋体"/>
          <w:color w:val="000000"/>
          <w:sz w:val="28"/>
        </w:rPr>
      </w:pPr>
      <w:r>
        <w:rPr>
          <w:rFonts w:hint="eastAsia" w:ascii="宋体" w:hAnsi="宋体"/>
          <w:color w:val="000000"/>
          <w:sz w:val="28"/>
        </w:rPr>
        <w:t xml:space="preserve">    （四）商品房买卖合同（复印件）；</w:t>
      </w:r>
    </w:p>
    <w:p>
      <w:pPr>
        <w:spacing w:line="600" w:lineRule="exact"/>
        <w:ind w:firstLine="560" w:firstLineChars="200"/>
        <w:rPr>
          <w:rFonts w:ascii="宋体" w:hAnsi="宋体"/>
          <w:color w:val="000000"/>
          <w:sz w:val="28"/>
        </w:rPr>
      </w:pPr>
      <w:r>
        <w:rPr>
          <w:rFonts w:hint="eastAsia" w:ascii="宋体" w:hAnsi="宋体"/>
          <w:color w:val="000000"/>
          <w:sz w:val="28"/>
        </w:rPr>
        <w:t>（五）估价机构营业执照（复印件）；</w:t>
      </w:r>
    </w:p>
    <w:p>
      <w:pPr>
        <w:spacing w:line="600" w:lineRule="exact"/>
        <w:ind w:firstLine="560" w:firstLineChars="200"/>
        <w:rPr>
          <w:rFonts w:ascii="宋体" w:hAnsi="宋体"/>
          <w:color w:val="000000"/>
          <w:sz w:val="28"/>
        </w:rPr>
      </w:pPr>
      <w:r>
        <w:rPr>
          <w:rFonts w:hint="eastAsia" w:ascii="宋体" w:hAnsi="宋体"/>
          <w:color w:val="000000"/>
          <w:sz w:val="28"/>
        </w:rPr>
        <w:t>（六）估价机构资质证书（复印件）；</w:t>
      </w:r>
    </w:p>
    <w:p>
      <w:pPr>
        <w:spacing w:line="600" w:lineRule="exact"/>
        <w:ind w:firstLine="560" w:firstLineChars="200"/>
        <w:rPr>
          <w:rFonts w:ascii="宋体" w:hAnsi="宋体"/>
          <w:color w:val="000000"/>
          <w:sz w:val="28"/>
        </w:rPr>
      </w:pPr>
      <w:r>
        <w:rPr>
          <w:rFonts w:hint="eastAsia" w:ascii="宋体" w:hAnsi="宋体"/>
          <w:color w:val="000000"/>
          <w:sz w:val="28"/>
        </w:rPr>
        <w:t>（七）注册房地产估价师证书（复印件）。</w:t>
      </w: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17</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spacing w:val="2"/>
      </w:rPr>
    </w:pPr>
    <w:r>
      <w:rPr>
        <w:rFonts w:hint="eastAsia"/>
        <w:spacing w:val="2"/>
      </w:rPr>
      <w:t>山东成达土地房地产资产评估有限公司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C2F"/>
    <w:rsid w:val="00000C4D"/>
    <w:rsid w:val="0000170D"/>
    <w:rsid w:val="00002026"/>
    <w:rsid w:val="00003D9F"/>
    <w:rsid w:val="00004023"/>
    <w:rsid w:val="00005886"/>
    <w:rsid w:val="00005FB4"/>
    <w:rsid w:val="00007A62"/>
    <w:rsid w:val="00010F62"/>
    <w:rsid w:val="00012EDF"/>
    <w:rsid w:val="00015650"/>
    <w:rsid w:val="00016115"/>
    <w:rsid w:val="000168C1"/>
    <w:rsid w:val="00016EFA"/>
    <w:rsid w:val="00016F0A"/>
    <w:rsid w:val="0002000C"/>
    <w:rsid w:val="0002051D"/>
    <w:rsid w:val="00021C48"/>
    <w:rsid w:val="00025195"/>
    <w:rsid w:val="000305C3"/>
    <w:rsid w:val="00030B0B"/>
    <w:rsid w:val="00032224"/>
    <w:rsid w:val="00032C2E"/>
    <w:rsid w:val="00034CC1"/>
    <w:rsid w:val="000360E3"/>
    <w:rsid w:val="00037DEF"/>
    <w:rsid w:val="00042C8A"/>
    <w:rsid w:val="0004634E"/>
    <w:rsid w:val="0004784D"/>
    <w:rsid w:val="00053C17"/>
    <w:rsid w:val="0005425B"/>
    <w:rsid w:val="00054DA5"/>
    <w:rsid w:val="0005752D"/>
    <w:rsid w:val="000604CD"/>
    <w:rsid w:val="000614AE"/>
    <w:rsid w:val="00061CB4"/>
    <w:rsid w:val="00062019"/>
    <w:rsid w:val="0006391F"/>
    <w:rsid w:val="000642AA"/>
    <w:rsid w:val="00064833"/>
    <w:rsid w:val="0006512B"/>
    <w:rsid w:val="0006578B"/>
    <w:rsid w:val="00071382"/>
    <w:rsid w:val="000728D6"/>
    <w:rsid w:val="00073676"/>
    <w:rsid w:val="00073EA7"/>
    <w:rsid w:val="0007437B"/>
    <w:rsid w:val="0007440F"/>
    <w:rsid w:val="00075F8C"/>
    <w:rsid w:val="00080BED"/>
    <w:rsid w:val="000812E6"/>
    <w:rsid w:val="00081857"/>
    <w:rsid w:val="00081E46"/>
    <w:rsid w:val="00084AB6"/>
    <w:rsid w:val="000862B8"/>
    <w:rsid w:val="0008797E"/>
    <w:rsid w:val="00090CA8"/>
    <w:rsid w:val="00091F1C"/>
    <w:rsid w:val="00092040"/>
    <w:rsid w:val="00096016"/>
    <w:rsid w:val="00097A53"/>
    <w:rsid w:val="000A0D60"/>
    <w:rsid w:val="000A252E"/>
    <w:rsid w:val="000A2AE5"/>
    <w:rsid w:val="000A41EC"/>
    <w:rsid w:val="000A7387"/>
    <w:rsid w:val="000A7F64"/>
    <w:rsid w:val="000B0F36"/>
    <w:rsid w:val="000B20CB"/>
    <w:rsid w:val="000B246A"/>
    <w:rsid w:val="000B26FC"/>
    <w:rsid w:val="000B2F71"/>
    <w:rsid w:val="000B3128"/>
    <w:rsid w:val="000B5631"/>
    <w:rsid w:val="000B5868"/>
    <w:rsid w:val="000B59F1"/>
    <w:rsid w:val="000B6EA8"/>
    <w:rsid w:val="000B6EFE"/>
    <w:rsid w:val="000B748C"/>
    <w:rsid w:val="000B77A8"/>
    <w:rsid w:val="000B7971"/>
    <w:rsid w:val="000B7AF8"/>
    <w:rsid w:val="000B7DA2"/>
    <w:rsid w:val="000B7ECC"/>
    <w:rsid w:val="000C0182"/>
    <w:rsid w:val="000C03FB"/>
    <w:rsid w:val="000C0DE3"/>
    <w:rsid w:val="000C0F8D"/>
    <w:rsid w:val="000C146F"/>
    <w:rsid w:val="000C2235"/>
    <w:rsid w:val="000C29AD"/>
    <w:rsid w:val="000C636F"/>
    <w:rsid w:val="000D2D43"/>
    <w:rsid w:val="000D5EDA"/>
    <w:rsid w:val="000D6A66"/>
    <w:rsid w:val="000D6FA3"/>
    <w:rsid w:val="000D7000"/>
    <w:rsid w:val="000D727D"/>
    <w:rsid w:val="000D7671"/>
    <w:rsid w:val="000E30B1"/>
    <w:rsid w:val="000E30BD"/>
    <w:rsid w:val="000E441B"/>
    <w:rsid w:val="000E4697"/>
    <w:rsid w:val="000E5120"/>
    <w:rsid w:val="000E5652"/>
    <w:rsid w:val="000E597C"/>
    <w:rsid w:val="000F07D6"/>
    <w:rsid w:val="000F0B24"/>
    <w:rsid w:val="000F294C"/>
    <w:rsid w:val="000F3587"/>
    <w:rsid w:val="000F3C0B"/>
    <w:rsid w:val="000F41B9"/>
    <w:rsid w:val="000F59E2"/>
    <w:rsid w:val="00100FE6"/>
    <w:rsid w:val="001030D5"/>
    <w:rsid w:val="0011000E"/>
    <w:rsid w:val="001109E5"/>
    <w:rsid w:val="001110A5"/>
    <w:rsid w:val="00111456"/>
    <w:rsid w:val="00111A18"/>
    <w:rsid w:val="00111A4F"/>
    <w:rsid w:val="001127BA"/>
    <w:rsid w:val="00113970"/>
    <w:rsid w:val="0011486C"/>
    <w:rsid w:val="00115AAD"/>
    <w:rsid w:val="0011601A"/>
    <w:rsid w:val="00116C62"/>
    <w:rsid w:val="001205D1"/>
    <w:rsid w:val="00121715"/>
    <w:rsid w:val="00121AE5"/>
    <w:rsid w:val="0012323E"/>
    <w:rsid w:val="00124126"/>
    <w:rsid w:val="00124D5A"/>
    <w:rsid w:val="00125BF9"/>
    <w:rsid w:val="0012787C"/>
    <w:rsid w:val="00127A1C"/>
    <w:rsid w:val="0013232A"/>
    <w:rsid w:val="00136735"/>
    <w:rsid w:val="00137304"/>
    <w:rsid w:val="0013744F"/>
    <w:rsid w:val="00137A09"/>
    <w:rsid w:val="001406BB"/>
    <w:rsid w:val="00141501"/>
    <w:rsid w:val="00141D42"/>
    <w:rsid w:val="00142278"/>
    <w:rsid w:val="0014283E"/>
    <w:rsid w:val="00142B89"/>
    <w:rsid w:val="00143770"/>
    <w:rsid w:val="00143F20"/>
    <w:rsid w:val="001477FF"/>
    <w:rsid w:val="00147C1F"/>
    <w:rsid w:val="00152A20"/>
    <w:rsid w:val="00152A2D"/>
    <w:rsid w:val="00153B23"/>
    <w:rsid w:val="00154727"/>
    <w:rsid w:val="00155D74"/>
    <w:rsid w:val="00157842"/>
    <w:rsid w:val="00157959"/>
    <w:rsid w:val="00160CC1"/>
    <w:rsid w:val="0016147D"/>
    <w:rsid w:val="0016204C"/>
    <w:rsid w:val="001628C5"/>
    <w:rsid w:val="0016385C"/>
    <w:rsid w:val="00163EDD"/>
    <w:rsid w:val="00164ADC"/>
    <w:rsid w:val="001661A7"/>
    <w:rsid w:val="00170179"/>
    <w:rsid w:val="00170662"/>
    <w:rsid w:val="00170A5D"/>
    <w:rsid w:val="00172A27"/>
    <w:rsid w:val="001750C6"/>
    <w:rsid w:val="00177457"/>
    <w:rsid w:val="001775BC"/>
    <w:rsid w:val="00180AC9"/>
    <w:rsid w:val="00181676"/>
    <w:rsid w:val="001857F3"/>
    <w:rsid w:val="00185A4B"/>
    <w:rsid w:val="00185FF0"/>
    <w:rsid w:val="00186037"/>
    <w:rsid w:val="00186371"/>
    <w:rsid w:val="001878DA"/>
    <w:rsid w:val="00190672"/>
    <w:rsid w:val="00190DFA"/>
    <w:rsid w:val="00190EAF"/>
    <w:rsid w:val="0019199F"/>
    <w:rsid w:val="00191C48"/>
    <w:rsid w:val="00193283"/>
    <w:rsid w:val="001932A9"/>
    <w:rsid w:val="00193F6D"/>
    <w:rsid w:val="001947EE"/>
    <w:rsid w:val="00194962"/>
    <w:rsid w:val="00195709"/>
    <w:rsid w:val="0019767D"/>
    <w:rsid w:val="001A1290"/>
    <w:rsid w:val="001A3DCA"/>
    <w:rsid w:val="001A55C1"/>
    <w:rsid w:val="001A5C76"/>
    <w:rsid w:val="001A6034"/>
    <w:rsid w:val="001A6CA6"/>
    <w:rsid w:val="001A7505"/>
    <w:rsid w:val="001B0E84"/>
    <w:rsid w:val="001B1179"/>
    <w:rsid w:val="001B12B9"/>
    <w:rsid w:val="001B23C3"/>
    <w:rsid w:val="001B2983"/>
    <w:rsid w:val="001B2D44"/>
    <w:rsid w:val="001B4B32"/>
    <w:rsid w:val="001B7F3A"/>
    <w:rsid w:val="001C1753"/>
    <w:rsid w:val="001C179C"/>
    <w:rsid w:val="001C1CE2"/>
    <w:rsid w:val="001C2719"/>
    <w:rsid w:val="001C5949"/>
    <w:rsid w:val="001C5ED4"/>
    <w:rsid w:val="001C6808"/>
    <w:rsid w:val="001C6C21"/>
    <w:rsid w:val="001C6F88"/>
    <w:rsid w:val="001C7664"/>
    <w:rsid w:val="001D0F9F"/>
    <w:rsid w:val="001D0FAB"/>
    <w:rsid w:val="001D1BE6"/>
    <w:rsid w:val="001D1DFC"/>
    <w:rsid w:val="001D1E38"/>
    <w:rsid w:val="001D204D"/>
    <w:rsid w:val="001D3947"/>
    <w:rsid w:val="001D501E"/>
    <w:rsid w:val="001D68E3"/>
    <w:rsid w:val="001E04BD"/>
    <w:rsid w:val="001E0682"/>
    <w:rsid w:val="001E081C"/>
    <w:rsid w:val="001E0EA5"/>
    <w:rsid w:val="001E1476"/>
    <w:rsid w:val="001E15EB"/>
    <w:rsid w:val="001E19D1"/>
    <w:rsid w:val="001E25B4"/>
    <w:rsid w:val="001E3E89"/>
    <w:rsid w:val="001E583B"/>
    <w:rsid w:val="001E666A"/>
    <w:rsid w:val="001E718C"/>
    <w:rsid w:val="001F4F32"/>
    <w:rsid w:val="001F54EE"/>
    <w:rsid w:val="001F6182"/>
    <w:rsid w:val="001F7458"/>
    <w:rsid w:val="002017D6"/>
    <w:rsid w:val="00204576"/>
    <w:rsid w:val="00205204"/>
    <w:rsid w:val="00207E1C"/>
    <w:rsid w:val="0021029E"/>
    <w:rsid w:val="00212168"/>
    <w:rsid w:val="00215F2F"/>
    <w:rsid w:val="00216890"/>
    <w:rsid w:val="00216E44"/>
    <w:rsid w:val="00217984"/>
    <w:rsid w:val="0022052F"/>
    <w:rsid w:val="00221B48"/>
    <w:rsid w:val="0022273B"/>
    <w:rsid w:val="00223F8B"/>
    <w:rsid w:val="00224F7C"/>
    <w:rsid w:val="00225CE1"/>
    <w:rsid w:val="00227C96"/>
    <w:rsid w:val="0023001D"/>
    <w:rsid w:val="00232331"/>
    <w:rsid w:val="002335F8"/>
    <w:rsid w:val="00233A2D"/>
    <w:rsid w:val="0023541C"/>
    <w:rsid w:val="00237609"/>
    <w:rsid w:val="00240DBE"/>
    <w:rsid w:val="00242E9D"/>
    <w:rsid w:val="0024399E"/>
    <w:rsid w:val="00244D7B"/>
    <w:rsid w:val="00245FE5"/>
    <w:rsid w:val="002466F8"/>
    <w:rsid w:val="0024722F"/>
    <w:rsid w:val="002476B7"/>
    <w:rsid w:val="0025010E"/>
    <w:rsid w:val="00250E2F"/>
    <w:rsid w:val="00251670"/>
    <w:rsid w:val="002519CD"/>
    <w:rsid w:val="00251A3A"/>
    <w:rsid w:val="0025206F"/>
    <w:rsid w:val="00252CD4"/>
    <w:rsid w:val="0025354B"/>
    <w:rsid w:val="00253CB8"/>
    <w:rsid w:val="0025483A"/>
    <w:rsid w:val="00261FEE"/>
    <w:rsid w:val="00264681"/>
    <w:rsid w:val="00265FFB"/>
    <w:rsid w:val="00266C94"/>
    <w:rsid w:val="00266E74"/>
    <w:rsid w:val="00267227"/>
    <w:rsid w:val="00267847"/>
    <w:rsid w:val="0027084F"/>
    <w:rsid w:val="0027087D"/>
    <w:rsid w:val="00270A7F"/>
    <w:rsid w:val="00271488"/>
    <w:rsid w:val="002731A7"/>
    <w:rsid w:val="00274D9D"/>
    <w:rsid w:val="00275CC6"/>
    <w:rsid w:val="0027608C"/>
    <w:rsid w:val="002764FB"/>
    <w:rsid w:val="002778D0"/>
    <w:rsid w:val="0028090A"/>
    <w:rsid w:val="00280EDC"/>
    <w:rsid w:val="0028183D"/>
    <w:rsid w:val="00281A8B"/>
    <w:rsid w:val="00282DF3"/>
    <w:rsid w:val="00283D29"/>
    <w:rsid w:val="0028472A"/>
    <w:rsid w:val="002858D6"/>
    <w:rsid w:val="00286EF7"/>
    <w:rsid w:val="002875CC"/>
    <w:rsid w:val="00287798"/>
    <w:rsid w:val="00291732"/>
    <w:rsid w:val="00295947"/>
    <w:rsid w:val="00295F73"/>
    <w:rsid w:val="0029651B"/>
    <w:rsid w:val="00296932"/>
    <w:rsid w:val="002A122F"/>
    <w:rsid w:val="002A18AB"/>
    <w:rsid w:val="002A1931"/>
    <w:rsid w:val="002A2A62"/>
    <w:rsid w:val="002A3865"/>
    <w:rsid w:val="002A74D0"/>
    <w:rsid w:val="002B000F"/>
    <w:rsid w:val="002B0861"/>
    <w:rsid w:val="002B08A1"/>
    <w:rsid w:val="002B08CC"/>
    <w:rsid w:val="002B12EA"/>
    <w:rsid w:val="002B13B3"/>
    <w:rsid w:val="002B1B7C"/>
    <w:rsid w:val="002B1EF2"/>
    <w:rsid w:val="002B2A27"/>
    <w:rsid w:val="002B2ACB"/>
    <w:rsid w:val="002B377B"/>
    <w:rsid w:val="002B4271"/>
    <w:rsid w:val="002C03ED"/>
    <w:rsid w:val="002C3523"/>
    <w:rsid w:val="002C44A6"/>
    <w:rsid w:val="002C5E41"/>
    <w:rsid w:val="002C6B5A"/>
    <w:rsid w:val="002D0B43"/>
    <w:rsid w:val="002D2BFF"/>
    <w:rsid w:val="002D2C61"/>
    <w:rsid w:val="002D3066"/>
    <w:rsid w:val="002D31EE"/>
    <w:rsid w:val="002D3220"/>
    <w:rsid w:val="002D6CAA"/>
    <w:rsid w:val="002D7B31"/>
    <w:rsid w:val="002E0F69"/>
    <w:rsid w:val="002E34E3"/>
    <w:rsid w:val="002E3A44"/>
    <w:rsid w:val="002E54CC"/>
    <w:rsid w:val="002E5799"/>
    <w:rsid w:val="002E5818"/>
    <w:rsid w:val="002E6354"/>
    <w:rsid w:val="002E771A"/>
    <w:rsid w:val="002E7D76"/>
    <w:rsid w:val="002F0A22"/>
    <w:rsid w:val="002F0AAB"/>
    <w:rsid w:val="002F0CD2"/>
    <w:rsid w:val="002F4C21"/>
    <w:rsid w:val="002F50A2"/>
    <w:rsid w:val="002F54E7"/>
    <w:rsid w:val="00301861"/>
    <w:rsid w:val="00301AC0"/>
    <w:rsid w:val="00302073"/>
    <w:rsid w:val="00305EFE"/>
    <w:rsid w:val="00305FE7"/>
    <w:rsid w:val="00306DC2"/>
    <w:rsid w:val="00306E0F"/>
    <w:rsid w:val="00306EDB"/>
    <w:rsid w:val="00307CD0"/>
    <w:rsid w:val="003100E1"/>
    <w:rsid w:val="00310596"/>
    <w:rsid w:val="00311F6C"/>
    <w:rsid w:val="00312C74"/>
    <w:rsid w:val="00314858"/>
    <w:rsid w:val="0031539F"/>
    <w:rsid w:val="00316060"/>
    <w:rsid w:val="003164AA"/>
    <w:rsid w:val="00317A3F"/>
    <w:rsid w:val="003206F4"/>
    <w:rsid w:val="0032189F"/>
    <w:rsid w:val="0032268B"/>
    <w:rsid w:val="003248ED"/>
    <w:rsid w:val="00324A0A"/>
    <w:rsid w:val="0032521F"/>
    <w:rsid w:val="00326D94"/>
    <w:rsid w:val="003276CC"/>
    <w:rsid w:val="0033099D"/>
    <w:rsid w:val="00331429"/>
    <w:rsid w:val="003317CB"/>
    <w:rsid w:val="00331C54"/>
    <w:rsid w:val="003325A9"/>
    <w:rsid w:val="003334A5"/>
    <w:rsid w:val="00333ED0"/>
    <w:rsid w:val="003364C5"/>
    <w:rsid w:val="003374BA"/>
    <w:rsid w:val="0033751D"/>
    <w:rsid w:val="0034291A"/>
    <w:rsid w:val="00342BD4"/>
    <w:rsid w:val="00347900"/>
    <w:rsid w:val="00347FCF"/>
    <w:rsid w:val="00350591"/>
    <w:rsid w:val="00350A05"/>
    <w:rsid w:val="00351CC4"/>
    <w:rsid w:val="00353F94"/>
    <w:rsid w:val="00354C3A"/>
    <w:rsid w:val="00356241"/>
    <w:rsid w:val="00360AC3"/>
    <w:rsid w:val="00362475"/>
    <w:rsid w:val="00363896"/>
    <w:rsid w:val="003655B1"/>
    <w:rsid w:val="00365F52"/>
    <w:rsid w:val="00371A42"/>
    <w:rsid w:val="00373152"/>
    <w:rsid w:val="00374A0A"/>
    <w:rsid w:val="00374F25"/>
    <w:rsid w:val="0037573F"/>
    <w:rsid w:val="003760C1"/>
    <w:rsid w:val="00376B4C"/>
    <w:rsid w:val="00377A6D"/>
    <w:rsid w:val="00381C96"/>
    <w:rsid w:val="003839AB"/>
    <w:rsid w:val="003845C1"/>
    <w:rsid w:val="00384D00"/>
    <w:rsid w:val="0038520F"/>
    <w:rsid w:val="0038549E"/>
    <w:rsid w:val="00385B42"/>
    <w:rsid w:val="00386CA0"/>
    <w:rsid w:val="00390192"/>
    <w:rsid w:val="0039080F"/>
    <w:rsid w:val="0039199E"/>
    <w:rsid w:val="00392167"/>
    <w:rsid w:val="00393924"/>
    <w:rsid w:val="0039458E"/>
    <w:rsid w:val="0039463D"/>
    <w:rsid w:val="0039680B"/>
    <w:rsid w:val="003A27D4"/>
    <w:rsid w:val="003A75E7"/>
    <w:rsid w:val="003B4F2A"/>
    <w:rsid w:val="003B5B65"/>
    <w:rsid w:val="003B5BC8"/>
    <w:rsid w:val="003B5C4E"/>
    <w:rsid w:val="003B7440"/>
    <w:rsid w:val="003C0EA2"/>
    <w:rsid w:val="003C165D"/>
    <w:rsid w:val="003C2532"/>
    <w:rsid w:val="003C3C78"/>
    <w:rsid w:val="003C3E48"/>
    <w:rsid w:val="003C3F40"/>
    <w:rsid w:val="003C4F77"/>
    <w:rsid w:val="003C709F"/>
    <w:rsid w:val="003C7E58"/>
    <w:rsid w:val="003C7F3D"/>
    <w:rsid w:val="003D00E5"/>
    <w:rsid w:val="003D0FBE"/>
    <w:rsid w:val="003D16FD"/>
    <w:rsid w:val="003D20E9"/>
    <w:rsid w:val="003D3C9E"/>
    <w:rsid w:val="003E2172"/>
    <w:rsid w:val="003E2600"/>
    <w:rsid w:val="003E2795"/>
    <w:rsid w:val="003E2C88"/>
    <w:rsid w:val="003E408F"/>
    <w:rsid w:val="003E4BBE"/>
    <w:rsid w:val="003F024E"/>
    <w:rsid w:val="003F0472"/>
    <w:rsid w:val="003F274D"/>
    <w:rsid w:val="003F32F4"/>
    <w:rsid w:val="003F3662"/>
    <w:rsid w:val="00400772"/>
    <w:rsid w:val="00403579"/>
    <w:rsid w:val="00404BE1"/>
    <w:rsid w:val="00404DD7"/>
    <w:rsid w:val="00404F93"/>
    <w:rsid w:val="00406201"/>
    <w:rsid w:val="004075C7"/>
    <w:rsid w:val="00407E65"/>
    <w:rsid w:val="00412198"/>
    <w:rsid w:val="00412C6A"/>
    <w:rsid w:val="00412ED8"/>
    <w:rsid w:val="00413A99"/>
    <w:rsid w:val="00414A1B"/>
    <w:rsid w:val="00420DA3"/>
    <w:rsid w:val="00424E8C"/>
    <w:rsid w:val="00424F54"/>
    <w:rsid w:val="00426659"/>
    <w:rsid w:val="00426709"/>
    <w:rsid w:val="00426D68"/>
    <w:rsid w:val="004272C2"/>
    <w:rsid w:val="0043054F"/>
    <w:rsid w:val="00432AD9"/>
    <w:rsid w:val="004351A0"/>
    <w:rsid w:val="00436B17"/>
    <w:rsid w:val="004373A6"/>
    <w:rsid w:val="0043748D"/>
    <w:rsid w:val="004377F1"/>
    <w:rsid w:val="00437ECA"/>
    <w:rsid w:val="00440C5F"/>
    <w:rsid w:val="00441C74"/>
    <w:rsid w:val="004437F7"/>
    <w:rsid w:val="004448FB"/>
    <w:rsid w:val="00444A1C"/>
    <w:rsid w:val="00445BA2"/>
    <w:rsid w:val="00446587"/>
    <w:rsid w:val="00446FE5"/>
    <w:rsid w:val="004479F8"/>
    <w:rsid w:val="0045080A"/>
    <w:rsid w:val="00452EB5"/>
    <w:rsid w:val="004535F3"/>
    <w:rsid w:val="00454307"/>
    <w:rsid w:val="0045580A"/>
    <w:rsid w:val="00455D2E"/>
    <w:rsid w:val="0045755B"/>
    <w:rsid w:val="004600E2"/>
    <w:rsid w:val="0046192F"/>
    <w:rsid w:val="00463016"/>
    <w:rsid w:val="0046397D"/>
    <w:rsid w:val="00464AD9"/>
    <w:rsid w:val="00467811"/>
    <w:rsid w:val="004701DA"/>
    <w:rsid w:val="00473375"/>
    <w:rsid w:val="00473971"/>
    <w:rsid w:val="00475F35"/>
    <w:rsid w:val="00480F65"/>
    <w:rsid w:val="004812DF"/>
    <w:rsid w:val="00481DE5"/>
    <w:rsid w:val="00482493"/>
    <w:rsid w:val="0048325E"/>
    <w:rsid w:val="00483389"/>
    <w:rsid w:val="00486E75"/>
    <w:rsid w:val="00486F5F"/>
    <w:rsid w:val="0049185E"/>
    <w:rsid w:val="00492D7A"/>
    <w:rsid w:val="00493B3E"/>
    <w:rsid w:val="004A2A1B"/>
    <w:rsid w:val="004A35D7"/>
    <w:rsid w:val="004A5491"/>
    <w:rsid w:val="004A5851"/>
    <w:rsid w:val="004A5DF6"/>
    <w:rsid w:val="004A6FA6"/>
    <w:rsid w:val="004B155E"/>
    <w:rsid w:val="004B1F3B"/>
    <w:rsid w:val="004B2687"/>
    <w:rsid w:val="004B29D5"/>
    <w:rsid w:val="004B367B"/>
    <w:rsid w:val="004B4A68"/>
    <w:rsid w:val="004B4C25"/>
    <w:rsid w:val="004B589B"/>
    <w:rsid w:val="004B6247"/>
    <w:rsid w:val="004B6434"/>
    <w:rsid w:val="004B6C44"/>
    <w:rsid w:val="004B7EAD"/>
    <w:rsid w:val="004C0ADF"/>
    <w:rsid w:val="004C14EF"/>
    <w:rsid w:val="004C156A"/>
    <w:rsid w:val="004C3319"/>
    <w:rsid w:val="004C52CC"/>
    <w:rsid w:val="004C63E0"/>
    <w:rsid w:val="004C65B6"/>
    <w:rsid w:val="004D09BD"/>
    <w:rsid w:val="004D0AE3"/>
    <w:rsid w:val="004D1297"/>
    <w:rsid w:val="004D26C0"/>
    <w:rsid w:val="004D2AF1"/>
    <w:rsid w:val="004D3241"/>
    <w:rsid w:val="004D3CA9"/>
    <w:rsid w:val="004D4096"/>
    <w:rsid w:val="004D459C"/>
    <w:rsid w:val="004D6A23"/>
    <w:rsid w:val="004E1081"/>
    <w:rsid w:val="004E421E"/>
    <w:rsid w:val="004E488F"/>
    <w:rsid w:val="004E527E"/>
    <w:rsid w:val="004E641F"/>
    <w:rsid w:val="004F475C"/>
    <w:rsid w:val="004F4DCB"/>
    <w:rsid w:val="004F5210"/>
    <w:rsid w:val="004F6E3D"/>
    <w:rsid w:val="0050052A"/>
    <w:rsid w:val="0050144D"/>
    <w:rsid w:val="00501784"/>
    <w:rsid w:val="00501F2F"/>
    <w:rsid w:val="00502167"/>
    <w:rsid w:val="00504538"/>
    <w:rsid w:val="005054D3"/>
    <w:rsid w:val="0050726F"/>
    <w:rsid w:val="00507BA7"/>
    <w:rsid w:val="00507E83"/>
    <w:rsid w:val="00510354"/>
    <w:rsid w:val="00510D7E"/>
    <w:rsid w:val="00511E8E"/>
    <w:rsid w:val="00514178"/>
    <w:rsid w:val="00514265"/>
    <w:rsid w:val="005146EA"/>
    <w:rsid w:val="005149AA"/>
    <w:rsid w:val="0051556F"/>
    <w:rsid w:val="00515713"/>
    <w:rsid w:val="0052033C"/>
    <w:rsid w:val="005210EC"/>
    <w:rsid w:val="00524607"/>
    <w:rsid w:val="0052551E"/>
    <w:rsid w:val="0052672D"/>
    <w:rsid w:val="00527B4E"/>
    <w:rsid w:val="00530E34"/>
    <w:rsid w:val="005315FC"/>
    <w:rsid w:val="00533082"/>
    <w:rsid w:val="0053370D"/>
    <w:rsid w:val="005337EA"/>
    <w:rsid w:val="00534108"/>
    <w:rsid w:val="00534181"/>
    <w:rsid w:val="00535618"/>
    <w:rsid w:val="005356E7"/>
    <w:rsid w:val="0053752D"/>
    <w:rsid w:val="005413BC"/>
    <w:rsid w:val="00541C17"/>
    <w:rsid w:val="005426A4"/>
    <w:rsid w:val="00542828"/>
    <w:rsid w:val="005435B2"/>
    <w:rsid w:val="00543941"/>
    <w:rsid w:val="00544208"/>
    <w:rsid w:val="00546F9C"/>
    <w:rsid w:val="005515BF"/>
    <w:rsid w:val="00552F54"/>
    <w:rsid w:val="0055752D"/>
    <w:rsid w:val="00557E99"/>
    <w:rsid w:val="00561CF0"/>
    <w:rsid w:val="00562C37"/>
    <w:rsid w:val="005642FE"/>
    <w:rsid w:val="0056465A"/>
    <w:rsid w:val="00565AE0"/>
    <w:rsid w:val="00570006"/>
    <w:rsid w:val="00570945"/>
    <w:rsid w:val="00570AA1"/>
    <w:rsid w:val="0057384C"/>
    <w:rsid w:val="00575F34"/>
    <w:rsid w:val="005805FD"/>
    <w:rsid w:val="00580660"/>
    <w:rsid w:val="00580BFD"/>
    <w:rsid w:val="00580F11"/>
    <w:rsid w:val="005812EA"/>
    <w:rsid w:val="005817FF"/>
    <w:rsid w:val="0058244A"/>
    <w:rsid w:val="00583240"/>
    <w:rsid w:val="00583A5A"/>
    <w:rsid w:val="0058404A"/>
    <w:rsid w:val="00584607"/>
    <w:rsid w:val="00584B25"/>
    <w:rsid w:val="00584BC5"/>
    <w:rsid w:val="00585E78"/>
    <w:rsid w:val="00586F95"/>
    <w:rsid w:val="005874FC"/>
    <w:rsid w:val="00587BB1"/>
    <w:rsid w:val="00587BC4"/>
    <w:rsid w:val="005900FA"/>
    <w:rsid w:val="0059619D"/>
    <w:rsid w:val="005968F3"/>
    <w:rsid w:val="00596D01"/>
    <w:rsid w:val="005A0DBC"/>
    <w:rsid w:val="005A0FC6"/>
    <w:rsid w:val="005A2302"/>
    <w:rsid w:val="005A362F"/>
    <w:rsid w:val="005A399A"/>
    <w:rsid w:val="005A4DA5"/>
    <w:rsid w:val="005A569A"/>
    <w:rsid w:val="005A595F"/>
    <w:rsid w:val="005B0ED1"/>
    <w:rsid w:val="005B1B8E"/>
    <w:rsid w:val="005B26A1"/>
    <w:rsid w:val="005B2CBC"/>
    <w:rsid w:val="005B32CE"/>
    <w:rsid w:val="005B587E"/>
    <w:rsid w:val="005C3AC6"/>
    <w:rsid w:val="005C6552"/>
    <w:rsid w:val="005C7936"/>
    <w:rsid w:val="005D0E4D"/>
    <w:rsid w:val="005D11E5"/>
    <w:rsid w:val="005D606A"/>
    <w:rsid w:val="005E1A03"/>
    <w:rsid w:val="005E3CA6"/>
    <w:rsid w:val="005E490C"/>
    <w:rsid w:val="005E6DCA"/>
    <w:rsid w:val="005E767A"/>
    <w:rsid w:val="005F00FD"/>
    <w:rsid w:val="005F09E1"/>
    <w:rsid w:val="005F38F7"/>
    <w:rsid w:val="005F4321"/>
    <w:rsid w:val="0060076E"/>
    <w:rsid w:val="00600895"/>
    <w:rsid w:val="00600971"/>
    <w:rsid w:val="00601B6E"/>
    <w:rsid w:val="006027DF"/>
    <w:rsid w:val="00604223"/>
    <w:rsid w:val="00604B32"/>
    <w:rsid w:val="006055AE"/>
    <w:rsid w:val="006073FC"/>
    <w:rsid w:val="0061074E"/>
    <w:rsid w:val="00611B7A"/>
    <w:rsid w:val="00611F59"/>
    <w:rsid w:val="006130D1"/>
    <w:rsid w:val="00613236"/>
    <w:rsid w:val="00614A3B"/>
    <w:rsid w:val="00614E34"/>
    <w:rsid w:val="006153AE"/>
    <w:rsid w:val="00617AAD"/>
    <w:rsid w:val="00617C65"/>
    <w:rsid w:val="006205AD"/>
    <w:rsid w:val="00620CD4"/>
    <w:rsid w:val="00622E5F"/>
    <w:rsid w:val="006230DE"/>
    <w:rsid w:val="00623572"/>
    <w:rsid w:val="0062422F"/>
    <w:rsid w:val="00624E87"/>
    <w:rsid w:val="00625970"/>
    <w:rsid w:val="00625E0C"/>
    <w:rsid w:val="00626560"/>
    <w:rsid w:val="00626A83"/>
    <w:rsid w:val="0062776F"/>
    <w:rsid w:val="006279C9"/>
    <w:rsid w:val="00627C90"/>
    <w:rsid w:val="00630E66"/>
    <w:rsid w:val="006316D5"/>
    <w:rsid w:val="006317FC"/>
    <w:rsid w:val="00631BE8"/>
    <w:rsid w:val="006328F3"/>
    <w:rsid w:val="00632DA2"/>
    <w:rsid w:val="00636A1C"/>
    <w:rsid w:val="00636C20"/>
    <w:rsid w:val="00640824"/>
    <w:rsid w:val="006426A0"/>
    <w:rsid w:val="0064308E"/>
    <w:rsid w:val="006432B0"/>
    <w:rsid w:val="006432DB"/>
    <w:rsid w:val="00643649"/>
    <w:rsid w:val="00644B08"/>
    <w:rsid w:val="00646BE4"/>
    <w:rsid w:val="006472D0"/>
    <w:rsid w:val="006479BE"/>
    <w:rsid w:val="006500EB"/>
    <w:rsid w:val="00650788"/>
    <w:rsid w:val="0065099D"/>
    <w:rsid w:val="00651A20"/>
    <w:rsid w:val="00652A5D"/>
    <w:rsid w:val="0065311E"/>
    <w:rsid w:val="00653296"/>
    <w:rsid w:val="00654767"/>
    <w:rsid w:val="00656EBA"/>
    <w:rsid w:val="00661B7C"/>
    <w:rsid w:val="00661FFE"/>
    <w:rsid w:val="00662B5C"/>
    <w:rsid w:val="0066587D"/>
    <w:rsid w:val="00666506"/>
    <w:rsid w:val="00666AC6"/>
    <w:rsid w:val="00670571"/>
    <w:rsid w:val="00674035"/>
    <w:rsid w:val="006744A8"/>
    <w:rsid w:val="00674DFD"/>
    <w:rsid w:val="00676017"/>
    <w:rsid w:val="006766DC"/>
    <w:rsid w:val="00676A9E"/>
    <w:rsid w:val="006775C8"/>
    <w:rsid w:val="00677CFD"/>
    <w:rsid w:val="00684F09"/>
    <w:rsid w:val="0068662C"/>
    <w:rsid w:val="006866AA"/>
    <w:rsid w:val="00686AA8"/>
    <w:rsid w:val="006916A9"/>
    <w:rsid w:val="006923E9"/>
    <w:rsid w:val="00694BF0"/>
    <w:rsid w:val="006957D7"/>
    <w:rsid w:val="006964BD"/>
    <w:rsid w:val="00697F1F"/>
    <w:rsid w:val="006A1898"/>
    <w:rsid w:val="006A2209"/>
    <w:rsid w:val="006A2615"/>
    <w:rsid w:val="006A29CD"/>
    <w:rsid w:val="006A2F46"/>
    <w:rsid w:val="006A3222"/>
    <w:rsid w:val="006A4E12"/>
    <w:rsid w:val="006A54C6"/>
    <w:rsid w:val="006A5840"/>
    <w:rsid w:val="006A5FB9"/>
    <w:rsid w:val="006A6F1C"/>
    <w:rsid w:val="006A73A0"/>
    <w:rsid w:val="006A79ED"/>
    <w:rsid w:val="006B0082"/>
    <w:rsid w:val="006B025B"/>
    <w:rsid w:val="006B0537"/>
    <w:rsid w:val="006B3394"/>
    <w:rsid w:val="006B33B2"/>
    <w:rsid w:val="006B39E6"/>
    <w:rsid w:val="006B47B1"/>
    <w:rsid w:val="006B5505"/>
    <w:rsid w:val="006B6102"/>
    <w:rsid w:val="006B62AD"/>
    <w:rsid w:val="006C1F76"/>
    <w:rsid w:val="006C4111"/>
    <w:rsid w:val="006C42BC"/>
    <w:rsid w:val="006C6E25"/>
    <w:rsid w:val="006C757C"/>
    <w:rsid w:val="006C7D6D"/>
    <w:rsid w:val="006D0180"/>
    <w:rsid w:val="006D26A4"/>
    <w:rsid w:val="006D32CD"/>
    <w:rsid w:val="006D382B"/>
    <w:rsid w:val="006D6F5D"/>
    <w:rsid w:val="006D7D5B"/>
    <w:rsid w:val="006E08D9"/>
    <w:rsid w:val="006E1431"/>
    <w:rsid w:val="006E32DB"/>
    <w:rsid w:val="006E38C3"/>
    <w:rsid w:val="006E4763"/>
    <w:rsid w:val="006E5D4E"/>
    <w:rsid w:val="006E5FB0"/>
    <w:rsid w:val="006E70D2"/>
    <w:rsid w:val="006F0E46"/>
    <w:rsid w:val="006F13F5"/>
    <w:rsid w:val="006F3788"/>
    <w:rsid w:val="006F3B75"/>
    <w:rsid w:val="00700699"/>
    <w:rsid w:val="00700826"/>
    <w:rsid w:val="0070134E"/>
    <w:rsid w:val="007028D3"/>
    <w:rsid w:val="00703B12"/>
    <w:rsid w:val="007040CE"/>
    <w:rsid w:val="00704339"/>
    <w:rsid w:val="00706D01"/>
    <w:rsid w:val="00707666"/>
    <w:rsid w:val="007123C5"/>
    <w:rsid w:val="00712405"/>
    <w:rsid w:val="007130BF"/>
    <w:rsid w:val="00715377"/>
    <w:rsid w:val="007153A7"/>
    <w:rsid w:val="00716919"/>
    <w:rsid w:val="00716C5A"/>
    <w:rsid w:val="00716C85"/>
    <w:rsid w:val="00721B2D"/>
    <w:rsid w:val="00723F64"/>
    <w:rsid w:val="00723FAE"/>
    <w:rsid w:val="00724140"/>
    <w:rsid w:val="007243BB"/>
    <w:rsid w:val="00727046"/>
    <w:rsid w:val="00731198"/>
    <w:rsid w:val="00731C20"/>
    <w:rsid w:val="007344CB"/>
    <w:rsid w:val="007346F3"/>
    <w:rsid w:val="007354F0"/>
    <w:rsid w:val="00737C76"/>
    <w:rsid w:val="007405BE"/>
    <w:rsid w:val="00740C23"/>
    <w:rsid w:val="00740C49"/>
    <w:rsid w:val="00740CB5"/>
    <w:rsid w:val="00742A11"/>
    <w:rsid w:val="00743222"/>
    <w:rsid w:val="0074468A"/>
    <w:rsid w:val="00744B6F"/>
    <w:rsid w:val="00744E91"/>
    <w:rsid w:val="00747AAE"/>
    <w:rsid w:val="0075036C"/>
    <w:rsid w:val="007522C9"/>
    <w:rsid w:val="0075388A"/>
    <w:rsid w:val="0075400C"/>
    <w:rsid w:val="007542E2"/>
    <w:rsid w:val="00754508"/>
    <w:rsid w:val="00754E7E"/>
    <w:rsid w:val="0075678E"/>
    <w:rsid w:val="007577E6"/>
    <w:rsid w:val="00757B91"/>
    <w:rsid w:val="00757D4E"/>
    <w:rsid w:val="00765299"/>
    <w:rsid w:val="007672F8"/>
    <w:rsid w:val="00773A12"/>
    <w:rsid w:val="00773BEC"/>
    <w:rsid w:val="007747E0"/>
    <w:rsid w:val="00775184"/>
    <w:rsid w:val="00775B46"/>
    <w:rsid w:val="00776DE1"/>
    <w:rsid w:val="007772C9"/>
    <w:rsid w:val="007803CB"/>
    <w:rsid w:val="0078260D"/>
    <w:rsid w:val="007826A9"/>
    <w:rsid w:val="0078280C"/>
    <w:rsid w:val="00782BBB"/>
    <w:rsid w:val="00783854"/>
    <w:rsid w:val="00785730"/>
    <w:rsid w:val="00785BBA"/>
    <w:rsid w:val="00785FE4"/>
    <w:rsid w:val="0079241A"/>
    <w:rsid w:val="0079328B"/>
    <w:rsid w:val="00796535"/>
    <w:rsid w:val="00796A46"/>
    <w:rsid w:val="007A0DBC"/>
    <w:rsid w:val="007A16E3"/>
    <w:rsid w:val="007A1B96"/>
    <w:rsid w:val="007A2B88"/>
    <w:rsid w:val="007A2CDB"/>
    <w:rsid w:val="007A33D5"/>
    <w:rsid w:val="007A5314"/>
    <w:rsid w:val="007B03CD"/>
    <w:rsid w:val="007B3DE3"/>
    <w:rsid w:val="007B55C0"/>
    <w:rsid w:val="007B5A0B"/>
    <w:rsid w:val="007B6B6F"/>
    <w:rsid w:val="007C0075"/>
    <w:rsid w:val="007C1738"/>
    <w:rsid w:val="007C305E"/>
    <w:rsid w:val="007C3156"/>
    <w:rsid w:val="007C5E45"/>
    <w:rsid w:val="007C6C73"/>
    <w:rsid w:val="007C6CF9"/>
    <w:rsid w:val="007C7D9D"/>
    <w:rsid w:val="007D22BB"/>
    <w:rsid w:val="007D5B76"/>
    <w:rsid w:val="007D727E"/>
    <w:rsid w:val="007E053B"/>
    <w:rsid w:val="007E08EE"/>
    <w:rsid w:val="007E0F03"/>
    <w:rsid w:val="007E1B38"/>
    <w:rsid w:val="007E4A8D"/>
    <w:rsid w:val="007E5E6C"/>
    <w:rsid w:val="007E7022"/>
    <w:rsid w:val="007E7033"/>
    <w:rsid w:val="007E717F"/>
    <w:rsid w:val="007E7D0F"/>
    <w:rsid w:val="007F0B75"/>
    <w:rsid w:val="007F12B8"/>
    <w:rsid w:val="007F2916"/>
    <w:rsid w:val="007F49B9"/>
    <w:rsid w:val="007F4F8D"/>
    <w:rsid w:val="007F704A"/>
    <w:rsid w:val="00801407"/>
    <w:rsid w:val="00801F98"/>
    <w:rsid w:val="00801FF9"/>
    <w:rsid w:val="008030D3"/>
    <w:rsid w:val="00803851"/>
    <w:rsid w:val="00803B1B"/>
    <w:rsid w:val="00804350"/>
    <w:rsid w:val="00805393"/>
    <w:rsid w:val="008066F6"/>
    <w:rsid w:val="0080799D"/>
    <w:rsid w:val="00810F5D"/>
    <w:rsid w:val="008115B2"/>
    <w:rsid w:val="008127CA"/>
    <w:rsid w:val="00813568"/>
    <w:rsid w:val="00814015"/>
    <w:rsid w:val="0081403F"/>
    <w:rsid w:val="00814AD8"/>
    <w:rsid w:val="00815BE8"/>
    <w:rsid w:val="008164F1"/>
    <w:rsid w:val="0081674F"/>
    <w:rsid w:val="00816BFB"/>
    <w:rsid w:val="00816F57"/>
    <w:rsid w:val="00817B3E"/>
    <w:rsid w:val="00817DBD"/>
    <w:rsid w:val="00820290"/>
    <w:rsid w:val="00820D45"/>
    <w:rsid w:val="00821D93"/>
    <w:rsid w:val="00822576"/>
    <w:rsid w:val="0082322E"/>
    <w:rsid w:val="008237E4"/>
    <w:rsid w:val="00823D56"/>
    <w:rsid w:val="00827DB2"/>
    <w:rsid w:val="00830A14"/>
    <w:rsid w:val="00831050"/>
    <w:rsid w:val="008319C6"/>
    <w:rsid w:val="00831E59"/>
    <w:rsid w:val="00831E83"/>
    <w:rsid w:val="008329DD"/>
    <w:rsid w:val="00833944"/>
    <w:rsid w:val="008340EA"/>
    <w:rsid w:val="0083426E"/>
    <w:rsid w:val="008346B2"/>
    <w:rsid w:val="00835473"/>
    <w:rsid w:val="00835BB8"/>
    <w:rsid w:val="00837487"/>
    <w:rsid w:val="00837971"/>
    <w:rsid w:val="00844521"/>
    <w:rsid w:val="00844582"/>
    <w:rsid w:val="008449BE"/>
    <w:rsid w:val="00844B92"/>
    <w:rsid w:val="008475C5"/>
    <w:rsid w:val="00847838"/>
    <w:rsid w:val="0084797E"/>
    <w:rsid w:val="008500D5"/>
    <w:rsid w:val="008515A3"/>
    <w:rsid w:val="00851CE4"/>
    <w:rsid w:val="008529F9"/>
    <w:rsid w:val="00853AD3"/>
    <w:rsid w:val="008543E0"/>
    <w:rsid w:val="00854DCA"/>
    <w:rsid w:val="00855DAF"/>
    <w:rsid w:val="0085690E"/>
    <w:rsid w:val="00857457"/>
    <w:rsid w:val="00860FF2"/>
    <w:rsid w:val="008625AF"/>
    <w:rsid w:val="00865B80"/>
    <w:rsid w:val="0086602C"/>
    <w:rsid w:val="00866514"/>
    <w:rsid w:val="00866E88"/>
    <w:rsid w:val="00867800"/>
    <w:rsid w:val="00870DEC"/>
    <w:rsid w:val="008710A7"/>
    <w:rsid w:val="00871F39"/>
    <w:rsid w:val="0087272E"/>
    <w:rsid w:val="0087340E"/>
    <w:rsid w:val="008773AB"/>
    <w:rsid w:val="008815EC"/>
    <w:rsid w:val="00881605"/>
    <w:rsid w:val="008832F0"/>
    <w:rsid w:val="00884F6A"/>
    <w:rsid w:val="00886684"/>
    <w:rsid w:val="0089016D"/>
    <w:rsid w:val="0089447C"/>
    <w:rsid w:val="0089536C"/>
    <w:rsid w:val="00897026"/>
    <w:rsid w:val="008A0AFA"/>
    <w:rsid w:val="008A222F"/>
    <w:rsid w:val="008A25A1"/>
    <w:rsid w:val="008A4522"/>
    <w:rsid w:val="008A56F9"/>
    <w:rsid w:val="008B1275"/>
    <w:rsid w:val="008B208E"/>
    <w:rsid w:val="008B2138"/>
    <w:rsid w:val="008B43C3"/>
    <w:rsid w:val="008B442D"/>
    <w:rsid w:val="008B4850"/>
    <w:rsid w:val="008B4A02"/>
    <w:rsid w:val="008B64BF"/>
    <w:rsid w:val="008B6B29"/>
    <w:rsid w:val="008B7D7D"/>
    <w:rsid w:val="008B7FA1"/>
    <w:rsid w:val="008C00CA"/>
    <w:rsid w:val="008C1101"/>
    <w:rsid w:val="008C11D9"/>
    <w:rsid w:val="008C20BB"/>
    <w:rsid w:val="008C2E17"/>
    <w:rsid w:val="008C2E8C"/>
    <w:rsid w:val="008C3277"/>
    <w:rsid w:val="008C4009"/>
    <w:rsid w:val="008C4FAC"/>
    <w:rsid w:val="008C5980"/>
    <w:rsid w:val="008C6A1E"/>
    <w:rsid w:val="008C6CDA"/>
    <w:rsid w:val="008D0A5E"/>
    <w:rsid w:val="008D16A3"/>
    <w:rsid w:val="008D1D11"/>
    <w:rsid w:val="008D22A5"/>
    <w:rsid w:val="008D28B3"/>
    <w:rsid w:val="008D2B35"/>
    <w:rsid w:val="008D2C51"/>
    <w:rsid w:val="008D5428"/>
    <w:rsid w:val="008E0040"/>
    <w:rsid w:val="008E0A1A"/>
    <w:rsid w:val="008E1AE0"/>
    <w:rsid w:val="008E2907"/>
    <w:rsid w:val="008E3C76"/>
    <w:rsid w:val="008E57CA"/>
    <w:rsid w:val="008E63F3"/>
    <w:rsid w:val="008E6843"/>
    <w:rsid w:val="008E6E72"/>
    <w:rsid w:val="008E6FDE"/>
    <w:rsid w:val="008F0B67"/>
    <w:rsid w:val="008F2D32"/>
    <w:rsid w:val="008F2D9B"/>
    <w:rsid w:val="008F3A83"/>
    <w:rsid w:val="008F62C1"/>
    <w:rsid w:val="008F640C"/>
    <w:rsid w:val="009000E6"/>
    <w:rsid w:val="009009EE"/>
    <w:rsid w:val="00901226"/>
    <w:rsid w:val="00902679"/>
    <w:rsid w:val="00902962"/>
    <w:rsid w:val="0090370E"/>
    <w:rsid w:val="00903CD9"/>
    <w:rsid w:val="009043B4"/>
    <w:rsid w:val="00904DB7"/>
    <w:rsid w:val="00907304"/>
    <w:rsid w:val="0091238C"/>
    <w:rsid w:val="00913391"/>
    <w:rsid w:val="00913596"/>
    <w:rsid w:val="00913D38"/>
    <w:rsid w:val="009151CF"/>
    <w:rsid w:val="009157F7"/>
    <w:rsid w:val="00915EA9"/>
    <w:rsid w:val="00916B32"/>
    <w:rsid w:val="00916F62"/>
    <w:rsid w:val="00917CCA"/>
    <w:rsid w:val="00921495"/>
    <w:rsid w:val="00921F4B"/>
    <w:rsid w:val="00922159"/>
    <w:rsid w:val="0092306F"/>
    <w:rsid w:val="00923E70"/>
    <w:rsid w:val="00923ED0"/>
    <w:rsid w:val="00923F29"/>
    <w:rsid w:val="00924B8B"/>
    <w:rsid w:val="00924D46"/>
    <w:rsid w:val="00926031"/>
    <w:rsid w:val="009265A9"/>
    <w:rsid w:val="00926680"/>
    <w:rsid w:val="009267D2"/>
    <w:rsid w:val="00927381"/>
    <w:rsid w:val="009277D5"/>
    <w:rsid w:val="00927FCB"/>
    <w:rsid w:val="00930CBE"/>
    <w:rsid w:val="00932743"/>
    <w:rsid w:val="00934840"/>
    <w:rsid w:val="00934891"/>
    <w:rsid w:val="00935F53"/>
    <w:rsid w:val="00936934"/>
    <w:rsid w:val="00937797"/>
    <w:rsid w:val="009407AB"/>
    <w:rsid w:val="00941D3C"/>
    <w:rsid w:val="00941DF3"/>
    <w:rsid w:val="00943A59"/>
    <w:rsid w:val="0095024E"/>
    <w:rsid w:val="00950DFB"/>
    <w:rsid w:val="00952F55"/>
    <w:rsid w:val="009530C3"/>
    <w:rsid w:val="00953B37"/>
    <w:rsid w:val="00961458"/>
    <w:rsid w:val="00961589"/>
    <w:rsid w:val="009618EF"/>
    <w:rsid w:val="009619D4"/>
    <w:rsid w:val="00963DAF"/>
    <w:rsid w:val="00965581"/>
    <w:rsid w:val="009657D4"/>
    <w:rsid w:val="00967F27"/>
    <w:rsid w:val="009705B4"/>
    <w:rsid w:val="00970B44"/>
    <w:rsid w:val="0097126C"/>
    <w:rsid w:val="0097161C"/>
    <w:rsid w:val="00972899"/>
    <w:rsid w:val="00974716"/>
    <w:rsid w:val="0097493F"/>
    <w:rsid w:val="00975D12"/>
    <w:rsid w:val="00981E4A"/>
    <w:rsid w:val="00982294"/>
    <w:rsid w:val="00982E9B"/>
    <w:rsid w:val="00984055"/>
    <w:rsid w:val="009840B5"/>
    <w:rsid w:val="009850DA"/>
    <w:rsid w:val="00986723"/>
    <w:rsid w:val="0098714B"/>
    <w:rsid w:val="00987715"/>
    <w:rsid w:val="0098774B"/>
    <w:rsid w:val="0099037D"/>
    <w:rsid w:val="0099212F"/>
    <w:rsid w:val="009931A6"/>
    <w:rsid w:val="0099410C"/>
    <w:rsid w:val="00994682"/>
    <w:rsid w:val="0099489F"/>
    <w:rsid w:val="009A1A21"/>
    <w:rsid w:val="009A1CC1"/>
    <w:rsid w:val="009B17BE"/>
    <w:rsid w:val="009B249B"/>
    <w:rsid w:val="009B33E6"/>
    <w:rsid w:val="009B660D"/>
    <w:rsid w:val="009C092F"/>
    <w:rsid w:val="009C2967"/>
    <w:rsid w:val="009C4F32"/>
    <w:rsid w:val="009C5D76"/>
    <w:rsid w:val="009C70ED"/>
    <w:rsid w:val="009D0992"/>
    <w:rsid w:val="009D14E9"/>
    <w:rsid w:val="009D1B98"/>
    <w:rsid w:val="009D256A"/>
    <w:rsid w:val="009D2A2A"/>
    <w:rsid w:val="009D325F"/>
    <w:rsid w:val="009D4D8C"/>
    <w:rsid w:val="009D7926"/>
    <w:rsid w:val="009E14E0"/>
    <w:rsid w:val="009E16B4"/>
    <w:rsid w:val="009E3A32"/>
    <w:rsid w:val="009E482D"/>
    <w:rsid w:val="009E4EDB"/>
    <w:rsid w:val="009E5499"/>
    <w:rsid w:val="009F0243"/>
    <w:rsid w:val="009F0F55"/>
    <w:rsid w:val="009F0FAA"/>
    <w:rsid w:val="009F38D5"/>
    <w:rsid w:val="009F38E6"/>
    <w:rsid w:val="009F557C"/>
    <w:rsid w:val="009F7399"/>
    <w:rsid w:val="009F7D03"/>
    <w:rsid w:val="00A0087D"/>
    <w:rsid w:val="00A014F1"/>
    <w:rsid w:val="00A01766"/>
    <w:rsid w:val="00A01825"/>
    <w:rsid w:val="00A0214F"/>
    <w:rsid w:val="00A03616"/>
    <w:rsid w:val="00A04835"/>
    <w:rsid w:val="00A10034"/>
    <w:rsid w:val="00A10695"/>
    <w:rsid w:val="00A1133D"/>
    <w:rsid w:val="00A11699"/>
    <w:rsid w:val="00A1195D"/>
    <w:rsid w:val="00A124E5"/>
    <w:rsid w:val="00A14850"/>
    <w:rsid w:val="00A14E40"/>
    <w:rsid w:val="00A16751"/>
    <w:rsid w:val="00A17892"/>
    <w:rsid w:val="00A17DB8"/>
    <w:rsid w:val="00A21F01"/>
    <w:rsid w:val="00A253B3"/>
    <w:rsid w:val="00A254A2"/>
    <w:rsid w:val="00A254CB"/>
    <w:rsid w:val="00A255D9"/>
    <w:rsid w:val="00A25A27"/>
    <w:rsid w:val="00A27390"/>
    <w:rsid w:val="00A276E2"/>
    <w:rsid w:val="00A27D5A"/>
    <w:rsid w:val="00A3192E"/>
    <w:rsid w:val="00A31E02"/>
    <w:rsid w:val="00A3331B"/>
    <w:rsid w:val="00A34160"/>
    <w:rsid w:val="00A344B6"/>
    <w:rsid w:val="00A34623"/>
    <w:rsid w:val="00A34BFE"/>
    <w:rsid w:val="00A36BDD"/>
    <w:rsid w:val="00A42366"/>
    <w:rsid w:val="00A443BE"/>
    <w:rsid w:val="00A44835"/>
    <w:rsid w:val="00A45357"/>
    <w:rsid w:val="00A45C37"/>
    <w:rsid w:val="00A46173"/>
    <w:rsid w:val="00A47776"/>
    <w:rsid w:val="00A506B0"/>
    <w:rsid w:val="00A52F3C"/>
    <w:rsid w:val="00A54FE6"/>
    <w:rsid w:val="00A55189"/>
    <w:rsid w:val="00A56806"/>
    <w:rsid w:val="00A56F54"/>
    <w:rsid w:val="00A60170"/>
    <w:rsid w:val="00A606E7"/>
    <w:rsid w:val="00A622E0"/>
    <w:rsid w:val="00A64E44"/>
    <w:rsid w:val="00A65F13"/>
    <w:rsid w:val="00A663CE"/>
    <w:rsid w:val="00A66BF7"/>
    <w:rsid w:val="00A678CE"/>
    <w:rsid w:val="00A716C9"/>
    <w:rsid w:val="00A721C9"/>
    <w:rsid w:val="00A74C2E"/>
    <w:rsid w:val="00A761FD"/>
    <w:rsid w:val="00A76B65"/>
    <w:rsid w:val="00A774A2"/>
    <w:rsid w:val="00A807DE"/>
    <w:rsid w:val="00A83AC3"/>
    <w:rsid w:val="00A83C65"/>
    <w:rsid w:val="00A83DFA"/>
    <w:rsid w:val="00A84978"/>
    <w:rsid w:val="00A8572D"/>
    <w:rsid w:val="00A8611F"/>
    <w:rsid w:val="00A86364"/>
    <w:rsid w:val="00A91B4E"/>
    <w:rsid w:val="00A9231A"/>
    <w:rsid w:val="00A928C7"/>
    <w:rsid w:val="00A92F02"/>
    <w:rsid w:val="00A93A44"/>
    <w:rsid w:val="00A9538E"/>
    <w:rsid w:val="00A9735D"/>
    <w:rsid w:val="00AA152B"/>
    <w:rsid w:val="00AA4F3B"/>
    <w:rsid w:val="00AA542F"/>
    <w:rsid w:val="00AA5F2D"/>
    <w:rsid w:val="00AA6B61"/>
    <w:rsid w:val="00AA6F27"/>
    <w:rsid w:val="00AB1B0E"/>
    <w:rsid w:val="00AB23AB"/>
    <w:rsid w:val="00AB40BC"/>
    <w:rsid w:val="00AB45B1"/>
    <w:rsid w:val="00AB45EC"/>
    <w:rsid w:val="00AB549E"/>
    <w:rsid w:val="00AB7429"/>
    <w:rsid w:val="00AC1BBE"/>
    <w:rsid w:val="00AC5AAC"/>
    <w:rsid w:val="00AC745C"/>
    <w:rsid w:val="00AD10B8"/>
    <w:rsid w:val="00AD2E0A"/>
    <w:rsid w:val="00AD3080"/>
    <w:rsid w:val="00AD7F9C"/>
    <w:rsid w:val="00AE10EF"/>
    <w:rsid w:val="00AE66D0"/>
    <w:rsid w:val="00AF02F3"/>
    <w:rsid w:val="00AF0DDD"/>
    <w:rsid w:val="00AF1C8B"/>
    <w:rsid w:val="00AF211A"/>
    <w:rsid w:val="00AF3A86"/>
    <w:rsid w:val="00AF564E"/>
    <w:rsid w:val="00B00586"/>
    <w:rsid w:val="00B0068E"/>
    <w:rsid w:val="00B00C05"/>
    <w:rsid w:val="00B014E4"/>
    <w:rsid w:val="00B020A2"/>
    <w:rsid w:val="00B04DFF"/>
    <w:rsid w:val="00B05F62"/>
    <w:rsid w:val="00B10281"/>
    <w:rsid w:val="00B11A3D"/>
    <w:rsid w:val="00B11A47"/>
    <w:rsid w:val="00B12D74"/>
    <w:rsid w:val="00B148C6"/>
    <w:rsid w:val="00B221E8"/>
    <w:rsid w:val="00B23AAB"/>
    <w:rsid w:val="00B2407C"/>
    <w:rsid w:val="00B2503E"/>
    <w:rsid w:val="00B25BEA"/>
    <w:rsid w:val="00B2660A"/>
    <w:rsid w:val="00B26AE9"/>
    <w:rsid w:val="00B3023F"/>
    <w:rsid w:val="00B311B9"/>
    <w:rsid w:val="00B316C0"/>
    <w:rsid w:val="00B3188A"/>
    <w:rsid w:val="00B32862"/>
    <w:rsid w:val="00B3488D"/>
    <w:rsid w:val="00B35C5E"/>
    <w:rsid w:val="00B36A43"/>
    <w:rsid w:val="00B36B88"/>
    <w:rsid w:val="00B37A70"/>
    <w:rsid w:val="00B37BEF"/>
    <w:rsid w:val="00B37EEF"/>
    <w:rsid w:val="00B408E2"/>
    <w:rsid w:val="00B51711"/>
    <w:rsid w:val="00B5502D"/>
    <w:rsid w:val="00B55774"/>
    <w:rsid w:val="00B55C29"/>
    <w:rsid w:val="00B566CE"/>
    <w:rsid w:val="00B56B7B"/>
    <w:rsid w:val="00B60399"/>
    <w:rsid w:val="00B60635"/>
    <w:rsid w:val="00B60C40"/>
    <w:rsid w:val="00B63364"/>
    <w:rsid w:val="00B63A89"/>
    <w:rsid w:val="00B66150"/>
    <w:rsid w:val="00B67BB0"/>
    <w:rsid w:val="00B70BD3"/>
    <w:rsid w:val="00B7290B"/>
    <w:rsid w:val="00B72E95"/>
    <w:rsid w:val="00B73C5D"/>
    <w:rsid w:val="00B74D86"/>
    <w:rsid w:val="00B762A3"/>
    <w:rsid w:val="00B762CF"/>
    <w:rsid w:val="00B763B0"/>
    <w:rsid w:val="00B76D12"/>
    <w:rsid w:val="00B80886"/>
    <w:rsid w:val="00B80CF5"/>
    <w:rsid w:val="00B80F5D"/>
    <w:rsid w:val="00B81FF2"/>
    <w:rsid w:val="00B82DD5"/>
    <w:rsid w:val="00B83157"/>
    <w:rsid w:val="00B845FB"/>
    <w:rsid w:val="00B84F90"/>
    <w:rsid w:val="00B904A1"/>
    <w:rsid w:val="00B90545"/>
    <w:rsid w:val="00B91592"/>
    <w:rsid w:val="00B9309B"/>
    <w:rsid w:val="00B93B48"/>
    <w:rsid w:val="00B9448C"/>
    <w:rsid w:val="00B96341"/>
    <w:rsid w:val="00B96630"/>
    <w:rsid w:val="00B96683"/>
    <w:rsid w:val="00B97C4A"/>
    <w:rsid w:val="00BA09B6"/>
    <w:rsid w:val="00BA0AC1"/>
    <w:rsid w:val="00BA1218"/>
    <w:rsid w:val="00BA36EA"/>
    <w:rsid w:val="00BA682B"/>
    <w:rsid w:val="00BB0459"/>
    <w:rsid w:val="00BB070D"/>
    <w:rsid w:val="00BB1412"/>
    <w:rsid w:val="00BB17F8"/>
    <w:rsid w:val="00BB3ABF"/>
    <w:rsid w:val="00BB4CB4"/>
    <w:rsid w:val="00BB6D0E"/>
    <w:rsid w:val="00BC342A"/>
    <w:rsid w:val="00BC37EB"/>
    <w:rsid w:val="00BC4EA1"/>
    <w:rsid w:val="00BC64D5"/>
    <w:rsid w:val="00BC7871"/>
    <w:rsid w:val="00BD07F3"/>
    <w:rsid w:val="00BD1A7A"/>
    <w:rsid w:val="00BD20C7"/>
    <w:rsid w:val="00BD230F"/>
    <w:rsid w:val="00BD55ED"/>
    <w:rsid w:val="00BD5ADD"/>
    <w:rsid w:val="00BD5E42"/>
    <w:rsid w:val="00BD60A7"/>
    <w:rsid w:val="00BD743A"/>
    <w:rsid w:val="00BD7A1C"/>
    <w:rsid w:val="00BE0769"/>
    <w:rsid w:val="00BE184B"/>
    <w:rsid w:val="00BE3AB6"/>
    <w:rsid w:val="00BE4B44"/>
    <w:rsid w:val="00BE4B8E"/>
    <w:rsid w:val="00BF0027"/>
    <w:rsid w:val="00BF12A1"/>
    <w:rsid w:val="00BF18DA"/>
    <w:rsid w:val="00BF2459"/>
    <w:rsid w:val="00BF29D2"/>
    <w:rsid w:val="00BF4643"/>
    <w:rsid w:val="00BF518B"/>
    <w:rsid w:val="00BF7488"/>
    <w:rsid w:val="00C013D4"/>
    <w:rsid w:val="00C01C23"/>
    <w:rsid w:val="00C01FED"/>
    <w:rsid w:val="00C02A90"/>
    <w:rsid w:val="00C037B9"/>
    <w:rsid w:val="00C03C95"/>
    <w:rsid w:val="00C03E52"/>
    <w:rsid w:val="00C04BC5"/>
    <w:rsid w:val="00C0516A"/>
    <w:rsid w:val="00C054B3"/>
    <w:rsid w:val="00C0567F"/>
    <w:rsid w:val="00C05CC9"/>
    <w:rsid w:val="00C079F7"/>
    <w:rsid w:val="00C119E4"/>
    <w:rsid w:val="00C12E33"/>
    <w:rsid w:val="00C1319B"/>
    <w:rsid w:val="00C1697E"/>
    <w:rsid w:val="00C16DDC"/>
    <w:rsid w:val="00C16DE1"/>
    <w:rsid w:val="00C170D3"/>
    <w:rsid w:val="00C20285"/>
    <w:rsid w:val="00C20CDF"/>
    <w:rsid w:val="00C22AA2"/>
    <w:rsid w:val="00C22DDA"/>
    <w:rsid w:val="00C2340A"/>
    <w:rsid w:val="00C245B0"/>
    <w:rsid w:val="00C25467"/>
    <w:rsid w:val="00C26269"/>
    <w:rsid w:val="00C27072"/>
    <w:rsid w:val="00C2720B"/>
    <w:rsid w:val="00C27515"/>
    <w:rsid w:val="00C27AE7"/>
    <w:rsid w:val="00C30794"/>
    <w:rsid w:val="00C31396"/>
    <w:rsid w:val="00C327A4"/>
    <w:rsid w:val="00C328D1"/>
    <w:rsid w:val="00C33BD6"/>
    <w:rsid w:val="00C34372"/>
    <w:rsid w:val="00C351E7"/>
    <w:rsid w:val="00C365DF"/>
    <w:rsid w:val="00C366A9"/>
    <w:rsid w:val="00C37B62"/>
    <w:rsid w:val="00C43545"/>
    <w:rsid w:val="00C439B2"/>
    <w:rsid w:val="00C46726"/>
    <w:rsid w:val="00C47429"/>
    <w:rsid w:val="00C506C9"/>
    <w:rsid w:val="00C508F9"/>
    <w:rsid w:val="00C5105D"/>
    <w:rsid w:val="00C52725"/>
    <w:rsid w:val="00C54CC0"/>
    <w:rsid w:val="00C63C1E"/>
    <w:rsid w:val="00C63C1F"/>
    <w:rsid w:val="00C67B18"/>
    <w:rsid w:val="00C70AE1"/>
    <w:rsid w:val="00C71ADD"/>
    <w:rsid w:val="00C72601"/>
    <w:rsid w:val="00C736C7"/>
    <w:rsid w:val="00C75F7C"/>
    <w:rsid w:val="00C764AA"/>
    <w:rsid w:val="00C77608"/>
    <w:rsid w:val="00C818A6"/>
    <w:rsid w:val="00C81BC4"/>
    <w:rsid w:val="00C8231F"/>
    <w:rsid w:val="00C82E29"/>
    <w:rsid w:val="00C836E6"/>
    <w:rsid w:val="00C9275D"/>
    <w:rsid w:val="00C92868"/>
    <w:rsid w:val="00C92FEF"/>
    <w:rsid w:val="00C93145"/>
    <w:rsid w:val="00C93331"/>
    <w:rsid w:val="00C94C93"/>
    <w:rsid w:val="00C95B8C"/>
    <w:rsid w:val="00C97812"/>
    <w:rsid w:val="00CA0A33"/>
    <w:rsid w:val="00CA0C37"/>
    <w:rsid w:val="00CA18E2"/>
    <w:rsid w:val="00CA19B8"/>
    <w:rsid w:val="00CA19E1"/>
    <w:rsid w:val="00CA46FF"/>
    <w:rsid w:val="00CA7265"/>
    <w:rsid w:val="00CA79D6"/>
    <w:rsid w:val="00CB14E3"/>
    <w:rsid w:val="00CB1CCE"/>
    <w:rsid w:val="00CB2A84"/>
    <w:rsid w:val="00CB363A"/>
    <w:rsid w:val="00CB7097"/>
    <w:rsid w:val="00CC0CCA"/>
    <w:rsid w:val="00CC15C7"/>
    <w:rsid w:val="00CC1A39"/>
    <w:rsid w:val="00CC1C6E"/>
    <w:rsid w:val="00CC208F"/>
    <w:rsid w:val="00CC24D1"/>
    <w:rsid w:val="00CC4231"/>
    <w:rsid w:val="00CC43FA"/>
    <w:rsid w:val="00CC6322"/>
    <w:rsid w:val="00CD0203"/>
    <w:rsid w:val="00CD1209"/>
    <w:rsid w:val="00CD1F36"/>
    <w:rsid w:val="00CD2EAB"/>
    <w:rsid w:val="00CD3BFB"/>
    <w:rsid w:val="00CD3E15"/>
    <w:rsid w:val="00CD554D"/>
    <w:rsid w:val="00CD5CDD"/>
    <w:rsid w:val="00CD668D"/>
    <w:rsid w:val="00CE0175"/>
    <w:rsid w:val="00CE16CF"/>
    <w:rsid w:val="00CE4432"/>
    <w:rsid w:val="00CE4651"/>
    <w:rsid w:val="00CE5943"/>
    <w:rsid w:val="00CE5E5E"/>
    <w:rsid w:val="00CF05AF"/>
    <w:rsid w:val="00CF0FA0"/>
    <w:rsid w:val="00CF215D"/>
    <w:rsid w:val="00CF222E"/>
    <w:rsid w:val="00CF346E"/>
    <w:rsid w:val="00CF3FD3"/>
    <w:rsid w:val="00CF4D25"/>
    <w:rsid w:val="00CF5CFF"/>
    <w:rsid w:val="00CF5DDB"/>
    <w:rsid w:val="00D03DFC"/>
    <w:rsid w:val="00D0578D"/>
    <w:rsid w:val="00D107DD"/>
    <w:rsid w:val="00D10F7B"/>
    <w:rsid w:val="00D130C2"/>
    <w:rsid w:val="00D141F9"/>
    <w:rsid w:val="00D149AB"/>
    <w:rsid w:val="00D15B9E"/>
    <w:rsid w:val="00D16227"/>
    <w:rsid w:val="00D175C3"/>
    <w:rsid w:val="00D2108F"/>
    <w:rsid w:val="00D2173D"/>
    <w:rsid w:val="00D22DF4"/>
    <w:rsid w:val="00D24E83"/>
    <w:rsid w:val="00D269E2"/>
    <w:rsid w:val="00D278CF"/>
    <w:rsid w:val="00D33151"/>
    <w:rsid w:val="00D331B4"/>
    <w:rsid w:val="00D33C03"/>
    <w:rsid w:val="00D34DD3"/>
    <w:rsid w:val="00D35119"/>
    <w:rsid w:val="00D3651F"/>
    <w:rsid w:val="00D368B4"/>
    <w:rsid w:val="00D428E6"/>
    <w:rsid w:val="00D42F56"/>
    <w:rsid w:val="00D43136"/>
    <w:rsid w:val="00D43A63"/>
    <w:rsid w:val="00D43E42"/>
    <w:rsid w:val="00D45511"/>
    <w:rsid w:val="00D45A36"/>
    <w:rsid w:val="00D46839"/>
    <w:rsid w:val="00D47FD1"/>
    <w:rsid w:val="00D50C8E"/>
    <w:rsid w:val="00D51763"/>
    <w:rsid w:val="00D5237E"/>
    <w:rsid w:val="00D52980"/>
    <w:rsid w:val="00D538E9"/>
    <w:rsid w:val="00D53AEE"/>
    <w:rsid w:val="00D5516D"/>
    <w:rsid w:val="00D57332"/>
    <w:rsid w:val="00D63466"/>
    <w:rsid w:val="00D63C9E"/>
    <w:rsid w:val="00D63CEE"/>
    <w:rsid w:val="00D6534D"/>
    <w:rsid w:val="00D66187"/>
    <w:rsid w:val="00D66EBB"/>
    <w:rsid w:val="00D6769D"/>
    <w:rsid w:val="00D67BD4"/>
    <w:rsid w:val="00D7087A"/>
    <w:rsid w:val="00D70E39"/>
    <w:rsid w:val="00D71C2C"/>
    <w:rsid w:val="00D729F4"/>
    <w:rsid w:val="00D72A59"/>
    <w:rsid w:val="00D743E9"/>
    <w:rsid w:val="00D75E49"/>
    <w:rsid w:val="00D76DC1"/>
    <w:rsid w:val="00D777E3"/>
    <w:rsid w:val="00D77E72"/>
    <w:rsid w:val="00D77ECE"/>
    <w:rsid w:val="00D80494"/>
    <w:rsid w:val="00D81F05"/>
    <w:rsid w:val="00D83681"/>
    <w:rsid w:val="00D84555"/>
    <w:rsid w:val="00D84841"/>
    <w:rsid w:val="00D84C21"/>
    <w:rsid w:val="00D84EE4"/>
    <w:rsid w:val="00D86BAB"/>
    <w:rsid w:val="00D86DD3"/>
    <w:rsid w:val="00D91A24"/>
    <w:rsid w:val="00D91B9D"/>
    <w:rsid w:val="00D95AF9"/>
    <w:rsid w:val="00D95CB5"/>
    <w:rsid w:val="00D960BD"/>
    <w:rsid w:val="00D965E3"/>
    <w:rsid w:val="00D9789F"/>
    <w:rsid w:val="00DA06BD"/>
    <w:rsid w:val="00DA159C"/>
    <w:rsid w:val="00DA22E4"/>
    <w:rsid w:val="00DA26D0"/>
    <w:rsid w:val="00DA3ADE"/>
    <w:rsid w:val="00DA4264"/>
    <w:rsid w:val="00DA5A8B"/>
    <w:rsid w:val="00DA6BA9"/>
    <w:rsid w:val="00DA7B38"/>
    <w:rsid w:val="00DB058C"/>
    <w:rsid w:val="00DB066D"/>
    <w:rsid w:val="00DB06A2"/>
    <w:rsid w:val="00DB2ABA"/>
    <w:rsid w:val="00DB3B8E"/>
    <w:rsid w:val="00DB67C5"/>
    <w:rsid w:val="00DB7020"/>
    <w:rsid w:val="00DB778D"/>
    <w:rsid w:val="00DC0884"/>
    <w:rsid w:val="00DC1DE1"/>
    <w:rsid w:val="00DC35FD"/>
    <w:rsid w:val="00DC3E48"/>
    <w:rsid w:val="00DC3F9E"/>
    <w:rsid w:val="00DC4A86"/>
    <w:rsid w:val="00DC5C39"/>
    <w:rsid w:val="00DC5EB3"/>
    <w:rsid w:val="00DD04B9"/>
    <w:rsid w:val="00DD5BAE"/>
    <w:rsid w:val="00DD5DA9"/>
    <w:rsid w:val="00DE0696"/>
    <w:rsid w:val="00DE0E48"/>
    <w:rsid w:val="00DE1A70"/>
    <w:rsid w:val="00DE29B9"/>
    <w:rsid w:val="00DE2E78"/>
    <w:rsid w:val="00DE4E8D"/>
    <w:rsid w:val="00DE534C"/>
    <w:rsid w:val="00DF006C"/>
    <w:rsid w:val="00DF03EC"/>
    <w:rsid w:val="00DF09C2"/>
    <w:rsid w:val="00DF0C0D"/>
    <w:rsid w:val="00DF2145"/>
    <w:rsid w:val="00DF2E88"/>
    <w:rsid w:val="00DF4483"/>
    <w:rsid w:val="00DF50DE"/>
    <w:rsid w:val="00DF51B9"/>
    <w:rsid w:val="00DF656D"/>
    <w:rsid w:val="00DF7209"/>
    <w:rsid w:val="00DF74E3"/>
    <w:rsid w:val="00DF7BC1"/>
    <w:rsid w:val="00E00429"/>
    <w:rsid w:val="00E014D1"/>
    <w:rsid w:val="00E01C76"/>
    <w:rsid w:val="00E039F9"/>
    <w:rsid w:val="00E05188"/>
    <w:rsid w:val="00E0593D"/>
    <w:rsid w:val="00E063A4"/>
    <w:rsid w:val="00E07586"/>
    <w:rsid w:val="00E10173"/>
    <w:rsid w:val="00E106C5"/>
    <w:rsid w:val="00E11CDA"/>
    <w:rsid w:val="00E12B62"/>
    <w:rsid w:val="00E14C44"/>
    <w:rsid w:val="00E153AC"/>
    <w:rsid w:val="00E1572D"/>
    <w:rsid w:val="00E160FB"/>
    <w:rsid w:val="00E16474"/>
    <w:rsid w:val="00E206F1"/>
    <w:rsid w:val="00E214CD"/>
    <w:rsid w:val="00E21C2D"/>
    <w:rsid w:val="00E24FF4"/>
    <w:rsid w:val="00E2504F"/>
    <w:rsid w:val="00E25122"/>
    <w:rsid w:val="00E265A1"/>
    <w:rsid w:val="00E26658"/>
    <w:rsid w:val="00E26D18"/>
    <w:rsid w:val="00E3023B"/>
    <w:rsid w:val="00E30299"/>
    <w:rsid w:val="00E323AB"/>
    <w:rsid w:val="00E3246A"/>
    <w:rsid w:val="00E328CB"/>
    <w:rsid w:val="00E32CD9"/>
    <w:rsid w:val="00E35D54"/>
    <w:rsid w:val="00E37429"/>
    <w:rsid w:val="00E378A8"/>
    <w:rsid w:val="00E404D8"/>
    <w:rsid w:val="00E446DE"/>
    <w:rsid w:val="00E449B5"/>
    <w:rsid w:val="00E4573E"/>
    <w:rsid w:val="00E503E2"/>
    <w:rsid w:val="00E51DA4"/>
    <w:rsid w:val="00E52DDB"/>
    <w:rsid w:val="00E53622"/>
    <w:rsid w:val="00E56AE3"/>
    <w:rsid w:val="00E60359"/>
    <w:rsid w:val="00E61208"/>
    <w:rsid w:val="00E629B1"/>
    <w:rsid w:val="00E62E81"/>
    <w:rsid w:val="00E63132"/>
    <w:rsid w:val="00E63B9C"/>
    <w:rsid w:val="00E7135B"/>
    <w:rsid w:val="00E716AE"/>
    <w:rsid w:val="00E7282C"/>
    <w:rsid w:val="00E73569"/>
    <w:rsid w:val="00E74EBE"/>
    <w:rsid w:val="00E80250"/>
    <w:rsid w:val="00E80548"/>
    <w:rsid w:val="00E82E7C"/>
    <w:rsid w:val="00E84067"/>
    <w:rsid w:val="00E84E23"/>
    <w:rsid w:val="00E85781"/>
    <w:rsid w:val="00E86608"/>
    <w:rsid w:val="00E87594"/>
    <w:rsid w:val="00E8791C"/>
    <w:rsid w:val="00E92F5D"/>
    <w:rsid w:val="00E9318A"/>
    <w:rsid w:val="00E939EB"/>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A95"/>
    <w:rsid w:val="00EA6D1D"/>
    <w:rsid w:val="00EA784E"/>
    <w:rsid w:val="00EB29B5"/>
    <w:rsid w:val="00EB45F9"/>
    <w:rsid w:val="00EB7A31"/>
    <w:rsid w:val="00EC1802"/>
    <w:rsid w:val="00EC2E49"/>
    <w:rsid w:val="00EC3751"/>
    <w:rsid w:val="00EC6E3B"/>
    <w:rsid w:val="00EC7172"/>
    <w:rsid w:val="00EC79DE"/>
    <w:rsid w:val="00EC79DF"/>
    <w:rsid w:val="00ED0124"/>
    <w:rsid w:val="00ED09DD"/>
    <w:rsid w:val="00ED13E6"/>
    <w:rsid w:val="00ED2321"/>
    <w:rsid w:val="00ED2E2A"/>
    <w:rsid w:val="00ED3502"/>
    <w:rsid w:val="00ED4F9F"/>
    <w:rsid w:val="00ED5846"/>
    <w:rsid w:val="00ED5966"/>
    <w:rsid w:val="00ED6B85"/>
    <w:rsid w:val="00ED6DF5"/>
    <w:rsid w:val="00ED75A1"/>
    <w:rsid w:val="00EE0B5D"/>
    <w:rsid w:val="00EE3506"/>
    <w:rsid w:val="00EE3ADB"/>
    <w:rsid w:val="00EE48DB"/>
    <w:rsid w:val="00EE579F"/>
    <w:rsid w:val="00EE7087"/>
    <w:rsid w:val="00EF1F68"/>
    <w:rsid w:val="00EF3FCB"/>
    <w:rsid w:val="00EF59E1"/>
    <w:rsid w:val="00EF5C1D"/>
    <w:rsid w:val="00EF6D9D"/>
    <w:rsid w:val="00F0051B"/>
    <w:rsid w:val="00F009B0"/>
    <w:rsid w:val="00F00D7D"/>
    <w:rsid w:val="00F01CC5"/>
    <w:rsid w:val="00F02735"/>
    <w:rsid w:val="00F027E5"/>
    <w:rsid w:val="00F02D5B"/>
    <w:rsid w:val="00F032A5"/>
    <w:rsid w:val="00F04922"/>
    <w:rsid w:val="00F05C36"/>
    <w:rsid w:val="00F05E67"/>
    <w:rsid w:val="00F0790A"/>
    <w:rsid w:val="00F101C3"/>
    <w:rsid w:val="00F10299"/>
    <w:rsid w:val="00F10D11"/>
    <w:rsid w:val="00F12C93"/>
    <w:rsid w:val="00F13CDD"/>
    <w:rsid w:val="00F143E3"/>
    <w:rsid w:val="00F15022"/>
    <w:rsid w:val="00F1793A"/>
    <w:rsid w:val="00F17BC9"/>
    <w:rsid w:val="00F21052"/>
    <w:rsid w:val="00F21901"/>
    <w:rsid w:val="00F22125"/>
    <w:rsid w:val="00F23FF3"/>
    <w:rsid w:val="00F24A00"/>
    <w:rsid w:val="00F24BEE"/>
    <w:rsid w:val="00F26D42"/>
    <w:rsid w:val="00F30A8E"/>
    <w:rsid w:val="00F3369B"/>
    <w:rsid w:val="00F376CB"/>
    <w:rsid w:val="00F400FD"/>
    <w:rsid w:val="00F41661"/>
    <w:rsid w:val="00F41F42"/>
    <w:rsid w:val="00F42702"/>
    <w:rsid w:val="00F437BA"/>
    <w:rsid w:val="00F43BDA"/>
    <w:rsid w:val="00F4600A"/>
    <w:rsid w:val="00F46EDD"/>
    <w:rsid w:val="00F52224"/>
    <w:rsid w:val="00F52B99"/>
    <w:rsid w:val="00F53856"/>
    <w:rsid w:val="00F53B0E"/>
    <w:rsid w:val="00F53C08"/>
    <w:rsid w:val="00F53DD4"/>
    <w:rsid w:val="00F53E2F"/>
    <w:rsid w:val="00F53E77"/>
    <w:rsid w:val="00F556FF"/>
    <w:rsid w:val="00F55805"/>
    <w:rsid w:val="00F567D4"/>
    <w:rsid w:val="00F572F8"/>
    <w:rsid w:val="00F57887"/>
    <w:rsid w:val="00F60B2C"/>
    <w:rsid w:val="00F62862"/>
    <w:rsid w:val="00F634C1"/>
    <w:rsid w:val="00F65BD7"/>
    <w:rsid w:val="00F66932"/>
    <w:rsid w:val="00F66BCB"/>
    <w:rsid w:val="00F67BFD"/>
    <w:rsid w:val="00F70FE8"/>
    <w:rsid w:val="00F71252"/>
    <w:rsid w:val="00F730FF"/>
    <w:rsid w:val="00F74C92"/>
    <w:rsid w:val="00F762B5"/>
    <w:rsid w:val="00F77A1E"/>
    <w:rsid w:val="00F817EF"/>
    <w:rsid w:val="00F821FD"/>
    <w:rsid w:val="00F83364"/>
    <w:rsid w:val="00F85512"/>
    <w:rsid w:val="00F85AA2"/>
    <w:rsid w:val="00F85F8E"/>
    <w:rsid w:val="00F90CB0"/>
    <w:rsid w:val="00F91970"/>
    <w:rsid w:val="00F92B0C"/>
    <w:rsid w:val="00F92FDE"/>
    <w:rsid w:val="00F93CC4"/>
    <w:rsid w:val="00F93F55"/>
    <w:rsid w:val="00F955B0"/>
    <w:rsid w:val="00F95688"/>
    <w:rsid w:val="00F957BA"/>
    <w:rsid w:val="00F975D6"/>
    <w:rsid w:val="00FA292F"/>
    <w:rsid w:val="00FA308D"/>
    <w:rsid w:val="00FA33AA"/>
    <w:rsid w:val="00FA3F14"/>
    <w:rsid w:val="00FB00C8"/>
    <w:rsid w:val="00FB304F"/>
    <w:rsid w:val="00FB319E"/>
    <w:rsid w:val="00FB324E"/>
    <w:rsid w:val="00FB32D8"/>
    <w:rsid w:val="00FB38B9"/>
    <w:rsid w:val="00FB3B31"/>
    <w:rsid w:val="00FB4AE7"/>
    <w:rsid w:val="00FB7945"/>
    <w:rsid w:val="00FB7FF0"/>
    <w:rsid w:val="00FC0825"/>
    <w:rsid w:val="00FC1C28"/>
    <w:rsid w:val="00FC24A4"/>
    <w:rsid w:val="00FC3791"/>
    <w:rsid w:val="00FC3FBE"/>
    <w:rsid w:val="00FC52AE"/>
    <w:rsid w:val="00FC6EF3"/>
    <w:rsid w:val="00FC6F91"/>
    <w:rsid w:val="00FD05DB"/>
    <w:rsid w:val="00FD0954"/>
    <w:rsid w:val="00FD14FB"/>
    <w:rsid w:val="00FD1ABC"/>
    <w:rsid w:val="00FD1B3C"/>
    <w:rsid w:val="00FD3107"/>
    <w:rsid w:val="00FD3920"/>
    <w:rsid w:val="00FD42D2"/>
    <w:rsid w:val="00FD45CC"/>
    <w:rsid w:val="00FD543E"/>
    <w:rsid w:val="00FD6210"/>
    <w:rsid w:val="00FE05D9"/>
    <w:rsid w:val="00FE0DF4"/>
    <w:rsid w:val="00FE3675"/>
    <w:rsid w:val="00FE4759"/>
    <w:rsid w:val="00FE4C7C"/>
    <w:rsid w:val="00FE55D0"/>
    <w:rsid w:val="00FE61C1"/>
    <w:rsid w:val="00FE64C5"/>
    <w:rsid w:val="00FF0BB2"/>
    <w:rsid w:val="00FF0E00"/>
    <w:rsid w:val="00FF0FE6"/>
    <w:rsid w:val="00FF1B82"/>
    <w:rsid w:val="00FF4426"/>
    <w:rsid w:val="00FF4BCD"/>
    <w:rsid w:val="00FF4FD0"/>
    <w:rsid w:val="00FF59E3"/>
    <w:rsid w:val="00FF6527"/>
    <w:rsid w:val="00FF69FC"/>
    <w:rsid w:val="00FF7011"/>
    <w:rsid w:val="01402F66"/>
    <w:rsid w:val="031248D4"/>
    <w:rsid w:val="03F87624"/>
    <w:rsid w:val="0566472D"/>
    <w:rsid w:val="069F2485"/>
    <w:rsid w:val="07D61726"/>
    <w:rsid w:val="08877E02"/>
    <w:rsid w:val="09A43975"/>
    <w:rsid w:val="0AA4682B"/>
    <w:rsid w:val="0CD0072F"/>
    <w:rsid w:val="0D3E7A34"/>
    <w:rsid w:val="0D416A1D"/>
    <w:rsid w:val="13CF62D7"/>
    <w:rsid w:val="16534C3D"/>
    <w:rsid w:val="16FB6164"/>
    <w:rsid w:val="187F2165"/>
    <w:rsid w:val="1A683FA5"/>
    <w:rsid w:val="1D677AC7"/>
    <w:rsid w:val="1FC0645B"/>
    <w:rsid w:val="2121073C"/>
    <w:rsid w:val="268A16FF"/>
    <w:rsid w:val="26DF4E5F"/>
    <w:rsid w:val="28220DFE"/>
    <w:rsid w:val="2DBD10A7"/>
    <w:rsid w:val="2E9C62B5"/>
    <w:rsid w:val="344D717F"/>
    <w:rsid w:val="364D529E"/>
    <w:rsid w:val="37B417AE"/>
    <w:rsid w:val="389238FA"/>
    <w:rsid w:val="38937FD2"/>
    <w:rsid w:val="41D7407F"/>
    <w:rsid w:val="425622E6"/>
    <w:rsid w:val="42E22237"/>
    <w:rsid w:val="445609DE"/>
    <w:rsid w:val="46754484"/>
    <w:rsid w:val="497E1A20"/>
    <w:rsid w:val="4CE90687"/>
    <w:rsid w:val="4D166B68"/>
    <w:rsid w:val="4DFC300E"/>
    <w:rsid w:val="4F7C2711"/>
    <w:rsid w:val="513B3885"/>
    <w:rsid w:val="55034069"/>
    <w:rsid w:val="56EA4E79"/>
    <w:rsid w:val="5B22220B"/>
    <w:rsid w:val="5BEB29E9"/>
    <w:rsid w:val="5BFA45A8"/>
    <w:rsid w:val="5CB9790B"/>
    <w:rsid w:val="5E897F6E"/>
    <w:rsid w:val="5F1D7769"/>
    <w:rsid w:val="61EA0889"/>
    <w:rsid w:val="679440FF"/>
    <w:rsid w:val="69B06CC0"/>
    <w:rsid w:val="6A3E4024"/>
    <w:rsid w:val="6FB35185"/>
    <w:rsid w:val="72EA361E"/>
    <w:rsid w:val="753A6E01"/>
    <w:rsid w:val="75855555"/>
    <w:rsid w:val="76B3738B"/>
    <w:rsid w:val="7E1067E6"/>
    <w:rsid w:val="7E6A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jc w:val="center"/>
      <w:outlineLvl w:val="0"/>
    </w:pPr>
    <w:rPr>
      <w:bCs/>
      <w:kern w:val="44"/>
      <w:sz w:val="36"/>
      <w:szCs w:val="44"/>
      <w:lang w:val="zh-CN"/>
    </w:rPr>
  </w:style>
  <w:style w:type="paragraph" w:styleId="3">
    <w:name w:val="heading 2"/>
    <w:basedOn w:val="1"/>
    <w:next w:val="1"/>
    <w:link w:val="47"/>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lang w:val="zh-CN"/>
    </w:rPr>
  </w:style>
  <w:style w:type="paragraph" w:styleId="4">
    <w:name w:val="heading 3"/>
    <w:basedOn w:val="1"/>
    <w:next w:val="1"/>
    <w:link w:val="48"/>
    <w:unhideWhenUsed/>
    <w:qFormat/>
    <w:uiPriority w:val="0"/>
    <w:pPr>
      <w:keepNext/>
      <w:keepLines/>
      <w:spacing w:line="560" w:lineRule="exact"/>
      <w:ind w:firstLine="200" w:firstLineChars="200"/>
      <w:outlineLvl w:val="2"/>
    </w:pPr>
    <w:rPr>
      <w:b/>
      <w:bCs/>
      <w:sz w:val="28"/>
      <w:szCs w:val="32"/>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semiHidden/>
    <w:qFormat/>
    <w:uiPriority w:val="0"/>
    <w:pPr>
      <w:jc w:val="left"/>
    </w:pPr>
  </w:style>
  <w:style w:type="paragraph" w:styleId="7">
    <w:name w:val="Salutation"/>
    <w:basedOn w:val="1"/>
    <w:next w:val="1"/>
    <w:link w:val="31"/>
    <w:qFormat/>
    <w:uiPriority w:val="0"/>
    <w:rPr>
      <w:rFonts w:eastAsia="仿宋_GB2312"/>
      <w:sz w:val="28"/>
      <w:lang w:val="zh-CN"/>
    </w:rPr>
  </w:style>
  <w:style w:type="paragraph" w:styleId="8">
    <w:name w:val="Body Text Indent"/>
    <w:basedOn w:val="1"/>
    <w:qFormat/>
    <w:uiPriority w:val="0"/>
    <w:pPr>
      <w:ind w:firstLine="560" w:firstLineChars="200"/>
    </w:pPr>
    <w:rPr>
      <w:rFonts w:ascii="仿宋_GB2312" w:eastAsia="仿宋_GB2312"/>
      <w:sz w:val="28"/>
    </w:rPr>
  </w:style>
  <w:style w:type="paragraph" w:styleId="9">
    <w:name w:val="toc 3"/>
    <w:basedOn w:val="1"/>
    <w:next w:val="1"/>
    <w:qFormat/>
    <w:uiPriority w:val="39"/>
    <w:pPr>
      <w:ind w:left="840" w:leftChars="400"/>
    </w:pPr>
  </w:style>
  <w:style w:type="paragraph" w:styleId="10">
    <w:name w:val="Plain Text"/>
    <w:basedOn w:val="1"/>
    <w:link w:val="35"/>
    <w:qFormat/>
    <w:uiPriority w:val="0"/>
    <w:rPr>
      <w:rFonts w:ascii="宋体" w:hAnsi="Courier New"/>
      <w:szCs w:val="20"/>
    </w:rPr>
  </w:style>
  <w:style w:type="paragraph" w:styleId="11">
    <w:name w:val="Date"/>
    <w:basedOn w:val="1"/>
    <w:next w:val="1"/>
    <w:qFormat/>
    <w:uiPriority w:val="0"/>
    <w:pPr>
      <w:ind w:left="100" w:leftChars="2500"/>
    </w:pPr>
    <w:rPr>
      <w:rFonts w:ascii="楷体_GB2312" w:eastAsia="楷体_GB2312"/>
      <w:color w:val="FF0000"/>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6"/>
    <w:next w:val="6"/>
    <w:semiHidden/>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tpc_content"/>
    <w:basedOn w:val="22"/>
    <w:qFormat/>
    <w:uiPriority w:val="0"/>
  </w:style>
  <w:style w:type="character" w:customStyle="1" w:styleId="28">
    <w:name w:val="nb_dis"/>
    <w:basedOn w:val="22"/>
    <w:qFormat/>
    <w:uiPriority w:val="0"/>
  </w:style>
  <w:style w:type="character" w:customStyle="1" w:styleId="29">
    <w:name w:val="normal1"/>
    <w:qFormat/>
    <w:uiPriority w:val="0"/>
    <w:rPr>
      <w:rFonts w:hint="default" w:ascii="Tahoma" w:hAnsi="Tahoma" w:cs="Tahoma"/>
      <w:sz w:val="18"/>
      <w:szCs w:val="18"/>
    </w:rPr>
  </w:style>
  <w:style w:type="character" w:customStyle="1" w:styleId="30">
    <w:name w:val="img_wrapper_img_descr"/>
    <w:qFormat/>
    <w:uiPriority w:val="0"/>
  </w:style>
  <w:style w:type="character" w:customStyle="1" w:styleId="31">
    <w:name w:val="称呼 Char"/>
    <w:link w:val="7"/>
    <w:qFormat/>
    <w:uiPriority w:val="0"/>
    <w:rPr>
      <w:rFonts w:eastAsia="仿宋_GB2312"/>
      <w:kern w:val="2"/>
      <w:sz w:val="28"/>
      <w:szCs w:val="24"/>
    </w:rPr>
  </w:style>
  <w:style w:type="character" w:customStyle="1" w:styleId="32">
    <w:name w:val="apple-converted-space"/>
    <w:qFormat/>
    <w:uiPriority w:val="0"/>
  </w:style>
  <w:style w:type="character" w:customStyle="1" w:styleId="33">
    <w:name w:val="cctt"/>
    <w:basedOn w:val="22"/>
    <w:qFormat/>
    <w:uiPriority w:val="0"/>
  </w:style>
  <w:style w:type="character" w:customStyle="1" w:styleId="34">
    <w:name w:val="ellipsis"/>
    <w:basedOn w:val="22"/>
    <w:qFormat/>
    <w:uiPriority w:val="0"/>
  </w:style>
  <w:style w:type="character" w:customStyle="1" w:styleId="35">
    <w:name w:val="纯文本 Char"/>
    <w:link w:val="10"/>
    <w:qFormat/>
    <w:locked/>
    <w:uiPriority w:val="0"/>
    <w:rPr>
      <w:rFonts w:ascii="宋体" w:hAnsi="Courier New" w:eastAsia="宋体"/>
      <w:kern w:val="2"/>
      <w:sz w:val="21"/>
      <w:lang w:val="en-US" w:eastAsia="zh-CN" w:bidi="ar-SA"/>
    </w:rPr>
  </w:style>
  <w:style w:type="character" w:customStyle="1" w:styleId="36">
    <w:name w:val="style11"/>
    <w:qFormat/>
    <w:uiPriority w:val="0"/>
    <w:rPr>
      <w:color w:val="000000"/>
    </w:rPr>
  </w:style>
  <w:style w:type="paragraph" w:customStyle="1" w:styleId="37">
    <w:name w:val="Char Char"/>
    <w:basedOn w:val="1"/>
    <w:qFormat/>
    <w:uiPriority w:val="0"/>
    <w:rPr>
      <w:szCs w:val="20"/>
    </w:rPr>
  </w:style>
  <w:style w:type="paragraph" w:customStyle="1" w:styleId="38">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Char"/>
    <w:basedOn w:val="1"/>
    <w:qFormat/>
    <w:uiPriority w:val="0"/>
    <w:rPr>
      <w:rFonts w:ascii="Tahoma" w:hAnsi="Tahoma"/>
      <w:sz w:val="24"/>
      <w:szCs w:val="20"/>
    </w:rPr>
  </w:style>
  <w:style w:type="paragraph" w:customStyle="1" w:styleId="40">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1">
    <w:name w:val="表"/>
    <w:basedOn w:val="1"/>
    <w:qFormat/>
    <w:uiPriority w:val="0"/>
    <w:pPr>
      <w:spacing w:beforeLines="10" w:afterLines="10"/>
      <w:jc w:val="center"/>
    </w:pPr>
    <w:rPr>
      <w:szCs w:val="20"/>
    </w:rPr>
  </w:style>
  <w:style w:type="paragraph" w:customStyle="1" w:styleId="42">
    <w:name w:val="_Style 19"/>
    <w:basedOn w:val="1"/>
    <w:qFormat/>
    <w:uiPriority w:val="0"/>
    <w:rPr>
      <w:szCs w:val="20"/>
    </w:rPr>
  </w:style>
  <w:style w:type="paragraph" w:customStyle="1" w:styleId="43">
    <w:name w:val="Char Char1 Char Char Char Char"/>
    <w:basedOn w:val="1"/>
    <w:qFormat/>
    <w:uiPriority w:val="0"/>
    <w:rPr>
      <w:szCs w:val="20"/>
    </w:rPr>
  </w:style>
  <w:style w:type="paragraph" w:customStyle="1" w:styleId="44">
    <w:name w:val="Char Char1 Char Char Char Char Char Char1 Char Char"/>
    <w:basedOn w:val="1"/>
    <w:qFormat/>
    <w:uiPriority w:val="0"/>
    <w:rPr>
      <w:szCs w:val="20"/>
    </w:rPr>
  </w:style>
  <w:style w:type="paragraph" w:customStyle="1" w:styleId="45">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1 Char"/>
    <w:link w:val="2"/>
    <w:qFormat/>
    <w:uiPriority w:val="0"/>
    <w:rPr>
      <w:bCs/>
      <w:kern w:val="44"/>
      <w:sz w:val="36"/>
      <w:szCs w:val="44"/>
    </w:rPr>
  </w:style>
  <w:style w:type="character" w:customStyle="1" w:styleId="47">
    <w:name w:val="标题 2 Char"/>
    <w:link w:val="3"/>
    <w:qFormat/>
    <w:uiPriority w:val="9"/>
    <w:rPr>
      <w:rFonts w:ascii="宋体" w:hAnsi="宋体" w:eastAsia="宋体"/>
      <w:b/>
      <w:bCs/>
      <w:color w:val="222222"/>
      <w:spacing w:val="8"/>
      <w:sz w:val="28"/>
      <w:szCs w:val="28"/>
      <w:lang w:val="zh-CN" w:eastAsia="zh-CN"/>
    </w:rPr>
  </w:style>
  <w:style w:type="character" w:customStyle="1" w:styleId="48">
    <w:name w:val="标题 3 Char"/>
    <w:link w:val="4"/>
    <w:qFormat/>
    <w:uiPriority w:val="0"/>
    <w:rPr>
      <w:rFonts w:eastAsia="宋体"/>
      <w:b/>
      <w:bCs/>
      <w:kern w:val="2"/>
      <w:sz w:val="28"/>
      <w:szCs w:val="32"/>
    </w:rPr>
  </w:style>
  <w:style w:type="paragraph" w:customStyle="1" w:styleId="49">
    <w:name w:val="TOC 标题1"/>
    <w:basedOn w:val="2"/>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0">
    <w:name w:val="font01"/>
    <w:basedOn w:val="22"/>
    <w:qFormat/>
    <w:uiPriority w:val="0"/>
    <w:rPr>
      <w:rFonts w:hint="eastAsia" w:ascii="宋体" w:hAnsi="宋体" w:eastAsia="宋体" w:cs="宋体"/>
      <w:color w:val="000000"/>
      <w:sz w:val="24"/>
      <w:szCs w:val="24"/>
      <w:u w:val="none"/>
      <w:vertAlign w:val="superscript"/>
    </w:rPr>
  </w:style>
  <w:style w:type="character" w:customStyle="1" w:styleId="51">
    <w:name w:val="font11"/>
    <w:basedOn w:val="22"/>
    <w:qFormat/>
    <w:uiPriority w:val="0"/>
    <w:rPr>
      <w:rFonts w:hint="eastAsia" w:ascii="宋体" w:hAnsi="宋体" w:eastAsia="宋体" w:cs="宋体"/>
      <w:color w:val="000000"/>
      <w:sz w:val="24"/>
      <w:szCs w:val="24"/>
      <w:u w:val="none"/>
    </w:rPr>
  </w:style>
  <w:style w:type="character" w:customStyle="1" w:styleId="52">
    <w:name w:val="font61"/>
    <w:basedOn w:val="22"/>
    <w:qFormat/>
    <w:uiPriority w:val="0"/>
    <w:rPr>
      <w:rFonts w:hint="eastAsia" w:ascii="宋体" w:hAnsi="宋体" w:eastAsia="宋体" w:cs="宋体"/>
      <w:color w:val="000000"/>
      <w:sz w:val="24"/>
      <w:szCs w:val="24"/>
      <w:u w:val="none"/>
    </w:rPr>
  </w:style>
  <w:style w:type="character" w:customStyle="1" w:styleId="53">
    <w:name w:val="font51"/>
    <w:basedOn w:val="22"/>
    <w:qFormat/>
    <w:uiPriority w:val="0"/>
    <w:rPr>
      <w:rFonts w:hint="default" w:ascii="仿宋_GB2312" w:eastAsia="仿宋_GB2312" w:cs="仿宋_GB2312"/>
      <w:color w:val="000000"/>
      <w:sz w:val="24"/>
      <w:szCs w:val="24"/>
      <w:u w:val="none"/>
    </w:rPr>
  </w:style>
  <w:style w:type="character" w:customStyle="1" w:styleId="54">
    <w:name w:val="font41"/>
    <w:basedOn w:val="22"/>
    <w:qFormat/>
    <w:uiPriority w:val="0"/>
    <w:rPr>
      <w:rFonts w:hint="default" w:ascii="仿宋_GB2312" w:eastAsia="仿宋_GB2312" w:cs="仿宋_GB2312"/>
      <w:color w:val="000000"/>
      <w:sz w:val="24"/>
      <w:szCs w:val="24"/>
      <w:u w:val="none"/>
    </w:rPr>
  </w:style>
  <w:style w:type="paragraph" w:styleId="5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44EE5-E743-4E50-A06F-6D3F796387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1812</Words>
  <Characters>10331</Characters>
  <Lines>86</Lines>
  <Paragraphs>24</Paragraphs>
  <TotalTime>229</TotalTime>
  <ScaleCrop>false</ScaleCrop>
  <LinksUpToDate>false</LinksUpToDate>
  <CharactersWithSpaces>12119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荣子哒乐斋</cp:lastModifiedBy>
  <cp:lastPrinted>2020-04-09T08:35:00Z</cp:lastPrinted>
  <dcterms:modified xsi:type="dcterms:W3CDTF">2020-05-18T08:12:14Z</dcterms:modified>
  <dc:title>估价项目名称：山东德棉集团有限公司所属德州顺河西路18号房产抵押估价报告</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