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r>
        <w:rPr>
          <w:rFonts w:hint="eastAsia" w:ascii="仿宋" w:hAnsi="仿宋" w:eastAsia="仿宋" w:cs="仿宋"/>
          <w:b/>
          <w:sz w:val="48"/>
          <w:highlight w:val="none"/>
        </w:rPr>
        <w:t>房地产估价报告</w:t>
      </w:r>
    </w:p>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p>
    <w:p>
      <w:pPr>
        <w:adjustRightInd w:val="0"/>
        <w:snapToGrid w:val="0"/>
        <w:jc w:val="center"/>
        <w:rPr>
          <w:rFonts w:hint="eastAsia" w:ascii="仿宋" w:hAnsi="仿宋" w:eastAsia="仿宋" w:cs="仿宋"/>
          <w:b/>
          <w:sz w:val="48"/>
          <w:highlight w:val="none"/>
        </w:rPr>
      </w:pPr>
    </w:p>
    <w:p>
      <w:pPr>
        <w:adjustRightInd w:val="0"/>
        <w:snapToGrid w:val="0"/>
        <w:ind w:firstLine="1590"/>
        <w:rPr>
          <w:rFonts w:hint="eastAsia" w:ascii="仿宋" w:hAnsi="仿宋" w:eastAsia="仿宋" w:cs="仿宋"/>
          <w:b/>
          <w:sz w:val="28"/>
          <w:highlight w:val="none"/>
        </w:rPr>
      </w:pPr>
    </w:p>
    <w:p>
      <w:pPr>
        <w:adjustRightInd w:val="0"/>
        <w:snapToGrid w:val="0"/>
        <w:ind w:firstLine="1590"/>
        <w:rPr>
          <w:rFonts w:hint="eastAsia" w:ascii="仿宋" w:hAnsi="仿宋" w:eastAsia="仿宋" w:cs="仿宋"/>
          <w:b/>
          <w:sz w:val="28"/>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2395" w:leftChars="399" w:hanging="1546" w:hangingChars="479"/>
        <w:textAlignment w:val="auto"/>
        <w:rPr>
          <w:rFonts w:hint="eastAsia" w:ascii="仿宋" w:hAnsi="仿宋" w:eastAsia="仿宋" w:cs="仿宋"/>
          <w:b/>
          <w:bCs/>
          <w:snapToGrid w:val="0"/>
          <w:spacing w:val="20"/>
          <w:kern w:val="0"/>
          <w:sz w:val="32"/>
          <w:szCs w:val="32"/>
          <w:highlight w:val="none"/>
        </w:rPr>
      </w:pPr>
      <w:r>
        <w:rPr>
          <w:rFonts w:hint="eastAsia" w:ascii="仿宋" w:hAnsi="仿宋" w:eastAsia="仿宋" w:cs="仿宋"/>
          <w:b/>
          <w:sz w:val="32"/>
          <w:highlight w:val="none"/>
        </w:rPr>
        <w:t>项目名称：</w:t>
      </w:r>
      <w:r>
        <w:rPr>
          <w:rFonts w:hint="eastAsia" w:ascii="仿宋" w:hAnsi="仿宋" w:eastAsia="仿宋" w:cs="仿宋"/>
          <w:b/>
          <w:sz w:val="32"/>
          <w:highlight w:val="none"/>
          <w:lang w:eastAsia="zh-CN"/>
        </w:rPr>
        <w:t>安顺市平坝区城关镇顺城村一幢住宅房地产</w:t>
      </w:r>
      <w:r>
        <w:rPr>
          <w:rFonts w:hint="eastAsia" w:ascii="仿宋" w:hAnsi="仿宋" w:eastAsia="仿宋" w:cs="仿宋"/>
          <w:b/>
          <w:bCs/>
          <w:snapToGrid w:val="0"/>
          <w:spacing w:val="20"/>
          <w:kern w:val="0"/>
          <w:sz w:val="32"/>
          <w:szCs w:val="32"/>
          <w:highlight w:val="none"/>
        </w:rPr>
        <w:t>市场价值估价项目</w:t>
      </w:r>
    </w:p>
    <w:p>
      <w:pPr>
        <w:keepNext w:val="0"/>
        <w:keepLines w:val="0"/>
        <w:pageBreakBefore w:val="0"/>
        <w:widowControl w:val="0"/>
        <w:kinsoku/>
        <w:wordWrap/>
        <w:overflowPunct/>
        <w:topLinePunct w:val="0"/>
        <w:autoSpaceDE/>
        <w:autoSpaceDN/>
        <w:bidi w:val="0"/>
        <w:adjustRightInd w:val="0"/>
        <w:snapToGrid w:val="0"/>
        <w:spacing w:line="360" w:lineRule="auto"/>
        <w:ind w:left="2587" w:leftChars="399" w:hanging="1738" w:hangingChars="479"/>
        <w:textAlignment w:val="auto"/>
        <w:rPr>
          <w:rFonts w:hint="eastAsia" w:ascii="仿宋" w:hAnsi="仿宋" w:eastAsia="仿宋" w:cs="仿宋"/>
          <w:b/>
          <w:bCs/>
          <w:snapToGrid w:val="0"/>
          <w:spacing w:val="2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842" w:firstLineChars="261"/>
        <w:textAlignment w:val="auto"/>
        <w:rPr>
          <w:rFonts w:hint="eastAsia" w:ascii="仿宋" w:hAnsi="仿宋" w:eastAsia="仿宋" w:cs="仿宋"/>
          <w:b/>
          <w:sz w:val="32"/>
          <w:highlight w:val="none"/>
        </w:rPr>
      </w:pPr>
      <w:r>
        <w:rPr>
          <w:rFonts w:hint="eastAsia" w:ascii="仿宋" w:hAnsi="仿宋" w:eastAsia="仿宋" w:cs="仿宋"/>
          <w:b/>
          <w:sz w:val="32"/>
          <w:highlight w:val="none"/>
        </w:rPr>
        <w:t>估价委托人：</w:t>
      </w:r>
      <w:r>
        <w:rPr>
          <w:rFonts w:hint="eastAsia" w:ascii="仿宋" w:hAnsi="仿宋" w:eastAsia="仿宋" w:cs="仿宋"/>
          <w:b/>
          <w:sz w:val="32"/>
          <w:highlight w:val="none"/>
          <w:lang w:eastAsia="zh-CN"/>
        </w:rPr>
        <w:t>安顺市平坝区人民法院</w:t>
      </w:r>
    </w:p>
    <w:p>
      <w:pPr>
        <w:keepNext w:val="0"/>
        <w:keepLines w:val="0"/>
        <w:pageBreakBefore w:val="0"/>
        <w:widowControl w:val="0"/>
        <w:kinsoku/>
        <w:wordWrap/>
        <w:overflowPunct/>
        <w:topLinePunct w:val="0"/>
        <w:autoSpaceDE/>
        <w:autoSpaceDN/>
        <w:bidi w:val="0"/>
        <w:adjustRightInd w:val="0"/>
        <w:snapToGrid w:val="0"/>
        <w:spacing w:line="360" w:lineRule="auto"/>
        <w:ind w:firstLine="842" w:firstLineChars="261"/>
        <w:textAlignment w:val="auto"/>
        <w:rPr>
          <w:rFonts w:hint="eastAsia" w:ascii="仿宋" w:hAnsi="仿宋" w:eastAsia="仿宋" w:cs="仿宋"/>
          <w:b/>
          <w:sz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842" w:firstLineChars="261"/>
        <w:textAlignment w:val="auto"/>
        <w:rPr>
          <w:rFonts w:hint="eastAsia" w:ascii="仿宋" w:hAnsi="仿宋" w:eastAsia="仿宋" w:cs="仿宋"/>
          <w:b/>
          <w:spacing w:val="-20"/>
          <w:sz w:val="32"/>
          <w:highlight w:val="none"/>
        </w:rPr>
      </w:pPr>
      <w:r>
        <w:rPr>
          <w:rFonts w:hint="eastAsia" w:ascii="仿宋" w:hAnsi="仿宋" w:eastAsia="仿宋" w:cs="仿宋"/>
          <w:b/>
          <w:sz w:val="32"/>
          <w:highlight w:val="none"/>
        </w:rPr>
        <w:t>房地产估价机构：</w:t>
      </w:r>
      <w:r>
        <w:rPr>
          <w:rFonts w:hint="eastAsia" w:ascii="仿宋" w:hAnsi="仿宋" w:eastAsia="仿宋" w:cs="仿宋"/>
          <w:b/>
          <w:spacing w:val="-20"/>
          <w:sz w:val="32"/>
          <w:highlight w:val="none"/>
        </w:rPr>
        <w:t>四川诺力达资产评估房地产土地估价有限公司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737" w:firstLineChars="261"/>
        <w:textAlignment w:val="auto"/>
        <w:rPr>
          <w:rFonts w:hint="eastAsia" w:ascii="仿宋" w:hAnsi="仿宋" w:eastAsia="仿宋" w:cs="仿宋"/>
          <w:b/>
          <w:spacing w:val="-20"/>
          <w:sz w:val="32"/>
          <w:highlight w:val="none"/>
        </w:rPr>
      </w:pPr>
    </w:p>
    <w:p>
      <w:pPr>
        <w:keepNext w:val="0"/>
        <w:keepLines w:val="0"/>
        <w:pageBreakBefore w:val="0"/>
        <w:widowControl w:val="0"/>
        <w:kinsoku/>
        <w:wordWrap/>
        <w:overflowPunct/>
        <w:topLinePunct w:val="0"/>
        <w:autoSpaceDE/>
        <w:autoSpaceDN/>
        <w:bidi w:val="0"/>
        <w:spacing w:line="360" w:lineRule="auto"/>
        <w:ind w:firstLine="842" w:firstLineChars="261"/>
        <w:textAlignment w:val="auto"/>
        <w:rPr>
          <w:rFonts w:hint="eastAsia" w:ascii="仿宋" w:hAnsi="仿宋" w:eastAsia="仿宋" w:cs="仿宋"/>
          <w:b/>
          <w:bCs/>
          <w:spacing w:val="-8"/>
          <w:position w:val="6"/>
          <w:sz w:val="32"/>
          <w:highlight w:val="none"/>
        </w:rPr>
      </w:pPr>
      <w:r>
        <w:rPr>
          <w:rFonts w:hint="eastAsia" w:ascii="仿宋" w:hAnsi="仿宋" w:eastAsia="仿宋" w:cs="仿宋"/>
          <w:b/>
          <w:sz w:val="32"/>
          <w:highlight w:val="none"/>
        </w:rPr>
        <w:t>注册房地产估价师：</w:t>
      </w:r>
      <w:r>
        <w:rPr>
          <w:rFonts w:hint="eastAsia" w:ascii="仿宋" w:hAnsi="仿宋" w:eastAsia="仿宋" w:cs="仿宋"/>
          <w:b/>
          <w:bCs/>
          <w:spacing w:val="-8"/>
          <w:position w:val="6"/>
          <w:sz w:val="32"/>
          <w:highlight w:val="none"/>
        </w:rPr>
        <w:t>韩朝钦(注册号5220140044)</w:t>
      </w:r>
    </w:p>
    <w:p>
      <w:pPr>
        <w:keepNext w:val="0"/>
        <w:keepLines w:val="0"/>
        <w:pageBreakBefore w:val="0"/>
        <w:widowControl w:val="0"/>
        <w:tabs>
          <w:tab w:val="left" w:pos="3826"/>
        </w:tabs>
        <w:kinsoku/>
        <w:wordWrap/>
        <w:overflowPunct/>
        <w:topLinePunct w:val="0"/>
        <w:autoSpaceDE/>
        <w:autoSpaceDN/>
        <w:bidi w:val="0"/>
        <w:spacing w:line="360" w:lineRule="auto"/>
        <w:ind w:firstLine="555" w:firstLineChars="261"/>
        <w:textAlignment w:val="auto"/>
        <w:rPr>
          <w:rFonts w:hint="eastAsia" w:ascii="仿宋" w:hAnsi="仿宋" w:eastAsia="仿宋" w:cs="仿宋"/>
          <w:b/>
          <w:bCs/>
          <w:spacing w:val="-8"/>
          <w:position w:val="6"/>
          <w:sz w:val="32"/>
          <w:highlight w:val="none"/>
        </w:rPr>
      </w:pPr>
      <w:r>
        <w:rPr>
          <w:rFonts w:ascii="仿宋" w:hAnsi="仿宋" w:eastAsia="仿宋" w:cs="仿宋"/>
          <w:highlight w:val="none"/>
        </w:rPr>
        <w:tab/>
      </w:r>
      <w:r>
        <w:rPr>
          <w:rFonts w:hint="eastAsia" w:ascii="仿宋" w:hAnsi="仿宋" w:eastAsia="仿宋" w:cs="仿宋"/>
          <w:b/>
          <w:bCs/>
          <w:spacing w:val="-8"/>
          <w:position w:val="6"/>
          <w:sz w:val="32"/>
          <w:highlight w:val="none"/>
          <w:lang w:eastAsia="zh-CN"/>
        </w:rPr>
        <w:t>张李楠</w:t>
      </w:r>
      <w:r>
        <w:rPr>
          <w:rFonts w:hint="eastAsia" w:ascii="仿宋" w:hAnsi="仿宋" w:eastAsia="仿宋" w:cs="仿宋"/>
          <w:b/>
          <w:bCs/>
          <w:spacing w:val="-8"/>
          <w:position w:val="6"/>
          <w:sz w:val="32"/>
          <w:highlight w:val="none"/>
        </w:rPr>
        <w:t>(</w:t>
      </w:r>
      <w:r>
        <w:rPr>
          <w:rFonts w:hint="eastAsia" w:ascii="仿宋" w:hAnsi="仿宋" w:eastAsia="仿宋" w:cs="仿宋"/>
          <w:b/>
          <w:bCs/>
          <w:spacing w:val="-8"/>
          <w:position w:val="6"/>
          <w:sz w:val="32"/>
          <w:highlight w:val="none"/>
          <w:lang w:eastAsia="zh-CN"/>
        </w:rPr>
        <w:t>注册号5220180051</w:t>
      </w:r>
      <w:r>
        <w:rPr>
          <w:rFonts w:hint="eastAsia" w:ascii="仿宋" w:hAnsi="仿宋" w:eastAsia="仿宋" w:cs="仿宋"/>
          <w:b/>
          <w:bCs/>
          <w:spacing w:val="-8"/>
          <w:position w:val="6"/>
          <w:sz w:val="32"/>
          <w:highlight w:val="none"/>
        </w:rPr>
        <w:t>)</w:t>
      </w:r>
    </w:p>
    <w:p>
      <w:pPr>
        <w:keepNext w:val="0"/>
        <w:keepLines w:val="0"/>
        <w:pageBreakBefore w:val="0"/>
        <w:widowControl w:val="0"/>
        <w:tabs>
          <w:tab w:val="left" w:pos="3826"/>
        </w:tabs>
        <w:kinsoku/>
        <w:wordWrap/>
        <w:overflowPunct/>
        <w:topLinePunct w:val="0"/>
        <w:autoSpaceDE/>
        <w:autoSpaceDN/>
        <w:bidi w:val="0"/>
        <w:spacing w:line="360" w:lineRule="auto"/>
        <w:textAlignment w:val="auto"/>
        <w:rPr>
          <w:rFonts w:hint="eastAsia" w:ascii="仿宋" w:hAnsi="仿宋" w:eastAsia="仿宋" w:cs="仿宋"/>
          <w:b/>
          <w:bCs/>
          <w:spacing w:val="-8"/>
          <w:position w:val="6"/>
          <w:sz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842" w:firstLineChars="261"/>
        <w:textAlignment w:val="auto"/>
        <w:rPr>
          <w:rFonts w:hint="eastAsia" w:ascii="仿宋" w:hAnsi="仿宋" w:eastAsia="仿宋" w:cs="仿宋"/>
          <w:b/>
          <w:sz w:val="32"/>
          <w:highlight w:val="none"/>
          <w:lang w:eastAsia="zh-CN"/>
        </w:rPr>
      </w:pPr>
      <w:r>
        <w:rPr>
          <w:rFonts w:hint="eastAsia" w:ascii="仿宋" w:hAnsi="仿宋" w:eastAsia="仿宋" w:cs="仿宋"/>
          <w:b/>
          <w:sz w:val="32"/>
          <w:highlight w:val="none"/>
        </w:rPr>
        <w:t>估价报告出具日期：</w:t>
      </w:r>
      <w:r>
        <w:rPr>
          <w:rFonts w:hint="eastAsia" w:ascii="仿宋" w:hAnsi="仿宋" w:eastAsia="仿宋" w:cs="仿宋"/>
          <w:b/>
          <w:sz w:val="32"/>
          <w:highlight w:val="none"/>
          <w:lang w:eastAsia="zh-CN"/>
        </w:rPr>
        <w:t>2020年03月04日</w:t>
      </w:r>
    </w:p>
    <w:p>
      <w:pPr>
        <w:keepNext w:val="0"/>
        <w:keepLines w:val="0"/>
        <w:pageBreakBefore w:val="0"/>
        <w:widowControl w:val="0"/>
        <w:kinsoku/>
        <w:wordWrap/>
        <w:overflowPunct/>
        <w:topLinePunct w:val="0"/>
        <w:autoSpaceDE/>
        <w:autoSpaceDN/>
        <w:bidi w:val="0"/>
        <w:adjustRightInd w:val="0"/>
        <w:snapToGrid w:val="0"/>
        <w:spacing w:line="360" w:lineRule="auto"/>
        <w:ind w:firstLine="842" w:firstLineChars="261"/>
        <w:textAlignment w:val="auto"/>
        <w:rPr>
          <w:rFonts w:hint="eastAsia" w:ascii="仿宋" w:hAnsi="仿宋" w:eastAsia="仿宋" w:cs="仿宋"/>
          <w:b/>
          <w:sz w:val="32"/>
          <w:highlight w:val="none"/>
          <w:lang w:eastAsia="zh-CN"/>
        </w:rPr>
      </w:pPr>
    </w:p>
    <w:p>
      <w:pPr>
        <w:keepNext w:val="0"/>
        <w:keepLines w:val="0"/>
        <w:pageBreakBefore w:val="0"/>
        <w:widowControl w:val="0"/>
        <w:kinsoku/>
        <w:wordWrap/>
        <w:overflowPunct/>
        <w:topLinePunct w:val="0"/>
        <w:autoSpaceDE/>
        <w:autoSpaceDN/>
        <w:bidi w:val="0"/>
        <w:spacing w:line="360" w:lineRule="auto"/>
        <w:ind w:firstLine="842" w:firstLineChars="261"/>
        <w:textAlignment w:val="auto"/>
        <w:rPr>
          <w:rFonts w:ascii="仿宋" w:hAnsi="仿宋" w:eastAsia="仿宋" w:cs="仿宋"/>
          <w:b/>
          <w:sz w:val="32"/>
          <w:highlight w:val="none"/>
        </w:rPr>
        <w:sectPr>
          <w:headerReference r:id="rId4" w:type="first"/>
          <w:footerReference r:id="rId7" w:type="first"/>
          <w:headerReference r:id="rId3" w:type="default"/>
          <w:footerReference r:id="rId5" w:type="default"/>
          <w:footerReference r:id="rId6" w:type="even"/>
          <w:pgSz w:w="11906" w:h="16838"/>
          <w:pgMar w:top="1247" w:right="1020" w:bottom="1247" w:left="1497" w:header="851" w:footer="992" w:gutter="0"/>
          <w:pgNumType w:start="1"/>
          <w:cols w:space="720" w:num="1"/>
          <w:docGrid w:type="linesAndChars" w:linePitch="312" w:charSpace="693"/>
        </w:sectPr>
      </w:pPr>
      <w:r>
        <w:rPr>
          <w:rFonts w:hint="eastAsia" w:ascii="仿宋" w:hAnsi="仿宋" w:eastAsia="仿宋" w:cs="仿宋"/>
          <w:b/>
          <w:sz w:val="32"/>
          <w:highlight w:val="none"/>
        </w:rPr>
        <w:t>报告编号：川诺力达房评黔字20</w:t>
      </w:r>
      <w:r>
        <w:rPr>
          <w:rFonts w:hint="eastAsia" w:ascii="仿宋" w:hAnsi="仿宋" w:eastAsia="仿宋" w:cs="仿宋"/>
          <w:b/>
          <w:sz w:val="32"/>
          <w:highlight w:val="none"/>
          <w:lang w:val="en-US" w:eastAsia="zh-CN"/>
        </w:rPr>
        <w:t>20</w:t>
      </w:r>
      <w:r>
        <w:rPr>
          <w:rFonts w:hint="eastAsia" w:ascii="仿宋" w:hAnsi="仿宋" w:eastAsia="仿宋" w:cs="仿宋"/>
          <w:b/>
          <w:sz w:val="32"/>
          <w:highlight w:val="none"/>
        </w:rPr>
        <w:t>第</w:t>
      </w:r>
      <w:r>
        <w:rPr>
          <w:rFonts w:hint="eastAsia" w:ascii="仿宋" w:hAnsi="仿宋" w:eastAsia="仿宋" w:cs="仿宋"/>
          <w:b/>
          <w:sz w:val="32"/>
          <w:highlight w:val="none"/>
          <w:lang w:val="en-US" w:eastAsia="zh-CN"/>
        </w:rPr>
        <w:t>0301</w:t>
      </w:r>
      <w:r>
        <w:rPr>
          <w:rFonts w:hint="eastAsia" w:ascii="仿宋" w:hAnsi="仿宋" w:eastAsia="仿宋" w:cs="仿宋"/>
          <w:b/>
          <w:sz w:val="32"/>
          <w:highlight w:val="none"/>
        </w:rPr>
        <w:t>号</w:t>
      </w:r>
    </w:p>
    <w:p>
      <w:pPr>
        <w:adjustRightInd w:val="0"/>
        <w:snapToGrid w:val="0"/>
        <w:spacing w:line="480" w:lineRule="auto"/>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highlight w:val="none"/>
        </w:rPr>
      </w:pPr>
      <w:r>
        <w:rPr>
          <w:rFonts w:hint="eastAsia" w:ascii="仿宋" w:hAnsi="仿宋" w:eastAsia="仿宋" w:cs="仿宋"/>
          <w:sz w:val="28"/>
          <w:highlight w:val="none"/>
          <w:lang w:eastAsia="zh-CN"/>
        </w:rPr>
        <w:t>安顺市平坝区人民法院</w:t>
      </w:r>
      <w:r>
        <w:rPr>
          <w:rFonts w:hint="eastAsia" w:ascii="仿宋" w:hAnsi="仿宋" w:eastAsia="仿宋" w:cs="仿宋"/>
          <w:sz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6" w:firstLineChars="200"/>
        <w:jc w:val="left"/>
        <w:textAlignment w:val="auto"/>
        <w:rPr>
          <w:rFonts w:hint="eastAsia" w:ascii="仿宋" w:hAnsi="仿宋" w:eastAsia="仿宋" w:cs="仿宋"/>
          <w:sz w:val="28"/>
          <w:highlight w:val="none"/>
        </w:rPr>
      </w:pPr>
      <w:r>
        <w:rPr>
          <w:rFonts w:hint="eastAsia" w:ascii="仿宋" w:hAnsi="仿宋" w:eastAsia="仿宋" w:cs="仿宋"/>
          <w:sz w:val="28"/>
          <w:highlight w:val="none"/>
        </w:rPr>
        <w:t>受贵院的委托，我公司对</w:t>
      </w:r>
      <w:r>
        <w:rPr>
          <w:rFonts w:hint="eastAsia" w:ascii="仿宋" w:hAnsi="仿宋" w:eastAsia="仿宋" w:cs="仿宋"/>
          <w:sz w:val="28"/>
          <w:highlight w:val="none"/>
          <w:lang w:eastAsia="zh-CN"/>
        </w:rPr>
        <w:t>被执行人</w:t>
      </w:r>
      <w:r>
        <w:rPr>
          <w:rFonts w:hint="eastAsia" w:ascii="仿宋" w:hAnsi="仿宋" w:eastAsia="仿宋" w:cs="仿宋"/>
          <w:sz w:val="28"/>
          <w:highlight w:val="none"/>
        </w:rPr>
        <w:t>所属位于</w:t>
      </w:r>
      <w:r>
        <w:rPr>
          <w:rFonts w:hint="eastAsia" w:ascii="仿宋" w:hAnsi="仿宋" w:eastAsia="仿宋" w:cs="仿宋"/>
          <w:sz w:val="28"/>
          <w:highlight w:val="none"/>
          <w:lang w:eastAsia="zh-CN"/>
        </w:rPr>
        <w:t>安顺市平坝区城关镇顺城村一幢住宅房地产</w:t>
      </w:r>
      <w:r>
        <w:rPr>
          <w:rFonts w:hint="eastAsia" w:ascii="仿宋" w:hAnsi="仿宋" w:eastAsia="仿宋" w:cs="仿宋"/>
          <w:sz w:val="28"/>
          <w:highlight w:val="none"/>
        </w:rPr>
        <w:t>的市场价值进行了评估。估价对象建筑面积</w:t>
      </w:r>
      <w:r>
        <w:rPr>
          <w:rFonts w:hint="eastAsia" w:ascii="仿宋" w:hAnsi="仿宋" w:eastAsia="仿宋" w:cs="仿宋"/>
          <w:sz w:val="28"/>
          <w:highlight w:val="none"/>
          <w:lang w:eastAsia="zh-CN"/>
        </w:rPr>
        <w:t>共</w:t>
      </w:r>
      <w:r>
        <w:rPr>
          <w:rFonts w:hint="eastAsia" w:ascii="仿宋" w:hAnsi="仿宋" w:eastAsia="仿宋" w:cs="仿宋"/>
          <w:sz w:val="28"/>
          <w:highlight w:val="none"/>
        </w:rPr>
        <w:t>为</w:t>
      </w:r>
      <w:r>
        <w:rPr>
          <w:rFonts w:hint="eastAsia" w:ascii="仿宋" w:hAnsi="仿宋" w:eastAsia="仿宋" w:cs="仿宋"/>
          <w:sz w:val="28"/>
          <w:highlight w:val="none"/>
          <w:lang w:val="en-US" w:eastAsia="zh-CN"/>
        </w:rPr>
        <w:t>230.98</w:t>
      </w:r>
      <w:r>
        <w:rPr>
          <w:rFonts w:hint="eastAsia" w:ascii="仿宋" w:hAnsi="仿宋" w:eastAsia="仿宋" w:cs="仿宋"/>
          <w:sz w:val="28"/>
          <w:highlight w:val="none"/>
        </w:rPr>
        <w:t>平方米。</w:t>
      </w:r>
      <w:r>
        <w:rPr>
          <w:rFonts w:hint="eastAsia" w:ascii="仿宋" w:hAnsi="仿宋" w:eastAsia="仿宋"/>
          <w:sz w:val="28"/>
          <w:highlight w:val="none"/>
        </w:rPr>
        <w:t>本次估价目的是为司法拍卖（变卖）提供房地产市场价值参考依据</w:t>
      </w:r>
      <w:r>
        <w:rPr>
          <w:rFonts w:hint="eastAsia" w:ascii="仿宋" w:hAnsi="仿宋" w:eastAsia="仿宋" w:cs="仿宋"/>
          <w:sz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24"/>
        <w:jc w:val="left"/>
        <w:textAlignment w:val="auto"/>
        <w:rPr>
          <w:rFonts w:hint="eastAsia" w:ascii="仿宋" w:hAnsi="仿宋" w:eastAsia="仿宋" w:cs="仿宋"/>
          <w:sz w:val="28"/>
          <w:highlight w:val="none"/>
        </w:rPr>
      </w:pPr>
      <w:r>
        <w:rPr>
          <w:rFonts w:hint="eastAsia" w:ascii="仿宋" w:hAnsi="仿宋" w:eastAsia="仿宋" w:cs="仿宋"/>
          <w:sz w:val="28"/>
          <w:highlight w:val="none"/>
        </w:rPr>
        <w:t>注册房地产估价师在贵院提供有关资料以及实地查勘和市场调查所取得资料的基础上，根据估价目的，遵循估价原则，按照评估工作程序，详细分析了影响房地产价值的各项因素，</w:t>
      </w:r>
      <w:r>
        <w:rPr>
          <w:rFonts w:hint="eastAsia" w:ascii="仿宋" w:hAnsi="仿宋" w:eastAsia="仿宋" w:cs="仿宋"/>
          <w:sz w:val="28"/>
          <w:highlight w:val="none"/>
          <w:lang w:eastAsia="zh-CN"/>
        </w:rPr>
        <w:t>采用比较法</w:t>
      </w:r>
      <w:r>
        <w:rPr>
          <w:rFonts w:hint="eastAsia" w:ascii="仿宋" w:hAnsi="仿宋" w:eastAsia="仿宋" w:cs="仿宋"/>
          <w:sz w:val="28"/>
          <w:highlight w:val="none"/>
        </w:rPr>
        <w:t>测算，最终确定估价对象于价值时点</w:t>
      </w:r>
      <w:r>
        <w:rPr>
          <w:rFonts w:hint="eastAsia" w:ascii="仿宋" w:hAnsi="仿宋" w:eastAsia="仿宋" w:cs="仿宋"/>
          <w:sz w:val="28"/>
          <w:highlight w:val="none"/>
          <w:lang w:eastAsia="zh-CN"/>
        </w:rPr>
        <w:t>2020年01月17日</w:t>
      </w:r>
      <w:r>
        <w:rPr>
          <w:rFonts w:hint="eastAsia" w:ascii="仿宋" w:hAnsi="仿宋" w:eastAsia="仿宋" w:cs="仿宋"/>
          <w:sz w:val="28"/>
          <w:highlight w:val="none"/>
        </w:rPr>
        <w:t>的市场价值如下：</w:t>
      </w:r>
    </w:p>
    <w:p>
      <w:pPr>
        <w:keepNext w:val="0"/>
        <w:keepLines w:val="0"/>
        <w:pageBreakBefore w:val="0"/>
        <w:widowControl w:val="0"/>
        <w:kinsoku/>
        <w:wordWrap/>
        <w:overflowPunct/>
        <w:topLinePunct w:val="0"/>
        <w:autoSpaceDE/>
        <w:autoSpaceDN/>
        <w:bidi w:val="0"/>
        <w:adjustRightInd w:val="0"/>
        <w:snapToGrid w:val="0"/>
        <w:spacing w:line="500" w:lineRule="exact"/>
        <w:ind w:left="-4" w:firstLine="591"/>
        <w:textAlignment w:val="auto"/>
        <w:rPr>
          <w:rFonts w:hint="eastAsia" w:ascii="仿宋" w:hAnsi="仿宋" w:eastAsia="仿宋" w:cs="仿宋"/>
          <w:b/>
          <w:color w:val="000000"/>
          <w:spacing w:val="22"/>
          <w:w w:val="88"/>
          <w:kern w:val="0"/>
          <w:sz w:val="28"/>
          <w:highlight w:val="none"/>
        </w:rPr>
      </w:pPr>
      <w:r>
        <w:rPr>
          <w:rFonts w:hint="eastAsia" w:ascii="仿宋" w:hAnsi="仿宋" w:eastAsia="仿宋" w:cs="仿宋"/>
          <w:b/>
          <w:color w:val="000000"/>
          <w:spacing w:val="22"/>
          <w:w w:val="88"/>
          <w:kern w:val="0"/>
          <w:sz w:val="28"/>
          <w:highlight w:val="none"/>
        </w:rPr>
        <w:t>评估总价：</w:t>
      </w:r>
      <w:r>
        <w:rPr>
          <w:rFonts w:hint="eastAsia" w:ascii="仿宋" w:hAnsi="仿宋" w:eastAsia="仿宋" w:cs="仿宋"/>
          <w:b/>
          <w:color w:val="000000"/>
          <w:sz w:val="28"/>
          <w:szCs w:val="28"/>
          <w:highlight w:val="none"/>
          <w:lang w:eastAsia="zh-CN"/>
        </w:rPr>
        <w:t>79.04</w:t>
      </w:r>
      <w:r>
        <w:rPr>
          <w:rFonts w:hint="eastAsia" w:ascii="仿宋" w:hAnsi="仿宋" w:eastAsia="仿宋" w:cs="仿宋"/>
          <w:b/>
          <w:color w:val="000000"/>
          <w:spacing w:val="22"/>
          <w:w w:val="88"/>
          <w:kern w:val="0"/>
          <w:sz w:val="28"/>
          <w:highlight w:val="none"/>
        </w:rPr>
        <w:t>万元</w:t>
      </w:r>
    </w:p>
    <w:p>
      <w:pPr>
        <w:keepNext w:val="0"/>
        <w:keepLines w:val="0"/>
        <w:pageBreakBefore w:val="0"/>
        <w:widowControl w:val="0"/>
        <w:kinsoku/>
        <w:wordWrap/>
        <w:overflowPunct/>
        <w:topLinePunct w:val="0"/>
        <w:autoSpaceDE/>
        <w:autoSpaceDN/>
        <w:bidi w:val="0"/>
        <w:adjustRightInd w:val="0"/>
        <w:snapToGrid w:val="0"/>
        <w:spacing w:line="500" w:lineRule="exact"/>
        <w:ind w:left="-4" w:firstLine="591"/>
        <w:textAlignment w:val="auto"/>
        <w:rPr>
          <w:rFonts w:hint="eastAsia" w:ascii="仿宋" w:hAnsi="仿宋" w:eastAsia="仿宋" w:cs="仿宋"/>
          <w:b/>
          <w:color w:val="000000"/>
          <w:sz w:val="28"/>
          <w:szCs w:val="28"/>
          <w:highlight w:val="none"/>
          <w:lang w:eastAsia="zh-CN"/>
        </w:rPr>
      </w:pPr>
      <w:r>
        <w:rPr>
          <w:rFonts w:hint="eastAsia" w:ascii="仿宋" w:hAnsi="仿宋" w:eastAsia="仿宋" w:cs="仿宋"/>
          <w:b/>
          <w:color w:val="000000"/>
          <w:sz w:val="28"/>
          <w:szCs w:val="28"/>
          <w:highlight w:val="none"/>
          <w:lang w:eastAsia="zh-CN"/>
        </w:rPr>
        <w:t>大   写：</w:t>
      </w:r>
      <w:r>
        <w:rPr>
          <w:rFonts w:hint="eastAsia" w:ascii="仿宋" w:hAnsi="仿宋" w:eastAsia="仿宋" w:cs="仿宋"/>
          <w:b/>
          <w:color w:val="000000"/>
          <w:sz w:val="28"/>
          <w:szCs w:val="28"/>
          <w:highlight w:val="none"/>
          <w:lang w:eastAsia="zh-CN"/>
        </w:rPr>
        <w:fldChar w:fldCharType="begin"/>
      </w:r>
      <w:r>
        <w:rPr>
          <w:rFonts w:hint="eastAsia" w:ascii="仿宋" w:hAnsi="仿宋" w:eastAsia="仿宋" w:cs="仿宋"/>
          <w:b/>
          <w:color w:val="000000"/>
          <w:sz w:val="28"/>
          <w:szCs w:val="28"/>
          <w:highlight w:val="none"/>
          <w:lang w:eastAsia="zh-CN"/>
        </w:rPr>
        <w:instrText xml:space="preserve"> =</w:instrText>
      </w:r>
      <w:r>
        <w:rPr>
          <w:rFonts w:hint="eastAsia" w:ascii="仿宋" w:hAnsi="仿宋" w:eastAsia="仿宋" w:cs="仿宋"/>
          <w:b/>
          <w:color w:val="000000"/>
          <w:sz w:val="28"/>
          <w:szCs w:val="28"/>
          <w:highlight w:val="none"/>
          <w:lang w:val="en-US" w:eastAsia="zh-CN"/>
        </w:rPr>
        <w:instrText xml:space="preserve">79.04*10000</w:instrText>
      </w:r>
      <w:r>
        <w:rPr>
          <w:rFonts w:hint="eastAsia" w:ascii="仿宋" w:hAnsi="仿宋" w:eastAsia="仿宋" w:cs="仿宋"/>
          <w:b/>
          <w:color w:val="000000"/>
          <w:sz w:val="28"/>
          <w:szCs w:val="28"/>
          <w:highlight w:val="none"/>
          <w:lang w:eastAsia="zh-CN"/>
        </w:rPr>
        <w:instrText xml:space="preserve">\* CHINESENUM4 \* MERGEFORMAT </w:instrText>
      </w:r>
      <w:r>
        <w:rPr>
          <w:rFonts w:hint="eastAsia" w:ascii="仿宋" w:hAnsi="仿宋" w:eastAsia="仿宋" w:cs="仿宋"/>
          <w:b/>
          <w:color w:val="000000"/>
          <w:sz w:val="28"/>
          <w:szCs w:val="28"/>
          <w:highlight w:val="none"/>
          <w:lang w:eastAsia="zh-CN"/>
        </w:rPr>
        <w:fldChar w:fldCharType="separate"/>
      </w:r>
      <w:r>
        <w:rPr>
          <w:rFonts w:hint="eastAsia" w:ascii="仿宋" w:hAnsi="仿宋" w:eastAsia="仿宋" w:cs="仿宋"/>
          <w:b/>
          <w:color w:val="000000"/>
          <w:sz w:val="28"/>
          <w:szCs w:val="28"/>
          <w:highlight w:val="none"/>
          <w:lang w:eastAsia="zh-CN"/>
        </w:rPr>
        <w:t>柒拾玖万零肆佰元整</w:t>
      </w:r>
      <w:r>
        <w:rPr>
          <w:rFonts w:hint="eastAsia" w:ascii="仿宋" w:hAnsi="仿宋" w:eastAsia="仿宋" w:cs="仿宋"/>
          <w:b/>
          <w:color w:val="000000"/>
          <w:sz w:val="28"/>
          <w:szCs w:val="28"/>
          <w:highlight w:val="none"/>
          <w:lang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500" w:lineRule="exact"/>
        <w:ind w:left="-4" w:firstLine="591"/>
        <w:textAlignment w:val="auto"/>
        <w:rPr>
          <w:rFonts w:hint="eastAsia" w:ascii="仿宋" w:hAnsi="仿宋" w:eastAsia="仿宋" w:cs="仿宋"/>
          <w:b/>
          <w:color w:val="000000"/>
          <w:sz w:val="28"/>
          <w:szCs w:val="28"/>
          <w:highlight w:val="none"/>
          <w:lang w:eastAsia="zh-CN"/>
        </w:rPr>
      </w:pPr>
      <w:r>
        <w:rPr>
          <w:rFonts w:hint="eastAsia" w:ascii="仿宋" w:hAnsi="仿宋" w:eastAsia="仿宋" w:cs="仿宋"/>
          <w:b/>
          <w:color w:val="000000"/>
          <w:sz w:val="28"/>
          <w:szCs w:val="28"/>
          <w:highlight w:val="none"/>
          <w:lang w:eastAsia="zh-CN"/>
        </w:rPr>
        <w:t>币   种：人民币</w:t>
      </w:r>
    </w:p>
    <w:p>
      <w:pPr>
        <w:adjustRightInd w:val="0"/>
        <w:snapToGrid w:val="0"/>
        <w:spacing w:line="360" w:lineRule="auto"/>
        <w:ind w:firstLine="566" w:firstLineChars="200"/>
        <w:jc w:val="center"/>
        <w:rPr>
          <w:rFonts w:hint="eastAsia" w:ascii="仿宋" w:hAnsi="仿宋" w:eastAsia="仿宋" w:cs="仿宋"/>
          <w:b/>
          <w:sz w:val="28"/>
        </w:rPr>
      </w:pPr>
      <w:r>
        <w:rPr>
          <w:rFonts w:hint="eastAsia" w:ascii="仿宋" w:hAnsi="仿宋" w:eastAsia="仿宋" w:cs="仿宋"/>
          <w:b/>
          <w:sz w:val="28"/>
        </w:rPr>
        <w:t>评估结果一览表</w:t>
      </w:r>
    </w:p>
    <w:tbl>
      <w:tblPr>
        <w:tblStyle w:val="11"/>
        <w:tblW w:w="9768" w:type="dxa"/>
        <w:tblInd w:w="-179" w:type="dxa"/>
        <w:tblLayout w:type="fixed"/>
        <w:tblCellMar>
          <w:top w:w="0" w:type="dxa"/>
          <w:left w:w="0" w:type="dxa"/>
          <w:bottom w:w="0" w:type="dxa"/>
          <w:right w:w="0" w:type="dxa"/>
        </w:tblCellMar>
      </w:tblPr>
      <w:tblGrid>
        <w:gridCol w:w="844"/>
        <w:gridCol w:w="1720"/>
        <w:gridCol w:w="889"/>
        <w:gridCol w:w="1014"/>
        <w:gridCol w:w="1106"/>
        <w:gridCol w:w="991"/>
        <w:gridCol w:w="1050"/>
        <w:gridCol w:w="1069"/>
        <w:gridCol w:w="1085"/>
      </w:tblGrid>
      <w:tr>
        <w:tblPrEx>
          <w:tblLayout w:type="fixed"/>
          <w:tblCellMar>
            <w:top w:w="0" w:type="dxa"/>
            <w:left w:w="0" w:type="dxa"/>
            <w:bottom w:w="0" w:type="dxa"/>
            <w:right w:w="0" w:type="dxa"/>
          </w:tblCellMar>
        </w:tblPrEx>
        <w:trPr>
          <w:trHeight w:val="600" w:hRule="atLeast"/>
        </w:trPr>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房屋所有权人</w:t>
            </w:r>
          </w:p>
        </w:tc>
        <w:tc>
          <w:tcPr>
            <w:tcW w:w="1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房屋坐落</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房屋总层数</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所在层</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房屋用途</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建筑结构</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建筑面积</w:t>
            </w:r>
            <w:r>
              <w:rPr>
                <w:rFonts w:hint="eastAsia" w:ascii="仿宋" w:hAnsi="仿宋" w:eastAsia="仿宋" w:cs="仿宋"/>
                <w:b w:val="0"/>
                <w:bCs w:val="0"/>
                <w:i w:val="0"/>
                <w:color w:val="535353"/>
                <w:kern w:val="0"/>
                <w:sz w:val="22"/>
                <w:szCs w:val="22"/>
                <w:u w:val="none"/>
                <w:lang w:val="en-US" w:eastAsia="zh-CN" w:bidi="ar"/>
              </w:rPr>
              <w:t>（m</w:t>
            </w:r>
            <w:r>
              <w:rPr>
                <w:rFonts w:hint="eastAsia" w:ascii="仿宋" w:hAnsi="仿宋" w:eastAsia="仿宋" w:cs="仿宋"/>
                <w:b w:val="0"/>
                <w:bCs w:val="0"/>
                <w:i w:val="0"/>
                <w:color w:val="333333"/>
                <w:kern w:val="0"/>
                <w:sz w:val="22"/>
                <w:szCs w:val="22"/>
                <w:u w:val="none"/>
                <w:vertAlign w:val="superscript"/>
                <w:lang w:bidi="ar"/>
              </w:rPr>
              <w:t>2</w:t>
            </w:r>
            <w:r>
              <w:rPr>
                <w:rFonts w:hint="eastAsia" w:ascii="仿宋" w:hAnsi="仿宋" w:eastAsia="仿宋" w:cs="仿宋"/>
                <w:b w:val="0"/>
                <w:bCs w:val="0"/>
                <w:i w:val="0"/>
                <w:color w:val="535353"/>
                <w:kern w:val="0"/>
                <w:sz w:val="22"/>
                <w:szCs w:val="22"/>
                <w:u w:val="none"/>
                <w:lang w:bidi="ar"/>
              </w:rPr>
              <w:t>）</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评估单价</w:t>
            </w:r>
            <w:r>
              <w:rPr>
                <w:rFonts w:hint="eastAsia" w:ascii="仿宋" w:hAnsi="仿宋" w:eastAsia="仿宋" w:cs="仿宋"/>
                <w:b w:val="0"/>
                <w:bCs w:val="0"/>
                <w:i w:val="0"/>
                <w:color w:val="535353"/>
                <w:kern w:val="0"/>
                <w:sz w:val="22"/>
                <w:szCs w:val="22"/>
                <w:u w:val="none"/>
                <w:lang w:val="en-US" w:eastAsia="zh-CN" w:bidi="ar"/>
              </w:rPr>
              <w:t>（元/m</w:t>
            </w:r>
            <w:r>
              <w:rPr>
                <w:rFonts w:hint="eastAsia" w:ascii="仿宋" w:hAnsi="仿宋" w:eastAsia="仿宋" w:cs="仿宋"/>
                <w:b w:val="0"/>
                <w:bCs w:val="0"/>
                <w:i w:val="0"/>
                <w:color w:val="333333"/>
                <w:kern w:val="0"/>
                <w:sz w:val="22"/>
                <w:szCs w:val="22"/>
                <w:u w:val="none"/>
                <w:vertAlign w:val="superscript"/>
                <w:lang w:bidi="ar"/>
              </w:rPr>
              <w:t>2</w:t>
            </w:r>
            <w:r>
              <w:rPr>
                <w:rFonts w:hint="eastAsia" w:ascii="仿宋" w:hAnsi="仿宋" w:eastAsia="仿宋" w:cs="仿宋"/>
                <w:b w:val="0"/>
                <w:bCs w:val="0"/>
                <w:i w:val="0"/>
                <w:color w:val="535353"/>
                <w:kern w:val="0"/>
                <w:sz w:val="22"/>
                <w:szCs w:val="22"/>
                <w:u w:val="none"/>
                <w:lang w:bidi="ar"/>
              </w:rPr>
              <w:t>）</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评估总价</w:t>
            </w:r>
            <w:r>
              <w:rPr>
                <w:rFonts w:hint="eastAsia" w:ascii="仿宋" w:hAnsi="仿宋" w:eastAsia="仿宋" w:cs="仿宋"/>
                <w:b w:val="0"/>
                <w:bCs w:val="0"/>
                <w:i w:val="0"/>
                <w:color w:val="535353"/>
                <w:kern w:val="0"/>
                <w:sz w:val="22"/>
                <w:szCs w:val="22"/>
                <w:u w:val="none"/>
                <w:lang w:val="en-US" w:eastAsia="zh-CN" w:bidi="ar"/>
              </w:rPr>
              <w:t>(万元）</w:t>
            </w:r>
          </w:p>
        </w:tc>
      </w:tr>
      <w:tr>
        <w:tblPrEx>
          <w:tblLayout w:type="fixed"/>
          <w:tblCellMar>
            <w:top w:w="0" w:type="dxa"/>
            <w:left w:w="0" w:type="dxa"/>
            <w:bottom w:w="0" w:type="dxa"/>
            <w:right w:w="0" w:type="dxa"/>
          </w:tblCellMar>
        </w:tblPrEx>
        <w:trPr>
          <w:trHeight w:val="692" w:hRule="atLeast"/>
        </w:trPr>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方芳</w:t>
            </w:r>
          </w:p>
        </w:tc>
        <w:tc>
          <w:tcPr>
            <w:tcW w:w="1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安顺市平坝区城关镇顺城村</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3层</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1-3层</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住宅</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混合</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230.98 </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3422</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79.04</w:t>
            </w:r>
          </w:p>
        </w:tc>
      </w:tr>
      <w:tr>
        <w:tblPrEx>
          <w:tblLayout w:type="fixed"/>
          <w:tblCellMar>
            <w:top w:w="0" w:type="dxa"/>
            <w:left w:w="0" w:type="dxa"/>
            <w:bottom w:w="0" w:type="dxa"/>
            <w:right w:w="0" w:type="dxa"/>
          </w:tblCellMar>
        </w:tblPrEx>
        <w:trPr>
          <w:trHeight w:val="540" w:hRule="atLeast"/>
        </w:trPr>
        <w:tc>
          <w:tcPr>
            <w:tcW w:w="656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230.98</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79.04</w:t>
            </w:r>
          </w:p>
        </w:tc>
      </w:tr>
    </w:tbl>
    <w:p>
      <w:pPr>
        <w:adjustRightInd w:val="0"/>
        <w:snapToGrid w:val="0"/>
        <w:spacing w:line="360" w:lineRule="auto"/>
        <w:ind w:firstLine="542" w:firstLineChars="200"/>
        <w:rPr>
          <w:rFonts w:hint="eastAsia" w:ascii="仿宋" w:hAnsi="仿宋" w:eastAsia="仿宋" w:cs="仿宋"/>
          <w:i/>
          <w:w w:val="96"/>
          <w:sz w:val="28"/>
          <w:shd w:val="pct10" w:color="auto" w:fill="FFFFFF"/>
        </w:rPr>
      </w:pPr>
    </w:p>
    <w:p>
      <w:pPr>
        <w:adjustRightInd w:val="0"/>
        <w:snapToGrid w:val="0"/>
        <w:spacing w:line="360" w:lineRule="auto"/>
        <w:ind w:firstLine="542" w:firstLineChars="200"/>
        <w:rPr>
          <w:rFonts w:hint="eastAsia" w:ascii="仿宋" w:hAnsi="仿宋" w:eastAsia="仿宋" w:cs="仿宋"/>
          <w:i/>
          <w:w w:val="96"/>
          <w:sz w:val="28"/>
          <w:shd w:val="pct10" w:color="auto" w:fill="FFFFFF"/>
        </w:rPr>
      </w:pPr>
      <w:r>
        <w:rPr>
          <w:rFonts w:hint="eastAsia" w:ascii="仿宋" w:hAnsi="仿宋" w:eastAsia="仿宋" w:cs="仿宋"/>
          <w:i/>
          <w:w w:val="96"/>
          <w:sz w:val="28"/>
          <w:shd w:val="pct10" w:color="auto" w:fill="FFFFFF"/>
        </w:rPr>
        <w:t>特别提示：</w:t>
      </w:r>
    </w:p>
    <w:p>
      <w:pPr>
        <w:adjustRightInd w:val="0"/>
        <w:snapToGrid w:val="0"/>
        <w:spacing w:line="360" w:lineRule="auto"/>
        <w:ind w:firstLine="542" w:firstLineChars="200"/>
        <w:rPr>
          <w:rFonts w:hint="eastAsia" w:ascii="仿宋" w:hAnsi="仿宋" w:eastAsia="仿宋" w:cs="仿宋"/>
          <w:i/>
          <w:w w:val="96"/>
          <w:sz w:val="28"/>
          <w:shd w:val="pct10" w:color="auto" w:fill="FFFFFF"/>
        </w:rPr>
      </w:pPr>
      <w:r>
        <w:rPr>
          <w:rFonts w:hint="eastAsia" w:ascii="仿宋" w:hAnsi="仿宋" w:eastAsia="仿宋" w:cs="仿宋"/>
          <w:i/>
          <w:w w:val="96"/>
          <w:sz w:val="28"/>
          <w:shd w:val="pct10" w:color="auto" w:fill="FFFFFF"/>
        </w:rPr>
        <w:t>本报告使用者在使用本报告之前应认真阅读本估价报告书全文，特别是“估价假设和限制条件及使用报告说明”，以免使用不当，造成损失。</w:t>
      </w:r>
    </w:p>
    <w:p>
      <w:pPr>
        <w:adjustRightInd w:val="0"/>
        <w:snapToGrid w:val="0"/>
        <w:spacing w:line="360" w:lineRule="auto"/>
        <w:ind w:firstLine="542" w:firstLineChars="200"/>
        <w:rPr>
          <w:rFonts w:hint="eastAsia" w:ascii="仿宋" w:hAnsi="仿宋" w:eastAsia="仿宋" w:cs="仿宋"/>
          <w:i/>
          <w:w w:val="96"/>
          <w:sz w:val="28"/>
          <w:highlight w:val="none"/>
          <w:shd w:val="pct10" w:color="auto" w:fill="FFFFFF"/>
          <w:lang w:val="en-US" w:eastAsia="zh-CN"/>
        </w:rPr>
      </w:pPr>
    </w:p>
    <w:p>
      <w:pPr>
        <w:adjustRightInd w:val="0"/>
        <w:snapToGrid w:val="0"/>
        <w:spacing w:line="480" w:lineRule="exact"/>
        <w:ind w:firstLine="3124" w:firstLineChars="1104"/>
        <w:rPr>
          <w:rFonts w:hint="eastAsia" w:ascii="仿宋" w:hAnsi="仿宋" w:eastAsia="仿宋" w:cs="仿宋"/>
          <w:sz w:val="28"/>
          <w:highlight w:val="none"/>
        </w:rPr>
      </w:pPr>
      <w:r>
        <w:rPr>
          <w:rFonts w:hint="eastAsia" w:ascii="仿宋" w:hAnsi="仿宋" w:eastAsia="仿宋" w:cs="仿宋"/>
          <w:sz w:val="28"/>
          <w:highlight w:val="none"/>
        </w:rPr>
        <w:t>四川诺力达资产评估房地产土地估价有限公司</w:t>
      </w:r>
    </w:p>
    <w:p>
      <w:pPr>
        <w:adjustRightInd w:val="0"/>
        <w:snapToGrid w:val="0"/>
        <w:spacing w:line="480" w:lineRule="exact"/>
        <w:ind w:firstLine="3124" w:firstLineChars="1104"/>
        <w:rPr>
          <w:rFonts w:hint="eastAsia" w:ascii="仿宋" w:hAnsi="仿宋" w:eastAsia="仿宋" w:cs="仿宋"/>
          <w:sz w:val="28"/>
          <w:highlight w:val="none"/>
        </w:rPr>
      </w:pPr>
      <w:r>
        <w:rPr>
          <w:rFonts w:hint="eastAsia" w:ascii="仿宋" w:hAnsi="仿宋" w:eastAsia="仿宋" w:cs="仿宋"/>
          <w:sz w:val="28"/>
          <w:highlight w:val="none"/>
        </w:rPr>
        <w:tab/>
      </w:r>
      <w:r>
        <w:rPr>
          <w:rFonts w:hint="eastAsia" w:ascii="仿宋" w:hAnsi="仿宋" w:eastAsia="仿宋" w:cs="仿宋"/>
          <w:sz w:val="28"/>
          <w:highlight w:val="none"/>
        </w:rPr>
        <w:t xml:space="preserve">              法定代表人：</w:t>
      </w:r>
    </w:p>
    <w:p>
      <w:pPr>
        <w:adjustRightInd w:val="0"/>
        <w:snapToGrid w:val="0"/>
        <w:spacing w:line="480" w:lineRule="exact"/>
        <w:ind w:firstLine="5382" w:firstLineChars="1902"/>
        <w:rPr>
          <w:rFonts w:hint="eastAsia" w:ascii="仿宋" w:hAnsi="仿宋" w:eastAsia="仿宋" w:cs="仿宋"/>
          <w:sz w:val="28"/>
          <w:highlight w:val="none"/>
          <w:lang w:eastAsia="zh-CN"/>
        </w:rPr>
        <w:sectPr>
          <w:headerReference r:id="rId8" w:type="default"/>
          <w:footerReference r:id="rId9" w:type="default"/>
          <w:pgSz w:w="11906" w:h="16838"/>
          <w:pgMar w:top="1247" w:right="1020" w:bottom="1247" w:left="1497" w:header="907" w:footer="907" w:gutter="0"/>
          <w:pgNumType w:start="1"/>
          <w:cols w:space="720" w:num="1"/>
          <w:docGrid w:type="linesAndChars" w:linePitch="312" w:charSpace="693"/>
        </w:sectPr>
      </w:pPr>
      <w:r>
        <w:rPr>
          <w:rFonts w:hint="eastAsia" w:ascii="仿宋" w:hAnsi="仿宋" w:eastAsia="仿宋" w:cs="仿宋"/>
          <w:sz w:val="28"/>
          <w:highlight w:val="none"/>
        </w:rPr>
        <w:tab/>
      </w:r>
      <w:r>
        <w:rPr>
          <w:rFonts w:hint="eastAsia" w:ascii="仿宋" w:hAnsi="仿宋" w:eastAsia="仿宋" w:cs="仿宋"/>
          <w:sz w:val="28"/>
          <w:highlight w:val="none"/>
          <w:lang w:eastAsia="zh-CN"/>
        </w:rPr>
        <w:t>2020年03月04日</w:t>
      </w:r>
    </w:p>
    <w:p>
      <w:pPr>
        <w:adjustRightInd w:val="0"/>
        <w:snapToGrid w:val="0"/>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目        录</w:t>
      </w:r>
    </w:p>
    <w:p>
      <w:pPr>
        <w:pStyle w:val="7"/>
        <w:tabs>
          <w:tab w:val="right" w:leader="dot" w:pos="9389"/>
        </w:tabs>
      </w:pPr>
      <w:bookmarkStart w:id="0" w:name="_Toc408527822"/>
      <w:r>
        <w:rPr>
          <w:rFonts w:hint="eastAsia" w:ascii="仿宋" w:hAnsi="仿宋" w:eastAsia="仿宋" w:cs="仿宋"/>
          <w:sz w:val="24"/>
          <w:highlight w:val="none"/>
        </w:rPr>
        <w:fldChar w:fldCharType="begin"/>
      </w:r>
      <w:r>
        <w:rPr>
          <w:rFonts w:hint="eastAsia" w:ascii="仿宋" w:hAnsi="仿宋" w:eastAsia="仿宋" w:cs="仿宋"/>
          <w:sz w:val="24"/>
          <w:highlight w:val="none"/>
        </w:rPr>
        <w:instrText xml:space="preserve">TOC \o "1-3" \h \u </w:instrText>
      </w:r>
      <w:r>
        <w:rPr>
          <w:rFonts w:hint="eastAsia" w:ascii="仿宋" w:hAnsi="仿宋" w:eastAsia="仿宋" w:cs="仿宋"/>
          <w:sz w:val="24"/>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_Toc29157 </w:instrText>
      </w:r>
      <w:r>
        <w:rPr>
          <w:rFonts w:hint="eastAsia" w:ascii="仿宋" w:hAnsi="仿宋" w:eastAsia="仿宋" w:cs="仿宋"/>
          <w:highlight w:val="none"/>
        </w:rPr>
        <w:fldChar w:fldCharType="separate"/>
      </w:r>
      <w:r>
        <w:rPr>
          <w:rFonts w:hint="eastAsia" w:ascii="仿宋" w:hAnsi="仿宋" w:eastAsia="仿宋" w:cs="仿宋"/>
          <w:bCs/>
          <w:snapToGrid w:val="0"/>
          <w:szCs w:val="36"/>
          <w:highlight w:val="none"/>
        </w:rPr>
        <w:t>估价师声明</w:t>
      </w:r>
      <w:r>
        <w:tab/>
      </w:r>
      <w:r>
        <w:fldChar w:fldCharType="begin"/>
      </w:r>
      <w:r>
        <w:instrText xml:space="preserve"> PAGEREF _Toc29157 </w:instrText>
      </w:r>
      <w:r>
        <w:fldChar w:fldCharType="separate"/>
      </w:r>
      <w:r>
        <w:t>1</w:t>
      </w:r>
      <w:r>
        <w:fldChar w:fldCharType="end"/>
      </w:r>
      <w:r>
        <w:rPr>
          <w:rFonts w:hint="eastAsia" w:ascii="仿宋" w:hAnsi="仿宋" w:eastAsia="仿宋" w:cs="仿宋"/>
          <w:highlight w:val="none"/>
        </w:rPr>
        <w:fldChar w:fldCharType="end"/>
      </w:r>
    </w:p>
    <w:p>
      <w:pPr>
        <w:pStyle w:val="7"/>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_Toc24947 </w:instrText>
      </w:r>
      <w:r>
        <w:rPr>
          <w:rFonts w:hint="eastAsia" w:ascii="仿宋" w:hAnsi="仿宋" w:eastAsia="仿宋"/>
          <w:highlight w:val="none"/>
        </w:rPr>
        <w:fldChar w:fldCharType="separate"/>
      </w:r>
      <w:r>
        <w:rPr>
          <w:rFonts w:hint="eastAsia" w:ascii="仿宋" w:hAnsi="仿宋" w:eastAsia="仿宋" w:cs="仿宋"/>
          <w:bCs w:val="0"/>
          <w:snapToGrid w:val="0"/>
          <w:szCs w:val="36"/>
          <w:highlight w:val="none"/>
        </w:rPr>
        <w:t>估价假设和限制条件及使用报告说明</w:t>
      </w:r>
      <w:r>
        <w:tab/>
      </w:r>
      <w:r>
        <w:fldChar w:fldCharType="begin"/>
      </w:r>
      <w:r>
        <w:instrText xml:space="preserve"> PAGEREF _Toc24947 </w:instrText>
      </w:r>
      <w:r>
        <w:fldChar w:fldCharType="separate"/>
      </w:r>
      <w:r>
        <w:t>2</w:t>
      </w:r>
      <w:r>
        <w:fldChar w:fldCharType="end"/>
      </w:r>
      <w:r>
        <w:rPr>
          <w:rFonts w:hint="eastAsia" w:ascii="仿宋" w:hAnsi="仿宋" w:eastAsia="仿宋"/>
          <w:highlight w:val="none"/>
        </w:rPr>
        <w:fldChar w:fldCharType="end"/>
      </w:r>
    </w:p>
    <w:p>
      <w:pPr>
        <w:pStyle w:val="7"/>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_Toc8409 </w:instrText>
      </w:r>
      <w:r>
        <w:rPr>
          <w:rFonts w:hint="eastAsia" w:ascii="仿宋" w:hAnsi="仿宋" w:eastAsia="仿宋"/>
          <w:highlight w:val="none"/>
        </w:rPr>
        <w:fldChar w:fldCharType="separate"/>
      </w:r>
      <w:r>
        <w:rPr>
          <w:rFonts w:hint="eastAsia" w:ascii="仿宋" w:hAnsi="仿宋" w:eastAsia="仿宋" w:cs="仿宋"/>
          <w:bCs w:val="0"/>
          <w:snapToGrid w:val="0"/>
          <w:szCs w:val="36"/>
          <w:highlight w:val="none"/>
        </w:rPr>
        <w:t>估价结果报告</w:t>
      </w:r>
      <w:r>
        <w:tab/>
      </w:r>
      <w:r>
        <w:fldChar w:fldCharType="begin"/>
      </w:r>
      <w:r>
        <w:instrText xml:space="preserve"> PAGEREF _Toc8409 </w:instrText>
      </w:r>
      <w:r>
        <w:fldChar w:fldCharType="separate"/>
      </w:r>
      <w:r>
        <w:t>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_Toc13419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一、估价委托人</w:t>
      </w:r>
      <w:r>
        <w:tab/>
      </w:r>
      <w:r>
        <w:fldChar w:fldCharType="begin"/>
      </w:r>
      <w:r>
        <w:instrText xml:space="preserve"> PAGEREF _Toc13419 </w:instrText>
      </w:r>
      <w:r>
        <w:fldChar w:fldCharType="separate"/>
      </w:r>
      <w:r>
        <w:t>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_Toc20628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二、房地产估价机构</w:t>
      </w:r>
      <w:r>
        <w:tab/>
      </w:r>
      <w:r>
        <w:fldChar w:fldCharType="begin"/>
      </w:r>
      <w:r>
        <w:instrText xml:space="preserve"> PAGEREF _Toc20628 </w:instrText>
      </w:r>
      <w:r>
        <w:fldChar w:fldCharType="separate"/>
      </w:r>
      <w:r>
        <w:t>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_Toc21227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三、估价对象</w:t>
      </w:r>
      <w:r>
        <w:tab/>
      </w:r>
      <w:r>
        <w:fldChar w:fldCharType="begin"/>
      </w:r>
      <w:r>
        <w:instrText xml:space="preserve"> PAGEREF _Toc21227 </w:instrText>
      </w:r>
      <w:r>
        <w:fldChar w:fldCharType="separate"/>
      </w:r>
      <w:r>
        <w:t>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_Toc29991 </w:instrText>
      </w:r>
      <w:r>
        <w:rPr>
          <w:rFonts w:hint="eastAsia" w:ascii="仿宋" w:hAnsi="仿宋" w:eastAsia="仿宋"/>
          <w:highlight w:val="none"/>
        </w:rPr>
        <w:fldChar w:fldCharType="separate"/>
      </w:r>
      <w:r>
        <w:rPr>
          <w:rFonts w:hint="eastAsia" w:ascii="仿宋" w:hAnsi="仿宋" w:eastAsia="仿宋" w:cs="仿宋"/>
          <w:snapToGrid w:val="0"/>
          <w:szCs w:val="28"/>
        </w:rPr>
        <w:t xml:space="preserve">四、 </w:t>
      </w:r>
      <w:r>
        <w:rPr>
          <w:rFonts w:hint="eastAsia" w:ascii="仿宋" w:hAnsi="仿宋" w:eastAsia="仿宋" w:cs="仿宋"/>
          <w:snapToGrid w:val="0"/>
          <w:szCs w:val="28"/>
          <w:highlight w:val="none"/>
        </w:rPr>
        <w:t>估价目的</w:t>
      </w:r>
      <w:r>
        <w:tab/>
      </w:r>
      <w:r>
        <w:fldChar w:fldCharType="begin"/>
      </w:r>
      <w:r>
        <w:instrText xml:space="preserve"> PAGEREF _Toc29991 </w:instrText>
      </w:r>
      <w:r>
        <w:fldChar w:fldCharType="separate"/>
      </w:r>
      <w:r>
        <w:t>9</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_Toc18848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五、价值时点</w:t>
      </w:r>
      <w:r>
        <w:tab/>
      </w:r>
      <w:r>
        <w:fldChar w:fldCharType="begin"/>
      </w:r>
      <w:r>
        <w:instrText xml:space="preserve"> PAGEREF _Toc18848 </w:instrText>
      </w:r>
      <w:r>
        <w:fldChar w:fldCharType="separate"/>
      </w:r>
      <w:r>
        <w:t>9</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_Toc13789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六、价值类型</w:t>
      </w:r>
      <w:r>
        <w:tab/>
      </w:r>
      <w:r>
        <w:fldChar w:fldCharType="begin"/>
      </w:r>
      <w:r>
        <w:instrText xml:space="preserve"> PAGEREF _Toc13789 </w:instrText>
      </w:r>
      <w:r>
        <w:fldChar w:fldCharType="separate"/>
      </w:r>
      <w:r>
        <w:t>10</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_Toc8859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七、估价依据</w:t>
      </w:r>
      <w:r>
        <w:tab/>
      </w:r>
      <w:r>
        <w:fldChar w:fldCharType="begin"/>
      </w:r>
      <w:r>
        <w:instrText xml:space="preserve"> PAGEREF _Toc8859 </w:instrText>
      </w:r>
      <w:r>
        <w:fldChar w:fldCharType="separate"/>
      </w:r>
      <w:r>
        <w:t>10</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_Toc15537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八、估价原则</w:t>
      </w:r>
      <w:r>
        <w:tab/>
      </w:r>
      <w:r>
        <w:fldChar w:fldCharType="begin"/>
      </w:r>
      <w:r>
        <w:instrText xml:space="preserve"> PAGEREF _Toc15537 </w:instrText>
      </w:r>
      <w:r>
        <w:fldChar w:fldCharType="separate"/>
      </w:r>
      <w:r>
        <w:t>11</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_Toc12144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九、估价方法</w:t>
      </w:r>
      <w:r>
        <w:tab/>
      </w:r>
      <w:r>
        <w:fldChar w:fldCharType="begin"/>
      </w:r>
      <w:r>
        <w:instrText xml:space="preserve"> PAGEREF _Toc12144 </w:instrText>
      </w:r>
      <w:r>
        <w:fldChar w:fldCharType="separate"/>
      </w:r>
      <w:r>
        <w:t>13</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_Toc11872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十、估价结果</w:t>
      </w:r>
      <w:r>
        <w:tab/>
      </w:r>
      <w:r>
        <w:fldChar w:fldCharType="begin"/>
      </w:r>
      <w:r>
        <w:instrText xml:space="preserve"> PAGEREF _Toc11872 </w:instrText>
      </w:r>
      <w:r>
        <w:fldChar w:fldCharType="separate"/>
      </w:r>
      <w:r>
        <w:t>14</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_Toc7544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十一、注册房地产估价师</w:t>
      </w:r>
      <w:r>
        <w:tab/>
      </w:r>
      <w:r>
        <w:fldChar w:fldCharType="begin"/>
      </w:r>
      <w:r>
        <w:instrText xml:space="preserve"> PAGEREF _Toc7544 </w:instrText>
      </w:r>
      <w:r>
        <w:fldChar w:fldCharType="separate"/>
      </w:r>
      <w:r>
        <w:t>15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_Toc30761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十二、实地查勘期</w:t>
      </w:r>
      <w:r>
        <w:tab/>
      </w:r>
      <w:r>
        <w:fldChar w:fldCharType="begin"/>
      </w:r>
      <w:r>
        <w:instrText xml:space="preserve"> PAGEREF _Toc30761 </w:instrText>
      </w:r>
      <w:r>
        <w:fldChar w:fldCharType="separate"/>
      </w:r>
      <w:r>
        <w:t>15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_Toc27926 </w:instrText>
      </w:r>
      <w:r>
        <w:rPr>
          <w:rFonts w:hint="eastAsia" w:ascii="仿宋" w:hAnsi="仿宋" w:eastAsia="仿宋"/>
          <w:highlight w:val="none"/>
        </w:rPr>
        <w:fldChar w:fldCharType="separate"/>
      </w:r>
      <w:r>
        <w:rPr>
          <w:rFonts w:hint="eastAsia" w:ascii="仿宋" w:hAnsi="仿宋" w:eastAsia="仿宋" w:cs="仿宋"/>
          <w:snapToGrid w:val="0"/>
          <w:szCs w:val="28"/>
          <w:highlight w:val="none"/>
        </w:rPr>
        <w:t>十三、估价作业期</w:t>
      </w:r>
      <w:r>
        <w:tab/>
      </w:r>
      <w:r>
        <w:fldChar w:fldCharType="begin"/>
      </w:r>
      <w:r>
        <w:instrText xml:space="preserve"> PAGEREF _Toc27926 </w:instrText>
      </w:r>
      <w:r>
        <w:fldChar w:fldCharType="separate"/>
      </w:r>
      <w:r>
        <w:t>15</w:t>
      </w:r>
      <w:r>
        <w:fldChar w:fldCharType="end"/>
      </w:r>
      <w:r>
        <w:rPr>
          <w:rFonts w:hint="eastAsia" w:ascii="仿宋" w:hAnsi="仿宋" w:eastAsia="仿宋"/>
          <w:highlight w:val="none"/>
        </w:rPr>
        <w:fldChar w:fldCharType="end"/>
      </w:r>
    </w:p>
    <w:p>
      <w:pPr>
        <w:pStyle w:val="7"/>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_Toc18559 </w:instrText>
      </w:r>
      <w:r>
        <w:rPr>
          <w:rFonts w:hint="eastAsia" w:ascii="仿宋" w:hAnsi="仿宋" w:eastAsia="仿宋"/>
          <w:highlight w:val="none"/>
        </w:rPr>
        <w:fldChar w:fldCharType="separate"/>
      </w:r>
      <w:r>
        <w:rPr>
          <w:rFonts w:hint="eastAsia" w:ascii="仿宋" w:hAnsi="仿宋" w:eastAsia="仿宋" w:cs="仿宋"/>
          <w:bCs w:val="0"/>
          <w:snapToGrid w:val="0"/>
          <w:szCs w:val="36"/>
          <w:highlight w:val="none"/>
        </w:rPr>
        <w:t>附    件</w:t>
      </w:r>
      <w:r>
        <w:tab/>
      </w:r>
      <w:r>
        <w:fldChar w:fldCharType="begin"/>
      </w:r>
      <w:r>
        <w:instrText xml:space="preserve"> PAGEREF _Toc18559 </w:instrText>
      </w:r>
      <w:r>
        <w:fldChar w:fldCharType="separate"/>
      </w:r>
      <w:r>
        <w:t>16</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_Toc27690 </w:instrText>
      </w:r>
      <w:r>
        <w:rPr>
          <w:rFonts w:hint="eastAsia" w:ascii="仿宋" w:hAnsi="仿宋" w:eastAsia="仿宋"/>
          <w:highlight w:val="none"/>
        </w:rPr>
        <w:fldChar w:fldCharType="separate"/>
      </w:r>
      <w:r>
        <w:rPr>
          <w:rFonts w:hint="eastAsia" w:ascii="仿宋" w:hAnsi="仿宋" w:eastAsia="仿宋"/>
          <w:szCs w:val="28"/>
          <w:highlight w:val="none"/>
          <w:lang w:eastAsia="zh-CN"/>
        </w:rPr>
        <w:t>一</w:t>
      </w:r>
      <w:r>
        <w:rPr>
          <w:rFonts w:hint="eastAsia" w:ascii="仿宋" w:hAnsi="仿宋" w:eastAsia="仿宋"/>
          <w:szCs w:val="28"/>
          <w:highlight w:val="none"/>
        </w:rPr>
        <w:t>、</w:t>
      </w:r>
      <w:r>
        <w:rPr>
          <w:rFonts w:hint="eastAsia" w:ascii="仿宋" w:hAnsi="仿宋" w:eastAsia="仿宋" w:cs="仿宋"/>
          <w:snapToGrid w:val="0"/>
          <w:szCs w:val="28"/>
          <w:highlight w:val="none"/>
        </w:rPr>
        <w:t>房地产估价委托书复印件</w:t>
      </w:r>
      <w:r>
        <w:tab/>
      </w:r>
      <w:r>
        <w:fldChar w:fldCharType="begin"/>
      </w:r>
      <w:r>
        <w:instrText xml:space="preserve"> PAGEREF _Toc27690 </w:instrText>
      </w:r>
      <w:r>
        <w:fldChar w:fldCharType="separate"/>
      </w:r>
      <w:r>
        <w:t>16</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_Toc29225 </w:instrText>
      </w:r>
      <w:r>
        <w:rPr>
          <w:rFonts w:hint="eastAsia" w:ascii="仿宋" w:hAnsi="仿宋" w:eastAsia="仿宋"/>
          <w:highlight w:val="none"/>
        </w:rPr>
        <w:fldChar w:fldCharType="separate"/>
      </w:r>
      <w:r>
        <w:rPr>
          <w:rFonts w:hint="eastAsia" w:ascii="仿宋" w:hAnsi="仿宋" w:eastAsia="仿宋"/>
          <w:szCs w:val="28"/>
        </w:rPr>
        <w:t xml:space="preserve">二、 </w:t>
      </w:r>
      <w:r>
        <w:rPr>
          <w:rFonts w:hint="eastAsia" w:ascii="仿宋" w:hAnsi="仿宋" w:eastAsia="仿宋"/>
          <w:szCs w:val="28"/>
          <w:highlight w:val="none"/>
        </w:rPr>
        <w:t>估价对象位置图</w:t>
      </w:r>
      <w:r>
        <w:tab/>
      </w:r>
      <w:r>
        <w:fldChar w:fldCharType="begin"/>
      </w:r>
      <w:r>
        <w:instrText xml:space="preserve"> PAGEREF _Toc29225 </w:instrText>
      </w:r>
      <w:r>
        <w:fldChar w:fldCharType="separate"/>
      </w:r>
      <w:r>
        <w:t>17</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_Toc5401 </w:instrText>
      </w:r>
      <w:r>
        <w:rPr>
          <w:rFonts w:hint="eastAsia" w:ascii="仿宋" w:hAnsi="仿宋" w:eastAsia="仿宋"/>
          <w:highlight w:val="none"/>
        </w:rPr>
        <w:fldChar w:fldCharType="separate"/>
      </w:r>
      <w:r>
        <w:rPr>
          <w:rFonts w:hint="eastAsia" w:ascii="仿宋" w:hAnsi="仿宋" w:eastAsia="仿宋" w:cs="仿宋"/>
          <w:bCs/>
          <w:spacing w:val="-10"/>
          <w:szCs w:val="28"/>
          <w:highlight w:val="none"/>
          <w:lang w:eastAsia="zh-CN"/>
        </w:rPr>
        <w:t>三、</w:t>
      </w:r>
      <w:r>
        <w:rPr>
          <w:rFonts w:hint="eastAsia" w:ascii="仿宋" w:hAnsi="仿宋" w:eastAsia="仿宋" w:cs="仿宋"/>
          <w:bCs/>
          <w:szCs w:val="28"/>
          <w:lang w:val="en-US" w:eastAsia="zh-CN"/>
        </w:rPr>
        <w:t>估价对象实地查勘情况和相关照片</w:t>
      </w:r>
      <w:r>
        <w:tab/>
      </w:r>
      <w:r>
        <w:fldChar w:fldCharType="begin"/>
      </w:r>
      <w:r>
        <w:instrText xml:space="preserve"> PAGEREF _Toc5401 </w:instrText>
      </w:r>
      <w:r>
        <w:fldChar w:fldCharType="separate"/>
      </w:r>
      <w:r>
        <w:t>17</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_Toc13748 </w:instrText>
      </w:r>
      <w:r>
        <w:rPr>
          <w:rFonts w:hint="eastAsia" w:ascii="仿宋" w:hAnsi="仿宋" w:eastAsia="仿宋"/>
          <w:highlight w:val="none"/>
        </w:rPr>
        <w:fldChar w:fldCharType="separate"/>
      </w:r>
      <w:r>
        <w:rPr>
          <w:rFonts w:hint="eastAsia" w:ascii="仿宋" w:hAnsi="仿宋" w:eastAsia="仿宋"/>
          <w:szCs w:val="28"/>
          <w:highlight w:val="none"/>
          <w:lang w:eastAsia="zh-CN"/>
        </w:rPr>
        <w:t>四</w:t>
      </w:r>
      <w:r>
        <w:rPr>
          <w:rFonts w:hint="eastAsia" w:ascii="仿宋" w:hAnsi="仿宋" w:eastAsia="仿宋"/>
          <w:szCs w:val="28"/>
          <w:highlight w:val="none"/>
        </w:rPr>
        <w:t>、估价对象权属证明复印件</w:t>
      </w:r>
      <w:r>
        <w:tab/>
      </w:r>
      <w:r>
        <w:fldChar w:fldCharType="begin"/>
      </w:r>
      <w:r>
        <w:instrText xml:space="preserve"> PAGEREF _Toc13748 </w:instrText>
      </w:r>
      <w:r>
        <w:fldChar w:fldCharType="separate"/>
      </w:r>
      <w:r>
        <w:t>19</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_Toc32528 </w:instrText>
      </w:r>
      <w:r>
        <w:rPr>
          <w:rFonts w:hint="eastAsia" w:ascii="仿宋" w:hAnsi="仿宋" w:eastAsia="仿宋"/>
          <w:highlight w:val="none"/>
        </w:rPr>
        <w:fldChar w:fldCharType="separate"/>
      </w:r>
      <w:r>
        <w:rPr>
          <w:rFonts w:hint="eastAsia" w:ascii="仿宋" w:hAnsi="仿宋" w:eastAsia="仿宋" w:cs="仿宋"/>
          <w:szCs w:val="28"/>
          <w:highlight w:val="none"/>
        </w:rPr>
        <w:t>五、专业帮助情况和相关专业意见</w:t>
      </w:r>
      <w:r>
        <w:tab/>
      </w:r>
      <w:r>
        <w:fldChar w:fldCharType="begin"/>
      </w:r>
      <w:r>
        <w:instrText xml:space="preserve"> PAGEREF _Toc32528 </w:instrText>
      </w:r>
      <w:r>
        <w:fldChar w:fldCharType="separate"/>
      </w:r>
      <w:r>
        <w:t>34</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_Toc2850 </w:instrText>
      </w:r>
      <w:r>
        <w:rPr>
          <w:rFonts w:hint="eastAsia" w:ascii="仿宋" w:hAnsi="仿宋" w:eastAsia="仿宋"/>
          <w:highlight w:val="none"/>
        </w:rPr>
        <w:fldChar w:fldCharType="separate"/>
      </w:r>
      <w:r>
        <w:rPr>
          <w:rFonts w:hint="eastAsia" w:ascii="仿宋" w:hAnsi="仿宋" w:eastAsia="仿宋" w:cs="仿宋"/>
          <w:szCs w:val="28"/>
          <w:highlight w:val="none"/>
        </w:rPr>
        <w:t>六、估价所依据的其他文件资料</w:t>
      </w:r>
      <w:r>
        <w:tab/>
      </w:r>
      <w:r>
        <w:fldChar w:fldCharType="begin"/>
      </w:r>
      <w:r>
        <w:instrText xml:space="preserve"> PAGEREF _Toc2850 </w:instrText>
      </w:r>
      <w:r>
        <w:fldChar w:fldCharType="separate"/>
      </w:r>
      <w:r>
        <w:t>34</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_Toc12656 </w:instrText>
      </w:r>
      <w:r>
        <w:rPr>
          <w:rFonts w:hint="eastAsia" w:ascii="仿宋" w:hAnsi="仿宋" w:eastAsia="仿宋"/>
          <w:highlight w:val="none"/>
        </w:rPr>
        <w:fldChar w:fldCharType="separate"/>
      </w:r>
      <w:r>
        <w:rPr>
          <w:rFonts w:hint="eastAsia" w:ascii="仿宋" w:hAnsi="仿宋" w:eastAsia="仿宋" w:cs="仿宋"/>
          <w:bCs/>
          <w:szCs w:val="28"/>
          <w:highlight w:val="none"/>
        </w:rPr>
        <w:t>七、房地产估价机构营业执照和估价资质证书复印件</w:t>
      </w:r>
      <w:r>
        <w:tab/>
      </w:r>
      <w:r>
        <w:fldChar w:fldCharType="begin"/>
      </w:r>
      <w:r>
        <w:instrText xml:space="preserve"> PAGEREF _Toc12656 </w:instrText>
      </w:r>
      <w:r>
        <w:fldChar w:fldCharType="separate"/>
      </w:r>
      <w:r>
        <w:t>35</w:t>
      </w:r>
      <w:r>
        <w:fldChar w:fldCharType="end"/>
      </w:r>
      <w:r>
        <w:rPr>
          <w:rFonts w:hint="eastAsia" w:ascii="仿宋" w:hAnsi="仿宋" w:eastAsia="仿宋"/>
          <w:highlight w:val="none"/>
        </w:rPr>
        <w:fldChar w:fldCharType="end"/>
      </w:r>
    </w:p>
    <w:p>
      <w:pPr>
        <w:pStyle w:val="8"/>
        <w:tabs>
          <w:tab w:val="right" w:leader="dot" w:pos="9389"/>
        </w:tabs>
      </w:pPr>
      <w:r>
        <w:rPr>
          <w:rFonts w:hint="eastAsia" w:ascii="仿宋" w:hAnsi="仿宋" w:eastAsia="仿宋"/>
          <w:highlight w:val="none"/>
        </w:rPr>
        <w:fldChar w:fldCharType="begin"/>
      </w:r>
      <w:r>
        <w:rPr>
          <w:rFonts w:hint="eastAsia" w:ascii="仿宋" w:hAnsi="仿宋" w:eastAsia="仿宋"/>
          <w:highlight w:val="none"/>
        </w:rPr>
        <w:instrText xml:space="preserve"> HYPERLINK \l _Toc5672 </w:instrText>
      </w:r>
      <w:r>
        <w:rPr>
          <w:rFonts w:hint="eastAsia" w:ascii="仿宋" w:hAnsi="仿宋" w:eastAsia="仿宋"/>
          <w:highlight w:val="none"/>
        </w:rPr>
        <w:fldChar w:fldCharType="separate"/>
      </w:r>
      <w:r>
        <w:rPr>
          <w:rFonts w:hint="eastAsia" w:ascii="仿宋" w:hAnsi="仿宋" w:eastAsia="仿宋" w:cs="仿宋"/>
          <w:szCs w:val="28"/>
          <w:highlight w:val="none"/>
        </w:rPr>
        <w:t>八、注册房地产估价师资格证书复印件</w:t>
      </w:r>
      <w:r>
        <w:tab/>
      </w:r>
      <w:r>
        <w:fldChar w:fldCharType="begin"/>
      </w:r>
      <w:r>
        <w:instrText xml:space="preserve"> PAGEREF _Toc5672 </w:instrText>
      </w:r>
      <w:r>
        <w:fldChar w:fldCharType="separate"/>
      </w:r>
      <w:r>
        <w:t>37</w:t>
      </w:r>
      <w:r>
        <w:fldChar w:fldCharType="end"/>
      </w:r>
      <w:r>
        <w:rPr>
          <w:rFonts w:hint="eastAsia" w:ascii="仿宋" w:hAnsi="仿宋" w:eastAsia="仿宋"/>
          <w:highlight w:val="none"/>
        </w:rPr>
        <w:fldChar w:fldCharType="end"/>
      </w:r>
    </w:p>
    <w:p>
      <w:pPr>
        <w:pStyle w:val="8"/>
        <w:tabs>
          <w:tab w:val="right" w:leader="dot" w:pos="9379"/>
        </w:tabs>
        <w:adjustRightInd w:val="0"/>
        <w:snapToGrid w:val="0"/>
        <w:spacing w:line="360" w:lineRule="auto"/>
        <w:ind w:left="427"/>
        <w:rPr>
          <w:rFonts w:hint="eastAsia" w:ascii="仿宋" w:hAnsi="仿宋" w:eastAsia="仿宋"/>
          <w:sz w:val="24"/>
          <w:highlight w:val="none"/>
        </w:rPr>
        <w:sectPr>
          <w:headerReference r:id="rId10" w:type="first"/>
          <w:footerReference r:id="rId12" w:type="first"/>
          <w:footerReference r:id="rId11" w:type="default"/>
          <w:pgSz w:w="11906" w:h="16838"/>
          <w:pgMar w:top="1247" w:right="1020" w:bottom="1247" w:left="1497" w:header="907" w:footer="907" w:gutter="0"/>
          <w:pgNumType w:start="1"/>
          <w:cols w:space="720" w:num="1"/>
          <w:titlePg/>
          <w:docGrid w:type="linesAndChars" w:linePitch="312" w:charSpace="693"/>
        </w:sectPr>
      </w:pPr>
      <w:r>
        <w:rPr>
          <w:rFonts w:hint="eastAsia" w:ascii="仿宋" w:hAnsi="仿宋" w:eastAsia="仿宋"/>
          <w:highlight w:val="none"/>
        </w:rPr>
        <w:fldChar w:fldCharType="end"/>
      </w:r>
      <w:bookmarkEnd w:id="0"/>
      <w:bookmarkStart w:id="1" w:name="_Toc437853087"/>
      <w:bookmarkStart w:id="2" w:name="_Toc7982"/>
      <w:bookmarkStart w:id="3" w:name="_Toc15739"/>
      <w:bookmarkStart w:id="4" w:name="_Toc11546"/>
      <w:bookmarkStart w:id="5" w:name="_Toc23045"/>
      <w:bookmarkStart w:id="6" w:name="_Toc16323"/>
      <w:bookmarkStart w:id="7" w:name="_Toc408527823"/>
    </w:p>
    <w:p>
      <w:pPr>
        <w:pStyle w:val="2"/>
        <w:adjustRightInd w:val="0"/>
        <w:snapToGrid w:val="0"/>
        <w:spacing w:line="420" w:lineRule="exact"/>
        <w:jc w:val="center"/>
        <w:rPr>
          <w:rFonts w:hint="eastAsia" w:ascii="仿宋" w:hAnsi="仿宋" w:eastAsia="仿宋" w:cs="仿宋"/>
          <w:b/>
          <w:bCs/>
          <w:snapToGrid w:val="0"/>
          <w:sz w:val="36"/>
          <w:szCs w:val="36"/>
          <w:highlight w:val="none"/>
        </w:rPr>
      </w:pPr>
      <w:bookmarkStart w:id="8" w:name="_Toc29157"/>
      <w:r>
        <w:rPr>
          <w:rFonts w:hint="eastAsia" w:ascii="仿宋" w:hAnsi="仿宋" w:eastAsia="仿宋" w:cs="仿宋"/>
          <w:b/>
          <w:bCs/>
          <w:snapToGrid w:val="0"/>
          <w:sz w:val="36"/>
          <w:szCs w:val="36"/>
          <w:highlight w:val="none"/>
        </w:rPr>
        <w:t>估价师声明</w:t>
      </w:r>
      <w:bookmarkEnd w:id="1"/>
      <w:bookmarkEnd w:id="2"/>
      <w:bookmarkEnd w:id="3"/>
      <w:bookmarkEnd w:id="4"/>
      <w:bookmarkEnd w:id="5"/>
      <w:bookmarkEnd w:id="6"/>
      <w:bookmarkEnd w:id="7"/>
      <w:bookmarkEnd w:id="8"/>
    </w:p>
    <w:p>
      <w:pPr>
        <w:adjustRightInd w:val="0"/>
        <w:snapToGrid w:val="0"/>
        <w:spacing w:line="360" w:lineRule="auto"/>
        <w:rPr>
          <w:rFonts w:hint="eastAsia" w:ascii="仿宋" w:hAnsi="仿宋" w:eastAsia="仿宋" w:cs="仿宋"/>
          <w:sz w:val="28"/>
          <w:highlight w:val="none"/>
        </w:rPr>
      </w:pPr>
      <w:r>
        <w:rPr>
          <w:rFonts w:hint="eastAsia" w:ascii="仿宋" w:hAnsi="仿宋" w:eastAsia="仿宋" w:cs="仿宋"/>
          <w:sz w:val="28"/>
          <w:highlight w:val="none"/>
        </w:rPr>
        <w:t>我们郑重声明：</w:t>
      </w:r>
    </w:p>
    <w:p>
      <w:pPr>
        <w:tabs>
          <w:tab w:val="left" w:pos="180"/>
        </w:tabs>
        <w:adjustRightInd w:val="0"/>
        <w:snapToGrid w:val="0"/>
        <w:spacing w:line="360" w:lineRule="auto"/>
        <w:ind w:firstLine="538"/>
        <w:rPr>
          <w:rFonts w:hint="eastAsia" w:ascii="仿宋" w:hAnsi="仿宋" w:eastAsia="仿宋" w:cs="仿宋"/>
          <w:sz w:val="28"/>
          <w:highlight w:val="none"/>
        </w:rPr>
      </w:pPr>
      <w:r>
        <w:rPr>
          <w:rFonts w:hint="eastAsia" w:ascii="仿宋" w:hAnsi="仿宋" w:eastAsia="仿宋" w:cs="仿宋"/>
          <w:sz w:val="28"/>
          <w:highlight w:val="none"/>
        </w:rPr>
        <w:t>1、我们在估价报告中对事实的说明是真实和准确的，没有虚假记载、误导性陈述和重大遗漏；</w:t>
      </w:r>
    </w:p>
    <w:p>
      <w:pPr>
        <w:adjustRightInd w:val="0"/>
        <w:snapToGrid w:val="0"/>
        <w:spacing w:line="360" w:lineRule="auto"/>
        <w:ind w:firstLine="560"/>
        <w:rPr>
          <w:rFonts w:hint="eastAsia" w:ascii="仿宋" w:hAnsi="仿宋" w:eastAsia="仿宋" w:cs="仿宋"/>
          <w:sz w:val="28"/>
          <w:highlight w:val="none"/>
        </w:rPr>
      </w:pPr>
      <w:r>
        <w:rPr>
          <w:rFonts w:hint="eastAsia" w:ascii="仿宋" w:hAnsi="仿宋" w:eastAsia="仿宋" w:cs="仿宋"/>
          <w:sz w:val="28"/>
          <w:highlight w:val="none"/>
        </w:rPr>
        <w:t>2、估价报告中的分析、意见和结论是我们独立、客观、公正的专业分析、意见和结论，但受到估价报告中已经说明的估价假设和限制条件的限制。</w:t>
      </w:r>
    </w:p>
    <w:p>
      <w:pPr>
        <w:tabs>
          <w:tab w:val="left" w:pos="180"/>
        </w:tabs>
        <w:adjustRightInd w:val="0"/>
        <w:snapToGrid w:val="0"/>
        <w:spacing w:line="360" w:lineRule="auto"/>
        <w:ind w:firstLine="538"/>
        <w:rPr>
          <w:rFonts w:hint="eastAsia" w:ascii="仿宋" w:hAnsi="仿宋" w:eastAsia="仿宋" w:cs="仿宋"/>
          <w:sz w:val="28"/>
          <w:highlight w:val="none"/>
        </w:rPr>
      </w:pPr>
      <w:r>
        <w:rPr>
          <w:rFonts w:hint="eastAsia" w:ascii="仿宋" w:hAnsi="仿宋" w:eastAsia="仿宋" w:cs="仿宋"/>
          <w:sz w:val="28"/>
          <w:highlight w:val="none"/>
        </w:rPr>
        <w:t>3、我们与估价报告中的估价对象没有现实或潜在的利益，与估价委托人及估价利害关系人没有利害关系，也对估价对象、估价委托人及估价利害关系人没有偏见。</w:t>
      </w:r>
    </w:p>
    <w:p>
      <w:pPr>
        <w:tabs>
          <w:tab w:val="left" w:pos="180"/>
        </w:tabs>
        <w:adjustRightInd w:val="0"/>
        <w:snapToGrid w:val="0"/>
        <w:spacing w:line="360" w:lineRule="auto"/>
        <w:ind w:firstLine="538"/>
        <w:rPr>
          <w:rFonts w:hint="eastAsia" w:ascii="仿宋" w:hAnsi="仿宋" w:eastAsia="仿宋" w:cs="仿宋"/>
          <w:sz w:val="28"/>
          <w:highlight w:val="none"/>
        </w:rPr>
      </w:pPr>
      <w:r>
        <w:rPr>
          <w:rFonts w:hint="eastAsia" w:ascii="仿宋" w:hAnsi="仿宋" w:eastAsia="仿宋" w:cs="仿宋"/>
          <w:sz w:val="28"/>
          <w:highlight w:val="none"/>
        </w:rPr>
        <w:t>4、我们依照中华人民共和国国家标准《房地产估价规范》（GB/T50291-2015）、《房地产估价基本术语标准》（GB/T50899-2013）及</w:t>
      </w:r>
      <w:r>
        <w:rPr>
          <w:rFonts w:hint="eastAsia" w:ascii="仿宋" w:hAnsi="仿宋" w:eastAsia="仿宋"/>
          <w:sz w:val="28"/>
          <w:highlight w:val="none"/>
        </w:rPr>
        <w:t>《最高人民法院关于人民法院委托评估、拍卖和变卖工作的若干规定》（法释［2009］16号）</w:t>
      </w:r>
      <w:r>
        <w:rPr>
          <w:rFonts w:hint="eastAsia" w:ascii="仿宋" w:hAnsi="仿宋" w:eastAsia="仿宋" w:cs="仿宋"/>
          <w:sz w:val="28"/>
          <w:highlight w:val="none"/>
        </w:rPr>
        <w:t>进行分析，形成意见和结论，撰写本估价报告。</w:t>
      </w:r>
    </w:p>
    <w:p>
      <w:pPr>
        <w:tabs>
          <w:tab w:val="left" w:pos="180"/>
        </w:tabs>
        <w:adjustRightInd w:val="0"/>
        <w:snapToGrid w:val="0"/>
        <w:spacing w:line="360" w:lineRule="auto"/>
        <w:ind w:firstLine="538"/>
        <w:rPr>
          <w:rFonts w:hint="eastAsia" w:ascii="仿宋" w:hAnsi="仿宋" w:eastAsia="仿宋" w:cs="仿宋"/>
          <w:sz w:val="28"/>
          <w:highlight w:val="none"/>
        </w:rPr>
      </w:pPr>
      <w:r>
        <w:rPr>
          <w:rFonts w:hint="eastAsia" w:ascii="仿宋" w:hAnsi="仿宋" w:eastAsia="仿宋" w:cs="仿宋"/>
          <w:sz w:val="28"/>
          <w:highlight w:val="none"/>
        </w:rPr>
        <w:t>5、</w:t>
      </w:r>
      <w:r>
        <w:rPr>
          <w:rFonts w:hint="eastAsia" w:ascii="仿宋" w:hAnsi="仿宋" w:eastAsia="仿宋" w:cs="仿宋"/>
          <w:sz w:val="28"/>
          <w:highlight w:val="none"/>
          <w:lang w:eastAsia="zh-CN"/>
        </w:rPr>
        <w:t>我公司评估专业人员</w:t>
      </w:r>
      <w:r>
        <w:rPr>
          <w:rFonts w:hint="eastAsia" w:ascii="仿宋" w:hAnsi="仿宋" w:eastAsia="仿宋" w:cs="仿宋"/>
          <w:sz w:val="28"/>
          <w:highlight w:val="none"/>
        </w:rPr>
        <w:t>已于</w:t>
      </w:r>
      <w:r>
        <w:rPr>
          <w:rFonts w:hint="eastAsia" w:ascii="仿宋" w:hAnsi="仿宋" w:eastAsia="仿宋" w:cs="仿宋"/>
          <w:sz w:val="28"/>
          <w:highlight w:val="none"/>
          <w:lang w:eastAsia="zh-CN"/>
        </w:rPr>
        <w:t>2020年01月17日</w:t>
      </w:r>
      <w:r>
        <w:rPr>
          <w:rFonts w:hint="eastAsia" w:ascii="仿宋" w:hAnsi="仿宋" w:eastAsia="仿宋" w:cs="仿宋"/>
          <w:sz w:val="28"/>
          <w:highlight w:val="none"/>
        </w:rPr>
        <w:t>对本估价报告中的估价对象进行了实地勘察，并对勘察的客观性、真实性、公正性承担责任，但我们对估价对象的现场勘察仅限于其外观和使用状况。</w:t>
      </w:r>
    </w:p>
    <w:p>
      <w:pPr>
        <w:tabs>
          <w:tab w:val="left" w:pos="180"/>
        </w:tabs>
        <w:adjustRightInd w:val="0"/>
        <w:snapToGrid w:val="0"/>
        <w:spacing w:line="360" w:lineRule="auto"/>
        <w:ind w:firstLine="538"/>
        <w:rPr>
          <w:rFonts w:hint="eastAsia" w:ascii="仿宋" w:hAnsi="仿宋" w:eastAsia="仿宋" w:cs="仿宋"/>
          <w:sz w:val="28"/>
          <w:highlight w:val="none"/>
        </w:rPr>
      </w:pPr>
      <w:r>
        <w:rPr>
          <w:rFonts w:hint="eastAsia" w:ascii="仿宋" w:hAnsi="仿宋" w:eastAsia="仿宋" w:cs="仿宋"/>
          <w:sz w:val="28"/>
          <w:highlight w:val="none"/>
        </w:rPr>
        <w:t>6、没有人对本估价报告提供重要专业帮助。</w:t>
      </w:r>
    </w:p>
    <w:p>
      <w:pPr>
        <w:adjustRightInd w:val="0"/>
        <w:snapToGrid w:val="0"/>
        <w:spacing w:line="360" w:lineRule="auto"/>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注册房地产估价师</w:t>
      </w:r>
    </w:p>
    <w:tbl>
      <w:tblPr>
        <w:tblStyle w:val="11"/>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628"/>
        <w:gridCol w:w="2628"/>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596"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姓   名</w:t>
            </w:r>
          </w:p>
        </w:tc>
        <w:tc>
          <w:tcPr>
            <w:tcW w:w="2628"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注册号</w:t>
            </w:r>
          </w:p>
        </w:tc>
        <w:tc>
          <w:tcPr>
            <w:tcW w:w="2628"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签   名</w:t>
            </w:r>
          </w:p>
        </w:tc>
        <w:tc>
          <w:tcPr>
            <w:tcW w:w="2628"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1596"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napToGrid w:val="0"/>
                <w:kern w:val="0"/>
                <w:sz w:val="28"/>
                <w:szCs w:val="28"/>
                <w:highlight w:val="none"/>
              </w:rPr>
              <w:t>韩朝钦</w:t>
            </w:r>
          </w:p>
        </w:tc>
        <w:tc>
          <w:tcPr>
            <w:tcW w:w="2628"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z w:val="28"/>
                <w:szCs w:val="28"/>
                <w:highlight w:val="none"/>
              </w:rPr>
              <w:t>5220140044</w:t>
            </w:r>
          </w:p>
        </w:tc>
        <w:tc>
          <w:tcPr>
            <w:tcW w:w="2628" w:type="dxa"/>
            <w:vAlign w:val="center"/>
          </w:tcPr>
          <w:p>
            <w:pPr>
              <w:adjustRightInd w:val="0"/>
              <w:snapToGrid w:val="0"/>
              <w:jc w:val="center"/>
              <w:rPr>
                <w:rFonts w:hint="eastAsia" w:ascii="仿宋" w:hAnsi="仿宋" w:eastAsia="仿宋" w:cs="仿宋"/>
                <w:spacing w:val="-20"/>
                <w:sz w:val="28"/>
                <w:szCs w:val="28"/>
                <w:highlight w:val="none"/>
              </w:rPr>
            </w:pPr>
          </w:p>
        </w:tc>
        <w:tc>
          <w:tcPr>
            <w:tcW w:w="2628" w:type="dxa"/>
            <w:vAlign w:val="center"/>
          </w:tcPr>
          <w:p>
            <w:pPr>
              <w:adjustRightInd w:val="0"/>
              <w:snapToGrid w:val="0"/>
              <w:jc w:val="right"/>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596" w:type="dxa"/>
            <w:vAlign w:val="center"/>
          </w:tcPr>
          <w:p>
            <w:pPr>
              <w:adjustRightInd w:val="0"/>
              <w:snapToGrid w:val="0"/>
              <w:jc w:val="center"/>
              <w:rPr>
                <w:rFonts w:hint="eastAsia" w:ascii="仿宋" w:hAnsi="仿宋" w:eastAsia="仿宋" w:cs="仿宋"/>
                <w:spacing w:val="-20"/>
                <w:sz w:val="28"/>
                <w:szCs w:val="28"/>
                <w:highlight w:val="none"/>
                <w:lang w:eastAsia="zh-CN"/>
              </w:rPr>
            </w:pPr>
            <w:r>
              <w:rPr>
                <w:rFonts w:hint="eastAsia" w:ascii="仿宋" w:hAnsi="仿宋" w:eastAsia="仿宋" w:cs="仿宋"/>
                <w:snapToGrid w:val="0"/>
                <w:kern w:val="0"/>
                <w:sz w:val="28"/>
                <w:szCs w:val="28"/>
                <w:highlight w:val="none"/>
                <w:lang w:eastAsia="zh-CN"/>
              </w:rPr>
              <w:t>张李楠</w:t>
            </w:r>
          </w:p>
        </w:tc>
        <w:tc>
          <w:tcPr>
            <w:tcW w:w="2628" w:type="dxa"/>
            <w:vAlign w:val="center"/>
          </w:tcPr>
          <w:p>
            <w:pPr>
              <w:adjustRightInd w:val="0"/>
              <w:snapToGrid w:val="0"/>
              <w:jc w:val="center"/>
              <w:rPr>
                <w:rFonts w:hint="eastAsia" w:ascii="仿宋" w:hAnsi="仿宋" w:eastAsia="仿宋" w:cs="仿宋"/>
                <w:spacing w:val="-20"/>
                <w:sz w:val="28"/>
                <w:szCs w:val="28"/>
                <w:highlight w:val="none"/>
                <w:lang w:eastAsia="zh-CN"/>
              </w:rPr>
            </w:pPr>
            <w:r>
              <w:rPr>
                <w:rFonts w:hint="eastAsia" w:ascii="仿宋" w:hAnsi="仿宋" w:eastAsia="仿宋" w:cs="仿宋"/>
                <w:sz w:val="28"/>
                <w:szCs w:val="28"/>
                <w:highlight w:val="none"/>
                <w:lang w:eastAsia="zh-CN"/>
              </w:rPr>
              <w:t>5220180051</w:t>
            </w:r>
          </w:p>
        </w:tc>
        <w:tc>
          <w:tcPr>
            <w:tcW w:w="2628" w:type="dxa"/>
            <w:vAlign w:val="center"/>
          </w:tcPr>
          <w:p>
            <w:pPr>
              <w:adjustRightInd w:val="0"/>
              <w:snapToGrid w:val="0"/>
              <w:jc w:val="center"/>
              <w:rPr>
                <w:rFonts w:hint="eastAsia" w:ascii="仿宋" w:hAnsi="仿宋" w:eastAsia="仿宋" w:cs="仿宋"/>
                <w:spacing w:val="-20"/>
                <w:sz w:val="28"/>
                <w:szCs w:val="28"/>
                <w:highlight w:val="none"/>
              </w:rPr>
            </w:pPr>
          </w:p>
        </w:tc>
        <w:tc>
          <w:tcPr>
            <w:tcW w:w="2628" w:type="dxa"/>
            <w:vAlign w:val="center"/>
          </w:tcPr>
          <w:p>
            <w:pPr>
              <w:adjustRightInd w:val="0"/>
              <w:snapToGrid w:val="0"/>
              <w:jc w:val="right"/>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年   月  日</w:t>
            </w:r>
          </w:p>
        </w:tc>
      </w:tr>
    </w:tbl>
    <w:p>
      <w:pPr>
        <w:tabs>
          <w:tab w:val="left" w:pos="180"/>
        </w:tabs>
        <w:adjustRightInd w:val="0"/>
        <w:snapToGrid w:val="0"/>
        <w:spacing w:line="360" w:lineRule="auto"/>
        <w:rPr>
          <w:rFonts w:hint="eastAsia" w:ascii="仿宋" w:hAnsi="仿宋" w:eastAsia="仿宋" w:cs="仿宋"/>
          <w:sz w:val="28"/>
          <w:highlight w:val="none"/>
        </w:rPr>
        <w:sectPr>
          <w:headerReference r:id="rId13" w:type="default"/>
          <w:footerReference r:id="rId14" w:type="default"/>
          <w:pgSz w:w="11906" w:h="16838"/>
          <w:pgMar w:top="1247" w:right="1021" w:bottom="1247" w:left="1497" w:header="907" w:footer="907" w:gutter="0"/>
          <w:pgNumType w:start="1"/>
          <w:cols w:space="720" w:num="1"/>
          <w:docGrid w:type="linesAndChars" w:linePitch="312" w:charSpace="693"/>
        </w:sectPr>
      </w:pPr>
    </w:p>
    <w:p>
      <w:pPr>
        <w:pStyle w:val="2"/>
        <w:adjustRightInd w:val="0"/>
        <w:snapToGrid w:val="0"/>
        <w:spacing w:line="420" w:lineRule="exact"/>
        <w:jc w:val="center"/>
        <w:rPr>
          <w:rFonts w:hint="eastAsia" w:ascii="仿宋" w:hAnsi="仿宋" w:eastAsia="仿宋" w:cs="仿宋"/>
          <w:bCs w:val="0"/>
          <w:snapToGrid w:val="0"/>
          <w:sz w:val="36"/>
          <w:szCs w:val="36"/>
          <w:highlight w:val="none"/>
        </w:rPr>
      </w:pPr>
      <w:bookmarkStart w:id="9" w:name="_Toc20026"/>
      <w:bookmarkStart w:id="10" w:name="_Toc408527824"/>
      <w:bookmarkStart w:id="11" w:name="_Toc6192"/>
      <w:bookmarkStart w:id="12" w:name="_Toc18236"/>
      <w:bookmarkStart w:id="13" w:name="_Toc24947"/>
      <w:bookmarkStart w:id="14" w:name="_Toc437853088"/>
      <w:bookmarkStart w:id="15" w:name="_Toc1345"/>
      <w:bookmarkStart w:id="16" w:name="_Toc8941"/>
      <w:r>
        <w:rPr>
          <w:rFonts w:hint="eastAsia" w:ascii="仿宋" w:hAnsi="仿宋" w:eastAsia="仿宋" w:cs="仿宋"/>
          <w:bCs w:val="0"/>
          <w:snapToGrid w:val="0"/>
          <w:sz w:val="36"/>
          <w:szCs w:val="36"/>
          <w:highlight w:val="none"/>
        </w:rPr>
        <w:t>估价假设和限制条件及使用报告说明</w:t>
      </w:r>
      <w:bookmarkEnd w:id="9"/>
      <w:bookmarkEnd w:id="10"/>
      <w:bookmarkEnd w:id="11"/>
      <w:bookmarkEnd w:id="12"/>
      <w:bookmarkEnd w:id="13"/>
      <w:bookmarkEnd w:id="14"/>
      <w:bookmarkEnd w:id="15"/>
      <w:bookmarkEnd w:id="16"/>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hanging="3"/>
        <w:rPr>
          <w:rFonts w:hint="eastAsia" w:ascii="仿宋" w:hAnsi="仿宋" w:eastAsia="仿宋" w:cs="仿宋"/>
          <w:b/>
          <w:sz w:val="28"/>
          <w:szCs w:val="28"/>
          <w:highlight w:val="none"/>
        </w:rPr>
      </w:pPr>
      <w:r>
        <w:rPr>
          <w:rFonts w:hint="eastAsia" w:ascii="仿宋" w:hAnsi="仿宋" w:eastAsia="仿宋" w:cs="仿宋"/>
          <w:b/>
          <w:sz w:val="28"/>
          <w:szCs w:val="28"/>
          <w:highlight w:val="none"/>
        </w:rPr>
        <w:t>一、估价假设</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9"/>
        <w:rPr>
          <w:rFonts w:hint="eastAsia" w:ascii="仿宋" w:hAnsi="仿宋" w:eastAsia="仿宋" w:cs="仿宋"/>
          <w:sz w:val="28"/>
          <w:szCs w:val="28"/>
          <w:highlight w:val="none"/>
        </w:rPr>
      </w:pPr>
      <w:r>
        <w:rPr>
          <w:rFonts w:hint="eastAsia" w:ascii="仿宋" w:hAnsi="仿宋" w:eastAsia="仿宋" w:cs="仿宋"/>
          <w:sz w:val="28"/>
          <w:szCs w:val="28"/>
          <w:highlight w:val="none"/>
        </w:rPr>
        <w:t>（一）一般性假设</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566" w:firstLineChars="200"/>
        <w:textAlignment w:val="baseline"/>
        <w:rPr>
          <w:rFonts w:hint="eastAsia" w:ascii="仿宋" w:hAnsi="仿宋" w:eastAsia="仿宋"/>
          <w:sz w:val="28"/>
          <w:szCs w:val="28"/>
          <w:highlight w:val="none"/>
        </w:rPr>
      </w:pPr>
      <w:r>
        <w:rPr>
          <w:rFonts w:hint="eastAsia" w:ascii="仿宋" w:hAnsi="仿宋" w:eastAsia="仿宋"/>
          <w:sz w:val="28"/>
          <w:szCs w:val="28"/>
          <w:highlight w:val="none"/>
        </w:rPr>
        <w:t>估价对象在价值时点的房地产市场为公开、平等、自愿的交易市场，即能满足以下条件：</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9"/>
        <w:rPr>
          <w:rFonts w:hint="eastAsia" w:ascii="仿宋" w:hAnsi="仿宋" w:eastAsia="仿宋" w:cs="仿宋"/>
          <w:sz w:val="28"/>
          <w:szCs w:val="28"/>
          <w:highlight w:val="none"/>
        </w:rPr>
      </w:pPr>
      <w:r>
        <w:rPr>
          <w:rFonts w:hint="eastAsia" w:ascii="仿宋" w:hAnsi="仿宋" w:eastAsia="仿宋" w:cs="仿宋"/>
          <w:sz w:val="28"/>
          <w:szCs w:val="28"/>
          <w:highlight w:val="none"/>
        </w:rPr>
        <w:t>(1)交易双方自愿地进行交易；</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9"/>
        <w:rPr>
          <w:rFonts w:hint="eastAsia" w:ascii="仿宋" w:hAnsi="仿宋" w:eastAsia="仿宋" w:cs="仿宋"/>
          <w:sz w:val="28"/>
          <w:szCs w:val="28"/>
          <w:highlight w:val="none"/>
        </w:rPr>
      </w:pPr>
      <w:r>
        <w:rPr>
          <w:rFonts w:hint="eastAsia" w:ascii="仿宋" w:hAnsi="仿宋" w:eastAsia="仿宋" w:cs="仿宋"/>
          <w:sz w:val="28"/>
          <w:szCs w:val="28"/>
          <w:highlight w:val="none"/>
        </w:rPr>
        <w:t>(2)交易双方处于利己动机进行交易；</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9"/>
        <w:rPr>
          <w:rFonts w:hint="eastAsia" w:ascii="仿宋" w:hAnsi="仿宋" w:eastAsia="仿宋" w:cs="仿宋"/>
          <w:sz w:val="28"/>
          <w:szCs w:val="28"/>
          <w:highlight w:val="none"/>
        </w:rPr>
      </w:pPr>
      <w:r>
        <w:rPr>
          <w:rFonts w:hint="eastAsia" w:ascii="仿宋" w:hAnsi="仿宋" w:eastAsia="仿宋" w:cs="仿宋"/>
          <w:sz w:val="28"/>
          <w:szCs w:val="28"/>
          <w:highlight w:val="none"/>
        </w:rPr>
        <w:t>(3)交易双方精明、谨慎行事，并了解交易对象、知晓市场行情；</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9"/>
        <w:rPr>
          <w:rFonts w:hint="eastAsia" w:ascii="仿宋" w:hAnsi="仿宋" w:eastAsia="仿宋" w:cs="仿宋"/>
          <w:sz w:val="28"/>
          <w:szCs w:val="28"/>
          <w:highlight w:val="none"/>
        </w:rPr>
      </w:pPr>
      <w:r>
        <w:rPr>
          <w:rFonts w:hint="eastAsia" w:ascii="仿宋" w:hAnsi="仿宋" w:eastAsia="仿宋" w:cs="仿宋"/>
          <w:sz w:val="28"/>
          <w:szCs w:val="28"/>
          <w:highlight w:val="none"/>
        </w:rPr>
        <w:t>(4)交易双方有较充裕的时间进行交易；</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9"/>
        <w:rPr>
          <w:rFonts w:hint="eastAsia" w:ascii="仿宋" w:hAnsi="仿宋" w:eastAsia="仿宋" w:cs="仿宋"/>
          <w:sz w:val="28"/>
          <w:szCs w:val="28"/>
          <w:highlight w:val="none"/>
        </w:rPr>
      </w:pPr>
      <w:r>
        <w:rPr>
          <w:rFonts w:hint="eastAsia" w:ascii="仿宋" w:hAnsi="仿宋" w:eastAsia="仿宋" w:cs="仿宋"/>
          <w:sz w:val="28"/>
          <w:szCs w:val="28"/>
          <w:highlight w:val="none"/>
        </w:rPr>
        <w:t>(5)不存在买者因特殊兴趣而给予附加出价。</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566" w:firstLineChars="200"/>
        <w:textAlignment w:val="baseline"/>
        <w:rPr>
          <w:rFonts w:hint="eastAsia" w:ascii="仿宋" w:hAnsi="仿宋" w:eastAsia="仿宋" w:cs="仿宋"/>
          <w:sz w:val="28"/>
          <w:szCs w:val="28"/>
          <w:highlight w:val="none"/>
        </w:rPr>
      </w:pPr>
      <w:r>
        <w:rPr>
          <w:rFonts w:hint="eastAsia" w:ascii="仿宋" w:hAnsi="仿宋" w:eastAsia="仿宋"/>
          <w:sz w:val="28"/>
          <w:szCs w:val="28"/>
          <w:highlight w:val="none"/>
          <w:lang w:eastAsia="zh-CN"/>
        </w:rPr>
        <w:t>估价委托人</w:t>
      </w:r>
      <w:r>
        <w:rPr>
          <w:rFonts w:hint="eastAsia" w:ascii="仿宋" w:hAnsi="仿宋" w:eastAsia="仿宋"/>
          <w:sz w:val="28"/>
          <w:szCs w:val="28"/>
          <w:highlight w:val="none"/>
        </w:rPr>
        <w:t>提供</w:t>
      </w:r>
      <w:r>
        <w:rPr>
          <w:rFonts w:hint="eastAsia" w:ascii="仿宋" w:hAnsi="仿宋" w:eastAsia="仿宋"/>
          <w:sz w:val="28"/>
          <w:szCs w:val="28"/>
          <w:highlight w:val="none"/>
          <w:lang w:eastAsia="zh-CN"/>
        </w:rPr>
        <w:t>了</w:t>
      </w:r>
      <w:r>
        <w:rPr>
          <w:rFonts w:hint="eastAsia" w:ascii="仿宋" w:hAnsi="仿宋" w:eastAsia="仿宋"/>
          <w:sz w:val="28"/>
          <w:szCs w:val="28"/>
          <w:highlight w:val="none"/>
        </w:rPr>
        <w:t>估价对象</w:t>
      </w:r>
      <w:r>
        <w:rPr>
          <w:rFonts w:hint="eastAsia" w:ascii="仿宋" w:hAnsi="仿宋" w:eastAsia="仿宋"/>
          <w:sz w:val="28"/>
          <w:szCs w:val="28"/>
          <w:highlight w:val="none"/>
          <w:lang w:eastAsia="zh-CN"/>
        </w:rPr>
        <w:t>的《房屋所有权证》、《贵州省房屋所有权登记申请表》、《房产档案》、《集体土地使用证》</w:t>
      </w:r>
      <w:r>
        <w:rPr>
          <w:rFonts w:hint="eastAsia" w:ascii="仿宋" w:hAnsi="仿宋" w:eastAsia="仿宋"/>
          <w:sz w:val="28"/>
          <w:szCs w:val="28"/>
          <w:highlight w:val="none"/>
        </w:rPr>
        <w:t>复印件，</w:t>
      </w:r>
      <w:r>
        <w:rPr>
          <w:rFonts w:hint="eastAsia" w:ascii="仿宋" w:hAnsi="仿宋" w:eastAsia="仿宋" w:cs="仿宋"/>
          <w:sz w:val="28"/>
          <w:szCs w:val="28"/>
          <w:highlight w:val="none"/>
        </w:rPr>
        <w:t>我们未向政府有关部门进行核实，在无理由怀疑其合法性、真实性、准确性和完整性的情况下，假定</w:t>
      </w:r>
      <w:r>
        <w:rPr>
          <w:rFonts w:hint="eastAsia" w:ascii="仿宋" w:hAnsi="仿宋" w:eastAsia="仿宋" w:cs="仿宋"/>
          <w:sz w:val="28"/>
          <w:szCs w:val="28"/>
          <w:highlight w:val="none"/>
          <w:lang w:eastAsia="zh-CN"/>
        </w:rPr>
        <w:t>估价委托人</w:t>
      </w:r>
      <w:r>
        <w:rPr>
          <w:rFonts w:hint="eastAsia" w:ascii="仿宋" w:hAnsi="仿宋" w:eastAsia="仿宋" w:cs="仿宋"/>
          <w:sz w:val="28"/>
          <w:szCs w:val="28"/>
          <w:highlight w:val="none"/>
        </w:rPr>
        <w:t>提供的资料合法、真实、准确、完整。</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566" w:firstLineChars="200"/>
        <w:textAlignment w:val="baseline"/>
        <w:rPr>
          <w:rFonts w:hint="eastAsia" w:ascii="仿宋" w:hAnsi="仿宋" w:eastAsia="仿宋" w:cs="仿宋"/>
          <w:sz w:val="28"/>
          <w:szCs w:val="28"/>
          <w:highlight w:val="none"/>
        </w:rPr>
      </w:pPr>
      <w:r>
        <w:rPr>
          <w:rFonts w:hint="eastAsia" w:ascii="仿宋" w:hAnsi="仿宋" w:eastAsia="仿宋"/>
          <w:sz w:val="28"/>
          <w:szCs w:val="28"/>
          <w:highlight w:val="none"/>
        </w:rPr>
        <w:t>注册房地产估价师已对房屋安全、环境污染等影响估价对象价值的重</w:t>
      </w:r>
      <w:r>
        <w:rPr>
          <w:rFonts w:hint="eastAsia" w:ascii="仿宋" w:hAnsi="仿宋" w:eastAsia="仿宋" w:cs="仿宋"/>
          <w:sz w:val="28"/>
          <w:szCs w:val="28"/>
          <w:highlight w:val="none"/>
        </w:rPr>
        <w:t>大因素给予了关注，在无理由怀疑估价对象存在安全隐患且无相应的专业机构进行鉴定、检测的情况下，假定估价对象能正常安全使用。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566" w:firstLineChars="200"/>
        <w:textAlignment w:val="baseline"/>
        <w:rPr>
          <w:rFonts w:hint="eastAsia" w:ascii="仿宋" w:hAnsi="仿宋" w:eastAsia="仿宋"/>
          <w:sz w:val="28"/>
          <w:szCs w:val="28"/>
          <w:highlight w:val="none"/>
        </w:rPr>
      </w:pPr>
      <w:r>
        <w:rPr>
          <w:rFonts w:hint="eastAsia" w:ascii="仿宋" w:hAnsi="仿宋" w:eastAsia="仿宋"/>
          <w:sz w:val="28"/>
          <w:szCs w:val="28"/>
          <w:highlight w:val="none"/>
        </w:rPr>
        <w:t>注册房地产估价师未对房屋建筑面积进行专业测量，经实地查勘观察，估价对象房屋建筑面积与</w:t>
      </w:r>
      <w:r>
        <w:rPr>
          <w:rFonts w:hint="eastAsia" w:ascii="仿宋" w:hAnsi="仿宋" w:eastAsia="仿宋"/>
          <w:sz w:val="28"/>
          <w:szCs w:val="28"/>
          <w:highlight w:val="none"/>
          <w:lang w:eastAsia="zh-CN"/>
        </w:rPr>
        <w:t>《房屋所有权证》复印件</w:t>
      </w:r>
      <w:r>
        <w:rPr>
          <w:rFonts w:hint="eastAsia" w:ascii="仿宋" w:hAnsi="仿宋" w:eastAsia="仿宋"/>
          <w:sz w:val="28"/>
          <w:szCs w:val="28"/>
          <w:highlight w:val="none"/>
        </w:rPr>
        <w:t>记载建筑面积大体相当。</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566" w:firstLineChars="200"/>
        <w:textAlignment w:val="baseline"/>
        <w:rPr>
          <w:rFonts w:hint="eastAsia" w:ascii="仿宋" w:hAnsi="仿宋" w:eastAsia="仿宋"/>
          <w:sz w:val="28"/>
          <w:szCs w:val="28"/>
          <w:highlight w:val="none"/>
        </w:rPr>
      </w:pPr>
      <w:r>
        <w:rPr>
          <w:rFonts w:hint="eastAsia" w:ascii="仿宋" w:hAnsi="仿宋" w:eastAsia="仿宋"/>
          <w:sz w:val="28"/>
          <w:szCs w:val="28"/>
          <w:highlight w:val="none"/>
        </w:rPr>
        <w:t>估价对象应享有公共部位的通行权及水电等共用设施的使用权。</w:t>
      </w:r>
    </w:p>
    <w:p>
      <w:pPr>
        <w:keepNext w:val="0"/>
        <w:keepLines w:val="0"/>
        <w:pageBreakBefore w:val="0"/>
        <w:widowControl w:val="0"/>
        <w:kinsoku/>
        <w:wordWrap/>
        <w:overflowPunct/>
        <w:topLinePunct w:val="0"/>
        <w:autoSpaceDE/>
        <w:autoSpaceDN/>
        <w:bidi w:val="0"/>
        <w:adjustRightInd w:val="0"/>
        <w:snapToGrid w:val="0"/>
        <w:spacing w:line="600" w:lineRule="exact"/>
        <w:ind w:firstLine="566"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二</w:t>
      </w:r>
      <w:r>
        <w:rPr>
          <w:rFonts w:hint="eastAsia" w:ascii="仿宋" w:hAnsi="仿宋" w:eastAsia="仿宋" w:cs="仿宋"/>
          <w:sz w:val="28"/>
          <w:szCs w:val="28"/>
          <w:highlight w:val="none"/>
        </w:rPr>
        <w:t>）背离事实假设</w:t>
      </w:r>
    </w:p>
    <w:p>
      <w:pPr>
        <w:keepNext w:val="0"/>
        <w:keepLines w:val="0"/>
        <w:pageBreakBefore w:val="0"/>
        <w:widowControl w:val="0"/>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rPr>
      </w:pPr>
      <w:r>
        <w:rPr>
          <w:rFonts w:hint="eastAsia" w:ascii="仿宋" w:hAnsi="仿宋" w:eastAsia="仿宋"/>
          <w:sz w:val="28"/>
          <w:szCs w:val="28"/>
          <w:highlight w:val="none"/>
        </w:rPr>
        <w:t>至价值时点估价对象已被人民法院查封，结合本次估价目的，本次估价以估价对象未被查封为前提进行估价，即：假定估价对象未处于查封状态，不考虑估价对象已被查封因素的影响。</w:t>
      </w:r>
    </w:p>
    <w:p>
      <w:pPr>
        <w:keepNext w:val="0"/>
        <w:keepLines w:val="0"/>
        <w:pageBreakBefore w:val="0"/>
        <w:widowControl w:val="0"/>
        <w:kinsoku/>
        <w:wordWrap/>
        <w:overflowPunct/>
        <w:topLinePunct w:val="0"/>
        <w:autoSpaceDE/>
        <w:autoSpaceDN/>
        <w:bidi w:val="0"/>
        <w:adjustRightInd w:val="0"/>
        <w:snapToGrid w:val="0"/>
        <w:spacing w:line="600" w:lineRule="exact"/>
        <w:ind w:firstLine="566"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三</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依据不足</w:t>
      </w:r>
      <w:r>
        <w:rPr>
          <w:rFonts w:hint="eastAsia" w:ascii="仿宋" w:hAnsi="仿宋" w:eastAsia="仿宋" w:cs="仿宋"/>
          <w:sz w:val="28"/>
          <w:szCs w:val="28"/>
          <w:highlight w:val="none"/>
        </w:rPr>
        <w:t>假设</w:t>
      </w:r>
    </w:p>
    <w:p>
      <w:pPr>
        <w:tabs>
          <w:tab w:val="left" w:pos="420"/>
        </w:tabs>
        <w:spacing w:line="600" w:lineRule="exact"/>
        <w:ind w:firstLine="566" w:firstLineChars="200"/>
        <w:rPr>
          <w:rFonts w:hint="eastAsia" w:ascii="仿宋" w:hAnsi="仿宋" w:eastAsia="仿宋_GB2312"/>
          <w:sz w:val="28"/>
          <w:szCs w:val="28"/>
          <w:highlight w:val="none"/>
          <w:lang w:val="en-US" w:eastAsia="zh-CN"/>
        </w:rPr>
      </w:pPr>
      <w:r>
        <w:rPr>
          <w:rFonts w:hint="eastAsia" w:ascii="仿宋" w:hAnsi="仿宋" w:eastAsia="仿宋"/>
          <w:sz w:val="28"/>
          <w:szCs w:val="28"/>
          <w:highlight w:val="none"/>
          <w:lang w:val="en-US" w:eastAsia="zh-CN"/>
        </w:rPr>
        <w:t>由于受客观条件的限制，未能入户进行查勘，</w:t>
      </w:r>
      <w:r>
        <w:rPr>
          <w:rFonts w:hint="eastAsia" w:ascii="仿宋_GB2312" w:hAnsi="仿宋_GB2312" w:eastAsia="仿宋_GB2312" w:cs="仿宋_GB2312"/>
          <w:sz w:val="28"/>
          <w:szCs w:val="28"/>
        </w:rPr>
        <w:t>本次评估</w:t>
      </w:r>
      <w:r>
        <w:rPr>
          <w:rFonts w:hint="eastAsia" w:ascii="仿宋_GB2312" w:hAnsi="仿宋_GB2312" w:eastAsia="仿宋_GB2312" w:cs="仿宋_GB2312"/>
          <w:sz w:val="28"/>
          <w:szCs w:val="28"/>
          <w:lang w:eastAsia="zh-CN"/>
        </w:rPr>
        <w:t>假设</w:t>
      </w:r>
      <w:r>
        <w:rPr>
          <w:rFonts w:hint="eastAsia" w:ascii="仿宋_GB2312" w:hAnsi="仿宋_GB2312" w:eastAsia="仿宋_GB2312" w:cs="仿宋_GB2312"/>
          <w:sz w:val="28"/>
          <w:szCs w:val="28"/>
        </w:rPr>
        <w:t>其</w:t>
      </w:r>
      <w:r>
        <w:rPr>
          <w:rFonts w:hint="eastAsia" w:ascii="仿宋_GB2312" w:hAnsi="仿宋_GB2312" w:eastAsia="仿宋_GB2312" w:cs="仿宋_GB2312"/>
          <w:sz w:val="28"/>
          <w:szCs w:val="28"/>
          <w:lang w:eastAsia="zh-CN"/>
        </w:rPr>
        <w:t>室内装修为普通装修</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cs="仿宋"/>
          <w:b/>
          <w:sz w:val="28"/>
          <w:szCs w:val="28"/>
          <w:highlight w:val="none"/>
        </w:rPr>
      </w:pPr>
      <w:r>
        <w:rPr>
          <w:rFonts w:hint="eastAsia" w:ascii="仿宋" w:hAnsi="仿宋" w:eastAsia="仿宋" w:cs="仿宋"/>
          <w:b/>
          <w:sz w:val="28"/>
          <w:szCs w:val="28"/>
          <w:highlight w:val="none"/>
        </w:rPr>
        <w:t>二、限制条件</w:t>
      </w:r>
    </w:p>
    <w:p>
      <w:pPr>
        <w:keepNext w:val="0"/>
        <w:keepLines w:val="0"/>
        <w:pageBreakBefore w:val="0"/>
        <w:widowControl w:val="0"/>
        <w:kinsoku/>
        <w:wordWrap/>
        <w:overflowPunct/>
        <w:topLinePunct w:val="0"/>
        <w:autoSpaceDE/>
        <w:autoSpaceDN/>
        <w:bidi w:val="0"/>
        <w:adjustRightInd w:val="0"/>
        <w:snapToGrid w:val="0"/>
        <w:spacing w:line="600" w:lineRule="exact"/>
        <w:ind w:firstLine="566" w:firstLineChars="200"/>
        <w:jc w:val="left"/>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1、本报告估价结论仅供本次估价目的使用，不能用作其他经济活动。</w:t>
      </w:r>
    </w:p>
    <w:p>
      <w:pPr>
        <w:keepNext w:val="0"/>
        <w:keepLines w:val="0"/>
        <w:pageBreakBefore w:val="0"/>
        <w:widowControl w:val="0"/>
        <w:kinsoku/>
        <w:wordWrap/>
        <w:overflowPunct/>
        <w:topLinePunct w:val="0"/>
        <w:autoSpaceDE/>
        <w:autoSpaceDN/>
        <w:bidi w:val="0"/>
        <w:adjustRightInd w:val="0"/>
        <w:snapToGrid w:val="0"/>
        <w:spacing w:line="600" w:lineRule="exact"/>
        <w:ind w:firstLine="566" w:firstLineChars="200"/>
        <w:jc w:val="left"/>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2、本估价报告使用者为估价委托人以及依照法律、法规的规定的使用者。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3、估价报告使用期限自估价报告出具之日2020年03月04日起计算一年。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4、估价结果为房地产市场价值，未考虑快速变现等处分方式带来的影响。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5、房地产市场价值包括建筑物及其附属设施设备（水、电、气、视、讯）、室内装饰装修（不含动产）和应分摊的土地使用权价值，若将其分割处置，本估价结果无效。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6、本次估价未考虑国家宏观经济政策发生变化、自然灾害和其他不可抗力等因素对估价对象价值的影响。本估价报告在报告使用期限内，如因外部经济环境或估价对象因物理因素发生重大变化，并对评估结果产生较大影响时，应重新委托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7、估价委托人应对其所提供资料的真实性、完整性、合法性以及由此产生的后果负责。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8、本估价报告必须完整使用方为有效，对仅使用本估价报告中的部分内容，所导致可能发生的损失，本估价机构和估价人员不承担责任。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9、本估价报告原件加盖单位鲜章和估价师签字等方为有效，复印件以及缺乏鲜章、签字件无效。若有违反以上规定使用本估价报告者，自负所产生的一切法律后果，本估价机构及估价人员不负任何责任。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10本报告的全部或部分内容未经我公司书面同意，不得载于任何文件、公告及声明，也不得在任何公开媒体上发表或引用其全部、部分内容。</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566" w:firstLineChars="200"/>
        <w:textAlignment w:val="baseline"/>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如发现本报告内的文字或数字因校印或其它原因出现误差时，请通知本估价机构进行更正。否则，报告误差部分无效。</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left="725" w:hanging="721" w:hangingChars="255"/>
        <w:rPr>
          <w:rFonts w:hint="eastAsia" w:ascii="仿宋" w:hAnsi="仿宋" w:eastAsia="仿宋" w:cs="仿宋"/>
          <w:b/>
          <w:sz w:val="28"/>
          <w:szCs w:val="28"/>
          <w:highlight w:val="none"/>
        </w:rPr>
      </w:pPr>
      <w:r>
        <w:rPr>
          <w:rFonts w:hint="eastAsia" w:ascii="仿宋" w:hAnsi="仿宋" w:eastAsia="仿宋" w:cs="仿宋"/>
          <w:b/>
          <w:sz w:val="28"/>
          <w:szCs w:val="28"/>
          <w:highlight w:val="none"/>
        </w:rPr>
        <w:t>三、报告使用说明</w:t>
      </w: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r>
        <w:rPr>
          <w:rFonts w:hint="eastAsia" w:ascii="仿宋" w:hAnsi="仿宋" w:eastAsia="仿宋" w:cs="仿宋"/>
          <w:sz w:val="28"/>
          <w:szCs w:val="28"/>
          <w:highlight w:val="none"/>
        </w:rPr>
        <w:t>(一)资料来源说明</w:t>
      </w: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估价委托人</w:t>
      </w:r>
      <w:r>
        <w:rPr>
          <w:rFonts w:hint="eastAsia" w:ascii="仿宋" w:hAnsi="仿宋" w:eastAsia="仿宋" w:cs="仿宋"/>
          <w:sz w:val="28"/>
          <w:szCs w:val="28"/>
          <w:highlight w:val="none"/>
        </w:rPr>
        <w:t>提供</w:t>
      </w:r>
      <w:r>
        <w:rPr>
          <w:rFonts w:hint="eastAsia" w:ascii="仿宋" w:hAnsi="仿宋" w:eastAsia="仿宋" w:cs="仿宋"/>
          <w:sz w:val="28"/>
          <w:szCs w:val="28"/>
          <w:highlight w:val="none"/>
          <w:lang w:eastAsia="zh-CN"/>
        </w:rPr>
        <w:t>了</w:t>
      </w:r>
      <w:r>
        <w:rPr>
          <w:rFonts w:hint="eastAsia" w:ascii="仿宋" w:hAnsi="仿宋" w:eastAsia="仿宋" w:cs="仿宋"/>
          <w:sz w:val="28"/>
          <w:szCs w:val="28"/>
          <w:highlight w:val="none"/>
        </w:rPr>
        <w:t>估价对象的</w:t>
      </w:r>
      <w:r>
        <w:rPr>
          <w:rFonts w:hint="eastAsia" w:ascii="仿宋" w:hAnsi="仿宋" w:eastAsia="仿宋"/>
          <w:sz w:val="28"/>
          <w:szCs w:val="28"/>
          <w:highlight w:val="none"/>
          <w:lang w:eastAsia="zh-CN"/>
        </w:rPr>
        <w:t>《房屋所有权证》、《贵州省房屋所有权登记申请表》、《房产档案》、《集体土地使用证》</w:t>
      </w:r>
      <w:r>
        <w:rPr>
          <w:rFonts w:hint="eastAsia" w:ascii="仿宋" w:hAnsi="仿宋" w:eastAsia="仿宋" w:cs="仿宋"/>
          <w:sz w:val="28"/>
          <w:szCs w:val="28"/>
          <w:highlight w:val="none"/>
        </w:rPr>
        <w:t>复印件</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估价对象区位条件、房地产销售价格、</w:t>
      </w:r>
      <w:r>
        <w:rPr>
          <w:rFonts w:hint="eastAsia" w:ascii="仿宋" w:hAnsi="仿宋" w:eastAsia="仿宋" w:cs="仿宋"/>
          <w:sz w:val="28"/>
          <w:szCs w:val="28"/>
          <w:highlight w:val="none"/>
          <w:lang w:eastAsia="zh-CN"/>
        </w:rPr>
        <w:t>租金</w:t>
      </w:r>
      <w:r>
        <w:rPr>
          <w:rFonts w:hint="eastAsia" w:ascii="仿宋" w:hAnsi="仿宋" w:eastAsia="仿宋" w:cs="仿宋"/>
          <w:sz w:val="28"/>
          <w:szCs w:val="28"/>
          <w:highlight w:val="none"/>
        </w:rPr>
        <w:t>水平等估价资料由注册房地产估价师调查得出。</w:t>
      </w: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r>
        <w:rPr>
          <w:rFonts w:hint="eastAsia" w:ascii="仿宋" w:hAnsi="仿宋" w:eastAsia="仿宋" w:cs="仿宋"/>
          <w:sz w:val="28"/>
          <w:szCs w:val="28"/>
          <w:highlight w:val="none"/>
        </w:rPr>
        <w:t>(二)注册房地产估价师根据《房地产估价规范》、《房地产估价基本术语标准》及估价对象状况确定估价原则、方法及参数的选取。</w:t>
      </w: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4" w:firstLine="591"/>
        <w:rPr>
          <w:rFonts w:hint="eastAsia" w:ascii="仿宋" w:hAnsi="仿宋" w:eastAsia="仿宋" w:cs="仿宋"/>
          <w:sz w:val="28"/>
          <w:szCs w:val="28"/>
          <w:highlight w:val="none"/>
        </w:rPr>
      </w:pPr>
    </w:p>
    <w:p>
      <w:pPr>
        <w:pStyle w:val="2"/>
        <w:adjustRightInd w:val="0"/>
        <w:snapToGrid w:val="0"/>
        <w:spacing w:line="420" w:lineRule="exact"/>
        <w:jc w:val="center"/>
        <w:rPr>
          <w:rFonts w:hint="eastAsia" w:ascii="仿宋" w:hAnsi="仿宋" w:eastAsia="仿宋" w:cs="仿宋"/>
          <w:bCs w:val="0"/>
          <w:snapToGrid w:val="0"/>
          <w:sz w:val="36"/>
          <w:szCs w:val="36"/>
          <w:highlight w:val="none"/>
        </w:rPr>
      </w:pPr>
      <w:bookmarkStart w:id="17" w:name="_Toc2378"/>
      <w:bookmarkStart w:id="18" w:name="_Toc408527825"/>
      <w:bookmarkStart w:id="19" w:name="_Toc8409"/>
      <w:bookmarkStart w:id="20" w:name="_Toc22948"/>
      <w:bookmarkStart w:id="21" w:name="_Toc19362"/>
      <w:bookmarkStart w:id="22" w:name="_Toc9107"/>
      <w:bookmarkStart w:id="23" w:name="_Toc437853089"/>
      <w:bookmarkStart w:id="24" w:name="_Toc6899"/>
      <w:r>
        <w:rPr>
          <w:rFonts w:hint="eastAsia" w:ascii="仿宋" w:hAnsi="仿宋" w:eastAsia="仿宋" w:cs="仿宋"/>
          <w:bCs w:val="0"/>
          <w:snapToGrid w:val="0"/>
          <w:sz w:val="36"/>
          <w:szCs w:val="36"/>
          <w:highlight w:val="none"/>
        </w:rPr>
        <w:t>估价结果报告</w:t>
      </w:r>
      <w:bookmarkEnd w:id="17"/>
      <w:bookmarkEnd w:id="18"/>
      <w:bookmarkEnd w:id="19"/>
      <w:bookmarkEnd w:id="20"/>
      <w:bookmarkEnd w:id="21"/>
      <w:bookmarkEnd w:id="22"/>
      <w:bookmarkEnd w:id="23"/>
      <w:bookmarkEnd w:id="24"/>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snapToGrid w:val="0"/>
          <w:sz w:val="28"/>
          <w:szCs w:val="28"/>
          <w:highlight w:val="none"/>
        </w:rPr>
      </w:pPr>
      <w:bookmarkStart w:id="25" w:name="_Toc3305"/>
      <w:bookmarkStart w:id="26" w:name="_Toc32184"/>
      <w:bookmarkStart w:id="27" w:name="_Toc408527826"/>
      <w:bookmarkStart w:id="28" w:name="_Toc15305"/>
      <w:bookmarkStart w:id="29" w:name="_Toc13419"/>
      <w:bookmarkStart w:id="30" w:name="_Toc27721"/>
      <w:bookmarkStart w:id="31" w:name="_Toc437853090"/>
      <w:bookmarkStart w:id="32" w:name="_Toc27128"/>
      <w:r>
        <w:rPr>
          <w:rFonts w:hint="eastAsia" w:ascii="仿宋" w:hAnsi="仿宋" w:eastAsia="仿宋" w:cs="仿宋"/>
          <w:snapToGrid w:val="0"/>
          <w:sz w:val="28"/>
          <w:szCs w:val="28"/>
          <w:highlight w:val="none"/>
        </w:rPr>
        <w:t>一、估价委托人</w:t>
      </w:r>
      <w:bookmarkEnd w:id="25"/>
      <w:bookmarkEnd w:id="26"/>
      <w:bookmarkEnd w:id="27"/>
      <w:bookmarkEnd w:id="28"/>
      <w:bookmarkEnd w:id="29"/>
      <w:bookmarkEnd w:id="30"/>
      <w:bookmarkEnd w:id="31"/>
      <w:bookmarkEnd w:id="32"/>
    </w:p>
    <w:p>
      <w:pPr>
        <w:pageBreakBefore w:val="0"/>
        <w:widowControl w:val="0"/>
        <w:kinsoku/>
        <w:wordWrap/>
        <w:overflowPunct/>
        <w:topLinePunct w:val="0"/>
        <w:autoSpaceDE/>
        <w:autoSpaceDN/>
        <w:bidi w:val="0"/>
        <w:adjustRightInd w:val="0"/>
        <w:snapToGrid w:val="0"/>
        <w:spacing w:line="600" w:lineRule="exact"/>
        <w:ind w:left="-4" w:firstLine="591"/>
        <w:textAlignment w:val="auto"/>
        <w:rPr>
          <w:rFonts w:hint="eastAsia" w:ascii="仿宋" w:hAnsi="仿宋" w:eastAsia="仿宋" w:cs="仿宋"/>
          <w:sz w:val="28"/>
          <w:highlight w:val="none"/>
          <w:lang w:eastAsia="zh-CN"/>
        </w:rPr>
      </w:pPr>
      <w:r>
        <w:rPr>
          <w:rFonts w:hint="eastAsia" w:ascii="仿宋" w:hAnsi="仿宋" w:eastAsia="仿宋" w:cs="仿宋"/>
          <w:sz w:val="28"/>
          <w:highlight w:val="none"/>
        </w:rPr>
        <w:t>名    称：</w:t>
      </w:r>
      <w:r>
        <w:rPr>
          <w:rFonts w:hint="eastAsia" w:ascii="仿宋" w:hAnsi="仿宋" w:eastAsia="仿宋" w:cs="仿宋"/>
          <w:sz w:val="28"/>
          <w:highlight w:val="none"/>
          <w:lang w:eastAsia="zh-CN"/>
        </w:rPr>
        <w:t>安顺市平坝区人民法院</w:t>
      </w:r>
    </w:p>
    <w:p>
      <w:pPr>
        <w:pageBreakBefore w:val="0"/>
        <w:widowControl w:val="0"/>
        <w:kinsoku/>
        <w:wordWrap/>
        <w:overflowPunct/>
        <w:topLinePunct w:val="0"/>
        <w:autoSpaceDE/>
        <w:autoSpaceDN/>
        <w:bidi w:val="0"/>
        <w:adjustRightInd w:val="0"/>
        <w:snapToGrid w:val="0"/>
        <w:spacing w:line="600" w:lineRule="exact"/>
        <w:ind w:left="-4" w:firstLine="591"/>
        <w:textAlignment w:val="auto"/>
        <w:rPr>
          <w:rFonts w:hint="eastAsia" w:ascii="仿宋" w:hAnsi="仿宋" w:eastAsia="仿宋" w:cs="仿宋"/>
          <w:sz w:val="28"/>
          <w:highlight w:val="none"/>
          <w:lang w:eastAsia="zh-CN"/>
        </w:rPr>
      </w:pPr>
      <w:r>
        <w:rPr>
          <w:rFonts w:hint="eastAsia" w:ascii="仿宋" w:hAnsi="仿宋" w:eastAsia="仿宋" w:cs="仿宋"/>
          <w:sz w:val="28"/>
          <w:highlight w:val="none"/>
        </w:rPr>
        <w:t>联系人：</w:t>
      </w:r>
      <w:r>
        <w:rPr>
          <w:rFonts w:hint="eastAsia" w:ascii="仿宋" w:hAnsi="仿宋" w:eastAsia="仿宋" w:cs="仿宋"/>
          <w:sz w:val="28"/>
          <w:highlight w:val="none"/>
          <w:lang w:eastAsia="zh-CN"/>
        </w:rPr>
        <w:t>吴法官</w:t>
      </w:r>
    </w:p>
    <w:p>
      <w:pPr>
        <w:pageBreakBefore w:val="0"/>
        <w:widowControl w:val="0"/>
        <w:kinsoku/>
        <w:wordWrap/>
        <w:overflowPunct/>
        <w:topLinePunct w:val="0"/>
        <w:autoSpaceDE/>
        <w:autoSpaceDN/>
        <w:bidi w:val="0"/>
        <w:adjustRightInd w:val="0"/>
        <w:snapToGrid w:val="0"/>
        <w:spacing w:line="600" w:lineRule="exact"/>
        <w:ind w:left="-4" w:firstLine="591"/>
        <w:textAlignment w:val="auto"/>
        <w:rPr>
          <w:rFonts w:hint="default" w:ascii="仿宋" w:hAnsi="仿宋" w:eastAsia="仿宋" w:cs="仿宋"/>
          <w:sz w:val="28"/>
          <w:highlight w:val="none"/>
          <w:lang w:val="en-US" w:eastAsia="zh-CN"/>
        </w:rPr>
      </w:pPr>
      <w:r>
        <w:rPr>
          <w:rFonts w:hint="eastAsia" w:ascii="仿宋" w:hAnsi="仿宋" w:eastAsia="仿宋" w:cs="仿宋"/>
          <w:sz w:val="28"/>
          <w:highlight w:val="none"/>
        </w:rPr>
        <w:t>联系电话：</w:t>
      </w:r>
      <w:r>
        <w:rPr>
          <w:rFonts w:hint="eastAsia" w:ascii="仿宋" w:hAnsi="仿宋" w:eastAsia="仿宋" w:cs="仿宋"/>
          <w:sz w:val="28"/>
          <w:highlight w:val="none"/>
          <w:lang w:val="en-US" w:eastAsia="zh-CN"/>
        </w:rPr>
        <w:t>18008538486</w:t>
      </w:r>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snapToGrid w:val="0"/>
          <w:sz w:val="28"/>
          <w:szCs w:val="28"/>
          <w:highlight w:val="none"/>
        </w:rPr>
      </w:pPr>
      <w:bookmarkStart w:id="33" w:name="_Toc437853091"/>
      <w:bookmarkStart w:id="34" w:name="_Toc27627"/>
      <w:bookmarkStart w:id="35" w:name="_Toc408527827"/>
      <w:bookmarkStart w:id="36" w:name="_Toc1109"/>
      <w:bookmarkStart w:id="37" w:name="_Toc18703"/>
      <w:bookmarkStart w:id="38" w:name="_Toc835"/>
      <w:bookmarkStart w:id="39" w:name="_Toc20628"/>
      <w:bookmarkStart w:id="40" w:name="_Toc12856"/>
      <w:r>
        <w:rPr>
          <w:rFonts w:hint="eastAsia" w:ascii="仿宋" w:hAnsi="仿宋" w:eastAsia="仿宋" w:cs="仿宋"/>
          <w:snapToGrid w:val="0"/>
          <w:sz w:val="28"/>
          <w:szCs w:val="28"/>
          <w:highlight w:val="none"/>
        </w:rPr>
        <w:t>二、房地产估价机构</w:t>
      </w:r>
      <w:bookmarkEnd w:id="33"/>
      <w:bookmarkEnd w:id="34"/>
      <w:bookmarkEnd w:id="35"/>
      <w:bookmarkEnd w:id="36"/>
      <w:bookmarkEnd w:id="37"/>
      <w:bookmarkEnd w:id="38"/>
      <w:bookmarkEnd w:id="39"/>
      <w:bookmarkEnd w:id="40"/>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机构名称：四川诺力达资产评估房地产土地估价有限公司</w:t>
      </w:r>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法定代表人：韩雄辉</w:t>
      </w:r>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住所：成都市青羊区锣锅巷122号云龙大厦1506室</w:t>
      </w:r>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统一社会信用社代码：91510100720394781F</w:t>
      </w:r>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资质等级：壹级</w:t>
      </w:r>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证书编号：川建房估备字[2018]0152号</w:t>
      </w:r>
    </w:p>
    <w:p>
      <w:pPr>
        <w:pStyle w:val="4"/>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有效期限:2018年6月20日至2021年6月20日</w:t>
      </w:r>
    </w:p>
    <w:p>
      <w:pPr>
        <w:pStyle w:val="4"/>
        <w:pageBreakBefore w:val="0"/>
        <w:widowControl w:val="0"/>
        <w:kinsoku/>
        <w:wordWrap/>
        <w:overflowPunct/>
        <w:topLinePunct w:val="0"/>
        <w:autoSpaceDE/>
        <w:autoSpaceDN/>
        <w:bidi w:val="0"/>
        <w:spacing w:line="600" w:lineRule="exact"/>
        <w:ind w:firstLine="566" w:firstLineChars="200"/>
        <w:textAlignment w:val="auto"/>
        <w:rPr>
          <w:rFonts w:hint="default" w:ascii="仿宋" w:hAnsi="仿宋" w:eastAsia="仿宋" w:cs="仿宋"/>
          <w:sz w:val="28"/>
          <w:highlight w:val="none"/>
          <w:lang w:val="en-US" w:eastAsia="zh-CN"/>
        </w:rPr>
      </w:pPr>
      <w:r>
        <w:rPr>
          <w:rFonts w:hint="eastAsia" w:ascii="仿宋" w:hAnsi="仿宋" w:eastAsia="仿宋" w:cs="仿宋"/>
          <w:sz w:val="28"/>
          <w:highlight w:val="none"/>
        </w:rPr>
        <w:t>联系人及电话：</w:t>
      </w:r>
      <w:r>
        <w:rPr>
          <w:rFonts w:hint="eastAsia" w:ascii="仿宋" w:hAnsi="仿宋" w:eastAsia="仿宋" w:cs="仿宋"/>
          <w:sz w:val="28"/>
          <w:highlight w:val="none"/>
          <w:lang w:eastAsia="zh-CN"/>
        </w:rPr>
        <w:t>韩朝钦</w:t>
      </w:r>
      <w:r>
        <w:rPr>
          <w:rFonts w:hint="eastAsia" w:ascii="仿宋" w:hAnsi="仿宋" w:eastAsia="仿宋" w:cs="仿宋"/>
          <w:sz w:val="28"/>
          <w:highlight w:val="none"/>
        </w:rPr>
        <w:t xml:space="preserve"> </w:t>
      </w:r>
      <w:r>
        <w:rPr>
          <w:rFonts w:hint="eastAsia" w:ascii="仿宋" w:hAnsi="仿宋" w:eastAsia="仿宋" w:cs="仿宋"/>
          <w:sz w:val="28"/>
          <w:highlight w:val="none"/>
          <w:lang w:val="en-US" w:eastAsia="zh-CN"/>
        </w:rPr>
        <w:t>18096111086</w:t>
      </w:r>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snapToGrid w:val="0"/>
          <w:sz w:val="28"/>
          <w:szCs w:val="28"/>
          <w:highlight w:val="none"/>
        </w:rPr>
      </w:pPr>
      <w:bookmarkStart w:id="41" w:name="_Toc15898"/>
      <w:bookmarkStart w:id="42" w:name="_Toc437853092"/>
      <w:bookmarkStart w:id="43" w:name="_Toc30281"/>
      <w:bookmarkStart w:id="44" w:name="_Toc21049"/>
      <w:bookmarkStart w:id="45" w:name="_Toc7945"/>
      <w:bookmarkStart w:id="46" w:name="_Toc11614"/>
      <w:bookmarkStart w:id="47" w:name="_Toc408527828"/>
      <w:bookmarkStart w:id="48" w:name="_Toc21227"/>
      <w:r>
        <w:rPr>
          <w:rFonts w:hint="eastAsia" w:ascii="仿宋" w:hAnsi="仿宋" w:eastAsia="仿宋" w:cs="仿宋"/>
          <w:snapToGrid w:val="0"/>
          <w:sz w:val="28"/>
          <w:szCs w:val="28"/>
          <w:highlight w:val="none"/>
        </w:rPr>
        <w:t>三、估价对象</w:t>
      </w:r>
      <w:bookmarkEnd w:id="41"/>
      <w:bookmarkEnd w:id="42"/>
      <w:bookmarkEnd w:id="43"/>
      <w:bookmarkEnd w:id="44"/>
      <w:bookmarkEnd w:id="45"/>
      <w:bookmarkEnd w:id="46"/>
      <w:bookmarkEnd w:id="47"/>
      <w:bookmarkEnd w:id="48"/>
    </w:p>
    <w:p>
      <w:pPr>
        <w:pageBreakBefore w:val="0"/>
        <w:widowControl w:val="0"/>
        <w:kinsoku/>
        <w:wordWrap/>
        <w:overflowPunct/>
        <w:topLinePunct w:val="0"/>
        <w:autoSpaceDE/>
        <w:autoSpaceDN/>
        <w:bidi w:val="0"/>
        <w:spacing w:line="600" w:lineRule="exact"/>
        <w:ind w:firstLine="566" w:firstLineChars="200"/>
        <w:textAlignment w:val="auto"/>
        <w:rPr>
          <w:rFonts w:ascii="仿宋" w:hAnsi="仿宋" w:eastAsia="仿宋" w:cs="仿宋"/>
          <w:color w:val="000000"/>
          <w:sz w:val="28"/>
          <w:szCs w:val="28"/>
          <w:highlight w:val="none"/>
        </w:rPr>
      </w:pPr>
      <w:bookmarkStart w:id="49" w:name="_Toc408527829"/>
      <w:r>
        <w:rPr>
          <w:rFonts w:hint="eastAsia" w:ascii="仿宋" w:hAnsi="仿宋" w:eastAsia="仿宋" w:cs="仿宋"/>
          <w:color w:val="000000"/>
          <w:sz w:val="28"/>
          <w:szCs w:val="28"/>
          <w:highlight w:val="none"/>
        </w:rPr>
        <w:t xml:space="preserve">（一）基本状况  </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名称：“</w:t>
      </w:r>
      <w:r>
        <w:rPr>
          <w:rFonts w:hint="eastAsia" w:ascii="仿宋" w:hAnsi="仿宋" w:eastAsia="仿宋" w:cs="仿宋"/>
          <w:sz w:val="28"/>
          <w:highlight w:val="none"/>
          <w:lang w:eastAsia="zh-CN"/>
        </w:rPr>
        <w:t>安顺市平坝区城关镇顺城村一幢住宅房地产</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坐落：</w:t>
      </w:r>
      <w:r>
        <w:rPr>
          <w:rFonts w:hint="eastAsia" w:ascii="仿宋" w:hAnsi="仿宋" w:eastAsia="仿宋" w:cs="仿宋"/>
          <w:sz w:val="28"/>
          <w:highlight w:val="none"/>
          <w:lang w:eastAsia="zh-CN"/>
        </w:rPr>
        <w:t>安顺市平坝区城关镇顺城村</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范围：</w:t>
      </w:r>
      <w:r>
        <w:rPr>
          <w:rFonts w:hint="eastAsia" w:ascii="仿宋" w:hAnsi="仿宋" w:eastAsia="仿宋" w:cs="仿宋"/>
          <w:sz w:val="28"/>
          <w:szCs w:val="28"/>
          <w:highlight w:val="none"/>
          <w:lang w:eastAsia="zh-CN"/>
        </w:rPr>
        <w:t>估价对象</w:t>
      </w:r>
      <w:r>
        <w:rPr>
          <w:rFonts w:hint="eastAsia" w:ascii="仿宋" w:hAnsi="仿宋" w:eastAsia="仿宋" w:cs="仿宋"/>
          <w:sz w:val="28"/>
          <w:szCs w:val="28"/>
          <w:highlight w:val="none"/>
        </w:rPr>
        <w:t>包括房屋及其分摊的土地使用权、以及室内装饰装修，不包含室内动产；</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规模：建筑面积</w:t>
      </w:r>
      <w:r>
        <w:rPr>
          <w:rFonts w:hint="eastAsia" w:ascii="仿宋" w:hAnsi="仿宋" w:eastAsia="仿宋" w:cs="仿宋"/>
          <w:sz w:val="28"/>
          <w:szCs w:val="28"/>
          <w:highlight w:val="none"/>
          <w:lang w:eastAsia="zh-CN"/>
        </w:rPr>
        <w:t>为</w:t>
      </w:r>
      <w:r>
        <w:rPr>
          <w:rFonts w:hint="eastAsia" w:ascii="仿宋" w:hAnsi="仿宋" w:eastAsia="仿宋" w:cs="仿宋"/>
          <w:sz w:val="28"/>
          <w:szCs w:val="28"/>
          <w:highlight w:val="none"/>
          <w:lang w:val="en-US" w:eastAsia="zh-CN"/>
        </w:rPr>
        <w:t>230.98</w:t>
      </w:r>
      <w:r>
        <w:rPr>
          <w:rFonts w:hint="eastAsia" w:ascii="仿宋" w:hAnsi="仿宋" w:eastAsia="仿宋" w:cs="仿宋"/>
          <w:sz w:val="28"/>
          <w:szCs w:val="28"/>
          <w:highlight w:val="none"/>
        </w:rPr>
        <w:t>平方米，分摊土地使用权面积</w:t>
      </w:r>
      <w:r>
        <w:rPr>
          <w:rFonts w:hint="eastAsia" w:ascii="仿宋" w:hAnsi="仿宋" w:eastAsia="仿宋" w:cs="仿宋"/>
          <w:sz w:val="28"/>
          <w:szCs w:val="28"/>
          <w:highlight w:val="none"/>
          <w:lang w:val="en-US" w:eastAsia="zh-CN"/>
        </w:rPr>
        <w:t>80 .00平方米</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spacing w:line="600" w:lineRule="exact"/>
        <w:ind w:firstLine="566"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用途：</w:t>
      </w:r>
      <w:r>
        <w:rPr>
          <w:rFonts w:hint="eastAsia" w:ascii="仿宋" w:hAnsi="仿宋" w:eastAsia="仿宋" w:cs="仿宋"/>
          <w:sz w:val="28"/>
          <w:szCs w:val="28"/>
          <w:highlight w:val="none"/>
          <w:lang w:eastAsia="zh-CN"/>
        </w:rPr>
        <w:t>估价对象</w:t>
      </w:r>
      <w:r>
        <w:rPr>
          <w:rFonts w:hint="eastAsia" w:ascii="仿宋" w:hAnsi="仿宋" w:eastAsia="仿宋" w:cs="仿宋"/>
          <w:sz w:val="28"/>
          <w:szCs w:val="28"/>
          <w:highlight w:val="none"/>
        </w:rPr>
        <w:t>规划用途</w:t>
      </w:r>
      <w:r>
        <w:rPr>
          <w:rFonts w:hint="eastAsia" w:ascii="仿宋" w:hAnsi="仿宋" w:eastAsia="仿宋" w:cs="仿宋"/>
          <w:sz w:val="28"/>
          <w:szCs w:val="28"/>
          <w:highlight w:val="none"/>
          <w:lang w:eastAsia="zh-CN"/>
        </w:rPr>
        <w:t>为住宅，目前闲置</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（二）权益状况</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1、建筑物权益状况</w:t>
      </w:r>
    </w:p>
    <w:p>
      <w:pPr>
        <w:pageBreakBefore w:val="0"/>
        <w:widowControl w:val="0"/>
        <w:kinsoku/>
        <w:wordWrap/>
        <w:overflowPunct/>
        <w:topLinePunct w:val="0"/>
        <w:autoSpaceDE/>
        <w:autoSpaceDN/>
        <w:bidi w:val="0"/>
        <w:spacing w:line="60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highlight w:val="none"/>
        </w:rPr>
        <w:t>①房屋所有权</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8"/>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根据估价委托人</w:t>
      </w:r>
      <w:r>
        <w:rPr>
          <w:rFonts w:hint="eastAsia" w:ascii="仿宋" w:hAnsi="仿宋" w:eastAsia="仿宋" w:cs="仿宋"/>
          <w:sz w:val="28"/>
          <w:szCs w:val="28"/>
          <w:highlight w:val="none"/>
          <w:lang w:eastAsia="zh-CN"/>
        </w:rPr>
        <w:t>及相关</w:t>
      </w:r>
      <w:r>
        <w:rPr>
          <w:rFonts w:hint="eastAsia" w:ascii="仿宋" w:hAnsi="仿宋" w:eastAsia="仿宋" w:cs="仿宋"/>
          <w:sz w:val="28"/>
          <w:szCs w:val="28"/>
          <w:highlight w:val="none"/>
        </w:rPr>
        <w:t>当事人提供</w:t>
      </w:r>
      <w:r>
        <w:rPr>
          <w:rFonts w:hint="eastAsia" w:ascii="仿宋" w:hAnsi="仿宋" w:eastAsia="仿宋" w:cs="仿宋"/>
          <w:sz w:val="28"/>
          <w:szCs w:val="28"/>
          <w:highlight w:val="none"/>
          <w:lang w:eastAsia="zh-CN"/>
        </w:rPr>
        <w:t>的</w:t>
      </w:r>
      <w:r>
        <w:rPr>
          <w:rFonts w:hint="eastAsia" w:ascii="仿宋" w:hAnsi="仿宋" w:eastAsia="仿宋" w:cs="仿宋"/>
          <w:sz w:val="28"/>
          <w:szCs w:val="28"/>
          <w:highlight w:val="none"/>
        </w:rPr>
        <w:t>估价对象的</w:t>
      </w:r>
      <w:r>
        <w:rPr>
          <w:rFonts w:hint="eastAsia" w:ascii="仿宋" w:hAnsi="仿宋" w:eastAsia="仿宋" w:cs="仿宋"/>
          <w:sz w:val="28"/>
          <w:szCs w:val="28"/>
          <w:highlight w:val="none"/>
          <w:lang w:eastAsia="zh-CN"/>
        </w:rPr>
        <w:t>《房屋所有权证》、</w:t>
      </w:r>
      <w:r>
        <w:rPr>
          <w:rFonts w:hint="eastAsia" w:ascii="仿宋" w:hAnsi="仿宋" w:eastAsia="仿宋"/>
          <w:sz w:val="28"/>
          <w:szCs w:val="28"/>
          <w:highlight w:val="none"/>
          <w:lang w:eastAsia="zh-CN"/>
        </w:rPr>
        <w:t>《贵州省房屋所有权登记申请表》、《房产档案》</w:t>
      </w:r>
      <w:r>
        <w:rPr>
          <w:rFonts w:hint="eastAsia" w:ascii="仿宋" w:hAnsi="仿宋" w:eastAsia="仿宋" w:cs="仿宋"/>
          <w:sz w:val="28"/>
          <w:szCs w:val="28"/>
          <w:highlight w:val="none"/>
        </w:rPr>
        <w:t>复印件，不动产登记状况详见下表：</w:t>
      </w:r>
    </w:p>
    <w:tbl>
      <w:tblPr>
        <w:tblStyle w:val="11"/>
        <w:tblW w:w="9415" w:type="dxa"/>
        <w:tblInd w:w="0" w:type="dxa"/>
        <w:tblLayout w:type="fixed"/>
        <w:tblCellMar>
          <w:top w:w="0" w:type="dxa"/>
          <w:left w:w="0" w:type="dxa"/>
          <w:bottom w:w="0" w:type="dxa"/>
          <w:right w:w="0" w:type="dxa"/>
        </w:tblCellMar>
      </w:tblPr>
      <w:tblGrid>
        <w:gridCol w:w="1344"/>
        <w:gridCol w:w="1344"/>
        <w:gridCol w:w="1345"/>
        <w:gridCol w:w="1345"/>
        <w:gridCol w:w="1345"/>
        <w:gridCol w:w="1345"/>
        <w:gridCol w:w="1347"/>
      </w:tblGrid>
      <w:tr>
        <w:tblPrEx>
          <w:tblLayout w:type="fixed"/>
          <w:tblCellMar>
            <w:top w:w="0" w:type="dxa"/>
            <w:left w:w="0" w:type="dxa"/>
            <w:bottom w:w="0" w:type="dxa"/>
            <w:right w:w="0" w:type="dxa"/>
          </w:tblCellMar>
        </w:tblPrEx>
        <w:trPr>
          <w:trHeight w:val="315" w:hRule="atLeast"/>
        </w:trPr>
        <w:tc>
          <w:tcPr>
            <w:tcW w:w="26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房屋所有权证号</w:t>
            </w:r>
          </w:p>
        </w:tc>
        <w:tc>
          <w:tcPr>
            <w:tcW w:w="672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平房权证东16私字第000009号</w:t>
            </w:r>
          </w:p>
        </w:tc>
      </w:tr>
      <w:tr>
        <w:tblPrEx>
          <w:tblLayout w:type="fixed"/>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房屋所有权人</w:t>
            </w:r>
          </w:p>
        </w:tc>
        <w:tc>
          <w:tcPr>
            <w:tcW w:w="672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方芳</w:t>
            </w:r>
          </w:p>
        </w:tc>
      </w:tr>
      <w:tr>
        <w:tblPrEx>
          <w:tblLayout w:type="fixed"/>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房屋坐落</w:t>
            </w:r>
          </w:p>
        </w:tc>
        <w:tc>
          <w:tcPr>
            <w:tcW w:w="672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平坝区城关镇顺城村</w:t>
            </w:r>
          </w:p>
        </w:tc>
      </w:tr>
      <w:tr>
        <w:tblPrEx>
          <w:tblLayout w:type="fixed"/>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设计用途</w:t>
            </w:r>
          </w:p>
        </w:tc>
        <w:tc>
          <w:tcPr>
            <w:tcW w:w="672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住</w:t>
            </w:r>
          </w:p>
        </w:tc>
      </w:tr>
      <w:tr>
        <w:tblPrEx>
          <w:tblLayout w:type="fixed"/>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产别</w:t>
            </w:r>
          </w:p>
        </w:tc>
        <w:tc>
          <w:tcPr>
            <w:tcW w:w="672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私产</w:t>
            </w:r>
          </w:p>
        </w:tc>
      </w:tr>
      <w:tr>
        <w:tblPrEx>
          <w:tblLayout w:type="fixed"/>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房屋来源</w:t>
            </w:r>
          </w:p>
        </w:tc>
        <w:tc>
          <w:tcPr>
            <w:tcW w:w="672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自建</w:t>
            </w:r>
          </w:p>
        </w:tc>
      </w:tr>
      <w:tr>
        <w:tblPrEx>
          <w:tblLayout w:type="fixed"/>
          <w:tblCellMar>
            <w:top w:w="0" w:type="dxa"/>
            <w:left w:w="0" w:type="dxa"/>
            <w:bottom w:w="0" w:type="dxa"/>
            <w:right w:w="0" w:type="dxa"/>
          </w:tblCellMar>
        </w:tblPrEx>
        <w:trPr>
          <w:trHeight w:val="855" w:hRule="atLeast"/>
        </w:trPr>
        <w:tc>
          <w:tcPr>
            <w:tcW w:w="13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房屋状况</w:t>
            </w: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幢号</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房号</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建筑面积（平方米）</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建筑结构</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房屋总层数</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所在层数</w:t>
            </w:r>
          </w:p>
        </w:tc>
      </w:tr>
      <w:tr>
        <w:tblPrEx>
          <w:tblLayout w:type="fixed"/>
          <w:tblCellMar>
            <w:top w:w="0" w:type="dxa"/>
            <w:left w:w="0" w:type="dxa"/>
            <w:bottom w:w="0" w:type="dxa"/>
            <w:right w:w="0" w:type="dxa"/>
          </w:tblCellMar>
        </w:tblPrEx>
        <w:trPr>
          <w:trHeight w:val="570" w:hRule="atLeast"/>
        </w:trPr>
        <w:tc>
          <w:tcPr>
            <w:tcW w:w="13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0"/>
                <w:szCs w:val="20"/>
                <w:u w:val="none"/>
              </w:rPr>
            </w:pPr>
          </w:p>
        </w:tc>
        <w:tc>
          <w:tcPr>
            <w:tcW w:w="1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230.98</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混合</w:t>
            </w:r>
          </w:p>
        </w:tc>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3层</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1-3层</w:t>
            </w:r>
          </w:p>
        </w:tc>
      </w:tr>
    </w:tbl>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8"/>
        <w:textAlignment w:val="auto"/>
        <w:rPr>
          <w:rFonts w:hint="eastAsia" w:ascii="仿宋" w:hAnsi="仿宋" w:eastAsia="仿宋" w:cs="仿宋"/>
          <w:sz w:val="28"/>
          <w:highlight w:val="none"/>
        </w:rPr>
      </w:pPr>
      <w:r>
        <w:rPr>
          <w:rFonts w:hint="eastAsia" w:ascii="仿宋" w:hAnsi="仿宋" w:eastAsia="仿宋" w:cs="仿宋"/>
          <w:sz w:val="28"/>
          <w:highlight w:val="none"/>
        </w:rPr>
        <w:t>②其他</w:t>
      </w:r>
    </w:p>
    <w:p>
      <w:pPr>
        <w:keepNext w:val="0"/>
        <w:keepLines w:val="0"/>
        <w:pageBreakBefore w:val="0"/>
        <w:widowControl w:val="0"/>
        <w:tabs>
          <w:tab w:val="left" w:pos="180"/>
        </w:tabs>
        <w:kinsoku/>
        <w:wordWrap/>
        <w:overflowPunct/>
        <w:topLinePunct w:val="0"/>
        <w:autoSpaceDE/>
        <w:autoSpaceDN/>
        <w:bidi w:val="0"/>
        <w:adjustRightInd w:val="0"/>
        <w:snapToGrid w:val="0"/>
        <w:spacing w:line="600" w:lineRule="exact"/>
        <w:ind w:firstLine="538"/>
        <w:textAlignment w:val="auto"/>
        <w:rPr>
          <w:rFonts w:hint="eastAsia" w:ascii="仿宋" w:hAnsi="仿宋" w:eastAsia="仿宋" w:cs="仿宋"/>
          <w:sz w:val="28"/>
          <w:highlight w:val="none"/>
        </w:rPr>
      </w:pPr>
      <w:r>
        <w:rPr>
          <w:rFonts w:hint="eastAsia" w:ascii="仿宋" w:hAnsi="仿宋" w:eastAsia="仿宋" w:cs="仿宋"/>
          <w:sz w:val="28"/>
          <w:highlight w:val="none"/>
        </w:rPr>
        <w:t>所在物业</w:t>
      </w:r>
      <w:r>
        <w:rPr>
          <w:rFonts w:hint="eastAsia" w:ascii="仿宋" w:hAnsi="仿宋" w:eastAsia="仿宋" w:cs="仿宋"/>
          <w:sz w:val="28"/>
          <w:highlight w:val="none"/>
          <w:lang w:eastAsia="zh-CN"/>
        </w:rPr>
        <w:t>无</w:t>
      </w:r>
      <w:r>
        <w:rPr>
          <w:rFonts w:hint="eastAsia" w:ascii="仿宋" w:hAnsi="仿宋" w:eastAsia="仿宋" w:cs="仿宋"/>
          <w:sz w:val="28"/>
          <w:highlight w:val="none"/>
        </w:rPr>
        <w:t>物业管理。</w:t>
      </w:r>
    </w:p>
    <w:p>
      <w:pPr>
        <w:keepNext w:val="0"/>
        <w:keepLines w:val="0"/>
        <w:pageBreakBefore w:val="0"/>
        <w:widowControl w:val="0"/>
        <w:numPr>
          <w:ilvl w:val="0"/>
          <w:numId w:val="3"/>
        </w:numPr>
        <w:tabs>
          <w:tab w:val="left" w:pos="180"/>
        </w:tabs>
        <w:kinsoku/>
        <w:wordWrap/>
        <w:overflowPunct/>
        <w:topLinePunct w:val="0"/>
        <w:autoSpaceDE/>
        <w:autoSpaceDN/>
        <w:bidi w:val="0"/>
        <w:adjustRightInd w:val="0"/>
        <w:snapToGrid w:val="0"/>
        <w:spacing w:line="600" w:lineRule="exact"/>
        <w:ind w:firstLine="538"/>
        <w:textAlignment w:val="auto"/>
        <w:rPr>
          <w:rFonts w:hint="eastAsia" w:ascii="仿宋" w:hAnsi="仿宋" w:eastAsia="仿宋" w:cs="仿宋"/>
          <w:sz w:val="28"/>
          <w:szCs w:val="28"/>
          <w:highlight w:val="none"/>
        </w:rPr>
      </w:pPr>
      <w:r>
        <w:rPr>
          <w:rFonts w:hint="eastAsia" w:ascii="仿宋" w:hAnsi="仿宋" w:eastAsia="仿宋" w:cs="仿宋"/>
          <w:sz w:val="28"/>
          <w:highlight w:val="none"/>
        </w:rPr>
        <w:t>土地权益状况</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①土地所有权</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highlight w:val="none"/>
          <w:lang w:eastAsia="zh-CN"/>
        </w:rPr>
      </w:pPr>
      <w:r>
        <w:rPr>
          <w:rFonts w:hint="eastAsia" w:ascii="仿宋" w:hAnsi="仿宋" w:eastAsia="仿宋" w:cs="仿宋"/>
          <w:sz w:val="28"/>
          <w:highlight w:val="none"/>
        </w:rPr>
        <w:t>估价对象所在宗地为</w:t>
      </w:r>
      <w:r>
        <w:rPr>
          <w:rFonts w:hint="eastAsia" w:ascii="仿宋" w:hAnsi="仿宋" w:eastAsia="仿宋" w:cs="仿宋"/>
          <w:sz w:val="28"/>
          <w:highlight w:val="none"/>
          <w:lang w:eastAsia="zh-CN"/>
        </w:rPr>
        <w:t>划拨</w:t>
      </w:r>
      <w:r>
        <w:rPr>
          <w:rFonts w:hint="eastAsia" w:ascii="仿宋" w:hAnsi="仿宋" w:eastAsia="仿宋" w:cs="仿宋"/>
          <w:sz w:val="28"/>
          <w:highlight w:val="none"/>
        </w:rPr>
        <w:t>，所有权属</w:t>
      </w:r>
      <w:r>
        <w:rPr>
          <w:rFonts w:hint="eastAsia" w:ascii="仿宋" w:hAnsi="仿宋" w:eastAsia="仿宋" w:cs="仿宋"/>
          <w:sz w:val="28"/>
          <w:highlight w:val="none"/>
          <w:lang w:eastAsia="zh-CN"/>
        </w:rPr>
        <w:t>集体</w:t>
      </w:r>
      <w:r>
        <w:rPr>
          <w:rFonts w:hint="eastAsia" w:ascii="仿宋" w:hAnsi="仿宋" w:eastAsia="仿宋" w:cs="仿宋"/>
          <w:sz w:val="28"/>
          <w:highlight w:val="none"/>
        </w:rPr>
        <w:t>。</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highlight w:val="none"/>
        </w:rPr>
      </w:pPr>
      <w:r>
        <w:rPr>
          <w:rFonts w:hint="eastAsia" w:ascii="仿宋" w:hAnsi="仿宋" w:eastAsia="仿宋" w:cs="仿宋"/>
          <w:sz w:val="28"/>
          <w:highlight w:val="none"/>
        </w:rPr>
        <w:t>②土地使用权</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szCs w:val="28"/>
          <w:highlight w:val="none"/>
        </w:rPr>
      </w:pPr>
      <w:r>
        <w:rPr>
          <w:rFonts w:hint="eastAsia" w:ascii="仿宋" w:hAnsi="仿宋" w:eastAsia="仿宋" w:cs="仿宋"/>
          <w:sz w:val="28"/>
          <w:highlight w:val="none"/>
        </w:rPr>
        <w:t>根据</w:t>
      </w:r>
      <w:r>
        <w:rPr>
          <w:rFonts w:hint="eastAsia" w:ascii="仿宋" w:hAnsi="仿宋" w:eastAsia="仿宋" w:cs="仿宋"/>
          <w:sz w:val="28"/>
          <w:highlight w:val="none"/>
          <w:lang w:eastAsia="zh-CN"/>
        </w:rPr>
        <w:t>估价委托人</w:t>
      </w:r>
      <w:r>
        <w:rPr>
          <w:rFonts w:hint="eastAsia" w:ascii="仿宋" w:hAnsi="仿宋" w:eastAsia="仿宋" w:cs="仿宋"/>
          <w:sz w:val="28"/>
          <w:highlight w:val="none"/>
        </w:rPr>
        <w:t>提供</w:t>
      </w:r>
      <w:r>
        <w:rPr>
          <w:rFonts w:hint="eastAsia" w:ascii="仿宋" w:hAnsi="仿宋" w:eastAsia="仿宋" w:cs="仿宋"/>
          <w:sz w:val="28"/>
          <w:highlight w:val="none"/>
          <w:lang w:eastAsia="zh-CN"/>
        </w:rPr>
        <w:t>的</w:t>
      </w:r>
      <w:r>
        <w:rPr>
          <w:rFonts w:hint="eastAsia" w:ascii="仿宋" w:hAnsi="仿宋" w:eastAsia="仿宋" w:cs="仿宋"/>
          <w:sz w:val="28"/>
          <w:highlight w:val="none"/>
        </w:rPr>
        <w:t>估价对象的《</w:t>
      </w:r>
      <w:r>
        <w:rPr>
          <w:rFonts w:hint="eastAsia" w:ascii="仿宋" w:hAnsi="仿宋" w:eastAsia="仿宋" w:cs="仿宋"/>
          <w:sz w:val="28"/>
          <w:highlight w:val="none"/>
          <w:lang w:eastAsia="zh-CN"/>
        </w:rPr>
        <w:t>集体土地使用证</w:t>
      </w:r>
      <w:r>
        <w:rPr>
          <w:rFonts w:hint="eastAsia" w:ascii="仿宋" w:hAnsi="仿宋" w:eastAsia="仿宋" w:cs="仿宋"/>
          <w:sz w:val="28"/>
          <w:highlight w:val="none"/>
        </w:rPr>
        <w:t>》复印件及估价人员现场查勘了解，土地使用权</w:t>
      </w:r>
      <w:r>
        <w:rPr>
          <w:rFonts w:hint="eastAsia" w:ascii="仿宋" w:hAnsi="仿宋" w:eastAsia="仿宋" w:cs="仿宋"/>
          <w:sz w:val="28"/>
          <w:highlight w:val="none"/>
          <w:lang w:eastAsia="zh-CN"/>
        </w:rPr>
        <w:t>状况</w:t>
      </w:r>
      <w:r>
        <w:rPr>
          <w:rFonts w:hint="eastAsia" w:ascii="仿宋" w:hAnsi="仿宋" w:eastAsia="仿宋" w:cs="仿宋"/>
          <w:snapToGrid w:val="0"/>
          <w:kern w:val="0"/>
          <w:sz w:val="28"/>
          <w:szCs w:val="28"/>
          <w:highlight w:val="none"/>
        </w:rPr>
        <w:t>详见下表：</w:t>
      </w:r>
    </w:p>
    <w:tbl>
      <w:tblPr>
        <w:tblStyle w:val="11"/>
        <w:tblW w:w="9410" w:type="dxa"/>
        <w:tblInd w:w="0" w:type="dxa"/>
        <w:tblLayout w:type="fixed"/>
        <w:tblCellMar>
          <w:top w:w="0" w:type="dxa"/>
          <w:left w:w="0" w:type="dxa"/>
          <w:bottom w:w="0" w:type="dxa"/>
          <w:right w:w="0" w:type="dxa"/>
        </w:tblCellMar>
      </w:tblPr>
      <w:tblGrid>
        <w:gridCol w:w="1176"/>
        <w:gridCol w:w="2077"/>
        <w:gridCol w:w="2225"/>
        <w:gridCol w:w="1228"/>
        <w:gridCol w:w="1282"/>
        <w:gridCol w:w="1422"/>
      </w:tblGrid>
      <w:tr>
        <w:tblPrEx>
          <w:tblLayout w:type="fixed"/>
          <w:tblCellMar>
            <w:top w:w="0" w:type="dxa"/>
            <w:left w:w="0" w:type="dxa"/>
            <w:bottom w:w="0" w:type="dxa"/>
            <w:right w:w="0" w:type="dxa"/>
          </w:tblCellMar>
        </w:tblPrEx>
        <w:trPr>
          <w:trHeight w:val="417" w:hRule="atLeast"/>
        </w:trPr>
        <w:tc>
          <w:tcPr>
            <w:tcW w:w="1176"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535353"/>
                <w:sz w:val="18"/>
                <w:szCs w:val="18"/>
                <w:u w:val="none"/>
              </w:rPr>
            </w:pPr>
            <w:r>
              <w:rPr>
                <w:rFonts w:hint="eastAsia" w:ascii="仿宋" w:hAnsi="仿宋" w:eastAsia="仿宋" w:cs="仿宋"/>
                <w:b/>
                <w:i w:val="0"/>
                <w:color w:val="535353"/>
                <w:kern w:val="0"/>
                <w:sz w:val="18"/>
                <w:szCs w:val="18"/>
                <w:u w:val="none"/>
                <w:lang w:val="en-US" w:eastAsia="zh-CN" w:bidi="ar"/>
              </w:rPr>
              <w:t>土地所有者</w:t>
            </w:r>
          </w:p>
        </w:tc>
        <w:tc>
          <w:tcPr>
            <w:tcW w:w="2077"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535353"/>
                <w:sz w:val="18"/>
                <w:szCs w:val="18"/>
                <w:u w:val="none"/>
              </w:rPr>
            </w:pPr>
            <w:r>
              <w:rPr>
                <w:rFonts w:hint="eastAsia" w:ascii="仿宋" w:hAnsi="仿宋" w:eastAsia="仿宋" w:cs="仿宋"/>
                <w:b/>
                <w:i w:val="0"/>
                <w:color w:val="535353"/>
                <w:kern w:val="0"/>
                <w:sz w:val="18"/>
                <w:szCs w:val="18"/>
                <w:u w:val="none"/>
                <w:lang w:val="en-US" w:eastAsia="zh-CN" w:bidi="ar"/>
              </w:rPr>
              <w:t>集体土地使用证号</w:t>
            </w:r>
          </w:p>
        </w:tc>
        <w:tc>
          <w:tcPr>
            <w:tcW w:w="2225"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535353"/>
                <w:sz w:val="18"/>
                <w:szCs w:val="18"/>
                <w:u w:val="none"/>
              </w:rPr>
            </w:pPr>
            <w:r>
              <w:rPr>
                <w:rFonts w:hint="eastAsia" w:ascii="仿宋" w:hAnsi="仿宋" w:eastAsia="仿宋" w:cs="仿宋"/>
                <w:b/>
                <w:i w:val="0"/>
                <w:color w:val="535353"/>
                <w:kern w:val="0"/>
                <w:sz w:val="18"/>
                <w:szCs w:val="18"/>
                <w:u w:val="none"/>
                <w:lang w:val="en-US" w:eastAsia="zh-CN" w:bidi="ar"/>
              </w:rPr>
              <w:t>座落</w:t>
            </w:r>
          </w:p>
        </w:tc>
        <w:tc>
          <w:tcPr>
            <w:tcW w:w="1228"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535353"/>
                <w:sz w:val="18"/>
                <w:szCs w:val="18"/>
                <w:u w:val="none"/>
              </w:rPr>
            </w:pPr>
            <w:r>
              <w:rPr>
                <w:rFonts w:hint="eastAsia" w:ascii="仿宋" w:hAnsi="仿宋" w:eastAsia="仿宋" w:cs="仿宋"/>
                <w:b/>
                <w:i w:val="0"/>
                <w:color w:val="535353"/>
                <w:kern w:val="0"/>
                <w:sz w:val="18"/>
                <w:szCs w:val="18"/>
                <w:u w:val="none"/>
                <w:lang w:val="en-US" w:eastAsia="zh-CN" w:bidi="ar"/>
              </w:rPr>
              <w:t>用途</w:t>
            </w:r>
          </w:p>
        </w:tc>
        <w:tc>
          <w:tcPr>
            <w:tcW w:w="1282"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535353"/>
                <w:sz w:val="18"/>
                <w:szCs w:val="18"/>
                <w:u w:val="none"/>
              </w:rPr>
            </w:pPr>
            <w:r>
              <w:rPr>
                <w:rFonts w:hint="eastAsia" w:ascii="仿宋" w:hAnsi="仿宋" w:eastAsia="仿宋" w:cs="仿宋"/>
                <w:b/>
                <w:i w:val="0"/>
                <w:color w:val="535353"/>
                <w:kern w:val="0"/>
                <w:sz w:val="18"/>
                <w:szCs w:val="18"/>
                <w:u w:val="none"/>
                <w:lang w:val="en-US" w:eastAsia="zh-CN" w:bidi="ar"/>
              </w:rPr>
              <w:t>使用权类型</w:t>
            </w:r>
          </w:p>
        </w:tc>
        <w:tc>
          <w:tcPr>
            <w:tcW w:w="1422"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535353"/>
                <w:sz w:val="18"/>
                <w:szCs w:val="18"/>
                <w:u w:val="none"/>
              </w:rPr>
            </w:pPr>
            <w:r>
              <w:rPr>
                <w:rFonts w:hint="eastAsia" w:ascii="仿宋" w:hAnsi="仿宋" w:eastAsia="仿宋" w:cs="仿宋"/>
                <w:b/>
                <w:i w:val="0"/>
                <w:color w:val="535353"/>
                <w:kern w:val="0"/>
                <w:sz w:val="18"/>
                <w:szCs w:val="18"/>
                <w:u w:val="none"/>
                <w:lang w:val="en-US" w:eastAsia="zh-CN" w:bidi="ar"/>
              </w:rPr>
              <w:t>使用权面积（m</w:t>
            </w:r>
            <w:r>
              <w:rPr>
                <w:rFonts w:hint="eastAsia" w:ascii="仿宋" w:hAnsi="仿宋" w:eastAsia="仿宋" w:cs="仿宋"/>
                <w:b/>
                <w:i w:val="0"/>
                <w:color w:val="535353"/>
                <w:kern w:val="0"/>
                <w:sz w:val="18"/>
                <w:szCs w:val="18"/>
                <w:u w:val="none"/>
                <w:vertAlign w:val="superscript"/>
                <w:lang w:bidi="ar"/>
              </w:rPr>
              <w:t>2</w:t>
            </w:r>
            <w:r>
              <w:rPr>
                <w:rFonts w:hint="eastAsia" w:ascii="仿宋" w:hAnsi="仿宋" w:eastAsia="仿宋" w:cs="仿宋"/>
                <w:b/>
                <w:i w:val="0"/>
                <w:color w:val="535353"/>
                <w:kern w:val="0"/>
                <w:sz w:val="18"/>
                <w:szCs w:val="18"/>
                <w:u w:val="none"/>
                <w:lang w:val="en-US" w:eastAsia="zh-CN" w:bidi="ar"/>
              </w:rPr>
              <w:t>）</w:t>
            </w:r>
          </w:p>
        </w:tc>
      </w:tr>
      <w:tr>
        <w:tblPrEx>
          <w:tblLayout w:type="fixed"/>
          <w:tblCellMar>
            <w:top w:w="0" w:type="dxa"/>
            <w:left w:w="0" w:type="dxa"/>
            <w:bottom w:w="0" w:type="dxa"/>
            <w:right w:w="0" w:type="dxa"/>
          </w:tblCellMar>
        </w:tblPrEx>
        <w:trPr>
          <w:trHeight w:val="727" w:hRule="atLeast"/>
        </w:trPr>
        <w:tc>
          <w:tcPr>
            <w:tcW w:w="1176"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535353"/>
                <w:sz w:val="18"/>
                <w:szCs w:val="18"/>
                <w:u w:val="none"/>
              </w:rPr>
            </w:pPr>
            <w:r>
              <w:rPr>
                <w:rFonts w:hint="eastAsia" w:ascii="仿宋" w:hAnsi="仿宋" w:eastAsia="仿宋" w:cs="仿宋"/>
                <w:i w:val="0"/>
                <w:color w:val="535353"/>
                <w:kern w:val="0"/>
                <w:sz w:val="18"/>
                <w:szCs w:val="18"/>
                <w:u w:val="none"/>
                <w:lang w:val="en-US" w:eastAsia="zh-CN" w:bidi="ar"/>
              </w:rPr>
              <w:t>城关镇顺城村民委员会</w:t>
            </w:r>
          </w:p>
        </w:tc>
        <w:tc>
          <w:tcPr>
            <w:tcW w:w="2077"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535353"/>
                <w:sz w:val="18"/>
                <w:szCs w:val="18"/>
                <w:u w:val="none"/>
              </w:rPr>
            </w:pPr>
            <w:r>
              <w:rPr>
                <w:rFonts w:hint="eastAsia" w:ascii="仿宋" w:hAnsi="仿宋" w:eastAsia="仿宋" w:cs="仿宋"/>
                <w:i w:val="0"/>
                <w:color w:val="535353"/>
                <w:kern w:val="0"/>
                <w:sz w:val="18"/>
                <w:szCs w:val="18"/>
                <w:u w:val="none"/>
                <w:lang w:val="en-US" w:eastAsia="zh-CN" w:bidi="ar"/>
              </w:rPr>
              <w:t>平土集用（2003）字第337号</w:t>
            </w:r>
          </w:p>
        </w:tc>
        <w:tc>
          <w:tcPr>
            <w:tcW w:w="2225"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535353"/>
                <w:sz w:val="18"/>
                <w:szCs w:val="18"/>
                <w:u w:val="none"/>
              </w:rPr>
            </w:pPr>
            <w:r>
              <w:rPr>
                <w:rFonts w:hint="eastAsia" w:ascii="仿宋" w:hAnsi="仿宋" w:eastAsia="仿宋" w:cs="仿宋"/>
                <w:i w:val="0"/>
                <w:color w:val="535353"/>
                <w:kern w:val="0"/>
                <w:sz w:val="18"/>
                <w:szCs w:val="18"/>
                <w:u w:val="none"/>
                <w:lang w:val="en-US" w:eastAsia="zh-CN" w:bidi="ar"/>
              </w:rPr>
              <w:t>顺城村北门外</w:t>
            </w:r>
          </w:p>
        </w:tc>
        <w:tc>
          <w:tcPr>
            <w:tcW w:w="1228"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535353"/>
                <w:sz w:val="18"/>
                <w:szCs w:val="18"/>
                <w:u w:val="none"/>
              </w:rPr>
            </w:pPr>
            <w:r>
              <w:rPr>
                <w:rFonts w:hint="eastAsia" w:ascii="仿宋" w:hAnsi="仿宋" w:eastAsia="仿宋" w:cs="仿宋"/>
                <w:i w:val="0"/>
                <w:color w:val="535353"/>
                <w:kern w:val="0"/>
                <w:sz w:val="18"/>
                <w:szCs w:val="18"/>
                <w:u w:val="none"/>
                <w:lang w:val="en-US" w:eastAsia="zh-CN" w:bidi="ar"/>
              </w:rPr>
              <w:t>住宅</w:t>
            </w:r>
          </w:p>
        </w:tc>
        <w:tc>
          <w:tcPr>
            <w:tcW w:w="1282"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535353"/>
                <w:sz w:val="18"/>
                <w:szCs w:val="18"/>
                <w:u w:val="none"/>
              </w:rPr>
            </w:pPr>
            <w:r>
              <w:rPr>
                <w:rFonts w:hint="eastAsia" w:ascii="仿宋" w:hAnsi="仿宋" w:eastAsia="仿宋" w:cs="仿宋"/>
                <w:i w:val="0"/>
                <w:color w:val="535353"/>
                <w:kern w:val="0"/>
                <w:sz w:val="18"/>
                <w:szCs w:val="18"/>
                <w:u w:val="none"/>
                <w:lang w:val="en-US" w:eastAsia="zh-CN" w:bidi="ar"/>
              </w:rPr>
              <w:t>划拨</w:t>
            </w:r>
          </w:p>
        </w:tc>
        <w:tc>
          <w:tcPr>
            <w:tcW w:w="1422" w:type="dxa"/>
            <w:tcBorders>
              <w:top w:val="single" w:color="535353" w:sz="4" w:space="0"/>
              <w:left w:val="single" w:color="535353" w:sz="4" w:space="0"/>
              <w:bottom w:val="single" w:color="535353" w:sz="4" w:space="0"/>
              <w:right w:val="single" w:color="535353"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535353"/>
                <w:sz w:val="18"/>
                <w:szCs w:val="18"/>
                <w:u w:val="none"/>
                <w:lang w:val="en-US"/>
              </w:rPr>
            </w:pPr>
            <w:r>
              <w:rPr>
                <w:rFonts w:hint="eastAsia" w:ascii="仿宋" w:hAnsi="仿宋" w:eastAsia="仿宋" w:cs="仿宋"/>
                <w:i w:val="0"/>
                <w:color w:val="535353"/>
                <w:kern w:val="0"/>
                <w:sz w:val="18"/>
                <w:szCs w:val="18"/>
                <w:u w:val="none"/>
                <w:lang w:val="en-US" w:eastAsia="zh-CN" w:bidi="ar"/>
              </w:rPr>
              <w:t>80</w:t>
            </w:r>
          </w:p>
        </w:tc>
      </w:tr>
    </w:tbl>
    <w:p>
      <w:pPr>
        <w:pageBreakBefore w:val="0"/>
        <w:widowControl w:val="0"/>
        <w:tabs>
          <w:tab w:val="left" w:pos="180"/>
        </w:tabs>
        <w:kinsoku/>
        <w:wordWrap/>
        <w:overflowPunct/>
        <w:topLinePunct w:val="0"/>
        <w:autoSpaceDE/>
        <w:autoSpaceDN/>
        <w:bidi w:val="0"/>
        <w:adjustRightInd w:val="0"/>
        <w:snapToGrid w:val="0"/>
        <w:spacing w:line="58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3、出租或占用情况</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val="en-US" w:eastAsia="zh-CN"/>
        </w:rPr>
      </w:pPr>
      <w:r>
        <w:rPr>
          <w:rFonts w:hint="eastAsia" w:ascii="仿宋" w:hAnsi="仿宋" w:eastAsia="仿宋" w:cs="仿宋"/>
          <w:sz w:val="28"/>
          <w:highlight w:val="none"/>
        </w:rPr>
        <w:t>至价值时点，</w:t>
      </w:r>
      <w:r>
        <w:rPr>
          <w:rFonts w:hint="eastAsia" w:ascii="仿宋" w:hAnsi="仿宋" w:eastAsia="仿宋" w:cs="仿宋"/>
          <w:sz w:val="28"/>
          <w:highlight w:val="none"/>
          <w:lang w:eastAsia="zh-CN"/>
        </w:rPr>
        <w:t>估价对象</w:t>
      </w:r>
      <w:r>
        <w:rPr>
          <w:rFonts w:hint="eastAsia" w:ascii="仿宋" w:hAnsi="仿宋" w:eastAsia="仿宋" w:cs="仿宋"/>
          <w:sz w:val="28"/>
          <w:highlight w:val="none"/>
          <w:lang w:val="en-US" w:eastAsia="zh-CN"/>
        </w:rPr>
        <w:t>闲置</w:t>
      </w:r>
      <w:r>
        <w:rPr>
          <w:rFonts w:hint="eastAsia" w:ascii="仿宋" w:hAnsi="仿宋" w:eastAsia="仿宋" w:cs="仿宋"/>
          <w:sz w:val="28"/>
          <w:highlight w:val="none"/>
        </w:rPr>
        <w:t>。</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4、他项权利情况</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rPr>
        <w:t>根据估价委托人提供的资料，估价对象未设定</w:t>
      </w:r>
      <w:r>
        <w:rPr>
          <w:rFonts w:hint="eastAsia" w:ascii="仿宋" w:hAnsi="仿宋" w:eastAsia="仿宋" w:cs="仿宋"/>
          <w:sz w:val="28"/>
          <w:highlight w:val="none"/>
          <w:lang w:eastAsia="zh-CN"/>
        </w:rPr>
        <w:t>租赁权、</w:t>
      </w:r>
      <w:r>
        <w:rPr>
          <w:rFonts w:hint="eastAsia" w:ascii="仿宋" w:hAnsi="仿宋" w:eastAsia="仿宋" w:cs="仿宋"/>
          <w:sz w:val="28"/>
          <w:highlight w:val="none"/>
        </w:rPr>
        <w:t>地役权等他项权利，抵押权利状况不详</w:t>
      </w:r>
      <w:r>
        <w:rPr>
          <w:rFonts w:hint="eastAsia" w:ascii="仿宋" w:hAnsi="仿宋" w:eastAsia="仿宋" w:cs="仿宋"/>
          <w:sz w:val="28"/>
          <w:highlight w:val="none"/>
          <w:lang w:eastAsia="zh-CN"/>
        </w:rPr>
        <w:t>。</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（三）实物状况</w:t>
      </w:r>
    </w:p>
    <w:p>
      <w:pPr>
        <w:pageBreakBefore w:val="0"/>
        <w:widowControl w:val="0"/>
        <w:numPr>
          <w:ilvl w:val="0"/>
          <w:numId w:val="0"/>
        </w:numPr>
        <w:tabs>
          <w:tab w:val="left" w:pos="180"/>
        </w:tabs>
        <w:kinsoku/>
        <w:wordWrap/>
        <w:overflowPunct/>
        <w:topLinePunct w:val="0"/>
        <w:autoSpaceDE/>
        <w:autoSpaceDN/>
        <w:bidi w:val="0"/>
        <w:adjustRightInd w:val="0"/>
        <w:snapToGrid w:val="0"/>
        <w:spacing w:line="540" w:lineRule="exact"/>
        <w:ind w:leftChars="200" w:firstLine="283" w:firstLineChars="100"/>
        <w:rPr>
          <w:rFonts w:hint="eastAsia" w:ascii="仿宋" w:hAnsi="仿宋" w:eastAsia="仿宋" w:cs="仿宋"/>
          <w:b w:val="0"/>
          <w:bCs w:val="0"/>
          <w:sz w:val="28"/>
          <w:highlight w:val="none"/>
        </w:rPr>
      </w:pPr>
      <w:r>
        <w:rPr>
          <w:rFonts w:hint="eastAsia" w:ascii="仿宋" w:hAnsi="仿宋" w:eastAsia="仿宋" w:cs="仿宋"/>
          <w:b w:val="0"/>
          <w:bCs w:val="0"/>
          <w:sz w:val="28"/>
          <w:highlight w:val="none"/>
        </w:rPr>
        <w:t>1、</w:t>
      </w:r>
      <w:r>
        <w:rPr>
          <w:rFonts w:hint="eastAsia" w:ascii="仿宋" w:hAnsi="仿宋" w:eastAsia="仿宋" w:cs="仿宋"/>
          <w:b w:val="0"/>
          <w:bCs w:val="0"/>
          <w:sz w:val="28"/>
          <w:highlight w:val="none"/>
          <w:lang w:eastAsia="zh-CN"/>
        </w:rPr>
        <w:t>估价对象</w:t>
      </w:r>
      <w:r>
        <w:rPr>
          <w:rFonts w:hint="eastAsia" w:ascii="仿宋" w:hAnsi="仿宋" w:eastAsia="仿宋" w:cs="仿宋"/>
          <w:b w:val="0"/>
          <w:bCs w:val="0"/>
          <w:sz w:val="28"/>
          <w:highlight w:val="none"/>
        </w:rPr>
        <w:t>土地实物状况</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土地面积：</w:t>
      </w:r>
      <w:r>
        <w:rPr>
          <w:rFonts w:hint="eastAsia" w:ascii="仿宋" w:hAnsi="仿宋" w:eastAsia="仿宋" w:cs="仿宋"/>
          <w:sz w:val="28"/>
          <w:szCs w:val="28"/>
          <w:highlight w:val="none"/>
          <w:lang w:val="en-US" w:eastAsia="zh-CN"/>
        </w:rPr>
        <w:t>80.00平方米</w:t>
      </w:r>
      <w:r>
        <w:rPr>
          <w:rFonts w:hint="eastAsia" w:ascii="仿宋" w:hAnsi="仿宋" w:eastAsia="仿宋" w:cs="仿宋"/>
          <w:sz w:val="28"/>
          <w:szCs w:val="28"/>
          <w:highlight w:val="none"/>
          <w:lang w:eastAsia="zh-CN"/>
        </w:rPr>
        <w:t>；</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szCs w:val="28"/>
          <w:highlight w:val="none"/>
        </w:rPr>
        <w:t>四至：</w:t>
      </w:r>
      <w:r>
        <w:rPr>
          <w:rFonts w:hint="eastAsia" w:ascii="仿宋" w:hAnsi="仿宋" w:eastAsia="仿宋" w:cs="仿宋"/>
          <w:sz w:val="28"/>
          <w:szCs w:val="28"/>
          <w:highlight w:val="none"/>
          <w:lang w:eastAsia="zh-CN"/>
        </w:rPr>
        <w:t>北</w:t>
      </w:r>
      <w:r>
        <w:rPr>
          <w:rFonts w:hint="eastAsia" w:ascii="仿宋" w:hAnsi="仿宋" w:eastAsia="仿宋" w:cs="仿宋"/>
          <w:sz w:val="28"/>
          <w:szCs w:val="28"/>
          <w:highlight w:val="none"/>
        </w:rPr>
        <w:t>至</w:t>
      </w:r>
      <w:r>
        <w:rPr>
          <w:rFonts w:hint="eastAsia" w:ascii="仿宋" w:hAnsi="仿宋" w:eastAsia="仿宋" w:cs="仿宋"/>
          <w:sz w:val="28"/>
          <w:szCs w:val="28"/>
          <w:highlight w:val="none"/>
          <w:lang w:eastAsia="zh-CN"/>
        </w:rPr>
        <w:t>其他楼栋</w:t>
      </w:r>
      <w:r>
        <w:rPr>
          <w:rFonts w:hint="eastAsia" w:ascii="仿宋" w:hAnsi="仿宋" w:eastAsia="仿宋" w:cs="仿宋"/>
          <w:sz w:val="28"/>
          <w:szCs w:val="28"/>
          <w:highlight w:val="none"/>
        </w:rPr>
        <w:t>，南至</w:t>
      </w:r>
      <w:r>
        <w:rPr>
          <w:rFonts w:hint="eastAsia" w:ascii="仿宋" w:hAnsi="仿宋" w:eastAsia="仿宋" w:cs="仿宋"/>
          <w:sz w:val="28"/>
          <w:szCs w:val="28"/>
          <w:highlight w:val="none"/>
          <w:lang w:eastAsia="zh-CN"/>
        </w:rPr>
        <w:t>其他楼栋</w:t>
      </w:r>
      <w:r>
        <w:rPr>
          <w:rFonts w:hint="eastAsia" w:ascii="仿宋" w:hAnsi="仿宋" w:eastAsia="仿宋" w:cs="仿宋"/>
          <w:sz w:val="28"/>
          <w:szCs w:val="28"/>
          <w:highlight w:val="none"/>
        </w:rPr>
        <w:t>，西至</w:t>
      </w:r>
      <w:r>
        <w:rPr>
          <w:rFonts w:hint="eastAsia" w:ascii="仿宋" w:hAnsi="仿宋" w:eastAsia="仿宋" w:cs="仿宋"/>
          <w:sz w:val="28"/>
          <w:szCs w:val="28"/>
          <w:highlight w:val="none"/>
          <w:lang w:eastAsia="zh-CN"/>
        </w:rPr>
        <w:t>道路</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东</w:t>
      </w:r>
      <w:r>
        <w:rPr>
          <w:rFonts w:hint="eastAsia" w:ascii="仿宋" w:hAnsi="仿宋" w:eastAsia="仿宋" w:cs="仿宋"/>
          <w:sz w:val="28"/>
          <w:szCs w:val="28"/>
          <w:highlight w:val="none"/>
        </w:rPr>
        <w:t>至</w:t>
      </w:r>
      <w:r>
        <w:rPr>
          <w:rFonts w:hint="eastAsia" w:ascii="仿宋" w:hAnsi="仿宋" w:eastAsia="仿宋" w:cs="仿宋"/>
          <w:sz w:val="28"/>
          <w:szCs w:val="28"/>
          <w:highlight w:val="none"/>
          <w:lang w:eastAsia="zh-CN"/>
        </w:rPr>
        <w:t>其他楼栋</w:t>
      </w:r>
      <w:r>
        <w:rPr>
          <w:rFonts w:hint="eastAsia" w:ascii="仿宋" w:hAnsi="仿宋" w:eastAsia="仿宋" w:cs="仿宋"/>
          <w:sz w:val="28"/>
          <w:szCs w:val="28"/>
          <w:highlight w:val="none"/>
        </w:rPr>
        <w:t>；</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形状：估价对象所在</w:t>
      </w:r>
      <w:r>
        <w:rPr>
          <w:rFonts w:hint="eastAsia" w:ascii="仿宋" w:hAnsi="仿宋" w:eastAsia="仿宋" w:cs="仿宋"/>
          <w:sz w:val="28"/>
          <w:highlight w:val="none"/>
          <w:lang w:eastAsia="zh-CN"/>
        </w:rPr>
        <w:t>地块</w:t>
      </w:r>
      <w:r>
        <w:rPr>
          <w:rFonts w:hint="eastAsia" w:ascii="仿宋" w:hAnsi="仿宋" w:eastAsia="仿宋" w:cs="仿宋"/>
          <w:sz w:val="28"/>
          <w:highlight w:val="none"/>
        </w:rPr>
        <w:t>呈较规则的多边形；</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地形、地势：</w:t>
      </w:r>
      <w:r>
        <w:rPr>
          <w:rFonts w:hint="eastAsia" w:ascii="仿宋_GB2312" w:hAnsi="仿宋_GB2312" w:eastAsia="仿宋_GB2312" w:cs="仿宋_GB2312"/>
          <w:sz w:val="28"/>
          <w:szCs w:val="28"/>
        </w:rPr>
        <w:t>宗地形状为较规则，地势平坦</w:t>
      </w:r>
      <w:r>
        <w:rPr>
          <w:rFonts w:hint="eastAsia" w:ascii="仿宋" w:hAnsi="仿宋" w:eastAsia="仿宋" w:cs="仿宋"/>
          <w:sz w:val="28"/>
          <w:highlight w:val="none"/>
        </w:rPr>
        <w:t>，自然排水较好，无发生内涝和洪水淹没的可能性；</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土壤：土壤未受过污染；</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地质：地基的承载能力和稳定性良好，地下水位正常且无污染，无滑坡、泥石流等不良地质现象；</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开发程度：宗地外达到“</w:t>
      </w:r>
      <w:r>
        <w:rPr>
          <w:rFonts w:hint="eastAsia" w:ascii="仿宋" w:hAnsi="仿宋" w:eastAsia="仿宋" w:cs="仿宋"/>
          <w:sz w:val="28"/>
          <w:highlight w:val="none"/>
          <w:lang w:eastAsia="zh-CN"/>
        </w:rPr>
        <w:t>五</w:t>
      </w:r>
      <w:r>
        <w:rPr>
          <w:rFonts w:hint="eastAsia" w:ascii="仿宋" w:hAnsi="仿宋" w:eastAsia="仿宋" w:cs="仿宋"/>
          <w:sz w:val="28"/>
          <w:highlight w:val="none"/>
        </w:rPr>
        <w:t>通”（通上水、通下水、通电、通路、通讯），宗地内达到“</w:t>
      </w:r>
      <w:r>
        <w:rPr>
          <w:rFonts w:hint="eastAsia" w:ascii="仿宋" w:hAnsi="仿宋" w:eastAsia="仿宋" w:cs="仿宋"/>
          <w:sz w:val="28"/>
          <w:highlight w:val="none"/>
          <w:lang w:eastAsia="zh-CN"/>
        </w:rPr>
        <w:t>五</w:t>
      </w:r>
      <w:r>
        <w:rPr>
          <w:rFonts w:hint="eastAsia" w:ascii="仿宋" w:hAnsi="仿宋" w:eastAsia="仿宋" w:cs="仿宋"/>
          <w:sz w:val="28"/>
          <w:highlight w:val="none"/>
        </w:rPr>
        <w:t>通一平”（通上水、通下水、通电、通路、通讯及场地平整）。</w:t>
      </w:r>
    </w:p>
    <w:p>
      <w:pPr>
        <w:pageBreakBefore w:val="0"/>
        <w:widowControl w:val="0"/>
        <w:numPr>
          <w:ilvl w:val="0"/>
          <w:numId w:val="0"/>
        </w:numPr>
        <w:tabs>
          <w:tab w:val="left" w:pos="180"/>
        </w:tabs>
        <w:kinsoku/>
        <w:wordWrap/>
        <w:overflowPunct/>
        <w:topLinePunct w:val="0"/>
        <w:autoSpaceDE/>
        <w:autoSpaceDN/>
        <w:bidi w:val="0"/>
        <w:adjustRightInd w:val="0"/>
        <w:snapToGrid w:val="0"/>
        <w:spacing w:line="540" w:lineRule="exact"/>
        <w:ind w:leftChars="200" w:firstLine="283" w:firstLineChars="100"/>
        <w:rPr>
          <w:rFonts w:hint="default" w:ascii="仿宋" w:hAnsi="仿宋" w:eastAsia="仿宋" w:cs="仿宋"/>
          <w:sz w:val="28"/>
          <w:highlight w:val="none"/>
          <w:lang w:val="en-US" w:eastAsia="zh-CN"/>
        </w:rPr>
      </w:pPr>
      <w:r>
        <w:rPr>
          <w:rFonts w:hint="eastAsia" w:ascii="仿宋" w:hAnsi="仿宋" w:eastAsia="仿宋" w:cs="仿宋"/>
          <w:sz w:val="28"/>
          <w:highlight w:val="none"/>
          <w:lang w:val="en-US" w:eastAsia="zh-CN"/>
        </w:rPr>
        <w:t>2、</w:t>
      </w:r>
      <w:r>
        <w:rPr>
          <w:rFonts w:hint="eastAsia" w:ascii="仿宋" w:hAnsi="仿宋" w:eastAsia="仿宋" w:cs="仿宋"/>
          <w:sz w:val="28"/>
          <w:highlight w:val="none"/>
        </w:rPr>
        <w:t>建筑物实物状况</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建筑规模：面积：</w:t>
      </w:r>
      <w:r>
        <w:rPr>
          <w:rFonts w:hint="eastAsia" w:ascii="仿宋" w:hAnsi="仿宋" w:eastAsia="仿宋" w:cs="仿宋"/>
          <w:sz w:val="28"/>
          <w:highlight w:val="none"/>
          <w:lang w:eastAsia="zh-CN"/>
        </w:rPr>
        <w:t>估价对象</w:t>
      </w:r>
      <w:r>
        <w:rPr>
          <w:rFonts w:hint="eastAsia" w:ascii="仿宋" w:hAnsi="仿宋" w:eastAsia="仿宋" w:cs="仿宋"/>
          <w:sz w:val="28"/>
          <w:highlight w:val="none"/>
        </w:rPr>
        <w:t>建筑面积为</w:t>
      </w:r>
      <w:r>
        <w:rPr>
          <w:rFonts w:hint="eastAsia" w:ascii="仿宋" w:hAnsi="仿宋" w:eastAsia="仿宋" w:cs="仿宋"/>
          <w:sz w:val="28"/>
          <w:highlight w:val="none"/>
          <w:lang w:val="en-US" w:eastAsia="zh-CN"/>
        </w:rPr>
        <w:t>230.98</w:t>
      </w:r>
      <w:r>
        <w:rPr>
          <w:rFonts w:hint="eastAsia" w:ascii="仿宋" w:hAnsi="仿宋" w:eastAsia="仿宋" w:cs="仿宋"/>
          <w:sz w:val="28"/>
          <w:highlight w:val="none"/>
        </w:rPr>
        <w:t>平方米；总层数：所在建筑物总楼层地上</w:t>
      </w:r>
      <w:r>
        <w:rPr>
          <w:rFonts w:hint="eastAsia" w:ascii="仿宋" w:hAnsi="仿宋" w:eastAsia="仿宋" w:cs="仿宋"/>
          <w:sz w:val="28"/>
          <w:highlight w:val="none"/>
          <w:lang w:val="en-US" w:eastAsia="zh-CN"/>
        </w:rPr>
        <w:t>3</w:t>
      </w:r>
      <w:r>
        <w:rPr>
          <w:rFonts w:hint="eastAsia" w:ascii="仿宋" w:hAnsi="仿宋" w:eastAsia="仿宋" w:cs="仿宋"/>
          <w:sz w:val="28"/>
          <w:highlight w:val="none"/>
        </w:rPr>
        <w:t>层；</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建筑结构：混合；</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设施设备：给排水：接市政管网，消防设施：室外</w:t>
      </w:r>
      <w:r>
        <w:rPr>
          <w:rFonts w:hint="eastAsia" w:ascii="仿宋" w:hAnsi="仿宋" w:eastAsia="仿宋" w:cs="仿宋"/>
          <w:sz w:val="28"/>
          <w:highlight w:val="none"/>
          <w:lang w:eastAsia="zh-CN"/>
        </w:rPr>
        <w:t>无</w:t>
      </w:r>
      <w:r>
        <w:rPr>
          <w:rFonts w:hint="eastAsia" w:ascii="仿宋" w:hAnsi="仿宋" w:eastAsia="仿宋" w:cs="仿宋"/>
          <w:sz w:val="28"/>
          <w:highlight w:val="none"/>
        </w:rPr>
        <w:t>消火栓系统，通讯：光纤，供电：接市政供电网；电梯：无电梯；通气状况</w:t>
      </w:r>
      <w:r>
        <w:rPr>
          <w:rFonts w:hint="eastAsia" w:ascii="仿宋" w:hAnsi="仿宋" w:eastAsia="仿宋" w:cs="仿宋"/>
          <w:sz w:val="28"/>
          <w:highlight w:val="none"/>
          <w:lang w:eastAsia="zh-CN"/>
        </w:rPr>
        <w:t>：未</w:t>
      </w:r>
      <w:r>
        <w:rPr>
          <w:rFonts w:hint="eastAsia" w:ascii="仿宋" w:hAnsi="仿宋" w:eastAsia="仿宋" w:cs="仿宋"/>
          <w:sz w:val="28"/>
          <w:highlight w:val="none"/>
        </w:rPr>
        <w:t>通气。配置的设施设备使用正常，性能完好；</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rPr>
        <w:t>装饰装修：外墙</w:t>
      </w:r>
      <w:r>
        <w:rPr>
          <w:rFonts w:hint="eastAsia" w:ascii="仿宋" w:hAnsi="仿宋" w:eastAsia="仿宋" w:cs="仿宋"/>
          <w:sz w:val="28"/>
          <w:highlight w:val="none"/>
          <w:lang w:eastAsia="zh-CN"/>
        </w:rPr>
        <w:t>贴墙砖</w:t>
      </w:r>
      <w:r>
        <w:rPr>
          <w:rFonts w:hint="eastAsia" w:ascii="仿宋" w:hAnsi="仿宋" w:eastAsia="仿宋" w:cs="仿宋"/>
          <w:sz w:val="28"/>
          <w:highlight w:val="none"/>
        </w:rPr>
        <w:t>，入户门为</w:t>
      </w:r>
      <w:r>
        <w:rPr>
          <w:rFonts w:hint="eastAsia" w:ascii="仿宋" w:hAnsi="仿宋" w:eastAsia="仿宋" w:cs="仿宋"/>
          <w:sz w:val="28"/>
          <w:highlight w:val="none"/>
          <w:lang w:eastAsia="zh-CN"/>
        </w:rPr>
        <w:t>铁门，玻璃窗</w:t>
      </w:r>
      <w:r>
        <w:rPr>
          <w:rFonts w:hint="eastAsia" w:ascii="仿宋" w:hAnsi="仿宋" w:eastAsia="仿宋" w:cs="仿宋"/>
          <w:sz w:val="28"/>
          <w:highlight w:val="none"/>
        </w:rPr>
        <w:t>；</w:t>
      </w:r>
      <w:r>
        <w:rPr>
          <w:rFonts w:hint="eastAsia" w:ascii="仿宋" w:hAnsi="仿宋" w:eastAsia="仿宋" w:cs="仿宋"/>
          <w:sz w:val="28"/>
          <w:highlight w:val="none"/>
          <w:lang w:eastAsia="zh-CN"/>
        </w:rPr>
        <w:t>由于受客观条件的限制，我们未能入户进行查勘，经与估价委托人提供的《贵州省房屋所有权登记申请表》复印件记载，估价对象位于顺城村，总共</w:t>
      </w:r>
      <w:r>
        <w:rPr>
          <w:rFonts w:hint="eastAsia" w:ascii="仿宋" w:hAnsi="仿宋" w:eastAsia="仿宋" w:cs="仿宋"/>
          <w:sz w:val="28"/>
          <w:highlight w:val="none"/>
          <w:lang w:val="en-US" w:eastAsia="zh-CN"/>
        </w:rPr>
        <w:t>3</w:t>
      </w:r>
      <w:r>
        <w:rPr>
          <w:rFonts w:hint="eastAsia" w:ascii="仿宋" w:hAnsi="仿宋" w:eastAsia="仿宋" w:cs="仿宋"/>
          <w:sz w:val="28"/>
          <w:highlight w:val="none"/>
          <w:lang w:eastAsia="zh-CN"/>
        </w:rPr>
        <w:t>层，混合结构，外墙瓷砖，内墙白灰，地面地砖，木门铝窗，于</w:t>
      </w:r>
      <w:r>
        <w:rPr>
          <w:rFonts w:hint="eastAsia" w:ascii="仿宋" w:hAnsi="仿宋" w:eastAsia="仿宋" w:cs="仿宋"/>
          <w:sz w:val="28"/>
          <w:highlight w:val="none"/>
          <w:lang w:val="en-US" w:eastAsia="zh-CN"/>
        </w:rPr>
        <w:t>2008年建成</w:t>
      </w:r>
      <w:r>
        <w:rPr>
          <w:rFonts w:hint="eastAsia" w:ascii="仿宋" w:hAnsi="仿宋" w:eastAsia="仿宋" w:cs="仿宋"/>
          <w:sz w:val="28"/>
          <w:highlight w:val="none"/>
          <w:lang w:eastAsia="zh-CN"/>
        </w:rPr>
        <w:t>，本次估价对象</w:t>
      </w:r>
      <w:r>
        <w:rPr>
          <w:rFonts w:hint="eastAsia" w:ascii="仿宋" w:hAnsi="仿宋" w:eastAsia="仿宋" w:cs="仿宋"/>
          <w:sz w:val="28"/>
          <w:highlight w:val="none"/>
          <w:lang w:val="en-US" w:eastAsia="zh-CN"/>
        </w:rPr>
        <w:t>以普通装修为依据进行估价。</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空间布局：住宅，自建房，形状规则；</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建筑功能：防水、保温、隔热、隔声、通风、日照等功能符合国家相关建筑设计标准的强制性要求，光线充足；</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外观：自建房；</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新旧程度：建成年份：</w:t>
      </w:r>
      <w:r>
        <w:rPr>
          <w:rFonts w:hint="eastAsia" w:ascii="仿宋" w:hAnsi="仿宋" w:eastAsia="仿宋" w:cs="仿宋"/>
          <w:sz w:val="28"/>
          <w:highlight w:val="none"/>
          <w:lang w:val="en-US" w:eastAsia="zh-CN"/>
        </w:rPr>
        <w:t>2008年</w:t>
      </w:r>
      <w:r>
        <w:rPr>
          <w:rFonts w:hint="eastAsia" w:ascii="仿宋" w:hAnsi="仿宋" w:eastAsia="仿宋" w:cs="仿宋"/>
          <w:sz w:val="28"/>
          <w:highlight w:val="none"/>
          <w:lang w:eastAsia="zh-CN"/>
        </w:rPr>
        <w:t>；维护及完损状况：地基稳定，承重构件完好，无不均匀沉降，地面、墙面、天棚、门窗无破损情况，整体上使用维护一般；</w:t>
      </w:r>
    </w:p>
    <w:p>
      <w:pPr>
        <w:pageBreakBefore w:val="0"/>
        <w:widowControl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其他：估价对象所在的平坝县顺城村房屋性质多为自建房。</w:t>
      </w:r>
    </w:p>
    <w:p>
      <w:pPr>
        <w:pageBreakBefore w:val="0"/>
        <w:numPr>
          <w:ilvl w:val="0"/>
          <w:numId w:val="4"/>
        </w:numPr>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区位状况</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1、位置</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lang w:eastAsia="zh-CN"/>
        </w:rPr>
      </w:pPr>
      <w:r>
        <w:rPr>
          <w:rFonts w:hint="eastAsia" w:ascii="仿宋" w:hAnsi="仿宋" w:eastAsia="仿宋" w:cs="仿宋"/>
          <w:sz w:val="28"/>
          <w:highlight w:val="none"/>
          <w:lang w:eastAsia="zh-CN"/>
        </w:rPr>
        <w:t>所</w:t>
      </w:r>
      <w:r>
        <w:rPr>
          <w:rFonts w:hint="eastAsia" w:ascii="仿宋" w:hAnsi="仿宋" w:eastAsia="仿宋" w:cs="仿宋"/>
          <w:sz w:val="28"/>
          <w:highlight w:val="none"/>
        </w:rPr>
        <w:t>在楼幢临</w:t>
      </w:r>
      <w:r>
        <w:rPr>
          <w:rFonts w:hint="eastAsia" w:ascii="仿宋" w:hAnsi="仿宋" w:eastAsia="仿宋" w:cs="仿宋"/>
          <w:sz w:val="28"/>
          <w:highlight w:val="none"/>
          <w:lang w:eastAsia="zh-CN"/>
        </w:rPr>
        <w:t>巷道，巷道仅</w:t>
      </w:r>
      <w:r>
        <w:rPr>
          <w:rFonts w:hint="eastAsia" w:ascii="仿宋" w:hAnsi="仿宋" w:eastAsia="仿宋" w:cs="仿宋"/>
          <w:sz w:val="28"/>
          <w:highlight w:val="none"/>
          <w:lang w:val="en-US" w:eastAsia="zh-CN"/>
        </w:rPr>
        <w:t>1米左右宽度可通过</w:t>
      </w:r>
      <w:r>
        <w:rPr>
          <w:rFonts w:hint="eastAsia" w:ascii="仿宋" w:hAnsi="仿宋" w:eastAsia="仿宋" w:cs="仿宋"/>
          <w:sz w:val="28"/>
          <w:highlight w:val="none"/>
          <w:lang w:eastAsia="zh-CN"/>
        </w:rPr>
        <w:t>。</w:t>
      </w:r>
    </w:p>
    <w:p>
      <w:pPr>
        <w:pageBreakBefore w:val="0"/>
        <w:tabs>
          <w:tab w:val="left" w:pos="180"/>
        </w:tabs>
        <w:kinsoku/>
        <w:wordWrap/>
        <w:overflowPunct/>
        <w:topLinePunct w:val="0"/>
        <w:autoSpaceDE/>
        <w:autoSpaceDN/>
        <w:bidi w:val="0"/>
        <w:adjustRightInd w:val="0"/>
        <w:snapToGrid w:val="0"/>
        <w:spacing w:line="540" w:lineRule="exact"/>
        <w:ind w:firstLine="538" w:firstLineChars="200"/>
        <w:rPr>
          <w:rFonts w:hint="eastAsia" w:ascii="仿宋" w:hAnsi="仿宋" w:eastAsia="仿宋" w:cs="仿宋"/>
          <w:w w:val="95"/>
          <w:sz w:val="28"/>
        </w:rPr>
      </w:pPr>
      <w:r>
        <w:rPr>
          <w:rFonts w:hint="eastAsia" w:ascii="仿宋" w:hAnsi="仿宋" w:eastAsia="仿宋" w:cs="仿宋"/>
          <w:w w:val="95"/>
          <w:sz w:val="28"/>
        </w:rPr>
        <w:t>2、交通坐落：</w:t>
      </w:r>
      <w:r>
        <w:rPr>
          <w:rFonts w:hint="eastAsia" w:ascii="仿宋" w:hAnsi="仿宋" w:eastAsia="仿宋" w:cs="仿宋"/>
          <w:sz w:val="28"/>
          <w:highlight w:val="none"/>
          <w:lang w:eastAsia="zh-CN"/>
        </w:rPr>
        <w:t>安顺市平坝区城关镇顺城村</w:t>
      </w:r>
      <w:r>
        <w:rPr>
          <w:rFonts w:hint="eastAsia" w:ascii="仿宋" w:hAnsi="仿宋" w:eastAsia="仿宋" w:cs="仿宋"/>
          <w:w w:val="95"/>
          <w:sz w:val="28"/>
        </w:rPr>
        <w:t>；</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方位：位于</w:t>
      </w:r>
      <w:r>
        <w:rPr>
          <w:rFonts w:hint="eastAsia" w:ascii="仿宋" w:hAnsi="仿宋" w:eastAsia="仿宋" w:cs="仿宋"/>
          <w:sz w:val="28"/>
          <w:highlight w:val="none"/>
          <w:lang w:eastAsia="zh-CN"/>
        </w:rPr>
        <w:t>安顺市平坝区城区北部</w:t>
      </w:r>
      <w:r>
        <w:rPr>
          <w:rFonts w:hint="eastAsia" w:ascii="仿宋" w:hAnsi="仿宋" w:eastAsia="仿宋" w:cs="仿宋"/>
          <w:sz w:val="28"/>
        </w:rPr>
        <w:t>；</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距离：</w:t>
      </w:r>
      <w:r>
        <w:rPr>
          <w:rFonts w:hint="eastAsia" w:ascii="仿宋" w:hAnsi="仿宋" w:eastAsia="仿宋" w:cs="仿宋"/>
          <w:sz w:val="28"/>
          <w:lang w:eastAsia="zh-CN"/>
        </w:rPr>
        <w:t>距离平坝区第一小学约</w:t>
      </w:r>
      <w:r>
        <w:rPr>
          <w:rFonts w:hint="eastAsia" w:ascii="仿宋" w:hAnsi="仿宋" w:eastAsia="仿宋" w:cs="仿宋"/>
          <w:sz w:val="28"/>
          <w:lang w:val="en-US" w:eastAsia="zh-CN"/>
        </w:rPr>
        <w:t>502米，</w:t>
      </w:r>
      <w:r>
        <w:rPr>
          <w:rFonts w:hint="eastAsia" w:ascii="仿宋" w:hAnsi="仿宋" w:eastAsia="仿宋" w:cs="仿宋"/>
          <w:sz w:val="28"/>
        </w:rPr>
        <w:t>距离</w:t>
      </w:r>
      <w:r>
        <w:rPr>
          <w:rFonts w:hint="eastAsia" w:ascii="仿宋" w:hAnsi="仿宋" w:eastAsia="仿宋" w:cs="仿宋"/>
          <w:sz w:val="28"/>
          <w:lang w:eastAsia="zh-CN"/>
        </w:rPr>
        <w:t>平坝区第二中学</w:t>
      </w:r>
      <w:r>
        <w:rPr>
          <w:rFonts w:hint="eastAsia" w:ascii="仿宋" w:hAnsi="仿宋" w:eastAsia="仿宋" w:cs="仿宋"/>
          <w:sz w:val="28"/>
        </w:rPr>
        <w:t>约</w:t>
      </w:r>
      <w:r>
        <w:rPr>
          <w:rFonts w:hint="eastAsia" w:ascii="仿宋" w:hAnsi="仿宋" w:eastAsia="仿宋" w:cs="仿宋"/>
          <w:sz w:val="28"/>
          <w:lang w:val="en-US" w:eastAsia="zh-CN"/>
        </w:rPr>
        <w:t>676</w:t>
      </w:r>
      <w:r>
        <w:rPr>
          <w:rFonts w:hint="eastAsia" w:ascii="仿宋" w:hAnsi="仿宋" w:eastAsia="仿宋" w:cs="仿宋"/>
          <w:sz w:val="28"/>
        </w:rPr>
        <w:t>米，</w:t>
      </w:r>
      <w:r>
        <w:rPr>
          <w:rFonts w:hint="eastAsia" w:ascii="仿宋" w:hAnsi="仿宋" w:eastAsia="仿宋" w:cs="仿宋"/>
          <w:sz w:val="28"/>
          <w:lang w:eastAsia="zh-CN"/>
        </w:rPr>
        <w:t>距离东门桥老一中约</w:t>
      </w:r>
      <w:r>
        <w:rPr>
          <w:rFonts w:hint="eastAsia" w:ascii="仿宋" w:hAnsi="仿宋" w:eastAsia="仿宋" w:cs="仿宋"/>
          <w:sz w:val="28"/>
          <w:lang w:val="en-US" w:eastAsia="zh-CN"/>
        </w:rPr>
        <w:t>592米；距离平坝博爱医院约872米，距离中国农业银行约753米，距离中国建设银行</w:t>
      </w:r>
      <w:r>
        <w:rPr>
          <w:rFonts w:hint="eastAsia" w:ascii="仿宋" w:hAnsi="仿宋" w:eastAsia="仿宋" w:cs="仿宋"/>
          <w:sz w:val="28"/>
          <w:lang w:eastAsia="zh-CN"/>
        </w:rPr>
        <w:t>约</w:t>
      </w:r>
      <w:r>
        <w:rPr>
          <w:rFonts w:hint="eastAsia" w:ascii="仿宋" w:hAnsi="仿宋" w:eastAsia="仿宋" w:cs="仿宋"/>
          <w:sz w:val="28"/>
          <w:lang w:val="en-US" w:eastAsia="zh-CN"/>
        </w:rPr>
        <w:t>848米，</w:t>
      </w:r>
      <w:r>
        <w:rPr>
          <w:rFonts w:hint="eastAsia" w:ascii="仿宋" w:hAnsi="仿宋" w:eastAsia="仿宋" w:cs="仿宋"/>
          <w:sz w:val="28"/>
        </w:rPr>
        <w:t>距离</w:t>
      </w:r>
      <w:r>
        <w:rPr>
          <w:rFonts w:hint="eastAsia" w:ascii="仿宋" w:hAnsi="仿宋" w:eastAsia="仿宋" w:cs="仿宋"/>
          <w:sz w:val="28"/>
          <w:lang w:eastAsia="zh-CN"/>
        </w:rPr>
        <w:t>森林公园约</w:t>
      </w:r>
      <w:r>
        <w:rPr>
          <w:rFonts w:hint="eastAsia" w:ascii="仿宋" w:hAnsi="仿宋" w:eastAsia="仿宋" w:cs="仿宋"/>
          <w:sz w:val="28"/>
          <w:lang w:val="en-US" w:eastAsia="zh-CN"/>
        </w:rPr>
        <w:t>1.7公里</w:t>
      </w:r>
      <w:r>
        <w:rPr>
          <w:rFonts w:hint="eastAsia" w:ascii="仿宋" w:hAnsi="仿宋" w:eastAsia="仿宋" w:cs="仿宋"/>
          <w:sz w:val="28"/>
        </w:rPr>
        <w:t>；</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朝向：</w:t>
      </w:r>
      <w:r>
        <w:rPr>
          <w:rFonts w:hint="eastAsia" w:ascii="仿宋" w:hAnsi="仿宋" w:eastAsia="仿宋" w:cs="仿宋"/>
          <w:sz w:val="28"/>
          <w:highlight w:val="none"/>
          <w:lang w:eastAsia="zh-CN"/>
        </w:rPr>
        <w:t>西</w:t>
      </w:r>
      <w:r>
        <w:rPr>
          <w:rFonts w:hint="eastAsia" w:ascii="仿宋" w:hAnsi="仿宋" w:eastAsia="仿宋" w:cs="仿宋"/>
          <w:sz w:val="28"/>
          <w:highlight w:val="none"/>
        </w:rPr>
        <w:t>朝向；</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楼层：位于第</w:t>
      </w:r>
      <w:r>
        <w:rPr>
          <w:rFonts w:hint="eastAsia" w:ascii="仿宋" w:hAnsi="仿宋" w:eastAsia="仿宋" w:cs="仿宋"/>
          <w:sz w:val="28"/>
          <w:lang w:val="en-US" w:eastAsia="zh-CN"/>
        </w:rPr>
        <w:t>1-3</w:t>
      </w:r>
      <w:r>
        <w:rPr>
          <w:rFonts w:hint="eastAsia" w:ascii="仿宋" w:hAnsi="仿宋" w:eastAsia="仿宋" w:cs="仿宋"/>
          <w:sz w:val="28"/>
        </w:rPr>
        <w:t>层</w:t>
      </w:r>
      <w:r>
        <w:rPr>
          <w:rFonts w:hint="eastAsia" w:ascii="仿宋" w:hAnsi="仿宋" w:eastAsia="仿宋" w:cs="仿宋"/>
          <w:sz w:val="28"/>
          <w:lang w:eastAsia="zh-CN"/>
        </w:rPr>
        <w:t>，</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临街状况：估价对象所在楼幢</w:t>
      </w:r>
      <w:r>
        <w:rPr>
          <w:rFonts w:hint="eastAsia" w:ascii="仿宋" w:hAnsi="仿宋" w:eastAsia="仿宋" w:cs="仿宋"/>
          <w:sz w:val="28"/>
          <w:highlight w:val="none"/>
          <w:lang w:eastAsia="zh-CN"/>
        </w:rPr>
        <w:t>不临街，所</w:t>
      </w:r>
      <w:r>
        <w:rPr>
          <w:rFonts w:hint="eastAsia" w:ascii="仿宋" w:hAnsi="仿宋" w:eastAsia="仿宋" w:cs="仿宋"/>
          <w:sz w:val="28"/>
          <w:highlight w:val="none"/>
        </w:rPr>
        <w:t>在楼幢临</w:t>
      </w:r>
      <w:r>
        <w:rPr>
          <w:rFonts w:hint="eastAsia" w:ascii="仿宋" w:hAnsi="仿宋" w:eastAsia="仿宋" w:cs="仿宋"/>
          <w:sz w:val="28"/>
          <w:highlight w:val="none"/>
          <w:lang w:eastAsia="zh-CN"/>
        </w:rPr>
        <w:t>巷道，巷道仅</w:t>
      </w:r>
      <w:r>
        <w:rPr>
          <w:rFonts w:hint="eastAsia" w:ascii="仿宋" w:hAnsi="仿宋" w:eastAsia="仿宋" w:cs="仿宋"/>
          <w:sz w:val="28"/>
          <w:highlight w:val="none"/>
          <w:lang w:val="en-US" w:eastAsia="zh-CN"/>
        </w:rPr>
        <w:t>1米左右宽度可通过</w:t>
      </w:r>
      <w:r>
        <w:rPr>
          <w:rFonts w:hint="eastAsia" w:ascii="仿宋" w:hAnsi="仿宋" w:eastAsia="仿宋" w:cs="仿宋"/>
          <w:sz w:val="28"/>
          <w:highlight w:val="none"/>
        </w:rPr>
        <w:t>；</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道路状况：区域内有</w:t>
      </w:r>
      <w:r>
        <w:rPr>
          <w:rFonts w:hint="eastAsia" w:ascii="仿宋" w:hAnsi="仿宋" w:eastAsia="仿宋" w:cs="仿宋"/>
          <w:sz w:val="28"/>
          <w:highlight w:val="none"/>
          <w:lang w:eastAsia="zh-CN"/>
        </w:rPr>
        <w:t>巷道、永乐北路</w:t>
      </w:r>
      <w:r>
        <w:rPr>
          <w:rFonts w:hint="eastAsia" w:ascii="仿宋" w:hAnsi="仿宋" w:eastAsia="仿宋" w:cs="仿宋"/>
          <w:sz w:val="28"/>
        </w:rPr>
        <w:t>等市政道路，路网密集度较</w:t>
      </w:r>
      <w:r>
        <w:rPr>
          <w:rFonts w:hint="eastAsia" w:ascii="仿宋" w:hAnsi="仿宋" w:eastAsia="仿宋" w:cs="仿宋"/>
          <w:sz w:val="28"/>
          <w:lang w:eastAsia="zh-CN"/>
        </w:rPr>
        <w:t>差</w:t>
      </w:r>
      <w:r>
        <w:rPr>
          <w:rFonts w:hint="eastAsia" w:ascii="仿宋" w:hAnsi="仿宋" w:eastAsia="仿宋" w:cs="仿宋"/>
          <w:sz w:val="28"/>
        </w:rPr>
        <w:t>，道路等级</w:t>
      </w:r>
      <w:r>
        <w:rPr>
          <w:rFonts w:hint="eastAsia" w:ascii="仿宋" w:hAnsi="仿宋" w:eastAsia="仿宋" w:cs="仿宋"/>
          <w:sz w:val="28"/>
          <w:lang w:eastAsia="zh-CN"/>
        </w:rPr>
        <w:t>一般</w:t>
      </w:r>
      <w:r>
        <w:rPr>
          <w:rFonts w:hint="eastAsia" w:ascii="仿宋" w:hAnsi="仿宋" w:eastAsia="仿宋" w:cs="仿宋"/>
          <w:sz w:val="28"/>
        </w:rPr>
        <w:t>；</w:t>
      </w:r>
    </w:p>
    <w:p>
      <w:pPr>
        <w:pageBreakBefore w:val="0"/>
        <w:tabs>
          <w:tab w:val="left" w:pos="180"/>
        </w:tabs>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交通工具：</w:t>
      </w:r>
      <w:r>
        <w:rPr>
          <w:rFonts w:hint="eastAsia" w:ascii="仿宋" w:hAnsi="仿宋" w:eastAsia="仿宋" w:cs="仿宋"/>
          <w:sz w:val="28"/>
          <w:lang w:eastAsia="zh-CN"/>
        </w:rPr>
        <w:t>中巴车及私家车</w:t>
      </w:r>
      <w:r>
        <w:rPr>
          <w:rFonts w:hint="eastAsia" w:ascii="仿宋" w:hAnsi="仿宋" w:eastAsia="仿宋" w:cs="仿宋"/>
          <w:sz w:val="28"/>
        </w:rPr>
        <w:t>经过该区域，距离</w:t>
      </w:r>
      <w:r>
        <w:rPr>
          <w:rFonts w:hint="eastAsia" w:ascii="仿宋" w:hAnsi="仿宋" w:eastAsia="仿宋" w:cs="仿宋"/>
          <w:sz w:val="28"/>
          <w:lang w:eastAsia="zh-CN"/>
        </w:rPr>
        <w:t>西门客运站</w:t>
      </w:r>
      <w:r>
        <w:rPr>
          <w:rFonts w:hint="eastAsia" w:ascii="仿宋" w:hAnsi="仿宋" w:eastAsia="仿宋" w:cs="仿宋"/>
          <w:sz w:val="28"/>
        </w:rPr>
        <w:t>约</w:t>
      </w:r>
      <w:r>
        <w:rPr>
          <w:rFonts w:hint="eastAsia" w:ascii="仿宋" w:hAnsi="仿宋" w:eastAsia="仿宋" w:cs="仿宋"/>
          <w:sz w:val="28"/>
          <w:lang w:val="en-US" w:eastAsia="zh-CN"/>
        </w:rPr>
        <w:t>1.1公里</w:t>
      </w:r>
      <w:r>
        <w:rPr>
          <w:rFonts w:hint="eastAsia" w:ascii="仿宋" w:hAnsi="仿宋" w:eastAsia="仿宋" w:cs="仿宋"/>
          <w:sz w:val="28"/>
        </w:rPr>
        <w:t>，内外交通</w:t>
      </w:r>
      <w:r>
        <w:rPr>
          <w:rFonts w:hint="eastAsia" w:ascii="仿宋" w:hAnsi="仿宋" w:eastAsia="仿宋" w:cs="仿宋"/>
          <w:sz w:val="28"/>
          <w:lang w:eastAsia="zh-CN"/>
        </w:rPr>
        <w:t>一般</w:t>
      </w:r>
      <w:r>
        <w:rPr>
          <w:rFonts w:hint="eastAsia" w:ascii="仿宋" w:hAnsi="仿宋" w:eastAsia="仿宋" w:cs="仿宋"/>
          <w:sz w:val="28"/>
        </w:rPr>
        <w:t>；</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交通管制状况:区域内</w:t>
      </w:r>
      <w:r>
        <w:rPr>
          <w:rFonts w:hint="eastAsia" w:ascii="仿宋" w:hAnsi="仿宋" w:eastAsia="仿宋" w:cs="仿宋"/>
          <w:sz w:val="28"/>
          <w:lang w:eastAsia="zh-CN"/>
        </w:rPr>
        <w:t>无</w:t>
      </w:r>
      <w:r>
        <w:rPr>
          <w:rFonts w:hint="eastAsia" w:ascii="仿宋" w:hAnsi="仿宋" w:eastAsia="仿宋" w:cs="仿宋"/>
          <w:sz w:val="28"/>
        </w:rPr>
        <w:t>单行道、车辆限行等交通管制状况，交通较畅通；</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highlight w:val="none"/>
        </w:rPr>
        <w:t>停车状况：</w:t>
      </w:r>
      <w:r>
        <w:rPr>
          <w:rFonts w:hint="eastAsia" w:ascii="仿宋" w:hAnsi="仿宋" w:eastAsia="仿宋" w:cs="仿宋"/>
          <w:sz w:val="28"/>
          <w:highlight w:val="none"/>
          <w:lang w:eastAsia="zh-CN"/>
        </w:rPr>
        <w:t>估价对象</w:t>
      </w:r>
      <w:r>
        <w:rPr>
          <w:rFonts w:hint="eastAsia" w:ascii="仿宋" w:hAnsi="仿宋" w:eastAsia="仿宋" w:cs="仿宋"/>
          <w:sz w:val="28"/>
          <w:highlight w:val="none"/>
        </w:rPr>
        <w:t>所在</w:t>
      </w:r>
      <w:r>
        <w:rPr>
          <w:rFonts w:hint="eastAsia" w:ascii="仿宋" w:hAnsi="仿宋" w:eastAsia="仿宋" w:cs="仿宋"/>
          <w:sz w:val="28"/>
          <w:highlight w:val="none"/>
          <w:lang w:eastAsia="zh-CN"/>
        </w:rPr>
        <w:t>小区</w:t>
      </w:r>
      <w:r>
        <w:rPr>
          <w:rFonts w:hint="eastAsia" w:ascii="仿宋" w:hAnsi="仿宋" w:eastAsia="仿宋" w:cs="仿宋"/>
          <w:sz w:val="28"/>
          <w:highlight w:val="none"/>
        </w:rPr>
        <w:t>区域</w:t>
      </w:r>
      <w:r>
        <w:rPr>
          <w:rFonts w:hint="eastAsia" w:ascii="仿宋" w:hAnsi="仿宋" w:eastAsia="仿宋" w:cs="仿宋"/>
          <w:sz w:val="28"/>
        </w:rPr>
        <w:t>车位数量</w:t>
      </w:r>
      <w:r>
        <w:rPr>
          <w:rFonts w:hint="eastAsia" w:ascii="仿宋" w:hAnsi="仿宋" w:eastAsia="仿宋" w:cs="仿宋"/>
          <w:sz w:val="28"/>
          <w:lang w:eastAsia="zh-CN"/>
        </w:rPr>
        <w:t>较少</w:t>
      </w:r>
      <w:r>
        <w:rPr>
          <w:rFonts w:hint="eastAsia" w:ascii="仿宋" w:hAnsi="仿宋" w:eastAsia="仿宋" w:cs="仿宋"/>
          <w:sz w:val="28"/>
        </w:rPr>
        <w:t>，停车便捷度</w:t>
      </w:r>
      <w:r>
        <w:rPr>
          <w:rFonts w:hint="eastAsia" w:ascii="仿宋" w:hAnsi="仿宋" w:eastAsia="仿宋" w:cs="仿宋"/>
          <w:sz w:val="28"/>
          <w:lang w:eastAsia="zh-CN"/>
        </w:rPr>
        <w:t>一般</w:t>
      </w:r>
      <w:r>
        <w:rPr>
          <w:rFonts w:hint="eastAsia" w:ascii="仿宋" w:hAnsi="仿宋" w:eastAsia="仿宋" w:cs="仿宋"/>
          <w:sz w:val="28"/>
        </w:rPr>
        <w:t>。</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3、周围环境和景观</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自然环境：区域内街道较整洁，无明显大气、水文等污染，环境状况</w:t>
      </w:r>
      <w:r>
        <w:rPr>
          <w:rFonts w:hint="eastAsia" w:ascii="仿宋" w:hAnsi="仿宋" w:eastAsia="仿宋" w:cs="仿宋"/>
          <w:sz w:val="28"/>
          <w:lang w:eastAsia="zh-CN"/>
        </w:rPr>
        <w:t>较好</w:t>
      </w:r>
      <w:r>
        <w:rPr>
          <w:rFonts w:hint="eastAsia" w:ascii="仿宋" w:hAnsi="仿宋" w:eastAsia="仿宋" w:cs="仿宋"/>
          <w:sz w:val="28"/>
        </w:rPr>
        <w:t>；</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人文环境：所在区域为</w:t>
      </w:r>
      <w:r>
        <w:rPr>
          <w:rFonts w:hint="eastAsia" w:ascii="仿宋" w:hAnsi="仿宋" w:eastAsia="仿宋" w:cs="仿宋"/>
          <w:sz w:val="28"/>
          <w:highlight w:val="none"/>
          <w:lang w:eastAsia="zh-CN"/>
        </w:rPr>
        <w:t>安顺市平坝区城区北部</w:t>
      </w:r>
      <w:r>
        <w:rPr>
          <w:rFonts w:hint="eastAsia" w:ascii="仿宋" w:hAnsi="仿宋" w:eastAsia="仿宋" w:cs="仿宋"/>
          <w:sz w:val="28"/>
        </w:rPr>
        <w:t>，居民以中等收入者为主，治安状况较好。相邻房地产</w:t>
      </w:r>
      <w:r>
        <w:rPr>
          <w:rFonts w:hint="eastAsia" w:ascii="仿宋" w:hAnsi="仿宋" w:eastAsia="仿宋" w:cs="仿宋"/>
          <w:sz w:val="28"/>
          <w:lang w:eastAsia="zh-CN"/>
        </w:rPr>
        <w:t>多</w:t>
      </w:r>
      <w:r>
        <w:rPr>
          <w:rFonts w:hint="eastAsia" w:ascii="仿宋" w:hAnsi="仿宋" w:eastAsia="仿宋" w:cs="仿宋"/>
          <w:sz w:val="28"/>
        </w:rPr>
        <w:t>以</w:t>
      </w:r>
      <w:r>
        <w:rPr>
          <w:rFonts w:hint="eastAsia" w:ascii="仿宋" w:hAnsi="仿宋" w:eastAsia="仿宋" w:cs="仿宋"/>
          <w:sz w:val="28"/>
          <w:lang w:eastAsia="zh-CN"/>
        </w:rPr>
        <w:t>自建房</w:t>
      </w:r>
      <w:r>
        <w:rPr>
          <w:rFonts w:hint="eastAsia" w:ascii="仿宋" w:hAnsi="仿宋" w:eastAsia="仿宋" w:cs="仿宋"/>
          <w:sz w:val="28"/>
        </w:rPr>
        <w:t>为主，区域内</w:t>
      </w:r>
      <w:r>
        <w:rPr>
          <w:rFonts w:hint="eastAsia" w:ascii="仿宋" w:hAnsi="仿宋" w:eastAsia="仿宋" w:cs="仿宋"/>
          <w:sz w:val="28"/>
          <w:lang w:eastAsia="zh-CN"/>
        </w:rPr>
        <w:t>自建房房屋居多，</w:t>
      </w:r>
      <w:r>
        <w:rPr>
          <w:rFonts w:hint="eastAsia" w:ascii="仿宋" w:hAnsi="仿宋" w:eastAsia="仿宋" w:cs="仿宋"/>
          <w:sz w:val="28"/>
        </w:rPr>
        <w:t>楼</w:t>
      </w:r>
      <w:r>
        <w:rPr>
          <w:rFonts w:hint="eastAsia" w:ascii="仿宋" w:hAnsi="仿宋" w:eastAsia="仿宋" w:cs="仿宋"/>
          <w:sz w:val="28"/>
          <w:lang w:eastAsia="zh-CN"/>
        </w:rPr>
        <w:t>栋</w:t>
      </w:r>
      <w:r>
        <w:rPr>
          <w:rFonts w:hint="eastAsia" w:ascii="仿宋" w:hAnsi="仿宋" w:eastAsia="仿宋" w:cs="仿宋"/>
          <w:sz w:val="28"/>
        </w:rPr>
        <w:t>聚集度较高，居住氛围较好；</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景观：区域</w:t>
      </w:r>
      <w:r>
        <w:rPr>
          <w:rFonts w:hint="eastAsia" w:ascii="仿宋" w:hAnsi="仿宋" w:eastAsia="仿宋" w:cs="仿宋"/>
          <w:sz w:val="28"/>
          <w:lang w:eastAsia="zh-CN"/>
        </w:rPr>
        <w:t>为未改造的居民区</w:t>
      </w:r>
      <w:r>
        <w:rPr>
          <w:rFonts w:hint="eastAsia" w:ascii="仿宋" w:hAnsi="仿宋" w:eastAsia="仿宋" w:cs="仿宋"/>
          <w:sz w:val="28"/>
        </w:rPr>
        <w:t>，景观</w:t>
      </w:r>
      <w:r>
        <w:rPr>
          <w:rFonts w:hint="eastAsia" w:ascii="仿宋" w:hAnsi="仿宋" w:eastAsia="仿宋" w:cs="仿宋"/>
          <w:sz w:val="28"/>
          <w:lang w:eastAsia="zh-CN"/>
        </w:rPr>
        <w:t>一般</w:t>
      </w:r>
      <w:r>
        <w:rPr>
          <w:rFonts w:hint="eastAsia" w:ascii="仿宋" w:hAnsi="仿宋" w:eastAsia="仿宋" w:cs="仿宋"/>
          <w:sz w:val="28"/>
        </w:rPr>
        <w:t>。</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4、外部配套设施</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基础设施：估价对象所在区</w:t>
      </w:r>
      <w:r>
        <w:rPr>
          <w:rFonts w:hint="eastAsia" w:ascii="仿宋" w:hAnsi="仿宋" w:eastAsia="仿宋" w:cs="仿宋"/>
          <w:sz w:val="28"/>
          <w:lang w:eastAsia="zh-CN"/>
        </w:rPr>
        <w:t>域</w:t>
      </w:r>
      <w:r>
        <w:rPr>
          <w:rFonts w:hint="eastAsia" w:ascii="仿宋" w:hAnsi="仿宋" w:eastAsia="仿宋" w:cs="仿宋"/>
          <w:sz w:val="28"/>
        </w:rPr>
        <w:t>已达到了“</w:t>
      </w:r>
      <w:r>
        <w:rPr>
          <w:rFonts w:hint="eastAsia" w:ascii="仿宋" w:hAnsi="仿宋" w:eastAsia="仿宋" w:cs="仿宋"/>
          <w:sz w:val="28"/>
          <w:lang w:eastAsia="zh-CN"/>
        </w:rPr>
        <w:t>五</w:t>
      </w:r>
      <w:r>
        <w:rPr>
          <w:rFonts w:hint="eastAsia" w:ascii="仿宋" w:hAnsi="仿宋" w:eastAsia="仿宋" w:cs="仿宋"/>
          <w:sz w:val="28"/>
        </w:rPr>
        <w:t>通一平”，水、电、路、通讯等基础设施完备；</w:t>
      </w:r>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rPr>
        <w:t>公共服务设施：估价对象区域内有</w:t>
      </w:r>
      <w:r>
        <w:rPr>
          <w:rFonts w:hint="eastAsia" w:ascii="仿宋" w:hAnsi="仿宋" w:eastAsia="仿宋" w:cs="仿宋"/>
          <w:sz w:val="28"/>
          <w:lang w:eastAsia="zh-CN"/>
        </w:rPr>
        <w:t>平坝区第一小学，平坝区第二中学，东门桥老一中</w:t>
      </w:r>
      <w:r>
        <w:rPr>
          <w:rFonts w:hint="eastAsia" w:ascii="仿宋" w:hAnsi="仿宋" w:eastAsia="仿宋" w:cs="仿宋"/>
          <w:sz w:val="28"/>
          <w:lang w:val="en-US" w:eastAsia="zh-CN"/>
        </w:rPr>
        <w:t>等教育机构</w:t>
      </w:r>
      <w:r>
        <w:rPr>
          <w:rFonts w:hint="eastAsia" w:ascii="仿宋" w:hAnsi="仿宋" w:eastAsia="仿宋" w:cs="仿宋"/>
          <w:sz w:val="28"/>
        </w:rPr>
        <w:t>；有</w:t>
      </w:r>
      <w:r>
        <w:rPr>
          <w:rFonts w:hint="eastAsia" w:ascii="仿宋" w:hAnsi="仿宋" w:eastAsia="仿宋" w:cs="仿宋"/>
          <w:sz w:val="28"/>
          <w:lang w:val="en-US" w:eastAsia="zh-CN"/>
        </w:rPr>
        <w:t>平坝博爱医院</w:t>
      </w:r>
      <w:r>
        <w:rPr>
          <w:rFonts w:hint="eastAsia" w:ascii="仿宋" w:hAnsi="仿宋" w:eastAsia="仿宋" w:cs="仿宋"/>
          <w:sz w:val="28"/>
        </w:rPr>
        <w:t>等医疗场所；有</w:t>
      </w:r>
      <w:r>
        <w:rPr>
          <w:rFonts w:hint="eastAsia" w:ascii="仿宋" w:hAnsi="仿宋" w:eastAsia="仿宋" w:cs="仿宋"/>
          <w:sz w:val="28"/>
          <w:lang w:val="en-US" w:eastAsia="zh-CN"/>
        </w:rPr>
        <w:t>中国农业银行</w:t>
      </w:r>
      <w:r>
        <w:rPr>
          <w:rFonts w:hint="eastAsia" w:ascii="仿宋" w:hAnsi="仿宋" w:eastAsia="仿宋" w:cs="仿宋"/>
          <w:sz w:val="28"/>
          <w:lang w:eastAsia="zh-CN"/>
        </w:rPr>
        <w:t>，</w:t>
      </w:r>
      <w:r>
        <w:rPr>
          <w:rFonts w:hint="eastAsia" w:ascii="仿宋" w:hAnsi="仿宋" w:eastAsia="仿宋" w:cs="仿宋"/>
          <w:sz w:val="28"/>
          <w:lang w:val="en-US" w:eastAsia="zh-CN"/>
        </w:rPr>
        <w:t>中国建设银行</w:t>
      </w:r>
      <w:r>
        <w:rPr>
          <w:rFonts w:hint="eastAsia" w:ascii="仿宋" w:hAnsi="仿宋" w:eastAsia="仿宋" w:cs="仿宋"/>
          <w:sz w:val="28"/>
        </w:rPr>
        <w:t>等金融场所；商业服务主要以附近的</w:t>
      </w:r>
      <w:r>
        <w:rPr>
          <w:rFonts w:hint="eastAsia" w:ascii="仿宋" w:hAnsi="仿宋" w:eastAsia="仿宋" w:cs="仿宋"/>
          <w:sz w:val="28"/>
          <w:lang w:eastAsia="zh-CN"/>
        </w:rPr>
        <w:t>绿谷购物超市，华联万家超市，忠平超市，</w:t>
      </w:r>
      <w:r>
        <w:rPr>
          <w:rFonts w:hint="eastAsia" w:ascii="仿宋" w:hAnsi="仿宋" w:eastAsia="仿宋" w:cs="仿宋"/>
          <w:sz w:val="28"/>
        </w:rPr>
        <w:t>周边沿街底商及本小区配套的商业等为主，周边有</w:t>
      </w:r>
      <w:r>
        <w:rPr>
          <w:rFonts w:hint="eastAsia" w:ascii="仿宋" w:hAnsi="仿宋" w:eastAsia="仿宋" w:cs="仿宋"/>
          <w:sz w:val="28"/>
          <w:lang w:eastAsia="zh-CN"/>
        </w:rPr>
        <w:t>森林公园</w:t>
      </w:r>
      <w:r>
        <w:rPr>
          <w:rFonts w:hint="eastAsia" w:ascii="仿宋" w:hAnsi="仿宋" w:eastAsia="仿宋" w:cs="仿宋"/>
          <w:sz w:val="28"/>
        </w:rPr>
        <w:t>等休闲娱乐场所。</w:t>
      </w:r>
    </w:p>
    <w:p>
      <w:pPr>
        <w:pStyle w:val="3"/>
        <w:pageBreakBefore w:val="0"/>
        <w:widowControl w:val="0"/>
        <w:numPr>
          <w:ilvl w:val="0"/>
          <w:numId w:val="5"/>
        </w:numPr>
        <w:kinsoku/>
        <w:wordWrap/>
        <w:overflowPunct/>
        <w:topLinePunct w:val="0"/>
        <w:autoSpaceDE/>
        <w:autoSpaceDN/>
        <w:bidi w:val="0"/>
        <w:adjustRightInd w:val="0"/>
        <w:snapToGrid w:val="0"/>
        <w:spacing w:line="540" w:lineRule="exact"/>
        <w:rPr>
          <w:rFonts w:hint="eastAsia" w:ascii="仿宋" w:hAnsi="仿宋" w:eastAsia="仿宋" w:cs="仿宋"/>
          <w:snapToGrid w:val="0"/>
          <w:sz w:val="28"/>
          <w:szCs w:val="28"/>
          <w:highlight w:val="none"/>
        </w:rPr>
      </w:pPr>
      <w:bookmarkStart w:id="50" w:name="_Toc32534"/>
      <w:bookmarkStart w:id="51" w:name="_Toc26564"/>
      <w:bookmarkStart w:id="52" w:name="_Toc437853093"/>
      <w:bookmarkStart w:id="53" w:name="_Toc14990"/>
      <w:bookmarkStart w:id="54" w:name="_Toc5994"/>
      <w:bookmarkStart w:id="55" w:name="_Toc9777"/>
      <w:bookmarkStart w:id="56" w:name="_Toc29991"/>
      <w:r>
        <w:rPr>
          <w:rFonts w:hint="eastAsia" w:ascii="仿宋" w:hAnsi="仿宋" w:eastAsia="仿宋" w:cs="仿宋"/>
          <w:snapToGrid w:val="0"/>
          <w:sz w:val="28"/>
          <w:szCs w:val="28"/>
          <w:highlight w:val="none"/>
        </w:rPr>
        <w:t>估价目的</w:t>
      </w:r>
      <w:bookmarkEnd w:id="49"/>
      <w:bookmarkEnd w:id="50"/>
      <w:bookmarkEnd w:id="51"/>
      <w:bookmarkEnd w:id="52"/>
      <w:bookmarkEnd w:id="53"/>
      <w:bookmarkEnd w:id="54"/>
      <w:bookmarkEnd w:id="55"/>
      <w:bookmarkEnd w:id="56"/>
    </w:p>
    <w:p>
      <w:pPr>
        <w:pageBreakBefore w:val="0"/>
        <w:widowControl w:val="0"/>
        <w:kinsoku/>
        <w:wordWrap/>
        <w:overflowPunct/>
        <w:topLinePunct w:val="0"/>
        <w:autoSpaceDE/>
        <w:autoSpaceDN/>
        <w:bidi w:val="0"/>
        <w:spacing w:line="540" w:lineRule="exact"/>
        <w:ind w:firstLine="566" w:firstLineChars="200"/>
        <w:rPr>
          <w:rFonts w:hint="eastAsia" w:ascii="仿宋" w:hAnsi="仿宋" w:eastAsia="仿宋" w:cs="仿宋"/>
          <w:sz w:val="28"/>
          <w:szCs w:val="28"/>
          <w:highlight w:val="none"/>
        </w:rPr>
      </w:pPr>
      <w:r>
        <w:rPr>
          <w:rFonts w:hint="eastAsia" w:ascii="仿宋" w:hAnsi="仿宋" w:eastAsia="仿宋"/>
          <w:sz w:val="28"/>
          <w:highlight w:val="none"/>
        </w:rPr>
        <w:t>本次估价目的是为司法拍卖（变卖）提供房地产市场价值参考依据</w:t>
      </w:r>
      <w:r>
        <w:rPr>
          <w:rFonts w:hint="eastAsia" w:ascii="仿宋" w:hAnsi="仿宋" w:eastAsia="仿宋" w:cs="仿宋"/>
          <w:sz w:val="28"/>
          <w:szCs w:val="28"/>
          <w:highlight w:val="none"/>
        </w:rPr>
        <w:t>。</w:t>
      </w:r>
    </w:p>
    <w:p>
      <w:pPr>
        <w:pStyle w:val="3"/>
        <w:pageBreakBefore w:val="0"/>
        <w:widowControl w:val="0"/>
        <w:kinsoku/>
        <w:wordWrap/>
        <w:overflowPunct/>
        <w:topLinePunct w:val="0"/>
        <w:autoSpaceDE/>
        <w:autoSpaceDN/>
        <w:bidi w:val="0"/>
        <w:adjustRightInd w:val="0"/>
        <w:snapToGrid w:val="0"/>
        <w:spacing w:line="540" w:lineRule="exact"/>
        <w:rPr>
          <w:rFonts w:hint="eastAsia" w:ascii="仿宋" w:hAnsi="仿宋" w:eastAsia="仿宋" w:cs="仿宋"/>
          <w:snapToGrid w:val="0"/>
          <w:sz w:val="28"/>
          <w:szCs w:val="28"/>
          <w:highlight w:val="none"/>
        </w:rPr>
      </w:pPr>
      <w:bookmarkStart w:id="57" w:name="_Toc408527830"/>
      <w:bookmarkStart w:id="58" w:name="_Toc17384"/>
      <w:bookmarkStart w:id="59" w:name="_Toc31821"/>
      <w:bookmarkStart w:id="60" w:name="_Toc437853094"/>
      <w:bookmarkStart w:id="61" w:name="_Toc26767"/>
      <w:bookmarkStart w:id="62" w:name="_Toc16829"/>
      <w:bookmarkStart w:id="63" w:name="_Toc3378"/>
      <w:bookmarkStart w:id="64" w:name="_Toc18848"/>
      <w:r>
        <w:rPr>
          <w:rFonts w:hint="eastAsia" w:ascii="仿宋" w:hAnsi="仿宋" w:eastAsia="仿宋" w:cs="仿宋"/>
          <w:snapToGrid w:val="0"/>
          <w:sz w:val="28"/>
          <w:szCs w:val="28"/>
          <w:highlight w:val="none"/>
        </w:rPr>
        <w:t>五、价值时点</w:t>
      </w:r>
      <w:bookmarkEnd w:id="57"/>
      <w:bookmarkEnd w:id="58"/>
      <w:bookmarkEnd w:id="59"/>
      <w:bookmarkEnd w:id="60"/>
      <w:bookmarkEnd w:id="61"/>
      <w:bookmarkEnd w:id="62"/>
      <w:bookmarkEnd w:id="63"/>
      <w:bookmarkEnd w:id="64"/>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本次估价的价值时点为</w:t>
      </w:r>
      <w:r>
        <w:rPr>
          <w:rFonts w:hint="eastAsia" w:ascii="仿宋" w:hAnsi="仿宋" w:eastAsia="仿宋" w:cs="仿宋"/>
          <w:sz w:val="28"/>
          <w:highlight w:val="none"/>
          <w:lang w:eastAsia="zh-CN"/>
        </w:rPr>
        <w:t>2020年01月17日</w:t>
      </w:r>
      <w:r>
        <w:rPr>
          <w:rFonts w:hint="eastAsia" w:ascii="仿宋" w:hAnsi="仿宋" w:eastAsia="仿宋" w:cs="仿宋"/>
          <w:sz w:val="28"/>
          <w:highlight w:val="none"/>
        </w:rPr>
        <w:t>。</w:t>
      </w:r>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w:t>
      </w:r>
      <w:r>
        <w:rPr>
          <w:rFonts w:hint="eastAsia" w:ascii="仿宋" w:hAnsi="仿宋" w:eastAsia="仿宋" w:cs="仿宋"/>
          <w:sz w:val="28"/>
          <w:highlight w:val="none"/>
          <w:lang w:eastAsia="zh-CN"/>
        </w:rPr>
        <w:t>安顺市平坝区人民法院委托评估函</w:t>
      </w:r>
      <w:r>
        <w:rPr>
          <w:rFonts w:hint="eastAsia" w:ascii="仿宋" w:hAnsi="仿宋" w:eastAsia="仿宋" w:cs="仿宋"/>
          <w:sz w:val="28"/>
          <w:highlight w:val="none"/>
        </w:rPr>
        <w:t>》[</w:t>
      </w:r>
      <w:r>
        <w:rPr>
          <w:rFonts w:hint="eastAsia" w:ascii="仿宋" w:hAnsi="仿宋" w:eastAsia="仿宋" w:cs="仿宋"/>
          <w:sz w:val="28"/>
          <w:highlight w:val="none"/>
          <w:lang w:eastAsia="zh-CN"/>
        </w:rPr>
        <w:t>（2019）平法委评</w:t>
      </w:r>
      <w:r>
        <w:rPr>
          <w:rFonts w:hint="eastAsia" w:ascii="仿宋" w:hAnsi="仿宋" w:eastAsia="仿宋" w:cs="仿宋"/>
          <w:sz w:val="28"/>
          <w:highlight w:val="none"/>
          <w:lang w:val="en-US" w:eastAsia="zh-CN"/>
        </w:rPr>
        <w:t>81</w:t>
      </w:r>
      <w:r>
        <w:rPr>
          <w:rFonts w:hint="eastAsia" w:ascii="仿宋" w:hAnsi="仿宋" w:eastAsia="仿宋" w:cs="仿宋"/>
          <w:sz w:val="28"/>
          <w:highlight w:val="none"/>
          <w:lang w:eastAsia="zh-CN"/>
        </w:rPr>
        <w:t>号</w:t>
      </w:r>
      <w:r>
        <w:rPr>
          <w:rFonts w:hint="eastAsia" w:ascii="仿宋" w:hAnsi="仿宋" w:eastAsia="仿宋" w:cs="仿宋"/>
          <w:sz w:val="28"/>
          <w:highlight w:val="none"/>
        </w:rPr>
        <w:t>]明确</w:t>
      </w:r>
      <w:r>
        <w:rPr>
          <w:rFonts w:hint="eastAsia" w:ascii="仿宋" w:hAnsi="仿宋" w:eastAsia="仿宋"/>
          <w:sz w:val="28"/>
        </w:rPr>
        <w:t>本次估价的价值时点确定为</w:t>
      </w:r>
      <w:r>
        <w:rPr>
          <w:rFonts w:hint="eastAsia" w:ascii="仿宋" w:hAnsi="仿宋" w:eastAsia="仿宋"/>
          <w:sz w:val="28"/>
          <w:lang w:eastAsia="zh-CN"/>
        </w:rPr>
        <w:t>委托评估</w:t>
      </w:r>
      <w:r>
        <w:rPr>
          <w:rFonts w:hint="eastAsia" w:ascii="仿宋" w:hAnsi="仿宋" w:eastAsia="仿宋"/>
          <w:sz w:val="28"/>
        </w:rPr>
        <w:t>之日</w:t>
      </w:r>
      <w:r>
        <w:rPr>
          <w:rFonts w:hint="eastAsia" w:ascii="仿宋" w:hAnsi="仿宋" w:eastAsia="仿宋" w:cs="仿宋"/>
          <w:sz w:val="28"/>
          <w:highlight w:val="none"/>
        </w:rPr>
        <w:t>。</w:t>
      </w:r>
    </w:p>
    <w:p>
      <w:pPr>
        <w:pStyle w:val="3"/>
        <w:pageBreakBefore w:val="0"/>
        <w:widowControl w:val="0"/>
        <w:kinsoku/>
        <w:wordWrap/>
        <w:overflowPunct/>
        <w:topLinePunct w:val="0"/>
        <w:autoSpaceDE/>
        <w:autoSpaceDN/>
        <w:bidi w:val="0"/>
        <w:adjustRightInd w:val="0"/>
        <w:snapToGrid w:val="0"/>
        <w:spacing w:line="540" w:lineRule="exact"/>
        <w:rPr>
          <w:rFonts w:hint="eastAsia" w:ascii="仿宋" w:hAnsi="仿宋" w:eastAsia="仿宋" w:cs="仿宋"/>
          <w:snapToGrid w:val="0"/>
          <w:sz w:val="28"/>
          <w:szCs w:val="28"/>
          <w:highlight w:val="none"/>
        </w:rPr>
      </w:pPr>
      <w:bookmarkStart w:id="65" w:name="_Toc408527831"/>
      <w:bookmarkStart w:id="66" w:name="_Toc4846"/>
      <w:bookmarkStart w:id="67" w:name="_Toc27107"/>
      <w:bookmarkStart w:id="68" w:name="_Toc437853095"/>
      <w:bookmarkStart w:id="69" w:name="_Toc21136"/>
      <w:bookmarkStart w:id="70" w:name="_Toc22672"/>
      <w:bookmarkStart w:id="71" w:name="_Toc23436"/>
      <w:bookmarkStart w:id="72" w:name="_Toc13789"/>
      <w:r>
        <w:rPr>
          <w:rFonts w:hint="eastAsia" w:ascii="仿宋" w:hAnsi="仿宋" w:eastAsia="仿宋" w:cs="仿宋"/>
          <w:snapToGrid w:val="0"/>
          <w:sz w:val="28"/>
          <w:szCs w:val="28"/>
          <w:highlight w:val="none"/>
        </w:rPr>
        <w:t>六、价值类型</w:t>
      </w:r>
      <w:bookmarkEnd w:id="65"/>
      <w:bookmarkEnd w:id="66"/>
      <w:bookmarkEnd w:id="67"/>
      <w:bookmarkEnd w:id="68"/>
      <w:bookmarkEnd w:id="69"/>
      <w:bookmarkEnd w:id="70"/>
      <w:bookmarkEnd w:id="71"/>
      <w:bookmarkEnd w:id="72"/>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本次估价的价值类型为市场价值，市场价值是指估价对象经适当营销后，由熟悉情况、谨慎行事且不受强迫的交易双方，以公平交易的方式在价值时点自愿进行交易的金额。房地产市场价值的具体内涵如下：</w:t>
      </w:r>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(1)包含建筑物所有权价值（包含室内装饰装修价值）和所分摊或占用的土地使用权价值。实物状况、权益状况及区位状况如前述“估价对象”中所描述。</w:t>
      </w:r>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(2)本次估价设定在交易过程中，由</w:t>
      </w:r>
      <w:r>
        <w:rPr>
          <w:rFonts w:hint="eastAsia" w:ascii="仿宋" w:hAnsi="仿宋" w:eastAsia="仿宋" w:cs="仿宋"/>
          <w:sz w:val="28"/>
          <w:highlight w:val="none"/>
          <w:lang w:eastAsia="zh-CN"/>
        </w:rPr>
        <w:t>买</w:t>
      </w:r>
      <w:r>
        <w:rPr>
          <w:rFonts w:hint="eastAsia" w:ascii="仿宋" w:hAnsi="仿宋" w:eastAsia="仿宋" w:cs="仿宋"/>
          <w:sz w:val="28"/>
          <w:highlight w:val="none"/>
        </w:rPr>
        <w:t>方承担在交易过程中应缴纳的交易税费。</w:t>
      </w:r>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(3)不考虑房地产查封及房地产上原有的担保物权和其他优先受偿权因素的影响。</w:t>
      </w:r>
    </w:p>
    <w:p>
      <w:pPr>
        <w:pageBreakBefore w:val="0"/>
        <w:widowControl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highlight w:val="none"/>
        </w:rPr>
      </w:pPr>
      <w:r>
        <w:rPr>
          <w:rFonts w:hint="eastAsia" w:ascii="仿宋" w:hAnsi="仿宋" w:eastAsia="仿宋" w:cs="仿宋"/>
          <w:sz w:val="28"/>
          <w:highlight w:val="none"/>
        </w:rPr>
        <w:t>(4)计价币别：人民币。</w:t>
      </w:r>
    </w:p>
    <w:p>
      <w:pPr>
        <w:pStyle w:val="3"/>
        <w:pageBreakBefore w:val="0"/>
        <w:widowControl w:val="0"/>
        <w:kinsoku/>
        <w:wordWrap/>
        <w:overflowPunct/>
        <w:topLinePunct w:val="0"/>
        <w:autoSpaceDE/>
        <w:autoSpaceDN/>
        <w:bidi w:val="0"/>
        <w:adjustRightInd w:val="0"/>
        <w:snapToGrid w:val="0"/>
        <w:spacing w:line="540" w:lineRule="exact"/>
        <w:rPr>
          <w:rFonts w:hint="eastAsia" w:ascii="仿宋" w:hAnsi="仿宋" w:eastAsia="仿宋" w:cs="仿宋"/>
          <w:snapToGrid w:val="0"/>
          <w:sz w:val="28"/>
          <w:szCs w:val="28"/>
          <w:highlight w:val="none"/>
        </w:rPr>
      </w:pPr>
      <w:bookmarkStart w:id="73" w:name="_Toc408527832"/>
      <w:bookmarkStart w:id="74" w:name="_Toc11034"/>
      <w:bookmarkStart w:id="75" w:name="_Toc24449"/>
      <w:bookmarkStart w:id="76" w:name="_Toc437853096"/>
      <w:bookmarkStart w:id="77" w:name="_Toc19248"/>
      <w:bookmarkStart w:id="78" w:name="_Toc8737"/>
      <w:bookmarkStart w:id="79" w:name="_Toc731"/>
      <w:bookmarkStart w:id="80" w:name="_Toc8859"/>
      <w:r>
        <w:rPr>
          <w:rFonts w:hint="eastAsia" w:ascii="仿宋" w:hAnsi="仿宋" w:eastAsia="仿宋" w:cs="仿宋"/>
          <w:snapToGrid w:val="0"/>
          <w:sz w:val="28"/>
          <w:szCs w:val="28"/>
          <w:highlight w:val="none"/>
        </w:rPr>
        <w:t>七、估价依据</w:t>
      </w:r>
      <w:bookmarkEnd w:id="73"/>
      <w:bookmarkEnd w:id="74"/>
      <w:bookmarkEnd w:id="75"/>
      <w:bookmarkEnd w:id="76"/>
      <w:bookmarkEnd w:id="77"/>
      <w:bookmarkEnd w:id="78"/>
      <w:bookmarkEnd w:id="79"/>
      <w:bookmarkEnd w:id="80"/>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w:t>
      </w:r>
      <w:r>
        <w:rPr>
          <w:rFonts w:hint="eastAsia" w:ascii="仿宋" w:hAnsi="仿宋" w:eastAsia="仿宋"/>
          <w:sz w:val="28"/>
          <w:szCs w:val="28"/>
          <w:highlight w:val="none"/>
          <w:lang w:eastAsia="zh-CN"/>
        </w:rPr>
        <w:t>安顺市平坝区人民法院评估委托书</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[（2019）平法委评81号]；</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《中华人民共和国资产评估法》；</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《中华人民共和国城市房地产管理法》；</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《中华人民共和国土地管理法》；</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《中华人民共和国物权法》；</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《中华人民共和国城乡规划法》；</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《人民法院对外委托司法鉴定管理规定》（法释〔2002〕8号）；</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《最高人民法院关于人民法院委托评估、拍卖和变卖工作的若干规定》（法释［2009］16号）；</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《最高人民法院关于人民法院委托评估、拍卖工作的若干规定》（法释［20</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21</w:t>
      </w:r>
      <w:r>
        <w:rPr>
          <w:rFonts w:hint="eastAsia" w:ascii="仿宋" w:hAnsi="仿宋" w:eastAsia="仿宋"/>
          <w:sz w:val="28"/>
          <w:szCs w:val="28"/>
          <w:highlight w:val="none"/>
        </w:rPr>
        <w:t>号）；</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rPr>
        <w:t>最高人民法院关于人民法院确定财产处置参考价若干问题的规定 </w:t>
      </w:r>
      <w:r>
        <w:rPr>
          <w:rFonts w:hint="eastAsia" w:ascii="仿宋" w:hAnsi="仿宋" w:eastAsia="仿宋"/>
          <w:sz w:val="28"/>
          <w:szCs w:val="28"/>
          <w:highlight w:val="none"/>
          <w:lang w:eastAsia="zh-CN"/>
        </w:rPr>
        <w:t>》</w:t>
      </w:r>
      <w:r>
        <w:rPr>
          <w:rFonts w:hint="eastAsia" w:ascii="仿宋" w:hAnsi="仿宋" w:eastAsia="仿宋"/>
          <w:sz w:val="28"/>
          <w:szCs w:val="28"/>
          <w:highlight w:val="none"/>
        </w:rPr>
        <w:t>（法释〔20</w:t>
      </w:r>
      <w:r>
        <w:rPr>
          <w:rFonts w:hint="eastAsia" w:ascii="仿宋" w:hAnsi="仿宋" w:eastAsia="仿宋"/>
          <w:sz w:val="28"/>
          <w:szCs w:val="28"/>
          <w:highlight w:val="none"/>
          <w:lang w:val="en-US" w:eastAsia="zh-CN"/>
        </w:rPr>
        <w:t>18</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号）</w:t>
      </w:r>
      <w:r>
        <w:rPr>
          <w:rFonts w:hint="eastAsia" w:ascii="仿宋" w:hAnsi="仿宋" w:eastAsia="仿宋"/>
          <w:sz w:val="28"/>
          <w:szCs w:val="28"/>
          <w:highlight w:val="none"/>
          <w:lang w:eastAsia="zh-CN"/>
        </w:rPr>
        <w:t>；</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《房地产估价规范》（GB/T50291-2015）；</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《房地产估价基本术语标准》（GB/T50899-2013）；</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注册房地产估价师实地查勘、调查获得的资料；</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rPr>
        <w:t>注册房地产估价师掌握的近期房地产市场交易资料；</w:t>
      </w:r>
    </w:p>
    <w:p>
      <w:pPr>
        <w:pageBreakBefore w:val="0"/>
        <w:widowControl w:val="0"/>
        <w:numPr>
          <w:ilvl w:val="0"/>
          <w:numId w:val="6"/>
        </w:numPr>
        <w:kinsoku/>
        <w:wordWrap/>
        <w:overflowPunct/>
        <w:topLinePunct w:val="0"/>
        <w:autoSpaceDE/>
        <w:autoSpaceDN/>
        <w:bidi w:val="0"/>
        <w:adjustRightInd w:val="0"/>
        <w:snapToGrid w:val="0"/>
        <w:spacing w:line="540" w:lineRule="exact"/>
        <w:textAlignment w:val="baseline"/>
        <w:rPr>
          <w:rFonts w:hint="eastAsia" w:ascii="仿宋" w:hAnsi="仿宋" w:eastAsia="仿宋"/>
          <w:sz w:val="28"/>
          <w:szCs w:val="28"/>
          <w:highlight w:val="none"/>
        </w:rPr>
      </w:pPr>
      <w:r>
        <w:rPr>
          <w:rFonts w:hint="eastAsia" w:ascii="仿宋" w:hAnsi="仿宋" w:eastAsia="仿宋"/>
          <w:sz w:val="28"/>
          <w:szCs w:val="28"/>
          <w:highlight w:val="none"/>
          <w:lang w:eastAsia="zh-CN"/>
        </w:rPr>
        <w:t>估价委托人</w:t>
      </w:r>
      <w:r>
        <w:rPr>
          <w:rFonts w:hint="eastAsia" w:ascii="仿宋" w:hAnsi="仿宋" w:eastAsia="仿宋"/>
          <w:sz w:val="28"/>
          <w:szCs w:val="28"/>
          <w:highlight w:val="none"/>
        </w:rPr>
        <w:t>提供的与估价对象有关的资料：</w:t>
      </w:r>
    </w:p>
    <w:p>
      <w:pPr>
        <w:pageBreakBefore w:val="0"/>
        <w:widowControl w:val="0"/>
        <w:numPr>
          <w:ilvl w:val="0"/>
          <w:numId w:val="7"/>
        </w:numPr>
        <w:kinsoku/>
        <w:wordWrap/>
        <w:overflowPunct/>
        <w:topLinePunct w:val="0"/>
        <w:autoSpaceDE/>
        <w:autoSpaceDN/>
        <w:bidi w:val="0"/>
        <w:adjustRightInd w:val="0"/>
        <w:snapToGrid w:val="0"/>
        <w:spacing w:line="540" w:lineRule="exact"/>
        <w:ind w:left="518" w:leftChars="0"/>
        <w:textAlignment w:val="baseline"/>
        <w:rPr>
          <w:rFonts w:hint="eastAsia" w:ascii="仿宋" w:hAnsi="仿宋" w:eastAsia="仿宋"/>
          <w:sz w:val="28"/>
          <w:szCs w:val="28"/>
          <w:highlight w:val="none"/>
        </w:rPr>
      </w:pPr>
      <w:r>
        <w:rPr>
          <w:rFonts w:hint="eastAsia" w:ascii="仿宋" w:hAnsi="仿宋" w:eastAsia="仿宋"/>
          <w:sz w:val="28"/>
          <w:szCs w:val="28"/>
          <w:highlight w:val="none"/>
        </w:rPr>
        <w:t>估价对象</w:t>
      </w:r>
      <w:r>
        <w:rPr>
          <w:rFonts w:hint="eastAsia" w:ascii="仿宋" w:hAnsi="仿宋" w:eastAsia="仿宋"/>
          <w:sz w:val="28"/>
          <w:szCs w:val="28"/>
          <w:highlight w:val="none"/>
          <w:lang w:eastAsia="zh-CN"/>
        </w:rPr>
        <w:t>《房屋所有权证》、《贵州省房屋所有权登记申请表》、《房产档案》及《</w:t>
      </w:r>
      <w:r>
        <w:rPr>
          <w:rFonts w:hint="eastAsia" w:ascii="仿宋" w:hAnsi="仿宋" w:eastAsia="仿宋"/>
          <w:sz w:val="28"/>
          <w:szCs w:val="28"/>
          <w:highlight w:val="none"/>
          <w:lang w:val="en-US" w:eastAsia="zh-CN"/>
        </w:rPr>
        <w:t>集体土地使用证</w:t>
      </w:r>
      <w:r>
        <w:rPr>
          <w:rFonts w:hint="eastAsia" w:ascii="仿宋" w:hAnsi="仿宋" w:eastAsia="仿宋"/>
          <w:sz w:val="28"/>
          <w:szCs w:val="28"/>
          <w:highlight w:val="none"/>
          <w:lang w:eastAsia="zh-CN"/>
        </w:rPr>
        <w:t>》</w:t>
      </w:r>
      <w:r>
        <w:rPr>
          <w:rFonts w:hint="eastAsia" w:ascii="仿宋" w:hAnsi="仿宋" w:eastAsia="仿宋"/>
          <w:sz w:val="28"/>
          <w:szCs w:val="28"/>
          <w:highlight w:val="none"/>
        </w:rPr>
        <w:t>复印件；</w:t>
      </w:r>
    </w:p>
    <w:p>
      <w:pPr>
        <w:pageBreakBefore w:val="0"/>
        <w:widowControl w:val="0"/>
        <w:numPr>
          <w:ilvl w:val="0"/>
          <w:numId w:val="0"/>
        </w:numPr>
        <w:kinsoku/>
        <w:wordWrap/>
        <w:overflowPunct/>
        <w:topLinePunct w:val="0"/>
        <w:autoSpaceDE/>
        <w:autoSpaceDN/>
        <w:bidi w:val="0"/>
        <w:adjustRightInd w:val="0"/>
        <w:snapToGrid w:val="0"/>
        <w:spacing w:line="540" w:lineRule="exact"/>
        <w:ind w:left="518" w:leftChars="0"/>
        <w:textAlignment w:val="baseline"/>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lang w:eastAsia="zh-CN"/>
        </w:rPr>
        <w:t>）</w:t>
      </w:r>
      <w:r>
        <w:rPr>
          <w:rFonts w:hint="eastAsia" w:ascii="仿宋" w:hAnsi="仿宋" w:eastAsia="仿宋"/>
          <w:sz w:val="28"/>
          <w:szCs w:val="28"/>
          <w:highlight w:val="none"/>
        </w:rPr>
        <w:t>其它与估价对象有关的资料。</w:t>
      </w:r>
    </w:p>
    <w:p>
      <w:pPr>
        <w:pStyle w:val="3"/>
        <w:pageBreakBefore w:val="0"/>
        <w:widowControl w:val="0"/>
        <w:kinsoku/>
        <w:wordWrap/>
        <w:overflowPunct/>
        <w:topLinePunct w:val="0"/>
        <w:autoSpaceDE/>
        <w:autoSpaceDN/>
        <w:bidi w:val="0"/>
        <w:adjustRightInd w:val="0"/>
        <w:snapToGrid w:val="0"/>
        <w:spacing w:line="540" w:lineRule="exact"/>
        <w:rPr>
          <w:rFonts w:hint="eastAsia" w:ascii="仿宋" w:hAnsi="仿宋" w:eastAsia="仿宋" w:cs="仿宋"/>
          <w:snapToGrid w:val="0"/>
          <w:sz w:val="28"/>
          <w:szCs w:val="28"/>
          <w:highlight w:val="none"/>
        </w:rPr>
      </w:pPr>
      <w:bookmarkStart w:id="81" w:name="_Toc408527833"/>
      <w:bookmarkStart w:id="82" w:name="_Toc31184"/>
      <w:bookmarkStart w:id="83" w:name="_Toc17328"/>
      <w:bookmarkStart w:id="84" w:name="_Toc437853097"/>
      <w:bookmarkStart w:id="85" w:name="_Toc17756"/>
      <w:bookmarkStart w:id="86" w:name="_Toc27909"/>
      <w:bookmarkStart w:id="87" w:name="_Toc16524"/>
      <w:bookmarkStart w:id="88" w:name="_Toc15537"/>
      <w:r>
        <w:rPr>
          <w:rFonts w:hint="eastAsia" w:ascii="仿宋" w:hAnsi="仿宋" w:eastAsia="仿宋" w:cs="仿宋"/>
          <w:snapToGrid w:val="0"/>
          <w:sz w:val="28"/>
          <w:szCs w:val="28"/>
          <w:highlight w:val="none"/>
        </w:rPr>
        <w:t>八、估价原则</w:t>
      </w:r>
      <w:bookmarkEnd w:id="81"/>
      <w:bookmarkEnd w:id="82"/>
      <w:bookmarkEnd w:id="83"/>
      <w:bookmarkEnd w:id="84"/>
      <w:bookmarkEnd w:id="85"/>
      <w:bookmarkEnd w:id="86"/>
      <w:bookmarkEnd w:id="87"/>
      <w:bookmarkEnd w:id="88"/>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1、独立、客观、公正原则</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独立、客观、公正原则要求估价机构和估价师应当站在中立的立场上，评估出对各方当事人来说都是公平合理的价值。具体地说，“独立”是要求估价机构和估价师在估价中不应受包括委托人在内的任何单位和个人的干扰，应当凭借估价专业知识、经验和应有的职业道德进行估价；“客观”是要求估价机构和估价师在估价中不应带有自己的情感、好恶和偏见，应当按照事物的本来面目、实事求是地进行估价；“公正”是要求估价机构和估价师在估价中不应偏袒相关当事人中的任何一方，应当坚持原则、公平正直进行估价。</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2、合法原则</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合法原则要求估价结果是在依法判定的估价对象状况特别是权益状况下的价值。</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依法判定的估价对象权益，可分解为依法判定的权利类型及归属，以及使用、处分等权利。在依法判定的权利类型及归属方面，是指所有权、建设用地使用权、地役权、抵押权、租赁权等房地产权利及其归属，一般应以不动产登记薄、权属证书以及有合同（例如租赁权应以租赁合同）等为依据；在依法判定的使用权利方面，应以使用管制（如土地用途管制、规划条件等）为依据；在依法判定的处分权利方面，应以法律、法规、规章、政策或者合同（如国有建设用地使用权出让合同）等允许的处分方式为依据；在依法判定的其他权益方面，评估出的价值应符合国家的价格政策，具体地说，评估政府定价或政府指导价的房地产，应当遵守相应的政府定价和政府指导价。</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3、最高最佳利用原则</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最高最佳利用原则要求估价结果是在估价对象最高最佳利用下的价值。最高最佳利用是指法律上允许、技术上可能、经济上可行，经过充分合理的论证，使估价对象价值最大的一种最可能的利用。</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4、替代原则</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替代原则要求估价结果不得不合理地偏离类似房地产在同等条件下的正常价格。</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根据经济学理论，同一种商品在同一个市场上具有相同的市场价格。房地产价值的形成也符合这一规律，只是由于房地产的独一无二特性，使得完全形同的房地产几乎没有，但在同一个市场上具有相近效用的房地产，其价格应当是接近的。</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5、价值时点原则</w:t>
      </w:r>
    </w:p>
    <w:p>
      <w:pPr>
        <w:pStyle w:val="12"/>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Cs w:val="24"/>
          <w:highlight w:val="none"/>
          <w:lang w:val="en-US" w:eastAsia="zh-CN"/>
        </w:rPr>
      </w:pPr>
      <w:r>
        <w:rPr>
          <w:rFonts w:hint="eastAsia" w:ascii="仿宋" w:hAnsi="仿宋" w:eastAsia="仿宋" w:cs="仿宋"/>
          <w:szCs w:val="24"/>
          <w:highlight w:val="none"/>
          <w:lang w:val="en-US" w:eastAsia="zh-CN"/>
        </w:rPr>
        <w:t>价值时点原则要求估价结果是在由估价目的决定的某个特定时间的价值。房地产估价之所以要遵循价值时点原则，是因为影响房地产价值的因素是不断变化的，房地产市场是不断变化的，从而房地产价值和价值也是不断变化的。估价既不可能也无必要评估估价对象在所有时间上的价值，通常只是评估估价对象在某个特定时间的价值，这就要求估价师必须先确定某个特定时间，这个特定时间既不是委托人也不是估价师可以随意确定的，必须根据估价目的来确定。</w:t>
      </w:r>
    </w:p>
    <w:p>
      <w:pPr>
        <w:pStyle w:val="3"/>
        <w:pageBreakBefore w:val="0"/>
        <w:widowControl w:val="0"/>
        <w:kinsoku/>
        <w:wordWrap/>
        <w:overflowPunct/>
        <w:topLinePunct w:val="0"/>
        <w:autoSpaceDE/>
        <w:autoSpaceDN/>
        <w:bidi w:val="0"/>
        <w:adjustRightInd w:val="0"/>
        <w:snapToGrid w:val="0"/>
        <w:spacing w:before="0" w:after="0" w:line="540" w:lineRule="exact"/>
        <w:textAlignment w:val="auto"/>
        <w:rPr>
          <w:rFonts w:hint="eastAsia" w:ascii="仿宋" w:hAnsi="仿宋" w:eastAsia="仿宋" w:cs="仿宋"/>
          <w:snapToGrid w:val="0"/>
          <w:sz w:val="28"/>
          <w:szCs w:val="28"/>
          <w:highlight w:val="none"/>
        </w:rPr>
      </w:pPr>
      <w:bookmarkStart w:id="89" w:name="_Toc408527834"/>
      <w:bookmarkStart w:id="90" w:name="_Toc4913"/>
      <w:bookmarkStart w:id="91" w:name="_Toc1912"/>
      <w:bookmarkStart w:id="92" w:name="_Toc437853098"/>
      <w:bookmarkStart w:id="93" w:name="_Toc21219"/>
      <w:bookmarkStart w:id="94" w:name="_Toc24710"/>
      <w:bookmarkStart w:id="95" w:name="_Toc27788"/>
      <w:bookmarkStart w:id="96" w:name="_Toc12144"/>
      <w:r>
        <w:rPr>
          <w:rFonts w:hint="eastAsia" w:ascii="仿宋" w:hAnsi="仿宋" w:eastAsia="仿宋" w:cs="仿宋"/>
          <w:snapToGrid w:val="0"/>
          <w:sz w:val="28"/>
          <w:szCs w:val="28"/>
          <w:highlight w:val="none"/>
        </w:rPr>
        <w:t>九、估价方法</w:t>
      </w:r>
      <w:bookmarkEnd w:id="89"/>
      <w:bookmarkEnd w:id="90"/>
      <w:bookmarkEnd w:id="91"/>
      <w:bookmarkEnd w:id="92"/>
      <w:bookmarkEnd w:id="93"/>
      <w:bookmarkEnd w:id="94"/>
      <w:bookmarkEnd w:id="95"/>
      <w:bookmarkEnd w:id="96"/>
    </w:p>
    <w:p>
      <w:pPr>
        <w:pageBreakBefore w:val="0"/>
        <w:kinsoku/>
        <w:wordWrap/>
        <w:overflowPunct/>
        <w:topLinePunct w:val="0"/>
        <w:autoSpaceDE/>
        <w:autoSpaceDN/>
        <w:bidi w:val="0"/>
        <w:adjustRightInd w:val="0"/>
        <w:snapToGrid w:val="0"/>
        <w:spacing w:line="540" w:lineRule="exact"/>
        <w:ind w:firstLine="566" w:firstLineChars="200"/>
        <w:rPr>
          <w:rFonts w:hint="eastAsia" w:ascii="仿宋" w:hAnsi="仿宋" w:eastAsia="仿宋" w:cs="仿宋"/>
          <w:sz w:val="28"/>
        </w:rPr>
      </w:pPr>
      <w:r>
        <w:rPr>
          <w:rFonts w:hint="eastAsia" w:ascii="仿宋" w:hAnsi="仿宋" w:eastAsia="仿宋" w:cs="仿宋"/>
          <w:sz w:val="28"/>
        </w:rPr>
        <w:t>1、选用估价方法的法律、法规或技术标准依据</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根据《房地产估价规范》（GB/T50291-2015）4.1.2条规定，估价方法的选用，应符合下列规定：</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⑴估价对象的同类房地产有较多交易的，应选用比较法。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⑵估价对象或其同类房地产通常有租金等经济收入的，应选用收益法。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⑶估价对象可假定为独立的开发建设项目进行重新开发建设的，宜选用成本法；当估价对象的同类房地产没有交易或交易很少，且估价对象或其同类房地产没有租金等经济收入时，应选用成本法。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⑷估价对象具有开发或再开发潜力且开发完成后的价值可采用除成本法以外的方法测算的，应选用假设开发法。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2、理论上适用但未选用的估价方法及其理由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⑴收益法：估价对象作为住宅用房，可产生一定的收益，但收益性不明显，将其预期收益转换为价值后，不能客观、合理反映估价对象的市场价值，故本次估价未选用收益法。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⑵成本法：估价对象周边基础设施、公用服务设施较齐备，其区位状况较好，而选用成本法测算时无法考虑区位效应、城市附加值等影响，测算结果不能客观、合理反映估价对象的市场价值，故本次估价未选用成本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⑶假设开发法：估价对象为已建成的住宅用房，至价值时点已达到最高最佳利用状态，不具有开发或再开发潜力，故本次估价不选用假设开发法。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3、本次估价选用的估价方法及理由</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比较法：与估价对象处于同一供求范围内的同类房地产的交易实例较多，且具代表性，可作为可比实例或通过修正后可作为可比实例，故本次估价选用比较法。</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4、估价方法定义</w:t>
      </w:r>
    </w:p>
    <w:p>
      <w:pPr>
        <w:keepNext w:val="0"/>
        <w:keepLines w:val="0"/>
        <w:pageBreakBefore w:val="0"/>
        <w:widowControl w:val="0"/>
        <w:kinsoku/>
        <w:wordWrap/>
        <w:overflowPunct/>
        <w:topLinePunct w:val="0"/>
        <w:autoSpaceDE/>
        <w:autoSpaceDN/>
        <w:bidi w:val="0"/>
        <w:adjustRightInd w:val="0"/>
        <w:snapToGrid w:val="0"/>
        <w:spacing w:line="560" w:lineRule="exact"/>
        <w:ind w:firstLine="566" w:firstLineChars="200"/>
        <w:textAlignment w:val="auto"/>
        <w:rPr>
          <w:rFonts w:hint="eastAsia" w:ascii="仿宋" w:hAnsi="仿宋" w:eastAsia="仿宋" w:cs="仿宋"/>
          <w:sz w:val="28"/>
        </w:rPr>
      </w:pPr>
      <w:r>
        <w:rPr>
          <w:rFonts w:hint="eastAsia" w:ascii="仿宋" w:hAnsi="仿宋" w:eastAsia="仿宋" w:cs="仿宋"/>
          <w:sz w:val="28"/>
        </w:rPr>
        <w:t>比较法：选用数宗真实成交且符合一定条件的类似房地产，将它们与估价对象进行比较，根据之间的差异对成交价格进行适当处理后得到估价对象价值或价格的方法。</w:t>
      </w:r>
    </w:p>
    <w:p>
      <w:pPr>
        <w:keepNext w:val="0"/>
        <w:keepLines w:val="0"/>
        <w:pageBreakBefore w:val="0"/>
        <w:widowControl w:val="0"/>
        <w:numPr>
          <w:ilvl w:val="0"/>
          <w:numId w:val="8"/>
        </w:numPr>
        <w:kinsoku/>
        <w:wordWrap/>
        <w:overflowPunct/>
        <w:topLinePunct w:val="0"/>
        <w:autoSpaceDE/>
        <w:autoSpaceDN/>
        <w:bidi w:val="0"/>
        <w:adjustRightInd w:val="0"/>
        <w:snapToGrid w:val="0"/>
        <w:spacing w:line="480" w:lineRule="exact"/>
        <w:ind w:leftChars="200"/>
        <w:textAlignment w:val="auto"/>
        <w:rPr>
          <w:rFonts w:hint="eastAsia" w:ascii="仿宋" w:hAnsi="仿宋" w:eastAsia="仿宋" w:cs="仿宋"/>
          <w:b/>
          <w:bCs/>
          <w:sz w:val="28"/>
          <w:highlight w:val="none"/>
        </w:rPr>
      </w:pPr>
      <w:r>
        <w:rPr>
          <w:rFonts w:hint="eastAsia" w:ascii="仿宋" w:hAnsi="仿宋" w:eastAsia="仿宋" w:cs="仿宋"/>
          <w:b/>
          <w:bCs/>
          <w:sz w:val="28"/>
          <w:highlight w:val="none"/>
        </w:rPr>
        <w:t>估价的技术路线</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b/>
          <w:bCs/>
          <w:sz w:val="28"/>
        </w:rPr>
      </w:pPr>
      <w:r>
        <w:rPr>
          <w:rFonts w:hint="eastAsia" w:ascii="仿宋" w:hAnsi="仿宋" w:eastAsia="仿宋" w:cs="仿宋"/>
          <w:b/>
          <w:bCs/>
          <w:sz w:val="28"/>
        </w:rPr>
        <w:t>比较法</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1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①</w:t>
      </w:r>
      <w:r>
        <w:rPr>
          <w:rFonts w:ascii="仿宋" w:hAnsi="仿宋" w:eastAsia="仿宋" w:cs="仿宋"/>
          <w:sz w:val="28"/>
        </w:rPr>
        <w:fldChar w:fldCharType="end"/>
      </w:r>
      <w:r>
        <w:rPr>
          <w:rFonts w:hint="eastAsia" w:ascii="仿宋" w:hAnsi="仿宋" w:eastAsia="仿宋" w:cs="仿宋"/>
          <w:sz w:val="28"/>
        </w:rPr>
        <w:t>搜集交易实例；</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2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②</w:t>
      </w:r>
      <w:r>
        <w:rPr>
          <w:rFonts w:ascii="仿宋" w:hAnsi="仿宋" w:eastAsia="仿宋" w:cs="仿宋"/>
          <w:sz w:val="28"/>
        </w:rPr>
        <w:fldChar w:fldCharType="end"/>
      </w:r>
      <w:r>
        <w:rPr>
          <w:rFonts w:hint="eastAsia" w:ascii="仿宋" w:hAnsi="仿宋" w:eastAsia="仿宋" w:cs="仿宋"/>
          <w:sz w:val="28"/>
        </w:rPr>
        <w:t>选取可比实例；</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3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③</w:t>
      </w:r>
      <w:r>
        <w:rPr>
          <w:rFonts w:ascii="仿宋" w:hAnsi="仿宋" w:eastAsia="仿宋" w:cs="仿宋"/>
          <w:sz w:val="28"/>
        </w:rPr>
        <w:fldChar w:fldCharType="end"/>
      </w:r>
      <w:r>
        <w:rPr>
          <w:rFonts w:hint="eastAsia" w:ascii="仿宋" w:hAnsi="仿宋" w:eastAsia="仿宋" w:cs="仿宋"/>
          <w:sz w:val="28"/>
        </w:rPr>
        <w:t>建立比较基础；</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4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④</w:t>
      </w:r>
      <w:r>
        <w:rPr>
          <w:rFonts w:ascii="仿宋" w:hAnsi="仿宋" w:eastAsia="仿宋" w:cs="仿宋"/>
          <w:sz w:val="28"/>
        </w:rPr>
        <w:fldChar w:fldCharType="end"/>
      </w:r>
      <w:r>
        <w:rPr>
          <w:rFonts w:hint="eastAsia" w:ascii="仿宋" w:hAnsi="仿宋" w:eastAsia="仿宋" w:cs="仿宋"/>
          <w:sz w:val="28"/>
        </w:rPr>
        <w:t>进行交易情况修正；</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5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⑤</w:t>
      </w:r>
      <w:r>
        <w:rPr>
          <w:rFonts w:ascii="仿宋" w:hAnsi="仿宋" w:eastAsia="仿宋" w:cs="仿宋"/>
          <w:sz w:val="28"/>
        </w:rPr>
        <w:fldChar w:fldCharType="end"/>
      </w:r>
      <w:r>
        <w:rPr>
          <w:rFonts w:hint="eastAsia" w:ascii="仿宋" w:hAnsi="仿宋" w:eastAsia="仿宋" w:cs="仿宋"/>
          <w:sz w:val="28"/>
        </w:rPr>
        <w:t>进行市场状况修正；</w:t>
      </w:r>
    </w:p>
    <w:p>
      <w:pPr>
        <w:keepNext w:val="0"/>
        <w:keepLines w:val="0"/>
        <w:pageBreakBefore w:val="0"/>
        <w:widowControl w:val="0"/>
        <w:kinsoku/>
        <w:wordWrap/>
        <w:overflowPunct/>
        <w:topLinePunct w:val="0"/>
        <w:autoSpaceDE/>
        <w:autoSpaceDN/>
        <w:bidi w:val="0"/>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6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⑥</w:t>
      </w:r>
      <w:r>
        <w:rPr>
          <w:rFonts w:ascii="仿宋" w:hAnsi="仿宋" w:eastAsia="仿宋" w:cs="仿宋"/>
          <w:sz w:val="28"/>
        </w:rPr>
        <w:fldChar w:fldCharType="end"/>
      </w:r>
      <w:r>
        <w:rPr>
          <w:rFonts w:hint="eastAsia" w:ascii="仿宋" w:hAnsi="仿宋" w:eastAsia="仿宋" w:cs="仿宋"/>
          <w:sz w:val="28"/>
        </w:rPr>
        <w:t>进行房地产状况修正；</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仿宋" w:hAnsi="仿宋" w:eastAsia="仿宋" w:cs="仿宋"/>
          <w:sz w:val="28"/>
        </w:rPr>
      </w:pPr>
      <w:r>
        <w:rPr>
          <w:rFonts w:ascii="仿宋" w:hAnsi="仿宋" w:eastAsia="仿宋" w:cs="仿宋"/>
          <w:sz w:val="28"/>
        </w:rPr>
        <w:fldChar w:fldCharType="begin"/>
      </w:r>
      <w:r>
        <w:rPr>
          <w:rFonts w:ascii="仿宋" w:hAnsi="仿宋" w:eastAsia="仿宋" w:cs="仿宋"/>
          <w:sz w:val="28"/>
        </w:rPr>
        <w:instrText xml:space="preserve"> </w:instrText>
      </w:r>
      <w:r>
        <w:rPr>
          <w:rFonts w:hint="eastAsia" w:ascii="仿宋" w:hAnsi="仿宋" w:eastAsia="仿宋" w:cs="仿宋"/>
          <w:sz w:val="28"/>
        </w:rPr>
        <w:instrText xml:space="preserve">= 7 \* GB3</w:instrText>
      </w:r>
      <w:r>
        <w:rPr>
          <w:rFonts w:ascii="仿宋" w:hAnsi="仿宋" w:eastAsia="仿宋" w:cs="仿宋"/>
          <w:sz w:val="28"/>
        </w:rPr>
        <w:instrText xml:space="preserve"> </w:instrText>
      </w:r>
      <w:r>
        <w:rPr>
          <w:rFonts w:ascii="仿宋" w:hAnsi="仿宋" w:eastAsia="仿宋" w:cs="仿宋"/>
          <w:sz w:val="28"/>
        </w:rPr>
        <w:fldChar w:fldCharType="separate"/>
      </w:r>
      <w:r>
        <w:rPr>
          <w:rFonts w:hint="eastAsia" w:ascii="仿宋" w:hAnsi="仿宋" w:eastAsia="仿宋" w:cs="仿宋"/>
          <w:sz w:val="28"/>
        </w:rPr>
        <w:t>⑦</w:t>
      </w:r>
      <w:r>
        <w:rPr>
          <w:rFonts w:ascii="仿宋" w:hAnsi="仿宋" w:eastAsia="仿宋" w:cs="仿宋"/>
          <w:sz w:val="28"/>
        </w:rPr>
        <w:fldChar w:fldCharType="end"/>
      </w:r>
      <w:r>
        <w:rPr>
          <w:rFonts w:hint="eastAsia" w:ascii="仿宋" w:hAnsi="仿宋" w:eastAsia="仿宋" w:cs="仿宋"/>
          <w:sz w:val="28"/>
        </w:rPr>
        <w:t>计算比较价格。</w:t>
      </w:r>
    </w:p>
    <w:tbl>
      <w:tblPr>
        <w:tblStyle w:val="11"/>
        <w:tblW w:w="9639" w:type="dxa"/>
        <w:jc w:val="center"/>
        <w:tblInd w:w="0" w:type="dxa"/>
        <w:tblLayout w:type="fixed"/>
        <w:tblCellMar>
          <w:top w:w="0" w:type="dxa"/>
          <w:left w:w="108" w:type="dxa"/>
          <w:bottom w:w="0" w:type="dxa"/>
          <w:right w:w="108" w:type="dxa"/>
        </w:tblCellMar>
      </w:tblPr>
      <w:tblGrid>
        <w:gridCol w:w="1479"/>
        <w:gridCol w:w="1350"/>
        <w:gridCol w:w="488"/>
        <w:gridCol w:w="874"/>
        <w:gridCol w:w="488"/>
        <w:gridCol w:w="874"/>
        <w:gridCol w:w="488"/>
        <w:gridCol w:w="874"/>
        <w:gridCol w:w="488"/>
        <w:gridCol w:w="874"/>
        <w:gridCol w:w="488"/>
        <w:gridCol w:w="874"/>
      </w:tblGrid>
      <w:tr>
        <w:tblPrEx>
          <w:tblLayout w:type="fixed"/>
          <w:tblCellMar>
            <w:top w:w="0" w:type="dxa"/>
            <w:left w:w="108" w:type="dxa"/>
            <w:bottom w:w="0" w:type="dxa"/>
            <w:right w:w="108" w:type="dxa"/>
          </w:tblCellMar>
        </w:tblPrEx>
        <w:trPr>
          <w:trHeight w:val="285" w:hRule="atLeast"/>
          <w:jc w:val="center"/>
        </w:trPr>
        <w:tc>
          <w:tcPr>
            <w:tcW w:w="1479"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1350"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交易</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修正</w:t>
            </w: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交易</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日期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修正</w:t>
            </w: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区域</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因素</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修正</w:t>
            </w: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实物</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状况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修正</w:t>
            </w: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权益</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状况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修正</w:t>
            </w:r>
          </w:p>
        </w:tc>
      </w:tr>
      <w:tr>
        <w:tblPrEx>
          <w:tblLayout w:type="fixed"/>
          <w:tblCellMar>
            <w:top w:w="0" w:type="dxa"/>
            <w:left w:w="108" w:type="dxa"/>
            <w:bottom w:w="0" w:type="dxa"/>
            <w:right w:w="108" w:type="dxa"/>
          </w:tblCellMar>
        </w:tblPrEx>
        <w:trPr>
          <w:trHeight w:val="555" w:hRule="atLeast"/>
          <w:jc w:val="center"/>
        </w:trPr>
        <w:tc>
          <w:tcPr>
            <w:tcW w:w="1479"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1350"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488" w:type="dxa"/>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c>
          <w:tcPr>
            <w:tcW w:w="874" w:type="dxa"/>
            <w:vMerge w:val="continue"/>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85" w:hRule="atLeast"/>
          <w:jc w:val="center"/>
        </w:trPr>
        <w:tc>
          <w:tcPr>
            <w:tcW w:w="1479"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比准价格 =</w:t>
            </w:r>
          </w:p>
        </w:tc>
        <w:tc>
          <w:tcPr>
            <w:tcW w:w="1350"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可比实例</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成交价格</w:t>
            </w:r>
          </w:p>
        </w:tc>
        <w:tc>
          <w:tcPr>
            <w:tcW w:w="488"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488"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488" w:type="dxa"/>
            <w:vMerge w:val="restart"/>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488"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488" w:type="dxa"/>
            <w:vMerge w:val="restart"/>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r>
      <w:tr>
        <w:tblPrEx>
          <w:tblLayout w:type="fixed"/>
          <w:tblCellMar>
            <w:top w:w="0" w:type="dxa"/>
            <w:left w:w="108" w:type="dxa"/>
            <w:bottom w:w="0" w:type="dxa"/>
            <w:right w:w="108" w:type="dxa"/>
          </w:tblCellMar>
        </w:tblPrEx>
        <w:trPr>
          <w:trHeight w:val="285" w:hRule="atLeast"/>
          <w:jc w:val="center"/>
        </w:trPr>
        <w:tc>
          <w:tcPr>
            <w:tcW w:w="1479"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1350"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488"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874" w:type="dxa"/>
            <w:vAlign w:val="center"/>
          </w:tcPr>
          <w:p>
            <w:pPr>
              <w:keepNext w:val="0"/>
              <w:keepLines w:val="0"/>
              <w:pageBreakBefore w:val="0"/>
              <w:widowControl/>
              <w:kinsoku/>
              <w:wordWrap/>
              <w:overflowPunct/>
              <w:topLinePunct w:val="0"/>
              <w:autoSpaceDE/>
              <w:autoSpaceDN/>
              <w:bidi w:val="0"/>
              <w:spacing w:line="54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488"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874" w:type="dxa"/>
            <w:vAlign w:val="center"/>
          </w:tcPr>
          <w:p>
            <w:pPr>
              <w:keepNext w:val="0"/>
              <w:keepLines w:val="0"/>
              <w:pageBreakBefore w:val="0"/>
              <w:widowControl/>
              <w:kinsoku/>
              <w:wordWrap/>
              <w:overflowPunct/>
              <w:topLinePunct w:val="0"/>
              <w:autoSpaceDE/>
              <w:autoSpaceDN/>
              <w:bidi w:val="0"/>
              <w:spacing w:line="54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488"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874" w:type="dxa"/>
            <w:vAlign w:val="center"/>
          </w:tcPr>
          <w:p>
            <w:pPr>
              <w:keepNext w:val="0"/>
              <w:keepLines w:val="0"/>
              <w:pageBreakBefore w:val="0"/>
              <w:widowControl/>
              <w:kinsoku/>
              <w:wordWrap/>
              <w:overflowPunct/>
              <w:topLinePunct w:val="0"/>
              <w:autoSpaceDE/>
              <w:autoSpaceDN/>
              <w:bidi w:val="0"/>
              <w:spacing w:line="54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488"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874" w:type="dxa"/>
            <w:vAlign w:val="center"/>
          </w:tcPr>
          <w:p>
            <w:pPr>
              <w:keepNext w:val="0"/>
              <w:keepLines w:val="0"/>
              <w:pageBreakBefore w:val="0"/>
              <w:widowControl/>
              <w:kinsoku/>
              <w:wordWrap/>
              <w:overflowPunct/>
              <w:topLinePunct w:val="0"/>
              <w:autoSpaceDE/>
              <w:autoSpaceDN/>
              <w:bidi w:val="0"/>
              <w:spacing w:line="54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488" w:type="dxa"/>
            <w:vMerge w:val="continue"/>
            <w:vAlign w:val="center"/>
          </w:tcPr>
          <w:p>
            <w:pPr>
              <w:keepNext w:val="0"/>
              <w:keepLines w:val="0"/>
              <w:pageBreakBefore w:val="0"/>
              <w:widowControl/>
              <w:kinsoku/>
              <w:wordWrap/>
              <w:overflowPunct/>
              <w:topLinePunct w:val="0"/>
              <w:autoSpaceDE/>
              <w:autoSpaceDN/>
              <w:bidi w:val="0"/>
              <w:spacing w:line="540" w:lineRule="exact"/>
              <w:jc w:val="left"/>
              <w:textAlignment w:val="auto"/>
              <w:rPr>
                <w:rFonts w:ascii="仿宋_GB2312" w:hAnsi="宋体" w:eastAsia="仿宋_GB2312" w:cs="宋体"/>
                <w:color w:val="000000"/>
                <w:kern w:val="0"/>
                <w:sz w:val="24"/>
              </w:rPr>
            </w:pPr>
          </w:p>
        </w:tc>
        <w:tc>
          <w:tcPr>
            <w:tcW w:w="874" w:type="dxa"/>
            <w:vAlign w:val="center"/>
          </w:tcPr>
          <w:p>
            <w:pPr>
              <w:keepNext w:val="0"/>
              <w:keepLines w:val="0"/>
              <w:pageBreakBefore w:val="0"/>
              <w:widowControl/>
              <w:kinsoku/>
              <w:wordWrap/>
              <w:overflowPunct/>
              <w:topLinePunct w:val="0"/>
              <w:autoSpaceDE/>
              <w:autoSpaceDN/>
              <w:bidi w:val="0"/>
              <w:spacing w:line="54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pStyle w:val="3"/>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napToGrid w:val="0"/>
          <w:sz w:val="28"/>
          <w:szCs w:val="28"/>
          <w:highlight w:val="none"/>
        </w:rPr>
      </w:pPr>
      <w:bookmarkStart w:id="97" w:name="_Toc5359"/>
      <w:bookmarkStart w:id="98" w:name="_Toc408527835"/>
      <w:bookmarkStart w:id="99" w:name="_Toc11872"/>
      <w:bookmarkStart w:id="100" w:name="_Toc437853099"/>
      <w:bookmarkStart w:id="101" w:name="_Toc32156"/>
      <w:bookmarkStart w:id="102" w:name="_Toc27858"/>
      <w:bookmarkStart w:id="103" w:name="_Toc31108"/>
      <w:bookmarkStart w:id="104" w:name="_Toc26792"/>
      <w:r>
        <w:rPr>
          <w:rFonts w:hint="eastAsia" w:ascii="仿宋" w:hAnsi="仿宋" w:eastAsia="仿宋" w:cs="仿宋"/>
          <w:snapToGrid w:val="0"/>
          <w:sz w:val="28"/>
          <w:szCs w:val="28"/>
          <w:highlight w:val="none"/>
        </w:rPr>
        <w:t>十、估价结果</w:t>
      </w:r>
      <w:bookmarkEnd w:id="97"/>
      <w:bookmarkEnd w:id="98"/>
      <w:bookmarkEnd w:id="99"/>
      <w:bookmarkEnd w:id="100"/>
      <w:bookmarkEnd w:id="101"/>
      <w:bookmarkEnd w:id="102"/>
      <w:bookmarkEnd w:id="103"/>
      <w:bookmarkEnd w:id="104"/>
    </w:p>
    <w:p>
      <w:pPr>
        <w:pageBreakBefore w:val="0"/>
        <w:widowControl w:val="0"/>
        <w:kinsoku/>
        <w:wordWrap/>
        <w:overflowPunct/>
        <w:topLinePunct w:val="0"/>
        <w:autoSpaceDE/>
        <w:autoSpaceDN/>
        <w:bidi w:val="0"/>
        <w:adjustRightInd w:val="0"/>
        <w:snapToGrid w:val="0"/>
        <w:spacing w:line="540" w:lineRule="exact"/>
        <w:ind w:firstLine="570"/>
        <w:textAlignment w:val="auto"/>
        <w:rPr>
          <w:rFonts w:hint="eastAsia" w:ascii="仿宋" w:hAnsi="仿宋" w:eastAsia="仿宋" w:cs="仿宋"/>
          <w:b/>
          <w:sz w:val="28"/>
          <w:highlight w:val="none"/>
        </w:rPr>
      </w:pPr>
      <w:r>
        <w:rPr>
          <w:rFonts w:hint="eastAsia" w:ascii="仿宋" w:hAnsi="仿宋" w:eastAsia="仿宋" w:cs="仿宋"/>
          <w:sz w:val="28"/>
          <w:highlight w:val="none"/>
        </w:rPr>
        <w:t>注册房地产估价师根据估价目的，遵循估价原则，按照评估工作程序，详细分析了影响房地产价值的各项因素，</w:t>
      </w:r>
      <w:r>
        <w:rPr>
          <w:rFonts w:hint="eastAsia" w:ascii="仿宋" w:hAnsi="仿宋" w:eastAsia="仿宋" w:cs="仿宋"/>
          <w:sz w:val="28"/>
          <w:highlight w:val="none"/>
          <w:lang w:eastAsia="zh-CN"/>
        </w:rPr>
        <w:t>采用比较法</w:t>
      </w:r>
      <w:r>
        <w:rPr>
          <w:rFonts w:hint="eastAsia" w:ascii="仿宋" w:hAnsi="仿宋" w:eastAsia="仿宋" w:cs="仿宋"/>
          <w:sz w:val="28"/>
          <w:highlight w:val="none"/>
        </w:rPr>
        <w:t>测算，最终确定估价对象于价值时点</w:t>
      </w:r>
      <w:r>
        <w:rPr>
          <w:rFonts w:hint="eastAsia" w:ascii="仿宋" w:hAnsi="仿宋" w:eastAsia="仿宋" w:cs="仿宋"/>
          <w:sz w:val="28"/>
          <w:highlight w:val="none"/>
          <w:lang w:eastAsia="zh-CN"/>
        </w:rPr>
        <w:t>2020年01月17日</w:t>
      </w:r>
      <w:r>
        <w:rPr>
          <w:rFonts w:hint="eastAsia" w:ascii="仿宋" w:hAnsi="仿宋" w:eastAsia="仿宋" w:cs="仿宋"/>
          <w:sz w:val="28"/>
          <w:highlight w:val="none"/>
        </w:rPr>
        <w:t>的市场价值如下：</w:t>
      </w:r>
    </w:p>
    <w:p>
      <w:pPr>
        <w:pageBreakBefore w:val="0"/>
        <w:widowControl w:val="0"/>
        <w:kinsoku/>
        <w:wordWrap/>
        <w:overflowPunct/>
        <w:topLinePunct w:val="0"/>
        <w:autoSpaceDE/>
        <w:autoSpaceDN/>
        <w:bidi w:val="0"/>
        <w:adjustRightInd w:val="0"/>
        <w:snapToGrid w:val="0"/>
        <w:spacing w:line="580" w:lineRule="exact"/>
        <w:ind w:left="-4" w:firstLine="591"/>
        <w:textAlignment w:val="auto"/>
        <w:rPr>
          <w:rFonts w:hint="eastAsia" w:ascii="仿宋" w:hAnsi="仿宋" w:eastAsia="仿宋" w:cs="仿宋"/>
          <w:b/>
          <w:color w:val="000000"/>
          <w:spacing w:val="22"/>
          <w:w w:val="88"/>
          <w:kern w:val="0"/>
          <w:sz w:val="28"/>
          <w:highlight w:val="none"/>
        </w:rPr>
      </w:pPr>
      <w:bookmarkStart w:id="105" w:name="_Toc408527836"/>
      <w:bookmarkStart w:id="106" w:name="_Toc19138"/>
      <w:bookmarkStart w:id="107" w:name="_Toc26016"/>
      <w:bookmarkStart w:id="108" w:name="_Toc437853100"/>
      <w:bookmarkStart w:id="109" w:name="_Toc27957"/>
      <w:bookmarkStart w:id="110" w:name="_Toc19137"/>
      <w:bookmarkStart w:id="111" w:name="_Toc7969"/>
      <w:r>
        <w:rPr>
          <w:rFonts w:hint="eastAsia" w:ascii="仿宋" w:hAnsi="仿宋" w:eastAsia="仿宋" w:cs="仿宋"/>
          <w:b/>
          <w:color w:val="000000"/>
          <w:spacing w:val="22"/>
          <w:w w:val="88"/>
          <w:kern w:val="0"/>
          <w:sz w:val="28"/>
          <w:highlight w:val="none"/>
        </w:rPr>
        <w:t>评估总价：</w:t>
      </w:r>
      <w:r>
        <w:rPr>
          <w:rFonts w:hint="eastAsia" w:ascii="仿宋" w:hAnsi="仿宋" w:eastAsia="仿宋" w:cs="仿宋"/>
          <w:b/>
          <w:color w:val="000000"/>
          <w:sz w:val="28"/>
          <w:szCs w:val="28"/>
          <w:highlight w:val="none"/>
          <w:lang w:eastAsia="zh-CN"/>
        </w:rPr>
        <w:t>79.04</w:t>
      </w:r>
      <w:r>
        <w:rPr>
          <w:rFonts w:hint="eastAsia" w:ascii="仿宋" w:hAnsi="仿宋" w:eastAsia="仿宋" w:cs="仿宋"/>
          <w:b/>
          <w:color w:val="000000"/>
          <w:spacing w:val="22"/>
          <w:w w:val="88"/>
          <w:kern w:val="0"/>
          <w:sz w:val="28"/>
          <w:highlight w:val="none"/>
        </w:rPr>
        <w:t>万元</w:t>
      </w:r>
    </w:p>
    <w:p>
      <w:pPr>
        <w:pageBreakBefore w:val="0"/>
        <w:widowControl w:val="0"/>
        <w:kinsoku/>
        <w:wordWrap/>
        <w:overflowPunct/>
        <w:topLinePunct w:val="0"/>
        <w:autoSpaceDE/>
        <w:autoSpaceDN/>
        <w:bidi w:val="0"/>
        <w:adjustRightInd w:val="0"/>
        <w:snapToGrid w:val="0"/>
        <w:spacing w:line="580" w:lineRule="exact"/>
        <w:ind w:left="-4" w:firstLine="591"/>
        <w:textAlignment w:val="auto"/>
        <w:rPr>
          <w:rFonts w:hint="eastAsia" w:ascii="仿宋" w:hAnsi="仿宋" w:eastAsia="仿宋" w:cs="仿宋"/>
          <w:b/>
          <w:color w:val="000000"/>
          <w:sz w:val="28"/>
          <w:szCs w:val="28"/>
          <w:highlight w:val="none"/>
          <w:lang w:eastAsia="zh-CN"/>
        </w:rPr>
      </w:pPr>
      <w:r>
        <w:rPr>
          <w:rFonts w:hint="eastAsia" w:ascii="仿宋" w:hAnsi="仿宋" w:eastAsia="仿宋" w:cs="仿宋"/>
          <w:b/>
          <w:color w:val="000000"/>
          <w:sz w:val="28"/>
          <w:szCs w:val="28"/>
          <w:highlight w:val="none"/>
          <w:lang w:eastAsia="zh-CN"/>
        </w:rPr>
        <w:t>大   写：</w:t>
      </w:r>
      <w:r>
        <w:rPr>
          <w:rFonts w:hint="eastAsia" w:ascii="仿宋" w:hAnsi="仿宋" w:eastAsia="仿宋" w:cs="仿宋"/>
          <w:b/>
          <w:color w:val="000000"/>
          <w:sz w:val="28"/>
          <w:szCs w:val="28"/>
          <w:highlight w:val="none"/>
          <w:lang w:eastAsia="zh-CN"/>
        </w:rPr>
        <w:fldChar w:fldCharType="begin"/>
      </w:r>
      <w:r>
        <w:rPr>
          <w:rFonts w:hint="eastAsia" w:ascii="仿宋" w:hAnsi="仿宋" w:eastAsia="仿宋" w:cs="仿宋"/>
          <w:b/>
          <w:color w:val="000000"/>
          <w:sz w:val="28"/>
          <w:szCs w:val="28"/>
          <w:highlight w:val="none"/>
          <w:lang w:eastAsia="zh-CN"/>
        </w:rPr>
        <w:instrText xml:space="preserve"> =</w:instrText>
      </w:r>
      <w:r>
        <w:rPr>
          <w:rFonts w:hint="eastAsia" w:ascii="仿宋" w:hAnsi="仿宋" w:eastAsia="仿宋" w:cs="仿宋"/>
          <w:b/>
          <w:color w:val="000000"/>
          <w:sz w:val="28"/>
          <w:szCs w:val="28"/>
          <w:highlight w:val="none"/>
          <w:lang w:val="en-US" w:eastAsia="zh-CN"/>
        </w:rPr>
        <w:instrText xml:space="preserve">79.04*10000</w:instrText>
      </w:r>
      <w:r>
        <w:rPr>
          <w:rFonts w:hint="eastAsia" w:ascii="仿宋" w:hAnsi="仿宋" w:eastAsia="仿宋" w:cs="仿宋"/>
          <w:b/>
          <w:color w:val="000000"/>
          <w:sz w:val="28"/>
          <w:szCs w:val="28"/>
          <w:highlight w:val="none"/>
          <w:lang w:eastAsia="zh-CN"/>
        </w:rPr>
        <w:instrText xml:space="preserve">\* CHINESENUM4 \* MERGEFORMAT </w:instrText>
      </w:r>
      <w:r>
        <w:rPr>
          <w:rFonts w:hint="eastAsia" w:ascii="仿宋" w:hAnsi="仿宋" w:eastAsia="仿宋" w:cs="仿宋"/>
          <w:b/>
          <w:color w:val="000000"/>
          <w:sz w:val="28"/>
          <w:szCs w:val="28"/>
          <w:highlight w:val="none"/>
          <w:lang w:eastAsia="zh-CN"/>
        </w:rPr>
        <w:fldChar w:fldCharType="separate"/>
      </w:r>
      <w:r>
        <w:rPr>
          <w:rFonts w:hint="eastAsia" w:ascii="仿宋" w:hAnsi="仿宋" w:eastAsia="仿宋" w:cs="仿宋"/>
          <w:b/>
          <w:color w:val="000000"/>
          <w:sz w:val="28"/>
          <w:szCs w:val="28"/>
          <w:highlight w:val="none"/>
          <w:lang w:eastAsia="zh-CN"/>
        </w:rPr>
        <w:t>柒拾玖万零肆佰元整</w:t>
      </w:r>
      <w:r>
        <w:rPr>
          <w:rFonts w:hint="eastAsia" w:ascii="仿宋" w:hAnsi="仿宋" w:eastAsia="仿宋" w:cs="仿宋"/>
          <w:b/>
          <w:color w:val="000000"/>
          <w:sz w:val="28"/>
          <w:szCs w:val="28"/>
          <w:highlight w:val="none"/>
          <w:lang w:eastAsia="zh-CN"/>
        </w:rPr>
        <w:fldChar w:fldCharType="end"/>
      </w:r>
    </w:p>
    <w:p>
      <w:pPr>
        <w:pageBreakBefore w:val="0"/>
        <w:widowControl w:val="0"/>
        <w:kinsoku/>
        <w:wordWrap/>
        <w:overflowPunct/>
        <w:topLinePunct w:val="0"/>
        <w:autoSpaceDE/>
        <w:autoSpaceDN/>
        <w:bidi w:val="0"/>
        <w:adjustRightInd w:val="0"/>
        <w:snapToGrid w:val="0"/>
        <w:spacing w:line="580" w:lineRule="exact"/>
        <w:ind w:left="-4" w:firstLine="591"/>
        <w:textAlignment w:val="auto"/>
        <w:rPr>
          <w:rFonts w:hint="eastAsia" w:ascii="仿宋" w:hAnsi="仿宋" w:eastAsia="仿宋" w:cs="仿宋"/>
          <w:b/>
          <w:color w:val="000000"/>
          <w:sz w:val="28"/>
          <w:szCs w:val="28"/>
          <w:highlight w:val="none"/>
          <w:lang w:eastAsia="zh-CN"/>
        </w:rPr>
      </w:pPr>
      <w:r>
        <w:rPr>
          <w:rFonts w:hint="eastAsia" w:ascii="仿宋" w:hAnsi="仿宋" w:eastAsia="仿宋" w:cs="仿宋"/>
          <w:b/>
          <w:color w:val="000000"/>
          <w:sz w:val="28"/>
          <w:szCs w:val="28"/>
          <w:highlight w:val="none"/>
          <w:lang w:eastAsia="zh-CN"/>
        </w:rPr>
        <w:t>币   种：人民币</w:t>
      </w:r>
    </w:p>
    <w:p>
      <w:pPr>
        <w:adjustRightInd w:val="0"/>
        <w:snapToGrid w:val="0"/>
        <w:spacing w:line="360" w:lineRule="auto"/>
        <w:ind w:firstLine="566" w:firstLineChars="200"/>
        <w:jc w:val="center"/>
        <w:rPr>
          <w:rFonts w:hint="eastAsia" w:ascii="仿宋" w:hAnsi="仿宋" w:eastAsia="仿宋" w:cs="仿宋"/>
          <w:b/>
          <w:sz w:val="28"/>
        </w:rPr>
      </w:pPr>
      <w:r>
        <w:rPr>
          <w:rFonts w:hint="eastAsia" w:ascii="仿宋" w:hAnsi="仿宋" w:eastAsia="仿宋" w:cs="仿宋"/>
          <w:b/>
          <w:sz w:val="28"/>
        </w:rPr>
        <w:t>评估结果一览表</w:t>
      </w:r>
    </w:p>
    <w:tbl>
      <w:tblPr>
        <w:tblStyle w:val="11"/>
        <w:tblW w:w="9768" w:type="dxa"/>
        <w:tblInd w:w="-179" w:type="dxa"/>
        <w:tblLayout w:type="fixed"/>
        <w:tblCellMar>
          <w:top w:w="0" w:type="dxa"/>
          <w:left w:w="0" w:type="dxa"/>
          <w:bottom w:w="0" w:type="dxa"/>
          <w:right w:w="0" w:type="dxa"/>
        </w:tblCellMar>
      </w:tblPr>
      <w:tblGrid>
        <w:gridCol w:w="844"/>
        <w:gridCol w:w="1720"/>
        <w:gridCol w:w="889"/>
        <w:gridCol w:w="1014"/>
        <w:gridCol w:w="1106"/>
        <w:gridCol w:w="991"/>
        <w:gridCol w:w="1050"/>
        <w:gridCol w:w="1069"/>
        <w:gridCol w:w="1085"/>
      </w:tblGrid>
      <w:tr>
        <w:tblPrEx>
          <w:tblLayout w:type="fixed"/>
          <w:tblCellMar>
            <w:top w:w="0" w:type="dxa"/>
            <w:left w:w="0" w:type="dxa"/>
            <w:bottom w:w="0" w:type="dxa"/>
            <w:right w:w="0" w:type="dxa"/>
          </w:tblCellMar>
        </w:tblPrEx>
        <w:trPr>
          <w:trHeight w:val="600" w:hRule="atLeast"/>
        </w:trPr>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房屋所有权人</w:t>
            </w:r>
          </w:p>
        </w:tc>
        <w:tc>
          <w:tcPr>
            <w:tcW w:w="1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房屋坐落</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房屋总层数</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所在层</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房屋用途</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建筑结构</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建筑面积</w:t>
            </w:r>
            <w:r>
              <w:rPr>
                <w:rFonts w:hint="eastAsia" w:ascii="仿宋" w:hAnsi="仿宋" w:eastAsia="仿宋" w:cs="仿宋"/>
                <w:b w:val="0"/>
                <w:bCs w:val="0"/>
                <w:i w:val="0"/>
                <w:color w:val="535353"/>
                <w:kern w:val="0"/>
                <w:sz w:val="22"/>
                <w:szCs w:val="22"/>
                <w:u w:val="none"/>
                <w:lang w:val="en-US" w:eastAsia="zh-CN" w:bidi="ar"/>
              </w:rPr>
              <w:t>（m</w:t>
            </w:r>
            <w:r>
              <w:rPr>
                <w:rFonts w:hint="eastAsia" w:ascii="仿宋" w:hAnsi="仿宋" w:eastAsia="仿宋" w:cs="仿宋"/>
                <w:b w:val="0"/>
                <w:bCs w:val="0"/>
                <w:i w:val="0"/>
                <w:color w:val="333333"/>
                <w:kern w:val="0"/>
                <w:sz w:val="22"/>
                <w:szCs w:val="22"/>
                <w:u w:val="none"/>
                <w:vertAlign w:val="superscript"/>
                <w:lang w:bidi="ar"/>
              </w:rPr>
              <w:t>2</w:t>
            </w:r>
            <w:r>
              <w:rPr>
                <w:rFonts w:hint="eastAsia" w:ascii="仿宋" w:hAnsi="仿宋" w:eastAsia="仿宋" w:cs="仿宋"/>
                <w:b w:val="0"/>
                <w:bCs w:val="0"/>
                <w:i w:val="0"/>
                <w:color w:val="535353"/>
                <w:kern w:val="0"/>
                <w:sz w:val="22"/>
                <w:szCs w:val="22"/>
                <w:u w:val="none"/>
                <w:lang w:bidi="ar"/>
              </w:rPr>
              <w:t>）</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评估单价</w:t>
            </w:r>
            <w:r>
              <w:rPr>
                <w:rFonts w:hint="eastAsia" w:ascii="仿宋" w:hAnsi="仿宋" w:eastAsia="仿宋" w:cs="仿宋"/>
                <w:b w:val="0"/>
                <w:bCs w:val="0"/>
                <w:i w:val="0"/>
                <w:color w:val="535353"/>
                <w:kern w:val="0"/>
                <w:sz w:val="22"/>
                <w:szCs w:val="22"/>
                <w:u w:val="none"/>
                <w:lang w:val="en-US" w:eastAsia="zh-CN" w:bidi="ar"/>
              </w:rPr>
              <w:t>（元/m</w:t>
            </w:r>
            <w:r>
              <w:rPr>
                <w:rFonts w:hint="eastAsia" w:ascii="仿宋" w:hAnsi="仿宋" w:eastAsia="仿宋" w:cs="仿宋"/>
                <w:b w:val="0"/>
                <w:bCs w:val="0"/>
                <w:i w:val="0"/>
                <w:color w:val="333333"/>
                <w:kern w:val="0"/>
                <w:sz w:val="22"/>
                <w:szCs w:val="22"/>
                <w:u w:val="none"/>
                <w:vertAlign w:val="superscript"/>
                <w:lang w:bidi="ar"/>
              </w:rPr>
              <w:t>2</w:t>
            </w:r>
            <w:r>
              <w:rPr>
                <w:rFonts w:hint="eastAsia" w:ascii="仿宋" w:hAnsi="仿宋" w:eastAsia="仿宋" w:cs="仿宋"/>
                <w:b w:val="0"/>
                <w:bCs w:val="0"/>
                <w:i w:val="0"/>
                <w:color w:val="535353"/>
                <w:kern w:val="0"/>
                <w:sz w:val="22"/>
                <w:szCs w:val="22"/>
                <w:u w:val="none"/>
                <w:lang w:bidi="ar"/>
              </w:rPr>
              <w:t>）</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b w:val="0"/>
                <w:bCs w:val="0"/>
                <w:i w:val="0"/>
                <w:color w:val="000000"/>
                <w:kern w:val="0"/>
                <w:sz w:val="22"/>
                <w:szCs w:val="22"/>
                <w:u w:val="none"/>
                <w:lang w:val="en-US" w:eastAsia="zh-CN" w:bidi="ar"/>
              </w:rPr>
              <w:t>评估总价</w:t>
            </w:r>
            <w:r>
              <w:rPr>
                <w:rFonts w:hint="eastAsia" w:ascii="仿宋" w:hAnsi="仿宋" w:eastAsia="仿宋" w:cs="仿宋"/>
                <w:b w:val="0"/>
                <w:bCs w:val="0"/>
                <w:i w:val="0"/>
                <w:color w:val="535353"/>
                <w:kern w:val="0"/>
                <w:sz w:val="22"/>
                <w:szCs w:val="22"/>
                <w:u w:val="none"/>
                <w:lang w:val="en-US" w:eastAsia="zh-CN" w:bidi="ar"/>
              </w:rPr>
              <w:t>(万元）</w:t>
            </w:r>
          </w:p>
        </w:tc>
      </w:tr>
      <w:tr>
        <w:tblPrEx>
          <w:tblLayout w:type="fixed"/>
          <w:tblCellMar>
            <w:top w:w="0" w:type="dxa"/>
            <w:left w:w="0" w:type="dxa"/>
            <w:bottom w:w="0" w:type="dxa"/>
            <w:right w:w="0" w:type="dxa"/>
          </w:tblCellMar>
        </w:tblPrEx>
        <w:trPr>
          <w:trHeight w:val="692" w:hRule="atLeast"/>
        </w:trPr>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方芳</w:t>
            </w:r>
          </w:p>
        </w:tc>
        <w:tc>
          <w:tcPr>
            <w:tcW w:w="1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安顺市平坝区城关镇顺城村</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3层</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1-3层</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住宅</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混合</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230.98 </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3422</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79.04</w:t>
            </w:r>
          </w:p>
        </w:tc>
      </w:tr>
      <w:tr>
        <w:tblPrEx>
          <w:tblLayout w:type="fixed"/>
          <w:tblCellMar>
            <w:top w:w="0" w:type="dxa"/>
            <w:left w:w="0" w:type="dxa"/>
            <w:bottom w:w="0" w:type="dxa"/>
            <w:right w:w="0" w:type="dxa"/>
          </w:tblCellMar>
        </w:tblPrEx>
        <w:trPr>
          <w:trHeight w:val="540" w:hRule="atLeast"/>
        </w:trPr>
        <w:tc>
          <w:tcPr>
            <w:tcW w:w="656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230.98</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79.04</w:t>
            </w:r>
          </w:p>
        </w:tc>
      </w:tr>
    </w:tbl>
    <w:p>
      <w:pPr>
        <w:pStyle w:val="3"/>
        <w:adjustRightInd w:val="0"/>
        <w:snapToGrid w:val="0"/>
        <w:spacing w:line="360" w:lineRule="auto"/>
        <w:rPr>
          <w:rFonts w:hint="eastAsia" w:ascii="仿宋" w:hAnsi="仿宋" w:eastAsia="仿宋" w:cs="仿宋"/>
          <w:snapToGrid w:val="0"/>
          <w:sz w:val="28"/>
          <w:szCs w:val="28"/>
          <w:highlight w:val="none"/>
        </w:rPr>
      </w:pPr>
      <w:bookmarkStart w:id="112" w:name="_Toc7544"/>
      <w:r>
        <w:rPr>
          <w:rFonts w:hint="eastAsia" w:ascii="仿宋" w:hAnsi="仿宋" w:eastAsia="仿宋" w:cs="仿宋"/>
          <w:snapToGrid w:val="0"/>
          <w:sz w:val="28"/>
          <w:szCs w:val="28"/>
          <w:highlight w:val="none"/>
        </w:rPr>
        <w:t>十一、注册房地产估价师</w:t>
      </w:r>
      <w:bookmarkEnd w:id="105"/>
      <w:bookmarkEnd w:id="106"/>
      <w:bookmarkEnd w:id="107"/>
      <w:bookmarkEnd w:id="108"/>
      <w:bookmarkEnd w:id="109"/>
      <w:bookmarkEnd w:id="110"/>
      <w:bookmarkEnd w:id="111"/>
      <w:bookmarkEnd w:id="112"/>
    </w:p>
    <w:tbl>
      <w:tblPr>
        <w:tblStyle w:val="11"/>
        <w:tblpPr w:leftFromText="180" w:rightFromText="180" w:vertAnchor="text" w:horzAnchor="margin" w:tblpY="475"/>
        <w:tblOverlap w:val="never"/>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590"/>
        <w:gridCol w:w="2302"/>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80" w:type="dxa"/>
            <w:vAlign w:val="center"/>
          </w:tcPr>
          <w:p>
            <w:pPr>
              <w:adjustRightInd w:val="0"/>
              <w:snapToGrid w:val="0"/>
              <w:jc w:val="center"/>
              <w:rPr>
                <w:rFonts w:hint="eastAsia" w:ascii="仿宋" w:hAnsi="仿宋" w:eastAsia="仿宋" w:cs="仿宋"/>
                <w:spacing w:val="-20"/>
                <w:sz w:val="28"/>
                <w:szCs w:val="28"/>
                <w:highlight w:val="none"/>
              </w:rPr>
            </w:pPr>
            <w:bookmarkStart w:id="113" w:name="_Toc408527837"/>
            <w:r>
              <w:rPr>
                <w:rFonts w:hint="eastAsia" w:ascii="仿宋" w:hAnsi="仿宋" w:eastAsia="仿宋" w:cs="仿宋"/>
                <w:spacing w:val="-20"/>
                <w:sz w:val="28"/>
                <w:szCs w:val="28"/>
                <w:highlight w:val="none"/>
              </w:rPr>
              <w:t>姓   名</w:t>
            </w:r>
          </w:p>
        </w:tc>
        <w:tc>
          <w:tcPr>
            <w:tcW w:w="2590"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注册号</w:t>
            </w:r>
          </w:p>
        </w:tc>
        <w:tc>
          <w:tcPr>
            <w:tcW w:w="2302"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签   名</w:t>
            </w:r>
          </w:p>
        </w:tc>
        <w:tc>
          <w:tcPr>
            <w:tcW w:w="2733"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980"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napToGrid w:val="0"/>
                <w:kern w:val="0"/>
                <w:sz w:val="28"/>
                <w:szCs w:val="28"/>
                <w:highlight w:val="none"/>
              </w:rPr>
              <w:t>韩朝钦</w:t>
            </w:r>
          </w:p>
        </w:tc>
        <w:tc>
          <w:tcPr>
            <w:tcW w:w="2590"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z w:val="28"/>
                <w:szCs w:val="28"/>
                <w:highlight w:val="none"/>
              </w:rPr>
              <w:t>5220140044</w:t>
            </w:r>
          </w:p>
        </w:tc>
        <w:tc>
          <w:tcPr>
            <w:tcW w:w="2302" w:type="dxa"/>
            <w:vAlign w:val="center"/>
          </w:tcPr>
          <w:p>
            <w:pPr>
              <w:adjustRightInd w:val="0"/>
              <w:snapToGrid w:val="0"/>
              <w:jc w:val="center"/>
              <w:rPr>
                <w:rFonts w:hint="eastAsia" w:ascii="仿宋" w:hAnsi="仿宋" w:eastAsia="仿宋" w:cs="仿宋"/>
                <w:spacing w:val="-20"/>
                <w:sz w:val="28"/>
                <w:szCs w:val="28"/>
                <w:highlight w:val="none"/>
              </w:rPr>
            </w:pPr>
          </w:p>
        </w:tc>
        <w:tc>
          <w:tcPr>
            <w:tcW w:w="2733"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980" w:type="dxa"/>
            <w:vAlign w:val="center"/>
          </w:tcPr>
          <w:p>
            <w:pPr>
              <w:adjustRightInd w:val="0"/>
              <w:snapToGrid w:val="0"/>
              <w:jc w:val="center"/>
              <w:rPr>
                <w:rFonts w:hint="eastAsia" w:ascii="仿宋" w:hAnsi="仿宋" w:eastAsia="仿宋" w:cs="仿宋"/>
                <w:spacing w:val="-20"/>
                <w:sz w:val="28"/>
                <w:szCs w:val="28"/>
                <w:highlight w:val="none"/>
                <w:lang w:eastAsia="zh-CN"/>
              </w:rPr>
            </w:pPr>
            <w:r>
              <w:rPr>
                <w:rFonts w:hint="eastAsia" w:ascii="仿宋" w:hAnsi="仿宋" w:eastAsia="仿宋" w:cs="仿宋"/>
                <w:snapToGrid w:val="0"/>
                <w:kern w:val="0"/>
                <w:sz w:val="28"/>
                <w:szCs w:val="28"/>
                <w:highlight w:val="none"/>
                <w:lang w:eastAsia="zh-CN"/>
              </w:rPr>
              <w:t>张李楠</w:t>
            </w:r>
          </w:p>
        </w:tc>
        <w:tc>
          <w:tcPr>
            <w:tcW w:w="2590" w:type="dxa"/>
            <w:vAlign w:val="center"/>
          </w:tcPr>
          <w:p>
            <w:pPr>
              <w:adjustRightInd w:val="0"/>
              <w:snapToGrid w:val="0"/>
              <w:jc w:val="center"/>
              <w:rPr>
                <w:rFonts w:hint="eastAsia" w:ascii="仿宋" w:hAnsi="仿宋" w:eastAsia="仿宋" w:cs="仿宋"/>
                <w:spacing w:val="-20"/>
                <w:sz w:val="28"/>
                <w:szCs w:val="28"/>
                <w:highlight w:val="none"/>
                <w:lang w:eastAsia="zh-CN"/>
              </w:rPr>
            </w:pPr>
            <w:r>
              <w:rPr>
                <w:rFonts w:hint="eastAsia" w:ascii="仿宋" w:hAnsi="仿宋" w:eastAsia="仿宋" w:cs="仿宋"/>
                <w:sz w:val="28"/>
                <w:szCs w:val="28"/>
                <w:highlight w:val="none"/>
                <w:lang w:eastAsia="zh-CN"/>
              </w:rPr>
              <w:t>5220180051</w:t>
            </w:r>
          </w:p>
        </w:tc>
        <w:tc>
          <w:tcPr>
            <w:tcW w:w="2302" w:type="dxa"/>
            <w:vAlign w:val="center"/>
          </w:tcPr>
          <w:p>
            <w:pPr>
              <w:adjustRightInd w:val="0"/>
              <w:snapToGrid w:val="0"/>
              <w:jc w:val="center"/>
              <w:rPr>
                <w:rFonts w:hint="eastAsia" w:ascii="仿宋" w:hAnsi="仿宋" w:eastAsia="仿宋" w:cs="仿宋"/>
                <w:spacing w:val="-20"/>
                <w:sz w:val="28"/>
                <w:szCs w:val="28"/>
                <w:highlight w:val="none"/>
              </w:rPr>
            </w:pPr>
          </w:p>
        </w:tc>
        <w:tc>
          <w:tcPr>
            <w:tcW w:w="2733" w:type="dxa"/>
            <w:vAlign w:val="center"/>
          </w:tcPr>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 xml:space="preserve">    年   月   日</w:t>
            </w:r>
          </w:p>
        </w:tc>
      </w:tr>
      <w:bookmarkEnd w:id="113"/>
    </w:tbl>
    <w:p>
      <w:pPr>
        <w:adjustRightInd w:val="0"/>
        <w:snapToGrid w:val="0"/>
        <w:jc w:val="center"/>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注册房地产估价师</w:t>
      </w:r>
    </w:p>
    <w:p>
      <w:pPr>
        <w:pStyle w:val="3"/>
        <w:adjustRightInd w:val="0"/>
        <w:snapToGrid w:val="0"/>
        <w:spacing w:line="360" w:lineRule="auto"/>
        <w:rPr>
          <w:rFonts w:hint="eastAsia" w:ascii="仿宋" w:hAnsi="仿宋" w:eastAsia="仿宋" w:cs="仿宋"/>
          <w:snapToGrid w:val="0"/>
          <w:sz w:val="28"/>
          <w:szCs w:val="28"/>
          <w:highlight w:val="none"/>
        </w:rPr>
      </w:pPr>
      <w:bookmarkStart w:id="114" w:name="_Toc30761"/>
      <w:bookmarkStart w:id="115" w:name="_Toc408527838"/>
      <w:bookmarkStart w:id="116" w:name="_Toc13286"/>
      <w:bookmarkStart w:id="117" w:name="_Toc26040"/>
      <w:bookmarkStart w:id="118" w:name="_Toc21005"/>
      <w:bookmarkStart w:id="119" w:name="_Toc437853101"/>
      <w:bookmarkStart w:id="120" w:name="_Toc3499"/>
      <w:bookmarkStart w:id="121" w:name="_Toc2670"/>
      <w:r>
        <w:rPr>
          <w:rFonts w:hint="eastAsia" w:ascii="仿宋" w:hAnsi="仿宋" w:eastAsia="仿宋" w:cs="仿宋"/>
          <w:snapToGrid w:val="0"/>
          <w:sz w:val="28"/>
          <w:szCs w:val="28"/>
          <w:highlight w:val="none"/>
        </w:rPr>
        <w:t>十二、实地查勘期</w:t>
      </w:r>
      <w:bookmarkEnd w:id="114"/>
      <w:bookmarkEnd w:id="115"/>
      <w:bookmarkEnd w:id="116"/>
      <w:bookmarkEnd w:id="117"/>
      <w:bookmarkEnd w:id="118"/>
      <w:bookmarkEnd w:id="119"/>
      <w:bookmarkEnd w:id="120"/>
      <w:bookmarkEnd w:id="121"/>
    </w:p>
    <w:p>
      <w:pPr>
        <w:pStyle w:val="13"/>
        <w:snapToGrid w:val="0"/>
        <w:spacing w:line="360" w:lineRule="auto"/>
        <w:ind w:firstLine="566" w:firstLineChars="200"/>
        <w:textAlignment w:val="auto"/>
        <w:rPr>
          <w:rFonts w:hint="eastAsia" w:ascii="仿宋" w:hAnsi="仿宋" w:eastAsia="仿宋" w:cs="仿宋"/>
          <w:kern w:val="2"/>
          <w:szCs w:val="28"/>
          <w:highlight w:val="none"/>
        </w:rPr>
      </w:pPr>
      <w:r>
        <w:rPr>
          <w:rFonts w:hint="eastAsia" w:ascii="仿宋" w:hAnsi="仿宋" w:eastAsia="仿宋" w:cs="仿宋"/>
          <w:kern w:val="2"/>
          <w:szCs w:val="28"/>
          <w:highlight w:val="none"/>
          <w:lang w:eastAsia="zh-CN"/>
        </w:rPr>
        <w:t>2020年01月17日</w:t>
      </w:r>
      <w:r>
        <w:rPr>
          <w:rFonts w:hint="eastAsia" w:ascii="仿宋" w:hAnsi="仿宋" w:eastAsia="仿宋" w:cs="仿宋"/>
          <w:kern w:val="2"/>
          <w:szCs w:val="28"/>
          <w:highlight w:val="none"/>
        </w:rPr>
        <w:t>。</w:t>
      </w:r>
    </w:p>
    <w:p>
      <w:pPr>
        <w:pStyle w:val="3"/>
        <w:adjustRightInd w:val="0"/>
        <w:snapToGrid w:val="0"/>
        <w:spacing w:line="360" w:lineRule="auto"/>
        <w:rPr>
          <w:rFonts w:hint="eastAsia" w:ascii="仿宋" w:hAnsi="仿宋" w:eastAsia="仿宋" w:cs="仿宋"/>
          <w:snapToGrid w:val="0"/>
          <w:sz w:val="28"/>
          <w:szCs w:val="28"/>
          <w:highlight w:val="none"/>
        </w:rPr>
      </w:pPr>
      <w:bookmarkStart w:id="122" w:name="_Toc408527839"/>
      <w:bookmarkStart w:id="123" w:name="_Toc8326"/>
      <w:bookmarkStart w:id="124" w:name="_Toc28458"/>
      <w:bookmarkStart w:id="125" w:name="_Toc437853102"/>
      <w:bookmarkStart w:id="126" w:name="_Toc16331"/>
      <w:bookmarkStart w:id="127" w:name="_Toc16191"/>
      <w:bookmarkStart w:id="128" w:name="_Toc12048"/>
      <w:bookmarkStart w:id="129" w:name="_Toc27926"/>
      <w:r>
        <w:rPr>
          <w:rFonts w:hint="eastAsia" w:ascii="仿宋" w:hAnsi="仿宋" w:eastAsia="仿宋" w:cs="仿宋"/>
          <w:snapToGrid w:val="0"/>
          <w:sz w:val="28"/>
          <w:szCs w:val="28"/>
          <w:highlight w:val="none"/>
        </w:rPr>
        <w:t>十三、估价作业期</w:t>
      </w:r>
      <w:bookmarkEnd w:id="122"/>
      <w:bookmarkEnd w:id="123"/>
      <w:bookmarkEnd w:id="124"/>
      <w:bookmarkEnd w:id="125"/>
      <w:bookmarkEnd w:id="126"/>
      <w:bookmarkEnd w:id="127"/>
      <w:bookmarkEnd w:id="128"/>
      <w:bookmarkEnd w:id="129"/>
    </w:p>
    <w:p>
      <w:pPr>
        <w:adjustRightInd w:val="0"/>
        <w:snapToGrid w:val="0"/>
        <w:spacing w:line="360" w:lineRule="auto"/>
        <w:ind w:firstLine="526" w:firstLineChars="200"/>
        <w:rPr>
          <w:rFonts w:hint="eastAsia" w:ascii="仿宋" w:hAnsi="仿宋" w:eastAsia="仿宋" w:cs="仿宋"/>
          <w:sz w:val="28"/>
          <w:highlight w:val="none"/>
        </w:rPr>
        <w:sectPr>
          <w:headerReference r:id="rId15" w:type="default"/>
          <w:pgSz w:w="11906" w:h="16838"/>
          <w:pgMar w:top="1247" w:right="1020" w:bottom="1247" w:left="1497" w:header="907" w:footer="907" w:gutter="0"/>
          <w:cols w:space="720" w:num="1"/>
          <w:docGrid w:type="linesAndChars" w:linePitch="312" w:charSpace="693"/>
        </w:sectPr>
      </w:pPr>
      <w:r>
        <w:rPr>
          <w:rFonts w:hint="eastAsia" w:ascii="仿宋" w:hAnsi="仿宋" w:eastAsia="仿宋" w:cs="仿宋"/>
          <w:spacing w:val="-10"/>
          <w:sz w:val="28"/>
          <w:szCs w:val="28"/>
          <w:highlight w:val="none"/>
          <w:lang w:eastAsia="zh-CN"/>
        </w:rPr>
        <w:t>2020年01月17日至2020年03月04日</w:t>
      </w:r>
      <w:bookmarkStart w:id="130" w:name="_Toc408527840"/>
      <w:r>
        <w:rPr>
          <w:rFonts w:hint="eastAsia" w:ascii="仿宋" w:hAnsi="仿宋" w:eastAsia="仿宋" w:cs="仿宋"/>
          <w:spacing w:val="-10"/>
          <w:sz w:val="28"/>
          <w:szCs w:val="28"/>
          <w:highlight w:val="none"/>
          <w:lang w:eastAsia="zh-CN"/>
        </w:rPr>
        <w:t>。</w:t>
      </w:r>
    </w:p>
    <w:bookmarkEnd w:id="130"/>
    <w:p>
      <w:pPr>
        <w:pStyle w:val="2"/>
        <w:adjustRightInd w:val="0"/>
        <w:snapToGrid w:val="0"/>
        <w:spacing w:line="42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eastAsia="宋体"/>
      </w:rPr>
    </w:pPr>
    <w:r>
      <w:fldChar w:fldCharType="begin"/>
    </w:r>
    <w:r>
      <w:rPr>
        <w:rStyle w:val="10"/>
        <w:rFonts w:eastAsia="宋体"/>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ascii="楷体" w:hAnsi="楷体" w:eastAsia="楷体" w:cs="Arial"/>
        <w:sz w:val="21"/>
        <w:szCs w:val="21"/>
      </w:rPr>
    </w:pPr>
    <w:r>
      <w:rPr>
        <w:rFonts w:ascii="楷体" w:hAnsi="楷体" w:eastAsia="楷体"/>
        <w:b/>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-15240</wp:posOffset>
              </wp:positionV>
              <wp:extent cx="5979795"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979795"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pt;margin-top:-1.2pt;height:0.15pt;width:470.85pt;z-index:251658240;mso-width-relative:page;mso-height-relative:page;" filled="f" stroked="t" coordsize="21600,21600" o:gfxdata="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JHre1wAAAAgBAAAP&#10;AAAAAAAAAAEAIAAAACIAAABkcnMvZG93bnJldi54bWxQSwECFAAUAAAACACHTuJAX5s4EOABAACj&#10;AwAADgAAAAAAAAABACAAAAAmAQAAZHJzL2Uyb0RvYy54bWxQSwUGAAAAAAYABgBZAQAAeAUAAAAA&#10;">
              <v:fill on="f" focussize="0,0"/>
              <v:stroke color="#000000" joinstyle="round"/>
              <v:imagedata o:title=""/>
              <o:lock v:ext="edit" aspectratio="f"/>
            </v:line>
          </w:pict>
        </mc:Fallback>
      </mc:AlternateContent>
    </w:r>
    <w:r>
      <w:rPr>
        <w:rFonts w:hint="eastAsia" w:ascii="楷体" w:hAnsi="楷体" w:eastAsia="楷体" w:cs="Arial"/>
        <w:sz w:val="21"/>
        <w:szCs w:val="21"/>
      </w:rPr>
      <w:t>四川诺力达资产评估房地产土地估价有限公司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ascii="楷体" w:hAnsi="楷体" w:eastAsia="楷体" w:cs="Arial"/>
        <w:sz w:val="21"/>
        <w:szCs w:val="21"/>
      </w:rPr>
    </w:pPr>
    <w:r>
      <w:rPr>
        <w:rFonts w:ascii="楷体" w:hAnsi="楷体" w:eastAsia="楷体"/>
        <w:b/>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-15240</wp:posOffset>
              </wp:positionV>
              <wp:extent cx="597979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979795"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6pt;margin-top:-1.2pt;height:0.15pt;width:470.85pt;z-index:251660288;mso-width-relative:page;mso-height-relative:page;" filled="f" stroked="t" coordsize="21600,21600" o:gfxdata="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JHre1wAAAAgB&#10;AAAPAAAAAAAAAAEAIAAAACIAAABkcnMvZG93bnJldi54bWxQSwECFAAUAAAACACHTuJAcj6Ig+MB&#10;AACjAwAADgAAAAAAAAABACAAAAAmAQAAZHJzL2Uyb0RvYy54bWxQSwUGAAAAAAYABgBZAQAAewUA&#10;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hint="eastAsia" w:ascii="楷体" w:hAnsi="楷体" w:eastAsia="楷体"/>
                              <w:sz w:val="21"/>
                              <w:szCs w:val="21"/>
                              <w:lang w:eastAsia="zh-CN"/>
                            </w:rPr>
                          </w:pPr>
                          <w:r>
                            <w:rPr>
                              <w:rStyle w:val="10"/>
                              <w:rFonts w:hint="eastAsia" w:ascii="楷体" w:hAnsi="楷体" w:eastAsia="楷体"/>
                              <w:sz w:val="21"/>
                              <w:szCs w:val="21"/>
                              <w:lang w:eastAsia="zh-CN"/>
                            </w:rPr>
                            <w:t xml:space="preserve">第 </w:t>
                          </w:r>
                          <w:r>
                            <w:rPr>
                              <w:rFonts w:hint="eastAsia" w:ascii="楷体" w:hAnsi="楷体" w:eastAsia="楷体"/>
                              <w:sz w:val="21"/>
                              <w:szCs w:val="21"/>
                            </w:rPr>
                            <w:fldChar w:fldCharType="begin"/>
                          </w:r>
                          <w:r>
                            <w:rPr>
                              <w:rStyle w:val="10"/>
                              <w:rFonts w:hint="eastAsia" w:ascii="楷体" w:hAnsi="楷体" w:eastAsia="楷体"/>
                              <w:sz w:val="21"/>
                              <w:szCs w:val="21"/>
                              <w:lang w:eastAsia="zh-CN"/>
                            </w:rPr>
                            <w:instrText xml:space="preserve"> PAGE  \* MERGEFORMAT </w:instrText>
                          </w:r>
                          <w:r>
                            <w:rPr>
                              <w:rFonts w:hint="eastAsia" w:ascii="楷体" w:hAnsi="楷体" w:eastAsia="楷体"/>
                              <w:sz w:val="21"/>
                              <w:szCs w:val="21"/>
                            </w:rPr>
                            <w:fldChar w:fldCharType="separate"/>
                          </w:r>
                          <w:r>
                            <w:rPr>
                              <w:rFonts w:eastAsia="楷体"/>
                              <w:sz w:val="20"/>
                              <w:szCs w:val="20"/>
                            </w:rPr>
                            <w:t>1</w:t>
                          </w:r>
                          <w:r>
                            <w:rPr>
                              <w:rFonts w:hint="eastAsia" w:ascii="楷体" w:hAnsi="楷体" w:eastAsia="楷体"/>
                              <w:sz w:val="21"/>
                              <w:szCs w:val="21"/>
                            </w:rPr>
                            <w:fldChar w:fldCharType="end"/>
                          </w:r>
                          <w:r>
                            <w:rPr>
                              <w:rStyle w:val="10"/>
                              <w:rFonts w:hint="eastAsia" w:ascii="楷体" w:hAnsi="楷体" w:eastAsia="楷体"/>
                              <w:sz w:val="21"/>
                              <w:szCs w:val="21"/>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5"/>
                      <w:rPr>
                        <w:rStyle w:val="10"/>
                        <w:rFonts w:hint="eastAsia" w:ascii="楷体" w:hAnsi="楷体" w:eastAsia="楷体"/>
                        <w:sz w:val="21"/>
                        <w:szCs w:val="21"/>
                        <w:lang w:eastAsia="zh-CN"/>
                      </w:rPr>
                    </w:pPr>
                    <w:r>
                      <w:rPr>
                        <w:rStyle w:val="10"/>
                        <w:rFonts w:hint="eastAsia" w:ascii="楷体" w:hAnsi="楷体" w:eastAsia="楷体"/>
                        <w:sz w:val="21"/>
                        <w:szCs w:val="21"/>
                        <w:lang w:eastAsia="zh-CN"/>
                      </w:rPr>
                      <w:t xml:space="preserve">第 </w:t>
                    </w:r>
                    <w:r>
                      <w:rPr>
                        <w:rFonts w:hint="eastAsia" w:ascii="楷体" w:hAnsi="楷体" w:eastAsia="楷体"/>
                        <w:sz w:val="21"/>
                        <w:szCs w:val="21"/>
                      </w:rPr>
                      <w:fldChar w:fldCharType="begin"/>
                    </w:r>
                    <w:r>
                      <w:rPr>
                        <w:rStyle w:val="10"/>
                        <w:rFonts w:hint="eastAsia" w:ascii="楷体" w:hAnsi="楷体" w:eastAsia="楷体"/>
                        <w:sz w:val="21"/>
                        <w:szCs w:val="21"/>
                        <w:lang w:eastAsia="zh-CN"/>
                      </w:rPr>
                      <w:instrText xml:space="preserve"> PAGE  \* MERGEFORMAT </w:instrText>
                    </w:r>
                    <w:r>
                      <w:rPr>
                        <w:rFonts w:hint="eastAsia" w:ascii="楷体" w:hAnsi="楷体" w:eastAsia="楷体"/>
                        <w:sz w:val="21"/>
                        <w:szCs w:val="21"/>
                      </w:rPr>
                      <w:fldChar w:fldCharType="separate"/>
                    </w:r>
                    <w:r>
                      <w:rPr>
                        <w:rFonts w:eastAsia="楷体"/>
                        <w:sz w:val="20"/>
                        <w:szCs w:val="20"/>
                      </w:rPr>
                      <w:t>1</w:t>
                    </w:r>
                    <w:r>
                      <w:rPr>
                        <w:rFonts w:hint="eastAsia" w:ascii="楷体" w:hAnsi="楷体" w:eastAsia="楷体"/>
                        <w:sz w:val="21"/>
                        <w:szCs w:val="21"/>
                      </w:rPr>
                      <w:fldChar w:fldCharType="end"/>
                    </w:r>
                    <w:r>
                      <w:rPr>
                        <w:rStyle w:val="10"/>
                        <w:rFonts w:hint="eastAsia" w:ascii="楷体" w:hAnsi="楷体" w:eastAsia="楷体"/>
                        <w:sz w:val="21"/>
                        <w:szCs w:val="21"/>
                        <w:lang w:eastAsia="zh-CN"/>
                      </w:rPr>
                      <w:t xml:space="preserve"> 页</w:t>
                    </w:r>
                  </w:p>
                </w:txbxContent>
              </v:textbox>
            </v:shape>
          </w:pict>
        </mc:Fallback>
      </mc:AlternateContent>
    </w:r>
    <w:r>
      <w:rPr>
        <w:rFonts w:hint="eastAsia" w:ascii="楷体" w:hAnsi="楷体" w:eastAsia="楷体" w:cs="Arial"/>
        <w:sz w:val="21"/>
        <w:szCs w:val="21"/>
      </w:rPr>
      <w:t>四川诺力达资产评估房地产土地估价有限公司</w:t>
    </w:r>
    <w:bookmarkStart w:id="131" w:name="_GoBack"/>
    <w:bookmarkEnd w:id="13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48"/>
      </w:tabs>
      <w:jc w:val="both"/>
      <w:rPr>
        <w:rFonts w:ascii="楷体" w:hAnsi="楷体" w:eastAsia="楷体"/>
        <w:sz w:val="21"/>
        <w:szCs w:val="21"/>
      </w:rPr>
    </w:pPr>
    <w:r>
      <w:rPr>
        <w:rFonts w:hint="eastAsia" w:ascii="楷体" w:hAnsi="楷体" w:eastAsia="楷体" w:cs="Arial"/>
        <w:sz w:val="21"/>
        <w:szCs w:val="21"/>
      </w:rPr>
      <w:t xml:space="preserve">房地产估价报告 </w:t>
    </w:r>
    <w:r>
      <w:rPr>
        <w:rFonts w:hint="eastAsia" w:ascii="楷体" w:hAnsi="楷体" w:eastAsia="楷体"/>
        <w:i/>
        <w:sz w:val="21"/>
        <w:szCs w:val="21"/>
      </w:rPr>
      <w:t xml:space="preserve">                                                            </w:t>
    </w:r>
    <w:r>
      <w:rPr>
        <w:rFonts w:hint="eastAsia" w:ascii="楷体" w:hAnsi="楷体" w:eastAsia="楷体"/>
        <w:iCs/>
        <w:sz w:val="21"/>
        <w:szCs w:val="21"/>
      </w:rPr>
      <w:t>致估价委托人函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48"/>
      </w:tabs>
      <w:jc w:val="both"/>
      <w:rPr>
        <w:rFonts w:hint="eastAsia" w:ascii="楷体" w:hAnsi="楷体" w:eastAsia="楷体"/>
        <w:i/>
        <w:sz w:val="21"/>
        <w:szCs w:val="21"/>
      </w:rPr>
    </w:pPr>
    <w:r>
      <w:rPr>
        <w:rFonts w:hint="eastAsia" w:ascii="楷体" w:hAnsi="楷体" w:eastAsia="楷体" w:cs="Arial"/>
        <w:sz w:val="21"/>
        <w:szCs w:val="21"/>
      </w:rPr>
      <w:t xml:space="preserve">房地产估价报告 </w:t>
    </w:r>
    <w:r>
      <w:rPr>
        <w:rFonts w:hint="eastAsia" w:ascii="楷体" w:hAnsi="楷体" w:eastAsia="楷体"/>
        <w:i/>
        <w:sz w:val="21"/>
        <w:szCs w:val="21"/>
      </w:rPr>
      <w:t xml:space="preserve">                                                                </w:t>
    </w:r>
    <w:r>
      <w:rPr>
        <w:rFonts w:hint="eastAsia" w:ascii="楷体" w:hAnsi="楷体" w:eastAsia="楷体"/>
        <w:iCs/>
        <w:sz w:val="21"/>
        <w:szCs w:val="21"/>
      </w:rPr>
      <w:t>估价师声明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48"/>
      </w:tabs>
      <w:jc w:val="both"/>
      <w:rPr>
        <w:rFonts w:hint="eastAsia" w:ascii="楷体" w:hAnsi="楷体" w:eastAsia="楷体"/>
        <w:i/>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5BB9E"/>
    <w:multiLevelType w:val="singleLevel"/>
    <w:tmpl w:val="8135BB9E"/>
    <w:lvl w:ilvl="0" w:tentative="0">
      <w:start w:val="4"/>
      <w:numFmt w:val="chineseCounting"/>
      <w:suff w:val="nothing"/>
      <w:lvlText w:val="（%1）"/>
      <w:lvlJc w:val="left"/>
      <w:rPr>
        <w:rFonts w:hint="eastAsia"/>
      </w:rPr>
    </w:lvl>
  </w:abstractNum>
  <w:abstractNum w:abstractNumId="1">
    <w:nsid w:val="D9CEDE34"/>
    <w:multiLevelType w:val="singleLevel"/>
    <w:tmpl w:val="D9CEDE34"/>
    <w:lvl w:ilvl="0" w:tentative="0">
      <w:start w:val="11"/>
      <w:numFmt w:val="decimal"/>
      <w:suff w:val="nothing"/>
      <w:lvlText w:val="%1、"/>
      <w:lvlJc w:val="left"/>
    </w:lvl>
  </w:abstractNum>
  <w:abstractNum w:abstractNumId="2">
    <w:nsid w:val="DC63ADEE"/>
    <w:multiLevelType w:val="singleLevel"/>
    <w:tmpl w:val="DC63ADEE"/>
    <w:lvl w:ilvl="0" w:tentative="0">
      <w:start w:val="5"/>
      <w:numFmt w:val="decimal"/>
      <w:suff w:val="nothing"/>
      <w:lvlText w:val="%1、"/>
      <w:lvlJc w:val="left"/>
    </w:lvl>
  </w:abstractNum>
  <w:abstractNum w:abstractNumId="3">
    <w:nsid w:val="07BB7D78"/>
    <w:multiLevelType w:val="singleLevel"/>
    <w:tmpl w:val="07BB7D78"/>
    <w:lvl w:ilvl="0" w:tentative="0">
      <w:start w:val="1"/>
      <w:numFmt w:val="decimal"/>
      <w:suff w:val="nothing"/>
      <w:lvlText w:val="（%1）"/>
      <w:lvlJc w:val="left"/>
    </w:lvl>
  </w:abstractNum>
  <w:abstractNum w:abstractNumId="4">
    <w:nsid w:val="2763264D"/>
    <w:multiLevelType w:val="singleLevel"/>
    <w:tmpl w:val="2763264D"/>
    <w:lvl w:ilvl="0" w:tentative="0">
      <w:start w:val="2"/>
      <w:numFmt w:val="decimal"/>
      <w:suff w:val="nothing"/>
      <w:lvlText w:val="%1、"/>
      <w:lvlJc w:val="left"/>
    </w:lvl>
  </w:abstractNum>
  <w:abstractNum w:abstractNumId="5">
    <w:nsid w:val="44012EA8"/>
    <w:multiLevelType w:val="multilevel"/>
    <w:tmpl w:val="44012EA8"/>
    <w:lvl w:ilvl="0" w:tentative="0">
      <w:start w:val="1"/>
      <w:numFmt w:val="decimal"/>
      <w:suff w:val="nothing"/>
      <w:lvlText w:val="%1、"/>
      <w:lvlJc w:val="left"/>
      <w:pPr>
        <w:ind w:left="518" w:firstLine="0"/>
      </w:pPr>
      <w:rPr>
        <w:rFonts w:hint="eastAsia"/>
      </w:rPr>
    </w:lvl>
    <w:lvl w:ilvl="1" w:tentative="0">
      <w:start w:val="1"/>
      <w:numFmt w:val="lowerLetter"/>
      <w:lvlText w:val="%2)"/>
      <w:lvlJc w:val="left"/>
      <w:pPr>
        <w:ind w:left="1358" w:hanging="420"/>
      </w:pPr>
    </w:lvl>
    <w:lvl w:ilvl="2" w:tentative="0">
      <w:start w:val="1"/>
      <w:numFmt w:val="lowerRoman"/>
      <w:lvlText w:val="%3."/>
      <w:lvlJc w:val="right"/>
      <w:pPr>
        <w:ind w:left="1778" w:hanging="420"/>
      </w:pPr>
    </w:lvl>
    <w:lvl w:ilvl="3" w:tentative="0">
      <w:start w:val="1"/>
      <w:numFmt w:val="decimal"/>
      <w:lvlText w:val="%4."/>
      <w:lvlJc w:val="left"/>
      <w:pPr>
        <w:ind w:left="2198" w:hanging="420"/>
      </w:pPr>
    </w:lvl>
    <w:lvl w:ilvl="4" w:tentative="0">
      <w:start w:val="1"/>
      <w:numFmt w:val="lowerLetter"/>
      <w:lvlText w:val="%5)"/>
      <w:lvlJc w:val="left"/>
      <w:pPr>
        <w:ind w:left="2618" w:hanging="420"/>
      </w:pPr>
    </w:lvl>
    <w:lvl w:ilvl="5" w:tentative="0">
      <w:start w:val="1"/>
      <w:numFmt w:val="lowerRoman"/>
      <w:lvlText w:val="%6."/>
      <w:lvlJc w:val="right"/>
      <w:pPr>
        <w:ind w:left="3038" w:hanging="420"/>
      </w:pPr>
    </w:lvl>
    <w:lvl w:ilvl="6" w:tentative="0">
      <w:start w:val="1"/>
      <w:numFmt w:val="decimal"/>
      <w:lvlText w:val="%7."/>
      <w:lvlJc w:val="left"/>
      <w:pPr>
        <w:ind w:left="3458" w:hanging="420"/>
      </w:pPr>
    </w:lvl>
    <w:lvl w:ilvl="7" w:tentative="0">
      <w:start w:val="1"/>
      <w:numFmt w:val="lowerLetter"/>
      <w:lvlText w:val="%8)"/>
      <w:lvlJc w:val="left"/>
      <w:pPr>
        <w:ind w:left="3878" w:hanging="420"/>
      </w:pPr>
    </w:lvl>
    <w:lvl w:ilvl="8" w:tentative="0">
      <w:start w:val="1"/>
      <w:numFmt w:val="lowerRoman"/>
      <w:lvlText w:val="%9."/>
      <w:lvlJc w:val="right"/>
      <w:pPr>
        <w:ind w:left="4298" w:hanging="420"/>
      </w:pPr>
    </w:lvl>
  </w:abstractNum>
  <w:abstractNum w:abstractNumId="6">
    <w:nsid w:val="54784448"/>
    <w:multiLevelType w:val="multilevel"/>
    <w:tmpl w:val="54784448"/>
    <w:lvl w:ilvl="0" w:tentative="0">
      <w:start w:val="1"/>
      <w:numFmt w:val="decimal"/>
      <w:suff w:val="nothing"/>
      <w:lvlText w:val="%1、"/>
      <w:lvlJc w:val="left"/>
      <w:pPr>
        <w:ind w:left="518" w:firstLine="0"/>
      </w:pPr>
      <w:rPr>
        <w:rFonts w:hint="eastAsia"/>
      </w:rPr>
    </w:lvl>
    <w:lvl w:ilvl="1" w:tentative="0">
      <w:start w:val="1"/>
      <w:numFmt w:val="lowerLetter"/>
      <w:lvlText w:val="%2)"/>
      <w:lvlJc w:val="left"/>
      <w:pPr>
        <w:ind w:left="1358" w:hanging="420"/>
      </w:pPr>
    </w:lvl>
    <w:lvl w:ilvl="2" w:tentative="0">
      <w:start w:val="1"/>
      <w:numFmt w:val="lowerRoman"/>
      <w:lvlText w:val="%3."/>
      <w:lvlJc w:val="right"/>
      <w:pPr>
        <w:ind w:left="1778" w:hanging="420"/>
      </w:pPr>
    </w:lvl>
    <w:lvl w:ilvl="3" w:tentative="0">
      <w:start w:val="1"/>
      <w:numFmt w:val="decimal"/>
      <w:lvlText w:val="%4."/>
      <w:lvlJc w:val="left"/>
      <w:pPr>
        <w:ind w:left="2198" w:hanging="420"/>
      </w:pPr>
    </w:lvl>
    <w:lvl w:ilvl="4" w:tentative="0">
      <w:start w:val="1"/>
      <w:numFmt w:val="lowerLetter"/>
      <w:lvlText w:val="%5)"/>
      <w:lvlJc w:val="left"/>
      <w:pPr>
        <w:ind w:left="2618" w:hanging="420"/>
      </w:pPr>
    </w:lvl>
    <w:lvl w:ilvl="5" w:tentative="0">
      <w:start w:val="1"/>
      <w:numFmt w:val="lowerRoman"/>
      <w:lvlText w:val="%6."/>
      <w:lvlJc w:val="right"/>
      <w:pPr>
        <w:ind w:left="3038" w:hanging="420"/>
      </w:pPr>
    </w:lvl>
    <w:lvl w:ilvl="6" w:tentative="0">
      <w:start w:val="1"/>
      <w:numFmt w:val="decimal"/>
      <w:lvlText w:val="%7."/>
      <w:lvlJc w:val="left"/>
      <w:pPr>
        <w:ind w:left="3458" w:hanging="420"/>
      </w:pPr>
    </w:lvl>
    <w:lvl w:ilvl="7" w:tentative="0">
      <w:start w:val="1"/>
      <w:numFmt w:val="lowerLetter"/>
      <w:lvlText w:val="%8)"/>
      <w:lvlJc w:val="left"/>
      <w:pPr>
        <w:ind w:left="3878" w:hanging="420"/>
      </w:pPr>
    </w:lvl>
    <w:lvl w:ilvl="8" w:tentative="0">
      <w:start w:val="1"/>
      <w:numFmt w:val="lowerRoman"/>
      <w:lvlText w:val="%9."/>
      <w:lvlJc w:val="right"/>
      <w:pPr>
        <w:ind w:left="4298" w:hanging="420"/>
      </w:pPr>
    </w:lvl>
  </w:abstractNum>
  <w:abstractNum w:abstractNumId="7">
    <w:nsid w:val="55E6F4FD"/>
    <w:multiLevelType w:val="singleLevel"/>
    <w:tmpl w:val="55E6F4FD"/>
    <w:lvl w:ilvl="0" w:tentative="0">
      <w:start w:val="4"/>
      <w:numFmt w:val="chineseCounting"/>
      <w:suff w:val="nothing"/>
      <w:lvlText w:val="%1、"/>
      <w:lvlJc w:val="left"/>
      <w:rPr>
        <w:rFonts w:hint="eastAsia"/>
      </w:r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67B0E"/>
    <w:rsid w:val="00DE077D"/>
    <w:rsid w:val="08F67B0E"/>
    <w:rsid w:val="483018BB"/>
    <w:rsid w:val="49885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黑体"/>
      <w:b/>
      <w:bCs/>
      <w:kern w:val="0"/>
      <w:sz w:val="32"/>
      <w:szCs w:val="32"/>
    </w:rPr>
  </w:style>
  <w:style w:type="character" w:default="1" w:styleId="9">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iPriority w:val="0"/>
    <w:rPr>
      <w:rFonts w:ascii="仿宋_GB2312" w:eastAsia="仿宋_GB2312"/>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7">
    <w:name w:val="toc 1"/>
    <w:basedOn w:val="1"/>
    <w:next w:val="1"/>
    <w:uiPriority w:val="39"/>
  </w:style>
  <w:style w:type="paragraph" w:styleId="8">
    <w:name w:val="toc 2"/>
    <w:basedOn w:val="1"/>
    <w:next w:val="1"/>
    <w:uiPriority w:val="39"/>
    <w:pPr>
      <w:ind w:left="420" w:leftChars="200"/>
    </w:pPr>
  </w:style>
  <w:style w:type="character" w:styleId="10">
    <w:name w:val="page number"/>
    <w:basedOn w:val="9"/>
    <w:qFormat/>
    <w:uiPriority w:val="0"/>
  </w:style>
  <w:style w:type="paragraph" w:customStyle="1" w:styleId="12">
    <w:name w:val="样式7"/>
    <w:basedOn w:val="1"/>
    <w:qFormat/>
    <w:uiPriority w:val="0"/>
    <w:pPr>
      <w:spacing w:line="360" w:lineRule="auto"/>
      <w:ind w:firstLine="567"/>
    </w:pPr>
    <w:rPr>
      <w:rFonts w:ascii="仿宋_GB2312" w:eastAsia="仿宋_GB2312"/>
      <w:sz w:val="28"/>
      <w:szCs w:val="20"/>
    </w:rPr>
  </w:style>
  <w:style w:type="paragraph" w:customStyle="1" w:styleId="13">
    <w:name w:val="Body Text Indent 2"/>
    <w:basedOn w:val="1"/>
    <w:qFormat/>
    <w:uiPriority w:val="0"/>
    <w:pPr>
      <w:adjustRightInd w:val="0"/>
      <w:spacing w:line="300" w:lineRule="atLeast"/>
      <w:ind w:firstLine="540"/>
      <w:textAlignment w:val="baseline"/>
    </w:pPr>
    <w:rPr>
      <w:rFonts w:ascii="宋体"/>
      <w:kern w:val="0"/>
      <w:sz w:val="28"/>
      <w:szCs w:val="20"/>
    </w:rPr>
  </w:style>
  <w:style w:type="character" w:customStyle="1" w:styleId="14">
    <w:name w:val="标题 2 Char"/>
    <w:link w:val="3"/>
    <w:qFormat/>
    <w:uiPriority w:val="0"/>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2020-03-19T03:22:00Z</dcterms:created>
  <dc:creator>Administrator</dc:creator>
  <cp:lastModifiedBy>严彩彩</cp:lastModifiedBy>
  <dcterms:modified xsi:type="dcterms:W3CDTF">2020-03-31T03:39:43Z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