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00" w:beforeAutospacing="1" w:after="100" w:afterAutospacing="1"/>
        <w:jc w:val="right"/>
        <w:rPr>
          <w:rFonts w:cs="Arial" w:asciiTheme="minorEastAsia" w:hAnsiTheme="minorEastAsia" w:eastAsiaTheme="minorEastAsia"/>
          <w:color w:val="000000" w:themeColor="text1"/>
          <w:szCs w:val="21"/>
          <w14:textFill>
            <w14:solidFill>
              <w14:schemeClr w14:val="tx1"/>
            </w14:solidFill>
          </w14:textFill>
        </w:rPr>
      </w:pPr>
    </w:p>
    <w:p>
      <w:pPr>
        <w:wordWrap w:val="0"/>
        <w:spacing w:before="100" w:beforeAutospacing="1" w:after="2400" w:afterLines="1000"/>
        <w:jc w:val="center"/>
        <w:rPr>
          <w:rFonts w:asciiTheme="minorEastAsia" w:hAnsiTheme="minorEastAsia" w:eastAsiaTheme="minorEastAsia"/>
          <w:b/>
          <w:color w:val="FF0000"/>
          <w:kern w:val="2"/>
          <w:sz w:val="72"/>
          <w:szCs w:val="72"/>
        </w:rPr>
      </w:pPr>
      <w:r>
        <w:rPr>
          <w:rFonts w:asciiTheme="minorEastAsia" w:hAnsiTheme="minorEastAsia" w:eastAsiaTheme="minorEastAsia"/>
          <w:b/>
          <w:color w:val="000000" w:themeColor="text1"/>
          <w:kern w:val="2"/>
          <w:sz w:val="72"/>
          <w:szCs w:val="72"/>
          <w14:textFill>
            <w14:solidFill>
              <w14:schemeClr w14:val="tx1"/>
            </w14:solidFill>
          </w14:textFill>
        </w:rPr>
        <w:t>房地产</w:t>
      </w:r>
      <w:r>
        <w:rPr>
          <w:rFonts w:hint="eastAsia" w:asciiTheme="minorEastAsia" w:hAnsiTheme="minorEastAsia" w:eastAsiaTheme="minorEastAsia"/>
          <w:b/>
          <w:color w:val="000000" w:themeColor="text1"/>
          <w:kern w:val="2"/>
          <w:sz w:val="72"/>
          <w:szCs w:val="72"/>
          <w14:textFill>
            <w14:solidFill>
              <w14:schemeClr w14:val="tx1"/>
            </w14:solidFill>
          </w14:textFill>
        </w:rPr>
        <w:t>司法鉴定</w:t>
      </w:r>
      <w:r>
        <w:rPr>
          <w:rFonts w:asciiTheme="minorEastAsia" w:hAnsiTheme="minorEastAsia" w:eastAsiaTheme="minorEastAsia"/>
          <w:b/>
          <w:color w:val="000000" w:themeColor="text1"/>
          <w:kern w:val="2"/>
          <w:sz w:val="72"/>
          <w:szCs w:val="72"/>
          <w14:textFill>
            <w14:solidFill>
              <w14:schemeClr w14:val="tx1"/>
            </w14:solidFill>
          </w14:textFill>
        </w:rPr>
        <w:t>估价报告</w:t>
      </w:r>
    </w:p>
    <w:p>
      <w:pPr>
        <w:tabs>
          <w:tab w:val="left" w:pos="5220"/>
        </w:tabs>
        <w:wordWrap w:val="0"/>
        <w:adjustRightInd/>
        <w:spacing w:before="600" w:beforeLines="250" w:after="600" w:afterLines="250" w:line="240" w:lineRule="auto"/>
        <w:ind w:left="2283" w:hanging="2283" w:hangingChars="698"/>
        <w:jc w:val="left"/>
        <w:textAlignment w:val="auto"/>
        <w:rPr>
          <w:rFonts w:hint="eastAsia" w:eastAsia="宋体" w:asciiTheme="minorEastAsia" w:hAnsiTheme="minorEastAsia"/>
          <w:color w:val="000000" w:themeColor="text1"/>
          <w:kern w:val="28"/>
          <w:sz w:val="28"/>
          <w:szCs w:val="28"/>
          <w:lang w:val="en-US" w:eastAsia="zh-CN"/>
          <w14:textFill>
            <w14:solidFill>
              <w14:schemeClr w14:val="tx1"/>
            </w14:solidFill>
          </w14:textFill>
        </w:rPr>
      </w:pPr>
      <w:r>
        <w:rPr>
          <w:rFonts w:hint="eastAsia" w:asciiTheme="minorEastAsia" w:hAnsiTheme="minorEastAsia" w:eastAsiaTheme="minorEastAsia"/>
          <w:b/>
          <w:color w:val="000000" w:themeColor="text1"/>
          <w:spacing w:val="23"/>
          <w:sz w:val="28"/>
          <w:szCs w:val="28"/>
          <w14:textFill>
            <w14:solidFill>
              <w14:schemeClr w14:val="tx1"/>
            </w14:solidFill>
          </w14:textFill>
        </w:rPr>
        <w:t>估价项目名称</w:t>
      </w:r>
      <w:r>
        <w:rPr>
          <w:rFonts w:hint="eastAsia" w:asciiTheme="minorEastAsia" w:hAnsiTheme="minorEastAsia" w:eastAsiaTheme="minorEastAsia"/>
          <w:b/>
          <w:color w:val="000000" w:themeColor="text1"/>
          <w:spacing w:val="2"/>
          <w:sz w:val="28"/>
          <w:szCs w:val="28"/>
          <w14:textFill>
            <w14:solidFill>
              <w14:schemeClr w14:val="tx1"/>
            </w14:solidFill>
          </w14:textFill>
        </w:rPr>
        <w:t>：</w:t>
      </w:r>
      <w:r>
        <w:rPr>
          <w:rFonts w:cs="Arial" w:asciiTheme="minorEastAsia" w:hAnsiTheme="minorEastAsia"/>
          <w:color w:val="000000" w:themeColor="text1"/>
          <w:sz w:val="28"/>
          <w:szCs w:val="28"/>
          <w14:textFill>
            <w14:solidFill>
              <w14:schemeClr w14:val="tx1"/>
            </w14:solidFill>
          </w14:textFill>
        </w:rPr>
        <w:t>安庆迎江区人民路南侧谐水湾二期3幢2单元1608室</w:t>
      </w:r>
      <w:r>
        <w:rPr>
          <w:rFonts w:hint="eastAsia" w:cs="Arial" w:asciiTheme="minorEastAsia" w:hAnsiTheme="minorEastAsia"/>
          <w:color w:val="000000" w:themeColor="text1"/>
          <w:sz w:val="28"/>
          <w:szCs w:val="28"/>
          <w:lang w:eastAsia="zh-CN"/>
          <w14:textFill>
            <w14:solidFill>
              <w14:schemeClr w14:val="tx1"/>
            </w14:solidFill>
          </w14:textFill>
        </w:rPr>
        <w:t>住宅</w:t>
      </w:r>
      <w:r>
        <w:rPr>
          <w:rFonts w:cs="Arial" w:asciiTheme="minorEastAsia" w:hAnsiTheme="minorEastAsia"/>
          <w:color w:val="000000" w:themeColor="text1"/>
          <w:sz w:val="28"/>
          <w:szCs w:val="28"/>
          <w14:textFill>
            <w14:solidFill>
              <w14:schemeClr w14:val="tx1"/>
            </w14:solidFill>
          </w14:textFill>
        </w:rPr>
        <w:t>房地产</w:t>
      </w:r>
      <w:r>
        <w:rPr>
          <w:rFonts w:hint="eastAsia" w:cs="Arial" w:asciiTheme="minorEastAsia" w:hAnsiTheme="minorEastAsia"/>
          <w:color w:val="000000" w:themeColor="text1"/>
          <w:sz w:val="28"/>
          <w:szCs w:val="28"/>
          <w:lang w:eastAsia="zh-CN"/>
          <w14:textFill>
            <w14:solidFill>
              <w14:schemeClr w14:val="tx1"/>
            </w14:solidFill>
          </w14:textFill>
        </w:rPr>
        <w:t>市场及装潢价值评估</w:t>
      </w:r>
    </w:p>
    <w:p>
      <w:pPr>
        <w:tabs>
          <w:tab w:val="left" w:pos="5220"/>
        </w:tabs>
        <w:wordWrap w:val="0"/>
        <w:adjustRightInd/>
        <w:spacing w:before="600" w:beforeLines="250" w:after="600" w:afterLines="250" w:line="240" w:lineRule="auto"/>
        <w:ind w:left="2720" w:hanging="2720" w:hangingChars="692"/>
        <w:jc w:val="left"/>
        <w:textAlignment w:val="auto"/>
        <w:rPr>
          <w:rFonts w:asciiTheme="minorEastAsia" w:hAnsiTheme="minorEastAsia" w:eastAsiaTheme="minorEastAsia"/>
          <w:color w:val="000000" w:themeColor="text1"/>
          <w:kern w:val="28"/>
          <w:sz w:val="28"/>
          <w:szCs w:val="28"/>
          <w14:textFill>
            <w14:solidFill>
              <w14:schemeClr w14:val="tx1"/>
            </w14:solidFill>
          </w14:textFill>
        </w:rPr>
      </w:pPr>
      <w:r>
        <w:rPr>
          <w:rFonts w:hint="eastAsia" w:asciiTheme="minorEastAsia" w:hAnsiTheme="minorEastAsia"/>
          <w:b/>
          <w:bCs/>
          <w:color w:val="000000" w:themeColor="text1"/>
          <w:spacing w:val="56"/>
          <w:sz w:val="28"/>
          <w:szCs w:val="28"/>
          <w:fitText w:val="2248" w:id="0"/>
          <w14:textFill>
            <w14:solidFill>
              <w14:schemeClr w14:val="tx1"/>
            </w14:solidFill>
          </w14:textFill>
        </w:rPr>
        <w:t>估价委托人</w:t>
      </w:r>
      <w:r>
        <w:rPr>
          <w:rFonts w:hint="eastAsia" w:asciiTheme="minorEastAsia" w:hAnsiTheme="minorEastAsia"/>
          <w:b/>
          <w:bCs/>
          <w:color w:val="000000" w:themeColor="text1"/>
          <w:spacing w:val="1"/>
          <w:sz w:val="28"/>
          <w:szCs w:val="28"/>
          <w:fitText w:val="2248" w:id="0"/>
          <w14:textFill>
            <w14:solidFill>
              <w14:schemeClr w14:val="tx1"/>
            </w14:solidFill>
          </w14:textFill>
        </w:rPr>
        <w:t>：</w:t>
      </w:r>
      <w:r>
        <w:rPr>
          <w:rFonts w:asciiTheme="minorEastAsia" w:hAnsiTheme="minorEastAsia"/>
          <w:color w:val="000000" w:themeColor="text1"/>
          <w:kern w:val="28"/>
          <w:sz w:val="28"/>
          <w:szCs w:val="28"/>
          <w14:textFill>
            <w14:solidFill>
              <w14:schemeClr w14:val="tx1"/>
            </w14:solidFill>
          </w14:textFill>
        </w:rPr>
        <w:t>安庆市中级人民法院</w:t>
      </w:r>
    </w:p>
    <w:p>
      <w:pPr>
        <w:tabs>
          <w:tab w:val="left" w:pos="2268"/>
          <w:tab w:val="left" w:pos="5220"/>
        </w:tabs>
        <w:wordWrap w:val="0"/>
        <w:adjustRightInd/>
        <w:spacing w:before="600" w:beforeLines="250" w:after="600" w:afterLines="250" w:line="240" w:lineRule="auto"/>
        <w:ind w:left="1930" w:hanging="1924" w:hangingChars="692"/>
        <w:jc w:val="left"/>
        <w:textAlignment w:val="auto"/>
        <w:rPr>
          <w:rFonts w:asciiTheme="minorEastAsia" w:hAnsiTheme="minorEastAsia" w:eastAsiaTheme="minorEastAsia"/>
          <w:color w:val="000000" w:themeColor="text1"/>
          <w:kern w:val="28"/>
          <w:sz w:val="28"/>
          <w:szCs w:val="28"/>
          <w14:textFill>
            <w14:solidFill>
              <w14:schemeClr w14:val="tx1"/>
            </w14:solidFill>
          </w14:textFill>
        </w:rPr>
      </w:pPr>
      <w:r>
        <w:rPr>
          <w:rFonts w:hint="eastAsia" w:cs="仿宋_GB2312" w:asciiTheme="minorEastAsia" w:hAnsiTheme="minorEastAsia" w:eastAsiaTheme="minorEastAsia"/>
          <w:b/>
          <w:color w:val="000000" w:themeColor="text1"/>
          <w:w w:val="99"/>
          <w:sz w:val="28"/>
          <w:szCs w:val="28"/>
          <w:fitText w:val="2248" w:id="1"/>
          <w14:textFill>
            <w14:solidFill>
              <w14:schemeClr w14:val="tx1"/>
            </w14:solidFill>
          </w14:textFill>
        </w:rPr>
        <w:t>房地产估价机构</w:t>
      </w:r>
      <w:r>
        <w:rPr>
          <w:rFonts w:hint="eastAsia" w:cs="仿宋_GB2312" w:asciiTheme="minorEastAsia" w:hAnsiTheme="minorEastAsia" w:eastAsiaTheme="minorEastAsia"/>
          <w:b/>
          <w:color w:val="000000" w:themeColor="text1"/>
          <w:spacing w:val="8"/>
          <w:w w:val="99"/>
          <w:sz w:val="28"/>
          <w:szCs w:val="28"/>
          <w:fitText w:val="2248" w:id="1"/>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安徽财苑房地产土地评估咨询有限公司</w:t>
      </w:r>
    </w:p>
    <w:p>
      <w:pPr>
        <w:tabs>
          <w:tab w:val="left" w:pos="5220"/>
        </w:tabs>
        <w:wordWrap w:val="0"/>
        <w:adjustRightInd/>
        <w:spacing w:before="600" w:beforeLines="250" w:after="600" w:afterLines="250" w:line="240" w:lineRule="auto"/>
        <w:ind w:left="2212" w:hanging="2206" w:hangingChars="900"/>
        <w:jc w:val="left"/>
        <w:textAlignment w:val="auto"/>
        <w:rPr>
          <w:rFonts w:asciiTheme="minorEastAsia" w:hAnsiTheme="minorEastAsia" w:eastAsiaTheme="minorEastAsia"/>
          <w:color w:val="000000" w:themeColor="text1"/>
          <w:kern w:val="28"/>
          <w:sz w:val="28"/>
          <w:szCs w:val="28"/>
          <w14:textFill>
            <w14:solidFill>
              <w14:schemeClr w14:val="tx1"/>
            </w14:solidFill>
          </w14:textFill>
        </w:rPr>
      </w:pPr>
      <w:r>
        <w:rPr>
          <w:rFonts w:hint="eastAsia" w:cs="仿宋_GB2312" w:asciiTheme="minorEastAsia" w:hAnsiTheme="minorEastAsia" w:eastAsiaTheme="minorEastAsia"/>
          <w:b/>
          <w:bCs/>
          <w:color w:val="000000" w:themeColor="text1"/>
          <w:spacing w:val="2"/>
          <w:w w:val="86"/>
          <w:sz w:val="28"/>
          <w:szCs w:val="28"/>
          <w14:textFill>
            <w14:solidFill>
              <w14:schemeClr w14:val="tx1"/>
            </w14:solidFill>
          </w14:textFill>
        </w:rPr>
        <w:t>注册房地产估价</w:t>
      </w:r>
      <w:r>
        <w:rPr>
          <w:rFonts w:hint="eastAsia" w:cs="仿宋_GB2312" w:asciiTheme="minorEastAsia" w:hAnsiTheme="minorEastAsia" w:eastAsiaTheme="minorEastAsia"/>
          <w:b/>
          <w:bCs/>
          <w:color w:val="000000" w:themeColor="text1"/>
          <w:spacing w:val="-6"/>
          <w:w w:val="86"/>
          <w:sz w:val="28"/>
          <w:szCs w:val="28"/>
          <w14:textFill>
            <w14:solidFill>
              <w14:schemeClr w14:val="tx1"/>
            </w14:solidFill>
          </w14:textFill>
        </w:rPr>
        <w:t>师</w:t>
      </w:r>
      <w:r>
        <w:rPr>
          <w:rFonts w:hint="eastAsia" w:cs="仿宋_GB2312"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kern w:val="28"/>
          <w:sz w:val="28"/>
          <w:szCs w:val="28"/>
          <w14:textFill>
            <w14:solidFill>
              <w14:schemeClr w14:val="tx1"/>
            </w14:solidFill>
          </w14:textFill>
        </w:rPr>
        <w:t>胡凌云（注册号：3420110056）</w:t>
      </w:r>
    </w:p>
    <w:p>
      <w:pPr>
        <w:tabs>
          <w:tab w:val="left" w:pos="5220"/>
        </w:tabs>
        <w:wordWrap w:val="0"/>
        <w:adjustRightInd/>
        <w:spacing w:before="600" w:beforeLines="250" w:after="600" w:afterLines="250" w:line="240" w:lineRule="auto"/>
        <w:ind w:left="2224" w:leftChars="1059"/>
        <w:jc w:val="left"/>
        <w:textAlignment w:val="auto"/>
        <w:rPr>
          <w:rFonts w:asciiTheme="minorEastAsia" w:hAnsiTheme="minorEastAsia" w:eastAsiaTheme="minorEastAsia"/>
          <w:color w:val="000000" w:themeColor="text1"/>
          <w:kern w:val="28"/>
          <w:sz w:val="28"/>
          <w:szCs w:val="28"/>
          <w14:textFill>
            <w14:solidFill>
              <w14:schemeClr w14:val="tx1"/>
            </w14:solidFill>
          </w14:textFill>
        </w:rPr>
      </w:pPr>
      <w:r>
        <w:rPr>
          <w:rFonts w:hint="eastAsia" w:asciiTheme="minorEastAsia" w:hAnsiTheme="minorEastAsia" w:eastAsiaTheme="minorEastAsia"/>
          <w:color w:val="000000" w:themeColor="text1"/>
          <w:kern w:val="28"/>
          <w:sz w:val="28"/>
          <w:szCs w:val="28"/>
          <w14:textFill>
            <w14:solidFill>
              <w14:schemeClr w14:val="tx1"/>
            </w14:solidFill>
          </w14:textFill>
        </w:rPr>
        <w:t>胡  浩（注册号：3420030016）</w:t>
      </w:r>
    </w:p>
    <w:p>
      <w:pPr>
        <w:tabs>
          <w:tab w:val="left" w:pos="1843"/>
          <w:tab w:val="left" w:pos="5220"/>
        </w:tabs>
        <w:wordWrap w:val="0"/>
        <w:adjustRightInd/>
        <w:spacing w:before="600" w:beforeLines="250" w:after="600" w:afterLines="250" w:line="240" w:lineRule="auto"/>
        <w:ind w:left="1700" w:hanging="1696" w:hangingChars="692"/>
        <w:jc w:val="left"/>
        <w:textAlignment w:val="auto"/>
        <w:rPr>
          <w:rFonts w:asciiTheme="minorEastAsia" w:hAnsiTheme="minorEastAsia" w:eastAsiaTheme="minorEastAsia"/>
          <w:b/>
          <w:color w:val="000000" w:themeColor="text1"/>
          <w:kern w:val="28"/>
          <w:sz w:val="28"/>
          <w:szCs w:val="28"/>
          <w14:textFill>
            <w14:solidFill>
              <w14:schemeClr w14:val="tx1"/>
            </w14:solidFill>
          </w14:textFill>
        </w:rPr>
      </w:pPr>
      <w:r>
        <w:rPr>
          <w:rFonts w:hint="eastAsia" w:cs="仿宋_GB2312" w:asciiTheme="minorEastAsia" w:hAnsiTheme="minorEastAsia" w:eastAsiaTheme="minorEastAsia"/>
          <w:b/>
          <w:color w:val="000000" w:themeColor="text1"/>
          <w:spacing w:val="2"/>
          <w:w w:val="86"/>
          <w:sz w:val="28"/>
          <w:szCs w:val="28"/>
          <w14:textFill>
            <w14:solidFill>
              <w14:schemeClr w14:val="tx1"/>
            </w14:solidFill>
          </w14:textFill>
        </w:rPr>
        <w:t>估价报告出具日期</w:t>
      </w:r>
      <w:r>
        <w:rPr>
          <w:rFonts w:hint="eastAsia" w:cs="仿宋_GB2312" w:asciiTheme="minorEastAsia" w:hAnsiTheme="minorEastAsia" w:eastAsiaTheme="minorEastAsia"/>
          <w:b/>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kern w:val="28"/>
          <w:sz w:val="28"/>
          <w:szCs w:val="28"/>
          <w14:textFill>
            <w14:solidFill>
              <w14:schemeClr w14:val="tx1"/>
            </w14:solidFill>
          </w14:textFill>
        </w:rPr>
        <w:t>二〇二〇年一月十九日</w:t>
      </w:r>
    </w:p>
    <w:p>
      <w:pPr>
        <w:tabs>
          <w:tab w:val="left" w:pos="2410"/>
          <w:tab w:val="left" w:pos="2552"/>
          <w:tab w:val="left" w:pos="2694"/>
          <w:tab w:val="left" w:pos="5220"/>
        </w:tabs>
        <w:wordWrap w:val="0"/>
        <w:adjustRightInd/>
        <w:spacing w:before="600" w:beforeLines="250" w:after="600" w:afterLines="250" w:line="240" w:lineRule="auto"/>
        <w:ind w:left="2266" w:hanging="2266" w:hangingChars="697"/>
        <w:jc w:val="left"/>
        <w:textAlignment w:val="auto"/>
        <w:rPr>
          <w:rFonts w:cs="Arial" w:asciiTheme="minorEastAsia" w:hAnsiTheme="minorEastAsia" w:eastAsiaTheme="minorEastAsia"/>
          <w:color w:val="000000" w:themeColor="text1"/>
          <w:szCs w:val="21"/>
          <w14:textFill>
            <w14:solidFill>
              <w14:schemeClr w14:val="tx1"/>
            </w14:solidFill>
          </w14:textFill>
        </w:rPr>
        <w:sectPr>
          <w:footerReference r:id="rId5" w:type="first"/>
          <w:headerReference r:id="rId3" w:type="default"/>
          <w:footerReference r:id="rId4" w:type="default"/>
          <w:pgSz w:w="11906" w:h="16838"/>
          <w:pgMar w:top="1134" w:right="1134" w:bottom="1134" w:left="1134" w:header="851" w:footer="992" w:gutter="567"/>
          <w:pgNumType w:start="1"/>
          <w:cols w:space="425" w:num="1"/>
          <w:titlePg/>
          <w:docGrid w:linePitch="286" w:charSpace="0"/>
        </w:sectPr>
      </w:pPr>
      <w:r>
        <w:rPr>
          <w:rFonts w:asciiTheme="minorEastAsia" w:hAnsiTheme="minorEastAsia" w:eastAsiaTheme="minorEastAsia"/>
          <w:b/>
          <w:color w:val="000000" w:themeColor="text1"/>
          <w:spacing w:val="22"/>
          <w:sz w:val="28"/>
          <w:szCs w:val="28"/>
          <w14:textFill>
            <w14:solidFill>
              <w14:schemeClr w14:val="tx1"/>
            </w14:solidFill>
          </w14:textFill>
        </w:rPr>
        <w:t>估价报告编号：</w:t>
      </w:r>
      <w:r>
        <w:rPr>
          <w:rFonts w:asciiTheme="minorEastAsia" w:hAnsiTheme="minorEastAsia" w:eastAsiaTheme="minorEastAsia"/>
          <w:color w:val="000000" w:themeColor="text1"/>
          <w:kern w:val="28"/>
          <w:sz w:val="28"/>
          <w:szCs w:val="28"/>
          <w14:textFill>
            <w14:solidFill>
              <w14:schemeClr w14:val="tx1"/>
            </w14:solidFill>
          </w14:textFill>
        </w:rPr>
        <w:t>皖财苑房评估字［2020］第028号</w:t>
      </w:r>
    </w:p>
    <w:p>
      <w:pPr>
        <w:wordWrap w:val="0"/>
        <w:spacing w:line="240" w:lineRule="atLeast"/>
        <w:rPr>
          <w:rFonts w:asciiTheme="minorEastAsia" w:hAnsiTheme="minorEastAsia" w:eastAsiaTheme="minorEastAsia"/>
          <w:b/>
          <w:color w:val="000000" w:themeColor="text1"/>
          <w:szCs w:val="21"/>
          <w14:textFill>
            <w14:solidFill>
              <w14:schemeClr w14:val="tx1"/>
            </w14:solidFill>
          </w14:textFill>
        </w:rPr>
      </w:pPr>
    </w:p>
    <w:p>
      <w:pPr>
        <w:wordWrap w:val="0"/>
        <w:spacing w:before="156" w:beforeLines="50" w:line="240" w:lineRule="auto"/>
        <w:jc w:val="center"/>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目录</w:t>
      </w:r>
    </w:p>
    <w:p>
      <w:pPr>
        <w:pStyle w:val="14"/>
        <w:tabs>
          <w:tab w:val="right" w:leader="dot" w:pos="9061"/>
        </w:tabs>
        <w:rPr>
          <w:rFonts w:eastAsiaTheme="minorEastAsia" w:cstheme="minorBidi"/>
          <w:b w:val="0"/>
          <w:bCs w:val="0"/>
          <w:caps w:val="0"/>
          <w:kern w:val="2"/>
          <w:sz w:val="21"/>
          <w:szCs w:val="22"/>
        </w:rPr>
      </w:pPr>
      <w:r>
        <w:rPr>
          <w:rFonts w:asciiTheme="minorEastAsia" w:hAnsiTheme="minorEastAsia" w:eastAsiaTheme="minorEastAsia"/>
          <w:b w:val="0"/>
          <w:bCs w:val="0"/>
          <w:caps w:val="0"/>
          <w:color w:val="000000" w:themeColor="text1"/>
          <w:szCs w:val="24"/>
          <w14:textFill>
            <w14:solidFill>
              <w14:schemeClr w14:val="tx1"/>
            </w14:solidFill>
          </w14:textFill>
        </w:rPr>
        <w:fldChar w:fldCharType="begin"/>
      </w:r>
      <w:r>
        <w:rPr>
          <w:rFonts w:asciiTheme="minorEastAsia" w:hAnsiTheme="minorEastAsia" w:eastAsiaTheme="minorEastAsia"/>
          <w:b w:val="0"/>
          <w:bCs w:val="0"/>
          <w:caps w:val="0"/>
          <w:color w:val="000000" w:themeColor="text1"/>
          <w:szCs w:val="24"/>
          <w14:textFill>
            <w14:solidFill>
              <w14:schemeClr w14:val="tx1"/>
            </w14:solidFill>
          </w14:textFill>
        </w:rPr>
        <w:instrText xml:space="preserve"> TOC \o "1-2" \h \z \u </w:instrText>
      </w:r>
      <w:r>
        <w:rPr>
          <w:rFonts w:asciiTheme="minorEastAsia" w:hAnsiTheme="minorEastAsia" w:eastAsiaTheme="minorEastAsia"/>
          <w:b w:val="0"/>
          <w:bCs w:val="0"/>
          <w:caps w:val="0"/>
          <w:color w:val="000000" w:themeColor="text1"/>
          <w:szCs w:val="24"/>
          <w14:textFill>
            <w14:solidFill>
              <w14:schemeClr w14:val="tx1"/>
            </w14:solidFill>
          </w14:textFill>
        </w:rPr>
        <w:fldChar w:fldCharType="separate"/>
      </w:r>
      <w:r>
        <w:fldChar w:fldCharType="begin"/>
      </w:r>
      <w:r>
        <w:instrText xml:space="preserve"> HYPERLINK \l "_Toc2697871" </w:instrText>
      </w:r>
      <w:r>
        <w:fldChar w:fldCharType="separate"/>
      </w:r>
      <w:r>
        <w:rPr>
          <w:rStyle w:val="21"/>
          <w:rFonts w:hint="eastAsia"/>
        </w:rPr>
        <w:t>一、估价师声明</w:t>
      </w:r>
      <w:r>
        <w:tab/>
      </w:r>
      <w:r>
        <w:fldChar w:fldCharType="begin"/>
      </w:r>
      <w:r>
        <w:instrText xml:space="preserve"> PAGEREF _Toc2697871 \h </w:instrText>
      </w:r>
      <w:r>
        <w:fldChar w:fldCharType="separate"/>
      </w:r>
      <w:r>
        <w:t>4</w:t>
      </w:r>
      <w:r>
        <w:fldChar w:fldCharType="end"/>
      </w:r>
      <w:r>
        <w:fldChar w:fldCharType="end"/>
      </w:r>
    </w:p>
    <w:p>
      <w:pPr>
        <w:pStyle w:val="14"/>
        <w:tabs>
          <w:tab w:val="right" w:leader="dot" w:pos="9061"/>
        </w:tabs>
        <w:rPr>
          <w:rFonts w:eastAsiaTheme="minorEastAsia" w:cstheme="minorBidi"/>
          <w:b w:val="0"/>
          <w:bCs w:val="0"/>
          <w:caps w:val="0"/>
          <w:kern w:val="2"/>
          <w:sz w:val="21"/>
          <w:szCs w:val="22"/>
        </w:rPr>
      </w:pPr>
      <w:r>
        <w:fldChar w:fldCharType="begin"/>
      </w:r>
      <w:r>
        <w:instrText xml:space="preserve"> HYPERLINK \l "_Toc2697872" </w:instrText>
      </w:r>
      <w:r>
        <w:fldChar w:fldCharType="separate"/>
      </w:r>
      <w:r>
        <w:rPr>
          <w:rStyle w:val="21"/>
          <w:rFonts w:hint="eastAsia"/>
        </w:rPr>
        <w:t>二、估价假设和限制条件</w:t>
      </w:r>
      <w:r>
        <w:tab/>
      </w:r>
      <w:r>
        <w:fldChar w:fldCharType="begin"/>
      </w:r>
      <w:r>
        <w:instrText xml:space="preserve"> PAGEREF _Toc2697872 \h </w:instrText>
      </w:r>
      <w:r>
        <w:fldChar w:fldCharType="separate"/>
      </w:r>
      <w:r>
        <w:t>5</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"_Toc2697873" </w:instrText>
      </w:r>
      <w:r>
        <w:fldChar w:fldCharType="separate"/>
      </w:r>
      <w:r>
        <w:rPr>
          <w:rStyle w:val="21"/>
          <w:rFonts w:hint="eastAsia" w:asciiTheme="minorEastAsia" w:hAnsiTheme="minorEastAsia"/>
        </w:rPr>
        <w:t>（一）本项估价的假设条件</w:t>
      </w:r>
      <w:r>
        <w:tab/>
      </w:r>
      <w:r>
        <w:fldChar w:fldCharType="begin"/>
      </w:r>
      <w:r>
        <w:instrText xml:space="preserve"> PAGEREF _Toc2697873 \h </w:instrText>
      </w:r>
      <w:r>
        <w:fldChar w:fldCharType="separate"/>
      </w:r>
      <w:r>
        <w:t>5</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"_Toc2697874" </w:instrText>
      </w:r>
      <w:r>
        <w:fldChar w:fldCharType="separate"/>
      </w:r>
      <w:r>
        <w:rPr>
          <w:rStyle w:val="21"/>
          <w:rFonts w:hint="eastAsia" w:asciiTheme="minorEastAsia" w:hAnsiTheme="minorEastAsia"/>
        </w:rPr>
        <w:t>（二）本估价报告使用的限制条件</w:t>
      </w:r>
      <w:r>
        <w:tab/>
      </w:r>
      <w:r>
        <w:fldChar w:fldCharType="begin"/>
      </w:r>
      <w:r>
        <w:instrText xml:space="preserve"> PAGEREF _Toc2697874 \h </w:instrText>
      </w:r>
      <w:r>
        <w:fldChar w:fldCharType="separate"/>
      </w:r>
      <w:r>
        <w:t>6</w:t>
      </w:r>
      <w:r>
        <w:fldChar w:fldCharType="end"/>
      </w:r>
      <w:r>
        <w:fldChar w:fldCharType="end"/>
      </w:r>
    </w:p>
    <w:p>
      <w:pPr>
        <w:pStyle w:val="14"/>
        <w:tabs>
          <w:tab w:val="right" w:leader="dot" w:pos="9061"/>
        </w:tabs>
        <w:rPr>
          <w:rFonts w:eastAsiaTheme="minorEastAsia" w:cstheme="minorBidi"/>
          <w:b w:val="0"/>
          <w:bCs w:val="0"/>
          <w:caps w:val="0"/>
          <w:kern w:val="2"/>
          <w:sz w:val="21"/>
          <w:szCs w:val="22"/>
        </w:rPr>
      </w:pPr>
      <w:r>
        <w:fldChar w:fldCharType="begin"/>
      </w:r>
      <w:r>
        <w:instrText xml:space="preserve"> HYPERLINK \l "_Toc2697875" </w:instrText>
      </w:r>
      <w:r>
        <w:fldChar w:fldCharType="separate"/>
      </w:r>
      <w:r>
        <w:rPr>
          <w:rStyle w:val="21"/>
          <w:rFonts w:hint="eastAsia"/>
        </w:rPr>
        <w:t>三、估价结果报告</w:t>
      </w:r>
      <w:r>
        <w:tab/>
      </w:r>
      <w:r>
        <w:fldChar w:fldCharType="begin"/>
      </w:r>
      <w:r>
        <w:instrText xml:space="preserve"> PAGEREF _Toc2697875 \h </w:instrText>
      </w:r>
      <w:r>
        <w:fldChar w:fldCharType="separate"/>
      </w:r>
      <w:r>
        <w:t>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"_Toc2697876" </w:instrText>
      </w:r>
      <w:r>
        <w:fldChar w:fldCharType="separate"/>
      </w:r>
      <w:r>
        <w:rPr>
          <w:rStyle w:val="21"/>
          <w:rFonts w:hint="eastAsia" w:asciiTheme="minorEastAsia" w:hAnsiTheme="minorEastAsia"/>
        </w:rPr>
        <w:t>（一）估价委托人</w:t>
      </w:r>
      <w:r>
        <w:tab/>
      </w:r>
      <w:r>
        <w:fldChar w:fldCharType="begin"/>
      </w:r>
      <w:r>
        <w:instrText xml:space="preserve"> PAGEREF _Toc2697876 \h </w:instrText>
      </w:r>
      <w:r>
        <w:fldChar w:fldCharType="separate"/>
      </w:r>
      <w:r>
        <w:t>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"_Toc2697877" </w:instrText>
      </w:r>
      <w:r>
        <w:fldChar w:fldCharType="separate"/>
      </w:r>
      <w:r>
        <w:rPr>
          <w:rStyle w:val="21"/>
          <w:rFonts w:hint="eastAsia" w:asciiTheme="minorEastAsia" w:hAnsiTheme="minorEastAsia"/>
        </w:rPr>
        <w:t>（二）房地产估价机构</w:t>
      </w:r>
      <w:bookmarkStart w:id="53" w:name="_GoBack"/>
      <w:bookmarkEnd w:id="53"/>
      <w:r>
        <w:tab/>
      </w:r>
      <w:r>
        <w:fldChar w:fldCharType="begin"/>
      </w:r>
      <w:r>
        <w:instrText xml:space="preserve"> PAGEREF _Toc2697877 \h </w:instrText>
      </w:r>
      <w:r>
        <w:fldChar w:fldCharType="separate"/>
      </w:r>
      <w:r>
        <w:t>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"_Toc2697878" </w:instrText>
      </w:r>
      <w:r>
        <w:fldChar w:fldCharType="separate"/>
      </w:r>
      <w:r>
        <w:rPr>
          <w:rStyle w:val="21"/>
          <w:rFonts w:hint="eastAsia" w:asciiTheme="minorEastAsia" w:hAnsiTheme="minorEastAsia"/>
        </w:rPr>
        <w:t>（三）估价目的</w:t>
      </w:r>
      <w:r>
        <w:tab/>
      </w:r>
      <w:r>
        <w:fldChar w:fldCharType="begin"/>
      </w:r>
      <w:r>
        <w:instrText xml:space="preserve"> PAGEREF _Toc2697878 \h </w:instrText>
      </w:r>
      <w:r>
        <w:fldChar w:fldCharType="separate"/>
      </w:r>
      <w:r>
        <w:t>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"_Toc2697879" </w:instrText>
      </w:r>
      <w:r>
        <w:fldChar w:fldCharType="separate"/>
      </w:r>
      <w:r>
        <w:rPr>
          <w:rStyle w:val="21"/>
          <w:rFonts w:hint="eastAsia" w:asciiTheme="minorEastAsia" w:hAnsiTheme="minorEastAsia"/>
        </w:rPr>
        <w:t>（四）估价对象</w:t>
      </w:r>
      <w:r>
        <w:tab/>
      </w:r>
      <w:r>
        <w:fldChar w:fldCharType="begin"/>
      </w:r>
      <w:r>
        <w:instrText xml:space="preserve"> PAGEREF _Toc2697879 \h </w:instrText>
      </w:r>
      <w:r>
        <w:fldChar w:fldCharType="separate"/>
      </w:r>
      <w:r>
        <w:t>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"_Toc2697880" </w:instrText>
      </w:r>
      <w:r>
        <w:fldChar w:fldCharType="separate"/>
      </w:r>
      <w:r>
        <w:rPr>
          <w:rStyle w:val="21"/>
          <w:rFonts w:hint="eastAsia" w:asciiTheme="minorEastAsia" w:hAnsiTheme="minorEastAsia"/>
        </w:rPr>
        <w:t>（五）价值时点</w:t>
      </w:r>
      <w:r>
        <w:tab/>
      </w:r>
      <w:r>
        <w:fldChar w:fldCharType="begin"/>
      </w:r>
      <w:r>
        <w:instrText xml:space="preserve"> PAGEREF _Toc2697880 \h </w:instrText>
      </w:r>
      <w:r>
        <w:fldChar w:fldCharType="separate"/>
      </w:r>
      <w:r>
        <w:t>12</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"_Toc2697881" </w:instrText>
      </w:r>
      <w:r>
        <w:fldChar w:fldCharType="separate"/>
      </w:r>
      <w:r>
        <w:rPr>
          <w:rStyle w:val="21"/>
          <w:rFonts w:hint="eastAsia" w:asciiTheme="minorEastAsia" w:hAnsiTheme="minorEastAsia"/>
        </w:rPr>
        <w:t>（六）价值类型</w:t>
      </w:r>
      <w:r>
        <w:tab/>
      </w:r>
      <w:r>
        <w:fldChar w:fldCharType="begin"/>
      </w:r>
      <w:r>
        <w:instrText xml:space="preserve"> PAGEREF _Toc2697881 \h </w:instrText>
      </w:r>
      <w:r>
        <w:fldChar w:fldCharType="separate"/>
      </w:r>
      <w:r>
        <w:t>12</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"_Toc2697882" </w:instrText>
      </w:r>
      <w:r>
        <w:fldChar w:fldCharType="separate"/>
      </w:r>
      <w:r>
        <w:rPr>
          <w:rStyle w:val="21"/>
          <w:rFonts w:hint="eastAsia" w:asciiTheme="minorEastAsia" w:hAnsiTheme="minorEastAsia"/>
        </w:rPr>
        <w:t>（七）估价原则</w:t>
      </w:r>
      <w:r>
        <w:tab/>
      </w:r>
      <w:r>
        <w:fldChar w:fldCharType="begin"/>
      </w:r>
      <w:r>
        <w:instrText xml:space="preserve"> PAGEREF _Toc2697882 \h </w:instrText>
      </w:r>
      <w:r>
        <w:fldChar w:fldCharType="separate"/>
      </w:r>
      <w:r>
        <w:t>12</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"_Toc2697883" </w:instrText>
      </w:r>
      <w:r>
        <w:fldChar w:fldCharType="separate"/>
      </w:r>
      <w:r>
        <w:rPr>
          <w:rStyle w:val="21"/>
          <w:rFonts w:hint="eastAsia" w:asciiTheme="minorEastAsia" w:hAnsiTheme="minorEastAsia"/>
        </w:rPr>
        <w:t>（八）估价依据</w:t>
      </w:r>
      <w:r>
        <w:tab/>
      </w:r>
      <w:r>
        <w:fldChar w:fldCharType="begin"/>
      </w:r>
      <w:r>
        <w:instrText xml:space="preserve"> PAGEREF _Toc2697883 \h </w:instrText>
      </w:r>
      <w:r>
        <w:fldChar w:fldCharType="separate"/>
      </w:r>
      <w:r>
        <w:t>14</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"_Toc2697884" </w:instrText>
      </w:r>
      <w:r>
        <w:fldChar w:fldCharType="separate"/>
      </w:r>
      <w:r>
        <w:rPr>
          <w:rStyle w:val="21"/>
          <w:rFonts w:hint="eastAsia" w:asciiTheme="minorEastAsia" w:hAnsiTheme="minorEastAsia"/>
        </w:rPr>
        <w:t>（九）估价方法</w:t>
      </w:r>
      <w:r>
        <w:tab/>
      </w:r>
      <w:r>
        <w:fldChar w:fldCharType="begin"/>
      </w:r>
      <w:r>
        <w:instrText xml:space="preserve"> PAGEREF _Toc2697884 \h </w:instrText>
      </w:r>
      <w:r>
        <w:fldChar w:fldCharType="separate"/>
      </w:r>
      <w:r>
        <w:t>15</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"_Toc2697885" </w:instrText>
      </w:r>
      <w:r>
        <w:fldChar w:fldCharType="separate"/>
      </w:r>
      <w:r>
        <w:rPr>
          <w:rStyle w:val="21"/>
          <w:rFonts w:hint="eastAsia" w:asciiTheme="minorEastAsia" w:hAnsiTheme="minorEastAsia"/>
        </w:rPr>
        <w:t>（十）估价结果</w:t>
      </w:r>
      <w:r>
        <w:tab/>
      </w:r>
      <w:r>
        <w:fldChar w:fldCharType="begin"/>
      </w:r>
      <w:r>
        <w:instrText xml:space="preserve"> PAGEREF _Toc2697885 \h </w:instrText>
      </w:r>
      <w:r>
        <w:fldChar w:fldCharType="separate"/>
      </w:r>
      <w:r>
        <w:t>16</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"_Toc2697886" </w:instrText>
      </w:r>
      <w:r>
        <w:fldChar w:fldCharType="separate"/>
      </w:r>
      <w:r>
        <w:rPr>
          <w:rStyle w:val="21"/>
          <w:rFonts w:hint="eastAsia" w:asciiTheme="minorEastAsia" w:hAnsiTheme="minorEastAsia"/>
        </w:rPr>
        <w:t>（十一）注册房地产估价师</w:t>
      </w:r>
      <w:r>
        <w:tab/>
      </w:r>
      <w:r>
        <w:fldChar w:fldCharType="begin"/>
      </w:r>
      <w:r>
        <w:instrText xml:space="preserve"> PAGEREF _Toc2697886 \h </w:instrText>
      </w:r>
      <w:r>
        <w:fldChar w:fldCharType="separate"/>
      </w:r>
      <w:r>
        <w:t>18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"_Toc2697887" </w:instrText>
      </w:r>
      <w:r>
        <w:fldChar w:fldCharType="separate"/>
      </w:r>
      <w:r>
        <w:rPr>
          <w:rStyle w:val="21"/>
          <w:rFonts w:hint="eastAsia" w:asciiTheme="minorEastAsia" w:hAnsiTheme="minorEastAsia"/>
        </w:rPr>
        <w:t>（十二）实地查勘期</w:t>
      </w:r>
      <w:r>
        <w:tab/>
      </w:r>
      <w:r>
        <w:fldChar w:fldCharType="begin"/>
      </w:r>
      <w:r>
        <w:instrText xml:space="preserve"> PAGEREF _Toc2697887 \h </w:instrText>
      </w:r>
      <w:r>
        <w:fldChar w:fldCharType="separate"/>
      </w:r>
      <w:r>
        <w:t>18</w:t>
      </w:r>
      <w:r>
        <w:fldChar w:fldCharType="end"/>
      </w:r>
      <w:r>
        <w:fldChar w:fldCharType="end"/>
      </w:r>
    </w:p>
    <w:p>
      <w:pPr>
        <w:pStyle w:val="17"/>
        <w:tabs>
          <w:tab w:val="right" w:leader="dot" w:pos="9061"/>
        </w:tabs>
        <w:rPr>
          <w:rFonts w:eastAsiaTheme="minorEastAsia" w:cstheme="minorBidi"/>
          <w:smallCaps w:val="0"/>
          <w:kern w:val="2"/>
          <w:sz w:val="21"/>
          <w:szCs w:val="22"/>
        </w:rPr>
      </w:pPr>
      <w:r>
        <w:fldChar w:fldCharType="begin"/>
      </w:r>
      <w:r>
        <w:instrText xml:space="preserve"> HYPERLINK \l "_Toc2697888" </w:instrText>
      </w:r>
      <w:r>
        <w:fldChar w:fldCharType="separate"/>
      </w:r>
      <w:r>
        <w:rPr>
          <w:rStyle w:val="21"/>
          <w:rFonts w:hint="eastAsia" w:asciiTheme="minorEastAsia" w:hAnsiTheme="minorEastAsia"/>
        </w:rPr>
        <w:t>（十三）估价作业日期</w:t>
      </w:r>
      <w:r>
        <w:tab/>
      </w:r>
      <w:r>
        <w:fldChar w:fldCharType="begin"/>
      </w:r>
      <w:r>
        <w:instrText xml:space="preserve"> PAGEREF _Toc2697888 \h </w:instrText>
      </w:r>
      <w:r>
        <w:fldChar w:fldCharType="separate"/>
      </w:r>
      <w:r>
        <w:t>18</w:t>
      </w:r>
      <w:r>
        <w:fldChar w:fldCharType="end"/>
      </w:r>
      <w:r>
        <w:fldChar w:fldCharType="end"/>
      </w:r>
    </w:p>
    <w:p>
      <w:pPr>
        <w:pStyle w:val="14"/>
        <w:tabs>
          <w:tab w:val="right" w:leader="dot" w:pos="9061"/>
        </w:tabs>
        <w:rPr>
          <w:rFonts w:eastAsiaTheme="minorEastAsia" w:cstheme="minorBidi"/>
          <w:b w:val="0"/>
          <w:bCs w:val="0"/>
          <w:caps w:val="0"/>
          <w:kern w:val="2"/>
          <w:sz w:val="21"/>
          <w:szCs w:val="22"/>
        </w:rPr>
      </w:pPr>
      <w:r>
        <w:fldChar w:fldCharType="begin"/>
      </w:r>
      <w:r>
        <w:instrText xml:space="preserve"> HYPERLINK \l "_Toc2697898" </w:instrText>
      </w:r>
      <w:r>
        <w:fldChar w:fldCharType="separate"/>
      </w:r>
      <w:r>
        <w:rPr>
          <w:rFonts w:hint="eastAsia"/>
          <w:lang w:eastAsia="zh-CN"/>
        </w:rPr>
        <w:t>四</w:t>
      </w:r>
      <w:r>
        <w:rPr>
          <w:rStyle w:val="21"/>
          <w:rFonts w:hint="eastAsia"/>
        </w:rPr>
        <w:t>、附</w:t>
      </w:r>
      <w:r>
        <w:rPr>
          <w:rStyle w:val="21"/>
        </w:rPr>
        <w:t xml:space="preserve">   </w:t>
      </w:r>
      <w:r>
        <w:rPr>
          <w:rStyle w:val="21"/>
          <w:rFonts w:hint="eastAsia"/>
        </w:rPr>
        <w:t>件</w:t>
      </w:r>
      <w:r>
        <w:tab/>
      </w:r>
      <w:r>
        <w:fldChar w:fldCharType="begin"/>
      </w:r>
      <w:r>
        <w:instrText xml:space="preserve"> PAGEREF _Toc2697898 \h </w:instrText>
      </w:r>
      <w:r>
        <w:fldChar w:fldCharType="separate"/>
      </w:r>
      <w:r>
        <w:t>19</w:t>
      </w:r>
      <w:r>
        <w:fldChar w:fldCharType="end"/>
      </w:r>
      <w:r>
        <w:fldChar w:fldCharType="end"/>
      </w:r>
    </w:p>
    <w:p>
      <w:pPr>
        <w:wordWrap w:val="0"/>
        <w:spacing w:before="93" w:beforeLines="30" w:after="93" w:afterLines="30" w:line="460" w:lineRule="exact"/>
        <w:rPr>
          <w:rFonts w:asciiTheme="minorEastAsia" w:hAnsiTheme="minorEastAsia" w:eastAsiaTheme="minorEastAsia"/>
          <w:color w:val="000000" w:themeColor="text1"/>
          <w:szCs w:val="21"/>
          <w14:textFill>
            <w14:solidFill>
              <w14:schemeClr w14:val="tx1"/>
            </w14:solidFill>
          </w14:textFill>
        </w:rPr>
        <w:sectPr>
          <w:pgSz w:w="11906" w:h="16838"/>
          <w:pgMar w:top="1134" w:right="1134" w:bottom="1134" w:left="1134" w:header="794" w:footer="907" w:gutter="567"/>
          <w:pgNumType w:start="1"/>
          <w:cols w:space="425" w:num="1"/>
          <w:docGrid w:type="lines" w:linePitch="312" w:charSpace="0"/>
        </w:sectPr>
      </w:pPr>
      <w:r>
        <w:rPr>
          <w:rFonts w:asciiTheme="minorEastAsia" w:hAnsiTheme="minorEastAsia" w:eastAsiaTheme="minorEastAsia"/>
          <w:b/>
          <w:bCs/>
          <w:caps/>
          <w:color w:val="000000" w:themeColor="text1"/>
          <w:sz w:val="24"/>
          <w:szCs w:val="24"/>
          <w14:textFill>
            <w14:solidFill>
              <w14:schemeClr w14:val="tx1"/>
            </w14:solidFill>
          </w14:textFill>
        </w:rPr>
        <w:fldChar w:fldCharType="end"/>
      </w:r>
    </w:p>
    <w:p>
      <w:pPr>
        <w:tabs>
          <w:tab w:val="left" w:pos="142"/>
          <w:tab w:val="left" w:pos="1560"/>
          <w:tab w:val="left" w:pos="1843"/>
          <w:tab w:val="left" w:pos="1985"/>
        </w:tabs>
        <w:wordWrap w:val="0"/>
        <w:adjustRightInd/>
        <w:snapToGrid w:val="0"/>
        <w:spacing w:before="780" w:beforeLines="250" w:line="240" w:lineRule="auto"/>
        <w:jc w:val="center"/>
        <w:textAlignment w:val="auto"/>
        <w:rPr>
          <w:rFonts w:cs="Arial" w:asciiTheme="minorEastAsia" w:hAnsiTheme="minorEastAsia" w:eastAsiaTheme="minorEastAsia"/>
          <w:color w:val="000000" w:themeColor="text1"/>
          <w:szCs w:val="21"/>
          <w14:textFill>
            <w14:solidFill>
              <w14:schemeClr w14:val="tx1"/>
            </w14:solidFill>
          </w14:textFill>
        </w:rPr>
      </w:pPr>
      <w:bookmarkStart w:id="0" w:name="_Toc485393183"/>
      <w:bookmarkStart w:id="1" w:name="_Toc480967869"/>
      <w:r>
        <w:rPr>
          <w:rFonts w:asciiTheme="minorEastAsia" w:hAnsiTheme="minorEastAsia" w:eastAsiaTheme="minorEastAsia"/>
          <w:b/>
          <w:color w:val="000000" w:themeColor="text1"/>
          <w:kern w:val="2"/>
          <w:sz w:val="32"/>
          <w:szCs w:val="32"/>
          <w14:textFill>
            <w14:solidFill>
              <w14:schemeClr w14:val="tx1"/>
            </w14:solidFill>
          </w14:textFill>
        </w:rPr>
        <w:t>致</w:t>
      </w:r>
      <w:r>
        <w:rPr>
          <w:rFonts w:hint="eastAsia" w:asciiTheme="minorEastAsia" w:hAnsiTheme="minorEastAsia" w:eastAsiaTheme="minorEastAsia"/>
          <w:b/>
          <w:color w:val="000000" w:themeColor="text1"/>
          <w:kern w:val="2"/>
          <w:sz w:val="32"/>
          <w:szCs w:val="32"/>
          <w14:textFill>
            <w14:solidFill>
              <w14:schemeClr w14:val="tx1"/>
            </w14:solidFill>
          </w14:textFill>
        </w:rPr>
        <w:t>估价</w:t>
      </w:r>
      <w:r>
        <w:rPr>
          <w:rFonts w:asciiTheme="minorEastAsia" w:hAnsiTheme="minorEastAsia" w:eastAsiaTheme="minorEastAsia"/>
          <w:b/>
          <w:color w:val="000000" w:themeColor="text1"/>
          <w:kern w:val="2"/>
          <w:sz w:val="32"/>
          <w:szCs w:val="32"/>
          <w14:textFill>
            <w14:solidFill>
              <w14:schemeClr w14:val="tx1"/>
            </w14:solidFill>
          </w14:textFill>
        </w:rPr>
        <w:t>委托</w:t>
      </w:r>
      <w:r>
        <w:rPr>
          <w:rFonts w:hint="eastAsia" w:asciiTheme="minorEastAsia" w:hAnsiTheme="minorEastAsia" w:eastAsiaTheme="minorEastAsia"/>
          <w:b/>
          <w:color w:val="000000" w:themeColor="text1"/>
          <w:kern w:val="2"/>
          <w:sz w:val="32"/>
          <w:szCs w:val="32"/>
          <w14:textFill>
            <w14:solidFill>
              <w14:schemeClr w14:val="tx1"/>
            </w14:solidFill>
          </w14:textFill>
        </w:rPr>
        <w:t>人</w:t>
      </w:r>
      <w:r>
        <w:rPr>
          <w:rFonts w:asciiTheme="minorEastAsia" w:hAnsiTheme="minorEastAsia" w:eastAsiaTheme="minorEastAsia"/>
          <w:b/>
          <w:color w:val="000000" w:themeColor="text1"/>
          <w:kern w:val="2"/>
          <w:sz w:val="32"/>
          <w:szCs w:val="32"/>
          <w14:textFill>
            <w14:solidFill>
              <w14:schemeClr w14:val="tx1"/>
            </w14:solidFill>
          </w14:textFill>
        </w:rPr>
        <w:t>函</w:t>
      </w:r>
    </w:p>
    <w:p>
      <w:pPr>
        <w:wordWrap w:val="0"/>
        <w:snapToGrid w:val="0"/>
        <w:spacing w:line="440" w:lineRule="exact"/>
        <w:ind w:right="-67" w:rightChars="-32"/>
        <w:rPr>
          <w:rFonts w:cs="仿宋_GB2312" w:asciiTheme="minorEastAsia" w:hAnsiTheme="minorEastAsia" w:eastAsiaTheme="minorEastAsia"/>
          <w:bCs/>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安庆市中级人民法院</w:t>
      </w:r>
      <w:r>
        <w:rPr>
          <w:rFonts w:hint="eastAsia" w:cs="仿宋_GB2312" w:asciiTheme="minorEastAsia" w:hAnsiTheme="minorEastAsia" w:eastAsiaTheme="minorEastAsia"/>
          <w:bCs/>
          <w:color w:val="000000" w:themeColor="text1"/>
          <w:sz w:val="28"/>
          <w:szCs w:val="28"/>
          <w14:textFill>
            <w14:solidFill>
              <w14:schemeClr w14:val="tx1"/>
            </w14:solidFill>
          </w14:textFill>
        </w:rPr>
        <w:t>：</w:t>
      </w:r>
    </w:p>
    <w:p>
      <w:pPr>
        <w:tabs>
          <w:tab w:val="left" w:pos="3060"/>
        </w:tabs>
        <w:wordWrap w:val="0"/>
        <w:spacing w:line="44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承蒙委托，本公司依据中华人民共和国《房地产估价规范》等规定，组织注册房地产估价师</w:t>
      </w:r>
      <w:r>
        <w:rPr>
          <w:rFonts w:hint="eastAsia" w:cs="仿宋_GB2312" w:asciiTheme="minorEastAsia" w:hAnsiTheme="minorEastAsia"/>
          <w:color w:val="000000" w:themeColor="text1"/>
          <w:sz w:val="28"/>
          <w:szCs w:val="28"/>
          <w14:textFill>
            <w14:solidFill>
              <w14:schemeClr w14:val="tx1"/>
            </w14:solidFill>
          </w14:textFill>
        </w:rPr>
        <w:t>胡凌云、胡浩</w:t>
      </w:r>
      <w:r>
        <w:rPr>
          <w:rFonts w:hint="eastAsia" w:asciiTheme="minorEastAsia" w:hAnsiTheme="minorEastAsia"/>
          <w:color w:val="000000" w:themeColor="text1"/>
          <w:sz w:val="28"/>
          <w:szCs w:val="28"/>
          <w14:textFill>
            <w14:solidFill>
              <w14:schemeClr w14:val="tx1"/>
            </w14:solidFill>
          </w14:textFill>
        </w:rPr>
        <w:t>对贵方委托</w:t>
      </w:r>
      <w:r>
        <w:rPr>
          <w:rFonts w:cs="Arial" w:asciiTheme="minorEastAsia" w:hAnsiTheme="minorEastAsia"/>
          <w:color w:val="000000" w:themeColor="text1"/>
          <w:sz w:val="28"/>
          <w:szCs w:val="28"/>
          <w14:textFill>
            <w14:solidFill>
              <w14:schemeClr w14:val="tx1"/>
            </w14:solidFill>
          </w14:textFill>
        </w:rPr>
        <w:t>的位于安庆迎江区人民路南侧谐水湾二期3幢2单元1608室的房地产</w:t>
      </w:r>
      <w:r>
        <w:rPr>
          <w:rFonts w:hint="eastAsia" w:asciiTheme="minorEastAsia" w:hAnsiTheme="minorEastAsia"/>
          <w:color w:val="000000" w:themeColor="text1"/>
          <w:sz w:val="28"/>
          <w:szCs w:val="28"/>
          <w14:textFill>
            <w14:solidFill>
              <w14:schemeClr w14:val="tx1"/>
            </w14:solidFill>
          </w14:textFill>
        </w:rPr>
        <w:t>进行了现场实地查勘，做出了具体测评。现将估价要项归纳如下：</w:t>
      </w:r>
    </w:p>
    <w:p>
      <w:pPr>
        <w:tabs>
          <w:tab w:val="left" w:pos="567"/>
        </w:tabs>
        <w:wordWrap w:val="0"/>
        <w:topLinePunct/>
        <w:spacing w:line="440" w:lineRule="exact"/>
        <w:ind w:firstLine="562"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估价目的：</w:t>
      </w:r>
      <w:r>
        <w:rPr>
          <w:rFonts w:hint="eastAsia" w:asciiTheme="minorEastAsia" w:hAnsiTheme="minorEastAsia" w:eastAsiaTheme="minorEastAsia"/>
          <w:color w:val="000000" w:themeColor="text1"/>
          <w:sz w:val="28"/>
          <w:szCs w:val="28"/>
          <w14:textFill>
            <w14:solidFill>
              <w14:schemeClr w14:val="tx1"/>
            </w14:solidFill>
          </w14:textFill>
        </w:rPr>
        <w:t>为委托方确定财产处置参考价提供参考依据。</w:t>
      </w:r>
    </w:p>
    <w:p>
      <w:pPr>
        <w:wordWrap w:val="0"/>
        <w:spacing w:line="440" w:lineRule="exact"/>
        <w:ind w:firstLine="562"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b/>
          <w:bCs/>
          <w:color w:val="000000" w:themeColor="text1"/>
          <w:sz w:val="28"/>
          <w:szCs w:val="28"/>
          <w14:textFill>
            <w14:solidFill>
              <w14:schemeClr w14:val="tx1"/>
            </w14:solidFill>
          </w14:textFill>
        </w:rPr>
        <w:t>估价对象概况</w:t>
      </w:r>
      <w:r>
        <w:rPr>
          <w:rFonts w:hint="eastAsia" w:cs="仿宋_GB2312" w:asciiTheme="minorEastAsia" w:hAnsiTheme="minorEastAsia" w:eastAsiaTheme="minorEastAsia"/>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位于安庆迎江区人民路南侧谐水湾二期3幢2单元1608室的房地产(含其相应分摊的国有建设用地使用权土地使用权及装饰装修，不含动产、特许经营权等)。其中建筑面积为67.92平方米，规划用途为住宅，实际用途为住宅，权利人为汪清、黄节节，土地共用宗地面积为0平方米，分摊土地使用权面积3.78平方米，地类用途为城镇住宅用地（划拨），土地使用权人为汪清、黄节节。</w:t>
      </w:r>
    </w:p>
    <w:p>
      <w:pPr>
        <w:wordWrap w:val="0"/>
        <w:spacing w:line="440" w:lineRule="exact"/>
        <w:ind w:firstLine="562" w:firstLineChars="200"/>
        <w:rPr>
          <w:rFonts w:asciiTheme="minorEastAsia" w:hAnsiTheme="minorEastAsia" w:eastAsiaTheme="minorEastAsia"/>
          <w:sz w:val="28"/>
          <w:szCs w:val="28"/>
        </w:rPr>
      </w:pPr>
      <w:r>
        <w:rPr>
          <w:rFonts w:hint="eastAsia" w:cs="仿宋_GB2312" w:asciiTheme="minorEastAsia" w:hAnsiTheme="minorEastAsia" w:eastAsiaTheme="minorEastAsia"/>
          <w:b/>
          <w:color w:val="000000" w:themeColor="text1"/>
          <w:sz w:val="28"/>
          <w:szCs w:val="28"/>
          <w14:textFill>
            <w14:solidFill>
              <w14:schemeClr w14:val="tx1"/>
            </w14:solidFill>
          </w14:textFill>
        </w:rPr>
        <w:t>价值时点：</w:t>
      </w:r>
      <w:r>
        <w:rPr>
          <w:rFonts w:hint="eastAsia" w:asciiTheme="minorEastAsia" w:hAnsiTheme="minorEastAsia" w:eastAsiaTheme="minorEastAsia"/>
          <w:sz w:val="28"/>
          <w:szCs w:val="28"/>
        </w:rPr>
        <w:t>2019年12月27日</w:t>
      </w:r>
    </w:p>
    <w:p>
      <w:pPr>
        <w:wordWrap w:val="0"/>
        <w:spacing w:line="44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z w:val="28"/>
          <w:szCs w:val="28"/>
        </w:rPr>
        <w:t>价值时点确定的理由：以现场查勘日为价值时点。本次现场查勘日期为2019年12月27日。</w:t>
      </w:r>
    </w:p>
    <w:p>
      <w:pPr>
        <w:wordWrap w:val="0"/>
        <w:spacing w:line="440" w:lineRule="exact"/>
        <w:ind w:firstLine="562"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价值类型：</w:t>
      </w:r>
      <w:r>
        <w:rPr>
          <w:rFonts w:hint="eastAsia" w:cs="仿宋_GB2312" w:asciiTheme="minorEastAsia" w:hAnsiTheme="minorEastAsia" w:eastAsiaTheme="minorEastAsia"/>
          <w:snapToGrid w:val="0"/>
          <w:color w:val="000000" w:themeColor="text1"/>
          <w:kern w:val="24"/>
          <w:sz w:val="28"/>
          <w:szCs w:val="28"/>
          <w14:textFill>
            <w14:solidFill>
              <w14:schemeClr w14:val="tx1"/>
            </w14:solidFill>
          </w14:textFill>
        </w:rPr>
        <w:t>市场</w:t>
      </w:r>
      <w:r>
        <w:rPr>
          <w:rFonts w:hint="eastAsia" w:cs="仿宋_GB2312" w:asciiTheme="minorEastAsia" w:hAnsiTheme="minorEastAsia" w:eastAsiaTheme="minorEastAsia"/>
          <w:color w:val="000000" w:themeColor="text1"/>
          <w:sz w:val="28"/>
          <w:szCs w:val="28"/>
          <w14:textFill>
            <w14:solidFill>
              <w14:schemeClr w14:val="tx1"/>
            </w14:solidFill>
          </w14:textFill>
        </w:rPr>
        <w:t>价值。</w:t>
      </w:r>
    </w:p>
    <w:p>
      <w:pPr>
        <w:wordWrap w:val="0"/>
        <w:spacing w:line="440" w:lineRule="exact"/>
        <w:ind w:firstLine="562" w:firstLineChars="20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估价方法：</w:t>
      </w:r>
      <w:r>
        <w:rPr>
          <w:rFonts w:hint="eastAsia" w:cs="仿宋_GB2312" w:asciiTheme="minorEastAsia" w:hAnsiTheme="minorEastAsia" w:eastAsiaTheme="minorEastAsia"/>
          <w:snapToGrid w:val="0"/>
          <w:color w:val="000000" w:themeColor="text1"/>
          <w:kern w:val="24"/>
          <w:sz w:val="28"/>
          <w:szCs w:val="28"/>
          <w14:textFill>
            <w14:solidFill>
              <w14:schemeClr w14:val="tx1"/>
            </w14:solidFill>
          </w14:textFill>
        </w:rPr>
        <w:t>比较法、收益法</w:t>
      </w:r>
    </w:p>
    <w:p>
      <w:pPr>
        <w:wordWrap w:val="0"/>
        <w:spacing w:line="440" w:lineRule="exact"/>
        <w:ind w:firstLine="562" w:firstLineChars="200"/>
        <w:jc w:val="left"/>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估价结果：</w:t>
      </w:r>
    </w:p>
    <w:p>
      <w:pPr>
        <w:wordWrap w:val="0"/>
        <w:spacing w:line="440" w:lineRule="exact"/>
        <w:ind w:firstLine="560" w:firstLineChars="200"/>
        <w:jc w:val="left"/>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估价人员经过实地查勘和市场调查，根据估价目的，遵照</w:t>
      </w:r>
      <w:r>
        <w:rPr>
          <w:rFonts w:asciiTheme="minorEastAsia" w:hAnsiTheme="minorEastAsia" w:eastAsiaTheme="minorEastAsia"/>
          <w:color w:val="000000" w:themeColor="text1"/>
          <w:sz w:val="28"/>
          <w:szCs w:val="28"/>
          <w14:textFill>
            <w14:solidFill>
              <w14:schemeClr w14:val="tx1"/>
            </w14:solidFill>
          </w14:textFill>
        </w:rPr>
        <w:t>国家的相关法规</w:t>
      </w:r>
      <w:r>
        <w:rPr>
          <w:rFonts w:hint="eastAsia" w:asciiTheme="minorEastAsia" w:hAnsiTheme="minorEastAsia" w:eastAsiaTheme="minorEastAsia"/>
          <w:color w:val="000000" w:themeColor="text1"/>
          <w:sz w:val="28"/>
          <w:szCs w:val="28"/>
          <w14:textFill>
            <w14:solidFill>
              <w14:schemeClr w14:val="tx1"/>
            </w14:solidFill>
          </w14:textFill>
        </w:rPr>
        <w:t>及估价原则，按照估价程序，采用科学合理的估价方法，在认真分析相关资料的基础上，并综合考虑影响房地产市场价格的各项因素，结合估价师的专业经验和周密测算与判断，确定估价对象在价值时点的估价结果为：</w:t>
      </w:r>
    </w:p>
    <w:p>
      <w:pPr>
        <w:wordWrap w:val="0"/>
        <w:spacing w:line="440" w:lineRule="exact"/>
        <w:jc w:val="center"/>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估价对象估价结果表</w:t>
      </w:r>
    </w:p>
    <w:p>
      <w:pPr>
        <w:wordWrap w:val="0"/>
        <w:spacing w:line="440" w:lineRule="exact"/>
        <w:jc w:val="right"/>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币种：人民币</w:t>
      </w:r>
    </w:p>
    <w:p>
      <w:pPr>
        <w:wordWrap w:val="0"/>
        <w:spacing w:line="440" w:lineRule="exact"/>
        <w:jc w:val="center"/>
        <w:rPr>
          <w:rFonts w:cs="宋体" w:asciiTheme="minorEastAsia" w:hAnsiTheme="minorEastAsia" w:eastAsiaTheme="minorEastAsia"/>
          <w:color w:val="000000" w:themeColor="text1"/>
          <w:sz w:val="28"/>
          <w:szCs w:val="28"/>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676"/>
        <w:gridCol w:w="951"/>
        <w:gridCol w:w="869"/>
        <w:gridCol w:w="869"/>
        <w:gridCol w:w="869"/>
        <w:gridCol w:w="999"/>
        <w:gridCol w:w="94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估价对象全称</w:t>
            </w:r>
          </w:p>
        </w:tc>
        <w:tc>
          <w:tcPr>
            <w:tcW w:w="67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实际用途</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楼层/总楼层</w:t>
            </w:r>
          </w:p>
        </w:tc>
        <w:tc>
          <w:tcPr>
            <w:tcW w:w="86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cs="宋体" w:asciiTheme="minorEastAsia" w:hAnsiTheme="minorEastAsia"/>
                <w:szCs w:val="21"/>
              </w:rPr>
            </w:pPr>
            <w:r>
              <w:rPr>
                <w:rFonts w:hint="eastAsia" w:asciiTheme="minorEastAsia" w:hAnsiTheme="minorEastAsia" w:eastAsiaTheme="minorEastAsia"/>
                <w:szCs w:val="21"/>
              </w:rPr>
              <w:t>不动产权证号</w:t>
            </w:r>
          </w:p>
        </w:tc>
        <w:tc>
          <w:tcPr>
            <w:tcW w:w="86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cs="宋体" w:asciiTheme="minorEastAsia" w:hAnsiTheme="minorEastAsia"/>
                <w:szCs w:val="21"/>
              </w:rPr>
            </w:pPr>
            <w:r>
              <w:rPr>
                <w:rFonts w:hint="eastAsia" w:asciiTheme="minorEastAsia" w:hAnsiTheme="minorEastAsia" w:eastAsiaTheme="minorEastAsia"/>
                <w:szCs w:val="21"/>
              </w:rPr>
              <w:t>不动产单元号</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建筑面积(㎡)</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共用宗地面积(㎡)</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评估单价(元/㎡)</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评估总值(</w:t>
            </w:r>
            <w:r>
              <w:rPr>
                <w:rFonts w:hint="eastAsia" w:asciiTheme="minorEastAsia" w:hAnsiTheme="minorEastAsia" w:eastAsiaTheme="minorEastAsia"/>
                <w:szCs w:val="21"/>
              </w:rPr>
              <w:t>万元</w:t>
            </w:r>
            <w:r>
              <w:rPr>
                <w:rFonts w:hint="eastAsia"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94"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安庆迎江区人民路南侧谐水湾二期3幢2单元1608室</w:t>
            </w:r>
          </w:p>
        </w:tc>
        <w:tc>
          <w:tcPr>
            <w:tcW w:w="676"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住宅</w:t>
            </w:r>
          </w:p>
        </w:tc>
        <w:tc>
          <w:tcPr>
            <w:tcW w:w="951"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16层/18层</w:t>
            </w:r>
          </w:p>
        </w:tc>
        <w:tc>
          <w:tcPr>
            <w:tcW w:w="869"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[宜房字第50141897/50141898号]</w:t>
            </w:r>
          </w:p>
        </w:tc>
        <w:tc>
          <w:tcPr>
            <w:tcW w:w="869"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[340802021008GB00031F00031896]</w:t>
            </w:r>
          </w:p>
        </w:tc>
        <w:tc>
          <w:tcPr>
            <w:tcW w:w="869"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67.92</w:t>
            </w:r>
          </w:p>
        </w:tc>
        <w:tc>
          <w:tcPr>
            <w:tcW w:w="999"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0</w:t>
            </w:r>
          </w:p>
        </w:tc>
        <w:tc>
          <w:tcPr>
            <w:tcW w:w="940"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10469</w:t>
            </w:r>
          </w:p>
        </w:tc>
        <w:tc>
          <w:tcPr>
            <w:tcW w:w="1020"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71.11</w:t>
            </w:r>
          </w:p>
        </w:tc>
      </w:tr>
    </w:tbl>
    <w:p>
      <w:pPr>
        <w:wordWrap w:val="0"/>
        <w:spacing w:line="560" w:lineRule="exact"/>
        <w:ind w:firstLine="420"/>
        <w:rPr>
          <w:rFonts w:hint="eastAsia" w:asciiTheme="minorEastAsia" w:hAnsiTheme="minorEastAsia" w:eastAsiaTheme="minorEastAsia" w:cstheme="minorEastAsia"/>
          <w:sz w:val="28"/>
          <w:szCs w:val="28"/>
          <w:shd w:val="clear" w:color="auto" w:fill="FFFFFF" w:themeFill="background1"/>
        </w:rPr>
      </w:pPr>
      <w:r>
        <w:rPr>
          <w:rFonts w:hint="eastAsia" w:asciiTheme="minorEastAsia" w:hAnsiTheme="minorEastAsia" w:eastAsiaTheme="minorEastAsia" w:cstheme="minorEastAsia"/>
          <w:sz w:val="28"/>
          <w:szCs w:val="28"/>
          <w:shd w:val="clear" w:color="auto" w:fill="FFFFFF" w:themeFill="background1"/>
        </w:rPr>
        <w:t>2、房产装修价值确定</w:t>
      </w:r>
    </w:p>
    <w:p>
      <w:pPr>
        <w:ind w:firstLine="560" w:firstLineChars="200"/>
        <w:rPr>
          <w:rFonts w:hint="eastAsia" w:ascii="仿宋_GB2312" w:hAnsi="宋体" w:eastAsia="仿宋_GB2312"/>
          <w:sz w:val="28"/>
          <w:szCs w:val="28"/>
        </w:rPr>
      </w:pPr>
    </w:p>
    <w:tbl>
      <w:tblPr>
        <w:tblStyle w:val="19"/>
        <w:tblW w:w="10226"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170"/>
        <w:gridCol w:w="1309"/>
        <w:gridCol w:w="1211"/>
        <w:gridCol w:w="1155"/>
        <w:gridCol w:w="735"/>
        <w:gridCol w:w="147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81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估价对象</w:t>
            </w:r>
          </w:p>
        </w:tc>
        <w:tc>
          <w:tcPr>
            <w:tcW w:w="1170"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使用状况</w:t>
            </w:r>
          </w:p>
        </w:tc>
        <w:tc>
          <w:tcPr>
            <w:tcW w:w="1309"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建筑面积（m2）</w:t>
            </w:r>
          </w:p>
        </w:tc>
        <w:tc>
          <w:tcPr>
            <w:tcW w:w="121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建成年代</w:t>
            </w:r>
          </w:p>
        </w:tc>
        <w:tc>
          <w:tcPr>
            <w:tcW w:w="1155"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重置成本</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（元/m2）</w:t>
            </w:r>
          </w:p>
        </w:tc>
        <w:tc>
          <w:tcPr>
            <w:tcW w:w="735"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折旧率</w:t>
            </w:r>
          </w:p>
        </w:tc>
        <w:tc>
          <w:tcPr>
            <w:tcW w:w="1474"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重置成新成本（元/m2）</w:t>
            </w:r>
          </w:p>
        </w:tc>
        <w:tc>
          <w:tcPr>
            <w:tcW w:w="136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装修总价</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asciiTheme="minorEastAsia" w:hAnsiTheme="minorEastAsia" w:eastAsiaTheme="minorEastAsia"/>
                <w:color w:val="000000"/>
                <w:szCs w:val="21"/>
              </w:rPr>
              <w:t>安庆迎江区人民路南侧谐水湾二期3幢2单元1608室</w:t>
            </w:r>
          </w:p>
        </w:tc>
        <w:tc>
          <w:tcPr>
            <w:tcW w:w="117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出租</w:t>
            </w:r>
          </w:p>
        </w:tc>
        <w:tc>
          <w:tcPr>
            <w:tcW w:w="1309" w:type="dxa"/>
            <w:vAlign w:val="center"/>
          </w:tcPr>
          <w:p>
            <w:pPr>
              <w:widowControl/>
              <w:jc w:val="center"/>
              <w:rPr>
                <w:rFonts w:hint="eastAsia" w:cs="宋体" w:asciiTheme="minorEastAsia" w:hAnsiTheme="minorEastAsia" w:eastAsiaTheme="minorEastAsia"/>
                <w:sz w:val="18"/>
                <w:szCs w:val="18"/>
                <w:lang w:bidi="ar"/>
              </w:rPr>
            </w:pPr>
            <w:r>
              <w:rPr>
                <w:rFonts w:cs="宋体" w:asciiTheme="minorEastAsia" w:hAnsiTheme="minorEastAsia" w:eastAsiaTheme="minorEastAsia"/>
                <w:sz w:val="18"/>
                <w:szCs w:val="18"/>
                <w:lang w:bidi="ar"/>
              </w:rPr>
              <w:t>67.92</w:t>
            </w:r>
          </w:p>
        </w:tc>
        <w:tc>
          <w:tcPr>
            <w:tcW w:w="12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2012</w:t>
            </w:r>
          </w:p>
        </w:tc>
        <w:tc>
          <w:tcPr>
            <w:tcW w:w="1155"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550</w:t>
            </w:r>
          </w:p>
        </w:tc>
        <w:tc>
          <w:tcPr>
            <w:tcW w:w="735"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75%</w:t>
            </w:r>
          </w:p>
        </w:tc>
        <w:tc>
          <w:tcPr>
            <w:tcW w:w="1474"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412.5</w:t>
            </w:r>
          </w:p>
        </w:tc>
        <w:tc>
          <w:tcPr>
            <w:tcW w:w="136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合计</w:t>
            </w:r>
          </w:p>
        </w:tc>
        <w:tc>
          <w:tcPr>
            <w:tcW w:w="117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w:t>
            </w:r>
          </w:p>
        </w:tc>
        <w:tc>
          <w:tcPr>
            <w:tcW w:w="1309" w:type="dxa"/>
            <w:vAlign w:val="center"/>
          </w:tcPr>
          <w:p>
            <w:pPr>
              <w:widowControl/>
              <w:jc w:val="center"/>
              <w:rPr>
                <w:rFonts w:hint="eastAsia" w:cs="宋体" w:asciiTheme="minorEastAsia" w:hAnsiTheme="minorEastAsia" w:eastAsiaTheme="minorEastAsia"/>
                <w:sz w:val="18"/>
                <w:szCs w:val="18"/>
                <w:lang w:bidi="ar"/>
              </w:rPr>
            </w:pPr>
            <w:r>
              <w:rPr>
                <w:rFonts w:cs="宋体" w:asciiTheme="minorEastAsia" w:hAnsiTheme="minorEastAsia" w:eastAsiaTheme="minorEastAsia"/>
                <w:sz w:val="18"/>
                <w:szCs w:val="18"/>
                <w:lang w:bidi="ar"/>
              </w:rPr>
              <w:t>67.92</w:t>
            </w:r>
          </w:p>
        </w:tc>
        <w:tc>
          <w:tcPr>
            <w:tcW w:w="12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w:t>
            </w:r>
          </w:p>
        </w:tc>
        <w:tc>
          <w:tcPr>
            <w:tcW w:w="1155" w:type="dxa"/>
            <w:vAlign w:val="center"/>
          </w:tcPr>
          <w:p>
            <w:pPr>
              <w:widowControl/>
              <w:jc w:val="center"/>
              <w:rPr>
                <w:rFonts w:hint="eastAsia" w:cs="宋体" w:asciiTheme="minorEastAsia" w:hAnsiTheme="minorEastAsia" w:eastAsiaTheme="minorEastAsia"/>
                <w:sz w:val="18"/>
                <w:szCs w:val="18"/>
                <w:lang w:bidi="ar"/>
              </w:rPr>
            </w:pPr>
          </w:p>
        </w:tc>
        <w:tc>
          <w:tcPr>
            <w:tcW w:w="735" w:type="dxa"/>
            <w:vAlign w:val="center"/>
          </w:tcPr>
          <w:p>
            <w:pPr>
              <w:widowControl/>
              <w:jc w:val="center"/>
              <w:rPr>
                <w:rFonts w:hint="eastAsia" w:cs="宋体" w:asciiTheme="minorEastAsia" w:hAnsiTheme="minorEastAsia" w:eastAsiaTheme="minorEastAsia"/>
                <w:sz w:val="18"/>
                <w:szCs w:val="18"/>
                <w:lang w:bidi="ar"/>
              </w:rPr>
            </w:pPr>
          </w:p>
        </w:tc>
        <w:tc>
          <w:tcPr>
            <w:tcW w:w="1474" w:type="dxa"/>
            <w:vAlign w:val="center"/>
          </w:tcPr>
          <w:p>
            <w:pPr>
              <w:widowControl/>
              <w:jc w:val="center"/>
              <w:rPr>
                <w:rFonts w:hint="eastAsia" w:cs="宋体" w:asciiTheme="minorEastAsia" w:hAnsiTheme="minorEastAsia" w:eastAsiaTheme="minorEastAsia"/>
                <w:sz w:val="18"/>
                <w:szCs w:val="18"/>
                <w:lang w:bidi="ar"/>
              </w:rPr>
            </w:pPr>
          </w:p>
        </w:tc>
        <w:tc>
          <w:tcPr>
            <w:tcW w:w="136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2.8</w:t>
            </w:r>
          </w:p>
        </w:tc>
      </w:tr>
    </w:tbl>
    <w:p>
      <w:pPr>
        <w:wordWrap w:val="0"/>
        <w:spacing w:line="560" w:lineRule="exact"/>
        <w:ind w:firstLine="420"/>
        <w:rPr>
          <w:rFonts w:hint="eastAsia" w:asciiTheme="minorEastAsia" w:hAnsiTheme="minorEastAsia" w:eastAsiaTheme="minorEastAsia" w:cstheme="minorEastAsia"/>
          <w:sz w:val="28"/>
          <w:szCs w:val="28"/>
          <w:shd w:val="clear" w:color="auto" w:fill="FFFFFF" w:themeFill="background1"/>
        </w:rPr>
      </w:pPr>
    </w:p>
    <w:p>
      <w:pPr>
        <w:wordWrap w:val="0"/>
        <w:spacing w:line="560" w:lineRule="exact"/>
        <w:ind w:firstLine="420"/>
        <w:rPr>
          <w:rFonts w:hint="eastAsia" w:asciiTheme="minorEastAsia" w:hAnsiTheme="minorEastAsia" w:eastAsiaTheme="minorEastAsia" w:cstheme="minorEastAsia"/>
          <w:sz w:val="28"/>
          <w:szCs w:val="28"/>
          <w:shd w:val="clear" w:color="auto" w:fill="FFFFFF" w:themeFill="background1"/>
        </w:rPr>
      </w:pPr>
      <w:r>
        <w:rPr>
          <w:rFonts w:hint="eastAsia" w:asciiTheme="minorEastAsia" w:hAnsiTheme="minorEastAsia" w:eastAsiaTheme="minorEastAsia" w:cstheme="minorEastAsia"/>
          <w:sz w:val="28"/>
          <w:szCs w:val="28"/>
          <w:shd w:val="clear" w:color="auto" w:fill="FFFFFF" w:themeFill="background1"/>
        </w:rPr>
        <w:t>3、设备、家具价值确定</w:t>
      </w:r>
    </w:p>
    <w:tbl>
      <w:tblPr>
        <w:tblStyle w:val="19"/>
        <w:tblW w:w="7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989"/>
        <w:gridCol w:w="1579"/>
        <w:gridCol w:w="85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1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设备名称</w:t>
            </w:r>
          </w:p>
        </w:tc>
        <w:tc>
          <w:tcPr>
            <w:tcW w:w="1989"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规格</w:t>
            </w:r>
          </w:p>
        </w:tc>
        <w:tc>
          <w:tcPr>
            <w:tcW w:w="1579"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单价</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（元/m2）</w:t>
            </w:r>
          </w:p>
        </w:tc>
        <w:tc>
          <w:tcPr>
            <w:tcW w:w="85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折旧率</w:t>
            </w:r>
          </w:p>
        </w:tc>
        <w:tc>
          <w:tcPr>
            <w:tcW w:w="1408"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总价值</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客厅内柜</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1.9M*0.66 M *0.3 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800</w:t>
            </w:r>
          </w:p>
        </w:tc>
        <w:tc>
          <w:tcPr>
            <w:tcW w:w="85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阳台柜子</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2.3M*1.25*0.66 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1800</w:t>
            </w:r>
          </w:p>
        </w:tc>
        <w:tc>
          <w:tcPr>
            <w:tcW w:w="850" w:type="dxa"/>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阳台柜子</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1.1M*1.0*0.67M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1500</w:t>
            </w:r>
          </w:p>
        </w:tc>
        <w:tc>
          <w:tcPr>
            <w:tcW w:w="850" w:type="dxa"/>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厨柜上柜</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2.05M</w:t>
            </w:r>
          </w:p>
        </w:tc>
        <w:tc>
          <w:tcPr>
            <w:tcW w:w="1579" w:type="dxa"/>
            <w:vMerge w:val="restart"/>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7500</w:t>
            </w:r>
          </w:p>
        </w:tc>
        <w:tc>
          <w:tcPr>
            <w:tcW w:w="850" w:type="dxa"/>
            <w:vMerge w:val="restart"/>
            <w:vAlign w:val="center"/>
          </w:tcPr>
          <w:p>
            <w:pPr>
              <w:jc w:val="center"/>
            </w:pPr>
            <w:r>
              <w:rPr>
                <w:rFonts w:hint="eastAsia" w:cs="宋体" w:asciiTheme="minorEastAsia" w:hAnsiTheme="minorEastAsia" w:eastAsiaTheme="minorEastAsia"/>
                <w:sz w:val="18"/>
                <w:szCs w:val="18"/>
                <w:lang w:bidi="ar"/>
              </w:rPr>
              <w:t>75%</w:t>
            </w:r>
          </w:p>
        </w:tc>
        <w:tc>
          <w:tcPr>
            <w:tcW w:w="1408" w:type="dxa"/>
            <w:vMerge w:val="restart"/>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厨柜下柜</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3.1M</w:t>
            </w:r>
          </w:p>
        </w:tc>
        <w:tc>
          <w:tcPr>
            <w:tcW w:w="1579" w:type="dxa"/>
            <w:vMerge w:val="continue"/>
            <w:vAlign w:val="center"/>
          </w:tcPr>
          <w:p>
            <w:pPr>
              <w:widowControl/>
              <w:jc w:val="center"/>
              <w:rPr>
                <w:rFonts w:hint="eastAsia" w:cs="宋体" w:asciiTheme="minorEastAsia" w:hAnsiTheme="minorEastAsia" w:eastAsiaTheme="minorEastAsia"/>
                <w:sz w:val="18"/>
                <w:szCs w:val="18"/>
                <w:lang w:bidi="ar"/>
              </w:rPr>
            </w:pPr>
          </w:p>
        </w:tc>
        <w:tc>
          <w:tcPr>
            <w:tcW w:w="850" w:type="dxa"/>
            <w:vMerge w:val="continue"/>
            <w:vAlign w:val="center"/>
          </w:tcPr>
          <w:p>
            <w:pPr>
              <w:jc w:val="center"/>
            </w:pPr>
          </w:p>
        </w:tc>
        <w:tc>
          <w:tcPr>
            <w:tcW w:w="1408" w:type="dxa"/>
            <w:vMerge w:val="continue"/>
            <w:vAlign w:val="center"/>
          </w:tcPr>
          <w:p>
            <w:pPr>
              <w:widowControl/>
              <w:jc w:val="center"/>
              <w:rPr>
                <w:rFonts w:hint="eastAsia" w:cs="宋体" w:asciiTheme="minorEastAsia" w:hAnsiTheme="minorEastAsia" w:eastAsiaTheme="minorEastAsia"/>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坐便器</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700</w:t>
            </w:r>
          </w:p>
        </w:tc>
        <w:tc>
          <w:tcPr>
            <w:tcW w:w="850" w:type="dxa"/>
            <w:vAlign w:val="center"/>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洗手池</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1个（0.6M）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600</w:t>
            </w:r>
          </w:p>
        </w:tc>
        <w:tc>
          <w:tcPr>
            <w:tcW w:w="850" w:type="dxa"/>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浴霸</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200</w:t>
            </w:r>
          </w:p>
        </w:tc>
        <w:tc>
          <w:tcPr>
            <w:tcW w:w="850" w:type="dxa"/>
          </w:tcPr>
          <w:p>
            <w:pPr>
              <w:jc w:val="center"/>
            </w:pPr>
            <w:r>
              <w:rPr>
                <w:rFonts w:hint="eastAsia" w:cs="宋体" w:asciiTheme="minorEastAsia" w:hAnsiTheme="minorEastAsia" w:eastAsiaTheme="minorEastAsia"/>
                <w:sz w:val="18"/>
                <w:szCs w:val="18"/>
                <w:lang w:bidi="ar"/>
              </w:rPr>
              <w:t>50%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毛巾架</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200</w:t>
            </w:r>
          </w:p>
        </w:tc>
        <w:tc>
          <w:tcPr>
            <w:tcW w:w="850" w:type="dxa"/>
          </w:tcPr>
          <w:p>
            <w:pPr>
              <w:jc w:val="center"/>
            </w:pPr>
            <w:r>
              <w:rPr>
                <w:rFonts w:hint="eastAsia" w:cs="宋体" w:asciiTheme="minorEastAsia" w:hAnsiTheme="minorEastAsia" w:eastAsiaTheme="minorEastAsia"/>
                <w:sz w:val="18"/>
                <w:szCs w:val="18"/>
                <w:lang w:bidi="ar"/>
              </w:rPr>
              <w:t>60%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淋浴喷头</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80</w:t>
            </w:r>
          </w:p>
        </w:tc>
        <w:tc>
          <w:tcPr>
            <w:tcW w:w="850" w:type="dxa"/>
          </w:tcPr>
          <w:p>
            <w:pPr>
              <w:jc w:val="center"/>
            </w:pPr>
            <w:r>
              <w:rPr>
                <w:rFonts w:hint="eastAsia" w:cs="宋体" w:asciiTheme="minorEastAsia" w:hAnsiTheme="minorEastAsia" w:eastAsiaTheme="minorEastAsia"/>
                <w:sz w:val="18"/>
                <w:szCs w:val="18"/>
                <w:lang w:bidi="ar"/>
              </w:rPr>
              <w:t>60%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淋浴喷头</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400</w:t>
            </w:r>
          </w:p>
        </w:tc>
        <w:tc>
          <w:tcPr>
            <w:tcW w:w="850" w:type="dxa"/>
          </w:tcPr>
          <w:p>
            <w:pPr>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60%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集成灶台</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法瑞</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4000</w:t>
            </w:r>
          </w:p>
        </w:tc>
        <w:tc>
          <w:tcPr>
            <w:tcW w:w="850" w:type="dxa"/>
          </w:tcPr>
          <w:p>
            <w:pPr>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合计</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w:t>
            </w:r>
          </w:p>
        </w:tc>
        <w:tc>
          <w:tcPr>
            <w:tcW w:w="1579" w:type="dxa"/>
            <w:vAlign w:val="center"/>
          </w:tcPr>
          <w:p>
            <w:pPr>
              <w:widowControl/>
              <w:jc w:val="center"/>
              <w:rPr>
                <w:rFonts w:hint="eastAsia" w:cs="宋体" w:asciiTheme="minorEastAsia" w:hAnsiTheme="minorEastAsia" w:eastAsiaTheme="minorEastAsia"/>
                <w:sz w:val="18"/>
                <w:szCs w:val="18"/>
                <w:lang w:bidi="ar"/>
              </w:rPr>
            </w:pPr>
          </w:p>
        </w:tc>
        <w:tc>
          <w:tcPr>
            <w:tcW w:w="850" w:type="dxa"/>
            <w:vAlign w:val="center"/>
          </w:tcPr>
          <w:p>
            <w:pPr>
              <w:widowControl/>
              <w:jc w:val="center"/>
              <w:rPr>
                <w:rFonts w:hint="eastAsia" w:cs="宋体" w:asciiTheme="minorEastAsia" w:hAnsiTheme="minorEastAsia" w:eastAsiaTheme="minorEastAsia"/>
                <w:sz w:val="18"/>
                <w:szCs w:val="18"/>
                <w:lang w:bidi="ar"/>
              </w:rPr>
            </w:pP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1.76</w:t>
            </w:r>
          </w:p>
        </w:tc>
      </w:tr>
    </w:tbl>
    <w:p>
      <w:pPr>
        <w:wordWrap w:val="0"/>
        <w:spacing w:line="560" w:lineRule="exact"/>
        <w:jc w:val="center"/>
        <w:rPr>
          <w:rFonts w:asciiTheme="minorEastAsia" w:hAnsiTheme="minorEastAsia" w:eastAsiaTheme="minorEastAsia"/>
          <w:b/>
          <w:color w:val="000000" w:themeColor="text1"/>
          <w:sz w:val="28"/>
          <w:szCs w:val="28"/>
          <w14:textFill>
            <w14:solidFill>
              <w14:schemeClr w14:val="tx1"/>
            </w14:solidFill>
          </w14:textFill>
        </w:rPr>
      </w:pPr>
    </w:p>
    <w:p>
      <w:pPr>
        <w:wordWrap w:val="0"/>
        <w:spacing w:line="560" w:lineRule="exact"/>
        <w:jc w:val="center"/>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估价结果汇总</w:t>
      </w:r>
      <w:r>
        <w:rPr>
          <w:rFonts w:asciiTheme="minorEastAsia" w:hAnsiTheme="minorEastAsia" w:eastAsiaTheme="minorEastAsia"/>
          <w:b/>
          <w:color w:val="000000" w:themeColor="text1"/>
          <w:sz w:val="28"/>
          <w:szCs w:val="28"/>
          <w14:textFill>
            <w14:solidFill>
              <w14:schemeClr w14:val="tx1"/>
            </w14:solidFill>
          </w14:textFill>
        </w:rPr>
        <w:t>表</w:t>
      </w:r>
    </w:p>
    <w:p>
      <w:pPr>
        <w:wordWrap w:val="0"/>
        <w:spacing w:line="440" w:lineRule="exact"/>
        <w:jc w:val="right"/>
        <w:rPr>
          <w:rFonts w:asciiTheme="minorEastAsia" w:hAnsiTheme="minorEastAsia" w:eastAsiaTheme="minorEastAsia"/>
          <w:sz w:val="28"/>
          <w:szCs w:val="28"/>
        </w:rPr>
      </w:pPr>
      <w:r>
        <w:rPr>
          <w:rFonts w:hint="eastAsia" w:cs="宋体" w:asciiTheme="minorEastAsia" w:hAnsiTheme="minorEastAsia" w:eastAsiaTheme="minorEastAsia"/>
          <w:b/>
          <w:color w:val="000000" w:themeColor="text1"/>
          <w:szCs w:val="21"/>
          <w14:textFill>
            <w14:solidFill>
              <w14:schemeClr w14:val="tx1"/>
            </w14:solidFill>
          </w14:textFill>
        </w:rPr>
        <w:t>币种：人民币</w:t>
      </w:r>
    </w:p>
    <w:tbl>
      <w:tblPr>
        <w:tblStyle w:val="19"/>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877"/>
        <w:gridCol w:w="1559"/>
        <w:gridCol w:w="992"/>
        <w:gridCol w:w="993"/>
        <w:gridCol w:w="992"/>
        <w:gridCol w:w="136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估价对象全称</w:t>
            </w:r>
          </w:p>
        </w:tc>
        <w:tc>
          <w:tcPr>
            <w:tcW w:w="877" w:type="dxa"/>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实际用途</w:t>
            </w:r>
          </w:p>
        </w:tc>
        <w:tc>
          <w:tcPr>
            <w:tcW w:w="1559" w:type="dxa"/>
            <w:vAlign w:val="center"/>
          </w:tcPr>
          <w:p>
            <w:pPr>
              <w:widowControl/>
              <w:jc w:val="center"/>
              <w:rPr>
                <w:rFonts w:cs="宋体" w:asciiTheme="minorEastAsia" w:hAnsiTheme="minorEastAsia"/>
                <w:color w:val="000000"/>
                <w:szCs w:val="21"/>
              </w:rPr>
            </w:pPr>
            <w:r>
              <w:rPr>
                <w:rFonts w:hint="eastAsia" w:asciiTheme="minorEastAsia" w:hAnsiTheme="minorEastAsia" w:eastAsiaTheme="minorEastAsia"/>
                <w:szCs w:val="21"/>
              </w:rPr>
              <w:t>不动产权证号</w:t>
            </w:r>
          </w:p>
        </w:tc>
        <w:tc>
          <w:tcPr>
            <w:tcW w:w="992"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建筑面积(㎡)</w:t>
            </w:r>
          </w:p>
        </w:tc>
        <w:tc>
          <w:tcPr>
            <w:tcW w:w="993"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评估值(</w:t>
            </w:r>
            <w:r>
              <w:rPr>
                <w:rFonts w:hint="eastAsia" w:cs="宋体" w:asciiTheme="minorEastAsia" w:hAnsiTheme="minorEastAsia"/>
                <w:szCs w:val="21"/>
              </w:rPr>
              <w:t>万元</w:t>
            </w:r>
            <w:r>
              <w:rPr>
                <w:rFonts w:hint="eastAsia" w:cs="宋体" w:asciiTheme="minorEastAsia" w:hAnsiTheme="minorEastAsia"/>
                <w:color w:val="000000"/>
                <w:szCs w:val="21"/>
              </w:rPr>
              <w:t>)</w:t>
            </w:r>
          </w:p>
        </w:tc>
        <w:tc>
          <w:tcPr>
            <w:tcW w:w="992"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装潢价值（万元</w:t>
            </w:r>
          </w:p>
        </w:tc>
        <w:tc>
          <w:tcPr>
            <w:tcW w:w="1364" w:type="dxa"/>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设备及家具（万元）</w:t>
            </w:r>
          </w:p>
        </w:tc>
        <w:tc>
          <w:tcPr>
            <w:tcW w:w="1364" w:type="dxa"/>
            <w:shd w:val="clear" w:color="auto" w:fill="auto"/>
            <w:vAlign w:val="center"/>
          </w:tcPr>
          <w:p>
            <w:pPr>
              <w:widowControl/>
              <w:jc w:val="center"/>
              <w:rPr>
                <w:rFonts w:hint="eastAsia" w:cs="宋体" w:asciiTheme="minorEastAsia" w:hAnsiTheme="minorEastAsia"/>
                <w:color w:val="000000"/>
                <w:szCs w:val="21"/>
              </w:rPr>
            </w:pPr>
            <w:r>
              <w:rPr>
                <w:rFonts w:hint="eastAsia" w:cs="宋体" w:asciiTheme="minorEastAsia" w:hAnsiTheme="minorEastAsia"/>
                <w:color w:val="000000"/>
                <w:szCs w:val="21"/>
              </w:rPr>
              <w:t>合计</w:t>
            </w:r>
          </w:p>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安庆迎江区人民路南侧谐水湾二期3幢2单元1608室</w:t>
            </w:r>
          </w:p>
        </w:tc>
        <w:tc>
          <w:tcPr>
            <w:tcW w:w="877"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住宅</w:t>
            </w:r>
          </w:p>
        </w:tc>
        <w:tc>
          <w:tcPr>
            <w:tcW w:w="1559"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[宜房字第50141897/50141898号]</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67.92</w:t>
            </w:r>
          </w:p>
        </w:tc>
        <w:tc>
          <w:tcPr>
            <w:tcW w:w="993"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71.11</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2.8</w:t>
            </w:r>
          </w:p>
        </w:tc>
        <w:tc>
          <w:tcPr>
            <w:tcW w:w="1364" w:type="dxa"/>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1.76</w:t>
            </w:r>
          </w:p>
        </w:tc>
        <w:tc>
          <w:tcPr>
            <w:tcW w:w="1364"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合计</w:t>
            </w:r>
          </w:p>
        </w:tc>
        <w:tc>
          <w:tcPr>
            <w:tcW w:w="877" w:type="dxa"/>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w:t>
            </w:r>
          </w:p>
        </w:tc>
        <w:tc>
          <w:tcPr>
            <w:tcW w:w="1559"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w:t>
            </w:r>
          </w:p>
        </w:tc>
        <w:tc>
          <w:tcPr>
            <w:tcW w:w="993"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71.11</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2.8</w:t>
            </w:r>
          </w:p>
        </w:tc>
        <w:tc>
          <w:tcPr>
            <w:tcW w:w="1364" w:type="dxa"/>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1.76</w:t>
            </w:r>
          </w:p>
        </w:tc>
        <w:tc>
          <w:tcPr>
            <w:tcW w:w="1364"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wordWrap w:val="0"/>
              <w:jc w:val="center"/>
              <w:rPr>
                <w:rFonts w:hint="eastAsia" w:cs="宋体" w:asciiTheme="minorEastAsia" w:hAnsiTheme="minorEastAsia"/>
                <w:color w:val="000000"/>
                <w:szCs w:val="21"/>
              </w:rPr>
            </w:pPr>
            <w:r>
              <w:rPr>
                <w:rFonts w:hint="eastAsia" w:cs="宋体" w:asciiTheme="minorEastAsia" w:hAnsiTheme="minorEastAsia"/>
                <w:color w:val="000000"/>
                <w:szCs w:val="21"/>
              </w:rPr>
              <w:t>合计（大写）</w:t>
            </w:r>
          </w:p>
        </w:tc>
        <w:tc>
          <w:tcPr>
            <w:tcW w:w="8141" w:type="dxa"/>
            <w:gridSpan w:val="7"/>
            <w:vAlign w:val="center"/>
          </w:tcPr>
          <w:p>
            <w:pPr>
              <w:widowControl/>
              <w:wordWrap w:val="0"/>
              <w:jc w:val="center"/>
              <w:rPr>
                <w:rFonts w:hint="eastAsia" w:cs="宋体" w:asciiTheme="minorEastAsia" w:hAnsiTheme="minorEastAsia"/>
                <w:color w:val="000000"/>
                <w:szCs w:val="21"/>
              </w:rPr>
            </w:pPr>
            <w:r>
              <w:rPr>
                <w:rFonts w:hint="eastAsia" w:cs="宋体" w:asciiTheme="minorEastAsia" w:hAnsiTheme="minorEastAsia"/>
                <w:color w:val="000000"/>
                <w:szCs w:val="21"/>
              </w:rPr>
              <w:t>柒拾伍万陆仟柒佰元整</w:t>
            </w:r>
          </w:p>
        </w:tc>
      </w:tr>
    </w:tbl>
    <w:p>
      <w:pPr>
        <w:wordWrap w:val="0"/>
        <w:spacing w:line="440" w:lineRule="exact"/>
        <w:ind w:right="103" w:rightChars="49"/>
        <w:rPr>
          <w:rFonts w:hint="eastAsia" w:cs="仿宋_GB2312" w:asciiTheme="minorEastAsia" w:hAnsiTheme="minorEastAsia" w:eastAsiaTheme="minorEastAsia"/>
          <w:b/>
          <w:color w:val="000000" w:themeColor="text1"/>
          <w:sz w:val="28"/>
          <w:szCs w:val="28"/>
          <w14:textFill>
            <w14:solidFill>
              <w14:schemeClr w14:val="tx1"/>
            </w14:solidFill>
          </w14:textFill>
        </w:rPr>
      </w:pPr>
    </w:p>
    <w:p>
      <w:pPr>
        <w:wordWrap w:val="0"/>
        <w:spacing w:line="440" w:lineRule="exact"/>
        <w:ind w:right="103" w:rightChars="49"/>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特别提示：</w:t>
      </w:r>
    </w:p>
    <w:p>
      <w:pPr>
        <w:wordWrap w:val="0"/>
        <w:spacing w:line="440" w:lineRule="exact"/>
        <w:ind w:firstLine="528"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spacing w:val="-8"/>
          <w:sz w:val="28"/>
          <w:szCs w:val="28"/>
        </w:rPr>
        <w:t>1.</w:t>
      </w:r>
      <w:r>
        <w:rPr>
          <w:rFonts w:hint="eastAsia" w:asciiTheme="minorEastAsia" w:hAnsiTheme="minorEastAsia" w:eastAsiaTheme="minorEastAsia"/>
          <w:spacing w:val="-8"/>
          <w:sz w:val="28"/>
          <w:szCs w:val="28"/>
        </w:rPr>
        <w:t>房地产市场价值，是房地产经适当营销后，由熟悉情况、谨慎行事且不受强迫的交易双方，以公平交易方式在价值时点自愿进行交易的金额。</w:t>
      </w:r>
    </w:p>
    <w:p>
      <w:pPr>
        <w:wordWrap w:val="0"/>
        <w:spacing w:line="440" w:lineRule="exact"/>
        <w:ind w:firstLine="528"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pacing w:val="-8"/>
          <w:sz w:val="28"/>
          <w:szCs w:val="28"/>
        </w:rPr>
        <w:t>快速变现价值，是估价对象在没有充足的时间进行营销情况下的价值，往往因要在较短时间内将其卖出而降价销售，因此，快速变现价值通常低于市场价值。</w:t>
      </w:r>
    </w:p>
    <w:p>
      <w:pPr>
        <w:wordWrap w:val="0"/>
        <w:spacing w:line="440" w:lineRule="exact"/>
        <w:ind w:firstLine="528"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pacing w:val="-8"/>
          <w:sz w:val="28"/>
          <w:szCs w:val="28"/>
        </w:rPr>
        <w:t>2.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pPr>
        <w:wordWrap w:val="0"/>
        <w:spacing w:line="440" w:lineRule="exact"/>
        <w:ind w:firstLine="528" w:firstLineChars="200"/>
        <w:rPr>
          <w:rFonts w:hint="eastAsia" w:asciiTheme="minorEastAsia" w:hAnsiTheme="minorEastAsia" w:eastAsiaTheme="minorEastAsia"/>
          <w:spacing w:val="-8"/>
          <w:sz w:val="28"/>
          <w:szCs w:val="28"/>
        </w:rPr>
      </w:pPr>
      <w:r>
        <w:rPr>
          <w:rFonts w:hint="eastAsia" w:asciiTheme="minorEastAsia" w:hAnsiTheme="minorEastAsia" w:eastAsiaTheme="minorEastAsia"/>
          <w:spacing w:val="-8"/>
          <w:sz w:val="28"/>
          <w:szCs w:val="28"/>
        </w:rPr>
        <w:t>3.处置房地产还应考虑是否拖欠水电费、物业管理费等。</w:t>
      </w:r>
    </w:p>
    <w:p>
      <w:pPr>
        <w:wordWrap w:val="0"/>
        <w:spacing w:line="440" w:lineRule="exact"/>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pacing w:val="-8"/>
          <w:sz w:val="28"/>
          <w:szCs w:val="28"/>
        </w:rPr>
        <w:t xml:space="preserve">    4.根据委托方提供的资料，估价对象土地为国有划拔住宅用地，根据安庆市国有划拨土地使用权出让补缴土地出让金办法规定，需要补交土地出让金。因评估划拨转出让应补交的土地出让金金额需要获取土地容积率、土地等级及各项规划指标，本次评估无法获取上述资料，故未计算应补缴土地出让金金额，评估价值中未扣除补缴土地出让金金额。</w:t>
      </w:r>
    </w:p>
    <w:p>
      <w:pPr>
        <w:wordWrap w:val="0"/>
        <w:spacing w:before="936" w:beforeLines="300" w:line="440" w:lineRule="exact"/>
        <w:ind w:firstLine="3360" w:firstLineChars="1200"/>
        <w:jc w:val="left"/>
        <w:rPr>
          <w:rFonts w:cs="Arial" w:asciiTheme="minorEastAsia" w:hAnsiTheme="minorEastAsia" w:eastAsiaTheme="minorEastAsia"/>
          <w:color w:val="000000" w:themeColor="text1"/>
          <w:kern w:val="2"/>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安徽财苑房地产土地评估咨询有限公司</w:t>
      </w:r>
    </w:p>
    <w:p>
      <w:pPr>
        <w:wordWrap w:val="0"/>
        <w:spacing w:line="440" w:lineRule="exact"/>
        <w:ind w:right="1120" w:firstLine="3360" w:firstLineChars="1200"/>
        <w:rPr>
          <w:rFonts w:cs="Arial" w:asciiTheme="minorEastAsia" w:hAnsiTheme="minorEastAsia" w:eastAsiaTheme="minorEastAsia"/>
          <w:color w:val="000000" w:themeColor="text1"/>
          <w:kern w:val="2"/>
          <w:sz w:val="28"/>
          <w:szCs w:val="28"/>
          <w14:textFill>
            <w14:solidFill>
              <w14:schemeClr w14:val="tx1"/>
            </w14:solidFill>
          </w14:textFill>
        </w:rPr>
      </w:pPr>
      <w:r>
        <w:rPr>
          <w:rFonts w:cs="Arial" w:asciiTheme="minorEastAsia" w:hAnsiTheme="minorEastAsia" w:eastAsiaTheme="minorEastAsia"/>
          <w:color w:val="000000" w:themeColor="text1"/>
          <w:kern w:val="2"/>
          <w:sz w:val="28"/>
          <w:szCs w:val="28"/>
          <w14:textFill>
            <w14:solidFill>
              <w14:schemeClr w14:val="tx1"/>
            </w14:solidFill>
          </w14:textFill>
        </w:rPr>
        <w:t>法定代表人：</w:t>
      </w:r>
    </w:p>
    <w:p>
      <w:pPr>
        <w:pStyle w:val="9"/>
        <w:wordWrap w:val="0"/>
        <w:ind w:firstLine="3360" w:firstLineChars="1200"/>
        <w:rPr>
          <w:color w:val="000000" w:themeColor="text1"/>
          <w14:textFill>
            <w14:solidFill>
              <w14:schemeClr w14:val="tx1"/>
            </w14:solidFill>
          </w14:textFill>
        </w:rPr>
      </w:pPr>
      <w:r>
        <w:rPr>
          <w:rFonts w:hint="eastAsia" w:cs="Arial" w:asciiTheme="minorEastAsia" w:hAnsiTheme="minorEastAsia" w:eastAsiaTheme="minorEastAsia"/>
          <w:color w:val="000000" w:themeColor="text1"/>
          <w:sz w:val="28"/>
          <w:szCs w:val="28"/>
          <w14:textFill>
            <w14:solidFill>
              <w14:schemeClr w14:val="tx1"/>
            </w14:solidFill>
          </w14:textFill>
        </w:rPr>
        <w:t>二〇二〇年一月十九日</w:t>
      </w:r>
      <w:r>
        <w:rPr>
          <w:rFonts w:asciiTheme="minorEastAsia" w:hAnsiTheme="minorEastAsia" w:eastAsiaTheme="minorEastAsia"/>
          <w:color w:val="000000" w:themeColor="text1"/>
          <w14:textFill>
            <w14:solidFill>
              <w14:schemeClr w14:val="tx1"/>
            </w14:solidFill>
          </w14:textFill>
        </w:rPr>
        <w:br w:type="page"/>
      </w:r>
      <w:bookmarkStart w:id="2" w:name="_Toc2697871"/>
    </w:p>
    <w:p>
      <w:pPr>
        <w:pStyle w:val="2"/>
        <w:wordWrap w:val="0"/>
        <w:rPr>
          <w:color w:val="000000" w:themeColor="text1"/>
          <w14:textFill>
            <w14:solidFill>
              <w14:schemeClr w14:val="tx1"/>
            </w14:solidFill>
          </w14:textFill>
        </w:rPr>
      </w:pPr>
      <w:r>
        <w:rPr>
          <w:color w:val="000000" w:themeColor="text1"/>
          <w14:textFill>
            <w14:solidFill>
              <w14:schemeClr w14:val="tx1"/>
            </w14:solidFill>
          </w14:textFill>
        </w:rPr>
        <w:t>一、估价师声明</w:t>
      </w:r>
      <w:bookmarkEnd w:id="0"/>
      <w:bookmarkEnd w:id="1"/>
      <w:bookmarkEnd w:id="2"/>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我们郑重声明：</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(一)我们在本估价报告中对事实的说明是真实和准确的,没有虚假记载、误导性陈述和重大遗漏。</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(二)本估价报告中的分析、意见和结论是我们独立、客观、公正的专业分析、意见和结论，但受到本估价报告中已说明的估价假设和限制条件的限制。</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(三)我们与本估价报告中的估价对象没有现实或潜在的利益，与估价委托人及估价利害关系人没有利害关系。</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(四)我们对本估价报告中的估价对象、估价委托人及估价利害关系人没有偏见。</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(五)</w:t>
      </w:r>
      <w:r>
        <w:rPr>
          <w:rFonts w:hint="eastAsia" w:asciiTheme="minorEastAsia" w:hAnsiTheme="minorEastAsia"/>
          <w:color w:val="000000"/>
          <w:sz w:val="28"/>
          <w:szCs w:val="28"/>
        </w:rPr>
        <w:t>我们依照中华人民共和国国家标准GB/T 50291—2015《房地产估价规范》、GB/T 50899-2013《房地产估价基本术语标准》进行分析，形成意见和结论，撰写本估价报告。</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六</w:t>
      </w:r>
      <w:r>
        <w:rPr>
          <w:rFonts w:cs="Arial" w:asciiTheme="minorEastAsia" w:hAnsi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注册房地产估价师胡凌云、胡浩</w:t>
      </w:r>
      <w:r>
        <w:rPr>
          <w:rFonts w:cs="Arial" w:asciiTheme="minorEastAsia" w:hAnsiTheme="minorEastAsia"/>
          <w:color w:val="000000" w:themeColor="text1"/>
          <w:sz w:val="28"/>
          <w:szCs w:val="28"/>
          <w14:textFill>
            <w14:solidFill>
              <w14:schemeClr w14:val="tx1"/>
            </w14:solidFill>
          </w14:textFill>
        </w:rPr>
        <w:t>对本估价报告中的估价对象进行了实地查勘，但仅限于对评估标的物外观和使用状况。估价人员不承担对评估标的物建筑结构、质量进行调查的责任和其他被遮盖、未暴露及难于接触到部分进行检视的责任。</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七</w:t>
      </w:r>
      <w:r>
        <w:rPr>
          <w:rFonts w:cs="Arial" w:asciiTheme="minorEastAsia" w:hAnsiTheme="minorEastAsia"/>
          <w:color w:val="000000" w:themeColor="text1"/>
          <w:sz w:val="28"/>
          <w:szCs w:val="28"/>
          <w14:textFill>
            <w14:solidFill>
              <w14:schemeClr w14:val="tx1"/>
            </w14:solidFill>
          </w14:textFill>
        </w:rPr>
        <w:t>)没有其他行业的专业人士对本估价报告提供重要专业帮助。</w:t>
      </w:r>
    </w:p>
    <w:p>
      <w:pPr>
        <w:widowControl/>
        <w:wordWrap w:val="0"/>
        <w:adjustRightInd/>
        <w:spacing w:line="440" w:lineRule="exact"/>
        <w:jc w:val="left"/>
        <w:textAlignment w:val="auto"/>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八</w:t>
      </w:r>
      <w:r>
        <w:rPr>
          <w:rFonts w:cs="Arial" w:asciiTheme="minorEastAsia" w:hAnsiTheme="minorEastAsia"/>
          <w:color w:val="000000" w:themeColor="text1"/>
          <w:sz w:val="28"/>
          <w:szCs w:val="28"/>
          <w14:textFill>
            <w14:solidFill>
              <w14:schemeClr w14:val="tx1"/>
            </w14:solidFill>
          </w14:textFill>
        </w:rPr>
        <w:t>)本报告必须完整使用，对仅使用报告中的部分内容而导致的有关纠纷和损失，本估价机构和估价师不承担任何法律责任。</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2377"/>
        <w:gridCol w:w="237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vAlign w:val="center"/>
          </w:tcPr>
          <w:p>
            <w:pPr>
              <w:jc w:val="center"/>
              <w:rPr>
                <w:b/>
              </w:rPr>
            </w:pPr>
            <w:r>
              <w:rPr>
                <w:rFonts w:hint="eastAsia" w:asciiTheme="minorEastAsia" w:hAnsiTheme="minorEastAsia" w:eastAsiaTheme="minorEastAsia"/>
                <w:b/>
              </w:rPr>
              <w:t>姓   名</w:t>
            </w:r>
          </w:p>
        </w:tc>
        <w:tc>
          <w:tcPr>
            <w:tcW w:w="2377" w:type="dxa"/>
            <w:vAlign w:val="center"/>
          </w:tcPr>
          <w:p>
            <w:pPr>
              <w:jc w:val="center"/>
              <w:rPr>
                <w:b/>
              </w:rPr>
            </w:pPr>
            <w:r>
              <w:rPr>
                <w:rFonts w:hint="eastAsia" w:asciiTheme="minorEastAsia" w:hAnsiTheme="minorEastAsia" w:eastAsiaTheme="minorEastAsia"/>
                <w:b/>
              </w:rPr>
              <w:t>注册号</w:t>
            </w:r>
          </w:p>
        </w:tc>
        <w:tc>
          <w:tcPr>
            <w:tcW w:w="2377" w:type="dxa"/>
            <w:vAlign w:val="center"/>
          </w:tcPr>
          <w:p>
            <w:pPr>
              <w:jc w:val="center"/>
              <w:rPr>
                <w:b/>
              </w:rPr>
            </w:pPr>
            <w:r>
              <w:rPr>
                <w:rFonts w:hint="eastAsia" w:asciiTheme="minorEastAsia" w:hAnsiTheme="minorEastAsia" w:eastAsiaTheme="minorEastAsia"/>
                <w:b/>
              </w:rPr>
              <w:t>签   名</w:t>
            </w:r>
          </w:p>
        </w:tc>
        <w:tc>
          <w:tcPr>
            <w:tcW w:w="2266" w:type="dxa"/>
            <w:vAlign w:val="center"/>
          </w:tcPr>
          <w:p>
            <w:pPr>
              <w:jc w:val="center"/>
              <w:rPr>
                <w:b/>
              </w:rPr>
            </w:pPr>
            <w:r>
              <w:rPr>
                <w:rFonts w:hint="eastAsia" w:asciiTheme="minorEastAsia" w:hAnsiTheme="minorEastAsia" w:eastAsiaTheme="minorEastAsia"/>
                <w:b/>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267" w:type="dxa"/>
            <w:vAlign w:val="center"/>
          </w:tcPr>
          <w:p>
            <w:pPr>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胡凌云</w:t>
            </w:r>
          </w:p>
        </w:tc>
        <w:tc>
          <w:tcPr>
            <w:tcW w:w="2377" w:type="dxa"/>
            <w:vAlign w:val="center"/>
          </w:tcPr>
          <w:p>
            <w:pPr>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3420110056</w:t>
            </w:r>
          </w:p>
        </w:tc>
        <w:tc>
          <w:tcPr>
            <w:tcW w:w="2377" w:type="dxa"/>
            <w:vAlign w:val="center"/>
          </w:tcPr>
          <w:p>
            <w:pPr>
              <w:snapToGrid w:val="0"/>
              <w:spacing w:line="360" w:lineRule="auto"/>
              <w:jc w:val="center"/>
              <w:rPr>
                <w:rFonts w:asciiTheme="minorEastAsia" w:hAnsiTheme="minorEastAsia"/>
                <w:b/>
                <w:bCs/>
                <w:color w:val="000000" w:themeColor="text1"/>
                <w:szCs w:val="21"/>
                <w14:textFill>
                  <w14:solidFill>
                    <w14:schemeClr w14:val="tx1"/>
                  </w14:solidFill>
                </w14:textFill>
              </w:rPr>
            </w:pPr>
          </w:p>
        </w:tc>
        <w:tc>
          <w:tcPr>
            <w:tcW w:w="2266" w:type="dxa"/>
            <w:vAlign w:val="center"/>
          </w:tcPr>
          <w:p>
            <w:pPr>
              <w:snapToGrid w:val="0"/>
              <w:spacing w:line="360" w:lineRule="auto"/>
              <w:jc w:val="center"/>
              <w:rPr>
                <w:rFonts w:asciiTheme="minorEastAsia" w:hAnsiTheme="minorEastAsia"/>
                <w:b/>
                <w:bCs/>
                <w:color w:val="000000" w:themeColor="text1"/>
                <w:szCs w:val="21"/>
                <w14:textFill>
                  <w14:solidFill>
                    <w14:schemeClr w14:val="tx1"/>
                  </w14:solidFill>
                </w14:textFill>
              </w:rPr>
            </w:pPr>
            <w:r>
              <w:rPr>
                <w:rStyle w:val="27"/>
                <w:rFonts w:hint="eastAsia" w:asciiTheme="minorEastAsia" w:hAnsiTheme="minorEastAsia" w:eastAsiaTheme="minorEastAsia"/>
                <w:color w:val="000000" w:themeColor="text1"/>
                <w14:textFill>
                  <w14:solidFill>
                    <w14:schemeClr w14:val="tx1"/>
                  </w14:solidFill>
                </w14:textFill>
              </w:rPr>
              <w:t>2020年01月19日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267" w:type="dxa"/>
            <w:vAlign w:val="center"/>
          </w:tcPr>
          <w:p>
            <w:pPr>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胡浩</w:t>
            </w:r>
          </w:p>
        </w:tc>
        <w:tc>
          <w:tcPr>
            <w:tcW w:w="2377" w:type="dxa"/>
            <w:vAlign w:val="center"/>
          </w:tcPr>
          <w:p>
            <w:pPr>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3420030016</w:t>
            </w:r>
          </w:p>
        </w:tc>
        <w:tc>
          <w:tcPr>
            <w:tcW w:w="2377" w:type="dxa"/>
            <w:vAlign w:val="center"/>
          </w:tcPr>
          <w:p>
            <w:pPr>
              <w:snapToGrid w:val="0"/>
              <w:spacing w:line="360" w:lineRule="auto"/>
              <w:jc w:val="center"/>
              <w:rPr>
                <w:rFonts w:asciiTheme="minorEastAsia" w:hAnsiTheme="minorEastAsia"/>
                <w:b/>
                <w:bCs/>
                <w:color w:val="000000" w:themeColor="text1"/>
                <w:szCs w:val="21"/>
                <w14:textFill>
                  <w14:solidFill>
                    <w14:schemeClr w14:val="tx1"/>
                  </w14:solidFill>
                </w14:textFill>
              </w:rPr>
            </w:pPr>
          </w:p>
        </w:tc>
        <w:tc>
          <w:tcPr>
            <w:tcW w:w="2266" w:type="dxa"/>
            <w:vAlign w:val="center"/>
          </w:tcPr>
          <w:p>
            <w:pPr>
              <w:snapToGrid w:val="0"/>
              <w:spacing w:line="360" w:lineRule="auto"/>
              <w:jc w:val="center"/>
              <w:rPr>
                <w:rFonts w:asciiTheme="minorEastAsia" w:hAnsiTheme="minorEastAsia"/>
                <w:b/>
                <w:bCs/>
                <w:color w:val="000000" w:themeColor="text1"/>
                <w:szCs w:val="21"/>
                <w14:textFill>
                  <w14:solidFill>
                    <w14:schemeClr w14:val="tx1"/>
                  </w14:solidFill>
                </w14:textFill>
              </w:rPr>
            </w:pPr>
            <w:r>
              <w:rPr>
                <w:rStyle w:val="27"/>
                <w:rFonts w:hint="eastAsia" w:asciiTheme="minorEastAsia" w:hAnsiTheme="minorEastAsia" w:eastAsiaTheme="minorEastAsia"/>
                <w:color w:val="000000" w:themeColor="text1"/>
                <w14:textFill>
                  <w14:solidFill>
                    <w14:schemeClr w14:val="tx1"/>
                  </w14:solidFill>
                </w14:textFill>
              </w:rPr>
              <w:t>2020年01月19日</w:t>
            </w:r>
          </w:p>
        </w:tc>
      </w:tr>
    </w:tbl>
    <w:p>
      <w:pPr>
        <w:widowControl/>
        <w:wordWrap w:val="0"/>
        <w:adjustRightInd/>
        <w:spacing w:line="240" w:lineRule="auto"/>
        <w:jc w:val="left"/>
        <w:textAlignment w:val="auto"/>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b/>
          <w:bCs/>
          <w:color w:val="000000" w:themeColor="text1"/>
          <w:szCs w:val="21"/>
          <w14:textFill>
            <w14:solidFill>
              <w14:schemeClr w14:val="tx1"/>
            </w14:solidFill>
          </w14:textFill>
        </w:rPr>
        <w:br w:type="page"/>
      </w:r>
      <w:bookmarkStart w:id="3" w:name="_Toc485393184"/>
    </w:p>
    <w:p>
      <w:pPr>
        <w:pStyle w:val="2"/>
        <w:wordWrap w:val="0"/>
        <w:rPr>
          <w:color w:val="000000" w:themeColor="text1"/>
          <w14:textFill>
            <w14:solidFill>
              <w14:schemeClr w14:val="tx1"/>
            </w14:solidFill>
          </w14:textFill>
        </w:rPr>
      </w:pPr>
      <w:bookmarkStart w:id="4" w:name="_Toc2697872"/>
      <w:r>
        <w:rPr>
          <w:rFonts w:hint="eastAsia"/>
          <w:color w:val="000000" w:themeColor="text1"/>
          <w14:textFill>
            <w14:solidFill>
              <w14:schemeClr w14:val="tx1"/>
            </w14:solidFill>
          </w14:textFill>
        </w:rPr>
        <w:t>二、估价假设和限制条件</w:t>
      </w:r>
      <w:bookmarkEnd w:id="3"/>
      <w:bookmarkEnd w:id="4"/>
    </w:p>
    <w:p>
      <w:pPr>
        <w:pStyle w:val="3"/>
        <w:wordWrap w:val="0"/>
        <w:spacing w:before="0" w:after="0" w:line="560" w:lineRule="exact"/>
        <w:rPr>
          <w:rFonts w:asciiTheme="minorEastAsia" w:hAnsiTheme="minorEastAsia" w:eastAsiaTheme="minorEastAsia"/>
          <w:b w:val="0"/>
          <w:color w:val="000000" w:themeColor="text1"/>
          <w:sz w:val="28"/>
          <w:szCs w:val="28"/>
          <w14:textFill>
            <w14:solidFill>
              <w14:schemeClr w14:val="tx1"/>
            </w14:solidFill>
          </w14:textFill>
        </w:rPr>
      </w:pPr>
      <w:bookmarkStart w:id="5" w:name="_Toc2697873"/>
      <w:bookmarkStart w:id="6" w:name="_Toc360010001"/>
      <w:bookmarkStart w:id="7" w:name="_Toc355619684"/>
      <w:r>
        <w:rPr>
          <w:rFonts w:hint="eastAsia" w:asciiTheme="minorEastAsia" w:hAnsiTheme="minorEastAsia" w:eastAsiaTheme="minorEastAsia"/>
          <w:color w:val="000000" w:themeColor="text1"/>
          <w:sz w:val="28"/>
          <w:szCs w:val="28"/>
          <w14:textFill>
            <w14:solidFill>
              <w14:schemeClr w14:val="tx1"/>
            </w14:solidFill>
          </w14:textFill>
        </w:rPr>
        <w:t>（一）本项估价的假设条件</w:t>
      </w:r>
      <w:bookmarkEnd w:id="5"/>
      <w:bookmarkEnd w:id="6"/>
      <w:bookmarkEnd w:id="7"/>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1、一般假设</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(1)估价对象产权明晰，手续齐全，可在公开市场上自由转让。</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(2)估价委托人提供了估价对象</w:t>
      </w:r>
      <w:r>
        <w:rPr>
          <w:rFonts w:asciiTheme="minorEastAsia" w:hAnsiTheme="minorEastAsia"/>
          <w:sz w:val="28"/>
          <w:szCs w:val="28"/>
        </w:rPr>
        <w:t>相关权属证件</w:t>
      </w:r>
      <w:r>
        <w:rPr>
          <w:rFonts w:hint="eastAsia" w:asciiTheme="minorEastAsia" w:hAnsiTheme="minorEastAsia"/>
          <w:sz w:val="28"/>
          <w:szCs w:val="28"/>
        </w:rPr>
        <w:t>上记载的权属、面积、用途等资料进行了审慎检查，但未向政府有关部门进行核实，在无理由怀疑其合法性、真实性、准确性和完整性的情况下，假定估价委托人提供的资料合法、真实、准确、完整。如因资料失实而导致估价结果失实、失误和错误，估价机构和估价人员不承担相应责任。</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(3)市场供求关系未发生重大变化或实质性改变。</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(4)假设委估对象现状满足所采用的城市规划、用途管制和限制条件，另有说明的除外。</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(5)估价人员已对房屋安全、环境污染等影响估价对象价值的重大因素给予了关注，在无理由怀疑估价对象存在安全隐患且无相应的专业机构进行鉴定、检测的情况下，假定估价对象能正常安全使用。</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(6)估价人员未对房屋建筑面积进行专业测量，经现场查勘观察，估价对象房屋建筑面积与产权</w:t>
      </w:r>
      <w:r>
        <w:rPr>
          <w:rFonts w:asciiTheme="minorEastAsia" w:hAnsiTheme="minorEastAsia"/>
          <w:sz w:val="28"/>
          <w:szCs w:val="28"/>
        </w:rPr>
        <w:t>相关证件</w:t>
      </w:r>
      <w:r>
        <w:rPr>
          <w:rFonts w:hint="eastAsia" w:asciiTheme="minorEastAsia" w:hAnsiTheme="minorEastAsia"/>
          <w:sz w:val="28"/>
          <w:szCs w:val="28"/>
        </w:rPr>
        <w:t>记载建筑面积大体相当。</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(7)本次估价以估价对象能够按估价设定的用途不变并持续正常使用为估价前提。</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(8)估价对象在价值时点的房地产市场为公开、平等、自愿的交易市场，即能满足以下条件：</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①交易双方自愿地进行交易；</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②交易双方处于利己动机进行交易；</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③交易双方精明、谨慎行事，并了解交易对象、知晓市场行情；</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④交易双方有较充裕的时间进行交易；</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⑤不存在买者因特殊兴趣而给予附加出价。</w:t>
      </w:r>
    </w:p>
    <w:p>
      <w:pPr>
        <w:wordWrap w:val="0"/>
        <w:snapToGrid w:val="0"/>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(9)根据相关权属</w:t>
      </w:r>
      <w:r>
        <w:rPr>
          <w:rFonts w:asciiTheme="minorEastAsia" w:hAnsiTheme="minorEastAsia"/>
          <w:sz w:val="28"/>
          <w:szCs w:val="28"/>
        </w:rPr>
        <w:t>证件</w:t>
      </w:r>
      <w:r>
        <w:rPr>
          <w:rFonts w:hint="eastAsia" w:asciiTheme="minorEastAsia" w:hAnsiTheme="minorEastAsia"/>
          <w:sz w:val="28"/>
          <w:szCs w:val="28"/>
        </w:rPr>
        <w:t>复印件上记载估价对象存在抵押权，至价值时点止，未见估价对象抵押权利注销，考虑到本次估价为委托方确定财产处置参考价参考依据，已设定抵押权会在财产处置后进行优先受偿款，故本次估价以估价对象不存在抵押权、典权等他项权利为假设前提。</w:t>
      </w:r>
    </w:p>
    <w:p>
      <w:pPr>
        <w:wordWrap w:val="0"/>
        <w:spacing w:line="560" w:lineRule="exact"/>
        <w:ind w:firstLine="42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sz w:val="28"/>
          <w:szCs w:val="28"/>
        </w:rPr>
        <w:t>(10)</w:t>
      </w:r>
      <w:r>
        <w:rPr>
          <w:rFonts w:hint="eastAsia" w:asciiTheme="minorEastAsia" w:hAnsiTheme="minorEastAsia" w:cstheme="minorEastAsia"/>
          <w:color w:val="000000" w:themeColor="text1"/>
          <w:sz w:val="28"/>
          <w:szCs w:val="28"/>
          <w14:textFill>
            <w14:solidFill>
              <w14:schemeClr w14:val="tx1"/>
            </w14:solidFill>
          </w14:textFill>
        </w:rPr>
        <w:t>装修价值受装修的设计、装修材料要求不同，装修的价值差异较大。对其价值评估应采用工程量清单进行测算；但委托方无法提供估价对象的装修图纸、造价清单、装修决算、装修合同及其他相关装修价值资料，无法采用工程造价进行测算装修部分价值。根据委托方要求参考行业同等级或相似装修标准平均水平进行评估。</w:t>
      </w:r>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2、未确定事项假设</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本次估价的估价对象不存在未定事项，故本估价报告不存在未定事项假设。</w:t>
      </w:r>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3、背离实际</w:t>
      </w:r>
      <w:r>
        <w:rPr>
          <w:rFonts w:asciiTheme="minorEastAsia" w:hAnsiTheme="minorEastAsia" w:eastAsiaTheme="minorEastAsia"/>
          <w:b/>
          <w:color w:val="000000" w:themeColor="text1"/>
          <w:sz w:val="28"/>
          <w:szCs w:val="28"/>
          <w14:textFill>
            <w14:solidFill>
              <w14:schemeClr w14:val="tx1"/>
            </w14:solidFill>
          </w14:textFill>
        </w:rPr>
        <w:t>情况</w:t>
      </w:r>
      <w:r>
        <w:rPr>
          <w:rFonts w:hint="eastAsia" w:asciiTheme="minorEastAsia" w:hAnsiTheme="minorEastAsia" w:eastAsiaTheme="minorEastAsia"/>
          <w:b/>
          <w:color w:val="000000" w:themeColor="text1"/>
          <w:sz w:val="28"/>
          <w:szCs w:val="28"/>
          <w14:textFill>
            <w14:solidFill>
              <w14:schemeClr w14:val="tx1"/>
            </w14:solidFill>
          </w14:textFill>
        </w:rPr>
        <w:t>假设</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sz w:val="28"/>
          <w:szCs w:val="28"/>
        </w:rPr>
        <w:t>本次估价的估价对象不存在背离事实事项，故本估价报告无背离事实事项假设。</w:t>
      </w:r>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4、不相一致假设</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snapToGrid w:val="0"/>
          <w:sz w:val="28"/>
          <w:szCs w:val="28"/>
        </w:rPr>
        <w:t>本次估价的估价对象不存在不相一致事项，故本估价报告无不相一致事项假设</w:t>
      </w:r>
      <w:r>
        <w:rPr>
          <w:rFonts w:hint="eastAsia" w:cs="Arial" w:asciiTheme="minorEastAsia" w:hAnsiTheme="minorEastAsia"/>
          <w:snapToGrid w:val="0"/>
          <w:sz w:val="28"/>
          <w:szCs w:val="28"/>
        </w:rPr>
        <w:t>。</w:t>
      </w:r>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5、依据不足假设</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本次估价的估价对象不存在依据不足</w:t>
      </w:r>
      <w:r>
        <w:rPr>
          <w:rFonts w:cs="宋体" w:asciiTheme="minorEastAsia" w:hAnsiTheme="minorEastAsia"/>
          <w:color w:val="000000" w:themeColor="text1"/>
          <w:sz w:val="28"/>
          <w:szCs w:val="28"/>
          <w14:textFill>
            <w14:solidFill>
              <w14:schemeClr w14:val="tx1"/>
            </w14:solidFill>
          </w14:textFill>
        </w:rPr>
        <w:t>事项</w:t>
      </w:r>
      <w:r>
        <w:rPr>
          <w:rFonts w:hint="eastAsia" w:cs="宋体" w:asciiTheme="minorEastAsia" w:hAnsiTheme="minorEastAsia"/>
          <w:color w:val="000000" w:themeColor="text1"/>
          <w:sz w:val="28"/>
          <w:szCs w:val="28"/>
          <w14:textFill>
            <w14:solidFill>
              <w14:schemeClr w14:val="tx1"/>
            </w14:solidFill>
          </w14:textFill>
        </w:rPr>
        <w:t>，故本估价报告不存在依据</w:t>
      </w:r>
      <w:r>
        <w:rPr>
          <w:rFonts w:cs="宋体" w:asciiTheme="minorEastAsia" w:hAnsiTheme="minorEastAsia"/>
          <w:color w:val="000000" w:themeColor="text1"/>
          <w:sz w:val="28"/>
          <w:szCs w:val="28"/>
          <w14:textFill>
            <w14:solidFill>
              <w14:schemeClr w14:val="tx1"/>
            </w14:solidFill>
          </w14:textFill>
        </w:rPr>
        <w:t>不足</w:t>
      </w:r>
      <w:r>
        <w:rPr>
          <w:rFonts w:hint="eastAsia" w:cs="宋体" w:asciiTheme="minorEastAsia" w:hAnsiTheme="minorEastAsia"/>
          <w:color w:val="000000" w:themeColor="text1"/>
          <w:sz w:val="28"/>
          <w:szCs w:val="28"/>
          <w14:textFill>
            <w14:solidFill>
              <w14:schemeClr w14:val="tx1"/>
            </w14:solidFill>
          </w14:textFill>
        </w:rPr>
        <w:t>事项假设。</w:t>
      </w:r>
    </w:p>
    <w:p>
      <w:pPr>
        <w:pStyle w:val="3"/>
        <w:wordWrap w:val="0"/>
        <w:spacing w:before="0" w:after="0" w:line="560" w:lineRule="exact"/>
        <w:rPr>
          <w:rFonts w:asciiTheme="minorEastAsia" w:hAnsiTheme="minorEastAsia" w:eastAsiaTheme="minorEastAsia"/>
          <w:b w:val="0"/>
          <w:color w:val="000000" w:themeColor="text1"/>
          <w:sz w:val="28"/>
          <w:szCs w:val="28"/>
          <w14:textFill>
            <w14:solidFill>
              <w14:schemeClr w14:val="tx1"/>
            </w14:solidFill>
          </w14:textFill>
        </w:rPr>
      </w:pPr>
      <w:bookmarkStart w:id="8" w:name="_Toc2697874"/>
      <w:r>
        <w:rPr>
          <w:rFonts w:hint="eastAsia" w:asciiTheme="minorEastAsia" w:hAnsiTheme="minorEastAsia" w:eastAsiaTheme="minorEastAsia"/>
          <w:color w:val="000000" w:themeColor="text1"/>
          <w:sz w:val="28"/>
          <w:szCs w:val="28"/>
          <w14:textFill>
            <w14:solidFill>
              <w14:schemeClr w14:val="tx1"/>
            </w14:solidFill>
          </w14:textFill>
        </w:rPr>
        <w:t>（二）</w:t>
      </w:r>
      <w:r>
        <w:rPr>
          <w:rFonts w:asciiTheme="minorEastAsia" w:hAnsiTheme="minorEastAsia" w:eastAsiaTheme="minorEastAsia"/>
          <w:color w:val="000000" w:themeColor="text1"/>
          <w:sz w:val="28"/>
          <w:szCs w:val="28"/>
          <w14:textFill>
            <w14:solidFill>
              <w14:schemeClr w14:val="tx1"/>
            </w14:solidFill>
          </w14:textFill>
        </w:rPr>
        <w:t>本估价报告使用的限制条件</w:t>
      </w:r>
      <w:bookmarkEnd w:id="8"/>
    </w:p>
    <w:p>
      <w:pPr>
        <w:suppressAutoHyphens/>
        <w:wordWrap w:val="0"/>
        <w:spacing w:line="560" w:lineRule="exact"/>
        <w:ind w:firstLine="528"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pacing w:val="-8"/>
          <w:sz w:val="28"/>
          <w:szCs w:val="28"/>
          <w14:textFill>
            <w14:solidFill>
              <w14:schemeClr w14:val="tx1"/>
            </w14:solidFill>
          </w14:textFill>
        </w:rPr>
        <w:t>1、</w:t>
      </w:r>
      <w:r>
        <w:rPr>
          <w:rFonts w:hint="eastAsia" w:cs="Arial" w:asciiTheme="minorEastAsia" w:hAnsiTheme="minorEastAsia" w:eastAsiaTheme="minorEastAsia"/>
          <w:color w:val="000000" w:themeColor="text1"/>
          <w:sz w:val="28"/>
          <w:szCs w:val="28"/>
          <w14:textFill>
            <w14:solidFill>
              <w14:schemeClr w14:val="tx1"/>
            </w14:solidFill>
          </w14:textFill>
        </w:rPr>
        <w:t>本估价报告仅作为委托方在本次估价目的下使用，不得做其他用途。</w:t>
      </w:r>
    </w:p>
    <w:p>
      <w:pPr>
        <w:suppressAutoHyphens/>
        <w:wordWrap w:val="0"/>
        <w:spacing w:line="560" w:lineRule="exact"/>
        <w:ind w:firstLine="544"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pacing w:val="-4"/>
          <w:sz w:val="28"/>
          <w:szCs w:val="28"/>
          <w14:textFill>
            <w14:solidFill>
              <w14:schemeClr w14:val="tx1"/>
            </w14:solidFill>
          </w14:textFill>
        </w:rPr>
        <w:t>2、本估价报告使用期限自估价报告出具之日起壹年内有效。若报告使用期限内，房地产市场或估价对象状况发生重大变化，估价结果需做相应调整或委托估价机构重新估价。</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3、本估价报告分为“估价结果报告”和“估价技术报告”两部分。“估价结果报告”提供给估价委托人，“估价技术报告”按有关规定留存估价机构备查。</w:t>
      </w:r>
    </w:p>
    <w:p>
      <w:pPr>
        <w:suppressAutoHyphens/>
        <w:wordWrap w:val="0"/>
        <w:spacing w:line="560" w:lineRule="exact"/>
        <w:ind w:firstLine="536"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pacing w:val="-6"/>
          <w:sz w:val="28"/>
          <w:szCs w:val="28"/>
          <w14:textFill>
            <w14:solidFill>
              <w14:schemeClr w14:val="tx1"/>
            </w14:solidFill>
          </w14:textFill>
        </w:rPr>
        <w:t>4、未经估价机构书面同意，本估价报告的全部或部分及任何参考资料均不允许在任何公开发表的文件、通告或声明中引用，亦不得以其他任何方式公开发表。凡因委托方使用本报告不当引起的后果，本估价机构和估价人员不承担任何责任。本估价机构保留对违规使用本报告追究相关法律责任的权利。</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本估价报告是在公开市场条件下进行的价格评估，未考虑可能承担或将来承担的费用，以及特殊的交易方式可能追加付出的费用等对其评估价值有影响的因素，也未考虑国家宏观经济政策发生变化以及遇有自然力和其它不可抗力对评估价值的影响。</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6、本估价报告若出现文字或数字因打印、校对及其他原因发生误差时，请估价委托人及时通知本估价机构更正。</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w:t>
      </w:r>
      <w:r>
        <w:rPr>
          <w:rFonts w:hint="eastAsia" w:cs="Arial" w:asciiTheme="minorEastAsia" w:hAnsiTheme="minorEastAsia" w:eastAsiaTheme="minorEastAsia"/>
          <w:color w:val="000000" w:themeColor="text1"/>
          <w:sz w:val="28"/>
          <w:szCs w:val="28"/>
          <w14:textFill>
            <w14:solidFill>
              <w14:schemeClr w14:val="tx1"/>
            </w14:solidFill>
          </w14:textFill>
        </w:rPr>
        <w:t>估价报告的估价结果，需经</w:t>
      </w:r>
      <w:r>
        <w:rPr>
          <w:rFonts w:cs="Arial" w:asciiTheme="minorEastAsia" w:hAnsiTheme="minorEastAsia" w:eastAsiaTheme="minorEastAsia"/>
          <w:color w:val="000000" w:themeColor="text1"/>
          <w:sz w:val="28"/>
          <w:szCs w:val="28"/>
          <w14:textFill>
            <w14:solidFill>
              <w14:schemeClr w14:val="tx1"/>
            </w14:solidFill>
          </w14:textFill>
        </w:rPr>
        <w:t>安徽财苑房地产土地评估咨询有限公司</w:t>
      </w:r>
      <w:r>
        <w:rPr>
          <w:rFonts w:hint="eastAsia" w:cs="Arial" w:asciiTheme="minorEastAsia" w:hAnsiTheme="minorEastAsia" w:eastAsiaTheme="minorEastAsia"/>
          <w:color w:val="000000" w:themeColor="text1"/>
          <w:sz w:val="28"/>
          <w:szCs w:val="28"/>
          <w14:textFill>
            <w14:solidFill>
              <w14:schemeClr w14:val="tx1"/>
            </w14:solidFill>
          </w14:textFill>
        </w:rPr>
        <w:t>盖章及在该公司注册的两名房地产估价师签字，</w:t>
      </w:r>
      <w:r>
        <w:rPr>
          <w:rFonts w:cs="Arial" w:asciiTheme="minorEastAsia" w:hAnsiTheme="minorEastAsia" w:eastAsiaTheme="minorEastAsia"/>
          <w:color w:val="000000" w:themeColor="text1"/>
          <w:sz w:val="28"/>
          <w:szCs w:val="28"/>
          <w14:textFill>
            <w14:solidFill>
              <w14:schemeClr w14:val="tx1"/>
            </w14:solidFill>
          </w14:textFill>
        </w:rPr>
        <w:t>安徽财苑房地产土地评估咨询有限公司</w:t>
      </w:r>
      <w:r>
        <w:rPr>
          <w:rFonts w:hint="eastAsia" w:cs="Arial" w:asciiTheme="minorEastAsia" w:hAnsiTheme="minorEastAsia" w:eastAsiaTheme="minorEastAsia"/>
          <w:color w:val="000000" w:themeColor="text1"/>
          <w:sz w:val="28"/>
          <w:szCs w:val="28"/>
          <w14:textFill>
            <w14:solidFill>
              <w14:schemeClr w14:val="tx1"/>
            </w14:solidFill>
          </w14:textFill>
        </w:rPr>
        <w:t>对本次估价结果拥有最终解释权。</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w:t>
      </w:r>
      <w:r>
        <w:rPr>
          <w:rFonts w:hint="eastAsia" w:asciiTheme="minorEastAsia" w:hAnsiTheme="minorEastAsia" w:eastAsiaTheme="minorEastAsia"/>
          <w:color w:val="000000" w:themeColor="text1"/>
          <w:spacing w:val="-6"/>
          <w:sz w:val="28"/>
          <w:szCs w:val="28"/>
          <w14:textFill>
            <w14:solidFill>
              <w14:schemeClr w14:val="tx1"/>
            </w14:solidFill>
          </w14:textFill>
        </w:rPr>
        <w:t>本房地产估价报告经估价机构加盖公章并由估价师签字后方可使用，估价机构仅对本报告的原件承担责任，对任何形式的复制件概不认可且不承担责任。</w:t>
      </w:r>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9、如在自提交估价报告之日起未来一年中该区域同类型房地产市场行情无大的变化时，本估价报告使用期为一年(</w:t>
      </w:r>
      <w:r>
        <w:rPr>
          <w:rFonts w:hint="eastAsia" w:cs="Arial" w:asciiTheme="minorEastAsia" w:hAnsiTheme="minorEastAsia" w:eastAsiaTheme="minorEastAsia"/>
          <w:color w:val="000000" w:themeColor="text1"/>
          <w:sz w:val="28"/>
          <w:szCs w:val="28"/>
          <w14:textFill>
            <w14:solidFill>
              <w14:schemeClr w14:val="tx1"/>
            </w14:solidFill>
          </w14:textFill>
        </w:rPr>
        <w:t>2020年01月19日至2021年01月18日</w:t>
      </w:r>
      <w:r>
        <w:rPr>
          <w:rFonts w:hint="eastAsia" w:asciiTheme="minorEastAsia" w:hAnsiTheme="minorEastAsia" w:eastAsiaTheme="minorEastAsia"/>
          <w:color w:val="000000" w:themeColor="text1"/>
          <w:sz w:val="28"/>
          <w:szCs w:val="28"/>
          <w14:textFill>
            <w14:solidFill>
              <w14:schemeClr w14:val="tx1"/>
            </w14:solidFill>
          </w14:textFill>
        </w:rPr>
        <w:t>)。如果使用本估价结果的时间超过了报告的使用期，我们对此结果造成的损失不承担责任</w:t>
      </w:r>
      <w:r>
        <w:rPr>
          <w:rFonts w:hint="eastAsia" w:cs="Arial" w:asciiTheme="minorEastAsia" w:hAnsiTheme="minorEastAsia" w:eastAsiaTheme="minorEastAsia"/>
          <w:color w:val="000000" w:themeColor="text1"/>
          <w:sz w:val="28"/>
          <w:szCs w:val="28"/>
          <w14:textFill>
            <w14:solidFill>
              <w14:schemeClr w14:val="tx1"/>
            </w14:solidFill>
          </w14:textFill>
        </w:rPr>
        <w:t>。</w:t>
      </w:r>
    </w:p>
    <w:p>
      <w:pPr>
        <w:wordWrap w:val="0"/>
        <w:spacing w:line="560" w:lineRule="exact"/>
        <w:ind w:firstLine="536" w:firstLineChars="200"/>
        <w:rPr>
          <w:rFonts w:asciiTheme="minorEastAsia" w:hAnsiTheme="minorEastAsia" w:eastAsiaTheme="minorEastAsia"/>
          <w:color w:val="000000" w:themeColor="text1"/>
          <w:spacing w:val="-6"/>
          <w:sz w:val="28"/>
          <w:szCs w:val="28"/>
          <w14:textFill>
            <w14:solidFill>
              <w14:schemeClr w14:val="tx1"/>
            </w14:solidFill>
          </w14:textFill>
        </w:rPr>
      </w:pPr>
      <w:r>
        <w:rPr>
          <w:rFonts w:asciiTheme="minorEastAsia" w:hAnsiTheme="minorEastAsia" w:eastAsiaTheme="minorEastAsia"/>
          <w:color w:val="000000" w:themeColor="text1"/>
          <w:spacing w:val="-6"/>
          <w:sz w:val="28"/>
          <w:szCs w:val="28"/>
          <w14:textFill>
            <w14:solidFill>
              <w14:schemeClr w14:val="tx1"/>
            </w14:solidFill>
          </w14:textFill>
        </w:rPr>
        <w:br w:type="page"/>
      </w:r>
      <w:bookmarkStart w:id="9" w:name="_Toc485393185"/>
    </w:p>
    <w:p>
      <w:pPr>
        <w:pStyle w:val="2"/>
        <w:wordWrap w:val="0"/>
        <w:rPr>
          <w:color w:val="000000" w:themeColor="text1"/>
          <w14:textFill>
            <w14:solidFill>
              <w14:schemeClr w14:val="tx1"/>
            </w14:solidFill>
          </w14:textFill>
        </w:rPr>
      </w:pPr>
      <w:bookmarkStart w:id="10" w:name="_Toc2697875"/>
      <w:r>
        <w:rPr>
          <w:color w:val="000000" w:themeColor="text1"/>
          <w14:textFill>
            <w14:solidFill>
              <w14:schemeClr w14:val="tx1"/>
            </w14:solidFill>
          </w14:textFill>
        </w:rPr>
        <w:t>三、估价结果报告</w:t>
      </w:r>
      <w:bookmarkEnd w:id="9"/>
      <w:bookmarkEnd w:id="10"/>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11" w:name="_Toc480967872"/>
      <w:bookmarkStart w:id="12" w:name="_Toc485393186"/>
      <w:bookmarkStart w:id="13" w:name="_Toc2697876"/>
      <w:r>
        <w:rPr>
          <w:rFonts w:asciiTheme="minorEastAsia" w:hAnsiTheme="minorEastAsia" w:eastAsiaTheme="minorEastAsia"/>
          <w:color w:val="000000" w:themeColor="text1"/>
          <w:sz w:val="28"/>
          <w:szCs w:val="28"/>
          <w14:textFill>
            <w14:solidFill>
              <w14:schemeClr w14:val="tx1"/>
            </w14:solidFill>
          </w14:textFill>
        </w:rPr>
        <w:t>（一）估价委托人</w:t>
      </w:r>
      <w:bookmarkEnd w:id="11"/>
      <w:bookmarkEnd w:id="12"/>
      <w:bookmarkEnd w:id="13"/>
    </w:p>
    <w:p>
      <w:pPr>
        <w:tabs>
          <w:tab w:val="left" w:pos="1843"/>
        </w:tabs>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名称：安庆市中级人民法院</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14" w:name="_Toc2697877"/>
      <w:bookmarkStart w:id="15" w:name="_Toc480967873"/>
      <w:bookmarkStart w:id="16" w:name="_Toc485393187"/>
      <w:r>
        <w:rPr>
          <w:rFonts w:hint="eastAsia" w:cs="Arial"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（二）房地产估价机构</w:t>
      </w:r>
      <w:bookmarkEnd w:id="14"/>
      <w:bookmarkEnd w:id="15"/>
      <w:bookmarkEnd w:id="16"/>
    </w:p>
    <w:p>
      <w:pPr>
        <w:wordWrap w:val="0"/>
        <w:spacing w:line="560" w:lineRule="exact"/>
        <w:ind w:firstLine="556"/>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z w:val="28"/>
          <w:szCs w:val="28"/>
          <w:fitText w:val="2240" w:id="2"/>
          <w14:textFill>
            <w14:solidFill>
              <w14:schemeClr w14:val="tx1"/>
            </w14:solidFill>
          </w14:textFill>
        </w:rPr>
        <w:t>房地产估价</w:t>
      </w:r>
      <w:r>
        <w:rPr>
          <w:rFonts w:cs="Arial" w:asciiTheme="minorEastAsia" w:hAnsiTheme="minorEastAsia"/>
          <w:color w:val="000000" w:themeColor="text1"/>
          <w:sz w:val="28"/>
          <w:szCs w:val="28"/>
          <w:fitText w:val="2240" w:id="2"/>
          <w14:textFill>
            <w14:solidFill>
              <w14:schemeClr w14:val="tx1"/>
            </w14:solidFill>
          </w14:textFill>
        </w:rPr>
        <w:t>机构：</w:t>
      </w:r>
      <w:r>
        <w:rPr>
          <w:rFonts w:hint="eastAsia" w:cs="Arial" w:asciiTheme="minorEastAsia" w:hAnsiTheme="minorEastAsia"/>
          <w:color w:val="000000" w:themeColor="text1"/>
          <w:sz w:val="28"/>
          <w:szCs w:val="28"/>
          <w14:textFill>
            <w14:solidFill>
              <w14:schemeClr w14:val="tx1"/>
            </w14:solidFill>
          </w14:textFill>
        </w:rPr>
        <w:t>安徽财苑房地产土地评估咨询有限公司</w:t>
      </w:r>
    </w:p>
    <w:p>
      <w:pPr>
        <w:wordWrap w:val="0"/>
        <w:spacing w:line="560" w:lineRule="exact"/>
        <w:ind w:firstLine="556"/>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pacing w:val="56"/>
          <w:sz w:val="28"/>
          <w:szCs w:val="28"/>
          <w:fitText w:val="2240" w:id="3"/>
          <w14:textFill>
            <w14:solidFill>
              <w14:schemeClr w14:val="tx1"/>
            </w14:solidFill>
          </w14:textFill>
        </w:rPr>
        <w:t>法定</w:t>
      </w:r>
      <w:r>
        <w:rPr>
          <w:rFonts w:cs="Arial" w:asciiTheme="minorEastAsia" w:hAnsiTheme="minorEastAsia"/>
          <w:color w:val="000000" w:themeColor="text1"/>
          <w:spacing w:val="56"/>
          <w:sz w:val="28"/>
          <w:szCs w:val="28"/>
          <w:fitText w:val="2240" w:id="3"/>
          <w14:textFill>
            <w14:solidFill>
              <w14:schemeClr w14:val="tx1"/>
            </w14:solidFill>
          </w14:textFill>
        </w:rPr>
        <w:t>代表人</w:t>
      </w:r>
      <w:r>
        <w:rPr>
          <w:rFonts w:cs="Arial" w:asciiTheme="minorEastAsia" w:hAnsiTheme="minorEastAsia"/>
          <w:color w:val="000000" w:themeColor="text1"/>
          <w:sz w:val="28"/>
          <w:szCs w:val="28"/>
          <w:fitText w:val="2240" w:id="3"/>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胡凌云</w:t>
      </w:r>
    </w:p>
    <w:p>
      <w:pPr>
        <w:wordWrap w:val="0"/>
        <w:spacing w:line="560" w:lineRule="exact"/>
        <w:ind w:firstLine="556"/>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pacing w:val="350"/>
          <w:sz w:val="28"/>
          <w:szCs w:val="28"/>
          <w:fitText w:val="2240" w:id="4"/>
          <w14:textFill>
            <w14:solidFill>
              <w14:schemeClr w14:val="tx1"/>
            </w14:solidFill>
          </w14:textFill>
        </w:rPr>
        <w:t>地址</w:t>
      </w:r>
      <w:r>
        <w:rPr>
          <w:rFonts w:hint="eastAsia" w:cs="Arial" w:asciiTheme="minorEastAsia" w:hAnsiTheme="minorEastAsia"/>
          <w:color w:val="000000" w:themeColor="text1"/>
          <w:sz w:val="28"/>
          <w:szCs w:val="28"/>
          <w:fitText w:val="2240" w:id="4"/>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合肥市庐阳区安庆路</w:t>
      </w:r>
      <w:r>
        <w:rPr>
          <w:rFonts w:cs="Arial" w:asciiTheme="minorEastAsia" w:hAnsiTheme="minorEastAsia"/>
          <w:color w:val="000000" w:themeColor="text1"/>
          <w:sz w:val="28"/>
          <w:szCs w:val="28"/>
          <w14:textFill>
            <w14:solidFill>
              <w14:schemeClr w14:val="tx1"/>
            </w14:solidFill>
          </w14:textFill>
        </w:rPr>
        <w:t>279</w:t>
      </w:r>
      <w:r>
        <w:rPr>
          <w:rFonts w:hint="eastAsia" w:cs="Arial" w:asciiTheme="minorEastAsia" w:hAnsiTheme="minorEastAsia"/>
          <w:color w:val="000000" w:themeColor="text1"/>
          <w:sz w:val="28"/>
          <w:szCs w:val="28"/>
          <w14:textFill>
            <w14:solidFill>
              <w14:schemeClr w14:val="tx1"/>
            </w14:solidFill>
          </w14:textFill>
        </w:rPr>
        <w:t>号中环汇景大厦1201室</w:t>
      </w:r>
    </w:p>
    <w:p>
      <w:pPr>
        <w:wordWrap w:val="0"/>
        <w:spacing w:line="560" w:lineRule="exact"/>
        <w:ind w:firstLine="556"/>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pacing w:val="105"/>
          <w:sz w:val="28"/>
          <w:szCs w:val="28"/>
          <w:fitText w:val="2240" w:id="5"/>
          <w14:textFill>
            <w14:solidFill>
              <w14:schemeClr w14:val="tx1"/>
            </w14:solidFill>
          </w14:textFill>
        </w:rPr>
        <w:t>营业执照</w:t>
      </w:r>
      <w:r>
        <w:rPr>
          <w:rFonts w:hint="eastAsia" w:cs="Arial" w:asciiTheme="minorEastAsia" w:hAnsiTheme="minorEastAsia"/>
          <w:color w:val="000000" w:themeColor="text1"/>
          <w:sz w:val="28"/>
          <w:szCs w:val="28"/>
          <w:fitText w:val="2240" w:id="5"/>
          <w14:textFill>
            <w14:solidFill>
              <w14:schemeClr w14:val="tx1"/>
            </w14:solidFill>
          </w14:textFill>
        </w:rPr>
        <w:t>：</w:t>
      </w:r>
      <w:r>
        <w:rPr>
          <w:rFonts w:cs="Arial" w:asciiTheme="minorEastAsia" w:hAnsiTheme="minorEastAsia"/>
          <w:color w:val="000000" w:themeColor="text1"/>
          <w:sz w:val="28"/>
          <w:szCs w:val="28"/>
          <w14:textFill>
            <w14:solidFill>
              <w14:schemeClr w14:val="tx1"/>
            </w14:solidFill>
          </w14:textFill>
        </w:rPr>
        <w:t>91340100758536941J</w:t>
      </w:r>
    </w:p>
    <w:p>
      <w:pPr>
        <w:wordWrap w:val="0"/>
        <w:spacing w:line="560" w:lineRule="exact"/>
        <w:ind w:firstLine="556"/>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pacing w:val="23"/>
          <w:sz w:val="28"/>
          <w:szCs w:val="28"/>
          <w:fitText w:val="2240" w:id="6"/>
          <w14:textFill>
            <w14:solidFill>
              <w14:schemeClr w14:val="tx1"/>
            </w14:solidFill>
          </w14:textFill>
        </w:rPr>
        <w:t>估价资格等级</w:t>
      </w:r>
      <w:r>
        <w:rPr>
          <w:rFonts w:hint="eastAsia" w:cs="Arial" w:asciiTheme="minorEastAsia" w:hAnsiTheme="minorEastAsia"/>
          <w:color w:val="000000" w:themeColor="text1"/>
          <w:spacing w:val="2"/>
          <w:sz w:val="28"/>
          <w:szCs w:val="28"/>
          <w:fitText w:val="2240" w:id="6"/>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二</w:t>
      </w:r>
      <w:r>
        <w:rPr>
          <w:rFonts w:cs="Arial" w:asciiTheme="minorEastAsia" w:hAnsiTheme="minorEastAsia"/>
          <w:color w:val="000000" w:themeColor="text1"/>
          <w:sz w:val="28"/>
          <w:szCs w:val="28"/>
          <w14:textFill>
            <w14:solidFill>
              <w14:schemeClr w14:val="tx1"/>
            </w14:solidFill>
          </w14:textFill>
        </w:rPr>
        <w:t>级</w:t>
      </w:r>
    </w:p>
    <w:p>
      <w:pPr>
        <w:wordWrap w:val="0"/>
        <w:spacing w:line="560" w:lineRule="exact"/>
        <w:ind w:firstLine="556"/>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pacing w:val="23"/>
          <w:sz w:val="28"/>
          <w:szCs w:val="28"/>
          <w:fitText w:val="2240" w:id="7"/>
          <w14:textFill>
            <w14:solidFill>
              <w14:schemeClr w14:val="tx1"/>
            </w14:solidFill>
          </w14:textFill>
        </w:rPr>
        <w:t>资质证书</w:t>
      </w:r>
      <w:r>
        <w:rPr>
          <w:rFonts w:cs="Arial" w:asciiTheme="minorEastAsia" w:hAnsiTheme="minorEastAsia"/>
          <w:color w:val="000000" w:themeColor="text1"/>
          <w:spacing w:val="23"/>
          <w:sz w:val="28"/>
          <w:szCs w:val="28"/>
          <w:fitText w:val="2240" w:id="7"/>
          <w14:textFill>
            <w14:solidFill>
              <w14:schemeClr w14:val="tx1"/>
            </w14:solidFill>
          </w14:textFill>
        </w:rPr>
        <w:t>编号</w:t>
      </w:r>
      <w:r>
        <w:rPr>
          <w:rFonts w:cs="Arial" w:asciiTheme="minorEastAsia" w:hAnsiTheme="minorEastAsia"/>
          <w:color w:val="000000" w:themeColor="text1"/>
          <w:spacing w:val="2"/>
          <w:sz w:val="28"/>
          <w:szCs w:val="28"/>
          <w:fitText w:val="2240" w:id="7"/>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AHJSGJA1620004</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17" w:name="_Toc485393188"/>
      <w:bookmarkStart w:id="18" w:name="_Toc2697878"/>
      <w:bookmarkStart w:id="19" w:name="_Toc480967874"/>
      <w:r>
        <w:rPr>
          <w:rFonts w:asciiTheme="minorEastAsia" w:hAnsiTheme="minorEastAsia" w:eastAsiaTheme="minorEastAsia"/>
          <w:color w:val="000000" w:themeColor="text1"/>
          <w:sz w:val="28"/>
          <w:szCs w:val="28"/>
          <w14:textFill>
            <w14:solidFill>
              <w14:schemeClr w14:val="tx1"/>
            </w14:solidFill>
          </w14:textFill>
        </w:rPr>
        <w:t>（三）估价目的</w:t>
      </w:r>
      <w:bookmarkEnd w:id="17"/>
      <w:bookmarkEnd w:id="18"/>
      <w:bookmarkEnd w:id="19"/>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为委托方确定财产处置参考价提供参考依据。</w:t>
      </w:r>
    </w:p>
    <w:p>
      <w:pPr>
        <w:pStyle w:val="3"/>
        <w:tabs>
          <w:tab w:val="left" w:pos="426"/>
        </w:tabs>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20" w:name="_Toc480967875"/>
      <w:bookmarkStart w:id="21" w:name="_Toc2697879"/>
      <w:bookmarkStart w:id="22" w:name="_Toc485393189"/>
      <w:r>
        <w:rPr>
          <w:rFonts w:asciiTheme="minorEastAsia" w:hAnsiTheme="minorEastAsia" w:eastAsiaTheme="minorEastAsia"/>
          <w:color w:val="000000" w:themeColor="text1"/>
          <w:sz w:val="28"/>
          <w:szCs w:val="28"/>
          <w14:textFill>
            <w14:solidFill>
              <w14:schemeClr w14:val="tx1"/>
            </w14:solidFill>
          </w14:textFill>
        </w:rPr>
        <w:t>（四）估价对象</w:t>
      </w:r>
      <w:bookmarkEnd w:id="20"/>
      <w:bookmarkEnd w:id="21"/>
      <w:bookmarkEnd w:id="22"/>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1、</w:t>
      </w:r>
      <w:r>
        <w:rPr>
          <w:rFonts w:hint="eastAsia" w:asciiTheme="minorEastAsia" w:hAnsiTheme="minorEastAsia" w:eastAsiaTheme="minorEastAsia"/>
          <w:b/>
          <w:color w:val="000000" w:themeColor="text1"/>
          <w:sz w:val="28"/>
          <w:szCs w:val="28"/>
          <w14:textFill>
            <w14:solidFill>
              <w14:schemeClr w14:val="tx1"/>
            </w14:solidFill>
          </w14:textFill>
        </w:rPr>
        <w:t>估价对象财产范围</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位于安庆迎江区人民路南侧谐水湾二期3幢2单元1608室的房地产(含其相应分摊的国有建设用地使用权土地使用权及装饰装修，不含动产、特许经营权等)。其中建筑面积为67.92平方米，规划用途为住宅，实际用途为住宅，权利人为汪清、黄节节，土地共用宗地面积为0平方米，分摊土地使用权面积3.78平方米，地类用途为城镇住宅用地（划拨），土地使用权人为汪清、黄节节。</w:t>
      </w:r>
    </w:p>
    <w:p>
      <w:pPr>
        <w:wordWrap w:val="0"/>
        <w:spacing w:line="560" w:lineRule="exact"/>
        <w:ind w:firstLine="562" w:firstLineChars="200"/>
        <w:rPr>
          <w:rFonts w:cs="仿宋_GB2312" w:asciiTheme="minorEastAsia" w:hAnsiTheme="minorEastAsia" w:eastAsiaTheme="minorEastAsia"/>
          <w:b/>
          <w:color w:val="000000" w:themeColor="text1"/>
          <w:sz w:val="28"/>
          <w14:textFill>
            <w14:solidFill>
              <w14:schemeClr w14:val="tx1"/>
            </w14:solidFill>
          </w14:textFill>
        </w:rPr>
      </w:pPr>
      <w:r>
        <w:rPr>
          <w:rFonts w:hint="eastAsia" w:cs="仿宋_GB2312" w:asciiTheme="minorEastAsia" w:hAnsiTheme="minorEastAsia" w:eastAsiaTheme="minorEastAsia"/>
          <w:b/>
          <w:color w:val="000000" w:themeColor="text1"/>
          <w:sz w:val="28"/>
          <w14:textFill>
            <w14:solidFill>
              <w14:schemeClr w14:val="tx1"/>
            </w14:solidFill>
          </w14:textFill>
        </w:rPr>
        <w:t>2、估价对象名称</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估价对象为</w:t>
      </w:r>
      <w:r>
        <w:rPr>
          <w:rFonts w:hint="eastAsia" w:cs="仿宋_GB2312" w:asciiTheme="minorEastAsia" w:hAnsiTheme="minorEastAsia" w:eastAsiaTheme="minorEastAsia"/>
          <w:color w:val="000000" w:themeColor="text1"/>
          <w:sz w:val="28"/>
          <w:szCs w:val="28"/>
          <w14:textFill>
            <w14:solidFill>
              <w14:schemeClr w14:val="tx1"/>
            </w14:solidFill>
          </w14:textFill>
        </w:rPr>
        <w:t>安庆迎江区人民路南侧谐水湾二期3幢2单元1608室</w:t>
      </w:r>
      <w:r>
        <w:rPr>
          <w:rFonts w:hint="eastAsia" w:asciiTheme="minorEastAsia" w:hAnsiTheme="minorEastAsia" w:eastAsiaTheme="minorEastAsia"/>
          <w:color w:val="000000" w:themeColor="text1"/>
          <w:sz w:val="28"/>
          <w:szCs w:val="28"/>
          <w14:textFill>
            <w14:solidFill>
              <w14:schemeClr w14:val="tx1"/>
            </w14:solidFill>
          </w14:textFill>
        </w:rPr>
        <w:t>房地产</w:t>
      </w:r>
      <w:r>
        <w:rPr>
          <w:rFonts w:hint="eastAsia" w:cs="仿宋_GB2312" w:asciiTheme="minorEastAsia" w:hAnsiTheme="minorEastAsia" w:eastAsiaTheme="minorEastAsia"/>
          <w:color w:val="000000" w:themeColor="text1"/>
          <w:sz w:val="28"/>
          <w:szCs w:val="28"/>
          <w14:textFill>
            <w14:solidFill>
              <w14:schemeClr w14:val="tx1"/>
            </w14:solidFill>
          </w14:textFill>
        </w:rPr>
        <w:t>。</w:t>
      </w:r>
    </w:p>
    <w:p>
      <w:pPr>
        <w:wordWrap w:val="0"/>
        <w:spacing w:line="560" w:lineRule="exact"/>
        <w:ind w:firstLine="562" w:firstLineChars="200"/>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3、估价对象坐落</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bCs/>
          <w:color w:val="000000" w:themeColor="text1"/>
          <w:sz w:val="28"/>
          <w:szCs w:val="28"/>
          <w14:textFill>
            <w14:solidFill>
              <w14:schemeClr w14:val="tx1"/>
            </w14:solidFill>
          </w14:textFill>
        </w:rPr>
        <w:t>安庆迎江区人民路南侧谐水湾二期3幢2单元1608室</w:t>
      </w:r>
      <w:r>
        <w:rPr>
          <w:rFonts w:hint="eastAsia" w:cs="仿宋_GB2312" w:asciiTheme="minorEastAsia" w:hAnsiTheme="minorEastAsia" w:eastAsiaTheme="minorEastAsia"/>
          <w:color w:val="000000" w:themeColor="text1"/>
          <w:sz w:val="28"/>
          <w:szCs w:val="28"/>
          <w14:textFill>
            <w14:solidFill>
              <w14:schemeClr w14:val="tx1"/>
            </w14:solidFill>
          </w14:textFill>
        </w:rPr>
        <w:t>。</w:t>
      </w:r>
    </w:p>
    <w:p>
      <w:pPr>
        <w:suppressAutoHyphens/>
        <w:wordWrap w:val="0"/>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cs="仿宋_GB2312" w:asciiTheme="minorEastAsia" w:hAnsiTheme="minorEastAsia" w:eastAsiaTheme="minorEastAsia"/>
          <w:b/>
          <w:color w:val="000000" w:themeColor="text1"/>
          <w:sz w:val="28"/>
          <w:szCs w:val="28"/>
          <w14:textFill>
            <w14:solidFill>
              <w14:schemeClr w14:val="tx1"/>
            </w14:solidFill>
          </w14:textFill>
        </w:rPr>
        <w:t>4、</w:t>
      </w:r>
      <w:r>
        <w:rPr>
          <w:rFonts w:hint="eastAsia" w:asciiTheme="minorEastAsia" w:hAnsiTheme="minorEastAsia" w:eastAsiaTheme="minorEastAsia"/>
          <w:b/>
          <w:color w:val="000000" w:themeColor="text1"/>
          <w:sz w:val="28"/>
          <w:szCs w:val="28"/>
          <w14:textFill>
            <w14:solidFill>
              <w14:schemeClr w14:val="tx1"/>
            </w14:solidFill>
          </w14:textFill>
        </w:rPr>
        <w:t>估价对象基本状况</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(1)土地基本状况</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①四至：东至小区，南至江花小区，西至小区道路，北至谐水湾。</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②权益及使用期限：土地使用权人为汪清、黄节节，不动产单元号为[340802021008GB00031F00031896]。权利类型为国有建设用地使用权，地类用途住宅，土地使用权类型为划拨。土地共用宗地面积为0平方米，分摊土地使用权面积3.78平方米，土地使用截止日期无登记。</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③形状：估价对象所占用的共用宗地形状呈规则多边形。</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④地质条件：地质条件好，地基承载力高。</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⑤宗地内开发程度：宗地内“六通一平”（即供水、排水、通电、通路、通讯及通气，土地平整），能满足该区域生产生活。</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(2)建筑物基本状况</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①建筑功能：房屋为普通商品房建筑，房屋性质为普通商品房。</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②规模：建筑面积为67.92平方米。</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③用途：规划用途为住宅，实际用途为住宅。</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④建成年代及结构成新率：于2012年建成，至价值时点已有7年，根据国家有关同类结构房屋的经济耐用年限的规定和估价对象已使用的年限，结合评估人员实地对估价对象建筑物进行勘察，确定结构成新率为88%。</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⑤权属：权利人为汪清、黄节节。</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⑥工程质量：该建筑物工程质量较好。</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⑦建筑结构：估价对象为钢混结构，建筑格局为二梯四户，建筑物外立面主要以外墙墙砖装饰为主。</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⑧装饰装修：入户门为防盗门；窗为塑钢窗；外墙面为墙砖；客厅：地面为普通地砖，内墙面为乳胶漆，天面为乳胶漆；卧室：门为木门，地面为复合木地板，墙面为乳胶漆，天面为乳胶漆；厨房：地面为普通地砖，墙面为瓷片，天面为铝板吊顶；卫生间：地面为普通地砖，墙面为瓷片，天面为铝板吊顶；阳台：地面为地板砖，墙面为乳胶漆；室内水电均为暗敷。</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⑨设施设备：该建筑物配有电梯、供水、排水、电力、燃气、消防设施、防雷系统等。</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⑩层高：建筑层高2.8米；室内净高约为2.6米。</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Cambria Math" w:hAnsi="Cambria Math" w:cs="Cambria Math"/>
          <w:color w:val="000000" w:themeColor="text1"/>
          <w:sz w:val="28"/>
          <w:szCs w:val="28"/>
          <w14:textFill>
            <w14:solidFill>
              <w14:schemeClr w14:val="tx1"/>
            </w14:solidFill>
          </w14:textFill>
        </w:rPr>
        <w:t>⑪</w:t>
      </w:r>
      <w:r>
        <w:rPr>
          <w:rFonts w:hint="eastAsia" w:asciiTheme="minorEastAsia" w:hAnsiTheme="minorEastAsia" w:cstheme="minorEastAsia"/>
          <w:color w:val="000000" w:themeColor="text1"/>
          <w:sz w:val="28"/>
          <w:szCs w:val="28"/>
          <w14:textFill>
            <w14:solidFill>
              <w14:schemeClr w14:val="tx1"/>
            </w14:solidFill>
          </w14:textFill>
        </w:rPr>
        <w:t>楼梯类型：电梯。</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Cambria Math" w:hAnsi="Cambria Math" w:cs="Cambria Math"/>
          <w:color w:val="000000" w:themeColor="text1"/>
          <w:sz w:val="28"/>
          <w:szCs w:val="28"/>
          <w14:textFill>
            <w14:solidFill>
              <w14:schemeClr w14:val="tx1"/>
            </w14:solidFill>
          </w14:textFill>
        </w:rPr>
        <w:t>⑫</w:t>
      </w:r>
      <w:r>
        <w:rPr>
          <w:rFonts w:hint="eastAsia" w:asciiTheme="minorEastAsia" w:hAnsiTheme="minorEastAsia" w:cstheme="minorEastAsia"/>
          <w:color w:val="000000" w:themeColor="text1"/>
          <w:sz w:val="28"/>
          <w:szCs w:val="28"/>
          <w14:textFill>
            <w14:solidFill>
              <w14:schemeClr w14:val="tx1"/>
            </w14:solidFill>
          </w14:textFill>
        </w:rPr>
        <w:t>户型及户型结构：估价对象为平层结构，户型布局为2室2厅1厨2卫。</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Cambria Math" w:hAnsi="Cambria Math" w:cs="Cambria Math"/>
          <w:color w:val="000000" w:themeColor="text1"/>
          <w:sz w:val="28"/>
          <w:szCs w:val="28"/>
          <w14:textFill>
            <w14:solidFill>
              <w14:schemeClr w14:val="tx1"/>
            </w14:solidFill>
          </w14:textFill>
        </w:rPr>
        <w:t>⑬</w:t>
      </w:r>
      <w:r>
        <w:rPr>
          <w:rFonts w:hint="eastAsia" w:asciiTheme="minorEastAsia" w:hAnsiTheme="minorEastAsia" w:cstheme="minorEastAsia"/>
          <w:color w:val="000000" w:themeColor="text1"/>
          <w:sz w:val="28"/>
          <w:szCs w:val="28"/>
          <w14:textFill>
            <w14:solidFill>
              <w14:schemeClr w14:val="tx1"/>
            </w14:solidFill>
          </w14:textFill>
        </w:rPr>
        <w:t>通风采光：该建筑物光线充足，通风畅通。</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Cambria Math" w:hAnsi="Cambria Math" w:cs="Cambria Math"/>
          <w:color w:val="000000" w:themeColor="text1"/>
          <w:sz w:val="28"/>
          <w:szCs w:val="28"/>
          <w14:textFill>
            <w14:solidFill>
              <w14:schemeClr w14:val="tx1"/>
            </w14:solidFill>
          </w14:textFill>
        </w:rPr>
        <w:t>⑭</w:t>
      </w:r>
      <w:r>
        <w:rPr>
          <w:rFonts w:hint="eastAsia" w:asciiTheme="minorEastAsia" w:hAnsiTheme="minorEastAsia" w:cstheme="minorEastAsia"/>
          <w:color w:val="000000" w:themeColor="text1"/>
          <w:sz w:val="28"/>
          <w:szCs w:val="28"/>
          <w14:textFill>
            <w14:solidFill>
              <w14:schemeClr w14:val="tx1"/>
            </w14:solidFill>
          </w14:textFill>
        </w:rPr>
        <w:t>外观维修养护情况：估价对象所在建筑外观维护保养情况好，地面、墙面、门窗无破损，维护保养状况较好。</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Cambria Math" w:hAnsi="Cambria Math" w:cs="Cambria Math"/>
          <w:color w:val="000000" w:themeColor="text1"/>
          <w:sz w:val="28"/>
          <w:szCs w:val="28"/>
          <w14:textFill>
            <w14:solidFill>
              <w14:schemeClr w14:val="tx1"/>
            </w14:solidFill>
          </w14:textFill>
        </w:rPr>
        <w:t>⑮</w:t>
      </w:r>
      <w:r>
        <w:rPr>
          <w:rFonts w:hint="eastAsia" w:asciiTheme="minorEastAsia" w:hAnsiTheme="minorEastAsia" w:cstheme="minorEastAsia"/>
          <w:color w:val="000000" w:themeColor="text1"/>
          <w:sz w:val="28"/>
          <w:szCs w:val="28"/>
          <w14:textFill>
            <w14:solidFill>
              <w14:schemeClr w14:val="tx1"/>
            </w14:solidFill>
          </w14:textFill>
        </w:rPr>
        <w:t>小区</w:t>
      </w:r>
      <w:r>
        <w:rPr>
          <w:rFonts w:asciiTheme="minorEastAsia" w:hAnsiTheme="minorEastAsia" w:cstheme="minorEastAsia"/>
          <w:color w:val="000000" w:themeColor="text1"/>
          <w:sz w:val="28"/>
          <w:szCs w:val="28"/>
          <w14:textFill>
            <w14:solidFill>
              <w14:schemeClr w14:val="tx1"/>
            </w14:solidFill>
          </w14:textFill>
        </w:rPr>
        <w:t>情况</w:t>
      </w:r>
      <w:r>
        <w:rPr>
          <w:rFonts w:hint="eastAsia" w:asciiTheme="minorEastAsia" w:hAnsiTheme="minorEastAsia" w:cstheme="minorEastAsia"/>
          <w:color w:val="000000" w:themeColor="text1"/>
          <w:sz w:val="28"/>
          <w:szCs w:val="28"/>
          <w14:textFill>
            <w14:solidFill>
              <w14:schemeClr w14:val="tx1"/>
            </w14:solidFill>
          </w14:textFill>
        </w:rPr>
        <w:t>：估价对象所在小区规模中等,小区等级为中档小区，小区设施有超市、户外休闲场所等，物业管理水平较高。</w:t>
      </w:r>
    </w:p>
    <w:p>
      <w:pPr>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Cambria Math" w:hAnsi="Cambria Math" w:cs="Cambria Math"/>
          <w:color w:val="000000" w:themeColor="text1"/>
          <w:sz w:val="28"/>
          <w:szCs w:val="28"/>
          <w14:textFill>
            <w14:solidFill>
              <w14:schemeClr w14:val="tx1"/>
            </w14:solidFill>
          </w14:textFill>
        </w:rPr>
        <w:t>⑯</w:t>
      </w:r>
      <w:r>
        <w:rPr>
          <w:rFonts w:hint="eastAsia" w:asciiTheme="minorEastAsia" w:hAnsiTheme="minorEastAsia" w:cstheme="minorEastAsia"/>
          <w:color w:val="000000" w:themeColor="text1"/>
          <w:sz w:val="28"/>
          <w:szCs w:val="28"/>
          <w14:textFill>
            <w14:solidFill>
              <w14:schemeClr w14:val="tx1"/>
            </w14:solidFill>
          </w14:textFill>
        </w:rPr>
        <w:t>特殊景观：无。</w:t>
      </w:r>
    </w:p>
    <w:p>
      <w:pPr>
        <w:wordWrap w:val="0"/>
        <w:spacing w:line="560" w:lineRule="exact"/>
        <w:ind w:firstLine="562" w:firstLineChars="200"/>
        <w:rPr>
          <w:rFonts w:cs="仿宋_GB2312" w:asciiTheme="minorEastAsia" w:hAnsiTheme="minorEastAsia" w:eastAsiaTheme="minorEastAsia"/>
          <w:b/>
          <w:color w:val="000000" w:themeColor="text1"/>
          <w:sz w:val="28"/>
          <w14:textFill>
            <w14:solidFill>
              <w14:schemeClr w14:val="tx1"/>
            </w14:solidFill>
          </w14:textFill>
        </w:rPr>
      </w:pPr>
      <w:r>
        <w:rPr>
          <w:rFonts w:cs="仿宋_GB2312" w:asciiTheme="minorEastAsia" w:hAnsiTheme="minorEastAsia" w:eastAsiaTheme="minorEastAsia"/>
          <w:b/>
          <w:color w:val="000000" w:themeColor="text1"/>
          <w:sz w:val="28"/>
          <w14:textFill>
            <w14:solidFill>
              <w14:schemeClr w14:val="tx1"/>
            </w14:solidFill>
          </w14:textFill>
        </w:rPr>
        <w:t>5</w:t>
      </w:r>
      <w:r>
        <w:rPr>
          <w:rFonts w:hint="eastAsia" w:cs="仿宋_GB2312" w:asciiTheme="minorEastAsia" w:hAnsiTheme="minorEastAsia" w:eastAsiaTheme="minorEastAsia"/>
          <w:b/>
          <w:color w:val="000000" w:themeColor="text1"/>
          <w:sz w:val="28"/>
          <w14:textFill>
            <w14:solidFill>
              <w14:schemeClr w14:val="tx1"/>
            </w14:solidFill>
          </w14:textFill>
        </w:rPr>
        <w:t>、估价对象权益状况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2383"/>
        <w:gridCol w:w="1746"/>
        <w:gridCol w:w="1904"/>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646" w:type="dxa"/>
            <w:gridSpan w:val="2"/>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不动产权证书及编号</w:t>
            </w:r>
          </w:p>
        </w:tc>
        <w:tc>
          <w:tcPr>
            <w:tcW w:w="5641" w:type="dxa"/>
            <w:gridSpan w:val="3"/>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《不动产权证书》[宜房字第50141897/50141898号]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646" w:type="dxa"/>
            <w:gridSpan w:val="2"/>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不动产单元号</w:t>
            </w:r>
          </w:p>
        </w:tc>
        <w:tc>
          <w:tcPr>
            <w:tcW w:w="5641" w:type="dxa"/>
            <w:gridSpan w:val="3"/>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[340802021008GB00031F00031896]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646" w:type="dxa"/>
            <w:gridSpan w:val="2"/>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权利人</w:t>
            </w:r>
          </w:p>
        </w:tc>
        <w:tc>
          <w:tcPr>
            <w:tcW w:w="5641" w:type="dxa"/>
            <w:gridSpan w:val="3"/>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汪清、黄节节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restart"/>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房屋情况</w:t>
            </w: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房屋坐落</w:t>
            </w:r>
          </w:p>
        </w:tc>
        <w:tc>
          <w:tcPr>
            <w:tcW w:w="5641" w:type="dxa"/>
            <w:gridSpan w:val="3"/>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安庆迎江区人民路南侧谐水湾二期3幢2单元1608室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实际用途</w:t>
            </w:r>
          </w:p>
        </w:tc>
        <w:tc>
          <w:tcPr>
            <w:tcW w:w="1746"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住宅</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规划用途</w:t>
            </w:r>
          </w:p>
        </w:tc>
        <w:tc>
          <w:tcPr>
            <w:tcW w:w="1991"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房屋结构</w:t>
            </w:r>
          </w:p>
        </w:tc>
        <w:tc>
          <w:tcPr>
            <w:tcW w:w="1746"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钢混结构</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竣工年份(年)</w:t>
            </w:r>
          </w:p>
        </w:tc>
        <w:tc>
          <w:tcPr>
            <w:tcW w:w="1991"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所在层/总层数</w:t>
            </w:r>
          </w:p>
        </w:tc>
        <w:tc>
          <w:tcPr>
            <w:tcW w:w="1746"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16层/18层</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权利性质</w:t>
            </w:r>
          </w:p>
        </w:tc>
        <w:tc>
          <w:tcPr>
            <w:tcW w:w="1991" w:type="dxa"/>
            <w:shd w:val="clear" w:color="auto" w:fill="auto"/>
            <w:vAlign w:val="center"/>
          </w:tcPr>
          <w:p>
            <w:pPr>
              <w:widowControl/>
              <w:wordWrap w:val="0"/>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普通商品房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建筑面积(M</w:t>
            </w:r>
            <w:r>
              <w:rPr>
                <w:rFonts w:hint="eastAsia" w:asciiTheme="minorEastAsia" w:hAnsiTheme="minorEastAsia" w:eastAsiaTheme="minorEastAsia"/>
                <w:color w:val="000000" w:themeColor="text1"/>
                <w:szCs w:val="21"/>
                <w:vertAlign w:val="superscript"/>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p>
        </w:tc>
        <w:tc>
          <w:tcPr>
            <w:tcW w:w="1746"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67.92</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共有情况</w:t>
            </w:r>
          </w:p>
        </w:tc>
        <w:tc>
          <w:tcPr>
            <w:tcW w:w="1991"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专有建筑面积(M</w:t>
            </w:r>
            <w:r>
              <w:rPr>
                <w:rFonts w:hint="eastAsia" w:asciiTheme="minorEastAsia" w:hAnsiTheme="minorEastAsia" w:eastAsiaTheme="minorEastAsia"/>
                <w:color w:val="000000" w:themeColor="text1"/>
                <w:szCs w:val="21"/>
                <w:vertAlign w:val="superscript"/>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p>
        </w:tc>
        <w:tc>
          <w:tcPr>
            <w:tcW w:w="1746" w:type="dxa"/>
            <w:shd w:val="clear" w:color="auto" w:fill="auto"/>
            <w:vAlign w:val="center"/>
          </w:tcPr>
          <w:p>
            <w:pPr>
              <w:widowControl/>
              <w:wordWrap w:val="0"/>
              <w:jc w:val="center"/>
              <w:rPr>
                <w:rFonts w:asciiTheme="minorEastAsia" w:hAnsiTheme="minorEastAsia"/>
                <w:color w:val="000000" w:themeColor="text1"/>
                <w:kern w:val="28"/>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56.81</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权利类型</w:t>
            </w:r>
          </w:p>
        </w:tc>
        <w:tc>
          <w:tcPr>
            <w:tcW w:w="1991"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restart"/>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土地情况</w:t>
            </w: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权利性质</w:t>
            </w:r>
          </w:p>
        </w:tc>
        <w:tc>
          <w:tcPr>
            <w:tcW w:w="1746"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划拨</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共用宗地面积(M</w:t>
            </w:r>
            <w:r>
              <w:rPr>
                <w:rFonts w:hint="eastAsia" w:asciiTheme="minorEastAsia" w:hAnsiTheme="minorEastAsia" w:eastAsiaTheme="minorEastAsia"/>
                <w:color w:val="000000" w:themeColor="text1"/>
                <w:szCs w:val="21"/>
                <w:vertAlign w:val="superscript"/>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p>
        </w:tc>
        <w:tc>
          <w:tcPr>
            <w:tcW w:w="1991"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地类用途</w:t>
            </w:r>
          </w:p>
        </w:tc>
        <w:tc>
          <w:tcPr>
            <w:tcW w:w="1746"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城镇住宅用地</w:t>
            </w:r>
          </w:p>
        </w:tc>
        <w:tc>
          <w:tcPr>
            <w:tcW w:w="1904"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权利类型</w:t>
            </w:r>
          </w:p>
        </w:tc>
        <w:tc>
          <w:tcPr>
            <w:tcW w:w="1991"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终止日期</w:t>
            </w:r>
          </w:p>
        </w:tc>
        <w:tc>
          <w:tcPr>
            <w:tcW w:w="5641" w:type="dxa"/>
            <w:gridSpan w:val="3"/>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2075年07月01日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附记</w:t>
            </w:r>
          </w:p>
        </w:tc>
        <w:tc>
          <w:tcPr>
            <w:tcW w:w="8024" w:type="dxa"/>
            <w:gridSpan w:val="4"/>
            <w:shd w:val="clear" w:color="auto" w:fill="auto"/>
            <w:vAlign w:val="center"/>
          </w:tcPr>
          <w:p>
            <w:pPr>
              <w:widowControl/>
              <w:wordWrap w:val="0"/>
              <w:jc w:val="center"/>
              <w:rPr>
                <w:rFonts w:cs="Arial"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restart"/>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他项权利情况</w:t>
            </w: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担保物权设立情况</w:t>
            </w:r>
          </w:p>
        </w:tc>
        <w:tc>
          <w:tcPr>
            <w:tcW w:w="5641" w:type="dxa"/>
            <w:gridSpan w:val="3"/>
            <w:shd w:val="clear" w:color="auto" w:fill="auto"/>
            <w:vAlign w:val="center"/>
          </w:tcPr>
          <w:p>
            <w:pPr>
              <w:widowControl/>
              <w:wordWrap w:val="0"/>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pacing w:val="-4"/>
                <w:szCs w:val="21"/>
                <w14:textFill>
                  <w14:solidFill>
                    <w14:schemeClr w14:val="tx1"/>
                  </w14:solidFill>
                </w14:textFill>
              </w:rPr>
              <w:t>至价值时点，估价对象未设定抵押登记。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3" w:type="dxa"/>
            <w:vMerge w:val="continue"/>
            <w:vAlign w:val="center"/>
          </w:tcPr>
          <w:p>
            <w:pPr>
              <w:widowControl/>
              <w:wordWrap w:val="0"/>
              <w:jc w:val="left"/>
              <w:rPr>
                <w:rFonts w:cs="宋体" w:asciiTheme="minorEastAsia" w:hAnsiTheme="minorEastAsia"/>
                <w:color w:val="000000" w:themeColor="text1"/>
                <w:szCs w:val="21"/>
                <w14:textFill>
                  <w14:solidFill>
                    <w14:schemeClr w14:val="tx1"/>
                  </w14:solidFill>
                </w14:textFill>
              </w:rPr>
            </w:pPr>
          </w:p>
        </w:tc>
        <w:tc>
          <w:tcPr>
            <w:tcW w:w="2383" w:type="dxa"/>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租赁或占用情况</w:t>
            </w:r>
          </w:p>
        </w:tc>
        <w:tc>
          <w:tcPr>
            <w:tcW w:w="5641" w:type="dxa"/>
            <w:gridSpan w:val="3"/>
            <w:shd w:val="clear" w:color="auto" w:fill="auto"/>
            <w:vAlign w:val="center"/>
          </w:tcPr>
          <w:p>
            <w:pPr>
              <w:widowControl/>
              <w:wordWrap w:val="0"/>
              <w:jc w:val="center"/>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至价值时点，估价对象对外出租状态。</w:t>
            </w:r>
          </w:p>
        </w:tc>
      </w:tr>
    </w:tbl>
    <w:p>
      <w:pPr>
        <w:wordWrap w:val="0"/>
        <w:spacing w:line="560" w:lineRule="exact"/>
        <w:ind w:firstLine="562" w:firstLineChars="200"/>
        <w:rPr>
          <w:rFonts w:cs="仿宋_GB2312" w:asciiTheme="minorEastAsia" w:hAnsiTheme="minorEastAsia" w:eastAsiaTheme="minorEastAsia"/>
          <w:b/>
          <w:color w:val="000000" w:themeColor="text1"/>
          <w:sz w:val="28"/>
          <w:szCs w:val="28"/>
          <w14:textFill>
            <w14:solidFill>
              <w14:schemeClr w14:val="tx1"/>
            </w14:solidFill>
          </w14:textFill>
        </w:rPr>
      </w:pPr>
      <w:r>
        <w:rPr>
          <w:rFonts w:cs="仿宋_GB2312" w:asciiTheme="minorEastAsia" w:hAnsiTheme="minorEastAsia" w:eastAsiaTheme="minorEastAsia"/>
          <w:b/>
          <w:color w:val="000000" w:themeColor="text1"/>
          <w:sz w:val="28"/>
          <w:szCs w:val="28"/>
          <w14:textFill>
            <w14:solidFill>
              <w14:schemeClr w14:val="tx1"/>
            </w14:solidFill>
          </w14:textFill>
        </w:rPr>
        <w:t>6</w:t>
      </w:r>
      <w:r>
        <w:rPr>
          <w:rFonts w:hint="eastAsia" w:cs="仿宋_GB2312" w:asciiTheme="minorEastAsia" w:hAnsiTheme="minorEastAsia" w:eastAsiaTheme="minorEastAsia"/>
          <w:b/>
          <w:color w:val="000000" w:themeColor="text1"/>
          <w:sz w:val="28"/>
          <w:szCs w:val="28"/>
          <w14:textFill>
            <w14:solidFill>
              <w14:schemeClr w14:val="tx1"/>
            </w14:solidFill>
          </w14:textFill>
        </w:rPr>
        <w:t>、估价对象区位状况</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(1)位置状况</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①坐落：安庆迎江区人民路南侧谐水湾二期3幢2单元1608室。</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②区域功能定位：</w:t>
      </w:r>
      <w:r>
        <w:rPr>
          <w:rFonts w:hint="eastAsia" w:asciiTheme="minorEastAsia" w:hAnsiTheme="minorEastAsia"/>
          <w:sz w:val="28"/>
          <w:szCs w:val="28"/>
        </w:rPr>
        <w:t>估价对象</w:t>
      </w:r>
      <w:r>
        <w:rPr>
          <w:rFonts w:asciiTheme="minorEastAsia" w:hAnsiTheme="minorEastAsia"/>
          <w:sz w:val="28"/>
          <w:szCs w:val="28"/>
        </w:rPr>
        <w:t>所在区域为</w:t>
      </w:r>
      <w:r>
        <w:rPr>
          <w:rFonts w:hint="eastAsia" w:asciiTheme="minorEastAsia" w:hAnsiTheme="minorEastAsia"/>
          <w:sz w:val="28"/>
          <w:szCs w:val="28"/>
        </w:rPr>
        <w:t>住宅为主，商业配套，承载医疗卫生、文体教育、其他生态功能的综合性片区</w:t>
      </w:r>
      <w:r>
        <w:rPr>
          <w:rFonts w:hint="eastAsia" w:asciiTheme="minorEastAsia" w:hAnsiTheme="minorEastAsia" w:cstheme="minorEastAsia"/>
          <w:color w:val="000000" w:themeColor="text1"/>
          <w:sz w:val="28"/>
          <w:szCs w:val="28"/>
          <w14:textFill>
            <w14:solidFill>
              <w14:schemeClr w14:val="tx1"/>
            </w14:solidFill>
          </w14:textFill>
        </w:rPr>
        <w:t>。</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③四至：东至小区，南至江花小区，西至小区道路，北至谐水湾。</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④与重要场所的距离：距市区商务中心距离较近。</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⑤临街(路)状况：估价对象所在地附近有</w:t>
      </w:r>
      <w:r>
        <w:rPr>
          <w:rFonts w:hint="eastAsia" w:asciiTheme="minorEastAsia" w:hAnsiTheme="minorEastAsia"/>
          <w:sz w:val="28"/>
          <w:szCs w:val="28"/>
        </w:rPr>
        <w:t>棋盘山路、人民路、沿江东路，交通型主干道</w:t>
      </w:r>
      <w:r>
        <w:rPr>
          <w:rFonts w:hint="eastAsia" w:asciiTheme="minorEastAsia" w:hAnsiTheme="minorEastAsia" w:cstheme="minorEastAsia"/>
          <w:color w:val="000000" w:themeColor="text1"/>
          <w:sz w:val="28"/>
          <w:szCs w:val="28"/>
          <w14:textFill>
            <w14:solidFill>
              <w14:schemeClr w14:val="tx1"/>
            </w14:solidFill>
          </w14:textFill>
        </w:rPr>
        <w:t>。</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⑥楼层：建筑物总楼层为18层，估价对象所在楼层为16层。</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⑦朝向：朝南。</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(2)交通情况</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①道路状况：</w:t>
      </w:r>
      <w:r>
        <w:rPr>
          <w:rFonts w:hint="eastAsia" w:asciiTheme="minorEastAsia" w:hAnsiTheme="minorEastAsia"/>
          <w:sz w:val="28"/>
          <w:szCs w:val="28"/>
        </w:rPr>
        <w:t>估价对象所在区域有棋盘山路、人民路、沿江东路等主次干道，该路段车辆流量一般。</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②交通工具及设施：公交站有江花小区、先锋巷、棋盘山路口，公交线路为13路、5路、19路、24路、27路、30路；汽车站有安庆汽车南站；火车站有安庆火车站；高铁站有安庆站；高速路口有安广江堤/沪渝高速(路口)、人民东路/沪渝高速(路口)；机场有安庆天柱山机场；交通较便利。</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③交通管制情况：附近无交通管制。</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④停车方便程度：建筑物配备的停车设施为地面停车场和地下停车场，停车位充足，停车方便，附近停车场有江花小区-停车场。</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(3)外部配套设施状况</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①基础设施：宗地外基础设施达到“五通”（即供水、排水、通电、通路、通讯）。</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②公共服务设施：估价对象附近有诚信超市(沿江东路店)、江花超市；中国工商银行(安庆华棋支行)、中国银行(安庆宜东支行)、中国银行(安庆华中路支行)；安庆市第八人民医院、安庆市秉风医院；心翔双语幼儿园、阳光花园双语幼儿园；华中路第一小学、安庆市华中路第二小学；安庆市第十一中学、安庆市菱南高级中学；公园有莲湖公园；设施齐全，完善。</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(4)周边环境状况</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①自然环境：估价对象所处区域环境宁静、优美、绿化率高。</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②人文环境：</w:t>
      </w:r>
      <w:r>
        <w:rPr>
          <w:rFonts w:hint="eastAsia" w:asciiTheme="minorEastAsia" w:hAnsiTheme="minorEastAsia"/>
          <w:sz w:val="28"/>
          <w:szCs w:val="28"/>
        </w:rPr>
        <w:t>估价对象所在区域人口素质高，人文环境好，治安状况好。</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③景观：</w:t>
      </w:r>
      <w:r>
        <w:rPr>
          <w:rFonts w:hint="eastAsia" w:asciiTheme="minorEastAsia" w:hAnsiTheme="minorEastAsia" w:cstheme="minorEastAsia"/>
          <w:color w:val="000000" w:themeColor="text1"/>
          <w:spacing w:val="-6"/>
          <w:sz w:val="28"/>
          <w:szCs w:val="28"/>
          <w14:textFill>
            <w14:solidFill>
              <w14:schemeClr w14:val="tx1"/>
            </w14:solidFill>
          </w14:textFill>
        </w:rPr>
        <w:t>估价对象附近</w:t>
      </w:r>
      <w:r>
        <w:rPr>
          <w:rFonts w:hint="eastAsia" w:asciiTheme="minorEastAsia" w:hAnsiTheme="minorEastAsia" w:cstheme="minorEastAsia"/>
          <w:color w:val="000000" w:themeColor="text1"/>
          <w:sz w:val="28"/>
          <w:szCs w:val="28"/>
          <w14:textFill>
            <w14:solidFill>
              <w14:schemeClr w14:val="tx1"/>
            </w14:solidFill>
          </w14:textFill>
        </w:rPr>
        <w:t>毗邻公园绿地、市政广场、主流河道，周边建筑式样新颖，视野开阔。</w:t>
      </w:r>
    </w:p>
    <w:p>
      <w:pPr>
        <w:wordWrap w:val="0"/>
        <w:spacing w:line="56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④不良</w:t>
      </w:r>
      <w:r>
        <w:rPr>
          <w:rFonts w:asciiTheme="minorEastAsia" w:hAnsiTheme="minorEastAsia" w:cstheme="minorEastAsia"/>
          <w:color w:val="000000" w:themeColor="text1"/>
          <w:sz w:val="28"/>
          <w:szCs w:val="28"/>
          <w14:textFill>
            <w14:solidFill>
              <w14:schemeClr w14:val="tx1"/>
            </w14:solidFill>
          </w14:textFill>
        </w:rPr>
        <w:t>影响设施：</w:t>
      </w:r>
      <w:r>
        <w:rPr>
          <w:rFonts w:hint="eastAsia" w:asciiTheme="minorEastAsia" w:hAnsiTheme="minorEastAsia" w:cstheme="minorEastAsia"/>
          <w:color w:val="000000" w:themeColor="text1"/>
          <w:sz w:val="28"/>
          <w:szCs w:val="28"/>
          <w14:textFill>
            <w14:solidFill>
              <w14:schemeClr w14:val="tx1"/>
            </w14:solidFill>
          </w14:textFill>
        </w:rPr>
        <w:t>无。</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23" w:name="_Toc480967876"/>
      <w:bookmarkStart w:id="24" w:name="_Toc485393190"/>
      <w:bookmarkStart w:id="25" w:name="_Toc2697880"/>
      <w:r>
        <w:rPr>
          <w:rFonts w:asciiTheme="minorEastAsia" w:hAnsiTheme="minorEastAsia" w:eastAsiaTheme="minorEastAsia"/>
          <w:color w:val="000000" w:themeColor="text1"/>
          <w:sz w:val="28"/>
          <w:szCs w:val="28"/>
          <w14:textFill>
            <w14:solidFill>
              <w14:schemeClr w14:val="tx1"/>
            </w14:solidFill>
          </w14:textFill>
        </w:rPr>
        <w:t>（五）价</w:t>
      </w:r>
      <w:r>
        <w:rPr>
          <w:rFonts w:hint="eastAsia" w:asciiTheme="minorEastAsia" w:hAnsiTheme="minorEastAsia" w:eastAsiaTheme="minorEastAsia"/>
          <w:color w:val="000000" w:themeColor="text1"/>
          <w:sz w:val="28"/>
          <w:szCs w:val="28"/>
          <w14:textFill>
            <w14:solidFill>
              <w14:schemeClr w14:val="tx1"/>
            </w14:solidFill>
          </w14:textFill>
        </w:rPr>
        <w:t>值</w:t>
      </w:r>
      <w:r>
        <w:rPr>
          <w:rFonts w:asciiTheme="minorEastAsia" w:hAnsiTheme="minorEastAsia" w:eastAsiaTheme="minorEastAsia"/>
          <w:color w:val="000000" w:themeColor="text1"/>
          <w:sz w:val="28"/>
          <w:szCs w:val="28"/>
          <w14:textFill>
            <w14:solidFill>
              <w14:schemeClr w14:val="tx1"/>
            </w14:solidFill>
          </w14:textFill>
        </w:rPr>
        <w:t>时点</w:t>
      </w:r>
      <w:bookmarkEnd w:id="23"/>
      <w:bookmarkEnd w:id="24"/>
      <w:bookmarkEnd w:id="25"/>
    </w:p>
    <w:p>
      <w:pPr>
        <w:wordWrap w:val="0"/>
        <w:spacing w:line="5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2019年12月27日</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z w:val="28"/>
          <w:szCs w:val="28"/>
        </w:rPr>
        <w:t>价值时点确定的理由：以现场查勘日为价值时点。本次现场查勘日期为2019年12月27日。</w:t>
      </w:r>
    </w:p>
    <w:p>
      <w:pPr>
        <w:pStyle w:val="3"/>
        <w:wordWrap w:val="0"/>
        <w:spacing w:before="0" w:after="0" w:line="560" w:lineRule="exact"/>
        <w:jc w:val="left"/>
        <w:rPr>
          <w:rFonts w:asciiTheme="minorEastAsia" w:hAnsiTheme="minorEastAsia" w:eastAsiaTheme="minorEastAsia"/>
          <w:color w:val="000000" w:themeColor="text1"/>
          <w:sz w:val="28"/>
          <w:szCs w:val="28"/>
          <w14:textFill>
            <w14:solidFill>
              <w14:schemeClr w14:val="tx1"/>
            </w14:solidFill>
          </w14:textFill>
        </w:rPr>
      </w:pPr>
      <w:bookmarkStart w:id="26" w:name="_Toc484869468"/>
      <w:bookmarkStart w:id="27" w:name="_Toc2697881"/>
      <w:bookmarkStart w:id="28" w:name="_Toc3144"/>
      <w:r>
        <w:rPr>
          <w:rFonts w:hint="eastAsia" w:asciiTheme="minorEastAsia" w:hAnsiTheme="minorEastAsia" w:eastAsiaTheme="minorEastAsia"/>
          <w:color w:val="000000" w:themeColor="text1"/>
          <w:sz w:val="28"/>
          <w:szCs w:val="28"/>
          <w14:textFill>
            <w14:solidFill>
              <w14:schemeClr w14:val="tx1"/>
            </w14:solidFill>
          </w14:textFill>
        </w:rPr>
        <w:t>（六）价值类型</w:t>
      </w:r>
      <w:bookmarkEnd w:id="26"/>
      <w:bookmarkEnd w:id="27"/>
      <w:bookmarkEnd w:id="28"/>
    </w:p>
    <w:p>
      <w:pPr>
        <w:suppressAutoHyphens/>
        <w:wordWrap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z w:val="28"/>
          <w:szCs w:val="28"/>
        </w:rPr>
        <w:t>房地产市场价值，是房地产经适当营销后，由熟悉情况、谨慎行事且不受强迫的交易双方，以公平交易方式在价值时点自愿进行交易的金额，不考虑抵押、租赁、查封等因素的影响。</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29" w:name="_Toc480967878"/>
      <w:bookmarkStart w:id="30" w:name="_Toc2697882"/>
      <w:bookmarkStart w:id="31" w:name="_Toc485393192"/>
      <w:r>
        <w:rPr>
          <w:rFonts w:asciiTheme="minorEastAsia" w:hAnsiTheme="minorEastAsia" w:eastAsiaTheme="minorEastAsia"/>
          <w:color w:val="000000" w:themeColor="text1"/>
          <w:sz w:val="28"/>
          <w:szCs w:val="28"/>
          <w14:textFill>
            <w14:solidFill>
              <w14:schemeClr w14:val="tx1"/>
            </w14:solidFill>
          </w14:textFill>
        </w:rPr>
        <w:t>（七）估价原则</w:t>
      </w:r>
      <w:bookmarkEnd w:id="29"/>
      <w:bookmarkEnd w:id="30"/>
      <w:bookmarkEnd w:id="31"/>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本次估价遵循的估价原则有：</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1、独立、客观、公正原则</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独立、客观、公正原则是</w:t>
      </w:r>
      <w:r>
        <w:rPr>
          <w:rFonts w:asciiTheme="minorEastAsia" w:hAnsiTheme="minorEastAsia" w:eastAsiaTheme="minorEastAsia"/>
          <w:color w:val="000000" w:themeColor="text1"/>
          <w:sz w:val="28"/>
          <w:szCs w:val="28"/>
          <w14:textFill>
            <w14:solidFill>
              <w14:schemeClr w14:val="tx1"/>
            </w14:solidFill>
          </w14:textFill>
        </w:rPr>
        <w:t>要求房地产估价师站在中立的立场上，</w:t>
      </w:r>
      <w:r>
        <w:rPr>
          <w:rFonts w:hint="eastAsia" w:asciiTheme="minorEastAsia" w:hAnsiTheme="minorEastAsia" w:eastAsiaTheme="minorEastAsia"/>
          <w:color w:val="000000" w:themeColor="text1"/>
          <w:sz w:val="28"/>
          <w:szCs w:val="28"/>
          <w14:textFill>
            <w14:solidFill>
              <w14:schemeClr w14:val="tx1"/>
            </w14:solidFill>
          </w14:textFill>
        </w:rPr>
        <w:t>事实求是、公平正直地</w:t>
      </w:r>
      <w:r>
        <w:rPr>
          <w:rFonts w:asciiTheme="minorEastAsia" w:hAnsiTheme="minorEastAsia" w:eastAsiaTheme="minorEastAsia"/>
          <w:color w:val="000000" w:themeColor="text1"/>
          <w:sz w:val="28"/>
          <w:szCs w:val="28"/>
          <w14:textFill>
            <w14:solidFill>
              <w14:schemeClr w14:val="tx1"/>
            </w14:solidFill>
          </w14:textFill>
        </w:rPr>
        <w:t>评估出对各方</w:t>
      </w:r>
      <w:r>
        <w:rPr>
          <w:rFonts w:hint="eastAsia" w:asciiTheme="minorEastAsia" w:hAnsiTheme="minorEastAsia" w:eastAsiaTheme="minorEastAsia"/>
          <w:color w:val="000000" w:themeColor="text1"/>
          <w:sz w:val="28"/>
          <w:szCs w:val="28"/>
          <w14:textFill>
            <w14:solidFill>
              <w14:schemeClr w14:val="tx1"/>
            </w14:solidFill>
          </w14:textFill>
        </w:rPr>
        <w:t>估价利害关系人均是公平合理的价值或价格。</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2、合法原则</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所谓合法，是指符合国家的法律、法规和当地政府的有关规定，其权益才能受法律保护，并体现其权益价值。在考虑估价对象的用途时，应以合法利用、合法交易、合法处置为前提。</w:t>
      </w:r>
      <w:r>
        <w:rPr>
          <w:rFonts w:hint="eastAsia" w:asciiTheme="minorEastAsia" w:hAnsiTheme="minorEastAsia" w:eastAsiaTheme="minorEastAsia"/>
          <w:color w:val="000000" w:themeColor="text1"/>
          <w:sz w:val="28"/>
          <w:szCs w:val="28"/>
          <w14:textFill>
            <w14:solidFill>
              <w14:schemeClr w14:val="tx1"/>
            </w14:solidFill>
          </w14:textFill>
        </w:rPr>
        <w:t>评估报告充分考虑了估价对象权属合法取得、合法使用以及今后合法处分，并以此作为本项评估的前提。</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3、价值时点原则</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房地产市场处于不断变化之中，其价格具有很强的时间性。本次估价对房地产的市场情况及其本身状况的界定，均以其在价值时点的状况为准。</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w:t>
      </w:r>
      <w:r>
        <w:rPr>
          <w:rFonts w:asciiTheme="minorEastAsia" w:hAnsiTheme="minorEastAsia" w:eastAsiaTheme="minorEastAsia"/>
          <w:color w:val="000000" w:themeColor="text1"/>
          <w:sz w:val="28"/>
          <w:szCs w:val="28"/>
          <w14:textFill>
            <w14:solidFill>
              <w14:schemeClr w14:val="tx1"/>
            </w14:solidFill>
          </w14:textFill>
        </w:rPr>
        <w:t>替代原则</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根据市场运行规律，在同一商品市场中，商品或提供服务的效用相同或大致相似时，价格低者吸引需求，即有两个以上互有替代性的商品或服务同时存在时，商品或服务的价格是经过相互影响与比较之后来决定的。</w:t>
      </w:r>
      <w:r>
        <w:rPr>
          <w:rFonts w:asciiTheme="minorEastAsia" w:hAnsiTheme="minorEastAsia" w:eastAsiaTheme="minorEastAsia"/>
          <w:color w:val="000000" w:themeColor="text1"/>
          <w:sz w:val="28"/>
          <w:szCs w:val="28"/>
          <w14:textFill>
            <w14:solidFill>
              <w14:schemeClr w14:val="tx1"/>
            </w14:solidFill>
          </w14:textFill>
        </w:rPr>
        <w:t>在房地产市场中也是如此，即在同一市场供需圈内，可以通过调查近期发生交易的、与待估房地产有替代可能的房地产价格和条件，通过与待估房地产进行比较，然后对其间的差别作适当的修正，确定待估房地产的市场价值。</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5、最高最佳利用原则</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房地产估价中所确定的客观合理价格或价值，其实质是房地产的经济价值，它体现在房地产的使用过程中。在考虑估价对象的用途时，应取其最高最佳利用状态，是指法律上允许、技术上可能、经济上可行、能使估价对象发挥最高价值的利用状态。</w:t>
      </w:r>
    </w:p>
    <w:p>
      <w:pPr>
        <w:wordWrap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总之，在估价过程中，要按国家、地方有关规定，遵守客观、公正、科学、合法的原则进行房地产价格评估，做到估价过程合法合理，估价方法科学，估价结果准确，严格保守估价秘密。</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32" w:name="_Toc2697883"/>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八</w:t>
      </w:r>
      <w:r>
        <w:rPr>
          <w:rFonts w:asciiTheme="minorEastAsia" w:hAnsiTheme="minorEastAsia" w:eastAsiaTheme="minorEastAsia"/>
          <w:color w:val="000000" w:themeColor="text1"/>
          <w:sz w:val="28"/>
          <w:szCs w:val="28"/>
          <w14:textFill>
            <w14:solidFill>
              <w14:schemeClr w14:val="tx1"/>
            </w14:solidFill>
          </w14:textFill>
        </w:rPr>
        <w:t>）估价</w:t>
      </w:r>
      <w:r>
        <w:rPr>
          <w:rFonts w:hint="eastAsia" w:asciiTheme="minorEastAsia" w:hAnsiTheme="minorEastAsia" w:eastAsiaTheme="minorEastAsia"/>
          <w:color w:val="000000" w:themeColor="text1"/>
          <w:sz w:val="28"/>
          <w:szCs w:val="28"/>
          <w14:textFill>
            <w14:solidFill>
              <w14:schemeClr w14:val="tx1"/>
            </w14:solidFill>
          </w14:textFill>
        </w:rPr>
        <w:t>依据</w:t>
      </w:r>
      <w:bookmarkEnd w:id="32"/>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spacing w:val="-8"/>
          <w:sz w:val="28"/>
          <w:szCs w:val="28"/>
        </w:rPr>
        <w:t>1</w:t>
      </w:r>
      <w:r>
        <w:rPr>
          <w:rFonts w:hint="eastAsia" w:asciiTheme="minorEastAsia" w:hAnsiTheme="minorEastAsia"/>
          <w:spacing w:val="-8"/>
          <w:sz w:val="28"/>
          <w:szCs w:val="28"/>
        </w:rPr>
        <w:t>、</w:t>
      </w:r>
      <w:r>
        <w:rPr>
          <w:rFonts w:asciiTheme="minorEastAsia" w:hAnsiTheme="minorEastAsia"/>
          <w:spacing w:val="-8"/>
          <w:sz w:val="28"/>
          <w:szCs w:val="28"/>
        </w:rPr>
        <w:t>本次估价所依据的有关法律、法规、司法解释和部门规章</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(1)</w:t>
      </w:r>
      <w:r>
        <w:rPr>
          <w:rFonts w:asciiTheme="minorEastAsia" w:hAnsiTheme="minorEastAsia"/>
          <w:spacing w:val="-8"/>
          <w:sz w:val="28"/>
          <w:szCs w:val="28"/>
        </w:rPr>
        <w:t>《中华人民共和国物权法》(2007年3月16日中华人民共和国主席令第62号公布)；</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(2)</w:t>
      </w:r>
      <w:r>
        <w:rPr>
          <w:rFonts w:asciiTheme="minorEastAsia" w:hAnsiTheme="minorEastAsia"/>
          <w:spacing w:val="-8"/>
          <w:sz w:val="28"/>
          <w:szCs w:val="28"/>
        </w:rPr>
        <w:t>《中华人民共和国城市房地产管理法》(2007年8月30日中华人民共和国主席令第72号公布)；</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(3)《最高人民法院关于人民法院委托评估、拍卖和变卖工作的若干规定》(2009年8月24日法释【2009】16号)</w:t>
      </w:r>
      <w:r>
        <w:rPr>
          <w:rFonts w:asciiTheme="minorEastAsia" w:hAnsiTheme="minorEastAsia"/>
          <w:spacing w:val="-8"/>
          <w:sz w:val="28"/>
          <w:szCs w:val="28"/>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(4)《中华人民共和国资产评估法》</w:t>
      </w:r>
      <w:r>
        <w:rPr>
          <w:rFonts w:hint="eastAsia" w:cs="Arial" w:asciiTheme="minorEastAsia" w:hAnsiTheme="minorEastAsia" w:eastAsiaTheme="minorEastAsia"/>
          <w:color w:val="000000" w:themeColor="text1"/>
          <w:sz w:val="28"/>
          <w:szCs w:val="28"/>
          <w14:textFill>
            <w14:solidFill>
              <w14:schemeClr w14:val="tx1"/>
            </w14:solidFill>
          </w14:textFill>
        </w:rPr>
        <w:t>(中华人民共和国主席令第46号，中华人民共和国第十二届全国人民代表大会第二十一条会议通过，自2016年12月1日起施行)</w:t>
      </w:r>
      <w:r>
        <w:rPr>
          <w:rFonts w:hint="eastAsia" w:asciiTheme="minorEastAsia" w:hAnsiTheme="minorEastAsia"/>
          <w:spacing w:val="-8"/>
          <w:sz w:val="28"/>
          <w:szCs w:val="28"/>
        </w:rPr>
        <w:t>；</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eastAsia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5</w:t>
      </w:r>
      <w:r>
        <w:rPr>
          <w:rFonts w:cs="Arial" w:asciiTheme="minorEastAsia" w:hAnsiTheme="minorEastAsia" w:eastAsiaTheme="minorEastAsia"/>
          <w:color w:val="000000" w:themeColor="text1"/>
          <w:sz w:val="28"/>
          <w:szCs w:val="28"/>
          <w14:textFill>
            <w14:solidFill>
              <w14:schemeClr w14:val="tx1"/>
            </w14:solidFill>
          </w14:textFill>
        </w:rPr>
        <w:t>)《中华人民共和国土地管理法》(2004年8月28日</w:t>
      </w:r>
      <w:r>
        <w:rPr>
          <w:rFonts w:hint="eastAsia" w:cs="Arial" w:asciiTheme="minorEastAsia" w:hAnsiTheme="minorEastAsia"/>
          <w:color w:val="000000" w:themeColor="text1"/>
          <w:sz w:val="28"/>
          <w:szCs w:val="28"/>
          <w14:textFill>
            <w14:solidFill>
              <w14:schemeClr w14:val="tx1"/>
            </w14:solidFill>
          </w14:textFill>
        </w:rPr>
        <w:t>中华人民共和国主席令第28号</w:t>
      </w:r>
      <w:r>
        <w:rPr>
          <w:rFonts w:cs="Arial" w:asciiTheme="minorEastAsia" w:hAnsiTheme="minorEastAsia" w:eastAsiaTheme="minorEastAsia"/>
          <w:color w:val="000000" w:themeColor="text1"/>
          <w:sz w:val="28"/>
          <w:szCs w:val="28"/>
          <w14:textFill>
            <w14:solidFill>
              <w14:schemeClr w14:val="tx1"/>
            </w14:solidFill>
          </w14:textFill>
        </w:rPr>
        <w:t>)；</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eastAsia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6</w:t>
      </w:r>
      <w:r>
        <w:rPr>
          <w:rFonts w:cs="Arial" w:asciiTheme="minorEastAsia" w:hAnsiTheme="minorEastAsia" w:eastAsiaTheme="minorEastAsia"/>
          <w:color w:val="000000" w:themeColor="text1"/>
          <w:sz w:val="28"/>
          <w:szCs w:val="28"/>
          <w14:textFill>
            <w14:solidFill>
              <w14:schemeClr w14:val="tx1"/>
            </w14:solidFill>
          </w14:textFill>
        </w:rPr>
        <w:t>)《中华人民共和国土地管理法</w:t>
      </w:r>
      <w:r>
        <w:rPr>
          <w:rFonts w:hint="eastAsia" w:cs="Arial" w:asciiTheme="minorEastAsia" w:hAnsiTheme="minorEastAsia"/>
          <w:color w:val="000000" w:themeColor="text1"/>
          <w:sz w:val="28"/>
          <w:szCs w:val="28"/>
          <w14:textFill>
            <w14:solidFill>
              <w14:schemeClr w14:val="tx1"/>
            </w14:solidFill>
          </w14:textFill>
        </w:rPr>
        <w:t>实施条例</w:t>
      </w:r>
      <w:r>
        <w:rPr>
          <w:rFonts w:cs="Arial" w:asciiTheme="minorEastAsia" w:hAnsiTheme="minorEastAsia" w:eastAsiaTheme="minorEastAsia"/>
          <w:color w:val="000000" w:themeColor="text1"/>
          <w:sz w:val="28"/>
          <w:szCs w:val="28"/>
          <w14:textFill>
            <w14:solidFill>
              <w14:schemeClr w14:val="tx1"/>
            </w14:solidFill>
          </w14:textFill>
        </w:rPr>
        <w:t>》(</w:t>
      </w:r>
      <w:r>
        <w:rPr>
          <w:rFonts w:hint="eastAsia" w:cs="Arial" w:asciiTheme="minorEastAsia" w:hAnsiTheme="minorEastAsia"/>
          <w:color w:val="000000" w:themeColor="text1"/>
          <w:sz w:val="28"/>
          <w:szCs w:val="28"/>
          <w14:textFill>
            <w14:solidFill>
              <w14:schemeClr w14:val="tx1"/>
            </w14:solidFill>
          </w14:textFill>
        </w:rPr>
        <w:t>1998年12月27日中华人民共和国国务院令第256号</w:t>
      </w:r>
      <w:r>
        <w:rPr>
          <w:rFonts w:cs="Arial" w:asciiTheme="minorEastAsia" w:hAnsiTheme="minorEastAsia" w:eastAsiaTheme="minorEastAsia"/>
          <w:color w:val="000000" w:themeColor="text1"/>
          <w:sz w:val="28"/>
          <w:szCs w:val="28"/>
          <w14:textFill>
            <w14:solidFill>
              <w14:schemeClr w14:val="tx1"/>
            </w14:solidFill>
          </w14:textFill>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(7)《关于人民法院确定财产处置参考价若干问题的规定》(法释【2018】15号)</w:t>
      </w:r>
      <w:r>
        <w:rPr>
          <w:rFonts w:asciiTheme="minorEastAsia" w:hAnsiTheme="minorEastAsia"/>
          <w:spacing w:val="-8"/>
          <w:sz w:val="28"/>
          <w:szCs w:val="28"/>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(8)《人民法院委托评估工作规范》(法办【2018】273号)</w:t>
      </w:r>
      <w:r>
        <w:rPr>
          <w:rFonts w:asciiTheme="minorEastAsia" w:hAnsiTheme="minorEastAsia"/>
          <w:spacing w:val="-8"/>
          <w:sz w:val="28"/>
          <w:szCs w:val="28"/>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spacing w:val="-8"/>
          <w:sz w:val="28"/>
          <w:szCs w:val="28"/>
        </w:rPr>
        <w:t>2</w:t>
      </w:r>
      <w:r>
        <w:rPr>
          <w:rFonts w:hint="eastAsia" w:asciiTheme="minorEastAsia" w:hAnsiTheme="minorEastAsia"/>
          <w:spacing w:val="-8"/>
          <w:sz w:val="28"/>
          <w:szCs w:val="28"/>
        </w:rPr>
        <w:t>、</w:t>
      </w:r>
      <w:r>
        <w:rPr>
          <w:rFonts w:asciiTheme="minorEastAsia" w:hAnsiTheme="minorEastAsia"/>
          <w:spacing w:val="-8"/>
          <w:sz w:val="28"/>
          <w:szCs w:val="28"/>
        </w:rPr>
        <w:t>本次估价采用的技术规程</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(1)</w:t>
      </w:r>
      <w:r>
        <w:rPr>
          <w:rFonts w:asciiTheme="minorEastAsia" w:hAnsiTheme="minorEastAsia"/>
          <w:spacing w:val="-8"/>
          <w:sz w:val="28"/>
          <w:szCs w:val="28"/>
        </w:rPr>
        <w:t>中华人民共和国国家标准GB/T50291-</w:t>
      </w:r>
      <w:r>
        <w:rPr>
          <w:rFonts w:hint="eastAsia" w:asciiTheme="minorEastAsia" w:hAnsiTheme="minorEastAsia"/>
          <w:spacing w:val="-8"/>
          <w:sz w:val="28"/>
          <w:szCs w:val="28"/>
        </w:rPr>
        <w:t>2015</w:t>
      </w:r>
      <w:r>
        <w:rPr>
          <w:rFonts w:asciiTheme="minorEastAsia" w:hAnsiTheme="minorEastAsia"/>
          <w:spacing w:val="-8"/>
          <w:sz w:val="28"/>
          <w:szCs w:val="28"/>
        </w:rPr>
        <w:t>《房地产估价规范》；</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(2)</w:t>
      </w:r>
      <w:r>
        <w:rPr>
          <w:rFonts w:asciiTheme="minorEastAsia" w:hAnsiTheme="minorEastAsia"/>
          <w:spacing w:val="-8"/>
          <w:sz w:val="28"/>
          <w:szCs w:val="28"/>
        </w:rPr>
        <w:t>中华人民共和国国家标准GB/T50899-2013《房地产估价基本术语标准》；</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spacing w:val="-8"/>
          <w:sz w:val="28"/>
          <w:szCs w:val="28"/>
        </w:rPr>
        <w:t>3</w:t>
      </w:r>
      <w:r>
        <w:rPr>
          <w:rFonts w:hint="eastAsia" w:asciiTheme="minorEastAsia" w:hAnsiTheme="minorEastAsia"/>
          <w:spacing w:val="-8"/>
          <w:sz w:val="28"/>
          <w:szCs w:val="28"/>
        </w:rPr>
        <w:t>、</w:t>
      </w:r>
      <w:r>
        <w:rPr>
          <w:rFonts w:asciiTheme="minorEastAsia" w:hAnsiTheme="minorEastAsia"/>
          <w:spacing w:val="-8"/>
          <w:sz w:val="28"/>
          <w:szCs w:val="28"/>
        </w:rPr>
        <w:t>估价委托人提供的有关资料</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(1)</w:t>
      </w:r>
      <w:r>
        <w:rPr>
          <w:rFonts w:hint="eastAsia" w:asciiTheme="minorEastAsia" w:hAnsiTheme="minorEastAsia"/>
          <w:sz w:val="28"/>
          <w:szCs w:val="28"/>
        </w:rPr>
        <w:t>司法鉴定委托书</w:t>
      </w:r>
      <w:r>
        <w:rPr>
          <w:rFonts w:asciiTheme="minorEastAsia" w:hAnsiTheme="minorEastAsia"/>
          <w:spacing w:val="-8"/>
          <w:sz w:val="28"/>
          <w:szCs w:val="28"/>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(2)</w:t>
      </w:r>
      <w:r>
        <w:rPr>
          <w:rFonts w:hint="eastAsia" w:asciiTheme="minorEastAsia" w:hAnsiTheme="minorEastAsia"/>
          <w:color w:val="000000" w:themeColor="text1"/>
          <w:sz w:val="28"/>
          <w:szCs w:val="28"/>
          <w14:textFill>
            <w14:solidFill>
              <w14:schemeClr w14:val="tx1"/>
            </w14:solidFill>
          </w14:textFill>
        </w:rPr>
        <w:t>《不动产权证书》</w:t>
      </w:r>
      <w:r>
        <w:rPr>
          <w:rFonts w:hint="eastAsia" w:cs="仿宋_GB2312" w:asciiTheme="minorEastAsia" w:hAnsiTheme="minorEastAsia"/>
          <w:color w:val="000000" w:themeColor="text1"/>
          <w:sz w:val="28"/>
          <w:szCs w:val="28"/>
          <w14:textFill>
            <w14:solidFill>
              <w14:schemeClr w14:val="tx1"/>
            </w14:solidFill>
          </w14:textFill>
        </w:rPr>
        <w:t>复印件</w:t>
      </w:r>
      <w:r>
        <w:rPr>
          <w:rFonts w:hint="eastAsia" w:asciiTheme="minorEastAsia" w:hAnsiTheme="minorEastAsia"/>
          <w:spacing w:val="-8"/>
          <w:sz w:val="28"/>
          <w:szCs w:val="28"/>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spacing w:val="-8"/>
          <w:sz w:val="28"/>
          <w:szCs w:val="28"/>
        </w:rPr>
        <w:t>(3)</w:t>
      </w:r>
      <w:r>
        <w:rPr>
          <w:rFonts w:hint="eastAsia" w:asciiTheme="minorEastAsia" w:hAnsiTheme="minorEastAsia"/>
          <w:color w:val="000000" w:themeColor="text1"/>
          <w:sz w:val="28"/>
          <w:szCs w:val="28"/>
          <w14:textFill>
            <w14:solidFill>
              <w14:schemeClr w14:val="tx1"/>
            </w14:solidFill>
          </w14:textFill>
        </w:rPr>
        <w:t>估价委托人提供的其他估价相关资料</w:t>
      </w:r>
      <w:r>
        <w:rPr>
          <w:rFonts w:hint="eastAsia" w:asciiTheme="minorEastAsia" w:hAnsiTheme="minorEastAsia"/>
          <w:spacing w:val="-8"/>
          <w:sz w:val="28"/>
          <w:szCs w:val="28"/>
        </w:rPr>
        <w:t>；</w:t>
      </w:r>
    </w:p>
    <w:p>
      <w:pPr>
        <w:wordWrap w:val="0"/>
        <w:spacing w:line="560" w:lineRule="exact"/>
        <w:ind w:firstLine="528" w:firstLineChars="200"/>
        <w:rPr>
          <w:rFonts w:cs="Arial"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spacing w:val="-8"/>
          <w:sz w:val="28"/>
          <w:szCs w:val="28"/>
        </w:rPr>
        <w:t>4</w:t>
      </w:r>
      <w:r>
        <w:rPr>
          <w:rFonts w:hint="eastAsia" w:asciiTheme="minorEastAsia" w:hAnsiTheme="minorEastAsia"/>
          <w:spacing w:val="-8"/>
          <w:sz w:val="28"/>
          <w:szCs w:val="28"/>
        </w:rPr>
        <w:t>、</w:t>
      </w:r>
      <w:r>
        <w:rPr>
          <w:rFonts w:asciiTheme="minorEastAsia" w:hAnsiTheme="minorEastAsia"/>
          <w:spacing w:val="-8"/>
          <w:sz w:val="28"/>
          <w:szCs w:val="28"/>
        </w:rPr>
        <w:t>估价机构和注册房地产估价师所搜集掌握的其他有关资料</w:t>
      </w:r>
      <w:r>
        <w:rPr>
          <w:rFonts w:hint="eastAsia" w:asciiTheme="minorEastAsia" w:hAnsiTheme="minorEastAsia"/>
          <w:spacing w:val="-8"/>
          <w:sz w:val="28"/>
          <w:szCs w:val="28"/>
        </w:rPr>
        <w:t>。</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color w:val="000000" w:themeColor="text1"/>
          <w:sz w:val="28"/>
          <w:szCs w:val="28"/>
          <w14:textFill>
            <w14:solidFill>
              <w14:schemeClr w14:val="tx1"/>
            </w14:solidFill>
          </w14:textFill>
        </w:rPr>
        <w:t>(1)</w:t>
      </w:r>
      <w:r>
        <w:rPr>
          <w:rFonts w:hint="eastAsia" w:cs="Arial" w:asciiTheme="minorEastAsia" w:hAnsiTheme="minorEastAsia"/>
          <w:color w:val="000000" w:themeColor="text1"/>
          <w:sz w:val="28"/>
          <w:szCs w:val="28"/>
          <w14:textFill>
            <w14:solidFill>
              <w14:schemeClr w14:val="tx1"/>
            </w14:solidFill>
          </w14:textFill>
        </w:rPr>
        <w:t>估价</w:t>
      </w:r>
      <w:r>
        <w:rPr>
          <w:rFonts w:cs="Arial" w:asciiTheme="minorEastAsia" w:hAnsiTheme="minorEastAsia"/>
          <w:color w:val="000000" w:themeColor="text1"/>
          <w:sz w:val="28"/>
          <w:szCs w:val="28"/>
          <w14:textFill>
            <w14:solidFill>
              <w14:schemeClr w14:val="tx1"/>
            </w14:solidFill>
          </w14:textFill>
        </w:rPr>
        <w:t>对象照片</w:t>
      </w:r>
      <w:r>
        <w:rPr>
          <w:rFonts w:hint="eastAsia" w:cs="Arial" w:asciiTheme="minorEastAsia" w:hAnsiTheme="minorEastAsia"/>
          <w:color w:val="000000" w:themeColor="text1"/>
          <w:sz w:val="28"/>
          <w:szCs w:val="28"/>
          <w14:textFill>
            <w14:solidFill>
              <w14:schemeClr w14:val="tx1"/>
            </w14:solidFill>
          </w14:textFill>
        </w:rPr>
        <w:t>。</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z w:val="28"/>
          <w:szCs w:val="28"/>
          <w14:textFill>
            <w14:solidFill>
              <w14:schemeClr w14:val="tx1"/>
            </w14:solidFill>
          </w14:textFill>
        </w:rPr>
        <w:t>(2)实地</w:t>
      </w:r>
      <w:r>
        <w:rPr>
          <w:rFonts w:cs="Arial" w:asciiTheme="minorEastAsia" w:hAnsiTheme="minorEastAsia"/>
          <w:color w:val="000000" w:themeColor="text1"/>
          <w:sz w:val="28"/>
          <w:szCs w:val="28"/>
          <w14:textFill>
            <w14:solidFill>
              <w14:schemeClr w14:val="tx1"/>
            </w14:solidFill>
          </w14:textFill>
        </w:rPr>
        <w:t>查勘记录</w:t>
      </w:r>
      <w:r>
        <w:rPr>
          <w:rFonts w:hint="eastAsia" w:cs="Arial" w:asciiTheme="minorEastAsia" w:hAnsiTheme="minorEastAsia"/>
          <w:color w:val="000000" w:themeColor="text1"/>
          <w:sz w:val="28"/>
          <w:szCs w:val="28"/>
          <w14:textFill>
            <w14:solidFill>
              <w14:schemeClr w14:val="tx1"/>
            </w14:solidFill>
          </w14:textFill>
        </w:rPr>
        <w:t>。</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z w:val="28"/>
          <w:szCs w:val="28"/>
          <w14:textFill>
            <w14:solidFill>
              <w14:schemeClr w14:val="tx1"/>
            </w14:solidFill>
          </w14:textFill>
        </w:rPr>
        <w:t>(3)估价师搜集的其他资料。</w:t>
      </w:r>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color w:val="000000" w:themeColor="text1"/>
          <w:sz w:val="28"/>
          <w:szCs w:val="28"/>
          <w14:textFill>
            <w14:solidFill>
              <w14:schemeClr w14:val="tx1"/>
            </w14:solidFill>
          </w14:textFill>
        </w:rPr>
        <w:t>(4)估价对象所在区域的房地产市场状况、同类房地产市场交易等数据资料。</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33" w:name="_Toc2697884"/>
      <w:bookmarkStart w:id="34" w:name="_Toc485393194"/>
      <w:bookmarkStart w:id="35" w:name="_Toc480967880"/>
      <w:r>
        <w:rPr>
          <w:rFonts w:asciiTheme="minorEastAsia" w:hAnsiTheme="minorEastAsia" w:eastAsiaTheme="minorEastAsia"/>
          <w:color w:val="000000" w:themeColor="text1"/>
          <w:sz w:val="28"/>
          <w:szCs w:val="28"/>
          <w14:textFill>
            <w14:solidFill>
              <w14:schemeClr w14:val="tx1"/>
            </w14:solidFill>
          </w14:textFill>
        </w:rPr>
        <w:t>（九）估价方法</w:t>
      </w:r>
      <w:bookmarkEnd w:id="33"/>
      <w:bookmarkEnd w:id="34"/>
      <w:bookmarkEnd w:id="35"/>
    </w:p>
    <w:p>
      <w:pPr>
        <w:wordWrap w:val="0"/>
        <w:spacing w:line="360" w:lineRule="auto"/>
        <w:ind w:firstLine="562"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sz w:val="28"/>
          <w:szCs w:val="28"/>
          <w:lang w:bidi="ar"/>
        </w:rPr>
        <w:t>1、确定估价方法</w:t>
      </w:r>
    </w:p>
    <w:p>
      <w:pPr>
        <w:wordWrap w:val="0"/>
        <w:spacing w:line="360" w:lineRule="auto"/>
        <w:ind w:firstLine="52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pacing w:val="-10"/>
          <w:sz w:val="28"/>
          <w:szCs w:val="28"/>
          <w:lang w:bidi="ar"/>
        </w:rPr>
        <w:t>根据《房地产估价规范》</w:t>
      </w:r>
      <w:r>
        <w:rPr>
          <w:rFonts w:hint="eastAsia" w:asciiTheme="minorEastAsia" w:hAnsiTheme="minorEastAsia" w:cstheme="minorEastAsia"/>
          <w:color w:val="000000"/>
          <w:sz w:val="28"/>
          <w:szCs w:val="28"/>
          <w:lang w:bidi="ar"/>
        </w:rPr>
        <w:t>(GB/T 50291—2015)、《房地产估价基本术语标准》</w:t>
      </w:r>
      <w:r>
        <w:rPr>
          <w:rFonts w:hint="eastAsia" w:asciiTheme="minorEastAsia" w:hAnsiTheme="minorEastAsia" w:cstheme="minorEastAsia"/>
          <w:color w:val="000000"/>
          <w:spacing w:val="-10"/>
          <w:sz w:val="28"/>
          <w:szCs w:val="28"/>
          <w:lang w:bidi="ar"/>
        </w:rPr>
        <w:t>，通行的房地产估价方法有比较法、收益法、成本法、假设开发法等。估价人员在认真分析所掌握的资料，并对估价对象进行了实地查勘及对周边房地产市场进行调查后，本项估</w:t>
      </w:r>
      <w:r>
        <w:rPr>
          <w:rFonts w:hint="eastAsia" w:asciiTheme="minorEastAsia" w:hAnsiTheme="minorEastAsia" w:cstheme="minorEastAsia"/>
          <w:color w:val="000000"/>
          <w:sz w:val="28"/>
          <w:szCs w:val="28"/>
          <w:lang w:bidi="ar"/>
        </w:rPr>
        <w:t>价中，选择估价方法适用性分析如下：</w:t>
      </w:r>
    </w:p>
    <w:p>
      <w:pPr>
        <w:wordWrap w:val="0"/>
        <w:spacing w:line="360" w:lineRule="auto"/>
        <w:ind w:firstLine="52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pacing w:val="-10"/>
          <w:sz w:val="28"/>
          <w:szCs w:val="28"/>
          <w:lang w:bidi="ar"/>
        </w:rPr>
        <w:t>(1)</w:t>
      </w:r>
      <w:r>
        <w:rPr>
          <w:rFonts w:hint="eastAsia" w:asciiTheme="minorEastAsia" w:hAnsiTheme="minorEastAsia" w:cstheme="minorEastAsia"/>
          <w:color w:val="000000"/>
          <w:sz w:val="28"/>
          <w:szCs w:val="28"/>
          <w:lang w:bidi="ar"/>
        </w:rPr>
        <w:t>估价对象为住宅房地产，近期同区域类似房地产交易案例较多，易获取其交易情况，适宜采用比较法。</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z w:val="28"/>
          <w:szCs w:val="28"/>
          <w:lang w:bidi="ar"/>
        </w:rPr>
        <w:t>(2)在估价对象所在区域租赁市场较活跃，租赁收益明显，且估价对象可用于出租，具有潜在收益，因此可以采用收益法估价。</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z w:val="28"/>
          <w:szCs w:val="28"/>
          <w:lang w:bidi="ar"/>
        </w:rPr>
        <w:t>(3)由于成本法一般用于既无收益又很少发生交易的房地产的评估，现实住宅房地产价格与成本关联性弱，房地产的开发成本不能准确反映房地产的实际市场价值，因此不适宜采用成本法进行评估。</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z w:val="28"/>
          <w:szCs w:val="28"/>
          <w:lang w:bidi="ar"/>
        </w:rPr>
        <w:t>(4)由于假设开发法适用于具有投资开发或再开发潜力的房地产的评估，估价对象属于建成并已投入使用的物业，就目前状态处于最佳利用，不存在重新开发利用，因此不适宜采用假设开发法进行评估；</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z w:val="28"/>
          <w:szCs w:val="28"/>
          <w:lang w:bidi="ar"/>
        </w:rPr>
        <w:t>据此分析，本次评估采用比较法、收益法进行评估。</w:t>
      </w:r>
    </w:p>
    <w:p>
      <w:pPr>
        <w:wordWrap w:val="0"/>
        <w:spacing w:line="360" w:lineRule="auto"/>
        <w:ind w:firstLine="562"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sz w:val="28"/>
          <w:szCs w:val="28"/>
          <w:lang w:bidi="ar"/>
        </w:rPr>
        <w:t>2、估价方法简介</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z w:val="28"/>
          <w:szCs w:val="28"/>
          <w:lang w:bidi="ar"/>
        </w:rPr>
        <w:t>比较法：是将估价对象与在价值时点近期发生过交易的类似房地产进行比较，对这些类似房地产的已知价格作适当的修正，以此推算估价对象的客观合理价格或价值的方法。</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z w:val="28"/>
          <w:szCs w:val="28"/>
          <w:lang w:bidi="ar"/>
        </w:rPr>
        <w:t>计算公式：估价对象价格=可比实例价格×交易情况修正系数×市场状况修正系数×区位状况修正系数×实物状况修正系数×权益状况修正系数</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收益法是预计估价对象未来的正常收益，选用适当的报酬率将其折现到价值时点后累加，以此估算估价对象的客观合理价格或价值的方法。本次评估估价人员根据同类型房地产的出租情况，同类型房地产在现行状况下目前和未来都会保持一定增长的收益。因此，本次评估估价人员选用收益法中净收益固定增长率为有限年条件下的计算公式进行计算。</w:t>
      </w:r>
    </w:p>
    <w:p>
      <w:pPr>
        <w:wordWrap w:val="0"/>
        <w:spacing w:line="360" w:lineRule="auto"/>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收益法计算公式：</w:t>
      </w:r>
    </w:p>
    <w:p>
      <w:pPr>
        <w:wordWrap w:val="0"/>
        <w:spacing w:line="360" w:lineRule="auto"/>
        <w:ind w:firstLine="600" w:firstLineChars="200"/>
        <w:rPr>
          <w:rFonts w:hint="eastAsia" w:asciiTheme="minorEastAsia" w:hAnsiTheme="minorEastAsia" w:cstheme="minorEastAsia"/>
          <w:color w:val="000000"/>
          <w:spacing w:val="10"/>
          <w:sz w:val="28"/>
          <w:szCs w:val="28"/>
          <w:lang w:bidi="ar"/>
        </w:rPr>
      </w:pPr>
      <w:r>
        <w:rPr>
          <w:rFonts w:asciiTheme="minorEastAsia" w:hAnsiTheme="minorEastAsia" w:cstheme="minorEastAsia"/>
          <w:color w:val="000000"/>
          <w:spacing w:val="10"/>
          <w:sz w:val="28"/>
          <w:szCs w:val="28"/>
          <w:lang w:bidi="ar"/>
        </w:rPr>
        <w:t>V=A/(r-g)*(1-((1+g)/(1+r))^m)</w:t>
      </w:r>
    </w:p>
    <w:p>
      <w:pPr>
        <w:wordWrap w:val="0"/>
        <w:spacing w:line="360" w:lineRule="auto"/>
        <w:ind w:firstLine="60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spacing w:val="10"/>
          <w:sz w:val="28"/>
          <w:szCs w:val="28"/>
          <w:shd w:val="clear" w:color="auto" w:fill="FFFFFF" w:themeFill="background1"/>
          <w:lang w:bidi="ar"/>
        </w:rPr>
        <w:t>式中：V为总收益价格；</w:t>
      </w:r>
      <w:r>
        <w:rPr>
          <w:rFonts w:hint="eastAsia" w:asciiTheme="minorEastAsia" w:hAnsiTheme="minorEastAsia" w:cstheme="minorEastAsia"/>
          <w:color w:val="000000"/>
          <w:spacing w:val="10"/>
          <w:sz w:val="28"/>
          <w:szCs w:val="28"/>
          <w:lang w:bidi="ar"/>
        </w:rPr>
        <w:t>A房地年纯收益；r=报酬率；g=租金年增长率；m为递增收益年限；n=总收益年限。</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36" w:name="_Toc480967881"/>
      <w:bookmarkStart w:id="37" w:name="_Toc485393195"/>
      <w:bookmarkStart w:id="38" w:name="_Toc2697885"/>
      <w:r>
        <w:rPr>
          <w:rFonts w:asciiTheme="minorEastAsia" w:hAnsiTheme="minorEastAsia" w:eastAsiaTheme="minorEastAsia"/>
          <w:color w:val="000000" w:themeColor="text1"/>
          <w:sz w:val="28"/>
          <w:szCs w:val="28"/>
          <w14:textFill>
            <w14:solidFill>
              <w14:schemeClr w14:val="tx1"/>
            </w14:solidFill>
          </w14:textFill>
        </w:rPr>
        <w:t>（十）估价结果</w:t>
      </w:r>
      <w:bookmarkEnd w:id="36"/>
      <w:bookmarkEnd w:id="37"/>
      <w:bookmarkEnd w:id="38"/>
    </w:p>
    <w:p>
      <w:pPr>
        <w:wordWrap w:val="0"/>
        <w:spacing w:line="560" w:lineRule="exact"/>
        <w:ind w:firstLine="560" w:firstLineChars="200"/>
        <w:jc w:val="left"/>
        <w:rPr>
          <w:rFonts w:cs="仿宋_GB2312"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估价人员经过实地查勘和市场调查，根据估价目的，遵照</w:t>
      </w:r>
      <w:r>
        <w:rPr>
          <w:rFonts w:asciiTheme="minorEastAsia" w:hAnsiTheme="minorEastAsia" w:eastAsiaTheme="minorEastAsia"/>
          <w:color w:val="000000" w:themeColor="text1"/>
          <w:sz w:val="28"/>
          <w:szCs w:val="28"/>
          <w14:textFill>
            <w14:solidFill>
              <w14:schemeClr w14:val="tx1"/>
            </w14:solidFill>
          </w14:textFill>
        </w:rPr>
        <w:t>国家的相关法规</w:t>
      </w:r>
      <w:r>
        <w:rPr>
          <w:rFonts w:hint="eastAsia" w:asciiTheme="minorEastAsia" w:hAnsiTheme="minorEastAsia" w:eastAsiaTheme="minorEastAsia"/>
          <w:color w:val="000000" w:themeColor="text1"/>
          <w:sz w:val="28"/>
          <w:szCs w:val="28"/>
          <w14:textFill>
            <w14:solidFill>
              <w14:schemeClr w14:val="tx1"/>
            </w14:solidFill>
          </w14:textFill>
        </w:rPr>
        <w:t>及估价原则，按照估价程序，采用科学合理的估价方法，在认真分析相关资料的基础上，并综合考虑影响房地产市场价格的各项因素，结合估价师的专业经验和周密测算与判断，确定估价对象在价值时点的估价结果为：</w:t>
      </w:r>
    </w:p>
    <w:p>
      <w:pPr>
        <w:wordWrap w:val="0"/>
        <w:spacing w:line="440" w:lineRule="exact"/>
        <w:jc w:val="center"/>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估价对象估价结果表</w:t>
      </w:r>
    </w:p>
    <w:p>
      <w:pPr>
        <w:wordWrap w:val="0"/>
        <w:spacing w:line="440" w:lineRule="exact"/>
        <w:jc w:val="right"/>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币种：人民币</w:t>
      </w:r>
    </w:p>
    <w:p>
      <w:pPr>
        <w:wordWrap w:val="0"/>
        <w:spacing w:line="440" w:lineRule="exact"/>
        <w:jc w:val="center"/>
        <w:rPr>
          <w:rFonts w:cs="宋体" w:asciiTheme="minorEastAsia" w:hAnsiTheme="minorEastAsia" w:eastAsiaTheme="minorEastAsia"/>
          <w:color w:val="000000" w:themeColor="text1"/>
          <w:sz w:val="28"/>
          <w:szCs w:val="28"/>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676"/>
        <w:gridCol w:w="951"/>
        <w:gridCol w:w="869"/>
        <w:gridCol w:w="869"/>
        <w:gridCol w:w="869"/>
        <w:gridCol w:w="999"/>
        <w:gridCol w:w="94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估价对象全称</w:t>
            </w:r>
          </w:p>
        </w:tc>
        <w:tc>
          <w:tcPr>
            <w:tcW w:w="67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实际用途</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楼层/总楼层</w:t>
            </w:r>
          </w:p>
        </w:tc>
        <w:tc>
          <w:tcPr>
            <w:tcW w:w="86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cs="宋体" w:asciiTheme="minorEastAsia" w:hAnsiTheme="minorEastAsia"/>
                <w:szCs w:val="21"/>
              </w:rPr>
            </w:pPr>
            <w:r>
              <w:rPr>
                <w:rFonts w:hint="eastAsia" w:asciiTheme="minorEastAsia" w:hAnsiTheme="minorEastAsia" w:eastAsiaTheme="minorEastAsia"/>
                <w:szCs w:val="21"/>
              </w:rPr>
              <w:t>不动产权证号</w:t>
            </w:r>
          </w:p>
        </w:tc>
        <w:tc>
          <w:tcPr>
            <w:tcW w:w="86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cs="宋体" w:asciiTheme="minorEastAsia" w:hAnsiTheme="minorEastAsia"/>
                <w:szCs w:val="21"/>
              </w:rPr>
            </w:pPr>
            <w:r>
              <w:rPr>
                <w:rFonts w:hint="eastAsia" w:asciiTheme="minorEastAsia" w:hAnsiTheme="minorEastAsia" w:eastAsiaTheme="minorEastAsia"/>
                <w:szCs w:val="21"/>
              </w:rPr>
              <w:t>不动产单元号</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建筑面积(㎡)</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共用宗地面积(㎡)</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评估单价(元/㎡)</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评估总值(</w:t>
            </w:r>
            <w:r>
              <w:rPr>
                <w:rFonts w:hint="eastAsia" w:asciiTheme="minorEastAsia" w:hAnsiTheme="minorEastAsia" w:eastAsiaTheme="minorEastAsia"/>
                <w:szCs w:val="21"/>
              </w:rPr>
              <w:t>万元</w:t>
            </w:r>
            <w:r>
              <w:rPr>
                <w:rFonts w:hint="eastAsia"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94"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安庆迎江区人民路南侧谐水湾二期3幢2单元1608室</w:t>
            </w:r>
          </w:p>
        </w:tc>
        <w:tc>
          <w:tcPr>
            <w:tcW w:w="676"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住宅</w:t>
            </w:r>
          </w:p>
        </w:tc>
        <w:tc>
          <w:tcPr>
            <w:tcW w:w="951"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16层/18层</w:t>
            </w:r>
          </w:p>
        </w:tc>
        <w:tc>
          <w:tcPr>
            <w:tcW w:w="869"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[宜房字第50141897/50141898号]</w:t>
            </w:r>
          </w:p>
        </w:tc>
        <w:tc>
          <w:tcPr>
            <w:tcW w:w="869"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[340802021008GB00031F00031896]</w:t>
            </w:r>
          </w:p>
        </w:tc>
        <w:tc>
          <w:tcPr>
            <w:tcW w:w="869"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67.92</w:t>
            </w:r>
          </w:p>
        </w:tc>
        <w:tc>
          <w:tcPr>
            <w:tcW w:w="999"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0</w:t>
            </w:r>
          </w:p>
        </w:tc>
        <w:tc>
          <w:tcPr>
            <w:tcW w:w="940"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10469</w:t>
            </w:r>
          </w:p>
        </w:tc>
        <w:tc>
          <w:tcPr>
            <w:tcW w:w="1020"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71.11</w:t>
            </w:r>
          </w:p>
        </w:tc>
      </w:tr>
    </w:tbl>
    <w:p>
      <w:pPr>
        <w:wordWrap w:val="0"/>
        <w:spacing w:line="560" w:lineRule="exact"/>
        <w:ind w:firstLine="420"/>
        <w:rPr>
          <w:rFonts w:hint="eastAsia" w:asciiTheme="minorEastAsia" w:hAnsiTheme="minorEastAsia" w:eastAsiaTheme="minorEastAsia" w:cstheme="minorEastAsia"/>
          <w:sz w:val="28"/>
          <w:szCs w:val="28"/>
          <w:shd w:val="clear" w:color="auto" w:fill="FFFFFF" w:themeFill="background1"/>
        </w:rPr>
      </w:pPr>
      <w:r>
        <w:rPr>
          <w:rFonts w:hint="eastAsia" w:asciiTheme="minorEastAsia" w:hAnsiTheme="minorEastAsia" w:eastAsiaTheme="minorEastAsia" w:cstheme="minorEastAsia"/>
          <w:sz w:val="28"/>
          <w:szCs w:val="28"/>
          <w:shd w:val="clear" w:color="auto" w:fill="FFFFFF" w:themeFill="background1"/>
        </w:rPr>
        <w:t>2、房产装修价值确定</w:t>
      </w:r>
    </w:p>
    <w:p>
      <w:pPr>
        <w:ind w:firstLine="560" w:firstLineChars="200"/>
        <w:rPr>
          <w:rFonts w:hint="eastAsia" w:ascii="仿宋_GB2312" w:hAnsi="宋体" w:eastAsia="仿宋_GB2312"/>
          <w:sz w:val="28"/>
          <w:szCs w:val="28"/>
        </w:rPr>
      </w:pPr>
    </w:p>
    <w:tbl>
      <w:tblPr>
        <w:tblStyle w:val="19"/>
        <w:tblW w:w="10226"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170"/>
        <w:gridCol w:w="1309"/>
        <w:gridCol w:w="1211"/>
        <w:gridCol w:w="1155"/>
        <w:gridCol w:w="735"/>
        <w:gridCol w:w="147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81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估价对象</w:t>
            </w:r>
          </w:p>
        </w:tc>
        <w:tc>
          <w:tcPr>
            <w:tcW w:w="1170"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使用状况</w:t>
            </w:r>
          </w:p>
        </w:tc>
        <w:tc>
          <w:tcPr>
            <w:tcW w:w="1309"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建筑面积（m2）</w:t>
            </w:r>
          </w:p>
        </w:tc>
        <w:tc>
          <w:tcPr>
            <w:tcW w:w="121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建成年代</w:t>
            </w:r>
          </w:p>
        </w:tc>
        <w:tc>
          <w:tcPr>
            <w:tcW w:w="1155"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重置成本</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（元/m2）</w:t>
            </w:r>
          </w:p>
        </w:tc>
        <w:tc>
          <w:tcPr>
            <w:tcW w:w="735"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折旧率</w:t>
            </w:r>
          </w:p>
        </w:tc>
        <w:tc>
          <w:tcPr>
            <w:tcW w:w="1474"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重置成新成本（元/m2）</w:t>
            </w:r>
          </w:p>
        </w:tc>
        <w:tc>
          <w:tcPr>
            <w:tcW w:w="136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装修总价</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asciiTheme="minorEastAsia" w:hAnsiTheme="minorEastAsia" w:eastAsiaTheme="minorEastAsia"/>
                <w:color w:val="000000"/>
                <w:szCs w:val="21"/>
              </w:rPr>
              <w:t>安庆迎江区人民路南侧谐水湾二期3幢2单元1608室</w:t>
            </w:r>
          </w:p>
        </w:tc>
        <w:tc>
          <w:tcPr>
            <w:tcW w:w="117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出租</w:t>
            </w:r>
          </w:p>
        </w:tc>
        <w:tc>
          <w:tcPr>
            <w:tcW w:w="1309" w:type="dxa"/>
            <w:vAlign w:val="center"/>
          </w:tcPr>
          <w:p>
            <w:pPr>
              <w:widowControl/>
              <w:jc w:val="center"/>
              <w:rPr>
                <w:rFonts w:hint="eastAsia" w:cs="宋体" w:asciiTheme="minorEastAsia" w:hAnsiTheme="minorEastAsia" w:eastAsiaTheme="minorEastAsia"/>
                <w:sz w:val="18"/>
                <w:szCs w:val="18"/>
                <w:lang w:bidi="ar"/>
              </w:rPr>
            </w:pPr>
            <w:r>
              <w:rPr>
                <w:rFonts w:cs="宋体" w:asciiTheme="minorEastAsia" w:hAnsiTheme="minorEastAsia" w:eastAsiaTheme="minorEastAsia"/>
                <w:sz w:val="18"/>
                <w:szCs w:val="18"/>
                <w:lang w:bidi="ar"/>
              </w:rPr>
              <w:t>67.92</w:t>
            </w:r>
          </w:p>
        </w:tc>
        <w:tc>
          <w:tcPr>
            <w:tcW w:w="12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2012</w:t>
            </w:r>
          </w:p>
        </w:tc>
        <w:tc>
          <w:tcPr>
            <w:tcW w:w="1155"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550</w:t>
            </w:r>
          </w:p>
        </w:tc>
        <w:tc>
          <w:tcPr>
            <w:tcW w:w="735"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75%</w:t>
            </w:r>
          </w:p>
        </w:tc>
        <w:tc>
          <w:tcPr>
            <w:tcW w:w="1474"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412.5</w:t>
            </w:r>
          </w:p>
        </w:tc>
        <w:tc>
          <w:tcPr>
            <w:tcW w:w="136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合计</w:t>
            </w:r>
          </w:p>
        </w:tc>
        <w:tc>
          <w:tcPr>
            <w:tcW w:w="117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w:t>
            </w:r>
          </w:p>
        </w:tc>
        <w:tc>
          <w:tcPr>
            <w:tcW w:w="1309" w:type="dxa"/>
            <w:vAlign w:val="center"/>
          </w:tcPr>
          <w:p>
            <w:pPr>
              <w:widowControl/>
              <w:jc w:val="center"/>
              <w:rPr>
                <w:rFonts w:hint="eastAsia" w:cs="宋体" w:asciiTheme="minorEastAsia" w:hAnsiTheme="minorEastAsia" w:eastAsiaTheme="minorEastAsia"/>
                <w:sz w:val="18"/>
                <w:szCs w:val="18"/>
                <w:lang w:bidi="ar"/>
              </w:rPr>
            </w:pPr>
            <w:r>
              <w:rPr>
                <w:rFonts w:cs="宋体" w:asciiTheme="minorEastAsia" w:hAnsiTheme="minorEastAsia" w:eastAsiaTheme="minorEastAsia"/>
                <w:sz w:val="18"/>
                <w:szCs w:val="18"/>
                <w:lang w:bidi="ar"/>
              </w:rPr>
              <w:t>67.92</w:t>
            </w:r>
          </w:p>
        </w:tc>
        <w:tc>
          <w:tcPr>
            <w:tcW w:w="12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w:t>
            </w:r>
          </w:p>
        </w:tc>
        <w:tc>
          <w:tcPr>
            <w:tcW w:w="1155" w:type="dxa"/>
            <w:vAlign w:val="center"/>
          </w:tcPr>
          <w:p>
            <w:pPr>
              <w:widowControl/>
              <w:jc w:val="center"/>
              <w:rPr>
                <w:rFonts w:hint="eastAsia" w:cs="宋体" w:asciiTheme="minorEastAsia" w:hAnsiTheme="minorEastAsia" w:eastAsiaTheme="minorEastAsia"/>
                <w:sz w:val="18"/>
                <w:szCs w:val="18"/>
                <w:lang w:bidi="ar"/>
              </w:rPr>
            </w:pPr>
          </w:p>
        </w:tc>
        <w:tc>
          <w:tcPr>
            <w:tcW w:w="735" w:type="dxa"/>
            <w:vAlign w:val="center"/>
          </w:tcPr>
          <w:p>
            <w:pPr>
              <w:widowControl/>
              <w:jc w:val="center"/>
              <w:rPr>
                <w:rFonts w:hint="eastAsia" w:cs="宋体" w:asciiTheme="minorEastAsia" w:hAnsiTheme="minorEastAsia" w:eastAsiaTheme="minorEastAsia"/>
                <w:sz w:val="18"/>
                <w:szCs w:val="18"/>
                <w:lang w:bidi="ar"/>
              </w:rPr>
            </w:pPr>
          </w:p>
        </w:tc>
        <w:tc>
          <w:tcPr>
            <w:tcW w:w="1474" w:type="dxa"/>
            <w:vAlign w:val="center"/>
          </w:tcPr>
          <w:p>
            <w:pPr>
              <w:widowControl/>
              <w:jc w:val="center"/>
              <w:rPr>
                <w:rFonts w:hint="eastAsia" w:cs="宋体" w:asciiTheme="minorEastAsia" w:hAnsiTheme="minorEastAsia" w:eastAsiaTheme="minorEastAsia"/>
                <w:sz w:val="18"/>
                <w:szCs w:val="18"/>
                <w:lang w:bidi="ar"/>
              </w:rPr>
            </w:pPr>
          </w:p>
        </w:tc>
        <w:tc>
          <w:tcPr>
            <w:tcW w:w="136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2.8</w:t>
            </w:r>
          </w:p>
        </w:tc>
      </w:tr>
    </w:tbl>
    <w:p>
      <w:pPr>
        <w:wordWrap w:val="0"/>
        <w:spacing w:line="560" w:lineRule="exact"/>
        <w:ind w:firstLine="420"/>
        <w:rPr>
          <w:rFonts w:hint="eastAsia" w:asciiTheme="minorEastAsia" w:hAnsiTheme="minorEastAsia" w:eastAsiaTheme="minorEastAsia" w:cstheme="minorEastAsia"/>
          <w:sz w:val="28"/>
          <w:szCs w:val="28"/>
          <w:shd w:val="clear" w:color="auto" w:fill="FFFFFF" w:themeFill="background1"/>
        </w:rPr>
      </w:pPr>
    </w:p>
    <w:p>
      <w:pPr>
        <w:wordWrap w:val="0"/>
        <w:spacing w:line="560" w:lineRule="exact"/>
        <w:ind w:firstLine="420"/>
        <w:rPr>
          <w:rFonts w:hint="eastAsia" w:asciiTheme="minorEastAsia" w:hAnsiTheme="minorEastAsia" w:eastAsiaTheme="minorEastAsia" w:cstheme="minorEastAsia"/>
          <w:sz w:val="28"/>
          <w:szCs w:val="28"/>
          <w:shd w:val="clear" w:color="auto" w:fill="FFFFFF" w:themeFill="background1"/>
        </w:rPr>
      </w:pPr>
      <w:r>
        <w:rPr>
          <w:rFonts w:hint="eastAsia" w:asciiTheme="minorEastAsia" w:hAnsiTheme="minorEastAsia" w:eastAsiaTheme="minorEastAsia" w:cstheme="minorEastAsia"/>
          <w:sz w:val="28"/>
          <w:szCs w:val="28"/>
          <w:shd w:val="clear" w:color="auto" w:fill="FFFFFF" w:themeFill="background1"/>
        </w:rPr>
        <w:t>3、设备、家具价值确定</w:t>
      </w:r>
    </w:p>
    <w:tbl>
      <w:tblPr>
        <w:tblStyle w:val="19"/>
        <w:tblW w:w="7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989"/>
        <w:gridCol w:w="1579"/>
        <w:gridCol w:w="85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11"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设备名称</w:t>
            </w:r>
          </w:p>
        </w:tc>
        <w:tc>
          <w:tcPr>
            <w:tcW w:w="1989"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规格</w:t>
            </w:r>
          </w:p>
        </w:tc>
        <w:tc>
          <w:tcPr>
            <w:tcW w:w="1579"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重置成本</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（元/m2）</w:t>
            </w:r>
          </w:p>
        </w:tc>
        <w:tc>
          <w:tcPr>
            <w:tcW w:w="85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折旧率</w:t>
            </w:r>
          </w:p>
        </w:tc>
        <w:tc>
          <w:tcPr>
            <w:tcW w:w="1408" w:type="dxa"/>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装修总价</w:t>
            </w:r>
          </w:p>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客厅内柜</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1.9M*0.66 M *0.3 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800</w:t>
            </w:r>
          </w:p>
        </w:tc>
        <w:tc>
          <w:tcPr>
            <w:tcW w:w="850"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阳台柜子</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2.3M*1.25*0.66 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1800</w:t>
            </w:r>
          </w:p>
        </w:tc>
        <w:tc>
          <w:tcPr>
            <w:tcW w:w="850" w:type="dxa"/>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阳台柜子</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1.1M*1.0*0.67M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1500</w:t>
            </w:r>
          </w:p>
        </w:tc>
        <w:tc>
          <w:tcPr>
            <w:tcW w:w="850" w:type="dxa"/>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厨柜上柜</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2.05M</w:t>
            </w:r>
          </w:p>
        </w:tc>
        <w:tc>
          <w:tcPr>
            <w:tcW w:w="1579" w:type="dxa"/>
            <w:vMerge w:val="restart"/>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7500</w:t>
            </w:r>
          </w:p>
        </w:tc>
        <w:tc>
          <w:tcPr>
            <w:tcW w:w="850" w:type="dxa"/>
            <w:vMerge w:val="restart"/>
            <w:vAlign w:val="center"/>
          </w:tcPr>
          <w:p>
            <w:pPr>
              <w:jc w:val="center"/>
            </w:pPr>
            <w:r>
              <w:rPr>
                <w:rFonts w:hint="eastAsia" w:cs="宋体" w:asciiTheme="minorEastAsia" w:hAnsiTheme="minorEastAsia" w:eastAsiaTheme="minorEastAsia"/>
                <w:sz w:val="18"/>
                <w:szCs w:val="18"/>
                <w:lang w:bidi="ar"/>
              </w:rPr>
              <w:t>75%</w:t>
            </w:r>
          </w:p>
        </w:tc>
        <w:tc>
          <w:tcPr>
            <w:tcW w:w="1408" w:type="dxa"/>
            <w:vMerge w:val="restart"/>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厨柜下柜</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3.1M</w:t>
            </w:r>
          </w:p>
        </w:tc>
        <w:tc>
          <w:tcPr>
            <w:tcW w:w="1579" w:type="dxa"/>
            <w:vMerge w:val="continue"/>
            <w:vAlign w:val="center"/>
          </w:tcPr>
          <w:p>
            <w:pPr>
              <w:widowControl/>
              <w:jc w:val="center"/>
              <w:rPr>
                <w:rFonts w:hint="eastAsia" w:cs="宋体" w:asciiTheme="minorEastAsia" w:hAnsiTheme="minorEastAsia" w:eastAsiaTheme="minorEastAsia"/>
                <w:sz w:val="18"/>
                <w:szCs w:val="18"/>
                <w:lang w:bidi="ar"/>
              </w:rPr>
            </w:pPr>
          </w:p>
        </w:tc>
        <w:tc>
          <w:tcPr>
            <w:tcW w:w="850" w:type="dxa"/>
            <w:vMerge w:val="continue"/>
            <w:vAlign w:val="center"/>
          </w:tcPr>
          <w:p>
            <w:pPr>
              <w:jc w:val="center"/>
            </w:pPr>
          </w:p>
        </w:tc>
        <w:tc>
          <w:tcPr>
            <w:tcW w:w="1408" w:type="dxa"/>
            <w:vMerge w:val="continue"/>
            <w:vAlign w:val="center"/>
          </w:tcPr>
          <w:p>
            <w:pPr>
              <w:widowControl/>
              <w:jc w:val="center"/>
              <w:rPr>
                <w:rFonts w:hint="eastAsia" w:cs="宋体" w:asciiTheme="minorEastAsia" w:hAnsiTheme="minorEastAsia" w:eastAsiaTheme="minorEastAsia"/>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坐便器</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700</w:t>
            </w:r>
          </w:p>
        </w:tc>
        <w:tc>
          <w:tcPr>
            <w:tcW w:w="850" w:type="dxa"/>
            <w:vAlign w:val="center"/>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洗手池</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1个（0.6M）</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600</w:t>
            </w:r>
          </w:p>
        </w:tc>
        <w:tc>
          <w:tcPr>
            <w:tcW w:w="850" w:type="dxa"/>
          </w:tcPr>
          <w:p>
            <w:pPr>
              <w:jc w:val="center"/>
            </w:pPr>
            <w:r>
              <w:rPr>
                <w:rFonts w:hint="eastAsia" w:cs="宋体" w:asciiTheme="minorEastAsia" w:hAnsiTheme="minorEastAsia" w:eastAsiaTheme="minorEastAsia"/>
                <w:sz w:val="18"/>
                <w:szCs w:val="18"/>
                <w:lang w:bidi="ar"/>
              </w:rPr>
              <w:t>75%</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浴霸</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200</w:t>
            </w:r>
          </w:p>
        </w:tc>
        <w:tc>
          <w:tcPr>
            <w:tcW w:w="850" w:type="dxa"/>
          </w:tcPr>
          <w:p>
            <w:pPr>
              <w:jc w:val="center"/>
            </w:pPr>
            <w:r>
              <w:rPr>
                <w:rFonts w:hint="eastAsia" w:cs="宋体" w:asciiTheme="minorEastAsia" w:hAnsiTheme="minorEastAsia" w:eastAsiaTheme="minorEastAsia"/>
                <w:sz w:val="18"/>
                <w:szCs w:val="18"/>
                <w:lang w:bidi="ar"/>
              </w:rPr>
              <w:t>50%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毛巾架</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200</w:t>
            </w:r>
          </w:p>
        </w:tc>
        <w:tc>
          <w:tcPr>
            <w:tcW w:w="850" w:type="dxa"/>
          </w:tcPr>
          <w:p>
            <w:pPr>
              <w:jc w:val="center"/>
            </w:pPr>
            <w:r>
              <w:rPr>
                <w:rFonts w:hint="eastAsia" w:cs="宋体" w:asciiTheme="minorEastAsia" w:hAnsiTheme="minorEastAsia" w:eastAsiaTheme="minorEastAsia"/>
                <w:sz w:val="18"/>
                <w:szCs w:val="18"/>
                <w:lang w:bidi="ar"/>
              </w:rPr>
              <w:t>60%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淋浴喷头</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80</w:t>
            </w:r>
          </w:p>
        </w:tc>
        <w:tc>
          <w:tcPr>
            <w:tcW w:w="850" w:type="dxa"/>
          </w:tcPr>
          <w:p>
            <w:pPr>
              <w:jc w:val="center"/>
            </w:pPr>
            <w:r>
              <w:rPr>
                <w:rFonts w:hint="eastAsia" w:cs="宋体" w:asciiTheme="minorEastAsia" w:hAnsiTheme="minorEastAsia" w:eastAsiaTheme="minorEastAsia"/>
                <w:sz w:val="18"/>
                <w:szCs w:val="18"/>
                <w:lang w:bidi="ar"/>
              </w:rPr>
              <w:t>60%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淋浴喷头</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1个</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400</w:t>
            </w:r>
          </w:p>
        </w:tc>
        <w:tc>
          <w:tcPr>
            <w:tcW w:w="850" w:type="dxa"/>
          </w:tcPr>
          <w:p>
            <w:pPr>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60%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集成灶台</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法瑞</w:t>
            </w:r>
          </w:p>
        </w:tc>
        <w:tc>
          <w:tcPr>
            <w:tcW w:w="157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4000</w:t>
            </w:r>
          </w:p>
        </w:tc>
        <w:tc>
          <w:tcPr>
            <w:tcW w:w="850" w:type="dxa"/>
          </w:tcPr>
          <w:p>
            <w:pPr>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70%</w:t>
            </w: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合计</w:t>
            </w:r>
          </w:p>
        </w:tc>
        <w:tc>
          <w:tcPr>
            <w:tcW w:w="1989"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w:t>
            </w:r>
          </w:p>
        </w:tc>
        <w:tc>
          <w:tcPr>
            <w:tcW w:w="1579" w:type="dxa"/>
            <w:vAlign w:val="center"/>
          </w:tcPr>
          <w:p>
            <w:pPr>
              <w:widowControl/>
              <w:jc w:val="center"/>
              <w:rPr>
                <w:rFonts w:hint="eastAsia" w:cs="宋体" w:asciiTheme="minorEastAsia" w:hAnsiTheme="minorEastAsia" w:eastAsiaTheme="minorEastAsia"/>
                <w:sz w:val="18"/>
                <w:szCs w:val="18"/>
                <w:lang w:bidi="ar"/>
              </w:rPr>
            </w:pPr>
          </w:p>
        </w:tc>
        <w:tc>
          <w:tcPr>
            <w:tcW w:w="850" w:type="dxa"/>
            <w:vAlign w:val="center"/>
          </w:tcPr>
          <w:p>
            <w:pPr>
              <w:widowControl/>
              <w:jc w:val="center"/>
              <w:rPr>
                <w:rFonts w:hint="eastAsia" w:cs="宋体" w:asciiTheme="minorEastAsia" w:hAnsiTheme="minorEastAsia" w:eastAsiaTheme="minorEastAsia"/>
                <w:sz w:val="18"/>
                <w:szCs w:val="18"/>
                <w:lang w:bidi="ar"/>
              </w:rPr>
            </w:pPr>
          </w:p>
        </w:tc>
        <w:tc>
          <w:tcPr>
            <w:tcW w:w="1408" w:type="dxa"/>
            <w:vAlign w:val="center"/>
          </w:tcPr>
          <w:p>
            <w:pPr>
              <w:widowControl/>
              <w:jc w:val="center"/>
              <w:rPr>
                <w:rFonts w:hint="eastAsia" w:cs="宋体" w:asciiTheme="minorEastAsia" w:hAnsiTheme="minorEastAsia" w:eastAsiaTheme="minorEastAsia"/>
                <w:sz w:val="18"/>
                <w:szCs w:val="18"/>
                <w:lang w:bidi="ar"/>
              </w:rPr>
            </w:pPr>
            <w:r>
              <w:rPr>
                <w:rFonts w:hint="eastAsia" w:cs="宋体" w:asciiTheme="minorEastAsia" w:hAnsiTheme="minorEastAsia" w:eastAsiaTheme="minorEastAsia"/>
                <w:sz w:val="18"/>
                <w:szCs w:val="18"/>
                <w:lang w:bidi="ar"/>
              </w:rPr>
              <w:t>1.76</w:t>
            </w:r>
          </w:p>
        </w:tc>
      </w:tr>
    </w:tbl>
    <w:p>
      <w:pPr>
        <w:wordWrap w:val="0"/>
        <w:spacing w:line="560" w:lineRule="exact"/>
        <w:jc w:val="center"/>
        <w:rPr>
          <w:rFonts w:asciiTheme="minorEastAsia" w:hAnsiTheme="minorEastAsia" w:eastAsiaTheme="minorEastAsia"/>
          <w:b/>
          <w:color w:val="000000" w:themeColor="text1"/>
          <w:sz w:val="28"/>
          <w:szCs w:val="28"/>
          <w14:textFill>
            <w14:solidFill>
              <w14:schemeClr w14:val="tx1"/>
            </w14:solidFill>
          </w14:textFill>
        </w:rPr>
      </w:pPr>
    </w:p>
    <w:p>
      <w:pPr>
        <w:wordWrap w:val="0"/>
        <w:spacing w:line="560" w:lineRule="exact"/>
        <w:jc w:val="center"/>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估价结果汇总</w:t>
      </w:r>
      <w:r>
        <w:rPr>
          <w:rFonts w:asciiTheme="minorEastAsia" w:hAnsiTheme="minorEastAsia" w:eastAsiaTheme="minorEastAsia"/>
          <w:b/>
          <w:color w:val="000000" w:themeColor="text1"/>
          <w:sz w:val="28"/>
          <w:szCs w:val="28"/>
          <w14:textFill>
            <w14:solidFill>
              <w14:schemeClr w14:val="tx1"/>
            </w14:solidFill>
          </w14:textFill>
        </w:rPr>
        <w:t>表</w:t>
      </w:r>
    </w:p>
    <w:p>
      <w:pPr>
        <w:wordWrap w:val="0"/>
        <w:spacing w:line="440" w:lineRule="exact"/>
        <w:jc w:val="right"/>
        <w:rPr>
          <w:rFonts w:asciiTheme="minorEastAsia" w:hAnsiTheme="minorEastAsia" w:eastAsiaTheme="minorEastAsia"/>
          <w:sz w:val="28"/>
          <w:szCs w:val="28"/>
        </w:rPr>
      </w:pPr>
      <w:r>
        <w:rPr>
          <w:rFonts w:hint="eastAsia" w:cs="宋体" w:asciiTheme="minorEastAsia" w:hAnsiTheme="minorEastAsia" w:eastAsiaTheme="minorEastAsia"/>
          <w:b/>
          <w:color w:val="000000" w:themeColor="text1"/>
          <w:szCs w:val="21"/>
          <w14:textFill>
            <w14:solidFill>
              <w14:schemeClr w14:val="tx1"/>
            </w14:solidFill>
          </w14:textFill>
        </w:rPr>
        <w:t>币种：人民币</w:t>
      </w:r>
    </w:p>
    <w:tbl>
      <w:tblPr>
        <w:tblStyle w:val="19"/>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877"/>
        <w:gridCol w:w="1559"/>
        <w:gridCol w:w="992"/>
        <w:gridCol w:w="993"/>
        <w:gridCol w:w="992"/>
        <w:gridCol w:w="136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估价对象全称</w:t>
            </w:r>
          </w:p>
        </w:tc>
        <w:tc>
          <w:tcPr>
            <w:tcW w:w="877" w:type="dxa"/>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实际用途</w:t>
            </w:r>
          </w:p>
        </w:tc>
        <w:tc>
          <w:tcPr>
            <w:tcW w:w="1559" w:type="dxa"/>
            <w:vAlign w:val="center"/>
          </w:tcPr>
          <w:p>
            <w:pPr>
              <w:widowControl/>
              <w:jc w:val="center"/>
              <w:rPr>
                <w:rFonts w:cs="宋体" w:asciiTheme="minorEastAsia" w:hAnsiTheme="minorEastAsia"/>
                <w:color w:val="000000"/>
                <w:szCs w:val="21"/>
              </w:rPr>
            </w:pPr>
            <w:r>
              <w:rPr>
                <w:rFonts w:hint="eastAsia" w:asciiTheme="minorEastAsia" w:hAnsiTheme="minorEastAsia" w:eastAsiaTheme="minorEastAsia"/>
                <w:szCs w:val="21"/>
              </w:rPr>
              <w:t>不动产权证号</w:t>
            </w:r>
          </w:p>
        </w:tc>
        <w:tc>
          <w:tcPr>
            <w:tcW w:w="992"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建筑面积(㎡)</w:t>
            </w:r>
          </w:p>
        </w:tc>
        <w:tc>
          <w:tcPr>
            <w:tcW w:w="993"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评估值(</w:t>
            </w:r>
            <w:r>
              <w:rPr>
                <w:rFonts w:hint="eastAsia" w:cs="宋体" w:asciiTheme="minorEastAsia" w:hAnsiTheme="minorEastAsia"/>
                <w:szCs w:val="21"/>
              </w:rPr>
              <w:t>万元</w:t>
            </w:r>
            <w:r>
              <w:rPr>
                <w:rFonts w:hint="eastAsia" w:cs="宋体" w:asciiTheme="minorEastAsia" w:hAnsiTheme="minorEastAsia"/>
                <w:color w:val="000000"/>
                <w:szCs w:val="21"/>
              </w:rPr>
              <w:t>)</w:t>
            </w:r>
          </w:p>
        </w:tc>
        <w:tc>
          <w:tcPr>
            <w:tcW w:w="992"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装潢价值（万元</w:t>
            </w:r>
          </w:p>
        </w:tc>
        <w:tc>
          <w:tcPr>
            <w:tcW w:w="1364" w:type="dxa"/>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设备及家具（万元）</w:t>
            </w:r>
          </w:p>
        </w:tc>
        <w:tc>
          <w:tcPr>
            <w:tcW w:w="1364" w:type="dxa"/>
            <w:shd w:val="clear" w:color="auto" w:fill="auto"/>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安庆迎江区人民路南侧谐水湾二期3幢2单元1608室</w:t>
            </w:r>
          </w:p>
        </w:tc>
        <w:tc>
          <w:tcPr>
            <w:tcW w:w="877" w:type="dxa"/>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住宅</w:t>
            </w:r>
          </w:p>
        </w:tc>
        <w:tc>
          <w:tcPr>
            <w:tcW w:w="1559"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[宜房字第50141897/50141898号]</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67.92</w:t>
            </w:r>
          </w:p>
        </w:tc>
        <w:tc>
          <w:tcPr>
            <w:tcW w:w="993"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71.11</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2.8</w:t>
            </w:r>
          </w:p>
        </w:tc>
        <w:tc>
          <w:tcPr>
            <w:tcW w:w="1364" w:type="dxa"/>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1.76</w:t>
            </w:r>
          </w:p>
        </w:tc>
        <w:tc>
          <w:tcPr>
            <w:tcW w:w="1364"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合计</w:t>
            </w:r>
          </w:p>
        </w:tc>
        <w:tc>
          <w:tcPr>
            <w:tcW w:w="877" w:type="dxa"/>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w:t>
            </w:r>
          </w:p>
        </w:tc>
        <w:tc>
          <w:tcPr>
            <w:tcW w:w="1559"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w:t>
            </w:r>
          </w:p>
        </w:tc>
        <w:tc>
          <w:tcPr>
            <w:tcW w:w="993" w:type="dxa"/>
            <w:shd w:val="clear" w:color="auto" w:fill="auto"/>
            <w:vAlign w:val="center"/>
          </w:tcPr>
          <w:p>
            <w:pPr>
              <w:widowControl/>
              <w:wordWrap w:val="0"/>
              <w:jc w:val="center"/>
              <w:rPr>
                <w:rFonts w:cs="宋体" w:asciiTheme="minorEastAsia" w:hAnsiTheme="minorEastAsia"/>
                <w:color w:val="000000"/>
                <w:szCs w:val="21"/>
              </w:rPr>
            </w:pPr>
            <w:r>
              <w:rPr>
                <w:rFonts w:hint="eastAsia" w:asciiTheme="minorEastAsia" w:hAnsiTheme="minorEastAsia" w:eastAsiaTheme="minorEastAsia"/>
                <w:color w:val="000000"/>
                <w:szCs w:val="21"/>
              </w:rPr>
              <w:t>71.11</w:t>
            </w:r>
          </w:p>
        </w:tc>
        <w:tc>
          <w:tcPr>
            <w:tcW w:w="992"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2.8</w:t>
            </w:r>
          </w:p>
        </w:tc>
        <w:tc>
          <w:tcPr>
            <w:tcW w:w="1364" w:type="dxa"/>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1.76</w:t>
            </w:r>
          </w:p>
        </w:tc>
        <w:tc>
          <w:tcPr>
            <w:tcW w:w="1364" w:type="dxa"/>
            <w:shd w:val="clear" w:color="auto" w:fill="auto"/>
            <w:vAlign w:val="center"/>
          </w:tcPr>
          <w:p>
            <w:pPr>
              <w:widowControl/>
              <w:wordWrap w:val="0"/>
              <w:jc w:val="center"/>
              <w:rPr>
                <w:rFonts w:cs="宋体" w:asciiTheme="minorEastAsia" w:hAnsiTheme="minorEastAsia"/>
                <w:color w:val="000000"/>
                <w:szCs w:val="21"/>
              </w:rPr>
            </w:pPr>
            <w:r>
              <w:rPr>
                <w:rFonts w:hint="eastAsia" w:cs="宋体" w:asciiTheme="minorEastAsia" w:hAnsiTheme="minorEastAsia"/>
                <w:color w:val="000000"/>
                <w:szCs w:val="21"/>
              </w:rPr>
              <w:t>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190" w:type="dxa"/>
            <w:shd w:val="clear" w:color="auto" w:fill="auto"/>
            <w:vAlign w:val="center"/>
          </w:tcPr>
          <w:p>
            <w:pPr>
              <w:widowControl/>
              <w:wordWrap w:val="0"/>
              <w:jc w:val="center"/>
              <w:rPr>
                <w:rFonts w:hint="eastAsia" w:cs="宋体" w:asciiTheme="minorEastAsia" w:hAnsiTheme="minorEastAsia"/>
                <w:color w:val="000000"/>
                <w:szCs w:val="21"/>
              </w:rPr>
            </w:pPr>
            <w:r>
              <w:rPr>
                <w:rFonts w:hint="eastAsia" w:cs="宋体" w:asciiTheme="minorEastAsia" w:hAnsiTheme="minorEastAsia"/>
                <w:color w:val="000000"/>
                <w:szCs w:val="21"/>
              </w:rPr>
              <w:t>合计（大写）</w:t>
            </w:r>
          </w:p>
        </w:tc>
        <w:tc>
          <w:tcPr>
            <w:tcW w:w="8141" w:type="dxa"/>
            <w:gridSpan w:val="7"/>
            <w:vAlign w:val="center"/>
          </w:tcPr>
          <w:p>
            <w:pPr>
              <w:widowControl/>
              <w:wordWrap w:val="0"/>
              <w:jc w:val="center"/>
              <w:rPr>
                <w:rFonts w:hint="eastAsia" w:cs="宋体" w:asciiTheme="minorEastAsia" w:hAnsiTheme="minorEastAsia"/>
                <w:color w:val="000000"/>
                <w:szCs w:val="21"/>
              </w:rPr>
            </w:pPr>
            <w:r>
              <w:rPr>
                <w:rFonts w:hint="eastAsia" w:cs="宋体" w:asciiTheme="minorEastAsia" w:hAnsiTheme="minorEastAsia"/>
                <w:color w:val="000000"/>
                <w:szCs w:val="21"/>
              </w:rPr>
              <w:t>柒拾伍万陆仟柒佰元整</w:t>
            </w:r>
          </w:p>
        </w:tc>
      </w:tr>
    </w:tbl>
    <w:p>
      <w:pPr>
        <w:spacing w:line="440" w:lineRule="exact"/>
        <w:jc w:val="right"/>
        <w:rPr>
          <w:rFonts w:asciiTheme="minorEastAsia" w:hAnsiTheme="minorEastAsia" w:eastAsiaTheme="minorEastAsia"/>
          <w:sz w:val="28"/>
          <w:szCs w:val="28"/>
        </w:rPr>
      </w:pP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39" w:name="_Toc485393196"/>
      <w:bookmarkStart w:id="40" w:name="_Toc2697886"/>
      <w:bookmarkStart w:id="41" w:name="_Toc480967882"/>
      <w:r>
        <w:rPr>
          <w:rFonts w:asciiTheme="minorEastAsia" w:hAnsiTheme="minorEastAsia" w:eastAsiaTheme="minorEastAsia"/>
          <w:color w:val="000000" w:themeColor="text1"/>
          <w:sz w:val="28"/>
          <w:szCs w:val="28"/>
          <w14:textFill>
            <w14:solidFill>
              <w14:schemeClr w14:val="tx1"/>
            </w14:solidFill>
          </w14:textFill>
        </w:rPr>
        <w:t>（十一）注册房地产估价师</w:t>
      </w:r>
      <w:bookmarkEnd w:id="39"/>
      <w:bookmarkEnd w:id="40"/>
      <w:bookmarkEnd w:id="41"/>
    </w:p>
    <w:tbl>
      <w:tblPr>
        <w:tblStyle w:val="1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1" w:type="dxa"/>
            <w:vAlign w:val="center"/>
          </w:tcPr>
          <w:p>
            <w:pPr>
              <w:wordWrap w:val="0"/>
              <w:snapToGrid w:val="0"/>
              <w:spacing w:line="300" w:lineRule="auto"/>
              <w:jc w:val="center"/>
              <w:rPr>
                <w:rFonts w:asciiTheme="minorEastAsia" w:hAnsiTheme="minorEastAsia" w:eastAsiaTheme="minorEastAsia"/>
                <w:b/>
                <w:bCs/>
                <w:color w:val="000000" w:themeColor="text1"/>
                <w:szCs w:val="21"/>
                <w14:textFill>
                  <w14:solidFill>
                    <w14:schemeClr w14:val="tx1"/>
                  </w14:solidFill>
                </w14:textFill>
              </w:rPr>
            </w:pPr>
            <w:bookmarkStart w:id="42" w:name="_Toc485393197"/>
            <w:bookmarkStart w:id="43" w:name="_Toc480967883"/>
            <w:r>
              <w:rPr>
                <w:rFonts w:hint="eastAsia" w:asciiTheme="minorEastAsia" w:hAnsiTheme="minorEastAsia" w:eastAsiaTheme="minorEastAsia"/>
                <w:b/>
                <w:bCs/>
                <w:color w:val="000000" w:themeColor="text1"/>
                <w:szCs w:val="21"/>
                <w14:textFill>
                  <w14:solidFill>
                    <w14:schemeClr w14:val="tx1"/>
                  </w14:solidFill>
                </w14:textFill>
              </w:rPr>
              <w:t xml:space="preserve">姓 </w:t>
            </w:r>
            <w:r>
              <w:rPr>
                <w:rFonts w:asciiTheme="minorEastAsia" w:hAnsiTheme="minorEastAsia" w:eastAsiaTheme="minorEastAsia"/>
                <w:b/>
                <w:bCs/>
                <w:color w:val="000000" w:themeColor="text1"/>
                <w:szCs w:val="21"/>
                <w14:textFill>
                  <w14:solidFill>
                    <w14:schemeClr w14:val="tx1"/>
                  </w14:solidFill>
                </w14:textFill>
              </w:rPr>
              <w:t xml:space="preserve"> </w:t>
            </w:r>
            <w:r>
              <w:rPr>
                <w:rFonts w:hint="eastAsia" w:asciiTheme="minorEastAsia" w:hAnsiTheme="minorEastAsia" w:eastAsiaTheme="minorEastAsia"/>
                <w:b/>
                <w:bCs/>
                <w:color w:val="000000" w:themeColor="text1"/>
                <w:szCs w:val="21"/>
                <w14:textFill>
                  <w14:solidFill>
                    <w14:schemeClr w14:val="tx1"/>
                  </w14:solidFill>
                </w14:textFill>
              </w:rPr>
              <w:t xml:space="preserve"> 名</w:t>
            </w:r>
          </w:p>
        </w:tc>
        <w:tc>
          <w:tcPr>
            <w:tcW w:w="2322" w:type="dxa"/>
            <w:vAlign w:val="center"/>
          </w:tcPr>
          <w:p>
            <w:pPr>
              <w:wordWrap w:val="0"/>
              <w:snapToGrid w:val="0"/>
              <w:spacing w:line="30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注册号</w:t>
            </w:r>
          </w:p>
        </w:tc>
        <w:tc>
          <w:tcPr>
            <w:tcW w:w="2322" w:type="dxa"/>
            <w:vAlign w:val="center"/>
          </w:tcPr>
          <w:p>
            <w:pPr>
              <w:wordWrap w:val="0"/>
              <w:snapToGrid w:val="0"/>
              <w:spacing w:line="30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签   名</w:t>
            </w:r>
          </w:p>
        </w:tc>
        <w:tc>
          <w:tcPr>
            <w:tcW w:w="2322" w:type="dxa"/>
            <w:vAlign w:val="center"/>
          </w:tcPr>
          <w:p>
            <w:pPr>
              <w:wordWrap w:val="0"/>
              <w:snapToGrid w:val="0"/>
              <w:spacing w:line="30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2321" w:type="dxa"/>
            <w:vAlign w:val="center"/>
          </w:tcPr>
          <w:p>
            <w:pPr>
              <w:wordWrap w:val="0"/>
              <w:snapToGrid w:val="0"/>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hint="eastAsia" w:cs="仿宋_GB2312" w:asciiTheme="minorEastAsia" w:hAnsiTheme="minorEastAsia" w:eastAsiaTheme="minorEastAsia"/>
                <w:bCs/>
                <w:color w:val="000000" w:themeColor="text1"/>
                <w:szCs w:val="21"/>
                <w14:textFill>
                  <w14:solidFill>
                    <w14:schemeClr w14:val="tx1"/>
                  </w14:solidFill>
                </w14:textFill>
              </w:rPr>
              <w:t>胡凌云</w:t>
            </w:r>
          </w:p>
        </w:tc>
        <w:tc>
          <w:tcPr>
            <w:tcW w:w="2322" w:type="dxa"/>
            <w:vAlign w:val="center"/>
          </w:tcPr>
          <w:p>
            <w:pPr>
              <w:wordWrap w:val="0"/>
              <w:snapToGrid w:val="0"/>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3420110056</w:t>
            </w:r>
          </w:p>
        </w:tc>
        <w:tc>
          <w:tcPr>
            <w:tcW w:w="2322" w:type="dxa"/>
            <w:vAlign w:val="center"/>
          </w:tcPr>
          <w:p>
            <w:pPr>
              <w:wordWrap w:val="0"/>
              <w:snapToGrid w:val="0"/>
              <w:spacing w:line="360" w:lineRule="auto"/>
              <w:jc w:val="center"/>
              <w:rPr>
                <w:rFonts w:asciiTheme="minorEastAsia" w:hAnsiTheme="minorEastAsia" w:eastAsiaTheme="minorEastAsia"/>
                <w:b/>
                <w:bCs/>
                <w:color w:val="000000" w:themeColor="text1"/>
                <w:szCs w:val="21"/>
                <w14:textFill>
                  <w14:solidFill>
                    <w14:schemeClr w14:val="tx1"/>
                  </w14:solidFill>
                </w14:textFill>
              </w:rPr>
            </w:pPr>
          </w:p>
        </w:tc>
        <w:tc>
          <w:tcPr>
            <w:tcW w:w="2322" w:type="dxa"/>
            <w:vAlign w:val="center"/>
          </w:tcPr>
          <w:p>
            <w:pPr>
              <w:wordWrap w:val="0"/>
              <w:snapToGrid w:val="0"/>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Style w:val="27"/>
                <w:rFonts w:hint="eastAsia" w:cs="仿宋_GB2312" w:asciiTheme="minorEastAsia" w:hAnsiTheme="minorEastAsia" w:eastAsiaTheme="minorEastAsia"/>
                <w:color w:val="000000" w:themeColor="text1"/>
                <w14:textFill>
                  <w14:solidFill>
                    <w14:schemeClr w14:val="tx1"/>
                  </w14:solidFill>
                </w14:textFill>
              </w:rPr>
              <w:t>2020年01月19日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2321" w:type="dxa"/>
            <w:vAlign w:val="center"/>
          </w:tcPr>
          <w:p>
            <w:pPr>
              <w:wordWrap w:val="0"/>
              <w:snapToGrid w:val="0"/>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hint="eastAsia" w:cs="仿宋_GB2312" w:asciiTheme="minorEastAsia" w:hAnsiTheme="minorEastAsia" w:eastAsiaTheme="minorEastAsia"/>
                <w:bCs/>
                <w:color w:val="000000" w:themeColor="text1"/>
                <w:szCs w:val="21"/>
                <w14:textFill>
                  <w14:solidFill>
                    <w14:schemeClr w14:val="tx1"/>
                  </w14:solidFill>
                </w14:textFill>
              </w:rPr>
              <w:t>胡浩</w:t>
            </w:r>
          </w:p>
        </w:tc>
        <w:tc>
          <w:tcPr>
            <w:tcW w:w="2322" w:type="dxa"/>
            <w:vAlign w:val="center"/>
          </w:tcPr>
          <w:p>
            <w:pPr>
              <w:wordWrap w:val="0"/>
              <w:snapToGrid w:val="0"/>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hint="eastAsia" w:cs="仿宋_GB2312" w:asciiTheme="minorEastAsia" w:hAnsiTheme="minorEastAsia" w:eastAsiaTheme="minorEastAsia"/>
                <w:color w:val="000000" w:themeColor="text1"/>
                <w:szCs w:val="21"/>
                <w14:textFill>
                  <w14:solidFill>
                    <w14:schemeClr w14:val="tx1"/>
                  </w14:solidFill>
                </w14:textFill>
              </w:rPr>
              <w:t>3420030016</w:t>
            </w:r>
          </w:p>
        </w:tc>
        <w:tc>
          <w:tcPr>
            <w:tcW w:w="2322" w:type="dxa"/>
            <w:vAlign w:val="center"/>
          </w:tcPr>
          <w:p>
            <w:pPr>
              <w:wordWrap w:val="0"/>
              <w:snapToGrid w:val="0"/>
              <w:spacing w:line="360" w:lineRule="auto"/>
              <w:jc w:val="center"/>
              <w:rPr>
                <w:rFonts w:asciiTheme="minorEastAsia" w:hAnsiTheme="minorEastAsia" w:eastAsiaTheme="minorEastAsia"/>
                <w:b/>
                <w:bCs/>
                <w:color w:val="000000" w:themeColor="text1"/>
                <w:szCs w:val="21"/>
                <w14:textFill>
                  <w14:solidFill>
                    <w14:schemeClr w14:val="tx1"/>
                  </w14:solidFill>
                </w14:textFill>
              </w:rPr>
            </w:pPr>
          </w:p>
        </w:tc>
        <w:tc>
          <w:tcPr>
            <w:tcW w:w="2322" w:type="dxa"/>
            <w:vAlign w:val="center"/>
          </w:tcPr>
          <w:p>
            <w:pPr>
              <w:wordWrap w:val="0"/>
              <w:snapToGrid w:val="0"/>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Style w:val="27"/>
                <w:rFonts w:hint="eastAsia" w:cs="仿宋_GB2312" w:asciiTheme="minorEastAsia" w:hAnsiTheme="minorEastAsia" w:eastAsiaTheme="minorEastAsia"/>
                <w:color w:val="000000" w:themeColor="text1"/>
                <w14:textFill>
                  <w14:solidFill>
                    <w14:schemeClr w14:val="tx1"/>
                  </w14:solidFill>
                </w14:textFill>
              </w:rPr>
              <w:t>2020年01月19日</w:t>
            </w:r>
          </w:p>
        </w:tc>
      </w:tr>
    </w:tbl>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44" w:name="_Toc2697887"/>
      <w:r>
        <w:rPr>
          <w:rFonts w:asciiTheme="minorEastAsia" w:hAnsiTheme="minorEastAsia" w:eastAsiaTheme="minorEastAsia"/>
          <w:color w:val="000000" w:themeColor="text1"/>
          <w:sz w:val="28"/>
          <w:szCs w:val="28"/>
          <w14:textFill>
            <w14:solidFill>
              <w14:schemeClr w14:val="tx1"/>
            </w14:solidFill>
          </w14:textFill>
        </w:rPr>
        <w:t>（十二）实地查勘期</w:t>
      </w:r>
      <w:bookmarkEnd w:id="42"/>
      <w:bookmarkEnd w:id="43"/>
      <w:bookmarkEnd w:id="44"/>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eastAsiaTheme="minorEastAsia"/>
          <w:color w:val="000000" w:themeColor="text1"/>
          <w:sz w:val="28"/>
          <w:szCs w:val="28"/>
          <w14:textFill>
            <w14:solidFill>
              <w14:schemeClr w14:val="tx1"/>
            </w14:solidFill>
          </w14:textFill>
        </w:rPr>
        <w:t>2019年12月27日</w:t>
      </w:r>
    </w:p>
    <w:p>
      <w:pPr>
        <w:pStyle w:val="3"/>
        <w:wordWrap w:val="0"/>
        <w:spacing w:before="0" w:after="0" w:line="560" w:lineRule="exact"/>
        <w:rPr>
          <w:rFonts w:asciiTheme="minorEastAsia" w:hAnsiTheme="minorEastAsia" w:eastAsiaTheme="minorEastAsia"/>
          <w:color w:val="000000" w:themeColor="text1"/>
          <w:sz w:val="28"/>
          <w:szCs w:val="28"/>
          <w14:textFill>
            <w14:solidFill>
              <w14:schemeClr w14:val="tx1"/>
            </w14:solidFill>
          </w14:textFill>
        </w:rPr>
      </w:pPr>
      <w:bookmarkStart w:id="45" w:name="_Toc480967884"/>
      <w:bookmarkStart w:id="46" w:name="_Toc485393198"/>
      <w:bookmarkStart w:id="47" w:name="_Toc2697888"/>
      <w:r>
        <w:rPr>
          <w:rFonts w:asciiTheme="minorEastAsia" w:hAnsiTheme="minorEastAsia" w:eastAsiaTheme="minorEastAsia"/>
          <w:color w:val="000000" w:themeColor="text1"/>
          <w:sz w:val="28"/>
          <w:szCs w:val="28"/>
          <w14:textFill>
            <w14:solidFill>
              <w14:schemeClr w14:val="tx1"/>
            </w14:solidFill>
          </w14:textFill>
        </w:rPr>
        <w:t>（十三）估价作业日期</w:t>
      </w:r>
      <w:bookmarkEnd w:id="45"/>
      <w:bookmarkEnd w:id="46"/>
      <w:bookmarkEnd w:id="47"/>
    </w:p>
    <w:p>
      <w:pPr>
        <w:wordWrap w:val="0"/>
        <w:spacing w:line="560" w:lineRule="exact"/>
        <w:ind w:firstLine="560" w:firstLineChars="200"/>
        <w:rPr>
          <w:rFonts w:cs="Arial" w:asciiTheme="minorEastAsia" w:hAnsiTheme="minorEastAsia" w:eastAsiaTheme="minorEastAsia"/>
          <w:color w:val="000000" w:themeColor="text1"/>
          <w:sz w:val="28"/>
          <w:szCs w:val="28"/>
          <w14:textFill>
            <w14:solidFill>
              <w14:schemeClr w14:val="tx1"/>
            </w14:solidFill>
          </w14:textFill>
        </w:rPr>
      </w:pPr>
      <w:r>
        <w:rPr>
          <w:rFonts w:cs="Arial" w:asciiTheme="minorEastAsia" w:hAnsiTheme="minorEastAsia" w:eastAsiaTheme="minorEastAsia"/>
          <w:color w:val="000000" w:themeColor="text1"/>
          <w:sz w:val="28"/>
          <w:szCs w:val="28"/>
          <w14:textFill>
            <w14:solidFill>
              <w14:schemeClr w14:val="tx1"/>
            </w14:solidFill>
          </w14:textFill>
        </w:rPr>
        <w:t>2019年12月27日—2020年01月19日</w:t>
      </w:r>
    </w:p>
    <w:p>
      <w:pPr>
        <w:wordWrap w:val="0"/>
        <w:spacing w:before="936" w:beforeLines="300" w:line="360" w:lineRule="auto"/>
        <w:ind w:firstLine="4200" w:firstLineChars="1500"/>
        <w:jc w:val="left"/>
        <w:rPr>
          <w:rFonts w:cs="Arial" w:asciiTheme="minorEastAsia" w:hAnsiTheme="minorEastAsia" w:eastAsiaTheme="minorEastAsia"/>
          <w:color w:val="000000" w:themeColor="text1"/>
          <w:kern w:val="2"/>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安徽财苑房地产土地评估咨询有限公司</w:t>
      </w:r>
    </w:p>
    <w:p>
      <w:pPr>
        <w:wordWrap w:val="0"/>
        <w:spacing w:line="360" w:lineRule="auto"/>
        <w:ind w:firstLine="4200" w:firstLineChars="1500"/>
        <w:rPr>
          <w:rFonts w:cs="Arial" w:asciiTheme="minorEastAsia" w:hAnsiTheme="minorEastAsia" w:eastAsiaTheme="minorEastAsia"/>
          <w:color w:val="000000" w:themeColor="text1"/>
          <w:kern w:val="2"/>
          <w:sz w:val="28"/>
          <w:szCs w:val="28"/>
          <w14:textFill>
            <w14:solidFill>
              <w14:schemeClr w14:val="tx1"/>
            </w14:solidFill>
          </w14:textFill>
        </w:rPr>
      </w:pPr>
      <w:r>
        <w:rPr>
          <w:rFonts w:hint="eastAsia" w:cs="Arial" w:asciiTheme="minorEastAsia" w:hAnsiTheme="minorEastAsia" w:eastAsiaTheme="minorEastAsia"/>
          <w:color w:val="000000" w:themeColor="text1"/>
          <w:kern w:val="2"/>
          <w:sz w:val="28"/>
          <w:szCs w:val="28"/>
          <w14:textFill>
            <w14:solidFill>
              <w14:schemeClr w14:val="tx1"/>
            </w14:solidFill>
          </w14:textFill>
        </w:rPr>
        <w:t>法定代表人：</w:t>
      </w:r>
    </w:p>
    <w:p>
      <w:pPr>
        <w:wordWrap w:val="0"/>
        <w:spacing w:line="560" w:lineRule="exact"/>
        <w:ind w:firstLine="4200" w:firstLineChars="1500"/>
        <w:rPr>
          <w:rFonts w:asciiTheme="minorEastAsia" w:hAnsiTheme="minorEastAsia" w:eastAsiaTheme="minorEastAsia"/>
          <w:color w:val="000000" w:themeColor="text1"/>
          <w:sz w:val="28"/>
          <w:szCs w:val="28"/>
          <w14:textFill>
            <w14:solidFill>
              <w14:schemeClr w14:val="tx1"/>
            </w14:solidFill>
          </w14:textFill>
        </w:rPr>
      </w:pPr>
      <w:r>
        <w:rPr>
          <w:rFonts w:hint="eastAsia" w:cs="Arial" w:asciiTheme="minorEastAsia" w:hAnsiTheme="minorEastAsia" w:eastAsiaTheme="minorEastAsia"/>
          <w:color w:val="000000" w:themeColor="text1"/>
          <w:kern w:val="2"/>
          <w:sz w:val="28"/>
          <w:szCs w:val="28"/>
          <w14:textFill>
            <w14:solidFill>
              <w14:schemeClr w14:val="tx1"/>
            </w14:solidFill>
          </w14:textFill>
        </w:rPr>
        <w:t>二〇二〇年一月十九日</w:t>
      </w:r>
      <w:r>
        <w:rPr>
          <w:rFonts w:asciiTheme="minorEastAsia" w:hAnsiTheme="minorEastAsia" w:eastAsiaTheme="minorEastAsia"/>
          <w:color w:val="000000" w:themeColor="text1"/>
          <w:sz w:val="28"/>
          <w:szCs w:val="28"/>
          <w14:textFill>
            <w14:solidFill>
              <w14:schemeClr w14:val="tx1"/>
            </w14:solidFill>
          </w14:textFill>
        </w:rPr>
        <w:br w:type="page"/>
      </w:r>
    </w:p>
    <w:p>
      <w:pPr>
        <w:widowControl/>
        <w:wordWrap w:val="0"/>
        <w:adjustRightInd/>
        <w:spacing w:line="240" w:lineRule="auto"/>
        <w:ind w:firstLine="4819" w:firstLineChars="1500"/>
        <w:jc w:val="left"/>
        <w:textAlignment w:val="auto"/>
        <w:rPr>
          <w:rFonts w:cs="Arial" w:asciiTheme="minorEastAsia" w:hAnsiTheme="minorEastAsia" w:eastAsiaTheme="minorEastAsia"/>
          <w:b/>
          <w:bCs/>
          <w:color w:val="000000" w:themeColor="text1"/>
          <w:kern w:val="2"/>
          <w:sz w:val="32"/>
          <w:szCs w:val="32"/>
          <w14:textFill>
            <w14:solidFill>
              <w14:schemeClr w14:val="tx1"/>
            </w14:solidFill>
          </w14:textFill>
        </w:rPr>
      </w:pPr>
    </w:p>
    <w:p>
      <w:pPr>
        <w:wordWrap w:val="0"/>
        <w:rPr>
          <w:color w:val="000000" w:themeColor="text1"/>
          <w14:textFill>
            <w14:solidFill>
              <w14:schemeClr w14:val="tx1"/>
            </w14:solidFill>
          </w14:textFill>
        </w:rPr>
      </w:pPr>
      <w:bookmarkStart w:id="48" w:name="_Toc485393210"/>
    </w:p>
    <w:p>
      <w:pPr>
        <w:pStyle w:val="2"/>
        <w:wordWrap w:val="0"/>
        <w:rPr>
          <w:color w:val="000000" w:themeColor="text1"/>
          <w14:textFill>
            <w14:solidFill>
              <w14:schemeClr w14:val="tx1"/>
            </w14:solidFill>
          </w14:textFill>
        </w:rPr>
      </w:pPr>
      <w:bookmarkStart w:id="49" w:name="_Toc2697898"/>
      <w:r>
        <w:rPr>
          <w:rFonts w:hint="eastAsia"/>
          <w:color w:val="000000" w:themeColor="text1"/>
          <w14:textFill>
            <w14:solidFill>
              <w14:schemeClr w14:val="tx1"/>
            </w14:solidFill>
          </w14:textFill>
        </w:rPr>
        <w:t>五</w:t>
      </w:r>
      <w:r>
        <w:rPr>
          <w:color w:val="000000" w:themeColor="text1"/>
          <w14:textFill>
            <w14:solidFill>
              <w14:schemeClr w14:val="tx1"/>
            </w14:solidFill>
          </w14:textFill>
        </w:rPr>
        <w:t>、附   件</w:t>
      </w:r>
      <w:bookmarkEnd w:id="48"/>
      <w:bookmarkEnd w:id="49"/>
    </w:p>
    <w:p>
      <w:pPr>
        <w:wordWrap w:val="0"/>
        <w:spacing w:line="560" w:lineRule="exact"/>
        <w:ind w:firstLine="1400" w:firstLineChars="500"/>
        <w:jc w:val="left"/>
        <w:rPr>
          <w:rFonts w:hint="eastAsia" w:ascii="宋体" w:hAnsi="宋体" w:cs="仿宋_GB2312"/>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仿宋_GB2312"/>
          <w:bCs/>
          <w:color w:val="000000" w:themeColor="text1"/>
          <w:sz w:val="28"/>
          <w:szCs w:val="28"/>
          <w14:textFill>
            <w14:solidFill>
              <w14:schemeClr w14:val="tx1"/>
            </w14:solidFill>
          </w14:textFill>
        </w:rPr>
      </w:pPr>
    </w:p>
    <w:p>
      <w:pPr>
        <w:wordWrap w:val="0"/>
        <w:spacing w:line="560" w:lineRule="exact"/>
        <w:ind w:firstLine="1400" w:firstLineChars="500"/>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cs="仿宋_GB2312"/>
          <w:bCs/>
          <w:color w:val="000000" w:themeColor="text1"/>
          <w:sz w:val="28"/>
          <w:szCs w:val="28"/>
          <w14:textFill>
            <w14:solidFill>
              <w14:schemeClr w14:val="tx1"/>
            </w14:solidFill>
          </w14:textFill>
        </w:rPr>
        <w:t>估价对象内外部状况照片</w:t>
      </w: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560" w:lineRule="exact"/>
        <w:ind w:firstLine="1400" w:firstLineChars="500"/>
        <w:jc w:val="left"/>
        <w:rPr>
          <w:rFonts w:hint="eastAsia" w:ascii="宋体" w:hAnsi="宋体" w:cs="宋体"/>
          <w:bCs/>
          <w:color w:val="000000" w:themeColor="text1"/>
          <w:sz w:val="28"/>
          <w:szCs w:val="28"/>
          <w14:textFill>
            <w14:solidFill>
              <w14:schemeClr w14:val="tx1"/>
            </w14:solidFill>
          </w14:textFill>
        </w:rPr>
      </w:pPr>
    </w:p>
    <w:p>
      <w:pPr>
        <w:wordWrap w:val="0"/>
        <w:spacing w:line="240" w:lineRule="auto"/>
        <w:jc w:val="left"/>
        <w:rPr>
          <w:rFonts w:hint="eastAsia" w:ascii="宋体" w:hAnsi="宋体" w:eastAsia="宋体" w:cs="宋体"/>
          <w:bCs/>
          <w:color w:val="000000" w:themeColor="text1"/>
          <w:sz w:val="28"/>
          <w:szCs w:val="28"/>
          <w:lang w:eastAsia="zh-CN"/>
          <w14:textFill>
            <w14:solidFill>
              <w14:schemeClr w14:val="tx1"/>
            </w14:solidFill>
          </w14:textFill>
        </w:rPr>
      </w:pPr>
    </w:p>
    <w:p>
      <w:pPr>
        <w:jc w:val="both"/>
        <w:rPr>
          <w:rFonts w:hint="eastAsia" w:asciiTheme="minorEastAsia" w:hAnsiTheme="minorEastAsia"/>
          <w:b/>
          <w:sz w:val="24"/>
          <w:szCs w:val="24"/>
        </w:rPr>
      </w:pPr>
    </w:p>
    <w:p>
      <w:pPr>
        <w:ind w:firstLine="723" w:firstLineChars="300"/>
        <w:jc w:val="both"/>
        <w:rPr>
          <w:rFonts w:asciiTheme="minorEastAsia" w:hAnsiTheme="minorEastAsia"/>
          <w:b/>
          <w:sz w:val="24"/>
          <w:szCs w:val="24"/>
        </w:rPr>
      </w:pPr>
      <w:r>
        <w:rPr>
          <w:rFonts w:hint="eastAsia" w:asciiTheme="minorEastAsia" w:hAnsiTheme="minorEastAsia"/>
          <w:b/>
          <w:sz w:val="24"/>
          <w:szCs w:val="24"/>
        </w:rPr>
        <w:t>安庆迎江区人民路南侧谐水湾二期3幢2单元1608室现场勘察照片</w:t>
      </w:r>
    </w:p>
    <w:tbl>
      <w:tblPr>
        <w:tblStyle w:val="19"/>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2" name="Picture 112" descr="Generated"/>
                  <wp:cNvGraphicFramePr/>
                  <a:graphic xmlns:a="http://schemas.openxmlformats.org/drawingml/2006/main">
                    <a:graphicData uri="http://schemas.openxmlformats.org/drawingml/2006/picture">
                      <pic:pic xmlns:pic="http://schemas.openxmlformats.org/drawingml/2006/picture">
                        <pic:nvPicPr>
                          <pic:cNvPr id="112" name="Picture 112" descr="Generated"/>
                          <pic:cNvPicPr/>
                        </pic:nvPicPr>
                        <pic:blipFill>
                          <a:blip r:embed="rId9"/>
                          <a:stretch>
                            <a:fillRect/>
                          </a:stretch>
                        </pic:blipFill>
                        <pic:spPr>
                          <a:xfrm>
                            <a:off x="0" y="0"/>
                            <a:ext cx="2381250" cy="1905000"/>
                          </a:xfrm>
                          <a:prstGeom prst="rect">
                            <a:avLst/>
                          </a:prstGeom>
                        </pic:spPr>
                      </pic:pic>
                    </a:graphicData>
                  </a:graphic>
                </wp:inline>
              </w:drawing>
            </w:r>
          </w:p>
        </w:tc>
        <w:tc>
          <w:tcPr>
            <w:tcW w:w="5040" w:type="dxa"/>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3" name="Picture 113" descr="Generated"/>
                  <wp:cNvGraphicFramePr/>
                  <a:graphic xmlns:a="http://schemas.openxmlformats.org/drawingml/2006/main">
                    <a:graphicData uri="http://schemas.openxmlformats.org/drawingml/2006/picture">
                      <pic:pic xmlns:pic="http://schemas.openxmlformats.org/drawingml/2006/picture">
                        <pic:nvPicPr>
                          <pic:cNvPr id="113" name="Picture 113" descr="Generated"/>
                          <pic:cNvPicPr/>
                        </pic:nvPicPr>
                        <pic:blipFill>
                          <a:blip r:embed="rId10"/>
                          <a:stretch>
                            <a:fillRect/>
                          </a:stretch>
                        </pic:blipFill>
                        <pic:spPr>
                          <a:xfrm>
                            <a:off x="0" y="0"/>
                            <a:ext cx="2381250" cy="1905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hint="eastAsia" w:eastAsia="宋体" w:cs="宋体" w:asciiTheme="minorEastAsia" w:hAnsiTheme="minorEastAsia"/>
                <w:b/>
                <w:color w:val="000000" w:themeColor="text1"/>
                <w:kern w:val="0"/>
                <w:sz w:val="24"/>
                <w:szCs w:val="24"/>
                <w:lang w:eastAsia="zh-CN"/>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小区</w:t>
            </w:r>
            <w:r>
              <w:rPr>
                <w:rFonts w:hint="eastAsia" w:cs="宋体" w:asciiTheme="minorEastAsia" w:hAnsiTheme="minorEastAsia"/>
                <w:b/>
                <w:color w:val="000000" w:themeColor="text1"/>
                <w:kern w:val="0"/>
                <w:sz w:val="24"/>
                <w:szCs w:val="24"/>
                <w:lang w:eastAsia="zh-CN"/>
                <w14:textFill>
                  <w14:solidFill>
                    <w14:schemeClr w14:val="tx1"/>
                  </w14:solidFill>
                </w14:textFill>
              </w:rPr>
              <w:t>单元门</w:t>
            </w:r>
          </w:p>
        </w:tc>
        <w:tc>
          <w:tcPr>
            <w:tcW w:w="5040" w:type="dxa"/>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入户门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bookmarkStart w:id="50" w:name="_Toc481820292"/>
            <w:bookmarkStart w:id="51" w:name="_Toc481917784"/>
            <w:bookmarkStart w:id="52" w:name="_Toc481821354"/>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4" name="Picture 114" descr="Generated"/>
                  <wp:cNvGraphicFramePr/>
                  <a:graphic xmlns:a="http://schemas.openxmlformats.org/drawingml/2006/main">
                    <a:graphicData uri="http://schemas.openxmlformats.org/drawingml/2006/picture">
                      <pic:pic xmlns:pic="http://schemas.openxmlformats.org/drawingml/2006/picture">
                        <pic:nvPicPr>
                          <pic:cNvPr id="114" name="Picture 114" descr="Generated"/>
                          <pic:cNvPicPr/>
                        </pic:nvPicPr>
                        <pic:blipFill>
                          <a:blip r:embed="rId11"/>
                          <a:stretch>
                            <a:fillRect/>
                          </a:stretch>
                        </pic:blipFill>
                        <pic:spPr>
                          <a:xfrm>
                            <a:off x="0" y="0"/>
                            <a:ext cx="2381250" cy="1905000"/>
                          </a:xfrm>
                          <a:prstGeom prst="rect">
                            <a:avLst/>
                          </a:prstGeom>
                        </pic:spPr>
                      </pic:pic>
                    </a:graphicData>
                  </a:graphic>
                </wp:inline>
              </w:drawing>
            </w:r>
          </w:p>
        </w:tc>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5" name="Picture 115" descr="Generated"/>
                  <wp:cNvGraphicFramePr/>
                  <a:graphic xmlns:a="http://schemas.openxmlformats.org/drawingml/2006/main">
                    <a:graphicData uri="http://schemas.openxmlformats.org/drawingml/2006/picture">
                      <pic:pic xmlns:pic="http://schemas.openxmlformats.org/drawingml/2006/picture">
                        <pic:nvPicPr>
                          <pic:cNvPr id="115" name="Picture 115" descr="Generated"/>
                          <pic:cNvPicPr/>
                        </pic:nvPicPr>
                        <pic:blipFill>
                          <a:blip r:embed="rId12"/>
                          <a:stretch>
                            <a:fillRect/>
                          </a:stretch>
                        </pic:blipFill>
                        <pic:spPr>
                          <a:xfrm>
                            <a:off x="0" y="0"/>
                            <a:ext cx="2381250" cy="1905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客厅</w:t>
            </w:r>
          </w:p>
        </w:tc>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6" name="Picture 116" descr="Generated"/>
                  <wp:cNvGraphicFramePr/>
                  <a:graphic xmlns:a="http://schemas.openxmlformats.org/drawingml/2006/main">
                    <a:graphicData uri="http://schemas.openxmlformats.org/drawingml/2006/picture">
                      <pic:pic xmlns:pic="http://schemas.openxmlformats.org/drawingml/2006/picture">
                        <pic:nvPicPr>
                          <pic:cNvPr id="116" name="Picture 116" descr="Generated"/>
                          <pic:cNvPicPr/>
                        </pic:nvPicPr>
                        <pic:blipFill>
                          <a:blip r:embed="rId13"/>
                          <a:stretch>
                            <a:fillRect/>
                          </a:stretch>
                        </pic:blipFill>
                        <pic:spPr>
                          <a:xfrm>
                            <a:off x="0" y="0"/>
                            <a:ext cx="2381250" cy="1905000"/>
                          </a:xfrm>
                          <a:prstGeom prst="rect">
                            <a:avLst/>
                          </a:prstGeom>
                        </pic:spPr>
                      </pic:pic>
                    </a:graphicData>
                  </a:graphic>
                </wp:inline>
              </w:drawing>
            </w:r>
          </w:p>
        </w:tc>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7" name="Picture 117" descr="Generated"/>
                  <wp:cNvGraphicFramePr/>
                  <a:graphic xmlns:a="http://schemas.openxmlformats.org/drawingml/2006/main">
                    <a:graphicData uri="http://schemas.openxmlformats.org/drawingml/2006/picture">
                      <pic:pic xmlns:pic="http://schemas.openxmlformats.org/drawingml/2006/picture">
                        <pic:nvPicPr>
                          <pic:cNvPr id="117" name="Picture 117" descr="Generated"/>
                          <pic:cNvPicPr/>
                        </pic:nvPicPr>
                        <pic:blipFill>
                          <a:blip r:embed="rId14"/>
                          <a:stretch>
                            <a:fillRect/>
                          </a:stretch>
                        </pic:blipFill>
                        <pic:spPr>
                          <a:xfrm>
                            <a:off x="0" y="0"/>
                            <a:ext cx="2381250" cy="1905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洗手间</w:t>
            </w:r>
          </w:p>
        </w:tc>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8" name="Picture 118" descr="Generated"/>
                  <wp:cNvGraphicFramePr/>
                  <a:graphic xmlns:a="http://schemas.openxmlformats.org/drawingml/2006/main">
                    <a:graphicData uri="http://schemas.openxmlformats.org/drawingml/2006/picture">
                      <pic:pic xmlns:pic="http://schemas.openxmlformats.org/drawingml/2006/picture">
                        <pic:nvPicPr>
                          <pic:cNvPr id="118" name="Picture 118" descr="Generated"/>
                          <pic:cNvPicPr/>
                        </pic:nvPicPr>
                        <pic:blipFill>
                          <a:blip r:embed="rId15"/>
                          <a:stretch>
                            <a:fillRect/>
                          </a:stretch>
                        </pic:blipFill>
                        <pic:spPr>
                          <a:xfrm>
                            <a:off x="0" y="0"/>
                            <a:ext cx="2381250" cy="1905000"/>
                          </a:xfrm>
                          <a:prstGeom prst="rect">
                            <a:avLst/>
                          </a:prstGeom>
                        </pic:spPr>
                      </pic:pic>
                    </a:graphicData>
                  </a:graphic>
                </wp:inline>
              </w:drawing>
            </w:r>
          </w:p>
        </w:tc>
        <w:tc>
          <w:tcPr>
            <w:tcW w:w="5040" w:type="dxa"/>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drawing>
                <wp:inline distT="0" distB="0" distL="0" distR="0">
                  <wp:extent cx="2381250" cy="1905000"/>
                  <wp:effectExtent l="0" t="0" r="0" b="0"/>
                  <wp:docPr id="119" name="Picture 119" descr="Generated"/>
                  <wp:cNvGraphicFramePr/>
                  <a:graphic xmlns:a="http://schemas.openxmlformats.org/drawingml/2006/main">
                    <a:graphicData uri="http://schemas.openxmlformats.org/drawingml/2006/picture">
                      <pic:pic xmlns:pic="http://schemas.openxmlformats.org/drawingml/2006/picture">
                        <pic:nvPicPr>
                          <pic:cNvPr id="119" name="Picture 119" descr="Generated"/>
                          <pic:cNvPicPr/>
                        </pic:nvPicPr>
                        <pic:blipFill>
                          <a:blip r:embed="rId16"/>
                          <a:stretch>
                            <a:fillRect/>
                          </a:stretch>
                        </pic:blipFill>
                        <pic:spPr>
                          <a:xfrm>
                            <a:off x="0" y="0"/>
                            <a:ext cx="2381250" cy="1905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40" w:type="dxa"/>
            <w:shd w:val="clear" w:color="auto" w:fill="auto"/>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阳台</w:t>
            </w:r>
          </w:p>
        </w:tc>
        <w:tc>
          <w:tcPr>
            <w:tcW w:w="5040" w:type="dxa"/>
            <w:vAlign w:val="bottom"/>
          </w:tcPr>
          <w:p>
            <w:pPr>
              <w:widowControl/>
              <w:jc w:val="center"/>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楼栋外立面</w:t>
            </w:r>
          </w:p>
        </w:tc>
      </w:tr>
      <w:bookmarkEnd w:id="50"/>
      <w:bookmarkEnd w:id="51"/>
      <w:bookmarkEnd w:id="52"/>
    </w:tbl>
    <w:p>
      <w:pPr>
        <w:wordWrap w:val="0"/>
        <w:spacing w:line="240" w:lineRule="auto"/>
        <w:jc w:val="left"/>
        <w:rPr>
          <w:rFonts w:hint="default" w:ascii="宋体" w:hAnsi="宋体" w:cs="宋体"/>
          <w:bCs/>
          <w:color w:val="000000" w:themeColor="text1"/>
          <w:sz w:val="28"/>
          <w:szCs w:val="28"/>
          <w:lang w:val="en-US" w:eastAsia="zh-CN"/>
          <w14:textFill>
            <w14:solidFill>
              <w14:schemeClr w14:val="tx1"/>
            </w14:solidFill>
          </w14:textFill>
        </w:rPr>
      </w:pPr>
    </w:p>
    <w:sectPr>
      <w:headerReference r:id="rId6" w:type="default"/>
      <w:footerReference r:id="rId7" w:type="default"/>
      <w:pgSz w:w="11906" w:h="16838"/>
      <w:pgMar w:top="1134" w:right="1134" w:bottom="1134" w:left="1134" w:header="851" w:footer="850" w:gutter="567"/>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heme="minorEastAsia" w:hAnsiTheme="minorEastAsia" w:eastAsiaTheme="minorEastAsia"/>
      </w:rPr>
    </w:pPr>
    <w:r>
      <w:rPr>
        <w:rFonts w:hint="eastAsia" w:cs="Arial" w:asciiTheme="minorEastAsia" w:hAnsiTheme="minorEastAsia" w:eastAsiaTheme="minorEastAsia"/>
        <w:color w:val="000000" w:themeColor="text1"/>
        <w14:textFill>
          <w14:solidFill>
            <w14:schemeClr w14:val="tx1"/>
          </w14:solidFill>
        </w14:textFill>
      </w:rPr>
      <w:t>地址：合肥市庐阳区安庆路279号中环汇景大厦1201室,电话：0551-62873102</w:t>
    </w:r>
    <w:r>
      <w:rPr>
        <w:rFonts w:asciiTheme="minorEastAsia" w:hAnsiTheme="minorEastAsia" w:eastAsiaTheme="minorEastAsia"/>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41910</wp:posOffset>
              </wp:positionV>
              <wp:extent cx="5781675" cy="9525"/>
              <wp:effectExtent l="0" t="0" r="9525" b="28575"/>
              <wp:wrapNone/>
              <wp:docPr id="1" name="直接连接符 2"/>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 o:spid="_x0000_s1026" o:spt="20" style="position:absolute;left:0pt;margin-left:-1.05pt;margin-top:3.3pt;height:0.75pt;width:455.25pt;z-index:251656192;mso-width-relative:page;mso-height-relative:page;" filled="f" stroked="t" coordsize="21600,21600" o:gfxdata="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TxWDdQAAAAGAQAADwAAAAAAAAABACAAAAAi&#10;AAAAZHJzL2Rvd25yZXYueG1sUEsBAhQAFAAAAAgAh07iQBuDQYjVAQAAiAMAAA4AAAAAAAAAAQAg&#10;AAAAIwEAAGRycy9lMm9Eb2MueG1sUEsFBgAAAAAGAAYAWQEAAGoFAAAAAA==&#10;">
              <v:fill on="f" focussize="0,0"/>
              <v:stroke color="#000000 [3200]" joinstyle="round"/>
              <v:imagedata o:title=""/>
              <o:lock v:ext="edit" aspectratio="f"/>
            </v:line>
          </w:pict>
        </mc:Fallback>
      </mc:AlternateContent>
    </w:r>
    <w:r>
      <w:rPr>
        <w:rFonts w:asciiTheme="minorEastAsia" w:hAnsiTheme="minorEastAsia" w:eastAsiaTheme="minorEastAsia"/>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heme="minorEastAsia" w:hAnsiTheme="minorEastAsia" w:eastAsiaTheme="minorEastAsia"/>
      </w:rPr>
    </w:pPr>
    <w:r>
      <w:rPr>
        <w:rFonts w:hint="eastAsia" w:cs="Arial" w:asciiTheme="minorEastAsia" w:hAnsiTheme="minorEastAsia" w:eastAsiaTheme="minorEastAsia"/>
        <w:color w:val="000000" w:themeColor="text1"/>
        <w14:textFill>
          <w14:solidFill>
            <w14:schemeClr w14:val="tx1"/>
          </w14:solidFill>
        </w14:textFill>
      </w:rPr>
      <w:t>地址：合肥市庐阳区安庆路279号中环汇景大厦1201室,电话：0551-62873102</w:t>
    </w:r>
    <w:r>
      <w:rPr>
        <w:rFonts w:asciiTheme="minorEastAsia" w:hAnsiTheme="minorEastAsia" w:eastAsiaTheme="minor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781675" cy="9525"/>
              <wp:effectExtent l="0" t="0" r="9525" b="28575"/>
              <wp:wrapNone/>
              <wp:docPr id="4" name="直接连接符 2"/>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 o:spid="_x0000_s1026" o:spt="20" style="position:absolute;left:0pt;margin-left:0pt;margin-top:-0.05pt;height:0.75pt;width:455.25pt;z-index:251659264;mso-width-relative:page;mso-height-relative:page;" filled="f" stroked="t" coordsize="21600,21600" o:gfxdata="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b+e10wAAAAQBAAAPAAAAAAAAAAEAIAAAACIA&#10;AABkcnMvZG93bnJldi54bWxQSwECFAAUAAAACACHTuJAoNLTvdUBAACIAwAADgAAAAAAAAABACAA&#10;AAAiAQAAZHJzL2Uyb0RvYy54bWxQSwUGAAAAAAYABgBZAQAAaQUAAAAA&#10;">
              <v:fill on="f" focussize="0,0"/>
              <v:stroke color="#000000 [3200]" joinstyle="round"/>
              <v:imagedata o:title=""/>
              <o:lock v:ext="edit" aspectratio="f"/>
            </v:line>
          </w:pict>
        </mc:Fallback>
      </mc:AlternateContent>
    </w:r>
    <w:r>
      <w:rPr>
        <w:rFonts w:hint="eastAsia" w:asciiTheme="minorEastAsia" w:hAnsiTheme="minorEastAsia" w:eastAsiaTheme="minorEastAsia"/>
      </w:rPr>
      <w:t xml:space="preserve">                      -</w:t>
    </w: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PAGE   \* MERGEFORMAT</w:instrText>
    </w:r>
    <w:r>
      <w:rPr>
        <w:rFonts w:asciiTheme="minorEastAsia" w:hAnsiTheme="minorEastAsia" w:eastAsiaTheme="minorEastAsia"/>
        <w:color w:val="000000" w:themeColor="text1"/>
        <w14:textFill>
          <w14:solidFill>
            <w14:schemeClr w14:val="tx1"/>
          </w14:solidFill>
        </w14:textFill>
      </w:rPr>
      <w:fldChar w:fldCharType="separate"/>
    </w:r>
    <w:r>
      <w:rPr>
        <w:rFonts w:asciiTheme="minorEastAsia" w:hAnsiTheme="minorEastAsia" w:eastAsiaTheme="minorEastAsia"/>
        <w:color w:val="000000" w:themeColor="text1"/>
        <w:lang w:val="zh-CN"/>
        <w14:textFill>
          <w14:solidFill>
            <w14:schemeClr w14:val="tx1"/>
          </w14:solidFill>
        </w14:textFill>
      </w:rPr>
      <w:t>9</w:t>
    </w:r>
    <w:r>
      <w:rPr>
        <w:rFonts w:asciiTheme="minorEastAsia" w:hAnsiTheme="minorEastAsia" w:eastAsiaTheme="minorEastAsia"/>
        <w:color w:val="000000" w:themeColor="text1"/>
        <w14:textFill>
          <w14:solidFill>
            <w14:schemeClr w14:val="tx1"/>
          </w14:solidFill>
        </w14:textFill>
      </w:rPr>
      <w:fldChar w:fldCharType="end"/>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drawing>
        <wp:inline distT="0" distB="0" distL="0" distR="0">
          <wp:extent cx="222250" cy="150495"/>
          <wp:effectExtent l="19050" t="0" r="6350" b="0"/>
          <wp:docPr id="2" name="图片 12" descr="财苑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财苑标志"/>
                  <pic:cNvPicPr>
                    <a:picLocks noChangeAspect="1" noChangeArrowheads="1"/>
                  </pic:cNvPicPr>
                </pic:nvPicPr>
                <pic:blipFill>
                  <a:blip r:embed="rId1"/>
                  <a:srcRect/>
                  <a:stretch>
                    <a:fillRect/>
                  </a:stretch>
                </pic:blipFill>
                <pic:spPr>
                  <a:xfrm>
                    <a:off x="0" y="0"/>
                    <a:ext cx="222250" cy="150495"/>
                  </a:xfrm>
                  <a:prstGeom prst="rect">
                    <a:avLst/>
                  </a:prstGeom>
                  <a:noFill/>
                  <a:ln w="9525">
                    <a:noFill/>
                    <a:miter lim="800000"/>
                    <a:headEnd/>
                    <a:tailEnd/>
                  </a:ln>
                </pic:spPr>
              </pic:pic>
            </a:graphicData>
          </a:graphic>
        </wp:inline>
      </w:drawing>
    </w:r>
    <w:r>
      <w:rPr>
        <w:rFonts w:hint="eastAsia" w:ascii="华文行楷" w:hAnsi="Arial Narrow" w:eastAsia="华文行楷"/>
        <w:bCs/>
      </w:rPr>
      <w:t>安徽财苑房地产土地评估咨询有限公司</w:t>
    </w:r>
    <w:r>
      <w:rPr>
        <w:rFonts w:ascii="华文行楷" w:hAnsi="Arial Narrow" w:eastAsia="华文行楷"/>
        <w:bCs/>
        <w:color w:val="FF0000"/>
      </w:rPr>
      <w:ptab w:relativeTo="margin" w:alignment="center" w:leader="none"/>
    </w:r>
    <w:r>
      <w:rPr>
        <w:rFonts w:ascii="华文行楷" w:hAnsi="Arial Narrow" w:eastAsia="华文行楷"/>
        <w:bCs/>
        <w:color w:val="FF0000"/>
      </w:rPr>
      <w:ptab w:relativeTo="margin" w:alignment="right" w:leader="none"/>
    </w:r>
    <w:r>
      <w:rPr>
        <w:rFonts w:hint="eastAsia" w:ascii="华文行楷" w:hAnsi="Arial Narrow" w:eastAsia="华文行楷"/>
        <w:bCs/>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drawing>
        <wp:inline distT="0" distB="0" distL="0" distR="0">
          <wp:extent cx="222250" cy="150495"/>
          <wp:effectExtent l="19050" t="0" r="6350" b="0"/>
          <wp:docPr id="3" name="图片 12" descr="财苑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财苑标志"/>
                  <pic:cNvPicPr>
                    <a:picLocks noChangeAspect="1" noChangeArrowheads="1"/>
                  </pic:cNvPicPr>
                </pic:nvPicPr>
                <pic:blipFill>
                  <a:blip r:embed="rId1"/>
                  <a:srcRect/>
                  <a:stretch>
                    <a:fillRect/>
                  </a:stretch>
                </pic:blipFill>
                <pic:spPr>
                  <a:xfrm>
                    <a:off x="0" y="0"/>
                    <a:ext cx="222250" cy="150495"/>
                  </a:xfrm>
                  <a:prstGeom prst="rect">
                    <a:avLst/>
                  </a:prstGeom>
                  <a:noFill/>
                  <a:ln w="9525">
                    <a:noFill/>
                    <a:miter lim="800000"/>
                    <a:headEnd/>
                    <a:tailEnd/>
                  </a:ln>
                </pic:spPr>
              </pic:pic>
            </a:graphicData>
          </a:graphic>
        </wp:inline>
      </w:drawing>
    </w:r>
    <w:r>
      <w:rPr>
        <w:rFonts w:hint="eastAsia" w:ascii="华文行楷" w:hAnsi="Arial Narrow" w:eastAsia="华文行楷"/>
        <w:bCs/>
      </w:rPr>
      <w:t>安徽财苑房地产土地评估咨询有限公司</w:t>
    </w:r>
    <w:r>
      <w:rPr>
        <w:rFonts w:ascii="华文行楷" w:hAnsi="Arial Narrow" w:eastAsia="华文行楷"/>
        <w:bCs/>
        <w:color w:val="FF0000"/>
      </w:rPr>
      <w:ptab w:relativeTo="margin" w:alignment="center" w:leader="none"/>
    </w:r>
    <w:r>
      <w:rPr>
        <w:rFonts w:ascii="华文行楷" w:hAnsi="Arial Narrow" w:eastAsia="华文行楷"/>
        <w:bCs/>
        <w:color w:val="FF0000"/>
      </w:rPr>
      <w:ptab w:relativeTo="margin" w:alignment="right" w:leader="none"/>
    </w:r>
    <w:r>
      <w:rPr>
        <w:rFonts w:hint="eastAsia" w:ascii="华文行楷" w:hAnsi="Arial Narrow" w:eastAsia="华文行楷"/>
        <w:bCs/>
      </w:rPr>
      <w:t>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0F"/>
    <w:rsid w:val="00021DCB"/>
    <w:rsid w:val="0005245E"/>
    <w:rsid w:val="0006687A"/>
    <w:rsid w:val="00082087"/>
    <w:rsid w:val="000B08DA"/>
    <w:rsid w:val="000D5267"/>
    <w:rsid w:val="000D67B3"/>
    <w:rsid w:val="00126399"/>
    <w:rsid w:val="00127765"/>
    <w:rsid w:val="00152748"/>
    <w:rsid w:val="00170390"/>
    <w:rsid w:val="0017152F"/>
    <w:rsid w:val="00176E81"/>
    <w:rsid w:val="001A020A"/>
    <w:rsid w:val="001E1743"/>
    <w:rsid w:val="001F4CFD"/>
    <w:rsid w:val="0024021A"/>
    <w:rsid w:val="002628D0"/>
    <w:rsid w:val="002646C4"/>
    <w:rsid w:val="00271086"/>
    <w:rsid w:val="00290ACE"/>
    <w:rsid w:val="002B5607"/>
    <w:rsid w:val="002C53E4"/>
    <w:rsid w:val="002E09D9"/>
    <w:rsid w:val="002E5F29"/>
    <w:rsid w:val="002F36F7"/>
    <w:rsid w:val="003060EC"/>
    <w:rsid w:val="003270C7"/>
    <w:rsid w:val="00332F44"/>
    <w:rsid w:val="003571BA"/>
    <w:rsid w:val="0036189D"/>
    <w:rsid w:val="003646B7"/>
    <w:rsid w:val="00397A9D"/>
    <w:rsid w:val="003B1EA3"/>
    <w:rsid w:val="003C7437"/>
    <w:rsid w:val="003E3537"/>
    <w:rsid w:val="003E4BF4"/>
    <w:rsid w:val="003F0A88"/>
    <w:rsid w:val="00405D7B"/>
    <w:rsid w:val="00435A9C"/>
    <w:rsid w:val="004416FD"/>
    <w:rsid w:val="00467A34"/>
    <w:rsid w:val="00472C0E"/>
    <w:rsid w:val="004A56DB"/>
    <w:rsid w:val="004B7D82"/>
    <w:rsid w:val="004C6CCD"/>
    <w:rsid w:val="004E019C"/>
    <w:rsid w:val="004F0B0F"/>
    <w:rsid w:val="0051316A"/>
    <w:rsid w:val="00531287"/>
    <w:rsid w:val="005608D9"/>
    <w:rsid w:val="00563B2E"/>
    <w:rsid w:val="005726CF"/>
    <w:rsid w:val="00575070"/>
    <w:rsid w:val="00587032"/>
    <w:rsid w:val="005A3A1D"/>
    <w:rsid w:val="005B02E2"/>
    <w:rsid w:val="005C79AB"/>
    <w:rsid w:val="005C7F35"/>
    <w:rsid w:val="00622245"/>
    <w:rsid w:val="00624196"/>
    <w:rsid w:val="00657C4C"/>
    <w:rsid w:val="006669D1"/>
    <w:rsid w:val="00695BA3"/>
    <w:rsid w:val="006A61A0"/>
    <w:rsid w:val="006B00E9"/>
    <w:rsid w:val="006E1AB3"/>
    <w:rsid w:val="00711168"/>
    <w:rsid w:val="00740592"/>
    <w:rsid w:val="0075580F"/>
    <w:rsid w:val="0075770F"/>
    <w:rsid w:val="007613FA"/>
    <w:rsid w:val="007A300E"/>
    <w:rsid w:val="007A7BDD"/>
    <w:rsid w:val="007B6E85"/>
    <w:rsid w:val="007D40BA"/>
    <w:rsid w:val="00806188"/>
    <w:rsid w:val="00813807"/>
    <w:rsid w:val="00831086"/>
    <w:rsid w:val="008457CC"/>
    <w:rsid w:val="0087296B"/>
    <w:rsid w:val="00872D47"/>
    <w:rsid w:val="00885021"/>
    <w:rsid w:val="008851D3"/>
    <w:rsid w:val="00894447"/>
    <w:rsid w:val="008B43F3"/>
    <w:rsid w:val="008D25DF"/>
    <w:rsid w:val="008E02E7"/>
    <w:rsid w:val="008E1651"/>
    <w:rsid w:val="008E7005"/>
    <w:rsid w:val="008F0617"/>
    <w:rsid w:val="008F7DC9"/>
    <w:rsid w:val="00923BF1"/>
    <w:rsid w:val="00936A3A"/>
    <w:rsid w:val="009520E6"/>
    <w:rsid w:val="00962086"/>
    <w:rsid w:val="00983B33"/>
    <w:rsid w:val="009B497B"/>
    <w:rsid w:val="009B6FD1"/>
    <w:rsid w:val="009C0B58"/>
    <w:rsid w:val="009C2C8F"/>
    <w:rsid w:val="00A2011A"/>
    <w:rsid w:val="00A26944"/>
    <w:rsid w:val="00A32D70"/>
    <w:rsid w:val="00A5606C"/>
    <w:rsid w:val="00A671A0"/>
    <w:rsid w:val="00A70368"/>
    <w:rsid w:val="00A70FAC"/>
    <w:rsid w:val="00AD0785"/>
    <w:rsid w:val="00AE0CFA"/>
    <w:rsid w:val="00B12EE0"/>
    <w:rsid w:val="00B31ABF"/>
    <w:rsid w:val="00B43117"/>
    <w:rsid w:val="00B56A97"/>
    <w:rsid w:val="00B90026"/>
    <w:rsid w:val="00BA649E"/>
    <w:rsid w:val="00BE0E78"/>
    <w:rsid w:val="00C04322"/>
    <w:rsid w:val="00C07AB0"/>
    <w:rsid w:val="00C10757"/>
    <w:rsid w:val="00C416FB"/>
    <w:rsid w:val="00C461B2"/>
    <w:rsid w:val="00C57A9A"/>
    <w:rsid w:val="00C72B68"/>
    <w:rsid w:val="00C84576"/>
    <w:rsid w:val="00C916D5"/>
    <w:rsid w:val="00CA619C"/>
    <w:rsid w:val="00CB0861"/>
    <w:rsid w:val="00CD3DE0"/>
    <w:rsid w:val="00CD4192"/>
    <w:rsid w:val="00CF227D"/>
    <w:rsid w:val="00D120F1"/>
    <w:rsid w:val="00D204B5"/>
    <w:rsid w:val="00D24179"/>
    <w:rsid w:val="00D2683E"/>
    <w:rsid w:val="00D33257"/>
    <w:rsid w:val="00D33529"/>
    <w:rsid w:val="00D51724"/>
    <w:rsid w:val="00D9729F"/>
    <w:rsid w:val="00DA61CA"/>
    <w:rsid w:val="00DE3F6E"/>
    <w:rsid w:val="00E01688"/>
    <w:rsid w:val="00E4219B"/>
    <w:rsid w:val="00E51C84"/>
    <w:rsid w:val="00E54F6E"/>
    <w:rsid w:val="00E83A10"/>
    <w:rsid w:val="00E845D7"/>
    <w:rsid w:val="00EB20F4"/>
    <w:rsid w:val="00ED0943"/>
    <w:rsid w:val="00EF1C67"/>
    <w:rsid w:val="00F0041C"/>
    <w:rsid w:val="00F479A4"/>
    <w:rsid w:val="00F613B7"/>
    <w:rsid w:val="00F6577C"/>
    <w:rsid w:val="00F66CA1"/>
    <w:rsid w:val="00F83EF4"/>
    <w:rsid w:val="00F844C6"/>
    <w:rsid w:val="00FB5D3C"/>
    <w:rsid w:val="00FD4368"/>
    <w:rsid w:val="054F0E7B"/>
    <w:rsid w:val="076272AB"/>
    <w:rsid w:val="0A21032F"/>
    <w:rsid w:val="0BE3675F"/>
    <w:rsid w:val="22286CF4"/>
    <w:rsid w:val="30403F0C"/>
    <w:rsid w:val="39F15161"/>
    <w:rsid w:val="3A3B432A"/>
    <w:rsid w:val="3F594BA8"/>
    <w:rsid w:val="41DE4F90"/>
    <w:rsid w:val="49D94C48"/>
    <w:rsid w:val="4F6175C8"/>
    <w:rsid w:val="52591BEF"/>
    <w:rsid w:val="55E82003"/>
    <w:rsid w:val="65D37A7F"/>
    <w:rsid w:val="6FE45534"/>
    <w:rsid w:val="7958085B"/>
    <w:rsid w:val="7E7D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2"/>
    <w:qFormat/>
    <w:uiPriority w:val="0"/>
    <w:pPr>
      <w:keepNext/>
      <w:keepLines/>
      <w:topLinePunct/>
      <w:adjustRightInd/>
      <w:spacing w:before="312" w:beforeLines="100" w:line="240" w:lineRule="auto"/>
      <w:jc w:val="center"/>
      <w:textAlignment w:val="auto"/>
      <w:outlineLvl w:val="0"/>
    </w:pPr>
    <w:rPr>
      <w:rFonts w:cs="Arial" w:asciiTheme="minorEastAsia" w:hAnsiTheme="minorEastAsia" w:eastAsiaTheme="minorEastAsia"/>
      <w:b/>
      <w:bCs/>
      <w:kern w:val="2"/>
      <w:sz w:val="32"/>
      <w:szCs w:val="32"/>
    </w:rPr>
  </w:style>
  <w:style w:type="paragraph" w:styleId="3">
    <w:name w:val="heading 2"/>
    <w:basedOn w:val="1"/>
    <w:next w:val="1"/>
    <w:link w:val="2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Theme="minorHAnsi" w:hAnsiTheme="minorHAnsi"/>
      <w:sz w:val="18"/>
      <w:szCs w:val="18"/>
    </w:rPr>
  </w:style>
  <w:style w:type="paragraph" w:styleId="5">
    <w:name w:val="Salutation"/>
    <w:basedOn w:val="1"/>
    <w:next w:val="1"/>
    <w:link w:val="33"/>
    <w:qFormat/>
    <w:uiPriority w:val="0"/>
    <w:pPr>
      <w:adjustRightInd/>
      <w:spacing w:line="240" w:lineRule="auto"/>
      <w:textAlignment w:val="auto"/>
    </w:pPr>
    <w:rPr>
      <w:kern w:val="2"/>
      <w:sz w:val="28"/>
    </w:rPr>
  </w:style>
  <w:style w:type="paragraph" w:styleId="6">
    <w:name w:val="Closing"/>
    <w:basedOn w:val="1"/>
    <w:link w:val="31"/>
    <w:qFormat/>
    <w:uiPriority w:val="0"/>
    <w:pPr>
      <w:adjustRightInd/>
      <w:spacing w:line="240" w:lineRule="auto"/>
      <w:ind w:left="100" w:leftChars="2100"/>
      <w:textAlignment w:val="auto"/>
    </w:pPr>
    <w:rPr>
      <w:kern w:val="2"/>
      <w:sz w:val="28"/>
      <w:szCs w:val="24"/>
    </w:rPr>
  </w:style>
  <w:style w:type="paragraph" w:styleId="7">
    <w:name w:val="toc 5"/>
    <w:basedOn w:val="1"/>
    <w:next w:val="1"/>
    <w:unhideWhenUsed/>
    <w:qFormat/>
    <w:uiPriority w:val="39"/>
    <w:pPr>
      <w:ind w:left="840"/>
      <w:jc w:val="left"/>
    </w:pPr>
    <w:rPr>
      <w:rFonts w:asciiTheme="minorHAnsi" w:hAnsiTheme="minorHAnsi"/>
      <w:sz w:val="18"/>
      <w:szCs w:val="18"/>
    </w:rPr>
  </w:style>
  <w:style w:type="paragraph" w:styleId="8">
    <w:name w:val="toc 3"/>
    <w:basedOn w:val="1"/>
    <w:next w:val="1"/>
    <w:unhideWhenUsed/>
    <w:qFormat/>
    <w:uiPriority w:val="39"/>
    <w:pPr>
      <w:ind w:left="420"/>
      <w:jc w:val="left"/>
    </w:pPr>
    <w:rPr>
      <w:rFonts w:asciiTheme="minorHAnsi" w:hAnsiTheme="minorHAnsi"/>
      <w:i/>
      <w:iCs/>
      <w:sz w:val="20"/>
    </w:rPr>
  </w:style>
  <w:style w:type="paragraph" w:styleId="9">
    <w:name w:val="Plain Text"/>
    <w:basedOn w:val="1"/>
    <w:link w:val="32"/>
    <w:qFormat/>
    <w:uiPriority w:val="0"/>
    <w:pPr>
      <w:autoSpaceDE w:val="0"/>
      <w:autoSpaceDN w:val="0"/>
      <w:textAlignment w:val="auto"/>
    </w:pPr>
    <w:rPr>
      <w:rFonts w:ascii="Courier New" w:hAnsi="Courier New"/>
      <w:kern w:val="2"/>
      <w:szCs w:val="22"/>
    </w:rPr>
  </w:style>
  <w:style w:type="paragraph" w:styleId="10">
    <w:name w:val="toc 8"/>
    <w:basedOn w:val="1"/>
    <w:next w:val="1"/>
    <w:unhideWhenUsed/>
    <w:qFormat/>
    <w:uiPriority w:val="39"/>
    <w:pPr>
      <w:ind w:left="1470"/>
      <w:jc w:val="left"/>
    </w:pPr>
    <w:rPr>
      <w:rFonts w:asciiTheme="minorHAnsi" w:hAnsiTheme="minorHAnsi"/>
      <w:sz w:val="18"/>
      <w:szCs w:val="18"/>
    </w:rPr>
  </w:style>
  <w:style w:type="paragraph" w:styleId="11">
    <w:name w:val="Balloon Text"/>
    <w:basedOn w:val="1"/>
    <w:link w:val="34"/>
    <w:semiHidden/>
    <w:unhideWhenUsed/>
    <w:qFormat/>
    <w:uiPriority w:val="99"/>
    <w:pPr>
      <w:spacing w:line="240" w:lineRule="auto"/>
    </w:pPr>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400" w:lineRule="atLeast"/>
      <w:jc w:val="left"/>
    </w:pPr>
    <w:rPr>
      <w:rFonts w:asciiTheme="minorHAnsi" w:hAnsiTheme="minorHAnsi"/>
      <w:b/>
      <w:bCs/>
      <w:caps/>
      <w:sz w:val="24"/>
    </w:rPr>
  </w:style>
  <w:style w:type="paragraph" w:styleId="15">
    <w:name w:val="toc 4"/>
    <w:basedOn w:val="1"/>
    <w:next w:val="1"/>
    <w:unhideWhenUsed/>
    <w:qFormat/>
    <w:uiPriority w:val="39"/>
    <w:pPr>
      <w:ind w:left="630"/>
      <w:jc w:val="left"/>
    </w:pPr>
    <w:rPr>
      <w:rFonts w:asciiTheme="minorHAnsi" w:hAnsiTheme="minorHAnsi"/>
      <w:sz w:val="18"/>
      <w:szCs w:val="18"/>
    </w:rPr>
  </w:style>
  <w:style w:type="paragraph" w:styleId="16">
    <w:name w:val="toc 6"/>
    <w:basedOn w:val="1"/>
    <w:next w:val="1"/>
    <w:unhideWhenUsed/>
    <w:qFormat/>
    <w:uiPriority w:val="39"/>
    <w:pPr>
      <w:ind w:left="1050"/>
      <w:jc w:val="left"/>
    </w:pPr>
    <w:rPr>
      <w:rFonts w:asciiTheme="minorHAnsi" w:hAnsiTheme="minorHAnsi"/>
      <w:sz w:val="18"/>
      <w:szCs w:val="18"/>
    </w:rPr>
  </w:style>
  <w:style w:type="paragraph" w:styleId="17">
    <w:name w:val="toc 2"/>
    <w:basedOn w:val="1"/>
    <w:next w:val="1"/>
    <w:unhideWhenUsed/>
    <w:qFormat/>
    <w:uiPriority w:val="39"/>
    <w:pPr>
      <w:spacing w:line="400" w:lineRule="atLeast"/>
      <w:ind w:left="210"/>
      <w:jc w:val="left"/>
    </w:pPr>
    <w:rPr>
      <w:rFonts w:asciiTheme="minorHAnsi" w:hAnsiTheme="minorHAnsi"/>
      <w:smallCaps/>
      <w:sz w:val="24"/>
    </w:rPr>
  </w:style>
  <w:style w:type="paragraph" w:styleId="18">
    <w:name w:val="toc 9"/>
    <w:basedOn w:val="1"/>
    <w:next w:val="1"/>
    <w:unhideWhenUsed/>
    <w:qFormat/>
    <w:uiPriority w:val="39"/>
    <w:pPr>
      <w:ind w:left="1680"/>
      <w:jc w:val="left"/>
    </w:pPr>
    <w:rPr>
      <w:rFonts w:asciiTheme="minorHAnsi" w:hAnsiTheme="minorHAnsi"/>
      <w:sz w:val="18"/>
      <w:szCs w:val="18"/>
    </w:r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customStyle="1" w:styleId="22">
    <w:name w:val="标题 1 Char"/>
    <w:basedOn w:val="20"/>
    <w:link w:val="2"/>
    <w:qFormat/>
    <w:uiPriority w:val="0"/>
    <w:rPr>
      <w:rFonts w:cs="Arial" w:asciiTheme="minorEastAsia" w:hAnsiTheme="minorEastAsia"/>
      <w:b/>
      <w:bCs/>
      <w:sz w:val="32"/>
      <w:szCs w:val="32"/>
    </w:rPr>
  </w:style>
  <w:style w:type="character" w:customStyle="1" w:styleId="23">
    <w:name w:val="标题 2 Char"/>
    <w:basedOn w:val="20"/>
    <w:link w:val="3"/>
    <w:qFormat/>
    <w:uiPriority w:val="9"/>
    <w:rPr>
      <w:rFonts w:asciiTheme="majorHAnsi" w:hAnsiTheme="majorHAnsi" w:eastAsiaTheme="majorEastAsia" w:cstheme="majorBidi"/>
      <w:b/>
      <w:bCs/>
      <w:kern w:val="0"/>
      <w:sz w:val="32"/>
      <w:szCs w:val="32"/>
    </w:rPr>
  </w:style>
  <w:style w:type="character" w:customStyle="1" w:styleId="24">
    <w:name w:val="页眉 Char"/>
    <w:basedOn w:val="20"/>
    <w:link w:val="13"/>
    <w:qFormat/>
    <w:uiPriority w:val="0"/>
    <w:rPr>
      <w:rFonts w:ascii="Times New Roman" w:hAnsi="Times New Roman" w:eastAsia="宋体" w:cs="Times New Roman"/>
      <w:kern w:val="0"/>
      <w:sz w:val="18"/>
      <w:szCs w:val="18"/>
    </w:rPr>
  </w:style>
  <w:style w:type="character" w:customStyle="1" w:styleId="25">
    <w:name w:val="页脚 Char"/>
    <w:basedOn w:val="20"/>
    <w:link w:val="12"/>
    <w:qFormat/>
    <w:uiPriority w:val="99"/>
    <w:rPr>
      <w:rFonts w:ascii="Times New Roman" w:hAnsi="Times New Roman" w:eastAsia="宋体" w:cs="Times New Roman"/>
      <w:kern w:val="0"/>
      <w:sz w:val="18"/>
      <w:szCs w:val="18"/>
    </w:rPr>
  </w:style>
  <w:style w:type="paragraph" w:customStyle="1" w:styleId="26">
    <w:name w:val="列出段落1"/>
    <w:basedOn w:val="1"/>
    <w:qFormat/>
    <w:uiPriority w:val="34"/>
    <w:pPr>
      <w:ind w:firstLine="420" w:firstLineChars="200"/>
    </w:pPr>
  </w:style>
  <w:style w:type="character" w:customStyle="1" w:styleId="27">
    <w:name w:val="content1"/>
    <w:qFormat/>
    <w:uiPriority w:val="0"/>
    <w:rPr>
      <w:color w:val="000000"/>
      <w:kern w:val="2"/>
      <w:sz w:val="21"/>
      <w:szCs w:val="21"/>
    </w:rPr>
  </w:style>
  <w:style w:type="paragraph" w:customStyle="1" w:styleId="28">
    <w:name w:val="列出段落11"/>
    <w:basedOn w:val="1"/>
    <w:qFormat/>
    <w:uiPriority w:val="34"/>
    <w:pPr>
      <w:widowControl/>
      <w:adjustRightInd/>
      <w:spacing w:line="360" w:lineRule="auto"/>
      <w:ind w:firstLine="420" w:firstLineChars="200"/>
      <w:jc w:val="left"/>
      <w:textAlignment w:val="auto"/>
    </w:pPr>
    <w:rPr>
      <w:sz w:val="20"/>
    </w:rPr>
  </w:style>
  <w:style w:type="paragraph" w:customStyle="1" w:styleId="29">
    <w:name w:val="四级缩2"/>
    <w:basedOn w:val="1"/>
    <w:qFormat/>
    <w:uiPriority w:val="0"/>
    <w:pPr>
      <w:autoSpaceDE w:val="0"/>
      <w:autoSpaceDN w:val="0"/>
      <w:spacing w:line="360" w:lineRule="auto"/>
      <w:ind w:firstLine="544"/>
      <w:textAlignment w:val="auto"/>
    </w:pPr>
    <w:rPr>
      <w:rFonts w:ascii="仿宋_GB2312" w:eastAsia="仿宋_GB2312"/>
      <w:color w:val="000000"/>
      <w:kern w:val="2"/>
      <w:sz w:val="28"/>
      <w:szCs w:val="24"/>
    </w:rPr>
  </w:style>
  <w:style w:type="paragraph" w:customStyle="1" w:styleId="30">
    <w:name w:val="reader-word-layer"/>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31">
    <w:name w:val="结束语 Char"/>
    <w:basedOn w:val="20"/>
    <w:link w:val="6"/>
    <w:qFormat/>
    <w:uiPriority w:val="0"/>
    <w:rPr>
      <w:rFonts w:ascii="Times New Roman" w:hAnsi="Times New Roman" w:eastAsia="宋体" w:cs="Times New Roman"/>
      <w:sz w:val="28"/>
      <w:szCs w:val="24"/>
    </w:rPr>
  </w:style>
  <w:style w:type="character" w:customStyle="1" w:styleId="32">
    <w:name w:val="纯文本 Char"/>
    <w:basedOn w:val="20"/>
    <w:link w:val="9"/>
    <w:qFormat/>
    <w:uiPriority w:val="0"/>
    <w:rPr>
      <w:rFonts w:ascii="Courier New" w:hAnsi="Courier New" w:eastAsia="宋体" w:cs="Times New Roman"/>
    </w:rPr>
  </w:style>
  <w:style w:type="character" w:customStyle="1" w:styleId="33">
    <w:name w:val="称呼 Char"/>
    <w:basedOn w:val="20"/>
    <w:link w:val="5"/>
    <w:qFormat/>
    <w:uiPriority w:val="0"/>
    <w:rPr>
      <w:rFonts w:ascii="Times New Roman" w:hAnsi="Times New Roman" w:eastAsia="宋体" w:cs="Times New Roman"/>
      <w:sz w:val="28"/>
      <w:szCs w:val="20"/>
    </w:rPr>
  </w:style>
  <w:style w:type="character" w:customStyle="1" w:styleId="34">
    <w:name w:val="批注框文本 Char"/>
    <w:basedOn w:val="20"/>
    <w:link w:val="11"/>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08696-4E48-4027-92F9-5BDBC37C8B32}">
  <ds:schemaRefs/>
</ds:datastoreItem>
</file>

<file path=docProps/app.xml><?xml version="1.0" encoding="utf-8"?>
<Properties xmlns="http://schemas.openxmlformats.org/officeDocument/2006/extended-properties" xmlns:vt="http://schemas.openxmlformats.org/officeDocument/2006/docPropsVTypes">
  <Template>Normal.dotm</Template>
  <Company>Zhuozhengsoft</Company>
  <Pages>52</Pages>
  <Words>4956</Words>
  <Characters>28251</Characters>
  <Lines>235</Lines>
  <Paragraphs>66</Paragraphs>
  <TotalTime>17</TotalTime>
  <ScaleCrop>false</ScaleCrop>
  <LinksUpToDate>false</LinksUpToDate>
  <CharactersWithSpaces>33141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2019-08-27T03:07:00Z</dcterms:created>
  <dc:creator>somebody</dc:creator>
  <cp:lastModifiedBy>anonymous</cp:lastModifiedBy>
  <dcterms:modified xsi:type="dcterms:W3CDTF">2020-03-30T00:54:26Z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