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略阳县利玛花苑小区内国有出让土地</w:t>
      </w:r>
    </w:p>
    <w:p>
      <w:pPr>
        <w:jc w:val="center"/>
        <w:rPr>
          <w:rFonts w:ascii="黑体" w:hAnsi="黑体" w:eastAsia="黑体" w:cs="黑体"/>
          <w:b/>
          <w:sz w:val="52"/>
          <w:szCs w:val="52"/>
        </w:rPr>
      </w:pPr>
      <w:r>
        <w:rPr>
          <w:rFonts w:hint="eastAsia" w:ascii="黑体" w:hAnsi="黑体" w:eastAsia="黑体" w:cs="黑体"/>
          <w:b/>
          <w:sz w:val="52"/>
          <w:szCs w:val="52"/>
          <w:lang w:val="en-US" w:eastAsia="zh-CN"/>
        </w:rPr>
        <w:t xml:space="preserve">价 格 </w:t>
      </w:r>
      <w:r>
        <w:rPr>
          <w:rFonts w:hint="eastAsia" w:ascii="黑体" w:hAnsi="黑体" w:eastAsia="黑体" w:cs="黑体"/>
          <w:b/>
          <w:sz w:val="52"/>
          <w:szCs w:val="52"/>
          <w:lang w:eastAsia="zh-CN"/>
        </w:rPr>
        <w:t>评</w:t>
      </w:r>
      <w:r>
        <w:rPr>
          <w:rFonts w:hint="eastAsia" w:ascii="黑体" w:hAnsi="黑体" w:eastAsia="黑体" w:cs="黑体"/>
          <w:b/>
          <w:sz w:val="52"/>
          <w:szCs w:val="52"/>
          <w:lang w:val="en-US" w:eastAsia="zh-CN"/>
        </w:rPr>
        <w:t xml:space="preserve"> </w:t>
      </w:r>
      <w:r>
        <w:rPr>
          <w:rFonts w:hint="eastAsia" w:ascii="黑体" w:hAnsi="黑体" w:eastAsia="黑体" w:cs="黑体"/>
          <w:b/>
          <w:sz w:val="52"/>
          <w:szCs w:val="52"/>
          <w:lang w:eastAsia="zh-CN"/>
        </w:rPr>
        <w:t>估</w:t>
      </w:r>
      <w:r>
        <w:rPr>
          <w:rFonts w:hint="eastAsia" w:ascii="黑体" w:hAnsi="黑体" w:eastAsia="黑体" w:cs="黑体"/>
          <w:b/>
          <w:sz w:val="52"/>
          <w:szCs w:val="52"/>
        </w:rPr>
        <w:t xml:space="preserve"> 报 告</w:t>
      </w:r>
    </w:p>
    <w:p>
      <w:pPr>
        <w:jc w:val="center"/>
        <w:rPr>
          <w:rFonts w:ascii="仿宋" w:hAnsi="仿宋" w:eastAsia="仿宋" w:cs="仿宋"/>
          <w:b/>
          <w:sz w:val="28"/>
          <w:szCs w:val="28"/>
        </w:rPr>
      </w:pPr>
      <w:r>
        <w:rPr>
          <w:rFonts w:hint="eastAsia" w:ascii="黑体" w:hAnsi="黑体" w:eastAsia="黑体" w:cs="黑体"/>
          <w:sz w:val="28"/>
          <w:szCs w:val="28"/>
        </w:rPr>
        <w:t>秦价汉</w:t>
      </w:r>
      <w:r>
        <w:rPr>
          <w:rFonts w:hint="eastAsia" w:ascii="黑体" w:hAnsi="黑体" w:eastAsia="黑体" w:cs="黑体"/>
          <w:sz w:val="28"/>
          <w:szCs w:val="28"/>
          <w:lang w:val="en-US" w:eastAsia="zh-CN"/>
        </w:rPr>
        <w:t>评</w:t>
      </w:r>
      <w:r>
        <w:rPr>
          <w:rFonts w:hint="eastAsia" w:ascii="黑体" w:hAnsi="黑体" w:eastAsia="黑体" w:cs="黑体"/>
          <w:sz w:val="28"/>
          <w:szCs w:val="28"/>
        </w:rPr>
        <w:t>字[20</w:t>
      </w:r>
      <w:r>
        <w:rPr>
          <w:rFonts w:hint="eastAsia" w:ascii="黑体" w:hAnsi="黑体" w:eastAsia="黑体" w:cs="黑体"/>
          <w:sz w:val="28"/>
          <w:szCs w:val="28"/>
          <w:lang w:val="en-US" w:eastAsia="zh-CN"/>
        </w:rPr>
        <w:t>20</w:t>
      </w:r>
      <w:r>
        <w:rPr>
          <w:rFonts w:hint="eastAsia" w:ascii="黑体" w:hAnsi="黑体" w:eastAsia="黑体" w:cs="黑体"/>
          <w:sz w:val="28"/>
          <w:szCs w:val="28"/>
        </w:rPr>
        <w:t>]</w:t>
      </w:r>
      <w:r>
        <w:rPr>
          <w:rFonts w:hint="eastAsia" w:ascii="黑体" w:hAnsi="黑体" w:eastAsia="黑体" w:cs="黑体"/>
          <w:sz w:val="28"/>
          <w:szCs w:val="28"/>
          <w:lang w:val="en-US" w:eastAsia="zh-CN"/>
        </w:rPr>
        <w:t>108-6</w:t>
      </w:r>
      <w:r>
        <w:rPr>
          <w:rFonts w:hint="eastAsia" w:ascii="黑体" w:hAnsi="黑体" w:eastAsia="黑体" w:cs="黑体"/>
          <w:sz w:val="28"/>
          <w:szCs w:val="28"/>
        </w:rPr>
        <w:t>号</w:t>
      </w:r>
    </w:p>
    <w:p>
      <w:pPr>
        <w:spacing w:line="640" w:lineRule="exact"/>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汉中联合美新房地产发展有限公司、</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both"/>
        <w:textAlignment w:val="auto"/>
        <w:outlineLvl w:val="9"/>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陕西大东建设工程有限公司：</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根据</w:t>
      </w:r>
      <w:r>
        <w:rPr>
          <w:rFonts w:hint="eastAsia" w:ascii="仿宋" w:hAnsi="仿宋" w:eastAsia="仿宋" w:cs="仿宋"/>
          <w:sz w:val="30"/>
          <w:szCs w:val="30"/>
          <w:lang w:eastAsia="zh-CN"/>
        </w:rPr>
        <w:t>你们双方公司</w:t>
      </w:r>
      <w:r>
        <w:rPr>
          <w:rFonts w:hint="eastAsia" w:ascii="仿宋" w:hAnsi="仿宋" w:eastAsia="仿宋" w:cs="仿宋"/>
          <w:sz w:val="30"/>
          <w:szCs w:val="30"/>
        </w:rPr>
        <w:t>的委托，遵循</w:t>
      </w:r>
      <w:r>
        <w:rPr>
          <w:rFonts w:hint="eastAsia" w:ascii="仿宋" w:hAnsi="仿宋" w:eastAsia="仿宋" w:cs="仿宋"/>
          <w:sz w:val="30"/>
          <w:szCs w:val="30"/>
          <w:lang w:eastAsia="zh-CN"/>
        </w:rPr>
        <w:t>依法、公正、科学、效率</w:t>
      </w:r>
      <w:r>
        <w:rPr>
          <w:rFonts w:hint="eastAsia" w:ascii="仿宋" w:hAnsi="仿宋" w:eastAsia="仿宋" w:cs="仿宋"/>
          <w:sz w:val="30"/>
          <w:szCs w:val="30"/>
        </w:rPr>
        <w:t>的原则，按照规定的标准、程序和方法，我公司依法对</w:t>
      </w:r>
      <w:r>
        <w:rPr>
          <w:rFonts w:hint="eastAsia" w:ascii="仿宋" w:hAnsi="仿宋" w:eastAsia="仿宋" w:cs="仿宋"/>
          <w:sz w:val="30"/>
          <w:szCs w:val="30"/>
          <w:lang w:eastAsia="zh-CN"/>
        </w:rPr>
        <w:t>你双方单位共同委托的汉中市略阳县利玛花苑小区内国有出让土地（</w:t>
      </w:r>
      <w:r>
        <w:rPr>
          <w:rFonts w:hint="eastAsia" w:ascii="仿宋" w:hAnsi="仿宋" w:eastAsia="仿宋" w:cs="仿宋"/>
          <w:sz w:val="30"/>
          <w:szCs w:val="30"/>
          <w:lang w:val="en-US" w:eastAsia="zh-CN"/>
        </w:rPr>
        <w:t>4号楼剩余未建土地约1.5亩</w:t>
      </w:r>
      <w:r>
        <w:rPr>
          <w:rFonts w:hint="eastAsia" w:ascii="仿宋" w:hAnsi="仿宋" w:eastAsia="仿宋" w:cs="仿宋"/>
          <w:sz w:val="30"/>
          <w:szCs w:val="30"/>
          <w:lang w:eastAsia="zh-CN"/>
        </w:rPr>
        <w:t>）</w:t>
      </w:r>
      <w:r>
        <w:rPr>
          <w:rFonts w:hint="eastAsia" w:ascii="仿宋" w:hAnsi="仿宋" w:eastAsia="仿宋" w:cs="仿宋"/>
          <w:sz w:val="30"/>
          <w:szCs w:val="30"/>
        </w:rPr>
        <w:t>进行了价格评估。现将价格评估情况综述如下：</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价格评估标的</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略阳县利玛花苑</w:t>
      </w:r>
      <w:r>
        <w:rPr>
          <w:rFonts w:hint="eastAsia" w:ascii="仿宋" w:hAnsi="仿宋" w:eastAsia="仿宋" w:cs="仿宋"/>
          <w:sz w:val="30"/>
          <w:szCs w:val="30"/>
          <w:lang w:val="en-US" w:eastAsia="zh-CN"/>
        </w:rPr>
        <w:t>小区内国有出让土地（4号楼剩余未建土地约1.5亩）。</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价格评估目的</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确定价格评估标的在价格评估基准日的</w:t>
      </w:r>
      <w:r>
        <w:rPr>
          <w:rFonts w:hint="eastAsia" w:ascii="仿宋" w:hAnsi="仿宋" w:eastAsia="仿宋" w:cs="仿宋"/>
          <w:sz w:val="30"/>
          <w:szCs w:val="30"/>
          <w:lang w:eastAsia="zh-CN"/>
        </w:rPr>
        <w:t>市场</w:t>
      </w:r>
      <w:r>
        <w:rPr>
          <w:rFonts w:hint="eastAsia" w:ascii="仿宋" w:hAnsi="仿宋" w:eastAsia="仿宋" w:cs="仿宋"/>
          <w:sz w:val="30"/>
          <w:szCs w:val="30"/>
        </w:rPr>
        <w:t>价格，为</w:t>
      </w:r>
      <w:r>
        <w:rPr>
          <w:rFonts w:hint="eastAsia" w:ascii="仿宋" w:hAnsi="仿宋" w:eastAsia="仿宋" w:cs="仿宋"/>
          <w:sz w:val="30"/>
          <w:szCs w:val="30"/>
          <w:lang w:eastAsia="zh-CN"/>
        </w:rPr>
        <w:t>双方委托人</w:t>
      </w:r>
      <w:r>
        <w:rPr>
          <w:rFonts w:hint="eastAsia" w:ascii="仿宋" w:hAnsi="仿宋" w:eastAsia="仿宋" w:cs="仿宋"/>
          <w:sz w:val="30"/>
          <w:szCs w:val="30"/>
        </w:rPr>
        <w:t>提供标的价格</w:t>
      </w:r>
      <w:r>
        <w:rPr>
          <w:rFonts w:hint="eastAsia" w:ascii="仿宋" w:hAnsi="仿宋" w:eastAsia="仿宋" w:cs="仿宋"/>
          <w:sz w:val="30"/>
          <w:szCs w:val="30"/>
          <w:lang w:val="en-US" w:eastAsia="zh-CN"/>
        </w:rPr>
        <w:t>参考</w:t>
      </w:r>
      <w:r>
        <w:rPr>
          <w:rFonts w:hint="eastAsia" w:ascii="仿宋" w:hAnsi="仿宋" w:eastAsia="仿宋" w:cs="仿宋"/>
          <w:sz w:val="30"/>
          <w:szCs w:val="30"/>
        </w:rPr>
        <w:t>依据。</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价格评估基准日</w:t>
      </w:r>
    </w:p>
    <w:p>
      <w:pPr>
        <w:keepNext w:val="0"/>
        <w:keepLines w:val="0"/>
        <w:pageBreakBefore w:val="0"/>
        <w:widowControl w:val="0"/>
        <w:kinsoku/>
        <w:wordWrap/>
        <w:overflowPunct/>
        <w:topLinePunct w:val="0"/>
        <w:autoSpaceDE/>
        <w:autoSpaceDN/>
        <w:bidi w:val="0"/>
        <w:adjustRightInd/>
        <w:snapToGrid/>
        <w:spacing w:line="640" w:lineRule="exact"/>
        <w:ind w:lef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本次价格评估基准日为20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8</w:t>
      </w:r>
      <w:r>
        <w:rPr>
          <w:rFonts w:hint="eastAsia" w:ascii="仿宋" w:hAnsi="仿宋" w:eastAsia="仿宋" w:cs="仿宋"/>
          <w:sz w:val="30"/>
          <w:szCs w:val="30"/>
        </w:rPr>
        <w:t>日。</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价格定义</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价格评估结论所指价格是：评估标的在评估基准日，采用公开市场价值标准确定的客观合理的价格。</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价格评估依据</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00" w:firstLineChars="200"/>
        <w:jc w:val="both"/>
        <w:textAlignment w:val="auto"/>
        <w:rPr>
          <w:rFonts w:ascii="仿宋" w:hAnsi="仿宋" w:eastAsia="仿宋" w:cs="仿宋"/>
          <w:sz w:val="30"/>
          <w:szCs w:val="30"/>
        </w:rPr>
      </w:pPr>
      <w:r>
        <w:rPr>
          <w:rFonts w:hint="eastAsia" w:ascii="仿宋" w:hAnsi="仿宋" w:eastAsia="仿宋" w:cs="仿宋"/>
          <w:sz w:val="30"/>
          <w:szCs w:val="30"/>
        </w:rPr>
        <w:t>有关的法律、法规及技术标准文件</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《中华人民共和国价格法》；</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《中华人民共和国</w:t>
      </w:r>
      <w:r>
        <w:rPr>
          <w:rFonts w:hint="eastAsia" w:ascii="仿宋" w:hAnsi="仿宋" w:eastAsia="仿宋" w:cs="仿宋"/>
          <w:sz w:val="30"/>
          <w:szCs w:val="30"/>
          <w:lang w:eastAsia="zh-CN"/>
        </w:rPr>
        <w:t>土地管理</w:t>
      </w:r>
      <w:r>
        <w:rPr>
          <w:rFonts w:hint="eastAsia" w:ascii="仿宋" w:hAnsi="仿宋" w:eastAsia="仿宋" w:cs="仿宋"/>
          <w:sz w:val="30"/>
          <w:szCs w:val="30"/>
        </w:rPr>
        <w:t>法》；</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《中华人民共和国城市房地产管理法》；</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中华人民共和国国家标准《房地产估价规范》；</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《中华人民共和国城镇国有土地使用权出让和转让暂行条例》；</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《中华人民共和国物权法》；</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《价格评估执业规范》（2017）；</w:t>
      </w:r>
    </w:p>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《陕西省价格鉴证操作规范》（试行）。</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00" w:firstLineChars="200"/>
        <w:jc w:val="both"/>
        <w:textAlignment w:val="auto"/>
        <w:rPr>
          <w:rFonts w:ascii="仿宋" w:hAnsi="仿宋" w:eastAsia="仿宋" w:cs="仿宋"/>
          <w:sz w:val="30"/>
          <w:szCs w:val="30"/>
        </w:rPr>
      </w:pPr>
      <w:r>
        <w:rPr>
          <w:rFonts w:hint="eastAsia" w:ascii="仿宋" w:hAnsi="仿宋" w:eastAsia="仿宋" w:cs="仿宋"/>
          <w:sz w:val="30"/>
          <w:szCs w:val="30"/>
        </w:rPr>
        <w:t>委托方提供的有关资料</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eastAsia="zh-CN"/>
        </w:rPr>
        <w:t>汉中联合美新房地产发展有限公司及陕西大东建设工程有限公司共同委托的《价格评估委托书》；</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略国用（2015）第9号土地使用证复印件；</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委托方提供的其他相关资料。</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00" w:firstLineChars="200"/>
        <w:jc w:val="both"/>
        <w:textAlignment w:val="auto"/>
        <w:rPr>
          <w:rFonts w:ascii="仿宋" w:hAnsi="仿宋" w:eastAsia="仿宋" w:cs="仿宋"/>
          <w:sz w:val="30"/>
          <w:szCs w:val="30"/>
        </w:rPr>
      </w:pPr>
      <w:r>
        <w:rPr>
          <w:rFonts w:hint="eastAsia" w:ascii="仿宋" w:hAnsi="仿宋" w:eastAsia="仿宋" w:cs="仿宋"/>
          <w:sz w:val="30"/>
          <w:szCs w:val="30"/>
        </w:rPr>
        <w:t>评估方收集的有关资料</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现场勘验资料；</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市场调查资料。</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价格评估方法</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根据本次价格评估标的的目的及特点，</w:t>
      </w:r>
      <w:r>
        <w:rPr>
          <w:rFonts w:hint="eastAsia" w:ascii="仿宋" w:hAnsi="仿宋" w:eastAsia="仿宋" w:cs="仿宋"/>
          <w:sz w:val="30"/>
          <w:szCs w:val="30"/>
          <w:lang w:eastAsia="zh-CN"/>
        </w:rPr>
        <w:t>确定本次评估标的采用基准地价修正系数法和假设开发法</w:t>
      </w:r>
      <w:r>
        <w:rPr>
          <w:rFonts w:hint="eastAsia" w:ascii="仿宋" w:hAnsi="仿宋" w:eastAsia="仿宋" w:cs="仿宋"/>
          <w:sz w:val="30"/>
          <w:szCs w:val="30"/>
        </w:rPr>
        <w:t>。</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价格评估过程</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接受委托后，本公司组成了价格评估小组，</w:t>
      </w:r>
      <w:r>
        <w:rPr>
          <w:rFonts w:hint="eastAsia" w:ascii="仿宋" w:hAnsi="仿宋" w:eastAsia="仿宋" w:cs="仿宋"/>
          <w:sz w:val="30"/>
          <w:szCs w:val="30"/>
          <w:lang w:eastAsia="zh-CN"/>
        </w:rPr>
        <w:t>在详细查阅了委托方提供相关资料的基础上，</w:t>
      </w:r>
      <w:r>
        <w:rPr>
          <w:rFonts w:hint="eastAsia" w:ascii="仿宋" w:hAnsi="仿宋" w:eastAsia="仿宋" w:cs="仿宋"/>
          <w:sz w:val="30"/>
          <w:szCs w:val="30"/>
        </w:rPr>
        <w:t>制定了作业方案，</w:t>
      </w:r>
      <w:r>
        <w:rPr>
          <w:rFonts w:hint="eastAsia" w:ascii="仿宋" w:hAnsi="仿宋" w:eastAsia="仿宋" w:cs="仿宋"/>
          <w:sz w:val="30"/>
          <w:szCs w:val="30"/>
          <w:lang w:eastAsia="zh-CN"/>
        </w:rPr>
        <w:t>并在双方委托人及相关人员的陪同下，</w:t>
      </w:r>
      <w:r>
        <w:rPr>
          <w:rFonts w:hint="eastAsia" w:ascii="仿宋" w:hAnsi="仿宋" w:eastAsia="仿宋" w:cs="仿宋"/>
          <w:sz w:val="30"/>
          <w:szCs w:val="30"/>
        </w:rPr>
        <w:t>前往</w:t>
      </w:r>
      <w:r>
        <w:rPr>
          <w:rFonts w:hint="eastAsia" w:ascii="仿宋" w:hAnsi="仿宋" w:eastAsia="仿宋" w:cs="仿宋"/>
          <w:sz w:val="30"/>
          <w:szCs w:val="30"/>
          <w:lang w:eastAsia="zh-CN"/>
        </w:rPr>
        <w:t>汉中市略阳县城关镇宫地山村柳树坝村利玛花苑小区，共同对双方委托的宗地</w:t>
      </w:r>
      <w:r>
        <w:rPr>
          <w:rFonts w:hint="eastAsia" w:ascii="仿宋" w:hAnsi="仿宋" w:eastAsia="仿宋" w:cs="仿宋"/>
          <w:sz w:val="30"/>
          <w:szCs w:val="30"/>
          <w:lang w:val="en-US" w:eastAsia="zh-CN"/>
        </w:rPr>
        <w:t>进行了现场勘验，</w:t>
      </w:r>
      <w:r>
        <w:rPr>
          <w:rFonts w:hint="eastAsia" w:ascii="仿宋" w:hAnsi="仿宋" w:eastAsia="仿宋" w:cs="仿宋"/>
          <w:sz w:val="30"/>
          <w:szCs w:val="30"/>
        </w:rPr>
        <w:t>依据委托方提供的</w:t>
      </w:r>
      <w:r>
        <w:rPr>
          <w:rFonts w:hint="eastAsia" w:ascii="仿宋" w:hAnsi="仿宋" w:eastAsia="仿宋" w:cs="仿宋"/>
          <w:sz w:val="30"/>
          <w:szCs w:val="30"/>
          <w:lang w:val="en-US" w:eastAsia="zh-CN"/>
        </w:rPr>
        <w:t>相关资料，</w:t>
      </w:r>
      <w:r>
        <w:rPr>
          <w:rFonts w:hint="eastAsia" w:ascii="仿宋" w:hAnsi="仿宋" w:eastAsia="仿宋" w:cs="仿宋"/>
          <w:sz w:val="30"/>
          <w:szCs w:val="30"/>
        </w:rPr>
        <w:t>根据国家有关</w:t>
      </w:r>
      <w:r>
        <w:rPr>
          <w:rFonts w:hint="eastAsia" w:ascii="仿宋" w:hAnsi="仿宋" w:eastAsia="仿宋" w:cs="仿宋"/>
          <w:sz w:val="30"/>
          <w:szCs w:val="30"/>
          <w:lang w:eastAsia="zh-CN"/>
        </w:rPr>
        <w:t>房地产</w:t>
      </w:r>
      <w:r>
        <w:rPr>
          <w:rFonts w:hint="eastAsia" w:ascii="仿宋" w:hAnsi="仿宋" w:eastAsia="仿宋" w:cs="仿宋"/>
          <w:sz w:val="30"/>
          <w:szCs w:val="30"/>
        </w:rPr>
        <w:t>价格评估的规程和标准，严格按照价格评估</w:t>
      </w:r>
      <w:r>
        <w:rPr>
          <w:rFonts w:hint="eastAsia" w:ascii="仿宋" w:hAnsi="仿宋" w:eastAsia="仿宋" w:cs="仿宋"/>
          <w:sz w:val="30"/>
          <w:szCs w:val="30"/>
          <w:lang w:eastAsia="zh-CN"/>
        </w:rPr>
        <w:t>的</w:t>
      </w:r>
      <w:r>
        <w:rPr>
          <w:rFonts w:hint="eastAsia" w:ascii="仿宋" w:hAnsi="仿宋" w:eastAsia="仿宋" w:cs="仿宋"/>
          <w:sz w:val="30"/>
          <w:szCs w:val="30"/>
        </w:rPr>
        <w:t>程序和原则，</w:t>
      </w:r>
      <w:r>
        <w:rPr>
          <w:rFonts w:hint="eastAsia" w:ascii="仿宋" w:hAnsi="仿宋" w:eastAsia="仿宋" w:cs="仿宋"/>
          <w:sz w:val="30"/>
          <w:szCs w:val="30"/>
          <w:lang w:eastAsia="zh-CN"/>
        </w:rPr>
        <w:t>运用基准地价修正系数法和假设开发法，对</w:t>
      </w:r>
      <w:r>
        <w:rPr>
          <w:rFonts w:hint="eastAsia" w:ascii="仿宋" w:hAnsi="仿宋" w:eastAsia="仿宋" w:cs="仿宋"/>
          <w:sz w:val="30"/>
          <w:szCs w:val="30"/>
        </w:rPr>
        <w:t>本次</w:t>
      </w:r>
      <w:r>
        <w:rPr>
          <w:rFonts w:hint="eastAsia" w:ascii="仿宋" w:hAnsi="仿宋" w:eastAsia="仿宋" w:cs="仿宋"/>
          <w:sz w:val="30"/>
          <w:szCs w:val="30"/>
          <w:lang w:eastAsia="zh-CN"/>
        </w:rPr>
        <w:t>价格评估标的</w:t>
      </w:r>
      <w:r>
        <w:rPr>
          <w:rFonts w:hint="eastAsia" w:ascii="仿宋" w:hAnsi="仿宋" w:eastAsia="仿宋" w:cs="仿宋"/>
          <w:sz w:val="30"/>
          <w:szCs w:val="30"/>
        </w:rPr>
        <w:t>在价格评估基准日的价格进行了</w:t>
      </w:r>
      <w:r>
        <w:rPr>
          <w:rFonts w:hint="eastAsia" w:ascii="仿宋" w:hAnsi="仿宋" w:eastAsia="仿宋" w:cs="仿宋"/>
          <w:sz w:val="30"/>
          <w:szCs w:val="30"/>
          <w:lang w:eastAsia="zh-CN"/>
        </w:rPr>
        <w:t>价格</w:t>
      </w:r>
      <w:r>
        <w:rPr>
          <w:rFonts w:hint="eastAsia" w:ascii="仿宋" w:hAnsi="仿宋" w:eastAsia="仿宋" w:cs="仿宋"/>
          <w:sz w:val="30"/>
          <w:szCs w:val="30"/>
        </w:rPr>
        <w:t>评估</w:t>
      </w:r>
      <w:r>
        <w:rPr>
          <w:rFonts w:hint="eastAsia" w:ascii="仿宋" w:hAnsi="仿宋" w:eastAsia="仿宋" w:cs="仿宋"/>
          <w:sz w:val="30"/>
          <w:szCs w:val="30"/>
          <w:lang w:eastAsia="zh-CN"/>
        </w:rPr>
        <w:t>（详见附件</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价格评估技术报告）。</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lang w:eastAsia="zh-CN"/>
        </w:rPr>
      </w:pPr>
      <w:r>
        <w:rPr>
          <w:rFonts w:hint="eastAsia" w:ascii="仿宋" w:hAnsi="仿宋" w:eastAsia="仿宋" w:cs="仿宋"/>
          <w:b/>
          <w:sz w:val="30"/>
          <w:szCs w:val="30"/>
        </w:rPr>
        <w:t>价格评估结论</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本次评估标</w:t>
      </w:r>
      <w:r>
        <w:rPr>
          <w:rFonts w:hint="eastAsia" w:ascii="仿宋" w:hAnsi="仿宋" w:eastAsia="仿宋" w:cs="仿宋"/>
          <w:sz w:val="30"/>
          <w:szCs w:val="30"/>
          <w:lang w:eastAsia="zh-CN"/>
        </w:rPr>
        <w:t>的在</w:t>
      </w:r>
      <w:r>
        <w:rPr>
          <w:rFonts w:hint="eastAsia" w:ascii="仿宋" w:hAnsi="仿宋" w:eastAsia="仿宋" w:cs="仿宋"/>
          <w:sz w:val="30"/>
          <w:szCs w:val="30"/>
        </w:rPr>
        <w:t>价格评估基准日的评估价格为￥</w:t>
      </w:r>
      <w:r>
        <w:rPr>
          <w:rFonts w:hint="eastAsia" w:ascii="仿宋" w:hAnsi="仿宋" w:eastAsia="仿宋" w:cs="仿宋"/>
          <w:sz w:val="30"/>
          <w:szCs w:val="30"/>
          <w:lang w:val="en-US" w:eastAsia="zh-CN"/>
        </w:rPr>
        <w:t>1401000</w:t>
      </w:r>
      <w:r>
        <w:rPr>
          <w:rFonts w:hint="eastAsia" w:ascii="仿宋" w:hAnsi="仿宋" w:eastAsia="仿宋" w:cs="仿宋"/>
          <w:sz w:val="30"/>
          <w:szCs w:val="30"/>
        </w:rPr>
        <w:t>. 00元（人民币：</w:t>
      </w:r>
      <w:r>
        <w:rPr>
          <w:rFonts w:hint="eastAsia" w:ascii="仿宋" w:hAnsi="仿宋" w:eastAsia="仿宋" w:cs="仿宋"/>
          <w:sz w:val="30"/>
          <w:szCs w:val="30"/>
          <w:lang w:val="en-US" w:eastAsia="zh-CN"/>
        </w:rPr>
        <w:t>壹佰肆拾万壹仟</w:t>
      </w:r>
      <w:r>
        <w:rPr>
          <w:rFonts w:hint="eastAsia" w:ascii="仿宋" w:hAnsi="仿宋" w:eastAsia="仿宋" w:cs="仿宋"/>
          <w:sz w:val="30"/>
          <w:szCs w:val="30"/>
          <w:lang w:val="en"/>
        </w:rPr>
        <w:t>元整</w:t>
      </w:r>
      <w:r>
        <w:rPr>
          <w:rFonts w:hint="eastAsia" w:ascii="仿宋" w:hAnsi="仿宋" w:eastAsia="仿宋" w:cs="仿宋"/>
          <w:sz w:val="30"/>
          <w:szCs w:val="30"/>
        </w:rPr>
        <w:t>）评估结果保留整数</w:t>
      </w:r>
      <w:r>
        <w:rPr>
          <w:rFonts w:hint="eastAsia" w:ascii="仿宋" w:hAnsi="仿宋" w:eastAsia="仿宋" w:cs="仿宋"/>
          <w:sz w:val="30"/>
          <w:szCs w:val="30"/>
          <w:lang w:eastAsia="zh-CN"/>
        </w:rPr>
        <w:t>。</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价格评估限定条件</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委托方提供资料客观、真实；</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评估标的项目、数量、产权无争议；</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本报告中的面积仅作测算使用，不做确权使用；</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本报告未考虑未来市场波动因素；</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本结论是建立在标的符合国家法律、法规及权属无争议的前提下产生的；</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任何针对本次评估进行了经济行为均应遵循国家有关法律、法规和制度；</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本评估结论有效期自本结论报告书出具之日起壹年内。</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声明</w:t>
      </w:r>
    </w:p>
    <w:p>
      <w:pPr>
        <w:keepNext w:val="0"/>
        <w:keepLines w:val="0"/>
        <w:pageBreakBefore w:val="0"/>
        <w:widowControl w:val="0"/>
        <w:numPr>
          <w:ilvl w:val="0"/>
          <w:numId w:val="7"/>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评估结论受价格评估报告中已说明的限定条件限制；</w:t>
      </w:r>
    </w:p>
    <w:p>
      <w:pPr>
        <w:keepNext w:val="0"/>
        <w:keepLines w:val="0"/>
        <w:pageBreakBefore w:val="0"/>
        <w:widowControl w:val="0"/>
        <w:numPr>
          <w:ilvl w:val="0"/>
          <w:numId w:val="7"/>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委托方提供资料的真实性由委托方负责；</w:t>
      </w:r>
    </w:p>
    <w:p>
      <w:pPr>
        <w:keepNext w:val="0"/>
        <w:keepLines w:val="0"/>
        <w:pageBreakBefore w:val="0"/>
        <w:widowControl w:val="0"/>
        <w:numPr>
          <w:ilvl w:val="0"/>
          <w:numId w:val="7"/>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价格评估结论仅对本次委托有效，不做他用，未经我公司同意，不得向委托方和有关当事人之外的任何单位和个人提供，评估报告的全部或部分内容不得发表于任何公开媒体上；</w:t>
      </w:r>
    </w:p>
    <w:p>
      <w:pPr>
        <w:keepNext w:val="0"/>
        <w:keepLines w:val="0"/>
        <w:pageBreakBefore w:val="0"/>
        <w:widowControl w:val="0"/>
        <w:numPr>
          <w:ilvl w:val="0"/>
          <w:numId w:val="7"/>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评估机构和评估人员与价格评估标的没有利害关系，也与有关当事人没有利害关系；</w:t>
      </w:r>
    </w:p>
    <w:p>
      <w:pPr>
        <w:keepNext w:val="0"/>
        <w:keepLines w:val="0"/>
        <w:pageBreakBefore w:val="0"/>
        <w:widowControl w:val="0"/>
        <w:numPr>
          <w:ilvl w:val="0"/>
          <w:numId w:val="7"/>
        </w:numPr>
        <w:tabs>
          <w:tab w:val="clear" w:pos="0"/>
        </w:tabs>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如对本结论有异议，可于价格评估报告送达之日起十日内书面向评估机构提出重新、补充评估。</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firstLine="602" w:firstLineChars="200"/>
        <w:jc w:val="both"/>
        <w:textAlignment w:val="auto"/>
        <w:rPr>
          <w:rFonts w:ascii="仿宋" w:hAnsi="仿宋" w:eastAsia="仿宋" w:cs="仿宋"/>
          <w:sz w:val="30"/>
          <w:szCs w:val="30"/>
        </w:rPr>
      </w:pPr>
      <w:r>
        <w:rPr>
          <w:rFonts w:hint="eastAsia" w:ascii="仿宋" w:hAnsi="仿宋" w:eastAsia="仿宋" w:cs="仿宋"/>
          <w:b/>
          <w:sz w:val="30"/>
          <w:szCs w:val="30"/>
        </w:rPr>
        <w:t>价格评估作业日期</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8</w:t>
      </w:r>
      <w:r>
        <w:rPr>
          <w:rFonts w:hint="eastAsia" w:ascii="仿宋" w:hAnsi="仿宋" w:eastAsia="仿宋" w:cs="仿宋"/>
          <w:sz w:val="30"/>
          <w:szCs w:val="30"/>
        </w:rPr>
        <w:t>日至20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r>
        <w:rPr>
          <w:rFonts w:hint="eastAsia" w:ascii="仿宋" w:hAnsi="仿宋" w:eastAsia="仿宋" w:cs="仿宋"/>
          <w:sz w:val="30"/>
          <w:szCs w:val="30"/>
          <w:lang w:eastAsia="zh-CN"/>
        </w:rPr>
        <w:t>。</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ascii="仿宋" w:hAnsi="仿宋" w:eastAsia="仿宋" w:cs="仿宋"/>
          <w:sz w:val="30"/>
          <w:szCs w:val="30"/>
        </w:rPr>
      </w:pPr>
      <w:r>
        <w:rPr>
          <w:rFonts w:hint="eastAsia" w:ascii="仿宋" w:hAnsi="仿宋" w:eastAsia="仿宋" w:cs="仿宋"/>
          <w:b/>
          <w:sz w:val="30"/>
          <w:szCs w:val="30"/>
        </w:rPr>
        <w:t>价格评估机构</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机构名称：陕西秦正价格评估有限公司</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机构资质证号：陕J610012</w:t>
      </w: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价格评估人员：</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姓名        执业资格名称       资格证号    </w:t>
      </w:r>
      <w:r>
        <w:rPr>
          <w:rFonts w:hint="eastAsia" w:ascii="仿宋" w:hAnsi="仿宋" w:eastAsia="仿宋" w:cs="仿宋"/>
          <w:sz w:val="30"/>
          <w:szCs w:val="30"/>
        </w:rPr>
        <w:t>印章</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签字</w:t>
      </w:r>
    </w:p>
    <w:p>
      <w:pPr>
        <w:keepNext w:val="0"/>
        <w:keepLines w:val="0"/>
        <w:pageBreakBefore w:val="0"/>
        <w:widowControl w:val="0"/>
        <w:kinsoku/>
        <w:wordWrap/>
        <w:overflowPunct/>
        <w:topLinePunct w:val="0"/>
        <w:autoSpaceDE/>
        <w:autoSpaceDN/>
        <w:bidi w:val="0"/>
        <w:adjustRightInd/>
        <w:snapToGrid/>
        <w:spacing w:line="640" w:lineRule="exact"/>
        <w:ind w:right="0" w:rightChars="0" w:firstLine="560" w:firstLineChars="200"/>
        <w:jc w:val="both"/>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color w:val="000000"/>
          <w:sz w:val="28"/>
          <w:szCs w:val="28"/>
          <w:lang w:eastAsia="zh-CN"/>
        </w:rPr>
      </w:pPr>
      <w:r>
        <w:rPr>
          <w:rFonts w:hint="eastAsia" w:ascii="仿宋" w:hAnsi="仿宋" w:eastAsia="仿宋" w:cs="仿宋"/>
          <w:sz w:val="28"/>
          <w:szCs w:val="28"/>
          <w:lang w:eastAsia="zh-CN"/>
        </w:rPr>
        <w:t>徐</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鹏</w:t>
      </w:r>
      <w:r>
        <w:rPr>
          <w:rFonts w:hint="eastAsia" w:ascii="仿宋" w:hAnsi="仿宋" w:eastAsia="仿宋" w:cs="仿宋"/>
          <w:sz w:val="28"/>
          <w:szCs w:val="28"/>
        </w:rPr>
        <w:t xml:space="preserve">   注册执业价格鉴证师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000</w:t>
      </w:r>
      <w:r>
        <w:rPr>
          <w:rFonts w:hint="eastAsia" w:ascii="仿宋" w:hAnsi="仿宋" w:eastAsia="仿宋" w:cs="仿宋"/>
          <w:sz w:val="28"/>
          <w:szCs w:val="28"/>
          <w:lang w:val="en-US" w:eastAsia="zh-CN"/>
        </w:rPr>
        <w:t>8329</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肖建波</w:t>
      </w:r>
      <w:r>
        <w:rPr>
          <w:rFonts w:hint="eastAsia" w:ascii="仿宋" w:hAnsi="仿宋" w:eastAsia="仿宋" w:cs="仿宋"/>
          <w:color w:val="000000"/>
          <w:sz w:val="28"/>
          <w:szCs w:val="28"/>
        </w:rPr>
        <w:t xml:space="preserve">     执业价格评估员      6101000</w:t>
      </w:r>
      <w:r>
        <w:rPr>
          <w:rFonts w:hint="eastAsia" w:ascii="仿宋" w:hAnsi="仿宋" w:eastAsia="仿宋" w:cs="仿宋"/>
          <w:color w:val="000000"/>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560" w:firstLineChars="200"/>
        <w:jc w:val="both"/>
        <w:textAlignment w:val="auto"/>
        <w:outlineLvl w:val="9"/>
        <w:rPr>
          <w:rFonts w:hint="eastAsia" w:ascii="仿宋" w:hAnsi="仿宋" w:eastAsia="仿宋" w:cs="仿宋"/>
          <w:color w:val="000000"/>
          <w:sz w:val="28"/>
          <w:szCs w:val="28"/>
          <w:lang w:val="en-US" w:eastAsia="zh-CN"/>
        </w:rPr>
      </w:pPr>
    </w:p>
    <w:p>
      <w:pPr>
        <w:keepNext w:val="0"/>
        <w:keepLines w:val="0"/>
        <w:pageBreakBefore w:val="0"/>
        <w:widowControl w:val="0"/>
        <w:numPr>
          <w:ilvl w:val="0"/>
          <w:numId w:val="1"/>
        </w:numPr>
        <w:tabs>
          <w:tab w:val="clear" w:pos="1440"/>
        </w:tabs>
        <w:kinsoku/>
        <w:wordWrap/>
        <w:overflowPunct/>
        <w:topLinePunct w:val="0"/>
        <w:autoSpaceDE/>
        <w:autoSpaceDN/>
        <w:bidi w:val="0"/>
        <w:adjustRightInd/>
        <w:snapToGrid/>
        <w:spacing w:line="640" w:lineRule="exact"/>
        <w:ind w:left="0" w:right="0" w:rightChars="0" w:firstLine="602"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附件</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《价格评估技术报告》；</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汉中联合美新房地产发展有限公司及陕西大东建设工程有限公司出具的《价格评估委托书》</w:t>
      </w:r>
      <w:r>
        <w:rPr>
          <w:rFonts w:hint="eastAsia" w:ascii="仿宋" w:hAnsi="仿宋" w:eastAsia="仿宋" w:cs="仿宋"/>
          <w:sz w:val="30"/>
          <w:szCs w:val="30"/>
          <w:lang w:val="en-US" w:eastAsia="zh-CN"/>
        </w:rPr>
        <w:t>复印件</w:t>
      </w:r>
      <w:r>
        <w:rPr>
          <w:rFonts w:hint="eastAsia" w:ascii="仿宋" w:hAnsi="仿宋" w:eastAsia="仿宋" w:cs="仿宋"/>
          <w:sz w:val="30"/>
          <w:szCs w:val="30"/>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土地证略国用（2015）第9号复印件；</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价格评估机构《营业执照》（副本）复印件；</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eastAsia="zh-CN"/>
        </w:rPr>
        <w:t>《价格评估机构资质</w:t>
      </w:r>
      <w:r>
        <w:rPr>
          <w:rFonts w:hint="eastAsia" w:ascii="仿宋" w:hAnsi="仿宋" w:eastAsia="仿宋" w:cs="仿宋"/>
          <w:sz w:val="30"/>
          <w:szCs w:val="30"/>
          <w:lang w:val="en-US" w:eastAsia="zh-CN"/>
        </w:rPr>
        <w:t>登记</w:t>
      </w:r>
      <w:r>
        <w:rPr>
          <w:rFonts w:hint="eastAsia" w:ascii="仿宋" w:hAnsi="仿宋" w:eastAsia="仿宋" w:cs="仿宋"/>
          <w:sz w:val="30"/>
          <w:szCs w:val="30"/>
          <w:lang w:eastAsia="zh-CN"/>
        </w:rPr>
        <w:t>证书》复印件；</w:t>
      </w:r>
    </w:p>
    <w:p>
      <w:pPr>
        <w:keepNext w:val="0"/>
        <w:keepLines w:val="0"/>
        <w:pageBreakBefore w:val="0"/>
        <w:widowControl w:val="0"/>
        <w:numPr>
          <w:ilvl w:val="0"/>
          <w:numId w:val="8"/>
        </w:numPr>
        <w:kinsoku/>
        <w:wordWrap/>
        <w:overflowPunct/>
        <w:topLinePunct w:val="0"/>
        <w:autoSpaceDE/>
        <w:autoSpaceDN/>
        <w:bidi w:val="0"/>
        <w:adjustRightInd/>
        <w:snapToGrid/>
        <w:spacing w:line="64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价格评估人员资格证书复印件。</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陕西秦正价格评估有限公司</w:t>
      </w:r>
    </w:p>
    <w:p>
      <w:pPr>
        <w:keepNext w:val="0"/>
        <w:keepLines w:val="0"/>
        <w:pageBreakBefore w:val="0"/>
        <w:widowControl w:val="0"/>
        <w:kinsoku/>
        <w:wordWrap/>
        <w:overflowPunct/>
        <w:topLinePunct w:val="0"/>
        <w:autoSpaceDE/>
        <w:autoSpaceDN/>
        <w:bidi w:val="0"/>
        <w:adjustRightInd/>
        <w:snapToGrid/>
        <w:spacing w:line="640" w:lineRule="exact"/>
        <w:ind w:left="0" w:right="0" w:rightChars="0" w:firstLine="600" w:firstLineChars="200"/>
        <w:jc w:val="both"/>
        <w:textAlignment w:val="auto"/>
        <w:outlineLvl w:val="9"/>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p>
    <w:p>
      <w:pPr>
        <w:spacing w:line="640" w:lineRule="exact"/>
        <w:jc w:val="left"/>
        <w:rPr>
          <w:rFonts w:hint="eastAsia" w:ascii="仿宋" w:hAnsi="仿宋" w:eastAsia="仿宋" w:cs="仿宋"/>
          <w:sz w:val="30"/>
          <w:szCs w:val="30"/>
        </w:rPr>
      </w:pPr>
      <w:r>
        <w:rPr>
          <w:rFonts w:hint="eastAsia" w:ascii="仿宋" w:hAnsi="仿宋" w:eastAsia="仿宋" w:cs="仿宋"/>
          <w:sz w:val="30"/>
          <w:szCs w:val="30"/>
        </w:rPr>
        <w:br w:type="page"/>
      </w:r>
    </w:p>
    <w:p>
      <w:pPr>
        <w:keepNext w:val="0"/>
        <w:keepLines w:val="0"/>
        <w:pageBreakBefore w:val="0"/>
        <w:widowControl w:val="0"/>
        <w:kinsoku/>
        <w:wordWrap/>
        <w:overflowPunct/>
        <w:topLinePunct w:val="0"/>
        <w:autoSpaceDE/>
        <w:autoSpaceDN/>
        <w:bidi w:val="0"/>
        <w:spacing w:line="640" w:lineRule="exact"/>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1：《价格评估技术报告》</w:t>
      </w:r>
    </w:p>
    <w:p>
      <w:pPr>
        <w:keepNext w:val="0"/>
        <w:keepLines w:val="0"/>
        <w:pageBreakBefore w:val="0"/>
        <w:widowControl w:val="0"/>
        <w:kinsoku/>
        <w:wordWrap/>
        <w:overflowPunct/>
        <w:topLinePunct w:val="0"/>
        <w:autoSpaceDE/>
        <w:autoSpaceDN/>
        <w:bidi w:val="0"/>
        <w:spacing w:line="640" w:lineRule="exact"/>
        <w:ind w:firstLine="723" w:firstLineChars="200"/>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价格评估技术报告</w:t>
      </w:r>
    </w:p>
    <w:p>
      <w:pPr>
        <w:keepNext w:val="0"/>
        <w:keepLines w:val="0"/>
        <w:pageBreakBefore w:val="0"/>
        <w:widowControl w:val="0"/>
        <w:numPr>
          <w:ilvl w:val="0"/>
          <w:numId w:val="9"/>
        </w:numPr>
        <w:kinsoku/>
        <w:wordWrap/>
        <w:overflowPunct/>
        <w:topLinePunct w:val="0"/>
        <w:autoSpaceDE/>
        <w:autoSpaceDN/>
        <w:bidi w:val="0"/>
        <w:spacing w:line="64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价格评估标的概况</w:t>
      </w:r>
    </w:p>
    <w:p>
      <w:pPr>
        <w:keepNext w:val="0"/>
        <w:keepLines w:val="0"/>
        <w:pageBreakBefore w:val="0"/>
        <w:widowControl w:val="0"/>
        <w:numPr>
          <w:ilvl w:val="0"/>
          <w:numId w:val="0"/>
        </w:numPr>
        <w:kinsoku/>
        <w:wordWrap/>
        <w:overflowPunct/>
        <w:topLinePunct w:val="0"/>
        <w:autoSpaceDE/>
        <w:autoSpaceDN/>
        <w:bidi w:val="0"/>
        <w:spacing w:line="64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该标的位于汉中市略阳县城关镇略康公路北侧象山以南，官地山村柳树坝村利玛花苑小区。该小区占地9694.04平方米（14.54亩），土地使用权人为汉中云腾房地产发展有限公司，土地性质为国有出让住宅用地，土地证号为略国用（2015）第9号，终止日期2083年12月30日。现建有多层住宅、高层住宅、公厕，总建筑面积38536.99平方米，房屋372套。本次价格评估标的为小区内4号楼剩余未建地一块，土地面积约1000平方米（1.5亩）。</w:t>
      </w:r>
    </w:p>
    <w:p>
      <w:pPr>
        <w:keepNext w:val="0"/>
        <w:keepLines w:val="0"/>
        <w:pageBreakBefore w:val="0"/>
        <w:widowControl w:val="0"/>
        <w:numPr>
          <w:ilvl w:val="0"/>
          <w:numId w:val="9"/>
        </w:numPr>
        <w:kinsoku/>
        <w:wordWrap/>
        <w:overflowPunct/>
        <w:topLinePunct w:val="0"/>
        <w:autoSpaceDE/>
        <w:autoSpaceDN/>
        <w:bidi w:val="0"/>
        <w:spacing w:line="64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价格评估目的</w:t>
      </w:r>
    </w:p>
    <w:p>
      <w:pPr>
        <w:keepNext w:val="0"/>
        <w:keepLines w:val="0"/>
        <w:pageBreakBefore w:val="0"/>
        <w:widowControl w:val="0"/>
        <w:numPr>
          <w:ilvl w:val="0"/>
          <w:numId w:val="0"/>
        </w:numPr>
        <w:kinsoku/>
        <w:wordWrap/>
        <w:overflowPunct/>
        <w:topLinePunct w:val="0"/>
        <w:autoSpaceDE/>
        <w:autoSpaceDN/>
        <w:bidi w:val="0"/>
        <w:spacing w:line="640" w:lineRule="exact"/>
        <w:ind w:lef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确定标的在价格评估基准日的市场价格，为双方委托人提供标的价格参考依据。</w:t>
      </w:r>
    </w:p>
    <w:p>
      <w:pPr>
        <w:keepNext w:val="0"/>
        <w:keepLines w:val="0"/>
        <w:pageBreakBefore w:val="0"/>
        <w:widowControl w:val="0"/>
        <w:numPr>
          <w:ilvl w:val="0"/>
          <w:numId w:val="9"/>
        </w:numPr>
        <w:kinsoku/>
        <w:wordWrap/>
        <w:overflowPunct/>
        <w:topLinePunct w:val="0"/>
        <w:autoSpaceDE/>
        <w:autoSpaceDN/>
        <w:bidi w:val="0"/>
        <w:spacing w:line="64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价格评估基准日</w:t>
      </w:r>
    </w:p>
    <w:p>
      <w:pPr>
        <w:keepNext w:val="0"/>
        <w:keepLines w:val="0"/>
        <w:pageBreakBefore w:val="0"/>
        <w:widowControl w:val="0"/>
        <w:numPr>
          <w:ilvl w:val="0"/>
          <w:numId w:val="0"/>
        </w:numPr>
        <w:kinsoku/>
        <w:wordWrap/>
        <w:overflowPunct/>
        <w:topLinePunct w:val="0"/>
        <w:autoSpaceDE/>
        <w:autoSpaceDN/>
        <w:bidi w:val="0"/>
        <w:spacing w:line="640" w:lineRule="exact"/>
        <w:ind w:lef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本次价格评估基准日为2020年1月8日。</w:t>
      </w:r>
    </w:p>
    <w:p>
      <w:pPr>
        <w:keepNext w:val="0"/>
        <w:keepLines w:val="0"/>
        <w:pageBreakBefore w:val="0"/>
        <w:widowControl w:val="0"/>
        <w:numPr>
          <w:ilvl w:val="0"/>
          <w:numId w:val="9"/>
        </w:numPr>
        <w:kinsoku/>
        <w:wordWrap/>
        <w:overflowPunct/>
        <w:topLinePunct w:val="0"/>
        <w:autoSpaceDE/>
        <w:autoSpaceDN/>
        <w:bidi w:val="0"/>
        <w:spacing w:line="640" w:lineRule="exact"/>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价格评估依据</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《中华人民共和国价格法》；</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《中华人民共和国土地管理法》；</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《中华人民共和国城市房地产管理法》；</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中华人民共和国国家标准《房地产估价规范》；</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《中华人民共和国城镇国有土地使用权出让和转让暂行条例》；</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《中华人民共和国物权法》；</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《价格评估执业规范》（2017）；</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《陕西省价格鉴证操作规范》（试行）；</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略国用（2015）第9号土地使用证复印件；</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汉中联合美新房地产发展有限公司及陕西大东建设工程有限公司出具的《价格评估委托书》；</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略阳县人民政府《关于公布实施略阳县2018年城镇基准地价更新成果的批复》略政函（2019）60号；</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委托方提供的其他相关资料；</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现场勘验资料；</w:t>
      </w:r>
    </w:p>
    <w:p>
      <w:pPr>
        <w:keepNext w:val="0"/>
        <w:keepLines w:val="0"/>
        <w:pageBreakBefore w:val="0"/>
        <w:widowControl w:val="0"/>
        <w:numPr>
          <w:ilvl w:val="0"/>
          <w:numId w:val="10"/>
        </w:numPr>
        <w:kinsoku/>
        <w:wordWrap/>
        <w:overflowPunct/>
        <w:topLinePunct/>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市场调查资料。</w:t>
      </w:r>
    </w:p>
    <w:p>
      <w:pPr>
        <w:keepNext w:val="0"/>
        <w:keepLines w:val="0"/>
        <w:pageBreakBefore w:val="0"/>
        <w:widowControl w:val="0"/>
        <w:numPr>
          <w:ilvl w:val="0"/>
          <w:numId w:val="0"/>
        </w:numPr>
        <w:kinsoku/>
        <w:wordWrap/>
        <w:overflowPunct/>
        <w:topLinePunct w:val="0"/>
        <w:autoSpaceDE/>
        <w:autoSpaceDN/>
        <w:bidi w:val="0"/>
        <w:spacing w:line="640" w:lineRule="exact"/>
        <w:ind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五、价格评估方法</w:t>
      </w:r>
    </w:p>
    <w:p>
      <w:pPr>
        <w:keepNext w:val="0"/>
        <w:keepLines w:val="0"/>
        <w:pageBreakBefore w:val="0"/>
        <w:widowControl w:val="0"/>
        <w:tabs>
          <w:tab w:val="left" w:pos="540"/>
        </w:tabs>
        <w:kinsoku/>
        <w:wordWrap/>
        <w:overflowPunct/>
        <w:topLinePunct w:val="0"/>
        <w:autoSpaceDE/>
        <w:autoSpaceDN/>
        <w:bidi w:val="0"/>
        <w:adjustRightInd/>
        <w:snapToGrid/>
        <w:spacing w:line="640" w:lineRule="exact"/>
        <w:ind w:left="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根据本次价格评估标的的目的及特点，</w:t>
      </w:r>
      <w:r>
        <w:rPr>
          <w:rFonts w:hint="eastAsia" w:ascii="仿宋" w:hAnsi="仿宋" w:eastAsia="仿宋" w:cs="仿宋"/>
          <w:sz w:val="28"/>
          <w:szCs w:val="28"/>
          <w:lang w:eastAsia="zh-CN"/>
        </w:rPr>
        <w:t>确定小区土地采用基准地价修正系数法和假设开发法</w:t>
      </w:r>
      <w:r>
        <w:rPr>
          <w:rFonts w:hint="eastAsia" w:ascii="仿宋" w:hAnsi="仿宋" w:eastAsia="仿宋" w:cs="仿宋"/>
          <w:sz w:val="28"/>
          <w:szCs w:val="28"/>
        </w:rPr>
        <w:t>。</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640" w:lineRule="exact"/>
        <w:ind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六、</w:t>
      </w:r>
      <w:r>
        <w:rPr>
          <w:rFonts w:hint="eastAsia" w:ascii="仿宋" w:hAnsi="仿宋" w:eastAsia="仿宋" w:cs="仿宋"/>
          <w:b/>
          <w:bCs/>
          <w:sz w:val="28"/>
          <w:szCs w:val="28"/>
          <w:lang w:val="en-US" w:eastAsia="zh-CN"/>
        </w:rPr>
        <w:t>价格评估测算过程</w:t>
      </w:r>
    </w:p>
    <w:p>
      <w:pPr>
        <w:keepNext w:val="0"/>
        <w:keepLines w:val="0"/>
        <w:pageBreakBefore w:val="0"/>
        <w:widowControl w:val="0"/>
        <w:numPr>
          <w:ilvl w:val="0"/>
          <w:numId w:val="11"/>
        </w:numPr>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估价原则</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本次评估作业在坚持客观、公正、科学的基础上遵循了如下的估价原则：</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合法原则：评估过程中以国家的法律法规为准则，以国土资源部公布的《城镇土地估价规程》及《报告标准格式》为规范，以保证评估过程的规范性和结果的合法性。</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公平原则：即站在公正的立场上，认真客观地进行估价，求取一个公平合理的价格。</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价值主导原则：土地综合质量优劣是对土地价格产生影响的主要因素。</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审慎原则：在评估中确定相关参数和结果时，应分析并充分考虑土地市场运行状况、有关行业发展状况，以及存在的风险。</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公开市场原则：评估结果在公平、公正、公开的土地市场上可实现。</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最有效利用原则：土地具有用途的多样性，不同的利用方式能为权利人带来不同的收益量，土地权利人都期望从其所占有的土地上获取更多的收益，以此确定土地利用方式。</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综合分析原则：确定最终地价结果时，对各种方法评估的地价结果进行综合分析，合理确定最终的地价结果。</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替代原则：根据市场运行规律，某块土地的价格，受其他具有相同使用价值的地块，即同类型具有替代可能的地块价格所牵连。换言之，具有相同使用价值、有替代可能的地块之间，会相互影响和竞争，使价格相互牵制而趋于一致。</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供需原则：在完全的自由市场中，一般商品的价格，取决于需求与供给关系的均衡点。土地也是一样，其价格也是由需求与供给的相互关系而定。但因为土地不同于一般商品，具有一些人文与自然特性，使得它不完全遵循上述供求均衡法则，而形成其特有的供求原则。</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多种评估方法相结合的原则：地价评估的方法有收益还原法、市场比较法、成本逼近法、假设开发法和基准地价系数修正法等多种方法。由于地产市场发育状况的不同和土地用途的差异，以及受其他各种因素的影响，各种评估方法适用范围有所不同。在进行地价评估时要根据评估对象实际，充分考虑用地类型和掌握的资料选择两种以上较为适宜的估价方法进行评估，力求得到客观、公正、合理的土地价格。</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协调原则：土地总是处于一定的自然和社会环境之中，必须与周围环境相协调，若土地能适应周围环境，则该土地的收益或效用能最大限度地发挥。因此，在土地估价时，一定要认真分析土地与周围环境的关系，判断其是否协调，这直接关系到待估宗地的收益量和价格。</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贡献原则：不动产的总收益是由土地及建筑物等构成因素共同作用的结果。就土地部分的贡献而言，由于地价是在生产经营活动之前优先支付的，故土地的贡献具有优先性和特殊性，评估时应特别考虑。土地总收益是由土地及其他生产要素共同作用的结果，土地的价格可以土地对土地收益的贡献大小来决定。</w:t>
      </w:r>
    </w:p>
    <w:p>
      <w:pPr>
        <w:keepNext w:val="0"/>
        <w:keepLines w:val="0"/>
        <w:pageBreakBefore w:val="0"/>
        <w:widowControl w:val="0"/>
        <w:numPr>
          <w:ilvl w:val="0"/>
          <w:numId w:val="11"/>
        </w:numPr>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估价方法与估价过程</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估价对象设定土地用途为</w:t>
      </w:r>
      <w:r>
        <w:rPr>
          <w:rFonts w:hint="eastAsia" w:ascii="仿宋" w:hAnsi="仿宋" w:eastAsia="仿宋" w:cs="仿宋"/>
          <w:sz w:val="28"/>
          <w:szCs w:val="28"/>
          <w:lang w:val="en-US" w:eastAsia="zh-CN"/>
        </w:rPr>
        <w:t>住宅用地</w:t>
      </w:r>
      <w:r>
        <w:rPr>
          <w:rFonts w:hint="eastAsia" w:ascii="仿宋" w:hAnsi="仿宋" w:eastAsia="仿宋" w:cs="仿宋"/>
          <w:sz w:val="28"/>
          <w:szCs w:val="28"/>
        </w:rPr>
        <w:t>，根据《城镇土地估价规程》（GB/T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18508-2014），该类用地宜采用市场比较法、假设开发法、收益还原法和基准地价系数修正法等</w:t>
      </w:r>
      <w:r>
        <w:rPr>
          <w:rFonts w:hint="eastAsia" w:ascii="仿宋" w:hAnsi="仿宋" w:eastAsia="仿宋" w:cs="仿宋"/>
          <w:sz w:val="28"/>
          <w:szCs w:val="28"/>
          <w:lang w:val="en-US" w:eastAsia="zh-CN"/>
        </w:rPr>
        <w:t>进行评估</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本次评估根据估价对象的特点和实际状况，采用基准地价系数修正法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假设开发法两</w:t>
      </w:r>
      <w:r>
        <w:rPr>
          <w:rFonts w:hint="eastAsia" w:ascii="仿宋" w:hAnsi="仿宋" w:eastAsia="仿宋" w:cs="仿宋"/>
          <w:sz w:val="28"/>
          <w:szCs w:val="28"/>
        </w:rPr>
        <w:t>种评估方法进行评估，力求合理科学的评估出估价对象的土地使用权价格。</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测算</w:t>
      </w:r>
      <w:r>
        <w:rPr>
          <w:rFonts w:hint="eastAsia" w:ascii="仿宋" w:hAnsi="仿宋" w:eastAsia="仿宋" w:cs="仿宋"/>
          <w:b w:val="0"/>
          <w:bCs w:val="0"/>
          <w:sz w:val="28"/>
          <w:szCs w:val="28"/>
        </w:rPr>
        <w:t>过程</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基准地价系数修正法</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基准地价成果介绍及内涵</w:t>
      </w:r>
    </w:p>
    <w:p>
      <w:pPr>
        <w:keepNext w:val="0"/>
        <w:keepLines w:val="0"/>
        <w:pageBreakBefore w:val="0"/>
        <w:widowControl w:val="0"/>
        <w:kinsoku/>
        <w:wordWrap/>
        <w:overflowPunct/>
        <w:topLinePunct w:val="0"/>
        <w:autoSpaceDE/>
        <w:autoSpaceDN/>
        <w:bidi w:val="0"/>
        <w:adjustRightInd w:val="0"/>
        <w:snapToGrid w:val="0"/>
        <w:spacing w:line="640" w:lineRule="exact"/>
        <w:ind w:right="18"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略阳县</w:t>
      </w:r>
      <w:r>
        <w:rPr>
          <w:rFonts w:hint="eastAsia" w:ascii="仿宋" w:hAnsi="仿宋" w:eastAsia="仿宋" w:cs="仿宋"/>
          <w:sz w:val="28"/>
          <w:szCs w:val="28"/>
        </w:rPr>
        <w:t>人民政府于201</w:t>
      </w:r>
      <w:r>
        <w:rPr>
          <w:rFonts w:hint="eastAsia" w:ascii="仿宋" w:hAnsi="仿宋" w:eastAsia="仿宋" w:cs="仿宋"/>
          <w:sz w:val="28"/>
          <w:szCs w:val="28"/>
          <w:lang w:val="en-US" w:eastAsia="zh-CN"/>
        </w:rPr>
        <w:t>9</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月公布了</w:t>
      </w:r>
      <w:r>
        <w:rPr>
          <w:rFonts w:hint="eastAsia" w:ascii="仿宋" w:hAnsi="仿宋" w:eastAsia="仿宋" w:cs="仿宋"/>
          <w:sz w:val="28"/>
          <w:szCs w:val="28"/>
          <w:lang w:val="en-US" w:eastAsia="zh-CN"/>
        </w:rPr>
        <w:t>略阳县</w:t>
      </w:r>
      <w:r>
        <w:rPr>
          <w:rFonts w:hint="eastAsia" w:ascii="仿宋" w:hAnsi="仿宋" w:eastAsia="仿宋" w:cs="仿宋"/>
          <w:sz w:val="28"/>
          <w:szCs w:val="28"/>
        </w:rPr>
        <w:t>城镇土地基准地价，基准地价的内涵为期日于201</w:t>
      </w:r>
      <w:r>
        <w:rPr>
          <w:rFonts w:hint="eastAsia" w:ascii="仿宋" w:hAnsi="仿宋" w:eastAsia="仿宋" w:cs="仿宋"/>
          <w:sz w:val="28"/>
          <w:szCs w:val="28"/>
          <w:lang w:val="en-US" w:eastAsia="zh-CN"/>
        </w:rPr>
        <w:t>7</w:t>
      </w:r>
      <w:r>
        <w:rPr>
          <w:rFonts w:hint="eastAsia" w:ascii="仿宋" w:hAnsi="仿宋" w:eastAsia="仿宋" w:cs="仿宋"/>
          <w:sz w:val="28"/>
          <w:szCs w:val="28"/>
        </w:rPr>
        <w:t>年12月31日，</w:t>
      </w:r>
      <w:r>
        <w:rPr>
          <w:rFonts w:hint="eastAsia" w:ascii="仿宋" w:hAnsi="仿宋" w:eastAsia="仿宋" w:cs="仿宋"/>
          <w:sz w:val="28"/>
          <w:szCs w:val="28"/>
          <w:lang w:val="en-US" w:eastAsia="zh-CN"/>
        </w:rPr>
        <w:t>略阳</w:t>
      </w:r>
      <w:r>
        <w:rPr>
          <w:rFonts w:hint="eastAsia" w:ascii="仿宋" w:hAnsi="仿宋" w:eastAsia="仿宋" w:cs="仿宋"/>
          <w:sz w:val="28"/>
          <w:szCs w:val="28"/>
        </w:rPr>
        <w:t>县</w:t>
      </w:r>
      <w:r>
        <w:rPr>
          <w:rFonts w:hint="eastAsia" w:ascii="仿宋" w:hAnsi="仿宋" w:eastAsia="仿宋" w:cs="仿宋"/>
          <w:sz w:val="28"/>
          <w:szCs w:val="28"/>
          <w:lang w:val="en-US" w:eastAsia="zh-CN"/>
        </w:rPr>
        <w:t>城区、横现河街道办事处、街官亭镇、白水江镇、郭镇</w:t>
      </w:r>
      <w:r>
        <w:rPr>
          <w:rFonts w:hint="eastAsia" w:ascii="仿宋" w:hAnsi="仿宋" w:eastAsia="仿宋" w:cs="仿宋"/>
          <w:sz w:val="28"/>
          <w:szCs w:val="28"/>
        </w:rPr>
        <w:t>土地开发程度</w:t>
      </w:r>
      <w:r>
        <w:rPr>
          <w:rFonts w:hint="eastAsia" w:ascii="仿宋" w:hAnsi="仿宋" w:eastAsia="仿宋" w:cs="仿宋"/>
          <w:sz w:val="28"/>
          <w:szCs w:val="28"/>
          <w:lang w:eastAsia="zh-CN"/>
        </w:rPr>
        <w:t>均</w:t>
      </w:r>
      <w:r>
        <w:rPr>
          <w:rFonts w:hint="eastAsia" w:ascii="仿宋" w:hAnsi="仿宋" w:eastAsia="仿宋" w:cs="仿宋"/>
          <w:sz w:val="28"/>
          <w:szCs w:val="28"/>
        </w:rPr>
        <w:t>为红线外“五通</w:t>
      </w:r>
      <w:r>
        <w:rPr>
          <w:rFonts w:hint="eastAsia" w:ascii="仿宋" w:hAnsi="仿宋" w:eastAsia="仿宋" w:cs="仿宋"/>
          <w:sz w:val="28"/>
          <w:szCs w:val="28"/>
          <w:lang w:eastAsia="zh-CN"/>
        </w:rPr>
        <w:t>一平</w:t>
      </w:r>
      <w:r>
        <w:rPr>
          <w:rFonts w:hint="eastAsia" w:ascii="仿宋" w:hAnsi="仿宋" w:eastAsia="仿宋" w:cs="仿宋"/>
          <w:sz w:val="28"/>
          <w:szCs w:val="28"/>
        </w:rPr>
        <w:t>”（即通路、供电、供水、排水、通讯</w:t>
      </w:r>
      <w:r>
        <w:rPr>
          <w:rFonts w:hint="eastAsia" w:ascii="仿宋" w:hAnsi="仿宋" w:eastAsia="仿宋" w:cs="仿宋"/>
          <w:sz w:val="28"/>
          <w:szCs w:val="28"/>
          <w:lang w:eastAsia="zh-CN"/>
        </w:rPr>
        <w:t>、场地平整</w:t>
      </w:r>
      <w:r>
        <w:rPr>
          <w:rFonts w:hint="eastAsia" w:ascii="仿宋" w:hAnsi="仿宋" w:eastAsia="仿宋" w:cs="仿宋"/>
          <w:sz w:val="28"/>
          <w:szCs w:val="28"/>
        </w:rPr>
        <w:t>），</w:t>
      </w:r>
      <w:r>
        <w:rPr>
          <w:rFonts w:hint="eastAsia" w:ascii="仿宋" w:hAnsi="仿宋" w:eastAsia="仿宋" w:cs="仿宋"/>
          <w:sz w:val="28"/>
          <w:szCs w:val="28"/>
          <w:lang w:eastAsia="zh-CN"/>
        </w:rPr>
        <w:t>其余建制镇镇区</w:t>
      </w:r>
      <w:r>
        <w:rPr>
          <w:rFonts w:hint="eastAsia" w:ascii="仿宋" w:hAnsi="仿宋" w:eastAsia="仿宋" w:cs="仿宋"/>
          <w:sz w:val="28"/>
          <w:szCs w:val="28"/>
        </w:rPr>
        <w:t>“三通</w:t>
      </w:r>
      <w:r>
        <w:rPr>
          <w:rFonts w:hint="eastAsia" w:ascii="仿宋" w:hAnsi="仿宋" w:eastAsia="仿宋" w:cs="仿宋"/>
          <w:sz w:val="28"/>
          <w:szCs w:val="28"/>
          <w:lang w:eastAsia="zh-CN"/>
        </w:rPr>
        <w:t>一平</w:t>
      </w:r>
      <w:r>
        <w:rPr>
          <w:rFonts w:hint="eastAsia" w:ascii="仿宋" w:hAnsi="仿宋" w:eastAsia="仿宋" w:cs="仿宋"/>
          <w:sz w:val="28"/>
          <w:szCs w:val="28"/>
        </w:rPr>
        <w:t>”（通电、通讯、通路</w:t>
      </w:r>
      <w:r>
        <w:rPr>
          <w:rFonts w:hint="eastAsia" w:ascii="仿宋" w:hAnsi="仿宋" w:eastAsia="仿宋" w:cs="仿宋"/>
          <w:sz w:val="28"/>
          <w:szCs w:val="28"/>
          <w:lang w:eastAsia="zh-CN"/>
        </w:rPr>
        <w:t>、场地平整</w:t>
      </w:r>
      <w:r>
        <w:rPr>
          <w:rFonts w:hint="eastAsia" w:ascii="仿宋" w:hAnsi="仿宋" w:eastAsia="仿宋" w:cs="仿宋"/>
          <w:sz w:val="28"/>
          <w:szCs w:val="28"/>
        </w:rPr>
        <w:t>），红线内场地平整条件下不同级别，不同用地类型法定最高出让年期的平均地价，详见表</w:t>
      </w:r>
      <w:r>
        <w:rPr>
          <w:rFonts w:hint="eastAsia" w:ascii="仿宋" w:hAnsi="仿宋" w:eastAsia="仿宋" w:cs="仿宋"/>
          <w:sz w:val="28"/>
          <w:szCs w:val="28"/>
          <w:lang w:val="en-US" w:eastAsia="zh-CN"/>
        </w:rPr>
        <w:t>1</w:t>
      </w:r>
      <w:r>
        <w:rPr>
          <w:rFonts w:hint="eastAsia" w:ascii="仿宋" w:hAnsi="仿宋" w:eastAsia="仿宋" w:cs="仿宋"/>
          <w:sz w:val="28"/>
          <w:szCs w:val="28"/>
        </w:rPr>
        <w:t>。</w:t>
      </w:r>
    </w:p>
    <w:tbl>
      <w:tblPr>
        <w:tblStyle w:val="7"/>
        <w:tblW w:w="5000" w:type="pct"/>
        <w:tblInd w:w="0" w:type="dxa"/>
        <w:shd w:val="clear" w:color="auto" w:fill="auto"/>
        <w:tblLayout w:type="autofit"/>
        <w:tblCellMar>
          <w:top w:w="0" w:type="dxa"/>
          <w:left w:w="0" w:type="dxa"/>
          <w:bottom w:w="0" w:type="dxa"/>
          <w:right w:w="0" w:type="dxa"/>
        </w:tblCellMar>
      </w:tblPr>
      <w:tblGrid>
        <w:gridCol w:w="787"/>
        <w:gridCol w:w="835"/>
        <w:gridCol w:w="836"/>
        <w:gridCol w:w="838"/>
        <w:gridCol w:w="836"/>
        <w:gridCol w:w="838"/>
        <w:gridCol w:w="836"/>
        <w:gridCol w:w="838"/>
        <w:gridCol w:w="836"/>
        <w:gridCol w:w="846"/>
      </w:tblGrid>
      <w:tr>
        <w:tblPrEx>
          <w:shd w:val="clear" w:color="auto" w:fill="auto"/>
          <w:tblCellMar>
            <w:top w:w="0" w:type="dxa"/>
            <w:left w:w="0" w:type="dxa"/>
            <w:bottom w:w="0" w:type="dxa"/>
            <w:right w:w="0" w:type="dxa"/>
          </w:tblCellMar>
        </w:tblPrEx>
        <w:trPr>
          <w:trHeight w:val="340" w:hRule="atLeast"/>
        </w:trPr>
        <w:tc>
          <w:tcPr>
            <w:tcW w:w="5000" w:type="pct"/>
            <w:gridSpan w:val="10"/>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w:t>
            </w:r>
            <w:r>
              <w:rPr>
                <w:rFonts w:hint="eastAsia" w:ascii="仿宋" w:hAnsi="仿宋" w:eastAsia="仿宋" w:cs="仿宋"/>
                <w:i w:val="0"/>
                <w:color w:val="000000"/>
                <w:kern w:val="0"/>
                <w:sz w:val="22"/>
                <w:szCs w:val="22"/>
                <w:u w:val="none"/>
                <w:lang w:val="en-US" w:eastAsia="zh-CN" w:bidi="ar"/>
              </w:rPr>
              <w:t xml:space="preserve">    表1    略阳县城镇土地基准地价表        单位：元/平方米</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城镇名称</w:t>
            </w:r>
          </w:p>
        </w:tc>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级别</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商服用地</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住宅用地</w:t>
            </w:r>
          </w:p>
        </w:tc>
        <w:tc>
          <w:tcPr>
            <w:tcW w:w="1005"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工矿仓储用地</w:t>
            </w:r>
          </w:p>
        </w:tc>
        <w:tc>
          <w:tcPr>
            <w:tcW w:w="1008"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公共管理与公共服务用地</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元/平方米</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万元/亩</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元/平方米</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万元/亩</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元/平方米</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万元/亩</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元/平方米</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万元/亩</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县城区</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Ⅰ级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946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63.07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60.13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605</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40.33</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Ⅱ级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842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56.13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783</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52.2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573</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582</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38.8</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Ⅲ级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646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43.07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558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37.2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392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26.13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405</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27</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横现河街道办事处</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Ⅰ级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362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24.13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12.4</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192</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12.8</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Ⅱ级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330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11.47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接官亭镇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Ⅰ级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352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23.47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15.67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10.4</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162</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10.8</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Ⅱ级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21.73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9.67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10.2</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白水江镇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Ⅰ级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328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224</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14.93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160</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10.67</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Ⅱ级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308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20.53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196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141</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9.4</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148</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9.87</w:t>
            </w:r>
          </w:p>
        </w:tc>
      </w:tr>
      <w:tr>
        <w:tblPrEx>
          <w:tblCellMar>
            <w:top w:w="0" w:type="dxa"/>
            <w:left w:w="0" w:type="dxa"/>
            <w:bottom w:w="0" w:type="dxa"/>
            <w:right w:w="0" w:type="dxa"/>
          </w:tblCellMar>
        </w:tblPrEx>
        <w:trPr>
          <w:trHeight w:val="33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郭</w:t>
            </w:r>
            <w:r>
              <w:rPr>
                <w:rStyle w:val="25"/>
                <w:rFonts w:hint="eastAsia" w:ascii="仿宋" w:hAnsi="仿宋" w:eastAsia="仿宋" w:cs="仿宋"/>
                <w:sz w:val="18"/>
                <w:szCs w:val="18"/>
                <w:lang w:val="en-US" w:eastAsia="zh-CN" w:bidi="ar"/>
              </w:rPr>
              <w:t xml:space="preserve">   </w:t>
            </w:r>
            <w:r>
              <w:rPr>
                <w:rStyle w:val="26"/>
                <w:rFonts w:hint="eastAsia" w:ascii="仿宋" w:hAnsi="仿宋" w:eastAsia="仿宋" w:cs="仿宋"/>
                <w:sz w:val="18"/>
                <w:szCs w:val="18"/>
                <w:lang w:val="en-US" w:eastAsia="zh-CN" w:bidi="ar"/>
              </w:rPr>
              <w:t>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Ⅰ级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280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18.67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152</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10.13</w:t>
            </w:r>
          </w:p>
        </w:tc>
      </w:tr>
      <w:tr>
        <w:tblPrEx>
          <w:tblCellMar>
            <w:top w:w="0" w:type="dxa"/>
            <w:left w:w="0" w:type="dxa"/>
            <w:bottom w:w="0" w:type="dxa"/>
            <w:right w:w="0" w:type="dxa"/>
          </w:tblCellMar>
        </w:tblPrEx>
        <w:trPr>
          <w:trHeight w:val="2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Ⅱ级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252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16.8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12.53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144</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9.6</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金家河镇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234</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15.6</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189</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12.6</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9.53</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硖口驿镇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187.5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12.5</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9.53</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徐家坪镇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221</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14.73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186</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12.4</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9.53</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黑河镇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220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14.67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12.33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9.53</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两河口镇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210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183</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136.5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143</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9.53</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乐素河镇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177</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135</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马蹄湾镇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12.33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183</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西淮坝镇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182</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12.13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181.5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12.1</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五龙洞镇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181</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12.07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仙台坝镇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181</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12.07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178.5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11.9</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130.5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8.7</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138</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9.2</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观音寺镇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178.5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11.9</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128</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8.53</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135</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r>
        <w:tblPrEx>
          <w:tblCellMar>
            <w:top w:w="0" w:type="dxa"/>
            <w:left w:w="0" w:type="dxa"/>
            <w:bottom w:w="0" w:type="dxa"/>
            <w:right w:w="0" w:type="dxa"/>
          </w:tblCellMar>
        </w:tblPrEx>
        <w:trPr>
          <w:trHeight w:val="2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白雀寺镇</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180</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177</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11.8</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127.5</w:t>
            </w:r>
          </w:p>
        </w:tc>
        <w:tc>
          <w:tcPr>
            <w:tcW w:w="5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8.5</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135</w:t>
            </w:r>
          </w:p>
        </w:tc>
        <w:tc>
          <w:tcPr>
            <w:tcW w:w="5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w:t>
            </w:r>
          </w:p>
        </w:tc>
      </w:tr>
    </w:tbl>
    <w:p>
      <w:pPr>
        <w:adjustRightInd w:val="0"/>
        <w:snapToGrid w:val="0"/>
        <w:spacing w:line="360" w:lineRule="auto"/>
        <w:jc w:val="left"/>
        <w:rPr>
          <w:rFonts w:hint="eastAsia" w:ascii="仿宋_GB2312" w:hAnsi="仿宋" w:eastAsia="仿宋_GB2312" w:cs="宋体-18030"/>
          <w:b/>
          <w:sz w:val="22"/>
          <w:szCs w:val="22"/>
        </w:rPr>
      </w:pPr>
    </w:p>
    <w:p>
      <w:pPr>
        <w:adjustRightInd w:val="0"/>
        <w:snapToGrid w:val="0"/>
        <w:spacing w:line="360" w:lineRule="auto"/>
        <w:jc w:val="center"/>
        <w:rPr>
          <w:rFonts w:hint="eastAsia" w:ascii="仿宋" w:hAnsi="仿宋" w:eastAsia="仿宋" w:cs="仿宋"/>
          <w:b w:val="0"/>
          <w:bCs/>
          <w:sz w:val="22"/>
          <w:szCs w:val="22"/>
        </w:rPr>
      </w:pPr>
      <w:r>
        <w:rPr>
          <w:rFonts w:hint="eastAsia" w:ascii="仿宋" w:hAnsi="仿宋" w:eastAsia="仿宋" w:cs="仿宋"/>
          <w:b w:val="0"/>
          <w:bCs/>
          <w:sz w:val="22"/>
          <w:szCs w:val="22"/>
        </w:rPr>
        <w:t>表</w:t>
      </w:r>
      <w:r>
        <w:rPr>
          <w:rFonts w:hint="eastAsia" w:ascii="仿宋" w:hAnsi="仿宋" w:eastAsia="仿宋" w:cs="仿宋"/>
          <w:b w:val="0"/>
          <w:bCs/>
          <w:sz w:val="22"/>
          <w:szCs w:val="22"/>
          <w:lang w:val="en-US" w:eastAsia="zh-CN"/>
        </w:rPr>
        <w:t>2</w:t>
      </w:r>
      <w:r>
        <w:rPr>
          <w:rFonts w:hint="eastAsia" w:ascii="仿宋" w:hAnsi="仿宋" w:eastAsia="仿宋" w:cs="仿宋"/>
          <w:b w:val="0"/>
          <w:bCs/>
          <w:sz w:val="22"/>
          <w:szCs w:val="22"/>
        </w:rPr>
        <w:t xml:space="preserve">   </w:t>
      </w:r>
      <w:r>
        <w:rPr>
          <w:rFonts w:hint="eastAsia" w:ascii="仿宋" w:hAnsi="仿宋" w:eastAsia="仿宋" w:cs="仿宋"/>
          <w:b w:val="0"/>
          <w:bCs/>
          <w:sz w:val="22"/>
          <w:szCs w:val="22"/>
          <w:lang w:val="en-US" w:eastAsia="zh-CN"/>
        </w:rPr>
        <w:t>略阳县</w:t>
      </w:r>
      <w:r>
        <w:rPr>
          <w:rFonts w:hint="eastAsia" w:ascii="仿宋" w:hAnsi="仿宋" w:eastAsia="仿宋" w:cs="仿宋"/>
          <w:b w:val="0"/>
          <w:bCs/>
          <w:sz w:val="22"/>
          <w:szCs w:val="22"/>
        </w:rPr>
        <w:t>城镇基准地价内涵表</w:t>
      </w:r>
    </w:p>
    <w:tbl>
      <w:tblPr>
        <w:tblStyle w:val="7"/>
        <w:tblW w:w="5004" w:type="pct"/>
        <w:tblInd w:w="0" w:type="dxa"/>
        <w:tblLayout w:type="autofit"/>
        <w:tblCellMar>
          <w:top w:w="0" w:type="dxa"/>
          <w:left w:w="0" w:type="dxa"/>
          <w:bottom w:w="0" w:type="dxa"/>
          <w:right w:w="0" w:type="dxa"/>
        </w:tblCellMar>
      </w:tblPr>
      <w:tblGrid>
        <w:gridCol w:w="1087"/>
        <w:gridCol w:w="7236"/>
      </w:tblGrid>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项目</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内涵</w:t>
            </w:r>
          </w:p>
        </w:tc>
      </w:tr>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估价基准日</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2017年12月31日</w:t>
            </w:r>
          </w:p>
        </w:tc>
      </w:tr>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土地开发程度</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略阳县城区、横现河街道办事处、街官亭镇、白水江镇、郭镇土地开发程度均为红线外“五通一平”（即通路、供电、供水、排水、通讯、场地平整），其余建制镇镇区“三通一平”（通电、通讯、通路、场地平整）</w:t>
            </w:r>
          </w:p>
        </w:tc>
      </w:tr>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使用年期</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商服用地40年，住宅用地70年，工矿仓储用地和公共服务设施用地为50年。</w:t>
            </w:r>
          </w:p>
        </w:tc>
      </w:tr>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容积率</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lef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略阳县城区商业用地1.5、住宅用地1.8、工矿仓储用地及公共管理与公共服务用地1.0；</w:t>
            </w:r>
          </w:p>
          <w:p>
            <w:pPr>
              <w:pStyle w:val="14"/>
              <w:wordWrap w:val="0"/>
              <w:overflowPunct w:val="0"/>
              <w:topLinePunct/>
              <w:autoSpaceDE/>
              <w:autoSpaceDN/>
              <w:jc w:val="lef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横现河街道办事处、街官亭镇、白水江镇、郭镇及其它建制镇镇区均为（商服、住宅容积率均为1.2、工矿仓储用地和公共管理与公共服务用地为1.0）。</w:t>
            </w:r>
          </w:p>
        </w:tc>
      </w:tr>
      <w:tr>
        <w:tc>
          <w:tcPr>
            <w:tcW w:w="653"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权利性质</w:t>
            </w:r>
          </w:p>
        </w:tc>
        <w:tc>
          <w:tcPr>
            <w:tcW w:w="4346" w:type="pct"/>
            <w:tcBorders>
              <w:top w:val="single" w:color="000000" w:sz="4" w:space="0"/>
              <w:left w:val="single" w:color="000000" w:sz="4" w:space="0"/>
              <w:bottom w:val="single" w:color="000000" w:sz="4" w:space="0"/>
              <w:right w:val="single" w:color="000000" w:sz="4" w:space="0"/>
            </w:tcBorders>
            <w:noWrap w:val="0"/>
            <w:vAlign w:val="center"/>
          </w:tcPr>
          <w:p>
            <w:pPr>
              <w:pStyle w:val="14"/>
              <w:wordWrap w:val="0"/>
              <w:overflowPunct w:val="0"/>
              <w:topLinePunct/>
              <w:autoSpaceDE/>
              <w:autoSpaceDN/>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完整的国有建设用地出让土地使用权</w:t>
            </w:r>
          </w:p>
        </w:tc>
      </w:tr>
    </w:tbl>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根据《城镇土地估价规程》，用基准地价系数修正法评估宗地地价的计算公式为：宗地单位面积地价=P1b×(1+∑K</w:t>
      </w:r>
      <w:r>
        <w:rPr>
          <w:rFonts w:hint="eastAsia" w:ascii="仿宋" w:hAnsi="仿宋" w:eastAsia="仿宋" w:cs="仿宋"/>
          <w:b w:val="0"/>
          <w:bCs w:val="0"/>
          <w:sz w:val="28"/>
          <w:szCs w:val="28"/>
          <w:vertAlign w:val="subscript"/>
        </w:rPr>
        <w:t>i</w:t>
      </w:r>
      <w:r>
        <w:rPr>
          <w:rFonts w:hint="eastAsia" w:ascii="仿宋" w:hAnsi="仿宋" w:eastAsia="仿宋" w:cs="仿宋"/>
          <w:b w:val="0"/>
          <w:bCs w:val="0"/>
          <w:sz w:val="28"/>
          <w:szCs w:val="28"/>
        </w:rPr>
        <w:t>)×K</w:t>
      </w:r>
      <w:r>
        <w:rPr>
          <w:rFonts w:hint="eastAsia" w:ascii="仿宋" w:hAnsi="仿宋" w:eastAsia="仿宋" w:cs="仿宋"/>
          <w:b w:val="0"/>
          <w:bCs w:val="0"/>
          <w:sz w:val="28"/>
          <w:szCs w:val="28"/>
          <w:vertAlign w:val="subscript"/>
        </w:rPr>
        <w:t>j</w:t>
      </w:r>
      <w:r>
        <w:rPr>
          <w:rFonts w:hint="eastAsia" w:ascii="仿宋" w:hAnsi="仿宋" w:eastAsia="仿宋" w:cs="仿宋"/>
          <w:b w:val="0"/>
          <w:bCs w:val="0"/>
          <w:sz w:val="28"/>
          <w:szCs w:val="28"/>
        </w:rPr>
        <w:t>+D</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xml:space="preserve">      式中：</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xml:space="preserve">      P1b——基准地价</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xml:space="preserve">      ∑K</w:t>
      </w:r>
      <w:r>
        <w:rPr>
          <w:rFonts w:hint="eastAsia" w:ascii="仿宋" w:hAnsi="仿宋" w:eastAsia="仿宋" w:cs="仿宋"/>
          <w:b w:val="0"/>
          <w:bCs w:val="0"/>
          <w:sz w:val="28"/>
          <w:szCs w:val="28"/>
          <w:vertAlign w:val="subscript"/>
        </w:rPr>
        <w:t>i</w:t>
      </w:r>
      <w:r>
        <w:rPr>
          <w:rFonts w:hint="eastAsia" w:ascii="仿宋" w:hAnsi="仿宋" w:eastAsia="仿宋" w:cs="仿宋"/>
          <w:b w:val="0"/>
          <w:bCs w:val="0"/>
          <w:sz w:val="28"/>
          <w:szCs w:val="28"/>
        </w:rPr>
        <w:t>——区域、个别因素修正系数</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xml:space="preserve">       K</w:t>
      </w:r>
      <w:r>
        <w:rPr>
          <w:rFonts w:hint="eastAsia" w:ascii="仿宋" w:hAnsi="仿宋" w:eastAsia="仿宋" w:cs="仿宋"/>
          <w:b w:val="0"/>
          <w:bCs w:val="0"/>
          <w:sz w:val="28"/>
          <w:szCs w:val="28"/>
          <w:vertAlign w:val="subscript"/>
        </w:rPr>
        <w:t>j</w:t>
      </w:r>
      <w:r>
        <w:rPr>
          <w:rFonts w:hint="eastAsia" w:ascii="仿宋" w:hAnsi="仿宋" w:eastAsia="仿宋" w:cs="仿宋"/>
          <w:b w:val="0"/>
          <w:bCs w:val="0"/>
          <w:sz w:val="28"/>
          <w:szCs w:val="28"/>
        </w:rPr>
        <w:t>——估价期日、容积率、土地使用年期等其他修正系数</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xml:space="preserve">       D——土地开发程度修正值</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确定待估宗地的土地级别及基准地价</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待估宗地位于</w:t>
      </w:r>
      <w:r>
        <w:rPr>
          <w:rFonts w:hint="eastAsia" w:ascii="仿宋" w:hAnsi="仿宋" w:eastAsia="仿宋" w:cs="仿宋"/>
          <w:b w:val="0"/>
          <w:bCs w:val="0"/>
          <w:sz w:val="28"/>
          <w:szCs w:val="28"/>
          <w:lang w:val="en-US" w:eastAsia="zh-CN"/>
        </w:rPr>
        <w:t>略阳县城关镇官地山村柳树坝村</w:t>
      </w:r>
      <w:r>
        <w:rPr>
          <w:rFonts w:hint="eastAsia" w:ascii="仿宋" w:hAnsi="仿宋" w:eastAsia="仿宋" w:cs="仿宋"/>
          <w:b w:val="0"/>
          <w:bCs w:val="0"/>
          <w:sz w:val="28"/>
          <w:szCs w:val="28"/>
        </w:rPr>
        <w:t>，根据</w:t>
      </w:r>
      <w:r>
        <w:rPr>
          <w:rFonts w:hint="eastAsia" w:ascii="仿宋" w:hAnsi="仿宋" w:eastAsia="仿宋" w:cs="仿宋"/>
          <w:b w:val="0"/>
          <w:bCs w:val="0"/>
          <w:sz w:val="28"/>
          <w:szCs w:val="28"/>
          <w:lang w:val="en-US" w:eastAsia="zh-CN"/>
        </w:rPr>
        <w:t>略阳</w:t>
      </w:r>
      <w:r>
        <w:rPr>
          <w:rFonts w:hint="eastAsia" w:ascii="仿宋" w:hAnsi="仿宋" w:eastAsia="仿宋" w:cs="仿宋"/>
          <w:b w:val="0"/>
          <w:bCs w:val="0"/>
          <w:sz w:val="28"/>
          <w:szCs w:val="28"/>
        </w:rPr>
        <w:t>城镇土地基准地价表，待估宗地属</w:t>
      </w:r>
      <w:r>
        <w:rPr>
          <w:rFonts w:hint="eastAsia" w:ascii="仿宋" w:hAnsi="仿宋" w:eastAsia="仿宋" w:cs="仿宋"/>
          <w:b w:val="0"/>
          <w:bCs w:val="0"/>
          <w:sz w:val="28"/>
          <w:szCs w:val="28"/>
          <w:lang w:val="en-US" w:eastAsia="zh-CN"/>
        </w:rPr>
        <w:t>城区二级区域</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委托评估土地用途为住宅用地，住宅用地</w:t>
      </w:r>
      <w:r>
        <w:rPr>
          <w:rFonts w:hint="eastAsia" w:ascii="仿宋" w:hAnsi="仿宋" w:eastAsia="仿宋" w:cs="仿宋"/>
          <w:b w:val="0"/>
          <w:bCs w:val="0"/>
          <w:sz w:val="28"/>
          <w:szCs w:val="28"/>
          <w:lang w:eastAsia="zh-CN"/>
        </w:rPr>
        <w:t>基准地价为</w:t>
      </w:r>
      <w:r>
        <w:rPr>
          <w:rFonts w:hint="eastAsia" w:ascii="仿宋" w:hAnsi="仿宋" w:eastAsia="仿宋" w:cs="仿宋"/>
          <w:b w:val="0"/>
          <w:bCs w:val="0"/>
          <w:sz w:val="28"/>
          <w:szCs w:val="28"/>
          <w:lang w:val="en-US" w:eastAsia="zh-CN"/>
        </w:rPr>
        <w:t>783</w:t>
      </w:r>
      <w:r>
        <w:rPr>
          <w:rFonts w:hint="eastAsia" w:ascii="仿宋" w:hAnsi="仿宋" w:eastAsia="仿宋" w:cs="仿宋"/>
          <w:b w:val="0"/>
          <w:bCs w:val="0"/>
          <w:sz w:val="28"/>
          <w:szCs w:val="28"/>
          <w:lang w:eastAsia="zh-CN"/>
        </w:rPr>
        <w:t>元/平方米</w:t>
      </w:r>
      <w:r>
        <w:rPr>
          <w:rFonts w:hint="eastAsia" w:ascii="仿宋" w:hAnsi="仿宋" w:eastAsia="仿宋" w:cs="仿宋"/>
          <w:b w:val="0"/>
          <w:bCs w:val="0"/>
          <w:sz w:val="28"/>
          <w:szCs w:val="28"/>
        </w:rPr>
        <w:t xml:space="preserve">。 </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确定期日修正系数（Kj）</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据调查，近年来该区域周围地产发展较快，委估宗地实际地价年平均涨幅为</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%，因此K</w:t>
      </w:r>
      <w:r>
        <w:rPr>
          <w:rFonts w:hint="eastAsia" w:ascii="仿宋" w:hAnsi="仿宋" w:eastAsia="仿宋" w:cs="仿宋"/>
          <w:b w:val="0"/>
          <w:bCs w:val="0"/>
          <w:sz w:val="28"/>
          <w:szCs w:val="28"/>
          <w:vertAlign w:val="subscript"/>
        </w:rPr>
        <w:t>j</w:t>
      </w: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1.1322</w:t>
      </w:r>
      <w:r>
        <w:rPr>
          <w:rFonts w:hint="eastAsia" w:ascii="仿宋" w:hAnsi="仿宋" w:eastAsia="仿宋" w:cs="仿宋"/>
          <w:b w:val="0"/>
          <w:bCs w:val="0"/>
          <w:sz w:val="28"/>
          <w:szCs w:val="28"/>
        </w:rPr>
        <w:t>。</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确定土地使用权年期修正系数（Kj ）</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设定待估宗地土地使用年期为</w:t>
      </w:r>
      <w:r>
        <w:rPr>
          <w:rFonts w:hint="eastAsia" w:ascii="仿宋" w:hAnsi="仿宋" w:eastAsia="仿宋" w:cs="仿宋"/>
          <w:b w:val="0"/>
          <w:bCs w:val="0"/>
          <w:sz w:val="28"/>
          <w:szCs w:val="28"/>
          <w:lang w:val="en-US" w:eastAsia="zh-CN"/>
        </w:rPr>
        <w:t>63.91</w:t>
      </w:r>
      <w:r>
        <w:rPr>
          <w:rFonts w:hint="eastAsia" w:ascii="仿宋" w:hAnsi="仿宋" w:eastAsia="仿宋" w:cs="仿宋"/>
          <w:b w:val="0"/>
          <w:bCs w:val="0"/>
          <w:sz w:val="28"/>
          <w:szCs w:val="28"/>
        </w:rPr>
        <w:t>年，与</w:t>
      </w:r>
      <w:r>
        <w:rPr>
          <w:rFonts w:hint="eastAsia" w:ascii="仿宋" w:hAnsi="仿宋" w:eastAsia="仿宋" w:cs="仿宋"/>
          <w:b w:val="0"/>
          <w:bCs w:val="0"/>
          <w:sz w:val="28"/>
          <w:szCs w:val="28"/>
          <w:lang w:val="en-US" w:eastAsia="zh-CN"/>
        </w:rPr>
        <w:t>略阳</w:t>
      </w:r>
      <w:r>
        <w:rPr>
          <w:rFonts w:hint="eastAsia" w:ascii="仿宋" w:hAnsi="仿宋" w:eastAsia="仿宋" w:cs="仿宋"/>
          <w:b w:val="0"/>
          <w:bCs w:val="0"/>
          <w:sz w:val="28"/>
          <w:szCs w:val="28"/>
        </w:rPr>
        <w:t>县</w:t>
      </w:r>
      <w:r>
        <w:rPr>
          <w:rFonts w:hint="eastAsia" w:ascii="仿宋" w:hAnsi="仿宋" w:eastAsia="仿宋" w:cs="仿宋"/>
          <w:b w:val="0"/>
          <w:bCs w:val="0"/>
          <w:sz w:val="28"/>
          <w:szCs w:val="28"/>
          <w:lang w:val="en-US" w:eastAsia="zh-CN"/>
        </w:rPr>
        <w:t>住宅</w:t>
      </w:r>
      <w:r>
        <w:rPr>
          <w:rFonts w:hint="eastAsia" w:ascii="仿宋" w:hAnsi="仿宋" w:eastAsia="仿宋" w:cs="仿宋"/>
          <w:b w:val="0"/>
          <w:bCs w:val="0"/>
          <w:sz w:val="28"/>
          <w:szCs w:val="28"/>
        </w:rPr>
        <w:t>基准地价设定年期</w:t>
      </w:r>
      <w:r>
        <w:rPr>
          <w:rFonts w:hint="eastAsia" w:ascii="仿宋" w:hAnsi="仿宋" w:eastAsia="仿宋" w:cs="仿宋"/>
          <w:b w:val="0"/>
          <w:bCs w:val="0"/>
          <w:sz w:val="28"/>
          <w:szCs w:val="28"/>
          <w:lang w:val="en-US" w:eastAsia="zh-CN"/>
        </w:rPr>
        <w:t>70</w:t>
      </w:r>
      <w:r>
        <w:rPr>
          <w:rFonts w:hint="eastAsia" w:ascii="仿宋" w:hAnsi="仿宋" w:eastAsia="仿宋" w:cs="仿宋"/>
          <w:b w:val="0"/>
          <w:bCs w:val="0"/>
          <w:sz w:val="28"/>
          <w:szCs w:val="28"/>
        </w:rPr>
        <w:t>年</w:t>
      </w:r>
      <w:r>
        <w:rPr>
          <w:rFonts w:hint="eastAsia" w:ascii="仿宋" w:hAnsi="仿宋" w:eastAsia="仿宋" w:cs="仿宋"/>
          <w:b w:val="0"/>
          <w:bCs w:val="0"/>
          <w:sz w:val="28"/>
          <w:szCs w:val="28"/>
          <w:lang w:val="en-US" w:eastAsia="zh-CN"/>
        </w:rPr>
        <w:t>不</w:t>
      </w:r>
      <w:r>
        <w:rPr>
          <w:rFonts w:hint="eastAsia" w:ascii="仿宋" w:hAnsi="仿宋" w:eastAsia="仿宋" w:cs="仿宋"/>
          <w:b w:val="0"/>
          <w:bCs w:val="0"/>
          <w:sz w:val="28"/>
          <w:szCs w:val="28"/>
        </w:rPr>
        <w:t>一致，因此需要进行年期修正</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土地使用年限修正系数K</w:t>
      </w:r>
      <w:r>
        <w:rPr>
          <w:rFonts w:hint="eastAsia" w:ascii="仿宋" w:hAnsi="仿宋" w:eastAsia="仿宋" w:cs="仿宋"/>
          <w:b w:val="0"/>
          <w:bCs w:val="0"/>
          <w:sz w:val="28"/>
          <w:szCs w:val="28"/>
          <w:vertAlign w:val="subscript"/>
        </w:rPr>
        <w:t>j</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0.9957。</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确定土地因素修正系数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根据基准地价系数说明表及修正系数得出待估宗地修正系数</w:t>
      </w:r>
      <w:r>
        <w:rPr>
          <w:rFonts w:hint="eastAsia" w:ascii="仿宋" w:hAnsi="仿宋" w:eastAsia="仿宋" w:cs="仿宋"/>
          <w:b w:val="0"/>
          <w:bCs w:val="0"/>
          <w:sz w:val="28"/>
          <w:szCs w:val="28"/>
        </w:rPr>
        <w:t>K</w:t>
      </w:r>
      <w:r>
        <w:rPr>
          <w:rFonts w:hint="eastAsia" w:ascii="仿宋" w:hAnsi="仿宋" w:eastAsia="仿宋" w:cs="仿宋"/>
          <w:b w:val="0"/>
          <w:bCs w:val="0"/>
          <w:sz w:val="28"/>
          <w:szCs w:val="28"/>
          <w:vertAlign w:val="subscript"/>
        </w:rPr>
        <w:t>j</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7.115%</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确定容积率修正系数（Kj）</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left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本次待估宗地容积率为2.5，确定容积率修正系数为1.0465。</w:t>
      </w:r>
    </w:p>
    <w:p>
      <w:pPr>
        <w:keepNext w:val="0"/>
        <w:keepLines w:val="0"/>
        <w:pageBreakBefore w:val="0"/>
        <w:widowControl w:val="0"/>
        <w:numPr>
          <w:ilvl w:val="0"/>
          <w:numId w:val="14"/>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计算宗地估价设定开发程度条件下的宗地地价</w:t>
      </w:r>
    </w:p>
    <w:p>
      <w:pPr>
        <w:keepNext w:val="0"/>
        <w:keepLines w:val="0"/>
        <w:pageBreakBefore w:val="0"/>
        <w:widowControl w:val="0"/>
        <w:kinsoku/>
        <w:wordWrap/>
        <w:overflowPunct/>
        <w:topLinePunct w:val="0"/>
        <w:autoSpaceDE/>
        <w:autoSpaceDN/>
        <w:bidi w:val="0"/>
        <w:spacing w:line="640" w:lineRule="exact"/>
        <w:ind w:firstLine="560" w:firstLineChars="200"/>
        <w:textAlignment w:val="auto"/>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rPr>
        <w:t>待估宗地设定开发程度为“</w:t>
      </w:r>
      <w:r>
        <w:rPr>
          <w:rFonts w:hint="eastAsia" w:ascii="仿宋" w:hAnsi="仿宋" w:eastAsia="仿宋" w:cs="仿宋"/>
          <w:b w:val="0"/>
          <w:bCs w:val="0"/>
          <w:kern w:val="0"/>
          <w:sz w:val="28"/>
          <w:szCs w:val="28"/>
          <w:lang w:val="en-US" w:eastAsia="zh-CN"/>
        </w:rPr>
        <w:t>五</w:t>
      </w:r>
      <w:r>
        <w:rPr>
          <w:rFonts w:hint="eastAsia" w:ascii="仿宋" w:hAnsi="仿宋" w:eastAsia="仿宋" w:cs="仿宋"/>
          <w:b w:val="0"/>
          <w:bCs w:val="0"/>
          <w:kern w:val="0"/>
          <w:sz w:val="28"/>
          <w:szCs w:val="28"/>
        </w:rPr>
        <w:t>通一平”，与基准地价设定开发程度“</w:t>
      </w:r>
      <w:r>
        <w:rPr>
          <w:rFonts w:hint="eastAsia" w:ascii="仿宋" w:hAnsi="仿宋" w:eastAsia="仿宋" w:cs="仿宋"/>
          <w:b w:val="0"/>
          <w:bCs w:val="0"/>
          <w:kern w:val="0"/>
          <w:sz w:val="28"/>
          <w:szCs w:val="28"/>
          <w:lang w:val="en-US" w:eastAsia="zh-CN"/>
        </w:rPr>
        <w:t>五</w:t>
      </w:r>
      <w:r>
        <w:rPr>
          <w:rFonts w:hint="eastAsia" w:ascii="仿宋" w:hAnsi="仿宋" w:eastAsia="仿宋" w:cs="仿宋"/>
          <w:b w:val="0"/>
          <w:bCs w:val="0"/>
          <w:kern w:val="0"/>
          <w:sz w:val="28"/>
          <w:szCs w:val="28"/>
        </w:rPr>
        <w:t>通一平”一致，</w:t>
      </w:r>
      <w:r>
        <w:rPr>
          <w:rFonts w:hint="eastAsia" w:ascii="仿宋" w:hAnsi="仿宋" w:eastAsia="仿宋" w:cs="仿宋"/>
          <w:b w:val="0"/>
          <w:bCs w:val="0"/>
          <w:kern w:val="0"/>
          <w:sz w:val="28"/>
          <w:szCs w:val="28"/>
          <w:lang w:val="en-US" w:eastAsia="zh-CN"/>
        </w:rPr>
        <w:t>因此</w:t>
      </w:r>
      <w:r>
        <w:rPr>
          <w:rFonts w:hint="eastAsia" w:ascii="仿宋" w:hAnsi="仿宋" w:eastAsia="仿宋" w:cs="仿宋"/>
          <w:b w:val="0"/>
          <w:bCs w:val="0"/>
          <w:kern w:val="0"/>
          <w:sz w:val="28"/>
          <w:szCs w:val="28"/>
        </w:rPr>
        <w:t>不需</w:t>
      </w:r>
      <w:r>
        <w:rPr>
          <w:rFonts w:hint="eastAsia" w:ascii="仿宋" w:hAnsi="仿宋" w:eastAsia="仿宋" w:cs="仿宋"/>
          <w:b w:val="0"/>
          <w:bCs w:val="0"/>
          <w:kern w:val="0"/>
          <w:sz w:val="28"/>
          <w:szCs w:val="28"/>
          <w:lang w:val="en-US" w:eastAsia="zh-CN"/>
        </w:rPr>
        <w:t>要</w:t>
      </w:r>
      <w:r>
        <w:rPr>
          <w:rFonts w:hint="eastAsia" w:ascii="仿宋" w:hAnsi="仿宋" w:eastAsia="仿宋" w:cs="仿宋"/>
          <w:b w:val="0"/>
          <w:bCs w:val="0"/>
          <w:kern w:val="0"/>
          <w:sz w:val="28"/>
          <w:szCs w:val="28"/>
        </w:rPr>
        <w:t>进行开发程度修正</w:t>
      </w:r>
      <w:r>
        <w:rPr>
          <w:rFonts w:hint="eastAsia" w:ascii="仿宋" w:hAnsi="仿宋" w:eastAsia="仿宋" w:cs="仿宋"/>
          <w:b w:val="0"/>
          <w:bCs w:val="0"/>
          <w:kern w:val="0"/>
          <w:sz w:val="28"/>
          <w:szCs w:val="28"/>
          <w:lang w:eastAsia="zh-CN"/>
        </w:rPr>
        <w:t>。</w:t>
      </w:r>
    </w:p>
    <w:p>
      <w:pPr>
        <w:keepNext w:val="0"/>
        <w:keepLines w:val="0"/>
        <w:pageBreakBefore w:val="0"/>
        <w:widowControl w:val="0"/>
        <w:kinsoku/>
        <w:wordWrap/>
        <w:overflowPunct/>
        <w:topLinePunct w:val="0"/>
        <w:autoSpaceDE/>
        <w:autoSpaceDN/>
        <w:bidi w:val="0"/>
        <w:spacing w:line="64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经以上分析过程，可得到待估宗地价格：</w:t>
      </w:r>
    </w:p>
    <w:p>
      <w:pPr>
        <w:keepNext w:val="0"/>
        <w:keepLines w:val="0"/>
        <w:pageBreakBefore w:val="0"/>
        <w:widowControl w:val="0"/>
        <w:kinsoku/>
        <w:wordWrap/>
        <w:overflowPunct/>
        <w:topLinePunct w:val="0"/>
        <w:autoSpaceDE/>
        <w:autoSpaceDN/>
        <w:bidi w:val="0"/>
        <w:spacing w:line="640" w:lineRule="exact"/>
        <w:ind w:firstLine="560" w:firstLineChars="2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宗地单位面积地价=P1b×(1+∑K</w:t>
      </w:r>
      <w:r>
        <w:rPr>
          <w:rFonts w:hint="eastAsia" w:ascii="仿宋" w:hAnsi="仿宋" w:eastAsia="仿宋" w:cs="仿宋"/>
          <w:b w:val="0"/>
          <w:bCs w:val="0"/>
          <w:kern w:val="0"/>
          <w:sz w:val="28"/>
          <w:szCs w:val="28"/>
          <w:vertAlign w:val="subscript"/>
        </w:rPr>
        <w:t>i</w:t>
      </w:r>
      <w:r>
        <w:rPr>
          <w:rFonts w:hint="eastAsia" w:ascii="仿宋" w:hAnsi="仿宋" w:eastAsia="仿宋" w:cs="仿宋"/>
          <w:b w:val="0"/>
          <w:bCs w:val="0"/>
          <w:kern w:val="0"/>
          <w:sz w:val="28"/>
          <w:szCs w:val="28"/>
        </w:rPr>
        <w:t>)×K</w:t>
      </w:r>
      <w:r>
        <w:rPr>
          <w:rFonts w:hint="eastAsia" w:ascii="仿宋" w:hAnsi="仿宋" w:eastAsia="仿宋" w:cs="仿宋"/>
          <w:b w:val="0"/>
          <w:bCs w:val="0"/>
          <w:kern w:val="0"/>
          <w:sz w:val="28"/>
          <w:szCs w:val="28"/>
          <w:vertAlign w:val="subscript"/>
        </w:rPr>
        <w:t>j</w:t>
      </w:r>
      <w:r>
        <w:rPr>
          <w:rFonts w:hint="eastAsia" w:ascii="仿宋" w:hAnsi="仿宋" w:eastAsia="仿宋" w:cs="仿宋"/>
          <w:b w:val="0"/>
          <w:bCs w:val="0"/>
          <w:kern w:val="0"/>
          <w:sz w:val="28"/>
          <w:szCs w:val="28"/>
        </w:rPr>
        <w:t>+D</w:t>
      </w:r>
    </w:p>
    <w:p>
      <w:pPr>
        <w:keepNext w:val="0"/>
        <w:keepLines w:val="0"/>
        <w:pageBreakBefore w:val="0"/>
        <w:widowControl w:val="0"/>
        <w:kinsoku/>
        <w:wordWrap/>
        <w:overflowPunct/>
        <w:topLinePunct w:val="0"/>
        <w:autoSpaceDE/>
        <w:autoSpaceDN/>
        <w:bidi w:val="0"/>
        <w:spacing w:line="640" w:lineRule="exact"/>
        <w:ind w:firstLine="1960" w:firstLineChars="7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783</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1.1322</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0.9957</w:t>
      </w:r>
      <w:r>
        <w:rPr>
          <w:rFonts w:hint="eastAsia" w:ascii="仿宋" w:hAnsi="仿宋" w:eastAsia="仿宋" w:cs="仿宋"/>
          <w:b w:val="0"/>
          <w:bCs w:val="0"/>
          <w:kern w:val="0"/>
          <w:sz w:val="28"/>
          <w:szCs w:val="28"/>
        </w:rPr>
        <w:t>×（1</w:t>
      </w:r>
      <w:r>
        <w:rPr>
          <w:rFonts w:hint="eastAsia" w:ascii="仿宋" w:hAnsi="仿宋" w:eastAsia="仿宋" w:cs="仿宋"/>
          <w:b w:val="0"/>
          <w:bCs w:val="0"/>
          <w:kern w:val="0"/>
          <w:sz w:val="28"/>
          <w:szCs w:val="28"/>
          <w:lang w:val="en-US" w:eastAsia="zh-CN"/>
        </w:rPr>
        <w:t>+7.115</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1.0465</w:t>
      </w:r>
    </w:p>
    <w:p>
      <w:pPr>
        <w:keepNext w:val="0"/>
        <w:keepLines w:val="0"/>
        <w:pageBreakBefore w:val="0"/>
        <w:widowControl w:val="0"/>
        <w:kinsoku/>
        <w:wordWrap/>
        <w:overflowPunct/>
        <w:topLinePunct w:val="0"/>
        <w:autoSpaceDE/>
        <w:autoSpaceDN/>
        <w:bidi w:val="0"/>
        <w:spacing w:line="640" w:lineRule="exact"/>
        <w:ind w:firstLine="1960" w:firstLineChars="700"/>
        <w:textAlignment w:val="auto"/>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989.0</w:t>
      </w:r>
      <w:r>
        <w:rPr>
          <w:rFonts w:hint="eastAsia" w:ascii="仿宋" w:hAnsi="仿宋" w:eastAsia="仿宋" w:cs="仿宋"/>
          <w:b w:val="0"/>
          <w:bCs w:val="0"/>
          <w:kern w:val="0"/>
          <w:sz w:val="28"/>
          <w:szCs w:val="28"/>
        </w:rPr>
        <w:t>元/平方米</w:t>
      </w:r>
    </w:p>
    <w:p>
      <w:pPr>
        <w:keepNext w:val="0"/>
        <w:keepLines w:val="0"/>
        <w:pageBreakBefore w:val="0"/>
        <w:widowControl w:val="0"/>
        <w:kinsoku/>
        <w:wordWrap/>
        <w:overflowPunct/>
        <w:topLinePunct w:val="0"/>
        <w:autoSpaceDE/>
        <w:autoSpaceDN/>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基准地价系数修正法详细评估过程见表。</w:t>
      </w:r>
    </w:p>
    <w:tbl>
      <w:tblPr>
        <w:tblStyle w:val="7"/>
        <w:tblW w:w="5000" w:type="pct"/>
        <w:tblInd w:w="0" w:type="dxa"/>
        <w:shd w:val="clear" w:color="auto" w:fill="auto"/>
        <w:tblLayout w:type="fixed"/>
        <w:tblCellMar>
          <w:top w:w="0" w:type="dxa"/>
          <w:left w:w="0" w:type="dxa"/>
          <w:bottom w:w="0" w:type="dxa"/>
          <w:right w:w="0" w:type="dxa"/>
        </w:tblCellMar>
      </w:tblPr>
      <w:tblGrid>
        <w:gridCol w:w="1001"/>
        <w:gridCol w:w="803"/>
        <w:gridCol w:w="767"/>
        <w:gridCol w:w="750"/>
        <w:gridCol w:w="917"/>
        <w:gridCol w:w="683"/>
        <w:gridCol w:w="783"/>
        <w:gridCol w:w="650"/>
        <w:gridCol w:w="593"/>
        <w:gridCol w:w="698"/>
        <w:gridCol w:w="681"/>
      </w:tblGrid>
      <w:tr>
        <w:tblPrEx>
          <w:tblCellMar>
            <w:top w:w="0" w:type="dxa"/>
            <w:left w:w="0" w:type="dxa"/>
            <w:bottom w:w="0" w:type="dxa"/>
            <w:right w:w="0" w:type="dxa"/>
          </w:tblCellMar>
        </w:tblPrEx>
        <w:trPr>
          <w:trHeight w:val="380" w:hRule="atLeast"/>
        </w:trPr>
        <w:tc>
          <w:tcPr>
            <w:tcW w:w="5000" w:type="pct"/>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val="0"/>
                <w:bCs/>
                <w:i w:val="0"/>
                <w:color w:val="000000"/>
                <w:kern w:val="0"/>
                <w:sz w:val="22"/>
                <w:szCs w:val="22"/>
                <w:u w:val="none"/>
                <w:lang w:val="en-US" w:eastAsia="zh-CN" w:bidi="ar"/>
              </w:rPr>
              <w:t xml:space="preserve"> 基准地价系数修正法评估过程一览表</w:t>
            </w:r>
          </w:p>
        </w:tc>
      </w:tr>
      <w:tr>
        <w:tblPrEx>
          <w:tblCellMar>
            <w:top w:w="0" w:type="dxa"/>
            <w:left w:w="0" w:type="dxa"/>
            <w:bottom w:w="0" w:type="dxa"/>
            <w:right w:w="0" w:type="dxa"/>
          </w:tblCellMar>
        </w:tblPrEx>
        <w:trPr>
          <w:trHeight w:val="76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宗地名称(地号)</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土地等级</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基准地价（元/m</w:t>
            </w:r>
            <w:r>
              <w:rPr>
                <w:rStyle w:val="20"/>
                <w:rFonts w:hint="eastAsia" w:ascii="仿宋" w:hAnsi="仿宋" w:eastAsia="仿宋" w:cs="仿宋"/>
                <w:sz w:val="18"/>
                <w:szCs w:val="18"/>
                <w:lang w:val="en-US" w:eastAsia="zh-CN" w:bidi="ar"/>
              </w:rPr>
              <w:t>2</w:t>
            </w:r>
            <w:r>
              <w:rPr>
                <w:rFonts w:hint="eastAsia" w:ascii="仿宋" w:hAnsi="仿宋" w:eastAsia="仿宋" w:cs="仿宋"/>
                <w:i w:val="0"/>
                <w:color w:val="000000"/>
                <w:kern w:val="0"/>
                <w:sz w:val="18"/>
                <w:szCs w:val="18"/>
                <w:u w:val="none"/>
                <w:lang w:val="en-US" w:eastAsia="zh-CN" w:bidi="ar"/>
              </w:rPr>
              <w:t>）</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基准地价设定年期</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区域及个别因素修正系数（%）</w:t>
            </w:r>
          </w:p>
        </w:tc>
        <w:tc>
          <w:tcPr>
            <w:tcW w:w="41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期日修正系数</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估价设定年（年）</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使用年期修正系数</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容积率修正系数</w:t>
            </w:r>
          </w:p>
        </w:tc>
        <w:tc>
          <w:tcPr>
            <w:tcW w:w="4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开发程度修正 （元/m</w:t>
            </w:r>
            <w:r>
              <w:rPr>
                <w:rStyle w:val="20"/>
                <w:rFonts w:hint="eastAsia" w:ascii="仿宋" w:hAnsi="仿宋" w:eastAsia="仿宋" w:cs="仿宋"/>
                <w:sz w:val="18"/>
                <w:szCs w:val="18"/>
                <w:lang w:val="en-US" w:eastAsia="zh-CN" w:bidi="ar"/>
              </w:rPr>
              <w:t>2</w:t>
            </w:r>
            <w:r>
              <w:rPr>
                <w:rFonts w:hint="eastAsia" w:ascii="仿宋" w:hAnsi="仿宋" w:eastAsia="仿宋" w:cs="仿宋"/>
                <w:i w:val="0"/>
                <w:color w:val="000000"/>
                <w:kern w:val="0"/>
                <w:sz w:val="18"/>
                <w:szCs w:val="18"/>
                <w:u w:val="none"/>
                <w:lang w:val="en-US" w:eastAsia="zh-CN" w:bidi="ar"/>
              </w:rPr>
              <w:t>）</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单位面积地价  (元/m</w:t>
            </w:r>
            <w:r>
              <w:rPr>
                <w:rStyle w:val="20"/>
                <w:rFonts w:hint="eastAsia" w:ascii="仿宋" w:hAnsi="仿宋" w:eastAsia="仿宋" w:cs="仿宋"/>
                <w:sz w:val="18"/>
                <w:szCs w:val="18"/>
                <w:lang w:val="en-US" w:eastAsia="zh-CN" w:bidi="ar"/>
              </w:rPr>
              <w:t>2</w:t>
            </w:r>
            <w:r>
              <w:rPr>
                <w:rFonts w:hint="eastAsia" w:ascii="仿宋" w:hAnsi="仿宋" w:eastAsia="仿宋" w:cs="仿宋"/>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76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610727100201GB04001</w:t>
            </w:r>
          </w:p>
        </w:tc>
        <w:tc>
          <w:tcPr>
            <w:tcW w:w="4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城区二级</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783.0 </w:t>
            </w:r>
          </w:p>
        </w:tc>
        <w:tc>
          <w:tcPr>
            <w:tcW w:w="45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70</w:t>
            </w:r>
          </w:p>
        </w:tc>
        <w:tc>
          <w:tcPr>
            <w:tcW w:w="55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7.115</w:t>
            </w:r>
          </w:p>
        </w:tc>
        <w:tc>
          <w:tcPr>
            <w:tcW w:w="41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1.1322</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63.91</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0.9957</w:t>
            </w:r>
          </w:p>
        </w:tc>
        <w:tc>
          <w:tcPr>
            <w:tcW w:w="3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1.0465</w:t>
            </w:r>
          </w:p>
        </w:tc>
        <w:tc>
          <w:tcPr>
            <w:tcW w:w="4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989.0 </w:t>
            </w:r>
          </w:p>
        </w:tc>
      </w:tr>
    </w:tbl>
    <w:p>
      <w:pPr>
        <w:keepNext w:val="0"/>
        <w:keepLines w:val="0"/>
        <w:pageBreakBefore w:val="0"/>
        <w:widowControl w:val="0"/>
        <w:numPr>
          <w:ilvl w:val="0"/>
          <w:numId w:val="13"/>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假设开发法</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基本原理 </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color w:val="000000"/>
          <w:sz w:val="28"/>
        </w:rPr>
      </w:pPr>
      <w:r>
        <w:rPr>
          <w:rFonts w:hint="eastAsia" w:ascii="仿宋" w:hAnsi="仿宋" w:eastAsia="仿宋" w:cs="仿宋"/>
          <w:b w:val="0"/>
          <w:bCs w:val="0"/>
          <w:snapToGrid w:val="0"/>
          <w:sz w:val="28"/>
        </w:rPr>
        <w:t>假设开发法</w:t>
      </w:r>
      <w:r>
        <w:rPr>
          <w:rFonts w:hint="eastAsia" w:ascii="仿宋" w:hAnsi="仿宋" w:eastAsia="仿宋" w:cs="仿宋"/>
          <w:b w:val="0"/>
          <w:bCs w:val="0"/>
          <w:sz w:val="28"/>
          <w:szCs w:val="28"/>
        </w:rPr>
        <w:t>是在假设估价对象在最有效利用条件下，在估算未来不动产开发完成后正常交易价格的基础上，扣除建筑物建造费用和与建筑物建造、买卖有关的专业费、利息、利润、税收等费用后，以价格余额来确定估价对象土地价格的一种方法。</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公式</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V=A-B-C</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式中，V——待估土地价格</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A——开发完成后的土地总价值或房地产总价值</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B——整个开发项目的开发成本</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C——开发商合理利润</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pacing w:val="-20"/>
          <w:sz w:val="28"/>
        </w:rPr>
      </w:pPr>
      <w:r>
        <w:rPr>
          <w:rFonts w:hint="eastAsia" w:ascii="仿宋" w:hAnsi="仿宋" w:eastAsia="仿宋" w:cs="仿宋"/>
          <w:b w:val="0"/>
          <w:bCs w:val="0"/>
          <w:sz w:val="28"/>
          <w:szCs w:val="28"/>
        </w:rPr>
        <w:t>其中，在房地产开发项目中，开发成本包括购地税费、房屋建造成本、管理费用、投资利息和销售税费。</w:t>
      </w:r>
      <w:r>
        <w:rPr>
          <w:rFonts w:hint="eastAsia" w:ascii="仿宋" w:hAnsi="仿宋" w:eastAsia="仿宋" w:cs="仿宋"/>
          <w:b w:val="0"/>
          <w:bCs w:val="0"/>
          <w:spacing w:val="-20"/>
          <w:sz w:val="28"/>
        </w:rPr>
        <w:t xml:space="preserve">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4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测算过程 </w:t>
      </w:r>
    </w:p>
    <w:p>
      <w:pPr>
        <w:pStyle w:val="4"/>
        <w:keepNext w:val="0"/>
        <w:keepLines w:val="0"/>
        <w:pageBreakBefore w:val="0"/>
        <w:widowControl w:val="0"/>
        <w:numPr>
          <w:ilvl w:val="0"/>
          <w:numId w:val="16"/>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Cs w:val="28"/>
        </w:rPr>
      </w:pPr>
      <w:r>
        <w:rPr>
          <w:rFonts w:hint="eastAsia" w:ascii="仿宋" w:hAnsi="仿宋" w:eastAsia="仿宋" w:cs="仿宋"/>
          <w:b w:val="0"/>
          <w:bCs w:val="0"/>
          <w:szCs w:val="28"/>
        </w:rPr>
        <w:t>最佳利用方式设定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本次估价对象土地面积为</w:t>
      </w:r>
      <w:r>
        <w:rPr>
          <w:rFonts w:hint="eastAsia" w:ascii="仿宋" w:hAnsi="仿宋" w:eastAsia="仿宋" w:cs="仿宋"/>
          <w:b w:val="0"/>
          <w:bCs w:val="0"/>
          <w:sz w:val="28"/>
          <w:szCs w:val="28"/>
          <w:lang w:val="en-US" w:eastAsia="zh-CN"/>
        </w:rPr>
        <w:t>1000.0</w:t>
      </w:r>
      <w:r>
        <w:rPr>
          <w:rFonts w:hint="eastAsia" w:ascii="仿宋" w:hAnsi="仿宋" w:eastAsia="仿宋" w:cs="仿宋"/>
          <w:b w:val="0"/>
          <w:bCs w:val="0"/>
          <w:sz w:val="28"/>
          <w:szCs w:val="28"/>
        </w:rPr>
        <w:t>平方米，</w:t>
      </w:r>
      <w:r>
        <w:rPr>
          <w:rFonts w:hint="eastAsia" w:ascii="仿宋" w:hAnsi="仿宋" w:eastAsia="仿宋" w:cs="仿宋"/>
          <w:b w:val="0"/>
          <w:bCs w:val="0"/>
          <w:sz w:val="28"/>
        </w:rPr>
        <w:t>根据</w:t>
      </w:r>
      <w:r>
        <w:rPr>
          <w:rFonts w:hint="eastAsia" w:ascii="仿宋" w:hAnsi="仿宋" w:eastAsia="仿宋" w:cs="仿宋"/>
          <w:b w:val="0"/>
          <w:bCs w:val="0"/>
          <w:sz w:val="28"/>
          <w:lang w:val="en-US" w:eastAsia="zh-CN"/>
        </w:rPr>
        <w:t>估价人员现场勘察待估宗地周边区域房地产开发项目并结合待估宗地实际情况</w:t>
      </w:r>
      <w:r>
        <w:rPr>
          <w:rFonts w:hint="eastAsia" w:ascii="仿宋" w:hAnsi="仿宋" w:eastAsia="仿宋" w:cs="仿宋"/>
          <w:b w:val="0"/>
          <w:bCs w:val="0"/>
          <w:sz w:val="28"/>
          <w:szCs w:val="28"/>
        </w:rPr>
        <w:t>，对估价对象做以下设定：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color w:val="000000"/>
          <w:sz w:val="28"/>
        </w:rPr>
      </w:pPr>
      <w:r>
        <w:rPr>
          <w:rFonts w:hint="eastAsia" w:ascii="仿宋" w:hAnsi="仿宋" w:eastAsia="仿宋" w:cs="仿宋"/>
          <w:b w:val="0"/>
          <w:bCs w:val="0"/>
          <w:color w:val="000000"/>
          <w:sz w:val="28"/>
        </w:rPr>
        <w:t>土地面</w:t>
      </w:r>
      <w:r>
        <w:rPr>
          <w:rFonts w:hint="eastAsia" w:ascii="仿宋" w:hAnsi="仿宋" w:eastAsia="仿宋" w:cs="仿宋"/>
          <w:b w:val="0"/>
          <w:bCs w:val="0"/>
          <w:sz w:val="28"/>
          <w:szCs w:val="28"/>
        </w:rPr>
        <w:t>积：</w:t>
      </w:r>
      <w:r>
        <w:rPr>
          <w:rFonts w:hint="eastAsia" w:ascii="仿宋" w:hAnsi="仿宋" w:eastAsia="仿宋" w:cs="仿宋"/>
          <w:b w:val="0"/>
          <w:bCs w:val="0"/>
          <w:sz w:val="28"/>
          <w:szCs w:val="28"/>
          <w:lang w:val="en-US" w:eastAsia="zh-CN"/>
        </w:rPr>
        <w:t>1000.0</w:t>
      </w:r>
      <w:r>
        <w:rPr>
          <w:rFonts w:hint="eastAsia" w:ascii="仿宋" w:hAnsi="仿宋" w:eastAsia="仿宋" w:cs="仿宋"/>
          <w:b w:val="0"/>
          <w:bCs w:val="0"/>
          <w:sz w:val="28"/>
          <w:szCs w:val="28"/>
        </w:rPr>
        <w:t>平方米</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容积率：</w:t>
      </w:r>
      <w:r>
        <w:rPr>
          <w:rFonts w:hint="eastAsia" w:ascii="仿宋" w:hAnsi="仿宋" w:eastAsia="仿宋" w:cs="仿宋"/>
          <w:b w:val="0"/>
          <w:bCs w:val="0"/>
          <w:sz w:val="28"/>
          <w:szCs w:val="28"/>
          <w:lang w:val="en-US" w:eastAsia="zh-CN"/>
        </w:rPr>
        <w:t>2.5</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建筑密度：</w:t>
      </w:r>
      <w:r>
        <w:rPr>
          <w:rFonts w:hint="eastAsia" w:ascii="仿宋" w:hAnsi="仿宋" w:eastAsia="仿宋" w:cs="仿宋"/>
          <w:b w:val="0"/>
          <w:bCs w:val="0"/>
          <w:sz w:val="28"/>
          <w:szCs w:val="28"/>
          <w:lang w:val="en-US" w:eastAsia="zh-CN"/>
        </w:rPr>
        <w:t>40</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rPr>
      </w:pPr>
      <w:r>
        <w:rPr>
          <w:rFonts w:hint="eastAsia" w:ascii="仿宋" w:hAnsi="仿宋" w:eastAsia="仿宋" w:cs="仿宋"/>
          <w:b w:val="0"/>
          <w:bCs w:val="0"/>
          <w:sz w:val="28"/>
          <w:szCs w:val="28"/>
        </w:rPr>
        <w:t>绿地率：</w:t>
      </w:r>
      <w:r>
        <w:rPr>
          <w:rFonts w:hint="eastAsia" w:ascii="仿宋" w:hAnsi="仿宋" w:eastAsia="仿宋" w:cs="仿宋"/>
          <w:b w:val="0"/>
          <w:bCs w:val="0"/>
          <w:sz w:val="28"/>
          <w:szCs w:val="28"/>
          <w:lang w:val="en-US" w:eastAsia="zh-CN"/>
        </w:rPr>
        <w:t>35</w:t>
      </w:r>
      <w:r>
        <w:rPr>
          <w:rFonts w:hint="eastAsia" w:ascii="仿宋" w:hAnsi="仿宋" w:eastAsia="仿宋" w:cs="仿宋"/>
          <w:b w:val="0"/>
          <w:bCs w:val="0"/>
          <w:sz w:val="28"/>
          <w:szCs w:val="28"/>
        </w:rPr>
        <w:t>%</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层数及建筑结构的确定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估价对象设定容积率为</w:t>
      </w:r>
      <w:r>
        <w:rPr>
          <w:rFonts w:hint="eastAsia" w:ascii="仿宋" w:hAnsi="仿宋" w:eastAsia="仿宋" w:cs="仿宋"/>
          <w:b w:val="0"/>
          <w:bCs w:val="0"/>
          <w:sz w:val="28"/>
          <w:szCs w:val="28"/>
          <w:lang w:val="en-US" w:eastAsia="zh-CN"/>
        </w:rPr>
        <w:t>2.5</w:t>
      </w:r>
      <w:r>
        <w:rPr>
          <w:rFonts w:hint="eastAsia" w:ascii="仿宋" w:hAnsi="仿宋" w:eastAsia="仿宋" w:cs="仿宋"/>
          <w:b w:val="0"/>
          <w:bCs w:val="0"/>
          <w:sz w:val="28"/>
          <w:szCs w:val="28"/>
        </w:rPr>
        <w:t>，</w:t>
      </w:r>
      <w:r>
        <w:rPr>
          <w:rFonts w:hint="eastAsia" w:ascii="仿宋" w:hAnsi="仿宋" w:eastAsia="仿宋" w:cs="仿宋"/>
          <w:b w:val="0"/>
          <w:bCs w:val="0"/>
          <w:sz w:val="28"/>
        </w:rPr>
        <w:t>建筑密度</w:t>
      </w:r>
      <w:r>
        <w:rPr>
          <w:rFonts w:hint="eastAsia" w:ascii="仿宋" w:hAnsi="仿宋" w:eastAsia="仿宋" w:cs="仿宋"/>
          <w:b w:val="0"/>
          <w:bCs w:val="0"/>
          <w:sz w:val="28"/>
          <w:lang w:val="en-US" w:eastAsia="zh-CN"/>
        </w:rPr>
        <w:t>40</w:t>
      </w:r>
      <w:r>
        <w:rPr>
          <w:rFonts w:hint="eastAsia" w:ascii="仿宋" w:hAnsi="仿宋" w:eastAsia="仿宋" w:cs="仿宋"/>
          <w:b w:val="0"/>
          <w:bCs w:val="0"/>
          <w:sz w:val="28"/>
        </w:rPr>
        <w:t>%，</w:t>
      </w:r>
      <w:r>
        <w:rPr>
          <w:rFonts w:hint="eastAsia" w:ascii="仿宋" w:hAnsi="仿宋" w:eastAsia="仿宋" w:cs="仿宋"/>
          <w:b w:val="0"/>
          <w:bCs w:val="0"/>
          <w:sz w:val="28"/>
          <w:szCs w:val="28"/>
        </w:rPr>
        <w:t>则项目平均层数为</w:t>
      </w:r>
      <w:r>
        <w:rPr>
          <w:rFonts w:hint="eastAsia" w:ascii="仿宋" w:hAnsi="仿宋" w:eastAsia="仿宋" w:cs="仿宋"/>
          <w:b w:val="0"/>
          <w:bCs w:val="0"/>
          <w:sz w:val="28"/>
          <w:szCs w:val="28"/>
          <w:lang w:val="en-US" w:eastAsia="zh-CN"/>
        </w:rPr>
        <w:t>2.5</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40</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层，本次估价按地上</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层考虑。</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建筑面积的确定</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根据略阳县规划建筑容积率计算规则：在计算容积率时，地下室的建筑面积不计，顶层建筑面积不超过标准层建筑面积的1/8 的不计。</w:t>
      </w:r>
      <w:r>
        <w:rPr>
          <w:rFonts w:hint="eastAsia" w:ascii="仿宋" w:hAnsi="仿宋" w:eastAsia="仿宋" w:cs="仿宋"/>
          <w:b w:val="0"/>
          <w:bCs w:val="0"/>
          <w:sz w:val="28"/>
        </w:rPr>
        <w:t>估价对象容积率为</w:t>
      </w:r>
      <w:r>
        <w:rPr>
          <w:rFonts w:hint="eastAsia" w:ascii="仿宋" w:hAnsi="仿宋" w:eastAsia="仿宋" w:cs="仿宋"/>
          <w:b w:val="0"/>
          <w:bCs w:val="0"/>
          <w:sz w:val="28"/>
          <w:lang w:val="en-US" w:eastAsia="zh-CN"/>
        </w:rPr>
        <w:t>2.5</w:t>
      </w:r>
      <w:r>
        <w:rPr>
          <w:rFonts w:hint="eastAsia" w:ascii="仿宋" w:hAnsi="仿宋" w:eastAsia="仿宋" w:cs="仿宋"/>
          <w:b w:val="0"/>
          <w:bCs w:val="0"/>
          <w:sz w:val="28"/>
        </w:rPr>
        <w:t>，土地面积为</w:t>
      </w:r>
      <w:r>
        <w:rPr>
          <w:rFonts w:hint="eastAsia" w:ascii="仿宋" w:hAnsi="仿宋" w:eastAsia="仿宋" w:cs="仿宋"/>
          <w:b w:val="0"/>
          <w:bCs w:val="0"/>
          <w:sz w:val="28"/>
          <w:lang w:val="en-US" w:eastAsia="zh-CN"/>
        </w:rPr>
        <w:t>1000.0</w:t>
      </w:r>
      <w:r>
        <w:rPr>
          <w:rFonts w:hint="eastAsia" w:ascii="仿宋" w:hAnsi="仿宋" w:eastAsia="仿宋" w:cs="仿宋"/>
          <w:b w:val="0"/>
          <w:bCs w:val="0"/>
          <w:sz w:val="28"/>
        </w:rPr>
        <w:t>平方米</w:t>
      </w:r>
      <w:r>
        <w:rPr>
          <w:rFonts w:hint="eastAsia" w:ascii="仿宋" w:hAnsi="仿宋" w:eastAsia="仿宋" w:cs="仿宋"/>
          <w:b w:val="0"/>
          <w:bCs w:val="0"/>
          <w:sz w:val="28"/>
          <w:szCs w:val="28"/>
        </w:rPr>
        <w:t>，可知，该项目地上建筑面积为：</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1000.0</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2.5</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2500</w:t>
      </w:r>
      <w:r>
        <w:rPr>
          <w:rFonts w:hint="eastAsia" w:ascii="仿宋" w:hAnsi="仿宋" w:eastAsia="仿宋" w:cs="仿宋"/>
          <w:b w:val="0"/>
          <w:bCs w:val="0"/>
          <w:sz w:val="28"/>
          <w:szCs w:val="28"/>
        </w:rPr>
        <w:t>平方米</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人防建筑面积的确定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根据汉中市人民防空工程建设规定，本项目需建地下人防面积为：</w:t>
      </w:r>
      <w:r>
        <w:rPr>
          <w:rFonts w:hint="eastAsia" w:ascii="仿宋" w:hAnsi="仿宋" w:eastAsia="仿宋" w:cs="仿宋"/>
          <w:b w:val="0"/>
          <w:bCs w:val="0"/>
          <w:sz w:val="28"/>
          <w:szCs w:val="28"/>
          <w:lang w:val="en-US" w:eastAsia="zh-CN"/>
        </w:rPr>
        <w:t>2500</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125</w:t>
      </w:r>
      <w:r>
        <w:rPr>
          <w:rFonts w:hint="eastAsia" w:ascii="仿宋" w:hAnsi="仿宋" w:eastAsia="仿宋" w:cs="仿宋"/>
          <w:b w:val="0"/>
          <w:bCs w:val="0"/>
          <w:sz w:val="28"/>
          <w:szCs w:val="28"/>
        </w:rPr>
        <w:t>㎡。考虑到地下人防工程等为公共事业服务的部分，不应考虑其收益。</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停车位的确定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根据汉中市有关停车位配建标准，住宅为1个/100平方米建筑面积。则待开发项目应配建停车位数量为：</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lang w:val="en-US" w:eastAsia="zh-CN"/>
        </w:rPr>
      </w:pPr>
      <w:r>
        <w:rPr>
          <w:rFonts w:hint="eastAsia" w:ascii="仿宋" w:hAnsi="仿宋" w:eastAsia="仿宋" w:cs="仿宋"/>
          <w:b w:val="0"/>
          <w:bCs w:val="0"/>
          <w:sz w:val="28"/>
          <w:szCs w:val="28"/>
          <w:lang w:val="en-US" w:eastAsia="zh-CN"/>
        </w:rPr>
        <w:t>2500</w:t>
      </w:r>
      <w:r>
        <w:rPr>
          <w:rFonts w:hint="eastAsia" w:ascii="仿宋" w:hAnsi="仿宋" w:eastAsia="仿宋" w:cs="仿宋"/>
          <w:b w:val="0"/>
          <w:bCs w:val="0"/>
          <w:sz w:val="28"/>
        </w:rPr>
        <w:t>×1/100=</w:t>
      </w:r>
      <w:r>
        <w:rPr>
          <w:rFonts w:hint="eastAsia" w:ascii="仿宋" w:hAnsi="仿宋" w:eastAsia="仿宋" w:cs="仿宋"/>
          <w:b w:val="0"/>
          <w:bCs w:val="0"/>
          <w:sz w:val="28"/>
          <w:lang w:val="en-US" w:eastAsia="zh-CN"/>
        </w:rPr>
        <w:t>25个</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本次估价结合机动车停车位设计以垂直式后退停车为主，根据公安部、建设部联合下发的《停车场规划设计规则》，小型轿车垂直式后退停车单位停车面积不应少于25.2 平方米，考虑出入口面积、柱间距影响等因素，结合估价对象区域商品房楼盘停车位设计情况，本次估价按每个车位占地30平方米计。</w:t>
      </w:r>
    </w:p>
    <w:p>
      <w:pPr>
        <w:keepNext w:val="0"/>
        <w:keepLines w:val="0"/>
        <w:pageBreakBefore w:val="0"/>
        <w:widowControl w:val="0"/>
        <w:kinsoku/>
        <w:wordWrap/>
        <w:overflowPunct/>
        <w:topLinePunct w:val="0"/>
        <w:bidi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另外，考虑地面停车率不宜超过10%，故本次估价按规划地面停车位10%考虑，则地下停车位应占面积为：</w:t>
      </w:r>
    </w:p>
    <w:p>
      <w:pPr>
        <w:keepNext w:val="0"/>
        <w:keepLines w:val="0"/>
        <w:pageBreakBefore w:val="0"/>
        <w:widowControl w:val="0"/>
        <w:kinsoku/>
        <w:wordWrap/>
        <w:overflowPunct/>
        <w:topLinePunct w:val="0"/>
        <w:bidi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25</w:t>
      </w:r>
      <w:r>
        <w:rPr>
          <w:rFonts w:hint="eastAsia" w:ascii="仿宋" w:hAnsi="仿宋" w:eastAsia="仿宋" w:cs="仿宋"/>
          <w:b w:val="0"/>
          <w:bCs w:val="0"/>
          <w:sz w:val="28"/>
          <w:szCs w:val="28"/>
        </w:rPr>
        <w:t>×（1-10%）=</w:t>
      </w:r>
      <w:r>
        <w:rPr>
          <w:rFonts w:hint="eastAsia" w:ascii="仿宋" w:hAnsi="仿宋" w:eastAsia="仿宋" w:cs="仿宋"/>
          <w:b w:val="0"/>
          <w:bCs w:val="0"/>
          <w:sz w:val="28"/>
          <w:szCs w:val="28"/>
          <w:lang w:val="en-US" w:eastAsia="zh-CN"/>
        </w:rPr>
        <w:t>23</w:t>
      </w:r>
      <w:r>
        <w:rPr>
          <w:rFonts w:hint="eastAsia" w:ascii="仿宋" w:hAnsi="仿宋" w:eastAsia="仿宋" w:cs="仿宋"/>
          <w:b w:val="0"/>
          <w:bCs w:val="0"/>
          <w:sz w:val="28"/>
          <w:szCs w:val="28"/>
        </w:rPr>
        <w:t>辆</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23</w:t>
      </w:r>
      <w:r>
        <w:rPr>
          <w:rFonts w:hint="eastAsia" w:ascii="仿宋" w:hAnsi="仿宋" w:eastAsia="仿宋" w:cs="仿宋"/>
          <w:b w:val="0"/>
          <w:bCs w:val="0"/>
          <w:sz w:val="28"/>
          <w:szCs w:val="28"/>
        </w:rPr>
        <w:t>×30=</w:t>
      </w:r>
      <w:r>
        <w:rPr>
          <w:rFonts w:hint="eastAsia" w:ascii="仿宋" w:hAnsi="仿宋" w:eastAsia="仿宋" w:cs="仿宋"/>
          <w:b w:val="0"/>
          <w:bCs w:val="0"/>
          <w:sz w:val="28"/>
          <w:szCs w:val="28"/>
          <w:lang w:val="en-US" w:eastAsia="zh-CN"/>
        </w:rPr>
        <w:t>690</w:t>
      </w:r>
      <w:r>
        <w:rPr>
          <w:rFonts w:hint="eastAsia" w:ascii="仿宋" w:hAnsi="仿宋" w:eastAsia="仿宋" w:cs="仿宋"/>
          <w:b w:val="0"/>
          <w:bCs w:val="0"/>
          <w:sz w:val="28"/>
          <w:szCs w:val="28"/>
        </w:rPr>
        <w:t>平方米</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建筑总面积的确定</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根据平战结合原则，待开发项目</w:t>
      </w:r>
      <w:r>
        <w:rPr>
          <w:rFonts w:hint="eastAsia" w:ascii="仿宋" w:hAnsi="仿宋" w:eastAsia="仿宋" w:cs="仿宋"/>
          <w:b w:val="0"/>
          <w:bCs w:val="0"/>
          <w:sz w:val="28"/>
          <w:szCs w:val="28"/>
          <w:lang w:val="en-US" w:eastAsia="zh-CN"/>
        </w:rPr>
        <w:t>125</w:t>
      </w:r>
      <w:r>
        <w:rPr>
          <w:rFonts w:hint="eastAsia" w:ascii="仿宋" w:hAnsi="仿宋" w:eastAsia="仿宋" w:cs="仿宋"/>
          <w:b w:val="0"/>
          <w:bCs w:val="0"/>
          <w:sz w:val="28"/>
          <w:szCs w:val="28"/>
        </w:rPr>
        <w:t>平方米的地下人防工程在日常可作为停车场使用，与配建的地下停车场建筑面积</w:t>
      </w:r>
      <w:r>
        <w:rPr>
          <w:rFonts w:hint="eastAsia" w:ascii="仿宋" w:hAnsi="仿宋" w:eastAsia="仿宋" w:cs="仿宋"/>
          <w:b w:val="0"/>
          <w:bCs w:val="0"/>
          <w:sz w:val="28"/>
          <w:szCs w:val="28"/>
          <w:lang w:val="en-US" w:eastAsia="zh-CN"/>
        </w:rPr>
        <w:t>690</w:t>
      </w:r>
      <w:r>
        <w:rPr>
          <w:rFonts w:hint="eastAsia" w:ascii="仿宋" w:hAnsi="仿宋" w:eastAsia="仿宋" w:cs="仿宋"/>
          <w:b w:val="0"/>
          <w:bCs w:val="0"/>
          <w:sz w:val="28"/>
          <w:szCs w:val="28"/>
        </w:rPr>
        <w:t>平方米相比较，最终确定地下建筑面积为</w:t>
      </w:r>
      <w:r>
        <w:rPr>
          <w:rFonts w:hint="eastAsia" w:ascii="仿宋" w:hAnsi="仿宋" w:eastAsia="仿宋" w:cs="仿宋"/>
          <w:b w:val="0"/>
          <w:bCs w:val="0"/>
          <w:sz w:val="28"/>
          <w:szCs w:val="28"/>
          <w:lang w:val="en-US" w:eastAsia="zh-CN"/>
        </w:rPr>
        <w:t>690</w:t>
      </w:r>
      <w:r>
        <w:rPr>
          <w:rFonts w:hint="eastAsia" w:ascii="仿宋" w:hAnsi="仿宋" w:eastAsia="仿宋" w:cs="仿宋"/>
          <w:b w:val="0"/>
          <w:bCs w:val="0"/>
          <w:sz w:val="28"/>
          <w:szCs w:val="28"/>
        </w:rPr>
        <w:t>平方米。</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b w:val="0"/>
          <w:bCs w:val="0"/>
          <w:color w:val="000000"/>
          <w:sz w:val="28"/>
        </w:rPr>
      </w:pPr>
      <w:r>
        <w:rPr>
          <w:rFonts w:hint="eastAsia" w:ascii="仿宋" w:hAnsi="仿宋" w:eastAsia="仿宋" w:cs="仿宋"/>
          <w:b w:val="0"/>
          <w:bCs w:val="0"/>
          <w:sz w:val="28"/>
          <w:szCs w:val="28"/>
        </w:rPr>
        <w:t>则总建筑面积=</w:t>
      </w:r>
      <w:r>
        <w:rPr>
          <w:rFonts w:hint="eastAsia" w:ascii="仿宋" w:hAnsi="仿宋" w:eastAsia="仿宋" w:cs="仿宋"/>
          <w:b w:val="0"/>
          <w:bCs w:val="0"/>
          <w:color w:val="000000"/>
          <w:sz w:val="28"/>
          <w:lang w:val="en-US" w:eastAsia="zh-CN"/>
        </w:rPr>
        <w:t>3190</w:t>
      </w:r>
      <w:r>
        <w:rPr>
          <w:rFonts w:hint="eastAsia" w:ascii="仿宋" w:hAnsi="仿宋" w:eastAsia="仿宋" w:cs="仿宋"/>
          <w:b w:val="0"/>
          <w:bCs w:val="0"/>
          <w:color w:val="000000"/>
          <w:sz w:val="28"/>
        </w:rPr>
        <w:t>.0平方米</w:t>
      </w:r>
    </w:p>
    <w:p>
      <w:pPr>
        <w:keepNext w:val="0"/>
        <w:keepLines w:val="0"/>
        <w:pageBreakBefore w:val="0"/>
        <w:widowControl w:val="0"/>
        <w:numPr>
          <w:ilvl w:val="0"/>
          <w:numId w:val="17"/>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建设工期及成本投入情况的设定</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待开发房地产总建筑面积</w:t>
      </w:r>
      <w:r>
        <w:rPr>
          <w:rFonts w:hint="eastAsia" w:ascii="仿宋" w:hAnsi="仿宋" w:eastAsia="仿宋" w:cs="仿宋"/>
          <w:b w:val="0"/>
          <w:bCs w:val="0"/>
          <w:color w:val="000000"/>
          <w:sz w:val="28"/>
          <w:lang w:val="en-US" w:eastAsia="zh-CN"/>
        </w:rPr>
        <w:t>3190.0</w:t>
      </w:r>
      <w:r>
        <w:rPr>
          <w:rFonts w:hint="eastAsia" w:ascii="仿宋" w:hAnsi="仿宋" w:eastAsia="仿宋" w:cs="仿宋"/>
          <w:b w:val="0"/>
          <w:bCs w:val="0"/>
          <w:sz w:val="28"/>
          <w:szCs w:val="28"/>
        </w:rPr>
        <w:t>平方米，平均层数</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层，根据周边区域已有楼盘建设情况，同规模房地产开发周期一般在1年左右，本次评估开发建设期设定为1年。土地取得费、取得税费、开发工程前期费用按在估价时点一次性投入设定，其余开发成本按在建设期内均匀投入设定。</w:t>
      </w:r>
    </w:p>
    <w:p>
      <w:pPr>
        <w:pStyle w:val="4"/>
        <w:keepNext w:val="0"/>
        <w:keepLines w:val="0"/>
        <w:pageBreakBefore w:val="0"/>
        <w:widowControl w:val="0"/>
        <w:numPr>
          <w:ilvl w:val="0"/>
          <w:numId w:val="16"/>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Cs w:val="28"/>
        </w:rPr>
      </w:pPr>
      <w:r>
        <w:rPr>
          <w:rFonts w:hint="eastAsia" w:ascii="仿宋" w:hAnsi="仿宋" w:eastAsia="仿宋" w:cs="仿宋"/>
          <w:b w:val="0"/>
          <w:bCs w:val="0"/>
          <w:szCs w:val="28"/>
        </w:rPr>
        <w:t>开发完成后房地产总价值</w:t>
      </w:r>
    </w:p>
    <w:p>
      <w:pPr>
        <w:keepNext w:val="0"/>
        <w:keepLines w:val="0"/>
        <w:pageBreakBefore w:val="0"/>
        <w:widowControl w:val="0"/>
        <w:kinsoku/>
        <w:wordWrap/>
        <w:overflowPunct/>
        <w:topLinePunct w:val="0"/>
        <w:autoSpaceDE w:val="0"/>
        <w:autoSpaceDN w:val="0"/>
        <w:bidi w:val="0"/>
        <w:adjustRightInd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该项目建成后住宅全部用于出售，估价对象所处区域同类住宅用房供应量较大，成交量也较大。经评估人员调查估价对象所处区域住宅用房交易市场，本次评估根据同类区域商品房售价确定估价对象开发后综合售价。具体见下表：</w:t>
      </w:r>
    </w:p>
    <w:p>
      <w:pPr>
        <w:pStyle w:val="4"/>
        <w:snapToGrid w:val="0"/>
        <w:spacing w:line="500" w:lineRule="exact"/>
        <w:jc w:val="center"/>
        <w:rPr>
          <w:rFonts w:hint="eastAsia" w:ascii="仿宋" w:hAnsi="仿宋" w:eastAsia="仿宋" w:cs="仿宋"/>
          <w:snapToGrid w:val="0"/>
          <w:kern w:val="0"/>
          <w:sz w:val="22"/>
          <w:szCs w:val="22"/>
        </w:rPr>
      </w:pPr>
      <w:r>
        <w:rPr>
          <w:rFonts w:hint="eastAsia" w:ascii="仿宋" w:hAnsi="仿宋" w:eastAsia="仿宋" w:cs="仿宋"/>
          <w:snapToGrid w:val="0"/>
          <w:kern w:val="0"/>
          <w:sz w:val="22"/>
          <w:szCs w:val="22"/>
        </w:rPr>
        <w:t>售价确定表</w:t>
      </w:r>
    </w:p>
    <w:tbl>
      <w:tblPr>
        <w:tblStyle w:val="7"/>
        <w:tblW w:w="4998" w:type="pct"/>
        <w:tblInd w:w="0" w:type="dxa"/>
        <w:tblLayout w:type="autofit"/>
        <w:tblCellMar>
          <w:top w:w="0" w:type="dxa"/>
          <w:left w:w="108" w:type="dxa"/>
          <w:bottom w:w="0" w:type="dxa"/>
          <w:right w:w="108" w:type="dxa"/>
        </w:tblCellMar>
      </w:tblPr>
      <w:tblGrid>
        <w:gridCol w:w="1900"/>
        <w:gridCol w:w="2815"/>
        <w:gridCol w:w="1544"/>
        <w:gridCol w:w="2260"/>
      </w:tblGrid>
      <w:tr>
        <w:tblPrEx>
          <w:tblCellMar>
            <w:top w:w="0" w:type="dxa"/>
            <w:left w:w="108" w:type="dxa"/>
            <w:bottom w:w="0" w:type="dxa"/>
            <w:right w:w="108" w:type="dxa"/>
          </w:tblCellMar>
        </w:tblPrEx>
        <w:trPr>
          <w:trHeight w:val="368" w:hRule="atLeast"/>
        </w:trPr>
        <w:tc>
          <w:tcPr>
            <w:tcW w:w="1115"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小区名称</w:t>
            </w:r>
          </w:p>
        </w:tc>
        <w:tc>
          <w:tcPr>
            <w:tcW w:w="1652" w:type="pct"/>
            <w:tcBorders>
              <w:top w:val="single" w:color="auto" w:sz="4" w:space="0"/>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位置</w:t>
            </w:r>
          </w:p>
        </w:tc>
        <w:tc>
          <w:tcPr>
            <w:tcW w:w="906" w:type="pct"/>
            <w:tcBorders>
              <w:top w:val="single" w:color="auto" w:sz="4" w:space="0"/>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交易时间</w:t>
            </w:r>
          </w:p>
        </w:tc>
        <w:tc>
          <w:tcPr>
            <w:tcW w:w="1326" w:type="pct"/>
            <w:tcBorders>
              <w:top w:val="single" w:color="auto" w:sz="4" w:space="0"/>
              <w:left w:val="nil"/>
              <w:bottom w:val="single" w:color="auto" w:sz="4" w:space="0"/>
              <w:right w:val="single" w:color="auto" w:sz="4" w:space="0"/>
            </w:tcBorders>
            <w:noWrap w:val="0"/>
            <w:vAlign w:val="center"/>
          </w:tcPr>
          <w:p>
            <w:pPr>
              <w:snapToGrid w:val="0"/>
              <w:spacing w:line="240" w:lineRule="exact"/>
              <w:rPr>
                <w:rFonts w:hint="eastAsia" w:ascii="仿宋" w:hAnsi="仿宋" w:eastAsia="仿宋" w:cs="仿宋"/>
                <w:sz w:val="18"/>
                <w:szCs w:val="18"/>
              </w:rPr>
            </w:pPr>
            <w:r>
              <w:rPr>
                <w:rFonts w:hint="eastAsia" w:ascii="仿宋" w:hAnsi="仿宋" w:eastAsia="仿宋" w:cs="仿宋"/>
                <w:sz w:val="18"/>
                <w:szCs w:val="18"/>
              </w:rPr>
              <w:t>销售均价（元/平方米）</w:t>
            </w:r>
          </w:p>
        </w:tc>
      </w:tr>
      <w:tr>
        <w:tblPrEx>
          <w:tblCellMar>
            <w:top w:w="0" w:type="dxa"/>
            <w:left w:w="108" w:type="dxa"/>
            <w:bottom w:w="0" w:type="dxa"/>
            <w:right w:w="108" w:type="dxa"/>
          </w:tblCellMar>
        </w:tblPrEx>
        <w:trPr>
          <w:trHeight w:val="452" w:hRule="atLeast"/>
        </w:trPr>
        <w:tc>
          <w:tcPr>
            <w:tcW w:w="1115" w:type="pct"/>
            <w:tcBorders>
              <w:top w:val="nil"/>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龙佳大厦</w:t>
            </w:r>
          </w:p>
        </w:tc>
        <w:tc>
          <w:tcPr>
            <w:tcW w:w="1652"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 略阳县北大街与小东街交汇处</w:t>
            </w:r>
          </w:p>
        </w:tc>
        <w:tc>
          <w:tcPr>
            <w:tcW w:w="906"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2019.</w:t>
            </w:r>
            <w:r>
              <w:rPr>
                <w:rFonts w:hint="eastAsia" w:ascii="仿宋" w:hAnsi="仿宋" w:eastAsia="仿宋" w:cs="仿宋"/>
                <w:sz w:val="18"/>
                <w:szCs w:val="18"/>
                <w:lang w:val="en-US" w:eastAsia="zh-CN"/>
              </w:rPr>
              <w:t>12</w:t>
            </w:r>
          </w:p>
        </w:tc>
        <w:tc>
          <w:tcPr>
            <w:tcW w:w="1326" w:type="pct"/>
            <w:tcBorders>
              <w:top w:val="nil"/>
              <w:left w:val="nil"/>
              <w:bottom w:val="single" w:color="auto" w:sz="4" w:space="0"/>
              <w:right w:val="single" w:color="auto" w:sz="4" w:space="0"/>
            </w:tcBorders>
            <w:noWrap w:val="0"/>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3600</w:t>
            </w:r>
          </w:p>
        </w:tc>
      </w:tr>
      <w:tr>
        <w:tblPrEx>
          <w:tblCellMar>
            <w:top w:w="0" w:type="dxa"/>
            <w:left w:w="108" w:type="dxa"/>
            <w:bottom w:w="0" w:type="dxa"/>
            <w:right w:w="108" w:type="dxa"/>
          </w:tblCellMar>
        </w:tblPrEx>
        <w:trPr>
          <w:trHeight w:val="356" w:hRule="atLeast"/>
        </w:trPr>
        <w:tc>
          <w:tcPr>
            <w:tcW w:w="1115" w:type="pct"/>
            <w:tcBorders>
              <w:top w:val="nil"/>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怡馨家园</w:t>
            </w:r>
          </w:p>
        </w:tc>
        <w:tc>
          <w:tcPr>
            <w:tcW w:w="1652"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略阳县电广路人民法院北侧</w:t>
            </w:r>
          </w:p>
        </w:tc>
        <w:tc>
          <w:tcPr>
            <w:tcW w:w="906"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2019.</w:t>
            </w:r>
            <w:r>
              <w:rPr>
                <w:rFonts w:hint="eastAsia" w:ascii="仿宋" w:hAnsi="仿宋" w:eastAsia="仿宋" w:cs="仿宋"/>
                <w:sz w:val="18"/>
                <w:szCs w:val="18"/>
                <w:lang w:val="en-US" w:eastAsia="zh-CN"/>
              </w:rPr>
              <w:t>12</w:t>
            </w:r>
          </w:p>
        </w:tc>
        <w:tc>
          <w:tcPr>
            <w:tcW w:w="1326" w:type="pct"/>
            <w:tcBorders>
              <w:top w:val="nil"/>
              <w:left w:val="nil"/>
              <w:bottom w:val="single" w:color="auto" w:sz="4" w:space="0"/>
              <w:right w:val="single" w:color="auto" w:sz="4" w:space="0"/>
            </w:tcBorders>
            <w:noWrap w:val="0"/>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3400</w:t>
            </w:r>
          </w:p>
        </w:tc>
      </w:tr>
      <w:tr>
        <w:tblPrEx>
          <w:tblCellMar>
            <w:top w:w="0" w:type="dxa"/>
            <w:left w:w="108" w:type="dxa"/>
            <w:bottom w:w="0" w:type="dxa"/>
            <w:right w:w="108" w:type="dxa"/>
          </w:tblCellMar>
        </w:tblPrEx>
        <w:trPr>
          <w:trHeight w:val="360" w:hRule="atLeast"/>
        </w:trPr>
        <w:tc>
          <w:tcPr>
            <w:tcW w:w="1115" w:type="pct"/>
            <w:tcBorders>
              <w:top w:val="nil"/>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兴洲华府</w:t>
            </w:r>
          </w:p>
        </w:tc>
        <w:tc>
          <w:tcPr>
            <w:tcW w:w="1652"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略阳县东环路西侧</w:t>
            </w:r>
          </w:p>
        </w:tc>
        <w:tc>
          <w:tcPr>
            <w:tcW w:w="906" w:type="pct"/>
            <w:tcBorders>
              <w:top w:val="nil"/>
              <w:left w:val="nil"/>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2019</w:t>
            </w:r>
            <w:r>
              <w:rPr>
                <w:rFonts w:hint="eastAsia" w:ascii="仿宋" w:hAnsi="仿宋" w:eastAsia="仿宋" w:cs="仿宋"/>
                <w:sz w:val="18"/>
                <w:szCs w:val="18"/>
                <w:lang w:val="en-US" w:eastAsia="zh-CN"/>
              </w:rPr>
              <w:t>.12</w:t>
            </w:r>
          </w:p>
        </w:tc>
        <w:tc>
          <w:tcPr>
            <w:tcW w:w="1326" w:type="pct"/>
            <w:tcBorders>
              <w:top w:val="nil"/>
              <w:left w:val="nil"/>
              <w:bottom w:val="single" w:color="auto" w:sz="4" w:space="0"/>
              <w:right w:val="single" w:color="auto" w:sz="4" w:space="0"/>
            </w:tcBorders>
            <w:noWrap w:val="0"/>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3400</w:t>
            </w:r>
          </w:p>
        </w:tc>
      </w:tr>
      <w:tr>
        <w:tblPrEx>
          <w:tblCellMar>
            <w:top w:w="0" w:type="dxa"/>
            <w:left w:w="108" w:type="dxa"/>
            <w:bottom w:w="0" w:type="dxa"/>
            <w:right w:w="108" w:type="dxa"/>
          </w:tblCellMar>
        </w:tblPrEx>
        <w:trPr>
          <w:trHeight w:val="379" w:hRule="atLeast"/>
        </w:trPr>
        <w:tc>
          <w:tcPr>
            <w:tcW w:w="3673" w:type="pct"/>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仿宋" w:hAnsi="仿宋" w:eastAsia="仿宋" w:cs="仿宋"/>
                <w:sz w:val="18"/>
                <w:szCs w:val="18"/>
              </w:rPr>
            </w:pPr>
            <w:r>
              <w:rPr>
                <w:rFonts w:hint="eastAsia" w:ascii="仿宋" w:hAnsi="仿宋" w:eastAsia="仿宋" w:cs="仿宋"/>
                <w:sz w:val="18"/>
                <w:szCs w:val="18"/>
              </w:rPr>
              <w:t>平均销售均价（元/平方米）</w:t>
            </w:r>
          </w:p>
        </w:tc>
        <w:tc>
          <w:tcPr>
            <w:tcW w:w="1326" w:type="pct"/>
            <w:tcBorders>
              <w:top w:val="single" w:color="auto" w:sz="4" w:space="0"/>
              <w:left w:val="single" w:color="auto" w:sz="4" w:space="0"/>
              <w:bottom w:val="single" w:color="auto" w:sz="4" w:space="0"/>
              <w:right w:val="single" w:color="000000" w:sz="4" w:space="0"/>
            </w:tcBorders>
            <w:noWrap w:val="0"/>
            <w:vAlign w:val="center"/>
          </w:tcPr>
          <w:p>
            <w:pPr>
              <w:snapToGrid w:val="0"/>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3467</w:t>
            </w:r>
          </w:p>
        </w:tc>
      </w:tr>
    </w:tbl>
    <w:p>
      <w:pPr>
        <w:keepNext w:val="0"/>
        <w:keepLines w:val="0"/>
        <w:pageBreakBefore w:val="0"/>
        <w:widowControl w:val="0"/>
        <w:kinsoku/>
        <w:wordWrap/>
        <w:overflowPunct/>
        <w:topLinePunct w:val="0"/>
        <w:autoSpaceDE w:val="0"/>
        <w:autoSpaceDN w:val="0"/>
        <w:bidi w:val="0"/>
        <w:adjustRightInd w:val="0"/>
        <w:snapToGri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根据上述测算，考虑到本次评估设定项目整体开发期经营期为</w:t>
      </w:r>
      <w:r>
        <w:rPr>
          <w:rFonts w:hint="eastAsia" w:ascii="仿宋" w:hAnsi="仿宋" w:eastAsia="仿宋" w:cs="仿宋"/>
          <w:sz w:val="28"/>
          <w:szCs w:val="28"/>
          <w:lang w:val="en-US" w:eastAsia="zh-CN"/>
        </w:rPr>
        <w:t>1</w:t>
      </w:r>
      <w:r>
        <w:rPr>
          <w:rFonts w:hint="eastAsia" w:ascii="仿宋" w:hAnsi="仿宋" w:eastAsia="仿宋" w:cs="仿宋"/>
          <w:sz w:val="28"/>
          <w:szCs w:val="28"/>
        </w:rPr>
        <w:t>年，故应对评估价格进行市场价格发展趋势修正。近年来略阳县经济一直保持着较快增长，住宅类房地产市场也日渐规范，房价趋于平稳，经综合分析，最终确定项目建设完成时住宅楼均价为</w:t>
      </w:r>
      <w:r>
        <w:rPr>
          <w:rFonts w:hint="eastAsia" w:ascii="仿宋" w:hAnsi="仿宋" w:eastAsia="仿宋" w:cs="仿宋"/>
          <w:sz w:val="28"/>
          <w:szCs w:val="28"/>
          <w:lang w:val="en-US" w:eastAsia="zh-CN"/>
        </w:rPr>
        <w:t>3400</w:t>
      </w:r>
      <w:r>
        <w:rPr>
          <w:rFonts w:hint="eastAsia" w:ascii="仿宋" w:hAnsi="仿宋" w:eastAsia="仿宋" w:cs="仿宋"/>
          <w:sz w:val="28"/>
          <w:szCs w:val="28"/>
        </w:rPr>
        <w:t>元/平方米。</w:t>
      </w:r>
    </w:p>
    <w:p>
      <w:pPr>
        <w:pStyle w:val="4"/>
        <w:keepNext w:val="0"/>
        <w:keepLines w:val="0"/>
        <w:pageBreakBefore w:val="0"/>
        <w:widowControl w:val="0"/>
        <w:numPr>
          <w:ilvl w:val="0"/>
          <w:numId w:val="16"/>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Cs w:val="28"/>
        </w:rPr>
      </w:pPr>
      <w:r>
        <w:rPr>
          <w:rFonts w:hint="eastAsia" w:ascii="仿宋" w:hAnsi="仿宋" w:eastAsia="仿宋" w:cs="仿宋"/>
          <w:b w:val="0"/>
          <w:bCs w:val="0"/>
          <w:szCs w:val="28"/>
        </w:rPr>
        <w:t>停车位</w:t>
      </w:r>
    </w:p>
    <w:p>
      <w:pPr>
        <w:pStyle w:val="4"/>
        <w:keepNext w:val="0"/>
        <w:keepLines w:val="0"/>
        <w:pageBreakBefore w:val="0"/>
        <w:widowControl w:val="0"/>
        <w:kinsoku/>
        <w:wordWrap/>
        <w:overflowPunct/>
        <w:topLinePunct w:val="0"/>
        <w:bidi w:val="0"/>
        <w:snapToGri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本次估价规划停车位共计</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辆，其中地面停车位</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辆，地下停车位</w:t>
      </w:r>
      <w:r>
        <w:rPr>
          <w:rFonts w:hint="eastAsia" w:ascii="仿宋" w:hAnsi="仿宋" w:eastAsia="仿宋" w:cs="仿宋"/>
          <w:kern w:val="0"/>
          <w:sz w:val="28"/>
          <w:szCs w:val="28"/>
          <w:lang w:val="en-US" w:eastAsia="zh-CN"/>
        </w:rPr>
        <w:t>23</w:t>
      </w:r>
      <w:r>
        <w:rPr>
          <w:rFonts w:hint="eastAsia" w:ascii="仿宋" w:hAnsi="仿宋" w:eastAsia="仿宋" w:cs="仿宋"/>
          <w:kern w:val="0"/>
          <w:sz w:val="28"/>
          <w:szCs w:val="28"/>
        </w:rPr>
        <w:t>辆；</w:t>
      </w:r>
      <w:r>
        <w:rPr>
          <w:rFonts w:hint="eastAsia" w:ascii="仿宋" w:hAnsi="仿宋" w:eastAsia="仿宋" w:cs="仿宋"/>
          <w:kern w:val="0"/>
          <w:sz w:val="28"/>
          <w:szCs w:val="28"/>
          <w:lang w:val="en-US" w:eastAsia="zh-CN"/>
        </w:rPr>
        <w:t>结合周边区域情况，本次地上停车位按临时停车位，地下停车位按全部售出考虑，</w:t>
      </w:r>
      <w:r>
        <w:rPr>
          <w:rFonts w:hint="eastAsia" w:ascii="仿宋" w:hAnsi="仿宋" w:eastAsia="仿宋" w:cs="仿宋"/>
          <w:sz w:val="28"/>
          <w:szCs w:val="28"/>
        </w:rPr>
        <w:t>经调查，目前该区域地下车位售价一般在</w:t>
      </w:r>
      <w:r>
        <w:rPr>
          <w:rFonts w:hint="eastAsia" w:ascii="仿宋" w:hAnsi="仿宋" w:eastAsia="仿宋" w:cs="仿宋"/>
          <w:sz w:val="28"/>
          <w:szCs w:val="28"/>
          <w:lang w:val="en-US" w:eastAsia="zh-CN"/>
        </w:rPr>
        <w:t>12-14</w:t>
      </w:r>
      <w:r>
        <w:rPr>
          <w:rFonts w:hint="eastAsia" w:ascii="仿宋" w:hAnsi="仿宋" w:eastAsia="仿宋" w:cs="仿宋"/>
          <w:sz w:val="28"/>
          <w:szCs w:val="28"/>
        </w:rPr>
        <w:t>万元，考虑估价对象车位规划数量较充足，其售价按13万元/辆计，预计二年后车位售价变化不大。则：</w:t>
      </w:r>
    </w:p>
    <w:p>
      <w:pPr>
        <w:pStyle w:val="4"/>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停车位销售收入=</w:t>
      </w:r>
      <w:r>
        <w:rPr>
          <w:rFonts w:hint="eastAsia" w:ascii="仿宋" w:hAnsi="仿宋" w:eastAsia="仿宋" w:cs="仿宋"/>
          <w:sz w:val="28"/>
          <w:szCs w:val="28"/>
          <w:lang w:val="en-US" w:eastAsia="zh-CN"/>
        </w:rPr>
        <w:t>2990000</w:t>
      </w:r>
      <w:r>
        <w:rPr>
          <w:rFonts w:hint="eastAsia" w:ascii="仿宋" w:hAnsi="仿宋" w:eastAsia="仿宋" w:cs="仿宋"/>
          <w:sz w:val="28"/>
          <w:szCs w:val="28"/>
        </w:rPr>
        <w:t>（元）</w:t>
      </w:r>
    </w:p>
    <w:p>
      <w:pPr>
        <w:pStyle w:val="4"/>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则开发完成后房地产价值</w:t>
      </w:r>
      <w:r>
        <w:rPr>
          <w:rFonts w:hint="eastAsia" w:ascii="仿宋" w:hAnsi="仿宋" w:eastAsia="仿宋" w:cs="仿宋"/>
          <w:sz w:val="28"/>
          <w:szCs w:val="28"/>
          <w:lang w:val="en-US" w:eastAsia="zh-CN"/>
        </w:rPr>
        <w:t>=11490000.00（元）</w:t>
      </w:r>
    </w:p>
    <w:p>
      <w:pPr>
        <w:pStyle w:val="4"/>
        <w:keepNext w:val="0"/>
        <w:keepLines w:val="0"/>
        <w:pageBreakBefore w:val="0"/>
        <w:widowControl w:val="0"/>
        <w:numPr>
          <w:ilvl w:val="0"/>
          <w:numId w:val="16"/>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Cs w:val="28"/>
        </w:rPr>
      </w:pPr>
      <w:r>
        <w:rPr>
          <w:rFonts w:hint="eastAsia" w:ascii="仿宋" w:hAnsi="仿宋" w:eastAsia="仿宋" w:cs="仿宋"/>
          <w:b w:val="0"/>
          <w:bCs w:val="0"/>
          <w:szCs w:val="28"/>
        </w:rPr>
        <w:t>开发成本的确定</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购地税费</w:t>
      </w:r>
    </w:p>
    <w:p>
      <w:pPr>
        <w:keepNext w:val="0"/>
        <w:keepLines w:val="0"/>
        <w:pageBreakBefore w:val="0"/>
        <w:widowControl w:val="0"/>
        <w:kinsoku/>
        <w:wordWrap/>
        <w:overflowPunct/>
        <w:topLinePunct w:val="0"/>
        <w:autoSpaceDE w:val="0"/>
        <w:autoSpaceDN w:val="0"/>
        <w:bidi w:val="0"/>
        <w:adjustRightInd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购地税费主要指取得土地时应缴纳的契税、印花税、交易手续费等，本次评估购地税费按地价的3.6%计，故</w:t>
      </w:r>
    </w:p>
    <w:p>
      <w:pPr>
        <w:pStyle w:val="4"/>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rPr>
        <w:t>购地税费=地价</w:t>
      </w:r>
      <w:r>
        <w:rPr>
          <w:rFonts w:hint="eastAsia" w:ascii="仿宋" w:hAnsi="仿宋" w:eastAsia="仿宋" w:cs="仿宋"/>
          <w:color w:val="000000"/>
          <w:kern w:val="0"/>
          <w:sz w:val="28"/>
          <w:szCs w:val="28"/>
        </w:rPr>
        <w:t>×3.6%=0.036×地</w:t>
      </w:r>
      <w:r>
        <w:rPr>
          <w:rFonts w:hint="eastAsia" w:ascii="仿宋" w:hAnsi="仿宋" w:eastAsia="仿宋" w:cs="仿宋"/>
          <w:sz w:val="28"/>
          <w:szCs w:val="28"/>
        </w:rPr>
        <w:t>价（元）</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房屋建造成本</w:t>
      </w:r>
    </w:p>
    <w:p>
      <w:pPr>
        <w:pStyle w:val="4"/>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主要包括建安工程费、前期及其他费用、室外工程费等。</w:t>
      </w:r>
    </w:p>
    <w:p>
      <w:pPr>
        <w:pStyle w:val="4"/>
        <w:keepNext w:val="0"/>
        <w:keepLines w:val="0"/>
        <w:pageBreakBefore w:val="0"/>
        <w:widowControl w:val="0"/>
        <w:numPr>
          <w:ilvl w:val="0"/>
          <w:numId w:val="19"/>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建安工程费的测算</w:t>
      </w:r>
    </w:p>
    <w:p>
      <w:pPr>
        <w:pStyle w:val="4"/>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安工程费包括土建工程费（含结构及装修）、给排水、采暖、电气（配电线路、照明）等工程的组成价值，以及包括电梯、消防系统设备（消火栓除外）、变配电设备、锅炉设备、电器仪表、工艺管道等属于开发商投入的设备的价值。</w:t>
      </w:r>
    </w:p>
    <w:p>
      <w:pPr>
        <w:keepNext w:val="0"/>
        <w:keepLines w:val="0"/>
        <w:pageBreakBefore w:val="0"/>
        <w:widowControl w:val="0"/>
        <w:kinsoku/>
        <w:wordWrap/>
        <w:overflowPunct/>
        <w:topLinePunct w:val="0"/>
        <w:bidi w:val="0"/>
        <w:spacing w:line="6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安工程费的确定采用类比计算法，首先根据计算出的典型工程单方造价及收集的汉中市现行同类型建筑单方造价，按不同结构类型确定评估中对比单方造价标准，然后通过条件对比确定被评估房屋建筑物的建筑造价。本次评估对象为框架结构，综合造价取</w:t>
      </w:r>
      <w:r>
        <w:rPr>
          <w:rFonts w:hint="eastAsia" w:ascii="仿宋" w:hAnsi="仿宋" w:eastAsia="仿宋" w:cs="仿宋"/>
          <w:sz w:val="28"/>
          <w:szCs w:val="28"/>
          <w:lang w:val="en-US" w:eastAsia="zh-CN"/>
        </w:rPr>
        <w:t>1950</w:t>
      </w:r>
      <w:r>
        <w:rPr>
          <w:rFonts w:hint="eastAsia" w:ascii="仿宋" w:hAnsi="仿宋" w:eastAsia="仿宋" w:cs="仿宋"/>
          <w:sz w:val="28"/>
          <w:szCs w:val="28"/>
        </w:rPr>
        <w:t>元/平方米。</w:t>
      </w:r>
    </w:p>
    <w:p>
      <w:pPr>
        <w:pStyle w:val="4"/>
        <w:keepNext w:val="0"/>
        <w:keepLines w:val="0"/>
        <w:pageBreakBefore w:val="0"/>
        <w:widowControl w:val="0"/>
        <w:numPr>
          <w:ilvl w:val="0"/>
          <w:numId w:val="19"/>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前期费用及其它费用</w:t>
      </w:r>
    </w:p>
    <w:p>
      <w:pPr>
        <w:pStyle w:val="4"/>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前期费用及其它费用包括地方政府规定收取的建设费用及建设单位为建设工程而投入的除建筑造价以外的其它费用两个部分，主要有：市政公用设施配套费、勘察设计费、新型墙体材料专项费用、劳保统筹基金、散装水泥、人防易地结建费等，其具体明细及费用标准如下表所示：</w:t>
      </w:r>
    </w:p>
    <w:p>
      <w:pPr>
        <w:pStyle w:val="4"/>
        <w:spacing w:line="560" w:lineRule="exact"/>
        <w:ind w:firstLine="440" w:firstLineChars="200"/>
        <w:jc w:val="center"/>
        <w:rPr>
          <w:rFonts w:hint="eastAsia" w:ascii="仿宋" w:hAnsi="仿宋" w:eastAsia="仿宋" w:cs="仿宋"/>
          <w:color w:val="000000"/>
          <w:sz w:val="22"/>
          <w:szCs w:val="22"/>
        </w:rPr>
      </w:pPr>
      <w:r>
        <w:rPr>
          <w:rFonts w:hint="eastAsia" w:ascii="仿宋" w:hAnsi="仿宋" w:eastAsia="仿宋" w:cs="仿宋"/>
          <w:color w:val="000000"/>
          <w:sz w:val="22"/>
          <w:szCs w:val="22"/>
        </w:rPr>
        <w:t>前期费用及其它费用计算明细表</w:t>
      </w:r>
    </w:p>
    <w:tbl>
      <w:tblPr>
        <w:tblStyle w:val="7"/>
        <w:tblW w:w="4998" w:type="pct"/>
        <w:tblInd w:w="0" w:type="dxa"/>
        <w:shd w:val="clear" w:color="auto" w:fill="auto"/>
        <w:tblLayout w:type="autofit"/>
        <w:tblCellMar>
          <w:top w:w="0" w:type="dxa"/>
          <w:left w:w="0" w:type="dxa"/>
          <w:bottom w:w="0" w:type="dxa"/>
          <w:right w:w="0" w:type="dxa"/>
        </w:tblCellMar>
      </w:tblPr>
      <w:tblGrid>
        <w:gridCol w:w="782"/>
        <w:gridCol w:w="2051"/>
        <w:gridCol w:w="1527"/>
        <w:gridCol w:w="870"/>
        <w:gridCol w:w="3103"/>
      </w:tblGrid>
      <w:tr>
        <w:tblPrEx>
          <w:shd w:val="clear" w:color="auto" w:fill="auto"/>
          <w:tblCellMar>
            <w:top w:w="0" w:type="dxa"/>
            <w:left w:w="0" w:type="dxa"/>
            <w:bottom w:w="0" w:type="dxa"/>
            <w:right w:w="0" w:type="dxa"/>
          </w:tblCellMar>
        </w:tblPrEx>
        <w:trPr>
          <w:trHeight w:val="360" w:hRule="atLeast"/>
        </w:trPr>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序号</w:t>
            </w:r>
          </w:p>
        </w:tc>
        <w:tc>
          <w:tcPr>
            <w:tcW w:w="12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项目</w:t>
            </w:r>
          </w:p>
        </w:tc>
        <w:tc>
          <w:tcPr>
            <w:tcW w:w="14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627072"/>
                <w:sz w:val="18"/>
                <w:szCs w:val="18"/>
                <w:u w:val="none"/>
              </w:rPr>
            </w:pPr>
            <w:r>
              <w:rPr>
                <w:rFonts w:hint="eastAsia" w:ascii="仿宋" w:hAnsi="仿宋" w:eastAsia="仿宋" w:cs="仿宋"/>
                <w:b/>
                <w:i w:val="0"/>
                <w:color w:val="627072"/>
                <w:kern w:val="0"/>
                <w:sz w:val="18"/>
                <w:szCs w:val="18"/>
                <w:u w:val="none"/>
                <w:lang w:val="en-US" w:eastAsia="zh-CN" w:bidi="ar"/>
              </w:rPr>
              <w:t>计费基础</w:t>
            </w:r>
          </w:p>
        </w:tc>
        <w:tc>
          <w:tcPr>
            <w:tcW w:w="18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备注</w:t>
            </w:r>
          </w:p>
        </w:tc>
      </w:tr>
      <w:tr>
        <w:tblPrEx>
          <w:tblCellMar>
            <w:top w:w="0" w:type="dxa"/>
            <w:left w:w="0" w:type="dxa"/>
            <w:bottom w:w="0" w:type="dxa"/>
            <w:right w:w="0" w:type="dxa"/>
          </w:tblCellMar>
        </w:tblPrEx>
        <w:trPr>
          <w:trHeight w:val="555" w:hRule="atLeast"/>
        </w:trPr>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4B5B5E"/>
                <w:sz w:val="18"/>
                <w:szCs w:val="18"/>
                <w:u w:val="none"/>
              </w:rPr>
            </w:pPr>
          </w:p>
        </w:tc>
        <w:tc>
          <w:tcPr>
            <w:tcW w:w="12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4B5B5E"/>
                <w:sz w:val="18"/>
                <w:szCs w:val="18"/>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按投资额（%）</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建筑面积（元/㎡）</w:t>
            </w:r>
          </w:p>
        </w:tc>
        <w:tc>
          <w:tcPr>
            <w:tcW w:w="18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4B5B5E"/>
                <w:sz w:val="18"/>
                <w:szCs w:val="18"/>
                <w:u w:val="none"/>
              </w:rPr>
            </w:pPr>
          </w:p>
        </w:tc>
      </w:tr>
      <w:tr>
        <w:tblPrEx>
          <w:tblCellMar>
            <w:top w:w="0" w:type="dxa"/>
            <w:left w:w="0" w:type="dxa"/>
            <w:bottom w:w="0" w:type="dxa"/>
            <w:right w:w="0" w:type="dxa"/>
          </w:tblCellMar>
        </w:tblPrEx>
        <w:trPr>
          <w:trHeight w:val="4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8494D"/>
                <w:sz w:val="18"/>
                <w:szCs w:val="18"/>
                <w:u w:val="none"/>
              </w:rPr>
            </w:pPr>
            <w:r>
              <w:rPr>
                <w:rFonts w:hint="eastAsia" w:ascii="仿宋" w:hAnsi="仿宋" w:eastAsia="仿宋" w:cs="仿宋"/>
                <w:i w:val="0"/>
                <w:color w:val="38494D"/>
                <w:kern w:val="0"/>
                <w:sz w:val="18"/>
                <w:szCs w:val="18"/>
                <w:u w:val="none"/>
                <w:lang w:val="en-US" w:eastAsia="zh-CN" w:bidi="ar"/>
              </w:rPr>
              <w:t>工程勘</w:t>
            </w:r>
            <w:r>
              <w:rPr>
                <w:rStyle w:val="15"/>
                <w:rFonts w:hint="eastAsia" w:ascii="仿宋" w:hAnsi="仿宋" w:eastAsia="仿宋" w:cs="仿宋"/>
                <w:sz w:val="18"/>
                <w:szCs w:val="18"/>
                <w:lang w:val="en-US" w:eastAsia="zh-CN" w:bidi="ar"/>
              </w:rPr>
              <w:t>察费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8</w:t>
            </w:r>
          </w:p>
        </w:tc>
        <w:tc>
          <w:tcPr>
            <w:tcW w:w="18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《工程勘察设计收费标准》（计价[2002]I0号）</w:t>
            </w:r>
          </w:p>
        </w:tc>
      </w:tr>
      <w:tr>
        <w:tblPrEx>
          <w:tblCellMar>
            <w:top w:w="0" w:type="dxa"/>
            <w:left w:w="0" w:type="dxa"/>
            <w:bottom w:w="0" w:type="dxa"/>
            <w:right w:w="0" w:type="dxa"/>
          </w:tblCellMar>
        </w:tblPrEx>
        <w:trPr>
          <w:trHeight w:val="42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2</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8494D"/>
                <w:sz w:val="18"/>
                <w:szCs w:val="18"/>
                <w:u w:val="none"/>
              </w:rPr>
            </w:pPr>
            <w:r>
              <w:rPr>
                <w:rFonts w:hint="eastAsia" w:ascii="仿宋" w:hAnsi="仿宋" w:eastAsia="仿宋" w:cs="仿宋"/>
                <w:i w:val="0"/>
                <w:color w:val="38494D"/>
                <w:kern w:val="0"/>
                <w:sz w:val="18"/>
                <w:szCs w:val="18"/>
                <w:u w:val="none"/>
                <w:lang w:val="en-US" w:eastAsia="zh-CN" w:bidi="ar"/>
              </w:rPr>
              <w:t>工程</w:t>
            </w:r>
            <w:r>
              <w:rPr>
                <w:rStyle w:val="15"/>
                <w:rFonts w:hint="eastAsia" w:ascii="仿宋" w:hAnsi="仿宋" w:eastAsia="仿宋" w:cs="仿宋"/>
                <w:sz w:val="18"/>
                <w:szCs w:val="18"/>
                <w:lang w:val="en-US" w:eastAsia="zh-CN" w:bidi="ar"/>
              </w:rPr>
              <w:t>设计费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2.13</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627072"/>
                <w:sz w:val="18"/>
                <w:szCs w:val="18"/>
                <w:u w:val="none"/>
              </w:rPr>
            </w:pPr>
          </w:p>
        </w:tc>
      </w:tr>
      <w:tr>
        <w:tblPrEx>
          <w:tblCellMar>
            <w:top w:w="0" w:type="dxa"/>
            <w:left w:w="0" w:type="dxa"/>
            <w:bottom w:w="0" w:type="dxa"/>
            <w:right w:w="0" w:type="dxa"/>
          </w:tblCellMar>
        </w:tblPrEx>
        <w:trPr>
          <w:trHeight w:val="4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3</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8494D"/>
                <w:sz w:val="18"/>
                <w:szCs w:val="18"/>
                <w:u w:val="none"/>
              </w:rPr>
            </w:pPr>
            <w:r>
              <w:rPr>
                <w:rFonts w:hint="eastAsia" w:ascii="仿宋" w:hAnsi="仿宋" w:eastAsia="仿宋" w:cs="仿宋"/>
                <w:i w:val="0"/>
                <w:color w:val="38494D"/>
                <w:kern w:val="0"/>
                <w:sz w:val="18"/>
                <w:szCs w:val="18"/>
                <w:u w:val="none"/>
                <w:lang w:val="en-US" w:eastAsia="zh-CN" w:bidi="ar"/>
              </w:rPr>
              <w:t>工程监理</w:t>
            </w:r>
            <w:r>
              <w:rPr>
                <w:rStyle w:val="15"/>
                <w:rFonts w:hint="eastAsia" w:ascii="仿宋" w:hAnsi="仿宋" w:eastAsia="仿宋" w:cs="仿宋"/>
                <w:sz w:val="18"/>
                <w:szCs w:val="18"/>
                <w:lang w:val="en-US" w:eastAsia="zh-CN" w:bidi="ar"/>
              </w:rPr>
              <w:t>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1.27</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发改价[</w:t>
            </w:r>
            <w:r>
              <w:rPr>
                <w:rStyle w:val="16"/>
                <w:rFonts w:hint="eastAsia" w:ascii="仿宋" w:hAnsi="仿宋" w:eastAsia="仿宋" w:cs="仿宋"/>
                <w:sz w:val="18"/>
                <w:szCs w:val="18"/>
                <w:lang w:val="en-US" w:eastAsia="zh-CN" w:bidi="ar"/>
              </w:rPr>
              <w:t>2007]670号</w:t>
            </w:r>
          </w:p>
        </w:tc>
      </w:tr>
      <w:tr>
        <w:tblPrEx>
          <w:tblCellMar>
            <w:top w:w="0" w:type="dxa"/>
            <w:left w:w="0" w:type="dxa"/>
            <w:bottom w:w="0" w:type="dxa"/>
            <w:right w:w="0" w:type="dxa"/>
          </w:tblCellMar>
        </w:tblPrEx>
        <w:trPr>
          <w:trHeight w:val="421"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4</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工</w:t>
            </w:r>
            <w:r>
              <w:rPr>
                <w:rStyle w:val="17"/>
                <w:rFonts w:hint="eastAsia" w:ascii="仿宋" w:hAnsi="仿宋" w:eastAsia="仿宋" w:cs="仿宋"/>
                <w:sz w:val="18"/>
                <w:szCs w:val="18"/>
                <w:lang w:val="en-US" w:eastAsia="zh-CN" w:bidi="ar"/>
              </w:rPr>
              <w:t>程招投标代理费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0.5</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国家计委计价格</w:t>
            </w:r>
            <w:r>
              <w:rPr>
                <w:rStyle w:val="16"/>
                <w:rFonts w:hint="eastAsia" w:ascii="仿宋" w:hAnsi="仿宋" w:eastAsia="仿宋" w:cs="仿宋"/>
                <w:sz w:val="18"/>
                <w:szCs w:val="18"/>
                <w:lang w:val="en-US" w:eastAsia="zh-CN" w:bidi="ar"/>
              </w:rPr>
              <w:t>[ 2002]</w:t>
            </w:r>
            <w:r>
              <w:rPr>
                <w:rStyle w:val="18"/>
                <w:rFonts w:hint="eastAsia" w:ascii="仿宋" w:hAnsi="仿宋" w:eastAsia="仿宋" w:cs="仿宋"/>
                <w:sz w:val="18"/>
                <w:szCs w:val="18"/>
                <w:lang w:val="en-US" w:eastAsia="zh-CN" w:bidi="ar"/>
              </w:rPr>
              <w:t>1</w:t>
            </w:r>
            <w:r>
              <w:rPr>
                <w:rStyle w:val="19"/>
                <w:rFonts w:hint="eastAsia" w:ascii="仿宋" w:hAnsi="仿宋" w:eastAsia="仿宋" w:cs="仿宋"/>
                <w:sz w:val="18"/>
                <w:szCs w:val="18"/>
                <w:lang w:val="en-US" w:eastAsia="zh-CN" w:bidi="ar"/>
              </w:rPr>
              <w:t>980号</w:t>
            </w:r>
            <w:r>
              <w:rPr>
                <w:rStyle w:val="17"/>
                <w:rFonts w:hint="eastAsia" w:ascii="仿宋" w:hAnsi="仿宋" w:eastAsia="仿宋" w:cs="仿宋"/>
                <w:sz w:val="18"/>
                <w:szCs w:val="18"/>
                <w:lang w:val="en-US" w:eastAsia="zh-CN" w:bidi="ar"/>
              </w:rPr>
              <w:t>文</w:t>
            </w:r>
          </w:p>
        </w:tc>
      </w:tr>
      <w:tr>
        <w:tblPrEx>
          <w:tblCellMar>
            <w:top w:w="0" w:type="dxa"/>
            <w:left w:w="0" w:type="dxa"/>
            <w:bottom w:w="0" w:type="dxa"/>
            <w:right w:w="0" w:type="dxa"/>
          </w:tblCellMar>
        </w:tblPrEx>
        <w:trPr>
          <w:trHeight w:val="5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5</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施工图设计及抗震设防设计审查费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1.2</w:t>
            </w: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陕价行函[</w:t>
            </w:r>
            <w:r>
              <w:rPr>
                <w:rStyle w:val="16"/>
                <w:rFonts w:hint="eastAsia" w:ascii="仿宋" w:hAnsi="仿宋" w:eastAsia="仿宋" w:cs="仿宋"/>
                <w:sz w:val="18"/>
                <w:szCs w:val="18"/>
                <w:lang w:val="en-US" w:eastAsia="zh-CN" w:bidi="ar"/>
              </w:rPr>
              <w:t>2011]57号</w:t>
            </w:r>
          </w:p>
        </w:tc>
      </w:tr>
      <w:tr>
        <w:tblPrEx>
          <w:tblCellMar>
            <w:top w:w="0" w:type="dxa"/>
            <w:left w:w="0" w:type="dxa"/>
            <w:bottom w:w="0" w:type="dxa"/>
            <w:right w:w="0" w:type="dxa"/>
          </w:tblCellMar>
        </w:tblPrEx>
        <w:trPr>
          <w:trHeight w:val="38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6</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基础设施配套费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62</w:t>
            </w: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汉政办发[</w:t>
            </w:r>
            <w:r>
              <w:rPr>
                <w:rStyle w:val="16"/>
                <w:rFonts w:hint="eastAsia" w:ascii="仿宋" w:hAnsi="仿宋" w:eastAsia="仿宋" w:cs="仿宋"/>
                <w:sz w:val="18"/>
                <w:szCs w:val="18"/>
                <w:lang w:val="en-US" w:eastAsia="zh-CN" w:bidi="ar"/>
              </w:rPr>
              <w:t>2006]90号</w:t>
            </w:r>
          </w:p>
        </w:tc>
      </w:tr>
      <w:tr>
        <w:tblPrEx>
          <w:tblCellMar>
            <w:top w:w="0" w:type="dxa"/>
            <w:left w:w="0" w:type="dxa"/>
            <w:bottom w:w="0" w:type="dxa"/>
            <w:right w:w="0" w:type="dxa"/>
          </w:tblCellMar>
        </w:tblPrEx>
        <w:trPr>
          <w:trHeight w:val="54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7</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新型墙体材料专项基金</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10</w:t>
            </w: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627072"/>
                <w:sz w:val="18"/>
                <w:szCs w:val="18"/>
                <w:u w:val="none"/>
              </w:rPr>
            </w:pPr>
            <w:r>
              <w:rPr>
                <w:rFonts w:hint="eastAsia" w:ascii="仿宋" w:hAnsi="仿宋" w:eastAsia="仿宋" w:cs="仿宋"/>
                <w:i w:val="0"/>
                <w:color w:val="627072"/>
                <w:kern w:val="0"/>
                <w:sz w:val="18"/>
                <w:szCs w:val="18"/>
                <w:u w:val="none"/>
                <w:lang w:val="en-US" w:eastAsia="zh-CN" w:bidi="ar"/>
              </w:rPr>
              <w:t>陕政办发[2008]94号</w:t>
            </w:r>
          </w:p>
        </w:tc>
      </w:tr>
      <w:tr>
        <w:tblPrEx>
          <w:tblCellMar>
            <w:top w:w="0" w:type="dxa"/>
            <w:left w:w="0" w:type="dxa"/>
            <w:bottom w:w="0" w:type="dxa"/>
            <w:right w:w="0" w:type="dxa"/>
          </w:tblCellMar>
        </w:tblPrEx>
        <w:trPr>
          <w:trHeight w:val="4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8</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散装水泥专项基金</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1.5</w:t>
            </w: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市政办发[2</w:t>
            </w:r>
            <w:r>
              <w:rPr>
                <w:rStyle w:val="19"/>
                <w:rFonts w:hint="eastAsia" w:ascii="仿宋" w:hAnsi="仿宋" w:eastAsia="仿宋" w:cs="仿宋"/>
                <w:sz w:val="18"/>
                <w:szCs w:val="18"/>
                <w:lang w:val="en-US" w:eastAsia="zh-CN" w:bidi="ar"/>
              </w:rPr>
              <w:t>003]6号</w:t>
            </w:r>
          </w:p>
        </w:tc>
      </w:tr>
      <w:tr>
        <w:tblPrEx>
          <w:tblCellMar>
            <w:top w:w="0" w:type="dxa"/>
            <w:left w:w="0" w:type="dxa"/>
            <w:bottom w:w="0" w:type="dxa"/>
            <w:right w:w="0" w:type="dxa"/>
          </w:tblCellMar>
        </w:tblPrEx>
        <w:trPr>
          <w:trHeight w:val="400" w:hRule="atLeast"/>
        </w:trPr>
        <w:tc>
          <w:tcPr>
            <w:tcW w:w="4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9</w:t>
            </w:r>
          </w:p>
        </w:tc>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4B5B5E"/>
                <w:sz w:val="18"/>
                <w:szCs w:val="18"/>
                <w:u w:val="none"/>
              </w:rPr>
            </w:pPr>
            <w:r>
              <w:rPr>
                <w:rFonts w:hint="eastAsia" w:ascii="仿宋" w:hAnsi="仿宋" w:eastAsia="仿宋" w:cs="仿宋"/>
                <w:i w:val="0"/>
                <w:color w:val="4B5B5E"/>
                <w:kern w:val="0"/>
                <w:sz w:val="18"/>
                <w:szCs w:val="18"/>
                <w:u w:val="none"/>
                <w:lang w:val="en-US" w:eastAsia="zh-CN" w:bidi="ar"/>
              </w:rPr>
              <w:t>劳保统筹费</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26383B"/>
                <w:sz w:val="18"/>
                <w:szCs w:val="18"/>
                <w:u w:val="none"/>
              </w:rPr>
            </w:pPr>
            <w:r>
              <w:rPr>
                <w:rFonts w:hint="eastAsia" w:ascii="仿宋" w:hAnsi="仿宋" w:eastAsia="仿宋" w:cs="仿宋"/>
                <w:i w:val="0"/>
                <w:color w:val="26383B"/>
                <w:kern w:val="0"/>
                <w:sz w:val="18"/>
                <w:szCs w:val="18"/>
                <w:u w:val="none"/>
                <w:lang w:val="en-US" w:eastAsia="zh-CN" w:bidi="ar"/>
              </w:rPr>
              <w:t>3.55</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r>
      <w:tr>
        <w:tblPrEx>
          <w:tblCellMar>
            <w:top w:w="0" w:type="dxa"/>
            <w:left w:w="0" w:type="dxa"/>
            <w:bottom w:w="0" w:type="dxa"/>
            <w:right w:w="0" w:type="dxa"/>
          </w:tblCellMar>
        </w:tblPrEx>
        <w:trPr>
          <w:trHeight w:val="400" w:hRule="atLeast"/>
        </w:trPr>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4B5B5E"/>
                <w:sz w:val="18"/>
                <w:szCs w:val="18"/>
                <w:u w:val="none"/>
              </w:rPr>
            </w:pPr>
            <w:r>
              <w:rPr>
                <w:rFonts w:hint="eastAsia" w:ascii="仿宋" w:hAnsi="仿宋" w:eastAsia="仿宋" w:cs="仿宋"/>
                <w:b/>
                <w:i w:val="0"/>
                <w:color w:val="4B5B5E"/>
                <w:kern w:val="0"/>
                <w:sz w:val="18"/>
                <w:szCs w:val="18"/>
                <w:u w:val="none"/>
                <w:lang w:val="en-US" w:eastAsia="zh-CN"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26383B"/>
                <w:sz w:val="18"/>
                <w:szCs w:val="18"/>
                <w:u w:val="none"/>
              </w:rPr>
            </w:pPr>
            <w:r>
              <w:rPr>
                <w:rFonts w:hint="eastAsia" w:ascii="仿宋" w:hAnsi="仿宋" w:eastAsia="仿宋" w:cs="仿宋"/>
                <w:b/>
                <w:i w:val="0"/>
                <w:color w:val="26383B"/>
                <w:kern w:val="0"/>
                <w:sz w:val="18"/>
                <w:szCs w:val="18"/>
                <w:u w:val="none"/>
                <w:lang w:val="en-US" w:eastAsia="zh-CN" w:bidi="ar"/>
              </w:rPr>
              <w:t>7.45</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26383B"/>
                <w:sz w:val="18"/>
                <w:szCs w:val="18"/>
                <w:u w:val="none"/>
              </w:rPr>
            </w:pPr>
            <w:r>
              <w:rPr>
                <w:rFonts w:hint="eastAsia" w:ascii="仿宋" w:hAnsi="仿宋" w:eastAsia="仿宋" w:cs="仿宋"/>
                <w:b/>
                <w:i w:val="0"/>
                <w:color w:val="26383B"/>
                <w:kern w:val="0"/>
                <w:sz w:val="18"/>
                <w:szCs w:val="18"/>
                <w:u w:val="none"/>
                <w:lang w:val="en-US" w:eastAsia="zh-CN" w:bidi="ar"/>
              </w:rPr>
              <w:t>82.7</w:t>
            </w:r>
          </w:p>
        </w:tc>
        <w:tc>
          <w:tcPr>
            <w:tcW w:w="18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18"/>
                <w:szCs w:val="18"/>
                <w:u w:val="none"/>
              </w:rPr>
            </w:pPr>
          </w:p>
        </w:tc>
      </w:tr>
    </w:tbl>
    <w:p>
      <w:pPr>
        <w:pStyle w:val="4"/>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napToGrid w:val="0"/>
          <w:color w:val="000000"/>
          <w:sz w:val="28"/>
          <w:szCs w:val="28"/>
        </w:rPr>
        <w:t>按照陕西省和汉中市的相关规定，</w:t>
      </w:r>
      <w:r>
        <w:rPr>
          <w:rFonts w:hint="eastAsia" w:ascii="仿宋" w:hAnsi="仿宋" w:eastAsia="仿宋" w:cs="仿宋"/>
          <w:b w:val="0"/>
          <w:bCs w:val="0"/>
          <w:sz w:val="28"/>
          <w:szCs w:val="28"/>
        </w:rPr>
        <w:t>本次评估按</w:t>
      </w:r>
      <w:r>
        <w:rPr>
          <w:rFonts w:hint="eastAsia" w:ascii="仿宋" w:hAnsi="仿宋" w:eastAsia="仿宋" w:cs="仿宋"/>
          <w:b w:val="0"/>
          <w:bCs w:val="0"/>
          <w:sz w:val="28"/>
          <w:szCs w:val="28"/>
          <w:lang w:val="en-US" w:eastAsia="zh-CN"/>
        </w:rPr>
        <w:t>1950</w:t>
      </w:r>
      <w:r>
        <w:rPr>
          <w:rFonts w:hint="eastAsia" w:ascii="仿宋" w:hAnsi="仿宋" w:eastAsia="仿宋" w:cs="仿宋"/>
          <w:b w:val="0"/>
          <w:bCs w:val="0"/>
          <w:sz w:val="28"/>
          <w:szCs w:val="28"/>
        </w:rPr>
        <w:t>元/㎡计算估价对象前期费用及其他费用，则：</w:t>
      </w:r>
    </w:p>
    <w:p>
      <w:pPr>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前期费用及其它费用=</w:t>
      </w:r>
      <w:r>
        <w:rPr>
          <w:rFonts w:hint="eastAsia" w:ascii="仿宋" w:hAnsi="仿宋" w:eastAsia="仿宋" w:cs="仿宋"/>
          <w:b w:val="0"/>
          <w:bCs w:val="0"/>
          <w:sz w:val="28"/>
          <w:szCs w:val="28"/>
          <w:lang w:val="en-US" w:eastAsia="zh-CN"/>
        </w:rPr>
        <w:t>1950</w:t>
      </w:r>
      <w:r>
        <w:rPr>
          <w:rFonts w:hint="eastAsia" w:ascii="仿宋" w:hAnsi="仿宋" w:eastAsia="仿宋" w:cs="仿宋"/>
          <w:b w:val="0"/>
          <w:bCs w:val="0"/>
          <w:sz w:val="28"/>
          <w:szCs w:val="28"/>
        </w:rPr>
        <w:t>×7.45%+82.7=</w:t>
      </w:r>
      <w:r>
        <w:rPr>
          <w:rFonts w:hint="eastAsia" w:ascii="仿宋" w:hAnsi="仿宋" w:eastAsia="仿宋" w:cs="仿宋"/>
          <w:b w:val="0"/>
          <w:bCs w:val="0"/>
          <w:sz w:val="28"/>
          <w:szCs w:val="28"/>
          <w:lang w:val="en-US" w:eastAsia="zh-CN"/>
        </w:rPr>
        <w:t>227.98</w:t>
      </w:r>
      <w:r>
        <w:rPr>
          <w:rFonts w:hint="eastAsia" w:ascii="仿宋" w:hAnsi="仿宋" w:eastAsia="仿宋" w:cs="仿宋"/>
          <w:b w:val="0"/>
          <w:bCs w:val="0"/>
          <w:sz w:val="28"/>
          <w:szCs w:val="28"/>
        </w:rPr>
        <w:t>元/㎡</w:t>
      </w:r>
    </w:p>
    <w:p>
      <w:pPr>
        <w:pStyle w:val="4"/>
        <w:keepNext w:val="0"/>
        <w:keepLines w:val="0"/>
        <w:pageBreakBefore w:val="0"/>
        <w:widowControl w:val="0"/>
        <w:numPr>
          <w:ilvl w:val="0"/>
          <w:numId w:val="19"/>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室外工程费</w:t>
      </w:r>
    </w:p>
    <w:p>
      <w:pPr>
        <w:keepNext w:val="0"/>
        <w:keepLines w:val="0"/>
        <w:pageBreakBefore w:val="0"/>
        <w:widowControl w:val="0"/>
        <w:kinsoku/>
        <w:wordWrap/>
        <w:overflowPunct w:val="0"/>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室外工程费包括室外道路、绿化、管网、围墙以及消防、物业办公等工程费用。</w:t>
      </w:r>
      <w:r>
        <w:rPr>
          <w:rFonts w:hint="eastAsia" w:ascii="仿宋" w:hAnsi="仿宋" w:eastAsia="仿宋" w:cs="仿宋"/>
          <w:b w:val="0"/>
          <w:bCs w:val="0"/>
          <w:sz w:val="28"/>
          <w:szCs w:val="28"/>
        </w:rPr>
        <w:t>结合我们所掌握的房地产开发项目该项费用的一般标准，本次评估对象为低密度建筑项目，并考虑估价对象所处区域现状的开发条件，其室外工程配套费用较高，本次评估确定室外工程配套费用为</w:t>
      </w:r>
      <w:r>
        <w:rPr>
          <w:rFonts w:hint="eastAsia" w:ascii="仿宋" w:hAnsi="仿宋" w:eastAsia="仿宋" w:cs="仿宋"/>
          <w:b w:val="0"/>
          <w:bCs w:val="0"/>
          <w:sz w:val="28"/>
          <w:szCs w:val="28"/>
          <w:lang w:val="en-US" w:eastAsia="zh-CN"/>
        </w:rPr>
        <w:t>305</w:t>
      </w:r>
      <w:r>
        <w:rPr>
          <w:rFonts w:hint="eastAsia" w:ascii="仿宋" w:hAnsi="仿宋" w:eastAsia="仿宋" w:cs="仿宋"/>
          <w:b w:val="0"/>
          <w:bCs w:val="0"/>
          <w:sz w:val="28"/>
          <w:szCs w:val="28"/>
        </w:rPr>
        <w:t>元/㎡。</w:t>
      </w:r>
    </w:p>
    <w:p>
      <w:pPr>
        <w:pStyle w:val="4"/>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综合以上计算，则估价对象建筑费合计为：</w:t>
      </w:r>
    </w:p>
    <w:p>
      <w:pPr>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房屋建造成本=7130740（元）</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管理费：包括职工工资、福利、办公费、差旅费、交通费、通讯费、会议费等，一般为建筑费的2-5%，本次评估管理费用按建造成本的3%测算。则：</w:t>
      </w:r>
    </w:p>
    <w:p>
      <w:pPr>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color w:val="000000"/>
          <w:sz w:val="28"/>
          <w:szCs w:val="28"/>
        </w:rPr>
        <w:t>管理费</w:t>
      </w:r>
      <w:r>
        <w:rPr>
          <w:rFonts w:hint="eastAsia" w:ascii="仿宋" w:hAnsi="仿宋" w:eastAsia="仿宋" w:cs="仿宋"/>
          <w:b w:val="0"/>
          <w:bCs w:val="0"/>
          <w:snapToGrid w:val="0"/>
          <w:color w:val="000000"/>
          <w:sz w:val="28"/>
          <w:szCs w:val="28"/>
        </w:rPr>
        <w:t>=213922</w:t>
      </w:r>
      <w:r>
        <w:rPr>
          <w:rFonts w:hint="eastAsia" w:ascii="仿宋" w:hAnsi="仿宋" w:eastAsia="仿宋" w:cs="仿宋"/>
          <w:b w:val="0"/>
          <w:bCs w:val="0"/>
          <w:snapToGrid w:val="0"/>
          <w:color w:val="000000"/>
          <w:sz w:val="28"/>
          <w:szCs w:val="28"/>
          <w:lang w:val="en-US" w:eastAsia="zh-CN"/>
        </w:rPr>
        <w:t>.0</w:t>
      </w:r>
      <w:r>
        <w:rPr>
          <w:rFonts w:hint="eastAsia" w:ascii="仿宋" w:hAnsi="仿宋" w:eastAsia="仿宋" w:cs="仿宋"/>
          <w:b w:val="0"/>
          <w:bCs w:val="0"/>
          <w:color w:val="000000"/>
          <w:sz w:val="28"/>
          <w:szCs w:val="28"/>
        </w:rPr>
        <w:t>（元）</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投资利息</w:t>
      </w:r>
    </w:p>
    <w:p>
      <w:pPr>
        <w:keepNext w:val="0"/>
        <w:keepLines w:val="0"/>
        <w:pageBreakBefore w:val="0"/>
        <w:widowControl w:val="0"/>
        <w:kinsoku/>
        <w:wordWrap/>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次估价考虑估价对象所处区域目前的房地产现状条件，设定房地产开发经营期1年，以估价期日中国人民银行公布的1年期贷款利息4.35%计，地价和购地税费、项目前期费用于开始一次投入建安费、室外工程费、管理费均匀投入。</w:t>
      </w:r>
    </w:p>
    <w:p>
      <w:pPr>
        <w:keepNext w:val="0"/>
        <w:keepLines w:val="0"/>
        <w:pageBreakBefore w:val="0"/>
        <w:widowControl w:val="0"/>
        <w:kinsoku/>
        <w:wordWrap/>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利息=0.0451×地价+174032</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（元）</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销售税费、销售费用的确定</w:t>
      </w:r>
    </w:p>
    <w:p>
      <w:pPr>
        <w:keepNext w:val="0"/>
        <w:keepLines w:val="0"/>
        <w:pageBreakBefore w:val="0"/>
        <w:widowControl w:val="0"/>
        <w:kinsoku/>
        <w:wordWrap/>
        <w:topLinePunct w:val="0"/>
        <w:bidi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napToGrid w:val="0"/>
          <w:sz w:val="28"/>
          <w:szCs w:val="28"/>
        </w:rPr>
        <w:t>销售税费主要是交易过程中的统一工商税、广告宣传费及代理费、印花税和交易手续费等。根据国家及汉中市有关规定，此次销售税费、销售费用总共按销售收入的8%计，则：</w:t>
      </w:r>
    </w:p>
    <w:p>
      <w:pPr>
        <w:keepNext w:val="0"/>
        <w:keepLines w:val="0"/>
        <w:pageBreakBefore w:val="0"/>
        <w:widowControl w:val="0"/>
        <w:kinsoku/>
        <w:wordWrap/>
        <w:topLinePunct w:val="0"/>
        <w:bidi w:val="0"/>
        <w:snapToGri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销售税费=</w:t>
      </w:r>
      <w:r>
        <w:rPr>
          <w:rFonts w:hint="eastAsia" w:ascii="仿宋" w:hAnsi="仿宋" w:eastAsia="仿宋" w:cs="仿宋"/>
          <w:b w:val="0"/>
          <w:bCs w:val="0"/>
          <w:snapToGrid w:val="0"/>
          <w:sz w:val="28"/>
          <w:szCs w:val="28"/>
        </w:rPr>
        <w:t>919200</w:t>
      </w:r>
      <w:r>
        <w:rPr>
          <w:rFonts w:hint="eastAsia" w:ascii="仿宋" w:hAnsi="仿宋" w:eastAsia="仿宋" w:cs="仿宋"/>
          <w:b w:val="0"/>
          <w:bCs w:val="0"/>
          <w:snapToGrid w:val="0"/>
          <w:sz w:val="28"/>
          <w:szCs w:val="28"/>
          <w:lang w:val="en-US" w:eastAsia="zh-CN"/>
        </w:rPr>
        <w:t>.0</w:t>
      </w:r>
      <w:r>
        <w:rPr>
          <w:rFonts w:hint="eastAsia" w:ascii="仿宋" w:hAnsi="仿宋" w:eastAsia="仿宋" w:cs="仿宋"/>
          <w:b w:val="0"/>
          <w:bCs w:val="0"/>
          <w:sz w:val="28"/>
          <w:szCs w:val="28"/>
        </w:rPr>
        <w:t>（元）</w:t>
      </w:r>
    </w:p>
    <w:p>
      <w:pPr>
        <w:pStyle w:val="4"/>
        <w:keepNext w:val="0"/>
        <w:keepLines w:val="0"/>
        <w:pageBreakBefore w:val="0"/>
        <w:widowControl w:val="0"/>
        <w:numPr>
          <w:ilvl w:val="0"/>
          <w:numId w:val="18"/>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开发商利润的确定</w:t>
      </w:r>
    </w:p>
    <w:p>
      <w:pPr>
        <w:keepNext w:val="0"/>
        <w:keepLines w:val="0"/>
        <w:pageBreakBefore w:val="0"/>
        <w:widowControl w:val="0"/>
        <w:kinsoku/>
        <w:wordWrap/>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rPr>
        <w:t>利润率一般采用同一市场上类似房地产开发项目的平均利润率。</w:t>
      </w:r>
      <w:r>
        <w:rPr>
          <w:rFonts w:hint="eastAsia" w:ascii="仿宋" w:hAnsi="仿宋" w:eastAsia="仿宋" w:cs="仿宋"/>
          <w:b w:val="0"/>
          <w:bCs w:val="0"/>
          <w:snapToGrid w:val="0"/>
          <w:sz w:val="28"/>
          <w:szCs w:val="28"/>
        </w:rPr>
        <w:t>汉中市房地产企业利润率一般在</w:t>
      </w:r>
      <w:r>
        <w:rPr>
          <w:rFonts w:hint="eastAsia" w:ascii="仿宋" w:hAnsi="仿宋" w:eastAsia="仿宋" w:cs="仿宋"/>
          <w:b w:val="0"/>
          <w:bCs w:val="0"/>
          <w:snapToGrid w:val="0"/>
          <w:sz w:val="28"/>
          <w:szCs w:val="28"/>
          <w:lang w:val="en-US" w:eastAsia="zh-CN"/>
        </w:rPr>
        <w:t>15</w:t>
      </w:r>
      <w:r>
        <w:rPr>
          <w:rFonts w:hint="eastAsia" w:ascii="仿宋" w:hAnsi="仿宋" w:eastAsia="仿宋" w:cs="仿宋"/>
          <w:b w:val="0"/>
          <w:bCs w:val="0"/>
          <w:snapToGrid w:val="0"/>
          <w:sz w:val="28"/>
          <w:szCs w:val="28"/>
        </w:rPr>
        <w:t>-30%之间，</w:t>
      </w:r>
      <w:r>
        <w:rPr>
          <w:rFonts w:hint="eastAsia" w:ascii="仿宋" w:hAnsi="仿宋" w:eastAsia="仿宋" w:cs="仿宋"/>
          <w:b w:val="0"/>
          <w:bCs w:val="0"/>
          <w:sz w:val="28"/>
          <w:szCs w:val="28"/>
        </w:rPr>
        <w:t>经综合分析，以谨慎性原则，此次确定该项目利润率为</w:t>
      </w:r>
      <w:r>
        <w:rPr>
          <w:rFonts w:hint="eastAsia" w:ascii="仿宋" w:hAnsi="仿宋" w:eastAsia="仿宋" w:cs="仿宋"/>
          <w:b w:val="0"/>
          <w:bCs w:val="0"/>
          <w:snapToGrid w:val="0"/>
          <w:sz w:val="28"/>
          <w:szCs w:val="28"/>
          <w:lang w:val="en-US" w:eastAsia="zh-CN"/>
        </w:rPr>
        <w:t>15</w:t>
      </w:r>
      <w:r>
        <w:rPr>
          <w:rFonts w:hint="eastAsia" w:ascii="仿宋" w:hAnsi="仿宋" w:eastAsia="仿宋" w:cs="仿宋"/>
          <w:b w:val="0"/>
          <w:bCs w:val="0"/>
          <w:snapToGrid w:val="0"/>
          <w:sz w:val="28"/>
          <w:szCs w:val="28"/>
        </w:rPr>
        <w:t>%，计</w:t>
      </w:r>
      <w:r>
        <w:rPr>
          <w:rFonts w:hint="eastAsia" w:ascii="仿宋" w:hAnsi="仿宋" w:eastAsia="仿宋" w:cs="仿宋"/>
          <w:b w:val="0"/>
          <w:bCs w:val="0"/>
          <w:sz w:val="28"/>
          <w:szCs w:val="28"/>
        </w:rPr>
        <w:t>算基数为地价、购地税费、房屋建造成本、管理费用之和。</w:t>
      </w:r>
      <w:r>
        <w:rPr>
          <w:rFonts w:hint="eastAsia" w:ascii="仿宋" w:hAnsi="仿宋" w:eastAsia="仿宋" w:cs="仿宋"/>
          <w:b w:val="0"/>
          <w:bCs w:val="0"/>
          <w:color w:val="000000"/>
          <w:sz w:val="28"/>
          <w:szCs w:val="28"/>
        </w:rPr>
        <w:t>则：</w:t>
      </w:r>
    </w:p>
    <w:p>
      <w:pPr>
        <w:keepNext w:val="0"/>
        <w:keepLines w:val="0"/>
        <w:pageBreakBefore w:val="0"/>
        <w:widowControl w:val="0"/>
        <w:kinsoku/>
        <w:wordWrap/>
        <w:topLinePunct w:val="0"/>
        <w:bidi w:val="0"/>
        <w:spacing w:line="640" w:lineRule="exact"/>
        <w:ind w:firstLine="480" w:firstLineChars="200"/>
        <w:textAlignment w:val="auto"/>
        <w:rPr>
          <w:rFonts w:hint="eastAsia" w:ascii="仿宋" w:hAnsi="仿宋" w:eastAsia="仿宋" w:cs="仿宋"/>
          <w:b w:val="0"/>
          <w:bCs w:val="0"/>
          <w:spacing w:val="-20"/>
          <w:sz w:val="28"/>
          <w:szCs w:val="28"/>
        </w:rPr>
      </w:pPr>
      <w:r>
        <w:rPr>
          <w:rFonts w:hint="eastAsia" w:ascii="仿宋" w:hAnsi="仿宋" w:eastAsia="仿宋" w:cs="仿宋"/>
          <w:b w:val="0"/>
          <w:bCs w:val="0"/>
          <w:spacing w:val="-20"/>
          <w:sz w:val="28"/>
          <w:szCs w:val="28"/>
        </w:rPr>
        <w:t>利润=</w:t>
      </w:r>
      <w:r>
        <w:rPr>
          <w:rFonts w:hint="eastAsia" w:ascii="仿宋" w:hAnsi="仿宋" w:eastAsia="仿宋" w:cs="仿宋"/>
          <w:b w:val="0"/>
          <w:bCs w:val="0"/>
          <w:spacing w:val="-20"/>
          <w:sz w:val="28"/>
          <w:szCs w:val="28"/>
          <w:lang w:val="en-US" w:eastAsia="zh-CN"/>
        </w:rPr>
        <w:t>0.1554×</w:t>
      </w:r>
      <w:r>
        <w:rPr>
          <w:rFonts w:hint="eastAsia" w:ascii="仿宋" w:hAnsi="仿宋" w:eastAsia="仿宋" w:cs="仿宋"/>
          <w:b w:val="0"/>
          <w:bCs w:val="0"/>
          <w:spacing w:val="-20"/>
          <w:sz w:val="28"/>
          <w:szCs w:val="28"/>
        </w:rPr>
        <w:t>地价+1101699</w:t>
      </w:r>
      <w:r>
        <w:rPr>
          <w:rFonts w:hint="eastAsia" w:ascii="仿宋" w:hAnsi="仿宋" w:eastAsia="仿宋" w:cs="仿宋"/>
          <w:b w:val="0"/>
          <w:bCs w:val="0"/>
          <w:spacing w:val="-20"/>
          <w:sz w:val="28"/>
          <w:szCs w:val="28"/>
          <w:lang w:val="en-US" w:eastAsia="zh-CN"/>
        </w:rPr>
        <w:t>.0</w:t>
      </w:r>
      <w:r>
        <w:rPr>
          <w:rFonts w:hint="eastAsia" w:ascii="仿宋" w:hAnsi="仿宋" w:eastAsia="仿宋" w:cs="仿宋"/>
          <w:b w:val="0"/>
          <w:bCs w:val="0"/>
          <w:spacing w:val="-20"/>
          <w:sz w:val="28"/>
          <w:szCs w:val="28"/>
        </w:rPr>
        <w:t xml:space="preserve"> 元</w:t>
      </w:r>
    </w:p>
    <w:p>
      <w:pPr>
        <w:pStyle w:val="4"/>
        <w:keepNext w:val="0"/>
        <w:keepLines w:val="0"/>
        <w:pageBreakBefore w:val="0"/>
        <w:widowControl w:val="0"/>
        <w:numPr>
          <w:ilvl w:val="0"/>
          <w:numId w:val="16"/>
        </w:numPr>
        <w:kinsoku/>
        <w:wordWrap/>
        <w:overflowPunct/>
        <w:topLinePunct w:val="0"/>
        <w:autoSpaceDE/>
        <w:autoSpaceDN/>
        <w:bidi w:val="0"/>
        <w:adjustRightInd/>
        <w:snapToGrid/>
        <w:spacing w:line="640" w:lineRule="exact"/>
        <w:ind w:left="0" w:leftChars="0" w:firstLine="560" w:firstLineChars="200"/>
        <w:textAlignment w:val="auto"/>
        <w:rPr>
          <w:rFonts w:hint="eastAsia" w:ascii="仿宋" w:hAnsi="仿宋" w:eastAsia="仿宋" w:cs="仿宋"/>
          <w:b w:val="0"/>
          <w:bCs w:val="0"/>
          <w:szCs w:val="28"/>
        </w:rPr>
      </w:pPr>
      <w:r>
        <w:rPr>
          <w:rFonts w:hint="eastAsia" w:ascii="仿宋" w:hAnsi="仿宋" w:eastAsia="仿宋" w:cs="仿宋"/>
          <w:b w:val="0"/>
          <w:bCs w:val="0"/>
          <w:szCs w:val="28"/>
        </w:rPr>
        <w:t>地价的确定</w:t>
      </w:r>
    </w:p>
    <w:p>
      <w:pPr>
        <w:keepNext w:val="0"/>
        <w:keepLines w:val="0"/>
        <w:pageBreakBefore w:val="0"/>
        <w:widowControl w:val="0"/>
        <w:kinsoku/>
        <w:wordWrap/>
        <w:topLinePunct w:val="0"/>
        <w:autoSpaceDE w:val="0"/>
        <w:autoSpaceDN w:val="0"/>
        <w:bidi w:val="0"/>
        <w:adjustRightInd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根据公式：</w:t>
      </w:r>
    </w:p>
    <w:p>
      <w:pPr>
        <w:pStyle w:val="4"/>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地价=开发完成后房地产总价值-开发成本-开发商利润</w:t>
      </w:r>
    </w:p>
    <w:p>
      <w:pPr>
        <w:pStyle w:val="4"/>
        <w:keepNext w:val="0"/>
        <w:keepLines w:val="0"/>
        <w:pageBreakBefore w:val="0"/>
        <w:widowControl w:val="0"/>
        <w:kinsoku/>
        <w:wordWrap/>
        <w:topLinePunct w:val="0"/>
        <w:bidi w:val="0"/>
        <w:spacing w:line="640" w:lineRule="exact"/>
        <w:ind w:firstLine="1200" w:firstLineChars="500"/>
        <w:textAlignment w:val="auto"/>
        <w:rPr>
          <w:rFonts w:hint="eastAsia" w:ascii="仿宋" w:hAnsi="仿宋" w:eastAsia="仿宋" w:cs="仿宋"/>
          <w:b w:val="0"/>
          <w:bCs w:val="0"/>
          <w:spacing w:val="-20"/>
          <w:sz w:val="28"/>
          <w:szCs w:val="28"/>
          <w:lang w:val="en-US" w:eastAsia="zh-CN"/>
        </w:rPr>
      </w:pPr>
      <w:r>
        <w:rPr>
          <w:rFonts w:hint="eastAsia" w:ascii="仿宋" w:hAnsi="仿宋" w:eastAsia="仿宋" w:cs="仿宋"/>
          <w:spacing w:val="-20"/>
          <w:szCs w:val="28"/>
        </w:rPr>
        <w:t>=</w:t>
      </w:r>
      <w:r>
        <w:rPr>
          <w:rFonts w:hint="eastAsia" w:ascii="仿宋" w:hAnsi="仿宋" w:eastAsia="仿宋" w:cs="仿宋"/>
          <w:color w:val="000000"/>
          <w:kern w:val="0"/>
          <w:lang w:val="en-US" w:eastAsia="zh-CN"/>
        </w:rPr>
        <w:t>11490000-</w:t>
      </w:r>
      <w:r>
        <w:rPr>
          <w:rFonts w:hint="eastAsia" w:ascii="仿宋" w:hAnsi="仿宋" w:eastAsia="仿宋" w:cs="仿宋"/>
          <w:color w:val="000000"/>
          <w:kern w:val="0"/>
          <w:lang w:eastAsia="zh-CN"/>
        </w:rPr>
        <w:t>（</w:t>
      </w:r>
      <w:r>
        <w:rPr>
          <w:rFonts w:hint="eastAsia" w:ascii="仿宋" w:hAnsi="仿宋" w:eastAsia="仿宋" w:cs="仿宋"/>
          <w:color w:val="000000"/>
          <w:kern w:val="0"/>
        </w:rPr>
        <w:t>0.036×</w:t>
      </w:r>
      <w:r>
        <w:rPr>
          <w:rFonts w:hint="eastAsia" w:ascii="仿宋" w:hAnsi="仿宋" w:eastAsia="仿宋" w:cs="仿宋"/>
          <w:color w:val="000000"/>
          <w:kern w:val="0"/>
          <w:lang w:val="en-US" w:eastAsia="zh-CN"/>
        </w:rPr>
        <w:t>地价+7130740.0+213922.0+0.0451</w:t>
      </w:r>
      <w:r>
        <w:rPr>
          <w:rFonts w:hint="eastAsia" w:ascii="仿宋" w:hAnsi="仿宋" w:eastAsia="仿宋" w:cs="仿宋"/>
          <w:color w:val="000000"/>
          <w:kern w:val="0"/>
        </w:rPr>
        <w:t>×</w:t>
      </w:r>
      <w:r>
        <w:rPr>
          <w:rFonts w:hint="eastAsia" w:ascii="仿宋" w:hAnsi="仿宋" w:eastAsia="仿宋" w:cs="仿宋"/>
          <w:color w:val="000000"/>
          <w:kern w:val="0"/>
          <w:lang w:val="en-US" w:eastAsia="zh-CN"/>
        </w:rPr>
        <w:t>地价+174032.0+919200.0</w:t>
      </w:r>
      <w:r>
        <w:rPr>
          <w:rFonts w:hint="eastAsia" w:ascii="仿宋" w:hAnsi="仿宋" w:eastAsia="仿宋" w:cs="仿宋"/>
          <w:color w:val="000000"/>
          <w:kern w:val="0"/>
          <w:lang w:eastAsia="zh-CN"/>
        </w:rPr>
        <w:t>）</w:t>
      </w:r>
      <w:r>
        <w:rPr>
          <w:rFonts w:hint="eastAsia" w:ascii="仿宋" w:hAnsi="仿宋" w:eastAsia="仿宋" w:cs="仿宋"/>
          <w:color w:val="000000"/>
          <w:kern w:val="0"/>
          <w:lang w:val="en-US" w:eastAsia="zh-CN"/>
        </w:rPr>
        <w:t>-（0.1554</w:t>
      </w:r>
      <w:r>
        <w:rPr>
          <w:rFonts w:hint="eastAsia" w:ascii="仿宋" w:hAnsi="仿宋" w:eastAsia="仿宋" w:cs="仿宋"/>
          <w:color w:val="000000"/>
          <w:kern w:val="0"/>
        </w:rPr>
        <w:t>×</w:t>
      </w:r>
      <w:r>
        <w:rPr>
          <w:rFonts w:hint="eastAsia" w:ascii="仿宋" w:hAnsi="仿宋" w:eastAsia="仿宋" w:cs="仿宋"/>
          <w:color w:val="000000"/>
          <w:kern w:val="0"/>
          <w:lang w:val="en-US" w:eastAsia="zh-CN"/>
        </w:rPr>
        <w:t xml:space="preserve">地价+1101699.0）元 </w:t>
      </w:r>
      <w:r>
        <w:rPr>
          <w:rFonts w:hint="eastAsia" w:ascii="仿宋" w:hAnsi="仿宋" w:eastAsia="仿宋" w:cs="仿宋"/>
          <w:b w:val="0"/>
          <w:bCs w:val="0"/>
          <w:spacing w:val="-20"/>
          <w:sz w:val="28"/>
          <w:szCs w:val="28"/>
          <w:lang w:val="en-US" w:eastAsia="zh-CN"/>
        </w:rPr>
        <w:t xml:space="preserve">  </w:t>
      </w:r>
    </w:p>
    <w:p>
      <w:pPr>
        <w:pStyle w:val="4"/>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经计算，单位面积地价=</w:t>
      </w:r>
      <w:r>
        <w:rPr>
          <w:rFonts w:hint="eastAsia" w:ascii="仿宋" w:hAnsi="仿宋" w:eastAsia="仿宋" w:cs="仿宋"/>
          <w:b w:val="0"/>
          <w:bCs w:val="0"/>
          <w:sz w:val="28"/>
          <w:szCs w:val="28"/>
          <w:lang w:val="en-US" w:eastAsia="zh-CN"/>
        </w:rPr>
        <w:t>1577.0</w:t>
      </w:r>
      <w:r>
        <w:rPr>
          <w:rFonts w:hint="eastAsia" w:ascii="仿宋" w:hAnsi="仿宋" w:eastAsia="仿宋" w:cs="仿宋"/>
          <w:b w:val="0"/>
          <w:bCs w:val="0"/>
          <w:sz w:val="28"/>
          <w:szCs w:val="28"/>
        </w:rPr>
        <w:t>（元/㎡）</w:t>
      </w:r>
    </w:p>
    <w:p>
      <w:pPr>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即利用假设开发法测算出估价对象建设用地地价为</w:t>
      </w:r>
      <w:r>
        <w:rPr>
          <w:rFonts w:hint="eastAsia" w:ascii="仿宋" w:hAnsi="仿宋" w:eastAsia="仿宋" w:cs="仿宋"/>
          <w:b w:val="0"/>
          <w:bCs w:val="0"/>
          <w:sz w:val="28"/>
          <w:szCs w:val="28"/>
          <w:lang w:val="en-US" w:eastAsia="zh-CN"/>
        </w:rPr>
        <w:t>1577.0</w:t>
      </w:r>
      <w:r>
        <w:rPr>
          <w:rFonts w:hint="eastAsia" w:ascii="仿宋" w:hAnsi="仿宋" w:eastAsia="仿宋" w:cs="仿宋"/>
          <w:b w:val="0"/>
          <w:bCs w:val="0"/>
          <w:sz w:val="28"/>
          <w:szCs w:val="28"/>
        </w:rPr>
        <w:t>元/平方米。</w:t>
      </w:r>
    </w:p>
    <w:p>
      <w:pPr>
        <w:keepNext w:val="0"/>
        <w:keepLines w:val="0"/>
        <w:pageBreakBefore w:val="0"/>
        <w:widowControl w:val="0"/>
        <w:numPr>
          <w:ilvl w:val="0"/>
          <w:numId w:val="11"/>
        </w:numPr>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地价的确定</w:t>
      </w:r>
    </w:p>
    <w:p>
      <w:pPr>
        <w:keepNext w:val="0"/>
        <w:keepLines w:val="0"/>
        <w:pageBreakBefore w:val="0"/>
        <w:widowControl w:val="0"/>
        <w:kinsoku/>
        <w:wordWrap/>
        <w:topLinePunct w:val="0"/>
        <w:bidi w:val="0"/>
        <w:spacing w:line="640" w:lineRule="exact"/>
        <w:ind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rPr>
        <w:t>对待估宗地分别运用基准地价系数修正法和假设开发法测算的价格分别为</w:t>
      </w:r>
      <w:r>
        <w:rPr>
          <w:rFonts w:hint="eastAsia" w:ascii="仿宋" w:hAnsi="仿宋" w:eastAsia="仿宋" w:cs="仿宋"/>
          <w:b w:val="0"/>
          <w:bCs w:val="0"/>
          <w:sz w:val="28"/>
          <w:szCs w:val="28"/>
          <w:lang w:val="en-US" w:eastAsia="zh-CN"/>
        </w:rPr>
        <w:t>989</w:t>
      </w:r>
      <w:r>
        <w:rPr>
          <w:rFonts w:hint="eastAsia" w:ascii="仿宋" w:hAnsi="仿宋" w:eastAsia="仿宋" w:cs="仿宋"/>
          <w:b w:val="0"/>
          <w:bCs w:val="0"/>
          <w:sz w:val="28"/>
          <w:szCs w:val="28"/>
        </w:rPr>
        <w:t>.0元/平方米和</w:t>
      </w:r>
      <w:r>
        <w:rPr>
          <w:rFonts w:hint="eastAsia" w:ascii="仿宋" w:hAnsi="仿宋" w:eastAsia="仿宋" w:cs="仿宋"/>
          <w:b w:val="0"/>
          <w:bCs w:val="0"/>
          <w:sz w:val="28"/>
          <w:szCs w:val="28"/>
          <w:lang w:val="en-US" w:eastAsia="zh-CN"/>
        </w:rPr>
        <w:t>1577</w:t>
      </w:r>
      <w:r>
        <w:rPr>
          <w:rFonts w:hint="eastAsia" w:ascii="仿宋" w:hAnsi="仿宋" w:eastAsia="仿宋" w:cs="仿宋"/>
          <w:b w:val="0"/>
          <w:bCs w:val="0"/>
          <w:sz w:val="28"/>
          <w:szCs w:val="28"/>
        </w:rPr>
        <w:t>.0元/平方米。两种方法从不同的侧面反映了估价对象的地价水平，测算结果有一定差异。本次评估通过对两种评估方法对估价对象的适合性，评估方法本身的局限性对估价结果的影响程度，评估方法测算结果的合理性及与周围市场地价的符合性等方面进行认真分析，结合两种方法的可信度和本次估价目的，综合考虑取两种</w:t>
      </w:r>
      <w:r>
        <w:rPr>
          <w:rFonts w:hint="eastAsia" w:ascii="仿宋" w:hAnsi="仿宋" w:eastAsia="仿宋" w:cs="仿宋"/>
          <w:b w:val="0"/>
          <w:bCs w:val="0"/>
          <w:sz w:val="28"/>
          <w:szCs w:val="28"/>
          <w:lang w:val="en-US" w:eastAsia="zh-CN"/>
        </w:rPr>
        <w:t>评估</w:t>
      </w:r>
      <w:r>
        <w:rPr>
          <w:rFonts w:hint="eastAsia" w:ascii="仿宋" w:hAnsi="仿宋" w:eastAsia="仿宋" w:cs="仿宋"/>
          <w:b w:val="0"/>
          <w:bCs w:val="0"/>
          <w:sz w:val="28"/>
          <w:szCs w:val="28"/>
        </w:rPr>
        <w:t>方法的</w:t>
      </w:r>
      <w:r>
        <w:rPr>
          <w:rFonts w:hint="eastAsia" w:ascii="仿宋" w:hAnsi="仿宋" w:eastAsia="仿宋" w:cs="仿宋"/>
          <w:b w:val="0"/>
          <w:bCs w:val="0"/>
          <w:sz w:val="28"/>
          <w:szCs w:val="28"/>
          <w:lang w:val="en-US" w:eastAsia="zh-CN"/>
        </w:rPr>
        <w:t>加权</w:t>
      </w:r>
      <w:r>
        <w:rPr>
          <w:rFonts w:hint="eastAsia" w:ascii="仿宋" w:hAnsi="仿宋" w:eastAsia="仿宋" w:cs="仿宋"/>
          <w:b w:val="0"/>
          <w:bCs w:val="0"/>
          <w:sz w:val="28"/>
          <w:szCs w:val="28"/>
        </w:rPr>
        <w:t>平均值（基准地价系数修正法权重取</w:t>
      </w:r>
      <w:r>
        <w:rPr>
          <w:rFonts w:hint="eastAsia" w:ascii="仿宋" w:hAnsi="仿宋" w:eastAsia="仿宋" w:cs="仿宋"/>
          <w:b w:val="0"/>
          <w:bCs w:val="0"/>
          <w:sz w:val="28"/>
          <w:szCs w:val="28"/>
          <w:lang w:val="en-US" w:eastAsia="zh-CN"/>
        </w:rPr>
        <w:t>0.3</w:t>
      </w:r>
      <w:r>
        <w:rPr>
          <w:rFonts w:hint="eastAsia" w:ascii="仿宋" w:hAnsi="仿宋" w:eastAsia="仿宋" w:cs="仿宋"/>
          <w:b w:val="0"/>
          <w:bCs w:val="0"/>
          <w:sz w:val="28"/>
          <w:szCs w:val="28"/>
        </w:rPr>
        <w:t>，假设开发法权重取0.</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）的</w:t>
      </w:r>
      <w:r>
        <w:rPr>
          <w:rFonts w:hint="eastAsia" w:ascii="仿宋" w:hAnsi="仿宋" w:eastAsia="仿宋" w:cs="仿宋"/>
          <w:b w:val="0"/>
          <w:bCs w:val="0"/>
          <w:color w:val="000000"/>
          <w:sz w:val="28"/>
          <w:szCs w:val="28"/>
        </w:rPr>
        <w:t>结果</w:t>
      </w:r>
      <w:r>
        <w:rPr>
          <w:rFonts w:hint="eastAsia" w:ascii="仿宋" w:hAnsi="仿宋" w:eastAsia="仿宋" w:cs="仿宋"/>
          <w:b w:val="0"/>
          <w:bCs w:val="0"/>
          <w:color w:val="000000"/>
          <w:sz w:val="28"/>
          <w:szCs w:val="28"/>
          <w:lang w:val="en-US" w:eastAsia="zh-CN"/>
        </w:rPr>
        <w:t>1401</w:t>
      </w:r>
      <w:r>
        <w:rPr>
          <w:rFonts w:hint="eastAsia" w:ascii="仿宋" w:hAnsi="仿宋" w:eastAsia="仿宋" w:cs="仿宋"/>
          <w:b w:val="0"/>
          <w:bCs w:val="0"/>
          <w:color w:val="000000"/>
          <w:sz w:val="28"/>
          <w:szCs w:val="28"/>
        </w:rPr>
        <w:t>.0元/平方米作为最终估价结果。</w:t>
      </w:r>
    </w:p>
    <w:p>
      <w:pPr>
        <w:keepNext w:val="0"/>
        <w:keepLines w:val="0"/>
        <w:pageBreakBefore w:val="0"/>
        <w:widowControl w:val="0"/>
        <w:numPr>
          <w:ilvl w:val="0"/>
          <w:numId w:val="11"/>
        </w:numPr>
        <w:kinsoku/>
        <w:wordWrap/>
        <w:overflowPunct/>
        <w:topLinePunct w:val="0"/>
        <w:autoSpaceDE/>
        <w:autoSpaceDN/>
        <w:bidi w:val="0"/>
        <w:adjustRightInd/>
        <w:snapToGrid/>
        <w:spacing w:line="640" w:lineRule="exact"/>
        <w:ind w:left="0" w:leftChars="0" w:right="0" w:rightChars="0" w:firstLine="560" w:firstLineChars="200"/>
        <w:jc w:val="both"/>
        <w:textAlignment w:val="auto"/>
        <w:outlineLvl w:val="9"/>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估价结果</w:t>
      </w:r>
    </w:p>
    <w:p>
      <w:pPr>
        <w:keepNext w:val="0"/>
        <w:keepLines w:val="0"/>
        <w:pageBreakBefore w:val="0"/>
        <w:widowControl w:val="0"/>
        <w:kinsoku/>
        <w:wordWrap/>
        <w:topLinePunct w:val="0"/>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
        </w:rPr>
      </w:pPr>
      <w:r>
        <w:rPr>
          <w:rFonts w:hint="eastAsia" w:ascii="仿宋" w:hAnsi="仿宋" w:eastAsia="仿宋" w:cs="仿宋"/>
          <w:b w:val="0"/>
          <w:bCs w:val="0"/>
          <w:sz w:val="28"/>
          <w:szCs w:val="28"/>
          <w:lang w:val="en"/>
        </w:rPr>
        <w:t>经评估人员现场勘察和对当地土地市场分析，按照地价评估的基本原则和估价程序，选择合适的评估方法，评估得到待估宗地地价定义条件下的国有出让建设用地使用权市场价值为：</w:t>
      </w:r>
    </w:p>
    <w:p>
      <w:pPr>
        <w:keepNext w:val="0"/>
        <w:keepLines w:val="0"/>
        <w:pageBreakBefore w:val="0"/>
        <w:widowControl w:val="0"/>
        <w:kinsoku/>
        <w:wordWrap/>
        <w:topLinePunct w:val="0"/>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 w:eastAsia="zh-CN"/>
        </w:rPr>
      </w:pPr>
      <w:r>
        <w:rPr>
          <w:rFonts w:hint="eastAsia" w:ascii="仿宋" w:hAnsi="仿宋" w:eastAsia="仿宋" w:cs="仿宋"/>
          <w:b w:val="0"/>
          <w:bCs w:val="0"/>
          <w:sz w:val="28"/>
          <w:szCs w:val="28"/>
          <w:lang w:val="en"/>
        </w:rPr>
        <w:t>位置：</w:t>
      </w:r>
      <w:r>
        <w:rPr>
          <w:rFonts w:hint="eastAsia" w:ascii="仿宋" w:hAnsi="仿宋" w:eastAsia="仿宋" w:cs="仿宋"/>
          <w:b w:val="0"/>
          <w:bCs w:val="0"/>
          <w:sz w:val="28"/>
          <w:szCs w:val="28"/>
          <w:lang w:val="en-US" w:eastAsia="zh-CN"/>
        </w:rPr>
        <w:t>略阳县城关镇官地山村柳树坝村</w:t>
      </w:r>
    </w:p>
    <w:p>
      <w:pPr>
        <w:keepNext w:val="0"/>
        <w:keepLines w:val="0"/>
        <w:pageBreakBefore w:val="0"/>
        <w:widowControl w:val="0"/>
        <w:kinsoku/>
        <w:wordWrap/>
        <w:topLinePunct w:val="0"/>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
        </w:rPr>
      </w:pPr>
      <w:r>
        <w:rPr>
          <w:rFonts w:hint="eastAsia" w:ascii="仿宋" w:hAnsi="仿宋" w:eastAsia="仿宋" w:cs="仿宋"/>
          <w:b w:val="0"/>
          <w:bCs w:val="0"/>
          <w:sz w:val="28"/>
          <w:szCs w:val="28"/>
          <w:lang w:val="en"/>
        </w:rPr>
        <w:t>宗地面积：</w:t>
      </w:r>
      <w:r>
        <w:rPr>
          <w:rFonts w:hint="eastAsia" w:ascii="仿宋" w:hAnsi="仿宋" w:eastAsia="仿宋" w:cs="仿宋"/>
          <w:b w:val="0"/>
          <w:bCs w:val="0"/>
          <w:sz w:val="28"/>
          <w:szCs w:val="28"/>
          <w:lang w:val="en-US" w:eastAsia="zh-CN"/>
        </w:rPr>
        <w:t>1000.0</w:t>
      </w:r>
      <w:r>
        <w:rPr>
          <w:rFonts w:hint="eastAsia" w:ascii="仿宋" w:hAnsi="仿宋" w:eastAsia="仿宋" w:cs="仿宋"/>
          <w:b w:val="0"/>
          <w:bCs w:val="0"/>
          <w:sz w:val="28"/>
          <w:szCs w:val="28"/>
          <w:lang w:val="en"/>
        </w:rPr>
        <w:t>平方米（折合</w:t>
      </w:r>
      <w:r>
        <w:rPr>
          <w:rFonts w:hint="eastAsia" w:ascii="仿宋" w:hAnsi="仿宋" w:eastAsia="仿宋" w:cs="仿宋"/>
          <w:b w:val="0"/>
          <w:bCs w:val="0"/>
          <w:sz w:val="28"/>
          <w:szCs w:val="28"/>
          <w:lang w:val="en-US" w:eastAsia="zh-CN"/>
        </w:rPr>
        <w:t>1.5</w:t>
      </w:r>
      <w:r>
        <w:rPr>
          <w:rFonts w:hint="eastAsia" w:ascii="仿宋" w:hAnsi="仿宋" w:eastAsia="仿宋" w:cs="仿宋"/>
          <w:b w:val="0"/>
          <w:bCs w:val="0"/>
          <w:sz w:val="28"/>
          <w:szCs w:val="28"/>
          <w:lang w:val="en" w:eastAsia="zh-CN"/>
        </w:rPr>
        <w:t>亩</w:t>
      </w:r>
      <w:r>
        <w:rPr>
          <w:rFonts w:hint="eastAsia" w:ascii="仿宋" w:hAnsi="仿宋" w:eastAsia="仿宋" w:cs="仿宋"/>
          <w:b w:val="0"/>
          <w:bCs w:val="0"/>
          <w:sz w:val="28"/>
          <w:szCs w:val="28"/>
          <w:lang w:val="en"/>
        </w:rPr>
        <w:t>）</w:t>
      </w:r>
    </w:p>
    <w:p>
      <w:pPr>
        <w:keepNext w:val="0"/>
        <w:keepLines w:val="0"/>
        <w:pageBreakBefore w:val="0"/>
        <w:widowControl w:val="0"/>
        <w:kinsoku/>
        <w:wordWrap/>
        <w:topLinePunct w:val="0"/>
        <w:bidi w:val="0"/>
        <w:adjustRightInd w:val="0"/>
        <w:snapToGrid w:val="0"/>
        <w:spacing w:line="640" w:lineRule="exact"/>
        <w:ind w:firstLine="560" w:firstLineChars="200"/>
        <w:textAlignment w:val="auto"/>
        <w:rPr>
          <w:rFonts w:hint="eastAsia" w:ascii="仿宋" w:hAnsi="仿宋" w:eastAsia="仿宋" w:cs="仿宋"/>
          <w:b w:val="0"/>
          <w:bCs w:val="0"/>
          <w:sz w:val="28"/>
          <w:szCs w:val="28"/>
          <w:lang w:val="en"/>
        </w:rPr>
      </w:pPr>
      <w:r>
        <w:rPr>
          <w:rFonts w:hint="eastAsia" w:ascii="仿宋" w:hAnsi="仿宋" w:eastAsia="仿宋" w:cs="仿宋"/>
          <w:b w:val="0"/>
          <w:bCs w:val="0"/>
          <w:sz w:val="28"/>
          <w:szCs w:val="28"/>
          <w:lang w:val="en"/>
        </w:rPr>
        <w:t>单位面积地价：</w:t>
      </w:r>
      <w:r>
        <w:rPr>
          <w:rFonts w:hint="eastAsia" w:ascii="仿宋" w:hAnsi="仿宋" w:eastAsia="仿宋" w:cs="仿宋"/>
          <w:b w:val="0"/>
          <w:bCs w:val="0"/>
          <w:sz w:val="28"/>
          <w:szCs w:val="28"/>
          <w:lang w:val="en-US" w:eastAsia="zh-CN"/>
        </w:rPr>
        <w:t>1401.0</w:t>
      </w:r>
      <w:r>
        <w:rPr>
          <w:rFonts w:hint="eastAsia" w:ascii="仿宋" w:hAnsi="仿宋" w:eastAsia="仿宋" w:cs="仿宋"/>
          <w:b w:val="0"/>
          <w:bCs w:val="0"/>
          <w:sz w:val="28"/>
          <w:szCs w:val="28"/>
          <w:lang w:val="en"/>
        </w:rPr>
        <w:t>元/平方米（折合</w:t>
      </w:r>
      <w:r>
        <w:rPr>
          <w:rFonts w:hint="eastAsia" w:ascii="仿宋" w:hAnsi="仿宋" w:eastAsia="仿宋" w:cs="仿宋"/>
          <w:b w:val="0"/>
          <w:bCs w:val="0"/>
          <w:sz w:val="28"/>
          <w:szCs w:val="28"/>
          <w:lang w:val="en-US" w:eastAsia="zh-CN"/>
        </w:rPr>
        <w:t>93.4</w:t>
      </w:r>
      <w:r>
        <w:rPr>
          <w:rFonts w:hint="eastAsia" w:ascii="仿宋" w:hAnsi="仿宋" w:eastAsia="仿宋" w:cs="仿宋"/>
          <w:b w:val="0"/>
          <w:bCs w:val="0"/>
          <w:sz w:val="28"/>
          <w:szCs w:val="28"/>
          <w:lang w:val="en"/>
        </w:rPr>
        <w:t>万元/亩）</w:t>
      </w:r>
    </w:p>
    <w:p>
      <w:pPr>
        <w:keepNext w:val="0"/>
        <w:keepLines w:val="0"/>
        <w:pageBreakBefore w:val="0"/>
        <w:widowControl w:val="0"/>
        <w:kinsoku/>
        <w:wordWrap/>
        <w:topLinePunct w:val="0"/>
        <w:bidi w:val="0"/>
        <w:adjustRightInd w:val="0"/>
        <w:snapToGrid w:val="0"/>
        <w:spacing w:line="640" w:lineRule="exact"/>
        <w:ind w:firstLine="560" w:firstLineChars="200"/>
        <w:textAlignment w:val="auto"/>
        <w:rPr>
          <w:rFonts w:hint="eastAsia"/>
        </w:rPr>
      </w:pPr>
      <w:r>
        <w:rPr>
          <w:rFonts w:hint="eastAsia" w:ascii="仿宋" w:hAnsi="仿宋" w:eastAsia="仿宋" w:cs="仿宋"/>
          <w:b w:val="0"/>
          <w:bCs w:val="0"/>
          <w:sz w:val="28"/>
          <w:szCs w:val="28"/>
          <w:lang w:val="en"/>
        </w:rPr>
        <w:t>土地总价：</w:t>
      </w:r>
      <w:r>
        <w:rPr>
          <w:rFonts w:hint="eastAsia" w:ascii="仿宋" w:hAnsi="仿宋" w:eastAsia="仿宋" w:cs="仿宋"/>
          <w:b w:val="0"/>
          <w:bCs w:val="0"/>
          <w:sz w:val="28"/>
          <w:szCs w:val="28"/>
          <w:lang w:val="en-US" w:eastAsia="zh-CN"/>
        </w:rPr>
        <w:t>140.1</w:t>
      </w:r>
      <w:r>
        <w:rPr>
          <w:rFonts w:hint="eastAsia" w:ascii="仿宋" w:hAnsi="仿宋" w:eastAsia="仿宋" w:cs="仿宋"/>
          <w:b w:val="0"/>
          <w:bCs w:val="0"/>
          <w:sz w:val="28"/>
          <w:szCs w:val="28"/>
          <w:lang w:val="en"/>
        </w:rPr>
        <w:t>万元（人民币大写：</w:t>
      </w:r>
      <w:r>
        <w:rPr>
          <w:rFonts w:hint="eastAsia" w:ascii="仿宋" w:hAnsi="仿宋" w:eastAsia="仿宋" w:cs="仿宋"/>
          <w:b w:val="0"/>
          <w:bCs w:val="0"/>
          <w:sz w:val="28"/>
          <w:szCs w:val="28"/>
          <w:lang w:val="en-US" w:eastAsia="zh-CN"/>
        </w:rPr>
        <w:t>壹佰肆拾万壹仟</w:t>
      </w:r>
      <w:r>
        <w:rPr>
          <w:rFonts w:hint="eastAsia" w:ascii="仿宋" w:hAnsi="仿宋" w:eastAsia="仿宋" w:cs="仿宋"/>
          <w:b w:val="0"/>
          <w:bCs w:val="0"/>
          <w:sz w:val="28"/>
          <w:szCs w:val="28"/>
          <w:lang w:val="en"/>
        </w:rPr>
        <w:t>元整）</w:t>
      </w:r>
      <w:bookmarkStart w:id="0" w:name="_GoBack"/>
      <w:bookmarkEnd w:id="0"/>
    </w:p>
    <w:sectPr>
      <w:headerReference r:id="rId3" w:type="default"/>
      <w:footerReference r:id="rId4" w:type="default"/>
      <w:footerReference r:id="rId5" w:type="even"/>
      <w:pgSz w:w="11906" w:h="16838"/>
      <w:pgMar w:top="1440" w:right="1800" w:bottom="1440" w:left="1800" w:header="850" w:footer="10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left w:val="none" w:color="auto" w:sz="0" w:space="0"/>
        <w:bottom w:val="none" w:color="auto" w:sz="0" w:space="0"/>
        <w:right w:val="none" w:color="auto" w:sz="0" w:space="0"/>
        <w:between w:val="none" w:color="auto" w:sz="0" w:space="0"/>
      </w:pBdr>
      <w:tabs>
        <w:tab w:val="left" w:pos="5062"/>
        <w:tab w:val="right" w:pos="8426"/>
      </w:tabs>
      <w:jc w:val="left"/>
      <w:rPr>
        <w:rFonts w:hint="eastAsia" w:ascii="仿宋" w:hAnsi="仿宋" w:eastAsia="仿宋" w:cs="仿宋"/>
        <w:b/>
        <w:strike w:val="0"/>
        <w:dstrike w:val="0"/>
        <w:sz w:val="18"/>
        <w:szCs w:val="18"/>
        <w:u w:val="none"/>
      </w:rPr>
    </w:pPr>
    <w:r>
      <w:rPr>
        <w:sz w:val="15"/>
      </w:rPr>
      <w:pict>
        <v:shape id="_x0000_s2057" o:spid="_x0000_s2057" o:spt="136" type="#_x0000_t136" style="position:absolute;left:0pt;margin-left:223.5pt;margin-top:526.95pt;height:36.2pt;width:190.45pt;mso-position-horizontal-relative:margin;mso-position-vertical-relative:margin;rotation:-2949120f;z-index:-251642880;mso-width-relative:page;mso-height-relative:page;" fillcolor="#C0C0C0" filled="t" stroked="f" coordsize="21600,21600" adj="10800">
          <v:path/>
          <v:fill on="t" color2="#FFFFFF" opacity="4587f" focussize="0,0"/>
          <v:stroke on="f"/>
          <v:imagedata o:title=""/>
          <o:lock v:ext="edit" aspectratio="t"/>
          <v:textpath on="t" fitshape="t" fitpath="t" trim="t" xscale="f" string="秦正价格评估" style="font-family:仿宋;font-size:36pt;v-same-letter-heights:f;v-text-align:center;"/>
        </v:shape>
      </w:pict>
    </w:r>
    <w:r>
      <w:rPr>
        <w:sz w:val="15"/>
      </w:rPr>
      <w:pict>
        <v:shape id="_x0000_s2056" o:spid="_x0000_s2056" o:spt="136" type="#_x0000_t136" style="position:absolute;left:0pt;margin-left:11.05pt;margin-top:529.4pt;height:36.2pt;width:190.45pt;mso-position-horizontal-relative:margin;mso-position-vertical-relative:margin;rotation:-2949120f;z-index:-251646976;mso-width-relative:page;mso-height-relative:page;" fillcolor="#C0C0C0" filled="t" stroked="f" coordsize="21600,21600" adj="10800">
          <v:path/>
          <v:fill on="t" color2="#FFFFFF" opacity="4587f" focussize="0,0"/>
          <v:stroke on="f"/>
          <v:imagedata o:title=""/>
          <o:lock v:ext="edit" aspectratio="t"/>
          <v:textpath on="t" fitshape="t" fitpath="t" trim="t" xscale="f" string="秦正价格评估" style="font-family:仿宋;font-size:36pt;v-same-letter-heights:f;v-text-align:center;"/>
        </v:shape>
      </w:pict>
    </w:r>
    <w:r>
      <w:rPr>
        <w:strike w:val="0"/>
        <w:dstrike w:val="0"/>
        <w:sz w:val="18"/>
        <w:u w:val="non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u w:val="none"/>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w:t>
                          </w:r>
                          <w:r>
                            <w:rPr>
                              <w:rFonts w:hint="eastAsia"/>
                              <w:u w:val="none"/>
                            </w:rPr>
                            <w:t xml:space="preserve"> 共 </w:t>
                          </w:r>
                          <w:r>
                            <w:rPr>
                              <w:rFonts w:hint="eastAsia"/>
                              <w:u w:val="none"/>
                            </w:rPr>
                            <w:fldChar w:fldCharType="begin"/>
                          </w:r>
                          <w:r>
                            <w:rPr>
                              <w:rFonts w:hint="eastAsia"/>
                              <w:u w:val="none"/>
                            </w:rPr>
                            <w:instrText xml:space="preserve"> NUMPAGES  \* MERGEFORMAT </w:instrText>
                          </w:r>
                          <w:r>
                            <w:rPr>
                              <w:rFonts w:hint="eastAsia"/>
                              <w:u w:val="none"/>
                            </w:rPr>
                            <w:fldChar w:fldCharType="separate"/>
                          </w:r>
                          <w:r>
                            <w:rPr>
                              <w:u w:val="none"/>
                            </w:rPr>
                            <w:t>12</w:t>
                          </w:r>
                          <w:r>
                            <w:rPr>
                              <w:rFonts w:hint="eastAsia"/>
                              <w:u w:val="none"/>
                            </w:rPr>
                            <w:fldChar w:fldCharType="end"/>
                          </w:r>
                          <w:r>
                            <w:rPr>
                              <w:rFonts w:hint="eastAsia"/>
                              <w:u w:val="none"/>
                            </w:rPr>
                            <w:t xml:space="preserve"> 页</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GnEaTFAQAAawMAAA4AAAAAAAAAAQAgAAAAHgEAAGRycy9lMm9Eb2MueG1s&#10;UEsFBgAAAAAGAAYAWQEAAFUFAAAAAA==&#10;">
              <v:fill on="f" focussize="0,0"/>
              <v:stroke on="f"/>
              <v:imagedata o:title=""/>
              <o:lock v:ext="edit" aspectratio="f"/>
              <v:textbox inset="0mm,0mm,0mm,0mm" style="mso-fit-shape-to-text:t;">
                <w:txbxContent>
                  <w:p>
                    <w:pPr>
                      <w:pStyle w:val="5"/>
                      <w:rPr>
                        <w:rFonts w:hint="eastAsia"/>
                        <w:u w:val="none"/>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w:t>
                    </w:r>
                    <w:r>
                      <w:rPr>
                        <w:rFonts w:hint="eastAsia"/>
                        <w:u w:val="none"/>
                      </w:rPr>
                      <w:t xml:space="preserve"> 共 </w:t>
                    </w:r>
                    <w:r>
                      <w:rPr>
                        <w:rFonts w:hint="eastAsia"/>
                        <w:u w:val="none"/>
                      </w:rPr>
                      <w:fldChar w:fldCharType="begin"/>
                    </w:r>
                    <w:r>
                      <w:rPr>
                        <w:rFonts w:hint="eastAsia"/>
                        <w:u w:val="none"/>
                      </w:rPr>
                      <w:instrText xml:space="preserve"> NUMPAGES  \* MERGEFORMAT </w:instrText>
                    </w:r>
                    <w:r>
                      <w:rPr>
                        <w:rFonts w:hint="eastAsia"/>
                        <w:u w:val="none"/>
                      </w:rPr>
                      <w:fldChar w:fldCharType="separate"/>
                    </w:r>
                    <w:r>
                      <w:rPr>
                        <w:u w:val="none"/>
                      </w:rPr>
                      <w:t>12</w:t>
                    </w:r>
                    <w:r>
                      <w:rPr>
                        <w:rFonts w:hint="eastAsia"/>
                        <w:u w:val="none"/>
                      </w:rPr>
                      <w:fldChar w:fldCharType="end"/>
                    </w:r>
                    <w:r>
                      <w:rPr>
                        <w:rFonts w:hint="eastAsia"/>
                        <w:u w:val="none"/>
                      </w:rPr>
                      <w:t xml:space="preserve"> 页</w:t>
                    </w:r>
                  </w:p>
                </w:txbxContent>
              </v:textbox>
            </v:shape>
          </w:pict>
        </mc:Fallback>
      </mc:AlternateContent>
    </w:r>
    <w:r>
      <w:rPr>
        <w:rFonts w:hint="eastAsia" w:ascii="黑体" w:hAnsi="黑体" w:eastAsia="黑体" w:cs="黑体"/>
        <w:strike w:val="0"/>
        <w:dstrike w:val="0"/>
        <w:sz w:val="18"/>
        <w:szCs w:val="18"/>
        <w:u w:val="none"/>
        <w:lang w:eastAsia="zh-CN"/>
      </w:rPr>
      <w:tab/>
    </w:r>
    <w:r>
      <w:rPr>
        <w:rFonts w:hint="eastAsia" w:ascii="黑体" w:hAnsi="黑体" w:eastAsia="黑体" w:cs="黑体"/>
        <w:strike w:val="0"/>
        <w:dstrike w:val="0"/>
        <w:sz w:val="18"/>
        <w:szCs w:val="18"/>
        <w:u w:val="none"/>
        <w:lang w:val="en-US" w:eastAsia="zh-CN"/>
      </w:rPr>
      <w:t xml:space="preserve">           </w:t>
    </w:r>
    <w:r>
      <w:rPr>
        <w:rFonts w:hint="eastAsia" w:ascii="黑体" w:hAnsi="黑体" w:eastAsia="黑体" w:cs="黑体"/>
        <w:strike w:val="0"/>
        <w:dstrike w:val="0"/>
        <w:sz w:val="18"/>
        <w:szCs w:val="18"/>
        <w:u w:val="none"/>
      </w:rPr>
      <w:t>秦价</w:t>
    </w:r>
    <w:r>
      <w:rPr>
        <w:rFonts w:hint="eastAsia" w:ascii="黑体" w:hAnsi="黑体" w:eastAsia="黑体" w:cs="黑体"/>
        <w:strike w:val="0"/>
        <w:dstrike w:val="0"/>
        <w:sz w:val="18"/>
        <w:szCs w:val="18"/>
        <w:u w:val="none"/>
        <w:lang w:val="en-US" w:eastAsia="zh-CN"/>
      </w:rPr>
      <w:t>汉评</w:t>
    </w:r>
    <w:r>
      <w:rPr>
        <w:rFonts w:hint="eastAsia" w:ascii="黑体" w:hAnsi="黑体" w:eastAsia="黑体" w:cs="黑体"/>
        <w:strike w:val="0"/>
        <w:dstrike w:val="0"/>
        <w:sz w:val="18"/>
        <w:szCs w:val="18"/>
        <w:u w:val="none"/>
      </w:rPr>
      <w:t>字[20</w:t>
    </w:r>
    <w:r>
      <w:rPr>
        <w:rFonts w:hint="eastAsia" w:ascii="黑体" w:hAnsi="黑体" w:eastAsia="黑体" w:cs="黑体"/>
        <w:strike w:val="0"/>
        <w:dstrike w:val="0"/>
        <w:sz w:val="18"/>
        <w:szCs w:val="18"/>
        <w:u w:val="none"/>
        <w:lang w:val="en-US" w:eastAsia="zh-CN"/>
      </w:rPr>
      <w:t>20</w:t>
    </w:r>
    <w:r>
      <w:rPr>
        <w:rFonts w:hint="eastAsia" w:ascii="黑体" w:hAnsi="黑体" w:eastAsia="黑体" w:cs="黑体"/>
        <w:strike w:val="0"/>
        <w:dstrike w:val="0"/>
        <w:sz w:val="18"/>
        <w:szCs w:val="18"/>
        <w:u w:val="none"/>
      </w:rPr>
      <w:t>]</w:t>
    </w:r>
    <w:r>
      <w:rPr>
        <w:rFonts w:hint="eastAsia" w:ascii="黑体" w:hAnsi="黑体" w:eastAsia="黑体" w:cs="黑体"/>
        <w:strike w:val="0"/>
        <w:dstrike w:val="0"/>
        <w:sz w:val="18"/>
        <w:szCs w:val="18"/>
        <w:u w:val="none"/>
        <w:lang w:val="en-US" w:eastAsia="zh-CN"/>
      </w:rPr>
      <w:t>108-6</w:t>
    </w:r>
    <w:r>
      <w:rPr>
        <w:rFonts w:hint="eastAsia" w:ascii="黑体" w:hAnsi="黑体" w:eastAsia="黑体" w:cs="黑体"/>
        <w:strike w:val="0"/>
        <w:dstrike w:val="0"/>
        <w:sz w:val="18"/>
        <w:szCs w:val="18"/>
        <w:u w:val="none"/>
      </w:rPr>
      <w:t>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hint="eastAsia"/>
        <w:sz w:val="21"/>
        <w:szCs w:val="21"/>
      </w:rPr>
    </w:pPr>
    <w:r>
      <w:rPr>
        <w:rFonts w:hint="eastAsia"/>
        <w:sz w:val="21"/>
        <w:szCs w:val="21"/>
      </w:rPr>
      <w:t>陕西秦正价格评估有限公司</w:t>
    </w:r>
  </w:p>
  <w:p>
    <w:pPr>
      <w:pStyle w:val="6"/>
      <w:pBdr>
        <w:bottom w:val="single" w:color="auto" w:sz="4" w:space="1"/>
      </w:pBdr>
      <w:ind w:firstLine="3300" w:firstLineChars="2200"/>
      <w:jc w:val="right"/>
    </w:pPr>
    <w:r>
      <w:rPr>
        <w:sz w:val="15"/>
      </w:rPr>
      <w:pict>
        <v:shape id="_x0000_s2055" o:spid="_x0000_s2055" o:spt="136" type="#_x0000_t136" style="position:absolute;left:0pt;margin-left:221.05pt;margin-top:200.25pt;height:36.2pt;width:190.45pt;mso-position-horizontal-relative:margin;mso-position-vertical-relative:margin;rotation:-2949120f;z-index:-251651072;mso-width-relative:page;mso-height-relative:page;" fillcolor="#C0C0C0" filled="t" stroked="f" coordsize="21600,21600" adj="10800">
          <v:path/>
          <v:fill on="t" color2="#FFFFFF" opacity="4587f" focussize="0,0"/>
          <v:stroke on="f"/>
          <v:imagedata o:title=""/>
          <o:lock v:ext="edit" aspectratio="t"/>
          <v:textpath on="t" fitshape="t" fitpath="t" trim="t" xscale="f" string="秦正价格评估" style="font-family:仿宋;font-size:36pt;v-same-letter-heights:f;v-text-align:center;"/>
        </v:shape>
      </w:pict>
    </w:r>
    <w:r>
      <w:rPr>
        <w:sz w:val="15"/>
      </w:rPr>
      <w:pict>
        <v:shape id="PowerPlusWaterMarkObject146155" o:spid="_x0000_s2054" o:spt="136" type="#_x0000_t136" style="position:absolute;left:0pt;margin-left:8.2pt;margin-top:193.25pt;height:36.2pt;width:190.45pt;mso-position-horizontal-relative:margin;mso-position-vertical-relative:margin;rotation:-2949120f;z-index:-251655168;mso-width-relative:page;mso-height-relative:page;" fillcolor="#C0C0C0" filled="t" stroked="f" coordsize="21600,21600" adj="10800">
          <v:path/>
          <v:fill on="t" color2="#FFFFFF" opacity="4587f" focussize="0,0"/>
          <v:stroke on="f"/>
          <v:imagedata o:title=""/>
          <o:lock v:ext="edit" aspectratio="t"/>
          <v:textpath on="t" fitshape="t" fitpath="t" trim="t" xscale="f" string="秦正价格评估" style="font-family:仿宋;font-size:36pt;v-same-letter-heights:f;v-text-align:center;"/>
        </v:shape>
      </w:pict>
    </w:r>
    <w:r>
      <w:rPr>
        <w:sz w:val="15"/>
      </w:rPr>
      <w:drawing>
        <wp:anchor distT="0" distB="0" distL="114300" distR="114300" simplePos="0" relativeHeight="251659264" behindDoc="1" locked="0" layoutInCell="1" allowOverlap="1">
          <wp:simplePos x="0" y="0"/>
          <wp:positionH relativeFrom="margin">
            <wp:align>right</wp:align>
          </wp:positionH>
          <wp:positionV relativeFrom="margin">
            <wp:align>bottom</wp:align>
          </wp:positionV>
          <wp:extent cx="576580" cy="591820"/>
          <wp:effectExtent l="0" t="0" r="7620" b="5080"/>
          <wp:wrapNone/>
          <wp:docPr id="3" name="WordPictureWatermark21492" descr="水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1492" descr="水印logo"/>
                  <pic:cNvPicPr>
                    <a:picLocks noChangeAspect="1"/>
                  </pic:cNvPicPr>
                </pic:nvPicPr>
                <pic:blipFill>
                  <a:blip r:embed="rId1">
                    <a:lum bright="70000" contrast="-70000"/>
                  </a:blip>
                  <a:stretch>
                    <a:fillRect/>
                  </a:stretch>
                </pic:blipFill>
                <pic:spPr>
                  <a:xfrm>
                    <a:off x="0" y="0"/>
                    <a:ext cx="576580" cy="591820"/>
                  </a:xfrm>
                  <a:prstGeom prst="rect">
                    <a:avLst/>
                  </a:prstGeom>
                </pic:spPr>
              </pic:pic>
            </a:graphicData>
          </a:graphic>
        </wp:anchor>
      </w:drawing>
    </w:r>
    <w:r>
      <w:rPr>
        <w:rFonts w:hint="eastAsia"/>
        <w:sz w:val="15"/>
        <w:szCs w:val="15"/>
      </w:rPr>
      <w:t>Shaanxi Qin Zheng price assessment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ED24"/>
    <w:multiLevelType w:val="singleLevel"/>
    <w:tmpl w:val="889EED24"/>
    <w:lvl w:ilvl="0" w:tentative="0">
      <w:start w:val="1"/>
      <w:numFmt w:val="bullet"/>
      <w:lvlText w:val=""/>
      <w:lvlJc w:val="left"/>
      <w:pPr>
        <w:ind w:left="420" w:hanging="420"/>
      </w:pPr>
      <w:rPr>
        <w:rFonts w:hint="default" w:ascii="Wingdings" w:hAnsi="Wingdings"/>
      </w:rPr>
    </w:lvl>
  </w:abstractNum>
  <w:abstractNum w:abstractNumId="1">
    <w:nsid w:val="A0AA7092"/>
    <w:multiLevelType w:val="singleLevel"/>
    <w:tmpl w:val="A0AA7092"/>
    <w:lvl w:ilvl="0" w:tentative="0">
      <w:start w:val="1"/>
      <w:numFmt w:val="decimal"/>
      <w:suff w:val="nothing"/>
      <w:lvlText w:val="%1、 "/>
      <w:lvlJc w:val="left"/>
      <w:pPr>
        <w:ind w:left="0" w:firstLine="403"/>
      </w:pPr>
      <w:rPr>
        <w:rFonts w:hint="default"/>
      </w:rPr>
    </w:lvl>
  </w:abstractNum>
  <w:abstractNum w:abstractNumId="2">
    <w:nsid w:val="AF4C5FB1"/>
    <w:multiLevelType w:val="singleLevel"/>
    <w:tmpl w:val="AF4C5FB1"/>
    <w:lvl w:ilvl="0" w:tentative="0">
      <w:start w:val="1"/>
      <w:numFmt w:val="lowerLetter"/>
      <w:lvlText w:val="%1."/>
      <w:lvlJc w:val="left"/>
      <w:pPr>
        <w:ind w:left="425" w:hanging="425"/>
      </w:pPr>
      <w:rPr>
        <w:rFonts w:hint="default"/>
      </w:rPr>
    </w:lvl>
  </w:abstractNum>
  <w:abstractNum w:abstractNumId="3">
    <w:nsid w:val="B0AFDC5E"/>
    <w:multiLevelType w:val="singleLevel"/>
    <w:tmpl w:val="B0AFDC5E"/>
    <w:lvl w:ilvl="0" w:tentative="0">
      <w:start w:val="1"/>
      <w:numFmt w:val="decimal"/>
      <w:lvlText w:val="(%1)"/>
      <w:lvlJc w:val="left"/>
      <w:pPr>
        <w:ind w:left="425" w:hanging="425"/>
      </w:pPr>
      <w:rPr>
        <w:rFonts w:hint="default"/>
      </w:rPr>
    </w:lvl>
  </w:abstractNum>
  <w:abstractNum w:abstractNumId="4">
    <w:nsid w:val="B448E484"/>
    <w:multiLevelType w:val="singleLevel"/>
    <w:tmpl w:val="B448E484"/>
    <w:lvl w:ilvl="0" w:tentative="0">
      <w:start w:val="1"/>
      <w:numFmt w:val="decimal"/>
      <w:suff w:val="nothing"/>
      <w:lvlText w:val=" %1、"/>
      <w:lvlJc w:val="left"/>
      <w:pPr>
        <w:tabs>
          <w:tab w:val="left" w:pos="0"/>
        </w:tabs>
        <w:ind w:left="0" w:firstLine="403"/>
      </w:pPr>
      <w:rPr>
        <w:rFonts w:hint="default" w:ascii="宋体" w:hAnsi="宋体" w:eastAsia="宋体" w:cs="宋体"/>
      </w:rPr>
    </w:lvl>
  </w:abstractNum>
  <w:abstractNum w:abstractNumId="5">
    <w:nsid w:val="CAB8B8E8"/>
    <w:multiLevelType w:val="singleLevel"/>
    <w:tmpl w:val="CAB8B8E8"/>
    <w:lvl w:ilvl="0" w:tentative="0">
      <w:start w:val="1"/>
      <w:numFmt w:val="decimal"/>
      <w:suff w:val="nothing"/>
      <w:lvlText w:val=" %1、"/>
      <w:lvlJc w:val="left"/>
      <w:pPr>
        <w:tabs>
          <w:tab w:val="left" w:pos="0"/>
        </w:tabs>
        <w:ind w:left="0" w:firstLine="403"/>
      </w:pPr>
      <w:rPr>
        <w:rFonts w:hint="default" w:ascii="宋体" w:hAnsi="宋体" w:eastAsia="宋体" w:cs="宋体"/>
      </w:rPr>
    </w:lvl>
  </w:abstractNum>
  <w:abstractNum w:abstractNumId="6">
    <w:nsid w:val="D4E276A6"/>
    <w:multiLevelType w:val="singleLevel"/>
    <w:tmpl w:val="D4E276A6"/>
    <w:lvl w:ilvl="0" w:tentative="0">
      <w:start w:val="1"/>
      <w:numFmt w:val="decimal"/>
      <w:suff w:val="nothing"/>
      <w:lvlText w:val=" %1、"/>
      <w:lvlJc w:val="left"/>
      <w:pPr>
        <w:tabs>
          <w:tab w:val="left" w:pos="0"/>
        </w:tabs>
        <w:ind w:left="0" w:firstLine="403"/>
      </w:pPr>
      <w:rPr>
        <w:rFonts w:hint="default" w:ascii="宋体" w:hAnsi="宋体" w:eastAsia="宋体" w:cs="宋体"/>
      </w:rPr>
    </w:lvl>
  </w:abstractNum>
  <w:abstractNum w:abstractNumId="7">
    <w:nsid w:val="D5ED22CB"/>
    <w:multiLevelType w:val="singleLevel"/>
    <w:tmpl w:val="D5ED22CB"/>
    <w:lvl w:ilvl="0" w:tentative="0">
      <w:start w:val="1"/>
      <w:numFmt w:val="decimal"/>
      <w:suff w:val="nothing"/>
      <w:lvlText w:val="%1、 "/>
      <w:lvlJc w:val="left"/>
      <w:pPr>
        <w:ind w:left="0" w:firstLine="403"/>
      </w:pPr>
      <w:rPr>
        <w:rFonts w:hint="default"/>
      </w:rPr>
    </w:lvl>
  </w:abstractNum>
  <w:abstractNum w:abstractNumId="8">
    <w:nsid w:val="D863DEF3"/>
    <w:multiLevelType w:val="singleLevel"/>
    <w:tmpl w:val="D863DEF3"/>
    <w:lvl w:ilvl="0" w:tentative="0">
      <w:start w:val="1"/>
      <w:numFmt w:val="chineseCounting"/>
      <w:suff w:val="nothing"/>
      <w:lvlText w:val="%1、"/>
      <w:lvlJc w:val="left"/>
      <w:rPr>
        <w:rFonts w:hint="eastAsia"/>
      </w:rPr>
    </w:lvl>
  </w:abstractNum>
  <w:abstractNum w:abstractNumId="9">
    <w:nsid w:val="FF240F7C"/>
    <w:multiLevelType w:val="singleLevel"/>
    <w:tmpl w:val="FF240F7C"/>
    <w:lvl w:ilvl="0" w:tentative="0">
      <w:start w:val="1"/>
      <w:numFmt w:val="decimalEnclosedCircleChinese"/>
      <w:suff w:val="nothing"/>
      <w:lvlText w:val="%1　"/>
      <w:lvlJc w:val="left"/>
      <w:pPr>
        <w:ind w:left="0" w:firstLine="400"/>
      </w:pPr>
      <w:rPr>
        <w:rFonts w:hint="eastAsia"/>
      </w:rPr>
    </w:lvl>
  </w:abstractNum>
  <w:abstractNum w:abstractNumId="10">
    <w:nsid w:val="0D8567BC"/>
    <w:multiLevelType w:val="singleLevel"/>
    <w:tmpl w:val="0D8567BC"/>
    <w:lvl w:ilvl="0" w:tentative="0">
      <w:start w:val="1"/>
      <w:numFmt w:val="decimalEnclosedCircleChinese"/>
      <w:suff w:val="nothing"/>
      <w:lvlText w:val="%1　"/>
      <w:lvlJc w:val="left"/>
      <w:pPr>
        <w:ind w:left="0" w:firstLine="400"/>
      </w:pPr>
      <w:rPr>
        <w:rFonts w:hint="eastAsia"/>
      </w:rPr>
    </w:lvl>
  </w:abstractNum>
  <w:abstractNum w:abstractNumId="11">
    <w:nsid w:val="233FA2AC"/>
    <w:multiLevelType w:val="singleLevel"/>
    <w:tmpl w:val="233FA2AC"/>
    <w:lvl w:ilvl="0" w:tentative="0">
      <w:start w:val="1"/>
      <w:numFmt w:val="chineseCounting"/>
      <w:suff w:val="nothing"/>
      <w:lvlText w:val="（%1）"/>
      <w:lvlJc w:val="left"/>
      <w:pPr>
        <w:ind w:left="0" w:firstLine="420"/>
      </w:pPr>
      <w:rPr>
        <w:rFonts w:hint="eastAsia"/>
      </w:rPr>
    </w:lvl>
  </w:abstractNum>
  <w:abstractNum w:abstractNumId="12">
    <w:nsid w:val="2C37BE63"/>
    <w:multiLevelType w:val="singleLevel"/>
    <w:tmpl w:val="2C37BE63"/>
    <w:lvl w:ilvl="0" w:tentative="0">
      <w:start w:val="1"/>
      <w:numFmt w:val="decimal"/>
      <w:suff w:val="nothing"/>
      <w:lvlText w:val=" %1、"/>
      <w:lvlJc w:val="left"/>
      <w:pPr>
        <w:tabs>
          <w:tab w:val="left" w:pos="0"/>
        </w:tabs>
        <w:ind w:left="0" w:firstLine="403"/>
      </w:pPr>
      <w:rPr>
        <w:rFonts w:hint="default" w:ascii="宋体" w:hAnsi="宋体" w:eastAsia="宋体" w:cs="宋体"/>
      </w:rPr>
    </w:lvl>
  </w:abstractNum>
  <w:abstractNum w:abstractNumId="13">
    <w:nsid w:val="4751203F"/>
    <w:multiLevelType w:val="singleLevel"/>
    <w:tmpl w:val="4751203F"/>
    <w:lvl w:ilvl="0" w:tentative="0">
      <w:start w:val="1"/>
      <w:numFmt w:val="decimal"/>
      <w:lvlText w:val="(%1)"/>
      <w:lvlJc w:val="left"/>
      <w:pPr>
        <w:ind w:left="425" w:hanging="425"/>
      </w:pPr>
      <w:rPr>
        <w:rFonts w:hint="default"/>
      </w:rPr>
    </w:lvl>
  </w:abstractNum>
  <w:abstractNum w:abstractNumId="14">
    <w:nsid w:val="5806640D"/>
    <w:multiLevelType w:val="singleLevel"/>
    <w:tmpl w:val="5806640D"/>
    <w:lvl w:ilvl="0" w:tentative="0">
      <w:start w:val="1"/>
      <w:numFmt w:val="decimal"/>
      <w:suff w:val="nothing"/>
      <w:lvlText w:val="%1、 "/>
      <w:lvlJc w:val="left"/>
      <w:pPr>
        <w:ind w:left="0" w:firstLine="403"/>
      </w:pPr>
      <w:rPr>
        <w:rFonts w:hint="default"/>
      </w:rPr>
    </w:lvl>
  </w:abstractNum>
  <w:abstractNum w:abstractNumId="15">
    <w:nsid w:val="5E3F71CE"/>
    <w:multiLevelType w:val="multilevel"/>
    <w:tmpl w:val="5E3F71CE"/>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6">
    <w:nsid w:val="639725CD"/>
    <w:multiLevelType w:val="singleLevel"/>
    <w:tmpl w:val="639725CD"/>
    <w:lvl w:ilvl="0" w:tentative="0">
      <w:start w:val="1"/>
      <w:numFmt w:val="upperLetter"/>
      <w:lvlText w:val="%1."/>
      <w:lvlJc w:val="left"/>
      <w:pPr>
        <w:ind w:left="425" w:hanging="425"/>
      </w:pPr>
      <w:rPr>
        <w:rFonts w:hint="default"/>
      </w:rPr>
    </w:lvl>
  </w:abstractNum>
  <w:abstractNum w:abstractNumId="17">
    <w:nsid w:val="63F4DBC6"/>
    <w:multiLevelType w:val="singleLevel"/>
    <w:tmpl w:val="63F4DBC6"/>
    <w:lvl w:ilvl="0" w:tentative="0">
      <w:start w:val="1"/>
      <w:numFmt w:val="decimal"/>
      <w:suff w:val="nothing"/>
      <w:lvlText w:val=" %1、"/>
      <w:lvlJc w:val="left"/>
      <w:pPr>
        <w:tabs>
          <w:tab w:val="left" w:pos="0"/>
        </w:tabs>
        <w:ind w:left="0" w:firstLine="403"/>
      </w:pPr>
      <w:rPr>
        <w:rFonts w:hint="default" w:ascii="宋体" w:hAnsi="宋体" w:eastAsia="宋体" w:cs="宋体"/>
      </w:rPr>
    </w:lvl>
  </w:abstractNum>
  <w:abstractNum w:abstractNumId="18">
    <w:nsid w:val="7045D223"/>
    <w:multiLevelType w:val="singleLevel"/>
    <w:tmpl w:val="7045D223"/>
    <w:lvl w:ilvl="0" w:tentative="0">
      <w:start w:val="1"/>
      <w:numFmt w:val="lowerLetter"/>
      <w:lvlText w:val="%1."/>
      <w:lvlJc w:val="left"/>
      <w:pPr>
        <w:ind w:left="425" w:hanging="425"/>
      </w:pPr>
      <w:rPr>
        <w:rFonts w:hint="default"/>
      </w:rPr>
    </w:lvl>
  </w:abstractNum>
  <w:num w:numId="1">
    <w:abstractNumId w:val="15"/>
  </w:num>
  <w:num w:numId="2">
    <w:abstractNumId w:val="11"/>
  </w:num>
  <w:num w:numId="3">
    <w:abstractNumId w:val="4"/>
  </w:num>
  <w:num w:numId="4">
    <w:abstractNumId w:val="6"/>
  </w:num>
  <w:num w:numId="5">
    <w:abstractNumId w:val="5"/>
  </w:num>
  <w:num w:numId="6">
    <w:abstractNumId w:val="12"/>
  </w:num>
  <w:num w:numId="7">
    <w:abstractNumId w:val="17"/>
  </w:num>
  <w:num w:numId="8">
    <w:abstractNumId w:val="7"/>
  </w:num>
  <w:num w:numId="9">
    <w:abstractNumId w:val="8"/>
  </w:num>
  <w:num w:numId="10">
    <w:abstractNumId w:val="14"/>
  </w:num>
  <w:num w:numId="11">
    <w:abstractNumId w:val="1"/>
  </w:num>
  <w:num w:numId="12">
    <w:abstractNumId w:val="3"/>
  </w:num>
  <w:num w:numId="13">
    <w:abstractNumId w:val="13"/>
  </w:num>
  <w:num w:numId="14">
    <w:abstractNumId w:val="9"/>
  </w:num>
  <w:num w:numId="15">
    <w:abstractNumId w:val="10"/>
  </w:num>
  <w:num w:numId="16">
    <w:abstractNumId w:val="16"/>
  </w:num>
  <w:num w:numId="17">
    <w:abstractNumId w:val="1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B3"/>
    <w:rsid w:val="0000757A"/>
    <w:rsid w:val="000075FA"/>
    <w:rsid w:val="0000760F"/>
    <w:rsid w:val="00010693"/>
    <w:rsid w:val="000176E5"/>
    <w:rsid w:val="00022498"/>
    <w:rsid w:val="00023E70"/>
    <w:rsid w:val="000261CC"/>
    <w:rsid w:val="00034B97"/>
    <w:rsid w:val="00061590"/>
    <w:rsid w:val="000742C9"/>
    <w:rsid w:val="00084FC6"/>
    <w:rsid w:val="00094C9A"/>
    <w:rsid w:val="000A17CA"/>
    <w:rsid w:val="000A3541"/>
    <w:rsid w:val="000B1254"/>
    <w:rsid w:val="000C0A31"/>
    <w:rsid w:val="000C27B2"/>
    <w:rsid w:val="000C50C7"/>
    <w:rsid w:val="000D2240"/>
    <w:rsid w:val="000F4900"/>
    <w:rsid w:val="001051A8"/>
    <w:rsid w:val="001101D5"/>
    <w:rsid w:val="00117936"/>
    <w:rsid w:val="0012468F"/>
    <w:rsid w:val="00131C3D"/>
    <w:rsid w:val="001359D4"/>
    <w:rsid w:val="0014141A"/>
    <w:rsid w:val="00151555"/>
    <w:rsid w:val="00154A1E"/>
    <w:rsid w:val="001550E3"/>
    <w:rsid w:val="00160F61"/>
    <w:rsid w:val="001B13E5"/>
    <w:rsid w:val="001C14BC"/>
    <w:rsid w:val="001C5E45"/>
    <w:rsid w:val="001D48F9"/>
    <w:rsid w:val="001D71E9"/>
    <w:rsid w:val="001E0333"/>
    <w:rsid w:val="001E30D1"/>
    <w:rsid w:val="001F43BF"/>
    <w:rsid w:val="00207568"/>
    <w:rsid w:val="00216904"/>
    <w:rsid w:val="00222F47"/>
    <w:rsid w:val="00224386"/>
    <w:rsid w:val="00233AE1"/>
    <w:rsid w:val="00242F7A"/>
    <w:rsid w:val="00243878"/>
    <w:rsid w:val="0024702E"/>
    <w:rsid w:val="00251FEE"/>
    <w:rsid w:val="00261782"/>
    <w:rsid w:val="00263F14"/>
    <w:rsid w:val="00265F72"/>
    <w:rsid w:val="002719C8"/>
    <w:rsid w:val="002751A8"/>
    <w:rsid w:val="00297402"/>
    <w:rsid w:val="002B639A"/>
    <w:rsid w:val="002B6785"/>
    <w:rsid w:val="002D0F5F"/>
    <w:rsid w:val="002D74C3"/>
    <w:rsid w:val="002E2284"/>
    <w:rsid w:val="002F144B"/>
    <w:rsid w:val="002F3F97"/>
    <w:rsid w:val="00316772"/>
    <w:rsid w:val="0032043A"/>
    <w:rsid w:val="00336432"/>
    <w:rsid w:val="00337E6D"/>
    <w:rsid w:val="00351C34"/>
    <w:rsid w:val="00386052"/>
    <w:rsid w:val="00392196"/>
    <w:rsid w:val="00394DC2"/>
    <w:rsid w:val="003A6986"/>
    <w:rsid w:val="003C4A5D"/>
    <w:rsid w:val="003D2D19"/>
    <w:rsid w:val="003D2E93"/>
    <w:rsid w:val="003D4E8E"/>
    <w:rsid w:val="003E0A69"/>
    <w:rsid w:val="00416F7E"/>
    <w:rsid w:val="00423226"/>
    <w:rsid w:val="00425B91"/>
    <w:rsid w:val="00463B12"/>
    <w:rsid w:val="004662BA"/>
    <w:rsid w:val="00470166"/>
    <w:rsid w:val="00470D48"/>
    <w:rsid w:val="00473B7A"/>
    <w:rsid w:val="004C0499"/>
    <w:rsid w:val="004C2210"/>
    <w:rsid w:val="004E7C3D"/>
    <w:rsid w:val="005074C1"/>
    <w:rsid w:val="005136A1"/>
    <w:rsid w:val="00525E6D"/>
    <w:rsid w:val="00530A00"/>
    <w:rsid w:val="00530B4E"/>
    <w:rsid w:val="00531468"/>
    <w:rsid w:val="00551712"/>
    <w:rsid w:val="00556F4E"/>
    <w:rsid w:val="0057664A"/>
    <w:rsid w:val="005867E4"/>
    <w:rsid w:val="005A221C"/>
    <w:rsid w:val="005A5B5B"/>
    <w:rsid w:val="005B73CA"/>
    <w:rsid w:val="005D4522"/>
    <w:rsid w:val="005D4D69"/>
    <w:rsid w:val="005D55F7"/>
    <w:rsid w:val="005D6D79"/>
    <w:rsid w:val="005F3244"/>
    <w:rsid w:val="00602E89"/>
    <w:rsid w:val="00613A14"/>
    <w:rsid w:val="00673F97"/>
    <w:rsid w:val="00695595"/>
    <w:rsid w:val="006A07DC"/>
    <w:rsid w:val="006A39B1"/>
    <w:rsid w:val="006B7044"/>
    <w:rsid w:val="006C356C"/>
    <w:rsid w:val="006D0B65"/>
    <w:rsid w:val="006D475F"/>
    <w:rsid w:val="006D4D3A"/>
    <w:rsid w:val="006D587F"/>
    <w:rsid w:val="006D61B4"/>
    <w:rsid w:val="006E106C"/>
    <w:rsid w:val="006E7EB9"/>
    <w:rsid w:val="007007A4"/>
    <w:rsid w:val="00707534"/>
    <w:rsid w:val="00724907"/>
    <w:rsid w:val="00731F82"/>
    <w:rsid w:val="00742E94"/>
    <w:rsid w:val="00756D3E"/>
    <w:rsid w:val="007812B8"/>
    <w:rsid w:val="0078735A"/>
    <w:rsid w:val="00795167"/>
    <w:rsid w:val="007C16E3"/>
    <w:rsid w:val="007D396C"/>
    <w:rsid w:val="007D4CAC"/>
    <w:rsid w:val="007E3F52"/>
    <w:rsid w:val="007F5E40"/>
    <w:rsid w:val="00802EB5"/>
    <w:rsid w:val="00803149"/>
    <w:rsid w:val="0087205A"/>
    <w:rsid w:val="00877948"/>
    <w:rsid w:val="00883138"/>
    <w:rsid w:val="00890749"/>
    <w:rsid w:val="00891038"/>
    <w:rsid w:val="0089231C"/>
    <w:rsid w:val="008938D4"/>
    <w:rsid w:val="008A533F"/>
    <w:rsid w:val="008B1F93"/>
    <w:rsid w:val="008B6C3B"/>
    <w:rsid w:val="008D0557"/>
    <w:rsid w:val="008D14A5"/>
    <w:rsid w:val="008E40FA"/>
    <w:rsid w:val="008F048C"/>
    <w:rsid w:val="008F3E92"/>
    <w:rsid w:val="00920D16"/>
    <w:rsid w:val="00937DF0"/>
    <w:rsid w:val="00941818"/>
    <w:rsid w:val="00952A37"/>
    <w:rsid w:val="00963CC9"/>
    <w:rsid w:val="00990BF5"/>
    <w:rsid w:val="00993F8E"/>
    <w:rsid w:val="009A1427"/>
    <w:rsid w:val="009B5982"/>
    <w:rsid w:val="009C586F"/>
    <w:rsid w:val="009D6E2A"/>
    <w:rsid w:val="009E36DB"/>
    <w:rsid w:val="009F60BC"/>
    <w:rsid w:val="00A05E81"/>
    <w:rsid w:val="00A06D3E"/>
    <w:rsid w:val="00A14033"/>
    <w:rsid w:val="00A21776"/>
    <w:rsid w:val="00A270D5"/>
    <w:rsid w:val="00A41A9D"/>
    <w:rsid w:val="00A44443"/>
    <w:rsid w:val="00A506C4"/>
    <w:rsid w:val="00A600BE"/>
    <w:rsid w:val="00A61BF6"/>
    <w:rsid w:val="00A7131F"/>
    <w:rsid w:val="00A73283"/>
    <w:rsid w:val="00A75380"/>
    <w:rsid w:val="00AB1489"/>
    <w:rsid w:val="00AB621C"/>
    <w:rsid w:val="00AB78D9"/>
    <w:rsid w:val="00AC45E2"/>
    <w:rsid w:val="00AD2D41"/>
    <w:rsid w:val="00AD3EF1"/>
    <w:rsid w:val="00AE06BE"/>
    <w:rsid w:val="00AE0B06"/>
    <w:rsid w:val="00AE3E12"/>
    <w:rsid w:val="00AF2E87"/>
    <w:rsid w:val="00B145BB"/>
    <w:rsid w:val="00B2166E"/>
    <w:rsid w:val="00B234A3"/>
    <w:rsid w:val="00B26D5D"/>
    <w:rsid w:val="00B34BCF"/>
    <w:rsid w:val="00B54ADF"/>
    <w:rsid w:val="00B60CD0"/>
    <w:rsid w:val="00B67CDD"/>
    <w:rsid w:val="00B82194"/>
    <w:rsid w:val="00B852E6"/>
    <w:rsid w:val="00B85386"/>
    <w:rsid w:val="00B97C37"/>
    <w:rsid w:val="00BA307E"/>
    <w:rsid w:val="00BA623A"/>
    <w:rsid w:val="00BC4841"/>
    <w:rsid w:val="00BD3358"/>
    <w:rsid w:val="00BD74B0"/>
    <w:rsid w:val="00BE325D"/>
    <w:rsid w:val="00BE44CE"/>
    <w:rsid w:val="00BF1DE1"/>
    <w:rsid w:val="00BF721A"/>
    <w:rsid w:val="00C004D4"/>
    <w:rsid w:val="00C038D5"/>
    <w:rsid w:val="00C12532"/>
    <w:rsid w:val="00C20EF0"/>
    <w:rsid w:val="00C248E4"/>
    <w:rsid w:val="00C411F4"/>
    <w:rsid w:val="00C459AE"/>
    <w:rsid w:val="00C51B94"/>
    <w:rsid w:val="00C55243"/>
    <w:rsid w:val="00C56E8A"/>
    <w:rsid w:val="00C66AC4"/>
    <w:rsid w:val="00C72729"/>
    <w:rsid w:val="00C74EA6"/>
    <w:rsid w:val="00C76A95"/>
    <w:rsid w:val="00C77D8B"/>
    <w:rsid w:val="00C86E98"/>
    <w:rsid w:val="00C91371"/>
    <w:rsid w:val="00CA1503"/>
    <w:rsid w:val="00CC2AF3"/>
    <w:rsid w:val="00CC3380"/>
    <w:rsid w:val="00CD15D8"/>
    <w:rsid w:val="00CD5857"/>
    <w:rsid w:val="00CE5E0C"/>
    <w:rsid w:val="00CF48C9"/>
    <w:rsid w:val="00CF7A67"/>
    <w:rsid w:val="00D04EE0"/>
    <w:rsid w:val="00D25B75"/>
    <w:rsid w:val="00D431F9"/>
    <w:rsid w:val="00D85F86"/>
    <w:rsid w:val="00D96450"/>
    <w:rsid w:val="00D973E3"/>
    <w:rsid w:val="00DA2EB9"/>
    <w:rsid w:val="00DB75BD"/>
    <w:rsid w:val="00DC633D"/>
    <w:rsid w:val="00DD3043"/>
    <w:rsid w:val="00DD72EE"/>
    <w:rsid w:val="00DF754F"/>
    <w:rsid w:val="00DF7A00"/>
    <w:rsid w:val="00E039C1"/>
    <w:rsid w:val="00E119B3"/>
    <w:rsid w:val="00E24F7E"/>
    <w:rsid w:val="00E566FE"/>
    <w:rsid w:val="00E575F0"/>
    <w:rsid w:val="00E63DE2"/>
    <w:rsid w:val="00E70123"/>
    <w:rsid w:val="00E755EF"/>
    <w:rsid w:val="00E90ADA"/>
    <w:rsid w:val="00EA1060"/>
    <w:rsid w:val="00EA293D"/>
    <w:rsid w:val="00EA715D"/>
    <w:rsid w:val="00EC5F58"/>
    <w:rsid w:val="00EE25C5"/>
    <w:rsid w:val="00EF4F96"/>
    <w:rsid w:val="00EF6B52"/>
    <w:rsid w:val="00EF7614"/>
    <w:rsid w:val="00EF7F1C"/>
    <w:rsid w:val="00F0094C"/>
    <w:rsid w:val="00F12299"/>
    <w:rsid w:val="00F1344A"/>
    <w:rsid w:val="00F2472A"/>
    <w:rsid w:val="00F27A73"/>
    <w:rsid w:val="00F31DC6"/>
    <w:rsid w:val="00F40299"/>
    <w:rsid w:val="00F6695D"/>
    <w:rsid w:val="00F735BC"/>
    <w:rsid w:val="00F82F2C"/>
    <w:rsid w:val="00F84650"/>
    <w:rsid w:val="00FA073D"/>
    <w:rsid w:val="00FA150E"/>
    <w:rsid w:val="00FB597D"/>
    <w:rsid w:val="00FB774C"/>
    <w:rsid w:val="00FC4631"/>
    <w:rsid w:val="00FD3781"/>
    <w:rsid w:val="00FF1D09"/>
    <w:rsid w:val="00FF25B8"/>
    <w:rsid w:val="010F65E0"/>
    <w:rsid w:val="0114384F"/>
    <w:rsid w:val="013246B0"/>
    <w:rsid w:val="017F71A6"/>
    <w:rsid w:val="032400C1"/>
    <w:rsid w:val="03AB35D5"/>
    <w:rsid w:val="03BA36A2"/>
    <w:rsid w:val="0490393A"/>
    <w:rsid w:val="04B541F3"/>
    <w:rsid w:val="04C831AF"/>
    <w:rsid w:val="04EA088E"/>
    <w:rsid w:val="05007615"/>
    <w:rsid w:val="050C020C"/>
    <w:rsid w:val="052422CF"/>
    <w:rsid w:val="05AC22FA"/>
    <w:rsid w:val="05D222CE"/>
    <w:rsid w:val="06587884"/>
    <w:rsid w:val="066C607E"/>
    <w:rsid w:val="06753C2C"/>
    <w:rsid w:val="074F65F7"/>
    <w:rsid w:val="07617A66"/>
    <w:rsid w:val="07E92CFA"/>
    <w:rsid w:val="085761E3"/>
    <w:rsid w:val="086A676E"/>
    <w:rsid w:val="086F59D8"/>
    <w:rsid w:val="088E05F0"/>
    <w:rsid w:val="08BE254A"/>
    <w:rsid w:val="08F11FF3"/>
    <w:rsid w:val="09770659"/>
    <w:rsid w:val="09F91340"/>
    <w:rsid w:val="0A3B3C6C"/>
    <w:rsid w:val="0A98034F"/>
    <w:rsid w:val="0B06048A"/>
    <w:rsid w:val="0B211A3B"/>
    <w:rsid w:val="0B556AC1"/>
    <w:rsid w:val="0BDE1CDF"/>
    <w:rsid w:val="0BEE6311"/>
    <w:rsid w:val="0C9B5B33"/>
    <w:rsid w:val="0D0630C3"/>
    <w:rsid w:val="0D2C0648"/>
    <w:rsid w:val="0D5801F9"/>
    <w:rsid w:val="0DCA0525"/>
    <w:rsid w:val="0DE576FD"/>
    <w:rsid w:val="0E3F1E7E"/>
    <w:rsid w:val="0E4146FF"/>
    <w:rsid w:val="0F816268"/>
    <w:rsid w:val="0F872893"/>
    <w:rsid w:val="0FD74972"/>
    <w:rsid w:val="10A550BF"/>
    <w:rsid w:val="10C55122"/>
    <w:rsid w:val="111A6987"/>
    <w:rsid w:val="113F0637"/>
    <w:rsid w:val="11480470"/>
    <w:rsid w:val="11D14C3C"/>
    <w:rsid w:val="11F52144"/>
    <w:rsid w:val="12122C51"/>
    <w:rsid w:val="12726928"/>
    <w:rsid w:val="127B1C67"/>
    <w:rsid w:val="12870732"/>
    <w:rsid w:val="12873DB6"/>
    <w:rsid w:val="12AA51BE"/>
    <w:rsid w:val="138616D7"/>
    <w:rsid w:val="13B22800"/>
    <w:rsid w:val="13B34FFF"/>
    <w:rsid w:val="140B0CB8"/>
    <w:rsid w:val="144A4E30"/>
    <w:rsid w:val="145C6B6E"/>
    <w:rsid w:val="146D6DEC"/>
    <w:rsid w:val="14D164DB"/>
    <w:rsid w:val="14E936D7"/>
    <w:rsid w:val="15122E0D"/>
    <w:rsid w:val="15311D69"/>
    <w:rsid w:val="153B1865"/>
    <w:rsid w:val="154524AB"/>
    <w:rsid w:val="160A5D6E"/>
    <w:rsid w:val="16A840AA"/>
    <w:rsid w:val="16D75BEF"/>
    <w:rsid w:val="170672DB"/>
    <w:rsid w:val="178D05FB"/>
    <w:rsid w:val="183C4D34"/>
    <w:rsid w:val="18863C4A"/>
    <w:rsid w:val="196F0142"/>
    <w:rsid w:val="19826C18"/>
    <w:rsid w:val="19C87169"/>
    <w:rsid w:val="1A041717"/>
    <w:rsid w:val="1A086166"/>
    <w:rsid w:val="1A193D44"/>
    <w:rsid w:val="1A4F3920"/>
    <w:rsid w:val="1AE362EC"/>
    <w:rsid w:val="1B1106F9"/>
    <w:rsid w:val="1B230692"/>
    <w:rsid w:val="1B6E6F55"/>
    <w:rsid w:val="1B7D6B47"/>
    <w:rsid w:val="1B93298D"/>
    <w:rsid w:val="1BC10A2B"/>
    <w:rsid w:val="1BC13BF9"/>
    <w:rsid w:val="1BD9108F"/>
    <w:rsid w:val="1BF604FB"/>
    <w:rsid w:val="1C0D5DB5"/>
    <w:rsid w:val="1C116EF6"/>
    <w:rsid w:val="1C205EA3"/>
    <w:rsid w:val="1CBF0C52"/>
    <w:rsid w:val="1CD53612"/>
    <w:rsid w:val="1CD82D7E"/>
    <w:rsid w:val="1CDA109A"/>
    <w:rsid w:val="1CFD1AE9"/>
    <w:rsid w:val="1D0B50E5"/>
    <w:rsid w:val="1D7A0C3A"/>
    <w:rsid w:val="1D88072D"/>
    <w:rsid w:val="1DDB6FD4"/>
    <w:rsid w:val="1E056EDD"/>
    <w:rsid w:val="1E1866DF"/>
    <w:rsid w:val="1E1C3828"/>
    <w:rsid w:val="1ED9740C"/>
    <w:rsid w:val="1F6367A0"/>
    <w:rsid w:val="1F6E7E2D"/>
    <w:rsid w:val="20550375"/>
    <w:rsid w:val="206C06E2"/>
    <w:rsid w:val="20C77C56"/>
    <w:rsid w:val="210635AB"/>
    <w:rsid w:val="21724F9F"/>
    <w:rsid w:val="218C052B"/>
    <w:rsid w:val="21A43817"/>
    <w:rsid w:val="21F12209"/>
    <w:rsid w:val="229F3F85"/>
    <w:rsid w:val="22BE2C2E"/>
    <w:rsid w:val="22E470B2"/>
    <w:rsid w:val="235729FF"/>
    <w:rsid w:val="235D5958"/>
    <w:rsid w:val="236342A5"/>
    <w:rsid w:val="23AB6B7A"/>
    <w:rsid w:val="23F151CC"/>
    <w:rsid w:val="24002CD5"/>
    <w:rsid w:val="24470794"/>
    <w:rsid w:val="249C3923"/>
    <w:rsid w:val="24CA135C"/>
    <w:rsid w:val="24FB16CF"/>
    <w:rsid w:val="24FD7622"/>
    <w:rsid w:val="25AB4AE9"/>
    <w:rsid w:val="25DE02C2"/>
    <w:rsid w:val="265D78F7"/>
    <w:rsid w:val="26701C49"/>
    <w:rsid w:val="26D8466D"/>
    <w:rsid w:val="27B03DAA"/>
    <w:rsid w:val="281E011D"/>
    <w:rsid w:val="282D2CB7"/>
    <w:rsid w:val="284638A5"/>
    <w:rsid w:val="28740B8A"/>
    <w:rsid w:val="29002CF4"/>
    <w:rsid w:val="29257728"/>
    <w:rsid w:val="292B4267"/>
    <w:rsid w:val="29763AC2"/>
    <w:rsid w:val="29AE0B28"/>
    <w:rsid w:val="2A2E7B35"/>
    <w:rsid w:val="2AC06245"/>
    <w:rsid w:val="2B456F05"/>
    <w:rsid w:val="2B7621BE"/>
    <w:rsid w:val="2C4056D2"/>
    <w:rsid w:val="2C99146C"/>
    <w:rsid w:val="2CD67707"/>
    <w:rsid w:val="2D5B1A90"/>
    <w:rsid w:val="2EA830C6"/>
    <w:rsid w:val="2ED34C30"/>
    <w:rsid w:val="2ED56318"/>
    <w:rsid w:val="2EE2576F"/>
    <w:rsid w:val="2EFB6D8A"/>
    <w:rsid w:val="2FAE25B8"/>
    <w:rsid w:val="3049298A"/>
    <w:rsid w:val="305A67D8"/>
    <w:rsid w:val="31152A42"/>
    <w:rsid w:val="316036D9"/>
    <w:rsid w:val="31761247"/>
    <w:rsid w:val="318143CE"/>
    <w:rsid w:val="3221429E"/>
    <w:rsid w:val="327B3301"/>
    <w:rsid w:val="329839EA"/>
    <w:rsid w:val="32EE5A0D"/>
    <w:rsid w:val="33BE690C"/>
    <w:rsid w:val="33EC63BF"/>
    <w:rsid w:val="33EF533C"/>
    <w:rsid w:val="350769A2"/>
    <w:rsid w:val="351C0FF8"/>
    <w:rsid w:val="3589028E"/>
    <w:rsid w:val="35AE7A64"/>
    <w:rsid w:val="35B44648"/>
    <w:rsid w:val="35C51FFE"/>
    <w:rsid w:val="35C9531C"/>
    <w:rsid w:val="35DB4A34"/>
    <w:rsid w:val="36A21579"/>
    <w:rsid w:val="37033EB3"/>
    <w:rsid w:val="370A7F09"/>
    <w:rsid w:val="378D1E10"/>
    <w:rsid w:val="37BD0EBE"/>
    <w:rsid w:val="37E714CD"/>
    <w:rsid w:val="38953AD8"/>
    <w:rsid w:val="38B9045C"/>
    <w:rsid w:val="38DD47B6"/>
    <w:rsid w:val="398C3123"/>
    <w:rsid w:val="39E132A0"/>
    <w:rsid w:val="3ACA0DC7"/>
    <w:rsid w:val="3AD415D4"/>
    <w:rsid w:val="3AFB4931"/>
    <w:rsid w:val="3B4168E1"/>
    <w:rsid w:val="3B966838"/>
    <w:rsid w:val="3BCD447D"/>
    <w:rsid w:val="3C274DFB"/>
    <w:rsid w:val="3C5E2969"/>
    <w:rsid w:val="3DC310E7"/>
    <w:rsid w:val="3DD1006B"/>
    <w:rsid w:val="3DF82D4A"/>
    <w:rsid w:val="3E664E39"/>
    <w:rsid w:val="3E8A1CD2"/>
    <w:rsid w:val="3E946594"/>
    <w:rsid w:val="3EDC5E8C"/>
    <w:rsid w:val="3EFC6719"/>
    <w:rsid w:val="3F4C2D0E"/>
    <w:rsid w:val="3F6A29D9"/>
    <w:rsid w:val="3FE11696"/>
    <w:rsid w:val="407524BD"/>
    <w:rsid w:val="40D725D3"/>
    <w:rsid w:val="41405284"/>
    <w:rsid w:val="417C4826"/>
    <w:rsid w:val="42C54DD9"/>
    <w:rsid w:val="42D450E7"/>
    <w:rsid w:val="42F207A0"/>
    <w:rsid w:val="434302F3"/>
    <w:rsid w:val="4365100D"/>
    <w:rsid w:val="44E545DD"/>
    <w:rsid w:val="4552205D"/>
    <w:rsid w:val="462253AB"/>
    <w:rsid w:val="46612175"/>
    <w:rsid w:val="46CC782B"/>
    <w:rsid w:val="472A4ED9"/>
    <w:rsid w:val="47543CB4"/>
    <w:rsid w:val="47730CB1"/>
    <w:rsid w:val="47D27717"/>
    <w:rsid w:val="47F870EE"/>
    <w:rsid w:val="48095496"/>
    <w:rsid w:val="486D64ED"/>
    <w:rsid w:val="48DD1CEE"/>
    <w:rsid w:val="49C122F1"/>
    <w:rsid w:val="49EC5454"/>
    <w:rsid w:val="4B0D26AB"/>
    <w:rsid w:val="4B5875B4"/>
    <w:rsid w:val="4C502433"/>
    <w:rsid w:val="4C8F453E"/>
    <w:rsid w:val="4D4073CB"/>
    <w:rsid w:val="4D74120C"/>
    <w:rsid w:val="4D7B32E4"/>
    <w:rsid w:val="4DD174E2"/>
    <w:rsid w:val="4E181DEB"/>
    <w:rsid w:val="4E294080"/>
    <w:rsid w:val="4E7F2FBB"/>
    <w:rsid w:val="4EA13B18"/>
    <w:rsid w:val="4ED95F3C"/>
    <w:rsid w:val="4EE61EA6"/>
    <w:rsid w:val="4F831F51"/>
    <w:rsid w:val="500E3145"/>
    <w:rsid w:val="504416F4"/>
    <w:rsid w:val="505B28BC"/>
    <w:rsid w:val="50AF74A8"/>
    <w:rsid w:val="511F0C14"/>
    <w:rsid w:val="52252311"/>
    <w:rsid w:val="523569BB"/>
    <w:rsid w:val="528418EE"/>
    <w:rsid w:val="5357649B"/>
    <w:rsid w:val="5382492C"/>
    <w:rsid w:val="538557A6"/>
    <w:rsid w:val="53A87A02"/>
    <w:rsid w:val="546A3AEF"/>
    <w:rsid w:val="54CF1346"/>
    <w:rsid w:val="54E1116C"/>
    <w:rsid w:val="551E5C4D"/>
    <w:rsid w:val="55603E0F"/>
    <w:rsid w:val="55D95C39"/>
    <w:rsid w:val="572D51C1"/>
    <w:rsid w:val="57C07636"/>
    <w:rsid w:val="57CF20AD"/>
    <w:rsid w:val="57F37AA4"/>
    <w:rsid w:val="58ED7784"/>
    <w:rsid w:val="595F2AD4"/>
    <w:rsid w:val="597961E5"/>
    <w:rsid w:val="59ED6079"/>
    <w:rsid w:val="59FE3072"/>
    <w:rsid w:val="5A9231FB"/>
    <w:rsid w:val="5AB41EAE"/>
    <w:rsid w:val="5AF32348"/>
    <w:rsid w:val="5B9A221E"/>
    <w:rsid w:val="5BD0498E"/>
    <w:rsid w:val="5C236AE6"/>
    <w:rsid w:val="5CCC000E"/>
    <w:rsid w:val="5D500C5C"/>
    <w:rsid w:val="5D53120E"/>
    <w:rsid w:val="5DD25116"/>
    <w:rsid w:val="5E2F34BE"/>
    <w:rsid w:val="5E600CED"/>
    <w:rsid w:val="5E7D4662"/>
    <w:rsid w:val="5E880D7A"/>
    <w:rsid w:val="5F071D0F"/>
    <w:rsid w:val="5F30645C"/>
    <w:rsid w:val="5F4D6F58"/>
    <w:rsid w:val="5FA117DE"/>
    <w:rsid w:val="60535814"/>
    <w:rsid w:val="61227948"/>
    <w:rsid w:val="61ED740B"/>
    <w:rsid w:val="61FD2535"/>
    <w:rsid w:val="624C5D93"/>
    <w:rsid w:val="624C6BC4"/>
    <w:rsid w:val="628A5F4C"/>
    <w:rsid w:val="62FB2F1E"/>
    <w:rsid w:val="637E6DF7"/>
    <w:rsid w:val="63AB55C2"/>
    <w:rsid w:val="63C46155"/>
    <w:rsid w:val="63F17109"/>
    <w:rsid w:val="6422287B"/>
    <w:rsid w:val="64591E32"/>
    <w:rsid w:val="648A2633"/>
    <w:rsid w:val="65070599"/>
    <w:rsid w:val="65B111EB"/>
    <w:rsid w:val="66496200"/>
    <w:rsid w:val="66C6748A"/>
    <w:rsid w:val="67003192"/>
    <w:rsid w:val="67390AFE"/>
    <w:rsid w:val="674153CE"/>
    <w:rsid w:val="67535FA1"/>
    <w:rsid w:val="679174AB"/>
    <w:rsid w:val="685825BE"/>
    <w:rsid w:val="68C9184A"/>
    <w:rsid w:val="68F952C3"/>
    <w:rsid w:val="692D215A"/>
    <w:rsid w:val="692F7EB4"/>
    <w:rsid w:val="6935054A"/>
    <w:rsid w:val="694C4BB5"/>
    <w:rsid w:val="69C67894"/>
    <w:rsid w:val="6A43291E"/>
    <w:rsid w:val="6A7D2D37"/>
    <w:rsid w:val="6A7E5E03"/>
    <w:rsid w:val="6AB21D23"/>
    <w:rsid w:val="6AB77162"/>
    <w:rsid w:val="6B063C39"/>
    <w:rsid w:val="6B9D2C82"/>
    <w:rsid w:val="6BC4033E"/>
    <w:rsid w:val="6BFD41F6"/>
    <w:rsid w:val="6C633A7E"/>
    <w:rsid w:val="6CCD63BC"/>
    <w:rsid w:val="6D2540AB"/>
    <w:rsid w:val="6D346591"/>
    <w:rsid w:val="6D665E58"/>
    <w:rsid w:val="6DAE18C0"/>
    <w:rsid w:val="6DC949E5"/>
    <w:rsid w:val="6E66389E"/>
    <w:rsid w:val="6EAF645B"/>
    <w:rsid w:val="6F2A5321"/>
    <w:rsid w:val="6F325F51"/>
    <w:rsid w:val="6F514770"/>
    <w:rsid w:val="6F645656"/>
    <w:rsid w:val="6F6C7225"/>
    <w:rsid w:val="6F8A1A44"/>
    <w:rsid w:val="6FC90567"/>
    <w:rsid w:val="70307642"/>
    <w:rsid w:val="70C04795"/>
    <w:rsid w:val="70F00FFD"/>
    <w:rsid w:val="71317850"/>
    <w:rsid w:val="713B0F49"/>
    <w:rsid w:val="713F09D2"/>
    <w:rsid w:val="71663F35"/>
    <w:rsid w:val="721C6573"/>
    <w:rsid w:val="725B6868"/>
    <w:rsid w:val="72FB0002"/>
    <w:rsid w:val="730243E7"/>
    <w:rsid w:val="730A2439"/>
    <w:rsid w:val="74A17A0F"/>
    <w:rsid w:val="74E66117"/>
    <w:rsid w:val="74FE4CD3"/>
    <w:rsid w:val="7508004B"/>
    <w:rsid w:val="76BB4C7F"/>
    <w:rsid w:val="76D67A5F"/>
    <w:rsid w:val="77703ECD"/>
    <w:rsid w:val="777D1ACF"/>
    <w:rsid w:val="77861D1C"/>
    <w:rsid w:val="77942444"/>
    <w:rsid w:val="77D535C0"/>
    <w:rsid w:val="785D147B"/>
    <w:rsid w:val="789D6981"/>
    <w:rsid w:val="79083028"/>
    <w:rsid w:val="791C051C"/>
    <w:rsid w:val="796D2F09"/>
    <w:rsid w:val="7A2A5303"/>
    <w:rsid w:val="7A2E6BCE"/>
    <w:rsid w:val="7A734F36"/>
    <w:rsid w:val="7AD67F29"/>
    <w:rsid w:val="7B5B6CE9"/>
    <w:rsid w:val="7BDD47BE"/>
    <w:rsid w:val="7C125E53"/>
    <w:rsid w:val="7C6F3196"/>
    <w:rsid w:val="7C737C5E"/>
    <w:rsid w:val="7CF977B0"/>
    <w:rsid w:val="7D111F29"/>
    <w:rsid w:val="7DF84DA1"/>
    <w:rsid w:val="7E3F1FDD"/>
    <w:rsid w:val="7E5476DF"/>
    <w:rsid w:val="7E881EC7"/>
    <w:rsid w:val="7EF41D29"/>
    <w:rsid w:val="7F6D596B"/>
    <w:rsid w:val="7FB456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604" w:lineRule="exact"/>
      <w:jc w:val="center"/>
      <w:outlineLvl w:val="0"/>
    </w:pPr>
    <w:rPr>
      <w:b/>
      <w:bCs/>
      <w:spacing w:val="20"/>
      <w:kern w:val="44"/>
      <w:sz w:val="44"/>
      <w:szCs w:val="44"/>
    </w:rPr>
  </w:style>
  <w:style w:type="paragraph" w:styleId="3">
    <w:name w:val="heading 2"/>
    <w:basedOn w:val="1"/>
    <w:next w:val="1"/>
    <w:qFormat/>
    <w:uiPriority w:val="0"/>
    <w:pPr>
      <w:keepNext/>
      <w:keepLines/>
      <w:spacing w:line="604" w:lineRule="exact"/>
      <w:ind w:firstLine="200" w:firstLineChars="200"/>
      <w:outlineLvl w:val="1"/>
    </w:pPr>
    <w:rPr>
      <w:rFonts w:ascii="Arial" w:hAnsi="Arial" w:eastAsia="仿宋_GB2312"/>
      <w:b/>
      <w:bCs/>
      <w:spacing w:val="20"/>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Hyperlink"/>
    <w:basedOn w:val="9"/>
    <w:qFormat/>
    <w:uiPriority w:val="0"/>
    <w:rPr>
      <w:color w:val="000000"/>
      <w:u w:val="none"/>
    </w:rPr>
  </w:style>
  <w:style w:type="character" w:customStyle="1" w:styleId="13">
    <w:name w:val="font11"/>
    <w:basedOn w:val="9"/>
    <w:qFormat/>
    <w:uiPriority w:val="0"/>
    <w:rPr>
      <w:rFonts w:hint="eastAsia" w:ascii="宋体" w:hAnsi="宋体" w:eastAsia="宋体" w:cs="宋体"/>
      <w:color w:val="000000"/>
      <w:sz w:val="22"/>
      <w:szCs w:val="22"/>
      <w:u w:val="none"/>
    </w:rPr>
  </w:style>
  <w:style w:type="paragraph" w:customStyle="1" w:styleId="14">
    <w:name w:val="Table Paragraph"/>
    <w:basedOn w:val="1"/>
    <w:qFormat/>
    <w:uiPriority w:val="1"/>
    <w:pPr>
      <w:autoSpaceDE w:val="0"/>
      <w:autoSpaceDN w:val="0"/>
      <w:adjustRightInd w:val="0"/>
      <w:jc w:val="left"/>
    </w:pPr>
    <w:rPr>
      <w:kern w:val="0"/>
      <w:sz w:val="24"/>
      <w:szCs w:val="24"/>
    </w:rPr>
  </w:style>
  <w:style w:type="character" w:customStyle="1" w:styleId="15">
    <w:name w:val="font122"/>
    <w:basedOn w:val="9"/>
    <w:uiPriority w:val="0"/>
    <w:rPr>
      <w:rFonts w:hint="eastAsia" w:ascii="宋体" w:hAnsi="宋体" w:eastAsia="宋体" w:cs="宋体"/>
      <w:color w:val="627072"/>
      <w:sz w:val="20"/>
      <w:szCs w:val="20"/>
      <w:u w:val="none"/>
    </w:rPr>
  </w:style>
  <w:style w:type="character" w:customStyle="1" w:styleId="16">
    <w:name w:val="font101"/>
    <w:basedOn w:val="9"/>
    <w:qFormat/>
    <w:uiPriority w:val="0"/>
    <w:rPr>
      <w:rFonts w:hint="eastAsia" w:ascii="宋体" w:hAnsi="宋体" w:eastAsia="宋体" w:cs="宋体"/>
      <w:color w:val="38494D"/>
      <w:sz w:val="20"/>
      <w:szCs w:val="20"/>
      <w:u w:val="none"/>
    </w:rPr>
  </w:style>
  <w:style w:type="character" w:customStyle="1" w:styleId="17">
    <w:name w:val="font51"/>
    <w:basedOn w:val="9"/>
    <w:qFormat/>
    <w:uiPriority w:val="0"/>
    <w:rPr>
      <w:rFonts w:hint="eastAsia" w:ascii="宋体" w:hAnsi="宋体" w:eastAsia="宋体" w:cs="宋体"/>
      <w:color w:val="4B5B5E"/>
      <w:sz w:val="20"/>
      <w:szCs w:val="20"/>
      <w:u w:val="none"/>
    </w:rPr>
  </w:style>
  <w:style w:type="character" w:customStyle="1" w:styleId="18">
    <w:name w:val="font12"/>
    <w:basedOn w:val="9"/>
    <w:uiPriority w:val="0"/>
    <w:rPr>
      <w:rFonts w:hint="eastAsia" w:ascii="宋体" w:hAnsi="宋体" w:eastAsia="宋体" w:cs="宋体"/>
      <w:color w:val="282F64"/>
      <w:sz w:val="20"/>
      <w:szCs w:val="20"/>
      <w:u w:val="none"/>
    </w:rPr>
  </w:style>
  <w:style w:type="character" w:customStyle="1" w:styleId="19">
    <w:name w:val="font111"/>
    <w:basedOn w:val="9"/>
    <w:qFormat/>
    <w:uiPriority w:val="0"/>
    <w:rPr>
      <w:rFonts w:hint="eastAsia" w:ascii="宋体" w:hAnsi="宋体" w:eastAsia="宋体" w:cs="宋体"/>
      <w:color w:val="26383B"/>
      <w:sz w:val="20"/>
      <w:szCs w:val="20"/>
      <w:u w:val="none"/>
    </w:rPr>
  </w:style>
  <w:style w:type="character" w:customStyle="1" w:styleId="20">
    <w:name w:val="font41"/>
    <w:basedOn w:val="9"/>
    <w:uiPriority w:val="0"/>
    <w:rPr>
      <w:rFonts w:hint="default" w:ascii="仿宋_GB2312" w:eastAsia="仿宋_GB2312" w:cs="仿宋_GB2312"/>
      <w:color w:val="000000"/>
      <w:sz w:val="18"/>
      <w:szCs w:val="18"/>
      <w:u w:val="none"/>
      <w:vertAlign w:val="superscript"/>
    </w:rPr>
  </w:style>
  <w:style w:type="character" w:customStyle="1" w:styleId="21">
    <w:name w:val="font61"/>
    <w:basedOn w:val="9"/>
    <w:uiPriority w:val="0"/>
    <w:rPr>
      <w:rFonts w:hint="default" w:ascii="Times New Roman" w:hAnsi="Times New Roman" w:cs="Times New Roman"/>
      <w:b/>
      <w:color w:val="000000"/>
      <w:sz w:val="18"/>
      <w:szCs w:val="18"/>
      <w:u w:val="none"/>
    </w:rPr>
  </w:style>
  <w:style w:type="character" w:customStyle="1" w:styleId="22">
    <w:name w:val="font91"/>
    <w:basedOn w:val="9"/>
    <w:uiPriority w:val="0"/>
    <w:rPr>
      <w:rFonts w:hint="eastAsia" w:ascii="宋体" w:hAnsi="宋体" w:eastAsia="宋体" w:cs="宋体"/>
      <w:b/>
      <w:color w:val="000000"/>
      <w:sz w:val="18"/>
      <w:szCs w:val="18"/>
      <w:u w:val="none"/>
    </w:rPr>
  </w:style>
  <w:style w:type="character" w:customStyle="1" w:styleId="23">
    <w:name w:val="font81"/>
    <w:basedOn w:val="9"/>
    <w:qFormat/>
    <w:uiPriority w:val="0"/>
    <w:rPr>
      <w:rFonts w:hint="default" w:ascii="Times New Roman" w:hAnsi="Times New Roman" w:cs="Times New Roman"/>
      <w:b/>
      <w:color w:val="000000"/>
      <w:sz w:val="18"/>
      <w:szCs w:val="18"/>
      <w:u w:val="none"/>
    </w:rPr>
  </w:style>
  <w:style w:type="character" w:customStyle="1" w:styleId="24">
    <w:name w:val="font71"/>
    <w:basedOn w:val="9"/>
    <w:qFormat/>
    <w:uiPriority w:val="0"/>
    <w:rPr>
      <w:rFonts w:hint="eastAsia" w:ascii="宋体" w:hAnsi="宋体" w:eastAsia="宋体" w:cs="宋体"/>
      <w:b/>
      <w:color w:val="000000"/>
      <w:sz w:val="18"/>
      <w:szCs w:val="18"/>
      <w:u w:val="none"/>
    </w:rPr>
  </w:style>
  <w:style w:type="character" w:customStyle="1" w:styleId="25">
    <w:name w:val="font21"/>
    <w:basedOn w:val="9"/>
    <w:qFormat/>
    <w:uiPriority w:val="0"/>
    <w:rPr>
      <w:rFonts w:hint="default" w:ascii="Times New Roman" w:hAnsi="Times New Roman" w:cs="Times New Roman"/>
      <w:color w:val="000000"/>
      <w:sz w:val="18"/>
      <w:szCs w:val="18"/>
      <w:u w:val="none"/>
    </w:rPr>
  </w:style>
  <w:style w:type="character" w:customStyle="1" w:styleId="26">
    <w:name w:val="font31"/>
    <w:basedOn w:val="9"/>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7"/>
    <customShpInfo spid="_x0000_s205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1538</Words>
  <Characters>1677</Characters>
  <Lines>17</Lines>
  <Paragraphs>4</Paragraphs>
  <TotalTime>35</TotalTime>
  <ScaleCrop>false</ScaleCrop>
  <LinksUpToDate>false</LinksUpToDate>
  <CharactersWithSpaces>1766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2012-02-29T06:43:00Z</dcterms:created>
  <dc:creator>微软用户</dc:creator>
  <cp:lastModifiedBy>liuying</cp:lastModifiedBy>
  <cp:lastPrinted>2020-03-10T01:36:00Z</cp:lastPrinted>
  <dcterms:modified xsi:type="dcterms:W3CDTF">2020-04-09T02:39:09Z</dcterms:modified>
  <dc:title>汉区价认鉴[2012] 029号</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