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宋体" w:hAnsi="宋体" w:eastAsia="宋体" w:cs="宋体"/>
          <w:b/>
          <w:color w:val="auto"/>
          <w:sz w:val="52"/>
          <w:szCs w:val="52"/>
        </w:rPr>
      </w:pPr>
    </w:p>
    <w:p>
      <w:pPr>
        <w:spacing w:line="560" w:lineRule="exact"/>
        <w:ind w:firstLine="0" w:firstLineChars="0"/>
        <w:jc w:val="center"/>
        <w:rPr>
          <w:rFonts w:ascii="宋体" w:hAnsi="宋体" w:eastAsia="宋体" w:cs="宋体"/>
          <w:b/>
          <w:color w:val="auto"/>
          <w:sz w:val="52"/>
          <w:szCs w:val="52"/>
        </w:rPr>
      </w:pPr>
    </w:p>
    <w:p>
      <w:pPr>
        <w:spacing w:line="560" w:lineRule="exact"/>
        <w:ind w:left="1366" w:hanging="1366" w:hangingChars="400"/>
        <w:jc w:val="both"/>
        <w:rPr>
          <w:rFonts w:hint="eastAsia" w:ascii="宋体" w:hAnsi="宋体" w:eastAsia="宋体" w:cs="宋体"/>
          <w:b/>
          <w:color w:val="auto"/>
          <w:spacing w:val="-10"/>
          <w:sz w:val="36"/>
          <w:szCs w:val="36"/>
          <w:lang w:val="en-US" w:eastAsia="zh-CN"/>
        </w:rPr>
      </w:pPr>
      <w:bookmarkStart w:id="0" w:name="_Hlk508702971"/>
      <w:bookmarkStart w:id="1" w:name="_Hlk498065133"/>
      <w:r>
        <w:rPr>
          <w:rFonts w:hint="eastAsia" w:ascii="宋体" w:hAnsi="宋体" w:eastAsia="宋体" w:cs="宋体"/>
          <w:b/>
          <w:color w:val="auto"/>
          <w:spacing w:val="-10"/>
          <w:sz w:val="36"/>
          <w:szCs w:val="36"/>
          <w:lang w:val="en-US" w:eastAsia="zh-CN"/>
        </w:rPr>
        <w:t xml:space="preserve"> </w:t>
      </w:r>
    </w:p>
    <w:p>
      <w:pPr>
        <w:spacing w:line="560" w:lineRule="exact"/>
        <w:ind w:left="1366" w:hanging="1366" w:hangingChars="400"/>
        <w:jc w:val="both"/>
        <w:rPr>
          <w:rFonts w:hint="eastAsia" w:ascii="宋体" w:hAnsi="宋体" w:eastAsia="宋体" w:cs="宋体"/>
          <w:b/>
          <w:color w:val="auto"/>
          <w:spacing w:val="-10"/>
          <w:sz w:val="36"/>
          <w:szCs w:val="36"/>
          <w:lang w:val="en-US" w:eastAsia="zh-CN"/>
        </w:rPr>
      </w:pPr>
    </w:p>
    <w:p>
      <w:pPr>
        <w:spacing w:line="560" w:lineRule="exact"/>
        <w:ind w:left="1366" w:hanging="1358" w:hangingChars="400"/>
        <w:jc w:val="center"/>
        <w:rPr>
          <w:rFonts w:hint="eastAsia" w:ascii="宋体" w:hAnsi="宋体" w:eastAsia="宋体" w:cs="宋体"/>
          <w:b/>
          <w:color w:val="auto"/>
          <w:spacing w:val="-11"/>
          <w:sz w:val="36"/>
          <w:szCs w:val="36"/>
          <w:lang w:eastAsia="zh-CN"/>
        </w:rPr>
      </w:pPr>
      <w:r>
        <w:rPr>
          <w:rFonts w:hint="eastAsia" w:ascii="宋体" w:hAnsi="宋体" w:eastAsia="宋体" w:cs="宋体"/>
          <w:b/>
          <w:color w:val="auto"/>
          <w:spacing w:val="-11"/>
          <w:sz w:val="36"/>
          <w:szCs w:val="36"/>
          <w:lang w:eastAsia="zh-CN"/>
        </w:rPr>
        <w:t>陕西省西乡县人民法院</w:t>
      </w:r>
      <w:r>
        <w:rPr>
          <w:rFonts w:hint="eastAsia" w:ascii="宋体" w:hAnsi="宋体" w:eastAsia="宋体" w:cs="宋体"/>
          <w:b/>
          <w:color w:val="auto"/>
          <w:spacing w:val="-11"/>
          <w:sz w:val="36"/>
          <w:szCs w:val="36"/>
        </w:rPr>
        <w:t>委托的位于</w:t>
      </w:r>
      <w:bookmarkEnd w:id="0"/>
      <w:r>
        <w:rPr>
          <w:rFonts w:hint="eastAsia" w:ascii="宋体" w:hAnsi="宋体" w:eastAsia="宋体" w:cs="宋体"/>
          <w:b/>
          <w:color w:val="auto"/>
          <w:spacing w:val="-11"/>
          <w:sz w:val="36"/>
          <w:szCs w:val="36"/>
          <w:lang w:eastAsia="zh-CN"/>
        </w:rPr>
        <w:t>西乡县城关镇附溪村二组</w:t>
      </w:r>
    </w:p>
    <w:p>
      <w:pPr>
        <w:spacing w:line="560" w:lineRule="exact"/>
        <w:ind w:left="1366" w:hanging="1358" w:hangingChars="400"/>
        <w:jc w:val="center"/>
        <w:rPr>
          <w:rFonts w:hint="eastAsia" w:ascii="宋体" w:hAnsi="宋体" w:eastAsia="宋体" w:cs="宋体"/>
          <w:b/>
          <w:color w:val="auto"/>
          <w:spacing w:val="-11"/>
          <w:sz w:val="36"/>
          <w:szCs w:val="36"/>
        </w:rPr>
      </w:pPr>
      <w:r>
        <w:rPr>
          <w:rFonts w:hint="eastAsia" w:ascii="宋体" w:hAnsi="宋体" w:eastAsia="宋体" w:cs="宋体"/>
          <w:b/>
          <w:color w:val="auto"/>
          <w:spacing w:val="-11"/>
          <w:sz w:val="36"/>
          <w:szCs w:val="36"/>
          <w:lang w:eastAsia="zh-CN"/>
        </w:rPr>
        <w:t>岳洪、祝儒琴名下的一至七层</w:t>
      </w:r>
      <w:r>
        <w:rPr>
          <w:rFonts w:hint="eastAsia" w:ascii="宋体" w:hAnsi="宋体" w:eastAsia="宋体" w:cs="宋体"/>
          <w:b/>
          <w:color w:val="auto"/>
          <w:spacing w:val="-11"/>
          <w:sz w:val="36"/>
          <w:szCs w:val="36"/>
          <w:lang w:val="en-US" w:eastAsia="zh-CN"/>
        </w:rPr>
        <w:t>房地产</w:t>
      </w:r>
      <w:r>
        <w:rPr>
          <w:rFonts w:hint="eastAsia" w:ascii="宋体" w:hAnsi="宋体" w:eastAsia="宋体" w:cs="宋体"/>
          <w:b/>
          <w:color w:val="auto"/>
          <w:spacing w:val="-11"/>
          <w:sz w:val="36"/>
          <w:szCs w:val="36"/>
        </w:rPr>
        <w:t>司法处分价值评估</w:t>
      </w:r>
      <w:bookmarkEnd w:id="1"/>
    </w:p>
    <w:p>
      <w:pPr>
        <w:spacing w:line="560" w:lineRule="exact"/>
        <w:ind w:firstLine="0" w:firstLineChars="0"/>
        <w:jc w:val="center"/>
        <w:rPr>
          <w:rFonts w:ascii="宋体" w:hAnsi="宋体" w:eastAsia="宋体" w:cs="宋体"/>
          <w:b/>
          <w:color w:val="auto"/>
          <w:sz w:val="48"/>
          <w:szCs w:val="48"/>
        </w:rPr>
      </w:pPr>
      <w:r>
        <w:rPr>
          <w:rFonts w:hint="eastAsia" w:ascii="宋体" w:hAnsi="宋体" w:eastAsia="宋体" w:cs="宋体"/>
          <w:b/>
          <w:color w:val="auto"/>
          <w:sz w:val="48"/>
          <w:szCs w:val="48"/>
        </w:rPr>
        <w:t>资产评估报告书</w:t>
      </w:r>
    </w:p>
    <w:p>
      <w:pPr>
        <w:spacing w:beforeLines="100" w:afterLines="100" w:line="560" w:lineRule="exact"/>
        <w:ind w:firstLine="0" w:firstLineChars="0"/>
        <w:jc w:val="center"/>
        <w:rPr>
          <w:rFonts w:ascii="宋体" w:hAnsi="宋体" w:eastAsia="宋体" w:cs="宋体"/>
          <w:b/>
          <w:color w:val="auto"/>
          <w:sz w:val="32"/>
          <w:szCs w:val="32"/>
        </w:rPr>
      </w:pPr>
      <w:r>
        <w:rPr>
          <w:rFonts w:hint="eastAsia" w:ascii="宋体" w:hAnsi="宋体" w:eastAsia="宋体" w:cs="宋体"/>
          <w:b/>
          <w:color w:val="auto"/>
          <w:sz w:val="32"/>
          <w:szCs w:val="32"/>
        </w:rPr>
        <w:t>汉恒评报字[201</w:t>
      </w:r>
      <w:r>
        <w:rPr>
          <w:rFonts w:hint="eastAsia" w:ascii="宋体" w:hAnsi="宋体" w:eastAsia="宋体" w:cs="宋体"/>
          <w:b/>
          <w:color w:val="auto"/>
          <w:sz w:val="32"/>
          <w:szCs w:val="32"/>
          <w:lang w:val="en-US" w:eastAsia="zh-CN"/>
        </w:rPr>
        <w:t>9</w:t>
      </w:r>
      <w:r>
        <w:rPr>
          <w:rFonts w:hint="eastAsia" w:ascii="宋体" w:hAnsi="宋体" w:eastAsia="宋体" w:cs="宋体"/>
          <w:b/>
          <w:color w:val="auto"/>
          <w:sz w:val="32"/>
          <w:szCs w:val="32"/>
          <w:highlight w:val="none"/>
        </w:rPr>
        <w:t>]第</w:t>
      </w:r>
      <w:r>
        <w:rPr>
          <w:rFonts w:hint="eastAsia" w:ascii="宋体" w:hAnsi="宋体" w:eastAsia="宋体" w:cs="宋体"/>
          <w:b/>
          <w:color w:val="auto"/>
          <w:sz w:val="32"/>
          <w:szCs w:val="32"/>
          <w:highlight w:val="none"/>
          <w:lang w:val="en-US" w:eastAsia="zh-CN"/>
        </w:rPr>
        <w:t>210</w:t>
      </w:r>
      <w:r>
        <w:rPr>
          <w:rFonts w:hint="eastAsia" w:ascii="宋体" w:hAnsi="宋体" w:eastAsia="宋体" w:cs="宋体"/>
          <w:b/>
          <w:color w:val="auto"/>
          <w:sz w:val="32"/>
          <w:szCs w:val="32"/>
          <w:highlight w:val="none"/>
        </w:rPr>
        <w:t>号</w:t>
      </w:r>
    </w:p>
    <w:p>
      <w:pPr>
        <w:spacing w:beforeLines="100" w:afterLines="100" w:line="560" w:lineRule="exact"/>
        <w:ind w:firstLine="0" w:firstLineChars="0"/>
        <w:jc w:val="center"/>
        <w:rPr>
          <w:rFonts w:ascii="宋体" w:hAnsi="宋体" w:eastAsia="宋体" w:cs="宋体"/>
          <w:b/>
          <w:color w:val="auto"/>
          <w:sz w:val="32"/>
          <w:szCs w:val="32"/>
        </w:rPr>
      </w:pPr>
    </w:p>
    <w:p>
      <w:pPr>
        <w:spacing w:beforeLines="100" w:afterLines="100" w:line="560" w:lineRule="exact"/>
        <w:ind w:firstLine="0" w:firstLineChars="0"/>
        <w:rPr>
          <w:rFonts w:ascii="宋体" w:hAnsi="宋体" w:eastAsia="宋体" w:cs="宋体"/>
          <w:b/>
          <w:color w:val="auto"/>
          <w:sz w:val="32"/>
          <w:szCs w:val="32"/>
        </w:rPr>
      </w:pPr>
    </w:p>
    <w:p>
      <w:pPr>
        <w:spacing w:beforeLines="100" w:afterLines="100" w:line="560" w:lineRule="exact"/>
        <w:ind w:firstLine="0" w:firstLineChars="0"/>
        <w:jc w:val="center"/>
        <w:rPr>
          <w:rFonts w:ascii="宋体" w:hAnsi="宋体" w:eastAsia="宋体" w:cs="宋体"/>
          <w:b/>
          <w:color w:val="auto"/>
          <w:sz w:val="32"/>
          <w:szCs w:val="32"/>
        </w:rPr>
      </w:pPr>
    </w:p>
    <w:p>
      <w:pPr>
        <w:spacing w:beforeLines="100" w:afterLines="100" w:line="560" w:lineRule="exact"/>
        <w:ind w:firstLine="0" w:firstLineChars="0"/>
        <w:jc w:val="center"/>
        <w:rPr>
          <w:rFonts w:ascii="宋体" w:hAnsi="宋体" w:eastAsia="宋体" w:cs="宋体"/>
          <w:b/>
          <w:color w:val="auto"/>
          <w:sz w:val="32"/>
          <w:szCs w:val="32"/>
        </w:rPr>
      </w:pPr>
    </w:p>
    <w:p>
      <w:pPr>
        <w:spacing w:beforeLines="100" w:afterLines="100" w:line="560" w:lineRule="exact"/>
        <w:ind w:firstLine="0" w:firstLineChars="0"/>
        <w:jc w:val="center"/>
        <w:rPr>
          <w:rFonts w:ascii="宋体" w:hAnsi="宋体" w:eastAsia="宋体" w:cs="宋体"/>
          <w:b/>
          <w:color w:val="auto"/>
          <w:sz w:val="32"/>
          <w:szCs w:val="32"/>
        </w:rPr>
      </w:pPr>
    </w:p>
    <w:p>
      <w:pPr>
        <w:spacing w:beforeLines="100" w:afterLines="100" w:line="560" w:lineRule="exact"/>
        <w:ind w:firstLine="0" w:firstLineChars="0"/>
        <w:jc w:val="center"/>
        <w:rPr>
          <w:rFonts w:ascii="宋体" w:hAnsi="宋体" w:eastAsia="宋体" w:cs="宋体"/>
          <w:b/>
          <w:color w:val="auto"/>
          <w:sz w:val="32"/>
          <w:szCs w:val="32"/>
        </w:rPr>
      </w:pPr>
    </w:p>
    <w:p>
      <w:pPr>
        <w:spacing w:beforeLines="100" w:afterLines="100" w:line="560" w:lineRule="exact"/>
        <w:ind w:firstLine="0" w:firstLineChars="0"/>
        <w:jc w:val="center"/>
        <w:rPr>
          <w:rFonts w:ascii="宋体" w:hAnsi="宋体" w:eastAsia="宋体" w:cs="宋体"/>
          <w:b/>
          <w:color w:val="auto"/>
          <w:sz w:val="32"/>
          <w:szCs w:val="32"/>
        </w:rPr>
      </w:pPr>
      <w:r>
        <w:rPr>
          <w:rFonts w:hint="eastAsia" w:ascii="宋体" w:hAnsi="宋体" w:eastAsia="宋体" w:cs="宋体"/>
          <w:b/>
          <w:color w:val="auto"/>
          <w:sz w:val="32"/>
          <w:szCs w:val="32"/>
        </w:rPr>
        <w:t>汉中恒信资产评估事务所</w:t>
      </w:r>
    </w:p>
    <w:p>
      <w:pPr>
        <w:spacing w:line="560" w:lineRule="exact"/>
        <w:ind w:firstLine="0" w:firstLineChars="0"/>
        <w:jc w:val="center"/>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二〇一</w:t>
      </w:r>
      <w:r>
        <w:rPr>
          <w:rFonts w:hint="eastAsia" w:ascii="宋体" w:hAnsi="宋体" w:eastAsia="宋体" w:cs="宋体"/>
          <w:b/>
          <w:color w:val="auto"/>
          <w:sz w:val="32"/>
          <w:szCs w:val="32"/>
          <w:highlight w:val="none"/>
          <w:lang w:eastAsia="zh-CN"/>
        </w:rPr>
        <w:t>九年十二月十九日</w:t>
      </w:r>
    </w:p>
    <w:p>
      <w:pPr>
        <w:spacing w:line="560" w:lineRule="exact"/>
        <w:ind w:firstLine="0" w:firstLineChars="0"/>
        <w:jc w:val="center"/>
        <w:rPr>
          <w:rFonts w:ascii="宋体" w:hAnsi="宋体" w:eastAsia="宋体" w:cs="宋体"/>
          <w:b/>
          <w:color w:val="auto"/>
          <w:sz w:val="32"/>
          <w:szCs w:val="32"/>
        </w:rPr>
      </w:pPr>
    </w:p>
    <w:p>
      <w:pPr>
        <w:widowControl/>
        <w:spacing w:line="240" w:lineRule="auto"/>
        <w:ind w:firstLine="1870" w:firstLineChars="850"/>
        <w:jc w:val="left"/>
        <w:rPr>
          <w:rFonts w:ascii="宋体" w:hAnsi="宋体" w:eastAsia="宋体"/>
          <w:color w:val="auto"/>
          <w:kern w:val="0"/>
          <w:sz w:val="22"/>
          <w:szCs w:val="22"/>
        </w:rPr>
      </w:pPr>
      <w:r>
        <w:rPr>
          <w:rFonts w:hint="eastAsia" w:ascii="宋体" w:hAnsi="宋体" w:eastAsia="宋体"/>
          <w:color w:val="auto"/>
          <w:kern w:val="0"/>
          <w:sz w:val="22"/>
          <w:szCs w:val="22"/>
        </w:rPr>
        <w:t xml:space="preserve">地址：汉中市莲湖路与北团结街十字海德城A座802室 </w:t>
      </w:r>
    </w:p>
    <w:p>
      <w:pPr>
        <w:spacing w:line="560" w:lineRule="exact"/>
        <w:ind w:firstLine="0" w:firstLineChars="0"/>
        <w:jc w:val="center"/>
        <w:rPr>
          <w:rFonts w:ascii="宋体" w:hAnsi="宋体" w:eastAsia="宋体"/>
          <w:color w:val="auto"/>
          <w:kern w:val="0"/>
          <w:sz w:val="22"/>
          <w:szCs w:val="22"/>
        </w:rPr>
      </w:pPr>
      <w:r>
        <w:rPr>
          <w:rFonts w:hint="eastAsia" w:ascii="宋体" w:hAnsi="宋体" w:eastAsia="宋体"/>
          <w:color w:val="auto"/>
          <w:kern w:val="0"/>
          <w:sz w:val="22"/>
          <w:szCs w:val="22"/>
        </w:rPr>
        <w:t>邮编：723000                 电话：0916-2245860</w:t>
      </w:r>
    </w:p>
    <w:p>
      <w:pPr>
        <w:spacing w:line="560" w:lineRule="exact"/>
        <w:ind w:firstLine="0" w:firstLineChars="0"/>
        <w:jc w:val="center"/>
        <w:rPr>
          <w:rFonts w:ascii="宋体" w:hAnsi="宋体" w:eastAsia="宋体"/>
          <w:color w:val="auto"/>
          <w:kern w:val="0"/>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40" w:right="1133" w:bottom="1276" w:left="1800" w:header="851" w:footer="906" w:gutter="0"/>
          <w:pgBorders>
            <w:top w:val="none" w:sz="0" w:space="0"/>
            <w:left w:val="none" w:sz="0" w:space="0"/>
            <w:bottom w:val="none" w:sz="0" w:space="0"/>
            <w:right w:val="none" w:sz="0" w:space="0"/>
          </w:pgBorders>
          <w:pgNumType w:start="1"/>
          <w:cols w:space="720" w:num="1"/>
          <w:docGrid w:type="lines" w:linePitch="312" w:charSpace="0"/>
        </w:sectPr>
      </w:pPr>
    </w:p>
    <w:p>
      <w:pPr>
        <w:tabs>
          <w:tab w:val="left" w:pos="2443"/>
        </w:tabs>
        <w:ind w:left="0" w:leftChars="0" w:firstLine="0" w:firstLineChars="0"/>
        <w:jc w:val="left"/>
        <w:rPr>
          <w:color w:val="auto"/>
          <w:lang w:val="en-US" w:eastAsia="zh-CN"/>
        </w:rPr>
        <w:sectPr>
          <w:headerReference r:id="rId9" w:type="default"/>
          <w:footerReference r:id="rId10" w:type="default"/>
          <w:type w:val="continuous"/>
          <w:pgSz w:w="11906" w:h="16838"/>
          <w:pgMar w:top="1440" w:right="1133" w:bottom="1440" w:left="1800" w:header="907" w:footer="1191" w:gutter="0"/>
          <w:pgBorders>
            <w:top w:val="none" w:sz="0" w:space="0"/>
            <w:left w:val="none" w:sz="0" w:space="0"/>
            <w:bottom w:val="none" w:sz="0" w:space="0"/>
            <w:right w:val="none" w:sz="0" w:space="0"/>
          </w:pgBorders>
          <w:pgNumType w:fmt="decimal"/>
          <w:cols w:space="720" w:num="1"/>
          <w:docGrid w:type="lines" w:linePitch="326" w:charSpace="0"/>
        </w:sectPr>
      </w:pPr>
    </w:p>
    <w:p>
      <w:pPr>
        <w:pStyle w:val="35"/>
        <w:ind w:firstLine="883"/>
        <w:rPr>
          <w:rStyle w:val="44"/>
          <w:rFonts w:hint="default"/>
          <w:b/>
          <w:color w:val="auto"/>
          <w:sz w:val="44"/>
          <w:szCs w:val="44"/>
        </w:rPr>
      </w:pPr>
      <w:bookmarkStart w:id="2" w:name="_Toc459791558"/>
      <w:bookmarkStart w:id="3" w:name="_Toc134"/>
      <w:r>
        <w:rPr>
          <w:rStyle w:val="44"/>
          <w:rFonts w:hint="default"/>
          <w:b/>
          <w:color w:val="auto"/>
          <w:sz w:val="44"/>
          <w:szCs w:val="44"/>
        </w:rPr>
        <w:t>目   录</w:t>
      </w:r>
      <w:bookmarkEnd w:id="2"/>
      <w:bookmarkEnd w:id="3"/>
    </w:p>
    <w:p>
      <w:pPr>
        <w:pStyle w:val="9"/>
        <w:tabs>
          <w:tab w:val="right" w:leader="dot" w:pos="8973"/>
          <w:tab w:val="clear" w:pos="8364"/>
        </w:tabs>
        <w:rPr>
          <w:rFonts w:hint="eastAsia" w:ascii="宋体-PUA" w:hAnsi="宋体-PUA" w:eastAsia="宋体-PUA" w:cs="宋体-PUA"/>
          <w:color w:val="auto"/>
        </w:rPr>
      </w:pPr>
      <w:bookmarkStart w:id="4" w:name="_Toc454464583"/>
      <w:bookmarkStart w:id="5" w:name="_Toc815"/>
      <w:bookmarkStart w:id="6" w:name="_Toc448307784"/>
      <w:r>
        <w:rPr>
          <w:rFonts w:hint="eastAsia" w:eastAsia="宋体"/>
          <w:color w:val="auto"/>
          <w:kern w:val="0"/>
          <w:szCs w:val="44"/>
        </w:rPr>
        <w:fldChar w:fldCharType="begin"/>
      </w:r>
      <w:r>
        <w:rPr>
          <w:rFonts w:hint="eastAsia" w:eastAsia="宋体"/>
          <w:color w:val="auto"/>
          <w:kern w:val="0"/>
          <w:szCs w:val="44"/>
        </w:rPr>
        <w:instrText xml:space="preserve"> TOC \o "1-3" \h \z \u \* MERGEFORMAT </w:instrText>
      </w:r>
      <w:r>
        <w:rPr>
          <w:rFonts w:hint="eastAsia" w:eastAsia="宋体"/>
          <w:color w:val="auto"/>
          <w:kern w:val="0"/>
          <w:szCs w:val="44"/>
        </w:rPr>
        <w:fldChar w:fldCharType="separate"/>
      </w: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_Toc25569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bCs w:val="0"/>
          <w:color w:val="auto"/>
          <w:kern w:val="0"/>
          <w:szCs w:val="44"/>
        </w:rPr>
        <w:t>资产评估报告声明</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_Toc25569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2</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_Toc13414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bCs w:val="0"/>
          <w:color w:val="auto"/>
          <w:kern w:val="0"/>
          <w:szCs w:val="44"/>
        </w:rPr>
        <w:t>资产评估报告书摘要</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_Toc13414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bookmarkStart w:id="49" w:name="_GoBack"/>
      <w:bookmarkEnd w:id="49"/>
    </w:p>
    <w:p>
      <w:pPr>
        <w:pStyle w:val="15"/>
        <w:tabs>
          <w:tab w:val="right" w:leader="dot" w:pos="8973"/>
        </w:tabs>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kern w:val="0"/>
          <w:szCs w:val="44"/>
        </w:rPr>
        <w:fldChar w:fldCharType="begin"/>
      </w:r>
      <w:r>
        <w:rPr>
          <w:rFonts w:hint="eastAsia" w:asciiTheme="majorEastAsia" w:hAnsiTheme="majorEastAsia" w:eastAsiaTheme="majorEastAsia" w:cstheme="majorEastAsia"/>
          <w:color w:val="auto"/>
          <w:kern w:val="0"/>
          <w:szCs w:val="44"/>
        </w:rPr>
        <w:instrText xml:space="preserve"> HYPERLINK \l _Toc9750 </w:instrText>
      </w:r>
      <w:r>
        <w:rPr>
          <w:rFonts w:hint="eastAsia" w:asciiTheme="majorEastAsia" w:hAnsiTheme="majorEastAsia" w:eastAsiaTheme="majorEastAsia" w:cstheme="majorEastAsia"/>
          <w:color w:val="auto"/>
          <w:kern w:val="0"/>
          <w:szCs w:val="44"/>
        </w:rPr>
        <w:fldChar w:fldCharType="separate"/>
      </w:r>
      <w:r>
        <w:rPr>
          <w:rFonts w:hint="eastAsia" w:asciiTheme="majorEastAsia" w:hAnsiTheme="majorEastAsia" w:eastAsiaTheme="majorEastAsia" w:cstheme="majorEastAsia"/>
          <w:color w:val="auto"/>
          <w:szCs w:val="44"/>
        </w:rPr>
        <w:t>资产评估报告书</w:t>
      </w:r>
      <w:r>
        <w:rPr>
          <w:rFonts w:hint="eastAsia" w:asciiTheme="majorEastAsia" w:hAnsiTheme="majorEastAsia" w:eastAsiaTheme="majorEastAsia" w:cstheme="majorEastAsia"/>
          <w:color w:val="auto"/>
        </w:rPr>
        <w:tab/>
      </w:r>
      <w:r>
        <w:rPr>
          <w:rFonts w:hint="eastAsia" w:asciiTheme="majorEastAsia" w:hAnsiTheme="majorEastAsia" w:eastAsiaTheme="majorEastAsia" w:cstheme="majorEastAsia"/>
          <w:color w:val="auto"/>
        </w:rPr>
        <w:fldChar w:fldCharType="begin"/>
      </w:r>
      <w:r>
        <w:rPr>
          <w:rFonts w:hint="eastAsia" w:asciiTheme="majorEastAsia" w:hAnsiTheme="majorEastAsia" w:eastAsiaTheme="majorEastAsia" w:cstheme="majorEastAsia"/>
          <w:color w:val="auto"/>
        </w:rPr>
        <w:instrText xml:space="preserve"> PAGEREF _Toc9750 </w:instrText>
      </w:r>
      <w:r>
        <w:rPr>
          <w:rFonts w:hint="eastAsia" w:asciiTheme="majorEastAsia" w:hAnsiTheme="majorEastAsia" w:eastAsiaTheme="majorEastAsia" w:cstheme="majorEastAsia"/>
          <w:color w:val="auto"/>
        </w:rPr>
        <w:fldChar w:fldCharType="separate"/>
      </w:r>
      <w:r>
        <w:rPr>
          <w:rFonts w:hint="eastAsia" w:asciiTheme="majorEastAsia" w:hAnsiTheme="majorEastAsia" w:eastAsiaTheme="majorEastAsia" w:cstheme="majorEastAsia"/>
          <w:color w:val="auto"/>
        </w:rPr>
        <w:t>8</w:t>
      </w:r>
      <w:r>
        <w:rPr>
          <w:rFonts w:hint="eastAsia" w:asciiTheme="majorEastAsia" w:hAnsiTheme="majorEastAsia" w:eastAsiaTheme="majorEastAsia" w:cstheme="majorEastAsia"/>
          <w:color w:val="auto"/>
        </w:rPr>
        <w:fldChar w:fldCharType="end"/>
      </w:r>
      <w:r>
        <w:rPr>
          <w:rFonts w:hint="eastAsia" w:asciiTheme="majorEastAsia" w:hAnsiTheme="majorEastAsia" w:eastAsiaTheme="majorEastAsia" w:cstheme="majorEastAsi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HYPERLINK \l _Toc32764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一、委托人、被评估单位和委托人以外的其他评估报告使用人</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_Toc32764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8</w:t>
      </w:r>
      <w:r>
        <w:rPr>
          <w:rFonts w:hint="eastAsia" w:ascii="宋体-PUA" w:hAnsi="宋体-PUA" w:eastAsia="宋体-PUA" w:cs="宋体-PUA"/>
          <w:color w:val="auto"/>
        </w:rPr>
        <w:fldChar w:fldCharType="end"/>
      </w:r>
      <w:r>
        <w:rPr>
          <w:rFonts w:hint="eastAsia" w:ascii="宋体-PUA" w:hAnsi="宋体-PUA" w:eastAsia="宋体-PUA" w:cs="宋体-PUA"/>
          <w:color w:val="auto"/>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HYPERLINK \l _Toc7002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二、评估目的</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_Toc7002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8</w:t>
      </w:r>
      <w:r>
        <w:rPr>
          <w:rFonts w:hint="eastAsia" w:ascii="宋体-PUA" w:hAnsi="宋体-PUA" w:eastAsia="宋体-PUA" w:cs="宋体-PUA"/>
          <w:color w:val="auto"/>
        </w:rPr>
        <w:fldChar w:fldCharType="end"/>
      </w:r>
      <w:r>
        <w:rPr>
          <w:rFonts w:hint="eastAsia" w:ascii="宋体-PUA" w:hAnsi="宋体-PUA" w:eastAsia="宋体-PUA" w:cs="宋体-PUA"/>
          <w:color w:val="auto"/>
        </w:rPr>
        <w:fldChar w:fldCharType="end"/>
      </w:r>
    </w:p>
    <w:p>
      <w:pPr>
        <w:pStyle w:val="9"/>
        <w:tabs>
          <w:tab w:val="right" w:leader="dot" w:pos="8973"/>
          <w:tab w:val="clear" w:pos="8364"/>
        </w:tabs>
        <w:rPr>
          <w:rFonts w:hint="eastAsia" w:asciiTheme="majorEastAsia" w:hAnsiTheme="majorEastAsia" w:eastAsiaTheme="majorEastAsia" w:cstheme="majorEastAsia"/>
          <w:color w:val="auto"/>
        </w:rPr>
      </w:pP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HYPERLINK \l _Toc27707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三、评估对象和评估范围</w:t>
      </w:r>
      <w:r>
        <w:rPr>
          <w:rFonts w:hint="eastAsia" w:ascii="宋体-PUA" w:hAnsi="宋体-PUA" w:eastAsia="宋体-PUA" w:cs="宋体-PUA"/>
          <w:color w:val="auto"/>
        </w:rPr>
        <w:tab/>
      </w:r>
      <w:r>
        <w:rPr>
          <w:rFonts w:hint="eastAsia" w:ascii="宋体-PUA" w:hAnsi="宋体-PUA" w:eastAsia="宋体-PUA" w:cs="宋体-PUA"/>
          <w:color w:val="auto"/>
          <w:lang w:val="en-US" w:eastAsia="zh-CN"/>
        </w:rPr>
        <w:t>9</w:t>
      </w:r>
      <w:r>
        <w:rPr>
          <w:rFonts w:hint="eastAsia" w:ascii="宋体-PUA" w:hAnsi="宋体-PUA" w:eastAsia="宋体-PUA" w:cs="宋体-PUA"/>
          <w:color w:val="auto"/>
        </w:rPr>
        <w:fldChar w:fldCharType="end"/>
      </w:r>
    </w:p>
    <w:p>
      <w:pPr>
        <w:pStyle w:val="9"/>
        <w:tabs>
          <w:tab w:val="right" w:leader="dot" w:pos="8973"/>
          <w:tab w:val="clear" w:pos="8364"/>
        </w:tabs>
        <w:rPr>
          <w:rFonts w:hint="eastAsia" w:ascii="宋体-PUA" w:hAnsi="宋体-PUA" w:eastAsia="宋体-PUA" w:cs="宋体-PUA"/>
          <w:color w:val="auto"/>
          <w:lang w:val="en-US" w:eastAsia="zh-CN"/>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_Toc30233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四、价值类型及其定义</w:t>
      </w:r>
      <w:r>
        <w:rPr>
          <w:rFonts w:hint="eastAsia" w:ascii="宋体-PUA" w:hAnsi="宋体-PUA" w:eastAsia="宋体-PUA" w:cs="宋体-PUA"/>
          <w:color w:val="auto"/>
        </w:rPr>
        <w:tab/>
      </w:r>
      <w:r>
        <w:rPr>
          <w:rFonts w:hint="eastAsia" w:ascii="宋体-PUA" w:hAnsi="宋体-PUA" w:eastAsia="宋体-PUA" w:cs="宋体-PUA"/>
          <w:color w:val="auto"/>
          <w:lang w:val="en-US" w:eastAsia="zh-CN"/>
        </w:rPr>
        <w:t>1</w:t>
      </w:r>
      <w:r>
        <w:rPr>
          <w:rFonts w:hint="eastAsia" w:ascii="宋体-PUA" w:hAnsi="宋体-PUA" w:eastAsia="宋体-PUA" w:cs="宋体-PUA"/>
          <w:color w:val="auto"/>
          <w:kern w:val="0"/>
          <w:szCs w:val="44"/>
        </w:rPr>
        <w:fldChar w:fldCharType="end"/>
      </w:r>
      <w:r>
        <w:rPr>
          <w:rFonts w:hint="eastAsia" w:ascii="宋体-PUA" w:hAnsi="宋体-PUA" w:eastAsia="宋体-PUA" w:cs="宋体-PUA"/>
          <w:color w:val="auto"/>
          <w:kern w:val="0"/>
          <w:szCs w:val="44"/>
          <w:lang w:val="en-US" w:eastAsia="zh-CN"/>
        </w:rPr>
        <w:t>0</w:t>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_Toc29360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五、评估基准日</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_Toc29360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10</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_Toc16204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六、评估依据</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_Toc16204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11</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_Toc8067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七、评估方法</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_Toc8067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14</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_Toc17707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八、评估程序实施过程和情况</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_Toc17707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17</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_Toc30715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九、评估假设</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_Toc30715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35</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_Toc20520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十、评估结论</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_Toc20520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36</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_Toc8697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highlight w:val="none"/>
        </w:rPr>
        <w:t>十一、特别事项说明</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_Toc8697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36</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_Toc22766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十二、评估报告使用限制说明</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_Toc22766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36</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_Toc15495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十三、评估报告日</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_Toc15495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39</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rFonts w:hint="eastAsia" w:ascii="宋体-PUA" w:hAnsi="宋体-PUA" w:eastAsia="宋体-PUA" w:cs="宋体-PUA"/>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_Toc3906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lang w:eastAsia="zh-CN"/>
        </w:rPr>
        <w:t>十四、资产评估机构专业人员签名和资产评估机构印章</w:t>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_Toc3906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39</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9"/>
        <w:tabs>
          <w:tab w:val="right" w:leader="dot" w:pos="8973"/>
          <w:tab w:val="clear" w:pos="8364"/>
        </w:tabs>
        <w:rPr>
          <w:color w:val="auto"/>
        </w:rPr>
      </w:pPr>
      <w:r>
        <w:rPr>
          <w:rFonts w:hint="eastAsia" w:ascii="宋体-PUA" w:hAnsi="宋体-PUA" w:eastAsia="宋体-PUA" w:cs="宋体-PUA"/>
          <w:color w:val="auto"/>
          <w:kern w:val="0"/>
          <w:szCs w:val="44"/>
        </w:rPr>
        <w:fldChar w:fldCharType="begin"/>
      </w:r>
      <w:r>
        <w:rPr>
          <w:rFonts w:hint="eastAsia" w:ascii="宋体-PUA" w:hAnsi="宋体-PUA" w:eastAsia="宋体-PUA" w:cs="宋体-PUA"/>
          <w:color w:val="auto"/>
          <w:kern w:val="0"/>
          <w:szCs w:val="44"/>
        </w:rPr>
        <w:instrText xml:space="preserve"> HYPERLINK \l _Toc6577 </w:instrText>
      </w:r>
      <w:r>
        <w:rPr>
          <w:rFonts w:hint="eastAsia" w:ascii="宋体-PUA" w:hAnsi="宋体-PUA" w:eastAsia="宋体-PUA" w:cs="宋体-PUA"/>
          <w:color w:val="auto"/>
          <w:kern w:val="0"/>
          <w:szCs w:val="44"/>
        </w:rPr>
        <w:fldChar w:fldCharType="separate"/>
      </w:r>
      <w:r>
        <w:rPr>
          <w:rFonts w:hint="eastAsia" w:ascii="宋体-PUA" w:hAnsi="宋体-PUA" w:eastAsia="宋体-PUA" w:cs="宋体-PUA"/>
          <w:color w:val="auto"/>
        </w:rPr>
        <w:t>附件</w:t>
      </w:r>
      <w:r>
        <w:rPr>
          <w:rFonts w:hint="eastAsia" w:ascii="宋体-PUA" w:hAnsi="宋体-PUA" w:eastAsia="宋体-PUA" w:cs="宋体-PUA"/>
          <w:color w:val="auto"/>
        </w:rPr>
        <w:tab/>
      </w:r>
      <w:r>
        <w:rPr>
          <w:rFonts w:hint="eastAsia" w:ascii="宋体-PUA" w:hAnsi="宋体-PUA" w:eastAsia="宋体-PUA" w:cs="宋体-PUA"/>
          <w:color w:val="auto"/>
        </w:rPr>
        <w:tab/>
      </w:r>
      <w:r>
        <w:rPr>
          <w:rFonts w:hint="eastAsia" w:ascii="宋体-PUA" w:hAnsi="宋体-PUA" w:eastAsia="宋体-PUA" w:cs="宋体-PUA"/>
          <w:color w:val="auto"/>
        </w:rPr>
        <w:fldChar w:fldCharType="begin"/>
      </w:r>
      <w:r>
        <w:rPr>
          <w:rFonts w:hint="eastAsia" w:ascii="宋体-PUA" w:hAnsi="宋体-PUA" w:eastAsia="宋体-PUA" w:cs="宋体-PUA"/>
          <w:color w:val="auto"/>
        </w:rPr>
        <w:instrText xml:space="preserve"> PAGEREF _Toc6577 </w:instrText>
      </w:r>
      <w:r>
        <w:rPr>
          <w:rFonts w:hint="eastAsia" w:ascii="宋体-PUA" w:hAnsi="宋体-PUA" w:eastAsia="宋体-PUA" w:cs="宋体-PUA"/>
          <w:color w:val="auto"/>
        </w:rPr>
        <w:fldChar w:fldCharType="separate"/>
      </w:r>
      <w:r>
        <w:rPr>
          <w:rFonts w:hint="eastAsia" w:ascii="宋体-PUA" w:hAnsi="宋体-PUA" w:eastAsia="宋体-PUA" w:cs="宋体-PUA"/>
          <w:color w:val="auto"/>
        </w:rPr>
        <w:t>39</w:t>
      </w:r>
      <w:r>
        <w:rPr>
          <w:rFonts w:hint="eastAsia" w:ascii="宋体-PUA" w:hAnsi="宋体-PUA" w:eastAsia="宋体-PUA" w:cs="宋体-PUA"/>
          <w:color w:val="auto"/>
        </w:rPr>
        <w:fldChar w:fldCharType="end"/>
      </w:r>
      <w:r>
        <w:rPr>
          <w:rFonts w:hint="eastAsia" w:ascii="宋体-PUA" w:hAnsi="宋体-PUA" w:eastAsia="宋体-PUA" w:cs="宋体-PUA"/>
          <w:color w:val="auto"/>
          <w:kern w:val="0"/>
          <w:szCs w:val="44"/>
        </w:rPr>
        <w:fldChar w:fldCharType="end"/>
      </w:r>
    </w:p>
    <w:p>
      <w:pPr>
        <w:pStyle w:val="4"/>
        <w:spacing w:beforeLines="50" w:afterLines="50" w:line="560" w:lineRule="exact"/>
        <w:jc w:val="center"/>
        <w:rPr>
          <w:rFonts w:eastAsia="宋体"/>
          <w:bCs w:val="0"/>
          <w:color w:val="auto"/>
          <w:kern w:val="0"/>
          <w:sz w:val="44"/>
          <w:szCs w:val="44"/>
        </w:rPr>
      </w:pPr>
      <w:r>
        <w:rPr>
          <w:rFonts w:hint="eastAsia" w:eastAsia="宋体"/>
          <w:color w:val="auto"/>
          <w:kern w:val="0"/>
          <w:szCs w:val="44"/>
        </w:rPr>
        <w:fldChar w:fldCharType="end"/>
      </w:r>
      <w:bookmarkStart w:id="7" w:name="_Toc25569"/>
      <w:r>
        <w:rPr>
          <w:rFonts w:hint="eastAsia" w:eastAsia="宋体"/>
          <w:color w:val="auto"/>
          <w:kern w:val="0"/>
          <w:szCs w:val="44"/>
        </w:rPr>
        <w:br w:type="page"/>
      </w:r>
      <w:r>
        <w:rPr>
          <w:rFonts w:hint="eastAsia" w:eastAsia="宋体"/>
          <w:bCs w:val="0"/>
          <w:color w:val="auto"/>
          <w:kern w:val="0"/>
          <w:sz w:val="44"/>
          <w:szCs w:val="44"/>
        </w:rPr>
        <w:t>资产评估报告声明</w:t>
      </w:r>
      <w:bookmarkEnd w:id="4"/>
      <w:bookmarkEnd w:id="5"/>
      <w:bookmarkEnd w:id="6"/>
      <w:bookmarkEnd w:id="7"/>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本资产评估报告依据财政部发布的资产评估基本准则和中国资产评估协会发布的资产评估职业准则和职业道德准则编制。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资产评估报告仅供委托人、资产评估委托合同中约定的其他资产评估报告使用人和法律、行政法规规定的资产评估报告使用人使用；除此之外，其他任何机构和个人不能成为资产评估报告的使用人。</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资产评估报告使用人应当正确理解评估结论，评估结论不等同于评估对象可实现价格，评估结论不应当被认为是评估对象可实现价格的保证。</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资产评估报告使用人应当关注评估结论成立的假设前提、资产评估报告特别事项说明和使用限制。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资产评估报告只有当评估基准日与经济行为实现日相距不超过一年时，才可以使用资产评估报告。</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color w:val="auto"/>
          <w:szCs w:val="28"/>
        </w:rPr>
      </w:pPr>
      <w:r>
        <w:rPr>
          <w:rFonts w:hint="eastAsia" w:ascii="宋体" w:hAnsi="宋体" w:eastAsia="宋体" w:cs="宋体"/>
          <w:color w:val="auto"/>
          <w:szCs w:val="28"/>
        </w:rPr>
        <w:t>本资产评估报告是在独立、公正、客观、科学的原则下作出的，本所及参加评估工作的评估专业人员在评估资产中没有现实的和预期的利益，同时与经济行为相关各方之间没有个人利益和偏见。评估专业人员在评估过程中恪守职业道德，遵循评估规范，勤勉尽责。</w:t>
      </w:r>
    </w:p>
    <w:p>
      <w:pPr>
        <w:tabs>
          <w:tab w:val="left" w:pos="5280"/>
        </w:tabs>
        <w:ind w:left="0" w:leftChars="0" w:firstLine="0" w:firstLineChars="0"/>
        <w:rPr>
          <w:rFonts w:eastAsia="宋体"/>
          <w:color w:val="auto"/>
        </w:rPr>
      </w:pPr>
      <w:r>
        <w:rPr>
          <w:rFonts w:eastAsia="宋体"/>
          <w:color w:val="auto"/>
        </w:rPr>
        <w:tab/>
      </w:r>
    </w:p>
    <w:p>
      <w:pPr>
        <w:tabs>
          <w:tab w:val="left" w:pos="2460"/>
        </w:tabs>
        <w:ind w:firstLine="480"/>
        <w:rPr>
          <w:rFonts w:eastAsia="宋体"/>
          <w:color w:val="auto"/>
        </w:rPr>
        <w:sectPr>
          <w:headerReference r:id="rId11" w:type="default"/>
          <w:footerReference r:id="rId12" w:type="default"/>
          <w:pgSz w:w="11906" w:h="16838"/>
          <w:pgMar w:top="1440" w:right="1133" w:bottom="1440" w:left="1800" w:header="907" w:footer="1191" w:gutter="0"/>
          <w:pgBorders>
            <w:top w:val="none" w:sz="0" w:space="0"/>
            <w:left w:val="none" w:sz="0" w:space="0"/>
            <w:bottom w:val="none" w:sz="0" w:space="0"/>
            <w:right w:val="none" w:sz="0" w:space="0"/>
          </w:pgBorders>
          <w:pgNumType w:fmt="decimal" w:start="1"/>
          <w:cols w:space="720" w:num="1"/>
          <w:docGrid w:type="lines" w:linePitch="326" w:charSpace="0"/>
        </w:sectPr>
      </w:pPr>
    </w:p>
    <w:p>
      <w:pPr>
        <w:pStyle w:val="4"/>
        <w:spacing w:beforeLines="50" w:afterLines="50" w:line="560" w:lineRule="exact"/>
        <w:jc w:val="center"/>
        <w:rPr>
          <w:rFonts w:eastAsia="宋体"/>
          <w:color w:val="auto"/>
          <w:kern w:val="0"/>
          <w:sz w:val="44"/>
          <w:szCs w:val="44"/>
        </w:rPr>
      </w:pPr>
      <w:bookmarkStart w:id="8" w:name="_Toc3783"/>
      <w:bookmarkStart w:id="9" w:name="_Toc13414"/>
      <w:r>
        <w:rPr>
          <w:rFonts w:hint="eastAsia" w:eastAsia="宋体"/>
          <w:bCs w:val="0"/>
          <w:color w:val="auto"/>
          <w:kern w:val="0"/>
          <w:sz w:val="44"/>
          <w:szCs w:val="44"/>
        </w:rPr>
        <w:t>资产评估报告书摘要</w:t>
      </w:r>
      <w:bookmarkEnd w:id="8"/>
      <w:bookmarkEnd w:id="9"/>
    </w:p>
    <w:tbl>
      <w:tblPr>
        <w:tblStyle w:val="22"/>
        <w:tblW w:w="91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976" w:hRule="atLeast"/>
        </w:trPr>
        <w:tc>
          <w:tcPr>
            <w:tcW w:w="9103" w:type="dxa"/>
            <w:shd w:val="pct10" w:color="auto" w:fill="auto"/>
          </w:tcPr>
          <w:p>
            <w:pPr>
              <w:spacing w:line="560" w:lineRule="exact"/>
              <w:ind w:firstLine="0" w:firstLineChars="0"/>
              <w:rPr>
                <w:rFonts w:ascii="宋体" w:hAnsi="宋体" w:eastAsia="宋体" w:cs="宋体"/>
                <w:b/>
                <w:bCs/>
                <w:color w:val="auto"/>
                <w:sz w:val="28"/>
              </w:rPr>
            </w:pPr>
            <w:r>
              <w:rPr>
                <w:rFonts w:hint="eastAsia" w:ascii="宋体" w:hAnsi="宋体" w:eastAsia="宋体" w:cs="宋体"/>
                <w:b/>
                <w:bCs/>
                <w:color w:val="auto"/>
                <w:sz w:val="28"/>
              </w:rPr>
              <w:t>以下内容摘自</w:t>
            </w:r>
            <w:r>
              <w:rPr>
                <w:rFonts w:hint="eastAsia" w:ascii="宋体" w:hAnsi="宋体" w:eastAsia="宋体" w:cs="宋体"/>
                <w:b/>
                <w:color w:val="auto"/>
                <w:sz w:val="28"/>
                <w:szCs w:val="28"/>
              </w:rPr>
              <w:t>汉恒评报字[201</w:t>
            </w:r>
            <w:r>
              <w:rPr>
                <w:rFonts w:hint="eastAsia" w:ascii="宋体" w:hAnsi="宋体" w:eastAsia="宋体" w:cs="宋体"/>
                <w:b/>
                <w:color w:val="auto"/>
                <w:sz w:val="28"/>
                <w:szCs w:val="28"/>
                <w:lang w:val="en-US" w:eastAsia="zh-CN"/>
              </w:rPr>
              <w:t>9</w:t>
            </w:r>
            <w:r>
              <w:rPr>
                <w:rFonts w:hint="eastAsia" w:ascii="宋体" w:hAnsi="宋体" w:eastAsia="宋体" w:cs="宋体"/>
                <w:b/>
                <w:color w:val="auto"/>
                <w:sz w:val="28"/>
                <w:szCs w:val="28"/>
              </w:rPr>
              <w:t>]</w:t>
            </w:r>
            <w:r>
              <w:rPr>
                <w:rFonts w:hint="eastAsia" w:ascii="宋体" w:hAnsi="宋体" w:eastAsia="宋体" w:cs="宋体"/>
                <w:b/>
                <w:color w:val="auto"/>
                <w:sz w:val="28"/>
                <w:szCs w:val="28"/>
                <w:highlight w:val="none"/>
              </w:rPr>
              <w:t>第</w:t>
            </w:r>
            <w:r>
              <w:rPr>
                <w:rFonts w:hint="eastAsia" w:ascii="宋体" w:hAnsi="宋体" w:eastAsia="宋体" w:cs="宋体"/>
                <w:b/>
                <w:i w:val="0"/>
                <w:iCs w:val="0"/>
                <w:color w:val="auto"/>
                <w:sz w:val="28"/>
                <w:szCs w:val="28"/>
                <w:highlight w:val="none"/>
                <w:lang w:val="en-US" w:eastAsia="zh-CN"/>
              </w:rPr>
              <w:t>210</w:t>
            </w:r>
            <w:r>
              <w:rPr>
                <w:rFonts w:hint="eastAsia" w:ascii="宋体" w:hAnsi="宋体" w:eastAsia="宋体" w:cs="宋体"/>
                <w:b/>
                <w:color w:val="auto"/>
                <w:sz w:val="28"/>
                <w:szCs w:val="28"/>
                <w:highlight w:val="none"/>
              </w:rPr>
              <w:t>号</w:t>
            </w:r>
            <w:r>
              <w:rPr>
                <w:rFonts w:hint="eastAsia" w:ascii="宋体" w:hAnsi="宋体" w:eastAsia="宋体" w:cs="宋体"/>
                <w:b/>
                <w:bCs/>
                <w:color w:val="auto"/>
                <w:sz w:val="28"/>
              </w:rPr>
              <w:t>《资产评估报告书》，欲了解本评估项目的全面情况，应认真阅读资产评估报告书全文。</w:t>
            </w:r>
          </w:p>
        </w:tc>
      </w:tr>
    </w:tbl>
    <w:p>
      <w:pPr>
        <w:pStyle w:val="8"/>
        <w:spacing w:line="560" w:lineRule="exact"/>
        <w:ind w:left="0" w:leftChars="0" w:firstLine="540"/>
        <w:rPr>
          <w:rFonts w:ascii="宋体" w:hAnsi="宋体" w:cs="宋体"/>
          <w:b/>
          <w:bCs/>
          <w:color w:val="auto"/>
          <w:w w:val="96"/>
          <w:sz w:val="28"/>
        </w:rPr>
      </w:pPr>
      <w:r>
        <w:rPr>
          <w:rFonts w:hint="eastAsia" w:ascii="宋体" w:hAnsi="宋体" w:cs="宋体"/>
          <w:b/>
          <w:bCs/>
          <w:color w:val="auto"/>
          <w:w w:val="96"/>
          <w:sz w:val="28"/>
        </w:rPr>
        <w:t>一、</w:t>
      </w:r>
      <w:r>
        <w:rPr>
          <w:rFonts w:hint="eastAsia" w:ascii="宋体" w:hAnsi="宋体" w:cs="宋体"/>
          <w:b/>
          <w:bCs/>
          <w:color w:val="auto"/>
          <w:w w:val="96"/>
          <w:sz w:val="28"/>
          <w:lang w:eastAsia="zh-CN"/>
        </w:rPr>
        <w:t>委托人</w:t>
      </w:r>
      <w:r>
        <w:rPr>
          <w:rFonts w:hint="eastAsia" w:ascii="宋体" w:hAnsi="宋体" w:cs="宋体"/>
          <w:b/>
          <w:bCs/>
          <w:color w:val="auto"/>
          <w:w w:val="96"/>
          <w:sz w:val="28"/>
        </w:rPr>
        <w:t>、被评估单位和</w:t>
      </w:r>
      <w:r>
        <w:rPr>
          <w:rFonts w:hint="eastAsia" w:ascii="宋体" w:hAnsi="宋体" w:cs="宋体"/>
          <w:b/>
          <w:bCs/>
          <w:color w:val="auto"/>
          <w:w w:val="96"/>
          <w:sz w:val="28"/>
          <w:lang w:eastAsia="zh-CN"/>
        </w:rPr>
        <w:t>委托人</w:t>
      </w:r>
      <w:r>
        <w:rPr>
          <w:rFonts w:hint="eastAsia" w:ascii="宋体" w:hAnsi="宋体" w:cs="宋体"/>
          <w:b/>
          <w:bCs/>
          <w:color w:val="auto"/>
          <w:w w:val="96"/>
          <w:sz w:val="28"/>
        </w:rPr>
        <w:t>以外的其他评估报告使用者</w:t>
      </w:r>
    </w:p>
    <w:p>
      <w:pPr>
        <w:numPr>
          <w:ilvl w:val="0"/>
          <w:numId w:val="2"/>
        </w:numPr>
        <w:ind w:firstLine="482"/>
        <w:rPr>
          <w:rFonts w:ascii="宋体" w:hAnsi="宋体" w:eastAsia="宋体"/>
          <w:b/>
          <w:bCs/>
          <w:color w:val="auto"/>
        </w:rPr>
      </w:pPr>
      <w:r>
        <w:rPr>
          <w:rFonts w:hint="eastAsia" w:ascii="宋体" w:hAnsi="宋体" w:eastAsia="宋体"/>
          <w:b/>
          <w:bCs/>
          <w:color w:val="auto"/>
          <w:lang w:eastAsia="zh-CN"/>
        </w:rPr>
        <w:t>委托人</w:t>
      </w:r>
      <w:r>
        <w:rPr>
          <w:rFonts w:ascii="宋体" w:hAnsi="宋体" w:eastAsia="宋体"/>
          <w:b/>
          <w:bCs/>
          <w:color w:val="auto"/>
        </w:rPr>
        <w:tab/>
      </w:r>
    </w:p>
    <w:p>
      <w:pPr>
        <w:ind w:firstLine="480"/>
        <w:rPr>
          <w:rFonts w:hint="eastAsia" w:ascii="宋体" w:hAnsi="宋体" w:eastAsia="宋体"/>
          <w:color w:val="auto"/>
          <w:lang w:eastAsia="zh-CN"/>
        </w:rPr>
      </w:pPr>
      <w:r>
        <w:rPr>
          <w:rFonts w:hint="eastAsia" w:ascii="宋体" w:hAnsi="宋体" w:eastAsia="宋体"/>
          <w:color w:val="auto"/>
        </w:rPr>
        <w:t>本评估项目的</w:t>
      </w:r>
      <w:r>
        <w:rPr>
          <w:rFonts w:hint="eastAsia" w:ascii="宋体" w:hAnsi="宋体" w:eastAsia="宋体"/>
          <w:color w:val="auto"/>
          <w:lang w:eastAsia="zh-CN"/>
        </w:rPr>
        <w:t>委托人</w:t>
      </w:r>
      <w:r>
        <w:rPr>
          <w:rFonts w:hint="eastAsia" w:ascii="宋体" w:hAnsi="宋体" w:eastAsia="宋体"/>
          <w:color w:val="auto"/>
        </w:rPr>
        <w:t>为</w:t>
      </w:r>
      <w:r>
        <w:rPr>
          <w:rFonts w:hint="eastAsia" w:ascii="宋体" w:hAnsi="宋体" w:eastAsia="宋体"/>
          <w:color w:val="auto"/>
          <w:lang w:eastAsia="zh-CN"/>
        </w:rPr>
        <w:t>陕西省西乡县人民法院。</w:t>
      </w:r>
    </w:p>
    <w:p>
      <w:pPr>
        <w:numPr>
          <w:ilvl w:val="0"/>
          <w:numId w:val="3"/>
        </w:numPr>
        <w:ind w:firstLine="482"/>
        <w:rPr>
          <w:rFonts w:ascii="宋体" w:hAnsi="宋体" w:eastAsia="宋体"/>
          <w:b/>
          <w:bCs/>
          <w:color w:val="auto"/>
        </w:rPr>
      </w:pPr>
      <w:r>
        <w:rPr>
          <w:rFonts w:ascii="宋体" w:hAnsi="宋体" w:eastAsia="宋体"/>
          <w:b/>
          <w:bCs/>
          <w:color w:val="auto"/>
        </w:rPr>
        <w:t>被评估单位</w:t>
      </w:r>
    </w:p>
    <w:p>
      <w:pPr>
        <w:pStyle w:val="8"/>
        <w:spacing w:line="560" w:lineRule="exact"/>
        <w:ind w:left="0" w:leftChars="0" w:firstLine="534"/>
        <w:rPr>
          <w:rFonts w:hint="eastAsia" w:ascii="宋体" w:hAnsi="宋体"/>
          <w:color w:val="auto"/>
          <w:sz w:val="24"/>
        </w:rPr>
      </w:pPr>
      <w:r>
        <w:rPr>
          <w:rFonts w:hint="eastAsia" w:ascii="宋体" w:hAnsi="宋体"/>
          <w:color w:val="auto"/>
          <w:sz w:val="24"/>
        </w:rPr>
        <w:t>本评估项目的被评估单位为</w:t>
      </w:r>
      <w:r>
        <w:rPr>
          <w:rFonts w:hint="eastAsia" w:ascii="宋体" w:hAnsi="宋体"/>
          <w:color w:val="auto"/>
          <w:sz w:val="24"/>
          <w:lang w:eastAsia="zh-CN"/>
        </w:rPr>
        <w:t>岳洪、祝儒琴、岳玉康，系本评估项目案件被执行人</w:t>
      </w:r>
      <w:r>
        <w:rPr>
          <w:rFonts w:hint="eastAsia" w:ascii="宋体" w:hAnsi="宋体"/>
          <w:color w:val="auto"/>
          <w:sz w:val="24"/>
        </w:rPr>
        <w:t>。</w:t>
      </w:r>
    </w:p>
    <w:p>
      <w:pPr>
        <w:pStyle w:val="8"/>
        <w:spacing w:line="560" w:lineRule="exact"/>
        <w:ind w:left="0" w:leftChars="0" w:firstLine="534"/>
        <w:rPr>
          <w:rFonts w:hint="eastAsia" w:ascii="宋体" w:hAnsi="宋体" w:eastAsia="宋体"/>
          <w:color w:val="auto"/>
          <w:sz w:val="24"/>
          <w:lang w:eastAsia="zh-CN"/>
        </w:rPr>
      </w:pPr>
      <w:r>
        <w:rPr>
          <w:rFonts w:hint="eastAsia" w:ascii="宋体" w:hAnsi="宋体"/>
          <w:color w:val="auto"/>
          <w:sz w:val="24"/>
          <w:lang w:eastAsia="zh-CN"/>
        </w:rPr>
        <w:t>（根据（</w:t>
      </w:r>
      <w:r>
        <w:rPr>
          <w:rFonts w:hint="eastAsia" w:ascii="宋体" w:hAnsi="宋体"/>
          <w:color w:val="auto"/>
          <w:sz w:val="24"/>
          <w:lang w:val="en-US" w:eastAsia="zh-CN"/>
        </w:rPr>
        <w:t>2019</w:t>
      </w:r>
      <w:r>
        <w:rPr>
          <w:rFonts w:hint="eastAsia" w:ascii="宋体" w:hAnsi="宋体"/>
          <w:color w:val="auto"/>
          <w:sz w:val="24"/>
          <w:lang w:eastAsia="zh-CN"/>
        </w:rPr>
        <w:t>）陕</w:t>
      </w:r>
      <w:r>
        <w:rPr>
          <w:rFonts w:hint="eastAsia" w:ascii="宋体" w:hAnsi="宋体"/>
          <w:color w:val="auto"/>
          <w:sz w:val="24"/>
          <w:lang w:val="en-US" w:eastAsia="zh-CN"/>
        </w:rPr>
        <w:t>0724民初973号民事判决书，岳玉康与祝儒琴系夫妻关系，岳玉康与岳洪系父子关系</w:t>
      </w:r>
      <w:r>
        <w:rPr>
          <w:rFonts w:hint="eastAsia" w:ascii="宋体" w:hAnsi="宋体"/>
          <w:color w:val="auto"/>
          <w:sz w:val="24"/>
          <w:lang w:eastAsia="zh-CN"/>
        </w:rPr>
        <w:t>）</w:t>
      </w:r>
    </w:p>
    <w:p>
      <w:pPr>
        <w:numPr>
          <w:ilvl w:val="0"/>
          <w:numId w:val="3"/>
        </w:numPr>
        <w:ind w:firstLine="482"/>
        <w:rPr>
          <w:rFonts w:ascii="宋体" w:hAnsi="宋体" w:eastAsia="宋体"/>
          <w:b/>
          <w:bCs/>
          <w:color w:val="auto"/>
        </w:rPr>
      </w:pPr>
      <w:r>
        <w:rPr>
          <w:rFonts w:hint="eastAsia" w:ascii="宋体" w:hAnsi="宋体" w:eastAsia="宋体"/>
          <w:b/>
          <w:bCs/>
          <w:color w:val="auto"/>
          <w:lang w:eastAsia="zh-CN"/>
        </w:rPr>
        <w:t>委托人</w:t>
      </w:r>
      <w:r>
        <w:rPr>
          <w:rFonts w:hint="eastAsia" w:ascii="宋体" w:hAnsi="宋体" w:eastAsia="宋体"/>
          <w:b/>
          <w:bCs/>
          <w:color w:val="auto"/>
        </w:rPr>
        <w:t>以外的其他评估报告使用人</w:t>
      </w:r>
    </w:p>
    <w:p>
      <w:pPr>
        <w:spacing w:line="560" w:lineRule="exact"/>
        <w:ind w:firstLine="482" w:firstLineChars="0"/>
        <w:rPr>
          <w:rFonts w:hint="eastAsia" w:ascii="宋体" w:hAnsi="宋体" w:eastAsia="宋体" w:cs="宋体"/>
          <w:color w:val="auto"/>
          <w:lang w:eastAsia="zh-CN"/>
        </w:rPr>
      </w:pPr>
      <w:r>
        <w:rPr>
          <w:rFonts w:hint="eastAsia" w:ascii="宋体" w:hAnsi="宋体" w:eastAsia="宋体" w:cs="宋体"/>
          <w:color w:val="auto"/>
          <w:lang w:eastAsia="zh-CN"/>
        </w:rPr>
        <w:t>委托人</w:t>
      </w:r>
      <w:r>
        <w:rPr>
          <w:rFonts w:hint="eastAsia" w:ascii="宋体" w:hAnsi="宋体" w:eastAsia="宋体" w:cs="宋体"/>
          <w:color w:val="auto"/>
        </w:rPr>
        <w:t>以外的其他</w:t>
      </w:r>
      <w:r>
        <w:rPr>
          <w:rFonts w:ascii="宋体" w:hAnsi="宋体" w:eastAsia="宋体" w:cs="宋体"/>
          <w:color w:val="auto"/>
        </w:rPr>
        <w:t>评估报告使用</w:t>
      </w:r>
      <w:r>
        <w:rPr>
          <w:rFonts w:hint="eastAsia" w:ascii="宋体" w:hAnsi="宋体" w:eastAsia="宋体" w:cs="宋体"/>
          <w:color w:val="auto"/>
        </w:rPr>
        <w:t>人</w:t>
      </w:r>
      <w:r>
        <w:rPr>
          <w:rFonts w:ascii="宋体" w:hAnsi="宋体" w:eastAsia="宋体" w:cs="宋体"/>
          <w:color w:val="auto"/>
        </w:rPr>
        <w:t>为法律法规规定的报告使用</w:t>
      </w:r>
      <w:r>
        <w:rPr>
          <w:rFonts w:hint="eastAsia" w:ascii="宋体" w:hAnsi="宋体" w:eastAsia="宋体" w:cs="宋体"/>
          <w:color w:val="auto"/>
        </w:rPr>
        <w:t>人</w:t>
      </w:r>
      <w:r>
        <w:rPr>
          <w:rFonts w:hint="eastAsia" w:ascii="宋体" w:hAnsi="宋体" w:eastAsia="宋体" w:cs="宋体"/>
          <w:color w:val="auto"/>
          <w:lang w:eastAsia="zh-CN"/>
        </w:rPr>
        <w:t>。</w:t>
      </w:r>
    </w:p>
    <w:p>
      <w:pPr>
        <w:pStyle w:val="8"/>
        <w:spacing w:line="560" w:lineRule="exact"/>
        <w:ind w:left="0" w:leftChars="0" w:firstLine="540"/>
        <w:rPr>
          <w:rFonts w:ascii="宋体" w:hAnsi="宋体" w:cs="宋体"/>
          <w:color w:val="auto"/>
          <w:w w:val="96"/>
          <w:sz w:val="28"/>
        </w:rPr>
      </w:pPr>
      <w:r>
        <w:rPr>
          <w:rFonts w:hint="eastAsia" w:ascii="宋体" w:hAnsi="宋体" w:cs="宋体"/>
          <w:b/>
          <w:bCs/>
          <w:color w:val="auto"/>
          <w:w w:val="96"/>
          <w:sz w:val="28"/>
        </w:rPr>
        <w:t>二、评估目的</w:t>
      </w:r>
    </w:p>
    <w:p>
      <w:pPr>
        <w:pStyle w:val="8"/>
        <w:spacing w:after="0" w:line="560" w:lineRule="exact"/>
        <w:ind w:left="0" w:leftChars="0" w:firstLine="534"/>
        <w:rPr>
          <w:rFonts w:hint="eastAsia" w:ascii="宋体" w:hAnsi="宋体" w:cs="宋体"/>
          <w:color w:val="auto"/>
          <w:sz w:val="24"/>
        </w:rPr>
      </w:pPr>
      <w:r>
        <w:rPr>
          <w:rFonts w:hint="eastAsia" w:ascii="宋体" w:hAnsi="宋体" w:cs="宋体"/>
          <w:color w:val="auto"/>
          <w:sz w:val="24"/>
        </w:rPr>
        <w:t>本次评估目的系为</w:t>
      </w:r>
      <w:r>
        <w:rPr>
          <w:rFonts w:hint="eastAsia" w:ascii="宋体" w:hAnsi="宋体" w:cs="宋体"/>
          <w:color w:val="auto"/>
          <w:sz w:val="24"/>
          <w:lang w:eastAsia="zh-CN"/>
        </w:rPr>
        <w:t>陕西省西乡县人民法院委托的位于西乡县城关镇附溪村二组岳洪、祝儒琴名下的一至七层房地产</w:t>
      </w:r>
      <w:r>
        <w:rPr>
          <w:rFonts w:hint="eastAsia" w:ascii="宋体" w:hAnsi="宋体" w:cs="宋体"/>
          <w:color w:val="auto"/>
          <w:sz w:val="24"/>
          <w:lang w:val="en-US" w:eastAsia="zh-CN"/>
        </w:rPr>
        <w:t>司法</w:t>
      </w:r>
      <w:r>
        <w:rPr>
          <w:rFonts w:hint="eastAsia" w:ascii="宋体" w:hAnsi="宋体" w:cs="宋体"/>
          <w:color w:val="auto"/>
          <w:sz w:val="24"/>
        </w:rPr>
        <w:t>处分</w:t>
      </w:r>
      <w:r>
        <w:rPr>
          <w:rFonts w:hint="eastAsia" w:ascii="宋体" w:hAnsi="宋体" w:cs="宋体"/>
          <w:color w:val="auto"/>
          <w:sz w:val="24"/>
          <w:lang w:eastAsia="zh-CN"/>
        </w:rPr>
        <w:t>价值进行评估，为陕西省西乡县人民法院进行司法处分</w:t>
      </w:r>
      <w:r>
        <w:rPr>
          <w:rFonts w:hint="eastAsia" w:ascii="宋体" w:hAnsi="宋体" w:cs="宋体"/>
          <w:color w:val="auto"/>
          <w:sz w:val="24"/>
        </w:rPr>
        <w:t>提供价值参考意见。</w:t>
      </w:r>
    </w:p>
    <w:p>
      <w:pPr>
        <w:pStyle w:val="8"/>
        <w:spacing w:line="560" w:lineRule="exact"/>
        <w:ind w:left="0" w:leftChars="0" w:firstLine="540"/>
        <w:rPr>
          <w:rFonts w:ascii="宋体" w:hAnsi="宋体" w:cs="宋体"/>
          <w:color w:val="auto"/>
          <w:w w:val="96"/>
          <w:sz w:val="28"/>
        </w:rPr>
      </w:pPr>
      <w:r>
        <w:rPr>
          <w:rFonts w:hint="eastAsia" w:ascii="宋体" w:hAnsi="宋体" w:cs="宋体"/>
          <w:b/>
          <w:bCs/>
          <w:color w:val="auto"/>
          <w:w w:val="96"/>
          <w:sz w:val="28"/>
        </w:rPr>
        <w:t>三、评估对象和评估范围</w:t>
      </w:r>
    </w:p>
    <w:p>
      <w:pPr>
        <w:pStyle w:val="8"/>
        <w:spacing w:after="0" w:line="560" w:lineRule="exact"/>
        <w:ind w:left="0" w:leftChars="0" w:firstLine="534"/>
        <w:rPr>
          <w:rFonts w:ascii="宋体" w:hAnsi="宋体" w:cs="宋体"/>
          <w:color w:val="auto"/>
          <w:sz w:val="24"/>
        </w:rPr>
      </w:pPr>
      <w:r>
        <w:rPr>
          <w:rFonts w:hint="eastAsia" w:ascii="宋体" w:hAnsi="宋体" w:cs="宋体"/>
          <w:color w:val="auto"/>
          <w:sz w:val="24"/>
        </w:rPr>
        <w:t>本次评估对象是</w:t>
      </w:r>
      <w:r>
        <w:rPr>
          <w:rFonts w:hint="eastAsia" w:ascii="宋体" w:hAnsi="宋体" w:cs="宋体"/>
          <w:color w:val="auto"/>
          <w:sz w:val="24"/>
          <w:lang w:eastAsia="zh-CN"/>
        </w:rPr>
        <w:t>陕西省西乡县人民法院执行的陕西西乡农村商业银行股份有限公司城关支行与岳洪、岳玉康、祝儒琴、周青金融借款合同纠纷一案涉及的位于西乡县城关镇附溪村二组岳洪、祝儒琴名下的一至七层房地产的司法处分价值</w:t>
      </w:r>
      <w:r>
        <w:rPr>
          <w:rFonts w:hint="eastAsia" w:ascii="宋体" w:hAnsi="宋体" w:cs="宋体"/>
          <w:color w:val="auto"/>
          <w:sz w:val="24"/>
        </w:rPr>
        <w:t>。</w:t>
      </w:r>
    </w:p>
    <w:p>
      <w:pPr>
        <w:pStyle w:val="8"/>
        <w:spacing w:after="0" w:line="560" w:lineRule="exact"/>
        <w:ind w:left="0" w:leftChars="0" w:firstLine="534"/>
        <w:rPr>
          <w:rFonts w:hint="eastAsia" w:ascii="宋体" w:hAnsi="宋体" w:cs="宋体"/>
          <w:color w:val="auto"/>
          <w:sz w:val="24"/>
        </w:rPr>
      </w:pPr>
      <w:r>
        <w:rPr>
          <w:rFonts w:hint="eastAsia" w:ascii="宋体" w:hAnsi="宋体" w:cs="宋体"/>
          <w:color w:val="auto"/>
          <w:sz w:val="24"/>
        </w:rPr>
        <w:t>本次评估范围是位于</w:t>
      </w:r>
      <w:r>
        <w:rPr>
          <w:rFonts w:hint="eastAsia" w:ascii="宋体" w:hAnsi="宋体" w:cs="宋体"/>
          <w:color w:val="auto"/>
          <w:sz w:val="24"/>
          <w:lang w:eastAsia="zh-CN"/>
        </w:rPr>
        <w:t>西乡县城关镇附溪村二组岳洪、祝儒琴名下的一至七层房地产</w:t>
      </w:r>
      <w:r>
        <w:rPr>
          <w:rFonts w:hint="eastAsia" w:ascii="宋体" w:hAnsi="宋体" w:cs="宋体"/>
          <w:color w:val="auto"/>
          <w:sz w:val="24"/>
        </w:rPr>
        <w:t>，</w:t>
      </w:r>
      <w:r>
        <w:rPr>
          <w:rFonts w:hint="eastAsia" w:ascii="宋体" w:hAnsi="宋体" w:cs="宋体"/>
          <w:color w:val="auto"/>
          <w:sz w:val="24"/>
          <w:lang w:eastAsia="zh-CN"/>
        </w:rPr>
        <w:t>权证信息详见</w:t>
      </w:r>
      <w:r>
        <w:rPr>
          <w:rFonts w:hint="eastAsia" w:ascii="宋体" w:hAnsi="宋体" w:cs="宋体"/>
          <w:color w:val="auto"/>
          <w:sz w:val="24"/>
        </w:rPr>
        <w:t>下表：</w:t>
      </w:r>
    </w:p>
    <w:p>
      <w:pPr>
        <w:pStyle w:val="8"/>
        <w:numPr>
          <w:ilvl w:val="0"/>
          <w:numId w:val="0"/>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《房屋所有权证》及《土地使用证》登记信息</w:t>
      </w:r>
    </w:p>
    <w:p>
      <w:pPr>
        <w:pStyle w:val="8"/>
        <w:numPr>
          <w:ilvl w:val="0"/>
          <w:numId w:val="4"/>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岳洪名下房地产信息：</w:t>
      </w:r>
    </w:p>
    <w:tbl>
      <w:tblPr>
        <w:tblStyle w:val="22"/>
        <w:tblW w:w="5000" w:type="pct"/>
        <w:tblInd w:w="0" w:type="dxa"/>
        <w:shd w:val="clear" w:color="auto" w:fill="auto"/>
        <w:tblLayout w:type="fixed"/>
        <w:tblCellMar>
          <w:top w:w="0" w:type="dxa"/>
          <w:left w:w="0" w:type="dxa"/>
          <w:bottom w:w="0" w:type="dxa"/>
          <w:right w:w="0" w:type="dxa"/>
        </w:tblCellMar>
      </w:tblPr>
      <w:tblGrid>
        <w:gridCol w:w="442"/>
        <w:gridCol w:w="1725"/>
        <w:gridCol w:w="765"/>
        <w:gridCol w:w="915"/>
        <w:gridCol w:w="1005"/>
        <w:gridCol w:w="435"/>
        <w:gridCol w:w="750"/>
        <w:gridCol w:w="615"/>
        <w:gridCol w:w="525"/>
        <w:gridCol w:w="735"/>
        <w:gridCol w:w="1332"/>
      </w:tblGrid>
      <w:tr>
        <w:tblPrEx>
          <w:shd w:val="clear" w:color="auto" w:fill="auto"/>
          <w:tblCellMar>
            <w:top w:w="0" w:type="dxa"/>
            <w:left w:w="0" w:type="dxa"/>
            <w:bottom w:w="0" w:type="dxa"/>
            <w:right w:w="0" w:type="dxa"/>
          </w:tblCellMar>
        </w:tblPrEx>
        <w:trPr>
          <w:trHeight w:val="68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1217"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西乡县房权证西私房字第28789号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单独所有</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643.85</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一、房屋四址：东：自墙 南：自墙 西：自墙 北：共墙</w:t>
            </w:r>
          </w:p>
        </w:tc>
      </w:tr>
      <w:tr>
        <w:tblPrEx>
          <w:tblCellMar>
            <w:top w:w="0" w:type="dxa"/>
            <w:left w:w="0" w:type="dxa"/>
            <w:bottom w:w="0" w:type="dxa"/>
            <w:right w:w="0" w:type="dxa"/>
          </w:tblCellMar>
        </w:tblPrEx>
        <w:trPr>
          <w:trHeight w:val="540"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618"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西乡县集用（土）第610724100207JC00504</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00504</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87.52</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4"/>
        </w:numPr>
        <w:spacing w:after="0" w:line="560" w:lineRule="exact"/>
        <w:ind w:left="534" w:leftChars="0" w:firstLine="0" w:firstLineChars="0"/>
        <w:rPr>
          <w:rFonts w:hint="eastAsia" w:ascii="宋体" w:hAnsi="宋体" w:cs="宋体"/>
          <w:color w:val="auto"/>
          <w:sz w:val="24"/>
          <w:lang w:val="en-US" w:eastAsia="zh-CN"/>
        </w:rPr>
      </w:pPr>
      <w:r>
        <w:rPr>
          <w:rFonts w:hint="eastAsia" w:ascii="宋体" w:hAnsi="宋体" w:cs="宋体"/>
          <w:color w:val="auto"/>
          <w:sz w:val="24"/>
          <w:lang w:val="en-US" w:eastAsia="zh-CN"/>
        </w:rPr>
        <w:t>祝儒琴名下房地产信息：</w:t>
      </w:r>
    </w:p>
    <w:tbl>
      <w:tblPr>
        <w:tblStyle w:val="22"/>
        <w:tblW w:w="4996" w:type="pct"/>
        <w:tblInd w:w="0" w:type="dxa"/>
        <w:shd w:val="clear" w:color="auto" w:fill="auto"/>
        <w:tblLayout w:type="autofit"/>
        <w:tblCellMar>
          <w:top w:w="0" w:type="dxa"/>
          <w:left w:w="0" w:type="dxa"/>
          <w:bottom w:w="0" w:type="dxa"/>
          <w:right w:w="0" w:type="dxa"/>
        </w:tblCellMar>
      </w:tblPr>
      <w:tblGrid>
        <w:gridCol w:w="436"/>
        <w:gridCol w:w="1762"/>
        <w:gridCol w:w="780"/>
        <w:gridCol w:w="886"/>
        <w:gridCol w:w="1006"/>
        <w:gridCol w:w="705"/>
        <w:gridCol w:w="840"/>
        <w:gridCol w:w="553"/>
        <w:gridCol w:w="614"/>
        <w:gridCol w:w="570"/>
        <w:gridCol w:w="1085"/>
      </w:tblGrid>
      <w:tr>
        <w:tblPrEx>
          <w:tblCellMar>
            <w:top w:w="0" w:type="dxa"/>
            <w:left w:w="0" w:type="dxa"/>
            <w:bottom w:w="0" w:type="dxa"/>
            <w:right w:w="0" w:type="dxa"/>
          </w:tblCellMar>
        </w:tblPrEx>
        <w:trPr>
          <w:trHeight w:val="653"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1691"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西乡县房权证西私房字第28790号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祝儒琴</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共同共有，共有人岳玉康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852.6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一、房屋四址：东、南、西、北：自墙，共有人：岳玉康</w:t>
            </w:r>
          </w:p>
        </w:tc>
      </w:tr>
      <w:tr>
        <w:trPr>
          <w:trHeight w:val="48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558"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西乡县集用（土）第610724100207JC00513</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岳玉康</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00513</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128.76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0"/>
        </w:numPr>
        <w:spacing w:after="0" w:line="560" w:lineRule="exact"/>
        <w:ind w:left="14" w:leftChars="0" w:firstLine="518" w:firstLineChars="216"/>
        <w:rPr>
          <w:rFonts w:hint="eastAsia" w:ascii="宋体" w:hAnsi="宋体" w:cs="宋体"/>
          <w:color w:val="auto"/>
          <w:sz w:val="24"/>
          <w:lang w:val="en-US" w:eastAsia="zh-CN"/>
        </w:rPr>
      </w:pPr>
      <w:r>
        <w:rPr>
          <w:rFonts w:hint="eastAsia" w:ascii="宋体" w:hAnsi="宋体" w:cs="宋体"/>
          <w:color w:val="auto"/>
          <w:sz w:val="24"/>
          <w:lang w:val="en-US" w:eastAsia="zh-CN"/>
        </w:rPr>
        <w:t>根据委托人出具的陕西省西乡县人民法院民事判决书（2019）陕0724民初973号，委估房地产已设定抵押权。</w:t>
      </w:r>
    </w:p>
    <w:p>
      <w:pPr>
        <w:pStyle w:val="8"/>
        <w:numPr>
          <w:ilvl w:val="0"/>
          <w:numId w:val="0"/>
        </w:numPr>
        <w:spacing w:after="0" w:line="560" w:lineRule="exact"/>
        <w:ind w:left="14" w:leftChars="0" w:firstLine="518" w:firstLineChars="216"/>
        <w:rPr>
          <w:rFonts w:hint="default" w:ascii="宋体" w:hAnsi="宋体" w:cs="宋体"/>
          <w:color w:val="auto"/>
          <w:sz w:val="24"/>
          <w:lang w:val="en-US" w:eastAsia="zh-CN"/>
        </w:rPr>
      </w:pPr>
      <w:r>
        <w:rPr>
          <w:rFonts w:hint="eastAsia" w:ascii="宋体" w:hAnsi="宋体" w:cs="宋体"/>
          <w:color w:val="auto"/>
          <w:sz w:val="24"/>
          <w:lang w:val="en-US" w:eastAsia="zh-CN"/>
        </w:rPr>
        <w:t>根据现场勘查，评估对象实际作为酒店由被执行人自营，本次评估范围包括房地产及房屋内部装修，不包含其他可移动的、独立于建筑物的动产设施及设备资产。</w:t>
      </w:r>
    </w:p>
    <w:p>
      <w:pPr>
        <w:pStyle w:val="8"/>
        <w:spacing w:line="560" w:lineRule="exact"/>
        <w:ind w:left="0" w:leftChars="0" w:firstLine="540"/>
        <w:rPr>
          <w:rFonts w:ascii="宋体" w:hAnsi="宋体" w:cs="宋体"/>
          <w:color w:val="auto"/>
          <w:w w:val="96"/>
          <w:sz w:val="28"/>
        </w:rPr>
      </w:pPr>
      <w:r>
        <w:rPr>
          <w:rFonts w:hint="eastAsia" w:ascii="宋体" w:hAnsi="宋体" w:cs="宋体"/>
          <w:b/>
          <w:bCs/>
          <w:color w:val="auto"/>
          <w:w w:val="96"/>
          <w:sz w:val="28"/>
        </w:rPr>
        <w:t>四、评估基准日</w:t>
      </w:r>
      <w:bookmarkStart w:id="10" w:name="OLE_LINK2"/>
    </w:p>
    <w:bookmarkEnd w:id="10"/>
    <w:p>
      <w:pPr>
        <w:pStyle w:val="8"/>
        <w:spacing w:line="560" w:lineRule="exact"/>
        <w:ind w:left="0" w:leftChars="0" w:firstLine="534"/>
        <w:rPr>
          <w:rFonts w:ascii="宋体" w:hAnsi="宋体" w:cs="宋体"/>
          <w:color w:val="auto"/>
          <w:sz w:val="24"/>
        </w:rPr>
      </w:pPr>
      <w:r>
        <w:rPr>
          <w:rFonts w:hint="eastAsia" w:ascii="宋体" w:hAnsi="宋体" w:cs="宋体"/>
          <w:color w:val="auto"/>
          <w:sz w:val="24"/>
        </w:rPr>
        <w:t>本次评估基准日期以现场勘验日期为准，即本资产评估项目评估基准日为</w:t>
      </w:r>
      <w:r>
        <w:rPr>
          <w:rFonts w:hint="eastAsia" w:ascii="宋体" w:hAnsi="宋体" w:cs="宋体"/>
          <w:color w:val="auto"/>
          <w:sz w:val="24"/>
          <w:lang w:eastAsia="zh-CN"/>
        </w:rPr>
        <w:t>2019年11月22日</w:t>
      </w:r>
      <w:r>
        <w:rPr>
          <w:rFonts w:hint="eastAsia" w:ascii="宋体" w:hAnsi="宋体" w:cs="宋体"/>
          <w:color w:val="auto"/>
          <w:sz w:val="24"/>
        </w:rPr>
        <w:t>，评估中所采用的价格是评估基准日的标准。</w:t>
      </w:r>
    </w:p>
    <w:p>
      <w:pPr>
        <w:spacing w:line="560" w:lineRule="exact"/>
        <w:ind w:firstLine="540"/>
        <w:rPr>
          <w:rFonts w:ascii="宋体" w:hAnsi="宋体" w:eastAsia="宋体" w:cs="宋体"/>
          <w:color w:val="auto"/>
          <w:sz w:val="28"/>
          <w:highlight w:val="none"/>
        </w:rPr>
      </w:pPr>
      <w:r>
        <w:rPr>
          <w:rFonts w:hint="eastAsia" w:ascii="宋体" w:hAnsi="宋体" w:eastAsia="宋体" w:cs="宋体"/>
          <w:b/>
          <w:bCs/>
          <w:color w:val="auto"/>
          <w:w w:val="96"/>
          <w:sz w:val="28"/>
        </w:rPr>
        <w:t>五、</w:t>
      </w:r>
      <w:r>
        <w:rPr>
          <w:rFonts w:hint="eastAsia" w:ascii="宋体" w:hAnsi="宋体" w:eastAsia="宋体" w:cs="宋体"/>
          <w:b/>
          <w:bCs/>
          <w:color w:val="auto"/>
          <w:w w:val="96"/>
          <w:sz w:val="28"/>
          <w:highlight w:val="none"/>
          <w:lang w:eastAsia="zh-CN"/>
        </w:rPr>
        <w:t>评估方法及</w:t>
      </w:r>
      <w:r>
        <w:rPr>
          <w:rFonts w:hint="eastAsia" w:ascii="宋体" w:hAnsi="宋体" w:eastAsia="宋体" w:cs="宋体"/>
          <w:b/>
          <w:color w:val="auto"/>
          <w:sz w:val="28"/>
          <w:highlight w:val="none"/>
        </w:rPr>
        <w:t>价值类型</w:t>
      </w:r>
    </w:p>
    <w:p>
      <w:pPr>
        <w:spacing w:line="560" w:lineRule="exac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根据本次评估目的及委估资产特征，本次对委估资产采用收益法及市场法两种方法进行评估，对房地产内部装修采用成本法进行评估。</w:t>
      </w:r>
    </w:p>
    <w:p>
      <w:pPr>
        <w:spacing w:line="560" w:lineRule="exact"/>
        <w:ind w:firstLine="480"/>
        <w:rPr>
          <w:rFonts w:hint="eastAsia" w:ascii="宋体" w:hAnsi="宋体" w:cs="宋体"/>
          <w:color w:val="auto"/>
        </w:rPr>
      </w:pPr>
      <w:r>
        <w:rPr>
          <w:rFonts w:hint="eastAsia" w:ascii="宋体" w:hAnsi="宋体" w:cs="宋体"/>
          <w:color w:val="auto"/>
        </w:rPr>
        <w:t>通过充分考虑本次评估目的、市场条件、评估对象自身条件因素，本次执行的资产评估业务对市场条件和评估对象等有一定的限制和要求，因此本次评估采用清算假设前提下的清算价值作为选定的价值类型。</w:t>
      </w:r>
    </w:p>
    <w:p>
      <w:pPr>
        <w:spacing w:line="560" w:lineRule="exact"/>
        <w:ind w:firstLine="540"/>
        <w:rPr>
          <w:rFonts w:ascii="宋体" w:hAnsi="宋体" w:cs="宋体"/>
          <w:color w:val="auto"/>
          <w:w w:val="96"/>
          <w:sz w:val="28"/>
        </w:rPr>
      </w:pPr>
      <w:r>
        <w:rPr>
          <w:rFonts w:hint="eastAsia" w:ascii="宋体" w:hAnsi="宋体" w:cs="宋体"/>
          <w:b/>
          <w:bCs/>
          <w:color w:val="auto"/>
          <w:w w:val="96"/>
          <w:sz w:val="28"/>
        </w:rPr>
        <w:t>六、评估结论</w:t>
      </w:r>
    </w:p>
    <w:p>
      <w:pPr>
        <w:spacing w:line="560" w:lineRule="exact"/>
        <w:ind w:firstLine="480"/>
        <w:rPr>
          <w:rFonts w:ascii="宋体" w:hAnsi="宋体" w:eastAsia="宋体" w:cs="宋体"/>
          <w:color w:val="auto"/>
          <w:highlight w:val="none"/>
          <w:lang w:val="en-US"/>
        </w:rPr>
      </w:pPr>
      <w:bookmarkStart w:id="11" w:name="_Hlk498076760"/>
      <w:bookmarkStart w:id="12" w:name="_Hlk509319594"/>
      <w:r>
        <w:rPr>
          <w:rFonts w:hint="eastAsia" w:ascii="宋体" w:hAnsi="宋体" w:eastAsia="宋体" w:cs="宋体"/>
          <w:color w:val="auto"/>
          <w:highlight w:val="none"/>
        </w:rPr>
        <w:t>经评估，</w:t>
      </w:r>
      <w:r>
        <w:rPr>
          <w:rFonts w:hint="eastAsia" w:ascii="宋体" w:hAnsi="宋体" w:eastAsia="宋体" w:cs="宋体"/>
          <w:color w:val="auto"/>
          <w:highlight w:val="none"/>
          <w:lang w:eastAsia="zh-CN"/>
        </w:rPr>
        <w:t>本次委托</w:t>
      </w:r>
      <w:r>
        <w:rPr>
          <w:rFonts w:hint="eastAsia" w:ascii="宋体" w:hAnsi="宋体" w:eastAsia="宋体" w:cs="宋体"/>
          <w:color w:val="auto"/>
          <w:highlight w:val="none"/>
        </w:rPr>
        <w:t>的位于</w:t>
      </w:r>
      <w:r>
        <w:rPr>
          <w:rFonts w:hint="eastAsia" w:ascii="宋体" w:hAnsi="宋体" w:eastAsia="宋体" w:cs="宋体"/>
          <w:color w:val="auto"/>
          <w:highlight w:val="none"/>
          <w:lang w:eastAsia="zh-CN"/>
        </w:rPr>
        <w:t>西乡县城关镇附溪村二组岳洪、祝儒琴名下的一至七层房地产</w:t>
      </w:r>
      <w:r>
        <w:rPr>
          <w:rFonts w:hint="eastAsia" w:ascii="宋体" w:hAnsi="宋体" w:eastAsia="宋体" w:cs="宋体"/>
          <w:color w:val="auto"/>
          <w:highlight w:val="none"/>
        </w:rPr>
        <w:t>评估总价值为￥</w:t>
      </w:r>
      <w:r>
        <w:rPr>
          <w:rFonts w:hint="eastAsia" w:ascii="宋体" w:hAnsi="宋体" w:eastAsia="宋体" w:cs="宋体"/>
          <w:color w:val="auto"/>
          <w:highlight w:val="none"/>
          <w:lang w:val="en-US" w:eastAsia="zh-CN"/>
        </w:rPr>
        <w:t>6,994,000.00</w:t>
      </w:r>
      <w:r>
        <w:rPr>
          <w:rFonts w:hint="eastAsia" w:ascii="宋体" w:hAnsi="宋体" w:eastAsia="宋体" w:cs="宋体"/>
          <w:color w:val="auto"/>
          <w:highlight w:val="none"/>
        </w:rPr>
        <w:t>元，大写：人民币</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 6994000 \* CHINESENUM4 \* MERGEFORMAT </w:instrText>
      </w:r>
      <w:r>
        <w:rPr>
          <w:rFonts w:hint="eastAsia" w:ascii="宋体" w:hAnsi="宋体" w:eastAsia="宋体" w:cs="宋体"/>
          <w:color w:val="auto"/>
          <w:highlight w:val="none"/>
          <w:lang w:val="en-US" w:eastAsia="zh-CN"/>
        </w:rPr>
        <w:fldChar w:fldCharType="separate"/>
      </w:r>
      <w:r>
        <w:t>陆佰玖拾玖万肆仟元整</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；折合单价4,670.00元/平方米（该价值为房地合一价值）。</w:t>
      </w:r>
    </w:p>
    <w:p>
      <w:pPr>
        <w:spacing w:line="560" w:lineRule="exact"/>
        <w:ind w:firstLine="504"/>
        <w:rPr>
          <w:rFonts w:hint="eastAsia" w:ascii="宋体" w:hAnsi="宋体" w:eastAsia="宋体" w:cs="宋体"/>
          <w:color w:val="auto"/>
          <w:spacing w:val="6"/>
        </w:rPr>
      </w:pPr>
      <w:r>
        <w:rPr>
          <w:rFonts w:hint="eastAsia" w:ascii="宋体" w:hAnsi="宋体" w:eastAsia="宋体" w:cs="宋体"/>
          <w:color w:val="auto"/>
          <w:spacing w:val="6"/>
        </w:rPr>
        <w:t>通常，只有当评估基准日与经济行为实现日相距不超过一年时，才可以使用资产评估报告，因此本评估结论自评估基准日起一年内有效，即评估结论有效期自</w:t>
      </w:r>
      <w:r>
        <w:rPr>
          <w:rFonts w:hint="eastAsia" w:ascii="宋体" w:hAnsi="宋体" w:eastAsia="宋体" w:cs="宋体"/>
          <w:color w:val="auto"/>
          <w:spacing w:val="6"/>
          <w:lang w:eastAsia="zh-CN"/>
        </w:rPr>
        <w:t>2019年11月22日</w:t>
      </w:r>
      <w:r>
        <w:rPr>
          <w:rFonts w:hint="eastAsia" w:ascii="宋体" w:hAnsi="宋体" w:eastAsia="宋体" w:cs="宋体"/>
          <w:color w:val="auto"/>
          <w:spacing w:val="6"/>
        </w:rPr>
        <w:t>至20</w:t>
      </w:r>
      <w:r>
        <w:rPr>
          <w:rFonts w:hint="eastAsia" w:ascii="宋体" w:hAnsi="宋体" w:eastAsia="宋体" w:cs="宋体"/>
          <w:color w:val="auto"/>
          <w:spacing w:val="6"/>
          <w:lang w:val="en-US" w:eastAsia="zh-CN"/>
        </w:rPr>
        <w:t>20</w:t>
      </w:r>
      <w:r>
        <w:rPr>
          <w:rFonts w:hint="eastAsia" w:ascii="宋体" w:hAnsi="宋体" w:eastAsia="宋体" w:cs="宋体"/>
          <w:color w:val="auto"/>
          <w:spacing w:val="6"/>
        </w:rPr>
        <w:t>年</w:t>
      </w:r>
      <w:r>
        <w:rPr>
          <w:rFonts w:hint="eastAsia" w:ascii="宋体" w:hAnsi="宋体" w:eastAsia="宋体" w:cs="宋体"/>
          <w:color w:val="auto"/>
          <w:spacing w:val="6"/>
          <w:lang w:val="en-US" w:eastAsia="zh-CN"/>
        </w:rPr>
        <w:t>11</w:t>
      </w:r>
      <w:r>
        <w:rPr>
          <w:rFonts w:hint="eastAsia" w:ascii="宋体" w:hAnsi="宋体" w:eastAsia="宋体" w:cs="宋体"/>
          <w:color w:val="auto"/>
          <w:spacing w:val="6"/>
        </w:rPr>
        <w:t>月</w:t>
      </w:r>
      <w:r>
        <w:rPr>
          <w:rFonts w:hint="eastAsia" w:ascii="宋体" w:hAnsi="宋体" w:eastAsia="宋体" w:cs="宋体"/>
          <w:color w:val="auto"/>
          <w:spacing w:val="6"/>
          <w:lang w:val="en-US" w:eastAsia="zh-CN"/>
        </w:rPr>
        <w:t>21</w:t>
      </w:r>
      <w:r>
        <w:rPr>
          <w:rFonts w:hint="eastAsia" w:ascii="宋体" w:hAnsi="宋体" w:eastAsia="宋体" w:cs="宋体"/>
          <w:color w:val="auto"/>
          <w:spacing w:val="6"/>
        </w:rPr>
        <w:t>日止。</w:t>
      </w:r>
    </w:p>
    <w:p>
      <w:pPr>
        <w:spacing w:line="560" w:lineRule="exact"/>
        <w:ind w:firstLine="504"/>
        <w:rPr>
          <w:rFonts w:hint="eastAsia" w:ascii="宋体" w:hAnsi="宋体" w:eastAsia="宋体" w:cs="宋体"/>
          <w:color w:val="auto"/>
          <w:spacing w:val="6"/>
        </w:rPr>
      </w:pP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资 产 评 估 师：                       汉中恒信资产评估事务所</w:t>
      </w:r>
    </w:p>
    <w:p>
      <w:pPr>
        <w:spacing w:line="560" w:lineRule="exact"/>
        <w:ind w:firstLine="0" w:firstLineChars="0"/>
        <w:rPr>
          <w:rFonts w:ascii="宋体" w:hAnsi="宋体" w:eastAsia="宋体" w:cs="宋体"/>
          <w:color w:val="auto"/>
          <w:spacing w:val="6"/>
        </w:rPr>
      </w:pPr>
    </w:p>
    <w:p>
      <w:pPr>
        <w:spacing w:line="560" w:lineRule="exact"/>
        <w:ind w:firstLine="504"/>
        <w:rPr>
          <w:rFonts w:hint="eastAsia" w:ascii="宋体" w:hAnsi="宋体" w:eastAsia="宋体" w:cs="宋体"/>
          <w:color w:val="auto"/>
          <w:spacing w:val="6"/>
          <w:lang w:eastAsia="zh-CN"/>
        </w:rPr>
      </w:pPr>
      <w:r>
        <w:rPr>
          <w:rFonts w:hint="eastAsia" w:ascii="宋体" w:hAnsi="宋体" w:eastAsia="宋体" w:cs="宋体"/>
          <w:color w:val="auto"/>
          <w:spacing w:val="6"/>
        </w:rPr>
        <w:t xml:space="preserve">资 产 评 估 师：                 </w:t>
      </w:r>
      <w:r>
        <w:rPr>
          <w:rFonts w:hint="eastAsia" w:ascii="宋体" w:hAnsi="宋体" w:eastAsia="宋体" w:cs="宋体"/>
          <w:color w:val="auto"/>
          <w:spacing w:val="6"/>
          <w:lang w:val="en-US" w:eastAsia="zh-CN"/>
        </w:rPr>
        <w:t xml:space="preserve">  </w:t>
      </w:r>
      <w:r>
        <w:rPr>
          <w:rFonts w:hint="eastAsia" w:ascii="宋体" w:hAnsi="宋体" w:eastAsia="宋体" w:cs="宋体"/>
          <w:color w:val="auto"/>
          <w:spacing w:val="6"/>
          <w:highlight w:val="none"/>
        </w:rPr>
        <w:t xml:space="preserve"> 报告日期：</w:t>
      </w:r>
      <w:bookmarkEnd w:id="11"/>
      <w:r>
        <w:rPr>
          <w:rFonts w:hint="eastAsia" w:ascii="宋体" w:hAnsi="宋体" w:eastAsia="宋体" w:cs="宋体"/>
          <w:color w:val="auto"/>
          <w:spacing w:val="6"/>
          <w:highlight w:val="none"/>
          <w:lang w:eastAsia="zh-CN"/>
        </w:rPr>
        <w:t>二〇一九年十二月十九日</w:t>
      </w:r>
    </w:p>
    <w:p>
      <w:pPr>
        <w:spacing w:line="560" w:lineRule="exact"/>
        <w:ind w:left="0" w:leftChars="0" w:firstLine="0" w:firstLineChars="0"/>
        <w:rPr>
          <w:rFonts w:hint="eastAsia" w:ascii="宋体" w:hAnsi="宋体" w:eastAsia="宋体" w:cs="宋体"/>
          <w:color w:val="auto"/>
          <w:spacing w:val="6"/>
        </w:rPr>
      </w:pPr>
    </w:p>
    <w:bookmarkEnd w:id="12"/>
    <w:p>
      <w:pPr>
        <w:spacing w:line="560" w:lineRule="exact"/>
        <w:ind w:left="0" w:leftChars="0" w:firstLine="536" w:firstLineChars="200"/>
        <w:rPr>
          <w:rFonts w:ascii="宋体" w:hAnsi="宋体" w:cs="宋体"/>
          <w:b/>
          <w:bCs/>
          <w:color w:val="auto"/>
          <w:w w:val="96"/>
          <w:sz w:val="28"/>
        </w:rPr>
      </w:pPr>
      <w:r>
        <w:rPr>
          <w:rFonts w:hint="eastAsia" w:ascii="宋体" w:hAnsi="宋体" w:cs="宋体"/>
          <w:b/>
          <w:bCs/>
          <w:color w:val="auto"/>
          <w:w w:val="96"/>
          <w:sz w:val="28"/>
        </w:rPr>
        <w:t>七</w:t>
      </w:r>
      <w:r>
        <w:rPr>
          <w:rFonts w:hint="eastAsia" w:ascii="宋体" w:hAnsi="宋体" w:eastAsia="宋体" w:cs="宋体"/>
          <w:b/>
          <w:bCs/>
          <w:color w:val="auto"/>
          <w:w w:val="96"/>
          <w:sz w:val="28"/>
          <w:lang w:eastAsia="zh-CN"/>
        </w:rPr>
        <w:t>、</w:t>
      </w:r>
      <w:r>
        <w:rPr>
          <w:rFonts w:hint="eastAsia" w:ascii="宋体" w:hAnsi="宋体" w:cs="宋体"/>
          <w:b/>
          <w:bCs/>
          <w:color w:val="auto"/>
          <w:w w:val="96"/>
          <w:sz w:val="28"/>
        </w:rPr>
        <w:t>特别事项说明</w:t>
      </w:r>
    </w:p>
    <w:p>
      <w:pPr>
        <w:spacing w:line="560" w:lineRule="exact"/>
        <w:ind w:firstLine="600" w:firstLineChars="250"/>
        <w:rPr>
          <w:rFonts w:ascii="宋体" w:hAnsi="宋体" w:eastAsia="宋体"/>
          <w:color w:val="auto"/>
        </w:rPr>
      </w:pPr>
      <w:bookmarkStart w:id="13" w:name="_Hlk498076961"/>
      <w:bookmarkStart w:id="14" w:name="_Hlk498089639"/>
      <w:r>
        <w:rPr>
          <w:rFonts w:ascii="宋体" w:hAnsi="宋体" w:eastAsia="宋体"/>
          <w:color w:val="auto"/>
        </w:rPr>
        <w:t>本评估报告存在如下特别事项，</w:t>
      </w:r>
      <w:r>
        <w:rPr>
          <w:rFonts w:hint="eastAsia" w:ascii="宋体" w:hAnsi="宋体" w:eastAsia="宋体"/>
          <w:color w:val="auto"/>
        </w:rPr>
        <w:t>会对本报告评估结论产生影响，</w:t>
      </w:r>
      <w:r>
        <w:rPr>
          <w:rFonts w:ascii="宋体" w:hAnsi="宋体" w:eastAsia="宋体"/>
          <w:color w:val="auto"/>
        </w:rPr>
        <w:t>提请报告使用者</w:t>
      </w:r>
      <w:r>
        <w:rPr>
          <w:rFonts w:hint="eastAsia" w:ascii="宋体" w:hAnsi="宋体" w:eastAsia="宋体"/>
          <w:color w:val="auto"/>
        </w:rPr>
        <w:t>在使用本评估结论时应</w:t>
      </w:r>
      <w:r>
        <w:rPr>
          <w:rFonts w:ascii="宋体" w:hAnsi="宋体" w:eastAsia="宋体"/>
          <w:color w:val="auto"/>
        </w:rPr>
        <w:t>予以</w:t>
      </w:r>
      <w:r>
        <w:rPr>
          <w:rFonts w:hint="eastAsia" w:ascii="宋体" w:hAnsi="宋体" w:eastAsia="宋体"/>
          <w:color w:val="auto"/>
        </w:rPr>
        <w:t>重点</w:t>
      </w:r>
      <w:r>
        <w:rPr>
          <w:rFonts w:ascii="宋体" w:hAnsi="宋体" w:eastAsia="宋体"/>
          <w:color w:val="auto"/>
        </w:rPr>
        <w:t>关注：</w:t>
      </w:r>
    </w:p>
    <w:p>
      <w:pPr>
        <w:pStyle w:val="51"/>
        <w:numPr>
          <w:ilvl w:val="0"/>
          <w:numId w:val="5"/>
        </w:numPr>
        <w:spacing w:line="560" w:lineRule="exact"/>
        <w:ind w:firstLineChars="0"/>
        <w:rPr>
          <w:rFonts w:ascii="宋体" w:hAnsi="宋体" w:eastAsia="宋体"/>
          <w:color w:val="auto"/>
        </w:rPr>
      </w:pPr>
      <w:r>
        <w:rPr>
          <w:rFonts w:hint="eastAsia" w:ascii="宋体" w:hAnsi="宋体" w:eastAsia="宋体"/>
          <w:color w:val="auto"/>
        </w:rPr>
        <w:t>权属等主要资料不完整或者存在瑕疵的情形；</w:t>
      </w:r>
    </w:p>
    <w:p>
      <w:pPr>
        <w:pStyle w:val="51"/>
        <w:numPr>
          <w:ilvl w:val="0"/>
          <w:numId w:val="0"/>
        </w:numPr>
        <w:spacing w:line="560" w:lineRule="exact"/>
        <w:ind w:left="0" w:leftChars="0" w:firstLine="600" w:firstLineChars="250"/>
        <w:rPr>
          <w:rFonts w:ascii="宋体" w:hAnsi="宋体" w:eastAsia="宋体"/>
          <w:color w:val="auto"/>
          <w:highlight w:val="none"/>
        </w:rPr>
      </w:pPr>
      <w:r>
        <w:rPr>
          <w:rFonts w:hint="eastAsia" w:ascii="宋体" w:hAnsi="宋体" w:eastAsia="宋体"/>
          <w:color w:val="auto"/>
          <w:lang w:eastAsia="zh-CN"/>
        </w:rPr>
        <w:t>委托人提供了评估对象相关的《房屋所有权证》和《集体土地使用证》复印件；</w:t>
      </w:r>
      <w:r>
        <w:rPr>
          <w:rFonts w:hint="eastAsia" w:ascii="宋体" w:hAnsi="宋体" w:eastAsia="宋体" w:cs="宋体"/>
          <w:color w:val="auto"/>
          <w:sz w:val="24"/>
          <w:highlight w:val="none"/>
        </w:rPr>
        <w:t>本报告是对委估资产的价值进行评定估算，评估师对其权属状况给予必要的关注，对查验情况予以披露，但不对评估对象的法律权属做任何形式的保证</w:t>
      </w:r>
      <w:r>
        <w:rPr>
          <w:rFonts w:hint="eastAsia" w:ascii="宋体" w:hAnsi="宋体" w:eastAsia="宋体"/>
          <w:color w:val="auto"/>
          <w:highlight w:val="none"/>
        </w:rPr>
        <w:t>。</w:t>
      </w:r>
      <w:r>
        <w:rPr>
          <w:rFonts w:hint="eastAsia" w:ascii="宋体" w:hAnsi="宋体" w:eastAsia="宋体" w:cs="宋体"/>
          <w:color w:val="auto"/>
          <w:sz w:val="24"/>
          <w:highlight w:val="none"/>
          <w:lang w:eastAsia="zh-CN"/>
        </w:rPr>
        <w:t>委托人</w:t>
      </w:r>
      <w:r>
        <w:rPr>
          <w:rFonts w:hint="eastAsia" w:ascii="宋体" w:hAnsi="宋体" w:eastAsia="宋体" w:cs="宋体"/>
          <w:color w:val="auto"/>
          <w:sz w:val="24"/>
          <w:highlight w:val="none"/>
        </w:rPr>
        <w:t>应对其所提供产权证明的真实性、合法性和完整性承担责任。</w:t>
      </w:r>
    </w:p>
    <w:p>
      <w:pPr>
        <w:pStyle w:val="51"/>
        <w:numPr>
          <w:ilvl w:val="0"/>
          <w:numId w:val="5"/>
        </w:numPr>
        <w:spacing w:line="560" w:lineRule="exact"/>
        <w:ind w:firstLineChars="0"/>
        <w:rPr>
          <w:rFonts w:ascii="宋体" w:hAnsi="宋体" w:eastAsia="宋体"/>
          <w:color w:val="auto"/>
        </w:rPr>
      </w:pPr>
      <w:r>
        <w:rPr>
          <w:rFonts w:hint="eastAsia" w:ascii="宋体" w:hAnsi="宋体" w:eastAsia="宋体" w:cs="Times New Roman"/>
          <w:color w:val="auto"/>
          <w:kern w:val="2"/>
          <w:sz w:val="24"/>
          <w:szCs w:val="24"/>
          <w:lang w:val="zh-CN" w:eastAsia="zh-CN" w:bidi="ar-SA"/>
        </w:rPr>
        <w:t>重大期后事项</w:t>
      </w:r>
    </w:p>
    <w:p>
      <w:pPr>
        <w:pStyle w:val="51"/>
        <w:numPr>
          <w:ilvl w:val="0"/>
          <w:numId w:val="0"/>
        </w:numPr>
        <w:spacing w:line="560" w:lineRule="exact"/>
        <w:ind w:left="0" w:leftChars="0" w:firstLine="480" w:firstLineChars="200"/>
        <w:rPr>
          <w:rFonts w:ascii="宋体" w:hAnsi="宋体" w:eastAsia="宋体"/>
          <w:color w:val="auto"/>
        </w:rPr>
      </w:pPr>
      <w:r>
        <w:rPr>
          <w:rFonts w:hint="eastAsia" w:ascii="宋体" w:hAnsi="宋体" w:eastAsia="宋体" w:cs="Times New Roman"/>
          <w:color w:val="auto"/>
          <w:kern w:val="2"/>
          <w:sz w:val="24"/>
          <w:szCs w:val="24"/>
          <w:lang w:val="zh-CN" w:eastAsia="zh-CN" w:bidi="ar-SA"/>
        </w:rPr>
        <w:t>评估基准日后、有效期以内，若资产价格标准发生变化，对评估结论产生影响时，不能直接使用本评估结论，须对评估结论进行调整或重新评估。即：若资产价格标准发生变化、并对资产评估价格已产生了明显影响时，委托人应及时聘请评估机构重新进行评估。</w:t>
      </w:r>
    </w:p>
    <w:p>
      <w:pPr>
        <w:pStyle w:val="51"/>
        <w:numPr>
          <w:ilvl w:val="0"/>
          <w:numId w:val="5"/>
        </w:numPr>
        <w:spacing w:line="560" w:lineRule="exact"/>
        <w:ind w:firstLineChars="0"/>
        <w:rPr>
          <w:rFonts w:ascii="宋体" w:hAnsi="宋体" w:eastAsia="宋体"/>
          <w:color w:val="auto"/>
        </w:rPr>
      </w:pPr>
      <w:r>
        <w:rPr>
          <w:rFonts w:hint="eastAsia" w:ascii="宋体" w:hAnsi="宋体" w:eastAsia="宋体"/>
          <w:color w:val="auto"/>
        </w:rPr>
        <w:t>担保、抵押租赁等其他权益事项；</w:t>
      </w:r>
    </w:p>
    <w:p>
      <w:pPr>
        <w:spacing w:line="540" w:lineRule="exact"/>
        <w:ind w:firstLine="480"/>
        <w:rPr>
          <w:rFonts w:hint="eastAsia" w:ascii="宋体" w:hAnsi="宋体" w:eastAsia="宋体"/>
          <w:color w:val="auto"/>
          <w:lang w:eastAsia="zh-CN"/>
        </w:rPr>
      </w:pPr>
      <w:r>
        <w:rPr>
          <w:rFonts w:hint="eastAsia" w:ascii="宋体" w:hAnsi="宋体" w:eastAsia="宋体"/>
          <w:color w:val="auto"/>
        </w:rPr>
        <w:t>根据委托人提供的资料，评估对象已设立抵押权，但根据《房地产估价规范》（</w:t>
      </w:r>
      <w:r>
        <w:rPr>
          <w:rFonts w:ascii="宋体" w:hAnsi="宋体" w:eastAsia="宋体"/>
          <w:color w:val="auto"/>
        </w:rPr>
        <w:t>GB/T50291-2015</w:t>
      </w:r>
      <w:r>
        <w:rPr>
          <w:rFonts w:hint="eastAsia" w:ascii="宋体" w:hAnsi="宋体" w:eastAsia="宋体"/>
          <w:color w:val="auto"/>
        </w:rPr>
        <w:t>）的规定及涉及司法鉴定等相关法律法规，本次评估不考虑上述抵押权对评估结果的影响</w:t>
      </w:r>
      <w:r>
        <w:rPr>
          <w:rFonts w:hint="eastAsia" w:ascii="宋体" w:hAnsi="宋体" w:eastAsia="宋体"/>
          <w:color w:val="auto"/>
          <w:lang w:eastAsia="zh-CN"/>
        </w:rPr>
        <w:t>；</w:t>
      </w:r>
    </w:p>
    <w:p>
      <w:pPr>
        <w:pStyle w:val="51"/>
        <w:numPr>
          <w:ilvl w:val="0"/>
          <w:numId w:val="5"/>
        </w:numPr>
        <w:spacing w:line="540" w:lineRule="exact"/>
        <w:ind w:left="1021" w:firstLineChars="0"/>
        <w:rPr>
          <w:rFonts w:ascii="宋体" w:hAnsi="宋体" w:eastAsia="宋体"/>
          <w:color w:val="auto"/>
        </w:rPr>
      </w:pPr>
      <w:r>
        <w:rPr>
          <w:rFonts w:hint="eastAsia" w:ascii="宋体" w:hAnsi="宋体" w:eastAsia="宋体"/>
          <w:color w:val="auto"/>
        </w:rPr>
        <w:t>评估程序受到限制的情形</w:t>
      </w:r>
      <w:r>
        <w:rPr>
          <w:rFonts w:hint="eastAsia" w:ascii="宋体" w:hAnsi="宋体" w:eastAsia="宋体"/>
          <w:color w:val="auto"/>
          <w:lang w:eastAsia="zh-CN"/>
        </w:rPr>
        <w:t>；</w:t>
      </w:r>
    </w:p>
    <w:p>
      <w:pPr>
        <w:spacing w:line="540" w:lineRule="exact"/>
        <w:ind w:left="0" w:leftChars="0" w:firstLine="1200" w:firstLineChars="500"/>
        <w:rPr>
          <w:rFonts w:ascii="宋体" w:hAnsi="宋体" w:eastAsia="宋体"/>
          <w:color w:val="auto"/>
        </w:rPr>
      </w:pPr>
      <w:r>
        <w:rPr>
          <w:rFonts w:hint="eastAsia" w:ascii="宋体" w:hAnsi="宋体" w:eastAsia="宋体"/>
          <w:color w:val="auto"/>
          <w:lang w:eastAsia="zh-CN"/>
        </w:rPr>
        <w:t>无</w:t>
      </w:r>
      <w:r>
        <w:rPr>
          <w:rFonts w:hint="eastAsia" w:ascii="宋体" w:hAnsi="宋体" w:eastAsia="宋体"/>
          <w:color w:val="auto"/>
        </w:rPr>
        <w:t>；</w:t>
      </w:r>
    </w:p>
    <w:p>
      <w:pPr>
        <w:pStyle w:val="51"/>
        <w:numPr>
          <w:ilvl w:val="0"/>
          <w:numId w:val="5"/>
        </w:numPr>
        <w:spacing w:line="540" w:lineRule="exact"/>
        <w:ind w:left="1021" w:firstLineChars="0"/>
        <w:rPr>
          <w:rFonts w:ascii="宋体" w:hAnsi="宋体" w:eastAsia="宋体"/>
          <w:color w:val="auto"/>
        </w:rPr>
      </w:pPr>
      <w:r>
        <w:rPr>
          <w:rFonts w:hint="eastAsia" w:ascii="宋体" w:hAnsi="宋体" w:eastAsia="宋体"/>
          <w:color w:val="auto"/>
        </w:rPr>
        <w:t>重要的利用专家工作及相关报告情况；</w:t>
      </w:r>
    </w:p>
    <w:p>
      <w:pPr>
        <w:pStyle w:val="51"/>
        <w:spacing w:line="540" w:lineRule="exact"/>
        <w:ind w:left="1021" w:firstLine="240" w:firstLineChars="100"/>
        <w:rPr>
          <w:rFonts w:ascii="宋体" w:hAnsi="宋体" w:eastAsia="宋体"/>
          <w:color w:val="auto"/>
        </w:rPr>
      </w:pPr>
      <w:r>
        <w:rPr>
          <w:rFonts w:hint="eastAsia" w:ascii="宋体" w:hAnsi="宋体" w:eastAsia="宋体"/>
          <w:color w:val="auto"/>
        </w:rPr>
        <w:t>无；</w:t>
      </w:r>
    </w:p>
    <w:p>
      <w:pPr>
        <w:pStyle w:val="51"/>
        <w:numPr>
          <w:ilvl w:val="0"/>
          <w:numId w:val="5"/>
        </w:numPr>
        <w:spacing w:line="540" w:lineRule="exact"/>
        <w:ind w:firstLineChars="0"/>
        <w:rPr>
          <w:rFonts w:ascii="宋体" w:hAnsi="宋体" w:eastAsia="宋体"/>
          <w:color w:val="auto"/>
        </w:rPr>
      </w:pPr>
      <w:r>
        <w:rPr>
          <w:rFonts w:hint="eastAsia" w:ascii="宋体" w:hAnsi="宋体" w:eastAsia="宋体"/>
          <w:color w:val="auto"/>
        </w:rPr>
        <w:t>其他事项；</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rPr>
        <w:t>本评估报告的评估结论是反映委托评估对象在清算假设前提下，于评估基准日所表现的本报告所列明的评估目的下的价值</w:t>
      </w:r>
      <w:r>
        <w:rPr>
          <w:rFonts w:hint="eastAsia" w:ascii="宋体" w:hAnsi="宋体" w:eastAsia="宋体"/>
          <w:color w:val="auto"/>
          <w:lang w:eastAsia="zh-CN"/>
        </w:rPr>
        <w:t>。</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s="宋体"/>
          <w:color w:val="auto"/>
          <w:lang w:eastAsia="zh-CN"/>
        </w:rPr>
        <w:t>委托人</w:t>
      </w:r>
      <w:r>
        <w:rPr>
          <w:rFonts w:hint="eastAsia" w:ascii="宋体" w:hAnsi="宋体" w:eastAsia="宋体" w:cs="宋体"/>
          <w:color w:val="auto"/>
        </w:rPr>
        <w:t>向我们提供了</w:t>
      </w:r>
      <w:r>
        <w:rPr>
          <w:rFonts w:hint="eastAsia" w:ascii="宋体" w:hAnsi="宋体" w:eastAsia="宋体"/>
          <w:color w:val="auto"/>
          <w:lang w:eastAsia="zh-CN"/>
        </w:rPr>
        <w:t>评估对象相关的《房屋所有权证》和《集体土地使用证》复印件</w:t>
      </w:r>
      <w:r>
        <w:rPr>
          <w:rFonts w:hint="eastAsia" w:ascii="宋体" w:hAnsi="宋体" w:eastAsia="宋体"/>
          <w:color w:val="auto"/>
          <w:lang w:val="en-US" w:eastAsia="zh-CN"/>
        </w:rPr>
        <w:t>等</w:t>
      </w:r>
      <w:r>
        <w:rPr>
          <w:rFonts w:hint="eastAsia" w:ascii="宋体" w:hAnsi="宋体" w:eastAsia="宋体" w:cs="宋体"/>
          <w:color w:val="auto"/>
          <w:lang w:val="en-US" w:eastAsia="zh-CN"/>
        </w:rPr>
        <w:t>资料</w:t>
      </w:r>
      <w:r>
        <w:rPr>
          <w:rFonts w:hint="eastAsia" w:ascii="宋体" w:hAnsi="宋体" w:eastAsia="宋体" w:cs="宋体"/>
          <w:color w:val="auto"/>
        </w:rPr>
        <w:t>，按照</w:t>
      </w:r>
      <w:r>
        <w:rPr>
          <w:rFonts w:hint="eastAsia" w:ascii="宋体" w:hAnsi="宋体" w:eastAsia="宋体" w:cs="宋体"/>
          <w:color w:val="auto"/>
          <w:lang w:eastAsia="zh-CN"/>
        </w:rPr>
        <w:t>资产评估委托合同</w:t>
      </w:r>
      <w:r>
        <w:rPr>
          <w:rFonts w:hint="eastAsia" w:ascii="宋体" w:hAnsi="宋体" w:eastAsia="宋体" w:cs="宋体"/>
          <w:color w:val="auto"/>
        </w:rPr>
        <w:t>及有关文件规定，</w:t>
      </w:r>
      <w:r>
        <w:rPr>
          <w:rFonts w:hint="eastAsia" w:ascii="宋体" w:hAnsi="宋体" w:eastAsia="宋体" w:cs="宋体"/>
          <w:color w:val="auto"/>
          <w:lang w:eastAsia="zh-CN"/>
        </w:rPr>
        <w:t>委托人</w:t>
      </w:r>
      <w:r>
        <w:rPr>
          <w:rFonts w:hint="eastAsia" w:ascii="宋体" w:hAnsi="宋体" w:eastAsia="宋体" w:cs="宋体"/>
          <w:color w:val="auto"/>
        </w:rPr>
        <w:t>应对其所提供</w:t>
      </w:r>
      <w:r>
        <w:rPr>
          <w:rFonts w:hint="eastAsia" w:ascii="宋体" w:hAnsi="宋体" w:eastAsia="宋体" w:cs="宋体"/>
          <w:color w:val="auto"/>
          <w:lang w:eastAsia="zh-CN"/>
        </w:rPr>
        <w:t>委估资产</w:t>
      </w:r>
      <w:r>
        <w:rPr>
          <w:rFonts w:hint="eastAsia" w:ascii="宋体" w:hAnsi="宋体" w:eastAsia="宋体" w:cs="宋体"/>
          <w:color w:val="auto"/>
        </w:rPr>
        <w:t>的资料以及产权证明的真实性、合法性和完整性承担责任</w:t>
      </w:r>
      <w:r>
        <w:rPr>
          <w:rFonts w:hint="eastAsia" w:ascii="宋体" w:hAnsi="宋体" w:eastAsia="宋体" w:cs="宋体"/>
          <w:color w:val="auto"/>
          <w:lang w:eastAsia="zh-CN"/>
        </w:rPr>
        <w:t>。</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评估对象实物由委托人领勘指认。评估结论为委估的</w:t>
      </w:r>
      <w:r>
        <w:rPr>
          <w:rFonts w:hint="eastAsia" w:ascii="宋体" w:hAnsi="宋体" w:cs="宋体"/>
          <w:color w:val="auto"/>
          <w:sz w:val="24"/>
          <w:lang w:val="en-US" w:eastAsia="zh-CN"/>
        </w:rPr>
        <w:t>房地产及房屋内部装修司法处分价值，不包含其他可移动的、独立于建筑物的动产设施及设备资产</w:t>
      </w:r>
      <w:r>
        <w:rPr>
          <w:rFonts w:hint="eastAsia" w:ascii="宋体" w:hAnsi="宋体" w:eastAsia="宋体"/>
          <w:color w:val="auto"/>
          <w:lang w:eastAsia="zh-CN"/>
        </w:rPr>
        <w:t>价值。</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因</w:t>
      </w:r>
      <w:r>
        <w:rPr>
          <w:rFonts w:hint="eastAsia" w:ascii="宋体" w:hAnsi="宋体" w:eastAsia="宋体"/>
          <w:color w:val="auto"/>
        </w:rPr>
        <w:t>本次</w:t>
      </w:r>
      <w:r>
        <w:rPr>
          <w:rFonts w:hint="eastAsia" w:ascii="宋体" w:hAnsi="宋体" w:eastAsia="宋体"/>
          <w:color w:val="auto"/>
          <w:lang w:eastAsia="zh-CN"/>
        </w:rPr>
        <w:t>评估目的为司法处分提供价格参考意见，选用的价值类型</w:t>
      </w:r>
      <w:r>
        <w:rPr>
          <w:rFonts w:hint="eastAsia" w:ascii="宋体" w:hAnsi="宋体" w:eastAsia="宋体"/>
          <w:color w:val="auto"/>
        </w:rPr>
        <w:t>为清算价值，</w:t>
      </w:r>
      <w:r>
        <w:rPr>
          <w:rFonts w:hint="eastAsia" w:ascii="宋体" w:hAnsi="宋体" w:eastAsia="宋体"/>
          <w:color w:val="auto"/>
          <w:lang w:eastAsia="zh-CN"/>
        </w:rPr>
        <w:t>本次评估对象所占用的土地为集体划拨用地，集体划拨用地市场交易范围受到一定的局限，并且本次评估对象体量较大，变现难度也较大，</w:t>
      </w:r>
      <w:r>
        <w:rPr>
          <w:rFonts w:hint="eastAsia" w:ascii="宋体" w:hAnsi="宋体" w:eastAsia="宋体"/>
          <w:color w:val="auto"/>
        </w:rPr>
        <w:t>考虑资产短期变现处置造成的折扣损失，为快速变现结合当地资产的实际情况确定本次委估资产的变现折扣率为</w:t>
      </w:r>
      <w:r>
        <w:rPr>
          <w:rFonts w:hint="eastAsia" w:ascii="宋体" w:hAnsi="宋体" w:eastAsia="宋体"/>
          <w:color w:val="auto"/>
          <w:highlight w:val="none"/>
          <w:lang w:val="en-US" w:eastAsia="zh-CN"/>
        </w:rPr>
        <w:t>20</w:t>
      </w:r>
      <w:r>
        <w:rPr>
          <w:rFonts w:ascii="宋体" w:hAnsi="宋体" w:eastAsia="宋体"/>
          <w:color w:val="auto"/>
          <w:highlight w:val="none"/>
        </w:rPr>
        <w:t>%</w:t>
      </w:r>
      <w:r>
        <w:rPr>
          <w:rFonts w:hint="eastAsia" w:ascii="宋体" w:hAnsi="宋体" w:eastAsia="宋体"/>
          <w:color w:val="auto"/>
          <w:lang w:eastAsia="zh-CN"/>
        </w:rPr>
        <w:t>。</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本次评估对象所占用的土地为集体划拨用地，本次评估结果中已按规定扣除了划拨用地将来上市交易时应缴纳的土地出让金价款。</w:t>
      </w:r>
    </w:p>
    <w:p>
      <w:pPr>
        <w:pStyle w:val="51"/>
        <w:numPr>
          <w:ilvl w:val="0"/>
          <w:numId w:val="6"/>
        </w:numPr>
        <w:spacing w:line="540" w:lineRule="exact"/>
        <w:ind w:left="0" w:firstLine="567" w:firstLineChars="0"/>
        <w:rPr>
          <w:rFonts w:hint="eastAsia" w:ascii="宋体" w:hAnsi="宋体" w:eastAsia="宋体"/>
          <w:color w:val="auto"/>
          <w:lang w:val="en-US" w:eastAsia="zh-CN"/>
        </w:rPr>
      </w:pPr>
      <w:r>
        <w:rPr>
          <w:rFonts w:hint="eastAsia" w:ascii="宋体" w:hAnsi="宋体" w:eastAsia="宋体"/>
          <w:color w:val="auto"/>
          <w:lang w:val="en-US" w:eastAsia="zh-CN"/>
        </w:rPr>
        <w:t xml:space="preserve">评估人员对评估对象的勘查，限于评估对象的现有外观和使用状况，除非报告中                                                                                                                                                                                                                                                                                                                                                                                                                                                                                                                                                                                                                                                                                                                                                                                                                                                                                                                                                                                                                                                                                                                                                                                                                                                                                                                                                                                                                                                                                                                                                                                                                                                                                                                                                                                                                                                                                                                                                                                                                                                                                                                                                                                                                                                                                                                                                                                                                                                                                                                                                                                                                                                                                                                                                                                                                                                                                                                                                                                                                                                                                                                                                                                                                                                                                                                                                                                                                                                                                                                                                                                                                                                                                                                                                                                                                                                                                                                                                                                                                                                                                                                                                                             </w:t>
      </w:r>
      <w:r>
        <w:rPr>
          <w:rFonts w:hint="eastAsia" w:ascii="宋体" w:hAnsi="宋体" w:eastAsia="宋体"/>
          <w:color w:val="auto"/>
          <w:lang w:val="en-US" w:eastAsia="zh-CN"/>
        </w:rPr>
        <w:t xml:space="preserve">                                                                                                                                                                                                                                                                                                                                                                                                                                                                                                                                                                                                                                                                                                                                                                                                                                                                                                                                                                                                                                                                                                                                                                                                                                                                                                                                                                                                                                                                                                                                                                                                                                                                                                                                                                                                                                                                                                                                                                                                                                                                                                                                                                                                                                                                                                                                                                                                                                                                                                                                                                                                                                                                                                                                                                                                                                                                                                                                                                                                                                                                                                                                                                                                                                                                                                                                                                                                                                                                                                                                                                                                                                                                                                                                                                                                                                                                                                                                                                                                                                                                                                                                                                                                                </w:t>
      </w:r>
      <w:r>
        <w:rPr>
          <w:rFonts w:hint="eastAsia" w:ascii="宋体" w:hAnsi="宋体" w:eastAsia="宋体"/>
          <w:color w:val="auto"/>
          <w:lang w:val="en-US" w:eastAsia="zh-CN"/>
        </w:rPr>
        <w:t xml:space="preserve">                                                                                                                                                                                                                                                                                                                                                                                                                                                                                                                                                                                                                                                                                                                                                                                                                                                                                                                                                                                                                                                                                                                                                                                                                                                                                                                                                                                                                                                                                                                                                                                                                                                                                                                                                                                                                                                                                                                                                                                                                                                                                                                                                                                                                                                                                                                                                                                                                                                                                                                                                                                                                                                                                                                                                                                                                                                                                                                                                                                                                                                                                                                                                                                                                                                                                                                                                                                                                                                                                                                                                                                                                                                                                                                                                                                                                                                                                                                                                                                                                                                                                                                                                                                                                </w:t>
      </w:r>
      <w:r>
        <w:rPr>
          <w:rFonts w:hint="eastAsia" w:ascii="宋体" w:hAnsi="宋体" w:eastAsia="宋体"/>
          <w:color w:val="auto"/>
          <w:lang w:val="en-US" w:eastAsia="zh-CN"/>
        </w:rPr>
        <w:t xml:space="preserve">                                                                                                                                                                                                                                                                                                                                                                                                                                                                                                                                                                                                                                                                                                                                                                                                                                                                                                                                                                                                                                                                                                                                                                                                                                                                                                                                                                                                                                                                                                                                                                                                                                                                                                                                                                                                                                                                                                                                                                                                                                                                                                                                                                                                                                                                                                                                                                                                                                                                                                                                                                                                                                                  另有明确声明，评估人员不承担评估对象建筑物质量及被遮盖、未暴露及难以接触到的部分进行勘查责任。</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rPr>
        <w:t>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r>
        <w:rPr>
          <w:rFonts w:hint="eastAsia" w:ascii="宋体" w:hAnsi="宋体" w:eastAsia="宋体"/>
          <w:color w:val="auto"/>
          <w:lang w:eastAsia="zh-CN"/>
        </w:rPr>
        <w:t>。</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rPr>
        <w:t>本评估结论不应当被认为是对评估对象可实现价格的保证</w:t>
      </w:r>
      <w:r>
        <w:rPr>
          <w:rFonts w:hint="eastAsia" w:ascii="宋体" w:hAnsi="宋体" w:eastAsia="宋体"/>
          <w:color w:val="auto"/>
          <w:lang w:eastAsia="zh-CN"/>
        </w:rPr>
        <w:t>。</w:t>
      </w:r>
    </w:p>
    <w:p>
      <w:pPr>
        <w:pStyle w:val="51"/>
        <w:numPr>
          <w:ilvl w:val="0"/>
          <w:numId w:val="6"/>
        </w:numPr>
        <w:spacing w:line="540" w:lineRule="exact"/>
        <w:ind w:left="0" w:firstLine="567" w:firstLineChars="0"/>
        <w:rPr>
          <w:rFonts w:ascii="宋体" w:hAnsi="宋体" w:eastAsia="宋体"/>
          <w:color w:val="auto"/>
        </w:rPr>
      </w:pPr>
      <w:r>
        <w:rPr>
          <w:rFonts w:hint="eastAsia" w:ascii="宋体" w:hAnsi="宋体" w:eastAsia="宋体"/>
          <w:color w:val="auto"/>
        </w:rPr>
        <w:t>本评估报告仅供</w:t>
      </w:r>
      <w:r>
        <w:rPr>
          <w:rFonts w:hint="eastAsia" w:ascii="宋体" w:hAnsi="宋体" w:eastAsia="宋体"/>
          <w:color w:val="auto"/>
          <w:lang w:eastAsia="zh-CN"/>
        </w:rPr>
        <w:t>委托人</w:t>
      </w:r>
      <w:r>
        <w:rPr>
          <w:rFonts w:hint="eastAsia" w:ascii="宋体" w:hAnsi="宋体" w:eastAsia="宋体"/>
          <w:color w:val="auto"/>
        </w:rPr>
        <w:t>为本评估报告所列明的评估目的以及报送有关资产评估主管机关审查使用。</w:t>
      </w:r>
      <w:r>
        <w:rPr>
          <w:rFonts w:hint="eastAsia" w:ascii="宋体" w:hAnsi="宋体" w:eastAsia="宋体"/>
          <w:color w:val="auto"/>
          <w:lang w:eastAsia="zh-CN"/>
        </w:rPr>
        <w:t>委托人</w:t>
      </w:r>
      <w:r>
        <w:rPr>
          <w:rFonts w:hint="eastAsia" w:ascii="宋体" w:hAnsi="宋体" w:eastAsia="宋体"/>
          <w:color w:val="auto"/>
        </w:rPr>
        <w:t>应按本评估报告载明的评估目的使用，任何不正确或不恰当地使用本评估报告所造成的不便或损失，将由评估报告使用者自行承担责任</w:t>
      </w:r>
      <w:bookmarkEnd w:id="13"/>
      <w:r>
        <w:rPr>
          <w:rFonts w:hint="eastAsia" w:ascii="宋体" w:hAnsi="宋体" w:eastAsia="宋体"/>
          <w:color w:val="auto"/>
        </w:rPr>
        <w:t>。</w:t>
      </w:r>
    </w:p>
    <w:bookmarkEnd w:id="14"/>
    <w:p>
      <w:pPr>
        <w:spacing w:line="540" w:lineRule="exact"/>
        <w:ind w:firstLine="482"/>
        <w:rPr>
          <w:rFonts w:ascii="宋体" w:hAnsi="宋体" w:eastAsia="宋体"/>
          <w:b/>
          <w:color w:val="auto"/>
          <w:u w:val="single"/>
        </w:rPr>
      </w:pPr>
      <w:r>
        <w:rPr>
          <w:rFonts w:ascii="宋体" w:hAnsi="宋体" w:eastAsia="宋体"/>
          <w:b/>
          <w:color w:val="auto"/>
          <w:u w:val="single"/>
        </w:rPr>
        <w:t>以上内容摘自评估报告正文，欲了解本评估项目的详细情况和合理理解评估结论，应</w:t>
      </w:r>
      <w:r>
        <w:rPr>
          <w:rFonts w:hint="eastAsia" w:ascii="宋体" w:hAnsi="宋体" w:eastAsia="宋体"/>
          <w:b/>
          <w:color w:val="auto"/>
          <w:u w:val="single"/>
        </w:rPr>
        <w:t>当</w:t>
      </w:r>
      <w:r>
        <w:rPr>
          <w:rFonts w:ascii="宋体" w:hAnsi="宋体" w:eastAsia="宋体"/>
          <w:b/>
          <w:color w:val="auto"/>
          <w:u w:val="single"/>
        </w:rPr>
        <w:t>阅读评估报告正文。</w:t>
      </w:r>
    </w:p>
    <w:p>
      <w:pPr>
        <w:spacing w:line="540" w:lineRule="exact"/>
        <w:ind w:firstLine="482"/>
        <w:rPr>
          <w:rFonts w:hint="eastAsia"/>
          <w:color w:val="auto"/>
          <w:sz w:val="44"/>
          <w:szCs w:val="44"/>
        </w:rPr>
      </w:pPr>
      <w:r>
        <w:rPr>
          <w:rFonts w:ascii="宋体" w:hAnsi="宋体" w:eastAsia="宋体"/>
          <w:b/>
          <w:color w:val="auto"/>
          <w:u w:val="single"/>
        </w:rPr>
        <w:br w:type="page"/>
      </w:r>
      <w:bookmarkStart w:id="15" w:name="_Toc15673"/>
    </w:p>
    <w:p>
      <w:pPr>
        <w:pStyle w:val="20"/>
        <w:ind w:firstLine="2831" w:firstLineChars="641"/>
        <w:jc w:val="both"/>
        <w:rPr>
          <w:color w:val="auto"/>
          <w:sz w:val="44"/>
          <w:szCs w:val="44"/>
        </w:rPr>
      </w:pPr>
      <w:bookmarkStart w:id="16" w:name="_Toc9750"/>
      <w:r>
        <w:rPr>
          <w:rFonts w:hint="eastAsia"/>
          <w:color w:val="auto"/>
          <w:sz w:val="44"/>
          <w:szCs w:val="44"/>
        </w:rPr>
        <w:t>资产评估报告书</w:t>
      </w:r>
      <w:bookmarkEnd w:id="15"/>
      <w:bookmarkEnd w:id="16"/>
    </w:p>
    <w:p>
      <w:pPr>
        <w:spacing w:line="560" w:lineRule="exact"/>
        <w:ind w:firstLine="2891" w:firstLineChars="1200"/>
        <w:rPr>
          <w:rFonts w:ascii="宋体" w:hAnsi="宋体" w:eastAsia="宋体" w:cs="宋体"/>
          <w:b/>
          <w:bCs/>
          <w:color w:val="auto"/>
        </w:rPr>
      </w:pPr>
      <w:r>
        <w:rPr>
          <w:rFonts w:hint="eastAsia" w:ascii="宋体" w:hAnsi="宋体" w:eastAsia="宋体" w:cs="宋体"/>
          <w:b/>
          <w:bCs/>
          <w:color w:val="auto"/>
        </w:rPr>
        <w:t>汉恒评报字[201</w:t>
      </w:r>
      <w:r>
        <w:rPr>
          <w:rFonts w:hint="eastAsia" w:ascii="宋体" w:hAnsi="宋体" w:eastAsia="宋体" w:cs="宋体"/>
          <w:b/>
          <w:bCs/>
          <w:color w:val="auto"/>
          <w:lang w:val="en-US" w:eastAsia="zh-CN"/>
        </w:rPr>
        <w:t>9</w:t>
      </w:r>
      <w:r>
        <w:rPr>
          <w:rFonts w:hint="eastAsia" w:ascii="宋体" w:hAnsi="宋体" w:eastAsia="宋体" w:cs="宋体"/>
          <w:b/>
          <w:bCs/>
          <w:color w:val="auto"/>
        </w:rPr>
        <w:t>]</w:t>
      </w:r>
      <w:r>
        <w:rPr>
          <w:rFonts w:hint="eastAsia" w:ascii="宋体" w:hAnsi="宋体" w:eastAsia="宋体" w:cs="宋体"/>
          <w:b/>
          <w:bCs/>
          <w:color w:val="auto"/>
          <w:highlight w:val="none"/>
        </w:rPr>
        <w:t>第</w:t>
      </w:r>
      <w:r>
        <w:rPr>
          <w:rFonts w:hint="eastAsia" w:ascii="宋体" w:hAnsi="宋体" w:eastAsia="宋体" w:cs="宋体"/>
          <w:b/>
          <w:bCs/>
          <w:color w:val="auto"/>
          <w:highlight w:val="none"/>
          <w:lang w:val="en-US" w:eastAsia="zh-CN"/>
        </w:rPr>
        <w:t>210</w:t>
      </w:r>
      <w:r>
        <w:rPr>
          <w:rFonts w:hint="eastAsia" w:ascii="宋体" w:hAnsi="宋体" w:eastAsia="宋体" w:cs="宋体"/>
          <w:b/>
          <w:bCs/>
          <w:color w:val="auto"/>
        </w:rPr>
        <w:t>号</w:t>
      </w:r>
    </w:p>
    <w:p>
      <w:pPr>
        <w:spacing w:line="560" w:lineRule="exact"/>
        <w:ind w:firstLine="480"/>
        <w:rPr>
          <w:rFonts w:ascii="宋体" w:hAnsi="宋体" w:cs="宋体"/>
          <w:color w:val="auto"/>
        </w:rPr>
      </w:pPr>
      <w:r>
        <w:rPr>
          <w:rFonts w:hint="eastAsia" w:ascii="宋体" w:hAnsi="宋体" w:eastAsia="宋体" w:cs="宋体"/>
          <w:color w:val="auto"/>
        </w:rPr>
        <w:t>汉中恒信资产评估事务所接受</w:t>
      </w:r>
      <w:r>
        <w:rPr>
          <w:rFonts w:hint="eastAsia" w:ascii="宋体" w:hAnsi="宋体" w:eastAsia="宋体" w:cs="宋体"/>
          <w:color w:val="auto"/>
          <w:lang w:eastAsia="zh-CN"/>
        </w:rPr>
        <w:t>陕西省西乡县人民法院</w:t>
      </w:r>
      <w:r>
        <w:rPr>
          <w:rFonts w:hint="eastAsia" w:ascii="宋体" w:hAnsi="宋体" w:eastAsia="宋体" w:cs="宋体"/>
          <w:color w:val="auto"/>
        </w:rPr>
        <w:t>的委托，根据国家有关资产评估的规定，本着客观、独立、公正、科学的原则，按照公认的资产评估方法，对</w:t>
      </w:r>
      <w:r>
        <w:rPr>
          <w:rFonts w:hint="eastAsia" w:ascii="宋体" w:hAnsi="宋体" w:eastAsia="宋体" w:cs="宋体"/>
          <w:color w:val="auto"/>
          <w:lang w:eastAsia="zh-CN"/>
        </w:rPr>
        <w:t>陕西省西乡县人民法院执行的陕西西乡农村商业银行股份有限公司城关支行与岳洪、岳玉康、祝儒琴、周青金融借款合同纠纷一案涉及的位于西乡县城关镇附溪村二组岳洪、祝儒琴名下的一至七层房地产的司法处分价值</w:t>
      </w:r>
      <w:r>
        <w:rPr>
          <w:rFonts w:hint="eastAsia" w:ascii="宋体" w:hAnsi="宋体" w:cs="宋体"/>
          <w:color w:val="auto"/>
        </w:rPr>
        <w:t>进行了评估工作。本所评估人员按照必要的评估程序对委托评估的资产实施了实地勘查以及市场调查，对委估资产在</w:t>
      </w:r>
      <w:r>
        <w:rPr>
          <w:rFonts w:hint="eastAsia" w:ascii="宋体" w:hAnsi="宋体" w:eastAsia="宋体" w:cs="宋体"/>
          <w:color w:val="auto"/>
          <w:lang w:eastAsia="zh-CN"/>
        </w:rPr>
        <w:t>2019年11月22日</w:t>
      </w:r>
      <w:r>
        <w:rPr>
          <w:rFonts w:hint="eastAsia" w:ascii="宋体" w:hAnsi="宋体" w:cs="宋体"/>
          <w:color w:val="auto"/>
        </w:rPr>
        <w:t>所表现的司法处分价值做出了公允反映。现将资产评估情况和评估结果报告如下：</w:t>
      </w:r>
    </w:p>
    <w:p>
      <w:pPr>
        <w:pStyle w:val="4"/>
        <w:spacing w:beforeLines="50" w:afterLines="50" w:line="560" w:lineRule="exact"/>
        <w:ind w:left="-2" w:leftChars="-1" w:firstLine="527" w:firstLineChars="196"/>
        <w:rPr>
          <w:rFonts w:ascii="宋体" w:hAnsi="宋体" w:cs="宋体"/>
          <w:color w:val="auto"/>
          <w:w w:val="96"/>
          <w:sz w:val="28"/>
        </w:rPr>
      </w:pPr>
      <w:bookmarkStart w:id="17" w:name="_Toc23141"/>
      <w:bookmarkStart w:id="18" w:name="_Toc32764"/>
      <w:r>
        <w:rPr>
          <w:rFonts w:hint="eastAsia" w:cs="宋体" w:asciiTheme="minorEastAsia" w:hAnsiTheme="minorEastAsia" w:eastAsiaTheme="minorEastAsia"/>
          <w:color w:val="auto"/>
          <w:w w:val="96"/>
          <w:sz w:val="28"/>
        </w:rPr>
        <w:t>一、委托人、被评估单位和委托人以外的其他评估报告使用</w:t>
      </w:r>
      <w:bookmarkEnd w:id="17"/>
      <w:r>
        <w:rPr>
          <w:rFonts w:hint="eastAsia" w:cs="宋体" w:asciiTheme="minorEastAsia" w:hAnsiTheme="minorEastAsia" w:eastAsiaTheme="minorEastAsia"/>
          <w:color w:val="auto"/>
          <w:w w:val="96"/>
          <w:sz w:val="28"/>
        </w:rPr>
        <w:t>人</w:t>
      </w:r>
      <w:bookmarkEnd w:id="18"/>
    </w:p>
    <w:p>
      <w:pPr>
        <w:numPr>
          <w:ilvl w:val="0"/>
          <w:numId w:val="7"/>
        </w:numPr>
        <w:ind w:firstLine="482"/>
        <w:rPr>
          <w:rFonts w:ascii="宋体" w:hAnsi="宋体" w:eastAsia="宋体"/>
          <w:b/>
          <w:bCs/>
          <w:color w:val="auto"/>
        </w:rPr>
      </w:pPr>
      <w:bookmarkStart w:id="19" w:name="_Toc7002"/>
      <w:bookmarkStart w:id="20" w:name="_Toc29893"/>
      <w:r>
        <w:rPr>
          <w:rFonts w:hint="eastAsia" w:ascii="宋体" w:hAnsi="宋体" w:eastAsia="宋体"/>
          <w:b/>
          <w:bCs/>
          <w:color w:val="auto"/>
          <w:lang w:eastAsia="zh-CN"/>
        </w:rPr>
        <w:t>委托人</w:t>
      </w:r>
      <w:r>
        <w:rPr>
          <w:rFonts w:ascii="宋体" w:hAnsi="宋体" w:eastAsia="宋体"/>
          <w:b/>
          <w:bCs/>
          <w:color w:val="auto"/>
        </w:rPr>
        <w:tab/>
      </w:r>
    </w:p>
    <w:p>
      <w:pPr>
        <w:ind w:firstLine="480"/>
        <w:rPr>
          <w:rFonts w:hint="eastAsia" w:ascii="宋体" w:hAnsi="宋体" w:eastAsia="宋体"/>
          <w:color w:val="auto"/>
          <w:lang w:eastAsia="zh-CN"/>
        </w:rPr>
      </w:pPr>
      <w:r>
        <w:rPr>
          <w:rFonts w:hint="eastAsia" w:ascii="宋体" w:hAnsi="宋体" w:eastAsia="宋体"/>
          <w:color w:val="auto"/>
        </w:rPr>
        <w:t>本评估项目的</w:t>
      </w:r>
      <w:r>
        <w:rPr>
          <w:rFonts w:hint="eastAsia" w:ascii="宋体" w:hAnsi="宋体" w:eastAsia="宋体"/>
          <w:color w:val="auto"/>
          <w:lang w:eastAsia="zh-CN"/>
        </w:rPr>
        <w:t>委托人</w:t>
      </w:r>
      <w:r>
        <w:rPr>
          <w:rFonts w:hint="eastAsia" w:ascii="宋体" w:hAnsi="宋体" w:eastAsia="宋体"/>
          <w:color w:val="auto"/>
        </w:rPr>
        <w:t>为</w:t>
      </w:r>
      <w:r>
        <w:rPr>
          <w:rFonts w:hint="eastAsia" w:ascii="宋体" w:hAnsi="宋体" w:eastAsia="宋体"/>
          <w:color w:val="auto"/>
          <w:lang w:eastAsia="zh-CN"/>
        </w:rPr>
        <w:t>陕西省西乡县人民法院。</w:t>
      </w:r>
    </w:p>
    <w:p>
      <w:pPr>
        <w:numPr>
          <w:ilvl w:val="0"/>
          <w:numId w:val="8"/>
        </w:numPr>
        <w:ind w:firstLine="482"/>
        <w:rPr>
          <w:rFonts w:ascii="宋体" w:hAnsi="宋体" w:eastAsia="宋体"/>
          <w:b/>
          <w:bCs/>
          <w:color w:val="auto"/>
        </w:rPr>
      </w:pPr>
      <w:r>
        <w:rPr>
          <w:rFonts w:ascii="宋体" w:hAnsi="宋体" w:eastAsia="宋体"/>
          <w:b/>
          <w:bCs/>
          <w:color w:val="auto"/>
        </w:rPr>
        <w:t>被评估单位</w:t>
      </w:r>
    </w:p>
    <w:p>
      <w:pPr>
        <w:pStyle w:val="8"/>
        <w:spacing w:line="560" w:lineRule="exact"/>
        <w:ind w:left="0" w:leftChars="0" w:firstLine="534"/>
        <w:rPr>
          <w:rFonts w:hint="eastAsia" w:ascii="宋体" w:hAnsi="宋体"/>
          <w:color w:val="auto"/>
          <w:sz w:val="24"/>
        </w:rPr>
      </w:pPr>
      <w:r>
        <w:rPr>
          <w:rFonts w:hint="eastAsia" w:ascii="宋体" w:hAnsi="宋体"/>
          <w:color w:val="auto"/>
          <w:sz w:val="24"/>
        </w:rPr>
        <w:t>本评估项目的被评估单位为</w:t>
      </w:r>
      <w:r>
        <w:rPr>
          <w:rFonts w:hint="eastAsia" w:ascii="宋体" w:hAnsi="宋体"/>
          <w:color w:val="auto"/>
          <w:sz w:val="24"/>
          <w:lang w:eastAsia="zh-CN"/>
        </w:rPr>
        <w:t>岳洪、祝儒琴、岳玉康，系本评估项目案件被执行人</w:t>
      </w:r>
      <w:r>
        <w:rPr>
          <w:rFonts w:hint="eastAsia" w:ascii="宋体" w:hAnsi="宋体"/>
          <w:color w:val="auto"/>
          <w:sz w:val="24"/>
        </w:rPr>
        <w:t>。</w:t>
      </w:r>
    </w:p>
    <w:p>
      <w:pPr>
        <w:pStyle w:val="8"/>
        <w:spacing w:line="560" w:lineRule="exact"/>
        <w:ind w:left="0" w:leftChars="0" w:firstLine="534"/>
        <w:rPr>
          <w:rFonts w:hint="eastAsia" w:ascii="宋体" w:hAnsi="宋体" w:eastAsia="宋体"/>
          <w:color w:val="auto"/>
          <w:sz w:val="24"/>
          <w:lang w:eastAsia="zh-CN"/>
        </w:rPr>
      </w:pPr>
      <w:r>
        <w:rPr>
          <w:rFonts w:hint="eastAsia" w:ascii="宋体" w:hAnsi="宋体"/>
          <w:color w:val="auto"/>
          <w:sz w:val="24"/>
          <w:lang w:eastAsia="zh-CN"/>
        </w:rPr>
        <w:t>（根据（</w:t>
      </w:r>
      <w:r>
        <w:rPr>
          <w:rFonts w:hint="eastAsia" w:ascii="宋体" w:hAnsi="宋体"/>
          <w:color w:val="auto"/>
          <w:sz w:val="24"/>
          <w:lang w:val="en-US" w:eastAsia="zh-CN"/>
        </w:rPr>
        <w:t>2019</w:t>
      </w:r>
      <w:r>
        <w:rPr>
          <w:rFonts w:hint="eastAsia" w:ascii="宋体" w:hAnsi="宋体"/>
          <w:color w:val="auto"/>
          <w:sz w:val="24"/>
          <w:lang w:eastAsia="zh-CN"/>
        </w:rPr>
        <w:t>）陕</w:t>
      </w:r>
      <w:r>
        <w:rPr>
          <w:rFonts w:hint="eastAsia" w:ascii="宋体" w:hAnsi="宋体"/>
          <w:color w:val="auto"/>
          <w:sz w:val="24"/>
          <w:lang w:val="en-US" w:eastAsia="zh-CN"/>
        </w:rPr>
        <w:t>0724民初973号民事判决书，岳玉康与祝儒琴系夫妻关系，岳玉康与岳洪系父子关系</w:t>
      </w:r>
      <w:r>
        <w:rPr>
          <w:rFonts w:hint="eastAsia" w:ascii="宋体" w:hAnsi="宋体"/>
          <w:color w:val="auto"/>
          <w:sz w:val="24"/>
          <w:lang w:eastAsia="zh-CN"/>
        </w:rPr>
        <w:t>）</w:t>
      </w:r>
    </w:p>
    <w:p>
      <w:pPr>
        <w:numPr>
          <w:ilvl w:val="0"/>
          <w:numId w:val="8"/>
        </w:numPr>
        <w:ind w:firstLine="482"/>
        <w:rPr>
          <w:rFonts w:ascii="宋体" w:hAnsi="宋体" w:eastAsia="宋体"/>
          <w:b/>
          <w:bCs/>
          <w:color w:val="auto"/>
        </w:rPr>
      </w:pPr>
      <w:r>
        <w:rPr>
          <w:rFonts w:hint="eastAsia" w:ascii="宋体" w:hAnsi="宋体" w:eastAsia="宋体"/>
          <w:b/>
          <w:bCs/>
          <w:color w:val="auto"/>
          <w:lang w:eastAsia="zh-CN"/>
        </w:rPr>
        <w:t>委托人</w:t>
      </w:r>
      <w:r>
        <w:rPr>
          <w:rFonts w:hint="eastAsia" w:ascii="宋体" w:hAnsi="宋体" w:eastAsia="宋体"/>
          <w:b/>
          <w:bCs/>
          <w:color w:val="auto"/>
        </w:rPr>
        <w:t>以外的其他评估报告使用人</w:t>
      </w:r>
    </w:p>
    <w:p>
      <w:pPr>
        <w:spacing w:line="560" w:lineRule="exact"/>
        <w:ind w:firstLine="482" w:firstLineChars="0"/>
        <w:rPr>
          <w:rFonts w:hint="eastAsia" w:ascii="宋体" w:hAnsi="宋体" w:eastAsia="宋体" w:cs="宋体"/>
          <w:color w:val="auto"/>
          <w:lang w:eastAsia="zh-CN"/>
        </w:rPr>
      </w:pPr>
      <w:r>
        <w:rPr>
          <w:rFonts w:hint="eastAsia" w:ascii="宋体" w:hAnsi="宋体" w:eastAsia="宋体" w:cs="宋体"/>
          <w:color w:val="auto"/>
          <w:lang w:eastAsia="zh-CN"/>
        </w:rPr>
        <w:t>委托人</w:t>
      </w:r>
      <w:r>
        <w:rPr>
          <w:rFonts w:hint="eastAsia" w:ascii="宋体" w:hAnsi="宋体" w:eastAsia="宋体" w:cs="宋体"/>
          <w:color w:val="auto"/>
        </w:rPr>
        <w:t>以外的其他</w:t>
      </w:r>
      <w:r>
        <w:rPr>
          <w:rFonts w:ascii="宋体" w:hAnsi="宋体" w:eastAsia="宋体" w:cs="宋体"/>
          <w:color w:val="auto"/>
        </w:rPr>
        <w:t>评估报告使用</w:t>
      </w:r>
      <w:r>
        <w:rPr>
          <w:rFonts w:hint="eastAsia" w:ascii="宋体" w:hAnsi="宋体" w:eastAsia="宋体" w:cs="宋体"/>
          <w:color w:val="auto"/>
        </w:rPr>
        <w:t>人</w:t>
      </w:r>
      <w:r>
        <w:rPr>
          <w:rFonts w:ascii="宋体" w:hAnsi="宋体" w:eastAsia="宋体" w:cs="宋体"/>
          <w:color w:val="auto"/>
        </w:rPr>
        <w:t>为法律法规规定的报告使用</w:t>
      </w:r>
      <w:r>
        <w:rPr>
          <w:rFonts w:hint="eastAsia" w:ascii="宋体" w:hAnsi="宋体" w:eastAsia="宋体" w:cs="宋体"/>
          <w:color w:val="auto"/>
        </w:rPr>
        <w:t>人</w:t>
      </w:r>
      <w:r>
        <w:rPr>
          <w:rFonts w:hint="eastAsia" w:ascii="宋体" w:hAnsi="宋体" w:eastAsia="宋体" w:cs="宋体"/>
          <w:color w:val="auto"/>
          <w:lang w:eastAsia="zh-CN"/>
        </w:rPr>
        <w:t>。</w:t>
      </w:r>
    </w:p>
    <w:p>
      <w:pPr>
        <w:pStyle w:val="4"/>
        <w:spacing w:beforeLines="50" w:afterLines="50" w:line="560" w:lineRule="exact"/>
        <w:ind w:left="-2" w:leftChars="-1" w:firstLine="526" w:firstLineChars="196"/>
        <w:rPr>
          <w:rFonts w:ascii="宋体" w:hAnsi="宋体" w:cs="宋体"/>
          <w:color w:val="auto"/>
          <w:w w:val="96"/>
          <w:sz w:val="28"/>
        </w:rPr>
      </w:pPr>
      <w:r>
        <w:rPr>
          <w:rFonts w:hint="eastAsia" w:ascii="宋体" w:hAnsi="宋体" w:cs="宋体"/>
          <w:color w:val="auto"/>
          <w:w w:val="96"/>
          <w:sz w:val="28"/>
        </w:rPr>
        <w:t>二、评估目的</w:t>
      </w:r>
      <w:bookmarkEnd w:id="19"/>
      <w:bookmarkEnd w:id="20"/>
    </w:p>
    <w:p>
      <w:pPr>
        <w:pStyle w:val="8"/>
        <w:spacing w:after="0" w:line="560" w:lineRule="exact"/>
        <w:ind w:left="0" w:leftChars="0" w:firstLine="534"/>
        <w:rPr>
          <w:rFonts w:hint="eastAsia" w:ascii="宋体" w:hAnsi="宋体" w:cs="宋体"/>
          <w:color w:val="auto"/>
          <w:sz w:val="24"/>
        </w:rPr>
      </w:pPr>
      <w:bookmarkStart w:id="21" w:name="_Toc27707"/>
      <w:bookmarkStart w:id="22" w:name="_Toc19882"/>
      <w:r>
        <w:rPr>
          <w:rFonts w:hint="eastAsia" w:ascii="宋体" w:hAnsi="宋体" w:cs="宋体"/>
          <w:color w:val="auto"/>
          <w:sz w:val="24"/>
        </w:rPr>
        <w:t>本次评估目的系为</w:t>
      </w:r>
      <w:r>
        <w:rPr>
          <w:rFonts w:hint="eastAsia" w:ascii="宋体" w:hAnsi="宋体" w:cs="宋体"/>
          <w:color w:val="auto"/>
          <w:sz w:val="24"/>
          <w:lang w:eastAsia="zh-CN"/>
        </w:rPr>
        <w:t>陕西省西乡县人民法院委托的位于西乡县城关镇附溪村二组岳洪、祝儒琴名下的一至七层房地产</w:t>
      </w:r>
      <w:r>
        <w:rPr>
          <w:rFonts w:hint="eastAsia" w:ascii="宋体" w:hAnsi="宋体" w:cs="宋体"/>
          <w:color w:val="auto"/>
          <w:sz w:val="24"/>
          <w:lang w:val="en-US" w:eastAsia="zh-CN"/>
        </w:rPr>
        <w:t>司法</w:t>
      </w:r>
      <w:r>
        <w:rPr>
          <w:rFonts w:hint="eastAsia" w:ascii="宋体" w:hAnsi="宋体" w:cs="宋体"/>
          <w:color w:val="auto"/>
          <w:sz w:val="24"/>
        </w:rPr>
        <w:t>处分</w:t>
      </w:r>
      <w:r>
        <w:rPr>
          <w:rFonts w:hint="eastAsia" w:ascii="宋体" w:hAnsi="宋体" w:cs="宋体"/>
          <w:color w:val="auto"/>
          <w:sz w:val="24"/>
          <w:lang w:eastAsia="zh-CN"/>
        </w:rPr>
        <w:t>价值进行评估，为陕西省西乡县人民法院进行司法处分</w:t>
      </w:r>
      <w:r>
        <w:rPr>
          <w:rFonts w:hint="eastAsia" w:ascii="宋体" w:hAnsi="宋体" w:cs="宋体"/>
          <w:color w:val="auto"/>
          <w:sz w:val="24"/>
        </w:rPr>
        <w:t>提供价值参考意见。</w:t>
      </w:r>
    </w:p>
    <w:p>
      <w:pPr>
        <w:pStyle w:val="4"/>
        <w:spacing w:beforeLines="50" w:afterLines="50" w:line="560" w:lineRule="exact"/>
        <w:ind w:left="-2" w:leftChars="-1" w:firstLine="526" w:firstLineChars="196"/>
        <w:rPr>
          <w:rFonts w:ascii="宋体" w:hAnsi="宋体" w:cs="宋体"/>
          <w:color w:val="auto"/>
          <w:w w:val="96"/>
          <w:sz w:val="28"/>
        </w:rPr>
      </w:pPr>
      <w:r>
        <w:rPr>
          <w:rFonts w:hint="eastAsia" w:ascii="宋体" w:hAnsi="宋体" w:cs="宋体"/>
          <w:color w:val="auto"/>
          <w:w w:val="96"/>
          <w:sz w:val="28"/>
        </w:rPr>
        <w:t>三、评估对象和评估范围</w:t>
      </w:r>
      <w:bookmarkEnd w:id="21"/>
      <w:bookmarkEnd w:id="22"/>
    </w:p>
    <w:p>
      <w:pPr>
        <w:pStyle w:val="8"/>
        <w:spacing w:after="0" w:line="560" w:lineRule="exact"/>
        <w:ind w:left="0" w:leftChars="0" w:firstLine="534"/>
        <w:rPr>
          <w:rFonts w:ascii="宋体" w:hAnsi="宋体" w:cs="宋体"/>
          <w:color w:val="auto"/>
          <w:sz w:val="24"/>
        </w:rPr>
      </w:pPr>
      <w:bookmarkStart w:id="23" w:name="_Toc4572"/>
      <w:bookmarkStart w:id="24" w:name="_Toc30233"/>
      <w:r>
        <w:rPr>
          <w:rFonts w:hint="eastAsia" w:ascii="宋体" w:hAnsi="宋体" w:cs="宋体"/>
          <w:color w:val="auto"/>
          <w:sz w:val="24"/>
        </w:rPr>
        <w:t>本次评估对象是</w:t>
      </w:r>
      <w:r>
        <w:rPr>
          <w:rFonts w:hint="eastAsia" w:ascii="宋体" w:hAnsi="宋体" w:cs="宋体"/>
          <w:color w:val="auto"/>
          <w:sz w:val="24"/>
          <w:lang w:eastAsia="zh-CN"/>
        </w:rPr>
        <w:t>陕西省西乡县人民法院执行的陕西西乡农村商业银行股份有限公司城关支行与岳洪、岳玉康、祝儒琴、周青金融借款合同纠纷一案涉及的位于西乡县城关镇附溪村二组岳洪、祝儒琴名下的一至七层房地产的司法处分价值</w:t>
      </w:r>
      <w:r>
        <w:rPr>
          <w:rFonts w:hint="eastAsia" w:ascii="宋体" w:hAnsi="宋体" w:cs="宋体"/>
          <w:color w:val="auto"/>
          <w:sz w:val="24"/>
        </w:rPr>
        <w:t>。</w:t>
      </w:r>
    </w:p>
    <w:p>
      <w:pPr>
        <w:pStyle w:val="8"/>
        <w:spacing w:after="0" w:line="560" w:lineRule="exact"/>
        <w:ind w:left="0" w:leftChars="0" w:firstLine="534"/>
        <w:rPr>
          <w:rFonts w:hint="eastAsia" w:ascii="宋体" w:hAnsi="宋体" w:cs="宋体"/>
          <w:color w:val="auto"/>
          <w:sz w:val="24"/>
        </w:rPr>
      </w:pPr>
      <w:r>
        <w:rPr>
          <w:rFonts w:hint="eastAsia" w:ascii="宋体" w:hAnsi="宋体" w:cs="宋体"/>
          <w:color w:val="auto"/>
          <w:sz w:val="24"/>
        </w:rPr>
        <w:t>本次评估范围是位于</w:t>
      </w:r>
      <w:r>
        <w:rPr>
          <w:rFonts w:hint="eastAsia" w:ascii="宋体" w:hAnsi="宋体" w:cs="宋体"/>
          <w:color w:val="auto"/>
          <w:sz w:val="24"/>
          <w:lang w:eastAsia="zh-CN"/>
        </w:rPr>
        <w:t>西乡县城关镇附溪村二组岳洪、祝儒琴名下的一至七层房地产</w:t>
      </w:r>
      <w:r>
        <w:rPr>
          <w:rFonts w:hint="eastAsia" w:ascii="宋体" w:hAnsi="宋体" w:cs="宋体"/>
          <w:color w:val="auto"/>
          <w:sz w:val="24"/>
        </w:rPr>
        <w:t>，</w:t>
      </w:r>
      <w:r>
        <w:rPr>
          <w:rFonts w:hint="eastAsia" w:ascii="宋体" w:hAnsi="宋体" w:cs="宋体"/>
          <w:color w:val="auto"/>
          <w:sz w:val="24"/>
          <w:lang w:eastAsia="zh-CN"/>
        </w:rPr>
        <w:t>权证信息详见</w:t>
      </w:r>
      <w:r>
        <w:rPr>
          <w:rFonts w:hint="eastAsia" w:ascii="宋体" w:hAnsi="宋体" w:cs="宋体"/>
          <w:color w:val="auto"/>
          <w:sz w:val="24"/>
        </w:rPr>
        <w:t>下表：</w:t>
      </w:r>
    </w:p>
    <w:p>
      <w:pPr>
        <w:pStyle w:val="8"/>
        <w:numPr>
          <w:ilvl w:val="0"/>
          <w:numId w:val="0"/>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《房屋所有权证》及《土地使用证》登记信息</w:t>
      </w:r>
    </w:p>
    <w:p>
      <w:pPr>
        <w:pStyle w:val="8"/>
        <w:numPr>
          <w:ilvl w:val="0"/>
          <w:numId w:val="9"/>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岳洪名下房地产信息：</w:t>
      </w:r>
    </w:p>
    <w:tbl>
      <w:tblPr>
        <w:tblStyle w:val="22"/>
        <w:tblW w:w="5000" w:type="pct"/>
        <w:tblInd w:w="0" w:type="dxa"/>
        <w:shd w:val="clear" w:color="auto" w:fill="auto"/>
        <w:tblLayout w:type="fixed"/>
        <w:tblCellMar>
          <w:top w:w="0" w:type="dxa"/>
          <w:left w:w="0" w:type="dxa"/>
          <w:bottom w:w="0" w:type="dxa"/>
          <w:right w:w="0" w:type="dxa"/>
        </w:tblCellMar>
      </w:tblPr>
      <w:tblGrid>
        <w:gridCol w:w="442"/>
        <w:gridCol w:w="1725"/>
        <w:gridCol w:w="765"/>
        <w:gridCol w:w="915"/>
        <w:gridCol w:w="1005"/>
        <w:gridCol w:w="435"/>
        <w:gridCol w:w="750"/>
        <w:gridCol w:w="615"/>
        <w:gridCol w:w="525"/>
        <w:gridCol w:w="735"/>
        <w:gridCol w:w="1332"/>
      </w:tblGrid>
      <w:tr>
        <w:tblPrEx>
          <w:shd w:val="clear" w:color="auto" w:fill="auto"/>
          <w:tblCellMar>
            <w:top w:w="0" w:type="dxa"/>
            <w:left w:w="0" w:type="dxa"/>
            <w:bottom w:w="0" w:type="dxa"/>
            <w:right w:w="0" w:type="dxa"/>
          </w:tblCellMar>
        </w:tblPrEx>
        <w:trPr>
          <w:trHeight w:val="68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1217"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西乡县房权证西私房字第28789号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单独所有</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643.85</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一、房屋四址：东：自墙 南：自墙 西：自墙 北：共墙</w:t>
            </w:r>
          </w:p>
        </w:tc>
      </w:tr>
      <w:tr>
        <w:tblPrEx>
          <w:tblCellMar>
            <w:top w:w="0" w:type="dxa"/>
            <w:left w:w="0" w:type="dxa"/>
            <w:bottom w:w="0" w:type="dxa"/>
            <w:right w:w="0" w:type="dxa"/>
          </w:tblCellMar>
        </w:tblPrEx>
        <w:trPr>
          <w:trHeight w:val="540"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618"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西乡县集用（土）第610724100207JC00504</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00504</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87.52</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9"/>
        </w:numPr>
        <w:spacing w:after="0" w:line="560" w:lineRule="exact"/>
        <w:ind w:left="534" w:leftChars="0" w:firstLine="0" w:firstLineChars="0"/>
        <w:rPr>
          <w:rFonts w:hint="eastAsia" w:ascii="宋体" w:hAnsi="宋体" w:cs="宋体"/>
          <w:color w:val="auto"/>
          <w:sz w:val="24"/>
          <w:lang w:val="en-US" w:eastAsia="zh-CN"/>
        </w:rPr>
      </w:pPr>
      <w:r>
        <w:rPr>
          <w:rFonts w:hint="eastAsia" w:ascii="宋体" w:hAnsi="宋体" w:cs="宋体"/>
          <w:color w:val="auto"/>
          <w:sz w:val="24"/>
          <w:lang w:val="en-US" w:eastAsia="zh-CN"/>
        </w:rPr>
        <w:t>祝儒琴名下房地产信息：</w:t>
      </w:r>
    </w:p>
    <w:tbl>
      <w:tblPr>
        <w:tblStyle w:val="22"/>
        <w:tblW w:w="4996" w:type="pct"/>
        <w:tblInd w:w="0" w:type="dxa"/>
        <w:shd w:val="clear" w:color="auto" w:fill="auto"/>
        <w:tblLayout w:type="autofit"/>
        <w:tblCellMar>
          <w:top w:w="0" w:type="dxa"/>
          <w:left w:w="0" w:type="dxa"/>
          <w:bottom w:w="0" w:type="dxa"/>
          <w:right w:w="0" w:type="dxa"/>
        </w:tblCellMar>
      </w:tblPr>
      <w:tblGrid>
        <w:gridCol w:w="436"/>
        <w:gridCol w:w="1762"/>
        <w:gridCol w:w="780"/>
        <w:gridCol w:w="886"/>
        <w:gridCol w:w="1006"/>
        <w:gridCol w:w="705"/>
        <w:gridCol w:w="840"/>
        <w:gridCol w:w="553"/>
        <w:gridCol w:w="614"/>
        <w:gridCol w:w="570"/>
        <w:gridCol w:w="1085"/>
      </w:tblGrid>
      <w:tr>
        <w:tblPrEx>
          <w:tblCellMar>
            <w:top w:w="0" w:type="dxa"/>
            <w:left w:w="0" w:type="dxa"/>
            <w:bottom w:w="0" w:type="dxa"/>
            <w:right w:w="0" w:type="dxa"/>
          </w:tblCellMar>
        </w:tblPrEx>
        <w:trPr>
          <w:trHeight w:val="653"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1571"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西乡县房权证西私房字第28790号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祝儒琴</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共同共有，共有人岳玉康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852.6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一、房屋四址：东、南、西、北：自墙，共有人：岳玉康</w:t>
            </w:r>
          </w:p>
        </w:tc>
      </w:tr>
      <w:tr>
        <w:tblPrEx>
          <w:tblCellMar>
            <w:top w:w="0" w:type="dxa"/>
            <w:left w:w="0" w:type="dxa"/>
            <w:bottom w:w="0" w:type="dxa"/>
            <w:right w:w="0" w:type="dxa"/>
          </w:tblCellMar>
        </w:tblPrEx>
        <w:trPr>
          <w:trHeight w:val="48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558"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西乡县集用（土）第610724100207JC00513</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岳玉康</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00513</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128.76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0"/>
        </w:numPr>
        <w:spacing w:after="0" w:line="560" w:lineRule="exact"/>
        <w:ind w:left="14" w:leftChars="0" w:firstLine="518" w:firstLineChars="216"/>
        <w:rPr>
          <w:rFonts w:hint="eastAsia" w:ascii="宋体" w:hAnsi="宋体" w:cs="宋体"/>
          <w:color w:val="auto"/>
          <w:sz w:val="24"/>
          <w:lang w:val="en-US" w:eastAsia="zh-CN"/>
        </w:rPr>
      </w:pPr>
      <w:r>
        <w:rPr>
          <w:rFonts w:hint="eastAsia" w:ascii="宋体" w:hAnsi="宋体" w:cs="宋体"/>
          <w:color w:val="auto"/>
          <w:sz w:val="24"/>
          <w:lang w:val="en-US" w:eastAsia="zh-CN"/>
        </w:rPr>
        <w:t>根据委托人出具的陕西省西乡县人民法院民事判决书（2019）陕0724民初973号委估房地产已设定抵押权。</w:t>
      </w:r>
    </w:p>
    <w:p>
      <w:pPr>
        <w:pStyle w:val="8"/>
        <w:numPr>
          <w:ilvl w:val="0"/>
          <w:numId w:val="0"/>
        </w:numPr>
        <w:spacing w:after="0" w:line="560" w:lineRule="exact"/>
        <w:ind w:left="14" w:leftChars="0" w:firstLine="518" w:firstLineChars="216"/>
        <w:rPr>
          <w:rFonts w:hint="default" w:ascii="宋体" w:hAnsi="宋体" w:cs="宋体"/>
          <w:color w:val="auto"/>
          <w:sz w:val="24"/>
          <w:lang w:val="en-US" w:eastAsia="zh-CN"/>
        </w:rPr>
      </w:pPr>
      <w:r>
        <w:rPr>
          <w:rFonts w:hint="eastAsia" w:ascii="宋体" w:hAnsi="宋体" w:cs="宋体"/>
          <w:color w:val="auto"/>
          <w:sz w:val="24"/>
          <w:lang w:val="en-US" w:eastAsia="zh-CN"/>
        </w:rPr>
        <w:t>根据现场勘查，评估对象实际作为酒店由被执行人自营，本次评估范围包括房地产及房屋内部装修，不包含其他可移动的、独立于建筑物的动产设施及设备资产。</w:t>
      </w:r>
    </w:p>
    <w:p>
      <w:pPr>
        <w:pStyle w:val="4"/>
        <w:spacing w:beforeLines="50" w:afterLines="50" w:line="560" w:lineRule="exact"/>
        <w:ind w:left="-2" w:leftChars="-1" w:firstLine="551" w:firstLineChars="196"/>
        <w:rPr>
          <w:rFonts w:ascii="宋体" w:hAnsi="宋体" w:eastAsia="宋体" w:cs="宋体"/>
          <w:color w:val="auto"/>
          <w:sz w:val="28"/>
        </w:rPr>
      </w:pPr>
      <w:r>
        <w:rPr>
          <w:rFonts w:hint="eastAsia" w:ascii="宋体" w:hAnsi="宋体" w:eastAsia="宋体" w:cs="宋体"/>
          <w:color w:val="auto"/>
          <w:sz w:val="28"/>
        </w:rPr>
        <w:t>四、价值类型及其定义</w:t>
      </w:r>
      <w:bookmarkEnd w:id="23"/>
      <w:bookmarkEnd w:id="24"/>
    </w:p>
    <w:p>
      <w:pPr>
        <w:spacing w:line="560" w:lineRule="exact"/>
        <w:ind w:firstLine="483" w:firstLineChars="192"/>
        <w:rPr>
          <w:rFonts w:hint="eastAsia" w:ascii="宋体" w:hAnsi="宋体" w:eastAsia="宋体" w:cs="宋体"/>
          <w:color w:val="auto"/>
          <w:spacing w:val="6"/>
          <w:lang w:eastAsia="zh-CN"/>
        </w:rPr>
      </w:pPr>
      <w:r>
        <w:rPr>
          <w:rFonts w:hint="eastAsia" w:ascii="宋体" w:hAnsi="宋体" w:eastAsia="宋体" w:cs="宋体"/>
          <w:color w:val="auto"/>
          <w:spacing w:val="6"/>
        </w:rPr>
        <w:t>通过充分考虑本次评估目的、市场条件、评估对象自身条件因素，本次执行的资产评估业务对市场条件和评估对象等有一定的限制和要求，因此本次评估采用清算假设前提下的清算价值作为选定的价值类型</w:t>
      </w:r>
      <w:r>
        <w:rPr>
          <w:rFonts w:hint="eastAsia" w:ascii="宋体" w:hAnsi="宋体" w:eastAsia="宋体" w:cs="宋体"/>
          <w:color w:val="auto"/>
          <w:spacing w:val="6"/>
          <w:lang w:eastAsia="zh-CN"/>
        </w:rPr>
        <w:t>。</w:t>
      </w:r>
    </w:p>
    <w:p>
      <w:pPr>
        <w:spacing w:line="560" w:lineRule="exact"/>
        <w:ind w:firstLine="483" w:firstLineChars="192"/>
        <w:rPr>
          <w:rFonts w:hint="eastAsia" w:ascii="宋体" w:hAnsi="宋体" w:eastAsia="宋体" w:cs="宋体"/>
          <w:color w:val="auto"/>
          <w:spacing w:val="6"/>
        </w:rPr>
      </w:pPr>
      <w:r>
        <w:rPr>
          <w:rFonts w:hint="eastAsia" w:ascii="宋体" w:hAnsi="宋体" w:eastAsia="宋体" w:cs="宋体"/>
          <w:color w:val="auto"/>
          <w:spacing w:val="6"/>
          <w:lang w:eastAsia="zh-CN"/>
        </w:rPr>
        <w:t>清算价值的定义：</w:t>
      </w:r>
      <w:r>
        <w:rPr>
          <w:rFonts w:hint="eastAsia" w:ascii="宋体" w:hAnsi="宋体" w:eastAsia="宋体" w:cs="宋体"/>
          <w:color w:val="auto"/>
          <w:spacing w:val="6"/>
        </w:rPr>
        <w:t>清算价值是指在评估对象处于被迫出售、快速变现等非正常市场条件下的价值估计数额。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pPr>
        <w:spacing w:line="560" w:lineRule="exact"/>
        <w:ind w:firstLine="483" w:firstLineChars="192"/>
        <w:rPr>
          <w:rFonts w:hint="eastAsia" w:ascii="宋体" w:hAnsi="宋体" w:eastAsia="宋体" w:cs="宋体"/>
          <w:color w:val="auto"/>
          <w:spacing w:val="6"/>
        </w:rPr>
      </w:pPr>
      <w:r>
        <w:rPr>
          <w:rFonts w:hint="eastAsia" w:ascii="宋体" w:hAnsi="宋体" w:eastAsia="宋体" w:cs="宋体"/>
          <w:color w:val="auto"/>
          <w:spacing w:val="6"/>
          <w:lang w:eastAsia="zh-CN"/>
        </w:rPr>
        <w:t>选择清算价值的理由：选择的价值类型主要是根据评估目的而定。</w:t>
      </w:r>
      <w:r>
        <w:rPr>
          <w:rFonts w:hint="eastAsia" w:ascii="宋体" w:hAnsi="宋体" w:eastAsia="宋体" w:cs="宋体"/>
          <w:color w:val="auto"/>
          <w:spacing w:val="6"/>
        </w:rPr>
        <w:t>（1）</w:t>
      </w:r>
      <w:r>
        <w:rPr>
          <w:rFonts w:hint="eastAsia" w:ascii="宋体" w:hAnsi="宋体" w:eastAsia="宋体" w:cs="宋体"/>
          <w:color w:val="auto"/>
          <w:spacing w:val="6"/>
          <w:lang w:eastAsia="zh-CN"/>
        </w:rPr>
        <w:t>本次</w:t>
      </w:r>
      <w:r>
        <w:rPr>
          <w:rFonts w:hint="eastAsia" w:ascii="宋体" w:hAnsi="宋体" w:eastAsia="宋体" w:cs="宋体"/>
          <w:color w:val="auto"/>
          <w:spacing w:val="6"/>
        </w:rPr>
        <w:t>评估对象面临被迫出售、快速变现或者评估对象具有潜在被迫出售、快速变现等情况，</w:t>
      </w:r>
      <w:r>
        <w:rPr>
          <w:rFonts w:hint="eastAsia" w:ascii="宋体" w:hAnsi="宋体" w:eastAsia="宋体" w:cs="宋体"/>
          <w:color w:val="auto"/>
          <w:spacing w:val="6"/>
          <w:lang w:eastAsia="zh-CN"/>
        </w:rPr>
        <w:t>因此</w:t>
      </w:r>
      <w:r>
        <w:rPr>
          <w:rFonts w:hint="eastAsia" w:ascii="宋体" w:hAnsi="宋体" w:eastAsia="宋体" w:cs="宋体"/>
          <w:color w:val="auto"/>
          <w:spacing w:val="6"/>
        </w:rPr>
        <w:t>选择清算价值类型。</w:t>
      </w:r>
      <w:r>
        <w:rPr>
          <w:rFonts w:hint="eastAsia" w:ascii="宋体" w:hAnsi="宋体" w:eastAsia="宋体" w:cs="宋体"/>
          <w:color w:val="auto"/>
          <w:spacing w:val="6"/>
        </w:rPr>
        <w:br w:type="textWrapping"/>
      </w:r>
      <w:r>
        <w:rPr>
          <w:rFonts w:hint="eastAsia" w:ascii="宋体" w:hAnsi="宋体" w:eastAsia="宋体" w:cs="宋体"/>
          <w:color w:val="auto"/>
          <w:spacing w:val="6"/>
        </w:rPr>
        <w:t>（2）评估对象是处于强制清算过程中</w:t>
      </w:r>
      <w:r>
        <w:rPr>
          <w:rFonts w:hint="eastAsia" w:ascii="宋体" w:hAnsi="宋体" w:eastAsia="宋体" w:cs="宋体"/>
          <w:color w:val="auto"/>
          <w:spacing w:val="6"/>
          <w:lang w:eastAsia="zh-CN"/>
        </w:rPr>
        <w:t>。</w:t>
      </w:r>
      <w:r>
        <w:rPr>
          <w:rFonts w:hint="eastAsia" w:ascii="宋体" w:hAnsi="宋体" w:eastAsia="宋体" w:cs="宋体"/>
          <w:color w:val="auto"/>
          <w:spacing w:val="6"/>
        </w:rPr>
        <w:t>所谓强制清算是指该清算行为已经不在资产所有者控制之下进行，这种清算可能受法院或者法院指定的清算组控制，或者由债权人控制等。</w:t>
      </w:r>
    </w:p>
    <w:p>
      <w:pPr>
        <w:pStyle w:val="4"/>
        <w:spacing w:beforeLines="50" w:afterLines="50" w:line="560" w:lineRule="exact"/>
        <w:ind w:left="-2" w:leftChars="-1" w:firstLine="551" w:firstLineChars="196"/>
        <w:rPr>
          <w:rFonts w:ascii="宋体" w:hAnsi="宋体" w:eastAsia="宋体" w:cs="宋体"/>
          <w:b w:val="0"/>
          <w:bCs w:val="0"/>
          <w:color w:val="auto"/>
          <w:w w:val="96"/>
          <w:sz w:val="28"/>
        </w:rPr>
      </w:pPr>
      <w:bookmarkStart w:id="25" w:name="_Toc17365"/>
      <w:bookmarkStart w:id="26" w:name="_Toc29360"/>
      <w:r>
        <w:rPr>
          <w:rFonts w:hint="eastAsia" w:ascii="宋体" w:hAnsi="宋体" w:eastAsia="宋体" w:cs="宋体"/>
          <w:color w:val="auto"/>
          <w:sz w:val="28"/>
        </w:rPr>
        <w:t>五、评估基准日</w:t>
      </w:r>
      <w:bookmarkEnd w:id="25"/>
      <w:bookmarkEnd w:id="26"/>
    </w:p>
    <w:p>
      <w:pPr>
        <w:pStyle w:val="8"/>
        <w:spacing w:line="560" w:lineRule="exact"/>
        <w:ind w:left="0" w:leftChars="0" w:firstLine="534"/>
        <w:rPr>
          <w:rFonts w:ascii="宋体" w:hAnsi="宋体" w:cs="宋体"/>
          <w:color w:val="auto"/>
          <w:sz w:val="24"/>
        </w:rPr>
      </w:pPr>
      <w:bookmarkStart w:id="27" w:name="_Toc12466"/>
      <w:r>
        <w:rPr>
          <w:rFonts w:hint="eastAsia" w:ascii="宋体" w:hAnsi="宋体" w:cs="宋体"/>
          <w:color w:val="auto"/>
          <w:sz w:val="24"/>
        </w:rPr>
        <w:t>本次评估基准日期以现场勘验日期为准，即本资产评估项目评估基准日为</w:t>
      </w:r>
      <w:r>
        <w:rPr>
          <w:rFonts w:hint="eastAsia" w:ascii="宋体" w:hAnsi="宋体" w:cs="宋体"/>
          <w:color w:val="auto"/>
          <w:sz w:val="24"/>
          <w:lang w:eastAsia="zh-CN"/>
        </w:rPr>
        <w:t>2019年11月22日</w:t>
      </w:r>
      <w:r>
        <w:rPr>
          <w:rFonts w:hint="eastAsia" w:ascii="宋体" w:hAnsi="宋体" w:cs="宋体"/>
          <w:color w:val="auto"/>
          <w:sz w:val="24"/>
        </w:rPr>
        <w:t>，评估中所采用的价格是评估基准日的标准。</w:t>
      </w:r>
    </w:p>
    <w:p>
      <w:pPr>
        <w:pStyle w:val="4"/>
        <w:spacing w:beforeLines="50" w:afterLines="50" w:line="560" w:lineRule="exact"/>
        <w:ind w:left="-2" w:leftChars="-1" w:firstLine="551" w:firstLineChars="196"/>
        <w:rPr>
          <w:rFonts w:ascii="宋体" w:hAnsi="宋体" w:eastAsia="宋体" w:cs="宋体"/>
          <w:color w:val="auto"/>
          <w:sz w:val="28"/>
        </w:rPr>
      </w:pPr>
      <w:bookmarkStart w:id="28" w:name="_Toc16204"/>
      <w:r>
        <w:rPr>
          <w:rFonts w:hint="eastAsia" w:ascii="宋体" w:hAnsi="宋体" w:eastAsia="宋体" w:cs="宋体"/>
          <w:color w:val="auto"/>
          <w:sz w:val="28"/>
        </w:rPr>
        <w:t>六、评估依据</w:t>
      </w:r>
      <w:bookmarkEnd w:id="27"/>
      <w:bookmarkEnd w:id="28"/>
    </w:p>
    <w:p>
      <w:pPr>
        <w:numPr>
          <w:ilvl w:val="0"/>
          <w:numId w:val="10"/>
        </w:numPr>
        <w:tabs>
          <w:tab w:val="left" w:pos="1080"/>
          <w:tab w:val="left" w:pos="1276"/>
          <w:tab w:val="left" w:pos="1418"/>
          <w:tab w:val="clear" w:pos="0"/>
        </w:tabs>
        <w:spacing w:line="560" w:lineRule="exact"/>
        <w:ind w:firstLine="364" w:firstLineChars="151"/>
        <w:rPr>
          <w:rFonts w:ascii="宋体" w:hAnsi="宋体" w:eastAsia="宋体" w:cs="宋体"/>
          <w:b/>
          <w:color w:val="auto"/>
          <w:szCs w:val="28"/>
        </w:rPr>
      </w:pPr>
      <w:r>
        <w:rPr>
          <w:rFonts w:ascii="宋体" w:hAnsi="宋体" w:eastAsia="宋体" w:cs="宋体"/>
          <w:b/>
          <w:color w:val="auto"/>
          <w:szCs w:val="28"/>
        </w:rPr>
        <w:t>行为依据</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textAlignment w:val="auto"/>
        <w:outlineLvl w:val="9"/>
        <w:rPr>
          <w:rFonts w:hint="eastAsia" w:cs="宋体" w:asciiTheme="minorEastAsia" w:hAnsiTheme="minorEastAsia" w:eastAsiaTheme="minorEastAsia"/>
          <w:color w:val="auto"/>
        </w:rPr>
      </w:pPr>
      <w:r>
        <w:rPr>
          <w:rFonts w:hint="eastAsia" w:ascii="宋体" w:hAnsi="宋体" w:eastAsia="宋体" w:cs="宋体"/>
          <w:color w:val="auto"/>
          <w:lang w:val="en-US" w:eastAsia="zh-CN"/>
        </w:rPr>
        <w:t>陕西省西乡县人民法院《评估委托函》</w:t>
      </w:r>
      <w:r>
        <w:rPr>
          <w:rFonts w:hint="eastAsia" w:cs="宋体" w:asciiTheme="minorEastAsia" w:hAnsiTheme="minorEastAsia" w:eastAsiaTheme="minorEastAsia"/>
          <w:color w:val="auto"/>
        </w:rPr>
        <w:t>；</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480"/>
        <w:textAlignment w:val="auto"/>
        <w:outlineLvl w:val="9"/>
        <w:rPr>
          <w:rFonts w:hint="eastAsia" w:cs="宋体" w:asciiTheme="minorEastAsia" w:hAnsiTheme="minorEastAsia" w:eastAsiaTheme="minorEastAsia"/>
          <w:color w:val="auto"/>
        </w:rPr>
      </w:pPr>
      <w:r>
        <w:rPr>
          <w:rFonts w:hint="eastAsia" w:cs="宋体" w:asciiTheme="minorEastAsia" w:hAnsiTheme="minorEastAsia" w:eastAsiaTheme="minorEastAsia"/>
          <w:color w:val="auto"/>
          <w:lang w:eastAsia="zh-CN"/>
        </w:rPr>
        <w:t>陕西省西乡县人民法院民事判决书（</w:t>
      </w:r>
      <w:r>
        <w:rPr>
          <w:rFonts w:hint="eastAsia" w:cs="宋体" w:asciiTheme="minorEastAsia" w:hAnsiTheme="minorEastAsia" w:eastAsiaTheme="minorEastAsia"/>
          <w:color w:val="auto"/>
          <w:lang w:val="en-US" w:eastAsia="zh-CN"/>
        </w:rPr>
        <w:t>2019</w:t>
      </w:r>
      <w:r>
        <w:rPr>
          <w:rFonts w:hint="eastAsia" w:cs="宋体" w:asciiTheme="minorEastAsia" w:hAnsiTheme="minorEastAsia" w:eastAsiaTheme="minorEastAsia"/>
          <w:color w:val="auto"/>
          <w:lang w:eastAsia="zh-CN"/>
        </w:rPr>
        <w:t>）</w:t>
      </w:r>
      <w:r>
        <w:rPr>
          <w:rFonts w:hint="eastAsia" w:cs="宋体" w:asciiTheme="minorEastAsia" w:hAnsiTheme="minorEastAsia" w:eastAsiaTheme="minorEastAsia"/>
          <w:color w:val="auto"/>
          <w:lang w:val="en-US" w:eastAsia="zh-CN"/>
        </w:rPr>
        <w:t>0724民初973号复印件</w:t>
      </w:r>
      <w:r>
        <w:rPr>
          <w:rFonts w:hint="eastAsia" w:cs="宋体" w:asciiTheme="minorEastAsia" w:hAnsiTheme="minorEastAsia" w:eastAsiaTheme="minorEastAsia"/>
          <w:color w:val="auto"/>
          <w:lang w:eastAsia="zh-CN"/>
        </w:rPr>
        <w:t>。</w:t>
      </w:r>
    </w:p>
    <w:p>
      <w:pPr>
        <w:numPr>
          <w:ilvl w:val="0"/>
          <w:numId w:val="10"/>
        </w:numPr>
        <w:tabs>
          <w:tab w:val="left" w:pos="1080"/>
          <w:tab w:val="left" w:pos="1418"/>
          <w:tab w:val="clear" w:pos="0"/>
        </w:tabs>
        <w:spacing w:line="560" w:lineRule="exact"/>
        <w:ind w:firstLine="364" w:firstLineChars="151"/>
        <w:rPr>
          <w:rFonts w:ascii="宋体" w:hAnsi="宋体" w:eastAsia="宋体" w:cs="宋体"/>
          <w:b/>
          <w:color w:val="auto"/>
          <w:szCs w:val="28"/>
        </w:rPr>
      </w:pPr>
      <w:r>
        <w:rPr>
          <w:rFonts w:hint="eastAsia" w:ascii="宋体" w:hAnsi="宋体" w:eastAsia="宋体" w:cs="宋体"/>
          <w:b/>
          <w:color w:val="auto"/>
          <w:szCs w:val="28"/>
        </w:rPr>
        <w:t>法律依据</w:t>
      </w:r>
    </w:p>
    <w:p>
      <w:pPr>
        <w:numPr>
          <w:ilvl w:val="0"/>
          <w:numId w:val="12"/>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hint="eastAsia" w:ascii="宋体" w:hAnsi="宋体" w:eastAsia="宋体" w:cs="宋体"/>
          <w:color w:val="auto"/>
          <w:szCs w:val="28"/>
        </w:rPr>
        <w:t>中华人民共和国主席令十二届第四十六号《中华人民共和国资产评估法》；</w:t>
      </w:r>
    </w:p>
    <w:p>
      <w:pPr>
        <w:numPr>
          <w:ilvl w:val="0"/>
          <w:numId w:val="12"/>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hint="eastAsia" w:ascii="宋体" w:hAnsi="宋体" w:eastAsia="宋体" w:cs="宋体"/>
          <w:color w:val="auto"/>
          <w:szCs w:val="28"/>
        </w:rPr>
        <w:t>中华人民共和国主席令十届第七十二号《中华人民共和国城市房地产管理法》</w:t>
      </w:r>
      <w:r>
        <w:rPr>
          <w:rFonts w:ascii="宋体" w:hAnsi="宋体" w:eastAsia="宋体" w:cs="宋体"/>
          <w:color w:val="auto"/>
          <w:szCs w:val="28"/>
        </w:rPr>
        <w:t>(2007</w:t>
      </w:r>
      <w:r>
        <w:rPr>
          <w:rFonts w:hint="eastAsia" w:ascii="宋体" w:hAnsi="宋体" w:eastAsia="宋体" w:cs="宋体"/>
          <w:color w:val="auto"/>
          <w:szCs w:val="28"/>
        </w:rPr>
        <w:t>修订</w:t>
      </w:r>
      <w:r>
        <w:rPr>
          <w:rFonts w:ascii="宋体" w:hAnsi="宋体" w:eastAsia="宋体" w:cs="宋体"/>
          <w:color w:val="auto"/>
          <w:szCs w:val="28"/>
        </w:rPr>
        <w:t>)</w:t>
      </w:r>
      <w:r>
        <w:rPr>
          <w:rFonts w:hint="eastAsia" w:ascii="宋体" w:hAnsi="宋体" w:eastAsia="宋体" w:cs="宋体"/>
          <w:color w:val="auto"/>
          <w:szCs w:val="28"/>
        </w:rPr>
        <w:t>；</w:t>
      </w:r>
    </w:p>
    <w:p>
      <w:pPr>
        <w:numPr>
          <w:ilvl w:val="0"/>
          <w:numId w:val="12"/>
        </w:numPr>
        <w:spacing w:line="360" w:lineRule="auto"/>
        <w:ind w:left="0" w:leftChars="0" w:firstLine="400" w:firstLineChars="0"/>
        <w:rPr>
          <w:rFonts w:ascii="宋体" w:hAnsi="宋体" w:eastAsia="宋体"/>
          <w:color w:val="auto"/>
          <w:spacing w:val="6"/>
        </w:rPr>
      </w:pPr>
      <w:r>
        <w:rPr>
          <w:rFonts w:hint="eastAsia" w:ascii="宋体" w:hAnsi="宋体" w:eastAsia="宋体"/>
          <w:color w:val="auto"/>
          <w:spacing w:val="6"/>
        </w:rPr>
        <w:t>《中华人民共和国物权法》（中华人民共和国主席令第62号</w:t>
      </w:r>
      <w:r>
        <w:rPr>
          <w:rFonts w:hint="eastAsia" w:ascii="宋体" w:hAnsi="宋体" w:eastAsia="宋体"/>
          <w:color w:val="auto"/>
          <w:spacing w:val="6"/>
          <w:lang w:eastAsia="zh-CN"/>
        </w:rPr>
        <w:t>）；</w:t>
      </w:r>
    </w:p>
    <w:p>
      <w:pPr>
        <w:numPr>
          <w:ilvl w:val="0"/>
          <w:numId w:val="12"/>
        </w:numPr>
        <w:tabs>
          <w:tab w:val="left" w:pos="0"/>
          <w:tab w:val="left" w:pos="426"/>
          <w:tab w:val="left" w:pos="709"/>
          <w:tab w:val="left" w:pos="851"/>
          <w:tab w:val="left" w:pos="993"/>
        </w:tabs>
        <w:spacing w:line="560" w:lineRule="exact"/>
        <w:ind w:left="0" w:leftChars="0" w:firstLine="400" w:firstLineChars="0"/>
        <w:rPr>
          <w:rFonts w:ascii="宋体" w:hAnsi="宋体" w:eastAsia="宋体"/>
          <w:color w:val="auto"/>
          <w:spacing w:val="6"/>
        </w:rPr>
      </w:pPr>
      <w:r>
        <w:rPr>
          <w:rFonts w:hint="eastAsia" w:ascii="宋体" w:hAnsi="宋体" w:eastAsia="宋体" w:cs="宋体"/>
          <w:color w:val="auto"/>
          <w:szCs w:val="28"/>
        </w:rPr>
        <w:t>住房和城乡建设部 第7</w:t>
      </w:r>
      <w:r>
        <w:rPr>
          <w:rFonts w:ascii="宋体" w:hAnsi="宋体" w:eastAsia="宋体" w:cs="宋体"/>
          <w:color w:val="auto"/>
          <w:szCs w:val="28"/>
        </w:rPr>
        <w:t>97</w:t>
      </w:r>
      <w:r>
        <w:rPr>
          <w:rFonts w:hint="eastAsia" w:ascii="宋体" w:hAnsi="宋体" w:eastAsia="宋体" w:cs="宋体"/>
          <w:color w:val="auto"/>
          <w:szCs w:val="28"/>
        </w:rPr>
        <w:t>号</w:t>
      </w:r>
      <w:r>
        <w:rPr>
          <w:rFonts w:ascii="宋体" w:hAnsi="宋体" w:eastAsia="宋体"/>
          <w:color w:val="auto"/>
          <w:spacing w:val="6"/>
        </w:rPr>
        <w:t>《</w:t>
      </w:r>
      <w:r>
        <w:rPr>
          <w:rFonts w:hint="eastAsia" w:ascii="宋体" w:hAnsi="宋体" w:eastAsia="宋体"/>
          <w:color w:val="auto"/>
          <w:spacing w:val="6"/>
        </w:rPr>
        <w:t>中华人民共和国国家标准</w:t>
      </w:r>
      <w:r>
        <w:rPr>
          <w:rFonts w:ascii="宋体" w:hAnsi="宋体" w:eastAsia="宋体"/>
          <w:color w:val="auto"/>
          <w:spacing w:val="6"/>
        </w:rPr>
        <w:t>房地产估价规范》</w:t>
      </w:r>
      <w:r>
        <w:rPr>
          <w:rFonts w:hint="eastAsia" w:ascii="宋体" w:hAnsi="宋体" w:eastAsia="宋体"/>
          <w:color w:val="auto"/>
          <w:spacing w:val="6"/>
        </w:rPr>
        <w:t>（</w:t>
      </w:r>
      <w:r>
        <w:rPr>
          <w:rFonts w:ascii="宋体" w:hAnsi="宋体" w:eastAsia="宋体"/>
          <w:color w:val="auto"/>
          <w:spacing w:val="6"/>
        </w:rPr>
        <w:t>GB/T50291-</w:t>
      </w:r>
      <w:r>
        <w:rPr>
          <w:rFonts w:hint="eastAsia" w:ascii="宋体" w:hAnsi="宋体" w:eastAsia="宋体"/>
          <w:color w:val="auto"/>
          <w:spacing w:val="6"/>
        </w:rPr>
        <w:t>2015）</w:t>
      </w:r>
      <w:r>
        <w:rPr>
          <w:rFonts w:ascii="宋体" w:hAnsi="宋体" w:eastAsia="宋体"/>
          <w:color w:val="auto"/>
          <w:spacing w:val="6"/>
        </w:rPr>
        <w:t>；</w:t>
      </w:r>
    </w:p>
    <w:p>
      <w:pPr>
        <w:numPr>
          <w:ilvl w:val="0"/>
          <w:numId w:val="12"/>
        </w:numPr>
        <w:tabs>
          <w:tab w:val="left" w:pos="0"/>
          <w:tab w:val="left" w:pos="426"/>
          <w:tab w:val="left" w:pos="709"/>
          <w:tab w:val="left" w:pos="993"/>
        </w:tabs>
        <w:spacing w:line="560" w:lineRule="exact"/>
        <w:ind w:left="0" w:leftChars="0" w:firstLine="400" w:firstLineChars="0"/>
        <w:rPr>
          <w:rFonts w:hint="eastAsia" w:ascii="宋体" w:hAnsi="宋体" w:eastAsia="宋体"/>
          <w:color w:val="auto"/>
          <w:spacing w:val="6"/>
          <w:highlight w:val="none"/>
          <w:lang w:val="en-US" w:eastAsia="zh-CN"/>
        </w:rPr>
      </w:pPr>
      <w:r>
        <w:rPr>
          <w:rFonts w:hint="eastAsia" w:ascii="宋体" w:hAnsi="宋体" w:eastAsia="宋体"/>
          <w:color w:val="auto"/>
          <w:spacing w:val="6"/>
          <w:highlight w:val="none"/>
          <w:lang w:val="en-US" w:eastAsia="zh-CN"/>
        </w:rPr>
        <w:t>《最高人民法院关于人民法院委托评估、拍卖工作的若干规定》（法释【2011】21号及实施有关问题的通知（法释【2012】30号；</w:t>
      </w:r>
    </w:p>
    <w:p>
      <w:pPr>
        <w:numPr>
          <w:ilvl w:val="0"/>
          <w:numId w:val="12"/>
        </w:numPr>
        <w:tabs>
          <w:tab w:val="left" w:pos="0"/>
          <w:tab w:val="left" w:pos="426"/>
          <w:tab w:val="left" w:pos="709"/>
          <w:tab w:val="left" w:pos="993"/>
        </w:tabs>
        <w:spacing w:line="560" w:lineRule="exact"/>
        <w:ind w:left="0" w:leftChars="0" w:firstLine="400" w:firstLineChars="0"/>
        <w:rPr>
          <w:rFonts w:hint="eastAsia" w:ascii="宋体" w:hAnsi="宋体" w:eastAsia="宋体"/>
          <w:color w:val="auto"/>
          <w:spacing w:val="6"/>
          <w:highlight w:val="none"/>
          <w:lang w:val="en-US" w:eastAsia="zh-CN"/>
        </w:rPr>
      </w:pPr>
      <w:r>
        <w:rPr>
          <w:rFonts w:hint="eastAsia" w:ascii="宋体" w:hAnsi="宋体" w:eastAsia="宋体"/>
          <w:color w:val="auto"/>
          <w:spacing w:val="6"/>
          <w:highlight w:val="none"/>
          <w:lang w:val="en-US" w:eastAsia="zh-CN"/>
        </w:rPr>
        <w:t>《最高人民法院关于人民法院确定财产处置参考价若干问题的规定》（法释【2018】15号，自2018年9月1日起施行）；</w:t>
      </w:r>
    </w:p>
    <w:p>
      <w:pPr>
        <w:numPr>
          <w:ilvl w:val="0"/>
          <w:numId w:val="12"/>
        </w:numPr>
        <w:tabs>
          <w:tab w:val="left" w:pos="0"/>
          <w:tab w:val="left" w:pos="426"/>
          <w:tab w:val="left" w:pos="709"/>
          <w:tab w:val="left" w:pos="993"/>
        </w:tabs>
        <w:spacing w:line="560" w:lineRule="exact"/>
        <w:ind w:left="0" w:leftChars="0" w:firstLine="400" w:firstLineChars="0"/>
        <w:rPr>
          <w:rFonts w:hint="eastAsia" w:ascii="宋体" w:hAnsi="宋体" w:eastAsia="宋体"/>
          <w:color w:val="auto"/>
          <w:spacing w:val="6"/>
          <w:highlight w:val="none"/>
          <w:lang w:val="en-US" w:eastAsia="zh-CN"/>
        </w:rPr>
      </w:pPr>
      <w:r>
        <w:rPr>
          <w:rFonts w:hint="eastAsia" w:ascii="宋体" w:hAnsi="宋体" w:eastAsia="宋体"/>
          <w:color w:val="auto"/>
          <w:spacing w:val="6"/>
          <w:highlight w:val="none"/>
          <w:lang w:val="en-US" w:eastAsia="zh-CN"/>
        </w:rPr>
        <w:t>《人民法院委托评估工作规范》（法办[2018]273号）；</w:t>
      </w:r>
    </w:p>
    <w:p>
      <w:pPr>
        <w:numPr>
          <w:ilvl w:val="0"/>
          <w:numId w:val="12"/>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hint="eastAsia" w:ascii="宋体" w:hAnsi="宋体" w:eastAsia="宋体" w:cs="宋体"/>
          <w:color w:val="auto"/>
          <w:szCs w:val="28"/>
        </w:rPr>
        <w:t>主席令八届第五十号《中华人民共和国担保法》；</w:t>
      </w:r>
    </w:p>
    <w:p>
      <w:pPr>
        <w:numPr>
          <w:ilvl w:val="0"/>
          <w:numId w:val="12"/>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ascii="宋体" w:hAnsi="宋体" w:eastAsia="宋体"/>
          <w:color w:val="auto"/>
          <w:spacing w:val="6"/>
        </w:rPr>
        <w:t>其他与资产评估</w:t>
      </w:r>
      <w:r>
        <w:rPr>
          <w:rFonts w:hint="eastAsia" w:ascii="宋体" w:hAnsi="宋体" w:eastAsia="宋体"/>
          <w:color w:val="auto"/>
          <w:spacing w:val="6"/>
        </w:rPr>
        <w:t>相</w:t>
      </w:r>
      <w:r>
        <w:rPr>
          <w:rFonts w:ascii="宋体" w:hAnsi="宋体" w:eastAsia="宋体"/>
          <w:color w:val="auto"/>
          <w:spacing w:val="6"/>
        </w:rPr>
        <w:t>关的法律、法规等</w:t>
      </w:r>
      <w:r>
        <w:rPr>
          <w:rFonts w:hint="eastAsia" w:ascii="宋体" w:hAnsi="宋体" w:eastAsia="宋体"/>
          <w:color w:val="auto"/>
          <w:spacing w:val="6"/>
          <w:lang w:eastAsia="zh-CN"/>
        </w:rPr>
        <w:t>。</w:t>
      </w:r>
    </w:p>
    <w:p>
      <w:pPr>
        <w:numPr>
          <w:ilvl w:val="0"/>
          <w:numId w:val="10"/>
        </w:numPr>
        <w:tabs>
          <w:tab w:val="left" w:pos="1080"/>
          <w:tab w:val="left" w:pos="1134"/>
          <w:tab w:val="left" w:pos="1418"/>
          <w:tab w:val="clear" w:pos="0"/>
        </w:tabs>
        <w:spacing w:line="560" w:lineRule="exact"/>
        <w:ind w:firstLine="424" w:firstLineChars="151"/>
        <w:rPr>
          <w:rFonts w:ascii="宋体" w:hAnsi="宋体" w:eastAsia="宋体" w:cs="宋体"/>
          <w:b/>
          <w:color w:val="auto"/>
          <w:sz w:val="28"/>
          <w:szCs w:val="28"/>
        </w:rPr>
      </w:pPr>
      <w:r>
        <w:rPr>
          <w:rFonts w:hint="eastAsia" w:ascii="宋体" w:hAnsi="宋体" w:eastAsia="宋体" w:cs="宋体"/>
          <w:b/>
          <w:color w:val="auto"/>
          <w:sz w:val="28"/>
          <w:szCs w:val="28"/>
        </w:rPr>
        <w:t>准则依据</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财政部《资产评估基本准则》财资〔</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43</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8</w:t>
      </w:r>
      <w:r>
        <w:rPr>
          <w:rFonts w:hint="eastAsia" w:ascii="宋体" w:hAnsi="宋体" w:eastAsia="宋体" w:cs="宋体"/>
          <w:color w:val="auto"/>
          <w:szCs w:val="28"/>
        </w:rPr>
        <w:t>月</w:t>
      </w:r>
      <w:r>
        <w:rPr>
          <w:rFonts w:ascii="宋体" w:hAnsi="宋体" w:eastAsia="宋体" w:cs="宋体"/>
          <w:color w:val="auto"/>
          <w:szCs w:val="28"/>
        </w:rPr>
        <w:t>29</w:t>
      </w:r>
      <w:r>
        <w:rPr>
          <w:rFonts w:hint="eastAsia" w:ascii="宋体" w:hAnsi="宋体" w:eastAsia="宋体" w:cs="宋体"/>
          <w:color w:val="auto"/>
          <w:szCs w:val="28"/>
        </w:rPr>
        <w:t>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中国资产评估协会《资产评估职业道德准则》中评协〔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30</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中国资产评估协会《资产评估执业准则——资产评估程序》中评协[2018]36号（2018年10月29日）；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中国资产评估协会《资产评估执业准则——资产评估报告》中评协[2018]35号（2018年10月29日）；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中国资产评估协会《资产评估执业准则——资产评估委托合同》中评协〔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33</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中国资产评估协会《资产评估执业准则——资产评估档案》中评协[2018]37号（2018年10月29日）；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中国资产评估协会《资产评估执业准则——不动产》中评协〔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38</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中国资产评估协会《企业国有资产评估报告指南》中评协〔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42</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日修订）；</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中国资产评估协会《资产评估机构业务质量控制指南》中评协〔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46</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中国资产评估协会《资产评估价值类型指导意见》中评协〔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47</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日修订）；</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zCs w:val="28"/>
        </w:rPr>
        <w:t>中国资产评估协会《资产评估对象法律权属指导意见》中评协〔</w:t>
      </w:r>
      <w:r>
        <w:rPr>
          <w:rFonts w:ascii="宋体" w:hAnsi="宋体" w:eastAsia="宋体" w:cs="宋体"/>
          <w:color w:val="auto"/>
          <w:szCs w:val="28"/>
        </w:rPr>
        <w:t>2017</w:t>
      </w:r>
      <w:r>
        <w:rPr>
          <w:rFonts w:hint="eastAsia" w:ascii="宋体" w:hAnsi="宋体" w:eastAsia="宋体" w:cs="宋体"/>
          <w:color w:val="auto"/>
          <w:szCs w:val="28"/>
        </w:rPr>
        <w:t>〕</w:t>
      </w:r>
      <w:r>
        <w:rPr>
          <w:rFonts w:ascii="宋体" w:hAnsi="宋体" w:eastAsia="宋体" w:cs="宋体"/>
          <w:color w:val="auto"/>
          <w:szCs w:val="28"/>
        </w:rPr>
        <w:t>48</w:t>
      </w:r>
      <w:r>
        <w:rPr>
          <w:rFonts w:hint="eastAsia" w:ascii="宋体" w:hAnsi="宋体" w:eastAsia="宋体" w:cs="宋体"/>
          <w:color w:val="auto"/>
          <w:szCs w:val="28"/>
        </w:rPr>
        <w:t>号（</w:t>
      </w:r>
      <w:r>
        <w:rPr>
          <w:rFonts w:ascii="宋体" w:hAnsi="宋体" w:eastAsia="宋体" w:cs="宋体"/>
          <w:color w:val="auto"/>
          <w:szCs w:val="28"/>
        </w:rPr>
        <w:t>2017</w:t>
      </w:r>
      <w:r>
        <w:rPr>
          <w:rFonts w:hint="eastAsia" w:ascii="宋体" w:hAnsi="宋体" w:eastAsia="宋体" w:cs="宋体"/>
          <w:color w:val="auto"/>
          <w:szCs w:val="28"/>
        </w:rPr>
        <w:t>年</w:t>
      </w:r>
      <w:r>
        <w:rPr>
          <w:rFonts w:ascii="宋体" w:hAnsi="宋体" w:eastAsia="宋体" w:cs="宋体"/>
          <w:color w:val="auto"/>
          <w:szCs w:val="28"/>
        </w:rPr>
        <w:t>9</w:t>
      </w:r>
      <w:r>
        <w:rPr>
          <w:rFonts w:hint="eastAsia" w:ascii="宋体" w:hAnsi="宋体" w:eastAsia="宋体" w:cs="宋体"/>
          <w:color w:val="auto"/>
          <w:szCs w:val="28"/>
        </w:rPr>
        <w:t>月</w:t>
      </w:r>
      <w:r>
        <w:rPr>
          <w:rFonts w:ascii="宋体" w:hAnsi="宋体" w:eastAsia="宋体" w:cs="宋体"/>
          <w:color w:val="auto"/>
          <w:szCs w:val="28"/>
        </w:rPr>
        <w:t>13</w:t>
      </w:r>
      <w:r>
        <w:rPr>
          <w:rFonts w:hint="eastAsia" w:ascii="宋体" w:hAnsi="宋体" w:eastAsia="宋体" w:cs="宋体"/>
          <w:color w:val="auto"/>
          <w:szCs w:val="28"/>
        </w:rPr>
        <w:t>日）</w:t>
      </w:r>
      <w:r>
        <w:rPr>
          <w:rFonts w:hint="eastAsia" w:ascii="宋体" w:hAnsi="宋体" w:eastAsia="宋体" w:cs="宋体"/>
          <w:color w:val="auto"/>
          <w:szCs w:val="28"/>
          <w:lang w:eastAsia="zh-CN"/>
        </w:rPr>
        <w:t>；</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pacing w:val="6"/>
          <w:lang w:val="en-US" w:eastAsia="zh-CN"/>
        </w:rPr>
        <w:t>《城镇土地估价规程》(GB/T 18508-2014)；</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pacing w:val="6"/>
          <w:lang w:val="en-US" w:eastAsia="zh-CN"/>
        </w:rPr>
        <w:t>《城镇土地分等定级规程》（GB/T 18507-2014)；</w:t>
      </w:r>
    </w:p>
    <w:p>
      <w:pPr>
        <w:numPr>
          <w:ilvl w:val="0"/>
          <w:numId w:val="13"/>
        </w:numPr>
        <w:tabs>
          <w:tab w:val="left" w:pos="0"/>
          <w:tab w:val="left" w:pos="426"/>
          <w:tab w:val="left" w:pos="993"/>
        </w:tabs>
        <w:spacing w:line="560" w:lineRule="exact"/>
        <w:ind w:firstLineChars="0"/>
        <w:rPr>
          <w:rFonts w:ascii="宋体" w:hAnsi="宋体" w:eastAsia="宋体" w:cs="宋体"/>
          <w:color w:val="auto"/>
          <w:szCs w:val="28"/>
        </w:rPr>
      </w:pPr>
      <w:r>
        <w:rPr>
          <w:rFonts w:hint="eastAsia" w:ascii="宋体" w:hAnsi="宋体" w:eastAsia="宋体" w:cs="宋体"/>
          <w:color w:val="auto"/>
          <w:spacing w:val="6"/>
          <w:lang w:val="en-US" w:eastAsia="zh-CN"/>
        </w:rPr>
        <w:t>《土地利用现状分类》（GB/T  21010-2017)。</w:t>
      </w:r>
    </w:p>
    <w:p>
      <w:pPr>
        <w:numPr>
          <w:ilvl w:val="0"/>
          <w:numId w:val="10"/>
        </w:numPr>
        <w:tabs>
          <w:tab w:val="left" w:pos="1080"/>
          <w:tab w:val="left" w:pos="1276"/>
          <w:tab w:val="clear" w:pos="0"/>
        </w:tabs>
        <w:spacing w:line="560" w:lineRule="exact"/>
        <w:ind w:firstLine="424" w:firstLineChars="151"/>
        <w:rPr>
          <w:rFonts w:ascii="宋体" w:hAnsi="宋体" w:eastAsia="宋体" w:cs="宋体"/>
          <w:b/>
          <w:color w:val="auto"/>
          <w:sz w:val="28"/>
          <w:szCs w:val="28"/>
        </w:rPr>
      </w:pPr>
      <w:r>
        <w:rPr>
          <w:rFonts w:hint="eastAsia" w:ascii="宋体" w:hAnsi="宋体" w:eastAsia="宋体" w:cs="宋体"/>
          <w:b/>
          <w:color w:val="auto"/>
          <w:sz w:val="28"/>
          <w:szCs w:val="28"/>
        </w:rPr>
        <w:t>权属依据</w:t>
      </w:r>
    </w:p>
    <w:p>
      <w:pPr>
        <w:pStyle w:val="51"/>
        <w:keepNext w:val="0"/>
        <w:keepLines w:val="0"/>
        <w:pageBreakBefore w:val="0"/>
        <w:widowControl w:val="0"/>
        <w:numPr>
          <w:ilvl w:val="0"/>
          <w:numId w:val="14"/>
        </w:numPr>
        <w:tabs>
          <w:tab w:val="left" w:pos="993"/>
        </w:tabs>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lang w:eastAsia="zh-CN"/>
        </w:rPr>
      </w:pPr>
      <w:r>
        <w:rPr>
          <w:rFonts w:hint="eastAsia" w:cs="宋体" w:asciiTheme="minorEastAsia" w:hAnsiTheme="minorEastAsia" w:eastAsiaTheme="minorEastAsia"/>
          <w:color w:val="auto"/>
          <w:lang w:eastAsia="zh-CN"/>
        </w:rPr>
        <w:t>西乡县房权证西私房字第28789号，西乡县房权证西私房字第28790号</w:t>
      </w:r>
      <w:r>
        <w:rPr>
          <w:rFonts w:hint="eastAsia" w:ascii="宋体" w:hAnsi="宋体" w:cs="宋体"/>
          <w:color w:val="auto"/>
          <w:sz w:val="24"/>
          <w:lang w:val="en-US" w:eastAsia="zh-CN"/>
        </w:rPr>
        <w:t>《</w:t>
      </w:r>
      <w:r>
        <w:rPr>
          <w:rFonts w:hint="eastAsia" w:ascii="宋体" w:hAnsi="宋体" w:eastAsia="宋体" w:cs="宋体"/>
          <w:color w:val="auto"/>
          <w:lang w:eastAsia="zh-CN"/>
        </w:rPr>
        <w:t>房屋所有权证》复印件</w:t>
      </w:r>
      <w:r>
        <w:rPr>
          <w:rFonts w:hint="eastAsia" w:cs="宋体" w:asciiTheme="minorEastAsia" w:hAnsiTheme="minorEastAsia" w:eastAsiaTheme="minorEastAsia"/>
          <w:color w:val="auto"/>
          <w:lang w:eastAsia="zh-CN"/>
        </w:rPr>
        <w:t>；</w:t>
      </w:r>
    </w:p>
    <w:p>
      <w:pPr>
        <w:pStyle w:val="51"/>
        <w:keepNext w:val="0"/>
        <w:keepLines w:val="0"/>
        <w:pageBreakBefore w:val="0"/>
        <w:widowControl w:val="0"/>
        <w:numPr>
          <w:ilvl w:val="0"/>
          <w:numId w:val="14"/>
        </w:numPr>
        <w:tabs>
          <w:tab w:val="left" w:pos="993"/>
        </w:tabs>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西乡县集用（土）第610724100207JC00504，西乡县集用（土）第610724100207JC00513号《集体土地使用证》复印件；</w:t>
      </w:r>
    </w:p>
    <w:p>
      <w:pPr>
        <w:pStyle w:val="51"/>
        <w:keepNext w:val="0"/>
        <w:keepLines w:val="0"/>
        <w:pageBreakBefore w:val="0"/>
        <w:widowControl w:val="0"/>
        <w:numPr>
          <w:ilvl w:val="0"/>
          <w:numId w:val="14"/>
        </w:numPr>
        <w:tabs>
          <w:tab w:val="left" w:pos="993"/>
        </w:tabs>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西乡县人民法院评估委托函。</w:t>
      </w:r>
    </w:p>
    <w:p>
      <w:pPr>
        <w:numPr>
          <w:ilvl w:val="0"/>
          <w:numId w:val="10"/>
        </w:numPr>
        <w:tabs>
          <w:tab w:val="left" w:pos="1080"/>
          <w:tab w:val="left" w:pos="1276"/>
          <w:tab w:val="left" w:pos="1418"/>
          <w:tab w:val="clear" w:pos="0"/>
        </w:tabs>
        <w:spacing w:line="560" w:lineRule="exact"/>
        <w:ind w:firstLine="424" w:firstLineChars="151"/>
        <w:rPr>
          <w:rFonts w:ascii="宋体" w:hAnsi="宋体" w:eastAsia="宋体"/>
          <w:color w:val="auto"/>
          <w:spacing w:val="6"/>
          <w:highlight w:val="none"/>
        </w:rPr>
      </w:pPr>
      <w:r>
        <w:rPr>
          <w:rFonts w:hint="eastAsia" w:ascii="宋体" w:hAnsi="宋体" w:eastAsia="宋体" w:cs="宋体"/>
          <w:b/>
          <w:color w:val="auto"/>
          <w:sz w:val="28"/>
          <w:szCs w:val="28"/>
          <w:highlight w:val="none"/>
        </w:rPr>
        <w:t>取价依据</w:t>
      </w:r>
    </w:p>
    <w:p>
      <w:pPr>
        <w:keepNext w:val="0"/>
        <w:keepLines w:val="0"/>
        <w:pageBreakBefore w:val="0"/>
        <w:widowControl w:val="0"/>
        <w:numPr>
          <w:ilvl w:val="0"/>
          <w:numId w:val="15"/>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color w:val="auto"/>
          <w:spacing w:val="6"/>
        </w:rPr>
      </w:pPr>
      <w:bookmarkStart w:id="29" w:name="_Toc9838"/>
      <w:r>
        <w:rPr>
          <w:rFonts w:hint="eastAsia" w:ascii="宋体" w:hAnsi="宋体" w:eastAsia="宋体" w:cs="宋体"/>
          <w:color w:val="auto"/>
          <w:spacing w:val="6"/>
        </w:rPr>
        <w:t>《2011~2012版资产评估常用数据与参数手册》（中国经济科学出版社）；</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color w:val="auto"/>
        </w:rPr>
      </w:pPr>
      <w:r>
        <w:rPr>
          <w:rFonts w:hint="eastAsia" w:ascii="宋体" w:hAnsi="宋体" w:eastAsia="宋体" w:cs="宋体"/>
          <w:color w:val="auto"/>
        </w:rPr>
        <w:t>《中华人民共和国城镇国有土地使用权出让和转让暂行条例》（国务院令第55号）；</w:t>
      </w:r>
    </w:p>
    <w:p>
      <w:pPr>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color w:val="auto"/>
        </w:rPr>
      </w:pPr>
      <w:r>
        <w:rPr>
          <w:rFonts w:hint="eastAsia" w:ascii="宋体" w:hAnsi="宋体" w:eastAsia="宋体" w:cs="宋体"/>
          <w:color w:val="auto"/>
        </w:rPr>
        <w:t>国家建设部颁发的《房屋建筑物完损等级评定标准》及有关房屋折旧年限的规定文件资料；</w:t>
      </w:r>
    </w:p>
    <w:p>
      <w:pPr>
        <w:keepNext w:val="0"/>
        <w:keepLines w:val="0"/>
        <w:pageBreakBefore w:val="0"/>
        <w:widowControl w:val="0"/>
        <w:numPr>
          <w:ilvl w:val="0"/>
          <w:numId w:val="15"/>
        </w:numPr>
        <w:tabs>
          <w:tab w:val="left" w:pos="0"/>
          <w:tab w:val="left" w:pos="284"/>
        </w:tabs>
        <w:kinsoku/>
        <w:wordWrap/>
        <w:overflowPunct/>
        <w:topLinePunct w:val="0"/>
        <w:autoSpaceDE/>
        <w:autoSpaceDN/>
        <w:bidi w:val="0"/>
        <w:adjustRightInd/>
        <w:snapToGrid/>
        <w:spacing w:line="560" w:lineRule="exact"/>
        <w:ind w:left="0" w:leftChars="0" w:firstLine="400" w:firstLineChars="0"/>
        <w:textAlignment w:val="auto"/>
        <w:rPr>
          <w:rFonts w:hint="eastAsia" w:ascii="宋体" w:hAnsi="宋体" w:eastAsia="宋体" w:cs="宋体"/>
          <w:color w:val="auto"/>
          <w:spacing w:val="6"/>
        </w:rPr>
      </w:pPr>
      <w:r>
        <w:rPr>
          <w:rFonts w:hint="eastAsia" w:ascii="宋体" w:hAnsi="宋体" w:eastAsia="宋体" w:cs="宋体"/>
          <w:color w:val="auto"/>
          <w:spacing w:val="6"/>
        </w:rPr>
        <w:t>《陕西省实施&lt;中华人民共和国耕地占用税暂行条例&gt;办法》 （陕西省人民政府令第141号）；</w:t>
      </w:r>
    </w:p>
    <w:p>
      <w:pPr>
        <w:numPr>
          <w:ilvl w:val="0"/>
          <w:numId w:val="15"/>
        </w:numPr>
        <w:tabs>
          <w:tab w:val="left" w:pos="0"/>
          <w:tab w:val="left" w:pos="284"/>
          <w:tab w:val="left" w:pos="96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《陕西省人民政府办公厅关于印发全省征地统一年产值及区片综合地价平均标准的通知》（陕政办发[2010]36号）；</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陕西省国土资源厅、陕西省财政厅、陕西省物价局文件《关于耕地开垦费征收管理有关问题的通知》（陕国土资发【2015】11号）；</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《陕西省人民政府关于加强耕地占补平衡工作的通知》（陕政发[2000]44号）；</w:t>
      </w:r>
    </w:p>
    <w:p>
      <w:pPr>
        <w:numPr>
          <w:ilvl w:val="0"/>
          <w:numId w:val="15"/>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hint="eastAsia" w:ascii="宋体" w:hAnsi="宋体" w:eastAsia="宋体"/>
          <w:color w:val="auto"/>
          <w:spacing w:val="6"/>
        </w:rPr>
        <w:t>中华人民共和国国务院令第483号《中华人民共和国城镇土地使用税暂行条例》（</w:t>
      </w:r>
      <w:r>
        <w:rPr>
          <w:rFonts w:ascii="宋体" w:hAnsi="宋体" w:eastAsia="宋体"/>
          <w:color w:val="auto"/>
          <w:spacing w:val="6"/>
        </w:rPr>
        <w:t>国务院第163次常务会议</w:t>
      </w:r>
      <w:r>
        <w:rPr>
          <w:rFonts w:hint="eastAsia" w:ascii="宋体" w:hAnsi="宋体" w:eastAsia="宋体"/>
          <w:color w:val="auto"/>
          <w:spacing w:val="6"/>
        </w:rPr>
        <w:t>通过修订，2006年12月31日）</w:t>
      </w:r>
      <w:r>
        <w:rPr>
          <w:rFonts w:hint="eastAsia" w:ascii="宋体" w:hAnsi="宋体" w:eastAsia="宋体"/>
          <w:color w:val="auto"/>
          <w:spacing w:val="6"/>
          <w:lang w:eastAsia="zh-CN"/>
        </w:rPr>
        <w:t>；</w:t>
      </w:r>
    </w:p>
    <w:p>
      <w:pPr>
        <w:numPr>
          <w:ilvl w:val="0"/>
          <w:numId w:val="15"/>
        </w:numPr>
        <w:tabs>
          <w:tab w:val="left" w:pos="0"/>
          <w:tab w:val="left" w:pos="426"/>
          <w:tab w:val="left" w:pos="993"/>
        </w:tabs>
        <w:spacing w:line="560" w:lineRule="exact"/>
        <w:ind w:left="0" w:leftChars="0" w:firstLine="400" w:firstLineChars="0"/>
        <w:rPr>
          <w:rFonts w:ascii="宋体" w:hAnsi="宋体" w:eastAsia="宋体" w:cs="宋体"/>
          <w:color w:val="auto"/>
          <w:szCs w:val="28"/>
        </w:rPr>
      </w:pPr>
      <w:r>
        <w:rPr>
          <w:rFonts w:hint="eastAsia" w:ascii="宋体" w:hAnsi="宋体" w:eastAsia="宋体"/>
          <w:color w:val="auto"/>
          <w:spacing w:val="6"/>
          <w:lang w:eastAsia="zh-CN"/>
        </w:rPr>
        <w:t>《</w:t>
      </w:r>
      <w:r>
        <w:rPr>
          <w:rFonts w:hint="eastAsia" w:ascii="宋体" w:hAnsi="宋体" w:eastAsia="宋体"/>
          <w:color w:val="auto"/>
          <w:spacing w:val="6"/>
        </w:rPr>
        <w:t>陕西省国有土地使用权出让和转让办法》（陕西省第九届人民代表大会常务委员会第五次会议修正）</w:t>
      </w:r>
      <w:r>
        <w:rPr>
          <w:rFonts w:hint="eastAsia" w:ascii="宋体" w:hAnsi="宋体" w:eastAsia="宋体"/>
          <w:color w:val="auto"/>
          <w:spacing w:val="6"/>
          <w:lang w:eastAsia="zh-CN"/>
        </w:rPr>
        <w:t>；</w:t>
      </w:r>
    </w:p>
    <w:p>
      <w:pPr>
        <w:numPr>
          <w:ilvl w:val="0"/>
          <w:numId w:val="15"/>
        </w:numPr>
        <w:tabs>
          <w:tab w:val="left" w:pos="0"/>
          <w:tab w:val="left" w:pos="284"/>
          <w:tab w:val="left" w:pos="720"/>
          <w:tab w:val="left" w:pos="96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陕西省国土资源厅、陕西省财政厅、陕西省物价局《关于耕地开垦费收缴和使用管理有关问题的通知》（陕国土资发[2000]14号）；</w:t>
      </w:r>
    </w:p>
    <w:p>
      <w:pPr>
        <w:numPr>
          <w:ilvl w:val="0"/>
          <w:numId w:val="15"/>
        </w:numPr>
        <w:tabs>
          <w:tab w:val="left" w:pos="0"/>
          <w:tab w:val="left" w:pos="284"/>
          <w:tab w:val="left" w:pos="720"/>
          <w:tab w:val="left" w:pos="96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汉中市建设工程造价管理办公室2016年3月公布的《汉中市二0一五年房屋建筑社会平均建筑安装造价参考指标》；</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汉中建设工程造价信息201</w:t>
      </w:r>
      <w:r>
        <w:rPr>
          <w:rFonts w:hint="eastAsia" w:ascii="宋体" w:hAnsi="宋体" w:eastAsia="宋体"/>
          <w:color w:val="auto"/>
          <w:spacing w:val="6"/>
          <w:lang w:val="en-US" w:eastAsia="zh-CN"/>
        </w:rPr>
        <w:t>9</w:t>
      </w:r>
      <w:r>
        <w:rPr>
          <w:rFonts w:hint="eastAsia" w:ascii="宋体" w:hAnsi="宋体" w:eastAsia="宋体"/>
          <w:color w:val="auto"/>
          <w:spacing w:val="6"/>
        </w:rPr>
        <w:t>年（汉中市建设工程造价管理办公室）；</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汉中市人民政府文件《汉中市人民政府关于进一步加强土地管理工作的通知》（汉政发[2011]38号）；</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《汉中市人民政府关于印发汉中市征地补偿安置办法的通知》（汉政发[2006]33号）；</w:t>
      </w:r>
    </w:p>
    <w:p>
      <w:pPr>
        <w:numPr>
          <w:ilvl w:val="0"/>
          <w:numId w:val="15"/>
        </w:numPr>
        <w:tabs>
          <w:tab w:val="left" w:pos="0"/>
          <w:tab w:val="left" w:pos="284"/>
          <w:tab w:val="left" w:pos="960"/>
          <w:tab w:val="left" w:pos="120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lang w:eastAsia="zh-CN"/>
        </w:rPr>
        <w:t>西乡县人民政府文件《西乡县人民政府关于公布实施我县城镇基准地价的通知（西政发</w:t>
      </w:r>
      <w:r>
        <w:rPr>
          <w:rFonts w:hint="eastAsia" w:ascii="宋体" w:hAnsi="宋体" w:eastAsia="宋体"/>
          <w:color w:val="auto"/>
          <w:spacing w:val="6"/>
        </w:rPr>
        <w:t>【201</w:t>
      </w:r>
      <w:r>
        <w:rPr>
          <w:rFonts w:hint="eastAsia" w:ascii="宋体" w:hAnsi="宋体" w:eastAsia="宋体"/>
          <w:color w:val="auto"/>
          <w:spacing w:val="6"/>
          <w:lang w:val="en-US" w:eastAsia="zh-CN"/>
        </w:rPr>
        <w:t>9</w:t>
      </w:r>
      <w:r>
        <w:rPr>
          <w:rFonts w:hint="eastAsia" w:ascii="宋体" w:hAnsi="宋体" w:eastAsia="宋体"/>
          <w:color w:val="auto"/>
          <w:spacing w:val="6"/>
        </w:rPr>
        <w:t>】</w:t>
      </w:r>
      <w:r>
        <w:rPr>
          <w:rFonts w:hint="eastAsia" w:ascii="宋体" w:hAnsi="宋体" w:eastAsia="宋体"/>
          <w:color w:val="auto"/>
          <w:spacing w:val="6"/>
          <w:lang w:val="en-US" w:eastAsia="zh-CN"/>
        </w:rPr>
        <w:t>46</w:t>
      </w:r>
      <w:r>
        <w:rPr>
          <w:rFonts w:hint="eastAsia" w:ascii="宋体" w:hAnsi="宋体" w:eastAsia="宋体"/>
          <w:color w:val="auto"/>
          <w:spacing w:val="6"/>
        </w:rPr>
        <w:t>号）</w:t>
      </w:r>
      <w:r>
        <w:rPr>
          <w:rFonts w:hint="eastAsia" w:ascii="宋体" w:hAnsi="宋体" w:eastAsia="宋体"/>
          <w:color w:val="auto"/>
          <w:spacing w:val="6"/>
          <w:lang w:eastAsia="zh-CN"/>
        </w:rPr>
        <w:t>》</w:t>
      </w:r>
      <w:r>
        <w:rPr>
          <w:rFonts w:hint="eastAsia" w:ascii="宋体" w:hAnsi="宋体" w:eastAsia="宋体"/>
          <w:color w:val="auto"/>
          <w:spacing w:val="6"/>
        </w:rPr>
        <w:t>；</w:t>
      </w:r>
    </w:p>
    <w:p>
      <w:pPr>
        <w:numPr>
          <w:ilvl w:val="0"/>
          <w:numId w:val="15"/>
        </w:numPr>
        <w:tabs>
          <w:tab w:val="left" w:pos="0"/>
          <w:tab w:val="left" w:pos="284"/>
          <w:tab w:val="left" w:pos="960"/>
        </w:tabs>
        <w:spacing w:line="560" w:lineRule="exact"/>
        <w:ind w:left="0" w:leftChars="0" w:firstLine="400" w:firstLineChars="0"/>
        <w:rPr>
          <w:rFonts w:hint="eastAsia" w:ascii="宋体" w:hAnsi="宋体" w:eastAsia="宋体"/>
          <w:color w:val="auto"/>
          <w:spacing w:val="6"/>
        </w:rPr>
      </w:pPr>
      <w:r>
        <w:rPr>
          <w:rFonts w:hint="eastAsia" w:ascii="宋体" w:hAnsi="宋体" w:eastAsia="宋体"/>
          <w:color w:val="auto"/>
          <w:spacing w:val="6"/>
        </w:rPr>
        <w:t>搜集的相关价格信息、评估师现场察看和市场调查取得的与估价相关的资料。</w:t>
      </w:r>
    </w:p>
    <w:p>
      <w:pPr>
        <w:pStyle w:val="4"/>
        <w:tabs>
          <w:tab w:val="left" w:pos="993"/>
        </w:tabs>
        <w:spacing w:beforeLines="50" w:afterLines="50" w:line="560" w:lineRule="exact"/>
        <w:ind w:left="-2" w:leftChars="-1" w:firstLine="551" w:firstLineChars="196"/>
        <w:rPr>
          <w:rFonts w:ascii="宋体" w:hAnsi="宋体" w:eastAsia="宋体" w:cs="宋体"/>
          <w:color w:val="auto"/>
          <w:sz w:val="28"/>
        </w:rPr>
      </w:pPr>
      <w:bookmarkStart w:id="30" w:name="_Toc8067"/>
      <w:r>
        <w:rPr>
          <w:rFonts w:hint="eastAsia" w:ascii="宋体" w:hAnsi="宋体" w:eastAsia="宋体" w:cs="宋体"/>
          <w:color w:val="auto"/>
          <w:sz w:val="28"/>
        </w:rPr>
        <w:t>七、评估方法</w:t>
      </w:r>
      <w:bookmarkEnd w:id="29"/>
      <w:bookmarkEnd w:id="30"/>
    </w:p>
    <w:p>
      <w:pPr>
        <w:widowControl/>
        <w:numPr>
          <w:ilvl w:val="1"/>
          <w:numId w:val="16"/>
        </w:numPr>
        <w:tabs>
          <w:tab w:val="left" w:pos="1134"/>
        </w:tabs>
        <w:spacing w:line="560" w:lineRule="exact"/>
        <w:ind w:hanging="755" w:firstLineChars="0"/>
        <w:jc w:val="left"/>
        <w:rPr>
          <w:color w:val="auto"/>
          <w:kern w:val="0"/>
        </w:rPr>
      </w:pPr>
      <w:bookmarkStart w:id="31" w:name="_Toc558"/>
      <w:r>
        <w:rPr>
          <w:rFonts w:hint="eastAsia" w:ascii="宋体" w:hAnsi="宋体" w:eastAsia="宋体" w:cs="宋体"/>
          <w:color w:val="auto"/>
        </w:rPr>
        <w:t>评估方法的选择</w:t>
      </w:r>
    </w:p>
    <w:p>
      <w:pPr>
        <w:spacing w:line="560" w:lineRule="exact"/>
        <w:ind w:firstLine="480"/>
        <w:rPr>
          <w:color w:val="auto"/>
        </w:rPr>
      </w:pPr>
      <w:bookmarkStart w:id="32" w:name="OLE_LINK3"/>
      <w:r>
        <w:rPr>
          <w:rFonts w:hint="eastAsia" w:ascii="宋体" w:hAnsi="宋体" w:eastAsia="宋体" w:cs="宋体"/>
          <w:color w:val="auto"/>
        </w:rPr>
        <w:t>资产评估的基本方法包括收益法、市场法和成本法。评估人员在执行本次评估业务时，根据评估对象、价值类型、资料收集情况等相关条件，综合分析了收益法、市场法和成本法三种资产评估基本方法的适用性，</w:t>
      </w:r>
      <w:bookmarkEnd w:id="32"/>
      <w:r>
        <w:rPr>
          <w:rFonts w:hint="eastAsia" w:ascii="宋体" w:hAnsi="宋体" w:eastAsia="宋体" w:cs="宋体"/>
          <w:color w:val="auto"/>
        </w:rPr>
        <w:t>选择理由如下：</w:t>
      </w:r>
    </w:p>
    <w:p>
      <w:pPr>
        <w:spacing w:line="560" w:lineRule="exact"/>
        <w:ind w:firstLine="480"/>
        <w:rPr>
          <w:color w:val="auto"/>
        </w:rPr>
      </w:pPr>
      <w:r>
        <w:rPr>
          <w:rFonts w:hint="eastAsia" w:ascii="宋体" w:hAnsi="宋体" w:eastAsia="宋体" w:cs="宋体"/>
          <w:color w:val="auto"/>
        </w:rPr>
        <w:t>收益法适用的前提条件是：（</w:t>
      </w:r>
      <w:r>
        <w:rPr>
          <w:rFonts w:hint="eastAsia"/>
          <w:color w:val="auto"/>
        </w:rPr>
        <w:t>1</w:t>
      </w:r>
      <w:r>
        <w:rPr>
          <w:rFonts w:hint="eastAsia" w:ascii="宋体" w:hAnsi="宋体" w:eastAsia="宋体" w:cs="宋体"/>
          <w:color w:val="auto"/>
        </w:rPr>
        <w:t>）被评估对象的未来预期收益可以预测并可以用货币衡量；（</w:t>
      </w:r>
      <w:r>
        <w:rPr>
          <w:rFonts w:hint="eastAsia"/>
          <w:color w:val="auto"/>
        </w:rPr>
        <w:t>2</w:t>
      </w:r>
      <w:r>
        <w:rPr>
          <w:rFonts w:hint="eastAsia" w:ascii="宋体" w:hAnsi="宋体" w:eastAsia="宋体" w:cs="宋体"/>
          <w:color w:val="auto"/>
        </w:rPr>
        <w:t>）资产拥有者获得预期收益所承担的风险也可以预测并可以用货币衡量；（</w:t>
      </w:r>
      <w:r>
        <w:rPr>
          <w:rFonts w:hint="eastAsia"/>
          <w:color w:val="auto"/>
        </w:rPr>
        <w:t>3</w:t>
      </w:r>
      <w:r>
        <w:rPr>
          <w:rFonts w:hint="eastAsia" w:ascii="宋体" w:hAnsi="宋体" w:eastAsia="宋体" w:cs="宋体"/>
          <w:color w:val="auto"/>
        </w:rPr>
        <w:t>）被评估对象预期获利年限可以预测。</w:t>
      </w:r>
    </w:p>
    <w:p>
      <w:pPr>
        <w:spacing w:line="560" w:lineRule="exact"/>
        <w:ind w:firstLine="480"/>
        <w:rPr>
          <w:color w:val="auto"/>
        </w:rPr>
      </w:pPr>
      <w:r>
        <w:rPr>
          <w:rFonts w:hint="eastAsia" w:ascii="宋体" w:hAnsi="宋体" w:eastAsia="宋体" w:cs="宋体"/>
          <w:color w:val="auto"/>
        </w:rPr>
        <w:t>市场法适用的前提条件是：（</w:t>
      </w:r>
      <w:r>
        <w:rPr>
          <w:rFonts w:hint="eastAsia"/>
          <w:color w:val="auto"/>
        </w:rPr>
        <w:t>1</w:t>
      </w:r>
      <w:r>
        <w:rPr>
          <w:rFonts w:hint="eastAsia" w:ascii="宋体" w:hAnsi="宋体" w:eastAsia="宋体" w:cs="宋体"/>
          <w:color w:val="auto"/>
        </w:rPr>
        <w:t>）存在一个活跃的公开市场且市场数据比较充分；（</w:t>
      </w:r>
      <w:r>
        <w:rPr>
          <w:rFonts w:hint="eastAsia"/>
          <w:color w:val="auto"/>
        </w:rPr>
        <w:t>2</w:t>
      </w:r>
      <w:r>
        <w:rPr>
          <w:rFonts w:hint="eastAsia" w:ascii="宋体" w:hAnsi="宋体" w:eastAsia="宋体" w:cs="宋体"/>
          <w:color w:val="auto"/>
        </w:rPr>
        <w:t>）公开市场上有可比的交易案例。</w:t>
      </w:r>
    </w:p>
    <w:p>
      <w:pPr>
        <w:spacing w:line="560" w:lineRule="exact"/>
        <w:ind w:firstLine="480"/>
        <w:rPr>
          <w:color w:val="auto"/>
        </w:rPr>
      </w:pPr>
      <w:r>
        <w:rPr>
          <w:rFonts w:hint="eastAsia" w:ascii="宋体" w:hAnsi="宋体" w:eastAsia="宋体" w:cs="宋体"/>
          <w:color w:val="auto"/>
        </w:rPr>
        <w:t>成本法适用的前提条件是：　</w:t>
      </w:r>
      <w:r>
        <w:rPr>
          <w:rFonts w:hint="eastAsia"/>
          <w:color w:val="auto"/>
        </w:rPr>
        <w:t>(1)</w:t>
      </w:r>
      <w:r>
        <w:rPr>
          <w:rFonts w:hint="eastAsia" w:ascii="宋体" w:hAnsi="宋体" w:eastAsia="宋体" w:cs="宋体"/>
          <w:color w:val="auto"/>
        </w:rPr>
        <w:t>被评估资产处于继续使用状态或被假定处于继续使用状态，被评估资产的实体特征、内部结构及其功能必须与假设的重置全新资产具有可比性。</w:t>
      </w:r>
      <w:r>
        <w:rPr>
          <w:rFonts w:hint="eastAsia"/>
          <w:color w:val="auto"/>
        </w:rPr>
        <w:t>(2)</w:t>
      </w:r>
      <w:r>
        <w:rPr>
          <w:rFonts w:hint="eastAsia" w:ascii="宋体" w:hAnsi="宋体" w:eastAsia="宋体" w:cs="宋体"/>
          <w:color w:val="auto"/>
        </w:rPr>
        <w:t>被评估资产应当具备可利用的历史资料。</w:t>
      </w:r>
    </w:p>
    <w:p>
      <w:pPr>
        <w:pageBreakBefore w:val="0"/>
        <w:widowControl/>
        <w:numPr>
          <w:ilvl w:val="0"/>
          <w:numId w:val="17"/>
        </w:numPr>
        <w:kinsoku/>
        <w:wordWrap/>
        <w:overflowPunct/>
        <w:topLinePunct w:val="0"/>
        <w:autoSpaceDE/>
        <w:autoSpaceDN/>
        <w:bidi w:val="0"/>
        <w:adjustRightInd/>
        <w:snapToGrid/>
        <w:spacing w:afterAutospacing="0" w:line="520" w:lineRule="exact"/>
        <w:ind w:left="0" w:leftChars="0" w:right="0" w:rightChars="0" w:firstLine="560"/>
        <w:jc w:val="left"/>
        <w:textAlignment w:val="auto"/>
        <w:rPr>
          <w:rFonts w:hint="eastAsia"/>
          <w:color w:val="auto"/>
        </w:rPr>
      </w:pPr>
      <w:r>
        <w:rPr>
          <w:rFonts w:hint="eastAsia" w:eastAsia="宋体"/>
          <w:color w:val="auto"/>
          <w:lang w:val="en-US" w:eastAsia="zh-CN"/>
        </w:rPr>
        <w:t>房地产评估选用的评估方法，</w:t>
      </w:r>
      <w:r>
        <w:rPr>
          <w:rFonts w:hint="eastAsia"/>
          <w:color w:val="auto"/>
        </w:rPr>
        <w:t>本次</w:t>
      </w:r>
      <w:r>
        <w:rPr>
          <w:rFonts w:hint="eastAsia" w:cs="宋体-18030"/>
          <w:color w:val="auto"/>
        </w:rPr>
        <w:t>评估对象为已建成可正常投入使用</w:t>
      </w:r>
      <w:r>
        <w:rPr>
          <w:rFonts w:hint="eastAsia" w:eastAsia="宋体" w:cs="宋体-18030"/>
          <w:color w:val="auto"/>
          <w:lang w:eastAsia="zh-CN"/>
        </w:rPr>
        <w:t>，根据现场勘查实际作为酒店经营使用中，</w:t>
      </w:r>
      <w:r>
        <w:rPr>
          <w:rFonts w:hint="eastAsia" w:cs="宋体-18030"/>
          <w:color w:val="auto"/>
        </w:rPr>
        <w:t>且目前为最佳使用状态，不宜采用假设开发法；</w:t>
      </w:r>
      <w:r>
        <w:rPr>
          <w:rFonts w:hint="eastAsia"/>
          <w:color w:val="auto"/>
        </w:rPr>
        <w:t>评估对象属于收益性物业，其价值高低取决于市场供求关系及未来预期收益，而非成本累加，故不宜采用成本法</w:t>
      </w:r>
      <w:r>
        <w:rPr>
          <w:rFonts w:hint="eastAsia"/>
          <w:color w:val="auto"/>
          <w:lang w:eastAsia="zh-CN"/>
        </w:rPr>
        <w:t>；</w:t>
      </w:r>
      <w:r>
        <w:rPr>
          <w:rFonts w:hint="eastAsia"/>
          <w:color w:val="auto"/>
        </w:rPr>
        <w:t>评估对象</w:t>
      </w:r>
      <w:r>
        <w:rPr>
          <w:rFonts w:hint="eastAsia" w:eastAsia="宋体"/>
          <w:color w:val="auto"/>
          <w:lang w:eastAsia="zh-CN"/>
        </w:rPr>
        <w:t>实际为酒店，</w:t>
      </w:r>
      <w:r>
        <w:rPr>
          <w:rFonts w:hint="eastAsia"/>
          <w:color w:val="auto"/>
        </w:rPr>
        <w:t>酒店物业作为一种直接能获取长期收益的经营性不动产，区别于其他各类物业，但本次评估酒店经营收入情况及净收益情况无法获取，因此用净收益测算房地产价格无法实现，通过市场调查周边商业物业租赁情况较频繁且较易获得，可通过租赁收益情况、未来预期收益折算出评估时点现值，因此可采用收益法</w:t>
      </w:r>
      <w:r>
        <w:rPr>
          <w:rFonts w:hint="eastAsia" w:eastAsia="宋体"/>
          <w:color w:val="auto"/>
          <w:lang w:eastAsia="zh-CN"/>
        </w:rPr>
        <w:t>，</w:t>
      </w:r>
      <w:r>
        <w:rPr>
          <w:rFonts w:hint="eastAsia"/>
          <w:color w:val="auto"/>
        </w:rPr>
        <w:t>目前</w:t>
      </w:r>
      <w:r>
        <w:rPr>
          <w:rFonts w:hint="eastAsia"/>
          <w:color w:val="auto"/>
          <w:lang w:eastAsia="zh-CN"/>
        </w:rPr>
        <w:t>该</w:t>
      </w:r>
      <w:r>
        <w:rPr>
          <w:rFonts w:hint="eastAsia"/>
          <w:color w:val="auto"/>
        </w:rPr>
        <w:t>评估对象所在区域商业用途房地产市场较为活跃，</w:t>
      </w:r>
      <w:r>
        <w:rPr>
          <w:rFonts w:hint="eastAsia" w:eastAsia="宋体"/>
          <w:color w:val="auto"/>
          <w:lang w:eastAsia="zh-CN"/>
        </w:rPr>
        <w:t>可收集到一定的市场</w:t>
      </w:r>
      <w:r>
        <w:rPr>
          <w:rFonts w:hint="eastAsia"/>
          <w:color w:val="auto"/>
          <w:highlight w:val="none"/>
        </w:rPr>
        <w:t>交易</w:t>
      </w:r>
      <w:r>
        <w:rPr>
          <w:rFonts w:hint="eastAsia" w:eastAsia="宋体"/>
          <w:color w:val="auto"/>
          <w:highlight w:val="none"/>
          <w:lang w:eastAsia="zh-CN"/>
        </w:rPr>
        <w:t>案例</w:t>
      </w:r>
      <w:r>
        <w:rPr>
          <w:rFonts w:hint="eastAsia"/>
          <w:color w:val="auto"/>
          <w:highlight w:val="none"/>
        </w:rPr>
        <w:t>，</w:t>
      </w:r>
      <w:bookmarkStart w:id="33" w:name="OLE_LINK1"/>
      <w:r>
        <w:rPr>
          <w:rFonts w:hint="eastAsia" w:eastAsia="宋体"/>
          <w:color w:val="auto"/>
          <w:highlight w:val="none"/>
          <w:lang w:eastAsia="zh-CN"/>
        </w:rPr>
        <w:t>因此</w:t>
      </w:r>
      <w:r>
        <w:rPr>
          <w:rFonts w:hint="eastAsia" w:ascii="宋体" w:hAnsi="宋体" w:eastAsia="宋体" w:cs="宋体"/>
          <w:color w:val="auto"/>
          <w:kern w:val="0"/>
          <w:lang w:eastAsia="zh-CN"/>
        </w:rPr>
        <w:t>亦可采用市场法进行评估；</w:t>
      </w:r>
      <w:bookmarkEnd w:id="33"/>
      <w:r>
        <w:rPr>
          <w:rFonts w:hint="eastAsia" w:eastAsia="宋体"/>
          <w:color w:val="auto"/>
          <w:lang w:eastAsia="zh-CN"/>
        </w:rPr>
        <w:t>综上</w:t>
      </w:r>
      <w:r>
        <w:rPr>
          <w:rFonts w:hint="eastAsia"/>
          <w:color w:val="auto"/>
        </w:rPr>
        <w:t>本次对委估</w:t>
      </w:r>
      <w:r>
        <w:rPr>
          <w:rFonts w:hint="eastAsia" w:eastAsia="宋体"/>
          <w:color w:val="auto"/>
          <w:lang w:eastAsia="zh-CN"/>
        </w:rPr>
        <w:t>房地产</w:t>
      </w:r>
      <w:r>
        <w:rPr>
          <w:rFonts w:hint="eastAsia"/>
          <w:color w:val="auto"/>
        </w:rPr>
        <w:t>采用收益法</w:t>
      </w:r>
      <w:r>
        <w:rPr>
          <w:rFonts w:hint="eastAsia" w:eastAsia="宋体"/>
          <w:color w:val="auto"/>
          <w:lang w:eastAsia="zh-CN"/>
        </w:rPr>
        <w:t>和市场比较法</w:t>
      </w:r>
      <w:r>
        <w:rPr>
          <w:rFonts w:hint="eastAsia"/>
          <w:color w:val="auto"/>
        </w:rPr>
        <w:t>进行评估。</w:t>
      </w:r>
    </w:p>
    <w:p>
      <w:pPr>
        <w:pageBreakBefore w:val="0"/>
        <w:widowControl/>
        <w:numPr>
          <w:ilvl w:val="0"/>
          <w:numId w:val="17"/>
        </w:numPr>
        <w:kinsoku/>
        <w:wordWrap/>
        <w:overflowPunct/>
        <w:topLinePunct w:val="0"/>
        <w:autoSpaceDE/>
        <w:autoSpaceDN/>
        <w:bidi w:val="0"/>
        <w:adjustRightInd/>
        <w:snapToGrid/>
        <w:spacing w:afterAutospacing="0" w:line="520" w:lineRule="exact"/>
        <w:ind w:left="0" w:leftChars="0" w:right="0" w:rightChars="0" w:firstLine="560"/>
        <w:jc w:val="left"/>
        <w:textAlignment w:val="auto"/>
        <w:rPr>
          <w:rFonts w:hint="eastAsia"/>
          <w:color w:val="auto"/>
        </w:rPr>
      </w:pPr>
      <w:r>
        <w:rPr>
          <w:rFonts w:ascii="宋体" w:hAnsi="宋体"/>
          <w:color w:val="auto"/>
          <w:sz w:val="24"/>
        </w:rPr>
        <w:t>对于</w:t>
      </w:r>
      <w:r>
        <w:rPr>
          <w:rFonts w:hint="eastAsia" w:ascii="宋体" w:hAnsi="宋体"/>
          <w:color w:val="auto"/>
          <w:sz w:val="24"/>
          <w:lang w:eastAsia="zh-CN"/>
        </w:rPr>
        <w:t>房屋</w:t>
      </w:r>
      <w:r>
        <w:rPr>
          <w:rFonts w:hint="eastAsia" w:ascii="宋体" w:hAnsi="宋体"/>
          <w:color w:val="auto"/>
          <w:sz w:val="24"/>
        </w:rPr>
        <w:t>装饰装修工程，就市场法而言，受经济状况、文化素养、习惯偏好等主观因素的影响，使得不同装修差异性较大，这种差异在市场比较法中必须进行个别因素修正。而修正的幅度很难把握，主观人为痕迹过于明显，使得准确性难以把握，因此不宜采用市场法进行评估；对于收益法来说，要实现房地产稳定的收益或有规律变化的收益，须保持房屋装饰装修部分相对稳定的使用价值，但装修部分的耐用年限远比建筑物主体的耐用年限短，</w:t>
      </w:r>
      <w:r>
        <w:rPr>
          <w:rFonts w:hint="eastAsia" w:ascii="宋体" w:hAnsi="宋体" w:eastAsia="宋体"/>
          <w:color w:val="auto"/>
          <w:sz w:val="24"/>
          <w:lang w:eastAsia="zh-CN"/>
        </w:rPr>
        <w:t>耐用年限差距悬殊</w:t>
      </w:r>
      <w:r>
        <w:rPr>
          <w:rFonts w:hint="eastAsia" w:ascii="宋体" w:hAnsi="宋体"/>
          <w:color w:val="auto"/>
          <w:sz w:val="24"/>
        </w:rPr>
        <w:t>，因此不宜采用收益法；重置成本法是对评估对象的各项建筑成本费用进行重新计算，再扣减折旧，作为建造成本一大组成项的房屋装饰装修费用，构成成本法必不可少的一环。故本次委估的装修</w:t>
      </w:r>
      <w:r>
        <w:rPr>
          <w:rFonts w:hint="eastAsia" w:ascii="宋体" w:hAnsi="宋体"/>
          <w:color w:val="auto"/>
          <w:sz w:val="24"/>
          <w:lang w:eastAsia="zh-CN"/>
        </w:rPr>
        <w:t>价值</w:t>
      </w:r>
      <w:r>
        <w:rPr>
          <w:rFonts w:hint="eastAsia" w:ascii="宋体" w:hAnsi="宋体"/>
          <w:color w:val="auto"/>
          <w:sz w:val="24"/>
        </w:rPr>
        <w:t>采用重置成本法</w:t>
      </w:r>
      <w:r>
        <w:rPr>
          <w:rFonts w:hint="eastAsia" w:ascii="宋体" w:hAnsi="宋体" w:eastAsia="宋体"/>
          <w:color w:val="auto"/>
          <w:sz w:val="24"/>
          <w:lang w:eastAsia="zh-CN"/>
        </w:rPr>
        <w:t>。</w:t>
      </w:r>
    </w:p>
    <w:p>
      <w:pPr>
        <w:widowControl/>
        <w:numPr>
          <w:ilvl w:val="1"/>
          <w:numId w:val="16"/>
        </w:numPr>
        <w:tabs>
          <w:tab w:val="left" w:pos="1134"/>
        </w:tabs>
        <w:spacing w:line="560" w:lineRule="exact"/>
        <w:ind w:hanging="755" w:firstLineChars="0"/>
        <w:jc w:val="left"/>
        <w:rPr>
          <w:rFonts w:ascii="宋体" w:hAnsi="宋体" w:eastAsia="宋体" w:cs="宋体"/>
          <w:color w:val="auto"/>
        </w:rPr>
      </w:pPr>
      <w:r>
        <w:rPr>
          <w:rFonts w:hint="eastAsia" w:ascii="宋体" w:hAnsi="宋体" w:eastAsia="宋体" w:cs="宋体"/>
          <w:color w:val="auto"/>
        </w:rPr>
        <w:t>评估方法简介</w:t>
      </w:r>
    </w:p>
    <w:p>
      <w:pPr>
        <w:keepNext w:val="0"/>
        <w:keepLines w:val="0"/>
        <w:pageBreakBefore w:val="0"/>
        <w:widowControl/>
        <w:kinsoku/>
        <w:wordWrap/>
        <w:overflowPunct/>
        <w:topLinePunct w:val="0"/>
        <w:autoSpaceDE/>
        <w:autoSpaceDN/>
        <w:bidi w:val="0"/>
        <w:adjustRightInd/>
        <w:snapToGrid/>
        <w:spacing w:line="580" w:lineRule="exact"/>
        <w:ind w:right="0" w:rightChars="0" w:firstLine="960" w:firstLineChars="400"/>
        <w:jc w:val="left"/>
        <w:textAlignment w:val="auto"/>
        <w:outlineLvl w:val="9"/>
        <w:rPr>
          <w:rFonts w:hint="eastAsia" w:eastAsia="宋体"/>
          <w:color w:val="auto"/>
          <w:highlight w:val="none"/>
          <w:lang w:val="en-US" w:eastAsia="zh-CN"/>
        </w:rPr>
      </w:pPr>
      <w:r>
        <w:rPr>
          <w:rFonts w:hint="eastAsia" w:eastAsia="宋体"/>
          <w:bCs/>
          <w:color w:val="auto"/>
          <w:lang w:val="en-US" w:eastAsia="zh-CN"/>
        </w:rPr>
        <w:t>1、</w:t>
      </w:r>
      <w:r>
        <w:rPr>
          <w:rFonts w:hint="eastAsia"/>
          <w:color w:val="auto"/>
          <w:highlight w:val="none"/>
        </w:rPr>
        <w:t>市场比较法</w:t>
      </w:r>
      <w:r>
        <w:rPr>
          <w:rFonts w:hint="eastAsia" w:eastAsia="宋体"/>
          <w:color w:val="auto"/>
          <w:highlight w:val="none"/>
          <w:lang w:val="en-US" w:eastAsia="zh-CN"/>
        </w:rPr>
        <w:t>-房地产</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jc w:val="left"/>
        <w:textAlignment w:val="auto"/>
        <w:outlineLvl w:val="9"/>
        <w:rPr>
          <w:rFonts w:cs="宋体-18030"/>
          <w:color w:val="auto"/>
          <w:highlight w:val="none"/>
        </w:rPr>
      </w:pPr>
      <w:r>
        <w:rPr>
          <w:rFonts w:hint="eastAsia" w:cs="宋体-18030"/>
          <w:color w:val="auto"/>
          <w:highlight w:val="none"/>
        </w:rPr>
        <w:t>市场比较法即将评估对象与近期内发生交易类似实例加以对照比较，对已发生交易的类似评估对象的已知价格加以修正，得出评估对象最可能实现的合理价格。其计算公式：</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420"/>
        <w:jc w:val="left"/>
        <w:textAlignment w:val="auto"/>
        <w:outlineLvl w:val="9"/>
        <w:rPr>
          <w:rFonts w:hint="eastAsia" w:cs="宋体-18030"/>
          <w:color w:val="auto"/>
          <w:highlight w:val="none"/>
        </w:rPr>
      </w:pPr>
      <w:r>
        <w:rPr>
          <w:rFonts w:hint="eastAsia" w:cs="宋体-18030"/>
          <w:color w:val="auto"/>
          <w:highlight w:val="none"/>
        </w:rPr>
        <w:t>评估对象房地产的比准价格＝比较实例房地产的价格×交易情况修正系数×交易日期修正系数×区域因素修正系数×个别因素修正系数</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560"/>
        <w:jc w:val="left"/>
        <w:textAlignment w:val="auto"/>
        <w:outlineLvl w:val="9"/>
        <w:rPr>
          <w:rFonts w:hint="eastAsia" w:cs="宋体-18030"/>
          <w:color w:val="auto"/>
          <w:highlight w:val="none"/>
        </w:rPr>
      </w:pPr>
      <w:r>
        <w:rPr>
          <w:rFonts w:hint="eastAsia" w:cs="宋体-18030"/>
          <w:color w:val="auto"/>
          <w:highlight w:val="none"/>
        </w:rPr>
        <w:t>具体操作步骤：调查整理与评估对象类型相近似的交易实例，选取其中三个以上与评估对象最为类似、可比的实例；建立价格可比基础；进行交易情况、交易日期、区域因素、个别因素等项修正；求出评估对象的比准价格；根据比准价格求取评估对象的价格。</w:t>
      </w:r>
    </w:p>
    <w:p>
      <w:pPr>
        <w:pageBreakBefore w:val="0"/>
        <w:widowControl/>
        <w:kinsoku/>
        <w:wordWrap/>
        <w:overflowPunct/>
        <w:topLinePunct w:val="0"/>
        <w:autoSpaceDE/>
        <w:autoSpaceDN/>
        <w:bidi w:val="0"/>
        <w:adjustRightInd/>
        <w:snapToGrid/>
        <w:spacing w:afterAutospacing="0" w:line="520" w:lineRule="exact"/>
        <w:ind w:left="570"/>
        <w:jc w:val="left"/>
        <w:textAlignment w:val="auto"/>
        <w:rPr>
          <w:rFonts w:hint="eastAsia" w:eastAsia="宋体"/>
          <w:bCs/>
          <w:color w:val="auto"/>
          <w:lang w:val="en-US" w:eastAsia="zh-CN"/>
        </w:rPr>
      </w:pPr>
      <w:r>
        <w:rPr>
          <w:rFonts w:hint="eastAsia" w:eastAsia="宋体"/>
          <w:bCs/>
          <w:color w:val="auto"/>
          <w:lang w:val="en-US" w:eastAsia="zh-CN"/>
        </w:rPr>
        <w:t>2、</w:t>
      </w:r>
      <w:r>
        <w:rPr>
          <w:rFonts w:hint="eastAsia"/>
          <w:bCs/>
          <w:color w:val="auto"/>
        </w:rPr>
        <w:t>收益法</w:t>
      </w:r>
      <w:r>
        <w:rPr>
          <w:rFonts w:hint="eastAsia" w:eastAsia="宋体"/>
          <w:bCs/>
          <w:color w:val="auto"/>
          <w:lang w:val="en-US" w:eastAsia="zh-CN"/>
        </w:rPr>
        <w:t>-房地产</w:t>
      </w:r>
    </w:p>
    <w:p>
      <w:pPr>
        <w:keepNext w:val="0"/>
        <w:keepLines w:val="0"/>
        <w:pageBreakBefore w:val="0"/>
        <w:widowControl/>
        <w:kinsoku/>
        <w:wordWrap/>
        <w:overflowPunct/>
        <w:topLinePunct w:val="0"/>
        <w:autoSpaceDE/>
        <w:autoSpaceDN/>
        <w:bidi w:val="0"/>
        <w:adjustRightInd/>
        <w:snapToGrid/>
        <w:spacing w:afterAutospacing="0" w:line="560" w:lineRule="exact"/>
        <w:ind w:firstLine="561"/>
        <w:jc w:val="left"/>
        <w:textAlignment w:val="auto"/>
        <w:rPr>
          <w:rFonts w:hint="eastAsia"/>
          <w:color w:val="auto"/>
        </w:rPr>
      </w:pPr>
      <w:r>
        <w:rPr>
          <w:rFonts w:hint="eastAsia"/>
          <w:color w:val="auto"/>
        </w:rPr>
        <w:t>收益法是基于预期原理，运用适当的资本化率将预期的评估对象房地产未来各年的正常收益折算到评估时点的现值，求其之和得出评估对象房地产价格的一种评估方法。其通用计算公式如下：</w:t>
      </w:r>
    </w:p>
    <w:p>
      <w:pPr>
        <w:spacing w:line="560" w:lineRule="exact"/>
        <w:ind w:firstLine="734" w:firstLineChars="306"/>
        <w:rPr>
          <w:color w:val="auto"/>
        </w:rPr>
      </w:pPr>
      <w:r>
        <w:rPr>
          <w:color w:val="auto"/>
        </w:rPr>
        <w:drawing>
          <wp:inline distT="0" distB="0" distL="114300" distR="114300">
            <wp:extent cx="3305175" cy="323850"/>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7"/>
                    <a:stretch>
                      <a:fillRect/>
                    </a:stretch>
                  </pic:blipFill>
                  <pic:spPr>
                    <a:xfrm>
                      <a:off x="0" y="0"/>
                      <a:ext cx="3305175" cy="323850"/>
                    </a:xfrm>
                    <a:prstGeom prst="rect">
                      <a:avLst/>
                    </a:prstGeom>
                    <a:noFill/>
                    <a:ln>
                      <a:noFill/>
                    </a:ln>
                  </pic:spPr>
                </pic:pic>
              </a:graphicData>
            </a:graphic>
          </wp:inline>
        </w:drawing>
      </w:r>
    </w:p>
    <w:p>
      <w:pPr>
        <w:framePr w:hSpace="180" w:wrap="around" w:vAnchor="text" w:hAnchor="page" w:x="2415" w:y="146"/>
        <w:tabs>
          <w:tab w:val="left" w:pos="820"/>
        </w:tabs>
        <w:spacing w:line="560" w:lineRule="exact"/>
        <w:ind w:firstLine="734" w:firstLineChars="306"/>
        <w:rPr>
          <w:color w:val="auto"/>
        </w:rPr>
      </w:pPr>
      <w:r>
        <w:rPr>
          <w:rFonts w:hint="eastAsia"/>
          <w:color w:val="auto"/>
        </w:rPr>
        <w:t>式中</w:t>
      </w:r>
      <w:r>
        <w:rPr>
          <w:rFonts w:hint="eastAsia"/>
          <w:color w:val="auto"/>
          <w:lang w:val="pt-BR"/>
        </w:rPr>
        <w:t>：</w:t>
      </w:r>
      <w:r>
        <w:rPr>
          <w:color w:val="auto"/>
          <w:lang w:val="pt-BR"/>
        </w:rPr>
        <w:tab/>
      </w:r>
    </w:p>
    <w:p>
      <w:pPr>
        <w:framePr w:hSpace="180" w:wrap="around" w:vAnchor="text" w:hAnchor="page" w:x="2415" w:y="146"/>
        <w:tabs>
          <w:tab w:val="left" w:pos="820"/>
        </w:tabs>
        <w:spacing w:line="560" w:lineRule="exact"/>
        <w:ind w:firstLine="734" w:firstLineChars="306"/>
        <w:rPr>
          <w:color w:val="auto"/>
        </w:rPr>
      </w:pPr>
      <w:r>
        <w:rPr>
          <w:rFonts w:hint="eastAsia"/>
          <w:color w:val="auto"/>
          <w:lang w:val="pt-BR"/>
        </w:rPr>
        <w:t>V</w:t>
      </w:r>
      <w:r>
        <w:rPr>
          <w:color w:val="auto"/>
        </w:rPr>
        <w:tab/>
      </w:r>
      <w:r>
        <w:rPr>
          <w:rFonts w:hint="eastAsia"/>
          <w:color w:val="auto"/>
        </w:rPr>
        <w:t>一 收益价值</w:t>
      </w:r>
    </w:p>
    <w:p>
      <w:pPr>
        <w:framePr w:hSpace="180" w:wrap="around" w:vAnchor="text" w:hAnchor="page" w:x="2415" w:y="146"/>
        <w:tabs>
          <w:tab w:val="left" w:pos="820"/>
        </w:tabs>
        <w:spacing w:line="560" w:lineRule="exact"/>
        <w:ind w:firstLine="734" w:firstLineChars="306"/>
        <w:rPr>
          <w:color w:val="auto"/>
        </w:rPr>
      </w:pPr>
      <w:r>
        <w:rPr>
          <w:rFonts w:hint="eastAsia"/>
          <w:color w:val="auto"/>
          <w:lang w:val="pt-BR"/>
        </w:rPr>
        <w:t>A</w:t>
      </w:r>
      <w:r>
        <w:rPr>
          <w:color w:val="auto"/>
        </w:rPr>
        <w:tab/>
      </w:r>
      <w:r>
        <w:rPr>
          <w:rFonts w:hint="eastAsia"/>
          <w:color w:val="auto"/>
        </w:rPr>
        <w:t>一 房地产未来第一年净收益</w:t>
      </w:r>
    </w:p>
    <w:p>
      <w:pPr>
        <w:framePr w:hSpace="180" w:wrap="around" w:vAnchor="text" w:hAnchor="page" w:x="2415" w:y="146"/>
        <w:tabs>
          <w:tab w:val="left" w:pos="820"/>
        </w:tabs>
        <w:spacing w:line="560" w:lineRule="exact"/>
        <w:ind w:firstLine="734" w:firstLineChars="306"/>
        <w:rPr>
          <w:color w:val="auto"/>
        </w:rPr>
      </w:pPr>
      <w:r>
        <w:rPr>
          <w:rFonts w:hint="eastAsia"/>
          <w:color w:val="auto"/>
          <w:lang w:val="pt-BR"/>
        </w:rPr>
        <w:t>Y</w:t>
      </w:r>
      <w:r>
        <w:rPr>
          <w:color w:val="auto"/>
        </w:rPr>
        <w:tab/>
      </w:r>
      <w:r>
        <w:rPr>
          <w:rFonts w:hint="eastAsia"/>
          <w:color w:val="auto"/>
        </w:rPr>
        <w:t>一 报酬率</w:t>
      </w:r>
    </w:p>
    <w:p>
      <w:pPr>
        <w:framePr w:hSpace="180" w:wrap="around" w:vAnchor="text" w:hAnchor="page" w:x="2415" w:y="146"/>
        <w:tabs>
          <w:tab w:val="left" w:pos="820"/>
        </w:tabs>
        <w:spacing w:line="560" w:lineRule="exact"/>
        <w:ind w:firstLine="734" w:firstLineChars="306"/>
        <w:rPr>
          <w:color w:val="auto"/>
        </w:rPr>
      </w:pPr>
      <w:r>
        <w:rPr>
          <w:rFonts w:hint="eastAsia"/>
          <w:color w:val="auto"/>
          <w:lang w:val="pt-BR"/>
        </w:rPr>
        <w:t>t</w:t>
      </w:r>
      <w:r>
        <w:rPr>
          <w:color w:val="auto"/>
        </w:rPr>
        <w:tab/>
      </w:r>
      <w:r>
        <w:rPr>
          <w:rFonts w:hint="eastAsia"/>
          <w:color w:val="auto"/>
        </w:rPr>
        <w:t xml:space="preserve">一 </w:t>
      </w:r>
      <w:r>
        <w:rPr>
          <w:rFonts w:hint="eastAsia"/>
          <w:color w:val="auto"/>
          <w:lang w:val="pt-BR"/>
        </w:rPr>
        <w:t>净收益变化的年份</w:t>
      </w:r>
    </w:p>
    <w:p>
      <w:pPr>
        <w:framePr w:hSpace="180" w:wrap="around" w:vAnchor="text" w:hAnchor="page" w:x="2415" w:y="146"/>
        <w:tabs>
          <w:tab w:val="left" w:pos="820"/>
        </w:tabs>
        <w:spacing w:line="560" w:lineRule="exact"/>
        <w:ind w:firstLine="734" w:firstLineChars="306"/>
        <w:rPr>
          <w:color w:val="auto"/>
        </w:rPr>
      </w:pPr>
      <w:r>
        <w:rPr>
          <w:rFonts w:hint="eastAsia"/>
          <w:color w:val="auto"/>
        </w:rPr>
        <w:t>g</w:t>
      </w:r>
      <w:r>
        <w:rPr>
          <w:color w:val="auto"/>
        </w:rPr>
        <w:tab/>
      </w:r>
      <w:r>
        <w:rPr>
          <w:rFonts w:hint="eastAsia"/>
          <w:color w:val="auto"/>
        </w:rPr>
        <w:t xml:space="preserve">一 </w:t>
      </w:r>
      <w:r>
        <w:rPr>
          <w:rFonts w:hint="eastAsia"/>
          <w:color w:val="auto"/>
          <w:lang w:val="pt-BR"/>
        </w:rPr>
        <w:t>净收益每年递增率</w:t>
      </w:r>
    </w:p>
    <w:p>
      <w:pPr>
        <w:framePr w:hSpace="180" w:wrap="around" w:vAnchor="text" w:hAnchor="page" w:x="2415" w:y="146"/>
        <w:tabs>
          <w:tab w:val="left" w:pos="820"/>
        </w:tabs>
        <w:spacing w:line="560" w:lineRule="exact"/>
        <w:ind w:firstLine="734" w:firstLineChars="306"/>
        <w:rPr>
          <w:color w:val="auto"/>
        </w:rPr>
      </w:pPr>
      <w:r>
        <w:rPr>
          <w:color w:val="auto"/>
          <w:lang w:val="pt-BR"/>
        </w:rPr>
        <w:t>n</w:t>
      </w:r>
      <w:r>
        <w:rPr>
          <w:color w:val="auto"/>
        </w:rPr>
        <w:tab/>
      </w:r>
      <w:r>
        <w:rPr>
          <w:rFonts w:hint="eastAsia"/>
          <w:color w:val="auto"/>
        </w:rPr>
        <w:t>一 获取收益的持续年限</w:t>
      </w:r>
    </w:p>
    <w:p>
      <w:pPr>
        <w:pageBreakBefore w:val="0"/>
        <w:widowControl/>
        <w:kinsoku/>
        <w:wordWrap/>
        <w:overflowPunct/>
        <w:topLinePunct w:val="0"/>
        <w:autoSpaceDE/>
        <w:autoSpaceDN/>
        <w:bidi w:val="0"/>
        <w:adjustRightInd/>
        <w:snapToGrid/>
        <w:spacing w:afterAutospacing="0" w:line="520" w:lineRule="exact"/>
        <w:ind w:firstLine="570"/>
        <w:jc w:val="left"/>
        <w:textAlignment w:val="auto"/>
        <w:rPr>
          <w:rFonts w:hint="eastAsia"/>
          <w:color w:val="auto"/>
        </w:rPr>
      </w:pPr>
      <w:r>
        <w:rPr>
          <w:rFonts w:hint="eastAsia"/>
          <w:color w:val="auto"/>
        </w:rPr>
        <w:t>运用收益法的步骤为：收集有关收入和费用的资料，估算有关收入（潜在毛收入、估算有效毛收入），估算运营费用，估算净收益；选用适当的资本化率；根据评估对象情况选择恰当的公式，测算出评估对象的收益价格。</w:t>
      </w:r>
    </w:p>
    <w:p>
      <w:pPr>
        <w:pageBreakBefore w:val="0"/>
        <w:widowControl/>
        <w:numPr>
          <w:ilvl w:val="0"/>
          <w:numId w:val="17"/>
        </w:numPr>
        <w:kinsoku/>
        <w:wordWrap/>
        <w:overflowPunct/>
        <w:topLinePunct w:val="0"/>
        <w:autoSpaceDE/>
        <w:autoSpaceDN/>
        <w:bidi w:val="0"/>
        <w:adjustRightInd/>
        <w:snapToGrid/>
        <w:spacing w:afterAutospacing="0" w:line="520" w:lineRule="exact"/>
        <w:ind w:left="0" w:leftChars="0" w:firstLine="480" w:firstLineChars="200"/>
        <w:jc w:val="left"/>
        <w:textAlignment w:val="auto"/>
        <w:rPr>
          <w:rFonts w:hint="eastAsia" w:eastAsia="宋体"/>
          <w:color w:val="auto"/>
          <w:lang w:val="en-US" w:eastAsia="zh-CN"/>
        </w:rPr>
      </w:pPr>
      <w:r>
        <w:rPr>
          <w:rFonts w:hint="eastAsia" w:eastAsia="宋体"/>
          <w:color w:val="auto"/>
          <w:lang w:val="en-US" w:eastAsia="zh-CN"/>
        </w:rPr>
        <w:t>成本法-房屋装修</w:t>
      </w:r>
    </w:p>
    <w:p>
      <w:pPr>
        <w:numPr>
          <w:ilvl w:val="0"/>
          <w:numId w:val="0"/>
        </w:numPr>
        <w:spacing w:line="560" w:lineRule="exact"/>
        <w:ind w:left="0" w:leftChars="0" w:firstLine="480" w:firstLineChars="200"/>
        <w:rPr>
          <w:rFonts w:hint="eastAsia" w:ascii="宋体" w:hAnsi="宋体" w:eastAsia="宋体" w:cs="宋体"/>
          <w:color w:val="auto"/>
          <w:kern w:val="0"/>
          <w:lang w:val="en-US" w:eastAsia="zh-CN"/>
        </w:rPr>
      </w:pPr>
      <w:r>
        <w:rPr>
          <w:rFonts w:hint="eastAsia" w:ascii="宋体" w:hAnsi="宋体" w:eastAsia="宋体" w:cs="宋体"/>
          <w:color w:val="auto"/>
          <w:kern w:val="0"/>
        </w:rPr>
        <w:t xml:space="preserve"> </w:t>
      </w:r>
      <w:r>
        <w:rPr>
          <w:rFonts w:hint="eastAsia" w:ascii="宋体" w:hAnsi="宋体" w:eastAsia="宋体" w:cs="宋体"/>
          <w:color w:val="auto"/>
          <w:kern w:val="0"/>
          <w:lang w:val="en-US" w:eastAsia="zh-CN"/>
        </w:rPr>
        <w:t>房屋装修价值评估，一般采用成本法，该方法是先计算房屋装修所需各类材料的大体数量（面积），然后以各地建设工程造价处提供的建材造价信息、预算定额为参考依据，并结合当地的市场行情，然后以各类材料的数量（面积）乘以相应的单价和成新，得出房屋装修价值。</w:t>
      </w:r>
    </w:p>
    <w:p>
      <w:pPr>
        <w:numPr>
          <w:ilvl w:val="0"/>
          <w:numId w:val="0"/>
        </w:numPr>
        <w:spacing w:line="560" w:lineRule="exact"/>
        <w:ind w:leftChars="100" w:firstLine="240" w:firstLineChars="1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装修评估一般常用的方法为成本法，成本法的基本公式为：</w:t>
      </w:r>
    </w:p>
    <w:p>
      <w:pPr>
        <w:numPr>
          <w:ilvl w:val="0"/>
          <w:numId w:val="0"/>
        </w:numPr>
        <w:spacing w:line="560" w:lineRule="exact"/>
        <w:ind w:leftChars="100" w:firstLine="240" w:firstLineChars="1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公式一：房屋装修价值=装修重新购置价-折旧</w:t>
      </w:r>
    </w:p>
    <w:p>
      <w:pPr>
        <w:numPr>
          <w:ilvl w:val="0"/>
          <w:numId w:val="0"/>
        </w:numPr>
        <w:spacing w:line="560" w:lineRule="exact"/>
        <w:ind w:leftChars="100" w:firstLine="240" w:firstLineChars="100"/>
        <w:rPr>
          <w:rFonts w:hint="eastAsia" w:ascii="宋体" w:hAnsi="宋体" w:eastAsia="宋体" w:cs="宋体"/>
          <w:color w:val="auto"/>
          <w:kern w:val="0"/>
          <w:lang w:eastAsia="zh-CN"/>
        </w:rPr>
      </w:pPr>
      <w:r>
        <w:rPr>
          <w:rFonts w:hint="eastAsia" w:ascii="宋体" w:hAnsi="宋体" w:eastAsia="宋体" w:cs="宋体"/>
          <w:color w:val="auto"/>
          <w:kern w:val="0"/>
          <w:lang w:val="en-US" w:eastAsia="zh-CN"/>
        </w:rPr>
        <w:t>公式二：房屋装修价值=装修重置价</w:t>
      </w:r>
      <w:r>
        <w:rPr>
          <w:rFonts w:hint="eastAsia" w:ascii="宋体" w:hAnsi="宋体" w:eastAsia="宋体" w:cs="宋体"/>
          <w:color w:val="auto"/>
          <w:kern w:val="0"/>
          <w:lang w:eastAsia="zh-CN"/>
        </w:rPr>
        <w:t>×成新率（本次采用该公式）</w:t>
      </w:r>
    </w:p>
    <w:p>
      <w:pPr>
        <w:pStyle w:val="4"/>
        <w:tabs>
          <w:tab w:val="left" w:pos="993"/>
        </w:tabs>
        <w:spacing w:beforeLines="50" w:afterLines="50" w:line="560" w:lineRule="exact"/>
        <w:rPr>
          <w:rFonts w:ascii="宋体" w:hAnsi="宋体" w:eastAsia="宋体" w:cs="宋体"/>
          <w:color w:val="auto"/>
          <w:sz w:val="28"/>
        </w:rPr>
      </w:pPr>
      <w:bookmarkStart w:id="34" w:name="_Toc17707"/>
      <w:r>
        <w:rPr>
          <w:rFonts w:hint="eastAsia" w:ascii="宋体" w:hAnsi="宋体" w:eastAsia="宋体" w:cs="宋体"/>
          <w:color w:val="auto"/>
          <w:sz w:val="28"/>
        </w:rPr>
        <w:t>八、评估程序实施过程和情况</w:t>
      </w:r>
      <w:bookmarkEnd w:id="31"/>
      <w:bookmarkEnd w:id="34"/>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评估时间从</w:t>
      </w:r>
      <w:r>
        <w:rPr>
          <w:rFonts w:hint="eastAsia" w:ascii="宋体" w:hAnsi="宋体" w:eastAsia="宋体" w:cs="宋体"/>
          <w:color w:val="auto"/>
          <w:spacing w:val="6"/>
          <w:highlight w:val="none"/>
        </w:rPr>
        <w:t>二零一</w:t>
      </w:r>
      <w:r>
        <w:rPr>
          <w:rFonts w:hint="eastAsia" w:ascii="宋体" w:hAnsi="宋体" w:eastAsia="宋体" w:cs="宋体"/>
          <w:color w:val="auto"/>
          <w:spacing w:val="6"/>
          <w:highlight w:val="none"/>
          <w:lang w:eastAsia="zh-CN"/>
        </w:rPr>
        <w:t>九</w:t>
      </w:r>
      <w:r>
        <w:rPr>
          <w:rFonts w:hint="eastAsia" w:ascii="宋体" w:hAnsi="宋体" w:eastAsia="宋体" w:cs="宋体"/>
          <w:color w:val="auto"/>
          <w:spacing w:val="6"/>
          <w:highlight w:val="none"/>
        </w:rPr>
        <w:t>年</w:t>
      </w:r>
      <w:r>
        <w:rPr>
          <w:rFonts w:hint="eastAsia" w:ascii="宋体" w:hAnsi="宋体" w:eastAsia="宋体" w:cs="宋体"/>
          <w:color w:val="auto"/>
          <w:spacing w:val="6"/>
          <w:highlight w:val="none"/>
          <w:lang w:eastAsia="zh-CN"/>
        </w:rPr>
        <w:t>十一</w:t>
      </w:r>
      <w:r>
        <w:rPr>
          <w:rFonts w:hint="eastAsia" w:ascii="宋体" w:hAnsi="宋体" w:eastAsia="宋体" w:cs="宋体"/>
          <w:color w:val="auto"/>
          <w:spacing w:val="6"/>
          <w:highlight w:val="none"/>
        </w:rPr>
        <w:t>月</w:t>
      </w:r>
      <w:r>
        <w:rPr>
          <w:rFonts w:hint="eastAsia" w:ascii="宋体" w:hAnsi="宋体" w:eastAsia="宋体" w:cs="宋体"/>
          <w:color w:val="auto"/>
          <w:spacing w:val="6"/>
          <w:highlight w:val="none"/>
          <w:lang w:eastAsia="zh-CN"/>
        </w:rPr>
        <w:t>二十二</w:t>
      </w:r>
      <w:r>
        <w:rPr>
          <w:rFonts w:hint="eastAsia" w:ascii="宋体" w:hAnsi="宋体" w:eastAsia="宋体" w:cs="宋体"/>
          <w:color w:val="auto"/>
          <w:spacing w:val="6"/>
          <w:highlight w:val="none"/>
        </w:rPr>
        <w:t>日至二零一</w:t>
      </w:r>
      <w:r>
        <w:rPr>
          <w:rFonts w:hint="eastAsia" w:ascii="宋体" w:hAnsi="宋体" w:eastAsia="宋体" w:cs="宋体"/>
          <w:color w:val="auto"/>
          <w:spacing w:val="6"/>
          <w:highlight w:val="none"/>
          <w:lang w:eastAsia="zh-CN"/>
        </w:rPr>
        <w:t>九年十二月十九日</w:t>
      </w:r>
      <w:r>
        <w:rPr>
          <w:rFonts w:hint="eastAsia" w:ascii="宋体" w:hAnsi="宋体" w:eastAsia="宋体" w:cs="宋体"/>
          <w:color w:val="auto"/>
          <w:spacing w:val="6"/>
        </w:rPr>
        <w:t>，经过接受委托、资产清查、评定估算、评估汇总、提交报告等过程。具体如下：</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（一）明确评估业务基本事项</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资产评估师应当根据评估业务具体情况，对自身专业胜任能力、独立性和业务风险进行综合分析和评价，并由评估机构决定承接评估业务。</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（二）签订资产评估委托合同</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通过与</w:t>
      </w:r>
      <w:r>
        <w:rPr>
          <w:rFonts w:hint="eastAsia" w:ascii="宋体" w:hAnsi="宋体" w:eastAsia="宋体" w:cs="宋体"/>
          <w:color w:val="auto"/>
          <w:spacing w:val="6"/>
          <w:lang w:eastAsia="zh-CN"/>
        </w:rPr>
        <w:t>委托人</w:t>
      </w:r>
      <w:r>
        <w:rPr>
          <w:rFonts w:hint="eastAsia" w:ascii="宋体" w:hAnsi="宋体" w:eastAsia="宋体" w:cs="宋体"/>
          <w:color w:val="auto"/>
          <w:spacing w:val="6"/>
        </w:rPr>
        <w:t>沟通交流，针对评估业务具体情况，我所对自身专业胜任能力、独立性和业务风险进行综合分析评价，并决定承接该评估业务，</w:t>
      </w:r>
      <w:r>
        <w:rPr>
          <w:rFonts w:hint="eastAsia" w:ascii="宋体" w:hAnsi="宋体" w:eastAsia="宋体" w:cs="宋体"/>
          <w:color w:val="auto"/>
          <w:spacing w:val="6"/>
          <w:lang w:eastAsia="zh-CN"/>
        </w:rPr>
        <w:t>委托人</w:t>
      </w:r>
      <w:r>
        <w:rPr>
          <w:rFonts w:hint="eastAsia" w:ascii="宋体" w:hAnsi="宋体" w:eastAsia="宋体" w:cs="宋体"/>
          <w:color w:val="auto"/>
          <w:spacing w:val="6"/>
        </w:rPr>
        <w:t>和评估机构在友好协商下签订了资产评估委托合同。</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（三）编制评估计划</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我所承接该评估业务后，组织资产评估师及评估专业人员编制了评估计划。评估计划包括评估的具体步骤、时间进度、人员安排和技术方案等内容。</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（四）现场调查</w:t>
      </w:r>
    </w:p>
    <w:p>
      <w:pPr>
        <w:spacing w:line="560" w:lineRule="exact"/>
        <w:ind w:firstLine="504"/>
        <w:rPr>
          <w:rFonts w:hint="eastAsia" w:ascii="宋体" w:hAnsi="宋体" w:eastAsia="宋体" w:cs="宋体"/>
          <w:color w:val="auto"/>
          <w:spacing w:val="6"/>
        </w:rPr>
      </w:pPr>
      <w:r>
        <w:rPr>
          <w:rFonts w:hint="eastAsia" w:ascii="宋体" w:hAnsi="宋体" w:eastAsia="宋体" w:cs="宋体"/>
          <w:color w:val="auto"/>
          <w:spacing w:val="6"/>
        </w:rPr>
        <w:t>我们对评估对象进行了现场查勘，了解其现行使用状态，掌握其基本状况，初步确定评估对象现场状况、座落，调查周边房地产利用类型、环境质量状况、区域基本情况等，具体情况如下：</w:t>
      </w:r>
    </w:p>
    <w:p>
      <w:pPr>
        <w:pStyle w:val="8"/>
        <w:spacing w:after="0" w:line="560" w:lineRule="exact"/>
        <w:ind w:left="0" w:leftChars="0" w:firstLine="534"/>
        <w:rPr>
          <w:rFonts w:hint="eastAsia" w:ascii="宋体" w:hAnsi="宋体" w:cs="宋体"/>
          <w:color w:val="auto"/>
          <w:sz w:val="24"/>
        </w:rPr>
      </w:pPr>
      <w:r>
        <w:rPr>
          <w:rFonts w:hint="eastAsia" w:ascii="宋体" w:hAnsi="宋体" w:cs="宋体"/>
          <w:color w:val="auto"/>
          <w:sz w:val="24"/>
        </w:rPr>
        <w:t>本次评估范围是位于</w:t>
      </w:r>
      <w:r>
        <w:rPr>
          <w:rFonts w:hint="eastAsia" w:ascii="宋体" w:hAnsi="宋体" w:cs="宋体"/>
          <w:color w:val="auto"/>
          <w:sz w:val="24"/>
          <w:lang w:eastAsia="zh-CN"/>
        </w:rPr>
        <w:t>西乡县城关镇附溪村二组岳洪、祝儒琴名下的一至七层房地产</w:t>
      </w:r>
      <w:r>
        <w:rPr>
          <w:rFonts w:hint="eastAsia" w:ascii="宋体" w:hAnsi="宋体" w:cs="宋体"/>
          <w:color w:val="auto"/>
          <w:sz w:val="24"/>
        </w:rPr>
        <w:t>，</w:t>
      </w:r>
      <w:r>
        <w:rPr>
          <w:rFonts w:hint="eastAsia" w:ascii="宋体" w:hAnsi="宋体" w:cs="宋体"/>
          <w:color w:val="auto"/>
          <w:sz w:val="24"/>
          <w:lang w:eastAsia="zh-CN"/>
        </w:rPr>
        <w:t>权证信息详见</w:t>
      </w:r>
      <w:r>
        <w:rPr>
          <w:rFonts w:hint="eastAsia" w:ascii="宋体" w:hAnsi="宋体" w:cs="宋体"/>
          <w:color w:val="auto"/>
          <w:sz w:val="24"/>
        </w:rPr>
        <w:t>下表：</w:t>
      </w:r>
    </w:p>
    <w:p>
      <w:pPr>
        <w:pStyle w:val="8"/>
        <w:numPr>
          <w:ilvl w:val="0"/>
          <w:numId w:val="0"/>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《房屋所有权证》及《土地使用证》登记信息</w:t>
      </w:r>
    </w:p>
    <w:p>
      <w:pPr>
        <w:pStyle w:val="8"/>
        <w:numPr>
          <w:ilvl w:val="0"/>
          <w:numId w:val="18"/>
        </w:numPr>
        <w:spacing w:after="0" w:line="560" w:lineRule="exact"/>
        <w:ind w:left="534" w:leftChars="0"/>
        <w:rPr>
          <w:rFonts w:hint="eastAsia" w:ascii="宋体" w:hAnsi="宋体" w:cs="宋体"/>
          <w:color w:val="auto"/>
          <w:sz w:val="24"/>
          <w:lang w:val="en-US" w:eastAsia="zh-CN"/>
        </w:rPr>
      </w:pPr>
      <w:r>
        <w:rPr>
          <w:rFonts w:hint="eastAsia" w:ascii="宋体" w:hAnsi="宋体" w:cs="宋体"/>
          <w:color w:val="auto"/>
          <w:sz w:val="24"/>
          <w:lang w:val="en-US" w:eastAsia="zh-CN"/>
        </w:rPr>
        <w:t>岳洪名下房地产信息：</w:t>
      </w:r>
    </w:p>
    <w:tbl>
      <w:tblPr>
        <w:tblStyle w:val="22"/>
        <w:tblW w:w="5000" w:type="pct"/>
        <w:tblInd w:w="0" w:type="dxa"/>
        <w:shd w:val="clear" w:color="auto" w:fill="auto"/>
        <w:tblLayout w:type="fixed"/>
        <w:tblCellMar>
          <w:top w:w="0" w:type="dxa"/>
          <w:left w:w="0" w:type="dxa"/>
          <w:bottom w:w="0" w:type="dxa"/>
          <w:right w:w="0" w:type="dxa"/>
        </w:tblCellMar>
      </w:tblPr>
      <w:tblGrid>
        <w:gridCol w:w="442"/>
        <w:gridCol w:w="1725"/>
        <w:gridCol w:w="765"/>
        <w:gridCol w:w="915"/>
        <w:gridCol w:w="1005"/>
        <w:gridCol w:w="435"/>
        <w:gridCol w:w="750"/>
        <w:gridCol w:w="615"/>
        <w:gridCol w:w="525"/>
        <w:gridCol w:w="735"/>
        <w:gridCol w:w="1332"/>
      </w:tblGrid>
      <w:tr>
        <w:tblPrEx>
          <w:shd w:val="clear" w:color="auto" w:fill="auto"/>
          <w:tblCellMar>
            <w:top w:w="0" w:type="dxa"/>
            <w:left w:w="0" w:type="dxa"/>
            <w:bottom w:w="0" w:type="dxa"/>
            <w:right w:w="0" w:type="dxa"/>
          </w:tblCellMar>
        </w:tblPrEx>
        <w:trPr>
          <w:trHeight w:val="683"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1217"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西乡县房权证西私房字第28789号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单独所有</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643.85</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一、房屋四址：东：自墙 南：自墙 西：自墙 北：共墙</w:t>
            </w:r>
          </w:p>
        </w:tc>
      </w:tr>
      <w:tr>
        <w:tblPrEx>
          <w:tblCellMar>
            <w:top w:w="0" w:type="dxa"/>
            <w:left w:w="0" w:type="dxa"/>
            <w:bottom w:w="0" w:type="dxa"/>
            <w:right w:w="0" w:type="dxa"/>
          </w:tblCellMar>
        </w:tblPrEx>
        <w:trPr>
          <w:trHeight w:val="540"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618" w:hRule="atLeast"/>
        </w:trPr>
        <w:tc>
          <w:tcPr>
            <w:tcW w:w="2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西乡县集用（土）第610724100207JC00504</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岳洪</w:t>
            </w:r>
          </w:p>
        </w:tc>
        <w:tc>
          <w:tcPr>
            <w:tcW w:w="4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2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00504</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87.52</w:t>
            </w:r>
          </w:p>
        </w:tc>
        <w:tc>
          <w:tcPr>
            <w:tcW w:w="7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18"/>
        </w:numPr>
        <w:spacing w:after="0" w:line="560" w:lineRule="exact"/>
        <w:ind w:left="534" w:leftChars="0" w:firstLine="0" w:firstLineChars="0"/>
        <w:rPr>
          <w:rFonts w:hint="eastAsia" w:ascii="宋体" w:hAnsi="宋体" w:cs="宋体"/>
          <w:color w:val="auto"/>
          <w:sz w:val="24"/>
          <w:lang w:val="en-US" w:eastAsia="zh-CN"/>
        </w:rPr>
      </w:pPr>
      <w:r>
        <w:rPr>
          <w:rFonts w:hint="eastAsia" w:ascii="宋体" w:hAnsi="宋体" w:cs="宋体"/>
          <w:color w:val="auto"/>
          <w:sz w:val="24"/>
          <w:lang w:val="en-US" w:eastAsia="zh-CN"/>
        </w:rPr>
        <w:t>祝儒琴名下房地产信息：</w:t>
      </w:r>
    </w:p>
    <w:tbl>
      <w:tblPr>
        <w:tblStyle w:val="22"/>
        <w:tblW w:w="4996" w:type="pct"/>
        <w:tblInd w:w="0" w:type="dxa"/>
        <w:shd w:val="clear" w:color="auto" w:fill="auto"/>
        <w:tblLayout w:type="autofit"/>
        <w:tblCellMar>
          <w:top w:w="0" w:type="dxa"/>
          <w:left w:w="0" w:type="dxa"/>
          <w:bottom w:w="0" w:type="dxa"/>
          <w:right w:w="0" w:type="dxa"/>
        </w:tblCellMar>
      </w:tblPr>
      <w:tblGrid>
        <w:gridCol w:w="436"/>
        <w:gridCol w:w="1762"/>
        <w:gridCol w:w="780"/>
        <w:gridCol w:w="886"/>
        <w:gridCol w:w="1006"/>
        <w:gridCol w:w="705"/>
        <w:gridCol w:w="840"/>
        <w:gridCol w:w="553"/>
        <w:gridCol w:w="614"/>
        <w:gridCol w:w="570"/>
        <w:gridCol w:w="1085"/>
      </w:tblGrid>
      <w:tr>
        <w:tblPrEx>
          <w:tblCellMar>
            <w:top w:w="0" w:type="dxa"/>
            <w:left w:w="0" w:type="dxa"/>
            <w:bottom w:w="0" w:type="dxa"/>
            <w:right w:w="0" w:type="dxa"/>
          </w:tblCellMar>
        </w:tblPrEx>
        <w:trPr>
          <w:trHeight w:val="653"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房屋所有权人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房屋坐落</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登记时间</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共有情况</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规划用途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总层数</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所在层</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建筑面积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附记</w:t>
            </w:r>
          </w:p>
        </w:tc>
      </w:tr>
      <w:tr>
        <w:tblPrEx>
          <w:tblCellMar>
            <w:top w:w="0" w:type="dxa"/>
            <w:left w:w="0" w:type="dxa"/>
            <w:bottom w:w="0" w:type="dxa"/>
            <w:right w:w="0" w:type="dxa"/>
          </w:tblCellMar>
        </w:tblPrEx>
        <w:trPr>
          <w:trHeight w:val="90"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西乡县房权证西私房字第28790号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祝儒琴</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西乡县城关镇附溪村二组一至七层</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2014-8-10</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共同共有，共有人岳玉康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7</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1-7</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852.6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一、房屋四址：东、南、西、北：自墙，共有人：岳玉康</w:t>
            </w:r>
          </w:p>
        </w:tc>
      </w:tr>
      <w:tr>
        <w:trPr>
          <w:trHeight w:val="578"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序号</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国有土地使用权证编号</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土地使用权人</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土地所有权人</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座落</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地号</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地类（用途）</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使用权类型</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终止日期</w:t>
            </w: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r>
              <w:rPr>
                <w:rFonts w:hint="eastAsia" w:ascii="Arial Narrow" w:hAnsi="Arial Narrow" w:eastAsia="Arial Narrow" w:cs="Arial Narrow"/>
                <w:b/>
                <w:bCs/>
                <w:i w:val="0"/>
                <w:color w:val="000000"/>
                <w:kern w:val="0"/>
                <w:sz w:val="16"/>
                <w:szCs w:val="16"/>
                <w:u w:val="none"/>
                <w:lang w:val="en-US" w:eastAsia="zh-CN" w:bidi="ar"/>
              </w:rPr>
              <w:t>使用权面积</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b/>
                <w:bCs/>
                <w:i w:val="0"/>
                <w:color w:val="000000"/>
                <w:kern w:val="0"/>
                <w:sz w:val="16"/>
                <w:szCs w:val="16"/>
                <w:u w:val="none"/>
                <w:lang w:val="en-US" w:eastAsia="zh-CN" w:bidi="ar"/>
              </w:rPr>
            </w:pPr>
          </w:p>
        </w:tc>
      </w:tr>
      <w:tr>
        <w:tblPrEx>
          <w:tblCellMar>
            <w:top w:w="0" w:type="dxa"/>
            <w:left w:w="0" w:type="dxa"/>
            <w:bottom w:w="0" w:type="dxa"/>
            <w:right w:w="0" w:type="dxa"/>
          </w:tblCellMar>
        </w:tblPrEx>
        <w:trPr>
          <w:trHeight w:val="558" w:hRule="atLeast"/>
        </w:trPr>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r>
              <w:rPr>
                <w:rFonts w:hint="default" w:ascii="Arial Narrow" w:hAnsi="Arial Narrow" w:eastAsia="Arial Narrow" w:cs="Arial Narrow"/>
                <w:i w:val="0"/>
                <w:color w:val="000000"/>
                <w:kern w:val="0"/>
                <w:sz w:val="16"/>
                <w:szCs w:val="16"/>
                <w:u w:val="none"/>
                <w:lang w:val="en-US" w:eastAsia="zh-CN" w:bidi="ar"/>
              </w:rPr>
              <w:t>1</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西乡县集用（土）第610724100207JC00513</w:t>
            </w:r>
          </w:p>
        </w:tc>
        <w:tc>
          <w:tcPr>
            <w:tcW w:w="4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岳玉康</w:t>
            </w:r>
          </w:p>
        </w:tc>
        <w:tc>
          <w:tcPr>
            <w:tcW w:w="4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集体</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西乡县城关镇附溪村二组</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00513</w:t>
            </w:r>
          </w:p>
        </w:tc>
        <w:tc>
          <w:tcPr>
            <w:tcW w:w="4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住宅</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划拨</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Arial Narrow" w:hAnsi="Arial Narrow" w:eastAsia="Arial Narrow" w:cs="Arial Narrow"/>
                <w:i w:val="0"/>
                <w:color w:val="000000"/>
                <w:kern w:val="0"/>
                <w:sz w:val="16"/>
                <w:szCs w:val="16"/>
                <w:u w:val="none"/>
                <w:lang w:val="en-US" w:eastAsia="zh-CN"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r>
              <w:rPr>
                <w:rFonts w:hint="eastAsia" w:ascii="Arial Narrow" w:hAnsi="Arial Narrow" w:eastAsia="Arial Narrow" w:cs="Arial Narrow"/>
                <w:i w:val="0"/>
                <w:color w:val="000000"/>
                <w:kern w:val="0"/>
                <w:sz w:val="16"/>
                <w:szCs w:val="16"/>
                <w:u w:val="none"/>
                <w:lang w:val="en-US" w:eastAsia="zh-CN" w:bidi="ar"/>
              </w:rPr>
              <w:t>128.76</w:t>
            </w:r>
          </w:p>
        </w:tc>
        <w:tc>
          <w:tcPr>
            <w:tcW w:w="5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Arial Narrow" w:hAnsi="Arial Narrow" w:eastAsia="Arial Narrow" w:cs="Arial Narrow"/>
                <w:i w:val="0"/>
                <w:color w:val="000000"/>
                <w:kern w:val="0"/>
                <w:sz w:val="16"/>
                <w:szCs w:val="16"/>
                <w:u w:val="none"/>
                <w:lang w:val="en-US" w:eastAsia="zh-CN" w:bidi="ar"/>
              </w:rPr>
            </w:pPr>
          </w:p>
        </w:tc>
      </w:tr>
    </w:tbl>
    <w:p>
      <w:pPr>
        <w:pStyle w:val="8"/>
        <w:numPr>
          <w:ilvl w:val="0"/>
          <w:numId w:val="0"/>
        </w:numPr>
        <w:spacing w:after="0" w:line="560" w:lineRule="exact"/>
        <w:ind w:left="14" w:leftChars="0" w:firstLine="518" w:firstLineChars="216"/>
        <w:rPr>
          <w:rFonts w:hint="default" w:ascii="宋体" w:hAnsi="宋体" w:cs="宋体"/>
          <w:color w:val="auto"/>
          <w:sz w:val="24"/>
          <w:lang w:val="en-US" w:eastAsia="zh-CN"/>
        </w:rPr>
      </w:pPr>
      <w:r>
        <w:rPr>
          <w:rFonts w:hint="eastAsia" w:ascii="宋体" w:hAnsi="宋体" w:cs="宋体"/>
          <w:color w:val="auto"/>
          <w:sz w:val="24"/>
          <w:lang w:val="en-US" w:eastAsia="zh-CN"/>
        </w:rPr>
        <w:t>经现场查勘，岳洪名下房产为两间七层，祝儒琴名下房产为三间七层，两幢房屋相连，现状整体作为酒店（东鑫商务酒店）正常经营中，经营方式为自营；本次评估范围包括房地产及房屋内部装修，不包含其他可移动的、独立于建筑物的动产设施及设备资产。根据了解，委估房地产建成于2012年，混合结构，东西朝向，西临希望路，一面临街。垂直交通方式有钢混楼梯和一部电梯。</w:t>
      </w:r>
    </w:p>
    <w:p>
      <w:pPr>
        <w:spacing w:line="560" w:lineRule="exact"/>
        <w:ind w:firstLine="504"/>
        <w:rPr>
          <w:rFonts w:hint="eastAsia" w:ascii="宋体" w:hAnsi="宋体" w:eastAsia="宋体" w:cs="宋体"/>
          <w:color w:val="auto"/>
          <w:spacing w:val="6"/>
          <w:lang w:eastAsia="zh-CN"/>
        </w:rPr>
      </w:pPr>
      <w:r>
        <w:rPr>
          <w:rFonts w:hint="eastAsia" w:ascii="宋体" w:hAnsi="宋体" w:eastAsia="宋体" w:cs="宋体"/>
          <w:color w:val="auto"/>
          <w:spacing w:val="6"/>
          <w:lang w:eastAsia="zh-CN"/>
        </w:rPr>
        <w:t>委估房地产所占用的土地为集体划拨用地，土地使用权人分别为岳洪和岳玉康，土地总面积为</w:t>
      </w:r>
      <w:r>
        <w:rPr>
          <w:rFonts w:hint="eastAsia" w:ascii="宋体" w:hAnsi="宋体" w:eastAsia="宋体" w:cs="宋体"/>
          <w:color w:val="auto"/>
          <w:spacing w:val="6"/>
          <w:lang w:val="en-US" w:eastAsia="zh-CN"/>
        </w:rPr>
        <w:t>216.28平方米，证载用途为住宅用地，</w:t>
      </w:r>
      <w:r>
        <w:rPr>
          <w:rFonts w:hint="eastAsia" w:ascii="宋体" w:hAnsi="宋体" w:eastAsia="宋体" w:cs="宋体"/>
          <w:color w:val="auto"/>
          <w:spacing w:val="6"/>
          <w:lang w:eastAsia="zh-CN"/>
        </w:rPr>
        <w:t>宗地开发程度为宗地外五通（通上水、通下水、通电、通讯、通路），宗地内地上建有房屋建筑物。</w:t>
      </w:r>
    </w:p>
    <w:p>
      <w:pPr>
        <w:pStyle w:val="8"/>
        <w:numPr>
          <w:ilvl w:val="0"/>
          <w:numId w:val="0"/>
        </w:numPr>
        <w:spacing w:after="0" w:line="560" w:lineRule="exact"/>
        <w:ind w:left="14" w:leftChars="0" w:firstLine="518" w:firstLineChars="216"/>
        <w:rPr>
          <w:rFonts w:hint="eastAsia" w:ascii="宋体" w:hAnsi="宋体" w:cs="宋体"/>
          <w:color w:val="auto"/>
          <w:sz w:val="24"/>
          <w:lang w:val="en-US" w:eastAsia="zh-CN"/>
        </w:rPr>
      </w:pPr>
      <w:r>
        <w:rPr>
          <w:rFonts w:hint="eastAsia" w:ascii="宋体" w:hAnsi="宋体" w:cs="宋体"/>
          <w:color w:val="auto"/>
          <w:sz w:val="24"/>
          <w:lang w:val="en-US" w:eastAsia="zh-CN"/>
        </w:rPr>
        <w:t>根据收集到的相关资料，以上房地产已设定抵押权。</w:t>
      </w:r>
    </w:p>
    <w:p>
      <w:pPr>
        <w:numPr>
          <w:ilvl w:val="0"/>
          <w:numId w:val="0"/>
        </w:numPr>
        <w:spacing w:line="560" w:lineRule="exact"/>
        <w:ind w:left="504" w:leftChars="0"/>
        <w:rPr>
          <w:rFonts w:ascii="宋体" w:hAnsi="宋体" w:eastAsia="宋体" w:cs="宋体"/>
          <w:color w:val="auto"/>
          <w:spacing w:val="6"/>
        </w:rPr>
      </w:pPr>
      <w:r>
        <w:rPr>
          <w:rFonts w:hint="eastAsia" w:ascii="宋体" w:hAnsi="宋体" w:eastAsia="宋体" w:cs="宋体"/>
          <w:color w:val="auto"/>
          <w:spacing w:val="6"/>
        </w:rPr>
        <w:t>（五）收集评估资料</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要求</w:t>
      </w:r>
      <w:r>
        <w:rPr>
          <w:rFonts w:hint="eastAsia" w:ascii="宋体" w:hAnsi="宋体" w:eastAsia="宋体" w:cs="宋体"/>
          <w:color w:val="auto"/>
          <w:spacing w:val="6"/>
          <w:lang w:eastAsia="zh-CN"/>
        </w:rPr>
        <w:t>委托人</w:t>
      </w:r>
      <w:r>
        <w:rPr>
          <w:rFonts w:hint="eastAsia" w:ascii="宋体" w:hAnsi="宋体" w:eastAsia="宋体" w:cs="宋体"/>
          <w:color w:val="auto"/>
          <w:spacing w:val="6"/>
        </w:rPr>
        <w:t>提供涉及评估对象和评估范围的详细资料，获取评估业务需要的基础资料，了解评估对象现状，关注评估对象法律权属。</w:t>
      </w:r>
    </w:p>
    <w:p>
      <w:pPr>
        <w:spacing w:line="560" w:lineRule="exact"/>
        <w:ind w:firstLine="504"/>
        <w:rPr>
          <w:rFonts w:ascii="宋体" w:hAnsi="宋体" w:eastAsia="宋体" w:cs="宋体"/>
          <w:color w:val="auto"/>
          <w:spacing w:val="6"/>
        </w:rPr>
      </w:pPr>
      <w:r>
        <w:rPr>
          <w:rFonts w:hint="eastAsia" w:ascii="宋体" w:hAnsi="宋体" w:eastAsia="宋体" w:cs="宋体"/>
          <w:color w:val="auto"/>
          <w:spacing w:val="6"/>
        </w:rPr>
        <w:t>（六）评定估算</w:t>
      </w:r>
    </w:p>
    <w:p>
      <w:pPr>
        <w:spacing w:line="560" w:lineRule="exact"/>
        <w:ind w:firstLine="504"/>
        <w:rPr>
          <w:rFonts w:ascii="宋体" w:hAnsi="宋体" w:eastAsia="宋体" w:cs="宋体"/>
          <w:color w:val="auto"/>
        </w:rPr>
      </w:pPr>
      <w:r>
        <w:rPr>
          <w:rFonts w:hint="eastAsia" w:ascii="宋体" w:hAnsi="宋体" w:eastAsia="宋体" w:cs="宋体"/>
          <w:color w:val="auto"/>
          <w:spacing w:val="6"/>
        </w:rPr>
        <w:t>根据评估业务具体情况对收集的评</w:t>
      </w:r>
      <w:r>
        <w:rPr>
          <w:rFonts w:hint="eastAsia" w:ascii="宋体" w:hAnsi="宋体" w:eastAsia="宋体" w:cs="宋体"/>
          <w:color w:val="auto"/>
        </w:rPr>
        <w:t>估资料进行必要分析、归纳和整理，形成评定估算的依据。</w:t>
      </w:r>
    </w:p>
    <w:p>
      <w:pPr>
        <w:spacing w:line="560" w:lineRule="exact"/>
        <w:ind w:firstLine="480"/>
        <w:rPr>
          <w:rFonts w:ascii="宋体" w:hAnsi="宋体" w:eastAsia="宋体" w:cs="宋体"/>
          <w:color w:val="auto"/>
        </w:rPr>
      </w:pPr>
      <w:r>
        <w:rPr>
          <w:rFonts w:hint="eastAsia" w:ascii="宋体" w:hAnsi="宋体" w:eastAsia="宋体" w:cs="宋体"/>
          <w:color w:val="auto"/>
        </w:rPr>
        <w:t>根据评估对象、价值类型、评估资料收集情况等相关条件，分析市场法、收益法和成本法等资产评估方法的适用性，恰当选择评估方法。</w:t>
      </w:r>
    </w:p>
    <w:p>
      <w:pPr>
        <w:spacing w:line="560" w:lineRule="exact"/>
        <w:ind w:firstLine="480"/>
        <w:rPr>
          <w:rFonts w:ascii="宋体" w:hAnsi="宋体" w:eastAsia="宋体" w:cs="宋体"/>
          <w:color w:val="auto"/>
        </w:rPr>
      </w:pPr>
      <w:r>
        <w:rPr>
          <w:rFonts w:hint="eastAsia" w:ascii="宋体" w:hAnsi="宋体" w:eastAsia="宋体" w:cs="宋体"/>
          <w:color w:val="auto"/>
        </w:rPr>
        <w:t>根据所采用的评估方法，选取相应的公式和参数进行分析、计算和判断，形成初步评估结论。</w:t>
      </w:r>
    </w:p>
    <w:p>
      <w:pPr>
        <w:spacing w:line="560" w:lineRule="exact"/>
        <w:ind w:firstLine="480"/>
        <w:rPr>
          <w:rFonts w:hint="eastAsia" w:ascii="宋体" w:hAnsi="宋体" w:eastAsia="宋体" w:cs="宋体"/>
          <w:color w:val="auto"/>
        </w:rPr>
      </w:pPr>
      <w:r>
        <w:rPr>
          <w:rFonts w:hint="eastAsia" w:ascii="宋体" w:hAnsi="宋体" w:eastAsia="宋体" w:cs="宋体"/>
          <w:color w:val="auto"/>
        </w:rPr>
        <w:t>对形成的初步评估结论进行综合分析，形成最终评估结论。</w:t>
      </w:r>
    </w:p>
    <w:p>
      <w:pPr>
        <w:spacing w:line="560" w:lineRule="exact"/>
        <w:ind w:firstLine="480"/>
        <w:rPr>
          <w:rFonts w:hint="default" w:ascii="宋体" w:hAnsi="宋体" w:eastAsia="宋体" w:cs="宋体"/>
          <w:b/>
          <w:bCs/>
          <w:color w:val="auto"/>
          <w:lang w:val="en-US" w:eastAsia="zh-CN"/>
        </w:rPr>
      </w:pPr>
      <w:r>
        <w:rPr>
          <w:rFonts w:hint="eastAsia" w:ascii="宋体" w:hAnsi="宋体" w:eastAsia="宋体" w:cs="宋体"/>
          <w:b/>
          <w:bCs/>
          <w:color w:val="auto"/>
          <w:lang w:val="en-US" w:eastAsia="zh-CN"/>
        </w:rPr>
        <w:t>A、房地产价值评估-市场比较法、收益法</w:t>
      </w:r>
    </w:p>
    <w:p>
      <w:pPr>
        <w:spacing w:line="560" w:lineRule="exact"/>
        <w:ind w:left="0" w:leftChars="0" w:firstLine="0" w:firstLineChars="0"/>
        <w:jc w:val="both"/>
        <w:rPr>
          <w:rFonts w:hint="eastAsia"/>
          <w:color w:val="auto"/>
          <w:spacing w:val="-2"/>
          <w:lang w:val="en-US" w:eastAsia="zh-CN"/>
        </w:rPr>
      </w:pPr>
      <w:r>
        <w:rPr>
          <w:rFonts w:hint="eastAsia" w:ascii="宋体" w:hAnsi="宋体" w:eastAsia="宋体" w:cs="宋体"/>
          <w:color w:val="auto"/>
          <w:lang w:val="en-US" w:eastAsia="zh-CN"/>
        </w:rPr>
        <w:t>（一）</w:t>
      </w:r>
      <w:r>
        <w:rPr>
          <w:rFonts w:hint="eastAsia" w:ascii="宋体" w:hAnsi="宋体" w:eastAsia="宋体" w:cs="宋体"/>
          <w:b/>
          <w:bCs/>
          <w:color w:val="auto"/>
          <w:highlight w:val="none"/>
          <w:lang w:val="en-US" w:eastAsia="zh-CN"/>
        </w:rPr>
        <w:t>市场比较法</w:t>
      </w:r>
    </w:p>
    <w:p>
      <w:pPr>
        <w:spacing w:line="560" w:lineRule="exact"/>
        <w:ind w:firstLine="480"/>
        <w:rPr>
          <w:color w:val="auto"/>
        </w:rPr>
      </w:pPr>
      <w:r>
        <w:rPr>
          <w:rFonts w:hint="eastAsia" w:ascii="宋体" w:hAnsi="宋体" w:eastAsia="宋体" w:cs="宋体"/>
          <w:color w:val="auto"/>
        </w:rPr>
        <w:t>市场比较法即将评估对象与近期内发生交易类似实例加以对照比较，对已发生交易的类似评估对象的已知价格加以修正，得出评估对象最可能实现的合理价格。其计算公式：</w:t>
      </w:r>
    </w:p>
    <w:p>
      <w:pPr>
        <w:spacing w:line="560" w:lineRule="exact"/>
        <w:ind w:firstLine="480"/>
        <w:rPr>
          <w:color w:val="auto"/>
        </w:rPr>
      </w:pPr>
      <w:r>
        <w:rPr>
          <w:rFonts w:hint="eastAsia" w:ascii="宋体" w:hAnsi="宋体" w:eastAsia="宋体" w:cs="宋体"/>
          <w:color w:val="auto"/>
        </w:rPr>
        <w:t>评估对象房地产的比准价格＝比较实例房地产的价格</w:t>
      </w:r>
      <w:r>
        <w:rPr>
          <w:color w:val="auto"/>
        </w:rPr>
        <w:t>×</w:t>
      </w:r>
      <w:r>
        <w:rPr>
          <w:rFonts w:hint="eastAsia" w:ascii="宋体" w:hAnsi="宋体" w:eastAsia="宋体" w:cs="宋体"/>
          <w:color w:val="auto"/>
        </w:rPr>
        <w:t>交易情况修正系数</w:t>
      </w:r>
      <w:r>
        <w:rPr>
          <w:color w:val="auto"/>
        </w:rPr>
        <w:t>×</w:t>
      </w:r>
      <w:r>
        <w:rPr>
          <w:rFonts w:hint="eastAsia" w:ascii="宋体" w:hAnsi="宋体" w:eastAsia="宋体" w:cs="宋体"/>
          <w:color w:val="auto"/>
        </w:rPr>
        <w:t>交易日期修正系数</w:t>
      </w:r>
      <w:r>
        <w:rPr>
          <w:color w:val="auto"/>
        </w:rPr>
        <w:t>×</w:t>
      </w:r>
      <w:r>
        <w:rPr>
          <w:rFonts w:hint="eastAsia" w:ascii="宋体" w:hAnsi="宋体" w:eastAsia="宋体" w:cs="宋体"/>
          <w:color w:val="auto"/>
        </w:rPr>
        <w:t>区域因素修正系数</w:t>
      </w:r>
      <w:r>
        <w:rPr>
          <w:color w:val="auto"/>
        </w:rPr>
        <w:t>×</w:t>
      </w:r>
      <w:r>
        <w:rPr>
          <w:rFonts w:hint="eastAsia" w:ascii="宋体" w:hAnsi="宋体" w:eastAsia="宋体" w:cs="宋体"/>
          <w:color w:val="auto"/>
        </w:rPr>
        <w:t>个别因素修正系数</w:t>
      </w:r>
    </w:p>
    <w:p>
      <w:pPr>
        <w:spacing w:line="560" w:lineRule="exact"/>
        <w:ind w:firstLine="480"/>
        <w:rPr>
          <w:color w:val="auto"/>
        </w:rPr>
      </w:pPr>
      <w:r>
        <w:rPr>
          <w:rFonts w:hint="eastAsia" w:ascii="宋体" w:hAnsi="宋体" w:eastAsia="宋体" w:cs="宋体"/>
          <w:color w:val="auto"/>
        </w:rPr>
        <w:t>具体操作步骤：调查整理与评估对象类型相近似的交易实例，选取其中三个以上与评估对象最为类似、可比的实例；建立价格可比基础；进行交易情况、交易日期、区域因素、个别因素等项修正；求出评估对象的比准价格；根据比准价格求取评估对象的价格。</w:t>
      </w:r>
    </w:p>
    <w:p>
      <w:pPr>
        <w:widowControl/>
        <w:numPr>
          <w:ilvl w:val="0"/>
          <w:numId w:val="19"/>
        </w:numPr>
        <w:adjustRightInd w:val="0"/>
        <w:snapToGrid w:val="0"/>
        <w:spacing w:line="560" w:lineRule="exact"/>
        <w:ind w:hanging="623" w:firstLineChars="0"/>
        <w:jc w:val="left"/>
        <w:rPr>
          <w:color w:val="auto"/>
        </w:rPr>
      </w:pPr>
      <w:r>
        <w:rPr>
          <w:rFonts w:hint="eastAsia" w:ascii="宋体" w:hAnsi="宋体" w:eastAsia="宋体" w:cs="宋体"/>
          <w:color w:val="auto"/>
        </w:rPr>
        <w:t>计算公式</w:t>
      </w:r>
    </w:p>
    <w:p>
      <w:pPr>
        <w:spacing w:line="560" w:lineRule="exact"/>
        <w:ind w:firstLine="504"/>
        <w:rPr>
          <w:color w:val="auto"/>
        </w:rPr>
      </w:pPr>
      <w:r>
        <w:rPr>
          <w:rFonts w:hint="eastAsia" w:ascii="宋体" w:hAnsi="宋体" w:eastAsia="宋体" w:cs="宋体"/>
          <w:color w:val="auto"/>
          <w:spacing w:val="6"/>
        </w:rPr>
        <w:t>评估对象房地产的比准价格＝比较实例房地产的价格</w:t>
      </w:r>
      <w:r>
        <w:rPr>
          <w:color w:val="auto"/>
          <w:spacing w:val="6"/>
        </w:rPr>
        <w:t>×</w:t>
      </w:r>
      <w:r>
        <w:rPr>
          <w:rFonts w:hint="eastAsia" w:ascii="宋体" w:hAnsi="宋体" w:eastAsia="宋体" w:cs="宋体"/>
          <w:color w:val="auto"/>
          <w:spacing w:val="6"/>
        </w:rPr>
        <w:t>交易情况修正系数</w:t>
      </w:r>
      <w:r>
        <w:rPr>
          <w:color w:val="auto"/>
          <w:spacing w:val="6"/>
        </w:rPr>
        <w:t>×</w:t>
      </w:r>
      <w:r>
        <w:rPr>
          <w:rFonts w:hint="eastAsia" w:ascii="宋体" w:hAnsi="宋体" w:eastAsia="宋体" w:cs="宋体"/>
          <w:color w:val="auto"/>
          <w:spacing w:val="6"/>
        </w:rPr>
        <w:t>交易日期修正系数</w:t>
      </w:r>
      <w:r>
        <w:rPr>
          <w:color w:val="auto"/>
          <w:spacing w:val="6"/>
        </w:rPr>
        <w:t>×</w:t>
      </w:r>
      <w:r>
        <w:rPr>
          <w:rFonts w:hint="eastAsia" w:ascii="宋体" w:hAnsi="宋体" w:eastAsia="宋体" w:cs="宋体"/>
          <w:color w:val="auto"/>
          <w:spacing w:val="6"/>
        </w:rPr>
        <w:t>区域因素修正系数</w:t>
      </w:r>
      <w:r>
        <w:rPr>
          <w:color w:val="auto"/>
          <w:spacing w:val="6"/>
        </w:rPr>
        <w:t>×</w:t>
      </w:r>
      <w:r>
        <w:rPr>
          <w:rFonts w:hint="eastAsia" w:ascii="宋体" w:hAnsi="宋体" w:eastAsia="宋体" w:cs="宋体"/>
          <w:color w:val="auto"/>
          <w:spacing w:val="6"/>
        </w:rPr>
        <w:t>个别因素修正系数</w:t>
      </w:r>
    </w:p>
    <w:p>
      <w:pPr>
        <w:widowControl/>
        <w:numPr>
          <w:ilvl w:val="0"/>
          <w:numId w:val="19"/>
        </w:numPr>
        <w:adjustRightInd w:val="0"/>
        <w:snapToGrid w:val="0"/>
        <w:spacing w:line="560" w:lineRule="exact"/>
        <w:ind w:hanging="623" w:firstLineChars="0"/>
        <w:jc w:val="left"/>
        <w:rPr>
          <w:rFonts w:ascii="宋体" w:hAnsi="宋体" w:eastAsia="宋体" w:cs="宋体"/>
          <w:color w:val="auto"/>
        </w:rPr>
      </w:pPr>
      <w:r>
        <w:rPr>
          <w:rFonts w:hint="eastAsia" w:ascii="宋体" w:hAnsi="宋体" w:eastAsia="宋体" w:cs="宋体"/>
          <w:color w:val="auto"/>
        </w:rPr>
        <w:t>选取可比实例</w:t>
      </w:r>
    </w:p>
    <w:p>
      <w:pPr>
        <w:adjustRightInd w:val="0"/>
        <w:snapToGrid w:val="0"/>
        <w:spacing w:line="560" w:lineRule="exact"/>
        <w:ind w:firstLine="588" w:firstLineChars="245"/>
        <w:rPr>
          <w:color w:val="auto"/>
          <w:spacing w:val="6"/>
        </w:rPr>
      </w:pPr>
      <w:r>
        <w:rPr>
          <w:rFonts w:hint="eastAsia" w:eastAsia="宋体"/>
          <w:color w:val="auto"/>
          <w:highlight w:val="none"/>
          <w:lang w:eastAsia="zh-CN"/>
        </w:rPr>
        <w:t>由于</w:t>
      </w:r>
      <w:r>
        <w:rPr>
          <w:rFonts w:hint="eastAsia" w:eastAsia="宋体"/>
          <w:color w:val="auto"/>
          <w:lang w:eastAsia="zh-CN"/>
        </w:rPr>
        <w:t>评估对象体量较大，</w:t>
      </w:r>
      <w:r>
        <w:rPr>
          <w:rFonts w:hint="eastAsia"/>
          <w:color w:val="auto"/>
        </w:rPr>
        <w:t>测算时先选取</w:t>
      </w:r>
      <w:r>
        <w:rPr>
          <w:rFonts w:hint="eastAsia" w:eastAsia="宋体"/>
          <w:color w:val="auto"/>
          <w:lang w:eastAsia="zh-CN"/>
        </w:rPr>
        <w:t>了一层</w:t>
      </w:r>
      <w:r>
        <w:rPr>
          <w:rFonts w:hint="eastAsia" w:eastAsia="宋体"/>
          <w:color w:val="auto"/>
          <w:lang w:val="en-US" w:eastAsia="zh-CN"/>
        </w:rPr>
        <w:t>100平方米为抽样面积</w:t>
      </w:r>
      <w:r>
        <w:rPr>
          <w:rFonts w:hint="eastAsia"/>
          <w:color w:val="auto"/>
        </w:rPr>
        <w:t>进行测算</w:t>
      </w:r>
      <w:r>
        <w:rPr>
          <w:rFonts w:hint="eastAsia" w:eastAsia="宋体"/>
          <w:color w:val="auto"/>
          <w:lang w:eastAsia="zh-CN"/>
        </w:rPr>
        <w:t>，</w:t>
      </w:r>
      <w:r>
        <w:rPr>
          <w:rFonts w:hint="eastAsia" w:ascii="宋体" w:hAnsi="宋体" w:eastAsia="宋体" w:cs="宋体"/>
          <w:color w:val="auto"/>
          <w:spacing w:val="6"/>
        </w:rPr>
        <w:t>根据替代原则，评估人员调查了与评估对象在地理位置、结构类型、使用功能、交易日期等因素相同或具有较强相关性的交易案例，选取以下交易案例作为可比实例：</w:t>
      </w:r>
      <w:r>
        <w:rPr>
          <w:rFonts w:hint="eastAsia"/>
          <w:color w:val="auto"/>
          <w:spacing w:val="6"/>
        </w:rPr>
        <w:t xml:space="preserve"> </w:t>
      </w:r>
    </w:p>
    <w:p>
      <w:pPr>
        <w:adjustRightInd w:val="0"/>
        <w:snapToGrid w:val="0"/>
        <w:spacing w:line="560" w:lineRule="exact"/>
        <w:ind w:firstLine="617" w:firstLineChars="245"/>
        <w:jc w:val="center"/>
        <w:rPr>
          <w:rFonts w:ascii="宋体" w:hAnsi="宋体" w:eastAsia="宋体" w:cs="宋体"/>
          <w:color w:val="auto"/>
          <w:spacing w:val="6"/>
        </w:rPr>
      </w:pPr>
      <w:r>
        <w:rPr>
          <w:rFonts w:hint="eastAsia" w:ascii="宋体" w:hAnsi="宋体" w:eastAsia="宋体" w:cs="宋体"/>
          <w:color w:val="auto"/>
          <w:spacing w:val="6"/>
        </w:rPr>
        <w:t>可比实例调查表</w:t>
      </w:r>
    </w:p>
    <w:tbl>
      <w:tblPr>
        <w:tblStyle w:val="22"/>
        <w:tblW w:w="9256"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8"/>
        <w:gridCol w:w="2057"/>
        <w:gridCol w:w="2057"/>
        <w:gridCol w:w="2057"/>
        <w:gridCol w:w="205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30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项目</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1" w:firstLineChars="200"/>
              <w:jc w:val="center"/>
              <w:textAlignment w:val="center"/>
              <w:rPr>
                <w:rFonts w:ascii="宋体" w:hAnsi="宋体" w:eastAsia="宋体" w:cs="宋体"/>
                <w:b/>
                <w:bCs/>
                <w:color w:val="auto"/>
                <w:kern w:val="0"/>
                <w:sz w:val="18"/>
                <w:szCs w:val="18"/>
              </w:rPr>
            </w:pPr>
            <w:r>
              <w:rPr>
                <w:rFonts w:hint="eastAsia" w:ascii="宋体" w:hAnsi="宋体" w:eastAsia="宋体" w:cs="宋体"/>
                <w:b/>
                <w:i w:val="0"/>
                <w:color w:val="000000"/>
                <w:kern w:val="0"/>
                <w:sz w:val="18"/>
                <w:szCs w:val="18"/>
                <w:u w:val="none"/>
                <w:lang w:val="en-US" w:eastAsia="zh-CN" w:bidi="ar"/>
              </w:rPr>
              <w:t>实例A</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1" w:firstLineChars="200"/>
              <w:jc w:val="center"/>
              <w:textAlignment w:val="center"/>
              <w:rPr>
                <w:rFonts w:ascii="宋体" w:hAnsi="宋体" w:eastAsia="宋体" w:cs="宋体"/>
                <w:b/>
                <w:bCs/>
                <w:color w:val="auto"/>
                <w:kern w:val="0"/>
                <w:sz w:val="18"/>
                <w:szCs w:val="18"/>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B</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1" w:firstLineChars="200"/>
              <w:jc w:val="center"/>
              <w:textAlignment w:val="center"/>
              <w:rPr>
                <w:rFonts w:ascii="宋体" w:hAnsi="宋体" w:eastAsia="宋体" w:cs="宋体"/>
                <w:b/>
                <w:bCs/>
                <w:color w:val="auto"/>
                <w:kern w:val="0"/>
                <w:sz w:val="18"/>
                <w:szCs w:val="18"/>
              </w:rPr>
            </w:pPr>
            <w:r>
              <w:rPr>
                <w:rFonts w:hint="eastAsia" w:ascii="宋体" w:hAnsi="宋体" w:eastAsia="宋体" w:cs="宋体"/>
                <w:b/>
                <w:i w:val="0"/>
                <w:color w:val="000000"/>
                <w:kern w:val="0"/>
                <w:sz w:val="18"/>
                <w:szCs w:val="18"/>
                <w:u w:val="none"/>
                <w:lang w:val="en-US" w:eastAsia="zh-CN" w:bidi="ar"/>
              </w:rPr>
              <w:t>实例</w:t>
            </w:r>
            <w:r>
              <w:rPr>
                <w:rFonts w:hint="default" w:ascii="Times New Roman" w:hAnsi="Times New Roman" w:eastAsia="宋体" w:cs="Times New Roman"/>
                <w:b/>
                <w:i w:val="0"/>
                <w:color w:val="000000"/>
                <w:kern w:val="0"/>
                <w:sz w:val="18"/>
                <w:szCs w:val="18"/>
                <w:u w:val="none"/>
                <w:lang w:val="en-US" w:eastAsia="zh-CN" w:bidi="ar"/>
              </w:rPr>
              <w:t>C</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8" w:hRule="atLeast"/>
        </w:trPr>
        <w:tc>
          <w:tcPr>
            <w:tcW w:w="10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案例基本信息</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物业名称</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鹿鸣山庄商铺</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住宅底商</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梅苑路商铺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物业位置</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ind w:firstLine="360" w:firstLineChars="200"/>
              <w:jc w:val="center"/>
              <w:textAlignment w:val="bottom"/>
              <w:rPr>
                <w:rFonts w:hint="eastAsia" w:ascii="宋体" w:hAnsi="宋体" w:eastAsia="宋体" w:cs="宋体"/>
                <w:color w:val="auto"/>
                <w:kern w:val="0"/>
                <w:sz w:val="18"/>
                <w:szCs w:val="18"/>
                <w:lang w:eastAsia="zh-CN"/>
              </w:rPr>
            </w:pPr>
            <w:r>
              <w:rPr>
                <w:rFonts w:hint="eastAsia" w:ascii="宋体" w:hAnsi="宋体" w:eastAsia="宋体" w:cs="宋体"/>
                <w:i w:val="0"/>
                <w:color w:val="000000"/>
                <w:kern w:val="0"/>
                <w:sz w:val="18"/>
                <w:szCs w:val="18"/>
                <w:u w:val="none"/>
                <w:lang w:val="en-US" w:eastAsia="zh-CN" w:bidi="ar"/>
              </w:rPr>
              <w:t>鹿鸣山庄</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鹿岭路</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梅苑路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成交单价（元/㎡）</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 xml:space="preserve">18400 </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 xml:space="preserve">17339 </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 xml:space="preserve">11364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信息来源</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二手房中介机构</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二手房中介机构</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二手房中介机构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建筑面积（㎡）</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81.00</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41.81</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44.00</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交易情况</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正常</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正常</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正常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 w:hRule="atLeast"/>
        </w:trPr>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交易日期</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lang w:val="en-US"/>
              </w:rPr>
            </w:pPr>
            <w:r>
              <w:rPr>
                <w:rFonts w:hint="eastAsia" w:ascii="宋体" w:hAnsi="宋体" w:eastAsia="宋体" w:cs="宋体"/>
                <w:i w:val="0"/>
                <w:color w:val="000000"/>
                <w:kern w:val="0"/>
                <w:sz w:val="18"/>
                <w:szCs w:val="18"/>
                <w:u w:val="none"/>
                <w:lang w:val="en-US" w:eastAsia="zh-CN" w:bidi="ar"/>
              </w:rPr>
              <w:t>2019-11-1</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2019-11-8</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ind w:firstLine="360" w:firstLineChars="200"/>
              <w:jc w:val="center"/>
              <w:textAlignment w:val="center"/>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2019-10-25</w:t>
            </w:r>
          </w:p>
        </w:tc>
      </w:tr>
    </w:tbl>
    <w:p>
      <w:pPr>
        <w:widowControl/>
        <w:numPr>
          <w:ilvl w:val="0"/>
          <w:numId w:val="19"/>
        </w:numPr>
        <w:adjustRightInd w:val="0"/>
        <w:snapToGrid w:val="0"/>
        <w:spacing w:line="560" w:lineRule="exact"/>
        <w:ind w:hanging="623" w:firstLineChars="0"/>
        <w:jc w:val="left"/>
        <w:rPr>
          <w:color w:val="auto"/>
        </w:rPr>
      </w:pPr>
      <w:r>
        <w:rPr>
          <w:rFonts w:hint="eastAsia" w:ascii="宋体" w:hAnsi="宋体" w:eastAsia="宋体" w:cs="宋体"/>
          <w:color w:val="auto"/>
        </w:rPr>
        <w:t>比较因素条件说明</w:t>
      </w:r>
    </w:p>
    <w:p>
      <w:pPr>
        <w:adjustRightInd w:val="0"/>
        <w:snapToGrid w:val="0"/>
        <w:spacing w:line="560" w:lineRule="exact"/>
        <w:ind w:firstLine="617" w:firstLineChars="245"/>
        <w:rPr>
          <w:color w:val="auto"/>
          <w:spacing w:val="6"/>
        </w:rPr>
      </w:pPr>
      <w:r>
        <w:rPr>
          <w:rFonts w:hint="eastAsia" w:ascii="宋体" w:hAnsi="宋体" w:eastAsia="宋体" w:cs="宋体"/>
          <w:color w:val="auto"/>
          <w:spacing w:val="6"/>
        </w:rPr>
        <w:t>根据评估对象与可比实例的比较因素，编制比较因素条件说明表：</w:t>
      </w:r>
    </w:p>
    <w:p>
      <w:pPr>
        <w:spacing w:line="560" w:lineRule="exact"/>
        <w:ind w:firstLine="3348" w:firstLineChars="1395"/>
        <w:rPr>
          <w:rFonts w:hint="eastAsia" w:ascii="宋体" w:hAnsi="宋体" w:eastAsia="宋体" w:cs="宋体"/>
          <w:color w:val="auto"/>
        </w:rPr>
      </w:pPr>
      <w:r>
        <w:rPr>
          <w:rFonts w:hint="eastAsia" w:ascii="宋体" w:hAnsi="宋体" w:eastAsia="宋体" w:cs="宋体"/>
          <w:color w:val="auto"/>
        </w:rPr>
        <w:t>比较因素条件说明表</w:t>
      </w:r>
    </w:p>
    <w:tbl>
      <w:tblPr>
        <w:tblStyle w:val="22"/>
        <w:tblW w:w="5000" w:type="pct"/>
        <w:jc w:val="center"/>
        <w:shd w:val="clear" w:color="auto" w:fill="auto"/>
        <w:tblLayout w:type="autofit"/>
        <w:tblCellMar>
          <w:top w:w="0" w:type="dxa"/>
          <w:left w:w="0" w:type="dxa"/>
          <w:bottom w:w="0" w:type="dxa"/>
          <w:right w:w="0" w:type="dxa"/>
        </w:tblCellMar>
      </w:tblPr>
      <w:tblGrid>
        <w:gridCol w:w="747"/>
        <w:gridCol w:w="747"/>
        <w:gridCol w:w="1727"/>
        <w:gridCol w:w="1723"/>
        <w:gridCol w:w="1431"/>
        <w:gridCol w:w="1529"/>
        <w:gridCol w:w="1340"/>
      </w:tblGrid>
      <w:tr>
        <w:tblPrEx>
          <w:shd w:val="clear" w:color="auto" w:fill="auto"/>
        </w:tblPrEx>
        <w:trPr>
          <w:trHeight w:val="225"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1、可比实例的可比因素比较及修正</w:t>
            </w:r>
          </w:p>
        </w:tc>
      </w:tr>
      <w:tr>
        <w:tblPrEx>
          <w:tblCellMar>
            <w:top w:w="0" w:type="dxa"/>
            <w:left w:w="0" w:type="dxa"/>
            <w:bottom w:w="0" w:type="dxa"/>
            <w:right w:w="0" w:type="dxa"/>
          </w:tblCellMar>
        </w:tblPrEx>
        <w:trPr>
          <w:trHeight w:val="90" w:hRule="atLeast"/>
          <w:jc w:val="center"/>
        </w:trPr>
        <w:tc>
          <w:tcPr>
            <w:tcW w:w="174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实例A</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w:t>
            </w:r>
            <w:r>
              <w:rPr>
                <w:rFonts w:hint="default" w:ascii="宋体" w:hAnsi="宋体" w:eastAsia="宋体" w:cs="宋体"/>
                <w:b/>
                <w:i w:val="0"/>
                <w:color w:val="auto"/>
                <w:kern w:val="0"/>
                <w:sz w:val="24"/>
                <w:szCs w:val="24"/>
                <w:u w:val="none"/>
                <w:lang w:val="en-US" w:eastAsia="zh-CN" w:bidi="ar"/>
              </w:rPr>
              <w:t>B</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w:t>
            </w:r>
            <w:r>
              <w:rPr>
                <w:rFonts w:hint="default" w:ascii="宋体" w:hAnsi="宋体" w:eastAsia="宋体" w:cs="宋体"/>
                <w:b/>
                <w:i w:val="0"/>
                <w:color w:val="auto"/>
                <w:kern w:val="0"/>
                <w:sz w:val="24"/>
                <w:szCs w:val="24"/>
                <w:u w:val="none"/>
                <w:lang w:val="en-US" w:eastAsia="zh-CN" w:bidi="ar"/>
              </w:rPr>
              <w:t>C</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委估对象</w:t>
            </w:r>
          </w:p>
        </w:tc>
      </w:tr>
      <w:tr>
        <w:tblPrEx>
          <w:tblCellMar>
            <w:top w:w="0" w:type="dxa"/>
            <w:left w:w="0" w:type="dxa"/>
            <w:bottom w:w="0" w:type="dxa"/>
            <w:right w:w="0" w:type="dxa"/>
          </w:tblCellMar>
        </w:tblPrEx>
        <w:trPr>
          <w:trHeight w:val="149"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物业基本信息</w:t>
            </w: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物业名称</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鹿鸣山庄商铺</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住宅底商</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梅苑路商铺</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东鑫酒店</w:t>
            </w:r>
          </w:p>
        </w:tc>
      </w:tr>
      <w:tr>
        <w:tblPrEx>
          <w:tblCellMar>
            <w:top w:w="0" w:type="dxa"/>
            <w:left w:w="0" w:type="dxa"/>
            <w:bottom w:w="0" w:type="dxa"/>
            <w:right w:w="0" w:type="dxa"/>
          </w:tblCellMar>
        </w:tblPrEx>
        <w:trPr>
          <w:trHeight w:val="164"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物业位置</w:t>
            </w:r>
          </w:p>
        </w:tc>
        <w:tc>
          <w:tcPr>
            <w:tcW w:w="932"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鹿鸣山庄</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鹿岭路</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梅苑路</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希望路</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成交单价（元/㎡）</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18400 </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17339 </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11364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待估</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信息来源</w:t>
            </w:r>
          </w:p>
        </w:tc>
        <w:tc>
          <w:tcPr>
            <w:tcW w:w="9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建筑面积（㎡）</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81.00</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41.81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44.00</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r>
      <w:tr>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交易情况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正常</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正常</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正常</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正常</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交易日期</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2019-11-1</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2019-11-8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2019-10-25</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225" w:hRule="atLeast"/>
          <w:jc w:val="center"/>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区域因素</w:t>
            </w: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城市规划限制</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基础设施状况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r>
      <w:tr>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道路通达度</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公交便捷度</w:t>
            </w:r>
          </w:p>
        </w:tc>
        <w:tc>
          <w:tcPr>
            <w:tcW w:w="9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较便捷</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公共设施完备程度</w:t>
            </w:r>
          </w:p>
        </w:tc>
        <w:tc>
          <w:tcPr>
            <w:tcW w:w="9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较完善</w:t>
            </w:r>
          </w:p>
        </w:tc>
      </w:tr>
      <w:tr>
        <w:tblPrEx>
          <w:tblCellMar>
            <w:top w:w="0" w:type="dxa"/>
            <w:left w:w="0" w:type="dxa"/>
            <w:bottom w:w="0" w:type="dxa"/>
            <w:right w:w="0" w:type="dxa"/>
          </w:tblCellMar>
        </w:tblPrEx>
        <w:trPr>
          <w:trHeight w:val="30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交通管制</w:t>
            </w:r>
          </w:p>
        </w:tc>
        <w:tc>
          <w:tcPr>
            <w:tcW w:w="9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8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104"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商业繁华度</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较繁华</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较繁华</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较繁华</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r>
      <w:tr>
        <w:tblPrEx>
          <w:tblCellMar>
            <w:top w:w="0" w:type="dxa"/>
            <w:left w:w="0" w:type="dxa"/>
            <w:bottom w:w="0" w:type="dxa"/>
            <w:right w:w="0" w:type="dxa"/>
          </w:tblCellMar>
        </w:tblPrEx>
        <w:trPr>
          <w:trHeight w:val="180" w:hRule="atLeast"/>
          <w:jc w:val="center"/>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人口密度及人流量</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较密集</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较密集</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较密集</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r>
      <w:tr>
        <w:trPr>
          <w:trHeight w:val="225" w:hRule="atLeast"/>
          <w:jc w:val="center"/>
        </w:trPr>
        <w:tc>
          <w:tcPr>
            <w:tcW w:w="404"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个别因素</w:t>
            </w: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成新程度</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较新</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较新</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较新</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建筑结构</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框架</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框架</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砖混</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砖混</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土地性质</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集体划拨</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装修</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墙砖</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墙砖</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墙砖</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墙砖</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室内装修标准</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毛坯</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不计</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维护保养</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配套设施</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上、下水</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通讯</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智能网络</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防盗设施</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中央空调</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消防设施</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电梯</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车位</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临街状况</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一面临街</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一面临街</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一面临街</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一面临街</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进深宽度比</w:t>
            </w:r>
          </w:p>
        </w:tc>
        <w:tc>
          <w:tcPr>
            <w:tcW w:w="9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平面布置</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工程质量</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较好</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所在楼层</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CellMar>
            <w:top w:w="0" w:type="dxa"/>
            <w:left w:w="0" w:type="dxa"/>
            <w:bottom w:w="0" w:type="dxa"/>
            <w:right w:w="0" w:type="dxa"/>
          </w:tblCellMar>
        </w:tblPrEx>
        <w:trPr>
          <w:trHeight w:val="225"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层高（m）</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r>
      <w:tr>
        <w:tblPrEx>
          <w:tblCellMar>
            <w:top w:w="0" w:type="dxa"/>
            <w:left w:w="0" w:type="dxa"/>
            <w:bottom w:w="0" w:type="dxa"/>
            <w:right w:w="0" w:type="dxa"/>
          </w:tblCellMar>
        </w:tblPrEx>
        <w:trPr>
          <w:trHeight w:val="240" w:hRule="atLeast"/>
          <w:jc w:val="center"/>
        </w:trPr>
        <w:tc>
          <w:tcPr>
            <w:tcW w:w="404"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p>
        </w:tc>
        <w:tc>
          <w:tcPr>
            <w:tcW w:w="9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bl>
    <w:p>
      <w:pPr>
        <w:widowControl/>
        <w:numPr>
          <w:ilvl w:val="0"/>
          <w:numId w:val="19"/>
        </w:numPr>
        <w:adjustRightInd w:val="0"/>
        <w:snapToGrid w:val="0"/>
        <w:spacing w:line="560" w:lineRule="exact"/>
        <w:ind w:hanging="623" w:firstLineChars="0"/>
        <w:jc w:val="left"/>
        <w:rPr>
          <w:rFonts w:ascii="宋体" w:hAnsi="宋体" w:eastAsia="宋体" w:cs="宋体"/>
          <w:color w:val="auto"/>
          <w:highlight w:val="none"/>
        </w:rPr>
      </w:pPr>
      <w:r>
        <w:rPr>
          <w:rFonts w:hint="eastAsia" w:ascii="宋体" w:hAnsi="宋体" w:eastAsia="宋体" w:cs="宋体"/>
          <w:color w:val="auto"/>
          <w:highlight w:val="none"/>
        </w:rPr>
        <w:t>确定比较因素条件指数</w:t>
      </w:r>
    </w:p>
    <w:p>
      <w:pPr>
        <w:spacing w:line="560" w:lineRule="exact"/>
        <w:ind w:firstLine="480"/>
        <w:rPr>
          <w:color w:val="auto"/>
        </w:rPr>
      </w:pPr>
      <w:r>
        <w:rPr>
          <w:rFonts w:hint="eastAsia" w:ascii="宋体" w:hAnsi="宋体" w:eastAsia="宋体" w:cs="宋体"/>
          <w:color w:val="auto"/>
        </w:rPr>
        <w:t>①交易情况</w:t>
      </w:r>
    </w:p>
    <w:p>
      <w:pPr>
        <w:adjustRightInd w:val="0"/>
        <w:snapToGrid w:val="0"/>
        <w:spacing w:line="560" w:lineRule="exact"/>
        <w:ind w:left="0" w:leftChars="0" w:firstLine="504" w:firstLineChars="200"/>
        <w:rPr>
          <w:color w:val="auto"/>
          <w:spacing w:val="6"/>
        </w:rPr>
      </w:pPr>
      <w:r>
        <w:rPr>
          <w:rFonts w:hint="eastAsia" w:ascii="宋体" w:hAnsi="宋体" w:eastAsia="宋体" w:cs="宋体"/>
          <w:color w:val="auto"/>
          <w:spacing w:val="6"/>
        </w:rPr>
        <w:t>评估对象与三个比较实例均为正常情况下的房地产交易，因此，确定评估对象和交易实例</w:t>
      </w:r>
      <w:r>
        <w:rPr>
          <w:rFonts w:hint="eastAsia"/>
          <w:color w:val="auto"/>
          <w:spacing w:val="6"/>
        </w:rPr>
        <w:t>A</w:t>
      </w:r>
      <w:r>
        <w:rPr>
          <w:rFonts w:hint="eastAsia" w:ascii="宋体" w:hAnsi="宋体" w:eastAsia="宋体" w:cs="宋体"/>
          <w:color w:val="auto"/>
          <w:spacing w:val="6"/>
        </w:rPr>
        <w:t>、</w:t>
      </w:r>
      <w:r>
        <w:rPr>
          <w:rFonts w:hint="eastAsia"/>
          <w:color w:val="auto"/>
          <w:spacing w:val="6"/>
        </w:rPr>
        <w:t>B</w:t>
      </w:r>
      <w:r>
        <w:rPr>
          <w:rFonts w:hint="eastAsia" w:ascii="宋体" w:hAnsi="宋体" w:eastAsia="宋体" w:cs="宋体"/>
          <w:color w:val="auto"/>
          <w:spacing w:val="6"/>
        </w:rPr>
        <w:t>、</w:t>
      </w:r>
      <w:r>
        <w:rPr>
          <w:rFonts w:hint="eastAsia"/>
          <w:color w:val="auto"/>
          <w:spacing w:val="6"/>
        </w:rPr>
        <w:t>C</w:t>
      </w:r>
      <w:r>
        <w:rPr>
          <w:rFonts w:hint="eastAsia" w:ascii="宋体" w:hAnsi="宋体" w:eastAsia="宋体" w:cs="宋体"/>
          <w:color w:val="auto"/>
          <w:spacing w:val="6"/>
        </w:rPr>
        <w:t>的交易情况条件指数均为</w:t>
      </w:r>
      <w:r>
        <w:rPr>
          <w:rFonts w:hint="eastAsia"/>
          <w:color w:val="auto"/>
          <w:spacing w:val="6"/>
        </w:rPr>
        <w:t>100</w:t>
      </w:r>
      <w:r>
        <w:rPr>
          <w:rFonts w:hint="eastAsia" w:ascii="宋体" w:hAnsi="宋体" w:eastAsia="宋体" w:cs="宋体"/>
          <w:color w:val="auto"/>
          <w:spacing w:val="6"/>
        </w:rPr>
        <w:t>。</w:t>
      </w:r>
    </w:p>
    <w:p>
      <w:pPr>
        <w:spacing w:line="560" w:lineRule="exact"/>
        <w:ind w:firstLine="480"/>
        <w:rPr>
          <w:color w:val="auto"/>
        </w:rPr>
      </w:pPr>
      <w:r>
        <w:rPr>
          <w:rFonts w:hint="eastAsia" w:ascii="宋体" w:hAnsi="宋体" w:eastAsia="宋体" w:cs="宋体"/>
          <w:color w:val="auto"/>
        </w:rPr>
        <w:t>②交易日期</w:t>
      </w:r>
    </w:p>
    <w:p>
      <w:pPr>
        <w:adjustRightInd w:val="0"/>
        <w:snapToGrid w:val="0"/>
        <w:spacing w:line="560" w:lineRule="exact"/>
        <w:ind w:firstLine="617" w:firstLineChars="245"/>
        <w:rPr>
          <w:color w:val="auto"/>
          <w:spacing w:val="6"/>
        </w:rPr>
      </w:pPr>
      <w:r>
        <w:rPr>
          <w:rFonts w:hint="eastAsia" w:ascii="宋体" w:hAnsi="宋体" w:eastAsia="宋体" w:cs="宋体"/>
          <w:color w:val="auto"/>
          <w:spacing w:val="6"/>
        </w:rPr>
        <w:t>三个比较实例的交易时间分别为</w:t>
      </w:r>
      <w:r>
        <w:rPr>
          <w:rFonts w:hint="eastAsia"/>
          <w:color w:val="auto"/>
          <w:spacing w:val="6"/>
        </w:rPr>
        <w:t>2019-11-1</w:t>
      </w:r>
      <w:r>
        <w:rPr>
          <w:rFonts w:hint="eastAsia" w:eastAsia="宋体"/>
          <w:color w:val="auto"/>
          <w:spacing w:val="6"/>
          <w:lang w:eastAsia="zh-CN"/>
        </w:rPr>
        <w:t>、</w:t>
      </w:r>
      <w:r>
        <w:rPr>
          <w:rFonts w:hint="eastAsia"/>
          <w:color w:val="auto"/>
          <w:spacing w:val="6"/>
        </w:rPr>
        <w:t>2019-11-8</w:t>
      </w:r>
      <w:r>
        <w:rPr>
          <w:rFonts w:hint="eastAsia" w:eastAsia="宋体"/>
          <w:color w:val="auto"/>
          <w:spacing w:val="6"/>
          <w:lang w:eastAsia="zh-CN"/>
        </w:rPr>
        <w:t>、</w:t>
      </w:r>
      <w:r>
        <w:rPr>
          <w:rFonts w:hint="eastAsia"/>
          <w:color w:val="auto"/>
          <w:spacing w:val="6"/>
        </w:rPr>
        <w:t>2019-10-25</w:t>
      </w:r>
      <w:r>
        <w:rPr>
          <w:rFonts w:hint="eastAsia" w:ascii="宋体" w:hAnsi="宋体" w:eastAsia="宋体" w:cs="宋体"/>
          <w:color w:val="auto"/>
          <w:spacing w:val="6"/>
        </w:rPr>
        <w:t>，与评估基准日</w:t>
      </w:r>
      <w:r>
        <w:rPr>
          <w:rFonts w:hint="eastAsia"/>
          <w:color w:val="auto"/>
          <w:spacing w:val="6"/>
        </w:rPr>
        <w:t>201</w:t>
      </w:r>
      <w:r>
        <w:rPr>
          <w:rFonts w:hint="eastAsia" w:eastAsia="宋体"/>
          <w:color w:val="auto"/>
          <w:spacing w:val="6"/>
          <w:lang w:val="en-US" w:eastAsia="zh-CN"/>
        </w:rPr>
        <w:t>9</w:t>
      </w:r>
      <w:r>
        <w:rPr>
          <w:rFonts w:hint="eastAsia" w:ascii="宋体" w:hAnsi="宋体" w:eastAsia="宋体" w:cs="宋体"/>
          <w:color w:val="auto"/>
          <w:spacing w:val="6"/>
        </w:rPr>
        <w:t>年</w:t>
      </w:r>
      <w:r>
        <w:rPr>
          <w:rFonts w:hint="eastAsia" w:eastAsia="宋体"/>
          <w:color w:val="auto"/>
          <w:spacing w:val="6"/>
          <w:lang w:val="en-US" w:eastAsia="zh-CN"/>
        </w:rPr>
        <w:t>11</w:t>
      </w:r>
      <w:r>
        <w:rPr>
          <w:rFonts w:hint="eastAsia" w:ascii="宋体" w:hAnsi="宋体" w:eastAsia="宋体" w:cs="宋体"/>
          <w:color w:val="auto"/>
          <w:spacing w:val="6"/>
        </w:rPr>
        <w:t>月相近，因此不予修正。</w:t>
      </w:r>
    </w:p>
    <w:p>
      <w:pPr>
        <w:spacing w:line="560" w:lineRule="exact"/>
        <w:ind w:firstLine="480"/>
        <w:rPr>
          <w:color w:val="auto"/>
        </w:rPr>
      </w:pPr>
      <w:r>
        <w:rPr>
          <w:rFonts w:hint="eastAsia" w:ascii="宋体" w:hAnsi="宋体" w:eastAsia="宋体" w:cs="宋体"/>
          <w:color w:val="auto"/>
        </w:rPr>
        <w:t>③区域因素</w:t>
      </w:r>
    </w:p>
    <w:p>
      <w:pPr>
        <w:widowControl/>
        <w:numPr>
          <w:ilvl w:val="0"/>
          <w:numId w:val="20"/>
        </w:numPr>
        <w:tabs>
          <w:tab w:val="left" w:pos="993"/>
        </w:tabs>
        <w:spacing w:line="560" w:lineRule="exact"/>
        <w:ind w:left="851" w:hanging="284" w:firstLineChars="0"/>
        <w:jc w:val="left"/>
        <w:rPr>
          <w:rFonts w:hint="eastAsia" w:ascii="宋体" w:hAnsi="宋体" w:eastAsia="宋体" w:cs="宋体"/>
          <w:color w:val="auto"/>
        </w:rPr>
      </w:pPr>
      <w:r>
        <w:rPr>
          <w:rFonts w:hint="eastAsia" w:ascii="宋体" w:hAnsi="宋体" w:eastAsia="宋体" w:cs="宋体"/>
          <w:color w:val="auto"/>
        </w:rPr>
        <w:t>区位状况</w:t>
      </w:r>
    </w:p>
    <w:p>
      <w:pPr>
        <w:widowControl/>
        <w:numPr>
          <w:ilvl w:val="0"/>
          <w:numId w:val="21"/>
        </w:numPr>
        <w:tabs>
          <w:tab w:val="left" w:pos="709"/>
          <w:tab w:val="clear" w:pos="3023"/>
        </w:tabs>
        <w:spacing w:line="560" w:lineRule="exact"/>
        <w:ind w:left="0" w:firstLine="480" w:firstLineChars="0"/>
        <w:jc w:val="left"/>
        <w:rPr>
          <w:color w:val="auto"/>
        </w:rPr>
      </w:pPr>
      <w:r>
        <w:rPr>
          <w:rFonts w:hint="eastAsia" w:ascii="宋体" w:hAnsi="宋体" w:eastAsia="宋体" w:cs="宋体"/>
          <w:color w:val="auto"/>
        </w:rPr>
        <w:t>城市规划限制：根据评估对象所在区城市规划情况，分为有限制、有一般性限制、无限制三个等级，以评估对象为</w:t>
      </w:r>
      <w:r>
        <w:rPr>
          <w:rFonts w:hint="eastAsia" w:ascii="宋体" w:hAnsi="宋体" w:eastAsia="宋体" w:cs="宋体"/>
          <w:color w:val="auto"/>
          <w:lang w:val="en-US" w:eastAsia="zh-CN"/>
        </w:rPr>
        <w:t xml:space="preserve"> </w:t>
      </w:r>
      <w:r>
        <w:rPr>
          <w:rFonts w:hint="eastAsia"/>
          <w:color w:val="auto"/>
        </w:rPr>
        <w:t>100</w:t>
      </w:r>
      <w:r>
        <w:rPr>
          <w:rFonts w:hint="eastAsia" w:ascii="宋体" w:hAnsi="宋体" w:eastAsia="宋体" w:cs="宋体"/>
          <w:color w:val="auto"/>
        </w:rPr>
        <w:t>，每上升或下降一个等级，指数向上或向下修正</w:t>
      </w:r>
      <w:r>
        <w:rPr>
          <w:rFonts w:hint="eastAsia"/>
          <w:color w:val="auto"/>
        </w:rPr>
        <w:t>5</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基础设施状况：根据评估对象所在区域基础设施完备情况，分为完善、较完善、不完善三个等级，以评估对象为100，每上升或下降一个等级，指数向上或向下修正5。</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道路通达度：根据评估对象所在区域道路通达情况，分为好、较好、一般、低四个等级，以评估对象为100，每上升或下降一个等级，指数向上或向下修正5。</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公交便捷度：根据评估对象所在区域路网密度、路面宽度、道路质量、及道路畅通程度、公交路线多少，距离车站距离等情况，分为便捷、较便捷、不便捷三个等级，以评估对象为100，每上升或下降一个等级，指数向上或向下修正</w:t>
      </w:r>
      <w:r>
        <w:rPr>
          <w:rFonts w:hint="eastAsia" w:ascii="宋体" w:hAnsi="宋体" w:eastAsia="宋体" w:cs="宋体"/>
          <w:color w:val="auto"/>
          <w:lang w:val="en-US" w:eastAsia="zh-CN"/>
        </w:rPr>
        <w:t>5</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公共设施完备程度：根据评估对象所在区域公共设施完备情况，分为完善、较完善、一般、不完善四个等级，以评估对象为100，每上升或下降一个等级，指数向上或向下修正5。</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交通管制：根据评估对象所在区域交通管制情况，分为有限制、有一般性限制、无限制三个等级，以评估对象为100，每上升或下降一个等级，指数向上或向下修正5。</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商业繁华度：</w:t>
      </w:r>
      <w:bookmarkStart w:id="35" w:name="_Hlk498091711"/>
      <w:r>
        <w:rPr>
          <w:rFonts w:hint="eastAsia" w:ascii="宋体" w:hAnsi="宋体" w:eastAsia="宋体" w:cs="宋体"/>
          <w:color w:val="auto"/>
        </w:rPr>
        <w:t>根据评估对象所在区域商业繁华程度，分为萧条、一般、较繁华、繁华四个等级，以评对象为100，每上升或下降一个等级，指数向上或向下修正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rPr>
        <w:t>。</w:t>
      </w:r>
    </w:p>
    <w:bookmarkEnd w:id="35"/>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人口密度及人流量：根据评估对象所在区域人口聚集程度，分为稀疏、一般、较密集、密级四个等级，以评对象为100，每上升或下降一个等级，指数向上或向下修正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rPr>
        <w:t>。</w:t>
      </w:r>
    </w:p>
    <w:p>
      <w:pPr>
        <w:widowControl/>
        <w:numPr>
          <w:ilvl w:val="0"/>
          <w:numId w:val="20"/>
        </w:numPr>
        <w:tabs>
          <w:tab w:val="left" w:pos="993"/>
        </w:tabs>
        <w:spacing w:line="560" w:lineRule="exact"/>
        <w:ind w:left="851" w:hanging="284" w:firstLineChars="0"/>
        <w:jc w:val="left"/>
        <w:rPr>
          <w:color w:val="auto"/>
        </w:rPr>
      </w:pPr>
      <w:r>
        <w:rPr>
          <w:rFonts w:hint="eastAsia" w:ascii="宋体" w:hAnsi="宋体" w:eastAsia="宋体" w:cs="宋体"/>
          <w:color w:val="auto"/>
        </w:rPr>
        <w:t>个别因素</w:t>
      </w:r>
    </w:p>
    <w:p>
      <w:pPr>
        <w:spacing w:line="560" w:lineRule="exact"/>
        <w:ind w:firstLine="480"/>
        <w:rPr>
          <w:color w:val="auto"/>
        </w:rPr>
      </w:pPr>
      <w:r>
        <w:rPr>
          <w:rFonts w:hint="eastAsia" w:ascii="宋体" w:hAnsi="宋体" w:eastAsia="宋体" w:cs="宋体"/>
          <w:color w:val="auto"/>
        </w:rPr>
        <w:t>个别因素选择</w:t>
      </w:r>
      <w:r>
        <w:rPr>
          <w:rFonts w:hint="eastAsia" w:ascii="宋体" w:hAnsi="宋体" w:eastAsia="宋体" w:cs="宋体"/>
          <w:color w:val="auto"/>
          <w:lang w:eastAsia="zh-CN"/>
        </w:rPr>
        <w:t>成新程度</w:t>
      </w:r>
      <w:r>
        <w:rPr>
          <w:rFonts w:hint="eastAsia" w:ascii="宋体" w:hAnsi="宋体" w:eastAsia="宋体" w:cs="宋体"/>
          <w:color w:val="auto"/>
        </w:rPr>
        <w:t>、建筑结构、</w:t>
      </w:r>
      <w:r>
        <w:rPr>
          <w:rFonts w:hint="eastAsia" w:ascii="宋体" w:hAnsi="宋体" w:eastAsia="宋体" w:cs="宋体"/>
          <w:color w:val="auto"/>
          <w:lang w:eastAsia="zh-CN"/>
        </w:rPr>
        <w:t>土地性质、</w:t>
      </w:r>
      <w:r>
        <w:rPr>
          <w:rFonts w:hint="eastAsia" w:ascii="宋体" w:hAnsi="宋体" w:eastAsia="宋体" w:cs="宋体"/>
          <w:color w:val="auto"/>
        </w:rPr>
        <w:t>装修、配套设施、商业口岸、临街状况、临街宽度与进深比、平面布置、工程质量、所在楼层、面积。</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lang w:eastAsia="zh-CN"/>
        </w:rPr>
        <w:t>成新程度：成新程度根据实际情况可分为新、较新、一般、较旧、陈旧五个等级，每相差一个等级指数向上或向下修正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lang w:eastAsia="zh-CN"/>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建筑结构：</w:t>
      </w:r>
      <w:r>
        <w:rPr>
          <w:rFonts w:hint="eastAsia" w:ascii="宋体" w:hAnsi="宋体" w:eastAsia="宋体" w:cs="宋体"/>
          <w:color w:val="auto"/>
          <w:lang w:eastAsia="zh-CN"/>
        </w:rPr>
        <w:t>建筑结构可分为框架（钢混）、砖混、砖木等三个等级，每相差一个等级指数向上或向下修正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lang w:eastAsia="zh-CN"/>
        </w:rPr>
        <w:t>土地性质：土地性质可分为出让用地和划拨用地两种，本次评估对象所占用的土地为集体划拨用地，区别于出让用地，综合考虑指数向下调整</w:t>
      </w:r>
      <w:r>
        <w:rPr>
          <w:rFonts w:hint="eastAsia" w:ascii="宋体" w:hAnsi="宋体" w:eastAsia="宋体" w:cs="宋体"/>
          <w:color w:val="auto"/>
          <w:lang w:val="en-US" w:eastAsia="zh-CN"/>
        </w:rPr>
        <w:t>10。</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装修：具体分为外墙、室内装修标准、公共区域三项，根据评估对象与可比实例的差异进行修正，外墙、公共区域相近，因此不予修正，装修标准不同，分为毛坯、普通、中等装修、高档装修4个级别，指数每增加或减少一个级别，系数向上或向下修正5。</w:t>
      </w:r>
      <w:r>
        <w:rPr>
          <w:rFonts w:hint="eastAsia" w:ascii="宋体" w:hAnsi="宋体" w:eastAsia="宋体" w:cs="宋体"/>
          <w:color w:val="auto"/>
          <w:lang w:eastAsia="zh-CN"/>
        </w:rPr>
        <w:t>本次评估对象装修部分另算，因此该因素在修正表中暂不修正。</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配套设施：具体分为上下水、电源、通讯、智能网络、防盗设施、中央空调、消防设施、自动扶梯、车位九项；根据评估对象与可比实例的差异进行修正，上下水、电源、通讯、智能网络、防盗设施、消防设施、电梯、车位、中央空调配套设施情况</w:t>
      </w:r>
      <w:r>
        <w:rPr>
          <w:rFonts w:hint="eastAsia" w:ascii="宋体" w:hAnsi="宋体" w:eastAsia="宋体" w:cs="宋体"/>
          <w:color w:val="auto"/>
          <w:lang w:eastAsia="zh-CN"/>
        </w:rPr>
        <w:t>分为有何无</w:t>
      </w:r>
      <w:r>
        <w:rPr>
          <w:rFonts w:hint="eastAsia" w:ascii="宋体" w:hAnsi="宋体" w:eastAsia="宋体" w:cs="宋体"/>
          <w:color w:val="auto"/>
        </w:rPr>
        <w:t>，</w:t>
      </w:r>
      <w:r>
        <w:rPr>
          <w:rFonts w:hint="eastAsia" w:ascii="宋体" w:hAnsi="宋体" w:eastAsia="宋体" w:cs="宋体"/>
          <w:color w:val="auto"/>
          <w:lang w:eastAsia="zh-CN"/>
        </w:rPr>
        <w:t>情况不同则指数向上或向下修正</w:t>
      </w:r>
      <w:r>
        <w:rPr>
          <w:rFonts w:hint="eastAsia" w:ascii="宋体" w:hAnsi="宋体" w:eastAsia="宋体" w:cs="宋体"/>
          <w:color w:val="auto"/>
          <w:lang w:val="en-US" w:eastAsia="zh-CN"/>
        </w:rPr>
        <w:t>1</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lang w:eastAsia="zh-CN"/>
        </w:rPr>
        <w:t>临街状况</w:t>
      </w:r>
      <w:r>
        <w:rPr>
          <w:rFonts w:hint="eastAsia" w:ascii="宋体" w:hAnsi="宋体" w:eastAsia="宋体" w:cs="宋体"/>
          <w:color w:val="auto"/>
        </w:rPr>
        <w:t>：</w:t>
      </w:r>
      <w:r>
        <w:rPr>
          <w:rFonts w:hint="eastAsia"/>
          <w:snapToGrid w:val="0"/>
          <w:color w:val="auto"/>
        </w:rPr>
        <w:t>根据临街实际情况，</w:t>
      </w:r>
      <w:r>
        <w:rPr>
          <w:rFonts w:hint="eastAsia" w:eastAsia="宋体"/>
          <w:snapToGrid w:val="0"/>
          <w:color w:val="auto"/>
          <w:lang w:eastAsia="zh-CN"/>
        </w:rPr>
        <w:t>可分为三面临街、两面临街、一面临街、不临街四个</w:t>
      </w:r>
      <w:r>
        <w:rPr>
          <w:rFonts w:hint="eastAsia"/>
          <w:snapToGrid w:val="0"/>
          <w:color w:val="auto"/>
        </w:rPr>
        <w:t>等级，以评估对象为</w:t>
      </w:r>
      <w:r>
        <w:rPr>
          <w:snapToGrid w:val="0"/>
          <w:color w:val="auto"/>
        </w:rPr>
        <w:t>100</w:t>
      </w:r>
      <w:r>
        <w:rPr>
          <w:rFonts w:hint="eastAsia"/>
          <w:snapToGrid w:val="0"/>
          <w:color w:val="auto"/>
        </w:rPr>
        <w:t>，每上升或下降一个等级，指数向上或向下修正</w:t>
      </w:r>
      <w:r>
        <w:rPr>
          <w:rFonts w:hint="eastAsia" w:eastAsia="宋体"/>
          <w:snapToGrid w:val="0"/>
          <w:color w:val="auto"/>
          <w:lang w:val="en-US" w:eastAsia="zh-CN"/>
        </w:rPr>
        <w:t>2</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lang w:eastAsia="zh-CN"/>
        </w:rPr>
        <w:t>进深宽比度</w:t>
      </w:r>
      <w:r>
        <w:rPr>
          <w:rFonts w:hint="eastAsia" w:ascii="宋体" w:hAnsi="宋体" w:eastAsia="宋体" w:cs="宋体"/>
          <w:color w:val="auto"/>
        </w:rPr>
        <w:t>：</w:t>
      </w:r>
      <w:r>
        <w:rPr>
          <w:rFonts w:hint="eastAsia"/>
          <w:snapToGrid w:val="0"/>
          <w:color w:val="auto"/>
        </w:rPr>
        <w:t>根据评估对象实际情况，按照商铺的进深与开间大小，分为好、较好、一般、</w:t>
      </w:r>
      <w:r>
        <w:rPr>
          <w:rFonts w:hint="eastAsia" w:eastAsia="宋体"/>
          <w:snapToGrid w:val="0"/>
          <w:color w:val="auto"/>
          <w:lang w:eastAsia="zh-CN"/>
        </w:rPr>
        <w:t>差</w:t>
      </w:r>
      <w:r>
        <w:rPr>
          <w:rFonts w:hint="eastAsia"/>
          <w:snapToGrid w:val="0"/>
          <w:color w:val="auto"/>
        </w:rPr>
        <w:t>四个等级，以评估对象为</w:t>
      </w:r>
      <w:r>
        <w:rPr>
          <w:snapToGrid w:val="0"/>
          <w:color w:val="auto"/>
        </w:rPr>
        <w:t>100</w:t>
      </w:r>
      <w:r>
        <w:rPr>
          <w:rFonts w:hint="eastAsia"/>
          <w:snapToGrid w:val="0"/>
          <w:color w:val="auto"/>
        </w:rPr>
        <w:t>，每上升或下降一个等级，指数向上或向下修正</w:t>
      </w:r>
      <w:r>
        <w:rPr>
          <w:rFonts w:hint="eastAsia"/>
          <w:snapToGrid w:val="0"/>
          <w:color w:val="auto"/>
          <w:lang w:val="en-US" w:eastAsia="zh-CN"/>
        </w:rPr>
        <w:t>3。</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平面布置：根据商铺平面布置情况，分为</w:t>
      </w:r>
      <w:r>
        <w:rPr>
          <w:rFonts w:hint="eastAsia" w:ascii="宋体" w:hAnsi="宋体" w:eastAsia="宋体" w:cs="宋体"/>
          <w:color w:val="auto"/>
          <w:lang w:eastAsia="zh-CN"/>
        </w:rPr>
        <w:t>好</w:t>
      </w:r>
      <w:r>
        <w:rPr>
          <w:rFonts w:hint="eastAsia" w:ascii="宋体" w:hAnsi="宋体" w:eastAsia="宋体" w:cs="宋体"/>
          <w:color w:val="auto"/>
        </w:rPr>
        <w:t>、较</w:t>
      </w:r>
      <w:r>
        <w:rPr>
          <w:rFonts w:hint="eastAsia" w:ascii="宋体" w:hAnsi="宋体" w:eastAsia="宋体" w:cs="宋体"/>
          <w:color w:val="auto"/>
          <w:lang w:eastAsia="zh-CN"/>
        </w:rPr>
        <w:t>好</w:t>
      </w:r>
      <w:r>
        <w:rPr>
          <w:rFonts w:hint="eastAsia" w:ascii="宋体" w:hAnsi="宋体" w:eastAsia="宋体" w:cs="宋体"/>
          <w:color w:val="auto"/>
        </w:rPr>
        <w:t>、一般、差</w:t>
      </w:r>
      <w:r>
        <w:rPr>
          <w:rFonts w:hint="eastAsia" w:ascii="宋体" w:hAnsi="宋体" w:eastAsia="宋体" w:cs="宋体"/>
          <w:color w:val="auto"/>
          <w:lang w:eastAsia="zh-CN"/>
        </w:rPr>
        <w:t>四</w:t>
      </w:r>
      <w:r>
        <w:rPr>
          <w:rFonts w:hint="eastAsia" w:ascii="宋体" w:hAnsi="宋体" w:eastAsia="宋体" w:cs="宋体"/>
          <w:color w:val="auto"/>
        </w:rPr>
        <w:t>个等级，以评估对象为100，每上升或下降一个等级，指数向上或向下修正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工程质量：根据评估对象实际情况，按照评估对象的施工质量，分为好、较好、一般、</w:t>
      </w:r>
      <w:r>
        <w:rPr>
          <w:rFonts w:hint="eastAsia" w:ascii="宋体" w:hAnsi="宋体" w:eastAsia="宋体" w:cs="宋体"/>
          <w:color w:val="auto"/>
          <w:lang w:eastAsia="zh-CN"/>
        </w:rPr>
        <w:t>差</w:t>
      </w:r>
      <w:r>
        <w:rPr>
          <w:rFonts w:hint="eastAsia" w:ascii="宋体" w:hAnsi="宋体" w:eastAsia="宋体" w:cs="宋体"/>
          <w:color w:val="auto"/>
        </w:rPr>
        <w:t>四个等级，以评估对象为100，每上升或下降一个等级，指数向上或向下修正</w:t>
      </w:r>
      <w:r>
        <w:rPr>
          <w:rFonts w:hint="eastAsia" w:ascii="宋体" w:hAnsi="宋体" w:eastAsia="宋体" w:cs="宋体"/>
          <w:color w:val="auto"/>
          <w:lang w:val="en-US" w:eastAsia="zh-CN"/>
        </w:rPr>
        <w:t>3</w:t>
      </w:r>
      <w:r>
        <w:rPr>
          <w:rFonts w:hint="eastAsia" w:ascii="宋体" w:hAnsi="宋体" w:eastAsia="宋体" w:cs="宋体"/>
          <w:color w:val="auto"/>
        </w:rPr>
        <w:t>。</w:t>
      </w:r>
    </w:p>
    <w:p>
      <w:pPr>
        <w:widowControl/>
        <w:numPr>
          <w:ilvl w:val="0"/>
          <w:numId w:val="21"/>
        </w:numPr>
        <w:tabs>
          <w:tab w:val="left" w:pos="709"/>
          <w:tab w:val="clear" w:pos="3023"/>
        </w:tabs>
        <w:spacing w:line="560" w:lineRule="exact"/>
        <w:ind w:left="0" w:firstLine="480" w:firstLineChars="0"/>
        <w:jc w:val="left"/>
        <w:rPr>
          <w:rFonts w:ascii="宋体" w:hAnsi="宋体" w:eastAsia="宋体" w:cs="宋体"/>
          <w:color w:val="auto"/>
        </w:rPr>
      </w:pPr>
      <w:r>
        <w:rPr>
          <w:rFonts w:hint="eastAsia" w:ascii="宋体" w:hAnsi="宋体" w:eastAsia="宋体" w:cs="宋体"/>
          <w:color w:val="auto"/>
        </w:rPr>
        <w:t>所在楼层：按照不同楼层进行修正，可比实例所在楼层均为一层，与评估对象相同，因此不予修正。</w:t>
      </w:r>
    </w:p>
    <w:p>
      <w:pPr>
        <w:numPr>
          <w:ilvl w:val="0"/>
          <w:numId w:val="22"/>
        </w:numPr>
        <w:tabs>
          <w:tab w:val="left" w:pos="851"/>
          <w:tab w:val="clear" w:pos="3023"/>
        </w:tabs>
        <w:spacing w:line="560" w:lineRule="exact"/>
        <w:ind w:left="0" w:firstLine="567"/>
        <w:rPr>
          <w:rFonts w:ascii="宋体" w:hAnsi="宋体" w:eastAsia="宋体" w:cs="宋体"/>
          <w:color w:val="auto"/>
        </w:rPr>
      </w:pPr>
      <w:r>
        <w:rPr>
          <w:rFonts w:hint="eastAsia"/>
          <w:snapToGrid w:val="0"/>
          <w:color w:val="auto"/>
        </w:rPr>
        <w:t>层高（</w:t>
      </w:r>
      <w:r>
        <w:rPr>
          <w:snapToGrid w:val="0"/>
          <w:color w:val="auto"/>
        </w:rPr>
        <w:t>m）</w:t>
      </w:r>
      <w:r>
        <w:rPr>
          <w:rFonts w:hint="eastAsia"/>
          <w:snapToGrid w:val="0"/>
          <w:color w:val="auto"/>
        </w:rPr>
        <w:t>：根据评估对象实际情况，每增加或者减少0.5米，指数向上或者向下修正</w:t>
      </w:r>
      <w:r>
        <w:rPr>
          <w:rFonts w:hint="eastAsia"/>
          <w:snapToGrid w:val="0"/>
          <w:color w:val="auto"/>
          <w:lang w:val="en-US" w:eastAsia="zh-CN"/>
        </w:rPr>
        <w:t>1。</w:t>
      </w:r>
    </w:p>
    <w:p>
      <w:pPr>
        <w:numPr>
          <w:ilvl w:val="0"/>
          <w:numId w:val="22"/>
        </w:numPr>
        <w:tabs>
          <w:tab w:val="left" w:pos="851"/>
          <w:tab w:val="clear" w:pos="3023"/>
        </w:tabs>
        <w:spacing w:line="560" w:lineRule="exact"/>
        <w:ind w:left="0" w:firstLine="567"/>
        <w:rPr>
          <w:rFonts w:ascii="宋体" w:hAnsi="宋体" w:eastAsia="宋体" w:cs="宋体"/>
          <w:color w:val="auto"/>
        </w:rPr>
      </w:pPr>
      <w:r>
        <w:rPr>
          <w:rFonts w:hint="eastAsia" w:ascii="宋体" w:hAnsi="宋体" w:eastAsia="宋体" w:cs="宋体"/>
          <w:color w:val="auto"/>
        </w:rPr>
        <w:t>建筑面积(㎡)：</w:t>
      </w:r>
      <w:r>
        <w:rPr>
          <w:rFonts w:hint="eastAsia"/>
          <w:snapToGrid w:val="0"/>
          <w:color w:val="auto"/>
        </w:rPr>
        <w:t>根据评估对象实际情况，每增加或者减少</w:t>
      </w:r>
      <w:r>
        <w:rPr>
          <w:rFonts w:hint="eastAsia"/>
          <w:snapToGrid w:val="0"/>
          <w:color w:val="auto"/>
          <w:lang w:val="en-US" w:eastAsia="zh-CN"/>
        </w:rPr>
        <w:t>15</w:t>
      </w:r>
      <w:r>
        <w:rPr>
          <w:rFonts w:hint="eastAsia"/>
          <w:snapToGrid w:val="0"/>
          <w:color w:val="auto"/>
        </w:rPr>
        <w:t>平方米，指数向上或者向下修正</w:t>
      </w:r>
      <w:r>
        <w:rPr>
          <w:rFonts w:hint="eastAsia" w:eastAsia="宋体"/>
          <w:snapToGrid w:val="0"/>
          <w:color w:val="auto"/>
          <w:lang w:val="en-US" w:eastAsia="zh-CN"/>
        </w:rPr>
        <w:t>1，本次为抽样面积，暂不修正</w:t>
      </w:r>
      <w:r>
        <w:rPr>
          <w:rFonts w:hint="eastAsia" w:ascii="宋体" w:hAnsi="宋体" w:eastAsia="宋体" w:cs="宋体"/>
          <w:color w:val="auto"/>
        </w:rPr>
        <w:t>。</w:t>
      </w:r>
    </w:p>
    <w:p>
      <w:pPr>
        <w:spacing w:line="560" w:lineRule="exact"/>
        <w:ind w:left="480" w:firstLine="480"/>
        <w:rPr>
          <w:rFonts w:hint="eastAsia" w:ascii="宋体" w:hAnsi="宋体" w:eastAsia="宋体" w:cs="宋体"/>
          <w:color w:val="auto"/>
        </w:rPr>
      </w:pPr>
      <w:r>
        <w:rPr>
          <w:rFonts w:hint="eastAsia" w:ascii="宋体" w:hAnsi="宋体" w:eastAsia="宋体" w:cs="宋体"/>
          <w:color w:val="auto"/>
        </w:rPr>
        <w:t>根据以上比较因素指数的说明，编制比较因素条件指数表，详见下表。</w:t>
      </w:r>
    </w:p>
    <w:p>
      <w:pPr>
        <w:spacing w:line="560" w:lineRule="exact"/>
        <w:ind w:left="480" w:firstLine="480"/>
        <w:jc w:val="center"/>
        <w:rPr>
          <w:rFonts w:hint="eastAsia" w:ascii="宋体" w:hAnsi="宋体" w:eastAsia="宋体" w:cs="宋体"/>
          <w:b/>
          <w:bCs/>
          <w:color w:val="auto"/>
        </w:rPr>
      </w:pPr>
      <w:r>
        <w:rPr>
          <w:rFonts w:hint="eastAsia" w:ascii="宋体" w:hAnsi="宋体" w:eastAsia="宋体" w:cs="宋体"/>
          <w:b/>
          <w:bCs/>
          <w:color w:val="auto"/>
        </w:rPr>
        <w:t>比较因素条件指数表</w:t>
      </w:r>
    </w:p>
    <w:tbl>
      <w:tblPr>
        <w:tblStyle w:val="22"/>
        <w:tblW w:w="5000" w:type="pct"/>
        <w:tblInd w:w="0" w:type="dxa"/>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676"/>
        <w:gridCol w:w="604"/>
        <w:gridCol w:w="1557"/>
        <w:gridCol w:w="1733"/>
        <w:gridCol w:w="1733"/>
        <w:gridCol w:w="1733"/>
        <w:gridCol w:w="1208"/>
      </w:tblGrid>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shd w:val="clear" w:color="auto" w:fill="auto"/>
          <w:tblCellMar>
            <w:top w:w="0" w:type="dxa"/>
            <w:left w:w="0" w:type="dxa"/>
            <w:bottom w:w="0" w:type="dxa"/>
            <w:right w:w="0" w:type="dxa"/>
          </w:tblCellMar>
        </w:tblPrEx>
        <w:trPr>
          <w:trHeight w:val="225" w:hRule="atLeast"/>
        </w:trPr>
        <w:tc>
          <w:tcPr>
            <w:tcW w:w="5000" w:type="pct"/>
            <w:gridSpan w:val="7"/>
            <w:tcBorders>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2、可比实例的可比因素比较及修正</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1561" w:type="pct"/>
            <w:gridSpan w:val="3"/>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实例A</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w:t>
            </w:r>
            <w:r>
              <w:rPr>
                <w:rFonts w:hint="default" w:ascii="Times New Roman" w:hAnsi="Times New Roman" w:eastAsia="宋体" w:cs="Times New Roman"/>
                <w:b/>
                <w:i w:val="0"/>
                <w:color w:val="auto"/>
                <w:kern w:val="0"/>
                <w:sz w:val="18"/>
                <w:szCs w:val="18"/>
                <w:u w:val="none"/>
                <w:lang w:val="en-US" w:eastAsia="zh-CN" w:bidi="ar"/>
              </w:rPr>
              <w:t>B</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实例</w:t>
            </w:r>
            <w:r>
              <w:rPr>
                <w:rFonts w:hint="default" w:ascii="Times New Roman" w:hAnsi="Times New Roman" w:eastAsia="宋体" w:cs="Times New Roman"/>
                <w:b/>
                <w:i w:val="0"/>
                <w:color w:val="auto"/>
                <w:kern w:val="0"/>
                <w:sz w:val="18"/>
                <w:szCs w:val="18"/>
                <w:u w:val="none"/>
                <w:lang w:val="en-US" w:eastAsia="zh-CN" w:bidi="ar"/>
              </w:rPr>
              <w:t>C</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委估对象</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restart"/>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物业基本信息</w:t>
            </w: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物业名称</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鹿鸣山庄商铺</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住宅底商</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梅苑路商铺</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东鑫酒店</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物业位置</w:t>
            </w:r>
          </w:p>
        </w:tc>
        <w:tc>
          <w:tcPr>
            <w:tcW w:w="930"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鹿鸣山庄</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鹿岭路</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梅苑路</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希望路</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成交单价（元/㎡）</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18400 </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17339 </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11364 </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待估</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信息来源</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二手房中介机构</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建筑面积（㎡）</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81.00</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41.81</w:t>
            </w:r>
          </w:p>
        </w:tc>
        <w:tc>
          <w:tcPr>
            <w:tcW w:w="9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44.00</w:t>
            </w:r>
          </w:p>
        </w:tc>
        <w:tc>
          <w:tcPr>
            <w:tcW w:w="647" w:type="pct"/>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交易情况</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交易日期</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restart"/>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区域因素</w:t>
            </w: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城市规划限制</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基础设施状况</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道路通达度</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公交便捷度</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公共设施完备程度</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交通管制</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商业繁华度</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180" w:hRule="atLeast"/>
        </w:trPr>
        <w:tc>
          <w:tcPr>
            <w:tcW w:w="362" w:type="pct"/>
            <w:vMerge w:val="continue"/>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人口密度及人流量</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restart"/>
            <w:tcBorders>
              <w:top w:val="single" w:color="auto"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个别因素</w:t>
            </w:r>
          </w:p>
        </w:tc>
        <w:tc>
          <w:tcPr>
            <w:tcW w:w="1198" w:type="pct"/>
            <w:gridSpan w:val="2"/>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成新程度</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建筑结构</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土地性质</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110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110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110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装修</w:t>
            </w: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外墙</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室内装修标准</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维护保养</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配套设施</w:t>
            </w: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上、下水</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电源</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通讯</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智能网络</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防盗设施</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中央空调</w:t>
            </w:r>
          </w:p>
        </w:tc>
        <w:tc>
          <w:tcPr>
            <w:tcW w:w="930"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auto"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消防设施</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电梯</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99</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99</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3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8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车位</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临街状况</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进深宽度比</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平面布置</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103</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工程质量</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所在楼层</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25" w:hRule="atLeast"/>
        </w:trPr>
        <w:tc>
          <w:tcPr>
            <w:tcW w:w="362" w:type="pct"/>
            <w:vMerge w:val="continue"/>
            <w:tcBorders>
              <w:top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层高（m）</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101</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101</w:t>
            </w:r>
          </w:p>
        </w:tc>
        <w:tc>
          <w:tcPr>
            <w:tcW w:w="9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219" w:hRule="atLeast"/>
        </w:trPr>
        <w:tc>
          <w:tcPr>
            <w:tcW w:w="362" w:type="pct"/>
            <w:vMerge w:val="continue"/>
            <w:tcBorders>
              <w:top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198" w:type="pct"/>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建筑面积(㎡)</w:t>
            </w:r>
          </w:p>
        </w:tc>
        <w:tc>
          <w:tcPr>
            <w:tcW w:w="930"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930" w:type="pc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c>
          <w:tcPr>
            <w:tcW w:w="647" w:type="pct"/>
            <w:tcBorders>
              <w:top w:val="single" w:color="000000" w:sz="4" w:space="0"/>
              <w:lef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auto"/>
                <w:kern w:val="0"/>
                <w:sz w:val="18"/>
                <w:szCs w:val="18"/>
                <w:u w:val="none"/>
                <w:lang w:val="en-US" w:eastAsia="zh-CN" w:bidi="ar"/>
              </w:rPr>
              <w:t>100</w:t>
            </w:r>
          </w:p>
        </w:tc>
      </w:tr>
    </w:tbl>
    <w:p>
      <w:pPr>
        <w:widowControl/>
        <w:numPr>
          <w:ilvl w:val="0"/>
          <w:numId w:val="19"/>
        </w:numPr>
        <w:adjustRightInd w:val="0"/>
        <w:snapToGrid w:val="0"/>
        <w:spacing w:line="560" w:lineRule="exact"/>
        <w:ind w:hanging="623" w:firstLineChars="0"/>
        <w:jc w:val="left"/>
        <w:rPr>
          <w:rFonts w:ascii="宋体" w:hAnsi="宋体" w:eastAsia="宋体" w:cs="宋体"/>
          <w:color w:val="auto"/>
        </w:rPr>
      </w:pPr>
      <w:r>
        <w:rPr>
          <w:rFonts w:hint="eastAsia" w:ascii="宋体" w:hAnsi="宋体" w:eastAsia="宋体" w:cs="宋体"/>
          <w:color w:val="auto"/>
        </w:rPr>
        <w:t>确定比较因素修正系数和比准价格</w:t>
      </w:r>
    </w:p>
    <w:p>
      <w:pPr>
        <w:spacing w:line="560" w:lineRule="exact"/>
        <w:ind w:firstLine="482"/>
        <w:jc w:val="center"/>
        <w:rPr>
          <w:rFonts w:hint="eastAsia" w:ascii="宋体" w:hAnsi="宋体" w:eastAsia="宋体" w:cs="宋体"/>
          <w:b/>
          <w:bCs/>
          <w:color w:val="auto"/>
        </w:rPr>
      </w:pPr>
      <w:r>
        <w:rPr>
          <w:rFonts w:hint="eastAsia" w:ascii="宋体" w:hAnsi="宋体" w:eastAsia="宋体" w:cs="宋体"/>
          <w:b/>
          <w:bCs/>
          <w:color w:val="auto"/>
        </w:rPr>
        <w:t>比较因素修正系数表</w:t>
      </w:r>
    </w:p>
    <w:tbl>
      <w:tblPr>
        <w:tblStyle w:val="22"/>
        <w:tblW w:w="9244" w:type="dxa"/>
        <w:tblInd w:w="0" w:type="dxa"/>
        <w:shd w:val="clear" w:color="auto" w:fill="auto"/>
        <w:tblLayout w:type="fixed"/>
        <w:tblCellMar>
          <w:top w:w="0" w:type="dxa"/>
          <w:left w:w="0" w:type="dxa"/>
          <w:bottom w:w="0" w:type="dxa"/>
          <w:right w:w="0" w:type="dxa"/>
        </w:tblCellMar>
      </w:tblPr>
      <w:tblGrid>
        <w:gridCol w:w="3425"/>
        <w:gridCol w:w="1940"/>
        <w:gridCol w:w="1939"/>
        <w:gridCol w:w="1940"/>
      </w:tblGrid>
      <w:tr>
        <w:tblPrEx>
          <w:shd w:val="clear" w:color="auto" w:fill="auto"/>
          <w:tblCellMar>
            <w:top w:w="0" w:type="dxa"/>
            <w:left w:w="0" w:type="dxa"/>
            <w:bottom w:w="0" w:type="dxa"/>
            <w:right w:w="0" w:type="dxa"/>
          </w:tblCellMar>
        </w:tblPrEx>
        <w:trPr>
          <w:trHeight w:val="225" w:hRule="atLeast"/>
        </w:trPr>
        <w:tc>
          <w:tcPr>
            <w:tcW w:w="924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3、求取可比实例比准价格及估价对象评估价格</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项目</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实例A</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实例B</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1" w:firstLineChars="20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000000"/>
                <w:kern w:val="0"/>
                <w:sz w:val="18"/>
                <w:szCs w:val="18"/>
                <w:u w:val="none"/>
                <w:lang w:val="en-US" w:eastAsia="zh-CN" w:bidi="ar"/>
              </w:rPr>
              <w:t>实例C</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实例可比价格</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元</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18,400.00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17,339.24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11,363.64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交易情况修正结果</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交易日期修正结果</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1.0000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区域因素修正结果</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0.9434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0.9434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0.9434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个别因素修正结果</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0.8130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0.8850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0.9174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比准价格</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元</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14,113 </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14,476 </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9,835 </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根据相似程度分别取权数</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40.00%</w:t>
            </w:r>
          </w:p>
        </w:tc>
      </w:tr>
      <w:tr>
        <w:tblPrEx>
          <w:tblCellMar>
            <w:top w:w="0" w:type="dxa"/>
            <w:left w:w="0" w:type="dxa"/>
            <w:bottom w:w="0" w:type="dxa"/>
            <w:right w:w="0" w:type="dxa"/>
          </w:tblCellMar>
        </w:tblPrEx>
        <w:trPr>
          <w:trHeight w:val="225" w:hRule="atLeast"/>
        </w:trPr>
        <w:tc>
          <w:tcPr>
            <w:tcW w:w="3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委估对象比准单价</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元</w:t>
            </w:r>
            <w:r>
              <w:rPr>
                <w:rFonts w:hint="default" w:ascii="Times New Roman" w:hAnsi="Times New Roman" w:eastAsia="宋体" w:cs="Times New Roman"/>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w:t>
            </w:r>
            <w:r>
              <w:rPr>
                <w:rFonts w:hint="default" w:ascii="Times New Roman" w:hAnsi="Times New Roman" w:eastAsia="宋体" w:cs="Times New Roman"/>
                <w:i w:val="0"/>
                <w:color w:val="auto"/>
                <w:kern w:val="0"/>
                <w:sz w:val="18"/>
                <w:szCs w:val="18"/>
                <w:u w:val="none"/>
                <w:lang w:val="en-US" w:eastAsia="zh-CN" w:bidi="ar"/>
              </w:rPr>
              <w:t>)</w:t>
            </w:r>
          </w:p>
        </w:tc>
        <w:tc>
          <w:tcPr>
            <w:tcW w:w="58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000000"/>
                <w:kern w:val="0"/>
                <w:sz w:val="18"/>
                <w:szCs w:val="18"/>
                <w:u w:val="none"/>
                <w:lang w:val="en-US" w:eastAsia="zh-CN" w:bidi="ar"/>
              </w:rPr>
              <w:t xml:space="preserve"> 12,510.00 </w:t>
            </w:r>
          </w:p>
        </w:tc>
      </w:tr>
    </w:tbl>
    <w:p>
      <w:pPr>
        <w:spacing w:line="560" w:lineRule="exact"/>
        <w:ind w:firstLine="480"/>
        <w:rPr>
          <w:rFonts w:hint="eastAsia" w:ascii="宋体" w:hAnsi="宋体" w:eastAsia="宋体" w:cs="宋体"/>
          <w:color w:val="auto"/>
        </w:rPr>
      </w:pPr>
      <w:r>
        <w:rPr>
          <w:rFonts w:hint="eastAsia" w:ascii="宋体" w:hAnsi="宋体" w:eastAsia="宋体" w:cs="宋体"/>
          <w:b/>
          <w:bCs/>
          <w:color w:val="auto"/>
          <w:lang w:eastAsia="zh-CN"/>
        </w:rPr>
        <w:t>（二）</w:t>
      </w:r>
      <w:r>
        <w:rPr>
          <w:rFonts w:hint="eastAsia" w:ascii="宋体" w:hAnsi="宋体" w:eastAsia="宋体" w:cs="宋体"/>
          <w:b/>
          <w:bCs/>
          <w:color w:val="auto"/>
        </w:rPr>
        <w:t>收益法</w:t>
      </w:r>
    </w:p>
    <w:p>
      <w:pPr>
        <w:spacing w:line="560" w:lineRule="exact"/>
        <w:ind w:firstLine="480"/>
        <w:rPr>
          <w:rFonts w:hint="eastAsia" w:ascii="宋体" w:hAnsi="宋体" w:eastAsia="宋体" w:cs="宋体"/>
          <w:color w:val="auto"/>
        </w:rPr>
      </w:pPr>
      <w:r>
        <w:rPr>
          <w:rFonts w:hint="eastAsia" w:ascii="宋体" w:hAnsi="宋体" w:eastAsia="宋体" w:cs="宋体"/>
          <w:color w:val="auto"/>
        </w:rPr>
        <w:t>收益法测算评估对象-在未设立法定优先受偿权利下的市场价值</w:t>
      </w:r>
    </w:p>
    <w:p>
      <w:pPr>
        <w:spacing w:line="560" w:lineRule="exact"/>
        <w:ind w:firstLine="480"/>
        <w:rPr>
          <w:rFonts w:hint="eastAsia" w:ascii="宋体" w:hAnsi="宋体" w:eastAsia="宋体" w:cs="宋体"/>
          <w:color w:val="auto"/>
        </w:rPr>
      </w:pPr>
      <w:r>
        <w:rPr>
          <w:rFonts w:hint="eastAsia" w:ascii="宋体" w:hAnsi="宋体" w:eastAsia="宋体" w:cs="宋体"/>
          <w:color w:val="auto"/>
        </w:rPr>
        <w:t xml:space="preserve">计算公式： </w:t>
      </w:r>
    </w:p>
    <w:p>
      <w:pPr>
        <w:tabs>
          <w:tab w:val="left" w:pos="3060"/>
        </w:tabs>
        <w:spacing w:line="560" w:lineRule="exact"/>
        <w:ind w:firstLine="735" w:firstLineChars="306"/>
        <w:rPr>
          <w:b/>
          <w:bCs/>
          <w:color w:val="auto"/>
          <w:u w:val="single"/>
        </w:rPr>
      </w:pPr>
    </w:p>
    <w:p>
      <w:pPr>
        <w:spacing w:line="560" w:lineRule="exact"/>
        <w:ind w:firstLine="734" w:firstLineChars="306"/>
        <w:rPr>
          <w:color w:val="auto"/>
        </w:rPr>
      </w:pPr>
      <w:r>
        <w:rPr>
          <w:color w:val="auto"/>
        </w:rPr>
        <w:drawing>
          <wp:inline distT="0" distB="0" distL="114300" distR="114300">
            <wp:extent cx="3305175" cy="323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3305175" cy="323850"/>
                    </a:xfrm>
                    <a:prstGeom prst="rect">
                      <a:avLst/>
                    </a:prstGeom>
                    <a:noFill/>
                    <a:ln w="9525">
                      <a:noFill/>
                    </a:ln>
                  </pic:spPr>
                </pic:pic>
              </a:graphicData>
            </a:graphic>
          </wp:inline>
        </w:drawing>
      </w:r>
    </w:p>
    <w:p>
      <w:pPr>
        <w:framePr w:hSpace="180" w:wrap="around" w:vAnchor="text" w:hAnchor="page" w:x="2431" w:y="146"/>
        <w:tabs>
          <w:tab w:val="left" w:pos="820"/>
        </w:tabs>
        <w:spacing w:line="560" w:lineRule="exact"/>
        <w:ind w:firstLine="734" w:firstLineChars="306"/>
        <w:rPr>
          <w:color w:val="auto"/>
        </w:rPr>
      </w:pPr>
      <w:r>
        <w:rPr>
          <w:rFonts w:hint="eastAsia"/>
          <w:color w:val="auto"/>
        </w:rPr>
        <w:t>式中</w:t>
      </w:r>
      <w:r>
        <w:rPr>
          <w:rFonts w:hint="eastAsia"/>
          <w:color w:val="auto"/>
          <w:lang w:val="pt-BR"/>
        </w:rPr>
        <w:t>：</w:t>
      </w:r>
      <w:r>
        <w:rPr>
          <w:color w:val="auto"/>
          <w:lang w:val="pt-BR"/>
        </w:rPr>
        <w:tab/>
      </w:r>
    </w:p>
    <w:p>
      <w:pPr>
        <w:framePr w:hSpace="180" w:wrap="around" w:vAnchor="text" w:hAnchor="page" w:x="2431" w:y="146"/>
        <w:tabs>
          <w:tab w:val="left" w:pos="820"/>
        </w:tabs>
        <w:spacing w:line="560" w:lineRule="exact"/>
        <w:ind w:firstLine="734" w:firstLineChars="306"/>
        <w:rPr>
          <w:color w:val="auto"/>
        </w:rPr>
      </w:pPr>
      <w:r>
        <w:rPr>
          <w:rFonts w:hint="eastAsia"/>
          <w:color w:val="auto"/>
          <w:lang w:val="pt-BR"/>
        </w:rPr>
        <w:t>V</w:t>
      </w:r>
      <w:r>
        <w:rPr>
          <w:color w:val="auto"/>
        </w:rPr>
        <w:tab/>
      </w:r>
      <w:r>
        <w:rPr>
          <w:rFonts w:hint="eastAsia"/>
          <w:color w:val="auto"/>
        </w:rPr>
        <w:t>一 收益价值</w:t>
      </w:r>
    </w:p>
    <w:p>
      <w:pPr>
        <w:framePr w:hSpace="180" w:wrap="around" w:vAnchor="text" w:hAnchor="page" w:x="2431" w:y="146"/>
        <w:tabs>
          <w:tab w:val="left" w:pos="820"/>
        </w:tabs>
        <w:spacing w:line="560" w:lineRule="exact"/>
        <w:ind w:firstLine="734" w:firstLineChars="306"/>
        <w:rPr>
          <w:color w:val="auto"/>
        </w:rPr>
      </w:pPr>
      <w:r>
        <w:rPr>
          <w:rFonts w:hint="eastAsia"/>
          <w:color w:val="auto"/>
          <w:lang w:val="pt-BR"/>
        </w:rPr>
        <w:t>A</w:t>
      </w:r>
      <w:r>
        <w:rPr>
          <w:color w:val="auto"/>
        </w:rPr>
        <w:tab/>
      </w:r>
      <w:r>
        <w:rPr>
          <w:rFonts w:hint="eastAsia"/>
          <w:color w:val="auto"/>
        </w:rPr>
        <w:t>一 房地产未来第一年净收益</w:t>
      </w:r>
    </w:p>
    <w:p>
      <w:pPr>
        <w:framePr w:hSpace="180" w:wrap="around" w:vAnchor="text" w:hAnchor="page" w:x="2431" w:y="146"/>
        <w:tabs>
          <w:tab w:val="left" w:pos="820"/>
        </w:tabs>
        <w:spacing w:line="560" w:lineRule="exact"/>
        <w:ind w:firstLine="734" w:firstLineChars="306"/>
        <w:rPr>
          <w:color w:val="auto"/>
        </w:rPr>
      </w:pPr>
      <w:r>
        <w:rPr>
          <w:rFonts w:hint="eastAsia"/>
          <w:color w:val="auto"/>
          <w:lang w:val="pt-BR"/>
        </w:rPr>
        <w:t>Y</w:t>
      </w:r>
      <w:r>
        <w:rPr>
          <w:color w:val="auto"/>
        </w:rPr>
        <w:tab/>
      </w:r>
      <w:r>
        <w:rPr>
          <w:rFonts w:hint="eastAsia"/>
          <w:color w:val="auto"/>
        </w:rPr>
        <w:t>一 报酬率</w:t>
      </w:r>
    </w:p>
    <w:p>
      <w:pPr>
        <w:framePr w:hSpace="180" w:wrap="around" w:vAnchor="text" w:hAnchor="page" w:x="2431" w:y="146"/>
        <w:tabs>
          <w:tab w:val="left" w:pos="820"/>
        </w:tabs>
        <w:spacing w:line="560" w:lineRule="exact"/>
        <w:ind w:firstLine="734" w:firstLineChars="306"/>
        <w:rPr>
          <w:color w:val="auto"/>
        </w:rPr>
      </w:pPr>
      <w:r>
        <w:rPr>
          <w:rFonts w:hint="eastAsia"/>
          <w:color w:val="auto"/>
          <w:lang w:val="pt-BR"/>
        </w:rPr>
        <w:t>t</w:t>
      </w:r>
      <w:r>
        <w:rPr>
          <w:color w:val="auto"/>
        </w:rPr>
        <w:tab/>
      </w:r>
      <w:r>
        <w:rPr>
          <w:rFonts w:hint="eastAsia"/>
          <w:color w:val="auto"/>
        </w:rPr>
        <w:t xml:space="preserve">一 </w:t>
      </w:r>
      <w:r>
        <w:rPr>
          <w:rFonts w:hint="eastAsia"/>
          <w:color w:val="auto"/>
          <w:lang w:val="pt-BR"/>
        </w:rPr>
        <w:t>净收益变化的年份</w:t>
      </w:r>
    </w:p>
    <w:p>
      <w:pPr>
        <w:framePr w:hSpace="180" w:wrap="around" w:vAnchor="text" w:hAnchor="page" w:x="2431" w:y="146"/>
        <w:tabs>
          <w:tab w:val="left" w:pos="820"/>
        </w:tabs>
        <w:spacing w:line="560" w:lineRule="exact"/>
        <w:ind w:firstLine="734" w:firstLineChars="306"/>
        <w:rPr>
          <w:color w:val="auto"/>
        </w:rPr>
      </w:pPr>
      <w:r>
        <w:rPr>
          <w:rFonts w:hint="eastAsia"/>
          <w:color w:val="auto"/>
        </w:rPr>
        <w:t>g</w:t>
      </w:r>
      <w:r>
        <w:rPr>
          <w:color w:val="auto"/>
        </w:rPr>
        <w:tab/>
      </w:r>
      <w:r>
        <w:rPr>
          <w:rFonts w:hint="eastAsia"/>
          <w:color w:val="auto"/>
        </w:rPr>
        <w:t xml:space="preserve">一 </w:t>
      </w:r>
      <w:r>
        <w:rPr>
          <w:rFonts w:hint="eastAsia"/>
          <w:color w:val="auto"/>
          <w:lang w:val="pt-BR"/>
        </w:rPr>
        <w:t>净收益每年递增率</w:t>
      </w:r>
    </w:p>
    <w:p>
      <w:pPr>
        <w:framePr w:hSpace="180" w:wrap="around" w:vAnchor="text" w:hAnchor="page" w:x="2431" w:y="146"/>
        <w:tabs>
          <w:tab w:val="left" w:pos="820"/>
        </w:tabs>
        <w:spacing w:line="560" w:lineRule="exact"/>
        <w:ind w:firstLine="734" w:firstLineChars="306"/>
        <w:rPr>
          <w:color w:val="auto"/>
        </w:rPr>
      </w:pPr>
      <w:r>
        <w:rPr>
          <w:color w:val="auto"/>
          <w:lang w:val="pt-BR"/>
        </w:rPr>
        <w:t>n</w:t>
      </w:r>
      <w:r>
        <w:rPr>
          <w:color w:val="auto"/>
        </w:rPr>
        <w:tab/>
      </w:r>
      <w:r>
        <w:rPr>
          <w:rFonts w:hint="eastAsia"/>
          <w:color w:val="auto"/>
        </w:rPr>
        <w:t>一 获取收益的持续年限</w:t>
      </w:r>
    </w:p>
    <w:p>
      <w:pPr>
        <w:numPr>
          <w:ilvl w:val="0"/>
          <w:numId w:val="0"/>
        </w:numPr>
        <w:tabs>
          <w:tab w:val="left" w:pos="993"/>
        </w:tabs>
        <w:spacing w:line="560" w:lineRule="exact"/>
        <w:rPr>
          <w:b/>
          <w:bCs/>
          <w:color w:val="auto"/>
        </w:rPr>
      </w:pPr>
      <w:r>
        <w:rPr>
          <w:rFonts w:hint="eastAsia" w:eastAsia="宋体"/>
          <w:b/>
          <w:bCs/>
          <w:color w:val="auto"/>
          <w:lang w:val="en-US" w:eastAsia="zh-CN"/>
        </w:rPr>
        <w:t>1、</w:t>
      </w:r>
      <w:r>
        <w:rPr>
          <w:rFonts w:hint="eastAsia"/>
          <w:b/>
          <w:bCs/>
          <w:color w:val="auto"/>
        </w:rPr>
        <w:t>确定房地产第一年净收益A</w:t>
      </w:r>
    </w:p>
    <w:p>
      <w:pPr>
        <w:tabs>
          <w:tab w:val="left" w:pos="2127"/>
          <w:tab w:val="left" w:pos="2694"/>
        </w:tabs>
        <w:spacing w:line="560" w:lineRule="exact"/>
        <w:ind w:firstLine="586" w:firstLineChars="244"/>
        <w:rPr>
          <w:b/>
          <w:color w:val="auto"/>
        </w:rPr>
      </w:pPr>
      <w:r>
        <w:rPr>
          <w:b/>
          <w:color w:val="auto"/>
        </w:rPr>
        <w:fldChar w:fldCharType="begin"/>
      </w:r>
      <w:r>
        <w:rPr>
          <w:b/>
          <w:color w:val="auto"/>
        </w:rPr>
        <w:instrText xml:space="preserve"> </w:instrText>
      </w:r>
      <w:r>
        <w:rPr>
          <w:rFonts w:hint="eastAsia"/>
          <w:b/>
          <w:color w:val="auto"/>
        </w:rPr>
        <w:instrText xml:space="preserve">= 1 \* GB3</w:instrText>
      </w:r>
      <w:r>
        <w:rPr>
          <w:b/>
          <w:color w:val="auto"/>
        </w:rPr>
        <w:instrText xml:space="preserve"> </w:instrText>
      </w:r>
      <w:r>
        <w:rPr>
          <w:b/>
          <w:color w:val="auto"/>
        </w:rPr>
        <w:fldChar w:fldCharType="separate"/>
      </w:r>
      <w:r>
        <w:rPr>
          <w:rFonts w:hint="eastAsia"/>
          <w:b/>
          <w:color w:val="auto"/>
        </w:rPr>
        <w:t>①</w:t>
      </w:r>
      <w:r>
        <w:rPr>
          <w:b/>
          <w:color w:val="auto"/>
        </w:rPr>
        <w:fldChar w:fldCharType="end"/>
      </w:r>
      <w:r>
        <w:rPr>
          <w:rFonts w:hint="eastAsia"/>
          <w:b/>
          <w:color w:val="auto"/>
        </w:rPr>
        <w:t>租约限制</w:t>
      </w:r>
    </w:p>
    <w:p>
      <w:pPr>
        <w:spacing w:line="560" w:lineRule="exact"/>
        <w:ind w:firstLine="734" w:firstLineChars="306"/>
        <w:rPr>
          <w:color w:val="auto"/>
        </w:rPr>
      </w:pPr>
      <w:r>
        <w:rPr>
          <w:rFonts w:hint="eastAsia" w:eastAsia="宋体"/>
          <w:color w:val="auto"/>
          <w:lang w:eastAsia="zh-CN"/>
        </w:rPr>
        <w:t>本次评估目的为司法处分，委估房地产实际用于酒店经营，由被执行人自营</w:t>
      </w:r>
      <w:r>
        <w:rPr>
          <w:rFonts w:hint="eastAsia" w:ascii="宋体" w:hAnsi="宋体" w:eastAsia="宋体"/>
          <w:color w:val="auto"/>
          <w:lang w:val="en-US" w:eastAsia="zh-CN"/>
        </w:rPr>
        <w:t>，因此</w:t>
      </w:r>
      <w:r>
        <w:rPr>
          <w:rFonts w:hint="eastAsia"/>
          <w:color w:val="auto"/>
        </w:rPr>
        <w:t>本次评估</w:t>
      </w:r>
      <w:r>
        <w:rPr>
          <w:rFonts w:hint="eastAsia" w:eastAsia="宋体"/>
          <w:color w:val="auto"/>
          <w:lang w:eastAsia="zh-CN"/>
        </w:rPr>
        <w:t>暂</w:t>
      </w:r>
      <w:r>
        <w:rPr>
          <w:rFonts w:hint="eastAsia"/>
          <w:color w:val="auto"/>
        </w:rPr>
        <w:t>不考虑租约对评估价值的影响。</w:t>
      </w:r>
      <w:r>
        <w:rPr>
          <w:color w:val="auto"/>
        </w:rPr>
        <w:t xml:space="preserve"> </w:t>
      </w:r>
    </w:p>
    <w:p>
      <w:pPr>
        <w:spacing w:line="560" w:lineRule="exact"/>
        <w:ind w:firstLine="735" w:firstLineChars="306"/>
        <w:rPr>
          <w:b/>
          <w:color w:val="auto"/>
        </w:rPr>
      </w:pPr>
      <w:r>
        <w:rPr>
          <w:rFonts w:hint="eastAsia"/>
          <w:b/>
          <w:color w:val="auto"/>
        </w:rPr>
        <w:t>②确定出租面积</w:t>
      </w:r>
    </w:p>
    <w:p>
      <w:pPr>
        <w:spacing w:line="560" w:lineRule="exact"/>
        <w:ind w:firstLine="720" w:firstLineChars="300"/>
        <w:rPr>
          <w:rFonts w:hint="eastAsia"/>
          <w:color w:val="auto"/>
        </w:rPr>
      </w:pPr>
      <w:r>
        <w:rPr>
          <w:rFonts w:hint="eastAsia" w:ascii="宋体" w:hAnsi="宋体" w:cs="宋体"/>
          <w:color w:val="auto"/>
          <w:sz w:val="24"/>
          <w:lang w:val="en-US" w:eastAsia="zh-CN"/>
        </w:rPr>
        <w:t>本次确定的出租面积为委托人提供的《房屋所有权证》</w:t>
      </w:r>
      <w:r>
        <w:rPr>
          <w:rFonts w:hint="eastAsia" w:eastAsia="宋体"/>
          <w:color w:val="auto"/>
          <w:lang w:val="en-US" w:eastAsia="zh-CN"/>
        </w:rPr>
        <w:t>证载面积为准，其合计为1496.45平方米。</w:t>
      </w:r>
    </w:p>
    <w:p>
      <w:pPr>
        <w:spacing w:line="560" w:lineRule="exact"/>
        <w:ind w:firstLine="735" w:firstLineChars="306"/>
        <w:rPr>
          <w:b/>
          <w:color w:val="auto"/>
        </w:rPr>
      </w:pPr>
      <w:r>
        <w:rPr>
          <w:rFonts w:hint="eastAsia"/>
          <w:b/>
          <w:color w:val="auto"/>
        </w:rPr>
        <w:t>③确定月租金</w:t>
      </w:r>
    </w:p>
    <w:p>
      <w:pPr>
        <w:spacing w:line="560" w:lineRule="exact"/>
        <w:ind w:firstLine="734" w:firstLineChars="306"/>
        <w:rPr>
          <w:rFonts w:hint="eastAsia"/>
          <w:color w:val="auto"/>
        </w:rPr>
      </w:pPr>
      <w:r>
        <w:rPr>
          <w:rFonts w:hint="eastAsia"/>
          <w:color w:val="auto"/>
        </w:rPr>
        <w:t>我们走访调查的周边同类物业市场租赁案例有：</w:t>
      </w:r>
    </w:p>
    <w:tbl>
      <w:tblPr>
        <w:tblStyle w:val="22"/>
        <w:tblW w:w="9244" w:type="dxa"/>
        <w:tblInd w:w="0" w:type="dxa"/>
        <w:shd w:val="clear" w:color="auto" w:fill="auto"/>
        <w:tblLayout w:type="fixed"/>
        <w:tblCellMar>
          <w:top w:w="0" w:type="dxa"/>
          <w:left w:w="0" w:type="dxa"/>
          <w:bottom w:w="0" w:type="dxa"/>
          <w:right w:w="0" w:type="dxa"/>
        </w:tblCellMar>
      </w:tblPr>
      <w:tblGrid>
        <w:gridCol w:w="2559"/>
        <w:gridCol w:w="1968"/>
        <w:gridCol w:w="2747"/>
        <w:gridCol w:w="1970"/>
      </w:tblGrid>
      <w:tr>
        <w:tblPrEx>
          <w:shd w:val="clear" w:color="auto" w:fill="auto"/>
          <w:tblCellMar>
            <w:top w:w="0" w:type="dxa"/>
            <w:left w:w="0" w:type="dxa"/>
            <w:bottom w:w="0" w:type="dxa"/>
            <w:right w:w="0" w:type="dxa"/>
          </w:tblCellMar>
        </w:tblPrEx>
        <w:trPr>
          <w:trHeight w:val="50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位置</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面积</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年租金</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auto"/>
                <w:sz w:val="20"/>
                <w:szCs w:val="20"/>
                <w:u w:val="none"/>
              </w:rPr>
            </w:pPr>
            <w:r>
              <w:rPr>
                <w:rFonts w:hint="eastAsia" w:ascii="宋体" w:hAnsi="宋体" w:eastAsia="宋体" w:cs="宋体"/>
                <w:b w:val="0"/>
                <w:bCs/>
                <w:i w:val="0"/>
                <w:color w:val="000000"/>
                <w:kern w:val="0"/>
                <w:sz w:val="18"/>
                <w:szCs w:val="18"/>
                <w:u w:val="none"/>
                <w:lang w:val="en-US" w:eastAsia="zh-CN" w:bidi="ar"/>
              </w:rPr>
              <w:t>月租金，元/平方米/月</w:t>
            </w:r>
          </w:p>
        </w:tc>
      </w:tr>
      <w:tr>
        <w:tblPrEx>
          <w:tblCellMar>
            <w:top w:w="0" w:type="dxa"/>
            <w:left w:w="0" w:type="dxa"/>
            <w:bottom w:w="0" w:type="dxa"/>
            <w:right w:w="0" w:type="dxa"/>
          </w:tblCellMar>
        </w:tblPrEx>
        <w:trPr>
          <w:trHeight w:val="36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评估对象旁边五金店</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35</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14000</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20"/>
                <w:szCs w:val="20"/>
                <w:u w:val="none"/>
              </w:rPr>
            </w:pPr>
            <w:r>
              <w:rPr>
                <w:rFonts w:hint="eastAsia" w:ascii="宋体" w:hAnsi="宋体" w:eastAsia="宋体" w:cs="宋体"/>
                <w:b w:val="0"/>
                <w:bCs/>
                <w:i w:val="0"/>
                <w:color w:val="000000"/>
                <w:kern w:val="0"/>
                <w:sz w:val="18"/>
                <w:szCs w:val="18"/>
                <w:u w:val="none"/>
                <w:lang w:val="en-US" w:eastAsia="zh-CN" w:bidi="ar"/>
              </w:rPr>
              <w:t>33</w:t>
            </w:r>
          </w:p>
        </w:tc>
      </w:tr>
      <w:tr>
        <w:tblPrEx>
          <w:tblCellMar>
            <w:top w:w="0" w:type="dxa"/>
            <w:left w:w="0" w:type="dxa"/>
            <w:bottom w:w="0" w:type="dxa"/>
            <w:right w:w="0" w:type="dxa"/>
          </w:tblCellMar>
        </w:tblPrEx>
        <w:trPr>
          <w:trHeight w:val="40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评估对象旁边布艺店</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65</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25000</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20"/>
                <w:szCs w:val="20"/>
                <w:u w:val="none"/>
              </w:rPr>
            </w:pPr>
            <w:r>
              <w:rPr>
                <w:rFonts w:hint="eastAsia" w:ascii="宋体" w:hAnsi="宋体" w:eastAsia="宋体" w:cs="宋体"/>
                <w:b w:val="0"/>
                <w:bCs/>
                <w:i w:val="0"/>
                <w:color w:val="000000"/>
                <w:kern w:val="0"/>
                <w:sz w:val="18"/>
                <w:szCs w:val="18"/>
                <w:u w:val="none"/>
                <w:lang w:val="en-US" w:eastAsia="zh-CN" w:bidi="ar"/>
              </w:rPr>
              <w:t>32</w:t>
            </w:r>
          </w:p>
        </w:tc>
      </w:tr>
      <w:tr>
        <w:tblPrEx>
          <w:tblCellMar>
            <w:top w:w="0" w:type="dxa"/>
            <w:left w:w="0" w:type="dxa"/>
            <w:bottom w:w="0" w:type="dxa"/>
            <w:right w:w="0" w:type="dxa"/>
          </w:tblCellMar>
        </w:tblPrEx>
        <w:trPr>
          <w:trHeight w:val="440" w:hRule="atLeast"/>
        </w:trPr>
        <w:tc>
          <w:tcPr>
            <w:tcW w:w="2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评估对象旁边石材店</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30</w:t>
            </w:r>
          </w:p>
        </w:tc>
        <w:tc>
          <w:tcPr>
            <w:tcW w:w="2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18"/>
                <w:szCs w:val="18"/>
                <w:u w:val="none"/>
              </w:rPr>
            </w:pPr>
            <w:r>
              <w:rPr>
                <w:rFonts w:hint="eastAsia" w:ascii="宋体" w:hAnsi="宋体" w:eastAsia="宋体" w:cs="宋体"/>
                <w:b w:val="0"/>
                <w:bCs/>
                <w:i w:val="0"/>
                <w:color w:val="000000"/>
                <w:kern w:val="0"/>
                <w:sz w:val="18"/>
                <w:szCs w:val="18"/>
                <w:u w:val="none"/>
                <w:lang w:val="en-US" w:eastAsia="zh-CN" w:bidi="ar"/>
              </w:rPr>
              <w:t>15000</w:t>
            </w:r>
          </w:p>
        </w:tc>
        <w:tc>
          <w:tcPr>
            <w:tcW w:w="1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360" w:firstLineChars="200"/>
              <w:jc w:val="center"/>
              <w:textAlignment w:val="center"/>
              <w:rPr>
                <w:rFonts w:hint="eastAsia" w:ascii="宋体" w:hAnsi="宋体" w:eastAsia="宋体" w:cs="宋体"/>
                <w:b w:val="0"/>
                <w:bCs/>
                <w:i w:val="0"/>
                <w:color w:val="auto"/>
                <w:sz w:val="20"/>
                <w:szCs w:val="20"/>
                <w:u w:val="none"/>
              </w:rPr>
            </w:pPr>
            <w:r>
              <w:rPr>
                <w:rFonts w:hint="eastAsia" w:ascii="宋体" w:hAnsi="宋体" w:eastAsia="宋体" w:cs="宋体"/>
                <w:b w:val="0"/>
                <w:bCs/>
                <w:i w:val="0"/>
                <w:color w:val="000000"/>
                <w:kern w:val="0"/>
                <w:sz w:val="18"/>
                <w:szCs w:val="18"/>
                <w:u w:val="none"/>
                <w:lang w:val="en-US" w:eastAsia="zh-CN" w:bidi="ar"/>
              </w:rPr>
              <w:t>42</w:t>
            </w:r>
          </w:p>
        </w:tc>
      </w:tr>
    </w:tbl>
    <w:p>
      <w:pPr>
        <w:spacing w:line="560" w:lineRule="exact"/>
        <w:ind w:firstLine="734" w:firstLineChars="306"/>
        <w:jc w:val="both"/>
        <w:rPr>
          <w:rFonts w:hint="eastAsia"/>
          <w:color w:val="auto"/>
        </w:rPr>
      </w:pPr>
      <w:r>
        <w:rPr>
          <w:rFonts w:hint="eastAsia"/>
          <w:color w:val="auto"/>
        </w:rPr>
        <w:t>调查结果显示，该地段商业房屋租金情况为</w:t>
      </w:r>
      <w:r>
        <w:rPr>
          <w:rFonts w:hint="eastAsia"/>
          <w:color w:val="auto"/>
          <w:lang w:val="en-US" w:eastAsia="zh-CN"/>
        </w:rPr>
        <w:t>32</w:t>
      </w:r>
      <w:r>
        <w:rPr>
          <w:rFonts w:hint="eastAsia"/>
          <w:color w:val="auto"/>
        </w:rPr>
        <w:t>~</w:t>
      </w:r>
      <w:r>
        <w:rPr>
          <w:rFonts w:hint="eastAsia"/>
          <w:color w:val="auto"/>
          <w:lang w:val="en-US" w:eastAsia="zh-CN"/>
        </w:rPr>
        <w:t>42</w:t>
      </w:r>
      <w:r>
        <w:rPr>
          <w:rFonts w:hint="eastAsia"/>
          <w:color w:val="auto"/>
        </w:rPr>
        <w:t>元/平方米；租金年递增率为2％～5％。租金水平因地理位置、临路状况、面积、开间进深、人流量大小因素不同有较大差异。</w:t>
      </w:r>
    </w:p>
    <w:p>
      <w:pPr>
        <w:spacing w:line="560" w:lineRule="exact"/>
        <w:ind w:firstLine="734" w:firstLineChars="306"/>
        <w:jc w:val="both"/>
        <w:rPr>
          <w:color w:val="auto"/>
        </w:rPr>
      </w:pPr>
      <w:r>
        <w:rPr>
          <w:rFonts w:hint="eastAsia"/>
          <w:color w:val="auto"/>
        </w:rPr>
        <w:t>在确定评估对象的市场租金时，我们考虑的因素有：</w:t>
      </w:r>
    </w:p>
    <w:p>
      <w:pPr>
        <w:numPr>
          <w:ilvl w:val="0"/>
          <w:numId w:val="23"/>
        </w:numPr>
        <w:tabs>
          <w:tab w:val="clear" w:pos="3023"/>
        </w:tabs>
        <w:spacing w:line="560" w:lineRule="exact"/>
        <w:ind w:left="-5" w:leftChars="-2" w:firstLine="784" w:firstLineChars="327"/>
        <w:rPr>
          <w:color w:val="auto"/>
        </w:rPr>
      </w:pPr>
      <w:r>
        <w:rPr>
          <w:rFonts w:hint="eastAsia"/>
          <w:color w:val="auto"/>
        </w:rPr>
        <w:t>区位优劣势；</w:t>
      </w:r>
    </w:p>
    <w:p>
      <w:pPr>
        <w:spacing w:line="560" w:lineRule="exact"/>
        <w:ind w:firstLine="734" w:firstLineChars="306"/>
        <w:rPr>
          <w:color w:val="auto"/>
        </w:rPr>
      </w:pPr>
      <w:r>
        <w:rPr>
          <w:rFonts w:hint="eastAsia"/>
          <w:color w:val="auto"/>
        </w:rPr>
        <w:t>评估对象位于</w:t>
      </w:r>
      <w:r>
        <w:rPr>
          <w:rFonts w:hint="eastAsia" w:eastAsia="宋体"/>
          <w:color w:val="auto"/>
          <w:lang w:eastAsia="zh-CN"/>
        </w:rPr>
        <w:t>西乡县</w:t>
      </w:r>
      <w:r>
        <w:rPr>
          <w:rFonts w:hint="eastAsia"/>
          <w:color w:val="auto"/>
          <w:lang w:eastAsia="zh-CN"/>
        </w:rPr>
        <w:t>希望路</w:t>
      </w:r>
      <w:r>
        <w:rPr>
          <w:rFonts w:hint="eastAsia"/>
          <w:color w:val="auto"/>
        </w:rPr>
        <w:t>，周边</w:t>
      </w:r>
      <w:r>
        <w:rPr>
          <w:rFonts w:hint="eastAsia"/>
          <w:color w:val="auto"/>
          <w:lang w:eastAsia="zh-CN"/>
        </w:rPr>
        <w:t>多为</w:t>
      </w:r>
      <w:r>
        <w:rPr>
          <w:rFonts w:hint="eastAsia"/>
          <w:color w:val="auto"/>
        </w:rPr>
        <w:t>临街</w:t>
      </w:r>
      <w:r>
        <w:rPr>
          <w:rFonts w:hint="eastAsia"/>
          <w:color w:val="auto"/>
          <w:lang w:eastAsia="zh-CN"/>
        </w:rPr>
        <w:t>商铺</w:t>
      </w:r>
      <w:r>
        <w:rPr>
          <w:rFonts w:hint="eastAsia"/>
          <w:color w:val="auto"/>
        </w:rPr>
        <w:t>，商业氛围较好；区域规划前景较好，有利于评估对象价值的提升；且交通便利，通达性强。</w:t>
      </w:r>
    </w:p>
    <w:p>
      <w:pPr>
        <w:numPr>
          <w:ilvl w:val="0"/>
          <w:numId w:val="23"/>
        </w:numPr>
        <w:tabs>
          <w:tab w:val="clear" w:pos="3023"/>
        </w:tabs>
        <w:spacing w:line="560" w:lineRule="exact"/>
        <w:ind w:left="-5" w:leftChars="-2" w:firstLine="784" w:firstLineChars="327"/>
        <w:rPr>
          <w:color w:val="auto"/>
        </w:rPr>
      </w:pPr>
      <w:r>
        <w:rPr>
          <w:rFonts w:hint="eastAsia"/>
          <w:color w:val="auto"/>
        </w:rPr>
        <w:t>本体优劣势；</w:t>
      </w:r>
    </w:p>
    <w:p>
      <w:pPr>
        <w:spacing w:line="560" w:lineRule="exact"/>
        <w:ind w:firstLine="734" w:firstLineChars="306"/>
        <w:rPr>
          <w:color w:val="auto"/>
        </w:rPr>
      </w:pPr>
      <w:r>
        <w:rPr>
          <w:rFonts w:hint="eastAsia"/>
          <w:color w:val="auto"/>
        </w:rPr>
        <w:t>经</w:t>
      </w:r>
      <w:r>
        <w:rPr>
          <w:rFonts w:hint="eastAsia" w:eastAsia="宋体"/>
          <w:color w:val="auto"/>
          <w:lang w:eastAsia="zh-CN"/>
        </w:rPr>
        <w:t>委托人</w:t>
      </w:r>
      <w:r>
        <w:rPr>
          <w:rFonts w:hint="eastAsia"/>
          <w:color w:val="auto"/>
        </w:rPr>
        <w:t>介绍及收集的相关资料，评估对象建成</w:t>
      </w:r>
      <w:r>
        <w:rPr>
          <w:rFonts w:hint="eastAsia"/>
          <w:color w:val="auto"/>
          <w:lang w:val="en-US" w:eastAsia="zh-CN"/>
        </w:rPr>
        <w:t>2012</w:t>
      </w:r>
      <w:r>
        <w:rPr>
          <w:rFonts w:hint="eastAsia"/>
          <w:color w:val="auto"/>
        </w:rPr>
        <w:t>年，现场</w:t>
      </w:r>
      <w:r>
        <w:rPr>
          <w:rFonts w:hint="eastAsia"/>
          <w:color w:val="auto"/>
          <w:lang w:eastAsia="zh-CN"/>
        </w:rPr>
        <w:t>勘查</w:t>
      </w:r>
      <w:r>
        <w:rPr>
          <w:rFonts w:hint="eastAsia"/>
          <w:color w:val="auto"/>
        </w:rPr>
        <w:t>，</w:t>
      </w:r>
      <w:r>
        <w:rPr>
          <w:rFonts w:hint="eastAsia"/>
          <w:color w:val="auto"/>
          <w:lang w:eastAsia="zh-CN"/>
        </w:rPr>
        <w:t>房屋维护</w:t>
      </w:r>
      <w:r>
        <w:rPr>
          <w:rFonts w:hint="eastAsia"/>
          <w:color w:val="auto"/>
        </w:rPr>
        <w:t>保养较好，</w:t>
      </w:r>
      <w:r>
        <w:rPr>
          <w:rFonts w:hint="eastAsia"/>
          <w:color w:val="auto"/>
          <w:lang w:eastAsia="zh-CN"/>
        </w:rPr>
        <w:t>地处位置优越，一面临街，商业氛围较浓厚</w:t>
      </w:r>
      <w:r>
        <w:rPr>
          <w:rFonts w:hint="eastAsia"/>
          <w:color w:val="auto"/>
        </w:rPr>
        <w:t>。</w:t>
      </w:r>
    </w:p>
    <w:p>
      <w:pPr>
        <w:numPr>
          <w:ilvl w:val="0"/>
          <w:numId w:val="23"/>
        </w:numPr>
        <w:tabs>
          <w:tab w:val="clear" w:pos="3023"/>
        </w:tabs>
        <w:spacing w:line="560" w:lineRule="exact"/>
        <w:ind w:left="-5" w:leftChars="-2" w:firstLine="784" w:firstLineChars="327"/>
        <w:rPr>
          <w:color w:val="auto"/>
        </w:rPr>
      </w:pPr>
      <w:r>
        <w:rPr>
          <w:rFonts w:hint="eastAsia"/>
          <w:color w:val="auto"/>
        </w:rPr>
        <w:t>市场因素；</w:t>
      </w:r>
    </w:p>
    <w:p>
      <w:pPr>
        <w:spacing w:line="560" w:lineRule="exact"/>
        <w:ind w:firstLine="720" w:firstLineChars="300"/>
        <w:rPr>
          <w:color w:val="auto"/>
        </w:rPr>
      </w:pPr>
      <w:r>
        <w:rPr>
          <w:rFonts w:hint="eastAsia"/>
          <w:color w:val="auto"/>
        </w:rPr>
        <w:t>周边居民购买力及消费需求</w:t>
      </w:r>
      <w:r>
        <w:rPr>
          <w:rFonts w:hint="eastAsia" w:eastAsia="宋体"/>
          <w:color w:val="auto"/>
          <w:lang w:val="en-US" w:eastAsia="zh-CN"/>
        </w:rPr>
        <w:t>较</w:t>
      </w:r>
      <w:r>
        <w:rPr>
          <w:rFonts w:hint="eastAsia"/>
          <w:color w:val="auto"/>
        </w:rPr>
        <w:t>强。</w:t>
      </w:r>
    </w:p>
    <w:p>
      <w:pPr>
        <w:spacing w:line="560" w:lineRule="exact"/>
        <w:ind w:firstLine="734" w:firstLineChars="306"/>
        <w:rPr>
          <w:rFonts w:hint="eastAsia"/>
          <w:color w:val="auto"/>
        </w:rPr>
      </w:pPr>
      <w:r>
        <w:rPr>
          <w:rFonts w:hint="eastAsia"/>
          <w:color w:val="auto"/>
        </w:rPr>
        <w:t>根据市场租金情况以及评估对象现状，结合我们的评估经验，最终确定评估对象的客观合理月租金为</w:t>
      </w:r>
      <w:r>
        <w:rPr>
          <w:rFonts w:hint="eastAsia"/>
          <w:color w:val="auto"/>
          <w:lang w:val="en-US" w:eastAsia="zh-CN"/>
        </w:rPr>
        <w:t>35</w:t>
      </w:r>
      <w:r>
        <w:rPr>
          <w:rFonts w:hint="eastAsia"/>
          <w:color w:val="auto"/>
        </w:rPr>
        <w:t>元/平方米·月。</w:t>
      </w:r>
    </w:p>
    <w:p>
      <w:pPr>
        <w:spacing w:line="560" w:lineRule="exact"/>
        <w:ind w:firstLine="735" w:firstLineChars="306"/>
        <w:rPr>
          <w:b/>
          <w:color w:val="auto"/>
        </w:rPr>
      </w:pPr>
      <w:r>
        <w:rPr>
          <w:rFonts w:hint="eastAsia"/>
          <w:b/>
          <w:color w:val="auto"/>
        </w:rPr>
        <w:t>④确定空置率和租金损失</w:t>
      </w:r>
    </w:p>
    <w:p>
      <w:pPr>
        <w:spacing w:line="560" w:lineRule="exact"/>
        <w:ind w:firstLine="480"/>
        <w:rPr>
          <w:rFonts w:hint="eastAsia"/>
          <w:color w:val="auto"/>
        </w:rPr>
      </w:pPr>
      <w:r>
        <w:rPr>
          <w:rFonts w:hint="eastAsia"/>
          <w:color w:val="auto"/>
        </w:rPr>
        <w:t>根据周边物业出租情况，并结合委估物业的具体情况，考虑估价对象每年的内部调整和装修时间等，确定空置率为</w:t>
      </w:r>
      <w:r>
        <w:rPr>
          <w:rFonts w:hint="eastAsia" w:eastAsia="宋体"/>
          <w:color w:val="auto"/>
          <w:lang w:val="en-US" w:eastAsia="zh-CN"/>
        </w:rPr>
        <w:t>5</w:t>
      </w:r>
      <w:r>
        <w:rPr>
          <w:rFonts w:hint="eastAsia"/>
          <w:color w:val="auto"/>
        </w:rPr>
        <w:t>%。</w:t>
      </w:r>
    </w:p>
    <w:p>
      <w:pPr>
        <w:spacing w:line="560" w:lineRule="exact"/>
        <w:ind w:firstLine="735" w:firstLineChars="306"/>
        <w:rPr>
          <w:b/>
          <w:color w:val="auto"/>
        </w:rPr>
      </w:pPr>
      <w:r>
        <w:rPr>
          <w:rFonts w:hint="eastAsia"/>
          <w:b/>
          <w:color w:val="auto"/>
        </w:rPr>
        <w:t>⑤确定运营费用</w:t>
      </w:r>
    </w:p>
    <w:p>
      <w:pPr>
        <w:spacing w:line="560" w:lineRule="exact"/>
        <w:ind w:firstLine="734" w:firstLineChars="306"/>
        <w:rPr>
          <w:rFonts w:hint="eastAsia"/>
          <w:color w:val="auto"/>
        </w:rPr>
      </w:pPr>
      <w:r>
        <w:rPr>
          <w:rFonts w:hint="eastAsia"/>
          <w:color w:val="auto"/>
        </w:rPr>
        <w:t>根据汉中市房屋租赁管理相关规定，房屋的租赁税费如下：</w:t>
      </w:r>
    </w:p>
    <w:tbl>
      <w:tblPr>
        <w:tblStyle w:val="22"/>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3"/>
        <w:gridCol w:w="6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b/>
                <w:color w:val="auto"/>
                <w:sz w:val="18"/>
                <w:szCs w:val="18"/>
              </w:rPr>
            </w:pPr>
            <w:r>
              <w:rPr>
                <w:b/>
                <w:color w:val="auto"/>
                <w:sz w:val="18"/>
                <w:szCs w:val="18"/>
              </w:rPr>
              <w:t>项目</w:t>
            </w:r>
          </w:p>
        </w:tc>
        <w:tc>
          <w:tcPr>
            <w:tcW w:w="6537" w:type="dxa"/>
            <w:vAlign w:val="center"/>
          </w:tcPr>
          <w:p>
            <w:pPr>
              <w:spacing w:line="560" w:lineRule="exact"/>
              <w:jc w:val="center"/>
              <w:rPr>
                <w:b/>
                <w:color w:val="auto"/>
                <w:sz w:val="18"/>
                <w:szCs w:val="18"/>
              </w:rPr>
            </w:pPr>
            <w:r>
              <w:rPr>
                <w:b/>
                <w:color w:val="auto"/>
                <w:sz w:val="18"/>
                <w:szCs w:val="1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房产税</w:t>
            </w:r>
          </w:p>
        </w:tc>
        <w:tc>
          <w:tcPr>
            <w:tcW w:w="6537" w:type="dxa"/>
            <w:vAlign w:val="center"/>
          </w:tcPr>
          <w:p>
            <w:pPr>
              <w:spacing w:line="560" w:lineRule="exact"/>
              <w:ind w:left="0" w:leftChars="0" w:firstLine="0" w:firstLineChars="0"/>
              <w:jc w:val="center"/>
              <w:rPr>
                <w:color w:val="auto"/>
                <w:sz w:val="18"/>
                <w:szCs w:val="18"/>
              </w:rPr>
            </w:pPr>
            <w:r>
              <w:rPr>
                <w:rFonts w:hint="eastAsia"/>
                <w:color w:val="auto"/>
                <w:sz w:val="18"/>
                <w:szCs w:val="18"/>
              </w:rPr>
              <w:t>根据《中华人民共和国房产税暂行条例》第四条的规定：个人出租非住房，以租金收入12%计算缴纳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房屋租赁管理费</w:t>
            </w:r>
          </w:p>
        </w:tc>
        <w:tc>
          <w:tcPr>
            <w:tcW w:w="6537" w:type="dxa"/>
            <w:vAlign w:val="center"/>
          </w:tcPr>
          <w:p>
            <w:pPr>
              <w:spacing w:line="560" w:lineRule="exact"/>
              <w:jc w:val="center"/>
              <w:rPr>
                <w:color w:val="auto"/>
                <w:sz w:val="18"/>
                <w:szCs w:val="18"/>
              </w:rPr>
            </w:pPr>
            <w:r>
              <w:rPr>
                <w:rFonts w:hint="eastAsia"/>
                <w:color w:val="auto"/>
                <w:sz w:val="18"/>
                <w:szCs w:val="18"/>
              </w:rPr>
              <w:t>年租金×</w:t>
            </w:r>
            <w:r>
              <w:rPr>
                <w:rFonts w:hint="eastAsia"/>
                <w:color w:val="auto"/>
                <w:sz w:val="18"/>
                <w:szCs w:val="18"/>
                <w:lang w:val="en-US" w:eastAsia="zh-CN"/>
              </w:rPr>
              <w:t>1</w:t>
            </w:r>
            <w:r>
              <w:rPr>
                <w:rFonts w:hint="eastAsia"/>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维修管理费</w:t>
            </w:r>
          </w:p>
        </w:tc>
        <w:tc>
          <w:tcPr>
            <w:tcW w:w="6537" w:type="dxa"/>
            <w:vAlign w:val="center"/>
          </w:tcPr>
          <w:p>
            <w:pPr>
              <w:spacing w:line="560" w:lineRule="exact"/>
              <w:jc w:val="center"/>
              <w:rPr>
                <w:color w:val="auto"/>
                <w:sz w:val="18"/>
                <w:szCs w:val="18"/>
              </w:rPr>
            </w:pPr>
            <w:r>
              <w:rPr>
                <w:rFonts w:hint="eastAsia"/>
                <w:color w:val="auto"/>
                <w:sz w:val="18"/>
                <w:szCs w:val="18"/>
              </w:rPr>
              <w:t>原建购价或租金×1%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租赁手续费</w:t>
            </w:r>
          </w:p>
        </w:tc>
        <w:tc>
          <w:tcPr>
            <w:tcW w:w="6537" w:type="dxa"/>
            <w:vAlign w:val="center"/>
          </w:tcPr>
          <w:p>
            <w:pPr>
              <w:spacing w:line="560" w:lineRule="exact"/>
              <w:jc w:val="center"/>
              <w:rPr>
                <w:color w:val="auto"/>
                <w:sz w:val="18"/>
                <w:szCs w:val="18"/>
              </w:rPr>
            </w:pPr>
            <w:r>
              <w:rPr>
                <w:rFonts w:hint="eastAsia"/>
                <w:color w:val="auto"/>
                <w:sz w:val="18"/>
                <w:szCs w:val="18"/>
              </w:rPr>
              <w:t>年租金×1％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保险费</w:t>
            </w:r>
          </w:p>
        </w:tc>
        <w:tc>
          <w:tcPr>
            <w:tcW w:w="6537" w:type="dxa"/>
            <w:vAlign w:val="center"/>
          </w:tcPr>
          <w:p>
            <w:pPr>
              <w:spacing w:line="560" w:lineRule="exact"/>
              <w:jc w:val="center"/>
              <w:rPr>
                <w:color w:val="auto"/>
                <w:sz w:val="18"/>
                <w:szCs w:val="18"/>
              </w:rPr>
            </w:pPr>
            <w:r>
              <w:rPr>
                <w:rFonts w:hint="eastAsia"/>
                <w:color w:val="auto"/>
                <w:sz w:val="18"/>
                <w:szCs w:val="18"/>
              </w:rPr>
              <w:t>原建购价×0.1%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3" w:type="dxa"/>
            <w:vAlign w:val="center"/>
          </w:tcPr>
          <w:p>
            <w:pPr>
              <w:spacing w:line="560" w:lineRule="exact"/>
              <w:jc w:val="center"/>
              <w:rPr>
                <w:color w:val="auto"/>
                <w:sz w:val="18"/>
                <w:szCs w:val="18"/>
              </w:rPr>
            </w:pPr>
            <w:r>
              <w:rPr>
                <w:rFonts w:hint="eastAsia"/>
                <w:color w:val="auto"/>
                <w:sz w:val="18"/>
                <w:szCs w:val="18"/>
              </w:rPr>
              <w:t>租赁税费</w:t>
            </w:r>
          </w:p>
        </w:tc>
        <w:tc>
          <w:tcPr>
            <w:tcW w:w="6537" w:type="dxa"/>
            <w:vAlign w:val="center"/>
          </w:tcPr>
          <w:p>
            <w:pPr>
              <w:spacing w:line="560" w:lineRule="exact"/>
              <w:ind w:left="0" w:leftChars="0" w:firstLine="0" w:firstLineChars="0"/>
              <w:jc w:val="both"/>
              <w:rPr>
                <w:color w:val="auto"/>
                <w:sz w:val="18"/>
                <w:szCs w:val="18"/>
              </w:rPr>
            </w:pPr>
            <w:r>
              <w:rPr>
                <w:rFonts w:hint="eastAsia"/>
                <w:color w:val="auto"/>
                <w:sz w:val="18"/>
                <w:szCs w:val="18"/>
              </w:rPr>
              <w:t>增值税及附加（增值税为5%，城建税</w:t>
            </w:r>
            <w:r>
              <w:rPr>
                <w:rFonts w:hint="eastAsia"/>
                <w:color w:val="auto"/>
                <w:sz w:val="18"/>
                <w:szCs w:val="18"/>
                <w:lang w:val="en-US" w:eastAsia="zh-CN"/>
              </w:rPr>
              <w:t>5</w:t>
            </w:r>
            <w:r>
              <w:rPr>
                <w:rFonts w:hint="eastAsia"/>
                <w:color w:val="auto"/>
                <w:sz w:val="18"/>
                <w:szCs w:val="18"/>
              </w:rPr>
              <w:t>%，教育费附加</w:t>
            </w:r>
            <w:r>
              <w:rPr>
                <w:rFonts w:hint="eastAsia"/>
                <w:color w:val="auto"/>
                <w:sz w:val="18"/>
                <w:szCs w:val="18"/>
                <w:lang w:val="en-US" w:eastAsia="zh-CN"/>
              </w:rPr>
              <w:t>3</w:t>
            </w:r>
            <w:r>
              <w:rPr>
                <w:rFonts w:hint="eastAsia"/>
                <w:color w:val="auto"/>
                <w:sz w:val="18"/>
                <w:szCs w:val="18"/>
              </w:rPr>
              <w:t>%，地方教育费附加</w:t>
            </w:r>
            <w:r>
              <w:rPr>
                <w:rFonts w:hint="eastAsia"/>
                <w:color w:val="auto"/>
                <w:sz w:val="18"/>
                <w:szCs w:val="18"/>
                <w:lang w:val="en-US" w:eastAsia="zh-CN"/>
              </w:rPr>
              <w:t>2</w:t>
            </w:r>
            <w:r>
              <w:rPr>
                <w:rFonts w:hint="eastAsia"/>
                <w:color w:val="auto"/>
                <w:sz w:val="18"/>
                <w:szCs w:val="18"/>
              </w:rPr>
              <w:t>%）</w:t>
            </w:r>
          </w:p>
        </w:tc>
      </w:tr>
    </w:tbl>
    <w:p>
      <w:pPr>
        <w:spacing w:line="560" w:lineRule="exact"/>
        <w:ind w:firstLine="735" w:firstLineChars="306"/>
        <w:rPr>
          <w:b/>
          <w:color w:val="auto"/>
        </w:rPr>
      </w:pPr>
      <w:r>
        <w:rPr>
          <w:rFonts w:hint="eastAsia"/>
          <w:b/>
          <w:color w:val="auto"/>
        </w:rPr>
        <w:t>⑥确定押金收益</w:t>
      </w:r>
    </w:p>
    <w:p>
      <w:pPr>
        <w:spacing w:line="560" w:lineRule="exact"/>
        <w:ind w:firstLine="734" w:firstLineChars="306"/>
        <w:rPr>
          <w:rFonts w:hint="eastAsia"/>
          <w:color w:val="auto"/>
        </w:rPr>
      </w:pPr>
      <w:r>
        <w:rPr>
          <w:rFonts w:hint="eastAsia"/>
          <w:color w:val="auto"/>
        </w:rPr>
        <w:t>押金为3个月租金，利息按三个月存款利率1.1</w:t>
      </w:r>
      <w:r>
        <w:rPr>
          <w:color w:val="auto"/>
        </w:rPr>
        <w:t>%</w:t>
      </w:r>
      <w:r>
        <w:rPr>
          <w:rFonts w:hint="eastAsia"/>
          <w:color w:val="auto"/>
        </w:rPr>
        <w:t>计，则：</w:t>
      </w:r>
    </w:p>
    <w:p>
      <w:pPr>
        <w:spacing w:line="560" w:lineRule="exact"/>
        <w:ind w:firstLine="734" w:firstLineChars="306"/>
        <w:rPr>
          <w:color w:val="auto"/>
        </w:rPr>
      </w:pPr>
      <w:r>
        <w:rPr>
          <w:rFonts w:hint="eastAsia"/>
          <w:color w:val="auto"/>
        </w:rPr>
        <w:t>押金收益=月租金×3×年利率</w:t>
      </w:r>
    </w:p>
    <w:p>
      <w:pPr>
        <w:spacing w:line="560" w:lineRule="exact"/>
        <w:ind w:firstLine="735" w:firstLineChars="306"/>
        <w:rPr>
          <w:b/>
          <w:color w:val="auto"/>
        </w:rPr>
      </w:pPr>
      <w:r>
        <w:rPr>
          <w:rFonts w:hint="eastAsia"/>
          <w:b/>
          <w:color w:val="auto"/>
        </w:rPr>
        <w:t>⑦确定年净收益A</w:t>
      </w:r>
    </w:p>
    <w:p>
      <w:pPr>
        <w:spacing w:line="560" w:lineRule="exact"/>
        <w:ind w:firstLine="734" w:firstLineChars="306"/>
        <w:rPr>
          <w:color w:val="auto"/>
        </w:rPr>
      </w:pPr>
      <w:r>
        <w:rPr>
          <w:rFonts w:hint="eastAsia"/>
          <w:color w:val="auto"/>
        </w:rPr>
        <w:t xml:space="preserve">A=月租金×12×（1-空置率）+ 押金收益 </w:t>
      </w:r>
      <w:r>
        <w:rPr>
          <w:color w:val="auto"/>
        </w:rPr>
        <w:t>–</w:t>
      </w:r>
      <w:r>
        <w:rPr>
          <w:rFonts w:hint="eastAsia"/>
          <w:color w:val="auto"/>
        </w:rPr>
        <w:t xml:space="preserve"> 运营费用</w:t>
      </w:r>
    </w:p>
    <w:p>
      <w:pPr>
        <w:numPr>
          <w:ilvl w:val="0"/>
          <w:numId w:val="0"/>
        </w:numPr>
        <w:spacing w:line="560" w:lineRule="exact"/>
        <w:ind w:leftChars="200"/>
        <w:rPr>
          <w:b/>
          <w:bCs/>
          <w:color w:val="auto"/>
        </w:rPr>
      </w:pPr>
      <w:r>
        <w:rPr>
          <w:rFonts w:hint="eastAsia" w:eastAsia="宋体"/>
          <w:b/>
          <w:bCs/>
          <w:color w:val="auto"/>
          <w:lang w:val="en-US" w:eastAsia="zh-CN"/>
        </w:rPr>
        <w:t>2、</w:t>
      </w:r>
      <w:r>
        <w:rPr>
          <w:rFonts w:hint="eastAsia"/>
          <w:b/>
          <w:bCs/>
          <w:color w:val="auto"/>
        </w:rPr>
        <w:t>确定报酬率Y</w:t>
      </w:r>
    </w:p>
    <w:p>
      <w:pPr>
        <w:spacing w:line="560" w:lineRule="exact"/>
        <w:ind w:firstLine="734" w:firstLineChars="306"/>
        <w:rPr>
          <w:color w:val="auto"/>
        </w:rPr>
      </w:pPr>
      <w:r>
        <w:rPr>
          <w:color w:val="auto"/>
        </w:rPr>
        <w:t>资本化率的确定方法有市场提取法、</w:t>
      </w:r>
      <w:r>
        <w:rPr>
          <w:rFonts w:hint="eastAsia"/>
          <w:color w:val="auto"/>
        </w:rPr>
        <w:t>安全利率加风险调整值法（累加</w:t>
      </w:r>
      <w:r>
        <w:rPr>
          <w:color w:val="auto"/>
        </w:rPr>
        <w:t>法</w:t>
      </w:r>
      <w:r>
        <w:rPr>
          <w:rFonts w:hint="eastAsia"/>
          <w:color w:val="auto"/>
        </w:rPr>
        <w:t>）</w:t>
      </w:r>
      <w:r>
        <w:rPr>
          <w:color w:val="auto"/>
        </w:rPr>
        <w:t>、复合投资收益率法、投资收益率排序插入法等方法。本</w:t>
      </w:r>
      <w:r>
        <w:rPr>
          <w:rFonts w:hint="eastAsia"/>
          <w:color w:val="auto"/>
        </w:rPr>
        <w:t>报告</w:t>
      </w:r>
      <w:r>
        <w:rPr>
          <w:color w:val="auto"/>
        </w:rPr>
        <w:t>采用</w:t>
      </w:r>
      <w:r>
        <w:rPr>
          <w:rFonts w:hint="eastAsia"/>
          <w:color w:val="auto"/>
        </w:rPr>
        <w:t>累加法确定报酬率</w:t>
      </w:r>
      <w:r>
        <w:rPr>
          <w:color w:val="auto"/>
        </w:rPr>
        <w:t>。</w:t>
      </w:r>
    </w:p>
    <w:p>
      <w:pPr>
        <w:spacing w:line="560" w:lineRule="exact"/>
        <w:ind w:firstLine="734" w:firstLineChars="306"/>
        <w:rPr>
          <w:color w:val="auto"/>
        </w:rPr>
      </w:pPr>
      <w:r>
        <w:rPr>
          <w:rFonts w:hint="eastAsia"/>
          <w:color w:val="auto"/>
        </w:rPr>
        <w:t>累加法：</w:t>
      </w:r>
    </w:p>
    <w:p>
      <w:pPr>
        <w:spacing w:line="560" w:lineRule="exact"/>
        <w:ind w:firstLine="734" w:firstLineChars="306"/>
        <w:rPr>
          <w:color w:val="auto"/>
        </w:rPr>
      </w:pPr>
      <w:r>
        <w:rPr>
          <w:rFonts w:hint="eastAsia"/>
          <w:color w:val="auto"/>
        </w:rPr>
        <w:t>无风险报酬率采用中国人民银行公布的三年期/五年期国债利率；依据社会经济因素、投资风险、通货膨胀等因素确定风险调整值，测算</w:t>
      </w:r>
      <w:r>
        <w:rPr>
          <w:rFonts w:hint="eastAsia"/>
          <w:color w:val="auto"/>
          <w:lang w:eastAsia="zh-CN"/>
        </w:rPr>
        <w:t>当地</w:t>
      </w:r>
      <w:r>
        <w:rPr>
          <w:color w:val="auto"/>
        </w:rPr>
        <w:t>商业</w:t>
      </w:r>
      <w:r>
        <w:rPr>
          <w:rFonts w:hint="eastAsia"/>
          <w:color w:val="auto"/>
        </w:rPr>
        <w:t>房地产的报酬率</w:t>
      </w:r>
      <w:r>
        <w:rPr>
          <w:color w:val="auto"/>
        </w:rPr>
        <w:t>合理区间</w:t>
      </w:r>
      <w:r>
        <w:rPr>
          <w:rFonts w:hint="eastAsia"/>
          <w:color w:val="auto"/>
        </w:rPr>
        <w:t>为6％－8%，本次评估取6.</w:t>
      </w:r>
      <w:r>
        <w:rPr>
          <w:rFonts w:hint="eastAsia" w:eastAsia="宋体"/>
          <w:color w:val="auto"/>
          <w:lang w:val="en-US" w:eastAsia="zh-CN"/>
        </w:rPr>
        <w:t>5</w:t>
      </w:r>
      <w:r>
        <w:rPr>
          <w:rFonts w:hint="eastAsia"/>
          <w:color w:val="auto"/>
        </w:rPr>
        <w:t>%。</w:t>
      </w:r>
    </w:p>
    <w:p>
      <w:pPr>
        <w:numPr>
          <w:ilvl w:val="0"/>
          <w:numId w:val="0"/>
        </w:numPr>
        <w:spacing w:line="560" w:lineRule="exact"/>
        <w:ind w:leftChars="200"/>
        <w:rPr>
          <w:b/>
          <w:bCs/>
          <w:color w:val="auto"/>
        </w:rPr>
      </w:pPr>
      <w:r>
        <w:rPr>
          <w:rFonts w:hint="eastAsia" w:eastAsia="宋体"/>
          <w:b/>
          <w:bCs/>
          <w:color w:val="auto"/>
          <w:lang w:val="en-US" w:eastAsia="zh-CN"/>
        </w:rPr>
        <w:t>3、</w:t>
      </w:r>
      <w:r>
        <w:rPr>
          <w:rFonts w:hint="eastAsia"/>
          <w:b/>
          <w:bCs/>
          <w:color w:val="auto"/>
        </w:rPr>
        <w:t>确定年净收益递增率g</w:t>
      </w:r>
    </w:p>
    <w:p>
      <w:pPr>
        <w:spacing w:line="560" w:lineRule="exact"/>
        <w:ind w:firstLine="480" w:firstLineChars="200"/>
        <w:rPr>
          <w:rFonts w:hint="eastAsia"/>
          <w:color w:val="auto"/>
        </w:rPr>
      </w:pPr>
      <w:r>
        <w:rPr>
          <w:rFonts w:hint="eastAsia"/>
          <w:color w:val="auto"/>
        </w:rPr>
        <w:t>根据市场调查，要分析当地同类房地产租金趋势，并结合评估对象的具体情况，确定净收益每年递增率为5</w:t>
      </w:r>
      <w:r>
        <w:rPr>
          <w:rFonts w:hint="eastAsia"/>
          <w:color w:val="auto"/>
          <w:lang w:val="en-US" w:eastAsia="zh-CN"/>
        </w:rPr>
        <w:t>.0</w:t>
      </w:r>
      <w:r>
        <w:rPr>
          <w:rFonts w:hint="eastAsia"/>
          <w:color w:val="auto"/>
        </w:rPr>
        <w:t>%。</w:t>
      </w:r>
    </w:p>
    <w:p>
      <w:pPr>
        <w:spacing w:line="560" w:lineRule="exact"/>
        <w:ind w:firstLine="482" w:firstLineChars="200"/>
        <w:rPr>
          <w:rFonts w:hint="eastAsia"/>
          <w:b/>
          <w:bCs/>
          <w:color w:val="auto"/>
        </w:rPr>
      </w:pPr>
      <w:r>
        <w:rPr>
          <w:rFonts w:hint="eastAsia" w:eastAsia="宋体"/>
          <w:b/>
          <w:bCs/>
          <w:color w:val="auto"/>
          <w:lang w:val="en-US" w:eastAsia="zh-CN"/>
        </w:rPr>
        <w:t>4、</w:t>
      </w:r>
      <w:r>
        <w:rPr>
          <w:rFonts w:hint="eastAsia"/>
          <w:b/>
          <w:bCs/>
          <w:color w:val="auto"/>
        </w:rPr>
        <w:t>确定剩余收益年限n</w:t>
      </w:r>
    </w:p>
    <w:p>
      <w:pPr>
        <w:spacing w:line="560" w:lineRule="exact"/>
        <w:rPr>
          <w:rFonts w:hint="eastAsia"/>
          <w:color w:val="auto"/>
          <w:highlight w:val="yellow"/>
        </w:rPr>
      </w:pPr>
      <w:r>
        <w:rPr>
          <w:rFonts w:hint="eastAsia"/>
          <w:color w:val="auto"/>
          <w:spacing w:val="-2"/>
        </w:rPr>
        <w:t>据</w:t>
      </w:r>
      <w:r>
        <w:rPr>
          <w:rFonts w:hint="eastAsia" w:eastAsia="宋体"/>
          <w:color w:val="auto"/>
          <w:spacing w:val="-2"/>
          <w:lang w:eastAsia="zh-CN"/>
        </w:rPr>
        <w:t>委托人</w:t>
      </w:r>
      <w:r>
        <w:rPr>
          <w:rFonts w:hint="eastAsia"/>
          <w:color w:val="auto"/>
          <w:spacing w:val="-2"/>
          <w:lang w:eastAsia="zh-CN"/>
        </w:rPr>
        <w:t>提供的相关资料及委估资产情况介绍</w:t>
      </w:r>
      <w:r>
        <w:rPr>
          <w:rFonts w:hint="eastAsia"/>
          <w:color w:val="auto"/>
          <w:spacing w:val="-2"/>
        </w:rPr>
        <w:t>，</w:t>
      </w:r>
      <w:r>
        <w:rPr>
          <w:rFonts w:hint="eastAsia"/>
          <w:color w:val="auto"/>
          <w:spacing w:val="-2"/>
          <w:lang w:eastAsia="zh-CN"/>
        </w:rPr>
        <w:t>本次估价对象</w:t>
      </w:r>
      <w:r>
        <w:rPr>
          <w:rFonts w:hint="eastAsia"/>
          <w:color w:val="auto"/>
          <w:spacing w:val="-2"/>
        </w:rPr>
        <w:t>于</w:t>
      </w:r>
      <w:r>
        <w:rPr>
          <w:rFonts w:hint="eastAsia"/>
          <w:snapToGrid w:val="0"/>
          <w:color w:val="auto"/>
          <w:lang w:val="en-US" w:eastAsia="zh-CN"/>
        </w:rPr>
        <w:t>2012年</w:t>
      </w:r>
      <w:r>
        <w:rPr>
          <w:rFonts w:hint="eastAsia"/>
          <w:color w:val="auto"/>
          <w:spacing w:val="-2"/>
        </w:rPr>
        <w:t>建成，</w:t>
      </w:r>
      <w:r>
        <w:rPr>
          <w:rFonts w:hint="eastAsia"/>
          <w:color w:val="auto"/>
          <w:spacing w:val="-2"/>
          <w:lang w:eastAsia="zh-CN"/>
        </w:rPr>
        <w:t>混合</w:t>
      </w:r>
      <w:r>
        <w:rPr>
          <w:rFonts w:hint="eastAsia"/>
          <w:color w:val="auto"/>
          <w:spacing w:val="-2"/>
        </w:rPr>
        <w:t>结构，</w:t>
      </w:r>
      <w:r>
        <w:rPr>
          <w:rFonts w:hint="eastAsia"/>
          <w:color w:val="auto"/>
          <w:spacing w:val="-2"/>
          <w:lang w:eastAsia="zh-CN"/>
        </w:rPr>
        <w:t>混合</w:t>
      </w:r>
      <w:r>
        <w:rPr>
          <w:rFonts w:hint="eastAsia"/>
          <w:color w:val="auto"/>
          <w:spacing w:val="-2"/>
          <w:highlight w:val="none"/>
        </w:rPr>
        <w:t>结构房屋建筑物设计使用寿命为</w:t>
      </w:r>
      <w:r>
        <w:rPr>
          <w:rFonts w:hint="eastAsia"/>
          <w:color w:val="auto"/>
          <w:spacing w:val="-2"/>
          <w:highlight w:val="none"/>
          <w:lang w:val="en-US" w:eastAsia="zh-CN"/>
        </w:rPr>
        <w:t>50</w:t>
      </w:r>
      <w:r>
        <w:rPr>
          <w:rFonts w:hint="eastAsia"/>
          <w:color w:val="auto"/>
          <w:spacing w:val="-2"/>
          <w:highlight w:val="none"/>
        </w:rPr>
        <w:t>年，</w:t>
      </w:r>
      <w:r>
        <w:rPr>
          <w:rFonts w:hint="eastAsia"/>
          <w:color w:val="auto"/>
          <w:spacing w:val="-2"/>
        </w:rPr>
        <w:t>至估价时点，本次委估房屋建筑物已使用</w:t>
      </w:r>
      <w:r>
        <w:rPr>
          <w:rFonts w:hint="eastAsia"/>
          <w:color w:val="auto"/>
          <w:spacing w:val="-2"/>
          <w:lang w:val="en-US" w:eastAsia="zh-CN"/>
        </w:rPr>
        <w:t>7.5</w:t>
      </w:r>
      <w:r>
        <w:rPr>
          <w:rFonts w:hint="eastAsia"/>
          <w:color w:val="auto"/>
          <w:spacing w:val="-2"/>
        </w:rPr>
        <w:t>年，房屋预计剩余经济耐用年期为</w:t>
      </w:r>
      <w:r>
        <w:rPr>
          <w:rFonts w:hint="eastAsia"/>
          <w:snapToGrid w:val="0"/>
          <w:color w:val="auto"/>
          <w:lang w:val="en-US" w:eastAsia="zh-CN"/>
        </w:rPr>
        <w:t>42.5</w:t>
      </w:r>
      <w:r>
        <w:rPr>
          <w:rFonts w:hint="eastAsia"/>
          <w:snapToGrid w:val="0"/>
          <w:color w:val="auto"/>
        </w:rPr>
        <w:t>年；</w:t>
      </w:r>
      <w:r>
        <w:rPr>
          <w:rFonts w:hint="eastAsia" w:eastAsia="宋体"/>
          <w:snapToGrid w:val="0"/>
          <w:color w:val="auto"/>
          <w:lang w:eastAsia="zh-CN"/>
        </w:rPr>
        <w:t>根据</w:t>
      </w:r>
      <w:r>
        <w:rPr>
          <w:rFonts w:hint="eastAsia"/>
          <w:snapToGrid w:val="0"/>
          <w:color w:val="auto"/>
          <w:lang w:eastAsia="zh-CN"/>
        </w:rPr>
        <w:t>委托人提供的《集体土地使用证》复印件，</w:t>
      </w:r>
      <w:r>
        <w:rPr>
          <w:rFonts w:hint="eastAsia"/>
          <w:snapToGrid w:val="0"/>
          <w:color w:val="auto"/>
          <w:lang w:val="en-US" w:eastAsia="zh-CN"/>
        </w:rPr>
        <w:t>委估房地产所占用的土地为集体划拨用地，无使用期限</w:t>
      </w:r>
      <w:r>
        <w:rPr>
          <w:rFonts w:hint="eastAsia"/>
          <w:snapToGrid w:val="0"/>
          <w:color w:val="auto"/>
          <w:highlight w:val="none"/>
        </w:rPr>
        <w:t>；</w:t>
      </w:r>
      <w:r>
        <w:rPr>
          <w:rFonts w:hint="eastAsia"/>
          <w:color w:val="auto"/>
          <w:spacing w:val="-2"/>
          <w:highlight w:val="none"/>
          <w:lang w:eastAsia="zh-CN"/>
        </w:rPr>
        <w:t>故</w:t>
      </w:r>
      <w:r>
        <w:rPr>
          <w:rFonts w:hint="eastAsia"/>
          <w:color w:val="auto"/>
          <w:spacing w:val="-2"/>
          <w:highlight w:val="none"/>
        </w:rPr>
        <w:t>根据《房地产估价规范》有关规定</w:t>
      </w:r>
      <w:r>
        <w:rPr>
          <w:rFonts w:hint="eastAsia" w:eastAsia="宋体"/>
          <w:color w:val="auto"/>
          <w:spacing w:val="-2"/>
          <w:highlight w:val="none"/>
          <w:lang w:eastAsia="zh-CN"/>
        </w:rPr>
        <w:t>，</w:t>
      </w:r>
      <w:r>
        <w:rPr>
          <w:rFonts w:hint="eastAsia" w:eastAsia="宋体"/>
          <w:snapToGrid w:val="0"/>
          <w:color w:val="auto"/>
          <w:highlight w:val="none"/>
          <w:lang w:eastAsia="zh-CN"/>
        </w:rPr>
        <w:t>本次评估</w:t>
      </w:r>
      <w:r>
        <w:rPr>
          <w:rFonts w:hint="eastAsia"/>
          <w:color w:val="auto"/>
          <w:spacing w:val="-2"/>
        </w:rPr>
        <w:t>剩余收益年限</w:t>
      </w:r>
      <w:r>
        <w:rPr>
          <w:rFonts w:hint="eastAsia" w:eastAsia="宋体"/>
          <w:color w:val="auto"/>
          <w:spacing w:val="-2"/>
          <w:lang w:eastAsia="zh-CN"/>
        </w:rPr>
        <w:t>采用房屋</w:t>
      </w:r>
      <w:r>
        <w:rPr>
          <w:rFonts w:hint="eastAsia"/>
          <w:color w:val="auto"/>
          <w:spacing w:val="-2"/>
        </w:rPr>
        <w:t>建筑物剩余使用年</w:t>
      </w:r>
      <w:r>
        <w:rPr>
          <w:rFonts w:hint="eastAsia"/>
          <w:color w:val="auto"/>
          <w:spacing w:val="-2"/>
          <w:highlight w:val="none"/>
        </w:rPr>
        <w:t>限</w:t>
      </w:r>
      <w:r>
        <w:rPr>
          <w:rFonts w:hint="eastAsia"/>
          <w:snapToGrid w:val="0"/>
          <w:color w:val="auto"/>
          <w:highlight w:val="none"/>
          <w:lang w:val="en-US" w:eastAsia="zh-CN"/>
        </w:rPr>
        <w:t>42.5</w:t>
      </w:r>
      <w:r>
        <w:rPr>
          <w:rFonts w:hint="eastAsia"/>
          <w:snapToGrid w:val="0"/>
          <w:color w:val="auto"/>
          <w:highlight w:val="none"/>
        </w:rPr>
        <w:t>年。</w:t>
      </w:r>
    </w:p>
    <w:p>
      <w:pPr>
        <w:numPr>
          <w:ilvl w:val="0"/>
          <w:numId w:val="24"/>
        </w:numPr>
        <w:spacing w:line="560" w:lineRule="exact"/>
        <w:rPr>
          <w:rFonts w:hint="eastAsia"/>
          <w:b/>
          <w:bCs/>
          <w:color w:val="auto"/>
        </w:rPr>
      </w:pPr>
      <w:r>
        <w:rPr>
          <w:rFonts w:hint="eastAsia"/>
          <w:b/>
          <w:bCs/>
          <w:color w:val="auto"/>
        </w:rPr>
        <w:t>评估测算结果</w:t>
      </w:r>
    </w:p>
    <w:p>
      <w:pPr>
        <w:keepNext w:val="0"/>
        <w:keepLines w:val="0"/>
        <w:pageBreakBefore w:val="0"/>
        <w:widowControl/>
        <w:kinsoku/>
        <w:wordWrap/>
        <w:overflowPunct/>
        <w:topLinePunct w:val="0"/>
        <w:autoSpaceDE/>
        <w:autoSpaceDN/>
        <w:bidi w:val="0"/>
        <w:adjustRightInd/>
        <w:snapToGrid/>
        <w:spacing w:before="164" w:beforeLines="50" w:after="164" w:afterLines="50" w:line="560" w:lineRule="exact"/>
        <w:ind w:left="0" w:leftChars="0" w:right="0" w:rightChars="0" w:firstLine="722" w:firstLineChars="306"/>
        <w:outlineLvl w:val="9"/>
        <w:rPr>
          <w:rFonts w:hint="default"/>
          <w:color w:val="auto"/>
          <w:spacing w:val="-2"/>
          <w:lang w:val="en-US" w:eastAsia="zh-CN"/>
        </w:rPr>
      </w:pPr>
      <w:r>
        <w:rPr>
          <w:rFonts w:hint="eastAsia"/>
          <w:color w:val="auto"/>
          <w:spacing w:val="-2"/>
        </w:rPr>
        <w:t>经</w:t>
      </w:r>
      <w:r>
        <w:rPr>
          <w:rFonts w:hint="eastAsia" w:eastAsia="宋体"/>
          <w:color w:val="auto"/>
          <w:spacing w:val="-2"/>
          <w:lang w:eastAsia="zh-CN"/>
        </w:rPr>
        <w:t>以上</w:t>
      </w:r>
      <w:r>
        <w:rPr>
          <w:rFonts w:hint="eastAsia"/>
          <w:color w:val="auto"/>
          <w:spacing w:val="-2"/>
        </w:rPr>
        <w:t>评估测算</w:t>
      </w:r>
      <w:r>
        <w:rPr>
          <w:rFonts w:hint="eastAsia" w:eastAsia="宋体"/>
          <w:color w:val="auto"/>
          <w:spacing w:val="-2"/>
          <w:lang w:eastAsia="zh-CN"/>
        </w:rPr>
        <w:t>过程</w:t>
      </w:r>
      <w:r>
        <w:rPr>
          <w:rFonts w:hint="eastAsia"/>
          <w:color w:val="auto"/>
          <w:spacing w:val="-2"/>
        </w:rPr>
        <w:t>，</w:t>
      </w:r>
      <w:r>
        <w:rPr>
          <w:rFonts w:hint="eastAsia" w:eastAsia="宋体"/>
          <w:color w:val="auto"/>
          <w:spacing w:val="-2"/>
          <w:lang w:eastAsia="zh-CN"/>
        </w:rPr>
        <w:t>采用收益法测算</w:t>
      </w:r>
      <w:r>
        <w:rPr>
          <w:rFonts w:hint="eastAsia"/>
          <w:color w:val="auto"/>
          <w:spacing w:val="-2"/>
        </w:rPr>
        <w:t>最终确定估价对象</w:t>
      </w:r>
      <w:r>
        <w:rPr>
          <w:rFonts w:hint="eastAsia" w:eastAsia="宋体"/>
          <w:color w:val="auto"/>
          <w:spacing w:val="-2"/>
          <w:lang w:eastAsia="zh-CN"/>
        </w:rPr>
        <w:t>一层抽样面积的</w:t>
      </w:r>
      <w:r>
        <w:rPr>
          <w:rFonts w:hint="eastAsia"/>
          <w:color w:val="auto"/>
          <w:spacing w:val="-2"/>
        </w:rPr>
        <w:t>市场</w:t>
      </w:r>
      <w:r>
        <w:rPr>
          <w:rFonts w:hint="eastAsia" w:eastAsia="宋体"/>
          <w:color w:val="auto"/>
          <w:spacing w:val="-2"/>
          <w:lang w:eastAsia="zh-CN"/>
        </w:rPr>
        <w:t>评估单价为</w:t>
      </w:r>
      <w:r>
        <w:rPr>
          <w:rFonts w:hint="eastAsia" w:eastAsia="宋体"/>
          <w:color w:val="auto"/>
          <w:spacing w:val="-2"/>
          <w:lang w:val="en-US" w:eastAsia="zh-CN"/>
        </w:rPr>
        <w:t>10,190 元/平方米.</w:t>
      </w:r>
    </w:p>
    <w:p>
      <w:pPr>
        <w:keepNext w:val="0"/>
        <w:keepLines w:val="0"/>
        <w:pageBreakBefore w:val="0"/>
        <w:widowControl/>
        <w:kinsoku/>
        <w:wordWrap/>
        <w:overflowPunct/>
        <w:topLinePunct w:val="0"/>
        <w:autoSpaceDE/>
        <w:autoSpaceDN/>
        <w:bidi w:val="0"/>
        <w:adjustRightInd/>
        <w:snapToGrid/>
        <w:spacing w:before="164" w:beforeLines="50" w:after="164" w:afterLines="50" w:line="560" w:lineRule="exact"/>
        <w:ind w:left="0" w:leftChars="0" w:right="0" w:rightChars="0" w:firstLine="722" w:firstLineChars="306"/>
        <w:outlineLvl w:val="9"/>
        <w:rPr>
          <w:rFonts w:hint="default"/>
          <w:color w:val="auto"/>
          <w:spacing w:val="-2"/>
          <w:lang w:val="en-US" w:eastAsia="zh-CN"/>
        </w:rPr>
      </w:pPr>
      <w:r>
        <w:rPr>
          <w:rFonts w:hint="eastAsia"/>
          <w:color w:val="auto"/>
          <w:spacing w:val="-2"/>
          <w:lang w:val="en-US" w:eastAsia="zh-CN"/>
        </w:rPr>
        <w:t>(三）评估结果的确定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default" w:ascii="宋体" w:hAnsi="宋体" w:eastAsia="宋体" w:cs="宋体"/>
          <w:color w:val="auto"/>
          <w:lang w:val="en-US" w:eastAsia="zh-CN"/>
        </w:rPr>
      </w:pPr>
      <w:r>
        <w:rPr>
          <w:rFonts w:hint="eastAsia" w:ascii="宋体" w:hAnsi="宋体" w:eastAsia="宋体" w:cs="宋体"/>
          <w:color w:val="auto"/>
          <w:lang w:val="en-US" w:eastAsia="zh-CN"/>
        </w:rPr>
        <w:t>1、以抽样面积求出的一层商铺加权平均单价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由于市场比较法和收益法测算出不同的结果，但两种方法测算出的结果有一定的差异，收益法是测算未来收益折算出现实价值，市场比较是选用区域可比案例经修正得出评估对象比准价值，两种方法均贴合评估对象的特征，经估价师综合分析结合评估经验，本次选用两种方法的加权平均值作为评估对象的最终市场价值；结果如下表：</w:t>
      </w:r>
    </w:p>
    <w:tbl>
      <w:tblPr>
        <w:tblStyle w:val="22"/>
        <w:tblW w:w="4481" w:type="pct"/>
        <w:tblInd w:w="0" w:type="dxa"/>
        <w:shd w:val="clear" w:color="auto" w:fill="auto"/>
        <w:tblLayout w:type="autofit"/>
        <w:tblCellMar>
          <w:top w:w="0" w:type="dxa"/>
          <w:left w:w="0" w:type="dxa"/>
          <w:bottom w:w="0" w:type="dxa"/>
          <w:right w:w="0" w:type="dxa"/>
        </w:tblCellMar>
      </w:tblPr>
      <w:tblGrid>
        <w:gridCol w:w="1132"/>
        <w:gridCol w:w="790"/>
        <w:gridCol w:w="1601"/>
        <w:gridCol w:w="1773"/>
        <w:gridCol w:w="1276"/>
        <w:gridCol w:w="1712"/>
      </w:tblGrid>
      <w:tr>
        <w:tblPrEx>
          <w:shd w:val="clear" w:color="auto" w:fill="auto"/>
          <w:tblCellMar>
            <w:top w:w="0" w:type="dxa"/>
            <w:left w:w="0" w:type="dxa"/>
            <w:bottom w:w="0" w:type="dxa"/>
            <w:right w:w="0" w:type="dxa"/>
          </w:tblCellMar>
        </w:tblPrEx>
        <w:trPr>
          <w:trHeight w:val="540" w:hRule="atLeast"/>
        </w:trPr>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评估方法</w:t>
            </w: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证载用途</w:t>
            </w:r>
          </w:p>
        </w:tc>
        <w:tc>
          <w:tcPr>
            <w:tcW w:w="9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实际用途</w:t>
            </w:r>
          </w:p>
        </w:tc>
        <w:tc>
          <w:tcPr>
            <w:tcW w:w="10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评估单价(元/㎡）</w:t>
            </w:r>
          </w:p>
        </w:tc>
        <w:tc>
          <w:tcPr>
            <w:tcW w:w="7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权重（%）</w:t>
            </w:r>
          </w:p>
        </w:tc>
        <w:tc>
          <w:tcPr>
            <w:tcW w:w="10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评估单价 (元/㎡）</w:t>
            </w:r>
          </w:p>
        </w:tc>
      </w:tr>
      <w:tr>
        <w:tblPrEx>
          <w:tblCellMar>
            <w:top w:w="0" w:type="dxa"/>
            <w:left w:w="0" w:type="dxa"/>
            <w:bottom w:w="0" w:type="dxa"/>
            <w:right w:w="0" w:type="dxa"/>
          </w:tblCellMar>
        </w:tblPrEx>
        <w:trPr>
          <w:trHeight w:val="464" w:hRule="atLeast"/>
        </w:trPr>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收益法</w:t>
            </w:r>
          </w:p>
        </w:tc>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住宅</w:t>
            </w:r>
          </w:p>
        </w:tc>
        <w:tc>
          <w:tcPr>
            <w:tcW w:w="96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营业（酒店）</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10,190.00</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3,060.00</w:t>
            </w:r>
          </w:p>
        </w:tc>
      </w:tr>
      <w:tr>
        <w:tblPrEx>
          <w:tblCellMar>
            <w:top w:w="0" w:type="dxa"/>
            <w:left w:w="0" w:type="dxa"/>
            <w:bottom w:w="0" w:type="dxa"/>
            <w:right w:w="0" w:type="dxa"/>
          </w:tblCellMar>
        </w:tblPrEx>
        <w:trPr>
          <w:trHeight w:val="380" w:hRule="atLeast"/>
        </w:trPr>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市场法</w:t>
            </w:r>
          </w:p>
        </w:tc>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12,510.00</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8,760.00</w:t>
            </w:r>
          </w:p>
        </w:tc>
      </w:tr>
      <w:tr>
        <w:tblPrEx>
          <w:tblCellMar>
            <w:top w:w="0" w:type="dxa"/>
            <w:left w:w="0" w:type="dxa"/>
            <w:bottom w:w="0" w:type="dxa"/>
            <w:right w:w="0" w:type="dxa"/>
          </w:tblCellMar>
        </w:tblPrEx>
        <w:trPr>
          <w:trHeight w:val="380" w:hRule="atLeast"/>
        </w:trPr>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合计</w:t>
            </w: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103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11,820.00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34" w:leftChars="0"/>
        <w:textAlignment w:val="auto"/>
        <w:outlineLvl w:val="9"/>
        <w:rPr>
          <w:rFonts w:hint="eastAsia" w:ascii="宋体" w:hAnsi="宋体" w:eastAsia="宋体"/>
          <w:color w:val="auto"/>
          <w:lang w:val="en-US" w:eastAsia="zh-CN"/>
        </w:rPr>
      </w:pPr>
      <w:r>
        <w:rPr>
          <w:rFonts w:hint="eastAsia" w:ascii="宋体" w:hAnsi="宋体" w:eastAsia="宋体"/>
          <w:color w:val="auto"/>
          <w:lang w:val="en-US" w:eastAsia="zh-CN"/>
        </w:rPr>
        <w:t>2、楼层差异修正及快速变现价值确认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olor w:val="auto"/>
          <w:lang w:eastAsia="zh-CN"/>
        </w:rPr>
      </w:pPr>
      <w:r>
        <w:rPr>
          <w:rFonts w:hint="eastAsia" w:ascii="宋体" w:hAnsi="宋体" w:eastAsia="宋体"/>
          <w:snapToGrid w:val="0"/>
          <w:color w:val="auto"/>
          <w:highlight w:val="none"/>
          <w:lang w:val="en-US" w:eastAsia="zh-CN"/>
        </w:rPr>
        <w:t>由于以上求出的评估单价为一层营业用房的评估价值，对于二层及以上的房屋其所处楼层不同，价格也不相同，所以还需要进行楼层差异修正才能得出所在楼层的评估单价；</w:t>
      </w:r>
      <w:r>
        <w:rPr>
          <w:rFonts w:hint="eastAsia" w:ascii="宋体" w:hAnsi="宋体" w:eastAsia="宋体"/>
          <w:color w:val="auto"/>
          <w:lang w:eastAsia="zh-CN"/>
        </w:rPr>
        <w:t>又因</w:t>
      </w:r>
      <w:r>
        <w:rPr>
          <w:rFonts w:hint="eastAsia" w:ascii="宋体" w:hAnsi="宋体" w:eastAsia="宋体"/>
          <w:color w:val="auto"/>
        </w:rPr>
        <w:t>本次</w:t>
      </w:r>
      <w:r>
        <w:rPr>
          <w:rFonts w:hint="eastAsia" w:ascii="宋体" w:hAnsi="宋体" w:eastAsia="宋体"/>
          <w:color w:val="auto"/>
          <w:lang w:eastAsia="zh-CN"/>
        </w:rPr>
        <w:t>评估目的为司法处分，选用的价值类型</w:t>
      </w:r>
      <w:r>
        <w:rPr>
          <w:rFonts w:hint="eastAsia" w:ascii="宋体" w:hAnsi="宋体" w:eastAsia="宋体"/>
          <w:color w:val="auto"/>
        </w:rPr>
        <w:t>为清算价值，</w:t>
      </w:r>
      <w:r>
        <w:rPr>
          <w:rFonts w:hint="eastAsia" w:ascii="宋体" w:hAnsi="宋体" w:eastAsia="宋体"/>
          <w:color w:val="auto"/>
          <w:lang w:eastAsia="zh-CN"/>
        </w:rPr>
        <w:t>评估对象所占用的土地为集体划拨用地，集体划拨用地市场交易范围受到一定的局限，并且本次评估对象体量较大，变现难度也较大，</w:t>
      </w:r>
      <w:r>
        <w:rPr>
          <w:rFonts w:hint="eastAsia" w:ascii="宋体" w:hAnsi="宋体" w:eastAsia="宋体"/>
          <w:color w:val="auto"/>
        </w:rPr>
        <w:t>考虑资产短期变现处置造成的折扣损失，为快速变现结合当地资产的实际情况确定本次委估资产的变现折扣率为</w:t>
      </w:r>
      <w:r>
        <w:rPr>
          <w:rFonts w:hint="eastAsia" w:ascii="宋体" w:hAnsi="宋体" w:eastAsia="宋体"/>
          <w:color w:val="auto"/>
          <w:highlight w:val="none"/>
          <w:lang w:val="en-US" w:eastAsia="zh-CN"/>
        </w:rPr>
        <w:t>20</w:t>
      </w:r>
      <w:r>
        <w:rPr>
          <w:rFonts w:ascii="宋体" w:hAnsi="宋体" w:eastAsia="宋体"/>
          <w:color w:val="auto"/>
          <w:highlight w:val="none"/>
        </w:rPr>
        <w:t>%</w:t>
      </w:r>
      <w:r>
        <w:rPr>
          <w:rFonts w:hint="eastAsia" w:ascii="宋体" w:hAnsi="宋体" w:eastAsia="宋体"/>
          <w:color w:val="auto"/>
        </w:rPr>
        <w:t>，</w:t>
      </w:r>
      <w:r>
        <w:rPr>
          <w:rFonts w:hint="eastAsia" w:ascii="宋体" w:hAnsi="宋体" w:eastAsia="宋体"/>
          <w:color w:val="auto"/>
          <w:lang w:eastAsia="zh-CN"/>
        </w:rPr>
        <w:t>房地产（不含装修）快速变现价值评估结果如下：</w:t>
      </w:r>
    </w:p>
    <w:tbl>
      <w:tblPr>
        <w:tblStyle w:val="22"/>
        <w:tblW w:w="4996" w:type="pct"/>
        <w:tblInd w:w="0" w:type="dxa"/>
        <w:shd w:val="clear" w:color="auto" w:fill="auto"/>
        <w:tblLayout w:type="autofit"/>
        <w:tblCellMar>
          <w:top w:w="0" w:type="dxa"/>
          <w:left w:w="0" w:type="dxa"/>
          <w:bottom w:w="0" w:type="dxa"/>
          <w:right w:w="0" w:type="dxa"/>
        </w:tblCellMar>
      </w:tblPr>
      <w:tblGrid>
        <w:gridCol w:w="606"/>
        <w:gridCol w:w="579"/>
        <w:gridCol w:w="640"/>
        <w:gridCol w:w="642"/>
        <w:gridCol w:w="756"/>
        <w:gridCol w:w="573"/>
        <w:gridCol w:w="627"/>
        <w:gridCol w:w="1006"/>
        <w:gridCol w:w="1110"/>
        <w:gridCol w:w="838"/>
        <w:gridCol w:w="1110"/>
        <w:gridCol w:w="750"/>
      </w:tblGrid>
      <w:tr>
        <w:tblPrEx>
          <w:shd w:val="clear" w:color="auto" w:fill="auto"/>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产权证号</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产权人</w:t>
            </w:r>
          </w:p>
        </w:tc>
        <w:tc>
          <w:tcPr>
            <w:tcW w:w="3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用途</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建筑面积</w:t>
            </w:r>
          </w:p>
        </w:tc>
        <w:tc>
          <w:tcPr>
            <w:tcW w:w="3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楼层</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楼层修正</w:t>
            </w:r>
          </w:p>
        </w:tc>
        <w:tc>
          <w:tcPr>
            <w:tcW w:w="5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评估单价（元/㎡）</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评估总价（元）</w:t>
            </w:r>
          </w:p>
        </w:tc>
        <w:tc>
          <w:tcPr>
            <w:tcW w:w="4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快速变现折扣率</w:t>
            </w:r>
          </w:p>
        </w:tc>
        <w:tc>
          <w:tcPr>
            <w:tcW w:w="6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快速变现价值（元）</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折合单价（元/㎡）</w:t>
            </w:r>
          </w:p>
        </w:tc>
      </w:tr>
      <w:tr>
        <w:tblPrEx>
          <w:tblCellMar>
            <w:top w:w="0" w:type="dxa"/>
            <w:left w:w="0" w:type="dxa"/>
            <w:bottom w:w="0" w:type="dxa"/>
            <w:right w:w="0" w:type="dxa"/>
          </w:tblCellMar>
        </w:tblPrEx>
        <w:trPr>
          <w:trHeight w:val="3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西乡县房权证西私房字第28789号</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岳洪</w:t>
            </w:r>
          </w:p>
        </w:tc>
        <w:tc>
          <w:tcPr>
            <w:tcW w:w="3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证载住宅，实际为营业用房</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87.56</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11,820.00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1,034,900.00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827,900.00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9,460.00</w:t>
            </w:r>
          </w:p>
        </w:tc>
      </w:tr>
      <w:tr>
        <w:tblPrEx>
          <w:tblCellMar>
            <w:top w:w="0" w:type="dxa"/>
            <w:left w:w="0" w:type="dxa"/>
            <w:bottom w:w="0" w:type="dxa"/>
            <w:right w:w="0" w:type="dxa"/>
          </w:tblCellMar>
        </w:tblPrEx>
        <w:trPr>
          <w:trHeight w:val="4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94.04</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5,910.00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555,700.00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444,600.00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4,730.00</w:t>
            </w:r>
          </w:p>
        </w:tc>
      </w:tr>
      <w:tr>
        <w:tblPrEx>
          <w:tblCellMar>
            <w:top w:w="0" w:type="dxa"/>
            <w:left w:w="0" w:type="dxa"/>
            <w:bottom w:w="0" w:type="dxa"/>
            <w:right w:w="0" w:type="dxa"/>
          </w:tblCellMar>
        </w:tblPrEx>
        <w:trPr>
          <w:trHeight w:val="40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94.04</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4,730.00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444,800.00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355,800.00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3,780.00</w:t>
            </w:r>
          </w:p>
        </w:tc>
      </w:tr>
      <w:tr>
        <w:tblPrEx>
          <w:tblCellMar>
            <w:top w:w="0" w:type="dxa"/>
            <w:left w:w="0" w:type="dxa"/>
            <w:bottom w:w="0" w:type="dxa"/>
            <w:right w:w="0" w:type="dxa"/>
          </w:tblCellMar>
        </w:tblPrEx>
        <w:trPr>
          <w:trHeight w:val="42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94.04</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333,800.00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267,000.00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2,840.00</w:t>
            </w:r>
          </w:p>
        </w:tc>
      </w:tr>
      <w:tr>
        <w:tblPrEx>
          <w:tblCellMar>
            <w:top w:w="0" w:type="dxa"/>
            <w:left w:w="0" w:type="dxa"/>
            <w:bottom w:w="0" w:type="dxa"/>
            <w:right w:w="0" w:type="dxa"/>
          </w:tblCellMar>
        </w:tblPrEx>
        <w:trPr>
          <w:trHeight w:val="4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94.04</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333,800.00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267,000.00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2,840.00</w:t>
            </w:r>
          </w:p>
        </w:tc>
      </w:tr>
      <w:tr>
        <w:tblPrEx>
          <w:tblCellMar>
            <w:top w:w="0" w:type="dxa"/>
            <w:left w:w="0" w:type="dxa"/>
            <w:bottom w:w="0" w:type="dxa"/>
            <w:right w:w="0" w:type="dxa"/>
          </w:tblCellMar>
        </w:tblPrEx>
        <w:trPr>
          <w:trHeight w:val="4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94.04</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2,960.00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278,300.00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222,600.00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2,370.00</w:t>
            </w:r>
          </w:p>
        </w:tc>
      </w:tr>
      <w:tr>
        <w:tblPrEx>
          <w:tblCellMar>
            <w:top w:w="0" w:type="dxa"/>
            <w:left w:w="0" w:type="dxa"/>
            <w:bottom w:w="0" w:type="dxa"/>
            <w:right w:w="0" w:type="dxa"/>
          </w:tblCellMar>
        </w:tblPrEx>
        <w:trPr>
          <w:trHeight w:val="44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86.12</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203,200.00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162,600.00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1,890.00</w:t>
            </w:r>
          </w:p>
        </w:tc>
      </w:tr>
      <w:tr>
        <w:tblPrEx>
          <w:tblCellMar>
            <w:top w:w="0" w:type="dxa"/>
            <w:left w:w="0" w:type="dxa"/>
            <w:bottom w:w="0" w:type="dxa"/>
            <w:right w:w="0" w:type="dxa"/>
          </w:tblCellMar>
        </w:tblPrEx>
        <w:trPr>
          <w:trHeight w:val="380" w:hRule="atLeast"/>
        </w:trPr>
        <w:tc>
          <w:tcPr>
            <w:tcW w:w="133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小计</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643.85</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3,184,500.00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2,547,500.00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3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西乡县房权证西私房字第28790号</w:t>
            </w:r>
          </w:p>
        </w:tc>
        <w:tc>
          <w:tcPr>
            <w:tcW w:w="3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祝儒琴</w:t>
            </w:r>
          </w:p>
        </w:tc>
        <w:tc>
          <w:tcPr>
            <w:tcW w:w="3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证载住宅，实际为营业用房</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117.160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11,820.00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1,384,800.00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1,107,800.00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9,460.00</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127.600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5,910.00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754,100.00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603,300.00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4,730.00</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127.600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4,730.00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603,500.00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482,800.00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3,780.00</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127.600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453,000.00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362,400.00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2,840.00</w:t>
            </w:r>
          </w:p>
        </w:tc>
      </w:tr>
      <w:tr>
        <w:tblPrEx>
          <w:tblCellMar>
            <w:top w:w="0" w:type="dxa"/>
            <w:left w:w="0" w:type="dxa"/>
            <w:bottom w:w="0" w:type="dxa"/>
            <w:right w:w="0" w:type="dxa"/>
          </w:tblCellMar>
        </w:tblPrEx>
        <w:trPr>
          <w:trHeight w:val="46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127.600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3,550.00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453,000.00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362,400.00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2,840.00</w:t>
            </w:r>
          </w:p>
        </w:tc>
      </w:tr>
      <w:tr>
        <w:tblPrEx>
          <w:tblCellMar>
            <w:top w:w="0" w:type="dxa"/>
            <w:left w:w="0" w:type="dxa"/>
            <w:bottom w:w="0" w:type="dxa"/>
            <w:right w:w="0" w:type="dxa"/>
          </w:tblCellMar>
        </w:tblPrEx>
        <w:trPr>
          <w:trHeight w:val="3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127.600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2,960.00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377,700.00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302,200.00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2,370.00</w:t>
            </w:r>
          </w:p>
        </w:tc>
      </w:tr>
      <w:tr>
        <w:tblPrEx>
          <w:tblCellMar>
            <w:top w:w="0" w:type="dxa"/>
            <w:left w:w="0" w:type="dxa"/>
            <w:bottom w:w="0" w:type="dxa"/>
            <w:right w:w="0" w:type="dxa"/>
          </w:tblCellMar>
        </w:tblPrEx>
        <w:trPr>
          <w:trHeight w:val="209"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3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97.440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七层</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2,360.00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230,000.00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184,000.00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1,890.00</w:t>
            </w:r>
          </w:p>
        </w:tc>
      </w:tr>
      <w:tr>
        <w:tblPrEx>
          <w:tblCellMar>
            <w:top w:w="0" w:type="dxa"/>
            <w:left w:w="0" w:type="dxa"/>
            <w:bottom w:w="0" w:type="dxa"/>
            <w:right w:w="0" w:type="dxa"/>
          </w:tblCellMar>
        </w:tblPrEx>
        <w:trPr>
          <w:trHeight w:val="420" w:hRule="atLeast"/>
        </w:trPr>
        <w:tc>
          <w:tcPr>
            <w:tcW w:w="133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小计</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852.60</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4,256,100.00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3,404,900.00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400" w:hRule="atLeast"/>
        </w:trPr>
        <w:tc>
          <w:tcPr>
            <w:tcW w:w="1334"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1,496.45</w:t>
            </w: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7,440,600.00</w:t>
            </w:r>
          </w:p>
        </w:tc>
        <w:tc>
          <w:tcPr>
            <w:tcW w:w="4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5,952,400.00</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3,980.00</w:t>
            </w:r>
          </w:p>
        </w:tc>
      </w:tr>
    </w:tbl>
    <w:p>
      <w:pPr>
        <w:numPr>
          <w:ilvl w:val="0"/>
          <w:numId w:val="0"/>
        </w:numPr>
        <w:spacing w:line="560" w:lineRule="exact"/>
        <w:ind w:firstLine="480" w:firstLineChars="200"/>
        <w:rPr>
          <w:rFonts w:hint="default" w:ascii="宋体" w:hAnsi="宋体" w:eastAsia="宋体" w:cs="宋体"/>
          <w:color w:val="auto"/>
          <w:kern w:val="0"/>
          <w:lang w:val="en-US" w:eastAsia="zh-CN"/>
        </w:rPr>
      </w:pPr>
      <w:r>
        <w:rPr>
          <w:rFonts w:hint="eastAsia" w:ascii="宋体" w:hAnsi="宋体" w:eastAsia="宋体" w:cs="宋体"/>
          <w:color w:val="auto"/>
          <w:kern w:val="0"/>
          <w:lang w:val="en-US" w:eastAsia="zh-CN"/>
        </w:rPr>
        <w:t>3、需扣减的地价款</w:t>
      </w:r>
    </w:p>
    <w:p>
      <w:pPr>
        <w:numPr>
          <w:ilvl w:val="0"/>
          <w:numId w:val="0"/>
        </w:numPr>
        <w:spacing w:line="560" w:lineRule="exact"/>
        <w:ind w:firstLine="480" w:firstLineChars="200"/>
        <w:rPr>
          <w:rFonts w:hint="eastAsia" w:ascii="宋体" w:hAnsi="宋体" w:eastAsia="宋体" w:cs="宋体"/>
          <w:b/>
          <w:bCs/>
          <w:color w:val="auto"/>
          <w:lang w:eastAsia="zh-CN"/>
        </w:rPr>
      </w:pPr>
      <w:r>
        <w:rPr>
          <w:rFonts w:hint="eastAsia" w:ascii="宋体" w:hAnsi="宋体" w:eastAsia="宋体" w:cs="仿宋"/>
          <w:kern w:val="1"/>
          <w:lang w:eastAsia="zh-CN"/>
        </w:rPr>
        <w:t>本次评估目的为司法处分，</w:t>
      </w:r>
      <w:r>
        <w:rPr>
          <w:rFonts w:hint="eastAsia" w:ascii="宋体" w:hAnsi="宋体" w:cs="仿宋"/>
          <w:kern w:val="1"/>
        </w:rPr>
        <w:t>委估</w:t>
      </w:r>
      <w:r>
        <w:rPr>
          <w:rFonts w:hint="eastAsia" w:ascii="宋体" w:hAnsi="宋体" w:eastAsia="宋体" w:cs="仿宋"/>
          <w:kern w:val="1"/>
          <w:lang w:eastAsia="zh-CN"/>
        </w:rPr>
        <w:t>房地产所占用的土地</w:t>
      </w:r>
      <w:r>
        <w:rPr>
          <w:rFonts w:hint="eastAsia" w:ascii="宋体" w:hAnsi="宋体" w:cs="仿宋"/>
          <w:kern w:val="1"/>
        </w:rPr>
        <w:t>为</w:t>
      </w:r>
      <w:r>
        <w:rPr>
          <w:rFonts w:hint="eastAsia" w:ascii="宋体" w:hAnsi="宋体" w:eastAsia="宋体" w:cs="仿宋"/>
          <w:kern w:val="1"/>
          <w:lang w:eastAsia="zh-CN"/>
        </w:rPr>
        <w:t>集体</w:t>
      </w:r>
      <w:r>
        <w:rPr>
          <w:rFonts w:hint="eastAsia" w:ascii="宋体" w:hAnsi="宋体" w:cs="仿宋"/>
          <w:kern w:val="1"/>
        </w:rPr>
        <w:t>划拨用地，根据</w:t>
      </w:r>
      <w:r>
        <w:rPr>
          <w:rFonts w:hint="eastAsia" w:ascii="宋体" w:hAnsi="宋体"/>
          <w:color w:val="auto"/>
          <w:sz w:val="24"/>
          <w:szCs w:val="24"/>
        </w:rPr>
        <w:t>《陕西省国有土地使</w:t>
      </w:r>
      <w:r>
        <w:rPr>
          <w:rFonts w:hint="eastAsia" w:ascii="宋体" w:hAnsi="宋体"/>
          <w:color w:val="auto"/>
          <w:sz w:val="24"/>
          <w:szCs w:val="24"/>
          <w:lang w:val="en-US" w:eastAsia="zh-CN"/>
        </w:rPr>
        <w:t>用权出让和转让暂行条例》第三十条规定“划拨土地使用权转让、出租、抵押时，必须办理出让手续，由受让方、划拨土地使用权出租方、抵押方与市、县人民政府土地管理部门签订土地使用权出让合同，补交出让金后，依照本办法第三章规定办理。法律、行政法规另有规定的从其规定”</w:t>
      </w:r>
      <w:r>
        <w:rPr>
          <w:rFonts w:hint="eastAsia" w:ascii="宋体" w:hAnsi="宋体" w:eastAsia="宋体" w:cs="仿宋"/>
          <w:kern w:val="1"/>
          <w:lang w:eastAsia="zh-CN"/>
        </w:rPr>
        <w:t>，</w:t>
      </w:r>
      <w:r>
        <w:rPr>
          <w:rFonts w:hint="eastAsia" w:ascii="宋体" w:hAnsi="宋体" w:cs="仿宋"/>
          <w:kern w:val="1"/>
        </w:rPr>
        <w:t>第三十一条规定“划拨土地使用权补交出让金，应当区别土地的不同用途，按宗地当地评估地价的一定比例收取，最低不得低于评估地价的40%。”</w:t>
      </w:r>
      <w:r>
        <w:rPr>
          <w:rFonts w:hint="eastAsia" w:ascii="宋体" w:hAnsi="宋体"/>
          <w:color w:val="auto"/>
          <w:sz w:val="24"/>
          <w:szCs w:val="24"/>
          <w:lang w:eastAsia="zh-CN"/>
        </w:rPr>
        <w:t>因此本次评估还需扣除划拨土地使用权应缴纳的土地出让金。</w:t>
      </w:r>
      <w:r>
        <w:rPr>
          <w:rFonts w:hint="eastAsia" w:ascii="宋体" w:hAnsi="宋体" w:eastAsia="宋体" w:cs="宋体"/>
          <w:color w:val="auto"/>
          <w:kern w:val="0"/>
          <w:lang w:eastAsia="zh-CN"/>
        </w:rPr>
        <w:t>具体测算过程如下：</w:t>
      </w:r>
    </w:p>
    <w:p>
      <w:pPr>
        <w:numPr>
          <w:ilvl w:val="0"/>
          <w:numId w:val="0"/>
        </w:numPr>
        <w:spacing w:line="560" w:lineRule="exact"/>
        <w:ind w:firstLine="480" w:firstLineChars="200"/>
        <w:rPr>
          <w:rFonts w:hint="eastAsia" w:ascii="宋体" w:hAnsi="宋体" w:eastAsia="宋体" w:cs="仿宋"/>
          <w:kern w:val="1"/>
          <w:lang w:eastAsia="zh-CN"/>
        </w:rPr>
      </w:pPr>
      <w:r>
        <w:rPr>
          <w:rFonts w:hint="eastAsia" w:ascii="宋体" w:hAnsi="宋体" w:cs="仿宋"/>
          <w:kern w:val="1"/>
        </w:rPr>
        <w:t>本次估价对象土地用途为住宅用地，根据《城镇土地估价规程》（GB/T 18508-2014），通行的地价评估方法有市场比较法、收益还原法、剩余法（假设开发法）、成本逼近法、基准地价系数修正法等。估价方法的选择应按照地价评估的技术《规程》，根据当地土地市场发育情况并结合估价对象的具体特点及估价目的，选择适当的估价方法。按照上述要求，估价人员根据现场勘查情况，结合估价对象所处区域土地市场状况及估价对象特点，本次评估采用基准地价系数修正法</w:t>
      </w:r>
      <w:r>
        <w:rPr>
          <w:rFonts w:hint="eastAsia" w:ascii="宋体" w:hAnsi="宋体" w:eastAsia="宋体" w:cs="仿宋"/>
          <w:kern w:val="1"/>
          <w:lang w:eastAsia="zh-CN"/>
        </w:rPr>
        <w:t>、成本逼近法和收益法</w:t>
      </w:r>
      <w:r>
        <w:rPr>
          <w:rFonts w:hint="eastAsia" w:ascii="宋体" w:hAnsi="宋体" w:cs="仿宋"/>
          <w:kern w:val="1"/>
        </w:rPr>
        <w:t>进行</w:t>
      </w:r>
      <w:r>
        <w:rPr>
          <w:rFonts w:hint="eastAsia" w:ascii="宋体" w:hAnsi="宋体" w:eastAsia="宋体" w:cs="仿宋"/>
          <w:kern w:val="1"/>
          <w:lang w:eastAsia="zh-CN"/>
        </w:rPr>
        <w:t>评估测算。</w:t>
      </w:r>
    </w:p>
    <w:p>
      <w:pPr>
        <w:keepNext w:val="0"/>
        <w:keepLines w:val="0"/>
        <w:pageBreakBefore w:val="0"/>
        <w:widowControl/>
        <w:numPr>
          <w:ilvl w:val="0"/>
          <w:numId w:val="0"/>
        </w:numPr>
        <w:kinsoku/>
        <w:wordWrap/>
        <w:overflowPunct/>
        <w:topLinePunct w:val="0"/>
        <w:autoSpaceDE/>
        <w:autoSpaceDN/>
        <w:bidi w:val="0"/>
        <w:spacing w:line="560" w:lineRule="exact"/>
        <w:ind w:leftChars="0" w:right="0" w:rightChars="0"/>
        <w:jc w:val="left"/>
        <w:textAlignment w:val="auto"/>
        <w:outlineLvl w:val="9"/>
        <w:rPr>
          <w:rFonts w:hint="eastAsia" w:ascii="宋体" w:hAnsi="宋体" w:eastAsia="宋体" w:cs="宋体"/>
          <w:color w:val="auto"/>
          <w:kern w:val="0"/>
          <w:lang w:eastAsia="zh-CN"/>
        </w:rPr>
      </w:pPr>
      <w:r>
        <w:rPr>
          <w:rFonts w:hint="eastAsia" w:ascii="宋体" w:hAnsi="宋体" w:eastAsia="宋体" w:cs="宋体"/>
          <w:color w:val="auto"/>
          <w:kern w:val="0"/>
          <w:lang w:val="en-US" w:eastAsia="zh-CN"/>
        </w:rPr>
        <w:t>A.</w:t>
      </w:r>
      <w:r>
        <w:rPr>
          <w:rFonts w:hint="eastAsia" w:ascii="宋体" w:hAnsi="宋体" w:eastAsia="宋体" w:cs="宋体"/>
          <w:color w:val="auto"/>
          <w:kern w:val="0"/>
        </w:rPr>
        <w:t>基准地价系数修正法</w:t>
      </w:r>
      <w:r>
        <w:rPr>
          <w:rFonts w:hint="eastAsia" w:ascii="宋体" w:hAnsi="宋体" w:eastAsia="宋体" w:cs="宋体"/>
          <w:color w:val="auto"/>
          <w:kern w:val="0"/>
          <w:lang w:eastAsia="zh-CN"/>
        </w:rPr>
        <w:t>：</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480" w:firstLineChars="200"/>
        <w:jc w:val="left"/>
        <w:textAlignment w:val="auto"/>
        <w:outlineLvl w:val="9"/>
        <w:rPr>
          <w:rFonts w:hint="eastAsia"/>
          <w:snapToGrid w:val="0"/>
          <w:color w:val="auto"/>
          <w:highlight w:val="none"/>
          <w:lang w:val="en-US" w:eastAsia="zh-CN"/>
        </w:rPr>
      </w:pPr>
      <w:r>
        <w:rPr>
          <w:rFonts w:hint="eastAsia"/>
          <w:snapToGrid w:val="0"/>
          <w:color w:val="auto"/>
          <w:highlight w:val="none"/>
          <w:lang w:val="en-US" w:eastAsia="zh-CN"/>
        </w:rPr>
        <w:t>本次评估根据</w:t>
      </w:r>
      <w:r>
        <w:rPr>
          <w:rFonts w:hint="eastAsia" w:ascii="宋体" w:hAnsi="宋体" w:eastAsia="宋体"/>
          <w:color w:val="auto"/>
          <w:spacing w:val="6"/>
          <w:lang w:eastAsia="zh-CN"/>
        </w:rPr>
        <w:t>西乡县人民政府文件《西乡县人民政府关于公布实施我县城镇基准地价的通知（西政发</w:t>
      </w:r>
      <w:r>
        <w:rPr>
          <w:rFonts w:hint="eastAsia" w:ascii="宋体" w:hAnsi="宋体" w:eastAsia="宋体"/>
          <w:color w:val="auto"/>
          <w:spacing w:val="6"/>
        </w:rPr>
        <w:t>【201</w:t>
      </w:r>
      <w:r>
        <w:rPr>
          <w:rFonts w:hint="eastAsia" w:ascii="宋体" w:hAnsi="宋体" w:eastAsia="宋体"/>
          <w:color w:val="auto"/>
          <w:spacing w:val="6"/>
          <w:lang w:val="en-US" w:eastAsia="zh-CN"/>
        </w:rPr>
        <w:t>9</w:t>
      </w:r>
      <w:r>
        <w:rPr>
          <w:rFonts w:hint="eastAsia" w:ascii="宋体" w:hAnsi="宋体" w:eastAsia="宋体"/>
          <w:color w:val="auto"/>
          <w:spacing w:val="6"/>
        </w:rPr>
        <w:t>】</w:t>
      </w:r>
      <w:r>
        <w:rPr>
          <w:rFonts w:hint="eastAsia" w:ascii="宋体" w:hAnsi="宋体" w:eastAsia="宋体"/>
          <w:color w:val="auto"/>
          <w:spacing w:val="6"/>
          <w:lang w:val="en-US" w:eastAsia="zh-CN"/>
        </w:rPr>
        <w:t>46</w:t>
      </w:r>
      <w:r>
        <w:rPr>
          <w:rFonts w:hint="eastAsia" w:ascii="宋体" w:hAnsi="宋体" w:eastAsia="宋体"/>
          <w:color w:val="auto"/>
          <w:spacing w:val="6"/>
        </w:rPr>
        <w:t>号）</w:t>
      </w:r>
      <w:r>
        <w:rPr>
          <w:rFonts w:hint="eastAsia" w:ascii="宋体" w:hAnsi="宋体" w:eastAsia="宋体"/>
          <w:color w:val="auto"/>
          <w:spacing w:val="6"/>
          <w:lang w:eastAsia="zh-CN"/>
        </w:rPr>
        <w:t>》</w:t>
      </w:r>
      <w:r>
        <w:rPr>
          <w:rFonts w:hint="eastAsia"/>
          <w:snapToGrid w:val="0"/>
          <w:color w:val="auto"/>
          <w:highlight w:val="none"/>
          <w:lang w:val="en-US" w:eastAsia="zh-CN"/>
        </w:rPr>
        <w:t>、微观区域因素修正表及估价人员收集到的</w:t>
      </w:r>
      <w:r>
        <w:rPr>
          <w:rFonts w:hint="eastAsia" w:ascii="宋体" w:hAnsi="宋体" w:eastAsia="宋体" w:cs="宋体"/>
          <w:color w:val="auto"/>
          <w:kern w:val="0"/>
        </w:rPr>
        <w:t>扣除建筑物建造费用和与建筑物建造、买卖有关</w:t>
      </w:r>
      <w:r>
        <w:rPr>
          <w:rFonts w:hint="eastAsia"/>
          <w:snapToGrid w:val="0"/>
          <w:color w:val="auto"/>
          <w:highlight w:val="none"/>
          <w:lang w:val="en-US" w:eastAsia="zh-CN"/>
        </w:rPr>
        <w:t>区域</w:t>
      </w:r>
      <w:r>
        <w:rPr>
          <w:rFonts w:hint="eastAsia" w:ascii="宋体" w:hAnsi="宋体" w:eastAsia="宋体" w:cs="宋体"/>
          <w:color w:val="auto"/>
          <w:kern w:val="0"/>
        </w:rPr>
        <w:t>有关专业费、利息、利润、税收等</w:t>
      </w:r>
      <w:r>
        <w:rPr>
          <w:rFonts w:hint="eastAsia" w:eastAsia="宋体" w:cs="宋体"/>
          <w:color w:val="auto"/>
          <w:kern w:val="0"/>
          <w:lang w:eastAsia="zh-CN"/>
        </w:rPr>
        <w:t>相关数据和资料</w:t>
      </w:r>
      <w:r>
        <w:rPr>
          <w:rFonts w:hint="eastAsia"/>
          <w:snapToGrid w:val="0"/>
          <w:color w:val="auto"/>
          <w:highlight w:val="none"/>
          <w:lang w:val="en-US" w:eastAsia="zh-CN"/>
        </w:rPr>
        <w:t>，本次评估对土地使用权价值采用基准地价系数修正法</w:t>
      </w:r>
      <w:r>
        <w:rPr>
          <w:rFonts w:hint="eastAsia" w:ascii="宋体" w:hAnsi="宋体" w:eastAsia="宋体" w:cs="仿宋"/>
          <w:kern w:val="1"/>
          <w:lang w:eastAsia="zh-CN"/>
        </w:rPr>
        <w:t>、成本逼近法和收益法</w:t>
      </w:r>
      <w:r>
        <w:rPr>
          <w:rFonts w:hint="eastAsia" w:ascii="宋体" w:hAnsi="宋体" w:cs="仿宋"/>
          <w:kern w:val="1"/>
        </w:rPr>
        <w:t>进行</w:t>
      </w:r>
      <w:r>
        <w:rPr>
          <w:rFonts w:hint="eastAsia" w:ascii="宋体" w:hAnsi="宋体" w:eastAsia="宋体" w:cs="仿宋"/>
          <w:kern w:val="1"/>
          <w:lang w:eastAsia="zh-CN"/>
        </w:rPr>
        <w:t>评估测算。</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504" w:firstLineChars="200"/>
        <w:jc w:val="left"/>
        <w:textAlignment w:val="auto"/>
        <w:outlineLvl w:val="9"/>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基准地价系数修正法评估宗地地价的计算公式为：</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宗地单位面积地价</w:t>
      </w:r>
      <w:r>
        <w:rPr>
          <w:rFonts w:hint="eastAsia" w:ascii="宋体" w:hAnsi="宋体" w:eastAsia="宋体" w:cs="宋体"/>
          <w:color w:val="auto"/>
          <w:kern w:val="0"/>
          <w:lang w:eastAsia="zh-CN"/>
        </w:rPr>
        <w:t>（出让）</w:t>
      </w:r>
      <w:r>
        <w:rPr>
          <w:rFonts w:hint="eastAsia" w:ascii="宋体" w:hAnsi="宋体" w:eastAsia="宋体" w:cs="宋体"/>
          <w:color w:val="auto"/>
          <w:kern w:val="0"/>
        </w:rPr>
        <w:t>=P1b×(1+∑Ki)×Kj+D</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式中：</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P1b——基准地价</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∑Ki——区域、个别因素修正系数</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Kj——估价期日、容积率、土地使用年期等其他修正系数</w:t>
      </w:r>
    </w:p>
    <w:p>
      <w:pPr>
        <w:widowControl/>
        <w:spacing w:line="560" w:lineRule="exact"/>
        <w:ind w:firstLine="482" w:firstLineChars="0"/>
        <w:jc w:val="left"/>
        <w:rPr>
          <w:rFonts w:hint="eastAsia" w:ascii="宋体" w:hAnsi="宋体" w:eastAsia="宋体" w:cs="宋体"/>
          <w:color w:val="auto"/>
          <w:kern w:val="0"/>
        </w:rPr>
      </w:pPr>
      <w:r>
        <w:rPr>
          <w:rFonts w:hint="eastAsia" w:ascii="宋体" w:hAnsi="宋体" w:eastAsia="宋体" w:cs="宋体"/>
          <w:color w:val="auto"/>
          <w:kern w:val="0"/>
        </w:rPr>
        <w:t>D——土地开发程度修正值</w:t>
      </w:r>
    </w:p>
    <w:p>
      <w:pPr>
        <w:widowControl/>
        <w:spacing w:line="560" w:lineRule="exact"/>
        <w:ind w:firstLine="482" w:firstLineChars="0"/>
        <w:jc w:val="left"/>
        <w:rPr>
          <w:rFonts w:hint="default" w:ascii="宋体" w:hAnsi="宋体" w:eastAsia="宋体" w:cs="宋体"/>
          <w:color w:val="auto"/>
          <w:kern w:val="0"/>
          <w:lang w:val="en-US"/>
        </w:rPr>
      </w:pPr>
      <w:r>
        <w:rPr>
          <w:rFonts w:hint="eastAsia" w:ascii="宋体" w:hAnsi="宋体" w:eastAsia="宋体" w:cs="宋体"/>
          <w:color w:val="auto"/>
          <w:kern w:val="0"/>
        </w:rPr>
        <w:t>宗地单位面积地价</w:t>
      </w:r>
      <w:r>
        <w:rPr>
          <w:rFonts w:hint="eastAsia" w:ascii="宋体" w:hAnsi="宋体" w:eastAsia="宋体" w:cs="宋体"/>
          <w:color w:val="auto"/>
          <w:kern w:val="0"/>
          <w:lang w:eastAsia="zh-CN"/>
        </w:rPr>
        <w:t>（划拨）</w:t>
      </w:r>
      <w:r>
        <w:rPr>
          <w:rFonts w:hint="eastAsia" w:ascii="宋体" w:hAnsi="宋体" w:eastAsia="宋体" w:cs="宋体"/>
          <w:color w:val="auto"/>
          <w:kern w:val="0"/>
          <w:lang w:val="en-US" w:eastAsia="zh-CN"/>
        </w:rPr>
        <w:t>=</w:t>
      </w:r>
      <w:r>
        <w:rPr>
          <w:rFonts w:hint="eastAsia" w:ascii="宋体" w:hAnsi="宋体" w:eastAsia="宋体" w:cs="宋体"/>
          <w:color w:val="auto"/>
          <w:kern w:val="0"/>
        </w:rPr>
        <w:t>宗地单位面积地价</w:t>
      </w:r>
      <w:r>
        <w:rPr>
          <w:rFonts w:hint="eastAsia" w:ascii="宋体" w:hAnsi="宋体" w:eastAsia="宋体" w:cs="宋体"/>
          <w:color w:val="auto"/>
          <w:kern w:val="0"/>
          <w:lang w:eastAsia="zh-CN"/>
        </w:rPr>
        <w:t>（出让）</w:t>
      </w:r>
      <w:r>
        <w:rPr>
          <w:rFonts w:hint="default" w:ascii="Arial" w:hAnsi="Arial" w:eastAsia="宋体" w:cs="Arial"/>
          <w:color w:val="auto"/>
          <w:kern w:val="0"/>
          <w:lang w:eastAsia="zh-CN"/>
        </w:rPr>
        <w:t>×</w:t>
      </w: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1-40%</w:t>
      </w:r>
      <w:r>
        <w:rPr>
          <w:rFonts w:hint="eastAsia" w:ascii="宋体" w:hAnsi="宋体" w:eastAsia="宋体" w:cs="宋体"/>
          <w:color w:val="auto"/>
          <w:kern w:val="0"/>
          <w:lang w:eastAsia="zh-CN"/>
        </w:rPr>
        <w:t>）</w:t>
      </w:r>
    </w:p>
    <w:p>
      <w:pPr>
        <w:pageBreakBefore w:val="0"/>
        <w:numPr>
          <w:ilvl w:val="0"/>
          <w:numId w:val="0"/>
        </w:numPr>
        <w:kinsoku/>
        <w:wordWrap/>
        <w:overflowPunct/>
        <w:topLinePunct w:val="0"/>
        <w:bidi w:val="0"/>
        <w:snapToGrid/>
        <w:spacing w:line="560" w:lineRule="exact"/>
        <w:ind w:left="161" w:leftChars="0" w:right="0" w:rightChars="0"/>
        <w:rPr>
          <w:rFonts w:hint="eastAsia" w:ascii="宋体" w:hAnsi="宋体" w:eastAsia="宋体" w:cs="宋体"/>
          <w:color w:val="auto"/>
          <w:spacing w:val="6"/>
        </w:rPr>
      </w:pPr>
      <w:r>
        <w:rPr>
          <w:rFonts w:hint="eastAsia" w:ascii="宋体" w:hAnsi="宋体" w:eastAsia="宋体" w:cs="宋体"/>
          <w:color w:val="auto"/>
          <w:spacing w:val="6"/>
          <w:lang w:val="en-US" w:eastAsia="zh-CN"/>
        </w:rPr>
        <w:t>B.</w:t>
      </w:r>
      <w:r>
        <w:rPr>
          <w:rFonts w:hint="eastAsia" w:ascii="宋体" w:hAnsi="宋体" w:eastAsia="宋体" w:cs="宋体"/>
          <w:color w:val="auto"/>
          <w:spacing w:val="6"/>
        </w:rPr>
        <w:t>成本逼近法</w:t>
      </w:r>
    </w:p>
    <w:p>
      <w:pPr>
        <w:pageBreakBefore w:val="0"/>
        <w:kinsoku/>
        <w:wordWrap/>
        <w:overflowPunct/>
        <w:topLinePunct w:val="0"/>
        <w:bidi w:val="0"/>
        <w:snapToGrid/>
        <w:spacing w:line="560" w:lineRule="exact"/>
        <w:ind w:right="0" w:rightChars="0" w:firstLine="400" w:firstLineChars="159"/>
        <w:rPr>
          <w:rFonts w:hint="eastAsia" w:ascii="宋体" w:hAnsi="宋体" w:eastAsia="宋体" w:cs="宋体"/>
          <w:bCs/>
          <w:color w:val="auto"/>
          <w:spacing w:val="6"/>
        </w:rPr>
      </w:pPr>
      <w:r>
        <w:rPr>
          <w:rFonts w:hint="eastAsia" w:ascii="宋体" w:hAnsi="宋体" w:eastAsia="宋体" w:cs="宋体"/>
          <w:bCs/>
          <w:color w:val="auto"/>
          <w:spacing w:val="6"/>
        </w:rPr>
        <w:t xml:space="preserve"> 成本逼近法是以开发土地所耗费的各项费用之和为主要依据，再加上一定的利息、利润、应缴纳的税金和土地增值收益来确定土地价格的估价方法。</w:t>
      </w:r>
    </w:p>
    <w:p>
      <w:pPr>
        <w:pageBreakBefore w:val="0"/>
        <w:kinsoku/>
        <w:wordWrap/>
        <w:overflowPunct/>
        <w:topLinePunct w:val="0"/>
        <w:bidi w:val="0"/>
        <w:snapToGrid/>
        <w:spacing w:line="560" w:lineRule="exact"/>
        <w:ind w:right="0" w:rightChars="0" w:firstLine="400" w:firstLineChars="159"/>
        <w:rPr>
          <w:rFonts w:hint="eastAsia" w:ascii="宋体" w:hAnsi="宋体" w:eastAsia="宋体" w:cs="宋体"/>
          <w:bCs/>
          <w:color w:val="auto"/>
          <w:spacing w:val="6"/>
        </w:rPr>
      </w:pPr>
      <w:r>
        <w:rPr>
          <w:rFonts w:hint="eastAsia" w:ascii="宋体" w:hAnsi="宋体" w:eastAsia="宋体" w:cs="宋体"/>
          <w:bCs/>
          <w:color w:val="auto"/>
          <w:spacing w:val="6"/>
        </w:rPr>
        <w:t>其基本计算公式为：</w:t>
      </w:r>
    </w:p>
    <w:p>
      <w:pPr>
        <w:pageBreakBefore w:val="0"/>
        <w:kinsoku/>
        <w:wordWrap/>
        <w:overflowPunct/>
        <w:topLinePunct w:val="0"/>
        <w:bidi w:val="0"/>
        <w:snapToGrid/>
        <w:spacing w:line="560" w:lineRule="exact"/>
        <w:ind w:right="0" w:rightChars="0" w:firstLine="400" w:firstLineChars="159"/>
        <w:rPr>
          <w:rFonts w:hint="eastAsia" w:ascii="宋体" w:hAnsi="宋体" w:eastAsia="宋体" w:cs="宋体"/>
          <w:bCs/>
          <w:color w:val="auto"/>
          <w:spacing w:val="6"/>
        </w:rPr>
      </w:pPr>
      <w:r>
        <w:rPr>
          <w:rFonts w:hint="eastAsia" w:ascii="宋体" w:hAnsi="宋体" w:eastAsia="宋体" w:cs="宋体"/>
          <w:bCs/>
          <w:color w:val="auto"/>
          <w:spacing w:val="6"/>
        </w:rPr>
        <w:t>土地价格</w:t>
      </w:r>
      <w:r>
        <w:rPr>
          <w:rFonts w:hint="eastAsia" w:ascii="宋体" w:hAnsi="宋体" w:eastAsia="宋体" w:cs="宋体"/>
          <w:bCs/>
          <w:color w:val="auto"/>
          <w:spacing w:val="6"/>
          <w:lang w:eastAsia="zh-CN"/>
        </w:rPr>
        <w:t>（出让）</w:t>
      </w:r>
      <w:r>
        <w:rPr>
          <w:rFonts w:hint="eastAsia" w:ascii="宋体" w:hAnsi="宋体" w:eastAsia="宋体" w:cs="宋体"/>
          <w:bCs/>
          <w:color w:val="auto"/>
          <w:spacing w:val="6"/>
        </w:rPr>
        <w:t>＝土地取得费＋土地开发费＋相关税费＋投资利息＋投资利润＋土地增值收益</w:t>
      </w:r>
    </w:p>
    <w:p>
      <w:pPr>
        <w:pageBreakBefore w:val="0"/>
        <w:kinsoku/>
        <w:wordWrap/>
        <w:overflowPunct/>
        <w:topLinePunct w:val="0"/>
        <w:bidi w:val="0"/>
        <w:snapToGrid/>
        <w:spacing w:line="560" w:lineRule="exact"/>
        <w:ind w:right="0" w:rightChars="0" w:firstLine="400" w:firstLineChars="159"/>
        <w:rPr>
          <w:rFonts w:hint="eastAsia" w:ascii="宋体" w:hAnsi="宋体" w:eastAsia="宋体" w:cs="宋体"/>
          <w:bCs/>
          <w:color w:val="auto"/>
          <w:spacing w:val="6"/>
        </w:rPr>
      </w:pPr>
      <w:r>
        <w:rPr>
          <w:rFonts w:hint="eastAsia" w:ascii="宋体" w:hAnsi="宋体" w:eastAsia="宋体" w:cs="宋体"/>
          <w:bCs/>
          <w:color w:val="auto"/>
          <w:spacing w:val="6"/>
        </w:rPr>
        <w:t>土地价格</w:t>
      </w:r>
      <w:r>
        <w:rPr>
          <w:rFonts w:hint="eastAsia" w:ascii="宋体" w:hAnsi="宋体" w:eastAsia="宋体" w:cs="宋体"/>
          <w:bCs/>
          <w:color w:val="auto"/>
          <w:spacing w:val="6"/>
          <w:lang w:eastAsia="zh-CN"/>
        </w:rPr>
        <w:t>（划拨）</w:t>
      </w:r>
      <w:r>
        <w:rPr>
          <w:rFonts w:hint="eastAsia" w:ascii="宋体" w:hAnsi="宋体" w:eastAsia="宋体" w:cs="宋体"/>
          <w:bCs/>
          <w:color w:val="auto"/>
          <w:spacing w:val="6"/>
        </w:rPr>
        <w:t>＝土地取得费＋土地开发费＋相关税费＋投资利息＋投资利润</w:t>
      </w:r>
    </w:p>
    <w:p>
      <w:pPr>
        <w:widowControl/>
        <w:spacing w:line="560" w:lineRule="exact"/>
        <w:ind w:left="240" w:leftChars="0" w:hanging="240" w:hangingChars="100"/>
        <w:jc w:val="left"/>
        <w:rPr>
          <w:rFonts w:hint="eastAsia" w:ascii="宋体" w:hAnsi="宋体" w:eastAsia="宋体" w:cs="宋体"/>
          <w:color w:val="auto"/>
          <w:kern w:val="0"/>
        </w:rPr>
      </w:pPr>
      <w:r>
        <w:rPr>
          <w:rFonts w:hint="eastAsia" w:ascii="宋体" w:hAnsi="宋体" w:eastAsia="宋体" w:cs="宋体"/>
          <w:sz w:val="24"/>
          <w:szCs w:val="24"/>
          <w:lang w:val="en-US" w:eastAsia="zh-CN"/>
        </w:rPr>
        <w:t>C、</w:t>
      </w:r>
      <w:r>
        <w:rPr>
          <w:rFonts w:ascii="宋体" w:hAnsi="宋体" w:eastAsia="宋体" w:cs="宋体"/>
          <w:sz w:val="24"/>
          <w:szCs w:val="24"/>
        </w:rPr>
        <w:t>收益还原法</w:t>
      </w:r>
      <w:r>
        <w:rPr>
          <w:rFonts w:ascii="宋体" w:hAnsi="宋体" w:eastAsia="宋体" w:cs="宋体"/>
          <w:sz w:val="24"/>
          <w:szCs w:val="24"/>
        </w:rPr>
        <w:br w:type="textWrapping"/>
      </w:r>
      <w:r>
        <w:rPr>
          <w:rFonts w:hint="eastAsia" w:ascii="宋体" w:hAnsi="宋体" w:eastAsia="宋体" w:cs="宋体"/>
          <w:bCs/>
          <w:color w:val="auto"/>
          <w:spacing w:val="6"/>
        </w:rPr>
        <w:t>收益还原法是将估价对象未来正常年纯收益（地租），以一定的土地还原利率还原，折算为估价基准日收益总和，以此估算估价对象价格的方法。收益还原法利用了经济学中的预期收益原理，即土地在合理利用的条件下，在未来年间具有无限产生收益的可能性，任一宗地的客观合理价格，为该土地的产权人在拥有该土地的期间内从中所获得的各年纯收益的现值之和。</w:t>
      </w:r>
      <w:r>
        <w:rPr>
          <w:rFonts w:hint="eastAsia" w:ascii="宋体" w:hAnsi="宋体" w:eastAsia="宋体" w:cs="宋体"/>
          <w:bCs/>
          <w:color w:val="auto"/>
          <w:spacing w:val="6"/>
          <w:lang w:eastAsia="zh-CN"/>
        </w:rPr>
        <w:t>计算公式如下：</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本次评估，假设估价对象未来每年的纯收益保持不变、土地还原率不变，有限年期的土地使用权价格计算公式为：</w:t>
      </w:r>
      <w:r>
        <w:rPr>
          <w:rFonts w:ascii="宋体" w:hAnsi="宋体" w:eastAsia="宋体" w:cs="宋体"/>
          <w:sz w:val="24"/>
          <w:szCs w:val="24"/>
        </w:rPr>
        <w:br w:type="textWrapping"/>
      </w:r>
      <w:r>
        <w:rPr>
          <w:rFonts w:ascii="宋体" w:hAnsi="宋体" w:eastAsia="宋体" w:cs="宋体"/>
          <w:sz w:val="24"/>
          <w:szCs w:val="24"/>
        </w:rPr>
        <w:t>V=a/r[1-1/(1+r) n]</w:t>
      </w:r>
      <w:r>
        <w:rPr>
          <w:rFonts w:ascii="宋体" w:hAnsi="宋体" w:eastAsia="宋体" w:cs="宋体"/>
          <w:sz w:val="24"/>
          <w:szCs w:val="24"/>
        </w:rPr>
        <w:br w:type="textWrapping"/>
      </w:r>
      <w:r>
        <w:rPr>
          <w:rFonts w:ascii="宋体" w:hAnsi="宋体" w:eastAsia="宋体" w:cs="宋体"/>
          <w:sz w:val="24"/>
          <w:szCs w:val="24"/>
        </w:rPr>
        <w:t>式中：V--土地收益价格</w:t>
      </w:r>
      <w:r>
        <w:rPr>
          <w:rFonts w:ascii="宋体" w:hAnsi="宋体" w:eastAsia="宋体" w:cs="宋体"/>
          <w:sz w:val="24"/>
          <w:szCs w:val="24"/>
        </w:rPr>
        <w:br w:type="textWrapping"/>
      </w:r>
      <w:r>
        <w:rPr>
          <w:rFonts w:ascii="宋体" w:hAnsi="宋体" w:eastAsia="宋体" w:cs="宋体"/>
          <w:sz w:val="24"/>
          <w:szCs w:val="24"/>
        </w:rPr>
        <w:t>            a--年土地纯收益</w:t>
      </w:r>
      <w:r>
        <w:rPr>
          <w:rFonts w:ascii="宋体" w:hAnsi="宋体" w:eastAsia="宋体" w:cs="宋体"/>
          <w:sz w:val="24"/>
          <w:szCs w:val="24"/>
        </w:rPr>
        <w:br w:type="textWrapping"/>
      </w:r>
      <w:r>
        <w:rPr>
          <w:rFonts w:ascii="宋体" w:hAnsi="宋体" w:eastAsia="宋体" w:cs="宋体"/>
          <w:sz w:val="24"/>
          <w:szCs w:val="24"/>
        </w:rPr>
        <w:t>            r--土地还原率</w:t>
      </w:r>
      <w:r>
        <w:rPr>
          <w:rFonts w:ascii="宋体" w:hAnsi="宋体" w:eastAsia="宋体" w:cs="宋体"/>
          <w:sz w:val="24"/>
          <w:szCs w:val="24"/>
        </w:rPr>
        <w:br w:type="textWrapping"/>
      </w:r>
      <w:r>
        <w:rPr>
          <w:rFonts w:ascii="宋体" w:hAnsi="宋体" w:eastAsia="宋体" w:cs="宋体"/>
          <w:sz w:val="24"/>
          <w:szCs w:val="24"/>
        </w:rPr>
        <w:t>            n--估价对象未来土地使用年期</w:t>
      </w:r>
    </w:p>
    <w:p>
      <w:pPr>
        <w:widowControl/>
        <w:spacing w:line="560" w:lineRule="exact"/>
        <w:ind w:firstLine="482" w:firstLineChars="0"/>
        <w:jc w:val="left"/>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通过以上土地评估方法及计算公式可分别求出出让性质下及划拨性质下的土地评估单价，进而可得出差价，即应扣除的土地出让金价款，具体结果如下表：</w:t>
      </w:r>
    </w:p>
    <w:tbl>
      <w:tblPr>
        <w:tblStyle w:val="22"/>
        <w:tblW w:w="4996" w:type="pct"/>
        <w:tblInd w:w="0" w:type="dxa"/>
        <w:shd w:val="clear" w:color="auto" w:fill="auto"/>
        <w:tblLayout w:type="autofit"/>
        <w:tblCellMar>
          <w:top w:w="0" w:type="dxa"/>
          <w:left w:w="0" w:type="dxa"/>
          <w:bottom w:w="0" w:type="dxa"/>
          <w:right w:w="0" w:type="dxa"/>
        </w:tblCellMar>
      </w:tblPr>
      <w:tblGrid>
        <w:gridCol w:w="2581"/>
        <w:gridCol w:w="2730"/>
        <w:gridCol w:w="1902"/>
        <w:gridCol w:w="2024"/>
      </w:tblGrid>
      <w:tr>
        <w:tblPrEx>
          <w:shd w:val="clear" w:color="auto" w:fill="auto"/>
          <w:tblCellMar>
            <w:top w:w="0" w:type="dxa"/>
            <w:left w:w="0" w:type="dxa"/>
            <w:bottom w:w="0" w:type="dxa"/>
            <w:right w:w="0" w:type="dxa"/>
          </w:tblCellMar>
        </w:tblPrEx>
        <w:trPr>
          <w:trHeight w:val="758" w:hRule="atLeast"/>
        </w:trPr>
        <w:tc>
          <w:tcPr>
            <w:tcW w:w="1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出让条件下土地评估单价     （元/㎡）</w:t>
            </w:r>
          </w:p>
        </w:tc>
        <w:tc>
          <w:tcPr>
            <w:tcW w:w="1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划拨条件下土地评估单价       （元/㎡）</w:t>
            </w:r>
          </w:p>
        </w:tc>
        <w:tc>
          <w:tcPr>
            <w:tcW w:w="10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土地单价差额       （元/㎡）</w:t>
            </w:r>
          </w:p>
        </w:tc>
        <w:tc>
          <w:tcPr>
            <w:tcW w:w="10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应扣减的地价款（土地出让金）（元）</w:t>
            </w:r>
          </w:p>
        </w:tc>
      </w:tr>
      <w:tr>
        <w:tblPrEx>
          <w:tblCellMar>
            <w:top w:w="0" w:type="dxa"/>
            <w:left w:w="0" w:type="dxa"/>
            <w:bottom w:w="0" w:type="dxa"/>
            <w:right w:w="0" w:type="dxa"/>
          </w:tblCellMar>
        </w:tblPrEx>
        <w:trPr>
          <w:trHeight w:val="420" w:hRule="atLeast"/>
        </w:trPr>
        <w:tc>
          <w:tcPr>
            <w:tcW w:w="1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1382</w:t>
            </w:r>
          </w:p>
        </w:tc>
        <w:tc>
          <w:tcPr>
            <w:tcW w:w="1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w:t>
            </w:r>
          </w:p>
        </w:tc>
        <w:tc>
          <w:tcPr>
            <w:tcW w:w="10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579</w:t>
            </w:r>
          </w:p>
        </w:tc>
        <w:tc>
          <w:tcPr>
            <w:tcW w:w="10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125,200.00</w:t>
            </w:r>
          </w:p>
        </w:tc>
      </w:tr>
    </w:tbl>
    <w:p>
      <w:pPr>
        <w:numPr>
          <w:ilvl w:val="0"/>
          <w:numId w:val="0"/>
        </w:numPr>
        <w:spacing w:line="560" w:lineRule="exact"/>
        <w:ind w:leftChars="100"/>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val="en-US" w:eastAsia="zh-CN"/>
        </w:rPr>
        <w:t>4、房屋装修价值评估-成本法</w:t>
      </w:r>
    </w:p>
    <w:p>
      <w:pPr>
        <w:numPr>
          <w:ilvl w:val="0"/>
          <w:numId w:val="0"/>
        </w:numPr>
        <w:spacing w:line="560" w:lineRule="exact"/>
        <w:ind w:left="0" w:leftChars="0" w:firstLine="480" w:firstLineChars="2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房屋装修价值评估，一般采用的方法是先计算房屋装修所需各类材料的大体数量（面积），然后以各地建设工程造价处提供的建材造价信息、预算定额为参考依据，并结合当地的市场行情，然后以各类材料的数量（面积）乘以相应的单价和成新，得出房屋装修价值。</w:t>
      </w:r>
    </w:p>
    <w:p>
      <w:pPr>
        <w:numPr>
          <w:ilvl w:val="0"/>
          <w:numId w:val="0"/>
        </w:numPr>
        <w:spacing w:line="560" w:lineRule="exact"/>
        <w:ind w:leftChars="100" w:firstLine="240" w:firstLineChars="1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装修评估一般常用的方法为成本法，成本法的基本公式为：</w:t>
      </w:r>
    </w:p>
    <w:p>
      <w:pPr>
        <w:numPr>
          <w:ilvl w:val="0"/>
          <w:numId w:val="0"/>
        </w:numPr>
        <w:spacing w:line="560" w:lineRule="exact"/>
        <w:ind w:leftChars="100" w:firstLine="240" w:firstLineChars="1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公式一：房屋装修价值=装修重新购置价-折旧</w:t>
      </w:r>
    </w:p>
    <w:p>
      <w:pPr>
        <w:numPr>
          <w:ilvl w:val="0"/>
          <w:numId w:val="0"/>
        </w:numPr>
        <w:spacing w:line="560" w:lineRule="exact"/>
        <w:ind w:leftChars="100" w:firstLine="240" w:firstLineChars="100"/>
        <w:rPr>
          <w:rFonts w:hint="eastAsia" w:ascii="宋体" w:hAnsi="宋体" w:eastAsia="宋体" w:cs="宋体"/>
          <w:color w:val="auto"/>
          <w:kern w:val="0"/>
          <w:lang w:eastAsia="zh-CN"/>
        </w:rPr>
      </w:pPr>
      <w:r>
        <w:rPr>
          <w:rFonts w:hint="eastAsia" w:ascii="宋体" w:hAnsi="宋体" w:eastAsia="宋体" w:cs="宋体"/>
          <w:color w:val="auto"/>
          <w:kern w:val="0"/>
          <w:lang w:val="en-US" w:eastAsia="zh-CN"/>
        </w:rPr>
        <w:t>公式二：房屋装修价值=装修重置价</w:t>
      </w:r>
      <w:r>
        <w:rPr>
          <w:rFonts w:hint="eastAsia" w:ascii="宋体" w:hAnsi="宋体" w:eastAsia="宋体" w:cs="宋体"/>
          <w:color w:val="auto"/>
          <w:kern w:val="0"/>
          <w:lang w:eastAsia="zh-CN"/>
        </w:rPr>
        <w:t>×成新率（本次采用该公式）</w:t>
      </w:r>
    </w:p>
    <w:p>
      <w:pPr>
        <w:numPr>
          <w:ilvl w:val="0"/>
          <w:numId w:val="0"/>
        </w:numPr>
        <w:spacing w:line="560" w:lineRule="exact"/>
        <w:ind w:left="0" w:leftChars="0" w:firstLine="480" w:firstLineChars="200"/>
        <w:rPr>
          <w:rFonts w:hint="eastAsia" w:ascii="宋体" w:hAnsi="宋体" w:eastAsia="宋体" w:cs="宋体"/>
          <w:color w:val="auto"/>
          <w:kern w:val="0"/>
          <w:lang w:eastAsia="zh-CN"/>
        </w:rPr>
      </w:pPr>
      <w:r>
        <w:rPr>
          <w:rFonts w:hint="eastAsia" w:ascii="宋体" w:hAnsi="宋体" w:eastAsia="宋体" w:cs="宋体"/>
          <w:color w:val="auto"/>
          <w:kern w:val="0"/>
          <w:lang w:eastAsia="zh-CN"/>
        </w:rPr>
        <w:t>其中装修重新购置价格可参照房地产评估中建筑物重新构建价格的求取方法。具体有工料测算法和分部分项法。</w:t>
      </w:r>
    </w:p>
    <w:p>
      <w:pPr>
        <w:numPr>
          <w:ilvl w:val="0"/>
          <w:numId w:val="0"/>
        </w:numPr>
        <w:spacing w:line="560" w:lineRule="exact"/>
        <w:ind w:leftChars="100" w:firstLine="480" w:firstLineChars="200"/>
        <w:rPr>
          <w:rFonts w:hint="eastAsia" w:ascii="宋体" w:hAnsi="宋体" w:eastAsia="宋体" w:cs="宋体"/>
          <w:color w:val="auto"/>
          <w:kern w:val="0"/>
          <w:lang w:eastAsia="zh-CN"/>
        </w:rPr>
      </w:pPr>
      <w:r>
        <w:rPr>
          <w:rFonts w:hint="default" w:ascii="Calibri" w:hAnsi="Calibri" w:eastAsia="宋体" w:cs="Calibri"/>
          <w:color w:val="auto"/>
          <w:kern w:val="0"/>
          <w:lang w:eastAsia="zh-CN"/>
        </w:rPr>
        <w:t>①</w:t>
      </w:r>
      <w:r>
        <w:rPr>
          <w:rFonts w:hint="eastAsia" w:ascii="宋体" w:hAnsi="宋体" w:eastAsia="宋体" w:cs="宋体"/>
          <w:color w:val="auto"/>
          <w:kern w:val="0"/>
          <w:lang w:eastAsia="zh-CN"/>
        </w:rPr>
        <w:t>工料测算法是先计算装修所属的各种原材料、人工时数，然后计算出直接费用乘以综合系数后得出房屋装修重新购置价格的方法（这里还需确认计算材料损耗）。由于评估对象实际为酒店装修，体量较大，涉及的材料种类繁多，施工工期较长，材料损耗亦不容易确认，因此本次暂不采用该方法。</w:t>
      </w:r>
    </w:p>
    <w:p>
      <w:pPr>
        <w:numPr>
          <w:ilvl w:val="0"/>
          <w:numId w:val="0"/>
        </w:numPr>
        <w:spacing w:line="560" w:lineRule="exact"/>
        <w:ind w:leftChars="100" w:firstLine="480" w:firstLineChars="200"/>
        <w:rPr>
          <w:rFonts w:hint="eastAsia" w:ascii="宋体" w:hAnsi="宋体" w:eastAsia="宋体" w:cs="宋体"/>
          <w:color w:val="auto"/>
          <w:kern w:val="0"/>
          <w:lang w:eastAsia="zh-CN"/>
        </w:rPr>
      </w:pPr>
      <w:r>
        <w:rPr>
          <w:rFonts w:hint="default" w:ascii="Calibri" w:hAnsi="Calibri" w:eastAsia="宋体" w:cs="Calibri"/>
          <w:color w:val="auto"/>
          <w:kern w:val="0"/>
          <w:lang w:eastAsia="zh-CN"/>
        </w:rPr>
        <w:t>②</w:t>
      </w:r>
      <w:r>
        <w:rPr>
          <w:rFonts w:hint="eastAsia" w:ascii="宋体" w:hAnsi="宋体" w:eastAsia="宋体" w:cs="宋体"/>
          <w:color w:val="auto"/>
          <w:kern w:val="0"/>
          <w:lang w:eastAsia="zh-CN"/>
        </w:rPr>
        <w:t>分部分项法是指将房屋装修各项工程的单项造价逐一算出，然后相加得出装修重新购置总造价的方法。总造价中应包含人工费、运费、清除施工垃圾费及综合系数等，各单项工程造价根据各地市场行情确定，一般的分布分项项目分类可分为：地面工程、墙面工程、顶棚工程、梁柱工程、门窗工程、卫生洁具、灯具、水电工程等，酒店装修还应包含各类隔断、构件、配套设备及其他装饰等。</w:t>
      </w:r>
    </w:p>
    <w:p>
      <w:pPr>
        <w:numPr>
          <w:ilvl w:val="0"/>
          <w:numId w:val="0"/>
        </w:numPr>
        <w:spacing w:line="560" w:lineRule="exact"/>
        <w:ind w:leftChars="100" w:firstLine="480" w:firstLineChars="200"/>
        <w:rPr>
          <w:rFonts w:hint="eastAsia" w:ascii="宋体" w:hAnsi="宋体" w:eastAsia="宋体" w:cs="宋体"/>
          <w:color w:val="auto"/>
          <w:kern w:val="0"/>
          <w:lang w:eastAsia="zh-CN"/>
        </w:rPr>
      </w:pPr>
      <w:r>
        <w:rPr>
          <w:rFonts w:hint="eastAsia" w:ascii="宋体" w:hAnsi="宋体" w:eastAsia="宋体" w:cs="宋体"/>
          <w:color w:val="auto"/>
          <w:kern w:val="0"/>
          <w:lang w:eastAsia="zh-CN"/>
        </w:rPr>
        <w:t>成新率的确定</w:t>
      </w:r>
    </w:p>
    <w:p>
      <w:pPr>
        <w:keepNext w:val="0"/>
        <w:keepLines w:val="0"/>
        <w:pageBreakBefore w:val="0"/>
        <w:widowControl w:val="0"/>
        <w:kinsoku/>
        <w:wordWrap/>
        <w:overflowPunct/>
        <w:topLinePunct w:val="0"/>
        <w:autoSpaceDE/>
        <w:autoSpaceDN/>
        <w:bidi w:val="0"/>
        <w:adjustRightInd/>
        <w:snapToGrid/>
        <w:spacing w:line="540" w:lineRule="exact"/>
        <w:ind w:left="240" w:leftChars="100" w:right="0" w:rightChars="0" w:firstLine="480" w:firstLineChars="200"/>
        <w:jc w:val="both"/>
        <w:textAlignment w:val="auto"/>
        <w:rPr>
          <w:rFonts w:hint="eastAsia" w:ascii="宋体" w:hAnsi="宋体" w:eastAsia="宋体" w:cs="宋体"/>
          <w:color w:val="auto"/>
          <w:lang w:eastAsia="zh-CN"/>
        </w:rPr>
      </w:pPr>
      <w:r>
        <w:rPr>
          <w:rFonts w:hint="eastAsia" w:ascii="宋体" w:hAnsi="宋体" w:eastAsia="宋体"/>
          <w:color w:val="auto"/>
          <w:sz w:val="24"/>
          <w:lang w:eastAsia="zh-CN"/>
        </w:rPr>
        <w:t>区别普通装修及酒店装修的一般耐用年限，结合</w:t>
      </w:r>
      <w:r>
        <w:rPr>
          <w:rFonts w:hint="eastAsia" w:ascii="宋体" w:hAnsi="宋体"/>
          <w:color w:val="auto"/>
          <w:sz w:val="24"/>
        </w:rPr>
        <w:t>现场勘察评分标准进行打分，</w:t>
      </w:r>
      <w:r>
        <w:rPr>
          <w:rFonts w:hint="eastAsia" w:ascii="宋体" w:hAnsi="宋体" w:eastAsia="宋体"/>
          <w:color w:val="auto"/>
          <w:sz w:val="24"/>
          <w:lang w:eastAsia="zh-CN"/>
        </w:rPr>
        <w:t>最终</w:t>
      </w:r>
      <w:r>
        <w:rPr>
          <w:rFonts w:hint="eastAsia" w:ascii="宋体" w:hAnsi="宋体"/>
          <w:color w:val="auto"/>
          <w:sz w:val="24"/>
        </w:rPr>
        <w:t>确定勘察成新率</w:t>
      </w:r>
      <w:r>
        <w:rPr>
          <w:rFonts w:hint="eastAsia" w:ascii="宋体" w:hAnsi="宋体" w:eastAsia="宋体"/>
          <w:color w:val="auto"/>
          <w:sz w:val="24"/>
          <w:lang w:eastAsia="zh-CN"/>
        </w:rPr>
        <w:t>。</w:t>
      </w:r>
    </w:p>
    <w:p>
      <w:pPr>
        <w:numPr>
          <w:ilvl w:val="0"/>
          <w:numId w:val="0"/>
        </w:numPr>
        <w:spacing w:line="560" w:lineRule="exact"/>
        <w:ind w:leftChars="100" w:firstLine="480" w:firstLineChars="2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综合成新率=年限成新率</w:t>
      </w:r>
      <w:r>
        <w:rPr>
          <w:rFonts w:hint="default" w:ascii="Arial" w:hAnsi="Arial" w:eastAsia="宋体" w:cs="Arial"/>
          <w:color w:val="auto"/>
          <w:kern w:val="0"/>
          <w:lang w:val="en-US" w:eastAsia="zh-CN"/>
        </w:rPr>
        <w:t>×</w:t>
      </w:r>
      <w:r>
        <w:rPr>
          <w:rFonts w:hint="eastAsia" w:ascii="宋体" w:hAnsi="宋体" w:eastAsia="宋体" w:cs="宋体"/>
          <w:color w:val="auto"/>
          <w:kern w:val="0"/>
          <w:lang w:val="en-US" w:eastAsia="zh-CN"/>
        </w:rPr>
        <w:t>40%+勘查成新率</w:t>
      </w:r>
      <w:r>
        <w:rPr>
          <w:rFonts w:hint="default" w:ascii="Arial" w:hAnsi="Arial" w:eastAsia="宋体" w:cs="Arial"/>
          <w:color w:val="auto"/>
          <w:kern w:val="0"/>
          <w:lang w:val="en-US" w:eastAsia="zh-CN"/>
        </w:rPr>
        <w:t>×</w:t>
      </w:r>
      <w:r>
        <w:rPr>
          <w:rFonts w:hint="eastAsia" w:ascii="宋体" w:hAnsi="宋体" w:eastAsia="宋体" w:cs="宋体"/>
          <w:color w:val="auto"/>
          <w:kern w:val="0"/>
          <w:lang w:val="en-US" w:eastAsia="zh-CN"/>
        </w:rPr>
        <w:t>60%</w:t>
      </w:r>
    </w:p>
    <w:p>
      <w:pPr>
        <w:numPr>
          <w:ilvl w:val="0"/>
          <w:numId w:val="0"/>
        </w:numPr>
        <w:spacing w:line="560" w:lineRule="exact"/>
        <w:ind w:leftChars="100" w:firstLine="480" w:firstLineChars="200"/>
        <w:rPr>
          <w:rFonts w:hint="eastAsia" w:ascii="宋体" w:hAnsi="宋体" w:eastAsia="宋体" w:cs="宋体"/>
          <w:color w:val="auto"/>
          <w:kern w:val="0"/>
          <w:lang w:val="en-US" w:eastAsia="zh-CN"/>
        </w:rPr>
      </w:pPr>
      <w:r>
        <w:rPr>
          <w:rFonts w:hint="eastAsia" w:ascii="宋体" w:hAnsi="宋体" w:eastAsia="宋体"/>
          <w:color w:val="auto"/>
          <w:lang w:eastAsia="zh-CN"/>
        </w:rPr>
        <w:t>因</w:t>
      </w:r>
      <w:r>
        <w:rPr>
          <w:rFonts w:hint="eastAsia" w:ascii="宋体" w:hAnsi="宋体" w:eastAsia="宋体"/>
          <w:color w:val="auto"/>
        </w:rPr>
        <w:t>本次</w:t>
      </w:r>
      <w:r>
        <w:rPr>
          <w:rFonts w:hint="eastAsia" w:ascii="宋体" w:hAnsi="宋体" w:eastAsia="宋体"/>
          <w:color w:val="auto"/>
          <w:lang w:eastAsia="zh-CN"/>
        </w:rPr>
        <w:t>选用的价值类型</w:t>
      </w:r>
      <w:r>
        <w:rPr>
          <w:rFonts w:hint="eastAsia" w:ascii="宋体" w:hAnsi="宋体" w:eastAsia="宋体"/>
          <w:color w:val="auto"/>
        </w:rPr>
        <w:t>为清算价值，</w:t>
      </w:r>
      <w:r>
        <w:rPr>
          <w:rFonts w:hint="eastAsia" w:ascii="宋体" w:hAnsi="宋体" w:eastAsia="宋体"/>
          <w:color w:val="auto"/>
          <w:lang w:eastAsia="zh-CN"/>
        </w:rPr>
        <w:t>并且房屋装修在实际生活中使用年限较短，更新换代较快，</w:t>
      </w:r>
      <w:r>
        <w:rPr>
          <w:rFonts w:hint="eastAsia" w:ascii="宋体" w:hAnsi="宋体" w:eastAsia="宋体"/>
          <w:color w:val="auto"/>
        </w:rPr>
        <w:t>考虑资产短期变现处置造成的折扣损失，为快速变现结合当地资产的实际情况确定本次委估</w:t>
      </w:r>
      <w:r>
        <w:rPr>
          <w:rFonts w:hint="eastAsia" w:ascii="宋体" w:hAnsi="宋体" w:eastAsia="宋体"/>
          <w:color w:val="auto"/>
          <w:lang w:eastAsia="zh-CN"/>
        </w:rPr>
        <w:t>装修</w:t>
      </w:r>
      <w:r>
        <w:rPr>
          <w:rFonts w:hint="eastAsia" w:ascii="宋体" w:hAnsi="宋体" w:eastAsia="宋体"/>
          <w:color w:val="auto"/>
        </w:rPr>
        <w:t>资产的</w:t>
      </w:r>
      <w:r>
        <w:rPr>
          <w:rFonts w:hint="eastAsia" w:ascii="宋体" w:hAnsi="宋体" w:eastAsia="宋体"/>
          <w:color w:val="auto"/>
          <w:lang w:eastAsia="zh-CN"/>
        </w:rPr>
        <w:t>快速</w:t>
      </w:r>
      <w:r>
        <w:rPr>
          <w:rFonts w:hint="eastAsia" w:ascii="宋体" w:hAnsi="宋体" w:eastAsia="宋体"/>
          <w:color w:val="auto"/>
        </w:rPr>
        <w:t>变现折扣率为</w:t>
      </w:r>
      <w:r>
        <w:rPr>
          <w:rFonts w:hint="eastAsia" w:ascii="宋体" w:hAnsi="宋体" w:eastAsia="宋体"/>
          <w:color w:val="auto"/>
          <w:highlight w:val="none"/>
          <w:lang w:val="en-US" w:eastAsia="zh-CN"/>
        </w:rPr>
        <w:t>20</w:t>
      </w:r>
      <w:r>
        <w:rPr>
          <w:rFonts w:ascii="宋体" w:hAnsi="宋体" w:eastAsia="宋体"/>
          <w:color w:val="auto"/>
          <w:highlight w:val="none"/>
        </w:rPr>
        <w:t>%</w:t>
      </w:r>
      <w:r>
        <w:rPr>
          <w:rFonts w:hint="eastAsia" w:ascii="宋体" w:hAnsi="宋体" w:eastAsia="宋体"/>
          <w:color w:val="auto"/>
          <w:highlight w:val="none"/>
          <w:lang w:eastAsia="zh-CN"/>
        </w:rPr>
        <w:t>。</w:t>
      </w:r>
    </w:p>
    <w:p>
      <w:pPr>
        <w:numPr>
          <w:ilvl w:val="0"/>
          <w:numId w:val="0"/>
        </w:numPr>
        <w:spacing w:line="560" w:lineRule="exact"/>
        <w:ind w:leftChars="100" w:firstLine="480" w:firstLineChars="200"/>
        <w:rPr>
          <w:rFonts w:hint="eastAsia" w:ascii="宋体" w:hAnsi="宋体" w:eastAsia="宋体" w:cs="宋体"/>
          <w:color w:val="auto"/>
          <w:kern w:val="0"/>
          <w:lang w:val="en-US" w:eastAsia="zh-CN"/>
        </w:rPr>
      </w:pPr>
      <w:r>
        <w:rPr>
          <w:rFonts w:hint="eastAsia" w:ascii="宋体" w:hAnsi="宋体" w:eastAsia="宋体" w:cs="宋体"/>
          <w:color w:val="auto"/>
          <w:kern w:val="0"/>
          <w:lang w:val="en-US" w:eastAsia="zh-CN"/>
        </w:rPr>
        <w:t>通过以上计算方法，最终得出本次酒店装修评估价值为：</w:t>
      </w:r>
    </w:p>
    <w:tbl>
      <w:tblPr>
        <w:tblStyle w:val="22"/>
        <w:tblW w:w="4996" w:type="pct"/>
        <w:tblInd w:w="0" w:type="dxa"/>
        <w:shd w:val="clear" w:color="auto" w:fill="auto"/>
        <w:tblLayout w:type="autofit"/>
        <w:tblCellMar>
          <w:top w:w="0" w:type="dxa"/>
          <w:left w:w="0" w:type="dxa"/>
          <w:bottom w:w="0" w:type="dxa"/>
          <w:right w:w="0" w:type="dxa"/>
        </w:tblCellMar>
      </w:tblPr>
      <w:tblGrid>
        <w:gridCol w:w="294"/>
        <w:gridCol w:w="1506"/>
        <w:gridCol w:w="824"/>
        <w:gridCol w:w="749"/>
        <w:gridCol w:w="1033"/>
        <w:gridCol w:w="780"/>
        <w:gridCol w:w="1168"/>
        <w:gridCol w:w="806"/>
        <w:gridCol w:w="911"/>
        <w:gridCol w:w="1166"/>
      </w:tblGrid>
      <w:tr>
        <w:tblPrEx>
          <w:tblCellMar>
            <w:top w:w="0" w:type="dxa"/>
            <w:left w:w="0" w:type="dxa"/>
            <w:bottom w:w="0" w:type="dxa"/>
            <w:right w:w="0" w:type="dxa"/>
          </w:tblCellMar>
        </w:tblPrEx>
        <w:trPr>
          <w:trHeight w:val="239" w:hRule="atLeast"/>
        </w:trPr>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8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项目名称</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计量</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数量</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购置</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启用</w:t>
            </w:r>
          </w:p>
        </w:tc>
        <w:tc>
          <w:tcPr>
            <w:tcW w:w="2192"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评估价值（元）</w:t>
            </w:r>
          </w:p>
        </w:tc>
      </w:tr>
      <w:tr>
        <w:tblPrEx>
          <w:tblCellMar>
            <w:top w:w="0" w:type="dxa"/>
            <w:left w:w="0" w:type="dxa"/>
            <w:bottom w:w="0" w:type="dxa"/>
            <w:right w:w="0" w:type="dxa"/>
          </w:tblCellMar>
        </w:tblPrEx>
        <w:trPr>
          <w:trHeight w:val="518" w:hRule="atLeast"/>
        </w:trPr>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20"/>
                <w:szCs w:val="20"/>
                <w:u w:val="none"/>
              </w:rPr>
            </w:pP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单位</w:t>
            </w: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val="0"/>
                <w:bCs/>
                <w:i w:val="0"/>
                <w:color w:val="000000"/>
                <w:sz w:val="20"/>
                <w:szCs w:val="20"/>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日期</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日期</w:t>
            </w: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评估价值</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成新率</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快速变现折扣率</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净值</w:t>
            </w:r>
          </w:p>
        </w:tc>
      </w:tr>
      <w:tr>
        <w:tblPrEx>
          <w:tblCellMar>
            <w:top w:w="0" w:type="dxa"/>
            <w:left w:w="0" w:type="dxa"/>
            <w:bottom w:w="0" w:type="dxa"/>
            <w:right w:w="0" w:type="dxa"/>
          </w:tblCellMar>
        </w:tblPrEx>
        <w:trPr>
          <w:trHeight w:val="500" w:hRule="atLeast"/>
        </w:trPr>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酒店内部装饰装修</w:t>
            </w:r>
          </w:p>
        </w:tc>
        <w:tc>
          <w:tcPr>
            <w:tcW w:w="446" w:type="pc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r>
              <w:rPr>
                <w:rFonts w:hint="eastAsia" w:ascii="宋体" w:hAnsi="宋体" w:eastAsia="宋体" w:cs="宋体"/>
                <w:i w:val="0"/>
                <w:color w:val="000000"/>
                <w:kern w:val="0"/>
                <w:sz w:val="20"/>
                <w:szCs w:val="20"/>
                <w:u w:val="none"/>
                <w:vertAlign w:val="superscript"/>
                <w:lang w:val="en-US" w:eastAsia="zh-CN" w:bidi="ar"/>
              </w:rPr>
              <w:t>2</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1496.5</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2012年6月</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2,918,000.00</w:t>
            </w:r>
          </w:p>
        </w:tc>
        <w:tc>
          <w:tcPr>
            <w:tcW w:w="4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1,167,000.00</w:t>
            </w:r>
          </w:p>
        </w:tc>
      </w:tr>
    </w:tbl>
    <w:p>
      <w:pPr>
        <w:spacing w:line="560" w:lineRule="exact"/>
        <w:ind w:left="0" w:leftChars="0" w:firstLine="240" w:firstLineChars="100"/>
        <w:rPr>
          <w:rFonts w:hint="default" w:ascii="宋体" w:hAnsi="宋体" w:eastAsia="宋体" w:cs="宋体"/>
          <w:color w:val="auto"/>
          <w:lang w:val="en-US" w:eastAsia="zh-CN"/>
        </w:rPr>
      </w:pPr>
      <w:r>
        <w:rPr>
          <w:rFonts w:hint="eastAsia" w:ascii="宋体" w:hAnsi="宋体" w:eastAsia="宋体" w:cs="宋体"/>
          <w:color w:val="auto"/>
          <w:lang w:val="en-US" w:eastAsia="zh-CN"/>
        </w:rPr>
        <w:t>5、确定的最终司法处分价值</w:t>
      </w:r>
    </w:p>
    <w:p>
      <w:pPr>
        <w:spacing w:line="560" w:lineRule="exact"/>
        <w:ind w:left="0" w:leftChars="0" w:firstLine="240" w:firstLineChars="100"/>
        <w:rPr>
          <w:rFonts w:hint="eastAsia" w:ascii="宋体" w:hAnsi="宋体" w:eastAsia="宋体" w:cs="宋体"/>
          <w:color w:val="auto"/>
          <w:lang w:eastAsia="zh-CN"/>
        </w:rPr>
      </w:pPr>
      <w:r>
        <w:rPr>
          <w:rFonts w:hint="eastAsia" w:ascii="宋体" w:hAnsi="宋体" w:eastAsia="宋体" w:cs="宋体"/>
          <w:color w:val="auto"/>
          <w:lang w:eastAsia="zh-CN"/>
        </w:rPr>
        <w:t>最终可得出的房地产及房屋内部装修的司法处分价值，具体如下：</w:t>
      </w:r>
    </w:p>
    <w:p>
      <w:pPr>
        <w:spacing w:line="560" w:lineRule="exact"/>
        <w:ind w:left="0" w:leftChars="0" w:firstLine="240" w:firstLineChars="100"/>
        <w:rPr>
          <w:rFonts w:hint="eastAsia" w:ascii="宋体" w:hAnsi="宋体" w:eastAsia="宋体" w:cs="宋体"/>
          <w:color w:val="auto"/>
          <w:lang w:eastAsia="zh-CN"/>
        </w:rPr>
      </w:pPr>
    </w:p>
    <w:tbl>
      <w:tblPr>
        <w:tblStyle w:val="22"/>
        <w:tblW w:w="4997" w:type="pct"/>
        <w:jc w:val="center"/>
        <w:shd w:val="clear" w:color="auto" w:fill="auto"/>
        <w:tblLayout w:type="autofit"/>
        <w:tblCellMar>
          <w:top w:w="0" w:type="dxa"/>
          <w:left w:w="0" w:type="dxa"/>
          <w:bottom w:w="0" w:type="dxa"/>
          <w:right w:w="0" w:type="dxa"/>
        </w:tblCellMar>
      </w:tblPr>
      <w:tblGrid>
        <w:gridCol w:w="847"/>
        <w:gridCol w:w="851"/>
        <w:gridCol w:w="1257"/>
        <w:gridCol w:w="640"/>
        <w:gridCol w:w="1047"/>
        <w:gridCol w:w="1257"/>
        <w:gridCol w:w="1248"/>
        <w:gridCol w:w="1248"/>
        <w:gridCol w:w="843"/>
      </w:tblGrid>
      <w:tr>
        <w:tblPrEx>
          <w:tblCellMar>
            <w:top w:w="0" w:type="dxa"/>
            <w:left w:w="0" w:type="dxa"/>
            <w:bottom w:w="0" w:type="dxa"/>
            <w:right w:w="0" w:type="dxa"/>
          </w:tblCellMar>
        </w:tblPrEx>
        <w:trPr>
          <w:trHeight w:val="720" w:hRule="atLeast"/>
          <w:jc w:val="center"/>
        </w:trPr>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w:t>
            </w:r>
          </w:p>
        </w:tc>
        <w:tc>
          <w:tcPr>
            <w:tcW w:w="4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房产建筑面积（㎡）</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房地产不含装修评估总价值（元）</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土地面积（㎡）</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需扣减的出让金价款（元）</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扣减出让金后后房地产评估价值（元）</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房屋装修评估净值（元）</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房地产及装修评估总值（元）</w:t>
            </w:r>
          </w:p>
        </w:tc>
        <w:tc>
          <w:tcPr>
            <w:tcW w:w="4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折合单价（元/平方米）</w:t>
            </w:r>
          </w:p>
        </w:tc>
      </w:tr>
      <w:tr>
        <w:tblPrEx>
          <w:tblCellMar>
            <w:top w:w="0" w:type="dxa"/>
            <w:left w:w="0" w:type="dxa"/>
            <w:bottom w:w="0" w:type="dxa"/>
            <w:right w:w="0" w:type="dxa"/>
          </w:tblCellMar>
        </w:tblPrEx>
        <w:trPr>
          <w:trHeight w:val="420" w:hRule="atLeast"/>
          <w:jc w:val="center"/>
        </w:trPr>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岳洪</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643.85</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2,547,500.00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87.52</w:t>
            </w:r>
          </w:p>
        </w:tc>
        <w:tc>
          <w:tcPr>
            <w:tcW w:w="5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50,670.00</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2,496,830.00</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1,167,000.00 </w:t>
            </w:r>
          </w:p>
        </w:tc>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6,994,000.00 </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4,670.00 </w:t>
            </w:r>
          </w:p>
        </w:tc>
      </w:tr>
      <w:tr>
        <w:tblPrEx>
          <w:tblCellMar>
            <w:top w:w="0" w:type="dxa"/>
            <w:left w:w="0" w:type="dxa"/>
            <w:bottom w:w="0" w:type="dxa"/>
            <w:right w:w="0" w:type="dxa"/>
          </w:tblCellMar>
        </w:tblPrEx>
        <w:trPr>
          <w:trHeight w:val="285" w:hRule="atLeast"/>
          <w:jc w:val="center"/>
        </w:trPr>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祝儒琴</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852.6</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3,404,900.00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128.76</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74,550.00</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3,330,350.00</w:t>
            </w: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tblCellMar>
            <w:top w:w="0" w:type="dxa"/>
            <w:left w:w="0" w:type="dxa"/>
            <w:bottom w:w="0" w:type="dxa"/>
            <w:right w:w="0" w:type="dxa"/>
          </w:tblCellMar>
        </w:tblPrEx>
        <w:trPr>
          <w:trHeight w:val="285" w:hRule="atLeast"/>
          <w:jc w:val="center"/>
        </w:trPr>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合计</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1496.45</w:t>
            </w:r>
          </w:p>
        </w:tc>
        <w:tc>
          <w:tcPr>
            <w:tcW w:w="6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5,952,400.00</w:t>
            </w:r>
          </w:p>
        </w:tc>
        <w:tc>
          <w:tcPr>
            <w:tcW w:w="3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216.28</w:t>
            </w:r>
          </w:p>
        </w:tc>
        <w:tc>
          <w:tcPr>
            <w:tcW w:w="5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125,200.00</w:t>
            </w:r>
          </w:p>
        </w:tc>
        <w:tc>
          <w:tcPr>
            <w:tcW w:w="6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5,827,000.00</w:t>
            </w: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bl>
    <w:p>
      <w:pPr>
        <w:spacing w:line="560" w:lineRule="exact"/>
        <w:ind w:left="0" w:leftChars="0" w:firstLine="240" w:firstLineChars="100"/>
        <w:rPr>
          <w:rFonts w:ascii="宋体" w:hAnsi="宋体" w:eastAsia="宋体" w:cs="宋体"/>
          <w:color w:val="auto"/>
        </w:rPr>
      </w:pPr>
      <w:r>
        <w:rPr>
          <w:rFonts w:hint="eastAsia" w:ascii="宋体" w:hAnsi="宋体" w:eastAsia="宋体" w:cs="宋体"/>
          <w:color w:val="auto"/>
        </w:rPr>
        <w:t>（七）编制和提交评估报告</w:t>
      </w:r>
    </w:p>
    <w:p>
      <w:pPr>
        <w:spacing w:line="560" w:lineRule="exact"/>
        <w:ind w:firstLine="480"/>
        <w:rPr>
          <w:rFonts w:ascii="宋体" w:hAnsi="宋体" w:eastAsia="宋体" w:cs="宋体"/>
          <w:color w:val="auto"/>
        </w:rPr>
      </w:pPr>
      <w:r>
        <w:rPr>
          <w:rFonts w:hint="eastAsia" w:ascii="宋体" w:hAnsi="宋体" w:eastAsia="宋体" w:cs="宋体"/>
          <w:color w:val="auto"/>
        </w:rPr>
        <w:t>在执行评定估算程序后，根据法律、法规和资产评估准则的要求编制评估报告。根据相关法律、法规、资产评估准则和评估机构内部质量控制制度，对评估报告及评估程序执行情况进行必要的内部审核。提交正式评估报告前，在不影响对最终评估结论进行独立判断的前提下，与</w:t>
      </w:r>
      <w:r>
        <w:rPr>
          <w:rFonts w:hint="eastAsia" w:ascii="宋体" w:hAnsi="宋体" w:eastAsia="宋体" w:cs="宋体"/>
          <w:color w:val="auto"/>
          <w:lang w:eastAsia="zh-CN"/>
        </w:rPr>
        <w:t>委托人</w:t>
      </w:r>
      <w:r>
        <w:rPr>
          <w:rFonts w:hint="eastAsia" w:ascii="宋体" w:hAnsi="宋体" w:eastAsia="宋体" w:cs="宋体"/>
          <w:color w:val="auto"/>
        </w:rPr>
        <w:t>或者</w:t>
      </w:r>
      <w:r>
        <w:rPr>
          <w:rFonts w:hint="eastAsia" w:ascii="宋体" w:hAnsi="宋体" w:eastAsia="宋体" w:cs="宋体"/>
          <w:color w:val="auto"/>
          <w:lang w:eastAsia="zh-CN"/>
        </w:rPr>
        <w:t>委托人</w:t>
      </w:r>
      <w:r>
        <w:rPr>
          <w:rFonts w:hint="eastAsia" w:ascii="宋体" w:hAnsi="宋体" w:eastAsia="宋体" w:cs="宋体"/>
          <w:color w:val="auto"/>
        </w:rPr>
        <w:t>许可的相关当事方就评估报告有关内容进行必要沟通。</w:t>
      </w:r>
    </w:p>
    <w:p>
      <w:pPr>
        <w:spacing w:line="560" w:lineRule="exact"/>
        <w:ind w:firstLine="480"/>
        <w:rPr>
          <w:rFonts w:ascii="宋体" w:hAnsi="宋体" w:eastAsia="宋体" w:cs="宋体"/>
          <w:color w:val="auto"/>
        </w:rPr>
      </w:pPr>
      <w:r>
        <w:rPr>
          <w:rFonts w:hint="eastAsia" w:ascii="宋体" w:hAnsi="宋体" w:eastAsia="宋体" w:cs="宋体"/>
          <w:color w:val="auto"/>
        </w:rPr>
        <w:t>完成上述评估程序后，出具评估报告并按</w:t>
      </w:r>
      <w:r>
        <w:rPr>
          <w:rFonts w:hint="eastAsia" w:ascii="宋体" w:hAnsi="宋体" w:eastAsia="宋体" w:cs="宋体"/>
          <w:color w:val="auto"/>
          <w:lang w:eastAsia="zh-CN"/>
        </w:rPr>
        <w:t>评估委托书</w:t>
      </w:r>
      <w:r>
        <w:rPr>
          <w:rFonts w:hint="eastAsia" w:ascii="宋体" w:hAnsi="宋体" w:eastAsia="宋体" w:cs="宋体"/>
          <w:color w:val="auto"/>
        </w:rPr>
        <w:t>的要求向</w:t>
      </w:r>
      <w:r>
        <w:rPr>
          <w:rFonts w:hint="eastAsia" w:ascii="宋体" w:hAnsi="宋体" w:eastAsia="宋体" w:cs="宋体"/>
          <w:color w:val="auto"/>
          <w:lang w:eastAsia="zh-CN"/>
        </w:rPr>
        <w:t>委托人</w:t>
      </w:r>
      <w:r>
        <w:rPr>
          <w:rFonts w:hint="eastAsia" w:ascii="宋体" w:hAnsi="宋体" w:eastAsia="宋体" w:cs="宋体"/>
          <w:color w:val="auto"/>
        </w:rPr>
        <w:t>提交评估报告。</w:t>
      </w:r>
    </w:p>
    <w:p>
      <w:pPr>
        <w:spacing w:line="560" w:lineRule="exact"/>
        <w:ind w:firstLine="480"/>
        <w:rPr>
          <w:rFonts w:ascii="宋体" w:hAnsi="宋体" w:eastAsia="宋体" w:cs="宋体"/>
          <w:color w:val="auto"/>
        </w:rPr>
      </w:pPr>
      <w:r>
        <w:rPr>
          <w:rFonts w:hint="eastAsia" w:ascii="宋体" w:hAnsi="宋体" w:eastAsia="宋体" w:cs="宋体"/>
          <w:color w:val="auto"/>
        </w:rPr>
        <w:t>（八）工作底稿归档</w:t>
      </w:r>
    </w:p>
    <w:p>
      <w:pPr>
        <w:spacing w:line="560" w:lineRule="exact"/>
        <w:ind w:firstLine="480"/>
        <w:rPr>
          <w:rFonts w:ascii="宋体" w:hAnsi="宋体" w:eastAsia="宋体" w:cs="宋体"/>
          <w:color w:val="auto"/>
        </w:rPr>
      </w:pPr>
      <w:r>
        <w:rPr>
          <w:rFonts w:hint="eastAsia" w:ascii="宋体" w:hAnsi="宋体" w:eastAsia="宋体" w:cs="宋体"/>
          <w:color w:val="auto"/>
        </w:rPr>
        <w:t>在提交评估报告后，应当按照法律、法规和资产评估准则的要求对工作底稿进行整理，与评估报告一起及时形成评估档案。</w:t>
      </w:r>
    </w:p>
    <w:p>
      <w:pPr>
        <w:pStyle w:val="4"/>
        <w:tabs>
          <w:tab w:val="left" w:pos="993"/>
        </w:tabs>
        <w:spacing w:beforeLines="50" w:afterLines="50" w:line="560" w:lineRule="exact"/>
        <w:ind w:left="-2" w:leftChars="-1" w:firstLine="551" w:firstLineChars="196"/>
        <w:rPr>
          <w:rFonts w:ascii="宋体" w:hAnsi="宋体" w:eastAsia="宋体" w:cs="宋体"/>
          <w:color w:val="auto"/>
          <w:sz w:val="28"/>
        </w:rPr>
      </w:pPr>
      <w:bookmarkStart w:id="36" w:name="_Toc8768"/>
      <w:bookmarkStart w:id="37" w:name="_Toc30715"/>
      <w:r>
        <w:rPr>
          <w:rFonts w:hint="eastAsia" w:ascii="宋体" w:hAnsi="宋体" w:eastAsia="宋体" w:cs="宋体"/>
          <w:color w:val="auto"/>
          <w:sz w:val="28"/>
        </w:rPr>
        <w:t>九、评估假设</w:t>
      </w:r>
      <w:bookmarkEnd w:id="36"/>
      <w:bookmarkEnd w:id="37"/>
    </w:p>
    <w:p>
      <w:pPr>
        <w:pStyle w:val="5"/>
        <w:numPr>
          <w:ilvl w:val="2"/>
          <w:numId w:val="25"/>
        </w:numPr>
        <w:tabs>
          <w:tab w:val="left" w:pos="851"/>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本次评估以本资产评估报告所列明的特定评估目的为基本假设前提；</w:t>
      </w:r>
    </w:p>
    <w:p>
      <w:pPr>
        <w:pStyle w:val="5"/>
        <w:numPr>
          <w:ilvl w:val="2"/>
          <w:numId w:val="25"/>
        </w:numPr>
        <w:tabs>
          <w:tab w:val="left" w:pos="851"/>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本次评估假设评估基准日外部经济环境不会发生不可预见的重大变化；</w:t>
      </w:r>
    </w:p>
    <w:p>
      <w:pPr>
        <w:pStyle w:val="5"/>
        <w:numPr>
          <w:ilvl w:val="2"/>
          <w:numId w:val="25"/>
        </w:numPr>
        <w:tabs>
          <w:tab w:val="left" w:pos="840"/>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本次评估假设被评估资产现行用途不变并原地持续使用；</w:t>
      </w:r>
    </w:p>
    <w:p>
      <w:pPr>
        <w:pStyle w:val="5"/>
        <w:numPr>
          <w:ilvl w:val="2"/>
          <w:numId w:val="25"/>
        </w:numPr>
        <w:tabs>
          <w:tab w:val="left" w:pos="840"/>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本次评估假设被评估资产符合依法建设的要求，不存在违法建设或者违返其他法律法规规定的情形；</w:t>
      </w:r>
    </w:p>
    <w:p>
      <w:pPr>
        <w:pStyle w:val="5"/>
        <w:numPr>
          <w:ilvl w:val="2"/>
          <w:numId w:val="25"/>
        </w:numPr>
        <w:tabs>
          <w:tab w:val="left" w:pos="840"/>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产权持有单位和</w:t>
      </w:r>
      <w:r>
        <w:rPr>
          <w:rFonts w:hint="eastAsia" w:hAnsi="宋体" w:cs="宋体"/>
          <w:color w:val="auto"/>
          <w:sz w:val="24"/>
          <w:szCs w:val="24"/>
          <w:lang w:eastAsia="zh-CN"/>
        </w:rPr>
        <w:t>委托人</w:t>
      </w:r>
      <w:r>
        <w:rPr>
          <w:rFonts w:hint="eastAsia" w:hAnsi="宋体" w:cs="宋体"/>
          <w:color w:val="auto"/>
          <w:sz w:val="24"/>
          <w:szCs w:val="24"/>
        </w:rPr>
        <w:t>提供的相关基础资料真实、准确、完整；</w:t>
      </w:r>
    </w:p>
    <w:p>
      <w:pPr>
        <w:pStyle w:val="5"/>
        <w:numPr>
          <w:ilvl w:val="2"/>
          <w:numId w:val="25"/>
        </w:numPr>
        <w:tabs>
          <w:tab w:val="left" w:pos="840"/>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根据</w:t>
      </w:r>
      <w:r>
        <w:rPr>
          <w:rFonts w:hint="eastAsia" w:hAnsi="宋体" w:cs="宋体"/>
          <w:color w:val="auto"/>
          <w:sz w:val="24"/>
          <w:szCs w:val="24"/>
          <w:lang w:eastAsia="zh-CN"/>
        </w:rPr>
        <w:t>委托人</w:t>
      </w:r>
      <w:r>
        <w:rPr>
          <w:rFonts w:hint="eastAsia" w:hAnsi="宋体" w:cs="宋体"/>
          <w:color w:val="auto"/>
          <w:sz w:val="24"/>
          <w:szCs w:val="24"/>
        </w:rPr>
        <w:t>和产权持有单位提供的资料，本次评估假设产权持有单位对委估资产在评估基准日拥有完全产权；</w:t>
      </w:r>
    </w:p>
    <w:p>
      <w:pPr>
        <w:pStyle w:val="5"/>
        <w:numPr>
          <w:ilvl w:val="2"/>
          <w:numId w:val="25"/>
        </w:numPr>
        <w:tabs>
          <w:tab w:val="left" w:pos="840"/>
          <w:tab w:val="left" w:pos="993"/>
          <w:tab w:val="clear" w:pos="1236"/>
        </w:tabs>
        <w:spacing w:line="560" w:lineRule="exact"/>
        <w:ind w:left="0" w:firstLine="566" w:firstLineChars="236"/>
        <w:rPr>
          <w:rFonts w:hAnsi="宋体" w:cs="宋体"/>
          <w:color w:val="auto"/>
          <w:sz w:val="24"/>
          <w:szCs w:val="24"/>
        </w:rPr>
      </w:pPr>
      <w:r>
        <w:rPr>
          <w:rFonts w:hint="eastAsia" w:hAnsi="宋体" w:cs="宋体"/>
          <w:color w:val="auto"/>
          <w:sz w:val="24"/>
          <w:szCs w:val="24"/>
        </w:rPr>
        <w:t>本评估结果是反映评估对象在本次评估目的下根据非公开市场</w:t>
      </w:r>
      <w:r>
        <w:rPr>
          <w:rFonts w:hint="eastAsia" w:hAnsi="宋体" w:cs="宋体"/>
          <w:color w:val="auto"/>
          <w:sz w:val="24"/>
          <w:szCs w:val="24"/>
          <w:lang w:eastAsia="zh-CN"/>
        </w:rPr>
        <w:t>条件下</w:t>
      </w:r>
      <w:r>
        <w:rPr>
          <w:rFonts w:hint="eastAsia" w:hAnsi="宋体" w:cs="宋体"/>
          <w:color w:val="auto"/>
          <w:sz w:val="24"/>
          <w:szCs w:val="24"/>
        </w:rPr>
        <w:t>确定的快速变现价值，没有考虑到将来国家宏观经济政策发生重大变化以及遇有自然力和其他不可抗力对评估结论的影响；</w:t>
      </w:r>
    </w:p>
    <w:p>
      <w:pPr>
        <w:pStyle w:val="5"/>
        <w:numPr>
          <w:ilvl w:val="2"/>
          <w:numId w:val="25"/>
        </w:numPr>
        <w:tabs>
          <w:tab w:val="left" w:pos="840"/>
          <w:tab w:val="left" w:pos="993"/>
          <w:tab w:val="clear" w:pos="1236"/>
        </w:tabs>
        <w:spacing w:line="560" w:lineRule="exact"/>
        <w:ind w:left="0" w:firstLine="566" w:firstLineChars="236"/>
        <w:rPr>
          <w:rFonts w:hint="eastAsia" w:ascii="宋体" w:hAnsi="宋体" w:eastAsia="宋体" w:cs="宋体"/>
          <w:color w:val="auto"/>
          <w:sz w:val="28"/>
        </w:rPr>
      </w:pPr>
      <w:r>
        <w:rPr>
          <w:rFonts w:hint="eastAsia" w:hAnsi="宋体" w:cs="宋体"/>
          <w:color w:val="auto"/>
          <w:sz w:val="24"/>
          <w:szCs w:val="24"/>
        </w:rPr>
        <w:t>当出现与前述假设条件不一致的事项发生时，本评估结果一般会失效。</w:t>
      </w:r>
      <w:bookmarkStart w:id="38" w:name="_Toc10631"/>
    </w:p>
    <w:p>
      <w:pPr>
        <w:pStyle w:val="4"/>
        <w:tabs>
          <w:tab w:val="left" w:pos="993"/>
        </w:tabs>
        <w:spacing w:beforeLines="50" w:afterLines="50" w:line="560" w:lineRule="exact"/>
        <w:ind w:firstLine="281" w:firstLineChars="100"/>
        <w:rPr>
          <w:rFonts w:hint="eastAsia" w:ascii="宋体" w:hAnsi="宋体" w:eastAsia="宋体" w:cs="宋体"/>
          <w:color w:val="auto"/>
          <w:sz w:val="28"/>
        </w:rPr>
      </w:pPr>
      <w:bookmarkStart w:id="39" w:name="_Toc20520"/>
      <w:r>
        <w:rPr>
          <w:rFonts w:hint="eastAsia" w:ascii="宋体" w:hAnsi="宋体" w:eastAsia="宋体" w:cs="宋体"/>
          <w:color w:val="auto"/>
          <w:sz w:val="28"/>
        </w:rPr>
        <w:t>十、评估结论</w:t>
      </w:r>
      <w:bookmarkEnd w:id="38"/>
      <w:bookmarkEnd w:id="39"/>
    </w:p>
    <w:p>
      <w:pPr>
        <w:spacing w:line="560" w:lineRule="exact"/>
        <w:ind w:firstLine="480"/>
        <w:rPr>
          <w:rFonts w:ascii="宋体" w:hAnsi="宋体" w:eastAsia="宋体" w:cs="宋体"/>
          <w:color w:val="auto"/>
          <w:highlight w:val="none"/>
          <w:lang w:val="en-US"/>
        </w:rPr>
      </w:pPr>
      <w:bookmarkStart w:id="40" w:name="_Toc8697"/>
      <w:bookmarkStart w:id="41" w:name="_Toc6385"/>
      <w:r>
        <w:rPr>
          <w:rFonts w:hint="eastAsia" w:ascii="宋体" w:hAnsi="宋体" w:eastAsia="宋体" w:cs="宋体"/>
          <w:color w:val="auto"/>
          <w:highlight w:val="none"/>
        </w:rPr>
        <w:t>经评估，</w:t>
      </w:r>
      <w:r>
        <w:rPr>
          <w:rFonts w:hint="eastAsia" w:ascii="宋体" w:hAnsi="宋体" w:eastAsia="宋体" w:cs="宋体"/>
          <w:color w:val="auto"/>
          <w:highlight w:val="none"/>
          <w:lang w:eastAsia="zh-CN"/>
        </w:rPr>
        <w:t>本次委托</w:t>
      </w:r>
      <w:r>
        <w:rPr>
          <w:rFonts w:hint="eastAsia" w:ascii="宋体" w:hAnsi="宋体" w:eastAsia="宋体" w:cs="宋体"/>
          <w:color w:val="auto"/>
          <w:highlight w:val="none"/>
        </w:rPr>
        <w:t>的位于</w:t>
      </w:r>
      <w:r>
        <w:rPr>
          <w:rFonts w:hint="eastAsia" w:ascii="宋体" w:hAnsi="宋体" w:eastAsia="宋体" w:cs="宋体"/>
          <w:color w:val="auto"/>
          <w:highlight w:val="none"/>
          <w:lang w:eastAsia="zh-CN"/>
        </w:rPr>
        <w:t>西乡县城关镇附溪村二组岳洪、祝儒琴名下的一至七层房地产</w:t>
      </w:r>
      <w:r>
        <w:rPr>
          <w:rFonts w:hint="eastAsia" w:ascii="宋体" w:hAnsi="宋体" w:eastAsia="宋体" w:cs="宋体"/>
          <w:color w:val="auto"/>
          <w:highlight w:val="none"/>
        </w:rPr>
        <w:t>评估总价值为￥</w:t>
      </w:r>
      <w:r>
        <w:rPr>
          <w:rFonts w:hint="eastAsia" w:ascii="宋体" w:hAnsi="宋体" w:eastAsia="宋体" w:cs="宋体"/>
          <w:color w:val="auto"/>
          <w:highlight w:val="none"/>
          <w:lang w:val="en-US" w:eastAsia="zh-CN"/>
        </w:rPr>
        <w:t>6,994,000.00</w:t>
      </w:r>
      <w:r>
        <w:rPr>
          <w:rFonts w:hint="eastAsia" w:ascii="宋体" w:hAnsi="宋体" w:eastAsia="宋体" w:cs="宋体"/>
          <w:color w:val="auto"/>
          <w:highlight w:val="none"/>
        </w:rPr>
        <w:t>元，大写：人民币</w:t>
      </w: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 6994000 \* CHINESENUM4 \* MERGEFORMAT </w:instrText>
      </w:r>
      <w:r>
        <w:rPr>
          <w:rFonts w:hint="eastAsia" w:ascii="宋体" w:hAnsi="宋体" w:eastAsia="宋体" w:cs="宋体"/>
          <w:color w:val="auto"/>
          <w:highlight w:val="none"/>
          <w:lang w:val="en-US" w:eastAsia="zh-CN"/>
        </w:rPr>
        <w:fldChar w:fldCharType="separate"/>
      </w:r>
      <w:r>
        <w:t>陆佰玖拾玖万肆仟元整</w:t>
      </w:r>
      <w:r>
        <w:rPr>
          <w:rFonts w:hint="eastAsia" w:ascii="宋体" w:hAnsi="宋体" w:eastAsia="宋体" w:cs="宋体"/>
          <w:color w:val="auto"/>
          <w:highlight w:val="none"/>
          <w:lang w:val="en-US" w:eastAsia="zh-CN"/>
        </w:rPr>
        <w:fldChar w:fldCharType="end"/>
      </w:r>
      <w:r>
        <w:rPr>
          <w:rFonts w:hint="eastAsia" w:ascii="宋体" w:hAnsi="宋体" w:eastAsia="宋体" w:cs="宋体"/>
          <w:color w:val="auto"/>
          <w:highlight w:val="none"/>
          <w:lang w:val="en-US" w:eastAsia="zh-CN"/>
        </w:rPr>
        <w:t>；折合单价4,670.00元/平方米（该价值为房地合一价值）。</w:t>
      </w:r>
    </w:p>
    <w:p>
      <w:pPr>
        <w:spacing w:line="560" w:lineRule="exact"/>
        <w:ind w:firstLine="504"/>
        <w:rPr>
          <w:rFonts w:hint="eastAsia" w:ascii="宋体" w:hAnsi="宋体" w:eastAsia="宋体" w:cs="宋体"/>
          <w:color w:val="auto"/>
          <w:spacing w:val="6"/>
        </w:rPr>
      </w:pPr>
      <w:r>
        <w:rPr>
          <w:rFonts w:hint="eastAsia" w:ascii="宋体" w:hAnsi="宋体" w:eastAsia="宋体" w:cs="宋体"/>
          <w:color w:val="auto"/>
          <w:spacing w:val="6"/>
        </w:rPr>
        <w:t>通常，只有当评估基准日与经济行为实现日相距不超过一年时，才可以使用资产评估报告，因此本评估结论自评估基准日起一年内有效，即评估结论有效期自</w:t>
      </w:r>
      <w:r>
        <w:rPr>
          <w:rFonts w:hint="eastAsia" w:ascii="宋体" w:hAnsi="宋体" w:eastAsia="宋体" w:cs="宋体"/>
          <w:color w:val="auto"/>
          <w:spacing w:val="6"/>
          <w:lang w:eastAsia="zh-CN"/>
        </w:rPr>
        <w:t>2019年11月22日</w:t>
      </w:r>
      <w:r>
        <w:rPr>
          <w:rFonts w:hint="eastAsia" w:ascii="宋体" w:hAnsi="宋体" w:eastAsia="宋体" w:cs="宋体"/>
          <w:color w:val="auto"/>
          <w:spacing w:val="6"/>
        </w:rPr>
        <w:t>至20</w:t>
      </w:r>
      <w:r>
        <w:rPr>
          <w:rFonts w:hint="eastAsia" w:ascii="宋体" w:hAnsi="宋体" w:eastAsia="宋体" w:cs="宋体"/>
          <w:color w:val="auto"/>
          <w:spacing w:val="6"/>
          <w:lang w:val="en-US" w:eastAsia="zh-CN"/>
        </w:rPr>
        <w:t>20</w:t>
      </w:r>
      <w:r>
        <w:rPr>
          <w:rFonts w:hint="eastAsia" w:ascii="宋体" w:hAnsi="宋体" w:eastAsia="宋体" w:cs="宋体"/>
          <w:color w:val="auto"/>
          <w:spacing w:val="6"/>
        </w:rPr>
        <w:t>年</w:t>
      </w:r>
      <w:r>
        <w:rPr>
          <w:rFonts w:hint="eastAsia" w:ascii="宋体" w:hAnsi="宋体" w:eastAsia="宋体" w:cs="宋体"/>
          <w:color w:val="auto"/>
          <w:spacing w:val="6"/>
          <w:lang w:val="en-US" w:eastAsia="zh-CN"/>
        </w:rPr>
        <w:t>11</w:t>
      </w:r>
      <w:r>
        <w:rPr>
          <w:rFonts w:hint="eastAsia" w:ascii="宋体" w:hAnsi="宋体" w:eastAsia="宋体" w:cs="宋体"/>
          <w:color w:val="auto"/>
          <w:spacing w:val="6"/>
        </w:rPr>
        <w:t>月</w:t>
      </w:r>
      <w:r>
        <w:rPr>
          <w:rFonts w:hint="eastAsia" w:ascii="宋体" w:hAnsi="宋体" w:eastAsia="宋体" w:cs="宋体"/>
          <w:color w:val="auto"/>
          <w:spacing w:val="6"/>
          <w:lang w:val="en-US" w:eastAsia="zh-CN"/>
        </w:rPr>
        <w:t>21</w:t>
      </w:r>
      <w:r>
        <w:rPr>
          <w:rFonts w:hint="eastAsia" w:ascii="宋体" w:hAnsi="宋体" w:eastAsia="宋体" w:cs="宋体"/>
          <w:color w:val="auto"/>
          <w:spacing w:val="6"/>
        </w:rPr>
        <w:t>日止。</w:t>
      </w:r>
    </w:p>
    <w:p>
      <w:pPr>
        <w:pStyle w:val="4"/>
        <w:spacing w:beforeLines="50" w:afterLines="50" w:line="560" w:lineRule="exact"/>
        <w:ind w:firstLine="281" w:firstLineChars="100"/>
        <w:rPr>
          <w:rFonts w:ascii="宋体" w:hAnsi="宋体" w:eastAsia="宋体" w:cs="宋体"/>
          <w:color w:val="auto"/>
          <w:sz w:val="28"/>
          <w:highlight w:val="none"/>
        </w:rPr>
      </w:pPr>
      <w:r>
        <w:rPr>
          <w:rFonts w:hint="eastAsia" w:ascii="宋体" w:hAnsi="宋体" w:eastAsia="宋体" w:cs="宋体"/>
          <w:color w:val="auto"/>
          <w:sz w:val="28"/>
          <w:highlight w:val="none"/>
        </w:rPr>
        <w:t>十一、特别事项说明</w:t>
      </w:r>
      <w:bookmarkEnd w:id="40"/>
      <w:bookmarkEnd w:id="41"/>
    </w:p>
    <w:p>
      <w:pPr>
        <w:spacing w:line="560" w:lineRule="exact"/>
        <w:ind w:firstLine="600" w:firstLineChars="250"/>
        <w:rPr>
          <w:rFonts w:ascii="宋体" w:hAnsi="宋体" w:eastAsia="宋体"/>
          <w:color w:val="auto"/>
        </w:rPr>
      </w:pPr>
      <w:bookmarkStart w:id="42" w:name="_Toc22766"/>
      <w:bookmarkStart w:id="43" w:name="_Toc18408"/>
      <w:r>
        <w:rPr>
          <w:rFonts w:ascii="宋体" w:hAnsi="宋体" w:eastAsia="宋体"/>
          <w:color w:val="auto"/>
        </w:rPr>
        <w:t>本评估报告存在如下特别事项，</w:t>
      </w:r>
      <w:r>
        <w:rPr>
          <w:rFonts w:hint="eastAsia" w:ascii="宋体" w:hAnsi="宋体" w:eastAsia="宋体"/>
          <w:color w:val="auto"/>
        </w:rPr>
        <w:t>会对本报告评估结论产生影响，</w:t>
      </w:r>
      <w:r>
        <w:rPr>
          <w:rFonts w:ascii="宋体" w:hAnsi="宋体" w:eastAsia="宋体"/>
          <w:color w:val="auto"/>
        </w:rPr>
        <w:t>提请报告使用者</w:t>
      </w:r>
      <w:r>
        <w:rPr>
          <w:rFonts w:hint="eastAsia" w:ascii="宋体" w:hAnsi="宋体" w:eastAsia="宋体"/>
          <w:color w:val="auto"/>
        </w:rPr>
        <w:t>在使用本评估结论时应</w:t>
      </w:r>
      <w:r>
        <w:rPr>
          <w:rFonts w:ascii="宋体" w:hAnsi="宋体" w:eastAsia="宋体"/>
          <w:color w:val="auto"/>
        </w:rPr>
        <w:t>予以</w:t>
      </w:r>
      <w:r>
        <w:rPr>
          <w:rFonts w:hint="eastAsia" w:ascii="宋体" w:hAnsi="宋体" w:eastAsia="宋体"/>
          <w:color w:val="auto"/>
        </w:rPr>
        <w:t>重点</w:t>
      </w:r>
      <w:r>
        <w:rPr>
          <w:rFonts w:ascii="宋体" w:hAnsi="宋体" w:eastAsia="宋体"/>
          <w:color w:val="auto"/>
        </w:rPr>
        <w:t>关注：</w:t>
      </w:r>
    </w:p>
    <w:p>
      <w:pPr>
        <w:pStyle w:val="51"/>
        <w:numPr>
          <w:ilvl w:val="0"/>
          <w:numId w:val="26"/>
        </w:numPr>
        <w:spacing w:line="560" w:lineRule="exact"/>
        <w:ind w:firstLineChars="0"/>
        <w:rPr>
          <w:rFonts w:ascii="宋体" w:hAnsi="宋体" w:eastAsia="宋体"/>
          <w:color w:val="auto"/>
        </w:rPr>
      </w:pPr>
      <w:r>
        <w:rPr>
          <w:rFonts w:hint="eastAsia" w:ascii="宋体" w:hAnsi="宋体" w:eastAsia="宋体"/>
          <w:color w:val="auto"/>
        </w:rPr>
        <w:t>权属等主要资料不完整或者存在瑕疵的情形；</w:t>
      </w:r>
    </w:p>
    <w:p>
      <w:pPr>
        <w:pStyle w:val="51"/>
        <w:numPr>
          <w:ilvl w:val="0"/>
          <w:numId w:val="0"/>
        </w:numPr>
        <w:spacing w:line="560" w:lineRule="exact"/>
        <w:ind w:left="0" w:leftChars="0" w:firstLine="600" w:firstLineChars="250"/>
        <w:rPr>
          <w:rFonts w:ascii="宋体" w:hAnsi="宋体" w:eastAsia="宋体"/>
          <w:color w:val="auto"/>
          <w:highlight w:val="none"/>
        </w:rPr>
      </w:pPr>
      <w:r>
        <w:rPr>
          <w:rFonts w:hint="eastAsia" w:ascii="宋体" w:hAnsi="宋体" w:eastAsia="宋体"/>
          <w:color w:val="auto"/>
          <w:lang w:eastAsia="zh-CN"/>
        </w:rPr>
        <w:t>委托人提供了评估对象相关的《房屋所有权证》和《集体土地使用证》复印件；</w:t>
      </w:r>
      <w:r>
        <w:rPr>
          <w:rFonts w:hint="eastAsia" w:ascii="宋体" w:hAnsi="宋体" w:eastAsia="宋体" w:cs="宋体"/>
          <w:color w:val="auto"/>
          <w:sz w:val="24"/>
          <w:highlight w:val="none"/>
        </w:rPr>
        <w:t>本报告是对委估资产的价值进行评定估算，评估师对其权属状况给予必要的关注，对查验情况予以披露，但不对评估对象的法律权属做任何形式的保证</w:t>
      </w:r>
      <w:r>
        <w:rPr>
          <w:rFonts w:hint="eastAsia" w:ascii="宋体" w:hAnsi="宋体" w:eastAsia="宋体"/>
          <w:color w:val="auto"/>
          <w:highlight w:val="none"/>
        </w:rPr>
        <w:t>。</w:t>
      </w:r>
      <w:r>
        <w:rPr>
          <w:rFonts w:hint="eastAsia" w:ascii="宋体" w:hAnsi="宋体" w:eastAsia="宋体" w:cs="宋体"/>
          <w:color w:val="auto"/>
          <w:sz w:val="24"/>
          <w:highlight w:val="none"/>
          <w:lang w:eastAsia="zh-CN"/>
        </w:rPr>
        <w:t>委托人</w:t>
      </w:r>
      <w:r>
        <w:rPr>
          <w:rFonts w:hint="eastAsia" w:ascii="宋体" w:hAnsi="宋体" w:eastAsia="宋体" w:cs="宋体"/>
          <w:color w:val="auto"/>
          <w:sz w:val="24"/>
          <w:highlight w:val="none"/>
        </w:rPr>
        <w:t>应对其所提供产权证明的真实性、合法性和完整性承担责任。</w:t>
      </w:r>
    </w:p>
    <w:p>
      <w:pPr>
        <w:pStyle w:val="51"/>
        <w:numPr>
          <w:ilvl w:val="0"/>
          <w:numId w:val="26"/>
        </w:numPr>
        <w:spacing w:line="560" w:lineRule="exact"/>
        <w:ind w:firstLineChars="0"/>
        <w:rPr>
          <w:rFonts w:ascii="宋体" w:hAnsi="宋体" w:eastAsia="宋体"/>
          <w:color w:val="auto"/>
        </w:rPr>
      </w:pPr>
      <w:r>
        <w:rPr>
          <w:rFonts w:hint="eastAsia" w:ascii="宋体" w:hAnsi="宋体" w:eastAsia="宋体" w:cs="Times New Roman"/>
          <w:color w:val="auto"/>
          <w:kern w:val="2"/>
          <w:sz w:val="24"/>
          <w:szCs w:val="24"/>
          <w:lang w:val="zh-CN" w:eastAsia="zh-CN" w:bidi="ar-SA"/>
        </w:rPr>
        <w:t>重大期后事项</w:t>
      </w:r>
    </w:p>
    <w:p>
      <w:pPr>
        <w:pStyle w:val="51"/>
        <w:numPr>
          <w:ilvl w:val="0"/>
          <w:numId w:val="0"/>
        </w:numPr>
        <w:spacing w:line="560" w:lineRule="exact"/>
        <w:ind w:left="0" w:leftChars="0" w:firstLine="480" w:firstLineChars="200"/>
        <w:rPr>
          <w:rFonts w:ascii="宋体" w:hAnsi="宋体" w:eastAsia="宋体"/>
          <w:color w:val="auto"/>
        </w:rPr>
      </w:pPr>
      <w:r>
        <w:rPr>
          <w:rFonts w:hint="eastAsia" w:ascii="宋体" w:hAnsi="宋体" w:eastAsia="宋体" w:cs="Times New Roman"/>
          <w:color w:val="auto"/>
          <w:kern w:val="2"/>
          <w:sz w:val="24"/>
          <w:szCs w:val="24"/>
          <w:lang w:val="zh-CN" w:eastAsia="zh-CN" w:bidi="ar-SA"/>
        </w:rPr>
        <w:t>评估基准日后、有效期以内，若资产价格标准发生变化，对评估结论产生影响时，不能直接使用本评估结论，须对评估结论进行调整或重新评估。即：若资产价格标准发生变化、并对资产评估价格已产生了明显影响时，委托人应及时聘请评估机构重新进行评估。</w:t>
      </w:r>
    </w:p>
    <w:p>
      <w:pPr>
        <w:pStyle w:val="51"/>
        <w:numPr>
          <w:ilvl w:val="0"/>
          <w:numId w:val="26"/>
        </w:numPr>
        <w:spacing w:line="560" w:lineRule="exact"/>
        <w:ind w:firstLineChars="0"/>
        <w:rPr>
          <w:rFonts w:ascii="宋体" w:hAnsi="宋体" w:eastAsia="宋体"/>
          <w:color w:val="auto"/>
        </w:rPr>
      </w:pPr>
      <w:r>
        <w:rPr>
          <w:rFonts w:hint="eastAsia" w:ascii="宋体" w:hAnsi="宋体" w:eastAsia="宋体"/>
          <w:color w:val="auto"/>
        </w:rPr>
        <w:t>担保、抵押租赁等其他权益事项；</w:t>
      </w:r>
    </w:p>
    <w:p>
      <w:pPr>
        <w:spacing w:line="540" w:lineRule="exact"/>
        <w:ind w:firstLine="480"/>
        <w:rPr>
          <w:rFonts w:hint="eastAsia" w:ascii="宋体" w:hAnsi="宋体" w:eastAsia="宋体"/>
          <w:color w:val="auto"/>
          <w:lang w:eastAsia="zh-CN"/>
        </w:rPr>
      </w:pPr>
      <w:r>
        <w:rPr>
          <w:rFonts w:hint="eastAsia" w:ascii="宋体" w:hAnsi="宋体" w:eastAsia="宋体"/>
          <w:color w:val="auto"/>
        </w:rPr>
        <w:t>根据委托人提供的资料，评估对象已设立抵押权，但根据《房地产估价规范》（</w:t>
      </w:r>
      <w:r>
        <w:rPr>
          <w:rFonts w:ascii="宋体" w:hAnsi="宋体" w:eastAsia="宋体"/>
          <w:color w:val="auto"/>
        </w:rPr>
        <w:t>GB/T50291-2015</w:t>
      </w:r>
      <w:r>
        <w:rPr>
          <w:rFonts w:hint="eastAsia" w:ascii="宋体" w:hAnsi="宋体" w:eastAsia="宋体"/>
          <w:color w:val="auto"/>
        </w:rPr>
        <w:t>）的规定及涉及司法鉴定等相关法律法规，本次评估不考虑上述抵押权对评估结果的影响</w:t>
      </w:r>
      <w:r>
        <w:rPr>
          <w:rFonts w:hint="eastAsia" w:ascii="宋体" w:hAnsi="宋体" w:eastAsia="宋体"/>
          <w:color w:val="auto"/>
          <w:lang w:eastAsia="zh-CN"/>
        </w:rPr>
        <w:t>；</w:t>
      </w:r>
    </w:p>
    <w:p>
      <w:pPr>
        <w:pStyle w:val="51"/>
        <w:numPr>
          <w:ilvl w:val="0"/>
          <w:numId w:val="26"/>
        </w:numPr>
        <w:spacing w:line="540" w:lineRule="exact"/>
        <w:ind w:left="1021" w:firstLineChars="0"/>
        <w:rPr>
          <w:rFonts w:ascii="宋体" w:hAnsi="宋体" w:eastAsia="宋体"/>
          <w:color w:val="auto"/>
        </w:rPr>
      </w:pPr>
      <w:r>
        <w:rPr>
          <w:rFonts w:hint="eastAsia" w:ascii="宋体" w:hAnsi="宋体" w:eastAsia="宋体"/>
          <w:color w:val="auto"/>
        </w:rPr>
        <w:t>评估程序受到限制的情形</w:t>
      </w:r>
      <w:r>
        <w:rPr>
          <w:rFonts w:hint="eastAsia" w:ascii="宋体" w:hAnsi="宋体" w:eastAsia="宋体"/>
          <w:color w:val="auto"/>
          <w:lang w:eastAsia="zh-CN"/>
        </w:rPr>
        <w:t>；</w:t>
      </w:r>
    </w:p>
    <w:p>
      <w:pPr>
        <w:spacing w:line="540" w:lineRule="exact"/>
        <w:ind w:left="0" w:leftChars="0" w:firstLine="1200" w:firstLineChars="500"/>
        <w:rPr>
          <w:rFonts w:ascii="宋体" w:hAnsi="宋体" w:eastAsia="宋体"/>
          <w:color w:val="auto"/>
        </w:rPr>
      </w:pPr>
      <w:r>
        <w:rPr>
          <w:rFonts w:hint="eastAsia" w:ascii="宋体" w:hAnsi="宋体" w:eastAsia="宋体"/>
          <w:color w:val="auto"/>
          <w:lang w:eastAsia="zh-CN"/>
        </w:rPr>
        <w:t>无</w:t>
      </w:r>
      <w:r>
        <w:rPr>
          <w:rFonts w:hint="eastAsia" w:ascii="宋体" w:hAnsi="宋体" w:eastAsia="宋体"/>
          <w:color w:val="auto"/>
        </w:rPr>
        <w:t>；</w:t>
      </w:r>
    </w:p>
    <w:p>
      <w:pPr>
        <w:pStyle w:val="51"/>
        <w:numPr>
          <w:ilvl w:val="0"/>
          <w:numId w:val="26"/>
        </w:numPr>
        <w:spacing w:line="540" w:lineRule="exact"/>
        <w:ind w:left="1021" w:firstLineChars="0"/>
        <w:rPr>
          <w:rFonts w:ascii="宋体" w:hAnsi="宋体" w:eastAsia="宋体"/>
          <w:color w:val="auto"/>
        </w:rPr>
      </w:pPr>
      <w:r>
        <w:rPr>
          <w:rFonts w:hint="eastAsia" w:ascii="宋体" w:hAnsi="宋体" w:eastAsia="宋体"/>
          <w:color w:val="auto"/>
        </w:rPr>
        <w:t>重要的利用专家工作及相关报告情况；</w:t>
      </w:r>
    </w:p>
    <w:p>
      <w:pPr>
        <w:pStyle w:val="51"/>
        <w:spacing w:line="540" w:lineRule="exact"/>
        <w:ind w:left="1021" w:firstLine="240" w:firstLineChars="100"/>
        <w:rPr>
          <w:rFonts w:ascii="宋体" w:hAnsi="宋体" w:eastAsia="宋体"/>
          <w:color w:val="auto"/>
        </w:rPr>
      </w:pPr>
      <w:r>
        <w:rPr>
          <w:rFonts w:hint="eastAsia" w:ascii="宋体" w:hAnsi="宋体" w:eastAsia="宋体"/>
          <w:color w:val="auto"/>
        </w:rPr>
        <w:t>无；</w:t>
      </w:r>
    </w:p>
    <w:p>
      <w:pPr>
        <w:pStyle w:val="51"/>
        <w:numPr>
          <w:ilvl w:val="0"/>
          <w:numId w:val="26"/>
        </w:numPr>
        <w:spacing w:line="540" w:lineRule="exact"/>
        <w:ind w:firstLineChars="0"/>
        <w:rPr>
          <w:rFonts w:ascii="宋体" w:hAnsi="宋体" w:eastAsia="宋体"/>
          <w:color w:val="auto"/>
        </w:rPr>
      </w:pPr>
      <w:r>
        <w:rPr>
          <w:rFonts w:hint="eastAsia" w:ascii="宋体" w:hAnsi="宋体" w:eastAsia="宋体"/>
          <w:color w:val="auto"/>
        </w:rPr>
        <w:t>其他事项；</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rPr>
        <w:t>本评估报告的评估结论是反映委托评估对象在清算假设前提下，于评估基准日所表现的本报告所列明的评估目的下的价值</w:t>
      </w:r>
      <w:r>
        <w:rPr>
          <w:rFonts w:hint="eastAsia" w:ascii="宋体" w:hAnsi="宋体" w:eastAsia="宋体"/>
          <w:color w:val="auto"/>
          <w:lang w:eastAsia="zh-CN"/>
        </w:rPr>
        <w:t>。</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s="宋体"/>
          <w:color w:val="auto"/>
          <w:lang w:eastAsia="zh-CN"/>
        </w:rPr>
        <w:t>委托人</w:t>
      </w:r>
      <w:r>
        <w:rPr>
          <w:rFonts w:hint="eastAsia" w:ascii="宋体" w:hAnsi="宋体" w:eastAsia="宋体" w:cs="宋体"/>
          <w:color w:val="auto"/>
        </w:rPr>
        <w:t>向我们提供了</w:t>
      </w:r>
      <w:r>
        <w:rPr>
          <w:rFonts w:hint="eastAsia" w:ascii="宋体" w:hAnsi="宋体" w:eastAsia="宋体"/>
          <w:color w:val="auto"/>
          <w:lang w:eastAsia="zh-CN"/>
        </w:rPr>
        <w:t>评估对象相关的《房屋所有权证》和《集体土地使用证》复印件</w:t>
      </w:r>
      <w:r>
        <w:rPr>
          <w:rFonts w:hint="eastAsia" w:ascii="宋体" w:hAnsi="宋体" w:eastAsia="宋体"/>
          <w:color w:val="auto"/>
          <w:lang w:val="en-US" w:eastAsia="zh-CN"/>
        </w:rPr>
        <w:t>等</w:t>
      </w:r>
      <w:r>
        <w:rPr>
          <w:rFonts w:hint="eastAsia" w:ascii="宋体" w:hAnsi="宋体" w:eastAsia="宋体" w:cs="宋体"/>
          <w:color w:val="auto"/>
          <w:lang w:val="en-US" w:eastAsia="zh-CN"/>
        </w:rPr>
        <w:t>资料</w:t>
      </w:r>
      <w:r>
        <w:rPr>
          <w:rFonts w:hint="eastAsia" w:ascii="宋体" w:hAnsi="宋体" w:eastAsia="宋体" w:cs="宋体"/>
          <w:color w:val="auto"/>
        </w:rPr>
        <w:t>，按照</w:t>
      </w:r>
      <w:r>
        <w:rPr>
          <w:rFonts w:hint="eastAsia" w:ascii="宋体" w:hAnsi="宋体" w:eastAsia="宋体" w:cs="宋体"/>
          <w:color w:val="auto"/>
          <w:lang w:eastAsia="zh-CN"/>
        </w:rPr>
        <w:t>资产评估委托合同</w:t>
      </w:r>
      <w:r>
        <w:rPr>
          <w:rFonts w:hint="eastAsia" w:ascii="宋体" w:hAnsi="宋体" w:eastAsia="宋体" w:cs="宋体"/>
          <w:color w:val="auto"/>
        </w:rPr>
        <w:t>及有关文件规定，</w:t>
      </w:r>
      <w:r>
        <w:rPr>
          <w:rFonts w:hint="eastAsia" w:ascii="宋体" w:hAnsi="宋体" w:eastAsia="宋体" w:cs="宋体"/>
          <w:color w:val="auto"/>
          <w:lang w:eastAsia="zh-CN"/>
        </w:rPr>
        <w:t>委托人</w:t>
      </w:r>
      <w:r>
        <w:rPr>
          <w:rFonts w:hint="eastAsia" w:ascii="宋体" w:hAnsi="宋体" w:eastAsia="宋体" w:cs="宋体"/>
          <w:color w:val="auto"/>
        </w:rPr>
        <w:t>应对其所提供</w:t>
      </w:r>
      <w:r>
        <w:rPr>
          <w:rFonts w:hint="eastAsia" w:ascii="宋体" w:hAnsi="宋体" w:eastAsia="宋体" w:cs="宋体"/>
          <w:color w:val="auto"/>
          <w:lang w:eastAsia="zh-CN"/>
        </w:rPr>
        <w:t>委估资产</w:t>
      </w:r>
      <w:r>
        <w:rPr>
          <w:rFonts w:hint="eastAsia" w:ascii="宋体" w:hAnsi="宋体" w:eastAsia="宋体" w:cs="宋体"/>
          <w:color w:val="auto"/>
        </w:rPr>
        <w:t>的资料以及产权证明的真实性、合法性和完整性承担责任</w:t>
      </w:r>
      <w:r>
        <w:rPr>
          <w:rFonts w:hint="eastAsia" w:ascii="宋体" w:hAnsi="宋体" w:eastAsia="宋体" w:cs="宋体"/>
          <w:color w:val="auto"/>
          <w:lang w:eastAsia="zh-CN"/>
        </w:rPr>
        <w:t>。</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评估对象实物由委托人领勘指认。评估结论为委估的</w:t>
      </w:r>
      <w:r>
        <w:rPr>
          <w:rFonts w:hint="eastAsia" w:ascii="宋体" w:hAnsi="宋体" w:cs="宋体"/>
          <w:color w:val="auto"/>
          <w:sz w:val="24"/>
          <w:lang w:val="en-US" w:eastAsia="zh-CN"/>
        </w:rPr>
        <w:t>房地产及房屋内部装修司法处分价值，不包含其他可移动的、独立于建筑物的动产设施及设备资产</w:t>
      </w:r>
      <w:r>
        <w:rPr>
          <w:rFonts w:hint="eastAsia" w:ascii="宋体" w:hAnsi="宋体" w:eastAsia="宋体"/>
          <w:color w:val="auto"/>
          <w:lang w:eastAsia="zh-CN"/>
        </w:rPr>
        <w:t>价值。</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因</w:t>
      </w:r>
      <w:r>
        <w:rPr>
          <w:rFonts w:hint="eastAsia" w:ascii="宋体" w:hAnsi="宋体" w:eastAsia="宋体"/>
          <w:color w:val="auto"/>
        </w:rPr>
        <w:t>本次</w:t>
      </w:r>
      <w:r>
        <w:rPr>
          <w:rFonts w:hint="eastAsia" w:ascii="宋体" w:hAnsi="宋体" w:eastAsia="宋体"/>
          <w:color w:val="auto"/>
          <w:lang w:eastAsia="zh-CN"/>
        </w:rPr>
        <w:t>评估目的为司法处分提供价格参考意见，选用的价值类型</w:t>
      </w:r>
      <w:r>
        <w:rPr>
          <w:rFonts w:hint="eastAsia" w:ascii="宋体" w:hAnsi="宋体" w:eastAsia="宋体"/>
          <w:color w:val="auto"/>
        </w:rPr>
        <w:t>为清算价值，</w:t>
      </w:r>
      <w:r>
        <w:rPr>
          <w:rFonts w:hint="eastAsia" w:ascii="宋体" w:hAnsi="宋体" w:eastAsia="宋体"/>
          <w:color w:val="auto"/>
          <w:lang w:eastAsia="zh-CN"/>
        </w:rPr>
        <w:t>本次评估对象所占用的土地为集体划拨用地，集体划拨用地市场交易范围受到一定的局限，并且本次评估对象体量较大，变现难度也较大，</w:t>
      </w:r>
      <w:r>
        <w:rPr>
          <w:rFonts w:hint="eastAsia" w:ascii="宋体" w:hAnsi="宋体" w:eastAsia="宋体"/>
          <w:color w:val="auto"/>
        </w:rPr>
        <w:t>考虑资产短期变现处置造成的折扣损失，为快速变现结合当地资产的实际情况确定本次委估资产的变现折扣率为</w:t>
      </w:r>
      <w:r>
        <w:rPr>
          <w:rFonts w:hint="eastAsia" w:ascii="宋体" w:hAnsi="宋体" w:eastAsia="宋体"/>
          <w:color w:val="auto"/>
          <w:highlight w:val="none"/>
          <w:lang w:val="en-US" w:eastAsia="zh-CN"/>
        </w:rPr>
        <w:t>20</w:t>
      </w:r>
      <w:r>
        <w:rPr>
          <w:rFonts w:ascii="宋体" w:hAnsi="宋体" w:eastAsia="宋体"/>
          <w:color w:val="auto"/>
          <w:highlight w:val="none"/>
        </w:rPr>
        <w:t>%</w:t>
      </w:r>
      <w:r>
        <w:rPr>
          <w:rFonts w:hint="eastAsia" w:ascii="宋体" w:hAnsi="宋体" w:eastAsia="宋体"/>
          <w:color w:val="auto"/>
          <w:lang w:eastAsia="zh-CN"/>
        </w:rPr>
        <w:t>。</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lang w:eastAsia="zh-CN"/>
        </w:rPr>
        <w:t>本次评估对象所占用的土地为集体划拨用地，本次评估结果中已按规定扣除了划拨用地将来上市交易时应缴纳的土地出让金价款。</w:t>
      </w:r>
    </w:p>
    <w:p>
      <w:pPr>
        <w:pStyle w:val="51"/>
        <w:numPr>
          <w:ilvl w:val="0"/>
          <w:numId w:val="27"/>
        </w:numPr>
        <w:spacing w:line="540" w:lineRule="exact"/>
        <w:ind w:left="0" w:firstLine="567" w:firstLineChars="0"/>
        <w:rPr>
          <w:rFonts w:hint="eastAsia" w:ascii="宋体" w:hAnsi="宋体" w:eastAsia="宋体"/>
          <w:color w:val="auto"/>
          <w:lang w:val="en-US" w:eastAsia="zh-CN"/>
        </w:rPr>
      </w:pPr>
      <w:r>
        <w:rPr>
          <w:rFonts w:hint="eastAsia" w:ascii="宋体" w:hAnsi="宋体" w:eastAsia="宋体"/>
          <w:color w:val="auto"/>
          <w:lang w:val="en-US" w:eastAsia="zh-CN"/>
        </w:rPr>
        <w:t xml:space="preserve">评估人员对评估对象的勘查，限于评估对象的现有外观和使用状况，除非报告中                                                                                                                                                                                                                                                                                                                                                                                                                                                                                                                                                                                                                                                                                                                                                                                                                                                                                                                                                                                                                                                                                                                                                                                                                                                                                                                                                                                                                                                                                                                                                                                                                                                                                                                                                                                                                                                                                                                                                                                                                                                                                                                                                                                                                                                                                                                                                                                                                                                                                                                                                                                                                                                                                                                                                                                                                                                                                                                                                                                                                                                                                                                                                                                                                                                                                                                                                                                                                                                                                                                                                                                                                                                                                                                                                                                                                                                                                                                                                                                                                                                                                                                                                                             </w:t>
      </w:r>
      <w:r>
        <w:rPr>
          <w:rFonts w:hint="eastAsia" w:ascii="宋体" w:hAnsi="宋体" w:eastAsia="宋体"/>
          <w:color w:val="auto"/>
          <w:lang w:val="en-US" w:eastAsia="zh-CN"/>
        </w:rPr>
        <w:t xml:space="preserve">                                                                                                                                                                                                                                                                                                                                                                                                                                                                                                                                                                                                                                                                                                                                                                                                                                                                                                                                                                                                                                                                                                                                                                                                                                                                                                                                                                                                                                                                                                                                                                                                                                                                                                                                                                                                                                                                                                                                                                                                                                                                                                                                                                                                                                                                                                                                                                                                                                                                                                                                                                                                                                                                                                                                                                                                                                                                                                                                                                                                                                                                                                                                                                                                                                                                                                                                                                                                                                                                                                                                                                                                                                                                                                                                                                                                                                                                                                                                                                                                                                                                                                                                                                                                                </w:t>
      </w:r>
      <w:r>
        <w:rPr>
          <w:rFonts w:hint="eastAsia" w:ascii="宋体" w:hAnsi="宋体" w:eastAsia="宋体"/>
          <w:color w:val="auto"/>
          <w:lang w:val="en-US" w:eastAsia="zh-CN"/>
        </w:rPr>
        <w:t xml:space="preserve">                                                                                                                                                                                                                                                                                                                                                                                                                                                                                                                                                                                                                                                                                                                                                                                                                                                                                                                                                                                                                                                                                                                                                                                                                                                                                                                                                                                                                                                                                                                                                                                                                                                                                                                                                                                                                                                                                                                                                                                                                                                                                                                                                                                                                                                                                                                                                                                                                                                                                                                                                                                                                                                                                                                                                                                                                                                                                                                                                                                                                                                                                                                                                                                                                                                                                                                                                                                                                                                                                                                                                                                                                                                                                                                                                                                                                                                                                                                                                                                                                                                                                                                                                                                                                </w:t>
      </w:r>
      <w:r>
        <w:rPr>
          <w:rFonts w:hint="eastAsia" w:ascii="宋体" w:hAnsi="宋体" w:eastAsia="宋体"/>
          <w:color w:val="auto"/>
          <w:lang w:val="en-US" w:eastAsia="zh-CN"/>
        </w:rPr>
        <w:t xml:space="preserve">                                                                                                                                                                                                                                                                                                                                                                                                                                                                                                                                                                                                                                                                                                                                                                                                                                                                                                                                                                                                                                                                                                                                                                                                                                                                                                                                                                                                                                                                                                                                                                                                                                                                                                                                                                                                                                                                                                                                                                                                                                                                                                                                                                                                                                                                                                                                                                                                                                                                                                                                                                                                                                                  另有明确声明，评估人员不承担评估对象建筑物质量及被遮盖、未暴露及难以接触到的部分进行勘查责任。</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rPr>
        <w:t>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r>
        <w:rPr>
          <w:rFonts w:hint="eastAsia" w:ascii="宋体" w:hAnsi="宋体" w:eastAsia="宋体"/>
          <w:color w:val="auto"/>
          <w:lang w:eastAsia="zh-CN"/>
        </w:rPr>
        <w:t>。</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rPr>
        <w:t>本评估结论不应当被认为是对评估对象可实现价格的保证</w:t>
      </w:r>
      <w:r>
        <w:rPr>
          <w:rFonts w:hint="eastAsia" w:ascii="宋体" w:hAnsi="宋体" w:eastAsia="宋体"/>
          <w:color w:val="auto"/>
          <w:lang w:eastAsia="zh-CN"/>
        </w:rPr>
        <w:t>。</w:t>
      </w:r>
    </w:p>
    <w:p>
      <w:pPr>
        <w:pStyle w:val="51"/>
        <w:numPr>
          <w:ilvl w:val="0"/>
          <w:numId w:val="27"/>
        </w:numPr>
        <w:spacing w:line="540" w:lineRule="exact"/>
        <w:ind w:left="0" w:firstLine="567" w:firstLineChars="0"/>
        <w:rPr>
          <w:rFonts w:ascii="宋体" w:hAnsi="宋体" w:eastAsia="宋体"/>
          <w:color w:val="auto"/>
        </w:rPr>
      </w:pPr>
      <w:r>
        <w:rPr>
          <w:rFonts w:hint="eastAsia" w:ascii="宋体" w:hAnsi="宋体" w:eastAsia="宋体"/>
          <w:color w:val="auto"/>
        </w:rPr>
        <w:t>本评估报告仅供</w:t>
      </w:r>
      <w:r>
        <w:rPr>
          <w:rFonts w:hint="eastAsia" w:ascii="宋体" w:hAnsi="宋体" w:eastAsia="宋体"/>
          <w:color w:val="auto"/>
          <w:lang w:eastAsia="zh-CN"/>
        </w:rPr>
        <w:t>委托人</w:t>
      </w:r>
      <w:r>
        <w:rPr>
          <w:rFonts w:hint="eastAsia" w:ascii="宋体" w:hAnsi="宋体" w:eastAsia="宋体"/>
          <w:color w:val="auto"/>
        </w:rPr>
        <w:t>为本评估报告所列明的评估目的以及报送有关资产评估主管机关审查使用。</w:t>
      </w:r>
      <w:r>
        <w:rPr>
          <w:rFonts w:hint="eastAsia" w:ascii="宋体" w:hAnsi="宋体" w:eastAsia="宋体"/>
          <w:color w:val="auto"/>
          <w:lang w:eastAsia="zh-CN"/>
        </w:rPr>
        <w:t>委托人</w:t>
      </w:r>
      <w:r>
        <w:rPr>
          <w:rFonts w:hint="eastAsia" w:ascii="宋体" w:hAnsi="宋体" w:eastAsia="宋体"/>
          <w:color w:val="auto"/>
        </w:rPr>
        <w:t>应按本评估报告载明的评估目的使用，任何不正确或不恰当地使用本评估报告所造成的不便或损失，将由评估报告使用者自行承担责任。</w:t>
      </w:r>
    </w:p>
    <w:p>
      <w:pPr>
        <w:pStyle w:val="4"/>
        <w:tabs>
          <w:tab w:val="left" w:pos="993"/>
        </w:tabs>
        <w:spacing w:beforeLines="50" w:afterLines="50" w:line="560" w:lineRule="exact"/>
        <w:ind w:left="-2" w:leftChars="-1" w:firstLine="551" w:firstLineChars="196"/>
        <w:rPr>
          <w:rFonts w:ascii="宋体" w:hAnsi="宋体" w:eastAsia="宋体" w:cs="宋体"/>
          <w:color w:val="auto"/>
          <w:sz w:val="28"/>
        </w:rPr>
      </w:pPr>
      <w:r>
        <w:rPr>
          <w:rFonts w:hint="eastAsia" w:ascii="宋体" w:hAnsi="宋体" w:eastAsia="宋体" w:cs="宋体"/>
          <w:color w:val="auto"/>
          <w:sz w:val="28"/>
        </w:rPr>
        <w:t>十二、评估报告使用限制说明</w:t>
      </w:r>
      <w:bookmarkEnd w:id="42"/>
      <w:bookmarkEnd w:id="43"/>
    </w:p>
    <w:p>
      <w:pPr>
        <w:pStyle w:val="8"/>
        <w:numPr>
          <w:ilvl w:val="1"/>
          <w:numId w:val="28"/>
        </w:numPr>
        <w:tabs>
          <w:tab w:val="left" w:pos="1418"/>
          <w:tab w:val="clear" w:pos="1545"/>
        </w:tabs>
        <w:spacing w:after="0" w:line="560" w:lineRule="exact"/>
        <w:ind w:leftChars="0" w:hanging="978"/>
        <w:rPr>
          <w:rFonts w:ascii="宋体" w:hAnsi="宋体" w:cs="宋体"/>
          <w:color w:val="auto"/>
          <w:spacing w:val="6"/>
          <w:sz w:val="24"/>
        </w:rPr>
      </w:pPr>
      <w:r>
        <w:rPr>
          <w:rFonts w:hint="eastAsia" w:ascii="宋体" w:hAnsi="宋体" w:cs="宋体"/>
          <w:color w:val="auto"/>
          <w:spacing w:val="6"/>
          <w:sz w:val="24"/>
        </w:rPr>
        <w:t>评估报告只能用于评估报告载明的评估目的和用途；</w:t>
      </w:r>
    </w:p>
    <w:p>
      <w:pPr>
        <w:pStyle w:val="8"/>
        <w:pageBreakBefore w:val="0"/>
        <w:widowControl w:val="0"/>
        <w:numPr>
          <w:ilvl w:val="1"/>
          <w:numId w:val="28"/>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pacing w:val="6"/>
          <w:sz w:val="24"/>
        </w:rPr>
      </w:pPr>
      <w:r>
        <w:rPr>
          <w:rFonts w:hint="eastAsia" w:ascii="宋体" w:hAnsi="宋体" w:cs="宋体"/>
          <w:color w:val="auto"/>
          <w:spacing w:val="6"/>
          <w:sz w:val="24"/>
        </w:rPr>
        <w:t>委托人或者其他资产评估报告使用人未按照法律、行政法规规定和资产评估报告载明的使用范围使用资产评估报告的，资产评估机构及其资产评估专业人员不承担责任；</w:t>
      </w:r>
    </w:p>
    <w:p>
      <w:pPr>
        <w:pStyle w:val="8"/>
        <w:pageBreakBefore w:val="0"/>
        <w:widowControl w:val="0"/>
        <w:numPr>
          <w:ilvl w:val="1"/>
          <w:numId w:val="28"/>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pacing w:val="6"/>
          <w:sz w:val="24"/>
        </w:rPr>
      </w:pPr>
      <w:r>
        <w:rPr>
          <w:rFonts w:hint="eastAsia" w:ascii="宋体" w:hAnsi="宋体" w:cs="宋体"/>
          <w:color w:val="auto"/>
          <w:spacing w:val="6"/>
          <w:sz w:val="24"/>
        </w:rPr>
        <w:t>除委托人、资产评估委托合同中约定的其他资产评估报告使用人和法律、行政法规规定的资产评估报告使用人之外，其他任何机构和个人不能成为资产评估报告的使用人；</w:t>
      </w:r>
    </w:p>
    <w:p>
      <w:pPr>
        <w:pStyle w:val="8"/>
        <w:pageBreakBefore w:val="0"/>
        <w:widowControl w:val="0"/>
        <w:numPr>
          <w:ilvl w:val="1"/>
          <w:numId w:val="28"/>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pacing w:val="6"/>
          <w:sz w:val="24"/>
        </w:rPr>
      </w:pPr>
      <w:r>
        <w:rPr>
          <w:rFonts w:hint="eastAsia" w:ascii="宋体" w:hAnsi="宋体" w:cs="宋体"/>
          <w:color w:val="auto"/>
          <w:spacing w:val="6"/>
          <w:sz w:val="24"/>
        </w:rPr>
        <w:t>资产评估报告使用人应当正确理解评估结论。评估结论不等同于评估对象可实现价格，评估结论不应当被认为是对评估对象可实现价格的保证；</w:t>
      </w:r>
    </w:p>
    <w:p>
      <w:pPr>
        <w:pStyle w:val="8"/>
        <w:pageBreakBefore w:val="0"/>
        <w:widowControl w:val="0"/>
        <w:numPr>
          <w:ilvl w:val="1"/>
          <w:numId w:val="28"/>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pacing w:val="6"/>
          <w:sz w:val="24"/>
        </w:rPr>
      </w:pPr>
      <w:r>
        <w:rPr>
          <w:rFonts w:hint="eastAsia" w:ascii="宋体" w:hAnsi="宋体" w:cs="宋体"/>
          <w:color w:val="auto"/>
          <w:spacing w:val="6"/>
          <w:sz w:val="24"/>
        </w:rPr>
        <w:t>未征得出具评估报告的评估机构同意，评估报告的内容不得被摘抄、引用或披露于公开媒体，法律、法规规定以及相关当事方另有约定的除外；</w:t>
      </w:r>
    </w:p>
    <w:p>
      <w:pPr>
        <w:pStyle w:val="8"/>
        <w:pageBreakBefore w:val="0"/>
        <w:widowControl w:val="0"/>
        <w:numPr>
          <w:ilvl w:val="1"/>
          <w:numId w:val="28"/>
        </w:numPr>
        <w:tabs>
          <w:tab w:val="left" w:pos="1418"/>
          <w:tab w:val="clear" w:pos="1545"/>
        </w:tabs>
        <w:kinsoku/>
        <w:wordWrap/>
        <w:overflowPunct/>
        <w:topLinePunct w:val="0"/>
        <w:autoSpaceDE/>
        <w:autoSpaceDN/>
        <w:bidi w:val="0"/>
        <w:adjustRightInd/>
        <w:snapToGrid/>
        <w:spacing w:after="0" w:line="600" w:lineRule="exact"/>
        <w:ind w:left="0" w:leftChars="0" w:firstLine="567"/>
        <w:textAlignment w:val="auto"/>
        <w:rPr>
          <w:rFonts w:ascii="宋体" w:hAnsi="宋体" w:cs="宋体"/>
          <w:color w:val="auto"/>
          <w:spacing w:val="6"/>
          <w:sz w:val="24"/>
        </w:rPr>
      </w:pPr>
      <w:r>
        <w:rPr>
          <w:rFonts w:hint="eastAsia" w:ascii="宋体" w:hAnsi="宋体" w:cs="宋体"/>
          <w:color w:val="auto"/>
          <w:spacing w:val="6"/>
          <w:sz w:val="24"/>
        </w:rPr>
        <w:t>评估结论的使用有效期为</w:t>
      </w:r>
      <w:r>
        <w:rPr>
          <w:rFonts w:hint="eastAsia" w:ascii="宋体" w:hAnsi="宋体" w:cs="宋体"/>
          <w:color w:val="auto"/>
          <w:spacing w:val="6"/>
          <w:sz w:val="24"/>
          <w:lang w:eastAsia="zh-CN"/>
        </w:rPr>
        <w:t>2019年11月22日</w:t>
      </w:r>
      <w:r>
        <w:rPr>
          <w:rFonts w:hint="eastAsia" w:ascii="宋体" w:hAnsi="宋体" w:cs="宋体"/>
          <w:color w:val="auto"/>
          <w:spacing w:val="6"/>
          <w:sz w:val="24"/>
          <w:highlight w:val="none"/>
        </w:rPr>
        <w:t>至20</w:t>
      </w:r>
      <w:r>
        <w:rPr>
          <w:rFonts w:hint="eastAsia" w:ascii="宋体" w:hAnsi="宋体" w:cs="宋体"/>
          <w:color w:val="auto"/>
          <w:spacing w:val="6"/>
          <w:sz w:val="24"/>
          <w:highlight w:val="none"/>
          <w:lang w:val="en-US" w:eastAsia="zh-CN"/>
        </w:rPr>
        <w:t>20</w:t>
      </w:r>
      <w:r>
        <w:rPr>
          <w:rFonts w:hint="eastAsia" w:ascii="宋体" w:hAnsi="宋体" w:cs="宋体"/>
          <w:color w:val="auto"/>
          <w:spacing w:val="6"/>
          <w:sz w:val="24"/>
          <w:highlight w:val="none"/>
        </w:rPr>
        <w:t>年</w:t>
      </w:r>
      <w:r>
        <w:rPr>
          <w:rFonts w:hint="eastAsia" w:ascii="宋体" w:hAnsi="宋体" w:cs="宋体"/>
          <w:color w:val="auto"/>
          <w:spacing w:val="6"/>
          <w:sz w:val="24"/>
          <w:highlight w:val="none"/>
          <w:lang w:val="en-US" w:eastAsia="zh-CN"/>
        </w:rPr>
        <w:t>11</w:t>
      </w:r>
      <w:r>
        <w:rPr>
          <w:rFonts w:hint="eastAsia" w:ascii="宋体" w:hAnsi="宋体" w:cs="宋体"/>
          <w:color w:val="auto"/>
          <w:spacing w:val="6"/>
          <w:sz w:val="24"/>
          <w:highlight w:val="none"/>
        </w:rPr>
        <w:t>月</w:t>
      </w:r>
      <w:r>
        <w:rPr>
          <w:rFonts w:hint="eastAsia" w:ascii="宋体" w:hAnsi="宋体" w:cs="宋体"/>
          <w:color w:val="auto"/>
          <w:spacing w:val="6"/>
          <w:sz w:val="24"/>
          <w:highlight w:val="none"/>
          <w:lang w:val="en-US" w:eastAsia="zh-CN"/>
        </w:rPr>
        <w:t>21</w:t>
      </w:r>
      <w:r>
        <w:rPr>
          <w:rFonts w:hint="eastAsia" w:ascii="宋体" w:hAnsi="宋体" w:cs="宋体"/>
          <w:color w:val="auto"/>
          <w:spacing w:val="6"/>
          <w:sz w:val="24"/>
          <w:highlight w:val="none"/>
        </w:rPr>
        <w:t>日</w:t>
      </w:r>
      <w:r>
        <w:rPr>
          <w:rFonts w:hint="eastAsia" w:ascii="宋体" w:hAnsi="宋体" w:cs="宋体"/>
          <w:color w:val="auto"/>
          <w:spacing w:val="6"/>
          <w:sz w:val="24"/>
        </w:rPr>
        <w:t>止。</w:t>
      </w:r>
    </w:p>
    <w:p>
      <w:pPr>
        <w:pStyle w:val="4"/>
        <w:pageBreakBefore w:val="0"/>
        <w:widowControl w:val="0"/>
        <w:tabs>
          <w:tab w:val="left" w:pos="993"/>
        </w:tabs>
        <w:kinsoku/>
        <w:wordWrap/>
        <w:overflowPunct/>
        <w:topLinePunct w:val="0"/>
        <w:autoSpaceDE/>
        <w:autoSpaceDN/>
        <w:bidi w:val="0"/>
        <w:adjustRightInd/>
        <w:snapToGrid/>
        <w:spacing w:beforeLines="50" w:afterLines="50" w:line="600" w:lineRule="exact"/>
        <w:ind w:left="-2" w:leftChars="-1" w:firstLine="551" w:firstLineChars="196"/>
        <w:textAlignment w:val="auto"/>
        <w:rPr>
          <w:rFonts w:ascii="宋体" w:hAnsi="宋体" w:eastAsia="宋体" w:cs="宋体"/>
          <w:color w:val="auto"/>
          <w:sz w:val="28"/>
        </w:rPr>
      </w:pPr>
      <w:bookmarkStart w:id="44" w:name="_Toc23701"/>
      <w:bookmarkStart w:id="45" w:name="_Toc15495"/>
      <w:r>
        <w:rPr>
          <w:rFonts w:hint="eastAsia" w:ascii="宋体" w:hAnsi="宋体" w:eastAsia="宋体" w:cs="宋体"/>
          <w:color w:val="auto"/>
          <w:sz w:val="28"/>
        </w:rPr>
        <w:t>十三、评估报告日</w:t>
      </w:r>
      <w:bookmarkEnd w:id="44"/>
      <w:bookmarkEnd w:id="45"/>
    </w:p>
    <w:p>
      <w:pPr>
        <w:pStyle w:val="8"/>
        <w:pageBreakBefore w:val="0"/>
        <w:widowControl w:val="0"/>
        <w:kinsoku/>
        <w:wordWrap/>
        <w:overflowPunct/>
        <w:topLinePunct w:val="0"/>
        <w:autoSpaceDE/>
        <w:autoSpaceDN/>
        <w:bidi w:val="0"/>
        <w:adjustRightInd/>
        <w:snapToGrid/>
        <w:spacing w:line="600" w:lineRule="exact"/>
        <w:ind w:left="0" w:leftChars="0" w:firstLine="562"/>
        <w:textAlignment w:val="auto"/>
        <w:rPr>
          <w:rFonts w:ascii="宋体" w:hAnsi="宋体" w:cs="宋体"/>
          <w:color w:val="auto"/>
          <w:spacing w:val="6"/>
          <w:sz w:val="24"/>
        </w:rPr>
      </w:pPr>
      <w:r>
        <w:rPr>
          <w:rFonts w:hint="eastAsia" w:ascii="宋体" w:hAnsi="宋体" w:cs="宋体"/>
          <w:color w:val="auto"/>
          <w:sz w:val="24"/>
        </w:rPr>
        <w:t>本</w:t>
      </w:r>
      <w:r>
        <w:rPr>
          <w:rFonts w:hint="eastAsia" w:ascii="宋体" w:hAnsi="宋体" w:cs="宋体"/>
          <w:color w:val="auto"/>
          <w:spacing w:val="6"/>
          <w:sz w:val="24"/>
        </w:rPr>
        <w:t>项目评估报告日为201</w:t>
      </w:r>
      <w:r>
        <w:rPr>
          <w:rFonts w:hint="eastAsia" w:ascii="宋体" w:hAnsi="宋体" w:cs="宋体"/>
          <w:color w:val="auto"/>
          <w:spacing w:val="6"/>
          <w:sz w:val="24"/>
          <w:lang w:val="en-US" w:eastAsia="zh-CN"/>
        </w:rPr>
        <w:t>9</w:t>
      </w:r>
      <w:r>
        <w:rPr>
          <w:rFonts w:hint="eastAsia" w:ascii="宋体" w:hAnsi="宋体" w:cs="宋体"/>
          <w:color w:val="auto"/>
          <w:spacing w:val="6"/>
          <w:sz w:val="24"/>
        </w:rPr>
        <w:t>年</w:t>
      </w:r>
      <w:r>
        <w:rPr>
          <w:rFonts w:hint="eastAsia" w:ascii="宋体" w:hAnsi="宋体" w:cs="宋体"/>
          <w:color w:val="auto"/>
          <w:spacing w:val="6"/>
          <w:sz w:val="24"/>
          <w:lang w:val="en-US" w:eastAsia="zh-CN"/>
        </w:rPr>
        <w:t>12</w:t>
      </w:r>
      <w:r>
        <w:rPr>
          <w:rFonts w:hint="eastAsia" w:ascii="宋体" w:hAnsi="宋体" w:cs="宋体"/>
          <w:color w:val="auto"/>
          <w:spacing w:val="6"/>
          <w:sz w:val="24"/>
        </w:rPr>
        <w:t>月</w:t>
      </w:r>
      <w:r>
        <w:rPr>
          <w:rFonts w:hint="eastAsia" w:ascii="宋体" w:hAnsi="宋体" w:cs="宋体"/>
          <w:color w:val="auto"/>
          <w:spacing w:val="6"/>
          <w:sz w:val="24"/>
          <w:highlight w:val="none"/>
          <w:lang w:val="en-US" w:eastAsia="zh-CN"/>
        </w:rPr>
        <w:t>19</w:t>
      </w:r>
      <w:r>
        <w:rPr>
          <w:rFonts w:hint="eastAsia" w:ascii="宋体" w:hAnsi="宋体" w:cs="宋体"/>
          <w:color w:val="auto"/>
          <w:spacing w:val="6"/>
          <w:sz w:val="24"/>
        </w:rPr>
        <w:t>日。</w:t>
      </w:r>
      <w:bookmarkStart w:id="46" w:name="_Toc11847"/>
    </w:p>
    <w:p>
      <w:pPr>
        <w:pStyle w:val="4"/>
        <w:pageBreakBefore w:val="0"/>
        <w:widowControl w:val="0"/>
        <w:tabs>
          <w:tab w:val="left" w:pos="993"/>
        </w:tabs>
        <w:kinsoku/>
        <w:wordWrap/>
        <w:overflowPunct/>
        <w:topLinePunct w:val="0"/>
        <w:autoSpaceDE/>
        <w:autoSpaceDN/>
        <w:bidi w:val="0"/>
        <w:adjustRightInd/>
        <w:snapToGrid/>
        <w:spacing w:beforeLines="50" w:afterLines="50" w:line="600" w:lineRule="exact"/>
        <w:ind w:left="-2" w:leftChars="-1" w:firstLine="551" w:firstLineChars="196"/>
        <w:textAlignment w:val="auto"/>
        <w:rPr>
          <w:rFonts w:hint="eastAsia" w:ascii="宋体" w:hAnsi="宋体" w:cs="宋体"/>
          <w:b/>
          <w:bCs/>
          <w:color w:val="auto"/>
          <w:spacing w:val="6"/>
          <w:sz w:val="24"/>
          <w:lang w:eastAsia="zh-CN"/>
        </w:rPr>
      </w:pPr>
      <w:bookmarkStart w:id="47" w:name="_Toc3906"/>
      <w:r>
        <w:rPr>
          <w:rFonts w:hint="eastAsia" w:ascii="宋体" w:hAnsi="宋体" w:eastAsia="宋体" w:cs="宋体"/>
          <w:color w:val="auto"/>
          <w:sz w:val="28"/>
          <w:lang w:eastAsia="zh-CN"/>
        </w:rPr>
        <w:t>十四、资产评估机构专业人员签名和资产评估机构印章</w:t>
      </w:r>
      <w:bookmarkEnd w:id="47"/>
    </w:p>
    <w:p>
      <w:pPr>
        <w:pageBreakBefore w:val="0"/>
        <w:widowControl w:val="0"/>
        <w:kinsoku/>
        <w:wordWrap/>
        <w:overflowPunct/>
        <w:topLinePunct w:val="0"/>
        <w:autoSpaceDE/>
        <w:autoSpaceDN/>
        <w:bidi w:val="0"/>
        <w:adjustRightInd/>
        <w:snapToGrid/>
        <w:spacing w:line="600" w:lineRule="exact"/>
        <w:ind w:firstLine="504"/>
        <w:textAlignment w:val="auto"/>
        <w:rPr>
          <w:rFonts w:ascii="宋体" w:hAnsi="宋体" w:eastAsia="宋体" w:cs="宋体"/>
          <w:color w:val="auto"/>
          <w:spacing w:val="6"/>
        </w:rPr>
      </w:pPr>
      <w:r>
        <w:rPr>
          <w:rFonts w:hint="eastAsia" w:ascii="宋体" w:hAnsi="宋体" w:eastAsia="宋体" w:cs="宋体"/>
          <w:color w:val="auto"/>
          <w:spacing w:val="6"/>
        </w:rPr>
        <w:t>资 产 评 估 师：                       汉中恒信资产评估事务所</w:t>
      </w:r>
    </w:p>
    <w:p>
      <w:pPr>
        <w:pageBreakBefore w:val="0"/>
        <w:widowControl w:val="0"/>
        <w:kinsoku/>
        <w:wordWrap/>
        <w:overflowPunct/>
        <w:topLinePunct w:val="0"/>
        <w:autoSpaceDE/>
        <w:autoSpaceDN/>
        <w:bidi w:val="0"/>
        <w:adjustRightInd/>
        <w:snapToGrid/>
        <w:spacing w:line="600" w:lineRule="exact"/>
        <w:ind w:firstLine="0" w:firstLineChars="0"/>
        <w:textAlignment w:val="auto"/>
        <w:rPr>
          <w:rFonts w:ascii="宋体" w:hAnsi="宋体" w:eastAsia="宋体" w:cs="宋体"/>
          <w:color w:val="auto"/>
          <w:spacing w:val="6"/>
        </w:rPr>
      </w:pP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eastAsia="宋体" w:cs="宋体"/>
          <w:color w:val="auto"/>
          <w:spacing w:val="6"/>
          <w:highlight w:val="none"/>
          <w:lang w:eastAsia="zh-CN"/>
        </w:rPr>
      </w:pPr>
      <w:r>
        <w:rPr>
          <w:rFonts w:hint="eastAsia" w:ascii="宋体" w:hAnsi="宋体" w:eastAsia="宋体" w:cs="宋体"/>
          <w:color w:val="auto"/>
          <w:spacing w:val="6"/>
        </w:rPr>
        <w:t xml:space="preserve">资 产 评 估 师：                </w:t>
      </w:r>
      <w:r>
        <w:rPr>
          <w:rFonts w:hint="eastAsia" w:ascii="宋体" w:hAnsi="宋体" w:eastAsia="宋体" w:cs="宋体"/>
          <w:color w:val="auto"/>
          <w:spacing w:val="6"/>
          <w:lang w:val="en-US" w:eastAsia="zh-CN"/>
        </w:rPr>
        <w:t xml:space="preserve">  </w:t>
      </w:r>
      <w:r>
        <w:rPr>
          <w:rFonts w:hint="eastAsia" w:ascii="宋体" w:hAnsi="宋体" w:eastAsia="宋体" w:cs="宋体"/>
          <w:color w:val="auto"/>
          <w:spacing w:val="6"/>
        </w:rPr>
        <w:t xml:space="preserve">  报告日期：</w:t>
      </w:r>
      <w:r>
        <w:rPr>
          <w:rFonts w:hint="eastAsia" w:ascii="宋体" w:hAnsi="宋体" w:eastAsia="宋体" w:cs="宋体"/>
          <w:color w:val="auto"/>
          <w:spacing w:val="6"/>
          <w:lang w:eastAsia="zh-CN"/>
        </w:rPr>
        <w:t>二〇一九年十二月十九日</w:t>
      </w:r>
    </w:p>
    <w:p>
      <w:pPr>
        <w:pageBreakBefore w:val="0"/>
        <w:widowControl w:val="0"/>
        <w:kinsoku/>
        <w:wordWrap/>
        <w:overflowPunct/>
        <w:topLinePunct w:val="0"/>
        <w:autoSpaceDE/>
        <w:autoSpaceDN/>
        <w:bidi w:val="0"/>
        <w:adjustRightInd/>
        <w:snapToGrid/>
        <w:spacing w:line="600" w:lineRule="exact"/>
        <w:ind w:firstLine="504"/>
        <w:textAlignment w:val="auto"/>
        <w:rPr>
          <w:rFonts w:hint="eastAsia" w:ascii="宋体" w:hAnsi="宋体" w:cs="宋体"/>
          <w:color w:val="auto"/>
          <w:spacing w:val="6"/>
          <w:sz w:val="24"/>
          <w:lang w:eastAsia="zh-CN"/>
        </w:rPr>
      </w:pPr>
    </w:p>
    <w:bookmarkEnd w:id="46"/>
    <w:p>
      <w:pPr>
        <w:pStyle w:val="4"/>
        <w:tabs>
          <w:tab w:val="left" w:pos="2550"/>
        </w:tabs>
        <w:spacing w:beforeLines="50" w:afterLines="50" w:line="560" w:lineRule="exact"/>
        <w:ind w:left="-2" w:leftChars="-1" w:firstLine="551" w:firstLineChars="196"/>
        <w:rPr>
          <w:color w:val="auto"/>
          <w:sz w:val="28"/>
          <w:szCs w:val="28"/>
        </w:rPr>
      </w:pPr>
      <w:bookmarkStart w:id="48" w:name="_Toc6577"/>
      <w:r>
        <w:rPr>
          <w:rFonts w:hint="eastAsia" w:ascii="宋体" w:hAnsi="宋体" w:eastAsia="宋体" w:cs="宋体"/>
          <w:color w:val="auto"/>
          <w:sz w:val="28"/>
        </w:rPr>
        <w:t>附件</w:t>
      </w:r>
      <w:bookmarkEnd w:id="48"/>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lang w:eastAsia="zh-CN"/>
        </w:rPr>
        <w:t>委估</w:t>
      </w:r>
      <w:r>
        <w:rPr>
          <w:rFonts w:hint="eastAsia" w:ascii="宋体" w:hAnsi="宋体" w:eastAsia="宋体" w:cs="宋体"/>
          <w:color w:val="auto"/>
        </w:rPr>
        <w:t>对象</w:t>
      </w:r>
      <w:r>
        <w:rPr>
          <w:rFonts w:hint="eastAsia" w:ascii="宋体" w:hAnsi="宋体" w:eastAsia="宋体" w:cs="宋体"/>
          <w:color w:val="auto"/>
          <w:lang w:eastAsia="zh-CN"/>
        </w:rPr>
        <w:t>位置图</w:t>
      </w:r>
      <w:r>
        <w:rPr>
          <w:rFonts w:hint="eastAsia" w:ascii="宋体" w:hAnsi="宋体" w:eastAsia="宋体" w:cs="宋体"/>
          <w:color w:val="auto"/>
        </w:rPr>
        <w:t>；</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lang w:eastAsia="zh-CN"/>
        </w:rPr>
        <w:t>委估对象相关照片；</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lang w:eastAsia="zh-CN"/>
        </w:rPr>
        <w:t>陕西省西乡县人民法院《</w:t>
      </w:r>
      <w:r>
        <w:rPr>
          <w:rFonts w:hint="eastAsia" w:ascii="宋体" w:hAnsi="宋体" w:eastAsia="宋体" w:cs="宋体"/>
          <w:color w:val="auto"/>
        </w:rPr>
        <w:t>评估委托</w:t>
      </w:r>
      <w:r>
        <w:rPr>
          <w:rFonts w:hint="eastAsia" w:ascii="宋体" w:hAnsi="宋体" w:eastAsia="宋体" w:cs="宋体"/>
          <w:color w:val="auto"/>
          <w:lang w:eastAsia="zh-CN"/>
        </w:rPr>
        <w:t>函》</w:t>
      </w:r>
      <w:r>
        <w:rPr>
          <w:rFonts w:hint="eastAsia" w:ascii="宋体" w:hAnsi="宋体" w:eastAsia="宋体" w:cs="宋体"/>
          <w:color w:val="auto"/>
        </w:rPr>
        <w:t>复印件；</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cs="宋体" w:asciiTheme="minorEastAsia" w:hAnsiTheme="minorEastAsia" w:eastAsiaTheme="minorEastAsia"/>
          <w:color w:val="auto"/>
          <w:lang w:eastAsia="zh-CN"/>
        </w:rPr>
        <w:t>陕西省西乡县人民法院民事判决书（</w:t>
      </w:r>
      <w:r>
        <w:rPr>
          <w:rFonts w:hint="eastAsia" w:cs="宋体" w:asciiTheme="minorEastAsia" w:hAnsiTheme="minorEastAsia" w:eastAsiaTheme="minorEastAsia"/>
          <w:color w:val="auto"/>
          <w:lang w:val="en-US" w:eastAsia="zh-CN"/>
        </w:rPr>
        <w:t>2019</w:t>
      </w:r>
      <w:r>
        <w:rPr>
          <w:rFonts w:hint="eastAsia" w:cs="宋体" w:asciiTheme="minorEastAsia" w:hAnsiTheme="minorEastAsia" w:eastAsiaTheme="minorEastAsia"/>
          <w:color w:val="auto"/>
          <w:lang w:eastAsia="zh-CN"/>
        </w:rPr>
        <w:t>）</w:t>
      </w:r>
      <w:r>
        <w:rPr>
          <w:rFonts w:hint="eastAsia" w:cs="宋体" w:asciiTheme="minorEastAsia" w:hAnsiTheme="minorEastAsia" w:eastAsiaTheme="minorEastAsia"/>
          <w:color w:val="auto"/>
          <w:lang w:val="en-US" w:eastAsia="zh-CN"/>
        </w:rPr>
        <w:t>0724民初973号复印件；</w:t>
      </w:r>
    </w:p>
    <w:p>
      <w:pPr>
        <w:pStyle w:val="39"/>
        <w:numPr>
          <w:ilvl w:val="0"/>
          <w:numId w:val="29"/>
        </w:numPr>
        <w:tabs>
          <w:tab w:val="left" w:pos="1276"/>
          <w:tab w:val="left" w:pos="1560"/>
        </w:tabs>
        <w:ind w:hanging="551"/>
        <w:textAlignment w:val="baseline"/>
        <w:rPr>
          <w:rFonts w:hint="eastAsia" w:ascii="宋体" w:hAnsi="宋体" w:eastAsia="宋体" w:cs="宋体"/>
          <w:color w:val="auto"/>
          <w:lang w:eastAsia="zh-CN"/>
        </w:rPr>
      </w:pPr>
      <w:r>
        <w:rPr>
          <w:rFonts w:hint="eastAsia" w:ascii="宋体" w:hAnsi="宋体" w:eastAsia="宋体" w:cs="宋体"/>
          <w:color w:val="auto"/>
          <w:lang w:eastAsia="zh-CN"/>
        </w:rPr>
        <w:t>西乡县房权证西私房字第28789号、</w:t>
      </w:r>
      <w:r>
        <w:rPr>
          <w:rFonts w:hint="eastAsia" w:ascii="宋体" w:hAnsi="宋体" w:eastAsia="宋体" w:cs="宋体"/>
          <w:color w:val="auto"/>
          <w:lang w:val="en-US" w:eastAsia="zh-CN"/>
        </w:rPr>
        <w:t>28790</w:t>
      </w:r>
      <w:r>
        <w:rPr>
          <w:rFonts w:hint="eastAsia" w:ascii="宋体" w:hAnsi="宋体" w:eastAsia="宋体" w:cs="宋体"/>
          <w:color w:val="auto"/>
          <w:lang w:eastAsia="zh-CN"/>
        </w:rPr>
        <w:t>号《房屋所有权证》复印件；</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lang w:eastAsia="zh-CN"/>
        </w:rPr>
        <w:t>西乡县集用（土）第610724100207JC00504、西乡县集用（土）第610724100207JC00513号《国有土地使用证》复印件；</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cs="宋体"/>
          <w:color w:val="auto"/>
          <w:sz w:val="24"/>
          <w:lang w:eastAsia="zh-CN"/>
        </w:rPr>
        <w:t>陕西省财政厅备案公告</w:t>
      </w:r>
      <w:r>
        <w:rPr>
          <w:rFonts w:hint="eastAsia" w:ascii="宋体" w:hAnsi="宋体" w:cs="宋体"/>
          <w:color w:val="auto"/>
          <w:sz w:val="24"/>
        </w:rPr>
        <w:t>复印件；</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rPr>
        <w:t xml:space="preserve">评估机构营业执照复印件； </w:t>
      </w:r>
    </w:p>
    <w:p>
      <w:pPr>
        <w:pStyle w:val="39"/>
        <w:numPr>
          <w:ilvl w:val="0"/>
          <w:numId w:val="29"/>
        </w:numPr>
        <w:tabs>
          <w:tab w:val="left" w:pos="1276"/>
          <w:tab w:val="left" w:pos="1560"/>
        </w:tabs>
        <w:ind w:hanging="551"/>
        <w:textAlignment w:val="baseline"/>
        <w:rPr>
          <w:rFonts w:ascii="宋体" w:hAnsi="宋体" w:eastAsia="宋体" w:cs="宋体"/>
          <w:color w:val="auto"/>
        </w:rPr>
      </w:pPr>
      <w:r>
        <w:rPr>
          <w:rFonts w:hint="eastAsia" w:ascii="宋体" w:hAnsi="宋体" w:eastAsia="宋体" w:cs="宋体"/>
          <w:color w:val="auto"/>
        </w:rPr>
        <w:t>签字资产评估师</w:t>
      </w:r>
      <w:r>
        <w:rPr>
          <w:rFonts w:hint="eastAsia" w:ascii="宋体" w:hAnsi="宋体" w:eastAsia="宋体" w:cs="宋体"/>
          <w:color w:val="auto"/>
          <w:lang w:eastAsia="zh-CN"/>
        </w:rPr>
        <w:t>登记卡</w:t>
      </w:r>
      <w:r>
        <w:rPr>
          <w:rFonts w:hint="eastAsia" w:ascii="宋体" w:hAnsi="宋体" w:eastAsia="宋体" w:cs="宋体"/>
          <w:color w:val="auto"/>
        </w:rPr>
        <w:t>复印件。</w:t>
      </w:r>
    </w:p>
    <w:p>
      <w:pPr>
        <w:widowControl/>
        <w:spacing w:line="240" w:lineRule="auto"/>
        <w:ind w:firstLine="0" w:firstLineChars="0"/>
        <w:jc w:val="left"/>
        <w:rPr>
          <w:rFonts w:asciiTheme="minorEastAsia" w:hAnsiTheme="minorEastAsia" w:eastAsiaTheme="minorEastAsia" w:cstheme="minorEastAsia"/>
          <w:b/>
          <w:color w:val="auto"/>
        </w:rPr>
      </w:pPr>
      <w:r>
        <w:rPr>
          <w:rFonts w:asciiTheme="minorEastAsia" w:hAnsiTheme="minorEastAsia" w:eastAsiaTheme="minorEastAsia" w:cstheme="minorEastAsia"/>
          <w:b/>
          <w:color w:val="auto"/>
        </w:rPr>
        <w:br w:type="page"/>
      </w:r>
    </w:p>
    <w:p>
      <w:pPr>
        <w:tabs>
          <w:tab w:val="left" w:pos="1935"/>
          <w:tab w:val="left" w:pos="6472"/>
        </w:tabs>
        <w:ind w:firstLine="480"/>
        <w:rPr>
          <w:rFonts w:hint="eastAsia" w:eastAsia="宋体"/>
          <w:color w:val="auto"/>
          <w:lang w:val="en-US" w:eastAsia="zh-CN"/>
        </w:rPr>
      </w:pPr>
      <w:r>
        <w:rPr>
          <w:rFonts w:hint="eastAsia" w:cs="Times New Roman"/>
          <w:b/>
          <w:bCs/>
          <w:color w:val="auto"/>
          <w:kern w:val="2"/>
          <w:sz w:val="24"/>
          <w:szCs w:val="24"/>
          <w:lang w:val="en-US" w:eastAsia="zh-CN" w:bidi="ar-SA"/>
        </w:rPr>
        <w:drawing>
          <wp:anchor distT="0" distB="0" distL="114300" distR="114300" simplePos="0" relativeHeight="251659264" behindDoc="1" locked="0" layoutInCell="1" allowOverlap="1">
            <wp:simplePos x="0" y="0"/>
            <wp:positionH relativeFrom="column">
              <wp:posOffset>2876550</wp:posOffset>
            </wp:positionH>
            <wp:positionV relativeFrom="paragraph">
              <wp:posOffset>264795</wp:posOffset>
            </wp:positionV>
            <wp:extent cx="2712085" cy="1918970"/>
            <wp:effectExtent l="9525" t="9525" r="21590" b="14605"/>
            <wp:wrapNone/>
            <wp:docPr id="4" name="图片 4" descr="BC99882096E6A02F2CC4966D08992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C99882096E6A02F2CC4966D0899267C"/>
                    <pic:cNvPicPr>
                      <a:picLocks noChangeAspect="1"/>
                    </pic:cNvPicPr>
                  </pic:nvPicPr>
                  <pic:blipFill>
                    <a:blip r:embed="rId18"/>
                    <a:srcRect t="21522" b="33467"/>
                    <a:stretch>
                      <a:fillRect/>
                    </a:stretch>
                  </pic:blipFill>
                  <pic:spPr>
                    <a:xfrm>
                      <a:off x="0" y="0"/>
                      <a:ext cx="2712085" cy="1918970"/>
                    </a:xfrm>
                    <a:prstGeom prst="rect">
                      <a:avLst/>
                    </a:prstGeom>
                    <a:ln>
                      <a:solidFill>
                        <a:schemeClr val="tx1"/>
                      </a:solidFill>
                    </a:ln>
                  </pic:spPr>
                </pic:pic>
              </a:graphicData>
            </a:graphic>
          </wp:anchor>
        </w:drawing>
      </w:r>
      <w:r>
        <w:rPr>
          <w:rFonts w:hint="eastAsia" w:ascii="Times New Roman" w:hAnsi="Times New Roman" w:eastAsia="Times New Roman" w:cs="Times New Roman"/>
          <w:b/>
          <w:bCs/>
          <w:color w:val="auto"/>
          <w:kern w:val="2"/>
          <w:sz w:val="24"/>
          <w:szCs w:val="24"/>
          <w:lang w:val="en-US" w:eastAsia="zh-CN"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260985</wp:posOffset>
            </wp:positionV>
            <wp:extent cx="2741930" cy="1929765"/>
            <wp:effectExtent l="9525" t="9525" r="10795" b="22860"/>
            <wp:wrapNone/>
            <wp:docPr id="3" name="图片 3" descr="AF486993892E59C990C104F4AB18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486993892E59C990C104F4AB184845"/>
                    <pic:cNvPicPr>
                      <a:picLocks noChangeAspect="1"/>
                    </pic:cNvPicPr>
                  </pic:nvPicPr>
                  <pic:blipFill>
                    <a:blip r:embed="rId19"/>
                    <a:srcRect t="18904" b="47242"/>
                    <a:stretch>
                      <a:fillRect/>
                    </a:stretch>
                  </pic:blipFill>
                  <pic:spPr>
                    <a:xfrm>
                      <a:off x="0" y="0"/>
                      <a:ext cx="2741930" cy="1929765"/>
                    </a:xfrm>
                    <a:prstGeom prst="rect">
                      <a:avLst/>
                    </a:prstGeom>
                    <a:ln>
                      <a:solidFill>
                        <a:schemeClr val="tx1"/>
                      </a:solidFill>
                    </a:ln>
                  </pic:spPr>
                </pic:pic>
              </a:graphicData>
            </a:graphic>
          </wp:anchor>
        </w:drawing>
      </w:r>
      <w:r>
        <w:rPr>
          <w:rFonts w:hint="eastAsia" w:asciiTheme="minorEastAsia" w:hAnsiTheme="minorEastAsia" w:eastAsiaTheme="minorEastAsia" w:cstheme="minorEastAsia"/>
          <w:b/>
          <w:color w:val="auto"/>
        </w:rPr>
        <w:t>评估对象位置图</w:t>
      </w:r>
      <w:r>
        <w:rPr>
          <w:rFonts w:hint="eastAsia" w:asciiTheme="minorEastAsia" w:hAnsiTheme="minorEastAsia" w:eastAsiaTheme="minorEastAsia" w:cstheme="minorEastAsia"/>
          <w:b/>
          <w:color w:val="auto"/>
          <w:lang w:eastAsia="zh-CN"/>
        </w:rPr>
        <w:t>：</w:t>
      </w:r>
      <w:r>
        <w:rPr>
          <w:rFonts w:hint="eastAsia" w:eastAsia="宋体"/>
          <w:color w:val="auto"/>
          <w:lang w:val="en-US" w:eastAsia="zh-CN"/>
        </w:rPr>
        <w:t xml:space="preserve">              </w:t>
      </w:r>
    </w:p>
    <w:p>
      <w:pPr>
        <w:tabs>
          <w:tab w:val="left" w:pos="630"/>
        </w:tabs>
        <w:jc w:val="left"/>
        <w:rPr>
          <w:rFonts w:hint="eastAsia" w:ascii="Times New Roman" w:hAnsi="Times New Roman" w:eastAsia="Times New Roman" w:cs="Times New Roman"/>
          <w:b/>
          <w:bCs/>
          <w:color w:val="auto"/>
          <w:kern w:val="2"/>
          <w:sz w:val="24"/>
          <w:szCs w:val="24"/>
          <w:lang w:val="en-US" w:eastAsia="zh-CN" w:bidi="ar-SA"/>
        </w:rPr>
      </w:pPr>
      <w:r>
        <w:rPr>
          <w:rFonts w:hint="eastAsia" w:cs="Times New Roman"/>
          <w:b/>
          <w:bCs/>
          <w:color w:val="auto"/>
          <w:kern w:val="2"/>
          <w:sz w:val="24"/>
          <w:szCs w:val="24"/>
          <w:lang w:val="en-US" w:eastAsia="zh-CN" w:bidi="ar-SA"/>
        </w:rPr>
        <w:tab/>
      </w:r>
    </w:p>
    <w:p>
      <w:pPr>
        <w:tabs>
          <w:tab w:val="left" w:pos="5573"/>
        </w:tabs>
        <w:jc w:val="left"/>
        <w:rPr>
          <w:rFonts w:hint="eastAsia" w:cs="Times New Roman"/>
          <w:b/>
          <w:bCs/>
          <w:color w:val="auto"/>
          <w:kern w:val="2"/>
          <w:sz w:val="24"/>
          <w:szCs w:val="24"/>
          <w:lang w:val="en-US" w:eastAsia="zh-CN" w:bidi="ar-SA"/>
        </w:rPr>
      </w:pPr>
      <w:r>
        <w:rPr>
          <w:rFonts w:hint="eastAsia" w:cs="Times New Roman"/>
          <w:b/>
          <w:bCs/>
          <w:color w:val="auto"/>
          <w:kern w:val="2"/>
          <w:sz w:val="24"/>
          <w:szCs w:val="24"/>
          <w:lang w:val="en-US" w:eastAsia="zh-CN" w:bidi="ar-SA"/>
        </w:rPr>
        <w:tab/>
      </w:r>
    </w:p>
    <w:p>
      <w:pPr>
        <w:tabs>
          <w:tab w:val="left" w:pos="5873"/>
        </w:tabs>
        <w:jc w:val="left"/>
        <w:rPr>
          <w:rFonts w:hint="eastAsia" w:cs="Times New Roman"/>
          <w:b/>
          <w:bCs/>
          <w:color w:val="auto"/>
          <w:kern w:val="2"/>
          <w:sz w:val="24"/>
          <w:szCs w:val="24"/>
          <w:lang w:val="en-US" w:eastAsia="zh-CN" w:bidi="ar-SA"/>
        </w:rPr>
      </w:pPr>
      <w:r>
        <w:rPr>
          <w:rFonts w:hint="eastAsia" w:cs="Times New Roman"/>
          <w:b/>
          <w:bCs/>
          <w:color w:val="auto"/>
          <w:kern w:val="2"/>
          <w:sz w:val="24"/>
          <w:szCs w:val="24"/>
          <w:lang w:val="en-US" w:eastAsia="zh-CN" w:bidi="ar-SA"/>
        </w:rPr>
        <w:tab/>
      </w:r>
    </w:p>
    <w:p>
      <w:pPr>
        <w:jc w:val="left"/>
        <w:rPr>
          <w:rFonts w:hint="eastAsia" w:cs="Times New Roman"/>
          <w:b/>
          <w:bCs/>
          <w:color w:val="auto"/>
          <w:kern w:val="2"/>
          <w:sz w:val="24"/>
          <w:szCs w:val="24"/>
          <w:lang w:val="en-US" w:eastAsia="zh-CN" w:bidi="ar-SA"/>
        </w:rPr>
      </w:pPr>
    </w:p>
    <w:p>
      <w:pPr>
        <w:jc w:val="left"/>
        <w:rPr>
          <w:rFonts w:hint="eastAsia" w:cs="Times New Roman"/>
          <w:b/>
          <w:bCs/>
          <w:color w:val="auto"/>
          <w:kern w:val="2"/>
          <w:sz w:val="24"/>
          <w:szCs w:val="24"/>
          <w:lang w:val="en-US" w:eastAsia="zh-CN" w:bidi="ar-SA"/>
        </w:rPr>
      </w:pPr>
    </w:p>
    <w:p>
      <w:pPr>
        <w:jc w:val="left"/>
        <w:rPr>
          <w:rFonts w:hint="eastAsia" w:cs="Times New Roman"/>
          <w:b/>
          <w:bCs/>
          <w:color w:val="auto"/>
          <w:kern w:val="2"/>
          <w:sz w:val="24"/>
          <w:szCs w:val="24"/>
          <w:lang w:val="en-US" w:eastAsia="zh-CN" w:bidi="ar-SA"/>
        </w:rPr>
      </w:pPr>
    </w:p>
    <w:p>
      <w:pPr>
        <w:jc w:val="left"/>
        <w:rPr>
          <w:rFonts w:hint="eastAsia" w:ascii="Times New Roman" w:hAnsi="Times New Roman" w:eastAsia="Times New Roman" w:cs="Times New Roman"/>
          <w:color w:val="auto"/>
          <w:kern w:val="2"/>
          <w:sz w:val="24"/>
          <w:szCs w:val="24"/>
          <w:lang w:val="en-US" w:eastAsia="zh-CN" w:bidi="ar-SA"/>
        </w:rPr>
      </w:pPr>
      <w:r>
        <w:rPr>
          <w:rFonts w:hint="eastAsia" w:ascii="Times New Roman" w:hAnsi="Times New Roman" w:eastAsia="Times New Roman" w:cs="Times New Roman"/>
          <w:color w:val="auto"/>
          <w:kern w:val="2"/>
          <w:sz w:val="24"/>
          <w:szCs w:val="24"/>
          <w:lang w:val="en-US" w:eastAsia="zh-CN" w:bidi="ar-SA"/>
        </w:rPr>
        <w:drawing>
          <wp:anchor distT="0" distB="0" distL="114300" distR="114300" simplePos="0" relativeHeight="251661312" behindDoc="1" locked="0" layoutInCell="1" allowOverlap="1">
            <wp:simplePos x="0" y="0"/>
            <wp:positionH relativeFrom="column">
              <wp:posOffset>2905125</wp:posOffset>
            </wp:positionH>
            <wp:positionV relativeFrom="paragraph">
              <wp:posOffset>310515</wp:posOffset>
            </wp:positionV>
            <wp:extent cx="2659380" cy="1951990"/>
            <wp:effectExtent l="9525" t="9525" r="17145" b="19685"/>
            <wp:wrapNone/>
            <wp:docPr id="6" name="图片 6" descr="IMG_20191122_14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91122_142159"/>
                    <pic:cNvPicPr>
                      <a:picLocks noChangeAspect="1"/>
                    </pic:cNvPicPr>
                  </pic:nvPicPr>
                  <pic:blipFill>
                    <a:blip r:embed="rId20"/>
                    <a:stretch>
                      <a:fillRect/>
                    </a:stretch>
                  </pic:blipFill>
                  <pic:spPr>
                    <a:xfrm>
                      <a:off x="0" y="0"/>
                      <a:ext cx="2659380" cy="1951990"/>
                    </a:xfrm>
                    <a:prstGeom prst="rect">
                      <a:avLst/>
                    </a:prstGeom>
                    <a:ln>
                      <a:solidFill>
                        <a:schemeClr val="tx1"/>
                      </a:solidFill>
                    </a:ln>
                  </pic:spPr>
                </pic:pic>
              </a:graphicData>
            </a:graphic>
          </wp:anchor>
        </w:drawing>
      </w:r>
      <w:r>
        <w:rPr>
          <w:rFonts w:hint="eastAsia" w:ascii="Times New Roman" w:hAnsi="Times New Roman" w:eastAsia="Times New Roman" w:cs="Times New Roman"/>
          <w:color w:val="auto"/>
          <w:kern w:val="2"/>
          <w:sz w:val="24"/>
          <w:szCs w:val="24"/>
          <w:lang w:val="en-US" w:eastAsia="zh-CN" w:bidi="ar-SA"/>
        </w:rPr>
        <w:drawing>
          <wp:anchor distT="0" distB="0" distL="114300" distR="114300" simplePos="0" relativeHeight="251660288" behindDoc="1" locked="0" layoutInCell="1" allowOverlap="1">
            <wp:simplePos x="0" y="0"/>
            <wp:positionH relativeFrom="column">
              <wp:posOffset>38100</wp:posOffset>
            </wp:positionH>
            <wp:positionV relativeFrom="paragraph">
              <wp:posOffset>303530</wp:posOffset>
            </wp:positionV>
            <wp:extent cx="2631440" cy="1973580"/>
            <wp:effectExtent l="9525" t="9525" r="26035" b="17145"/>
            <wp:wrapNone/>
            <wp:docPr id="5" name="图片 5" descr="IMG_20191122_141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0191122_141939"/>
                    <pic:cNvPicPr>
                      <a:picLocks noChangeAspect="1"/>
                    </pic:cNvPicPr>
                  </pic:nvPicPr>
                  <pic:blipFill>
                    <a:blip r:embed="rId21"/>
                    <a:stretch>
                      <a:fillRect/>
                    </a:stretch>
                  </pic:blipFill>
                  <pic:spPr>
                    <a:xfrm>
                      <a:off x="0" y="0"/>
                      <a:ext cx="2631440" cy="1973580"/>
                    </a:xfrm>
                    <a:prstGeom prst="rect">
                      <a:avLst/>
                    </a:prstGeom>
                    <a:ln>
                      <a:solidFill>
                        <a:schemeClr val="tx1"/>
                      </a:solidFill>
                    </a:ln>
                  </pic:spPr>
                </pic:pic>
              </a:graphicData>
            </a:graphic>
          </wp:anchor>
        </w:drawing>
      </w:r>
      <w:r>
        <w:rPr>
          <w:rFonts w:hint="eastAsia" w:cs="Times New Roman"/>
          <w:b/>
          <w:bCs/>
          <w:color w:val="auto"/>
          <w:kern w:val="2"/>
          <w:sz w:val="24"/>
          <w:szCs w:val="24"/>
          <w:lang w:val="en-US" w:eastAsia="zh-CN" w:bidi="ar-SA"/>
        </w:rPr>
        <w:t>现场照片：</w:t>
      </w: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r>
        <w:rPr>
          <w:rFonts w:hint="eastAsia" w:cs="Times New Roman"/>
          <w:color w:val="auto"/>
          <w:kern w:val="2"/>
          <w:sz w:val="24"/>
          <w:szCs w:val="24"/>
          <w:lang w:val="en-US" w:eastAsia="zh-CN" w:bidi="ar-SA"/>
        </w:rPr>
        <w:drawing>
          <wp:anchor distT="0" distB="0" distL="114300" distR="114300" simplePos="0" relativeHeight="251663360" behindDoc="1" locked="0" layoutInCell="1" allowOverlap="1">
            <wp:simplePos x="0" y="0"/>
            <wp:positionH relativeFrom="column">
              <wp:posOffset>2905125</wp:posOffset>
            </wp:positionH>
            <wp:positionV relativeFrom="paragraph">
              <wp:posOffset>152400</wp:posOffset>
            </wp:positionV>
            <wp:extent cx="2669540" cy="1908175"/>
            <wp:effectExtent l="9525" t="9525" r="26035" b="25400"/>
            <wp:wrapNone/>
            <wp:docPr id="8" name="图片 8" descr="IMG_20191122_14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191122_142506"/>
                    <pic:cNvPicPr>
                      <a:picLocks noChangeAspect="1"/>
                    </pic:cNvPicPr>
                  </pic:nvPicPr>
                  <pic:blipFill>
                    <a:blip r:embed="rId22"/>
                    <a:stretch>
                      <a:fillRect/>
                    </a:stretch>
                  </pic:blipFill>
                  <pic:spPr>
                    <a:xfrm>
                      <a:off x="0" y="0"/>
                      <a:ext cx="2669540" cy="1908175"/>
                    </a:xfrm>
                    <a:prstGeom prst="rect">
                      <a:avLst/>
                    </a:prstGeom>
                    <a:ln>
                      <a:solidFill>
                        <a:schemeClr val="tx1"/>
                      </a:solidFill>
                    </a:ln>
                  </pic:spPr>
                </pic:pic>
              </a:graphicData>
            </a:graphic>
          </wp:anchor>
        </w:drawing>
      </w:r>
      <w:r>
        <w:rPr>
          <w:rFonts w:hint="eastAsia" w:ascii="Times New Roman" w:hAnsi="Times New Roman" w:eastAsia="Times New Roman" w:cs="Times New Roman"/>
          <w:color w:val="auto"/>
          <w:kern w:val="2"/>
          <w:sz w:val="24"/>
          <w:szCs w:val="24"/>
          <w:lang w:val="en-US" w:eastAsia="zh-CN" w:bidi="ar-SA"/>
        </w:rPr>
        <w:drawing>
          <wp:anchor distT="0" distB="0" distL="114300" distR="114300" simplePos="0" relativeHeight="251662336" behindDoc="1" locked="0" layoutInCell="1" allowOverlap="1">
            <wp:simplePos x="0" y="0"/>
            <wp:positionH relativeFrom="column">
              <wp:posOffset>28575</wp:posOffset>
            </wp:positionH>
            <wp:positionV relativeFrom="paragraph">
              <wp:posOffset>175895</wp:posOffset>
            </wp:positionV>
            <wp:extent cx="2625090" cy="1897380"/>
            <wp:effectExtent l="9525" t="9525" r="13335" b="17145"/>
            <wp:wrapNone/>
            <wp:docPr id="7" name="图片 7" descr="IMG_20191122_14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1122_142641"/>
                    <pic:cNvPicPr>
                      <a:picLocks noChangeAspect="1"/>
                    </pic:cNvPicPr>
                  </pic:nvPicPr>
                  <pic:blipFill>
                    <a:blip r:embed="rId23"/>
                    <a:stretch>
                      <a:fillRect/>
                    </a:stretch>
                  </pic:blipFill>
                  <pic:spPr>
                    <a:xfrm>
                      <a:off x="0" y="0"/>
                      <a:ext cx="2625090" cy="1897380"/>
                    </a:xfrm>
                    <a:prstGeom prst="rect">
                      <a:avLst/>
                    </a:prstGeom>
                    <a:ln>
                      <a:solidFill>
                        <a:schemeClr val="tx1"/>
                      </a:solidFill>
                    </a:ln>
                  </pic:spPr>
                </pic:pic>
              </a:graphicData>
            </a:graphic>
          </wp:anchor>
        </w:drawing>
      </w:r>
    </w:p>
    <w:p>
      <w:pPr>
        <w:rPr>
          <w:rFonts w:hint="eastAsia" w:ascii="Times New Roman" w:hAnsi="Times New Roman" w:eastAsia="Times New Roman" w:cs="Times New Roman"/>
          <w:color w:val="auto"/>
          <w:kern w:val="2"/>
          <w:sz w:val="24"/>
          <w:szCs w:val="24"/>
          <w:lang w:val="en-US" w:eastAsia="zh-CN" w:bidi="ar-SA"/>
        </w:rPr>
      </w:pPr>
    </w:p>
    <w:p>
      <w:pPr>
        <w:tabs>
          <w:tab w:val="left" w:pos="6022"/>
        </w:tabs>
        <w:jc w:val="left"/>
        <w:rPr>
          <w:rFonts w:hint="eastAsia"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rPr>
          <w:rFonts w:hint="eastAsia" w:ascii="Times New Roman" w:hAnsi="Times New Roman" w:eastAsia="Times New Roman" w:cs="Times New Roman"/>
          <w:color w:val="auto"/>
          <w:kern w:val="2"/>
          <w:sz w:val="24"/>
          <w:szCs w:val="24"/>
          <w:lang w:val="en-US" w:eastAsia="zh-CN" w:bidi="ar-SA"/>
        </w:rPr>
      </w:pPr>
    </w:p>
    <w:p>
      <w:pPr>
        <w:tabs>
          <w:tab w:val="left" w:pos="1312"/>
        </w:tabs>
        <w:jc w:val="left"/>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drawing>
          <wp:anchor distT="0" distB="0" distL="114300" distR="114300" simplePos="0" relativeHeight="251665408" behindDoc="1" locked="0" layoutInCell="1" allowOverlap="1">
            <wp:simplePos x="0" y="0"/>
            <wp:positionH relativeFrom="column">
              <wp:posOffset>2905125</wp:posOffset>
            </wp:positionH>
            <wp:positionV relativeFrom="paragraph">
              <wp:posOffset>41910</wp:posOffset>
            </wp:positionV>
            <wp:extent cx="2659380" cy="1994535"/>
            <wp:effectExtent l="0" t="0" r="7620" b="5715"/>
            <wp:wrapNone/>
            <wp:docPr id="11" name="图片 11" descr="IMG_20191122_14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191122_143107"/>
                    <pic:cNvPicPr>
                      <a:picLocks noChangeAspect="1"/>
                    </pic:cNvPicPr>
                  </pic:nvPicPr>
                  <pic:blipFill>
                    <a:blip r:embed="rId24"/>
                    <a:stretch>
                      <a:fillRect/>
                    </a:stretch>
                  </pic:blipFill>
                  <pic:spPr>
                    <a:xfrm>
                      <a:off x="0" y="0"/>
                      <a:ext cx="2659380" cy="1994535"/>
                    </a:xfrm>
                    <a:prstGeom prst="rect">
                      <a:avLst/>
                    </a:prstGeom>
                  </pic:spPr>
                </pic:pic>
              </a:graphicData>
            </a:graphic>
          </wp:anchor>
        </w:drawing>
      </w:r>
      <w:r>
        <w:rPr>
          <w:rFonts w:hint="eastAsia" w:cs="Times New Roman"/>
          <w:color w:val="auto"/>
          <w:kern w:val="2"/>
          <w:sz w:val="24"/>
          <w:szCs w:val="24"/>
          <w:lang w:val="en-US" w:eastAsia="zh-CN" w:bidi="ar-SA"/>
        </w:rPr>
        <w:drawing>
          <wp:anchor distT="0" distB="0" distL="114300" distR="114300" simplePos="0" relativeHeight="251664384" behindDoc="1" locked="0" layoutInCell="1" allowOverlap="1">
            <wp:simplePos x="0" y="0"/>
            <wp:positionH relativeFrom="column">
              <wp:posOffset>9525</wp:posOffset>
            </wp:positionH>
            <wp:positionV relativeFrom="paragraph">
              <wp:posOffset>36195</wp:posOffset>
            </wp:positionV>
            <wp:extent cx="2642870" cy="1982470"/>
            <wp:effectExtent l="9525" t="9525" r="14605" b="27305"/>
            <wp:wrapNone/>
            <wp:docPr id="10" name="图片 10" descr="IMG_20191122_14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191122_143607"/>
                    <pic:cNvPicPr>
                      <a:picLocks noChangeAspect="1"/>
                    </pic:cNvPicPr>
                  </pic:nvPicPr>
                  <pic:blipFill>
                    <a:blip r:embed="rId25"/>
                    <a:stretch>
                      <a:fillRect/>
                    </a:stretch>
                  </pic:blipFill>
                  <pic:spPr>
                    <a:xfrm>
                      <a:off x="0" y="0"/>
                      <a:ext cx="2642870" cy="1982470"/>
                    </a:xfrm>
                    <a:prstGeom prst="rect">
                      <a:avLst/>
                    </a:prstGeom>
                    <a:ln>
                      <a:solidFill>
                        <a:schemeClr val="tx1"/>
                      </a:solidFill>
                    </a:ln>
                  </pic:spPr>
                </pic:pic>
              </a:graphicData>
            </a:graphic>
          </wp:anchor>
        </w:drawing>
      </w:r>
    </w:p>
    <w:p>
      <w:pPr>
        <w:tabs>
          <w:tab w:val="left" w:pos="1312"/>
        </w:tabs>
        <w:jc w:val="left"/>
        <w:rPr>
          <w:rFonts w:hint="eastAsia" w:cs="Times New Roman"/>
          <w:color w:val="auto"/>
          <w:kern w:val="2"/>
          <w:sz w:val="24"/>
          <w:szCs w:val="24"/>
          <w:lang w:val="en-US" w:eastAsia="zh-CN" w:bidi="ar-SA"/>
        </w:rPr>
      </w:pPr>
    </w:p>
    <w:p>
      <w:pPr>
        <w:tabs>
          <w:tab w:val="left" w:pos="1312"/>
        </w:tabs>
        <w:jc w:val="left"/>
        <w:rPr>
          <w:rFonts w:hint="eastAsia" w:cs="Times New Roman"/>
          <w:color w:val="auto"/>
          <w:kern w:val="2"/>
          <w:sz w:val="24"/>
          <w:szCs w:val="24"/>
          <w:lang w:val="en-US" w:eastAsia="zh-CN" w:bidi="ar-SA"/>
        </w:rPr>
      </w:pPr>
      <w:r>
        <w:rPr>
          <w:rFonts w:hint="eastAsia" w:cs="Times New Roman"/>
          <w:color w:val="auto"/>
          <w:kern w:val="2"/>
          <w:sz w:val="24"/>
          <w:szCs w:val="24"/>
          <w:lang w:val="en-US" w:eastAsia="zh-CN" w:bidi="ar-SA"/>
        </w:rPr>
        <w:tab/>
      </w:r>
    </w:p>
    <w:sectPr>
      <w:headerReference r:id="rId14" w:type="first"/>
      <w:headerReference r:id="rId13" w:type="default"/>
      <w:footerReference r:id="rId15" w:type="default"/>
      <w:type w:val="continuous"/>
      <w:pgSz w:w="11906" w:h="16838"/>
      <w:pgMar w:top="1440" w:right="991" w:bottom="1440" w:left="1701" w:header="907" w:footer="1191" w:gutter="0"/>
      <w:pgBorders>
        <w:top w:val="none" w:sz="0" w:space="0"/>
        <w:left w:val="none" w:sz="0" w:space="0"/>
        <w:bottom w:val="none" w:sz="0" w:space="0"/>
        <w:right w:val="none" w:sz="0" w:space="0"/>
      </w:pgBorders>
      <w:pgNumType w:fmt="decimal"/>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Arial Narrow">
    <w:panose1 w:val="020B0506020202030204"/>
    <w:charset w:val="00"/>
    <w:family w:val="swiss"/>
    <w:pitch w:val="default"/>
    <w:sig w:usb0="00000287" w:usb1="00000000" w:usb2="00000000" w:usb3="00000000" w:csb0="2000009F" w:csb1="DFD70000"/>
  </w:font>
  <w:font w:name="幼圆">
    <w:altName w:val="宋体"/>
    <w:panose1 w:val="02010509060101010101"/>
    <w:charset w:val="86"/>
    <w:family w:val="modern"/>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第 </w:t>
    </w:r>
    <w:r>
      <w:rPr>
        <w:rFonts w:eastAsia="宋体"/>
        <w:kern w:val="20"/>
      </w:rPr>
      <w:fldChar w:fldCharType="begin"/>
    </w:r>
    <w:r>
      <w:rPr>
        <w:rFonts w:eastAsia="宋体"/>
        <w:kern w:val="20"/>
      </w:rPr>
      <w:instrText xml:space="preserve"> PAGE  \* Arabic \* MERGEFORMAT </w:instrText>
    </w:r>
    <w:r>
      <w:rPr>
        <w:rFonts w:eastAsia="宋体"/>
        <w:kern w:val="20"/>
      </w:rPr>
      <w:fldChar w:fldCharType="separate"/>
    </w:r>
    <w:r>
      <w:rPr>
        <w:rFonts w:eastAsia="宋体"/>
        <w:kern w:val="20"/>
      </w:rPr>
      <w:t>7</w:t>
    </w:r>
    <w:r>
      <w:rPr>
        <w:rFonts w:eastAsia="宋体"/>
        <w:kern w:val="20"/>
      </w:rPr>
      <w:fldChar w:fldCharType="end"/>
    </w:r>
    <w:r>
      <w:rPr>
        <w:rFonts w:hint="eastAsia" w:eastAsia="宋体"/>
        <w:kern w:val="2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8" o:spid="_x0000_s4098"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rPr>
        <w:sz w:val="18"/>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1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none" w:color="auto" w:sz="0" w:space="1"/>
        <w:right w:val="none" w:color="auto" w:sz="0" w:space="4"/>
        <w:between w:val="none" w:color="auto" w:sz="0" w:space="0"/>
      </w:pBdr>
      <w:tabs>
        <w:tab w:val="left" w:pos="7797"/>
      </w:tabs>
      <w:snapToGrid w:val="0"/>
      <w:spacing w:line="240" w:lineRule="auto"/>
      <w:ind w:right="142" w:rightChars="0" w:firstLine="3960" w:firstLineChars="2200"/>
      <w:jc w:val="left"/>
      <w:rPr>
        <w:rFonts w:eastAsia="宋体"/>
      </w:rPr>
    </w:pPr>
    <w:r>
      <w:rPr>
        <w:rFonts w:eastAsia="宋体"/>
      </w:rPr>
      <w:t xml:space="preserve"> </w:t>
    </w:r>
  </w:p>
  <w:p>
    <w:pPr>
      <w:pStyle w:val="14"/>
      <w:pBdr>
        <w:bottom w:val="none" w:color="auto" w:sz="0" w:space="0"/>
      </w:pBdr>
      <w:tabs>
        <w:tab w:val="left" w:pos="7797"/>
      </w:tabs>
      <w:ind w:left="2347" w:leftChars="78" w:right="42" w:hanging="2160" w:hangingChars="1200"/>
      <w:jc w:val="left"/>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eastAsia="宋体"/>
        <w:lang w:val="en-US" w:eastAsia="zh-CN"/>
      </w:rPr>
      <w:t>汉中恒信资产评估事务所                   陕西省西乡县人民法院委托的位于西乡县城关镇附溪村二组岳洪、祝儒琴名下的一至七层房地产司法处分价值评估资产评估报告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7797"/>
      </w:tabs>
      <w:ind w:left="4147" w:leftChars="78" w:right="42" w:hanging="3960" w:hangingChars="2200"/>
      <w:jc w:val="left"/>
      <w:rPr>
        <w:rFonts w:eastAsia="宋体"/>
      </w:rPr>
    </w:pPr>
    <w:r>
      <w:rPr>
        <w:rFonts w:hint="eastAsia" w:eastAsia="宋体"/>
      </w:rPr>
      <w:t>汉中恒信资产评估事务所</w:t>
    </w:r>
    <w:r>
      <w:rPr>
        <w:rFonts w:eastAsia="宋体"/>
      </w:rPr>
      <w:t xml:space="preserve">                      </w:t>
    </w:r>
    <w:r>
      <w:rPr>
        <w:rFonts w:hint="eastAsia" w:eastAsia="宋体"/>
        <w:lang w:eastAsia="zh-CN"/>
      </w:rPr>
      <w:t>陕西省西乡县人民法院</w:t>
    </w:r>
    <w:r>
      <w:rPr>
        <w:rFonts w:hint="eastAsia" w:eastAsia="宋体"/>
      </w:rPr>
      <w:t xml:space="preserve">委托郭海忠拥有的位于城固县朝阳路南侧房地产处分价值评估资产评估报告书  </w:t>
    </w:r>
    <w:r>
      <w:rPr>
        <w:rFonts w:eastAsia="宋体"/>
      </w:rPr>
      <w:t xml:space="preserve">        </w:t>
    </w:r>
    <w:r>
      <w:rPr>
        <w:rFonts w:hint="eastAsia" w:eastAsia="宋体"/>
        <w:lang w:eastAsia="zh-CN"/>
      </w:rPr>
      <w:t>目录</w:t>
    </w:r>
    <w:r>
      <w:rPr>
        <w:rFonts w:eastAsia="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tabs>
        <w:tab w:val="left" w:pos="7797"/>
      </w:tabs>
      <w:kinsoku/>
      <w:wordWrap/>
      <w:overflowPunct/>
      <w:topLinePunct w:val="0"/>
      <w:autoSpaceDE/>
      <w:autoSpaceDN/>
      <w:bidi w:val="0"/>
      <w:adjustRightInd/>
      <w:snapToGrid w:val="0"/>
      <w:ind w:left="2880" w:leftChars="0" w:right="40" w:hanging="2880" w:hangingChars="1600"/>
      <w:jc w:val="right"/>
      <w:textAlignment w:val="auto"/>
      <w:rPr>
        <w:rFonts w:hint="eastAsia" w:eastAsia="宋体"/>
        <w:lang w:val="en-US" w:eastAsia="zh-CN"/>
      </w:rPr>
    </w:pPr>
    <w:r>
      <w:rPr>
        <w:rFonts w:hint="eastAsia" w:eastAsia="宋体"/>
        <w:lang w:val="en-US" w:eastAsia="zh-CN"/>
      </w:rPr>
      <w:t xml:space="preserve">汉中恒信资产评估事务所                     陕西省西乡县人民法院委托的位于西乡县城关镇附溪村二组岳洪、祝儒琴名下的一至七层房地产司法处分价值评估资产评估报告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kinsoku/>
      <w:wordWrap/>
      <w:overflowPunct/>
      <w:topLinePunct w:val="0"/>
      <w:autoSpaceDE/>
      <w:autoSpaceDN/>
      <w:bidi w:val="0"/>
      <w:adjustRightInd/>
      <w:snapToGrid w:val="0"/>
      <w:ind w:left="3060" w:leftChars="0" w:hanging="3060" w:hangingChars="1700"/>
      <w:jc w:val="both"/>
      <w:textAlignment w:val="auto"/>
    </w:pPr>
    <w:r>
      <w:rPr>
        <w:rFonts w:hint="eastAsia" w:eastAsia="宋体"/>
        <w:lang w:val="en-US" w:eastAsia="zh-CN"/>
      </w:rPr>
      <w:t>汉中恒信资产评估事务所             陕西省西乡县人民法院委托的位于西乡县城关镇附溪村二组岳洪、祝儒琴名下的一至七层房地产司法处分价值评估资产评估报告</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3060" w:leftChars="0" w:hanging="3060" w:hangingChars="1700"/>
      <w:jc w:val="both"/>
      <w:textAlignment w:val="auto"/>
      <w:outlineLvl w:val="9"/>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xml:space="preserve">汉中恒信资产评估事务所          </w:t>
    </w:r>
    <w:r>
      <w:rPr>
        <w:rFonts w:hint="eastAsia" w:eastAsia="宋体" w:cs="Times New Roman"/>
        <w:kern w:val="2"/>
        <w:sz w:val="18"/>
        <w:szCs w:val="18"/>
        <w:lang w:val="en-US" w:eastAsia="zh-CN" w:bidi="ar-SA"/>
      </w:rPr>
      <w:t xml:space="preserve">  陕西省西乡县人民法院</w:t>
    </w:r>
    <w:r>
      <w:rPr>
        <w:rFonts w:hint="eastAsia" w:ascii="Times New Roman" w:hAnsi="Times New Roman" w:eastAsia="宋体" w:cs="Times New Roman"/>
        <w:kern w:val="2"/>
        <w:sz w:val="18"/>
        <w:szCs w:val="18"/>
        <w:lang w:val="en-US" w:eastAsia="zh-CN" w:bidi="ar-SA"/>
      </w:rPr>
      <w:t>委托的位于</w:t>
    </w:r>
    <w:r>
      <w:rPr>
        <w:rFonts w:hint="eastAsia" w:eastAsia="宋体" w:cs="Times New Roman"/>
        <w:kern w:val="2"/>
        <w:sz w:val="18"/>
        <w:szCs w:val="18"/>
        <w:lang w:val="en-US" w:eastAsia="zh-CN" w:bidi="ar-SA"/>
      </w:rPr>
      <w:t>西乡县城关镇附溪村二组岳洪、祝儒琴名下的一至七层房地产</w:t>
    </w:r>
    <w:r>
      <w:rPr>
        <w:rFonts w:hint="eastAsia" w:ascii="Times New Roman" w:hAnsi="Times New Roman" w:eastAsia="宋体" w:cs="Times New Roman"/>
        <w:kern w:val="2"/>
        <w:sz w:val="18"/>
        <w:szCs w:val="18"/>
        <w:lang w:val="en-US" w:eastAsia="zh-CN" w:bidi="ar-SA"/>
      </w:rPr>
      <w:t xml:space="preserve">司法处分价值评估资产评估报告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CC879"/>
    <w:multiLevelType w:val="singleLevel"/>
    <w:tmpl w:val="9A4CC879"/>
    <w:lvl w:ilvl="0" w:tentative="0">
      <w:start w:val="1"/>
      <w:numFmt w:val="decimal"/>
      <w:suff w:val="nothing"/>
      <w:lvlText w:val="%1、"/>
      <w:lvlJc w:val="left"/>
    </w:lvl>
  </w:abstractNum>
  <w:abstractNum w:abstractNumId="1">
    <w:nsid w:val="B70FD439"/>
    <w:multiLevelType w:val="singleLevel"/>
    <w:tmpl w:val="B70FD439"/>
    <w:lvl w:ilvl="0" w:tentative="0">
      <w:start w:val="1"/>
      <w:numFmt w:val="decimal"/>
      <w:suff w:val="nothing"/>
      <w:lvlText w:val="%1．"/>
      <w:lvlJc w:val="left"/>
      <w:pPr>
        <w:ind w:left="0" w:firstLine="400"/>
      </w:pPr>
      <w:rPr>
        <w:rFonts w:hint="default"/>
      </w:rPr>
    </w:lvl>
  </w:abstractNum>
  <w:abstractNum w:abstractNumId="2">
    <w:nsid w:val="E03E63AC"/>
    <w:multiLevelType w:val="multilevel"/>
    <w:tmpl w:val="E03E63AC"/>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E22A1B89"/>
    <w:multiLevelType w:val="singleLevel"/>
    <w:tmpl w:val="E22A1B89"/>
    <w:lvl w:ilvl="0" w:tentative="0">
      <w:start w:val="1"/>
      <w:numFmt w:val="decimal"/>
      <w:suff w:val="nothing"/>
      <w:lvlText w:val="%1、"/>
      <w:lvlJc w:val="left"/>
    </w:lvl>
  </w:abstractNum>
  <w:abstractNum w:abstractNumId="4">
    <w:nsid w:val="F7DAFB6E"/>
    <w:multiLevelType w:val="singleLevel"/>
    <w:tmpl w:val="F7DAFB6E"/>
    <w:lvl w:ilvl="0" w:tentative="0">
      <w:start w:val="1"/>
      <w:numFmt w:val="decimal"/>
      <w:suff w:val="nothing"/>
      <w:lvlText w:val="%1、"/>
      <w:lvlJc w:val="left"/>
    </w:lvl>
  </w:abstractNum>
  <w:abstractNum w:abstractNumId="5">
    <w:nsid w:val="FA8B19BD"/>
    <w:multiLevelType w:val="singleLevel"/>
    <w:tmpl w:val="FA8B19BD"/>
    <w:lvl w:ilvl="0" w:tentative="0">
      <w:start w:val="2"/>
      <w:numFmt w:val="chineseCounting"/>
      <w:suff w:val="nothing"/>
      <w:lvlText w:val="（%1）"/>
      <w:lvlJc w:val="left"/>
    </w:lvl>
  </w:abstractNum>
  <w:abstractNum w:abstractNumId="6">
    <w:nsid w:val="0000000B"/>
    <w:multiLevelType w:val="multilevel"/>
    <w:tmpl w:val="0000000B"/>
    <w:lvl w:ilvl="0" w:tentative="0">
      <w:start w:val="1"/>
      <w:numFmt w:val="chineseCountingThousand"/>
      <w:lvlText w:val="（%1）"/>
      <w:lvlJc w:val="left"/>
      <w:pPr>
        <w:tabs>
          <w:tab w:val="left" w:pos="0"/>
        </w:tabs>
        <w:ind w:left="0" w:firstLine="0"/>
      </w:pPr>
      <w:rPr>
        <w:rFonts w:hint="eastAsia"/>
        <w:b/>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260AEC"/>
    <w:multiLevelType w:val="multilevel"/>
    <w:tmpl w:val="0A260AEC"/>
    <w:lvl w:ilvl="0" w:tentative="0">
      <w:start w:val="1"/>
      <w:numFmt w:val="bullet"/>
      <w:lvlText w:val=""/>
      <w:lvlJc w:val="left"/>
      <w:pPr>
        <w:tabs>
          <w:tab w:val="left" w:pos="3023"/>
        </w:tabs>
        <w:ind w:left="3023" w:hanging="420"/>
      </w:pPr>
      <w:rPr>
        <w:rFonts w:hint="default" w:ascii="Wingdings" w:hAnsi="Wingdings"/>
        <w:color w:val="000000"/>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abstractNum w:abstractNumId="8">
    <w:nsid w:val="154D700B"/>
    <w:multiLevelType w:val="multilevel"/>
    <w:tmpl w:val="154D700B"/>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2064E81E"/>
    <w:multiLevelType w:val="singleLevel"/>
    <w:tmpl w:val="2064E81E"/>
    <w:lvl w:ilvl="0" w:tentative="0">
      <w:start w:val="1"/>
      <w:numFmt w:val="decimal"/>
      <w:suff w:val="nothing"/>
      <w:lvlText w:val="%1、"/>
      <w:lvlJc w:val="left"/>
    </w:lvl>
  </w:abstractNum>
  <w:abstractNum w:abstractNumId="10">
    <w:nsid w:val="23583143"/>
    <w:multiLevelType w:val="multilevel"/>
    <w:tmpl w:val="23583143"/>
    <w:lvl w:ilvl="0" w:tentative="0">
      <w:start w:val="1"/>
      <w:numFmt w:val="decimal"/>
      <w:lvlText w:val="（%1）"/>
      <w:lvlJc w:val="left"/>
      <w:pPr>
        <w:ind w:left="1049" w:hanging="420"/>
      </w:pPr>
      <w:rPr>
        <w:rFonts w:hint="eastAsia" w:ascii="宋体" w:hAnsi="宋体" w:eastAsia="宋体"/>
        <w:lang w:val="en-US"/>
      </w:rPr>
    </w:lvl>
    <w:lvl w:ilvl="1" w:tentative="0">
      <w:start w:val="1"/>
      <w:numFmt w:val="lowerLetter"/>
      <w:lvlText w:val="%2)"/>
      <w:lvlJc w:val="left"/>
      <w:pPr>
        <w:ind w:left="1469" w:hanging="420"/>
      </w:pPr>
      <w:rPr>
        <w:rFonts w:hint="default" w:ascii="Times New Roman" w:hAnsi="Times New Roman" w:cs="Times New Roman"/>
      </w:rPr>
    </w:lvl>
    <w:lvl w:ilvl="2" w:tentative="0">
      <w:start w:val="1"/>
      <w:numFmt w:val="lowerRoman"/>
      <w:lvlText w:val="%3."/>
      <w:lvlJc w:val="right"/>
      <w:pPr>
        <w:ind w:left="1889" w:hanging="420"/>
      </w:pPr>
      <w:rPr>
        <w:rFonts w:hint="default" w:ascii="Times New Roman" w:hAnsi="Times New Roman" w:cs="Times New Roman"/>
      </w:rPr>
    </w:lvl>
    <w:lvl w:ilvl="3" w:tentative="0">
      <w:start w:val="1"/>
      <w:numFmt w:val="decimal"/>
      <w:lvlText w:val="%4."/>
      <w:lvlJc w:val="left"/>
      <w:pPr>
        <w:ind w:left="2309" w:hanging="420"/>
      </w:pPr>
      <w:rPr>
        <w:rFonts w:hint="default" w:ascii="Times New Roman" w:hAnsi="Times New Roman" w:cs="Times New Roman"/>
      </w:rPr>
    </w:lvl>
    <w:lvl w:ilvl="4" w:tentative="0">
      <w:start w:val="1"/>
      <w:numFmt w:val="lowerLetter"/>
      <w:lvlText w:val="%5)"/>
      <w:lvlJc w:val="left"/>
      <w:pPr>
        <w:ind w:left="2729" w:hanging="420"/>
      </w:pPr>
      <w:rPr>
        <w:rFonts w:hint="default" w:ascii="Times New Roman" w:hAnsi="Times New Roman" w:cs="Times New Roman"/>
      </w:rPr>
    </w:lvl>
    <w:lvl w:ilvl="5" w:tentative="0">
      <w:start w:val="1"/>
      <w:numFmt w:val="lowerRoman"/>
      <w:lvlText w:val="%6."/>
      <w:lvlJc w:val="right"/>
      <w:pPr>
        <w:ind w:left="3149" w:hanging="420"/>
      </w:pPr>
      <w:rPr>
        <w:rFonts w:hint="default" w:ascii="Times New Roman" w:hAnsi="Times New Roman" w:cs="Times New Roman"/>
      </w:rPr>
    </w:lvl>
    <w:lvl w:ilvl="6" w:tentative="0">
      <w:start w:val="1"/>
      <w:numFmt w:val="decimal"/>
      <w:lvlText w:val="%7."/>
      <w:lvlJc w:val="left"/>
      <w:pPr>
        <w:ind w:left="3569" w:hanging="420"/>
      </w:pPr>
      <w:rPr>
        <w:rFonts w:hint="default" w:ascii="Times New Roman" w:hAnsi="Times New Roman" w:cs="Times New Roman"/>
      </w:rPr>
    </w:lvl>
    <w:lvl w:ilvl="7" w:tentative="0">
      <w:start w:val="1"/>
      <w:numFmt w:val="lowerLetter"/>
      <w:lvlText w:val="%8)"/>
      <w:lvlJc w:val="left"/>
      <w:pPr>
        <w:ind w:left="3989" w:hanging="420"/>
      </w:pPr>
      <w:rPr>
        <w:rFonts w:hint="default" w:ascii="Times New Roman" w:hAnsi="Times New Roman" w:cs="Times New Roman"/>
      </w:rPr>
    </w:lvl>
    <w:lvl w:ilvl="8" w:tentative="0">
      <w:start w:val="1"/>
      <w:numFmt w:val="lowerRoman"/>
      <w:lvlText w:val="%9."/>
      <w:lvlJc w:val="right"/>
      <w:pPr>
        <w:ind w:left="4409" w:hanging="420"/>
      </w:pPr>
      <w:rPr>
        <w:rFonts w:hint="default" w:ascii="Times New Roman" w:hAnsi="Times New Roman" w:cs="Times New Roman"/>
      </w:rPr>
    </w:lvl>
  </w:abstractNum>
  <w:abstractNum w:abstractNumId="11">
    <w:nsid w:val="246B4462"/>
    <w:multiLevelType w:val="multilevel"/>
    <w:tmpl w:val="246B4462"/>
    <w:lvl w:ilvl="0" w:tentative="0">
      <w:start w:val="1"/>
      <w:numFmt w:val="chineseCountingThousand"/>
      <w:lvlText w:val="附件%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27C57CBA"/>
    <w:multiLevelType w:val="multilevel"/>
    <w:tmpl w:val="27C57CBA"/>
    <w:lvl w:ilvl="0" w:tentative="0">
      <w:start w:val="1"/>
      <w:numFmt w:val="lowerLetter"/>
      <w:lvlText w:val="%1)"/>
      <w:lvlJc w:val="left"/>
      <w:pPr>
        <w:tabs>
          <w:tab w:val="left" w:pos="3023"/>
        </w:tabs>
        <w:ind w:left="3023" w:hanging="420"/>
      </w:pPr>
      <w:rPr>
        <w:rFonts w:hint="default" w:ascii="Times New Roman" w:hAnsi="Times New Roman" w:cs="Times New Roman"/>
      </w:rPr>
    </w:lvl>
    <w:lvl w:ilvl="1" w:tentative="0">
      <w:start w:val="1"/>
      <w:numFmt w:val="lowerLetter"/>
      <w:lvlText w:val="%2)"/>
      <w:lvlJc w:val="left"/>
      <w:pPr>
        <w:tabs>
          <w:tab w:val="left" w:pos="3443"/>
        </w:tabs>
        <w:ind w:left="3443" w:hanging="420"/>
      </w:pPr>
      <w:rPr>
        <w:rFonts w:hint="default" w:ascii="Times New Roman" w:hAnsi="Times New Roman" w:cs="Times New Roman"/>
      </w:rPr>
    </w:lvl>
    <w:lvl w:ilvl="2" w:tentative="0">
      <w:start w:val="1"/>
      <w:numFmt w:val="lowerRoman"/>
      <w:lvlText w:val="%3."/>
      <w:lvlJc w:val="right"/>
      <w:pPr>
        <w:tabs>
          <w:tab w:val="left" w:pos="3863"/>
        </w:tabs>
        <w:ind w:left="3863" w:hanging="420"/>
      </w:pPr>
      <w:rPr>
        <w:rFonts w:hint="default" w:ascii="Times New Roman" w:hAnsi="Times New Roman" w:cs="Times New Roman"/>
      </w:rPr>
    </w:lvl>
    <w:lvl w:ilvl="3" w:tentative="0">
      <w:start w:val="1"/>
      <w:numFmt w:val="decimal"/>
      <w:lvlText w:val="%4."/>
      <w:lvlJc w:val="left"/>
      <w:pPr>
        <w:tabs>
          <w:tab w:val="left" w:pos="4283"/>
        </w:tabs>
        <w:ind w:left="4283" w:hanging="420"/>
      </w:pPr>
      <w:rPr>
        <w:rFonts w:hint="default" w:ascii="Times New Roman" w:hAnsi="Times New Roman" w:cs="Times New Roman"/>
      </w:rPr>
    </w:lvl>
    <w:lvl w:ilvl="4" w:tentative="0">
      <w:start w:val="1"/>
      <w:numFmt w:val="lowerLetter"/>
      <w:lvlText w:val="%5)"/>
      <w:lvlJc w:val="left"/>
      <w:pPr>
        <w:tabs>
          <w:tab w:val="left" w:pos="4703"/>
        </w:tabs>
        <w:ind w:left="4703" w:hanging="420"/>
      </w:pPr>
      <w:rPr>
        <w:rFonts w:hint="default" w:ascii="Times New Roman" w:hAnsi="Times New Roman" w:cs="Times New Roman"/>
      </w:rPr>
    </w:lvl>
    <w:lvl w:ilvl="5" w:tentative="0">
      <w:start w:val="1"/>
      <w:numFmt w:val="lowerRoman"/>
      <w:lvlText w:val="%6."/>
      <w:lvlJc w:val="right"/>
      <w:pPr>
        <w:tabs>
          <w:tab w:val="left" w:pos="5123"/>
        </w:tabs>
        <w:ind w:left="5123" w:hanging="420"/>
      </w:pPr>
      <w:rPr>
        <w:rFonts w:hint="default" w:ascii="Times New Roman" w:hAnsi="Times New Roman" w:cs="Times New Roman"/>
      </w:rPr>
    </w:lvl>
    <w:lvl w:ilvl="6" w:tentative="0">
      <w:start w:val="1"/>
      <w:numFmt w:val="decimal"/>
      <w:lvlText w:val="%7."/>
      <w:lvlJc w:val="left"/>
      <w:pPr>
        <w:tabs>
          <w:tab w:val="left" w:pos="5543"/>
        </w:tabs>
        <w:ind w:left="5543" w:hanging="420"/>
      </w:pPr>
      <w:rPr>
        <w:rFonts w:hint="default" w:ascii="Times New Roman" w:hAnsi="Times New Roman" w:cs="Times New Roman"/>
      </w:rPr>
    </w:lvl>
    <w:lvl w:ilvl="7" w:tentative="0">
      <w:start w:val="1"/>
      <w:numFmt w:val="lowerLetter"/>
      <w:lvlText w:val="%8)"/>
      <w:lvlJc w:val="left"/>
      <w:pPr>
        <w:tabs>
          <w:tab w:val="left" w:pos="5963"/>
        </w:tabs>
        <w:ind w:left="5963" w:hanging="420"/>
      </w:pPr>
      <w:rPr>
        <w:rFonts w:hint="default" w:ascii="Times New Roman" w:hAnsi="Times New Roman" w:cs="Times New Roman"/>
      </w:rPr>
    </w:lvl>
    <w:lvl w:ilvl="8" w:tentative="0">
      <w:start w:val="1"/>
      <w:numFmt w:val="lowerRoman"/>
      <w:lvlText w:val="%9."/>
      <w:lvlJc w:val="right"/>
      <w:pPr>
        <w:tabs>
          <w:tab w:val="left" w:pos="6383"/>
        </w:tabs>
        <w:ind w:left="6383" w:hanging="420"/>
      </w:pPr>
      <w:rPr>
        <w:rFonts w:hint="default" w:ascii="Times New Roman" w:hAnsi="Times New Roman" w:cs="Times New Roman"/>
      </w:rPr>
    </w:lvl>
  </w:abstractNum>
  <w:abstractNum w:abstractNumId="13">
    <w:nsid w:val="2DCA7380"/>
    <w:multiLevelType w:val="singleLevel"/>
    <w:tmpl w:val="2DCA7380"/>
    <w:lvl w:ilvl="0" w:tentative="0">
      <w:start w:val="1"/>
      <w:numFmt w:val="decimal"/>
      <w:suff w:val="nothing"/>
      <w:lvlText w:val="%1．"/>
      <w:lvlJc w:val="left"/>
      <w:pPr>
        <w:ind w:left="0" w:firstLine="400"/>
      </w:pPr>
      <w:rPr>
        <w:rFonts w:hint="default"/>
      </w:rPr>
    </w:lvl>
  </w:abstractNum>
  <w:abstractNum w:abstractNumId="14">
    <w:nsid w:val="3339B65D"/>
    <w:multiLevelType w:val="singleLevel"/>
    <w:tmpl w:val="3339B65D"/>
    <w:lvl w:ilvl="0" w:tentative="0">
      <w:start w:val="1"/>
      <w:numFmt w:val="decimal"/>
      <w:suff w:val="nothing"/>
      <w:lvlText w:val="%1、"/>
      <w:lvlJc w:val="left"/>
    </w:lvl>
  </w:abstractNum>
  <w:abstractNum w:abstractNumId="15">
    <w:nsid w:val="37E47ACD"/>
    <w:multiLevelType w:val="singleLevel"/>
    <w:tmpl w:val="37E47ACD"/>
    <w:lvl w:ilvl="0" w:tentative="0">
      <w:start w:val="1"/>
      <w:numFmt w:val="decimal"/>
      <w:suff w:val="nothing"/>
      <w:lvlText w:val="%1、"/>
      <w:lvlJc w:val="left"/>
    </w:lvl>
  </w:abstractNum>
  <w:abstractNum w:abstractNumId="16">
    <w:nsid w:val="42D645C2"/>
    <w:multiLevelType w:val="singleLevel"/>
    <w:tmpl w:val="42D645C2"/>
    <w:lvl w:ilvl="0" w:tentative="0">
      <w:start w:val="1"/>
      <w:numFmt w:val="decimal"/>
      <w:suff w:val="nothing"/>
      <w:lvlText w:val="%1．"/>
      <w:lvlJc w:val="left"/>
      <w:pPr>
        <w:ind w:left="168" w:firstLine="400"/>
      </w:pPr>
      <w:rPr>
        <w:rFonts w:hint="default"/>
      </w:rPr>
    </w:lvl>
  </w:abstractNum>
  <w:abstractNum w:abstractNumId="17">
    <w:nsid w:val="464CB4A3"/>
    <w:multiLevelType w:val="singleLevel"/>
    <w:tmpl w:val="464CB4A3"/>
    <w:lvl w:ilvl="0" w:tentative="0">
      <w:start w:val="1"/>
      <w:numFmt w:val="chineseCounting"/>
      <w:suff w:val="nothing"/>
      <w:lvlText w:val="（%1）"/>
      <w:lvlJc w:val="left"/>
      <w:pPr>
        <w:ind w:left="0" w:firstLine="420"/>
      </w:pPr>
      <w:rPr>
        <w:rFonts w:hint="eastAsia"/>
      </w:rPr>
    </w:lvl>
  </w:abstractNum>
  <w:abstractNum w:abstractNumId="18">
    <w:nsid w:val="55BE275C"/>
    <w:multiLevelType w:val="multilevel"/>
    <w:tmpl w:val="55BE275C"/>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9">
    <w:nsid w:val="57132CB7"/>
    <w:multiLevelType w:val="multilevel"/>
    <w:tmpl w:val="57132CB7"/>
    <w:lvl w:ilvl="0" w:tentative="0">
      <w:start w:val="1"/>
      <w:numFmt w:val="decimal"/>
      <w:lvlText w:val="%1."/>
      <w:lvlJc w:val="left"/>
      <w:pPr>
        <w:tabs>
          <w:tab w:val="left" w:pos="420"/>
        </w:tabs>
        <w:ind w:left="420" w:hanging="420"/>
      </w:pPr>
      <w:rPr>
        <w:rFonts w:hint="eastAsia"/>
      </w:rPr>
    </w:lvl>
    <w:lvl w:ilvl="1" w:tentative="0">
      <w:start w:val="1"/>
      <w:numFmt w:val="japaneseCounting"/>
      <w:lvlText w:val="（%2）"/>
      <w:lvlJc w:val="left"/>
      <w:pPr>
        <w:tabs>
          <w:tab w:val="left" w:pos="1545"/>
        </w:tabs>
        <w:ind w:left="1545" w:hanging="1125"/>
      </w:pPr>
      <w:rPr>
        <w:rFonts w:hint="default"/>
      </w:r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7B90B6B"/>
    <w:multiLevelType w:val="multilevel"/>
    <w:tmpl w:val="57B90B6B"/>
    <w:lvl w:ilvl="0" w:tentative="0">
      <w:start w:val="1"/>
      <w:numFmt w:val="bullet"/>
      <w:lvlText w:val=""/>
      <w:lvlJc w:val="left"/>
      <w:pPr>
        <w:tabs>
          <w:tab w:val="left" w:pos="3023"/>
        </w:tabs>
        <w:ind w:left="3023" w:hanging="420"/>
      </w:pPr>
      <w:rPr>
        <w:rFonts w:hint="default" w:ascii="Wingdings" w:hAnsi="Wingdings"/>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abstractNum w:abstractNumId="21">
    <w:nsid w:val="58BCADA6"/>
    <w:multiLevelType w:val="singleLevel"/>
    <w:tmpl w:val="58BCADA6"/>
    <w:lvl w:ilvl="0" w:tentative="0">
      <w:start w:val="2"/>
      <w:numFmt w:val="chineseCounting"/>
      <w:suff w:val="nothing"/>
      <w:lvlText w:val="（%1）"/>
      <w:lvlJc w:val="left"/>
    </w:lvl>
  </w:abstractNum>
  <w:abstractNum w:abstractNumId="22">
    <w:nsid w:val="591038A1"/>
    <w:multiLevelType w:val="singleLevel"/>
    <w:tmpl w:val="591038A1"/>
    <w:lvl w:ilvl="0" w:tentative="0">
      <w:start w:val="1"/>
      <w:numFmt w:val="chineseCounting"/>
      <w:suff w:val="nothing"/>
      <w:lvlText w:val="（%1）"/>
      <w:lvlJc w:val="left"/>
      <w:pPr>
        <w:ind w:left="0" w:firstLine="420"/>
      </w:pPr>
      <w:rPr>
        <w:rFonts w:hint="eastAsia"/>
      </w:rPr>
    </w:lvl>
  </w:abstractNum>
  <w:abstractNum w:abstractNumId="23">
    <w:nsid w:val="7205CE74"/>
    <w:multiLevelType w:val="singleLevel"/>
    <w:tmpl w:val="7205CE74"/>
    <w:lvl w:ilvl="0" w:tentative="0">
      <w:start w:val="5"/>
      <w:numFmt w:val="decimal"/>
      <w:suff w:val="nothing"/>
      <w:lvlText w:val="%1、"/>
      <w:lvlJc w:val="left"/>
    </w:lvl>
  </w:abstractNum>
  <w:abstractNum w:abstractNumId="24">
    <w:nsid w:val="721C5AB3"/>
    <w:multiLevelType w:val="multilevel"/>
    <w:tmpl w:val="721C5AB3"/>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5">
    <w:nsid w:val="75034D22"/>
    <w:multiLevelType w:val="multilevel"/>
    <w:tmpl w:val="75034D22"/>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6">
    <w:nsid w:val="763A4F54"/>
    <w:multiLevelType w:val="multilevel"/>
    <w:tmpl w:val="763A4F54"/>
    <w:lvl w:ilvl="0" w:tentative="0">
      <w:start w:val="1"/>
      <w:numFmt w:val="bullet"/>
      <w:lvlText w:val=""/>
      <w:lvlJc w:val="left"/>
      <w:pPr>
        <w:tabs>
          <w:tab w:val="left" w:pos="3023"/>
        </w:tabs>
        <w:ind w:left="3023" w:hanging="420"/>
      </w:pPr>
      <w:rPr>
        <w:rFonts w:hint="default" w:ascii="Wingdings" w:hAnsi="Wingdings"/>
        <w:color w:val="000000"/>
      </w:rPr>
    </w:lvl>
    <w:lvl w:ilvl="1" w:tentative="0">
      <w:start w:val="1"/>
      <w:numFmt w:val="bullet"/>
      <w:lvlText w:val=""/>
      <w:lvlJc w:val="left"/>
      <w:pPr>
        <w:tabs>
          <w:tab w:val="left" w:pos="3443"/>
        </w:tabs>
        <w:ind w:left="3443" w:hanging="420"/>
      </w:pPr>
      <w:rPr>
        <w:rFonts w:hint="default" w:ascii="Wingdings" w:hAnsi="Wingdings"/>
      </w:rPr>
    </w:lvl>
    <w:lvl w:ilvl="2" w:tentative="0">
      <w:start w:val="1"/>
      <w:numFmt w:val="bullet"/>
      <w:lvlText w:val=""/>
      <w:lvlJc w:val="left"/>
      <w:pPr>
        <w:tabs>
          <w:tab w:val="left" w:pos="3863"/>
        </w:tabs>
        <w:ind w:left="3863" w:hanging="420"/>
      </w:pPr>
      <w:rPr>
        <w:rFonts w:hint="default" w:ascii="Wingdings" w:hAnsi="Wingdings"/>
      </w:rPr>
    </w:lvl>
    <w:lvl w:ilvl="3" w:tentative="0">
      <w:start w:val="1"/>
      <w:numFmt w:val="bullet"/>
      <w:lvlText w:val=""/>
      <w:lvlJc w:val="left"/>
      <w:pPr>
        <w:tabs>
          <w:tab w:val="left" w:pos="4283"/>
        </w:tabs>
        <w:ind w:left="4283" w:hanging="420"/>
      </w:pPr>
      <w:rPr>
        <w:rFonts w:hint="default" w:ascii="Wingdings" w:hAnsi="Wingdings"/>
      </w:rPr>
    </w:lvl>
    <w:lvl w:ilvl="4" w:tentative="0">
      <w:start w:val="1"/>
      <w:numFmt w:val="bullet"/>
      <w:lvlText w:val=""/>
      <w:lvlJc w:val="left"/>
      <w:pPr>
        <w:tabs>
          <w:tab w:val="left" w:pos="4703"/>
        </w:tabs>
        <w:ind w:left="4703" w:hanging="420"/>
      </w:pPr>
      <w:rPr>
        <w:rFonts w:hint="default" w:ascii="Wingdings" w:hAnsi="Wingdings"/>
      </w:rPr>
    </w:lvl>
    <w:lvl w:ilvl="5" w:tentative="0">
      <w:start w:val="1"/>
      <w:numFmt w:val="bullet"/>
      <w:lvlText w:val=""/>
      <w:lvlJc w:val="left"/>
      <w:pPr>
        <w:tabs>
          <w:tab w:val="left" w:pos="5123"/>
        </w:tabs>
        <w:ind w:left="5123" w:hanging="420"/>
      </w:pPr>
      <w:rPr>
        <w:rFonts w:hint="default" w:ascii="Wingdings" w:hAnsi="Wingdings"/>
      </w:rPr>
    </w:lvl>
    <w:lvl w:ilvl="6" w:tentative="0">
      <w:start w:val="1"/>
      <w:numFmt w:val="bullet"/>
      <w:lvlText w:val=""/>
      <w:lvlJc w:val="left"/>
      <w:pPr>
        <w:tabs>
          <w:tab w:val="left" w:pos="5543"/>
        </w:tabs>
        <w:ind w:left="5543" w:hanging="420"/>
      </w:pPr>
      <w:rPr>
        <w:rFonts w:hint="default" w:ascii="Wingdings" w:hAnsi="Wingdings"/>
      </w:rPr>
    </w:lvl>
    <w:lvl w:ilvl="7" w:tentative="0">
      <w:start w:val="1"/>
      <w:numFmt w:val="bullet"/>
      <w:lvlText w:val=""/>
      <w:lvlJc w:val="left"/>
      <w:pPr>
        <w:tabs>
          <w:tab w:val="left" w:pos="5963"/>
        </w:tabs>
        <w:ind w:left="5963" w:hanging="420"/>
      </w:pPr>
      <w:rPr>
        <w:rFonts w:hint="default" w:ascii="Wingdings" w:hAnsi="Wingdings"/>
      </w:rPr>
    </w:lvl>
    <w:lvl w:ilvl="8" w:tentative="0">
      <w:start w:val="1"/>
      <w:numFmt w:val="bullet"/>
      <w:lvlText w:val=""/>
      <w:lvlJc w:val="left"/>
      <w:pPr>
        <w:tabs>
          <w:tab w:val="left" w:pos="6383"/>
        </w:tabs>
        <w:ind w:left="6383" w:hanging="420"/>
      </w:pPr>
      <w:rPr>
        <w:rFonts w:hint="default" w:ascii="Wingdings" w:hAnsi="Wingdings"/>
      </w:rPr>
    </w:lvl>
  </w:abstractNum>
  <w:abstractNum w:abstractNumId="27">
    <w:nsid w:val="7899FB46"/>
    <w:multiLevelType w:val="multilevel"/>
    <w:tmpl w:val="7899FB46"/>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9573ED1"/>
    <w:multiLevelType w:val="multilevel"/>
    <w:tmpl w:val="79573ED1"/>
    <w:lvl w:ilvl="0" w:tentative="0">
      <w:start w:val="1"/>
      <w:numFmt w:val="decimal"/>
      <w:lvlText w:val="%1."/>
      <w:lvlJc w:val="left"/>
      <w:pPr>
        <w:tabs>
          <w:tab w:val="left" w:pos="840"/>
        </w:tabs>
        <w:ind w:left="840" w:hanging="420"/>
      </w:pPr>
      <w:rPr>
        <w:rFonts w:hint="eastAsia"/>
      </w:rPr>
    </w:lvl>
    <w:lvl w:ilvl="1" w:tentative="0">
      <w:start w:val="27"/>
      <w:numFmt w:val="decimal"/>
      <w:lvlText w:val="%2．"/>
      <w:lvlJc w:val="left"/>
      <w:pPr>
        <w:tabs>
          <w:tab w:val="left" w:pos="870"/>
        </w:tabs>
        <w:ind w:left="870" w:hanging="450"/>
      </w:pPr>
      <w:rPr>
        <w:rFonts w:hint="default"/>
      </w:rPr>
    </w:lvl>
    <w:lvl w:ilvl="2" w:tentative="0">
      <w:start w:val="1"/>
      <w:numFmt w:val="chineseCountingThousand"/>
      <w:lvlText w:val="(%3)"/>
      <w:lvlJc w:val="left"/>
      <w:pPr>
        <w:tabs>
          <w:tab w:val="left" w:pos="1236"/>
        </w:tabs>
        <w:ind w:left="1236" w:hanging="81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22"/>
  </w:num>
  <w:num w:numId="3">
    <w:abstractNumId w:val="21"/>
  </w:num>
  <w:num w:numId="4">
    <w:abstractNumId w:val="15"/>
  </w:num>
  <w:num w:numId="5">
    <w:abstractNumId w:val="8"/>
  </w:num>
  <w:num w:numId="6">
    <w:abstractNumId w:val="24"/>
  </w:num>
  <w:num w:numId="7">
    <w:abstractNumId w:val="17"/>
  </w:num>
  <w:num w:numId="8">
    <w:abstractNumId w:val="5"/>
  </w:num>
  <w:num w:numId="9">
    <w:abstractNumId w:val="4"/>
  </w:num>
  <w:num w:numId="10">
    <w:abstractNumId w:val="6"/>
  </w:num>
  <w:num w:numId="11">
    <w:abstractNumId w:val="9"/>
  </w:num>
  <w:num w:numId="12">
    <w:abstractNumId w:val="1"/>
  </w:num>
  <w:num w:numId="13">
    <w:abstractNumId w:val="16"/>
  </w:num>
  <w:num w:numId="14">
    <w:abstractNumId w:val="3"/>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20"/>
  </w:num>
  <w:num w:numId="24">
    <w:abstractNumId w:val="23"/>
  </w:num>
  <w:num w:numId="25">
    <w:abstractNumId w:val="28"/>
  </w:num>
  <w:num w:numId="26">
    <w:abstractNumId w:val="27"/>
  </w:num>
  <w:num w:numId="27">
    <w:abstractNumId w:val="2"/>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9C5"/>
    <w:rsid w:val="00004C17"/>
    <w:rsid w:val="000106F8"/>
    <w:rsid w:val="000109C1"/>
    <w:rsid w:val="00021217"/>
    <w:rsid w:val="00030832"/>
    <w:rsid w:val="00031262"/>
    <w:rsid w:val="000552AA"/>
    <w:rsid w:val="00056F0D"/>
    <w:rsid w:val="00056F66"/>
    <w:rsid w:val="0005779A"/>
    <w:rsid w:val="00066F3C"/>
    <w:rsid w:val="000779E0"/>
    <w:rsid w:val="00081EBF"/>
    <w:rsid w:val="0008205B"/>
    <w:rsid w:val="00082E6B"/>
    <w:rsid w:val="000836B3"/>
    <w:rsid w:val="00090973"/>
    <w:rsid w:val="000A13F3"/>
    <w:rsid w:val="000B030E"/>
    <w:rsid w:val="000B07B2"/>
    <w:rsid w:val="000B3B45"/>
    <w:rsid w:val="000B6A96"/>
    <w:rsid w:val="000C0C6D"/>
    <w:rsid w:val="000C586D"/>
    <w:rsid w:val="000D43D4"/>
    <w:rsid w:val="000D5C8C"/>
    <w:rsid w:val="000E009B"/>
    <w:rsid w:val="000E1B43"/>
    <w:rsid w:val="000E4D7D"/>
    <w:rsid w:val="000E5D97"/>
    <w:rsid w:val="000F64E3"/>
    <w:rsid w:val="000F71F8"/>
    <w:rsid w:val="000F74F9"/>
    <w:rsid w:val="001003A0"/>
    <w:rsid w:val="00111965"/>
    <w:rsid w:val="00113799"/>
    <w:rsid w:val="0011409D"/>
    <w:rsid w:val="00121180"/>
    <w:rsid w:val="00125921"/>
    <w:rsid w:val="001351E1"/>
    <w:rsid w:val="0014162B"/>
    <w:rsid w:val="00141B65"/>
    <w:rsid w:val="00144483"/>
    <w:rsid w:val="0015571A"/>
    <w:rsid w:val="00156AFE"/>
    <w:rsid w:val="00164CF5"/>
    <w:rsid w:val="0016677E"/>
    <w:rsid w:val="00167676"/>
    <w:rsid w:val="00171332"/>
    <w:rsid w:val="00172A27"/>
    <w:rsid w:val="00173C0F"/>
    <w:rsid w:val="00177546"/>
    <w:rsid w:val="00183FFA"/>
    <w:rsid w:val="001866D0"/>
    <w:rsid w:val="0019098F"/>
    <w:rsid w:val="00191364"/>
    <w:rsid w:val="00195FA6"/>
    <w:rsid w:val="00196207"/>
    <w:rsid w:val="00196A96"/>
    <w:rsid w:val="001A2FE2"/>
    <w:rsid w:val="001A7D27"/>
    <w:rsid w:val="001B3681"/>
    <w:rsid w:val="001C2E71"/>
    <w:rsid w:val="001C7A80"/>
    <w:rsid w:val="001D1550"/>
    <w:rsid w:val="001D41A9"/>
    <w:rsid w:val="001D7139"/>
    <w:rsid w:val="001D76EE"/>
    <w:rsid w:val="001E73EB"/>
    <w:rsid w:val="001F6BF4"/>
    <w:rsid w:val="002006E8"/>
    <w:rsid w:val="00204EB5"/>
    <w:rsid w:val="00210A30"/>
    <w:rsid w:val="00211228"/>
    <w:rsid w:val="00221994"/>
    <w:rsid w:val="00221BED"/>
    <w:rsid w:val="0022634F"/>
    <w:rsid w:val="00227A53"/>
    <w:rsid w:val="00230961"/>
    <w:rsid w:val="00237ADB"/>
    <w:rsid w:val="002419A2"/>
    <w:rsid w:val="00241E10"/>
    <w:rsid w:val="002426B0"/>
    <w:rsid w:val="00247634"/>
    <w:rsid w:val="00251F08"/>
    <w:rsid w:val="00252212"/>
    <w:rsid w:val="002542B8"/>
    <w:rsid w:val="002572AA"/>
    <w:rsid w:val="00264B5F"/>
    <w:rsid w:val="00267673"/>
    <w:rsid w:val="00270741"/>
    <w:rsid w:val="00270F62"/>
    <w:rsid w:val="00274239"/>
    <w:rsid w:val="00276F2B"/>
    <w:rsid w:val="00281277"/>
    <w:rsid w:val="00281AF0"/>
    <w:rsid w:val="002822AC"/>
    <w:rsid w:val="00297956"/>
    <w:rsid w:val="002A22EA"/>
    <w:rsid w:val="002A45D1"/>
    <w:rsid w:val="002A5C25"/>
    <w:rsid w:val="002A7F73"/>
    <w:rsid w:val="002C0C9D"/>
    <w:rsid w:val="002C153F"/>
    <w:rsid w:val="002C7117"/>
    <w:rsid w:val="002C7279"/>
    <w:rsid w:val="002F7418"/>
    <w:rsid w:val="00300736"/>
    <w:rsid w:val="003024F3"/>
    <w:rsid w:val="0030375E"/>
    <w:rsid w:val="00304BF2"/>
    <w:rsid w:val="003128D0"/>
    <w:rsid w:val="003148ED"/>
    <w:rsid w:val="0031544B"/>
    <w:rsid w:val="00316A87"/>
    <w:rsid w:val="00330792"/>
    <w:rsid w:val="00334261"/>
    <w:rsid w:val="00337E4D"/>
    <w:rsid w:val="00341F12"/>
    <w:rsid w:val="0035270E"/>
    <w:rsid w:val="00353146"/>
    <w:rsid w:val="00353647"/>
    <w:rsid w:val="00354D63"/>
    <w:rsid w:val="00360CDC"/>
    <w:rsid w:val="00362A58"/>
    <w:rsid w:val="003639D7"/>
    <w:rsid w:val="0036487A"/>
    <w:rsid w:val="00364898"/>
    <w:rsid w:val="00364F5B"/>
    <w:rsid w:val="003668B2"/>
    <w:rsid w:val="003703D6"/>
    <w:rsid w:val="00370DF8"/>
    <w:rsid w:val="003722B2"/>
    <w:rsid w:val="00382594"/>
    <w:rsid w:val="00386E0D"/>
    <w:rsid w:val="0039435D"/>
    <w:rsid w:val="00394F79"/>
    <w:rsid w:val="003954FC"/>
    <w:rsid w:val="00395A86"/>
    <w:rsid w:val="00397B7A"/>
    <w:rsid w:val="003A4E3A"/>
    <w:rsid w:val="003B0763"/>
    <w:rsid w:val="003B2F7A"/>
    <w:rsid w:val="003B47BD"/>
    <w:rsid w:val="003B5685"/>
    <w:rsid w:val="003B63C7"/>
    <w:rsid w:val="003C33D7"/>
    <w:rsid w:val="003E3711"/>
    <w:rsid w:val="003F399D"/>
    <w:rsid w:val="003F6F70"/>
    <w:rsid w:val="00401EF1"/>
    <w:rsid w:val="0040263A"/>
    <w:rsid w:val="0040523F"/>
    <w:rsid w:val="004105C5"/>
    <w:rsid w:val="00411D87"/>
    <w:rsid w:val="00415C20"/>
    <w:rsid w:val="00435CCF"/>
    <w:rsid w:val="00446C31"/>
    <w:rsid w:val="00461DB2"/>
    <w:rsid w:val="00465EA3"/>
    <w:rsid w:val="00465F3F"/>
    <w:rsid w:val="004676DD"/>
    <w:rsid w:val="004678C1"/>
    <w:rsid w:val="00477DD7"/>
    <w:rsid w:val="00481FF3"/>
    <w:rsid w:val="004874F4"/>
    <w:rsid w:val="00494953"/>
    <w:rsid w:val="00497C12"/>
    <w:rsid w:val="004A6842"/>
    <w:rsid w:val="004B1A5C"/>
    <w:rsid w:val="004B599D"/>
    <w:rsid w:val="004B7B9B"/>
    <w:rsid w:val="004E14AB"/>
    <w:rsid w:val="004E5564"/>
    <w:rsid w:val="00500566"/>
    <w:rsid w:val="00501026"/>
    <w:rsid w:val="005014E4"/>
    <w:rsid w:val="0051378A"/>
    <w:rsid w:val="00525BFC"/>
    <w:rsid w:val="00527153"/>
    <w:rsid w:val="005313E7"/>
    <w:rsid w:val="00536C25"/>
    <w:rsid w:val="00540B71"/>
    <w:rsid w:val="00560CE6"/>
    <w:rsid w:val="005634B5"/>
    <w:rsid w:val="00570BF0"/>
    <w:rsid w:val="00574A6C"/>
    <w:rsid w:val="00576393"/>
    <w:rsid w:val="00580F36"/>
    <w:rsid w:val="00586F9E"/>
    <w:rsid w:val="00590649"/>
    <w:rsid w:val="00592566"/>
    <w:rsid w:val="00594C74"/>
    <w:rsid w:val="005A3734"/>
    <w:rsid w:val="005A65C4"/>
    <w:rsid w:val="005A6FFD"/>
    <w:rsid w:val="005B7AC6"/>
    <w:rsid w:val="005C239F"/>
    <w:rsid w:val="005C341F"/>
    <w:rsid w:val="005D79D2"/>
    <w:rsid w:val="005E1EE6"/>
    <w:rsid w:val="005E28CE"/>
    <w:rsid w:val="005E4A37"/>
    <w:rsid w:val="005F31A6"/>
    <w:rsid w:val="005F35AD"/>
    <w:rsid w:val="005F44C0"/>
    <w:rsid w:val="00602544"/>
    <w:rsid w:val="00602DF3"/>
    <w:rsid w:val="00603036"/>
    <w:rsid w:val="00605F8D"/>
    <w:rsid w:val="00615AAF"/>
    <w:rsid w:val="006168E4"/>
    <w:rsid w:val="00623CED"/>
    <w:rsid w:val="00625829"/>
    <w:rsid w:val="0063720B"/>
    <w:rsid w:val="0065237A"/>
    <w:rsid w:val="00652D8F"/>
    <w:rsid w:val="0065557B"/>
    <w:rsid w:val="00655D00"/>
    <w:rsid w:val="00656322"/>
    <w:rsid w:val="00656672"/>
    <w:rsid w:val="00656F99"/>
    <w:rsid w:val="0066351B"/>
    <w:rsid w:val="0067017C"/>
    <w:rsid w:val="006742F4"/>
    <w:rsid w:val="00675A29"/>
    <w:rsid w:val="00676E35"/>
    <w:rsid w:val="00690D51"/>
    <w:rsid w:val="00691132"/>
    <w:rsid w:val="00697A9C"/>
    <w:rsid w:val="006A03FA"/>
    <w:rsid w:val="006A2067"/>
    <w:rsid w:val="006A361E"/>
    <w:rsid w:val="006A415B"/>
    <w:rsid w:val="006A4EB7"/>
    <w:rsid w:val="006A688F"/>
    <w:rsid w:val="006B13E0"/>
    <w:rsid w:val="006B2B1C"/>
    <w:rsid w:val="006B4DF5"/>
    <w:rsid w:val="006B5C8A"/>
    <w:rsid w:val="006B60F4"/>
    <w:rsid w:val="006C0512"/>
    <w:rsid w:val="006C6BF5"/>
    <w:rsid w:val="006D067B"/>
    <w:rsid w:val="006D1CD0"/>
    <w:rsid w:val="006D231C"/>
    <w:rsid w:val="006D71E2"/>
    <w:rsid w:val="006F6437"/>
    <w:rsid w:val="00702F84"/>
    <w:rsid w:val="00706D54"/>
    <w:rsid w:val="0071090A"/>
    <w:rsid w:val="00713A4E"/>
    <w:rsid w:val="007201BA"/>
    <w:rsid w:val="00722C36"/>
    <w:rsid w:val="007322F6"/>
    <w:rsid w:val="007337E0"/>
    <w:rsid w:val="00737B89"/>
    <w:rsid w:val="00740DFA"/>
    <w:rsid w:val="00741F1A"/>
    <w:rsid w:val="007506FE"/>
    <w:rsid w:val="00753344"/>
    <w:rsid w:val="007537F0"/>
    <w:rsid w:val="00753BF3"/>
    <w:rsid w:val="00756B87"/>
    <w:rsid w:val="007737D0"/>
    <w:rsid w:val="0077595A"/>
    <w:rsid w:val="007765FB"/>
    <w:rsid w:val="00776AB6"/>
    <w:rsid w:val="00776E2E"/>
    <w:rsid w:val="00780F06"/>
    <w:rsid w:val="007821EA"/>
    <w:rsid w:val="00786061"/>
    <w:rsid w:val="0078652F"/>
    <w:rsid w:val="00786C15"/>
    <w:rsid w:val="007A2622"/>
    <w:rsid w:val="007A5336"/>
    <w:rsid w:val="007C1427"/>
    <w:rsid w:val="007C5449"/>
    <w:rsid w:val="007D354D"/>
    <w:rsid w:val="007D39AC"/>
    <w:rsid w:val="007D542A"/>
    <w:rsid w:val="007E68FA"/>
    <w:rsid w:val="007E76DC"/>
    <w:rsid w:val="007E7CF6"/>
    <w:rsid w:val="007F310F"/>
    <w:rsid w:val="007F38CE"/>
    <w:rsid w:val="007F3F2E"/>
    <w:rsid w:val="007F68DD"/>
    <w:rsid w:val="00801AC8"/>
    <w:rsid w:val="00804217"/>
    <w:rsid w:val="00810712"/>
    <w:rsid w:val="008120B7"/>
    <w:rsid w:val="008231E7"/>
    <w:rsid w:val="00823328"/>
    <w:rsid w:val="00824CB0"/>
    <w:rsid w:val="00827532"/>
    <w:rsid w:val="00830227"/>
    <w:rsid w:val="00835D8B"/>
    <w:rsid w:val="00836183"/>
    <w:rsid w:val="008432D4"/>
    <w:rsid w:val="00852E05"/>
    <w:rsid w:val="008543B1"/>
    <w:rsid w:val="00855E70"/>
    <w:rsid w:val="00864321"/>
    <w:rsid w:val="0087021A"/>
    <w:rsid w:val="00873078"/>
    <w:rsid w:val="00875D35"/>
    <w:rsid w:val="00883477"/>
    <w:rsid w:val="00886F4B"/>
    <w:rsid w:val="00887452"/>
    <w:rsid w:val="0089213A"/>
    <w:rsid w:val="008923F8"/>
    <w:rsid w:val="00894A6F"/>
    <w:rsid w:val="008A2BCD"/>
    <w:rsid w:val="008A2BE0"/>
    <w:rsid w:val="008A6B45"/>
    <w:rsid w:val="008C099F"/>
    <w:rsid w:val="008C5B5B"/>
    <w:rsid w:val="008D28B5"/>
    <w:rsid w:val="008E4D60"/>
    <w:rsid w:val="008F2B1D"/>
    <w:rsid w:val="008F5CA7"/>
    <w:rsid w:val="008F679F"/>
    <w:rsid w:val="0090081D"/>
    <w:rsid w:val="00905BA4"/>
    <w:rsid w:val="0091528C"/>
    <w:rsid w:val="00916CD7"/>
    <w:rsid w:val="00917D59"/>
    <w:rsid w:val="00941EAE"/>
    <w:rsid w:val="00942C7F"/>
    <w:rsid w:val="00943ADC"/>
    <w:rsid w:val="0094614F"/>
    <w:rsid w:val="00951B1A"/>
    <w:rsid w:val="00960E71"/>
    <w:rsid w:val="009627D2"/>
    <w:rsid w:val="00963568"/>
    <w:rsid w:val="00964D75"/>
    <w:rsid w:val="009769E7"/>
    <w:rsid w:val="009854F3"/>
    <w:rsid w:val="009A0283"/>
    <w:rsid w:val="009A0E85"/>
    <w:rsid w:val="009A61CF"/>
    <w:rsid w:val="009B135C"/>
    <w:rsid w:val="009C341B"/>
    <w:rsid w:val="009C54D4"/>
    <w:rsid w:val="009C5F01"/>
    <w:rsid w:val="009D0623"/>
    <w:rsid w:val="009E345E"/>
    <w:rsid w:val="009E39D7"/>
    <w:rsid w:val="009F3DFC"/>
    <w:rsid w:val="00A00758"/>
    <w:rsid w:val="00A009ED"/>
    <w:rsid w:val="00A10544"/>
    <w:rsid w:val="00A12DE7"/>
    <w:rsid w:val="00A130BE"/>
    <w:rsid w:val="00A161EE"/>
    <w:rsid w:val="00A22ACA"/>
    <w:rsid w:val="00A23EA4"/>
    <w:rsid w:val="00A314FB"/>
    <w:rsid w:val="00A31876"/>
    <w:rsid w:val="00A320EB"/>
    <w:rsid w:val="00A325A1"/>
    <w:rsid w:val="00A359D0"/>
    <w:rsid w:val="00A37FDA"/>
    <w:rsid w:val="00A44FC2"/>
    <w:rsid w:val="00A503EC"/>
    <w:rsid w:val="00A6039B"/>
    <w:rsid w:val="00A62EDB"/>
    <w:rsid w:val="00A64029"/>
    <w:rsid w:val="00A66A4F"/>
    <w:rsid w:val="00A67DF3"/>
    <w:rsid w:val="00A7541E"/>
    <w:rsid w:val="00A814D6"/>
    <w:rsid w:val="00A8712E"/>
    <w:rsid w:val="00A9058D"/>
    <w:rsid w:val="00A90669"/>
    <w:rsid w:val="00A95926"/>
    <w:rsid w:val="00AB540C"/>
    <w:rsid w:val="00AB7185"/>
    <w:rsid w:val="00AC0756"/>
    <w:rsid w:val="00AC48DB"/>
    <w:rsid w:val="00AC79AC"/>
    <w:rsid w:val="00AD2927"/>
    <w:rsid w:val="00AE6323"/>
    <w:rsid w:val="00AF0009"/>
    <w:rsid w:val="00AF6F9A"/>
    <w:rsid w:val="00AF7CD0"/>
    <w:rsid w:val="00B02865"/>
    <w:rsid w:val="00B03E56"/>
    <w:rsid w:val="00B07296"/>
    <w:rsid w:val="00B15335"/>
    <w:rsid w:val="00B162B0"/>
    <w:rsid w:val="00B31BFA"/>
    <w:rsid w:val="00B33FC4"/>
    <w:rsid w:val="00B3400E"/>
    <w:rsid w:val="00B34DEA"/>
    <w:rsid w:val="00B36202"/>
    <w:rsid w:val="00B37AF0"/>
    <w:rsid w:val="00B4265C"/>
    <w:rsid w:val="00B5665E"/>
    <w:rsid w:val="00B5708B"/>
    <w:rsid w:val="00B6099A"/>
    <w:rsid w:val="00B64191"/>
    <w:rsid w:val="00B64A01"/>
    <w:rsid w:val="00B71EB7"/>
    <w:rsid w:val="00B76569"/>
    <w:rsid w:val="00B773F4"/>
    <w:rsid w:val="00B8051A"/>
    <w:rsid w:val="00B8202A"/>
    <w:rsid w:val="00B908D0"/>
    <w:rsid w:val="00B93CED"/>
    <w:rsid w:val="00B950EC"/>
    <w:rsid w:val="00BB16AB"/>
    <w:rsid w:val="00BD3E85"/>
    <w:rsid w:val="00BD5985"/>
    <w:rsid w:val="00BE0B72"/>
    <w:rsid w:val="00BE3BB7"/>
    <w:rsid w:val="00BF0C7B"/>
    <w:rsid w:val="00BF4EBF"/>
    <w:rsid w:val="00BF6491"/>
    <w:rsid w:val="00C0022D"/>
    <w:rsid w:val="00C023E3"/>
    <w:rsid w:val="00C038AB"/>
    <w:rsid w:val="00C158D0"/>
    <w:rsid w:val="00C15B3A"/>
    <w:rsid w:val="00C16AC2"/>
    <w:rsid w:val="00C20BFB"/>
    <w:rsid w:val="00C31337"/>
    <w:rsid w:val="00C34362"/>
    <w:rsid w:val="00C3494C"/>
    <w:rsid w:val="00C34A76"/>
    <w:rsid w:val="00C437BC"/>
    <w:rsid w:val="00C7609B"/>
    <w:rsid w:val="00C76589"/>
    <w:rsid w:val="00C808A4"/>
    <w:rsid w:val="00C946E8"/>
    <w:rsid w:val="00CA43D2"/>
    <w:rsid w:val="00CA6CBA"/>
    <w:rsid w:val="00CB3748"/>
    <w:rsid w:val="00CB535F"/>
    <w:rsid w:val="00CB6447"/>
    <w:rsid w:val="00CC266E"/>
    <w:rsid w:val="00CC4B27"/>
    <w:rsid w:val="00CD04CE"/>
    <w:rsid w:val="00CD46F9"/>
    <w:rsid w:val="00CE5725"/>
    <w:rsid w:val="00CE7888"/>
    <w:rsid w:val="00CF161A"/>
    <w:rsid w:val="00CF2213"/>
    <w:rsid w:val="00D06A9C"/>
    <w:rsid w:val="00D106D2"/>
    <w:rsid w:val="00D11508"/>
    <w:rsid w:val="00D129D3"/>
    <w:rsid w:val="00D13088"/>
    <w:rsid w:val="00D16A7E"/>
    <w:rsid w:val="00D25295"/>
    <w:rsid w:val="00D271C7"/>
    <w:rsid w:val="00D27D44"/>
    <w:rsid w:val="00D40746"/>
    <w:rsid w:val="00D4125A"/>
    <w:rsid w:val="00D4141E"/>
    <w:rsid w:val="00D4245C"/>
    <w:rsid w:val="00D43C0E"/>
    <w:rsid w:val="00D45062"/>
    <w:rsid w:val="00D455BC"/>
    <w:rsid w:val="00D544E5"/>
    <w:rsid w:val="00D70259"/>
    <w:rsid w:val="00D70758"/>
    <w:rsid w:val="00D72135"/>
    <w:rsid w:val="00D82BA6"/>
    <w:rsid w:val="00D9064A"/>
    <w:rsid w:val="00D9574F"/>
    <w:rsid w:val="00D959AE"/>
    <w:rsid w:val="00DB32E1"/>
    <w:rsid w:val="00DB4834"/>
    <w:rsid w:val="00DB537B"/>
    <w:rsid w:val="00DC05E7"/>
    <w:rsid w:val="00DC1A33"/>
    <w:rsid w:val="00DC2586"/>
    <w:rsid w:val="00DC2F85"/>
    <w:rsid w:val="00DC7D10"/>
    <w:rsid w:val="00DE07F6"/>
    <w:rsid w:val="00DE3CCD"/>
    <w:rsid w:val="00DE75EE"/>
    <w:rsid w:val="00DF2F9E"/>
    <w:rsid w:val="00DF7971"/>
    <w:rsid w:val="00E12A93"/>
    <w:rsid w:val="00E1431E"/>
    <w:rsid w:val="00E15DA1"/>
    <w:rsid w:val="00E17AD9"/>
    <w:rsid w:val="00E17BFE"/>
    <w:rsid w:val="00E22A18"/>
    <w:rsid w:val="00E2578D"/>
    <w:rsid w:val="00E258DE"/>
    <w:rsid w:val="00E376F6"/>
    <w:rsid w:val="00E469C2"/>
    <w:rsid w:val="00E5069A"/>
    <w:rsid w:val="00E51AFF"/>
    <w:rsid w:val="00E5257E"/>
    <w:rsid w:val="00E63026"/>
    <w:rsid w:val="00E66635"/>
    <w:rsid w:val="00E7616A"/>
    <w:rsid w:val="00E85B7E"/>
    <w:rsid w:val="00E91AAB"/>
    <w:rsid w:val="00E950A3"/>
    <w:rsid w:val="00EA40A2"/>
    <w:rsid w:val="00EA687A"/>
    <w:rsid w:val="00EB3164"/>
    <w:rsid w:val="00EB4557"/>
    <w:rsid w:val="00EC0459"/>
    <w:rsid w:val="00EC7166"/>
    <w:rsid w:val="00EC7248"/>
    <w:rsid w:val="00ED257C"/>
    <w:rsid w:val="00ED33CA"/>
    <w:rsid w:val="00ED4DBB"/>
    <w:rsid w:val="00ED7F6B"/>
    <w:rsid w:val="00EE0EAB"/>
    <w:rsid w:val="00EE6201"/>
    <w:rsid w:val="00EE75D3"/>
    <w:rsid w:val="00EE7EED"/>
    <w:rsid w:val="00EF60DF"/>
    <w:rsid w:val="00F07A12"/>
    <w:rsid w:val="00F07D08"/>
    <w:rsid w:val="00F145F7"/>
    <w:rsid w:val="00F14986"/>
    <w:rsid w:val="00F15729"/>
    <w:rsid w:val="00F170E7"/>
    <w:rsid w:val="00F20520"/>
    <w:rsid w:val="00F240E3"/>
    <w:rsid w:val="00F24101"/>
    <w:rsid w:val="00F24DE2"/>
    <w:rsid w:val="00F31BAB"/>
    <w:rsid w:val="00F320D3"/>
    <w:rsid w:val="00F3254B"/>
    <w:rsid w:val="00F332D4"/>
    <w:rsid w:val="00F33887"/>
    <w:rsid w:val="00F338D9"/>
    <w:rsid w:val="00F428C7"/>
    <w:rsid w:val="00F429A9"/>
    <w:rsid w:val="00F55F0C"/>
    <w:rsid w:val="00F63FD6"/>
    <w:rsid w:val="00F64FF5"/>
    <w:rsid w:val="00F71F33"/>
    <w:rsid w:val="00F73C9E"/>
    <w:rsid w:val="00F83C74"/>
    <w:rsid w:val="00F840C1"/>
    <w:rsid w:val="00F84BFC"/>
    <w:rsid w:val="00F87B02"/>
    <w:rsid w:val="00F90510"/>
    <w:rsid w:val="00FA6301"/>
    <w:rsid w:val="00FB0276"/>
    <w:rsid w:val="00FB5BCD"/>
    <w:rsid w:val="00FB5EEA"/>
    <w:rsid w:val="00FC044E"/>
    <w:rsid w:val="00FC16FB"/>
    <w:rsid w:val="00FD22AF"/>
    <w:rsid w:val="00FD37E1"/>
    <w:rsid w:val="00FD5B4E"/>
    <w:rsid w:val="00FE1F12"/>
    <w:rsid w:val="00FE22DF"/>
    <w:rsid w:val="00FE3532"/>
    <w:rsid w:val="00FF10CB"/>
    <w:rsid w:val="010433A6"/>
    <w:rsid w:val="010E669E"/>
    <w:rsid w:val="016E3F38"/>
    <w:rsid w:val="01744CC0"/>
    <w:rsid w:val="0194587B"/>
    <w:rsid w:val="02220465"/>
    <w:rsid w:val="02236142"/>
    <w:rsid w:val="02273F17"/>
    <w:rsid w:val="02280A03"/>
    <w:rsid w:val="0232191D"/>
    <w:rsid w:val="02322C36"/>
    <w:rsid w:val="02907847"/>
    <w:rsid w:val="02EB68D8"/>
    <w:rsid w:val="02F40501"/>
    <w:rsid w:val="0343656C"/>
    <w:rsid w:val="034D07FC"/>
    <w:rsid w:val="036342B6"/>
    <w:rsid w:val="03840626"/>
    <w:rsid w:val="03A50293"/>
    <w:rsid w:val="03E7727F"/>
    <w:rsid w:val="04301F2C"/>
    <w:rsid w:val="04354E98"/>
    <w:rsid w:val="04AA6031"/>
    <w:rsid w:val="04C630D4"/>
    <w:rsid w:val="04D45421"/>
    <w:rsid w:val="04EA6DF7"/>
    <w:rsid w:val="04F9316F"/>
    <w:rsid w:val="052837C4"/>
    <w:rsid w:val="05BF658F"/>
    <w:rsid w:val="05CD18C1"/>
    <w:rsid w:val="05FA0BF6"/>
    <w:rsid w:val="062507F6"/>
    <w:rsid w:val="06275103"/>
    <w:rsid w:val="069F504A"/>
    <w:rsid w:val="06B0666E"/>
    <w:rsid w:val="06B917E8"/>
    <w:rsid w:val="06ED7489"/>
    <w:rsid w:val="070D2A28"/>
    <w:rsid w:val="07FC068B"/>
    <w:rsid w:val="08B24E25"/>
    <w:rsid w:val="08ED12AE"/>
    <w:rsid w:val="0911756C"/>
    <w:rsid w:val="09273481"/>
    <w:rsid w:val="09614C11"/>
    <w:rsid w:val="09617DFD"/>
    <w:rsid w:val="098326E7"/>
    <w:rsid w:val="09DB0B68"/>
    <w:rsid w:val="09E366DA"/>
    <w:rsid w:val="0A211E2D"/>
    <w:rsid w:val="0A281E55"/>
    <w:rsid w:val="0A302C14"/>
    <w:rsid w:val="0A346013"/>
    <w:rsid w:val="0A3A6536"/>
    <w:rsid w:val="0AB30444"/>
    <w:rsid w:val="0B026E20"/>
    <w:rsid w:val="0B044945"/>
    <w:rsid w:val="0B232374"/>
    <w:rsid w:val="0B2703CD"/>
    <w:rsid w:val="0B372DD9"/>
    <w:rsid w:val="0B5628D6"/>
    <w:rsid w:val="0B6200BE"/>
    <w:rsid w:val="0C1E21AC"/>
    <w:rsid w:val="0C340187"/>
    <w:rsid w:val="0C7266F9"/>
    <w:rsid w:val="0CAD33EF"/>
    <w:rsid w:val="0D2B7879"/>
    <w:rsid w:val="0D6208E6"/>
    <w:rsid w:val="0D6F561D"/>
    <w:rsid w:val="0D784778"/>
    <w:rsid w:val="0D87072C"/>
    <w:rsid w:val="0E240B09"/>
    <w:rsid w:val="0E336E2F"/>
    <w:rsid w:val="0E587B15"/>
    <w:rsid w:val="0E5F62A6"/>
    <w:rsid w:val="0EF61428"/>
    <w:rsid w:val="0F04519B"/>
    <w:rsid w:val="0F50288D"/>
    <w:rsid w:val="0F5C2833"/>
    <w:rsid w:val="0FBB209A"/>
    <w:rsid w:val="105D40C6"/>
    <w:rsid w:val="10821456"/>
    <w:rsid w:val="10B97C51"/>
    <w:rsid w:val="10F31C28"/>
    <w:rsid w:val="10F50A00"/>
    <w:rsid w:val="10FD5E84"/>
    <w:rsid w:val="110E0DEF"/>
    <w:rsid w:val="11B542A1"/>
    <w:rsid w:val="11D6743B"/>
    <w:rsid w:val="12042EF1"/>
    <w:rsid w:val="13022A6F"/>
    <w:rsid w:val="132836A7"/>
    <w:rsid w:val="135A2C5D"/>
    <w:rsid w:val="13A07901"/>
    <w:rsid w:val="13E31867"/>
    <w:rsid w:val="14242DD3"/>
    <w:rsid w:val="14761C76"/>
    <w:rsid w:val="148A4DCB"/>
    <w:rsid w:val="14D91282"/>
    <w:rsid w:val="15011D68"/>
    <w:rsid w:val="1509147B"/>
    <w:rsid w:val="1516024C"/>
    <w:rsid w:val="151740AC"/>
    <w:rsid w:val="151874D3"/>
    <w:rsid w:val="15BB62DB"/>
    <w:rsid w:val="16326414"/>
    <w:rsid w:val="170C1D83"/>
    <w:rsid w:val="170D6159"/>
    <w:rsid w:val="17187BD7"/>
    <w:rsid w:val="174E15FD"/>
    <w:rsid w:val="17657586"/>
    <w:rsid w:val="1770471C"/>
    <w:rsid w:val="17A83E0F"/>
    <w:rsid w:val="185D0024"/>
    <w:rsid w:val="18602E19"/>
    <w:rsid w:val="186531F6"/>
    <w:rsid w:val="18751F3F"/>
    <w:rsid w:val="19105938"/>
    <w:rsid w:val="19452028"/>
    <w:rsid w:val="19BC5C12"/>
    <w:rsid w:val="19C50013"/>
    <w:rsid w:val="19D14688"/>
    <w:rsid w:val="19D8654C"/>
    <w:rsid w:val="19EC2499"/>
    <w:rsid w:val="1A215767"/>
    <w:rsid w:val="1A7E315D"/>
    <w:rsid w:val="1AFA2C31"/>
    <w:rsid w:val="1BF22DE3"/>
    <w:rsid w:val="1C0179A5"/>
    <w:rsid w:val="1C0C62DD"/>
    <w:rsid w:val="1C64101C"/>
    <w:rsid w:val="1C7736D3"/>
    <w:rsid w:val="1C7F613C"/>
    <w:rsid w:val="1CB450AD"/>
    <w:rsid w:val="1CC853DE"/>
    <w:rsid w:val="1CCF7788"/>
    <w:rsid w:val="1CF32E3D"/>
    <w:rsid w:val="1D5237F3"/>
    <w:rsid w:val="1D77117B"/>
    <w:rsid w:val="1D983CC6"/>
    <w:rsid w:val="1DAE2F9F"/>
    <w:rsid w:val="1DE64E63"/>
    <w:rsid w:val="1DF00EFE"/>
    <w:rsid w:val="1E4F294F"/>
    <w:rsid w:val="1E7C51CF"/>
    <w:rsid w:val="1EBC29A6"/>
    <w:rsid w:val="1EF935E0"/>
    <w:rsid w:val="1F02728D"/>
    <w:rsid w:val="1F143B57"/>
    <w:rsid w:val="1F627D4F"/>
    <w:rsid w:val="1FBB7D4A"/>
    <w:rsid w:val="1FEE2A6C"/>
    <w:rsid w:val="2045227E"/>
    <w:rsid w:val="20574583"/>
    <w:rsid w:val="206B059F"/>
    <w:rsid w:val="20704396"/>
    <w:rsid w:val="207450DF"/>
    <w:rsid w:val="209E068E"/>
    <w:rsid w:val="21045660"/>
    <w:rsid w:val="210D4AF2"/>
    <w:rsid w:val="214359D1"/>
    <w:rsid w:val="215D03A4"/>
    <w:rsid w:val="2193443E"/>
    <w:rsid w:val="21CD4AE9"/>
    <w:rsid w:val="22906DF2"/>
    <w:rsid w:val="229B0F08"/>
    <w:rsid w:val="22CD4B9F"/>
    <w:rsid w:val="22D830D9"/>
    <w:rsid w:val="22EF3B3A"/>
    <w:rsid w:val="23503376"/>
    <w:rsid w:val="235A0EB2"/>
    <w:rsid w:val="236E17B6"/>
    <w:rsid w:val="240134D5"/>
    <w:rsid w:val="241E2378"/>
    <w:rsid w:val="24C02750"/>
    <w:rsid w:val="24C93DE5"/>
    <w:rsid w:val="256F7467"/>
    <w:rsid w:val="25711018"/>
    <w:rsid w:val="25B44C81"/>
    <w:rsid w:val="26260726"/>
    <w:rsid w:val="26654871"/>
    <w:rsid w:val="267670BF"/>
    <w:rsid w:val="26926622"/>
    <w:rsid w:val="26B5775C"/>
    <w:rsid w:val="26FC201F"/>
    <w:rsid w:val="26FD0E6C"/>
    <w:rsid w:val="26FF08BD"/>
    <w:rsid w:val="27371F80"/>
    <w:rsid w:val="27DA0E2D"/>
    <w:rsid w:val="281C5501"/>
    <w:rsid w:val="28256981"/>
    <w:rsid w:val="2861037E"/>
    <w:rsid w:val="28720095"/>
    <w:rsid w:val="28E030A6"/>
    <w:rsid w:val="28FC40E0"/>
    <w:rsid w:val="29011B54"/>
    <w:rsid w:val="291663D4"/>
    <w:rsid w:val="29235B7F"/>
    <w:rsid w:val="29935D71"/>
    <w:rsid w:val="29A2674B"/>
    <w:rsid w:val="29D15FF3"/>
    <w:rsid w:val="29EB11C7"/>
    <w:rsid w:val="29EE7C1F"/>
    <w:rsid w:val="29F005EA"/>
    <w:rsid w:val="2A05694A"/>
    <w:rsid w:val="2A0E3240"/>
    <w:rsid w:val="2A412308"/>
    <w:rsid w:val="2A9A5CE3"/>
    <w:rsid w:val="2B3F6A37"/>
    <w:rsid w:val="2BD64F6F"/>
    <w:rsid w:val="2C562CFF"/>
    <w:rsid w:val="2C754E9F"/>
    <w:rsid w:val="2CA53CBD"/>
    <w:rsid w:val="2CE874AA"/>
    <w:rsid w:val="2D585051"/>
    <w:rsid w:val="2D9A1F24"/>
    <w:rsid w:val="2E0E2311"/>
    <w:rsid w:val="2E133F16"/>
    <w:rsid w:val="2E470B32"/>
    <w:rsid w:val="2E626189"/>
    <w:rsid w:val="2EE911D6"/>
    <w:rsid w:val="2EF0239E"/>
    <w:rsid w:val="2F602C2B"/>
    <w:rsid w:val="2F9F377F"/>
    <w:rsid w:val="2FB00BBD"/>
    <w:rsid w:val="2FD45084"/>
    <w:rsid w:val="2FDF3817"/>
    <w:rsid w:val="302B29E8"/>
    <w:rsid w:val="302B60DF"/>
    <w:rsid w:val="30F9500B"/>
    <w:rsid w:val="312335FA"/>
    <w:rsid w:val="31A56FD4"/>
    <w:rsid w:val="31D9449A"/>
    <w:rsid w:val="31FE68A2"/>
    <w:rsid w:val="32A458B5"/>
    <w:rsid w:val="32C9069C"/>
    <w:rsid w:val="33532484"/>
    <w:rsid w:val="337D7A4F"/>
    <w:rsid w:val="339F3680"/>
    <w:rsid w:val="33E74ACE"/>
    <w:rsid w:val="343E2327"/>
    <w:rsid w:val="34832F1E"/>
    <w:rsid w:val="34A31B5A"/>
    <w:rsid w:val="35093CBB"/>
    <w:rsid w:val="35246463"/>
    <w:rsid w:val="35391CE7"/>
    <w:rsid w:val="35EB5CE8"/>
    <w:rsid w:val="35F63444"/>
    <w:rsid w:val="361656B7"/>
    <w:rsid w:val="363411B6"/>
    <w:rsid w:val="36717E98"/>
    <w:rsid w:val="368348C8"/>
    <w:rsid w:val="368D6C5C"/>
    <w:rsid w:val="3691448D"/>
    <w:rsid w:val="376B3D8D"/>
    <w:rsid w:val="37E00DA9"/>
    <w:rsid w:val="37E6300B"/>
    <w:rsid w:val="38C50A28"/>
    <w:rsid w:val="38E7625D"/>
    <w:rsid w:val="38ED0484"/>
    <w:rsid w:val="3922746B"/>
    <w:rsid w:val="39432193"/>
    <w:rsid w:val="39627767"/>
    <w:rsid w:val="396B3A71"/>
    <w:rsid w:val="399A3B55"/>
    <w:rsid w:val="39A15FD9"/>
    <w:rsid w:val="39D17AB5"/>
    <w:rsid w:val="3A043BB0"/>
    <w:rsid w:val="3A054EDA"/>
    <w:rsid w:val="3A8B07F6"/>
    <w:rsid w:val="3ACE2D62"/>
    <w:rsid w:val="3AE22FF5"/>
    <w:rsid w:val="3B5E4C55"/>
    <w:rsid w:val="3B7B6B99"/>
    <w:rsid w:val="3BAC2A88"/>
    <w:rsid w:val="3BD40449"/>
    <w:rsid w:val="3C2F3AC4"/>
    <w:rsid w:val="3C6D58C3"/>
    <w:rsid w:val="3CF15D88"/>
    <w:rsid w:val="3D0170C9"/>
    <w:rsid w:val="3D2977DD"/>
    <w:rsid w:val="3D3223C0"/>
    <w:rsid w:val="3D471BC1"/>
    <w:rsid w:val="3D78722F"/>
    <w:rsid w:val="3D806A70"/>
    <w:rsid w:val="3D8C52D0"/>
    <w:rsid w:val="3DD23094"/>
    <w:rsid w:val="3E3D167A"/>
    <w:rsid w:val="3E4F666C"/>
    <w:rsid w:val="3E6C3F0E"/>
    <w:rsid w:val="3EE853F8"/>
    <w:rsid w:val="3EF0659F"/>
    <w:rsid w:val="3F1E5EDF"/>
    <w:rsid w:val="3F53581A"/>
    <w:rsid w:val="3F6258C8"/>
    <w:rsid w:val="3FDD20D8"/>
    <w:rsid w:val="400B775B"/>
    <w:rsid w:val="40843F56"/>
    <w:rsid w:val="40B02E04"/>
    <w:rsid w:val="40CF0CA1"/>
    <w:rsid w:val="40EE4917"/>
    <w:rsid w:val="41B23A8F"/>
    <w:rsid w:val="41D94C19"/>
    <w:rsid w:val="42195488"/>
    <w:rsid w:val="421D31EE"/>
    <w:rsid w:val="42242DE8"/>
    <w:rsid w:val="426B7CC4"/>
    <w:rsid w:val="42E84F83"/>
    <w:rsid w:val="431569AA"/>
    <w:rsid w:val="43CA3111"/>
    <w:rsid w:val="450C0622"/>
    <w:rsid w:val="4512021D"/>
    <w:rsid w:val="45155348"/>
    <w:rsid w:val="45642C56"/>
    <w:rsid w:val="45661C15"/>
    <w:rsid w:val="45740B54"/>
    <w:rsid w:val="45AB25C6"/>
    <w:rsid w:val="46636409"/>
    <w:rsid w:val="468F0994"/>
    <w:rsid w:val="46B062DC"/>
    <w:rsid w:val="46BA4206"/>
    <w:rsid w:val="46D123C8"/>
    <w:rsid w:val="4714413B"/>
    <w:rsid w:val="47354E10"/>
    <w:rsid w:val="47563C46"/>
    <w:rsid w:val="476C1551"/>
    <w:rsid w:val="47A14F45"/>
    <w:rsid w:val="47E668AB"/>
    <w:rsid w:val="47F97401"/>
    <w:rsid w:val="48453CB2"/>
    <w:rsid w:val="48A62A75"/>
    <w:rsid w:val="48B3696F"/>
    <w:rsid w:val="48D5480F"/>
    <w:rsid w:val="490D7DC6"/>
    <w:rsid w:val="492170A7"/>
    <w:rsid w:val="49474205"/>
    <w:rsid w:val="49501E61"/>
    <w:rsid w:val="495F5D4F"/>
    <w:rsid w:val="4A15334A"/>
    <w:rsid w:val="4A234A37"/>
    <w:rsid w:val="4A472C58"/>
    <w:rsid w:val="4A657C93"/>
    <w:rsid w:val="4AF5224E"/>
    <w:rsid w:val="4B0C5283"/>
    <w:rsid w:val="4B0E10EF"/>
    <w:rsid w:val="4B3063FA"/>
    <w:rsid w:val="4B37495B"/>
    <w:rsid w:val="4B3C762C"/>
    <w:rsid w:val="4B3D5B93"/>
    <w:rsid w:val="4B485489"/>
    <w:rsid w:val="4B870DAF"/>
    <w:rsid w:val="4BB174F7"/>
    <w:rsid w:val="4BE77CF1"/>
    <w:rsid w:val="4BE92779"/>
    <w:rsid w:val="4CBB7FD5"/>
    <w:rsid w:val="4CBF0607"/>
    <w:rsid w:val="4CDF4900"/>
    <w:rsid w:val="4D967A15"/>
    <w:rsid w:val="4E240AB5"/>
    <w:rsid w:val="4E3D08BB"/>
    <w:rsid w:val="4E441BEA"/>
    <w:rsid w:val="4E517FB4"/>
    <w:rsid w:val="4E63034B"/>
    <w:rsid w:val="4E7F2545"/>
    <w:rsid w:val="4EC14144"/>
    <w:rsid w:val="4F2F3463"/>
    <w:rsid w:val="4FC21405"/>
    <w:rsid w:val="4FCB6EBD"/>
    <w:rsid w:val="50F205FE"/>
    <w:rsid w:val="51361D4E"/>
    <w:rsid w:val="515D0475"/>
    <w:rsid w:val="51957860"/>
    <w:rsid w:val="51AE114C"/>
    <w:rsid w:val="51B4111A"/>
    <w:rsid w:val="51D81C84"/>
    <w:rsid w:val="51E21DCB"/>
    <w:rsid w:val="537B62D7"/>
    <w:rsid w:val="53D30DA7"/>
    <w:rsid w:val="541A7DF2"/>
    <w:rsid w:val="543611A2"/>
    <w:rsid w:val="543B4F2C"/>
    <w:rsid w:val="545E676B"/>
    <w:rsid w:val="54E512AE"/>
    <w:rsid w:val="55593CC7"/>
    <w:rsid w:val="559972F9"/>
    <w:rsid w:val="56323918"/>
    <w:rsid w:val="56754407"/>
    <w:rsid w:val="56E55BF6"/>
    <w:rsid w:val="57A92213"/>
    <w:rsid w:val="57A966D2"/>
    <w:rsid w:val="58071D0E"/>
    <w:rsid w:val="58890C21"/>
    <w:rsid w:val="58DF0F9E"/>
    <w:rsid w:val="59523DE1"/>
    <w:rsid w:val="59606768"/>
    <w:rsid w:val="599622E2"/>
    <w:rsid w:val="59A527BA"/>
    <w:rsid w:val="59D74F41"/>
    <w:rsid w:val="59F20C25"/>
    <w:rsid w:val="5A357B71"/>
    <w:rsid w:val="5A39196A"/>
    <w:rsid w:val="5A971260"/>
    <w:rsid w:val="5AD82C12"/>
    <w:rsid w:val="5AE60FD0"/>
    <w:rsid w:val="5B4F66BA"/>
    <w:rsid w:val="5B591697"/>
    <w:rsid w:val="5B632741"/>
    <w:rsid w:val="5BC17AEA"/>
    <w:rsid w:val="5C236D08"/>
    <w:rsid w:val="5C476E90"/>
    <w:rsid w:val="5C721C3D"/>
    <w:rsid w:val="5C9A3B57"/>
    <w:rsid w:val="5CE47568"/>
    <w:rsid w:val="5DC3261B"/>
    <w:rsid w:val="5DEA3436"/>
    <w:rsid w:val="5E8C2B57"/>
    <w:rsid w:val="5EB52C46"/>
    <w:rsid w:val="5F031BA8"/>
    <w:rsid w:val="5F091996"/>
    <w:rsid w:val="5F4B3843"/>
    <w:rsid w:val="5F8305AB"/>
    <w:rsid w:val="5F8D15D7"/>
    <w:rsid w:val="5FF85A56"/>
    <w:rsid w:val="600879F8"/>
    <w:rsid w:val="6013125E"/>
    <w:rsid w:val="602165B4"/>
    <w:rsid w:val="60433303"/>
    <w:rsid w:val="60803FE7"/>
    <w:rsid w:val="611942AD"/>
    <w:rsid w:val="615C40CE"/>
    <w:rsid w:val="61C52C27"/>
    <w:rsid w:val="61DD5E40"/>
    <w:rsid w:val="61E15E6D"/>
    <w:rsid w:val="62117120"/>
    <w:rsid w:val="62447DF6"/>
    <w:rsid w:val="62485A9D"/>
    <w:rsid w:val="62846394"/>
    <w:rsid w:val="62B921D7"/>
    <w:rsid w:val="62CE1DAD"/>
    <w:rsid w:val="62D17677"/>
    <w:rsid w:val="62D36224"/>
    <w:rsid w:val="62DC5D81"/>
    <w:rsid w:val="630D1708"/>
    <w:rsid w:val="632D14CA"/>
    <w:rsid w:val="63344747"/>
    <w:rsid w:val="640611AD"/>
    <w:rsid w:val="6438415E"/>
    <w:rsid w:val="64565CCC"/>
    <w:rsid w:val="646A373C"/>
    <w:rsid w:val="64C33DF0"/>
    <w:rsid w:val="64F149B7"/>
    <w:rsid w:val="65434777"/>
    <w:rsid w:val="65541B48"/>
    <w:rsid w:val="6586281C"/>
    <w:rsid w:val="65AD0782"/>
    <w:rsid w:val="6610258B"/>
    <w:rsid w:val="66165513"/>
    <w:rsid w:val="66574151"/>
    <w:rsid w:val="668F504D"/>
    <w:rsid w:val="66CE028A"/>
    <w:rsid w:val="66E46249"/>
    <w:rsid w:val="67210AC9"/>
    <w:rsid w:val="672B599B"/>
    <w:rsid w:val="673B352C"/>
    <w:rsid w:val="676B48FF"/>
    <w:rsid w:val="67712BDA"/>
    <w:rsid w:val="67835100"/>
    <w:rsid w:val="679378F2"/>
    <w:rsid w:val="67B43E55"/>
    <w:rsid w:val="67F27D50"/>
    <w:rsid w:val="680816F1"/>
    <w:rsid w:val="68587788"/>
    <w:rsid w:val="6894683C"/>
    <w:rsid w:val="68F42DB9"/>
    <w:rsid w:val="6908170D"/>
    <w:rsid w:val="692E2B8F"/>
    <w:rsid w:val="69A0211B"/>
    <w:rsid w:val="69AC6031"/>
    <w:rsid w:val="69F52888"/>
    <w:rsid w:val="6A3B347B"/>
    <w:rsid w:val="6A706B6E"/>
    <w:rsid w:val="6AAF695E"/>
    <w:rsid w:val="6ACB3639"/>
    <w:rsid w:val="6AED2185"/>
    <w:rsid w:val="6AEE5AD3"/>
    <w:rsid w:val="6AF3731F"/>
    <w:rsid w:val="6B1615A7"/>
    <w:rsid w:val="6B7077AA"/>
    <w:rsid w:val="6BAE34CF"/>
    <w:rsid w:val="6BF54D68"/>
    <w:rsid w:val="6C1A31F5"/>
    <w:rsid w:val="6C40518F"/>
    <w:rsid w:val="6C5C67F5"/>
    <w:rsid w:val="6CBB3854"/>
    <w:rsid w:val="6CE70F60"/>
    <w:rsid w:val="6D23258E"/>
    <w:rsid w:val="6D3013FC"/>
    <w:rsid w:val="6D49551E"/>
    <w:rsid w:val="6D9154F9"/>
    <w:rsid w:val="6DA70982"/>
    <w:rsid w:val="6DF07A84"/>
    <w:rsid w:val="6DF21447"/>
    <w:rsid w:val="6E3E48BE"/>
    <w:rsid w:val="6E9E53FE"/>
    <w:rsid w:val="6EA6588A"/>
    <w:rsid w:val="6ECC6884"/>
    <w:rsid w:val="6ED71C40"/>
    <w:rsid w:val="6EE4610D"/>
    <w:rsid w:val="6F9D0BCA"/>
    <w:rsid w:val="6FB22653"/>
    <w:rsid w:val="6FEF5B8F"/>
    <w:rsid w:val="709B1E15"/>
    <w:rsid w:val="70CE1A4E"/>
    <w:rsid w:val="711F4941"/>
    <w:rsid w:val="71501BEE"/>
    <w:rsid w:val="717F62D2"/>
    <w:rsid w:val="71A711C9"/>
    <w:rsid w:val="71D97735"/>
    <w:rsid w:val="723052C5"/>
    <w:rsid w:val="724A7DBF"/>
    <w:rsid w:val="72730545"/>
    <w:rsid w:val="72942079"/>
    <w:rsid w:val="73007413"/>
    <w:rsid w:val="739D32CE"/>
    <w:rsid w:val="73A7707D"/>
    <w:rsid w:val="73F7626C"/>
    <w:rsid w:val="74354F51"/>
    <w:rsid w:val="74631125"/>
    <w:rsid w:val="748D6281"/>
    <w:rsid w:val="74DD74E5"/>
    <w:rsid w:val="74E54B19"/>
    <w:rsid w:val="75634B25"/>
    <w:rsid w:val="75964E58"/>
    <w:rsid w:val="75AC7704"/>
    <w:rsid w:val="764652B0"/>
    <w:rsid w:val="767861EA"/>
    <w:rsid w:val="767A3C63"/>
    <w:rsid w:val="76BC4307"/>
    <w:rsid w:val="76D84DEC"/>
    <w:rsid w:val="773B3C21"/>
    <w:rsid w:val="77641B91"/>
    <w:rsid w:val="77F96EAA"/>
    <w:rsid w:val="7800400E"/>
    <w:rsid w:val="780D5EBA"/>
    <w:rsid w:val="788F3508"/>
    <w:rsid w:val="790A0E08"/>
    <w:rsid w:val="79230090"/>
    <w:rsid w:val="792A283F"/>
    <w:rsid w:val="79BF6F71"/>
    <w:rsid w:val="79C41F64"/>
    <w:rsid w:val="79F84E0F"/>
    <w:rsid w:val="7AD13EE3"/>
    <w:rsid w:val="7ADA5B78"/>
    <w:rsid w:val="7B375EF8"/>
    <w:rsid w:val="7B4F1FDF"/>
    <w:rsid w:val="7B8628BC"/>
    <w:rsid w:val="7B994273"/>
    <w:rsid w:val="7BC270D8"/>
    <w:rsid w:val="7C5338F2"/>
    <w:rsid w:val="7C5A77E7"/>
    <w:rsid w:val="7C606750"/>
    <w:rsid w:val="7D084581"/>
    <w:rsid w:val="7D647EE7"/>
    <w:rsid w:val="7E0453A9"/>
    <w:rsid w:val="7E384BF4"/>
    <w:rsid w:val="7E5C0673"/>
    <w:rsid w:val="7E854B0A"/>
    <w:rsid w:val="7E880EA3"/>
    <w:rsid w:val="7E8F2FA4"/>
    <w:rsid w:val="7EF8331B"/>
    <w:rsid w:val="7EF955D8"/>
    <w:rsid w:val="7EFB3186"/>
    <w:rsid w:val="7F145248"/>
    <w:rsid w:val="7F6E0ADA"/>
    <w:rsid w:val="7F8A7F8E"/>
    <w:rsid w:val="7F8C1B25"/>
    <w:rsid w:val="7FD43BD7"/>
    <w:rsid w:val="7FE108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paragraph" w:styleId="2">
    <w:name w:val="heading 1"/>
    <w:basedOn w:val="1"/>
    <w:next w:val="1"/>
    <w:qFormat/>
    <w:uiPriority w:val="0"/>
    <w:pPr>
      <w:keepNext/>
      <w:keepLines/>
      <w:spacing w:beforeLines="100" w:afterLines="100"/>
      <w:ind w:firstLine="0" w:firstLineChars="0"/>
      <w:outlineLvl w:val="0"/>
    </w:pPr>
    <w:rPr>
      <w:b/>
      <w:bCs/>
      <w:kern w:val="44"/>
      <w:sz w:val="36"/>
      <w:szCs w:val="44"/>
    </w:rPr>
  </w:style>
  <w:style w:type="paragraph" w:styleId="3">
    <w:name w:val="heading 2"/>
    <w:basedOn w:val="1"/>
    <w:next w:val="1"/>
    <w:link w:val="41"/>
    <w:qFormat/>
    <w:uiPriority w:val="0"/>
    <w:pPr>
      <w:keepNext/>
      <w:keepLines/>
      <w:spacing w:beforeLines="100" w:afterLines="100"/>
      <w:ind w:firstLine="0" w:firstLineChars="0"/>
      <w:outlineLvl w:val="1"/>
    </w:pPr>
    <w:rPr>
      <w:b/>
      <w:bCs/>
      <w:sz w:val="32"/>
      <w:szCs w:val="32"/>
    </w:rPr>
  </w:style>
  <w:style w:type="paragraph" w:styleId="4">
    <w:name w:val="heading 3"/>
    <w:basedOn w:val="1"/>
    <w:next w:val="1"/>
    <w:qFormat/>
    <w:uiPriority w:val="0"/>
    <w:pPr>
      <w:keepNext/>
      <w:keepLines/>
      <w:spacing w:beforeLines="100" w:afterLines="100"/>
      <w:ind w:firstLine="0" w:firstLineChars="0"/>
      <w:outlineLvl w:val="2"/>
    </w:pPr>
    <w:rPr>
      <w:b/>
      <w:bCs/>
      <w:sz w:val="30"/>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spacing w:line="240" w:lineRule="auto"/>
      <w:ind w:firstLine="420" w:firstLineChars="0"/>
      <w:textAlignment w:val="baseline"/>
    </w:pPr>
    <w:rPr>
      <w:rFonts w:ascii="宋体" w:eastAsia="宋体"/>
      <w:kern w:val="0"/>
      <w:sz w:val="20"/>
      <w:szCs w:val="20"/>
    </w:rPr>
  </w:style>
  <w:style w:type="paragraph" w:styleId="6">
    <w:name w:val="Document Map"/>
    <w:basedOn w:val="1"/>
    <w:link w:val="27"/>
    <w:qFormat/>
    <w:uiPriority w:val="0"/>
    <w:rPr>
      <w:rFonts w:ascii="宋体" w:eastAsia="宋体"/>
      <w:sz w:val="18"/>
      <w:szCs w:val="18"/>
    </w:rPr>
  </w:style>
  <w:style w:type="paragraph" w:styleId="7">
    <w:name w:val="annotation text"/>
    <w:basedOn w:val="1"/>
    <w:qFormat/>
    <w:uiPriority w:val="0"/>
    <w:pPr>
      <w:jc w:val="left"/>
    </w:pPr>
  </w:style>
  <w:style w:type="paragraph" w:styleId="8">
    <w:name w:val="Body Text Indent"/>
    <w:basedOn w:val="1"/>
    <w:link w:val="29"/>
    <w:qFormat/>
    <w:uiPriority w:val="0"/>
    <w:pPr>
      <w:spacing w:after="120" w:line="240" w:lineRule="auto"/>
      <w:ind w:left="420" w:leftChars="200" w:firstLine="0" w:firstLineChars="0"/>
    </w:pPr>
    <w:rPr>
      <w:rFonts w:eastAsia="宋体"/>
      <w:sz w:val="21"/>
    </w:rPr>
  </w:style>
  <w:style w:type="paragraph" w:styleId="9">
    <w:name w:val="toc 3"/>
    <w:basedOn w:val="1"/>
    <w:next w:val="1"/>
    <w:qFormat/>
    <w:uiPriority w:val="39"/>
    <w:pPr>
      <w:tabs>
        <w:tab w:val="right" w:leader="dot" w:pos="8364"/>
      </w:tabs>
      <w:spacing w:line="560" w:lineRule="exact"/>
      <w:ind w:left="960" w:leftChars="178" w:right="468" w:rightChars="195" w:hanging="533" w:hangingChars="222"/>
    </w:pPr>
  </w:style>
  <w:style w:type="paragraph" w:styleId="10">
    <w:name w:val="Plain Text"/>
    <w:basedOn w:val="1"/>
    <w:qFormat/>
    <w:uiPriority w:val="0"/>
    <w:pPr>
      <w:spacing w:line="240" w:lineRule="auto"/>
      <w:ind w:firstLine="0" w:firstLineChars="0"/>
    </w:pPr>
    <w:rPr>
      <w:rFonts w:ascii="宋体" w:hAnsi="Courier New" w:eastAsia="宋体"/>
      <w:sz w:val="21"/>
      <w:szCs w:val="20"/>
    </w:rPr>
  </w:style>
  <w:style w:type="paragraph" w:styleId="11">
    <w:name w:val="Date"/>
    <w:basedOn w:val="1"/>
    <w:next w:val="1"/>
    <w:link w:val="50"/>
    <w:qFormat/>
    <w:uiPriority w:val="0"/>
    <w:pPr>
      <w:ind w:left="1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style>
  <w:style w:type="paragraph" w:styleId="16">
    <w:name w:val="Subtitle"/>
    <w:basedOn w:val="1"/>
    <w:next w:val="1"/>
    <w:link w:val="28"/>
    <w:qFormat/>
    <w:uiPriority w:val="0"/>
    <w:pPr>
      <w:spacing w:before="240" w:after="60" w:line="312" w:lineRule="auto"/>
      <w:jc w:val="center"/>
      <w:outlineLvl w:val="1"/>
    </w:pPr>
    <w:rPr>
      <w:rFonts w:ascii="Cambria" w:hAnsi="Cambria" w:eastAsia="宋体"/>
      <w:b/>
      <w:bCs/>
      <w:kern w:val="28"/>
      <w:sz w:val="32"/>
      <w:szCs w:val="32"/>
    </w:rPr>
  </w:style>
  <w:style w:type="paragraph" w:styleId="17">
    <w:name w:val="Body Text Indent 3"/>
    <w:basedOn w:val="1"/>
    <w:link w:val="37"/>
    <w:unhideWhenUsed/>
    <w:qFormat/>
    <w:uiPriority w:val="99"/>
    <w:pPr>
      <w:spacing w:after="120"/>
      <w:ind w:left="420" w:leftChars="200"/>
    </w:pPr>
    <w:rPr>
      <w:kern w:val="0"/>
      <w:sz w:val="16"/>
      <w:szCs w:val="16"/>
    </w:rPr>
  </w:style>
  <w:style w:type="paragraph" w:styleId="18">
    <w:name w:val="toc 2"/>
    <w:basedOn w:val="1"/>
    <w:next w:val="1"/>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Title"/>
    <w:basedOn w:val="1"/>
    <w:next w:val="1"/>
    <w:qFormat/>
    <w:uiPriority w:val="0"/>
    <w:pPr>
      <w:spacing w:before="240" w:after="60"/>
      <w:jc w:val="center"/>
      <w:outlineLvl w:val="0"/>
    </w:pPr>
    <w:rPr>
      <w:rFonts w:ascii="Cambria" w:hAnsi="Cambria" w:eastAsia="宋体"/>
      <w:b/>
      <w:bCs/>
      <w:sz w:val="32"/>
      <w:szCs w:val="32"/>
    </w:rPr>
  </w:style>
  <w:style w:type="paragraph" w:styleId="21">
    <w:name w:val="annotation subject"/>
    <w:basedOn w:val="7"/>
    <w:next w:val="7"/>
    <w:qFormat/>
    <w:uiPriority w:val="0"/>
    <w:rPr>
      <w:b/>
      <w:bCs/>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styleId="26">
    <w:name w:val="annotation reference"/>
    <w:basedOn w:val="23"/>
    <w:qFormat/>
    <w:uiPriority w:val="0"/>
    <w:rPr>
      <w:sz w:val="21"/>
      <w:szCs w:val="21"/>
    </w:rPr>
  </w:style>
  <w:style w:type="character" w:customStyle="1" w:styleId="27">
    <w:name w:val="文档结构图 Char"/>
    <w:basedOn w:val="23"/>
    <w:link w:val="6"/>
    <w:qFormat/>
    <w:uiPriority w:val="0"/>
    <w:rPr>
      <w:rFonts w:ascii="宋体"/>
      <w:kern w:val="2"/>
      <w:sz w:val="18"/>
      <w:szCs w:val="18"/>
    </w:rPr>
  </w:style>
  <w:style w:type="character" w:customStyle="1" w:styleId="28">
    <w:name w:val="副标题 Char"/>
    <w:basedOn w:val="23"/>
    <w:link w:val="16"/>
    <w:qFormat/>
    <w:uiPriority w:val="0"/>
    <w:rPr>
      <w:rFonts w:ascii="Cambria" w:hAnsi="Cambria" w:cs="Times New Roman"/>
      <w:b/>
      <w:bCs/>
      <w:kern w:val="28"/>
      <w:sz w:val="32"/>
      <w:szCs w:val="32"/>
    </w:rPr>
  </w:style>
  <w:style w:type="character" w:customStyle="1" w:styleId="29">
    <w:name w:val="正文文本缩进 Char"/>
    <w:basedOn w:val="23"/>
    <w:link w:val="8"/>
    <w:qFormat/>
    <w:uiPriority w:val="0"/>
    <w:rPr>
      <w:rFonts w:eastAsia="宋体"/>
      <w:kern w:val="2"/>
      <w:sz w:val="21"/>
      <w:szCs w:val="24"/>
      <w:lang w:val="en-US" w:eastAsia="zh-CN" w:bidi="ar-SA"/>
    </w:rPr>
  </w:style>
  <w:style w:type="paragraph" w:customStyle="1" w:styleId="30">
    <w:name w:val="样式 标题 1 + 段前: 1 行 段后: 1 行"/>
    <w:basedOn w:val="2"/>
    <w:qFormat/>
    <w:uiPriority w:val="0"/>
    <w:rPr>
      <w:rFonts w:cs="宋体"/>
      <w:szCs w:val="20"/>
    </w:rPr>
  </w:style>
  <w:style w:type="paragraph" w:customStyle="1" w:styleId="31">
    <w:name w:val="正文文字缩进"/>
    <w:basedOn w:val="1"/>
    <w:qFormat/>
    <w:uiPriority w:val="0"/>
    <w:pPr>
      <w:spacing w:line="240" w:lineRule="auto"/>
      <w:ind w:firstLine="630" w:firstLineChars="0"/>
    </w:pPr>
    <w:rPr>
      <w:rFonts w:eastAsia="宋体"/>
      <w:sz w:val="32"/>
      <w:szCs w:val="20"/>
    </w:rPr>
  </w:style>
  <w:style w:type="paragraph" w:customStyle="1" w:styleId="32">
    <w:name w:val="样式 首行缩进:  2 字符"/>
    <w:basedOn w:val="1"/>
    <w:qFormat/>
    <w:uiPriority w:val="0"/>
    <w:pPr>
      <w:ind w:firstLine="480"/>
    </w:pPr>
    <w:rPr>
      <w:rFonts w:cs="宋体"/>
      <w:szCs w:val="20"/>
    </w:rPr>
  </w:style>
  <w:style w:type="paragraph" w:customStyle="1" w:styleId="33">
    <w:name w:val="样式7"/>
    <w:basedOn w:val="1"/>
    <w:qFormat/>
    <w:uiPriority w:val="0"/>
    <w:pPr>
      <w:ind w:firstLine="567"/>
    </w:pPr>
    <w:rPr>
      <w:rFonts w:ascii="仿宋_GB2312" w:eastAsia="仿宋_GB2312"/>
      <w:sz w:val="28"/>
      <w:lang w:val="zh-CN"/>
    </w:rPr>
  </w:style>
  <w:style w:type="paragraph" w:customStyle="1" w:styleId="34">
    <w:name w:val="Char1"/>
    <w:basedOn w:val="1"/>
    <w:qFormat/>
    <w:uiPriority w:val="0"/>
    <w:pPr>
      <w:spacing w:line="240" w:lineRule="auto"/>
      <w:ind w:firstLine="0" w:firstLineChars="0"/>
    </w:pPr>
    <w:rPr>
      <w:rFonts w:ascii="Tahoma" w:hAnsi="Tahoma" w:eastAsia="宋体"/>
      <w:szCs w:val="20"/>
    </w:rPr>
  </w:style>
  <w:style w:type="paragraph" w:customStyle="1" w:styleId="35">
    <w:name w:val="报告正文 Char"/>
    <w:basedOn w:val="1"/>
    <w:qFormat/>
    <w:uiPriority w:val="0"/>
    <w:pPr>
      <w:spacing w:line="336" w:lineRule="auto"/>
      <w:ind w:left="2603"/>
    </w:pPr>
    <w:rPr>
      <w:rFonts w:ascii="华文细黑" w:eastAsia="华文细黑" w:cs="宋体"/>
      <w:sz w:val="22"/>
    </w:rPr>
  </w:style>
  <w:style w:type="character" w:customStyle="1" w:styleId="36">
    <w:name w:val="正文文本缩进 3 Char"/>
    <w:basedOn w:val="23"/>
    <w:qFormat/>
    <w:uiPriority w:val="99"/>
    <w:rPr>
      <w:rFonts w:eastAsia="Times New Roman"/>
      <w:sz w:val="16"/>
      <w:szCs w:val="16"/>
    </w:rPr>
  </w:style>
  <w:style w:type="character" w:customStyle="1" w:styleId="37">
    <w:name w:val="正文文本缩进 3 Char1"/>
    <w:basedOn w:val="23"/>
    <w:link w:val="17"/>
    <w:qFormat/>
    <w:uiPriority w:val="0"/>
    <w:rPr>
      <w:rFonts w:eastAsia="Times New Roman"/>
      <w:kern w:val="2"/>
      <w:sz w:val="16"/>
      <w:szCs w:val="16"/>
    </w:rPr>
  </w:style>
  <w:style w:type="paragraph" w:customStyle="1" w:styleId="38">
    <w:name w:val="列出段落1"/>
    <w:basedOn w:val="1"/>
    <w:unhideWhenUsed/>
    <w:qFormat/>
    <w:uiPriority w:val="99"/>
    <w:pPr>
      <w:ind w:firstLine="420"/>
    </w:pPr>
  </w:style>
  <w:style w:type="paragraph" w:customStyle="1" w:styleId="39">
    <w:name w:val="zw"/>
    <w:basedOn w:val="1"/>
    <w:qFormat/>
    <w:uiPriority w:val="0"/>
    <w:pPr>
      <w:autoSpaceDE w:val="0"/>
      <w:autoSpaceDN w:val="0"/>
      <w:adjustRightInd w:val="0"/>
      <w:ind w:firstLine="482" w:firstLineChars="0"/>
      <w:textAlignment w:val="bottom"/>
    </w:pPr>
    <w:rPr>
      <w:rFonts w:ascii="Arial Narrow" w:hAnsi="Arial Narrow" w:eastAsia="幼圆"/>
      <w:kern w:val="0"/>
      <w:szCs w:val="20"/>
    </w:rPr>
  </w:style>
  <w:style w:type="paragraph" w:customStyle="1" w:styleId="40">
    <w:name w:val="列出段落11"/>
    <w:basedOn w:val="1"/>
    <w:unhideWhenUsed/>
    <w:qFormat/>
    <w:uiPriority w:val="99"/>
    <w:pPr>
      <w:ind w:firstLine="420"/>
    </w:pPr>
  </w:style>
  <w:style w:type="character" w:customStyle="1" w:styleId="41">
    <w:name w:val="标题 2 Char"/>
    <w:link w:val="3"/>
    <w:qFormat/>
    <w:uiPriority w:val="0"/>
    <w:rPr>
      <w:b/>
      <w:bCs/>
      <w:sz w:val="32"/>
      <w:szCs w:val="32"/>
    </w:rPr>
  </w:style>
  <w:style w:type="character" w:customStyle="1" w:styleId="42">
    <w:name w:val="font21"/>
    <w:basedOn w:val="23"/>
    <w:qFormat/>
    <w:uiPriority w:val="0"/>
    <w:rPr>
      <w:rFonts w:hint="eastAsia" w:ascii="宋体" w:hAnsi="宋体" w:eastAsia="宋体" w:cs="宋体"/>
      <w:b/>
      <w:color w:val="000000"/>
      <w:sz w:val="20"/>
      <w:szCs w:val="20"/>
      <w:u w:val="none"/>
      <w:vertAlign w:val="superscript"/>
    </w:rPr>
  </w:style>
  <w:style w:type="character" w:customStyle="1" w:styleId="43">
    <w:name w:val="font51"/>
    <w:basedOn w:val="23"/>
    <w:qFormat/>
    <w:uiPriority w:val="0"/>
    <w:rPr>
      <w:rFonts w:hint="default" w:ascii="Arial Narrow" w:hAnsi="Arial Narrow" w:eastAsia="Arial Narrow" w:cs="Arial Narrow"/>
      <w:color w:val="000000"/>
      <w:sz w:val="20"/>
      <w:szCs w:val="20"/>
      <w:u w:val="none"/>
    </w:rPr>
  </w:style>
  <w:style w:type="character" w:customStyle="1" w:styleId="44">
    <w:name w:val="font01"/>
    <w:basedOn w:val="23"/>
    <w:qFormat/>
    <w:uiPriority w:val="0"/>
    <w:rPr>
      <w:rFonts w:hint="eastAsia" w:ascii="宋体" w:hAnsi="宋体" w:eastAsia="宋体"/>
      <w:color w:val="000000"/>
      <w:sz w:val="20"/>
      <w:szCs w:val="20"/>
      <w:u w:val="none"/>
    </w:rPr>
  </w:style>
  <w:style w:type="character" w:customStyle="1" w:styleId="45">
    <w:name w:val="font71"/>
    <w:basedOn w:val="23"/>
    <w:qFormat/>
    <w:uiPriority w:val="0"/>
    <w:rPr>
      <w:rFonts w:hint="default" w:ascii="Arial Narrow" w:hAnsi="Arial Narrow"/>
      <w:color w:val="000000"/>
      <w:sz w:val="20"/>
      <w:szCs w:val="20"/>
      <w:u w:val="none"/>
    </w:rPr>
  </w:style>
  <w:style w:type="paragraph" w:customStyle="1" w:styleId="46">
    <w:name w:val="列出段落2"/>
    <w:basedOn w:val="1"/>
    <w:unhideWhenUsed/>
    <w:qFormat/>
    <w:uiPriority w:val="99"/>
    <w:pPr>
      <w:ind w:firstLine="420"/>
    </w:pPr>
  </w:style>
  <w:style w:type="character" w:customStyle="1" w:styleId="47">
    <w:name w:val="font31"/>
    <w:basedOn w:val="23"/>
    <w:qFormat/>
    <w:uiPriority w:val="0"/>
    <w:rPr>
      <w:rFonts w:hint="default" w:ascii="Times New Roman" w:hAnsi="Times New Roman" w:cs="Times New Roman"/>
      <w:b/>
      <w:bCs/>
      <w:color w:val="000000"/>
      <w:sz w:val="18"/>
      <w:szCs w:val="18"/>
      <w:u w:val="none"/>
    </w:rPr>
  </w:style>
  <w:style w:type="character" w:customStyle="1" w:styleId="48">
    <w:name w:val="font61"/>
    <w:basedOn w:val="23"/>
    <w:qFormat/>
    <w:uiPriority w:val="0"/>
    <w:rPr>
      <w:rFonts w:hint="default" w:ascii="Times New Roman" w:hAnsi="Times New Roman" w:cs="Times New Roman"/>
      <w:b/>
      <w:bCs/>
      <w:color w:val="000000"/>
      <w:sz w:val="18"/>
      <w:szCs w:val="18"/>
      <w:u w:val="none"/>
    </w:rPr>
  </w:style>
  <w:style w:type="character" w:customStyle="1" w:styleId="49">
    <w:name w:val="font11"/>
    <w:basedOn w:val="23"/>
    <w:qFormat/>
    <w:uiPriority w:val="0"/>
    <w:rPr>
      <w:rFonts w:hint="eastAsia" w:ascii="宋体" w:hAnsi="宋体" w:eastAsia="宋体" w:cs="宋体"/>
      <w:color w:val="000000"/>
      <w:sz w:val="18"/>
      <w:szCs w:val="18"/>
      <w:u w:val="none"/>
    </w:rPr>
  </w:style>
  <w:style w:type="character" w:customStyle="1" w:styleId="50">
    <w:name w:val="日期 Char"/>
    <w:basedOn w:val="23"/>
    <w:link w:val="11"/>
    <w:qFormat/>
    <w:uiPriority w:val="0"/>
    <w:rPr>
      <w:rFonts w:eastAsia="Times New Roman"/>
      <w:kern w:val="2"/>
      <w:sz w:val="24"/>
      <w:szCs w:val="24"/>
    </w:rPr>
  </w:style>
  <w:style w:type="paragraph" w:styleId="51">
    <w:name w:val="List Paragraph"/>
    <w:basedOn w:val="1"/>
    <w:qFormat/>
    <w:uiPriority w:val="99"/>
    <w:pPr>
      <w:ind w:firstLine="420"/>
    </w:pPr>
  </w:style>
  <w:style w:type="character" w:customStyle="1" w:styleId="52">
    <w:name w:val="font112"/>
    <w:basedOn w:val="23"/>
    <w:uiPriority w:val="0"/>
    <w:rPr>
      <w:rFonts w:hint="default" w:ascii="Times New Roman" w:hAnsi="Times New Roman" w:cs="Times New Roman"/>
      <w:b/>
      <w:color w:val="000000"/>
      <w:sz w:val="18"/>
      <w:szCs w:val="18"/>
      <w:u w:val="none"/>
    </w:rPr>
  </w:style>
  <w:style w:type="character" w:customStyle="1" w:styleId="53">
    <w:name w:val="font101"/>
    <w:basedOn w:val="23"/>
    <w:qFormat/>
    <w:uiPriority w:val="0"/>
    <w:rPr>
      <w:rFonts w:hint="default" w:ascii="Times New Roman" w:hAnsi="Times New Roman" w:cs="Times New Roman"/>
      <w:b/>
      <w:color w:val="000000"/>
      <w:sz w:val="18"/>
      <w:szCs w:val="18"/>
      <w:u w:val="none"/>
    </w:rPr>
  </w:style>
  <w:style w:type="character" w:customStyle="1" w:styleId="54">
    <w:name w:val="font41"/>
    <w:basedOn w:val="23"/>
    <w:uiPriority w:val="0"/>
    <w:rPr>
      <w:rFonts w:hint="eastAsia" w:ascii="宋体" w:hAnsi="宋体" w:eastAsia="宋体" w:cs="宋体"/>
      <w:b/>
      <w:color w:val="000000"/>
      <w:sz w:val="18"/>
      <w:szCs w:val="18"/>
      <w:u w:val="none"/>
    </w:rPr>
  </w:style>
  <w:style w:type="character" w:customStyle="1" w:styleId="55">
    <w:name w:val="font111"/>
    <w:basedOn w:val="23"/>
    <w:uiPriority w:val="0"/>
    <w:rPr>
      <w:rFonts w:hint="default" w:ascii="Times New Roman" w:hAnsi="Times New Roman" w:cs="Times New Roman"/>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9.jpe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jpeg"/><Relationship Id="rId17" Type="http://schemas.openxmlformats.org/officeDocument/2006/relationships/image" Target="media/image1.wmf"/><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Info spid="_x0000_s409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84A0A-801A-47A8-8CF2-F9553C29A9FC}">
  <ds:schemaRefs/>
</ds:datastoreItem>
</file>

<file path=docProps/app.xml><?xml version="1.0" encoding="utf-8"?>
<Properties xmlns="http://schemas.openxmlformats.org/officeDocument/2006/extended-properties" xmlns:vt="http://schemas.openxmlformats.org/officeDocument/2006/docPropsVTypes">
  <Template>Normal.dotm</Template>
  <Company>wuyalin</Company>
  <Pages>28</Pages>
  <Words>2572</Words>
  <Characters>14661</Characters>
  <Lines>122</Lines>
  <Paragraphs>34</Paragraphs>
  <TotalTime>123</TotalTime>
  <ScaleCrop>false</ScaleCrop>
  <LinksUpToDate>false</LinksUpToDate>
  <CharactersWithSpaces>17199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2018-03-21T01:41:00Z</dcterms:created>
  <dc:creator>吴亚琳</dc:creator>
  <cp:lastModifiedBy>鱼目珍珠☞</cp:lastModifiedBy>
  <cp:lastPrinted>2019-12-20T02:06:09Z</cp:lastPrinted>
  <dcterms:modified xsi:type="dcterms:W3CDTF">2019-12-20T02:25:07Z</dcterms:modified>
  <dc:title>×××公司×××项目资产评估报告书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