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left"/>
        <w:rPr>
          <w:rFonts w:ascii="仿宋_GB2312" w:hAnsi="仿宋_GB2312" w:eastAsia="仿宋_GB2312" w:cs="仿宋_GB2312"/>
          <w:b/>
          <w:bCs/>
          <w:color w:val="C3AD72"/>
          <w:sz w:val="52"/>
          <w:szCs w:val="52"/>
        </w:rPr>
      </w:pPr>
      <w:bookmarkStart w:id="0" w:name="PO_0"/>
      <w:r>
        <w:rPr>
          <w:rFonts w:hint="eastAsia" w:ascii="仿宋_GB2312" w:hAnsi="仿宋_GB2312" w:eastAsia="仿宋_GB2312" w:cs="仿宋_GB2312"/>
          <w:b/>
          <w:bCs/>
          <w:color w:val="C3AD72"/>
          <w:sz w:val="52"/>
          <w:szCs w:val="52"/>
        </w:rPr>
        <w:t xml:space="preserve">   </w:t>
      </w:r>
    </w:p>
    <w:p>
      <w:pPr>
        <w:adjustRightInd w:val="0"/>
        <w:snapToGrid w:val="0"/>
        <w:spacing w:line="300" w:lineRule="auto"/>
        <w:jc w:val="center"/>
        <w:rPr>
          <w:rFonts w:ascii="仿宋_GB2312" w:hAnsi="仿宋_GB2312" w:eastAsia="仿宋_GB2312" w:cs="仿宋_GB2312"/>
          <w:b/>
          <w:bCs/>
          <w:color w:val="C3AD72"/>
          <w:sz w:val="52"/>
          <w:szCs w:val="52"/>
        </w:rPr>
      </w:pPr>
    </w:p>
    <w:p>
      <w:pPr>
        <w:adjustRightInd w:val="0"/>
        <w:snapToGrid w:val="0"/>
        <w:spacing w:line="300" w:lineRule="auto"/>
        <w:jc w:val="center"/>
        <w:rPr>
          <w:rFonts w:ascii="仿宋_GB2312" w:hAnsi="仿宋_GB2312" w:eastAsia="仿宋_GB2312" w:cs="仿宋_GB2312"/>
          <w:b/>
          <w:bCs/>
          <w:color w:val="C3AD72"/>
          <w:sz w:val="52"/>
          <w:szCs w:val="52"/>
        </w:rPr>
      </w:pPr>
      <w:r>
        <w:rPr>
          <w:rFonts w:hint="eastAsia" w:ascii="仿宋_GB2312" w:hAnsi="仿宋_GB2312" w:eastAsia="仿宋_GB2312" w:cs="仿宋_GB2312"/>
          <w:b/>
          <w:bCs/>
          <w:color w:val="C3AD72"/>
          <w:sz w:val="52"/>
          <w:szCs w:val="52"/>
        </w:rPr>
        <w:t>房地产估价报告</w:t>
      </w:r>
    </w:p>
    <w:p>
      <w:pPr>
        <w:adjustRightInd w:val="0"/>
        <w:snapToGrid w:val="0"/>
        <w:spacing w:line="300" w:lineRule="auto"/>
        <w:rPr>
          <w:rFonts w:ascii="仿宋_GB2312" w:hAnsi="仿宋_GB2312" w:eastAsia="仿宋_GB2312" w:cs="仿宋_GB2312"/>
          <w:b/>
          <w:color w:val="000000"/>
          <w:sz w:val="28"/>
          <w:szCs w:val="28"/>
        </w:rPr>
      </w:pPr>
    </w:p>
    <w:p>
      <w:pPr>
        <w:adjustRightInd w:val="0"/>
        <w:snapToGrid w:val="0"/>
        <w:spacing w:line="600" w:lineRule="exact"/>
        <w:rPr>
          <w:rFonts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w:t>
      </w:r>
      <w:r>
        <w:rPr>
          <w:rFonts w:hint="eastAsia" w:ascii="仿宋_GB2312" w:hAnsi="仿宋_GB2312" w:eastAsia="仿宋_GB2312" w:cs="仿宋_GB2312"/>
          <w:b/>
          <w:sz w:val="28"/>
          <w:szCs w:val="28"/>
        </w:rPr>
        <w:t>报告编号</w:t>
      </w:r>
      <w:r>
        <w:rPr>
          <w:rFonts w:hint="eastAsia" w:ascii="仿宋_GB2312" w:hAnsi="仿宋_GB2312" w:eastAsia="仿宋_GB2312" w:cs="仿宋_GB2312"/>
          <w:sz w:val="28"/>
          <w:szCs w:val="28"/>
        </w:rPr>
        <w:t>：</w:t>
      </w:r>
    </w:p>
    <w:p>
      <w:pPr>
        <w:pStyle w:val="7"/>
        <w:spacing w:line="60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新德旺房估字第201904048号</w:t>
      </w:r>
    </w:p>
    <w:p>
      <w:pPr>
        <w:adjustRightInd w:val="0"/>
        <w:snapToGrid w:val="0"/>
        <w:spacing w:line="600" w:lineRule="exac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估价项目名称：</w:t>
      </w:r>
    </w:p>
    <w:p>
      <w:pPr>
        <w:adjustRightInd w:val="0"/>
        <w:snapToGrid w:val="0"/>
        <w:spacing w:line="600" w:lineRule="exact"/>
        <w:ind w:firstLine="562" w:firstLineChars="200"/>
        <w:rPr>
          <w:rFonts w:ascii="仿宋_GB2312" w:eastAsia="仿宋_GB2312"/>
          <w:b/>
          <w:sz w:val="28"/>
          <w:szCs w:val="28"/>
        </w:rPr>
      </w:pPr>
      <w:r>
        <w:rPr>
          <w:rFonts w:hint="eastAsia" w:ascii="仿宋_GB2312" w:eastAsia="仿宋_GB2312"/>
          <w:b/>
          <w:sz w:val="28"/>
          <w:szCs w:val="28"/>
          <w:lang w:eastAsia="zh-CN"/>
        </w:rPr>
        <w:t>刘诚静、王向燕位于新疆维吾尔自治区巴音郭楞蒙古自治州和硕县龙驹商业小区2号楼3单元2右、库尔勒新城辖区铁克其路13号龙腾居3栋12层2单元1201室2套住宅房地产价值的评估</w:t>
      </w:r>
      <w:r>
        <w:rPr>
          <w:rFonts w:hint="eastAsia" w:ascii="仿宋_GB2312" w:eastAsia="仿宋_GB2312"/>
          <w:b/>
          <w:sz w:val="28"/>
          <w:szCs w:val="28"/>
        </w:rPr>
        <w:t xml:space="preserve">   </w:t>
      </w:r>
    </w:p>
    <w:p>
      <w:pPr>
        <w:adjustRightInd w:val="0"/>
        <w:snapToGrid w:val="0"/>
        <w:spacing w:line="600" w:lineRule="exact"/>
        <w:rPr>
          <w:rFonts w:ascii="仿宋_GB2312" w:hAnsi="仿宋_GB2312" w:eastAsia="仿宋_GB2312" w:cs="仿宋_GB2312"/>
          <w:b/>
          <w:color w:val="000000"/>
          <w:sz w:val="28"/>
          <w:szCs w:val="28"/>
        </w:rPr>
      </w:pPr>
      <w:r>
        <w:rPr>
          <w:rFonts w:hint="eastAsia" w:ascii="仿宋_GB2312" w:eastAsia="仿宋_GB2312"/>
          <w:b/>
          <w:sz w:val="28"/>
          <w:szCs w:val="28"/>
        </w:rPr>
        <w:t xml:space="preserve"> </w:t>
      </w: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估价委托人：</w:t>
      </w:r>
    </w:p>
    <w:p>
      <w:pPr>
        <w:adjustRightInd w:val="0"/>
        <w:snapToGrid w:val="0"/>
        <w:spacing w:line="600" w:lineRule="exact"/>
        <w:ind w:firstLine="562" w:firstLineChars="200"/>
        <w:rPr>
          <w:rFonts w:ascii="仿宋_GB2312" w:hAnsi="仿宋_GB2312" w:eastAsia="仿宋_GB2312" w:cs="仿宋_GB2312"/>
          <w:sz w:val="28"/>
          <w:szCs w:val="28"/>
        </w:rPr>
      </w:pPr>
      <w:r>
        <w:rPr>
          <w:rFonts w:hint="eastAsia" w:ascii="仿宋_GB2312" w:eastAsia="仿宋_GB2312"/>
          <w:b/>
          <w:sz w:val="28"/>
          <w:szCs w:val="28"/>
        </w:rPr>
        <w:t>和硕县人民法院</w:t>
      </w:r>
    </w:p>
    <w:p>
      <w:pPr>
        <w:adjustRightInd w:val="0"/>
        <w:snapToGrid w:val="0"/>
        <w:spacing w:line="600" w:lineRule="exac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房地产估价机构:</w:t>
      </w:r>
    </w:p>
    <w:p>
      <w:pPr>
        <w:adjustRightInd w:val="0"/>
        <w:snapToGrid w:val="0"/>
        <w:spacing w:line="60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kern w:val="0"/>
          <w:sz w:val="28"/>
          <w:szCs w:val="28"/>
        </w:rPr>
        <w:t>新疆德旺房地产估价事务所（有限公司）</w:t>
      </w:r>
    </w:p>
    <w:p>
      <w:pPr>
        <w:adjustRightInd w:val="0"/>
        <w:snapToGrid w:val="0"/>
        <w:spacing w:line="600" w:lineRule="exact"/>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rPr>
        <w:t>——</w:t>
      </w:r>
      <w:r>
        <w:rPr>
          <w:rFonts w:hint="eastAsia" w:ascii="仿宋_GB2312" w:hAnsi="仿宋_GB2312" w:eastAsia="仿宋_GB2312" w:cs="仿宋_GB2312"/>
          <w:b/>
          <w:bCs/>
          <w:color w:val="000000"/>
          <w:sz w:val="28"/>
          <w:szCs w:val="28"/>
        </w:rPr>
        <w:t>注册房地产估价师：</w:t>
      </w:r>
    </w:p>
    <w:p>
      <w:pPr>
        <w:adjustRightInd w:val="0"/>
        <w:snapToGrid w:val="0"/>
        <w:spacing w:line="6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陈应林（注册号:6520060035）</w:t>
      </w:r>
    </w:p>
    <w:p>
      <w:pPr>
        <w:adjustRightInd w:val="0"/>
        <w:snapToGrid w:val="0"/>
        <w:spacing w:line="6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颜洁林（注册号:6520170011）</w:t>
      </w:r>
    </w:p>
    <w:p>
      <w:pPr>
        <w:adjustRightInd w:val="0"/>
        <w:snapToGrid w:val="0"/>
        <w:spacing w:line="600" w:lineRule="exact"/>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rPr>
        <w:t>——</w:t>
      </w:r>
      <w:r>
        <w:rPr>
          <w:rFonts w:hint="eastAsia" w:ascii="仿宋_GB2312" w:hAnsi="仿宋_GB2312" w:eastAsia="仿宋_GB2312" w:cs="仿宋_GB2312"/>
          <w:b/>
          <w:bCs/>
          <w:color w:val="000000"/>
          <w:sz w:val="28"/>
          <w:szCs w:val="28"/>
        </w:rPr>
        <w:t>估价报告出具日期：</w:t>
      </w:r>
    </w:p>
    <w:p>
      <w:pPr>
        <w:adjustRightInd w:val="0"/>
        <w:snapToGrid w:val="0"/>
        <w:spacing w:line="6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二〇一九年十一月五日</w:t>
      </w:r>
    </w:p>
    <w:p>
      <w:pPr>
        <w:rPr>
          <w:rFonts w:ascii="仿宋_GB2312" w:hAnsi="仿宋_GB2312" w:eastAsia="仿宋_GB2312" w:cs="仿宋_GB2312"/>
        </w:rPr>
      </w:pPr>
      <w:r>
        <w:rPr>
          <w:rFonts w:ascii="仿宋_GB2312" w:hAnsi="仿宋_GB2312" w:eastAsia="仿宋_GB2312" w:cs="仿宋_GB2312"/>
          <w:sz w:val="13"/>
        </w:rPr>
        <w:pict>
          <v:shape id="文本框 5" o:spid="_x0000_s1028" o:spt="202" type="#_x0000_t202" style="position:absolute;left:0pt;margin-left:-3.3pt;margin-top:5.9pt;height:67.6pt;width:420pt;z-index:251658240;mso-width-relative:page;mso-height-relative:page;" coordsize="21600,21600" o:gfxdata="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bdZg1gAAAAkBAAAPAAAAAAAAAAEAIAAAACIA&#10;AABkcnMvZG93bnJldi54bWxQSwECFAAUAAAACACHTuJA+38OM0QCAAB2BAAADgAAAAAAAAABACAA&#10;AAAlAQAAZHJzL2Uyb0RvYy54bWxQSwUGAAAAAAYABgBZAQAA2wUAAAAA&#10;">
            <v:path/>
            <v:fill focussize="0,0"/>
            <v:stroke weight="0.5pt" joinstyle="round"/>
            <v:imagedata o:title=""/>
            <o:lock v:ext="edit"/>
            <v:textbox>
              <w:txbxContent>
                <w:p>
                  <w:pPr>
                    <w:numPr>
                      <w:ilvl w:val="0"/>
                      <w:numId w:val="1"/>
                    </w:numPr>
                    <w:spacing w:before="96"/>
                    <w:ind w:left="0" w:firstLine="0"/>
                    <w:rPr>
                      <w:rFonts w:ascii="微软雅黑" w:hAnsi="微软雅黑" w:eastAsia="微软雅黑" w:cs="微软雅黑"/>
                      <w:bCs/>
                      <w:sz w:val="24"/>
                      <w:szCs w:val="21"/>
                    </w:rPr>
                  </w:pPr>
                  <w:r>
                    <w:rPr>
                      <w:rFonts w:hint="eastAsia" w:ascii="微软雅黑" w:hAnsi="微软雅黑" w:eastAsia="微软雅黑" w:cs="微软雅黑"/>
                      <w:bCs/>
                      <w:sz w:val="24"/>
                      <w:szCs w:val="21"/>
                    </w:rPr>
                    <w:t xml:space="preserve">地址：乌鲁木齐市天山区东风路138号聚天大厦6F </w:t>
                  </w:r>
                </w:p>
                <w:p>
                  <w:pPr>
                    <w:numPr>
                      <w:ilvl w:val="0"/>
                      <w:numId w:val="1"/>
                    </w:numPr>
                    <w:rPr>
                      <w:rFonts w:ascii="微软雅黑" w:hAnsi="微软雅黑" w:eastAsia="微软雅黑" w:cs="微软雅黑"/>
                      <w:sz w:val="24"/>
                      <w:szCs w:val="21"/>
                    </w:rPr>
                  </w:pPr>
                  <w:r>
                    <w:rPr>
                      <w:rFonts w:hint="eastAsia" w:ascii="微软雅黑" w:hAnsi="微软雅黑" w:eastAsia="微软雅黑" w:cs="微软雅黑"/>
                      <w:bCs/>
                      <w:sz w:val="24"/>
                      <w:szCs w:val="21"/>
                    </w:rPr>
                    <w:t>联系电话/客服电话：0991-2325519</w:t>
                  </w:r>
                </w:p>
              </w:txbxContent>
            </v:textbox>
          </v:shape>
        </w:pict>
      </w:r>
    </w:p>
    <w:bookmarkEnd w:id="0"/>
    <w:p>
      <w:pPr>
        <w:rPr>
          <w:rFonts w:ascii="仿宋_GB2312" w:hAnsi="仿宋_GB2312" w:eastAsia="仿宋_GB2312" w:cs="仿宋_GB2312"/>
        </w:rPr>
      </w:pPr>
      <w:r>
        <w:rPr>
          <w:rFonts w:hint="eastAsia" w:ascii="仿宋_GB2312" w:hAnsi="仿宋_GB2312" w:eastAsia="仿宋_GB2312" w:cs="仿宋_GB2312"/>
        </w:rPr>
        <w:br w:type="page"/>
      </w:r>
    </w:p>
    <w:p>
      <w:pPr>
        <w:tabs>
          <w:tab w:val="center" w:pos="4393"/>
          <w:tab w:val="left" w:pos="6960"/>
        </w:tabs>
        <w:topLinePunct/>
        <w:adjustRightInd w:val="0"/>
        <w:snapToGrid w:val="0"/>
        <w:jc w:val="left"/>
        <w:rPr>
          <w:rFonts w:ascii="仿宋_GB2312" w:hAnsi="仿宋_GB2312" w:eastAsia="仿宋_GB2312" w:cs="仿宋_GB2312"/>
          <w:b/>
          <w:color w:val="C0AD72"/>
          <w:spacing w:val="20"/>
          <w:sz w:val="28"/>
          <w:szCs w:val="28"/>
        </w:rPr>
      </w:pPr>
      <w:bookmarkStart w:id="1" w:name="PO_1"/>
      <w:r>
        <w:rPr>
          <w:rFonts w:hint="eastAsia" w:ascii="仿宋_GB2312" w:hAnsi="仿宋_GB2312" w:eastAsia="仿宋_GB2312" w:cs="仿宋_GB2312"/>
          <w:b/>
          <w:color w:val="C0AD72"/>
          <w:spacing w:val="20"/>
          <w:sz w:val="32"/>
          <w:szCs w:val="32"/>
        </w:rPr>
        <w:tab/>
      </w:r>
      <w:r>
        <w:rPr>
          <w:rFonts w:hint="eastAsia" w:ascii="仿宋_GB2312" w:hAnsi="仿宋_GB2312" w:eastAsia="仿宋_GB2312" w:cs="仿宋_GB2312"/>
          <w:b/>
          <w:color w:val="C0AD72"/>
          <w:spacing w:val="20"/>
          <w:sz w:val="32"/>
          <w:szCs w:val="32"/>
        </w:rPr>
        <w:t>致估价委托人函</w:t>
      </w:r>
      <w:r>
        <w:rPr>
          <w:rFonts w:hint="eastAsia" w:ascii="仿宋_GB2312" w:hAnsi="仿宋_GB2312" w:eastAsia="仿宋_GB2312" w:cs="仿宋_GB2312"/>
          <w:b/>
          <w:color w:val="C0AD72"/>
          <w:spacing w:val="20"/>
          <w:sz w:val="28"/>
          <w:szCs w:val="28"/>
        </w:rPr>
        <w:tab/>
      </w:r>
    </w:p>
    <w:p>
      <w:pPr>
        <w:widowControl/>
        <w:topLinePunct/>
        <w:adjustRightInd w:val="0"/>
        <w:snapToGrid w:val="0"/>
        <w:spacing w:afterLines="200"/>
        <w:jc w:val="center"/>
        <w:rPr>
          <w:rFonts w:ascii="仿宋_GB2312" w:hAnsi="仿宋_GB2312" w:eastAsia="仿宋_GB2312" w:cs="仿宋_GB2312"/>
          <w:b/>
          <w:color w:val="C3AD72"/>
          <w:kern w:val="0"/>
          <w:sz w:val="28"/>
          <w:szCs w:val="28"/>
        </w:rPr>
      </w:pPr>
      <w:r>
        <w:rPr>
          <w:rFonts w:hint="eastAsia" w:ascii="仿宋_GB2312" w:hAnsi="仿宋_GB2312" w:eastAsia="仿宋_GB2312" w:cs="仿宋_GB2312"/>
          <w:b/>
          <w:color w:val="C3AD72"/>
          <w:kern w:val="0"/>
          <w:sz w:val="28"/>
          <w:szCs w:val="28"/>
        </w:rPr>
        <w:t>Letter of Transmittal</w:t>
      </w:r>
    </w:p>
    <w:p>
      <w:pPr>
        <w:topLinePunct/>
        <w:adjustRightInd w:val="0"/>
        <w:snapToGrid w:val="0"/>
        <w:spacing w:line="276" w:lineRule="auto"/>
        <w:rPr>
          <w:rFonts w:ascii="仿宋_GB2312" w:hAnsi="仿宋_GB2312" w:eastAsia="仿宋_GB2312" w:cs="仿宋_GB2312"/>
          <w:sz w:val="28"/>
          <w:szCs w:val="28"/>
        </w:rPr>
      </w:pPr>
      <w:bookmarkStart w:id="2" w:name="_Toc387827679"/>
      <w:bookmarkStart w:id="3" w:name="_Toc382493600"/>
      <w:bookmarkStart w:id="4" w:name="_Toc383068119"/>
      <w:bookmarkStart w:id="5" w:name="_Toc384813568"/>
      <w:bookmarkStart w:id="6" w:name="_Toc155258954"/>
      <w:r>
        <w:rPr>
          <w:rFonts w:hint="eastAsia" w:ascii="仿宋_GB2312" w:hAnsi="仿宋_GB2312" w:eastAsia="仿宋_GB2312" w:cs="仿宋_GB2312"/>
          <w:sz w:val="28"/>
          <w:szCs w:val="28"/>
        </w:rPr>
        <w:t>和硕县人民法院：</w:t>
      </w:r>
    </w:p>
    <w:p>
      <w:pPr>
        <w:topLinePunct/>
        <w:adjustRightInd w:val="0"/>
        <w:snapToGrid w:val="0"/>
        <w:spacing w:line="276"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承蒙委托，我公司组织专业估价人员对</w:t>
      </w:r>
      <w:r>
        <w:rPr>
          <w:rFonts w:hint="eastAsia" w:ascii="仿宋_GB2312" w:hAnsi="宋体" w:eastAsia="仿宋_GB2312"/>
          <w:sz w:val="28"/>
        </w:rPr>
        <w:t>刘诚静、王向燕位于新疆维吾尔自治区巴音郭楞蒙古自治州和硕县龙驹商业小区</w:t>
      </w:r>
      <w:r>
        <w:rPr>
          <w:rFonts w:hint="eastAsia" w:ascii="仿宋_GB2312" w:hAnsi="宋体" w:eastAsia="仿宋_GB2312"/>
          <w:sz w:val="28"/>
          <w:lang w:eastAsia="zh-CN"/>
        </w:rPr>
        <w:t>2号楼3单元2右、库尔勒新城辖区铁克其路13号龙腾居3栋12层2单元1201室2套住宅房地产</w:t>
      </w:r>
      <w:r>
        <w:rPr>
          <w:rFonts w:hint="eastAsia" w:ascii="仿宋_GB2312" w:hAnsi="宋体" w:eastAsia="仿宋_GB2312"/>
          <w:sz w:val="28"/>
        </w:rPr>
        <w:t>价值进行了客观</w:t>
      </w:r>
      <w:r>
        <w:rPr>
          <w:rFonts w:hint="eastAsia" w:ascii="仿宋_GB2312" w:hAnsi="宋体"/>
          <w:sz w:val="28"/>
        </w:rPr>
        <w:t>﹑</w:t>
      </w:r>
      <w:r>
        <w:rPr>
          <w:rFonts w:hint="eastAsia" w:ascii="仿宋_GB2312" w:hAnsi="宋体" w:eastAsia="仿宋_GB2312"/>
          <w:sz w:val="28"/>
        </w:rPr>
        <w:t>公正的评估</w:t>
      </w:r>
      <w:r>
        <w:rPr>
          <w:rFonts w:hint="eastAsia" w:ascii="仿宋_GB2312" w:hAnsi="仿宋_GB2312" w:eastAsia="仿宋_GB2312" w:cs="仿宋_GB2312"/>
          <w:sz w:val="28"/>
          <w:szCs w:val="28"/>
        </w:rPr>
        <w:t>。特此函告如下：</w:t>
      </w:r>
    </w:p>
    <w:p>
      <w:pPr>
        <w:pStyle w:val="11"/>
        <w:spacing w:line="4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sz w:val="28"/>
          <w:szCs w:val="28"/>
        </w:rPr>
        <w:t>一、估价目的（Appraisal Purpose）：</w:t>
      </w:r>
      <w:r>
        <w:rPr>
          <w:rFonts w:hint="eastAsia" w:ascii="仿宋_GB2312" w:hAnsi="宋体" w:eastAsia="仿宋_GB2312"/>
          <w:sz w:val="28"/>
          <w:szCs w:val="28"/>
        </w:rPr>
        <w:t>为委托方确定财产处置参考价提供价值参考依据。</w:t>
      </w:r>
    </w:p>
    <w:p>
      <w:pPr>
        <w:spacing w:line="460" w:lineRule="exact"/>
        <w:ind w:firstLine="703" w:firstLineChars="250"/>
        <w:rPr>
          <w:rFonts w:ascii="仿宋_GB2312" w:hAnsi="仿宋_GB2312" w:eastAsia="仿宋_GB2312" w:cs="仿宋_GB2312"/>
          <w:b/>
          <w:sz w:val="28"/>
          <w:szCs w:val="28"/>
        </w:rPr>
      </w:pPr>
      <w:r>
        <w:rPr>
          <w:rFonts w:hint="eastAsia" w:ascii="仿宋_GB2312" w:hAnsi="仿宋_GB2312" w:eastAsia="仿宋_GB2312" w:cs="仿宋_GB2312"/>
          <w:b/>
          <w:sz w:val="28"/>
          <w:szCs w:val="28"/>
        </w:rPr>
        <w:t>二、估价对象(Subject Property）：</w:t>
      </w:r>
    </w:p>
    <w:p>
      <w:pPr>
        <w:spacing w:line="460" w:lineRule="exact"/>
        <w:ind w:firstLine="700" w:firstLineChars="250"/>
        <w:rPr>
          <w:rFonts w:ascii="仿宋_GB2312" w:eastAsia="仿宋_GB2312"/>
          <w:sz w:val="28"/>
          <w:szCs w:val="28"/>
        </w:rPr>
      </w:pPr>
      <w:r>
        <w:rPr>
          <w:rFonts w:hint="eastAsia" w:ascii="仿宋_GB2312" w:hAnsi="仿宋_GB2312" w:eastAsia="仿宋_GB2312" w:cs="仿宋_GB2312"/>
          <w:bCs/>
          <w:sz w:val="28"/>
          <w:szCs w:val="28"/>
        </w:rPr>
        <w:t>1.估价对象范围：</w:t>
      </w:r>
      <w:r>
        <w:rPr>
          <w:rFonts w:hint="eastAsia" w:ascii="仿宋_GB2312" w:hAnsi="宋体" w:eastAsia="仿宋_GB2312"/>
          <w:sz w:val="28"/>
        </w:rPr>
        <w:t>刘诚静、王向燕名下的位于新疆维吾尔自治区巴音郭楞蒙古自治州和硕县龙驹商业小区</w:t>
      </w:r>
      <w:r>
        <w:rPr>
          <w:rFonts w:hint="eastAsia" w:ascii="仿宋_GB2312" w:hAnsi="宋体" w:eastAsia="仿宋_GB2312"/>
          <w:sz w:val="28"/>
          <w:lang w:eastAsia="zh-CN"/>
        </w:rPr>
        <w:t>2号楼3单元2右、库尔勒新城辖区铁克其路13号龙腾居3栋12层2单元1201室2套住宅房地产</w:t>
      </w:r>
      <w:r>
        <w:rPr>
          <w:rFonts w:hint="eastAsia" w:ascii="仿宋_GB2312" w:hAnsi="宋体" w:eastAsia="仿宋_GB2312"/>
          <w:sz w:val="28"/>
        </w:rPr>
        <w:t>，本次评估范围</w:t>
      </w:r>
      <w:r>
        <w:rPr>
          <w:rFonts w:hint="eastAsia" w:ascii="仿宋_GB2312" w:hAnsi="宋体" w:eastAsia="仿宋_GB2312"/>
          <w:sz w:val="28"/>
          <w:szCs w:val="28"/>
        </w:rPr>
        <w:t>包括国有土地使用权价值和与房屋有关的土建、安装、二次装修、室外附属工程价值，不包括可移动的家具、电器等物品价值，不包含债权债务等其他财产或者权益。</w:t>
      </w:r>
    </w:p>
    <w:p>
      <w:pPr>
        <w:spacing w:line="460" w:lineRule="exact"/>
        <w:ind w:firstLine="700" w:firstLineChars="2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2.估价对象基本状况详见下表（表1）</w:t>
      </w:r>
    </w:p>
    <w:p>
      <w:pPr>
        <w:spacing w:line="460" w:lineRule="exact"/>
        <w:ind w:firstLine="3220" w:firstLineChars="1150"/>
        <w:rPr>
          <w:rFonts w:ascii="仿宋_GB2312" w:hAnsi="仿宋_GB2312" w:eastAsia="仿宋_GB2312" w:cs="仿宋_GB2312"/>
          <w:bCs/>
          <w:sz w:val="28"/>
          <w:szCs w:val="28"/>
        </w:rPr>
      </w:pPr>
      <w:r>
        <w:rPr>
          <w:rFonts w:hint="eastAsia" w:ascii="仿宋_GB2312" w:hAnsi="仿宋" w:eastAsia="仿宋_GB2312"/>
          <w:bCs/>
          <w:sz w:val="28"/>
          <w:szCs w:val="28"/>
        </w:rPr>
        <w:t>估价对象状况表</w:t>
      </w:r>
      <w:r>
        <w:rPr>
          <w:rFonts w:hint="eastAsia" w:ascii="仿宋_GB2312" w:hAnsi="仿宋_GB2312" w:eastAsia="仿宋_GB2312" w:cs="仿宋_GB2312"/>
          <w:bCs/>
          <w:sz w:val="28"/>
          <w:szCs w:val="28"/>
        </w:rPr>
        <w:t>（表1）</w:t>
      </w:r>
    </w:p>
    <w:tbl>
      <w:tblPr>
        <w:tblStyle w:val="21"/>
        <w:tblW w:w="90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93"/>
        <w:gridCol w:w="1560"/>
        <w:gridCol w:w="1559"/>
        <w:gridCol w:w="1878"/>
        <w:gridCol w:w="2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房屋所有权人</w:t>
            </w:r>
          </w:p>
        </w:tc>
        <w:tc>
          <w:tcPr>
            <w:tcW w:w="7069" w:type="dxa"/>
            <w:gridSpan w:val="4"/>
            <w:vAlign w:val="center"/>
          </w:tcPr>
          <w:p>
            <w:pPr>
              <w:jc w:val="center"/>
              <w:rPr>
                <w:rFonts w:ascii="仿宋_GB2312" w:hAnsi="仿宋" w:eastAsia="仿宋_GB2312"/>
                <w:szCs w:val="21"/>
              </w:rPr>
            </w:pPr>
            <w:r>
              <w:rPr>
                <w:rFonts w:hint="eastAsia" w:ascii="仿宋_GB2312" w:hAnsi="宋体" w:eastAsia="仿宋_GB2312"/>
                <w:szCs w:val="21"/>
              </w:rPr>
              <w:t>刘诚静、王向燕（652828197701100026）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993" w:type="dxa"/>
            <w:tcBorders>
              <w:top w:val="single" w:color="auto" w:sz="4" w:space="0"/>
            </w:tcBorders>
            <w:vAlign w:val="center"/>
          </w:tcPr>
          <w:p>
            <w:pPr>
              <w:jc w:val="center"/>
              <w:rPr>
                <w:rFonts w:ascii="仿宋_GB2312" w:hAnsi="仿宋" w:eastAsia="仿宋_GB2312"/>
                <w:szCs w:val="21"/>
              </w:rPr>
            </w:pPr>
            <w:r>
              <w:rPr>
                <w:rFonts w:hint="eastAsia" w:ascii="仿宋_GB2312" w:hAnsi="仿宋" w:eastAsia="仿宋_GB2312"/>
                <w:szCs w:val="21"/>
              </w:rPr>
              <w:t>不动产权证号</w:t>
            </w:r>
          </w:p>
        </w:tc>
        <w:tc>
          <w:tcPr>
            <w:tcW w:w="7069" w:type="dxa"/>
            <w:gridSpan w:val="4"/>
            <w:tcBorders>
              <w:top w:val="single" w:color="auto" w:sz="4" w:space="0"/>
            </w:tcBorders>
            <w:vAlign w:val="center"/>
          </w:tcPr>
          <w:p>
            <w:pPr>
              <w:ind w:firstLine="420" w:firstLineChars="200"/>
              <w:jc w:val="center"/>
              <w:rPr>
                <w:rFonts w:ascii="仿宋_GB2312" w:hAnsi="仿宋" w:eastAsia="仿宋_GB2312"/>
                <w:szCs w:val="21"/>
                <w:shd w:val="clear" w:color="auto" w:fill="FFFFFF"/>
              </w:rPr>
            </w:pPr>
            <w:r>
              <w:rPr>
                <w:rFonts w:hint="eastAsia" w:ascii="仿宋_GB2312" w:hAnsi="仿宋" w:eastAsia="仿宋_GB2312"/>
                <w:szCs w:val="21"/>
                <w:shd w:val="clear" w:color="auto" w:fill="FFFFFF"/>
              </w:rPr>
              <w:t>硕房权字第20100363号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房屋坐落</w:t>
            </w:r>
          </w:p>
        </w:tc>
        <w:tc>
          <w:tcPr>
            <w:tcW w:w="7069" w:type="dxa"/>
            <w:gridSpan w:val="4"/>
            <w:vAlign w:val="center"/>
          </w:tcPr>
          <w:p>
            <w:pPr>
              <w:jc w:val="center"/>
              <w:rPr>
                <w:rFonts w:ascii="仿宋_GB2312" w:hAnsi="仿宋" w:eastAsia="仿宋_GB2312"/>
                <w:szCs w:val="21"/>
              </w:rPr>
            </w:pPr>
            <w:r>
              <w:rPr>
                <w:rFonts w:hint="eastAsia" w:ascii="仿宋_GB2312" w:hAnsi="宋体" w:eastAsia="仿宋_GB2312"/>
                <w:szCs w:val="21"/>
              </w:rPr>
              <w:t>新疆维吾尔自治区巴音郭楞蒙古自治州和硕县龙驹商业小区2号楼3-2（右）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幢号</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单元</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所在层次</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户号</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总层数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2号楼</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3单元</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2层</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2右</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4层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建筑结构</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建成年份</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用途</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建筑面积（㎡）</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共有情况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砖混</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住宅</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90.77</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共同共有</w:t>
            </w:r>
          </w:p>
        </w:tc>
      </w:tr>
    </w:tbl>
    <w:p>
      <w:pPr>
        <w:spacing w:line="440" w:lineRule="exact"/>
        <w:ind w:firstLine="3360" w:firstLineChars="1200"/>
        <w:rPr>
          <w:rFonts w:ascii="仿宋_GB2312" w:hAnsi="仿宋_GB2312" w:eastAsia="仿宋_GB2312" w:cs="仿宋_GB2312"/>
          <w:b/>
          <w:sz w:val="28"/>
          <w:szCs w:val="28"/>
        </w:rPr>
      </w:pPr>
      <w:r>
        <w:rPr>
          <w:rFonts w:hint="eastAsia" w:ascii="仿宋_GB2312" w:hAnsi="仿宋" w:eastAsia="仿宋_GB2312"/>
          <w:bCs/>
          <w:sz w:val="28"/>
          <w:szCs w:val="28"/>
        </w:rPr>
        <w:t>估价对象状况表</w:t>
      </w:r>
      <w:r>
        <w:rPr>
          <w:rFonts w:hint="eastAsia" w:ascii="仿宋_GB2312" w:hAnsi="仿宋_GB2312" w:eastAsia="仿宋_GB2312" w:cs="仿宋_GB2312"/>
          <w:bCs/>
          <w:sz w:val="28"/>
          <w:szCs w:val="28"/>
        </w:rPr>
        <w:t>（表2）</w:t>
      </w:r>
    </w:p>
    <w:tbl>
      <w:tblPr>
        <w:tblStyle w:val="21"/>
        <w:tblW w:w="90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93"/>
        <w:gridCol w:w="1560"/>
        <w:gridCol w:w="1559"/>
        <w:gridCol w:w="1878"/>
        <w:gridCol w:w="2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房屋所有权人</w:t>
            </w:r>
          </w:p>
        </w:tc>
        <w:tc>
          <w:tcPr>
            <w:tcW w:w="7069" w:type="dxa"/>
            <w:gridSpan w:val="4"/>
            <w:vAlign w:val="center"/>
          </w:tcPr>
          <w:p>
            <w:pPr>
              <w:jc w:val="center"/>
              <w:rPr>
                <w:rFonts w:ascii="仿宋_GB2312" w:hAnsi="仿宋" w:eastAsia="仿宋_GB2312"/>
                <w:szCs w:val="21"/>
              </w:rPr>
            </w:pPr>
            <w:r>
              <w:rPr>
                <w:rFonts w:hint="eastAsia" w:ascii="仿宋_GB2312" w:hAnsi="宋体" w:eastAsia="仿宋_GB2312"/>
                <w:szCs w:val="21"/>
              </w:rPr>
              <w:t>刘诚静、王向燕（652828197701100026）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993" w:type="dxa"/>
            <w:tcBorders>
              <w:top w:val="single" w:color="auto" w:sz="4" w:space="0"/>
            </w:tcBorders>
            <w:vAlign w:val="center"/>
          </w:tcPr>
          <w:p>
            <w:pPr>
              <w:jc w:val="center"/>
              <w:rPr>
                <w:rFonts w:ascii="仿宋_GB2312" w:hAnsi="仿宋" w:eastAsia="仿宋_GB2312"/>
                <w:szCs w:val="21"/>
              </w:rPr>
            </w:pPr>
            <w:r>
              <w:rPr>
                <w:rFonts w:hint="eastAsia" w:ascii="仿宋_GB2312" w:hAnsi="仿宋" w:eastAsia="仿宋_GB2312"/>
                <w:szCs w:val="21"/>
              </w:rPr>
              <w:t>不动产权证号</w:t>
            </w:r>
          </w:p>
        </w:tc>
        <w:tc>
          <w:tcPr>
            <w:tcW w:w="7069" w:type="dxa"/>
            <w:gridSpan w:val="4"/>
            <w:tcBorders>
              <w:top w:val="single" w:color="auto" w:sz="4" w:space="0"/>
            </w:tcBorders>
            <w:vAlign w:val="center"/>
          </w:tcPr>
          <w:p>
            <w:pPr>
              <w:ind w:firstLine="420" w:firstLineChars="200"/>
              <w:jc w:val="center"/>
              <w:rPr>
                <w:rFonts w:ascii="仿宋_GB2312" w:hAnsi="仿宋" w:eastAsia="仿宋_GB2312"/>
                <w:szCs w:val="21"/>
                <w:shd w:val="clear" w:color="auto" w:fill="FFFFFF"/>
              </w:rPr>
            </w:pPr>
            <w:r>
              <w:rPr>
                <w:rFonts w:hint="eastAsia" w:ascii="仿宋_GB2312" w:hAnsi="仿宋" w:eastAsia="仿宋_GB2312"/>
                <w:szCs w:val="21"/>
                <w:shd w:val="clear" w:color="auto" w:fill="FFFFFF"/>
              </w:rPr>
              <w:t>库尔勒市房权证库字第2015155344号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房屋坐落</w:t>
            </w:r>
          </w:p>
        </w:tc>
        <w:tc>
          <w:tcPr>
            <w:tcW w:w="7069" w:type="dxa"/>
            <w:gridSpan w:val="4"/>
            <w:vAlign w:val="center"/>
          </w:tcPr>
          <w:p>
            <w:pPr>
              <w:jc w:val="center"/>
              <w:rPr>
                <w:rFonts w:ascii="仿宋_GB2312" w:hAnsi="仿宋" w:eastAsia="仿宋_GB2312"/>
                <w:szCs w:val="21"/>
              </w:rPr>
            </w:pPr>
            <w:r>
              <w:rPr>
                <w:rFonts w:hint="eastAsia" w:ascii="仿宋_GB2312" w:hAnsi="仿宋" w:eastAsia="仿宋_GB2312"/>
                <w:szCs w:val="21"/>
                <w:shd w:val="clear" w:color="auto" w:fill="FFFFFF"/>
              </w:rPr>
              <w:t>库尔勒新城辖区铁克其路13号龙腾居3栋12层2单元1201室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幢号</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单元</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所在层次</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户号</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总层数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3号楼</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2单元</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12层</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1201</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22层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ascii="仿宋_GB2312" w:hAnsi="仿宋" w:eastAsia="仿宋_GB2312"/>
                <w:szCs w:val="21"/>
              </w:rPr>
            </w:pPr>
            <w:r>
              <w:rPr>
                <w:rFonts w:hint="eastAsia" w:ascii="仿宋_GB2312" w:hAnsi="仿宋" w:eastAsia="仿宋_GB2312"/>
                <w:szCs w:val="21"/>
              </w:rPr>
              <w:t>建筑结构</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建成年份</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用途</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建筑面积（㎡）</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共有情况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vAlign w:val="center"/>
          </w:tcPr>
          <w:p>
            <w:pPr>
              <w:jc w:val="center"/>
              <w:rPr>
                <w:rFonts w:hint="eastAsia" w:ascii="仿宋_GB2312" w:hAnsi="仿宋" w:eastAsia="仿宋_GB2312"/>
                <w:szCs w:val="21"/>
                <w:lang w:eastAsia="zh-CN"/>
              </w:rPr>
            </w:pPr>
            <w:r>
              <w:rPr>
                <w:rFonts w:hint="eastAsia" w:ascii="仿宋_GB2312" w:hAnsi="仿宋" w:eastAsia="仿宋_GB2312"/>
                <w:szCs w:val="21"/>
                <w:lang w:val="en-US" w:eastAsia="zh-CN"/>
              </w:rPr>
              <w:t>/</w:t>
            </w:r>
          </w:p>
        </w:tc>
        <w:tc>
          <w:tcPr>
            <w:tcW w:w="1560" w:type="dxa"/>
            <w:vAlign w:val="center"/>
          </w:tcPr>
          <w:p>
            <w:pPr>
              <w:jc w:val="center"/>
              <w:rPr>
                <w:rFonts w:ascii="仿宋_GB2312" w:hAnsi="仿宋" w:eastAsia="仿宋_GB2312"/>
                <w:szCs w:val="21"/>
              </w:rPr>
            </w:pPr>
            <w:r>
              <w:rPr>
                <w:rFonts w:hint="eastAsia" w:ascii="仿宋_GB2312" w:hAnsi="仿宋" w:eastAsia="仿宋_GB2312"/>
                <w:szCs w:val="21"/>
              </w:rPr>
              <w:t>2014</w:t>
            </w:r>
          </w:p>
        </w:tc>
        <w:tc>
          <w:tcPr>
            <w:tcW w:w="1559" w:type="dxa"/>
            <w:vAlign w:val="center"/>
          </w:tcPr>
          <w:p>
            <w:pPr>
              <w:jc w:val="center"/>
              <w:rPr>
                <w:rFonts w:ascii="仿宋_GB2312" w:hAnsi="仿宋" w:eastAsia="仿宋_GB2312"/>
                <w:szCs w:val="21"/>
              </w:rPr>
            </w:pPr>
            <w:r>
              <w:rPr>
                <w:rFonts w:hint="eastAsia" w:ascii="仿宋_GB2312" w:hAnsi="仿宋" w:eastAsia="仿宋_GB2312"/>
                <w:szCs w:val="21"/>
              </w:rPr>
              <w:t>住宅</w:t>
            </w:r>
          </w:p>
        </w:tc>
        <w:tc>
          <w:tcPr>
            <w:tcW w:w="1878" w:type="dxa"/>
            <w:vAlign w:val="center"/>
          </w:tcPr>
          <w:p>
            <w:pPr>
              <w:jc w:val="center"/>
              <w:rPr>
                <w:rFonts w:ascii="仿宋_GB2312" w:hAnsi="仿宋" w:eastAsia="仿宋_GB2312"/>
                <w:szCs w:val="21"/>
              </w:rPr>
            </w:pPr>
            <w:r>
              <w:rPr>
                <w:rFonts w:hint="eastAsia" w:ascii="仿宋_GB2312" w:hAnsi="仿宋" w:eastAsia="仿宋_GB2312"/>
                <w:szCs w:val="21"/>
              </w:rPr>
              <w:t>107.96</w:t>
            </w:r>
          </w:p>
        </w:tc>
        <w:tc>
          <w:tcPr>
            <w:tcW w:w="2072" w:type="dxa"/>
            <w:vAlign w:val="center"/>
          </w:tcPr>
          <w:p>
            <w:pPr>
              <w:jc w:val="center"/>
              <w:rPr>
                <w:rFonts w:ascii="仿宋_GB2312" w:hAnsi="仿宋" w:eastAsia="仿宋_GB2312"/>
                <w:szCs w:val="21"/>
              </w:rPr>
            </w:pPr>
            <w:r>
              <w:rPr>
                <w:rFonts w:hint="eastAsia" w:ascii="仿宋_GB2312" w:hAnsi="仿宋" w:eastAsia="仿宋_GB2312"/>
                <w:szCs w:val="21"/>
              </w:rPr>
              <w:t>共同共有</w:t>
            </w:r>
          </w:p>
        </w:tc>
      </w:tr>
    </w:tbl>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b/>
          <w:sz w:val="28"/>
          <w:szCs w:val="28"/>
        </w:rPr>
        <w:t>三、价值时点（Date of Value）：</w:t>
      </w:r>
      <w:r>
        <w:rPr>
          <w:rFonts w:hint="eastAsia" w:ascii="仿宋_GB2312" w:hAnsi="宋体" w:eastAsia="仿宋_GB2312"/>
          <w:sz w:val="28"/>
          <w:szCs w:val="28"/>
        </w:rPr>
        <w:t xml:space="preserve"> 2019年10月21日（根据和硕县人民法院出具的委托书）</w:t>
      </w:r>
      <w:r>
        <w:rPr>
          <w:rFonts w:hint="eastAsia" w:ascii="仿宋_GB2312" w:hAnsi="仿宋_GB2312" w:eastAsia="仿宋_GB2312" w:cs="仿宋_GB2312"/>
          <w:sz w:val="28"/>
          <w:szCs w:val="28"/>
        </w:rPr>
        <w:t>。</w:t>
      </w:r>
    </w:p>
    <w:p>
      <w:pPr>
        <w:spacing w:line="440" w:lineRule="exact"/>
        <w:rPr>
          <w:rFonts w:ascii="仿宋_GB2312" w:eastAsia="仿宋_GB2312"/>
          <w:sz w:val="28"/>
          <w:szCs w:val="28"/>
        </w:rPr>
      </w:pPr>
      <w:r>
        <w:rPr>
          <w:rFonts w:hint="eastAsia" w:ascii="仿宋_GB2312" w:hAnsi="仿宋_GB2312" w:eastAsia="仿宋_GB2312" w:cs="仿宋_GB2312"/>
          <w:b/>
          <w:sz w:val="28"/>
          <w:szCs w:val="28"/>
        </w:rPr>
        <w:t>四、价值类型（Value Type）：</w:t>
      </w:r>
      <w:r>
        <w:rPr>
          <w:rFonts w:hint="eastAsia" w:ascii="仿宋_GB2312" w:hAnsi="宋体" w:eastAsia="仿宋_GB2312"/>
          <w:sz w:val="28"/>
          <w:szCs w:val="28"/>
        </w:rPr>
        <w:t>本次估价采用的价值标准是公开市场价值</w:t>
      </w:r>
    </w:p>
    <w:p>
      <w:pPr>
        <w:pStyle w:val="11"/>
        <w:spacing w:line="460" w:lineRule="exact"/>
        <w:ind w:firstLine="420" w:firstLineChars="150"/>
        <w:rPr>
          <w:rFonts w:ascii="仿宋_GB2312" w:hAnsi="宋体" w:eastAsia="仿宋_GB2312"/>
          <w:sz w:val="28"/>
          <w:szCs w:val="28"/>
        </w:rPr>
      </w:pPr>
      <w:r>
        <w:rPr>
          <w:rFonts w:hint="eastAsia" w:ascii="仿宋_GB2312" w:hAnsi="宋体" w:eastAsia="仿宋_GB2312"/>
          <w:sz w:val="28"/>
          <w:szCs w:val="28"/>
        </w:rPr>
        <w:t>1、价值类型及定义</w:t>
      </w:r>
    </w:p>
    <w:p>
      <w:pPr>
        <w:pStyle w:val="11"/>
        <w:spacing w:line="460" w:lineRule="exact"/>
        <w:ind w:firstLine="560" w:firstLineChars="200"/>
        <w:rPr>
          <w:rFonts w:ascii="仿宋_GB2312" w:hAnsi="宋体" w:eastAsia="仿宋_GB2312"/>
          <w:sz w:val="28"/>
          <w:szCs w:val="28"/>
        </w:rPr>
      </w:pPr>
      <w:r>
        <w:rPr>
          <w:rFonts w:hint="eastAsia" w:ascii="仿宋_GB2312" w:hAnsi="宋体" w:eastAsia="仿宋_GB2312"/>
          <w:sz w:val="28"/>
          <w:szCs w:val="28"/>
        </w:rPr>
        <w:t>本次估价结果为房地产的市场价值。市场价值是在房地产公开市场最可能形成的价格，是指估价对象在公开市场标准及满足估价的假设和限制条件下，于价值时点 2019年10月21日所具有的客观合理价值。</w:t>
      </w:r>
    </w:p>
    <w:p>
      <w:pPr>
        <w:pStyle w:val="11"/>
        <w:spacing w:line="460" w:lineRule="exact"/>
        <w:ind w:left="360"/>
        <w:rPr>
          <w:rFonts w:ascii="仿宋_GB2312" w:hAnsi="宋体" w:eastAsia="仿宋_GB2312"/>
          <w:sz w:val="28"/>
          <w:szCs w:val="28"/>
        </w:rPr>
      </w:pPr>
      <w:r>
        <w:rPr>
          <w:rFonts w:hint="eastAsia" w:ascii="仿宋_GB2312" w:hAnsi="宋体" w:eastAsia="仿宋_GB2312"/>
          <w:sz w:val="28"/>
          <w:szCs w:val="28"/>
        </w:rPr>
        <w:t>2、价值内涵</w:t>
      </w:r>
    </w:p>
    <w:p>
      <w:pPr>
        <w:tabs>
          <w:tab w:val="left" w:pos="6912"/>
        </w:tabs>
        <w:topLinePunct/>
        <w:adjustRightInd w:val="0"/>
        <w:snapToGrid w:val="0"/>
        <w:spacing w:line="276" w:lineRule="auto"/>
        <w:ind w:firstLine="560" w:firstLineChars="200"/>
        <w:rPr>
          <w:rFonts w:ascii="仿宋_GB2312" w:hAnsi="仿宋_GB2312" w:eastAsia="仿宋_GB2312" w:cs="仿宋_GB2312"/>
          <w:sz w:val="28"/>
          <w:szCs w:val="28"/>
        </w:rPr>
      </w:pPr>
      <w:r>
        <w:rPr>
          <w:rFonts w:hint="eastAsia" w:ascii="仿宋_GB2312" w:hAnsi="宋体" w:eastAsia="仿宋_GB2312"/>
          <w:sz w:val="28"/>
          <w:szCs w:val="28"/>
        </w:rPr>
        <w:t>本次估价结果包含了国有土地使用权价值和与房屋有关的土建、装修、安装及室外附属工程价值，不包括室内的动产,不包括债权债务等其他财产或者权益。</w:t>
      </w:r>
    </w:p>
    <w:p>
      <w:pPr>
        <w:tabs>
          <w:tab w:val="left" w:pos="6912"/>
        </w:tabs>
        <w:topLinePunct/>
        <w:adjustRightInd w:val="0"/>
        <w:snapToGrid w:val="0"/>
        <w:spacing w:line="50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sz w:val="28"/>
          <w:szCs w:val="28"/>
        </w:rPr>
        <w:t>五、估价方法（Appraisal Approaches）：</w:t>
      </w:r>
      <w:r>
        <w:rPr>
          <w:rFonts w:hint="eastAsia" w:ascii="仿宋_GB2312" w:hAnsi="仿宋" w:eastAsia="仿宋_GB2312" w:cs="Arial"/>
          <w:color w:val="FF0000"/>
          <w:sz w:val="28"/>
          <w:szCs w:val="28"/>
        </w:rPr>
        <w:t>比较法、收益法</w:t>
      </w:r>
    </w:p>
    <w:p>
      <w:pPr>
        <w:adjustRightInd w:val="0"/>
        <w:snapToGrid w:val="0"/>
        <w:spacing w:line="500" w:lineRule="exact"/>
        <w:ind w:firstLine="527"/>
        <w:rPr>
          <w:rFonts w:ascii="仿宋_GB2312" w:hAnsi="宋体" w:eastAsia="仿宋_GB2312"/>
          <w:sz w:val="28"/>
          <w:szCs w:val="28"/>
        </w:rPr>
      </w:pPr>
      <w:r>
        <w:rPr>
          <w:rFonts w:hint="eastAsia" w:ascii="仿宋_GB2312" w:hAnsi="仿宋_GB2312" w:eastAsia="仿宋_GB2312" w:cs="仿宋_GB2312"/>
          <w:b/>
          <w:sz w:val="28"/>
          <w:szCs w:val="28"/>
        </w:rPr>
        <w:t>六、估价结果（Final Value Opinion）：</w:t>
      </w:r>
      <w:r>
        <w:rPr>
          <w:rFonts w:hint="eastAsia" w:ascii="仿宋_GB2312" w:hAnsi="宋体" w:eastAsia="仿宋_GB2312"/>
          <w:sz w:val="28"/>
          <w:szCs w:val="28"/>
        </w:rPr>
        <w:t>估价人员根据估价目的，遵循估价原则和国家有关房地产估价的规范、规定，按照估价程序，在经过实地查勘与市场调查、核实房地产现状，经分析和选用比较法和收益法对估价对象进行了测算，并结合估价师的经验，确定估价对象在满足全部假设和限制条件下于价值时点</w:t>
      </w:r>
      <w:r>
        <w:rPr>
          <w:rFonts w:hint="eastAsia" w:ascii="仿宋_GB2312" w:hAnsi="宋体" w:eastAsia="仿宋_GB2312"/>
          <w:color w:val="FF0000"/>
          <w:sz w:val="28"/>
          <w:szCs w:val="28"/>
        </w:rPr>
        <w:t>2019年10月21日</w:t>
      </w:r>
      <w:r>
        <w:rPr>
          <w:rFonts w:hint="eastAsia" w:ascii="仿宋_GB2312" w:hAnsi="宋体" w:eastAsia="仿宋_GB2312"/>
          <w:sz w:val="28"/>
          <w:szCs w:val="28"/>
        </w:rPr>
        <w:t>的估价结果如下：（币种：人民币）</w:t>
      </w:r>
    </w:p>
    <w:tbl>
      <w:tblPr>
        <w:tblStyle w:val="21"/>
        <w:tblW w:w="7988" w:type="dxa"/>
        <w:tblInd w:w="0" w:type="dxa"/>
        <w:tblLayout w:type="autofit"/>
        <w:tblCellMar>
          <w:top w:w="0" w:type="dxa"/>
          <w:left w:w="0" w:type="dxa"/>
          <w:bottom w:w="0" w:type="dxa"/>
          <w:right w:w="0" w:type="dxa"/>
        </w:tblCellMar>
      </w:tblPr>
      <w:tblGrid>
        <w:gridCol w:w="1168"/>
        <w:gridCol w:w="3226"/>
        <w:gridCol w:w="1199"/>
        <w:gridCol w:w="1128"/>
        <w:gridCol w:w="1267"/>
      </w:tblGrid>
      <w:tr>
        <w:tblPrEx>
          <w:tblCellMar>
            <w:top w:w="0" w:type="dxa"/>
            <w:left w:w="0" w:type="dxa"/>
            <w:bottom w:w="0" w:type="dxa"/>
            <w:right w:w="0" w:type="dxa"/>
          </w:tblCellMar>
        </w:tblPrEx>
        <w:trPr>
          <w:trHeight w:val="675"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项目</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地址</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评估建筑面积（㎡）</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单价（元/㎡）</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小计（元）</w:t>
            </w:r>
          </w:p>
        </w:tc>
      </w:tr>
      <w:tr>
        <w:tblPrEx>
          <w:tblCellMar>
            <w:top w:w="0" w:type="dxa"/>
            <w:left w:w="0" w:type="dxa"/>
            <w:bottom w:w="0" w:type="dxa"/>
            <w:right w:w="0" w:type="dxa"/>
          </w:tblCellMar>
        </w:tblPrEx>
        <w:trPr>
          <w:trHeight w:val="45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估价对象1</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新疆维吾尔自治区巴音郭楞蒙古自治州和硕县龙驹商业小区2号楼3-2（右）</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90.77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1483</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 xml:space="preserve">134612 </w:t>
            </w:r>
          </w:p>
        </w:tc>
      </w:tr>
      <w:tr>
        <w:tblPrEx>
          <w:tblCellMar>
            <w:top w:w="0" w:type="dxa"/>
            <w:left w:w="0" w:type="dxa"/>
            <w:bottom w:w="0" w:type="dxa"/>
            <w:right w:w="0" w:type="dxa"/>
          </w:tblCellMar>
        </w:tblPrEx>
        <w:trPr>
          <w:trHeight w:val="45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估价对象2</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库尔勒新城辖区铁克其路13号龙腾居3栋12层2单元1201室</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107.96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4740</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 xml:space="preserve">511730 </w:t>
            </w:r>
          </w:p>
        </w:tc>
      </w:tr>
      <w:tr>
        <w:tblPrEx>
          <w:tblCellMar>
            <w:top w:w="0" w:type="dxa"/>
            <w:left w:w="0" w:type="dxa"/>
            <w:bottom w:w="0" w:type="dxa"/>
            <w:right w:w="0" w:type="dxa"/>
          </w:tblCellMar>
        </w:tblPrEx>
        <w:trPr>
          <w:trHeight w:val="27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总计</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646342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大写</w:t>
            </w:r>
          </w:p>
        </w:tc>
        <w:tc>
          <w:tcPr>
            <w:tcW w:w="23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陆拾肆万陆仟叁佰肆拾贰</w:t>
            </w:r>
          </w:p>
        </w:tc>
      </w:tr>
    </w:tbl>
    <w:p>
      <w:pPr>
        <w:adjustRightInd w:val="0"/>
        <w:snapToGrid w:val="0"/>
        <w:spacing w:line="440" w:lineRule="exact"/>
        <w:ind w:firstLine="527"/>
        <w:rPr>
          <w:rFonts w:ascii="仿宋_GB2312" w:hAnsi="仿宋_GB2312" w:eastAsia="仿宋_GB2312" w:cs="仿宋_GB2312"/>
          <w:b/>
          <w:sz w:val="28"/>
          <w:szCs w:val="28"/>
        </w:rPr>
      </w:pPr>
      <w:r>
        <w:rPr>
          <w:rFonts w:hint="eastAsia" w:ascii="仿宋_GB2312" w:hAnsi="仿宋_GB2312" w:eastAsia="仿宋_GB2312" w:cs="仿宋_GB2312"/>
          <w:b/>
          <w:sz w:val="28"/>
          <w:szCs w:val="28"/>
        </w:rPr>
        <w:t>特别提示（Special Notice）：</w:t>
      </w:r>
    </w:p>
    <w:p>
      <w:pPr>
        <w:tabs>
          <w:tab w:val="left" w:pos="6912"/>
        </w:tabs>
        <w:topLinePunct/>
        <w:adjustRightInd w:val="0"/>
        <w:snapToGrid w:val="0"/>
        <w:spacing w:line="276" w:lineRule="auto"/>
        <w:ind w:firstLine="560" w:firstLineChars="200"/>
        <w:rPr>
          <w:rFonts w:ascii="仿宋_GB2312" w:hAnsi="仿宋_GB2312" w:eastAsia="仿宋_GB2312" w:cs="仿宋_GB2312"/>
          <w:b/>
          <w:sz w:val="28"/>
          <w:szCs w:val="28"/>
        </w:rPr>
      </w:pPr>
      <w:r>
        <w:rPr>
          <w:rFonts w:hint="eastAsia" w:ascii="仿宋_GB2312" w:hAnsi="宋体" w:eastAsia="仿宋_GB2312"/>
          <w:sz w:val="28"/>
          <w:szCs w:val="28"/>
        </w:rPr>
        <w:t>1、估价报告有效期为自报告完成之日起一年（自2019年11月05日起至2020年11月04日止）。在评估结果有效期内，评估对象状况或者房地产市场发生明显变化的，评估结果应当进行相应调整。</w:t>
      </w:r>
    </w:p>
    <w:p>
      <w:pPr>
        <w:tabs>
          <w:tab w:val="left" w:pos="6912"/>
        </w:tabs>
        <w:topLinePunct/>
        <w:adjustRightInd w:val="0"/>
        <w:snapToGrid w:val="0"/>
        <w:spacing w:line="276" w:lineRule="auto"/>
        <w:ind w:firstLine="560" w:firstLineChars="200"/>
        <w:rPr>
          <w:rFonts w:ascii="仿宋_GB2312" w:hAnsi="宋体" w:eastAsia="仿宋_GB2312"/>
          <w:sz w:val="28"/>
          <w:szCs w:val="28"/>
        </w:rPr>
      </w:pPr>
      <w:r>
        <w:rPr>
          <w:rFonts w:hint="eastAsia" w:ascii="仿宋_GB2312" w:hAnsi="宋体" w:eastAsia="仿宋_GB2312"/>
          <w:sz w:val="28"/>
          <w:szCs w:val="28"/>
        </w:rPr>
        <w:t>2、评估结果不等于评估对象处置可实现的成交价，不应被认为是对评估对象处置成交价的保证。</w:t>
      </w:r>
    </w:p>
    <w:p>
      <w:pPr>
        <w:tabs>
          <w:tab w:val="left" w:pos="6912"/>
        </w:tabs>
        <w:topLinePunct/>
        <w:adjustRightInd w:val="0"/>
        <w:snapToGrid w:val="0"/>
        <w:spacing w:line="276" w:lineRule="auto"/>
        <w:ind w:firstLine="560" w:firstLineChars="200"/>
        <w:rPr>
          <w:rFonts w:ascii="仿宋_GB2312" w:hAnsi="宋体" w:eastAsia="仿宋_GB2312"/>
          <w:sz w:val="28"/>
          <w:szCs w:val="28"/>
        </w:rPr>
      </w:pPr>
      <w:r>
        <w:rPr>
          <w:rFonts w:hint="eastAsia" w:ascii="仿宋_GB2312" w:hAnsi="宋体" w:eastAsia="仿宋_GB2312"/>
          <w:sz w:val="28"/>
          <w:szCs w:val="28"/>
        </w:rPr>
        <w:t>3、</w:t>
      </w:r>
      <w:bookmarkEnd w:id="2"/>
      <w:bookmarkEnd w:id="3"/>
      <w:bookmarkEnd w:id="4"/>
      <w:bookmarkEnd w:id="5"/>
      <w:bookmarkEnd w:id="6"/>
      <w:r>
        <w:rPr>
          <w:rFonts w:hint="eastAsia" w:ascii="仿宋_GB2312" w:hAnsi="宋体" w:eastAsia="仿宋_GB2312"/>
          <w:sz w:val="28"/>
          <w:szCs w:val="28"/>
        </w:rPr>
        <w:t>委托人或者评估报告使用人应当按照法律规定和评估报告载明的使用范围使用评估报告，违反该规定使用评估报告的，房地产估价机构和注册房地产估价师依法不承担责任。</w:t>
      </w:r>
    </w:p>
    <w:p>
      <w:pPr>
        <w:tabs>
          <w:tab w:val="left" w:pos="6912"/>
        </w:tabs>
        <w:topLinePunct/>
        <w:adjustRightInd w:val="0"/>
        <w:snapToGrid w:val="0"/>
        <w:spacing w:line="276" w:lineRule="auto"/>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新疆德旺房地产估价事务所（有限公司）</w:t>
      </w: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法定代表人：张岚</w:t>
      </w: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二〇一九年十一月五日</w:t>
      </w: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p>
      <w:pPr>
        <w:tabs>
          <w:tab w:val="left" w:pos="6912"/>
        </w:tabs>
        <w:topLinePunct/>
        <w:adjustRightInd w:val="0"/>
        <w:snapToGrid w:val="0"/>
        <w:spacing w:line="276" w:lineRule="auto"/>
        <w:ind w:firstLine="560" w:firstLineChars="200"/>
        <w:jc w:val="center"/>
        <w:rPr>
          <w:rFonts w:ascii="仿宋_GB2312" w:hAnsi="仿宋_GB2312" w:eastAsia="仿宋_GB2312" w:cs="仿宋_GB2312"/>
          <w:sz w:val="28"/>
          <w:szCs w:val="28"/>
        </w:rPr>
      </w:pPr>
    </w:p>
    <w:bookmarkEnd w:id="1"/>
    <w:p>
      <w:pPr>
        <w:rPr>
          <w:rFonts w:ascii="仿宋_GB2312" w:hAnsi="仿宋_GB2312" w:eastAsia="仿宋_GB2312" w:cs="仿宋_GB2312"/>
        </w:rPr>
      </w:pPr>
      <w:bookmarkStart w:id="7" w:name="PO_2"/>
    </w:p>
    <w:bookmarkEnd w:id="7"/>
    <w:p>
      <w:pPr>
        <w:spacing w:line="480" w:lineRule="exact"/>
        <w:jc w:val="center"/>
        <w:rPr>
          <w:rFonts w:ascii="仿宋_GB2312" w:eastAsia="仿宋_GB2312"/>
          <w:b/>
          <w:sz w:val="44"/>
          <w:szCs w:val="44"/>
        </w:rPr>
      </w:pPr>
      <w:bookmarkStart w:id="8" w:name="_Toc505606994"/>
      <w:bookmarkStart w:id="9" w:name="_Toc505608901"/>
      <w:bookmarkStart w:id="10" w:name="_Toc492480511"/>
      <w:bookmarkStart w:id="11" w:name="_Toc503261497"/>
      <w:bookmarkStart w:id="12" w:name="PO_3"/>
      <w:r>
        <w:rPr>
          <w:rFonts w:hint="eastAsia" w:ascii="仿宋_GB2312" w:eastAsia="仿宋_GB2312"/>
          <w:b/>
          <w:sz w:val="44"/>
          <w:szCs w:val="44"/>
        </w:rPr>
        <w:t>目     录</w:t>
      </w:r>
    </w:p>
    <w:p>
      <w:pPr>
        <w:tabs>
          <w:tab w:val="left" w:pos="630"/>
        </w:tabs>
        <w:spacing w:line="480" w:lineRule="exact"/>
        <w:rPr>
          <w:rFonts w:hint="eastAsia" w:ascii="仿宋_GB2312" w:eastAsia="仿宋_GB2312"/>
          <w:sz w:val="28"/>
          <w:lang w:eastAsia="zh-CN"/>
        </w:rPr>
      </w:pPr>
      <w:r>
        <w:rPr>
          <w:rFonts w:hint="eastAsia" w:ascii="仿宋_GB2312" w:eastAsia="仿宋_GB2312"/>
          <w:sz w:val="28"/>
        </w:rPr>
        <w:t>一、估价师声明-------------------------------------</w:t>
      </w:r>
      <w:r>
        <w:rPr>
          <w:rFonts w:hint="eastAsia" w:ascii="仿宋_GB2312" w:eastAsia="仿宋_GB2312"/>
          <w:sz w:val="28"/>
          <w:lang w:val="en-US" w:eastAsia="zh-CN"/>
        </w:rPr>
        <w:t>6</w:t>
      </w:r>
    </w:p>
    <w:p>
      <w:pPr>
        <w:tabs>
          <w:tab w:val="left" w:pos="630"/>
        </w:tabs>
        <w:spacing w:line="480" w:lineRule="exact"/>
        <w:rPr>
          <w:rFonts w:hint="eastAsia" w:ascii="仿宋_GB2312" w:eastAsia="仿宋_GB2312"/>
          <w:sz w:val="28"/>
          <w:lang w:val="en-US" w:eastAsia="zh-CN"/>
        </w:rPr>
      </w:pPr>
      <w:r>
        <w:rPr>
          <w:rFonts w:hint="eastAsia" w:ascii="仿宋_GB2312" w:eastAsia="仿宋_GB2312"/>
          <w:sz w:val="28"/>
        </w:rPr>
        <w:t>二、估价的假设和限制条件---------------------------</w:t>
      </w:r>
      <w:r>
        <w:rPr>
          <w:rFonts w:hint="eastAsia" w:ascii="仿宋_GB2312" w:eastAsia="仿宋_GB2312"/>
          <w:sz w:val="28"/>
          <w:lang w:val="en-US" w:eastAsia="zh-CN"/>
        </w:rPr>
        <w:t>7</w:t>
      </w:r>
    </w:p>
    <w:p>
      <w:pPr>
        <w:tabs>
          <w:tab w:val="left" w:pos="630"/>
        </w:tabs>
        <w:spacing w:line="480" w:lineRule="exact"/>
        <w:rPr>
          <w:rFonts w:hint="default" w:ascii="仿宋_GB2312" w:eastAsia="仿宋_GB2312"/>
          <w:sz w:val="28"/>
          <w:lang w:val="en-US" w:eastAsia="zh-CN"/>
        </w:rPr>
      </w:pPr>
      <w:r>
        <w:rPr>
          <w:rFonts w:hint="eastAsia" w:ascii="仿宋_GB2312" w:eastAsia="仿宋_GB2312"/>
          <w:sz w:val="28"/>
        </w:rPr>
        <w:t>三、估价结果报告-----------------------------------</w:t>
      </w:r>
      <w:r>
        <w:rPr>
          <w:rFonts w:hint="eastAsia" w:ascii="仿宋_GB2312" w:eastAsia="仿宋_GB2312"/>
          <w:sz w:val="28"/>
          <w:lang w:val="en-US" w:eastAsia="zh-CN"/>
        </w:rPr>
        <w:t>10</w:t>
      </w:r>
    </w:p>
    <w:p>
      <w:pPr>
        <w:pStyle w:val="11"/>
        <w:numPr>
          <w:ilvl w:val="0"/>
          <w:numId w:val="2"/>
        </w:numPr>
        <w:tabs>
          <w:tab w:val="left" w:pos="630"/>
          <w:tab w:val="left" w:pos="1620"/>
          <w:tab w:val="right" w:pos="7586"/>
        </w:tabs>
        <w:snapToGrid w:val="0"/>
        <w:spacing w:line="480" w:lineRule="exact"/>
        <w:rPr>
          <w:rFonts w:ascii="仿宋_GB2312" w:eastAsia="仿宋_GB2312"/>
          <w:sz w:val="28"/>
        </w:rPr>
      </w:pPr>
      <w:r>
        <w:rPr>
          <w:rFonts w:hint="eastAsia" w:ascii="仿宋_GB2312" w:eastAsia="仿宋_GB2312"/>
          <w:sz w:val="28"/>
        </w:rPr>
        <w:t>委托方-----------------------------------------</w:t>
      </w:r>
      <w:r>
        <w:rPr>
          <w:rFonts w:hint="eastAsia" w:ascii="仿宋_GB2312" w:eastAsia="仿宋_GB2312"/>
          <w:sz w:val="28"/>
          <w:lang w:val="en-US" w:eastAsia="zh-CN"/>
        </w:rPr>
        <w:t>10</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估价方-----------------------------------------</w:t>
      </w:r>
      <w:r>
        <w:rPr>
          <w:rFonts w:hint="eastAsia" w:ascii="仿宋_GB2312" w:eastAsia="仿宋_GB2312"/>
          <w:sz w:val="28"/>
          <w:lang w:val="en-US" w:eastAsia="zh-CN"/>
        </w:rPr>
        <w:t>10</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估价目的---------------------------------------</w:t>
      </w:r>
      <w:r>
        <w:rPr>
          <w:rFonts w:hint="eastAsia" w:ascii="仿宋_GB2312" w:eastAsia="仿宋_GB2312"/>
          <w:sz w:val="28"/>
          <w:lang w:val="en-US" w:eastAsia="zh-CN"/>
        </w:rPr>
        <w:t>10</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估价对象概况-----------------------------------</w:t>
      </w:r>
      <w:r>
        <w:rPr>
          <w:rFonts w:hint="eastAsia" w:ascii="仿宋_GB2312" w:eastAsia="仿宋_GB2312"/>
          <w:sz w:val="28"/>
          <w:lang w:val="en-US" w:eastAsia="zh-CN"/>
        </w:rPr>
        <w:t>10</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价值时点---------------------------------------</w:t>
      </w:r>
      <w:r>
        <w:rPr>
          <w:rFonts w:hint="eastAsia" w:ascii="仿宋_GB2312" w:hAnsi="仿宋_GB2312" w:eastAsia="仿宋_GB2312"/>
          <w:color w:val="FF0000"/>
          <w:sz w:val="28"/>
        </w:rPr>
        <w:t>11</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价值类型---------------------------------------</w:t>
      </w:r>
      <w:r>
        <w:rPr>
          <w:rFonts w:hint="eastAsia" w:ascii="仿宋_GB2312" w:hAnsi="仿宋_GB2312" w:eastAsia="仿宋_GB2312"/>
          <w:color w:val="FF0000"/>
          <w:sz w:val="28"/>
        </w:rPr>
        <w:t>11</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估价原则---------------------------------------</w:t>
      </w:r>
      <w:r>
        <w:rPr>
          <w:rFonts w:hint="eastAsia" w:ascii="仿宋_GB2312" w:hAnsi="仿宋_GB2312" w:eastAsia="仿宋_GB2312"/>
          <w:sz w:val="28"/>
        </w:rPr>
        <w:t>1</w:t>
      </w:r>
      <w:r>
        <w:rPr>
          <w:rFonts w:hint="eastAsia" w:ascii="仿宋_GB2312" w:hAnsi="仿宋_GB2312" w:eastAsia="仿宋_GB2312"/>
          <w:sz w:val="28"/>
          <w:lang w:val="en-US" w:eastAsia="zh-CN"/>
        </w:rPr>
        <w:t>2</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估价依据---------------------------------------</w:t>
      </w:r>
      <w:r>
        <w:rPr>
          <w:rFonts w:hint="eastAsia" w:ascii="仿宋_GB2312" w:hAnsi="仿宋_GB2312" w:eastAsia="仿宋_GB2312"/>
          <w:sz w:val="28"/>
        </w:rPr>
        <w:t>13</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估价方法---------------------------------------</w:t>
      </w:r>
      <w:r>
        <w:rPr>
          <w:rFonts w:hint="eastAsia" w:ascii="仿宋_GB2312" w:hAnsi="仿宋_GB2312" w:eastAsia="仿宋_GB2312"/>
          <w:sz w:val="28"/>
        </w:rPr>
        <w:t>14</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估价结果---------------------------------------</w:t>
      </w:r>
      <w:r>
        <w:rPr>
          <w:rFonts w:hint="eastAsia" w:ascii="仿宋_GB2312" w:hAnsi="仿宋_GB2312" w:eastAsia="仿宋_GB2312"/>
          <w:sz w:val="28"/>
        </w:rPr>
        <w:t>1</w:t>
      </w:r>
      <w:r>
        <w:rPr>
          <w:rFonts w:hint="eastAsia" w:ascii="仿宋_GB2312" w:hAnsi="仿宋_GB2312" w:eastAsia="仿宋_GB2312"/>
          <w:sz w:val="28"/>
          <w:lang w:val="en-US" w:eastAsia="zh-CN"/>
        </w:rPr>
        <w:t>6</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估价人员---------------------------------------</w:t>
      </w:r>
      <w:r>
        <w:rPr>
          <w:rFonts w:hint="eastAsia" w:ascii="仿宋_GB2312" w:hAnsi="仿宋_GB2312" w:eastAsia="仿宋_GB2312"/>
          <w:sz w:val="28"/>
        </w:rPr>
        <w:t>1</w:t>
      </w:r>
      <w:r>
        <w:rPr>
          <w:rFonts w:hint="eastAsia" w:ascii="仿宋_GB2312" w:hAnsi="仿宋_GB2312" w:eastAsia="仿宋_GB2312"/>
          <w:sz w:val="28"/>
          <w:lang w:val="en-US" w:eastAsia="zh-CN"/>
        </w:rPr>
        <w:t>7</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实地查勘期-------------------------------------</w:t>
      </w:r>
      <w:r>
        <w:rPr>
          <w:rFonts w:hint="eastAsia" w:ascii="仿宋_GB2312" w:hAnsi="仿宋_GB2312" w:eastAsia="仿宋_GB2312"/>
          <w:sz w:val="28"/>
        </w:rPr>
        <w:t>1</w:t>
      </w:r>
      <w:r>
        <w:rPr>
          <w:rFonts w:hint="eastAsia" w:ascii="仿宋_GB2312" w:hAnsi="仿宋_GB2312" w:eastAsia="仿宋_GB2312"/>
          <w:sz w:val="28"/>
          <w:lang w:val="en-US" w:eastAsia="zh-CN"/>
        </w:rPr>
        <w:t>7</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作业日期---------------------------------------</w:t>
      </w:r>
      <w:r>
        <w:rPr>
          <w:rFonts w:hint="eastAsia" w:ascii="仿宋_GB2312" w:hAnsi="仿宋_GB2312" w:eastAsia="仿宋_GB2312"/>
          <w:sz w:val="28"/>
        </w:rPr>
        <w:t>1</w:t>
      </w:r>
      <w:r>
        <w:rPr>
          <w:rFonts w:hint="eastAsia" w:ascii="仿宋_GB2312" w:hAnsi="仿宋_GB2312" w:eastAsia="仿宋_GB2312"/>
          <w:sz w:val="28"/>
          <w:lang w:val="en-US" w:eastAsia="zh-CN"/>
        </w:rPr>
        <w:t>7</w:t>
      </w:r>
    </w:p>
    <w:p>
      <w:pPr>
        <w:numPr>
          <w:ilvl w:val="0"/>
          <w:numId w:val="3"/>
        </w:numPr>
        <w:spacing w:line="480" w:lineRule="exact"/>
        <w:rPr>
          <w:rFonts w:ascii="仿宋_GB2312" w:hAnsi="仿宋_GB2312" w:eastAsia="仿宋_GB2312" w:cs="仿宋_GB2312"/>
          <w:sz w:val="28"/>
          <w:szCs w:val="28"/>
        </w:rPr>
      </w:pPr>
      <w:r>
        <w:rPr>
          <w:rFonts w:hint="eastAsia" w:ascii="仿宋_GB2312" w:hAnsi="宋体" w:eastAsia="仿宋_GB2312"/>
          <w:sz w:val="28"/>
        </w:rPr>
        <w:t>附件---------------------------------------1</w:t>
      </w:r>
      <w:r>
        <w:rPr>
          <w:rFonts w:hint="eastAsia" w:ascii="仿宋_GB2312" w:hAnsi="宋体" w:eastAsia="仿宋_GB2312"/>
          <w:sz w:val="28"/>
          <w:lang w:val="en-US" w:eastAsia="zh-CN"/>
        </w:rPr>
        <w:t>8</w:t>
      </w:r>
    </w:p>
    <w:p>
      <w:pPr>
        <w:spacing w:line="480" w:lineRule="exact"/>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1、估价对象位置示意图</w:t>
      </w:r>
    </w:p>
    <w:p>
      <w:pPr>
        <w:pStyle w:val="4"/>
        <w:tabs>
          <w:tab w:val="left" w:pos="993"/>
          <w:tab w:val="left" w:pos="3544"/>
        </w:tabs>
        <w:topLinePunct/>
        <w:adjustRightInd w:val="0"/>
        <w:snapToGrid w:val="0"/>
        <w:spacing w:before="0" w:after="0" w:line="360" w:lineRule="auto"/>
        <w:ind w:firstLine="280" w:firstLineChars="1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2、估价对象实地查勘照片</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3、现场查勘表</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4、评估委托书</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5、房地产估价机构《企业法人营业执照》复印件</w:t>
      </w:r>
    </w:p>
    <w:p>
      <w:pPr>
        <w:pStyle w:val="4"/>
        <w:tabs>
          <w:tab w:val="left" w:pos="993"/>
          <w:tab w:val="left" w:pos="113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6、房地产估价机构资质证书复印件</w:t>
      </w:r>
    </w:p>
    <w:p>
      <w:pPr>
        <w:pStyle w:val="4"/>
        <w:tabs>
          <w:tab w:val="left" w:pos="993"/>
          <w:tab w:val="left" w:pos="113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7、注册房地产估价师估价资格证书复印件</w:t>
      </w:r>
    </w:p>
    <w:p>
      <w:pPr>
        <w:jc w:val="center"/>
        <w:rPr>
          <w:rFonts w:hint="eastAsia" w:ascii="仿宋_GB2312" w:hAnsi="仿宋_GB2312" w:eastAsia="仿宋_GB2312" w:cs="仿宋_GB2312"/>
          <w:b/>
          <w:bCs/>
          <w:sz w:val="44"/>
          <w:szCs w:val="44"/>
        </w:rPr>
      </w:pPr>
    </w:p>
    <w:p>
      <w:pPr>
        <w:jc w:val="center"/>
        <w:rPr>
          <w:rFonts w:hint="eastAsia" w:ascii="仿宋_GB2312" w:hAnsi="仿宋_GB2312" w:eastAsia="仿宋_GB2312" w:cs="仿宋_GB2312"/>
          <w:b/>
          <w:bCs/>
          <w:sz w:val="44"/>
          <w:szCs w:val="44"/>
        </w:rPr>
      </w:pPr>
    </w:p>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44"/>
          <w:szCs w:val="44"/>
        </w:rPr>
        <w:t>估 价 师 声 明</w:t>
      </w:r>
      <w:bookmarkEnd w:id="8"/>
      <w:bookmarkEnd w:id="9"/>
      <w:bookmarkEnd w:id="10"/>
      <w:bookmarkEnd w:id="11"/>
    </w:p>
    <w:p>
      <w:pPr>
        <w:ind w:firstLine="2640" w:firstLineChars="1100"/>
        <w:rPr>
          <w:rFonts w:ascii="仿宋_GB2312" w:hAnsi="仿宋_GB2312" w:eastAsia="仿宋_GB2312" w:cs="仿宋_GB2312"/>
          <w:sz w:val="18"/>
          <w:szCs w:val="18"/>
        </w:rPr>
      </w:pPr>
      <w:r>
        <w:rPr>
          <w:rFonts w:hint="eastAsia" w:ascii="仿宋_GB2312" w:hAnsi="仿宋_GB2312" w:eastAsia="仿宋_GB2312" w:cs="仿宋_GB2312"/>
          <w:sz w:val="24"/>
          <w:szCs w:val="24"/>
        </w:rPr>
        <w:t>Declaration of Appraisers</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我们根据自己的专业知识和职业道德，在此郑重声明：</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1、注册房地产估价师在本估价报告中对事实的说明是真实的和准确的，没有虚假记载、误导性陈述和重大遗漏。</w:t>
      </w:r>
    </w:p>
    <w:p>
      <w:pPr>
        <w:spacing w:line="440" w:lineRule="exact"/>
        <w:ind w:right="-113" w:rightChars="-54"/>
        <w:rPr>
          <w:rFonts w:ascii="仿宋_GB2312" w:eastAsia="仿宋_GB2312"/>
          <w:sz w:val="28"/>
        </w:rPr>
      </w:pPr>
      <w:r>
        <w:rPr>
          <w:rFonts w:hint="eastAsia" w:ascii="仿宋_GB2312" w:hAnsi="宋体" w:eastAsia="仿宋_GB2312"/>
          <w:sz w:val="28"/>
        </w:rPr>
        <w:t>2、本估价报告中的分析、意见和结论是我们自己独立、客观、公正的专业分析、意见和结论，但受到本估价报告中已说明的假设和限制条件的限制。</w:t>
      </w:r>
    </w:p>
    <w:p>
      <w:pPr>
        <w:spacing w:line="440" w:lineRule="exact"/>
        <w:rPr>
          <w:rFonts w:ascii="仿宋_GB2312" w:eastAsia="仿宋_GB2312"/>
          <w:sz w:val="28"/>
          <w:szCs w:val="28"/>
        </w:rPr>
      </w:pPr>
      <w:r>
        <w:rPr>
          <w:rFonts w:hint="eastAsia" w:ascii="仿宋_GB2312" w:hAnsi="宋体" w:eastAsia="仿宋_GB2312"/>
          <w:sz w:val="28"/>
        </w:rPr>
        <w:t>3、注册房地产估价师与本估价报告中的估价对象没有现实或潜在的利害关系，</w:t>
      </w:r>
      <w:r>
        <w:rPr>
          <w:rFonts w:hint="eastAsia" w:ascii="仿宋_GB2312" w:eastAsia="仿宋_GB2312"/>
          <w:sz w:val="28"/>
          <w:szCs w:val="28"/>
        </w:rPr>
        <w:t>我们对估价报告中的估价对象、估价委托人及估价利害关系人没有偏见</w:t>
      </w:r>
    </w:p>
    <w:p>
      <w:pPr>
        <w:spacing w:line="440" w:lineRule="exact"/>
        <w:rPr>
          <w:rFonts w:ascii="仿宋_GB2312" w:eastAsia="仿宋_GB2312"/>
          <w:sz w:val="28"/>
        </w:rPr>
      </w:pPr>
      <w:r>
        <w:rPr>
          <w:rFonts w:hint="eastAsia" w:ascii="仿宋_GB2312" w:hAnsi="宋体" w:eastAsia="仿宋_GB2312"/>
          <w:sz w:val="28"/>
        </w:rPr>
        <w:t>4、注册房地产估价师依照中华人民共和国国家标准</w:t>
      </w:r>
      <w:r>
        <w:rPr>
          <w:rFonts w:hint="eastAsia" w:ascii="仿宋_GB2312" w:eastAsia="仿宋_GB2312"/>
          <w:sz w:val="28"/>
          <w:szCs w:val="28"/>
        </w:rPr>
        <w:t>GB/T50291-2015</w:t>
      </w:r>
      <w:r>
        <w:rPr>
          <w:rFonts w:hint="eastAsia" w:ascii="仿宋_GB2312" w:hAnsi="宋体" w:eastAsia="仿宋_GB2312"/>
          <w:sz w:val="28"/>
        </w:rPr>
        <w:t>《房地产估价规范》、</w:t>
      </w:r>
      <w:r>
        <w:rPr>
          <w:rFonts w:hint="eastAsia" w:ascii="仿宋_GB2312" w:eastAsia="仿宋_GB2312"/>
          <w:sz w:val="28"/>
          <w:szCs w:val="28"/>
        </w:rPr>
        <w:t>【GB/T 50899-2013】</w:t>
      </w:r>
      <w:r>
        <w:rPr>
          <w:rFonts w:hint="eastAsia" w:ascii="仿宋_GB2312" w:hAnsi="宋体" w:eastAsia="仿宋_GB2312"/>
          <w:sz w:val="28"/>
        </w:rPr>
        <w:t>《房地产估价基本术语标准》以及与估价目的的相应的房地产估价专项标准进行分析，形成意见和结论，撰写本估价报告。</w:t>
      </w:r>
    </w:p>
    <w:p>
      <w:pPr>
        <w:spacing w:line="440" w:lineRule="exact"/>
        <w:rPr>
          <w:rFonts w:ascii="仿宋_GB2312" w:hAnsi="宋体" w:eastAsia="仿宋_GB2312"/>
          <w:sz w:val="28"/>
        </w:rPr>
      </w:pPr>
      <w:r>
        <w:rPr>
          <w:rFonts w:hint="eastAsia" w:ascii="仿宋_GB2312" w:hAnsi="宋体" w:eastAsia="仿宋_GB2312"/>
          <w:color w:val="FF0000"/>
          <w:sz w:val="28"/>
        </w:rPr>
        <w:t>5、</w:t>
      </w:r>
      <w:r>
        <w:rPr>
          <w:rFonts w:hint="eastAsia" w:ascii="仿宋_GB2312" w:hAnsi="宋体" w:eastAsia="仿宋_GB2312"/>
          <w:sz w:val="28"/>
        </w:rPr>
        <w:t>估价方（注册房地产估价师颜洁林）、</w:t>
      </w:r>
      <w:r>
        <w:rPr>
          <w:rFonts w:hint="eastAsia" w:ascii="仿宋_GB2312" w:hAnsi="宋体" w:eastAsia="仿宋_GB2312"/>
          <w:sz w:val="28"/>
          <w:lang w:eastAsia="zh-CN"/>
        </w:rPr>
        <w:t>估价员晁永平、</w:t>
      </w:r>
      <w:r>
        <w:rPr>
          <w:rFonts w:hint="eastAsia" w:ascii="仿宋_GB2312" w:hAnsi="宋体" w:eastAsia="仿宋_GB2312"/>
          <w:sz w:val="28"/>
        </w:rPr>
        <w:t>承办法官、被申请方已于2019年10月29日对本估价报告中的估价对象的建筑结构、室内外状况进行了实地查看并进行记录，仅限于估价对象的外观和目前维护管理状况，其他注册房地产估价师未对本估价报告中的估价对象进行实地查勘。</w:t>
      </w:r>
    </w:p>
    <w:p>
      <w:pPr>
        <w:spacing w:line="440" w:lineRule="exact"/>
        <w:rPr>
          <w:rFonts w:ascii="仿宋_GB2312" w:eastAsia="仿宋_GB2312"/>
          <w:sz w:val="28"/>
          <w:szCs w:val="28"/>
        </w:rPr>
      </w:pPr>
      <w:r>
        <w:rPr>
          <w:rFonts w:hint="eastAsia" w:ascii="仿宋_GB2312" w:hAnsi="宋体" w:eastAsia="仿宋_GB2312"/>
          <w:sz w:val="28"/>
        </w:rPr>
        <w:t>6、</w:t>
      </w:r>
      <w:r>
        <w:rPr>
          <w:rFonts w:hint="eastAsia" w:ascii="仿宋_GB2312" w:hAnsi="宋体" w:eastAsia="仿宋_GB2312"/>
          <w:color w:val="000000"/>
          <w:sz w:val="28"/>
        </w:rPr>
        <w:t>当事人如需提请复议，自收到评估报告起五日内，向委托法院提出复议申请。</w:t>
      </w:r>
    </w:p>
    <w:p>
      <w:pPr>
        <w:spacing w:line="440" w:lineRule="exact"/>
        <w:rPr>
          <w:rFonts w:ascii="仿宋_GB2312" w:eastAsia="仿宋_GB2312"/>
          <w:sz w:val="28"/>
          <w:szCs w:val="28"/>
        </w:rPr>
      </w:pPr>
      <w:r>
        <w:rPr>
          <w:rFonts w:hint="eastAsia" w:ascii="仿宋_GB2312" w:hAnsi="宋体" w:eastAsia="仿宋_GB2312"/>
          <w:sz w:val="28"/>
        </w:rPr>
        <w:t>7、</w:t>
      </w:r>
      <w:r>
        <w:rPr>
          <w:rFonts w:hint="eastAsia" w:ascii="仿宋_GB2312" w:eastAsia="仿宋_GB2312"/>
          <w:sz w:val="28"/>
          <w:szCs w:val="28"/>
        </w:rPr>
        <w:t>没有外部专家和单位对本估价报告提供重要专业帮助。</w:t>
      </w:r>
    </w:p>
    <w:p>
      <w:pPr>
        <w:adjustRightInd w:val="0"/>
        <w:snapToGrid w:val="0"/>
        <w:spacing w:line="460" w:lineRule="exact"/>
        <w:jc w:val="center"/>
        <w:rPr>
          <w:rFonts w:ascii="仿宋_GB2312" w:eastAsia="仿宋_GB2312"/>
          <w:sz w:val="28"/>
        </w:rPr>
      </w:pPr>
      <w:r>
        <w:rPr>
          <w:rFonts w:hint="eastAsia" w:ascii="仿宋_GB2312" w:eastAsia="仿宋_GB2312"/>
          <w:sz w:val="28"/>
        </w:rPr>
        <w:t>房地产估价师</w:t>
      </w:r>
    </w:p>
    <w:tbl>
      <w:tblPr>
        <w:tblStyle w:val="21"/>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30" w:type="dxa"/>
            <w:vAlign w:val="center"/>
          </w:tcPr>
          <w:p>
            <w:pPr>
              <w:spacing w:line="440" w:lineRule="exact"/>
              <w:rPr>
                <w:rFonts w:ascii="仿宋_GB2312" w:eastAsia="仿宋_GB2312"/>
                <w:sz w:val="28"/>
                <w:szCs w:val="28"/>
              </w:rPr>
            </w:pPr>
            <w:r>
              <w:rPr>
                <w:rFonts w:hint="eastAsia" w:ascii="仿宋_GB2312" w:eastAsia="仿宋_GB2312"/>
                <w:sz w:val="28"/>
              </w:rPr>
              <w:t xml:space="preserve">    </w:t>
            </w:r>
            <w:r>
              <w:rPr>
                <w:rFonts w:hint="eastAsia" w:ascii="仿宋_GB2312" w:eastAsia="仿宋_GB2312"/>
                <w:sz w:val="28"/>
                <w:szCs w:val="28"/>
              </w:rPr>
              <w:t>姓 名</w:t>
            </w:r>
          </w:p>
        </w:tc>
        <w:tc>
          <w:tcPr>
            <w:tcW w:w="2130"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注册号</w:t>
            </w:r>
          </w:p>
        </w:tc>
        <w:tc>
          <w:tcPr>
            <w:tcW w:w="2131"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签章</w:t>
            </w: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130" w:type="dxa"/>
            <w:vAlign w:val="center"/>
          </w:tcPr>
          <w:p>
            <w:pPr>
              <w:spacing w:line="440" w:lineRule="exact"/>
              <w:jc w:val="center"/>
              <w:rPr>
                <w:rFonts w:ascii="仿宋_GB2312" w:eastAsia="仿宋_GB2312"/>
              </w:rPr>
            </w:pPr>
            <w:r>
              <w:rPr>
                <w:rFonts w:hint="eastAsia" w:ascii="仿宋_GB2312" w:eastAsia="仿宋_GB2312"/>
                <w:sz w:val="28"/>
              </w:rPr>
              <w:t>颜洁林</w:t>
            </w:r>
          </w:p>
        </w:tc>
        <w:tc>
          <w:tcPr>
            <w:tcW w:w="2130" w:type="dxa"/>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6520170011</w:t>
            </w:r>
          </w:p>
        </w:tc>
        <w:tc>
          <w:tcPr>
            <w:tcW w:w="2131" w:type="dxa"/>
            <w:vAlign w:val="center"/>
          </w:tcPr>
          <w:p>
            <w:pPr>
              <w:spacing w:line="440" w:lineRule="exact"/>
              <w:jc w:val="center"/>
              <w:rPr>
                <w:rFonts w:ascii="仿宋_GB2312" w:eastAsia="仿宋_GB2312"/>
              </w:rPr>
            </w:pP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2019年11月05日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30" w:type="dxa"/>
            <w:vAlign w:val="center"/>
          </w:tcPr>
          <w:p>
            <w:pPr>
              <w:spacing w:line="440" w:lineRule="exact"/>
              <w:jc w:val="center"/>
              <w:rPr>
                <w:rFonts w:ascii="仿宋_GB2312" w:eastAsia="仿宋_GB2312"/>
              </w:rPr>
            </w:pPr>
            <w:r>
              <w:rPr>
                <w:rFonts w:hint="eastAsia" w:ascii="仿宋_GB2312" w:eastAsia="仿宋_GB2312"/>
                <w:sz w:val="28"/>
              </w:rPr>
              <w:t>陈 应 林</w:t>
            </w:r>
          </w:p>
        </w:tc>
        <w:tc>
          <w:tcPr>
            <w:tcW w:w="2130" w:type="dxa"/>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6520060035</w:t>
            </w:r>
          </w:p>
        </w:tc>
        <w:tc>
          <w:tcPr>
            <w:tcW w:w="2131" w:type="dxa"/>
            <w:vAlign w:val="center"/>
          </w:tcPr>
          <w:p>
            <w:pPr>
              <w:spacing w:line="440" w:lineRule="exact"/>
              <w:jc w:val="center"/>
              <w:rPr>
                <w:rFonts w:ascii="仿宋_GB2312" w:eastAsia="仿宋_GB2312"/>
              </w:rPr>
            </w:pP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2019年11月05日</w:t>
            </w:r>
          </w:p>
        </w:tc>
      </w:tr>
    </w:tbl>
    <w:p>
      <w:pPr>
        <w:pStyle w:val="32"/>
        <w:topLinePunct/>
        <w:adjustRightInd w:val="0"/>
        <w:snapToGrid w:val="0"/>
        <w:spacing w:line="276" w:lineRule="auto"/>
        <w:rPr>
          <w:rFonts w:ascii="仿宋_GB2312" w:hAnsi="仿宋_GB2312" w:eastAsia="仿宋_GB2312" w:cs="仿宋_GB2312"/>
        </w:rPr>
      </w:pPr>
    </w:p>
    <w:bookmarkEnd w:id="12"/>
    <w:p>
      <w:pPr>
        <w:rPr>
          <w:rFonts w:ascii="仿宋_GB2312" w:hAnsi="仿宋_GB2312" w:eastAsia="仿宋_GB2312" w:cs="仿宋_GB2312"/>
        </w:rPr>
      </w:pPr>
      <w:r>
        <w:rPr>
          <w:rFonts w:hint="eastAsia" w:ascii="仿宋_GB2312" w:hAnsi="仿宋_GB2312" w:eastAsia="仿宋_GB2312" w:cs="仿宋_GB2312"/>
        </w:rPr>
        <w:br w:type="page"/>
      </w:r>
    </w:p>
    <w:p>
      <w:pPr>
        <w:jc w:val="center"/>
        <w:rPr>
          <w:rFonts w:ascii="仿宋_GB2312" w:hAnsi="仿宋_GB2312" w:eastAsia="仿宋_GB2312" w:cs="仿宋_GB2312"/>
          <w:b/>
          <w:bCs/>
          <w:sz w:val="36"/>
          <w:szCs w:val="36"/>
        </w:rPr>
      </w:pPr>
      <w:bookmarkStart w:id="13" w:name="_Toc505608902"/>
      <w:bookmarkStart w:id="14" w:name="_Toc503261498"/>
      <w:bookmarkStart w:id="15" w:name="PO_4"/>
      <w:r>
        <w:rPr>
          <w:rFonts w:hint="eastAsia" w:ascii="仿宋_GB2312" w:hAnsi="仿宋_GB2312" w:eastAsia="仿宋_GB2312" w:cs="仿宋_GB2312"/>
          <w:b/>
          <w:bCs/>
          <w:sz w:val="36"/>
          <w:szCs w:val="36"/>
        </w:rPr>
        <w:t>估价假设和限制条件</w:t>
      </w:r>
      <w:bookmarkEnd w:id="13"/>
      <w:bookmarkEnd w:id="14"/>
    </w:p>
    <w:p>
      <w:pPr>
        <w:ind w:firstLine="2310" w:firstLineChars="1100"/>
        <w:rPr>
          <w:rFonts w:ascii="仿宋_GB2312" w:hAnsi="仿宋_GB2312" w:eastAsia="仿宋_GB2312" w:cs="仿宋_GB2312"/>
          <w:szCs w:val="21"/>
        </w:rPr>
      </w:pPr>
      <w:r>
        <w:rPr>
          <w:rFonts w:hint="eastAsia" w:ascii="仿宋_GB2312" w:hAnsi="仿宋_GB2312" w:eastAsia="仿宋_GB2312" w:cs="仿宋_GB2312"/>
          <w:szCs w:val="21"/>
        </w:rPr>
        <w:t>Appraisal Assumptions and Restrictions</w:t>
      </w:r>
    </w:p>
    <w:p>
      <w:pPr>
        <w:spacing w:line="440" w:lineRule="exact"/>
        <w:rPr>
          <w:rFonts w:ascii="仿宋_GB2312" w:hAnsi="仿宋_GB2312" w:eastAsia="仿宋_GB2312" w:cs="仿宋_GB2312"/>
          <w:sz w:val="28"/>
          <w:szCs w:val="28"/>
        </w:rPr>
      </w:pPr>
      <w:bookmarkStart w:id="16" w:name="_Toc499561843"/>
      <w:bookmarkStart w:id="17" w:name="_Toc503261499"/>
      <w:bookmarkStart w:id="18" w:name="_Toc505608903"/>
      <w:bookmarkStart w:id="19" w:name="_Toc490812573"/>
      <w:bookmarkStart w:id="20" w:name="_Toc505606995"/>
      <w:r>
        <w:rPr>
          <w:rFonts w:hint="eastAsia" w:ascii="仿宋_GB2312" w:hAnsi="仿宋_GB2312" w:eastAsia="仿宋_GB2312" w:cs="仿宋_GB2312"/>
          <w:sz w:val="28"/>
          <w:szCs w:val="28"/>
        </w:rPr>
        <w:t>一、一般假设</w:t>
      </w:r>
      <w:bookmarkEnd w:id="16"/>
      <w:bookmarkEnd w:id="17"/>
      <w:bookmarkEnd w:id="18"/>
      <w:bookmarkEnd w:id="19"/>
      <w:bookmarkEnd w:id="20"/>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1、在价值时点的房地产市场为公开、平等、自愿的交易市场。</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2、假设估价对象合法取得，可在公开市场上自由转让。</w:t>
      </w:r>
    </w:p>
    <w:p>
      <w:pPr>
        <w:spacing w:line="440" w:lineRule="exact"/>
        <w:rPr>
          <w:rFonts w:ascii="仿宋_GB2312" w:eastAsia="仿宋_GB2312"/>
          <w:sz w:val="28"/>
          <w:szCs w:val="28"/>
        </w:rPr>
      </w:pPr>
      <w:r>
        <w:rPr>
          <w:rFonts w:hint="eastAsia" w:ascii="仿宋_GB2312" w:eastAsia="仿宋_GB2312"/>
          <w:sz w:val="28"/>
          <w:szCs w:val="28"/>
        </w:rPr>
        <w:t>3、任何有关估价对象的运作方式、程序均符合国家、地方的有关法律、法规。</w:t>
      </w:r>
    </w:p>
    <w:p>
      <w:pPr>
        <w:spacing w:line="440" w:lineRule="exact"/>
        <w:rPr>
          <w:rFonts w:ascii="仿宋_GB2312" w:eastAsia="仿宋_GB2312"/>
          <w:sz w:val="28"/>
          <w:szCs w:val="28"/>
        </w:rPr>
      </w:pPr>
      <w:r>
        <w:rPr>
          <w:rFonts w:hint="eastAsia" w:ascii="仿宋_GB2312" w:hAnsi="宋体" w:eastAsia="仿宋_GB2312"/>
          <w:sz w:val="28"/>
        </w:rPr>
        <w:t>4、</w:t>
      </w:r>
      <w:r>
        <w:rPr>
          <w:rFonts w:hint="eastAsia" w:ascii="仿宋_GB2312" w:eastAsia="仿宋_GB2312"/>
          <w:sz w:val="28"/>
          <w:szCs w:val="28"/>
        </w:rPr>
        <w:t>本次估价结果未考虑国家宏观经济政策发生重大变化以及遇有自然力和其他不可抗力对估价结论的影响。</w:t>
      </w:r>
    </w:p>
    <w:p>
      <w:pPr>
        <w:spacing w:line="440" w:lineRule="exact"/>
        <w:rPr>
          <w:rFonts w:ascii="仿宋_GB2312" w:hAnsi="宋体" w:eastAsia="仿宋_GB2312"/>
          <w:sz w:val="28"/>
        </w:rPr>
      </w:pPr>
      <w:r>
        <w:rPr>
          <w:rFonts w:hint="eastAsia" w:ascii="仿宋_GB2312" w:eastAsia="仿宋_GB2312"/>
          <w:sz w:val="28"/>
          <w:szCs w:val="28"/>
        </w:rPr>
        <w:t>5、</w:t>
      </w:r>
      <w:r>
        <w:rPr>
          <w:rFonts w:hint="eastAsia" w:ascii="仿宋_GB2312" w:hAnsi="宋体" w:eastAsia="仿宋_GB2312"/>
          <w:sz w:val="28"/>
        </w:rPr>
        <w:t>我们对房屋安全、环境污染等影响估价对象价值的重大因素给予了关注，在无理由怀疑估价对象存在安全隐患且无相应的专业机构进行鉴定、检测的情况下，假设估价对象是安全的且无建筑物基础、结构等方面的重大问题。</w:t>
      </w:r>
    </w:p>
    <w:p>
      <w:pPr>
        <w:spacing w:line="440" w:lineRule="exact"/>
        <w:rPr>
          <w:rFonts w:ascii="仿宋_GB2312" w:eastAsia="仿宋_GB2312"/>
          <w:sz w:val="28"/>
          <w:szCs w:val="28"/>
        </w:rPr>
      </w:pPr>
      <w:r>
        <w:rPr>
          <w:rFonts w:hint="eastAsia" w:ascii="仿宋_GB2312" w:eastAsia="仿宋_GB2312"/>
          <w:sz w:val="28"/>
          <w:szCs w:val="28"/>
        </w:rPr>
        <w:t>6、本报告以估价对象在价值时点时的状况为依据进行的，且以该状况在估价报告使用期限内无重大变化为前提。</w:t>
      </w:r>
    </w:p>
    <w:p>
      <w:pPr>
        <w:spacing w:line="440" w:lineRule="exact"/>
        <w:rPr>
          <w:rFonts w:ascii="仿宋_GB2312" w:eastAsia="仿宋_GB2312"/>
          <w:sz w:val="28"/>
          <w:szCs w:val="28"/>
        </w:rPr>
      </w:pPr>
      <w:r>
        <w:rPr>
          <w:rFonts w:hint="eastAsia" w:ascii="仿宋_GB2312" w:eastAsia="仿宋_GB2312"/>
          <w:sz w:val="28"/>
          <w:szCs w:val="28"/>
        </w:rPr>
        <w:t>7、</w:t>
      </w:r>
      <w:r>
        <w:rPr>
          <w:rFonts w:hint="eastAsia" w:ascii="仿宋_GB2312" w:hAnsi="宋体" w:eastAsia="仿宋_GB2312"/>
          <w:sz w:val="28"/>
        </w:rPr>
        <w:t>我们对估价所依据的估价对象的权属、面积、用途等资料进行了检查</w:t>
      </w:r>
      <w:r>
        <w:rPr>
          <w:rFonts w:hint="eastAsia" w:ascii="仿宋_GB2312" w:eastAsia="仿宋_GB2312"/>
          <w:sz w:val="28"/>
          <w:szCs w:val="28"/>
        </w:rPr>
        <w:t>，在无理由怀疑其合法性、真实性、准确性和完整性且未予以核实的情况下，假设其合法、真实、准确和完整。</w:t>
      </w:r>
    </w:p>
    <w:p>
      <w:pPr>
        <w:pStyle w:val="33"/>
        <w:tabs>
          <w:tab w:val="left" w:pos="1276"/>
        </w:tabs>
        <w:topLinePunct/>
        <w:adjustRightInd w:val="0"/>
        <w:snapToGrid w:val="0"/>
        <w:spacing w:line="440" w:lineRule="exact"/>
        <w:ind w:firstLine="0" w:firstLineChars="0"/>
        <w:rPr>
          <w:rFonts w:ascii="仿宋_GB2312" w:eastAsia="仿宋_GB2312"/>
          <w:sz w:val="28"/>
          <w:szCs w:val="28"/>
        </w:rPr>
      </w:pPr>
      <w:r>
        <w:rPr>
          <w:rFonts w:hint="eastAsia" w:ascii="仿宋_GB2312" w:eastAsia="仿宋_GB2312"/>
          <w:sz w:val="28"/>
          <w:szCs w:val="28"/>
        </w:rPr>
        <w:t>8、估价人员曾于2019年10月29日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bookmarkStart w:id="21" w:name="_Toc499561844"/>
      <w:bookmarkStart w:id="22" w:name="_Toc503261500"/>
      <w:bookmarkStart w:id="23" w:name="_Toc490812574"/>
    </w:p>
    <w:bookmarkEnd w:id="21"/>
    <w:bookmarkEnd w:id="22"/>
    <w:bookmarkEnd w:id="23"/>
    <w:p>
      <w:pPr>
        <w:spacing w:line="440" w:lineRule="exact"/>
        <w:rPr>
          <w:rFonts w:ascii="仿宋_GB2312" w:eastAsia="仿宋_GB2312"/>
          <w:sz w:val="28"/>
          <w:szCs w:val="28"/>
        </w:rPr>
      </w:pPr>
      <w:r>
        <w:rPr>
          <w:rFonts w:hint="eastAsia" w:ascii="仿宋_GB2312" w:hAnsi="宋体" w:eastAsia="仿宋_GB2312"/>
          <w:sz w:val="28"/>
        </w:rPr>
        <w:t>二、</w:t>
      </w:r>
      <w:r>
        <w:rPr>
          <w:rFonts w:hint="eastAsia" w:ascii="仿宋_GB2312" w:eastAsia="仿宋_GB2312"/>
          <w:sz w:val="28"/>
          <w:szCs w:val="28"/>
        </w:rPr>
        <w:t>未定事项假设</w:t>
      </w:r>
    </w:p>
    <w:p>
      <w:pPr>
        <w:spacing w:line="440" w:lineRule="exact"/>
        <w:rPr>
          <w:rFonts w:hint="eastAsia" w:ascii="仿宋_GB2312" w:eastAsia="仿宋_GB2312"/>
          <w:color w:val="C00000"/>
          <w:sz w:val="28"/>
          <w:szCs w:val="28"/>
        </w:rPr>
      </w:pPr>
      <w:r>
        <w:rPr>
          <w:rFonts w:hint="eastAsia" w:ascii="仿宋_GB2312" w:eastAsia="仿宋_GB2312"/>
          <w:color w:val="C00000"/>
          <w:sz w:val="28"/>
          <w:szCs w:val="28"/>
        </w:rPr>
        <w:t>1.本次评估委托方未提供土地相关信息，假设土地权属完整，用途为住宅，使用权类型为出让。</w:t>
      </w:r>
    </w:p>
    <w:p>
      <w:pPr>
        <w:spacing w:line="440" w:lineRule="exact"/>
        <w:rPr>
          <w:rFonts w:hint="eastAsia" w:ascii="仿宋_GB2312" w:eastAsia="仿宋_GB2312"/>
          <w:sz w:val="28"/>
          <w:szCs w:val="28"/>
        </w:rPr>
      </w:pPr>
      <w:r>
        <w:rPr>
          <w:rFonts w:hint="eastAsia" w:ascii="仿宋_GB2312" w:eastAsia="仿宋_GB2312"/>
          <w:color w:val="C00000"/>
          <w:sz w:val="28"/>
          <w:szCs w:val="28"/>
          <w:lang w:val="en-US" w:eastAsia="zh-CN"/>
        </w:rPr>
        <w:t>2.</w:t>
      </w:r>
      <w:r>
        <w:rPr>
          <w:rFonts w:hint="eastAsia" w:ascii="仿宋_GB2312" w:eastAsia="仿宋_GB2312"/>
          <w:sz w:val="28"/>
          <w:szCs w:val="28"/>
          <w:lang w:eastAsia="zh-CN"/>
        </w:rPr>
        <w:t>位于和硕县龙驹商业小区2号楼3单元2右房屋</w:t>
      </w:r>
      <w:r>
        <w:rPr>
          <w:rFonts w:hint="eastAsia" w:ascii="仿宋_GB2312" w:eastAsia="仿宋_GB2312"/>
          <w:sz w:val="28"/>
          <w:szCs w:val="28"/>
        </w:rPr>
        <w:t>委托方提供的资料未记载估价对象修建年代，根据估价人员市场调查，估价对象修建年代为2006年，并以此为估价依据。</w:t>
      </w:r>
    </w:p>
    <w:p>
      <w:pPr>
        <w:spacing w:line="440" w:lineRule="exact"/>
        <w:rPr>
          <w:rFonts w:hint="default" w:ascii="仿宋_GB2312" w:eastAsia="仿宋_GB2312"/>
          <w:sz w:val="28"/>
          <w:szCs w:val="28"/>
          <w:lang w:val="en-US" w:eastAsia="zh-CN"/>
        </w:rPr>
      </w:pPr>
      <w:r>
        <w:rPr>
          <w:rFonts w:hint="eastAsia" w:ascii="仿宋_GB2312" w:eastAsia="仿宋_GB2312"/>
          <w:sz w:val="28"/>
          <w:szCs w:val="28"/>
          <w:lang w:val="en-US" w:eastAsia="zh-CN"/>
        </w:rPr>
        <w:t>3.</w:t>
      </w:r>
      <w:r>
        <w:rPr>
          <w:rFonts w:hint="eastAsia" w:ascii="仿宋_GB2312" w:eastAsia="仿宋_GB2312"/>
          <w:sz w:val="28"/>
          <w:szCs w:val="28"/>
          <w:lang w:eastAsia="zh-CN"/>
        </w:rPr>
        <w:t>位于铁克其路</w:t>
      </w:r>
      <w:r>
        <w:rPr>
          <w:rFonts w:hint="eastAsia" w:ascii="仿宋_GB2312" w:eastAsia="仿宋_GB2312"/>
          <w:sz w:val="28"/>
          <w:szCs w:val="28"/>
          <w:lang w:val="en-US" w:eastAsia="zh-CN"/>
        </w:rPr>
        <w:t>13号龙腾居3栋12层2单元1201</w:t>
      </w:r>
      <w:r>
        <w:rPr>
          <w:rFonts w:hint="eastAsia" w:ascii="仿宋_GB2312" w:eastAsia="仿宋_GB2312"/>
          <w:sz w:val="28"/>
          <w:szCs w:val="28"/>
          <w:lang w:eastAsia="zh-CN"/>
        </w:rPr>
        <w:t>房屋</w:t>
      </w:r>
      <w:r>
        <w:rPr>
          <w:rFonts w:hint="eastAsia" w:ascii="仿宋_GB2312" w:eastAsia="仿宋_GB2312"/>
          <w:sz w:val="28"/>
          <w:szCs w:val="28"/>
        </w:rPr>
        <w:t>委托方提供的资料未记载</w:t>
      </w:r>
      <w:r>
        <w:rPr>
          <w:rFonts w:hint="eastAsia" w:ascii="仿宋_GB2312" w:eastAsia="仿宋_GB2312"/>
          <w:sz w:val="28"/>
          <w:szCs w:val="28"/>
          <w:lang w:eastAsia="zh-CN"/>
        </w:rPr>
        <w:t>建筑结构</w:t>
      </w:r>
      <w:r>
        <w:rPr>
          <w:rFonts w:hint="eastAsia" w:ascii="仿宋_GB2312" w:eastAsia="仿宋_GB2312"/>
          <w:sz w:val="28"/>
          <w:szCs w:val="28"/>
        </w:rPr>
        <w:t>，根据估价人员</w:t>
      </w:r>
      <w:r>
        <w:rPr>
          <w:rFonts w:hint="eastAsia" w:ascii="仿宋_GB2312" w:eastAsia="仿宋_GB2312"/>
          <w:sz w:val="28"/>
          <w:szCs w:val="28"/>
          <w:lang w:eastAsia="zh-CN"/>
        </w:rPr>
        <w:t>现场查勘</w:t>
      </w:r>
      <w:r>
        <w:rPr>
          <w:rFonts w:hint="eastAsia" w:ascii="仿宋_GB2312" w:eastAsia="仿宋_GB2312"/>
          <w:sz w:val="28"/>
          <w:szCs w:val="28"/>
        </w:rPr>
        <w:t>，估价对象</w:t>
      </w:r>
      <w:r>
        <w:rPr>
          <w:rFonts w:hint="eastAsia" w:ascii="仿宋_GB2312" w:eastAsia="仿宋_GB2312"/>
          <w:sz w:val="28"/>
          <w:szCs w:val="28"/>
          <w:lang w:eastAsia="zh-CN"/>
        </w:rPr>
        <w:t>为钢筋混凝土结构</w:t>
      </w:r>
      <w:r>
        <w:rPr>
          <w:rFonts w:hint="eastAsia" w:ascii="仿宋_GB2312" w:eastAsia="仿宋_GB2312"/>
          <w:sz w:val="28"/>
          <w:szCs w:val="28"/>
        </w:rPr>
        <w:t>，并以此为估价依据。</w:t>
      </w:r>
    </w:p>
    <w:p>
      <w:pPr>
        <w:spacing w:line="440" w:lineRule="exact"/>
        <w:rPr>
          <w:rFonts w:ascii="仿宋_GB2312" w:eastAsia="仿宋_GB2312"/>
          <w:sz w:val="28"/>
          <w:szCs w:val="28"/>
        </w:rPr>
      </w:pPr>
      <w:r>
        <w:rPr>
          <w:rFonts w:hint="eastAsia" w:ascii="仿宋_GB2312" w:eastAsia="仿宋_GB2312"/>
          <w:sz w:val="28"/>
          <w:szCs w:val="28"/>
        </w:rPr>
        <w:t>三、背离事实假设</w:t>
      </w:r>
    </w:p>
    <w:p>
      <w:pPr>
        <w:spacing w:line="440" w:lineRule="exact"/>
        <w:rPr>
          <w:rFonts w:ascii="仿宋_GB2312" w:eastAsia="仿宋_GB2312"/>
          <w:sz w:val="28"/>
          <w:szCs w:val="28"/>
        </w:rPr>
      </w:pPr>
      <w:r>
        <w:rPr>
          <w:rFonts w:hint="eastAsia" w:ascii="仿宋_GB2312" w:eastAsia="仿宋_GB2312"/>
          <w:sz w:val="28"/>
          <w:szCs w:val="28"/>
        </w:rPr>
        <w:t>1.本次估价价值时点为 2019年10月21日，实地查勘日期为2019年10月29日，价值时点与实地查勘日期不一致，本次估价假定价值时点的状况与完成实地查勘之日的状况一致。</w:t>
      </w:r>
    </w:p>
    <w:p>
      <w:pPr>
        <w:spacing w:line="440" w:lineRule="exact"/>
        <w:rPr>
          <w:rFonts w:ascii="仿宋_GB2312" w:eastAsia="仿宋_GB2312"/>
          <w:sz w:val="28"/>
          <w:szCs w:val="28"/>
        </w:rPr>
      </w:pPr>
      <w:r>
        <w:rPr>
          <w:rFonts w:hint="eastAsia" w:ascii="仿宋_GB2312" w:eastAsia="仿宋_GB2312"/>
          <w:sz w:val="28"/>
          <w:szCs w:val="28"/>
        </w:rPr>
        <w:t>2.估价结果未考虑估价对象及其所有权人已承担的债务、或有债务对其价值的影响。</w:t>
      </w:r>
    </w:p>
    <w:p>
      <w:pPr>
        <w:spacing w:line="440" w:lineRule="exact"/>
        <w:rPr>
          <w:rFonts w:ascii="仿宋_GB2312" w:eastAsia="仿宋_GB2312"/>
          <w:sz w:val="28"/>
          <w:szCs w:val="28"/>
        </w:rPr>
      </w:pPr>
      <w:r>
        <w:rPr>
          <w:rFonts w:hint="eastAsia" w:ascii="仿宋_GB2312" w:eastAsia="仿宋_GB2312"/>
          <w:sz w:val="28"/>
          <w:szCs w:val="28"/>
        </w:rPr>
        <w:t>四、不相一致假设</w:t>
      </w:r>
    </w:p>
    <w:p>
      <w:pPr>
        <w:spacing w:line="440" w:lineRule="exact"/>
        <w:rPr>
          <w:rFonts w:ascii="仿宋_GB2312" w:eastAsia="仿宋_GB2312"/>
          <w:sz w:val="28"/>
          <w:szCs w:val="28"/>
        </w:rPr>
      </w:pPr>
      <w:r>
        <w:rPr>
          <w:rFonts w:hint="eastAsia" w:ascii="仿宋_GB2312" w:eastAsia="仿宋_GB2312"/>
          <w:sz w:val="28"/>
          <w:szCs w:val="28"/>
        </w:rPr>
        <w:t>无不相一致假设</w:t>
      </w:r>
    </w:p>
    <w:p>
      <w:pPr>
        <w:pStyle w:val="11"/>
        <w:adjustRightInd w:val="0"/>
        <w:snapToGrid w:val="0"/>
        <w:spacing w:line="440" w:lineRule="exact"/>
        <w:rPr>
          <w:rFonts w:ascii="仿宋_GB2312" w:eastAsia="仿宋_GB2312"/>
          <w:sz w:val="28"/>
          <w:szCs w:val="28"/>
        </w:rPr>
      </w:pPr>
      <w:r>
        <w:rPr>
          <w:rFonts w:hint="eastAsia" w:ascii="仿宋_GB2312" w:hAnsi="Arial" w:eastAsia="仿宋_GB2312"/>
          <w:kern w:val="44"/>
          <w:sz w:val="28"/>
          <w:szCs w:val="28"/>
        </w:rPr>
        <w:t>五、依据不足假设</w:t>
      </w:r>
    </w:p>
    <w:p>
      <w:pPr>
        <w:spacing w:line="440" w:lineRule="exact"/>
        <w:rPr>
          <w:rFonts w:hint="eastAsia" w:ascii="仿宋_GB2312" w:eastAsia="仿宋_GB2312"/>
          <w:sz w:val="28"/>
          <w:szCs w:val="28"/>
          <w:lang w:eastAsia="zh-CN"/>
        </w:rPr>
      </w:pPr>
      <w:r>
        <w:rPr>
          <w:rFonts w:hint="eastAsia" w:ascii="仿宋_GB2312" w:eastAsia="仿宋_GB2312"/>
          <w:sz w:val="28"/>
          <w:szCs w:val="28"/>
        </w:rPr>
        <w:t>1.</w:t>
      </w:r>
      <w:bookmarkStart w:id="24" w:name="_Toc503261504"/>
      <w:bookmarkStart w:id="25" w:name="_Toc505607000"/>
      <w:bookmarkStart w:id="26" w:name="_Toc499561848"/>
      <w:bookmarkStart w:id="27" w:name="_Toc505608908"/>
      <w:bookmarkStart w:id="28" w:name="_Toc490812578"/>
      <w:r>
        <w:rPr>
          <w:rFonts w:hint="eastAsia" w:ascii="仿宋_GB2312" w:eastAsia="仿宋_GB2312"/>
          <w:sz w:val="28"/>
          <w:szCs w:val="28"/>
          <w:lang w:eastAsia="zh-CN"/>
        </w:rPr>
        <w:t>无依据不足假设</w:t>
      </w:r>
    </w:p>
    <w:p>
      <w:pPr>
        <w:spacing w:line="440" w:lineRule="exact"/>
        <w:rPr>
          <w:rFonts w:ascii="仿宋_GB2312" w:eastAsia="仿宋_GB2312"/>
          <w:sz w:val="28"/>
          <w:szCs w:val="28"/>
        </w:rPr>
      </w:pPr>
      <w:r>
        <w:rPr>
          <w:rFonts w:hint="eastAsia" w:ascii="仿宋_GB2312" w:eastAsia="仿宋_GB2312"/>
          <w:sz w:val="28"/>
          <w:szCs w:val="28"/>
        </w:rPr>
        <w:t>六、估价报告使用限制</w:t>
      </w:r>
      <w:bookmarkEnd w:id="24"/>
      <w:bookmarkEnd w:id="25"/>
      <w:bookmarkEnd w:id="26"/>
      <w:bookmarkEnd w:id="27"/>
      <w:bookmarkEnd w:id="28"/>
    </w:p>
    <w:p>
      <w:pPr>
        <w:spacing w:line="440" w:lineRule="exact"/>
        <w:rPr>
          <w:rFonts w:ascii="仿宋_GB2312" w:eastAsia="仿宋_GB2312"/>
          <w:sz w:val="28"/>
          <w:szCs w:val="28"/>
        </w:rPr>
      </w:pPr>
      <w:r>
        <w:rPr>
          <w:rFonts w:hint="eastAsia" w:ascii="仿宋_GB2312" w:eastAsia="仿宋_GB2312"/>
          <w:sz w:val="28"/>
          <w:szCs w:val="28"/>
        </w:rPr>
        <w:t>1、本报告是受和硕县人民法院委托，评估对象位于新疆维吾尔自治区巴音郭楞蒙古自治州和硕县龙驹商业小区2号楼3-2（右）和库尔勒新城辖区铁克其路13号龙腾居3栋12层2单元1201室的房地产，目的是为委托方确定财产处置参考价提供价值参考依据。不作为其他评估目的使用。</w:t>
      </w:r>
    </w:p>
    <w:p>
      <w:pPr>
        <w:spacing w:line="440" w:lineRule="exact"/>
        <w:rPr>
          <w:rFonts w:ascii="仿宋_GB2312" w:eastAsia="仿宋_GB2312"/>
          <w:sz w:val="28"/>
          <w:szCs w:val="28"/>
        </w:rPr>
      </w:pPr>
      <w:r>
        <w:rPr>
          <w:rFonts w:hint="eastAsia" w:ascii="仿宋_GB2312" w:eastAsia="仿宋_GB2312"/>
          <w:sz w:val="28"/>
          <w:szCs w:val="28"/>
        </w:rPr>
        <w:t>2、未经评估单位书面同意，本报告的全部或任何一部分均不得向估价委托人、报告使用者、报告审查部门之外的单位和个人提供，也不得以任何形式公开发表。</w:t>
      </w:r>
    </w:p>
    <w:p>
      <w:pPr>
        <w:spacing w:line="440" w:lineRule="exact"/>
        <w:rPr>
          <w:rFonts w:ascii="仿宋_GB2312" w:eastAsia="仿宋_GB2312"/>
          <w:sz w:val="28"/>
          <w:szCs w:val="28"/>
        </w:rPr>
      </w:pPr>
      <w:r>
        <w:rPr>
          <w:rFonts w:hint="eastAsia" w:ascii="仿宋_GB2312" w:eastAsia="仿宋_GB2312"/>
          <w:sz w:val="28"/>
          <w:szCs w:val="28"/>
        </w:rPr>
        <w:t>3、本报告必须完整使用方为有效，对仅使用本报告中部份内容而导致可能的损失，本估价机构不承担责任。</w:t>
      </w:r>
    </w:p>
    <w:p>
      <w:pPr>
        <w:spacing w:line="440" w:lineRule="exact"/>
        <w:rPr>
          <w:rFonts w:ascii="仿宋_GB2312" w:eastAsia="仿宋_GB2312"/>
          <w:sz w:val="28"/>
          <w:szCs w:val="28"/>
        </w:rPr>
      </w:pPr>
      <w:r>
        <w:rPr>
          <w:rFonts w:hint="eastAsia" w:ascii="仿宋_GB2312" w:eastAsia="仿宋_GB2312"/>
          <w:sz w:val="28"/>
          <w:szCs w:val="28"/>
        </w:rPr>
        <w:t>4、本估价报告的有效期为一年，自估价报告出具之日起计算，如在价值时点之后、报告使用期内，估价对象或因国家经济形势、城市规划、房地产税费政策、估价对象自身状况等发生重大变化，对估价结果产生明显影响时，委托方应及时聘请房地产评估机构对估价结果作相应调整或重新估价。</w:t>
      </w:r>
    </w:p>
    <w:p>
      <w:pPr>
        <w:spacing w:line="440" w:lineRule="exact"/>
        <w:rPr>
          <w:rFonts w:ascii="仿宋_GB2312" w:eastAsia="仿宋_GB2312"/>
          <w:sz w:val="28"/>
          <w:szCs w:val="28"/>
        </w:rPr>
      </w:pPr>
      <w:r>
        <w:rPr>
          <w:rFonts w:hint="eastAsia" w:ascii="仿宋_GB2312" w:eastAsia="仿宋_GB2312"/>
          <w:sz w:val="28"/>
          <w:szCs w:val="28"/>
        </w:rPr>
        <w:t>5、本次估价结果是指在目前房地产市场状况下、估价对象在现状利用条件下的房地产市场价值，包括国有土地使用权价值和与房屋有关的土建、安装、装修及室外附属工程价值，不包括可移动的家具、电器等物品价值。</w:t>
      </w:r>
    </w:p>
    <w:p>
      <w:pPr>
        <w:pStyle w:val="32"/>
        <w:topLinePunct/>
        <w:adjustRightInd w:val="0"/>
        <w:snapToGrid w:val="0"/>
        <w:spacing w:line="440" w:lineRule="exact"/>
        <w:ind w:firstLine="0" w:firstLineChars="0"/>
        <w:rPr>
          <w:rFonts w:ascii="仿宋_GB2312" w:eastAsia="仿宋_GB2312" w:hAnsiTheme="minorHAnsi" w:cstheme="minorBidi"/>
          <w:sz w:val="28"/>
          <w:szCs w:val="28"/>
        </w:rPr>
      </w:pPr>
      <w:r>
        <w:rPr>
          <w:rFonts w:hint="eastAsia" w:ascii="仿宋_GB2312" w:eastAsia="仿宋_GB2312" w:hAnsiTheme="minorHAnsi" w:cstheme="minorBidi"/>
          <w:sz w:val="28"/>
          <w:szCs w:val="28"/>
        </w:rPr>
        <w:t>6、本次估价报告一式</w:t>
      </w:r>
      <w:r>
        <w:rPr>
          <w:rFonts w:hint="eastAsia" w:ascii="仿宋_GB2312" w:eastAsia="仿宋_GB2312" w:hAnsiTheme="minorHAnsi" w:cstheme="minorBidi"/>
          <w:sz w:val="28"/>
          <w:szCs w:val="28"/>
          <w:lang w:val="en-US" w:eastAsia="zh-CN"/>
        </w:rPr>
        <w:t>5</w:t>
      </w:r>
      <w:r>
        <w:rPr>
          <w:rFonts w:hint="eastAsia" w:ascii="仿宋_GB2312" w:eastAsia="仿宋_GB2312" w:hAnsiTheme="minorHAnsi" w:cstheme="minorBidi"/>
          <w:sz w:val="28"/>
          <w:szCs w:val="28"/>
        </w:rPr>
        <w:t>份，其中</w:t>
      </w:r>
      <w:r>
        <w:rPr>
          <w:rFonts w:hint="eastAsia" w:ascii="仿宋_GB2312" w:eastAsia="仿宋_GB2312" w:hAnsiTheme="minorHAnsi" w:cstheme="minorBidi"/>
          <w:sz w:val="28"/>
          <w:szCs w:val="28"/>
          <w:lang w:val="en-US" w:eastAsia="zh-CN"/>
        </w:rPr>
        <w:t>4</w:t>
      </w:r>
      <w:r>
        <w:rPr>
          <w:rFonts w:hint="eastAsia" w:ascii="仿宋_GB2312" w:eastAsia="仿宋_GB2312" w:hAnsiTheme="minorHAnsi" w:cstheme="minorBidi"/>
          <w:sz w:val="28"/>
          <w:szCs w:val="28"/>
        </w:rPr>
        <w:t>份交付给委托方，1份由估价机构留存，本估价报告分为“估价结果报告”和“估价技术报告”，本次只提供“估价结果报告”给委托方，估价技术报告按照规定由估价机构存档。</w:t>
      </w:r>
    </w:p>
    <w:p>
      <w:pPr>
        <w:spacing w:line="440" w:lineRule="exact"/>
        <w:rPr>
          <w:rFonts w:ascii="仿宋_GB2312" w:eastAsia="仿宋_GB2312"/>
          <w:sz w:val="28"/>
          <w:szCs w:val="28"/>
        </w:rPr>
      </w:pPr>
      <w:r>
        <w:rPr>
          <w:rFonts w:hint="eastAsia" w:ascii="仿宋_GB2312" w:eastAsia="仿宋_GB2312"/>
          <w:sz w:val="28"/>
          <w:szCs w:val="28"/>
        </w:rPr>
        <w:t>7、报告中所使用的货币单位为人民币，对估价结果均进行取整。</w:t>
      </w:r>
    </w:p>
    <w:p>
      <w:pPr>
        <w:pStyle w:val="3"/>
        <w:topLinePunct/>
        <w:adjustRightInd w:val="0"/>
        <w:snapToGrid w:val="0"/>
        <w:spacing w:before="0" w:after="0" w:line="440" w:lineRule="exact"/>
        <w:rPr>
          <w:rFonts w:ascii="仿宋_GB2312" w:hAnsi="仿宋_GB2312" w:eastAsia="仿宋_GB2312" w:cs="仿宋_GB2312"/>
          <w:b w:val="0"/>
          <w:bCs w:val="0"/>
          <w:sz w:val="21"/>
          <w:szCs w:val="21"/>
        </w:rPr>
      </w:pPr>
      <w:r>
        <w:rPr>
          <w:rFonts w:hint="eastAsia" w:ascii="仿宋_GB2312" w:eastAsia="仿宋_GB2312"/>
          <w:b w:val="0"/>
          <w:bCs w:val="0"/>
          <w:sz w:val="28"/>
          <w:szCs w:val="28"/>
        </w:rPr>
        <w:t>8、本估价报告由新疆德旺房地</w:t>
      </w:r>
      <w:r>
        <w:rPr>
          <w:rFonts w:hint="eastAsia" w:ascii="仿宋_GB2312" w:hAnsi="宋体" w:eastAsia="仿宋_GB2312"/>
          <w:b w:val="0"/>
          <w:bCs w:val="0"/>
          <w:sz w:val="28"/>
        </w:rPr>
        <w:t>产估价事务所（有限公司）负责解释。</w:t>
      </w:r>
    </w:p>
    <w:bookmarkEnd w:id="15"/>
    <w:p>
      <w:pPr>
        <w:rPr>
          <w:rFonts w:ascii="仿宋_GB2312" w:hAnsi="仿宋_GB2312" w:eastAsia="仿宋_GB2312" w:cs="仿宋_GB2312"/>
        </w:rPr>
      </w:pPr>
      <w:r>
        <w:rPr>
          <w:rFonts w:hint="eastAsia" w:ascii="仿宋_GB2312" w:hAnsi="仿宋_GB2312" w:eastAsia="仿宋_GB2312" w:cs="仿宋_GB2312"/>
        </w:rPr>
        <w:br w:type="page"/>
      </w:r>
    </w:p>
    <w:p>
      <w:pPr>
        <w:pStyle w:val="2"/>
        <w:spacing w:before="0" w:after="0" w:line="240" w:lineRule="auto"/>
        <w:jc w:val="center"/>
        <w:rPr>
          <w:rFonts w:ascii="仿宋_GB2312" w:hAnsi="仿宋_GB2312" w:eastAsia="仿宋_GB2312" w:cs="仿宋_GB2312"/>
          <w:color w:val="C0AD72"/>
          <w:spacing w:val="20"/>
          <w:sz w:val="36"/>
          <w:szCs w:val="36"/>
        </w:rPr>
      </w:pPr>
      <w:bookmarkStart w:id="29" w:name="_Toc492480512"/>
      <w:bookmarkStart w:id="30" w:name="_Toc505607001"/>
      <w:bookmarkStart w:id="31" w:name="_Toc503261505"/>
      <w:bookmarkStart w:id="32" w:name="_Toc505608909"/>
      <w:bookmarkStart w:id="33" w:name="PO_5"/>
      <w:r>
        <w:rPr>
          <w:rFonts w:hint="eastAsia" w:ascii="仿宋_GB2312" w:hAnsi="仿宋_GB2312" w:eastAsia="仿宋_GB2312" w:cs="仿宋_GB2312"/>
          <w:color w:val="C0AD72"/>
          <w:spacing w:val="20"/>
          <w:sz w:val="36"/>
          <w:szCs w:val="36"/>
        </w:rPr>
        <w:t>估价结果报告</w:t>
      </w:r>
      <w:bookmarkEnd w:id="29"/>
      <w:bookmarkEnd w:id="30"/>
      <w:bookmarkEnd w:id="31"/>
      <w:bookmarkEnd w:id="32"/>
    </w:p>
    <w:p>
      <w:pPr>
        <w:widowControl/>
        <w:topLinePunct/>
        <w:adjustRightInd w:val="0"/>
        <w:snapToGrid w:val="0"/>
        <w:spacing w:afterLines="200"/>
        <w:jc w:val="center"/>
        <w:rPr>
          <w:rFonts w:ascii="仿宋_GB2312" w:hAnsi="仿宋_GB2312" w:eastAsia="仿宋_GB2312" w:cs="仿宋_GB2312"/>
          <w:b/>
          <w:color w:val="C3AD72"/>
          <w:kern w:val="0"/>
          <w:szCs w:val="21"/>
        </w:rPr>
      </w:pPr>
      <w:r>
        <w:rPr>
          <w:rFonts w:hint="eastAsia" w:ascii="仿宋_GB2312" w:hAnsi="仿宋_GB2312" w:eastAsia="仿宋_GB2312" w:cs="仿宋_GB2312"/>
          <w:b/>
          <w:color w:val="C3AD72"/>
          <w:kern w:val="0"/>
          <w:szCs w:val="21"/>
        </w:rPr>
        <w:t>Summary Appraisal Report</w:t>
      </w:r>
    </w:p>
    <w:bookmarkEnd w:id="33"/>
    <w:p>
      <w:pPr>
        <w:rPr>
          <w:rFonts w:ascii="仿宋_GB2312" w:eastAsia="仿宋_GB2312"/>
        </w:rPr>
      </w:pPr>
      <w:bookmarkStart w:id="34" w:name="_Toc382818536"/>
      <w:bookmarkStart w:id="35" w:name="_Toc362509731"/>
      <w:bookmarkStart w:id="36" w:name="PO_16"/>
      <w:r>
        <w:rPr>
          <w:rFonts w:hint="eastAsia" w:ascii="仿宋_GB2312" w:hAnsi="Courier New" w:eastAsia="仿宋_GB2312"/>
          <w:sz w:val="28"/>
        </w:rPr>
        <w:t>（一）</w:t>
      </w:r>
      <w:r>
        <w:rPr>
          <w:rFonts w:hint="eastAsia" w:ascii="仿宋_GB2312" w:hAnsi="Courier New" w:eastAsia="仿宋_GB2312"/>
          <w:sz w:val="28"/>
          <w:szCs w:val="28"/>
        </w:rPr>
        <w:t>估价委托</w:t>
      </w:r>
      <w:bookmarkEnd w:id="34"/>
      <w:bookmarkEnd w:id="35"/>
      <w:r>
        <w:rPr>
          <w:rFonts w:hint="eastAsia" w:ascii="仿宋_GB2312" w:hAnsi="Courier New" w:eastAsia="仿宋_GB2312"/>
          <w:sz w:val="28"/>
          <w:szCs w:val="28"/>
        </w:rPr>
        <w:t>人</w:t>
      </w:r>
    </w:p>
    <w:p>
      <w:pPr>
        <w:tabs>
          <w:tab w:val="left" w:pos="1540"/>
          <w:tab w:val="left" w:pos="2380"/>
        </w:tabs>
        <w:spacing w:line="460" w:lineRule="exact"/>
        <w:ind w:firstLine="315" w:firstLineChars="150"/>
        <w:rPr>
          <w:rFonts w:ascii="仿宋_GB2312" w:hAnsi="宋体" w:eastAsia="仿宋_GB2312"/>
          <w:sz w:val="28"/>
        </w:rPr>
      </w:pPr>
      <w:r>
        <w:rPr>
          <w:rFonts w:hint="eastAsia" w:ascii="仿宋_GB2312" w:eastAsia="仿宋_GB2312"/>
        </w:rPr>
        <w:t xml:space="preserve">     </w:t>
      </w:r>
      <w:r>
        <w:rPr>
          <w:rFonts w:hint="eastAsia" w:ascii="仿宋_GB2312" w:hAnsi="宋体" w:eastAsia="仿宋_GB2312"/>
          <w:sz w:val="28"/>
        </w:rPr>
        <w:t xml:space="preserve">委托方：和硕县人民法院 </w:t>
      </w:r>
    </w:p>
    <w:p>
      <w:pPr>
        <w:tabs>
          <w:tab w:val="left" w:pos="1540"/>
          <w:tab w:val="left" w:pos="2380"/>
        </w:tabs>
        <w:spacing w:line="460" w:lineRule="exact"/>
        <w:ind w:firstLine="420" w:firstLineChars="150"/>
        <w:rPr>
          <w:rFonts w:ascii="仿宋_GB2312" w:hAnsi="宋体" w:eastAsia="仿宋_GB2312"/>
          <w:sz w:val="28"/>
        </w:rPr>
      </w:pPr>
      <w:r>
        <w:rPr>
          <w:rFonts w:hint="eastAsia" w:ascii="仿宋_GB2312" w:hAnsi="宋体" w:eastAsia="仿宋_GB2312"/>
          <w:sz w:val="28"/>
        </w:rPr>
        <w:t xml:space="preserve">   承办法官：张法官（17799503639）</w:t>
      </w:r>
    </w:p>
    <w:p>
      <w:pPr>
        <w:spacing w:line="460" w:lineRule="exact"/>
        <w:rPr>
          <w:rFonts w:ascii="仿宋_GB2312" w:eastAsia="仿宋_GB2312"/>
        </w:rPr>
      </w:pPr>
      <w:bookmarkStart w:id="37" w:name="_Toc362509734"/>
      <w:bookmarkStart w:id="38" w:name="_Toc382818537"/>
      <w:r>
        <w:rPr>
          <w:rFonts w:hint="eastAsia" w:ascii="仿宋_GB2312" w:hAnsi="Courier New" w:eastAsia="仿宋_GB2312"/>
          <w:sz w:val="28"/>
        </w:rPr>
        <w:t>（二）</w:t>
      </w:r>
      <w:bookmarkEnd w:id="37"/>
      <w:r>
        <w:rPr>
          <w:rFonts w:hint="eastAsia" w:ascii="仿宋_GB2312" w:hAnsi="Courier New" w:eastAsia="仿宋_GB2312"/>
          <w:sz w:val="28"/>
          <w:szCs w:val="28"/>
        </w:rPr>
        <w:t>房地产估价机构</w:t>
      </w:r>
      <w:bookmarkEnd w:id="38"/>
    </w:p>
    <w:p>
      <w:pPr>
        <w:spacing w:line="460" w:lineRule="exact"/>
        <w:rPr>
          <w:rFonts w:ascii="仿宋_GB2312" w:hAnsi="宋体" w:eastAsia="仿宋_GB2312"/>
          <w:sz w:val="28"/>
        </w:rPr>
      </w:pPr>
      <w:r>
        <w:rPr>
          <w:rFonts w:hint="eastAsia" w:ascii="仿宋_GB2312" w:eastAsia="仿宋_GB2312"/>
        </w:rPr>
        <w:t xml:space="preserve">          </w:t>
      </w:r>
      <w:r>
        <w:rPr>
          <w:rFonts w:hint="eastAsia" w:ascii="仿宋_GB2312" w:hAnsi="宋体" w:eastAsia="仿宋_GB2312"/>
          <w:sz w:val="28"/>
        </w:rPr>
        <w:t>估价方：新疆德旺房地产估价事务所（有限公司）</w:t>
      </w:r>
    </w:p>
    <w:p>
      <w:pPr>
        <w:spacing w:line="460" w:lineRule="exact"/>
        <w:ind w:firstLine="1120" w:firstLineChars="400"/>
        <w:rPr>
          <w:rFonts w:ascii="仿宋_GB2312" w:hAnsi="宋体" w:eastAsia="仿宋_GB2312"/>
          <w:sz w:val="28"/>
        </w:rPr>
      </w:pPr>
      <w:r>
        <w:rPr>
          <w:rFonts w:hint="eastAsia" w:ascii="仿宋_GB2312" w:hAnsi="宋体" w:eastAsia="仿宋_GB2312"/>
          <w:sz w:val="28"/>
        </w:rPr>
        <w:t>营业执照号码：916501007108842694</w:t>
      </w:r>
    </w:p>
    <w:p>
      <w:pPr>
        <w:tabs>
          <w:tab w:val="left" w:pos="1540"/>
          <w:tab w:val="left" w:pos="2380"/>
        </w:tabs>
        <w:spacing w:line="460" w:lineRule="exact"/>
        <w:ind w:firstLine="420" w:firstLineChars="150"/>
        <w:rPr>
          <w:rFonts w:ascii="仿宋_GB2312" w:eastAsia="仿宋_GB2312"/>
          <w:sz w:val="28"/>
        </w:rPr>
      </w:pPr>
      <w:r>
        <w:rPr>
          <w:rFonts w:hint="eastAsia" w:ascii="仿宋_GB2312" w:hAnsi="宋体" w:eastAsia="仿宋_GB2312"/>
          <w:sz w:val="28"/>
        </w:rPr>
        <w:t xml:space="preserve">     法定代表人：张岚</w:t>
      </w:r>
    </w:p>
    <w:p>
      <w:pPr>
        <w:tabs>
          <w:tab w:val="left" w:pos="1540"/>
          <w:tab w:val="left" w:pos="2380"/>
        </w:tabs>
        <w:spacing w:line="460" w:lineRule="exact"/>
        <w:ind w:firstLine="567"/>
        <w:rPr>
          <w:rFonts w:ascii="仿宋_GB2312" w:eastAsia="仿宋_GB2312"/>
          <w:sz w:val="28"/>
        </w:rPr>
      </w:pPr>
      <w:r>
        <w:rPr>
          <w:rFonts w:hint="eastAsia" w:ascii="仿宋_GB2312" w:hAnsi="宋体" w:eastAsia="仿宋_GB2312"/>
          <w:sz w:val="28"/>
        </w:rPr>
        <w:t xml:space="preserve">    资格等级：贰级</w:t>
      </w:r>
    </w:p>
    <w:p>
      <w:pPr>
        <w:tabs>
          <w:tab w:val="left" w:pos="1540"/>
          <w:tab w:val="left" w:pos="2380"/>
        </w:tabs>
        <w:spacing w:line="460" w:lineRule="exact"/>
        <w:ind w:firstLine="420" w:firstLineChars="150"/>
        <w:rPr>
          <w:rFonts w:ascii="仿宋_GB2312" w:eastAsia="仿宋_GB2312"/>
          <w:sz w:val="28"/>
        </w:rPr>
      </w:pPr>
      <w:r>
        <w:rPr>
          <w:rFonts w:hint="eastAsia" w:ascii="仿宋_GB2312" w:hAnsi="宋体" w:eastAsia="仿宋_GB2312"/>
          <w:sz w:val="28"/>
        </w:rPr>
        <w:t xml:space="preserve">     资格编号：新建估证2-012</w:t>
      </w:r>
    </w:p>
    <w:p>
      <w:pPr>
        <w:tabs>
          <w:tab w:val="left" w:pos="1540"/>
          <w:tab w:val="left" w:pos="2380"/>
        </w:tabs>
        <w:spacing w:line="460" w:lineRule="exact"/>
        <w:ind w:firstLine="420" w:firstLineChars="150"/>
        <w:rPr>
          <w:rFonts w:ascii="仿宋_GB2312" w:eastAsia="仿宋_GB2312"/>
          <w:color w:val="FF0000"/>
          <w:sz w:val="28"/>
        </w:rPr>
      </w:pPr>
      <w:r>
        <w:rPr>
          <w:rFonts w:hint="eastAsia" w:ascii="仿宋_GB2312" w:hAnsi="宋体" w:eastAsia="仿宋_GB2312"/>
          <w:sz w:val="28"/>
        </w:rPr>
        <w:t xml:space="preserve">     资质证书有效期</w:t>
      </w:r>
      <w:r>
        <w:rPr>
          <w:rFonts w:hint="eastAsia" w:ascii="仿宋_GB2312" w:hAnsi="宋体" w:eastAsia="仿宋_GB2312"/>
          <w:color w:val="FF0000"/>
          <w:sz w:val="28"/>
        </w:rPr>
        <w:t>：2019年7月10日至2022年7月10日</w:t>
      </w:r>
    </w:p>
    <w:p>
      <w:pPr>
        <w:tabs>
          <w:tab w:val="left" w:pos="1540"/>
          <w:tab w:val="left" w:pos="2380"/>
        </w:tabs>
        <w:spacing w:line="460" w:lineRule="exact"/>
        <w:ind w:firstLine="420" w:firstLineChars="150"/>
        <w:rPr>
          <w:rFonts w:ascii="仿宋_GB2312" w:hAnsi="宋体" w:eastAsia="仿宋_GB2312"/>
          <w:sz w:val="28"/>
        </w:rPr>
      </w:pPr>
      <w:r>
        <w:rPr>
          <w:rFonts w:hint="eastAsia" w:ascii="仿宋_GB2312" w:hAnsi="宋体" w:eastAsia="仿宋_GB2312"/>
          <w:sz w:val="28"/>
        </w:rPr>
        <w:t xml:space="preserve">     联系人：戴涛    联系电话：09912325519</w:t>
      </w:r>
    </w:p>
    <w:p>
      <w:pPr>
        <w:tabs>
          <w:tab w:val="left" w:pos="1540"/>
          <w:tab w:val="left" w:pos="2380"/>
        </w:tabs>
        <w:spacing w:line="460" w:lineRule="exact"/>
        <w:ind w:firstLine="420" w:firstLineChars="150"/>
        <w:rPr>
          <w:rFonts w:ascii="仿宋_GB2312" w:eastAsia="仿宋_GB2312"/>
          <w:sz w:val="28"/>
        </w:rPr>
      </w:pPr>
      <w:r>
        <w:rPr>
          <w:rFonts w:hint="eastAsia" w:ascii="仿宋_GB2312" w:hAnsi="宋体" w:eastAsia="仿宋_GB2312"/>
          <w:sz w:val="28"/>
        </w:rPr>
        <w:t xml:space="preserve">     地 址：乌鲁木齐东风路聚天大厦6F</w:t>
      </w:r>
    </w:p>
    <w:p>
      <w:pPr>
        <w:pStyle w:val="11"/>
        <w:spacing w:line="460" w:lineRule="exact"/>
        <w:rPr>
          <w:rFonts w:ascii="仿宋_GB2312" w:hAnsi="宋体" w:eastAsia="仿宋_GB2312"/>
          <w:sz w:val="28"/>
        </w:rPr>
      </w:pPr>
      <w:r>
        <w:rPr>
          <w:rFonts w:hint="eastAsia" w:ascii="仿宋_GB2312" w:eastAsia="仿宋_GB2312"/>
          <w:sz w:val="28"/>
        </w:rPr>
        <w:t>（三）</w:t>
      </w:r>
      <w:r>
        <w:rPr>
          <w:rFonts w:hint="eastAsia" w:ascii="仿宋_GB2312" w:eastAsia="仿宋_GB2312"/>
          <w:sz w:val="28"/>
          <w:szCs w:val="28"/>
        </w:rPr>
        <w:t>估价目的：</w:t>
      </w:r>
      <w:r>
        <w:rPr>
          <w:rFonts w:hint="eastAsia" w:ascii="仿宋_GB2312" w:hAnsi="宋体" w:eastAsia="仿宋_GB2312"/>
          <w:sz w:val="28"/>
        </w:rPr>
        <w:t>为委托方确定财产处置参考价提供价值参考依据。</w:t>
      </w:r>
    </w:p>
    <w:p>
      <w:pPr>
        <w:tabs>
          <w:tab w:val="left" w:pos="1540"/>
          <w:tab w:val="left" w:pos="2380"/>
        </w:tabs>
        <w:spacing w:line="460" w:lineRule="exact"/>
        <w:rPr>
          <w:rFonts w:ascii="仿宋_GB2312" w:eastAsia="仿宋_GB2312"/>
          <w:sz w:val="28"/>
        </w:rPr>
      </w:pPr>
      <w:r>
        <w:rPr>
          <w:rFonts w:hint="eastAsia" w:ascii="仿宋_GB2312" w:eastAsia="仿宋_GB2312"/>
          <w:sz w:val="28"/>
          <w:szCs w:val="28"/>
        </w:rPr>
        <w:t>（四）</w:t>
      </w:r>
      <w:r>
        <w:rPr>
          <w:rFonts w:hint="eastAsia" w:ascii="仿宋_GB2312" w:eastAsia="仿宋_GB2312"/>
          <w:sz w:val="28"/>
        </w:rPr>
        <w:t>估价对象：</w:t>
      </w:r>
    </w:p>
    <w:p>
      <w:pPr>
        <w:spacing w:line="460" w:lineRule="exact"/>
        <w:rPr>
          <w:rFonts w:ascii="仿宋_GB2312" w:eastAsia="仿宋_GB2312"/>
          <w:sz w:val="28"/>
          <w:szCs w:val="28"/>
        </w:rPr>
      </w:pPr>
      <w:r>
        <w:rPr>
          <w:rFonts w:hint="eastAsia" w:ascii="仿宋_GB2312" w:hAnsi="宋体" w:eastAsia="仿宋_GB2312"/>
          <w:sz w:val="28"/>
        </w:rPr>
        <w:t>1、</w:t>
      </w:r>
      <w:r>
        <w:rPr>
          <w:rFonts w:hint="eastAsia" w:ascii="仿宋_GB2312" w:hAnsi="宋体" w:eastAsia="仿宋_GB2312"/>
          <w:sz w:val="28"/>
          <w:szCs w:val="28"/>
        </w:rPr>
        <w:t>估价对象范围</w:t>
      </w:r>
    </w:p>
    <w:p>
      <w:pPr>
        <w:spacing w:line="460" w:lineRule="exact"/>
        <w:ind w:firstLine="700" w:firstLineChars="250"/>
        <w:rPr>
          <w:rFonts w:ascii="仿宋_GB2312" w:eastAsia="仿宋_GB2312"/>
          <w:sz w:val="28"/>
          <w:szCs w:val="28"/>
        </w:rPr>
      </w:pPr>
      <w:r>
        <w:rPr>
          <w:rFonts w:hint="eastAsia" w:ascii="仿宋_GB2312" w:hAnsi="宋体" w:eastAsia="仿宋_GB2312"/>
          <w:sz w:val="28"/>
          <w:szCs w:val="28"/>
        </w:rPr>
        <w:t>刘诚静、王向燕名下的位于新疆维吾尔自治区巴音郭楞蒙古自治州和硕县龙驹商业小区</w:t>
      </w:r>
      <w:r>
        <w:rPr>
          <w:rFonts w:hint="eastAsia" w:ascii="仿宋_GB2312" w:hAnsi="宋体" w:eastAsia="仿宋_GB2312"/>
          <w:sz w:val="28"/>
          <w:szCs w:val="28"/>
          <w:lang w:eastAsia="zh-CN"/>
        </w:rPr>
        <w:t>2号楼3单元2右、库尔勒新城辖区铁克其路13号龙腾居3栋12层2单元1201室2套住宅房地产</w:t>
      </w:r>
      <w:r>
        <w:rPr>
          <w:rFonts w:hint="eastAsia" w:ascii="仿宋_GB2312" w:hAnsi="宋体" w:eastAsia="仿宋_GB2312"/>
          <w:sz w:val="28"/>
          <w:szCs w:val="28"/>
        </w:rPr>
        <w:t>，本次评估范围包括国有土地使用权价值和与房屋有关的土建、安装、二次装修及室外附属工程价值，不包括可移动的家具、电器等物品价值，不包含债权债务等其他财产或者权益。</w:t>
      </w:r>
    </w:p>
    <w:p>
      <w:pPr>
        <w:numPr>
          <w:ilvl w:val="0"/>
          <w:numId w:val="4"/>
        </w:numPr>
        <w:spacing w:line="460" w:lineRule="exact"/>
        <w:rPr>
          <w:rFonts w:ascii="仿宋_GB2312" w:hAnsi="宋体" w:eastAsia="仿宋_GB2312"/>
          <w:sz w:val="28"/>
        </w:rPr>
      </w:pPr>
      <w:r>
        <w:rPr>
          <w:rFonts w:hint="eastAsia" w:ascii="仿宋_GB2312" w:hAnsi="宋体" w:eastAsia="仿宋_GB2312"/>
          <w:sz w:val="28"/>
        </w:rPr>
        <w:t>估价对象房产和</w:t>
      </w:r>
      <w:r>
        <w:rPr>
          <w:rFonts w:hint="eastAsia" w:ascii="仿宋_GB2312" w:eastAsia="仿宋_GB2312"/>
          <w:color w:val="000000"/>
          <w:sz w:val="28"/>
        </w:rPr>
        <w:t>土地</w:t>
      </w:r>
      <w:r>
        <w:rPr>
          <w:rFonts w:hint="eastAsia" w:ascii="仿宋_GB2312" w:hAnsi="宋体" w:eastAsia="仿宋_GB2312"/>
          <w:sz w:val="28"/>
        </w:rPr>
        <w:t xml:space="preserve">基本状况（见表2） </w:t>
      </w:r>
    </w:p>
    <w:p>
      <w:pPr>
        <w:spacing w:line="460" w:lineRule="exact"/>
        <w:ind w:firstLine="7920" w:firstLineChars="3600"/>
        <w:rPr>
          <w:rFonts w:ascii="仿宋_GB2312" w:hAnsi="宋体" w:eastAsia="仿宋_GB2312"/>
          <w:sz w:val="22"/>
        </w:rPr>
      </w:pPr>
      <w:r>
        <w:rPr>
          <w:rFonts w:hint="eastAsia" w:ascii="仿宋_GB2312" w:hAnsi="宋体" w:eastAsia="仿宋_GB2312"/>
          <w:sz w:val="22"/>
        </w:rPr>
        <w:t>表2</w:t>
      </w:r>
    </w:p>
    <w:tbl>
      <w:tblPr>
        <w:tblStyle w:val="21"/>
        <w:tblW w:w="9214" w:type="dxa"/>
        <w:tblInd w:w="0" w:type="dxa"/>
        <w:tblLayout w:type="fixed"/>
        <w:tblCellMar>
          <w:top w:w="0" w:type="dxa"/>
          <w:left w:w="0" w:type="dxa"/>
          <w:bottom w:w="0" w:type="dxa"/>
          <w:right w:w="0" w:type="dxa"/>
        </w:tblCellMar>
      </w:tblPr>
      <w:tblGrid>
        <w:gridCol w:w="1390"/>
        <w:gridCol w:w="1017"/>
        <w:gridCol w:w="1047"/>
        <w:gridCol w:w="953"/>
        <w:gridCol w:w="760"/>
        <w:gridCol w:w="833"/>
        <w:gridCol w:w="906"/>
        <w:gridCol w:w="775"/>
        <w:gridCol w:w="1533"/>
      </w:tblGrid>
      <w:tr>
        <w:tblPrEx>
          <w:tblCellMar>
            <w:top w:w="0" w:type="dxa"/>
            <w:left w:w="0" w:type="dxa"/>
            <w:bottom w:w="0" w:type="dxa"/>
            <w:right w:w="0" w:type="dxa"/>
          </w:tblCellMar>
        </w:tblPrEx>
        <w:trPr>
          <w:trHeight w:val="61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房屋坐落</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房屋所有权证证号</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房屋所有权人</w:t>
            </w:r>
          </w:p>
        </w:tc>
        <w:tc>
          <w:tcPr>
            <w:tcW w:w="9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建筑面积(平方米)</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所在层数/总层数</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共有情况</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房屋结构</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房屋用途</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备注</w:t>
            </w:r>
          </w:p>
        </w:tc>
      </w:tr>
      <w:tr>
        <w:tblPrEx>
          <w:tblCellMar>
            <w:top w:w="0" w:type="dxa"/>
            <w:left w:w="0" w:type="dxa"/>
            <w:bottom w:w="0" w:type="dxa"/>
            <w:right w:w="0" w:type="dxa"/>
          </w:tblCellMar>
        </w:tblPrEx>
        <w:trPr>
          <w:trHeight w:val="116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和硕县龙驹商业小区2号楼3单元2右</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硕房权字第20100363号</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刘诚静、王向燕（652324197106120011）</w:t>
            </w:r>
          </w:p>
        </w:tc>
        <w:tc>
          <w:tcPr>
            <w:tcW w:w="9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90.77</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2/4</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共同共有</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砖混</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住宅</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估价对象已被和硕县人民法院查封</w:t>
            </w:r>
          </w:p>
        </w:tc>
      </w:tr>
      <w:tr>
        <w:tblPrEx>
          <w:tblCellMar>
            <w:top w:w="0" w:type="dxa"/>
            <w:left w:w="0" w:type="dxa"/>
            <w:bottom w:w="0" w:type="dxa"/>
            <w:right w:w="0" w:type="dxa"/>
          </w:tblCellMar>
        </w:tblPrEx>
        <w:trPr>
          <w:trHeight w:val="1272"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库尔勒新城辖区铁克其路13号龙腾居3栋12层2单元1201室</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库尔勒市房权证库字第2015155344号</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刘诚静、王向燕（652324197106120011）</w:t>
            </w:r>
          </w:p>
        </w:tc>
        <w:tc>
          <w:tcPr>
            <w:tcW w:w="9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107.96</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12/22</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共同共有</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钢混</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住宅</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估价对象已办理抵押权登记、已被和硕县人民法院查封</w:t>
            </w:r>
          </w:p>
        </w:tc>
      </w:tr>
    </w:tbl>
    <w:p>
      <w:pPr>
        <w:pStyle w:val="11"/>
        <w:numPr>
          <w:ilvl w:val="0"/>
          <w:numId w:val="4"/>
        </w:numPr>
        <w:spacing w:line="460" w:lineRule="exact"/>
        <w:rPr>
          <w:rFonts w:ascii="仿宋_GB2312" w:hAnsi="宋体" w:eastAsia="仿宋_GB2312"/>
          <w:sz w:val="28"/>
        </w:rPr>
      </w:pPr>
      <w:r>
        <w:rPr>
          <w:rFonts w:hint="eastAsia" w:ascii="仿宋_GB2312" w:hAnsi="宋体" w:eastAsia="仿宋_GB2312"/>
          <w:sz w:val="28"/>
        </w:rPr>
        <w:t>建筑物基本状况见下:（表3）                           表3</w:t>
      </w:r>
    </w:p>
    <w:tbl>
      <w:tblPr>
        <w:tblStyle w:val="21"/>
        <w:tblW w:w="9360" w:type="dxa"/>
        <w:tblInd w:w="0" w:type="dxa"/>
        <w:tblLayout w:type="autofit"/>
        <w:tblCellMar>
          <w:top w:w="0" w:type="dxa"/>
          <w:left w:w="0" w:type="dxa"/>
          <w:bottom w:w="0" w:type="dxa"/>
          <w:right w:w="0" w:type="dxa"/>
        </w:tblCellMar>
      </w:tblPr>
      <w:tblGrid>
        <w:gridCol w:w="1564"/>
        <w:gridCol w:w="1056"/>
        <w:gridCol w:w="2009"/>
        <w:gridCol w:w="1056"/>
        <w:gridCol w:w="1056"/>
        <w:gridCol w:w="1310"/>
        <w:gridCol w:w="1309"/>
      </w:tblGrid>
      <w:tr>
        <w:tblPrEx>
          <w:tblCellMar>
            <w:top w:w="0" w:type="dxa"/>
            <w:left w:w="0" w:type="dxa"/>
            <w:bottom w:w="0" w:type="dxa"/>
            <w:right w:w="0" w:type="dxa"/>
          </w:tblCellMar>
        </w:tblPrEx>
        <w:trPr>
          <w:trHeight w:val="329" w:hRule="atLeast"/>
        </w:trPr>
        <w:tc>
          <w:tcPr>
            <w:tcW w:w="936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估价对象1</w:t>
            </w:r>
          </w:p>
        </w:tc>
      </w:tr>
      <w:tr>
        <w:tblPrEx>
          <w:tblCellMar>
            <w:top w:w="0" w:type="dxa"/>
            <w:left w:w="0" w:type="dxa"/>
            <w:bottom w:w="0" w:type="dxa"/>
            <w:right w:w="0" w:type="dxa"/>
          </w:tblCellMar>
        </w:tblPrEx>
        <w:trPr>
          <w:trHeight w:val="448" w:hRule="atLeast"/>
        </w:trPr>
        <w:tc>
          <w:tcPr>
            <w:tcW w:w="936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地址：和硕县龙驹商业小区2号楼3单元2右</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小区名称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建筑结构</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维护状况</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朝向</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小区环境</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小区规模</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绿地</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龙驹商业小区</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砖混</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一般</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南北</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一般</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较小</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一般</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梯户比</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建筑形式</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户型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门禁系统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电梯情况</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外立面装修</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停车状况</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1梯2户</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板式</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3室2厅1厨1卫</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有</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无</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乳胶漆</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地上停车位</w:t>
            </w:r>
          </w:p>
        </w:tc>
      </w:tr>
      <w:tr>
        <w:tblPrEx>
          <w:tblCellMar>
            <w:top w:w="0" w:type="dxa"/>
            <w:left w:w="0" w:type="dxa"/>
            <w:bottom w:w="0" w:type="dxa"/>
            <w:right w:w="0" w:type="dxa"/>
          </w:tblCellMar>
        </w:tblPrEx>
        <w:trPr>
          <w:trHeight w:val="329" w:hRule="atLeast"/>
        </w:trPr>
        <w:tc>
          <w:tcPr>
            <w:tcW w:w="9360" w:type="dxa"/>
            <w:gridSpan w:val="7"/>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装修情况：入户防盗门、塑钢窗；客厅、餐厅：木地板、墙纸、石膏顶、电视背景墙；卧室：木地板、墙纸、石膏线条、衣柜（其中书房内为电脑桌）；卫生间：地砖、墙砖、吊顶、马桶、冼手柜、镜子；厨房：地砖、墙砖、吊柜、厨柜、吊顶等</w:t>
            </w:r>
          </w:p>
        </w:tc>
      </w:tr>
      <w:tr>
        <w:tblPrEx>
          <w:tblCellMar>
            <w:top w:w="0" w:type="dxa"/>
            <w:left w:w="0" w:type="dxa"/>
            <w:bottom w:w="0" w:type="dxa"/>
            <w:right w:w="0" w:type="dxa"/>
          </w:tblCellMar>
        </w:tblPrEx>
        <w:trPr>
          <w:trHeight w:val="746" w:hRule="atLeast"/>
        </w:trPr>
        <w:tc>
          <w:tcPr>
            <w:tcW w:w="936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329" w:hRule="atLeast"/>
        </w:trPr>
        <w:tc>
          <w:tcPr>
            <w:tcW w:w="936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center" w:pos="4725"/>
                <w:tab w:val="left" w:pos="5706"/>
              </w:tabs>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ab/>
            </w:r>
            <w:r>
              <w:rPr>
                <w:rFonts w:hint="eastAsia" w:ascii="仿宋" w:hAnsi="仿宋" w:eastAsia="仿宋" w:cs="仿宋"/>
                <w:color w:val="000000"/>
                <w:kern w:val="0"/>
                <w:sz w:val="20"/>
                <w:szCs w:val="20"/>
              </w:rPr>
              <w:t>估价对象2</w:t>
            </w:r>
          </w:p>
        </w:tc>
      </w:tr>
      <w:tr>
        <w:tblPrEx>
          <w:tblCellMar>
            <w:top w:w="0" w:type="dxa"/>
            <w:left w:w="0" w:type="dxa"/>
            <w:bottom w:w="0" w:type="dxa"/>
            <w:right w:w="0" w:type="dxa"/>
          </w:tblCellMar>
        </w:tblPrEx>
        <w:trPr>
          <w:trHeight w:val="448" w:hRule="atLeast"/>
        </w:trPr>
        <w:tc>
          <w:tcPr>
            <w:tcW w:w="936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rPr>
              <w:t>地址：库尔勒新城辖区铁克其路13号龙腾居3栋12层2单元1201室</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小区名称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sz w:val="20"/>
                <w:szCs w:val="20"/>
              </w:rPr>
              <w:t>修建年代</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维护状况</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朝向</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小区环境</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小区规模</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绿地</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15"/>
                <w:szCs w:val="15"/>
              </w:rPr>
              <w:t>龙腾居</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2014</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rPr>
              <w:t>优</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南北</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rPr>
              <w:t>优</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较大</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良好</w:t>
            </w:r>
          </w:p>
        </w:tc>
      </w:tr>
      <w:tr>
        <w:tblPrEx>
          <w:tblCellMar>
            <w:top w:w="0" w:type="dxa"/>
            <w:left w:w="0" w:type="dxa"/>
            <w:bottom w:w="0" w:type="dxa"/>
            <w:right w:w="0" w:type="dxa"/>
          </w:tblCellMar>
        </w:tblPrEx>
        <w:trPr>
          <w:trHeight w:val="32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梯户比</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建筑形式</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户型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门禁系统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电梯情况</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外立面装修</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rPr>
              <w:t>停车状况</w:t>
            </w:r>
          </w:p>
        </w:tc>
      </w:tr>
      <w:tr>
        <w:tblPrEx>
          <w:tblCellMar>
            <w:top w:w="0" w:type="dxa"/>
            <w:left w:w="0" w:type="dxa"/>
            <w:bottom w:w="0" w:type="dxa"/>
            <w:right w:w="0" w:type="dxa"/>
          </w:tblCellMar>
        </w:tblPrEx>
        <w:trPr>
          <w:trHeight w:val="345"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1梯2户</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板式</w:t>
            </w:r>
          </w:p>
        </w:tc>
        <w:tc>
          <w:tcPr>
            <w:tcW w:w="2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3室2厅1厨1卫</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有</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有</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仿宋" w:hAnsi="仿宋" w:eastAsia="仿宋" w:cs="仿宋"/>
                <w:color w:val="000000"/>
                <w:sz w:val="20"/>
                <w:szCs w:val="20"/>
                <w:lang w:eastAsia="zh-CN"/>
              </w:rPr>
            </w:pPr>
            <w:r>
              <w:rPr>
                <w:rFonts w:hint="eastAsia" w:ascii="仿宋" w:hAnsi="仿宋" w:eastAsia="仿宋" w:cs="仿宋"/>
                <w:color w:val="000000"/>
                <w:kern w:val="0"/>
                <w:sz w:val="20"/>
                <w:szCs w:val="20"/>
                <w:lang w:eastAsia="zh-CN"/>
              </w:rPr>
              <w:t>墙砖</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地下停车场</w:t>
            </w:r>
          </w:p>
        </w:tc>
      </w:tr>
      <w:tr>
        <w:tblPrEx>
          <w:tblCellMar>
            <w:top w:w="0" w:type="dxa"/>
            <w:left w:w="0" w:type="dxa"/>
            <w:bottom w:w="0" w:type="dxa"/>
            <w:right w:w="0" w:type="dxa"/>
          </w:tblCellMar>
        </w:tblPrEx>
        <w:trPr>
          <w:trHeight w:val="329" w:hRule="atLeast"/>
        </w:trPr>
        <w:tc>
          <w:tcPr>
            <w:tcW w:w="936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装修情况：入户防盗门、塑钢窗、包门框、包窗框；客厅、餐厅：地砖、墙纸、石膏吊顶、电视背景墙、鞋柜、瓷砖踢脚线；卧室：木地板、墙纸、石膏线条、衣柜、木踢脚线；卫生间：地砖、墙砖、吊顶、马桶、冼手柜、推拉门；厨房：地砖、墙砖、吊柜、厨柜、吊顶、推拉门等</w:t>
            </w:r>
          </w:p>
        </w:tc>
      </w:tr>
    </w:tbl>
    <w:p>
      <w:pPr>
        <w:pStyle w:val="11"/>
        <w:adjustRightInd w:val="0"/>
        <w:snapToGrid w:val="0"/>
        <w:spacing w:line="460" w:lineRule="exact"/>
        <w:rPr>
          <w:rFonts w:ascii="仿宋_GB2312" w:hAnsi="宋体" w:eastAsia="仿宋_GB2312"/>
          <w:sz w:val="28"/>
          <w:szCs w:val="28"/>
        </w:rPr>
      </w:pPr>
      <w:r>
        <w:rPr>
          <w:rFonts w:hint="eastAsia" w:ascii="仿宋_GB2312" w:eastAsia="仿宋_GB2312"/>
          <w:sz w:val="28"/>
          <w:szCs w:val="28"/>
        </w:rPr>
        <w:t>（五）价值时点：</w:t>
      </w:r>
      <w:r>
        <w:rPr>
          <w:rFonts w:hint="eastAsia" w:ascii="仿宋_GB2312" w:hAnsi="宋体" w:eastAsia="仿宋_GB2312"/>
          <w:sz w:val="28"/>
          <w:szCs w:val="28"/>
        </w:rPr>
        <w:t xml:space="preserve"> 2019年10月21日（根据和硕县人民法院出具的委托书）。</w:t>
      </w:r>
    </w:p>
    <w:p>
      <w:pPr>
        <w:pStyle w:val="11"/>
        <w:adjustRightInd w:val="0"/>
        <w:snapToGrid w:val="0"/>
        <w:spacing w:line="460" w:lineRule="exact"/>
        <w:rPr>
          <w:rFonts w:ascii="仿宋_GB2312" w:hAnsi="宋体" w:eastAsia="仿宋_GB2312"/>
          <w:sz w:val="28"/>
          <w:szCs w:val="28"/>
        </w:rPr>
      </w:pPr>
      <w:r>
        <w:rPr>
          <w:rFonts w:hint="eastAsia" w:ascii="仿宋_GB2312" w:hAnsi="宋体" w:eastAsia="仿宋_GB2312"/>
          <w:sz w:val="28"/>
          <w:szCs w:val="28"/>
        </w:rPr>
        <w:t>（六）价值类型：</w:t>
      </w:r>
    </w:p>
    <w:p>
      <w:pPr>
        <w:pStyle w:val="11"/>
        <w:adjustRightInd w:val="0"/>
        <w:snapToGrid w:val="0"/>
        <w:spacing w:line="460" w:lineRule="exact"/>
        <w:ind w:firstLine="420" w:firstLineChars="150"/>
        <w:rPr>
          <w:rFonts w:ascii="仿宋_GB2312" w:hAnsi="宋体" w:eastAsia="仿宋_GB2312"/>
          <w:sz w:val="28"/>
          <w:szCs w:val="28"/>
        </w:rPr>
      </w:pPr>
      <w:r>
        <w:rPr>
          <w:rFonts w:hint="eastAsia" w:ascii="仿宋_GB2312" w:hAnsi="宋体" w:eastAsia="仿宋_GB2312"/>
          <w:sz w:val="28"/>
          <w:szCs w:val="28"/>
        </w:rPr>
        <w:t>1、价值类型及定义</w:t>
      </w:r>
    </w:p>
    <w:p>
      <w:pPr>
        <w:adjustRightInd w:val="0"/>
        <w:snapToGrid w:val="0"/>
        <w:spacing w:line="460" w:lineRule="exact"/>
        <w:ind w:firstLine="556"/>
        <w:rPr>
          <w:rFonts w:ascii="仿宋_GB2312" w:hAnsi="宋体" w:eastAsia="仿宋_GB2312"/>
          <w:color w:val="C00000"/>
          <w:sz w:val="28"/>
          <w:szCs w:val="28"/>
        </w:rPr>
      </w:pPr>
      <w:r>
        <w:rPr>
          <w:rFonts w:hint="eastAsia" w:ascii="仿宋_GB2312" w:hAnsi="宋体" w:eastAsia="仿宋_GB2312"/>
          <w:sz w:val="28"/>
          <w:szCs w:val="28"/>
        </w:rPr>
        <w:t>根据房地产评估的技术规程和项目的具体要求，本次评估采用的是公开市场价值标准，本次估价结果中的房地产市场价值是指估价对象于价值时点 2019年10月21日在现状利用条件下的</w:t>
      </w:r>
      <w:r>
        <w:rPr>
          <w:rFonts w:hint="eastAsia" w:ascii="仿宋_GB2312" w:hAnsi="宋体" w:eastAsia="仿宋_GB2312" w:cs="宋体"/>
          <w:sz w:val="28"/>
          <w:szCs w:val="28"/>
        </w:rPr>
        <w:t>国有</w:t>
      </w:r>
      <w:r>
        <w:rPr>
          <w:rFonts w:hint="eastAsia" w:ascii="仿宋_GB2312" w:hAnsi="宋体" w:eastAsia="仿宋_GB2312"/>
          <w:sz w:val="28"/>
          <w:szCs w:val="28"/>
        </w:rPr>
        <w:t>土地使用权及房屋所有权的公开市场价值。</w:t>
      </w:r>
    </w:p>
    <w:p>
      <w:pPr>
        <w:pStyle w:val="11"/>
        <w:adjustRightInd w:val="0"/>
        <w:snapToGrid w:val="0"/>
        <w:spacing w:line="460" w:lineRule="exact"/>
        <w:ind w:left="360"/>
        <w:rPr>
          <w:rFonts w:ascii="仿宋_GB2312" w:hAnsi="宋体" w:eastAsia="仿宋_GB2312"/>
          <w:kern w:val="44"/>
          <w:sz w:val="28"/>
          <w:szCs w:val="28"/>
        </w:rPr>
      </w:pPr>
      <w:r>
        <w:rPr>
          <w:rFonts w:hint="eastAsia" w:ascii="仿宋_GB2312" w:hAnsi="宋体" w:eastAsia="仿宋_GB2312"/>
          <w:sz w:val="28"/>
        </w:rPr>
        <w:t>2、</w:t>
      </w:r>
      <w:r>
        <w:rPr>
          <w:rFonts w:hint="eastAsia" w:ascii="仿宋_GB2312" w:hAnsi="宋体" w:eastAsia="仿宋_GB2312"/>
          <w:sz w:val="28"/>
          <w:szCs w:val="28"/>
        </w:rPr>
        <w:t>价</w:t>
      </w:r>
      <w:r>
        <w:rPr>
          <w:rFonts w:hint="eastAsia" w:ascii="仿宋_GB2312" w:hAnsi="宋体" w:eastAsia="仿宋_GB2312"/>
          <w:kern w:val="44"/>
          <w:sz w:val="28"/>
          <w:szCs w:val="28"/>
        </w:rPr>
        <w:t>值内涵</w:t>
      </w:r>
    </w:p>
    <w:p>
      <w:pPr>
        <w:adjustRightInd w:val="0"/>
        <w:snapToGrid w:val="0"/>
        <w:spacing w:line="460" w:lineRule="exact"/>
        <w:ind w:firstLine="700" w:firstLineChars="250"/>
        <w:rPr>
          <w:rFonts w:ascii="仿宋_GB2312" w:hAnsi="宋体" w:eastAsia="仿宋_GB2312"/>
          <w:sz w:val="28"/>
          <w:szCs w:val="28"/>
        </w:rPr>
      </w:pPr>
      <w:bookmarkStart w:id="39" w:name="_Toc382818591"/>
      <w:bookmarkStart w:id="40" w:name="_Toc362509753"/>
      <w:r>
        <w:rPr>
          <w:rFonts w:hint="eastAsia" w:ascii="仿宋_GB2312" w:hAnsi="宋体" w:eastAsia="仿宋_GB2312"/>
          <w:sz w:val="28"/>
          <w:szCs w:val="28"/>
        </w:rPr>
        <w:t>本次评估范围包括国有土地使用权价值和与房屋有关的土建、安装、装修及室外附属工程价值，不包含室内的动产、不包含债权债务等其他财产或者权益。</w:t>
      </w:r>
    </w:p>
    <w:p>
      <w:pPr>
        <w:pStyle w:val="11"/>
        <w:adjustRightInd w:val="0"/>
        <w:snapToGrid w:val="0"/>
        <w:spacing w:line="460" w:lineRule="exact"/>
        <w:ind w:firstLine="480"/>
        <w:rPr>
          <w:rFonts w:ascii="仿宋_GB2312" w:hAnsi="宋体" w:eastAsia="仿宋_GB2312"/>
          <w:kern w:val="44"/>
          <w:sz w:val="28"/>
          <w:szCs w:val="28"/>
        </w:rPr>
      </w:pPr>
      <w:r>
        <w:rPr>
          <w:rFonts w:hint="eastAsia" w:ascii="仿宋_GB2312" w:hAnsi="宋体" w:eastAsia="仿宋_GB2312"/>
          <w:kern w:val="44"/>
          <w:sz w:val="28"/>
          <w:szCs w:val="28"/>
        </w:rPr>
        <w:t>（七）估价原则</w:t>
      </w:r>
      <w:bookmarkEnd w:id="39"/>
      <w:bookmarkEnd w:id="40"/>
    </w:p>
    <w:p>
      <w:pPr>
        <w:widowControl/>
        <w:adjustRightInd w:val="0"/>
        <w:snapToGrid w:val="0"/>
        <w:spacing w:line="460" w:lineRule="exact"/>
        <w:ind w:firstLine="420" w:firstLineChars="150"/>
        <w:jc w:val="left"/>
        <w:rPr>
          <w:rFonts w:ascii="仿宋_GB2312" w:hAnsi="宋体" w:eastAsia="仿宋_GB2312"/>
          <w:sz w:val="28"/>
          <w:szCs w:val="28"/>
        </w:rPr>
      </w:pPr>
      <w:r>
        <w:rPr>
          <w:rFonts w:hint="eastAsia" w:ascii="仿宋_GB2312" w:hAnsi="宋体" w:eastAsia="仿宋_GB2312"/>
          <w:sz w:val="28"/>
          <w:szCs w:val="28"/>
        </w:rPr>
        <w:t>本次估价遵循的房地产估价原则有：独立、客观、公正原则、合法原则、价值时点原则、替代原则、最高最佳利用原则。</w:t>
      </w:r>
    </w:p>
    <w:p>
      <w:pPr>
        <w:widowControl/>
        <w:numPr>
          <w:ilvl w:val="0"/>
          <w:numId w:val="0"/>
        </w:numPr>
        <w:adjustRightInd w:val="0"/>
        <w:snapToGrid w:val="0"/>
        <w:spacing w:line="460" w:lineRule="exact"/>
        <w:ind w:leftChars="0"/>
        <w:jc w:val="left"/>
        <w:rPr>
          <w:rFonts w:ascii="仿宋_GB2312" w:hAnsi="宋体" w:eastAsia="仿宋_GB2312"/>
          <w:sz w:val="28"/>
          <w:szCs w:val="28"/>
        </w:rPr>
      </w:pPr>
      <w:r>
        <w:rPr>
          <w:rFonts w:hint="eastAsia" w:ascii="仿宋_GB2312" w:hAnsi="宋体" w:eastAsia="仿宋_GB2312"/>
          <w:sz w:val="28"/>
          <w:szCs w:val="28"/>
          <w:lang w:val="en-US" w:eastAsia="zh-CN"/>
        </w:rPr>
        <w:t>1.</w:t>
      </w:r>
      <w:r>
        <w:rPr>
          <w:rFonts w:hint="eastAsia" w:ascii="仿宋_GB2312" w:hAnsi="宋体" w:eastAsia="仿宋_GB2312"/>
          <w:sz w:val="28"/>
          <w:szCs w:val="28"/>
        </w:rPr>
        <w:t>独立、客观、公正原则</w:t>
      </w:r>
    </w:p>
    <w:p>
      <w:pPr>
        <w:adjustRightInd w:val="0"/>
        <w:snapToGrid w:val="0"/>
        <w:spacing w:line="460" w:lineRule="exact"/>
        <w:ind w:firstLine="520"/>
        <w:rPr>
          <w:rFonts w:ascii="仿宋_GB2312" w:hAnsi="宋体" w:eastAsia="仿宋_GB2312"/>
          <w:sz w:val="28"/>
          <w:szCs w:val="28"/>
        </w:rPr>
      </w:pPr>
      <w:r>
        <w:rPr>
          <w:rFonts w:hint="eastAsia" w:ascii="仿宋_GB2312" w:hAnsi="宋体" w:eastAsia="仿宋_GB2312"/>
          <w:sz w:val="28"/>
          <w:szCs w:val="28"/>
        </w:rPr>
        <w:t>要求站在中立的立场上，实事求是、公平正直地评估出对各方估价厉害关系人均是公平合理的价值或价格的原则。</w:t>
      </w:r>
    </w:p>
    <w:p>
      <w:pPr>
        <w:widowControl/>
        <w:numPr>
          <w:ilvl w:val="0"/>
          <w:numId w:val="0"/>
        </w:numPr>
        <w:adjustRightInd w:val="0"/>
        <w:snapToGrid w:val="0"/>
        <w:spacing w:line="460" w:lineRule="exact"/>
        <w:ind w:leftChars="0"/>
        <w:jc w:val="left"/>
        <w:rPr>
          <w:rFonts w:ascii="仿宋_GB2312" w:hAnsi="宋体" w:eastAsia="仿宋_GB2312"/>
          <w:sz w:val="28"/>
          <w:szCs w:val="28"/>
        </w:rPr>
      </w:pPr>
      <w:r>
        <w:rPr>
          <w:rFonts w:hint="eastAsia" w:ascii="仿宋_GB2312" w:hAnsi="宋体" w:eastAsia="仿宋_GB2312"/>
          <w:sz w:val="28"/>
          <w:szCs w:val="28"/>
          <w:lang w:val="en-US" w:eastAsia="zh-CN"/>
        </w:rPr>
        <w:t>2.</w:t>
      </w:r>
      <w:r>
        <w:rPr>
          <w:rFonts w:hint="eastAsia" w:ascii="仿宋_GB2312" w:hAnsi="宋体" w:eastAsia="仿宋_GB2312"/>
          <w:sz w:val="28"/>
          <w:szCs w:val="28"/>
        </w:rPr>
        <w:t>合法原则</w:t>
      </w:r>
    </w:p>
    <w:p>
      <w:pPr>
        <w:adjustRightInd w:val="0"/>
        <w:snapToGrid w:val="0"/>
        <w:spacing w:line="460" w:lineRule="exact"/>
        <w:ind w:firstLine="517"/>
        <w:rPr>
          <w:rFonts w:ascii="仿宋_GB2312" w:eastAsia="仿宋_GB2312"/>
          <w:sz w:val="28"/>
          <w:szCs w:val="28"/>
        </w:rPr>
      </w:pPr>
      <w:r>
        <w:rPr>
          <w:rFonts w:hint="eastAsia" w:ascii="仿宋_GB2312" w:eastAsia="仿宋_GB2312"/>
          <w:sz w:val="28"/>
          <w:szCs w:val="28"/>
        </w:rPr>
        <w:t>要求估价结果是在依法判定的估价对象状况下的价值或价格的原则。</w:t>
      </w:r>
    </w:p>
    <w:p>
      <w:pPr>
        <w:adjustRightInd w:val="0"/>
        <w:snapToGrid w:val="0"/>
        <w:spacing w:line="460" w:lineRule="exact"/>
        <w:rPr>
          <w:rFonts w:ascii="仿宋_GB2312" w:hAnsi="宋体" w:eastAsia="仿宋_GB2312"/>
          <w:sz w:val="28"/>
          <w:szCs w:val="28"/>
        </w:rPr>
      </w:pPr>
      <w:r>
        <w:rPr>
          <w:rFonts w:hint="eastAsia" w:ascii="仿宋_GB2312" w:hAnsi="宋体" w:eastAsia="仿宋_GB2312"/>
          <w:sz w:val="28"/>
          <w:szCs w:val="28"/>
        </w:rPr>
        <w:t>3.价值时点原则</w:t>
      </w:r>
    </w:p>
    <w:p>
      <w:pPr>
        <w:adjustRightInd w:val="0"/>
        <w:snapToGrid w:val="0"/>
        <w:spacing w:line="460" w:lineRule="exact"/>
        <w:ind w:firstLine="272"/>
        <w:rPr>
          <w:rFonts w:ascii="仿宋_GB2312" w:eastAsia="仿宋_GB2312"/>
          <w:sz w:val="28"/>
          <w:szCs w:val="28"/>
        </w:rPr>
      </w:pPr>
      <w:r>
        <w:rPr>
          <w:rFonts w:hint="eastAsia" w:ascii="仿宋_GB2312" w:eastAsia="仿宋_GB2312"/>
          <w:sz w:val="28"/>
          <w:szCs w:val="28"/>
        </w:rPr>
        <w:t xml:space="preserve">  要求估价结果是在根据估价目的确定的某一特点时间的价值或价格的原则。</w:t>
      </w:r>
    </w:p>
    <w:p>
      <w:pPr>
        <w:adjustRightInd w:val="0"/>
        <w:snapToGrid w:val="0"/>
        <w:spacing w:line="460" w:lineRule="exact"/>
        <w:ind w:firstLine="641" w:firstLineChars="229"/>
        <w:rPr>
          <w:rFonts w:ascii="仿宋_GB2312" w:hAnsi="Courier New" w:eastAsia="仿宋_GB2312"/>
          <w:sz w:val="28"/>
          <w:szCs w:val="28"/>
        </w:rPr>
      </w:pPr>
      <w:r>
        <w:rPr>
          <w:rFonts w:hint="eastAsia" w:ascii="仿宋_GB2312" w:hAnsi="Courier New" w:eastAsia="仿宋_GB2312"/>
          <w:sz w:val="28"/>
          <w:szCs w:val="28"/>
        </w:rPr>
        <w:t>本次评估中，收益法的租金水平、租赁税费等市场数据及相关政策参考价值时点的市场状况及政策确定，这些遵循了价值时点原则。</w:t>
      </w:r>
    </w:p>
    <w:p>
      <w:pPr>
        <w:adjustRightInd w:val="0"/>
        <w:snapToGrid w:val="0"/>
        <w:spacing w:line="460" w:lineRule="exact"/>
        <w:rPr>
          <w:rFonts w:ascii="仿宋_GB2312" w:hAnsi="Courier New" w:eastAsia="仿宋_GB2312"/>
          <w:sz w:val="28"/>
          <w:szCs w:val="28"/>
        </w:rPr>
      </w:pPr>
      <w:r>
        <w:rPr>
          <w:rFonts w:hint="eastAsia" w:ascii="仿宋_GB2312" w:hAnsi="Courier New" w:eastAsia="仿宋_GB2312"/>
          <w:sz w:val="28"/>
          <w:szCs w:val="28"/>
        </w:rPr>
        <w:t>4.替代原则</w:t>
      </w:r>
    </w:p>
    <w:p>
      <w:pPr>
        <w:pStyle w:val="32"/>
        <w:topLinePunct/>
        <w:adjustRightInd w:val="0"/>
        <w:snapToGrid w:val="0"/>
        <w:spacing w:line="460" w:lineRule="exact"/>
        <w:ind w:firstLine="560"/>
        <w:rPr>
          <w:rFonts w:ascii="仿宋_GB2312" w:hAnsi="Courier New" w:eastAsia="仿宋_GB2312" w:cstheme="minorBidi"/>
          <w:sz w:val="28"/>
          <w:szCs w:val="28"/>
        </w:rPr>
      </w:pPr>
      <w:r>
        <w:rPr>
          <w:rFonts w:hint="eastAsia" w:ascii="仿宋_GB2312" w:hAnsi="Courier New" w:eastAsia="仿宋_GB2312" w:cstheme="minorBidi"/>
          <w:sz w:val="28"/>
          <w:szCs w:val="28"/>
        </w:rPr>
        <w:t>要求估价结果与估价对象的类似房地产在同等条件下的价值或价格偏差在合理范围内的原则。</w:t>
      </w:r>
    </w:p>
    <w:p>
      <w:pPr>
        <w:pStyle w:val="32"/>
        <w:topLinePunct/>
        <w:adjustRightInd w:val="0"/>
        <w:snapToGrid w:val="0"/>
        <w:spacing w:line="460" w:lineRule="exact"/>
        <w:ind w:firstLine="560"/>
        <w:rPr>
          <w:rFonts w:ascii="仿宋_GB2312" w:hAnsi="Courier New" w:eastAsia="仿宋_GB2312" w:cstheme="minorBidi"/>
          <w:sz w:val="28"/>
          <w:szCs w:val="28"/>
        </w:rPr>
      </w:pPr>
      <w:r>
        <w:rPr>
          <w:rFonts w:hint="eastAsia" w:ascii="仿宋_GB2312" w:hAnsi="Courier New" w:eastAsia="仿宋_GB2312" w:cstheme="minorBidi"/>
          <w:sz w:val="28"/>
          <w:szCs w:val="28"/>
        </w:rPr>
        <w:t>根据经济学原理，在同一个市场上相同的商品有相同的价格。因为任何理性的买者在购买商品之前都会在市场上搜寻并“货比三家”，然后购买其中效用最大（或质量、性能最好）而价格最低的，即购买“性价比”高或“物美价廉”的。卖者为了使其产品能够卖出，相互之间也会进行价格竞争。市场上买者、卖者的这些行为导致的结果，是在相同的商品之间形成相同的价格。</w:t>
      </w:r>
    </w:p>
    <w:p>
      <w:pPr>
        <w:pStyle w:val="32"/>
        <w:topLinePunct/>
        <w:adjustRightInd w:val="0"/>
        <w:snapToGrid w:val="0"/>
        <w:spacing w:line="460" w:lineRule="exact"/>
        <w:ind w:firstLine="560"/>
        <w:rPr>
          <w:rFonts w:ascii="仿宋_GB2312" w:hAnsi="Courier New" w:eastAsia="仿宋_GB2312" w:cstheme="minorBidi"/>
          <w:sz w:val="28"/>
          <w:szCs w:val="28"/>
        </w:rPr>
      </w:pPr>
      <w:r>
        <w:rPr>
          <w:rFonts w:hint="eastAsia" w:ascii="仿宋_GB2312" w:hAnsi="Courier New" w:eastAsia="仿宋_GB2312" w:cstheme="minorBidi"/>
          <w:sz w:val="28"/>
          <w:szCs w:val="28"/>
        </w:rPr>
        <w:t>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w:t>
      </w:r>
    </w:p>
    <w:p>
      <w:pPr>
        <w:pStyle w:val="32"/>
        <w:topLinePunct/>
        <w:adjustRightInd w:val="0"/>
        <w:snapToGrid w:val="0"/>
        <w:spacing w:line="460" w:lineRule="exact"/>
        <w:ind w:firstLine="560"/>
        <w:rPr>
          <w:rFonts w:ascii="仿宋_GB2312" w:hAnsi="Courier New" w:eastAsia="仿宋_GB2312" w:cstheme="minorBidi"/>
          <w:sz w:val="28"/>
          <w:szCs w:val="28"/>
        </w:rPr>
      </w:pPr>
      <w:r>
        <w:rPr>
          <w:rFonts w:hint="eastAsia" w:ascii="仿宋_GB2312" w:hAnsi="Courier New" w:eastAsia="仿宋_GB2312" w:cstheme="minorBidi"/>
          <w:sz w:val="28"/>
          <w:szCs w:val="28"/>
        </w:rPr>
        <w:t>本次评估中，收益法的租金的确定、还原率等参数的选取这些遵循了替代原则。</w:t>
      </w:r>
    </w:p>
    <w:p>
      <w:pPr>
        <w:adjustRightInd w:val="0"/>
        <w:snapToGrid w:val="0"/>
        <w:spacing w:line="460" w:lineRule="exact"/>
        <w:rPr>
          <w:rFonts w:ascii="仿宋_GB2312" w:hAnsi="Courier New" w:eastAsia="仿宋_GB2312"/>
          <w:sz w:val="28"/>
          <w:szCs w:val="28"/>
        </w:rPr>
      </w:pPr>
      <w:r>
        <w:rPr>
          <w:rFonts w:hint="eastAsia" w:ascii="仿宋_GB2312" w:hAnsi="Courier New" w:eastAsia="仿宋_GB2312"/>
          <w:sz w:val="28"/>
          <w:szCs w:val="28"/>
        </w:rPr>
        <w:t>5.最高最佳利用原则</w:t>
      </w:r>
    </w:p>
    <w:p>
      <w:pPr>
        <w:adjustRightInd w:val="0"/>
        <w:snapToGrid w:val="0"/>
        <w:spacing w:line="460" w:lineRule="exact"/>
        <w:ind w:firstLine="520"/>
        <w:rPr>
          <w:rFonts w:ascii="仿宋_GB2312" w:hAnsi="Courier New" w:eastAsia="仿宋_GB2312"/>
          <w:sz w:val="28"/>
          <w:szCs w:val="28"/>
        </w:rPr>
      </w:pPr>
      <w:r>
        <w:rPr>
          <w:rFonts w:hint="eastAsia" w:ascii="仿宋_GB2312" w:hAnsi="Courier New" w:eastAsia="仿宋_GB2312"/>
          <w:sz w:val="28"/>
          <w:szCs w:val="28"/>
        </w:rPr>
        <w:t>要求估价结果是在估价对象最高最佳利用状况下的价值或价格的原则。</w:t>
      </w:r>
    </w:p>
    <w:p>
      <w:pPr>
        <w:pStyle w:val="11"/>
        <w:adjustRightInd w:val="0"/>
        <w:snapToGrid w:val="0"/>
        <w:spacing w:line="460" w:lineRule="exact"/>
        <w:ind w:firstLine="560" w:firstLineChars="200"/>
        <w:rPr>
          <w:rFonts w:ascii="仿宋_GB2312" w:hAnsi="宋体" w:eastAsia="仿宋_GB2312"/>
          <w:sz w:val="28"/>
          <w:szCs w:val="28"/>
        </w:rPr>
      </w:pPr>
      <w:r>
        <w:rPr>
          <w:rFonts w:hint="eastAsia" w:ascii="仿宋_GB2312" w:eastAsia="仿宋_GB2312"/>
          <w:sz w:val="28"/>
          <w:szCs w:val="28"/>
        </w:rPr>
        <w:t>最高最佳利用必须同时满足四个条件：一是法律上允许；二是技术上可能；三是财务上可行；四是价值最大化。实际估价中在选取估价对象的最高最佳利用时，往往容易忽视“法律上允许”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w:t>
      </w:r>
    </w:p>
    <w:p>
      <w:pPr>
        <w:tabs>
          <w:tab w:val="left" w:pos="905"/>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（八）估价依据：</w:t>
      </w:r>
    </w:p>
    <w:p>
      <w:pPr>
        <w:tabs>
          <w:tab w:val="left" w:pos="905"/>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（1）</w:t>
      </w:r>
      <w:r>
        <w:rPr>
          <w:rFonts w:hint="eastAsia" w:ascii="仿宋_GB2312" w:eastAsia="仿宋_GB2312"/>
          <w:color w:val="000000"/>
          <w:sz w:val="28"/>
          <w:szCs w:val="28"/>
        </w:rPr>
        <w:t>国家有关法律、行政法规、规章和政策：</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1．《中华人民共和国城市房地产管理法》（经2007年8月30日第十届全国人民代表大会常务委员会第二十九次会议修正）；</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2.《中华人民共和国土地管理法》（经2003年8月28日第十届全国人民代表大会常务委员会第十一次会议第二次修正）；</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3.《中华人民共和国物权法》及最高人民法院的司法解释；</w:t>
      </w:r>
    </w:p>
    <w:p>
      <w:pPr>
        <w:tabs>
          <w:tab w:val="left" w:pos="1540"/>
        </w:tabs>
        <w:adjustRightInd w:val="0"/>
        <w:snapToGrid w:val="0"/>
        <w:spacing w:line="460" w:lineRule="exact"/>
        <w:rPr>
          <w:rFonts w:ascii="仿宋_GB2312" w:hAnsi="宋体" w:eastAsia="仿宋_GB2312"/>
          <w:sz w:val="28"/>
        </w:rPr>
      </w:pPr>
      <w:r>
        <w:rPr>
          <w:rFonts w:hint="eastAsia" w:ascii="仿宋_GB2312" w:hAnsi="宋体" w:eastAsia="仿宋_GB2312"/>
          <w:sz w:val="28"/>
        </w:rPr>
        <w:t>4.《中华人民共和国担保法》（1995年6月30日第八届全国人民代表大会常务委员会第十次会议修正）；</w:t>
      </w:r>
    </w:p>
    <w:p>
      <w:pPr>
        <w:pStyle w:val="32"/>
        <w:tabs>
          <w:tab w:val="left" w:pos="1134"/>
        </w:tabs>
        <w:topLinePunct/>
        <w:adjustRightInd w:val="0"/>
        <w:snapToGrid w:val="0"/>
        <w:spacing w:line="276" w:lineRule="auto"/>
        <w:ind w:firstLine="0" w:firstLineChars="0"/>
        <w:rPr>
          <w:rFonts w:ascii="仿宋_GB2312" w:hAnsi="宋体" w:eastAsia="仿宋_GB2312" w:cstheme="minorBidi"/>
          <w:sz w:val="28"/>
          <w:szCs w:val="22"/>
        </w:rPr>
      </w:pPr>
      <w:r>
        <w:rPr>
          <w:rFonts w:hint="eastAsia" w:ascii="微软雅黑" w:hAnsi="微软雅黑" w:eastAsia="微软雅黑" w:cs="微软雅黑"/>
          <w:szCs w:val="21"/>
        </w:rPr>
        <w:t>5.</w:t>
      </w:r>
      <w:r>
        <w:rPr>
          <w:rFonts w:hint="eastAsia" w:ascii="仿宋_GB2312" w:hAnsi="宋体" w:eastAsia="仿宋_GB2312" w:cstheme="minorBidi"/>
          <w:sz w:val="28"/>
          <w:szCs w:val="22"/>
        </w:rPr>
        <w:t>《中华人民共和国资产评估法》（中华人民共和国主席令第46号，自2016年12月1日起施行）；</w:t>
      </w:r>
    </w:p>
    <w:p>
      <w:pPr>
        <w:tabs>
          <w:tab w:val="left" w:pos="1540"/>
        </w:tabs>
        <w:adjustRightInd w:val="0"/>
        <w:snapToGrid w:val="0"/>
        <w:spacing w:line="460" w:lineRule="exact"/>
        <w:rPr>
          <w:rFonts w:ascii="仿宋_GB2312" w:hAnsi="仿宋" w:eastAsia="仿宋_GB2312"/>
          <w:sz w:val="28"/>
          <w:szCs w:val="28"/>
        </w:rPr>
      </w:pPr>
      <w:r>
        <w:rPr>
          <w:rFonts w:hint="eastAsia" w:ascii="仿宋_GB2312" w:hAnsi="宋体" w:eastAsia="仿宋_GB2312"/>
          <w:sz w:val="28"/>
        </w:rPr>
        <w:t>6.</w:t>
      </w:r>
      <w:r>
        <w:rPr>
          <w:rFonts w:hint="eastAsia" w:ascii="仿宋_GB2312" w:hAnsi="仿宋" w:eastAsia="仿宋_GB2312"/>
          <w:sz w:val="28"/>
          <w:szCs w:val="28"/>
        </w:rPr>
        <w:t>《城市房地产抵押管理办法》（建设部令第98号，2001年8月15日颁布实施）；</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7.《中华人民共和国城镇国有土地使用权出让和转让暂行条例》【国务院[90]55号令】</w:t>
      </w:r>
    </w:p>
    <w:p>
      <w:pPr>
        <w:pStyle w:val="11"/>
        <w:tabs>
          <w:tab w:val="left" w:pos="-360"/>
          <w:tab w:val="left" w:pos="993"/>
        </w:tabs>
        <w:adjustRightInd w:val="0"/>
        <w:snapToGrid w:val="0"/>
        <w:spacing w:line="460" w:lineRule="exact"/>
        <w:ind w:right="-6"/>
        <w:rPr>
          <w:rFonts w:ascii="仿宋_GB2312" w:hAnsi="仿宋" w:eastAsia="仿宋_GB2312"/>
          <w:sz w:val="28"/>
          <w:szCs w:val="28"/>
        </w:rPr>
      </w:pPr>
      <w:r>
        <w:rPr>
          <w:rFonts w:hint="eastAsia" w:ascii="仿宋_GB2312" w:hAnsi="宋体" w:eastAsia="仿宋_GB2312"/>
          <w:sz w:val="28"/>
        </w:rPr>
        <w:t>8.</w:t>
      </w:r>
      <w:r>
        <w:rPr>
          <w:rFonts w:hint="eastAsia" w:ascii="仿宋_GB2312" w:hAnsi="仿宋" w:eastAsia="仿宋_GB2312"/>
          <w:sz w:val="28"/>
          <w:szCs w:val="28"/>
        </w:rPr>
        <w:t>《</w:t>
      </w:r>
      <w:r>
        <w:rPr>
          <w:rFonts w:hint="eastAsia" w:ascii="仿宋_GB2312" w:hAnsi="仿宋" w:eastAsia="仿宋_GB2312"/>
          <w:bCs/>
          <w:sz w:val="28"/>
          <w:szCs w:val="28"/>
        </w:rPr>
        <w:t>关于调整个人住房转让营业税政策的通知</w:t>
      </w:r>
      <w:r>
        <w:rPr>
          <w:rFonts w:hint="eastAsia" w:ascii="仿宋_GB2312" w:hAnsi="仿宋" w:eastAsia="仿宋_GB2312"/>
          <w:sz w:val="28"/>
          <w:szCs w:val="28"/>
        </w:rPr>
        <w:t>》(财税[2015]39号、2015年3月31日发布)；</w:t>
      </w:r>
    </w:p>
    <w:p>
      <w:pPr>
        <w:pStyle w:val="11"/>
        <w:tabs>
          <w:tab w:val="left" w:pos="-360"/>
          <w:tab w:val="left" w:pos="993"/>
        </w:tabs>
        <w:adjustRightInd w:val="0"/>
        <w:snapToGrid w:val="0"/>
        <w:spacing w:line="400" w:lineRule="exact"/>
        <w:ind w:right="-6"/>
        <w:rPr>
          <w:rFonts w:ascii="仿宋_GB2312" w:hAnsi="仿宋" w:eastAsia="仿宋_GB2312"/>
          <w:color w:val="000000"/>
          <w:sz w:val="28"/>
          <w:szCs w:val="28"/>
        </w:rPr>
      </w:pPr>
      <w:r>
        <w:rPr>
          <w:rFonts w:hint="eastAsia" w:ascii="仿宋_GB2312" w:hAnsi="仿宋" w:eastAsia="仿宋_GB2312"/>
          <w:color w:val="000000"/>
          <w:sz w:val="28"/>
          <w:szCs w:val="28"/>
        </w:rPr>
        <w:t>9.《关于土地使用权抵押登记有关问题的通知》（（1997）国土籍字第2号、1997年1月3日起施行）；</w:t>
      </w:r>
    </w:p>
    <w:p>
      <w:pPr>
        <w:pStyle w:val="11"/>
        <w:tabs>
          <w:tab w:val="left" w:pos="-360"/>
          <w:tab w:val="left" w:pos="993"/>
        </w:tabs>
        <w:adjustRightInd w:val="0"/>
        <w:snapToGrid w:val="0"/>
        <w:spacing w:line="400" w:lineRule="exact"/>
        <w:ind w:right="-6"/>
        <w:rPr>
          <w:rFonts w:ascii="仿宋_GB2312" w:hAnsi="仿宋" w:eastAsia="仿宋_GB2312"/>
          <w:color w:val="000000"/>
          <w:sz w:val="28"/>
          <w:szCs w:val="28"/>
        </w:rPr>
      </w:pPr>
      <w:r>
        <w:rPr>
          <w:rFonts w:hint="eastAsia" w:ascii="仿宋_GB2312" w:hAnsi="仿宋" w:eastAsia="仿宋_GB2312"/>
          <w:color w:val="000000"/>
          <w:sz w:val="28"/>
          <w:szCs w:val="28"/>
        </w:rPr>
        <w:t>10.《商业银行房地产贷款风险管理指引》（银监发（2004）57号、2004年8月30日起施行）；</w:t>
      </w:r>
    </w:p>
    <w:p>
      <w:pPr>
        <w:pStyle w:val="11"/>
        <w:tabs>
          <w:tab w:val="left" w:pos="-360"/>
          <w:tab w:val="left" w:pos="993"/>
        </w:tabs>
        <w:adjustRightInd w:val="0"/>
        <w:snapToGrid w:val="0"/>
        <w:spacing w:line="400" w:lineRule="exact"/>
        <w:ind w:right="-6"/>
        <w:rPr>
          <w:rFonts w:hint="eastAsia" w:ascii="仿宋_GB2312" w:hAnsi="仿宋" w:eastAsia="仿宋_GB2312"/>
          <w:color w:val="000000"/>
          <w:sz w:val="28"/>
          <w:szCs w:val="28"/>
        </w:rPr>
      </w:pPr>
      <w:r>
        <w:rPr>
          <w:rFonts w:hint="eastAsia" w:ascii="仿宋_GB2312" w:hAnsi="宋体" w:eastAsia="仿宋_GB2312"/>
          <w:sz w:val="28"/>
        </w:rPr>
        <w:t>11.</w:t>
      </w:r>
      <w:r>
        <w:rPr>
          <w:rFonts w:hint="eastAsia" w:ascii="仿宋_GB2312" w:hAnsi="仿宋" w:eastAsia="仿宋_GB2312"/>
          <w:color w:val="000000"/>
          <w:sz w:val="28"/>
          <w:szCs w:val="28"/>
        </w:rPr>
        <w:t>《建设部、中国人民银行、中国银行业监督管理委员会关于规范与银行信贷业务相关的房地产抵押估价管理有关问题的通知》（建住房（2006）8号、2006年3月1日起施行）；</w:t>
      </w:r>
    </w:p>
    <w:p>
      <w:pPr>
        <w:pStyle w:val="11"/>
        <w:tabs>
          <w:tab w:val="left" w:pos="-360"/>
          <w:tab w:val="left" w:pos="993"/>
        </w:tabs>
        <w:adjustRightInd w:val="0"/>
        <w:snapToGrid w:val="0"/>
        <w:spacing w:line="400" w:lineRule="exact"/>
        <w:ind w:right="-6"/>
        <w:rPr>
          <w:rFonts w:hint="eastAsia" w:ascii="仿宋_GB2312" w:hAnsi="仿宋" w:eastAsia="仿宋_GB2312"/>
          <w:color w:val="000000"/>
          <w:sz w:val="28"/>
          <w:szCs w:val="28"/>
        </w:rPr>
      </w:pPr>
      <w:r>
        <w:rPr>
          <w:rFonts w:hint="eastAsia" w:ascii="仿宋_GB2312" w:hAnsi="仿宋" w:eastAsia="仿宋_GB2312"/>
          <w:color w:val="000000"/>
          <w:sz w:val="28"/>
          <w:szCs w:val="28"/>
        </w:rPr>
        <w:t>12.《最高人民法院关于人民法院确定财产处置参考价若干问题的规定》（法释（2018）15号，2018年10月12日起实施）；</w:t>
      </w:r>
    </w:p>
    <w:p>
      <w:pPr>
        <w:pStyle w:val="11"/>
        <w:tabs>
          <w:tab w:val="left" w:pos="-360"/>
          <w:tab w:val="left" w:pos="993"/>
        </w:tabs>
        <w:adjustRightInd w:val="0"/>
        <w:snapToGrid w:val="0"/>
        <w:spacing w:line="400" w:lineRule="exact"/>
        <w:ind w:right="-6"/>
        <w:rPr>
          <w:rFonts w:hint="eastAsia" w:ascii="仿宋_GB2312" w:hAnsi="仿宋" w:eastAsia="仿宋_GB2312"/>
          <w:color w:val="000000"/>
          <w:sz w:val="28"/>
          <w:szCs w:val="28"/>
        </w:rPr>
      </w:pPr>
      <w:r>
        <w:rPr>
          <w:rFonts w:hint="eastAsia" w:ascii="仿宋_GB2312" w:hAnsi="仿宋" w:eastAsia="仿宋_GB2312"/>
          <w:color w:val="000000"/>
          <w:sz w:val="28"/>
          <w:szCs w:val="28"/>
        </w:rPr>
        <w:t>13.关于印发《人民法院委托评估工作规范》的通知（法办（2018）273号）。</w:t>
      </w:r>
    </w:p>
    <w:p>
      <w:pPr>
        <w:tabs>
          <w:tab w:val="left" w:pos="1540"/>
        </w:tabs>
        <w:adjustRightInd w:val="0"/>
        <w:snapToGrid w:val="0"/>
        <w:spacing w:line="400" w:lineRule="exact"/>
        <w:rPr>
          <w:rFonts w:ascii="仿宋_GB2312" w:eastAsia="仿宋_GB2312"/>
          <w:sz w:val="28"/>
        </w:rPr>
      </w:pPr>
      <w:r>
        <w:rPr>
          <w:rFonts w:hint="eastAsia" w:ascii="仿宋_GB2312" w:hAnsi="宋体" w:eastAsia="仿宋_GB2312"/>
          <w:sz w:val="28"/>
        </w:rPr>
        <w:t>（2）技术标准、规程、规范</w:t>
      </w:r>
    </w:p>
    <w:p>
      <w:pPr>
        <w:tabs>
          <w:tab w:val="left" w:pos="1540"/>
        </w:tabs>
        <w:adjustRightInd w:val="0"/>
        <w:snapToGrid w:val="0"/>
        <w:spacing w:line="400" w:lineRule="exact"/>
        <w:ind w:firstLine="140" w:firstLineChars="50"/>
        <w:rPr>
          <w:rFonts w:ascii="仿宋_GB2312" w:eastAsia="仿宋_GB2312"/>
          <w:sz w:val="28"/>
        </w:rPr>
      </w:pPr>
      <w:r>
        <w:rPr>
          <w:rFonts w:hint="eastAsia" w:ascii="仿宋_GB2312" w:hAnsi="宋体" w:eastAsia="仿宋_GB2312"/>
          <w:sz w:val="28"/>
        </w:rPr>
        <w:t>1.《房地产估价规范》GB／T50291－2015；</w:t>
      </w:r>
    </w:p>
    <w:p>
      <w:pPr>
        <w:tabs>
          <w:tab w:val="left" w:pos="1540"/>
        </w:tabs>
        <w:adjustRightInd w:val="0"/>
        <w:snapToGrid w:val="0"/>
        <w:spacing w:line="400" w:lineRule="exact"/>
        <w:ind w:firstLine="140" w:firstLineChars="50"/>
        <w:rPr>
          <w:rFonts w:ascii="仿宋_GB2312" w:eastAsia="仿宋_GB2312"/>
          <w:sz w:val="28"/>
        </w:rPr>
      </w:pPr>
      <w:r>
        <w:rPr>
          <w:rFonts w:hint="eastAsia" w:ascii="仿宋_GB2312" w:hAnsi="宋体" w:eastAsia="仿宋_GB2312"/>
          <w:sz w:val="28"/>
        </w:rPr>
        <w:t>2.《房地产估价基本术语标准》GB／T50899－2013；</w:t>
      </w:r>
    </w:p>
    <w:p>
      <w:pPr>
        <w:tabs>
          <w:tab w:val="left" w:pos="1540"/>
        </w:tabs>
        <w:adjustRightInd w:val="0"/>
        <w:snapToGrid w:val="0"/>
        <w:spacing w:line="400" w:lineRule="exact"/>
        <w:rPr>
          <w:rFonts w:ascii="仿宋_GB2312" w:hAnsi="宋体" w:eastAsia="仿宋_GB2312"/>
          <w:sz w:val="28"/>
        </w:rPr>
      </w:pPr>
      <w:r>
        <w:rPr>
          <w:rFonts w:hint="eastAsia" w:ascii="仿宋_GB2312" w:hAnsi="宋体" w:eastAsia="仿宋_GB2312"/>
          <w:sz w:val="28"/>
        </w:rPr>
        <w:t>（3）委托方提供的相关资料及其他相关依据</w:t>
      </w:r>
    </w:p>
    <w:p>
      <w:pPr>
        <w:tabs>
          <w:tab w:val="left" w:pos="1540"/>
        </w:tabs>
        <w:adjustRightInd w:val="0"/>
        <w:snapToGrid w:val="0"/>
        <w:spacing w:line="400" w:lineRule="exact"/>
        <w:ind w:firstLine="140" w:firstLineChars="50"/>
        <w:rPr>
          <w:rFonts w:ascii="仿宋_GB2312" w:eastAsia="仿宋_GB2312"/>
          <w:sz w:val="28"/>
        </w:rPr>
      </w:pPr>
      <w:r>
        <w:rPr>
          <w:rFonts w:hint="eastAsia" w:ascii="仿宋_GB2312" w:hAnsi="宋体" w:eastAsia="仿宋_GB2312"/>
          <w:sz w:val="28"/>
        </w:rPr>
        <w:t xml:space="preserve"> 1.和硕县人民法院--（2019）新2828执202号</w:t>
      </w:r>
    </w:p>
    <w:p>
      <w:pPr>
        <w:tabs>
          <w:tab w:val="left" w:pos="1540"/>
        </w:tabs>
        <w:adjustRightInd w:val="0"/>
        <w:snapToGrid w:val="0"/>
        <w:spacing w:line="400" w:lineRule="exact"/>
        <w:ind w:firstLine="280" w:firstLineChars="100"/>
        <w:rPr>
          <w:rFonts w:hint="eastAsia" w:ascii="仿宋_GB2312" w:hAnsi="宋体" w:eastAsia="仿宋_GB2312"/>
          <w:sz w:val="28"/>
        </w:rPr>
      </w:pPr>
      <w:r>
        <w:rPr>
          <w:rFonts w:hint="eastAsia" w:ascii="仿宋_GB2312" w:hAnsi="宋体" w:eastAsia="仿宋_GB2312"/>
          <w:sz w:val="28"/>
        </w:rPr>
        <w:t>2.房屋所有权证书复印件</w:t>
      </w:r>
    </w:p>
    <w:p>
      <w:pPr>
        <w:tabs>
          <w:tab w:val="left" w:pos="1540"/>
        </w:tabs>
        <w:adjustRightInd w:val="0"/>
        <w:snapToGrid w:val="0"/>
        <w:spacing w:line="400" w:lineRule="exact"/>
        <w:ind w:firstLine="280" w:firstLineChars="100"/>
        <w:rPr>
          <w:rFonts w:hint="default" w:ascii="仿宋_GB2312" w:hAnsi="宋体" w:eastAsia="仿宋_GB2312"/>
          <w:sz w:val="28"/>
          <w:lang w:val="en-US" w:eastAsia="zh-CN"/>
        </w:rPr>
      </w:pPr>
      <w:r>
        <w:rPr>
          <w:rFonts w:hint="eastAsia" w:ascii="仿宋_GB2312" w:hAnsi="宋体" w:eastAsia="仿宋_GB2312"/>
          <w:sz w:val="28"/>
          <w:lang w:val="en-US" w:eastAsia="zh-CN"/>
        </w:rPr>
        <w:t>3.和硕县人民法院委托书</w:t>
      </w:r>
    </w:p>
    <w:p>
      <w:pPr>
        <w:tabs>
          <w:tab w:val="left" w:pos="1540"/>
        </w:tabs>
        <w:adjustRightInd w:val="0"/>
        <w:snapToGrid w:val="0"/>
        <w:spacing w:line="400" w:lineRule="exact"/>
        <w:ind w:firstLine="280" w:firstLineChars="100"/>
        <w:rPr>
          <w:rFonts w:hint="eastAsia" w:ascii="仿宋_GB2312" w:hAnsi="宋体" w:eastAsia="仿宋_GB2312"/>
          <w:sz w:val="28"/>
        </w:rPr>
      </w:pPr>
      <w:r>
        <w:rPr>
          <w:rFonts w:hint="eastAsia" w:ascii="仿宋_GB2312" w:hAnsi="宋体" w:eastAsia="仿宋_GB2312"/>
          <w:sz w:val="28"/>
        </w:rPr>
        <w:t>3.估价人员实地勘察和估价机构掌握的相关资料；</w:t>
      </w:r>
    </w:p>
    <w:p>
      <w:pPr>
        <w:tabs>
          <w:tab w:val="left" w:pos="1540"/>
        </w:tabs>
        <w:adjustRightInd w:val="0"/>
        <w:snapToGrid w:val="0"/>
        <w:spacing w:line="400" w:lineRule="exact"/>
        <w:ind w:firstLine="280" w:firstLineChars="100"/>
        <w:rPr>
          <w:rFonts w:ascii="仿宋_GB2312" w:eastAsia="仿宋_GB2312"/>
          <w:sz w:val="28"/>
        </w:rPr>
      </w:pPr>
      <w:r>
        <w:rPr>
          <w:rFonts w:hint="eastAsia" w:ascii="仿宋_GB2312" w:hAnsi="宋体" w:eastAsia="仿宋_GB2312"/>
          <w:sz w:val="28"/>
        </w:rPr>
        <w:t>4.估价对象所在区域的房地产市场状况、同类房地产市场交易等数据资料。</w:t>
      </w:r>
    </w:p>
    <w:p>
      <w:pPr>
        <w:adjustRightInd w:val="0"/>
        <w:snapToGrid w:val="0"/>
        <w:spacing w:line="400" w:lineRule="exact"/>
        <w:rPr>
          <w:rFonts w:ascii="仿宋_GB2312" w:eastAsia="仿宋_GB2312"/>
          <w:sz w:val="28"/>
        </w:rPr>
      </w:pPr>
      <w:r>
        <w:rPr>
          <w:rFonts w:hint="eastAsia" w:ascii="仿宋_GB2312" w:hAnsi="宋体" w:eastAsia="仿宋_GB2312"/>
          <w:sz w:val="28"/>
        </w:rPr>
        <w:t>（九）估价方法：</w:t>
      </w:r>
    </w:p>
    <w:p>
      <w:pPr>
        <w:pStyle w:val="32"/>
        <w:topLinePunct/>
        <w:adjustRightInd w:val="0"/>
        <w:snapToGrid w:val="0"/>
        <w:spacing w:line="400" w:lineRule="exact"/>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1.方法选用分析</w:t>
      </w:r>
    </w:p>
    <w:p>
      <w:pPr>
        <w:pStyle w:val="11"/>
        <w:tabs>
          <w:tab w:val="left" w:pos="-360"/>
          <w:tab w:val="left" w:pos="993"/>
        </w:tabs>
        <w:snapToGrid w:val="0"/>
        <w:spacing w:line="400" w:lineRule="exact"/>
        <w:ind w:right="-6" w:firstLine="560" w:firstLineChars="200"/>
        <w:jc w:val="left"/>
      </w:pPr>
      <w:r>
        <w:rPr>
          <w:rFonts w:hint="eastAsia" w:ascii="仿宋_GB2312" w:hAnsi="仿宋" w:eastAsia="仿宋_GB2312"/>
          <w:bCs/>
          <w:sz w:val="28"/>
          <w:szCs w:val="28"/>
        </w:rPr>
        <w:t xml:space="preserve">估价人员在认真分析所掌握的资料，并对估价对象进行了实地查勘以及对周边房地产市场进行调查后，根据《房地产估价规范》【GB/T 50291－2015】、《房地产估价基本术语标准》【GB/T50899－2013】，遵照国家有关法律、法规、估价技术标准，经过反复研究，最终选取比较法、收益法（选择两种或两种以上估价方法）对估价对象房地产价值水平进行测算，选用方法的理由及各方法定义如下表（表4）：                                                   </w:t>
      </w:r>
      <w:r>
        <w:rPr>
          <w:rFonts w:hint="eastAsia"/>
        </w:rPr>
        <w:t>表4</w:t>
      </w:r>
    </w:p>
    <w:tbl>
      <w:tblPr>
        <w:tblStyle w:val="21"/>
        <w:tblpPr w:leftFromText="181" w:rightFromText="181" w:bottomFromText="142" w:vertAnchor="text" w:tblpXSpec="center" w:tblpY="1"/>
        <w:tblOverlap w:val="never"/>
        <w:tblW w:w="917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7"/>
        <w:gridCol w:w="3231"/>
        <w:gridCol w:w="3545"/>
        <w:gridCol w:w="8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57" w:type="dxa"/>
            <w:tcBorders>
              <w:top w:val="single" w:color="auto" w:sz="12" w:space="0"/>
              <w:bottom w:val="single" w:color="auto" w:sz="6" w:space="0"/>
            </w:tcBorders>
            <w:shd w:val="clear" w:color="auto" w:fill="FFFFFF"/>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可选估价方法</w:t>
            </w:r>
          </w:p>
        </w:tc>
        <w:tc>
          <w:tcPr>
            <w:tcW w:w="3231" w:type="dxa"/>
            <w:tcBorders>
              <w:top w:val="single" w:color="auto" w:sz="12" w:space="0"/>
              <w:bottom w:val="single" w:color="auto" w:sz="6" w:space="0"/>
            </w:tcBorders>
            <w:shd w:val="clear" w:color="auto" w:fill="FFFFFF"/>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估价方法定义</w:t>
            </w:r>
          </w:p>
        </w:tc>
        <w:tc>
          <w:tcPr>
            <w:tcW w:w="3545" w:type="dxa"/>
            <w:tcBorders>
              <w:top w:val="single" w:color="auto" w:sz="12" w:space="0"/>
              <w:bottom w:val="single" w:color="auto" w:sz="6" w:space="0"/>
            </w:tcBorders>
            <w:shd w:val="clear" w:color="auto" w:fill="FFFFFF"/>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估价方法是否选择理由</w:t>
            </w:r>
          </w:p>
        </w:tc>
        <w:tc>
          <w:tcPr>
            <w:tcW w:w="846" w:type="dxa"/>
            <w:tcBorders>
              <w:top w:val="single" w:color="auto" w:sz="12" w:space="0"/>
              <w:bottom w:val="single" w:color="auto" w:sz="6" w:space="0"/>
            </w:tcBorders>
            <w:shd w:val="clear" w:color="auto" w:fill="FFFFFF"/>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是否选取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比较法</w:t>
            </w:r>
          </w:p>
        </w:tc>
        <w:tc>
          <w:tcPr>
            <w:tcW w:w="3231"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比较法是选取一定数量的可比实例，将它们与估价对象进行比较，根据其间的差异对可比实例成交价格进行处理后得到估价对象价值或价格的方法。</w:t>
            </w:r>
          </w:p>
        </w:tc>
        <w:tc>
          <w:tcPr>
            <w:tcW w:w="3545"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估价对象规划用途为住宅，所在区域与估价对象相似的租售可比案例（同一供需圈内、用途一致、邻近区域）较多，故本次评估选取比较法对估价对象及市场租金进行估价。</w:t>
            </w:r>
          </w:p>
        </w:tc>
        <w:tc>
          <w:tcPr>
            <w:tcW w:w="846"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收益法</w:t>
            </w:r>
          </w:p>
        </w:tc>
        <w:tc>
          <w:tcPr>
            <w:tcW w:w="3231"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收益法是预测估价对象的未来收益，利用报酬率或资本化率、收益乘数将未来收益转换为价值得到估价对象价值或价格的方法。</w:t>
            </w:r>
          </w:p>
        </w:tc>
        <w:tc>
          <w:tcPr>
            <w:tcW w:w="3545"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收益法适宜用于收益性物业评估，即为有经济收益或有潜在经济收益的房地产，估价对象为住宅用途物业，且周边同类物业出租较多，易收集、了解租金水平，故本次评估部选取采用收益法进行估价。</w:t>
            </w:r>
          </w:p>
        </w:tc>
        <w:tc>
          <w:tcPr>
            <w:tcW w:w="846"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假设开发法</w:t>
            </w:r>
          </w:p>
        </w:tc>
        <w:tc>
          <w:tcPr>
            <w:tcW w:w="3231"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545"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假设开发法适用于评估具有投资开发价值或再开发潜力的房地产，估价对象为已完成开发的住宅物业，故本次评估不选取假设开发法作为估价方法。</w:t>
            </w:r>
          </w:p>
        </w:tc>
        <w:tc>
          <w:tcPr>
            <w:tcW w:w="846" w:type="dxa"/>
            <w:tcBorders>
              <w:top w:val="single" w:color="auto" w:sz="6" w:space="0"/>
              <w:bottom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不选取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tcBorders>
            <w:vAlign w:val="center"/>
          </w:tcPr>
          <w:p>
            <w:pPr>
              <w:adjustRightInd w:val="0"/>
              <w:snapToGrid w:val="0"/>
              <w:jc w:val="center"/>
              <w:rPr>
                <w:rFonts w:ascii="仿宋_GB2312" w:hAnsi="微软雅黑" w:eastAsia="仿宋_GB2312" w:cs="Tahoma"/>
                <w:bCs/>
                <w:sz w:val="22"/>
              </w:rPr>
            </w:pPr>
            <w:r>
              <w:rPr>
                <w:rFonts w:hint="eastAsia" w:ascii="仿宋_GB2312" w:hAnsi="微软雅黑" w:eastAsia="仿宋_GB2312" w:cs="Tahoma"/>
                <w:bCs/>
                <w:sz w:val="22"/>
              </w:rPr>
              <w:t>成本法</w:t>
            </w:r>
          </w:p>
        </w:tc>
        <w:tc>
          <w:tcPr>
            <w:tcW w:w="3231" w:type="dxa"/>
            <w:tcBorders>
              <w:top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成本法是测算估价对象在价值时点的重置成本或重建成本和折旧，将重置成本或重建成本减去折旧得到估价对象价值或价格的方法。</w:t>
            </w:r>
          </w:p>
        </w:tc>
        <w:tc>
          <w:tcPr>
            <w:tcW w:w="3545" w:type="dxa"/>
            <w:tcBorders>
              <w:top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运用成本法测算的结果不能较好反映估价对象市场价值，故不选取成本法进行评估。</w:t>
            </w:r>
          </w:p>
        </w:tc>
        <w:tc>
          <w:tcPr>
            <w:tcW w:w="846" w:type="dxa"/>
            <w:tcBorders>
              <w:top w:val="single" w:color="auto" w:sz="6" w:space="0"/>
            </w:tcBorders>
            <w:vAlign w:val="center"/>
          </w:tcPr>
          <w:p>
            <w:pPr>
              <w:adjustRightInd w:val="0"/>
              <w:snapToGrid w:val="0"/>
              <w:jc w:val="center"/>
              <w:rPr>
                <w:rFonts w:ascii="仿宋_GB2312" w:hAnsi="微软雅黑" w:eastAsia="仿宋_GB2312" w:cs="Tahoma"/>
                <w:sz w:val="22"/>
              </w:rPr>
            </w:pPr>
            <w:r>
              <w:rPr>
                <w:rFonts w:hint="eastAsia" w:ascii="仿宋_GB2312" w:hAnsi="微软雅黑" w:eastAsia="仿宋_GB2312" w:cs="Tahoma"/>
                <w:sz w:val="22"/>
              </w:rPr>
              <w:t>不选取</w:t>
            </w:r>
          </w:p>
        </w:tc>
      </w:tr>
    </w:tbl>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b/>
          <w:sz w:val="28"/>
          <w:szCs w:val="28"/>
        </w:rPr>
        <w:t>2.本次选用估价方法定义及基本公式</w:t>
      </w:r>
    </w:p>
    <w:p>
      <w:pPr>
        <w:pStyle w:val="32"/>
        <w:topLinePunct/>
        <w:adjustRightInd w:val="0"/>
        <w:snapToGrid w:val="0"/>
        <w:spacing w:line="276" w:lineRule="auto"/>
        <w:ind w:firstLineChars="0"/>
        <w:rPr>
          <w:rFonts w:ascii="仿宋_GB2312" w:hAnsi="微软雅黑" w:eastAsia="仿宋_GB2312" w:cs="微软雅黑"/>
          <w:b/>
          <w:sz w:val="28"/>
          <w:szCs w:val="28"/>
        </w:rPr>
      </w:pPr>
      <w:r>
        <w:rPr>
          <w:rFonts w:hint="eastAsia" w:ascii="仿宋_GB2312" w:hAnsi="微软雅黑" w:eastAsia="仿宋_GB2312" w:cs="微软雅黑"/>
          <w:b/>
          <w:sz w:val="28"/>
          <w:szCs w:val="28"/>
        </w:rPr>
        <w:t>（1）.比较法</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比较法是选取一定数量的可比实例，将它们与估价对象进行比较，根据其间的差异对可比实例成交价格进行处理后得到估价对象价值或价格的方法。</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运用比较法求取估价对象的比较价值，基本公式如下：</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比较价值＝可比实例成交价格×交易情况修正系数×市场状况调整系数×房地产状况调整系数。</w:t>
      </w:r>
    </w:p>
    <w:p>
      <w:pPr>
        <w:pStyle w:val="32"/>
        <w:topLinePunct/>
        <w:adjustRightInd w:val="0"/>
        <w:snapToGrid w:val="0"/>
        <w:spacing w:line="276" w:lineRule="auto"/>
        <w:ind w:firstLineChars="0"/>
        <w:rPr>
          <w:rFonts w:ascii="仿宋_GB2312" w:hAnsi="微软雅黑" w:eastAsia="仿宋_GB2312" w:cs="微软雅黑"/>
          <w:b/>
          <w:sz w:val="28"/>
          <w:szCs w:val="28"/>
        </w:rPr>
      </w:pPr>
      <w:r>
        <w:rPr>
          <w:rFonts w:hint="eastAsia" w:ascii="仿宋_GB2312" w:hAnsi="微软雅黑" w:eastAsia="仿宋_GB2312" w:cs="微软雅黑"/>
          <w:b/>
          <w:sz w:val="28"/>
          <w:szCs w:val="28"/>
        </w:rPr>
        <w:t>（2）.收益法</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收益法是预测估价对象的未来收益，利用报酬率或资本化率、收益乘数将未来收益转换为价值得到估价对象价值或价格的方法。</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选用全剩余寿命模式进行估价时，收益价值应按下式计算：</w:t>
      </w:r>
    </w:p>
    <w:p>
      <w:pPr>
        <w:topLinePunct/>
        <w:adjustRightInd w:val="0"/>
        <w:snapToGrid w:val="0"/>
        <w:spacing w:line="360" w:lineRule="auto"/>
        <w:jc w:val="left"/>
        <w:rPr>
          <w:rFonts w:ascii="仿宋_GB2312" w:hAnsi="微软雅黑" w:eastAsia="仿宋_GB2312" w:cs="微软雅黑"/>
          <w:sz w:val="28"/>
          <w:szCs w:val="28"/>
        </w:rPr>
      </w:pPr>
      <w:r>
        <w:rPr>
          <w:rFonts w:ascii="仿宋_GB2312" w:hAnsi="微软雅黑" w:eastAsia="仿宋_GB2312" w:cs="Arial"/>
          <w:iCs/>
          <w:sz w:val="28"/>
          <w:szCs w:val="28"/>
        </w:rPr>
        <w:pict>
          <v:shape id="_x0000_s1029" o:spid="_x0000_s1029" o:spt="75" type="#_x0000_t75" style="position:absolute;left:0pt;margin-left:173.3pt;margin-top:5.5pt;height:48.6pt;width:100.9pt;mso-wrap-distance-bottom:0pt;mso-wrap-distance-left:9pt;mso-wrap-distance-right:9pt;mso-wrap-distance-top:0pt;z-index:251662336;mso-width-relative:page;mso-height-relative:page;" o:ole="t" filled="f" o:preferrelative="t" stroked="f" coordsize="21600,21600">
            <v:path/>
            <v:fill on="f" focussize="0,0"/>
            <v:stroke on="f" joinstyle="miter"/>
            <v:imagedata r:id="rId7" o:title=""/>
            <o:lock v:ext="edit" aspectratio="t"/>
            <w10:wrap type="square" side="right"/>
          </v:shape>
          <o:OLEObject Type="Embed" ProgID="Equation.3" ShapeID="_x0000_s1029" DrawAspect="Content" ObjectID="_1468075725" r:id="rId6">
            <o:LockedField>false</o:LockedField>
          </o:OLEObject>
        </w:pict>
      </w:r>
      <w:r>
        <w:rPr>
          <w:rFonts w:hint="eastAsia" w:ascii="仿宋_GB2312" w:hAnsi="微软雅黑" w:eastAsia="仿宋_GB2312" w:cs="Arial"/>
          <w:sz w:val="28"/>
          <w:szCs w:val="28"/>
        </w:rPr>
        <w:br w:type="textWrapping" w:clear="all"/>
      </w:r>
      <w:r>
        <w:rPr>
          <w:rFonts w:hint="eastAsia" w:ascii="仿宋_GB2312" w:hAnsi="微软雅黑" w:eastAsia="仿宋_GB2312" w:cs="微软雅黑"/>
          <w:sz w:val="28"/>
          <w:szCs w:val="28"/>
        </w:rPr>
        <w:t>式中：</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V —估价对象在价值时点的收益价值。</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Ai—估价对象未来各期的净运营收益，简称净收益。</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Y —估价对象未来各期的报酬率，也称为折现率。</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n —估价对象的收益期或持有期。</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选用持有加转售模式进行估价时，收益价值应按下式计算：</w:t>
      </w:r>
    </w:p>
    <w:p>
      <w:pPr>
        <w:topLinePunct/>
        <w:adjustRightInd w:val="0"/>
        <w:snapToGrid w:val="0"/>
        <w:spacing w:line="360" w:lineRule="auto"/>
        <w:jc w:val="left"/>
        <w:rPr>
          <w:rFonts w:ascii="仿宋_GB2312" w:hAnsi="微软雅黑" w:eastAsia="仿宋_GB2312" w:cs="微软雅黑"/>
          <w:sz w:val="28"/>
          <w:szCs w:val="28"/>
        </w:rPr>
      </w:pPr>
      <w:r>
        <w:rPr>
          <w:rFonts w:ascii="仿宋_GB2312" w:hAnsi="微软雅黑" w:eastAsia="仿宋_GB2312" w:cs="Arial"/>
          <w:iCs/>
          <w:sz w:val="28"/>
          <w:szCs w:val="28"/>
        </w:rPr>
        <w:pict>
          <v:shape id="_x0000_s1030" o:spid="_x0000_s1030" o:spt="75" type="#_x0000_t75" style="position:absolute;left:0pt;margin-left:112.45pt;margin-top:12.55pt;height:48.6pt;width:171.7pt;mso-wrap-distance-bottom:0pt;mso-wrap-distance-left:9pt;mso-wrap-distance-right:9pt;mso-wrap-distance-top:0pt;z-index:251663360;mso-width-relative:page;mso-height-relative:page;" o:ole="t" filled="f" o:preferrelative="t" stroked="f" coordsize="21600,21600">
            <v:path/>
            <v:fill on="f" focussize="0,0"/>
            <v:stroke on="f" joinstyle="miter"/>
            <v:imagedata r:id="rId9" o:title=""/>
            <o:lock v:ext="edit" aspectratio="t"/>
            <w10:wrap type="square" side="right"/>
          </v:shape>
          <o:OLEObject Type="Embed" ProgID="Equation.3" ShapeID="_x0000_s1030" DrawAspect="Content" ObjectID="_1468075726" r:id="rId8">
            <o:LockedField>false</o:LockedField>
          </o:OLEObject>
        </w:pict>
      </w:r>
      <w:r>
        <w:rPr>
          <w:rFonts w:hint="eastAsia" w:ascii="仿宋_GB2312" w:hAnsi="微软雅黑" w:eastAsia="仿宋_GB2312" w:cs="Arial"/>
          <w:sz w:val="28"/>
          <w:szCs w:val="28"/>
        </w:rPr>
        <w:br w:type="textWrapping" w:clear="all"/>
      </w:r>
      <w:r>
        <w:rPr>
          <w:rFonts w:hint="eastAsia" w:ascii="仿宋_GB2312" w:hAnsi="微软雅黑" w:eastAsia="仿宋_GB2312" w:cs="微软雅黑"/>
          <w:sz w:val="28"/>
          <w:szCs w:val="28"/>
        </w:rPr>
        <w:t>式中：</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V —估价对象在价值时点的收益价值。</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Ai—估价对象未来各期的净运营收益，简称净收益。</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Y —估价对象未来各期的报酬率，也称为折现率。</w:t>
      </w:r>
    </w:p>
    <w:p>
      <w:pPr>
        <w:pStyle w:val="32"/>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n —估价对象的收益期或持有期。</w:t>
      </w:r>
    </w:p>
    <w:p>
      <w:pPr>
        <w:pStyle w:val="32"/>
        <w:topLinePunct/>
        <w:adjustRightInd w:val="0"/>
        <w:snapToGrid w:val="0"/>
        <w:spacing w:line="276" w:lineRule="auto"/>
        <w:ind w:firstLine="560"/>
        <w:rPr>
          <w:rFonts w:ascii="仿宋_GB2312" w:hAnsi="微软雅黑" w:eastAsia="仿宋_GB2312" w:cs="微软雅黑"/>
          <w:sz w:val="28"/>
          <w:szCs w:val="28"/>
        </w:rPr>
      </w:pPr>
      <w:r>
        <w:rPr>
          <w:rFonts w:hint="eastAsia" w:ascii="仿宋_GB2312" w:hAnsi="微软雅黑" w:eastAsia="仿宋_GB2312" w:cs="微软雅黑"/>
          <w:sz w:val="28"/>
          <w:szCs w:val="28"/>
        </w:rPr>
        <w:t>Vn —估价对象在未来第n年末的价格。</w:t>
      </w:r>
    </w:p>
    <w:p>
      <w:pPr>
        <w:pStyle w:val="32"/>
        <w:topLinePunct/>
        <w:adjustRightInd w:val="0"/>
        <w:snapToGrid w:val="0"/>
        <w:spacing w:line="276" w:lineRule="auto"/>
        <w:ind w:left="420" w:firstLine="0" w:firstLineChars="0"/>
        <w:rPr>
          <w:rFonts w:ascii="仿宋_GB2312" w:hAnsi="微软雅黑" w:eastAsia="仿宋_GB2312" w:cs="微软雅黑"/>
          <w:b/>
          <w:sz w:val="28"/>
          <w:szCs w:val="28"/>
        </w:rPr>
      </w:pPr>
      <w:r>
        <w:rPr>
          <w:rFonts w:hint="eastAsia" w:ascii="仿宋_GB2312" w:hAnsi="微软雅黑" w:eastAsia="仿宋_GB2312" w:cs="微软雅黑"/>
          <w:b/>
          <w:sz w:val="28"/>
          <w:szCs w:val="28"/>
        </w:rPr>
        <w:t>3.估价技术路线</w:t>
      </w:r>
    </w:p>
    <w:p>
      <w:pPr>
        <w:pStyle w:val="33"/>
        <w:topLinePunct/>
        <w:adjustRightInd w:val="0"/>
        <w:snapToGrid w:val="0"/>
        <w:spacing w:line="276" w:lineRule="auto"/>
        <w:ind w:left="560" w:firstLine="0" w:firstLineChars="0"/>
        <w:rPr>
          <w:rFonts w:ascii="仿宋_GB2312" w:hAnsi="微软雅黑" w:eastAsia="仿宋_GB2312"/>
          <w:bCs/>
          <w:sz w:val="28"/>
          <w:szCs w:val="28"/>
        </w:rPr>
      </w:pPr>
      <w:bookmarkStart w:id="41" w:name="_Toc362509796"/>
      <w:r>
        <w:rPr>
          <w:rFonts w:hint="eastAsia" w:ascii="仿宋_GB2312" w:hAnsi="微软雅黑" w:eastAsia="仿宋_GB2312"/>
          <w:bCs/>
          <w:sz w:val="28"/>
          <w:szCs w:val="28"/>
        </w:rPr>
        <w:t>1.运用比较法求取估价对象房地产价值。</w:t>
      </w:r>
      <w:bookmarkEnd w:id="41"/>
    </w:p>
    <w:p>
      <w:pPr>
        <w:pStyle w:val="33"/>
        <w:topLinePunct/>
        <w:adjustRightInd w:val="0"/>
        <w:snapToGrid w:val="0"/>
        <w:spacing w:line="276" w:lineRule="auto"/>
        <w:ind w:left="560" w:firstLine="0" w:firstLineChars="0"/>
        <w:rPr>
          <w:rFonts w:ascii="仿宋_GB2312" w:hAnsi="微软雅黑" w:eastAsia="仿宋_GB2312"/>
          <w:bCs/>
          <w:sz w:val="28"/>
          <w:szCs w:val="28"/>
        </w:rPr>
      </w:pPr>
      <w:bookmarkStart w:id="42" w:name="_Toc362509797"/>
      <w:r>
        <w:rPr>
          <w:rFonts w:hint="eastAsia" w:ascii="仿宋_GB2312" w:hAnsi="微软雅黑" w:eastAsia="仿宋_GB2312"/>
          <w:bCs/>
          <w:sz w:val="28"/>
          <w:szCs w:val="28"/>
        </w:rPr>
        <w:t>2.运用收益法求取估价对象房地产价值。</w:t>
      </w:r>
      <w:bookmarkEnd w:id="42"/>
    </w:p>
    <w:p>
      <w:pPr>
        <w:pStyle w:val="33"/>
        <w:topLinePunct/>
        <w:adjustRightInd w:val="0"/>
        <w:snapToGrid w:val="0"/>
        <w:spacing w:line="276" w:lineRule="auto"/>
        <w:ind w:left="560" w:firstLine="0" w:firstLineChars="0"/>
        <w:rPr>
          <w:rFonts w:ascii="仿宋_GB2312" w:hAnsi="微软雅黑" w:eastAsia="仿宋_GB2312"/>
          <w:bCs/>
          <w:sz w:val="28"/>
          <w:szCs w:val="28"/>
        </w:rPr>
      </w:pPr>
      <w:bookmarkStart w:id="43" w:name="_Toc362509798"/>
      <w:r>
        <w:rPr>
          <w:rFonts w:hint="eastAsia" w:ascii="仿宋_GB2312" w:hAnsi="微软雅黑" w:eastAsia="仿宋_GB2312"/>
          <w:bCs/>
          <w:sz w:val="28"/>
          <w:szCs w:val="28"/>
        </w:rPr>
        <w:t>3.将比较法和收益法求取的价值结果进行加权平均，确定估价对象房地产价值。</w:t>
      </w:r>
      <w:bookmarkEnd w:id="43"/>
    </w:p>
    <w:p>
      <w:pPr>
        <w:adjustRightInd w:val="0"/>
        <w:snapToGrid w:val="0"/>
        <w:spacing w:line="460" w:lineRule="exact"/>
        <w:ind w:left="347" w:leftChars="32" w:hanging="280" w:hangingChars="100"/>
        <w:rPr>
          <w:rFonts w:ascii="仿宋_GB2312" w:eastAsia="仿宋_GB2312"/>
          <w:sz w:val="28"/>
        </w:rPr>
      </w:pPr>
      <w:r>
        <w:rPr>
          <w:rFonts w:hint="eastAsia" w:ascii="仿宋_GB2312" w:eastAsia="仿宋_GB2312"/>
          <w:sz w:val="28"/>
        </w:rPr>
        <w:t>（十） 估价结果：</w:t>
      </w:r>
    </w:p>
    <w:p>
      <w:pPr>
        <w:adjustRightInd w:val="0"/>
        <w:snapToGrid w:val="0"/>
        <w:spacing w:line="440" w:lineRule="exact"/>
        <w:ind w:firstLine="527"/>
        <w:rPr>
          <w:rFonts w:ascii="仿宋_GB2312" w:hAnsi="宋体" w:eastAsia="仿宋_GB2312"/>
          <w:sz w:val="28"/>
        </w:rPr>
      </w:pPr>
      <w:r>
        <w:rPr>
          <w:rFonts w:hint="eastAsia" w:ascii="仿宋_GB2312" w:hAnsi="宋体" w:eastAsia="仿宋_GB2312"/>
          <w:sz w:val="28"/>
        </w:rPr>
        <w:t>估价人员根据估价目的，遵循估价原则和国家有关房地产估价的规范、规定，按照估价程序，在经过实地查勘与市场调查、核实房地产现状，经分析和选用比较法和收益法对估价对象进行了测算，并结合估价师的经验，确定估价对象在满足全部假设和限制条件下于价值时点 2019年10月21日的估价结果如下：（币种：人民币）</w:t>
      </w:r>
    </w:p>
    <w:tbl>
      <w:tblPr>
        <w:tblStyle w:val="21"/>
        <w:tblW w:w="7988" w:type="dxa"/>
        <w:tblInd w:w="0" w:type="dxa"/>
        <w:tblLayout w:type="autofit"/>
        <w:tblCellMar>
          <w:top w:w="0" w:type="dxa"/>
          <w:left w:w="0" w:type="dxa"/>
          <w:bottom w:w="0" w:type="dxa"/>
          <w:right w:w="0" w:type="dxa"/>
        </w:tblCellMar>
      </w:tblPr>
      <w:tblGrid>
        <w:gridCol w:w="1168"/>
        <w:gridCol w:w="3226"/>
        <w:gridCol w:w="1199"/>
        <w:gridCol w:w="1128"/>
        <w:gridCol w:w="1267"/>
      </w:tblGrid>
      <w:tr>
        <w:tblPrEx>
          <w:tblCellMar>
            <w:top w:w="0" w:type="dxa"/>
            <w:left w:w="0" w:type="dxa"/>
            <w:bottom w:w="0" w:type="dxa"/>
            <w:right w:w="0" w:type="dxa"/>
          </w:tblCellMar>
        </w:tblPrEx>
        <w:trPr>
          <w:trHeight w:val="675"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项目</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地址</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评估建筑面积（㎡）</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单价（元/㎡）</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小计（元）</w:t>
            </w:r>
          </w:p>
        </w:tc>
      </w:tr>
      <w:tr>
        <w:tblPrEx>
          <w:tblCellMar>
            <w:top w:w="0" w:type="dxa"/>
            <w:left w:w="0" w:type="dxa"/>
            <w:bottom w:w="0" w:type="dxa"/>
            <w:right w:w="0" w:type="dxa"/>
          </w:tblCellMar>
        </w:tblPrEx>
        <w:trPr>
          <w:trHeight w:val="45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估价对象1</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新疆维吾尔自治区巴音郭楞蒙古自治州和硕县龙驹商业小区2号楼3-2（右）</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90.77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1483</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 xml:space="preserve">134612 </w:t>
            </w:r>
          </w:p>
        </w:tc>
      </w:tr>
      <w:tr>
        <w:tblPrEx>
          <w:tblCellMar>
            <w:top w:w="0" w:type="dxa"/>
            <w:left w:w="0" w:type="dxa"/>
            <w:bottom w:w="0" w:type="dxa"/>
            <w:right w:w="0" w:type="dxa"/>
          </w:tblCellMar>
        </w:tblPrEx>
        <w:trPr>
          <w:trHeight w:val="45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估价对象2</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库尔勒新城辖区铁克其路13号龙腾居3栋12层2单元1201室</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107.96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4740</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 xml:space="preserve">511730 </w:t>
            </w:r>
          </w:p>
        </w:tc>
      </w:tr>
      <w:tr>
        <w:tblPrEx>
          <w:tblCellMar>
            <w:top w:w="0" w:type="dxa"/>
            <w:left w:w="0" w:type="dxa"/>
            <w:bottom w:w="0" w:type="dxa"/>
            <w:right w:w="0" w:type="dxa"/>
          </w:tblCellMar>
        </w:tblPrEx>
        <w:trPr>
          <w:trHeight w:val="270" w:hRule="atLeast"/>
        </w:trPr>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18"/>
                <w:szCs w:val="18"/>
              </w:rPr>
            </w:pPr>
            <w:r>
              <w:rPr>
                <w:rFonts w:hint="eastAsia" w:ascii="仿宋" w:hAnsi="仿宋" w:eastAsia="仿宋" w:cs="仿宋"/>
                <w:i w:val="0"/>
                <w:color w:val="000000"/>
                <w:kern w:val="0"/>
                <w:sz w:val="18"/>
                <w:szCs w:val="18"/>
                <w:u w:val="none"/>
                <w:lang w:val="en-US" w:eastAsia="zh-CN" w:bidi="ar"/>
              </w:rPr>
              <w:t>总计</w:t>
            </w:r>
          </w:p>
        </w:tc>
        <w:tc>
          <w:tcPr>
            <w:tcW w:w="3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646342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大写</w:t>
            </w:r>
          </w:p>
        </w:tc>
        <w:tc>
          <w:tcPr>
            <w:tcW w:w="23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宋体"/>
                <w:color w:val="000000"/>
                <w:sz w:val="18"/>
                <w:szCs w:val="18"/>
              </w:rPr>
            </w:pPr>
            <w:r>
              <w:rPr>
                <w:rFonts w:hint="eastAsia" w:ascii="仿宋" w:hAnsi="仿宋" w:eastAsia="仿宋" w:cs="仿宋"/>
                <w:i w:val="0"/>
                <w:color w:val="000000"/>
                <w:kern w:val="0"/>
                <w:sz w:val="18"/>
                <w:szCs w:val="18"/>
                <w:u w:val="none"/>
                <w:lang w:val="en-US" w:eastAsia="zh-CN" w:bidi="ar"/>
              </w:rPr>
              <w:t>陆拾肆万陆仟叁佰肆拾贰</w:t>
            </w:r>
          </w:p>
        </w:tc>
      </w:tr>
    </w:tbl>
    <w:p>
      <w:pPr>
        <w:adjustRightInd w:val="0"/>
        <w:snapToGrid w:val="0"/>
        <w:spacing w:line="360" w:lineRule="auto"/>
        <w:rPr>
          <w:rFonts w:ascii="仿宋_GB2312" w:eastAsia="仿宋_GB2312"/>
          <w:sz w:val="28"/>
        </w:rPr>
      </w:pPr>
      <w:r>
        <w:rPr>
          <w:rFonts w:hint="eastAsia" w:ascii="仿宋_GB2312" w:eastAsia="仿宋_GB2312"/>
          <w:sz w:val="28"/>
        </w:rPr>
        <w:t>（十一）估价人员：</w:t>
      </w:r>
      <w:r>
        <w:rPr>
          <w:rFonts w:hint="eastAsia" w:ascii="仿宋_GB2312" w:eastAsia="仿宋_GB2312"/>
          <w:sz w:val="28"/>
          <w:szCs w:val="28"/>
        </w:rPr>
        <w:t>注册房地产估价师</w:t>
      </w:r>
    </w:p>
    <w:p>
      <w:pPr>
        <w:adjustRightInd w:val="0"/>
        <w:snapToGrid w:val="0"/>
        <w:spacing w:line="460" w:lineRule="exact"/>
        <w:ind w:firstLine="2380" w:firstLineChars="850"/>
        <w:rPr>
          <w:rFonts w:ascii="仿宋_GB2312" w:eastAsia="仿宋_GB2312"/>
          <w:sz w:val="28"/>
        </w:rPr>
      </w:pPr>
      <w:r>
        <w:rPr>
          <w:rFonts w:hint="eastAsia" w:ascii="仿宋_GB2312" w:eastAsia="仿宋_GB2312"/>
          <w:sz w:val="28"/>
        </w:rPr>
        <w:t xml:space="preserve"> 参加估价的注册房地产估价师</w:t>
      </w:r>
    </w:p>
    <w:tbl>
      <w:tblPr>
        <w:tblStyle w:val="21"/>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30" w:type="dxa"/>
            <w:vAlign w:val="center"/>
          </w:tcPr>
          <w:p>
            <w:pPr>
              <w:spacing w:line="440" w:lineRule="exact"/>
              <w:rPr>
                <w:rFonts w:ascii="仿宋_GB2312" w:eastAsia="仿宋_GB2312"/>
                <w:sz w:val="28"/>
                <w:szCs w:val="28"/>
              </w:rPr>
            </w:pPr>
            <w:r>
              <w:rPr>
                <w:rFonts w:hint="eastAsia" w:ascii="仿宋_GB2312" w:eastAsia="仿宋_GB2312"/>
                <w:sz w:val="28"/>
              </w:rPr>
              <w:t xml:space="preserve">    </w:t>
            </w:r>
            <w:r>
              <w:rPr>
                <w:rFonts w:hint="eastAsia" w:ascii="仿宋_GB2312" w:eastAsia="仿宋_GB2312"/>
                <w:sz w:val="28"/>
                <w:szCs w:val="28"/>
              </w:rPr>
              <w:t>姓 名</w:t>
            </w:r>
          </w:p>
        </w:tc>
        <w:tc>
          <w:tcPr>
            <w:tcW w:w="2130"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注册号</w:t>
            </w:r>
          </w:p>
        </w:tc>
        <w:tc>
          <w:tcPr>
            <w:tcW w:w="2131"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签章</w:t>
            </w: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130" w:type="dxa"/>
            <w:vAlign w:val="center"/>
          </w:tcPr>
          <w:p>
            <w:pPr>
              <w:spacing w:line="440" w:lineRule="exact"/>
              <w:jc w:val="center"/>
              <w:rPr>
                <w:rFonts w:ascii="仿宋_GB2312" w:eastAsia="仿宋_GB2312"/>
              </w:rPr>
            </w:pPr>
            <w:r>
              <w:rPr>
                <w:rFonts w:hint="eastAsia" w:ascii="仿宋_GB2312" w:eastAsia="仿宋_GB2312"/>
                <w:sz w:val="28"/>
              </w:rPr>
              <w:t>颜洁林</w:t>
            </w:r>
          </w:p>
        </w:tc>
        <w:tc>
          <w:tcPr>
            <w:tcW w:w="2130" w:type="dxa"/>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6520170011</w:t>
            </w:r>
          </w:p>
        </w:tc>
        <w:tc>
          <w:tcPr>
            <w:tcW w:w="2131" w:type="dxa"/>
            <w:vAlign w:val="center"/>
          </w:tcPr>
          <w:p>
            <w:pPr>
              <w:spacing w:line="440" w:lineRule="exact"/>
              <w:jc w:val="center"/>
              <w:rPr>
                <w:rFonts w:ascii="仿宋_GB2312" w:eastAsia="仿宋_GB2312"/>
              </w:rPr>
            </w:pP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2019年11月05日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30" w:type="dxa"/>
            <w:vAlign w:val="center"/>
          </w:tcPr>
          <w:p>
            <w:pPr>
              <w:spacing w:line="440" w:lineRule="exact"/>
              <w:jc w:val="center"/>
              <w:rPr>
                <w:rFonts w:ascii="仿宋_GB2312" w:eastAsia="仿宋_GB2312"/>
              </w:rPr>
            </w:pPr>
            <w:r>
              <w:rPr>
                <w:rFonts w:hint="eastAsia" w:ascii="仿宋_GB2312" w:eastAsia="仿宋_GB2312"/>
                <w:sz w:val="28"/>
              </w:rPr>
              <w:t>陈 应 林</w:t>
            </w:r>
          </w:p>
        </w:tc>
        <w:tc>
          <w:tcPr>
            <w:tcW w:w="2130" w:type="dxa"/>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6520060035</w:t>
            </w:r>
          </w:p>
        </w:tc>
        <w:tc>
          <w:tcPr>
            <w:tcW w:w="2131" w:type="dxa"/>
            <w:vAlign w:val="center"/>
          </w:tcPr>
          <w:p>
            <w:pPr>
              <w:spacing w:line="440" w:lineRule="exact"/>
              <w:jc w:val="center"/>
              <w:rPr>
                <w:rFonts w:ascii="仿宋_GB2312" w:eastAsia="仿宋_GB2312"/>
              </w:rPr>
            </w:pPr>
          </w:p>
        </w:tc>
        <w:tc>
          <w:tcPr>
            <w:tcW w:w="2837" w:type="dxa"/>
            <w:vAlign w:val="center"/>
          </w:tcPr>
          <w:p>
            <w:pPr>
              <w:spacing w:line="440" w:lineRule="exact"/>
              <w:jc w:val="center"/>
              <w:rPr>
                <w:rFonts w:ascii="仿宋_GB2312" w:eastAsia="仿宋_GB2312"/>
                <w:sz w:val="28"/>
                <w:szCs w:val="28"/>
              </w:rPr>
            </w:pPr>
            <w:r>
              <w:rPr>
                <w:rFonts w:hint="eastAsia" w:ascii="仿宋_GB2312" w:eastAsia="仿宋_GB2312"/>
                <w:sz w:val="28"/>
                <w:szCs w:val="28"/>
              </w:rPr>
              <w:t>2019年11月05日</w:t>
            </w:r>
          </w:p>
        </w:tc>
      </w:tr>
    </w:tbl>
    <w:p>
      <w:pPr>
        <w:tabs>
          <w:tab w:val="left" w:pos="1540"/>
          <w:tab w:val="left" w:pos="2380"/>
        </w:tabs>
        <w:adjustRightInd w:val="0"/>
        <w:snapToGrid w:val="0"/>
        <w:spacing w:line="460" w:lineRule="exact"/>
        <w:rPr>
          <w:rFonts w:ascii="仿宋_GB2312" w:eastAsia="仿宋_GB2312"/>
          <w:sz w:val="28"/>
        </w:rPr>
      </w:pPr>
      <w:r>
        <w:rPr>
          <w:rFonts w:hint="eastAsia" w:ascii="仿宋_GB2312" w:eastAsia="仿宋_GB2312"/>
          <w:sz w:val="28"/>
        </w:rPr>
        <w:t>（十二）实地查勘期：</w:t>
      </w:r>
      <w:r>
        <w:rPr>
          <w:rFonts w:hint="eastAsia" w:ascii="仿宋_GB2312" w:hAnsi="宋体" w:eastAsia="仿宋_GB2312"/>
          <w:sz w:val="28"/>
        </w:rPr>
        <w:t>2019年10月29日，并于当日完成了查勘</w:t>
      </w:r>
      <w:r>
        <w:rPr>
          <w:rFonts w:hint="eastAsia" w:ascii="仿宋_GB2312" w:hAnsi="微软雅黑" w:eastAsia="仿宋_GB2312"/>
          <w:bCs/>
          <w:sz w:val="28"/>
          <w:szCs w:val="28"/>
        </w:rPr>
        <w:t>。</w:t>
      </w:r>
    </w:p>
    <w:p>
      <w:pPr>
        <w:tabs>
          <w:tab w:val="left" w:pos="1540"/>
          <w:tab w:val="left" w:pos="2380"/>
        </w:tabs>
        <w:adjustRightInd w:val="0"/>
        <w:snapToGrid w:val="0"/>
        <w:spacing w:line="460" w:lineRule="exact"/>
        <w:rPr>
          <w:rFonts w:ascii="仿宋_GB2312" w:eastAsia="仿宋_GB2312"/>
          <w:sz w:val="28"/>
        </w:rPr>
      </w:pPr>
      <w:r>
        <w:rPr>
          <w:rFonts w:hint="eastAsia" w:ascii="仿宋_GB2312" w:eastAsia="仿宋_GB2312"/>
          <w:sz w:val="28"/>
        </w:rPr>
        <w:t>（十三）估价作业日期</w:t>
      </w:r>
      <w:r>
        <w:rPr>
          <w:rFonts w:hint="eastAsia" w:ascii="仿宋_GB2312" w:hAnsi="宋体" w:eastAsia="仿宋_GB2312"/>
          <w:sz w:val="28"/>
        </w:rPr>
        <w:t>： 2019年10月21日－11月05日</w:t>
      </w:r>
    </w:p>
    <w:p>
      <w:pPr>
        <w:pStyle w:val="12"/>
        <w:tabs>
          <w:tab w:val="left" w:pos="1540"/>
          <w:tab w:val="left" w:pos="2380"/>
        </w:tabs>
        <w:adjustRightInd w:val="0"/>
        <w:snapToGrid w:val="0"/>
        <w:spacing w:line="460" w:lineRule="exact"/>
        <w:ind w:left="3360" w:hanging="3360" w:hangingChars="1200"/>
        <w:rPr>
          <w:rFonts w:ascii="仿宋_GB2312" w:eastAsia="仿宋_GB2312"/>
          <w:sz w:val="28"/>
        </w:rPr>
      </w:pPr>
      <w:r>
        <w:rPr>
          <w:rFonts w:hint="eastAsia" w:ascii="仿宋_GB2312" w:eastAsia="仿宋_GB2312"/>
          <w:sz w:val="28"/>
        </w:rPr>
        <w:t xml:space="preserve">                     </w:t>
      </w:r>
    </w:p>
    <w:p>
      <w:pPr>
        <w:pStyle w:val="12"/>
        <w:tabs>
          <w:tab w:val="left" w:pos="1540"/>
          <w:tab w:val="left" w:pos="2380"/>
        </w:tabs>
        <w:adjustRightInd w:val="0"/>
        <w:snapToGrid w:val="0"/>
        <w:spacing w:line="460" w:lineRule="exact"/>
        <w:ind w:left="3080" w:leftChars="400" w:hanging="2240" w:hangingChars="800"/>
        <w:rPr>
          <w:rFonts w:ascii="仿宋_GB2312" w:eastAsia="仿宋_GB2312"/>
          <w:sz w:val="28"/>
        </w:rPr>
      </w:pPr>
    </w:p>
    <w:p>
      <w:pPr>
        <w:pStyle w:val="12"/>
        <w:tabs>
          <w:tab w:val="left" w:pos="1540"/>
          <w:tab w:val="left" w:pos="2380"/>
        </w:tabs>
        <w:adjustRightInd w:val="0"/>
        <w:snapToGrid w:val="0"/>
        <w:spacing w:line="460" w:lineRule="exact"/>
        <w:ind w:left="2520" w:leftChars="1200" w:firstLine="560" w:firstLineChars="200"/>
        <w:rPr>
          <w:rFonts w:ascii="仿宋_GB2312" w:eastAsia="仿宋_GB2312"/>
          <w:sz w:val="28"/>
          <w:szCs w:val="28"/>
        </w:rPr>
      </w:pPr>
      <w:r>
        <w:rPr>
          <w:rFonts w:hint="eastAsia" w:ascii="仿宋_GB2312" w:eastAsia="仿宋_GB2312"/>
          <w:sz w:val="28"/>
          <w:szCs w:val="28"/>
        </w:rPr>
        <w:t>新疆德旺房地产估价事务所（有限公司）</w:t>
      </w:r>
    </w:p>
    <w:p>
      <w:pPr>
        <w:spacing w:line="400" w:lineRule="exact"/>
        <w:ind w:firstLine="420" w:firstLineChars="200"/>
        <w:rPr>
          <w:rFonts w:ascii="仿宋_GB2312" w:hAnsi="仿宋_GB2312" w:eastAsia="仿宋_GB2312" w:cs="仿宋_GB2312"/>
          <w:color w:val="00B050"/>
          <w:szCs w:val="21"/>
        </w:rPr>
      </w:pPr>
    </w:p>
    <w:p>
      <w:pPr>
        <w:pStyle w:val="32"/>
        <w:topLinePunct/>
        <w:adjustRightInd w:val="0"/>
        <w:snapToGrid w:val="0"/>
        <w:spacing w:line="276" w:lineRule="auto"/>
        <w:ind w:firstLineChars="0"/>
        <w:rPr>
          <w:rFonts w:ascii="仿宋_GB2312" w:hAnsi="仿宋_GB2312" w:eastAsia="仿宋_GB2312" w:cs="仿宋_GB2312"/>
          <w:b/>
          <w:bCs/>
          <w:color w:val="000000" w:themeColor="text1"/>
          <w:sz w:val="22"/>
          <w:szCs w:val="22"/>
        </w:rPr>
      </w:pPr>
      <w:r>
        <w:rPr>
          <w:rFonts w:hint="eastAsia" w:ascii="仿宋_GB2312" w:hAnsi="仿宋_GB2312" w:eastAsia="仿宋_GB2312" w:cs="仿宋_GB2312"/>
          <w:color w:val="00B050"/>
          <w:szCs w:val="21"/>
        </w:rPr>
        <w:t xml:space="preserve">                                       </w:t>
      </w:r>
    </w:p>
    <w:bookmarkEnd w:id="36"/>
    <w:p>
      <w:pPr>
        <w:jc w:val="center"/>
        <w:rPr>
          <w:rFonts w:ascii="仿宋_GB2312" w:hAnsi="仿宋_GB2312" w:eastAsia="仿宋_GB2312" w:cs="仿宋_GB2312"/>
          <w:b/>
          <w:bCs/>
          <w:sz w:val="44"/>
          <w:szCs w:val="44"/>
        </w:rPr>
      </w:pPr>
      <w:bookmarkStart w:id="44" w:name="_Toc503261520"/>
      <w:bookmarkStart w:id="45" w:name="PO_17"/>
      <w:bookmarkStart w:id="46" w:name="_Toc505607015"/>
      <w:bookmarkStart w:id="47" w:name="_Toc499803652"/>
      <w:bookmarkStart w:id="48" w:name="_Toc505608923"/>
    </w:p>
    <w:p>
      <w:pPr>
        <w:jc w:val="center"/>
        <w:rPr>
          <w:rFonts w:ascii="仿宋_GB2312" w:hAnsi="仿宋_GB2312" w:eastAsia="仿宋_GB2312" w:cs="仿宋_GB2312"/>
          <w:b/>
          <w:bCs/>
          <w:sz w:val="44"/>
          <w:szCs w:val="44"/>
        </w:rPr>
      </w:pPr>
    </w:p>
    <w:p>
      <w:pPr>
        <w:jc w:val="center"/>
        <w:rPr>
          <w:rFonts w:ascii="仿宋_GB2312" w:hAnsi="仿宋_GB2312" w:eastAsia="仿宋_GB2312" w:cs="仿宋_GB2312"/>
          <w:b/>
          <w:bCs/>
          <w:sz w:val="44"/>
          <w:szCs w:val="44"/>
        </w:rPr>
      </w:pPr>
    </w:p>
    <w:p>
      <w:pPr>
        <w:jc w:val="center"/>
        <w:rPr>
          <w:rFonts w:ascii="仿宋_GB2312" w:hAnsi="仿宋_GB2312" w:eastAsia="仿宋_GB2312" w:cs="仿宋_GB2312"/>
          <w:b/>
          <w:bCs/>
          <w:sz w:val="44"/>
          <w:szCs w:val="44"/>
        </w:rPr>
      </w:pPr>
    </w:p>
    <w:p>
      <w:pPr>
        <w:rPr>
          <w:rFonts w:ascii="仿宋_GB2312" w:hAnsi="仿宋_GB2312" w:eastAsia="仿宋_GB2312" w:cs="仿宋_GB2312"/>
          <w:b/>
          <w:bCs/>
          <w:sz w:val="44"/>
          <w:szCs w:val="44"/>
        </w:rPr>
      </w:pPr>
    </w:p>
    <w:p>
      <w:pPr>
        <w:rPr>
          <w:rFonts w:ascii="仿宋_GB2312" w:hAnsi="仿宋_GB2312" w:eastAsia="仿宋_GB2312" w:cs="仿宋_GB2312"/>
          <w:b/>
          <w:bCs/>
          <w:sz w:val="44"/>
          <w:szCs w:val="44"/>
        </w:rPr>
      </w:pPr>
    </w:p>
    <w:p>
      <w:pPr>
        <w:jc w:val="center"/>
        <w:rPr>
          <w:rFonts w:ascii="仿宋_GB2312" w:hAnsi="仿宋_GB2312" w:eastAsia="仿宋_GB2312" w:cs="仿宋_GB2312"/>
          <w:color w:val="C0AD72"/>
          <w:spacing w:val="20"/>
          <w:sz w:val="28"/>
          <w:szCs w:val="28"/>
        </w:rPr>
      </w:pPr>
      <w:r>
        <w:rPr>
          <w:rFonts w:hint="eastAsia" w:ascii="仿宋_GB2312" w:hAnsi="仿宋_GB2312" w:eastAsia="仿宋_GB2312" w:cs="仿宋_GB2312"/>
          <w:color w:val="C3AD72"/>
          <w:spacing w:val="20"/>
          <w:kern w:val="0"/>
          <w:sz w:val="28"/>
          <w:szCs w:val="28"/>
        </w:rPr>
        <w:t>附</w:t>
      </w:r>
      <w:r>
        <w:rPr>
          <w:rFonts w:hint="eastAsia" w:ascii="仿宋_GB2312" w:hAnsi="仿宋_GB2312" w:eastAsia="仿宋_GB2312" w:cs="仿宋_GB2312"/>
          <w:color w:val="C0AD72"/>
          <w:spacing w:val="20"/>
          <w:sz w:val="28"/>
          <w:szCs w:val="28"/>
        </w:rPr>
        <w:t>件</w:t>
      </w:r>
    </w:p>
    <w:p>
      <w:pPr>
        <w:widowControl/>
        <w:topLinePunct/>
        <w:adjustRightInd w:val="0"/>
        <w:snapToGrid w:val="0"/>
        <w:spacing w:afterLines="200"/>
        <w:jc w:val="center"/>
        <w:rPr>
          <w:rFonts w:ascii="仿宋_GB2312" w:hAnsi="仿宋_GB2312" w:eastAsia="仿宋_GB2312" w:cs="仿宋_GB2312"/>
          <w:b/>
          <w:color w:val="C3AD72"/>
          <w:kern w:val="0"/>
          <w:sz w:val="28"/>
          <w:szCs w:val="28"/>
        </w:rPr>
      </w:pPr>
      <w:r>
        <w:rPr>
          <w:rFonts w:hint="eastAsia" w:ascii="仿宋_GB2312" w:hAnsi="仿宋_GB2312" w:eastAsia="仿宋_GB2312" w:cs="仿宋_GB2312"/>
          <w:b/>
          <w:color w:val="C3AD72"/>
          <w:kern w:val="0"/>
          <w:sz w:val="28"/>
          <w:szCs w:val="28"/>
        </w:rPr>
        <w:t>Appendix</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1、估价对象位置示意图</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2、估价对象实地查勘照片</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3、现场查勘表</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4、评估委托书</w:t>
      </w:r>
    </w:p>
    <w:p>
      <w:pPr>
        <w:pStyle w:val="4"/>
        <w:tabs>
          <w:tab w:val="left" w:pos="993"/>
          <w:tab w:val="left" w:pos="354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5、房地产估价机构《企业法人营业执照》复印件</w:t>
      </w:r>
    </w:p>
    <w:p>
      <w:pPr>
        <w:pStyle w:val="4"/>
        <w:tabs>
          <w:tab w:val="left" w:pos="993"/>
          <w:tab w:val="left" w:pos="113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6、房地产估价机构资质证书复印件</w:t>
      </w:r>
    </w:p>
    <w:p>
      <w:pPr>
        <w:pStyle w:val="4"/>
        <w:tabs>
          <w:tab w:val="left" w:pos="993"/>
          <w:tab w:val="left" w:pos="1134"/>
        </w:tabs>
        <w:topLinePunct/>
        <w:adjustRightInd w:val="0"/>
        <w:snapToGrid w:val="0"/>
        <w:spacing w:before="0" w:after="0" w:line="360" w:lineRule="auto"/>
        <w:ind w:left="420" w:leftChars="200"/>
        <w:rPr>
          <w:rFonts w:ascii="仿宋_GB2312" w:hAnsi="仿宋_GB2312" w:eastAsia="仿宋_GB2312" w:cs="仿宋_GB2312"/>
          <w:b w:val="0"/>
          <w:sz w:val="28"/>
          <w:szCs w:val="28"/>
        </w:rPr>
      </w:pPr>
      <w:r>
        <w:rPr>
          <w:rFonts w:hint="eastAsia" w:ascii="仿宋_GB2312" w:hAnsi="仿宋_GB2312" w:eastAsia="仿宋_GB2312" w:cs="仿宋_GB2312"/>
          <w:b w:val="0"/>
          <w:sz w:val="28"/>
          <w:szCs w:val="28"/>
        </w:rPr>
        <w:t>7、注册房地产估价师估价资格证书复印件</w:t>
      </w:r>
    </w:p>
    <w:p>
      <w:pPr>
        <w:pStyle w:val="4"/>
        <w:tabs>
          <w:tab w:val="left" w:pos="993"/>
          <w:tab w:val="left" w:pos="3544"/>
        </w:tabs>
        <w:topLinePunct/>
        <w:adjustRightInd w:val="0"/>
        <w:snapToGrid w:val="0"/>
        <w:spacing w:before="0" w:after="0" w:line="360" w:lineRule="auto"/>
        <w:rPr>
          <w:rFonts w:ascii="仿宋_GB2312" w:hAnsi="仿宋_GB2312" w:eastAsia="仿宋_GB2312" w:cs="仿宋_GB2312"/>
          <w:b w:val="0"/>
          <w:sz w:val="21"/>
          <w:szCs w:val="21"/>
        </w:rPr>
      </w:pPr>
    </w:p>
    <w:p>
      <w:pPr>
        <w:topLinePunct/>
        <w:adjustRightInd w:val="0"/>
        <w:snapToGrid w:val="0"/>
        <w:jc w:val="center"/>
        <w:rPr>
          <w:rFonts w:ascii="仿宋_GB2312" w:hAnsi="仿宋_GB2312" w:eastAsia="仿宋_GB2312" w:cs="仿宋_GB2312"/>
          <w:sz w:val="44"/>
        </w:rPr>
      </w:pPr>
    </w:p>
    <w:p>
      <w:pPr>
        <w:topLinePunct/>
        <w:adjustRightInd w:val="0"/>
        <w:snapToGrid w:val="0"/>
        <w:jc w:val="center"/>
        <w:rPr>
          <w:rFonts w:ascii="仿宋_GB2312" w:hAnsi="仿宋_GB2312" w:eastAsia="仿宋_GB2312" w:cs="仿宋_GB2312"/>
          <w:sz w:val="44"/>
        </w:rPr>
      </w:pPr>
    </w:p>
    <w:p>
      <w:pPr>
        <w:widowControl/>
        <w:topLinePunct/>
        <w:adjustRightInd w:val="0"/>
        <w:snapToGrid w:val="0"/>
        <w:jc w:val="center"/>
        <w:rPr>
          <w:rFonts w:ascii="仿宋_GB2312" w:hAnsi="仿宋_GB2312" w:eastAsia="仿宋_GB2312" w:cs="仿宋_GB2312"/>
          <w:b/>
          <w:color w:val="C3AD72"/>
          <w:spacing w:val="20"/>
          <w:sz w:val="32"/>
          <w:szCs w:val="32"/>
        </w:rPr>
      </w:pPr>
      <w:r>
        <w:rPr>
          <w:rFonts w:hint="eastAsia" w:ascii="仿宋_GB2312" w:hAnsi="仿宋_GB2312" w:eastAsia="仿宋_GB2312" w:cs="仿宋_GB2312"/>
          <w:b/>
          <w:color w:val="C3AD72"/>
          <w:spacing w:val="20"/>
          <w:sz w:val="32"/>
          <w:szCs w:val="32"/>
        </w:rPr>
        <w:br w:type="page"/>
      </w:r>
    </w:p>
    <w:p>
      <w:pPr>
        <w:topLinePunct/>
        <w:adjustRightInd w:val="0"/>
        <w:snapToGrid w:val="0"/>
        <w:spacing w:line="360" w:lineRule="auto"/>
        <w:jc w:val="center"/>
        <w:rPr>
          <w:rFonts w:ascii="仿宋_GB2312" w:hAnsi="仿宋_GB2312" w:eastAsia="仿宋_GB2312" w:cs="仿宋_GB2312"/>
        </w:rPr>
      </w:pPr>
    </w:p>
    <w:p>
      <w:pPr>
        <w:topLinePunct/>
        <w:adjustRightInd w:val="0"/>
        <w:snapToGrid w:val="0"/>
        <w:spacing w:line="360" w:lineRule="auto"/>
        <w:jc w:val="center"/>
        <w:rPr>
          <w:rFonts w:ascii="仿宋_GB2312" w:hAnsi="仿宋_GB2312" w:eastAsia="仿宋_GB2312" w:cs="仿宋_GB2312"/>
          <w:b/>
          <w:spacing w:val="20"/>
          <w:sz w:val="28"/>
          <w:szCs w:val="28"/>
        </w:rPr>
      </w:pPr>
      <w:r>
        <w:rPr>
          <w:rFonts w:hint="eastAsia" w:ascii="仿宋_GB2312" w:hAnsi="仿宋_GB2312" w:eastAsia="仿宋_GB2312" w:cs="仿宋_GB2312"/>
          <w:b/>
          <w:spacing w:val="20"/>
          <w:sz w:val="28"/>
          <w:szCs w:val="28"/>
        </w:rPr>
        <w:t>估价对象1</w:t>
      </w:r>
      <w:r>
        <w:rPr>
          <w:rFonts w:hint="eastAsia" w:ascii="仿宋_GB2312" w:hAnsi="仿宋_GB2312" w:eastAsia="仿宋_GB2312" w:cs="仿宋_GB2312"/>
          <w:b/>
          <w:sz w:val="30"/>
          <w:szCs w:val="30"/>
        </w:rPr>
        <w:t>（和硕龙驹商业小区2号楼3单元2-右）</w:t>
      </w:r>
      <w:r>
        <w:rPr>
          <w:rFonts w:hint="eastAsia" w:ascii="仿宋_GB2312" w:hAnsi="仿宋_GB2312" w:eastAsia="仿宋_GB2312" w:cs="仿宋_GB2312"/>
          <w:b/>
          <w:spacing w:val="20"/>
          <w:sz w:val="28"/>
          <w:szCs w:val="28"/>
        </w:rPr>
        <w:t>区域位置示意图</w:t>
      </w:r>
    </w:p>
    <w:p>
      <w:pPr>
        <w:topLinePunct/>
        <w:adjustRightInd w:val="0"/>
        <w:snapToGrid w:val="0"/>
        <w:spacing w:line="360" w:lineRule="auto"/>
      </w:pPr>
      <w:r>
        <w:drawing>
          <wp:inline distT="0" distB="0" distL="114300" distR="114300">
            <wp:extent cx="5269230" cy="3188970"/>
            <wp:effectExtent l="0" t="0" r="7620"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cstate="print"/>
                    <a:stretch>
                      <a:fillRect/>
                    </a:stretch>
                  </pic:blipFill>
                  <pic:spPr>
                    <a:xfrm>
                      <a:off x="0" y="0"/>
                      <a:ext cx="5269230" cy="3188970"/>
                    </a:xfrm>
                    <a:prstGeom prst="rect">
                      <a:avLst/>
                    </a:prstGeom>
                    <a:noFill/>
                    <a:ln>
                      <a:noFill/>
                    </a:ln>
                  </pic:spPr>
                </pic:pic>
              </a:graphicData>
            </a:graphic>
          </wp:inline>
        </w:drawing>
      </w:r>
    </w:p>
    <w:p>
      <w:pPr>
        <w:topLinePunct/>
        <w:adjustRightInd w:val="0"/>
        <w:snapToGrid w:val="0"/>
        <w:spacing w:line="360" w:lineRule="auto"/>
      </w:pPr>
    </w:p>
    <w:p>
      <w:pPr>
        <w:topLinePunct/>
        <w:adjustRightInd w:val="0"/>
        <w:snapToGrid w:val="0"/>
        <w:spacing w:line="360" w:lineRule="auto"/>
        <w:jc w:val="center"/>
        <w:rPr>
          <w:rFonts w:ascii="仿宋_GB2312" w:hAnsi="仿宋_GB2312" w:eastAsia="仿宋_GB2312" w:cs="仿宋_GB2312"/>
        </w:rPr>
      </w:pPr>
    </w:p>
    <w:p>
      <w:pPr>
        <w:topLinePunct/>
        <w:adjustRightInd w:val="0"/>
        <w:snapToGrid w:val="0"/>
        <w:spacing w:line="360" w:lineRule="auto"/>
        <w:jc w:val="center"/>
        <w:rPr>
          <w:rFonts w:ascii="仿宋_GB2312" w:hAnsi="仿宋_GB2312" w:eastAsia="仿宋_GB2312" w:cs="仿宋_GB2312"/>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估价对象1（和硕龙驹商业小区2号楼3单元2-右）照片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7940" cy="1868170"/>
                  <wp:effectExtent l="0" t="0" r="3810" b="177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cstate="print"/>
                          <a:stretch>
                            <a:fillRect/>
                          </a:stretch>
                        </pic:blipFill>
                        <pic:spPr>
                          <a:xfrm>
                            <a:off x="0" y="0"/>
                            <a:ext cx="2567940" cy="186817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4765" cy="1766570"/>
                  <wp:effectExtent l="0" t="0" r="6985" b="508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2" cstate="print"/>
                          <a:stretch>
                            <a:fillRect/>
                          </a:stretch>
                        </pic:blipFill>
                        <pic:spPr>
                          <a:xfrm>
                            <a:off x="0" y="0"/>
                            <a:ext cx="2564765" cy="1766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估价对象小区入口</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估价对象楼栋外观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2860" cy="1858010"/>
                  <wp:effectExtent l="0" t="0" r="8890" b="889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3" cstate="print"/>
                          <a:stretch>
                            <a:fillRect/>
                          </a:stretch>
                        </pic:blipFill>
                        <pic:spPr>
                          <a:xfrm>
                            <a:off x="0" y="0"/>
                            <a:ext cx="2562860" cy="185801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2860" cy="1835150"/>
                  <wp:effectExtent l="0" t="0" r="8890" b="1270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cstate="print"/>
                          <a:stretch>
                            <a:fillRect/>
                          </a:stretch>
                        </pic:blipFill>
                        <pic:spPr>
                          <a:xfrm>
                            <a:off x="0" y="0"/>
                            <a:ext cx="2562860" cy="1835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估价对象楼栋外观</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8575" cy="1852930"/>
                  <wp:effectExtent l="0" t="0" r="3175" b="1397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cstate="print"/>
                          <a:stretch>
                            <a:fillRect/>
                          </a:stretch>
                        </pic:blipFill>
                        <pic:spPr>
                          <a:xfrm>
                            <a:off x="0" y="0"/>
                            <a:ext cx="2568575" cy="185293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4130" cy="1804670"/>
                  <wp:effectExtent l="0" t="0" r="7620" b="50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6" cstate="print"/>
                          <a:stretch>
                            <a:fillRect/>
                          </a:stretch>
                        </pic:blipFill>
                        <pic:spPr>
                          <a:xfrm>
                            <a:off x="0" y="0"/>
                            <a:ext cx="2564130" cy="1804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估价对象楼栋外观</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估价对象客厅</w:t>
            </w:r>
          </w:p>
        </w:tc>
      </w:tr>
    </w:tbl>
    <w:p>
      <w:pPr>
        <w:rPr>
          <w:rFonts w:ascii="仿宋_GB2312" w:hAnsi="仿宋_GB2312" w:eastAsia="仿宋_GB2312" w:cs="仿宋_GB2312"/>
          <w:b/>
          <w:bCs/>
          <w:sz w:val="44"/>
          <w:szCs w:val="44"/>
        </w:rPr>
      </w:pPr>
    </w:p>
    <w:bookmarkEnd w:id="44"/>
    <w:bookmarkEnd w:id="45"/>
    <w:bookmarkEnd w:id="46"/>
    <w:bookmarkEnd w:id="47"/>
    <w:bookmarkEnd w:id="48"/>
    <w:p>
      <w:pPr>
        <w:pStyle w:val="4"/>
        <w:tabs>
          <w:tab w:val="left" w:pos="993"/>
          <w:tab w:val="left" w:pos="3544"/>
        </w:tabs>
        <w:topLinePunct/>
        <w:adjustRightInd w:val="0"/>
        <w:snapToGrid w:val="0"/>
        <w:spacing w:before="0" w:after="0" w:line="360" w:lineRule="auto"/>
        <w:rPr>
          <w:rFonts w:ascii="仿宋_GB2312" w:hAnsi="仿宋_GB2312" w:eastAsia="仿宋_GB2312" w:cs="仿宋_GB2312"/>
          <w:b w:val="0"/>
          <w:sz w:val="21"/>
          <w:szCs w:val="21"/>
        </w:rPr>
      </w:pPr>
      <w:bookmarkStart w:id="49" w:name="PO_23"/>
    </w:p>
    <w:p>
      <w:pPr>
        <w:topLinePunct/>
        <w:adjustRightInd w:val="0"/>
        <w:snapToGrid w:val="0"/>
        <w:jc w:val="center"/>
        <w:rPr>
          <w:rFonts w:ascii="仿宋_GB2312" w:hAnsi="仿宋_GB2312" w:eastAsia="仿宋_GB2312" w:cs="仿宋_GB2312"/>
          <w:sz w:val="44"/>
        </w:rPr>
      </w:pPr>
    </w:p>
    <w:p>
      <w:pPr>
        <w:topLinePunct/>
        <w:adjustRightInd w:val="0"/>
        <w:snapToGrid w:val="0"/>
        <w:jc w:val="center"/>
        <w:rPr>
          <w:rFonts w:ascii="仿宋_GB2312" w:hAnsi="仿宋_GB2312" w:eastAsia="仿宋_GB2312" w:cs="仿宋_GB2312"/>
          <w:sz w:val="44"/>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估价对象1（和硕龙驹商业小区2号楼3单元2-右）照片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7940" cy="1927860"/>
                  <wp:effectExtent l="0" t="0" r="3810" b="152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7" cstate="print"/>
                          <a:stretch>
                            <a:fillRect/>
                          </a:stretch>
                        </pic:blipFill>
                        <pic:spPr>
                          <a:xfrm>
                            <a:off x="0" y="0"/>
                            <a:ext cx="2567940" cy="192786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3495" cy="1951990"/>
                  <wp:effectExtent l="0" t="0" r="8255" b="1016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8" cstate="print"/>
                          <a:stretch>
                            <a:fillRect/>
                          </a:stretch>
                        </pic:blipFill>
                        <pic:spPr>
                          <a:xfrm>
                            <a:off x="0" y="0"/>
                            <a:ext cx="2563495" cy="1951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估价对象厨房</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2860" cy="1830070"/>
                  <wp:effectExtent l="0" t="0" r="8890" b="1778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9" cstate="print"/>
                          <a:stretch>
                            <a:fillRect/>
                          </a:stretch>
                        </pic:blipFill>
                        <pic:spPr>
                          <a:xfrm>
                            <a:off x="0" y="0"/>
                            <a:ext cx="2562860" cy="183007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2860" cy="1835150"/>
                  <wp:effectExtent l="0" t="0" r="8890" b="1270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0" cstate="print"/>
                          <a:stretch>
                            <a:fillRect/>
                          </a:stretch>
                        </pic:blipFill>
                        <pic:spPr>
                          <a:xfrm>
                            <a:off x="0" y="0"/>
                            <a:ext cx="2562860" cy="1835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估价对象餐厅</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4130" cy="1749425"/>
                  <wp:effectExtent l="0" t="0" r="7620" b="317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1" cstate="print"/>
                          <a:stretch>
                            <a:fillRect/>
                          </a:stretch>
                        </pic:blipFill>
                        <pic:spPr>
                          <a:xfrm>
                            <a:off x="0" y="0"/>
                            <a:ext cx="2564130" cy="1749425"/>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1590" cy="1908175"/>
                  <wp:effectExtent l="0" t="0" r="10160"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2" cstate="print"/>
                          <a:stretch>
                            <a:fillRect/>
                          </a:stretch>
                        </pic:blipFill>
                        <pic:spPr>
                          <a:xfrm>
                            <a:off x="0" y="0"/>
                            <a:ext cx="2561590" cy="190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估价对象卧室</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估价对象卧室</w:t>
            </w:r>
          </w:p>
        </w:tc>
      </w:tr>
    </w:tbl>
    <w:p>
      <w:pPr>
        <w:rPr>
          <w:rFonts w:ascii="仿宋_GB2312" w:hAnsi="仿宋_GB2312" w:eastAsia="仿宋_GB2312" w:cs="仿宋_GB2312"/>
          <w:b/>
          <w:bCs/>
          <w:sz w:val="44"/>
          <w:szCs w:val="44"/>
        </w:rPr>
      </w:pPr>
    </w:p>
    <w:p>
      <w:pPr>
        <w:topLinePunct/>
        <w:adjustRightInd w:val="0"/>
        <w:snapToGrid w:val="0"/>
        <w:rPr>
          <w:rFonts w:ascii="仿宋_GB2312" w:hAnsi="仿宋_GB2312" w:eastAsia="仿宋_GB2312" w:cs="仿宋_GB2312"/>
          <w:sz w:val="44"/>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估价对象2（库尔勒新城辖区铁克其路13号龙腾居3栋12层2单元1201室）区域位置图</w:t>
      </w:r>
    </w:p>
    <w:p>
      <w:pPr>
        <w:topLinePunct/>
        <w:adjustRightInd w:val="0"/>
        <w:snapToGrid w:val="0"/>
        <w:spacing w:line="360" w:lineRule="auto"/>
        <w:jc w:val="center"/>
        <w:rPr>
          <w:rFonts w:ascii="仿宋_GB2312" w:hAnsi="仿宋_GB2312" w:eastAsia="仿宋_GB2312" w:cs="仿宋_GB2312"/>
        </w:rPr>
      </w:pPr>
      <w:r>
        <w:drawing>
          <wp:inline distT="0" distB="0" distL="114300" distR="114300">
            <wp:extent cx="5265420" cy="3032125"/>
            <wp:effectExtent l="0" t="0" r="11430" b="1587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3" cstate="print"/>
                    <a:stretch>
                      <a:fillRect/>
                    </a:stretch>
                  </pic:blipFill>
                  <pic:spPr>
                    <a:xfrm>
                      <a:off x="0" y="0"/>
                      <a:ext cx="5265420" cy="3032125"/>
                    </a:xfrm>
                    <a:prstGeom prst="rect">
                      <a:avLst/>
                    </a:prstGeom>
                    <a:noFill/>
                    <a:ln>
                      <a:noFill/>
                    </a:ln>
                  </pic:spPr>
                </pic:pic>
              </a:graphicData>
            </a:graphic>
          </wp:inline>
        </w:drawing>
      </w:r>
    </w:p>
    <w:p>
      <w:pPr>
        <w:topLinePunct/>
        <w:adjustRightInd w:val="0"/>
        <w:snapToGrid w:val="0"/>
        <w:spacing w:line="360" w:lineRule="auto"/>
        <w:jc w:val="center"/>
        <w:rPr>
          <w:rFonts w:ascii="仿宋_GB2312" w:hAnsi="仿宋_GB2312" w:eastAsia="仿宋_GB2312" w:cs="仿宋_GB2312"/>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bookmarkEnd w:id="49"/>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opLinePunct/>
        <w:adjustRightInd w:val="0"/>
        <w:snapToGrid w:val="0"/>
        <w:spacing w:line="360" w:lineRule="auto"/>
        <w:ind w:firstLine="202"/>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估价对象2（库尔勒新城辖区铁克其路13号龙腾居3栋12层2单元1201室）照片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7305" cy="1777365"/>
                  <wp:effectExtent l="0" t="0" r="4445" b="1333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4" cstate="print"/>
                          <a:stretch>
                            <a:fillRect/>
                          </a:stretch>
                        </pic:blipFill>
                        <pic:spPr>
                          <a:xfrm>
                            <a:off x="0" y="0"/>
                            <a:ext cx="2567305" cy="1777365"/>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5400" cy="1844040"/>
                  <wp:effectExtent l="0" t="0" r="6350" b="381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25" cstate="print"/>
                          <a:stretch>
                            <a:fillRect/>
                          </a:stretch>
                        </pic:blipFill>
                        <pic:spPr>
                          <a:xfrm>
                            <a:off x="0" y="0"/>
                            <a:ext cx="2565400" cy="1844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估价对象小区入口</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估价对象小区门口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0955" cy="1748790"/>
                  <wp:effectExtent l="0" t="0" r="10795" b="381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26" cstate="print"/>
                          <a:stretch>
                            <a:fillRect/>
                          </a:stretch>
                        </pic:blipFill>
                        <pic:spPr>
                          <a:xfrm>
                            <a:off x="0" y="0"/>
                            <a:ext cx="2560955" cy="1748790"/>
                          </a:xfrm>
                          <a:prstGeom prst="rect">
                            <a:avLst/>
                          </a:prstGeom>
                          <a:noFill/>
                          <a:ln>
                            <a:noFill/>
                          </a:ln>
                        </pic:spPr>
                      </pic:pic>
                    </a:graphicData>
                  </a:graphic>
                </wp:inline>
              </w:drawing>
            </w:r>
          </w:p>
        </w:tc>
        <w:tc>
          <w:tcPr>
            <w:tcW w:w="4261" w:type="dxa"/>
            <w:tcBorders>
              <w:top w:val="nil"/>
              <w:left w:val="nil"/>
              <w:bottom w:val="nil"/>
              <w:right w:val="nil"/>
            </w:tcBorders>
          </w:tcPr>
          <w:p>
            <w:pPr>
              <w:topLinePunct/>
              <w:adjustRightInd w:val="0"/>
              <w:snapToGrid w:val="0"/>
              <w:spacing w:line="360" w:lineRule="auto"/>
              <w:ind w:firstLine="533"/>
              <w:jc w:val="left"/>
              <w:rPr>
                <w:rFonts w:ascii="仿宋_GB2312" w:hAnsi="仿宋_GB2312" w:eastAsia="仿宋_GB2312" w:cs="仿宋_GB2312"/>
                <w:b/>
                <w:sz w:val="24"/>
              </w:rPr>
            </w:pPr>
            <w:r>
              <w:drawing>
                <wp:inline distT="0" distB="0" distL="114300" distR="114300">
                  <wp:extent cx="2567940" cy="1883410"/>
                  <wp:effectExtent l="0" t="0" r="3810" b="254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27" cstate="print"/>
                          <a:stretch>
                            <a:fillRect/>
                          </a:stretch>
                        </pic:blipFill>
                        <pic:spPr>
                          <a:xfrm>
                            <a:off x="0" y="0"/>
                            <a:ext cx="2567940" cy="1883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估价对象客厅、餐厅</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7940" cy="1789430"/>
                  <wp:effectExtent l="0" t="0" r="3810" b="1270"/>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28" cstate="print"/>
                          <a:stretch>
                            <a:fillRect/>
                          </a:stretch>
                        </pic:blipFill>
                        <pic:spPr>
                          <a:xfrm>
                            <a:off x="0" y="0"/>
                            <a:ext cx="2567940" cy="178943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2225" cy="1817370"/>
                  <wp:effectExtent l="0" t="0" r="9525" b="1143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29" cstate="print"/>
                          <a:stretch>
                            <a:fillRect/>
                          </a:stretch>
                        </pic:blipFill>
                        <pic:spPr>
                          <a:xfrm>
                            <a:off x="0" y="0"/>
                            <a:ext cx="2562225" cy="18173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估价对象厨房</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估价对象卧室</w:t>
            </w:r>
          </w:p>
        </w:tc>
      </w:tr>
    </w:tbl>
    <w:p>
      <w:pPr>
        <w:rPr>
          <w:rFonts w:ascii="仿宋_GB2312" w:hAnsi="仿宋_GB2312" w:eastAsia="仿宋_GB2312" w:cs="仿宋_GB2312"/>
          <w:b/>
          <w:bCs/>
          <w:sz w:val="44"/>
          <w:szCs w:val="4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24"/>
        </w:rPr>
      </w:pPr>
    </w:p>
    <w:p>
      <w:pPr>
        <w:tabs>
          <w:tab w:val="left" w:pos="4943"/>
        </w:tabs>
        <w:topLinePunct/>
        <w:adjustRightInd w:val="0"/>
        <w:snapToGrid w:val="0"/>
        <w:spacing w:line="360" w:lineRule="auto"/>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估价对象2（库尔勒新城辖区铁克其路13号龙腾居3栋12层2单元1201室）照片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5400" cy="3163570"/>
                  <wp:effectExtent l="0" t="0" r="6350" b="1778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30" cstate="print"/>
                          <a:stretch>
                            <a:fillRect/>
                          </a:stretch>
                        </pic:blipFill>
                        <pic:spPr>
                          <a:xfrm>
                            <a:off x="0" y="0"/>
                            <a:ext cx="2565400" cy="316357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drawing>
                <wp:inline distT="0" distB="0" distL="114300" distR="114300">
                  <wp:extent cx="2565400" cy="3161030"/>
                  <wp:effectExtent l="0" t="0" r="6350" b="1270"/>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31" cstate="print"/>
                          <a:stretch>
                            <a:fillRect/>
                          </a:stretch>
                        </pic:blipFill>
                        <pic:spPr>
                          <a:xfrm>
                            <a:off x="0" y="0"/>
                            <a:ext cx="2565400" cy="3161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估价对象楼栋外观</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估价对象楼栋外观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opLinePunct/>
              <w:adjustRightInd w:val="0"/>
              <w:snapToGrid w:val="0"/>
              <w:spacing w:line="360" w:lineRule="auto"/>
              <w:ind w:firstLine="594"/>
              <w:jc w:val="left"/>
              <w:rPr>
                <w:rFonts w:ascii="仿宋_GB2312" w:hAnsi="仿宋_GB2312" w:eastAsia="仿宋_GB2312" w:cs="仿宋_GB2312"/>
                <w:b/>
                <w:sz w:val="24"/>
              </w:rPr>
            </w:pPr>
            <w:r>
              <w:drawing>
                <wp:inline distT="0" distB="0" distL="114300" distR="114300">
                  <wp:extent cx="2564765" cy="3248025"/>
                  <wp:effectExtent l="0" t="0" r="6985" b="9525"/>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32" cstate="print"/>
                          <a:stretch>
                            <a:fillRect/>
                          </a:stretch>
                        </pic:blipFill>
                        <pic:spPr>
                          <a:xfrm>
                            <a:off x="0" y="0"/>
                            <a:ext cx="2564765" cy="3248025"/>
                          </a:xfrm>
                          <a:prstGeom prst="rect">
                            <a:avLst/>
                          </a:prstGeom>
                          <a:noFill/>
                          <a:ln>
                            <a:noFill/>
                          </a:ln>
                        </pic:spPr>
                      </pic:pic>
                    </a:graphicData>
                  </a:graphic>
                </wp:inline>
              </w:drawing>
            </w:r>
          </w:p>
        </w:tc>
        <w:tc>
          <w:tcPr>
            <w:tcW w:w="4261" w:type="dxa"/>
            <w:tcBorders>
              <w:top w:val="nil"/>
              <w:left w:val="nil"/>
              <w:bottom w:val="nil"/>
              <w:right w:val="nil"/>
            </w:tcBorders>
          </w:tcPr>
          <w:p>
            <w:pPr>
              <w:topLinePunct/>
              <w:adjustRightInd w:val="0"/>
              <w:snapToGrid w:val="0"/>
              <w:spacing w:line="360" w:lineRule="auto"/>
              <w:ind w:firstLine="533"/>
              <w:jc w:val="left"/>
              <w:rPr>
                <w:rFonts w:ascii="仿宋_GB2312" w:hAnsi="仿宋_GB2312" w:eastAsia="仿宋_GB2312" w:cs="仿宋_GB2312"/>
                <w:b/>
                <w:sz w:val="24"/>
              </w:rPr>
            </w:pPr>
            <w:r>
              <w:drawing>
                <wp:inline distT="0" distB="0" distL="114300" distR="114300">
                  <wp:extent cx="2568575" cy="3291840"/>
                  <wp:effectExtent l="0" t="0" r="3175" b="3810"/>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33" cstate="print"/>
                          <a:stretch>
                            <a:fillRect/>
                          </a:stretch>
                        </pic:blipFill>
                        <pic:spPr>
                          <a:xfrm>
                            <a:off x="0" y="0"/>
                            <a:ext cx="2568575" cy="3291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估价对象电梯内</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ascii="仿宋_GB2312" w:hAnsi="仿宋_GB2312" w:eastAsia="仿宋_GB2312" w:cs="仿宋_GB2312"/>
                <w:b/>
                <w:sz w:val="24"/>
              </w:rPr>
            </w:pPr>
            <w:r>
              <w:rPr>
                <w:rFonts w:hint="eastAsia" w:ascii="仿宋_GB2312" w:hAnsi="仿宋_GB2312" w:eastAsia="仿宋_GB2312" w:cs="仿宋_GB2312"/>
                <w:b/>
                <w:sz w:val="24"/>
              </w:rPr>
              <w:t>估价对象小区内</w:t>
            </w:r>
          </w:p>
        </w:tc>
      </w:tr>
    </w:tbl>
    <w:p>
      <w:pPr>
        <w:rPr>
          <w:rFonts w:ascii="仿宋_GB2312" w:hAnsi="仿宋_GB2312" w:eastAsia="仿宋_GB2312" w:cs="仿宋_GB2312"/>
          <w:b/>
          <w:bCs/>
          <w:sz w:val="44"/>
          <w:szCs w:val="44"/>
        </w:rPr>
      </w:pPr>
    </w:p>
    <w:p>
      <w:pPr>
        <w:tabs>
          <w:tab w:val="left" w:pos="4943"/>
        </w:tabs>
        <w:topLinePunct/>
        <w:adjustRightInd w:val="0"/>
        <w:snapToGrid w:val="0"/>
        <w:spacing w:line="360" w:lineRule="auto"/>
        <w:jc w:val="left"/>
        <w:rPr>
          <w:rFonts w:ascii="仿宋_GB2312" w:hAnsi="仿宋_GB2312" w:eastAsia="仿宋_GB2312" w:cs="仿宋_GB2312"/>
          <w:b/>
          <w:sz w:val="24"/>
        </w:rPr>
      </w:pPr>
      <w:bookmarkStart w:id="50" w:name="_GoBack"/>
      <w:bookmarkEnd w:id="5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4" o:spid="_x0000_s4097" o:spt="202" type="#_x0000_t202" style="position:absolute;left:0pt;margin-top:0pt;height:144pt;width:144pt;mso-position-horizontal:right;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u w:val="single"/>
      </w:rPr>
    </w:pPr>
    <w:r>
      <w:rPr>
        <w:rFonts w:hint="eastAsia"/>
      </w:rPr>
      <w:drawing>
        <wp:anchor distT="0" distB="0" distL="114300" distR="114300" simplePos="0" relativeHeight="251658240" behindDoc="1" locked="0" layoutInCell="1" allowOverlap="1">
          <wp:simplePos x="0" y="0"/>
          <wp:positionH relativeFrom="column">
            <wp:posOffset>47625</wp:posOffset>
          </wp:positionH>
          <wp:positionV relativeFrom="paragraph">
            <wp:posOffset>67310</wp:posOffset>
          </wp:positionV>
          <wp:extent cx="1403350" cy="368935"/>
          <wp:effectExtent l="0" t="0" r="6350" b="12065"/>
          <wp:wrapNone/>
          <wp:docPr id="1"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图片1"/>
                  <pic:cNvPicPr>
                    <a:picLocks noChangeAspect="1"/>
                  </pic:cNvPicPr>
                </pic:nvPicPr>
                <pic:blipFill>
                  <a:blip r:embed="rId1"/>
                  <a:stretch>
                    <a:fillRect/>
                  </a:stretch>
                </pic:blipFill>
                <pic:spPr>
                  <a:xfrm>
                    <a:off x="0" y="0"/>
                    <a:ext cx="1403350" cy="368935"/>
                  </a:xfrm>
                  <a:prstGeom prst="rect">
                    <a:avLst/>
                  </a:prstGeom>
                  <a:noFill/>
                  <a:ln w="9525">
                    <a:noFill/>
                  </a:ln>
                </pic:spPr>
              </pic:pic>
            </a:graphicData>
          </a:graphic>
        </wp:anchor>
      </w:drawing>
    </w:r>
  </w:p>
  <w:p>
    <w:pPr>
      <w:pStyle w:val="15"/>
      <w:jc w:val="both"/>
    </w:pPr>
    <w:r>
      <w:rPr>
        <w:rFonts w:hint="eastAsia"/>
        <w:u w:val="single"/>
      </w:rPr>
      <w:t xml:space="preserve">                                                                     </w:t>
    </w:r>
    <w:r>
      <w:rPr>
        <w:u w:val="single"/>
      </w:rPr>
      <w:drawing>
        <wp:inline distT="0" distB="0" distL="114300" distR="114300">
          <wp:extent cx="1177290" cy="273050"/>
          <wp:effectExtent l="0" t="0" r="381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
                  <a:srcRect r="47" b="13029"/>
                  <a:stretch>
                    <a:fillRect/>
                  </a:stretch>
                </pic:blipFill>
                <pic:spPr>
                  <a:xfrm>
                    <a:off x="0" y="0"/>
                    <a:ext cx="1177290" cy="2730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14ECF2"/>
    <w:multiLevelType w:val="singleLevel"/>
    <w:tmpl w:val="9914ECF2"/>
    <w:lvl w:ilvl="0" w:tentative="0">
      <w:start w:val="4"/>
      <w:numFmt w:val="chineseCounting"/>
      <w:suff w:val="nothing"/>
      <w:lvlText w:val="%1、"/>
      <w:lvlJc w:val="left"/>
      <w:rPr>
        <w:rFonts w:hint="eastAsia"/>
      </w:rPr>
    </w:lvl>
  </w:abstractNum>
  <w:abstractNum w:abstractNumId="1">
    <w:nsid w:val="D7D38AAE"/>
    <w:multiLevelType w:val="singleLevel"/>
    <w:tmpl w:val="D7D38AAE"/>
    <w:lvl w:ilvl="0" w:tentative="0">
      <w:start w:val="2"/>
      <w:numFmt w:val="decimal"/>
      <w:suff w:val="nothing"/>
      <w:lvlText w:val="%1、"/>
      <w:lvlJc w:val="left"/>
    </w:lvl>
  </w:abstractNum>
  <w:abstractNum w:abstractNumId="2">
    <w:nsid w:val="599E07B7"/>
    <w:multiLevelType w:val="singleLevel"/>
    <w:tmpl w:val="599E07B7"/>
    <w:lvl w:ilvl="0" w:tentative="0">
      <w:start w:val="1"/>
      <w:numFmt w:val="bullet"/>
      <w:lvlText w:val=""/>
      <w:lvlJc w:val="left"/>
      <w:pPr>
        <w:ind w:left="420" w:hanging="420"/>
      </w:pPr>
      <w:rPr>
        <w:rFonts w:hint="default" w:ascii="Wingdings" w:hAnsi="Wingdings"/>
      </w:rPr>
    </w:lvl>
  </w:abstractNum>
  <w:abstractNum w:abstractNumId="3">
    <w:nsid w:val="69577C14"/>
    <w:multiLevelType w:val="multilevel"/>
    <w:tmpl w:val="69577C14"/>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53950"/>
    <w:rsid w:val="000174E1"/>
    <w:rsid w:val="00026C20"/>
    <w:rsid w:val="00064167"/>
    <w:rsid w:val="00072983"/>
    <w:rsid w:val="000B6F4B"/>
    <w:rsid w:val="001505C9"/>
    <w:rsid w:val="00172FD4"/>
    <w:rsid w:val="001B5D66"/>
    <w:rsid w:val="00246F14"/>
    <w:rsid w:val="002672A9"/>
    <w:rsid w:val="00291775"/>
    <w:rsid w:val="002F6B97"/>
    <w:rsid w:val="003345D0"/>
    <w:rsid w:val="00344403"/>
    <w:rsid w:val="00347064"/>
    <w:rsid w:val="00353950"/>
    <w:rsid w:val="003A421A"/>
    <w:rsid w:val="003C4476"/>
    <w:rsid w:val="003D7468"/>
    <w:rsid w:val="003D7FD2"/>
    <w:rsid w:val="003F76D5"/>
    <w:rsid w:val="00421660"/>
    <w:rsid w:val="004C1832"/>
    <w:rsid w:val="004E55F5"/>
    <w:rsid w:val="0053246F"/>
    <w:rsid w:val="00532F21"/>
    <w:rsid w:val="005756CF"/>
    <w:rsid w:val="005E6915"/>
    <w:rsid w:val="005F669D"/>
    <w:rsid w:val="0061345B"/>
    <w:rsid w:val="00613AFB"/>
    <w:rsid w:val="006141CD"/>
    <w:rsid w:val="00636F58"/>
    <w:rsid w:val="00684B6D"/>
    <w:rsid w:val="006A317F"/>
    <w:rsid w:val="006A7506"/>
    <w:rsid w:val="006D0A89"/>
    <w:rsid w:val="006E2066"/>
    <w:rsid w:val="007020C8"/>
    <w:rsid w:val="00712155"/>
    <w:rsid w:val="00730402"/>
    <w:rsid w:val="007775CF"/>
    <w:rsid w:val="007B3F3C"/>
    <w:rsid w:val="00827254"/>
    <w:rsid w:val="00843444"/>
    <w:rsid w:val="008934D4"/>
    <w:rsid w:val="008F5076"/>
    <w:rsid w:val="00916755"/>
    <w:rsid w:val="009309F0"/>
    <w:rsid w:val="009565E7"/>
    <w:rsid w:val="00983C52"/>
    <w:rsid w:val="00997BEC"/>
    <w:rsid w:val="009A2073"/>
    <w:rsid w:val="009B5AE6"/>
    <w:rsid w:val="009D3253"/>
    <w:rsid w:val="009F08EA"/>
    <w:rsid w:val="00A04DE3"/>
    <w:rsid w:val="00A41256"/>
    <w:rsid w:val="00A70CD1"/>
    <w:rsid w:val="00AB235B"/>
    <w:rsid w:val="00B04865"/>
    <w:rsid w:val="00B13A4E"/>
    <w:rsid w:val="00B54E32"/>
    <w:rsid w:val="00BC583F"/>
    <w:rsid w:val="00C02125"/>
    <w:rsid w:val="00C05317"/>
    <w:rsid w:val="00C06854"/>
    <w:rsid w:val="00C37E53"/>
    <w:rsid w:val="00C42569"/>
    <w:rsid w:val="00C43A1B"/>
    <w:rsid w:val="00C61FB1"/>
    <w:rsid w:val="00CD2AB3"/>
    <w:rsid w:val="00CE46BA"/>
    <w:rsid w:val="00D208EE"/>
    <w:rsid w:val="00D22BD4"/>
    <w:rsid w:val="00D36C6E"/>
    <w:rsid w:val="00E17D73"/>
    <w:rsid w:val="00E42DB1"/>
    <w:rsid w:val="00E45E72"/>
    <w:rsid w:val="00E76837"/>
    <w:rsid w:val="00EA0E5B"/>
    <w:rsid w:val="00ED25A5"/>
    <w:rsid w:val="00F13640"/>
    <w:rsid w:val="00F54BD1"/>
    <w:rsid w:val="00F62A06"/>
    <w:rsid w:val="00F93C01"/>
    <w:rsid w:val="00F9680F"/>
    <w:rsid w:val="00FB04A8"/>
    <w:rsid w:val="00FF19D1"/>
    <w:rsid w:val="01101132"/>
    <w:rsid w:val="022347E0"/>
    <w:rsid w:val="028937A0"/>
    <w:rsid w:val="02EE619F"/>
    <w:rsid w:val="0335699D"/>
    <w:rsid w:val="03B51A85"/>
    <w:rsid w:val="03C1583D"/>
    <w:rsid w:val="044411A7"/>
    <w:rsid w:val="04CA216F"/>
    <w:rsid w:val="04FE4669"/>
    <w:rsid w:val="052139F0"/>
    <w:rsid w:val="06224A96"/>
    <w:rsid w:val="0655785B"/>
    <w:rsid w:val="067E2063"/>
    <w:rsid w:val="06BC4DF7"/>
    <w:rsid w:val="07013651"/>
    <w:rsid w:val="077D32BB"/>
    <w:rsid w:val="07E278CA"/>
    <w:rsid w:val="081D170D"/>
    <w:rsid w:val="084A126B"/>
    <w:rsid w:val="085A16C3"/>
    <w:rsid w:val="08765E4A"/>
    <w:rsid w:val="089943FF"/>
    <w:rsid w:val="0A0A6A90"/>
    <w:rsid w:val="0A2379B7"/>
    <w:rsid w:val="0A263F43"/>
    <w:rsid w:val="0A4F618D"/>
    <w:rsid w:val="0AEC55D9"/>
    <w:rsid w:val="0AF547C8"/>
    <w:rsid w:val="0B3F63CA"/>
    <w:rsid w:val="0B8C228F"/>
    <w:rsid w:val="0BB74679"/>
    <w:rsid w:val="0BDC54CC"/>
    <w:rsid w:val="0BF21581"/>
    <w:rsid w:val="0C4F5980"/>
    <w:rsid w:val="0CA140F0"/>
    <w:rsid w:val="0CBF2FB4"/>
    <w:rsid w:val="0CC40356"/>
    <w:rsid w:val="0D083654"/>
    <w:rsid w:val="0D3E09C5"/>
    <w:rsid w:val="0D7C6F9D"/>
    <w:rsid w:val="0DA762BC"/>
    <w:rsid w:val="0DAB0B20"/>
    <w:rsid w:val="0DAD510E"/>
    <w:rsid w:val="0DC70932"/>
    <w:rsid w:val="0F192CAE"/>
    <w:rsid w:val="0F336709"/>
    <w:rsid w:val="0F54609E"/>
    <w:rsid w:val="106E4B7E"/>
    <w:rsid w:val="107976C2"/>
    <w:rsid w:val="108E6C7D"/>
    <w:rsid w:val="10AA5B61"/>
    <w:rsid w:val="11900630"/>
    <w:rsid w:val="11DF1277"/>
    <w:rsid w:val="11F26051"/>
    <w:rsid w:val="11FE60B8"/>
    <w:rsid w:val="121F3103"/>
    <w:rsid w:val="122D1127"/>
    <w:rsid w:val="124D0AC7"/>
    <w:rsid w:val="133A40C0"/>
    <w:rsid w:val="13DC2ADE"/>
    <w:rsid w:val="140C5548"/>
    <w:rsid w:val="14130AD9"/>
    <w:rsid w:val="143B192A"/>
    <w:rsid w:val="14455FAC"/>
    <w:rsid w:val="14503720"/>
    <w:rsid w:val="15811C35"/>
    <w:rsid w:val="16D9586F"/>
    <w:rsid w:val="17B963EC"/>
    <w:rsid w:val="17B96F15"/>
    <w:rsid w:val="17DD2273"/>
    <w:rsid w:val="18052522"/>
    <w:rsid w:val="18086C41"/>
    <w:rsid w:val="190E3A77"/>
    <w:rsid w:val="1960010B"/>
    <w:rsid w:val="1960331F"/>
    <w:rsid w:val="19AE2033"/>
    <w:rsid w:val="1AB55BEF"/>
    <w:rsid w:val="1B704DB4"/>
    <w:rsid w:val="1BA80018"/>
    <w:rsid w:val="1BDC40C9"/>
    <w:rsid w:val="1C5E017D"/>
    <w:rsid w:val="1C800657"/>
    <w:rsid w:val="1CA07013"/>
    <w:rsid w:val="1DDE2316"/>
    <w:rsid w:val="1E233FA9"/>
    <w:rsid w:val="1EC31361"/>
    <w:rsid w:val="1EFA65AB"/>
    <w:rsid w:val="1F55302A"/>
    <w:rsid w:val="1FA61B65"/>
    <w:rsid w:val="214B2633"/>
    <w:rsid w:val="21735EC5"/>
    <w:rsid w:val="226724D6"/>
    <w:rsid w:val="235F3090"/>
    <w:rsid w:val="23955E6F"/>
    <w:rsid w:val="23A76281"/>
    <w:rsid w:val="2519392D"/>
    <w:rsid w:val="253E255F"/>
    <w:rsid w:val="256E5B47"/>
    <w:rsid w:val="25F77686"/>
    <w:rsid w:val="26121976"/>
    <w:rsid w:val="261D3B81"/>
    <w:rsid w:val="27072D01"/>
    <w:rsid w:val="275C590A"/>
    <w:rsid w:val="277B47E8"/>
    <w:rsid w:val="27924FD8"/>
    <w:rsid w:val="27DF778A"/>
    <w:rsid w:val="281607EC"/>
    <w:rsid w:val="28781DB1"/>
    <w:rsid w:val="2A0C0562"/>
    <w:rsid w:val="2A1727FE"/>
    <w:rsid w:val="2AA3329D"/>
    <w:rsid w:val="2AE74395"/>
    <w:rsid w:val="2B5C31D8"/>
    <w:rsid w:val="2BBD4017"/>
    <w:rsid w:val="2BE348C1"/>
    <w:rsid w:val="2C9844B3"/>
    <w:rsid w:val="2D144B03"/>
    <w:rsid w:val="2D5502F0"/>
    <w:rsid w:val="2D6C1BDD"/>
    <w:rsid w:val="2DDE204A"/>
    <w:rsid w:val="2F592255"/>
    <w:rsid w:val="2F7D307B"/>
    <w:rsid w:val="30292A09"/>
    <w:rsid w:val="30DC44AE"/>
    <w:rsid w:val="31086303"/>
    <w:rsid w:val="31427243"/>
    <w:rsid w:val="317F7EC2"/>
    <w:rsid w:val="31943AA0"/>
    <w:rsid w:val="321F3159"/>
    <w:rsid w:val="335F1DD0"/>
    <w:rsid w:val="33FB19C4"/>
    <w:rsid w:val="34321BF0"/>
    <w:rsid w:val="34931B3A"/>
    <w:rsid w:val="35723CED"/>
    <w:rsid w:val="35CA455A"/>
    <w:rsid w:val="360012BB"/>
    <w:rsid w:val="3655645A"/>
    <w:rsid w:val="36DE3D2B"/>
    <w:rsid w:val="36F84AED"/>
    <w:rsid w:val="37C26A61"/>
    <w:rsid w:val="388633A8"/>
    <w:rsid w:val="389518DC"/>
    <w:rsid w:val="38A94562"/>
    <w:rsid w:val="395444B9"/>
    <w:rsid w:val="396E288E"/>
    <w:rsid w:val="39E518A5"/>
    <w:rsid w:val="3A5315C6"/>
    <w:rsid w:val="3A647925"/>
    <w:rsid w:val="3A7D10E4"/>
    <w:rsid w:val="3B2D2120"/>
    <w:rsid w:val="3BD47CB6"/>
    <w:rsid w:val="3D1C269C"/>
    <w:rsid w:val="3DBA3077"/>
    <w:rsid w:val="3E253EFB"/>
    <w:rsid w:val="3E7B7A29"/>
    <w:rsid w:val="3E93204E"/>
    <w:rsid w:val="3F3B1C60"/>
    <w:rsid w:val="40976C08"/>
    <w:rsid w:val="41565600"/>
    <w:rsid w:val="41E23680"/>
    <w:rsid w:val="42A84BA4"/>
    <w:rsid w:val="42D42A64"/>
    <w:rsid w:val="42FE6693"/>
    <w:rsid w:val="432F0E77"/>
    <w:rsid w:val="436223AE"/>
    <w:rsid w:val="4393284B"/>
    <w:rsid w:val="4455779B"/>
    <w:rsid w:val="44A21AE2"/>
    <w:rsid w:val="44A6767C"/>
    <w:rsid w:val="44C91456"/>
    <w:rsid w:val="45250F99"/>
    <w:rsid w:val="456E1D72"/>
    <w:rsid w:val="4575730E"/>
    <w:rsid w:val="45883F30"/>
    <w:rsid w:val="45995E49"/>
    <w:rsid w:val="46066AFA"/>
    <w:rsid w:val="465174D5"/>
    <w:rsid w:val="46764FE7"/>
    <w:rsid w:val="467E52F2"/>
    <w:rsid w:val="46E47DC7"/>
    <w:rsid w:val="47034B13"/>
    <w:rsid w:val="47350783"/>
    <w:rsid w:val="47640EC6"/>
    <w:rsid w:val="4793709A"/>
    <w:rsid w:val="47CF2854"/>
    <w:rsid w:val="47D17F65"/>
    <w:rsid w:val="489136AC"/>
    <w:rsid w:val="489D4354"/>
    <w:rsid w:val="496C65E8"/>
    <w:rsid w:val="4A3043C1"/>
    <w:rsid w:val="4ADF25A1"/>
    <w:rsid w:val="4B023752"/>
    <w:rsid w:val="4C5B2425"/>
    <w:rsid w:val="4CCB7627"/>
    <w:rsid w:val="4CD03AF0"/>
    <w:rsid w:val="4D5933E9"/>
    <w:rsid w:val="4D630682"/>
    <w:rsid w:val="4D957B0A"/>
    <w:rsid w:val="4DC86CC7"/>
    <w:rsid w:val="4DF13890"/>
    <w:rsid w:val="4E751FBB"/>
    <w:rsid w:val="50A66742"/>
    <w:rsid w:val="50AB555C"/>
    <w:rsid w:val="50F539AB"/>
    <w:rsid w:val="5139652D"/>
    <w:rsid w:val="517C29DD"/>
    <w:rsid w:val="518F4DF6"/>
    <w:rsid w:val="51AC5A78"/>
    <w:rsid w:val="529209AE"/>
    <w:rsid w:val="52B576D9"/>
    <w:rsid w:val="52E31C89"/>
    <w:rsid w:val="53281F0C"/>
    <w:rsid w:val="53913E0C"/>
    <w:rsid w:val="540B0D41"/>
    <w:rsid w:val="540F553A"/>
    <w:rsid w:val="54621AD9"/>
    <w:rsid w:val="546827F8"/>
    <w:rsid w:val="55271A9F"/>
    <w:rsid w:val="55F11C81"/>
    <w:rsid w:val="5613771E"/>
    <w:rsid w:val="566E061F"/>
    <w:rsid w:val="56AC3D07"/>
    <w:rsid w:val="56B42A19"/>
    <w:rsid w:val="56C8790F"/>
    <w:rsid w:val="56EB7E65"/>
    <w:rsid w:val="576E4006"/>
    <w:rsid w:val="57855FEC"/>
    <w:rsid w:val="57BC1756"/>
    <w:rsid w:val="57BF14CC"/>
    <w:rsid w:val="57E57340"/>
    <w:rsid w:val="58741832"/>
    <w:rsid w:val="58DF3E69"/>
    <w:rsid w:val="58F8385D"/>
    <w:rsid w:val="591B4C88"/>
    <w:rsid w:val="593B6631"/>
    <w:rsid w:val="59EF2BF4"/>
    <w:rsid w:val="5A95388D"/>
    <w:rsid w:val="5A98361A"/>
    <w:rsid w:val="5AB93D89"/>
    <w:rsid w:val="5AE84DEC"/>
    <w:rsid w:val="5B101E57"/>
    <w:rsid w:val="5BAD59F4"/>
    <w:rsid w:val="5CAA02B3"/>
    <w:rsid w:val="5D7C1D8C"/>
    <w:rsid w:val="5DA10187"/>
    <w:rsid w:val="5DC263CF"/>
    <w:rsid w:val="5E412DED"/>
    <w:rsid w:val="5E8B6250"/>
    <w:rsid w:val="5E9C3924"/>
    <w:rsid w:val="5EAF39DA"/>
    <w:rsid w:val="5EDF61C1"/>
    <w:rsid w:val="5F102971"/>
    <w:rsid w:val="5FE46FA3"/>
    <w:rsid w:val="60110DC8"/>
    <w:rsid w:val="606731D1"/>
    <w:rsid w:val="60A86D4D"/>
    <w:rsid w:val="60DE7D53"/>
    <w:rsid w:val="61EA5F9D"/>
    <w:rsid w:val="62CC7CF0"/>
    <w:rsid w:val="62F152FF"/>
    <w:rsid w:val="63996270"/>
    <w:rsid w:val="63A25B83"/>
    <w:rsid w:val="63D55BD6"/>
    <w:rsid w:val="63EC731E"/>
    <w:rsid w:val="649921E1"/>
    <w:rsid w:val="65314DC6"/>
    <w:rsid w:val="654C5D2F"/>
    <w:rsid w:val="6655195B"/>
    <w:rsid w:val="66A614F0"/>
    <w:rsid w:val="66A62DA3"/>
    <w:rsid w:val="672D6E6F"/>
    <w:rsid w:val="679420B5"/>
    <w:rsid w:val="68715DD2"/>
    <w:rsid w:val="688D637A"/>
    <w:rsid w:val="692B29FC"/>
    <w:rsid w:val="69485A89"/>
    <w:rsid w:val="695B44BF"/>
    <w:rsid w:val="69AA4AD2"/>
    <w:rsid w:val="69BA6211"/>
    <w:rsid w:val="6A701A00"/>
    <w:rsid w:val="6B015550"/>
    <w:rsid w:val="6B650E2B"/>
    <w:rsid w:val="6BE54913"/>
    <w:rsid w:val="6C553042"/>
    <w:rsid w:val="6C7C0B5C"/>
    <w:rsid w:val="6D6F27F1"/>
    <w:rsid w:val="6D945792"/>
    <w:rsid w:val="6DA31DCF"/>
    <w:rsid w:val="6DDB6A88"/>
    <w:rsid w:val="6E103B8E"/>
    <w:rsid w:val="6E486E5B"/>
    <w:rsid w:val="6E516EA2"/>
    <w:rsid w:val="6E73295B"/>
    <w:rsid w:val="6EDF3668"/>
    <w:rsid w:val="70D85584"/>
    <w:rsid w:val="70EE5358"/>
    <w:rsid w:val="70F51D20"/>
    <w:rsid w:val="7108212D"/>
    <w:rsid w:val="71C727CF"/>
    <w:rsid w:val="71D7573A"/>
    <w:rsid w:val="723332D9"/>
    <w:rsid w:val="72347BC1"/>
    <w:rsid w:val="725A566C"/>
    <w:rsid w:val="738B01F5"/>
    <w:rsid w:val="7398402F"/>
    <w:rsid w:val="73C049AB"/>
    <w:rsid w:val="755D6E43"/>
    <w:rsid w:val="75E10369"/>
    <w:rsid w:val="7638533C"/>
    <w:rsid w:val="77D4334B"/>
    <w:rsid w:val="77EA764F"/>
    <w:rsid w:val="7815776A"/>
    <w:rsid w:val="78D002E3"/>
    <w:rsid w:val="7939580A"/>
    <w:rsid w:val="79FD38EC"/>
    <w:rsid w:val="7A3B7955"/>
    <w:rsid w:val="7A887B42"/>
    <w:rsid w:val="7B1A6FE4"/>
    <w:rsid w:val="7B1C3FD4"/>
    <w:rsid w:val="7BBA0115"/>
    <w:rsid w:val="7C064D43"/>
    <w:rsid w:val="7C5E41B3"/>
    <w:rsid w:val="7C605756"/>
    <w:rsid w:val="7CBD7811"/>
    <w:rsid w:val="7D953A24"/>
    <w:rsid w:val="7DA91BE4"/>
    <w:rsid w:val="7E193716"/>
    <w:rsid w:val="7E5E2AF5"/>
    <w:rsid w:val="7EF85D21"/>
    <w:rsid w:val="7F7A2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iPriority="99" w:name="Body Text Indent 3"/>
    <w:lsdException w:qFormat="1" w:unhideWhenUsed="0" w:uiPriority="0"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snapToGrid w:val="0"/>
      <w:spacing w:before="60" w:line="400" w:lineRule="exact"/>
      <w:ind w:firstLine="420"/>
      <w:textAlignment w:val="bottom"/>
    </w:pPr>
    <w:rPr>
      <w:rFonts w:ascii="仿宋_GB2312" w:eastAsia="仿宋_GB2312"/>
      <w:sz w:val="28"/>
      <w:szCs w:val="20"/>
    </w:rPr>
  </w:style>
  <w:style w:type="paragraph" w:styleId="6">
    <w:name w:val="annotation text"/>
    <w:basedOn w:val="1"/>
    <w:semiHidden/>
    <w:unhideWhenUsed/>
    <w:qFormat/>
    <w:uiPriority w:val="99"/>
    <w:pPr>
      <w:jc w:val="left"/>
    </w:pPr>
  </w:style>
  <w:style w:type="paragraph" w:styleId="7">
    <w:name w:val="Body Text"/>
    <w:basedOn w:val="1"/>
    <w:qFormat/>
    <w:uiPriority w:val="99"/>
    <w:pPr>
      <w:spacing w:after="120"/>
    </w:pPr>
  </w:style>
  <w:style w:type="paragraph" w:styleId="8">
    <w:name w:val="Body Text Indent"/>
    <w:basedOn w:val="1"/>
    <w:unhideWhenUsed/>
    <w:qFormat/>
    <w:uiPriority w:val="99"/>
    <w:pPr>
      <w:spacing w:after="120"/>
      <w:ind w:left="420" w:leftChars="200"/>
    </w:pPr>
  </w:style>
  <w:style w:type="paragraph" w:styleId="9">
    <w:name w:val="Block Text"/>
    <w:basedOn w:val="1"/>
    <w:qFormat/>
    <w:uiPriority w:val="0"/>
    <w:pPr>
      <w:tabs>
        <w:tab w:val="left" w:pos="1540"/>
      </w:tabs>
      <w:spacing w:line="360" w:lineRule="auto"/>
      <w:ind w:left="150" w:right="-646" w:rightChars="-202"/>
    </w:pPr>
    <w:rPr>
      <w:rFonts w:ascii="楷体_GB2312" w:eastAsia="楷体_GB2312"/>
      <w:sz w:val="28"/>
    </w:rPr>
  </w:style>
  <w:style w:type="paragraph" w:styleId="10">
    <w:name w:val="toc 3"/>
    <w:basedOn w:val="1"/>
    <w:next w:val="1"/>
    <w:semiHidden/>
    <w:unhideWhenUsed/>
    <w:qFormat/>
    <w:uiPriority w:val="39"/>
    <w:pPr>
      <w:widowControl/>
      <w:spacing w:after="100" w:line="259" w:lineRule="auto"/>
      <w:ind w:left="440"/>
      <w:jc w:val="left"/>
    </w:pPr>
    <w:rPr>
      <w:rFonts w:cs="Times New Roman"/>
      <w:kern w:val="0"/>
      <w:sz w:val="22"/>
    </w:rPr>
  </w:style>
  <w:style w:type="paragraph" w:styleId="11">
    <w:name w:val="Plain Text"/>
    <w:basedOn w:val="1"/>
    <w:qFormat/>
    <w:uiPriority w:val="0"/>
    <w:rPr>
      <w:rFonts w:ascii="宋体" w:hAnsi="Courier New"/>
    </w:rPr>
  </w:style>
  <w:style w:type="paragraph" w:styleId="12">
    <w:name w:val="Body Text Indent 2"/>
    <w:basedOn w:val="1"/>
    <w:qFormat/>
    <w:uiPriority w:val="99"/>
    <w:pPr>
      <w:widowControl/>
      <w:ind w:left="567"/>
      <w:jc w:val="left"/>
    </w:pPr>
    <w:rPr>
      <w:rFonts w:ascii="Times New Roman" w:hAnsi="Times New Roman"/>
      <w:kern w:val="0"/>
    </w:rPr>
  </w:style>
  <w:style w:type="paragraph" w:styleId="13">
    <w:name w:val="Balloon Text"/>
    <w:basedOn w:val="1"/>
    <w:link w:val="46"/>
    <w:semiHidden/>
    <w:unhideWhenUsed/>
    <w:qFormat/>
    <w:uiPriority w:val="99"/>
    <w:rPr>
      <w:sz w:val="18"/>
      <w:szCs w:val="18"/>
    </w:rPr>
  </w:style>
  <w:style w:type="paragraph" w:styleId="14">
    <w:name w:val="footer"/>
    <w:basedOn w:val="1"/>
    <w:link w:val="28"/>
    <w:semiHidden/>
    <w:unhideWhenUsed/>
    <w:qFormat/>
    <w:uiPriority w:val="99"/>
    <w:pPr>
      <w:tabs>
        <w:tab w:val="center" w:pos="4153"/>
        <w:tab w:val="right" w:pos="8306"/>
      </w:tabs>
      <w:snapToGrid w:val="0"/>
      <w:jc w:val="left"/>
    </w:pPr>
    <w:rPr>
      <w:sz w:val="18"/>
      <w:szCs w:val="18"/>
    </w:rPr>
  </w:style>
  <w:style w:type="paragraph" w:styleId="15">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pPr>
      <w:widowControl/>
      <w:tabs>
        <w:tab w:val="right" w:leader="dot" w:pos="8296"/>
      </w:tabs>
      <w:spacing w:after="100" w:line="259" w:lineRule="auto"/>
      <w:jc w:val="left"/>
    </w:pPr>
    <w:rPr>
      <w:rFonts w:ascii="黑体" w:hAnsi="黑体" w:eastAsia="黑体" w:cs="Times New Roman"/>
      <w:kern w:val="0"/>
      <w:sz w:val="24"/>
      <w:szCs w:val="24"/>
    </w:rPr>
  </w:style>
  <w:style w:type="paragraph" w:styleId="17">
    <w:name w:val="Body Text Indent 3"/>
    <w:basedOn w:val="1"/>
    <w:link w:val="42"/>
    <w:semiHidden/>
    <w:unhideWhenUsed/>
    <w:qFormat/>
    <w:uiPriority w:val="99"/>
    <w:pPr>
      <w:ind w:firstLine="588"/>
    </w:pPr>
    <w:rPr>
      <w:rFonts w:ascii="仿宋_GB2312" w:hAnsi="Times New Roman" w:eastAsia="仿宋_GB2312"/>
      <w:sz w:val="28"/>
    </w:rPr>
  </w:style>
  <w:style w:type="paragraph" w:styleId="18">
    <w:name w:val="toc 2"/>
    <w:basedOn w:val="1"/>
    <w:next w:val="1"/>
    <w:semiHidden/>
    <w:unhideWhenUsed/>
    <w:qFormat/>
    <w:uiPriority w:val="39"/>
    <w:pPr>
      <w:widowControl/>
      <w:tabs>
        <w:tab w:val="right" w:leader="dot" w:pos="8296"/>
      </w:tabs>
      <w:spacing w:after="100" w:line="259" w:lineRule="auto"/>
      <w:ind w:left="220"/>
      <w:jc w:val="left"/>
    </w:pPr>
    <w:rPr>
      <w:rFonts w:ascii="黑体" w:hAnsi="黑体" w:eastAsia="黑体" w:cs="Times New Roman"/>
      <w:kern w:val="0"/>
      <w:szCs w:val="21"/>
    </w:rPr>
  </w:style>
  <w:style w:type="paragraph" w:styleId="19">
    <w:name w:val="HTML Preformatted"/>
    <w:basedOn w:val="1"/>
    <w:link w:val="3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semiHidden/>
    <w:unhideWhenUsed/>
    <w:qFormat/>
    <w:uiPriority w:val="99"/>
    <w:rPr>
      <w:rFonts w:ascii="Times New Roman" w:hAnsi="Times New Roman" w:eastAsia="宋体" w:cs="Times New Roman"/>
    </w:rPr>
  </w:style>
  <w:style w:type="character" w:styleId="25">
    <w:name w:val="FollowedHyperlink"/>
    <w:basedOn w:val="23"/>
    <w:semiHidden/>
    <w:unhideWhenUsed/>
    <w:qFormat/>
    <w:uiPriority w:val="99"/>
    <w:rPr>
      <w:color w:val="800080"/>
      <w:u w:val="none"/>
    </w:rPr>
  </w:style>
  <w:style w:type="character" w:styleId="26">
    <w:name w:val="Hyperlink"/>
    <w:basedOn w:val="23"/>
    <w:semiHidden/>
    <w:unhideWhenUsed/>
    <w:qFormat/>
    <w:uiPriority w:val="99"/>
    <w:rPr>
      <w:color w:val="0000FF" w:themeColor="hyperlink"/>
      <w:u w:val="single"/>
    </w:rPr>
  </w:style>
  <w:style w:type="character" w:customStyle="1" w:styleId="27">
    <w:name w:val="页眉 Char"/>
    <w:basedOn w:val="23"/>
    <w:link w:val="15"/>
    <w:qFormat/>
    <w:uiPriority w:val="99"/>
    <w:rPr>
      <w:sz w:val="18"/>
      <w:szCs w:val="18"/>
    </w:rPr>
  </w:style>
  <w:style w:type="character" w:customStyle="1" w:styleId="28">
    <w:name w:val="页脚 Char"/>
    <w:basedOn w:val="23"/>
    <w:link w:val="14"/>
    <w:qFormat/>
    <w:uiPriority w:val="99"/>
    <w:rPr>
      <w:sz w:val="18"/>
      <w:szCs w:val="18"/>
    </w:rPr>
  </w:style>
  <w:style w:type="character" w:customStyle="1" w:styleId="29">
    <w:name w:val="标题 1 Char"/>
    <w:basedOn w:val="23"/>
    <w:link w:val="2"/>
    <w:qFormat/>
    <w:uiPriority w:val="9"/>
    <w:rPr>
      <w:b/>
      <w:bCs/>
      <w:kern w:val="44"/>
      <w:sz w:val="44"/>
      <w:szCs w:val="44"/>
    </w:rPr>
  </w:style>
  <w:style w:type="character" w:customStyle="1" w:styleId="30">
    <w:name w:val="标题 2 Char"/>
    <w:basedOn w:val="23"/>
    <w:link w:val="3"/>
    <w:qFormat/>
    <w:uiPriority w:val="9"/>
    <w:rPr>
      <w:rFonts w:asciiTheme="majorHAnsi" w:hAnsiTheme="majorHAnsi" w:eastAsiaTheme="majorEastAsia" w:cstheme="majorBidi"/>
      <w:b/>
      <w:bCs/>
      <w:sz w:val="32"/>
      <w:szCs w:val="32"/>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32">
    <w:name w:val="列出段落1"/>
    <w:basedOn w:val="1"/>
    <w:qFormat/>
    <w:uiPriority w:val="34"/>
    <w:pPr>
      <w:ind w:firstLine="420" w:firstLineChars="200"/>
    </w:pPr>
    <w:rPr>
      <w:rFonts w:ascii="Calibri" w:hAnsi="Calibri" w:eastAsia="宋体" w:cs="Times New Roman"/>
      <w:szCs w:val="24"/>
    </w:rPr>
  </w:style>
  <w:style w:type="paragraph" w:styleId="33">
    <w:name w:val="List Paragraph"/>
    <w:basedOn w:val="1"/>
    <w:qFormat/>
    <w:uiPriority w:val="34"/>
    <w:pPr>
      <w:ind w:firstLine="420" w:firstLineChars="200"/>
    </w:pPr>
    <w:rPr>
      <w:rFonts w:ascii="Times New Roman" w:hAnsi="Times New Roman" w:eastAsia="宋体" w:cs="Times New Roman"/>
      <w:szCs w:val="24"/>
    </w:rPr>
  </w:style>
  <w:style w:type="character" w:customStyle="1" w:styleId="34">
    <w:name w:val="font31"/>
    <w:basedOn w:val="23"/>
    <w:qFormat/>
    <w:uiPriority w:val="0"/>
    <w:rPr>
      <w:rFonts w:hint="default" w:ascii="仿宋_GB2312" w:hAnsi="Times New Roman" w:eastAsia="仿宋_GB2312" w:cs="仿宋_GB2312"/>
      <w:b/>
      <w:color w:val="000000"/>
      <w:sz w:val="21"/>
      <w:szCs w:val="21"/>
      <w:u w:val="none"/>
    </w:rPr>
  </w:style>
  <w:style w:type="character" w:customStyle="1" w:styleId="35">
    <w:name w:val="font21"/>
    <w:basedOn w:val="23"/>
    <w:qFormat/>
    <w:uiPriority w:val="0"/>
    <w:rPr>
      <w:rFonts w:hint="default" w:ascii="仿宋_GB2312" w:hAnsi="Times New Roman" w:eastAsia="仿宋_GB2312" w:cs="仿宋_GB2312"/>
      <w:color w:val="000000"/>
      <w:sz w:val="21"/>
      <w:szCs w:val="21"/>
      <w:u w:val="none"/>
    </w:rPr>
  </w:style>
  <w:style w:type="character" w:customStyle="1" w:styleId="36">
    <w:name w:val="font01"/>
    <w:basedOn w:val="23"/>
    <w:qFormat/>
    <w:uiPriority w:val="0"/>
    <w:rPr>
      <w:rFonts w:ascii="Courier New" w:hAnsi="Courier New" w:eastAsia="宋体" w:cs="Courier New"/>
      <w:color w:val="000000"/>
      <w:sz w:val="21"/>
      <w:szCs w:val="21"/>
      <w:u w:val="none"/>
    </w:rPr>
  </w:style>
  <w:style w:type="paragraph" w:customStyle="1" w:styleId="37">
    <w:name w:val="列出段落2"/>
    <w:basedOn w:val="1"/>
    <w:qFormat/>
    <w:uiPriority w:val="34"/>
    <w:pPr>
      <w:ind w:firstLine="420" w:firstLineChars="200"/>
    </w:pPr>
    <w:rPr>
      <w:rFonts w:ascii="Calibri" w:hAnsi="Calibri" w:eastAsia="宋体" w:cs="Times New Roman"/>
    </w:rPr>
  </w:style>
  <w:style w:type="character" w:customStyle="1" w:styleId="38">
    <w:name w:val="HTML 预设格式 Char"/>
    <w:link w:val="19"/>
    <w:qFormat/>
    <w:uiPriority w:val="99"/>
    <w:rPr>
      <w:rFonts w:ascii="宋体" w:hAnsi="宋体" w:cs="宋体" w:eastAsiaTheme="minorEastAsia"/>
      <w:sz w:val="24"/>
      <w:szCs w:val="24"/>
    </w:rPr>
  </w:style>
  <w:style w:type="character" w:styleId="39">
    <w:name w:val="Placeholder Text"/>
    <w:semiHidden/>
    <w:qFormat/>
    <w:uiPriority w:val="99"/>
    <w:rPr>
      <w:rFonts w:ascii="Times New Roman" w:hAnsi="Times New Roman" w:eastAsia="宋体" w:cs="Times New Roman"/>
      <w:color w:val="808080"/>
    </w:rPr>
  </w:style>
  <w:style w:type="character" w:customStyle="1" w:styleId="40">
    <w:name w:val="tpc_content1"/>
    <w:qFormat/>
    <w:uiPriority w:val="0"/>
    <w:rPr>
      <w:rFonts w:ascii="Times New Roman" w:hAnsi="Times New Roman" w:eastAsia="宋体" w:cs="Times New Roman"/>
      <w:sz w:val="20"/>
      <w:szCs w:val="20"/>
    </w:rPr>
  </w:style>
  <w:style w:type="character" w:customStyle="1" w:styleId="41">
    <w:name w:val="HTML 预设格式 Char1"/>
    <w:basedOn w:val="23"/>
    <w:semiHidden/>
    <w:qFormat/>
    <w:uiPriority w:val="99"/>
    <w:rPr>
      <w:rFonts w:ascii="Courier New" w:hAnsi="Courier New" w:eastAsia="宋体" w:cs="Courier New"/>
      <w:sz w:val="20"/>
      <w:szCs w:val="20"/>
    </w:rPr>
  </w:style>
  <w:style w:type="character" w:customStyle="1" w:styleId="42">
    <w:name w:val="正文文本缩进 3 Char"/>
    <w:link w:val="17"/>
    <w:qFormat/>
    <w:uiPriority w:val="0"/>
    <w:rPr>
      <w:rFonts w:ascii="仿宋_GB2312" w:hAnsi="Times New Roman" w:eastAsia="仿宋_GB2312" w:cstheme="minorBidi"/>
      <w:sz w:val="28"/>
    </w:rPr>
  </w:style>
  <w:style w:type="character" w:customStyle="1" w:styleId="43">
    <w:name w:val="正文文本缩进 3 Char1"/>
    <w:basedOn w:val="23"/>
    <w:semiHidden/>
    <w:qFormat/>
    <w:uiPriority w:val="99"/>
    <w:rPr>
      <w:rFonts w:ascii="Calibri" w:hAnsi="Calibri" w:eastAsia="宋体" w:cs="Times New Roman"/>
      <w:sz w:val="16"/>
      <w:szCs w:val="16"/>
    </w:rPr>
  </w:style>
  <w:style w:type="paragraph" w:customStyle="1" w:styleId="44">
    <w:name w:val="列出段落3"/>
    <w:basedOn w:val="1"/>
    <w:qFormat/>
    <w:uiPriority w:val="34"/>
    <w:pPr>
      <w:ind w:firstLine="420" w:firstLineChars="200"/>
    </w:pPr>
    <w:rPr>
      <w:rFonts w:ascii="Times New Roman" w:hAnsi="Times New Roman" w:eastAsia="宋体" w:cs="Times New Roman"/>
      <w:szCs w:val="24"/>
    </w:rPr>
  </w:style>
  <w:style w:type="character" w:customStyle="1" w:styleId="45">
    <w:name w:val="标题 3 Char"/>
    <w:basedOn w:val="23"/>
    <w:link w:val="4"/>
    <w:qFormat/>
    <w:uiPriority w:val="9"/>
    <w:rPr>
      <w:rFonts w:asciiTheme="minorHAnsi" w:hAnsiTheme="minorHAnsi" w:eastAsiaTheme="minorEastAsia" w:cstheme="minorBidi"/>
      <w:b/>
      <w:bCs/>
      <w:sz w:val="32"/>
      <w:szCs w:val="32"/>
    </w:rPr>
  </w:style>
  <w:style w:type="character" w:customStyle="1" w:styleId="46">
    <w:name w:val="批注框文本 Char"/>
    <w:basedOn w:val="23"/>
    <w:link w:val="13"/>
    <w:semiHidden/>
    <w:qFormat/>
    <w:uiPriority w:val="99"/>
    <w:rPr>
      <w:rFonts w:asciiTheme="minorHAnsi" w:hAnsiTheme="minorHAnsi" w:eastAsiaTheme="minorEastAsia" w:cstheme="minorBidi"/>
      <w:kern w:val="2"/>
      <w:sz w:val="18"/>
      <w:szCs w:val="18"/>
    </w:rPr>
  </w:style>
  <w:style w:type="character" w:customStyle="1" w:styleId="47">
    <w:name w:val="text_img"/>
    <w:basedOn w:val="23"/>
    <w:qFormat/>
    <w:uiPriority w:val="0"/>
  </w:style>
  <w:style w:type="character" w:customStyle="1" w:styleId="48">
    <w:name w:val="album_cover_img"/>
    <w:basedOn w:val="23"/>
    <w:qFormat/>
    <w:uiPriority w:val="0"/>
  </w:style>
  <w:style w:type="character" w:customStyle="1" w:styleId="49">
    <w:name w:val="album_title"/>
    <w:basedOn w:val="23"/>
    <w:qFormat/>
    <w:uiPriority w:val="0"/>
  </w:style>
  <w:style w:type="character" w:customStyle="1" w:styleId="50">
    <w:name w:val="15"/>
    <w:basedOn w:val="23"/>
    <w:qFormat/>
    <w:uiPriority w:val="0"/>
    <w:rPr>
      <w:rFonts w:hint="eastAsia" w:ascii="宋体" w:hAnsi="宋体" w:eastAsia="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1BC5B-22DB-40B2-B71B-A42BAE3A31F6}">
  <ds:schemaRefs/>
</ds:datastoreItem>
</file>

<file path=docProps/app.xml><?xml version="1.0" encoding="utf-8"?>
<Properties xmlns="http://schemas.openxmlformats.org/officeDocument/2006/extended-properties" xmlns:vt="http://schemas.openxmlformats.org/officeDocument/2006/docPropsVTypes">
  <Template>Normal</Template>
  <Company>Zhuozhengsoft</Company>
  <Pages>80</Pages>
  <Words>9117</Words>
  <Characters>51973</Characters>
  <Lines>433</Lines>
  <Paragraphs>121</Paragraphs>
  <TotalTime>10</TotalTime>
  <ScaleCrop>false</ScaleCrop>
  <LinksUpToDate>false</LinksUpToDate>
  <CharactersWithSpaces>60969</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2012-06-22T17:41:00Z</dcterms:created>
  <dc:creator>somebody</dc:creator>
  <cp:lastModifiedBy>Administrator</cp:lastModifiedBy>
  <cp:lastPrinted>2019-11-11T05:26:00Z</cp:lastPrinted>
  <dcterms:modified xsi:type="dcterms:W3CDTF">2019-11-18T03:25:11Z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y fmtid="{D5CDD505-2E9C-101B-9397-08002B2CF9AE}" pid="3" name="KSORubyTemplateID" linkTarget="0">
    <vt:lpwstr>6</vt:lpwstr>
  </property>
</Properties>
</file>