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textAlignment w:val="bottom"/>
        <w:rPr>
          <w:rFonts w:hint="eastAsia" w:ascii="仿宋_GB2312" w:hAnsi="宋体" w:eastAsia="仿宋_GB2312"/>
          <w:b/>
          <w:sz w:val="36"/>
          <w:szCs w:val="36"/>
        </w:rPr>
      </w:pPr>
      <w:bookmarkStart w:id="1" w:name="_GoBack"/>
      <w:bookmarkEnd w:id="1"/>
    </w:p>
    <w:p>
      <w:pPr>
        <w:autoSpaceDE w:val="0"/>
        <w:autoSpaceDN w:val="0"/>
        <w:adjustRightInd w:val="0"/>
        <w:spacing w:line="360" w:lineRule="auto"/>
        <w:textAlignment w:val="bottom"/>
        <w:rPr>
          <w:rFonts w:hint="eastAsia" w:ascii="仿宋_GB2312" w:hAnsi="宋体" w:eastAsia="仿宋_GB2312"/>
          <w:b/>
          <w:sz w:val="36"/>
          <w:szCs w:val="36"/>
        </w:rPr>
      </w:pPr>
    </w:p>
    <w:p>
      <w:pPr>
        <w:autoSpaceDE w:val="0"/>
        <w:autoSpaceDN w:val="0"/>
        <w:adjustRightInd w:val="0"/>
        <w:spacing w:line="360" w:lineRule="auto"/>
        <w:textAlignment w:val="bottom"/>
        <w:rPr>
          <w:rFonts w:hint="eastAsia" w:ascii="仿宋_GB2312" w:hAnsi="宋体" w:eastAsia="仿宋_GB2312"/>
          <w:b/>
          <w:sz w:val="36"/>
          <w:szCs w:val="36"/>
        </w:rPr>
      </w:pPr>
    </w:p>
    <w:p>
      <w:pPr>
        <w:autoSpaceDE w:val="0"/>
        <w:autoSpaceDN w:val="0"/>
        <w:adjustRightInd w:val="0"/>
        <w:spacing w:line="360" w:lineRule="auto"/>
        <w:jc w:val="center"/>
        <w:textAlignment w:val="bottom"/>
        <w:rPr>
          <w:rFonts w:hint="eastAsia" w:ascii="仿宋_GB2312" w:hAnsi="宋体" w:eastAsia="仿宋_GB2312"/>
          <w:b/>
          <w:sz w:val="36"/>
          <w:szCs w:val="36"/>
        </w:rPr>
      </w:pPr>
      <w:r>
        <w:rPr>
          <w:rFonts w:hint="eastAsia" w:ascii="仿宋_GB2312" w:hAnsi="宋体" w:eastAsia="仿宋_GB2312"/>
          <w:b/>
          <w:sz w:val="36"/>
          <w:szCs w:val="36"/>
        </w:rPr>
        <w:t>目           录</w:t>
      </w:r>
    </w:p>
    <w:p>
      <w:pPr>
        <w:autoSpaceDE w:val="0"/>
        <w:autoSpaceDN w:val="0"/>
        <w:adjustRightInd w:val="0"/>
        <w:spacing w:line="360" w:lineRule="auto"/>
        <w:ind w:firstLine="643" w:firstLineChars="200"/>
        <w:jc w:val="center"/>
        <w:textAlignment w:val="bottom"/>
        <w:rPr>
          <w:rFonts w:hint="eastAsia" w:ascii="仿宋_GB2312" w:hAnsi="宋体" w:eastAsia="仿宋_GB2312"/>
          <w:b/>
          <w:sz w:val="32"/>
        </w:rPr>
      </w:pPr>
    </w:p>
    <w:p>
      <w:pPr>
        <w:autoSpaceDE w:val="0"/>
        <w:autoSpaceDN w:val="0"/>
        <w:adjustRightInd w:val="0"/>
        <w:spacing w:line="360" w:lineRule="auto"/>
        <w:ind w:firstLine="602" w:firstLineChars="200"/>
        <w:textAlignment w:val="bottom"/>
        <w:rPr>
          <w:rFonts w:hint="eastAsia" w:ascii="仿宋_GB2312" w:hAnsi="宋体" w:eastAsia="仿宋_GB2312"/>
          <w:b/>
          <w:sz w:val="30"/>
        </w:rPr>
      </w:pPr>
    </w:p>
    <w:p>
      <w:pPr>
        <w:autoSpaceDE w:val="0"/>
        <w:autoSpaceDN w:val="0"/>
        <w:adjustRightInd w:val="0"/>
        <w:spacing w:line="360" w:lineRule="auto"/>
        <w:ind w:firstLine="980" w:firstLineChars="350"/>
        <w:textAlignment w:val="bottom"/>
        <w:rPr>
          <w:rFonts w:hint="eastAsia" w:ascii="仿宋_GB2312" w:eastAsia="仿宋_GB2312"/>
          <w:sz w:val="28"/>
          <w:szCs w:val="20"/>
        </w:rPr>
      </w:pPr>
      <w:r>
        <w:rPr>
          <w:rFonts w:hint="eastAsia" w:ascii="仿宋_GB2312" w:hAnsi="宋体" w:eastAsia="仿宋_GB2312"/>
          <w:sz w:val="28"/>
        </w:rPr>
        <w:t xml:space="preserve">一、致委托方函—————————————————— </w:t>
      </w:r>
      <w:r>
        <w:rPr>
          <w:rFonts w:hint="eastAsia" w:ascii="仿宋_GB2312" w:eastAsia="仿宋_GB2312"/>
          <w:sz w:val="28"/>
          <w:szCs w:val="20"/>
        </w:rPr>
        <w:t>1</w:t>
      </w:r>
    </w:p>
    <w:p>
      <w:pPr>
        <w:autoSpaceDE w:val="0"/>
        <w:autoSpaceDN w:val="0"/>
        <w:adjustRightInd w:val="0"/>
        <w:spacing w:line="360" w:lineRule="auto"/>
        <w:ind w:left="570" w:firstLine="560" w:firstLineChars="200"/>
        <w:textAlignment w:val="bottom"/>
        <w:rPr>
          <w:rFonts w:hint="eastAsia" w:ascii="仿宋_GB2312" w:eastAsia="仿宋_GB2312"/>
          <w:sz w:val="28"/>
          <w:szCs w:val="20"/>
        </w:rPr>
      </w:pPr>
    </w:p>
    <w:p>
      <w:pPr>
        <w:autoSpaceDE w:val="0"/>
        <w:autoSpaceDN w:val="0"/>
        <w:adjustRightInd w:val="0"/>
        <w:spacing w:line="360" w:lineRule="auto"/>
        <w:ind w:firstLine="980" w:firstLineChars="350"/>
        <w:textAlignment w:val="bottom"/>
        <w:rPr>
          <w:rFonts w:hint="eastAsia" w:ascii="仿宋_GB2312" w:eastAsia="仿宋_GB2312"/>
          <w:sz w:val="28"/>
          <w:szCs w:val="20"/>
        </w:rPr>
      </w:pPr>
      <w:r>
        <w:rPr>
          <w:rFonts w:hint="eastAsia" w:ascii="仿宋_GB2312" w:eastAsia="仿宋_GB2312"/>
          <w:sz w:val="28"/>
          <w:szCs w:val="20"/>
        </w:rPr>
        <w:t>二、估价师声明</w:t>
      </w:r>
      <w:r>
        <w:rPr>
          <w:rFonts w:hint="eastAsia" w:ascii="仿宋_GB2312" w:hAnsi="宋体" w:eastAsia="仿宋_GB2312"/>
          <w:sz w:val="28"/>
        </w:rPr>
        <w:t xml:space="preserve">—————————————————— </w:t>
      </w:r>
      <w:r>
        <w:rPr>
          <w:rFonts w:hint="eastAsia" w:ascii="仿宋_GB2312" w:eastAsia="仿宋_GB2312"/>
          <w:sz w:val="28"/>
          <w:szCs w:val="20"/>
        </w:rPr>
        <w:t>2</w:t>
      </w:r>
    </w:p>
    <w:p>
      <w:pPr>
        <w:autoSpaceDE w:val="0"/>
        <w:autoSpaceDN w:val="0"/>
        <w:adjustRightInd w:val="0"/>
        <w:spacing w:line="360" w:lineRule="auto"/>
        <w:textAlignment w:val="bottom"/>
        <w:rPr>
          <w:rFonts w:hint="eastAsia" w:ascii="仿宋_GB2312" w:eastAsia="仿宋_GB2312"/>
          <w:sz w:val="28"/>
          <w:szCs w:val="20"/>
        </w:rPr>
      </w:pPr>
    </w:p>
    <w:p>
      <w:pPr>
        <w:autoSpaceDE w:val="0"/>
        <w:autoSpaceDN w:val="0"/>
        <w:adjustRightInd w:val="0"/>
        <w:spacing w:line="360" w:lineRule="auto"/>
        <w:ind w:firstLine="980" w:firstLineChars="350"/>
        <w:textAlignment w:val="bottom"/>
        <w:rPr>
          <w:rFonts w:hint="eastAsia" w:ascii="仿宋_GB2312" w:eastAsia="仿宋_GB2312"/>
          <w:sz w:val="28"/>
          <w:szCs w:val="20"/>
        </w:rPr>
      </w:pPr>
      <w:r>
        <w:rPr>
          <w:rFonts w:hint="eastAsia" w:ascii="仿宋_GB2312" w:eastAsia="仿宋_GB2312"/>
          <w:sz w:val="28"/>
          <w:szCs w:val="20"/>
        </w:rPr>
        <w:t>三、估价的假设和限制条件</w:t>
      </w:r>
      <w:r>
        <w:rPr>
          <w:rFonts w:hint="eastAsia" w:ascii="仿宋_GB2312" w:hAnsi="宋体" w:eastAsia="仿宋_GB2312"/>
          <w:sz w:val="28"/>
        </w:rPr>
        <w:t xml:space="preserve">————————————— </w:t>
      </w:r>
      <w:r>
        <w:rPr>
          <w:rFonts w:hint="eastAsia" w:ascii="仿宋_GB2312" w:eastAsia="仿宋_GB2312"/>
          <w:sz w:val="28"/>
          <w:szCs w:val="20"/>
        </w:rPr>
        <w:t>3</w:t>
      </w:r>
    </w:p>
    <w:p>
      <w:pPr>
        <w:autoSpaceDE w:val="0"/>
        <w:autoSpaceDN w:val="0"/>
        <w:adjustRightInd w:val="0"/>
        <w:spacing w:line="360" w:lineRule="auto"/>
        <w:textAlignment w:val="bottom"/>
        <w:rPr>
          <w:rFonts w:hint="eastAsia" w:ascii="仿宋_GB2312" w:eastAsia="仿宋_GB2312"/>
          <w:sz w:val="28"/>
          <w:szCs w:val="20"/>
        </w:rPr>
      </w:pPr>
    </w:p>
    <w:p>
      <w:pPr>
        <w:autoSpaceDE w:val="0"/>
        <w:autoSpaceDN w:val="0"/>
        <w:adjustRightInd w:val="0"/>
        <w:spacing w:line="360" w:lineRule="auto"/>
        <w:ind w:firstLine="980" w:firstLineChars="350"/>
        <w:textAlignment w:val="bottom"/>
        <w:rPr>
          <w:rFonts w:hint="eastAsia" w:ascii="仿宋_GB2312" w:eastAsia="仿宋_GB2312"/>
          <w:sz w:val="28"/>
          <w:szCs w:val="20"/>
        </w:rPr>
      </w:pPr>
      <w:r>
        <w:rPr>
          <w:rFonts w:hint="eastAsia" w:ascii="仿宋_GB2312" w:eastAsia="仿宋_GB2312"/>
          <w:sz w:val="28"/>
          <w:szCs w:val="20"/>
        </w:rPr>
        <w:t>四、估价结果报告</w:t>
      </w:r>
      <w:r>
        <w:rPr>
          <w:rFonts w:hint="eastAsia" w:ascii="仿宋_GB2312" w:hAnsi="宋体" w:eastAsia="仿宋_GB2312"/>
          <w:sz w:val="28"/>
        </w:rPr>
        <w:t xml:space="preserve">————————————————— </w:t>
      </w:r>
      <w:r>
        <w:rPr>
          <w:rFonts w:hint="eastAsia" w:ascii="仿宋_GB2312" w:eastAsia="仿宋_GB2312"/>
          <w:sz w:val="28"/>
          <w:szCs w:val="20"/>
        </w:rPr>
        <w:t>4</w:t>
      </w:r>
    </w:p>
    <w:p>
      <w:pPr>
        <w:autoSpaceDE w:val="0"/>
        <w:autoSpaceDN w:val="0"/>
        <w:adjustRightInd w:val="0"/>
        <w:spacing w:line="360" w:lineRule="auto"/>
        <w:textAlignment w:val="bottom"/>
        <w:rPr>
          <w:rFonts w:hint="eastAsia" w:ascii="仿宋_GB2312" w:eastAsia="仿宋_GB2312"/>
          <w:sz w:val="28"/>
          <w:szCs w:val="20"/>
        </w:rPr>
      </w:pPr>
    </w:p>
    <w:p>
      <w:pPr>
        <w:tabs>
          <w:tab w:val="left" w:pos="8100"/>
        </w:tabs>
        <w:autoSpaceDE w:val="0"/>
        <w:autoSpaceDN w:val="0"/>
        <w:adjustRightInd w:val="0"/>
        <w:spacing w:line="360" w:lineRule="auto"/>
        <w:ind w:firstLine="980" w:firstLineChars="350"/>
        <w:textAlignment w:val="bottom"/>
        <w:rPr>
          <w:rFonts w:hint="eastAsia" w:ascii="仿宋_GB2312" w:hAnsi="宋体" w:eastAsia="仿宋_GB2312"/>
          <w:sz w:val="28"/>
        </w:rPr>
      </w:pPr>
      <w:r>
        <w:rPr>
          <w:rFonts w:hint="eastAsia" w:ascii="仿宋_GB2312" w:eastAsia="仿宋_GB2312"/>
          <w:sz w:val="28"/>
          <w:szCs w:val="20"/>
        </w:rPr>
        <w:t>五、附件</w:t>
      </w:r>
      <w:r>
        <w:rPr>
          <w:rFonts w:hint="eastAsia" w:ascii="仿宋_GB2312" w:hAnsi="宋体" w:eastAsia="仿宋_GB2312"/>
          <w:sz w:val="28"/>
        </w:rPr>
        <w:t xml:space="preserve">————————————————————— </w:t>
      </w:r>
      <w:r>
        <w:rPr>
          <w:rFonts w:hint="eastAsia" w:ascii="仿宋_GB2312" w:eastAsia="仿宋_GB2312"/>
          <w:sz w:val="28"/>
          <w:szCs w:val="20"/>
        </w:rPr>
        <w:t>8</w:t>
      </w:r>
    </w:p>
    <w:p>
      <w:pPr>
        <w:autoSpaceDE w:val="0"/>
        <w:autoSpaceDN w:val="0"/>
        <w:adjustRightInd w:val="0"/>
        <w:spacing w:line="360" w:lineRule="auto"/>
        <w:ind w:firstLine="420" w:firstLineChars="200"/>
        <w:textAlignment w:val="bottom"/>
        <w:rPr>
          <w:rFonts w:hint="eastAsia" w:ascii="仿宋_GB2312" w:hAnsi="宋体" w:eastAsia="仿宋_GB2312"/>
        </w:rPr>
      </w:pPr>
    </w:p>
    <w:p>
      <w:pPr>
        <w:autoSpaceDE w:val="0"/>
        <w:autoSpaceDN w:val="0"/>
        <w:adjustRightInd w:val="0"/>
        <w:spacing w:line="360" w:lineRule="auto"/>
        <w:ind w:firstLine="420" w:firstLineChars="200"/>
        <w:textAlignment w:val="bottom"/>
        <w:rPr>
          <w:rFonts w:hint="eastAsia" w:ascii="仿宋_GB2312" w:hAnsi="宋体" w:eastAsia="仿宋_GB2312"/>
        </w:rPr>
      </w:pPr>
    </w:p>
    <w:p>
      <w:pPr>
        <w:autoSpaceDE w:val="0"/>
        <w:autoSpaceDN w:val="0"/>
        <w:adjustRightInd w:val="0"/>
        <w:spacing w:line="360" w:lineRule="auto"/>
        <w:ind w:firstLine="420" w:firstLineChars="200"/>
        <w:textAlignment w:val="bottom"/>
        <w:rPr>
          <w:rFonts w:hint="eastAsia" w:ascii="仿宋_GB2312" w:hAnsi="宋体" w:eastAsia="仿宋_GB2312"/>
        </w:rPr>
      </w:pPr>
    </w:p>
    <w:p>
      <w:pPr>
        <w:autoSpaceDE w:val="0"/>
        <w:autoSpaceDN w:val="0"/>
        <w:adjustRightInd w:val="0"/>
        <w:spacing w:line="360" w:lineRule="auto"/>
        <w:ind w:firstLine="420" w:firstLineChars="200"/>
        <w:textAlignment w:val="bottom"/>
        <w:rPr>
          <w:rFonts w:hint="eastAsia" w:ascii="仿宋_GB2312" w:hAnsi="宋体" w:eastAsia="仿宋_GB2312"/>
        </w:rPr>
        <w:sectPr>
          <w:headerReference r:id="rId4" w:type="first"/>
          <w:footerReference r:id="rId6" w:type="first"/>
          <w:headerReference r:id="rId3" w:type="default"/>
          <w:footerReference r:id="rId5" w:type="default"/>
          <w:pgSz w:w="11907" w:h="16840"/>
          <w:pgMar w:top="1247" w:right="927" w:bottom="1134" w:left="1758" w:header="567" w:footer="794" w:gutter="0"/>
          <w:pgNumType w:start="1"/>
          <w:cols w:space="720" w:num="1"/>
          <w:titlePg/>
          <w:docGrid w:linePitch="286" w:charSpace="0"/>
        </w:sectPr>
      </w:pPr>
    </w:p>
    <w:p>
      <w:pPr>
        <w:autoSpaceDE w:val="0"/>
        <w:autoSpaceDN w:val="0"/>
        <w:adjustRightInd w:val="0"/>
        <w:spacing w:line="360" w:lineRule="auto"/>
        <w:jc w:val="center"/>
        <w:textAlignment w:val="bottom"/>
        <w:rPr>
          <w:rFonts w:hint="eastAsia" w:ascii="仿宋_GB2312" w:hAnsi="宋体" w:eastAsia="仿宋_GB2312"/>
          <w:b/>
          <w:sz w:val="36"/>
          <w:szCs w:val="36"/>
        </w:rPr>
      </w:pPr>
    </w:p>
    <w:p>
      <w:pPr>
        <w:autoSpaceDE w:val="0"/>
        <w:autoSpaceDN w:val="0"/>
        <w:adjustRightInd w:val="0"/>
        <w:spacing w:line="360" w:lineRule="auto"/>
        <w:jc w:val="center"/>
        <w:textAlignment w:val="bottom"/>
        <w:rPr>
          <w:rFonts w:hint="eastAsia" w:ascii="仿宋_GB2312" w:hAnsi="宋体" w:eastAsia="仿宋_GB2312"/>
          <w:b/>
          <w:sz w:val="36"/>
          <w:szCs w:val="36"/>
        </w:rPr>
      </w:pPr>
      <w:r>
        <w:rPr>
          <w:rFonts w:hint="eastAsia" w:ascii="仿宋_GB2312" w:hAnsi="宋体" w:eastAsia="仿宋_GB2312"/>
          <w:b/>
          <w:sz w:val="36"/>
          <w:szCs w:val="36"/>
        </w:rPr>
        <w:t>致 委 托 方 函</w:t>
      </w:r>
    </w:p>
    <w:p>
      <w:pPr>
        <w:pStyle w:val="14"/>
        <w:autoSpaceDE w:val="0"/>
        <w:autoSpaceDN w:val="0"/>
        <w:adjustRightInd w:val="0"/>
        <w:spacing w:line="360" w:lineRule="auto"/>
        <w:ind w:firstLine="221" w:firstLineChars="200"/>
        <w:textAlignment w:val="bottom"/>
        <w:rPr>
          <w:rFonts w:hint="eastAsia" w:hAnsi="宋体"/>
          <w:b/>
          <w:sz w:val="11"/>
          <w:szCs w:val="11"/>
        </w:rPr>
      </w:pPr>
    </w:p>
    <w:p>
      <w:pPr>
        <w:spacing w:line="360" w:lineRule="auto"/>
        <w:rPr>
          <w:rFonts w:hint="eastAsia" w:ascii="仿宋_GB2312" w:eastAsia="仿宋_GB2312"/>
          <w:sz w:val="24"/>
        </w:rPr>
      </w:pPr>
      <w:r>
        <w:rPr>
          <w:rFonts w:hint="eastAsia" w:ascii="仿宋_GB2312" w:eastAsia="仿宋_GB2312"/>
          <w:color w:val="000000"/>
          <w:kern w:val="0"/>
          <w:sz w:val="24"/>
          <w:szCs w:val="20"/>
          <w:lang w:val="en-US" w:eastAsia="zh-CN" w:bidi="ar-SA"/>
        </w:rPr>
        <w:t>黄骅市人民法院：</w:t>
      </w:r>
    </w:p>
    <w:p>
      <w:pPr>
        <w:pStyle w:val="14"/>
        <w:autoSpaceDE w:val="0"/>
        <w:autoSpaceDN w:val="0"/>
        <w:adjustRightInd w:val="0"/>
        <w:spacing w:line="360" w:lineRule="auto"/>
        <w:ind w:firstLine="480" w:firstLineChars="200"/>
        <w:textAlignment w:val="bottom"/>
        <w:rPr>
          <w:rFonts w:hint="eastAsia" w:ascii="仿宋_GB2312" w:eastAsia="仿宋_GB2312"/>
          <w:color w:val="000000"/>
          <w:kern w:val="0"/>
          <w:sz w:val="24"/>
          <w:szCs w:val="20"/>
          <w:lang w:val="en-US" w:eastAsia="zh-CN" w:bidi="ar-SA"/>
        </w:rPr>
      </w:pPr>
      <w:r>
        <w:rPr>
          <w:rFonts w:hint="eastAsia"/>
          <w:sz w:val="24"/>
          <w:szCs w:val="24"/>
        </w:rPr>
        <w:t>接受贵方委托，</w:t>
      </w:r>
      <w:r>
        <w:rPr>
          <w:rFonts w:hint="eastAsia" w:ascii="仿宋_GB2312" w:eastAsia="仿宋_GB2312"/>
          <w:color w:val="000000"/>
          <w:kern w:val="0"/>
          <w:sz w:val="24"/>
          <w:szCs w:val="20"/>
          <w:lang w:val="en-US" w:eastAsia="zh-CN" w:bidi="ar-SA"/>
        </w:rPr>
        <w:t>我公司对位于</w:t>
      </w:r>
      <w:r>
        <w:rPr>
          <w:rFonts w:hint="eastAsia"/>
          <w:color w:val="000000"/>
          <w:kern w:val="0"/>
          <w:sz w:val="24"/>
          <w:szCs w:val="20"/>
          <w:lang w:val="en-US" w:eastAsia="zh-CN" w:bidi="ar-SA"/>
        </w:rPr>
        <w:t>黄骅市迎宾路东侧水产公寓1-4-201、202室住宅</w:t>
      </w:r>
      <w:r>
        <w:rPr>
          <w:rFonts w:hint="eastAsia" w:ascii="仿宋_GB2312" w:eastAsia="仿宋_GB2312"/>
          <w:color w:val="000000"/>
          <w:kern w:val="0"/>
          <w:sz w:val="24"/>
          <w:szCs w:val="20"/>
          <w:lang w:val="en-US" w:eastAsia="zh-CN" w:bidi="ar-SA"/>
        </w:rPr>
        <w:t>的市场价值进行了评估，</w:t>
      </w:r>
      <w:bookmarkStart w:id="0" w:name="OLE_LINK11"/>
      <w:r>
        <w:rPr>
          <w:rFonts w:hint="eastAsia" w:ascii="仿宋_GB2312" w:eastAsia="仿宋_GB2312"/>
          <w:color w:val="000000"/>
          <w:kern w:val="0"/>
          <w:sz w:val="24"/>
          <w:szCs w:val="20"/>
          <w:lang w:val="en-US" w:eastAsia="zh-CN" w:bidi="ar-SA"/>
        </w:rPr>
        <w:t>为贵方</w:t>
      </w:r>
      <w:bookmarkEnd w:id="0"/>
      <w:r>
        <w:rPr>
          <w:rFonts w:hint="eastAsia" w:ascii="仿宋_GB2312" w:eastAsia="仿宋_GB2312"/>
          <w:color w:val="000000"/>
          <w:kern w:val="0"/>
          <w:sz w:val="24"/>
          <w:szCs w:val="20"/>
          <w:lang w:val="en-US" w:eastAsia="zh-CN" w:bidi="ar-SA"/>
        </w:rPr>
        <w:t>确定估价对象在价值时点的</w:t>
      </w:r>
      <w:r>
        <w:rPr>
          <w:rFonts w:hint="eastAsia"/>
          <w:color w:val="000000"/>
          <w:kern w:val="0"/>
          <w:sz w:val="24"/>
          <w:szCs w:val="20"/>
          <w:lang w:val="en-US" w:eastAsia="zh-CN" w:bidi="ar-SA"/>
        </w:rPr>
        <w:t>拍卖底价</w:t>
      </w:r>
      <w:r>
        <w:rPr>
          <w:rFonts w:hint="eastAsia" w:ascii="仿宋_GB2312" w:eastAsia="仿宋_GB2312"/>
          <w:color w:val="000000"/>
          <w:kern w:val="0"/>
          <w:sz w:val="24"/>
          <w:szCs w:val="20"/>
          <w:lang w:val="en-US" w:eastAsia="zh-CN" w:bidi="ar-SA"/>
        </w:rPr>
        <w:t>提供参考依据。</w:t>
      </w:r>
    </w:p>
    <w:p>
      <w:pPr>
        <w:pStyle w:val="14"/>
        <w:autoSpaceDE w:val="0"/>
        <w:autoSpaceDN w:val="0"/>
        <w:adjustRightInd w:val="0"/>
        <w:spacing w:line="360" w:lineRule="auto"/>
        <w:ind w:firstLine="480" w:firstLineChars="200"/>
        <w:textAlignment w:val="bottom"/>
        <w:rPr>
          <w:rFonts w:hint="eastAsia" w:ascii="仿宋_GB2312" w:hAnsi="仿宋_GB2312" w:eastAsia="仿宋_GB2312" w:cs="仿宋_GB2312"/>
          <w:sz w:val="24"/>
          <w:szCs w:val="24"/>
          <w:highlight w:val="none"/>
        </w:rPr>
      </w:pPr>
      <w:r>
        <w:rPr>
          <w:rFonts w:hint="eastAsia"/>
          <w:sz w:val="24"/>
          <w:szCs w:val="24"/>
        </w:rPr>
        <w:t>本次估价对象为</w:t>
      </w:r>
      <w:r>
        <w:rPr>
          <w:rFonts w:hint="eastAsia"/>
          <w:sz w:val="24"/>
          <w:szCs w:val="24"/>
          <w:lang w:eastAsia="zh-CN"/>
        </w:rPr>
        <w:t>黄骅市迎宾路东侧水产公寓1-4-201、202室住宅</w:t>
      </w:r>
      <w:r>
        <w:rPr>
          <w:rFonts w:hint="eastAsia" w:hAnsi="宋体"/>
          <w:kern w:val="0"/>
          <w:sz w:val="24"/>
          <w:szCs w:val="24"/>
        </w:rPr>
        <w:t>，</w:t>
      </w:r>
      <w:r>
        <w:rPr>
          <w:rFonts w:hint="eastAsia" w:hAnsi="宋体"/>
          <w:kern w:val="0"/>
          <w:sz w:val="24"/>
          <w:szCs w:val="24"/>
          <w:lang w:eastAsia="zh-CN"/>
        </w:rPr>
        <w:t>产权证号为</w:t>
      </w:r>
      <w:r>
        <w:rPr>
          <w:rFonts w:hint="eastAsia" w:hAnsi="宋体"/>
          <w:kern w:val="0"/>
          <w:sz w:val="24"/>
          <w:szCs w:val="24"/>
          <w:lang w:val="en-US" w:eastAsia="zh-CN"/>
        </w:rPr>
        <w:t>30008097号，</w:t>
      </w:r>
      <w:r>
        <w:rPr>
          <w:rFonts w:hint="eastAsia" w:hAnsi="宋体"/>
          <w:kern w:val="0"/>
          <w:sz w:val="24"/>
          <w:szCs w:val="24"/>
          <w:lang w:eastAsia="zh-CN"/>
        </w:rPr>
        <w:t>产权人为袁绍辉</w:t>
      </w: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rPr>
        <w:t>建筑面积为</w:t>
      </w:r>
      <w:r>
        <w:rPr>
          <w:rFonts w:hint="eastAsia" w:hAnsi="仿宋_GB2312" w:cs="仿宋_GB2312"/>
          <w:kern w:val="0"/>
          <w:sz w:val="24"/>
          <w:szCs w:val="24"/>
          <w:highlight w:val="none"/>
          <w:lang w:val="en-US" w:eastAsia="zh-CN"/>
        </w:rPr>
        <w:t>157.3</w:t>
      </w:r>
      <w:r>
        <w:rPr>
          <w:rFonts w:hint="eastAsia" w:ascii="仿宋_GB2312" w:hAnsi="仿宋_GB2312" w:eastAsia="仿宋_GB2312" w:cs="仿宋_GB2312"/>
          <w:kern w:val="0"/>
          <w:sz w:val="24"/>
          <w:szCs w:val="24"/>
          <w:highlight w:val="none"/>
        </w:rPr>
        <w:t>平方米。</w:t>
      </w:r>
    </w:p>
    <w:p>
      <w:pPr>
        <w:autoSpaceDE w:val="0"/>
        <w:autoSpaceDN w:val="0"/>
        <w:adjustRightInd w:val="0"/>
        <w:spacing w:line="360" w:lineRule="auto"/>
        <w:ind w:firstLine="480" w:firstLineChars="200"/>
        <w:textAlignment w:val="bottom"/>
        <w:rPr>
          <w:rFonts w:hint="eastAsia" w:ascii="仿宋_GB2312" w:hAnsi="仿宋_GB2312" w:eastAsia="仿宋_GB2312" w:cs="仿宋_GB2312"/>
          <w:sz w:val="24"/>
          <w:highlight w:val="none"/>
        </w:rPr>
      </w:pPr>
      <w:r>
        <w:rPr>
          <w:rFonts w:hint="eastAsia" w:ascii="仿宋_GB2312" w:hAnsi="仿宋_GB2312" w:eastAsia="仿宋_GB2312" w:cs="仿宋_GB2312"/>
          <w:sz w:val="24"/>
          <w:szCs w:val="24"/>
          <w:highlight w:val="none"/>
        </w:rPr>
        <w:t>估价目的：</w:t>
      </w:r>
      <w:r>
        <w:rPr>
          <w:rFonts w:hint="eastAsia" w:ascii="仿宋_GB2312" w:hAnsi="仿宋_GB2312" w:eastAsia="仿宋_GB2312" w:cs="仿宋_GB2312"/>
          <w:sz w:val="24"/>
          <w:highlight w:val="none"/>
        </w:rPr>
        <w:t>为司法机关确定估价对象在价值时点的</w:t>
      </w:r>
      <w:r>
        <w:rPr>
          <w:rFonts w:hint="eastAsia" w:ascii="仿宋_GB2312" w:hAnsi="仿宋_GB2312" w:eastAsia="仿宋_GB2312" w:cs="仿宋_GB2312"/>
          <w:sz w:val="24"/>
          <w:highlight w:val="none"/>
          <w:lang w:eastAsia="zh-CN"/>
        </w:rPr>
        <w:t>拍卖底价</w:t>
      </w:r>
      <w:r>
        <w:rPr>
          <w:rFonts w:hint="eastAsia" w:ascii="仿宋_GB2312" w:hAnsi="仿宋_GB2312" w:eastAsia="仿宋_GB2312" w:cs="仿宋_GB2312"/>
          <w:sz w:val="24"/>
          <w:highlight w:val="none"/>
        </w:rPr>
        <w:t>提供价值参考依据。</w:t>
      </w:r>
    </w:p>
    <w:p>
      <w:pPr>
        <w:pStyle w:val="8"/>
        <w:spacing w:line="360" w:lineRule="auto"/>
        <w:ind w:firstLine="480" w:firstLineChars="200"/>
        <w:jc w:val="both"/>
        <w:rPr>
          <w:rFonts w:hint="eastAsia" w:ascii="仿宋_GB2312" w:eastAsia="仿宋_GB2312"/>
          <w:kern w:val="2"/>
          <w:szCs w:val="24"/>
        </w:rPr>
      </w:pPr>
      <w:r>
        <w:rPr>
          <w:rFonts w:hint="eastAsia" w:ascii="仿宋_GB2312" w:hAnsi="仿宋_GB2312" w:eastAsia="仿宋_GB2312" w:cs="仿宋_GB2312"/>
          <w:color w:val="000000"/>
          <w:highlight w:val="none"/>
        </w:rPr>
        <w:t>我公司估价人员根据</w:t>
      </w:r>
      <w:r>
        <w:rPr>
          <w:rFonts w:hint="eastAsia" w:ascii="仿宋_GB2312" w:eastAsia="仿宋_GB2312"/>
          <w:color w:val="000000"/>
          <w:lang w:eastAsia="zh-CN"/>
        </w:rPr>
        <w:t>估价</w:t>
      </w:r>
      <w:r>
        <w:rPr>
          <w:rFonts w:hint="eastAsia" w:ascii="仿宋_GB2312" w:eastAsia="仿宋_GB2312"/>
          <w:color w:val="000000"/>
        </w:rPr>
        <w:t>目的，遵循</w:t>
      </w:r>
      <w:r>
        <w:rPr>
          <w:rFonts w:hint="eastAsia" w:ascii="仿宋_GB2312" w:eastAsia="仿宋_GB2312"/>
          <w:color w:val="000000"/>
          <w:lang w:eastAsia="zh-CN"/>
        </w:rPr>
        <w:t>估价</w:t>
      </w:r>
      <w:r>
        <w:rPr>
          <w:rFonts w:hint="eastAsia" w:ascii="仿宋_GB2312" w:eastAsia="仿宋_GB2312"/>
          <w:color w:val="000000"/>
        </w:rPr>
        <w:t>原则，按照评估工作程序,采用科学的评估方法,在认真分析现有资料的基础上,经过周密准确的测算,并结合评估经验和对影响项目价值因素的分析,确定</w:t>
      </w:r>
      <w:r>
        <w:rPr>
          <w:rFonts w:hint="eastAsia" w:ascii="仿宋_GB2312" w:eastAsia="仿宋_GB2312"/>
        </w:rPr>
        <w:t>估价对象</w:t>
      </w:r>
      <w:r>
        <w:rPr>
          <w:rFonts w:hint="eastAsia" w:ascii="仿宋_GB2312" w:eastAsia="仿宋_GB2312"/>
          <w:color w:val="000000"/>
        </w:rPr>
        <w:t>在价值时点</w:t>
      </w:r>
      <w:r>
        <w:rPr>
          <w:rFonts w:hint="eastAsia" w:ascii="仿宋_GB2312" w:eastAsia="仿宋_GB2312"/>
          <w:color w:val="000000"/>
          <w:highlight w:val="none"/>
          <w:lang w:eastAsia="zh-CN"/>
        </w:rPr>
        <w:t>201</w:t>
      </w:r>
      <w:r>
        <w:rPr>
          <w:rFonts w:hint="eastAsia" w:ascii="仿宋_GB2312" w:eastAsia="仿宋_GB2312"/>
          <w:color w:val="000000"/>
          <w:highlight w:val="none"/>
          <w:lang w:val="en-US" w:eastAsia="zh-CN"/>
        </w:rPr>
        <w:t>9</w:t>
      </w:r>
      <w:r>
        <w:rPr>
          <w:rFonts w:hint="eastAsia" w:ascii="仿宋_GB2312" w:eastAsia="仿宋_GB2312"/>
          <w:color w:val="000000"/>
          <w:highlight w:val="none"/>
          <w:lang w:eastAsia="zh-CN"/>
        </w:rPr>
        <w:t>年</w:t>
      </w:r>
      <w:r>
        <w:rPr>
          <w:rFonts w:hint="eastAsia" w:ascii="仿宋_GB2312" w:eastAsia="仿宋_GB2312"/>
          <w:color w:val="000000"/>
          <w:highlight w:val="none"/>
          <w:lang w:val="en-US" w:eastAsia="zh-CN"/>
        </w:rPr>
        <w:t>8</w:t>
      </w:r>
      <w:r>
        <w:rPr>
          <w:rFonts w:hint="eastAsia" w:ascii="仿宋_GB2312" w:eastAsia="仿宋_GB2312"/>
          <w:color w:val="000000"/>
          <w:highlight w:val="none"/>
          <w:lang w:eastAsia="zh-CN"/>
        </w:rPr>
        <w:t>月</w:t>
      </w:r>
      <w:r>
        <w:rPr>
          <w:rFonts w:hint="eastAsia" w:ascii="仿宋_GB2312" w:eastAsia="仿宋_GB2312"/>
          <w:color w:val="000000"/>
          <w:highlight w:val="none"/>
          <w:lang w:val="en-US" w:eastAsia="zh-CN"/>
        </w:rPr>
        <w:t>7</w:t>
      </w:r>
      <w:r>
        <w:rPr>
          <w:rFonts w:hint="eastAsia" w:ascii="仿宋_GB2312" w:eastAsia="仿宋_GB2312"/>
          <w:color w:val="000000"/>
          <w:highlight w:val="none"/>
          <w:lang w:eastAsia="zh-CN"/>
        </w:rPr>
        <w:t>日</w:t>
      </w:r>
      <w:r>
        <w:rPr>
          <w:rFonts w:hint="eastAsia" w:ascii="仿宋_GB2312" w:eastAsia="仿宋_GB2312"/>
          <w:color w:val="000000"/>
        </w:rPr>
        <w:t>的房地产</w:t>
      </w:r>
      <w:r>
        <w:rPr>
          <w:rFonts w:hint="eastAsia" w:ascii="仿宋_GB2312" w:eastAsia="仿宋_GB2312"/>
          <w:kern w:val="2"/>
          <w:szCs w:val="24"/>
        </w:rPr>
        <w:t>价值为：</w:t>
      </w:r>
    </w:p>
    <w:p>
      <w:pPr>
        <w:pStyle w:val="8"/>
        <w:spacing w:line="360" w:lineRule="auto"/>
        <w:ind w:firstLine="480" w:firstLineChars="200"/>
        <w:jc w:val="both"/>
        <w:rPr>
          <w:rFonts w:hint="eastAsia" w:ascii="仿宋_GB2312" w:eastAsia="仿宋_GB2312"/>
          <w:kern w:val="2"/>
          <w:szCs w:val="24"/>
          <w:highlight w:val="none"/>
        </w:rPr>
      </w:pPr>
    </w:p>
    <w:p>
      <w:pPr>
        <w:pStyle w:val="8"/>
        <w:spacing w:line="360" w:lineRule="auto"/>
        <w:ind w:firstLine="480" w:firstLineChars="200"/>
        <w:jc w:val="both"/>
        <w:rPr>
          <w:rFonts w:hint="eastAsia" w:ascii="仿宋_GB2312" w:eastAsia="仿宋_GB2312"/>
          <w:kern w:val="2"/>
          <w:szCs w:val="24"/>
          <w:highlight w:val="none"/>
        </w:rPr>
      </w:pPr>
      <w:r>
        <w:rPr>
          <w:rFonts w:hint="eastAsia" w:ascii="仿宋_GB2312" w:eastAsia="仿宋_GB2312"/>
          <w:kern w:val="2"/>
          <w:szCs w:val="24"/>
          <w:highlight w:val="none"/>
        </w:rPr>
        <w:t>总    价：</w:t>
      </w:r>
      <w:r>
        <w:rPr>
          <w:rFonts w:hint="eastAsia" w:ascii="仿宋_GB2312" w:hAnsi="宋体" w:eastAsia="仿宋_GB2312" w:cs="宋体"/>
          <w:szCs w:val="24"/>
          <w:highlight w:val="none"/>
          <w:lang w:val="en-US" w:eastAsia="zh-CN"/>
        </w:rPr>
        <w:t>1234850.00</w:t>
      </w:r>
      <w:r>
        <w:rPr>
          <w:rFonts w:hint="eastAsia" w:ascii="仿宋_GB2312" w:hAnsi="宋体" w:eastAsia="仿宋_GB2312" w:cs="宋体"/>
          <w:szCs w:val="24"/>
          <w:highlight w:val="none"/>
        </w:rPr>
        <w:t>元</w:t>
      </w:r>
    </w:p>
    <w:p>
      <w:pPr>
        <w:pStyle w:val="8"/>
        <w:spacing w:line="360" w:lineRule="auto"/>
        <w:ind w:firstLine="480" w:firstLineChars="200"/>
        <w:jc w:val="both"/>
        <w:rPr>
          <w:rFonts w:hint="eastAsia" w:ascii="仿宋_GB2312" w:eastAsia="仿宋_GB2312"/>
          <w:kern w:val="2"/>
          <w:szCs w:val="24"/>
          <w:highlight w:val="none"/>
        </w:rPr>
      </w:pPr>
      <w:r>
        <w:rPr>
          <w:rFonts w:hint="eastAsia" w:ascii="仿宋_GB2312" w:eastAsia="仿宋_GB2312"/>
          <w:kern w:val="2"/>
          <w:szCs w:val="24"/>
          <w:highlight w:val="none"/>
        </w:rPr>
        <w:t>大    写：</w:t>
      </w:r>
      <w:r>
        <w:rPr>
          <w:rFonts w:hint="eastAsia" w:ascii="仿宋_GB2312" w:eastAsia="仿宋_GB2312"/>
          <w:kern w:val="2"/>
          <w:szCs w:val="24"/>
          <w:highlight w:val="none"/>
          <w:lang w:eastAsia="zh-CN"/>
        </w:rPr>
        <w:t>壹佰贰拾叁万肆仟捌佰伍拾</w:t>
      </w:r>
      <w:r>
        <w:rPr>
          <w:rFonts w:hint="eastAsia" w:ascii="仿宋_GB2312" w:eastAsia="仿宋_GB2312"/>
          <w:kern w:val="2"/>
          <w:szCs w:val="24"/>
          <w:highlight w:val="none"/>
        </w:rPr>
        <w:t>元整</w:t>
      </w:r>
    </w:p>
    <w:p>
      <w:pPr>
        <w:autoSpaceDE w:val="0"/>
        <w:autoSpaceDN w:val="0"/>
        <w:adjustRightInd w:val="0"/>
        <w:spacing w:line="360" w:lineRule="auto"/>
        <w:ind w:firstLine="480" w:firstLineChars="200"/>
        <w:textAlignment w:val="bottom"/>
        <w:rPr>
          <w:rFonts w:hint="eastAsia" w:ascii="仿宋_GB2312" w:eastAsia="仿宋_GB2312"/>
          <w:sz w:val="24"/>
          <w:highlight w:val="none"/>
        </w:rPr>
      </w:pPr>
      <w:r>
        <w:rPr>
          <w:rFonts w:hint="eastAsia" w:ascii="仿宋_GB2312" w:eastAsia="仿宋_GB2312"/>
          <w:sz w:val="24"/>
          <w:highlight w:val="none"/>
        </w:rPr>
        <w:t>币    种：人民币</w:t>
      </w:r>
    </w:p>
    <w:p>
      <w:pPr>
        <w:autoSpaceDE w:val="0"/>
        <w:autoSpaceDN w:val="0"/>
        <w:adjustRightInd w:val="0"/>
        <w:spacing w:line="360" w:lineRule="auto"/>
        <w:ind w:firstLine="480" w:firstLineChars="200"/>
        <w:textAlignment w:val="bottom"/>
        <w:rPr>
          <w:rFonts w:hint="eastAsia" w:ascii="仿宋_GB2312" w:eastAsia="仿宋_GB2312"/>
          <w:sz w:val="24"/>
        </w:rPr>
      </w:pPr>
    </w:p>
    <w:p>
      <w:pPr>
        <w:spacing w:line="360" w:lineRule="auto"/>
        <w:ind w:firstLine="480" w:firstLineChars="200"/>
        <w:rPr>
          <w:rFonts w:ascii="Arial Narrow" w:hAnsi="Arial Narrow" w:eastAsia="仿宋_GB2312"/>
          <w:sz w:val="24"/>
        </w:rPr>
      </w:pPr>
      <w:r>
        <w:rPr>
          <w:rFonts w:hint="eastAsia" w:ascii="仿宋_GB2312" w:hAnsi="Arial Narrow" w:eastAsia="仿宋_GB2312"/>
          <w:sz w:val="24"/>
        </w:rPr>
        <w:t>本次评估假设估价对象于价值时点无抵押、租赁、担保等他项权利存在，不存在产权法律纠纷，估价结果为估价对象于价值时点</w:t>
      </w:r>
      <w:r>
        <w:rPr>
          <w:rFonts w:ascii="Arial Narrow" w:hAnsi="Arial Narrow" w:eastAsia="仿宋_GB2312"/>
          <w:sz w:val="24"/>
        </w:rPr>
        <w:t>完全产权房</w:t>
      </w:r>
      <w:r>
        <w:rPr>
          <w:rFonts w:hint="eastAsia" w:ascii="Arial Narrow" w:hAnsi="Arial Narrow" w:eastAsia="仿宋_GB2312"/>
          <w:sz w:val="24"/>
        </w:rPr>
        <w:t>地</w:t>
      </w:r>
      <w:r>
        <w:rPr>
          <w:rFonts w:ascii="Arial Narrow" w:hAnsi="Arial Narrow" w:eastAsia="仿宋_GB2312"/>
          <w:sz w:val="24"/>
        </w:rPr>
        <w:t>产市场价格。</w:t>
      </w:r>
    </w:p>
    <w:p>
      <w:pPr>
        <w:autoSpaceDE w:val="0"/>
        <w:autoSpaceDN w:val="0"/>
        <w:adjustRightInd w:val="0"/>
        <w:ind w:firstLine="480" w:firstLineChars="200"/>
        <w:textAlignment w:val="bottom"/>
        <w:rPr>
          <w:rFonts w:hint="eastAsia" w:ascii="仿宋_GB2312" w:hAnsi="宋体" w:eastAsia="仿宋_GB2312"/>
          <w:sz w:val="24"/>
        </w:rPr>
      </w:pPr>
    </w:p>
    <w:p>
      <w:pPr>
        <w:autoSpaceDE w:val="0"/>
        <w:autoSpaceDN w:val="0"/>
        <w:adjustRightInd w:val="0"/>
        <w:ind w:firstLine="480" w:firstLineChars="200"/>
        <w:jc w:val="center"/>
        <w:textAlignment w:val="bottom"/>
        <w:rPr>
          <w:rFonts w:hint="eastAsia" w:ascii="仿宋_GB2312" w:hAnsi="宋体" w:eastAsia="仿宋_GB2312"/>
          <w:sz w:val="24"/>
        </w:rPr>
      </w:pPr>
      <w:r>
        <w:rPr>
          <w:rFonts w:hint="eastAsia" w:ascii="仿宋_GB2312" w:hAnsi="宋体" w:eastAsia="仿宋_GB2312"/>
          <w:sz w:val="24"/>
        </w:rPr>
        <w:t xml:space="preserve">                                                   </w:t>
      </w:r>
    </w:p>
    <w:p>
      <w:pPr>
        <w:autoSpaceDE w:val="0"/>
        <w:autoSpaceDN w:val="0"/>
        <w:adjustRightInd w:val="0"/>
        <w:spacing w:line="480" w:lineRule="auto"/>
        <w:ind w:firstLine="480" w:firstLineChars="200"/>
        <w:jc w:val="center"/>
        <w:textAlignment w:val="bottom"/>
        <w:rPr>
          <w:rFonts w:hint="eastAsia" w:ascii="仿宋_GB2312" w:hAnsi="宋体" w:eastAsia="仿宋_GB2312"/>
          <w:sz w:val="24"/>
        </w:rPr>
      </w:pPr>
      <w:r>
        <w:rPr>
          <w:rFonts w:hint="eastAsia" w:ascii="仿宋_GB2312" w:hAnsi="宋体" w:eastAsia="仿宋_GB2312"/>
          <w:sz w:val="24"/>
        </w:rPr>
        <w:t xml:space="preserve">                              河北中评房地产估价有限公司</w:t>
      </w:r>
    </w:p>
    <w:p>
      <w:pPr>
        <w:tabs>
          <w:tab w:val="left" w:pos="3374"/>
        </w:tabs>
        <w:adjustRightInd w:val="0"/>
        <w:spacing w:line="480" w:lineRule="auto"/>
        <w:ind w:firstLine="5040" w:firstLineChars="1800"/>
        <w:rPr>
          <w:rFonts w:hint="eastAsia" w:ascii="仿宋_GB2312" w:eastAsia="仿宋_GB2312"/>
          <w:sz w:val="24"/>
          <w:lang w:eastAsia="zh-CN"/>
        </w:rPr>
      </w:pPr>
      <w:r>
        <w:rPr>
          <w:rFonts w:hint="eastAsia" w:ascii="仿宋_GB2312" w:eastAsia="仿宋_GB2312"/>
          <w:spacing w:val="20"/>
          <w:sz w:val="24"/>
        </w:rPr>
        <w:t>法定代表人：</w:t>
      </w:r>
      <w:r>
        <w:rPr>
          <w:rFonts w:hint="eastAsia" w:ascii="仿宋_GB2312" w:eastAsia="仿宋_GB2312"/>
          <w:spacing w:val="20"/>
          <w:sz w:val="24"/>
          <w:lang w:eastAsia="zh-CN"/>
        </w:rPr>
        <w:t>李庆新</w:t>
      </w:r>
    </w:p>
    <w:p>
      <w:pPr>
        <w:pStyle w:val="14"/>
        <w:adjustRightInd w:val="0"/>
        <w:spacing w:line="480" w:lineRule="auto"/>
        <w:ind w:right="42" w:firstLine="480" w:firstLineChars="200"/>
        <w:rPr>
          <w:rFonts w:hint="eastAsia" w:hAnsi="宋体"/>
          <w:sz w:val="24"/>
          <w:szCs w:val="24"/>
          <w:highlight w:val="none"/>
        </w:rPr>
      </w:pPr>
      <w:r>
        <w:rPr>
          <w:rFonts w:hint="eastAsia"/>
          <w:sz w:val="24"/>
          <w:szCs w:val="24"/>
        </w:rPr>
        <w:t xml:space="preserve">                                   </w:t>
      </w:r>
      <w:r>
        <w:rPr>
          <w:rFonts w:hint="eastAsia"/>
          <w:sz w:val="24"/>
          <w:szCs w:val="24"/>
          <w:highlight w:val="none"/>
        </w:rPr>
        <w:t xml:space="preserve">   </w:t>
      </w:r>
      <w:r>
        <w:rPr>
          <w:rFonts w:hint="eastAsia" w:hAnsi="宋体"/>
          <w:sz w:val="24"/>
          <w:highlight w:val="none"/>
        </w:rPr>
        <w:t>二零一</w:t>
      </w:r>
      <w:r>
        <w:rPr>
          <w:rFonts w:hint="eastAsia" w:hAnsi="宋体"/>
          <w:sz w:val="24"/>
          <w:highlight w:val="none"/>
          <w:lang w:eastAsia="zh-CN"/>
        </w:rPr>
        <w:t>九</w:t>
      </w:r>
      <w:r>
        <w:rPr>
          <w:rFonts w:hint="eastAsia" w:hAnsi="宋体"/>
          <w:sz w:val="24"/>
          <w:highlight w:val="none"/>
        </w:rPr>
        <w:t>年</w:t>
      </w:r>
      <w:r>
        <w:rPr>
          <w:rFonts w:hint="eastAsia" w:hAnsi="宋体"/>
          <w:sz w:val="24"/>
          <w:highlight w:val="none"/>
          <w:lang w:eastAsia="zh-CN"/>
        </w:rPr>
        <w:t>八</w:t>
      </w:r>
      <w:r>
        <w:rPr>
          <w:rFonts w:hint="eastAsia" w:hAnsi="宋体"/>
          <w:sz w:val="24"/>
          <w:highlight w:val="none"/>
        </w:rPr>
        <w:t>月</w:t>
      </w:r>
      <w:r>
        <w:rPr>
          <w:rFonts w:hint="eastAsia" w:hAnsi="宋体"/>
          <w:sz w:val="24"/>
          <w:highlight w:val="none"/>
          <w:lang w:eastAsia="zh-CN"/>
        </w:rPr>
        <w:t>二十一</w:t>
      </w:r>
      <w:r>
        <w:rPr>
          <w:rFonts w:hint="eastAsia" w:hAnsi="宋体"/>
          <w:sz w:val="24"/>
          <w:highlight w:val="none"/>
        </w:rPr>
        <w:t>日</w:t>
      </w:r>
    </w:p>
    <w:p>
      <w:pPr>
        <w:autoSpaceDE w:val="0"/>
        <w:autoSpaceDN w:val="0"/>
        <w:adjustRightInd w:val="0"/>
        <w:spacing w:line="360" w:lineRule="auto"/>
        <w:ind w:firstLine="482" w:firstLineChars="200"/>
        <w:textAlignment w:val="bottom"/>
        <w:rPr>
          <w:rFonts w:hint="eastAsia" w:ascii="仿宋_GB2312" w:hAnsi="宋体" w:eastAsia="仿宋_GB2312"/>
          <w:b/>
          <w:sz w:val="24"/>
        </w:rPr>
      </w:pPr>
      <w:r>
        <w:rPr>
          <w:rFonts w:ascii="仿宋_GB2312" w:hAnsi="宋体" w:eastAsia="仿宋_GB2312"/>
          <w:b/>
          <w:sz w:val="24"/>
        </w:rPr>
        <w:br w:type="page"/>
      </w:r>
    </w:p>
    <w:p>
      <w:pPr>
        <w:autoSpaceDE w:val="0"/>
        <w:autoSpaceDN w:val="0"/>
        <w:adjustRightInd w:val="0"/>
        <w:spacing w:line="360" w:lineRule="auto"/>
        <w:jc w:val="center"/>
        <w:textAlignment w:val="bottom"/>
        <w:rPr>
          <w:rFonts w:hint="eastAsia" w:ascii="仿宋_GB2312" w:hAnsi="宋体" w:eastAsia="仿宋_GB2312"/>
          <w:b/>
          <w:sz w:val="36"/>
          <w:szCs w:val="36"/>
        </w:rPr>
      </w:pPr>
      <w:r>
        <w:rPr>
          <w:rFonts w:hint="eastAsia" w:ascii="仿宋_GB2312" w:hAnsi="宋体" w:eastAsia="仿宋_GB2312"/>
          <w:b/>
          <w:sz w:val="36"/>
          <w:szCs w:val="36"/>
        </w:rPr>
        <w:t>估 价 师 声 明</w:t>
      </w:r>
    </w:p>
    <w:p>
      <w:pPr>
        <w:autoSpaceDE w:val="0"/>
        <w:autoSpaceDN w:val="0"/>
        <w:adjustRightInd w:val="0"/>
        <w:spacing w:line="360" w:lineRule="auto"/>
        <w:textAlignment w:val="bottom"/>
        <w:rPr>
          <w:rFonts w:hint="eastAsia" w:ascii="仿宋_GB2312" w:hAnsi="宋体" w:eastAsia="仿宋_GB2312"/>
          <w:sz w:val="24"/>
        </w:rPr>
      </w:pPr>
    </w:p>
    <w:p>
      <w:pPr>
        <w:autoSpaceDE w:val="0"/>
        <w:autoSpaceDN w:val="0"/>
        <w:adjustRightInd w:val="0"/>
        <w:spacing w:line="360" w:lineRule="auto"/>
        <w:textAlignment w:val="bottom"/>
        <w:rPr>
          <w:rFonts w:hint="eastAsia" w:ascii="仿宋_GB2312" w:eastAsia="仿宋_GB2312"/>
          <w:sz w:val="24"/>
        </w:rPr>
      </w:pPr>
      <w:r>
        <w:rPr>
          <w:rFonts w:hint="eastAsia" w:ascii="仿宋_GB2312" w:hAnsi="宋体" w:eastAsia="仿宋_GB2312"/>
          <w:sz w:val="24"/>
        </w:rPr>
        <w:t>我们</w:t>
      </w:r>
      <w:r>
        <w:rPr>
          <w:rFonts w:hint="eastAsia" w:ascii="仿宋_GB2312" w:eastAsia="仿宋_GB2312"/>
          <w:sz w:val="24"/>
        </w:rPr>
        <w:t>郑重声明：</w:t>
      </w:r>
    </w:p>
    <w:p>
      <w:pPr>
        <w:autoSpaceDE w:val="0"/>
        <w:autoSpaceDN w:val="0"/>
        <w:adjustRightInd w:val="0"/>
        <w:spacing w:line="360" w:lineRule="auto"/>
        <w:ind w:firstLine="480" w:firstLineChars="200"/>
        <w:textAlignment w:val="bottom"/>
        <w:rPr>
          <w:rFonts w:hint="eastAsia" w:ascii="仿宋_GB2312" w:eastAsia="仿宋_GB2312"/>
          <w:sz w:val="24"/>
        </w:rPr>
      </w:pPr>
      <w:r>
        <w:rPr>
          <w:rFonts w:hint="eastAsia" w:ascii="仿宋_GB2312" w:eastAsia="仿宋_GB2312"/>
          <w:sz w:val="24"/>
        </w:rPr>
        <w:t>1、估价报告中陈述的事实是真实的和准确的。</w:t>
      </w:r>
    </w:p>
    <w:p>
      <w:pPr>
        <w:autoSpaceDE w:val="0"/>
        <w:autoSpaceDN w:val="0"/>
        <w:adjustRightInd w:val="0"/>
        <w:spacing w:line="360" w:lineRule="auto"/>
        <w:ind w:firstLine="480" w:firstLineChars="200"/>
        <w:textAlignment w:val="bottom"/>
        <w:rPr>
          <w:rFonts w:hint="eastAsia" w:ascii="仿宋_GB2312" w:eastAsia="仿宋_GB2312"/>
          <w:sz w:val="24"/>
        </w:rPr>
      </w:pPr>
      <w:r>
        <w:rPr>
          <w:rFonts w:hint="eastAsia" w:ascii="仿宋_GB2312" w:eastAsia="仿宋_GB2312"/>
          <w:sz w:val="24"/>
        </w:rPr>
        <w:t>2、本估价报告中的分析、意见和结论是我们自己公正的专业分析、意见和结论，但受到本估价报告中已说明的假设和限制条件的限制。</w:t>
      </w:r>
    </w:p>
    <w:p>
      <w:pPr>
        <w:autoSpaceDE w:val="0"/>
        <w:autoSpaceDN w:val="0"/>
        <w:adjustRightInd w:val="0"/>
        <w:spacing w:line="360" w:lineRule="auto"/>
        <w:ind w:firstLine="480" w:firstLineChars="200"/>
        <w:textAlignment w:val="bottom"/>
        <w:rPr>
          <w:rFonts w:hint="eastAsia" w:ascii="仿宋_GB2312" w:eastAsia="仿宋_GB2312"/>
          <w:sz w:val="24"/>
        </w:rPr>
      </w:pPr>
      <w:r>
        <w:rPr>
          <w:rFonts w:hint="eastAsia" w:ascii="仿宋_GB2312" w:eastAsia="仿宋_GB2312"/>
          <w:sz w:val="24"/>
        </w:rPr>
        <w:t>3、我们与本估价报告中的估价对象没有利害关系，也与有关当事人没有个人利害关系或偏见。</w:t>
      </w:r>
    </w:p>
    <w:p>
      <w:pPr>
        <w:autoSpaceDE w:val="0"/>
        <w:autoSpaceDN w:val="0"/>
        <w:adjustRightInd w:val="0"/>
        <w:spacing w:line="360" w:lineRule="auto"/>
        <w:ind w:firstLine="480" w:firstLineChars="200"/>
        <w:textAlignment w:val="bottom"/>
        <w:rPr>
          <w:rFonts w:hint="eastAsia" w:ascii="仿宋_GB2312" w:eastAsia="仿宋_GB2312"/>
          <w:sz w:val="24"/>
        </w:rPr>
      </w:pPr>
      <w:r>
        <w:rPr>
          <w:rFonts w:hint="eastAsia" w:ascii="仿宋_GB2312" w:eastAsia="仿宋_GB2312"/>
          <w:sz w:val="24"/>
        </w:rPr>
        <w:t>4、我们依照中华人民共和国国家标准《房地产估价规范》(GB/T 50291-2015)进行分析，形成意见和结论，撰写本估价报告。</w:t>
      </w:r>
    </w:p>
    <w:p>
      <w:pPr>
        <w:autoSpaceDE w:val="0"/>
        <w:autoSpaceDN w:val="0"/>
        <w:adjustRightInd w:val="0"/>
        <w:spacing w:line="360" w:lineRule="auto"/>
        <w:ind w:firstLine="480" w:firstLineChars="200"/>
        <w:textAlignment w:val="bottom"/>
        <w:rPr>
          <w:rFonts w:hint="eastAsia" w:ascii="仿宋_GB2312" w:hAnsi="宋体" w:eastAsia="仿宋_GB2312" w:cs="Tahoma"/>
          <w:kern w:val="0"/>
          <w:sz w:val="24"/>
        </w:rPr>
      </w:pPr>
      <w:r>
        <w:rPr>
          <w:rFonts w:hint="eastAsia" w:ascii="仿宋_GB2312" w:hAnsi="仿宋_GB2312" w:eastAsia="仿宋_GB2312"/>
          <w:sz w:val="24"/>
        </w:rPr>
        <w:t>5、本公司估价人员对估价对象进行了实地查勘</w:t>
      </w:r>
      <w:r>
        <w:rPr>
          <w:rFonts w:hint="eastAsia" w:ascii="仿宋_GB2312" w:hAnsi="仿宋_GB2312" w:eastAsia="仿宋_GB2312"/>
          <w:sz w:val="24"/>
          <w:lang w:eastAsia="zh-CN"/>
        </w:rPr>
        <w:t>，被申请人未到场，未能入室现场勘查</w:t>
      </w:r>
      <w:r>
        <w:rPr>
          <w:rFonts w:hint="eastAsia" w:ascii="仿宋_GB2312" w:hAnsi="仿宋_GB2312" w:eastAsia="仿宋_GB2312"/>
          <w:sz w:val="24"/>
        </w:rPr>
        <w:t>；</w:t>
      </w:r>
      <w:r>
        <w:rPr>
          <w:rFonts w:hint="eastAsia" w:ascii="仿宋_GB2312" w:hAnsi="宋体" w:eastAsia="仿宋_GB2312" w:cs="Tahoma"/>
          <w:kern w:val="0"/>
          <w:sz w:val="24"/>
        </w:rPr>
        <w:t>估价人员对估价对象的现场勘察仅限于其外观和使用状况，不承担对估价对象建筑质量进行调查的责任，也不承担其他被遮盖、未暴露及难以接触到的部分进行查看的责任。</w:t>
      </w:r>
    </w:p>
    <w:p>
      <w:pPr>
        <w:autoSpaceDE w:val="0"/>
        <w:autoSpaceDN w:val="0"/>
        <w:adjustRightInd w:val="0"/>
        <w:spacing w:line="360" w:lineRule="auto"/>
        <w:ind w:firstLine="480" w:firstLineChars="200"/>
        <w:textAlignment w:val="bottom"/>
        <w:rPr>
          <w:rFonts w:hint="eastAsia" w:ascii="仿宋_GB2312" w:eastAsia="仿宋_GB2312"/>
          <w:sz w:val="24"/>
        </w:rPr>
      </w:pPr>
      <w:r>
        <w:rPr>
          <w:rFonts w:hint="eastAsia" w:ascii="仿宋_GB2312" w:eastAsia="仿宋_GB2312"/>
          <w:sz w:val="24"/>
        </w:rPr>
        <w:t>6、本估价报告由我公司独立完成，没有其他人士或机构对本报告提供重要的专业帮助。</w:t>
      </w:r>
    </w:p>
    <w:p>
      <w:pPr>
        <w:autoSpaceDE w:val="0"/>
        <w:autoSpaceDN w:val="0"/>
        <w:adjustRightInd w:val="0"/>
        <w:spacing w:line="360" w:lineRule="auto"/>
        <w:ind w:firstLine="480" w:firstLineChars="200"/>
        <w:textAlignment w:val="bottom"/>
        <w:rPr>
          <w:rFonts w:hint="eastAsia" w:ascii="仿宋_GB2312" w:eastAsia="仿宋_GB2312"/>
          <w:sz w:val="24"/>
        </w:rPr>
      </w:pPr>
      <w:r>
        <w:rPr>
          <w:rFonts w:hint="eastAsia" w:ascii="仿宋_GB2312" w:eastAsia="仿宋_GB2312"/>
          <w:sz w:val="24"/>
        </w:rPr>
        <w:t>7、本估价报告仅供委托方用于估价报告中载明的目的，用于其他目的时本报告无效。本报告在有效期内使用时，估价结果应与估价报告同时完整使用。</w:t>
      </w:r>
    </w:p>
    <w:p>
      <w:pPr>
        <w:autoSpaceDE w:val="0"/>
        <w:autoSpaceDN w:val="0"/>
        <w:adjustRightInd w:val="0"/>
        <w:spacing w:line="360" w:lineRule="auto"/>
        <w:ind w:firstLine="480" w:firstLineChars="200"/>
        <w:textAlignment w:val="bottom"/>
        <w:rPr>
          <w:rFonts w:hint="eastAsia" w:ascii="仿宋_GB2312" w:eastAsia="仿宋_GB2312"/>
          <w:sz w:val="24"/>
        </w:rPr>
      </w:pPr>
      <w:r>
        <w:rPr>
          <w:rFonts w:hint="eastAsia" w:ascii="仿宋_GB2312" w:eastAsia="仿宋_GB2312"/>
          <w:sz w:val="24"/>
        </w:rPr>
        <w:t>8、未经本估价机构书面同意，委托方不得将本报告全文或部分内容公开披露，不得将本估价结果及报告用于与估价目的无关的其他用途，我公司不承担由于委托方对本报告使用不当所造成的一切后果。</w:t>
      </w:r>
    </w:p>
    <w:p>
      <w:pPr>
        <w:autoSpaceDE w:val="0"/>
        <w:autoSpaceDN w:val="0"/>
        <w:adjustRightInd w:val="0"/>
        <w:spacing w:line="360" w:lineRule="auto"/>
        <w:ind w:firstLine="480" w:firstLineChars="200"/>
        <w:textAlignment w:val="bottom"/>
        <w:rPr>
          <w:rFonts w:hint="eastAsia" w:ascii="仿宋_GB2312" w:eastAsia="仿宋_GB2312"/>
          <w:sz w:val="24"/>
        </w:rPr>
      </w:pPr>
      <w:r>
        <w:rPr>
          <w:rFonts w:hint="eastAsia" w:ascii="仿宋_GB2312" w:eastAsia="仿宋_GB2312"/>
          <w:sz w:val="24"/>
        </w:rPr>
        <w:t>9、如发现本报告内的文字、数字打印或其他原因出现误差时，请通知本机构进行更正，</w:t>
      </w:r>
      <w:r>
        <w:rPr>
          <w:rFonts w:hint="eastAsia" w:ascii="仿宋_GB2312" w:eastAsia="仿宋_GB2312"/>
          <w:sz w:val="24"/>
          <w:lang w:val="zh-CN"/>
        </w:rPr>
        <w:t>本报告复印无效。</w:t>
      </w:r>
    </w:p>
    <w:p>
      <w:pPr>
        <w:autoSpaceDE w:val="0"/>
        <w:autoSpaceDN w:val="0"/>
        <w:adjustRightInd w:val="0"/>
        <w:spacing w:line="360" w:lineRule="auto"/>
        <w:ind w:firstLine="480"/>
        <w:textAlignment w:val="bottom"/>
        <w:rPr>
          <w:rFonts w:hint="eastAsia" w:ascii="仿宋_GB2312" w:eastAsia="仿宋_GB2312"/>
          <w:sz w:val="24"/>
        </w:rPr>
      </w:pPr>
    </w:p>
    <w:p>
      <w:pPr>
        <w:autoSpaceDE w:val="0"/>
        <w:autoSpaceDN w:val="0"/>
        <w:adjustRightInd w:val="0"/>
        <w:spacing w:line="360" w:lineRule="auto"/>
        <w:textAlignment w:val="bottom"/>
        <w:rPr>
          <w:rFonts w:hint="eastAsia" w:ascii="仿宋_GB2312" w:eastAsia="仿宋_GB2312"/>
          <w:sz w:val="24"/>
        </w:rPr>
      </w:pPr>
      <w:r>
        <w:rPr>
          <w:rFonts w:hint="eastAsia" w:ascii="仿宋_GB2312" w:eastAsia="仿宋_GB2312"/>
          <w:sz w:val="24"/>
        </w:rPr>
        <w:t>注册房地产估价师：</w:t>
      </w:r>
    </w:p>
    <w:p>
      <w:pPr>
        <w:autoSpaceDE w:val="0"/>
        <w:autoSpaceDN w:val="0"/>
        <w:adjustRightInd w:val="0"/>
        <w:spacing w:line="360" w:lineRule="auto"/>
        <w:textAlignment w:val="bottom"/>
        <w:rPr>
          <w:rFonts w:hint="eastAsia" w:ascii="仿宋_GB2312" w:eastAsia="仿宋_GB2312"/>
          <w:sz w:val="24"/>
        </w:rPr>
      </w:pPr>
    </w:p>
    <w:p>
      <w:pPr>
        <w:autoSpaceDE w:val="0"/>
        <w:autoSpaceDN w:val="0"/>
        <w:adjustRightInd w:val="0"/>
        <w:spacing w:line="360" w:lineRule="auto"/>
        <w:textAlignment w:val="bottom"/>
        <w:rPr>
          <w:rFonts w:hint="eastAsia" w:ascii="仿宋_GB2312" w:eastAsia="仿宋_GB2312"/>
          <w:sz w:val="24"/>
        </w:rPr>
      </w:pPr>
      <w:r>
        <w:rPr>
          <w:rFonts w:hint="eastAsia" w:ascii="仿宋_GB2312" w:eastAsia="仿宋_GB2312"/>
          <w:sz w:val="24"/>
        </w:rPr>
        <w:t>注册房地产估价师：</w:t>
      </w:r>
    </w:p>
    <w:p>
      <w:pPr>
        <w:autoSpaceDE w:val="0"/>
        <w:autoSpaceDN w:val="0"/>
        <w:adjustRightInd w:val="0"/>
        <w:spacing w:line="360" w:lineRule="auto"/>
        <w:jc w:val="center"/>
        <w:textAlignment w:val="bottom"/>
        <w:rPr>
          <w:rFonts w:hint="eastAsia" w:ascii="仿宋_GB2312" w:hAnsi="宋体" w:eastAsia="仿宋_GB2312"/>
          <w:b/>
          <w:sz w:val="32"/>
          <w:szCs w:val="32"/>
        </w:rPr>
      </w:pPr>
    </w:p>
    <w:p>
      <w:pPr>
        <w:autoSpaceDE w:val="0"/>
        <w:autoSpaceDN w:val="0"/>
        <w:adjustRightInd w:val="0"/>
        <w:spacing w:line="360" w:lineRule="auto"/>
        <w:jc w:val="both"/>
        <w:textAlignment w:val="bottom"/>
        <w:rPr>
          <w:rFonts w:hint="eastAsia" w:ascii="仿宋_GB2312" w:hAnsi="宋体" w:eastAsia="仿宋_GB2312"/>
          <w:b/>
          <w:sz w:val="13"/>
          <w:szCs w:val="13"/>
        </w:rPr>
      </w:pPr>
    </w:p>
    <w:p>
      <w:pPr>
        <w:autoSpaceDE w:val="0"/>
        <w:autoSpaceDN w:val="0"/>
        <w:adjustRightInd w:val="0"/>
        <w:spacing w:line="360" w:lineRule="auto"/>
        <w:jc w:val="center"/>
        <w:textAlignment w:val="bottom"/>
        <w:rPr>
          <w:rFonts w:hint="eastAsia" w:ascii="仿宋_GB2312" w:hAnsi="宋体" w:eastAsia="仿宋_GB2312"/>
          <w:b/>
          <w:sz w:val="32"/>
          <w:szCs w:val="32"/>
        </w:rPr>
      </w:pPr>
      <w:r>
        <w:rPr>
          <w:rFonts w:hint="eastAsia" w:ascii="仿宋_GB2312" w:hAnsi="宋体" w:eastAsia="仿宋_GB2312"/>
          <w:b/>
          <w:sz w:val="32"/>
          <w:szCs w:val="32"/>
        </w:rPr>
        <w:t>估价的假设和限制条件</w:t>
      </w:r>
    </w:p>
    <w:p>
      <w:pPr>
        <w:autoSpaceDE w:val="0"/>
        <w:autoSpaceDN w:val="0"/>
        <w:adjustRightInd w:val="0"/>
        <w:spacing w:line="360" w:lineRule="auto"/>
        <w:jc w:val="center"/>
        <w:textAlignment w:val="bottom"/>
        <w:rPr>
          <w:rFonts w:hint="eastAsia" w:ascii="仿宋_GB2312" w:hAnsi="宋体" w:eastAsia="仿宋_GB2312"/>
          <w:b/>
          <w:sz w:val="13"/>
          <w:szCs w:val="13"/>
        </w:rPr>
      </w:pPr>
    </w:p>
    <w:p>
      <w:pPr>
        <w:pStyle w:val="14"/>
        <w:autoSpaceDE w:val="0"/>
        <w:autoSpaceDN w:val="0"/>
        <w:adjustRightInd w:val="0"/>
        <w:spacing w:line="360" w:lineRule="auto"/>
        <w:ind w:firstLine="480" w:firstLineChars="200"/>
        <w:textAlignment w:val="bottom"/>
        <w:rPr>
          <w:rFonts w:hint="eastAsia" w:ascii="仿宋_GB2312" w:hAnsi="仿宋_GB2312" w:eastAsia="仿宋_GB2312" w:cs="仿宋_GB2312"/>
          <w:sz w:val="24"/>
          <w:highlight w:val="yellow"/>
        </w:rPr>
      </w:pPr>
      <w:r>
        <w:rPr>
          <w:rFonts w:hint="eastAsia" w:ascii="仿宋_GB2312" w:eastAsia="仿宋_GB2312"/>
          <w:sz w:val="24"/>
        </w:rPr>
        <w:t>一、估</w:t>
      </w:r>
      <w:r>
        <w:rPr>
          <w:rFonts w:hint="eastAsia" w:ascii="仿宋_GB2312" w:hAnsi="仿宋_GB2312" w:eastAsia="仿宋_GB2312" w:cs="仿宋_GB2312"/>
          <w:sz w:val="24"/>
        </w:rPr>
        <w:t>价对象为</w:t>
      </w:r>
      <w:r>
        <w:rPr>
          <w:rFonts w:hint="eastAsia" w:hAnsi="仿宋_GB2312" w:cs="仿宋_GB2312"/>
          <w:sz w:val="24"/>
          <w:lang w:eastAsia="zh-CN"/>
        </w:rPr>
        <w:t>黄骅市迎宾路东侧水产公寓1-4-201/202室</w:t>
      </w:r>
      <w:r>
        <w:rPr>
          <w:rFonts w:hint="eastAsia" w:ascii="仿宋_GB2312" w:hAnsi="仿宋_GB2312" w:eastAsia="仿宋_GB2312" w:cs="仿宋_GB2312"/>
          <w:sz w:val="24"/>
          <w:lang w:eastAsia="zh-CN"/>
        </w:rPr>
        <w:t>住宅</w:t>
      </w:r>
      <w:r>
        <w:rPr>
          <w:rFonts w:hint="eastAsia" w:ascii="仿宋_GB2312" w:hAnsi="仿宋_GB2312" w:eastAsia="仿宋_GB2312" w:cs="仿宋_GB2312"/>
          <w:sz w:val="24"/>
        </w:rPr>
        <w:t>，</w:t>
      </w:r>
      <w:r>
        <w:rPr>
          <w:rFonts w:hint="eastAsia" w:hAnsi="宋体"/>
          <w:kern w:val="0"/>
          <w:sz w:val="24"/>
          <w:szCs w:val="24"/>
          <w:lang w:eastAsia="zh-CN"/>
        </w:rPr>
        <w:t>产权证号为</w:t>
      </w:r>
      <w:r>
        <w:rPr>
          <w:rFonts w:hint="eastAsia" w:hAnsi="宋体"/>
          <w:kern w:val="0"/>
          <w:sz w:val="24"/>
          <w:szCs w:val="24"/>
          <w:lang w:val="en-US" w:eastAsia="zh-CN"/>
        </w:rPr>
        <w:t>30008097号，</w:t>
      </w:r>
      <w:r>
        <w:rPr>
          <w:rFonts w:hint="eastAsia" w:hAnsi="仿宋_GB2312" w:cs="仿宋_GB2312"/>
          <w:sz w:val="24"/>
          <w:lang w:eastAsia="zh-CN"/>
        </w:rPr>
        <w:t>产权人</w:t>
      </w:r>
      <w:r>
        <w:rPr>
          <w:rFonts w:hint="eastAsia" w:ascii="仿宋_GB2312" w:hAnsi="仿宋_GB2312" w:eastAsia="仿宋_GB2312" w:cs="仿宋_GB2312"/>
          <w:sz w:val="24"/>
          <w:lang w:eastAsia="zh-CN"/>
        </w:rPr>
        <w:t>为</w:t>
      </w:r>
      <w:r>
        <w:rPr>
          <w:rFonts w:hint="eastAsia" w:hAnsi="仿宋_GB2312" w:cs="仿宋_GB2312"/>
          <w:sz w:val="24"/>
          <w:lang w:eastAsia="zh-CN"/>
        </w:rPr>
        <w:t>袁绍辉</w:t>
      </w:r>
      <w:r>
        <w:rPr>
          <w:rFonts w:hint="eastAsia" w:ascii="仿宋_GB2312" w:hAnsi="仿宋_GB2312" w:eastAsia="仿宋_GB2312" w:cs="仿宋_GB2312"/>
          <w:sz w:val="24"/>
          <w:lang w:eastAsia="zh-CN"/>
        </w:rPr>
        <w:t>，</w:t>
      </w:r>
      <w:r>
        <w:rPr>
          <w:rFonts w:hint="eastAsia" w:ascii="仿宋_GB2312" w:hAnsi="仿宋_GB2312" w:eastAsia="仿宋_GB2312" w:cs="仿宋_GB2312"/>
          <w:kern w:val="0"/>
          <w:sz w:val="24"/>
          <w:szCs w:val="24"/>
          <w:highlight w:val="none"/>
        </w:rPr>
        <w:t>建筑面积为</w:t>
      </w:r>
      <w:r>
        <w:rPr>
          <w:rFonts w:hint="eastAsia" w:hAnsi="仿宋_GB2312" w:cs="仿宋_GB2312"/>
          <w:kern w:val="0"/>
          <w:sz w:val="24"/>
          <w:szCs w:val="24"/>
          <w:highlight w:val="none"/>
          <w:lang w:val="en-US" w:eastAsia="zh-CN"/>
        </w:rPr>
        <w:t>157.3</w:t>
      </w:r>
      <w:r>
        <w:rPr>
          <w:rFonts w:hint="eastAsia" w:ascii="仿宋_GB2312" w:hAnsi="仿宋_GB2312" w:eastAsia="仿宋_GB2312" w:cs="仿宋_GB2312"/>
          <w:kern w:val="0"/>
          <w:sz w:val="24"/>
          <w:szCs w:val="24"/>
          <w:highlight w:val="none"/>
        </w:rPr>
        <w:t>平方米</w:t>
      </w:r>
      <w:r>
        <w:rPr>
          <w:rFonts w:hint="eastAsia" w:hAnsi="仿宋_GB2312" w:cs="仿宋_GB2312"/>
          <w:kern w:val="0"/>
          <w:sz w:val="24"/>
          <w:szCs w:val="24"/>
          <w:highlight w:val="none"/>
          <w:lang w:val="en-US" w:eastAsia="zh-CN"/>
        </w:rPr>
        <w:t>，用途为住宅</w:t>
      </w:r>
      <w:r>
        <w:rPr>
          <w:rFonts w:hint="eastAsia" w:ascii="仿宋_GB2312" w:hAnsi="仿宋_GB2312" w:eastAsia="仿宋_GB2312" w:cs="仿宋_GB2312"/>
          <w:sz w:val="24"/>
          <w:highlight w:val="none"/>
        </w:rPr>
        <w:t>。</w:t>
      </w:r>
    </w:p>
    <w:p>
      <w:pPr>
        <w:spacing w:line="360" w:lineRule="auto"/>
        <w:ind w:firstLine="480" w:firstLineChars="200"/>
        <w:rPr>
          <w:rFonts w:hint="eastAsia" w:ascii="仿宋_GB2312" w:eastAsia="仿宋_GB2312"/>
          <w:sz w:val="24"/>
        </w:rPr>
      </w:pPr>
      <w:r>
        <w:rPr>
          <w:rFonts w:hint="eastAsia" w:ascii="仿宋_GB2312" w:eastAsia="仿宋_GB2312"/>
          <w:sz w:val="24"/>
        </w:rPr>
        <w:t>二、本报告所称评估价格，系指我们对所评估房地产在现有用途不变并在价值时点之状况和外部经济环境前提下，为本报告所列明的目的在估价假设和限制条件下提出的公允估值意见。</w:t>
      </w:r>
    </w:p>
    <w:p>
      <w:pPr>
        <w:pStyle w:val="14"/>
        <w:autoSpaceDE w:val="0"/>
        <w:autoSpaceDN w:val="0"/>
        <w:adjustRightInd w:val="0"/>
        <w:spacing w:line="360" w:lineRule="auto"/>
        <w:ind w:firstLine="480" w:firstLineChars="200"/>
        <w:textAlignment w:val="bottom"/>
        <w:rPr>
          <w:rFonts w:hint="eastAsia" w:hAnsi="Arial Narrow"/>
          <w:sz w:val="24"/>
          <w:szCs w:val="24"/>
        </w:rPr>
      </w:pPr>
      <w:r>
        <w:rPr>
          <w:rFonts w:hint="eastAsia" w:ascii="仿宋_GB2312" w:eastAsia="仿宋_GB2312"/>
          <w:sz w:val="24"/>
        </w:rPr>
        <w:t>三、</w:t>
      </w:r>
      <w:r>
        <w:rPr>
          <w:rFonts w:hint="eastAsia" w:hAnsi="Arial Narrow"/>
          <w:sz w:val="24"/>
          <w:szCs w:val="24"/>
        </w:rPr>
        <w:t>本次评估假设估价对象为完全产权，无抵押、租赁、典当权等他项权利存在和无法律纠纷状况下的正常市场价格。</w:t>
      </w:r>
    </w:p>
    <w:p>
      <w:pPr>
        <w:autoSpaceDE w:val="0"/>
        <w:autoSpaceDN w:val="0"/>
        <w:adjustRightInd w:val="0"/>
        <w:spacing w:line="360" w:lineRule="auto"/>
        <w:ind w:firstLine="480" w:firstLineChars="200"/>
        <w:textAlignment w:val="bottom"/>
        <w:rPr>
          <w:rFonts w:hint="eastAsia" w:ascii="仿宋_GB2312" w:eastAsia="仿宋_GB2312"/>
          <w:sz w:val="24"/>
        </w:rPr>
      </w:pPr>
      <w:r>
        <w:rPr>
          <w:rFonts w:hint="eastAsia" w:ascii="仿宋_GB2312" w:eastAsia="仿宋_GB2312"/>
          <w:sz w:val="24"/>
          <w:lang w:eastAsia="zh-CN"/>
        </w:rPr>
        <w:t>四</w:t>
      </w:r>
      <w:r>
        <w:rPr>
          <w:rFonts w:hint="eastAsia" w:ascii="仿宋_GB2312" w:eastAsia="仿宋_GB2312"/>
          <w:sz w:val="24"/>
        </w:rPr>
        <w:t>、本次评估为司法机关确定估价对象在价值时点的</w:t>
      </w:r>
      <w:r>
        <w:rPr>
          <w:rFonts w:hint="eastAsia" w:ascii="仿宋_GB2312" w:eastAsia="仿宋_GB2312"/>
          <w:sz w:val="24"/>
          <w:lang w:eastAsia="zh-CN"/>
        </w:rPr>
        <w:t>拍卖底价</w:t>
      </w:r>
      <w:r>
        <w:rPr>
          <w:rFonts w:hint="eastAsia" w:ascii="仿宋_GB2312" w:eastAsia="仿宋_GB2312"/>
          <w:sz w:val="24"/>
        </w:rPr>
        <w:t>提供价值参考依据。</w:t>
      </w:r>
    </w:p>
    <w:p>
      <w:pPr>
        <w:spacing w:line="360" w:lineRule="auto"/>
        <w:ind w:firstLine="480" w:firstLineChars="200"/>
        <w:rPr>
          <w:rFonts w:hint="eastAsia" w:ascii="仿宋_GB2312" w:eastAsia="仿宋_GB2312"/>
          <w:sz w:val="24"/>
        </w:rPr>
      </w:pPr>
      <w:r>
        <w:rPr>
          <w:rFonts w:hint="eastAsia" w:ascii="仿宋_GB2312" w:eastAsia="仿宋_GB2312"/>
          <w:sz w:val="24"/>
          <w:lang w:eastAsia="zh-CN"/>
        </w:rPr>
        <w:t>五</w:t>
      </w:r>
      <w:r>
        <w:rPr>
          <w:rFonts w:hint="eastAsia" w:ascii="仿宋_GB2312" w:eastAsia="仿宋_GB2312"/>
          <w:sz w:val="24"/>
        </w:rPr>
        <w:t>、本报告是在委托方确定提供基础文件、有关法律证明文件、数据资料的基础上做出的。委托方对所提供文件以及相关数据的真实性和可靠性负责，并且提供了与本次评估有关的所有资料，没有保留、隐瞒。</w:t>
      </w:r>
    </w:p>
    <w:p>
      <w:pPr>
        <w:spacing w:line="360" w:lineRule="auto"/>
        <w:ind w:firstLine="480" w:firstLineChars="200"/>
        <w:rPr>
          <w:rFonts w:hint="eastAsia" w:ascii="仿宋_GB2312" w:eastAsia="仿宋_GB2312"/>
          <w:sz w:val="24"/>
        </w:rPr>
      </w:pPr>
      <w:r>
        <w:rPr>
          <w:rFonts w:hint="eastAsia" w:ascii="仿宋_GB2312" w:eastAsia="仿宋_GB2312"/>
          <w:sz w:val="24"/>
          <w:lang w:eastAsia="zh-CN"/>
        </w:rPr>
        <w:t>六</w:t>
      </w:r>
      <w:r>
        <w:rPr>
          <w:rFonts w:hint="eastAsia" w:ascii="仿宋_GB2312" w:eastAsia="仿宋_GB2312"/>
          <w:sz w:val="24"/>
        </w:rPr>
        <w:t>、在评估所委托房地产市场价格时，我们未考虑估价对象房地产所欠付的抵押、担保以及如果该房地产出售则应承担的费用和税项等可能影响其价值的任何限制，我们也未对房地产评估增值额作任何纳税准备。本报告也未考虑国家宏观经济政策发生变化以及遇有自然力和其他不可抗拒力对房地产市场价格的影响。</w:t>
      </w:r>
    </w:p>
    <w:p>
      <w:pPr>
        <w:spacing w:line="360" w:lineRule="auto"/>
        <w:ind w:firstLine="480" w:firstLineChars="200"/>
        <w:rPr>
          <w:rFonts w:hint="eastAsia" w:ascii="仿宋_GB2312" w:eastAsia="仿宋_GB2312"/>
          <w:sz w:val="24"/>
        </w:rPr>
      </w:pPr>
      <w:r>
        <w:rPr>
          <w:rFonts w:hint="eastAsia" w:ascii="仿宋_GB2312" w:eastAsia="仿宋_GB2312"/>
          <w:sz w:val="24"/>
          <w:lang w:eastAsia="zh-CN"/>
        </w:rPr>
        <w:t>七</w:t>
      </w:r>
      <w:r>
        <w:rPr>
          <w:rFonts w:hint="eastAsia" w:ascii="仿宋_GB2312" w:eastAsia="仿宋_GB2312"/>
          <w:sz w:val="24"/>
        </w:rPr>
        <w:t>、自价值时点后，估价报告有效期内估价对象的质量及使用状况如发生变化，并对估价对象价值产生明显影响时，不能直接使用本估价结论。</w:t>
      </w:r>
    </w:p>
    <w:p>
      <w:pPr>
        <w:autoSpaceDE w:val="0"/>
        <w:autoSpaceDN w:val="0"/>
        <w:adjustRightInd w:val="0"/>
        <w:spacing w:line="360" w:lineRule="auto"/>
        <w:ind w:firstLine="480" w:firstLineChars="200"/>
        <w:textAlignment w:val="bottom"/>
        <w:rPr>
          <w:rFonts w:hint="eastAsia" w:ascii="仿宋_GB2312" w:hAnsi="宋体" w:eastAsia="仿宋_GB2312"/>
          <w:sz w:val="24"/>
        </w:rPr>
      </w:pPr>
      <w:r>
        <w:rPr>
          <w:rFonts w:hint="eastAsia" w:ascii="仿宋_GB2312" w:eastAsia="仿宋_GB2312"/>
          <w:sz w:val="24"/>
          <w:lang w:eastAsia="zh-CN"/>
        </w:rPr>
        <w:t>八</w:t>
      </w:r>
      <w:r>
        <w:rPr>
          <w:rFonts w:hint="eastAsia" w:ascii="仿宋_GB2312" w:eastAsia="仿宋_GB2312"/>
          <w:sz w:val="24"/>
        </w:rPr>
        <w:t>、本次估价是以估价对象按照规划批准的用途持续有效地继续使用为假</w:t>
      </w:r>
      <w:r>
        <w:rPr>
          <w:rFonts w:hint="eastAsia" w:ascii="仿宋_GB2312" w:hAnsi="宋体" w:eastAsia="仿宋_GB2312"/>
          <w:sz w:val="24"/>
        </w:rPr>
        <w:t>设前提。</w:t>
      </w:r>
    </w:p>
    <w:p>
      <w:pPr>
        <w:autoSpaceDE w:val="0"/>
        <w:autoSpaceDN w:val="0"/>
        <w:adjustRightInd w:val="0"/>
        <w:spacing w:line="360" w:lineRule="auto"/>
        <w:ind w:firstLine="480" w:firstLineChars="200"/>
        <w:textAlignment w:val="bottom"/>
        <w:rPr>
          <w:rFonts w:hint="eastAsia" w:ascii="仿宋_GB2312" w:hAnsi="宋体" w:eastAsia="仿宋_GB2312"/>
          <w:sz w:val="24"/>
        </w:rPr>
      </w:pPr>
      <w:r>
        <w:rPr>
          <w:rFonts w:hint="eastAsia" w:ascii="仿宋_GB2312" w:eastAsia="仿宋_GB2312"/>
          <w:sz w:val="24"/>
          <w:lang w:eastAsia="zh-CN"/>
        </w:rPr>
        <w:t>九</w:t>
      </w:r>
      <w:r>
        <w:rPr>
          <w:rFonts w:hint="eastAsia" w:ascii="仿宋_GB2312" w:hAnsi="宋体" w:eastAsia="仿宋_GB2312"/>
          <w:sz w:val="24"/>
        </w:rPr>
        <w:t>、注册房地产估价师执行估价业务的目的是对估价对象价值进行估算并发表专业意见，对估价对象法律权属确认或发表意见超出注册房地产估价师执业范围。注册房地产估价师不具有对估价对象法律权属确认或发表意见的能力，故我们不对评估对象的法律权属提供保证，提请委托方和相关当事方注意。</w:t>
      </w:r>
    </w:p>
    <w:p>
      <w:pPr>
        <w:autoSpaceDE w:val="0"/>
        <w:autoSpaceDN w:val="0"/>
        <w:adjustRightInd w:val="0"/>
        <w:spacing w:line="360" w:lineRule="auto"/>
        <w:ind w:firstLine="480" w:firstLineChars="200"/>
        <w:textAlignment w:val="bottom"/>
        <w:rPr>
          <w:rFonts w:ascii="仿宋_GB2312" w:hAnsi="宋体" w:eastAsia="仿宋_GB2312"/>
          <w:sz w:val="24"/>
        </w:rPr>
      </w:pPr>
      <w:r>
        <w:rPr>
          <w:rFonts w:hint="eastAsia" w:ascii="仿宋_GB2312" w:hAnsi="宋体" w:eastAsia="仿宋_GB2312"/>
          <w:sz w:val="24"/>
        </w:rPr>
        <w:t>十、</w:t>
      </w:r>
      <w:r>
        <w:rPr>
          <w:rFonts w:hint="eastAsia" w:ascii="仿宋_GB2312" w:eastAsia="仿宋_GB2312"/>
          <w:sz w:val="24"/>
        </w:rPr>
        <w:t>根据</w:t>
      </w:r>
      <w:r>
        <w:rPr>
          <w:rFonts w:ascii="仿宋_GB2312" w:eastAsia="仿宋_GB2312"/>
          <w:sz w:val="24"/>
        </w:rPr>
        <w:t>《</w:t>
      </w:r>
      <w:r>
        <w:rPr>
          <w:rFonts w:hint="eastAsia" w:ascii="仿宋_GB2312" w:hAnsi="新宋体" w:eastAsia="仿宋_GB2312"/>
          <w:bCs/>
          <w:color w:val="000000"/>
          <w:sz w:val="24"/>
        </w:rPr>
        <w:t>最高人民法院对外委托鉴定、评估、拍卖等工作管理规定</w:t>
      </w:r>
      <w:r>
        <w:rPr>
          <w:rFonts w:ascii="仿宋_GB2312" w:eastAsia="仿宋_GB2312"/>
          <w:sz w:val="24"/>
        </w:rPr>
        <w:t>》</w:t>
      </w:r>
      <w:r>
        <w:rPr>
          <w:rFonts w:hint="eastAsia" w:ascii="仿宋_GB2312" w:eastAsia="仿宋_GB2312"/>
          <w:sz w:val="24"/>
        </w:rPr>
        <w:t>的相关条款</w:t>
      </w:r>
      <w:r>
        <w:rPr>
          <w:rFonts w:hint="eastAsia" w:ascii="仿宋_GB2312" w:hAnsi="宋体" w:eastAsia="仿宋_GB2312"/>
          <w:sz w:val="24"/>
        </w:rPr>
        <w:t>，</w:t>
      </w:r>
      <w:r>
        <w:rPr>
          <w:rFonts w:ascii="仿宋_GB2312" w:hAnsi="宋体" w:eastAsia="仿宋_GB2312"/>
          <w:sz w:val="24"/>
        </w:rPr>
        <w:t>当事人或者其他利害关系人对评估报告有异议的，可以在收到评估报告后10日内以书面形式向</w:t>
      </w:r>
      <w:r>
        <w:rPr>
          <w:rFonts w:hint="eastAsia" w:ascii="仿宋_GB2312" w:eastAsia="仿宋_GB2312"/>
          <w:sz w:val="24"/>
        </w:rPr>
        <w:t>人民法院</w:t>
      </w:r>
      <w:r>
        <w:rPr>
          <w:rFonts w:ascii="仿宋_GB2312" w:hAnsi="宋体" w:eastAsia="仿宋_GB2312"/>
          <w:sz w:val="24"/>
        </w:rPr>
        <w:t>提出。</w:t>
      </w:r>
    </w:p>
    <w:p>
      <w:pPr>
        <w:autoSpaceDE w:val="0"/>
        <w:autoSpaceDN w:val="0"/>
        <w:adjustRightInd w:val="0"/>
        <w:spacing w:line="360" w:lineRule="auto"/>
        <w:ind w:firstLine="480" w:firstLineChars="200"/>
        <w:textAlignment w:val="bottom"/>
        <w:rPr>
          <w:rFonts w:hint="eastAsia" w:ascii="仿宋_GB2312" w:hAnsi="宋体" w:eastAsia="仿宋_GB2312"/>
          <w:sz w:val="24"/>
        </w:rPr>
      </w:pPr>
    </w:p>
    <w:p>
      <w:pPr>
        <w:tabs>
          <w:tab w:val="left" w:pos="2760"/>
          <w:tab w:val="center" w:pos="4337"/>
        </w:tabs>
        <w:autoSpaceDE w:val="0"/>
        <w:autoSpaceDN w:val="0"/>
        <w:adjustRightInd w:val="0"/>
        <w:spacing w:line="360" w:lineRule="auto"/>
        <w:jc w:val="center"/>
        <w:textAlignment w:val="bottom"/>
        <w:rPr>
          <w:rFonts w:hint="eastAsia" w:ascii="仿宋_GB2312" w:hAnsi="宋体" w:eastAsia="仿宋_GB2312"/>
          <w:b/>
          <w:sz w:val="44"/>
          <w:szCs w:val="44"/>
        </w:rPr>
      </w:pPr>
    </w:p>
    <w:p>
      <w:pPr>
        <w:tabs>
          <w:tab w:val="left" w:pos="2760"/>
          <w:tab w:val="center" w:pos="4337"/>
        </w:tabs>
        <w:autoSpaceDE w:val="0"/>
        <w:autoSpaceDN w:val="0"/>
        <w:adjustRightInd w:val="0"/>
        <w:spacing w:line="360" w:lineRule="auto"/>
        <w:jc w:val="center"/>
        <w:textAlignment w:val="bottom"/>
        <w:rPr>
          <w:rFonts w:hint="eastAsia" w:ascii="仿宋_GB2312" w:hAnsi="宋体" w:eastAsia="仿宋_GB2312"/>
          <w:b/>
          <w:sz w:val="44"/>
          <w:szCs w:val="44"/>
        </w:rPr>
      </w:pPr>
      <w:r>
        <w:rPr>
          <w:rFonts w:hint="eastAsia" w:ascii="仿宋_GB2312" w:hAnsi="宋体" w:eastAsia="仿宋_GB2312"/>
          <w:b/>
          <w:sz w:val="44"/>
          <w:szCs w:val="44"/>
        </w:rPr>
        <w:t>估价结果报告</w:t>
      </w:r>
    </w:p>
    <w:p>
      <w:pPr>
        <w:autoSpaceDE w:val="0"/>
        <w:autoSpaceDN w:val="0"/>
        <w:adjustRightInd w:val="0"/>
        <w:spacing w:line="360" w:lineRule="auto"/>
        <w:ind w:firstLine="482" w:firstLineChars="200"/>
        <w:textAlignment w:val="bottom"/>
        <w:rPr>
          <w:rFonts w:hint="eastAsia" w:ascii="仿宋_GB2312" w:hAnsi="宋体" w:eastAsia="仿宋_GB2312"/>
          <w:sz w:val="24"/>
        </w:rPr>
      </w:pPr>
      <w:r>
        <w:rPr>
          <w:rFonts w:hint="eastAsia" w:ascii="仿宋_GB2312" w:hAnsi="宋体" w:eastAsia="仿宋_GB2312"/>
          <w:b/>
          <w:sz w:val="24"/>
        </w:rPr>
        <w:t>一、委 托 方</w:t>
      </w:r>
    </w:p>
    <w:p>
      <w:pPr>
        <w:tabs>
          <w:tab w:val="left" w:pos="0"/>
        </w:tabs>
        <w:autoSpaceDE w:val="0"/>
        <w:autoSpaceDN w:val="0"/>
        <w:adjustRightInd w:val="0"/>
        <w:spacing w:line="360" w:lineRule="auto"/>
        <w:ind w:firstLine="480" w:firstLineChars="200"/>
        <w:textAlignment w:val="bottom"/>
        <w:rPr>
          <w:rFonts w:hint="eastAsia" w:ascii="仿宋_GB2312" w:hAnsi="宋体" w:eastAsia="仿宋_GB2312"/>
          <w:sz w:val="24"/>
        </w:rPr>
      </w:pPr>
      <w:r>
        <w:rPr>
          <w:rFonts w:hint="eastAsia" w:ascii="仿宋_GB2312" w:hAnsi="宋体" w:eastAsia="仿宋_GB2312"/>
          <w:sz w:val="24"/>
        </w:rPr>
        <w:t>单位名称：</w:t>
      </w:r>
      <w:r>
        <w:rPr>
          <w:rFonts w:hint="eastAsia" w:ascii="仿宋_GB2312" w:hAnsi="宋体" w:eastAsia="仿宋_GB2312"/>
          <w:sz w:val="24"/>
          <w:lang w:eastAsia="zh-CN"/>
        </w:rPr>
        <w:t>黄骅市人民法院</w:t>
      </w:r>
    </w:p>
    <w:p>
      <w:pPr>
        <w:autoSpaceDE w:val="0"/>
        <w:autoSpaceDN w:val="0"/>
        <w:adjustRightInd w:val="0"/>
        <w:spacing w:line="360" w:lineRule="auto"/>
        <w:ind w:firstLine="482" w:firstLineChars="200"/>
        <w:textAlignment w:val="bottom"/>
        <w:rPr>
          <w:rFonts w:hint="eastAsia" w:ascii="仿宋_GB2312" w:hAnsi="宋体" w:eastAsia="仿宋_GB2312"/>
          <w:b/>
          <w:sz w:val="24"/>
        </w:rPr>
      </w:pPr>
      <w:r>
        <w:rPr>
          <w:rFonts w:hint="eastAsia" w:ascii="仿宋_GB2312" w:hAnsi="宋体" w:eastAsia="仿宋_GB2312"/>
          <w:b/>
          <w:sz w:val="24"/>
        </w:rPr>
        <w:t>二、估 价 方</w:t>
      </w:r>
    </w:p>
    <w:p>
      <w:pPr>
        <w:adjustRightInd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机 构 名 称：河北中评房地产估价有限公司</w:t>
      </w:r>
    </w:p>
    <w:p>
      <w:pPr>
        <w:adjustRightInd w:val="0"/>
        <w:spacing w:line="360" w:lineRule="auto"/>
        <w:ind w:firstLine="480" w:firstLineChars="200"/>
        <w:rPr>
          <w:rFonts w:hint="eastAsia" w:ascii="仿宋_GB2312" w:hAnsi="宋体" w:eastAsia="仿宋_GB2312"/>
          <w:sz w:val="24"/>
        </w:rPr>
      </w:pPr>
      <w:r>
        <w:rPr>
          <w:rFonts w:hint="eastAsia" w:ascii="仿宋_GB2312" w:hAnsi="宋体" w:eastAsia="仿宋_GB2312"/>
          <w:sz w:val="24"/>
        </w:rPr>
        <w:t>法 定 代 表 人：李庆新</w:t>
      </w:r>
    </w:p>
    <w:p>
      <w:pPr>
        <w:adjustRightInd w:val="0"/>
        <w:spacing w:line="360" w:lineRule="auto"/>
        <w:ind w:firstLine="480" w:firstLineChars="200"/>
        <w:rPr>
          <w:rFonts w:hint="eastAsia" w:ascii="仿宋_GB2312" w:eastAsia="仿宋_GB2312"/>
          <w:iCs/>
          <w:sz w:val="24"/>
        </w:rPr>
      </w:pPr>
      <w:r>
        <w:rPr>
          <w:rFonts w:hint="eastAsia" w:ascii="仿宋_GB2312" w:hAnsi="宋体" w:eastAsia="仿宋_GB2312"/>
          <w:sz w:val="24"/>
        </w:rPr>
        <w:t>住       所：</w:t>
      </w:r>
      <w:r>
        <w:rPr>
          <w:rFonts w:hint="eastAsia" w:ascii="仿宋_GB2312" w:eastAsia="仿宋_GB2312"/>
          <w:iCs/>
          <w:sz w:val="24"/>
        </w:rPr>
        <w:t>沧州市解放西路颐和广场13号楼505室</w:t>
      </w:r>
    </w:p>
    <w:p>
      <w:pPr>
        <w:adjustRightInd w:val="0"/>
        <w:spacing w:line="360" w:lineRule="auto"/>
        <w:ind w:firstLine="480" w:firstLineChars="200"/>
        <w:rPr>
          <w:rFonts w:hint="eastAsia" w:ascii="仿宋_GB2312" w:eastAsia="仿宋_GB2312"/>
          <w:sz w:val="24"/>
        </w:rPr>
      </w:pPr>
      <w:r>
        <w:rPr>
          <w:rFonts w:hint="eastAsia" w:ascii="仿宋_GB2312" w:eastAsia="仿宋_GB2312"/>
          <w:sz w:val="24"/>
        </w:rPr>
        <w:t>统一社会信用代码：91130900795483519D</w:t>
      </w:r>
    </w:p>
    <w:p>
      <w:pPr>
        <w:adjustRightInd w:val="0"/>
        <w:spacing w:line="360" w:lineRule="auto"/>
        <w:ind w:firstLine="480" w:firstLineChars="200"/>
        <w:rPr>
          <w:rFonts w:hint="eastAsia" w:ascii="仿宋_GB2312" w:eastAsia="仿宋_GB2312"/>
          <w:sz w:val="24"/>
        </w:rPr>
      </w:pPr>
      <w:r>
        <w:rPr>
          <w:rFonts w:hint="eastAsia" w:ascii="仿宋_GB2312" w:eastAsia="仿宋_GB2312"/>
          <w:sz w:val="24"/>
        </w:rPr>
        <w:t>备 案 等 级：贰级</w:t>
      </w:r>
    </w:p>
    <w:p>
      <w:pPr>
        <w:adjustRightInd w:val="0"/>
        <w:spacing w:line="360" w:lineRule="auto"/>
        <w:ind w:firstLine="480" w:firstLineChars="200"/>
        <w:rPr>
          <w:rFonts w:hint="eastAsia" w:ascii="仿宋_GB2312" w:eastAsia="仿宋_GB2312"/>
          <w:sz w:val="24"/>
        </w:rPr>
      </w:pPr>
      <w:r>
        <w:rPr>
          <w:rFonts w:hint="eastAsia" w:ascii="仿宋_GB2312" w:eastAsia="仿宋_GB2312"/>
          <w:sz w:val="24"/>
        </w:rPr>
        <w:t>证 书 编 号：冀建房估（沧）18号</w:t>
      </w:r>
    </w:p>
    <w:p>
      <w:pPr>
        <w:autoSpaceDE w:val="0"/>
        <w:autoSpaceDN w:val="0"/>
        <w:adjustRightInd w:val="0"/>
        <w:spacing w:line="360" w:lineRule="auto"/>
        <w:ind w:firstLine="480" w:firstLineChars="200"/>
        <w:textAlignment w:val="bottom"/>
        <w:rPr>
          <w:rFonts w:hint="eastAsia" w:ascii="仿宋_GB2312" w:eastAsia="仿宋_GB2312"/>
          <w:sz w:val="24"/>
        </w:rPr>
      </w:pPr>
      <w:r>
        <w:rPr>
          <w:rFonts w:hint="eastAsia" w:ascii="仿宋_GB2312" w:eastAsia="仿宋_GB2312"/>
          <w:sz w:val="24"/>
        </w:rPr>
        <w:t>有 效 期 限：截至2020年12月5日</w:t>
      </w:r>
    </w:p>
    <w:p>
      <w:pPr>
        <w:autoSpaceDE w:val="0"/>
        <w:autoSpaceDN w:val="0"/>
        <w:adjustRightInd w:val="0"/>
        <w:spacing w:line="360" w:lineRule="auto"/>
        <w:ind w:firstLine="482" w:firstLineChars="200"/>
        <w:textAlignment w:val="bottom"/>
        <w:rPr>
          <w:rFonts w:hint="eastAsia" w:ascii="仿宋_GB2312" w:hAnsi="宋体" w:eastAsia="仿宋_GB2312"/>
          <w:b/>
          <w:sz w:val="24"/>
        </w:rPr>
      </w:pPr>
      <w:r>
        <w:rPr>
          <w:rFonts w:hint="eastAsia" w:ascii="仿宋_GB2312" w:hAnsi="宋体" w:eastAsia="仿宋_GB2312"/>
          <w:b/>
          <w:sz w:val="24"/>
        </w:rPr>
        <w:t>三、估价对象</w:t>
      </w:r>
    </w:p>
    <w:p>
      <w:pPr>
        <w:tabs>
          <w:tab w:val="left" w:pos="0"/>
        </w:tabs>
        <w:autoSpaceDE w:val="0"/>
        <w:autoSpaceDN w:val="0"/>
        <w:adjustRightInd w:val="0"/>
        <w:spacing w:line="360" w:lineRule="auto"/>
        <w:ind w:firstLine="480" w:firstLineChars="200"/>
        <w:textAlignment w:val="bottom"/>
        <w:rPr>
          <w:rFonts w:hint="eastAsia" w:ascii="仿宋_GB2312" w:hAnsi="宋体" w:eastAsia="仿宋_GB2312"/>
          <w:sz w:val="24"/>
        </w:rPr>
      </w:pPr>
      <w:r>
        <w:rPr>
          <w:rFonts w:hint="eastAsia" w:ascii="仿宋_GB2312" w:eastAsia="仿宋_GB2312"/>
          <w:sz w:val="24"/>
        </w:rPr>
        <w:t>（一）</w:t>
      </w:r>
      <w:r>
        <w:rPr>
          <w:rFonts w:hint="eastAsia" w:ascii="仿宋_GB2312" w:hAnsi="宋体" w:eastAsia="仿宋_GB2312"/>
          <w:sz w:val="24"/>
        </w:rPr>
        <w:t>估价对象位置描述</w:t>
      </w:r>
    </w:p>
    <w:p>
      <w:pPr>
        <w:pStyle w:val="14"/>
        <w:autoSpaceDE w:val="0"/>
        <w:autoSpaceDN w:val="0"/>
        <w:adjustRightInd w:val="0"/>
        <w:spacing w:line="360" w:lineRule="auto"/>
        <w:ind w:firstLine="480" w:firstLineChars="200"/>
        <w:textAlignment w:val="bottom"/>
        <w:rPr>
          <w:rFonts w:hint="eastAsia"/>
          <w:sz w:val="24"/>
          <w:szCs w:val="24"/>
        </w:rPr>
      </w:pPr>
      <w:r>
        <w:rPr>
          <w:rFonts w:hint="eastAsia"/>
          <w:sz w:val="24"/>
          <w:szCs w:val="24"/>
        </w:rPr>
        <w:t>本次估价对象位于</w:t>
      </w:r>
      <w:r>
        <w:rPr>
          <w:rFonts w:hint="eastAsia" w:hAnsi="宋体"/>
          <w:sz w:val="24"/>
          <w:lang w:eastAsia="zh-CN"/>
        </w:rPr>
        <w:t>黄骅市水产公寓，临迎宾路</w:t>
      </w:r>
      <w:r>
        <w:rPr>
          <w:rFonts w:hint="eastAsia" w:hAnsi="宋体"/>
          <w:kern w:val="0"/>
          <w:sz w:val="24"/>
          <w:szCs w:val="24"/>
          <w:highlight w:val="none"/>
        </w:rPr>
        <w:t>。</w:t>
      </w:r>
    </w:p>
    <w:p>
      <w:pPr>
        <w:pStyle w:val="14"/>
        <w:autoSpaceDE w:val="0"/>
        <w:autoSpaceDN w:val="0"/>
        <w:adjustRightInd w:val="0"/>
        <w:spacing w:line="360" w:lineRule="auto"/>
        <w:ind w:firstLine="480" w:firstLineChars="200"/>
        <w:textAlignment w:val="bottom"/>
        <w:rPr>
          <w:rFonts w:hint="eastAsia"/>
          <w:sz w:val="24"/>
          <w:szCs w:val="24"/>
        </w:rPr>
      </w:pPr>
      <w:r>
        <w:rPr>
          <w:rFonts w:hint="eastAsia"/>
          <w:sz w:val="24"/>
          <w:szCs w:val="24"/>
        </w:rPr>
        <w:t>（二）估价对象权属及现状</w:t>
      </w:r>
    </w:p>
    <w:p>
      <w:pPr>
        <w:autoSpaceDE w:val="0"/>
        <w:autoSpaceDN w:val="0"/>
        <w:adjustRightInd w:val="0"/>
        <w:spacing w:line="360" w:lineRule="auto"/>
        <w:ind w:firstLine="480" w:firstLineChars="200"/>
        <w:textAlignment w:val="bottom"/>
        <w:rPr>
          <w:rFonts w:hint="eastAsia" w:ascii="仿宋_GB2312" w:hAnsi="宋体" w:eastAsia="仿宋_GB2312"/>
          <w:sz w:val="24"/>
        </w:rPr>
      </w:pPr>
      <w:r>
        <w:rPr>
          <w:rFonts w:hint="eastAsia" w:ascii="仿宋_GB2312" w:eastAsia="仿宋_GB2312"/>
          <w:sz w:val="24"/>
        </w:rPr>
        <w:t>1、</w:t>
      </w:r>
      <w:r>
        <w:rPr>
          <w:rFonts w:hint="eastAsia" w:ascii="仿宋_GB2312" w:hAnsi="宋体" w:eastAsia="仿宋_GB2312"/>
          <w:sz w:val="24"/>
        </w:rPr>
        <w:t>房地产权属描述</w:t>
      </w:r>
    </w:p>
    <w:p>
      <w:pPr>
        <w:autoSpaceDE w:val="0"/>
        <w:autoSpaceDN w:val="0"/>
        <w:adjustRightInd w:val="0"/>
        <w:spacing w:line="360" w:lineRule="auto"/>
        <w:ind w:firstLine="480" w:firstLineChars="200"/>
        <w:textAlignment w:val="bottom"/>
        <w:rPr>
          <w:rFonts w:hint="eastAsia" w:ascii="仿宋_GB2312" w:eastAsia="仿宋_GB2312"/>
          <w:sz w:val="24"/>
          <w:lang w:eastAsia="zh-CN"/>
        </w:rPr>
      </w:pPr>
      <w:r>
        <w:rPr>
          <w:rFonts w:hint="eastAsia" w:ascii="仿宋_GB2312" w:eastAsia="仿宋_GB2312"/>
          <w:sz w:val="24"/>
        </w:rPr>
        <w:t>估价对象</w:t>
      </w:r>
      <w:r>
        <w:rPr>
          <w:rFonts w:hint="eastAsia" w:ascii="仿宋_GB2312" w:eastAsia="仿宋_GB2312"/>
          <w:sz w:val="24"/>
          <w:lang w:eastAsia="zh-CN"/>
        </w:rPr>
        <w:t>产权证号为</w:t>
      </w:r>
      <w:r>
        <w:rPr>
          <w:rFonts w:hint="eastAsia" w:ascii="仿宋_GB2312" w:eastAsia="仿宋_GB2312"/>
          <w:sz w:val="24"/>
          <w:lang w:val="en-US" w:eastAsia="zh-CN"/>
        </w:rPr>
        <w:t>30008097号，</w:t>
      </w:r>
      <w:r>
        <w:rPr>
          <w:rFonts w:hint="eastAsia" w:ascii="仿宋_GB2312" w:eastAsia="仿宋_GB2312"/>
          <w:sz w:val="24"/>
          <w:lang w:eastAsia="zh-CN"/>
        </w:rPr>
        <w:t>产权人为袁绍辉，建筑面积为</w:t>
      </w:r>
      <w:r>
        <w:rPr>
          <w:rFonts w:hint="eastAsia" w:ascii="仿宋_GB2312" w:eastAsia="仿宋_GB2312"/>
          <w:sz w:val="24"/>
          <w:lang w:val="en-US" w:eastAsia="zh-CN"/>
        </w:rPr>
        <w:t>157.3</w:t>
      </w:r>
      <w:r>
        <w:rPr>
          <w:rFonts w:hint="eastAsia" w:ascii="仿宋_GB2312" w:eastAsia="仿宋_GB2312"/>
          <w:sz w:val="24"/>
          <w:lang w:eastAsia="zh-CN"/>
        </w:rPr>
        <w:t>平方米，用途为住宅</w:t>
      </w:r>
      <w:r>
        <w:rPr>
          <w:rFonts w:hint="eastAsia" w:ascii="仿宋_GB2312" w:eastAsia="仿宋_GB2312"/>
          <w:sz w:val="24"/>
          <w:lang w:val="en-US" w:eastAsia="zh-CN"/>
        </w:rPr>
        <w:t>。</w:t>
      </w:r>
    </w:p>
    <w:p>
      <w:pPr>
        <w:pStyle w:val="11"/>
        <w:adjustRightInd w:val="0"/>
        <w:spacing w:after="0" w:line="360" w:lineRule="auto"/>
        <w:ind w:firstLine="480" w:firstLineChars="200"/>
        <w:rPr>
          <w:rFonts w:hint="eastAsia" w:ascii="仿宋_GB2312" w:hAnsi="宋体" w:eastAsia="仿宋_GB2312"/>
          <w:sz w:val="24"/>
        </w:rPr>
      </w:pPr>
      <w:r>
        <w:rPr>
          <w:rFonts w:hint="eastAsia" w:ascii="仿宋_GB2312" w:eastAsia="仿宋_GB2312"/>
          <w:sz w:val="24"/>
        </w:rPr>
        <w:t>2、</w:t>
      </w:r>
      <w:r>
        <w:rPr>
          <w:rFonts w:hint="eastAsia" w:ascii="仿宋_GB2312" w:hAnsi="宋体" w:eastAsia="仿宋_GB2312"/>
          <w:sz w:val="24"/>
        </w:rPr>
        <w:t>权利状况</w:t>
      </w:r>
    </w:p>
    <w:p>
      <w:pPr>
        <w:pStyle w:val="14"/>
        <w:autoSpaceDE w:val="0"/>
        <w:autoSpaceDN w:val="0"/>
        <w:adjustRightInd w:val="0"/>
        <w:spacing w:line="360" w:lineRule="auto"/>
        <w:ind w:firstLine="480" w:firstLineChars="200"/>
        <w:textAlignment w:val="bottom"/>
        <w:rPr>
          <w:rFonts w:hint="eastAsia" w:hAnsi="Arial Narrow"/>
          <w:sz w:val="24"/>
          <w:szCs w:val="24"/>
        </w:rPr>
      </w:pPr>
      <w:r>
        <w:rPr>
          <w:rFonts w:hint="eastAsia" w:hAnsi="Arial Narrow"/>
          <w:sz w:val="24"/>
          <w:szCs w:val="24"/>
          <w:lang w:eastAsia="zh-CN"/>
        </w:rPr>
        <w:t>估价对象已查封，</w:t>
      </w:r>
      <w:r>
        <w:rPr>
          <w:rFonts w:hint="eastAsia" w:hAnsi="Arial Narrow"/>
          <w:sz w:val="24"/>
          <w:szCs w:val="24"/>
        </w:rPr>
        <w:t>本次评估假设估价对象为完全产权，无抵押、租赁、典当权等他项权利存在和无法律纠纷状况下的正常市场价格。</w:t>
      </w:r>
    </w:p>
    <w:p>
      <w:pPr>
        <w:autoSpaceDE w:val="0"/>
        <w:autoSpaceDN w:val="0"/>
        <w:adjustRightInd w:val="0"/>
        <w:spacing w:line="360" w:lineRule="auto"/>
        <w:ind w:firstLine="480" w:firstLineChars="200"/>
        <w:textAlignment w:val="bottom"/>
        <w:rPr>
          <w:rFonts w:hint="eastAsia" w:ascii="仿宋_GB2312" w:hAnsi="宋体" w:eastAsia="仿宋_GB2312"/>
          <w:sz w:val="24"/>
        </w:rPr>
      </w:pPr>
      <w:r>
        <w:rPr>
          <w:rFonts w:hint="eastAsia" w:ascii="仿宋_GB2312" w:hAnsi="宋体" w:eastAsia="仿宋_GB2312"/>
          <w:sz w:val="24"/>
        </w:rPr>
        <w:t>3、估价对象现状</w:t>
      </w:r>
    </w:p>
    <w:p>
      <w:pPr>
        <w:pStyle w:val="14"/>
        <w:autoSpaceDE w:val="0"/>
        <w:autoSpaceDN w:val="0"/>
        <w:adjustRightInd w:val="0"/>
        <w:spacing w:line="360" w:lineRule="auto"/>
        <w:ind w:firstLine="480" w:firstLineChars="200"/>
        <w:textAlignment w:val="bottom"/>
        <w:rPr>
          <w:rFonts w:hint="eastAsia"/>
        </w:rPr>
      </w:pPr>
      <w:r>
        <w:rPr>
          <w:rFonts w:hint="eastAsia" w:ascii="仿宋_GB2312" w:eastAsia="仿宋_GB2312"/>
          <w:sz w:val="24"/>
        </w:rPr>
        <w:t>本次估</w:t>
      </w:r>
      <w:r>
        <w:rPr>
          <w:rFonts w:hint="eastAsia" w:ascii="仿宋_GB2312" w:hAnsi="Arial Narrow" w:eastAsia="仿宋_GB2312"/>
          <w:sz w:val="24"/>
        </w:rPr>
        <w:t>价对象</w:t>
      </w:r>
      <w:r>
        <w:rPr>
          <w:rFonts w:hint="eastAsia" w:ascii="仿宋_GB2312" w:eastAsia="仿宋_GB2312"/>
          <w:sz w:val="24"/>
        </w:rPr>
        <w:t>为</w:t>
      </w:r>
      <w:r>
        <w:rPr>
          <w:rFonts w:hint="eastAsia" w:hAnsi="宋体"/>
          <w:sz w:val="24"/>
          <w:lang w:eastAsia="zh-CN"/>
        </w:rPr>
        <w:t>黄骅市迎宾路东侧水产公寓1-4-201、202室</w:t>
      </w:r>
      <w:r>
        <w:rPr>
          <w:rFonts w:hint="eastAsia" w:ascii="仿宋_GB2312" w:hAnsi="宋体" w:eastAsia="仿宋_GB2312"/>
          <w:sz w:val="24"/>
          <w:lang w:eastAsia="zh-CN"/>
        </w:rPr>
        <w:t>住宅</w:t>
      </w:r>
      <w:r>
        <w:rPr>
          <w:rFonts w:hint="eastAsia" w:ascii="仿宋_GB2312" w:eastAsia="仿宋_GB2312"/>
          <w:sz w:val="24"/>
        </w:rPr>
        <w:t>，</w:t>
      </w:r>
      <w:r>
        <w:rPr>
          <w:rFonts w:hint="eastAsia" w:ascii="仿宋_GB2312" w:eastAsia="仿宋_GB2312"/>
          <w:sz w:val="24"/>
          <w:lang w:eastAsia="zh-CN"/>
        </w:rPr>
        <w:t>共</w:t>
      </w:r>
      <w:r>
        <w:rPr>
          <w:rFonts w:hint="eastAsia" w:ascii="仿宋_GB2312" w:eastAsia="仿宋_GB2312"/>
          <w:sz w:val="24"/>
          <w:lang w:val="en-US" w:eastAsia="zh-CN"/>
        </w:rPr>
        <w:t>5层，</w:t>
      </w:r>
      <w:r>
        <w:rPr>
          <w:rFonts w:hint="eastAsia" w:ascii="仿宋_GB2312" w:hAnsi="宋体" w:eastAsia="仿宋_GB2312"/>
          <w:sz w:val="24"/>
          <w:lang w:eastAsia="zh-CN"/>
        </w:rPr>
        <w:t>住宅</w:t>
      </w:r>
      <w:r>
        <w:rPr>
          <w:rFonts w:hint="eastAsia" w:ascii="仿宋_GB2312" w:hAnsi="宋体" w:eastAsia="仿宋_GB2312"/>
          <w:sz w:val="24"/>
        </w:rPr>
        <w:t>位于</w:t>
      </w:r>
      <w:r>
        <w:rPr>
          <w:rFonts w:hint="eastAsia" w:hAnsi="宋体"/>
          <w:sz w:val="24"/>
          <w:highlight w:val="none"/>
          <w:lang w:val="en-US" w:eastAsia="zh-CN"/>
        </w:rPr>
        <w:t>2</w:t>
      </w:r>
      <w:r>
        <w:rPr>
          <w:rFonts w:hint="eastAsia" w:ascii="仿宋_GB2312" w:hAnsi="宋体" w:eastAsia="仿宋_GB2312"/>
          <w:sz w:val="24"/>
          <w:highlight w:val="none"/>
        </w:rPr>
        <w:t>层</w:t>
      </w:r>
      <w:r>
        <w:rPr>
          <w:rFonts w:hint="eastAsia" w:hAnsi="宋体"/>
          <w:sz w:val="24"/>
          <w:highlight w:val="none"/>
          <w:lang w:val="en-US" w:eastAsia="zh-CN"/>
        </w:rPr>
        <w:t>，总</w:t>
      </w:r>
      <w:r>
        <w:rPr>
          <w:rFonts w:hint="eastAsia" w:ascii="仿宋_GB2312" w:hAnsi="宋体" w:eastAsia="仿宋_GB2312"/>
          <w:sz w:val="24"/>
          <w:highlight w:val="none"/>
        </w:rPr>
        <w:t>建筑面积</w:t>
      </w:r>
      <w:r>
        <w:rPr>
          <w:rFonts w:hint="eastAsia" w:hAnsi="宋体"/>
          <w:sz w:val="24"/>
          <w:highlight w:val="none"/>
          <w:lang w:val="en-US" w:eastAsia="zh-CN"/>
        </w:rPr>
        <w:t>157.3</w:t>
      </w:r>
      <w:r>
        <w:rPr>
          <w:rFonts w:hint="eastAsia" w:ascii="仿宋_GB2312" w:hAnsi="宋体" w:eastAsia="仿宋_GB2312"/>
          <w:sz w:val="24"/>
          <w:highlight w:val="none"/>
        </w:rPr>
        <w:t>平方米</w:t>
      </w:r>
      <w:r>
        <w:rPr>
          <w:rFonts w:hint="eastAsia" w:ascii="仿宋_GB2312" w:hAnsi="宋体" w:eastAsia="仿宋_GB2312"/>
          <w:sz w:val="24"/>
          <w:highlight w:val="none"/>
          <w:lang w:eastAsia="zh-CN"/>
        </w:rPr>
        <w:t>，</w:t>
      </w:r>
      <w:r>
        <w:rPr>
          <w:rFonts w:hint="eastAsia" w:ascii="仿宋_GB2312" w:hAnsi="宋体" w:eastAsia="仿宋_GB2312"/>
          <w:sz w:val="24"/>
          <w:highlight w:val="none"/>
        </w:rPr>
        <w:t>外墙刷涂料，</w:t>
      </w:r>
      <w:r>
        <w:rPr>
          <w:rFonts w:hint="eastAsia" w:ascii="仿宋_GB2312" w:hAnsi="宋体" w:eastAsia="仿宋_GB2312"/>
          <w:sz w:val="24"/>
          <w:highlight w:val="none"/>
          <w:lang w:eastAsia="zh-CN"/>
        </w:rPr>
        <w:t>入户门为防盗门，</w:t>
      </w:r>
      <w:r>
        <w:rPr>
          <w:rFonts w:hint="eastAsia" w:hAnsi="宋体"/>
          <w:sz w:val="24"/>
          <w:highlight w:val="none"/>
          <w:lang w:eastAsia="zh-CN"/>
        </w:rPr>
        <w:t>被申请人未到场，未能</w:t>
      </w:r>
      <w:r>
        <w:rPr>
          <w:rFonts w:hint="eastAsia" w:hAnsi="宋体"/>
          <w:sz w:val="24"/>
          <w:lang w:eastAsia="zh-CN"/>
        </w:rPr>
        <w:t>进入室内进行现场勘查</w:t>
      </w:r>
      <w:r>
        <w:rPr>
          <w:rFonts w:hint="eastAsia" w:ascii="仿宋_GB2312" w:hAnsi="仿宋_GB2312" w:eastAsia="仿宋_GB2312"/>
          <w:sz w:val="24"/>
          <w:lang w:eastAsia="zh-CN"/>
        </w:rPr>
        <w:t>。</w:t>
      </w:r>
    </w:p>
    <w:p>
      <w:pPr>
        <w:autoSpaceDE w:val="0"/>
        <w:autoSpaceDN w:val="0"/>
        <w:adjustRightInd w:val="0"/>
        <w:spacing w:line="360" w:lineRule="auto"/>
        <w:ind w:firstLine="480" w:firstLineChars="200"/>
        <w:textAlignment w:val="bottom"/>
        <w:rPr>
          <w:rFonts w:hint="eastAsia" w:ascii="仿宋_GB2312" w:hAnsi="宋体" w:eastAsia="仿宋_GB2312"/>
          <w:sz w:val="24"/>
        </w:rPr>
      </w:pPr>
      <w:r>
        <w:rPr>
          <w:rFonts w:hint="eastAsia" w:ascii="仿宋_GB2312" w:hAnsi="宋体" w:eastAsia="仿宋_GB2312"/>
          <w:sz w:val="24"/>
        </w:rPr>
        <w:t>4、区域状况</w:t>
      </w:r>
    </w:p>
    <w:p>
      <w:pPr>
        <w:autoSpaceDE w:val="0"/>
        <w:autoSpaceDN w:val="0"/>
        <w:adjustRightInd w:val="0"/>
        <w:spacing w:line="360" w:lineRule="auto"/>
        <w:ind w:firstLine="480" w:firstLineChars="200"/>
        <w:textAlignment w:val="bottom"/>
        <w:rPr>
          <w:rFonts w:hint="eastAsia" w:ascii="仿宋_GB2312" w:hAnsi="宋体" w:eastAsia="仿宋_GB2312"/>
          <w:sz w:val="24"/>
        </w:rPr>
      </w:pPr>
      <w:r>
        <w:rPr>
          <w:rFonts w:hint="eastAsia" w:ascii="仿宋_GB2312" w:hAnsi="宋体" w:eastAsia="仿宋_GB2312"/>
          <w:sz w:val="24"/>
        </w:rPr>
        <w:t>估价对象临近</w:t>
      </w:r>
      <w:r>
        <w:rPr>
          <w:rFonts w:hint="eastAsia" w:ascii="仿宋_GB2312" w:hAnsi="宋体" w:eastAsia="仿宋_GB2312"/>
          <w:sz w:val="24"/>
          <w:lang w:eastAsia="zh-CN"/>
        </w:rPr>
        <w:t>迎宾路（红旗大街）</w:t>
      </w:r>
      <w:r>
        <w:rPr>
          <w:rFonts w:hint="eastAsia" w:ascii="仿宋_GB2312" w:hAnsi="宋体" w:eastAsia="仿宋_GB2312"/>
          <w:sz w:val="24"/>
        </w:rPr>
        <w:t>，附近公共配套设施齐全，交通通达度较好。</w:t>
      </w:r>
    </w:p>
    <w:p>
      <w:pPr>
        <w:autoSpaceDE w:val="0"/>
        <w:autoSpaceDN w:val="0"/>
        <w:adjustRightInd w:val="0"/>
        <w:spacing w:line="360" w:lineRule="auto"/>
        <w:ind w:firstLine="482" w:firstLineChars="200"/>
        <w:textAlignment w:val="bottom"/>
        <w:rPr>
          <w:rFonts w:hint="eastAsia" w:ascii="仿宋_GB2312" w:hAnsi="宋体" w:eastAsia="仿宋_GB2312"/>
          <w:b/>
          <w:sz w:val="24"/>
        </w:rPr>
      </w:pPr>
      <w:r>
        <w:rPr>
          <w:rFonts w:hint="eastAsia" w:ascii="仿宋_GB2312" w:hAnsi="宋体" w:eastAsia="仿宋_GB2312"/>
          <w:b/>
          <w:sz w:val="24"/>
        </w:rPr>
        <w:t>四、估价目的</w:t>
      </w:r>
    </w:p>
    <w:p>
      <w:pPr>
        <w:autoSpaceDE w:val="0"/>
        <w:autoSpaceDN w:val="0"/>
        <w:adjustRightInd w:val="0"/>
        <w:spacing w:line="360" w:lineRule="auto"/>
        <w:ind w:firstLine="480" w:firstLineChars="200"/>
        <w:textAlignment w:val="bottom"/>
        <w:rPr>
          <w:rFonts w:hint="eastAsia" w:ascii="仿宋_GB2312" w:eastAsia="仿宋_GB2312"/>
          <w:sz w:val="24"/>
        </w:rPr>
      </w:pPr>
      <w:r>
        <w:rPr>
          <w:rFonts w:hint="eastAsia" w:ascii="仿宋_GB2312" w:eastAsia="仿宋_GB2312"/>
          <w:sz w:val="24"/>
        </w:rPr>
        <w:t>为司法机关确定估价对象在价值时点的</w:t>
      </w:r>
      <w:r>
        <w:rPr>
          <w:rFonts w:hint="eastAsia" w:ascii="仿宋_GB2312" w:eastAsia="仿宋_GB2312"/>
          <w:sz w:val="24"/>
          <w:lang w:eastAsia="zh-CN"/>
        </w:rPr>
        <w:t>拍卖底价</w:t>
      </w:r>
      <w:r>
        <w:rPr>
          <w:rFonts w:hint="eastAsia" w:ascii="仿宋_GB2312" w:eastAsia="仿宋_GB2312"/>
          <w:sz w:val="24"/>
        </w:rPr>
        <w:t>提供价值参考依据。</w:t>
      </w:r>
    </w:p>
    <w:p>
      <w:pPr>
        <w:autoSpaceDE w:val="0"/>
        <w:autoSpaceDN w:val="0"/>
        <w:adjustRightInd w:val="0"/>
        <w:spacing w:line="360" w:lineRule="auto"/>
        <w:ind w:firstLine="482" w:firstLineChars="200"/>
        <w:textAlignment w:val="bottom"/>
        <w:rPr>
          <w:rFonts w:hint="eastAsia" w:ascii="仿宋_GB2312" w:hAnsi="宋体" w:eastAsia="仿宋_GB2312"/>
          <w:b/>
          <w:sz w:val="24"/>
        </w:rPr>
      </w:pPr>
      <w:r>
        <w:rPr>
          <w:rFonts w:hint="eastAsia" w:ascii="仿宋_GB2312" w:hAnsi="宋体" w:eastAsia="仿宋_GB2312"/>
          <w:b/>
          <w:sz w:val="24"/>
        </w:rPr>
        <w:t xml:space="preserve">五、价值时点 </w:t>
      </w:r>
    </w:p>
    <w:p>
      <w:pPr>
        <w:autoSpaceDE w:val="0"/>
        <w:autoSpaceDN w:val="0"/>
        <w:adjustRightInd w:val="0"/>
        <w:spacing w:line="360" w:lineRule="auto"/>
        <w:ind w:firstLine="480" w:firstLineChars="200"/>
        <w:textAlignment w:val="bottom"/>
        <w:rPr>
          <w:rFonts w:hint="eastAsia" w:ascii="仿宋_GB2312" w:hAnsi="宋体" w:eastAsia="仿宋_GB2312"/>
          <w:sz w:val="24"/>
        </w:rPr>
      </w:pPr>
      <w:r>
        <w:rPr>
          <w:rFonts w:hint="eastAsia" w:ascii="仿宋_GB2312" w:hAnsi="宋体" w:eastAsia="仿宋_GB2312"/>
          <w:sz w:val="24"/>
        </w:rPr>
        <w:t>二零一</w:t>
      </w:r>
      <w:r>
        <w:rPr>
          <w:rFonts w:hint="eastAsia" w:ascii="仿宋_GB2312" w:hAnsi="宋体" w:eastAsia="仿宋_GB2312"/>
          <w:sz w:val="24"/>
          <w:lang w:eastAsia="zh-CN"/>
        </w:rPr>
        <w:t>九</w:t>
      </w:r>
      <w:r>
        <w:rPr>
          <w:rFonts w:hint="eastAsia" w:ascii="仿宋_GB2312" w:hAnsi="宋体" w:eastAsia="仿宋_GB2312"/>
          <w:sz w:val="24"/>
        </w:rPr>
        <w:t>年</w:t>
      </w:r>
      <w:r>
        <w:rPr>
          <w:rFonts w:hint="eastAsia" w:ascii="仿宋_GB2312" w:hAnsi="宋体" w:eastAsia="仿宋_GB2312"/>
          <w:sz w:val="24"/>
          <w:lang w:eastAsia="zh-CN"/>
        </w:rPr>
        <w:t>八月七</w:t>
      </w:r>
      <w:r>
        <w:rPr>
          <w:rFonts w:hint="eastAsia" w:ascii="仿宋_GB2312" w:hAnsi="宋体" w:eastAsia="仿宋_GB2312"/>
          <w:sz w:val="24"/>
        </w:rPr>
        <w:t>日，以现场查勘日期为价值时点。</w:t>
      </w:r>
    </w:p>
    <w:p>
      <w:pPr>
        <w:autoSpaceDE w:val="0"/>
        <w:autoSpaceDN w:val="0"/>
        <w:adjustRightInd w:val="0"/>
        <w:spacing w:line="360" w:lineRule="auto"/>
        <w:ind w:firstLine="482" w:firstLineChars="200"/>
        <w:textAlignment w:val="bottom"/>
        <w:rPr>
          <w:rFonts w:hint="eastAsia" w:ascii="仿宋_GB2312" w:hAnsi="宋体" w:eastAsia="仿宋_GB2312"/>
          <w:b/>
          <w:color w:val="000000"/>
          <w:sz w:val="24"/>
        </w:rPr>
      </w:pPr>
      <w:r>
        <w:rPr>
          <w:rFonts w:hint="eastAsia" w:ascii="仿宋_GB2312" w:hAnsi="宋体" w:eastAsia="仿宋_GB2312"/>
          <w:b/>
          <w:color w:val="000000"/>
          <w:sz w:val="24"/>
        </w:rPr>
        <w:t>六、价值定义</w:t>
      </w:r>
    </w:p>
    <w:p>
      <w:pPr>
        <w:autoSpaceDE w:val="0"/>
        <w:autoSpaceDN w:val="0"/>
        <w:adjustRightInd w:val="0"/>
        <w:spacing w:line="360" w:lineRule="auto"/>
        <w:ind w:firstLine="480" w:firstLineChars="200"/>
        <w:textAlignment w:val="bottom"/>
        <w:rPr>
          <w:rFonts w:hint="eastAsia" w:ascii="仿宋_GB2312" w:eastAsia="仿宋_GB2312"/>
          <w:sz w:val="24"/>
        </w:rPr>
      </w:pPr>
      <w:r>
        <w:rPr>
          <w:rFonts w:hint="eastAsia" w:ascii="仿宋_GB2312" w:eastAsia="仿宋_GB2312"/>
          <w:sz w:val="24"/>
        </w:rPr>
        <w:t>1、</w:t>
      </w:r>
      <w:r>
        <w:rPr>
          <w:rFonts w:hint="eastAsia" w:ascii="仿宋_GB2312" w:hAnsi="宋体" w:eastAsia="仿宋_GB2312" w:cs="宋体"/>
          <w:kern w:val="0"/>
          <w:sz w:val="24"/>
        </w:rPr>
        <w:t>本次评估价值定义为评估时点估价对象的市场价值。市场价值是指理性而谨慎的交易双方，处于利己动机，有较充裕的时间，在了解交易对象，知晓市场行情下自愿进行交易最可能的价格。</w:t>
      </w:r>
    </w:p>
    <w:p>
      <w:pPr>
        <w:autoSpaceDE w:val="0"/>
        <w:autoSpaceDN w:val="0"/>
        <w:adjustRightInd w:val="0"/>
        <w:spacing w:line="360" w:lineRule="auto"/>
        <w:ind w:firstLine="480" w:firstLineChars="200"/>
        <w:textAlignment w:val="bottom"/>
        <w:rPr>
          <w:rFonts w:hint="eastAsia" w:ascii="仿宋_GB2312" w:eastAsia="仿宋_GB2312"/>
          <w:sz w:val="24"/>
        </w:rPr>
      </w:pPr>
      <w:r>
        <w:rPr>
          <w:rFonts w:hint="eastAsia" w:ascii="仿宋_GB2312" w:eastAsia="仿宋_GB2312"/>
          <w:sz w:val="24"/>
        </w:rPr>
        <w:t>2</w:t>
      </w:r>
      <w:r>
        <w:rPr>
          <w:rFonts w:hint="eastAsia" w:ascii="仿宋_GB2312" w:eastAsia="仿宋_GB2312"/>
          <w:sz w:val="24"/>
          <w:highlight w:val="none"/>
        </w:rPr>
        <w:t>、用途：住宅；</w:t>
      </w:r>
    </w:p>
    <w:p>
      <w:pPr>
        <w:autoSpaceDE w:val="0"/>
        <w:autoSpaceDN w:val="0"/>
        <w:adjustRightInd w:val="0"/>
        <w:spacing w:line="360" w:lineRule="auto"/>
        <w:ind w:firstLine="480" w:firstLineChars="200"/>
        <w:textAlignment w:val="bottom"/>
        <w:rPr>
          <w:rFonts w:hint="eastAsia" w:ascii="仿宋_GB2312" w:eastAsia="仿宋_GB2312"/>
          <w:sz w:val="24"/>
        </w:rPr>
      </w:pPr>
      <w:r>
        <w:rPr>
          <w:rFonts w:hint="eastAsia" w:ascii="仿宋_GB2312" w:eastAsia="仿宋_GB2312"/>
          <w:sz w:val="24"/>
        </w:rPr>
        <w:t>3、本次评估包含建筑物和附属设备（水、电、暖、通讯等）；</w:t>
      </w:r>
    </w:p>
    <w:p>
      <w:pPr>
        <w:autoSpaceDE w:val="0"/>
        <w:autoSpaceDN w:val="0"/>
        <w:adjustRightInd w:val="0"/>
        <w:spacing w:line="360" w:lineRule="auto"/>
        <w:ind w:firstLine="480" w:firstLineChars="200"/>
        <w:textAlignment w:val="bottom"/>
        <w:rPr>
          <w:rFonts w:hint="eastAsia" w:ascii="仿宋_GB2312" w:eastAsia="仿宋_GB2312"/>
          <w:sz w:val="24"/>
        </w:rPr>
      </w:pPr>
      <w:r>
        <w:rPr>
          <w:rFonts w:hint="eastAsia" w:ascii="仿宋_GB2312" w:eastAsia="仿宋_GB2312"/>
          <w:sz w:val="24"/>
        </w:rPr>
        <w:t>4、币种为人民币；</w:t>
      </w:r>
    </w:p>
    <w:p>
      <w:pPr>
        <w:autoSpaceDE w:val="0"/>
        <w:autoSpaceDN w:val="0"/>
        <w:adjustRightInd w:val="0"/>
        <w:spacing w:line="360" w:lineRule="auto"/>
        <w:ind w:firstLine="480" w:firstLineChars="200"/>
        <w:textAlignment w:val="bottom"/>
        <w:rPr>
          <w:rFonts w:hint="eastAsia" w:ascii="仿宋_GB2312" w:eastAsia="仿宋_GB2312"/>
          <w:sz w:val="24"/>
        </w:rPr>
      </w:pPr>
      <w:r>
        <w:rPr>
          <w:rFonts w:hint="eastAsia" w:ascii="仿宋_GB2312" w:eastAsia="仿宋_GB2312"/>
          <w:sz w:val="24"/>
        </w:rPr>
        <w:t>本次估价为符合以上条件下估价对象价值的估价，否则结果无效。</w:t>
      </w:r>
    </w:p>
    <w:p>
      <w:pPr>
        <w:autoSpaceDE w:val="0"/>
        <w:autoSpaceDN w:val="0"/>
        <w:adjustRightInd w:val="0"/>
        <w:spacing w:line="360" w:lineRule="auto"/>
        <w:ind w:firstLine="482" w:firstLineChars="200"/>
        <w:textAlignment w:val="bottom"/>
        <w:rPr>
          <w:rFonts w:hint="eastAsia" w:ascii="仿宋_GB2312" w:eastAsia="仿宋_GB2312"/>
          <w:b/>
          <w:sz w:val="24"/>
        </w:rPr>
      </w:pPr>
      <w:r>
        <w:rPr>
          <w:rFonts w:hint="eastAsia" w:ascii="仿宋_GB2312" w:eastAsia="仿宋_GB2312"/>
          <w:b/>
          <w:sz w:val="24"/>
        </w:rPr>
        <w:t>七、估价依据</w:t>
      </w:r>
    </w:p>
    <w:p>
      <w:pPr>
        <w:autoSpaceDE w:val="0"/>
        <w:autoSpaceDN w:val="0"/>
        <w:adjustRightInd w:val="0"/>
        <w:spacing w:line="360" w:lineRule="auto"/>
        <w:ind w:firstLine="588" w:firstLineChars="245"/>
        <w:textAlignment w:val="bottom"/>
        <w:rPr>
          <w:rFonts w:hint="eastAsia" w:ascii="仿宋_GB2312" w:eastAsia="仿宋_GB2312"/>
          <w:sz w:val="24"/>
        </w:rPr>
      </w:pPr>
      <w:r>
        <w:rPr>
          <w:rFonts w:hint="eastAsia" w:ascii="仿宋_GB2312" w:eastAsia="仿宋_GB2312"/>
          <w:sz w:val="24"/>
        </w:rPr>
        <w:t>1、《房地产估价规范》；</w:t>
      </w:r>
    </w:p>
    <w:p>
      <w:pPr>
        <w:autoSpaceDE w:val="0"/>
        <w:autoSpaceDN w:val="0"/>
        <w:adjustRightInd w:val="0"/>
        <w:spacing w:line="360" w:lineRule="auto"/>
        <w:ind w:firstLine="588" w:firstLineChars="245"/>
        <w:textAlignment w:val="bottom"/>
        <w:rPr>
          <w:rFonts w:hint="eastAsia" w:ascii="仿宋_GB2312" w:eastAsia="仿宋_GB2312"/>
          <w:sz w:val="24"/>
        </w:rPr>
      </w:pPr>
      <w:r>
        <w:rPr>
          <w:rFonts w:hint="eastAsia" w:ascii="仿宋_GB2312" w:eastAsia="仿宋_GB2312"/>
          <w:sz w:val="24"/>
        </w:rPr>
        <w:t>2、《房地产估价指导意见》；</w:t>
      </w:r>
    </w:p>
    <w:p>
      <w:pPr>
        <w:autoSpaceDE w:val="0"/>
        <w:autoSpaceDN w:val="0"/>
        <w:adjustRightInd w:val="0"/>
        <w:spacing w:line="360" w:lineRule="auto"/>
        <w:ind w:firstLine="588" w:firstLineChars="245"/>
        <w:textAlignment w:val="bottom"/>
        <w:rPr>
          <w:rFonts w:hint="eastAsia" w:ascii="仿宋_GB2312" w:eastAsia="仿宋_GB2312"/>
          <w:sz w:val="24"/>
        </w:rPr>
      </w:pPr>
      <w:r>
        <w:rPr>
          <w:rFonts w:hint="eastAsia" w:ascii="仿宋_GB2312" w:eastAsia="仿宋_GB2312"/>
          <w:sz w:val="24"/>
        </w:rPr>
        <w:t>3、《中华人民共和国城市房地产管理法》；</w:t>
      </w:r>
    </w:p>
    <w:p>
      <w:pPr>
        <w:autoSpaceDE w:val="0"/>
        <w:autoSpaceDN w:val="0"/>
        <w:adjustRightInd w:val="0"/>
        <w:spacing w:line="360" w:lineRule="auto"/>
        <w:ind w:firstLine="588" w:firstLineChars="245"/>
        <w:textAlignment w:val="bottom"/>
        <w:rPr>
          <w:rFonts w:hint="eastAsia" w:ascii="仿宋_GB2312" w:eastAsia="仿宋_GB2312"/>
          <w:sz w:val="24"/>
        </w:rPr>
      </w:pPr>
      <w:r>
        <w:rPr>
          <w:rFonts w:hint="eastAsia" w:ascii="仿宋_GB2312" w:eastAsia="仿宋_GB2312"/>
          <w:sz w:val="24"/>
        </w:rPr>
        <w:t>4、《中华人民共和国土地管理法》；</w:t>
      </w:r>
    </w:p>
    <w:p>
      <w:pPr>
        <w:autoSpaceDE w:val="0"/>
        <w:autoSpaceDN w:val="0"/>
        <w:adjustRightInd w:val="0"/>
        <w:spacing w:line="360" w:lineRule="auto"/>
        <w:ind w:firstLine="588" w:firstLineChars="245"/>
        <w:textAlignment w:val="bottom"/>
        <w:rPr>
          <w:rFonts w:hint="eastAsia" w:ascii="仿宋_GB2312" w:eastAsia="仿宋_GB2312"/>
          <w:sz w:val="24"/>
        </w:rPr>
      </w:pPr>
      <w:r>
        <w:rPr>
          <w:rFonts w:hint="eastAsia" w:ascii="仿宋_GB2312" w:eastAsia="仿宋_GB2312"/>
          <w:sz w:val="24"/>
        </w:rPr>
        <w:t>5、《中华人民共和国土地管理法实施条例》；</w:t>
      </w:r>
    </w:p>
    <w:p>
      <w:pPr>
        <w:autoSpaceDE w:val="0"/>
        <w:autoSpaceDN w:val="0"/>
        <w:adjustRightInd w:val="0"/>
        <w:spacing w:line="360" w:lineRule="auto"/>
        <w:ind w:firstLine="588" w:firstLineChars="245"/>
        <w:textAlignment w:val="bottom"/>
        <w:rPr>
          <w:rFonts w:hint="eastAsia" w:ascii="仿宋_GB2312" w:eastAsia="仿宋_GB2312"/>
          <w:sz w:val="24"/>
        </w:rPr>
      </w:pPr>
      <w:r>
        <w:rPr>
          <w:rFonts w:hint="eastAsia" w:ascii="仿宋_GB2312" w:eastAsia="仿宋_GB2312"/>
          <w:sz w:val="24"/>
        </w:rPr>
        <w:t>6、《城镇土地估价规程》；</w:t>
      </w:r>
    </w:p>
    <w:p>
      <w:pPr>
        <w:tabs>
          <w:tab w:val="left" w:pos="0"/>
        </w:tabs>
        <w:snapToGrid w:val="0"/>
        <w:spacing w:line="360" w:lineRule="auto"/>
        <w:ind w:firstLine="600" w:firstLineChars="250"/>
        <w:rPr>
          <w:rFonts w:hint="eastAsia" w:ascii="仿宋_GB2312" w:hAnsi="宋体" w:eastAsia="仿宋_GB2312"/>
          <w:sz w:val="24"/>
        </w:rPr>
      </w:pPr>
      <w:r>
        <w:rPr>
          <w:rFonts w:hint="eastAsia" w:ascii="仿宋_GB2312" w:hAnsi="宋体" w:eastAsia="仿宋_GB2312"/>
          <w:sz w:val="24"/>
        </w:rPr>
        <w:t>7、中国统计出版社出版发行的《最新资产评估常用数据及参数手册》；</w:t>
      </w:r>
    </w:p>
    <w:p>
      <w:pPr>
        <w:tabs>
          <w:tab w:val="left" w:pos="0"/>
        </w:tabs>
        <w:snapToGrid w:val="0"/>
        <w:spacing w:line="360" w:lineRule="auto"/>
        <w:ind w:firstLine="600" w:firstLineChars="250"/>
        <w:rPr>
          <w:rFonts w:hint="eastAsia" w:ascii="仿宋_GB2312" w:eastAsia="仿宋_GB2312"/>
          <w:sz w:val="24"/>
        </w:rPr>
      </w:pPr>
      <w:r>
        <w:rPr>
          <w:rFonts w:hint="eastAsia" w:ascii="仿宋_GB2312" w:hAnsi="宋体" w:eastAsia="仿宋_GB2312"/>
          <w:sz w:val="24"/>
        </w:rPr>
        <w:t>8、其他相关法律法规；</w:t>
      </w:r>
    </w:p>
    <w:p>
      <w:pPr>
        <w:autoSpaceDE w:val="0"/>
        <w:autoSpaceDN w:val="0"/>
        <w:adjustRightInd w:val="0"/>
        <w:spacing w:line="360" w:lineRule="auto"/>
        <w:ind w:firstLine="600" w:firstLineChars="250"/>
        <w:textAlignment w:val="bottom"/>
        <w:rPr>
          <w:rFonts w:hint="eastAsia" w:ascii="仿宋_GB2312" w:eastAsia="仿宋_GB2312"/>
          <w:sz w:val="24"/>
        </w:rPr>
      </w:pPr>
      <w:r>
        <w:rPr>
          <w:rFonts w:hint="eastAsia" w:ascii="仿宋_GB2312" w:eastAsia="仿宋_GB2312"/>
          <w:sz w:val="24"/>
        </w:rPr>
        <w:t>9、委托方提供的其它相关资料：委托方提供的相关资料复印件；</w:t>
      </w:r>
    </w:p>
    <w:p>
      <w:pPr>
        <w:autoSpaceDE w:val="0"/>
        <w:autoSpaceDN w:val="0"/>
        <w:adjustRightInd w:val="0"/>
        <w:spacing w:line="360" w:lineRule="auto"/>
        <w:ind w:firstLine="600" w:firstLineChars="250"/>
        <w:textAlignment w:val="bottom"/>
        <w:rPr>
          <w:rFonts w:hint="eastAsia" w:ascii="仿宋_GB2312" w:eastAsia="仿宋_GB2312"/>
          <w:sz w:val="24"/>
        </w:rPr>
      </w:pPr>
      <w:r>
        <w:rPr>
          <w:rFonts w:hint="eastAsia" w:ascii="仿宋_GB2312" w:eastAsia="仿宋_GB2312"/>
          <w:sz w:val="24"/>
        </w:rPr>
        <w:t>10、估价人员掌握的有关资料。</w:t>
      </w:r>
    </w:p>
    <w:p>
      <w:pPr>
        <w:autoSpaceDE w:val="0"/>
        <w:autoSpaceDN w:val="0"/>
        <w:adjustRightInd w:val="0"/>
        <w:spacing w:line="360" w:lineRule="auto"/>
        <w:ind w:firstLine="482" w:firstLineChars="200"/>
        <w:textAlignment w:val="bottom"/>
        <w:rPr>
          <w:rFonts w:hint="eastAsia" w:ascii="仿宋_GB2312" w:eastAsia="仿宋_GB2312"/>
          <w:b/>
          <w:sz w:val="24"/>
        </w:rPr>
      </w:pPr>
      <w:r>
        <w:rPr>
          <w:rFonts w:hint="eastAsia" w:ascii="仿宋_GB2312" w:eastAsia="仿宋_GB2312"/>
          <w:b/>
          <w:sz w:val="24"/>
        </w:rPr>
        <w:t>八、估价原则</w:t>
      </w:r>
    </w:p>
    <w:p>
      <w:pPr>
        <w:pStyle w:val="30"/>
        <w:ind w:firstLine="504"/>
        <w:rPr>
          <w:rFonts w:hint="eastAsia"/>
          <w:sz w:val="24"/>
          <w:szCs w:val="24"/>
        </w:rPr>
      </w:pPr>
      <w:r>
        <w:rPr>
          <w:rFonts w:hint="eastAsia" w:hAnsi="宋体"/>
          <w:sz w:val="24"/>
          <w:szCs w:val="24"/>
        </w:rPr>
        <w:t>本评估报告在遵循公正、公平、公开、客观、科学原则的前提下，</w:t>
      </w:r>
      <w:r>
        <w:rPr>
          <w:rFonts w:hint="eastAsia"/>
          <w:sz w:val="24"/>
          <w:szCs w:val="24"/>
        </w:rPr>
        <w:t>主要遵循了如下原则：</w:t>
      </w:r>
    </w:p>
    <w:p>
      <w:pPr>
        <w:pStyle w:val="29"/>
        <w:numPr>
          <w:ilvl w:val="2"/>
          <w:numId w:val="2"/>
        </w:numPr>
        <w:spacing w:before="0" w:beforeLines="0"/>
        <w:ind w:firstLine="480" w:firstLineChars="200"/>
        <w:rPr>
          <w:rFonts w:hint="eastAsia"/>
          <w:b w:val="0"/>
          <w:sz w:val="24"/>
          <w:szCs w:val="24"/>
        </w:rPr>
      </w:pPr>
      <w:r>
        <w:rPr>
          <w:rFonts w:hint="eastAsia"/>
          <w:b w:val="0"/>
          <w:sz w:val="24"/>
          <w:szCs w:val="24"/>
        </w:rPr>
        <w:t>合法原则</w:t>
      </w:r>
    </w:p>
    <w:p>
      <w:pPr>
        <w:pStyle w:val="30"/>
        <w:ind w:firstLine="504"/>
        <w:rPr>
          <w:sz w:val="24"/>
          <w:szCs w:val="24"/>
        </w:rPr>
      </w:pPr>
      <w:r>
        <w:rPr>
          <w:rFonts w:hint="eastAsia"/>
          <w:sz w:val="24"/>
          <w:szCs w:val="24"/>
        </w:rPr>
        <w:t>以估价对象的合法权属、合法使用、合法处分等为前提进行估价。</w:t>
      </w:r>
    </w:p>
    <w:p>
      <w:pPr>
        <w:pStyle w:val="29"/>
        <w:numPr>
          <w:ilvl w:val="2"/>
          <w:numId w:val="2"/>
        </w:numPr>
        <w:spacing w:before="0" w:beforeLines="0"/>
        <w:ind w:firstLine="480" w:firstLineChars="200"/>
        <w:rPr>
          <w:rFonts w:hint="eastAsia"/>
          <w:b w:val="0"/>
          <w:sz w:val="24"/>
          <w:szCs w:val="24"/>
        </w:rPr>
      </w:pPr>
      <w:r>
        <w:rPr>
          <w:rFonts w:hint="eastAsia"/>
          <w:b w:val="0"/>
          <w:sz w:val="24"/>
          <w:szCs w:val="24"/>
        </w:rPr>
        <w:t>价值时点原则</w:t>
      </w:r>
    </w:p>
    <w:p>
      <w:pPr>
        <w:pStyle w:val="30"/>
        <w:ind w:firstLine="504"/>
        <w:rPr>
          <w:sz w:val="24"/>
          <w:szCs w:val="24"/>
        </w:rPr>
      </w:pPr>
      <w:r>
        <w:rPr>
          <w:rFonts w:hint="eastAsia"/>
          <w:sz w:val="24"/>
          <w:szCs w:val="24"/>
        </w:rPr>
        <w:t>估价实际上是求取估价对象在某一时点上的价值，所以在评估时，必须假定市场情况停止在价值时点上，同时估价对象的状况也是以其在价值时点时的情形为准。本次评估以估价人员现场踏勘之日为价值时点。</w:t>
      </w:r>
    </w:p>
    <w:p>
      <w:pPr>
        <w:pStyle w:val="29"/>
        <w:numPr>
          <w:ilvl w:val="2"/>
          <w:numId w:val="2"/>
        </w:numPr>
        <w:spacing w:before="0" w:beforeLines="0"/>
        <w:ind w:firstLine="480" w:firstLineChars="200"/>
        <w:rPr>
          <w:rFonts w:hint="eastAsia"/>
          <w:b w:val="0"/>
          <w:sz w:val="24"/>
          <w:szCs w:val="24"/>
        </w:rPr>
      </w:pPr>
      <w:r>
        <w:rPr>
          <w:rFonts w:hint="eastAsia"/>
          <w:b w:val="0"/>
          <w:sz w:val="24"/>
          <w:szCs w:val="24"/>
        </w:rPr>
        <w:t>替代原则</w:t>
      </w:r>
    </w:p>
    <w:p>
      <w:pPr>
        <w:pStyle w:val="30"/>
        <w:ind w:firstLine="504"/>
        <w:rPr>
          <w:rFonts w:hint="eastAsia"/>
          <w:sz w:val="24"/>
          <w:szCs w:val="24"/>
        </w:rPr>
      </w:pPr>
      <w:r>
        <w:rPr>
          <w:rFonts w:hint="eastAsia"/>
          <w:sz w:val="24"/>
          <w:szCs w:val="24"/>
        </w:rPr>
        <w:t>估价结果不得明显偏离类似房地产在同等条件下的正常价格。</w:t>
      </w:r>
    </w:p>
    <w:p>
      <w:pPr>
        <w:pStyle w:val="29"/>
        <w:numPr>
          <w:ilvl w:val="2"/>
          <w:numId w:val="2"/>
        </w:numPr>
        <w:spacing w:before="0" w:beforeLines="0"/>
        <w:ind w:firstLine="480" w:firstLineChars="200"/>
        <w:rPr>
          <w:b w:val="0"/>
          <w:sz w:val="24"/>
          <w:szCs w:val="24"/>
        </w:rPr>
      </w:pPr>
      <w:r>
        <w:rPr>
          <w:rFonts w:hint="eastAsia"/>
          <w:b w:val="0"/>
          <w:sz w:val="24"/>
          <w:szCs w:val="24"/>
        </w:rPr>
        <w:t>最高最佳使用原则</w:t>
      </w:r>
    </w:p>
    <w:p>
      <w:pPr>
        <w:pStyle w:val="30"/>
        <w:ind w:firstLine="504"/>
        <w:rPr>
          <w:rFonts w:hint="eastAsia"/>
          <w:sz w:val="24"/>
          <w:szCs w:val="24"/>
        </w:rPr>
      </w:pPr>
      <w:r>
        <w:rPr>
          <w:rFonts w:hint="eastAsia"/>
          <w:sz w:val="24"/>
          <w:szCs w:val="24"/>
        </w:rPr>
        <w:t>所谓最高最佳使用，是估价对象的一种最可能的使用，这种最可能的使用是法律上允许、技术上可能、经济上可行，经过充分合理的论证，能给估价对象带来最高价值的使用。</w:t>
      </w:r>
    </w:p>
    <w:p>
      <w:pPr>
        <w:autoSpaceDE w:val="0"/>
        <w:autoSpaceDN w:val="0"/>
        <w:adjustRightInd w:val="0"/>
        <w:spacing w:line="360" w:lineRule="auto"/>
        <w:ind w:firstLine="482" w:firstLineChars="200"/>
        <w:textAlignment w:val="bottom"/>
        <w:rPr>
          <w:rFonts w:hint="eastAsia" w:ascii="仿宋_GB2312" w:hAnsi="宋体" w:eastAsia="仿宋_GB2312"/>
          <w:b/>
          <w:sz w:val="24"/>
        </w:rPr>
      </w:pPr>
      <w:r>
        <w:rPr>
          <w:rFonts w:hint="eastAsia" w:ascii="仿宋_GB2312" w:hAnsi="宋体" w:eastAsia="仿宋_GB2312"/>
          <w:b/>
          <w:sz w:val="24"/>
        </w:rPr>
        <w:t>九、估价方法</w:t>
      </w:r>
    </w:p>
    <w:p>
      <w:pPr>
        <w:spacing w:line="360" w:lineRule="auto"/>
        <w:ind w:firstLine="510"/>
        <w:rPr>
          <w:rFonts w:hint="eastAsia" w:ascii="仿宋_GB2312" w:eastAsia="仿宋_GB2312"/>
          <w:sz w:val="24"/>
        </w:rPr>
      </w:pPr>
      <w:r>
        <w:rPr>
          <w:rFonts w:hint="eastAsia" w:ascii="仿宋_GB2312" w:eastAsia="仿宋_GB2312"/>
          <w:sz w:val="24"/>
        </w:rPr>
        <w:t>根据本次评估目的及估价对象的特定现状，本次估价采用比较法进行评估。</w:t>
      </w:r>
    </w:p>
    <w:p>
      <w:pPr>
        <w:spacing w:line="360" w:lineRule="auto"/>
        <w:ind w:firstLine="510"/>
        <w:rPr>
          <w:rFonts w:hint="eastAsia" w:ascii="仿宋_GB2312" w:hAnsi="宋体" w:eastAsia="仿宋_GB2312"/>
          <w:sz w:val="24"/>
        </w:rPr>
      </w:pPr>
      <w:r>
        <w:rPr>
          <w:rFonts w:hint="eastAsia" w:ascii="仿宋_GB2312" w:eastAsia="仿宋_GB2312"/>
          <w:sz w:val="24"/>
        </w:rPr>
        <w:t>比较法是将估价对象与在价值时点近期有过交易的类似房地产进行比较，对这些类似房地产的已知价格作适当的修正，以此估算估价对象的客观合理价格的方法。</w:t>
      </w:r>
    </w:p>
    <w:p>
      <w:pPr>
        <w:pStyle w:val="15"/>
        <w:adjustRightInd w:val="0"/>
        <w:spacing w:line="360" w:lineRule="auto"/>
        <w:ind w:firstLine="482" w:firstLineChars="200"/>
        <w:rPr>
          <w:rFonts w:hint="eastAsia"/>
          <w:b/>
          <w:sz w:val="24"/>
          <w:szCs w:val="24"/>
        </w:rPr>
      </w:pPr>
      <w:r>
        <w:rPr>
          <w:rFonts w:hint="eastAsia"/>
          <w:b/>
          <w:sz w:val="24"/>
          <w:szCs w:val="24"/>
        </w:rPr>
        <w:t>十、估价结果</w:t>
      </w:r>
    </w:p>
    <w:p>
      <w:pPr>
        <w:autoSpaceDE w:val="0"/>
        <w:autoSpaceDN w:val="0"/>
        <w:adjustRightInd w:val="0"/>
        <w:spacing w:line="360" w:lineRule="auto"/>
        <w:ind w:firstLine="480" w:firstLineChars="200"/>
        <w:textAlignment w:val="bottom"/>
        <w:rPr>
          <w:rFonts w:hint="eastAsia" w:ascii="仿宋_GB2312" w:eastAsia="仿宋_GB2312"/>
          <w:sz w:val="24"/>
        </w:rPr>
      </w:pPr>
      <w:r>
        <w:rPr>
          <w:rFonts w:hint="eastAsia" w:ascii="仿宋_GB2312" w:eastAsia="仿宋_GB2312"/>
          <w:sz w:val="24"/>
        </w:rPr>
        <w:t>综上计算，结合估价经验与对房地产市场价值影响因素进行的分析，确定估价对象于价值时点</w:t>
      </w:r>
      <w:r>
        <w:rPr>
          <w:rFonts w:hint="eastAsia" w:ascii="仿宋_GB2312" w:eastAsia="仿宋_GB2312"/>
          <w:sz w:val="24"/>
          <w:lang w:eastAsia="zh-CN"/>
        </w:rPr>
        <w:t>201</w:t>
      </w:r>
      <w:r>
        <w:rPr>
          <w:rFonts w:hint="eastAsia" w:ascii="仿宋_GB2312" w:eastAsia="仿宋_GB2312"/>
          <w:sz w:val="24"/>
          <w:lang w:val="en-US" w:eastAsia="zh-CN"/>
        </w:rPr>
        <w:t>9</w:t>
      </w:r>
      <w:r>
        <w:rPr>
          <w:rFonts w:hint="eastAsia" w:ascii="仿宋_GB2312" w:eastAsia="仿宋_GB2312"/>
          <w:sz w:val="24"/>
          <w:lang w:eastAsia="zh-CN"/>
        </w:rPr>
        <w:t>年</w:t>
      </w:r>
      <w:r>
        <w:rPr>
          <w:rFonts w:hint="eastAsia" w:ascii="仿宋_GB2312" w:eastAsia="仿宋_GB2312"/>
          <w:sz w:val="24"/>
          <w:lang w:val="en-US" w:eastAsia="zh-CN"/>
        </w:rPr>
        <w:t>8</w:t>
      </w:r>
      <w:r>
        <w:rPr>
          <w:rFonts w:hint="eastAsia" w:ascii="仿宋_GB2312" w:eastAsia="仿宋_GB2312"/>
          <w:sz w:val="24"/>
          <w:lang w:eastAsia="zh-CN"/>
        </w:rPr>
        <w:t>月</w:t>
      </w:r>
      <w:r>
        <w:rPr>
          <w:rFonts w:hint="eastAsia" w:ascii="仿宋_GB2312" w:eastAsia="仿宋_GB2312"/>
          <w:sz w:val="24"/>
          <w:lang w:val="en-US" w:eastAsia="zh-CN"/>
        </w:rPr>
        <w:t>7</w:t>
      </w:r>
      <w:r>
        <w:rPr>
          <w:rFonts w:hint="eastAsia" w:ascii="仿宋_GB2312" w:eastAsia="仿宋_GB2312"/>
          <w:sz w:val="24"/>
          <w:lang w:eastAsia="zh-CN"/>
        </w:rPr>
        <w:t>日</w:t>
      </w:r>
      <w:r>
        <w:rPr>
          <w:rFonts w:hint="eastAsia" w:ascii="仿宋_GB2312" w:eastAsia="仿宋_GB2312"/>
          <w:sz w:val="24"/>
        </w:rPr>
        <w:t xml:space="preserve">的房地产价值如下： </w:t>
      </w:r>
    </w:p>
    <w:p>
      <w:pPr>
        <w:pStyle w:val="8"/>
        <w:spacing w:line="360" w:lineRule="auto"/>
        <w:ind w:firstLine="200" w:firstLineChars="200"/>
        <w:jc w:val="both"/>
        <w:rPr>
          <w:rFonts w:hint="eastAsia" w:ascii="仿宋_GB2312" w:eastAsia="仿宋_GB2312"/>
          <w:kern w:val="2"/>
          <w:sz w:val="10"/>
          <w:szCs w:val="10"/>
          <w:highlight w:val="none"/>
        </w:rPr>
      </w:pPr>
    </w:p>
    <w:p>
      <w:pPr>
        <w:pStyle w:val="8"/>
        <w:spacing w:line="360" w:lineRule="auto"/>
        <w:ind w:firstLine="480" w:firstLineChars="200"/>
        <w:jc w:val="both"/>
        <w:rPr>
          <w:rFonts w:hint="eastAsia" w:ascii="仿宋_GB2312" w:eastAsia="仿宋_GB2312"/>
          <w:kern w:val="2"/>
          <w:szCs w:val="24"/>
          <w:highlight w:val="none"/>
        </w:rPr>
      </w:pPr>
      <w:r>
        <w:rPr>
          <w:rFonts w:hint="eastAsia" w:ascii="仿宋_GB2312" w:eastAsia="仿宋_GB2312"/>
          <w:kern w:val="2"/>
          <w:szCs w:val="24"/>
          <w:highlight w:val="none"/>
        </w:rPr>
        <w:t>总    价：</w:t>
      </w:r>
      <w:r>
        <w:rPr>
          <w:rFonts w:hint="eastAsia" w:ascii="仿宋_GB2312" w:hAnsi="宋体" w:eastAsia="仿宋_GB2312" w:cs="宋体"/>
          <w:szCs w:val="24"/>
          <w:highlight w:val="none"/>
          <w:lang w:val="en-US" w:eastAsia="zh-CN"/>
        </w:rPr>
        <w:t>1234850.00</w:t>
      </w:r>
      <w:r>
        <w:rPr>
          <w:rFonts w:hint="eastAsia" w:ascii="仿宋_GB2312" w:hAnsi="宋体" w:eastAsia="仿宋_GB2312" w:cs="宋体"/>
          <w:szCs w:val="24"/>
          <w:highlight w:val="none"/>
        </w:rPr>
        <w:t>元</w:t>
      </w:r>
    </w:p>
    <w:p>
      <w:pPr>
        <w:pStyle w:val="8"/>
        <w:spacing w:line="360" w:lineRule="auto"/>
        <w:ind w:firstLine="480" w:firstLineChars="200"/>
        <w:jc w:val="both"/>
        <w:rPr>
          <w:rFonts w:hint="eastAsia" w:ascii="仿宋_GB2312" w:eastAsia="仿宋_GB2312"/>
          <w:kern w:val="2"/>
          <w:szCs w:val="24"/>
          <w:highlight w:val="none"/>
        </w:rPr>
      </w:pPr>
      <w:r>
        <w:rPr>
          <w:rFonts w:hint="eastAsia" w:ascii="仿宋_GB2312" w:eastAsia="仿宋_GB2312"/>
          <w:kern w:val="2"/>
          <w:szCs w:val="24"/>
          <w:highlight w:val="none"/>
        </w:rPr>
        <w:t>大    写：</w:t>
      </w:r>
      <w:r>
        <w:rPr>
          <w:rFonts w:hint="eastAsia" w:ascii="仿宋_GB2312" w:eastAsia="仿宋_GB2312"/>
          <w:kern w:val="2"/>
          <w:szCs w:val="24"/>
          <w:highlight w:val="none"/>
          <w:lang w:eastAsia="zh-CN"/>
        </w:rPr>
        <w:t>壹佰贰拾叁万肆仟捌佰伍拾</w:t>
      </w:r>
      <w:r>
        <w:rPr>
          <w:rFonts w:hint="eastAsia" w:ascii="仿宋_GB2312" w:eastAsia="仿宋_GB2312"/>
          <w:kern w:val="2"/>
          <w:szCs w:val="24"/>
          <w:highlight w:val="none"/>
        </w:rPr>
        <w:t>元整</w:t>
      </w:r>
    </w:p>
    <w:p>
      <w:pPr>
        <w:autoSpaceDE w:val="0"/>
        <w:autoSpaceDN w:val="0"/>
        <w:adjustRightInd w:val="0"/>
        <w:spacing w:line="360" w:lineRule="auto"/>
        <w:ind w:firstLine="480" w:firstLineChars="200"/>
        <w:textAlignment w:val="bottom"/>
        <w:rPr>
          <w:rFonts w:hint="eastAsia" w:ascii="仿宋_GB2312" w:eastAsia="仿宋_GB2312"/>
          <w:sz w:val="24"/>
          <w:highlight w:val="none"/>
        </w:rPr>
      </w:pPr>
      <w:r>
        <w:rPr>
          <w:rFonts w:hint="eastAsia" w:ascii="仿宋_GB2312" w:eastAsia="仿宋_GB2312"/>
          <w:sz w:val="24"/>
          <w:highlight w:val="none"/>
        </w:rPr>
        <w:t>币    种：人民币</w:t>
      </w:r>
    </w:p>
    <w:p>
      <w:pPr>
        <w:autoSpaceDE w:val="0"/>
        <w:autoSpaceDN w:val="0"/>
        <w:adjustRightInd w:val="0"/>
        <w:spacing w:line="360" w:lineRule="auto"/>
        <w:ind w:firstLine="200" w:firstLineChars="200"/>
        <w:textAlignment w:val="bottom"/>
        <w:rPr>
          <w:rFonts w:hint="eastAsia" w:ascii="仿宋_GB2312" w:eastAsia="仿宋_GB2312"/>
          <w:sz w:val="10"/>
          <w:szCs w:val="10"/>
          <w:highlight w:val="none"/>
        </w:rPr>
      </w:pPr>
    </w:p>
    <w:p>
      <w:pPr>
        <w:widowControl/>
        <w:autoSpaceDE w:val="0"/>
        <w:autoSpaceDN w:val="0"/>
        <w:adjustRightInd w:val="0"/>
        <w:spacing w:line="360" w:lineRule="auto"/>
        <w:ind w:firstLine="482" w:firstLineChars="200"/>
        <w:textAlignment w:val="bottom"/>
        <w:rPr>
          <w:rFonts w:hint="eastAsia" w:ascii="仿宋_GB2312" w:hAnsi="宋体" w:eastAsia="仿宋_GB2312"/>
          <w:b/>
          <w:sz w:val="24"/>
        </w:rPr>
      </w:pPr>
      <w:r>
        <w:rPr>
          <w:rFonts w:hint="eastAsia" w:ascii="仿宋_GB2312" w:hAnsi="宋体" w:eastAsia="仿宋_GB2312"/>
          <w:b/>
          <w:sz w:val="24"/>
        </w:rPr>
        <w:t>十一、注册房地产估价师:</w:t>
      </w:r>
    </w:p>
    <w:tbl>
      <w:tblPr>
        <w:tblStyle w:val="22"/>
        <w:tblW w:w="0" w:type="auto"/>
        <w:tblInd w:w="648" w:type="dxa"/>
        <w:tblLayout w:type="fixed"/>
        <w:tblCellMar>
          <w:top w:w="0" w:type="dxa"/>
          <w:left w:w="108" w:type="dxa"/>
          <w:bottom w:w="0" w:type="dxa"/>
          <w:right w:w="108" w:type="dxa"/>
        </w:tblCellMar>
      </w:tblPr>
      <w:tblGrid>
        <w:gridCol w:w="2028"/>
        <w:gridCol w:w="1905"/>
        <w:gridCol w:w="1922"/>
        <w:gridCol w:w="2725"/>
      </w:tblGrid>
      <w:tr>
        <w:tblPrEx>
          <w:tblCellMar>
            <w:top w:w="0" w:type="dxa"/>
            <w:left w:w="108" w:type="dxa"/>
            <w:bottom w:w="0" w:type="dxa"/>
            <w:right w:w="108" w:type="dxa"/>
          </w:tblCellMar>
        </w:tblPrEx>
        <w:trPr>
          <w:wBefore w:w="0" w:type="dxa"/>
          <w:wAfter w:w="0" w:type="dxa"/>
          <w:trHeight w:val="1097" w:hRule="atLeast"/>
        </w:trPr>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姓名</w:t>
            </w:r>
          </w:p>
        </w:tc>
        <w:tc>
          <w:tcPr>
            <w:tcW w:w="19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注册号</w:t>
            </w:r>
          </w:p>
        </w:tc>
        <w:tc>
          <w:tcPr>
            <w:tcW w:w="19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签字</w:t>
            </w:r>
          </w:p>
        </w:tc>
        <w:tc>
          <w:tcPr>
            <w:tcW w:w="272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签名日期</w:t>
            </w:r>
          </w:p>
        </w:tc>
      </w:tr>
      <w:tr>
        <w:tblPrEx>
          <w:tblCellMar>
            <w:top w:w="0" w:type="dxa"/>
            <w:left w:w="108" w:type="dxa"/>
            <w:bottom w:w="0" w:type="dxa"/>
            <w:right w:w="108" w:type="dxa"/>
          </w:tblCellMar>
        </w:tblPrEx>
        <w:trPr>
          <w:wBefore w:w="0" w:type="dxa"/>
          <w:wAfter w:w="0" w:type="dxa"/>
          <w:trHeight w:val="1135" w:hRule="atLeast"/>
        </w:trPr>
        <w:tc>
          <w:tcPr>
            <w:tcW w:w="202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崔俊梅</w:t>
            </w:r>
          </w:p>
        </w:tc>
        <w:tc>
          <w:tcPr>
            <w:tcW w:w="190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lang w:eastAsia="zh-CN"/>
              </w:rPr>
              <w:t>1320140001</w:t>
            </w:r>
          </w:p>
        </w:tc>
        <w:tc>
          <w:tcPr>
            <w:tcW w:w="192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272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xml:space="preserve">  年   月   日</w:t>
            </w:r>
          </w:p>
        </w:tc>
      </w:tr>
      <w:tr>
        <w:tblPrEx>
          <w:tblCellMar>
            <w:top w:w="0" w:type="dxa"/>
            <w:left w:w="108" w:type="dxa"/>
            <w:bottom w:w="0" w:type="dxa"/>
            <w:right w:w="108" w:type="dxa"/>
          </w:tblCellMar>
        </w:tblPrEx>
        <w:trPr>
          <w:wBefore w:w="0" w:type="dxa"/>
          <w:wAfter w:w="0" w:type="dxa"/>
          <w:trHeight w:val="1155" w:hRule="atLeast"/>
        </w:trPr>
        <w:tc>
          <w:tcPr>
            <w:tcW w:w="202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李</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丹</w:t>
            </w:r>
          </w:p>
        </w:tc>
        <w:tc>
          <w:tcPr>
            <w:tcW w:w="190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1320170099</w:t>
            </w:r>
          </w:p>
        </w:tc>
        <w:tc>
          <w:tcPr>
            <w:tcW w:w="192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p>
        </w:tc>
        <w:tc>
          <w:tcPr>
            <w:tcW w:w="272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xml:space="preserve">  年   月   日</w:t>
            </w:r>
          </w:p>
        </w:tc>
      </w:tr>
    </w:tbl>
    <w:p>
      <w:pPr>
        <w:widowControl/>
        <w:autoSpaceDE w:val="0"/>
        <w:autoSpaceDN w:val="0"/>
        <w:adjustRightInd w:val="0"/>
        <w:spacing w:line="360" w:lineRule="auto"/>
        <w:ind w:firstLine="201" w:firstLineChars="200"/>
        <w:textAlignment w:val="bottom"/>
        <w:rPr>
          <w:rFonts w:hint="eastAsia" w:ascii="仿宋_GB2312" w:hAnsi="宋体" w:eastAsia="仿宋_GB2312"/>
          <w:b/>
          <w:sz w:val="10"/>
          <w:szCs w:val="10"/>
        </w:rPr>
      </w:pPr>
    </w:p>
    <w:p>
      <w:pPr>
        <w:widowControl/>
        <w:autoSpaceDE w:val="0"/>
        <w:autoSpaceDN w:val="0"/>
        <w:adjustRightInd w:val="0"/>
        <w:spacing w:line="360" w:lineRule="auto"/>
        <w:ind w:firstLine="482" w:firstLineChars="200"/>
        <w:textAlignment w:val="bottom"/>
        <w:rPr>
          <w:rFonts w:hint="eastAsia" w:ascii="仿宋_GB2312" w:hAnsi="宋体" w:eastAsia="仿宋_GB2312"/>
          <w:b/>
          <w:sz w:val="24"/>
        </w:rPr>
      </w:pPr>
      <w:r>
        <w:rPr>
          <w:rFonts w:hint="eastAsia" w:ascii="仿宋_GB2312" w:hAnsi="宋体" w:eastAsia="仿宋_GB2312"/>
          <w:b/>
          <w:sz w:val="24"/>
        </w:rPr>
        <w:t>十二、实地勘察期</w:t>
      </w:r>
    </w:p>
    <w:p>
      <w:pPr>
        <w:widowControl/>
        <w:autoSpaceDE w:val="0"/>
        <w:autoSpaceDN w:val="0"/>
        <w:adjustRightInd w:val="0"/>
        <w:spacing w:line="360" w:lineRule="auto"/>
        <w:ind w:firstLine="480" w:firstLineChars="200"/>
        <w:textAlignment w:val="bottom"/>
        <w:rPr>
          <w:rFonts w:hint="eastAsia" w:ascii="仿宋_GB2312" w:hAnsi="宋体" w:eastAsia="仿宋_GB2312"/>
          <w:b/>
          <w:sz w:val="24"/>
        </w:rPr>
      </w:pPr>
      <w:r>
        <w:rPr>
          <w:rFonts w:hint="eastAsia" w:ascii="仿宋_GB2312" w:hAnsi="宋体" w:eastAsia="仿宋_GB2312"/>
          <w:sz w:val="24"/>
        </w:rPr>
        <w:t>估价人员于</w:t>
      </w:r>
      <w:r>
        <w:rPr>
          <w:rFonts w:hint="eastAsia" w:ascii="仿宋_GB2312" w:hAnsi="宋体" w:eastAsia="仿宋_GB2312"/>
          <w:sz w:val="24"/>
          <w:lang w:eastAsia="zh-CN"/>
        </w:rPr>
        <w:t>20</w:t>
      </w:r>
      <w:r>
        <w:rPr>
          <w:rFonts w:hint="eastAsia" w:ascii="仿宋_GB2312" w:hAnsi="宋体" w:eastAsia="仿宋_GB2312"/>
          <w:sz w:val="24"/>
          <w:lang w:val="en-US" w:eastAsia="zh-CN"/>
        </w:rPr>
        <w:t>19</w:t>
      </w:r>
      <w:r>
        <w:rPr>
          <w:rFonts w:hint="eastAsia" w:ascii="仿宋_GB2312" w:hAnsi="宋体" w:eastAsia="仿宋_GB2312"/>
          <w:sz w:val="24"/>
          <w:lang w:eastAsia="zh-CN"/>
        </w:rPr>
        <w:t>年</w:t>
      </w:r>
      <w:r>
        <w:rPr>
          <w:rFonts w:hint="eastAsia" w:ascii="仿宋_GB2312" w:hAnsi="宋体" w:eastAsia="仿宋_GB2312"/>
          <w:sz w:val="24"/>
          <w:lang w:val="en-US" w:eastAsia="zh-CN"/>
        </w:rPr>
        <w:t>8</w:t>
      </w:r>
      <w:r>
        <w:rPr>
          <w:rFonts w:hint="eastAsia" w:ascii="仿宋_GB2312" w:hAnsi="宋体" w:eastAsia="仿宋_GB2312"/>
          <w:sz w:val="24"/>
          <w:lang w:eastAsia="zh-CN"/>
        </w:rPr>
        <w:t>月</w:t>
      </w:r>
      <w:r>
        <w:rPr>
          <w:rFonts w:hint="eastAsia" w:ascii="仿宋_GB2312" w:hAnsi="宋体" w:eastAsia="仿宋_GB2312"/>
          <w:sz w:val="24"/>
          <w:lang w:val="en-US" w:eastAsia="zh-CN"/>
        </w:rPr>
        <w:t>7</w:t>
      </w:r>
      <w:r>
        <w:rPr>
          <w:rFonts w:hint="eastAsia" w:ascii="仿宋_GB2312" w:hAnsi="宋体" w:eastAsia="仿宋_GB2312"/>
          <w:sz w:val="24"/>
          <w:lang w:eastAsia="zh-CN"/>
        </w:rPr>
        <w:t>日</w:t>
      </w:r>
      <w:r>
        <w:rPr>
          <w:rFonts w:hint="eastAsia" w:ascii="仿宋_GB2312" w:hAnsi="宋体" w:eastAsia="仿宋_GB2312"/>
          <w:sz w:val="24"/>
        </w:rPr>
        <w:t>对估价对象进行了实地勘察。</w:t>
      </w:r>
    </w:p>
    <w:p>
      <w:pPr>
        <w:autoSpaceDE w:val="0"/>
        <w:autoSpaceDN w:val="0"/>
        <w:adjustRightInd w:val="0"/>
        <w:spacing w:line="360" w:lineRule="auto"/>
        <w:ind w:firstLine="482" w:firstLineChars="200"/>
        <w:textAlignment w:val="bottom"/>
        <w:rPr>
          <w:rFonts w:hint="eastAsia" w:ascii="仿宋_GB2312" w:hAnsi="宋体" w:eastAsia="仿宋_GB2312"/>
          <w:b/>
          <w:sz w:val="24"/>
        </w:rPr>
      </w:pPr>
      <w:r>
        <w:rPr>
          <w:rFonts w:hint="eastAsia" w:ascii="仿宋_GB2312" w:hAnsi="宋体" w:eastAsia="仿宋_GB2312"/>
          <w:b/>
          <w:sz w:val="24"/>
        </w:rPr>
        <w:t>十三、估价作业日期</w:t>
      </w:r>
    </w:p>
    <w:p>
      <w:pPr>
        <w:autoSpaceDE w:val="0"/>
        <w:autoSpaceDN w:val="0"/>
        <w:adjustRightInd w:val="0"/>
        <w:spacing w:line="360" w:lineRule="auto"/>
        <w:ind w:firstLine="480" w:firstLineChars="200"/>
        <w:textAlignment w:val="bottom"/>
        <w:rPr>
          <w:rFonts w:hint="eastAsia" w:ascii="仿宋_GB2312" w:hAnsi="宋体" w:eastAsia="仿宋_GB2312"/>
          <w:sz w:val="24"/>
          <w:highlight w:val="none"/>
        </w:rPr>
      </w:pPr>
      <w:r>
        <w:rPr>
          <w:rFonts w:hint="eastAsia" w:ascii="仿宋_GB2312" w:hAnsi="宋体" w:eastAsia="仿宋_GB2312"/>
          <w:sz w:val="24"/>
        </w:rPr>
        <w:t>二零一</w:t>
      </w:r>
      <w:r>
        <w:rPr>
          <w:rFonts w:hint="eastAsia" w:ascii="仿宋_GB2312" w:hAnsi="宋体" w:eastAsia="仿宋_GB2312"/>
          <w:sz w:val="24"/>
          <w:lang w:eastAsia="zh-CN"/>
        </w:rPr>
        <w:t>九</w:t>
      </w:r>
      <w:r>
        <w:rPr>
          <w:rFonts w:hint="eastAsia" w:ascii="仿宋_GB2312" w:hAnsi="宋体" w:eastAsia="仿宋_GB2312"/>
          <w:sz w:val="24"/>
        </w:rPr>
        <w:t>年</w:t>
      </w:r>
      <w:r>
        <w:rPr>
          <w:rFonts w:hint="eastAsia" w:ascii="仿宋_GB2312" w:hAnsi="宋体" w:eastAsia="仿宋_GB2312"/>
          <w:sz w:val="24"/>
          <w:lang w:eastAsia="zh-CN"/>
        </w:rPr>
        <w:t>八</w:t>
      </w:r>
      <w:r>
        <w:rPr>
          <w:rFonts w:hint="eastAsia" w:ascii="仿宋_GB2312" w:hAnsi="宋体" w:eastAsia="仿宋_GB2312"/>
          <w:sz w:val="24"/>
        </w:rPr>
        <w:t>月</w:t>
      </w:r>
      <w:r>
        <w:rPr>
          <w:rFonts w:hint="eastAsia" w:ascii="仿宋_GB2312" w:hAnsi="宋体" w:eastAsia="仿宋_GB2312"/>
          <w:sz w:val="24"/>
          <w:lang w:eastAsia="zh-CN"/>
        </w:rPr>
        <w:t>七</w:t>
      </w:r>
      <w:r>
        <w:rPr>
          <w:rFonts w:hint="eastAsia" w:ascii="仿宋_GB2312" w:hAnsi="宋体" w:eastAsia="仿宋_GB2312"/>
          <w:sz w:val="24"/>
        </w:rPr>
        <w:t>日</w:t>
      </w:r>
      <w:r>
        <w:rPr>
          <w:rFonts w:hint="eastAsia" w:ascii="仿宋_GB2312" w:hAnsi="宋体" w:eastAsia="仿宋_GB2312"/>
          <w:sz w:val="24"/>
          <w:highlight w:val="none"/>
        </w:rPr>
        <w:t>至二零一</w:t>
      </w:r>
      <w:r>
        <w:rPr>
          <w:rFonts w:hint="eastAsia" w:ascii="仿宋_GB2312" w:hAnsi="宋体" w:eastAsia="仿宋_GB2312"/>
          <w:sz w:val="24"/>
          <w:highlight w:val="none"/>
          <w:lang w:eastAsia="zh-CN"/>
        </w:rPr>
        <w:t>九</w:t>
      </w:r>
      <w:r>
        <w:rPr>
          <w:rFonts w:hint="eastAsia" w:ascii="仿宋_GB2312" w:hAnsi="宋体" w:eastAsia="仿宋_GB2312"/>
          <w:sz w:val="24"/>
          <w:highlight w:val="none"/>
        </w:rPr>
        <w:t>年</w:t>
      </w:r>
      <w:r>
        <w:rPr>
          <w:rFonts w:hint="eastAsia" w:ascii="仿宋_GB2312" w:hAnsi="宋体" w:eastAsia="仿宋_GB2312"/>
          <w:sz w:val="24"/>
          <w:highlight w:val="none"/>
          <w:lang w:eastAsia="zh-CN"/>
        </w:rPr>
        <w:t>八</w:t>
      </w:r>
      <w:r>
        <w:rPr>
          <w:rFonts w:hint="eastAsia" w:ascii="仿宋_GB2312" w:hAnsi="宋体" w:eastAsia="仿宋_GB2312"/>
          <w:sz w:val="24"/>
          <w:highlight w:val="none"/>
        </w:rPr>
        <w:t>月</w:t>
      </w:r>
      <w:r>
        <w:rPr>
          <w:rFonts w:hint="eastAsia" w:ascii="仿宋_GB2312" w:hAnsi="宋体" w:eastAsia="仿宋_GB2312"/>
          <w:sz w:val="24"/>
          <w:highlight w:val="none"/>
          <w:lang w:eastAsia="zh-CN"/>
        </w:rPr>
        <w:t>二十一</w:t>
      </w:r>
      <w:r>
        <w:rPr>
          <w:rFonts w:hint="eastAsia" w:ascii="仿宋_GB2312" w:hAnsi="宋体" w:eastAsia="仿宋_GB2312"/>
          <w:sz w:val="24"/>
          <w:highlight w:val="none"/>
        </w:rPr>
        <w:t>日。</w:t>
      </w:r>
    </w:p>
    <w:p>
      <w:pPr>
        <w:pStyle w:val="15"/>
        <w:adjustRightInd w:val="0"/>
        <w:spacing w:line="360" w:lineRule="auto"/>
        <w:ind w:firstLine="482" w:firstLineChars="200"/>
        <w:rPr>
          <w:rFonts w:hint="eastAsia"/>
          <w:b/>
          <w:sz w:val="24"/>
          <w:szCs w:val="24"/>
          <w:highlight w:val="none"/>
        </w:rPr>
      </w:pPr>
      <w:r>
        <w:rPr>
          <w:rFonts w:hint="eastAsia"/>
          <w:b/>
          <w:sz w:val="24"/>
          <w:szCs w:val="24"/>
          <w:highlight w:val="none"/>
        </w:rPr>
        <w:t xml:space="preserve">十四、估价报告使用提示 </w:t>
      </w:r>
    </w:p>
    <w:p>
      <w:pPr>
        <w:spacing w:line="360" w:lineRule="auto"/>
        <w:ind w:left="0" w:leftChars="0" w:firstLine="480" w:firstLineChars="0"/>
        <w:rPr>
          <w:rStyle w:val="27"/>
          <w:rFonts w:hint="eastAsia" w:ascii="仿宋_GB2312" w:hAnsi="仿宋_GB2312" w:eastAsia="仿宋_GB2312" w:cs="仿宋_GB2312"/>
          <w:sz w:val="24"/>
          <w:szCs w:val="24"/>
          <w:highlight w:val="cyan"/>
        </w:rPr>
      </w:pPr>
      <w:r>
        <w:rPr>
          <w:rFonts w:hint="eastAsia" w:ascii="仿宋_GB2312" w:eastAsia="仿宋_GB2312"/>
          <w:szCs w:val="24"/>
        </w:rPr>
        <w:t>（</w:t>
      </w:r>
      <w:r>
        <w:rPr>
          <w:rFonts w:hint="eastAsia" w:ascii="仿宋_GB2312" w:eastAsia="仿宋_GB2312"/>
          <w:szCs w:val="24"/>
          <w:lang w:eastAsia="zh-CN"/>
        </w:rPr>
        <w:t>一）</w:t>
      </w:r>
      <w:r>
        <w:rPr>
          <w:rFonts w:hint="eastAsia" w:ascii="仿宋_GB2312" w:hAnsi="宋体" w:eastAsia="仿宋_GB2312"/>
          <w:sz w:val="24"/>
          <w:highlight w:val="none"/>
        </w:rPr>
        <w:t>本次估价报告所采用的建筑面</w:t>
      </w:r>
      <w:r>
        <w:rPr>
          <w:rFonts w:hint="eastAsia" w:ascii="仿宋_GB2312" w:hAnsi="宋体" w:eastAsia="仿宋_GB2312"/>
          <w:sz w:val="24"/>
        </w:rPr>
        <w:t>积</w:t>
      </w:r>
      <w:r>
        <w:rPr>
          <w:rFonts w:hint="eastAsia" w:ascii="仿宋_GB2312" w:hAnsi="Arial Narrow" w:eastAsia="仿宋_GB2312"/>
          <w:sz w:val="24"/>
        </w:rPr>
        <w:t>为委托方提供</w:t>
      </w:r>
      <w:r>
        <w:rPr>
          <w:rFonts w:hint="eastAsia" w:ascii="仿宋_GB2312" w:hAnsi="Arial Narrow" w:eastAsia="仿宋_GB2312"/>
          <w:sz w:val="24"/>
          <w:highlight w:val="none"/>
        </w:rPr>
        <w:t>的</w:t>
      </w:r>
      <w:r>
        <w:rPr>
          <w:rFonts w:hint="eastAsia" w:ascii="仿宋_GB2312" w:eastAsia="仿宋_GB2312"/>
          <w:sz w:val="24"/>
          <w:highlight w:val="none"/>
          <w:lang w:eastAsia="zh-CN"/>
        </w:rPr>
        <w:t>《房屋分层分户平面图》</w:t>
      </w:r>
      <w:r>
        <w:rPr>
          <w:rFonts w:hint="eastAsia" w:ascii="仿宋_GB2312" w:hAnsi="Arial Narrow" w:eastAsia="仿宋_GB2312"/>
          <w:sz w:val="24"/>
          <w:highlight w:val="none"/>
        </w:rPr>
        <w:t>所载</w:t>
      </w:r>
      <w:r>
        <w:rPr>
          <w:rFonts w:hint="eastAsia" w:ascii="仿宋_GB2312" w:hAnsi="Arial Narrow" w:eastAsia="仿宋_GB2312"/>
          <w:sz w:val="24"/>
          <w:highlight w:val="none"/>
          <w:lang w:eastAsia="zh-CN"/>
        </w:rPr>
        <w:t>的</w:t>
      </w:r>
      <w:r>
        <w:rPr>
          <w:rFonts w:hint="eastAsia" w:ascii="仿宋_GB2312" w:hAnsi="Arial Narrow" w:eastAsia="仿宋_GB2312"/>
          <w:sz w:val="24"/>
          <w:lang w:eastAsia="zh-CN"/>
        </w:rPr>
        <w:t>面积数，</w:t>
      </w:r>
      <w:r>
        <w:rPr>
          <w:rStyle w:val="27"/>
          <w:rFonts w:hint="eastAsia" w:eastAsia="仿宋_GB2312"/>
          <w:sz w:val="24"/>
        </w:rPr>
        <w:t>并以</w:t>
      </w:r>
      <w:r>
        <w:rPr>
          <w:rStyle w:val="27"/>
          <w:rFonts w:hint="eastAsia" w:ascii="仿宋_GB2312" w:eastAsia="仿宋_GB2312"/>
          <w:sz w:val="24"/>
        </w:rPr>
        <w:t>此为基础测算的</w:t>
      </w:r>
      <w:r>
        <w:rPr>
          <w:rFonts w:hint="eastAsia" w:ascii="仿宋_GB2312" w:hAnsi="仿宋_GB2312" w:eastAsia="仿宋_GB2312" w:cs="仿宋_GB2312"/>
          <w:sz w:val="24"/>
          <w:szCs w:val="24"/>
          <w:highlight w:val="none"/>
          <w:lang w:val="en-US" w:eastAsia="zh-CN"/>
        </w:rPr>
        <w:t>。</w:t>
      </w:r>
    </w:p>
    <w:p>
      <w:pPr>
        <w:pStyle w:val="8"/>
        <w:spacing w:line="360" w:lineRule="auto"/>
        <w:ind w:firstLine="480" w:firstLineChars="200"/>
        <w:jc w:val="both"/>
        <w:rPr>
          <w:rFonts w:hint="eastAsia" w:ascii="仿宋_GB2312" w:hAnsi="宋体" w:eastAsia="仿宋_GB2312"/>
        </w:rPr>
      </w:pPr>
      <w:r>
        <w:rPr>
          <w:rFonts w:hint="eastAsia" w:ascii="仿宋_GB2312" w:eastAsia="仿宋_GB2312"/>
          <w:szCs w:val="24"/>
        </w:rPr>
        <w:t>（</w:t>
      </w:r>
      <w:r>
        <w:rPr>
          <w:rFonts w:hint="eastAsia" w:ascii="仿宋_GB2312" w:eastAsia="仿宋_GB2312"/>
          <w:szCs w:val="24"/>
          <w:lang w:eastAsia="zh-CN"/>
        </w:rPr>
        <w:t>二）</w:t>
      </w:r>
      <w:r>
        <w:rPr>
          <w:rFonts w:hint="eastAsia" w:ascii="仿宋_GB2312" w:hAnsi="Arial Narrow" w:eastAsia="仿宋_GB2312"/>
        </w:rPr>
        <w:t>本次评估假设估价对象为完全产权，无抵押、租赁、典权等他项权利存在和无法律纠纷状况下的正常价格</w:t>
      </w:r>
      <w:r>
        <w:rPr>
          <w:rFonts w:hint="eastAsia" w:ascii="仿宋_GB2312" w:hAnsi="宋体" w:eastAsia="仿宋_GB2312"/>
        </w:rPr>
        <w:t>。</w:t>
      </w:r>
    </w:p>
    <w:p>
      <w:pPr>
        <w:autoSpaceDE w:val="0"/>
        <w:autoSpaceDN w:val="0"/>
        <w:adjustRightInd w:val="0"/>
        <w:spacing w:line="360" w:lineRule="auto"/>
        <w:ind w:firstLine="480" w:firstLineChars="200"/>
        <w:textAlignment w:val="bottom"/>
        <w:rPr>
          <w:rFonts w:hint="eastAsia" w:ascii="仿宋_GB2312" w:eastAsia="仿宋_GB2312"/>
          <w:sz w:val="24"/>
        </w:rPr>
      </w:pPr>
      <w:r>
        <w:rPr>
          <w:rFonts w:hint="eastAsia" w:ascii="仿宋_GB2312" w:eastAsia="仿宋_GB2312"/>
          <w:sz w:val="24"/>
        </w:rPr>
        <w:t>以上事项特提请报告使用者注意。</w:t>
      </w:r>
    </w:p>
    <w:p>
      <w:pPr>
        <w:autoSpaceDE w:val="0"/>
        <w:autoSpaceDN w:val="0"/>
        <w:adjustRightInd w:val="0"/>
        <w:spacing w:line="360" w:lineRule="auto"/>
        <w:ind w:firstLine="482" w:firstLineChars="200"/>
        <w:textAlignment w:val="bottom"/>
        <w:rPr>
          <w:rFonts w:hint="eastAsia" w:ascii="仿宋_GB2312" w:hAnsi="宋体" w:eastAsia="仿宋_GB2312"/>
          <w:b/>
          <w:sz w:val="24"/>
        </w:rPr>
      </w:pPr>
      <w:r>
        <w:rPr>
          <w:rFonts w:hint="eastAsia" w:ascii="仿宋_GB2312" w:hAnsi="宋体" w:eastAsia="仿宋_GB2312"/>
          <w:b/>
          <w:sz w:val="24"/>
        </w:rPr>
        <w:t>十五、估价报告应用的有效期</w:t>
      </w:r>
    </w:p>
    <w:p>
      <w:pPr>
        <w:autoSpaceDE w:val="0"/>
        <w:autoSpaceDN w:val="0"/>
        <w:adjustRightInd w:val="0"/>
        <w:spacing w:line="360" w:lineRule="auto"/>
        <w:ind w:firstLine="480" w:firstLineChars="200"/>
        <w:textAlignment w:val="bottom"/>
        <w:rPr>
          <w:rFonts w:hint="eastAsia" w:ascii="仿宋_GB2312" w:hAnsi="宋体" w:eastAsia="仿宋_GB2312"/>
          <w:sz w:val="24"/>
        </w:rPr>
      </w:pPr>
      <w:r>
        <w:rPr>
          <w:rFonts w:hint="eastAsia" w:ascii="仿宋_GB2312" w:hAnsi="宋体" w:eastAsia="仿宋_GB2312"/>
          <w:sz w:val="24"/>
        </w:rPr>
        <w:t>本估价报告应用的有效期为自出具估价报告之日起一年内有效。</w:t>
      </w:r>
    </w:p>
    <w:p>
      <w:pPr>
        <w:tabs>
          <w:tab w:val="left" w:pos="5400"/>
        </w:tabs>
        <w:autoSpaceDE w:val="0"/>
        <w:autoSpaceDN w:val="0"/>
        <w:adjustRightInd w:val="0"/>
        <w:spacing w:line="480" w:lineRule="auto"/>
        <w:ind w:right="240" w:firstLine="480" w:firstLineChars="200"/>
        <w:jc w:val="right"/>
        <w:textAlignment w:val="bottom"/>
        <w:rPr>
          <w:rFonts w:hint="eastAsia" w:ascii="仿宋_GB2312" w:hAnsi="宋体" w:eastAsia="仿宋_GB2312"/>
          <w:sz w:val="24"/>
        </w:rPr>
      </w:pPr>
    </w:p>
    <w:p>
      <w:pPr>
        <w:tabs>
          <w:tab w:val="left" w:pos="5400"/>
        </w:tabs>
        <w:autoSpaceDE w:val="0"/>
        <w:autoSpaceDN w:val="0"/>
        <w:adjustRightInd w:val="0"/>
        <w:spacing w:line="480" w:lineRule="auto"/>
        <w:ind w:right="240" w:firstLine="480" w:firstLineChars="200"/>
        <w:jc w:val="right"/>
        <w:textAlignment w:val="bottom"/>
        <w:rPr>
          <w:rFonts w:hint="eastAsia" w:ascii="仿宋_GB2312" w:hAnsi="宋体" w:eastAsia="仿宋_GB2312"/>
          <w:sz w:val="24"/>
        </w:rPr>
      </w:pPr>
    </w:p>
    <w:p>
      <w:pPr>
        <w:tabs>
          <w:tab w:val="left" w:pos="5400"/>
        </w:tabs>
        <w:autoSpaceDE w:val="0"/>
        <w:autoSpaceDN w:val="0"/>
        <w:adjustRightInd w:val="0"/>
        <w:spacing w:line="480" w:lineRule="auto"/>
        <w:ind w:right="120" w:firstLine="480" w:firstLineChars="200"/>
        <w:jc w:val="right"/>
        <w:textAlignment w:val="bottom"/>
        <w:rPr>
          <w:rFonts w:hint="eastAsia" w:ascii="仿宋_GB2312" w:hAnsi="宋体" w:eastAsia="仿宋_GB2312"/>
          <w:sz w:val="24"/>
        </w:rPr>
      </w:pPr>
      <w:r>
        <w:rPr>
          <w:rFonts w:hint="eastAsia" w:ascii="仿宋_GB2312" w:hAnsi="宋体" w:eastAsia="仿宋_GB2312"/>
          <w:sz w:val="24"/>
        </w:rPr>
        <w:t>河北中评房地产估价有限公司</w:t>
      </w:r>
    </w:p>
    <w:p>
      <w:pPr>
        <w:autoSpaceDE w:val="0"/>
        <w:autoSpaceDN w:val="0"/>
        <w:adjustRightInd w:val="0"/>
        <w:spacing w:line="480" w:lineRule="auto"/>
        <w:ind w:right="560" w:firstLine="5880" w:firstLineChars="2450"/>
        <w:textAlignment w:val="bottom"/>
        <w:rPr>
          <w:rFonts w:hint="eastAsia" w:ascii="仿宋_GB2312" w:hAnsi="宋体" w:eastAsia="仿宋_GB2312"/>
          <w:sz w:val="24"/>
          <w:lang w:eastAsia="zh-CN"/>
        </w:rPr>
      </w:pPr>
      <w:r>
        <w:rPr>
          <w:rFonts w:hint="eastAsia" w:ascii="仿宋_GB2312" w:hAnsi="宋体" w:eastAsia="仿宋_GB2312"/>
          <w:sz w:val="24"/>
        </w:rPr>
        <w:t>法定代表人：</w:t>
      </w:r>
      <w:r>
        <w:rPr>
          <w:rFonts w:hint="eastAsia" w:ascii="仿宋_GB2312" w:hAnsi="宋体" w:eastAsia="仿宋_GB2312"/>
          <w:sz w:val="24"/>
          <w:lang w:eastAsia="zh-CN"/>
        </w:rPr>
        <w:t>李庆新</w:t>
      </w:r>
    </w:p>
    <w:p>
      <w:pPr>
        <w:autoSpaceDE w:val="0"/>
        <w:autoSpaceDN w:val="0"/>
        <w:adjustRightInd w:val="0"/>
        <w:spacing w:line="360" w:lineRule="auto"/>
        <w:jc w:val="center"/>
        <w:textAlignment w:val="bottom"/>
        <w:rPr>
          <w:rFonts w:hint="eastAsia" w:ascii="仿宋_GB2312" w:hAnsi="宋体" w:eastAsia="仿宋_GB2312"/>
          <w:b/>
          <w:sz w:val="36"/>
          <w:szCs w:val="36"/>
          <w:highlight w:val="none"/>
        </w:rPr>
      </w:pPr>
      <w:r>
        <w:rPr>
          <w:rFonts w:hint="eastAsia" w:ascii="仿宋_GB2312" w:hAnsi="宋体" w:eastAsia="仿宋_GB2312"/>
          <w:sz w:val="24"/>
        </w:rPr>
        <w:t xml:space="preserve">                                      </w:t>
      </w:r>
      <w:r>
        <w:rPr>
          <w:rFonts w:hint="eastAsia" w:ascii="仿宋_GB2312" w:hAnsi="宋体" w:eastAsia="仿宋_GB2312"/>
          <w:sz w:val="24"/>
          <w:lang w:val="en-US" w:eastAsia="zh-CN"/>
        </w:rPr>
        <w:t xml:space="preserve">      </w:t>
      </w:r>
      <w:r>
        <w:rPr>
          <w:rFonts w:hint="eastAsia" w:ascii="仿宋_GB2312" w:hAnsi="宋体" w:eastAsia="仿宋_GB2312"/>
          <w:sz w:val="24"/>
        </w:rPr>
        <w:t>二零一</w:t>
      </w:r>
      <w:r>
        <w:rPr>
          <w:rFonts w:hint="eastAsia" w:ascii="仿宋_GB2312" w:hAnsi="宋体" w:eastAsia="仿宋_GB2312"/>
          <w:sz w:val="24"/>
          <w:highlight w:val="none"/>
          <w:lang w:eastAsia="zh-CN"/>
        </w:rPr>
        <w:t>九</w:t>
      </w:r>
      <w:r>
        <w:rPr>
          <w:rFonts w:hint="eastAsia" w:ascii="仿宋_GB2312" w:hAnsi="宋体" w:eastAsia="仿宋_GB2312"/>
          <w:sz w:val="24"/>
          <w:highlight w:val="none"/>
        </w:rPr>
        <w:t>年</w:t>
      </w:r>
      <w:r>
        <w:rPr>
          <w:rFonts w:hint="eastAsia" w:ascii="仿宋_GB2312" w:hAnsi="宋体" w:eastAsia="仿宋_GB2312"/>
          <w:sz w:val="24"/>
          <w:highlight w:val="none"/>
          <w:lang w:eastAsia="zh-CN"/>
        </w:rPr>
        <w:t>八</w:t>
      </w:r>
      <w:r>
        <w:rPr>
          <w:rFonts w:hint="eastAsia" w:ascii="仿宋_GB2312" w:hAnsi="宋体" w:eastAsia="仿宋_GB2312"/>
          <w:sz w:val="24"/>
          <w:highlight w:val="none"/>
        </w:rPr>
        <w:t>月</w:t>
      </w:r>
      <w:r>
        <w:rPr>
          <w:rFonts w:hint="eastAsia" w:ascii="仿宋_GB2312" w:hAnsi="宋体" w:eastAsia="仿宋_GB2312"/>
          <w:sz w:val="24"/>
          <w:highlight w:val="none"/>
          <w:lang w:eastAsia="zh-CN"/>
        </w:rPr>
        <w:t>二十一</w:t>
      </w:r>
      <w:r>
        <w:rPr>
          <w:rFonts w:hint="eastAsia" w:ascii="仿宋_GB2312" w:hAnsi="宋体" w:eastAsia="仿宋_GB2312"/>
          <w:sz w:val="24"/>
          <w:highlight w:val="none"/>
        </w:rPr>
        <w:t>日</w:t>
      </w:r>
    </w:p>
    <w:p>
      <w:pPr>
        <w:autoSpaceDE w:val="0"/>
        <w:autoSpaceDN w:val="0"/>
        <w:adjustRightInd w:val="0"/>
        <w:spacing w:line="360" w:lineRule="auto"/>
        <w:textAlignment w:val="bottom"/>
        <w:rPr>
          <w:rFonts w:hint="eastAsia" w:ascii="仿宋_GB2312" w:hAnsi="宋体" w:eastAsia="仿宋_GB2312"/>
          <w:b/>
          <w:sz w:val="36"/>
          <w:szCs w:val="36"/>
        </w:rPr>
      </w:pPr>
    </w:p>
    <w:p>
      <w:pPr>
        <w:autoSpaceDE w:val="0"/>
        <w:autoSpaceDN w:val="0"/>
        <w:adjustRightInd w:val="0"/>
        <w:spacing w:line="360" w:lineRule="auto"/>
        <w:textAlignment w:val="bottom"/>
        <w:rPr>
          <w:rFonts w:hint="eastAsia" w:ascii="仿宋_GB2312" w:hAnsi="宋体" w:eastAsia="仿宋_GB2312"/>
          <w:b/>
          <w:sz w:val="36"/>
          <w:szCs w:val="36"/>
        </w:rPr>
      </w:pPr>
    </w:p>
    <w:p>
      <w:pPr>
        <w:autoSpaceDE w:val="0"/>
        <w:autoSpaceDN w:val="0"/>
        <w:adjustRightInd w:val="0"/>
        <w:spacing w:line="360" w:lineRule="auto"/>
        <w:textAlignment w:val="bottom"/>
        <w:rPr>
          <w:rFonts w:hint="eastAsia" w:ascii="仿宋_GB2312" w:hAnsi="宋体" w:eastAsia="仿宋_GB2312"/>
          <w:b/>
          <w:sz w:val="36"/>
          <w:szCs w:val="36"/>
        </w:rPr>
      </w:pPr>
    </w:p>
    <w:p>
      <w:pPr>
        <w:autoSpaceDE w:val="0"/>
        <w:autoSpaceDN w:val="0"/>
        <w:adjustRightInd w:val="0"/>
        <w:spacing w:line="360" w:lineRule="auto"/>
        <w:textAlignment w:val="bottom"/>
        <w:rPr>
          <w:rFonts w:hint="eastAsia" w:ascii="仿宋_GB2312" w:hAnsi="宋体" w:eastAsia="仿宋_GB2312"/>
          <w:b/>
          <w:sz w:val="36"/>
          <w:szCs w:val="36"/>
        </w:rPr>
      </w:pPr>
    </w:p>
    <w:p>
      <w:pPr>
        <w:autoSpaceDE w:val="0"/>
        <w:autoSpaceDN w:val="0"/>
        <w:adjustRightInd w:val="0"/>
        <w:spacing w:line="360" w:lineRule="auto"/>
        <w:textAlignment w:val="bottom"/>
        <w:rPr>
          <w:rFonts w:hint="eastAsia" w:ascii="仿宋_GB2312" w:hAnsi="宋体" w:eastAsia="仿宋_GB2312"/>
          <w:b/>
          <w:sz w:val="36"/>
          <w:szCs w:val="36"/>
        </w:rPr>
      </w:pPr>
    </w:p>
    <w:p>
      <w:pPr>
        <w:autoSpaceDE w:val="0"/>
        <w:autoSpaceDN w:val="0"/>
        <w:adjustRightInd w:val="0"/>
        <w:spacing w:line="360" w:lineRule="auto"/>
        <w:jc w:val="center"/>
        <w:textAlignment w:val="bottom"/>
        <w:rPr>
          <w:rFonts w:hint="eastAsia" w:ascii="仿宋_GB2312" w:hAnsi="宋体" w:eastAsia="仿宋_GB2312"/>
          <w:b/>
          <w:sz w:val="36"/>
          <w:szCs w:val="36"/>
        </w:rPr>
      </w:pPr>
    </w:p>
    <w:p>
      <w:pPr>
        <w:autoSpaceDE w:val="0"/>
        <w:autoSpaceDN w:val="0"/>
        <w:adjustRightInd w:val="0"/>
        <w:spacing w:line="360" w:lineRule="auto"/>
        <w:jc w:val="center"/>
        <w:textAlignment w:val="bottom"/>
        <w:rPr>
          <w:rFonts w:hint="eastAsia" w:ascii="仿宋_GB2312" w:hAnsi="宋体" w:eastAsia="仿宋_GB2312"/>
          <w:b/>
          <w:sz w:val="36"/>
          <w:szCs w:val="36"/>
        </w:rPr>
      </w:pPr>
    </w:p>
    <w:p>
      <w:pPr>
        <w:autoSpaceDE w:val="0"/>
        <w:autoSpaceDN w:val="0"/>
        <w:adjustRightInd w:val="0"/>
        <w:spacing w:line="360" w:lineRule="auto"/>
        <w:textAlignment w:val="bottom"/>
        <w:rPr>
          <w:rFonts w:hint="eastAsia" w:ascii="仿宋_GB2312" w:hAnsi="宋体" w:eastAsia="仿宋_GB2312"/>
          <w:b/>
          <w:sz w:val="36"/>
          <w:szCs w:val="36"/>
        </w:rPr>
      </w:pPr>
    </w:p>
    <w:p>
      <w:pPr>
        <w:autoSpaceDE w:val="0"/>
        <w:autoSpaceDN w:val="0"/>
        <w:adjustRightInd w:val="0"/>
        <w:spacing w:line="360" w:lineRule="auto"/>
        <w:textAlignment w:val="bottom"/>
        <w:rPr>
          <w:rFonts w:hint="eastAsia" w:ascii="仿宋_GB2312" w:hAnsi="宋体" w:eastAsia="仿宋_GB2312"/>
          <w:b/>
          <w:sz w:val="36"/>
          <w:szCs w:val="36"/>
        </w:rPr>
      </w:pPr>
    </w:p>
    <w:p>
      <w:pPr>
        <w:autoSpaceDE w:val="0"/>
        <w:autoSpaceDN w:val="0"/>
        <w:adjustRightInd w:val="0"/>
        <w:spacing w:line="360" w:lineRule="auto"/>
        <w:textAlignment w:val="bottom"/>
        <w:rPr>
          <w:rFonts w:hint="eastAsia" w:ascii="仿宋_GB2312" w:hAnsi="宋体" w:eastAsia="仿宋_GB2312"/>
          <w:b/>
          <w:sz w:val="36"/>
          <w:szCs w:val="36"/>
        </w:rPr>
      </w:pPr>
    </w:p>
    <w:p>
      <w:pPr>
        <w:autoSpaceDE w:val="0"/>
        <w:autoSpaceDN w:val="0"/>
        <w:adjustRightInd w:val="0"/>
        <w:spacing w:line="360" w:lineRule="auto"/>
        <w:jc w:val="center"/>
        <w:textAlignment w:val="bottom"/>
        <w:rPr>
          <w:rFonts w:hint="eastAsia" w:ascii="仿宋_GB2312" w:hAnsi="宋体" w:eastAsia="仿宋_GB2312"/>
          <w:b/>
          <w:sz w:val="36"/>
          <w:szCs w:val="36"/>
        </w:rPr>
      </w:pPr>
    </w:p>
    <w:p>
      <w:pPr>
        <w:autoSpaceDE w:val="0"/>
        <w:autoSpaceDN w:val="0"/>
        <w:adjustRightInd w:val="0"/>
        <w:spacing w:line="360" w:lineRule="auto"/>
        <w:jc w:val="center"/>
        <w:textAlignment w:val="bottom"/>
        <w:rPr>
          <w:rFonts w:hint="eastAsia" w:ascii="仿宋_GB2312" w:hAnsi="宋体" w:eastAsia="仿宋_GB2312"/>
          <w:b/>
          <w:sz w:val="36"/>
          <w:szCs w:val="36"/>
        </w:rPr>
      </w:pPr>
    </w:p>
    <w:p>
      <w:pPr>
        <w:autoSpaceDE w:val="0"/>
        <w:autoSpaceDN w:val="0"/>
        <w:adjustRightInd w:val="0"/>
        <w:spacing w:line="360" w:lineRule="auto"/>
        <w:jc w:val="center"/>
        <w:textAlignment w:val="bottom"/>
        <w:rPr>
          <w:rFonts w:hint="eastAsia" w:ascii="仿宋_GB2312" w:hAnsi="宋体" w:eastAsia="仿宋_GB2312"/>
          <w:b/>
          <w:sz w:val="36"/>
          <w:szCs w:val="36"/>
        </w:rPr>
      </w:pPr>
      <w:r>
        <w:rPr>
          <w:rFonts w:hint="eastAsia" w:ascii="仿宋_GB2312" w:hAnsi="宋体" w:eastAsia="仿宋_GB2312"/>
          <w:b/>
          <w:sz w:val="36"/>
          <w:szCs w:val="36"/>
        </w:rPr>
        <w:t>附      件</w:t>
      </w:r>
    </w:p>
    <w:p>
      <w:pPr>
        <w:autoSpaceDE w:val="0"/>
        <w:autoSpaceDN w:val="0"/>
        <w:adjustRightInd w:val="0"/>
        <w:spacing w:line="360" w:lineRule="auto"/>
        <w:ind w:firstLine="480" w:firstLineChars="200"/>
        <w:textAlignment w:val="bottom"/>
        <w:rPr>
          <w:rFonts w:hint="eastAsia" w:ascii="仿宋_GB2312" w:eastAsia="仿宋_GB2312"/>
          <w:sz w:val="24"/>
        </w:rPr>
      </w:pPr>
    </w:p>
    <w:p>
      <w:pPr>
        <w:autoSpaceDE w:val="0"/>
        <w:autoSpaceDN w:val="0"/>
        <w:adjustRightInd w:val="0"/>
        <w:spacing w:line="480" w:lineRule="auto"/>
        <w:ind w:firstLine="1080" w:firstLineChars="450"/>
        <w:textAlignment w:val="bottom"/>
        <w:rPr>
          <w:rFonts w:hint="eastAsia" w:ascii="仿宋_GB2312" w:eastAsia="仿宋_GB2312"/>
          <w:sz w:val="24"/>
        </w:rPr>
      </w:pPr>
      <w:r>
        <w:rPr>
          <w:rFonts w:hint="eastAsia" w:ascii="仿宋_GB2312" w:eastAsia="仿宋_GB2312"/>
          <w:sz w:val="24"/>
        </w:rPr>
        <w:t>附件1：估价对象典型图片</w:t>
      </w:r>
    </w:p>
    <w:p>
      <w:pPr>
        <w:autoSpaceDE w:val="0"/>
        <w:autoSpaceDN w:val="0"/>
        <w:adjustRightInd w:val="0"/>
        <w:spacing w:line="480" w:lineRule="auto"/>
        <w:ind w:left="120" w:leftChars="57" w:firstLine="960" w:firstLineChars="400"/>
        <w:textAlignment w:val="bottom"/>
        <w:rPr>
          <w:rFonts w:hint="eastAsia" w:ascii="仿宋_GB2312" w:eastAsia="仿宋_GB2312"/>
          <w:sz w:val="24"/>
        </w:rPr>
      </w:pPr>
      <w:r>
        <w:rPr>
          <w:rFonts w:hint="eastAsia" w:ascii="仿宋_GB2312" w:eastAsia="仿宋_GB2312"/>
          <w:sz w:val="24"/>
        </w:rPr>
        <w:t>附件2：</w:t>
      </w:r>
      <w:r>
        <w:rPr>
          <w:rFonts w:hint="eastAsia" w:ascii="仿宋_GB2312" w:eastAsia="仿宋_GB2312"/>
          <w:sz w:val="24"/>
          <w:lang w:eastAsia="zh-CN"/>
        </w:rPr>
        <w:t>《黄骅市人民法院委托书》</w:t>
      </w:r>
      <w:r>
        <w:rPr>
          <w:rFonts w:hint="eastAsia" w:ascii="仿宋_GB2312" w:eastAsia="仿宋_GB2312"/>
          <w:sz w:val="24"/>
        </w:rPr>
        <w:t>复印件</w:t>
      </w:r>
    </w:p>
    <w:p>
      <w:pPr>
        <w:autoSpaceDE w:val="0"/>
        <w:autoSpaceDN w:val="0"/>
        <w:adjustRightInd w:val="0"/>
        <w:spacing w:line="480" w:lineRule="auto"/>
        <w:ind w:left="120" w:leftChars="57" w:firstLine="960" w:firstLineChars="400"/>
        <w:textAlignment w:val="bottom"/>
        <w:rPr>
          <w:rFonts w:hint="eastAsia" w:ascii="仿宋_GB2312" w:eastAsia="仿宋_GB2312"/>
          <w:sz w:val="24"/>
        </w:rPr>
      </w:pPr>
      <w:r>
        <w:rPr>
          <w:rFonts w:hint="eastAsia" w:ascii="仿宋_GB2312" w:eastAsia="仿宋_GB2312"/>
          <w:sz w:val="24"/>
        </w:rPr>
        <w:t>附件</w:t>
      </w:r>
      <w:r>
        <w:rPr>
          <w:rFonts w:hint="eastAsia" w:ascii="仿宋_GB2312" w:eastAsia="仿宋_GB2312"/>
          <w:sz w:val="24"/>
          <w:lang w:val="en-US" w:eastAsia="zh-CN"/>
        </w:rPr>
        <w:t>3</w:t>
      </w:r>
      <w:r>
        <w:rPr>
          <w:rFonts w:hint="eastAsia" w:ascii="仿宋_GB2312" w:eastAsia="仿宋_GB2312"/>
          <w:sz w:val="24"/>
        </w:rPr>
        <w:t>：相关资料复印件</w:t>
      </w:r>
    </w:p>
    <w:p>
      <w:pPr>
        <w:autoSpaceDE w:val="0"/>
        <w:autoSpaceDN w:val="0"/>
        <w:adjustRightInd w:val="0"/>
        <w:spacing w:line="480" w:lineRule="auto"/>
        <w:ind w:firstLine="1080" w:firstLineChars="450"/>
        <w:textAlignment w:val="bottom"/>
        <w:rPr>
          <w:rFonts w:hint="eastAsia" w:ascii="仿宋_GB2312" w:eastAsia="仿宋_GB2312"/>
          <w:sz w:val="24"/>
        </w:rPr>
      </w:pPr>
      <w:r>
        <w:rPr>
          <w:rFonts w:hint="eastAsia" w:ascii="仿宋_GB2312" w:eastAsia="仿宋_GB2312"/>
          <w:sz w:val="24"/>
        </w:rPr>
        <w:t>附件</w:t>
      </w:r>
      <w:r>
        <w:rPr>
          <w:rFonts w:hint="eastAsia" w:ascii="仿宋_GB2312" w:eastAsia="仿宋_GB2312"/>
          <w:sz w:val="24"/>
          <w:lang w:val="en-US" w:eastAsia="zh-CN"/>
        </w:rPr>
        <w:t>4</w:t>
      </w:r>
      <w:r>
        <w:rPr>
          <w:rFonts w:hint="eastAsia" w:ascii="仿宋_GB2312" w:eastAsia="仿宋_GB2312"/>
          <w:sz w:val="24"/>
        </w:rPr>
        <w:t>：估价机构营业执照复印件</w:t>
      </w:r>
    </w:p>
    <w:p>
      <w:pPr>
        <w:autoSpaceDE w:val="0"/>
        <w:autoSpaceDN w:val="0"/>
        <w:adjustRightInd w:val="0"/>
        <w:spacing w:line="480" w:lineRule="auto"/>
        <w:ind w:firstLine="1080" w:firstLineChars="450"/>
        <w:textAlignment w:val="bottom"/>
        <w:rPr>
          <w:rFonts w:hint="eastAsia" w:ascii="仿宋_GB2312" w:eastAsia="仿宋_GB2312"/>
          <w:sz w:val="24"/>
        </w:rPr>
      </w:pPr>
      <w:r>
        <w:rPr>
          <w:rFonts w:hint="eastAsia" w:ascii="仿宋_GB2312" w:eastAsia="仿宋_GB2312"/>
          <w:sz w:val="24"/>
        </w:rPr>
        <w:t>附件</w:t>
      </w:r>
      <w:r>
        <w:rPr>
          <w:rFonts w:hint="eastAsia" w:ascii="仿宋_GB2312" w:eastAsia="仿宋_GB2312"/>
          <w:sz w:val="24"/>
          <w:lang w:val="en-US" w:eastAsia="zh-CN"/>
        </w:rPr>
        <w:t>5</w:t>
      </w:r>
      <w:r>
        <w:rPr>
          <w:rFonts w:hint="eastAsia" w:ascii="仿宋_GB2312" w:eastAsia="仿宋_GB2312"/>
          <w:sz w:val="24"/>
        </w:rPr>
        <w:t>：估价机构资质证书复印件</w:t>
      </w:r>
    </w:p>
    <w:p>
      <w:pPr>
        <w:autoSpaceDE w:val="0"/>
        <w:autoSpaceDN w:val="0"/>
        <w:adjustRightInd w:val="0"/>
        <w:spacing w:line="480" w:lineRule="auto"/>
        <w:ind w:firstLine="1080" w:firstLineChars="450"/>
        <w:textAlignment w:val="bottom"/>
        <w:rPr>
          <w:rFonts w:hint="eastAsia" w:ascii="仿宋_GB2312" w:eastAsia="仿宋_GB2312"/>
          <w:sz w:val="24"/>
        </w:rPr>
      </w:pPr>
      <w:r>
        <w:rPr>
          <w:rFonts w:hint="eastAsia" w:ascii="仿宋_GB2312" w:eastAsia="仿宋_GB2312"/>
          <w:sz w:val="24"/>
        </w:rPr>
        <w:t>附件</w:t>
      </w:r>
      <w:r>
        <w:rPr>
          <w:rFonts w:hint="eastAsia" w:ascii="仿宋_GB2312" w:eastAsia="仿宋_GB2312"/>
          <w:sz w:val="24"/>
          <w:lang w:val="en-US" w:eastAsia="zh-CN"/>
        </w:rPr>
        <w:t>6</w:t>
      </w:r>
      <w:r>
        <w:rPr>
          <w:rFonts w:hint="eastAsia" w:ascii="仿宋_GB2312" w:eastAsia="仿宋_GB2312"/>
          <w:sz w:val="24"/>
        </w:rPr>
        <w:t>：房地产估价师资格证书复印件</w:t>
      </w:r>
    </w:p>
    <w:p>
      <w:pPr>
        <w:autoSpaceDE w:val="0"/>
        <w:autoSpaceDN w:val="0"/>
        <w:adjustRightInd w:val="0"/>
        <w:spacing w:line="480" w:lineRule="auto"/>
        <w:ind w:firstLine="1080" w:firstLineChars="450"/>
        <w:textAlignment w:val="bottom"/>
        <w:rPr>
          <w:rFonts w:hint="eastAsia" w:ascii="仿宋_GB2312" w:eastAsia="仿宋_GB2312"/>
          <w:sz w:val="24"/>
        </w:rPr>
      </w:pPr>
    </w:p>
    <w:p>
      <w:pPr>
        <w:autoSpaceDE w:val="0"/>
        <w:autoSpaceDN w:val="0"/>
        <w:adjustRightInd w:val="0"/>
        <w:spacing w:line="480" w:lineRule="auto"/>
        <w:ind w:firstLine="480" w:firstLineChars="200"/>
        <w:textAlignment w:val="bottom"/>
        <w:rPr>
          <w:rFonts w:hint="eastAsia" w:ascii="仿宋_GB2312" w:eastAsia="仿宋_GB2312"/>
          <w:sz w:val="24"/>
        </w:rPr>
      </w:pPr>
    </w:p>
    <w:p>
      <w:pPr>
        <w:tabs>
          <w:tab w:val="left" w:pos="3150"/>
        </w:tabs>
        <w:adjustRightInd w:val="0"/>
        <w:rPr>
          <w:rFonts w:hint="eastAsia" w:ascii="仿宋_GB2312" w:eastAsia="仿宋_GB2312"/>
          <w:sz w:val="24"/>
        </w:rPr>
      </w:pPr>
    </w:p>
    <w:sectPr>
      <w:footerReference r:id="rId8" w:type="first"/>
      <w:footerReference r:id="rId7" w:type="default"/>
      <w:pgSz w:w="11907" w:h="16840"/>
      <w:pgMar w:top="1400" w:right="1304" w:bottom="1402" w:left="1304" w:header="624" w:footer="794" w:gutter="170"/>
      <w:pgNumType w:fmt="numberInDash" w:start="1"/>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汉鼎繁标宋">
    <w:altName w:val="宋体"/>
    <w:panose1 w:val="02010609000101010101"/>
    <w:charset w:val="86"/>
    <w:family w:val="modern"/>
    <w:pitch w:val="default"/>
    <w:sig w:usb0="00000001" w:usb1="080E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ms Rmn">
    <w:altName w:val="Segoe Print"/>
    <w:panose1 w:val="02020603040505020304"/>
    <w:charset w:val="00"/>
    <w:family w:val="roman"/>
    <w:pitch w:val="default"/>
    <w:sig w:usb0="00000003"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widowControl/>
      <w:autoSpaceDE w:val="0"/>
      <w:autoSpaceDN w:val="0"/>
      <w:jc w:val="center"/>
      <w:textAlignment w:val="botto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widowControl/>
      <w:autoSpaceDE w:val="0"/>
      <w:autoSpaceDN w:val="0"/>
      <w:jc w:val="center"/>
      <w:textAlignment w:val="bottom"/>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page" w:x="6069" w:y="218"/>
      <w:rPr>
        <w:rStyle w:val="24"/>
        <w:rFonts w:hint="eastAsia" w:ascii="仿宋_GB2312" w:eastAsia="仿宋_GB2312"/>
      </w:rPr>
    </w:pPr>
    <w:r>
      <w:rPr>
        <w:rFonts w:hint="eastAsia" w:ascii="仿宋_GB2312" w:eastAsia="仿宋_GB2312"/>
      </w:rPr>
      <w:fldChar w:fldCharType="begin"/>
    </w:r>
    <w:r>
      <w:rPr>
        <w:rStyle w:val="24"/>
        <w:rFonts w:hint="eastAsia" w:ascii="仿宋_GB2312" w:eastAsia="仿宋_GB2312"/>
      </w:rPr>
      <w:instrText xml:space="preserve">PAGE  </w:instrText>
    </w:r>
    <w:r>
      <w:rPr>
        <w:rFonts w:hint="eastAsia" w:ascii="仿宋_GB2312" w:eastAsia="仿宋_GB2312"/>
      </w:rPr>
      <w:fldChar w:fldCharType="separate"/>
    </w:r>
    <w:r>
      <w:rPr>
        <w:rStyle w:val="24"/>
        <w:rFonts w:ascii="仿宋_GB2312" w:eastAsia="仿宋_GB2312"/>
        <w:lang/>
      </w:rPr>
      <w:t>- 8 -</w:t>
    </w:r>
    <w:r>
      <w:rPr>
        <w:rFonts w:hint="eastAsia" w:ascii="仿宋_GB2312" w:eastAsia="仿宋_GB2312"/>
      </w:rPr>
      <w:fldChar w:fldCharType="end"/>
    </w:r>
  </w:p>
  <w:p>
    <w:pPr>
      <w:pStyle w:val="17"/>
      <w:widowControl/>
      <w:autoSpaceDE w:val="0"/>
      <w:autoSpaceDN w:val="0"/>
      <w:spacing w:line="360" w:lineRule="auto"/>
      <w:jc w:val="both"/>
      <w:textAlignment w:val="bottom"/>
      <w:rPr>
        <w:rFonts w:hint="eastAsia" w:ascii="仿宋_GB2312" w:eastAsia="仿宋_GB2312"/>
        <w:i/>
        <w:iCs/>
      </w:rPr>
    </w:pPr>
    <w:r>
      <w:rPr>
        <w:rFonts w:hint="eastAsia" w:ascii="仿宋_GB2312" w:eastAsia="仿宋_GB2312"/>
        <w:lang/>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-60960</wp:posOffset>
              </wp:positionV>
              <wp:extent cx="5774690" cy="0"/>
              <wp:effectExtent l="0" t="0" r="0" b="0"/>
              <wp:wrapNone/>
              <wp:docPr id="1" name="直线 3"/>
              <wp:cNvGraphicFramePr/>
              <a:graphic xmlns:a="http://schemas.openxmlformats.org/drawingml/2006/main">
                <a:graphicData uri="http://schemas.microsoft.com/office/word/2010/wordprocessingShape">
                  <wps:wsp>
                    <wps:cNvSpPr/>
                    <wps:spPr>
                      <a:xfrm>
                        <a:off x="0" y="0"/>
                        <a:ext cx="57746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4.8pt;height:0pt;width:454.7pt;z-index:251658240;mso-width-relative:page;mso-height-relative:page;" filled="f" stroked="t" coordsize="21600,21600" o:gfxdata="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bRoDUAAAABgEAAA8AAAAAAAAAAQAgAAAAIgAAAGRycy9k&#10;b3ducmV2LnhtbFBLAQIUABQAAAAIAIdO4kCHaagpzQEAAI0DAAAOAAAAAAAAAAEAIAAAACMBAABk&#10;cnMvZTJvRG9jLnhtbFBLBQYAAAAABgAGAFkBAABiBQAAAAA=&#10;">
              <v:fill on="f" focussize="0,0"/>
              <v:stroke color="#000000" joinstyle="round"/>
              <v:imagedata o:title=""/>
              <o:lock v:ext="edit" aspectratio="f"/>
            </v:line>
          </w:pict>
        </mc:Fallback>
      </mc:AlternateContent>
    </w:r>
    <w:r>
      <w:rPr>
        <w:rFonts w:hint="eastAsia" w:ascii="仿宋_GB2312" w:eastAsia="仿宋_GB2312"/>
        <w:i/>
        <w:iCs/>
      </w:rPr>
      <w:t>公司地址：沧州市运河区解放西路颐和国际C座505室                             电话：0317-2052576/2052758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widowControl/>
      <w:autoSpaceDE w:val="0"/>
      <w:autoSpaceDN w:val="0"/>
      <w:jc w:val="center"/>
      <w:textAlignment w:val="bottom"/>
      <w:rPr>
        <w:rFonts w:hint="eastAsia"/>
      </w:rPr>
    </w:pPr>
    <w:r>
      <w:rPr>
        <w:rStyle w:val="24"/>
        <w:rFonts w:hint="eastAsia"/>
      </w:rPr>
      <w:t>-</w:t>
    </w:r>
    <w:r>
      <w:fldChar w:fldCharType="begin"/>
    </w:r>
    <w:r>
      <w:rPr>
        <w:rStyle w:val="24"/>
      </w:rPr>
      <w:instrText xml:space="preserve"> PAGE </w:instrText>
    </w:r>
    <w:r>
      <w:fldChar w:fldCharType="separate"/>
    </w:r>
    <w:r>
      <w:rPr>
        <w:rStyle w:val="24"/>
        <w:lang/>
      </w:rPr>
      <w:t>- 1 -</w:t>
    </w:r>
    <w:r>
      <w:fldChar w:fldCharType="end"/>
    </w:r>
    <w:r>
      <w:rPr>
        <w:rStyle w:val="24"/>
        <w:rFonts w:hint="eastAsia"/>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1" w:firstLineChars="200"/>
      <w:jc w:val="left"/>
      <w:rPr>
        <w:rFonts w:hint="eastAsia" w:ascii="仿宋_GB2312" w:eastAsia="仿宋_GB2312"/>
        <w:b/>
        <w:iCs/>
      </w:rPr>
    </w:pPr>
    <w:r>
      <w:rPr>
        <w:rFonts w:hint="eastAsia" w:ascii="仿宋_GB2312" w:eastAsia="仿宋_GB2312"/>
        <w:b/>
        <w:iCs/>
      </w:rPr>
      <w:t xml:space="preserve">                                               </w:t>
    </w:r>
  </w:p>
  <w:p>
    <w:pPr>
      <w:pStyle w:val="18"/>
      <w:jc w:val="right"/>
      <w:rPr>
        <w:rFonts w:hint="eastAsia" w:ascii="仿宋_GB2312" w:eastAsia="仿宋_GB2312"/>
        <w:i/>
      </w:rPr>
    </w:pPr>
    <w:r>
      <w:rPr>
        <w:rFonts w:hint="eastAsia" w:ascii="仿宋_GB2312" w:eastAsia="仿宋_GB2312"/>
        <w:b/>
        <w:iCs/>
      </w:rPr>
      <w:t xml:space="preserve">    </w:t>
    </w:r>
    <w:r>
      <w:rPr>
        <w:rFonts w:hint="eastAsia" w:ascii="仿宋_GB2312" w:eastAsia="仿宋_GB2312"/>
        <w:i/>
        <w:iCs/>
      </w:rPr>
      <w:t xml:space="preserve">河北中评房地产估价有限公司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17063"/>
    <w:multiLevelType w:val="multilevel"/>
    <w:tmpl w:val="2A717063"/>
    <w:lvl w:ilvl="0" w:tentative="0">
      <w:start w:val="1"/>
      <w:numFmt w:val="none"/>
      <w:pStyle w:val="36"/>
      <w:suff w:val="space"/>
      <w:lvlText w:val=""/>
      <w:lvlJc w:val="left"/>
      <w:pPr>
        <w:ind w:left="0" w:firstLine="0"/>
      </w:pPr>
      <w:rPr>
        <w:rFonts w:hint="default" w:ascii="Arial" w:hAnsi="Arial" w:eastAsia="黑体"/>
        <w:sz w:val="36"/>
      </w:rPr>
    </w:lvl>
    <w:lvl w:ilvl="1" w:tentative="0">
      <w:start w:val="1"/>
      <w:numFmt w:val="chineseCountingThousand"/>
      <w:pStyle w:val="34"/>
      <w:suff w:val="nothing"/>
      <w:lvlText w:val="%2、"/>
      <w:lvlJc w:val="left"/>
      <w:pPr>
        <w:ind w:left="0" w:firstLine="0"/>
      </w:pPr>
      <w:rPr>
        <w:rFonts w:hint="default" w:ascii="Arial" w:hAnsi="Arial" w:eastAsia="黑体"/>
        <w:sz w:val="30"/>
      </w:rPr>
    </w:lvl>
    <w:lvl w:ilvl="2" w:tentative="0">
      <w:start w:val="1"/>
      <w:numFmt w:val="chineseCountingThousand"/>
      <w:pStyle w:val="32"/>
      <w:suff w:val="nothing"/>
      <w:lvlText w:val="(%3)"/>
      <w:lvlJc w:val="left"/>
      <w:pPr>
        <w:ind w:left="-27" w:firstLine="567"/>
      </w:pPr>
      <w:rPr>
        <w:rFonts w:hint="eastAsia" w:ascii="仿宋_GB2312" w:eastAsia="仿宋_GB2312"/>
        <w:sz w:val="24"/>
        <w:szCs w:val="24"/>
      </w:rPr>
    </w:lvl>
    <w:lvl w:ilvl="3" w:tentative="0">
      <w:start w:val="1"/>
      <w:numFmt w:val="decimal"/>
      <w:pStyle w:val="35"/>
      <w:suff w:val="nothing"/>
      <w:lvlText w:val="%4."/>
      <w:lvlJc w:val="left"/>
      <w:pPr>
        <w:ind w:left="0" w:firstLine="567"/>
      </w:pPr>
      <w:rPr>
        <w:rFonts w:hint="eastAsia"/>
      </w:rPr>
    </w:lvl>
    <w:lvl w:ilvl="4" w:tentative="0">
      <w:start w:val="1"/>
      <w:numFmt w:val="decimal"/>
      <w:pStyle w:val="28"/>
      <w:suff w:val="nothing"/>
      <w:lvlText w:val="(%5)"/>
      <w:lvlJc w:val="left"/>
      <w:pPr>
        <w:ind w:left="0" w:firstLine="567"/>
      </w:pPr>
      <w:rPr>
        <w:rFonts w:hint="eastAsia"/>
      </w:rPr>
    </w:lvl>
    <w:lvl w:ilvl="5" w:tentative="0">
      <w:start w:val="1"/>
      <w:numFmt w:val="none"/>
      <w:pStyle w:val="4"/>
      <w:suff w:val="nothing"/>
      <w:lvlText w:val=""/>
      <w:lvlJc w:val="left"/>
      <w:pPr>
        <w:ind w:left="0" w:firstLine="0"/>
      </w:pPr>
      <w:rPr>
        <w:rFonts w:hint="eastAsia"/>
      </w:rPr>
    </w:lvl>
    <w:lvl w:ilvl="6" w:tentative="0">
      <w:start w:val="1"/>
      <w:numFmt w:val="none"/>
      <w:pStyle w:val="5"/>
      <w:suff w:val="nothing"/>
      <w:lvlText w:val=""/>
      <w:lvlJc w:val="left"/>
      <w:pPr>
        <w:ind w:left="0" w:firstLine="0"/>
      </w:pPr>
      <w:rPr>
        <w:rFonts w:hint="eastAsia"/>
      </w:rPr>
    </w:lvl>
    <w:lvl w:ilvl="7" w:tentative="0">
      <w:start w:val="1"/>
      <w:numFmt w:val="none"/>
      <w:pStyle w:val="6"/>
      <w:suff w:val="nothing"/>
      <w:lvlText w:val=""/>
      <w:lvlJc w:val="left"/>
      <w:pPr>
        <w:ind w:left="0" w:firstLine="0"/>
      </w:pPr>
      <w:rPr>
        <w:rFonts w:hint="eastAsia"/>
      </w:rPr>
    </w:lvl>
    <w:lvl w:ilvl="8" w:tentative="0">
      <w:start w:val="1"/>
      <w:numFmt w:val="none"/>
      <w:pStyle w:val="7"/>
      <w:suff w:val="nothing"/>
      <w:lvlText w:val=""/>
      <w:lvlJc w:val="left"/>
      <w:pPr>
        <w:ind w:left="0" w:firstLine="0"/>
      </w:pPr>
      <w:rPr>
        <w:rFonts w:hint="eastAsia"/>
      </w:rPr>
    </w:lvl>
  </w:abstractNum>
  <w:num w:numId="1">
    <w:abstractNumId w:val="0"/>
  </w:num>
  <w:num w:numId="2">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6D"/>
    <w:rsid w:val="00000AE0"/>
    <w:rsid w:val="000076B3"/>
    <w:rsid w:val="00011C6F"/>
    <w:rsid w:val="00015A7D"/>
    <w:rsid w:val="00015BE2"/>
    <w:rsid w:val="00015F67"/>
    <w:rsid w:val="00017A4E"/>
    <w:rsid w:val="00021679"/>
    <w:rsid w:val="00021B62"/>
    <w:rsid w:val="0002585C"/>
    <w:rsid w:val="000260FF"/>
    <w:rsid w:val="000263A4"/>
    <w:rsid w:val="0003191F"/>
    <w:rsid w:val="00033228"/>
    <w:rsid w:val="000338B8"/>
    <w:rsid w:val="00042EC1"/>
    <w:rsid w:val="000432E5"/>
    <w:rsid w:val="00044568"/>
    <w:rsid w:val="00044656"/>
    <w:rsid w:val="00045029"/>
    <w:rsid w:val="00045E53"/>
    <w:rsid w:val="00047077"/>
    <w:rsid w:val="00050521"/>
    <w:rsid w:val="000510E6"/>
    <w:rsid w:val="00052E46"/>
    <w:rsid w:val="0005718A"/>
    <w:rsid w:val="000577BC"/>
    <w:rsid w:val="0007029E"/>
    <w:rsid w:val="00074365"/>
    <w:rsid w:val="00075EB9"/>
    <w:rsid w:val="000839D0"/>
    <w:rsid w:val="00086194"/>
    <w:rsid w:val="0008653E"/>
    <w:rsid w:val="000867EE"/>
    <w:rsid w:val="00087EEE"/>
    <w:rsid w:val="00090C91"/>
    <w:rsid w:val="00091A85"/>
    <w:rsid w:val="0009543F"/>
    <w:rsid w:val="00095EA8"/>
    <w:rsid w:val="0009789C"/>
    <w:rsid w:val="000A0D0A"/>
    <w:rsid w:val="000B1E62"/>
    <w:rsid w:val="000B5DCB"/>
    <w:rsid w:val="000B75E4"/>
    <w:rsid w:val="000C0006"/>
    <w:rsid w:val="000C208C"/>
    <w:rsid w:val="000C6367"/>
    <w:rsid w:val="000C6550"/>
    <w:rsid w:val="000C7602"/>
    <w:rsid w:val="000D06A0"/>
    <w:rsid w:val="000E3D88"/>
    <w:rsid w:val="000E3E32"/>
    <w:rsid w:val="000E7F40"/>
    <w:rsid w:val="000F0012"/>
    <w:rsid w:val="000F28DF"/>
    <w:rsid w:val="000F3A68"/>
    <w:rsid w:val="000F3E55"/>
    <w:rsid w:val="001006DB"/>
    <w:rsid w:val="0010163F"/>
    <w:rsid w:val="00106AB0"/>
    <w:rsid w:val="00106BA5"/>
    <w:rsid w:val="00110AAB"/>
    <w:rsid w:val="00111C4D"/>
    <w:rsid w:val="00113A60"/>
    <w:rsid w:val="00114782"/>
    <w:rsid w:val="00114873"/>
    <w:rsid w:val="0011584E"/>
    <w:rsid w:val="001220C6"/>
    <w:rsid w:val="0012344D"/>
    <w:rsid w:val="00125D8C"/>
    <w:rsid w:val="0012613D"/>
    <w:rsid w:val="00127835"/>
    <w:rsid w:val="00130BBB"/>
    <w:rsid w:val="00130DE9"/>
    <w:rsid w:val="00133AE4"/>
    <w:rsid w:val="00144DAC"/>
    <w:rsid w:val="0015253A"/>
    <w:rsid w:val="00155392"/>
    <w:rsid w:val="001568F1"/>
    <w:rsid w:val="00161C4C"/>
    <w:rsid w:val="00162DEA"/>
    <w:rsid w:val="001734CF"/>
    <w:rsid w:val="001743C4"/>
    <w:rsid w:val="00176706"/>
    <w:rsid w:val="0017710A"/>
    <w:rsid w:val="00184404"/>
    <w:rsid w:val="00190E6A"/>
    <w:rsid w:val="0019256D"/>
    <w:rsid w:val="00192888"/>
    <w:rsid w:val="00193479"/>
    <w:rsid w:val="0019748E"/>
    <w:rsid w:val="001A0158"/>
    <w:rsid w:val="001A166B"/>
    <w:rsid w:val="001A1E91"/>
    <w:rsid w:val="001A7A08"/>
    <w:rsid w:val="001B00F6"/>
    <w:rsid w:val="001B0D44"/>
    <w:rsid w:val="001B1542"/>
    <w:rsid w:val="001B3A2B"/>
    <w:rsid w:val="001B44EF"/>
    <w:rsid w:val="001B4B56"/>
    <w:rsid w:val="001B5ABB"/>
    <w:rsid w:val="001B5FBC"/>
    <w:rsid w:val="001B6035"/>
    <w:rsid w:val="001B635E"/>
    <w:rsid w:val="001C1952"/>
    <w:rsid w:val="001C2C62"/>
    <w:rsid w:val="001C4322"/>
    <w:rsid w:val="001D14E6"/>
    <w:rsid w:val="001D358C"/>
    <w:rsid w:val="001D5AD8"/>
    <w:rsid w:val="001E0E1B"/>
    <w:rsid w:val="001E1C26"/>
    <w:rsid w:val="001E32D2"/>
    <w:rsid w:val="001E3C6C"/>
    <w:rsid w:val="001E4B03"/>
    <w:rsid w:val="001E4EBD"/>
    <w:rsid w:val="001E5AC0"/>
    <w:rsid w:val="001E7C5F"/>
    <w:rsid w:val="001F4FA5"/>
    <w:rsid w:val="001F5A85"/>
    <w:rsid w:val="002001AB"/>
    <w:rsid w:val="0020025C"/>
    <w:rsid w:val="00200842"/>
    <w:rsid w:val="00202588"/>
    <w:rsid w:val="00204566"/>
    <w:rsid w:val="00205738"/>
    <w:rsid w:val="00210EC5"/>
    <w:rsid w:val="002134DC"/>
    <w:rsid w:val="00214C22"/>
    <w:rsid w:val="00215C10"/>
    <w:rsid w:val="00215F4B"/>
    <w:rsid w:val="0022047F"/>
    <w:rsid w:val="00222E1F"/>
    <w:rsid w:val="002233A2"/>
    <w:rsid w:val="00223E32"/>
    <w:rsid w:val="002259F2"/>
    <w:rsid w:val="00227277"/>
    <w:rsid w:val="002331FF"/>
    <w:rsid w:val="00234F90"/>
    <w:rsid w:val="0023576E"/>
    <w:rsid w:val="00236E34"/>
    <w:rsid w:val="0023713E"/>
    <w:rsid w:val="002408F4"/>
    <w:rsid w:val="00242481"/>
    <w:rsid w:val="00245BF2"/>
    <w:rsid w:val="00247A39"/>
    <w:rsid w:val="002508D2"/>
    <w:rsid w:val="002509BA"/>
    <w:rsid w:val="002547FB"/>
    <w:rsid w:val="0025727D"/>
    <w:rsid w:val="00260641"/>
    <w:rsid w:val="00262351"/>
    <w:rsid w:val="00277F2D"/>
    <w:rsid w:val="00281CD8"/>
    <w:rsid w:val="00291FC3"/>
    <w:rsid w:val="0029228D"/>
    <w:rsid w:val="00294D08"/>
    <w:rsid w:val="002A5697"/>
    <w:rsid w:val="002B4008"/>
    <w:rsid w:val="002B412A"/>
    <w:rsid w:val="002B60FB"/>
    <w:rsid w:val="002B66B5"/>
    <w:rsid w:val="002B6FF8"/>
    <w:rsid w:val="002C13AC"/>
    <w:rsid w:val="002C29DE"/>
    <w:rsid w:val="002C2EC4"/>
    <w:rsid w:val="002C540E"/>
    <w:rsid w:val="002C69F2"/>
    <w:rsid w:val="002D082D"/>
    <w:rsid w:val="002D0A31"/>
    <w:rsid w:val="002D51D6"/>
    <w:rsid w:val="002D64B3"/>
    <w:rsid w:val="002D6B09"/>
    <w:rsid w:val="002D72A1"/>
    <w:rsid w:val="002D751B"/>
    <w:rsid w:val="002E6D1D"/>
    <w:rsid w:val="002E6E70"/>
    <w:rsid w:val="002F3BE3"/>
    <w:rsid w:val="002F5D08"/>
    <w:rsid w:val="002F5FA5"/>
    <w:rsid w:val="00304D48"/>
    <w:rsid w:val="00313009"/>
    <w:rsid w:val="00313356"/>
    <w:rsid w:val="00313722"/>
    <w:rsid w:val="003147E6"/>
    <w:rsid w:val="00314C0B"/>
    <w:rsid w:val="003200BB"/>
    <w:rsid w:val="00321C7F"/>
    <w:rsid w:val="003303A5"/>
    <w:rsid w:val="00331A9E"/>
    <w:rsid w:val="00331C04"/>
    <w:rsid w:val="00331CE6"/>
    <w:rsid w:val="003321C1"/>
    <w:rsid w:val="00334BE2"/>
    <w:rsid w:val="003371DD"/>
    <w:rsid w:val="00340F1E"/>
    <w:rsid w:val="00341679"/>
    <w:rsid w:val="00341B51"/>
    <w:rsid w:val="00341FB6"/>
    <w:rsid w:val="00342FA5"/>
    <w:rsid w:val="00344295"/>
    <w:rsid w:val="00344BD1"/>
    <w:rsid w:val="00350AA2"/>
    <w:rsid w:val="00353EE5"/>
    <w:rsid w:val="0035559B"/>
    <w:rsid w:val="00357414"/>
    <w:rsid w:val="00361B8E"/>
    <w:rsid w:val="0036237F"/>
    <w:rsid w:val="0036781B"/>
    <w:rsid w:val="00367C71"/>
    <w:rsid w:val="00374B19"/>
    <w:rsid w:val="00375579"/>
    <w:rsid w:val="00381DA1"/>
    <w:rsid w:val="003821ED"/>
    <w:rsid w:val="00383404"/>
    <w:rsid w:val="0038395A"/>
    <w:rsid w:val="00386C0F"/>
    <w:rsid w:val="00386D9C"/>
    <w:rsid w:val="003871BC"/>
    <w:rsid w:val="0038761A"/>
    <w:rsid w:val="003912F9"/>
    <w:rsid w:val="00392B9A"/>
    <w:rsid w:val="00394690"/>
    <w:rsid w:val="00394B5D"/>
    <w:rsid w:val="0039725D"/>
    <w:rsid w:val="003979AA"/>
    <w:rsid w:val="003A1219"/>
    <w:rsid w:val="003A36A5"/>
    <w:rsid w:val="003A50FA"/>
    <w:rsid w:val="003B1A11"/>
    <w:rsid w:val="003B5E1C"/>
    <w:rsid w:val="003C33F9"/>
    <w:rsid w:val="003C3468"/>
    <w:rsid w:val="003C36B3"/>
    <w:rsid w:val="003C3D7D"/>
    <w:rsid w:val="003C4499"/>
    <w:rsid w:val="003D55D0"/>
    <w:rsid w:val="003E2304"/>
    <w:rsid w:val="003E5909"/>
    <w:rsid w:val="003E703D"/>
    <w:rsid w:val="003E734B"/>
    <w:rsid w:val="003F308F"/>
    <w:rsid w:val="003F4DD3"/>
    <w:rsid w:val="003F51D8"/>
    <w:rsid w:val="00412DC9"/>
    <w:rsid w:val="00413621"/>
    <w:rsid w:val="00414264"/>
    <w:rsid w:val="0041531E"/>
    <w:rsid w:val="00417577"/>
    <w:rsid w:val="00417D18"/>
    <w:rsid w:val="00421C1A"/>
    <w:rsid w:val="00422AD2"/>
    <w:rsid w:val="004250B9"/>
    <w:rsid w:val="0042641F"/>
    <w:rsid w:val="00426EAD"/>
    <w:rsid w:val="00434D93"/>
    <w:rsid w:val="0043658B"/>
    <w:rsid w:val="00437EB9"/>
    <w:rsid w:val="00440EDC"/>
    <w:rsid w:val="004452EF"/>
    <w:rsid w:val="0044720B"/>
    <w:rsid w:val="004510CB"/>
    <w:rsid w:val="004565A4"/>
    <w:rsid w:val="00460280"/>
    <w:rsid w:val="004604C5"/>
    <w:rsid w:val="004615D3"/>
    <w:rsid w:val="00462B8D"/>
    <w:rsid w:val="004631C5"/>
    <w:rsid w:val="0046374E"/>
    <w:rsid w:val="00465489"/>
    <w:rsid w:val="0046697E"/>
    <w:rsid w:val="00466BFF"/>
    <w:rsid w:val="004759DF"/>
    <w:rsid w:val="004771A1"/>
    <w:rsid w:val="004825A7"/>
    <w:rsid w:val="004854B6"/>
    <w:rsid w:val="00487E39"/>
    <w:rsid w:val="00492947"/>
    <w:rsid w:val="004A1298"/>
    <w:rsid w:val="004A2C43"/>
    <w:rsid w:val="004A2D86"/>
    <w:rsid w:val="004A39ED"/>
    <w:rsid w:val="004B17F0"/>
    <w:rsid w:val="004B3ED8"/>
    <w:rsid w:val="004B49BB"/>
    <w:rsid w:val="004B4DD3"/>
    <w:rsid w:val="004B7068"/>
    <w:rsid w:val="004B71C0"/>
    <w:rsid w:val="004C0D65"/>
    <w:rsid w:val="004C240C"/>
    <w:rsid w:val="004D0636"/>
    <w:rsid w:val="004D7664"/>
    <w:rsid w:val="004D79CD"/>
    <w:rsid w:val="004E0899"/>
    <w:rsid w:val="004E1EFE"/>
    <w:rsid w:val="004E3A07"/>
    <w:rsid w:val="004E5D14"/>
    <w:rsid w:val="004E77E4"/>
    <w:rsid w:val="004F065F"/>
    <w:rsid w:val="004F335E"/>
    <w:rsid w:val="004F6326"/>
    <w:rsid w:val="004F6D7B"/>
    <w:rsid w:val="004F7862"/>
    <w:rsid w:val="004F797E"/>
    <w:rsid w:val="005020A7"/>
    <w:rsid w:val="005028D6"/>
    <w:rsid w:val="00502A08"/>
    <w:rsid w:val="00505255"/>
    <w:rsid w:val="005066E9"/>
    <w:rsid w:val="00510C30"/>
    <w:rsid w:val="00510EA5"/>
    <w:rsid w:val="00511913"/>
    <w:rsid w:val="00515685"/>
    <w:rsid w:val="005173F1"/>
    <w:rsid w:val="00520856"/>
    <w:rsid w:val="00526273"/>
    <w:rsid w:val="005277A2"/>
    <w:rsid w:val="00527E43"/>
    <w:rsid w:val="00532423"/>
    <w:rsid w:val="00533F6A"/>
    <w:rsid w:val="00534236"/>
    <w:rsid w:val="00534BED"/>
    <w:rsid w:val="00535106"/>
    <w:rsid w:val="0054291C"/>
    <w:rsid w:val="00542CBD"/>
    <w:rsid w:val="00544CA7"/>
    <w:rsid w:val="00554097"/>
    <w:rsid w:val="005651F6"/>
    <w:rsid w:val="0057035C"/>
    <w:rsid w:val="00571A09"/>
    <w:rsid w:val="00574A49"/>
    <w:rsid w:val="005752A1"/>
    <w:rsid w:val="005755AA"/>
    <w:rsid w:val="00580FB4"/>
    <w:rsid w:val="00583CF2"/>
    <w:rsid w:val="00590BBA"/>
    <w:rsid w:val="00595C6C"/>
    <w:rsid w:val="005972EC"/>
    <w:rsid w:val="005A0535"/>
    <w:rsid w:val="005A1766"/>
    <w:rsid w:val="005A19FD"/>
    <w:rsid w:val="005A2E6B"/>
    <w:rsid w:val="005A3BD9"/>
    <w:rsid w:val="005A41A2"/>
    <w:rsid w:val="005A4917"/>
    <w:rsid w:val="005A61B4"/>
    <w:rsid w:val="005B057E"/>
    <w:rsid w:val="005B1C1F"/>
    <w:rsid w:val="005B3D9A"/>
    <w:rsid w:val="005B656B"/>
    <w:rsid w:val="005B681C"/>
    <w:rsid w:val="005B6A74"/>
    <w:rsid w:val="005B7AD7"/>
    <w:rsid w:val="005C5687"/>
    <w:rsid w:val="005C6721"/>
    <w:rsid w:val="005C7AF0"/>
    <w:rsid w:val="005D1381"/>
    <w:rsid w:val="005D2481"/>
    <w:rsid w:val="005D3690"/>
    <w:rsid w:val="005D44BB"/>
    <w:rsid w:val="005D49D4"/>
    <w:rsid w:val="005D4B73"/>
    <w:rsid w:val="005D78B1"/>
    <w:rsid w:val="005E115E"/>
    <w:rsid w:val="005E2D20"/>
    <w:rsid w:val="005E43C3"/>
    <w:rsid w:val="005E5166"/>
    <w:rsid w:val="005E6543"/>
    <w:rsid w:val="005E6CC9"/>
    <w:rsid w:val="005E6FF7"/>
    <w:rsid w:val="005F17F2"/>
    <w:rsid w:val="005F258E"/>
    <w:rsid w:val="005F31B1"/>
    <w:rsid w:val="005F55FC"/>
    <w:rsid w:val="005F75C0"/>
    <w:rsid w:val="005F7954"/>
    <w:rsid w:val="00600A8D"/>
    <w:rsid w:val="00601FAB"/>
    <w:rsid w:val="0060601E"/>
    <w:rsid w:val="006063D7"/>
    <w:rsid w:val="00607EAF"/>
    <w:rsid w:val="006102B5"/>
    <w:rsid w:val="006133C1"/>
    <w:rsid w:val="00613B47"/>
    <w:rsid w:val="00620CA7"/>
    <w:rsid w:val="006229C2"/>
    <w:rsid w:val="006238CE"/>
    <w:rsid w:val="00625111"/>
    <w:rsid w:val="00625D3A"/>
    <w:rsid w:val="00630344"/>
    <w:rsid w:val="0063073E"/>
    <w:rsid w:val="00631141"/>
    <w:rsid w:val="006318C2"/>
    <w:rsid w:val="00632D49"/>
    <w:rsid w:val="00633D9C"/>
    <w:rsid w:val="00640FBA"/>
    <w:rsid w:val="00641B66"/>
    <w:rsid w:val="00642106"/>
    <w:rsid w:val="00642367"/>
    <w:rsid w:val="006458C8"/>
    <w:rsid w:val="00646611"/>
    <w:rsid w:val="0065234C"/>
    <w:rsid w:val="006534F2"/>
    <w:rsid w:val="0065647B"/>
    <w:rsid w:val="0066021B"/>
    <w:rsid w:val="00664E57"/>
    <w:rsid w:val="006761FC"/>
    <w:rsid w:val="00680604"/>
    <w:rsid w:val="00683023"/>
    <w:rsid w:val="0069217C"/>
    <w:rsid w:val="00695123"/>
    <w:rsid w:val="006971F7"/>
    <w:rsid w:val="006A04D0"/>
    <w:rsid w:val="006B1059"/>
    <w:rsid w:val="006B169E"/>
    <w:rsid w:val="006B4B95"/>
    <w:rsid w:val="006B4E4B"/>
    <w:rsid w:val="006B4F6B"/>
    <w:rsid w:val="006C569A"/>
    <w:rsid w:val="006C7836"/>
    <w:rsid w:val="006D0BEB"/>
    <w:rsid w:val="006D166A"/>
    <w:rsid w:val="006D5041"/>
    <w:rsid w:val="006D702C"/>
    <w:rsid w:val="006E19B5"/>
    <w:rsid w:val="006E2034"/>
    <w:rsid w:val="006E42A3"/>
    <w:rsid w:val="006E64D1"/>
    <w:rsid w:val="006F0100"/>
    <w:rsid w:val="006F3082"/>
    <w:rsid w:val="007008D3"/>
    <w:rsid w:val="00704309"/>
    <w:rsid w:val="0070697C"/>
    <w:rsid w:val="00707534"/>
    <w:rsid w:val="007110A5"/>
    <w:rsid w:val="007120F4"/>
    <w:rsid w:val="00712718"/>
    <w:rsid w:val="0071315E"/>
    <w:rsid w:val="007147C5"/>
    <w:rsid w:val="0072254C"/>
    <w:rsid w:val="00722BE2"/>
    <w:rsid w:val="00723363"/>
    <w:rsid w:val="00727E53"/>
    <w:rsid w:val="007304C1"/>
    <w:rsid w:val="00730A85"/>
    <w:rsid w:val="007313C0"/>
    <w:rsid w:val="00732015"/>
    <w:rsid w:val="00734797"/>
    <w:rsid w:val="00734D05"/>
    <w:rsid w:val="00736B2C"/>
    <w:rsid w:val="0073723A"/>
    <w:rsid w:val="007374BD"/>
    <w:rsid w:val="007403C2"/>
    <w:rsid w:val="007418FB"/>
    <w:rsid w:val="00742D3A"/>
    <w:rsid w:val="00745452"/>
    <w:rsid w:val="007479E6"/>
    <w:rsid w:val="00752BD6"/>
    <w:rsid w:val="007605A7"/>
    <w:rsid w:val="0076279C"/>
    <w:rsid w:val="00763FD5"/>
    <w:rsid w:val="0076738F"/>
    <w:rsid w:val="00770743"/>
    <w:rsid w:val="007711FC"/>
    <w:rsid w:val="00772F5C"/>
    <w:rsid w:val="00774965"/>
    <w:rsid w:val="00784B1C"/>
    <w:rsid w:val="00784B48"/>
    <w:rsid w:val="0078622E"/>
    <w:rsid w:val="007918E6"/>
    <w:rsid w:val="00792293"/>
    <w:rsid w:val="00793EF8"/>
    <w:rsid w:val="00793F3A"/>
    <w:rsid w:val="007944E4"/>
    <w:rsid w:val="007964B7"/>
    <w:rsid w:val="007967D4"/>
    <w:rsid w:val="007972B7"/>
    <w:rsid w:val="007A49BE"/>
    <w:rsid w:val="007B0633"/>
    <w:rsid w:val="007B3875"/>
    <w:rsid w:val="007B3E5A"/>
    <w:rsid w:val="007B5574"/>
    <w:rsid w:val="007B6AC9"/>
    <w:rsid w:val="007B78F4"/>
    <w:rsid w:val="007C0E40"/>
    <w:rsid w:val="007C295E"/>
    <w:rsid w:val="007C79A2"/>
    <w:rsid w:val="007D4E4E"/>
    <w:rsid w:val="007D671E"/>
    <w:rsid w:val="007E178C"/>
    <w:rsid w:val="007E2C8F"/>
    <w:rsid w:val="007E6F2F"/>
    <w:rsid w:val="007E79E8"/>
    <w:rsid w:val="007F0A62"/>
    <w:rsid w:val="007F31B7"/>
    <w:rsid w:val="007F3825"/>
    <w:rsid w:val="007F3DA0"/>
    <w:rsid w:val="007F42DC"/>
    <w:rsid w:val="0080188A"/>
    <w:rsid w:val="008023DD"/>
    <w:rsid w:val="00802C26"/>
    <w:rsid w:val="008042B7"/>
    <w:rsid w:val="00807333"/>
    <w:rsid w:val="008078C3"/>
    <w:rsid w:val="00810E79"/>
    <w:rsid w:val="0081139B"/>
    <w:rsid w:val="008115C9"/>
    <w:rsid w:val="00811649"/>
    <w:rsid w:val="00815F8E"/>
    <w:rsid w:val="008166CF"/>
    <w:rsid w:val="00816FA4"/>
    <w:rsid w:val="00821A8F"/>
    <w:rsid w:val="00822A4A"/>
    <w:rsid w:val="0082469A"/>
    <w:rsid w:val="008246A2"/>
    <w:rsid w:val="008332B0"/>
    <w:rsid w:val="00840D15"/>
    <w:rsid w:val="00846888"/>
    <w:rsid w:val="00846959"/>
    <w:rsid w:val="008506BB"/>
    <w:rsid w:val="008515B4"/>
    <w:rsid w:val="0085368A"/>
    <w:rsid w:val="0085629B"/>
    <w:rsid w:val="008563BB"/>
    <w:rsid w:val="008619D8"/>
    <w:rsid w:val="00865BF1"/>
    <w:rsid w:val="0087104A"/>
    <w:rsid w:val="00874BD6"/>
    <w:rsid w:val="00876220"/>
    <w:rsid w:val="008764BF"/>
    <w:rsid w:val="00883ACB"/>
    <w:rsid w:val="00887505"/>
    <w:rsid w:val="008877B0"/>
    <w:rsid w:val="0089197F"/>
    <w:rsid w:val="00893A0F"/>
    <w:rsid w:val="00894824"/>
    <w:rsid w:val="008965CA"/>
    <w:rsid w:val="008975B5"/>
    <w:rsid w:val="0089767D"/>
    <w:rsid w:val="008A0824"/>
    <w:rsid w:val="008A14A6"/>
    <w:rsid w:val="008A29B8"/>
    <w:rsid w:val="008A4762"/>
    <w:rsid w:val="008B1865"/>
    <w:rsid w:val="008B1CAA"/>
    <w:rsid w:val="008B5EF0"/>
    <w:rsid w:val="008C140E"/>
    <w:rsid w:val="008C24B9"/>
    <w:rsid w:val="008C34E2"/>
    <w:rsid w:val="008C72CD"/>
    <w:rsid w:val="008D00DC"/>
    <w:rsid w:val="008D0209"/>
    <w:rsid w:val="008D6D1A"/>
    <w:rsid w:val="008E0107"/>
    <w:rsid w:val="008E0F30"/>
    <w:rsid w:val="008E1A70"/>
    <w:rsid w:val="008F2063"/>
    <w:rsid w:val="008F6086"/>
    <w:rsid w:val="008F6813"/>
    <w:rsid w:val="00904489"/>
    <w:rsid w:val="00904989"/>
    <w:rsid w:val="00907333"/>
    <w:rsid w:val="009076CD"/>
    <w:rsid w:val="00907FA3"/>
    <w:rsid w:val="00910CED"/>
    <w:rsid w:val="00910D0F"/>
    <w:rsid w:val="0091272F"/>
    <w:rsid w:val="0091426F"/>
    <w:rsid w:val="00921728"/>
    <w:rsid w:val="00925DBF"/>
    <w:rsid w:val="00927348"/>
    <w:rsid w:val="00927CB8"/>
    <w:rsid w:val="0093180E"/>
    <w:rsid w:val="009362AB"/>
    <w:rsid w:val="00937AD0"/>
    <w:rsid w:val="00940336"/>
    <w:rsid w:val="0094144C"/>
    <w:rsid w:val="0094171E"/>
    <w:rsid w:val="0094213D"/>
    <w:rsid w:val="00946EB7"/>
    <w:rsid w:val="00947BD0"/>
    <w:rsid w:val="0095035C"/>
    <w:rsid w:val="00951FB1"/>
    <w:rsid w:val="00953637"/>
    <w:rsid w:val="00955535"/>
    <w:rsid w:val="00955AD7"/>
    <w:rsid w:val="009610EC"/>
    <w:rsid w:val="00963393"/>
    <w:rsid w:val="00971E2B"/>
    <w:rsid w:val="009761C7"/>
    <w:rsid w:val="00980413"/>
    <w:rsid w:val="00982B10"/>
    <w:rsid w:val="00984950"/>
    <w:rsid w:val="0098544C"/>
    <w:rsid w:val="00985D75"/>
    <w:rsid w:val="0098733E"/>
    <w:rsid w:val="00991AA3"/>
    <w:rsid w:val="00994544"/>
    <w:rsid w:val="00994F88"/>
    <w:rsid w:val="00996285"/>
    <w:rsid w:val="00996E9A"/>
    <w:rsid w:val="009A5FAD"/>
    <w:rsid w:val="009A6319"/>
    <w:rsid w:val="009A7732"/>
    <w:rsid w:val="009A7C16"/>
    <w:rsid w:val="009B1619"/>
    <w:rsid w:val="009B5E5F"/>
    <w:rsid w:val="009C00BE"/>
    <w:rsid w:val="009C0AE3"/>
    <w:rsid w:val="009C0D0C"/>
    <w:rsid w:val="009C1FA7"/>
    <w:rsid w:val="009C2480"/>
    <w:rsid w:val="009C2D90"/>
    <w:rsid w:val="009C4122"/>
    <w:rsid w:val="009C6644"/>
    <w:rsid w:val="009D1950"/>
    <w:rsid w:val="009D20DE"/>
    <w:rsid w:val="009D507B"/>
    <w:rsid w:val="009E5162"/>
    <w:rsid w:val="009E6A9B"/>
    <w:rsid w:val="009F0A3F"/>
    <w:rsid w:val="009F5899"/>
    <w:rsid w:val="00A01D9F"/>
    <w:rsid w:val="00A07AA6"/>
    <w:rsid w:val="00A1201A"/>
    <w:rsid w:val="00A127BB"/>
    <w:rsid w:val="00A12AFF"/>
    <w:rsid w:val="00A12C44"/>
    <w:rsid w:val="00A1336E"/>
    <w:rsid w:val="00A14A5A"/>
    <w:rsid w:val="00A15690"/>
    <w:rsid w:val="00A170FF"/>
    <w:rsid w:val="00A20DA7"/>
    <w:rsid w:val="00A23576"/>
    <w:rsid w:val="00A23728"/>
    <w:rsid w:val="00A2449C"/>
    <w:rsid w:val="00A2495C"/>
    <w:rsid w:val="00A25172"/>
    <w:rsid w:val="00A327C7"/>
    <w:rsid w:val="00A33C1D"/>
    <w:rsid w:val="00A35CDB"/>
    <w:rsid w:val="00A4116C"/>
    <w:rsid w:val="00A44120"/>
    <w:rsid w:val="00A4556F"/>
    <w:rsid w:val="00A50F58"/>
    <w:rsid w:val="00A52F33"/>
    <w:rsid w:val="00A57E38"/>
    <w:rsid w:val="00A67D91"/>
    <w:rsid w:val="00A71AF9"/>
    <w:rsid w:val="00A74A46"/>
    <w:rsid w:val="00A74AD1"/>
    <w:rsid w:val="00A74EF3"/>
    <w:rsid w:val="00A82A85"/>
    <w:rsid w:val="00A83F69"/>
    <w:rsid w:val="00A84EEB"/>
    <w:rsid w:val="00A90F8D"/>
    <w:rsid w:val="00AB01BD"/>
    <w:rsid w:val="00AB088F"/>
    <w:rsid w:val="00AB1DA5"/>
    <w:rsid w:val="00AB54BF"/>
    <w:rsid w:val="00AC334E"/>
    <w:rsid w:val="00AC4EAB"/>
    <w:rsid w:val="00AC4EEF"/>
    <w:rsid w:val="00AC74B6"/>
    <w:rsid w:val="00AD2422"/>
    <w:rsid w:val="00AD5DE1"/>
    <w:rsid w:val="00AD7CD4"/>
    <w:rsid w:val="00AE001B"/>
    <w:rsid w:val="00AE017D"/>
    <w:rsid w:val="00AE3A6B"/>
    <w:rsid w:val="00AF18FD"/>
    <w:rsid w:val="00AF21B7"/>
    <w:rsid w:val="00AF31E5"/>
    <w:rsid w:val="00B014AA"/>
    <w:rsid w:val="00B018FE"/>
    <w:rsid w:val="00B1105D"/>
    <w:rsid w:val="00B11468"/>
    <w:rsid w:val="00B123C9"/>
    <w:rsid w:val="00B1294F"/>
    <w:rsid w:val="00B1318F"/>
    <w:rsid w:val="00B138C4"/>
    <w:rsid w:val="00B1522E"/>
    <w:rsid w:val="00B2352E"/>
    <w:rsid w:val="00B248DD"/>
    <w:rsid w:val="00B26C69"/>
    <w:rsid w:val="00B30E07"/>
    <w:rsid w:val="00B316B9"/>
    <w:rsid w:val="00B31AC1"/>
    <w:rsid w:val="00B37C47"/>
    <w:rsid w:val="00B42AA1"/>
    <w:rsid w:val="00B44D25"/>
    <w:rsid w:val="00B51346"/>
    <w:rsid w:val="00B52D68"/>
    <w:rsid w:val="00B5318C"/>
    <w:rsid w:val="00B53E10"/>
    <w:rsid w:val="00B60D8E"/>
    <w:rsid w:val="00B62477"/>
    <w:rsid w:val="00B66A5F"/>
    <w:rsid w:val="00B704AD"/>
    <w:rsid w:val="00B720A6"/>
    <w:rsid w:val="00B7435C"/>
    <w:rsid w:val="00B74D45"/>
    <w:rsid w:val="00B74F21"/>
    <w:rsid w:val="00B77965"/>
    <w:rsid w:val="00B8045E"/>
    <w:rsid w:val="00B83B02"/>
    <w:rsid w:val="00B85391"/>
    <w:rsid w:val="00B90284"/>
    <w:rsid w:val="00B91877"/>
    <w:rsid w:val="00B91C3B"/>
    <w:rsid w:val="00B94E20"/>
    <w:rsid w:val="00BA1C3B"/>
    <w:rsid w:val="00BA3AE8"/>
    <w:rsid w:val="00BA6C0C"/>
    <w:rsid w:val="00BA7A3C"/>
    <w:rsid w:val="00BB0177"/>
    <w:rsid w:val="00BB44FA"/>
    <w:rsid w:val="00BB59E1"/>
    <w:rsid w:val="00BC3814"/>
    <w:rsid w:val="00BC3CED"/>
    <w:rsid w:val="00BC435D"/>
    <w:rsid w:val="00BD05F0"/>
    <w:rsid w:val="00BD0A10"/>
    <w:rsid w:val="00BD1922"/>
    <w:rsid w:val="00BD1D14"/>
    <w:rsid w:val="00BD324A"/>
    <w:rsid w:val="00BD3CC6"/>
    <w:rsid w:val="00BD526C"/>
    <w:rsid w:val="00BD5928"/>
    <w:rsid w:val="00BD6F03"/>
    <w:rsid w:val="00BE4ED8"/>
    <w:rsid w:val="00BE51C8"/>
    <w:rsid w:val="00BE7D56"/>
    <w:rsid w:val="00BF1BE8"/>
    <w:rsid w:val="00BF7D7A"/>
    <w:rsid w:val="00C01FF3"/>
    <w:rsid w:val="00C03408"/>
    <w:rsid w:val="00C04AAB"/>
    <w:rsid w:val="00C07141"/>
    <w:rsid w:val="00C07214"/>
    <w:rsid w:val="00C1719E"/>
    <w:rsid w:val="00C213D5"/>
    <w:rsid w:val="00C22244"/>
    <w:rsid w:val="00C34F23"/>
    <w:rsid w:val="00C42D9D"/>
    <w:rsid w:val="00C4323B"/>
    <w:rsid w:val="00C43DC6"/>
    <w:rsid w:val="00C45FAD"/>
    <w:rsid w:val="00C5268D"/>
    <w:rsid w:val="00C52A4D"/>
    <w:rsid w:val="00C5348B"/>
    <w:rsid w:val="00C539BC"/>
    <w:rsid w:val="00C553F5"/>
    <w:rsid w:val="00C568AF"/>
    <w:rsid w:val="00C56F11"/>
    <w:rsid w:val="00C60FC8"/>
    <w:rsid w:val="00C62798"/>
    <w:rsid w:val="00C62D55"/>
    <w:rsid w:val="00C638DA"/>
    <w:rsid w:val="00C64231"/>
    <w:rsid w:val="00C6696C"/>
    <w:rsid w:val="00C713D7"/>
    <w:rsid w:val="00C71884"/>
    <w:rsid w:val="00C71A7A"/>
    <w:rsid w:val="00C727EE"/>
    <w:rsid w:val="00C736AC"/>
    <w:rsid w:val="00C745C7"/>
    <w:rsid w:val="00C74B0D"/>
    <w:rsid w:val="00C76369"/>
    <w:rsid w:val="00C812F9"/>
    <w:rsid w:val="00C828A4"/>
    <w:rsid w:val="00C864A9"/>
    <w:rsid w:val="00CA0729"/>
    <w:rsid w:val="00CA09E4"/>
    <w:rsid w:val="00CA21EC"/>
    <w:rsid w:val="00CA31BE"/>
    <w:rsid w:val="00CA501C"/>
    <w:rsid w:val="00CA5DA1"/>
    <w:rsid w:val="00CB09EC"/>
    <w:rsid w:val="00CB1A6A"/>
    <w:rsid w:val="00CC0AAB"/>
    <w:rsid w:val="00CC1F06"/>
    <w:rsid w:val="00CC655A"/>
    <w:rsid w:val="00CC6F62"/>
    <w:rsid w:val="00CC70A9"/>
    <w:rsid w:val="00CD01BE"/>
    <w:rsid w:val="00CD1C41"/>
    <w:rsid w:val="00CD602C"/>
    <w:rsid w:val="00CE251D"/>
    <w:rsid w:val="00CE36E0"/>
    <w:rsid w:val="00CE735D"/>
    <w:rsid w:val="00CE7A6E"/>
    <w:rsid w:val="00CF346B"/>
    <w:rsid w:val="00CF4501"/>
    <w:rsid w:val="00CF525B"/>
    <w:rsid w:val="00CF7795"/>
    <w:rsid w:val="00D00D6F"/>
    <w:rsid w:val="00D0136F"/>
    <w:rsid w:val="00D03C5F"/>
    <w:rsid w:val="00D07929"/>
    <w:rsid w:val="00D15AE8"/>
    <w:rsid w:val="00D16289"/>
    <w:rsid w:val="00D20A6B"/>
    <w:rsid w:val="00D20D7D"/>
    <w:rsid w:val="00D2431A"/>
    <w:rsid w:val="00D24A78"/>
    <w:rsid w:val="00D25FE2"/>
    <w:rsid w:val="00D2687D"/>
    <w:rsid w:val="00D323B1"/>
    <w:rsid w:val="00D368F4"/>
    <w:rsid w:val="00D40F95"/>
    <w:rsid w:val="00D47045"/>
    <w:rsid w:val="00D47CDC"/>
    <w:rsid w:val="00D5042C"/>
    <w:rsid w:val="00D50E9C"/>
    <w:rsid w:val="00D514BD"/>
    <w:rsid w:val="00D51699"/>
    <w:rsid w:val="00D52D06"/>
    <w:rsid w:val="00D52E69"/>
    <w:rsid w:val="00D63B49"/>
    <w:rsid w:val="00D7158B"/>
    <w:rsid w:val="00D7325A"/>
    <w:rsid w:val="00D7524F"/>
    <w:rsid w:val="00D81CB0"/>
    <w:rsid w:val="00D8350B"/>
    <w:rsid w:val="00D83C08"/>
    <w:rsid w:val="00D8418B"/>
    <w:rsid w:val="00D84190"/>
    <w:rsid w:val="00D84D7A"/>
    <w:rsid w:val="00D9006C"/>
    <w:rsid w:val="00D9126E"/>
    <w:rsid w:val="00D923F2"/>
    <w:rsid w:val="00D92C22"/>
    <w:rsid w:val="00D92D95"/>
    <w:rsid w:val="00D92FC4"/>
    <w:rsid w:val="00D9341C"/>
    <w:rsid w:val="00D94BC8"/>
    <w:rsid w:val="00D96D46"/>
    <w:rsid w:val="00DA149C"/>
    <w:rsid w:val="00DA3377"/>
    <w:rsid w:val="00DA4516"/>
    <w:rsid w:val="00DB33AE"/>
    <w:rsid w:val="00DB3E7E"/>
    <w:rsid w:val="00DB6395"/>
    <w:rsid w:val="00DC16E5"/>
    <w:rsid w:val="00DC298D"/>
    <w:rsid w:val="00DC35AC"/>
    <w:rsid w:val="00DC710A"/>
    <w:rsid w:val="00DD108C"/>
    <w:rsid w:val="00DD324B"/>
    <w:rsid w:val="00DD4540"/>
    <w:rsid w:val="00DD717F"/>
    <w:rsid w:val="00DE2634"/>
    <w:rsid w:val="00DF208E"/>
    <w:rsid w:val="00DF2EE8"/>
    <w:rsid w:val="00DF4FF6"/>
    <w:rsid w:val="00DF7D7B"/>
    <w:rsid w:val="00E00517"/>
    <w:rsid w:val="00E111B4"/>
    <w:rsid w:val="00E115B9"/>
    <w:rsid w:val="00E12D31"/>
    <w:rsid w:val="00E14FDC"/>
    <w:rsid w:val="00E16C38"/>
    <w:rsid w:val="00E17729"/>
    <w:rsid w:val="00E202F4"/>
    <w:rsid w:val="00E2085A"/>
    <w:rsid w:val="00E21B90"/>
    <w:rsid w:val="00E26344"/>
    <w:rsid w:val="00E2650A"/>
    <w:rsid w:val="00E33B55"/>
    <w:rsid w:val="00E3575A"/>
    <w:rsid w:val="00E36082"/>
    <w:rsid w:val="00E41B7F"/>
    <w:rsid w:val="00E466B2"/>
    <w:rsid w:val="00E51E43"/>
    <w:rsid w:val="00E52050"/>
    <w:rsid w:val="00E558D7"/>
    <w:rsid w:val="00E55FCF"/>
    <w:rsid w:val="00E572A8"/>
    <w:rsid w:val="00E6069C"/>
    <w:rsid w:val="00E612CF"/>
    <w:rsid w:val="00E6553F"/>
    <w:rsid w:val="00E6607B"/>
    <w:rsid w:val="00E7204B"/>
    <w:rsid w:val="00E76669"/>
    <w:rsid w:val="00E77C01"/>
    <w:rsid w:val="00E80A41"/>
    <w:rsid w:val="00E82B46"/>
    <w:rsid w:val="00E83D22"/>
    <w:rsid w:val="00E84D02"/>
    <w:rsid w:val="00E90396"/>
    <w:rsid w:val="00E929C0"/>
    <w:rsid w:val="00E948EE"/>
    <w:rsid w:val="00E9605C"/>
    <w:rsid w:val="00EA01FE"/>
    <w:rsid w:val="00EA04BD"/>
    <w:rsid w:val="00EA1DE7"/>
    <w:rsid w:val="00EA2EC1"/>
    <w:rsid w:val="00EA716B"/>
    <w:rsid w:val="00EA79D2"/>
    <w:rsid w:val="00EB319B"/>
    <w:rsid w:val="00EB51C7"/>
    <w:rsid w:val="00EC042A"/>
    <w:rsid w:val="00EC097A"/>
    <w:rsid w:val="00EC0A2D"/>
    <w:rsid w:val="00EC120C"/>
    <w:rsid w:val="00EC2317"/>
    <w:rsid w:val="00EC2874"/>
    <w:rsid w:val="00EC4593"/>
    <w:rsid w:val="00EE188E"/>
    <w:rsid w:val="00EE2F6F"/>
    <w:rsid w:val="00EE2FD0"/>
    <w:rsid w:val="00EE43CD"/>
    <w:rsid w:val="00EE6312"/>
    <w:rsid w:val="00EE6631"/>
    <w:rsid w:val="00EE6E19"/>
    <w:rsid w:val="00EE729A"/>
    <w:rsid w:val="00EF0B4D"/>
    <w:rsid w:val="00EF7627"/>
    <w:rsid w:val="00F038B9"/>
    <w:rsid w:val="00F047BC"/>
    <w:rsid w:val="00F13403"/>
    <w:rsid w:val="00F137FF"/>
    <w:rsid w:val="00F14501"/>
    <w:rsid w:val="00F14891"/>
    <w:rsid w:val="00F162C8"/>
    <w:rsid w:val="00F208CF"/>
    <w:rsid w:val="00F2162F"/>
    <w:rsid w:val="00F21AEB"/>
    <w:rsid w:val="00F25C4B"/>
    <w:rsid w:val="00F26506"/>
    <w:rsid w:val="00F27915"/>
    <w:rsid w:val="00F34357"/>
    <w:rsid w:val="00F34C7B"/>
    <w:rsid w:val="00F353B0"/>
    <w:rsid w:val="00F441EC"/>
    <w:rsid w:val="00F44BDD"/>
    <w:rsid w:val="00F45905"/>
    <w:rsid w:val="00F462F1"/>
    <w:rsid w:val="00F50CF1"/>
    <w:rsid w:val="00F51B20"/>
    <w:rsid w:val="00F62692"/>
    <w:rsid w:val="00F656BF"/>
    <w:rsid w:val="00F65770"/>
    <w:rsid w:val="00F66FB6"/>
    <w:rsid w:val="00F67C1C"/>
    <w:rsid w:val="00F71D09"/>
    <w:rsid w:val="00F73941"/>
    <w:rsid w:val="00F7431B"/>
    <w:rsid w:val="00F7576D"/>
    <w:rsid w:val="00F773E5"/>
    <w:rsid w:val="00F820A0"/>
    <w:rsid w:val="00F85797"/>
    <w:rsid w:val="00F87CC9"/>
    <w:rsid w:val="00F90B98"/>
    <w:rsid w:val="00F92343"/>
    <w:rsid w:val="00F93BF7"/>
    <w:rsid w:val="00FA1477"/>
    <w:rsid w:val="00FA1552"/>
    <w:rsid w:val="00FA2A91"/>
    <w:rsid w:val="00FA2D86"/>
    <w:rsid w:val="00FA608A"/>
    <w:rsid w:val="00FA6FCB"/>
    <w:rsid w:val="00FB237D"/>
    <w:rsid w:val="00FB260E"/>
    <w:rsid w:val="00FB344E"/>
    <w:rsid w:val="00FB34E9"/>
    <w:rsid w:val="00FB40DB"/>
    <w:rsid w:val="00FB4C7A"/>
    <w:rsid w:val="00FB54B5"/>
    <w:rsid w:val="00FB778B"/>
    <w:rsid w:val="00FD14AC"/>
    <w:rsid w:val="00FD48F9"/>
    <w:rsid w:val="00FD6B42"/>
    <w:rsid w:val="00FE1174"/>
    <w:rsid w:val="00FE4DF1"/>
    <w:rsid w:val="00FE775E"/>
    <w:rsid w:val="00FF048D"/>
    <w:rsid w:val="00FF1A18"/>
    <w:rsid w:val="00FF3478"/>
    <w:rsid w:val="00FF37B6"/>
    <w:rsid w:val="01E6769A"/>
    <w:rsid w:val="029372BC"/>
    <w:rsid w:val="029E1235"/>
    <w:rsid w:val="02B919E3"/>
    <w:rsid w:val="04254D51"/>
    <w:rsid w:val="047606B2"/>
    <w:rsid w:val="053A1553"/>
    <w:rsid w:val="0612308B"/>
    <w:rsid w:val="06D920C4"/>
    <w:rsid w:val="08605018"/>
    <w:rsid w:val="09705B26"/>
    <w:rsid w:val="09723DFD"/>
    <w:rsid w:val="0B971979"/>
    <w:rsid w:val="0CB0436E"/>
    <w:rsid w:val="0D022091"/>
    <w:rsid w:val="0FCF3FEE"/>
    <w:rsid w:val="12D57A52"/>
    <w:rsid w:val="13A87202"/>
    <w:rsid w:val="14AE5D8E"/>
    <w:rsid w:val="1544742F"/>
    <w:rsid w:val="16AF45C4"/>
    <w:rsid w:val="18786DE0"/>
    <w:rsid w:val="19483604"/>
    <w:rsid w:val="19803867"/>
    <w:rsid w:val="19F54D90"/>
    <w:rsid w:val="1AB0550A"/>
    <w:rsid w:val="1B2F62F6"/>
    <w:rsid w:val="1B3F7B5D"/>
    <w:rsid w:val="1B655969"/>
    <w:rsid w:val="1CF422CE"/>
    <w:rsid w:val="1D8A1D25"/>
    <w:rsid w:val="1F737CB9"/>
    <w:rsid w:val="1FB471F4"/>
    <w:rsid w:val="20FF789E"/>
    <w:rsid w:val="211E296F"/>
    <w:rsid w:val="212B72A8"/>
    <w:rsid w:val="2317616C"/>
    <w:rsid w:val="23511A68"/>
    <w:rsid w:val="23943722"/>
    <w:rsid w:val="24CB4CEE"/>
    <w:rsid w:val="270B1D37"/>
    <w:rsid w:val="27657062"/>
    <w:rsid w:val="286F2E37"/>
    <w:rsid w:val="2B052094"/>
    <w:rsid w:val="2C31037F"/>
    <w:rsid w:val="2E1B5DD9"/>
    <w:rsid w:val="2FB41EDE"/>
    <w:rsid w:val="312156FA"/>
    <w:rsid w:val="32C669B6"/>
    <w:rsid w:val="336B2F7C"/>
    <w:rsid w:val="33E92B43"/>
    <w:rsid w:val="34D92F64"/>
    <w:rsid w:val="35134FE4"/>
    <w:rsid w:val="363207F2"/>
    <w:rsid w:val="366134DA"/>
    <w:rsid w:val="36FF0D48"/>
    <w:rsid w:val="370578D9"/>
    <w:rsid w:val="37E6551E"/>
    <w:rsid w:val="3ACB5906"/>
    <w:rsid w:val="3B904DCD"/>
    <w:rsid w:val="3CC93DEF"/>
    <w:rsid w:val="3D39026F"/>
    <w:rsid w:val="3E173904"/>
    <w:rsid w:val="3E81444C"/>
    <w:rsid w:val="41595AF2"/>
    <w:rsid w:val="41FB7817"/>
    <w:rsid w:val="42372ACF"/>
    <w:rsid w:val="42774268"/>
    <w:rsid w:val="435D574A"/>
    <w:rsid w:val="438161C7"/>
    <w:rsid w:val="43B92CB5"/>
    <w:rsid w:val="44137DA9"/>
    <w:rsid w:val="44782084"/>
    <w:rsid w:val="44AE3106"/>
    <w:rsid w:val="453C39A5"/>
    <w:rsid w:val="45FC5738"/>
    <w:rsid w:val="462959A7"/>
    <w:rsid w:val="46527CB3"/>
    <w:rsid w:val="46FF49F3"/>
    <w:rsid w:val="470A0CE4"/>
    <w:rsid w:val="480E1799"/>
    <w:rsid w:val="49364025"/>
    <w:rsid w:val="496B6FA8"/>
    <w:rsid w:val="499852CC"/>
    <w:rsid w:val="4E022940"/>
    <w:rsid w:val="4EB40176"/>
    <w:rsid w:val="4F4D2050"/>
    <w:rsid w:val="503651D1"/>
    <w:rsid w:val="507B7321"/>
    <w:rsid w:val="51B26AD7"/>
    <w:rsid w:val="53983961"/>
    <w:rsid w:val="59922222"/>
    <w:rsid w:val="59BB6BE4"/>
    <w:rsid w:val="5B4E71E6"/>
    <w:rsid w:val="5DC2124B"/>
    <w:rsid w:val="5E246FD3"/>
    <w:rsid w:val="5E390EF4"/>
    <w:rsid w:val="5E7E2E4A"/>
    <w:rsid w:val="5E9146A5"/>
    <w:rsid w:val="60EA00E1"/>
    <w:rsid w:val="61754A6A"/>
    <w:rsid w:val="62706BD0"/>
    <w:rsid w:val="635B71B1"/>
    <w:rsid w:val="638650EF"/>
    <w:rsid w:val="64A15575"/>
    <w:rsid w:val="64F47E18"/>
    <w:rsid w:val="66AB353D"/>
    <w:rsid w:val="69993BB9"/>
    <w:rsid w:val="699F04F5"/>
    <w:rsid w:val="69D41DAA"/>
    <w:rsid w:val="6BCA5B65"/>
    <w:rsid w:val="6BD27F3A"/>
    <w:rsid w:val="6D5758DC"/>
    <w:rsid w:val="6E4633BA"/>
    <w:rsid w:val="6E7B006A"/>
    <w:rsid w:val="6F7A2A06"/>
    <w:rsid w:val="702B404F"/>
    <w:rsid w:val="70DC38A1"/>
    <w:rsid w:val="71206853"/>
    <w:rsid w:val="712C05D2"/>
    <w:rsid w:val="7252267D"/>
    <w:rsid w:val="725F1686"/>
    <w:rsid w:val="73084991"/>
    <w:rsid w:val="73DB1E31"/>
    <w:rsid w:val="7701519F"/>
    <w:rsid w:val="770E6336"/>
    <w:rsid w:val="78102C2B"/>
    <w:rsid w:val="797728C4"/>
    <w:rsid w:val="7AAA4073"/>
    <w:rsid w:val="7B5474BA"/>
    <w:rsid w:val="7C4618B8"/>
    <w:rsid w:val="7D117779"/>
    <w:rsid w:val="7D2760D8"/>
    <w:rsid w:val="7DB729FD"/>
    <w:rsid w:val="7DC4144B"/>
    <w:rsid w:val="7EB0106A"/>
    <w:rsid w:val="7EE57B46"/>
    <w:rsid w:val="7EF77A39"/>
    <w:rsid w:val="7F9D0EE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paragraph" w:styleId="3">
    <w:name w:val="heading 5"/>
    <w:basedOn w:val="1"/>
    <w:next w:val="1"/>
    <w:qFormat/>
    <w:uiPriority w:val="0"/>
    <w:pPr>
      <w:keepNext/>
      <w:keepLines/>
      <w:spacing w:before="280" w:after="290" w:line="376" w:lineRule="auto"/>
      <w:outlineLvl w:val="4"/>
    </w:pPr>
    <w:rPr>
      <w:b/>
      <w:bCs/>
      <w:sz w:val="28"/>
      <w:szCs w:val="28"/>
    </w:rPr>
  </w:style>
  <w:style w:type="paragraph" w:styleId="4">
    <w:name w:val="heading 6"/>
    <w:basedOn w:val="1"/>
    <w:next w:val="1"/>
    <w:qFormat/>
    <w:uiPriority w:val="0"/>
    <w:pPr>
      <w:keepNext/>
      <w:keepLines/>
      <w:numPr>
        <w:ilvl w:val="5"/>
        <w:numId w:val="1"/>
      </w:numPr>
      <w:autoSpaceDE w:val="0"/>
      <w:autoSpaceDN w:val="0"/>
      <w:adjustRightInd w:val="0"/>
      <w:spacing w:before="240" w:after="64" w:line="320" w:lineRule="auto"/>
      <w:jc w:val="left"/>
      <w:textAlignment w:val="baseline"/>
      <w:outlineLvl w:val="5"/>
    </w:pPr>
    <w:rPr>
      <w:rFonts w:ascii="Arial" w:hAnsi="Arial" w:eastAsia="黑体"/>
      <w:b/>
      <w:bCs/>
      <w:kern w:val="0"/>
      <w:sz w:val="24"/>
    </w:rPr>
  </w:style>
  <w:style w:type="paragraph" w:styleId="5">
    <w:name w:val="heading 7"/>
    <w:basedOn w:val="1"/>
    <w:next w:val="1"/>
    <w:qFormat/>
    <w:uiPriority w:val="0"/>
    <w:pPr>
      <w:keepNext/>
      <w:keepLines/>
      <w:numPr>
        <w:ilvl w:val="6"/>
        <w:numId w:val="1"/>
      </w:numPr>
      <w:autoSpaceDE w:val="0"/>
      <w:autoSpaceDN w:val="0"/>
      <w:adjustRightInd w:val="0"/>
      <w:spacing w:before="240" w:after="64" w:line="320" w:lineRule="auto"/>
      <w:jc w:val="left"/>
      <w:textAlignment w:val="baseline"/>
      <w:outlineLvl w:val="6"/>
    </w:pPr>
    <w:rPr>
      <w:rFonts w:ascii="宋体"/>
      <w:b/>
      <w:bCs/>
      <w:kern w:val="0"/>
      <w:sz w:val="24"/>
    </w:rPr>
  </w:style>
  <w:style w:type="paragraph" w:styleId="6">
    <w:name w:val="heading 8"/>
    <w:basedOn w:val="1"/>
    <w:next w:val="1"/>
    <w:qFormat/>
    <w:uiPriority w:val="0"/>
    <w:pPr>
      <w:keepNext/>
      <w:keepLines/>
      <w:numPr>
        <w:ilvl w:val="7"/>
        <w:numId w:val="1"/>
      </w:numPr>
      <w:autoSpaceDE w:val="0"/>
      <w:autoSpaceDN w:val="0"/>
      <w:adjustRightInd w:val="0"/>
      <w:spacing w:before="240" w:after="64" w:line="320" w:lineRule="auto"/>
      <w:jc w:val="left"/>
      <w:textAlignment w:val="baseline"/>
      <w:outlineLvl w:val="7"/>
    </w:pPr>
    <w:rPr>
      <w:rFonts w:ascii="Arial" w:hAnsi="Arial" w:eastAsia="黑体"/>
      <w:kern w:val="0"/>
      <w:sz w:val="24"/>
    </w:rPr>
  </w:style>
  <w:style w:type="paragraph" w:styleId="7">
    <w:name w:val="heading 9"/>
    <w:basedOn w:val="1"/>
    <w:next w:val="1"/>
    <w:qFormat/>
    <w:uiPriority w:val="0"/>
    <w:pPr>
      <w:keepNext/>
      <w:keepLines/>
      <w:numPr>
        <w:ilvl w:val="8"/>
        <w:numId w:val="1"/>
      </w:numPr>
      <w:autoSpaceDE w:val="0"/>
      <w:autoSpaceDN w:val="0"/>
      <w:adjustRightInd w:val="0"/>
      <w:spacing w:before="240" w:after="64" w:line="320" w:lineRule="auto"/>
      <w:jc w:val="left"/>
      <w:textAlignment w:val="baseline"/>
      <w:outlineLvl w:val="8"/>
    </w:pPr>
    <w:rPr>
      <w:rFonts w:ascii="Arial" w:hAnsi="Arial" w:eastAsia="黑体"/>
      <w:kern w:val="0"/>
      <w:szCs w:val="21"/>
    </w:rPr>
  </w:style>
  <w:style w:type="character" w:default="1" w:styleId="23">
    <w:name w:val="Default Paragraph Font"/>
    <w:semiHidden/>
    <w:uiPriority w:val="0"/>
  </w:style>
  <w:style w:type="table" w:default="1" w:styleId="22">
    <w:name w:val="Normal Table"/>
    <w:semiHidden/>
    <w:uiPriority w:val="0"/>
    <w:tblPr>
      <w:tblStyle w:val="22"/>
      <w:tblCellMar>
        <w:top w:w="0" w:type="dxa"/>
        <w:left w:w="108" w:type="dxa"/>
        <w:bottom w:w="0" w:type="dxa"/>
        <w:right w:w="108" w:type="dxa"/>
      </w:tblCellMar>
    </w:tblPr>
  </w:style>
  <w:style w:type="paragraph" w:styleId="8">
    <w:name w:val="Normal Indent"/>
    <w:basedOn w:val="1"/>
    <w:uiPriority w:val="0"/>
    <w:pPr>
      <w:autoSpaceDE w:val="0"/>
      <w:autoSpaceDN w:val="0"/>
      <w:adjustRightInd w:val="0"/>
      <w:spacing w:line="360" w:lineRule="atLeast"/>
      <w:ind w:firstLine="420"/>
      <w:jc w:val="left"/>
    </w:pPr>
    <w:rPr>
      <w:rFonts w:ascii="宋体"/>
      <w:kern w:val="0"/>
      <w:sz w:val="24"/>
      <w:szCs w:val="20"/>
    </w:rPr>
  </w:style>
  <w:style w:type="paragraph" w:styleId="9">
    <w:name w:val="annotation text"/>
    <w:basedOn w:val="1"/>
    <w:semiHidden/>
    <w:uiPriority w:val="0"/>
    <w:pPr>
      <w:jc w:val="left"/>
    </w:pPr>
  </w:style>
  <w:style w:type="paragraph" w:styleId="10">
    <w:name w:val="Salutation"/>
    <w:basedOn w:val="1"/>
    <w:next w:val="1"/>
    <w:uiPriority w:val="0"/>
    <w:pPr>
      <w:adjustRightInd w:val="0"/>
      <w:spacing w:line="312" w:lineRule="atLeast"/>
      <w:textAlignment w:val="baseline"/>
    </w:pPr>
    <w:rPr>
      <w:spacing w:val="-12"/>
      <w:kern w:val="0"/>
      <w:sz w:val="28"/>
      <w:szCs w:val="20"/>
    </w:rPr>
  </w:style>
  <w:style w:type="paragraph" w:styleId="11">
    <w:name w:val="Body Text"/>
    <w:basedOn w:val="1"/>
    <w:uiPriority w:val="0"/>
    <w:pPr>
      <w:spacing w:after="120"/>
    </w:pPr>
  </w:style>
  <w:style w:type="paragraph" w:styleId="12">
    <w:name w:val="Body Text Indent"/>
    <w:basedOn w:val="1"/>
    <w:uiPriority w:val="0"/>
    <w:pPr>
      <w:autoSpaceDE w:val="0"/>
      <w:autoSpaceDN w:val="0"/>
      <w:spacing w:line="360" w:lineRule="auto"/>
      <w:ind w:firstLine="680"/>
      <w:textAlignment w:val="bottom"/>
    </w:pPr>
    <w:rPr>
      <w:rFonts w:ascii="仿宋_GB2312" w:hAnsi="汉鼎繁标宋" w:eastAsia="仿宋_GB2312"/>
      <w:sz w:val="28"/>
    </w:rPr>
  </w:style>
  <w:style w:type="paragraph" w:styleId="13">
    <w:name w:val="Plain Text"/>
    <w:basedOn w:val="1"/>
    <w:uiPriority w:val="0"/>
    <w:rPr>
      <w:rFonts w:ascii="宋体" w:hAnsi="Courier New" w:cs="Courier New"/>
      <w:szCs w:val="21"/>
    </w:rPr>
  </w:style>
  <w:style w:type="paragraph" w:styleId="14">
    <w:name w:val="Date"/>
    <w:basedOn w:val="1"/>
    <w:next w:val="1"/>
    <w:uiPriority w:val="0"/>
    <w:rPr>
      <w:rFonts w:ascii="仿宋_GB2312" w:eastAsia="仿宋_GB2312"/>
      <w:sz w:val="28"/>
      <w:szCs w:val="20"/>
    </w:rPr>
  </w:style>
  <w:style w:type="paragraph" w:styleId="15">
    <w:name w:val="Body Text Indent 2"/>
    <w:basedOn w:val="1"/>
    <w:uiPriority w:val="0"/>
    <w:pPr>
      <w:autoSpaceDE w:val="0"/>
      <w:autoSpaceDN w:val="0"/>
      <w:ind w:firstLine="570"/>
      <w:textAlignment w:val="bottom"/>
    </w:pPr>
    <w:rPr>
      <w:rFonts w:ascii="仿宋_GB2312" w:eastAsia="仿宋_GB2312"/>
      <w:sz w:val="28"/>
      <w:szCs w:val="20"/>
    </w:rPr>
  </w:style>
  <w:style w:type="paragraph" w:styleId="16">
    <w:name w:val="Balloon Text"/>
    <w:basedOn w:val="1"/>
    <w:semiHidden/>
    <w:uiPriority w:val="0"/>
    <w:rPr>
      <w:sz w:val="18"/>
      <w:szCs w:val="18"/>
    </w:rPr>
  </w:style>
  <w:style w:type="paragraph" w:styleId="17">
    <w:name w:val="footer"/>
    <w:basedOn w:val="1"/>
    <w:uiPriority w:val="0"/>
    <w:pPr>
      <w:tabs>
        <w:tab w:val="center" w:pos="4819"/>
        <w:tab w:val="right" w:pos="9071"/>
      </w:tabs>
      <w:adjustRightInd w:val="0"/>
      <w:spacing w:line="240" w:lineRule="atLeast"/>
      <w:jc w:val="left"/>
      <w:textAlignment w:val="baseline"/>
    </w:pPr>
    <w:rPr>
      <w:rFonts w:ascii="宋体"/>
      <w:kern w:val="0"/>
      <w:sz w:val="18"/>
      <w:szCs w:val="20"/>
    </w:rPr>
  </w:style>
  <w:style w:type="paragraph" w:styleId="18">
    <w:name w:val="header"/>
    <w:basedOn w:val="1"/>
    <w:uiPriority w:val="0"/>
    <w:pPr>
      <w:pBdr>
        <w:bottom w:val="single" w:color="auto" w:sz="6" w:space="1"/>
      </w:pBdr>
      <w:tabs>
        <w:tab w:val="center" w:pos="4819"/>
        <w:tab w:val="right" w:pos="9071"/>
      </w:tabs>
      <w:adjustRightInd w:val="0"/>
      <w:spacing w:line="240" w:lineRule="atLeast"/>
      <w:jc w:val="center"/>
      <w:textAlignment w:val="baseline"/>
    </w:pPr>
    <w:rPr>
      <w:rFonts w:ascii="宋体"/>
      <w:kern w:val="0"/>
      <w:sz w:val="18"/>
      <w:szCs w:val="20"/>
    </w:rPr>
  </w:style>
  <w:style w:type="paragraph" w:styleId="19">
    <w:name w:val="Body Text Indent 3"/>
    <w:basedOn w:val="1"/>
    <w:uiPriority w:val="0"/>
    <w:pPr>
      <w:autoSpaceDE w:val="0"/>
      <w:autoSpaceDN w:val="0"/>
      <w:ind w:firstLine="750"/>
      <w:textAlignment w:val="bottom"/>
    </w:pPr>
    <w:rPr>
      <w:rFonts w:ascii="仿宋_GB2312" w:eastAsia="仿宋_GB2312"/>
      <w:sz w:val="28"/>
      <w:szCs w:val="20"/>
    </w:rPr>
  </w:style>
  <w:style w:type="paragraph" w:styleId="20">
    <w:name w:val="Normal (Web)"/>
    <w:basedOn w:val="1"/>
    <w:uiPriority w:val="0"/>
    <w:pPr>
      <w:widowControl/>
      <w:spacing w:before="150" w:line="312" w:lineRule="auto"/>
      <w:ind w:firstLine="480"/>
      <w:jc w:val="left"/>
    </w:pPr>
    <w:rPr>
      <w:rFonts w:ascii="ˎ̥" w:hAnsi="ˎ̥" w:cs="宋体"/>
      <w:color w:val="000000"/>
      <w:spacing w:val="15"/>
      <w:kern w:val="0"/>
      <w:sz w:val="18"/>
      <w:szCs w:val="18"/>
    </w:rPr>
  </w:style>
  <w:style w:type="paragraph" w:styleId="21">
    <w:name w:val="annotation subject"/>
    <w:basedOn w:val="9"/>
    <w:next w:val="9"/>
    <w:semiHidden/>
    <w:uiPriority w:val="0"/>
    <w:rPr>
      <w:b/>
      <w:bCs/>
    </w:rPr>
  </w:style>
  <w:style w:type="character" w:styleId="24">
    <w:name w:val="page number"/>
    <w:basedOn w:val="23"/>
    <w:uiPriority w:val="0"/>
  </w:style>
  <w:style w:type="character" w:styleId="25">
    <w:name w:val="FollowedHyperlink"/>
    <w:basedOn w:val="23"/>
    <w:uiPriority w:val="0"/>
    <w:rPr>
      <w:color w:val="800080"/>
      <w:u w:val="single"/>
    </w:rPr>
  </w:style>
  <w:style w:type="character" w:styleId="26">
    <w:name w:val="Hyperlink"/>
    <w:basedOn w:val="23"/>
    <w:uiPriority w:val="0"/>
    <w:rPr>
      <w:color w:val="0000FF"/>
      <w:u w:val="none"/>
    </w:rPr>
  </w:style>
  <w:style w:type="character" w:styleId="27">
    <w:name w:val="annotation reference"/>
    <w:basedOn w:val="23"/>
    <w:semiHidden/>
    <w:uiPriority w:val="0"/>
    <w:rPr>
      <w:sz w:val="21"/>
    </w:rPr>
  </w:style>
  <w:style w:type="paragraph" w:customStyle="1" w:styleId="28">
    <w:name w:val="龙泰标题5"/>
    <w:basedOn w:val="3"/>
    <w:next w:val="1"/>
    <w:uiPriority w:val="0"/>
    <w:pPr>
      <w:keepNext w:val="0"/>
      <w:keepLines w:val="0"/>
      <w:widowControl/>
      <w:numPr>
        <w:ilvl w:val="4"/>
        <w:numId w:val="1"/>
      </w:numPr>
      <w:autoSpaceDE w:val="0"/>
      <w:autoSpaceDN w:val="0"/>
      <w:adjustRightInd w:val="0"/>
      <w:spacing w:before="0" w:after="0" w:line="360" w:lineRule="auto"/>
      <w:textAlignment w:val="baseline"/>
    </w:pPr>
    <w:rPr>
      <w:rFonts w:ascii="仿宋_GB2312" w:hAnsi="Arial" w:eastAsia="仿宋_GB2312"/>
      <w:b w:val="0"/>
      <w:kern w:val="0"/>
    </w:rPr>
  </w:style>
  <w:style w:type="paragraph" w:customStyle="1" w:styleId="29">
    <w:name w:val="龙泰标题3 Char Char Char Char Char"/>
    <w:basedOn w:val="2"/>
    <w:next w:val="30"/>
    <w:uiPriority w:val="0"/>
    <w:pPr>
      <w:keepNext w:val="0"/>
      <w:keepLines w:val="0"/>
      <w:tabs>
        <w:tab w:val="left" w:pos="720"/>
      </w:tabs>
      <w:autoSpaceDE w:val="0"/>
      <w:autoSpaceDN w:val="0"/>
      <w:adjustRightInd w:val="0"/>
      <w:spacing w:before="50" w:beforeLines="50" w:after="0" w:line="360" w:lineRule="auto"/>
      <w:ind w:firstLine="567"/>
      <w:textAlignment w:val="baseline"/>
    </w:pPr>
    <w:rPr>
      <w:rFonts w:ascii="仿宋_GB2312" w:hAnsi="Tms Rmn" w:eastAsia="仿宋_GB2312"/>
      <w:sz w:val="28"/>
      <w:szCs w:val="28"/>
    </w:rPr>
  </w:style>
  <w:style w:type="paragraph" w:customStyle="1" w:styleId="30">
    <w:name w:val="龙泰正文"/>
    <w:basedOn w:val="1"/>
    <w:uiPriority w:val="0"/>
    <w:pPr>
      <w:autoSpaceDE w:val="0"/>
      <w:autoSpaceDN w:val="0"/>
      <w:adjustRightInd w:val="0"/>
      <w:spacing w:line="360" w:lineRule="auto"/>
      <w:ind w:firstLine="200" w:firstLineChars="200"/>
      <w:textAlignment w:val="baseline"/>
    </w:pPr>
    <w:rPr>
      <w:rFonts w:ascii="仿宋_GB2312" w:hAnsi="Arial" w:eastAsia="仿宋_GB2312"/>
      <w:sz w:val="28"/>
      <w:szCs w:val="28"/>
    </w:rPr>
  </w:style>
  <w:style w:type="paragraph" w:customStyle="1" w:styleId="31">
    <w:name w:val="AT表头"/>
    <w:basedOn w:val="1"/>
    <w:uiPriority w:val="0"/>
    <w:pPr>
      <w:widowControl/>
      <w:wordWrap w:val="0"/>
      <w:spacing w:line="360" w:lineRule="auto"/>
      <w:jc w:val="center"/>
    </w:pPr>
    <w:rPr>
      <w:rFonts w:ascii="仿宋_GB2312" w:hAnsi="仿宋_GB2312" w:eastAsia="仿宋_GB2312"/>
      <w:b/>
      <w:bCs/>
      <w:kern w:val="0"/>
      <w:sz w:val="28"/>
      <w:szCs w:val="28"/>
    </w:rPr>
  </w:style>
  <w:style w:type="paragraph" w:customStyle="1" w:styleId="32">
    <w:name w:val="龙泰标题3"/>
    <w:basedOn w:val="2"/>
    <w:next w:val="1"/>
    <w:uiPriority w:val="0"/>
    <w:pPr>
      <w:keepNext w:val="0"/>
      <w:keepLines w:val="0"/>
      <w:numPr>
        <w:ilvl w:val="2"/>
        <w:numId w:val="1"/>
      </w:numPr>
      <w:tabs>
        <w:tab w:val="left" w:pos="720"/>
      </w:tabs>
      <w:autoSpaceDE w:val="0"/>
      <w:autoSpaceDN w:val="0"/>
      <w:adjustRightInd w:val="0"/>
      <w:spacing w:before="50" w:beforeLines="50" w:after="0" w:line="360" w:lineRule="auto"/>
      <w:textAlignment w:val="baseline"/>
    </w:pPr>
    <w:rPr>
      <w:rFonts w:ascii="仿宋_GB2312" w:hAnsi="Tms Rmn" w:eastAsia="仿宋_GB2312"/>
      <w:b w:val="0"/>
      <w:bCs w:val="0"/>
      <w:kern w:val="0"/>
      <w:sz w:val="28"/>
      <w:szCs w:val="28"/>
    </w:rPr>
  </w:style>
  <w:style w:type="paragraph" w:customStyle="1" w:styleId="33">
    <w:name w:val="1"/>
    <w:basedOn w:val="1"/>
    <w:next w:val="15"/>
    <w:uiPriority w:val="0"/>
    <w:pPr>
      <w:autoSpaceDE w:val="0"/>
      <w:autoSpaceDN w:val="0"/>
      <w:ind w:firstLine="570"/>
      <w:textAlignment w:val="bottom"/>
    </w:pPr>
    <w:rPr>
      <w:rFonts w:ascii="仿宋_GB2312" w:eastAsia="仿宋_GB2312"/>
      <w:sz w:val="28"/>
      <w:szCs w:val="20"/>
    </w:rPr>
  </w:style>
  <w:style w:type="paragraph" w:customStyle="1" w:styleId="34">
    <w:name w:val="龙泰标题2"/>
    <w:basedOn w:val="1"/>
    <w:next w:val="1"/>
    <w:uiPriority w:val="0"/>
    <w:pPr>
      <w:numPr>
        <w:ilvl w:val="1"/>
        <w:numId w:val="1"/>
      </w:numPr>
      <w:autoSpaceDE w:val="0"/>
      <w:autoSpaceDN w:val="0"/>
      <w:adjustRightInd w:val="0"/>
      <w:spacing w:before="100" w:beforeLines="100" w:after="100" w:afterLines="100"/>
      <w:textAlignment w:val="baseline"/>
      <w:outlineLvl w:val="1"/>
    </w:pPr>
    <w:rPr>
      <w:rFonts w:ascii="黑体" w:hAnsi="Arial" w:eastAsia="黑体"/>
      <w:spacing w:val="20"/>
      <w:kern w:val="0"/>
      <w:sz w:val="32"/>
      <w:szCs w:val="32"/>
    </w:rPr>
  </w:style>
  <w:style w:type="paragraph" w:customStyle="1" w:styleId="35">
    <w:name w:val="龙泰标题4"/>
    <w:basedOn w:val="1"/>
    <w:next w:val="1"/>
    <w:uiPriority w:val="0"/>
    <w:pPr>
      <w:keepLines/>
      <w:numPr>
        <w:ilvl w:val="3"/>
        <w:numId w:val="1"/>
      </w:numPr>
      <w:autoSpaceDE w:val="0"/>
      <w:autoSpaceDN w:val="0"/>
      <w:adjustRightInd w:val="0"/>
      <w:spacing w:line="360" w:lineRule="auto"/>
      <w:textAlignment w:val="baseline"/>
      <w:outlineLvl w:val="3"/>
    </w:pPr>
    <w:rPr>
      <w:rFonts w:ascii="仿宋_GB2312" w:hAnsi="Arial" w:eastAsia="仿宋_GB2312"/>
      <w:spacing w:val="10"/>
      <w:kern w:val="0"/>
      <w:sz w:val="28"/>
      <w:szCs w:val="28"/>
    </w:rPr>
  </w:style>
  <w:style w:type="paragraph" w:customStyle="1" w:styleId="36">
    <w:name w:val="龙泰标题1"/>
    <w:basedOn w:val="1"/>
    <w:uiPriority w:val="0"/>
    <w:pPr>
      <w:keepNext/>
      <w:numPr>
        <w:ilvl w:val="0"/>
        <w:numId w:val="1"/>
      </w:numPr>
      <w:autoSpaceDE w:val="0"/>
      <w:autoSpaceDN w:val="0"/>
      <w:adjustRightInd w:val="0"/>
      <w:spacing w:before="300" w:beforeLines="300" w:after="200" w:afterLines="200"/>
      <w:jc w:val="center"/>
      <w:textAlignment w:val="baseline"/>
      <w:outlineLvl w:val="0"/>
    </w:pPr>
    <w:rPr>
      <w:rFonts w:ascii="黑体" w:hAnsi="Arial" w:eastAsia="黑体"/>
      <w:spacing w:val="60"/>
      <w:kern w:val="0"/>
      <w:sz w:val="36"/>
      <w:szCs w:val="20"/>
    </w:rPr>
  </w:style>
  <w:style w:type="paragraph" w:customStyle="1" w:styleId="37">
    <w:name w:val="AT正文"/>
    <w:basedOn w:val="1"/>
    <w:uiPriority w:val="0"/>
    <w:pPr>
      <w:widowControl/>
      <w:tabs>
        <w:tab w:val="left" w:pos="1620"/>
      </w:tabs>
      <w:adjustRightInd w:val="0"/>
      <w:spacing w:line="360" w:lineRule="auto"/>
      <w:ind w:firstLine="561" w:firstLineChars="200"/>
    </w:pPr>
    <w:rPr>
      <w:rFonts w:ascii="仿宋_GB2312" w:eastAsia="仿宋_GB2312"/>
      <w:b/>
      <w:sz w:val="28"/>
      <w:szCs w:val="28"/>
    </w:rPr>
  </w:style>
  <w:style w:type="paragraph" w:customStyle="1" w:styleId="38">
    <w:name w:val="AT正文 Char Char Char Char Char Char"/>
    <w:basedOn w:val="1"/>
    <w:uiPriority w:val="0"/>
    <w:pPr>
      <w:widowControl/>
      <w:adjustRightInd w:val="0"/>
      <w:spacing w:line="360" w:lineRule="auto"/>
    </w:pPr>
    <w:rPr>
      <w:rFonts w:ascii="仿宋_GB2312" w:eastAsia="仿宋_GB2312"/>
      <w:b/>
      <w:sz w:val="28"/>
      <w:szCs w:val="28"/>
    </w:rPr>
  </w:style>
  <w:style w:type="paragraph" w:customStyle="1" w:styleId="39">
    <w:name w:val="AT表格"/>
    <w:basedOn w:val="1"/>
    <w:uiPriority w:val="0"/>
    <w:pPr>
      <w:widowControl/>
      <w:jc w:val="center"/>
    </w:pPr>
    <w:rPr>
      <w:rFonts w:ascii="Arial Narrow" w:hAnsi="Arial Narrow" w:eastAsia="仿宋_GB2312"/>
      <w:color w:val="000000"/>
      <w:kern w:val="0"/>
      <w:sz w:val="18"/>
      <w:szCs w:val="18"/>
    </w:rPr>
  </w:style>
  <w:style w:type="character" w:customStyle="1" w:styleId="40">
    <w:name w:val="bgzi1"/>
    <w:basedOn w:val="23"/>
    <w:uiPriority w:val="0"/>
  </w:style>
  <w:style w:type="character" w:customStyle="1" w:styleId="41">
    <w:name w:val="龙泰标题3 Char Char Char Char Char Char"/>
    <w:basedOn w:val="23"/>
    <w:uiPriority w:val="0"/>
    <w:rPr>
      <w:rFonts w:ascii="仿宋_GB2312" w:hAnsi="Tms Rmn" w:eastAsia="仿宋_GB2312"/>
      <w:b/>
      <w:bCs/>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land</Company>
  <Pages>1</Pages>
  <Words>688</Words>
  <Characters>3926</Characters>
  <Lines>32</Lines>
  <Paragraphs>9</Paragraphs>
  <TotalTime>7</TotalTime>
  <ScaleCrop>false</ScaleCrop>
  <LinksUpToDate>false</LinksUpToDate>
  <CharactersWithSpaces>4605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2008-12-11T08:30:00Z</dcterms:created>
  <dc:creator>ping</dc:creator>
  <cp:lastModifiedBy>admin</cp:lastModifiedBy>
  <cp:lastPrinted>2019-09-05T08:15:18Z</cp:lastPrinted>
  <dcterms:modified xsi:type="dcterms:W3CDTF">2020-01-17T04:54:16Z</dcterms:modified>
  <dc:title>房 地 产 估 价 报 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