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80" w:rsidRPr="00ED04C1" w:rsidRDefault="00553C80" w:rsidP="00553C80">
      <w:pPr>
        <w:jc w:val="center"/>
        <w:rPr>
          <w:b/>
          <w:sz w:val="44"/>
          <w:szCs w:val="44"/>
        </w:rPr>
      </w:pPr>
      <w:r w:rsidRPr="00ED04C1">
        <w:rPr>
          <w:rFonts w:hint="eastAsia"/>
          <w:b/>
          <w:sz w:val="44"/>
          <w:szCs w:val="44"/>
        </w:rPr>
        <w:t>标的</w:t>
      </w:r>
      <w:proofErr w:type="gramStart"/>
      <w:r w:rsidRPr="00ED04C1">
        <w:rPr>
          <w:rFonts w:hint="eastAsia"/>
          <w:b/>
          <w:sz w:val="44"/>
          <w:szCs w:val="44"/>
        </w:rPr>
        <w:t>物</w:t>
      </w:r>
      <w:r>
        <w:rPr>
          <w:rFonts w:hint="eastAsia"/>
          <w:b/>
          <w:sz w:val="44"/>
          <w:szCs w:val="44"/>
        </w:rPr>
        <w:t>状况</w:t>
      </w:r>
      <w:proofErr w:type="gramEnd"/>
      <w:r>
        <w:rPr>
          <w:rFonts w:hint="eastAsia"/>
          <w:b/>
          <w:sz w:val="44"/>
          <w:szCs w:val="44"/>
        </w:rPr>
        <w:t>说明</w:t>
      </w:r>
    </w:p>
    <w:p w:rsidR="006558CE" w:rsidRPr="00553C80" w:rsidRDefault="00553C80" w:rsidP="00553C80">
      <w:pPr>
        <w:widowControl/>
        <w:spacing w:line="420" w:lineRule="exact"/>
        <w:ind w:firstLineChars="200" w:firstLine="560"/>
        <w:jc w:val="left"/>
        <w:rPr>
          <w:rFonts w:ascii="Times New Roman" w:eastAsia="楷体" w:hAnsi="楷体"/>
          <w:color w:val="000000"/>
          <w:sz w:val="28"/>
          <w:szCs w:val="28"/>
        </w:rPr>
      </w:pPr>
      <w:r w:rsidRPr="00ED04C1">
        <w:rPr>
          <w:rFonts w:ascii="Times New Roman" w:eastAsia="楷体" w:hAnsi="楷体" w:hint="eastAsia"/>
          <w:color w:val="000000"/>
          <w:sz w:val="28"/>
          <w:szCs w:val="28"/>
        </w:rPr>
        <w:t>本次拍卖的标的物坐落于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安徽省来安县建阳南路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758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号（城市花园）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8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幢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206</w:t>
      </w:r>
      <w:r w:rsidR="00C410CD" w:rsidRPr="00C410CD">
        <w:rPr>
          <w:rFonts w:ascii="Times New Roman" w:eastAsia="楷体" w:hAnsi="楷体" w:hint="eastAsia"/>
          <w:color w:val="000000"/>
          <w:sz w:val="28"/>
          <w:szCs w:val="28"/>
        </w:rPr>
        <w:t>室</w:t>
      </w:r>
      <w:r w:rsidR="00BB2CA6" w:rsidRPr="00553C80">
        <w:rPr>
          <w:rFonts w:ascii="Times New Roman" w:eastAsia="楷体" w:hAnsi="楷体" w:hint="eastAsia"/>
          <w:color w:val="000000"/>
          <w:sz w:val="28"/>
          <w:szCs w:val="28"/>
        </w:rPr>
        <w:t>，房产信息为：</w:t>
      </w:r>
    </w:p>
    <w:p w:rsidR="006558CE" w:rsidRPr="00553C80" w:rsidRDefault="00BB2CA6" w:rsidP="00EB3445">
      <w:pPr>
        <w:ind w:firstLineChars="150" w:firstLine="420"/>
        <w:rPr>
          <w:rFonts w:ascii="Times New Roman" w:eastAsia="楷体" w:hAnsi="楷体"/>
          <w:color w:val="000000"/>
          <w:sz w:val="28"/>
          <w:szCs w:val="28"/>
        </w:rPr>
      </w:pPr>
      <w:r w:rsidRPr="00553C80">
        <w:rPr>
          <w:rFonts w:ascii="Times New Roman" w:eastAsia="楷体" w:hAnsi="楷体" w:hint="eastAsia"/>
          <w:color w:val="000000"/>
          <w:sz w:val="28"/>
          <w:szCs w:val="28"/>
        </w:rPr>
        <w:t>（一）自然状况</w:t>
      </w:r>
    </w:p>
    <w:tbl>
      <w:tblPr>
        <w:tblW w:w="0" w:type="auto"/>
        <w:jc w:val="center"/>
        <w:tblLayout w:type="fixed"/>
        <w:tblLook w:val="0000"/>
      </w:tblPr>
      <w:tblGrid>
        <w:gridCol w:w="1413"/>
        <w:gridCol w:w="2784"/>
        <w:gridCol w:w="1590"/>
        <w:gridCol w:w="2531"/>
      </w:tblGrid>
      <w:tr w:rsidR="006558CE" w:rsidRPr="00553C80">
        <w:trPr>
          <w:trHeight w:val="7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房屋坐落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来安县建阳南路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758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号（城市花园）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8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幢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206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室</w:t>
            </w:r>
          </w:p>
        </w:tc>
      </w:tr>
      <w:tr w:rsidR="006558CE" w:rsidRPr="00553C80">
        <w:trPr>
          <w:trHeight w:val="1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不动产登记号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房地权证来字第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2013000356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土地用途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城镇住宅用地</w:t>
            </w:r>
          </w:p>
        </w:tc>
      </w:tr>
      <w:tr w:rsidR="006558CE" w:rsidRPr="00553C80">
        <w:trPr>
          <w:trHeight w:val="7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房屋用途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住宅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所在层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</w:t>
            </w:r>
            <w:r w:rsid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层</w:t>
            </w:r>
          </w:p>
        </w:tc>
      </w:tr>
      <w:tr w:rsidR="006558CE" w:rsidRPr="00553C80">
        <w:trPr>
          <w:trHeight w:val="1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建筑面积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109.62</w:t>
            </w:r>
            <w:r w:rsidR="00BB2CA6"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553C80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共有分摊</w:t>
            </w:r>
            <w:r w:rsidR="00BB2CA6"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面积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6.74</w:t>
            </w:r>
            <w:r w:rsidR="00BB2CA6"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㎡</w:t>
            </w:r>
          </w:p>
        </w:tc>
      </w:tr>
    </w:tbl>
    <w:p w:rsidR="006558CE" w:rsidRPr="00553C80" w:rsidRDefault="00BB2CA6" w:rsidP="00553C80">
      <w:pPr>
        <w:spacing w:line="560" w:lineRule="exact"/>
        <w:ind w:firstLineChars="100" w:firstLine="280"/>
        <w:rPr>
          <w:rFonts w:ascii="Times New Roman" w:eastAsia="楷体" w:hAnsi="楷体"/>
          <w:color w:val="000000"/>
          <w:sz w:val="28"/>
          <w:szCs w:val="28"/>
        </w:rPr>
      </w:pPr>
      <w:r w:rsidRPr="00553C80">
        <w:rPr>
          <w:rFonts w:ascii="Times New Roman" w:eastAsia="楷体" w:hAnsi="楷体" w:hint="eastAsia"/>
          <w:color w:val="000000"/>
          <w:sz w:val="28"/>
          <w:szCs w:val="28"/>
        </w:rPr>
        <w:t>（二）所有权状况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9"/>
        <w:gridCol w:w="2810"/>
        <w:gridCol w:w="1423"/>
        <w:gridCol w:w="2628"/>
      </w:tblGrid>
      <w:tr w:rsidR="006558CE" w:rsidRPr="00553C80" w:rsidTr="00553C80">
        <w:trPr>
          <w:trHeight w:val="65"/>
          <w:jc w:val="center"/>
        </w:trPr>
        <w:tc>
          <w:tcPr>
            <w:tcW w:w="1429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所有权人</w:t>
            </w:r>
          </w:p>
        </w:tc>
        <w:tc>
          <w:tcPr>
            <w:tcW w:w="2810" w:type="dxa"/>
            <w:vAlign w:val="center"/>
          </w:tcPr>
          <w:p w:rsidR="006558CE" w:rsidRPr="00553C80" w:rsidRDefault="00C410CD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谢永刚</w:t>
            </w:r>
          </w:p>
        </w:tc>
        <w:tc>
          <w:tcPr>
            <w:tcW w:w="1423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产权来源</w:t>
            </w:r>
          </w:p>
        </w:tc>
        <w:tc>
          <w:tcPr>
            <w:tcW w:w="2628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商品房买卖</w:t>
            </w:r>
          </w:p>
        </w:tc>
      </w:tr>
      <w:tr w:rsidR="006558CE" w:rsidRPr="00553C80">
        <w:trPr>
          <w:trHeight w:val="367"/>
          <w:jc w:val="center"/>
        </w:trPr>
        <w:tc>
          <w:tcPr>
            <w:tcW w:w="1429" w:type="dxa"/>
            <w:vMerge/>
            <w:vAlign w:val="center"/>
          </w:tcPr>
          <w:p w:rsidR="006558CE" w:rsidRPr="00553C80" w:rsidRDefault="006558CE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6558CE" w:rsidRPr="00553C80" w:rsidRDefault="006558CE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vAlign w:val="center"/>
          </w:tcPr>
          <w:p w:rsidR="006558CE" w:rsidRPr="00553C80" w:rsidRDefault="006558CE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</w:tr>
      <w:tr w:rsidR="006558CE" w:rsidRPr="00553C80">
        <w:trPr>
          <w:trHeight w:val="737"/>
          <w:jc w:val="center"/>
        </w:trPr>
        <w:tc>
          <w:tcPr>
            <w:tcW w:w="1429" w:type="dxa"/>
            <w:vAlign w:val="center"/>
          </w:tcPr>
          <w:p w:rsidR="006558CE" w:rsidRPr="00553C80" w:rsidRDefault="00BB2CA6">
            <w:pPr>
              <w:pStyle w:val="a4"/>
              <w:tabs>
                <w:tab w:val="left" w:pos="8085"/>
              </w:tabs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登记时间</w:t>
            </w:r>
          </w:p>
        </w:tc>
        <w:tc>
          <w:tcPr>
            <w:tcW w:w="6861" w:type="dxa"/>
            <w:gridSpan w:val="3"/>
            <w:vAlign w:val="center"/>
          </w:tcPr>
          <w:p w:rsidR="006558CE" w:rsidRPr="00553C80" w:rsidRDefault="00553C80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/</w:t>
            </w:r>
          </w:p>
        </w:tc>
      </w:tr>
    </w:tbl>
    <w:p w:rsidR="006558CE" w:rsidRPr="00553C80" w:rsidRDefault="00BB2CA6" w:rsidP="00553C80">
      <w:pPr>
        <w:spacing w:line="560" w:lineRule="exact"/>
        <w:ind w:firstLineChars="100" w:firstLine="280"/>
        <w:rPr>
          <w:rFonts w:ascii="Times New Roman" w:eastAsia="楷体" w:hAnsi="楷体"/>
          <w:color w:val="000000"/>
          <w:sz w:val="28"/>
          <w:szCs w:val="28"/>
        </w:rPr>
      </w:pPr>
      <w:r w:rsidRPr="00553C80">
        <w:rPr>
          <w:rFonts w:ascii="Times New Roman" w:eastAsia="楷体" w:hAnsi="楷体" w:hint="eastAsia"/>
          <w:color w:val="000000"/>
          <w:sz w:val="28"/>
          <w:szCs w:val="28"/>
        </w:rPr>
        <w:t>（三）区位状况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6"/>
        <w:gridCol w:w="2071"/>
        <w:gridCol w:w="4745"/>
      </w:tblGrid>
      <w:tr w:rsidR="006558CE" w:rsidRPr="00553C80">
        <w:trPr>
          <w:trHeight w:val="737"/>
        </w:trPr>
        <w:tc>
          <w:tcPr>
            <w:tcW w:w="1486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位置状况</w:t>
            </w: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坐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 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落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CE" w:rsidRPr="00553C80" w:rsidRDefault="00C410CD">
            <w:pPr>
              <w:pStyle w:val="a4"/>
              <w:tabs>
                <w:tab w:val="left" w:pos="8085"/>
              </w:tabs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来安县建阳南路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758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号（城市花园）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8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幢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206</w:t>
            </w:r>
            <w:r w:rsidRP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室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朝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向</w:t>
            </w:r>
          </w:p>
        </w:tc>
        <w:tc>
          <w:tcPr>
            <w:tcW w:w="4745" w:type="dxa"/>
            <w:vAlign w:val="center"/>
          </w:tcPr>
          <w:p w:rsidR="006558CE" w:rsidRPr="00553C80" w:rsidRDefault="00BB2CA6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南北朝向</w:t>
            </w:r>
          </w:p>
        </w:tc>
      </w:tr>
      <w:tr w:rsidR="006558CE" w:rsidRPr="00553C80">
        <w:trPr>
          <w:trHeight w:val="1191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所在楼层</w:t>
            </w:r>
          </w:p>
        </w:tc>
        <w:tc>
          <w:tcPr>
            <w:tcW w:w="4745" w:type="dxa"/>
            <w:vAlign w:val="center"/>
          </w:tcPr>
          <w:p w:rsidR="006558CE" w:rsidRPr="00553C80" w:rsidRDefault="00BB2CA6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/>
                <w:color w:val="000000"/>
                <w:sz w:val="28"/>
                <w:szCs w:val="28"/>
              </w:rPr>
              <w:t>位于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</w:t>
            </w:r>
            <w:r w:rsidRPr="00553C80">
              <w:rPr>
                <w:rFonts w:ascii="Times New Roman" w:eastAsia="楷体" w:hAnsi="楷体"/>
                <w:color w:val="000000"/>
                <w:sz w:val="28"/>
                <w:szCs w:val="28"/>
              </w:rPr>
              <w:t>层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交通状况</w:t>
            </w:r>
          </w:p>
          <w:p w:rsidR="006558CE" w:rsidRPr="00553C80" w:rsidRDefault="006558CE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lastRenderedPageBreak/>
              <w:t>道路状况</w:t>
            </w:r>
          </w:p>
        </w:tc>
        <w:tc>
          <w:tcPr>
            <w:tcW w:w="4745" w:type="dxa"/>
            <w:vAlign w:val="center"/>
          </w:tcPr>
          <w:p w:rsidR="006558CE" w:rsidRPr="00553C80" w:rsidRDefault="00005488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东临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建阳南路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  <w:r w:rsidRPr="00553C80">
              <w:rPr>
                <w:rFonts w:ascii="Times New Roman" w:eastAsia="楷体" w:hAnsi="楷体"/>
                <w:color w:val="000000"/>
                <w:sz w:val="28"/>
                <w:szCs w:val="28"/>
              </w:rPr>
              <w:t xml:space="preserve"> </w:t>
            </w:r>
          </w:p>
        </w:tc>
      </w:tr>
      <w:tr w:rsidR="006558CE" w:rsidRPr="00553C80">
        <w:trPr>
          <w:trHeight w:val="1553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005488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005488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交通便捷度</w:t>
            </w:r>
          </w:p>
        </w:tc>
        <w:tc>
          <w:tcPr>
            <w:tcW w:w="4745" w:type="dxa"/>
            <w:vAlign w:val="center"/>
          </w:tcPr>
          <w:p w:rsidR="00005488" w:rsidRPr="00553C80" w:rsidRDefault="00005488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标的</w:t>
            </w:r>
            <w:proofErr w:type="gramStart"/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物附近</w:t>
            </w:r>
            <w:proofErr w:type="gramEnd"/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有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建阳南路</w:t>
            </w:r>
            <w:r w:rsidR="00E5327A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、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白鹭大道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区位交通便捷。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交通管制</w:t>
            </w:r>
          </w:p>
        </w:tc>
        <w:tc>
          <w:tcPr>
            <w:tcW w:w="4745" w:type="dxa"/>
            <w:vAlign w:val="center"/>
          </w:tcPr>
          <w:p w:rsidR="006558CE" w:rsidRPr="00553C80" w:rsidRDefault="00BB2CA6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附近道路无车辆单行及通行时间等管制。</w:t>
            </w:r>
          </w:p>
        </w:tc>
      </w:tr>
      <w:tr w:rsidR="006558CE" w:rsidRPr="00553C80">
        <w:trPr>
          <w:trHeight w:val="876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停车方便程度</w:t>
            </w:r>
          </w:p>
        </w:tc>
        <w:tc>
          <w:tcPr>
            <w:tcW w:w="4745" w:type="dxa"/>
            <w:vAlign w:val="center"/>
          </w:tcPr>
          <w:p w:rsidR="006558CE" w:rsidRPr="00553C80" w:rsidRDefault="00BB2CA6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估价对象所在小区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有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停车位，停车较便利。</w:t>
            </w:r>
          </w:p>
        </w:tc>
      </w:tr>
      <w:tr w:rsidR="006558CE" w:rsidRPr="00553C80">
        <w:trPr>
          <w:trHeight w:val="1010"/>
        </w:trPr>
        <w:tc>
          <w:tcPr>
            <w:tcW w:w="1486" w:type="dxa"/>
            <w:vMerge w:val="restart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环境状况</w:t>
            </w: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自然环境</w:t>
            </w:r>
          </w:p>
        </w:tc>
        <w:tc>
          <w:tcPr>
            <w:tcW w:w="4745" w:type="dxa"/>
            <w:vAlign w:val="center"/>
          </w:tcPr>
          <w:p w:rsidR="006558CE" w:rsidRPr="00553C80" w:rsidRDefault="00787DF9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周围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环境较整洁，环境卫生状况较优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人文环境</w:t>
            </w:r>
          </w:p>
        </w:tc>
        <w:tc>
          <w:tcPr>
            <w:tcW w:w="4745" w:type="dxa"/>
            <w:vAlign w:val="center"/>
          </w:tcPr>
          <w:p w:rsidR="006558CE" w:rsidRPr="00553C80" w:rsidRDefault="00787DF9" w:rsidP="00787DF9">
            <w:pPr>
              <w:spacing w:line="500" w:lineRule="exact"/>
              <w:ind w:right="-170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治安状况较好；相邻房地产以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商业、住宅</w:t>
            </w: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用房为主，人文环境较好</w:t>
            </w:r>
            <w:r w:rsidR="00BB2CA6"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Merge/>
            <w:vAlign w:val="center"/>
          </w:tcPr>
          <w:p w:rsidR="006558CE" w:rsidRPr="00553C80" w:rsidRDefault="006558CE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景观绿化</w:t>
            </w:r>
          </w:p>
        </w:tc>
        <w:tc>
          <w:tcPr>
            <w:tcW w:w="4745" w:type="dxa"/>
            <w:vAlign w:val="center"/>
          </w:tcPr>
          <w:p w:rsidR="006558CE" w:rsidRPr="00553C80" w:rsidRDefault="00BB2CA6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小区绿化好，周边绿化率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较好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787DF9" w:rsidRPr="00553C80">
        <w:trPr>
          <w:trHeight w:val="1191"/>
        </w:trPr>
        <w:tc>
          <w:tcPr>
            <w:tcW w:w="1486" w:type="dxa"/>
            <w:vMerge w:val="restart"/>
            <w:vAlign w:val="center"/>
          </w:tcPr>
          <w:p w:rsidR="00787DF9" w:rsidRPr="00553C80" w:rsidRDefault="00787DF9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配套设施状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2071" w:type="dxa"/>
            <w:vAlign w:val="center"/>
          </w:tcPr>
          <w:p w:rsidR="00787DF9" w:rsidRPr="00553C80" w:rsidRDefault="00787DF9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基础设施</w:t>
            </w:r>
          </w:p>
        </w:tc>
        <w:tc>
          <w:tcPr>
            <w:tcW w:w="4745" w:type="dxa"/>
            <w:vAlign w:val="center"/>
          </w:tcPr>
          <w:p w:rsidR="00787DF9" w:rsidRPr="00553C80" w:rsidRDefault="00787DF9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达“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五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通一平”</w:t>
            </w:r>
          </w:p>
        </w:tc>
      </w:tr>
      <w:tr w:rsidR="00787DF9" w:rsidRPr="00553C80" w:rsidTr="00787DF9">
        <w:trPr>
          <w:trHeight w:val="1341"/>
        </w:trPr>
        <w:tc>
          <w:tcPr>
            <w:tcW w:w="1486" w:type="dxa"/>
            <w:vMerge/>
            <w:vAlign w:val="center"/>
          </w:tcPr>
          <w:p w:rsidR="00787DF9" w:rsidRPr="00553C80" w:rsidRDefault="00787DF9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:rsidR="00787DF9" w:rsidRPr="00553C80" w:rsidRDefault="00787DF9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医疗设施状况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787DF9" w:rsidRPr="00553C80" w:rsidRDefault="00787DF9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区域内有来安县</w:t>
            </w:r>
            <w:proofErr w:type="gramStart"/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家宁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医院</w:t>
            </w:r>
            <w:proofErr w:type="gramEnd"/>
          </w:p>
        </w:tc>
      </w:tr>
      <w:tr w:rsidR="00787DF9" w:rsidRPr="00553C80" w:rsidTr="00787DF9">
        <w:trPr>
          <w:trHeight w:val="1485"/>
        </w:trPr>
        <w:tc>
          <w:tcPr>
            <w:tcW w:w="1486" w:type="dxa"/>
            <w:vMerge/>
            <w:vAlign w:val="center"/>
          </w:tcPr>
          <w:p w:rsidR="00787DF9" w:rsidRPr="00553C80" w:rsidRDefault="00787DF9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F9" w:rsidRPr="00553C80" w:rsidRDefault="00787DF9" w:rsidP="00787DF9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/>
                <w:color w:val="000000"/>
                <w:sz w:val="28"/>
                <w:szCs w:val="28"/>
              </w:rPr>
              <w:t>金融设施状况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7DF9" w:rsidRPr="00553C80" w:rsidRDefault="00787DF9" w:rsidP="00787DF9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区域内有</w:t>
            </w:r>
            <w:r w:rsidR="00C410CD" w:rsidRPr="00C410CD">
              <w:rPr>
                <w:rFonts w:ascii="Times New Roman" w:eastAsia="楷体" w:hAnsi="楷体" w:hint="eastAsia"/>
                <w:bCs/>
                <w:color w:val="000000"/>
                <w:sz w:val="28"/>
                <w:szCs w:val="28"/>
              </w:rPr>
              <w:t>中国农业银行、工商银行、建设银行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等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多家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金融机构</w:t>
            </w:r>
          </w:p>
        </w:tc>
      </w:tr>
      <w:tr w:rsidR="00787DF9" w:rsidRPr="00553C80" w:rsidTr="00787DF9">
        <w:trPr>
          <w:trHeight w:val="1260"/>
        </w:trPr>
        <w:tc>
          <w:tcPr>
            <w:tcW w:w="1486" w:type="dxa"/>
            <w:vMerge/>
            <w:vAlign w:val="center"/>
          </w:tcPr>
          <w:p w:rsidR="00787DF9" w:rsidRPr="00553C80" w:rsidRDefault="00787DF9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:rsidR="00787DF9" w:rsidRPr="00553C80" w:rsidRDefault="00787DF9" w:rsidP="00787DF9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教育实施状况</w:t>
            </w:r>
          </w:p>
        </w:tc>
        <w:tc>
          <w:tcPr>
            <w:tcW w:w="4745" w:type="dxa"/>
            <w:tcBorders>
              <w:top w:val="single" w:sz="4" w:space="0" w:color="auto"/>
            </w:tcBorders>
            <w:vAlign w:val="center"/>
          </w:tcPr>
          <w:p w:rsidR="00787DF9" w:rsidRPr="00553C80" w:rsidRDefault="00787DF9" w:rsidP="00C410CD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区域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附近</w:t>
            </w: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有幼儿园、小学</w:t>
            </w:r>
            <w:r w:rsidR="00C410CD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、中学</w:t>
            </w:r>
            <w:r w:rsidR="00EB3445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等教学配套资源</w:t>
            </w:r>
          </w:p>
        </w:tc>
      </w:tr>
    </w:tbl>
    <w:p w:rsidR="006558CE" w:rsidRPr="00553C80" w:rsidRDefault="00BB2CA6" w:rsidP="00553C80">
      <w:pPr>
        <w:spacing w:line="560" w:lineRule="exact"/>
        <w:ind w:firstLineChars="200" w:firstLine="560"/>
        <w:rPr>
          <w:rFonts w:ascii="Times New Roman" w:eastAsia="楷体" w:hAnsi="楷体"/>
          <w:color w:val="000000"/>
          <w:sz w:val="28"/>
          <w:szCs w:val="28"/>
        </w:rPr>
      </w:pPr>
      <w:r w:rsidRPr="00553C80">
        <w:rPr>
          <w:rFonts w:ascii="Times New Roman" w:eastAsia="楷体" w:hAnsi="楷体" w:hint="eastAsia"/>
          <w:color w:val="000000"/>
          <w:sz w:val="28"/>
          <w:szCs w:val="28"/>
        </w:rPr>
        <w:t>（四）实物状况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6"/>
        <w:gridCol w:w="6816"/>
      </w:tblGrid>
      <w:tr w:rsidR="006558CE" w:rsidRPr="00553C80">
        <w:trPr>
          <w:trHeight w:val="737"/>
        </w:trPr>
        <w:tc>
          <w:tcPr>
            <w:tcW w:w="1486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维护状况</w:t>
            </w:r>
          </w:p>
        </w:tc>
        <w:tc>
          <w:tcPr>
            <w:tcW w:w="6816" w:type="dxa"/>
            <w:vAlign w:val="center"/>
          </w:tcPr>
          <w:p w:rsidR="006558CE" w:rsidRPr="00553C80" w:rsidRDefault="00EB3445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拍卖标的物</w:t>
            </w:r>
            <w:r w:rsidR="00BB2CA6"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为住宅，整体维护状况较好。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装饰装修</w:t>
            </w:r>
          </w:p>
        </w:tc>
        <w:tc>
          <w:tcPr>
            <w:tcW w:w="6816" w:type="dxa"/>
            <w:vAlign w:val="center"/>
          </w:tcPr>
          <w:p w:rsidR="006558CE" w:rsidRPr="00553C80" w:rsidRDefault="00A5698B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精装修</w:t>
            </w:r>
            <w:r w:rsidR="00FA7724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。</w:t>
            </w:r>
          </w:p>
        </w:tc>
      </w:tr>
      <w:tr w:rsidR="006558CE" w:rsidRPr="00553C80">
        <w:trPr>
          <w:trHeight w:val="737"/>
        </w:trPr>
        <w:tc>
          <w:tcPr>
            <w:tcW w:w="1486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设施设备</w:t>
            </w:r>
          </w:p>
        </w:tc>
        <w:tc>
          <w:tcPr>
            <w:tcW w:w="6816" w:type="dxa"/>
            <w:vAlign w:val="center"/>
          </w:tcPr>
          <w:p w:rsidR="006558CE" w:rsidRPr="00553C80" w:rsidRDefault="00BB2CA6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水、电、气</w:t>
            </w:r>
            <w:r w:rsidRPr="00553C80">
              <w:rPr>
                <w:rFonts w:ascii="Times New Roman" w:eastAsia="楷体" w:hAnsi="楷体"/>
                <w:color w:val="000000"/>
                <w:sz w:val="28"/>
                <w:szCs w:val="28"/>
              </w:rPr>
              <w:t>、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宽带等设施完善，小区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24</w:t>
            </w: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小时保安等。</w:t>
            </w:r>
          </w:p>
        </w:tc>
      </w:tr>
      <w:tr w:rsidR="006558CE" w:rsidRPr="00553C80">
        <w:trPr>
          <w:trHeight w:val="1191"/>
        </w:trPr>
        <w:tc>
          <w:tcPr>
            <w:tcW w:w="1486" w:type="dxa"/>
            <w:vAlign w:val="center"/>
          </w:tcPr>
          <w:p w:rsidR="006558CE" w:rsidRPr="00553C80" w:rsidRDefault="00BB2CA6">
            <w:pPr>
              <w:spacing w:line="560" w:lineRule="exact"/>
              <w:jc w:val="center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 w:rsidRPr="00553C80"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完损状况</w:t>
            </w:r>
          </w:p>
        </w:tc>
        <w:tc>
          <w:tcPr>
            <w:tcW w:w="6816" w:type="dxa"/>
            <w:vAlign w:val="center"/>
          </w:tcPr>
          <w:p w:rsidR="006558CE" w:rsidRPr="00553C80" w:rsidRDefault="00EB3445" w:rsidP="00EB3445">
            <w:pPr>
              <w:spacing w:line="560" w:lineRule="exact"/>
              <w:rPr>
                <w:rFonts w:ascii="Times New Roman" w:eastAsia="楷体" w:hAnsi="楷体"/>
                <w:color w:val="000000"/>
                <w:sz w:val="28"/>
                <w:szCs w:val="28"/>
              </w:rPr>
            </w:pPr>
            <w:r>
              <w:rPr>
                <w:rFonts w:ascii="Times New Roman" w:eastAsia="楷体" w:hAnsi="楷体" w:hint="eastAsia"/>
                <w:color w:val="000000"/>
                <w:sz w:val="28"/>
                <w:szCs w:val="28"/>
              </w:rPr>
              <w:t>结构主体完整。</w:t>
            </w:r>
            <w:r w:rsidRPr="00553C80">
              <w:rPr>
                <w:rFonts w:ascii="Times New Roman" w:eastAsia="楷体" w:hAnsi="楷体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558CE" w:rsidRPr="00553C80" w:rsidRDefault="006558CE">
      <w:pPr>
        <w:spacing w:line="560" w:lineRule="exact"/>
        <w:ind w:rightChars="-50" w:right="-105"/>
        <w:jc w:val="right"/>
        <w:rPr>
          <w:rFonts w:ascii="Times New Roman" w:eastAsia="楷体" w:hAnsi="楷体"/>
          <w:color w:val="000000"/>
          <w:sz w:val="28"/>
          <w:szCs w:val="28"/>
        </w:rPr>
      </w:pPr>
    </w:p>
    <w:p w:rsidR="006558CE" w:rsidRPr="00553C80" w:rsidRDefault="006558CE">
      <w:pPr>
        <w:spacing w:line="560" w:lineRule="exact"/>
        <w:ind w:rightChars="-50" w:right="-105"/>
        <w:jc w:val="right"/>
        <w:rPr>
          <w:rFonts w:ascii="Times New Roman" w:eastAsia="楷体" w:hAnsi="楷体"/>
          <w:color w:val="000000"/>
          <w:sz w:val="28"/>
          <w:szCs w:val="28"/>
        </w:rPr>
      </w:pPr>
    </w:p>
    <w:p w:rsidR="006558CE" w:rsidRDefault="006558CE">
      <w:pPr>
        <w:spacing w:line="560" w:lineRule="exact"/>
        <w:jc w:val="right"/>
        <w:rPr>
          <w:rFonts w:ascii="仿宋" w:eastAsia="仿宋" w:hAnsi="仿宋" w:cs="仿宋"/>
          <w:b/>
          <w:bCs/>
          <w:sz w:val="28"/>
          <w:szCs w:val="28"/>
        </w:rPr>
      </w:pPr>
    </w:p>
    <w:sectPr w:rsidR="006558CE" w:rsidSect="006558CE">
      <w:footerReference w:type="default" r:id="rId6"/>
      <w:pgSz w:w="11906" w:h="16838"/>
      <w:pgMar w:top="1440" w:right="1797" w:bottom="1440" w:left="179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8CE" w:rsidRDefault="006558CE" w:rsidP="006558CE">
      <w:r>
        <w:separator/>
      </w:r>
    </w:p>
  </w:endnote>
  <w:endnote w:type="continuationSeparator" w:id="1">
    <w:p w:rsidR="006558CE" w:rsidRDefault="006558CE" w:rsidP="0065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CE" w:rsidRDefault="001A5CFC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4.6pt;height:11pt;z-index:2;visibility:visible;mso-wrap-style:none;mso-wrap-distance-left:0;mso-wrap-distance-right:0;mso-position-horizontal:center;mso-position-horizontal-relative:margin;mso-position-vertical-relative:text;mso-width-relative:page;mso-height-relative:page" filled="f" stroked="f">
          <v:textbox style="mso-fit-shape-to-text:t" inset="0,0,0,0">
            <w:txbxContent>
              <w:p w:rsidR="006558CE" w:rsidRDefault="001A5CFC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BB2CA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7724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8CE" w:rsidRDefault="006558CE" w:rsidP="006558CE">
      <w:r>
        <w:separator/>
      </w:r>
    </w:p>
  </w:footnote>
  <w:footnote w:type="continuationSeparator" w:id="1">
    <w:p w:rsidR="006558CE" w:rsidRDefault="006558CE" w:rsidP="00655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8CE"/>
    <w:rsid w:val="00005488"/>
    <w:rsid w:val="001A5CFC"/>
    <w:rsid w:val="003725FD"/>
    <w:rsid w:val="00382DFF"/>
    <w:rsid w:val="003C6819"/>
    <w:rsid w:val="00553C80"/>
    <w:rsid w:val="0057530A"/>
    <w:rsid w:val="006558CE"/>
    <w:rsid w:val="006B0FC2"/>
    <w:rsid w:val="00787DF9"/>
    <w:rsid w:val="00A348CB"/>
    <w:rsid w:val="00A5698B"/>
    <w:rsid w:val="00BB2CA6"/>
    <w:rsid w:val="00C11892"/>
    <w:rsid w:val="00C410CD"/>
    <w:rsid w:val="00D53B1D"/>
    <w:rsid w:val="00E5327A"/>
    <w:rsid w:val="00EB3445"/>
    <w:rsid w:val="00FA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558C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qFormat/>
    <w:rsid w:val="006558CE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58CE"/>
    <w:rPr>
      <w:b/>
    </w:rPr>
  </w:style>
  <w:style w:type="paragraph" w:styleId="a4">
    <w:name w:val="Plain Text"/>
    <w:basedOn w:val="a"/>
    <w:uiPriority w:val="99"/>
    <w:rsid w:val="006558CE"/>
    <w:rPr>
      <w:rFonts w:ascii="宋体" w:hAnsi="Courier New"/>
      <w:szCs w:val="20"/>
    </w:rPr>
  </w:style>
  <w:style w:type="paragraph" w:styleId="a5">
    <w:name w:val="header"/>
    <w:basedOn w:val="a"/>
    <w:rsid w:val="006558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Indent"/>
    <w:basedOn w:val="a"/>
    <w:qFormat/>
    <w:rsid w:val="006558CE"/>
    <w:pPr>
      <w:snapToGrid w:val="0"/>
      <w:spacing w:line="360" w:lineRule="auto"/>
      <w:ind w:firstLine="567"/>
    </w:pPr>
    <w:rPr>
      <w:sz w:val="28"/>
      <w:szCs w:val="20"/>
    </w:rPr>
  </w:style>
  <w:style w:type="paragraph" w:styleId="a7">
    <w:name w:val="footer"/>
    <w:basedOn w:val="a"/>
    <w:rsid w:val="006558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Normal (Web)"/>
    <w:basedOn w:val="a"/>
    <w:rsid w:val="006558CE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rsid w:val="00655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rsid w:val="006558CE"/>
    <w:rPr>
      <w:sz w:val="18"/>
      <w:szCs w:val="18"/>
    </w:rPr>
  </w:style>
  <w:style w:type="character" w:customStyle="1" w:styleId="Char">
    <w:name w:val="批注框文本 Char"/>
    <w:basedOn w:val="a0"/>
    <w:link w:val="aa"/>
    <w:rsid w:val="006558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chenghong</dc:creator>
  <cp:lastModifiedBy>王飞兵</cp:lastModifiedBy>
  <cp:revision>15</cp:revision>
  <cp:lastPrinted>2018-11-08T03:51:00Z</cp:lastPrinted>
  <dcterms:created xsi:type="dcterms:W3CDTF">2019-01-09T01:29:00Z</dcterms:created>
  <dcterms:modified xsi:type="dcterms:W3CDTF">2020-03-13T09:02:00Z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