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B" w:rsidRPr="004058EB" w:rsidRDefault="004058EB" w:rsidP="004058EB">
      <w:pPr>
        <w:jc w:val="center"/>
        <w:rPr>
          <w:rFonts w:asciiTheme="minorEastAsia" w:eastAsiaTheme="minorEastAsia" w:hAnsiTheme="minorEastAsia"/>
          <w:spacing w:val="60"/>
          <w:sz w:val="44"/>
          <w:szCs w:val="44"/>
        </w:rPr>
      </w:pPr>
      <w:r w:rsidRPr="004058EB">
        <w:rPr>
          <w:rFonts w:asciiTheme="minorEastAsia" w:eastAsiaTheme="minorEastAsia" w:hAnsiTheme="minorEastAsia" w:hint="eastAsia"/>
          <w:spacing w:val="60"/>
          <w:sz w:val="44"/>
          <w:szCs w:val="44"/>
        </w:rPr>
        <w:t>湖南省南县人民法院</w:t>
      </w:r>
    </w:p>
    <w:p w:rsidR="004058EB" w:rsidRPr="007D05EA" w:rsidRDefault="004058EB" w:rsidP="004058EB">
      <w:pPr>
        <w:spacing w:after="0"/>
        <w:jc w:val="center"/>
        <w:rPr>
          <w:rFonts w:ascii="宋体" w:eastAsia="宋体" w:hAnsi="宋体"/>
          <w:b/>
          <w:spacing w:val="100"/>
          <w:sz w:val="52"/>
          <w:szCs w:val="52"/>
        </w:rPr>
      </w:pPr>
      <w:r w:rsidRPr="004058EB">
        <w:rPr>
          <w:rFonts w:asciiTheme="minorEastAsia" w:eastAsiaTheme="minorEastAsia" w:hAnsiTheme="minorEastAsia" w:hint="eastAsia"/>
          <w:b/>
          <w:spacing w:val="100"/>
          <w:sz w:val="52"/>
          <w:szCs w:val="52"/>
        </w:rPr>
        <w:t>执行裁定书</w:t>
      </w:r>
      <w:r w:rsidRPr="004058EB"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</w:p>
    <w:p w:rsidR="004058EB" w:rsidRPr="00797425" w:rsidRDefault="004058EB" w:rsidP="00B36682">
      <w:pPr>
        <w:spacing w:beforeLines="300" w:after="0"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97425">
        <w:rPr>
          <w:rFonts w:ascii="仿宋" w:eastAsia="仿宋" w:hAnsi="仿宋" w:hint="eastAsia"/>
          <w:sz w:val="32"/>
          <w:szCs w:val="32"/>
        </w:rPr>
        <w:t>20</w:t>
      </w:r>
      <w:r w:rsidR="00253CBE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97425">
        <w:rPr>
          <w:rFonts w:ascii="仿宋" w:eastAsia="仿宋" w:hAnsi="仿宋" w:hint="eastAsia"/>
          <w:sz w:val="32"/>
          <w:szCs w:val="32"/>
        </w:rPr>
        <w:t>湘0921执</w:t>
      </w:r>
      <w:r w:rsidR="00253CBE">
        <w:rPr>
          <w:rFonts w:ascii="仿宋" w:eastAsia="仿宋" w:hAnsi="仿宋" w:hint="eastAsia"/>
          <w:sz w:val="32"/>
          <w:szCs w:val="32"/>
        </w:rPr>
        <w:t>恢7</w:t>
      </w:r>
      <w:r w:rsidRPr="00797425">
        <w:rPr>
          <w:rFonts w:ascii="仿宋" w:eastAsia="仿宋" w:hAnsi="仿宋" w:hint="eastAsia"/>
          <w:sz w:val="32"/>
          <w:szCs w:val="32"/>
        </w:rPr>
        <w:t>号</w:t>
      </w:r>
    </w:p>
    <w:p w:rsidR="008451BD" w:rsidRDefault="004058EB" w:rsidP="00B36682">
      <w:pPr>
        <w:spacing w:beforeLines="150" w:after="0" w:line="360" w:lineRule="auto"/>
        <w:ind w:firstLineChars="200" w:firstLine="640"/>
        <w:rPr>
          <w:rFonts w:eastAsia="仿宋_GB2312"/>
          <w:sz w:val="32"/>
          <w:szCs w:val="32"/>
        </w:rPr>
      </w:pPr>
      <w:r w:rsidRPr="00797425">
        <w:rPr>
          <w:rFonts w:ascii="仿宋" w:eastAsia="仿宋" w:hAnsi="仿宋" w:hint="eastAsia"/>
          <w:sz w:val="32"/>
          <w:szCs w:val="32"/>
        </w:rPr>
        <w:t>申请执行人</w:t>
      </w:r>
      <w:r w:rsidR="00D4584E">
        <w:rPr>
          <w:rFonts w:ascii="仿宋" w:eastAsia="仿宋" w:hAnsi="仿宋" w:hint="eastAsia"/>
          <w:sz w:val="32"/>
          <w:szCs w:val="32"/>
        </w:rPr>
        <w:t>：</w:t>
      </w:r>
      <w:r w:rsidR="00253CBE">
        <w:rPr>
          <w:rFonts w:eastAsia="仿宋_GB2312" w:hint="eastAsia"/>
          <w:sz w:val="32"/>
          <w:szCs w:val="32"/>
        </w:rPr>
        <w:t>中国邮政储蓄银行股份有限公司南县支行</w:t>
      </w:r>
      <w:r w:rsidR="008451BD" w:rsidRPr="002847D2">
        <w:rPr>
          <w:rFonts w:eastAsia="仿宋_GB2312" w:hint="eastAsia"/>
          <w:sz w:val="32"/>
          <w:szCs w:val="32"/>
        </w:rPr>
        <w:t>，</w:t>
      </w:r>
      <w:r w:rsidR="00253CBE">
        <w:rPr>
          <w:rFonts w:eastAsia="仿宋_GB2312" w:hint="eastAsia"/>
          <w:sz w:val="32"/>
          <w:szCs w:val="32"/>
        </w:rPr>
        <w:t>住所地：湖南省南县南洲镇南洲中路。</w:t>
      </w:r>
    </w:p>
    <w:p w:rsidR="00253CBE" w:rsidRDefault="00253CBE" w:rsidP="00253CBE">
      <w:pPr>
        <w:spacing w:after="0"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负责人：周敏，该支行行长。</w:t>
      </w:r>
    </w:p>
    <w:p w:rsidR="00253CBE" w:rsidRPr="00253CBE" w:rsidRDefault="00253CBE" w:rsidP="00253CBE">
      <w:pPr>
        <w:spacing w:after="0"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委托代理人：杨建祥，男，该支行职员。</w:t>
      </w:r>
    </w:p>
    <w:p w:rsidR="00253CBE" w:rsidRDefault="008451BD" w:rsidP="008451BD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451BD">
        <w:rPr>
          <w:rFonts w:ascii="仿宋" w:eastAsia="仿宋" w:hAnsi="仿宋" w:hint="eastAsia"/>
          <w:sz w:val="32"/>
          <w:szCs w:val="32"/>
        </w:rPr>
        <w:t>被执行人：</w:t>
      </w:r>
      <w:r w:rsidR="00253CBE">
        <w:rPr>
          <w:rFonts w:ascii="仿宋" w:eastAsia="仿宋" w:hAnsi="仿宋" w:hint="eastAsia"/>
          <w:sz w:val="32"/>
          <w:szCs w:val="32"/>
        </w:rPr>
        <w:t>杨伟</w:t>
      </w:r>
      <w:r w:rsidR="00F63B01">
        <w:rPr>
          <w:rFonts w:ascii="仿宋" w:eastAsia="仿宋" w:hAnsi="仿宋" w:hint="eastAsia"/>
          <w:sz w:val="32"/>
          <w:szCs w:val="32"/>
        </w:rPr>
        <w:t>，</w:t>
      </w:r>
      <w:r w:rsidRPr="008451BD">
        <w:rPr>
          <w:rFonts w:ascii="仿宋" w:eastAsia="仿宋" w:hAnsi="仿宋" w:hint="eastAsia"/>
          <w:sz w:val="32"/>
          <w:szCs w:val="32"/>
        </w:rPr>
        <w:t>男，</w:t>
      </w:r>
      <w:r w:rsidR="00F63B01">
        <w:rPr>
          <w:rFonts w:ascii="仿宋" w:eastAsia="仿宋" w:hAnsi="仿宋" w:hint="eastAsia"/>
          <w:sz w:val="32"/>
          <w:szCs w:val="32"/>
        </w:rPr>
        <w:t>19</w:t>
      </w:r>
      <w:r w:rsidR="00253CBE">
        <w:rPr>
          <w:rFonts w:ascii="仿宋" w:eastAsia="仿宋" w:hAnsi="仿宋" w:hint="eastAsia"/>
          <w:sz w:val="32"/>
          <w:szCs w:val="32"/>
        </w:rPr>
        <w:t>67年4月18日出生，汉族，住湖南省南县浪拔湖乡浪拔湖街</w:t>
      </w:r>
      <w:r w:rsidRPr="008451BD">
        <w:rPr>
          <w:rFonts w:ascii="仿宋" w:eastAsia="仿宋" w:hAnsi="仿宋" w:hint="eastAsia"/>
          <w:sz w:val="32"/>
          <w:szCs w:val="32"/>
        </w:rPr>
        <w:t>。</w:t>
      </w:r>
    </w:p>
    <w:p w:rsidR="008451BD" w:rsidRPr="008451BD" w:rsidRDefault="00253CBE" w:rsidP="008451BD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被执行人：周秋利，女，1964年10月26日出生，汉族，住湖南省南县浪拔湖乡浪拔湖街45号。</w:t>
      </w:r>
      <w:r w:rsidR="008451BD" w:rsidRPr="008451BD">
        <w:rPr>
          <w:rFonts w:ascii="仿宋" w:eastAsia="仿宋" w:hAnsi="仿宋"/>
          <w:sz w:val="32"/>
          <w:szCs w:val="32"/>
        </w:rPr>
        <w:t xml:space="preserve"> </w:t>
      </w:r>
    </w:p>
    <w:p w:rsidR="00F037CC" w:rsidRDefault="00881B58" w:rsidP="00F037CC">
      <w:pPr>
        <w:spacing w:after="0" w:line="360" w:lineRule="auto"/>
        <w:ind w:rightChars="-45" w:right="-99" w:firstLineChars="200" w:firstLine="640"/>
        <w:rPr>
          <w:rFonts w:ascii="仿宋" w:eastAsia="仿宋" w:hAnsi="仿宋"/>
          <w:sz w:val="32"/>
          <w:szCs w:val="32"/>
        </w:rPr>
      </w:pPr>
      <w:r w:rsidRPr="008451BD">
        <w:rPr>
          <w:rFonts w:ascii="仿宋" w:eastAsia="仿宋" w:hAnsi="仿宋" w:hint="eastAsia"/>
          <w:sz w:val="32"/>
          <w:szCs w:val="32"/>
        </w:rPr>
        <w:t>本院在执行申请执行人</w:t>
      </w:r>
      <w:r w:rsidR="00253CBE">
        <w:rPr>
          <w:rFonts w:ascii="仿宋" w:eastAsia="仿宋" w:hAnsi="仿宋" w:hint="eastAsia"/>
          <w:sz w:val="32"/>
          <w:szCs w:val="32"/>
        </w:rPr>
        <w:t>中国邮政储蓄银行股份有限公司南县支行</w:t>
      </w:r>
      <w:r w:rsidRPr="00797425">
        <w:rPr>
          <w:rFonts w:ascii="仿宋" w:eastAsia="仿宋" w:hAnsi="仿宋" w:hint="eastAsia"/>
          <w:sz w:val="32"/>
          <w:szCs w:val="32"/>
        </w:rPr>
        <w:t>与被执行人</w:t>
      </w:r>
      <w:r w:rsidR="00253CBE">
        <w:rPr>
          <w:rFonts w:ascii="仿宋" w:eastAsia="仿宋" w:hAnsi="仿宋" w:hint="eastAsia"/>
          <w:sz w:val="32"/>
          <w:szCs w:val="32"/>
        </w:rPr>
        <w:t>杨伟、周秋利</w:t>
      </w:r>
      <w:r w:rsidR="0044700B">
        <w:rPr>
          <w:rFonts w:ascii="仿宋" w:eastAsia="仿宋" w:hAnsi="仿宋" w:hint="eastAsia"/>
          <w:sz w:val="32"/>
          <w:szCs w:val="32"/>
        </w:rPr>
        <w:t>借款合同</w:t>
      </w:r>
      <w:r w:rsidRPr="00797425">
        <w:rPr>
          <w:rFonts w:ascii="仿宋" w:eastAsia="仿宋" w:hAnsi="仿宋" w:hint="eastAsia"/>
          <w:sz w:val="32"/>
          <w:szCs w:val="32"/>
        </w:rPr>
        <w:t>纠纷一案中，</w:t>
      </w:r>
      <w:r w:rsidR="00F63B01">
        <w:rPr>
          <w:rFonts w:ascii="仿宋" w:eastAsia="仿宋" w:hAnsi="仿宋" w:hint="eastAsia"/>
          <w:sz w:val="32"/>
          <w:szCs w:val="32"/>
        </w:rPr>
        <w:t>责令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被执行人</w:t>
      </w:r>
      <w:r w:rsidR="00253CBE">
        <w:rPr>
          <w:rFonts w:ascii="仿宋" w:eastAsia="仿宋" w:hAnsi="仿宋" w:hint="eastAsia"/>
          <w:sz w:val="32"/>
          <w:szCs w:val="32"/>
        </w:rPr>
        <w:t>杨伟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按照本</w:t>
      </w:r>
      <w:r w:rsidR="004D3A52" w:rsidRPr="004D3A52">
        <w:rPr>
          <w:rFonts w:ascii="仿宋" w:eastAsia="仿宋" w:hAnsi="仿宋" w:cs="Times New Roman"/>
          <w:sz w:val="32"/>
          <w:szCs w:val="32"/>
        </w:rPr>
        <w:t>院（201</w:t>
      </w:r>
      <w:r w:rsidR="004D3A52">
        <w:rPr>
          <w:rFonts w:ascii="仿宋" w:eastAsia="仿宋" w:hAnsi="仿宋" w:hint="eastAsia"/>
          <w:sz w:val="32"/>
          <w:szCs w:val="32"/>
        </w:rPr>
        <w:t>9</w:t>
      </w:r>
      <w:r w:rsidR="004D3A52" w:rsidRPr="004D3A52">
        <w:rPr>
          <w:rFonts w:ascii="仿宋" w:eastAsia="仿宋" w:hAnsi="仿宋" w:cs="Times New Roman"/>
          <w:sz w:val="32"/>
          <w:szCs w:val="32"/>
        </w:rPr>
        <w:t>）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湘0921民初</w:t>
      </w:r>
      <w:r w:rsidR="00253CBE">
        <w:rPr>
          <w:rFonts w:ascii="仿宋" w:eastAsia="仿宋" w:hAnsi="仿宋" w:hint="eastAsia"/>
          <w:sz w:val="32"/>
          <w:szCs w:val="32"/>
        </w:rPr>
        <w:t>541</w:t>
      </w:r>
      <w:r w:rsidR="004D3A52" w:rsidRPr="004D3A52">
        <w:rPr>
          <w:rFonts w:ascii="仿宋" w:eastAsia="仿宋" w:hAnsi="仿宋" w:cs="Times New Roman"/>
          <w:sz w:val="32"/>
          <w:szCs w:val="32"/>
        </w:rPr>
        <w:t>号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民事</w:t>
      </w:r>
      <w:r w:rsidR="00253CBE">
        <w:rPr>
          <w:rFonts w:ascii="仿宋" w:eastAsia="仿宋" w:hAnsi="仿宋" w:hint="eastAsia"/>
          <w:sz w:val="32"/>
          <w:szCs w:val="32"/>
        </w:rPr>
        <w:t>判决书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确定的义务履行</w:t>
      </w:r>
      <w:r w:rsidR="004D3A52" w:rsidRPr="004D3A52">
        <w:rPr>
          <w:rFonts w:ascii="仿宋" w:eastAsia="仿宋" w:hAnsi="仿宋" w:cs="Times New Roman"/>
          <w:sz w:val="32"/>
          <w:szCs w:val="32"/>
        </w:rPr>
        <w:t>，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但被执行人</w:t>
      </w:r>
      <w:r w:rsidR="00253CBE">
        <w:rPr>
          <w:rFonts w:ascii="仿宋" w:eastAsia="仿宋" w:hAnsi="仿宋" w:hint="eastAsia"/>
          <w:sz w:val="32"/>
          <w:szCs w:val="32"/>
        </w:rPr>
        <w:t>杨伟、周秋利</w:t>
      </w:r>
      <w:r w:rsidR="004D3A52" w:rsidRPr="004D3A52">
        <w:rPr>
          <w:rFonts w:ascii="仿宋" w:eastAsia="仿宋" w:hAnsi="仿宋" w:cs="Times New Roman" w:hint="eastAsia"/>
          <w:sz w:val="32"/>
          <w:szCs w:val="32"/>
        </w:rPr>
        <w:t>至今未履行。为此，</w:t>
      </w:r>
      <w:r w:rsidR="002C2A22">
        <w:rPr>
          <w:rFonts w:ascii="仿宋" w:eastAsia="仿宋" w:hAnsi="仿宋" w:hint="eastAsia"/>
          <w:sz w:val="32"/>
          <w:szCs w:val="32"/>
        </w:rPr>
        <w:t>本院</w:t>
      </w:r>
      <w:r w:rsidR="00D4584E" w:rsidRPr="00D4584E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4584E" w:rsidRPr="00D4584E">
        <w:rPr>
          <w:rFonts w:ascii="仿宋" w:eastAsia="仿宋" w:hAnsi="仿宋"/>
          <w:sz w:val="32"/>
          <w:szCs w:val="32"/>
        </w:rPr>
        <w:t>四十四条、</w:t>
      </w:r>
      <w:r w:rsidR="00D4584E" w:rsidRPr="00D4584E">
        <w:rPr>
          <w:rFonts w:ascii="仿宋" w:eastAsia="仿宋" w:hAnsi="仿宋" w:hint="eastAsia"/>
          <w:sz w:val="32"/>
          <w:szCs w:val="32"/>
        </w:rPr>
        <w:t>第二百四十七条</w:t>
      </w:r>
      <w:r w:rsidR="00D4584E" w:rsidRPr="00D4584E">
        <w:rPr>
          <w:rFonts w:ascii="仿宋" w:eastAsia="仿宋" w:hAnsi="仿宋"/>
          <w:sz w:val="32"/>
          <w:szCs w:val="32"/>
        </w:rPr>
        <w:t>的规定，</w:t>
      </w:r>
      <w:r w:rsidR="00D43A46">
        <w:rPr>
          <w:rFonts w:ascii="仿宋" w:eastAsia="仿宋" w:hAnsi="仿宋" w:hint="eastAsia"/>
          <w:sz w:val="32"/>
          <w:szCs w:val="32"/>
        </w:rPr>
        <w:t>裁定如下：</w:t>
      </w:r>
    </w:p>
    <w:p w:rsidR="004D3A52" w:rsidRDefault="00D4584E" w:rsidP="00F037CC">
      <w:pPr>
        <w:spacing w:after="0" w:line="360" w:lineRule="auto"/>
        <w:ind w:rightChars="-45" w:right="-9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</w:t>
      </w:r>
      <w:r w:rsidR="004D3A52">
        <w:rPr>
          <w:rFonts w:ascii="仿宋" w:eastAsia="仿宋" w:hAnsi="仿宋" w:hint="eastAsia"/>
          <w:sz w:val="32"/>
          <w:szCs w:val="32"/>
        </w:rPr>
        <w:t>被执行人</w:t>
      </w:r>
      <w:r w:rsidR="00253CBE">
        <w:rPr>
          <w:rFonts w:ascii="仿宋" w:eastAsia="仿宋" w:hAnsi="仿宋" w:hint="eastAsia"/>
          <w:sz w:val="32"/>
          <w:szCs w:val="32"/>
        </w:rPr>
        <w:t>杨伟</w:t>
      </w:r>
      <w:r w:rsidR="004D3A52">
        <w:rPr>
          <w:rFonts w:ascii="仿宋" w:eastAsia="仿宋" w:hAnsi="仿宋" w:hint="eastAsia"/>
          <w:sz w:val="32"/>
          <w:szCs w:val="32"/>
        </w:rPr>
        <w:t>名下位于</w:t>
      </w:r>
      <w:r w:rsidR="00253CBE">
        <w:rPr>
          <w:rFonts w:ascii="仿宋" w:eastAsia="仿宋" w:hAnsi="仿宋" w:hint="eastAsia"/>
          <w:sz w:val="32"/>
          <w:szCs w:val="32"/>
        </w:rPr>
        <w:t>南县浪拔湖乡街道的房地产</w:t>
      </w:r>
      <w:r w:rsidR="004D3A52">
        <w:rPr>
          <w:rFonts w:ascii="仿宋" w:eastAsia="仿宋" w:hAnsi="仿宋" w:hint="eastAsia"/>
          <w:sz w:val="32"/>
          <w:szCs w:val="32"/>
        </w:rPr>
        <w:t>（权证号：</w:t>
      </w:r>
      <w:r w:rsidR="00253CBE">
        <w:rPr>
          <w:rFonts w:ascii="仿宋" w:eastAsia="仿宋" w:hAnsi="仿宋" w:hint="eastAsia"/>
          <w:sz w:val="32"/>
          <w:szCs w:val="32"/>
        </w:rPr>
        <w:t>南房权证浪拔湖乡字第00040981、00040982、00042727号</w:t>
      </w:r>
      <w:r w:rsidR="004D3A52">
        <w:rPr>
          <w:rFonts w:ascii="仿宋" w:eastAsia="仿宋" w:hAnsi="仿宋" w:hint="eastAsia"/>
          <w:sz w:val="32"/>
          <w:szCs w:val="32"/>
        </w:rPr>
        <w:t>）。</w:t>
      </w:r>
    </w:p>
    <w:p w:rsidR="00C7753A" w:rsidRDefault="004D3A52" w:rsidP="004D3A52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D3A52">
        <w:rPr>
          <w:rFonts w:ascii="仿宋" w:eastAsia="仿宋" w:hAnsi="仿宋" w:hint="eastAsia"/>
          <w:sz w:val="32"/>
          <w:szCs w:val="32"/>
        </w:rPr>
        <w:lastRenderedPageBreak/>
        <w:t>本裁定送达后即发生法律效力。</w:t>
      </w:r>
    </w:p>
    <w:p w:rsidR="004D3A52" w:rsidRDefault="004D3A52" w:rsidP="004058EB">
      <w:pPr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53CBE" w:rsidRDefault="00253CBE" w:rsidP="004058EB">
      <w:pPr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881B58" w:rsidRDefault="0071583A" w:rsidP="004058EB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审  判  </w:t>
      </w:r>
      <w:r w:rsidR="00F478B3">
        <w:rPr>
          <w:rFonts w:ascii="仿宋_GB2312" w:eastAsia="仿宋_GB2312" w:hAnsi="宋体" w:hint="eastAsia"/>
          <w:sz w:val="32"/>
          <w:szCs w:val="32"/>
        </w:rPr>
        <w:t>长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F478B3">
        <w:rPr>
          <w:rFonts w:ascii="仿宋_GB2312" w:eastAsia="仿宋_GB2312" w:hAnsi="宋体" w:hint="eastAsia"/>
          <w:sz w:val="32"/>
          <w:szCs w:val="32"/>
        </w:rPr>
        <w:t>刘</w:t>
      </w:r>
      <w:r w:rsidR="00705162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F478B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05162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F478B3">
        <w:rPr>
          <w:rFonts w:ascii="仿宋_GB2312" w:eastAsia="仿宋_GB2312" w:hAnsi="宋体" w:hint="eastAsia"/>
          <w:sz w:val="32"/>
          <w:szCs w:val="32"/>
        </w:rPr>
        <w:t xml:space="preserve"> 涓</w:t>
      </w:r>
    </w:p>
    <w:p w:rsidR="00F478B3" w:rsidRPr="00881B58" w:rsidRDefault="00F478B3" w:rsidP="00F478B3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审  判  员    李  清  荣</w:t>
      </w:r>
    </w:p>
    <w:p w:rsidR="00F478B3" w:rsidRPr="00881B58" w:rsidRDefault="00F478B3" w:rsidP="00F478B3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审  判  员    彭  朝  红</w:t>
      </w:r>
    </w:p>
    <w:p w:rsidR="0071583A" w:rsidRDefault="0071583A" w:rsidP="0071583A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07483" w:rsidRPr="00253CBE" w:rsidRDefault="00BF2848" w:rsidP="00F07483">
      <w:pPr>
        <w:ind w:left="160" w:rightChars="148" w:right="326" w:hangingChars="50" w:hanging="160"/>
        <w:rPr>
          <w:rFonts w:ascii="仿宋" w:eastAsia="仿宋" w:hAnsi="仿宋"/>
          <w:spacing w:val="6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4058EB">
        <w:rPr>
          <w:rFonts w:ascii="仿宋" w:eastAsia="仿宋" w:hAnsi="仿宋" w:hint="eastAsia"/>
          <w:spacing w:val="52"/>
          <w:sz w:val="32"/>
          <w:szCs w:val="32"/>
        </w:rPr>
        <w:t xml:space="preserve"> </w:t>
      </w:r>
      <w:r w:rsidR="004D3A52">
        <w:rPr>
          <w:rFonts w:ascii="仿宋" w:eastAsia="仿宋" w:hAnsi="仿宋" w:hint="eastAsia"/>
          <w:spacing w:val="52"/>
          <w:sz w:val="32"/>
          <w:szCs w:val="32"/>
        </w:rPr>
        <w:t xml:space="preserve"> </w:t>
      </w:r>
      <w:r w:rsidR="0071583A" w:rsidRPr="00253CBE">
        <w:rPr>
          <w:rFonts w:ascii="仿宋" w:eastAsia="仿宋" w:hAnsi="仿宋" w:hint="eastAsia"/>
          <w:spacing w:val="60"/>
          <w:sz w:val="32"/>
          <w:szCs w:val="32"/>
        </w:rPr>
        <w:t>二〇</w:t>
      </w:r>
      <w:r w:rsidR="00253CBE" w:rsidRPr="00253CBE">
        <w:rPr>
          <w:rFonts w:ascii="仿宋" w:eastAsia="仿宋" w:hAnsi="仿宋" w:hint="eastAsia"/>
          <w:spacing w:val="60"/>
          <w:sz w:val="32"/>
          <w:szCs w:val="32"/>
        </w:rPr>
        <w:t>二〇</w:t>
      </w:r>
      <w:r w:rsidR="0071583A" w:rsidRPr="00253CBE">
        <w:rPr>
          <w:rFonts w:ascii="仿宋" w:eastAsia="仿宋" w:hAnsi="仿宋" w:hint="eastAsia"/>
          <w:spacing w:val="60"/>
          <w:sz w:val="32"/>
          <w:szCs w:val="32"/>
        </w:rPr>
        <w:t>年</w:t>
      </w:r>
      <w:r w:rsidR="00253CBE" w:rsidRPr="00253CBE">
        <w:rPr>
          <w:rFonts w:ascii="仿宋" w:eastAsia="仿宋" w:hAnsi="仿宋" w:hint="eastAsia"/>
          <w:spacing w:val="60"/>
          <w:sz w:val="32"/>
          <w:szCs w:val="32"/>
        </w:rPr>
        <w:t>一</w:t>
      </w:r>
      <w:r w:rsidR="0071583A" w:rsidRPr="00253CBE">
        <w:rPr>
          <w:rFonts w:ascii="仿宋" w:eastAsia="仿宋" w:hAnsi="仿宋" w:hint="eastAsia"/>
          <w:spacing w:val="60"/>
          <w:sz w:val="32"/>
          <w:szCs w:val="32"/>
        </w:rPr>
        <w:t>月</w:t>
      </w:r>
      <w:r w:rsidR="00253CBE" w:rsidRPr="00253CBE">
        <w:rPr>
          <w:rFonts w:ascii="仿宋" w:eastAsia="仿宋" w:hAnsi="仿宋" w:hint="eastAsia"/>
          <w:spacing w:val="60"/>
          <w:sz w:val="32"/>
          <w:szCs w:val="32"/>
        </w:rPr>
        <w:t>十五</w:t>
      </w:r>
      <w:r w:rsidR="0071583A" w:rsidRPr="00253CBE">
        <w:rPr>
          <w:rFonts w:ascii="仿宋" w:eastAsia="仿宋" w:hAnsi="仿宋" w:hint="eastAsia"/>
          <w:spacing w:val="60"/>
          <w:sz w:val="32"/>
          <w:szCs w:val="32"/>
        </w:rPr>
        <w:t>日</w:t>
      </w:r>
    </w:p>
    <w:p w:rsidR="00881B58" w:rsidRDefault="0071583A" w:rsidP="00F07483">
      <w:pPr>
        <w:ind w:left="160" w:hangingChars="50" w:hanging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EE6F94" w:rsidRDefault="004058EB" w:rsidP="00F835C9"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71583A">
        <w:rPr>
          <w:rFonts w:ascii="仿宋" w:eastAsia="仿宋" w:hAnsi="仿宋" w:hint="eastAsia"/>
          <w:sz w:val="32"/>
          <w:szCs w:val="32"/>
        </w:rPr>
        <w:t xml:space="preserve">书  记  员    唐      </w:t>
      </w:r>
      <w:r w:rsidR="00881B58">
        <w:rPr>
          <w:rFonts w:ascii="仿宋" w:eastAsia="仿宋" w:hAnsi="仿宋" w:hint="eastAsia"/>
          <w:sz w:val="32"/>
          <w:szCs w:val="32"/>
        </w:rPr>
        <w:t>叶</w:t>
      </w:r>
    </w:p>
    <w:sectPr w:rsidR="00EE6F94" w:rsidSect="00253CBE">
      <w:pgSz w:w="11906" w:h="16838"/>
      <w:pgMar w:top="1701" w:right="1701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F5" w:rsidRDefault="009179F5" w:rsidP="00B001AF">
      <w:pPr>
        <w:spacing w:after="0"/>
      </w:pPr>
      <w:r>
        <w:separator/>
      </w:r>
    </w:p>
  </w:endnote>
  <w:endnote w:type="continuationSeparator" w:id="1">
    <w:p w:rsidR="009179F5" w:rsidRDefault="009179F5" w:rsidP="00B001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F5" w:rsidRDefault="009179F5" w:rsidP="00B001AF">
      <w:pPr>
        <w:spacing w:after="0"/>
      </w:pPr>
      <w:r>
        <w:separator/>
      </w:r>
    </w:p>
  </w:footnote>
  <w:footnote w:type="continuationSeparator" w:id="1">
    <w:p w:rsidR="009179F5" w:rsidRDefault="009179F5" w:rsidP="00B001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4CE7"/>
    <w:rsid w:val="00027F9B"/>
    <w:rsid w:val="000309C5"/>
    <w:rsid w:val="0006601C"/>
    <w:rsid w:val="00074042"/>
    <w:rsid w:val="0008799A"/>
    <w:rsid w:val="000A11EB"/>
    <w:rsid w:val="000A3267"/>
    <w:rsid w:val="000A7BD8"/>
    <w:rsid w:val="0011385C"/>
    <w:rsid w:val="00117789"/>
    <w:rsid w:val="00161166"/>
    <w:rsid w:val="00190663"/>
    <w:rsid w:val="001E126A"/>
    <w:rsid w:val="00221ACD"/>
    <w:rsid w:val="002338A8"/>
    <w:rsid w:val="00253CBE"/>
    <w:rsid w:val="002C2A22"/>
    <w:rsid w:val="002D4DEE"/>
    <w:rsid w:val="00323B43"/>
    <w:rsid w:val="003243C3"/>
    <w:rsid w:val="00351FE6"/>
    <w:rsid w:val="00367818"/>
    <w:rsid w:val="003C3B27"/>
    <w:rsid w:val="003D37D8"/>
    <w:rsid w:val="003E4702"/>
    <w:rsid w:val="004058EB"/>
    <w:rsid w:val="00412977"/>
    <w:rsid w:val="00422D21"/>
    <w:rsid w:val="00426133"/>
    <w:rsid w:val="004358AB"/>
    <w:rsid w:val="0044700B"/>
    <w:rsid w:val="00453AEC"/>
    <w:rsid w:val="00484101"/>
    <w:rsid w:val="004A0AC5"/>
    <w:rsid w:val="004B6D3D"/>
    <w:rsid w:val="004D3A52"/>
    <w:rsid w:val="005174FB"/>
    <w:rsid w:val="005C5E0F"/>
    <w:rsid w:val="00621A7E"/>
    <w:rsid w:val="00631C74"/>
    <w:rsid w:val="006511E5"/>
    <w:rsid w:val="00682FB8"/>
    <w:rsid w:val="00690A89"/>
    <w:rsid w:val="006D33F2"/>
    <w:rsid w:val="006D7CFC"/>
    <w:rsid w:val="006E396D"/>
    <w:rsid w:val="006F52FE"/>
    <w:rsid w:val="00700179"/>
    <w:rsid w:val="00705162"/>
    <w:rsid w:val="0071583A"/>
    <w:rsid w:val="00742451"/>
    <w:rsid w:val="00751A6B"/>
    <w:rsid w:val="00765441"/>
    <w:rsid w:val="007942A6"/>
    <w:rsid w:val="007C3084"/>
    <w:rsid w:val="007D55DB"/>
    <w:rsid w:val="007F367C"/>
    <w:rsid w:val="00837FC4"/>
    <w:rsid w:val="008451BD"/>
    <w:rsid w:val="00864393"/>
    <w:rsid w:val="00873216"/>
    <w:rsid w:val="0087648B"/>
    <w:rsid w:val="00881B58"/>
    <w:rsid w:val="00895DD8"/>
    <w:rsid w:val="008B0D76"/>
    <w:rsid w:val="008B3EFF"/>
    <w:rsid w:val="008B7726"/>
    <w:rsid w:val="008D2011"/>
    <w:rsid w:val="00910CFC"/>
    <w:rsid w:val="009179F5"/>
    <w:rsid w:val="0094502F"/>
    <w:rsid w:val="00955D4A"/>
    <w:rsid w:val="009740FE"/>
    <w:rsid w:val="00980EF1"/>
    <w:rsid w:val="009B60D5"/>
    <w:rsid w:val="009E1C76"/>
    <w:rsid w:val="009E3A7F"/>
    <w:rsid w:val="00A425A9"/>
    <w:rsid w:val="00A65D97"/>
    <w:rsid w:val="00AB50F0"/>
    <w:rsid w:val="00AB5DC3"/>
    <w:rsid w:val="00AE7412"/>
    <w:rsid w:val="00AF651C"/>
    <w:rsid w:val="00B001AF"/>
    <w:rsid w:val="00B079B8"/>
    <w:rsid w:val="00B118EE"/>
    <w:rsid w:val="00B15CFD"/>
    <w:rsid w:val="00B17204"/>
    <w:rsid w:val="00B36682"/>
    <w:rsid w:val="00B37626"/>
    <w:rsid w:val="00B46205"/>
    <w:rsid w:val="00B65B49"/>
    <w:rsid w:val="00BD4138"/>
    <w:rsid w:val="00BF2848"/>
    <w:rsid w:val="00C5298E"/>
    <w:rsid w:val="00C7753A"/>
    <w:rsid w:val="00CA1CA5"/>
    <w:rsid w:val="00CB0BA1"/>
    <w:rsid w:val="00CE61F7"/>
    <w:rsid w:val="00CF7323"/>
    <w:rsid w:val="00D31D50"/>
    <w:rsid w:val="00D43A46"/>
    <w:rsid w:val="00D4584E"/>
    <w:rsid w:val="00D70520"/>
    <w:rsid w:val="00D7221C"/>
    <w:rsid w:val="00D76FA3"/>
    <w:rsid w:val="00DA7D0E"/>
    <w:rsid w:val="00DC3648"/>
    <w:rsid w:val="00DF45B2"/>
    <w:rsid w:val="00E17C2C"/>
    <w:rsid w:val="00E225B7"/>
    <w:rsid w:val="00E46916"/>
    <w:rsid w:val="00E860CC"/>
    <w:rsid w:val="00E95D6F"/>
    <w:rsid w:val="00E975EA"/>
    <w:rsid w:val="00EA4659"/>
    <w:rsid w:val="00EB2480"/>
    <w:rsid w:val="00EB66CC"/>
    <w:rsid w:val="00EE5211"/>
    <w:rsid w:val="00EE6F94"/>
    <w:rsid w:val="00F037CC"/>
    <w:rsid w:val="00F07483"/>
    <w:rsid w:val="00F235C7"/>
    <w:rsid w:val="00F478B3"/>
    <w:rsid w:val="00F6119D"/>
    <w:rsid w:val="00F63B01"/>
    <w:rsid w:val="00F6533A"/>
    <w:rsid w:val="00F72460"/>
    <w:rsid w:val="00F835C9"/>
    <w:rsid w:val="00FC76DC"/>
    <w:rsid w:val="00FE0E53"/>
    <w:rsid w:val="185C2671"/>
    <w:rsid w:val="40272B55"/>
    <w:rsid w:val="45CB5A46"/>
    <w:rsid w:val="519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E6F9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E6F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F0748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07483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B488D-3CA1-4008-8BD4-521E9CBE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cp:lastPrinted>2020-01-15T01:30:00Z</cp:lastPrinted>
  <dcterms:created xsi:type="dcterms:W3CDTF">2008-09-11T17:20:00Z</dcterms:created>
  <dcterms:modified xsi:type="dcterms:W3CDTF">2020-01-15T01:30:00Z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