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960" w:lineRule="auto"/>
        <w:rPr>
          <w:b/>
          <w:sz w:val="72"/>
          <w:szCs w:val="72"/>
        </w:rPr>
      </w:pPr>
    </w:p>
    <w:p>
      <w:pPr>
        <w:spacing w:line="960" w:lineRule="auto"/>
        <w:jc w:val="center"/>
        <w:rPr>
          <w:b/>
          <w:sz w:val="72"/>
          <w:szCs w:val="72"/>
        </w:rPr>
      </w:pPr>
      <w:r>
        <w:rPr>
          <w:rFonts w:hAnsi="宋体"/>
          <w:b/>
          <w:sz w:val="72"/>
          <w:szCs w:val="72"/>
        </w:rPr>
        <w:t>房地产司法鉴定估价报告</w:t>
      </w:r>
    </w:p>
    <w:p>
      <w:pPr>
        <w:spacing w:line="540" w:lineRule="exact"/>
        <w:jc w:val="center"/>
        <w:rPr>
          <w:rFonts w:eastAsia="楷体_GB2312"/>
          <w:sz w:val="36"/>
          <w:szCs w:val="36"/>
        </w:rPr>
      </w:pPr>
    </w:p>
    <w:p>
      <w:pPr>
        <w:spacing w:line="540" w:lineRule="exact"/>
        <w:rPr>
          <w:rFonts w:eastAsia="楷体_GB2312"/>
          <w:sz w:val="36"/>
          <w:szCs w:val="36"/>
        </w:rPr>
      </w:pPr>
    </w:p>
    <w:p>
      <w:pPr>
        <w:spacing w:line="540" w:lineRule="exact"/>
        <w:rPr>
          <w:rFonts w:eastAsia="楷体_GB2312"/>
          <w:sz w:val="36"/>
          <w:szCs w:val="36"/>
        </w:rPr>
      </w:pPr>
    </w:p>
    <w:p>
      <w:pPr>
        <w:spacing w:line="540" w:lineRule="exact"/>
        <w:ind w:left="2142" w:leftChars="-1" w:hanging="2144" w:hangingChars="712"/>
        <w:rPr>
          <w:b/>
          <w:kern w:val="0"/>
          <w:sz w:val="30"/>
          <w:szCs w:val="30"/>
        </w:rPr>
      </w:pPr>
    </w:p>
    <w:p>
      <w:pPr>
        <w:ind w:left="2783" w:leftChars="372" w:hanging="2002" w:hangingChars="416"/>
        <w:rPr>
          <w:b/>
          <w:kern w:val="0"/>
          <w:sz w:val="30"/>
          <w:szCs w:val="30"/>
        </w:rPr>
      </w:pPr>
      <w:r>
        <w:rPr>
          <w:rFonts w:hAnsi="宋体"/>
          <w:b/>
          <w:spacing w:val="90"/>
          <w:kern w:val="0"/>
          <w:sz w:val="30"/>
          <w:szCs w:val="30"/>
        </w:rPr>
        <w:t>估价项</w:t>
      </w:r>
      <w:r>
        <w:rPr>
          <w:rFonts w:hAnsi="宋体"/>
          <w:b/>
          <w:kern w:val="0"/>
          <w:sz w:val="30"/>
          <w:szCs w:val="30"/>
        </w:rPr>
        <w:t>目：</w:t>
      </w:r>
      <w:r>
        <w:rPr>
          <w:rFonts w:hint="eastAsia" w:hAnsi="宋体"/>
          <w:b/>
          <w:kern w:val="0"/>
          <w:sz w:val="30"/>
          <w:szCs w:val="30"/>
          <w:lang w:eastAsia="zh-CN"/>
        </w:rPr>
        <w:t>滁州市凤阳县门台镇工业园区合蚌路南侧龙凤山庄8幢101室</w:t>
      </w:r>
      <w:r>
        <w:rPr>
          <w:rFonts w:hAnsi="宋体"/>
          <w:b/>
          <w:kern w:val="0"/>
          <w:sz w:val="30"/>
          <w:szCs w:val="30"/>
        </w:rPr>
        <w:t>住宅用途</w:t>
      </w:r>
      <w:r>
        <w:rPr>
          <w:rFonts w:hAnsi="宋体"/>
          <w:b/>
          <w:sz w:val="30"/>
          <w:szCs w:val="30"/>
        </w:rPr>
        <w:t>房地产司法鉴定评估</w:t>
      </w:r>
    </w:p>
    <w:p>
      <w:pPr>
        <w:spacing w:line="720" w:lineRule="auto"/>
        <w:ind w:left="718" w:leftChars="342"/>
        <w:rPr>
          <w:rFonts w:hint="eastAsia" w:eastAsia="宋体"/>
          <w:b/>
          <w:sz w:val="30"/>
          <w:szCs w:val="30"/>
          <w:lang w:eastAsia="zh-CN"/>
        </w:rPr>
      </w:pPr>
      <w:r>
        <w:rPr>
          <w:rFonts w:hAnsi="宋体"/>
          <w:b/>
          <w:spacing w:val="30"/>
          <w:kern w:val="0"/>
          <w:sz w:val="30"/>
          <w:szCs w:val="30"/>
        </w:rPr>
        <w:t>估价委托</w:t>
      </w:r>
      <w:r>
        <w:rPr>
          <w:rFonts w:hAnsi="宋体"/>
          <w:b/>
          <w:spacing w:val="40"/>
          <w:kern w:val="0"/>
          <w:sz w:val="30"/>
          <w:szCs w:val="30"/>
        </w:rPr>
        <w:t>人</w:t>
      </w:r>
      <w:r>
        <w:rPr>
          <w:rFonts w:hAnsi="宋体"/>
          <w:b/>
          <w:sz w:val="30"/>
          <w:szCs w:val="30"/>
        </w:rPr>
        <w:t>：</w:t>
      </w:r>
      <w:r>
        <w:rPr>
          <w:rFonts w:hint="eastAsia" w:hAnsi="宋体"/>
          <w:b/>
          <w:sz w:val="30"/>
          <w:szCs w:val="30"/>
          <w:lang w:eastAsia="zh-CN"/>
        </w:rPr>
        <w:t>凤阳县人民法院</w:t>
      </w:r>
    </w:p>
    <w:p>
      <w:pPr>
        <w:spacing w:line="720" w:lineRule="auto"/>
        <w:ind w:left="720" w:hanging="720" w:hangingChars="239"/>
        <w:rPr>
          <w:b/>
          <w:sz w:val="30"/>
          <w:szCs w:val="30"/>
        </w:rPr>
      </w:pPr>
      <w:r>
        <w:rPr>
          <w:b/>
          <w:sz w:val="30"/>
          <w:szCs w:val="30"/>
        </w:rPr>
        <w:tab/>
      </w:r>
      <w:r>
        <w:rPr>
          <w:rFonts w:hAnsi="宋体"/>
          <w:b/>
          <w:spacing w:val="90"/>
          <w:kern w:val="0"/>
          <w:sz w:val="30"/>
          <w:szCs w:val="30"/>
        </w:rPr>
        <w:t>估价机</w:t>
      </w:r>
      <w:r>
        <w:rPr>
          <w:rFonts w:hAnsi="宋体"/>
          <w:b/>
          <w:kern w:val="0"/>
          <w:sz w:val="30"/>
          <w:szCs w:val="30"/>
        </w:rPr>
        <w:t>构</w:t>
      </w:r>
      <w:r>
        <w:rPr>
          <w:rFonts w:hAnsi="宋体"/>
          <w:b/>
          <w:sz w:val="30"/>
          <w:szCs w:val="30"/>
        </w:rPr>
        <w:t>：安徽大众房地产资产评估造价有限公司</w:t>
      </w:r>
    </w:p>
    <w:p>
      <w:pPr>
        <w:spacing w:line="720" w:lineRule="auto"/>
        <w:ind w:left="716" w:leftChars="338" w:hanging="6" w:hangingChars="2"/>
        <w:rPr>
          <w:b/>
          <w:sz w:val="30"/>
          <w:szCs w:val="30"/>
        </w:rPr>
      </w:pPr>
      <w:r>
        <w:rPr>
          <w:b/>
          <w:sz w:val="30"/>
          <w:szCs w:val="30"/>
          <w:u w:val="double" w:color="FFFFFF"/>
        </w:rPr>
        <w:t>注册房地产估价师</w:t>
      </w:r>
      <w:r>
        <w:rPr>
          <w:b/>
          <w:sz w:val="30"/>
          <w:szCs w:val="30"/>
        </w:rPr>
        <w:t xml:space="preserve">: </w:t>
      </w:r>
      <w:r>
        <w:rPr>
          <w:rFonts w:hint="eastAsia" w:hAnsi="宋体"/>
          <w:b/>
          <w:sz w:val="30"/>
          <w:szCs w:val="30"/>
        </w:rPr>
        <w:t>石  涛</w:t>
      </w:r>
      <w:r>
        <w:rPr>
          <w:rFonts w:hAnsi="宋体"/>
          <w:b/>
          <w:sz w:val="30"/>
          <w:szCs w:val="30"/>
        </w:rPr>
        <w:t>（注册号：</w:t>
      </w:r>
      <w:r>
        <w:rPr>
          <w:b/>
          <w:sz w:val="30"/>
          <w:szCs w:val="30"/>
        </w:rPr>
        <w:t>3420</w:t>
      </w:r>
      <w:r>
        <w:rPr>
          <w:rFonts w:hint="eastAsia"/>
          <w:b/>
          <w:sz w:val="30"/>
          <w:szCs w:val="30"/>
        </w:rPr>
        <w:t>110044</w:t>
      </w:r>
      <w:r>
        <w:rPr>
          <w:rFonts w:hAnsi="宋体"/>
          <w:b/>
          <w:sz w:val="30"/>
          <w:szCs w:val="30"/>
        </w:rPr>
        <w:t>）</w:t>
      </w:r>
    </w:p>
    <w:p>
      <w:pPr>
        <w:spacing w:line="720" w:lineRule="auto"/>
        <w:ind w:left="716" w:leftChars="341" w:firstLine="2699" w:firstLineChars="896"/>
        <w:rPr>
          <w:b/>
          <w:sz w:val="30"/>
          <w:szCs w:val="30"/>
        </w:rPr>
      </w:pPr>
      <w:r>
        <w:rPr>
          <w:rFonts w:hint="eastAsia" w:hAnsi="宋体"/>
          <w:b/>
          <w:sz w:val="30"/>
          <w:szCs w:val="30"/>
          <w:lang w:eastAsia="zh-CN"/>
        </w:rPr>
        <w:t>石邦复</w:t>
      </w:r>
      <w:r>
        <w:rPr>
          <w:rFonts w:hAnsi="宋体"/>
          <w:b/>
          <w:sz w:val="30"/>
          <w:szCs w:val="30"/>
        </w:rPr>
        <w:t>（注册号：</w:t>
      </w:r>
      <w:r>
        <w:rPr>
          <w:rFonts w:hint="eastAsia"/>
          <w:b/>
          <w:sz w:val="30"/>
          <w:szCs w:val="30"/>
          <w:lang w:eastAsia="zh-CN"/>
        </w:rPr>
        <w:t>3420150041</w:t>
      </w:r>
      <w:r>
        <w:rPr>
          <w:rFonts w:hAnsi="宋体"/>
          <w:b/>
          <w:sz w:val="30"/>
          <w:szCs w:val="30"/>
        </w:rPr>
        <w:t>）</w:t>
      </w:r>
    </w:p>
    <w:p>
      <w:pPr>
        <w:spacing w:line="720" w:lineRule="auto"/>
        <w:ind w:firstLine="708" w:firstLineChars="235"/>
        <w:rPr>
          <w:rFonts w:hint="eastAsia" w:eastAsia="宋体"/>
          <w:b/>
          <w:spacing w:val="-4"/>
          <w:kern w:val="10"/>
          <w:sz w:val="30"/>
          <w:lang w:eastAsia="zh-CN"/>
        </w:rPr>
      </w:pPr>
      <w:r>
        <w:rPr>
          <w:b/>
          <w:sz w:val="30"/>
          <w:szCs w:val="30"/>
          <w:u w:val="double" w:color="FFFFFF"/>
        </w:rPr>
        <w:t>估价</w:t>
      </w:r>
      <w:r>
        <w:rPr>
          <w:b/>
          <w:sz w:val="30"/>
          <w:szCs w:val="30"/>
        </w:rPr>
        <w:t>报告出具日期</w:t>
      </w:r>
      <w:r>
        <w:rPr>
          <w:b/>
          <w:spacing w:val="-4"/>
          <w:kern w:val="10"/>
          <w:sz w:val="30"/>
        </w:rPr>
        <w:t>：</w:t>
      </w:r>
      <w:r>
        <w:rPr>
          <w:rFonts w:hint="eastAsia"/>
          <w:b/>
          <w:spacing w:val="-4"/>
          <w:kern w:val="10"/>
          <w:sz w:val="30"/>
          <w:lang w:eastAsia="zh-CN"/>
        </w:rPr>
        <w:t>2019年10月11日</w:t>
      </w:r>
    </w:p>
    <w:p>
      <w:pPr>
        <w:spacing w:line="720" w:lineRule="auto"/>
        <w:ind w:firstLine="720" w:firstLineChars="239"/>
        <w:rPr>
          <w:rFonts w:eastAsia="仿宋_GB2312"/>
          <w:sz w:val="32"/>
          <w:szCs w:val="32"/>
        </w:rPr>
      </w:pPr>
      <w:r>
        <w:rPr>
          <w:rFonts w:hAnsi="宋体"/>
          <w:b/>
          <w:kern w:val="0"/>
          <w:sz w:val="30"/>
          <w:szCs w:val="30"/>
        </w:rPr>
        <w:t>估价报告编号：</w:t>
      </w:r>
      <w:r>
        <w:rPr>
          <w:rFonts w:hAnsi="宋体"/>
          <w:b/>
          <w:sz w:val="30"/>
          <w:szCs w:val="30"/>
        </w:rPr>
        <w:t>安徽大众（司）评字</w:t>
      </w:r>
      <w:r>
        <w:rPr>
          <w:b/>
          <w:sz w:val="30"/>
          <w:szCs w:val="30"/>
        </w:rPr>
        <w:t>201</w:t>
      </w:r>
      <w:r>
        <w:rPr>
          <w:rFonts w:hint="eastAsia"/>
          <w:b/>
          <w:sz w:val="30"/>
          <w:szCs w:val="30"/>
        </w:rPr>
        <w:t>9</w:t>
      </w:r>
      <w:r>
        <w:rPr>
          <w:rFonts w:hAnsi="宋体"/>
          <w:b/>
          <w:sz w:val="30"/>
          <w:szCs w:val="30"/>
        </w:rPr>
        <w:t>第</w:t>
      </w:r>
      <w:r>
        <w:rPr>
          <w:rFonts w:hint="eastAsia" w:hAnsi="宋体"/>
          <w:b/>
          <w:sz w:val="30"/>
          <w:szCs w:val="30"/>
          <w:lang w:val="en-US" w:eastAsia="zh-CN"/>
        </w:rPr>
        <w:t>1633</w:t>
      </w:r>
      <w:r>
        <w:rPr>
          <w:rFonts w:hAnsi="宋体"/>
          <w:b/>
          <w:sz w:val="30"/>
          <w:szCs w:val="30"/>
        </w:rPr>
        <w:t>号</w:t>
      </w:r>
    </w:p>
    <w:p>
      <w:pPr>
        <w:spacing w:line="720" w:lineRule="auto"/>
        <w:ind w:firstLine="764" w:firstLineChars="239"/>
        <w:rPr>
          <w:rFonts w:eastAsia="仿宋_GB2312"/>
          <w:sz w:val="32"/>
          <w:szCs w:val="32"/>
        </w:rPr>
      </w:pPr>
    </w:p>
    <w:p>
      <w:pPr>
        <w:spacing w:line="540" w:lineRule="exact"/>
        <w:rPr>
          <w:rFonts w:eastAsia="楷体_GB2312"/>
          <w:sz w:val="32"/>
        </w:rPr>
      </w:pPr>
    </w:p>
    <w:p>
      <w:pPr>
        <w:jc w:val="center"/>
        <w:rPr>
          <w:b/>
          <w:spacing w:val="20"/>
          <w:sz w:val="52"/>
          <w:szCs w:val="52"/>
        </w:rPr>
      </w:pPr>
    </w:p>
    <w:p>
      <w:pPr>
        <w:jc w:val="center"/>
        <w:rPr>
          <w:b/>
          <w:spacing w:val="20"/>
          <w:sz w:val="52"/>
          <w:szCs w:val="52"/>
        </w:rPr>
      </w:pPr>
    </w:p>
    <w:p>
      <w:pPr>
        <w:pStyle w:val="2"/>
      </w:pPr>
      <w:bookmarkStart w:id="0" w:name="_Toc303760757"/>
      <w:bookmarkStart w:id="1" w:name="_Toc303760490"/>
      <w:bookmarkStart w:id="2" w:name="_Toc508204751"/>
      <w:bookmarkStart w:id="3" w:name="_Toc303759518"/>
      <w:bookmarkStart w:id="4" w:name="_Toc303759707"/>
      <w:bookmarkStart w:id="5" w:name="_Toc460481948"/>
      <w:bookmarkStart w:id="6" w:name="_Toc303760126"/>
      <w:bookmarkStart w:id="7" w:name="_Toc436123661"/>
      <w:bookmarkStart w:id="8" w:name="_Toc457920910"/>
      <w:bookmarkStart w:id="9" w:name="_Toc13125395"/>
      <w:bookmarkStart w:id="10" w:name="_Toc303760591"/>
      <w:r>
        <w:t>致估价委托人函</w:t>
      </w:r>
      <w:bookmarkEnd w:id="0"/>
      <w:bookmarkEnd w:id="1"/>
      <w:bookmarkEnd w:id="2"/>
      <w:bookmarkEnd w:id="3"/>
      <w:bookmarkEnd w:id="4"/>
      <w:bookmarkEnd w:id="5"/>
      <w:bookmarkEnd w:id="6"/>
      <w:bookmarkEnd w:id="7"/>
      <w:bookmarkEnd w:id="8"/>
      <w:bookmarkEnd w:id="9"/>
      <w:bookmarkEnd w:id="10"/>
    </w:p>
    <w:p>
      <w:pPr>
        <w:spacing w:line="520" w:lineRule="exact"/>
        <w:rPr>
          <w:sz w:val="24"/>
        </w:rPr>
      </w:pPr>
      <w:r>
        <w:rPr>
          <w:rFonts w:hint="eastAsia" w:hAnsi="宋体"/>
          <w:b/>
          <w:sz w:val="24"/>
          <w:szCs w:val="24"/>
          <w:lang w:eastAsia="zh-CN"/>
        </w:rPr>
        <w:t>凤阳县人民法院</w:t>
      </w:r>
      <w:r>
        <w:rPr>
          <w:rFonts w:hAnsi="宋体"/>
          <w:sz w:val="24"/>
        </w:rPr>
        <w:t>：</w:t>
      </w:r>
    </w:p>
    <w:p>
      <w:pPr>
        <w:spacing w:line="520" w:lineRule="exact"/>
        <w:ind w:firstLine="560"/>
        <w:rPr>
          <w:rFonts w:eastAsia="黑体"/>
          <w:sz w:val="24"/>
          <w:szCs w:val="24"/>
          <w:highlight w:val="none"/>
        </w:rPr>
      </w:pPr>
      <w:r>
        <w:rPr>
          <w:rFonts w:hint="eastAsia"/>
          <w:bCs/>
          <w:sz w:val="24"/>
          <w:szCs w:val="24"/>
        </w:rPr>
        <w:t>受贵院委托，</w:t>
      </w:r>
      <w:r>
        <w:rPr>
          <w:sz w:val="24"/>
          <w:szCs w:val="24"/>
        </w:rPr>
        <w:t>本公司秉着独立、客观、公正的原则，对坐落于</w:t>
      </w:r>
      <w:r>
        <w:rPr>
          <w:rFonts w:hint="eastAsia" w:hAnsi="黑体" w:eastAsia="黑体"/>
          <w:sz w:val="24"/>
          <w:szCs w:val="24"/>
          <w:lang w:eastAsia="zh-CN"/>
        </w:rPr>
        <w:t>滁州市凤阳县门台镇工业园区合蚌路南侧龙凤山庄8幢101室</w:t>
      </w:r>
      <w:r>
        <w:rPr>
          <w:sz w:val="24"/>
          <w:szCs w:val="24"/>
        </w:rPr>
        <w:t>（</w:t>
      </w:r>
      <w:r>
        <w:rPr>
          <w:rFonts w:hint="eastAsia"/>
          <w:bCs/>
          <w:sz w:val="24"/>
          <w:szCs w:val="24"/>
          <w:lang w:eastAsia="zh-CN"/>
        </w:rPr>
        <w:t>1/5F</w:t>
      </w:r>
      <w:r>
        <w:rPr>
          <w:rFonts w:hAnsi="黑体" w:eastAsia="黑体"/>
          <w:sz w:val="24"/>
          <w:szCs w:val="24"/>
        </w:rPr>
        <w:t>）</w:t>
      </w:r>
      <w:r>
        <w:rPr>
          <w:sz w:val="24"/>
          <w:szCs w:val="24"/>
        </w:rPr>
        <w:t>房地产于</w:t>
      </w:r>
      <w:r>
        <w:rPr>
          <w:rFonts w:eastAsia="黑体"/>
          <w:bCs/>
          <w:sz w:val="24"/>
          <w:szCs w:val="24"/>
        </w:rPr>
        <w:t>价值时点</w:t>
      </w:r>
      <w:r>
        <w:rPr>
          <w:rFonts w:hint="eastAsia" w:eastAsia="黑体"/>
          <w:bCs/>
          <w:sz w:val="24"/>
          <w:szCs w:val="24"/>
          <w:lang w:eastAsia="zh-CN"/>
        </w:rPr>
        <w:t>2019年10月9日</w:t>
      </w:r>
      <w:r>
        <w:rPr>
          <w:sz w:val="24"/>
          <w:szCs w:val="24"/>
        </w:rPr>
        <w:t>的</w:t>
      </w:r>
      <w:r>
        <w:rPr>
          <w:rFonts w:hint="eastAsia" w:eastAsia="黑体"/>
          <w:sz w:val="24"/>
        </w:rPr>
        <w:t>住宅房</w:t>
      </w:r>
      <w:r>
        <w:rPr>
          <w:rFonts w:eastAsia="黑体"/>
          <w:sz w:val="24"/>
        </w:rPr>
        <w:t>市场价值</w:t>
      </w:r>
      <w:r>
        <w:rPr>
          <w:sz w:val="24"/>
        </w:rPr>
        <w:t>进行了评估与测算</w:t>
      </w:r>
      <w:r>
        <w:rPr>
          <w:sz w:val="24"/>
          <w:szCs w:val="24"/>
        </w:rPr>
        <w:t>。</w:t>
      </w:r>
      <w:r>
        <w:rPr>
          <w:rFonts w:eastAsia="黑体"/>
          <w:sz w:val="24"/>
          <w:szCs w:val="24"/>
        </w:rPr>
        <w:t>估价对象财产范围包括建筑物</w:t>
      </w:r>
      <w:r>
        <w:rPr>
          <w:rFonts w:hint="eastAsia" w:eastAsia="黑体"/>
          <w:sz w:val="24"/>
          <w:szCs w:val="24"/>
        </w:rPr>
        <w:t>、室内装修</w:t>
      </w:r>
      <w:r>
        <w:rPr>
          <w:rFonts w:eastAsia="黑体"/>
          <w:sz w:val="24"/>
          <w:szCs w:val="24"/>
        </w:rPr>
        <w:t>及分摊的国有出让土地使用权，不包括可移动的家具、电器等物品、债权债务、特许经营权等其他财产或权益。</w:t>
      </w:r>
      <w:r>
        <w:rPr>
          <w:rFonts w:hint="eastAsia" w:eastAsia="黑体"/>
          <w:sz w:val="24"/>
          <w:szCs w:val="24"/>
          <w:lang w:eastAsia="zh-CN"/>
        </w:rPr>
        <w:t>据</w:t>
      </w:r>
      <w:r>
        <w:rPr>
          <w:rFonts w:hint="eastAsia" w:eastAsia="黑体"/>
          <w:sz w:val="24"/>
          <w:szCs w:val="24"/>
          <w:highlight w:val="none"/>
        </w:rPr>
        <w:t>《</w:t>
      </w:r>
      <w:r>
        <w:rPr>
          <w:rFonts w:hint="eastAsia" w:eastAsia="黑体"/>
          <w:sz w:val="24"/>
          <w:szCs w:val="24"/>
          <w:highlight w:val="none"/>
          <w:lang w:eastAsia="zh-CN"/>
        </w:rPr>
        <w:t>不动产登记信息</w:t>
      </w:r>
      <w:r>
        <w:rPr>
          <w:rFonts w:hint="eastAsia" w:eastAsia="黑体"/>
          <w:sz w:val="24"/>
          <w:szCs w:val="24"/>
          <w:highlight w:val="none"/>
        </w:rPr>
        <w:t>》复印件记载：</w:t>
      </w:r>
      <w:r>
        <w:rPr>
          <w:sz w:val="24"/>
          <w:szCs w:val="24"/>
          <w:highlight w:val="none"/>
        </w:rPr>
        <w:t>估价对象</w:t>
      </w:r>
      <w:r>
        <w:rPr>
          <w:rFonts w:hint="eastAsia" w:eastAsia="黑体"/>
          <w:sz w:val="24"/>
          <w:szCs w:val="24"/>
          <w:highlight w:val="none"/>
        </w:rPr>
        <w:t>房地产权利人：</w:t>
      </w:r>
      <w:r>
        <w:rPr>
          <w:rFonts w:hint="eastAsia" w:eastAsia="黑体"/>
          <w:sz w:val="24"/>
          <w:szCs w:val="24"/>
          <w:highlight w:val="none"/>
          <w:lang w:eastAsia="zh-CN"/>
        </w:rPr>
        <w:t>孙柱霞</w:t>
      </w:r>
      <w:r>
        <w:rPr>
          <w:sz w:val="24"/>
          <w:szCs w:val="24"/>
          <w:highlight w:val="none"/>
        </w:rPr>
        <w:t>，</w:t>
      </w:r>
      <w:r>
        <w:rPr>
          <w:rFonts w:eastAsia="黑体"/>
          <w:sz w:val="24"/>
          <w:szCs w:val="24"/>
          <w:highlight w:val="none"/>
        </w:rPr>
        <w:t>建筑面积为：</w:t>
      </w:r>
      <w:r>
        <w:rPr>
          <w:rFonts w:hint="eastAsia" w:eastAsia="黑体"/>
          <w:sz w:val="24"/>
          <w:szCs w:val="24"/>
          <w:highlight w:val="none"/>
          <w:lang w:eastAsia="zh-CN"/>
        </w:rPr>
        <w:t>109.84</w:t>
      </w:r>
      <w:r>
        <w:rPr>
          <w:rFonts w:eastAsia="黑体"/>
          <w:sz w:val="24"/>
          <w:szCs w:val="24"/>
          <w:highlight w:val="none"/>
        </w:rPr>
        <w:t>㎡，用途为住宅</w:t>
      </w:r>
      <w:r>
        <w:rPr>
          <w:rFonts w:hint="eastAsia" w:eastAsia="黑体"/>
          <w:sz w:val="24"/>
          <w:szCs w:val="24"/>
          <w:highlight w:val="none"/>
        </w:rPr>
        <w:t>，砖混结构，土地权属性质：国有，土地使用权类型：出让</w:t>
      </w:r>
      <w:r>
        <w:rPr>
          <w:rFonts w:eastAsia="黑体"/>
          <w:sz w:val="24"/>
          <w:szCs w:val="24"/>
          <w:highlight w:val="none"/>
        </w:rPr>
        <w:t>。</w:t>
      </w:r>
    </w:p>
    <w:p>
      <w:pPr>
        <w:spacing w:line="520" w:lineRule="exact"/>
        <w:ind w:firstLine="560"/>
        <w:rPr>
          <w:sz w:val="24"/>
          <w:szCs w:val="24"/>
        </w:rPr>
      </w:pPr>
      <w:r>
        <w:rPr>
          <w:sz w:val="24"/>
          <w:szCs w:val="24"/>
        </w:rPr>
        <w:t>本报告估价结果是估价对象于</w:t>
      </w:r>
      <w:r>
        <w:rPr>
          <w:rFonts w:eastAsia="黑体"/>
          <w:bCs/>
          <w:sz w:val="24"/>
          <w:szCs w:val="24"/>
        </w:rPr>
        <w:t>价值时点</w:t>
      </w:r>
      <w:r>
        <w:rPr>
          <w:rFonts w:hint="eastAsia" w:eastAsia="黑体"/>
          <w:bCs/>
          <w:sz w:val="24"/>
          <w:szCs w:val="24"/>
          <w:lang w:eastAsia="zh-CN"/>
        </w:rPr>
        <w:t>2019年10月9日</w:t>
      </w:r>
      <w:r>
        <w:rPr>
          <w:bCs/>
          <w:sz w:val="24"/>
          <w:szCs w:val="24"/>
        </w:rPr>
        <w:t>（</w:t>
      </w:r>
      <w:r>
        <w:rPr>
          <w:rFonts w:hAnsi="宋体"/>
          <w:sz w:val="24"/>
          <w:szCs w:val="24"/>
        </w:rPr>
        <w:t>实地查勘之日</w:t>
      </w:r>
      <w:r>
        <w:rPr>
          <w:bCs/>
          <w:sz w:val="24"/>
          <w:szCs w:val="24"/>
        </w:rPr>
        <w:t>）</w:t>
      </w:r>
      <w:r>
        <w:rPr>
          <w:sz w:val="24"/>
          <w:szCs w:val="24"/>
        </w:rPr>
        <w:t>状态下的市场价格，估价目的是</w:t>
      </w:r>
      <w:r>
        <w:rPr>
          <w:rFonts w:eastAsia="黑体"/>
          <w:sz w:val="24"/>
          <w:szCs w:val="24"/>
        </w:rPr>
        <w:t>为法院执行案件提供估价对象价值作参考</w:t>
      </w:r>
      <w:r>
        <w:rPr>
          <w:sz w:val="24"/>
          <w:szCs w:val="24"/>
        </w:rPr>
        <w:t>。</w:t>
      </w:r>
    </w:p>
    <w:p>
      <w:pPr>
        <w:spacing w:line="520" w:lineRule="exact"/>
        <w:ind w:firstLine="480" w:firstLineChars="200"/>
        <w:rPr>
          <w:bCs/>
          <w:sz w:val="24"/>
        </w:rPr>
      </w:pPr>
      <w:r>
        <w:rPr>
          <w:sz w:val="24"/>
        </w:rPr>
        <w:t>我公司专业估价人员秉承独立、客观、公正的原则，根据估价目的，在对估价对象进行实地查勘并广泛收集有关房地产市场信息的基础上，分析了影响估价对象市场价格的各种因素，并运用《房地产估价规范》规定的科学估价方法，选用比较法和收益法对估价对象的市场价值进行了评估。</w:t>
      </w:r>
      <w:r>
        <w:rPr>
          <w:bCs/>
          <w:sz w:val="24"/>
        </w:rPr>
        <w:t>最终确定估价对象于价值时点</w:t>
      </w:r>
      <w:r>
        <w:rPr>
          <w:rFonts w:hint="eastAsia" w:eastAsia="黑体"/>
          <w:bCs/>
          <w:sz w:val="24"/>
          <w:szCs w:val="24"/>
          <w:lang w:eastAsia="zh-CN"/>
        </w:rPr>
        <w:t>2019年10月9日</w:t>
      </w:r>
      <w:r>
        <w:rPr>
          <w:rFonts w:hAnsi="黑体" w:eastAsia="黑体"/>
          <w:bCs/>
          <w:sz w:val="24"/>
        </w:rPr>
        <w:t>的估价结果如下</w:t>
      </w:r>
      <w:r>
        <w:rPr>
          <w:rFonts w:hAnsi="宋体"/>
          <w:bCs/>
          <w:sz w:val="24"/>
        </w:rPr>
        <w:t>：</w:t>
      </w:r>
      <w:r>
        <w:rPr>
          <w:bCs/>
          <w:sz w:val="24"/>
        </w:rPr>
        <w:t xml:space="preserve">  </w:t>
      </w:r>
      <w:r>
        <w:rPr>
          <w:rFonts w:hint="eastAsia"/>
          <w:bCs/>
          <w:sz w:val="24"/>
        </w:rPr>
        <w:t xml:space="preserve">                                                 </w:t>
      </w:r>
      <w:r>
        <w:rPr>
          <w:bCs/>
          <w:sz w:val="24"/>
        </w:rPr>
        <w:t xml:space="preserve">          </w:t>
      </w:r>
      <w:r>
        <w:rPr>
          <w:rFonts w:hAnsi="宋体"/>
          <w:bCs/>
          <w:sz w:val="24"/>
        </w:rPr>
        <w:t>币种：人民币</w:t>
      </w:r>
    </w:p>
    <w:tbl>
      <w:tblPr>
        <w:tblStyle w:val="28"/>
        <w:tblW w:w="9978" w:type="dxa"/>
        <w:jc w:val="center"/>
        <w:tblLayout w:type="fixed"/>
        <w:tblCellMar>
          <w:top w:w="0" w:type="dxa"/>
          <w:left w:w="108" w:type="dxa"/>
          <w:bottom w:w="0" w:type="dxa"/>
          <w:right w:w="108" w:type="dxa"/>
        </w:tblCellMar>
      </w:tblPr>
      <w:tblGrid>
        <w:gridCol w:w="3741"/>
        <w:gridCol w:w="1417"/>
        <w:gridCol w:w="4820"/>
      </w:tblGrid>
      <w:tr>
        <w:tblPrEx>
          <w:tblCellMar>
            <w:top w:w="0" w:type="dxa"/>
            <w:left w:w="108" w:type="dxa"/>
            <w:bottom w:w="0" w:type="dxa"/>
            <w:right w:w="108" w:type="dxa"/>
          </w:tblCellMar>
        </w:tblPrEx>
        <w:trPr>
          <w:trHeight w:val="90" w:hRule="atLeast"/>
          <w:jc w:val="center"/>
        </w:trPr>
        <w:tc>
          <w:tcPr>
            <w:tcW w:w="3741" w:type="dxa"/>
            <w:tcBorders>
              <w:top w:val="single" w:color="auto" w:sz="4" w:space="0"/>
              <w:left w:val="single" w:color="auto" w:sz="4" w:space="0"/>
              <w:bottom w:val="single" w:color="auto" w:sz="4" w:space="0"/>
              <w:right w:val="single" w:color="auto" w:sz="4" w:space="0"/>
            </w:tcBorders>
          </w:tcPr>
          <w:p>
            <w:pPr>
              <w:spacing w:line="520" w:lineRule="exact"/>
              <w:rPr>
                <w:sz w:val="24"/>
                <w:szCs w:val="24"/>
              </w:rPr>
            </w:pPr>
            <w:r>
              <w:rPr>
                <w:sz w:val="24"/>
                <w:szCs w:val="24"/>
              </w:rPr>
              <w:t>估价对象在价值时点的市场单价</w:t>
            </w:r>
          </w:p>
        </w:tc>
        <w:tc>
          <w:tcPr>
            <w:tcW w:w="1417" w:type="dxa"/>
            <w:tcBorders>
              <w:top w:val="single" w:color="auto" w:sz="4" w:space="0"/>
              <w:left w:val="single" w:color="auto" w:sz="4" w:space="0"/>
              <w:bottom w:val="single" w:color="auto" w:sz="4" w:space="0"/>
              <w:right w:val="single" w:color="auto" w:sz="4" w:space="0"/>
            </w:tcBorders>
            <w:vAlign w:val="top"/>
          </w:tcPr>
          <w:p>
            <w:pPr>
              <w:spacing w:line="580" w:lineRule="exact"/>
              <w:rPr>
                <w:sz w:val="24"/>
                <w:szCs w:val="24"/>
              </w:rPr>
            </w:pPr>
            <w:r>
              <w:rPr>
                <w:rFonts w:hint="eastAsia"/>
                <w:sz w:val="24"/>
                <w:szCs w:val="24"/>
                <w:lang w:eastAsia="zh-CN"/>
              </w:rPr>
              <w:t>42</w:t>
            </w:r>
            <w:r>
              <w:rPr>
                <w:rFonts w:hint="eastAsia"/>
                <w:sz w:val="24"/>
                <w:szCs w:val="24"/>
                <w:lang w:val="en-US" w:eastAsia="zh-CN"/>
              </w:rPr>
              <w:t>40</w:t>
            </w:r>
            <w:r>
              <w:rPr>
                <w:rFonts w:hAnsi="宋体"/>
                <w:bCs/>
                <w:sz w:val="24"/>
                <w:szCs w:val="24"/>
              </w:rPr>
              <w:t>元</w:t>
            </w:r>
            <w:r>
              <w:rPr>
                <w:bCs/>
                <w:sz w:val="24"/>
                <w:szCs w:val="24"/>
              </w:rPr>
              <w:t>/</w:t>
            </w:r>
            <w:r>
              <w:rPr>
                <w:rFonts w:hAnsi="宋体"/>
                <w:bCs/>
                <w:sz w:val="24"/>
                <w:szCs w:val="24"/>
              </w:rPr>
              <w:t>㎡</w:t>
            </w:r>
          </w:p>
        </w:tc>
        <w:tc>
          <w:tcPr>
            <w:tcW w:w="4820" w:type="dxa"/>
            <w:tcBorders>
              <w:top w:val="single" w:color="auto" w:sz="4" w:space="0"/>
              <w:left w:val="single" w:color="auto" w:sz="4" w:space="0"/>
              <w:bottom w:val="single" w:color="auto" w:sz="4" w:space="0"/>
              <w:right w:val="single" w:color="auto" w:sz="4" w:space="0"/>
            </w:tcBorders>
            <w:vAlign w:val="top"/>
          </w:tcPr>
          <w:p>
            <w:pPr>
              <w:spacing w:line="580" w:lineRule="exact"/>
              <w:rPr>
                <w:sz w:val="24"/>
                <w:szCs w:val="24"/>
              </w:rPr>
            </w:pPr>
            <w:r>
              <w:rPr>
                <w:sz w:val="24"/>
                <w:szCs w:val="24"/>
              </w:rPr>
              <w:t>大写</w:t>
            </w:r>
            <w:r>
              <w:rPr>
                <w:rFonts w:hint="eastAsia"/>
                <w:sz w:val="24"/>
                <w:szCs w:val="24"/>
              </w:rPr>
              <w:t>：</w:t>
            </w:r>
            <w:r>
              <w:rPr>
                <w:sz w:val="24"/>
                <w:szCs w:val="24"/>
              </w:rPr>
              <w:t>人民币</w:t>
            </w:r>
            <w:r>
              <w:rPr>
                <w:rFonts w:hint="eastAsia"/>
                <w:sz w:val="24"/>
                <w:szCs w:val="24"/>
                <w:lang w:eastAsia="zh-CN"/>
              </w:rPr>
              <w:t>肆仟贰佰肆拾</w:t>
            </w:r>
            <w:r>
              <w:rPr>
                <w:bCs/>
                <w:sz w:val="24"/>
                <w:szCs w:val="24"/>
              </w:rPr>
              <w:t>元每平方米</w:t>
            </w:r>
            <w:r>
              <w:rPr>
                <w:rFonts w:hint="eastAsia"/>
                <w:bCs/>
                <w:sz w:val="24"/>
                <w:szCs w:val="24"/>
              </w:rPr>
              <w:t>；</w:t>
            </w:r>
          </w:p>
        </w:tc>
      </w:tr>
      <w:tr>
        <w:tblPrEx>
          <w:tblCellMar>
            <w:top w:w="0" w:type="dxa"/>
            <w:left w:w="108" w:type="dxa"/>
            <w:bottom w:w="0" w:type="dxa"/>
            <w:right w:w="108" w:type="dxa"/>
          </w:tblCellMar>
        </w:tblPrEx>
        <w:trPr>
          <w:trHeight w:val="490" w:hRule="atLeast"/>
          <w:jc w:val="center"/>
        </w:trPr>
        <w:tc>
          <w:tcPr>
            <w:tcW w:w="3741" w:type="dxa"/>
            <w:tcBorders>
              <w:top w:val="single" w:color="auto" w:sz="4" w:space="0"/>
              <w:left w:val="single" w:color="auto" w:sz="4" w:space="0"/>
              <w:bottom w:val="single" w:color="auto" w:sz="4" w:space="0"/>
              <w:right w:val="single" w:color="auto" w:sz="4" w:space="0"/>
            </w:tcBorders>
          </w:tcPr>
          <w:p>
            <w:pPr>
              <w:spacing w:line="520" w:lineRule="exact"/>
              <w:rPr>
                <w:sz w:val="24"/>
                <w:szCs w:val="24"/>
              </w:rPr>
            </w:pPr>
            <w:r>
              <w:rPr>
                <w:sz w:val="24"/>
                <w:szCs w:val="24"/>
              </w:rPr>
              <w:t>估价对象在价值时点的市场总价</w:t>
            </w:r>
          </w:p>
        </w:tc>
        <w:tc>
          <w:tcPr>
            <w:tcW w:w="1417" w:type="dxa"/>
            <w:tcBorders>
              <w:top w:val="single" w:color="auto" w:sz="4" w:space="0"/>
              <w:left w:val="single" w:color="auto" w:sz="4" w:space="0"/>
              <w:bottom w:val="single" w:color="auto" w:sz="4" w:space="0"/>
              <w:right w:val="single" w:color="auto" w:sz="4" w:space="0"/>
            </w:tcBorders>
            <w:vAlign w:val="top"/>
          </w:tcPr>
          <w:p>
            <w:pPr>
              <w:spacing w:line="580" w:lineRule="exact"/>
              <w:rPr>
                <w:sz w:val="24"/>
                <w:szCs w:val="24"/>
              </w:rPr>
            </w:pPr>
            <w:r>
              <w:rPr>
                <w:rFonts w:hint="eastAsia"/>
                <w:sz w:val="24"/>
                <w:szCs w:val="24"/>
                <w:lang w:eastAsia="zh-CN"/>
              </w:rPr>
              <w:t>46.</w:t>
            </w:r>
            <w:r>
              <w:rPr>
                <w:rFonts w:hint="eastAsia"/>
                <w:sz w:val="24"/>
                <w:szCs w:val="24"/>
                <w:lang w:val="en-US" w:eastAsia="zh-CN"/>
              </w:rPr>
              <w:t>5</w:t>
            </w:r>
            <w:r>
              <w:rPr>
                <w:rFonts w:hint="eastAsia"/>
                <w:sz w:val="24"/>
                <w:szCs w:val="24"/>
                <w:lang w:eastAsia="zh-CN"/>
              </w:rPr>
              <w:t>7</w:t>
            </w:r>
            <w:r>
              <w:rPr>
                <w:sz w:val="24"/>
                <w:szCs w:val="24"/>
              </w:rPr>
              <w:t>万元</w:t>
            </w:r>
          </w:p>
        </w:tc>
        <w:tc>
          <w:tcPr>
            <w:tcW w:w="4820" w:type="dxa"/>
            <w:tcBorders>
              <w:top w:val="single" w:color="auto" w:sz="4" w:space="0"/>
              <w:left w:val="single" w:color="auto" w:sz="4" w:space="0"/>
              <w:bottom w:val="single" w:color="auto" w:sz="4" w:space="0"/>
              <w:right w:val="single" w:color="auto" w:sz="4" w:space="0"/>
            </w:tcBorders>
            <w:vAlign w:val="top"/>
          </w:tcPr>
          <w:p>
            <w:pPr>
              <w:spacing w:line="580" w:lineRule="exact"/>
              <w:rPr>
                <w:sz w:val="24"/>
                <w:szCs w:val="24"/>
              </w:rPr>
            </w:pPr>
            <w:r>
              <w:rPr>
                <w:sz w:val="24"/>
                <w:szCs w:val="24"/>
              </w:rPr>
              <w:t>大写</w:t>
            </w:r>
            <w:r>
              <w:rPr>
                <w:rFonts w:hint="eastAsia"/>
                <w:sz w:val="24"/>
                <w:szCs w:val="24"/>
              </w:rPr>
              <w:t>：</w:t>
            </w:r>
            <w:r>
              <w:rPr>
                <w:sz w:val="24"/>
                <w:szCs w:val="24"/>
              </w:rPr>
              <w:t>人民币</w:t>
            </w:r>
            <w:r>
              <w:rPr>
                <w:rFonts w:hint="eastAsia"/>
                <w:sz w:val="24"/>
                <w:szCs w:val="24"/>
                <w:lang w:eastAsia="zh-CN"/>
              </w:rPr>
              <w:t>肆拾陆万伍仟柒佰</w:t>
            </w:r>
            <w:r>
              <w:rPr>
                <w:sz w:val="24"/>
                <w:szCs w:val="24"/>
              </w:rPr>
              <w:t>元</w:t>
            </w:r>
            <w:r>
              <w:rPr>
                <w:bCs/>
                <w:sz w:val="24"/>
                <w:szCs w:val="24"/>
              </w:rPr>
              <w:t>整</w:t>
            </w:r>
            <w:r>
              <w:rPr>
                <w:rFonts w:hint="eastAsia"/>
                <w:bCs/>
                <w:sz w:val="24"/>
                <w:szCs w:val="24"/>
              </w:rPr>
              <w:t>。</w:t>
            </w:r>
          </w:p>
        </w:tc>
      </w:tr>
    </w:tbl>
    <w:p>
      <w:pPr>
        <w:spacing w:line="500" w:lineRule="exact"/>
        <w:ind w:firstLine="420" w:firstLineChars="200"/>
        <w:rPr>
          <w:color w:val="FF0000"/>
          <w:szCs w:val="21"/>
        </w:rPr>
      </w:pPr>
      <w:r>
        <w:rPr>
          <w:rFonts w:hAnsi="宋体"/>
          <w:szCs w:val="21"/>
        </w:rPr>
        <w:t>特别提示</w:t>
      </w:r>
      <w:r>
        <w:rPr>
          <w:szCs w:val="21"/>
        </w:rPr>
        <w:t>:</w:t>
      </w:r>
      <w:r>
        <w:rPr>
          <w:color w:val="FF0000"/>
          <w:szCs w:val="21"/>
        </w:rPr>
        <w:t xml:space="preserve"> </w:t>
      </w:r>
    </w:p>
    <w:p>
      <w:pPr>
        <w:numPr>
          <w:ilvl w:val="0"/>
          <w:numId w:val="1"/>
        </w:numPr>
        <w:spacing w:line="500" w:lineRule="exact"/>
        <w:ind w:firstLine="420" w:firstLineChars="200"/>
        <w:rPr>
          <w:szCs w:val="21"/>
        </w:rPr>
      </w:pPr>
      <w:r>
        <w:rPr>
          <w:szCs w:val="21"/>
        </w:rPr>
        <w:t>估价的测算过程、结果及有关说明，详见《估价结果报告》、《估价技术报告》。</w:t>
      </w:r>
    </w:p>
    <w:p>
      <w:pPr>
        <w:numPr>
          <w:ilvl w:val="0"/>
          <w:numId w:val="1"/>
        </w:numPr>
        <w:spacing w:line="500" w:lineRule="exact"/>
        <w:ind w:firstLine="420" w:firstLineChars="200"/>
        <w:rPr>
          <w:bCs/>
          <w:szCs w:val="21"/>
        </w:rPr>
      </w:pPr>
      <w:r>
        <w:rPr>
          <w:szCs w:val="21"/>
        </w:rPr>
        <w:t>报告使用人在使用本报告之前须对报告全文，特别是“估价的假设和限制条件”认真阅读，以免使用不当，造成损失</w:t>
      </w:r>
      <w:r>
        <w:rPr>
          <w:bCs/>
          <w:szCs w:val="21"/>
        </w:rPr>
        <w:t>!</w:t>
      </w:r>
      <w:r>
        <w:rPr>
          <w:b/>
          <w:sz w:val="24"/>
        </w:rPr>
        <w:t xml:space="preserve">   </w:t>
      </w:r>
    </w:p>
    <w:p>
      <w:pPr>
        <w:spacing w:line="560" w:lineRule="exact"/>
        <w:ind w:left="482"/>
        <w:rPr>
          <w:b/>
          <w:sz w:val="24"/>
        </w:rPr>
      </w:pPr>
      <w:r>
        <w:rPr>
          <w:b/>
          <w:sz w:val="24"/>
        </w:rPr>
        <w:t xml:space="preserve">                                </w:t>
      </w:r>
      <w:r>
        <w:rPr>
          <w:rFonts w:hint="eastAsia"/>
          <w:b/>
          <w:sz w:val="24"/>
        </w:rPr>
        <w:t xml:space="preserve">       </w:t>
      </w:r>
      <w:r>
        <w:rPr>
          <w:b/>
          <w:sz w:val="24"/>
        </w:rPr>
        <w:t>安徽大众房地产资产评估造价有限公司</w:t>
      </w:r>
    </w:p>
    <w:p>
      <w:pPr>
        <w:spacing w:line="560" w:lineRule="exact"/>
        <w:ind w:firstLine="5180" w:firstLineChars="2150"/>
        <w:rPr>
          <w:b/>
          <w:sz w:val="24"/>
        </w:rPr>
      </w:pPr>
      <w:r>
        <w:rPr>
          <w:b/>
          <w:sz w:val="24"/>
        </w:rPr>
        <w:t>法定代表人:</w:t>
      </w:r>
    </w:p>
    <w:p>
      <w:pPr>
        <w:spacing w:line="560" w:lineRule="exact"/>
        <w:rPr>
          <w:rFonts w:hint="eastAsia" w:eastAsia="宋体"/>
          <w:b/>
          <w:sz w:val="24"/>
          <w:lang w:eastAsia="zh-CN"/>
        </w:rPr>
      </w:pPr>
      <w:r>
        <w:rPr>
          <w:sz w:val="24"/>
        </w:rPr>
        <w:t xml:space="preserve">                                           </w:t>
      </w:r>
      <w:r>
        <w:rPr>
          <w:b/>
          <w:sz w:val="24"/>
        </w:rPr>
        <w:t>致函日期：</w:t>
      </w:r>
      <w:r>
        <w:rPr>
          <w:rFonts w:hint="eastAsia"/>
          <w:b/>
          <w:sz w:val="24"/>
          <w:lang w:eastAsia="zh-CN"/>
        </w:rPr>
        <w:t>2019年10月11日</w:t>
      </w:r>
    </w:p>
    <w:p>
      <w:pPr>
        <w:pStyle w:val="2"/>
      </w:pPr>
      <w:bookmarkStart w:id="11" w:name="_Toc13125396"/>
      <w:bookmarkStart w:id="12" w:name="_Toc508204752"/>
      <w:r>
        <w:t>目   录</w:t>
      </w:r>
      <w:bookmarkEnd w:id="11"/>
      <w:bookmarkEnd w:id="12"/>
    </w:p>
    <w:p>
      <w:pPr>
        <w:pStyle w:val="21"/>
        <w:tabs>
          <w:tab w:val="right" w:leader="dot" w:pos="9348"/>
        </w:tabs>
        <w:rPr>
          <w:rFonts w:ascii="Calibri" w:hAnsi="Calibri"/>
          <w:sz w:val="21"/>
          <w:szCs w:val="22"/>
          <w:lang w:val="en-US" w:eastAsia="zh-CN"/>
        </w:rPr>
      </w:pPr>
      <w:r>
        <w:fldChar w:fldCharType="begin"/>
      </w:r>
      <w:r>
        <w:instrText xml:space="preserve"> TOC \o "1-2" \u </w:instrText>
      </w:r>
      <w:r>
        <w:fldChar w:fldCharType="separate"/>
      </w:r>
      <w:r>
        <w:rPr>
          <w:rFonts w:hint="eastAsia"/>
          <w:lang w:val="en-US" w:eastAsia="zh-CN"/>
        </w:rPr>
        <w:t>致估价委托人函</w:t>
      </w:r>
      <w:r>
        <w:rPr>
          <w:lang w:val="en-US" w:eastAsia="zh-CN"/>
        </w:rPr>
        <w:tab/>
      </w:r>
      <w:r>
        <w:rPr>
          <w:lang w:val="en-US" w:eastAsia="zh-CN"/>
        </w:rPr>
        <w:fldChar w:fldCharType="begin"/>
      </w:r>
      <w:r>
        <w:rPr>
          <w:lang w:val="en-US" w:eastAsia="zh-CN"/>
        </w:rPr>
        <w:instrText xml:space="preserve"> PAGEREF _Toc13125395 \h </w:instrText>
      </w:r>
      <w:r>
        <w:rPr>
          <w:lang w:val="en-US" w:eastAsia="zh-CN"/>
        </w:rPr>
        <w:fldChar w:fldCharType="separate"/>
      </w:r>
      <w:r>
        <w:rPr>
          <w:lang w:val="en-US" w:eastAsia="zh-CN"/>
        </w:rPr>
        <w:t>- 1 -</w:t>
      </w:r>
      <w:r>
        <w:rPr>
          <w:lang w:val="en-US" w:eastAsia="zh-CN"/>
        </w:rPr>
        <w:fldChar w:fldCharType="end"/>
      </w:r>
    </w:p>
    <w:p>
      <w:pPr>
        <w:pStyle w:val="21"/>
        <w:tabs>
          <w:tab w:val="right" w:leader="dot" w:pos="9348"/>
        </w:tabs>
        <w:rPr>
          <w:rFonts w:ascii="Calibri" w:hAnsi="Calibri"/>
          <w:sz w:val="21"/>
          <w:szCs w:val="22"/>
          <w:lang w:val="en-US" w:eastAsia="zh-CN"/>
        </w:rPr>
      </w:pPr>
      <w:r>
        <w:rPr>
          <w:rFonts w:hint="eastAsia"/>
          <w:lang w:val="en-US" w:eastAsia="zh-CN"/>
        </w:rPr>
        <w:t>目</w:t>
      </w:r>
      <w:r>
        <w:rPr>
          <w:lang w:val="en-US" w:eastAsia="zh-CN"/>
        </w:rPr>
        <w:t xml:space="preserve">   </w:t>
      </w:r>
      <w:r>
        <w:rPr>
          <w:rFonts w:hint="eastAsia"/>
          <w:lang w:val="en-US" w:eastAsia="zh-CN"/>
        </w:rPr>
        <w:t>录</w:t>
      </w:r>
      <w:r>
        <w:rPr>
          <w:lang w:val="en-US" w:eastAsia="zh-CN"/>
        </w:rPr>
        <w:tab/>
      </w:r>
      <w:r>
        <w:rPr>
          <w:lang w:val="en-US" w:eastAsia="zh-CN"/>
        </w:rPr>
        <w:fldChar w:fldCharType="begin"/>
      </w:r>
      <w:r>
        <w:rPr>
          <w:lang w:val="en-US" w:eastAsia="zh-CN"/>
        </w:rPr>
        <w:instrText xml:space="preserve"> PAGEREF _Toc13125396 \h </w:instrText>
      </w:r>
      <w:r>
        <w:rPr>
          <w:lang w:val="en-US" w:eastAsia="zh-CN"/>
        </w:rPr>
        <w:fldChar w:fldCharType="separate"/>
      </w:r>
      <w:r>
        <w:rPr>
          <w:lang w:val="en-US" w:eastAsia="zh-CN"/>
        </w:rPr>
        <w:t>- 2 -</w:t>
      </w:r>
      <w:r>
        <w:rPr>
          <w:lang w:val="en-US" w:eastAsia="zh-CN"/>
        </w:rPr>
        <w:fldChar w:fldCharType="end"/>
      </w:r>
    </w:p>
    <w:p>
      <w:pPr>
        <w:pStyle w:val="21"/>
        <w:tabs>
          <w:tab w:val="right" w:leader="dot" w:pos="9348"/>
        </w:tabs>
        <w:rPr>
          <w:rFonts w:ascii="Calibri" w:hAnsi="Calibri"/>
          <w:sz w:val="21"/>
          <w:szCs w:val="22"/>
          <w:lang w:val="en-US" w:eastAsia="zh-CN"/>
        </w:rPr>
      </w:pPr>
      <w:r>
        <w:rPr>
          <w:rFonts w:hint="eastAsia"/>
          <w:lang w:val="en-US" w:eastAsia="zh-CN"/>
        </w:rPr>
        <w:t>估</w:t>
      </w:r>
      <w:r>
        <w:rPr>
          <w:lang w:val="en-US" w:eastAsia="zh-CN"/>
        </w:rPr>
        <w:t xml:space="preserve"> </w:t>
      </w:r>
      <w:r>
        <w:rPr>
          <w:rFonts w:hint="eastAsia"/>
          <w:lang w:val="en-US" w:eastAsia="zh-CN"/>
        </w:rPr>
        <w:t>价</w:t>
      </w:r>
      <w:r>
        <w:rPr>
          <w:lang w:val="en-US" w:eastAsia="zh-CN"/>
        </w:rPr>
        <w:t xml:space="preserve"> </w:t>
      </w:r>
      <w:r>
        <w:rPr>
          <w:rFonts w:hint="eastAsia"/>
          <w:lang w:val="en-US" w:eastAsia="zh-CN"/>
        </w:rPr>
        <w:t>师</w:t>
      </w:r>
      <w:r>
        <w:rPr>
          <w:lang w:val="en-US" w:eastAsia="zh-CN"/>
        </w:rPr>
        <w:t xml:space="preserve"> </w:t>
      </w:r>
      <w:r>
        <w:rPr>
          <w:rFonts w:hint="eastAsia"/>
          <w:lang w:val="en-US" w:eastAsia="zh-CN"/>
        </w:rPr>
        <w:t>声</w:t>
      </w:r>
      <w:r>
        <w:rPr>
          <w:lang w:val="en-US" w:eastAsia="zh-CN"/>
        </w:rPr>
        <w:t xml:space="preserve"> </w:t>
      </w:r>
      <w:r>
        <w:rPr>
          <w:rFonts w:hint="eastAsia"/>
          <w:lang w:val="en-US" w:eastAsia="zh-CN"/>
        </w:rPr>
        <w:t>明</w:t>
      </w:r>
      <w:r>
        <w:rPr>
          <w:lang w:val="en-US" w:eastAsia="zh-CN"/>
        </w:rPr>
        <w:tab/>
      </w:r>
      <w:r>
        <w:rPr>
          <w:lang w:val="en-US" w:eastAsia="zh-CN"/>
        </w:rPr>
        <w:fldChar w:fldCharType="begin"/>
      </w:r>
      <w:r>
        <w:rPr>
          <w:lang w:val="en-US" w:eastAsia="zh-CN"/>
        </w:rPr>
        <w:instrText xml:space="preserve"> PAGEREF _Toc13125397 \h </w:instrText>
      </w:r>
      <w:r>
        <w:rPr>
          <w:lang w:val="en-US" w:eastAsia="zh-CN"/>
        </w:rPr>
        <w:fldChar w:fldCharType="separate"/>
      </w:r>
      <w:r>
        <w:rPr>
          <w:lang w:val="en-US" w:eastAsia="zh-CN"/>
        </w:rPr>
        <w:t>- 3 -</w:t>
      </w:r>
      <w:r>
        <w:rPr>
          <w:lang w:val="en-US" w:eastAsia="zh-CN"/>
        </w:rPr>
        <w:fldChar w:fldCharType="end"/>
      </w:r>
    </w:p>
    <w:p>
      <w:pPr>
        <w:pStyle w:val="21"/>
        <w:tabs>
          <w:tab w:val="right" w:leader="dot" w:pos="9348"/>
        </w:tabs>
        <w:rPr>
          <w:rFonts w:ascii="Calibri" w:hAnsi="Calibri"/>
          <w:sz w:val="21"/>
          <w:szCs w:val="22"/>
          <w:lang w:val="en-US" w:eastAsia="zh-CN"/>
        </w:rPr>
      </w:pPr>
      <w:r>
        <w:rPr>
          <w:rFonts w:hint="eastAsia"/>
          <w:lang w:val="en-US" w:eastAsia="zh-CN"/>
        </w:rPr>
        <w:t>估价的假设和限制条件</w:t>
      </w:r>
      <w:r>
        <w:rPr>
          <w:lang w:val="en-US" w:eastAsia="zh-CN"/>
        </w:rPr>
        <w:tab/>
      </w:r>
      <w:r>
        <w:rPr>
          <w:lang w:val="en-US" w:eastAsia="zh-CN"/>
        </w:rPr>
        <w:fldChar w:fldCharType="begin"/>
      </w:r>
      <w:r>
        <w:rPr>
          <w:lang w:val="en-US" w:eastAsia="zh-CN"/>
        </w:rPr>
        <w:instrText xml:space="preserve"> PAGEREF _Toc13125398 \h </w:instrText>
      </w:r>
      <w:r>
        <w:rPr>
          <w:lang w:val="en-US" w:eastAsia="zh-CN"/>
        </w:rPr>
        <w:fldChar w:fldCharType="separate"/>
      </w:r>
      <w:r>
        <w:rPr>
          <w:lang w:val="en-US" w:eastAsia="zh-CN"/>
        </w:rPr>
        <w:t>- 4 -</w:t>
      </w:r>
      <w:r>
        <w:rPr>
          <w:lang w:val="en-US" w:eastAsia="zh-CN"/>
        </w:rPr>
        <w:fldChar w:fldCharType="end"/>
      </w:r>
    </w:p>
    <w:p>
      <w:pPr>
        <w:pStyle w:val="21"/>
        <w:tabs>
          <w:tab w:val="right" w:leader="dot" w:pos="9348"/>
        </w:tabs>
        <w:rPr>
          <w:rFonts w:ascii="Calibri" w:hAnsi="Calibri"/>
          <w:sz w:val="21"/>
          <w:szCs w:val="22"/>
          <w:lang w:val="en-US" w:eastAsia="zh-CN"/>
        </w:rPr>
      </w:pPr>
      <w:r>
        <w:rPr>
          <w:rFonts w:hint="eastAsia"/>
          <w:lang w:val="en-US" w:eastAsia="zh-CN"/>
        </w:rPr>
        <w:t>房地产估价结果报告</w:t>
      </w:r>
      <w:r>
        <w:rPr>
          <w:lang w:val="en-US" w:eastAsia="zh-CN"/>
        </w:rPr>
        <w:tab/>
      </w:r>
      <w:r>
        <w:rPr>
          <w:lang w:val="en-US" w:eastAsia="zh-CN"/>
        </w:rPr>
        <w:fldChar w:fldCharType="begin"/>
      </w:r>
      <w:r>
        <w:rPr>
          <w:lang w:val="en-US" w:eastAsia="zh-CN"/>
        </w:rPr>
        <w:instrText xml:space="preserve"> PAGEREF _Toc13125399 \h </w:instrText>
      </w:r>
      <w:r>
        <w:rPr>
          <w:lang w:val="en-US" w:eastAsia="zh-CN"/>
        </w:rPr>
        <w:fldChar w:fldCharType="separate"/>
      </w:r>
      <w:r>
        <w:rPr>
          <w:lang w:val="en-US" w:eastAsia="zh-CN"/>
        </w:rPr>
        <w:t>- 7 -</w:t>
      </w:r>
      <w:r>
        <w:rPr>
          <w:lang w:val="en-US" w:eastAsia="zh-CN"/>
        </w:rPr>
        <w:fldChar w:fldCharType="end"/>
      </w:r>
    </w:p>
    <w:p>
      <w:pPr>
        <w:pStyle w:val="23"/>
        <w:tabs>
          <w:tab w:val="right" w:leader="dot" w:pos="9348"/>
        </w:tabs>
        <w:ind w:left="420"/>
        <w:rPr>
          <w:rFonts w:ascii="Calibri" w:hAnsi="Calibri"/>
          <w:sz w:val="21"/>
          <w:szCs w:val="22"/>
          <w:lang w:val="en-US" w:eastAsia="zh-CN"/>
        </w:rPr>
      </w:pPr>
      <w:r>
        <w:rPr>
          <w:rFonts w:hint="eastAsia"/>
          <w:lang w:val="en-US" w:eastAsia="zh-CN"/>
        </w:rPr>
        <w:t>（一）估价委托人</w:t>
      </w:r>
      <w:r>
        <w:rPr>
          <w:lang w:val="en-US" w:eastAsia="zh-CN"/>
        </w:rPr>
        <w:tab/>
      </w:r>
      <w:r>
        <w:rPr>
          <w:lang w:val="en-US" w:eastAsia="zh-CN"/>
        </w:rPr>
        <w:fldChar w:fldCharType="begin"/>
      </w:r>
      <w:r>
        <w:rPr>
          <w:lang w:val="en-US" w:eastAsia="zh-CN"/>
        </w:rPr>
        <w:instrText xml:space="preserve"> PAGEREF _Toc13125400 \h </w:instrText>
      </w:r>
      <w:r>
        <w:rPr>
          <w:lang w:val="en-US" w:eastAsia="zh-CN"/>
        </w:rPr>
        <w:fldChar w:fldCharType="separate"/>
      </w:r>
      <w:r>
        <w:rPr>
          <w:lang w:val="en-US" w:eastAsia="zh-CN"/>
        </w:rPr>
        <w:t>- 7 -</w:t>
      </w:r>
      <w:r>
        <w:rPr>
          <w:lang w:val="en-US" w:eastAsia="zh-CN"/>
        </w:rPr>
        <w:fldChar w:fldCharType="end"/>
      </w:r>
    </w:p>
    <w:p>
      <w:pPr>
        <w:pStyle w:val="23"/>
        <w:tabs>
          <w:tab w:val="right" w:leader="dot" w:pos="9348"/>
        </w:tabs>
        <w:ind w:left="420"/>
        <w:rPr>
          <w:rFonts w:ascii="Calibri" w:hAnsi="Calibri"/>
          <w:sz w:val="21"/>
          <w:szCs w:val="22"/>
          <w:lang w:val="en-US" w:eastAsia="zh-CN"/>
        </w:rPr>
      </w:pPr>
      <w:r>
        <w:rPr>
          <w:rFonts w:hint="eastAsia"/>
          <w:lang w:val="en-US" w:eastAsia="zh-CN"/>
        </w:rPr>
        <w:t>（二）房地产估价机构</w:t>
      </w:r>
      <w:r>
        <w:rPr>
          <w:lang w:val="en-US" w:eastAsia="zh-CN"/>
        </w:rPr>
        <w:tab/>
      </w:r>
      <w:r>
        <w:rPr>
          <w:lang w:val="en-US" w:eastAsia="zh-CN"/>
        </w:rPr>
        <w:fldChar w:fldCharType="begin"/>
      </w:r>
      <w:r>
        <w:rPr>
          <w:lang w:val="en-US" w:eastAsia="zh-CN"/>
        </w:rPr>
        <w:instrText xml:space="preserve"> PAGEREF _Toc13125401 \h </w:instrText>
      </w:r>
      <w:r>
        <w:rPr>
          <w:lang w:val="en-US" w:eastAsia="zh-CN"/>
        </w:rPr>
        <w:fldChar w:fldCharType="separate"/>
      </w:r>
      <w:r>
        <w:rPr>
          <w:lang w:val="en-US" w:eastAsia="zh-CN"/>
        </w:rPr>
        <w:t>- 7 -</w:t>
      </w:r>
      <w:r>
        <w:rPr>
          <w:lang w:val="en-US" w:eastAsia="zh-CN"/>
        </w:rPr>
        <w:fldChar w:fldCharType="end"/>
      </w:r>
    </w:p>
    <w:p>
      <w:pPr>
        <w:pStyle w:val="23"/>
        <w:tabs>
          <w:tab w:val="right" w:leader="dot" w:pos="9348"/>
        </w:tabs>
        <w:ind w:left="420"/>
        <w:rPr>
          <w:rFonts w:ascii="Calibri" w:hAnsi="Calibri"/>
          <w:sz w:val="21"/>
          <w:szCs w:val="22"/>
          <w:lang w:val="en-US" w:eastAsia="zh-CN"/>
        </w:rPr>
      </w:pPr>
      <w:r>
        <w:rPr>
          <w:rFonts w:hint="eastAsia"/>
          <w:lang w:val="en-US" w:eastAsia="zh-CN"/>
        </w:rPr>
        <w:t>（三）估价目的</w:t>
      </w:r>
      <w:r>
        <w:rPr>
          <w:lang w:val="en-US" w:eastAsia="zh-CN"/>
        </w:rPr>
        <w:tab/>
      </w:r>
      <w:r>
        <w:rPr>
          <w:lang w:val="en-US" w:eastAsia="zh-CN"/>
        </w:rPr>
        <w:fldChar w:fldCharType="begin"/>
      </w:r>
      <w:r>
        <w:rPr>
          <w:lang w:val="en-US" w:eastAsia="zh-CN"/>
        </w:rPr>
        <w:instrText xml:space="preserve"> PAGEREF _Toc13125402 \h </w:instrText>
      </w:r>
      <w:r>
        <w:rPr>
          <w:lang w:val="en-US" w:eastAsia="zh-CN"/>
        </w:rPr>
        <w:fldChar w:fldCharType="separate"/>
      </w:r>
      <w:r>
        <w:rPr>
          <w:lang w:val="en-US" w:eastAsia="zh-CN"/>
        </w:rPr>
        <w:t>- 7 -</w:t>
      </w:r>
      <w:r>
        <w:rPr>
          <w:lang w:val="en-US" w:eastAsia="zh-CN"/>
        </w:rPr>
        <w:fldChar w:fldCharType="end"/>
      </w:r>
    </w:p>
    <w:p>
      <w:pPr>
        <w:pStyle w:val="23"/>
        <w:tabs>
          <w:tab w:val="right" w:leader="dot" w:pos="9348"/>
        </w:tabs>
        <w:ind w:left="420"/>
        <w:rPr>
          <w:rFonts w:ascii="Calibri" w:hAnsi="Calibri"/>
          <w:sz w:val="21"/>
          <w:szCs w:val="22"/>
          <w:lang w:val="en-US" w:eastAsia="zh-CN"/>
        </w:rPr>
      </w:pPr>
      <w:r>
        <w:rPr>
          <w:rFonts w:hint="eastAsia"/>
          <w:lang w:val="en-US" w:eastAsia="zh-CN"/>
        </w:rPr>
        <w:t>（四）估价对象</w:t>
      </w:r>
      <w:r>
        <w:rPr>
          <w:lang w:val="en-US" w:eastAsia="zh-CN"/>
        </w:rPr>
        <w:tab/>
      </w:r>
      <w:r>
        <w:rPr>
          <w:lang w:val="en-US" w:eastAsia="zh-CN"/>
        </w:rPr>
        <w:fldChar w:fldCharType="begin"/>
      </w:r>
      <w:r>
        <w:rPr>
          <w:lang w:val="en-US" w:eastAsia="zh-CN"/>
        </w:rPr>
        <w:instrText xml:space="preserve"> PAGEREF _Toc13125403 \h </w:instrText>
      </w:r>
      <w:r>
        <w:rPr>
          <w:lang w:val="en-US" w:eastAsia="zh-CN"/>
        </w:rPr>
        <w:fldChar w:fldCharType="separate"/>
      </w:r>
      <w:r>
        <w:rPr>
          <w:lang w:val="en-US" w:eastAsia="zh-CN"/>
        </w:rPr>
        <w:t>- 7 -</w:t>
      </w:r>
      <w:r>
        <w:rPr>
          <w:lang w:val="en-US" w:eastAsia="zh-CN"/>
        </w:rPr>
        <w:fldChar w:fldCharType="end"/>
      </w:r>
    </w:p>
    <w:p>
      <w:pPr>
        <w:pStyle w:val="23"/>
        <w:tabs>
          <w:tab w:val="right" w:leader="dot" w:pos="9348"/>
        </w:tabs>
        <w:ind w:left="420"/>
        <w:rPr>
          <w:rFonts w:ascii="Calibri" w:hAnsi="Calibri"/>
          <w:sz w:val="21"/>
          <w:szCs w:val="22"/>
          <w:lang w:val="en-US" w:eastAsia="zh-CN"/>
        </w:rPr>
      </w:pPr>
      <w:r>
        <w:rPr>
          <w:rFonts w:hint="eastAsia"/>
          <w:lang w:val="en-US" w:eastAsia="zh-CN"/>
        </w:rPr>
        <w:t>（五）价值时点</w:t>
      </w:r>
      <w:r>
        <w:rPr>
          <w:lang w:val="en-US" w:eastAsia="zh-CN"/>
        </w:rPr>
        <w:tab/>
      </w:r>
      <w:r>
        <w:rPr>
          <w:lang w:val="en-US" w:eastAsia="zh-CN"/>
        </w:rPr>
        <w:fldChar w:fldCharType="begin"/>
      </w:r>
      <w:r>
        <w:rPr>
          <w:lang w:val="en-US" w:eastAsia="zh-CN"/>
        </w:rPr>
        <w:instrText xml:space="preserve"> PAGEREF _Toc13125404 \h </w:instrText>
      </w:r>
      <w:r>
        <w:rPr>
          <w:lang w:val="en-US" w:eastAsia="zh-CN"/>
        </w:rPr>
        <w:fldChar w:fldCharType="separate"/>
      </w:r>
      <w:r>
        <w:rPr>
          <w:lang w:val="en-US" w:eastAsia="zh-CN"/>
        </w:rPr>
        <w:t>- 9 -</w:t>
      </w:r>
      <w:r>
        <w:rPr>
          <w:lang w:val="en-US" w:eastAsia="zh-CN"/>
        </w:rPr>
        <w:fldChar w:fldCharType="end"/>
      </w:r>
    </w:p>
    <w:p>
      <w:pPr>
        <w:pStyle w:val="23"/>
        <w:tabs>
          <w:tab w:val="right" w:leader="dot" w:pos="9348"/>
        </w:tabs>
        <w:ind w:left="420"/>
        <w:rPr>
          <w:rFonts w:ascii="Calibri" w:hAnsi="Calibri"/>
          <w:sz w:val="21"/>
          <w:szCs w:val="22"/>
          <w:lang w:val="en-US" w:eastAsia="zh-CN"/>
        </w:rPr>
      </w:pPr>
      <w:r>
        <w:rPr>
          <w:rFonts w:hint="eastAsia"/>
          <w:lang w:val="en-US" w:eastAsia="zh-CN"/>
        </w:rPr>
        <w:t>（六）价值类型</w:t>
      </w:r>
      <w:r>
        <w:rPr>
          <w:lang w:val="en-US" w:eastAsia="zh-CN"/>
        </w:rPr>
        <w:tab/>
      </w:r>
      <w:r>
        <w:rPr>
          <w:lang w:val="en-US" w:eastAsia="zh-CN"/>
        </w:rPr>
        <w:fldChar w:fldCharType="begin"/>
      </w:r>
      <w:r>
        <w:rPr>
          <w:lang w:val="en-US" w:eastAsia="zh-CN"/>
        </w:rPr>
        <w:instrText xml:space="preserve"> PAGEREF _Toc13125405 \h </w:instrText>
      </w:r>
      <w:r>
        <w:rPr>
          <w:lang w:val="en-US" w:eastAsia="zh-CN"/>
        </w:rPr>
        <w:fldChar w:fldCharType="separate"/>
      </w:r>
      <w:r>
        <w:rPr>
          <w:lang w:val="en-US" w:eastAsia="zh-CN"/>
        </w:rPr>
        <w:t>- 9 -</w:t>
      </w:r>
      <w:r>
        <w:rPr>
          <w:lang w:val="en-US" w:eastAsia="zh-CN"/>
        </w:rPr>
        <w:fldChar w:fldCharType="end"/>
      </w:r>
    </w:p>
    <w:p>
      <w:pPr>
        <w:pStyle w:val="23"/>
        <w:tabs>
          <w:tab w:val="right" w:leader="dot" w:pos="9348"/>
        </w:tabs>
        <w:ind w:left="420"/>
        <w:rPr>
          <w:rFonts w:ascii="Calibri" w:hAnsi="Calibri"/>
          <w:sz w:val="21"/>
          <w:szCs w:val="22"/>
          <w:lang w:val="en-US" w:eastAsia="zh-CN"/>
        </w:rPr>
      </w:pPr>
      <w:r>
        <w:rPr>
          <w:rFonts w:hint="eastAsia"/>
          <w:lang w:val="en-US" w:eastAsia="zh-CN"/>
        </w:rPr>
        <w:t>（七）估价原则</w:t>
      </w:r>
      <w:r>
        <w:rPr>
          <w:lang w:val="en-US" w:eastAsia="zh-CN"/>
        </w:rPr>
        <w:tab/>
      </w:r>
      <w:r>
        <w:rPr>
          <w:lang w:val="en-US" w:eastAsia="zh-CN"/>
        </w:rPr>
        <w:fldChar w:fldCharType="begin"/>
      </w:r>
      <w:r>
        <w:rPr>
          <w:lang w:val="en-US" w:eastAsia="zh-CN"/>
        </w:rPr>
        <w:instrText xml:space="preserve"> PAGEREF _Toc13125406 \h </w:instrText>
      </w:r>
      <w:r>
        <w:rPr>
          <w:lang w:val="en-US" w:eastAsia="zh-CN"/>
        </w:rPr>
        <w:fldChar w:fldCharType="separate"/>
      </w:r>
      <w:r>
        <w:rPr>
          <w:lang w:val="en-US" w:eastAsia="zh-CN"/>
        </w:rPr>
        <w:t>- 10 -</w:t>
      </w:r>
      <w:r>
        <w:rPr>
          <w:lang w:val="en-US" w:eastAsia="zh-CN"/>
        </w:rPr>
        <w:fldChar w:fldCharType="end"/>
      </w:r>
    </w:p>
    <w:p>
      <w:pPr>
        <w:pStyle w:val="23"/>
        <w:tabs>
          <w:tab w:val="right" w:leader="dot" w:pos="9348"/>
        </w:tabs>
        <w:ind w:left="420"/>
        <w:rPr>
          <w:rFonts w:ascii="Calibri" w:hAnsi="Calibri"/>
          <w:sz w:val="21"/>
          <w:szCs w:val="22"/>
          <w:lang w:val="en-US" w:eastAsia="zh-CN"/>
        </w:rPr>
      </w:pPr>
      <w:r>
        <w:rPr>
          <w:rFonts w:hint="eastAsia"/>
          <w:lang w:val="en-US" w:eastAsia="zh-CN"/>
        </w:rPr>
        <w:t>（八）估价依据</w:t>
      </w:r>
      <w:r>
        <w:rPr>
          <w:lang w:val="en-US" w:eastAsia="zh-CN"/>
        </w:rPr>
        <w:tab/>
      </w:r>
      <w:r>
        <w:rPr>
          <w:lang w:val="en-US" w:eastAsia="zh-CN"/>
        </w:rPr>
        <w:fldChar w:fldCharType="begin"/>
      </w:r>
      <w:r>
        <w:rPr>
          <w:lang w:val="en-US" w:eastAsia="zh-CN"/>
        </w:rPr>
        <w:instrText xml:space="preserve"> PAGEREF _Toc13125407 \h </w:instrText>
      </w:r>
      <w:r>
        <w:rPr>
          <w:lang w:val="en-US" w:eastAsia="zh-CN"/>
        </w:rPr>
        <w:fldChar w:fldCharType="separate"/>
      </w:r>
      <w:r>
        <w:rPr>
          <w:lang w:val="en-US" w:eastAsia="zh-CN"/>
        </w:rPr>
        <w:t>- 10 -</w:t>
      </w:r>
      <w:r>
        <w:rPr>
          <w:lang w:val="en-US" w:eastAsia="zh-CN"/>
        </w:rPr>
        <w:fldChar w:fldCharType="end"/>
      </w:r>
    </w:p>
    <w:p>
      <w:pPr>
        <w:pStyle w:val="23"/>
        <w:tabs>
          <w:tab w:val="right" w:leader="dot" w:pos="9348"/>
        </w:tabs>
        <w:ind w:left="420"/>
        <w:rPr>
          <w:rFonts w:ascii="Calibri" w:hAnsi="Calibri"/>
          <w:sz w:val="21"/>
          <w:szCs w:val="22"/>
          <w:lang w:val="en-US" w:eastAsia="zh-CN"/>
        </w:rPr>
      </w:pPr>
      <w:r>
        <w:rPr>
          <w:rFonts w:hint="eastAsia"/>
          <w:lang w:val="en-US" w:eastAsia="zh-CN"/>
        </w:rPr>
        <w:t>（九）估价方法</w:t>
      </w:r>
      <w:r>
        <w:rPr>
          <w:lang w:val="en-US" w:eastAsia="zh-CN"/>
        </w:rPr>
        <w:tab/>
      </w:r>
      <w:r>
        <w:rPr>
          <w:lang w:val="en-US" w:eastAsia="zh-CN"/>
        </w:rPr>
        <w:fldChar w:fldCharType="begin"/>
      </w:r>
      <w:r>
        <w:rPr>
          <w:lang w:val="en-US" w:eastAsia="zh-CN"/>
        </w:rPr>
        <w:instrText xml:space="preserve"> PAGEREF _Toc13125408 \h </w:instrText>
      </w:r>
      <w:r>
        <w:rPr>
          <w:lang w:val="en-US" w:eastAsia="zh-CN"/>
        </w:rPr>
        <w:fldChar w:fldCharType="separate"/>
      </w:r>
      <w:r>
        <w:rPr>
          <w:lang w:val="en-US" w:eastAsia="zh-CN"/>
        </w:rPr>
        <w:t>- 11 -</w:t>
      </w:r>
      <w:r>
        <w:rPr>
          <w:lang w:val="en-US" w:eastAsia="zh-CN"/>
        </w:rPr>
        <w:fldChar w:fldCharType="end"/>
      </w:r>
    </w:p>
    <w:p>
      <w:pPr>
        <w:pStyle w:val="23"/>
        <w:tabs>
          <w:tab w:val="right" w:leader="dot" w:pos="9348"/>
        </w:tabs>
        <w:ind w:left="420"/>
        <w:rPr>
          <w:rFonts w:ascii="Calibri" w:hAnsi="Calibri"/>
          <w:sz w:val="21"/>
          <w:szCs w:val="22"/>
          <w:lang w:val="en-US" w:eastAsia="zh-CN"/>
        </w:rPr>
      </w:pPr>
      <w:r>
        <w:rPr>
          <w:rFonts w:hint="eastAsia"/>
          <w:lang w:val="en-US" w:eastAsia="zh-CN"/>
        </w:rPr>
        <w:t>（十）估价结果</w:t>
      </w:r>
      <w:r>
        <w:rPr>
          <w:lang w:val="en-US" w:eastAsia="zh-CN"/>
        </w:rPr>
        <w:tab/>
      </w:r>
      <w:r>
        <w:rPr>
          <w:lang w:val="en-US" w:eastAsia="zh-CN"/>
        </w:rPr>
        <w:fldChar w:fldCharType="begin"/>
      </w:r>
      <w:r>
        <w:rPr>
          <w:lang w:val="en-US" w:eastAsia="zh-CN"/>
        </w:rPr>
        <w:instrText xml:space="preserve"> PAGEREF _Toc13125409 \h </w:instrText>
      </w:r>
      <w:r>
        <w:rPr>
          <w:lang w:val="en-US" w:eastAsia="zh-CN"/>
        </w:rPr>
        <w:fldChar w:fldCharType="separate"/>
      </w:r>
      <w:r>
        <w:rPr>
          <w:lang w:val="en-US" w:eastAsia="zh-CN"/>
        </w:rPr>
        <w:t>- 11 -</w:t>
      </w:r>
      <w:r>
        <w:rPr>
          <w:lang w:val="en-US" w:eastAsia="zh-CN"/>
        </w:rPr>
        <w:fldChar w:fldCharType="end"/>
      </w:r>
    </w:p>
    <w:p>
      <w:pPr>
        <w:pStyle w:val="23"/>
        <w:tabs>
          <w:tab w:val="right" w:leader="dot" w:pos="9348"/>
        </w:tabs>
        <w:ind w:left="420"/>
        <w:rPr>
          <w:rFonts w:ascii="Calibri" w:hAnsi="Calibri"/>
          <w:sz w:val="21"/>
          <w:szCs w:val="22"/>
          <w:lang w:val="en-US" w:eastAsia="zh-CN"/>
        </w:rPr>
      </w:pPr>
      <w:r>
        <w:rPr>
          <w:rFonts w:hint="eastAsia"/>
          <w:lang w:val="en-US" w:eastAsia="zh-CN"/>
        </w:rPr>
        <w:t>（十一）注册房地产估价师</w:t>
      </w:r>
      <w:r>
        <w:rPr>
          <w:lang w:val="en-US" w:eastAsia="zh-CN"/>
        </w:rPr>
        <w:tab/>
      </w:r>
      <w:r>
        <w:rPr>
          <w:lang w:val="en-US" w:eastAsia="zh-CN"/>
        </w:rPr>
        <w:fldChar w:fldCharType="begin"/>
      </w:r>
      <w:r>
        <w:rPr>
          <w:lang w:val="en-US" w:eastAsia="zh-CN"/>
        </w:rPr>
        <w:instrText xml:space="preserve"> PAGEREF _Toc13125410 \h </w:instrText>
      </w:r>
      <w:r>
        <w:rPr>
          <w:lang w:val="en-US" w:eastAsia="zh-CN"/>
        </w:rPr>
        <w:fldChar w:fldCharType="separate"/>
      </w:r>
      <w:r>
        <w:rPr>
          <w:lang w:val="en-US" w:eastAsia="zh-CN"/>
        </w:rPr>
        <w:t>- 12 -</w:t>
      </w:r>
      <w:r>
        <w:rPr>
          <w:lang w:val="en-US" w:eastAsia="zh-CN"/>
        </w:rPr>
        <w:fldChar w:fldCharType="end"/>
      </w:r>
    </w:p>
    <w:p>
      <w:pPr>
        <w:pStyle w:val="23"/>
        <w:tabs>
          <w:tab w:val="right" w:leader="dot" w:pos="9348"/>
        </w:tabs>
        <w:ind w:left="420"/>
        <w:rPr>
          <w:rFonts w:ascii="Calibri" w:hAnsi="Calibri"/>
          <w:sz w:val="21"/>
          <w:szCs w:val="22"/>
          <w:lang w:val="en-US" w:eastAsia="zh-CN"/>
        </w:rPr>
      </w:pPr>
      <w:r>
        <w:rPr>
          <w:rFonts w:hint="eastAsia"/>
          <w:lang w:val="en-US" w:eastAsia="zh-CN"/>
        </w:rPr>
        <w:t>（十二）实地查勘期</w:t>
      </w:r>
      <w:r>
        <w:rPr>
          <w:lang w:val="en-US" w:eastAsia="zh-CN"/>
        </w:rPr>
        <w:tab/>
      </w:r>
      <w:r>
        <w:rPr>
          <w:lang w:val="en-US" w:eastAsia="zh-CN"/>
        </w:rPr>
        <w:fldChar w:fldCharType="begin"/>
      </w:r>
      <w:r>
        <w:rPr>
          <w:lang w:val="en-US" w:eastAsia="zh-CN"/>
        </w:rPr>
        <w:instrText xml:space="preserve"> PAGEREF _Toc13125411 \h </w:instrText>
      </w:r>
      <w:r>
        <w:rPr>
          <w:lang w:val="en-US" w:eastAsia="zh-CN"/>
        </w:rPr>
        <w:fldChar w:fldCharType="separate"/>
      </w:r>
      <w:r>
        <w:rPr>
          <w:lang w:val="en-US" w:eastAsia="zh-CN"/>
        </w:rPr>
        <w:t>- 12 -</w:t>
      </w:r>
      <w:r>
        <w:rPr>
          <w:lang w:val="en-US" w:eastAsia="zh-CN"/>
        </w:rPr>
        <w:fldChar w:fldCharType="end"/>
      </w:r>
    </w:p>
    <w:p>
      <w:pPr>
        <w:pStyle w:val="23"/>
        <w:tabs>
          <w:tab w:val="right" w:leader="dot" w:pos="9348"/>
        </w:tabs>
        <w:ind w:left="420"/>
        <w:rPr>
          <w:rFonts w:ascii="Calibri" w:hAnsi="Calibri"/>
          <w:sz w:val="21"/>
          <w:szCs w:val="22"/>
          <w:lang w:val="en-US" w:eastAsia="zh-CN"/>
        </w:rPr>
      </w:pPr>
      <w:r>
        <w:rPr>
          <w:rFonts w:hint="eastAsia"/>
          <w:lang w:val="en-US" w:eastAsia="zh-CN"/>
        </w:rPr>
        <w:t>（十三）估价作业日期</w:t>
      </w:r>
      <w:r>
        <w:rPr>
          <w:lang w:val="en-US" w:eastAsia="zh-CN"/>
        </w:rPr>
        <w:tab/>
      </w:r>
      <w:r>
        <w:rPr>
          <w:lang w:val="en-US" w:eastAsia="zh-CN"/>
        </w:rPr>
        <w:fldChar w:fldCharType="begin"/>
      </w:r>
      <w:r>
        <w:rPr>
          <w:lang w:val="en-US" w:eastAsia="zh-CN"/>
        </w:rPr>
        <w:instrText xml:space="preserve"> PAGEREF _Toc13125412 \h </w:instrText>
      </w:r>
      <w:r>
        <w:rPr>
          <w:lang w:val="en-US" w:eastAsia="zh-CN"/>
        </w:rPr>
        <w:fldChar w:fldCharType="separate"/>
      </w:r>
      <w:r>
        <w:rPr>
          <w:lang w:val="en-US" w:eastAsia="zh-CN"/>
        </w:rPr>
        <w:t>- 12 -</w:t>
      </w:r>
      <w:r>
        <w:rPr>
          <w:lang w:val="en-US" w:eastAsia="zh-CN"/>
        </w:rPr>
        <w:fldChar w:fldCharType="end"/>
      </w:r>
    </w:p>
    <w:p>
      <w:pPr>
        <w:pStyle w:val="23"/>
        <w:tabs>
          <w:tab w:val="right" w:leader="dot" w:pos="9348"/>
        </w:tabs>
        <w:ind w:left="420"/>
        <w:rPr>
          <w:rFonts w:ascii="Calibri" w:hAnsi="Calibri"/>
          <w:sz w:val="21"/>
          <w:szCs w:val="22"/>
          <w:lang w:val="en-US" w:eastAsia="zh-CN"/>
        </w:rPr>
      </w:pPr>
      <w:r>
        <w:rPr>
          <w:rFonts w:hint="eastAsia"/>
          <w:lang w:val="en-US" w:eastAsia="zh-CN"/>
        </w:rPr>
        <w:t>（十四）估价报告使用期限</w:t>
      </w:r>
      <w:r>
        <w:rPr>
          <w:lang w:val="en-US" w:eastAsia="zh-CN"/>
        </w:rPr>
        <w:tab/>
      </w:r>
      <w:r>
        <w:rPr>
          <w:lang w:val="en-US" w:eastAsia="zh-CN"/>
        </w:rPr>
        <w:fldChar w:fldCharType="begin"/>
      </w:r>
      <w:r>
        <w:rPr>
          <w:lang w:val="en-US" w:eastAsia="zh-CN"/>
        </w:rPr>
        <w:instrText xml:space="preserve"> PAGEREF _Toc13125413 \h </w:instrText>
      </w:r>
      <w:r>
        <w:rPr>
          <w:lang w:val="en-US" w:eastAsia="zh-CN"/>
        </w:rPr>
        <w:fldChar w:fldCharType="separate"/>
      </w:r>
      <w:r>
        <w:rPr>
          <w:lang w:val="en-US" w:eastAsia="zh-CN"/>
        </w:rPr>
        <w:t>- 12 -</w:t>
      </w:r>
      <w:r>
        <w:rPr>
          <w:lang w:val="en-US" w:eastAsia="zh-CN"/>
        </w:rPr>
        <w:fldChar w:fldCharType="end"/>
      </w:r>
    </w:p>
    <w:p>
      <w:r>
        <w:fldChar w:fldCharType="end"/>
      </w:r>
    </w:p>
    <w:p/>
    <w:p/>
    <w:p/>
    <w:p/>
    <w:p/>
    <w:p/>
    <w:p/>
    <w:p/>
    <w:p/>
    <w:p/>
    <w:p/>
    <w:p/>
    <w:p/>
    <w:p>
      <w:pPr>
        <w:pStyle w:val="2"/>
      </w:pPr>
      <w:bookmarkStart w:id="13" w:name="_Toc303759519"/>
      <w:bookmarkStart w:id="14" w:name="_Toc303761197"/>
      <w:bookmarkStart w:id="15" w:name="_Toc303760592"/>
      <w:bookmarkStart w:id="16" w:name="_Toc303760491"/>
      <w:bookmarkStart w:id="17" w:name="_Toc303759708"/>
      <w:bookmarkStart w:id="18" w:name="_Toc303760127"/>
      <w:bookmarkStart w:id="19" w:name="_Toc303760758"/>
      <w:bookmarkStart w:id="20" w:name="_Toc13125397"/>
      <w:r>
        <w:t>估 价 师 声 明</w:t>
      </w:r>
      <w:bookmarkEnd w:id="13"/>
      <w:bookmarkEnd w:id="14"/>
      <w:bookmarkEnd w:id="15"/>
      <w:bookmarkEnd w:id="16"/>
      <w:bookmarkEnd w:id="17"/>
      <w:bookmarkEnd w:id="18"/>
      <w:bookmarkEnd w:id="19"/>
      <w:bookmarkEnd w:id="20"/>
    </w:p>
    <w:p>
      <w:pPr>
        <w:spacing w:line="560" w:lineRule="exact"/>
        <w:rPr>
          <w:b/>
          <w:bCs/>
          <w:color w:val="FF0000"/>
          <w:sz w:val="24"/>
          <w:szCs w:val="24"/>
        </w:rPr>
      </w:pPr>
      <w:r>
        <w:rPr>
          <w:b/>
          <w:bCs/>
          <w:sz w:val="24"/>
          <w:szCs w:val="24"/>
        </w:rPr>
        <w:t>我们郑重声明：</w:t>
      </w:r>
    </w:p>
    <w:p>
      <w:pPr>
        <w:spacing w:line="560" w:lineRule="exact"/>
        <w:ind w:firstLine="480"/>
        <w:rPr>
          <w:bCs/>
          <w:sz w:val="24"/>
          <w:szCs w:val="24"/>
        </w:rPr>
      </w:pPr>
      <w:r>
        <w:rPr>
          <w:bCs/>
          <w:sz w:val="24"/>
          <w:szCs w:val="24"/>
        </w:rPr>
        <w:t>1、注册房地产估价师在估价报告中对事实的说明是真实和准确的，没有虚假记载、误导性陈述和重大遗漏。</w:t>
      </w:r>
    </w:p>
    <w:p>
      <w:pPr>
        <w:spacing w:line="560" w:lineRule="exact"/>
        <w:rPr>
          <w:sz w:val="24"/>
          <w:szCs w:val="24"/>
        </w:rPr>
      </w:pPr>
      <w:r>
        <w:rPr>
          <w:b/>
          <w:bCs/>
          <w:sz w:val="24"/>
          <w:szCs w:val="24"/>
        </w:rPr>
        <w:t xml:space="preserve">    </w:t>
      </w:r>
      <w:r>
        <w:rPr>
          <w:sz w:val="24"/>
          <w:szCs w:val="24"/>
        </w:rPr>
        <w:t>2、估价报告中的分析、意见和结论是</w:t>
      </w:r>
      <w:r>
        <w:rPr>
          <w:bCs/>
          <w:sz w:val="24"/>
          <w:szCs w:val="24"/>
        </w:rPr>
        <w:t>注册房地产估价师独立、客观</w:t>
      </w:r>
      <w:r>
        <w:rPr>
          <w:sz w:val="24"/>
          <w:szCs w:val="24"/>
        </w:rPr>
        <w:t>、公正的专业分析、意见和结论，但受到估价报告中已说明的估价假设和限制条件的限制。</w:t>
      </w:r>
    </w:p>
    <w:p>
      <w:pPr>
        <w:spacing w:line="560" w:lineRule="exact"/>
        <w:ind w:firstLine="480" w:firstLineChars="200"/>
        <w:rPr>
          <w:sz w:val="24"/>
          <w:szCs w:val="24"/>
        </w:rPr>
      </w:pPr>
      <w:r>
        <w:rPr>
          <w:sz w:val="24"/>
          <w:szCs w:val="24"/>
        </w:rPr>
        <w:t>3、</w:t>
      </w:r>
      <w:r>
        <w:rPr>
          <w:bCs/>
          <w:sz w:val="24"/>
          <w:szCs w:val="24"/>
        </w:rPr>
        <w:t>注册房地产估价师</w:t>
      </w:r>
      <w:r>
        <w:rPr>
          <w:sz w:val="24"/>
          <w:szCs w:val="24"/>
        </w:rPr>
        <w:t>与估价报告中的估价对象没有现实或潜在的利益，与估价委托人及估价利害关系人没有利害关系，也对估价对象、估价委托人及估价利害关系人没有偏见。</w:t>
      </w:r>
    </w:p>
    <w:p>
      <w:pPr>
        <w:spacing w:line="560" w:lineRule="exact"/>
        <w:ind w:firstLine="480" w:firstLineChars="200"/>
        <w:rPr>
          <w:sz w:val="24"/>
          <w:szCs w:val="24"/>
        </w:rPr>
      </w:pPr>
      <w:r>
        <w:rPr>
          <w:sz w:val="24"/>
          <w:szCs w:val="24"/>
        </w:rPr>
        <w:t>4、注册房地产估价师是按照有关房地产估价标准的规定进行估价工作，撰写估价报告。</w:t>
      </w:r>
    </w:p>
    <w:p>
      <w:pPr>
        <w:spacing w:line="560" w:lineRule="exact"/>
        <w:ind w:firstLine="480" w:firstLineChars="200"/>
        <w:rPr>
          <w:sz w:val="24"/>
          <w:szCs w:val="24"/>
        </w:rPr>
      </w:pPr>
      <w:r>
        <w:rPr>
          <w:sz w:val="24"/>
          <w:szCs w:val="24"/>
        </w:rPr>
        <w:t>5、注册房地产估价师</w:t>
      </w:r>
      <w:r>
        <w:rPr>
          <w:rFonts w:hint="eastAsia"/>
          <w:sz w:val="24"/>
          <w:szCs w:val="24"/>
        </w:rPr>
        <w:t>石涛</w:t>
      </w:r>
      <w:r>
        <w:rPr>
          <w:sz w:val="24"/>
          <w:szCs w:val="24"/>
        </w:rPr>
        <w:t>、</w:t>
      </w:r>
      <w:r>
        <w:rPr>
          <w:rFonts w:hint="eastAsia"/>
          <w:sz w:val="24"/>
          <w:szCs w:val="24"/>
          <w:lang w:eastAsia="zh-CN"/>
        </w:rPr>
        <w:t>石邦复</w:t>
      </w:r>
      <w:r>
        <w:rPr>
          <w:sz w:val="24"/>
          <w:szCs w:val="24"/>
        </w:rPr>
        <w:t>于</w:t>
      </w:r>
      <w:r>
        <w:rPr>
          <w:rFonts w:hint="eastAsia"/>
          <w:sz w:val="24"/>
          <w:szCs w:val="24"/>
          <w:lang w:eastAsia="zh-CN"/>
        </w:rPr>
        <w:t>2019年10月9日</w:t>
      </w:r>
      <w:r>
        <w:rPr>
          <w:sz w:val="24"/>
          <w:szCs w:val="24"/>
        </w:rPr>
        <w:t>对估价对象进行了实地查勘。</w:t>
      </w:r>
    </w:p>
    <w:p>
      <w:pPr>
        <w:spacing w:line="560" w:lineRule="exact"/>
        <w:ind w:firstLine="480" w:firstLineChars="200"/>
        <w:rPr>
          <w:sz w:val="24"/>
          <w:szCs w:val="24"/>
        </w:rPr>
      </w:pPr>
      <w:r>
        <w:rPr>
          <w:sz w:val="24"/>
          <w:szCs w:val="24"/>
        </w:rPr>
        <w:t>6、估价报告是由本公司注册房地产估价师完成的，没有其他人对本估价报告提供重要专业帮助。</w:t>
      </w:r>
    </w:p>
    <w:p>
      <w:pPr>
        <w:spacing w:line="560" w:lineRule="exact"/>
        <w:ind w:firstLine="480" w:firstLineChars="200"/>
        <w:rPr>
          <w:sz w:val="24"/>
          <w:szCs w:val="24"/>
        </w:rPr>
      </w:pPr>
      <w:r>
        <w:rPr>
          <w:sz w:val="24"/>
        </w:rPr>
        <w:t>7、本报告使用权归估价委托人，</w:t>
      </w:r>
      <w:r>
        <w:rPr>
          <w:bCs/>
          <w:sz w:val="24"/>
        </w:rPr>
        <w:t>最终解释权</w:t>
      </w:r>
      <w:r>
        <w:rPr>
          <w:sz w:val="24"/>
        </w:rPr>
        <w:t>为本公司所有。</w:t>
      </w:r>
    </w:p>
    <w:p>
      <w:pPr>
        <w:spacing w:line="560" w:lineRule="exact"/>
        <w:ind w:firstLine="480" w:firstLineChars="200"/>
        <w:rPr>
          <w:sz w:val="24"/>
          <w:szCs w:val="24"/>
        </w:rPr>
      </w:pPr>
      <w:r>
        <w:rPr>
          <w:sz w:val="24"/>
          <w:szCs w:val="24"/>
        </w:rPr>
        <w:t>8、参加本次估价的注册房地产估价师：</w:t>
      </w:r>
    </w:p>
    <w:tbl>
      <w:tblPr>
        <w:tblStyle w:val="28"/>
        <w:tblW w:w="95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7"/>
        <w:gridCol w:w="2389"/>
        <w:gridCol w:w="2409"/>
        <w:gridCol w:w="3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7" w:type="dxa"/>
            <w:vAlign w:val="center"/>
          </w:tcPr>
          <w:p>
            <w:pPr>
              <w:spacing w:line="560" w:lineRule="exact"/>
              <w:jc w:val="center"/>
              <w:rPr>
                <w:sz w:val="24"/>
                <w:szCs w:val="24"/>
              </w:rPr>
            </w:pPr>
            <w:r>
              <w:rPr>
                <w:sz w:val="24"/>
                <w:szCs w:val="24"/>
              </w:rPr>
              <w:t>姓名</w:t>
            </w:r>
          </w:p>
        </w:tc>
        <w:tc>
          <w:tcPr>
            <w:tcW w:w="2389" w:type="dxa"/>
            <w:vAlign w:val="center"/>
          </w:tcPr>
          <w:p>
            <w:pPr>
              <w:spacing w:line="560" w:lineRule="exact"/>
              <w:jc w:val="center"/>
              <w:rPr>
                <w:sz w:val="24"/>
                <w:szCs w:val="24"/>
              </w:rPr>
            </w:pPr>
            <w:r>
              <w:rPr>
                <w:sz w:val="24"/>
                <w:szCs w:val="24"/>
              </w:rPr>
              <w:t>注册号</w:t>
            </w:r>
          </w:p>
        </w:tc>
        <w:tc>
          <w:tcPr>
            <w:tcW w:w="2409" w:type="dxa"/>
            <w:vAlign w:val="center"/>
          </w:tcPr>
          <w:p>
            <w:pPr>
              <w:spacing w:line="560" w:lineRule="exact"/>
              <w:jc w:val="center"/>
              <w:rPr>
                <w:sz w:val="24"/>
                <w:szCs w:val="24"/>
              </w:rPr>
            </w:pPr>
            <w:r>
              <w:rPr>
                <w:sz w:val="24"/>
                <w:szCs w:val="24"/>
              </w:rPr>
              <w:t>签名</w:t>
            </w:r>
          </w:p>
        </w:tc>
        <w:tc>
          <w:tcPr>
            <w:tcW w:w="3229" w:type="dxa"/>
            <w:vAlign w:val="center"/>
          </w:tcPr>
          <w:p>
            <w:pPr>
              <w:spacing w:line="560" w:lineRule="exact"/>
              <w:jc w:val="center"/>
              <w:rPr>
                <w:sz w:val="24"/>
                <w:szCs w:val="24"/>
              </w:rPr>
            </w:pPr>
            <w:r>
              <w:rPr>
                <w:sz w:val="24"/>
                <w:szCs w:val="24"/>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1547" w:type="dxa"/>
            <w:vAlign w:val="center"/>
          </w:tcPr>
          <w:p>
            <w:pPr>
              <w:spacing w:line="560" w:lineRule="exact"/>
              <w:jc w:val="center"/>
              <w:rPr>
                <w:sz w:val="24"/>
                <w:szCs w:val="24"/>
              </w:rPr>
            </w:pPr>
            <w:r>
              <w:rPr>
                <w:rFonts w:hint="eastAsia"/>
                <w:sz w:val="24"/>
                <w:szCs w:val="24"/>
              </w:rPr>
              <w:t>石  涛</w:t>
            </w:r>
          </w:p>
        </w:tc>
        <w:tc>
          <w:tcPr>
            <w:tcW w:w="2389" w:type="dxa"/>
            <w:vAlign w:val="center"/>
          </w:tcPr>
          <w:p>
            <w:pPr>
              <w:spacing w:line="560" w:lineRule="exact"/>
              <w:jc w:val="center"/>
              <w:rPr>
                <w:sz w:val="24"/>
                <w:szCs w:val="24"/>
              </w:rPr>
            </w:pPr>
            <w:r>
              <w:rPr>
                <w:sz w:val="24"/>
                <w:szCs w:val="24"/>
              </w:rPr>
              <w:t>3420</w:t>
            </w:r>
            <w:r>
              <w:rPr>
                <w:rFonts w:hint="eastAsia"/>
                <w:sz w:val="24"/>
                <w:szCs w:val="24"/>
              </w:rPr>
              <w:t>110044</w:t>
            </w:r>
          </w:p>
        </w:tc>
        <w:tc>
          <w:tcPr>
            <w:tcW w:w="2409" w:type="dxa"/>
            <w:vAlign w:val="center"/>
          </w:tcPr>
          <w:p>
            <w:pPr>
              <w:spacing w:line="560" w:lineRule="exact"/>
              <w:jc w:val="center"/>
              <w:rPr>
                <w:sz w:val="24"/>
                <w:szCs w:val="24"/>
              </w:rPr>
            </w:pPr>
          </w:p>
        </w:tc>
        <w:tc>
          <w:tcPr>
            <w:tcW w:w="3229" w:type="dxa"/>
            <w:vAlign w:val="center"/>
          </w:tcPr>
          <w:p>
            <w:pPr>
              <w:spacing w:line="560" w:lineRule="exact"/>
              <w:jc w:val="center"/>
              <w:rPr>
                <w:sz w:val="24"/>
                <w:szCs w:val="24"/>
              </w:rPr>
            </w:pPr>
            <w:r>
              <w:rPr>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547" w:type="dxa"/>
            <w:vAlign w:val="center"/>
          </w:tcPr>
          <w:p>
            <w:pPr>
              <w:spacing w:line="560" w:lineRule="exact"/>
              <w:jc w:val="center"/>
              <w:rPr>
                <w:rFonts w:hint="eastAsia" w:eastAsia="宋体"/>
                <w:sz w:val="24"/>
                <w:szCs w:val="24"/>
                <w:lang w:eastAsia="zh-CN"/>
              </w:rPr>
            </w:pPr>
            <w:r>
              <w:rPr>
                <w:rFonts w:hint="eastAsia" w:hAnsi="宋体"/>
                <w:sz w:val="24"/>
                <w:szCs w:val="24"/>
                <w:lang w:eastAsia="zh-CN"/>
              </w:rPr>
              <w:t>石邦复</w:t>
            </w:r>
          </w:p>
        </w:tc>
        <w:tc>
          <w:tcPr>
            <w:tcW w:w="2389" w:type="dxa"/>
            <w:vAlign w:val="center"/>
          </w:tcPr>
          <w:p>
            <w:pPr>
              <w:spacing w:line="560" w:lineRule="exact"/>
              <w:jc w:val="center"/>
              <w:rPr>
                <w:rFonts w:hint="eastAsia" w:eastAsia="宋体"/>
                <w:sz w:val="24"/>
                <w:szCs w:val="24"/>
                <w:lang w:eastAsia="zh-CN"/>
              </w:rPr>
            </w:pPr>
            <w:r>
              <w:rPr>
                <w:rFonts w:hint="eastAsia"/>
                <w:sz w:val="24"/>
                <w:szCs w:val="24"/>
                <w:lang w:eastAsia="zh-CN"/>
              </w:rPr>
              <w:t>3420150041</w:t>
            </w:r>
          </w:p>
        </w:tc>
        <w:tc>
          <w:tcPr>
            <w:tcW w:w="2409" w:type="dxa"/>
            <w:vAlign w:val="center"/>
          </w:tcPr>
          <w:p>
            <w:pPr>
              <w:spacing w:line="560" w:lineRule="exact"/>
              <w:jc w:val="center"/>
              <w:rPr>
                <w:sz w:val="24"/>
                <w:szCs w:val="24"/>
              </w:rPr>
            </w:pPr>
          </w:p>
        </w:tc>
        <w:tc>
          <w:tcPr>
            <w:tcW w:w="3229" w:type="dxa"/>
            <w:vAlign w:val="center"/>
          </w:tcPr>
          <w:p>
            <w:pPr>
              <w:spacing w:line="560" w:lineRule="exact"/>
              <w:jc w:val="center"/>
              <w:rPr>
                <w:sz w:val="24"/>
                <w:szCs w:val="24"/>
              </w:rPr>
            </w:pPr>
            <w:r>
              <w:rPr>
                <w:sz w:val="24"/>
                <w:szCs w:val="24"/>
              </w:rPr>
              <w:t>年    月    日</w:t>
            </w:r>
          </w:p>
        </w:tc>
      </w:tr>
    </w:tbl>
    <w:p>
      <w:pPr>
        <w:spacing w:line="560" w:lineRule="exact"/>
        <w:ind w:firstLine="480" w:firstLineChars="200"/>
        <w:rPr>
          <w:sz w:val="24"/>
          <w:szCs w:val="24"/>
        </w:rPr>
      </w:pPr>
    </w:p>
    <w:p>
      <w:pPr>
        <w:spacing w:line="560" w:lineRule="exact"/>
        <w:ind w:firstLine="480" w:firstLineChars="200"/>
        <w:rPr>
          <w:sz w:val="24"/>
          <w:szCs w:val="24"/>
        </w:rPr>
      </w:pPr>
    </w:p>
    <w:p>
      <w:pPr>
        <w:spacing w:line="560" w:lineRule="exact"/>
        <w:ind w:firstLine="480" w:firstLineChars="200"/>
        <w:rPr>
          <w:sz w:val="24"/>
          <w:szCs w:val="24"/>
        </w:rPr>
      </w:pPr>
    </w:p>
    <w:p>
      <w:pPr>
        <w:pStyle w:val="2"/>
      </w:pPr>
      <w:bookmarkStart w:id="21" w:name="_Toc303761198"/>
      <w:bookmarkStart w:id="22" w:name="_Toc303760593"/>
      <w:bookmarkStart w:id="23" w:name="_Toc303760492"/>
      <w:bookmarkStart w:id="24" w:name="_Toc13125398"/>
      <w:bookmarkStart w:id="25" w:name="_Toc303759709"/>
      <w:bookmarkStart w:id="26" w:name="_Toc303760128"/>
      <w:bookmarkStart w:id="27" w:name="_Toc303760759"/>
      <w:bookmarkStart w:id="28" w:name="_Toc303759520"/>
      <w:r>
        <w:t>估价的假设和限制条件</w:t>
      </w:r>
      <w:bookmarkEnd w:id="21"/>
      <w:bookmarkEnd w:id="22"/>
      <w:bookmarkEnd w:id="23"/>
      <w:bookmarkEnd w:id="24"/>
      <w:bookmarkEnd w:id="25"/>
      <w:bookmarkEnd w:id="26"/>
      <w:bookmarkEnd w:id="27"/>
      <w:bookmarkEnd w:id="28"/>
    </w:p>
    <w:p>
      <w:pPr>
        <w:spacing w:line="560" w:lineRule="exact"/>
        <w:ind w:firstLine="482" w:firstLineChars="200"/>
        <w:rPr>
          <w:b/>
          <w:bCs/>
          <w:sz w:val="24"/>
          <w:szCs w:val="24"/>
        </w:rPr>
      </w:pPr>
      <w:r>
        <w:rPr>
          <w:rFonts w:hAnsi="宋体"/>
          <w:b/>
          <w:bCs/>
          <w:sz w:val="24"/>
          <w:szCs w:val="24"/>
        </w:rPr>
        <w:t>（一）假设条件</w:t>
      </w:r>
    </w:p>
    <w:p>
      <w:pPr>
        <w:spacing w:line="560" w:lineRule="exact"/>
        <w:ind w:firstLine="600" w:firstLineChars="249"/>
        <w:rPr>
          <w:b/>
          <w:bCs/>
          <w:sz w:val="24"/>
          <w:szCs w:val="24"/>
        </w:rPr>
      </w:pPr>
      <w:r>
        <w:rPr>
          <w:b/>
          <w:bCs/>
          <w:sz w:val="24"/>
          <w:szCs w:val="24"/>
        </w:rPr>
        <w:t>1</w:t>
      </w:r>
      <w:r>
        <w:rPr>
          <w:rFonts w:hAnsi="宋体"/>
          <w:b/>
          <w:bCs/>
          <w:sz w:val="24"/>
          <w:szCs w:val="24"/>
        </w:rPr>
        <w:t>、一般性假设</w:t>
      </w:r>
    </w:p>
    <w:p>
      <w:pPr>
        <w:widowControl/>
        <w:spacing w:line="560" w:lineRule="exact"/>
        <w:ind w:firstLine="480" w:firstLineChars="200"/>
        <w:jc w:val="left"/>
        <w:rPr>
          <w:sz w:val="24"/>
          <w:szCs w:val="24"/>
        </w:rPr>
      </w:pPr>
      <w:r>
        <w:rPr>
          <w:rFonts w:hAnsi="宋体"/>
          <w:sz w:val="24"/>
          <w:szCs w:val="24"/>
        </w:rPr>
        <w:t>①估价对象产权明晰，手续齐全，可在公开市场上自由转让。</w:t>
      </w:r>
    </w:p>
    <w:p>
      <w:pPr>
        <w:widowControl/>
        <w:spacing w:line="560" w:lineRule="exact"/>
        <w:jc w:val="left"/>
        <w:rPr>
          <w:sz w:val="24"/>
          <w:szCs w:val="24"/>
        </w:rPr>
      </w:pPr>
      <w:r>
        <w:rPr>
          <w:rFonts w:hAnsi="宋体"/>
          <w:sz w:val="24"/>
          <w:szCs w:val="24"/>
        </w:rPr>
        <w:t>　　②估价委托人提供了估价对象的</w:t>
      </w:r>
      <w:r>
        <w:rPr>
          <w:rFonts w:hint="eastAsia" w:hAnsi="宋体"/>
          <w:sz w:val="24"/>
          <w:szCs w:val="24"/>
          <w:lang w:eastAsia="zh-CN"/>
        </w:rPr>
        <w:t>《不动产登记信息》</w:t>
      </w:r>
      <w:r>
        <w:rPr>
          <w:rFonts w:hint="eastAsia" w:hAnsi="宋体"/>
          <w:sz w:val="24"/>
          <w:szCs w:val="24"/>
        </w:rPr>
        <w:t>复印件</w:t>
      </w:r>
      <w:r>
        <w:rPr>
          <w:rFonts w:hAnsi="宋体"/>
          <w:sz w:val="24"/>
          <w:szCs w:val="24"/>
        </w:rPr>
        <w:t>，我们对证明上记载的权属、面积、用途等资料进行了审慎检查，但未予以核实，在无理由怀疑其合法性、真实性、准确性和完整性的情况下，假定估价委托人提供的资料合法、真实、准确、完整。</w:t>
      </w:r>
    </w:p>
    <w:p>
      <w:pPr>
        <w:widowControl/>
        <w:spacing w:line="560" w:lineRule="exact"/>
        <w:jc w:val="left"/>
        <w:rPr>
          <w:sz w:val="24"/>
          <w:szCs w:val="24"/>
        </w:rPr>
      </w:pPr>
      <w:r>
        <w:rPr>
          <w:rFonts w:hAnsi="宋体"/>
          <w:sz w:val="24"/>
          <w:szCs w:val="24"/>
        </w:rPr>
        <w:t>　　③市场供应关系、市场结构保持稳定、未发生重大变化或实质性改变。</w:t>
      </w:r>
    </w:p>
    <w:p>
      <w:pPr>
        <w:widowControl/>
        <w:spacing w:line="560" w:lineRule="exact"/>
        <w:jc w:val="left"/>
        <w:rPr>
          <w:sz w:val="24"/>
          <w:szCs w:val="24"/>
        </w:rPr>
      </w:pPr>
      <w:r>
        <w:rPr>
          <w:rFonts w:hAnsi="宋体"/>
          <w:sz w:val="24"/>
          <w:szCs w:val="24"/>
        </w:rPr>
        <w:t>　　④</w:t>
      </w:r>
      <w:r>
        <w:fldChar w:fldCharType="begin"/>
      </w:r>
      <w:r>
        <w:instrText xml:space="preserve"> HYPERLINK "http://www.jianshe99.com/gujia/" \t "_blank" \o "注册房地产估价师" </w:instrText>
      </w:r>
      <w:r>
        <w:fldChar w:fldCharType="separate"/>
      </w:r>
      <w:r>
        <w:rPr>
          <w:rFonts w:hAnsi="宋体"/>
          <w:sz w:val="24"/>
          <w:szCs w:val="24"/>
        </w:rPr>
        <w:t>注册房地产估价师</w:t>
      </w:r>
      <w:r>
        <w:rPr>
          <w:rFonts w:hAnsi="宋体"/>
          <w:sz w:val="24"/>
          <w:szCs w:val="24"/>
        </w:rPr>
        <w:fldChar w:fldCharType="end"/>
      </w:r>
      <w:r>
        <w:rPr>
          <w:rFonts w:hAnsi="宋体"/>
          <w:sz w:val="24"/>
          <w:szCs w:val="24"/>
        </w:rPr>
        <w:t>已对房屋安全、环境污染等影响估价对象价值的重大因素给予了关注，在无理由怀疑估价对象存在隐患且无相应的专业机构进行鉴定、检测的情况下，假定估价对象能正常安全使用。</w:t>
      </w:r>
    </w:p>
    <w:p>
      <w:pPr>
        <w:widowControl/>
        <w:spacing w:line="560" w:lineRule="exact"/>
        <w:jc w:val="left"/>
        <w:rPr>
          <w:sz w:val="24"/>
          <w:szCs w:val="24"/>
        </w:rPr>
      </w:pPr>
      <w:r>
        <w:rPr>
          <w:rFonts w:hAnsi="宋体"/>
          <w:sz w:val="24"/>
          <w:szCs w:val="24"/>
        </w:rPr>
        <w:t>　　⑤估价对象在价值时点的房地产市场为公开、平等、自愿的交易市场，即能满足以下条件：（</w:t>
      </w:r>
      <w:r>
        <w:rPr>
          <w:sz w:val="24"/>
          <w:szCs w:val="24"/>
        </w:rPr>
        <w:t>1</w:t>
      </w:r>
      <w:r>
        <w:rPr>
          <w:rFonts w:hAnsi="宋体"/>
          <w:sz w:val="24"/>
          <w:szCs w:val="24"/>
        </w:rPr>
        <w:t>）自愿销售的卖方及自愿购买的买方；（</w:t>
      </w:r>
      <w:r>
        <w:rPr>
          <w:sz w:val="24"/>
          <w:szCs w:val="24"/>
        </w:rPr>
        <w:t>2</w:t>
      </w:r>
      <w:r>
        <w:rPr>
          <w:rFonts w:hAnsi="宋体"/>
          <w:sz w:val="24"/>
          <w:szCs w:val="24"/>
        </w:rPr>
        <w:t>）交易双方无任何利害关系，交易的目的是追求各自利益的最大化；（</w:t>
      </w:r>
      <w:r>
        <w:rPr>
          <w:sz w:val="24"/>
          <w:szCs w:val="24"/>
        </w:rPr>
        <w:t>3</w:t>
      </w:r>
      <w:r>
        <w:rPr>
          <w:rFonts w:hAnsi="宋体"/>
          <w:sz w:val="24"/>
          <w:szCs w:val="24"/>
        </w:rPr>
        <w:t>）交易双方了解交易对象、知晓市场行情；（</w:t>
      </w:r>
      <w:r>
        <w:rPr>
          <w:sz w:val="24"/>
          <w:szCs w:val="24"/>
        </w:rPr>
        <w:t>4</w:t>
      </w:r>
      <w:r>
        <w:rPr>
          <w:rFonts w:hAnsi="宋体"/>
          <w:sz w:val="24"/>
          <w:szCs w:val="24"/>
        </w:rPr>
        <w:t>）交易双方有较充裕的时间进行交易；（</w:t>
      </w:r>
      <w:r>
        <w:rPr>
          <w:sz w:val="24"/>
          <w:szCs w:val="24"/>
        </w:rPr>
        <w:t>5</w:t>
      </w:r>
      <w:r>
        <w:rPr>
          <w:rFonts w:hAnsi="宋体"/>
          <w:sz w:val="24"/>
          <w:szCs w:val="24"/>
        </w:rPr>
        <w:t>）不存在特殊买者的附加出价。</w:t>
      </w:r>
    </w:p>
    <w:p>
      <w:pPr>
        <w:widowControl/>
        <w:spacing w:line="560" w:lineRule="exact"/>
        <w:jc w:val="left"/>
        <w:rPr>
          <w:sz w:val="24"/>
          <w:szCs w:val="24"/>
        </w:rPr>
      </w:pPr>
      <w:r>
        <w:rPr>
          <w:rFonts w:hAnsi="宋体"/>
          <w:sz w:val="24"/>
          <w:szCs w:val="24"/>
        </w:rPr>
        <w:t>　　⑥由于估价委托人未能提供估价对象的租赁权、典权等情况，且注册</w:t>
      </w:r>
      <w:r>
        <w:fldChar w:fldCharType="begin"/>
      </w:r>
      <w:r>
        <w:instrText xml:space="preserve"> HYPERLINK "http://www.jianshe99.com/gujia/" \t "_blank" \o "房地产估价师" </w:instrText>
      </w:r>
      <w:r>
        <w:fldChar w:fldCharType="separate"/>
      </w:r>
      <w:r>
        <w:rPr>
          <w:rFonts w:hAnsi="宋体"/>
          <w:sz w:val="24"/>
          <w:szCs w:val="24"/>
        </w:rPr>
        <w:t>房地产估价师</w:t>
      </w:r>
      <w:r>
        <w:rPr>
          <w:rFonts w:hAnsi="宋体"/>
          <w:sz w:val="24"/>
          <w:szCs w:val="24"/>
        </w:rPr>
        <w:fldChar w:fldCharType="end"/>
      </w:r>
      <w:r>
        <w:rPr>
          <w:rFonts w:hAnsi="宋体"/>
          <w:sz w:val="24"/>
          <w:szCs w:val="24"/>
        </w:rPr>
        <w:t>无法知晓其是否存在上述他项权利限制，故本次估价以估价对象没有上述他项权利限制为假设前提。</w:t>
      </w:r>
    </w:p>
    <w:p>
      <w:pPr>
        <w:widowControl/>
        <w:spacing w:line="560" w:lineRule="exact"/>
        <w:jc w:val="left"/>
        <w:rPr>
          <w:sz w:val="24"/>
          <w:szCs w:val="24"/>
        </w:rPr>
      </w:pPr>
      <w:r>
        <w:rPr>
          <w:rFonts w:hAnsi="宋体"/>
          <w:sz w:val="24"/>
          <w:szCs w:val="24"/>
        </w:rPr>
        <w:t>　　⑦</w:t>
      </w:r>
      <w:r>
        <w:rPr>
          <w:rFonts w:hint="eastAsia" w:hAnsi="宋体"/>
          <w:sz w:val="24"/>
          <w:szCs w:val="24"/>
        </w:rPr>
        <w:t>根据委托方提供的相关资料得知，估价对象有抵押权未解除，除此之外，</w:t>
      </w:r>
      <w:r>
        <w:rPr>
          <w:rFonts w:hAnsi="宋体"/>
          <w:sz w:val="24"/>
          <w:szCs w:val="24"/>
        </w:rPr>
        <w:t>估价委托人未告知</w:t>
      </w:r>
      <w:r>
        <w:rPr>
          <w:rFonts w:hint="eastAsia" w:hAnsi="宋体"/>
          <w:sz w:val="24"/>
          <w:szCs w:val="24"/>
        </w:rPr>
        <w:t>估价对象是否还存在其他</w:t>
      </w:r>
      <w:r>
        <w:rPr>
          <w:rFonts w:hAnsi="宋体"/>
          <w:sz w:val="24"/>
          <w:szCs w:val="24"/>
        </w:rPr>
        <w:t>法定优先受偿情况，且注册房地产估价师无法知晓其是否有</w:t>
      </w:r>
      <w:r>
        <w:rPr>
          <w:rFonts w:hint="eastAsia" w:hAnsi="宋体"/>
          <w:sz w:val="24"/>
          <w:szCs w:val="24"/>
        </w:rPr>
        <w:t>其他</w:t>
      </w:r>
      <w:r>
        <w:rPr>
          <w:rFonts w:hAnsi="宋体"/>
          <w:sz w:val="24"/>
          <w:szCs w:val="24"/>
        </w:rPr>
        <w:t>法定优先受偿情况，故本次估价假设估价对象不存在未被估价人员发现的</w:t>
      </w:r>
      <w:r>
        <w:rPr>
          <w:rFonts w:hint="eastAsia" w:hAnsi="宋体"/>
          <w:sz w:val="24"/>
          <w:szCs w:val="24"/>
        </w:rPr>
        <w:t>其他</w:t>
      </w:r>
      <w:r>
        <w:rPr>
          <w:rFonts w:hAnsi="宋体"/>
          <w:sz w:val="24"/>
          <w:szCs w:val="24"/>
        </w:rPr>
        <w:t>法定优先受偿款。</w:t>
      </w:r>
    </w:p>
    <w:p>
      <w:pPr>
        <w:spacing w:line="560" w:lineRule="exact"/>
        <w:ind w:firstLine="482" w:firstLineChars="200"/>
        <w:rPr>
          <w:b/>
          <w:bCs/>
          <w:sz w:val="24"/>
          <w:szCs w:val="24"/>
        </w:rPr>
      </w:pPr>
      <w:r>
        <w:rPr>
          <w:b/>
          <w:bCs/>
          <w:sz w:val="24"/>
          <w:szCs w:val="24"/>
        </w:rPr>
        <w:t>2</w:t>
      </w:r>
      <w:r>
        <w:rPr>
          <w:rFonts w:hAnsi="宋体"/>
          <w:b/>
          <w:bCs/>
          <w:sz w:val="24"/>
          <w:szCs w:val="24"/>
        </w:rPr>
        <w:t>、未定事项假设</w:t>
      </w:r>
    </w:p>
    <w:p>
      <w:pPr>
        <w:widowControl/>
        <w:spacing w:line="560" w:lineRule="exact"/>
        <w:ind w:firstLine="480" w:firstLineChars="200"/>
        <w:jc w:val="left"/>
        <w:rPr>
          <w:sz w:val="24"/>
          <w:szCs w:val="24"/>
          <w:highlight w:val="yellow"/>
        </w:rPr>
      </w:pPr>
      <w:r>
        <w:rPr>
          <w:rFonts w:hint="eastAsia" w:hAnsi="宋体"/>
          <w:sz w:val="24"/>
          <w:szCs w:val="24"/>
        </w:rPr>
        <w:t>无未定事项假设</w:t>
      </w:r>
      <w:r>
        <w:rPr>
          <w:rFonts w:hAnsi="宋体"/>
          <w:sz w:val="24"/>
          <w:szCs w:val="24"/>
        </w:rPr>
        <w:t>。</w:t>
      </w:r>
    </w:p>
    <w:p>
      <w:pPr>
        <w:spacing w:line="560" w:lineRule="exact"/>
        <w:ind w:firstLine="482" w:firstLineChars="200"/>
        <w:rPr>
          <w:b/>
          <w:bCs/>
          <w:sz w:val="24"/>
          <w:szCs w:val="24"/>
        </w:rPr>
      </w:pPr>
      <w:r>
        <w:rPr>
          <w:b/>
          <w:bCs/>
          <w:sz w:val="24"/>
          <w:szCs w:val="24"/>
        </w:rPr>
        <w:t>3</w:t>
      </w:r>
      <w:r>
        <w:rPr>
          <w:rFonts w:hAnsi="宋体"/>
          <w:b/>
          <w:bCs/>
          <w:sz w:val="24"/>
          <w:szCs w:val="24"/>
        </w:rPr>
        <w:t>、背离事实假设</w:t>
      </w:r>
    </w:p>
    <w:p>
      <w:pPr>
        <w:widowControl/>
        <w:spacing w:line="560" w:lineRule="exact"/>
        <w:ind w:firstLine="544" w:firstLineChars="227"/>
        <w:jc w:val="left"/>
        <w:rPr>
          <w:sz w:val="24"/>
          <w:szCs w:val="24"/>
        </w:rPr>
      </w:pPr>
      <w:r>
        <w:rPr>
          <w:rFonts w:hAnsi="宋体"/>
          <w:sz w:val="24"/>
          <w:szCs w:val="24"/>
        </w:rPr>
        <w:t>①在价值时点，估价对象已被人民法院查封，本次估价不考虑估价对象已被查封因素的影响。</w:t>
      </w:r>
    </w:p>
    <w:p>
      <w:pPr>
        <w:widowControl/>
        <w:spacing w:line="560" w:lineRule="exact"/>
        <w:ind w:firstLine="480" w:firstLineChars="200"/>
        <w:jc w:val="left"/>
        <w:rPr>
          <w:rFonts w:hint="eastAsia" w:hAnsi="宋体"/>
          <w:sz w:val="24"/>
          <w:szCs w:val="24"/>
        </w:rPr>
      </w:pPr>
      <w:r>
        <w:rPr>
          <w:rFonts w:hAnsi="宋体"/>
          <w:sz w:val="24"/>
          <w:szCs w:val="24"/>
        </w:rPr>
        <w:t>②在价值时点，估价对象有未解除的抵押权，本次估价不考虑估价对象已存在的抵押权。</w:t>
      </w:r>
    </w:p>
    <w:p>
      <w:pPr>
        <w:widowControl/>
        <w:spacing w:line="560" w:lineRule="exact"/>
        <w:ind w:firstLine="480" w:firstLineChars="200"/>
        <w:jc w:val="left"/>
        <w:rPr>
          <w:sz w:val="24"/>
          <w:szCs w:val="24"/>
        </w:rPr>
      </w:pPr>
      <w:r>
        <w:rPr>
          <w:rFonts w:hint="eastAsia" w:hAnsi="宋体"/>
          <w:sz w:val="24"/>
          <w:szCs w:val="24"/>
        </w:rPr>
        <w:t>③在价值时点，估价对象已出租，根据有关规定本次估价不考虑估价对象已存在的租赁权。</w:t>
      </w:r>
    </w:p>
    <w:p>
      <w:pPr>
        <w:spacing w:line="560" w:lineRule="exact"/>
        <w:ind w:firstLine="482" w:firstLineChars="200"/>
        <w:rPr>
          <w:b/>
          <w:bCs/>
          <w:sz w:val="24"/>
          <w:szCs w:val="24"/>
        </w:rPr>
      </w:pPr>
      <w:r>
        <w:rPr>
          <w:b/>
          <w:bCs/>
          <w:sz w:val="24"/>
          <w:szCs w:val="24"/>
        </w:rPr>
        <w:t>4</w:t>
      </w:r>
      <w:r>
        <w:rPr>
          <w:rFonts w:hAnsi="宋体"/>
          <w:b/>
          <w:bCs/>
          <w:sz w:val="24"/>
          <w:szCs w:val="24"/>
        </w:rPr>
        <w:t>、不相一致假设</w:t>
      </w:r>
    </w:p>
    <w:p>
      <w:pPr>
        <w:spacing w:line="560" w:lineRule="exact"/>
        <w:ind w:firstLine="480" w:firstLineChars="200"/>
        <w:rPr>
          <w:sz w:val="24"/>
          <w:szCs w:val="24"/>
        </w:rPr>
      </w:pPr>
      <w:r>
        <w:rPr>
          <w:rFonts w:hint="eastAsia" w:hAnsi="宋体"/>
          <w:sz w:val="24"/>
          <w:szCs w:val="24"/>
          <w:lang w:eastAsia="zh-CN"/>
        </w:rPr>
        <w:t>由于委托方提供的估价对象《不动产登记信息》复印件上记载的估价对象总层数为</w:t>
      </w:r>
      <w:r>
        <w:rPr>
          <w:rFonts w:hint="eastAsia" w:hAnsi="宋体"/>
          <w:sz w:val="24"/>
          <w:szCs w:val="24"/>
          <w:lang w:val="en-US" w:eastAsia="zh-CN"/>
        </w:rPr>
        <w:t>3层，</w:t>
      </w:r>
      <w:r>
        <w:rPr>
          <w:rFonts w:hAnsi="宋体"/>
          <w:sz w:val="24"/>
          <w:szCs w:val="24"/>
        </w:rPr>
        <w:t>经注册房地产估价师</w:t>
      </w:r>
      <w:r>
        <w:rPr>
          <w:rFonts w:hint="eastAsia" w:hAnsi="宋体"/>
          <w:sz w:val="24"/>
          <w:szCs w:val="24"/>
          <w:lang w:eastAsia="zh-CN"/>
        </w:rPr>
        <w:t>现场勘查得知：房屋总层数为</w:t>
      </w:r>
      <w:r>
        <w:rPr>
          <w:rFonts w:hint="eastAsia" w:hAnsi="宋体"/>
          <w:sz w:val="24"/>
          <w:szCs w:val="24"/>
          <w:lang w:val="en-US" w:eastAsia="zh-CN"/>
        </w:rPr>
        <w:t>5层</w:t>
      </w:r>
      <w:r>
        <w:rPr>
          <w:rFonts w:hint="eastAsia" w:hAnsi="宋体"/>
          <w:sz w:val="24"/>
          <w:szCs w:val="24"/>
        </w:rPr>
        <w:t>。</w:t>
      </w:r>
    </w:p>
    <w:p>
      <w:pPr>
        <w:spacing w:line="560" w:lineRule="exact"/>
        <w:ind w:firstLine="482" w:firstLineChars="200"/>
        <w:rPr>
          <w:rFonts w:hint="eastAsia" w:hAnsi="宋体"/>
          <w:b/>
          <w:bCs/>
          <w:sz w:val="24"/>
          <w:szCs w:val="24"/>
        </w:rPr>
      </w:pPr>
      <w:r>
        <w:rPr>
          <w:b/>
          <w:bCs/>
          <w:sz w:val="24"/>
          <w:szCs w:val="24"/>
        </w:rPr>
        <w:t>5</w:t>
      </w:r>
      <w:r>
        <w:rPr>
          <w:rFonts w:hAnsi="宋体"/>
          <w:b/>
          <w:bCs/>
          <w:sz w:val="24"/>
          <w:szCs w:val="24"/>
        </w:rPr>
        <w:t>、依据不足假设</w:t>
      </w:r>
    </w:p>
    <w:p>
      <w:pPr>
        <w:pStyle w:val="13"/>
        <w:spacing w:line="560" w:lineRule="exact"/>
        <w:ind w:firstLine="480" w:firstLineChars="200"/>
        <w:rPr>
          <w:rFonts w:hAnsi="宋体"/>
          <w:sz w:val="24"/>
          <w:szCs w:val="24"/>
          <w:highlight w:val="none"/>
        </w:rPr>
      </w:pPr>
      <w:r>
        <w:rPr>
          <w:rFonts w:hAnsi="宋体"/>
          <w:sz w:val="24"/>
          <w:szCs w:val="24"/>
          <w:highlight w:val="none"/>
        </w:rPr>
        <w:t>①由于委托方提供的估价对象</w:t>
      </w:r>
      <w:r>
        <w:rPr>
          <w:rFonts w:hint="eastAsia" w:hAnsi="宋体"/>
          <w:sz w:val="24"/>
          <w:szCs w:val="24"/>
          <w:highlight w:val="none"/>
          <w:lang w:eastAsia="zh-CN"/>
        </w:rPr>
        <w:t>《不动产登记信息》</w:t>
      </w:r>
      <w:r>
        <w:rPr>
          <w:rFonts w:hint="eastAsia" w:hAnsi="宋体"/>
          <w:sz w:val="24"/>
          <w:szCs w:val="24"/>
          <w:highlight w:val="none"/>
        </w:rPr>
        <w:t>复印件上</w:t>
      </w:r>
      <w:r>
        <w:rPr>
          <w:rFonts w:hAnsi="宋体"/>
          <w:sz w:val="24"/>
          <w:szCs w:val="24"/>
          <w:highlight w:val="none"/>
        </w:rPr>
        <w:t>未记载估价对象房屋的建成年份，经注册房地产估价师实地调查</w:t>
      </w:r>
      <w:r>
        <w:rPr>
          <w:rFonts w:hint="eastAsia" w:hAnsi="宋体"/>
          <w:sz w:val="24"/>
          <w:szCs w:val="24"/>
          <w:highlight w:val="none"/>
          <w:lang w:eastAsia="zh-CN"/>
        </w:rPr>
        <w:t>了解</w:t>
      </w:r>
      <w:r>
        <w:rPr>
          <w:rFonts w:hAnsi="宋体"/>
          <w:sz w:val="24"/>
          <w:szCs w:val="24"/>
          <w:highlight w:val="none"/>
        </w:rPr>
        <w:t>得知：房屋建成年份为</w:t>
      </w:r>
      <w:r>
        <w:rPr>
          <w:sz w:val="24"/>
          <w:szCs w:val="24"/>
          <w:highlight w:val="none"/>
        </w:rPr>
        <w:t>200</w:t>
      </w:r>
      <w:r>
        <w:rPr>
          <w:rFonts w:hint="eastAsia"/>
          <w:sz w:val="24"/>
          <w:szCs w:val="24"/>
          <w:highlight w:val="none"/>
          <w:lang w:val="en-US" w:eastAsia="zh-CN"/>
        </w:rPr>
        <w:t>9</w:t>
      </w:r>
      <w:r>
        <w:rPr>
          <w:sz w:val="24"/>
          <w:szCs w:val="24"/>
          <w:highlight w:val="none"/>
        </w:rPr>
        <w:t>年</w:t>
      </w:r>
      <w:r>
        <w:rPr>
          <w:rFonts w:hAnsi="宋体"/>
          <w:sz w:val="24"/>
          <w:szCs w:val="24"/>
          <w:highlight w:val="none"/>
        </w:rPr>
        <w:t>。</w:t>
      </w:r>
    </w:p>
    <w:p>
      <w:pPr>
        <w:spacing w:line="560" w:lineRule="exact"/>
        <w:ind w:firstLine="480" w:firstLineChars="200"/>
        <w:rPr>
          <w:sz w:val="24"/>
          <w:szCs w:val="24"/>
          <w:highlight w:val="yellow"/>
        </w:rPr>
      </w:pPr>
      <w:r>
        <w:rPr>
          <w:rFonts w:hAnsi="宋体"/>
          <w:sz w:val="24"/>
          <w:szCs w:val="24"/>
          <w:highlight w:val="none"/>
        </w:rPr>
        <w:t>②由于委托方未能提供估价对象所占用的土地资料，本次估价设定估价对象占用的土地使用权</w:t>
      </w:r>
      <w:r>
        <w:rPr>
          <w:rFonts w:hint="eastAsia" w:hAnsi="宋体"/>
          <w:sz w:val="24"/>
          <w:szCs w:val="24"/>
          <w:highlight w:val="none"/>
          <w:lang w:eastAsia="zh-CN"/>
        </w:rPr>
        <w:t>取得时间为房屋建成前两年即：</w:t>
      </w:r>
      <w:r>
        <w:rPr>
          <w:rFonts w:hint="eastAsia" w:hAnsi="宋体"/>
          <w:sz w:val="24"/>
          <w:szCs w:val="24"/>
          <w:highlight w:val="none"/>
          <w:lang w:val="en-US" w:eastAsia="zh-CN"/>
        </w:rPr>
        <w:t>2007年取得，土地</w:t>
      </w:r>
      <w:r>
        <w:rPr>
          <w:rFonts w:hAnsi="宋体"/>
          <w:sz w:val="24"/>
          <w:szCs w:val="24"/>
          <w:highlight w:val="none"/>
        </w:rPr>
        <w:t>为国有出让住宅用地，</w:t>
      </w:r>
      <w:r>
        <w:rPr>
          <w:rFonts w:hint="eastAsia" w:hAnsi="宋体"/>
          <w:sz w:val="24"/>
          <w:szCs w:val="24"/>
          <w:highlight w:val="none"/>
          <w:lang w:eastAsia="zh-CN"/>
        </w:rPr>
        <w:t>经</w:t>
      </w:r>
      <w:r>
        <w:rPr>
          <w:rFonts w:hAnsi="宋体"/>
          <w:sz w:val="24"/>
          <w:szCs w:val="24"/>
          <w:highlight w:val="none"/>
        </w:rPr>
        <w:t>现场勘察</w:t>
      </w:r>
      <w:r>
        <w:rPr>
          <w:rFonts w:hint="eastAsia" w:hAnsi="宋体"/>
          <w:sz w:val="24"/>
          <w:szCs w:val="24"/>
          <w:highlight w:val="none"/>
          <w:lang w:eastAsia="zh-CN"/>
        </w:rPr>
        <w:t>设定</w:t>
      </w:r>
      <w:r>
        <w:rPr>
          <w:rFonts w:hAnsi="宋体"/>
          <w:sz w:val="24"/>
          <w:szCs w:val="24"/>
          <w:highlight w:val="none"/>
        </w:rPr>
        <w:t>估价对象所在小区容积率为</w:t>
      </w:r>
      <w:r>
        <w:rPr>
          <w:rFonts w:hint="eastAsia"/>
          <w:sz w:val="24"/>
          <w:szCs w:val="24"/>
          <w:highlight w:val="none"/>
        </w:rPr>
        <w:t>1.</w:t>
      </w:r>
      <w:r>
        <w:rPr>
          <w:rFonts w:hint="eastAsia"/>
          <w:sz w:val="24"/>
          <w:szCs w:val="24"/>
          <w:highlight w:val="none"/>
          <w:lang w:val="en-US" w:eastAsia="zh-CN"/>
        </w:rPr>
        <w:t>1</w:t>
      </w:r>
      <w:r>
        <w:rPr>
          <w:rFonts w:hAnsi="宋体"/>
          <w:sz w:val="24"/>
          <w:szCs w:val="24"/>
          <w:highlight w:val="none"/>
        </w:rPr>
        <w:t>，</w:t>
      </w:r>
      <w:r>
        <w:rPr>
          <w:rFonts w:hint="eastAsia" w:hAnsi="宋体"/>
          <w:sz w:val="24"/>
          <w:szCs w:val="24"/>
          <w:highlight w:val="none"/>
        </w:rPr>
        <w:t>绿地率为</w:t>
      </w:r>
      <w:r>
        <w:rPr>
          <w:rFonts w:hint="eastAsia" w:hAnsi="宋体"/>
          <w:sz w:val="24"/>
          <w:szCs w:val="24"/>
          <w:highlight w:val="none"/>
          <w:lang w:val="en-US" w:eastAsia="zh-CN"/>
        </w:rPr>
        <w:t>35</w:t>
      </w:r>
      <w:r>
        <w:rPr>
          <w:rFonts w:hint="eastAsia" w:hAnsi="宋体"/>
          <w:sz w:val="24"/>
          <w:szCs w:val="24"/>
          <w:highlight w:val="none"/>
        </w:rPr>
        <w:t>%</w:t>
      </w:r>
      <w:r>
        <w:rPr>
          <w:rFonts w:hAnsi="宋体"/>
          <w:sz w:val="24"/>
          <w:szCs w:val="24"/>
          <w:highlight w:val="none"/>
        </w:rPr>
        <w:t>。</w:t>
      </w:r>
    </w:p>
    <w:p>
      <w:pPr>
        <w:spacing w:line="560" w:lineRule="exact"/>
        <w:ind w:firstLine="482" w:firstLineChars="200"/>
        <w:rPr>
          <w:b/>
          <w:bCs/>
          <w:sz w:val="24"/>
          <w:szCs w:val="24"/>
        </w:rPr>
      </w:pPr>
      <w:r>
        <w:rPr>
          <w:b/>
          <w:bCs/>
          <w:sz w:val="24"/>
          <w:szCs w:val="24"/>
        </w:rPr>
        <w:t>（二）限制条件</w:t>
      </w:r>
    </w:p>
    <w:p>
      <w:pPr>
        <w:spacing w:line="560" w:lineRule="exact"/>
        <w:ind w:firstLine="480" w:firstLineChars="200"/>
        <w:rPr>
          <w:sz w:val="24"/>
          <w:szCs w:val="24"/>
        </w:rPr>
      </w:pPr>
      <w:r>
        <w:rPr>
          <w:sz w:val="24"/>
          <w:szCs w:val="24"/>
        </w:rPr>
        <w:t>1、</w:t>
      </w:r>
      <w:r>
        <w:rPr>
          <w:kern w:val="4"/>
          <w:sz w:val="24"/>
          <w:szCs w:val="24"/>
        </w:rPr>
        <w:t>此</w:t>
      </w:r>
      <w:r>
        <w:rPr>
          <w:sz w:val="24"/>
          <w:szCs w:val="24"/>
        </w:rPr>
        <w:t>次评估是严格按照《中华人民共和国城市房地产管理法》</w:t>
      </w:r>
      <w:r>
        <w:rPr>
          <w:kern w:val="0"/>
          <w:sz w:val="24"/>
          <w:szCs w:val="24"/>
        </w:rPr>
        <w:t>[2007年修正]、</w:t>
      </w:r>
      <w:r>
        <w:rPr>
          <w:sz w:val="24"/>
          <w:szCs w:val="24"/>
        </w:rPr>
        <w:t>《房地产估价规范》[GB/T50291-2015]、《房地产估价基本术语标准》[GB/T50899-2013]和</w:t>
      </w:r>
      <w:r>
        <w:rPr>
          <w:kern w:val="0"/>
          <w:sz w:val="24"/>
          <w:szCs w:val="24"/>
        </w:rPr>
        <w:t>《</w:t>
      </w:r>
      <w:r>
        <w:rPr>
          <w:sz w:val="24"/>
          <w:szCs w:val="24"/>
        </w:rPr>
        <w:t>最高院关于人民法院委托评估、拍卖和变卖工作的若干规定</w:t>
      </w:r>
      <w:r>
        <w:rPr>
          <w:kern w:val="0"/>
          <w:sz w:val="24"/>
          <w:szCs w:val="24"/>
        </w:rPr>
        <w:t>》</w:t>
      </w:r>
      <w:r>
        <w:rPr>
          <w:sz w:val="24"/>
          <w:szCs w:val="24"/>
        </w:rPr>
        <w:t>等有关法律、法规和技术规范的规定执行的。</w:t>
      </w:r>
    </w:p>
    <w:p>
      <w:pPr>
        <w:spacing w:line="560" w:lineRule="exact"/>
        <w:ind w:firstLine="480" w:firstLineChars="200"/>
        <w:rPr>
          <w:sz w:val="24"/>
          <w:szCs w:val="24"/>
        </w:rPr>
      </w:pPr>
      <w:r>
        <w:rPr>
          <w:sz w:val="24"/>
          <w:szCs w:val="24"/>
        </w:rPr>
        <w:t>2、本报告估价结果仅供委托方在本次估价目的下使用，不得做其他用途。</w:t>
      </w:r>
    </w:p>
    <w:p>
      <w:pPr>
        <w:spacing w:line="560" w:lineRule="exact"/>
        <w:ind w:firstLine="480" w:firstLineChars="200"/>
        <w:rPr>
          <w:rFonts w:eastAsia="楷体_GB2312"/>
          <w:b/>
          <w:bCs/>
          <w:sz w:val="32"/>
        </w:rPr>
      </w:pPr>
      <w:r>
        <w:rPr>
          <w:sz w:val="24"/>
          <w:szCs w:val="24"/>
        </w:rPr>
        <w:t>3、</w:t>
      </w:r>
      <w:r>
        <w:rPr>
          <w:kern w:val="4"/>
          <w:sz w:val="24"/>
          <w:szCs w:val="24"/>
        </w:rPr>
        <w:t>估价报告使用者为估价委托人，估价报告使用者在使用本报告时，</w:t>
      </w:r>
      <w:r>
        <w:rPr>
          <w:sz w:val="24"/>
          <w:szCs w:val="24"/>
        </w:rPr>
        <w:t>必须完整使用方为有效，对仅使用本报告中部分内容而导致的损失，我公司不承担任何责任。</w:t>
      </w:r>
    </w:p>
    <w:p>
      <w:pPr>
        <w:spacing w:line="560" w:lineRule="exact"/>
        <w:ind w:firstLine="480" w:firstLineChars="200"/>
        <w:rPr>
          <w:rFonts w:hint="eastAsia"/>
          <w:sz w:val="24"/>
          <w:szCs w:val="24"/>
        </w:rPr>
      </w:pPr>
      <w:r>
        <w:rPr>
          <w:sz w:val="24"/>
          <w:szCs w:val="24"/>
        </w:rPr>
        <w:t>4、本次估价对象作为涉案标的，应由委托人负责审查、核准，本估价报告不做任何替代审查作用或产权证明作用。</w:t>
      </w:r>
      <w:r>
        <w:rPr>
          <w:rFonts w:hint="eastAsia"/>
          <w:sz w:val="24"/>
          <w:szCs w:val="24"/>
        </w:rPr>
        <w:t>我们在进行现场勘查时，被申请人（估价对象权利人）经委托方通知却未到场，我们对估价对象权属状况和证载范围的界定只能根据通常情况进行判断，在委托时和鉴定现场未作特别事项说明而评估人员已履行评估程序后仍无法获知的情况下，评估机构和评估人员不承担相关责任。若估价对象范围发生较大变化并对估价结果产生较大影响时，本评估报告需做相应调整。</w:t>
      </w:r>
    </w:p>
    <w:p>
      <w:pPr>
        <w:spacing w:line="560" w:lineRule="exact"/>
        <w:ind w:firstLine="480" w:firstLineChars="200"/>
        <w:rPr>
          <w:sz w:val="24"/>
          <w:szCs w:val="24"/>
        </w:rPr>
      </w:pPr>
      <w:r>
        <w:rPr>
          <w:rFonts w:hint="eastAsia"/>
          <w:sz w:val="24"/>
          <w:szCs w:val="24"/>
        </w:rPr>
        <w:t>5、未经本估价机构书面同意，任何单位或个</w:t>
      </w:r>
      <w:r>
        <w:rPr>
          <w:sz w:val="24"/>
          <w:szCs w:val="24"/>
        </w:rPr>
        <w:t>人不得将本报告的全部或部分内容发表于任何公开媒体上。</w:t>
      </w:r>
    </w:p>
    <w:p>
      <w:pPr>
        <w:spacing w:line="560" w:lineRule="exact"/>
        <w:ind w:firstLine="480" w:firstLineChars="200"/>
        <w:rPr>
          <w:sz w:val="24"/>
          <w:szCs w:val="24"/>
        </w:rPr>
      </w:pPr>
      <w:r>
        <w:rPr>
          <w:sz w:val="24"/>
          <w:szCs w:val="24"/>
        </w:rPr>
        <w:t>6、本估价报告经估价机构加盖公章、法定代表人签名及注册房地产估价师签名后方可有效。</w:t>
      </w:r>
    </w:p>
    <w:p>
      <w:pPr>
        <w:spacing w:line="560" w:lineRule="exact"/>
        <w:ind w:firstLine="480" w:firstLineChars="200"/>
        <w:rPr>
          <w:sz w:val="24"/>
          <w:szCs w:val="24"/>
        </w:rPr>
      </w:pPr>
      <w:r>
        <w:rPr>
          <w:sz w:val="24"/>
          <w:szCs w:val="24"/>
        </w:rPr>
        <w:t>7、估价报告使用期限自本估价报告出具之日</w:t>
      </w:r>
      <w:r>
        <w:rPr>
          <w:rFonts w:hint="eastAsia"/>
          <w:sz w:val="24"/>
          <w:szCs w:val="24"/>
          <w:lang w:eastAsia="zh-CN"/>
        </w:rPr>
        <w:t>2019年10月11日</w:t>
      </w:r>
      <w:r>
        <w:rPr>
          <w:sz w:val="24"/>
          <w:szCs w:val="24"/>
        </w:rPr>
        <w:t>起为壹年。</w:t>
      </w:r>
    </w:p>
    <w:p>
      <w:pPr>
        <w:spacing w:line="560" w:lineRule="exact"/>
        <w:ind w:firstLine="480" w:firstLineChars="200"/>
        <w:rPr>
          <w:sz w:val="24"/>
          <w:szCs w:val="24"/>
        </w:rPr>
      </w:pPr>
    </w:p>
    <w:p>
      <w:pPr>
        <w:spacing w:line="560" w:lineRule="exact"/>
        <w:ind w:firstLine="480" w:firstLineChars="200"/>
        <w:rPr>
          <w:sz w:val="24"/>
          <w:szCs w:val="24"/>
        </w:rPr>
      </w:pPr>
    </w:p>
    <w:p>
      <w:pPr>
        <w:spacing w:line="560" w:lineRule="exact"/>
        <w:ind w:firstLine="480" w:firstLineChars="200"/>
        <w:rPr>
          <w:sz w:val="24"/>
          <w:szCs w:val="24"/>
        </w:rPr>
      </w:pPr>
    </w:p>
    <w:p>
      <w:pPr>
        <w:spacing w:line="560" w:lineRule="exact"/>
        <w:ind w:firstLine="480" w:firstLineChars="200"/>
        <w:rPr>
          <w:sz w:val="24"/>
          <w:szCs w:val="24"/>
        </w:rPr>
      </w:pPr>
    </w:p>
    <w:p>
      <w:pPr>
        <w:spacing w:line="560" w:lineRule="exact"/>
        <w:ind w:firstLine="480" w:firstLineChars="200"/>
        <w:rPr>
          <w:sz w:val="24"/>
          <w:szCs w:val="24"/>
        </w:rPr>
      </w:pPr>
    </w:p>
    <w:p>
      <w:pPr>
        <w:spacing w:line="560" w:lineRule="exact"/>
        <w:ind w:firstLine="480" w:firstLineChars="200"/>
        <w:rPr>
          <w:sz w:val="24"/>
          <w:szCs w:val="24"/>
        </w:rPr>
      </w:pPr>
    </w:p>
    <w:p>
      <w:pPr>
        <w:spacing w:line="560" w:lineRule="exact"/>
        <w:ind w:firstLine="480" w:firstLineChars="200"/>
        <w:rPr>
          <w:sz w:val="24"/>
          <w:szCs w:val="24"/>
        </w:rPr>
      </w:pPr>
    </w:p>
    <w:p>
      <w:pPr>
        <w:spacing w:line="560" w:lineRule="exact"/>
        <w:ind w:firstLine="480" w:firstLineChars="200"/>
        <w:rPr>
          <w:sz w:val="24"/>
          <w:szCs w:val="24"/>
        </w:rPr>
      </w:pPr>
    </w:p>
    <w:p>
      <w:pPr>
        <w:spacing w:line="560" w:lineRule="exact"/>
        <w:ind w:firstLine="480" w:firstLineChars="200"/>
        <w:rPr>
          <w:rFonts w:hint="eastAsia"/>
          <w:sz w:val="24"/>
          <w:szCs w:val="24"/>
        </w:rPr>
      </w:pPr>
    </w:p>
    <w:p>
      <w:pPr>
        <w:spacing w:line="560" w:lineRule="exact"/>
        <w:ind w:firstLine="480" w:firstLineChars="200"/>
        <w:rPr>
          <w:rFonts w:hint="eastAsia"/>
          <w:sz w:val="24"/>
          <w:szCs w:val="24"/>
        </w:rPr>
      </w:pPr>
    </w:p>
    <w:p>
      <w:pPr>
        <w:spacing w:line="560" w:lineRule="exact"/>
        <w:ind w:firstLine="480" w:firstLineChars="200"/>
        <w:rPr>
          <w:rFonts w:hint="eastAsia"/>
          <w:sz w:val="24"/>
          <w:szCs w:val="24"/>
        </w:rPr>
      </w:pPr>
    </w:p>
    <w:p>
      <w:pPr>
        <w:spacing w:line="560" w:lineRule="exact"/>
        <w:rPr>
          <w:sz w:val="24"/>
          <w:szCs w:val="24"/>
        </w:rPr>
      </w:pPr>
    </w:p>
    <w:p>
      <w:pPr>
        <w:pStyle w:val="2"/>
      </w:pPr>
      <w:bookmarkStart w:id="29" w:name="_Toc13125399"/>
      <w:bookmarkStart w:id="30" w:name="_Toc303760493"/>
      <w:bookmarkStart w:id="31" w:name="_Toc303761199"/>
      <w:bookmarkStart w:id="32" w:name="_Toc303760129"/>
      <w:bookmarkStart w:id="33" w:name="_Toc303760760"/>
      <w:bookmarkStart w:id="34" w:name="_Toc303760594"/>
      <w:bookmarkStart w:id="35" w:name="_Toc303759521"/>
      <w:bookmarkStart w:id="36" w:name="_Toc303759710"/>
      <w:r>
        <w:t>房地产估价结果报告</w:t>
      </w:r>
      <w:bookmarkEnd w:id="29"/>
      <w:bookmarkEnd w:id="30"/>
      <w:bookmarkEnd w:id="31"/>
      <w:bookmarkEnd w:id="32"/>
      <w:bookmarkEnd w:id="33"/>
      <w:bookmarkEnd w:id="34"/>
      <w:bookmarkEnd w:id="35"/>
      <w:bookmarkEnd w:id="36"/>
    </w:p>
    <w:p>
      <w:pPr>
        <w:pStyle w:val="3"/>
        <w:rPr>
          <w:rFonts w:ascii="Times New Roman" w:hAnsi="Times New Roman"/>
        </w:rPr>
      </w:pPr>
      <w:bookmarkStart w:id="37" w:name="_Toc303761200"/>
      <w:bookmarkStart w:id="38" w:name="_Toc303760595"/>
      <w:bookmarkStart w:id="39" w:name="_Toc303760761"/>
      <w:bookmarkStart w:id="40" w:name="_Toc303760130"/>
      <w:bookmarkStart w:id="41" w:name="_Toc303760494"/>
      <w:bookmarkStart w:id="42" w:name="_Toc13125400"/>
      <w:r>
        <w:rPr>
          <w:rFonts w:ascii="Times New Roman" w:hAnsi="Times New Roman"/>
        </w:rPr>
        <w:t>（一）估价委托</w:t>
      </w:r>
      <w:bookmarkEnd w:id="37"/>
      <w:bookmarkEnd w:id="38"/>
      <w:bookmarkEnd w:id="39"/>
      <w:bookmarkEnd w:id="40"/>
      <w:bookmarkEnd w:id="41"/>
      <w:r>
        <w:rPr>
          <w:rFonts w:ascii="Times New Roman" w:hAnsi="Times New Roman"/>
        </w:rPr>
        <w:t>人</w:t>
      </w:r>
      <w:bookmarkEnd w:id="42"/>
    </w:p>
    <w:p>
      <w:pPr>
        <w:spacing w:line="560" w:lineRule="exact"/>
        <w:ind w:firstLine="480" w:firstLineChars="200"/>
        <w:rPr>
          <w:rFonts w:hint="eastAsia" w:eastAsia="宋体"/>
          <w:sz w:val="24"/>
          <w:lang w:eastAsia="zh-CN"/>
        </w:rPr>
      </w:pPr>
      <w:r>
        <w:rPr>
          <w:sz w:val="24"/>
          <w:szCs w:val="24"/>
        </w:rPr>
        <w:t>1、估价委托人姓名：</w:t>
      </w:r>
      <w:r>
        <w:rPr>
          <w:rFonts w:hint="eastAsia"/>
          <w:sz w:val="24"/>
          <w:lang w:eastAsia="zh-CN"/>
        </w:rPr>
        <w:t>凤阳县人民法院</w:t>
      </w:r>
    </w:p>
    <w:p>
      <w:pPr>
        <w:spacing w:line="560" w:lineRule="exact"/>
        <w:ind w:firstLine="480" w:firstLineChars="200"/>
        <w:rPr>
          <w:rFonts w:hint="eastAsia" w:eastAsia="宋体"/>
          <w:sz w:val="24"/>
          <w:szCs w:val="24"/>
          <w:lang w:eastAsia="zh-CN"/>
        </w:rPr>
      </w:pPr>
      <w:r>
        <w:rPr>
          <w:sz w:val="24"/>
          <w:szCs w:val="24"/>
        </w:rPr>
        <w:t>2、估价委托人住址：</w:t>
      </w:r>
      <w:r>
        <w:rPr>
          <w:rFonts w:hint="eastAsia"/>
          <w:sz w:val="24"/>
          <w:szCs w:val="24"/>
          <w:lang w:eastAsia="zh-CN"/>
        </w:rPr>
        <w:t>安徽省滁州市凤阳县西华路</w:t>
      </w:r>
    </w:p>
    <w:p>
      <w:pPr>
        <w:pStyle w:val="3"/>
        <w:rPr>
          <w:rFonts w:ascii="Times New Roman" w:hAnsi="Times New Roman"/>
        </w:rPr>
      </w:pPr>
      <w:bookmarkStart w:id="43" w:name="_Toc303760495"/>
      <w:bookmarkStart w:id="44" w:name="_Toc303760131"/>
      <w:bookmarkStart w:id="45" w:name="_Toc303760596"/>
      <w:bookmarkStart w:id="46" w:name="_Toc303760762"/>
      <w:bookmarkStart w:id="47" w:name="_Toc303761201"/>
      <w:bookmarkStart w:id="48" w:name="_Toc13125401"/>
      <w:r>
        <w:rPr>
          <w:rFonts w:ascii="Times New Roman" w:hAnsi="Times New Roman"/>
        </w:rPr>
        <w:t>（二）房地产估价</w:t>
      </w:r>
      <w:bookmarkEnd w:id="43"/>
      <w:bookmarkEnd w:id="44"/>
      <w:bookmarkEnd w:id="45"/>
      <w:bookmarkEnd w:id="46"/>
      <w:bookmarkEnd w:id="47"/>
      <w:r>
        <w:rPr>
          <w:rFonts w:ascii="Times New Roman" w:hAnsi="Times New Roman"/>
        </w:rPr>
        <w:t>机构</w:t>
      </w:r>
      <w:bookmarkEnd w:id="48"/>
      <w:r>
        <w:rPr>
          <w:rFonts w:ascii="Times New Roman" w:hAnsi="Times New Roman"/>
        </w:rPr>
        <w:t xml:space="preserve"> </w:t>
      </w:r>
    </w:p>
    <w:p>
      <w:pPr>
        <w:spacing w:line="560" w:lineRule="exact"/>
        <w:ind w:firstLine="470" w:firstLineChars="196"/>
        <w:rPr>
          <w:sz w:val="24"/>
          <w:szCs w:val="24"/>
        </w:rPr>
      </w:pPr>
      <w:bookmarkStart w:id="49" w:name="_Toc339032196"/>
      <w:r>
        <w:rPr>
          <w:sz w:val="24"/>
          <w:szCs w:val="24"/>
        </w:rPr>
        <w:t>1、房地产估价机构名称：安徽大众房地产资产评估造价有限公司</w:t>
      </w:r>
    </w:p>
    <w:p>
      <w:pPr>
        <w:spacing w:line="560" w:lineRule="exact"/>
        <w:ind w:firstLine="480" w:firstLineChars="200"/>
        <w:rPr>
          <w:sz w:val="24"/>
          <w:szCs w:val="24"/>
        </w:rPr>
      </w:pPr>
      <w:r>
        <w:rPr>
          <w:sz w:val="24"/>
          <w:szCs w:val="24"/>
        </w:rPr>
        <w:t>2、法定代表人：王胜军</w:t>
      </w:r>
    </w:p>
    <w:p>
      <w:pPr>
        <w:spacing w:line="560" w:lineRule="exact"/>
        <w:ind w:firstLine="480" w:firstLineChars="200"/>
        <w:rPr>
          <w:sz w:val="24"/>
          <w:szCs w:val="24"/>
        </w:rPr>
      </w:pPr>
      <w:r>
        <w:rPr>
          <w:sz w:val="24"/>
          <w:szCs w:val="24"/>
        </w:rPr>
        <w:t xml:space="preserve">3、房地产估价机构地址：安徽省淮南市广场北路信谊置地广场CD座426室 </w:t>
      </w:r>
    </w:p>
    <w:p>
      <w:pPr>
        <w:spacing w:line="560" w:lineRule="exact"/>
        <w:ind w:firstLine="480" w:firstLineChars="200"/>
        <w:rPr>
          <w:sz w:val="24"/>
          <w:szCs w:val="24"/>
        </w:rPr>
      </w:pPr>
      <w:r>
        <w:rPr>
          <w:sz w:val="24"/>
          <w:szCs w:val="24"/>
        </w:rPr>
        <w:t>4、统一社会信用代码：9134040074307908XG</w:t>
      </w:r>
    </w:p>
    <w:p>
      <w:pPr>
        <w:spacing w:line="560" w:lineRule="exact"/>
        <w:ind w:firstLine="480" w:firstLineChars="200"/>
        <w:rPr>
          <w:sz w:val="24"/>
          <w:szCs w:val="24"/>
        </w:rPr>
      </w:pPr>
      <w:r>
        <w:rPr>
          <w:sz w:val="24"/>
          <w:szCs w:val="24"/>
        </w:rPr>
        <w:t>5、估价资格和等级</w:t>
      </w:r>
    </w:p>
    <w:p>
      <w:pPr>
        <w:spacing w:line="560" w:lineRule="exact"/>
        <w:ind w:firstLine="480" w:firstLineChars="200"/>
        <w:rPr>
          <w:sz w:val="24"/>
          <w:szCs w:val="24"/>
        </w:rPr>
      </w:pPr>
      <w:r>
        <w:rPr>
          <w:sz w:val="24"/>
          <w:szCs w:val="24"/>
        </w:rPr>
        <w:t xml:space="preserve">   房地产估价机构：一级 </w:t>
      </w:r>
    </w:p>
    <w:p>
      <w:pPr>
        <w:spacing w:line="560" w:lineRule="exact"/>
        <w:ind w:firstLine="480" w:firstLineChars="200"/>
        <w:rPr>
          <w:sz w:val="24"/>
          <w:szCs w:val="24"/>
        </w:rPr>
      </w:pPr>
      <w:r>
        <w:rPr>
          <w:sz w:val="24"/>
          <w:szCs w:val="24"/>
        </w:rPr>
        <w:t xml:space="preserve">   证书编号：建房估证字[2013]125号</w:t>
      </w:r>
    </w:p>
    <w:p>
      <w:pPr>
        <w:spacing w:line="560" w:lineRule="exact"/>
        <w:ind w:firstLine="480" w:firstLineChars="200"/>
        <w:rPr>
          <w:sz w:val="24"/>
          <w:szCs w:val="24"/>
        </w:rPr>
      </w:pPr>
      <w:r>
        <w:rPr>
          <w:sz w:val="24"/>
          <w:szCs w:val="24"/>
        </w:rPr>
        <w:t>6、联系电话：0554-6886707</w:t>
      </w:r>
    </w:p>
    <w:p>
      <w:pPr>
        <w:pStyle w:val="3"/>
        <w:rPr>
          <w:rFonts w:ascii="Times New Roman" w:hAnsi="Times New Roman"/>
        </w:rPr>
      </w:pPr>
      <w:bookmarkStart w:id="50" w:name="_Toc13125402"/>
      <w:r>
        <w:rPr>
          <w:rFonts w:ascii="Times New Roman" w:hAnsi="Times New Roman"/>
        </w:rPr>
        <w:t>（三）估价目的</w:t>
      </w:r>
      <w:bookmarkEnd w:id="49"/>
      <w:bookmarkEnd w:id="50"/>
    </w:p>
    <w:p>
      <w:pPr>
        <w:spacing w:line="560" w:lineRule="exact"/>
        <w:ind w:firstLine="480" w:firstLineChars="200"/>
        <w:rPr>
          <w:sz w:val="24"/>
          <w:szCs w:val="24"/>
        </w:rPr>
      </w:pPr>
      <w:r>
        <w:rPr>
          <w:sz w:val="24"/>
          <w:szCs w:val="24"/>
        </w:rPr>
        <w:t>为法院执行案件提供估价对象价值作参考依据。</w:t>
      </w:r>
    </w:p>
    <w:p>
      <w:pPr>
        <w:pStyle w:val="3"/>
        <w:rPr>
          <w:rFonts w:ascii="Times New Roman" w:hAnsi="Times New Roman"/>
        </w:rPr>
      </w:pPr>
      <w:bookmarkStart w:id="51" w:name="_Toc303760496"/>
      <w:bookmarkStart w:id="52" w:name="_Toc303761202"/>
      <w:bookmarkStart w:id="53" w:name="_Toc303760763"/>
      <w:bookmarkStart w:id="54" w:name="_Toc13125403"/>
      <w:bookmarkStart w:id="55" w:name="_Toc303760132"/>
      <w:bookmarkStart w:id="56" w:name="_Toc303760597"/>
      <w:r>
        <w:rPr>
          <w:rFonts w:ascii="Times New Roman" w:hAnsi="Times New Roman"/>
        </w:rPr>
        <w:t>（四）估价对象</w:t>
      </w:r>
      <w:bookmarkEnd w:id="51"/>
      <w:bookmarkEnd w:id="52"/>
      <w:bookmarkEnd w:id="53"/>
      <w:bookmarkEnd w:id="54"/>
      <w:bookmarkEnd w:id="55"/>
      <w:bookmarkEnd w:id="56"/>
    </w:p>
    <w:p>
      <w:pPr>
        <w:spacing w:line="560" w:lineRule="exact"/>
        <w:ind w:firstLine="480" w:firstLineChars="200"/>
        <w:jc w:val="left"/>
        <w:rPr>
          <w:sz w:val="24"/>
        </w:rPr>
      </w:pPr>
      <w:r>
        <w:rPr>
          <w:sz w:val="24"/>
        </w:rPr>
        <w:t>1、估价对象范围：</w:t>
      </w:r>
      <w:r>
        <w:rPr>
          <w:bCs/>
          <w:sz w:val="24"/>
          <w:szCs w:val="24"/>
        </w:rPr>
        <w:t>估价对象为</w:t>
      </w:r>
      <w:r>
        <w:rPr>
          <w:rFonts w:hint="eastAsia"/>
          <w:sz w:val="24"/>
          <w:szCs w:val="24"/>
          <w:lang w:eastAsia="zh-CN"/>
        </w:rPr>
        <w:t>滁州市凤阳县门台镇工业园区合蚌路南侧龙凤山庄8幢101室</w:t>
      </w:r>
      <w:r>
        <w:rPr>
          <w:sz w:val="24"/>
          <w:szCs w:val="24"/>
        </w:rPr>
        <w:t>住宅用途房地产</w:t>
      </w:r>
      <w:r>
        <w:rPr>
          <w:rFonts w:hint="eastAsia"/>
          <w:sz w:val="24"/>
          <w:szCs w:val="24"/>
        </w:rPr>
        <w:t>，</w:t>
      </w:r>
      <w:r>
        <w:rPr>
          <w:sz w:val="24"/>
        </w:rPr>
        <w:t>此次评估范围</w:t>
      </w:r>
      <w:r>
        <w:rPr>
          <w:sz w:val="24"/>
          <w:szCs w:val="24"/>
        </w:rPr>
        <w:t>包括建筑物</w:t>
      </w:r>
      <w:r>
        <w:rPr>
          <w:rFonts w:hint="eastAsia"/>
          <w:sz w:val="24"/>
          <w:szCs w:val="24"/>
        </w:rPr>
        <w:t>、</w:t>
      </w:r>
      <w:r>
        <w:rPr>
          <w:sz w:val="24"/>
          <w:szCs w:val="24"/>
        </w:rPr>
        <w:t>室内装修及分摊的国有出让土地使用权，不包括可移动的家具、电器等物品、债权债务、特许经营权等其他财产或权益</w:t>
      </w:r>
      <w:r>
        <w:rPr>
          <w:sz w:val="24"/>
        </w:rPr>
        <w:t>。</w:t>
      </w:r>
    </w:p>
    <w:p>
      <w:pPr>
        <w:tabs>
          <w:tab w:val="left" w:pos="1305"/>
        </w:tabs>
        <w:spacing w:line="560" w:lineRule="exact"/>
        <w:ind w:firstLine="480" w:firstLineChars="200"/>
        <w:rPr>
          <w:sz w:val="24"/>
        </w:rPr>
      </w:pPr>
      <w:r>
        <w:rPr>
          <w:sz w:val="24"/>
        </w:rPr>
        <w:t>2、估价对象基本状况</w:t>
      </w:r>
    </w:p>
    <w:p>
      <w:pPr>
        <w:tabs>
          <w:tab w:val="left" w:pos="1305"/>
        </w:tabs>
        <w:spacing w:line="560" w:lineRule="exact"/>
        <w:ind w:firstLine="480" w:firstLineChars="200"/>
        <w:rPr>
          <w:sz w:val="24"/>
        </w:rPr>
      </w:pPr>
      <w:r>
        <w:rPr>
          <w:sz w:val="24"/>
        </w:rPr>
        <w:t>（1）土地基本状况</w:t>
      </w:r>
    </w:p>
    <w:p>
      <w:pPr>
        <w:spacing w:line="560" w:lineRule="exact"/>
        <w:ind w:firstLine="720" w:firstLineChars="300"/>
        <w:rPr>
          <w:sz w:val="24"/>
        </w:rPr>
      </w:pPr>
      <w:r>
        <w:rPr>
          <w:sz w:val="24"/>
        </w:rPr>
        <w:t>① 土地实物状况</w:t>
      </w:r>
    </w:p>
    <w:tbl>
      <w:tblPr>
        <w:tblStyle w:val="28"/>
        <w:tblW w:w="9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0"/>
        <w:gridCol w:w="7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750" w:type="dxa"/>
            <w:vAlign w:val="center"/>
          </w:tcPr>
          <w:p>
            <w:pPr>
              <w:widowControl/>
              <w:jc w:val="center"/>
              <w:rPr>
                <w:kern w:val="0"/>
                <w:szCs w:val="21"/>
              </w:rPr>
            </w:pPr>
            <w:r>
              <w:rPr>
                <w:kern w:val="0"/>
                <w:szCs w:val="21"/>
              </w:rPr>
              <w:t>名称（坐落）</w:t>
            </w:r>
          </w:p>
        </w:tc>
        <w:tc>
          <w:tcPr>
            <w:tcW w:w="7510" w:type="dxa"/>
            <w:vAlign w:val="center"/>
          </w:tcPr>
          <w:p>
            <w:pPr>
              <w:widowControl/>
              <w:rPr>
                <w:rFonts w:hint="eastAsia" w:eastAsia="宋体"/>
                <w:kern w:val="0"/>
                <w:szCs w:val="21"/>
                <w:lang w:eastAsia="zh-CN"/>
              </w:rPr>
            </w:pPr>
            <w:r>
              <w:rPr>
                <w:rFonts w:hint="eastAsia"/>
                <w:szCs w:val="21"/>
                <w:lang w:eastAsia="zh-CN"/>
              </w:rPr>
              <w:t>滁州市凤阳县门台镇工业园区合蚌路南侧龙凤山庄8幢101室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750" w:type="dxa"/>
            <w:vAlign w:val="center"/>
          </w:tcPr>
          <w:p>
            <w:pPr>
              <w:widowControl/>
              <w:jc w:val="center"/>
              <w:rPr>
                <w:kern w:val="0"/>
                <w:szCs w:val="21"/>
              </w:rPr>
            </w:pPr>
            <w:r>
              <w:rPr>
                <w:kern w:val="0"/>
                <w:szCs w:val="21"/>
              </w:rPr>
              <w:t>四至</w:t>
            </w:r>
          </w:p>
        </w:tc>
        <w:tc>
          <w:tcPr>
            <w:tcW w:w="7510" w:type="dxa"/>
            <w:vAlign w:val="center"/>
          </w:tcPr>
          <w:p>
            <w:pPr>
              <w:widowControl/>
              <w:rPr>
                <w:kern w:val="0"/>
                <w:szCs w:val="21"/>
              </w:rPr>
            </w:pPr>
            <w:r>
              <w:rPr>
                <w:kern w:val="0"/>
                <w:szCs w:val="21"/>
              </w:rPr>
              <w:t>估价对象所在项目用地</w:t>
            </w:r>
            <w:r>
              <w:rPr>
                <w:rFonts w:hint="eastAsia"/>
                <w:kern w:val="0"/>
                <w:szCs w:val="21"/>
                <w:lang w:eastAsia="zh-CN"/>
              </w:rPr>
              <w:t>东至琴音路，南至凤祥大道，西至永青路，北至合蚌路</w:t>
            </w:r>
            <w:r>
              <w:rPr>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750" w:type="dxa"/>
            <w:vAlign w:val="center"/>
          </w:tcPr>
          <w:p>
            <w:pPr>
              <w:widowControl/>
              <w:jc w:val="center"/>
              <w:rPr>
                <w:kern w:val="0"/>
                <w:szCs w:val="21"/>
              </w:rPr>
            </w:pPr>
            <w:r>
              <w:rPr>
                <w:kern w:val="0"/>
                <w:szCs w:val="21"/>
              </w:rPr>
              <w:t>分摊面积</w:t>
            </w:r>
          </w:p>
        </w:tc>
        <w:tc>
          <w:tcPr>
            <w:tcW w:w="7510" w:type="dxa"/>
            <w:vAlign w:val="center"/>
          </w:tcPr>
          <w:p>
            <w:pPr>
              <w:widowControl/>
              <w:rPr>
                <w:kern w:val="0"/>
                <w:szCs w:val="21"/>
              </w:rPr>
            </w:pPr>
            <w:r>
              <w:rPr>
                <w:rFonts w:hint="eastAsia"/>
                <w:kern w:val="0"/>
                <w:szCs w:val="21"/>
                <w:lang w:val="en-US" w:eastAsia="zh-CN"/>
              </w:rPr>
              <w:t>98.23</w:t>
            </w:r>
            <w:r>
              <w:rPr>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50" w:type="dxa"/>
            <w:vAlign w:val="center"/>
          </w:tcPr>
          <w:p>
            <w:pPr>
              <w:widowControl/>
              <w:jc w:val="center"/>
              <w:rPr>
                <w:kern w:val="0"/>
                <w:szCs w:val="21"/>
              </w:rPr>
            </w:pPr>
            <w:r>
              <w:rPr>
                <w:kern w:val="0"/>
                <w:szCs w:val="21"/>
              </w:rPr>
              <w:t>用途</w:t>
            </w:r>
          </w:p>
        </w:tc>
        <w:tc>
          <w:tcPr>
            <w:tcW w:w="7510" w:type="dxa"/>
            <w:vAlign w:val="center"/>
          </w:tcPr>
          <w:p>
            <w:pPr>
              <w:widowControl/>
              <w:rPr>
                <w:kern w:val="0"/>
                <w:szCs w:val="21"/>
              </w:rPr>
            </w:pPr>
            <w:r>
              <w:rPr>
                <w:kern w:val="0"/>
                <w:szCs w:val="21"/>
              </w:rPr>
              <w:t>规划用途为住宅用地，实际用途为住宅用地。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750" w:type="dxa"/>
            <w:vAlign w:val="center"/>
          </w:tcPr>
          <w:p>
            <w:pPr>
              <w:widowControl/>
              <w:jc w:val="center"/>
              <w:rPr>
                <w:kern w:val="0"/>
                <w:szCs w:val="21"/>
              </w:rPr>
            </w:pPr>
            <w:r>
              <w:rPr>
                <w:kern w:val="0"/>
                <w:szCs w:val="21"/>
              </w:rPr>
              <w:t>形状</w:t>
            </w:r>
          </w:p>
        </w:tc>
        <w:tc>
          <w:tcPr>
            <w:tcW w:w="7510" w:type="dxa"/>
            <w:vAlign w:val="center"/>
          </w:tcPr>
          <w:p>
            <w:pPr>
              <w:widowControl/>
              <w:rPr>
                <w:kern w:val="0"/>
                <w:szCs w:val="21"/>
              </w:rPr>
            </w:pPr>
            <w:r>
              <w:rPr>
                <w:kern w:val="0"/>
                <w:szCs w:val="21"/>
              </w:rPr>
              <w:t>形状较规则，对宗地利用较有利。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750" w:type="dxa"/>
            <w:vAlign w:val="center"/>
          </w:tcPr>
          <w:p>
            <w:pPr>
              <w:widowControl/>
              <w:jc w:val="center"/>
              <w:rPr>
                <w:kern w:val="0"/>
                <w:szCs w:val="21"/>
              </w:rPr>
            </w:pPr>
            <w:r>
              <w:rPr>
                <w:kern w:val="0"/>
                <w:szCs w:val="21"/>
              </w:rPr>
              <w:t>地形地势</w:t>
            </w:r>
          </w:p>
        </w:tc>
        <w:tc>
          <w:tcPr>
            <w:tcW w:w="7510" w:type="dxa"/>
            <w:vAlign w:val="center"/>
          </w:tcPr>
          <w:p>
            <w:pPr>
              <w:widowControl/>
              <w:rPr>
                <w:kern w:val="0"/>
                <w:szCs w:val="21"/>
              </w:rPr>
            </w:pPr>
            <w:r>
              <w:rPr>
                <w:kern w:val="0"/>
                <w:szCs w:val="21"/>
              </w:rPr>
              <w:t>地势较平坦。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750" w:type="dxa"/>
            <w:vAlign w:val="center"/>
          </w:tcPr>
          <w:p>
            <w:pPr>
              <w:widowControl/>
              <w:jc w:val="center"/>
              <w:rPr>
                <w:kern w:val="0"/>
                <w:szCs w:val="21"/>
              </w:rPr>
            </w:pPr>
            <w:r>
              <w:rPr>
                <w:kern w:val="0"/>
                <w:szCs w:val="21"/>
              </w:rPr>
              <w:t>土壤地基</w:t>
            </w:r>
          </w:p>
        </w:tc>
        <w:tc>
          <w:tcPr>
            <w:tcW w:w="7510" w:type="dxa"/>
            <w:vAlign w:val="center"/>
          </w:tcPr>
          <w:p>
            <w:pPr>
              <w:widowControl/>
              <w:rPr>
                <w:kern w:val="0"/>
                <w:szCs w:val="21"/>
              </w:rPr>
            </w:pPr>
            <w:r>
              <w:rPr>
                <w:kern w:val="0"/>
                <w:szCs w:val="21"/>
              </w:rPr>
              <w:t>土壤无污染、地基承载力较好，地质条件较好。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750" w:type="dxa"/>
            <w:vAlign w:val="center"/>
          </w:tcPr>
          <w:p>
            <w:pPr>
              <w:widowControl/>
              <w:jc w:val="center"/>
              <w:rPr>
                <w:kern w:val="0"/>
                <w:szCs w:val="21"/>
              </w:rPr>
            </w:pPr>
            <w:r>
              <w:rPr>
                <w:kern w:val="0"/>
                <w:szCs w:val="21"/>
              </w:rPr>
              <w:t>土地开发程度</w:t>
            </w:r>
          </w:p>
        </w:tc>
        <w:tc>
          <w:tcPr>
            <w:tcW w:w="7510" w:type="dxa"/>
            <w:vAlign w:val="center"/>
          </w:tcPr>
          <w:p>
            <w:pPr>
              <w:widowControl/>
              <w:rPr>
                <w:kern w:val="0"/>
                <w:szCs w:val="21"/>
              </w:rPr>
            </w:pPr>
            <w:r>
              <w:rPr>
                <w:rFonts w:hint="eastAsia"/>
                <w:kern w:val="0"/>
                <w:szCs w:val="21"/>
                <w:lang w:eastAsia="zh-CN"/>
              </w:rPr>
              <w:t>五通一平</w:t>
            </w:r>
            <w:r>
              <w:rPr>
                <w:kern w:val="0"/>
                <w:szCs w:val="21"/>
              </w:rPr>
              <w:t>（通路、通水、排水、通电、通讯</w:t>
            </w:r>
            <w:r>
              <w:rPr>
                <w:rFonts w:hint="eastAsia"/>
                <w:kern w:val="0"/>
                <w:szCs w:val="21"/>
                <w:lang w:eastAsia="zh-CN"/>
              </w:rPr>
              <w:t>及</w:t>
            </w:r>
            <w:r>
              <w:rPr>
                <w:kern w:val="0"/>
                <w:szCs w:val="21"/>
              </w:rPr>
              <w:t>场地平整）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750" w:type="dxa"/>
            <w:vAlign w:val="center"/>
          </w:tcPr>
          <w:p>
            <w:pPr>
              <w:widowControl/>
              <w:jc w:val="center"/>
              <w:rPr>
                <w:kern w:val="0"/>
                <w:szCs w:val="21"/>
              </w:rPr>
            </w:pPr>
            <w:r>
              <w:rPr>
                <w:kern w:val="0"/>
                <w:szCs w:val="21"/>
              </w:rPr>
              <w:t>综合分析</w:t>
            </w:r>
          </w:p>
        </w:tc>
        <w:tc>
          <w:tcPr>
            <w:tcW w:w="7510" w:type="dxa"/>
            <w:vAlign w:val="center"/>
          </w:tcPr>
          <w:p>
            <w:pPr>
              <w:widowControl/>
              <w:rPr>
                <w:kern w:val="0"/>
                <w:szCs w:val="21"/>
              </w:rPr>
            </w:pPr>
            <w:r>
              <w:rPr>
                <w:kern w:val="0"/>
                <w:szCs w:val="21"/>
              </w:rPr>
              <w:t>估价对象所在宗地地理位置</w:t>
            </w:r>
            <w:r>
              <w:rPr>
                <w:rFonts w:hint="eastAsia"/>
                <w:kern w:val="0"/>
                <w:szCs w:val="21"/>
              </w:rPr>
              <w:t>一般</w:t>
            </w:r>
            <w:r>
              <w:rPr>
                <w:kern w:val="0"/>
                <w:szCs w:val="21"/>
              </w:rPr>
              <w:t>，形状较规则，地势较平坦，地质条件较好，土地开发程度较高，能较好的满足住宅房地产的功能需求。</w:t>
            </w:r>
          </w:p>
        </w:tc>
      </w:tr>
    </w:tbl>
    <w:p>
      <w:pPr>
        <w:spacing w:line="560" w:lineRule="exact"/>
        <w:ind w:firstLine="720" w:firstLineChars="300"/>
        <w:rPr>
          <w:sz w:val="24"/>
          <w:szCs w:val="24"/>
        </w:rPr>
      </w:pPr>
      <w:r>
        <w:rPr>
          <w:sz w:val="24"/>
          <w:szCs w:val="24"/>
        </w:rPr>
        <w:t>② 土地权益状况</w:t>
      </w:r>
    </w:p>
    <w:tbl>
      <w:tblPr>
        <w:tblStyle w:val="28"/>
        <w:tblW w:w="9323" w:type="dxa"/>
        <w:jc w:val="center"/>
        <w:tblLayout w:type="fixed"/>
        <w:tblCellMar>
          <w:top w:w="0" w:type="dxa"/>
          <w:left w:w="108" w:type="dxa"/>
          <w:bottom w:w="0" w:type="dxa"/>
          <w:right w:w="108" w:type="dxa"/>
        </w:tblCellMar>
      </w:tblPr>
      <w:tblGrid>
        <w:gridCol w:w="2156"/>
        <w:gridCol w:w="2520"/>
        <w:gridCol w:w="6"/>
        <w:gridCol w:w="2189"/>
        <w:gridCol w:w="2452"/>
      </w:tblGrid>
      <w:tr>
        <w:tblPrEx>
          <w:tblCellMar>
            <w:top w:w="0" w:type="dxa"/>
            <w:left w:w="108" w:type="dxa"/>
            <w:bottom w:w="0" w:type="dxa"/>
            <w:right w:w="108" w:type="dxa"/>
          </w:tblCellMar>
        </w:tblPrEx>
        <w:trPr>
          <w:trHeight w:val="330" w:hRule="atLeast"/>
          <w:jc w:val="center"/>
        </w:trPr>
        <w:tc>
          <w:tcPr>
            <w:tcW w:w="2156"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highlight w:val="none"/>
              </w:rPr>
            </w:pPr>
            <w:r>
              <w:rPr>
                <w:rFonts w:hint="eastAsia"/>
                <w:kern w:val="0"/>
                <w:szCs w:val="21"/>
                <w:highlight w:val="none"/>
                <w:lang w:eastAsia="zh-CN"/>
              </w:rPr>
              <w:t>不动产权证</w:t>
            </w:r>
            <w:r>
              <w:rPr>
                <w:rFonts w:hint="eastAsia"/>
                <w:kern w:val="0"/>
                <w:szCs w:val="21"/>
                <w:highlight w:val="none"/>
              </w:rPr>
              <w:t>号</w:t>
            </w:r>
          </w:p>
        </w:tc>
        <w:tc>
          <w:tcPr>
            <w:tcW w:w="7167" w:type="dxa"/>
            <w:gridSpan w:val="4"/>
            <w:tcBorders>
              <w:top w:val="single" w:color="auto" w:sz="4" w:space="0"/>
              <w:left w:val="nil"/>
              <w:bottom w:val="single" w:color="auto" w:sz="4" w:space="0"/>
              <w:right w:val="single" w:color="auto" w:sz="4" w:space="0"/>
            </w:tcBorders>
            <w:vAlign w:val="center"/>
          </w:tcPr>
          <w:p>
            <w:pPr>
              <w:widowControl/>
              <w:jc w:val="center"/>
              <w:rPr>
                <w:rFonts w:hint="eastAsia" w:eastAsia="宋体"/>
                <w:kern w:val="0"/>
                <w:szCs w:val="21"/>
                <w:highlight w:val="none"/>
                <w:lang w:eastAsia="zh-CN"/>
              </w:rPr>
            </w:pPr>
            <w:r>
              <w:rPr>
                <w:rFonts w:hint="eastAsia"/>
                <w:kern w:val="0"/>
                <w:szCs w:val="21"/>
                <w:highlight w:val="none"/>
                <w:lang w:eastAsia="zh-CN"/>
              </w:rPr>
              <w:t>凤2013003020</w:t>
            </w:r>
          </w:p>
        </w:tc>
      </w:tr>
      <w:tr>
        <w:tblPrEx>
          <w:tblCellMar>
            <w:top w:w="0" w:type="dxa"/>
            <w:left w:w="108" w:type="dxa"/>
            <w:bottom w:w="0" w:type="dxa"/>
            <w:right w:w="108" w:type="dxa"/>
          </w:tblCellMar>
        </w:tblPrEx>
        <w:trPr>
          <w:trHeight w:val="480" w:hRule="atLeast"/>
          <w:jc w:val="center"/>
        </w:trPr>
        <w:tc>
          <w:tcPr>
            <w:tcW w:w="2156" w:type="dxa"/>
            <w:tcBorders>
              <w:top w:val="nil"/>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四至</w:t>
            </w:r>
          </w:p>
        </w:tc>
        <w:tc>
          <w:tcPr>
            <w:tcW w:w="7167" w:type="dxa"/>
            <w:gridSpan w:val="4"/>
            <w:tcBorders>
              <w:top w:val="single" w:color="auto" w:sz="4" w:space="0"/>
              <w:left w:val="nil"/>
              <w:bottom w:val="single" w:color="auto" w:sz="4" w:space="0"/>
              <w:right w:val="single" w:color="auto" w:sz="4" w:space="0"/>
            </w:tcBorders>
            <w:vAlign w:val="center"/>
          </w:tcPr>
          <w:p>
            <w:pPr>
              <w:widowControl/>
              <w:rPr>
                <w:kern w:val="0"/>
                <w:szCs w:val="21"/>
              </w:rPr>
            </w:pPr>
            <w:r>
              <w:rPr>
                <w:kern w:val="0"/>
                <w:szCs w:val="21"/>
              </w:rPr>
              <w:t>估价对象所在项目用地</w:t>
            </w:r>
            <w:r>
              <w:rPr>
                <w:rFonts w:hint="eastAsia"/>
                <w:kern w:val="0"/>
                <w:szCs w:val="21"/>
                <w:lang w:eastAsia="zh-CN"/>
              </w:rPr>
              <w:t>东至琴音路，南至凤祥大道，西至永青路，北至合蚌路</w:t>
            </w:r>
            <w:r>
              <w:rPr>
                <w:kern w:val="0"/>
                <w:szCs w:val="21"/>
              </w:rPr>
              <w:t>。</w:t>
            </w:r>
          </w:p>
        </w:tc>
      </w:tr>
      <w:tr>
        <w:tblPrEx>
          <w:tblCellMar>
            <w:top w:w="0" w:type="dxa"/>
            <w:left w:w="108" w:type="dxa"/>
            <w:bottom w:w="0" w:type="dxa"/>
            <w:right w:w="108" w:type="dxa"/>
          </w:tblCellMar>
        </w:tblPrEx>
        <w:trPr>
          <w:trHeight w:val="330" w:hRule="atLeast"/>
          <w:jc w:val="center"/>
        </w:trPr>
        <w:tc>
          <w:tcPr>
            <w:tcW w:w="2156" w:type="dxa"/>
            <w:tcBorders>
              <w:top w:val="nil"/>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开发程度</w:t>
            </w:r>
          </w:p>
        </w:tc>
        <w:tc>
          <w:tcPr>
            <w:tcW w:w="7167" w:type="dxa"/>
            <w:gridSpan w:val="4"/>
            <w:tcBorders>
              <w:top w:val="single" w:color="auto" w:sz="4" w:space="0"/>
              <w:left w:val="nil"/>
              <w:bottom w:val="single" w:color="auto" w:sz="4" w:space="0"/>
              <w:right w:val="single" w:color="auto" w:sz="4" w:space="0"/>
            </w:tcBorders>
            <w:vAlign w:val="center"/>
          </w:tcPr>
          <w:p>
            <w:pPr>
              <w:widowControl/>
              <w:jc w:val="center"/>
              <w:rPr>
                <w:kern w:val="0"/>
                <w:szCs w:val="21"/>
              </w:rPr>
            </w:pPr>
            <w:r>
              <w:rPr>
                <w:rFonts w:hint="eastAsia"/>
                <w:kern w:val="0"/>
                <w:szCs w:val="21"/>
                <w:lang w:eastAsia="zh-CN"/>
              </w:rPr>
              <w:t>五通一平</w:t>
            </w:r>
            <w:r>
              <w:rPr>
                <w:kern w:val="0"/>
                <w:szCs w:val="21"/>
              </w:rPr>
              <w:t>（通路、通水、排水、通电、通讯</w:t>
            </w:r>
            <w:r>
              <w:rPr>
                <w:rFonts w:hint="eastAsia"/>
                <w:kern w:val="0"/>
                <w:szCs w:val="21"/>
                <w:lang w:eastAsia="zh-CN"/>
              </w:rPr>
              <w:t>及</w:t>
            </w:r>
            <w:r>
              <w:rPr>
                <w:kern w:val="0"/>
                <w:szCs w:val="21"/>
              </w:rPr>
              <w:t>场地平整）</w:t>
            </w:r>
          </w:p>
        </w:tc>
      </w:tr>
      <w:tr>
        <w:tblPrEx>
          <w:tblCellMar>
            <w:top w:w="0" w:type="dxa"/>
            <w:left w:w="108" w:type="dxa"/>
            <w:bottom w:w="0" w:type="dxa"/>
            <w:right w:w="108" w:type="dxa"/>
          </w:tblCellMar>
        </w:tblPrEx>
        <w:trPr>
          <w:trHeight w:val="330" w:hRule="atLeast"/>
          <w:jc w:val="center"/>
        </w:trPr>
        <w:tc>
          <w:tcPr>
            <w:tcW w:w="2156" w:type="dxa"/>
            <w:tcBorders>
              <w:top w:val="nil"/>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规划条件</w:t>
            </w:r>
          </w:p>
        </w:tc>
        <w:tc>
          <w:tcPr>
            <w:tcW w:w="7167" w:type="dxa"/>
            <w:gridSpan w:val="4"/>
            <w:tcBorders>
              <w:top w:val="single" w:color="auto" w:sz="4" w:space="0"/>
              <w:left w:val="nil"/>
              <w:bottom w:val="single" w:color="auto" w:sz="4" w:space="0"/>
              <w:right w:val="single" w:color="auto" w:sz="4" w:space="0"/>
            </w:tcBorders>
            <w:vAlign w:val="center"/>
          </w:tcPr>
          <w:p>
            <w:pPr>
              <w:widowControl/>
              <w:jc w:val="center"/>
              <w:rPr>
                <w:kern w:val="0"/>
                <w:szCs w:val="21"/>
              </w:rPr>
            </w:pPr>
            <w:r>
              <w:rPr>
                <w:kern w:val="0"/>
                <w:szCs w:val="21"/>
              </w:rPr>
              <w:t>容积率1.</w:t>
            </w:r>
            <w:r>
              <w:rPr>
                <w:rFonts w:hint="eastAsia"/>
                <w:kern w:val="0"/>
                <w:szCs w:val="21"/>
                <w:lang w:val="en-US" w:eastAsia="zh-CN"/>
              </w:rPr>
              <w:t>1</w:t>
            </w:r>
            <w:r>
              <w:rPr>
                <w:rFonts w:hint="eastAsia"/>
                <w:kern w:val="0"/>
                <w:szCs w:val="21"/>
              </w:rPr>
              <w:t>，绿地率</w:t>
            </w:r>
            <w:r>
              <w:rPr>
                <w:rFonts w:hint="eastAsia"/>
                <w:kern w:val="0"/>
                <w:szCs w:val="21"/>
                <w:lang w:val="en-US" w:eastAsia="zh-CN"/>
              </w:rPr>
              <w:t>3</w:t>
            </w:r>
            <w:r>
              <w:rPr>
                <w:rFonts w:hint="eastAsia"/>
                <w:kern w:val="0"/>
                <w:szCs w:val="21"/>
              </w:rPr>
              <w:t>5%</w:t>
            </w:r>
          </w:p>
        </w:tc>
      </w:tr>
      <w:tr>
        <w:tblPrEx>
          <w:tblCellMar>
            <w:top w:w="0" w:type="dxa"/>
            <w:left w:w="108" w:type="dxa"/>
            <w:bottom w:w="0" w:type="dxa"/>
            <w:right w:w="108" w:type="dxa"/>
          </w:tblCellMar>
        </w:tblPrEx>
        <w:trPr>
          <w:trHeight w:val="330" w:hRule="atLeast"/>
          <w:jc w:val="center"/>
        </w:trPr>
        <w:tc>
          <w:tcPr>
            <w:tcW w:w="2156" w:type="dxa"/>
            <w:tcBorders>
              <w:top w:val="nil"/>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终止日期</w:t>
            </w:r>
          </w:p>
        </w:tc>
        <w:tc>
          <w:tcPr>
            <w:tcW w:w="2520" w:type="dxa"/>
            <w:tcBorders>
              <w:top w:val="single" w:color="auto" w:sz="4" w:space="0"/>
              <w:left w:val="nil"/>
              <w:bottom w:val="single" w:color="auto" w:sz="4" w:space="0"/>
              <w:right w:val="single" w:color="auto" w:sz="4" w:space="0"/>
            </w:tcBorders>
            <w:vAlign w:val="center"/>
          </w:tcPr>
          <w:p>
            <w:pPr>
              <w:jc w:val="center"/>
              <w:rPr>
                <w:rFonts w:hint="default" w:eastAsia="新宋体"/>
                <w:kern w:val="0"/>
                <w:szCs w:val="21"/>
                <w:lang w:val="en-US" w:eastAsia="zh-CN"/>
              </w:rPr>
            </w:pPr>
            <w:r>
              <w:rPr>
                <w:rFonts w:hint="eastAsia" w:eastAsia="新宋体"/>
                <w:kern w:val="0"/>
                <w:szCs w:val="21"/>
                <w:lang w:val="en-US" w:eastAsia="zh-CN"/>
              </w:rPr>
              <w:t>——</w:t>
            </w:r>
          </w:p>
        </w:tc>
        <w:tc>
          <w:tcPr>
            <w:tcW w:w="2195" w:type="dxa"/>
            <w:gridSpan w:val="2"/>
            <w:tcBorders>
              <w:top w:val="single" w:color="auto" w:sz="4" w:space="0"/>
              <w:left w:val="nil"/>
              <w:bottom w:val="single" w:color="auto" w:sz="4" w:space="0"/>
              <w:right w:val="single" w:color="auto" w:sz="4" w:space="0"/>
            </w:tcBorders>
            <w:vAlign w:val="center"/>
          </w:tcPr>
          <w:p>
            <w:pPr>
              <w:jc w:val="center"/>
              <w:rPr>
                <w:rFonts w:eastAsia="新宋体"/>
                <w:kern w:val="0"/>
                <w:szCs w:val="21"/>
              </w:rPr>
            </w:pPr>
            <w:r>
              <w:rPr>
                <w:rFonts w:eastAsia="新宋体"/>
                <w:kern w:val="0"/>
                <w:szCs w:val="21"/>
              </w:rPr>
              <w:t>土地用途</w:t>
            </w:r>
          </w:p>
        </w:tc>
        <w:tc>
          <w:tcPr>
            <w:tcW w:w="2452" w:type="dxa"/>
            <w:tcBorders>
              <w:top w:val="single" w:color="auto" w:sz="4" w:space="0"/>
              <w:left w:val="nil"/>
              <w:bottom w:val="single" w:color="auto" w:sz="4" w:space="0"/>
              <w:right w:val="single" w:color="auto" w:sz="4" w:space="0"/>
            </w:tcBorders>
            <w:vAlign w:val="center"/>
          </w:tcPr>
          <w:p>
            <w:pPr>
              <w:jc w:val="center"/>
              <w:rPr>
                <w:rFonts w:eastAsia="新宋体"/>
                <w:kern w:val="0"/>
                <w:szCs w:val="21"/>
              </w:rPr>
            </w:pPr>
            <w:r>
              <w:rPr>
                <w:rFonts w:eastAsia="新宋体"/>
                <w:kern w:val="0"/>
                <w:szCs w:val="21"/>
              </w:rPr>
              <w:t>住宅</w:t>
            </w:r>
          </w:p>
        </w:tc>
      </w:tr>
      <w:tr>
        <w:tblPrEx>
          <w:tblCellMar>
            <w:top w:w="0" w:type="dxa"/>
            <w:left w:w="108" w:type="dxa"/>
            <w:bottom w:w="0" w:type="dxa"/>
            <w:right w:w="108" w:type="dxa"/>
          </w:tblCellMar>
        </w:tblPrEx>
        <w:trPr>
          <w:trHeight w:val="330" w:hRule="atLeast"/>
          <w:jc w:val="center"/>
        </w:trPr>
        <w:tc>
          <w:tcPr>
            <w:tcW w:w="2156" w:type="dxa"/>
            <w:tcBorders>
              <w:top w:val="nil"/>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土地使用权类型</w:t>
            </w:r>
          </w:p>
        </w:tc>
        <w:tc>
          <w:tcPr>
            <w:tcW w:w="2526" w:type="dxa"/>
            <w:gridSpan w:val="2"/>
            <w:tcBorders>
              <w:top w:val="nil"/>
              <w:left w:val="nil"/>
              <w:bottom w:val="single" w:color="auto" w:sz="4" w:space="0"/>
              <w:right w:val="single" w:color="auto" w:sz="4" w:space="0"/>
            </w:tcBorders>
            <w:vAlign w:val="center"/>
          </w:tcPr>
          <w:p>
            <w:pPr>
              <w:widowControl/>
              <w:jc w:val="center"/>
              <w:rPr>
                <w:kern w:val="0"/>
                <w:szCs w:val="21"/>
              </w:rPr>
            </w:pPr>
            <w:r>
              <w:rPr>
                <w:kern w:val="0"/>
                <w:szCs w:val="21"/>
              </w:rPr>
              <w:t xml:space="preserve">出让 </w:t>
            </w:r>
          </w:p>
        </w:tc>
        <w:tc>
          <w:tcPr>
            <w:tcW w:w="2189"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分摊土地面积</w:t>
            </w:r>
          </w:p>
        </w:tc>
        <w:tc>
          <w:tcPr>
            <w:tcW w:w="2452" w:type="dxa"/>
            <w:tcBorders>
              <w:top w:val="nil"/>
              <w:left w:val="nil"/>
              <w:bottom w:val="single" w:color="auto" w:sz="4" w:space="0"/>
              <w:right w:val="single" w:color="auto" w:sz="4" w:space="0"/>
            </w:tcBorders>
            <w:vAlign w:val="center"/>
          </w:tcPr>
          <w:p>
            <w:pPr>
              <w:widowControl/>
              <w:jc w:val="center"/>
              <w:rPr>
                <w:kern w:val="0"/>
                <w:szCs w:val="21"/>
              </w:rPr>
            </w:pPr>
            <w:r>
              <w:rPr>
                <w:rFonts w:hint="eastAsia"/>
                <w:kern w:val="0"/>
                <w:szCs w:val="21"/>
                <w:lang w:eastAsia="zh-CN"/>
              </w:rPr>
              <w:t>98.23㎡</w:t>
            </w:r>
          </w:p>
        </w:tc>
      </w:tr>
      <w:tr>
        <w:tblPrEx>
          <w:tblCellMar>
            <w:top w:w="0" w:type="dxa"/>
            <w:left w:w="108" w:type="dxa"/>
            <w:bottom w:w="0" w:type="dxa"/>
            <w:right w:w="108" w:type="dxa"/>
          </w:tblCellMar>
        </w:tblPrEx>
        <w:trPr>
          <w:trHeight w:val="330" w:hRule="atLeast"/>
          <w:jc w:val="center"/>
        </w:trPr>
        <w:tc>
          <w:tcPr>
            <w:tcW w:w="2156" w:type="dxa"/>
            <w:vMerge w:val="restart"/>
            <w:tcBorders>
              <w:top w:val="nil"/>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土地权属情况</w:t>
            </w:r>
          </w:p>
        </w:tc>
        <w:tc>
          <w:tcPr>
            <w:tcW w:w="2526" w:type="dxa"/>
            <w:gridSpan w:val="2"/>
            <w:tcBorders>
              <w:top w:val="nil"/>
              <w:left w:val="nil"/>
              <w:bottom w:val="single" w:color="auto" w:sz="4" w:space="0"/>
              <w:right w:val="single" w:color="auto" w:sz="4" w:space="0"/>
            </w:tcBorders>
            <w:vAlign w:val="center"/>
          </w:tcPr>
          <w:p>
            <w:pPr>
              <w:widowControl/>
              <w:jc w:val="center"/>
              <w:rPr>
                <w:kern w:val="0"/>
                <w:szCs w:val="21"/>
              </w:rPr>
            </w:pPr>
            <w:r>
              <w:rPr>
                <w:kern w:val="0"/>
                <w:szCs w:val="21"/>
              </w:rPr>
              <w:t>所有权状况</w:t>
            </w:r>
          </w:p>
        </w:tc>
        <w:tc>
          <w:tcPr>
            <w:tcW w:w="4641" w:type="dxa"/>
            <w:gridSpan w:val="2"/>
            <w:tcBorders>
              <w:top w:val="nil"/>
              <w:left w:val="nil"/>
              <w:bottom w:val="single" w:color="auto" w:sz="4" w:space="0"/>
              <w:right w:val="single" w:color="auto" w:sz="4" w:space="0"/>
            </w:tcBorders>
            <w:vAlign w:val="center"/>
          </w:tcPr>
          <w:p>
            <w:pPr>
              <w:widowControl/>
              <w:jc w:val="center"/>
              <w:rPr>
                <w:kern w:val="0"/>
                <w:szCs w:val="21"/>
              </w:rPr>
            </w:pPr>
            <w:r>
              <w:rPr>
                <w:kern w:val="0"/>
                <w:szCs w:val="21"/>
              </w:rPr>
              <w:t>国家所有</w:t>
            </w:r>
          </w:p>
        </w:tc>
      </w:tr>
      <w:tr>
        <w:tblPrEx>
          <w:tblCellMar>
            <w:top w:w="0" w:type="dxa"/>
            <w:left w:w="108" w:type="dxa"/>
            <w:bottom w:w="0" w:type="dxa"/>
            <w:right w:w="108" w:type="dxa"/>
          </w:tblCellMar>
        </w:tblPrEx>
        <w:trPr>
          <w:trHeight w:val="255" w:hRule="atLeast"/>
          <w:jc w:val="center"/>
        </w:trPr>
        <w:tc>
          <w:tcPr>
            <w:tcW w:w="2156" w:type="dxa"/>
            <w:vMerge w:val="continue"/>
            <w:tcBorders>
              <w:top w:val="nil"/>
              <w:left w:val="single" w:color="auto" w:sz="4" w:space="0"/>
              <w:bottom w:val="single" w:color="auto" w:sz="4" w:space="0"/>
              <w:right w:val="single" w:color="auto" w:sz="4" w:space="0"/>
            </w:tcBorders>
            <w:vAlign w:val="center"/>
          </w:tcPr>
          <w:p>
            <w:pPr>
              <w:widowControl/>
              <w:jc w:val="left"/>
              <w:rPr>
                <w:kern w:val="0"/>
                <w:szCs w:val="21"/>
              </w:rPr>
            </w:pPr>
          </w:p>
        </w:tc>
        <w:tc>
          <w:tcPr>
            <w:tcW w:w="2526" w:type="dxa"/>
            <w:gridSpan w:val="2"/>
            <w:tcBorders>
              <w:top w:val="nil"/>
              <w:left w:val="nil"/>
              <w:bottom w:val="single" w:color="auto" w:sz="4" w:space="0"/>
              <w:right w:val="single" w:color="auto" w:sz="4" w:space="0"/>
            </w:tcBorders>
            <w:vAlign w:val="center"/>
          </w:tcPr>
          <w:p>
            <w:pPr>
              <w:widowControl/>
              <w:jc w:val="center"/>
              <w:rPr>
                <w:kern w:val="0"/>
                <w:szCs w:val="21"/>
              </w:rPr>
            </w:pPr>
            <w:r>
              <w:rPr>
                <w:kern w:val="0"/>
                <w:szCs w:val="21"/>
              </w:rPr>
              <w:t>使用权状况</w:t>
            </w:r>
          </w:p>
        </w:tc>
        <w:tc>
          <w:tcPr>
            <w:tcW w:w="4641" w:type="dxa"/>
            <w:gridSpan w:val="2"/>
            <w:tcBorders>
              <w:top w:val="nil"/>
              <w:left w:val="nil"/>
              <w:bottom w:val="single" w:color="auto" w:sz="4" w:space="0"/>
              <w:right w:val="single" w:color="auto" w:sz="4" w:space="0"/>
            </w:tcBorders>
            <w:vAlign w:val="center"/>
          </w:tcPr>
          <w:p>
            <w:pPr>
              <w:widowControl/>
              <w:jc w:val="center"/>
              <w:rPr>
                <w:rFonts w:hint="eastAsia" w:eastAsia="新宋体"/>
                <w:kern w:val="0"/>
                <w:szCs w:val="21"/>
                <w:lang w:eastAsia="zh-CN"/>
              </w:rPr>
            </w:pPr>
            <w:r>
              <w:rPr>
                <w:rFonts w:eastAsia="新宋体"/>
                <w:kern w:val="0"/>
                <w:szCs w:val="21"/>
              </w:rPr>
              <w:t>土地使用权人为</w:t>
            </w:r>
            <w:r>
              <w:rPr>
                <w:rFonts w:hint="eastAsia" w:eastAsia="新宋体"/>
                <w:kern w:val="0"/>
                <w:szCs w:val="21"/>
                <w:lang w:eastAsia="zh-CN"/>
              </w:rPr>
              <w:t>孙柱霞</w:t>
            </w:r>
          </w:p>
        </w:tc>
      </w:tr>
      <w:tr>
        <w:tblPrEx>
          <w:tblCellMar>
            <w:top w:w="0" w:type="dxa"/>
            <w:left w:w="108" w:type="dxa"/>
            <w:bottom w:w="0" w:type="dxa"/>
            <w:right w:w="108" w:type="dxa"/>
          </w:tblCellMar>
        </w:tblPrEx>
        <w:trPr>
          <w:trHeight w:val="330" w:hRule="atLeast"/>
          <w:jc w:val="center"/>
        </w:trPr>
        <w:tc>
          <w:tcPr>
            <w:tcW w:w="2156" w:type="dxa"/>
            <w:vMerge w:val="continue"/>
            <w:tcBorders>
              <w:top w:val="nil"/>
              <w:left w:val="single" w:color="auto" w:sz="4" w:space="0"/>
              <w:bottom w:val="single" w:color="auto" w:sz="4" w:space="0"/>
              <w:right w:val="single" w:color="auto" w:sz="4" w:space="0"/>
            </w:tcBorders>
            <w:vAlign w:val="center"/>
          </w:tcPr>
          <w:p>
            <w:pPr>
              <w:widowControl/>
              <w:jc w:val="left"/>
              <w:rPr>
                <w:kern w:val="0"/>
                <w:szCs w:val="21"/>
              </w:rPr>
            </w:pPr>
          </w:p>
        </w:tc>
        <w:tc>
          <w:tcPr>
            <w:tcW w:w="2526" w:type="dxa"/>
            <w:gridSpan w:val="2"/>
            <w:tcBorders>
              <w:top w:val="nil"/>
              <w:left w:val="nil"/>
              <w:bottom w:val="single" w:color="auto" w:sz="4" w:space="0"/>
              <w:right w:val="single" w:color="auto" w:sz="4" w:space="0"/>
            </w:tcBorders>
            <w:vAlign w:val="center"/>
          </w:tcPr>
          <w:p>
            <w:pPr>
              <w:widowControl/>
              <w:jc w:val="center"/>
              <w:rPr>
                <w:kern w:val="0"/>
                <w:szCs w:val="21"/>
              </w:rPr>
            </w:pPr>
            <w:r>
              <w:rPr>
                <w:kern w:val="0"/>
                <w:szCs w:val="21"/>
              </w:rPr>
              <w:t>他项权利设立情况</w:t>
            </w:r>
          </w:p>
        </w:tc>
        <w:tc>
          <w:tcPr>
            <w:tcW w:w="4641" w:type="dxa"/>
            <w:gridSpan w:val="2"/>
            <w:tcBorders>
              <w:top w:val="nil"/>
              <w:left w:val="nil"/>
              <w:bottom w:val="single" w:color="auto" w:sz="4" w:space="0"/>
              <w:right w:val="single" w:color="auto" w:sz="4" w:space="0"/>
            </w:tcBorders>
            <w:vAlign w:val="center"/>
          </w:tcPr>
          <w:p>
            <w:pPr>
              <w:widowControl/>
              <w:jc w:val="center"/>
              <w:rPr>
                <w:kern w:val="0"/>
                <w:szCs w:val="21"/>
              </w:rPr>
            </w:pPr>
            <w:r>
              <w:rPr>
                <w:kern w:val="0"/>
                <w:szCs w:val="21"/>
              </w:rPr>
              <w:t>无</w:t>
            </w:r>
          </w:p>
        </w:tc>
      </w:tr>
      <w:tr>
        <w:tblPrEx>
          <w:tblCellMar>
            <w:top w:w="0" w:type="dxa"/>
            <w:left w:w="108" w:type="dxa"/>
            <w:bottom w:w="0" w:type="dxa"/>
            <w:right w:w="108" w:type="dxa"/>
          </w:tblCellMar>
        </w:tblPrEx>
        <w:trPr>
          <w:trHeight w:val="330" w:hRule="atLeast"/>
          <w:jc w:val="center"/>
        </w:trPr>
        <w:tc>
          <w:tcPr>
            <w:tcW w:w="468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土地使用管制</w:t>
            </w:r>
          </w:p>
        </w:tc>
        <w:tc>
          <w:tcPr>
            <w:tcW w:w="4641" w:type="dxa"/>
            <w:gridSpan w:val="2"/>
            <w:tcBorders>
              <w:top w:val="nil"/>
              <w:left w:val="nil"/>
              <w:bottom w:val="single" w:color="auto" w:sz="4" w:space="0"/>
              <w:right w:val="single" w:color="auto" w:sz="4" w:space="0"/>
            </w:tcBorders>
            <w:vAlign w:val="center"/>
          </w:tcPr>
          <w:p>
            <w:pPr>
              <w:widowControl/>
              <w:jc w:val="center"/>
              <w:rPr>
                <w:kern w:val="0"/>
                <w:szCs w:val="21"/>
              </w:rPr>
            </w:pPr>
            <w:r>
              <w:rPr>
                <w:kern w:val="0"/>
                <w:szCs w:val="21"/>
              </w:rPr>
              <w:t>无</w:t>
            </w:r>
          </w:p>
        </w:tc>
      </w:tr>
      <w:tr>
        <w:tblPrEx>
          <w:tblCellMar>
            <w:top w:w="0" w:type="dxa"/>
            <w:left w:w="108" w:type="dxa"/>
            <w:bottom w:w="0" w:type="dxa"/>
            <w:right w:w="108" w:type="dxa"/>
          </w:tblCellMar>
        </w:tblPrEx>
        <w:trPr>
          <w:trHeight w:val="330" w:hRule="atLeast"/>
          <w:jc w:val="center"/>
        </w:trPr>
        <w:tc>
          <w:tcPr>
            <w:tcW w:w="468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土地剩余使用年限</w:t>
            </w:r>
          </w:p>
        </w:tc>
        <w:tc>
          <w:tcPr>
            <w:tcW w:w="4641" w:type="dxa"/>
            <w:gridSpan w:val="2"/>
            <w:tcBorders>
              <w:top w:val="nil"/>
              <w:left w:val="nil"/>
              <w:bottom w:val="single" w:color="auto" w:sz="4" w:space="0"/>
              <w:right w:val="single" w:color="auto" w:sz="4" w:space="0"/>
            </w:tcBorders>
            <w:vAlign w:val="center"/>
          </w:tcPr>
          <w:p>
            <w:pPr>
              <w:widowControl/>
              <w:ind w:firstLine="1995" w:firstLineChars="950"/>
              <w:rPr>
                <w:rFonts w:hint="eastAsia" w:eastAsia="宋体"/>
                <w:kern w:val="0"/>
                <w:szCs w:val="21"/>
                <w:lang w:eastAsia="zh-CN"/>
              </w:rPr>
            </w:pPr>
            <w:r>
              <w:rPr>
                <w:rFonts w:hint="eastAsia"/>
                <w:kern w:val="0"/>
                <w:szCs w:val="21"/>
                <w:lang w:eastAsia="zh-CN"/>
              </w:rPr>
              <w:t>——</w:t>
            </w:r>
          </w:p>
        </w:tc>
      </w:tr>
      <w:tr>
        <w:tblPrEx>
          <w:tblCellMar>
            <w:top w:w="0" w:type="dxa"/>
            <w:left w:w="108" w:type="dxa"/>
            <w:bottom w:w="0" w:type="dxa"/>
            <w:right w:w="108" w:type="dxa"/>
          </w:tblCellMar>
        </w:tblPrEx>
        <w:trPr>
          <w:trHeight w:val="330" w:hRule="atLeast"/>
          <w:jc w:val="center"/>
        </w:trPr>
        <w:tc>
          <w:tcPr>
            <w:tcW w:w="468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其他特殊情况</w:t>
            </w:r>
          </w:p>
        </w:tc>
        <w:tc>
          <w:tcPr>
            <w:tcW w:w="4641" w:type="dxa"/>
            <w:gridSpan w:val="2"/>
            <w:tcBorders>
              <w:top w:val="nil"/>
              <w:left w:val="nil"/>
              <w:bottom w:val="single" w:color="auto" w:sz="4" w:space="0"/>
              <w:right w:val="single" w:color="auto" w:sz="4" w:space="0"/>
            </w:tcBorders>
            <w:vAlign w:val="center"/>
          </w:tcPr>
          <w:p>
            <w:pPr>
              <w:widowControl/>
              <w:jc w:val="center"/>
              <w:rPr>
                <w:kern w:val="0"/>
                <w:szCs w:val="21"/>
              </w:rPr>
            </w:pPr>
            <w:r>
              <w:rPr>
                <w:kern w:val="0"/>
                <w:szCs w:val="21"/>
              </w:rPr>
              <w:t>无</w:t>
            </w:r>
          </w:p>
        </w:tc>
      </w:tr>
    </w:tbl>
    <w:p>
      <w:pPr>
        <w:tabs>
          <w:tab w:val="left" w:pos="1305"/>
        </w:tabs>
        <w:spacing w:line="560" w:lineRule="exact"/>
        <w:ind w:firstLine="480" w:firstLineChars="200"/>
        <w:rPr>
          <w:sz w:val="24"/>
          <w:szCs w:val="24"/>
        </w:rPr>
      </w:pPr>
      <w:r>
        <w:rPr>
          <w:sz w:val="24"/>
          <w:szCs w:val="24"/>
        </w:rPr>
        <w:t>（2）建筑物基本状况</w:t>
      </w:r>
    </w:p>
    <w:p>
      <w:pPr>
        <w:spacing w:line="560" w:lineRule="exact"/>
        <w:ind w:firstLine="720" w:firstLineChars="300"/>
        <w:rPr>
          <w:rFonts w:eastAsia="黑体"/>
          <w:sz w:val="24"/>
          <w:szCs w:val="24"/>
        </w:rPr>
      </w:pPr>
      <w:r>
        <w:rPr>
          <w:rFonts w:eastAsia="黑体"/>
          <w:sz w:val="24"/>
          <w:szCs w:val="24"/>
        </w:rPr>
        <w:t xml:space="preserve">① </w:t>
      </w:r>
      <w:r>
        <w:rPr>
          <w:rFonts w:ascii="宋体" w:hAnsi="宋体"/>
          <w:sz w:val="24"/>
          <w:szCs w:val="24"/>
        </w:rPr>
        <w:t>建筑物实物状况</w:t>
      </w:r>
    </w:p>
    <w:tbl>
      <w:tblPr>
        <w:tblStyle w:val="28"/>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4"/>
        <w:gridCol w:w="2340"/>
        <w:gridCol w:w="1842"/>
        <w:gridCol w:w="2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2304" w:type="dxa"/>
            <w:vAlign w:val="center"/>
          </w:tcPr>
          <w:p>
            <w:pPr>
              <w:widowControl/>
              <w:jc w:val="center"/>
              <w:rPr>
                <w:kern w:val="0"/>
                <w:szCs w:val="21"/>
              </w:rPr>
            </w:pPr>
            <w:r>
              <w:rPr>
                <w:kern w:val="0"/>
                <w:szCs w:val="21"/>
              </w:rPr>
              <w:t>名称（坐落）</w:t>
            </w:r>
          </w:p>
        </w:tc>
        <w:tc>
          <w:tcPr>
            <w:tcW w:w="6984" w:type="dxa"/>
            <w:gridSpan w:val="3"/>
            <w:vAlign w:val="center"/>
          </w:tcPr>
          <w:p>
            <w:pPr>
              <w:widowControl/>
              <w:rPr>
                <w:rFonts w:hint="eastAsia" w:eastAsia="宋体"/>
                <w:szCs w:val="21"/>
                <w:lang w:eastAsia="zh-CN"/>
              </w:rPr>
            </w:pPr>
            <w:r>
              <w:rPr>
                <w:rFonts w:hint="eastAsia"/>
                <w:szCs w:val="21"/>
                <w:lang w:eastAsia="zh-CN"/>
              </w:rPr>
              <w:t>滁州市凤阳县门台镇工业园区合蚌路南侧龙凤山庄8幢101室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304" w:type="dxa"/>
            <w:vAlign w:val="center"/>
          </w:tcPr>
          <w:p>
            <w:pPr>
              <w:widowControl/>
              <w:jc w:val="center"/>
              <w:rPr>
                <w:kern w:val="0"/>
                <w:szCs w:val="21"/>
              </w:rPr>
            </w:pPr>
            <w:r>
              <w:rPr>
                <w:kern w:val="0"/>
                <w:szCs w:val="21"/>
              </w:rPr>
              <w:t>外观</w:t>
            </w:r>
          </w:p>
        </w:tc>
        <w:tc>
          <w:tcPr>
            <w:tcW w:w="6984" w:type="dxa"/>
            <w:gridSpan w:val="3"/>
            <w:vAlign w:val="center"/>
          </w:tcPr>
          <w:p>
            <w:pPr>
              <w:widowControl/>
              <w:rPr>
                <w:szCs w:val="21"/>
              </w:rPr>
            </w:pPr>
            <w:r>
              <w:rPr>
                <w:szCs w:val="21"/>
              </w:rPr>
              <w:t>估价对象外观设计简洁，外墙为</w:t>
            </w:r>
            <w:r>
              <w:rPr>
                <w:rFonts w:hint="eastAsia"/>
                <w:szCs w:val="21"/>
                <w:lang w:eastAsia="zh-CN"/>
              </w:rPr>
              <w:t>面砖</w:t>
            </w:r>
            <w:r>
              <w:rPr>
                <w:rFonts w:hint="eastAsia"/>
                <w:szCs w:val="21"/>
              </w:rPr>
              <w:t>饰面</w:t>
            </w:r>
            <w:r>
              <w:rPr>
                <w:szCs w:val="21"/>
              </w:rPr>
              <w:t>，彩铝窗。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2304" w:type="dxa"/>
            <w:vAlign w:val="center"/>
          </w:tcPr>
          <w:p>
            <w:pPr>
              <w:widowControl/>
              <w:jc w:val="center"/>
              <w:rPr>
                <w:kern w:val="0"/>
                <w:szCs w:val="21"/>
              </w:rPr>
            </w:pPr>
            <w:r>
              <w:rPr>
                <w:kern w:val="0"/>
                <w:szCs w:val="21"/>
              </w:rPr>
              <w:t>建筑面积（㎡）</w:t>
            </w:r>
          </w:p>
        </w:tc>
        <w:tc>
          <w:tcPr>
            <w:tcW w:w="2340" w:type="dxa"/>
            <w:vAlign w:val="center"/>
          </w:tcPr>
          <w:p>
            <w:pPr>
              <w:widowControl/>
              <w:jc w:val="center"/>
              <w:rPr>
                <w:kern w:val="0"/>
                <w:szCs w:val="21"/>
              </w:rPr>
            </w:pPr>
            <w:r>
              <w:rPr>
                <w:rFonts w:hint="eastAsia"/>
                <w:szCs w:val="21"/>
                <w:lang w:eastAsia="zh-CN"/>
              </w:rPr>
              <w:t>109.84</w:t>
            </w:r>
            <w:r>
              <w:rPr>
                <w:szCs w:val="21"/>
              </w:rPr>
              <w:t>㎡</w:t>
            </w:r>
          </w:p>
        </w:tc>
        <w:tc>
          <w:tcPr>
            <w:tcW w:w="1842" w:type="dxa"/>
            <w:vAlign w:val="center"/>
          </w:tcPr>
          <w:p>
            <w:pPr>
              <w:widowControl/>
              <w:jc w:val="center"/>
              <w:rPr>
                <w:kern w:val="0"/>
                <w:szCs w:val="21"/>
              </w:rPr>
            </w:pPr>
            <w:r>
              <w:rPr>
                <w:kern w:val="0"/>
                <w:szCs w:val="21"/>
              </w:rPr>
              <w:t>用途</w:t>
            </w:r>
          </w:p>
        </w:tc>
        <w:tc>
          <w:tcPr>
            <w:tcW w:w="2802" w:type="dxa"/>
            <w:vAlign w:val="center"/>
          </w:tcPr>
          <w:p>
            <w:pPr>
              <w:widowControl/>
              <w:jc w:val="center"/>
              <w:rPr>
                <w:kern w:val="0"/>
                <w:szCs w:val="21"/>
              </w:rPr>
            </w:pPr>
            <w:r>
              <w:rPr>
                <w:kern w:val="0"/>
                <w:szCs w:val="21"/>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304" w:type="dxa"/>
            <w:vAlign w:val="center"/>
          </w:tcPr>
          <w:p>
            <w:pPr>
              <w:widowControl/>
              <w:jc w:val="center"/>
              <w:rPr>
                <w:kern w:val="0"/>
                <w:szCs w:val="21"/>
              </w:rPr>
            </w:pPr>
            <w:r>
              <w:rPr>
                <w:kern w:val="0"/>
                <w:szCs w:val="21"/>
              </w:rPr>
              <w:t>建筑结构</w:t>
            </w:r>
          </w:p>
        </w:tc>
        <w:tc>
          <w:tcPr>
            <w:tcW w:w="2340" w:type="dxa"/>
            <w:vAlign w:val="center"/>
          </w:tcPr>
          <w:p>
            <w:pPr>
              <w:widowControl/>
              <w:jc w:val="center"/>
              <w:rPr>
                <w:kern w:val="0"/>
                <w:szCs w:val="21"/>
              </w:rPr>
            </w:pPr>
            <w:r>
              <w:rPr>
                <w:rFonts w:hint="eastAsia"/>
                <w:kern w:val="0"/>
                <w:szCs w:val="21"/>
              </w:rPr>
              <w:t>砖混</w:t>
            </w:r>
          </w:p>
        </w:tc>
        <w:tc>
          <w:tcPr>
            <w:tcW w:w="1842" w:type="dxa"/>
            <w:vAlign w:val="center"/>
          </w:tcPr>
          <w:p>
            <w:pPr>
              <w:widowControl/>
              <w:jc w:val="center"/>
              <w:rPr>
                <w:kern w:val="0"/>
                <w:szCs w:val="21"/>
              </w:rPr>
            </w:pPr>
            <w:r>
              <w:rPr>
                <w:kern w:val="0"/>
                <w:szCs w:val="21"/>
              </w:rPr>
              <w:t>层高</w:t>
            </w:r>
          </w:p>
        </w:tc>
        <w:tc>
          <w:tcPr>
            <w:tcW w:w="2802" w:type="dxa"/>
            <w:vAlign w:val="center"/>
          </w:tcPr>
          <w:p>
            <w:pPr>
              <w:widowControl/>
              <w:jc w:val="center"/>
              <w:rPr>
                <w:kern w:val="0"/>
                <w:szCs w:val="21"/>
              </w:rPr>
            </w:pPr>
            <w:r>
              <w:rPr>
                <w:kern w:val="0"/>
                <w:szCs w:val="21"/>
              </w:rPr>
              <w:t>2.</w:t>
            </w:r>
            <w:r>
              <w:rPr>
                <w:rFonts w:hint="eastAsia"/>
                <w:kern w:val="0"/>
                <w:szCs w:val="21"/>
                <w:lang w:val="en-US" w:eastAsia="zh-CN"/>
              </w:rPr>
              <w:t>8</w:t>
            </w:r>
            <w:r>
              <w:rPr>
                <w:kern w:val="0"/>
                <w:szCs w:val="21"/>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304" w:type="dxa"/>
            <w:vAlign w:val="center"/>
          </w:tcPr>
          <w:p>
            <w:pPr>
              <w:widowControl/>
              <w:jc w:val="center"/>
              <w:rPr>
                <w:kern w:val="0"/>
                <w:szCs w:val="21"/>
              </w:rPr>
            </w:pPr>
            <w:r>
              <w:rPr>
                <w:szCs w:val="21"/>
              </w:rPr>
              <w:t>建成年代</w:t>
            </w:r>
          </w:p>
        </w:tc>
        <w:tc>
          <w:tcPr>
            <w:tcW w:w="2340" w:type="dxa"/>
            <w:vAlign w:val="center"/>
          </w:tcPr>
          <w:p>
            <w:pPr>
              <w:widowControl/>
              <w:jc w:val="center"/>
              <w:rPr>
                <w:kern w:val="0"/>
                <w:szCs w:val="21"/>
              </w:rPr>
            </w:pPr>
            <w:r>
              <w:rPr>
                <w:kern w:val="0"/>
                <w:szCs w:val="21"/>
              </w:rPr>
              <w:t>200</w:t>
            </w:r>
            <w:r>
              <w:rPr>
                <w:rFonts w:hint="eastAsia"/>
                <w:kern w:val="0"/>
                <w:szCs w:val="21"/>
                <w:lang w:val="en-US" w:eastAsia="zh-CN"/>
              </w:rPr>
              <w:t>9</w:t>
            </w:r>
            <w:r>
              <w:rPr>
                <w:kern w:val="0"/>
                <w:szCs w:val="21"/>
              </w:rPr>
              <w:t>年</w:t>
            </w:r>
          </w:p>
        </w:tc>
        <w:tc>
          <w:tcPr>
            <w:tcW w:w="1842" w:type="dxa"/>
            <w:vAlign w:val="center"/>
          </w:tcPr>
          <w:p>
            <w:pPr>
              <w:widowControl/>
              <w:jc w:val="center"/>
              <w:rPr>
                <w:kern w:val="0"/>
                <w:szCs w:val="21"/>
              </w:rPr>
            </w:pPr>
            <w:r>
              <w:rPr>
                <w:kern w:val="0"/>
                <w:szCs w:val="21"/>
              </w:rPr>
              <w:t>户型</w:t>
            </w:r>
          </w:p>
        </w:tc>
        <w:tc>
          <w:tcPr>
            <w:tcW w:w="2802" w:type="dxa"/>
            <w:vAlign w:val="center"/>
          </w:tcPr>
          <w:p>
            <w:pPr>
              <w:widowControl/>
              <w:jc w:val="center"/>
              <w:rPr>
                <w:kern w:val="0"/>
                <w:szCs w:val="21"/>
              </w:rPr>
            </w:pPr>
            <w:r>
              <w:rPr>
                <w:rFonts w:hint="eastAsia"/>
                <w:kern w:val="0"/>
                <w:szCs w:val="21"/>
              </w:rPr>
              <w:t>三室一厅、一厨</w:t>
            </w:r>
            <w:r>
              <w:rPr>
                <w:rFonts w:hint="eastAsia"/>
                <w:kern w:val="0"/>
                <w:szCs w:val="21"/>
                <w:lang w:eastAsia="zh-CN"/>
              </w:rPr>
              <w:t>两</w:t>
            </w:r>
            <w:r>
              <w:rPr>
                <w:rFonts w:hint="eastAsia"/>
                <w:kern w:val="0"/>
                <w:szCs w:val="21"/>
              </w:rPr>
              <w:t>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2304" w:type="dxa"/>
            <w:vAlign w:val="center"/>
          </w:tcPr>
          <w:p>
            <w:pPr>
              <w:widowControl/>
              <w:jc w:val="center"/>
              <w:rPr>
                <w:kern w:val="0"/>
                <w:szCs w:val="21"/>
              </w:rPr>
            </w:pPr>
            <w:r>
              <w:rPr>
                <w:kern w:val="0"/>
                <w:szCs w:val="21"/>
              </w:rPr>
              <w:t>所在层数/总层数</w:t>
            </w:r>
          </w:p>
        </w:tc>
        <w:tc>
          <w:tcPr>
            <w:tcW w:w="6984" w:type="dxa"/>
            <w:gridSpan w:val="3"/>
            <w:vAlign w:val="center"/>
          </w:tcPr>
          <w:p>
            <w:pPr>
              <w:widowControl/>
              <w:rPr>
                <w:kern w:val="0"/>
                <w:szCs w:val="21"/>
              </w:rPr>
            </w:pPr>
            <w:r>
              <w:rPr>
                <w:kern w:val="0"/>
                <w:szCs w:val="21"/>
              </w:rPr>
              <w:t>总层数</w:t>
            </w:r>
            <w:r>
              <w:rPr>
                <w:rFonts w:hint="eastAsia"/>
                <w:kern w:val="0"/>
                <w:szCs w:val="21"/>
                <w:lang w:val="en-US" w:eastAsia="zh-CN"/>
              </w:rPr>
              <w:t>5</w:t>
            </w:r>
            <w:r>
              <w:rPr>
                <w:rFonts w:hint="eastAsia"/>
                <w:kern w:val="0"/>
                <w:szCs w:val="21"/>
              </w:rPr>
              <w:t>层</w:t>
            </w:r>
            <w:r>
              <w:rPr>
                <w:kern w:val="0"/>
                <w:szCs w:val="21"/>
              </w:rPr>
              <w:t>，所在层</w:t>
            </w:r>
            <w:r>
              <w:rPr>
                <w:rFonts w:hint="eastAsia"/>
                <w:kern w:val="0"/>
                <w:szCs w:val="21"/>
                <w:lang w:val="en-US" w:eastAsia="zh-CN"/>
              </w:rPr>
              <w:t>1</w:t>
            </w:r>
            <w:r>
              <w:rPr>
                <w:rFonts w:hint="eastAsia"/>
                <w:kern w:val="0"/>
                <w:szCs w:val="21"/>
              </w:rPr>
              <w:t>层</w:t>
            </w:r>
            <w:r>
              <w:rPr>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304" w:type="dxa"/>
            <w:vAlign w:val="center"/>
          </w:tcPr>
          <w:p>
            <w:pPr>
              <w:widowControl/>
              <w:jc w:val="center"/>
              <w:rPr>
                <w:szCs w:val="21"/>
              </w:rPr>
            </w:pPr>
            <w:r>
              <w:rPr>
                <w:szCs w:val="21"/>
              </w:rPr>
              <w:t>物业管理</w:t>
            </w:r>
          </w:p>
        </w:tc>
        <w:tc>
          <w:tcPr>
            <w:tcW w:w="6984" w:type="dxa"/>
            <w:gridSpan w:val="3"/>
            <w:vAlign w:val="center"/>
          </w:tcPr>
          <w:p>
            <w:pPr>
              <w:widowControl/>
              <w:rPr>
                <w:kern w:val="0"/>
                <w:szCs w:val="21"/>
              </w:rPr>
            </w:pPr>
            <w:r>
              <w:rPr>
                <w:rFonts w:hint="eastAsia"/>
                <w:kern w:val="0"/>
                <w:szCs w:val="21"/>
                <w:lang w:eastAsia="zh-CN"/>
              </w:rPr>
              <w:t>有</w:t>
            </w:r>
            <w:r>
              <w:rPr>
                <w:kern w:val="0"/>
                <w:szCs w:val="21"/>
              </w:rPr>
              <w:t>专人值班，有24小时监控，小区内环境卫生状况较好，物业管理</w:t>
            </w:r>
            <w:r>
              <w:rPr>
                <w:rFonts w:hint="eastAsia"/>
                <w:kern w:val="0"/>
                <w:szCs w:val="21"/>
              </w:rPr>
              <w:t>一般</w:t>
            </w:r>
            <w:r>
              <w:rPr>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304" w:type="dxa"/>
            <w:vAlign w:val="center"/>
          </w:tcPr>
          <w:p>
            <w:pPr>
              <w:widowControl/>
              <w:jc w:val="center"/>
              <w:rPr>
                <w:kern w:val="0"/>
                <w:szCs w:val="21"/>
              </w:rPr>
            </w:pPr>
            <w:r>
              <w:rPr>
                <w:kern w:val="0"/>
                <w:szCs w:val="21"/>
              </w:rPr>
              <w:t>设施设备</w:t>
            </w:r>
          </w:p>
        </w:tc>
        <w:tc>
          <w:tcPr>
            <w:tcW w:w="6984" w:type="dxa"/>
            <w:gridSpan w:val="3"/>
            <w:vAlign w:val="center"/>
          </w:tcPr>
          <w:p>
            <w:pPr>
              <w:widowControl/>
              <w:rPr>
                <w:kern w:val="0"/>
                <w:szCs w:val="21"/>
              </w:rPr>
            </w:pPr>
            <w:r>
              <w:rPr>
                <w:kern w:val="0"/>
                <w:szCs w:val="21"/>
              </w:rPr>
              <w:t>供水、供电、供气、通讯保证率高，排水较通畅，消防设施完备，估价对象为多层建筑，该楼共</w:t>
            </w:r>
            <w:r>
              <w:rPr>
                <w:rFonts w:hint="eastAsia"/>
                <w:kern w:val="0"/>
                <w:szCs w:val="21"/>
                <w:lang w:val="en-US" w:eastAsia="zh-CN"/>
              </w:rPr>
              <w:t>1</w:t>
            </w:r>
            <w:r>
              <w:rPr>
                <w:kern w:val="0"/>
                <w:szCs w:val="21"/>
              </w:rPr>
              <w:t>个单元，每单元设有1部步梯，无电梯，</w:t>
            </w:r>
            <w:r>
              <w:rPr>
                <w:rFonts w:hint="eastAsia"/>
                <w:kern w:val="0"/>
                <w:szCs w:val="21"/>
              </w:rPr>
              <w:t>每单元</w:t>
            </w:r>
            <w:r>
              <w:rPr>
                <w:kern w:val="0"/>
                <w:szCs w:val="21"/>
              </w:rPr>
              <w:t>每层2户，估价对象位于</w:t>
            </w:r>
            <w:r>
              <w:rPr>
                <w:rFonts w:hint="eastAsia"/>
                <w:kern w:val="0"/>
                <w:szCs w:val="21"/>
                <w:lang w:eastAsia="zh-CN"/>
              </w:rPr>
              <w:t>一</w:t>
            </w:r>
            <w:r>
              <w:rPr>
                <w:kern w:val="0"/>
                <w:szCs w:val="21"/>
              </w:rPr>
              <w:t>单元第</w:t>
            </w:r>
            <w:r>
              <w:rPr>
                <w:rFonts w:hint="eastAsia"/>
                <w:kern w:val="0"/>
                <w:szCs w:val="21"/>
                <w:lang w:val="en-US" w:eastAsia="zh-CN"/>
              </w:rPr>
              <w:t>1</w:t>
            </w:r>
            <w:r>
              <w:rPr>
                <w:rFonts w:hint="eastAsia"/>
                <w:kern w:val="0"/>
                <w:szCs w:val="21"/>
              </w:rPr>
              <w:t>层东</w:t>
            </w:r>
            <w:r>
              <w:rPr>
                <w:kern w:val="0"/>
                <w:szCs w:val="21"/>
              </w:rPr>
              <w:t>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304" w:type="dxa"/>
            <w:vAlign w:val="center"/>
          </w:tcPr>
          <w:p>
            <w:pPr>
              <w:widowControl/>
              <w:jc w:val="center"/>
              <w:rPr>
                <w:kern w:val="0"/>
                <w:szCs w:val="21"/>
              </w:rPr>
            </w:pPr>
            <w:r>
              <w:rPr>
                <w:kern w:val="0"/>
                <w:szCs w:val="21"/>
              </w:rPr>
              <w:t>装饰装修</w:t>
            </w:r>
          </w:p>
        </w:tc>
        <w:tc>
          <w:tcPr>
            <w:tcW w:w="6984" w:type="dxa"/>
            <w:gridSpan w:val="3"/>
            <w:vAlign w:val="center"/>
          </w:tcPr>
          <w:p>
            <w:pPr>
              <w:widowControl/>
              <w:rPr>
                <w:kern w:val="0"/>
                <w:szCs w:val="21"/>
              </w:rPr>
            </w:pPr>
            <w:r>
              <w:rPr>
                <w:rFonts w:hint="eastAsia"/>
                <w:szCs w:val="21"/>
                <w:lang w:eastAsia="zh-CN"/>
              </w:rPr>
              <w:t>室内毛坯</w:t>
            </w:r>
            <w:r>
              <w:rPr>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304" w:type="dxa"/>
            <w:vAlign w:val="center"/>
          </w:tcPr>
          <w:p>
            <w:pPr>
              <w:widowControl/>
              <w:jc w:val="center"/>
              <w:rPr>
                <w:kern w:val="0"/>
                <w:szCs w:val="21"/>
              </w:rPr>
            </w:pPr>
            <w:r>
              <w:rPr>
                <w:kern w:val="0"/>
                <w:szCs w:val="21"/>
              </w:rPr>
              <w:t>防水、保温、隔热、隔声、通风、采光、日照</w:t>
            </w:r>
          </w:p>
        </w:tc>
        <w:tc>
          <w:tcPr>
            <w:tcW w:w="6984" w:type="dxa"/>
            <w:gridSpan w:val="3"/>
            <w:vAlign w:val="center"/>
          </w:tcPr>
          <w:p>
            <w:pPr>
              <w:widowControl/>
              <w:rPr>
                <w:kern w:val="0"/>
                <w:szCs w:val="21"/>
              </w:rPr>
            </w:pPr>
            <w:r>
              <w:rPr>
                <w:kern w:val="0"/>
                <w:szCs w:val="21"/>
              </w:rPr>
              <w:t>防水、保温较好，楼屋顶建有隔热层；墙壁、门窗均采取隔声措施；估价对象坐北朝南，楼间距较大，通风、日照、采光均较好。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2304" w:type="dxa"/>
            <w:vAlign w:val="center"/>
          </w:tcPr>
          <w:p>
            <w:pPr>
              <w:widowControl/>
              <w:jc w:val="center"/>
              <w:rPr>
                <w:kern w:val="0"/>
                <w:szCs w:val="21"/>
              </w:rPr>
            </w:pPr>
            <w:r>
              <w:rPr>
                <w:kern w:val="0"/>
                <w:szCs w:val="21"/>
              </w:rPr>
              <w:t>空间布局</w:t>
            </w:r>
          </w:p>
        </w:tc>
        <w:tc>
          <w:tcPr>
            <w:tcW w:w="6984" w:type="dxa"/>
            <w:gridSpan w:val="3"/>
            <w:vAlign w:val="center"/>
          </w:tcPr>
          <w:p>
            <w:pPr>
              <w:widowControl/>
              <w:rPr>
                <w:rFonts w:ascii="宋体" w:hAnsi="宋体" w:cs="宋体"/>
                <w:kern w:val="0"/>
                <w:szCs w:val="21"/>
              </w:rPr>
            </w:pPr>
            <w:r>
              <w:rPr>
                <w:rFonts w:hint="eastAsia" w:ascii="宋体" w:hAnsi="宋体" w:cs="宋体"/>
                <w:kern w:val="0"/>
                <w:szCs w:val="21"/>
              </w:rPr>
              <w:t>客厅朝</w:t>
            </w:r>
            <w:r>
              <w:rPr>
                <w:rFonts w:hint="eastAsia" w:ascii="宋体" w:hAnsi="宋体" w:cs="宋体"/>
                <w:kern w:val="0"/>
                <w:szCs w:val="21"/>
                <w:lang w:eastAsia="zh-CN"/>
              </w:rPr>
              <w:t>东</w:t>
            </w:r>
            <w:r>
              <w:rPr>
                <w:rFonts w:hint="eastAsia" w:ascii="宋体" w:hAnsi="宋体" w:cs="宋体"/>
                <w:kern w:val="0"/>
                <w:szCs w:val="21"/>
              </w:rPr>
              <w:t>、主卧朝南，南北通透，空间布局较合理。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304" w:type="dxa"/>
            <w:vAlign w:val="center"/>
          </w:tcPr>
          <w:p>
            <w:pPr>
              <w:widowControl/>
              <w:jc w:val="center"/>
              <w:rPr>
                <w:kern w:val="0"/>
                <w:szCs w:val="21"/>
              </w:rPr>
            </w:pPr>
            <w:r>
              <w:rPr>
                <w:kern w:val="0"/>
                <w:szCs w:val="21"/>
              </w:rPr>
              <w:t>使用、维护、完损状况</w:t>
            </w:r>
          </w:p>
        </w:tc>
        <w:tc>
          <w:tcPr>
            <w:tcW w:w="6984" w:type="dxa"/>
            <w:gridSpan w:val="3"/>
            <w:vAlign w:val="center"/>
          </w:tcPr>
          <w:p>
            <w:pPr>
              <w:widowControl/>
              <w:rPr>
                <w:kern w:val="0"/>
                <w:szCs w:val="21"/>
              </w:rPr>
            </w:pPr>
            <w:r>
              <w:rPr>
                <w:kern w:val="0"/>
                <w:szCs w:val="21"/>
              </w:rPr>
              <w:t>估价对象基础无不均匀沉降，墙面、地面未出现裂缝；结构构件完好，设备完好，估价对象现为</w:t>
            </w:r>
            <w:r>
              <w:rPr>
                <w:rFonts w:hint="eastAsia"/>
                <w:kern w:val="0"/>
                <w:szCs w:val="21"/>
              </w:rPr>
              <w:t>出租</w:t>
            </w:r>
            <w:r>
              <w:rPr>
                <w:kern w:val="0"/>
                <w:szCs w:val="21"/>
              </w:rPr>
              <w:t>状态，现状使用功能</w:t>
            </w:r>
            <w:r>
              <w:rPr>
                <w:rFonts w:hint="eastAsia"/>
                <w:kern w:val="0"/>
                <w:szCs w:val="21"/>
              </w:rPr>
              <w:t>良好</w:t>
            </w:r>
            <w:r>
              <w:rPr>
                <w:kern w:val="0"/>
                <w:szCs w:val="21"/>
              </w:rPr>
              <w:t>，属于完好房。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2304" w:type="dxa"/>
            <w:vAlign w:val="center"/>
          </w:tcPr>
          <w:p>
            <w:pPr>
              <w:widowControl/>
              <w:jc w:val="center"/>
              <w:rPr>
                <w:kern w:val="0"/>
                <w:szCs w:val="21"/>
              </w:rPr>
            </w:pPr>
            <w:r>
              <w:rPr>
                <w:kern w:val="0"/>
                <w:szCs w:val="21"/>
              </w:rPr>
              <w:t>实际使用情况</w:t>
            </w:r>
          </w:p>
        </w:tc>
        <w:tc>
          <w:tcPr>
            <w:tcW w:w="6984" w:type="dxa"/>
            <w:gridSpan w:val="3"/>
            <w:vAlign w:val="center"/>
          </w:tcPr>
          <w:p>
            <w:pPr>
              <w:widowControl/>
              <w:rPr>
                <w:kern w:val="0"/>
                <w:szCs w:val="21"/>
              </w:rPr>
            </w:pPr>
            <w:r>
              <w:rPr>
                <w:kern w:val="0"/>
                <w:szCs w:val="21"/>
              </w:rPr>
              <w:t>估价对象规划用途为住宅，实际用途为住宅。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2304" w:type="dxa"/>
            <w:vAlign w:val="center"/>
          </w:tcPr>
          <w:p>
            <w:pPr>
              <w:widowControl/>
              <w:jc w:val="center"/>
              <w:rPr>
                <w:kern w:val="0"/>
                <w:szCs w:val="21"/>
              </w:rPr>
            </w:pPr>
            <w:r>
              <w:rPr>
                <w:kern w:val="0"/>
                <w:szCs w:val="21"/>
              </w:rPr>
              <w:t>综合分析</w:t>
            </w:r>
          </w:p>
        </w:tc>
        <w:tc>
          <w:tcPr>
            <w:tcW w:w="6984" w:type="dxa"/>
            <w:gridSpan w:val="3"/>
            <w:vAlign w:val="center"/>
          </w:tcPr>
          <w:p>
            <w:pPr>
              <w:widowControl/>
              <w:rPr>
                <w:kern w:val="0"/>
                <w:szCs w:val="21"/>
              </w:rPr>
            </w:pPr>
            <w:r>
              <w:rPr>
                <w:kern w:val="0"/>
                <w:szCs w:val="21"/>
              </w:rPr>
              <w:t>估价对象外观设计简洁，空间布局</w:t>
            </w:r>
            <w:r>
              <w:rPr>
                <w:rFonts w:hint="eastAsia"/>
                <w:kern w:val="0"/>
                <w:szCs w:val="21"/>
              </w:rPr>
              <w:t>较</w:t>
            </w:r>
            <w:r>
              <w:rPr>
                <w:kern w:val="0"/>
                <w:szCs w:val="21"/>
              </w:rPr>
              <w:t>合理，能较好地满足住宅用途需求，对价值有一定的提升作用。</w:t>
            </w:r>
          </w:p>
        </w:tc>
      </w:tr>
    </w:tbl>
    <w:p>
      <w:pPr>
        <w:spacing w:line="560" w:lineRule="exact"/>
        <w:ind w:firstLine="480" w:firstLineChars="200"/>
        <w:rPr>
          <w:rFonts w:ascii="宋体" w:hAnsi="宋体"/>
          <w:sz w:val="24"/>
          <w:szCs w:val="24"/>
        </w:rPr>
      </w:pPr>
      <w:bookmarkStart w:id="57" w:name="_Toc457397531"/>
      <w:bookmarkStart w:id="58" w:name="_Toc457919165"/>
      <w:bookmarkStart w:id="59" w:name="_Toc457397069"/>
      <w:bookmarkStart w:id="60" w:name="_Toc457582601"/>
      <w:r>
        <w:rPr>
          <w:rFonts w:eastAsia="黑体"/>
          <w:sz w:val="24"/>
          <w:szCs w:val="24"/>
        </w:rPr>
        <w:t>②</w:t>
      </w:r>
      <w:r>
        <w:rPr>
          <w:rFonts w:ascii="宋体" w:hAnsi="宋体"/>
          <w:sz w:val="24"/>
          <w:szCs w:val="24"/>
        </w:rPr>
        <w:t xml:space="preserve"> 建筑物权益状况</w:t>
      </w:r>
      <w:bookmarkEnd w:id="57"/>
      <w:bookmarkEnd w:id="58"/>
      <w:bookmarkEnd w:id="59"/>
      <w:bookmarkEnd w:id="60"/>
    </w:p>
    <w:tbl>
      <w:tblPr>
        <w:tblStyle w:val="28"/>
        <w:tblW w:w="9285" w:type="dxa"/>
        <w:jc w:val="center"/>
        <w:tblLayout w:type="fixed"/>
        <w:tblCellMar>
          <w:top w:w="0" w:type="dxa"/>
          <w:left w:w="108" w:type="dxa"/>
          <w:bottom w:w="0" w:type="dxa"/>
          <w:right w:w="108" w:type="dxa"/>
        </w:tblCellMar>
      </w:tblPr>
      <w:tblGrid>
        <w:gridCol w:w="2586"/>
        <w:gridCol w:w="6699"/>
      </w:tblGrid>
      <w:tr>
        <w:tblPrEx>
          <w:tblCellMar>
            <w:top w:w="0" w:type="dxa"/>
            <w:left w:w="108" w:type="dxa"/>
            <w:bottom w:w="0" w:type="dxa"/>
            <w:right w:w="108" w:type="dxa"/>
          </w:tblCellMar>
        </w:tblPrEx>
        <w:trPr>
          <w:trHeight w:val="365" w:hRule="atLeast"/>
          <w:jc w:val="center"/>
        </w:trPr>
        <w:tc>
          <w:tcPr>
            <w:tcW w:w="2586"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highlight w:val="none"/>
              </w:rPr>
            </w:pPr>
            <w:r>
              <w:rPr>
                <w:rFonts w:hint="eastAsia"/>
                <w:kern w:val="0"/>
                <w:szCs w:val="21"/>
                <w:highlight w:val="none"/>
                <w:lang w:eastAsia="zh-CN"/>
              </w:rPr>
              <w:t>不动产权证</w:t>
            </w:r>
            <w:r>
              <w:rPr>
                <w:rFonts w:hint="eastAsia"/>
                <w:kern w:val="0"/>
                <w:szCs w:val="21"/>
                <w:highlight w:val="none"/>
              </w:rPr>
              <w:t>号</w:t>
            </w:r>
          </w:p>
        </w:tc>
        <w:tc>
          <w:tcPr>
            <w:tcW w:w="6699" w:type="dxa"/>
            <w:tcBorders>
              <w:top w:val="single" w:color="auto" w:sz="4" w:space="0"/>
              <w:left w:val="nil"/>
              <w:bottom w:val="single" w:color="auto" w:sz="4" w:space="0"/>
              <w:right w:val="single" w:color="auto" w:sz="4" w:space="0"/>
            </w:tcBorders>
            <w:vAlign w:val="center"/>
          </w:tcPr>
          <w:p>
            <w:pPr>
              <w:widowControl/>
              <w:jc w:val="center"/>
              <w:rPr>
                <w:rFonts w:hint="eastAsia" w:eastAsia="宋体"/>
                <w:kern w:val="0"/>
                <w:szCs w:val="21"/>
                <w:highlight w:val="none"/>
                <w:lang w:eastAsia="zh-CN"/>
              </w:rPr>
            </w:pPr>
            <w:r>
              <w:rPr>
                <w:rFonts w:hint="eastAsia"/>
                <w:kern w:val="0"/>
                <w:szCs w:val="21"/>
                <w:highlight w:val="none"/>
                <w:lang w:eastAsia="zh-CN"/>
              </w:rPr>
              <w:t>凤2013003020</w:t>
            </w:r>
          </w:p>
        </w:tc>
      </w:tr>
      <w:tr>
        <w:tblPrEx>
          <w:tblCellMar>
            <w:top w:w="0" w:type="dxa"/>
            <w:left w:w="108" w:type="dxa"/>
            <w:bottom w:w="0" w:type="dxa"/>
            <w:right w:w="108" w:type="dxa"/>
          </w:tblCellMar>
        </w:tblPrEx>
        <w:trPr>
          <w:trHeight w:val="405" w:hRule="atLeast"/>
          <w:jc w:val="center"/>
        </w:trPr>
        <w:tc>
          <w:tcPr>
            <w:tcW w:w="2586" w:type="dxa"/>
            <w:tcBorders>
              <w:top w:val="nil"/>
              <w:left w:val="single" w:color="auto" w:sz="4" w:space="0"/>
              <w:bottom w:val="single" w:color="auto" w:sz="4" w:space="0"/>
              <w:right w:val="single" w:color="auto" w:sz="4" w:space="0"/>
            </w:tcBorders>
            <w:vAlign w:val="center"/>
          </w:tcPr>
          <w:p>
            <w:pPr>
              <w:widowControl/>
              <w:jc w:val="center"/>
              <w:rPr>
                <w:kern w:val="0"/>
                <w:szCs w:val="21"/>
                <w:highlight w:val="none"/>
              </w:rPr>
            </w:pPr>
            <w:r>
              <w:rPr>
                <w:kern w:val="0"/>
                <w:szCs w:val="21"/>
                <w:highlight w:val="none"/>
              </w:rPr>
              <w:t>房屋所有权状况</w:t>
            </w:r>
          </w:p>
        </w:tc>
        <w:tc>
          <w:tcPr>
            <w:tcW w:w="6699" w:type="dxa"/>
            <w:tcBorders>
              <w:top w:val="nil"/>
              <w:left w:val="nil"/>
              <w:bottom w:val="single" w:color="auto" w:sz="4" w:space="0"/>
              <w:right w:val="single" w:color="auto" w:sz="4" w:space="0"/>
            </w:tcBorders>
            <w:vAlign w:val="center"/>
          </w:tcPr>
          <w:p>
            <w:pPr>
              <w:widowControl/>
              <w:jc w:val="center"/>
              <w:rPr>
                <w:rFonts w:hint="eastAsia" w:eastAsia="宋体"/>
                <w:kern w:val="0"/>
                <w:szCs w:val="21"/>
                <w:highlight w:val="none"/>
                <w:lang w:eastAsia="zh-CN"/>
              </w:rPr>
            </w:pPr>
            <w:r>
              <w:rPr>
                <w:kern w:val="0"/>
                <w:szCs w:val="21"/>
                <w:highlight w:val="none"/>
              </w:rPr>
              <w:t>估价对象房屋所有权人为</w:t>
            </w:r>
            <w:r>
              <w:rPr>
                <w:rFonts w:hint="eastAsia" w:eastAsia="新宋体"/>
                <w:kern w:val="0"/>
                <w:szCs w:val="21"/>
                <w:highlight w:val="none"/>
                <w:lang w:eastAsia="zh-CN"/>
              </w:rPr>
              <w:t>孙柱霞</w:t>
            </w:r>
          </w:p>
        </w:tc>
      </w:tr>
      <w:tr>
        <w:tblPrEx>
          <w:tblCellMar>
            <w:top w:w="0" w:type="dxa"/>
            <w:left w:w="108" w:type="dxa"/>
            <w:bottom w:w="0" w:type="dxa"/>
            <w:right w:w="108" w:type="dxa"/>
          </w:tblCellMar>
        </w:tblPrEx>
        <w:trPr>
          <w:trHeight w:val="360" w:hRule="atLeast"/>
          <w:jc w:val="center"/>
        </w:trPr>
        <w:tc>
          <w:tcPr>
            <w:tcW w:w="2586" w:type="dxa"/>
            <w:tcBorders>
              <w:top w:val="nil"/>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面积（㎡）</w:t>
            </w:r>
          </w:p>
        </w:tc>
        <w:tc>
          <w:tcPr>
            <w:tcW w:w="6699" w:type="dxa"/>
            <w:tcBorders>
              <w:top w:val="nil"/>
              <w:left w:val="nil"/>
              <w:bottom w:val="single" w:color="auto" w:sz="4" w:space="0"/>
              <w:right w:val="single" w:color="auto" w:sz="4" w:space="0"/>
            </w:tcBorders>
            <w:vAlign w:val="center"/>
          </w:tcPr>
          <w:p>
            <w:pPr>
              <w:widowControl/>
              <w:ind w:firstLine="105" w:firstLineChars="50"/>
              <w:jc w:val="center"/>
              <w:rPr>
                <w:kern w:val="0"/>
                <w:szCs w:val="21"/>
              </w:rPr>
            </w:pPr>
            <w:r>
              <w:rPr>
                <w:rFonts w:hint="eastAsia"/>
                <w:kern w:val="0"/>
                <w:szCs w:val="21"/>
                <w:lang w:eastAsia="zh-CN"/>
              </w:rPr>
              <w:t>109.84</w:t>
            </w:r>
            <w:r>
              <w:rPr>
                <w:kern w:val="0"/>
                <w:szCs w:val="21"/>
              </w:rPr>
              <w:t>㎡</w:t>
            </w:r>
          </w:p>
        </w:tc>
      </w:tr>
      <w:tr>
        <w:tblPrEx>
          <w:tblCellMar>
            <w:top w:w="0" w:type="dxa"/>
            <w:left w:w="108" w:type="dxa"/>
            <w:bottom w:w="0" w:type="dxa"/>
            <w:right w:w="108" w:type="dxa"/>
          </w:tblCellMar>
        </w:tblPrEx>
        <w:trPr>
          <w:trHeight w:val="345" w:hRule="atLeast"/>
          <w:jc w:val="center"/>
        </w:trPr>
        <w:tc>
          <w:tcPr>
            <w:tcW w:w="2586" w:type="dxa"/>
            <w:tcBorders>
              <w:top w:val="nil"/>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出租或占用情况</w:t>
            </w:r>
          </w:p>
        </w:tc>
        <w:tc>
          <w:tcPr>
            <w:tcW w:w="6699" w:type="dxa"/>
            <w:tcBorders>
              <w:top w:val="nil"/>
              <w:left w:val="nil"/>
              <w:bottom w:val="single" w:color="auto" w:sz="4" w:space="0"/>
              <w:right w:val="single" w:color="auto" w:sz="4" w:space="0"/>
            </w:tcBorders>
            <w:vAlign w:val="center"/>
          </w:tcPr>
          <w:p>
            <w:pPr>
              <w:widowControl/>
              <w:jc w:val="center"/>
              <w:rPr>
                <w:kern w:val="0"/>
                <w:szCs w:val="21"/>
              </w:rPr>
            </w:pPr>
            <w:r>
              <w:rPr>
                <w:rFonts w:hint="eastAsia"/>
                <w:kern w:val="0"/>
                <w:szCs w:val="21"/>
              </w:rPr>
              <w:t>出租</w:t>
            </w:r>
          </w:p>
        </w:tc>
      </w:tr>
      <w:tr>
        <w:tblPrEx>
          <w:tblCellMar>
            <w:top w:w="0" w:type="dxa"/>
            <w:left w:w="108" w:type="dxa"/>
            <w:bottom w:w="0" w:type="dxa"/>
            <w:right w:w="108" w:type="dxa"/>
          </w:tblCellMar>
        </w:tblPrEx>
        <w:trPr>
          <w:trHeight w:val="375" w:hRule="atLeast"/>
          <w:jc w:val="center"/>
        </w:trPr>
        <w:tc>
          <w:tcPr>
            <w:tcW w:w="2586" w:type="dxa"/>
            <w:tcBorders>
              <w:top w:val="nil"/>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他项权利设立情况</w:t>
            </w:r>
          </w:p>
        </w:tc>
        <w:tc>
          <w:tcPr>
            <w:tcW w:w="6699" w:type="dxa"/>
            <w:tcBorders>
              <w:top w:val="nil"/>
              <w:left w:val="nil"/>
              <w:bottom w:val="single" w:color="auto" w:sz="4" w:space="0"/>
              <w:right w:val="single" w:color="auto" w:sz="4" w:space="0"/>
            </w:tcBorders>
            <w:vAlign w:val="center"/>
          </w:tcPr>
          <w:p>
            <w:pPr>
              <w:widowControl/>
              <w:jc w:val="center"/>
              <w:rPr>
                <w:kern w:val="0"/>
                <w:szCs w:val="21"/>
                <w:highlight w:val="yellow"/>
              </w:rPr>
            </w:pPr>
            <w:r>
              <w:rPr>
                <w:kern w:val="0"/>
                <w:szCs w:val="21"/>
              </w:rPr>
              <w:t>至价值时点有抵押他项权利</w:t>
            </w:r>
            <w:r>
              <w:rPr>
                <w:rFonts w:hint="eastAsia"/>
                <w:kern w:val="0"/>
                <w:szCs w:val="21"/>
              </w:rPr>
              <w:t>、租赁权，</w:t>
            </w:r>
            <w:r>
              <w:rPr>
                <w:kern w:val="0"/>
                <w:szCs w:val="21"/>
              </w:rPr>
              <w:t>无典权等他项权利</w:t>
            </w:r>
          </w:p>
        </w:tc>
      </w:tr>
      <w:tr>
        <w:tblPrEx>
          <w:tblCellMar>
            <w:top w:w="0" w:type="dxa"/>
            <w:left w:w="108" w:type="dxa"/>
            <w:bottom w:w="0" w:type="dxa"/>
            <w:right w:w="108" w:type="dxa"/>
          </w:tblCellMar>
        </w:tblPrEx>
        <w:trPr>
          <w:trHeight w:val="385" w:hRule="atLeast"/>
          <w:jc w:val="center"/>
        </w:trPr>
        <w:tc>
          <w:tcPr>
            <w:tcW w:w="2586" w:type="dxa"/>
            <w:tcBorders>
              <w:top w:val="nil"/>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其他特殊情况</w:t>
            </w:r>
          </w:p>
        </w:tc>
        <w:tc>
          <w:tcPr>
            <w:tcW w:w="6699"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无</w:t>
            </w:r>
          </w:p>
        </w:tc>
      </w:tr>
    </w:tbl>
    <w:p>
      <w:pPr>
        <w:pStyle w:val="3"/>
        <w:rPr>
          <w:rFonts w:ascii="Times New Roman" w:hAnsi="Times New Roman"/>
        </w:rPr>
      </w:pPr>
      <w:bookmarkStart w:id="61" w:name="_Toc13125404"/>
      <w:bookmarkStart w:id="62" w:name="_Toc339032198"/>
      <w:r>
        <w:rPr>
          <w:rFonts w:ascii="Times New Roman" w:hAnsi="Times New Roman"/>
        </w:rPr>
        <w:t>（五）价值时点</w:t>
      </w:r>
      <w:bookmarkEnd w:id="61"/>
    </w:p>
    <w:bookmarkEnd w:id="62"/>
    <w:p>
      <w:pPr>
        <w:spacing w:line="560" w:lineRule="exact"/>
        <w:ind w:firstLine="480" w:firstLineChars="200"/>
        <w:rPr>
          <w:sz w:val="24"/>
          <w:szCs w:val="24"/>
        </w:rPr>
      </w:pPr>
      <w:r>
        <w:rPr>
          <w:rFonts w:hint="eastAsia"/>
          <w:bCs/>
          <w:sz w:val="24"/>
          <w:szCs w:val="24"/>
          <w:lang w:eastAsia="zh-CN"/>
        </w:rPr>
        <w:t>2019年10月9日</w:t>
      </w:r>
      <w:r>
        <w:rPr>
          <w:bCs/>
          <w:sz w:val="24"/>
          <w:szCs w:val="24"/>
        </w:rPr>
        <w:t>（</w:t>
      </w:r>
      <w:r>
        <w:rPr>
          <w:sz w:val="24"/>
          <w:szCs w:val="24"/>
        </w:rPr>
        <w:t>实地查勘之日</w:t>
      </w:r>
      <w:r>
        <w:rPr>
          <w:bCs/>
          <w:sz w:val="24"/>
          <w:szCs w:val="24"/>
        </w:rPr>
        <w:t>）</w:t>
      </w:r>
      <w:r>
        <w:rPr>
          <w:sz w:val="24"/>
          <w:szCs w:val="24"/>
        </w:rPr>
        <w:t>。</w:t>
      </w:r>
    </w:p>
    <w:p>
      <w:pPr>
        <w:pStyle w:val="3"/>
        <w:rPr>
          <w:rFonts w:ascii="Times New Roman" w:hAnsi="Times New Roman"/>
        </w:rPr>
      </w:pPr>
      <w:bookmarkStart w:id="63" w:name="_Toc303761205"/>
      <w:bookmarkStart w:id="64" w:name="_Toc303760766"/>
      <w:bookmarkStart w:id="65" w:name="_Toc303760499"/>
      <w:bookmarkStart w:id="66" w:name="_Toc303760135"/>
      <w:bookmarkStart w:id="67" w:name="_Toc303760600"/>
      <w:bookmarkStart w:id="68" w:name="_Toc13125405"/>
      <w:r>
        <w:rPr>
          <w:rFonts w:ascii="Times New Roman" w:hAnsi="Times New Roman"/>
        </w:rPr>
        <w:t>（六）</w:t>
      </w:r>
      <w:bookmarkEnd w:id="63"/>
      <w:bookmarkEnd w:id="64"/>
      <w:bookmarkEnd w:id="65"/>
      <w:bookmarkEnd w:id="66"/>
      <w:bookmarkEnd w:id="67"/>
      <w:r>
        <w:rPr>
          <w:rFonts w:ascii="Times New Roman" w:hAnsi="Times New Roman"/>
        </w:rPr>
        <w:t>价值类型</w:t>
      </w:r>
      <w:bookmarkEnd w:id="68"/>
    </w:p>
    <w:p>
      <w:pPr>
        <w:spacing w:line="560" w:lineRule="exact"/>
        <w:ind w:firstLine="480" w:firstLineChars="200"/>
        <w:rPr>
          <w:sz w:val="24"/>
          <w:szCs w:val="24"/>
        </w:rPr>
      </w:pPr>
      <w:r>
        <w:rPr>
          <w:sz w:val="24"/>
          <w:szCs w:val="24"/>
        </w:rPr>
        <w:t>1、价值类型名称</w:t>
      </w:r>
    </w:p>
    <w:p>
      <w:pPr>
        <w:spacing w:line="560" w:lineRule="exact"/>
        <w:ind w:firstLine="480"/>
        <w:rPr>
          <w:sz w:val="24"/>
          <w:szCs w:val="24"/>
        </w:rPr>
      </w:pPr>
      <w:r>
        <w:rPr>
          <w:sz w:val="24"/>
          <w:szCs w:val="24"/>
        </w:rPr>
        <w:t>本次估价的价值类型为房地产市场价值。</w:t>
      </w:r>
    </w:p>
    <w:p>
      <w:pPr>
        <w:spacing w:line="560" w:lineRule="exact"/>
        <w:ind w:firstLine="480"/>
        <w:rPr>
          <w:sz w:val="24"/>
          <w:szCs w:val="24"/>
        </w:rPr>
      </w:pPr>
      <w:r>
        <w:rPr>
          <w:sz w:val="24"/>
          <w:szCs w:val="24"/>
        </w:rPr>
        <w:t>2、价值定义</w:t>
      </w:r>
    </w:p>
    <w:p>
      <w:pPr>
        <w:spacing w:line="560" w:lineRule="exact"/>
        <w:ind w:firstLine="480"/>
        <w:rPr>
          <w:sz w:val="24"/>
          <w:szCs w:val="24"/>
        </w:rPr>
      </w:pPr>
      <w:r>
        <w:rPr>
          <w:sz w:val="24"/>
          <w:szCs w:val="24"/>
        </w:rPr>
        <w:t>房地产市场价值：估价对象经适当营销后，由熟悉情况，谨慎行事且不受强迫的交易双方，以公平交易方式在价值时点自愿进行交易的金额。</w:t>
      </w:r>
    </w:p>
    <w:p>
      <w:pPr>
        <w:spacing w:line="560" w:lineRule="exact"/>
        <w:ind w:firstLine="480"/>
        <w:rPr>
          <w:sz w:val="24"/>
          <w:szCs w:val="24"/>
        </w:rPr>
      </w:pPr>
      <w:r>
        <w:rPr>
          <w:sz w:val="24"/>
          <w:szCs w:val="24"/>
        </w:rPr>
        <w:t>3、价值内涵</w:t>
      </w:r>
    </w:p>
    <w:p>
      <w:pPr>
        <w:spacing w:line="560" w:lineRule="exact"/>
        <w:ind w:firstLine="480" w:firstLineChars="200"/>
        <w:rPr>
          <w:sz w:val="24"/>
          <w:szCs w:val="24"/>
        </w:rPr>
      </w:pPr>
      <w:r>
        <w:rPr>
          <w:sz w:val="24"/>
          <w:szCs w:val="24"/>
        </w:rPr>
        <w:t>价值内涵是估价对象在价值时点满足以下条件的市场价值：</w:t>
      </w:r>
    </w:p>
    <w:p>
      <w:pPr>
        <w:spacing w:line="560" w:lineRule="exact"/>
        <w:ind w:firstLine="480" w:firstLineChars="200"/>
        <w:rPr>
          <w:sz w:val="24"/>
          <w:szCs w:val="24"/>
        </w:rPr>
      </w:pPr>
      <w:r>
        <w:rPr>
          <w:sz w:val="24"/>
          <w:szCs w:val="24"/>
        </w:rPr>
        <w:t>①范围包括建筑物、室内装修、分摊的土地使用权（含土地出让金）及公共配套设施，不包括可移动的家具、电器等物品、债权债务、特许经营权等其他财产或权益；②付款方式是一次性付清房价款；③房屋面积内涵是建筑面积；④房屋开发程度为现房，具备</w:t>
      </w:r>
      <w:r>
        <w:rPr>
          <w:rFonts w:hint="eastAsia"/>
          <w:sz w:val="24"/>
          <w:szCs w:val="24"/>
        </w:rPr>
        <w:t>“</w:t>
      </w:r>
      <w:r>
        <w:rPr>
          <w:rFonts w:hint="eastAsia"/>
          <w:kern w:val="0"/>
          <w:szCs w:val="21"/>
          <w:lang w:eastAsia="zh-CN"/>
        </w:rPr>
        <w:t>五通一平</w:t>
      </w:r>
      <w:r>
        <w:rPr>
          <w:rFonts w:hint="eastAsia"/>
          <w:kern w:val="0"/>
          <w:sz w:val="24"/>
          <w:szCs w:val="24"/>
        </w:rPr>
        <w:t>”</w:t>
      </w:r>
      <w:r>
        <w:rPr>
          <w:kern w:val="0"/>
          <w:sz w:val="24"/>
          <w:szCs w:val="24"/>
        </w:rPr>
        <w:t>（通路、通水、排水、通电、通讯</w:t>
      </w:r>
      <w:r>
        <w:rPr>
          <w:rFonts w:hint="eastAsia"/>
          <w:kern w:val="0"/>
          <w:sz w:val="24"/>
          <w:szCs w:val="24"/>
          <w:lang w:eastAsia="zh-CN"/>
        </w:rPr>
        <w:t>及</w:t>
      </w:r>
      <w:r>
        <w:rPr>
          <w:kern w:val="0"/>
          <w:sz w:val="24"/>
          <w:szCs w:val="24"/>
        </w:rPr>
        <w:t>场地平整）</w:t>
      </w:r>
      <w:r>
        <w:rPr>
          <w:sz w:val="24"/>
          <w:szCs w:val="24"/>
        </w:rPr>
        <w:t>。</w:t>
      </w:r>
    </w:p>
    <w:p>
      <w:pPr>
        <w:pStyle w:val="3"/>
        <w:rPr>
          <w:rFonts w:ascii="Times New Roman" w:hAnsi="Times New Roman"/>
        </w:rPr>
      </w:pPr>
      <w:bookmarkStart w:id="69" w:name="_Toc303760601"/>
      <w:bookmarkStart w:id="70" w:name="_Toc303761206"/>
      <w:bookmarkStart w:id="71" w:name="_Toc303760767"/>
      <w:bookmarkStart w:id="72" w:name="_Toc13125406"/>
      <w:bookmarkStart w:id="73" w:name="_Toc303760136"/>
      <w:bookmarkStart w:id="74" w:name="_Toc303760500"/>
      <w:r>
        <w:rPr>
          <w:rFonts w:ascii="Times New Roman" w:hAnsi="Times New Roman"/>
        </w:rPr>
        <w:t>（七）估价原则</w:t>
      </w:r>
      <w:bookmarkEnd w:id="69"/>
      <w:bookmarkEnd w:id="70"/>
      <w:bookmarkEnd w:id="71"/>
      <w:bookmarkEnd w:id="72"/>
      <w:bookmarkEnd w:id="73"/>
      <w:bookmarkEnd w:id="74"/>
    </w:p>
    <w:p>
      <w:pPr>
        <w:spacing w:line="560" w:lineRule="exact"/>
        <w:ind w:firstLine="480" w:firstLineChars="200"/>
        <w:jc w:val="left"/>
        <w:rPr>
          <w:sz w:val="24"/>
          <w:szCs w:val="24"/>
        </w:rPr>
      </w:pPr>
      <w:r>
        <w:rPr>
          <w:sz w:val="24"/>
          <w:szCs w:val="24"/>
        </w:rPr>
        <w:t>1、独立、客观、公正原则</w:t>
      </w:r>
    </w:p>
    <w:p>
      <w:pPr>
        <w:spacing w:line="560" w:lineRule="exact"/>
        <w:ind w:firstLine="480" w:firstLineChars="200"/>
        <w:jc w:val="left"/>
        <w:rPr>
          <w:sz w:val="24"/>
          <w:szCs w:val="24"/>
        </w:rPr>
      </w:pPr>
      <w:r>
        <w:rPr>
          <w:color w:val="000000"/>
          <w:kern w:val="0"/>
          <w:sz w:val="24"/>
          <w:szCs w:val="24"/>
        </w:rPr>
        <w:t>要求站在中立的立场上，实事求是、公平正直地评估出对各方估价利害关系人均是公平合理的价值或价格的原则。</w:t>
      </w:r>
    </w:p>
    <w:p>
      <w:pPr>
        <w:spacing w:line="560" w:lineRule="exact"/>
        <w:ind w:firstLine="480" w:firstLineChars="200"/>
        <w:jc w:val="left"/>
        <w:rPr>
          <w:sz w:val="24"/>
          <w:szCs w:val="24"/>
        </w:rPr>
      </w:pPr>
      <w:r>
        <w:rPr>
          <w:sz w:val="24"/>
          <w:szCs w:val="24"/>
        </w:rPr>
        <w:t>2、合法原则</w:t>
      </w:r>
    </w:p>
    <w:p>
      <w:pPr>
        <w:spacing w:line="560" w:lineRule="exact"/>
        <w:ind w:firstLine="480" w:firstLineChars="200"/>
        <w:jc w:val="left"/>
        <w:rPr>
          <w:sz w:val="24"/>
          <w:szCs w:val="24"/>
        </w:rPr>
      </w:pPr>
      <w:r>
        <w:rPr>
          <w:color w:val="000000"/>
          <w:kern w:val="0"/>
          <w:sz w:val="24"/>
          <w:szCs w:val="24"/>
        </w:rPr>
        <w:t>要求估价结果是在依法判定的估价对象状况下的价值或价格的原则</w:t>
      </w:r>
      <w:r>
        <w:rPr>
          <w:sz w:val="24"/>
          <w:szCs w:val="24"/>
        </w:rPr>
        <w:t>。</w:t>
      </w:r>
    </w:p>
    <w:p>
      <w:pPr>
        <w:spacing w:line="560" w:lineRule="exact"/>
        <w:ind w:firstLine="480" w:firstLineChars="200"/>
        <w:jc w:val="left"/>
        <w:rPr>
          <w:sz w:val="24"/>
          <w:szCs w:val="24"/>
        </w:rPr>
      </w:pPr>
      <w:r>
        <w:rPr>
          <w:sz w:val="24"/>
          <w:szCs w:val="24"/>
        </w:rPr>
        <w:t>3、价值时点原则</w:t>
      </w:r>
    </w:p>
    <w:p>
      <w:pPr>
        <w:spacing w:line="560" w:lineRule="exact"/>
        <w:ind w:firstLine="480" w:firstLineChars="200"/>
        <w:jc w:val="left"/>
        <w:rPr>
          <w:sz w:val="24"/>
          <w:szCs w:val="24"/>
        </w:rPr>
      </w:pPr>
      <w:r>
        <w:rPr>
          <w:color w:val="000000"/>
          <w:kern w:val="0"/>
          <w:sz w:val="24"/>
          <w:szCs w:val="24"/>
        </w:rPr>
        <w:t>要求估价结果是在根据估价目的确定的某一特定时间的价值或价格的原则。</w:t>
      </w:r>
    </w:p>
    <w:p>
      <w:pPr>
        <w:spacing w:line="560" w:lineRule="exact"/>
        <w:ind w:firstLine="480" w:firstLineChars="200"/>
        <w:jc w:val="left"/>
        <w:rPr>
          <w:sz w:val="24"/>
          <w:szCs w:val="24"/>
        </w:rPr>
      </w:pPr>
      <w:r>
        <w:rPr>
          <w:sz w:val="24"/>
          <w:szCs w:val="24"/>
        </w:rPr>
        <w:t>4、替代原则</w:t>
      </w:r>
    </w:p>
    <w:p>
      <w:pPr>
        <w:spacing w:line="560" w:lineRule="exact"/>
        <w:ind w:firstLine="480" w:firstLineChars="200"/>
        <w:jc w:val="left"/>
        <w:rPr>
          <w:sz w:val="24"/>
          <w:szCs w:val="24"/>
        </w:rPr>
      </w:pPr>
      <w:r>
        <w:rPr>
          <w:color w:val="000000"/>
          <w:kern w:val="0"/>
          <w:sz w:val="24"/>
          <w:szCs w:val="24"/>
        </w:rPr>
        <w:t>要求估价结果与估价对象的类似房地产在同等条件下的价值或价格偏差在合理范围内的原则</w:t>
      </w:r>
      <w:r>
        <w:rPr>
          <w:sz w:val="24"/>
          <w:szCs w:val="24"/>
        </w:rPr>
        <w:t>。</w:t>
      </w:r>
    </w:p>
    <w:p>
      <w:pPr>
        <w:spacing w:line="560" w:lineRule="exact"/>
        <w:ind w:firstLine="480" w:firstLineChars="200"/>
        <w:jc w:val="left"/>
        <w:rPr>
          <w:sz w:val="24"/>
          <w:szCs w:val="24"/>
        </w:rPr>
      </w:pPr>
      <w:r>
        <w:rPr>
          <w:sz w:val="24"/>
          <w:szCs w:val="24"/>
        </w:rPr>
        <w:t>5、最高最佳利用原则</w:t>
      </w:r>
    </w:p>
    <w:p>
      <w:pPr>
        <w:spacing w:line="560" w:lineRule="exact"/>
        <w:ind w:firstLine="480" w:firstLineChars="200"/>
        <w:jc w:val="left"/>
        <w:rPr>
          <w:sz w:val="24"/>
          <w:szCs w:val="24"/>
        </w:rPr>
      </w:pPr>
      <w:r>
        <w:rPr>
          <w:color w:val="000000"/>
          <w:kern w:val="0"/>
          <w:sz w:val="24"/>
          <w:szCs w:val="24"/>
        </w:rPr>
        <w:t>要求估价结果是在估价对象最高最佳利用状况下的价值或价格的原则（</w:t>
      </w:r>
      <w:r>
        <w:rPr>
          <w:sz w:val="24"/>
          <w:szCs w:val="24"/>
        </w:rPr>
        <w:t>最高最佳利用：</w:t>
      </w:r>
      <w:r>
        <w:rPr>
          <w:color w:val="000000"/>
          <w:kern w:val="0"/>
          <w:sz w:val="24"/>
          <w:szCs w:val="24"/>
        </w:rPr>
        <w:t>房地产在法律上允许、技术上可能、财务上可行并使价值最大的合理、可能的利用，包括最佳的用途、规模、档次等）</w:t>
      </w:r>
      <w:r>
        <w:rPr>
          <w:sz w:val="24"/>
          <w:szCs w:val="24"/>
        </w:rPr>
        <w:t>。</w:t>
      </w:r>
    </w:p>
    <w:p>
      <w:pPr>
        <w:pStyle w:val="3"/>
        <w:rPr>
          <w:rFonts w:ascii="Times New Roman" w:hAnsi="Times New Roman"/>
        </w:rPr>
      </w:pPr>
      <w:bookmarkStart w:id="75" w:name="_Toc303760501"/>
      <w:bookmarkStart w:id="76" w:name="_Toc303760768"/>
      <w:bookmarkStart w:id="77" w:name="_Toc303760137"/>
      <w:bookmarkStart w:id="78" w:name="_Toc303761207"/>
      <w:bookmarkStart w:id="79" w:name="_Toc303760602"/>
      <w:bookmarkStart w:id="80" w:name="_Toc13125407"/>
      <w:r>
        <w:rPr>
          <w:rFonts w:ascii="Times New Roman" w:hAnsi="Times New Roman"/>
        </w:rPr>
        <w:t>（八）估价</w:t>
      </w:r>
      <w:bookmarkEnd w:id="75"/>
      <w:bookmarkEnd w:id="76"/>
      <w:bookmarkEnd w:id="77"/>
      <w:bookmarkEnd w:id="78"/>
      <w:bookmarkEnd w:id="79"/>
      <w:r>
        <w:rPr>
          <w:rFonts w:ascii="Times New Roman" w:hAnsi="Times New Roman"/>
        </w:rPr>
        <w:t>依据</w:t>
      </w:r>
      <w:bookmarkEnd w:id="80"/>
    </w:p>
    <w:p>
      <w:pPr>
        <w:spacing w:line="560" w:lineRule="exact"/>
        <w:ind w:firstLine="480" w:firstLineChars="200"/>
        <w:jc w:val="left"/>
        <w:rPr>
          <w:sz w:val="24"/>
          <w:szCs w:val="24"/>
        </w:rPr>
      </w:pPr>
      <w:bookmarkStart w:id="81" w:name="_Toc303760603"/>
      <w:bookmarkStart w:id="82" w:name="_Toc303761208"/>
      <w:bookmarkStart w:id="83" w:name="_Toc303760769"/>
      <w:bookmarkStart w:id="84" w:name="_Toc303760138"/>
      <w:bookmarkStart w:id="85" w:name="_Toc303760502"/>
      <w:r>
        <w:rPr>
          <w:sz w:val="24"/>
          <w:szCs w:val="24"/>
        </w:rPr>
        <w:t>1、《中华人民共和国城市房地产管理法》（2007年修正）；</w:t>
      </w:r>
    </w:p>
    <w:p>
      <w:pPr>
        <w:spacing w:line="560" w:lineRule="exact"/>
        <w:ind w:firstLine="480" w:firstLineChars="200"/>
        <w:jc w:val="left"/>
        <w:rPr>
          <w:sz w:val="24"/>
          <w:szCs w:val="24"/>
        </w:rPr>
      </w:pPr>
      <w:r>
        <w:rPr>
          <w:sz w:val="24"/>
          <w:szCs w:val="24"/>
        </w:rPr>
        <w:t>2、《中华人民共和国土地管理法实施条例》（2014年修正）；</w:t>
      </w:r>
    </w:p>
    <w:p>
      <w:pPr>
        <w:spacing w:line="560" w:lineRule="exact"/>
        <w:ind w:firstLine="480" w:firstLineChars="200"/>
        <w:jc w:val="left"/>
        <w:rPr>
          <w:sz w:val="24"/>
          <w:szCs w:val="24"/>
        </w:rPr>
      </w:pPr>
      <w:r>
        <w:rPr>
          <w:sz w:val="24"/>
          <w:szCs w:val="24"/>
        </w:rPr>
        <w:t>3、《中华人民共和国物权法》（2007年）；</w:t>
      </w:r>
    </w:p>
    <w:p>
      <w:pPr>
        <w:spacing w:line="560" w:lineRule="exact"/>
        <w:ind w:firstLine="480" w:firstLineChars="200"/>
        <w:jc w:val="left"/>
        <w:rPr>
          <w:sz w:val="24"/>
          <w:szCs w:val="24"/>
        </w:rPr>
      </w:pPr>
      <w:r>
        <w:rPr>
          <w:sz w:val="24"/>
          <w:szCs w:val="24"/>
        </w:rPr>
        <w:t>4、《房地产估价规范》（GB/T50291-2015）；</w:t>
      </w:r>
    </w:p>
    <w:p>
      <w:pPr>
        <w:spacing w:line="560" w:lineRule="exact"/>
        <w:ind w:firstLine="480" w:firstLineChars="200"/>
        <w:jc w:val="left"/>
        <w:rPr>
          <w:kern w:val="0"/>
          <w:sz w:val="24"/>
          <w:szCs w:val="24"/>
        </w:rPr>
      </w:pPr>
      <w:r>
        <w:rPr>
          <w:sz w:val="24"/>
          <w:szCs w:val="24"/>
        </w:rPr>
        <w:t>5、《最高院关于人民法院委托评估、拍卖和变卖工作的若干规定</w:t>
      </w:r>
      <w:r>
        <w:rPr>
          <w:kern w:val="0"/>
          <w:sz w:val="24"/>
          <w:szCs w:val="24"/>
        </w:rPr>
        <w:t>》（</w:t>
      </w:r>
      <w:r>
        <w:rPr>
          <w:color w:val="333333"/>
          <w:sz w:val="22"/>
          <w:szCs w:val="22"/>
        </w:rPr>
        <w:t>法释[2009]16号)</w:t>
      </w:r>
      <w:r>
        <w:rPr>
          <w:kern w:val="0"/>
          <w:sz w:val="24"/>
          <w:szCs w:val="24"/>
        </w:rPr>
        <w:t>）；</w:t>
      </w:r>
    </w:p>
    <w:p>
      <w:pPr>
        <w:spacing w:line="560" w:lineRule="exact"/>
        <w:ind w:firstLine="480" w:firstLineChars="200"/>
        <w:jc w:val="left"/>
        <w:rPr>
          <w:sz w:val="24"/>
          <w:szCs w:val="24"/>
        </w:rPr>
      </w:pPr>
      <w:r>
        <w:rPr>
          <w:sz w:val="24"/>
          <w:szCs w:val="24"/>
        </w:rPr>
        <w:t>6、《房地产估价基本术语标准》（2014-02-01）</w:t>
      </w:r>
    </w:p>
    <w:p>
      <w:pPr>
        <w:spacing w:line="560" w:lineRule="exact"/>
        <w:ind w:firstLine="480" w:firstLineChars="200"/>
        <w:jc w:val="left"/>
        <w:rPr>
          <w:sz w:val="24"/>
          <w:szCs w:val="24"/>
        </w:rPr>
      </w:pPr>
      <w:r>
        <w:rPr>
          <w:sz w:val="24"/>
          <w:szCs w:val="24"/>
        </w:rPr>
        <w:t>7、</w:t>
      </w:r>
      <w:r>
        <w:rPr>
          <w:rFonts w:hint="eastAsia"/>
          <w:sz w:val="24"/>
          <w:szCs w:val="24"/>
          <w:lang w:eastAsia="zh-CN"/>
        </w:rPr>
        <w:t>《</w:t>
      </w:r>
      <w:r>
        <w:rPr>
          <w:rFonts w:hint="eastAsia"/>
          <w:sz w:val="24"/>
          <w:szCs w:val="24"/>
          <w:highlight w:val="none"/>
          <w:lang w:eastAsia="zh-CN"/>
        </w:rPr>
        <w:t>不动产登记信息》</w:t>
      </w:r>
      <w:r>
        <w:rPr>
          <w:rFonts w:hint="eastAsia"/>
          <w:sz w:val="24"/>
          <w:szCs w:val="24"/>
          <w:highlight w:val="none"/>
        </w:rPr>
        <w:t>复印件</w:t>
      </w:r>
      <w:r>
        <w:rPr>
          <w:sz w:val="24"/>
          <w:szCs w:val="24"/>
          <w:highlight w:val="none"/>
        </w:rPr>
        <w:t>；</w:t>
      </w:r>
    </w:p>
    <w:p>
      <w:pPr>
        <w:spacing w:line="560" w:lineRule="exact"/>
        <w:ind w:left="719" w:leftChars="228" w:hanging="240" w:hangingChars="100"/>
        <w:jc w:val="left"/>
        <w:rPr>
          <w:color w:val="FF0000"/>
          <w:sz w:val="24"/>
          <w:szCs w:val="24"/>
        </w:rPr>
      </w:pPr>
      <w:r>
        <w:rPr>
          <w:sz w:val="24"/>
          <w:szCs w:val="24"/>
        </w:rPr>
        <w:t>8、</w:t>
      </w:r>
      <w:r>
        <w:rPr>
          <w:sz w:val="24"/>
        </w:rPr>
        <w:t>房地产价格评估委托书</w:t>
      </w:r>
      <w:r>
        <w:rPr>
          <w:sz w:val="24"/>
          <w:szCs w:val="24"/>
        </w:rPr>
        <w:t>；</w:t>
      </w:r>
    </w:p>
    <w:p>
      <w:pPr>
        <w:spacing w:line="560" w:lineRule="exact"/>
        <w:ind w:firstLine="480" w:firstLineChars="200"/>
        <w:jc w:val="left"/>
        <w:rPr>
          <w:sz w:val="24"/>
          <w:szCs w:val="24"/>
        </w:rPr>
      </w:pPr>
      <w:r>
        <w:rPr>
          <w:sz w:val="24"/>
          <w:szCs w:val="24"/>
        </w:rPr>
        <w:t>9、估价人员所收集到的房地产市场资料；</w:t>
      </w:r>
    </w:p>
    <w:p>
      <w:pPr>
        <w:spacing w:line="560" w:lineRule="exact"/>
        <w:ind w:firstLine="480" w:firstLineChars="200"/>
        <w:jc w:val="left"/>
        <w:rPr>
          <w:sz w:val="24"/>
          <w:szCs w:val="24"/>
        </w:rPr>
      </w:pPr>
      <w:r>
        <w:rPr>
          <w:sz w:val="24"/>
          <w:szCs w:val="24"/>
        </w:rPr>
        <w:t>10、估价人员现场查勘所获取的有关资料。</w:t>
      </w:r>
    </w:p>
    <w:p>
      <w:pPr>
        <w:pStyle w:val="3"/>
        <w:rPr>
          <w:rFonts w:ascii="Times New Roman" w:hAnsi="Times New Roman"/>
        </w:rPr>
      </w:pPr>
      <w:bookmarkStart w:id="86" w:name="_Toc13125408"/>
      <w:r>
        <w:rPr>
          <w:rFonts w:ascii="Times New Roman" w:hAnsi="Times New Roman"/>
        </w:rPr>
        <w:t>（九）估价方法</w:t>
      </w:r>
      <w:bookmarkEnd w:id="81"/>
      <w:bookmarkEnd w:id="82"/>
      <w:bookmarkEnd w:id="83"/>
      <w:bookmarkEnd w:id="84"/>
      <w:bookmarkEnd w:id="85"/>
      <w:bookmarkEnd w:id="86"/>
    </w:p>
    <w:p>
      <w:pPr>
        <w:spacing w:line="560" w:lineRule="exact"/>
        <w:ind w:firstLine="480" w:firstLineChars="200"/>
        <w:rPr>
          <w:sz w:val="24"/>
          <w:szCs w:val="24"/>
        </w:rPr>
      </w:pPr>
      <w:r>
        <w:rPr>
          <w:sz w:val="24"/>
          <w:szCs w:val="24"/>
        </w:rPr>
        <w:t>估价人员根据中华人民共和国国家标准《房地产估价规范》结合估价对象和当地房地产市场状况以及此次评估的目的选择估价方法。房地产评估方法主要有比较法、收益法、成本法、假设开发法。</w:t>
      </w:r>
      <w:r>
        <w:rPr>
          <w:bCs/>
          <w:sz w:val="24"/>
          <w:szCs w:val="24"/>
        </w:rPr>
        <w:t>比较法适用于同类房地产交易案例较多的房地产估价；收益法适用于有收益或潜在收益的房地产估价；假设开发法适用于具有投资开发或再开发潜力的房地产估价；成本法适用于无市场依据或市场依据不充分而不宜采用比较法、收益法、假设开发法进行估价情况的房地产估价。</w:t>
      </w:r>
    </w:p>
    <w:p>
      <w:pPr>
        <w:spacing w:line="560" w:lineRule="exact"/>
        <w:ind w:firstLine="480" w:firstLineChars="200"/>
        <w:rPr>
          <w:sz w:val="24"/>
          <w:szCs w:val="24"/>
        </w:rPr>
      </w:pPr>
      <w:r>
        <w:rPr>
          <w:bCs/>
          <w:sz w:val="24"/>
          <w:szCs w:val="24"/>
        </w:rPr>
        <w:t>通过对估价对象的实地查勘和对本地区房地产市场情况的调查后分析：估价对象</w:t>
      </w:r>
      <w:r>
        <w:rPr>
          <w:sz w:val="24"/>
          <w:szCs w:val="24"/>
        </w:rPr>
        <w:t>属于成熟小区的住宅房地产</w:t>
      </w:r>
      <w:r>
        <w:rPr>
          <w:bCs/>
          <w:sz w:val="24"/>
          <w:szCs w:val="24"/>
        </w:rPr>
        <w:t>，本</w:t>
      </w:r>
      <w:r>
        <w:rPr>
          <w:sz w:val="24"/>
          <w:szCs w:val="24"/>
        </w:rPr>
        <w:t>区域住宅房地产交易市场比较活跃，与估价对象类似的交易案例较多</w:t>
      </w:r>
      <w:r>
        <w:rPr>
          <w:bCs/>
          <w:sz w:val="24"/>
          <w:szCs w:val="24"/>
        </w:rPr>
        <w:t>，适合使用比较法评估；估价对象住宅可以租赁，属于有潜在收益的房地产，适合使用收益法评估；估价对象是按其规划用途正在使用且正常使用的房地产，且已达到最高最佳使用状态，无需再开发，因此不适宜采用假设开发法评估；虽然估价对象理论上适用成本法，但运用时受到客观条件的限制，特别是现时成套住宅价格主要受市场供求关系左右，成本法的均衡原理已经被淡化，在这种背景下，成套住宅房地产价格与开发成本的关联性较弱，房地产的开发成本不能准确反映出房地产的现时市场价格，故不适合选用成本法。</w:t>
      </w:r>
    </w:p>
    <w:p>
      <w:pPr>
        <w:spacing w:line="560" w:lineRule="exact"/>
        <w:ind w:firstLine="480" w:firstLineChars="200"/>
        <w:rPr>
          <w:sz w:val="24"/>
          <w:szCs w:val="24"/>
        </w:rPr>
      </w:pPr>
      <w:r>
        <w:rPr>
          <w:sz w:val="24"/>
          <w:szCs w:val="24"/>
        </w:rPr>
        <w:t>比较法是选取一定数量的可比实例，将它们与估价对象进行比较，根据其间的差异对可比实例成交价格进行处理后得到估价对象价值或价格的方法；收益法是预测估价对象的未来收益，利用报酬率或资本化率、收益乘数将未来收益转换为价值得到估价对象价值或价格的方法。</w:t>
      </w:r>
    </w:p>
    <w:p>
      <w:pPr>
        <w:spacing w:line="560" w:lineRule="exact"/>
        <w:ind w:firstLine="480" w:firstLineChars="200"/>
        <w:rPr>
          <w:sz w:val="24"/>
          <w:szCs w:val="24"/>
        </w:rPr>
      </w:pPr>
      <w:r>
        <w:rPr>
          <w:sz w:val="24"/>
          <w:szCs w:val="24"/>
        </w:rPr>
        <w:t>综上所述，本报告将采用比较法和收益法对估价对象进行评估。</w:t>
      </w:r>
    </w:p>
    <w:p>
      <w:pPr>
        <w:pStyle w:val="3"/>
        <w:rPr>
          <w:rFonts w:ascii="Times New Roman" w:hAnsi="Times New Roman"/>
        </w:rPr>
      </w:pPr>
      <w:bookmarkStart w:id="87" w:name="_Toc303761209"/>
      <w:bookmarkStart w:id="88" w:name="_Toc13125409"/>
      <w:bookmarkStart w:id="89" w:name="_Toc303760503"/>
      <w:bookmarkStart w:id="90" w:name="_Toc303760770"/>
      <w:bookmarkStart w:id="91" w:name="_Toc303760139"/>
      <w:bookmarkStart w:id="92" w:name="_Toc303760604"/>
      <w:r>
        <w:rPr>
          <w:rFonts w:ascii="Times New Roman" w:hAnsi="Times New Roman"/>
        </w:rPr>
        <w:t>（十）估价结果</w:t>
      </w:r>
      <w:bookmarkEnd w:id="87"/>
      <w:bookmarkEnd w:id="88"/>
      <w:bookmarkEnd w:id="89"/>
      <w:bookmarkEnd w:id="90"/>
      <w:bookmarkEnd w:id="91"/>
      <w:bookmarkEnd w:id="92"/>
    </w:p>
    <w:p>
      <w:pPr>
        <w:spacing w:line="560" w:lineRule="exact"/>
        <w:ind w:firstLine="482" w:firstLineChars="200"/>
        <w:rPr>
          <w:rFonts w:hint="eastAsia"/>
          <w:bCs/>
          <w:sz w:val="24"/>
        </w:rPr>
      </w:pPr>
      <w:r>
        <w:rPr>
          <w:b/>
          <w:sz w:val="24"/>
          <w:szCs w:val="24"/>
        </w:rPr>
        <w:t xml:space="preserve">   </w:t>
      </w:r>
      <w:r>
        <w:rPr>
          <w:sz w:val="24"/>
          <w:szCs w:val="24"/>
        </w:rPr>
        <w:t>本房地产估价机构根据估价目的，遵循估价原则，按照估价工作程序，采用科学合理的估价方法，经过周密、准确的测算，并结合估价经验和对影响房地产市场价格的因素进行分析，确定估价对象在符合报告中已说明的有关假设和限制条件的基础上，于价值时点</w:t>
      </w:r>
      <w:r>
        <w:rPr>
          <w:rFonts w:hint="eastAsia" w:eastAsia="黑体"/>
          <w:bCs/>
          <w:sz w:val="24"/>
          <w:szCs w:val="24"/>
          <w:lang w:eastAsia="zh-CN"/>
        </w:rPr>
        <w:t>2019年10月9日</w:t>
      </w:r>
      <w:r>
        <w:rPr>
          <w:rFonts w:eastAsia="黑体"/>
          <w:bCs/>
          <w:sz w:val="24"/>
        </w:rPr>
        <w:t>的估价结果如下</w:t>
      </w:r>
      <w:r>
        <w:rPr>
          <w:bCs/>
          <w:sz w:val="24"/>
        </w:rPr>
        <w:t xml:space="preserve">：                  </w:t>
      </w:r>
      <w:r>
        <w:rPr>
          <w:rFonts w:hint="eastAsia"/>
          <w:bCs/>
          <w:sz w:val="24"/>
        </w:rPr>
        <w:t xml:space="preserve">         </w:t>
      </w:r>
    </w:p>
    <w:p>
      <w:pPr>
        <w:spacing w:line="560" w:lineRule="exact"/>
        <w:ind w:firstLine="7320" w:firstLineChars="3050"/>
        <w:rPr>
          <w:bCs/>
          <w:sz w:val="24"/>
        </w:rPr>
      </w:pPr>
      <w:r>
        <w:rPr>
          <w:bCs/>
          <w:sz w:val="24"/>
        </w:rPr>
        <w:t xml:space="preserve">    币种：人民币</w:t>
      </w:r>
    </w:p>
    <w:tbl>
      <w:tblPr>
        <w:tblStyle w:val="28"/>
        <w:tblW w:w="9978" w:type="dxa"/>
        <w:jc w:val="center"/>
        <w:tblLayout w:type="fixed"/>
        <w:tblCellMar>
          <w:top w:w="0" w:type="dxa"/>
          <w:left w:w="108" w:type="dxa"/>
          <w:bottom w:w="0" w:type="dxa"/>
          <w:right w:w="108" w:type="dxa"/>
        </w:tblCellMar>
      </w:tblPr>
      <w:tblGrid>
        <w:gridCol w:w="3741"/>
        <w:gridCol w:w="1417"/>
        <w:gridCol w:w="4820"/>
      </w:tblGrid>
      <w:tr>
        <w:tblPrEx>
          <w:tblCellMar>
            <w:top w:w="0" w:type="dxa"/>
            <w:left w:w="108" w:type="dxa"/>
            <w:bottom w:w="0" w:type="dxa"/>
            <w:right w:w="108" w:type="dxa"/>
          </w:tblCellMar>
        </w:tblPrEx>
        <w:trPr>
          <w:trHeight w:val="584" w:hRule="atLeast"/>
          <w:jc w:val="center"/>
        </w:trPr>
        <w:tc>
          <w:tcPr>
            <w:tcW w:w="3741" w:type="dxa"/>
            <w:tcBorders>
              <w:top w:val="single" w:color="auto" w:sz="4" w:space="0"/>
              <w:left w:val="single" w:color="auto" w:sz="4" w:space="0"/>
              <w:bottom w:val="single" w:color="auto" w:sz="4" w:space="0"/>
              <w:right w:val="single" w:color="auto" w:sz="4" w:space="0"/>
            </w:tcBorders>
          </w:tcPr>
          <w:p>
            <w:pPr>
              <w:spacing w:line="580" w:lineRule="exact"/>
              <w:rPr>
                <w:sz w:val="24"/>
                <w:szCs w:val="24"/>
              </w:rPr>
            </w:pPr>
            <w:r>
              <w:rPr>
                <w:sz w:val="24"/>
                <w:szCs w:val="24"/>
              </w:rPr>
              <w:t>估价对象在价值时点的市场单价</w:t>
            </w:r>
          </w:p>
        </w:tc>
        <w:tc>
          <w:tcPr>
            <w:tcW w:w="1417" w:type="dxa"/>
            <w:tcBorders>
              <w:top w:val="single" w:color="auto" w:sz="4" w:space="0"/>
              <w:left w:val="single" w:color="auto" w:sz="4" w:space="0"/>
              <w:bottom w:val="single" w:color="auto" w:sz="4" w:space="0"/>
              <w:right w:val="single" w:color="auto" w:sz="4" w:space="0"/>
            </w:tcBorders>
            <w:vAlign w:val="top"/>
          </w:tcPr>
          <w:p>
            <w:pPr>
              <w:spacing w:line="580" w:lineRule="exact"/>
              <w:rPr>
                <w:sz w:val="24"/>
                <w:szCs w:val="24"/>
              </w:rPr>
            </w:pPr>
            <w:r>
              <w:rPr>
                <w:rFonts w:hint="eastAsia"/>
                <w:sz w:val="24"/>
                <w:szCs w:val="24"/>
                <w:lang w:eastAsia="zh-CN"/>
              </w:rPr>
              <w:t>42</w:t>
            </w:r>
            <w:r>
              <w:rPr>
                <w:rFonts w:hint="eastAsia"/>
                <w:sz w:val="24"/>
                <w:szCs w:val="24"/>
                <w:lang w:val="en-US" w:eastAsia="zh-CN"/>
              </w:rPr>
              <w:t>40</w:t>
            </w:r>
            <w:r>
              <w:rPr>
                <w:rFonts w:hAnsi="宋体"/>
                <w:bCs/>
                <w:sz w:val="24"/>
                <w:szCs w:val="24"/>
              </w:rPr>
              <w:t>元</w:t>
            </w:r>
            <w:r>
              <w:rPr>
                <w:bCs/>
                <w:sz w:val="24"/>
                <w:szCs w:val="24"/>
              </w:rPr>
              <w:t>/</w:t>
            </w:r>
            <w:r>
              <w:rPr>
                <w:rFonts w:hAnsi="宋体"/>
                <w:bCs/>
                <w:sz w:val="24"/>
                <w:szCs w:val="24"/>
              </w:rPr>
              <w:t>㎡</w:t>
            </w:r>
          </w:p>
        </w:tc>
        <w:tc>
          <w:tcPr>
            <w:tcW w:w="4820" w:type="dxa"/>
            <w:tcBorders>
              <w:top w:val="single" w:color="auto" w:sz="4" w:space="0"/>
              <w:left w:val="single" w:color="auto" w:sz="4" w:space="0"/>
              <w:bottom w:val="single" w:color="auto" w:sz="4" w:space="0"/>
              <w:right w:val="single" w:color="auto" w:sz="4" w:space="0"/>
            </w:tcBorders>
            <w:vAlign w:val="top"/>
          </w:tcPr>
          <w:p>
            <w:pPr>
              <w:spacing w:line="580" w:lineRule="exact"/>
              <w:rPr>
                <w:sz w:val="24"/>
                <w:szCs w:val="24"/>
              </w:rPr>
            </w:pPr>
            <w:r>
              <w:rPr>
                <w:sz w:val="24"/>
                <w:szCs w:val="24"/>
              </w:rPr>
              <w:t>大写</w:t>
            </w:r>
            <w:r>
              <w:rPr>
                <w:rFonts w:hint="eastAsia"/>
                <w:sz w:val="24"/>
                <w:szCs w:val="24"/>
              </w:rPr>
              <w:t>：</w:t>
            </w:r>
            <w:r>
              <w:rPr>
                <w:sz w:val="24"/>
                <w:szCs w:val="24"/>
              </w:rPr>
              <w:t>人民币</w:t>
            </w:r>
            <w:r>
              <w:rPr>
                <w:rFonts w:hint="eastAsia"/>
                <w:sz w:val="24"/>
                <w:szCs w:val="24"/>
                <w:lang w:eastAsia="zh-CN"/>
              </w:rPr>
              <w:t>肆仟贰佰肆拾</w:t>
            </w:r>
            <w:r>
              <w:rPr>
                <w:bCs/>
                <w:sz w:val="24"/>
                <w:szCs w:val="24"/>
              </w:rPr>
              <w:t>元每平方米</w:t>
            </w:r>
            <w:r>
              <w:rPr>
                <w:rFonts w:hint="eastAsia"/>
                <w:bCs/>
                <w:sz w:val="24"/>
                <w:szCs w:val="24"/>
              </w:rPr>
              <w:t>；</w:t>
            </w:r>
          </w:p>
        </w:tc>
      </w:tr>
      <w:tr>
        <w:tblPrEx>
          <w:tblCellMar>
            <w:top w:w="0" w:type="dxa"/>
            <w:left w:w="108" w:type="dxa"/>
            <w:bottom w:w="0" w:type="dxa"/>
            <w:right w:w="108" w:type="dxa"/>
          </w:tblCellMar>
        </w:tblPrEx>
        <w:trPr>
          <w:trHeight w:val="558" w:hRule="atLeast"/>
          <w:jc w:val="center"/>
        </w:trPr>
        <w:tc>
          <w:tcPr>
            <w:tcW w:w="3741" w:type="dxa"/>
            <w:tcBorders>
              <w:top w:val="single" w:color="auto" w:sz="4" w:space="0"/>
              <w:left w:val="single" w:color="auto" w:sz="4" w:space="0"/>
              <w:bottom w:val="single" w:color="auto" w:sz="4" w:space="0"/>
              <w:right w:val="single" w:color="auto" w:sz="4" w:space="0"/>
            </w:tcBorders>
          </w:tcPr>
          <w:p>
            <w:pPr>
              <w:spacing w:line="580" w:lineRule="exact"/>
              <w:rPr>
                <w:sz w:val="24"/>
                <w:szCs w:val="24"/>
              </w:rPr>
            </w:pPr>
            <w:r>
              <w:rPr>
                <w:sz w:val="24"/>
                <w:szCs w:val="24"/>
              </w:rPr>
              <w:t>估价对象在价值时点的市场总价</w:t>
            </w:r>
          </w:p>
        </w:tc>
        <w:tc>
          <w:tcPr>
            <w:tcW w:w="1417" w:type="dxa"/>
            <w:tcBorders>
              <w:top w:val="single" w:color="auto" w:sz="4" w:space="0"/>
              <w:left w:val="single" w:color="auto" w:sz="4" w:space="0"/>
              <w:bottom w:val="single" w:color="auto" w:sz="4" w:space="0"/>
              <w:right w:val="single" w:color="auto" w:sz="4" w:space="0"/>
            </w:tcBorders>
            <w:vAlign w:val="top"/>
          </w:tcPr>
          <w:p>
            <w:pPr>
              <w:spacing w:line="580" w:lineRule="exact"/>
              <w:rPr>
                <w:sz w:val="24"/>
                <w:szCs w:val="24"/>
              </w:rPr>
            </w:pPr>
            <w:r>
              <w:rPr>
                <w:rFonts w:hint="eastAsia"/>
                <w:sz w:val="24"/>
                <w:szCs w:val="24"/>
                <w:lang w:eastAsia="zh-CN"/>
              </w:rPr>
              <w:t>46.</w:t>
            </w:r>
            <w:r>
              <w:rPr>
                <w:rFonts w:hint="eastAsia"/>
                <w:sz w:val="24"/>
                <w:szCs w:val="24"/>
                <w:lang w:val="en-US" w:eastAsia="zh-CN"/>
              </w:rPr>
              <w:t>5</w:t>
            </w:r>
            <w:r>
              <w:rPr>
                <w:rFonts w:hint="eastAsia"/>
                <w:sz w:val="24"/>
                <w:szCs w:val="24"/>
                <w:lang w:eastAsia="zh-CN"/>
              </w:rPr>
              <w:t>7</w:t>
            </w:r>
            <w:r>
              <w:rPr>
                <w:sz w:val="24"/>
                <w:szCs w:val="24"/>
              </w:rPr>
              <w:t>万元</w:t>
            </w:r>
          </w:p>
        </w:tc>
        <w:tc>
          <w:tcPr>
            <w:tcW w:w="4820" w:type="dxa"/>
            <w:tcBorders>
              <w:top w:val="single" w:color="auto" w:sz="4" w:space="0"/>
              <w:left w:val="single" w:color="auto" w:sz="4" w:space="0"/>
              <w:bottom w:val="single" w:color="auto" w:sz="4" w:space="0"/>
              <w:right w:val="single" w:color="auto" w:sz="4" w:space="0"/>
            </w:tcBorders>
            <w:vAlign w:val="top"/>
          </w:tcPr>
          <w:p>
            <w:pPr>
              <w:spacing w:line="580" w:lineRule="exact"/>
              <w:rPr>
                <w:sz w:val="24"/>
                <w:szCs w:val="24"/>
              </w:rPr>
            </w:pPr>
            <w:r>
              <w:rPr>
                <w:sz w:val="24"/>
                <w:szCs w:val="24"/>
              </w:rPr>
              <w:t>大写</w:t>
            </w:r>
            <w:r>
              <w:rPr>
                <w:rFonts w:hint="eastAsia"/>
                <w:sz w:val="24"/>
                <w:szCs w:val="24"/>
              </w:rPr>
              <w:t>：</w:t>
            </w:r>
            <w:r>
              <w:rPr>
                <w:sz w:val="24"/>
                <w:szCs w:val="24"/>
              </w:rPr>
              <w:t>人民币</w:t>
            </w:r>
            <w:r>
              <w:rPr>
                <w:rFonts w:hint="eastAsia"/>
                <w:sz w:val="24"/>
                <w:szCs w:val="24"/>
                <w:lang w:eastAsia="zh-CN"/>
              </w:rPr>
              <w:t>肆拾陆万伍仟柒佰</w:t>
            </w:r>
            <w:r>
              <w:rPr>
                <w:sz w:val="24"/>
                <w:szCs w:val="24"/>
              </w:rPr>
              <w:t>元</w:t>
            </w:r>
            <w:r>
              <w:rPr>
                <w:bCs/>
                <w:sz w:val="24"/>
                <w:szCs w:val="24"/>
              </w:rPr>
              <w:t>整</w:t>
            </w:r>
            <w:r>
              <w:rPr>
                <w:rFonts w:hint="eastAsia"/>
                <w:bCs/>
                <w:sz w:val="24"/>
                <w:szCs w:val="24"/>
              </w:rPr>
              <w:t>。</w:t>
            </w:r>
          </w:p>
        </w:tc>
      </w:tr>
    </w:tbl>
    <w:p>
      <w:pPr>
        <w:spacing w:line="600" w:lineRule="exact"/>
        <w:ind w:firstLine="480" w:firstLineChars="200"/>
        <w:rPr>
          <w:sz w:val="24"/>
          <w:szCs w:val="24"/>
        </w:rPr>
      </w:pPr>
      <w:r>
        <w:rPr>
          <w:sz w:val="24"/>
          <w:szCs w:val="24"/>
        </w:rPr>
        <w:t>具体评估和测算过程详见《房地产估价技术报告》。</w:t>
      </w:r>
    </w:p>
    <w:p>
      <w:pPr>
        <w:pStyle w:val="3"/>
        <w:spacing w:line="540" w:lineRule="atLeast"/>
        <w:rPr>
          <w:rFonts w:ascii="Times New Roman" w:hAnsi="Times New Roman"/>
        </w:rPr>
      </w:pPr>
      <w:bookmarkStart w:id="93" w:name="_Toc303760504"/>
      <w:bookmarkStart w:id="94" w:name="_Toc303760605"/>
      <w:bookmarkStart w:id="95" w:name="_Toc303761210"/>
      <w:bookmarkStart w:id="96" w:name="_Toc303760771"/>
      <w:bookmarkStart w:id="97" w:name="_Toc303760140"/>
      <w:bookmarkStart w:id="98" w:name="_Toc13125410"/>
      <w:r>
        <w:rPr>
          <w:rFonts w:ascii="Times New Roman" w:hAnsi="Times New Roman"/>
        </w:rPr>
        <w:t>（十一）</w:t>
      </w:r>
      <w:bookmarkEnd w:id="93"/>
      <w:bookmarkEnd w:id="94"/>
      <w:bookmarkEnd w:id="95"/>
      <w:bookmarkEnd w:id="96"/>
      <w:bookmarkEnd w:id="97"/>
      <w:r>
        <w:rPr>
          <w:rFonts w:ascii="Times New Roman" w:hAnsi="Times New Roman"/>
        </w:rPr>
        <w:t>注册房地产估价师</w:t>
      </w:r>
      <w:bookmarkEnd w:id="98"/>
    </w:p>
    <w:p>
      <w:pPr>
        <w:spacing w:line="540" w:lineRule="atLeast"/>
        <w:ind w:firstLine="465"/>
        <w:rPr>
          <w:bCs/>
          <w:sz w:val="24"/>
          <w:szCs w:val="24"/>
        </w:rPr>
      </w:pPr>
      <w:r>
        <w:rPr>
          <w:bCs/>
          <w:sz w:val="24"/>
          <w:szCs w:val="24"/>
        </w:rPr>
        <w:t>参加本次估价的注册房地产估价师：</w:t>
      </w:r>
    </w:p>
    <w:tbl>
      <w:tblPr>
        <w:tblStyle w:val="28"/>
        <w:tblW w:w="95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7"/>
        <w:gridCol w:w="2520"/>
        <w:gridCol w:w="2420"/>
        <w:gridCol w:w="3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7" w:type="dxa"/>
            <w:vAlign w:val="center"/>
          </w:tcPr>
          <w:p>
            <w:pPr>
              <w:spacing w:line="560" w:lineRule="exact"/>
              <w:jc w:val="center"/>
              <w:rPr>
                <w:sz w:val="24"/>
                <w:szCs w:val="24"/>
              </w:rPr>
            </w:pPr>
            <w:r>
              <w:rPr>
                <w:sz w:val="24"/>
                <w:szCs w:val="24"/>
              </w:rPr>
              <w:t>姓名</w:t>
            </w:r>
          </w:p>
        </w:tc>
        <w:tc>
          <w:tcPr>
            <w:tcW w:w="2520" w:type="dxa"/>
            <w:vAlign w:val="center"/>
          </w:tcPr>
          <w:p>
            <w:pPr>
              <w:spacing w:line="560" w:lineRule="exact"/>
              <w:jc w:val="center"/>
              <w:rPr>
                <w:sz w:val="24"/>
                <w:szCs w:val="24"/>
              </w:rPr>
            </w:pPr>
            <w:r>
              <w:rPr>
                <w:sz w:val="24"/>
                <w:szCs w:val="24"/>
              </w:rPr>
              <w:t>注册号</w:t>
            </w:r>
          </w:p>
        </w:tc>
        <w:tc>
          <w:tcPr>
            <w:tcW w:w="2420" w:type="dxa"/>
            <w:vAlign w:val="center"/>
          </w:tcPr>
          <w:p>
            <w:pPr>
              <w:spacing w:line="560" w:lineRule="exact"/>
              <w:jc w:val="center"/>
              <w:rPr>
                <w:sz w:val="24"/>
                <w:szCs w:val="24"/>
              </w:rPr>
            </w:pPr>
            <w:r>
              <w:rPr>
                <w:sz w:val="24"/>
                <w:szCs w:val="24"/>
              </w:rPr>
              <w:t>签名</w:t>
            </w:r>
          </w:p>
        </w:tc>
        <w:tc>
          <w:tcPr>
            <w:tcW w:w="3087" w:type="dxa"/>
            <w:vAlign w:val="center"/>
          </w:tcPr>
          <w:p>
            <w:pPr>
              <w:spacing w:line="560" w:lineRule="exact"/>
              <w:jc w:val="center"/>
              <w:rPr>
                <w:sz w:val="24"/>
                <w:szCs w:val="24"/>
              </w:rPr>
            </w:pPr>
            <w:r>
              <w:rPr>
                <w:sz w:val="24"/>
                <w:szCs w:val="24"/>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1547" w:type="dxa"/>
            <w:vAlign w:val="center"/>
          </w:tcPr>
          <w:p>
            <w:pPr>
              <w:spacing w:line="560" w:lineRule="exact"/>
              <w:jc w:val="center"/>
              <w:rPr>
                <w:sz w:val="24"/>
                <w:szCs w:val="24"/>
              </w:rPr>
            </w:pPr>
            <w:r>
              <w:rPr>
                <w:rFonts w:hint="eastAsia"/>
                <w:sz w:val="24"/>
                <w:szCs w:val="24"/>
              </w:rPr>
              <w:t>石  涛</w:t>
            </w:r>
          </w:p>
        </w:tc>
        <w:tc>
          <w:tcPr>
            <w:tcW w:w="2520" w:type="dxa"/>
            <w:vAlign w:val="center"/>
          </w:tcPr>
          <w:p>
            <w:pPr>
              <w:spacing w:line="560" w:lineRule="exact"/>
              <w:jc w:val="center"/>
              <w:rPr>
                <w:sz w:val="24"/>
                <w:szCs w:val="24"/>
              </w:rPr>
            </w:pPr>
            <w:r>
              <w:rPr>
                <w:sz w:val="24"/>
                <w:szCs w:val="24"/>
              </w:rPr>
              <w:t>3420</w:t>
            </w:r>
            <w:r>
              <w:rPr>
                <w:rFonts w:hint="eastAsia"/>
                <w:sz w:val="24"/>
                <w:szCs w:val="24"/>
              </w:rPr>
              <w:t>110044</w:t>
            </w:r>
          </w:p>
        </w:tc>
        <w:tc>
          <w:tcPr>
            <w:tcW w:w="2420" w:type="dxa"/>
            <w:vAlign w:val="center"/>
          </w:tcPr>
          <w:p>
            <w:pPr>
              <w:spacing w:line="560" w:lineRule="exact"/>
              <w:jc w:val="center"/>
              <w:rPr>
                <w:sz w:val="24"/>
                <w:szCs w:val="24"/>
              </w:rPr>
            </w:pPr>
          </w:p>
        </w:tc>
        <w:tc>
          <w:tcPr>
            <w:tcW w:w="3087" w:type="dxa"/>
            <w:vAlign w:val="center"/>
          </w:tcPr>
          <w:p>
            <w:pPr>
              <w:spacing w:line="560" w:lineRule="exact"/>
              <w:jc w:val="center"/>
              <w:rPr>
                <w:sz w:val="24"/>
                <w:szCs w:val="24"/>
              </w:rPr>
            </w:pPr>
            <w:r>
              <w:rPr>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1547" w:type="dxa"/>
            <w:vAlign w:val="center"/>
          </w:tcPr>
          <w:p>
            <w:pPr>
              <w:spacing w:line="560" w:lineRule="exact"/>
              <w:jc w:val="center"/>
              <w:rPr>
                <w:rFonts w:hint="eastAsia" w:eastAsia="宋体"/>
                <w:sz w:val="24"/>
                <w:szCs w:val="24"/>
                <w:lang w:eastAsia="zh-CN"/>
              </w:rPr>
            </w:pPr>
            <w:r>
              <w:rPr>
                <w:rFonts w:hint="eastAsia"/>
                <w:sz w:val="24"/>
                <w:szCs w:val="24"/>
                <w:lang w:eastAsia="zh-CN"/>
              </w:rPr>
              <w:t>石邦复</w:t>
            </w:r>
          </w:p>
        </w:tc>
        <w:tc>
          <w:tcPr>
            <w:tcW w:w="2520" w:type="dxa"/>
            <w:vAlign w:val="center"/>
          </w:tcPr>
          <w:p>
            <w:pPr>
              <w:spacing w:line="560" w:lineRule="exact"/>
              <w:jc w:val="center"/>
              <w:rPr>
                <w:rFonts w:hint="eastAsia" w:eastAsia="宋体"/>
                <w:sz w:val="24"/>
                <w:szCs w:val="24"/>
                <w:lang w:eastAsia="zh-CN"/>
              </w:rPr>
            </w:pPr>
            <w:r>
              <w:rPr>
                <w:rFonts w:hint="eastAsia"/>
                <w:sz w:val="24"/>
                <w:szCs w:val="24"/>
                <w:lang w:eastAsia="zh-CN"/>
              </w:rPr>
              <w:t>3420150041</w:t>
            </w:r>
          </w:p>
        </w:tc>
        <w:tc>
          <w:tcPr>
            <w:tcW w:w="2420" w:type="dxa"/>
            <w:vAlign w:val="center"/>
          </w:tcPr>
          <w:p>
            <w:pPr>
              <w:spacing w:line="560" w:lineRule="exact"/>
              <w:jc w:val="center"/>
              <w:rPr>
                <w:sz w:val="24"/>
                <w:szCs w:val="24"/>
              </w:rPr>
            </w:pPr>
          </w:p>
        </w:tc>
        <w:tc>
          <w:tcPr>
            <w:tcW w:w="3087" w:type="dxa"/>
            <w:vAlign w:val="center"/>
          </w:tcPr>
          <w:p>
            <w:pPr>
              <w:spacing w:line="560" w:lineRule="exact"/>
              <w:jc w:val="center"/>
              <w:rPr>
                <w:sz w:val="24"/>
                <w:szCs w:val="24"/>
              </w:rPr>
            </w:pPr>
            <w:r>
              <w:rPr>
                <w:sz w:val="24"/>
                <w:szCs w:val="24"/>
              </w:rPr>
              <w:t>年    月    日</w:t>
            </w:r>
          </w:p>
        </w:tc>
      </w:tr>
    </w:tbl>
    <w:p>
      <w:pPr>
        <w:pStyle w:val="3"/>
        <w:rPr>
          <w:rFonts w:ascii="Times New Roman" w:hAnsi="Times New Roman"/>
        </w:rPr>
      </w:pPr>
      <w:bookmarkStart w:id="99" w:name="_Toc13125411"/>
      <w:bookmarkStart w:id="100" w:name="_Toc436138750"/>
      <w:bookmarkStart w:id="101" w:name="_Toc303760772"/>
      <w:bookmarkStart w:id="102" w:name="_Toc303760606"/>
      <w:bookmarkStart w:id="103" w:name="_Toc303760141"/>
      <w:bookmarkStart w:id="104" w:name="_Toc303761211"/>
      <w:bookmarkStart w:id="105" w:name="_Toc303760505"/>
      <w:r>
        <w:rPr>
          <w:rFonts w:ascii="Times New Roman" w:hAnsi="Times New Roman"/>
        </w:rPr>
        <w:t>（十二）实地查勘期</w:t>
      </w:r>
      <w:bookmarkEnd w:id="99"/>
      <w:bookmarkEnd w:id="100"/>
    </w:p>
    <w:p>
      <w:pPr>
        <w:spacing w:line="560" w:lineRule="exact"/>
        <w:ind w:firstLine="480" w:firstLineChars="200"/>
        <w:jc w:val="left"/>
        <w:rPr>
          <w:sz w:val="24"/>
          <w:szCs w:val="24"/>
        </w:rPr>
      </w:pPr>
      <w:r>
        <w:rPr>
          <w:rFonts w:hint="eastAsia"/>
          <w:sz w:val="24"/>
          <w:lang w:eastAsia="zh-CN"/>
        </w:rPr>
        <w:t>2019年10月9日</w:t>
      </w:r>
      <w:r>
        <w:rPr>
          <w:sz w:val="24"/>
        </w:rPr>
        <w:t>─</w:t>
      </w:r>
      <w:r>
        <w:rPr>
          <w:rFonts w:hint="eastAsia"/>
          <w:sz w:val="24"/>
          <w:lang w:eastAsia="zh-CN"/>
        </w:rPr>
        <w:t>2019年10月9日</w:t>
      </w:r>
      <w:r>
        <w:rPr>
          <w:sz w:val="24"/>
        </w:rPr>
        <w:t>。</w:t>
      </w:r>
    </w:p>
    <w:p>
      <w:pPr>
        <w:pStyle w:val="3"/>
        <w:rPr>
          <w:rFonts w:ascii="Times New Roman" w:hAnsi="Times New Roman"/>
        </w:rPr>
      </w:pPr>
      <w:bookmarkStart w:id="106" w:name="_Toc13125412"/>
      <w:r>
        <w:rPr>
          <w:rFonts w:ascii="Times New Roman" w:hAnsi="Times New Roman"/>
        </w:rPr>
        <w:t>（十三）估价作业日期</w:t>
      </w:r>
      <w:bookmarkEnd w:id="101"/>
      <w:bookmarkEnd w:id="102"/>
      <w:bookmarkEnd w:id="103"/>
      <w:bookmarkEnd w:id="104"/>
      <w:bookmarkEnd w:id="105"/>
      <w:bookmarkEnd w:id="106"/>
    </w:p>
    <w:p>
      <w:pPr>
        <w:spacing w:line="560" w:lineRule="exact"/>
        <w:ind w:firstLine="480" w:firstLineChars="200"/>
        <w:rPr>
          <w:sz w:val="24"/>
          <w:szCs w:val="24"/>
        </w:rPr>
      </w:pPr>
      <w:r>
        <w:rPr>
          <w:rFonts w:hint="eastAsia"/>
          <w:sz w:val="24"/>
          <w:lang w:eastAsia="zh-CN"/>
        </w:rPr>
        <w:t>2019年10月9日</w:t>
      </w:r>
      <w:r>
        <w:rPr>
          <w:sz w:val="24"/>
        </w:rPr>
        <w:t>─</w:t>
      </w:r>
      <w:r>
        <w:rPr>
          <w:rFonts w:hint="eastAsia"/>
          <w:sz w:val="24"/>
          <w:lang w:eastAsia="zh-CN"/>
        </w:rPr>
        <w:t>2019年10月11日</w:t>
      </w:r>
      <w:r>
        <w:rPr>
          <w:sz w:val="24"/>
          <w:szCs w:val="24"/>
        </w:rPr>
        <w:t>。</w:t>
      </w:r>
    </w:p>
    <w:p>
      <w:pPr>
        <w:pStyle w:val="3"/>
        <w:rPr>
          <w:rFonts w:ascii="Times New Roman" w:hAnsi="Times New Roman"/>
        </w:rPr>
      </w:pPr>
      <w:bookmarkStart w:id="107" w:name="_Toc303761212"/>
      <w:bookmarkStart w:id="108" w:name="_Toc303760773"/>
      <w:bookmarkStart w:id="109" w:name="_Toc303760506"/>
      <w:bookmarkStart w:id="110" w:name="_Toc303760607"/>
      <w:bookmarkStart w:id="111" w:name="_Toc303760142"/>
      <w:bookmarkStart w:id="112" w:name="_Toc13125413"/>
      <w:r>
        <w:rPr>
          <w:rFonts w:ascii="Times New Roman" w:hAnsi="Times New Roman"/>
        </w:rPr>
        <w:t>（十四）</w:t>
      </w:r>
      <w:bookmarkEnd w:id="107"/>
      <w:bookmarkEnd w:id="108"/>
      <w:bookmarkEnd w:id="109"/>
      <w:bookmarkEnd w:id="110"/>
      <w:bookmarkEnd w:id="111"/>
      <w:r>
        <w:rPr>
          <w:rFonts w:ascii="Times New Roman" w:hAnsi="Times New Roman"/>
        </w:rPr>
        <w:t>估价报告使用期限</w:t>
      </w:r>
      <w:bookmarkEnd w:id="112"/>
    </w:p>
    <w:p>
      <w:pPr>
        <w:spacing w:line="560" w:lineRule="exact"/>
        <w:ind w:firstLine="512" w:firstLineChars="197"/>
        <w:rPr>
          <w:rFonts w:hint="eastAsia"/>
          <w:sz w:val="24"/>
          <w:szCs w:val="24"/>
        </w:rPr>
      </w:pPr>
      <w:r>
        <w:rPr>
          <w:sz w:val="26"/>
        </w:rPr>
        <w:t>本报告估价结果</w:t>
      </w:r>
      <w:r>
        <w:rPr>
          <w:sz w:val="24"/>
        </w:rPr>
        <w:t>自估价报告出具之日起一年内有效（自</w:t>
      </w:r>
      <w:r>
        <w:rPr>
          <w:rFonts w:hint="eastAsia"/>
          <w:sz w:val="24"/>
          <w:lang w:eastAsia="zh-CN"/>
        </w:rPr>
        <w:t>2019年10月11日</w:t>
      </w:r>
      <w:r>
        <w:rPr>
          <w:sz w:val="24"/>
        </w:rPr>
        <w:t>至20</w:t>
      </w:r>
      <w:r>
        <w:rPr>
          <w:rFonts w:hint="eastAsia"/>
          <w:sz w:val="24"/>
        </w:rPr>
        <w:t>20</w:t>
      </w:r>
      <w:r>
        <w:rPr>
          <w:sz w:val="24"/>
        </w:rPr>
        <w:t>年</w:t>
      </w:r>
      <w:r>
        <w:rPr>
          <w:rFonts w:hint="eastAsia"/>
          <w:sz w:val="24"/>
          <w:lang w:val="en-US" w:eastAsia="zh-CN"/>
        </w:rPr>
        <w:t>10</w:t>
      </w:r>
      <w:r>
        <w:rPr>
          <w:rFonts w:hint="eastAsia"/>
          <w:sz w:val="24"/>
        </w:rPr>
        <w:t>月1</w:t>
      </w:r>
      <w:r>
        <w:rPr>
          <w:rFonts w:hint="eastAsia"/>
          <w:sz w:val="24"/>
          <w:lang w:val="en-US" w:eastAsia="zh-CN"/>
        </w:rPr>
        <w:t>0</w:t>
      </w:r>
      <w:r>
        <w:rPr>
          <w:rFonts w:hint="eastAsia"/>
          <w:sz w:val="24"/>
        </w:rPr>
        <w:t>日</w:t>
      </w:r>
      <w:r>
        <w:rPr>
          <w:sz w:val="24"/>
        </w:rPr>
        <w:t>止）</w:t>
      </w:r>
      <w:r>
        <w:rPr>
          <w:sz w:val="24"/>
          <w:szCs w:val="24"/>
        </w:rPr>
        <w:t>。</w:t>
      </w:r>
    </w:p>
    <w:p>
      <w:pPr>
        <w:spacing w:line="540" w:lineRule="atLeast"/>
        <w:rPr>
          <w:sz w:val="24"/>
          <w:szCs w:val="24"/>
        </w:rPr>
      </w:pPr>
    </w:p>
    <w:p>
      <w:pPr>
        <w:spacing w:line="600" w:lineRule="exact"/>
        <w:ind w:firstLine="480" w:firstLineChars="200"/>
        <w:rPr>
          <w:sz w:val="24"/>
          <w:szCs w:val="24"/>
        </w:rPr>
      </w:pPr>
    </w:p>
    <w:p>
      <w:pPr>
        <w:spacing w:line="540" w:lineRule="atLeast"/>
        <w:ind w:firstLine="4958" w:firstLineChars="2058"/>
        <w:rPr>
          <w:b/>
          <w:sz w:val="24"/>
        </w:rPr>
      </w:pPr>
      <w:r>
        <w:rPr>
          <w:b/>
          <w:sz w:val="24"/>
        </w:rPr>
        <w:t>安徽大众房地产资产评估造价有限公司</w:t>
      </w:r>
    </w:p>
    <w:p>
      <w:pPr>
        <w:spacing w:line="540" w:lineRule="atLeast"/>
        <w:ind w:firstLine="6257" w:firstLineChars="2597"/>
        <w:rPr>
          <w:rFonts w:hint="eastAsia" w:eastAsia="宋体"/>
          <w:b/>
          <w:sz w:val="24"/>
          <w:szCs w:val="24"/>
          <w:lang w:eastAsia="zh-CN"/>
        </w:rPr>
      </w:pPr>
      <w:r>
        <w:rPr>
          <w:rFonts w:hint="eastAsia"/>
          <w:b/>
          <w:sz w:val="24"/>
          <w:szCs w:val="24"/>
          <w:lang w:eastAsia="zh-CN"/>
        </w:rPr>
        <w:t>2019年10月11日</w:t>
      </w:r>
    </w:p>
    <w:p>
      <w:pPr>
        <w:spacing w:line="540" w:lineRule="atLeast"/>
        <w:ind w:firstLine="6257" w:firstLineChars="2597"/>
        <w:rPr>
          <w:b/>
          <w:sz w:val="24"/>
          <w:szCs w:val="24"/>
        </w:rPr>
      </w:pPr>
    </w:p>
    <w:p>
      <w:pPr>
        <w:widowControl/>
        <w:jc w:val="left"/>
        <w:rPr>
          <w:kern w:val="0"/>
          <w:sz w:val="24"/>
          <w:szCs w:val="24"/>
        </w:rPr>
      </w:pPr>
      <w:bookmarkStart w:id="113" w:name="_GoBack"/>
      <w:bookmarkEnd w:id="113"/>
    </w:p>
    <w:sectPr>
      <w:headerReference r:id="rId3" w:type="default"/>
      <w:footerReference r:id="rId4" w:type="default"/>
      <w:footerReference r:id="rId5" w:type="even"/>
      <w:pgSz w:w="11907" w:h="16840"/>
      <w:pgMar w:top="1089" w:right="927" w:bottom="623" w:left="1622" w:header="907" w:footer="907" w:gutter="0"/>
      <w:pgNumType w:fmt="numberInDash"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体">
    <w:altName w:val="宋体"/>
    <w:panose1 w:val="00000000000000000000"/>
    <w:charset w:val="86"/>
    <w:family w:val="roman"/>
    <w:pitch w:val="default"/>
    <w:sig w:usb0="00000000" w:usb1="00000000" w:usb2="0000001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646" w:h="193" w:hRule="exact" w:wrap="around" w:vAnchor="text" w:hAnchor="page" w:x="5761" w:y="22"/>
      <w:rPr>
        <w:rStyle w:val="32"/>
        <w:rFonts w:hint="eastAsia"/>
        <w:sz w:val="30"/>
      </w:rPr>
    </w:pPr>
    <w:r>
      <w:rPr>
        <w:rStyle w:val="32"/>
        <w:rFonts w:hint="eastAsia"/>
        <w:sz w:val="30"/>
      </w:rPr>
      <w:t xml:space="preserve">        </w:t>
    </w:r>
  </w:p>
  <w:tbl>
    <w:tblPr>
      <w:tblStyle w:val="28"/>
      <w:tblW w:w="9466" w:type="dxa"/>
      <w:tblInd w:w="108" w:type="dxa"/>
      <w:tblBorders>
        <w:top w:val="doub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466"/>
    </w:tblGrid>
    <w:tr>
      <w:tblPrEx>
        <w:tblBorders>
          <w:top w:val="doub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9466" w:type="dxa"/>
          <w:tcBorders>
            <w:top w:val="nil"/>
            <w:bottom w:val="double" w:color="auto" w:sz="4" w:space="0"/>
          </w:tcBorders>
        </w:tcPr>
        <w:p>
          <w:pPr>
            <w:pStyle w:val="19"/>
            <w:tabs>
              <w:tab w:val="right" w:pos="8460"/>
              <w:tab w:val="clear" w:pos="8306"/>
            </w:tabs>
            <w:ind w:right="-703" w:rightChars="-335"/>
            <w:rPr>
              <w:rFonts w:hint="eastAsia"/>
            </w:rPr>
          </w:pPr>
        </w:p>
      </w:tc>
    </w:tr>
  </w:tbl>
  <w:p>
    <w:pPr>
      <w:pStyle w:val="19"/>
      <w:tabs>
        <w:tab w:val="right" w:pos="8460"/>
        <w:tab w:val="clear" w:pos="8306"/>
      </w:tabs>
      <w:ind w:right="-703" w:rightChars="-335" w:firstLine="180" w:firstLineChars="100"/>
      <w:rPr>
        <w:rFonts w:hint="eastAsia"/>
      </w:rPr>
    </w:pPr>
    <w:r>
      <w:rPr>
        <w:rFonts w:hint="eastAsia"/>
      </w:rPr>
      <w:t xml:space="preserve">地址：广场北路信谊置地广场CD座426室          </w:t>
    </w:r>
    <w:r>
      <w:rPr>
        <w:rFonts w:hint="eastAsia" w:ascii="黑体" w:eastAsia="黑体"/>
        <w:b/>
        <w:sz w:val="24"/>
      </w:rPr>
      <w:t xml:space="preserve"> </w:t>
    </w:r>
    <w:r>
      <w:rPr>
        <w:rFonts w:hint="eastAsia" w:ascii="黑体" w:eastAsia="黑体"/>
        <w:b/>
        <w:sz w:val="24"/>
      </w:rPr>
      <w:fldChar w:fldCharType="begin"/>
    </w:r>
    <w:r>
      <w:rPr>
        <w:rFonts w:hint="eastAsia" w:ascii="黑体" w:eastAsia="黑体"/>
        <w:b/>
        <w:sz w:val="24"/>
      </w:rPr>
      <w:instrText xml:space="preserve"> PAGE </w:instrText>
    </w:r>
    <w:r>
      <w:rPr>
        <w:rFonts w:hint="eastAsia" w:ascii="黑体" w:eastAsia="黑体"/>
        <w:b/>
        <w:sz w:val="24"/>
      </w:rPr>
      <w:fldChar w:fldCharType="separate"/>
    </w:r>
    <w:r>
      <w:rPr>
        <w:rFonts w:ascii="黑体" w:eastAsia="黑体"/>
        <w:b/>
        <w:sz w:val="24"/>
      </w:rPr>
      <w:t>- 35 -</w:t>
    </w:r>
    <w:r>
      <w:rPr>
        <w:rFonts w:hint="eastAsia" w:ascii="黑体" w:eastAsia="黑体"/>
        <w:b/>
        <w:sz w:val="24"/>
      </w:rPr>
      <w:fldChar w:fldCharType="end"/>
    </w:r>
    <w:r>
      <w:rPr>
        <w:rFonts w:hint="eastAsia"/>
      </w:rPr>
      <w:t xml:space="preserve">                     电话：0554—6886707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2"/>
      </w:rPr>
    </w:pPr>
    <w:r>
      <w:fldChar w:fldCharType="begin"/>
    </w:r>
    <w:r>
      <w:rPr>
        <w:rStyle w:val="32"/>
      </w:rPr>
      <w:instrText xml:space="preserve">PAGE  </w:instrText>
    </w:r>
    <w:r>
      <w:fldChar w:fldCharType="separate"/>
    </w:r>
    <w:r>
      <w:fldChar w:fldCharType="end"/>
    </w:r>
  </w:p>
  <w:p>
    <w:pPr>
      <w:pStyle w:val="1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right" w:pos="8460"/>
        <w:tab w:val="clear" w:pos="8306"/>
      </w:tabs>
      <w:ind w:left="-183" w:leftChars="-87" w:right="-168" w:rightChars="-80" w:firstLine="210" w:firstLineChars="100"/>
      <w:jc w:val="both"/>
      <w:rPr>
        <w:i/>
        <w:sz w:val="21"/>
      </w:rPr>
    </w:pPr>
    <w:r>
      <w:rPr>
        <w:rFonts w:hint="eastAsia"/>
        <w:i/>
        <w:sz w:val="21"/>
      </w:rPr>
      <w:t xml:space="preserve">大众评估                                                                   鉴定评估报告书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6F08F3"/>
    <w:multiLevelType w:val="singleLevel"/>
    <w:tmpl w:val="E56F08F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A78"/>
    <w:rsid w:val="00000DD5"/>
    <w:rsid w:val="00001004"/>
    <w:rsid w:val="0000396C"/>
    <w:rsid w:val="00004962"/>
    <w:rsid w:val="0000531A"/>
    <w:rsid w:val="0000554A"/>
    <w:rsid w:val="00005E71"/>
    <w:rsid w:val="00006520"/>
    <w:rsid w:val="00006939"/>
    <w:rsid w:val="000071DB"/>
    <w:rsid w:val="000077ED"/>
    <w:rsid w:val="000100D0"/>
    <w:rsid w:val="0001091E"/>
    <w:rsid w:val="00011A2E"/>
    <w:rsid w:val="00012A2C"/>
    <w:rsid w:val="00013FE5"/>
    <w:rsid w:val="0001445B"/>
    <w:rsid w:val="000166D7"/>
    <w:rsid w:val="000170C4"/>
    <w:rsid w:val="00017A24"/>
    <w:rsid w:val="00017EE9"/>
    <w:rsid w:val="000201A5"/>
    <w:rsid w:val="00020351"/>
    <w:rsid w:val="0002037C"/>
    <w:rsid w:val="00020639"/>
    <w:rsid w:val="000211AE"/>
    <w:rsid w:val="00021C74"/>
    <w:rsid w:val="0002216E"/>
    <w:rsid w:val="00022FFB"/>
    <w:rsid w:val="000236B4"/>
    <w:rsid w:val="00023844"/>
    <w:rsid w:val="000239A1"/>
    <w:rsid w:val="00023F62"/>
    <w:rsid w:val="0002468C"/>
    <w:rsid w:val="00024758"/>
    <w:rsid w:val="00024AA8"/>
    <w:rsid w:val="00024E17"/>
    <w:rsid w:val="00024F10"/>
    <w:rsid w:val="00024F37"/>
    <w:rsid w:val="000252A4"/>
    <w:rsid w:val="00027F31"/>
    <w:rsid w:val="00030D48"/>
    <w:rsid w:val="00031EFC"/>
    <w:rsid w:val="000330B4"/>
    <w:rsid w:val="000345C5"/>
    <w:rsid w:val="00035D24"/>
    <w:rsid w:val="00036DBA"/>
    <w:rsid w:val="000405BF"/>
    <w:rsid w:val="00041037"/>
    <w:rsid w:val="0004107F"/>
    <w:rsid w:val="00042E29"/>
    <w:rsid w:val="000435A8"/>
    <w:rsid w:val="00044566"/>
    <w:rsid w:val="00044A1F"/>
    <w:rsid w:val="00045151"/>
    <w:rsid w:val="000452B3"/>
    <w:rsid w:val="00046424"/>
    <w:rsid w:val="00046C0B"/>
    <w:rsid w:val="00047117"/>
    <w:rsid w:val="0004766F"/>
    <w:rsid w:val="00050379"/>
    <w:rsid w:val="000507DE"/>
    <w:rsid w:val="00050FA4"/>
    <w:rsid w:val="00051EA5"/>
    <w:rsid w:val="0005287F"/>
    <w:rsid w:val="00052B5B"/>
    <w:rsid w:val="00052C8A"/>
    <w:rsid w:val="0005393F"/>
    <w:rsid w:val="00054849"/>
    <w:rsid w:val="00055783"/>
    <w:rsid w:val="0005588C"/>
    <w:rsid w:val="000566C4"/>
    <w:rsid w:val="00056857"/>
    <w:rsid w:val="00056E78"/>
    <w:rsid w:val="00057006"/>
    <w:rsid w:val="00057142"/>
    <w:rsid w:val="000575D0"/>
    <w:rsid w:val="00060064"/>
    <w:rsid w:val="00060DCC"/>
    <w:rsid w:val="00061276"/>
    <w:rsid w:val="00061B21"/>
    <w:rsid w:val="000629F4"/>
    <w:rsid w:val="00062E65"/>
    <w:rsid w:val="00063786"/>
    <w:rsid w:val="00064310"/>
    <w:rsid w:val="00064578"/>
    <w:rsid w:val="000649A2"/>
    <w:rsid w:val="00064BD4"/>
    <w:rsid w:val="00064CF7"/>
    <w:rsid w:val="00065283"/>
    <w:rsid w:val="0006636A"/>
    <w:rsid w:val="000664D8"/>
    <w:rsid w:val="0007014E"/>
    <w:rsid w:val="00070A12"/>
    <w:rsid w:val="00070AA8"/>
    <w:rsid w:val="00071DFB"/>
    <w:rsid w:val="00071F91"/>
    <w:rsid w:val="000723FD"/>
    <w:rsid w:val="00072498"/>
    <w:rsid w:val="000729A0"/>
    <w:rsid w:val="00072D73"/>
    <w:rsid w:val="00072D85"/>
    <w:rsid w:val="00073939"/>
    <w:rsid w:val="00075943"/>
    <w:rsid w:val="000763CF"/>
    <w:rsid w:val="00076843"/>
    <w:rsid w:val="00080803"/>
    <w:rsid w:val="000818E4"/>
    <w:rsid w:val="00081CF1"/>
    <w:rsid w:val="000834C7"/>
    <w:rsid w:val="000846DD"/>
    <w:rsid w:val="00085350"/>
    <w:rsid w:val="000853F1"/>
    <w:rsid w:val="00087284"/>
    <w:rsid w:val="00091FB9"/>
    <w:rsid w:val="00092EF6"/>
    <w:rsid w:val="0009314D"/>
    <w:rsid w:val="00093334"/>
    <w:rsid w:val="000944B8"/>
    <w:rsid w:val="00094603"/>
    <w:rsid w:val="00094E3B"/>
    <w:rsid w:val="000967FC"/>
    <w:rsid w:val="000969A3"/>
    <w:rsid w:val="0009737C"/>
    <w:rsid w:val="000A0682"/>
    <w:rsid w:val="000A070D"/>
    <w:rsid w:val="000A18C3"/>
    <w:rsid w:val="000A1F01"/>
    <w:rsid w:val="000A2618"/>
    <w:rsid w:val="000A306B"/>
    <w:rsid w:val="000A356A"/>
    <w:rsid w:val="000A539D"/>
    <w:rsid w:val="000A66B4"/>
    <w:rsid w:val="000A6977"/>
    <w:rsid w:val="000A767B"/>
    <w:rsid w:val="000A7F73"/>
    <w:rsid w:val="000B0484"/>
    <w:rsid w:val="000B1AD4"/>
    <w:rsid w:val="000B204E"/>
    <w:rsid w:val="000B2100"/>
    <w:rsid w:val="000B2339"/>
    <w:rsid w:val="000B314C"/>
    <w:rsid w:val="000B4829"/>
    <w:rsid w:val="000B5026"/>
    <w:rsid w:val="000B656A"/>
    <w:rsid w:val="000B667B"/>
    <w:rsid w:val="000B7934"/>
    <w:rsid w:val="000C0717"/>
    <w:rsid w:val="000C1556"/>
    <w:rsid w:val="000C2694"/>
    <w:rsid w:val="000C31EF"/>
    <w:rsid w:val="000C4CAF"/>
    <w:rsid w:val="000C51F3"/>
    <w:rsid w:val="000C5288"/>
    <w:rsid w:val="000C5D8B"/>
    <w:rsid w:val="000C66DD"/>
    <w:rsid w:val="000C68E1"/>
    <w:rsid w:val="000C7B4A"/>
    <w:rsid w:val="000C7C7D"/>
    <w:rsid w:val="000C7D89"/>
    <w:rsid w:val="000D0025"/>
    <w:rsid w:val="000D03E6"/>
    <w:rsid w:val="000D05F7"/>
    <w:rsid w:val="000D0CAF"/>
    <w:rsid w:val="000D108B"/>
    <w:rsid w:val="000D24B5"/>
    <w:rsid w:val="000D340E"/>
    <w:rsid w:val="000D3A17"/>
    <w:rsid w:val="000D3C5C"/>
    <w:rsid w:val="000D3F42"/>
    <w:rsid w:val="000D3FBA"/>
    <w:rsid w:val="000D4CE8"/>
    <w:rsid w:val="000D5CF6"/>
    <w:rsid w:val="000D6229"/>
    <w:rsid w:val="000D6AFD"/>
    <w:rsid w:val="000E19FE"/>
    <w:rsid w:val="000E1C52"/>
    <w:rsid w:val="000E2859"/>
    <w:rsid w:val="000E3F07"/>
    <w:rsid w:val="000E3FB3"/>
    <w:rsid w:val="000E4AB1"/>
    <w:rsid w:val="000E54D1"/>
    <w:rsid w:val="000E69C2"/>
    <w:rsid w:val="000E757A"/>
    <w:rsid w:val="000F0A5A"/>
    <w:rsid w:val="000F10A3"/>
    <w:rsid w:val="000F1239"/>
    <w:rsid w:val="000F236F"/>
    <w:rsid w:val="000F296A"/>
    <w:rsid w:val="000F35A6"/>
    <w:rsid w:val="000F3B76"/>
    <w:rsid w:val="000F457E"/>
    <w:rsid w:val="000F48A2"/>
    <w:rsid w:val="000F5DA1"/>
    <w:rsid w:val="000F64C6"/>
    <w:rsid w:val="000F6C76"/>
    <w:rsid w:val="000F7669"/>
    <w:rsid w:val="00100CD2"/>
    <w:rsid w:val="001015AF"/>
    <w:rsid w:val="001023B2"/>
    <w:rsid w:val="0010287A"/>
    <w:rsid w:val="00102B90"/>
    <w:rsid w:val="00103A97"/>
    <w:rsid w:val="00103E44"/>
    <w:rsid w:val="00104CA8"/>
    <w:rsid w:val="0010577E"/>
    <w:rsid w:val="00105A2B"/>
    <w:rsid w:val="00106210"/>
    <w:rsid w:val="00106758"/>
    <w:rsid w:val="00106968"/>
    <w:rsid w:val="001071CC"/>
    <w:rsid w:val="00110759"/>
    <w:rsid w:val="00111B73"/>
    <w:rsid w:val="00112F8A"/>
    <w:rsid w:val="001130DB"/>
    <w:rsid w:val="001131D0"/>
    <w:rsid w:val="0011389A"/>
    <w:rsid w:val="0011389D"/>
    <w:rsid w:val="00113BFB"/>
    <w:rsid w:val="001140DB"/>
    <w:rsid w:val="0011472F"/>
    <w:rsid w:val="001156C1"/>
    <w:rsid w:val="00115A2A"/>
    <w:rsid w:val="00116D01"/>
    <w:rsid w:val="0011706F"/>
    <w:rsid w:val="001170BB"/>
    <w:rsid w:val="001173CF"/>
    <w:rsid w:val="00117FBA"/>
    <w:rsid w:val="00120978"/>
    <w:rsid w:val="001209CC"/>
    <w:rsid w:val="00120B2F"/>
    <w:rsid w:val="00120B88"/>
    <w:rsid w:val="00121162"/>
    <w:rsid w:val="00121847"/>
    <w:rsid w:val="00121AA9"/>
    <w:rsid w:val="0012207E"/>
    <w:rsid w:val="00122EE5"/>
    <w:rsid w:val="00122F87"/>
    <w:rsid w:val="001237CF"/>
    <w:rsid w:val="00123DA5"/>
    <w:rsid w:val="00123E4A"/>
    <w:rsid w:val="00123F83"/>
    <w:rsid w:val="00124B28"/>
    <w:rsid w:val="001250FD"/>
    <w:rsid w:val="0012514C"/>
    <w:rsid w:val="00125650"/>
    <w:rsid w:val="00126A2B"/>
    <w:rsid w:val="00126B7D"/>
    <w:rsid w:val="00127CE0"/>
    <w:rsid w:val="00130570"/>
    <w:rsid w:val="0013081E"/>
    <w:rsid w:val="0013131E"/>
    <w:rsid w:val="0013146B"/>
    <w:rsid w:val="00131D04"/>
    <w:rsid w:val="001323FA"/>
    <w:rsid w:val="001324D4"/>
    <w:rsid w:val="001337A3"/>
    <w:rsid w:val="0013407A"/>
    <w:rsid w:val="001343DF"/>
    <w:rsid w:val="00135561"/>
    <w:rsid w:val="00137D5F"/>
    <w:rsid w:val="001402ED"/>
    <w:rsid w:val="00140756"/>
    <w:rsid w:val="00141A36"/>
    <w:rsid w:val="00141E61"/>
    <w:rsid w:val="0014302E"/>
    <w:rsid w:val="00143198"/>
    <w:rsid w:val="00145907"/>
    <w:rsid w:val="00145F53"/>
    <w:rsid w:val="0014667E"/>
    <w:rsid w:val="00146B03"/>
    <w:rsid w:val="00147F8E"/>
    <w:rsid w:val="00150B74"/>
    <w:rsid w:val="00151157"/>
    <w:rsid w:val="0015184E"/>
    <w:rsid w:val="00151912"/>
    <w:rsid w:val="00151D87"/>
    <w:rsid w:val="00153789"/>
    <w:rsid w:val="00154723"/>
    <w:rsid w:val="00155EEE"/>
    <w:rsid w:val="00155FE1"/>
    <w:rsid w:val="0015646F"/>
    <w:rsid w:val="0015653D"/>
    <w:rsid w:val="00160500"/>
    <w:rsid w:val="0016083D"/>
    <w:rsid w:val="00160A09"/>
    <w:rsid w:val="00163178"/>
    <w:rsid w:val="00165EB9"/>
    <w:rsid w:val="0016667F"/>
    <w:rsid w:val="00166F4C"/>
    <w:rsid w:val="0016729D"/>
    <w:rsid w:val="00167E52"/>
    <w:rsid w:val="00167E8C"/>
    <w:rsid w:val="001702AE"/>
    <w:rsid w:val="00170C36"/>
    <w:rsid w:val="00171131"/>
    <w:rsid w:val="001717B1"/>
    <w:rsid w:val="00171BE4"/>
    <w:rsid w:val="00172588"/>
    <w:rsid w:val="00174618"/>
    <w:rsid w:val="00174E06"/>
    <w:rsid w:val="00174F74"/>
    <w:rsid w:val="00176462"/>
    <w:rsid w:val="00176988"/>
    <w:rsid w:val="00176F2D"/>
    <w:rsid w:val="00177300"/>
    <w:rsid w:val="001773FD"/>
    <w:rsid w:val="00177602"/>
    <w:rsid w:val="00177CE3"/>
    <w:rsid w:val="001805C8"/>
    <w:rsid w:val="001809A3"/>
    <w:rsid w:val="00181D81"/>
    <w:rsid w:val="00182A3D"/>
    <w:rsid w:val="00182FAA"/>
    <w:rsid w:val="00183005"/>
    <w:rsid w:val="00183039"/>
    <w:rsid w:val="00183DCF"/>
    <w:rsid w:val="001840BD"/>
    <w:rsid w:val="00185C6F"/>
    <w:rsid w:val="001863BA"/>
    <w:rsid w:val="00186840"/>
    <w:rsid w:val="00186B96"/>
    <w:rsid w:val="00186C9F"/>
    <w:rsid w:val="00187707"/>
    <w:rsid w:val="0018784D"/>
    <w:rsid w:val="00187DB2"/>
    <w:rsid w:val="00190E70"/>
    <w:rsid w:val="00190FFC"/>
    <w:rsid w:val="00192628"/>
    <w:rsid w:val="0019394B"/>
    <w:rsid w:val="00194BD8"/>
    <w:rsid w:val="00195CE8"/>
    <w:rsid w:val="001969EA"/>
    <w:rsid w:val="00197BC2"/>
    <w:rsid w:val="001A038B"/>
    <w:rsid w:val="001A0D90"/>
    <w:rsid w:val="001A1B2D"/>
    <w:rsid w:val="001A352D"/>
    <w:rsid w:val="001A3A23"/>
    <w:rsid w:val="001A45A1"/>
    <w:rsid w:val="001A4C7D"/>
    <w:rsid w:val="001A72E3"/>
    <w:rsid w:val="001B058E"/>
    <w:rsid w:val="001B1607"/>
    <w:rsid w:val="001B17AA"/>
    <w:rsid w:val="001B1922"/>
    <w:rsid w:val="001B1B19"/>
    <w:rsid w:val="001B3C80"/>
    <w:rsid w:val="001B4428"/>
    <w:rsid w:val="001B4F6E"/>
    <w:rsid w:val="001B5715"/>
    <w:rsid w:val="001B5C77"/>
    <w:rsid w:val="001B65CD"/>
    <w:rsid w:val="001B6A40"/>
    <w:rsid w:val="001B7A68"/>
    <w:rsid w:val="001B7AA0"/>
    <w:rsid w:val="001B7D5A"/>
    <w:rsid w:val="001B7F3C"/>
    <w:rsid w:val="001C07D2"/>
    <w:rsid w:val="001C122A"/>
    <w:rsid w:val="001C17A0"/>
    <w:rsid w:val="001C1CFE"/>
    <w:rsid w:val="001C2D79"/>
    <w:rsid w:val="001C3285"/>
    <w:rsid w:val="001C383D"/>
    <w:rsid w:val="001C409A"/>
    <w:rsid w:val="001C42D0"/>
    <w:rsid w:val="001C4378"/>
    <w:rsid w:val="001D0AE3"/>
    <w:rsid w:val="001D0AE9"/>
    <w:rsid w:val="001D0B8B"/>
    <w:rsid w:val="001D10C4"/>
    <w:rsid w:val="001D12CC"/>
    <w:rsid w:val="001D2E68"/>
    <w:rsid w:val="001D3751"/>
    <w:rsid w:val="001D37F3"/>
    <w:rsid w:val="001D4106"/>
    <w:rsid w:val="001D4673"/>
    <w:rsid w:val="001D48A1"/>
    <w:rsid w:val="001D4E92"/>
    <w:rsid w:val="001D6D4C"/>
    <w:rsid w:val="001D7A47"/>
    <w:rsid w:val="001E0340"/>
    <w:rsid w:val="001E08A3"/>
    <w:rsid w:val="001E202C"/>
    <w:rsid w:val="001E2517"/>
    <w:rsid w:val="001E2D53"/>
    <w:rsid w:val="001E3950"/>
    <w:rsid w:val="001E4507"/>
    <w:rsid w:val="001E6778"/>
    <w:rsid w:val="001E7911"/>
    <w:rsid w:val="001E7BCC"/>
    <w:rsid w:val="001F0122"/>
    <w:rsid w:val="001F0849"/>
    <w:rsid w:val="001F0BC6"/>
    <w:rsid w:val="001F15AB"/>
    <w:rsid w:val="001F2967"/>
    <w:rsid w:val="001F38AC"/>
    <w:rsid w:val="001F39FC"/>
    <w:rsid w:val="001F3A96"/>
    <w:rsid w:val="001F3D22"/>
    <w:rsid w:val="001F4A3F"/>
    <w:rsid w:val="001F501D"/>
    <w:rsid w:val="001F5B0E"/>
    <w:rsid w:val="001F678E"/>
    <w:rsid w:val="001F6A3D"/>
    <w:rsid w:val="001F6C16"/>
    <w:rsid w:val="002007F3"/>
    <w:rsid w:val="00201D5C"/>
    <w:rsid w:val="00202334"/>
    <w:rsid w:val="00203317"/>
    <w:rsid w:val="002042B7"/>
    <w:rsid w:val="0020554B"/>
    <w:rsid w:val="00205BD0"/>
    <w:rsid w:val="002065D4"/>
    <w:rsid w:val="002069E3"/>
    <w:rsid w:val="00207681"/>
    <w:rsid w:val="00207A87"/>
    <w:rsid w:val="002101D7"/>
    <w:rsid w:val="002102B6"/>
    <w:rsid w:val="002105CC"/>
    <w:rsid w:val="0021077C"/>
    <w:rsid w:val="00210EBD"/>
    <w:rsid w:val="002111BA"/>
    <w:rsid w:val="00211530"/>
    <w:rsid w:val="0021242E"/>
    <w:rsid w:val="00212F02"/>
    <w:rsid w:val="002135B8"/>
    <w:rsid w:val="00214243"/>
    <w:rsid w:val="00214E83"/>
    <w:rsid w:val="0021632F"/>
    <w:rsid w:val="002211DE"/>
    <w:rsid w:val="00221CE8"/>
    <w:rsid w:val="00226E66"/>
    <w:rsid w:val="002273E9"/>
    <w:rsid w:val="002277F2"/>
    <w:rsid w:val="00227F4D"/>
    <w:rsid w:val="002329A4"/>
    <w:rsid w:val="0023422F"/>
    <w:rsid w:val="00234ECB"/>
    <w:rsid w:val="00234FBC"/>
    <w:rsid w:val="00235DE8"/>
    <w:rsid w:val="00237163"/>
    <w:rsid w:val="002377D9"/>
    <w:rsid w:val="00237C80"/>
    <w:rsid w:val="00237D91"/>
    <w:rsid w:val="00240FAA"/>
    <w:rsid w:val="00241569"/>
    <w:rsid w:val="002415C3"/>
    <w:rsid w:val="00241861"/>
    <w:rsid w:val="002419E9"/>
    <w:rsid w:val="00243322"/>
    <w:rsid w:val="002453F1"/>
    <w:rsid w:val="00245BCF"/>
    <w:rsid w:val="002462C5"/>
    <w:rsid w:val="0024658C"/>
    <w:rsid w:val="0024763B"/>
    <w:rsid w:val="00250F55"/>
    <w:rsid w:val="00252ADE"/>
    <w:rsid w:val="00253DA2"/>
    <w:rsid w:val="00254322"/>
    <w:rsid w:val="002559C1"/>
    <w:rsid w:val="00255EC4"/>
    <w:rsid w:val="00256066"/>
    <w:rsid w:val="0025662A"/>
    <w:rsid w:val="00260314"/>
    <w:rsid w:val="00261CF9"/>
    <w:rsid w:val="00262DC5"/>
    <w:rsid w:val="00262EE4"/>
    <w:rsid w:val="002631FA"/>
    <w:rsid w:val="002635DC"/>
    <w:rsid w:val="0026432F"/>
    <w:rsid w:val="00264569"/>
    <w:rsid w:val="002645FF"/>
    <w:rsid w:val="0026476B"/>
    <w:rsid w:val="00265112"/>
    <w:rsid w:val="0026580C"/>
    <w:rsid w:val="00265971"/>
    <w:rsid w:val="00266601"/>
    <w:rsid w:val="0026697C"/>
    <w:rsid w:val="0026707C"/>
    <w:rsid w:val="00267D94"/>
    <w:rsid w:val="002706B1"/>
    <w:rsid w:val="0027084E"/>
    <w:rsid w:val="002730C9"/>
    <w:rsid w:val="002736C1"/>
    <w:rsid w:val="002757F1"/>
    <w:rsid w:val="002763D1"/>
    <w:rsid w:val="002765AC"/>
    <w:rsid w:val="00276A38"/>
    <w:rsid w:val="002778B6"/>
    <w:rsid w:val="00280211"/>
    <w:rsid w:val="002817EC"/>
    <w:rsid w:val="00282B92"/>
    <w:rsid w:val="00282BFE"/>
    <w:rsid w:val="00283460"/>
    <w:rsid w:val="002842EC"/>
    <w:rsid w:val="00284AC8"/>
    <w:rsid w:val="00284CAD"/>
    <w:rsid w:val="00286F75"/>
    <w:rsid w:val="00287464"/>
    <w:rsid w:val="002876C5"/>
    <w:rsid w:val="002879A8"/>
    <w:rsid w:val="00287AF3"/>
    <w:rsid w:val="002906D9"/>
    <w:rsid w:val="002906EA"/>
    <w:rsid w:val="00290CCA"/>
    <w:rsid w:val="00291E97"/>
    <w:rsid w:val="0029207D"/>
    <w:rsid w:val="0029281E"/>
    <w:rsid w:val="00292AB1"/>
    <w:rsid w:val="00292B0C"/>
    <w:rsid w:val="00293637"/>
    <w:rsid w:val="00294C25"/>
    <w:rsid w:val="002959C0"/>
    <w:rsid w:val="00295CC0"/>
    <w:rsid w:val="00295F3D"/>
    <w:rsid w:val="0029620B"/>
    <w:rsid w:val="00296271"/>
    <w:rsid w:val="002A01A0"/>
    <w:rsid w:val="002A0B0C"/>
    <w:rsid w:val="002A0E33"/>
    <w:rsid w:val="002A100A"/>
    <w:rsid w:val="002A10EE"/>
    <w:rsid w:val="002A148F"/>
    <w:rsid w:val="002A32DD"/>
    <w:rsid w:val="002A3382"/>
    <w:rsid w:val="002A41F1"/>
    <w:rsid w:val="002A458A"/>
    <w:rsid w:val="002A56FE"/>
    <w:rsid w:val="002A6C00"/>
    <w:rsid w:val="002B0083"/>
    <w:rsid w:val="002B02D7"/>
    <w:rsid w:val="002B0442"/>
    <w:rsid w:val="002B146B"/>
    <w:rsid w:val="002B15FD"/>
    <w:rsid w:val="002B4128"/>
    <w:rsid w:val="002B5D2C"/>
    <w:rsid w:val="002B61DC"/>
    <w:rsid w:val="002B6590"/>
    <w:rsid w:val="002B6DC1"/>
    <w:rsid w:val="002B74B3"/>
    <w:rsid w:val="002C1056"/>
    <w:rsid w:val="002C41A9"/>
    <w:rsid w:val="002C47E6"/>
    <w:rsid w:val="002C5B52"/>
    <w:rsid w:val="002C5C65"/>
    <w:rsid w:val="002C6830"/>
    <w:rsid w:val="002C6DFA"/>
    <w:rsid w:val="002C77C4"/>
    <w:rsid w:val="002C7AF8"/>
    <w:rsid w:val="002C7B63"/>
    <w:rsid w:val="002D03E3"/>
    <w:rsid w:val="002D08EE"/>
    <w:rsid w:val="002D0C95"/>
    <w:rsid w:val="002D30F6"/>
    <w:rsid w:val="002D35BC"/>
    <w:rsid w:val="002D3C3B"/>
    <w:rsid w:val="002D5030"/>
    <w:rsid w:val="002D5FD7"/>
    <w:rsid w:val="002D60D5"/>
    <w:rsid w:val="002D6632"/>
    <w:rsid w:val="002D6665"/>
    <w:rsid w:val="002D6774"/>
    <w:rsid w:val="002D6E95"/>
    <w:rsid w:val="002D78B6"/>
    <w:rsid w:val="002D7A8C"/>
    <w:rsid w:val="002D7B97"/>
    <w:rsid w:val="002E0744"/>
    <w:rsid w:val="002E2D76"/>
    <w:rsid w:val="002E3BD4"/>
    <w:rsid w:val="002E40E5"/>
    <w:rsid w:val="002E43E3"/>
    <w:rsid w:val="002E4574"/>
    <w:rsid w:val="002E4C60"/>
    <w:rsid w:val="002E4D3C"/>
    <w:rsid w:val="002E4E71"/>
    <w:rsid w:val="002E508B"/>
    <w:rsid w:val="002E52FA"/>
    <w:rsid w:val="002E5DF4"/>
    <w:rsid w:val="002E6779"/>
    <w:rsid w:val="002E6BD4"/>
    <w:rsid w:val="002E7437"/>
    <w:rsid w:val="002E74A6"/>
    <w:rsid w:val="002E7D20"/>
    <w:rsid w:val="002F0073"/>
    <w:rsid w:val="002F08E5"/>
    <w:rsid w:val="002F0AEE"/>
    <w:rsid w:val="002F2370"/>
    <w:rsid w:val="002F28D2"/>
    <w:rsid w:val="002F2AC8"/>
    <w:rsid w:val="002F36D9"/>
    <w:rsid w:val="002F6597"/>
    <w:rsid w:val="002F706D"/>
    <w:rsid w:val="002F71FC"/>
    <w:rsid w:val="00303834"/>
    <w:rsid w:val="00303A14"/>
    <w:rsid w:val="00303F8B"/>
    <w:rsid w:val="00304921"/>
    <w:rsid w:val="003049FF"/>
    <w:rsid w:val="00304D60"/>
    <w:rsid w:val="00306658"/>
    <w:rsid w:val="00310BB8"/>
    <w:rsid w:val="003112FA"/>
    <w:rsid w:val="00312337"/>
    <w:rsid w:val="0031233F"/>
    <w:rsid w:val="0031583D"/>
    <w:rsid w:val="00315E32"/>
    <w:rsid w:val="00316D3A"/>
    <w:rsid w:val="00317EA6"/>
    <w:rsid w:val="00320440"/>
    <w:rsid w:val="00320ACF"/>
    <w:rsid w:val="0032128A"/>
    <w:rsid w:val="003213F5"/>
    <w:rsid w:val="00321694"/>
    <w:rsid w:val="003217C1"/>
    <w:rsid w:val="00321B82"/>
    <w:rsid w:val="00321F0B"/>
    <w:rsid w:val="003229F1"/>
    <w:rsid w:val="00322C20"/>
    <w:rsid w:val="00322F57"/>
    <w:rsid w:val="0032552A"/>
    <w:rsid w:val="003256C5"/>
    <w:rsid w:val="00325BA5"/>
    <w:rsid w:val="003267D1"/>
    <w:rsid w:val="003319DC"/>
    <w:rsid w:val="00331CA8"/>
    <w:rsid w:val="00332853"/>
    <w:rsid w:val="003328A0"/>
    <w:rsid w:val="00332FFE"/>
    <w:rsid w:val="003337CB"/>
    <w:rsid w:val="00333C81"/>
    <w:rsid w:val="003341A6"/>
    <w:rsid w:val="00335324"/>
    <w:rsid w:val="00335708"/>
    <w:rsid w:val="00336CD0"/>
    <w:rsid w:val="00337390"/>
    <w:rsid w:val="00337D82"/>
    <w:rsid w:val="0034004C"/>
    <w:rsid w:val="0034058D"/>
    <w:rsid w:val="00340654"/>
    <w:rsid w:val="00341A1E"/>
    <w:rsid w:val="00343637"/>
    <w:rsid w:val="00344DF1"/>
    <w:rsid w:val="003472BE"/>
    <w:rsid w:val="0034783A"/>
    <w:rsid w:val="003501F7"/>
    <w:rsid w:val="00351D6C"/>
    <w:rsid w:val="00351F1A"/>
    <w:rsid w:val="0035234D"/>
    <w:rsid w:val="0035260C"/>
    <w:rsid w:val="003528CF"/>
    <w:rsid w:val="00353061"/>
    <w:rsid w:val="0035361D"/>
    <w:rsid w:val="00354404"/>
    <w:rsid w:val="00354584"/>
    <w:rsid w:val="003547CE"/>
    <w:rsid w:val="00354D3B"/>
    <w:rsid w:val="0035536E"/>
    <w:rsid w:val="0035574B"/>
    <w:rsid w:val="00355B1F"/>
    <w:rsid w:val="00356D60"/>
    <w:rsid w:val="00357022"/>
    <w:rsid w:val="00360842"/>
    <w:rsid w:val="00360DA3"/>
    <w:rsid w:val="00360E7E"/>
    <w:rsid w:val="0036141A"/>
    <w:rsid w:val="00361ADC"/>
    <w:rsid w:val="0036205D"/>
    <w:rsid w:val="003629AC"/>
    <w:rsid w:val="003630C1"/>
    <w:rsid w:val="00363288"/>
    <w:rsid w:val="00363679"/>
    <w:rsid w:val="00367ED7"/>
    <w:rsid w:val="00367F21"/>
    <w:rsid w:val="00370A7F"/>
    <w:rsid w:val="00370F6C"/>
    <w:rsid w:val="00370F9D"/>
    <w:rsid w:val="00371CF3"/>
    <w:rsid w:val="003723BD"/>
    <w:rsid w:val="0037261A"/>
    <w:rsid w:val="0037263C"/>
    <w:rsid w:val="00372A25"/>
    <w:rsid w:val="00372AD0"/>
    <w:rsid w:val="00372D03"/>
    <w:rsid w:val="00373A26"/>
    <w:rsid w:val="00375DD3"/>
    <w:rsid w:val="00376E00"/>
    <w:rsid w:val="00380244"/>
    <w:rsid w:val="00380CC6"/>
    <w:rsid w:val="00381D8F"/>
    <w:rsid w:val="003823BC"/>
    <w:rsid w:val="00383B73"/>
    <w:rsid w:val="00383FE2"/>
    <w:rsid w:val="00384EB5"/>
    <w:rsid w:val="00387DEC"/>
    <w:rsid w:val="00390C21"/>
    <w:rsid w:val="0039112A"/>
    <w:rsid w:val="00391AD2"/>
    <w:rsid w:val="00391E67"/>
    <w:rsid w:val="00393A19"/>
    <w:rsid w:val="003941B2"/>
    <w:rsid w:val="00394A8A"/>
    <w:rsid w:val="003955EF"/>
    <w:rsid w:val="003961A2"/>
    <w:rsid w:val="0039636D"/>
    <w:rsid w:val="003A051F"/>
    <w:rsid w:val="003A1946"/>
    <w:rsid w:val="003A2154"/>
    <w:rsid w:val="003A31E0"/>
    <w:rsid w:val="003A3A5E"/>
    <w:rsid w:val="003A3F55"/>
    <w:rsid w:val="003A58A7"/>
    <w:rsid w:val="003A5F83"/>
    <w:rsid w:val="003A77B2"/>
    <w:rsid w:val="003A7AC1"/>
    <w:rsid w:val="003A7C72"/>
    <w:rsid w:val="003B0A1D"/>
    <w:rsid w:val="003B16BB"/>
    <w:rsid w:val="003B2599"/>
    <w:rsid w:val="003B2BE2"/>
    <w:rsid w:val="003B3AB4"/>
    <w:rsid w:val="003B411F"/>
    <w:rsid w:val="003B4474"/>
    <w:rsid w:val="003B58DF"/>
    <w:rsid w:val="003B5F38"/>
    <w:rsid w:val="003B6071"/>
    <w:rsid w:val="003B7DD4"/>
    <w:rsid w:val="003B7E66"/>
    <w:rsid w:val="003C06BE"/>
    <w:rsid w:val="003C0C5B"/>
    <w:rsid w:val="003C0DC7"/>
    <w:rsid w:val="003C12C1"/>
    <w:rsid w:val="003C1734"/>
    <w:rsid w:val="003C1F7E"/>
    <w:rsid w:val="003C6678"/>
    <w:rsid w:val="003C6BCE"/>
    <w:rsid w:val="003C7EDF"/>
    <w:rsid w:val="003D0733"/>
    <w:rsid w:val="003D1714"/>
    <w:rsid w:val="003D321F"/>
    <w:rsid w:val="003D32F2"/>
    <w:rsid w:val="003D4766"/>
    <w:rsid w:val="003D5731"/>
    <w:rsid w:val="003D5935"/>
    <w:rsid w:val="003D5F8E"/>
    <w:rsid w:val="003D6BB9"/>
    <w:rsid w:val="003E0365"/>
    <w:rsid w:val="003E1E39"/>
    <w:rsid w:val="003E30F6"/>
    <w:rsid w:val="003E3E0C"/>
    <w:rsid w:val="003E3FD1"/>
    <w:rsid w:val="003E5352"/>
    <w:rsid w:val="003E5A29"/>
    <w:rsid w:val="003E5FD6"/>
    <w:rsid w:val="003E64C9"/>
    <w:rsid w:val="003E6CB8"/>
    <w:rsid w:val="003E7375"/>
    <w:rsid w:val="003E7378"/>
    <w:rsid w:val="003E7E0E"/>
    <w:rsid w:val="003F0903"/>
    <w:rsid w:val="003F09D8"/>
    <w:rsid w:val="003F0D76"/>
    <w:rsid w:val="003F17A9"/>
    <w:rsid w:val="003F2A61"/>
    <w:rsid w:val="003F30A5"/>
    <w:rsid w:val="003F3256"/>
    <w:rsid w:val="003F3AFB"/>
    <w:rsid w:val="003F422F"/>
    <w:rsid w:val="003F448E"/>
    <w:rsid w:val="003F5724"/>
    <w:rsid w:val="003F5ED0"/>
    <w:rsid w:val="003F6128"/>
    <w:rsid w:val="003F667A"/>
    <w:rsid w:val="003F684C"/>
    <w:rsid w:val="003F6899"/>
    <w:rsid w:val="003F6D3C"/>
    <w:rsid w:val="003F6E1A"/>
    <w:rsid w:val="003F762A"/>
    <w:rsid w:val="003F7CEB"/>
    <w:rsid w:val="004009DA"/>
    <w:rsid w:val="00401165"/>
    <w:rsid w:val="00403F2D"/>
    <w:rsid w:val="0040410E"/>
    <w:rsid w:val="004051AF"/>
    <w:rsid w:val="0040520D"/>
    <w:rsid w:val="004069EF"/>
    <w:rsid w:val="0041039C"/>
    <w:rsid w:val="004108E6"/>
    <w:rsid w:val="00411B11"/>
    <w:rsid w:val="00411CAF"/>
    <w:rsid w:val="004120C6"/>
    <w:rsid w:val="004122DA"/>
    <w:rsid w:val="0041246B"/>
    <w:rsid w:val="00412A21"/>
    <w:rsid w:val="00412AD9"/>
    <w:rsid w:val="00412F57"/>
    <w:rsid w:val="0041435C"/>
    <w:rsid w:val="00415017"/>
    <w:rsid w:val="00415829"/>
    <w:rsid w:val="00415E34"/>
    <w:rsid w:val="00420632"/>
    <w:rsid w:val="00420C5C"/>
    <w:rsid w:val="00421554"/>
    <w:rsid w:val="00421A14"/>
    <w:rsid w:val="00422B3E"/>
    <w:rsid w:val="00424C68"/>
    <w:rsid w:val="00424CE0"/>
    <w:rsid w:val="00425040"/>
    <w:rsid w:val="004256B5"/>
    <w:rsid w:val="0042642B"/>
    <w:rsid w:val="00427F29"/>
    <w:rsid w:val="00430D8F"/>
    <w:rsid w:val="00430E30"/>
    <w:rsid w:val="00431196"/>
    <w:rsid w:val="004312FC"/>
    <w:rsid w:val="00432121"/>
    <w:rsid w:val="00432227"/>
    <w:rsid w:val="0043270F"/>
    <w:rsid w:val="00433709"/>
    <w:rsid w:val="0043373A"/>
    <w:rsid w:val="00433AAE"/>
    <w:rsid w:val="00434786"/>
    <w:rsid w:val="004353EB"/>
    <w:rsid w:val="00435724"/>
    <w:rsid w:val="00435AB8"/>
    <w:rsid w:val="004366A1"/>
    <w:rsid w:val="00440152"/>
    <w:rsid w:val="00441F49"/>
    <w:rsid w:val="004421A2"/>
    <w:rsid w:val="00442599"/>
    <w:rsid w:val="004427DA"/>
    <w:rsid w:val="00442DD6"/>
    <w:rsid w:val="00443D34"/>
    <w:rsid w:val="0044446A"/>
    <w:rsid w:val="00445CA9"/>
    <w:rsid w:val="00445D90"/>
    <w:rsid w:val="004473AD"/>
    <w:rsid w:val="0045140E"/>
    <w:rsid w:val="00451763"/>
    <w:rsid w:val="00451ECE"/>
    <w:rsid w:val="00452094"/>
    <w:rsid w:val="004520F0"/>
    <w:rsid w:val="00452238"/>
    <w:rsid w:val="0045235B"/>
    <w:rsid w:val="004524CF"/>
    <w:rsid w:val="00452E6B"/>
    <w:rsid w:val="00453187"/>
    <w:rsid w:val="0045380B"/>
    <w:rsid w:val="00454260"/>
    <w:rsid w:val="004544A4"/>
    <w:rsid w:val="004547F4"/>
    <w:rsid w:val="00454F59"/>
    <w:rsid w:val="00455598"/>
    <w:rsid w:val="00456652"/>
    <w:rsid w:val="00457B75"/>
    <w:rsid w:val="0046336D"/>
    <w:rsid w:val="00463AAA"/>
    <w:rsid w:val="00464E00"/>
    <w:rsid w:val="0046517A"/>
    <w:rsid w:val="004659F7"/>
    <w:rsid w:val="00466B0C"/>
    <w:rsid w:val="00466E3B"/>
    <w:rsid w:val="00467E71"/>
    <w:rsid w:val="00470E66"/>
    <w:rsid w:val="004717A1"/>
    <w:rsid w:val="00472E1E"/>
    <w:rsid w:val="00473432"/>
    <w:rsid w:val="004734C1"/>
    <w:rsid w:val="004735CD"/>
    <w:rsid w:val="0047453A"/>
    <w:rsid w:val="00474EB3"/>
    <w:rsid w:val="004752FA"/>
    <w:rsid w:val="004754EF"/>
    <w:rsid w:val="00475747"/>
    <w:rsid w:val="004764A2"/>
    <w:rsid w:val="00476C5A"/>
    <w:rsid w:val="00477AFF"/>
    <w:rsid w:val="00480116"/>
    <w:rsid w:val="00481462"/>
    <w:rsid w:val="004832B7"/>
    <w:rsid w:val="00483473"/>
    <w:rsid w:val="00483B84"/>
    <w:rsid w:val="00483E01"/>
    <w:rsid w:val="00484922"/>
    <w:rsid w:val="00484A23"/>
    <w:rsid w:val="00486801"/>
    <w:rsid w:val="00486A13"/>
    <w:rsid w:val="00486C02"/>
    <w:rsid w:val="004878F4"/>
    <w:rsid w:val="004900D2"/>
    <w:rsid w:val="0049029B"/>
    <w:rsid w:val="004923CE"/>
    <w:rsid w:val="0049310D"/>
    <w:rsid w:val="0049410D"/>
    <w:rsid w:val="004957C8"/>
    <w:rsid w:val="00495A5E"/>
    <w:rsid w:val="004964A1"/>
    <w:rsid w:val="00496799"/>
    <w:rsid w:val="00496F7C"/>
    <w:rsid w:val="004971FA"/>
    <w:rsid w:val="004976C4"/>
    <w:rsid w:val="004977DD"/>
    <w:rsid w:val="004A0416"/>
    <w:rsid w:val="004A0A84"/>
    <w:rsid w:val="004A1CC5"/>
    <w:rsid w:val="004A1FAD"/>
    <w:rsid w:val="004A2A37"/>
    <w:rsid w:val="004A2D78"/>
    <w:rsid w:val="004A32B7"/>
    <w:rsid w:val="004A3468"/>
    <w:rsid w:val="004A3CC6"/>
    <w:rsid w:val="004A5F3C"/>
    <w:rsid w:val="004A7829"/>
    <w:rsid w:val="004A79B6"/>
    <w:rsid w:val="004A7CBD"/>
    <w:rsid w:val="004B070F"/>
    <w:rsid w:val="004B239E"/>
    <w:rsid w:val="004B271C"/>
    <w:rsid w:val="004B3A83"/>
    <w:rsid w:val="004B49D2"/>
    <w:rsid w:val="004B4E39"/>
    <w:rsid w:val="004B50BD"/>
    <w:rsid w:val="004B59C0"/>
    <w:rsid w:val="004B5BED"/>
    <w:rsid w:val="004B5E16"/>
    <w:rsid w:val="004B631F"/>
    <w:rsid w:val="004B6559"/>
    <w:rsid w:val="004B69B0"/>
    <w:rsid w:val="004B6C8B"/>
    <w:rsid w:val="004B6EC8"/>
    <w:rsid w:val="004B7863"/>
    <w:rsid w:val="004B7E9C"/>
    <w:rsid w:val="004C10B1"/>
    <w:rsid w:val="004C1F5B"/>
    <w:rsid w:val="004C2181"/>
    <w:rsid w:val="004C35BF"/>
    <w:rsid w:val="004C428C"/>
    <w:rsid w:val="004C4A87"/>
    <w:rsid w:val="004C733A"/>
    <w:rsid w:val="004C7A00"/>
    <w:rsid w:val="004D0A5A"/>
    <w:rsid w:val="004D20CE"/>
    <w:rsid w:val="004D2200"/>
    <w:rsid w:val="004D2232"/>
    <w:rsid w:val="004D246E"/>
    <w:rsid w:val="004D28B1"/>
    <w:rsid w:val="004D2B8E"/>
    <w:rsid w:val="004D321B"/>
    <w:rsid w:val="004D3A52"/>
    <w:rsid w:val="004D4DD4"/>
    <w:rsid w:val="004D6A4F"/>
    <w:rsid w:val="004D6EF3"/>
    <w:rsid w:val="004D70C4"/>
    <w:rsid w:val="004D74E1"/>
    <w:rsid w:val="004E0FD1"/>
    <w:rsid w:val="004E12A7"/>
    <w:rsid w:val="004E2F1A"/>
    <w:rsid w:val="004E4006"/>
    <w:rsid w:val="004E40DD"/>
    <w:rsid w:val="004E4D1E"/>
    <w:rsid w:val="004E71CF"/>
    <w:rsid w:val="004F00DA"/>
    <w:rsid w:val="004F0799"/>
    <w:rsid w:val="004F0BCB"/>
    <w:rsid w:val="004F0C43"/>
    <w:rsid w:val="004F105C"/>
    <w:rsid w:val="004F1349"/>
    <w:rsid w:val="004F2570"/>
    <w:rsid w:val="004F365C"/>
    <w:rsid w:val="004F3981"/>
    <w:rsid w:val="004F47F9"/>
    <w:rsid w:val="004F4B41"/>
    <w:rsid w:val="004F526A"/>
    <w:rsid w:val="004F5A47"/>
    <w:rsid w:val="004F6CCB"/>
    <w:rsid w:val="004F72CA"/>
    <w:rsid w:val="004F7923"/>
    <w:rsid w:val="005000D4"/>
    <w:rsid w:val="00502148"/>
    <w:rsid w:val="00503522"/>
    <w:rsid w:val="0050449A"/>
    <w:rsid w:val="005048B8"/>
    <w:rsid w:val="00504CB2"/>
    <w:rsid w:val="0050533B"/>
    <w:rsid w:val="0050601D"/>
    <w:rsid w:val="00507376"/>
    <w:rsid w:val="00507A9E"/>
    <w:rsid w:val="005104C6"/>
    <w:rsid w:val="0051057C"/>
    <w:rsid w:val="005106E2"/>
    <w:rsid w:val="00510FF8"/>
    <w:rsid w:val="0051112D"/>
    <w:rsid w:val="00511EB4"/>
    <w:rsid w:val="005124F0"/>
    <w:rsid w:val="00512CC4"/>
    <w:rsid w:val="005130DE"/>
    <w:rsid w:val="00513169"/>
    <w:rsid w:val="0051329F"/>
    <w:rsid w:val="00515084"/>
    <w:rsid w:val="005151D7"/>
    <w:rsid w:val="00515713"/>
    <w:rsid w:val="0051648B"/>
    <w:rsid w:val="00517085"/>
    <w:rsid w:val="0051756A"/>
    <w:rsid w:val="00520EA5"/>
    <w:rsid w:val="0052117E"/>
    <w:rsid w:val="005219AE"/>
    <w:rsid w:val="005223A4"/>
    <w:rsid w:val="0052308B"/>
    <w:rsid w:val="00523A8B"/>
    <w:rsid w:val="0052428B"/>
    <w:rsid w:val="00525086"/>
    <w:rsid w:val="00525CF2"/>
    <w:rsid w:val="00525FF8"/>
    <w:rsid w:val="00526B6C"/>
    <w:rsid w:val="005279CE"/>
    <w:rsid w:val="00527CD7"/>
    <w:rsid w:val="00530515"/>
    <w:rsid w:val="005313E3"/>
    <w:rsid w:val="0053156F"/>
    <w:rsid w:val="00531F95"/>
    <w:rsid w:val="00532E90"/>
    <w:rsid w:val="00533321"/>
    <w:rsid w:val="00533470"/>
    <w:rsid w:val="00535656"/>
    <w:rsid w:val="0053639E"/>
    <w:rsid w:val="00536579"/>
    <w:rsid w:val="0053765B"/>
    <w:rsid w:val="00540C32"/>
    <w:rsid w:val="00540DF0"/>
    <w:rsid w:val="005412F3"/>
    <w:rsid w:val="00541E88"/>
    <w:rsid w:val="0054246D"/>
    <w:rsid w:val="0054374A"/>
    <w:rsid w:val="00543908"/>
    <w:rsid w:val="00543923"/>
    <w:rsid w:val="005453EC"/>
    <w:rsid w:val="00545F04"/>
    <w:rsid w:val="005462BC"/>
    <w:rsid w:val="00546565"/>
    <w:rsid w:val="005467F3"/>
    <w:rsid w:val="00547ADE"/>
    <w:rsid w:val="005515AA"/>
    <w:rsid w:val="005516FA"/>
    <w:rsid w:val="00551A1C"/>
    <w:rsid w:val="00552018"/>
    <w:rsid w:val="00553BC1"/>
    <w:rsid w:val="0055416C"/>
    <w:rsid w:val="00554E86"/>
    <w:rsid w:val="00555981"/>
    <w:rsid w:val="00555A2E"/>
    <w:rsid w:val="005563EC"/>
    <w:rsid w:val="0055670E"/>
    <w:rsid w:val="00556A49"/>
    <w:rsid w:val="00556F64"/>
    <w:rsid w:val="0055733B"/>
    <w:rsid w:val="0055740C"/>
    <w:rsid w:val="005579DE"/>
    <w:rsid w:val="00557A57"/>
    <w:rsid w:val="005609A1"/>
    <w:rsid w:val="00560E86"/>
    <w:rsid w:val="005616D4"/>
    <w:rsid w:val="00561B48"/>
    <w:rsid w:val="00561C88"/>
    <w:rsid w:val="005634B2"/>
    <w:rsid w:val="00563CCC"/>
    <w:rsid w:val="0056402E"/>
    <w:rsid w:val="005647B0"/>
    <w:rsid w:val="00564BAD"/>
    <w:rsid w:val="005658E4"/>
    <w:rsid w:val="0056652D"/>
    <w:rsid w:val="0056664B"/>
    <w:rsid w:val="005666FA"/>
    <w:rsid w:val="00566818"/>
    <w:rsid w:val="005677B5"/>
    <w:rsid w:val="005679EF"/>
    <w:rsid w:val="00570F5A"/>
    <w:rsid w:val="005711EF"/>
    <w:rsid w:val="00571FD8"/>
    <w:rsid w:val="00573649"/>
    <w:rsid w:val="005743AB"/>
    <w:rsid w:val="00574BD6"/>
    <w:rsid w:val="00575D9F"/>
    <w:rsid w:val="005760FB"/>
    <w:rsid w:val="00581123"/>
    <w:rsid w:val="0058150B"/>
    <w:rsid w:val="0058191F"/>
    <w:rsid w:val="00581CF5"/>
    <w:rsid w:val="00582473"/>
    <w:rsid w:val="005824DB"/>
    <w:rsid w:val="005838B2"/>
    <w:rsid w:val="0058395E"/>
    <w:rsid w:val="00583B31"/>
    <w:rsid w:val="00584B3A"/>
    <w:rsid w:val="00585994"/>
    <w:rsid w:val="00587719"/>
    <w:rsid w:val="00587818"/>
    <w:rsid w:val="00590436"/>
    <w:rsid w:val="005904CD"/>
    <w:rsid w:val="005907B2"/>
    <w:rsid w:val="00593151"/>
    <w:rsid w:val="00593476"/>
    <w:rsid w:val="00593D5D"/>
    <w:rsid w:val="005940A4"/>
    <w:rsid w:val="00594172"/>
    <w:rsid w:val="00595779"/>
    <w:rsid w:val="0059727C"/>
    <w:rsid w:val="0059739A"/>
    <w:rsid w:val="00597966"/>
    <w:rsid w:val="005A062B"/>
    <w:rsid w:val="005A0C26"/>
    <w:rsid w:val="005A0C44"/>
    <w:rsid w:val="005A0D82"/>
    <w:rsid w:val="005A111D"/>
    <w:rsid w:val="005A1F28"/>
    <w:rsid w:val="005A200E"/>
    <w:rsid w:val="005A2916"/>
    <w:rsid w:val="005A32FF"/>
    <w:rsid w:val="005A35D0"/>
    <w:rsid w:val="005A4096"/>
    <w:rsid w:val="005A4F8E"/>
    <w:rsid w:val="005A76E1"/>
    <w:rsid w:val="005A7774"/>
    <w:rsid w:val="005B1512"/>
    <w:rsid w:val="005B17CB"/>
    <w:rsid w:val="005B319E"/>
    <w:rsid w:val="005B35E7"/>
    <w:rsid w:val="005B3DE1"/>
    <w:rsid w:val="005B5294"/>
    <w:rsid w:val="005B63C9"/>
    <w:rsid w:val="005B6F96"/>
    <w:rsid w:val="005B7138"/>
    <w:rsid w:val="005B7203"/>
    <w:rsid w:val="005B75BB"/>
    <w:rsid w:val="005B786F"/>
    <w:rsid w:val="005C054F"/>
    <w:rsid w:val="005C21B3"/>
    <w:rsid w:val="005C4468"/>
    <w:rsid w:val="005C47DD"/>
    <w:rsid w:val="005C4C85"/>
    <w:rsid w:val="005C596F"/>
    <w:rsid w:val="005C5AE9"/>
    <w:rsid w:val="005C5E61"/>
    <w:rsid w:val="005C5EAA"/>
    <w:rsid w:val="005C62FF"/>
    <w:rsid w:val="005C63B6"/>
    <w:rsid w:val="005C7106"/>
    <w:rsid w:val="005C79A8"/>
    <w:rsid w:val="005C7E22"/>
    <w:rsid w:val="005C7FFE"/>
    <w:rsid w:val="005D0350"/>
    <w:rsid w:val="005D0B6A"/>
    <w:rsid w:val="005D1D99"/>
    <w:rsid w:val="005D22F6"/>
    <w:rsid w:val="005D2927"/>
    <w:rsid w:val="005D2C20"/>
    <w:rsid w:val="005D2D05"/>
    <w:rsid w:val="005D2F91"/>
    <w:rsid w:val="005D3AF8"/>
    <w:rsid w:val="005D44AB"/>
    <w:rsid w:val="005D5B37"/>
    <w:rsid w:val="005D666C"/>
    <w:rsid w:val="005D7857"/>
    <w:rsid w:val="005D7A30"/>
    <w:rsid w:val="005D7AFB"/>
    <w:rsid w:val="005D7B32"/>
    <w:rsid w:val="005E0C26"/>
    <w:rsid w:val="005E1318"/>
    <w:rsid w:val="005E13AB"/>
    <w:rsid w:val="005E2859"/>
    <w:rsid w:val="005E322C"/>
    <w:rsid w:val="005E45A3"/>
    <w:rsid w:val="005E4EF4"/>
    <w:rsid w:val="005E56D5"/>
    <w:rsid w:val="005E63A5"/>
    <w:rsid w:val="005E6DE2"/>
    <w:rsid w:val="005E7931"/>
    <w:rsid w:val="005F062B"/>
    <w:rsid w:val="005F088A"/>
    <w:rsid w:val="005F08B0"/>
    <w:rsid w:val="005F0977"/>
    <w:rsid w:val="005F0C40"/>
    <w:rsid w:val="005F1205"/>
    <w:rsid w:val="005F163F"/>
    <w:rsid w:val="005F1C85"/>
    <w:rsid w:val="005F27F2"/>
    <w:rsid w:val="005F4C83"/>
    <w:rsid w:val="005F5151"/>
    <w:rsid w:val="005F64E2"/>
    <w:rsid w:val="005F6CA7"/>
    <w:rsid w:val="00601045"/>
    <w:rsid w:val="006013CD"/>
    <w:rsid w:val="006017D9"/>
    <w:rsid w:val="00601A04"/>
    <w:rsid w:val="00602412"/>
    <w:rsid w:val="00602BC7"/>
    <w:rsid w:val="006032A8"/>
    <w:rsid w:val="006039D6"/>
    <w:rsid w:val="00604602"/>
    <w:rsid w:val="006051C1"/>
    <w:rsid w:val="006060E0"/>
    <w:rsid w:val="006074CF"/>
    <w:rsid w:val="006106A1"/>
    <w:rsid w:val="0061096D"/>
    <w:rsid w:val="006110B5"/>
    <w:rsid w:val="006111A9"/>
    <w:rsid w:val="00612AC6"/>
    <w:rsid w:val="00614487"/>
    <w:rsid w:val="00614F33"/>
    <w:rsid w:val="0061510B"/>
    <w:rsid w:val="006166A3"/>
    <w:rsid w:val="00616FEC"/>
    <w:rsid w:val="00620556"/>
    <w:rsid w:val="0062058F"/>
    <w:rsid w:val="00620A21"/>
    <w:rsid w:val="0062184C"/>
    <w:rsid w:val="00621D46"/>
    <w:rsid w:val="006223A4"/>
    <w:rsid w:val="0062289E"/>
    <w:rsid w:val="00622F47"/>
    <w:rsid w:val="00623A89"/>
    <w:rsid w:val="00623B63"/>
    <w:rsid w:val="0062514E"/>
    <w:rsid w:val="0062756A"/>
    <w:rsid w:val="006300CB"/>
    <w:rsid w:val="00631233"/>
    <w:rsid w:val="006324F3"/>
    <w:rsid w:val="00632CBD"/>
    <w:rsid w:val="00632D82"/>
    <w:rsid w:val="00633412"/>
    <w:rsid w:val="00633957"/>
    <w:rsid w:val="006340C0"/>
    <w:rsid w:val="00634251"/>
    <w:rsid w:val="00634C6B"/>
    <w:rsid w:val="00634C85"/>
    <w:rsid w:val="00634F76"/>
    <w:rsid w:val="0063507D"/>
    <w:rsid w:val="00635EAD"/>
    <w:rsid w:val="0063690A"/>
    <w:rsid w:val="00636B61"/>
    <w:rsid w:val="006376EF"/>
    <w:rsid w:val="0064090A"/>
    <w:rsid w:val="00640AF6"/>
    <w:rsid w:val="00640D6B"/>
    <w:rsid w:val="00640E4C"/>
    <w:rsid w:val="006426DB"/>
    <w:rsid w:val="00642A5D"/>
    <w:rsid w:val="00642E9F"/>
    <w:rsid w:val="006431BE"/>
    <w:rsid w:val="006443C0"/>
    <w:rsid w:val="00644B2A"/>
    <w:rsid w:val="006453A5"/>
    <w:rsid w:val="006478A4"/>
    <w:rsid w:val="00650392"/>
    <w:rsid w:val="00652A42"/>
    <w:rsid w:val="00653287"/>
    <w:rsid w:val="006533F9"/>
    <w:rsid w:val="00653CCC"/>
    <w:rsid w:val="006541DE"/>
    <w:rsid w:val="00654232"/>
    <w:rsid w:val="00655592"/>
    <w:rsid w:val="00656D49"/>
    <w:rsid w:val="00657F82"/>
    <w:rsid w:val="006604A4"/>
    <w:rsid w:val="0066064E"/>
    <w:rsid w:val="0066096D"/>
    <w:rsid w:val="00661F6F"/>
    <w:rsid w:val="00662897"/>
    <w:rsid w:val="00663DEA"/>
    <w:rsid w:val="0066477A"/>
    <w:rsid w:val="00664B16"/>
    <w:rsid w:val="006653D6"/>
    <w:rsid w:val="00665CB9"/>
    <w:rsid w:val="0066719C"/>
    <w:rsid w:val="00667ADE"/>
    <w:rsid w:val="00667C49"/>
    <w:rsid w:val="00670541"/>
    <w:rsid w:val="0067151D"/>
    <w:rsid w:val="006722E6"/>
    <w:rsid w:val="006726DF"/>
    <w:rsid w:val="0067288E"/>
    <w:rsid w:val="00672A4A"/>
    <w:rsid w:val="00672CD2"/>
    <w:rsid w:val="0067464E"/>
    <w:rsid w:val="0067472E"/>
    <w:rsid w:val="00674A62"/>
    <w:rsid w:val="00674DF9"/>
    <w:rsid w:val="00674F81"/>
    <w:rsid w:val="0067566B"/>
    <w:rsid w:val="00675EA8"/>
    <w:rsid w:val="0067646A"/>
    <w:rsid w:val="006778AC"/>
    <w:rsid w:val="00677EA6"/>
    <w:rsid w:val="00680644"/>
    <w:rsid w:val="00680D6E"/>
    <w:rsid w:val="00680DC9"/>
    <w:rsid w:val="00680EEB"/>
    <w:rsid w:val="00680FDC"/>
    <w:rsid w:val="00681ED3"/>
    <w:rsid w:val="006820DA"/>
    <w:rsid w:val="00682744"/>
    <w:rsid w:val="006837FB"/>
    <w:rsid w:val="006847AD"/>
    <w:rsid w:val="006854C1"/>
    <w:rsid w:val="006868D6"/>
    <w:rsid w:val="00686969"/>
    <w:rsid w:val="00690F22"/>
    <w:rsid w:val="006910D2"/>
    <w:rsid w:val="006915CB"/>
    <w:rsid w:val="0069207C"/>
    <w:rsid w:val="006928CA"/>
    <w:rsid w:val="006939D0"/>
    <w:rsid w:val="00694B0A"/>
    <w:rsid w:val="00694FF8"/>
    <w:rsid w:val="0069619F"/>
    <w:rsid w:val="006965EB"/>
    <w:rsid w:val="006968FD"/>
    <w:rsid w:val="00696BBB"/>
    <w:rsid w:val="00697195"/>
    <w:rsid w:val="006A04F9"/>
    <w:rsid w:val="006A08FD"/>
    <w:rsid w:val="006A1CA6"/>
    <w:rsid w:val="006A2B1D"/>
    <w:rsid w:val="006A2B92"/>
    <w:rsid w:val="006A2F24"/>
    <w:rsid w:val="006A33EA"/>
    <w:rsid w:val="006A46AA"/>
    <w:rsid w:val="006A5BE9"/>
    <w:rsid w:val="006A6B13"/>
    <w:rsid w:val="006A6CAD"/>
    <w:rsid w:val="006A70DF"/>
    <w:rsid w:val="006A7CCD"/>
    <w:rsid w:val="006B0987"/>
    <w:rsid w:val="006B2054"/>
    <w:rsid w:val="006B2280"/>
    <w:rsid w:val="006B281D"/>
    <w:rsid w:val="006B28F5"/>
    <w:rsid w:val="006B4901"/>
    <w:rsid w:val="006B4F78"/>
    <w:rsid w:val="006B557F"/>
    <w:rsid w:val="006B6711"/>
    <w:rsid w:val="006B67E4"/>
    <w:rsid w:val="006B7E36"/>
    <w:rsid w:val="006C032B"/>
    <w:rsid w:val="006C05BB"/>
    <w:rsid w:val="006C1236"/>
    <w:rsid w:val="006C2749"/>
    <w:rsid w:val="006C2BF3"/>
    <w:rsid w:val="006C36F7"/>
    <w:rsid w:val="006C3FCB"/>
    <w:rsid w:val="006C4285"/>
    <w:rsid w:val="006C54AA"/>
    <w:rsid w:val="006C6952"/>
    <w:rsid w:val="006C75CC"/>
    <w:rsid w:val="006D00D3"/>
    <w:rsid w:val="006D0649"/>
    <w:rsid w:val="006D0E4C"/>
    <w:rsid w:val="006D138C"/>
    <w:rsid w:val="006D22AC"/>
    <w:rsid w:val="006D3C38"/>
    <w:rsid w:val="006D3E01"/>
    <w:rsid w:val="006D4676"/>
    <w:rsid w:val="006D51B6"/>
    <w:rsid w:val="006D51D6"/>
    <w:rsid w:val="006D5869"/>
    <w:rsid w:val="006D5ED2"/>
    <w:rsid w:val="006D649A"/>
    <w:rsid w:val="006D68E8"/>
    <w:rsid w:val="006D7210"/>
    <w:rsid w:val="006D7F17"/>
    <w:rsid w:val="006E05CD"/>
    <w:rsid w:val="006E14F6"/>
    <w:rsid w:val="006E1EAB"/>
    <w:rsid w:val="006E3696"/>
    <w:rsid w:val="006E4360"/>
    <w:rsid w:val="006E508C"/>
    <w:rsid w:val="006E5E55"/>
    <w:rsid w:val="006E6423"/>
    <w:rsid w:val="006E778C"/>
    <w:rsid w:val="006E7AD7"/>
    <w:rsid w:val="006F0405"/>
    <w:rsid w:val="006F0D36"/>
    <w:rsid w:val="006F15E3"/>
    <w:rsid w:val="006F2456"/>
    <w:rsid w:val="006F27B7"/>
    <w:rsid w:val="006F2813"/>
    <w:rsid w:val="006F2E78"/>
    <w:rsid w:val="006F402A"/>
    <w:rsid w:val="006F4181"/>
    <w:rsid w:val="006F43A9"/>
    <w:rsid w:val="006F464B"/>
    <w:rsid w:val="006F481C"/>
    <w:rsid w:val="006F5A6A"/>
    <w:rsid w:val="006F5B31"/>
    <w:rsid w:val="006F5C66"/>
    <w:rsid w:val="006F6234"/>
    <w:rsid w:val="006F6785"/>
    <w:rsid w:val="006F699F"/>
    <w:rsid w:val="006F75E0"/>
    <w:rsid w:val="00701DFB"/>
    <w:rsid w:val="00702D32"/>
    <w:rsid w:val="0070316A"/>
    <w:rsid w:val="00703625"/>
    <w:rsid w:val="007037E6"/>
    <w:rsid w:val="00703B50"/>
    <w:rsid w:val="007049A3"/>
    <w:rsid w:val="00704F74"/>
    <w:rsid w:val="007063F4"/>
    <w:rsid w:val="00707061"/>
    <w:rsid w:val="0070722E"/>
    <w:rsid w:val="00710F5F"/>
    <w:rsid w:val="00712E90"/>
    <w:rsid w:val="0071312A"/>
    <w:rsid w:val="00713522"/>
    <w:rsid w:val="00713AC3"/>
    <w:rsid w:val="007143BB"/>
    <w:rsid w:val="007156AD"/>
    <w:rsid w:val="007157BE"/>
    <w:rsid w:val="00715992"/>
    <w:rsid w:val="00715E20"/>
    <w:rsid w:val="007160F8"/>
    <w:rsid w:val="0071651B"/>
    <w:rsid w:val="00716574"/>
    <w:rsid w:val="007172DA"/>
    <w:rsid w:val="00717909"/>
    <w:rsid w:val="007179C9"/>
    <w:rsid w:val="00721980"/>
    <w:rsid w:val="00721B76"/>
    <w:rsid w:val="007222E4"/>
    <w:rsid w:val="00722B59"/>
    <w:rsid w:val="00723432"/>
    <w:rsid w:val="0072344D"/>
    <w:rsid w:val="007237A2"/>
    <w:rsid w:val="00723CDA"/>
    <w:rsid w:val="00723D82"/>
    <w:rsid w:val="007240DD"/>
    <w:rsid w:val="00724230"/>
    <w:rsid w:val="0072462B"/>
    <w:rsid w:val="00724671"/>
    <w:rsid w:val="00726158"/>
    <w:rsid w:val="007267D1"/>
    <w:rsid w:val="00726A5D"/>
    <w:rsid w:val="00727338"/>
    <w:rsid w:val="00727799"/>
    <w:rsid w:val="00727BF8"/>
    <w:rsid w:val="0073007E"/>
    <w:rsid w:val="007300B8"/>
    <w:rsid w:val="0073088A"/>
    <w:rsid w:val="00730BD7"/>
    <w:rsid w:val="00731061"/>
    <w:rsid w:val="0073132C"/>
    <w:rsid w:val="00731A4F"/>
    <w:rsid w:val="00731F3F"/>
    <w:rsid w:val="007321AF"/>
    <w:rsid w:val="00732396"/>
    <w:rsid w:val="00732791"/>
    <w:rsid w:val="007330EC"/>
    <w:rsid w:val="00734AB1"/>
    <w:rsid w:val="00734B29"/>
    <w:rsid w:val="00735178"/>
    <w:rsid w:val="00735808"/>
    <w:rsid w:val="00735C1B"/>
    <w:rsid w:val="00736C72"/>
    <w:rsid w:val="00737243"/>
    <w:rsid w:val="00737E96"/>
    <w:rsid w:val="007402E6"/>
    <w:rsid w:val="00740442"/>
    <w:rsid w:val="00740E9F"/>
    <w:rsid w:val="0074113C"/>
    <w:rsid w:val="00741A1B"/>
    <w:rsid w:val="00741D01"/>
    <w:rsid w:val="00741DAA"/>
    <w:rsid w:val="00742854"/>
    <w:rsid w:val="00743BFE"/>
    <w:rsid w:val="00744D68"/>
    <w:rsid w:val="00745537"/>
    <w:rsid w:val="007473C8"/>
    <w:rsid w:val="00751B09"/>
    <w:rsid w:val="00752BB2"/>
    <w:rsid w:val="0075333A"/>
    <w:rsid w:val="0075439A"/>
    <w:rsid w:val="00754F0E"/>
    <w:rsid w:val="00756CC8"/>
    <w:rsid w:val="00757087"/>
    <w:rsid w:val="007573F1"/>
    <w:rsid w:val="00757E57"/>
    <w:rsid w:val="0076179D"/>
    <w:rsid w:val="00761CCA"/>
    <w:rsid w:val="00763399"/>
    <w:rsid w:val="00763C82"/>
    <w:rsid w:val="00763F92"/>
    <w:rsid w:val="00764229"/>
    <w:rsid w:val="00764957"/>
    <w:rsid w:val="00764A24"/>
    <w:rsid w:val="007652ED"/>
    <w:rsid w:val="00765EA6"/>
    <w:rsid w:val="00766B4C"/>
    <w:rsid w:val="00766DC6"/>
    <w:rsid w:val="00766E5A"/>
    <w:rsid w:val="00770000"/>
    <w:rsid w:val="0077317C"/>
    <w:rsid w:val="0077362A"/>
    <w:rsid w:val="00774099"/>
    <w:rsid w:val="00774D0D"/>
    <w:rsid w:val="00775323"/>
    <w:rsid w:val="00775B96"/>
    <w:rsid w:val="00776734"/>
    <w:rsid w:val="0077728F"/>
    <w:rsid w:val="00777948"/>
    <w:rsid w:val="00777C5F"/>
    <w:rsid w:val="007817A6"/>
    <w:rsid w:val="0078183C"/>
    <w:rsid w:val="007819C9"/>
    <w:rsid w:val="0078341A"/>
    <w:rsid w:val="00784344"/>
    <w:rsid w:val="00786C77"/>
    <w:rsid w:val="00786DF1"/>
    <w:rsid w:val="00787AF1"/>
    <w:rsid w:val="00790670"/>
    <w:rsid w:val="00792570"/>
    <w:rsid w:val="0079348F"/>
    <w:rsid w:val="007946CB"/>
    <w:rsid w:val="00794B08"/>
    <w:rsid w:val="0079530A"/>
    <w:rsid w:val="00795351"/>
    <w:rsid w:val="00795D33"/>
    <w:rsid w:val="00797CDB"/>
    <w:rsid w:val="00797FA4"/>
    <w:rsid w:val="007A0293"/>
    <w:rsid w:val="007A0753"/>
    <w:rsid w:val="007A1D56"/>
    <w:rsid w:val="007A1DE7"/>
    <w:rsid w:val="007A2829"/>
    <w:rsid w:val="007A2CEE"/>
    <w:rsid w:val="007A447F"/>
    <w:rsid w:val="007A4D62"/>
    <w:rsid w:val="007A6207"/>
    <w:rsid w:val="007A624D"/>
    <w:rsid w:val="007A71DA"/>
    <w:rsid w:val="007B04FE"/>
    <w:rsid w:val="007B0519"/>
    <w:rsid w:val="007B20A0"/>
    <w:rsid w:val="007B2ADC"/>
    <w:rsid w:val="007B2FC6"/>
    <w:rsid w:val="007B30A4"/>
    <w:rsid w:val="007B32F7"/>
    <w:rsid w:val="007B3C6B"/>
    <w:rsid w:val="007B3D3F"/>
    <w:rsid w:val="007B4210"/>
    <w:rsid w:val="007B4C6B"/>
    <w:rsid w:val="007B532F"/>
    <w:rsid w:val="007B56DF"/>
    <w:rsid w:val="007B5DC2"/>
    <w:rsid w:val="007B6145"/>
    <w:rsid w:val="007C0283"/>
    <w:rsid w:val="007C1AED"/>
    <w:rsid w:val="007C28F6"/>
    <w:rsid w:val="007C3545"/>
    <w:rsid w:val="007C3A10"/>
    <w:rsid w:val="007C3D08"/>
    <w:rsid w:val="007C48D6"/>
    <w:rsid w:val="007C4BE5"/>
    <w:rsid w:val="007C55DA"/>
    <w:rsid w:val="007C5E75"/>
    <w:rsid w:val="007C625A"/>
    <w:rsid w:val="007C738B"/>
    <w:rsid w:val="007C7B3F"/>
    <w:rsid w:val="007D0AC7"/>
    <w:rsid w:val="007D1355"/>
    <w:rsid w:val="007D18CE"/>
    <w:rsid w:val="007D2CAA"/>
    <w:rsid w:val="007D2EA7"/>
    <w:rsid w:val="007D3015"/>
    <w:rsid w:val="007D7936"/>
    <w:rsid w:val="007E03B5"/>
    <w:rsid w:val="007E10C7"/>
    <w:rsid w:val="007E14E8"/>
    <w:rsid w:val="007E1E76"/>
    <w:rsid w:val="007E2691"/>
    <w:rsid w:val="007E3209"/>
    <w:rsid w:val="007E34F3"/>
    <w:rsid w:val="007E38D7"/>
    <w:rsid w:val="007E3E50"/>
    <w:rsid w:val="007E4618"/>
    <w:rsid w:val="007E5390"/>
    <w:rsid w:val="007E552B"/>
    <w:rsid w:val="007E5F22"/>
    <w:rsid w:val="007E73FA"/>
    <w:rsid w:val="007E7798"/>
    <w:rsid w:val="007E7AA2"/>
    <w:rsid w:val="007F0A84"/>
    <w:rsid w:val="007F1008"/>
    <w:rsid w:val="007F1258"/>
    <w:rsid w:val="007F236B"/>
    <w:rsid w:val="007F2F73"/>
    <w:rsid w:val="007F3010"/>
    <w:rsid w:val="007F350F"/>
    <w:rsid w:val="007F3CFA"/>
    <w:rsid w:val="007F5031"/>
    <w:rsid w:val="007F513A"/>
    <w:rsid w:val="007F6CC2"/>
    <w:rsid w:val="007F6DCD"/>
    <w:rsid w:val="007F6F5F"/>
    <w:rsid w:val="007F700E"/>
    <w:rsid w:val="007F7498"/>
    <w:rsid w:val="007F7E31"/>
    <w:rsid w:val="008014D4"/>
    <w:rsid w:val="0080198D"/>
    <w:rsid w:val="00801E46"/>
    <w:rsid w:val="0080384D"/>
    <w:rsid w:val="00804F96"/>
    <w:rsid w:val="008058CA"/>
    <w:rsid w:val="00805BE6"/>
    <w:rsid w:val="00806D07"/>
    <w:rsid w:val="00810F7C"/>
    <w:rsid w:val="00810FA4"/>
    <w:rsid w:val="00812A8E"/>
    <w:rsid w:val="0081314A"/>
    <w:rsid w:val="00813580"/>
    <w:rsid w:val="00813B67"/>
    <w:rsid w:val="00814722"/>
    <w:rsid w:val="008148DD"/>
    <w:rsid w:val="00814A9A"/>
    <w:rsid w:val="00816135"/>
    <w:rsid w:val="0081616A"/>
    <w:rsid w:val="0081640F"/>
    <w:rsid w:val="00816DD7"/>
    <w:rsid w:val="0081711C"/>
    <w:rsid w:val="00817B18"/>
    <w:rsid w:val="0082097E"/>
    <w:rsid w:val="00820B47"/>
    <w:rsid w:val="00821915"/>
    <w:rsid w:val="008220D1"/>
    <w:rsid w:val="0082287B"/>
    <w:rsid w:val="0082330C"/>
    <w:rsid w:val="00824399"/>
    <w:rsid w:val="00825294"/>
    <w:rsid w:val="008258F3"/>
    <w:rsid w:val="00825AA0"/>
    <w:rsid w:val="00826464"/>
    <w:rsid w:val="00826DDA"/>
    <w:rsid w:val="008278FE"/>
    <w:rsid w:val="008313B3"/>
    <w:rsid w:val="00831692"/>
    <w:rsid w:val="00832D2C"/>
    <w:rsid w:val="00832F14"/>
    <w:rsid w:val="00833633"/>
    <w:rsid w:val="00834A1C"/>
    <w:rsid w:val="008400CD"/>
    <w:rsid w:val="00840CE0"/>
    <w:rsid w:val="00843244"/>
    <w:rsid w:val="008447DA"/>
    <w:rsid w:val="008448AC"/>
    <w:rsid w:val="0084499F"/>
    <w:rsid w:val="0084505A"/>
    <w:rsid w:val="00845DAD"/>
    <w:rsid w:val="00850907"/>
    <w:rsid w:val="00850C82"/>
    <w:rsid w:val="00852084"/>
    <w:rsid w:val="008526E9"/>
    <w:rsid w:val="00852F7B"/>
    <w:rsid w:val="0085400E"/>
    <w:rsid w:val="0085472F"/>
    <w:rsid w:val="00855C2A"/>
    <w:rsid w:val="008565F4"/>
    <w:rsid w:val="0085662E"/>
    <w:rsid w:val="0085687D"/>
    <w:rsid w:val="008572B1"/>
    <w:rsid w:val="00857381"/>
    <w:rsid w:val="008574DD"/>
    <w:rsid w:val="008579B8"/>
    <w:rsid w:val="008607B9"/>
    <w:rsid w:val="00862502"/>
    <w:rsid w:val="0086257C"/>
    <w:rsid w:val="008626D2"/>
    <w:rsid w:val="008629DD"/>
    <w:rsid w:val="00863538"/>
    <w:rsid w:val="008658C2"/>
    <w:rsid w:val="00865B2A"/>
    <w:rsid w:val="0086660A"/>
    <w:rsid w:val="00866FBB"/>
    <w:rsid w:val="00870536"/>
    <w:rsid w:val="0087070E"/>
    <w:rsid w:val="00871617"/>
    <w:rsid w:val="00871EE6"/>
    <w:rsid w:val="00872A2C"/>
    <w:rsid w:val="00873C11"/>
    <w:rsid w:val="00873D66"/>
    <w:rsid w:val="00873E18"/>
    <w:rsid w:val="00873F70"/>
    <w:rsid w:val="00874AAE"/>
    <w:rsid w:val="008752D9"/>
    <w:rsid w:val="00876873"/>
    <w:rsid w:val="008804E7"/>
    <w:rsid w:val="0088153D"/>
    <w:rsid w:val="00881FAC"/>
    <w:rsid w:val="008822BB"/>
    <w:rsid w:val="0088242D"/>
    <w:rsid w:val="008834A5"/>
    <w:rsid w:val="00883A2D"/>
    <w:rsid w:val="00884392"/>
    <w:rsid w:val="008846C1"/>
    <w:rsid w:val="00885B29"/>
    <w:rsid w:val="00885BA0"/>
    <w:rsid w:val="00885FF2"/>
    <w:rsid w:val="0088628F"/>
    <w:rsid w:val="00886C3A"/>
    <w:rsid w:val="0088742B"/>
    <w:rsid w:val="00887EE8"/>
    <w:rsid w:val="0089088C"/>
    <w:rsid w:val="008924C4"/>
    <w:rsid w:val="00892981"/>
    <w:rsid w:val="00893B0F"/>
    <w:rsid w:val="008949E0"/>
    <w:rsid w:val="008953A3"/>
    <w:rsid w:val="008967C7"/>
    <w:rsid w:val="0089696F"/>
    <w:rsid w:val="008A1C06"/>
    <w:rsid w:val="008A2388"/>
    <w:rsid w:val="008A2D61"/>
    <w:rsid w:val="008A406F"/>
    <w:rsid w:val="008A4085"/>
    <w:rsid w:val="008A4108"/>
    <w:rsid w:val="008A42CE"/>
    <w:rsid w:val="008A50A8"/>
    <w:rsid w:val="008A5D9A"/>
    <w:rsid w:val="008A5E28"/>
    <w:rsid w:val="008A680C"/>
    <w:rsid w:val="008A6900"/>
    <w:rsid w:val="008A7A7C"/>
    <w:rsid w:val="008B0F51"/>
    <w:rsid w:val="008B123A"/>
    <w:rsid w:val="008B1377"/>
    <w:rsid w:val="008B22BA"/>
    <w:rsid w:val="008B2667"/>
    <w:rsid w:val="008B329E"/>
    <w:rsid w:val="008B3ECE"/>
    <w:rsid w:val="008B3FE0"/>
    <w:rsid w:val="008B4485"/>
    <w:rsid w:val="008B4801"/>
    <w:rsid w:val="008B73A8"/>
    <w:rsid w:val="008B7613"/>
    <w:rsid w:val="008B78C2"/>
    <w:rsid w:val="008C0117"/>
    <w:rsid w:val="008C1C9F"/>
    <w:rsid w:val="008C2233"/>
    <w:rsid w:val="008C24A8"/>
    <w:rsid w:val="008C3BE6"/>
    <w:rsid w:val="008C45CA"/>
    <w:rsid w:val="008C50A6"/>
    <w:rsid w:val="008C67F7"/>
    <w:rsid w:val="008C6AC5"/>
    <w:rsid w:val="008C6E3E"/>
    <w:rsid w:val="008D02A5"/>
    <w:rsid w:val="008D12B5"/>
    <w:rsid w:val="008D1D1D"/>
    <w:rsid w:val="008D1DDE"/>
    <w:rsid w:val="008D208F"/>
    <w:rsid w:val="008D23A6"/>
    <w:rsid w:val="008D2553"/>
    <w:rsid w:val="008D292D"/>
    <w:rsid w:val="008D4209"/>
    <w:rsid w:val="008D4535"/>
    <w:rsid w:val="008D46A1"/>
    <w:rsid w:val="008D4727"/>
    <w:rsid w:val="008D48C6"/>
    <w:rsid w:val="008D5938"/>
    <w:rsid w:val="008D6855"/>
    <w:rsid w:val="008E1871"/>
    <w:rsid w:val="008E1BBD"/>
    <w:rsid w:val="008E2878"/>
    <w:rsid w:val="008E2B53"/>
    <w:rsid w:val="008E3B1E"/>
    <w:rsid w:val="008E64F0"/>
    <w:rsid w:val="008E679B"/>
    <w:rsid w:val="008E7169"/>
    <w:rsid w:val="008E740D"/>
    <w:rsid w:val="008E7BCE"/>
    <w:rsid w:val="008F07FB"/>
    <w:rsid w:val="008F15A1"/>
    <w:rsid w:val="008F31D9"/>
    <w:rsid w:val="008F41AD"/>
    <w:rsid w:val="008F720D"/>
    <w:rsid w:val="009019CB"/>
    <w:rsid w:val="00901CEA"/>
    <w:rsid w:val="00901EB9"/>
    <w:rsid w:val="00901EE2"/>
    <w:rsid w:val="009021CD"/>
    <w:rsid w:val="009023BE"/>
    <w:rsid w:val="009025F6"/>
    <w:rsid w:val="00902B3B"/>
    <w:rsid w:val="00902D84"/>
    <w:rsid w:val="0090345A"/>
    <w:rsid w:val="009035A0"/>
    <w:rsid w:val="009055E2"/>
    <w:rsid w:val="009057EB"/>
    <w:rsid w:val="009066AA"/>
    <w:rsid w:val="009122EF"/>
    <w:rsid w:val="009123A1"/>
    <w:rsid w:val="00913E16"/>
    <w:rsid w:val="009144D4"/>
    <w:rsid w:val="00914E86"/>
    <w:rsid w:val="00915029"/>
    <w:rsid w:val="00915D72"/>
    <w:rsid w:val="00915F87"/>
    <w:rsid w:val="009164A3"/>
    <w:rsid w:val="009165CD"/>
    <w:rsid w:val="00916768"/>
    <w:rsid w:val="00916BC3"/>
    <w:rsid w:val="009170B9"/>
    <w:rsid w:val="009171AC"/>
    <w:rsid w:val="00920D07"/>
    <w:rsid w:val="00923891"/>
    <w:rsid w:val="009242B5"/>
    <w:rsid w:val="009245A6"/>
    <w:rsid w:val="009245EA"/>
    <w:rsid w:val="00925827"/>
    <w:rsid w:val="009258B1"/>
    <w:rsid w:val="00925F31"/>
    <w:rsid w:val="00926999"/>
    <w:rsid w:val="00927225"/>
    <w:rsid w:val="009277CC"/>
    <w:rsid w:val="009309EF"/>
    <w:rsid w:val="00931123"/>
    <w:rsid w:val="0093145B"/>
    <w:rsid w:val="00933585"/>
    <w:rsid w:val="009340A1"/>
    <w:rsid w:val="009349CA"/>
    <w:rsid w:val="009354A5"/>
    <w:rsid w:val="009355E9"/>
    <w:rsid w:val="00935F91"/>
    <w:rsid w:val="0093720E"/>
    <w:rsid w:val="00937232"/>
    <w:rsid w:val="009376B7"/>
    <w:rsid w:val="00937B1D"/>
    <w:rsid w:val="0094058B"/>
    <w:rsid w:val="009408EA"/>
    <w:rsid w:val="009415F2"/>
    <w:rsid w:val="00941B84"/>
    <w:rsid w:val="009431DE"/>
    <w:rsid w:val="0094367C"/>
    <w:rsid w:val="009452DF"/>
    <w:rsid w:val="0094576A"/>
    <w:rsid w:val="00945A03"/>
    <w:rsid w:val="009478AD"/>
    <w:rsid w:val="00951090"/>
    <w:rsid w:val="00951A84"/>
    <w:rsid w:val="00951E25"/>
    <w:rsid w:val="00951ED5"/>
    <w:rsid w:val="00953A02"/>
    <w:rsid w:val="00953C80"/>
    <w:rsid w:val="00954372"/>
    <w:rsid w:val="00955031"/>
    <w:rsid w:val="009555F1"/>
    <w:rsid w:val="009570FA"/>
    <w:rsid w:val="00957150"/>
    <w:rsid w:val="00957701"/>
    <w:rsid w:val="00960128"/>
    <w:rsid w:val="00960446"/>
    <w:rsid w:val="009607E3"/>
    <w:rsid w:val="00961A1F"/>
    <w:rsid w:val="00962155"/>
    <w:rsid w:val="00962176"/>
    <w:rsid w:val="009622F7"/>
    <w:rsid w:val="009624BF"/>
    <w:rsid w:val="00962ACF"/>
    <w:rsid w:val="00962B35"/>
    <w:rsid w:val="009630A2"/>
    <w:rsid w:val="009641A2"/>
    <w:rsid w:val="00965904"/>
    <w:rsid w:val="00965A6C"/>
    <w:rsid w:val="009669A1"/>
    <w:rsid w:val="00966B1C"/>
    <w:rsid w:val="0096727B"/>
    <w:rsid w:val="00967524"/>
    <w:rsid w:val="009677C9"/>
    <w:rsid w:val="0097080C"/>
    <w:rsid w:val="00971076"/>
    <w:rsid w:val="00971A54"/>
    <w:rsid w:val="00972455"/>
    <w:rsid w:val="00972531"/>
    <w:rsid w:val="00972755"/>
    <w:rsid w:val="009734A0"/>
    <w:rsid w:val="0097476D"/>
    <w:rsid w:val="0097507F"/>
    <w:rsid w:val="009759E5"/>
    <w:rsid w:val="009776CC"/>
    <w:rsid w:val="00980316"/>
    <w:rsid w:val="0098070B"/>
    <w:rsid w:val="00980ABC"/>
    <w:rsid w:val="00980E64"/>
    <w:rsid w:val="00981095"/>
    <w:rsid w:val="009814B7"/>
    <w:rsid w:val="00981FA5"/>
    <w:rsid w:val="00982029"/>
    <w:rsid w:val="00984C45"/>
    <w:rsid w:val="0098573E"/>
    <w:rsid w:val="00985742"/>
    <w:rsid w:val="00985A9D"/>
    <w:rsid w:val="009862E4"/>
    <w:rsid w:val="00986827"/>
    <w:rsid w:val="009868E8"/>
    <w:rsid w:val="00987729"/>
    <w:rsid w:val="0098785C"/>
    <w:rsid w:val="00991270"/>
    <w:rsid w:val="009913D4"/>
    <w:rsid w:val="00991623"/>
    <w:rsid w:val="00991780"/>
    <w:rsid w:val="00991B98"/>
    <w:rsid w:val="00991CC5"/>
    <w:rsid w:val="00992234"/>
    <w:rsid w:val="0099239B"/>
    <w:rsid w:val="009923ED"/>
    <w:rsid w:val="00992DEB"/>
    <w:rsid w:val="00993407"/>
    <w:rsid w:val="00993DDE"/>
    <w:rsid w:val="00994573"/>
    <w:rsid w:val="0099594B"/>
    <w:rsid w:val="00995B8F"/>
    <w:rsid w:val="00995D2A"/>
    <w:rsid w:val="009964FF"/>
    <w:rsid w:val="00996F1D"/>
    <w:rsid w:val="00996FE7"/>
    <w:rsid w:val="00997CFA"/>
    <w:rsid w:val="009A00D4"/>
    <w:rsid w:val="009A0366"/>
    <w:rsid w:val="009A0927"/>
    <w:rsid w:val="009A0BB1"/>
    <w:rsid w:val="009A0C3A"/>
    <w:rsid w:val="009A0F94"/>
    <w:rsid w:val="009A1CB2"/>
    <w:rsid w:val="009A2883"/>
    <w:rsid w:val="009A3F88"/>
    <w:rsid w:val="009A4176"/>
    <w:rsid w:val="009A4B72"/>
    <w:rsid w:val="009A6464"/>
    <w:rsid w:val="009A7C21"/>
    <w:rsid w:val="009B0004"/>
    <w:rsid w:val="009B07E1"/>
    <w:rsid w:val="009B1476"/>
    <w:rsid w:val="009B1493"/>
    <w:rsid w:val="009B156F"/>
    <w:rsid w:val="009B24C4"/>
    <w:rsid w:val="009B2D23"/>
    <w:rsid w:val="009B2E9D"/>
    <w:rsid w:val="009B3763"/>
    <w:rsid w:val="009B493B"/>
    <w:rsid w:val="009B579A"/>
    <w:rsid w:val="009B5986"/>
    <w:rsid w:val="009B5AED"/>
    <w:rsid w:val="009B5FFE"/>
    <w:rsid w:val="009B675B"/>
    <w:rsid w:val="009B7206"/>
    <w:rsid w:val="009C0E6B"/>
    <w:rsid w:val="009C10D0"/>
    <w:rsid w:val="009C20EA"/>
    <w:rsid w:val="009C2856"/>
    <w:rsid w:val="009C330A"/>
    <w:rsid w:val="009C4332"/>
    <w:rsid w:val="009C435D"/>
    <w:rsid w:val="009C5DF2"/>
    <w:rsid w:val="009C647C"/>
    <w:rsid w:val="009C7A63"/>
    <w:rsid w:val="009D0ABC"/>
    <w:rsid w:val="009D0E73"/>
    <w:rsid w:val="009D2B4F"/>
    <w:rsid w:val="009D2D4F"/>
    <w:rsid w:val="009D36CA"/>
    <w:rsid w:val="009D4436"/>
    <w:rsid w:val="009D5A3A"/>
    <w:rsid w:val="009D77D1"/>
    <w:rsid w:val="009E068A"/>
    <w:rsid w:val="009E09FB"/>
    <w:rsid w:val="009E0E4D"/>
    <w:rsid w:val="009E159F"/>
    <w:rsid w:val="009E2202"/>
    <w:rsid w:val="009E42EF"/>
    <w:rsid w:val="009E46E2"/>
    <w:rsid w:val="009E4810"/>
    <w:rsid w:val="009E4B7B"/>
    <w:rsid w:val="009E689E"/>
    <w:rsid w:val="009E79C0"/>
    <w:rsid w:val="009F0344"/>
    <w:rsid w:val="009F0D72"/>
    <w:rsid w:val="009F3525"/>
    <w:rsid w:val="009F47F8"/>
    <w:rsid w:val="009F57C4"/>
    <w:rsid w:val="009F5D99"/>
    <w:rsid w:val="009F60BE"/>
    <w:rsid w:val="009F6182"/>
    <w:rsid w:val="009F6417"/>
    <w:rsid w:val="009F6589"/>
    <w:rsid w:val="009F6852"/>
    <w:rsid w:val="009F7AEC"/>
    <w:rsid w:val="009F7D80"/>
    <w:rsid w:val="009F7EFC"/>
    <w:rsid w:val="00A01172"/>
    <w:rsid w:val="00A0146A"/>
    <w:rsid w:val="00A01E49"/>
    <w:rsid w:val="00A0234C"/>
    <w:rsid w:val="00A02971"/>
    <w:rsid w:val="00A036FF"/>
    <w:rsid w:val="00A03B80"/>
    <w:rsid w:val="00A03BC4"/>
    <w:rsid w:val="00A03E36"/>
    <w:rsid w:val="00A051E6"/>
    <w:rsid w:val="00A079CE"/>
    <w:rsid w:val="00A07A99"/>
    <w:rsid w:val="00A07F4E"/>
    <w:rsid w:val="00A1085E"/>
    <w:rsid w:val="00A10F2F"/>
    <w:rsid w:val="00A11908"/>
    <w:rsid w:val="00A11FA3"/>
    <w:rsid w:val="00A12366"/>
    <w:rsid w:val="00A128EF"/>
    <w:rsid w:val="00A1301C"/>
    <w:rsid w:val="00A137BB"/>
    <w:rsid w:val="00A13DD3"/>
    <w:rsid w:val="00A1418D"/>
    <w:rsid w:val="00A16432"/>
    <w:rsid w:val="00A166FC"/>
    <w:rsid w:val="00A21644"/>
    <w:rsid w:val="00A23030"/>
    <w:rsid w:val="00A247A5"/>
    <w:rsid w:val="00A2527C"/>
    <w:rsid w:val="00A259A2"/>
    <w:rsid w:val="00A26018"/>
    <w:rsid w:val="00A27A50"/>
    <w:rsid w:val="00A30B0A"/>
    <w:rsid w:val="00A30CB6"/>
    <w:rsid w:val="00A315E9"/>
    <w:rsid w:val="00A329DC"/>
    <w:rsid w:val="00A32D5B"/>
    <w:rsid w:val="00A32FF0"/>
    <w:rsid w:val="00A33162"/>
    <w:rsid w:val="00A3416A"/>
    <w:rsid w:val="00A34FDE"/>
    <w:rsid w:val="00A351DA"/>
    <w:rsid w:val="00A352B7"/>
    <w:rsid w:val="00A35C4E"/>
    <w:rsid w:val="00A36E26"/>
    <w:rsid w:val="00A370D3"/>
    <w:rsid w:val="00A3773D"/>
    <w:rsid w:val="00A378DB"/>
    <w:rsid w:val="00A40B3F"/>
    <w:rsid w:val="00A41B48"/>
    <w:rsid w:val="00A41CB4"/>
    <w:rsid w:val="00A43466"/>
    <w:rsid w:val="00A437AA"/>
    <w:rsid w:val="00A439FD"/>
    <w:rsid w:val="00A442C6"/>
    <w:rsid w:val="00A44FE5"/>
    <w:rsid w:val="00A45A0E"/>
    <w:rsid w:val="00A46817"/>
    <w:rsid w:val="00A500BA"/>
    <w:rsid w:val="00A5095D"/>
    <w:rsid w:val="00A50AE3"/>
    <w:rsid w:val="00A51D36"/>
    <w:rsid w:val="00A5249A"/>
    <w:rsid w:val="00A529F3"/>
    <w:rsid w:val="00A536BE"/>
    <w:rsid w:val="00A542BC"/>
    <w:rsid w:val="00A54863"/>
    <w:rsid w:val="00A55C35"/>
    <w:rsid w:val="00A562F1"/>
    <w:rsid w:val="00A56CBD"/>
    <w:rsid w:val="00A57F78"/>
    <w:rsid w:val="00A604A5"/>
    <w:rsid w:val="00A61376"/>
    <w:rsid w:val="00A6157A"/>
    <w:rsid w:val="00A626D8"/>
    <w:rsid w:val="00A62A09"/>
    <w:rsid w:val="00A636CF"/>
    <w:rsid w:val="00A64A38"/>
    <w:rsid w:val="00A65C4A"/>
    <w:rsid w:val="00A6661E"/>
    <w:rsid w:val="00A66EFF"/>
    <w:rsid w:val="00A679E6"/>
    <w:rsid w:val="00A67F51"/>
    <w:rsid w:val="00A70280"/>
    <w:rsid w:val="00A7204E"/>
    <w:rsid w:val="00A72637"/>
    <w:rsid w:val="00A726B8"/>
    <w:rsid w:val="00A72C88"/>
    <w:rsid w:val="00A7329C"/>
    <w:rsid w:val="00A736E2"/>
    <w:rsid w:val="00A737DA"/>
    <w:rsid w:val="00A745A1"/>
    <w:rsid w:val="00A74AFD"/>
    <w:rsid w:val="00A77760"/>
    <w:rsid w:val="00A77E92"/>
    <w:rsid w:val="00A80968"/>
    <w:rsid w:val="00A80A5A"/>
    <w:rsid w:val="00A81666"/>
    <w:rsid w:val="00A81D3B"/>
    <w:rsid w:val="00A820DA"/>
    <w:rsid w:val="00A821E2"/>
    <w:rsid w:val="00A83177"/>
    <w:rsid w:val="00A8352A"/>
    <w:rsid w:val="00A84DF6"/>
    <w:rsid w:val="00A84F66"/>
    <w:rsid w:val="00A85B1C"/>
    <w:rsid w:val="00A8771A"/>
    <w:rsid w:val="00A9170E"/>
    <w:rsid w:val="00A92D60"/>
    <w:rsid w:val="00A9352C"/>
    <w:rsid w:val="00A956AD"/>
    <w:rsid w:val="00A95FE4"/>
    <w:rsid w:val="00A9632B"/>
    <w:rsid w:val="00A96347"/>
    <w:rsid w:val="00A966D6"/>
    <w:rsid w:val="00A96AE6"/>
    <w:rsid w:val="00A97B5D"/>
    <w:rsid w:val="00AA01BF"/>
    <w:rsid w:val="00AA18BF"/>
    <w:rsid w:val="00AA29EA"/>
    <w:rsid w:val="00AA31C7"/>
    <w:rsid w:val="00AA3382"/>
    <w:rsid w:val="00AA38E4"/>
    <w:rsid w:val="00AA3CC5"/>
    <w:rsid w:val="00AA43EE"/>
    <w:rsid w:val="00AA48F1"/>
    <w:rsid w:val="00AA5839"/>
    <w:rsid w:val="00AA63C2"/>
    <w:rsid w:val="00AA660E"/>
    <w:rsid w:val="00AA77DE"/>
    <w:rsid w:val="00AA78CB"/>
    <w:rsid w:val="00AB0419"/>
    <w:rsid w:val="00AB0B12"/>
    <w:rsid w:val="00AB3834"/>
    <w:rsid w:val="00AB383A"/>
    <w:rsid w:val="00AB5A2C"/>
    <w:rsid w:val="00AB688F"/>
    <w:rsid w:val="00AB7148"/>
    <w:rsid w:val="00AB7E8E"/>
    <w:rsid w:val="00AB7F84"/>
    <w:rsid w:val="00AC14AD"/>
    <w:rsid w:val="00AC17E4"/>
    <w:rsid w:val="00AC2146"/>
    <w:rsid w:val="00AC26E3"/>
    <w:rsid w:val="00AC325C"/>
    <w:rsid w:val="00AC34E5"/>
    <w:rsid w:val="00AC3965"/>
    <w:rsid w:val="00AC3AFF"/>
    <w:rsid w:val="00AC3B67"/>
    <w:rsid w:val="00AC4848"/>
    <w:rsid w:val="00AC4881"/>
    <w:rsid w:val="00AC4AEC"/>
    <w:rsid w:val="00AC4CE0"/>
    <w:rsid w:val="00AC589C"/>
    <w:rsid w:val="00AD046C"/>
    <w:rsid w:val="00AD0E47"/>
    <w:rsid w:val="00AD126F"/>
    <w:rsid w:val="00AD1814"/>
    <w:rsid w:val="00AD1ADA"/>
    <w:rsid w:val="00AD30D5"/>
    <w:rsid w:val="00AD34BA"/>
    <w:rsid w:val="00AD48BB"/>
    <w:rsid w:val="00AD495E"/>
    <w:rsid w:val="00AD4A39"/>
    <w:rsid w:val="00AD5E3C"/>
    <w:rsid w:val="00AE13BE"/>
    <w:rsid w:val="00AE196F"/>
    <w:rsid w:val="00AE1C31"/>
    <w:rsid w:val="00AE2382"/>
    <w:rsid w:val="00AE2CE4"/>
    <w:rsid w:val="00AE3373"/>
    <w:rsid w:val="00AE35BA"/>
    <w:rsid w:val="00AE57A5"/>
    <w:rsid w:val="00AE57F0"/>
    <w:rsid w:val="00AE5D60"/>
    <w:rsid w:val="00AE6D16"/>
    <w:rsid w:val="00AE7CCC"/>
    <w:rsid w:val="00AF1AD0"/>
    <w:rsid w:val="00AF20AA"/>
    <w:rsid w:val="00AF313A"/>
    <w:rsid w:val="00AF32B6"/>
    <w:rsid w:val="00AF462D"/>
    <w:rsid w:val="00AF50A0"/>
    <w:rsid w:val="00AF564D"/>
    <w:rsid w:val="00AF616A"/>
    <w:rsid w:val="00AF688D"/>
    <w:rsid w:val="00AF6B9E"/>
    <w:rsid w:val="00AF71B7"/>
    <w:rsid w:val="00AF7ABE"/>
    <w:rsid w:val="00AF7C41"/>
    <w:rsid w:val="00B00F36"/>
    <w:rsid w:val="00B018BA"/>
    <w:rsid w:val="00B01B54"/>
    <w:rsid w:val="00B01DE9"/>
    <w:rsid w:val="00B01F4F"/>
    <w:rsid w:val="00B01F82"/>
    <w:rsid w:val="00B0362A"/>
    <w:rsid w:val="00B0368A"/>
    <w:rsid w:val="00B03AFC"/>
    <w:rsid w:val="00B0401D"/>
    <w:rsid w:val="00B04627"/>
    <w:rsid w:val="00B05C41"/>
    <w:rsid w:val="00B06028"/>
    <w:rsid w:val="00B06601"/>
    <w:rsid w:val="00B070B3"/>
    <w:rsid w:val="00B072DE"/>
    <w:rsid w:val="00B074FF"/>
    <w:rsid w:val="00B10204"/>
    <w:rsid w:val="00B1020C"/>
    <w:rsid w:val="00B106CE"/>
    <w:rsid w:val="00B10D4E"/>
    <w:rsid w:val="00B1100F"/>
    <w:rsid w:val="00B113EB"/>
    <w:rsid w:val="00B12252"/>
    <w:rsid w:val="00B126EC"/>
    <w:rsid w:val="00B12D3C"/>
    <w:rsid w:val="00B131BF"/>
    <w:rsid w:val="00B13D77"/>
    <w:rsid w:val="00B15DAF"/>
    <w:rsid w:val="00B15E28"/>
    <w:rsid w:val="00B163D9"/>
    <w:rsid w:val="00B16EEF"/>
    <w:rsid w:val="00B1729C"/>
    <w:rsid w:val="00B1760D"/>
    <w:rsid w:val="00B2005D"/>
    <w:rsid w:val="00B20139"/>
    <w:rsid w:val="00B20DBC"/>
    <w:rsid w:val="00B217DE"/>
    <w:rsid w:val="00B235E3"/>
    <w:rsid w:val="00B24C00"/>
    <w:rsid w:val="00B25B59"/>
    <w:rsid w:val="00B25DF8"/>
    <w:rsid w:val="00B2638B"/>
    <w:rsid w:val="00B26D3F"/>
    <w:rsid w:val="00B26E5B"/>
    <w:rsid w:val="00B273B3"/>
    <w:rsid w:val="00B278CC"/>
    <w:rsid w:val="00B27D07"/>
    <w:rsid w:val="00B30465"/>
    <w:rsid w:val="00B328A0"/>
    <w:rsid w:val="00B32A09"/>
    <w:rsid w:val="00B32CCA"/>
    <w:rsid w:val="00B32F4B"/>
    <w:rsid w:val="00B33124"/>
    <w:rsid w:val="00B344DF"/>
    <w:rsid w:val="00B34A62"/>
    <w:rsid w:val="00B34AE1"/>
    <w:rsid w:val="00B35B23"/>
    <w:rsid w:val="00B36BA1"/>
    <w:rsid w:val="00B36DF3"/>
    <w:rsid w:val="00B3746A"/>
    <w:rsid w:val="00B37790"/>
    <w:rsid w:val="00B40DFA"/>
    <w:rsid w:val="00B42E57"/>
    <w:rsid w:val="00B42EF0"/>
    <w:rsid w:val="00B42FFC"/>
    <w:rsid w:val="00B431ED"/>
    <w:rsid w:val="00B43CCA"/>
    <w:rsid w:val="00B474BA"/>
    <w:rsid w:val="00B5098B"/>
    <w:rsid w:val="00B52830"/>
    <w:rsid w:val="00B53375"/>
    <w:rsid w:val="00B533CA"/>
    <w:rsid w:val="00B53B31"/>
    <w:rsid w:val="00B55CF1"/>
    <w:rsid w:val="00B56007"/>
    <w:rsid w:val="00B562C0"/>
    <w:rsid w:val="00B57519"/>
    <w:rsid w:val="00B57809"/>
    <w:rsid w:val="00B60AD3"/>
    <w:rsid w:val="00B610BD"/>
    <w:rsid w:val="00B619C8"/>
    <w:rsid w:val="00B61E4C"/>
    <w:rsid w:val="00B627B8"/>
    <w:rsid w:val="00B6302B"/>
    <w:rsid w:val="00B63AFE"/>
    <w:rsid w:val="00B63B3B"/>
    <w:rsid w:val="00B63E3E"/>
    <w:rsid w:val="00B64E94"/>
    <w:rsid w:val="00B6516C"/>
    <w:rsid w:val="00B66292"/>
    <w:rsid w:val="00B663DD"/>
    <w:rsid w:val="00B666D2"/>
    <w:rsid w:val="00B66E2D"/>
    <w:rsid w:val="00B674D1"/>
    <w:rsid w:val="00B6769D"/>
    <w:rsid w:val="00B71452"/>
    <w:rsid w:val="00B72001"/>
    <w:rsid w:val="00B730E9"/>
    <w:rsid w:val="00B731AA"/>
    <w:rsid w:val="00B74A10"/>
    <w:rsid w:val="00B74A8E"/>
    <w:rsid w:val="00B76A23"/>
    <w:rsid w:val="00B76F3D"/>
    <w:rsid w:val="00B775FB"/>
    <w:rsid w:val="00B80034"/>
    <w:rsid w:val="00B80937"/>
    <w:rsid w:val="00B81ECF"/>
    <w:rsid w:val="00B82C5D"/>
    <w:rsid w:val="00B83DB8"/>
    <w:rsid w:val="00B84563"/>
    <w:rsid w:val="00B84D13"/>
    <w:rsid w:val="00B85781"/>
    <w:rsid w:val="00B8636F"/>
    <w:rsid w:val="00B865EC"/>
    <w:rsid w:val="00B867F4"/>
    <w:rsid w:val="00B86C93"/>
    <w:rsid w:val="00B8794E"/>
    <w:rsid w:val="00B87C66"/>
    <w:rsid w:val="00B90B05"/>
    <w:rsid w:val="00B90D7A"/>
    <w:rsid w:val="00B91093"/>
    <w:rsid w:val="00B92071"/>
    <w:rsid w:val="00B92A5A"/>
    <w:rsid w:val="00B92AAE"/>
    <w:rsid w:val="00B92C74"/>
    <w:rsid w:val="00B930BC"/>
    <w:rsid w:val="00B934F6"/>
    <w:rsid w:val="00B9393E"/>
    <w:rsid w:val="00B93FB0"/>
    <w:rsid w:val="00B94007"/>
    <w:rsid w:val="00B9425A"/>
    <w:rsid w:val="00B95B43"/>
    <w:rsid w:val="00B95E41"/>
    <w:rsid w:val="00B9749A"/>
    <w:rsid w:val="00BA0579"/>
    <w:rsid w:val="00BA1BE0"/>
    <w:rsid w:val="00BA1E84"/>
    <w:rsid w:val="00BA2B70"/>
    <w:rsid w:val="00BA41FE"/>
    <w:rsid w:val="00BA4EAD"/>
    <w:rsid w:val="00BA5255"/>
    <w:rsid w:val="00BA63F6"/>
    <w:rsid w:val="00BA6F55"/>
    <w:rsid w:val="00BA7CA5"/>
    <w:rsid w:val="00BB0BCB"/>
    <w:rsid w:val="00BB15B1"/>
    <w:rsid w:val="00BB16A3"/>
    <w:rsid w:val="00BB1FD0"/>
    <w:rsid w:val="00BB2775"/>
    <w:rsid w:val="00BB2825"/>
    <w:rsid w:val="00BB31EB"/>
    <w:rsid w:val="00BC0396"/>
    <w:rsid w:val="00BC103F"/>
    <w:rsid w:val="00BC3CDF"/>
    <w:rsid w:val="00BC4462"/>
    <w:rsid w:val="00BC683D"/>
    <w:rsid w:val="00BC7238"/>
    <w:rsid w:val="00BC744D"/>
    <w:rsid w:val="00BC763A"/>
    <w:rsid w:val="00BC7982"/>
    <w:rsid w:val="00BD0010"/>
    <w:rsid w:val="00BD0DB3"/>
    <w:rsid w:val="00BD10B1"/>
    <w:rsid w:val="00BD1205"/>
    <w:rsid w:val="00BD196E"/>
    <w:rsid w:val="00BD1C6A"/>
    <w:rsid w:val="00BD1C89"/>
    <w:rsid w:val="00BD1E88"/>
    <w:rsid w:val="00BD2682"/>
    <w:rsid w:val="00BD3355"/>
    <w:rsid w:val="00BD3377"/>
    <w:rsid w:val="00BD3769"/>
    <w:rsid w:val="00BD3B68"/>
    <w:rsid w:val="00BD3B85"/>
    <w:rsid w:val="00BD3EFE"/>
    <w:rsid w:val="00BD4491"/>
    <w:rsid w:val="00BD5D2D"/>
    <w:rsid w:val="00BD63CE"/>
    <w:rsid w:val="00BD68C4"/>
    <w:rsid w:val="00BD6B9D"/>
    <w:rsid w:val="00BD75B5"/>
    <w:rsid w:val="00BD78BC"/>
    <w:rsid w:val="00BE0CA2"/>
    <w:rsid w:val="00BE3155"/>
    <w:rsid w:val="00BE32D0"/>
    <w:rsid w:val="00BE51F7"/>
    <w:rsid w:val="00BE547E"/>
    <w:rsid w:val="00BE54FE"/>
    <w:rsid w:val="00BE65E9"/>
    <w:rsid w:val="00BE6969"/>
    <w:rsid w:val="00BE6A1C"/>
    <w:rsid w:val="00BE6BF6"/>
    <w:rsid w:val="00BF08D5"/>
    <w:rsid w:val="00BF1490"/>
    <w:rsid w:val="00BF1642"/>
    <w:rsid w:val="00BF27C1"/>
    <w:rsid w:val="00BF2C02"/>
    <w:rsid w:val="00BF42F0"/>
    <w:rsid w:val="00BF46EC"/>
    <w:rsid w:val="00BF48F3"/>
    <w:rsid w:val="00C002AB"/>
    <w:rsid w:val="00C01E20"/>
    <w:rsid w:val="00C01EC7"/>
    <w:rsid w:val="00C01FD2"/>
    <w:rsid w:val="00C02F4E"/>
    <w:rsid w:val="00C03069"/>
    <w:rsid w:val="00C03886"/>
    <w:rsid w:val="00C04EE2"/>
    <w:rsid w:val="00C0507E"/>
    <w:rsid w:val="00C05116"/>
    <w:rsid w:val="00C05505"/>
    <w:rsid w:val="00C05AC2"/>
    <w:rsid w:val="00C06370"/>
    <w:rsid w:val="00C0698A"/>
    <w:rsid w:val="00C1287E"/>
    <w:rsid w:val="00C13219"/>
    <w:rsid w:val="00C139AF"/>
    <w:rsid w:val="00C13C37"/>
    <w:rsid w:val="00C13D1F"/>
    <w:rsid w:val="00C14059"/>
    <w:rsid w:val="00C14F28"/>
    <w:rsid w:val="00C15960"/>
    <w:rsid w:val="00C21373"/>
    <w:rsid w:val="00C213D1"/>
    <w:rsid w:val="00C217C5"/>
    <w:rsid w:val="00C221C4"/>
    <w:rsid w:val="00C2231D"/>
    <w:rsid w:val="00C22A7E"/>
    <w:rsid w:val="00C22F73"/>
    <w:rsid w:val="00C252C3"/>
    <w:rsid w:val="00C268E0"/>
    <w:rsid w:val="00C26D97"/>
    <w:rsid w:val="00C26E88"/>
    <w:rsid w:val="00C26FD5"/>
    <w:rsid w:val="00C31108"/>
    <w:rsid w:val="00C32EF5"/>
    <w:rsid w:val="00C33681"/>
    <w:rsid w:val="00C336FD"/>
    <w:rsid w:val="00C3390E"/>
    <w:rsid w:val="00C343A3"/>
    <w:rsid w:val="00C3536E"/>
    <w:rsid w:val="00C358F0"/>
    <w:rsid w:val="00C359B7"/>
    <w:rsid w:val="00C35C1A"/>
    <w:rsid w:val="00C36281"/>
    <w:rsid w:val="00C36594"/>
    <w:rsid w:val="00C36B31"/>
    <w:rsid w:val="00C375FB"/>
    <w:rsid w:val="00C3798C"/>
    <w:rsid w:val="00C41CC7"/>
    <w:rsid w:val="00C42446"/>
    <w:rsid w:val="00C42807"/>
    <w:rsid w:val="00C43856"/>
    <w:rsid w:val="00C44241"/>
    <w:rsid w:val="00C442E8"/>
    <w:rsid w:val="00C445A2"/>
    <w:rsid w:val="00C461FE"/>
    <w:rsid w:val="00C47ADA"/>
    <w:rsid w:val="00C50C26"/>
    <w:rsid w:val="00C519E1"/>
    <w:rsid w:val="00C527CA"/>
    <w:rsid w:val="00C52DF2"/>
    <w:rsid w:val="00C53700"/>
    <w:rsid w:val="00C53FF8"/>
    <w:rsid w:val="00C54EE4"/>
    <w:rsid w:val="00C5519B"/>
    <w:rsid w:val="00C5521D"/>
    <w:rsid w:val="00C55F43"/>
    <w:rsid w:val="00C56E81"/>
    <w:rsid w:val="00C571A2"/>
    <w:rsid w:val="00C57285"/>
    <w:rsid w:val="00C57F64"/>
    <w:rsid w:val="00C60FFA"/>
    <w:rsid w:val="00C6130F"/>
    <w:rsid w:val="00C61414"/>
    <w:rsid w:val="00C61710"/>
    <w:rsid w:val="00C62413"/>
    <w:rsid w:val="00C63C2B"/>
    <w:rsid w:val="00C6440B"/>
    <w:rsid w:val="00C6547E"/>
    <w:rsid w:val="00C65895"/>
    <w:rsid w:val="00C65A7B"/>
    <w:rsid w:val="00C662FB"/>
    <w:rsid w:val="00C66D6A"/>
    <w:rsid w:val="00C70836"/>
    <w:rsid w:val="00C73041"/>
    <w:rsid w:val="00C73F5C"/>
    <w:rsid w:val="00C74D66"/>
    <w:rsid w:val="00C74F50"/>
    <w:rsid w:val="00C76A85"/>
    <w:rsid w:val="00C77218"/>
    <w:rsid w:val="00C7740E"/>
    <w:rsid w:val="00C80143"/>
    <w:rsid w:val="00C813A2"/>
    <w:rsid w:val="00C815D9"/>
    <w:rsid w:val="00C81EFB"/>
    <w:rsid w:val="00C82283"/>
    <w:rsid w:val="00C8269A"/>
    <w:rsid w:val="00C82912"/>
    <w:rsid w:val="00C83AF9"/>
    <w:rsid w:val="00C842F4"/>
    <w:rsid w:val="00C851FF"/>
    <w:rsid w:val="00C85567"/>
    <w:rsid w:val="00C856BF"/>
    <w:rsid w:val="00C859D4"/>
    <w:rsid w:val="00C85B4B"/>
    <w:rsid w:val="00C864B1"/>
    <w:rsid w:val="00C87491"/>
    <w:rsid w:val="00C87567"/>
    <w:rsid w:val="00C87877"/>
    <w:rsid w:val="00C87B02"/>
    <w:rsid w:val="00C87E5D"/>
    <w:rsid w:val="00C90916"/>
    <w:rsid w:val="00C90F18"/>
    <w:rsid w:val="00C920E3"/>
    <w:rsid w:val="00C92D0E"/>
    <w:rsid w:val="00C92E3D"/>
    <w:rsid w:val="00C92E8E"/>
    <w:rsid w:val="00C94732"/>
    <w:rsid w:val="00C95D9B"/>
    <w:rsid w:val="00C96F17"/>
    <w:rsid w:val="00CA03FC"/>
    <w:rsid w:val="00CA0AFE"/>
    <w:rsid w:val="00CA0C0C"/>
    <w:rsid w:val="00CA1802"/>
    <w:rsid w:val="00CA1F4B"/>
    <w:rsid w:val="00CA224A"/>
    <w:rsid w:val="00CA255D"/>
    <w:rsid w:val="00CA2DFA"/>
    <w:rsid w:val="00CA35A9"/>
    <w:rsid w:val="00CA3CCF"/>
    <w:rsid w:val="00CA442F"/>
    <w:rsid w:val="00CA4D49"/>
    <w:rsid w:val="00CA5261"/>
    <w:rsid w:val="00CA67C1"/>
    <w:rsid w:val="00CA71F7"/>
    <w:rsid w:val="00CA75F9"/>
    <w:rsid w:val="00CA79E7"/>
    <w:rsid w:val="00CA7F17"/>
    <w:rsid w:val="00CB00F0"/>
    <w:rsid w:val="00CB0DB4"/>
    <w:rsid w:val="00CB2317"/>
    <w:rsid w:val="00CB2F96"/>
    <w:rsid w:val="00CB3AB8"/>
    <w:rsid w:val="00CB50A9"/>
    <w:rsid w:val="00CB517D"/>
    <w:rsid w:val="00CB5331"/>
    <w:rsid w:val="00CB601F"/>
    <w:rsid w:val="00CB6121"/>
    <w:rsid w:val="00CB6241"/>
    <w:rsid w:val="00CB6BBE"/>
    <w:rsid w:val="00CB6FED"/>
    <w:rsid w:val="00CB7438"/>
    <w:rsid w:val="00CB7930"/>
    <w:rsid w:val="00CB7941"/>
    <w:rsid w:val="00CB7BF5"/>
    <w:rsid w:val="00CC0447"/>
    <w:rsid w:val="00CC0658"/>
    <w:rsid w:val="00CC1280"/>
    <w:rsid w:val="00CC205C"/>
    <w:rsid w:val="00CC2AA9"/>
    <w:rsid w:val="00CC2DD3"/>
    <w:rsid w:val="00CC32DF"/>
    <w:rsid w:val="00CC389D"/>
    <w:rsid w:val="00CC39E0"/>
    <w:rsid w:val="00CC42A3"/>
    <w:rsid w:val="00CC542A"/>
    <w:rsid w:val="00CC55D5"/>
    <w:rsid w:val="00CC59F2"/>
    <w:rsid w:val="00CC618A"/>
    <w:rsid w:val="00CC6CAB"/>
    <w:rsid w:val="00CC6F9B"/>
    <w:rsid w:val="00CC7B5C"/>
    <w:rsid w:val="00CD07B8"/>
    <w:rsid w:val="00CD084A"/>
    <w:rsid w:val="00CD1066"/>
    <w:rsid w:val="00CD173E"/>
    <w:rsid w:val="00CD30A1"/>
    <w:rsid w:val="00CD316E"/>
    <w:rsid w:val="00CD3A52"/>
    <w:rsid w:val="00CD4E09"/>
    <w:rsid w:val="00CD69BF"/>
    <w:rsid w:val="00CD6BA0"/>
    <w:rsid w:val="00CD7C14"/>
    <w:rsid w:val="00CE0E67"/>
    <w:rsid w:val="00CE110A"/>
    <w:rsid w:val="00CE367F"/>
    <w:rsid w:val="00CE48A3"/>
    <w:rsid w:val="00CE607F"/>
    <w:rsid w:val="00CE766C"/>
    <w:rsid w:val="00CE7711"/>
    <w:rsid w:val="00CE7872"/>
    <w:rsid w:val="00CE7D08"/>
    <w:rsid w:val="00CF004B"/>
    <w:rsid w:val="00CF1749"/>
    <w:rsid w:val="00CF18CE"/>
    <w:rsid w:val="00CF2727"/>
    <w:rsid w:val="00CF2BAF"/>
    <w:rsid w:val="00CF4C5D"/>
    <w:rsid w:val="00CF4CF5"/>
    <w:rsid w:val="00CF5044"/>
    <w:rsid w:val="00CF5732"/>
    <w:rsid w:val="00CF5B7A"/>
    <w:rsid w:val="00CF67DE"/>
    <w:rsid w:val="00CF7929"/>
    <w:rsid w:val="00CF7F13"/>
    <w:rsid w:val="00D008AA"/>
    <w:rsid w:val="00D00B55"/>
    <w:rsid w:val="00D0338C"/>
    <w:rsid w:val="00D03E56"/>
    <w:rsid w:val="00D03F2E"/>
    <w:rsid w:val="00D04C8E"/>
    <w:rsid w:val="00D05C2F"/>
    <w:rsid w:val="00D06D66"/>
    <w:rsid w:val="00D06E9D"/>
    <w:rsid w:val="00D11049"/>
    <w:rsid w:val="00D11B2F"/>
    <w:rsid w:val="00D12836"/>
    <w:rsid w:val="00D140AC"/>
    <w:rsid w:val="00D14202"/>
    <w:rsid w:val="00D14B6F"/>
    <w:rsid w:val="00D1521C"/>
    <w:rsid w:val="00D156EA"/>
    <w:rsid w:val="00D164EF"/>
    <w:rsid w:val="00D16664"/>
    <w:rsid w:val="00D169CE"/>
    <w:rsid w:val="00D17DF0"/>
    <w:rsid w:val="00D20508"/>
    <w:rsid w:val="00D20EE5"/>
    <w:rsid w:val="00D21AF8"/>
    <w:rsid w:val="00D22358"/>
    <w:rsid w:val="00D22D26"/>
    <w:rsid w:val="00D22E71"/>
    <w:rsid w:val="00D23434"/>
    <w:rsid w:val="00D24431"/>
    <w:rsid w:val="00D24E75"/>
    <w:rsid w:val="00D25A9F"/>
    <w:rsid w:val="00D26ADB"/>
    <w:rsid w:val="00D2748D"/>
    <w:rsid w:val="00D27797"/>
    <w:rsid w:val="00D27E5C"/>
    <w:rsid w:val="00D301E3"/>
    <w:rsid w:val="00D30472"/>
    <w:rsid w:val="00D3084A"/>
    <w:rsid w:val="00D3297C"/>
    <w:rsid w:val="00D33251"/>
    <w:rsid w:val="00D333FD"/>
    <w:rsid w:val="00D34509"/>
    <w:rsid w:val="00D34DFD"/>
    <w:rsid w:val="00D34E82"/>
    <w:rsid w:val="00D34FA8"/>
    <w:rsid w:val="00D35443"/>
    <w:rsid w:val="00D35892"/>
    <w:rsid w:val="00D36928"/>
    <w:rsid w:val="00D36D1D"/>
    <w:rsid w:val="00D40A1B"/>
    <w:rsid w:val="00D42468"/>
    <w:rsid w:val="00D43282"/>
    <w:rsid w:val="00D43509"/>
    <w:rsid w:val="00D43CC5"/>
    <w:rsid w:val="00D43FF2"/>
    <w:rsid w:val="00D4408B"/>
    <w:rsid w:val="00D441C6"/>
    <w:rsid w:val="00D442B2"/>
    <w:rsid w:val="00D45CA4"/>
    <w:rsid w:val="00D46909"/>
    <w:rsid w:val="00D47733"/>
    <w:rsid w:val="00D479CD"/>
    <w:rsid w:val="00D50AEA"/>
    <w:rsid w:val="00D51D12"/>
    <w:rsid w:val="00D51F3F"/>
    <w:rsid w:val="00D53D52"/>
    <w:rsid w:val="00D555E6"/>
    <w:rsid w:val="00D556B0"/>
    <w:rsid w:val="00D562CB"/>
    <w:rsid w:val="00D57043"/>
    <w:rsid w:val="00D57CDA"/>
    <w:rsid w:val="00D57EFD"/>
    <w:rsid w:val="00D6064C"/>
    <w:rsid w:val="00D60BE7"/>
    <w:rsid w:val="00D60D49"/>
    <w:rsid w:val="00D60F95"/>
    <w:rsid w:val="00D611FF"/>
    <w:rsid w:val="00D612B2"/>
    <w:rsid w:val="00D61548"/>
    <w:rsid w:val="00D6187F"/>
    <w:rsid w:val="00D62C32"/>
    <w:rsid w:val="00D6319E"/>
    <w:rsid w:val="00D6350A"/>
    <w:rsid w:val="00D63B29"/>
    <w:rsid w:val="00D65B5A"/>
    <w:rsid w:val="00D65C50"/>
    <w:rsid w:val="00D661E4"/>
    <w:rsid w:val="00D66A7F"/>
    <w:rsid w:val="00D66AEF"/>
    <w:rsid w:val="00D66AF1"/>
    <w:rsid w:val="00D703E9"/>
    <w:rsid w:val="00D70A67"/>
    <w:rsid w:val="00D715AA"/>
    <w:rsid w:val="00D728C7"/>
    <w:rsid w:val="00D729F7"/>
    <w:rsid w:val="00D72D2B"/>
    <w:rsid w:val="00D74F8F"/>
    <w:rsid w:val="00D75AF4"/>
    <w:rsid w:val="00D75FBF"/>
    <w:rsid w:val="00D76A72"/>
    <w:rsid w:val="00D76C9F"/>
    <w:rsid w:val="00D8070F"/>
    <w:rsid w:val="00D81679"/>
    <w:rsid w:val="00D82D6E"/>
    <w:rsid w:val="00D8364B"/>
    <w:rsid w:val="00D83781"/>
    <w:rsid w:val="00D8420D"/>
    <w:rsid w:val="00D86418"/>
    <w:rsid w:val="00D86F59"/>
    <w:rsid w:val="00D87992"/>
    <w:rsid w:val="00D87B71"/>
    <w:rsid w:val="00D87DD3"/>
    <w:rsid w:val="00D90802"/>
    <w:rsid w:val="00D909E4"/>
    <w:rsid w:val="00D913A5"/>
    <w:rsid w:val="00D94354"/>
    <w:rsid w:val="00D94BF3"/>
    <w:rsid w:val="00D961CE"/>
    <w:rsid w:val="00D96BA9"/>
    <w:rsid w:val="00D96D9B"/>
    <w:rsid w:val="00D978A2"/>
    <w:rsid w:val="00D97EAD"/>
    <w:rsid w:val="00D97EB3"/>
    <w:rsid w:val="00D97FBF"/>
    <w:rsid w:val="00DA0992"/>
    <w:rsid w:val="00DA0A87"/>
    <w:rsid w:val="00DA0B4D"/>
    <w:rsid w:val="00DA0F23"/>
    <w:rsid w:val="00DA10C4"/>
    <w:rsid w:val="00DA18EC"/>
    <w:rsid w:val="00DA2EBA"/>
    <w:rsid w:val="00DA3D14"/>
    <w:rsid w:val="00DA4AB0"/>
    <w:rsid w:val="00DA5295"/>
    <w:rsid w:val="00DA5AE1"/>
    <w:rsid w:val="00DA634E"/>
    <w:rsid w:val="00DA6B16"/>
    <w:rsid w:val="00DA6C01"/>
    <w:rsid w:val="00DA7775"/>
    <w:rsid w:val="00DA7DDE"/>
    <w:rsid w:val="00DB00CA"/>
    <w:rsid w:val="00DB1A2A"/>
    <w:rsid w:val="00DB2D43"/>
    <w:rsid w:val="00DB452F"/>
    <w:rsid w:val="00DB63A5"/>
    <w:rsid w:val="00DB6CE7"/>
    <w:rsid w:val="00DC061B"/>
    <w:rsid w:val="00DC0CF1"/>
    <w:rsid w:val="00DC12D0"/>
    <w:rsid w:val="00DC1FE0"/>
    <w:rsid w:val="00DC2081"/>
    <w:rsid w:val="00DC232D"/>
    <w:rsid w:val="00DC24CA"/>
    <w:rsid w:val="00DC30A9"/>
    <w:rsid w:val="00DC37CE"/>
    <w:rsid w:val="00DC382A"/>
    <w:rsid w:val="00DC4176"/>
    <w:rsid w:val="00DC4A6F"/>
    <w:rsid w:val="00DC4C00"/>
    <w:rsid w:val="00DC5581"/>
    <w:rsid w:val="00DC7EA2"/>
    <w:rsid w:val="00DD045C"/>
    <w:rsid w:val="00DD12DC"/>
    <w:rsid w:val="00DD14AA"/>
    <w:rsid w:val="00DD1B3D"/>
    <w:rsid w:val="00DD1E8C"/>
    <w:rsid w:val="00DD20F9"/>
    <w:rsid w:val="00DD36D6"/>
    <w:rsid w:val="00DD70CC"/>
    <w:rsid w:val="00DE3143"/>
    <w:rsid w:val="00DE3727"/>
    <w:rsid w:val="00DE3F2D"/>
    <w:rsid w:val="00DE4AE0"/>
    <w:rsid w:val="00DE5438"/>
    <w:rsid w:val="00DE55F2"/>
    <w:rsid w:val="00DE5AB7"/>
    <w:rsid w:val="00DE67F9"/>
    <w:rsid w:val="00DE74A6"/>
    <w:rsid w:val="00DE7C36"/>
    <w:rsid w:val="00DE7DDD"/>
    <w:rsid w:val="00DF18D4"/>
    <w:rsid w:val="00DF2195"/>
    <w:rsid w:val="00DF2B14"/>
    <w:rsid w:val="00DF2DA8"/>
    <w:rsid w:val="00DF34C5"/>
    <w:rsid w:val="00E004D5"/>
    <w:rsid w:val="00E012C2"/>
    <w:rsid w:val="00E01410"/>
    <w:rsid w:val="00E0440D"/>
    <w:rsid w:val="00E04EE7"/>
    <w:rsid w:val="00E07906"/>
    <w:rsid w:val="00E07A6C"/>
    <w:rsid w:val="00E07F96"/>
    <w:rsid w:val="00E11E3F"/>
    <w:rsid w:val="00E11ED2"/>
    <w:rsid w:val="00E127B7"/>
    <w:rsid w:val="00E1446C"/>
    <w:rsid w:val="00E14644"/>
    <w:rsid w:val="00E15F5F"/>
    <w:rsid w:val="00E16765"/>
    <w:rsid w:val="00E16A00"/>
    <w:rsid w:val="00E17780"/>
    <w:rsid w:val="00E20E7D"/>
    <w:rsid w:val="00E21B3D"/>
    <w:rsid w:val="00E21BB6"/>
    <w:rsid w:val="00E21D61"/>
    <w:rsid w:val="00E21E9A"/>
    <w:rsid w:val="00E24B1D"/>
    <w:rsid w:val="00E26CF1"/>
    <w:rsid w:val="00E270BE"/>
    <w:rsid w:val="00E27DB2"/>
    <w:rsid w:val="00E27F57"/>
    <w:rsid w:val="00E30C8E"/>
    <w:rsid w:val="00E324F9"/>
    <w:rsid w:val="00E327CB"/>
    <w:rsid w:val="00E33AA8"/>
    <w:rsid w:val="00E347D5"/>
    <w:rsid w:val="00E34E0D"/>
    <w:rsid w:val="00E35188"/>
    <w:rsid w:val="00E359F3"/>
    <w:rsid w:val="00E3689A"/>
    <w:rsid w:val="00E37621"/>
    <w:rsid w:val="00E37863"/>
    <w:rsid w:val="00E37A93"/>
    <w:rsid w:val="00E37AF9"/>
    <w:rsid w:val="00E41DD6"/>
    <w:rsid w:val="00E42994"/>
    <w:rsid w:val="00E43CBB"/>
    <w:rsid w:val="00E4433A"/>
    <w:rsid w:val="00E449FE"/>
    <w:rsid w:val="00E45327"/>
    <w:rsid w:val="00E46478"/>
    <w:rsid w:val="00E47BA8"/>
    <w:rsid w:val="00E47D17"/>
    <w:rsid w:val="00E500D3"/>
    <w:rsid w:val="00E5055F"/>
    <w:rsid w:val="00E51A8B"/>
    <w:rsid w:val="00E51BF5"/>
    <w:rsid w:val="00E51F50"/>
    <w:rsid w:val="00E536C4"/>
    <w:rsid w:val="00E5498C"/>
    <w:rsid w:val="00E54EA9"/>
    <w:rsid w:val="00E55024"/>
    <w:rsid w:val="00E55C21"/>
    <w:rsid w:val="00E56363"/>
    <w:rsid w:val="00E568DE"/>
    <w:rsid w:val="00E57258"/>
    <w:rsid w:val="00E57286"/>
    <w:rsid w:val="00E57910"/>
    <w:rsid w:val="00E57F6C"/>
    <w:rsid w:val="00E60B65"/>
    <w:rsid w:val="00E60CE0"/>
    <w:rsid w:val="00E60F41"/>
    <w:rsid w:val="00E6115A"/>
    <w:rsid w:val="00E614F7"/>
    <w:rsid w:val="00E61DFE"/>
    <w:rsid w:val="00E62901"/>
    <w:rsid w:val="00E63585"/>
    <w:rsid w:val="00E6378A"/>
    <w:rsid w:val="00E63922"/>
    <w:rsid w:val="00E63FE0"/>
    <w:rsid w:val="00E65577"/>
    <w:rsid w:val="00E667AC"/>
    <w:rsid w:val="00E66BA9"/>
    <w:rsid w:val="00E673DA"/>
    <w:rsid w:val="00E67CD9"/>
    <w:rsid w:val="00E711D4"/>
    <w:rsid w:val="00E71561"/>
    <w:rsid w:val="00E71D9B"/>
    <w:rsid w:val="00E72183"/>
    <w:rsid w:val="00E72AD4"/>
    <w:rsid w:val="00E734CA"/>
    <w:rsid w:val="00E73903"/>
    <w:rsid w:val="00E73D2D"/>
    <w:rsid w:val="00E76FA7"/>
    <w:rsid w:val="00E772D1"/>
    <w:rsid w:val="00E77562"/>
    <w:rsid w:val="00E77DED"/>
    <w:rsid w:val="00E8061C"/>
    <w:rsid w:val="00E80D27"/>
    <w:rsid w:val="00E81394"/>
    <w:rsid w:val="00E818C9"/>
    <w:rsid w:val="00E81FF5"/>
    <w:rsid w:val="00E85FD5"/>
    <w:rsid w:val="00E8634C"/>
    <w:rsid w:val="00E877B0"/>
    <w:rsid w:val="00E879F6"/>
    <w:rsid w:val="00E87A17"/>
    <w:rsid w:val="00E916DD"/>
    <w:rsid w:val="00E92A8F"/>
    <w:rsid w:val="00E92C16"/>
    <w:rsid w:val="00E9397D"/>
    <w:rsid w:val="00E94390"/>
    <w:rsid w:val="00E946B9"/>
    <w:rsid w:val="00E94817"/>
    <w:rsid w:val="00E94920"/>
    <w:rsid w:val="00E94E27"/>
    <w:rsid w:val="00E95977"/>
    <w:rsid w:val="00E96192"/>
    <w:rsid w:val="00E96FBE"/>
    <w:rsid w:val="00E976B3"/>
    <w:rsid w:val="00E97C5C"/>
    <w:rsid w:val="00EA0515"/>
    <w:rsid w:val="00EA1853"/>
    <w:rsid w:val="00EA380F"/>
    <w:rsid w:val="00EA4E17"/>
    <w:rsid w:val="00EA512D"/>
    <w:rsid w:val="00EA55FE"/>
    <w:rsid w:val="00EA59EB"/>
    <w:rsid w:val="00EA60C5"/>
    <w:rsid w:val="00EA78AB"/>
    <w:rsid w:val="00EA7F5A"/>
    <w:rsid w:val="00EB157C"/>
    <w:rsid w:val="00EB1993"/>
    <w:rsid w:val="00EB2801"/>
    <w:rsid w:val="00EB2C5A"/>
    <w:rsid w:val="00EB2D79"/>
    <w:rsid w:val="00EB2DD4"/>
    <w:rsid w:val="00EB30B6"/>
    <w:rsid w:val="00EB36B4"/>
    <w:rsid w:val="00EB47EB"/>
    <w:rsid w:val="00EB6A1B"/>
    <w:rsid w:val="00EB6F18"/>
    <w:rsid w:val="00EC0BD3"/>
    <w:rsid w:val="00EC17E1"/>
    <w:rsid w:val="00EC27FC"/>
    <w:rsid w:val="00EC33F9"/>
    <w:rsid w:val="00EC34EA"/>
    <w:rsid w:val="00EC3BA8"/>
    <w:rsid w:val="00EC463E"/>
    <w:rsid w:val="00EC545E"/>
    <w:rsid w:val="00EC5FF8"/>
    <w:rsid w:val="00EC6C8C"/>
    <w:rsid w:val="00EC6DA4"/>
    <w:rsid w:val="00EC6EFD"/>
    <w:rsid w:val="00EC762E"/>
    <w:rsid w:val="00ED0E1D"/>
    <w:rsid w:val="00ED285B"/>
    <w:rsid w:val="00ED30BC"/>
    <w:rsid w:val="00ED3102"/>
    <w:rsid w:val="00ED379D"/>
    <w:rsid w:val="00ED3BEB"/>
    <w:rsid w:val="00ED3F48"/>
    <w:rsid w:val="00ED4BBC"/>
    <w:rsid w:val="00ED5A37"/>
    <w:rsid w:val="00ED6004"/>
    <w:rsid w:val="00EE0086"/>
    <w:rsid w:val="00EE097C"/>
    <w:rsid w:val="00EE1CB3"/>
    <w:rsid w:val="00EE26D2"/>
    <w:rsid w:val="00EE2FB2"/>
    <w:rsid w:val="00EE3232"/>
    <w:rsid w:val="00EE339B"/>
    <w:rsid w:val="00EE33C9"/>
    <w:rsid w:val="00EE3D5A"/>
    <w:rsid w:val="00EE4348"/>
    <w:rsid w:val="00EE4B16"/>
    <w:rsid w:val="00EE5107"/>
    <w:rsid w:val="00EE55D3"/>
    <w:rsid w:val="00EE61C3"/>
    <w:rsid w:val="00EE61E6"/>
    <w:rsid w:val="00EE6E95"/>
    <w:rsid w:val="00EE7933"/>
    <w:rsid w:val="00EF2120"/>
    <w:rsid w:val="00EF2B52"/>
    <w:rsid w:val="00EF320A"/>
    <w:rsid w:val="00EF3982"/>
    <w:rsid w:val="00EF6755"/>
    <w:rsid w:val="00EF6784"/>
    <w:rsid w:val="00EF6A4E"/>
    <w:rsid w:val="00EF769A"/>
    <w:rsid w:val="00F010E5"/>
    <w:rsid w:val="00F01E8F"/>
    <w:rsid w:val="00F0339C"/>
    <w:rsid w:val="00F041AB"/>
    <w:rsid w:val="00F053BA"/>
    <w:rsid w:val="00F057D2"/>
    <w:rsid w:val="00F05D88"/>
    <w:rsid w:val="00F06D5B"/>
    <w:rsid w:val="00F07832"/>
    <w:rsid w:val="00F07940"/>
    <w:rsid w:val="00F115B7"/>
    <w:rsid w:val="00F1182F"/>
    <w:rsid w:val="00F11B51"/>
    <w:rsid w:val="00F123AE"/>
    <w:rsid w:val="00F126D1"/>
    <w:rsid w:val="00F127F2"/>
    <w:rsid w:val="00F13298"/>
    <w:rsid w:val="00F1364E"/>
    <w:rsid w:val="00F137FE"/>
    <w:rsid w:val="00F13E19"/>
    <w:rsid w:val="00F15275"/>
    <w:rsid w:val="00F15E3E"/>
    <w:rsid w:val="00F168EC"/>
    <w:rsid w:val="00F16B4C"/>
    <w:rsid w:val="00F17071"/>
    <w:rsid w:val="00F1770D"/>
    <w:rsid w:val="00F17785"/>
    <w:rsid w:val="00F17E61"/>
    <w:rsid w:val="00F2158D"/>
    <w:rsid w:val="00F21665"/>
    <w:rsid w:val="00F2378D"/>
    <w:rsid w:val="00F24BF4"/>
    <w:rsid w:val="00F26419"/>
    <w:rsid w:val="00F32F05"/>
    <w:rsid w:val="00F33024"/>
    <w:rsid w:val="00F3304F"/>
    <w:rsid w:val="00F3331D"/>
    <w:rsid w:val="00F33D86"/>
    <w:rsid w:val="00F3437B"/>
    <w:rsid w:val="00F34EF8"/>
    <w:rsid w:val="00F35476"/>
    <w:rsid w:val="00F36432"/>
    <w:rsid w:val="00F36C0C"/>
    <w:rsid w:val="00F37CDD"/>
    <w:rsid w:val="00F40DDE"/>
    <w:rsid w:val="00F42D29"/>
    <w:rsid w:val="00F42E21"/>
    <w:rsid w:val="00F43196"/>
    <w:rsid w:val="00F45E0A"/>
    <w:rsid w:val="00F467FD"/>
    <w:rsid w:val="00F46C5C"/>
    <w:rsid w:val="00F4734F"/>
    <w:rsid w:val="00F47512"/>
    <w:rsid w:val="00F47C5B"/>
    <w:rsid w:val="00F47E2A"/>
    <w:rsid w:val="00F50500"/>
    <w:rsid w:val="00F52775"/>
    <w:rsid w:val="00F53D6C"/>
    <w:rsid w:val="00F547DB"/>
    <w:rsid w:val="00F54D1A"/>
    <w:rsid w:val="00F553FB"/>
    <w:rsid w:val="00F5569C"/>
    <w:rsid w:val="00F55850"/>
    <w:rsid w:val="00F567FE"/>
    <w:rsid w:val="00F56D62"/>
    <w:rsid w:val="00F57232"/>
    <w:rsid w:val="00F57B75"/>
    <w:rsid w:val="00F60023"/>
    <w:rsid w:val="00F61F17"/>
    <w:rsid w:val="00F620E9"/>
    <w:rsid w:val="00F6222B"/>
    <w:rsid w:val="00F64B45"/>
    <w:rsid w:val="00F65069"/>
    <w:rsid w:val="00F6543A"/>
    <w:rsid w:val="00F656EF"/>
    <w:rsid w:val="00F66D91"/>
    <w:rsid w:val="00F672D1"/>
    <w:rsid w:val="00F678C5"/>
    <w:rsid w:val="00F679FE"/>
    <w:rsid w:val="00F67C04"/>
    <w:rsid w:val="00F70E1F"/>
    <w:rsid w:val="00F7105A"/>
    <w:rsid w:val="00F71473"/>
    <w:rsid w:val="00F719F5"/>
    <w:rsid w:val="00F71FA7"/>
    <w:rsid w:val="00F72DA9"/>
    <w:rsid w:val="00F746D5"/>
    <w:rsid w:val="00F77886"/>
    <w:rsid w:val="00F77B31"/>
    <w:rsid w:val="00F8068D"/>
    <w:rsid w:val="00F80937"/>
    <w:rsid w:val="00F80ECD"/>
    <w:rsid w:val="00F8159B"/>
    <w:rsid w:val="00F822DF"/>
    <w:rsid w:val="00F8378C"/>
    <w:rsid w:val="00F86081"/>
    <w:rsid w:val="00F86F2A"/>
    <w:rsid w:val="00F87356"/>
    <w:rsid w:val="00F8775F"/>
    <w:rsid w:val="00F8789D"/>
    <w:rsid w:val="00F8798A"/>
    <w:rsid w:val="00F9065D"/>
    <w:rsid w:val="00F90AAD"/>
    <w:rsid w:val="00F90CED"/>
    <w:rsid w:val="00F90E50"/>
    <w:rsid w:val="00F91A82"/>
    <w:rsid w:val="00F930D9"/>
    <w:rsid w:val="00F9766B"/>
    <w:rsid w:val="00FA010C"/>
    <w:rsid w:val="00FA0B3C"/>
    <w:rsid w:val="00FA2897"/>
    <w:rsid w:val="00FA2E64"/>
    <w:rsid w:val="00FA34F7"/>
    <w:rsid w:val="00FA3507"/>
    <w:rsid w:val="00FA3AC7"/>
    <w:rsid w:val="00FA45EF"/>
    <w:rsid w:val="00FA5576"/>
    <w:rsid w:val="00FA6A57"/>
    <w:rsid w:val="00FB013C"/>
    <w:rsid w:val="00FB055C"/>
    <w:rsid w:val="00FB2E6F"/>
    <w:rsid w:val="00FB2EB1"/>
    <w:rsid w:val="00FB41B5"/>
    <w:rsid w:val="00FB5660"/>
    <w:rsid w:val="00FB5E2A"/>
    <w:rsid w:val="00FC0538"/>
    <w:rsid w:val="00FC0804"/>
    <w:rsid w:val="00FC0CCA"/>
    <w:rsid w:val="00FC0FD7"/>
    <w:rsid w:val="00FC225A"/>
    <w:rsid w:val="00FC262C"/>
    <w:rsid w:val="00FC268D"/>
    <w:rsid w:val="00FC3277"/>
    <w:rsid w:val="00FC3A60"/>
    <w:rsid w:val="00FC40CD"/>
    <w:rsid w:val="00FC43D7"/>
    <w:rsid w:val="00FC50D4"/>
    <w:rsid w:val="00FC58FF"/>
    <w:rsid w:val="00FC7098"/>
    <w:rsid w:val="00FD003B"/>
    <w:rsid w:val="00FD04B6"/>
    <w:rsid w:val="00FD0F15"/>
    <w:rsid w:val="00FD14EC"/>
    <w:rsid w:val="00FD2617"/>
    <w:rsid w:val="00FD3094"/>
    <w:rsid w:val="00FD4172"/>
    <w:rsid w:val="00FD4203"/>
    <w:rsid w:val="00FD4996"/>
    <w:rsid w:val="00FD5363"/>
    <w:rsid w:val="00FD6CF6"/>
    <w:rsid w:val="00FD716D"/>
    <w:rsid w:val="00FD7E70"/>
    <w:rsid w:val="00FE0E92"/>
    <w:rsid w:val="00FE1781"/>
    <w:rsid w:val="00FE22FE"/>
    <w:rsid w:val="00FE2AE8"/>
    <w:rsid w:val="00FE3093"/>
    <w:rsid w:val="00FE4753"/>
    <w:rsid w:val="00FE4E9E"/>
    <w:rsid w:val="00FE506C"/>
    <w:rsid w:val="00FE51D6"/>
    <w:rsid w:val="00FE5203"/>
    <w:rsid w:val="00FE57D3"/>
    <w:rsid w:val="00FE69E4"/>
    <w:rsid w:val="00FE754D"/>
    <w:rsid w:val="00FE791D"/>
    <w:rsid w:val="00FF0095"/>
    <w:rsid w:val="00FF054E"/>
    <w:rsid w:val="00FF05F9"/>
    <w:rsid w:val="00FF0E02"/>
    <w:rsid w:val="00FF14BF"/>
    <w:rsid w:val="00FF1E51"/>
    <w:rsid w:val="00FF3423"/>
    <w:rsid w:val="00FF3BCB"/>
    <w:rsid w:val="00FF466D"/>
    <w:rsid w:val="00FF52BE"/>
    <w:rsid w:val="00FF58BF"/>
    <w:rsid w:val="00FF6BF8"/>
    <w:rsid w:val="00FF6F94"/>
    <w:rsid w:val="01211CB1"/>
    <w:rsid w:val="01425F6F"/>
    <w:rsid w:val="02F8605C"/>
    <w:rsid w:val="0338793A"/>
    <w:rsid w:val="03411133"/>
    <w:rsid w:val="03517395"/>
    <w:rsid w:val="036D26A4"/>
    <w:rsid w:val="03A95A04"/>
    <w:rsid w:val="03DF59BC"/>
    <w:rsid w:val="03EF6D35"/>
    <w:rsid w:val="040D1C88"/>
    <w:rsid w:val="04AF1120"/>
    <w:rsid w:val="04EE2F86"/>
    <w:rsid w:val="05F47235"/>
    <w:rsid w:val="06274880"/>
    <w:rsid w:val="07376E4C"/>
    <w:rsid w:val="074B2940"/>
    <w:rsid w:val="07CB1B7B"/>
    <w:rsid w:val="08237E38"/>
    <w:rsid w:val="085744F3"/>
    <w:rsid w:val="090B5649"/>
    <w:rsid w:val="0A461325"/>
    <w:rsid w:val="0A7E5EF4"/>
    <w:rsid w:val="0B192B26"/>
    <w:rsid w:val="0B7D5B51"/>
    <w:rsid w:val="0BED3DAC"/>
    <w:rsid w:val="0C662C5D"/>
    <w:rsid w:val="0C716084"/>
    <w:rsid w:val="0DB36D28"/>
    <w:rsid w:val="0E966312"/>
    <w:rsid w:val="0EAE5BC5"/>
    <w:rsid w:val="0FCC2DCD"/>
    <w:rsid w:val="102A566E"/>
    <w:rsid w:val="10741BCA"/>
    <w:rsid w:val="1155348A"/>
    <w:rsid w:val="11D25D7F"/>
    <w:rsid w:val="12122A51"/>
    <w:rsid w:val="123E628B"/>
    <w:rsid w:val="12F74B54"/>
    <w:rsid w:val="13FC0D3A"/>
    <w:rsid w:val="1518306B"/>
    <w:rsid w:val="15AF1040"/>
    <w:rsid w:val="15D23D8C"/>
    <w:rsid w:val="16A934F9"/>
    <w:rsid w:val="17A80FA7"/>
    <w:rsid w:val="17BF022D"/>
    <w:rsid w:val="18517387"/>
    <w:rsid w:val="1868167D"/>
    <w:rsid w:val="18BB1D1F"/>
    <w:rsid w:val="18E702CA"/>
    <w:rsid w:val="18F57D43"/>
    <w:rsid w:val="1A714B62"/>
    <w:rsid w:val="1B0C3139"/>
    <w:rsid w:val="1B97066C"/>
    <w:rsid w:val="1BF5112D"/>
    <w:rsid w:val="1D27528B"/>
    <w:rsid w:val="1E22317B"/>
    <w:rsid w:val="1E8406FF"/>
    <w:rsid w:val="1F3F201D"/>
    <w:rsid w:val="20E43433"/>
    <w:rsid w:val="210F4F18"/>
    <w:rsid w:val="21DC7740"/>
    <w:rsid w:val="21E12C92"/>
    <w:rsid w:val="22036885"/>
    <w:rsid w:val="25354F1A"/>
    <w:rsid w:val="265B2B8A"/>
    <w:rsid w:val="27191C45"/>
    <w:rsid w:val="272B7B5A"/>
    <w:rsid w:val="27991EF9"/>
    <w:rsid w:val="283720D8"/>
    <w:rsid w:val="29252774"/>
    <w:rsid w:val="296949BE"/>
    <w:rsid w:val="296E629D"/>
    <w:rsid w:val="2A9C4AD9"/>
    <w:rsid w:val="2AAE2708"/>
    <w:rsid w:val="2ACC23C7"/>
    <w:rsid w:val="2B9A3B54"/>
    <w:rsid w:val="2CF0456F"/>
    <w:rsid w:val="2D345255"/>
    <w:rsid w:val="2E1C51F6"/>
    <w:rsid w:val="2F0579DA"/>
    <w:rsid w:val="2F0B0B07"/>
    <w:rsid w:val="2F21057E"/>
    <w:rsid w:val="2F754B01"/>
    <w:rsid w:val="30260F86"/>
    <w:rsid w:val="317A63BA"/>
    <w:rsid w:val="31C5265D"/>
    <w:rsid w:val="32202771"/>
    <w:rsid w:val="32F375A8"/>
    <w:rsid w:val="331E7C4C"/>
    <w:rsid w:val="333C1375"/>
    <w:rsid w:val="335D4A76"/>
    <w:rsid w:val="34070752"/>
    <w:rsid w:val="341A61DE"/>
    <w:rsid w:val="352D4C3F"/>
    <w:rsid w:val="359A5B2A"/>
    <w:rsid w:val="35C64677"/>
    <w:rsid w:val="36BA1D8E"/>
    <w:rsid w:val="37A11597"/>
    <w:rsid w:val="37E12D6A"/>
    <w:rsid w:val="38002B92"/>
    <w:rsid w:val="384407A1"/>
    <w:rsid w:val="392D4E3F"/>
    <w:rsid w:val="3AE031BB"/>
    <w:rsid w:val="3BD27056"/>
    <w:rsid w:val="3C81087B"/>
    <w:rsid w:val="3D450113"/>
    <w:rsid w:val="3DCF2504"/>
    <w:rsid w:val="3EA43E4C"/>
    <w:rsid w:val="3F5F2B81"/>
    <w:rsid w:val="40B16061"/>
    <w:rsid w:val="4174347B"/>
    <w:rsid w:val="428F4905"/>
    <w:rsid w:val="42ED3913"/>
    <w:rsid w:val="43142F1E"/>
    <w:rsid w:val="431808B1"/>
    <w:rsid w:val="433327D6"/>
    <w:rsid w:val="436A7D91"/>
    <w:rsid w:val="43993DA6"/>
    <w:rsid w:val="441A008D"/>
    <w:rsid w:val="441C0421"/>
    <w:rsid w:val="44324403"/>
    <w:rsid w:val="4552238A"/>
    <w:rsid w:val="45587ABF"/>
    <w:rsid w:val="46B040BE"/>
    <w:rsid w:val="46DF00F7"/>
    <w:rsid w:val="470A3548"/>
    <w:rsid w:val="478A7887"/>
    <w:rsid w:val="47B208F3"/>
    <w:rsid w:val="484B51D0"/>
    <w:rsid w:val="48684C83"/>
    <w:rsid w:val="494B7A1C"/>
    <w:rsid w:val="4ABE4801"/>
    <w:rsid w:val="4B4C2686"/>
    <w:rsid w:val="4B992430"/>
    <w:rsid w:val="4C335018"/>
    <w:rsid w:val="4CAF5B59"/>
    <w:rsid w:val="4DFA0C66"/>
    <w:rsid w:val="4EC87464"/>
    <w:rsid w:val="4EF80EB3"/>
    <w:rsid w:val="4F884EA2"/>
    <w:rsid w:val="506A4304"/>
    <w:rsid w:val="50F417CB"/>
    <w:rsid w:val="521D270C"/>
    <w:rsid w:val="528926BA"/>
    <w:rsid w:val="52CB7017"/>
    <w:rsid w:val="52EF30DE"/>
    <w:rsid w:val="545B6E13"/>
    <w:rsid w:val="548C66C6"/>
    <w:rsid w:val="54F32890"/>
    <w:rsid w:val="556476C3"/>
    <w:rsid w:val="558E660F"/>
    <w:rsid w:val="55C16BA6"/>
    <w:rsid w:val="5704373A"/>
    <w:rsid w:val="57A357F8"/>
    <w:rsid w:val="580E67D3"/>
    <w:rsid w:val="587C0D51"/>
    <w:rsid w:val="58BF3420"/>
    <w:rsid w:val="58F43B49"/>
    <w:rsid w:val="5A773EE4"/>
    <w:rsid w:val="5B0226AA"/>
    <w:rsid w:val="5C263984"/>
    <w:rsid w:val="5C4C2917"/>
    <w:rsid w:val="5CE836A9"/>
    <w:rsid w:val="5D5A63E5"/>
    <w:rsid w:val="5D9508B2"/>
    <w:rsid w:val="5E336443"/>
    <w:rsid w:val="5EFF4AC5"/>
    <w:rsid w:val="5F136214"/>
    <w:rsid w:val="5FB506EB"/>
    <w:rsid w:val="60C9290B"/>
    <w:rsid w:val="6145709B"/>
    <w:rsid w:val="62040D65"/>
    <w:rsid w:val="623B60AD"/>
    <w:rsid w:val="6360353E"/>
    <w:rsid w:val="638000DE"/>
    <w:rsid w:val="639768FB"/>
    <w:rsid w:val="64911814"/>
    <w:rsid w:val="64FD68AE"/>
    <w:rsid w:val="6537479D"/>
    <w:rsid w:val="65ED3350"/>
    <w:rsid w:val="65F43C03"/>
    <w:rsid w:val="669544D9"/>
    <w:rsid w:val="66B03C1D"/>
    <w:rsid w:val="670E6729"/>
    <w:rsid w:val="6777187A"/>
    <w:rsid w:val="677E0B10"/>
    <w:rsid w:val="67A8152A"/>
    <w:rsid w:val="684F5B00"/>
    <w:rsid w:val="68AB34F2"/>
    <w:rsid w:val="68FF1292"/>
    <w:rsid w:val="6A785776"/>
    <w:rsid w:val="6AC04EBC"/>
    <w:rsid w:val="6B945D2A"/>
    <w:rsid w:val="6DC20091"/>
    <w:rsid w:val="6EC427D3"/>
    <w:rsid w:val="6EEC319D"/>
    <w:rsid w:val="6F2B0DF8"/>
    <w:rsid w:val="6FFF5BC1"/>
    <w:rsid w:val="701132F0"/>
    <w:rsid w:val="706C6E7C"/>
    <w:rsid w:val="707B4025"/>
    <w:rsid w:val="70893E4C"/>
    <w:rsid w:val="71DC51F5"/>
    <w:rsid w:val="72CA7D9F"/>
    <w:rsid w:val="7361112A"/>
    <w:rsid w:val="74602A41"/>
    <w:rsid w:val="746D5D57"/>
    <w:rsid w:val="747A6827"/>
    <w:rsid w:val="748C1FDC"/>
    <w:rsid w:val="74E35C9E"/>
    <w:rsid w:val="7593661C"/>
    <w:rsid w:val="75C11D35"/>
    <w:rsid w:val="76894B02"/>
    <w:rsid w:val="76D7641A"/>
    <w:rsid w:val="76E85CAD"/>
    <w:rsid w:val="770B604D"/>
    <w:rsid w:val="77B269F3"/>
    <w:rsid w:val="780327D9"/>
    <w:rsid w:val="78552009"/>
    <w:rsid w:val="790B3ACB"/>
    <w:rsid w:val="7A8F65FD"/>
    <w:rsid w:val="7BF87C7D"/>
    <w:rsid w:val="7C666122"/>
    <w:rsid w:val="7D223E8F"/>
    <w:rsid w:val="7E033765"/>
    <w:rsid w:val="7E440B14"/>
    <w:rsid w:val="7E646D81"/>
    <w:rsid w:val="7EA54704"/>
    <w:rsid w:val="7EEA7DB8"/>
    <w:rsid w:val="7EF264B3"/>
    <w:rsid w:val="7EFC724B"/>
    <w:rsid w:val="7F7161F6"/>
    <w:rsid w:val="7F8420F8"/>
    <w:rsid w:val="7FBA1346"/>
    <w:rsid w:val="7FF11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47"/>
    <w:qFormat/>
    <w:uiPriority w:val="0"/>
    <w:pPr>
      <w:keepNext/>
      <w:spacing w:line="1200" w:lineRule="auto"/>
      <w:jc w:val="center"/>
      <w:outlineLvl w:val="0"/>
    </w:pPr>
    <w:rPr>
      <w:b/>
      <w:sz w:val="52"/>
      <w:szCs w:val="52"/>
    </w:rPr>
  </w:style>
  <w:style w:type="paragraph" w:styleId="3">
    <w:name w:val="heading 2"/>
    <w:basedOn w:val="1"/>
    <w:next w:val="1"/>
    <w:link w:val="37"/>
    <w:qFormat/>
    <w:uiPriority w:val="0"/>
    <w:pPr>
      <w:keepNext/>
      <w:spacing w:line="560" w:lineRule="exact"/>
      <w:jc w:val="left"/>
      <w:outlineLvl w:val="1"/>
    </w:pPr>
    <w:rPr>
      <w:rFonts w:ascii="仿宋_GB2312" w:hAnsi="宋体" w:eastAsia="黑体"/>
      <w:sz w:val="24"/>
      <w:szCs w:val="24"/>
    </w:rPr>
  </w:style>
  <w:style w:type="paragraph" w:styleId="4">
    <w:name w:val="heading 3"/>
    <w:basedOn w:val="1"/>
    <w:next w:val="1"/>
    <w:link w:val="51"/>
    <w:qFormat/>
    <w:uiPriority w:val="0"/>
    <w:pPr>
      <w:keepNext/>
      <w:jc w:val="center"/>
      <w:outlineLvl w:val="2"/>
    </w:pPr>
    <w:rPr>
      <w:rFonts w:ascii="仿宋_GB2312" w:hAnsi="宋体" w:eastAsia="仿宋_GB2312"/>
      <w:sz w:val="28"/>
      <w:szCs w:val="24"/>
    </w:rPr>
  </w:style>
  <w:style w:type="paragraph" w:styleId="5">
    <w:name w:val="heading 4"/>
    <w:basedOn w:val="1"/>
    <w:next w:val="1"/>
    <w:link w:val="38"/>
    <w:qFormat/>
    <w:uiPriority w:val="0"/>
    <w:pPr>
      <w:keepNext/>
      <w:spacing w:line="540" w:lineRule="exact"/>
      <w:ind w:firstLine="899" w:firstLineChars="321"/>
      <w:outlineLvl w:val="3"/>
    </w:pPr>
    <w:rPr>
      <w:rFonts w:ascii="仿宋_GB2312" w:eastAsia="仿宋_GB2312"/>
      <w:sz w:val="28"/>
      <w:szCs w:val="24"/>
    </w:rPr>
  </w:style>
  <w:style w:type="paragraph" w:styleId="6">
    <w:name w:val="heading 5"/>
    <w:basedOn w:val="1"/>
    <w:next w:val="1"/>
    <w:link w:val="42"/>
    <w:qFormat/>
    <w:uiPriority w:val="0"/>
    <w:pPr>
      <w:keepNext/>
      <w:spacing w:line="540" w:lineRule="exact"/>
      <w:ind w:left="561" w:leftChars="267" w:firstLine="339" w:firstLineChars="121"/>
      <w:outlineLvl w:val="4"/>
    </w:pPr>
    <w:rPr>
      <w:rFonts w:eastAsia="仿宋_GB2312"/>
      <w:color w:val="FF0000"/>
      <w:sz w:val="28"/>
      <w:szCs w:val="24"/>
    </w:rPr>
  </w:style>
  <w:style w:type="paragraph" w:styleId="7">
    <w:name w:val="heading 6"/>
    <w:basedOn w:val="1"/>
    <w:next w:val="1"/>
    <w:link w:val="44"/>
    <w:qFormat/>
    <w:uiPriority w:val="0"/>
    <w:pPr>
      <w:keepNext/>
      <w:spacing w:line="540" w:lineRule="exact"/>
      <w:ind w:firstLine="900"/>
      <w:outlineLvl w:val="5"/>
    </w:pPr>
    <w:rPr>
      <w:rFonts w:ascii="仿宋_GB2312" w:eastAsia="仿宋_GB2312"/>
      <w:color w:val="FF0000"/>
      <w:sz w:val="28"/>
      <w:szCs w:val="24"/>
    </w:rPr>
  </w:style>
  <w:style w:type="character" w:default="1" w:styleId="30">
    <w:name w:val="Default Paragraph Font"/>
    <w:qFormat/>
    <w:uiPriority w:val="0"/>
  </w:style>
  <w:style w:type="table" w:default="1" w:styleId="28">
    <w:name w:val="Normal Table"/>
    <w:semiHidden/>
    <w:qFormat/>
    <w:uiPriority w:val="0"/>
    <w:tblPr>
      <w:tblCellMar>
        <w:top w:w="0" w:type="dxa"/>
        <w:left w:w="108" w:type="dxa"/>
        <w:bottom w:w="0" w:type="dxa"/>
        <w:right w:w="108" w:type="dxa"/>
      </w:tblCellMar>
    </w:tblPr>
  </w:style>
  <w:style w:type="paragraph" w:styleId="8">
    <w:name w:val="List 3"/>
    <w:basedOn w:val="1"/>
    <w:qFormat/>
    <w:uiPriority w:val="0"/>
    <w:pPr>
      <w:ind w:left="100" w:leftChars="400" w:hanging="200" w:hangingChars="200"/>
    </w:pPr>
  </w:style>
  <w:style w:type="paragraph" w:styleId="9">
    <w:name w:val="caption"/>
    <w:basedOn w:val="1"/>
    <w:next w:val="1"/>
    <w:qFormat/>
    <w:uiPriority w:val="0"/>
    <w:rPr>
      <w:rFonts w:ascii="Arial" w:hAnsi="Arial" w:eastAsia="黑体" w:cs="Arial"/>
      <w:sz w:val="20"/>
    </w:rPr>
  </w:style>
  <w:style w:type="paragraph" w:styleId="10">
    <w:name w:val="Document Map"/>
    <w:basedOn w:val="1"/>
    <w:qFormat/>
    <w:uiPriority w:val="0"/>
    <w:pPr>
      <w:shd w:val="clear" w:color="auto" w:fill="000080"/>
    </w:pPr>
  </w:style>
  <w:style w:type="paragraph" w:styleId="11">
    <w:name w:val="annotation text"/>
    <w:basedOn w:val="1"/>
    <w:link w:val="52"/>
    <w:qFormat/>
    <w:uiPriority w:val="0"/>
    <w:pPr>
      <w:jc w:val="left"/>
    </w:pPr>
  </w:style>
  <w:style w:type="paragraph" w:styleId="12">
    <w:name w:val="Body Text"/>
    <w:basedOn w:val="1"/>
    <w:link w:val="40"/>
    <w:qFormat/>
    <w:uiPriority w:val="0"/>
    <w:pPr>
      <w:spacing w:after="120"/>
    </w:pPr>
  </w:style>
  <w:style w:type="paragraph" w:styleId="13">
    <w:name w:val="Body Text Indent"/>
    <w:basedOn w:val="1"/>
    <w:link w:val="48"/>
    <w:qFormat/>
    <w:uiPriority w:val="0"/>
    <w:pPr>
      <w:tabs>
        <w:tab w:val="left" w:pos="0"/>
      </w:tabs>
      <w:ind w:firstLine="600"/>
    </w:pPr>
    <w:rPr>
      <w:sz w:val="30"/>
    </w:rPr>
  </w:style>
  <w:style w:type="paragraph" w:styleId="14">
    <w:name w:val="List 2"/>
    <w:basedOn w:val="1"/>
    <w:qFormat/>
    <w:uiPriority w:val="0"/>
    <w:pPr>
      <w:ind w:left="100" w:leftChars="200" w:hanging="200" w:hangingChars="200"/>
    </w:pPr>
  </w:style>
  <w:style w:type="paragraph" w:styleId="15">
    <w:name w:val="Plain Text"/>
    <w:basedOn w:val="1"/>
    <w:link w:val="55"/>
    <w:qFormat/>
    <w:uiPriority w:val="0"/>
    <w:rPr>
      <w:rFonts w:ascii="宋体" w:hAnsi="Courier New"/>
    </w:rPr>
  </w:style>
  <w:style w:type="paragraph" w:styleId="16">
    <w:name w:val="Date"/>
    <w:basedOn w:val="1"/>
    <w:next w:val="1"/>
    <w:link w:val="43"/>
    <w:qFormat/>
    <w:uiPriority w:val="0"/>
    <w:pPr>
      <w:adjustRightInd w:val="0"/>
      <w:spacing w:line="312" w:lineRule="atLeast"/>
      <w:textAlignment w:val="baseline"/>
    </w:pPr>
    <w:rPr>
      <w:rFonts w:ascii="仿宋体" w:eastAsia="仿宋体"/>
      <w:kern w:val="0"/>
      <w:sz w:val="28"/>
    </w:rPr>
  </w:style>
  <w:style w:type="paragraph" w:styleId="17">
    <w:name w:val="Body Text Indent 2"/>
    <w:basedOn w:val="1"/>
    <w:link w:val="36"/>
    <w:qFormat/>
    <w:uiPriority w:val="0"/>
    <w:pPr>
      <w:spacing w:after="120" w:line="480" w:lineRule="auto"/>
      <w:ind w:left="420" w:leftChars="200"/>
    </w:pPr>
  </w:style>
  <w:style w:type="paragraph" w:styleId="18">
    <w:name w:val="Balloon Text"/>
    <w:basedOn w:val="1"/>
    <w:link w:val="49"/>
    <w:qFormat/>
    <w:uiPriority w:val="0"/>
    <w:rPr>
      <w:sz w:val="18"/>
      <w:szCs w:val="18"/>
    </w:rPr>
  </w:style>
  <w:style w:type="paragraph" w:styleId="19">
    <w:name w:val="footer"/>
    <w:basedOn w:val="1"/>
    <w:link w:val="41"/>
    <w:qFormat/>
    <w:uiPriority w:val="0"/>
    <w:pPr>
      <w:tabs>
        <w:tab w:val="center" w:pos="4153"/>
        <w:tab w:val="right" w:pos="8306"/>
      </w:tabs>
      <w:snapToGrid w:val="0"/>
      <w:jc w:val="left"/>
    </w:pPr>
    <w:rPr>
      <w:sz w:val="18"/>
    </w:rPr>
  </w:style>
  <w:style w:type="paragraph" w:styleId="20">
    <w:name w:val="header"/>
    <w:basedOn w:val="1"/>
    <w:link w:val="46"/>
    <w:qFormat/>
    <w:uiPriority w:val="0"/>
    <w:pPr>
      <w:pBdr>
        <w:bottom w:val="single" w:color="auto" w:sz="6" w:space="1"/>
      </w:pBdr>
      <w:tabs>
        <w:tab w:val="center" w:pos="4153"/>
        <w:tab w:val="right" w:pos="8306"/>
      </w:tabs>
      <w:snapToGrid w:val="0"/>
      <w:jc w:val="center"/>
    </w:pPr>
    <w:rPr>
      <w:sz w:val="18"/>
    </w:rPr>
  </w:style>
  <w:style w:type="paragraph" w:styleId="21">
    <w:name w:val="toc 1"/>
    <w:basedOn w:val="1"/>
    <w:next w:val="1"/>
    <w:qFormat/>
    <w:uiPriority w:val="39"/>
    <w:pPr>
      <w:spacing w:line="360" w:lineRule="exact"/>
      <w:jc w:val="left"/>
    </w:pPr>
    <w:rPr>
      <w:sz w:val="24"/>
    </w:rPr>
  </w:style>
  <w:style w:type="paragraph" w:styleId="22">
    <w:name w:val="Body Text Indent 3"/>
    <w:basedOn w:val="1"/>
    <w:link w:val="50"/>
    <w:qFormat/>
    <w:uiPriority w:val="0"/>
    <w:pPr>
      <w:ind w:firstLine="600"/>
    </w:pPr>
    <w:rPr>
      <w:sz w:val="32"/>
    </w:rPr>
  </w:style>
  <w:style w:type="paragraph" w:styleId="23">
    <w:name w:val="toc 2"/>
    <w:basedOn w:val="1"/>
    <w:next w:val="1"/>
    <w:qFormat/>
    <w:uiPriority w:val="39"/>
    <w:pPr>
      <w:snapToGrid w:val="0"/>
      <w:spacing w:line="360" w:lineRule="exact"/>
      <w:ind w:left="200" w:leftChars="200"/>
      <w:jc w:val="left"/>
    </w:pPr>
    <w:rPr>
      <w:sz w:val="24"/>
    </w:rPr>
  </w:style>
  <w:style w:type="paragraph" w:styleId="24">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styleId="25">
    <w:name w:val="annotation subject"/>
    <w:basedOn w:val="11"/>
    <w:next w:val="11"/>
    <w:link w:val="53"/>
    <w:qFormat/>
    <w:uiPriority w:val="0"/>
    <w:rPr>
      <w:b/>
      <w:bCs/>
    </w:rPr>
  </w:style>
  <w:style w:type="paragraph" w:styleId="26">
    <w:name w:val="Body Text First Indent"/>
    <w:basedOn w:val="12"/>
    <w:link w:val="45"/>
    <w:qFormat/>
    <w:uiPriority w:val="0"/>
    <w:pPr>
      <w:ind w:firstLine="420" w:firstLineChars="100"/>
    </w:pPr>
  </w:style>
  <w:style w:type="paragraph" w:styleId="27">
    <w:name w:val="Body Text First Indent 2"/>
    <w:basedOn w:val="13"/>
    <w:link w:val="56"/>
    <w:qFormat/>
    <w:uiPriority w:val="0"/>
    <w:pPr>
      <w:tabs>
        <w:tab w:val="clear" w:pos="0"/>
      </w:tabs>
      <w:spacing w:after="120"/>
      <w:ind w:left="420" w:leftChars="200" w:firstLine="420" w:firstLineChars="200"/>
    </w:pPr>
    <w:rPr>
      <w:sz w:val="21"/>
    </w:r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basedOn w:val="30"/>
    <w:qFormat/>
    <w:uiPriority w:val="22"/>
    <w:rPr>
      <w:b/>
      <w:bCs/>
    </w:rPr>
  </w:style>
  <w:style w:type="character" w:styleId="32">
    <w:name w:val="page number"/>
    <w:qFormat/>
    <w:uiPriority w:val="0"/>
  </w:style>
  <w:style w:type="character" w:styleId="33">
    <w:name w:val="Emphasis"/>
    <w:basedOn w:val="30"/>
    <w:qFormat/>
    <w:uiPriority w:val="20"/>
    <w:rPr>
      <w:i/>
      <w:iCs/>
    </w:rPr>
  </w:style>
  <w:style w:type="character" w:styleId="34">
    <w:name w:val="Hyperlink"/>
    <w:basedOn w:val="30"/>
    <w:qFormat/>
    <w:uiPriority w:val="99"/>
    <w:rPr>
      <w:color w:val="0000FF"/>
      <w:u w:val="single"/>
    </w:rPr>
  </w:style>
  <w:style w:type="character" w:styleId="35">
    <w:name w:val="annotation reference"/>
    <w:basedOn w:val="30"/>
    <w:qFormat/>
    <w:uiPriority w:val="0"/>
    <w:rPr>
      <w:sz w:val="21"/>
      <w:szCs w:val="21"/>
    </w:rPr>
  </w:style>
  <w:style w:type="character" w:customStyle="1" w:styleId="36">
    <w:name w:val="正文文本缩进 2 Char"/>
    <w:basedOn w:val="30"/>
    <w:link w:val="17"/>
    <w:qFormat/>
    <w:uiPriority w:val="0"/>
    <w:rPr>
      <w:kern w:val="2"/>
      <w:sz w:val="21"/>
    </w:rPr>
  </w:style>
  <w:style w:type="character" w:customStyle="1" w:styleId="37">
    <w:name w:val="标题 2 Char"/>
    <w:basedOn w:val="30"/>
    <w:link w:val="3"/>
    <w:qFormat/>
    <w:uiPriority w:val="0"/>
    <w:rPr>
      <w:rFonts w:ascii="仿宋_GB2312" w:hAnsi="宋体" w:eastAsia="黑体"/>
      <w:kern w:val="2"/>
      <w:sz w:val="24"/>
      <w:szCs w:val="24"/>
    </w:rPr>
  </w:style>
  <w:style w:type="character" w:customStyle="1" w:styleId="38">
    <w:name w:val="标题 4 Char"/>
    <w:basedOn w:val="30"/>
    <w:link w:val="5"/>
    <w:qFormat/>
    <w:uiPriority w:val="0"/>
    <w:rPr>
      <w:rFonts w:ascii="仿宋_GB2312" w:eastAsia="仿宋_GB2312"/>
      <w:kern w:val="2"/>
      <w:sz w:val="28"/>
      <w:szCs w:val="24"/>
    </w:rPr>
  </w:style>
  <w:style w:type="character" w:customStyle="1" w:styleId="39">
    <w:name w:val="normal"/>
    <w:basedOn w:val="30"/>
    <w:qFormat/>
    <w:uiPriority w:val="0"/>
  </w:style>
  <w:style w:type="character" w:customStyle="1" w:styleId="40">
    <w:name w:val="正文文本 Char"/>
    <w:basedOn w:val="30"/>
    <w:link w:val="12"/>
    <w:qFormat/>
    <w:uiPriority w:val="0"/>
    <w:rPr>
      <w:kern w:val="2"/>
      <w:sz w:val="21"/>
    </w:rPr>
  </w:style>
  <w:style w:type="character" w:customStyle="1" w:styleId="41">
    <w:name w:val="页脚 Char"/>
    <w:basedOn w:val="30"/>
    <w:link w:val="19"/>
    <w:qFormat/>
    <w:uiPriority w:val="0"/>
    <w:rPr>
      <w:kern w:val="2"/>
      <w:sz w:val="18"/>
    </w:rPr>
  </w:style>
  <w:style w:type="character" w:customStyle="1" w:styleId="42">
    <w:name w:val="标题 5 Char"/>
    <w:basedOn w:val="30"/>
    <w:link w:val="6"/>
    <w:qFormat/>
    <w:uiPriority w:val="0"/>
    <w:rPr>
      <w:rFonts w:eastAsia="仿宋_GB2312"/>
      <w:color w:val="FF0000"/>
      <w:kern w:val="2"/>
      <w:sz w:val="28"/>
      <w:szCs w:val="24"/>
    </w:rPr>
  </w:style>
  <w:style w:type="character" w:customStyle="1" w:styleId="43">
    <w:name w:val="日期 Char"/>
    <w:basedOn w:val="30"/>
    <w:link w:val="16"/>
    <w:qFormat/>
    <w:uiPriority w:val="0"/>
    <w:rPr>
      <w:rFonts w:ascii="仿宋体" w:eastAsia="仿宋体"/>
      <w:sz w:val="28"/>
    </w:rPr>
  </w:style>
  <w:style w:type="character" w:customStyle="1" w:styleId="44">
    <w:name w:val="标题 6 Char"/>
    <w:basedOn w:val="30"/>
    <w:link w:val="7"/>
    <w:qFormat/>
    <w:uiPriority w:val="0"/>
    <w:rPr>
      <w:rFonts w:ascii="仿宋_GB2312" w:eastAsia="仿宋_GB2312"/>
      <w:color w:val="FF0000"/>
      <w:kern w:val="2"/>
      <w:sz w:val="28"/>
      <w:szCs w:val="24"/>
    </w:rPr>
  </w:style>
  <w:style w:type="character" w:customStyle="1" w:styleId="45">
    <w:name w:val="正文首行缩进 Char"/>
    <w:basedOn w:val="40"/>
    <w:link w:val="26"/>
    <w:qFormat/>
    <w:uiPriority w:val="0"/>
  </w:style>
  <w:style w:type="character" w:customStyle="1" w:styleId="46">
    <w:name w:val="页眉 Char"/>
    <w:basedOn w:val="30"/>
    <w:link w:val="20"/>
    <w:qFormat/>
    <w:uiPriority w:val="0"/>
    <w:rPr>
      <w:kern w:val="2"/>
      <w:sz w:val="18"/>
    </w:rPr>
  </w:style>
  <w:style w:type="character" w:customStyle="1" w:styleId="47">
    <w:name w:val="标题 1 Char"/>
    <w:basedOn w:val="30"/>
    <w:link w:val="2"/>
    <w:qFormat/>
    <w:uiPriority w:val="0"/>
    <w:rPr>
      <w:b/>
      <w:kern w:val="2"/>
      <w:sz w:val="52"/>
      <w:szCs w:val="52"/>
    </w:rPr>
  </w:style>
  <w:style w:type="character" w:customStyle="1" w:styleId="48">
    <w:name w:val="正文文本缩进 Char1"/>
    <w:basedOn w:val="30"/>
    <w:link w:val="13"/>
    <w:qFormat/>
    <w:uiPriority w:val="0"/>
    <w:rPr>
      <w:kern w:val="2"/>
      <w:sz w:val="30"/>
    </w:rPr>
  </w:style>
  <w:style w:type="character" w:customStyle="1" w:styleId="49">
    <w:name w:val="批注框文本 Char"/>
    <w:basedOn w:val="30"/>
    <w:link w:val="18"/>
    <w:qFormat/>
    <w:uiPriority w:val="0"/>
    <w:rPr>
      <w:kern w:val="2"/>
      <w:sz w:val="18"/>
      <w:szCs w:val="18"/>
    </w:rPr>
  </w:style>
  <w:style w:type="character" w:customStyle="1" w:styleId="50">
    <w:name w:val="正文文本缩进 3 Char"/>
    <w:basedOn w:val="30"/>
    <w:link w:val="22"/>
    <w:qFormat/>
    <w:uiPriority w:val="0"/>
    <w:rPr>
      <w:kern w:val="2"/>
      <w:sz w:val="32"/>
    </w:rPr>
  </w:style>
  <w:style w:type="character" w:customStyle="1" w:styleId="51">
    <w:name w:val="标题 3 Char"/>
    <w:basedOn w:val="30"/>
    <w:link w:val="4"/>
    <w:qFormat/>
    <w:uiPriority w:val="0"/>
    <w:rPr>
      <w:rFonts w:ascii="仿宋_GB2312" w:hAnsi="宋体" w:eastAsia="仿宋_GB2312"/>
      <w:kern w:val="2"/>
      <w:sz w:val="28"/>
      <w:szCs w:val="24"/>
    </w:rPr>
  </w:style>
  <w:style w:type="character" w:customStyle="1" w:styleId="52">
    <w:name w:val="批注文字 Char"/>
    <w:basedOn w:val="30"/>
    <w:link w:val="11"/>
    <w:qFormat/>
    <w:uiPriority w:val="0"/>
    <w:rPr>
      <w:kern w:val="2"/>
      <w:sz w:val="21"/>
    </w:rPr>
  </w:style>
  <w:style w:type="character" w:customStyle="1" w:styleId="53">
    <w:name w:val="批注主题 Char"/>
    <w:basedOn w:val="52"/>
    <w:link w:val="25"/>
    <w:qFormat/>
    <w:uiPriority w:val="0"/>
    <w:rPr>
      <w:b/>
      <w:bCs/>
    </w:rPr>
  </w:style>
  <w:style w:type="character" w:customStyle="1" w:styleId="54">
    <w:name w:val="正文文本缩进 Char"/>
    <w:basedOn w:val="30"/>
    <w:qFormat/>
    <w:uiPriority w:val="0"/>
    <w:rPr>
      <w:kern w:val="2"/>
      <w:sz w:val="30"/>
    </w:rPr>
  </w:style>
  <w:style w:type="character" w:customStyle="1" w:styleId="55">
    <w:name w:val="纯文本 Char"/>
    <w:basedOn w:val="30"/>
    <w:link w:val="15"/>
    <w:qFormat/>
    <w:uiPriority w:val="0"/>
    <w:rPr>
      <w:rFonts w:ascii="宋体" w:hAnsi="Courier New"/>
      <w:kern w:val="2"/>
      <w:sz w:val="21"/>
    </w:rPr>
  </w:style>
  <w:style w:type="character" w:customStyle="1" w:styleId="56">
    <w:name w:val="正文首行缩进 2 Char"/>
    <w:basedOn w:val="48"/>
    <w:link w:val="27"/>
    <w:qFormat/>
    <w:uiPriority w:val="0"/>
    <w:rPr>
      <w:sz w:val="21"/>
    </w:rPr>
  </w:style>
  <w:style w:type="paragraph" w:customStyle="1" w:styleId="57">
    <w:name w:val=" Char Char1 Char"/>
    <w:basedOn w:val="10"/>
    <w:qFormat/>
    <w:uiPriority w:val="0"/>
    <w:rPr>
      <w:rFonts w:ascii="Tahoma" w:hAnsi="Tahoma"/>
      <w:sz w:val="24"/>
      <w:szCs w:val="24"/>
    </w:rPr>
  </w:style>
  <w:style w:type="paragraph" w:customStyle="1" w:styleId="58">
    <w:name w:val="Char Char Char"/>
    <w:basedOn w:val="1"/>
    <w:qFormat/>
    <w:uiPriority w:val="0"/>
    <w:pPr>
      <w:widowControl/>
      <w:spacing w:after="160" w:line="240" w:lineRule="exact"/>
      <w:jc w:val="left"/>
    </w:pPr>
  </w:style>
  <w:style w:type="paragraph" w:customStyle="1" w:styleId="59">
    <w:name w:val="样式1"/>
    <w:basedOn w:val="16"/>
    <w:qFormat/>
    <w:uiPriority w:val="0"/>
    <w:pPr>
      <w:adjustRightInd/>
      <w:spacing w:line="1200" w:lineRule="auto"/>
      <w:ind w:firstLine="500" w:firstLineChars="500"/>
      <w:textAlignment w:val="auto"/>
    </w:pPr>
    <w:rPr>
      <w:rFonts w:ascii="宋体" w:hAnsi="宋体" w:eastAsia="宋体"/>
      <w:b/>
      <w:sz w:val="52"/>
      <w:szCs w:val="52"/>
    </w:rPr>
  </w:style>
  <w:style w:type="paragraph" w:customStyle="1" w:styleId="60">
    <w:name w:val="_Style 28"/>
    <w:basedOn w:val="10"/>
    <w:qFormat/>
    <w:uiPriority w:val="0"/>
    <w:rPr>
      <w:rFonts w:ascii="Tahoma" w:hAnsi="Tahoma"/>
      <w:sz w:val="24"/>
      <w:szCs w:val="24"/>
    </w:rPr>
  </w:style>
  <w:style w:type="paragraph" w:customStyle="1" w:styleId="61">
    <w:name w:val="TOC Heading"/>
    <w:basedOn w:val="2"/>
    <w:next w:val="1"/>
    <w:qFormat/>
    <w:uiPriority w:val="39"/>
    <w:pPr>
      <w:keepLines/>
      <w:widowControl/>
      <w:spacing w:before="480" w:line="276" w:lineRule="auto"/>
      <w:jc w:val="left"/>
      <w:outlineLvl w:val="9"/>
    </w:pPr>
    <w:rPr>
      <w:rFonts w:ascii="Cambria" w:hAnsi="Cambria"/>
      <w:bCs/>
      <w:color w:val="365F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36</Pages>
  <Words>3705</Words>
  <Characters>21121</Characters>
  <Lines>176</Lines>
  <Paragraphs>49</Paragraphs>
  <TotalTime>4</TotalTime>
  <ScaleCrop>false</ScaleCrop>
  <LinksUpToDate>false</LinksUpToDate>
  <CharactersWithSpaces>24777</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2019-08-16T00:38:00Z</dcterms:created>
  <dc:creator>User</dc:creator>
  <cp:lastModifiedBy>大众评估</cp:lastModifiedBy>
  <cp:lastPrinted>2017-07-31T06:55:00Z</cp:lastPrinted>
  <dcterms:modified xsi:type="dcterms:W3CDTF">2020-03-05T00:27:54Z</dcterms:modified>
  <dc:title>淮大房地(抵)评字第2009（0）号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