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hint="eastAsia" w:ascii="仿宋" w:hAnsi="仿宋" w:eastAsia="仿宋" w:cs="仿宋"/>
          <w:b/>
          <w:sz w:val="48"/>
        </w:rPr>
      </w:pPr>
    </w:p>
    <w:p>
      <w:pPr>
        <w:adjustRightInd w:val="0"/>
        <w:snapToGrid w:val="0"/>
        <w:jc w:val="center"/>
        <w:rPr>
          <w:rFonts w:hint="eastAsia" w:ascii="仿宋" w:hAnsi="仿宋" w:eastAsia="仿宋" w:cs="仿宋"/>
          <w:b/>
          <w:sz w:val="48"/>
        </w:rPr>
      </w:pPr>
    </w:p>
    <w:p>
      <w:pPr>
        <w:adjustRightInd w:val="0"/>
        <w:snapToGrid w:val="0"/>
        <w:jc w:val="center"/>
        <w:rPr>
          <w:rFonts w:hint="eastAsia" w:ascii="仿宋" w:hAnsi="仿宋" w:eastAsia="仿宋" w:cs="仿宋"/>
          <w:b/>
          <w:sz w:val="48"/>
        </w:rPr>
      </w:pPr>
      <w:r>
        <w:rPr>
          <w:rFonts w:hint="eastAsia" w:ascii="仿宋" w:hAnsi="仿宋" w:eastAsia="仿宋" w:cs="仿宋"/>
          <w:b/>
          <w:sz w:val="48"/>
        </w:rPr>
        <w:t>房地产估价报告</w:t>
      </w:r>
    </w:p>
    <w:p>
      <w:pPr>
        <w:adjustRightInd w:val="0"/>
        <w:snapToGrid w:val="0"/>
        <w:jc w:val="center"/>
        <w:rPr>
          <w:rFonts w:hint="eastAsia" w:ascii="仿宋" w:hAnsi="仿宋" w:eastAsia="仿宋" w:cs="仿宋"/>
          <w:b/>
          <w:sz w:val="48"/>
        </w:rPr>
      </w:pPr>
    </w:p>
    <w:p>
      <w:pPr>
        <w:adjustRightInd w:val="0"/>
        <w:snapToGrid w:val="0"/>
        <w:jc w:val="center"/>
        <w:rPr>
          <w:rFonts w:hint="eastAsia" w:ascii="仿宋" w:hAnsi="仿宋" w:eastAsia="仿宋" w:cs="仿宋"/>
          <w:b/>
          <w:sz w:val="48"/>
        </w:rPr>
      </w:pPr>
    </w:p>
    <w:p>
      <w:pPr>
        <w:adjustRightInd w:val="0"/>
        <w:snapToGrid w:val="0"/>
        <w:jc w:val="center"/>
        <w:rPr>
          <w:rFonts w:hint="eastAsia" w:ascii="仿宋" w:hAnsi="仿宋" w:eastAsia="仿宋" w:cs="仿宋"/>
          <w:b/>
          <w:sz w:val="48"/>
        </w:rPr>
      </w:pPr>
    </w:p>
    <w:p>
      <w:pPr>
        <w:adjustRightInd w:val="0"/>
        <w:snapToGrid w:val="0"/>
        <w:jc w:val="center"/>
        <w:rPr>
          <w:rFonts w:hint="eastAsia" w:ascii="仿宋" w:hAnsi="仿宋" w:eastAsia="仿宋" w:cs="仿宋"/>
          <w:b/>
          <w:sz w:val="48"/>
        </w:rPr>
      </w:pPr>
    </w:p>
    <w:p>
      <w:pPr>
        <w:adjustRightInd w:val="0"/>
        <w:snapToGrid w:val="0"/>
        <w:jc w:val="center"/>
        <w:rPr>
          <w:rFonts w:hint="eastAsia" w:ascii="仿宋" w:hAnsi="仿宋" w:eastAsia="仿宋" w:cs="仿宋"/>
          <w:b/>
          <w:sz w:val="48"/>
        </w:rPr>
      </w:pPr>
    </w:p>
    <w:p>
      <w:pPr>
        <w:adjustRightInd w:val="0"/>
        <w:snapToGrid w:val="0"/>
        <w:jc w:val="center"/>
        <w:rPr>
          <w:rFonts w:hint="eastAsia" w:ascii="仿宋" w:hAnsi="仿宋" w:eastAsia="仿宋" w:cs="仿宋"/>
          <w:b/>
          <w:sz w:val="48"/>
        </w:rPr>
      </w:pPr>
    </w:p>
    <w:p>
      <w:pPr>
        <w:adjustRightInd w:val="0"/>
        <w:snapToGrid w:val="0"/>
        <w:jc w:val="both"/>
        <w:rPr>
          <w:rFonts w:hint="eastAsia" w:ascii="仿宋" w:hAnsi="仿宋" w:eastAsia="仿宋" w:cs="仿宋"/>
          <w:b/>
          <w:sz w:val="48"/>
        </w:rPr>
      </w:pPr>
    </w:p>
    <w:p>
      <w:pPr>
        <w:adjustRightInd w:val="0"/>
        <w:snapToGrid w:val="0"/>
        <w:rPr>
          <w:rFonts w:hint="eastAsia" w:ascii="仿宋" w:hAnsi="仿宋" w:eastAsia="仿宋" w:cs="仿宋"/>
          <w:b/>
          <w:sz w:val="28"/>
        </w:rPr>
      </w:pPr>
    </w:p>
    <w:p>
      <w:pPr>
        <w:keepNext w:val="0"/>
        <w:keepLines w:val="0"/>
        <w:pageBreakBefore w:val="0"/>
        <w:widowControl w:val="0"/>
        <w:kinsoku/>
        <w:wordWrap/>
        <w:overflowPunct/>
        <w:topLinePunct w:val="0"/>
        <w:autoSpaceDE/>
        <w:autoSpaceDN/>
        <w:bidi w:val="0"/>
        <w:adjustRightInd w:val="0"/>
        <w:snapToGrid w:val="0"/>
        <w:spacing w:line="360" w:lineRule="auto"/>
        <w:ind w:left="2395" w:leftChars="399" w:hanging="1546" w:hangingChars="479"/>
        <w:textAlignment w:val="auto"/>
        <w:rPr>
          <w:rFonts w:hint="eastAsia" w:ascii="仿宋" w:hAnsi="仿宋" w:eastAsia="仿宋" w:cs="仿宋"/>
          <w:b/>
          <w:bCs/>
          <w:snapToGrid w:val="0"/>
          <w:spacing w:val="20"/>
          <w:kern w:val="0"/>
          <w:sz w:val="32"/>
          <w:szCs w:val="32"/>
        </w:rPr>
      </w:pPr>
      <w:r>
        <w:rPr>
          <w:rFonts w:hint="eastAsia" w:ascii="仿宋" w:hAnsi="仿宋" w:eastAsia="仿宋" w:cs="仿宋"/>
          <w:b/>
          <w:sz w:val="32"/>
        </w:rPr>
        <w:t>项目名称：</w:t>
      </w:r>
      <w:r>
        <w:rPr>
          <w:rFonts w:hint="eastAsia" w:ascii="仿宋" w:hAnsi="仿宋" w:eastAsia="仿宋" w:cs="仿宋"/>
          <w:b/>
          <w:sz w:val="32"/>
          <w:lang w:eastAsia="zh-CN"/>
        </w:rPr>
        <w:t>六盘水市钟山区钟山中路81号2栋附87号</w:t>
      </w:r>
      <w:r>
        <w:rPr>
          <w:rFonts w:hint="eastAsia" w:ascii="仿宋" w:hAnsi="仿宋" w:eastAsia="仿宋" w:cs="仿宋"/>
          <w:b/>
          <w:sz w:val="32"/>
          <w:lang w:val="en-US" w:eastAsia="zh-CN"/>
        </w:rPr>
        <w:t>一套住宅</w:t>
      </w:r>
      <w:r>
        <w:rPr>
          <w:rFonts w:hint="eastAsia" w:ascii="仿宋" w:hAnsi="仿宋" w:eastAsia="仿宋" w:cs="仿宋"/>
          <w:b/>
          <w:bCs/>
          <w:snapToGrid w:val="0"/>
          <w:spacing w:val="20"/>
          <w:kern w:val="0"/>
          <w:sz w:val="32"/>
          <w:szCs w:val="32"/>
        </w:rPr>
        <w:t>房地产市场价值估价项目</w:t>
      </w:r>
    </w:p>
    <w:p>
      <w:pPr>
        <w:keepNext w:val="0"/>
        <w:keepLines w:val="0"/>
        <w:pageBreakBefore w:val="0"/>
        <w:widowControl w:val="0"/>
        <w:kinsoku/>
        <w:wordWrap/>
        <w:overflowPunct/>
        <w:topLinePunct w:val="0"/>
        <w:autoSpaceDE/>
        <w:autoSpaceDN/>
        <w:bidi w:val="0"/>
        <w:adjustRightInd w:val="0"/>
        <w:snapToGrid w:val="0"/>
        <w:spacing w:line="360" w:lineRule="auto"/>
        <w:ind w:left="2204" w:leftChars="399" w:hanging="1355" w:hangingChars="479"/>
        <w:textAlignment w:val="auto"/>
        <w:rPr>
          <w:rFonts w:hint="eastAsia" w:ascii="仿宋" w:hAnsi="仿宋" w:eastAsia="仿宋" w:cs="仿宋"/>
          <w:b/>
          <w:bCs/>
          <w:snapToGrid w:val="0"/>
          <w:spacing w:val="20"/>
          <w:kern w:val="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842" w:firstLineChars="261"/>
        <w:textAlignment w:val="auto"/>
        <w:rPr>
          <w:rFonts w:hint="eastAsia" w:ascii="仿宋" w:hAnsi="仿宋" w:eastAsia="仿宋" w:cs="仿宋"/>
          <w:b/>
          <w:sz w:val="32"/>
        </w:rPr>
      </w:pPr>
      <w:r>
        <w:rPr>
          <w:rFonts w:hint="eastAsia" w:ascii="仿宋" w:hAnsi="仿宋" w:eastAsia="仿宋" w:cs="仿宋"/>
          <w:b/>
          <w:sz w:val="32"/>
        </w:rPr>
        <w:t>估价委托人：</w:t>
      </w:r>
      <w:r>
        <w:rPr>
          <w:rFonts w:hint="eastAsia" w:ascii="仿宋" w:hAnsi="仿宋" w:eastAsia="仿宋" w:cs="仿宋"/>
          <w:b/>
          <w:sz w:val="32"/>
          <w:lang w:eastAsia="zh-CN"/>
        </w:rPr>
        <w:t>贵州省六盘水市钟山区人民法院</w:t>
      </w:r>
    </w:p>
    <w:p>
      <w:pPr>
        <w:keepNext w:val="0"/>
        <w:keepLines w:val="0"/>
        <w:pageBreakBefore w:val="0"/>
        <w:widowControl w:val="0"/>
        <w:kinsoku/>
        <w:wordWrap/>
        <w:overflowPunct/>
        <w:topLinePunct w:val="0"/>
        <w:autoSpaceDE/>
        <w:autoSpaceDN/>
        <w:bidi w:val="0"/>
        <w:adjustRightInd w:val="0"/>
        <w:snapToGrid w:val="0"/>
        <w:spacing w:line="360" w:lineRule="auto"/>
        <w:ind w:left="2204" w:leftChars="399" w:hanging="1355" w:hangingChars="479"/>
        <w:textAlignment w:val="auto"/>
        <w:rPr>
          <w:rFonts w:hint="eastAsia" w:ascii="仿宋" w:hAnsi="仿宋" w:eastAsia="仿宋" w:cs="仿宋"/>
          <w:b/>
          <w:bCs/>
          <w:snapToGrid w:val="0"/>
          <w:spacing w:val="20"/>
          <w:kern w:val="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842" w:firstLineChars="261"/>
        <w:textAlignment w:val="auto"/>
        <w:rPr>
          <w:rFonts w:hint="eastAsia" w:ascii="仿宋" w:hAnsi="仿宋" w:eastAsia="仿宋" w:cs="仿宋"/>
          <w:b/>
          <w:spacing w:val="-20"/>
          <w:sz w:val="32"/>
        </w:rPr>
      </w:pPr>
      <w:r>
        <w:rPr>
          <w:rFonts w:hint="eastAsia" w:ascii="仿宋" w:hAnsi="仿宋" w:eastAsia="仿宋" w:cs="仿宋"/>
          <w:b/>
          <w:sz w:val="32"/>
        </w:rPr>
        <w:t>房地产估价机构：</w:t>
      </w:r>
      <w:r>
        <w:rPr>
          <w:rFonts w:hint="eastAsia" w:ascii="仿宋" w:hAnsi="仿宋" w:eastAsia="仿宋" w:cs="仿宋"/>
          <w:b/>
          <w:spacing w:val="-20"/>
          <w:sz w:val="32"/>
        </w:rPr>
        <w:t>四川诺力达资产评估房地产土地估价有限公司</w:t>
      </w:r>
    </w:p>
    <w:p>
      <w:pPr>
        <w:keepNext w:val="0"/>
        <w:keepLines w:val="0"/>
        <w:pageBreakBefore w:val="0"/>
        <w:widowControl w:val="0"/>
        <w:kinsoku/>
        <w:wordWrap/>
        <w:overflowPunct/>
        <w:topLinePunct w:val="0"/>
        <w:autoSpaceDE/>
        <w:autoSpaceDN/>
        <w:bidi w:val="0"/>
        <w:adjustRightInd w:val="0"/>
        <w:snapToGrid w:val="0"/>
        <w:spacing w:line="360" w:lineRule="auto"/>
        <w:ind w:left="2204" w:leftChars="399" w:hanging="1355" w:hangingChars="479"/>
        <w:textAlignment w:val="auto"/>
        <w:rPr>
          <w:rFonts w:hint="eastAsia" w:ascii="仿宋" w:hAnsi="仿宋" w:eastAsia="仿宋" w:cs="仿宋"/>
          <w:b/>
          <w:bCs/>
          <w:snapToGrid w:val="0"/>
          <w:spacing w:val="20"/>
          <w:kern w:val="0"/>
          <w:sz w:val="24"/>
          <w:szCs w:val="24"/>
        </w:rPr>
      </w:pPr>
    </w:p>
    <w:p>
      <w:pPr>
        <w:keepNext w:val="0"/>
        <w:keepLines w:val="0"/>
        <w:pageBreakBefore w:val="0"/>
        <w:widowControl w:val="0"/>
        <w:kinsoku/>
        <w:wordWrap/>
        <w:overflowPunct/>
        <w:topLinePunct w:val="0"/>
        <w:autoSpaceDE/>
        <w:autoSpaceDN/>
        <w:bidi w:val="0"/>
        <w:spacing w:line="360" w:lineRule="auto"/>
        <w:ind w:firstLine="842" w:firstLineChars="261"/>
        <w:textAlignment w:val="auto"/>
        <w:rPr>
          <w:rFonts w:hint="eastAsia" w:ascii="仿宋" w:hAnsi="仿宋" w:eastAsia="仿宋" w:cs="仿宋"/>
          <w:b/>
          <w:bCs/>
          <w:spacing w:val="-8"/>
          <w:position w:val="6"/>
          <w:sz w:val="32"/>
        </w:rPr>
      </w:pPr>
      <w:r>
        <w:rPr>
          <w:rFonts w:hint="eastAsia" w:ascii="仿宋" w:hAnsi="仿宋" w:eastAsia="仿宋" w:cs="仿宋"/>
          <w:b/>
          <w:sz w:val="32"/>
        </w:rPr>
        <w:t>注册房地产估价师：</w:t>
      </w:r>
      <w:r>
        <w:rPr>
          <w:rFonts w:hint="eastAsia" w:ascii="仿宋" w:hAnsi="仿宋" w:eastAsia="仿宋" w:cs="仿宋"/>
          <w:b/>
          <w:bCs/>
          <w:spacing w:val="-8"/>
          <w:position w:val="6"/>
          <w:sz w:val="32"/>
        </w:rPr>
        <w:t>韩朝钦(注册号5220140044)</w:t>
      </w:r>
    </w:p>
    <w:p>
      <w:pPr>
        <w:keepNext w:val="0"/>
        <w:keepLines w:val="0"/>
        <w:pageBreakBefore w:val="0"/>
        <w:widowControl w:val="0"/>
        <w:tabs>
          <w:tab w:val="left" w:pos="3826"/>
        </w:tabs>
        <w:kinsoku/>
        <w:wordWrap/>
        <w:overflowPunct/>
        <w:topLinePunct w:val="0"/>
        <w:autoSpaceDE/>
        <w:autoSpaceDN/>
        <w:bidi w:val="0"/>
        <w:spacing w:line="360" w:lineRule="auto"/>
        <w:ind w:firstLine="555" w:firstLineChars="261"/>
        <w:textAlignment w:val="auto"/>
        <w:rPr>
          <w:rFonts w:hint="eastAsia" w:ascii="仿宋" w:hAnsi="仿宋" w:eastAsia="仿宋" w:cs="仿宋"/>
          <w:b/>
          <w:bCs/>
          <w:spacing w:val="-8"/>
          <w:position w:val="6"/>
          <w:sz w:val="32"/>
        </w:rPr>
      </w:pPr>
      <w:r>
        <w:rPr>
          <w:rFonts w:ascii="仿宋" w:hAnsi="仿宋" w:eastAsia="仿宋" w:cs="仿宋"/>
        </w:rPr>
        <w:tab/>
      </w:r>
      <w:r>
        <w:rPr>
          <w:rFonts w:hint="eastAsia" w:ascii="仿宋" w:hAnsi="仿宋" w:eastAsia="仿宋" w:cs="仿宋"/>
          <w:b/>
          <w:bCs/>
          <w:spacing w:val="-8"/>
          <w:position w:val="6"/>
          <w:sz w:val="32"/>
          <w:lang w:eastAsia="zh-CN"/>
        </w:rPr>
        <w:t>张李楠</w:t>
      </w:r>
      <w:r>
        <w:rPr>
          <w:rFonts w:hint="eastAsia" w:ascii="仿宋" w:hAnsi="仿宋" w:eastAsia="仿宋" w:cs="仿宋"/>
          <w:b/>
          <w:bCs/>
          <w:spacing w:val="-8"/>
          <w:position w:val="6"/>
          <w:sz w:val="32"/>
        </w:rPr>
        <w:t>(</w:t>
      </w:r>
      <w:r>
        <w:rPr>
          <w:rFonts w:hint="eastAsia" w:ascii="仿宋" w:hAnsi="仿宋" w:eastAsia="仿宋" w:cs="仿宋"/>
          <w:b/>
          <w:bCs/>
          <w:spacing w:val="-8"/>
          <w:position w:val="6"/>
          <w:sz w:val="32"/>
          <w:lang w:eastAsia="zh-CN"/>
        </w:rPr>
        <w:t>注册号5220180051</w:t>
      </w:r>
      <w:r>
        <w:rPr>
          <w:rFonts w:hint="eastAsia" w:ascii="仿宋" w:hAnsi="仿宋" w:eastAsia="仿宋" w:cs="仿宋"/>
          <w:b/>
          <w:bCs/>
          <w:spacing w:val="-8"/>
          <w:position w:val="6"/>
          <w:sz w:val="32"/>
        </w:rPr>
        <w:t>)</w:t>
      </w:r>
    </w:p>
    <w:p>
      <w:pPr>
        <w:keepNext w:val="0"/>
        <w:keepLines w:val="0"/>
        <w:pageBreakBefore w:val="0"/>
        <w:widowControl w:val="0"/>
        <w:kinsoku/>
        <w:wordWrap/>
        <w:overflowPunct/>
        <w:topLinePunct w:val="0"/>
        <w:autoSpaceDE/>
        <w:autoSpaceDN/>
        <w:bidi w:val="0"/>
        <w:adjustRightInd w:val="0"/>
        <w:snapToGrid w:val="0"/>
        <w:spacing w:line="360" w:lineRule="auto"/>
        <w:ind w:left="2204" w:leftChars="399" w:hanging="1355" w:hangingChars="479"/>
        <w:textAlignment w:val="auto"/>
        <w:rPr>
          <w:rFonts w:hint="eastAsia" w:ascii="仿宋" w:hAnsi="仿宋" w:eastAsia="仿宋" w:cs="仿宋"/>
          <w:b/>
          <w:bCs/>
          <w:snapToGrid w:val="0"/>
          <w:spacing w:val="20"/>
          <w:kern w:val="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842" w:firstLineChars="261"/>
        <w:textAlignment w:val="auto"/>
        <w:rPr>
          <w:rFonts w:hint="eastAsia" w:ascii="仿宋" w:hAnsi="仿宋" w:eastAsia="仿宋" w:cs="仿宋"/>
          <w:b/>
          <w:sz w:val="32"/>
          <w:lang w:eastAsia="zh-CN"/>
        </w:rPr>
      </w:pPr>
      <w:r>
        <w:rPr>
          <w:rFonts w:hint="eastAsia" w:ascii="仿宋" w:hAnsi="仿宋" w:eastAsia="仿宋" w:cs="仿宋"/>
          <w:b/>
          <w:sz w:val="32"/>
        </w:rPr>
        <w:t>估价报告出具日期：</w:t>
      </w:r>
      <w:r>
        <w:rPr>
          <w:rFonts w:hint="eastAsia" w:ascii="仿宋" w:hAnsi="仿宋" w:eastAsia="仿宋" w:cs="仿宋"/>
          <w:b/>
          <w:sz w:val="32"/>
          <w:highlight w:val="none"/>
          <w:lang w:eastAsia="zh-CN"/>
        </w:rPr>
        <w:t xml:space="preserve">2020年01月07日 </w:t>
      </w:r>
    </w:p>
    <w:p>
      <w:pPr>
        <w:keepNext w:val="0"/>
        <w:keepLines w:val="0"/>
        <w:pageBreakBefore w:val="0"/>
        <w:widowControl w:val="0"/>
        <w:kinsoku/>
        <w:wordWrap/>
        <w:overflowPunct/>
        <w:topLinePunct w:val="0"/>
        <w:autoSpaceDE/>
        <w:autoSpaceDN/>
        <w:bidi w:val="0"/>
        <w:adjustRightInd w:val="0"/>
        <w:snapToGrid w:val="0"/>
        <w:spacing w:line="360" w:lineRule="auto"/>
        <w:ind w:left="2204" w:leftChars="399" w:hanging="1355" w:hangingChars="479"/>
        <w:textAlignment w:val="auto"/>
        <w:rPr>
          <w:rFonts w:hint="eastAsia" w:ascii="仿宋" w:hAnsi="仿宋" w:eastAsia="仿宋" w:cs="仿宋"/>
          <w:b/>
          <w:bCs/>
          <w:snapToGrid w:val="0"/>
          <w:spacing w:val="20"/>
          <w:kern w:val="0"/>
          <w:sz w:val="24"/>
          <w:szCs w:val="24"/>
        </w:rPr>
      </w:pPr>
    </w:p>
    <w:p>
      <w:pPr>
        <w:keepNext w:val="0"/>
        <w:keepLines w:val="0"/>
        <w:pageBreakBefore w:val="0"/>
        <w:widowControl w:val="0"/>
        <w:kinsoku/>
        <w:wordWrap/>
        <w:overflowPunct/>
        <w:topLinePunct w:val="0"/>
        <w:autoSpaceDE/>
        <w:autoSpaceDN/>
        <w:bidi w:val="0"/>
        <w:spacing w:line="360" w:lineRule="auto"/>
        <w:ind w:firstLine="842" w:firstLineChars="261"/>
        <w:textAlignment w:val="auto"/>
        <w:rPr>
          <w:rFonts w:hint="eastAsia" w:ascii="仿宋" w:hAnsi="仿宋" w:eastAsia="仿宋" w:cs="仿宋"/>
          <w:b/>
          <w:sz w:val="32"/>
          <w:highlight w:val="none"/>
        </w:rPr>
      </w:pPr>
      <w:r>
        <w:rPr>
          <w:rFonts w:hint="eastAsia" w:ascii="仿宋" w:hAnsi="仿宋" w:eastAsia="仿宋" w:cs="仿宋"/>
          <w:b/>
          <w:sz w:val="32"/>
        </w:rPr>
        <w:t>报告编号：</w:t>
      </w:r>
      <w:r>
        <w:rPr>
          <w:rFonts w:hint="eastAsia" w:ascii="仿宋" w:hAnsi="仿宋" w:eastAsia="仿宋" w:cs="仿宋"/>
          <w:b/>
          <w:sz w:val="32"/>
          <w:highlight w:val="none"/>
        </w:rPr>
        <w:t>川诺力达房评黔字</w:t>
      </w:r>
      <w:r>
        <w:rPr>
          <w:rFonts w:hint="eastAsia" w:ascii="仿宋" w:hAnsi="仿宋" w:eastAsia="仿宋" w:cs="仿宋"/>
          <w:b/>
          <w:sz w:val="32"/>
          <w:highlight w:val="none"/>
          <w:lang w:val="en-US" w:eastAsia="zh-CN"/>
        </w:rPr>
        <w:t>2020</w:t>
      </w:r>
      <w:r>
        <w:rPr>
          <w:rFonts w:hint="eastAsia" w:ascii="仿宋" w:hAnsi="仿宋" w:eastAsia="仿宋" w:cs="仿宋"/>
          <w:b/>
          <w:sz w:val="32"/>
          <w:highlight w:val="none"/>
        </w:rPr>
        <w:t>第</w:t>
      </w:r>
      <w:r>
        <w:rPr>
          <w:rFonts w:hint="eastAsia" w:ascii="仿宋" w:hAnsi="仿宋" w:eastAsia="仿宋" w:cs="仿宋"/>
          <w:b/>
          <w:sz w:val="32"/>
          <w:highlight w:val="none"/>
          <w:lang w:val="en-US" w:eastAsia="zh-CN"/>
        </w:rPr>
        <w:t>0103</w:t>
      </w:r>
      <w:r>
        <w:rPr>
          <w:rFonts w:hint="eastAsia" w:ascii="仿宋" w:hAnsi="仿宋" w:eastAsia="仿宋" w:cs="仿宋"/>
          <w:b/>
          <w:sz w:val="32"/>
          <w:highlight w:val="none"/>
        </w:rPr>
        <w:t>号</w:t>
      </w:r>
    </w:p>
    <w:p>
      <w:pPr>
        <w:keepNext w:val="0"/>
        <w:keepLines w:val="0"/>
        <w:pageBreakBefore w:val="0"/>
        <w:widowControl w:val="0"/>
        <w:kinsoku/>
        <w:wordWrap/>
        <w:overflowPunct/>
        <w:topLinePunct w:val="0"/>
        <w:autoSpaceDE/>
        <w:autoSpaceDN/>
        <w:bidi w:val="0"/>
        <w:spacing w:line="360" w:lineRule="auto"/>
        <w:ind w:firstLine="842" w:firstLineChars="261"/>
        <w:textAlignment w:val="auto"/>
        <w:rPr>
          <w:rFonts w:ascii="仿宋" w:hAnsi="仿宋" w:eastAsia="仿宋" w:cs="仿宋"/>
          <w:b/>
          <w:sz w:val="32"/>
        </w:rPr>
        <w:sectPr>
          <w:headerReference r:id="rId3" w:type="first"/>
          <w:footerReference r:id="rId6" w:type="first"/>
          <w:footerReference r:id="rId4" w:type="default"/>
          <w:footerReference r:id="rId5" w:type="even"/>
          <w:pgSz w:w="11906" w:h="16838"/>
          <w:pgMar w:top="1247" w:right="1020" w:bottom="1247" w:left="1497" w:header="851" w:footer="992" w:gutter="0"/>
          <w:pgNumType w:start="1"/>
          <w:cols w:space="720" w:num="1"/>
          <w:docGrid w:type="linesAndChars" w:linePitch="312" w:charSpace="693"/>
        </w:sectPr>
      </w:pPr>
    </w:p>
    <w:p>
      <w:pPr>
        <w:adjustRightInd w:val="0"/>
        <w:snapToGrid w:val="0"/>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致估价委托人函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8"/>
        </w:rPr>
      </w:pPr>
      <w:r>
        <w:rPr>
          <w:rFonts w:hint="eastAsia" w:ascii="仿宋" w:hAnsi="仿宋" w:eastAsia="仿宋" w:cs="仿宋"/>
          <w:sz w:val="28"/>
          <w:lang w:eastAsia="zh-CN"/>
        </w:rPr>
        <w:t>贵州省六盘水市钟山区人民法院</w:t>
      </w:r>
      <w:r>
        <w:rPr>
          <w:rFonts w:hint="eastAsia" w:ascii="仿宋" w:hAnsi="仿宋" w:eastAsia="仿宋" w:cs="仿宋"/>
          <w:sz w:val="28"/>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jc w:val="left"/>
        <w:textAlignment w:val="auto"/>
        <w:rPr>
          <w:rFonts w:hint="eastAsia" w:ascii="仿宋" w:hAnsi="仿宋" w:eastAsia="仿宋" w:cs="仿宋"/>
          <w:sz w:val="28"/>
        </w:rPr>
      </w:pPr>
      <w:r>
        <w:rPr>
          <w:rFonts w:hint="eastAsia" w:ascii="仿宋" w:hAnsi="仿宋" w:eastAsia="仿宋" w:cs="仿宋"/>
          <w:sz w:val="28"/>
        </w:rPr>
        <w:t>受贵院的委托，我公司对</w:t>
      </w:r>
      <w:r>
        <w:rPr>
          <w:rFonts w:hint="eastAsia" w:ascii="仿宋" w:hAnsi="仿宋" w:eastAsia="仿宋" w:cs="仿宋"/>
          <w:sz w:val="28"/>
          <w:lang w:eastAsia="zh-CN"/>
        </w:rPr>
        <w:t>被执行人</w:t>
      </w:r>
      <w:r>
        <w:rPr>
          <w:rFonts w:hint="eastAsia" w:ascii="仿宋" w:hAnsi="仿宋" w:eastAsia="仿宋" w:cs="仿宋"/>
          <w:sz w:val="28"/>
        </w:rPr>
        <w:t>所属位于</w:t>
      </w:r>
      <w:r>
        <w:rPr>
          <w:rFonts w:hint="eastAsia" w:ascii="仿宋" w:hAnsi="仿宋" w:eastAsia="仿宋" w:cs="仿宋"/>
          <w:sz w:val="28"/>
          <w:lang w:eastAsia="zh-CN"/>
        </w:rPr>
        <w:t>六盘水市钟山区钟山中路81号2栋附87号一套</w:t>
      </w:r>
      <w:r>
        <w:rPr>
          <w:rFonts w:hint="eastAsia" w:ascii="仿宋" w:hAnsi="仿宋" w:eastAsia="仿宋" w:cs="仿宋"/>
          <w:sz w:val="28"/>
        </w:rPr>
        <w:t>住宅房地产的市场价值进行了评估。估价对象建筑面积为</w:t>
      </w:r>
      <w:r>
        <w:rPr>
          <w:rFonts w:hint="eastAsia" w:ascii="仿宋" w:hAnsi="仿宋" w:eastAsia="仿宋" w:cs="仿宋"/>
          <w:sz w:val="28"/>
          <w:highlight w:val="none"/>
          <w:lang w:eastAsia="zh-CN"/>
        </w:rPr>
        <w:t>137.66</w:t>
      </w:r>
      <w:r>
        <w:rPr>
          <w:rFonts w:hint="eastAsia" w:ascii="仿宋" w:hAnsi="仿宋" w:eastAsia="仿宋" w:cs="仿宋"/>
          <w:sz w:val="28"/>
          <w:highlight w:val="none"/>
        </w:rPr>
        <w:t>平方米，</w:t>
      </w:r>
      <w:r>
        <w:rPr>
          <w:rFonts w:hint="eastAsia" w:ascii="仿宋" w:hAnsi="仿宋" w:eastAsia="仿宋" w:cs="仿宋"/>
          <w:sz w:val="28"/>
        </w:rPr>
        <w:t>分摊的国有土地使用权面积</w:t>
      </w:r>
      <w:r>
        <w:rPr>
          <w:rFonts w:hint="eastAsia" w:ascii="仿宋" w:hAnsi="仿宋" w:eastAsia="仿宋" w:cs="仿宋"/>
          <w:sz w:val="28"/>
          <w:lang w:eastAsia="zh-CN"/>
        </w:rPr>
        <w:t>不详</w:t>
      </w:r>
      <w:r>
        <w:rPr>
          <w:rFonts w:hint="eastAsia" w:ascii="仿宋" w:hAnsi="仿宋" w:eastAsia="仿宋" w:cs="仿宋"/>
          <w:sz w:val="28"/>
        </w:rPr>
        <w:t>。</w:t>
      </w:r>
      <w:r>
        <w:rPr>
          <w:rFonts w:hint="eastAsia" w:ascii="仿宋" w:hAnsi="仿宋" w:eastAsia="仿宋"/>
          <w:sz w:val="28"/>
        </w:rPr>
        <w:t>本次估价目的是为司法拍卖（变卖）提供房地产市场价值参考依据</w:t>
      </w:r>
      <w:r>
        <w:rPr>
          <w:rFonts w:hint="eastAsia" w:ascii="仿宋" w:hAnsi="仿宋" w:eastAsia="仿宋" w:cs="仿宋"/>
          <w:sz w:val="28"/>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jc w:val="left"/>
        <w:textAlignment w:val="auto"/>
        <w:rPr>
          <w:rFonts w:hint="eastAsia" w:ascii="仿宋" w:hAnsi="仿宋" w:eastAsia="仿宋" w:cs="仿宋"/>
          <w:sz w:val="28"/>
        </w:rPr>
      </w:pPr>
      <w:r>
        <w:rPr>
          <w:rFonts w:hint="eastAsia" w:ascii="仿宋" w:hAnsi="仿宋" w:eastAsia="仿宋" w:cs="仿宋"/>
          <w:sz w:val="28"/>
        </w:rPr>
        <w:t>注册房地产估价师在贵院提供有关资料以及实地查勘和市场调查所取得资料的基础上，根据估价目的，遵循估价原则，按照评估工作程序，详细分析了影响房地产价值的各项因素，采用比较法测算，最终确定估价对象于价值时点</w:t>
      </w:r>
      <w:r>
        <w:rPr>
          <w:rFonts w:hint="eastAsia" w:ascii="仿宋" w:hAnsi="仿宋" w:eastAsia="仿宋" w:cs="仿宋"/>
          <w:sz w:val="28"/>
          <w:highlight w:val="none"/>
          <w:lang w:eastAsia="zh-CN"/>
        </w:rPr>
        <w:t>2020年01月02日</w:t>
      </w:r>
      <w:r>
        <w:rPr>
          <w:rFonts w:hint="eastAsia" w:ascii="仿宋" w:hAnsi="仿宋" w:eastAsia="仿宋" w:cs="仿宋"/>
          <w:sz w:val="28"/>
        </w:rPr>
        <w:t>的市场价值如下：</w:t>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b/>
          <w:color w:val="000000"/>
          <w:spacing w:val="22"/>
          <w:w w:val="88"/>
          <w:kern w:val="0"/>
          <w:sz w:val="28"/>
          <w:highlight w:val="none"/>
        </w:rPr>
      </w:pPr>
      <w:r>
        <w:rPr>
          <w:rFonts w:hint="eastAsia" w:ascii="仿宋" w:hAnsi="仿宋" w:eastAsia="仿宋" w:cs="仿宋"/>
          <w:b/>
          <w:color w:val="000000"/>
          <w:spacing w:val="22"/>
          <w:w w:val="88"/>
          <w:kern w:val="0"/>
          <w:sz w:val="28"/>
          <w:highlight w:val="none"/>
        </w:rPr>
        <w:t>评估总价：</w:t>
      </w:r>
      <w:r>
        <w:rPr>
          <w:rFonts w:hint="eastAsia" w:ascii="仿宋" w:hAnsi="仿宋" w:eastAsia="仿宋" w:cs="仿宋"/>
          <w:b/>
          <w:color w:val="000000"/>
          <w:sz w:val="28"/>
          <w:szCs w:val="28"/>
          <w:highlight w:val="none"/>
          <w:lang w:val="en-US" w:eastAsia="zh-CN"/>
        </w:rPr>
        <w:t>88.72</w:t>
      </w:r>
      <w:r>
        <w:rPr>
          <w:rFonts w:hint="eastAsia" w:ascii="仿宋" w:hAnsi="仿宋" w:eastAsia="仿宋" w:cs="仿宋"/>
          <w:b/>
          <w:color w:val="000000"/>
          <w:spacing w:val="22"/>
          <w:w w:val="88"/>
          <w:kern w:val="0"/>
          <w:sz w:val="28"/>
          <w:highlight w:val="none"/>
        </w:rPr>
        <w:t>万元</w:t>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b/>
          <w:color w:val="000000"/>
          <w:spacing w:val="22"/>
          <w:w w:val="88"/>
          <w:kern w:val="0"/>
          <w:sz w:val="28"/>
          <w:highlight w:val="yellow"/>
        </w:rPr>
      </w:pPr>
      <w:r>
        <w:rPr>
          <w:rFonts w:hint="eastAsia" w:ascii="仿宋" w:hAnsi="仿宋" w:eastAsia="仿宋" w:cs="仿宋"/>
          <w:b/>
          <w:color w:val="000000"/>
          <w:spacing w:val="22"/>
          <w:w w:val="88"/>
          <w:kern w:val="0"/>
          <w:sz w:val="28"/>
          <w:highlight w:val="none"/>
        </w:rPr>
        <w:t>大   写：</w:t>
      </w:r>
      <w:r>
        <w:rPr>
          <w:rFonts w:hint="eastAsia" w:ascii="仿宋" w:hAnsi="仿宋" w:eastAsia="仿宋" w:cs="仿宋"/>
          <w:b/>
          <w:color w:val="000000"/>
          <w:sz w:val="28"/>
          <w:szCs w:val="28"/>
          <w:highlight w:val="none"/>
        </w:rPr>
        <w:fldChar w:fldCharType="begin"/>
      </w:r>
      <w:r>
        <w:rPr>
          <w:rFonts w:hint="eastAsia" w:ascii="仿宋" w:hAnsi="仿宋" w:eastAsia="仿宋" w:cs="仿宋"/>
          <w:b/>
          <w:color w:val="000000"/>
          <w:sz w:val="28"/>
          <w:szCs w:val="28"/>
          <w:highlight w:val="none"/>
        </w:rPr>
        <w:instrText xml:space="preserve"> =</w:instrText>
      </w:r>
      <w:r>
        <w:rPr>
          <w:rFonts w:hint="eastAsia" w:ascii="仿宋" w:hAnsi="仿宋" w:eastAsia="仿宋" w:cs="仿宋"/>
          <w:b/>
          <w:color w:val="000000"/>
          <w:sz w:val="28"/>
          <w:szCs w:val="28"/>
          <w:highlight w:val="none"/>
          <w:lang w:val="en-US" w:eastAsia="zh-CN"/>
        </w:rPr>
        <w:instrText xml:space="preserve">88.72*10000</w:instrText>
      </w:r>
      <w:r>
        <w:rPr>
          <w:rFonts w:hint="eastAsia" w:ascii="仿宋" w:hAnsi="仿宋" w:eastAsia="仿宋" w:cs="仿宋"/>
          <w:b/>
          <w:color w:val="000000"/>
          <w:sz w:val="28"/>
          <w:szCs w:val="28"/>
          <w:highlight w:val="none"/>
        </w:rPr>
        <w:instrText xml:space="preserve">\* CHINESENUM4 \* MERGEFORMAT </w:instrText>
      </w:r>
      <w:r>
        <w:rPr>
          <w:rFonts w:hint="eastAsia" w:ascii="仿宋" w:hAnsi="仿宋" w:eastAsia="仿宋" w:cs="仿宋"/>
          <w:b/>
          <w:color w:val="000000"/>
          <w:sz w:val="28"/>
          <w:szCs w:val="28"/>
          <w:highlight w:val="none"/>
        </w:rPr>
        <w:fldChar w:fldCharType="separate"/>
      </w:r>
      <w:r>
        <w:rPr>
          <w:rFonts w:hint="eastAsia" w:ascii="仿宋" w:hAnsi="仿宋" w:eastAsia="仿宋" w:cs="仿宋"/>
          <w:b/>
          <w:color w:val="000000"/>
          <w:sz w:val="28"/>
          <w:szCs w:val="28"/>
          <w:highlight w:val="none"/>
        </w:rPr>
        <w:t>捌拾捌万柒仟贰佰元整</w:t>
      </w:r>
      <w:r>
        <w:rPr>
          <w:rFonts w:hint="eastAsia" w:ascii="仿宋" w:hAnsi="仿宋" w:eastAsia="仿宋" w:cs="仿宋"/>
          <w:b/>
          <w:color w:val="000000"/>
          <w:sz w:val="28"/>
          <w:szCs w:val="28"/>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b/>
          <w:color w:val="000000"/>
          <w:spacing w:val="22"/>
          <w:w w:val="88"/>
          <w:kern w:val="0"/>
          <w:sz w:val="28"/>
        </w:rPr>
      </w:pPr>
      <w:r>
        <w:rPr>
          <w:rFonts w:hint="eastAsia" w:ascii="仿宋" w:hAnsi="仿宋" w:eastAsia="仿宋" w:cs="仿宋"/>
          <w:b/>
          <w:color w:val="000000"/>
          <w:spacing w:val="22"/>
          <w:w w:val="88"/>
          <w:kern w:val="0"/>
          <w:sz w:val="28"/>
        </w:rPr>
        <w:t>币   种：人民币</w:t>
      </w:r>
    </w:p>
    <w:p>
      <w:pPr>
        <w:adjustRightInd w:val="0"/>
        <w:snapToGrid w:val="0"/>
        <w:spacing w:line="360" w:lineRule="auto"/>
        <w:ind w:firstLine="566" w:firstLineChars="200"/>
        <w:jc w:val="center"/>
        <w:rPr>
          <w:rFonts w:hint="eastAsia" w:ascii="仿宋" w:hAnsi="仿宋" w:eastAsia="仿宋" w:cs="仿宋"/>
          <w:b/>
          <w:sz w:val="28"/>
        </w:rPr>
      </w:pPr>
      <w:r>
        <w:rPr>
          <w:rFonts w:hint="eastAsia" w:ascii="仿宋" w:hAnsi="仿宋" w:eastAsia="仿宋" w:cs="仿宋"/>
          <w:b/>
          <w:sz w:val="28"/>
        </w:rPr>
        <w:t>评估结果一览表</w:t>
      </w:r>
    </w:p>
    <w:tbl>
      <w:tblPr>
        <w:tblStyle w:val="9"/>
        <w:tblW w:w="5422" w:type="pct"/>
        <w:tblInd w:w="-509" w:type="dxa"/>
        <w:tblLayout w:type="fixed"/>
        <w:tblCellMar>
          <w:top w:w="0" w:type="dxa"/>
          <w:left w:w="0" w:type="dxa"/>
          <w:bottom w:w="0" w:type="dxa"/>
          <w:right w:w="0" w:type="dxa"/>
        </w:tblCellMar>
      </w:tblPr>
      <w:tblGrid>
        <w:gridCol w:w="780"/>
        <w:gridCol w:w="1665"/>
        <w:gridCol w:w="1740"/>
        <w:gridCol w:w="585"/>
        <w:gridCol w:w="750"/>
        <w:gridCol w:w="585"/>
        <w:gridCol w:w="600"/>
        <w:gridCol w:w="585"/>
        <w:gridCol w:w="960"/>
        <w:gridCol w:w="1078"/>
        <w:gridCol w:w="887"/>
      </w:tblGrid>
      <w:tr>
        <w:tblPrEx>
          <w:tblCellMar>
            <w:top w:w="0" w:type="dxa"/>
            <w:left w:w="0" w:type="dxa"/>
            <w:bottom w:w="0" w:type="dxa"/>
            <w:right w:w="0" w:type="dxa"/>
          </w:tblCellMar>
        </w:tblPrEx>
        <w:trPr>
          <w:trHeight w:val="644" w:hRule="atLeast"/>
        </w:trPr>
        <w:tc>
          <w:tcPr>
            <w:tcW w:w="381" w:type="pct"/>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产权人</w:t>
            </w:r>
          </w:p>
        </w:tc>
        <w:tc>
          <w:tcPr>
            <w:tcW w:w="81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房屋坐落</w:t>
            </w:r>
          </w:p>
        </w:tc>
        <w:tc>
          <w:tcPr>
            <w:tcW w:w="851"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不动产单元号</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项目名称</w:t>
            </w:r>
          </w:p>
        </w:tc>
        <w:tc>
          <w:tcPr>
            <w:tcW w:w="36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所在层</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房号</w:t>
            </w:r>
          </w:p>
        </w:tc>
        <w:tc>
          <w:tcPr>
            <w:tcW w:w="293"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规划用途</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建筑结构</w:t>
            </w:r>
          </w:p>
        </w:tc>
        <w:tc>
          <w:tcPr>
            <w:tcW w:w="46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建筑面积</w:t>
            </w:r>
            <w:r>
              <w:rPr>
                <w:rFonts w:hint="eastAsia" w:ascii="仿宋" w:hAnsi="仿宋" w:eastAsia="仿宋" w:cs="仿宋"/>
                <w:b/>
                <w:bCs/>
                <w:i w:val="0"/>
                <w:color w:val="535353"/>
                <w:kern w:val="0"/>
                <w:sz w:val="21"/>
                <w:szCs w:val="21"/>
                <w:u w:val="none"/>
                <w:lang w:val="en-US" w:eastAsia="zh-CN" w:bidi="ar"/>
              </w:rPr>
              <w:t>（m</w:t>
            </w:r>
            <w:r>
              <w:rPr>
                <w:rFonts w:hint="eastAsia" w:ascii="仿宋" w:hAnsi="仿宋" w:eastAsia="仿宋" w:cs="仿宋"/>
                <w:b/>
                <w:bCs/>
                <w:i w:val="0"/>
                <w:color w:val="535353"/>
                <w:kern w:val="0"/>
                <w:sz w:val="21"/>
                <w:szCs w:val="21"/>
                <w:u w:val="none"/>
                <w:vertAlign w:val="superscript"/>
                <w:lang w:bidi="ar"/>
              </w:rPr>
              <w:t>2</w:t>
            </w:r>
            <w:r>
              <w:rPr>
                <w:rFonts w:hint="eastAsia" w:ascii="仿宋" w:hAnsi="仿宋" w:eastAsia="仿宋" w:cs="仿宋"/>
                <w:b/>
                <w:bCs/>
                <w:i w:val="0"/>
                <w:color w:val="535353"/>
                <w:kern w:val="0"/>
                <w:sz w:val="21"/>
                <w:szCs w:val="21"/>
                <w:u w:val="none"/>
                <w:lang w:bidi="ar"/>
              </w:rPr>
              <w:t>）</w:t>
            </w:r>
          </w:p>
        </w:tc>
        <w:tc>
          <w:tcPr>
            <w:tcW w:w="52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评估单价</w:t>
            </w:r>
            <w:r>
              <w:rPr>
                <w:rFonts w:hint="eastAsia" w:ascii="仿宋" w:hAnsi="仿宋" w:eastAsia="仿宋" w:cs="仿宋"/>
                <w:b/>
                <w:bCs/>
                <w:i w:val="0"/>
                <w:color w:val="535353"/>
                <w:kern w:val="0"/>
                <w:sz w:val="21"/>
                <w:szCs w:val="21"/>
                <w:u w:val="none"/>
                <w:lang w:val="en-US" w:eastAsia="zh-CN" w:bidi="ar"/>
              </w:rPr>
              <w:t>（元/m</w:t>
            </w:r>
            <w:r>
              <w:rPr>
                <w:rFonts w:hint="eastAsia" w:ascii="仿宋" w:hAnsi="仿宋" w:eastAsia="仿宋" w:cs="仿宋"/>
                <w:b/>
                <w:bCs/>
                <w:i w:val="0"/>
                <w:color w:val="535353"/>
                <w:kern w:val="0"/>
                <w:sz w:val="21"/>
                <w:szCs w:val="21"/>
                <w:u w:val="none"/>
                <w:vertAlign w:val="superscript"/>
                <w:lang w:bidi="ar"/>
              </w:rPr>
              <w:t>2</w:t>
            </w:r>
            <w:r>
              <w:rPr>
                <w:rFonts w:hint="eastAsia" w:ascii="仿宋" w:hAnsi="仿宋" w:eastAsia="仿宋" w:cs="仿宋"/>
                <w:b/>
                <w:bCs/>
                <w:i w:val="0"/>
                <w:color w:val="535353"/>
                <w:kern w:val="0"/>
                <w:sz w:val="21"/>
                <w:szCs w:val="21"/>
                <w:u w:val="none"/>
                <w:lang w:bidi="ar"/>
              </w:rPr>
              <w:t>）</w:t>
            </w:r>
          </w:p>
        </w:tc>
        <w:tc>
          <w:tcPr>
            <w:tcW w:w="43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评估总价</w:t>
            </w:r>
            <w:r>
              <w:rPr>
                <w:rFonts w:hint="eastAsia" w:ascii="仿宋" w:hAnsi="仿宋" w:eastAsia="仿宋" w:cs="仿宋"/>
                <w:b/>
                <w:bCs/>
                <w:i w:val="0"/>
                <w:color w:val="535353"/>
                <w:kern w:val="0"/>
                <w:sz w:val="21"/>
                <w:szCs w:val="21"/>
                <w:u w:val="none"/>
                <w:lang w:val="en-US" w:eastAsia="zh-CN" w:bidi="ar"/>
              </w:rPr>
              <w:t>(万元）</w:t>
            </w:r>
          </w:p>
        </w:tc>
      </w:tr>
      <w:tr>
        <w:tblPrEx>
          <w:tblCellMar>
            <w:top w:w="0" w:type="dxa"/>
            <w:left w:w="0" w:type="dxa"/>
            <w:bottom w:w="0" w:type="dxa"/>
            <w:right w:w="0" w:type="dxa"/>
          </w:tblCellMar>
        </w:tblPrEx>
        <w:trPr>
          <w:trHeight w:val="810" w:hRule="atLeast"/>
        </w:trPr>
        <w:tc>
          <w:tcPr>
            <w:tcW w:w="381" w:type="pct"/>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陈顺龙</w:t>
            </w:r>
          </w:p>
        </w:tc>
        <w:tc>
          <w:tcPr>
            <w:tcW w:w="81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六盘水市钟山区钟山中路81号2栋附87号</w:t>
            </w:r>
          </w:p>
        </w:tc>
        <w:tc>
          <w:tcPr>
            <w:tcW w:w="851"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520201005007GB00006F00010510</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龙城广场</w:t>
            </w:r>
          </w:p>
        </w:tc>
        <w:tc>
          <w:tcPr>
            <w:tcW w:w="36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25</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附87</w:t>
            </w:r>
          </w:p>
        </w:tc>
        <w:tc>
          <w:tcPr>
            <w:tcW w:w="293"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住宅</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钢混</w:t>
            </w:r>
          </w:p>
        </w:tc>
        <w:tc>
          <w:tcPr>
            <w:tcW w:w="46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137.66</w:t>
            </w:r>
          </w:p>
        </w:tc>
        <w:tc>
          <w:tcPr>
            <w:tcW w:w="52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6445</w:t>
            </w:r>
          </w:p>
        </w:tc>
        <w:tc>
          <w:tcPr>
            <w:tcW w:w="43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88.72</w:t>
            </w:r>
          </w:p>
        </w:tc>
      </w:tr>
      <w:tr>
        <w:tblPrEx>
          <w:tblCellMar>
            <w:top w:w="0" w:type="dxa"/>
            <w:left w:w="0" w:type="dxa"/>
            <w:bottom w:w="0" w:type="dxa"/>
            <w:right w:w="0" w:type="dxa"/>
          </w:tblCellMar>
        </w:tblPrEx>
        <w:trPr>
          <w:trHeight w:val="600" w:hRule="atLeast"/>
        </w:trPr>
        <w:tc>
          <w:tcPr>
            <w:tcW w:w="3568" w:type="pct"/>
            <w:gridSpan w:val="8"/>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kern w:val="0"/>
                <w:sz w:val="21"/>
                <w:szCs w:val="21"/>
                <w:u w:val="none"/>
                <w:lang w:val="en-US" w:eastAsia="zh-CN" w:bidi="ar"/>
              </w:rPr>
            </w:pPr>
            <w:r>
              <w:rPr>
                <w:rFonts w:hint="eastAsia" w:ascii="仿宋" w:hAnsi="仿宋" w:eastAsia="仿宋" w:cs="仿宋"/>
                <w:i w:val="0"/>
                <w:color w:val="535353"/>
                <w:sz w:val="21"/>
                <w:szCs w:val="21"/>
                <w:u w:val="none"/>
                <w:lang w:val="en-US" w:eastAsia="zh-CN"/>
              </w:rPr>
              <w:t>合      计</w:t>
            </w:r>
          </w:p>
        </w:tc>
        <w:tc>
          <w:tcPr>
            <w:tcW w:w="46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kern w:val="2"/>
                <w:sz w:val="21"/>
                <w:szCs w:val="21"/>
                <w:u w:val="none"/>
                <w:lang w:val="en-US" w:eastAsia="zh-CN" w:bidi="ar-SA"/>
              </w:rPr>
            </w:pPr>
            <w:r>
              <w:rPr>
                <w:rFonts w:hint="eastAsia" w:ascii="仿宋" w:hAnsi="仿宋" w:eastAsia="仿宋" w:cs="仿宋"/>
                <w:i w:val="0"/>
                <w:color w:val="535353"/>
                <w:kern w:val="0"/>
                <w:sz w:val="21"/>
                <w:szCs w:val="21"/>
                <w:u w:val="none"/>
                <w:lang w:val="en-US" w:eastAsia="zh-CN" w:bidi="ar"/>
              </w:rPr>
              <w:t>137.66</w:t>
            </w:r>
          </w:p>
        </w:tc>
        <w:tc>
          <w:tcPr>
            <w:tcW w:w="52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535353"/>
                <w:kern w:val="2"/>
                <w:sz w:val="21"/>
                <w:szCs w:val="21"/>
                <w:u w:val="none"/>
                <w:lang w:val="en-US" w:eastAsia="zh-CN" w:bidi="ar-SA"/>
              </w:rPr>
            </w:pPr>
            <w:r>
              <w:rPr>
                <w:rFonts w:hint="eastAsia" w:ascii="仿宋" w:hAnsi="仿宋" w:eastAsia="仿宋" w:cs="仿宋"/>
                <w:i w:val="0"/>
                <w:color w:val="535353"/>
                <w:kern w:val="0"/>
                <w:sz w:val="21"/>
                <w:szCs w:val="21"/>
                <w:u w:val="none"/>
                <w:lang w:val="en-US" w:eastAsia="zh-CN" w:bidi="ar"/>
              </w:rPr>
              <w:t>--</w:t>
            </w:r>
          </w:p>
        </w:tc>
        <w:tc>
          <w:tcPr>
            <w:tcW w:w="43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kern w:val="2"/>
                <w:sz w:val="21"/>
                <w:szCs w:val="21"/>
                <w:u w:val="none"/>
                <w:lang w:val="en-US" w:eastAsia="zh-CN" w:bidi="ar-SA"/>
              </w:rPr>
            </w:pPr>
            <w:r>
              <w:rPr>
                <w:rFonts w:hint="eastAsia" w:ascii="仿宋" w:hAnsi="仿宋" w:eastAsia="仿宋" w:cs="仿宋"/>
                <w:i w:val="0"/>
                <w:color w:val="535353"/>
                <w:kern w:val="0"/>
                <w:sz w:val="21"/>
                <w:szCs w:val="21"/>
                <w:u w:val="none"/>
                <w:lang w:val="en-US" w:eastAsia="zh-CN" w:bidi="ar"/>
              </w:rPr>
              <w:t>88.72</w:t>
            </w:r>
          </w:p>
        </w:tc>
      </w:tr>
    </w:tbl>
    <w:p>
      <w:pPr>
        <w:adjustRightInd w:val="0"/>
        <w:snapToGrid w:val="0"/>
        <w:spacing w:line="360" w:lineRule="auto"/>
        <w:rPr>
          <w:rFonts w:hint="eastAsia" w:ascii="仿宋" w:hAnsi="仿宋" w:eastAsia="仿宋" w:cs="仿宋"/>
          <w:i/>
          <w:w w:val="96"/>
          <w:sz w:val="28"/>
          <w:shd w:val="pct10" w:color="auto" w:fill="FFFFFF"/>
        </w:rPr>
      </w:pPr>
    </w:p>
    <w:p>
      <w:pPr>
        <w:adjustRightInd w:val="0"/>
        <w:snapToGrid w:val="0"/>
        <w:spacing w:line="360" w:lineRule="auto"/>
        <w:ind w:firstLine="542" w:firstLineChars="200"/>
        <w:rPr>
          <w:rFonts w:hint="eastAsia" w:ascii="仿宋" w:hAnsi="仿宋" w:eastAsia="仿宋" w:cs="仿宋"/>
          <w:i/>
          <w:w w:val="96"/>
          <w:sz w:val="28"/>
        </w:rPr>
      </w:pPr>
      <w:r>
        <w:rPr>
          <w:rFonts w:hint="eastAsia" w:ascii="仿宋" w:hAnsi="仿宋" w:eastAsia="仿宋" w:cs="仿宋"/>
          <w:i/>
          <w:w w:val="96"/>
          <w:sz w:val="28"/>
          <w:shd w:val="pct10" w:color="auto" w:fill="FFFFFF"/>
        </w:rPr>
        <w:t>特别提示：本报告使用者在使用本报告之前应认真阅读本估价报告书全文，特别是“估价假设和限制条件及使用报告说明”，以免使用不当，造成损失。</w:t>
      </w:r>
    </w:p>
    <w:p>
      <w:pPr>
        <w:adjustRightInd w:val="0"/>
        <w:snapToGrid w:val="0"/>
        <w:spacing w:line="480" w:lineRule="exact"/>
        <w:ind w:firstLine="3124" w:firstLineChars="1104"/>
        <w:rPr>
          <w:rFonts w:hint="eastAsia" w:ascii="仿宋" w:hAnsi="仿宋" w:eastAsia="仿宋" w:cs="仿宋"/>
          <w:sz w:val="28"/>
        </w:rPr>
      </w:pPr>
    </w:p>
    <w:p>
      <w:pPr>
        <w:adjustRightInd w:val="0"/>
        <w:snapToGrid w:val="0"/>
        <w:spacing w:line="480" w:lineRule="exact"/>
        <w:ind w:firstLine="3124" w:firstLineChars="1104"/>
        <w:rPr>
          <w:rFonts w:hint="eastAsia" w:ascii="仿宋" w:hAnsi="仿宋" w:eastAsia="仿宋" w:cs="仿宋"/>
          <w:sz w:val="28"/>
        </w:rPr>
      </w:pPr>
      <w:r>
        <w:rPr>
          <w:rFonts w:hint="eastAsia" w:ascii="仿宋" w:hAnsi="仿宋" w:eastAsia="仿宋" w:cs="仿宋"/>
          <w:sz w:val="28"/>
        </w:rPr>
        <w:t>四川诺力达资产评估房地产土地估价有限公司</w:t>
      </w:r>
    </w:p>
    <w:p>
      <w:pPr>
        <w:adjustRightInd w:val="0"/>
        <w:snapToGrid w:val="0"/>
        <w:spacing w:line="480" w:lineRule="exact"/>
        <w:ind w:firstLine="3124" w:firstLineChars="1104"/>
        <w:rPr>
          <w:rFonts w:hint="eastAsia" w:ascii="仿宋" w:hAnsi="仿宋" w:eastAsia="仿宋" w:cs="仿宋"/>
          <w:sz w:val="28"/>
        </w:rPr>
      </w:pPr>
      <w:r>
        <w:rPr>
          <w:rFonts w:hint="eastAsia" w:ascii="仿宋" w:hAnsi="仿宋" w:eastAsia="仿宋" w:cs="仿宋"/>
          <w:sz w:val="28"/>
        </w:rPr>
        <w:tab/>
      </w:r>
      <w:r>
        <w:rPr>
          <w:rFonts w:hint="eastAsia" w:ascii="仿宋" w:hAnsi="仿宋" w:eastAsia="仿宋" w:cs="仿宋"/>
          <w:sz w:val="28"/>
        </w:rPr>
        <w:t xml:space="preserve">              法定代表人：</w:t>
      </w:r>
    </w:p>
    <w:p>
      <w:pPr>
        <w:adjustRightInd w:val="0"/>
        <w:snapToGrid w:val="0"/>
        <w:spacing w:line="480" w:lineRule="exact"/>
        <w:ind w:firstLine="5382" w:firstLineChars="1902"/>
        <w:rPr>
          <w:rFonts w:hint="eastAsia" w:ascii="仿宋" w:hAnsi="仿宋" w:eastAsia="仿宋" w:cs="仿宋"/>
          <w:sz w:val="28"/>
          <w:lang w:eastAsia="zh-CN"/>
        </w:rPr>
        <w:sectPr>
          <w:headerReference r:id="rId7" w:type="default"/>
          <w:footerReference r:id="rId8" w:type="default"/>
          <w:pgSz w:w="11906" w:h="16838"/>
          <w:pgMar w:top="1247" w:right="1020" w:bottom="1247" w:left="1497" w:header="907" w:footer="907" w:gutter="0"/>
          <w:pgNumType w:start="1"/>
          <w:cols w:space="720" w:num="1"/>
          <w:docGrid w:type="linesAndChars" w:linePitch="312" w:charSpace="693"/>
        </w:sectPr>
      </w:pPr>
      <w:r>
        <w:rPr>
          <w:rFonts w:hint="eastAsia" w:ascii="仿宋" w:hAnsi="仿宋" w:eastAsia="仿宋" w:cs="仿宋"/>
          <w:sz w:val="28"/>
        </w:rPr>
        <w:tab/>
      </w:r>
      <w:r>
        <w:rPr>
          <w:rFonts w:hint="eastAsia" w:ascii="仿宋" w:hAnsi="仿宋" w:eastAsia="仿宋" w:cs="仿宋"/>
          <w:sz w:val="28"/>
          <w:lang w:eastAsia="zh-CN"/>
        </w:rPr>
        <w:t xml:space="preserve">2020年01月07日 </w:t>
      </w:r>
    </w:p>
    <w:p>
      <w:pPr>
        <w:adjustRightInd w:val="0"/>
        <w:snapToGrid w:val="0"/>
        <w:jc w:val="center"/>
        <w:rPr>
          <w:rFonts w:hint="eastAsia" w:ascii="仿宋" w:hAnsi="仿宋" w:eastAsia="仿宋" w:cs="仿宋"/>
          <w:b/>
          <w:sz w:val="36"/>
          <w:szCs w:val="36"/>
        </w:rPr>
      </w:pPr>
      <w:r>
        <w:rPr>
          <w:rFonts w:hint="eastAsia" w:ascii="仿宋" w:hAnsi="仿宋" w:eastAsia="仿宋" w:cs="仿宋"/>
          <w:b/>
          <w:sz w:val="36"/>
          <w:szCs w:val="36"/>
        </w:rPr>
        <w:t>目        录</w:t>
      </w:r>
    </w:p>
    <w:p>
      <w:pPr>
        <w:pStyle w:val="7"/>
        <w:tabs>
          <w:tab w:val="right" w:leader="dot" w:pos="9389"/>
        </w:tabs>
      </w:pPr>
      <w:bookmarkStart w:id="0" w:name="_Toc408527822"/>
      <w:r>
        <w:rPr>
          <w:rFonts w:hint="eastAsia" w:ascii="仿宋" w:hAnsi="仿宋" w:eastAsia="仿宋" w:cs="仿宋"/>
          <w:sz w:val="24"/>
        </w:rPr>
        <w:fldChar w:fldCharType="begin"/>
      </w:r>
      <w:r>
        <w:rPr>
          <w:rFonts w:hint="eastAsia" w:ascii="仿宋" w:hAnsi="仿宋" w:eastAsia="仿宋" w:cs="仿宋"/>
          <w:sz w:val="24"/>
        </w:rPr>
        <w:instrText xml:space="preserve">TOC \o "1-3" \h \u </w:instrText>
      </w:r>
      <w:r>
        <w:rPr>
          <w:rFonts w:hint="eastAsia" w:ascii="仿宋" w:hAnsi="仿宋" w:eastAsia="仿宋" w:cs="仿宋"/>
          <w:sz w:val="24"/>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_Toc19564 </w:instrText>
      </w:r>
      <w:r>
        <w:rPr>
          <w:rFonts w:hint="eastAsia" w:ascii="仿宋" w:hAnsi="仿宋" w:eastAsia="仿宋" w:cs="仿宋"/>
        </w:rPr>
        <w:fldChar w:fldCharType="separate"/>
      </w:r>
      <w:r>
        <w:rPr>
          <w:rFonts w:hint="eastAsia" w:ascii="仿宋" w:hAnsi="仿宋" w:eastAsia="仿宋" w:cs="仿宋"/>
          <w:bCs w:val="0"/>
          <w:snapToGrid w:val="0"/>
          <w:szCs w:val="36"/>
        </w:rPr>
        <w:t>估价师声明</w:t>
      </w:r>
      <w:r>
        <w:tab/>
      </w:r>
      <w:r>
        <w:fldChar w:fldCharType="begin"/>
      </w:r>
      <w:r>
        <w:instrText xml:space="preserve"> PAGEREF _Toc19564 </w:instrText>
      </w:r>
      <w:r>
        <w:fldChar w:fldCharType="separate"/>
      </w:r>
      <w:r>
        <w:t>1</w:t>
      </w:r>
      <w:r>
        <w:fldChar w:fldCharType="end"/>
      </w:r>
      <w:r>
        <w:rPr>
          <w:rFonts w:hint="eastAsia" w:ascii="仿宋" w:hAnsi="仿宋" w:eastAsia="仿宋" w:cs="仿宋"/>
        </w:rPr>
        <w:fldChar w:fldCharType="end"/>
      </w:r>
    </w:p>
    <w:p>
      <w:pPr>
        <w:pStyle w:val="7"/>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_Toc11973 </w:instrText>
      </w:r>
      <w:r>
        <w:rPr>
          <w:rFonts w:hint="eastAsia" w:ascii="仿宋" w:hAnsi="仿宋" w:eastAsia="仿宋"/>
        </w:rPr>
        <w:fldChar w:fldCharType="separate"/>
      </w:r>
      <w:r>
        <w:rPr>
          <w:rFonts w:hint="eastAsia" w:ascii="仿宋" w:hAnsi="仿宋" w:eastAsia="仿宋" w:cs="仿宋"/>
          <w:bCs w:val="0"/>
          <w:snapToGrid w:val="0"/>
          <w:szCs w:val="36"/>
        </w:rPr>
        <w:t>估价假设和限制条件及使用报告说明</w:t>
      </w:r>
      <w:r>
        <w:tab/>
      </w:r>
      <w:r>
        <w:fldChar w:fldCharType="begin"/>
      </w:r>
      <w:r>
        <w:instrText xml:space="preserve"> PAGEREF _Toc11973 </w:instrText>
      </w:r>
      <w:r>
        <w:fldChar w:fldCharType="separate"/>
      </w:r>
      <w:r>
        <w:t>2</w:t>
      </w:r>
      <w:r>
        <w:fldChar w:fldCharType="end"/>
      </w:r>
      <w:r>
        <w:rPr>
          <w:rFonts w:hint="eastAsia" w:ascii="仿宋" w:hAnsi="仿宋" w:eastAsia="仿宋"/>
        </w:rPr>
        <w:fldChar w:fldCharType="end"/>
      </w:r>
    </w:p>
    <w:p>
      <w:pPr>
        <w:pStyle w:val="7"/>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_Toc19609 </w:instrText>
      </w:r>
      <w:r>
        <w:rPr>
          <w:rFonts w:hint="eastAsia" w:ascii="仿宋" w:hAnsi="仿宋" w:eastAsia="仿宋"/>
        </w:rPr>
        <w:fldChar w:fldCharType="separate"/>
      </w:r>
      <w:r>
        <w:rPr>
          <w:rFonts w:hint="eastAsia" w:ascii="仿宋" w:hAnsi="仿宋" w:eastAsia="仿宋" w:cs="仿宋"/>
          <w:bCs w:val="0"/>
          <w:snapToGrid w:val="0"/>
          <w:szCs w:val="36"/>
        </w:rPr>
        <w:t>估价结果报告</w:t>
      </w:r>
      <w:r>
        <w:tab/>
      </w:r>
      <w:r>
        <w:fldChar w:fldCharType="begin"/>
      </w:r>
      <w:r>
        <w:instrText xml:space="preserve"> PAGEREF _Toc19609 </w:instrText>
      </w:r>
      <w:r>
        <w:fldChar w:fldCharType="separate"/>
      </w:r>
      <w:r>
        <w:t>5</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_Toc14003 </w:instrText>
      </w:r>
      <w:r>
        <w:rPr>
          <w:rFonts w:hint="eastAsia" w:ascii="仿宋" w:hAnsi="仿宋" w:eastAsia="仿宋"/>
        </w:rPr>
        <w:fldChar w:fldCharType="separate"/>
      </w:r>
      <w:r>
        <w:rPr>
          <w:rFonts w:hint="eastAsia" w:ascii="仿宋" w:hAnsi="仿宋" w:eastAsia="仿宋" w:cs="仿宋"/>
          <w:snapToGrid w:val="0"/>
          <w:szCs w:val="28"/>
        </w:rPr>
        <w:t>一、估价委托人</w:t>
      </w:r>
      <w:r>
        <w:tab/>
      </w:r>
      <w:r>
        <w:fldChar w:fldCharType="begin"/>
      </w:r>
      <w:r>
        <w:instrText xml:space="preserve"> PAGEREF _Toc14003 </w:instrText>
      </w:r>
      <w:r>
        <w:fldChar w:fldCharType="separate"/>
      </w:r>
      <w:r>
        <w:t>5</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_Toc14106 </w:instrText>
      </w:r>
      <w:r>
        <w:rPr>
          <w:rFonts w:hint="eastAsia" w:ascii="仿宋" w:hAnsi="仿宋" w:eastAsia="仿宋"/>
        </w:rPr>
        <w:fldChar w:fldCharType="separate"/>
      </w:r>
      <w:r>
        <w:rPr>
          <w:rFonts w:hint="eastAsia" w:ascii="仿宋" w:hAnsi="仿宋" w:eastAsia="仿宋" w:cs="仿宋"/>
          <w:snapToGrid w:val="0"/>
          <w:szCs w:val="28"/>
        </w:rPr>
        <w:t>二、房地产估价机构</w:t>
      </w:r>
      <w:r>
        <w:tab/>
      </w:r>
      <w:r>
        <w:fldChar w:fldCharType="begin"/>
      </w:r>
      <w:r>
        <w:instrText xml:space="preserve"> PAGEREF _Toc14106 </w:instrText>
      </w:r>
      <w:r>
        <w:fldChar w:fldCharType="separate"/>
      </w:r>
      <w:r>
        <w:t>5</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_Toc7540 </w:instrText>
      </w:r>
      <w:r>
        <w:rPr>
          <w:rFonts w:hint="eastAsia" w:ascii="仿宋" w:hAnsi="仿宋" w:eastAsia="仿宋"/>
        </w:rPr>
        <w:fldChar w:fldCharType="separate"/>
      </w:r>
      <w:r>
        <w:rPr>
          <w:rFonts w:hint="eastAsia" w:ascii="仿宋" w:hAnsi="仿宋" w:eastAsia="仿宋" w:cs="仿宋"/>
          <w:snapToGrid w:val="0"/>
          <w:szCs w:val="28"/>
        </w:rPr>
        <w:t>三、估价对象</w:t>
      </w:r>
      <w:r>
        <w:tab/>
      </w:r>
      <w:r>
        <w:fldChar w:fldCharType="begin"/>
      </w:r>
      <w:r>
        <w:instrText xml:space="preserve"> PAGEREF _Toc7540 </w:instrText>
      </w:r>
      <w:r>
        <w:fldChar w:fldCharType="separate"/>
      </w:r>
      <w:r>
        <w:t>5</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_Toc2211 </w:instrText>
      </w:r>
      <w:r>
        <w:rPr>
          <w:rFonts w:hint="eastAsia" w:ascii="仿宋" w:hAnsi="仿宋" w:eastAsia="仿宋"/>
        </w:rPr>
        <w:fldChar w:fldCharType="separate"/>
      </w:r>
      <w:r>
        <w:rPr>
          <w:rFonts w:hint="eastAsia" w:ascii="仿宋" w:hAnsi="仿宋" w:eastAsia="仿宋" w:cs="仿宋"/>
          <w:snapToGrid w:val="0"/>
          <w:szCs w:val="28"/>
        </w:rPr>
        <w:t>四、估价目的</w:t>
      </w:r>
      <w:r>
        <w:tab/>
      </w:r>
      <w:r>
        <w:fldChar w:fldCharType="begin"/>
      </w:r>
      <w:r>
        <w:instrText xml:space="preserve"> PAGEREF _Toc2211 </w:instrText>
      </w:r>
      <w:r>
        <w:fldChar w:fldCharType="separate"/>
      </w:r>
      <w:r>
        <w:t>9</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_Toc11659 </w:instrText>
      </w:r>
      <w:r>
        <w:rPr>
          <w:rFonts w:hint="eastAsia" w:ascii="仿宋" w:hAnsi="仿宋" w:eastAsia="仿宋"/>
        </w:rPr>
        <w:fldChar w:fldCharType="separate"/>
      </w:r>
      <w:r>
        <w:rPr>
          <w:rFonts w:hint="eastAsia" w:ascii="仿宋" w:hAnsi="仿宋" w:eastAsia="仿宋" w:cs="仿宋"/>
          <w:snapToGrid w:val="0"/>
          <w:szCs w:val="28"/>
        </w:rPr>
        <w:t>五、价值时点</w:t>
      </w:r>
      <w:r>
        <w:tab/>
      </w:r>
      <w:r>
        <w:fldChar w:fldCharType="begin"/>
      </w:r>
      <w:r>
        <w:instrText xml:space="preserve"> PAGEREF _Toc11659 </w:instrText>
      </w:r>
      <w:r>
        <w:fldChar w:fldCharType="separate"/>
      </w:r>
      <w:r>
        <w:t>9</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_Toc2023 </w:instrText>
      </w:r>
      <w:r>
        <w:rPr>
          <w:rFonts w:hint="eastAsia" w:ascii="仿宋" w:hAnsi="仿宋" w:eastAsia="仿宋"/>
        </w:rPr>
        <w:fldChar w:fldCharType="separate"/>
      </w:r>
      <w:r>
        <w:rPr>
          <w:rFonts w:hint="eastAsia" w:ascii="仿宋" w:hAnsi="仿宋" w:eastAsia="仿宋" w:cs="仿宋"/>
          <w:snapToGrid w:val="0"/>
          <w:szCs w:val="28"/>
        </w:rPr>
        <w:t>六、价值类型</w:t>
      </w:r>
      <w:r>
        <w:tab/>
      </w:r>
      <w:r>
        <w:fldChar w:fldCharType="begin"/>
      </w:r>
      <w:r>
        <w:instrText xml:space="preserve"> PAGEREF _Toc2023 </w:instrText>
      </w:r>
      <w:r>
        <w:fldChar w:fldCharType="separate"/>
      </w:r>
      <w:r>
        <w:t>10</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_Toc26697 </w:instrText>
      </w:r>
      <w:r>
        <w:rPr>
          <w:rFonts w:hint="eastAsia" w:ascii="仿宋" w:hAnsi="仿宋" w:eastAsia="仿宋"/>
        </w:rPr>
        <w:fldChar w:fldCharType="separate"/>
      </w:r>
      <w:r>
        <w:rPr>
          <w:rFonts w:hint="eastAsia" w:ascii="仿宋" w:hAnsi="仿宋" w:eastAsia="仿宋" w:cs="仿宋"/>
          <w:snapToGrid w:val="0"/>
          <w:szCs w:val="28"/>
        </w:rPr>
        <w:t>七、估价依据</w:t>
      </w:r>
      <w:r>
        <w:tab/>
      </w:r>
      <w:r>
        <w:fldChar w:fldCharType="begin"/>
      </w:r>
      <w:r>
        <w:instrText xml:space="preserve"> PAGEREF _Toc26697 </w:instrText>
      </w:r>
      <w:r>
        <w:fldChar w:fldCharType="separate"/>
      </w:r>
      <w:r>
        <w:t>10</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_Toc22703 </w:instrText>
      </w:r>
      <w:r>
        <w:rPr>
          <w:rFonts w:hint="eastAsia" w:ascii="仿宋" w:hAnsi="仿宋" w:eastAsia="仿宋"/>
        </w:rPr>
        <w:fldChar w:fldCharType="separate"/>
      </w:r>
      <w:r>
        <w:rPr>
          <w:rFonts w:hint="eastAsia" w:ascii="仿宋" w:hAnsi="仿宋" w:eastAsia="仿宋" w:cs="仿宋"/>
          <w:snapToGrid w:val="0"/>
          <w:szCs w:val="28"/>
        </w:rPr>
        <w:t>八、估价原则</w:t>
      </w:r>
      <w:r>
        <w:tab/>
      </w:r>
      <w:r>
        <w:fldChar w:fldCharType="begin"/>
      </w:r>
      <w:r>
        <w:instrText xml:space="preserve"> PAGEREF _Toc22703 </w:instrText>
      </w:r>
      <w:r>
        <w:fldChar w:fldCharType="separate"/>
      </w:r>
      <w:r>
        <w:t>11</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_Toc29454 </w:instrText>
      </w:r>
      <w:r>
        <w:rPr>
          <w:rFonts w:hint="eastAsia" w:ascii="仿宋" w:hAnsi="仿宋" w:eastAsia="仿宋"/>
        </w:rPr>
        <w:fldChar w:fldCharType="separate"/>
      </w:r>
      <w:r>
        <w:rPr>
          <w:rFonts w:hint="eastAsia" w:ascii="仿宋" w:hAnsi="仿宋" w:eastAsia="仿宋" w:cs="仿宋"/>
          <w:snapToGrid w:val="0"/>
          <w:szCs w:val="28"/>
        </w:rPr>
        <w:t>九、估价方法</w:t>
      </w:r>
      <w:r>
        <w:tab/>
      </w:r>
      <w:r>
        <w:fldChar w:fldCharType="begin"/>
      </w:r>
      <w:r>
        <w:instrText xml:space="preserve"> PAGEREF _Toc29454 </w:instrText>
      </w:r>
      <w:r>
        <w:fldChar w:fldCharType="separate"/>
      </w:r>
      <w:r>
        <w:t>13</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_Toc16558 </w:instrText>
      </w:r>
      <w:r>
        <w:rPr>
          <w:rFonts w:hint="eastAsia" w:ascii="仿宋" w:hAnsi="仿宋" w:eastAsia="仿宋"/>
        </w:rPr>
        <w:fldChar w:fldCharType="separate"/>
      </w:r>
      <w:r>
        <w:rPr>
          <w:rFonts w:hint="eastAsia" w:ascii="仿宋" w:hAnsi="仿宋" w:eastAsia="仿宋" w:cs="仿宋"/>
          <w:snapToGrid w:val="0"/>
          <w:szCs w:val="28"/>
        </w:rPr>
        <w:t>十、估价结果</w:t>
      </w:r>
      <w:r>
        <w:tab/>
      </w:r>
      <w:r>
        <w:fldChar w:fldCharType="begin"/>
      </w:r>
      <w:r>
        <w:instrText xml:space="preserve"> PAGEREF _Toc16558 </w:instrText>
      </w:r>
      <w:r>
        <w:fldChar w:fldCharType="separate"/>
      </w:r>
      <w:r>
        <w:t>14</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_Toc9031 </w:instrText>
      </w:r>
      <w:r>
        <w:rPr>
          <w:rFonts w:hint="eastAsia" w:ascii="仿宋" w:hAnsi="仿宋" w:eastAsia="仿宋"/>
        </w:rPr>
        <w:fldChar w:fldCharType="separate"/>
      </w:r>
      <w:r>
        <w:rPr>
          <w:rFonts w:hint="eastAsia" w:ascii="仿宋" w:hAnsi="仿宋" w:eastAsia="仿宋" w:cs="仿宋"/>
          <w:snapToGrid w:val="0"/>
          <w:szCs w:val="28"/>
        </w:rPr>
        <w:t>十一、注册房地产估价师</w:t>
      </w:r>
      <w:r>
        <w:tab/>
      </w:r>
      <w:r>
        <w:fldChar w:fldCharType="begin"/>
      </w:r>
      <w:r>
        <w:instrText xml:space="preserve"> PAGEREF _Toc9031 </w:instrText>
      </w:r>
      <w:r>
        <w:fldChar w:fldCharType="separate"/>
      </w:r>
      <w:r>
        <w:t>15</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_Toc29694 </w:instrText>
      </w:r>
      <w:r>
        <w:rPr>
          <w:rFonts w:hint="eastAsia" w:ascii="仿宋" w:hAnsi="仿宋" w:eastAsia="仿宋"/>
        </w:rPr>
        <w:fldChar w:fldCharType="separate"/>
      </w:r>
      <w:r>
        <w:rPr>
          <w:rFonts w:hint="eastAsia" w:ascii="仿宋" w:hAnsi="仿宋" w:eastAsia="仿宋" w:cs="仿宋"/>
          <w:snapToGrid w:val="0"/>
          <w:szCs w:val="28"/>
        </w:rPr>
        <w:t>十二、实地查勘期</w:t>
      </w:r>
      <w:r>
        <w:tab/>
      </w:r>
      <w:r>
        <w:fldChar w:fldCharType="begin"/>
      </w:r>
      <w:r>
        <w:instrText xml:space="preserve"> PAGEREF _Toc29694 </w:instrText>
      </w:r>
      <w:r>
        <w:fldChar w:fldCharType="separate"/>
      </w:r>
      <w:r>
        <w:t>15</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_Toc18309 </w:instrText>
      </w:r>
      <w:r>
        <w:rPr>
          <w:rFonts w:hint="eastAsia" w:ascii="仿宋" w:hAnsi="仿宋" w:eastAsia="仿宋"/>
        </w:rPr>
        <w:fldChar w:fldCharType="separate"/>
      </w:r>
      <w:r>
        <w:rPr>
          <w:rFonts w:hint="eastAsia" w:ascii="仿宋" w:hAnsi="仿宋" w:eastAsia="仿宋" w:cs="仿宋"/>
          <w:snapToGrid w:val="0"/>
          <w:szCs w:val="28"/>
        </w:rPr>
        <w:t>十三、估价作业期</w:t>
      </w:r>
      <w:r>
        <w:tab/>
      </w:r>
      <w:r>
        <w:fldChar w:fldCharType="begin"/>
      </w:r>
      <w:r>
        <w:instrText xml:space="preserve"> PAGEREF _Toc18309 </w:instrText>
      </w:r>
      <w:r>
        <w:fldChar w:fldCharType="separate"/>
      </w:r>
      <w:r>
        <w:t>15</w:t>
      </w:r>
      <w:r>
        <w:fldChar w:fldCharType="end"/>
      </w:r>
      <w:r>
        <w:rPr>
          <w:rFonts w:hint="eastAsia" w:ascii="仿宋" w:hAnsi="仿宋" w:eastAsia="仿宋"/>
        </w:rPr>
        <w:fldChar w:fldCharType="end"/>
      </w:r>
    </w:p>
    <w:p>
      <w:pPr>
        <w:pStyle w:val="7"/>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_Toc11874 </w:instrText>
      </w:r>
      <w:r>
        <w:rPr>
          <w:rFonts w:hint="eastAsia" w:ascii="仿宋" w:hAnsi="仿宋" w:eastAsia="仿宋"/>
        </w:rPr>
        <w:fldChar w:fldCharType="separate"/>
      </w:r>
      <w:r>
        <w:rPr>
          <w:rFonts w:hint="eastAsia" w:ascii="仿宋" w:hAnsi="仿宋" w:eastAsia="仿宋" w:cs="仿宋"/>
          <w:bCs w:val="0"/>
          <w:snapToGrid w:val="0"/>
          <w:szCs w:val="36"/>
        </w:rPr>
        <w:t>附    件</w:t>
      </w:r>
      <w:r>
        <w:tab/>
      </w:r>
      <w:r>
        <w:fldChar w:fldCharType="begin"/>
      </w:r>
      <w:r>
        <w:instrText xml:space="preserve"> PAGEREF _Toc11874 </w:instrText>
      </w:r>
      <w:r>
        <w:fldChar w:fldCharType="separate"/>
      </w:r>
      <w:r>
        <w:t>16</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_Toc32290 </w:instrText>
      </w:r>
      <w:r>
        <w:rPr>
          <w:rFonts w:hint="eastAsia" w:ascii="仿宋" w:hAnsi="仿宋" w:eastAsia="仿宋"/>
        </w:rPr>
        <w:fldChar w:fldCharType="separate"/>
      </w:r>
      <w:r>
        <w:rPr>
          <w:rFonts w:hint="eastAsia" w:ascii="仿宋" w:hAnsi="仿宋" w:eastAsia="仿宋"/>
          <w:szCs w:val="28"/>
          <w:lang w:eastAsia="zh-CN"/>
        </w:rPr>
        <w:t>一</w:t>
      </w:r>
      <w:r>
        <w:rPr>
          <w:rFonts w:hint="eastAsia" w:ascii="仿宋" w:hAnsi="仿宋" w:eastAsia="仿宋"/>
          <w:szCs w:val="28"/>
        </w:rPr>
        <w:t>、</w:t>
      </w:r>
      <w:r>
        <w:rPr>
          <w:rFonts w:hint="eastAsia" w:ascii="仿宋" w:hAnsi="仿宋" w:eastAsia="仿宋" w:cs="仿宋"/>
          <w:snapToGrid w:val="0"/>
          <w:szCs w:val="28"/>
        </w:rPr>
        <w:t>房地产估价委托书复印件</w:t>
      </w:r>
      <w:r>
        <w:tab/>
      </w:r>
      <w:r>
        <w:fldChar w:fldCharType="begin"/>
      </w:r>
      <w:r>
        <w:instrText xml:space="preserve"> PAGEREF _Toc32290 </w:instrText>
      </w:r>
      <w:r>
        <w:fldChar w:fldCharType="separate"/>
      </w:r>
      <w:r>
        <w:t>16</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_Toc18375 </w:instrText>
      </w:r>
      <w:r>
        <w:rPr>
          <w:rFonts w:hint="eastAsia" w:ascii="仿宋" w:hAnsi="仿宋" w:eastAsia="仿宋"/>
        </w:rPr>
        <w:fldChar w:fldCharType="separate"/>
      </w:r>
      <w:r>
        <w:rPr>
          <w:rFonts w:hint="eastAsia" w:ascii="仿宋" w:hAnsi="仿宋" w:eastAsia="仿宋"/>
          <w:szCs w:val="28"/>
        </w:rPr>
        <w:t>二、估价对象位置图</w:t>
      </w:r>
      <w:r>
        <w:tab/>
      </w:r>
      <w:r>
        <w:fldChar w:fldCharType="begin"/>
      </w:r>
      <w:r>
        <w:instrText xml:space="preserve"> PAGEREF _Toc18375 </w:instrText>
      </w:r>
      <w:r>
        <w:fldChar w:fldCharType="separate"/>
      </w:r>
      <w:r>
        <w:t>17</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_Toc11865 </w:instrText>
      </w:r>
      <w:r>
        <w:rPr>
          <w:rFonts w:hint="eastAsia" w:ascii="仿宋" w:hAnsi="仿宋" w:eastAsia="仿宋"/>
        </w:rPr>
        <w:fldChar w:fldCharType="separate"/>
      </w:r>
      <w:r>
        <w:rPr>
          <w:rFonts w:hint="eastAsia" w:ascii="仿宋" w:hAnsi="仿宋" w:eastAsia="仿宋"/>
          <w:szCs w:val="28"/>
        </w:rPr>
        <w:t>三、</w:t>
      </w:r>
      <w:r>
        <w:rPr>
          <w:rFonts w:hint="eastAsia" w:ascii="仿宋" w:hAnsi="仿宋" w:eastAsia="仿宋"/>
          <w:bCs/>
          <w:szCs w:val="28"/>
        </w:rPr>
        <w:t>估价对象实地查勘情况和相关照片</w:t>
      </w:r>
      <w:r>
        <w:tab/>
      </w:r>
      <w:r>
        <w:fldChar w:fldCharType="begin"/>
      </w:r>
      <w:r>
        <w:instrText xml:space="preserve"> PAGEREF _Toc11865 </w:instrText>
      </w:r>
      <w:r>
        <w:fldChar w:fldCharType="separate"/>
      </w:r>
      <w:r>
        <w:t>17</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_Toc9623 </w:instrText>
      </w:r>
      <w:r>
        <w:rPr>
          <w:rFonts w:hint="eastAsia" w:ascii="仿宋" w:hAnsi="仿宋" w:eastAsia="仿宋"/>
        </w:rPr>
        <w:fldChar w:fldCharType="separate"/>
      </w:r>
      <w:r>
        <w:rPr>
          <w:rFonts w:hint="eastAsia" w:ascii="仿宋" w:hAnsi="仿宋" w:eastAsia="仿宋"/>
          <w:szCs w:val="28"/>
          <w:lang w:eastAsia="zh-CN"/>
        </w:rPr>
        <w:t>四</w:t>
      </w:r>
      <w:r>
        <w:rPr>
          <w:rFonts w:hint="eastAsia" w:ascii="仿宋" w:hAnsi="仿宋" w:eastAsia="仿宋"/>
          <w:szCs w:val="28"/>
        </w:rPr>
        <w:t>、估价对象权属证明复印件</w:t>
      </w:r>
      <w:r>
        <w:tab/>
      </w:r>
      <w:r>
        <w:fldChar w:fldCharType="begin"/>
      </w:r>
      <w:r>
        <w:instrText xml:space="preserve"> PAGEREF _Toc9623 </w:instrText>
      </w:r>
      <w:r>
        <w:fldChar w:fldCharType="separate"/>
      </w:r>
      <w:r>
        <w:t>19</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_Toc7856 </w:instrText>
      </w:r>
      <w:r>
        <w:rPr>
          <w:rFonts w:hint="eastAsia" w:ascii="仿宋" w:hAnsi="仿宋" w:eastAsia="仿宋"/>
        </w:rPr>
        <w:fldChar w:fldCharType="separate"/>
      </w:r>
      <w:r>
        <w:rPr>
          <w:rFonts w:hint="eastAsia" w:ascii="仿宋" w:hAnsi="仿宋" w:eastAsia="仿宋" w:cs="仿宋"/>
          <w:szCs w:val="28"/>
        </w:rPr>
        <w:t>五、专业帮助情况和相关专业意见</w:t>
      </w:r>
      <w:r>
        <w:tab/>
      </w:r>
      <w:r>
        <w:fldChar w:fldCharType="begin"/>
      </w:r>
      <w:r>
        <w:instrText xml:space="preserve"> PAGEREF _Toc7856 </w:instrText>
      </w:r>
      <w:r>
        <w:fldChar w:fldCharType="separate"/>
      </w:r>
      <w:r>
        <w:t>21</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_Toc14299 </w:instrText>
      </w:r>
      <w:r>
        <w:rPr>
          <w:rFonts w:hint="eastAsia" w:ascii="仿宋" w:hAnsi="仿宋" w:eastAsia="仿宋"/>
        </w:rPr>
        <w:fldChar w:fldCharType="separate"/>
      </w:r>
      <w:r>
        <w:rPr>
          <w:rFonts w:hint="eastAsia" w:ascii="仿宋" w:hAnsi="仿宋" w:eastAsia="仿宋" w:cs="仿宋"/>
          <w:szCs w:val="28"/>
        </w:rPr>
        <w:t>六、估价所依据的其他文件资料</w:t>
      </w:r>
      <w:r>
        <w:tab/>
      </w:r>
      <w:r>
        <w:fldChar w:fldCharType="begin"/>
      </w:r>
      <w:r>
        <w:instrText xml:space="preserve"> PAGEREF _Toc14299 </w:instrText>
      </w:r>
      <w:r>
        <w:fldChar w:fldCharType="separate"/>
      </w:r>
      <w:r>
        <w:t>22</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_Toc15400 </w:instrText>
      </w:r>
      <w:r>
        <w:rPr>
          <w:rFonts w:hint="eastAsia" w:ascii="仿宋" w:hAnsi="仿宋" w:eastAsia="仿宋"/>
        </w:rPr>
        <w:fldChar w:fldCharType="separate"/>
      </w:r>
      <w:r>
        <w:rPr>
          <w:rFonts w:hint="eastAsia" w:ascii="仿宋" w:hAnsi="仿宋" w:eastAsia="仿宋" w:cs="仿宋"/>
          <w:szCs w:val="28"/>
        </w:rPr>
        <w:t>七、房地产估价机构营业执照和估价资质证书复印件</w:t>
      </w:r>
      <w:r>
        <w:tab/>
      </w:r>
      <w:r>
        <w:fldChar w:fldCharType="begin"/>
      </w:r>
      <w:r>
        <w:instrText xml:space="preserve"> PAGEREF _Toc15400 </w:instrText>
      </w:r>
      <w:r>
        <w:fldChar w:fldCharType="separate"/>
      </w:r>
      <w:r>
        <w:t>23</w:t>
      </w:r>
      <w:r>
        <w:fldChar w:fldCharType="end"/>
      </w:r>
      <w:r>
        <w:rPr>
          <w:rFonts w:hint="eastAsia" w:ascii="仿宋" w:hAnsi="仿宋" w:eastAsia="仿宋"/>
        </w:rPr>
        <w:fldChar w:fldCharType="end"/>
      </w:r>
    </w:p>
    <w:p>
      <w:pPr>
        <w:pStyle w:val="8"/>
        <w:tabs>
          <w:tab w:val="right" w:leader="dot" w:pos="9389"/>
        </w:tabs>
      </w:pPr>
      <w:r>
        <w:rPr>
          <w:rFonts w:hint="eastAsia" w:ascii="仿宋" w:hAnsi="仿宋" w:eastAsia="仿宋"/>
        </w:rPr>
        <w:fldChar w:fldCharType="begin"/>
      </w:r>
      <w:r>
        <w:rPr>
          <w:rFonts w:hint="eastAsia" w:ascii="仿宋" w:hAnsi="仿宋" w:eastAsia="仿宋"/>
        </w:rPr>
        <w:instrText xml:space="preserve"> HYPERLINK \l _Toc26692 </w:instrText>
      </w:r>
      <w:r>
        <w:rPr>
          <w:rFonts w:hint="eastAsia" w:ascii="仿宋" w:hAnsi="仿宋" w:eastAsia="仿宋"/>
        </w:rPr>
        <w:fldChar w:fldCharType="separate"/>
      </w:r>
      <w:r>
        <w:rPr>
          <w:rFonts w:hint="eastAsia" w:ascii="仿宋" w:hAnsi="仿宋" w:eastAsia="仿宋" w:cs="仿宋"/>
          <w:szCs w:val="28"/>
        </w:rPr>
        <w:t>八、注册房地产估价师资格证书复印件</w:t>
      </w:r>
      <w:r>
        <w:tab/>
      </w:r>
      <w:r>
        <w:fldChar w:fldCharType="begin"/>
      </w:r>
      <w:r>
        <w:instrText xml:space="preserve"> PAGEREF _Toc26692 </w:instrText>
      </w:r>
      <w:r>
        <w:fldChar w:fldCharType="separate"/>
      </w:r>
      <w:r>
        <w:t>25</w:t>
      </w:r>
      <w:r>
        <w:fldChar w:fldCharType="end"/>
      </w:r>
      <w:r>
        <w:rPr>
          <w:rFonts w:hint="eastAsia" w:ascii="仿宋" w:hAnsi="仿宋" w:eastAsia="仿宋"/>
        </w:rPr>
        <w:fldChar w:fldCharType="end"/>
      </w:r>
    </w:p>
    <w:p>
      <w:pPr>
        <w:pStyle w:val="8"/>
        <w:tabs>
          <w:tab w:val="right" w:leader="dot" w:pos="9379"/>
        </w:tabs>
        <w:adjustRightInd w:val="0"/>
        <w:snapToGrid w:val="0"/>
        <w:spacing w:line="360" w:lineRule="auto"/>
        <w:ind w:left="427"/>
        <w:rPr>
          <w:rFonts w:hint="eastAsia" w:ascii="仿宋" w:hAnsi="仿宋" w:eastAsia="仿宋"/>
          <w:sz w:val="24"/>
        </w:rPr>
        <w:sectPr>
          <w:headerReference r:id="rId9" w:type="first"/>
          <w:footerReference r:id="rId11" w:type="first"/>
          <w:footerReference r:id="rId10" w:type="default"/>
          <w:pgSz w:w="11906" w:h="16838"/>
          <w:pgMar w:top="1247" w:right="1020" w:bottom="1247" w:left="1497" w:header="907" w:footer="907" w:gutter="0"/>
          <w:pgNumType w:start="1"/>
          <w:cols w:space="720" w:num="1"/>
          <w:titlePg/>
          <w:docGrid w:type="linesAndChars" w:linePitch="312" w:charSpace="693"/>
        </w:sectPr>
      </w:pPr>
      <w:r>
        <w:rPr>
          <w:rFonts w:hint="eastAsia" w:ascii="仿宋" w:hAnsi="仿宋" w:eastAsia="仿宋"/>
        </w:rPr>
        <w:fldChar w:fldCharType="end"/>
      </w:r>
    </w:p>
    <w:bookmarkEnd w:id="0"/>
    <w:p>
      <w:pPr>
        <w:pStyle w:val="2"/>
        <w:adjustRightInd w:val="0"/>
        <w:snapToGrid w:val="0"/>
        <w:spacing w:line="420" w:lineRule="exact"/>
        <w:jc w:val="center"/>
        <w:rPr>
          <w:rFonts w:hint="eastAsia" w:ascii="仿宋" w:hAnsi="仿宋" w:eastAsia="仿宋" w:cs="仿宋"/>
          <w:bCs w:val="0"/>
          <w:snapToGrid w:val="0"/>
          <w:sz w:val="36"/>
          <w:szCs w:val="36"/>
        </w:rPr>
      </w:pPr>
      <w:bookmarkStart w:id="1" w:name="_Toc11546"/>
      <w:bookmarkStart w:id="2" w:name="_Toc437853087"/>
      <w:bookmarkStart w:id="3" w:name="_Toc15739"/>
      <w:bookmarkStart w:id="4" w:name="_Toc408527823"/>
      <w:bookmarkStart w:id="5" w:name="_Toc7982"/>
      <w:bookmarkStart w:id="6" w:name="_Toc23045"/>
      <w:bookmarkStart w:id="7" w:name="_Toc16323"/>
      <w:bookmarkStart w:id="8" w:name="_Toc19564"/>
      <w:r>
        <w:rPr>
          <w:rFonts w:hint="eastAsia" w:ascii="仿宋" w:hAnsi="仿宋" w:eastAsia="仿宋" w:cs="仿宋"/>
          <w:bCs w:val="0"/>
          <w:snapToGrid w:val="0"/>
          <w:sz w:val="36"/>
          <w:szCs w:val="36"/>
        </w:rPr>
        <w:t>估价师声明</w:t>
      </w:r>
      <w:bookmarkEnd w:id="1"/>
      <w:bookmarkEnd w:id="2"/>
      <w:bookmarkEnd w:id="3"/>
      <w:bookmarkEnd w:id="4"/>
      <w:bookmarkEnd w:id="5"/>
      <w:bookmarkEnd w:id="6"/>
      <w:bookmarkEnd w:id="7"/>
      <w:bookmarkEnd w:id="8"/>
    </w:p>
    <w:p>
      <w:pPr>
        <w:adjustRightInd w:val="0"/>
        <w:snapToGrid w:val="0"/>
        <w:spacing w:line="360" w:lineRule="auto"/>
        <w:rPr>
          <w:rFonts w:hint="eastAsia" w:ascii="仿宋" w:hAnsi="仿宋" w:eastAsia="仿宋" w:cs="仿宋"/>
          <w:sz w:val="28"/>
        </w:rPr>
      </w:pPr>
      <w:r>
        <w:rPr>
          <w:rFonts w:hint="eastAsia" w:ascii="仿宋" w:hAnsi="仿宋" w:eastAsia="仿宋" w:cs="仿宋"/>
          <w:sz w:val="28"/>
        </w:rPr>
        <w:t>我们郑重声明：</w:t>
      </w:r>
    </w:p>
    <w:p>
      <w:pPr>
        <w:tabs>
          <w:tab w:val="left" w:pos="180"/>
        </w:tabs>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1、我们在估价报告中对事实的说明是真实和准确的，没有虚假记载、误导性陈述和重大遗漏；</w:t>
      </w:r>
    </w:p>
    <w:p>
      <w:pPr>
        <w:adjustRightInd w:val="0"/>
        <w:snapToGrid w:val="0"/>
        <w:spacing w:line="360" w:lineRule="auto"/>
        <w:ind w:firstLine="560"/>
        <w:rPr>
          <w:rFonts w:hint="eastAsia" w:ascii="仿宋" w:hAnsi="仿宋" w:eastAsia="仿宋" w:cs="仿宋"/>
          <w:sz w:val="28"/>
        </w:rPr>
      </w:pPr>
      <w:r>
        <w:rPr>
          <w:rFonts w:hint="eastAsia" w:ascii="仿宋" w:hAnsi="仿宋" w:eastAsia="仿宋" w:cs="仿宋"/>
          <w:sz w:val="28"/>
        </w:rPr>
        <w:t>2、估价报告中的分析、意见和结论是我们独立、客观、公正的专业分析、意见和结论，但受到估价报告中已经说明的估价假设和限制条件的限制。</w:t>
      </w:r>
    </w:p>
    <w:p>
      <w:pPr>
        <w:tabs>
          <w:tab w:val="left" w:pos="180"/>
        </w:tabs>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3、我们与估价报告中的估价对象没有现实或潜在的利益，与估价委托人及估价利害关系人没有利害关系，也对估价对象、估价委托人及估价利害关系人没有偏见。</w:t>
      </w:r>
    </w:p>
    <w:p>
      <w:pPr>
        <w:tabs>
          <w:tab w:val="left" w:pos="180"/>
        </w:tabs>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4、我们依照中华人民共和国国家标准《房地产估价规范》（GB/T50291-2015）、《房地产估价基本术语标准》（GB/T50899-2013）及</w:t>
      </w:r>
      <w:r>
        <w:rPr>
          <w:rFonts w:hint="eastAsia" w:ascii="仿宋" w:hAnsi="仿宋" w:eastAsia="仿宋"/>
          <w:sz w:val="28"/>
        </w:rPr>
        <w:t>《最高人民法院关于人民法院委托评估、拍卖和变卖工作的若干规定》（法释［2009］16号）</w:t>
      </w:r>
      <w:r>
        <w:rPr>
          <w:rFonts w:hint="eastAsia" w:ascii="仿宋" w:hAnsi="仿宋" w:eastAsia="仿宋" w:cs="仿宋"/>
          <w:sz w:val="28"/>
        </w:rPr>
        <w:t>进行分析，形成意见和结论，撰写本估价报告。</w:t>
      </w:r>
    </w:p>
    <w:p>
      <w:pPr>
        <w:tabs>
          <w:tab w:val="left" w:pos="180"/>
        </w:tabs>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5、</w:t>
      </w:r>
      <w:r>
        <w:rPr>
          <w:rFonts w:hint="eastAsia" w:ascii="仿宋" w:hAnsi="仿宋" w:eastAsia="仿宋" w:cs="仿宋"/>
          <w:sz w:val="28"/>
          <w:lang w:eastAsia="zh-CN"/>
        </w:rPr>
        <w:t>我公司估价人员</w:t>
      </w:r>
      <w:r>
        <w:rPr>
          <w:rFonts w:hint="eastAsia" w:ascii="仿宋" w:hAnsi="仿宋" w:eastAsia="仿宋" w:cs="仿宋"/>
          <w:sz w:val="28"/>
        </w:rPr>
        <w:t>已于</w:t>
      </w:r>
      <w:r>
        <w:rPr>
          <w:rFonts w:hint="eastAsia" w:ascii="仿宋" w:hAnsi="仿宋" w:eastAsia="仿宋" w:cs="仿宋"/>
          <w:sz w:val="28"/>
          <w:highlight w:val="none"/>
          <w:lang w:eastAsia="zh-CN"/>
        </w:rPr>
        <w:t>2020年01月02日</w:t>
      </w:r>
      <w:r>
        <w:rPr>
          <w:rFonts w:hint="eastAsia" w:ascii="仿宋" w:hAnsi="仿宋" w:eastAsia="仿宋" w:cs="仿宋"/>
          <w:sz w:val="28"/>
        </w:rPr>
        <w:t>对本估价报告中的估价对象进行了实地勘察，并对勘察的客观性、真实性、公正性承担责任，但我们对估价对象的现场勘察仅限于其外观和使用状况。</w:t>
      </w:r>
    </w:p>
    <w:p>
      <w:pPr>
        <w:tabs>
          <w:tab w:val="left" w:pos="180"/>
        </w:tabs>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6、没有人对本估价报告提供重要专业帮助。</w:t>
      </w:r>
    </w:p>
    <w:p>
      <w:pPr>
        <w:adjustRightInd w:val="0"/>
        <w:snapToGrid w:val="0"/>
        <w:spacing w:line="360" w:lineRule="auto"/>
        <w:jc w:val="center"/>
        <w:rPr>
          <w:rFonts w:hint="eastAsia" w:ascii="仿宋" w:hAnsi="仿宋" w:eastAsia="仿宋" w:cs="仿宋"/>
          <w:spacing w:val="-20"/>
          <w:sz w:val="28"/>
          <w:szCs w:val="28"/>
        </w:rPr>
      </w:pPr>
      <w:r>
        <w:rPr>
          <w:rFonts w:hint="eastAsia" w:ascii="仿宋" w:hAnsi="仿宋" w:eastAsia="仿宋" w:cs="仿宋"/>
          <w:spacing w:val="-20"/>
          <w:sz w:val="28"/>
          <w:szCs w:val="28"/>
        </w:rPr>
        <w:t>注册房地产估价师</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628"/>
        <w:gridCol w:w="2628"/>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596"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姓   名</w:t>
            </w:r>
          </w:p>
        </w:tc>
        <w:tc>
          <w:tcPr>
            <w:tcW w:w="2628"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注册号</w:t>
            </w:r>
          </w:p>
        </w:tc>
        <w:tc>
          <w:tcPr>
            <w:tcW w:w="2628"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签   名</w:t>
            </w:r>
          </w:p>
        </w:tc>
        <w:tc>
          <w:tcPr>
            <w:tcW w:w="2628"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1596"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napToGrid w:val="0"/>
                <w:kern w:val="0"/>
                <w:sz w:val="28"/>
                <w:szCs w:val="28"/>
              </w:rPr>
              <w:t>韩朝钦</w:t>
            </w:r>
          </w:p>
        </w:tc>
        <w:tc>
          <w:tcPr>
            <w:tcW w:w="2628"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z w:val="28"/>
                <w:szCs w:val="28"/>
              </w:rPr>
              <w:t>5220140044</w:t>
            </w:r>
          </w:p>
        </w:tc>
        <w:tc>
          <w:tcPr>
            <w:tcW w:w="2628" w:type="dxa"/>
            <w:noWrap w:val="0"/>
            <w:vAlign w:val="center"/>
          </w:tcPr>
          <w:p>
            <w:pPr>
              <w:adjustRightInd w:val="0"/>
              <w:snapToGrid w:val="0"/>
              <w:jc w:val="center"/>
              <w:rPr>
                <w:rFonts w:hint="eastAsia" w:ascii="仿宋" w:hAnsi="仿宋" w:eastAsia="仿宋" w:cs="仿宋"/>
                <w:spacing w:val="-20"/>
                <w:sz w:val="28"/>
                <w:szCs w:val="28"/>
              </w:rPr>
            </w:pPr>
          </w:p>
        </w:tc>
        <w:tc>
          <w:tcPr>
            <w:tcW w:w="2628" w:type="dxa"/>
            <w:noWrap w:val="0"/>
            <w:vAlign w:val="center"/>
          </w:tcPr>
          <w:p>
            <w:pPr>
              <w:adjustRightInd w:val="0"/>
              <w:snapToGrid w:val="0"/>
              <w:jc w:val="right"/>
              <w:rPr>
                <w:rFonts w:hint="eastAsia" w:ascii="仿宋" w:hAnsi="仿宋" w:eastAsia="仿宋" w:cs="仿宋"/>
                <w:spacing w:val="-20"/>
                <w:sz w:val="28"/>
                <w:szCs w:val="28"/>
              </w:rPr>
            </w:pPr>
            <w:r>
              <w:rPr>
                <w:rFonts w:hint="eastAsia" w:ascii="仿宋" w:hAnsi="仿宋" w:eastAsia="仿宋" w:cs="仿宋"/>
                <w:spacing w:val="-2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596" w:type="dxa"/>
            <w:noWrap w:val="0"/>
            <w:vAlign w:val="center"/>
          </w:tcPr>
          <w:p>
            <w:pPr>
              <w:adjustRightInd w:val="0"/>
              <w:snapToGrid w:val="0"/>
              <w:jc w:val="center"/>
              <w:rPr>
                <w:rFonts w:hint="eastAsia" w:ascii="仿宋" w:hAnsi="仿宋" w:eastAsia="仿宋" w:cs="仿宋"/>
                <w:spacing w:val="-20"/>
                <w:sz w:val="28"/>
                <w:szCs w:val="28"/>
                <w:lang w:eastAsia="zh-CN"/>
              </w:rPr>
            </w:pPr>
            <w:r>
              <w:rPr>
                <w:rFonts w:hint="eastAsia" w:ascii="仿宋" w:hAnsi="仿宋" w:eastAsia="仿宋" w:cs="仿宋"/>
                <w:snapToGrid w:val="0"/>
                <w:kern w:val="0"/>
                <w:sz w:val="28"/>
                <w:szCs w:val="28"/>
                <w:lang w:eastAsia="zh-CN"/>
              </w:rPr>
              <w:t>张李楠</w:t>
            </w:r>
          </w:p>
        </w:tc>
        <w:tc>
          <w:tcPr>
            <w:tcW w:w="2628" w:type="dxa"/>
            <w:noWrap w:val="0"/>
            <w:vAlign w:val="center"/>
          </w:tcPr>
          <w:p>
            <w:pPr>
              <w:adjustRightInd w:val="0"/>
              <w:snapToGrid w:val="0"/>
              <w:jc w:val="center"/>
              <w:rPr>
                <w:rFonts w:hint="eastAsia" w:ascii="仿宋" w:hAnsi="仿宋" w:eastAsia="仿宋" w:cs="仿宋"/>
                <w:spacing w:val="-20"/>
                <w:sz w:val="28"/>
                <w:szCs w:val="28"/>
                <w:lang w:eastAsia="zh-CN"/>
              </w:rPr>
            </w:pPr>
            <w:r>
              <w:rPr>
                <w:rFonts w:hint="eastAsia" w:ascii="仿宋" w:hAnsi="仿宋" w:eastAsia="仿宋" w:cs="仿宋"/>
                <w:sz w:val="28"/>
                <w:szCs w:val="28"/>
                <w:lang w:eastAsia="zh-CN"/>
              </w:rPr>
              <w:t>5220180051</w:t>
            </w:r>
          </w:p>
        </w:tc>
        <w:tc>
          <w:tcPr>
            <w:tcW w:w="2628" w:type="dxa"/>
            <w:noWrap w:val="0"/>
            <w:vAlign w:val="center"/>
          </w:tcPr>
          <w:p>
            <w:pPr>
              <w:adjustRightInd w:val="0"/>
              <w:snapToGrid w:val="0"/>
              <w:jc w:val="center"/>
              <w:rPr>
                <w:rFonts w:hint="eastAsia" w:ascii="仿宋" w:hAnsi="仿宋" w:eastAsia="仿宋" w:cs="仿宋"/>
                <w:spacing w:val="-20"/>
                <w:sz w:val="28"/>
                <w:szCs w:val="28"/>
              </w:rPr>
            </w:pPr>
          </w:p>
        </w:tc>
        <w:tc>
          <w:tcPr>
            <w:tcW w:w="2628" w:type="dxa"/>
            <w:noWrap w:val="0"/>
            <w:vAlign w:val="center"/>
          </w:tcPr>
          <w:p>
            <w:pPr>
              <w:adjustRightInd w:val="0"/>
              <w:snapToGrid w:val="0"/>
              <w:jc w:val="right"/>
              <w:rPr>
                <w:rFonts w:hint="eastAsia" w:ascii="仿宋" w:hAnsi="仿宋" w:eastAsia="仿宋" w:cs="仿宋"/>
                <w:spacing w:val="-20"/>
                <w:sz w:val="28"/>
                <w:szCs w:val="28"/>
              </w:rPr>
            </w:pPr>
            <w:r>
              <w:rPr>
                <w:rFonts w:hint="eastAsia" w:ascii="仿宋" w:hAnsi="仿宋" w:eastAsia="仿宋" w:cs="仿宋"/>
                <w:spacing w:val="-20"/>
                <w:sz w:val="28"/>
                <w:szCs w:val="28"/>
              </w:rPr>
              <w:t>年   月  日</w:t>
            </w:r>
          </w:p>
        </w:tc>
      </w:tr>
    </w:tbl>
    <w:p>
      <w:pPr>
        <w:tabs>
          <w:tab w:val="left" w:pos="180"/>
        </w:tabs>
        <w:adjustRightInd w:val="0"/>
        <w:snapToGrid w:val="0"/>
        <w:spacing w:line="360" w:lineRule="auto"/>
        <w:rPr>
          <w:rFonts w:hint="eastAsia" w:ascii="仿宋" w:hAnsi="仿宋" w:eastAsia="仿宋" w:cs="仿宋"/>
          <w:sz w:val="28"/>
        </w:rPr>
        <w:sectPr>
          <w:headerReference r:id="rId12" w:type="default"/>
          <w:footerReference r:id="rId13" w:type="default"/>
          <w:pgSz w:w="11906" w:h="16838"/>
          <w:pgMar w:top="1247" w:right="1021" w:bottom="1247" w:left="1497" w:header="907" w:footer="907" w:gutter="0"/>
          <w:pgNumType w:start="1"/>
          <w:cols w:space="720" w:num="1"/>
          <w:docGrid w:type="linesAndChars" w:linePitch="312" w:charSpace="693"/>
        </w:sectPr>
      </w:pPr>
    </w:p>
    <w:p>
      <w:pPr>
        <w:pStyle w:val="2"/>
        <w:adjustRightInd w:val="0"/>
        <w:snapToGrid w:val="0"/>
        <w:spacing w:line="420" w:lineRule="exact"/>
        <w:jc w:val="center"/>
        <w:rPr>
          <w:rFonts w:hint="eastAsia" w:ascii="仿宋" w:hAnsi="仿宋" w:eastAsia="仿宋" w:cs="仿宋"/>
          <w:bCs w:val="0"/>
          <w:snapToGrid w:val="0"/>
          <w:sz w:val="36"/>
          <w:szCs w:val="36"/>
        </w:rPr>
      </w:pPr>
      <w:bookmarkStart w:id="9" w:name="_Toc6192"/>
      <w:bookmarkStart w:id="10" w:name="_Toc437853088"/>
      <w:bookmarkStart w:id="11" w:name="_Toc1345"/>
      <w:bookmarkStart w:id="12" w:name="_Toc8941"/>
      <w:bookmarkStart w:id="13" w:name="_Toc20026"/>
      <w:bookmarkStart w:id="14" w:name="_Toc408527824"/>
      <w:bookmarkStart w:id="15" w:name="_Toc18236"/>
      <w:bookmarkStart w:id="16" w:name="_Toc11973"/>
      <w:r>
        <w:rPr>
          <w:rFonts w:hint="eastAsia" w:ascii="仿宋" w:hAnsi="仿宋" w:eastAsia="仿宋" w:cs="仿宋"/>
          <w:bCs w:val="0"/>
          <w:snapToGrid w:val="0"/>
          <w:sz w:val="36"/>
          <w:szCs w:val="36"/>
        </w:rPr>
        <w:t>估价假设和限制条件及使用报告说明</w:t>
      </w:r>
      <w:bookmarkEnd w:id="9"/>
      <w:bookmarkEnd w:id="10"/>
      <w:bookmarkEnd w:id="11"/>
      <w:bookmarkEnd w:id="12"/>
      <w:bookmarkEnd w:id="13"/>
      <w:bookmarkEnd w:id="14"/>
      <w:bookmarkEnd w:id="15"/>
      <w:bookmarkEnd w:id="16"/>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hanging="3"/>
        <w:rPr>
          <w:rFonts w:hint="eastAsia" w:ascii="仿宋" w:hAnsi="仿宋" w:eastAsia="仿宋" w:cs="仿宋"/>
          <w:b/>
          <w:sz w:val="28"/>
          <w:szCs w:val="28"/>
        </w:rPr>
      </w:pPr>
      <w:r>
        <w:rPr>
          <w:rFonts w:hint="eastAsia" w:ascii="仿宋" w:hAnsi="仿宋" w:eastAsia="仿宋" w:cs="仿宋"/>
          <w:b/>
          <w:sz w:val="28"/>
          <w:szCs w:val="28"/>
        </w:rPr>
        <w:t>一、估价假设</w:t>
      </w:r>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rPr>
      </w:pPr>
      <w:r>
        <w:rPr>
          <w:rFonts w:hint="eastAsia" w:ascii="仿宋" w:hAnsi="仿宋" w:eastAsia="仿宋" w:cs="仿宋"/>
          <w:sz w:val="28"/>
          <w:szCs w:val="28"/>
        </w:rPr>
        <w:t>（一）一般性假设</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估价对象在价值时点的房地产市场为公开、平等、自愿的交易市场，即能满足以下条件：</w:t>
      </w:r>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rPr>
      </w:pPr>
      <w:r>
        <w:rPr>
          <w:rFonts w:hint="eastAsia" w:ascii="仿宋" w:hAnsi="仿宋" w:eastAsia="仿宋" w:cs="仿宋"/>
          <w:sz w:val="28"/>
          <w:szCs w:val="28"/>
        </w:rPr>
        <w:t>(1)交易双方自愿地进行交易；</w:t>
      </w:r>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rPr>
      </w:pPr>
      <w:r>
        <w:rPr>
          <w:rFonts w:hint="eastAsia" w:ascii="仿宋" w:hAnsi="仿宋" w:eastAsia="仿宋" w:cs="仿宋"/>
          <w:sz w:val="28"/>
          <w:szCs w:val="28"/>
        </w:rPr>
        <w:t>(2)交易双方处于利己动机进行交易；</w:t>
      </w:r>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rPr>
      </w:pPr>
      <w:r>
        <w:rPr>
          <w:rFonts w:hint="eastAsia" w:ascii="仿宋" w:hAnsi="仿宋" w:eastAsia="仿宋" w:cs="仿宋"/>
          <w:sz w:val="28"/>
          <w:szCs w:val="28"/>
        </w:rPr>
        <w:t>(3)交易双方精明、谨慎行事，并了解交易对象、知晓市场行情；</w:t>
      </w:r>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rPr>
      </w:pPr>
      <w:r>
        <w:rPr>
          <w:rFonts w:hint="eastAsia" w:ascii="仿宋" w:hAnsi="仿宋" w:eastAsia="仿宋" w:cs="仿宋"/>
          <w:sz w:val="28"/>
          <w:szCs w:val="28"/>
        </w:rPr>
        <w:t>(4)交易双方有较充裕的时间进行交易；</w:t>
      </w:r>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rPr>
      </w:pPr>
      <w:r>
        <w:rPr>
          <w:rFonts w:hint="eastAsia" w:ascii="仿宋" w:hAnsi="仿宋" w:eastAsia="仿宋" w:cs="仿宋"/>
          <w:sz w:val="28"/>
          <w:szCs w:val="28"/>
        </w:rPr>
        <w:t>(5)不存在买者因特殊兴趣而给予附加出价。</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cs="仿宋"/>
          <w:sz w:val="28"/>
          <w:szCs w:val="28"/>
        </w:rPr>
      </w:pPr>
      <w:r>
        <w:rPr>
          <w:rFonts w:hint="eastAsia" w:ascii="仿宋" w:hAnsi="仿宋" w:eastAsia="仿宋"/>
          <w:sz w:val="28"/>
          <w:szCs w:val="28"/>
        </w:rPr>
        <w:t>估价委托人和当事人均未能提供估价对象的《</w:t>
      </w:r>
      <w:r>
        <w:rPr>
          <w:rFonts w:hint="eastAsia" w:ascii="仿宋" w:hAnsi="仿宋" w:eastAsia="仿宋"/>
          <w:sz w:val="28"/>
          <w:szCs w:val="28"/>
          <w:lang w:eastAsia="zh-CN"/>
        </w:rPr>
        <w:t>房屋所有权证</w:t>
      </w:r>
      <w:r>
        <w:rPr>
          <w:rFonts w:hint="eastAsia" w:ascii="仿宋" w:hAnsi="仿宋" w:eastAsia="仿宋"/>
          <w:sz w:val="28"/>
          <w:szCs w:val="28"/>
        </w:rPr>
        <w:t>》</w:t>
      </w:r>
      <w:r>
        <w:rPr>
          <w:rFonts w:hint="eastAsia" w:ascii="仿宋" w:hAnsi="仿宋" w:eastAsia="仿宋"/>
          <w:sz w:val="28"/>
          <w:szCs w:val="28"/>
          <w:lang w:eastAsia="zh-CN"/>
        </w:rPr>
        <w:t>、《</w:t>
      </w:r>
      <w:r>
        <w:rPr>
          <w:rFonts w:hint="eastAsia" w:ascii="仿宋" w:hAnsi="仿宋" w:eastAsia="仿宋"/>
          <w:sz w:val="28"/>
          <w:szCs w:val="28"/>
        </w:rPr>
        <w:t>国有土地使用证》</w:t>
      </w:r>
      <w:r>
        <w:rPr>
          <w:rFonts w:hint="eastAsia" w:ascii="仿宋" w:hAnsi="仿宋" w:eastAsia="仿宋"/>
          <w:sz w:val="28"/>
          <w:szCs w:val="28"/>
          <w:lang w:eastAsia="zh-CN"/>
        </w:rPr>
        <w:t>或《不动产权证书》</w:t>
      </w:r>
      <w:r>
        <w:rPr>
          <w:rFonts w:hint="eastAsia" w:ascii="仿宋" w:hAnsi="仿宋" w:eastAsia="仿宋"/>
          <w:sz w:val="28"/>
          <w:szCs w:val="28"/>
        </w:rPr>
        <w:t>复印件，仅提供了</w:t>
      </w:r>
      <w:r>
        <w:rPr>
          <w:rFonts w:hint="eastAsia" w:ascii="仿宋" w:hAnsi="仿宋" w:eastAsia="仿宋"/>
          <w:sz w:val="28"/>
          <w:szCs w:val="28"/>
          <w:lang w:eastAsia="zh-CN"/>
        </w:rPr>
        <w:t>《房屋记载表》、《个人不动产信息情况证明》及《证明》</w:t>
      </w:r>
      <w:r>
        <w:rPr>
          <w:rFonts w:hint="eastAsia" w:ascii="仿宋" w:hAnsi="仿宋" w:eastAsia="仿宋"/>
          <w:sz w:val="28"/>
          <w:szCs w:val="28"/>
        </w:rPr>
        <w:t>复印件，</w:t>
      </w:r>
      <w:r>
        <w:rPr>
          <w:rFonts w:hint="eastAsia" w:ascii="仿宋" w:hAnsi="仿宋" w:eastAsia="仿宋" w:cs="仿宋"/>
          <w:sz w:val="28"/>
          <w:szCs w:val="28"/>
        </w:rPr>
        <w:t>我们未向政府有关部门进行核实，在无理由怀疑其合法性、真实性、准确性和完整性的情况下，假定估价委托人</w:t>
      </w:r>
      <w:r>
        <w:rPr>
          <w:rFonts w:hint="eastAsia" w:ascii="仿宋" w:hAnsi="仿宋" w:eastAsia="仿宋"/>
          <w:sz w:val="28"/>
          <w:szCs w:val="28"/>
        </w:rPr>
        <w:t>和当事人</w:t>
      </w:r>
      <w:r>
        <w:rPr>
          <w:rFonts w:hint="eastAsia" w:ascii="仿宋" w:hAnsi="仿宋" w:eastAsia="仿宋" w:cs="仿宋"/>
          <w:sz w:val="28"/>
          <w:szCs w:val="28"/>
        </w:rPr>
        <w:t>提供的资料合法、真实、准确、完整。</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cs="仿宋"/>
          <w:sz w:val="28"/>
          <w:szCs w:val="28"/>
        </w:rPr>
      </w:pPr>
      <w:r>
        <w:rPr>
          <w:rFonts w:hint="eastAsia" w:ascii="仿宋" w:hAnsi="仿宋" w:eastAsia="仿宋"/>
          <w:sz w:val="28"/>
          <w:szCs w:val="28"/>
        </w:rPr>
        <w:t>注册房地产估价师已对房屋安全、环境污染等影响估价对象价值的重</w:t>
      </w:r>
      <w:r>
        <w:rPr>
          <w:rFonts w:hint="eastAsia" w:ascii="仿宋" w:hAnsi="仿宋" w:eastAsia="仿宋" w:cs="仿宋"/>
          <w:sz w:val="28"/>
          <w:szCs w:val="28"/>
        </w:rPr>
        <w:t>大因素给予了关注，在无理由怀疑估价对象存在安全隐患且无相应的专业机构进行鉴定、检测的情况下，假定估价对象能正常安全使用。</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注册房地产估价师未对房屋建筑面积进行专业测量，经实地查勘观察，估价对象房屋建筑面积与</w:t>
      </w:r>
      <w:r>
        <w:rPr>
          <w:rFonts w:hint="eastAsia" w:ascii="仿宋" w:hAnsi="仿宋" w:eastAsia="仿宋"/>
          <w:sz w:val="28"/>
          <w:szCs w:val="28"/>
          <w:lang w:eastAsia="zh-CN"/>
        </w:rPr>
        <w:t>《房屋记载表》及《个人不动产信息情况证明》</w:t>
      </w:r>
      <w:r>
        <w:rPr>
          <w:rFonts w:hint="eastAsia" w:ascii="仿宋" w:hAnsi="仿宋" w:eastAsia="仿宋"/>
          <w:sz w:val="28"/>
          <w:szCs w:val="28"/>
        </w:rPr>
        <w:t>记载建筑面积大体相当。</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估价对象应享有公共部位的通行权及水电等共用设施的使用权。</w:t>
      </w:r>
    </w:p>
    <w:p>
      <w:pPr>
        <w:keepNext w:val="0"/>
        <w:keepLines w:val="0"/>
        <w:pageBreakBefore w:val="0"/>
        <w:widowControl w:val="0"/>
        <w:numPr>
          <w:ilvl w:val="0"/>
          <w:numId w:val="2"/>
        </w:numPr>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lang w:eastAsia="zh-CN"/>
        </w:rPr>
      </w:pPr>
      <w:r>
        <w:rPr>
          <w:rFonts w:hint="eastAsia" w:ascii="仿宋" w:hAnsi="仿宋" w:eastAsia="仿宋" w:cs="仿宋"/>
          <w:sz w:val="28"/>
          <w:szCs w:val="28"/>
          <w:lang w:eastAsia="zh-CN"/>
        </w:rPr>
        <w:t>未定事项假设</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baseline"/>
        <w:rPr>
          <w:rFonts w:hint="eastAsia" w:ascii="仿宋" w:hAnsi="仿宋" w:eastAsia="仿宋"/>
          <w:sz w:val="28"/>
          <w:szCs w:val="28"/>
        </w:rPr>
      </w:pPr>
      <w:r>
        <w:rPr>
          <w:rFonts w:hint="eastAsia" w:ascii="仿宋" w:hAnsi="仿宋" w:eastAsia="仿宋"/>
          <w:sz w:val="28"/>
          <w:szCs w:val="28"/>
        </w:rPr>
        <w:t>估价委托人和当事人提供的资料未记载估价对象房屋的建成年份，经注册房地产估价师实地调查，</w:t>
      </w:r>
      <w:r>
        <w:rPr>
          <w:rFonts w:hint="eastAsia" w:ascii="仿宋" w:hAnsi="仿宋" w:eastAsia="仿宋"/>
          <w:sz w:val="28"/>
          <w:szCs w:val="28"/>
          <w:lang w:eastAsia="zh-CN"/>
        </w:rPr>
        <w:t>估价对象</w:t>
      </w:r>
      <w:r>
        <w:rPr>
          <w:rFonts w:hint="eastAsia" w:ascii="仿宋" w:hAnsi="仿宋" w:eastAsia="仿宋"/>
          <w:sz w:val="28"/>
          <w:szCs w:val="28"/>
        </w:rPr>
        <w:t>房屋建成年份约为</w:t>
      </w:r>
      <w:r>
        <w:rPr>
          <w:rFonts w:hint="eastAsia" w:ascii="仿宋" w:hAnsi="仿宋" w:eastAsia="仿宋"/>
          <w:sz w:val="28"/>
          <w:szCs w:val="28"/>
          <w:lang w:val="en-US" w:eastAsia="zh-CN"/>
        </w:rPr>
        <w:t>2012</w:t>
      </w:r>
      <w:r>
        <w:rPr>
          <w:rFonts w:hint="eastAsia" w:ascii="仿宋" w:hAnsi="仿宋" w:eastAsia="仿宋"/>
          <w:sz w:val="28"/>
          <w:szCs w:val="28"/>
        </w:rPr>
        <w:t>年</w:t>
      </w:r>
      <w:r>
        <w:rPr>
          <w:rFonts w:hint="eastAsia" w:ascii="仿宋" w:hAnsi="仿宋" w:eastAsia="仿宋"/>
          <w:sz w:val="28"/>
          <w:szCs w:val="28"/>
          <w:lang w:eastAsia="zh-CN"/>
        </w:rPr>
        <w:t>，</w:t>
      </w:r>
      <w:r>
        <w:rPr>
          <w:rFonts w:hint="eastAsia" w:ascii="仿宋" w:hAnsi="仿宋" w:eastAsia="仿宋"/>
          <w:sz w:val="28"/>
          <w:szCs w:val="28"/>
        </w:rPr>
        <w:t>本次估价房屋建成年份以实际调查为准。</w:t>
      </w:r>
    </w:p>
    <w:p>
      <w:pPr>
        <w:keepNext w:val="0"/>
        <w:keepLines w:val="0"/>
        <w:pageBreakBefore w:val="0"/>
        <w:widowControl w:val="0"/>
        <w:numPr>
          <w:ilvl w:val="0"/>
          <w:numId w:val="2"/>
        </w:numPr>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lang w:eastAsia="zh-CN"/>
        </w:rPr>
      </w:pPr>
      <w:r>
        <w:rPr>
          <w:rFonts w:hint="eastAsia" w:ascii="仿宋" w:hAnsi="仿宋" w:eastAsia="仿宋" w:cs="仿宋"/>
          <w:sz w:val="28"/>
          <w:szCs w:val="28"/>
          <w:lang w:eastAsia="zh-CN"/>
        </w:rPr>
        <w:t>背离事实假设</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baseline"/>
        <w:rPr>
          <w:rFonts w:hint="eastAsia" w:ascii="仿宋" w:hAnsi="仿宋" w:eastAsia="仿宋"/>
          <w:sz w:val="28"/>
          <w:szCs w:val="28"/>
        </w:rPr>
      </w:pPr>
      <w:r>
        <w:rPr>
          <w:rFonts w:hint="eastAsia" w:ascii="仿宋" w:hAnsi="仿宋" w:eastAsia="仿宋"/>
          <w:sz w:val="28"/>
          <w:szCs w:val="28"/>
        </w:rPr>
        <w:t>至价值时点估价对象已被人民法院查封，结合本次估价目的，本次估价以估价对象未被查封为前提进行估价，即：假定估价对象未处于查封状态，不考虑估价对象已被查封因素的影响。</w:t>
      </w:r>
    </w:p>
    <w:p>
      <w:pPr>
        <w:keepNext w:val="0"/>
        <w:keepLines w:val="0"/>
        <w:pageBreakBefore w:val="0"/>
        <w:widowControl w:val="0"/>
        <w:numPr>
          <w:ilvl w:val="0"/>
          <w:numId w:val="2"/>
        </w:numPr>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lang w:eastAsia="zh-CN"/>
        </w:rPr>
      </w:pPr>
      <w:bookmarkStart w:id="17" w:name="_Toc438739884"/>
      <w:r>
        <w:rPr>
          <w:rFonts w:hint="eastAsia" w:ascii="仿宋" w:hAnsi="仿宋" w:eastAsia="仿宋" w:cs="仿宋"/>
          <w:sz w:val="28"/>
          <w:szCs w:val="28"/>
          <w:lang w:eastAsia="zh-CN"/>
        </w:rPr>
        <w:t>依据不足假设</w:t>
      </w:r>
      <w:bookmarkEnd w:id="17"/>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jc w:val="left"/>
        <w:textAlignment w:val="baseline"/>
        <w:rPr>
          <w:rFonts w:hint="eastAsia" w:ascii="仿宋" w:hAnsi="仿宋" w:eastAsia="仿宋"/>
          <w:sz w:val="28"/>
          <w:szCs w:val="28"/>
        </w:rPr>
      </w:pPr>
      <w:r>
        <w:rPr>
          <w:rFonts w:hint="eastAsia" w:ascii="仿宋" w:hAnsi="仿宋" w:eastAsia="仿宋"/>
          <w:sz w:val="28"/>
          <w:szCs w:val="28"/>
        </w:rPr>
        <w:t>估价委托人和当事人均未能提供估价对象的《</w:t>
      </w:r>
      <w:r>
        <w:rPr>
          <w:rFonts w:hint="eastAsia" w:ascii="仿宋" w:hAnsi="仿宋" w:eastAsia="仿宋"/>
          <w:sz w:val="28"/>
          <w:szCs w:val="28"/>
          <w:lang w:eastAsia="zh-CN"/>
        </w:rPr>
        <w:t>房屋所有权证</w:t>
      </w:r>
      <w:r>
        <w:rPr>
          <w:rFonts w:hint="eastAsia" w:ascii="仿宋" w:hAnsi="仿宋" w:eastAsia="仿宋"/>
          <w:sz w:val="28"/>
          <w:szCs w:val="28"/>
        </w:rPr>
        <w:t>》</w:t>
      </w:r>
      <w:r>
        <w:rPr>
          <w:rFonts w:hint="eastAsia" w:ascii="仿宋" w:hAnsi="仿宋" w:eastAsia="仿宋"/>
          <w:sz w:val="28"/>
          <w:szCs w:val="28"/>
          <w:lang w:eastAsia="zh-CN"/>
        </w:rPr>
        <w:t>、</w:t>
      </w:r>
      <w:r>
        <w:rPr>
          <w:rFonts w:hint="eastAsia" w:ascii="仿宋" w:hAnsi="仿宋" w:eastAsia="仿宋"/>
          <w:sz w:val="28"/>
          <w:szCs w:val="28"/>
        </w:rPr>
        <w:t>《国有土地使用证》</w:t>
      </w:r>
      <w:r>
        <w:rPr>
          <w:rFonts w:hint="eastAsia" w:ascii="仿宋" w:hAnsi="仿宋" w:eastAsia="仿宋"/>
          <w:sz w:val="28"/>
          <w:szCs w:val="28"/>
          <w:lang w:eastAsia="zh-CN"/>
        </w:rPr>
        <w:t>或《不动产权证书》</w:t>
      </w:r>
      <w:r>
        <w:rPr>
          <w:rFonts w:hint="eastAsia" w:ascii="仿宋" w:hAnsi="仿宋" w:eastAsia="仿宋"/>
          <w:sz w:val="28"/>
          <w:szCs w:val="28"/>
        </w:rPr>
        <w:t>复印件，根据其提供的</w:t>
      </w:r>
      <w:r>
        <w:rPr>
          <w:rFonts w:hint="eastAsia" w:ascii="仿宋" w:hAnsi="仿宋" w:eastAsia="仿宋"/>
          <w:sz w:val="28"/>
          <w:szCs w:val="28"/>
          <w:lang w:eastAsia="zh-CN"/>
        </w:rPr>
        <w:t>《房屋记载表》、《个人不动产信息情况证明》、《证明》</w:t>
      </w:r>
      <w:r>
        <w:rPr>
          <w:rFonts w:hint="eastAsia" w:ascii="仿宋" w:hAnsi="仿宋" w:eastAsia="仿宋"/>
          <w:sz w:val="28"/>
          <w:szCs w:val="28"/>
        </w:rPr>
        <w:t>复印件及估价人员现场查勘了解，估价对象为住宅房地产，</w:t>
      </w:r>
      <w:r>
        <w:rPr>
          <w:rFonts w:hint="eastAsia" w:ascii="仿宋" w:hAnsi="仿宋" w:eastAsia="仿宋"/>
          <w:sz w:val="28"/>
          <w:szCs w:val="28"/>
          <w:lang w:eastAsia="zh-CN"/>
        </w:rPr>
        <w:t>对应分摊的土地使用权类型为国有出让，</w:t>
      </w:r>
      <w:r>
        <w:rPr>
          <w:rFonts w:hint="eastAsia" w:ascii="仿宋" w:hAnsi="仿宋" w:eastAsia="仿宋"/>
          <w:sz w:val="28"/>
          <w:szCs w:val="28"/>
        </w:rPr>
        <w:t>本次估价假设估价对象土地用途与房屋用途一致</w:t>
      </w:r>
      <w:r>
        <w:rPr>
          <w:rFonts w:hint="eastAsia" w:ascii="仿宋" w:hAnsi="仿宋" w:eastAsia="仿宋"/>
          <w:sz w:val="28"/>
          <w:szCs w:val="28"/>
          <w:lang w:eastAsia="zh-CN"/>
        </w:rPr>
        <w:t>，国有土地使用权人与房屋所有权人一致</w:t>
      </w:r>
      <w:r>
        <w:rPr>
          <w:rFonts w:hint="eastAsia" w:ascii="仿宋" w:hAnsi="仿宋" w:eastAsia="仿宋"/>
          <w:sz w:val="28"/>
          <w:szCs w:val="28"/>
        </w:rPr>
        <w:t>。若该假设与当地主管部门最终核实的不一致，则本次评估结果应作相应的调整或重新出具估价报告。</w:t>
      </w:r>
    </w:p>
    <w:p>
      <w:pPr>
        <w:keepNext w:val="0"/>
        <w:keepLines w:val="0"/>
        <w:pageBreakBefore w:val="0"/>
        <w:widowControl w:val="0"/>
        <w:numPr>
          <w:ilvl w:val="0"/>
          <w:numId w:val="2"/>
        </w:numPr>
        <w:tabs>
          <w:tab w:val="left" w:pos="180"/>
        </w:tabs>
        <w:kinsoku/>
        <w:wordWrap/>
        <w:overflowPunct/>
        <w:topLinePunct w:val="0"/>
        <w:autoSpaceDE/>
        <w:autoSpaceDN/>
        <w:bidi w:val="0"/>
        <w:adjustRightInd w:val="0"/>
        <w:snapToGrid w:val="0"/>
        <w:spacing w:line="360" w:lineRule="auto"/>
        <w:ind w:firstLine="53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不相一致假设</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jc w:val="left"/>
        <w:textAlignment w:val="baseline"/>
        <w:rPr>
          <w:rFonts w:hint="default" w:ascii="仿宋" w:hAnsi="仿宋" w:eastAsia="仿宋"/>
          <w:sz w:val="28"/>
          <w:szCs w:val="28"/>
          <w:lang w:val="en-US" w:eastAsia="zh-CN"/>
        </w:rPr>
      </w:pPr>
      <w:r>
        <w:rPr>
          <w:rFonts w:hint="eastAsia" w:ascii="仿宋" w:hAnsi="仿宋" w:eastAsia="仿宋"/>
          <w:sz w:val="28"/>
          <w:szCs w:val="28"/>
          <w:lang w:val="en-US" w:eastAsia="zh-CN"/>
        </w:rPr>
        <w:t>估价委托人提供的《贵州省六盘水市钟山区人民法院评估委托书》记载房屋所有权人为陈际隆；提供的《个人不动产信息情况证明》及《房屋记载表》记载房屋所有权人为陈顺龙；提供的《证明》记载陈际隆曾用名为陈顺龙，属同一人。</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baseline"/>
        <w:rPr>
          <w:rFonts w:hint="eastAsia" w:ascii="仿宋" w:hAnsi="仿宋" w:eastAsia="仿宋" w:cs="仿宋"/>
          <w:b/>
          <w:sz w:val="28"/>
          <w:szCs w:val="28"/>
        </w:rPr>
      </w:pPr>
      <w:r>
        <w:rPr>
          <w:rFonts w:hint="eastAsia" w:ascii="仿宋" w:hAnsi="仿宋" w:eastAsia="仿宋" w:cs="仿宋"/>
          <w:b/>
          <w:sz w:val="28"/>
          <w:szCs w:val="28"/>
        </w:rPr>
        <w:t>二、限制条件</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本报告估价结论仅供本次估价目的使用，不能用作其他经济活动。</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0" w:firstLineChars="200"/>
        <w:textAlignment w:val="baseline"/>
        <w:rPr>
          <w:rFonts w:hint="eastAsia" w:ascii="仿宋" w:hAnsi="仿宋" w:eastAsia="仿宋"/>
          <w:sz w:val="28"/>
          <w:szCs w:val="28"/>
        </w:rPr>
      </w:pPr>
      <w:r>
        <w:rPr>
          <w:rFonts w:hint="eastAsia" w:ascii="仿宋" w:hAnsi="仿宋" w:eastAsia="仿宋"/>
          <w:w w:val="99"/>
          <w:sz w:val="28"/>
          <w:szCs w:val="28"/>
        </w:rPr>
        <w:t>本估价报告使用者为估价委托人以及依照法律、法规的规定的使用者</w:t>
      </w:r>
      <w:r>
        <w:rPr>
          <w:rFonts w:hint="eastAsia" w:ascii="仿宋" w:hAnsi="仿宋" w:eastAsia="仿宋"/>
          <w:sz w:val="28"/>
          <w:szCs w:val="28"/>
        </w:rPr>
        <w:t>。</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0" w:firstLineChars="200"/>
        <w:textAlignment w:val="baseline"/>
        <w:rPr>
          <w:rFonts w:hint="eastAsia" w:ascii="仿宋" w:hAnsi="仿宋" w:eastAsia="仿宋"/>
          <w:w w:val="99"/>
          <w:sz w:val="28"/>
          <w:szCs w:val="28"/>
        </w:rPr>
      </w:pPr>
      <w:r>
        <w:rPr>
          <w:rFonts w:hint="eastAsia" w:ascii="仿宋" w:hAnsi="仿宋" w:eastAsia="仿宋"/>
          <w:w w:val="99"/>
          <w:sz w:val="28"/>
          <w:szCs w:val="28"/>
        </w:rPr>
        <w:t>估价报告使用期限自估价报告出具之日</w:t>
      </w:r>
      <w:r>
        <w:rPr>
          <w:rFonts w:hint="eastAsia" w:ascii="仿宋" w:hAnsi="仿宋" w:eastAsia="仿宋"/>
          <w:w w:val="99"/>
          <w:sz w:val="28"/>
          <w:szCs w:val="28"/>
          <w:highlight w:val="none"/>
          <w:lang w:eastAsia="zh-CN"/>
        </w:rPr>
        <w:t>2020年01月07日</w:t>
      </w:r>
      <w:r>
        <w:rPr>
          <w:rFonts w:hint="eastAsia" w:ascii="仿宋" w:hAnsi="仿宋" w:eastAsia="仿宋"/>
          <w:w w:val="99"/>
          <w:sz w:val="28"/>
          <w:szCs w:val="28"/>
        </w:rPr>
        <w:t>起计算一年。</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0" w:firstLineChars="200"/>
        <w:textAlignment w:val="baseline"/>
        <w:rPr>
          <w:rFonts w:hint="eastAsia" w:ascii="仿宋" w:hAnsi="仿宋" w:eastAsia="仿宋"/>
          <w:sz w:val="28"/>
          <w:szCs w:val="28"/>
        </w:rPr>
      </w:pPr>
      <w:r>
        <w:rPr>
          <w:rFonts w:hint="eastAsia" w:ascii="仿宋" w:hAnsi="仿宋" w:eastAsia="仿宋"/>
          <w:w w:val="99"/>
          <w:sz w:val="28"/>
          <w:szCs w:val="28"/>
        </w:rPr>
        <w:t>估价结果为房地产市场价值，未考虑快速变现等处分方式带来的影响。</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房地产市场价值包括建筑物及其附属设施设备（水、电、气、视、讯）、室内装饰装修（不含动产）和应分摊的土地使用权价值，若将其分割处置，本估价结果无效。</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本次估价未考虑国家宏观经济政策发生变化、自然灾害和其他不可抗力等因素对估价对象价值的影响。本估价报告在报告使用期限内，如因外部经济环境或估价对象因物理因素发生重大变化，并对评估结果产生较大影响时，应重新委托评估。</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估价委托人应对其所提供资料的真实性、完整性、合法性以及由此产生的后果负责。</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本估价报告必须完整使用方为有效，对仅使用本估价报告中的部分内容，所导致可能发生的损失，本估价机构不承担责任。</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本估价报告原件加盖单位鲜章和估价师签字等方为有效，复印件以及缺乏鲜章、签字件无效。若有违反以上规定使用本估价报告者，自负所产生的一切法律后果，本估价机构及</w:t>
      </w:r>
      <w:r>
        <w:rPr>
          <w:rFonts w:hint="eastAsia" w:ascii="仿宋" w:hAnsi="仿宋" w:eastAsia="仿宋"/>
          <w:sz w:val="28"/>
          <w:szCs w:val="28"/>
          <w:lang w:eastAsia="zh-CN"/>
        </w:rPr>
        <w:t>估价人员</w:t>
      </w:r>
      <w:r>
        <w:rPr>
          <w:rFonts w:hint="eastAsia" w:ascii="仿宋" w:hAnsi="仿宋" w:eastAsia="仿宋"/>
          <w:sz w:val="28"/>
          <w:szCs w:val="28"/>
        </w:rPr>
        <w:t>不负任何责任。</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本报告的全部或部分内容未经我公司书面同意，不得载于任何文件、公告及声明，也不得在任何公开媒体上发表或引用其全部、部分内容。</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如发现本报告内的文字或数字因校印或其它原因出现误差时，请通知本估价机构进行更正。否则，报告误差部分无效。</w:t>
      </w:r>
    </w:p>
    <w:p>
      <w:pPr>
        <w:keepNext w:val="0"/>
        <w:keepLines w:val="0"/>
        <w:pageBreakBefore w:val="0"/>
        <w:widowControl w:val="0"/>
        <w:tabs>
          <w:tab w:val="left" w:pos="180"/>
        </w:tabs>
        <w:kinsoku/>
        <w:wordWrap/>
        <w:overflowPunct/>
        <w:topLinePunct w:val="0"/>
        <w:autoSpaceDE/>
        <w:autoSpaceDN/>
        <w:bidi w:val="0"/>
        <w:adjustRightInd w:val="0"/>
        <w:snapToGrid w:val="0"/>
        <w:spacing w:line="360" w:lineRule="auto"/>
        <w:ind w:left="725" w:hanging="721" w:hangingChars="255"/>
        <w:rPr>
          <w:rFonts w:hint="eastAsia" w:ascii="仿宋" w:hAnsi="仿宋" w:eastAsia="仿宋" w:cs="仿宋"/>
          <w:b/>
          <w:sz w:val="28"/>
          <w:szCs w:val="28"/>
        </w:rPr>
      </w:pPr>
      <w:r>
        <w:rPr>
          <w:rFonts w:hint="eastAsia" w:ascii="仿宋" w:hAnsi="仿宋" w:eastAsia="仿宋" w:cs="仿宋"/>
          <w:b/>
          <w:sz w:val="28"/>
          <w:szCs w:val="28"/>
        </w:rPr>
        <w:t>三、报告使用说明</w:t>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rPr>
          <w:rFonts w:hint="eastAsia" w:ascii="仿宋" w:hAnsi="仿宋" w:eastAsia="仿宋" w:cs="仿宋"/>
          <w:sz w:val="28"/>
          <w:szCs w:val="28"/>
        </w:rPr>
      </w:pPr>
      <w:r>
        <w:rPr>
          <w:rFonts w:hint="eastAsia" w:ascii="仿宋" w:hAnsi="仿宋" w:eastAsia="仿宋" w:cs="仿宋"/>
          <w:sz w:val="28"/>
          <w:szCs w:val="28"/>
        </w:rPr>
        <w:t>(一)资料来源说明</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估价委托人和当事人均未能提供估价对象的</w:t>
      </w:r>
      <w:r>
        <w:rPr>
          <w:rFonts w:hint="eastAsia" w:ascii="仿宋" w:hAnsi="仿宋" w:eastAsia="仿宋"/>
          <w:sz w:val="28"/>
          <w:szCs w:val="28"/>
          <w:lang w:eastAsia="zh-CN"/>
        </w:rPr>
        <w:t>《房屋所有权证》、</w:t>
      </w:r>
      <w:r>
        <w:rPr>
          <w:rFonts w:hint="eastAsia" w:ascii="仿宋" w:hAnsi="仿宋" w:eastAsia="仿宋"/>
          <w:sz w:val="28"/>
          <w:szCs w:val="28"/>
        </w:rPr>
        <w:t>《国有土地使用证》</w:t>
      </w:r>
      <w:r>
        <w:rPr>
          <w:rFonts w:hint="eastAsia" w:ascii="仿宋" w:hAnsi="仿宋" w:eastAsia="仿宋"/>
          <w:sz w:val="28"/>
          <w:szCs w:val="28"/>
          <w:lang w:eastAsia="zh-CN"/>
        </w:rPr>
        <w:t>或《不动产权证书》</w:t>
      </w:r>
      <w:r>
        <w:rPr>
          <w:rFonts w:hint="eastAsia" w:ascii="仿宋" w:hAnsi="仿宋" w:eastAsia="仿宋"/>
          <w:sz w:val="28"/>
          <w:szCs w:val="28"/>
        </w:rPr>
        <w:t>复印件，仅提供了</w:t>
      </w:r>
      <w:r>
        <w:rPr>
          <w:rFonts w:hint="eastAsia" w:ascii="仿宋" w:hAnsi="仿宋" w:eastAsia="仿宋"/>
          <w:sz w:val="28"/>
          <w:szCs w:val="28"/>
          <w:lang w:eastAsia="zh-CN"/>
        </w:rPr>
        <w:t>《房屋记载表》、《个人不动产信息情况证明》及《证明》</w:t>
      </w:r>
      <w:r>
        <w:rPr>
          <w:rFonts w:hint="eastAsia" w:ascii="仿宋" w:hAnsi="仿宋" w:eastAsia="仿宋"/>
          <w:sz w:val="28"/>
          <w:szCs w:val="28"/>
        </w:rPr>
        <w:t>复印件。</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firstLine="566" w:firstLineChars="200"/>
        <w:textAlignment w:val="baseline"/>
        <w:rPr>
          <w:rFonts w:hint="eastAsia" w:ascii="仿宋" w:hAnsi="仿宋" w:eastAsia="仿宋"/>
          <w:sz w:val="28"/>
          <w:szCs w:val="28"/>
        </w:rPr>
      </w:pPr>
      <w:r>
        <w:rPr>
          <w:rFonts w:hint="eastAsia" w:ascii="仿宋" w:hAnsi="仿宋" w:eastAsia="仿宋"/>
          <w:sz w:val="28"/>
          <w:szCs w:val="28"/>
        </w:rPr>
        <w:t>估价对象区位条件、房地产销售价格、地价水平等估价资料由注册房地产估价师调查得出。</w:t>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rPr>
          <w:rFonts w:hint="eastAsia" w:ascii="仿宋" w:hAnsi="仿宋" w:eastAsia="仿宋" w:cs="仿宋"/>
          <w:sz w:val="28"/>
          <w:szCs w:val="28"/>
        </w:rPr>
      </w:pPr>
      <w:r>
        <w:rPr>
          <w:rFonts w:hint="eastAsia" w:ascii="仿宋" w:hAnsi="仿宋" w:eastAsia="仿宋" w:cs="仿宋"/>
          <w:sz w:val="28"/>
          <w:szCs w:val="28"/>
        </w:rPr>
        <w:t>(二)注册房地产估价师根据《房地产估价规范》、《房地产估价基本术语标准》及估价对象状况确定估价原则、方法及参数的选取。</w:t>
      </w:r>
    </w:p>
    <w:p>
      <w:pPr>
        <w:adjustRightInd w:val="0"/>
        <w:snapToGrid w:val="0"/>
        <w:spacing w:line="360" w:lineRule="auto"/>
        <w:ind w:firstLine="566" w:firstLineChars="200"/>
        <w:rPr>
          <w:rFonts w:hint="eastAsia" w:ascii="仿宋" w:hAnsi="仿宋" w:eastAsia="仿宋" w:cs="仿宋"/>
          <w:sz w:val="28"/>
          <w:szCs w:val="28"/>
        </w:rPr>
      </w:pPr>
    </w:p>
    <w:p>
      <w:pPr>
        <w:adjustRightInd w:val="0"/>
        <w:snapToGrid w:val="0"/>
        <w:spacing w:line="360" w:lineRule="auto"/>
        <w:rPr>
          <w:rFonts w:hint="eastAsia" w:ascii="仿宋" w:hAnsi="仿宋" w:eastAsia="仿宋" w:cs="仿宋"/>
          <w:sz w:val="28"/>
        </w:rPr>
        <w:sectPr>
          <w:headerReference r:id="rId14" w:type="default"/>
          <w:pgSz w:w="11906" w:h="16838"/>
          <w:pgMar w:top="1247" w:right="1020" w:bottom="1247" w:left="1497" w:header="907" w:footer="907" w:gutter="0"/>
          <w:cols w:space="720" w:num="1"/>
          <w:docGrid w:type="linesAndChars" w:linePitch="312" w:charSpace="693"/>
        </w:sectPr>
      </w:pPr>
    </w:p>
    <w:p>
      <w:pPr>
        <w:pStyle w:val="2"/>
        <w:adjustRightInd w:val="0"/>
        <w:snapToGrid w:val="0"/>
        <w:spacing w:line="420" w:lineRule="exact"/>
        <w:jc w:val="center"/>
        <w:rPr>
          <w:rFonts w:hint="eastAsia" w:ascii="仿宋" w:hAnsi="仿宋" w:eastAsia="仿宋" w:cs="仿宋"/>
          <w:bCs w:val="0"/>
          <w:snapToGrid w:val="0"/>
          <w:sz w:val="36"/>
          <w:szCs w:val="36"/>
        </w:rPr>
      </w:pPr>
      <w:bookmarkStart w:id="18" w:name="_Toc9107"/>
      <w:bookmarkStart w:id="19" w:name="_Toc408527825"/>
      <w:bookmarkStart w:id="20" w:name="_Toc437853089"/>
      <w:bookmarkStart w:id="21" w:name="_Toc22948"/>
      <w:bookmarkStart w:id="22" w:name="_Toc6899"/>
      <w:bookmarkStart w:id="23" w:name="_Toc2378"/>
      <w:bookmarkStart w:id="24" w:name="_Toc19362"/>
      <w:bookmarkStart w:id="25" w:name="_Toc19609"/>
      <w:r>
        <w:rPr>
          <w:rFonts w:hint="eastAsia" w:ascii="仿宋" w:hAnsi="仿宋" w:eastAsia="仿宋" w:cs="仿宋"/>
          <w:bCs w:val="0"/>
          <w:snapToGrid w:val="0"/>
          <w:sz w:val="36"/>
          <w:szCs w:val="36"/>
        </w:rPr>
        <w:t>估价结果报告</w:t>
      </w:r>
      <w:bookmarkEnd w:id="18"/>
      <w:bookmarkEnd w:id="19"/>
      <w:bookmarkEnd w:id="20"/>
      <w:bookmarkEnd w:id="21"/>
      <w:bookmarkEnd w:id="22"/>
      <w:bookmarkEnd w:id="23"/>
      <w:bookmarkEnd w:id="24"/>
      <w:bookmarkEnd w:id="25"/>
    </w:p>
    <w:p>
      <w:pPr>
        <w:pStyle w:val="3"/>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napToGrid w:val="0"/>
          <w:sz w:val="28"/>
          <w:szCs w:val="28"/>
        </w:rPr>
      </w:pPr>
      <w:bookmarkStart w:id="26" w:name="_Toc408527826"/>
      <w:bookmarkStart w:id="27" w:name="_Toc32184"/>
      <w:bookmarkStart w:id="28" w:name="_Toc27128"/>
      <w:bookmarkStart w:id="29" w:name="_Toc437853090"/>
      <w:bookmarkStart w:id="30" w:name="_Toc15305"/>
      <w:bookmarkStart w:id="31" w:name="_Toc27721"/>
      <w:bookmarkStart w:id="32" w:name="_Toc3305"/>
      <w:bookmarkStart w:id="33" w:name="_Toc14003"/>
      <w:r>
        <w:rPr>
          <w:rFonts w:hint="eastAsia" w:ascii="仿宋" w:hAnsi="仿宋" w:eastAsia="仿宋" w:cs="仿宋"/>
          <w:snapToGrid w:val="0"/>
          <w:sz w:val="28"/>
          <w:szCs w:val="28"/>
        </w:rPr>
        <w:t>一、估价委托人</w:t>
      </w:r>
      <w:bookmarkEnd w:id="26"/>
      <w:bookmarkEnd w:id="27"/>
      <w:bookmarkEnd w:id="28"/>
      <w:bookmarkEnd w:id="29"/>
      <w:bookmarkEnd w:id="30"/>
      <w:bookmarkEnd w:id="31"/>
      <w:bookmarkEnd w:id="32"/>
      <w:bookmarkEnd w:id="33"/>
    </w:p>
    <w:p>
      <w:pPr>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sz w:val="28"/>
          <w:lang w:eastAsia="zh-CN"/>
        </w:rPr>
      </w:pPr>
      <w:r>
        <w:rPr>
          <w:rFonts w:hint="eastAsia" w:ascii="仿宋" w:hAnsi="仿宋" w:eastAsia="仿宋" w:cs="仿宋"/>
          <w:sz w:val="28"/>
        </w:rPr>
        <w:t>名    称：</w:t>
      </w:r>
      <w:r>
        <w:rPr>
          <w:rFonts w:hint="eastAsia" w:ascii="仿宋" w:hAnsi="仿宋" w:eastAsia="仿宋" w:cs="仿宋"/>
          <w:sz w:val="28"/>
          <w:lang w:eastAsia="zh-CN"/>
        </w:rPr>
        <w:t>贵州省六盘水市钟山区人民法院</w:t>
      </w:r>
    </w:p>
    <w:p>
      <w:pPr>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sz w:val="28"/>
          <w:lang w:eastAsia="zh-CN"/>
        </w:rPr>
      </w:pPr>
      <w:r>
        <w:rPr>
          <w:rFonts w:hint="eastAsia" w:ascii="仿宋" w:hAnsi="仿宋" w:eastAsia="仿宋" w:cs="仿宋"/>
          <w:sz w:val="28"/>
        </w:rPr>
        <w:t>联系人：</w:t>
      </w:r>
      <w:r>
        <w:rPr>
          <w:rFonts w:hint="eastAsia" w:ascii="仿宋" w:hAnsi="仿宋" w:eastAsia="仿宋" w:cs="仿宋"/>
          <w:sz w:val="28"/>
          <w:lang w:eastAsia="zh-CN"/>
        </w:rPr>
        <w:t>谷法官</w:t>
      </w:r>
    </w:p>
    <w:p>
      <w:pPr>
        <w:pageBreakBefore w:val="0"/>
        <w:widowControl w:val="0"/>
        <w:kinsoku/>
        <w:wordWrap/>
        <w:overflowPunct/>
        <w:topLinePunct w:val="0"/>
        <w:autoSpaceDE/>
        <w:autoSpaceDN/>
        <w:bidi w:val="0"/>
        <w:adjustRightInd w:val="0"/>
        <w:snapToGrid w:val="0"/>
        <w:spacing w:line="360" w:lineRule="auto"/>
        <w:ind w:left="-4" w:firstLine="591"/>
        <w:textAlignment w:val="auto"/>
        <w:rPr>
          <w:rFonts w:hint="default" w:ascii="仿宋" w:hAnsi="仿宋" w:eastAsia="仿宋" w:cs="仿宋"/>
          <w:sz w:val="28"/>
          <w:lang w:val="en-US" w:eastAsia="zh-CN"/>
        </w:rPr>
      </w:pPr>
      <w:r>
        <w:rPr>
          <w:rFonts w:hint="eastAsia" w:ascii="仿宋" w:hAnsi="仿宋" w:eastAsia="仿宋" w:cs="仿宋"/>
          <w:sz w:val="28"/>
        </w:rPr>
        <w:t>联系电话：</w:t>
      </w:r>
      <w:r>
        <w:rPr>
          <w:rFonts w:hint="eastAsia" w:ascii="仿宋" w:hAnsi="仿宋" w:eastAsia="仿宋" w:cs="仿宋"/>
          <w:sz w:val="28"/>
          <w:lang w:val="en-US" w:eastAsia="zh-CN"/>
        </w:rPr>
        <w:t>18188088897</w:t>
      </w:r>
    </w:p>
    <w:p>
      <w:pPr>
        <w:pStyle w:val="3"/>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napToGrid w:val="0"/>
          <w:sz w:val="28"/>
          <w:szCs w:val="28"/>
        </w:rPr>
      </w:pPr>
      <w:bookmarkStart w:id="34" w:name="_Toc12856"/>
      <w:bookmarkStart w:id="35" w:name="_Toc1109"/>
      <w:bookmarkStart w:id="36" w:name="_Toc437853091"/>
      <w:bookmarkStart w:id="37" w:name="_Toc408527827"/>
      <w:bookmarkStart w:id="38" w:name="_Toc27627"/>
      <w:bookmarkStart w:id="39" w:name="_Toc18703"/>
      <w:bookmarkStart w:id="40" w:name="_Toc835"/>
      <w:bookmarkStart w:id="41" w:name="_Toc14106"/>
      <w:r>
        <w:rPr>
          <w:rFonts w:hint="eastAsia" w:ascii="仿宋" w:hAnsi="仿宋" w:eastAsia="仿宋" w:cs="仿宋"/>
          <w:snapToGrid w:val="0"/>
          <w:sz w:val="28"/>
          <w:szCs w:val="28"/>
        </w:rPr>
        <w:t>二、房地产估价机构</w:t>
      </w:r>
      <w:bookmarkEnd w:id="34"/>
      <w:bookmarkEnd w:id="35"/>
      <w:bookmarkEnd w:id="36"/>
      <w:bookmarkEnd w:id="37"/>
      <w:bookmarkEnd w:id="38"/>
      <w:bookmarkEnd w:id="39"/>
      <w:bookmarkEnd w:id="40"/>
      <w:bookmarkEnd w:id="41"/>
    </w:p>
    <w:p>
      <w:pPr>
        <w:pStyle w:val="4"/>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机构名称：四川诺力达资产评估房地产土地估价有限公司</w:t>
      </w:r>
    </w:p>
    <w:p>
      <w:pPr>
        <w:pStyle w:val="4"/>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法定代表人：韩雄辉</w:t>
      </w:r>
    </w:p>
    <w:p>
      <w:pPr>
        <w:pStyle w:val="4"/>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住所：成都市青羊区锣锅巷122号云龙大厦1506室</w:t>
      </w:r>
    </w:p>
    <w:p>
      <w:pPr>
        <w:pStyle w:val="4"/>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统一社会信用社代码：91510100720394781F</w:t>
      </w:r>
    </w:p>
    <w:p>
      <w:pPr>
        <w:pStyle w:val="4"/>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资质等级：壹级</w:t>
      </w:r>
    </w:p>
    <w:p>
      <w:pPr>
        <w:pStyle w:val="4"/>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证书编号：川建房估备字[2018]0152号</w:t>
      </w:r>
    </w:p>
    <w:p>
      <w:pPr>
        <w:pStyle w:val="4"/>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有效期限:2018年6月20日至2021年6月20日</w:t>
      </w:r>
    </w:p>
    <w:p>
      <w:pPr>
        <w:pStyle w:val="4"/>
        <w:pageBreakBefore w:val="0"/>
        <w:widowControl w:val="0"/>
        <w:kinsoku/>
        <w:wordWrap/>
        <w:overflowPunct/>
        <w:topLinePunct w:val="0"/>
        <w:autoSpaceDE/>
        <w:autoSpaceDN/>
        <w:bidi w:val="0"/>
        <w:spacing w:line="360" w:lineRule="auto"/>
        <w:ind w:firstLine="566" w:firstLineChars="200"/>
        <w:textAlignment w:val="auto"/>
        <w:rPr>
          <w:rFonts w:hint="default" w:ascii="仿宋" w:hAnsi="仿宋" w:eastAsia="仿宋" w:cs="仿宋"/>
          <w:sz w:val="28"/>
          <w:lang w:val="en-US" w:eastAsia="zh-CN"/>
        </w:rPr>
      </w:pPr>
      <w:r>
        <w:rPr>
          <w:rFonts w:hint="eastAsia" w:ascii="仿宋" w:hAnsi="仿宋" w:eastAsia="仿宋" w:cs="仿宋"/>
          <w:sz w:val="28"/>
        </w:rPr>
        <w:t>联系人及电话：</w:t>
      </w:r>
      <w:r>
        <w:rPr>
          <w:rFonts w:hint="eastAsia" w:ascii="仿宋" w:hAnsi="仿宋" w:eastAsia="仿宋" w:cs="仿宋"/>
          <w:sz w:val="28"/>
          <w:lang w:eastAsia="zh-CN"/>
        </w:rPr>
        <w:t>韩朝钦</w:t>
      </w:r>
      <w:r>
        <w:rPr>
          <w:rFonts w:hint="eastAsia" w:ascii="仿宋" w:hAnsi="仿宋" w:eastAsia="仿宋" w:cs="仿宋"/>
          <w:sz w:val="28"/>
        </w:rPr>
        <w:t xml:space="preserve"> </w:t>
      </w:r>
      <w:r>
        <w:rPr>
          <w:rFonts w:hint="eastAsia" w:ascii="仿宋" w:hAnsi="仿宋" w:eastAsia="仿宋" w:cs="仿宋"/>
          <w:sz w:val="28"/>
          <w:lang w:val="en-US" w:eastAsia="zh-CN"/>
        </w:rPr>
        <w:t>18096111086</w:t>
      </w:r>
    </w:p>
    <w:p>
      <w:pPr>
        <w:pStyle w:val="3"/>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napToGrid w:val="0"/>
          <w:sz w:val="28"/>
          <w:szCs w:val="28"/>
        </w:rPr>
      </w:pPr>
      <w:bookmarkStart w:id="42" w:name="_Toc7945"/>
      <w:bookmarkStart w:id="43" w:name="_Toc15898"/>
      <w:bookmarkStart w:id="44" w:name="_Toc437853092"/>
      <w:bookmarkStart w:id="45" w:name="_Toc11614"/>
      <w:bookmarkStart w:id="46" w:name="_Toc30281"/>
      <w:bookmarkStart w:id="47" w:name="_Toc21049"/>
      <w:bookmarkStart w:id="48" w:name="_Toc408527828"/>
      <w:bookmarkStart w:id="49" w:name="_Toc7540"/>
      <w:r>
        <w:rPr>
          <w:rFonts w:hint="eastAsia" w:ascii="仿宋" w:hAnsi="仿宋" w:eastAsia="仿宋" w:cs="仿宋"/>
          <w:snapToGrid w:val="0"/>
          <w:sz w:val="28"/>
          <w:szCs w:val="28"/>
        </w:rPr>
        <w:t>三、估价对象</w:t>
      </w:r>
      <w:bookmarkEnd w:id="42"/>
      <w:bookmarkEnd w:id="43"/>
      <w:bookmarkEnd w:id="44"/>
      <w:bookmarkEnd w:id="45"/>
      <w:bookmarkEnd w:id="46"/>
      <w:bookmarkEnd w:id="47"/>
      <w:bookmarkEnd w:id="48"/>
      <w:bookmarkEnd w:id="49"/>
    </w:p>
    <w:p>
      <w:pPr>
        <w:pageBreakBefore w:val="0"/>
        <w:widowControl w:val="0"/>
        <w:kinsoku/>
        <w:wordWrap/>
        <w:overflowPunct/>
        <w:topLinePunct w:val="0"/>
        <w:autoSpaceDE/>
        <w:autoSpaceDN/>
        <w:bidi w:val="0"/>
        <w:spacing w:line="360" w:lineRule="auto"/>
        <w:ind w:firstLine="566" w:firstLineChars="200"/>
        <w:textAlignment w:val="auto"/>
        <w:rPr>
          <w:rFonts w:ascii="仿宋" w:hAnsi="仿宋" w:eastAsia="仿宋" w:cs="仿宋"/>
          <w:color w:val="000000"/>
          <w:sz w:val="28"/>
          <w:szCs w:val="28"/>
        </w:rPr>
      </w:pPr>
      <w:bookmarkStart w:id="50" w:name="_Toc408527829"/>
      <w:r>
        <w:rPr>
          <w:rFonts w:hint="eastAsia" w:ascii="仿宋" w:hAnsi="仿宋" w:eastAsia="仿宋" w:cs="仿宋"/>
          <w:color w:val="000000"/>
          <w:sz w:val="28"/>
          <w:szCs w:val="28"/>
        </w:rPr>
        <w:t xml:space="preserve">（一）基本状况  </w:t>
      </w:r>
    </w:p>
    <w:p>
      <w:pPr>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szCs w:val="28"/>
        </w:rPr>
      </w:pPr>
      <w:r>
        <w:rPr>
          <w:rFonts w:hint="eastAsia" w:ascii="仿宋" w:hAnsi="仿宋" w:eastAsia="仿宋" w:cs="仿宋"/>
          <w:sz w:val="28"/>
          <w:szCs w:val="28"/>
        </w:rPr>
        <w:t>名称：“</w:t>
      </w:r>
      <w:r>
        <w:rPr>
          <w:rFonts w:hint="eastAsia" w:ascii="仿宋" w:hAnsi="仿宋" w:eastAsia="仿宋" w:cs="仿宋"/>
          <w:sz w:val="28"/>
          <w:lang w:eastAsia="zh-CN"/>
        </w:rPr>
        <w:t>六盘水市钟山区钟山中路81号2栋附87号</w:t>
      </w:r>
      <w:r>
        <w:rPr>
          <w:rFonts w:hint="eastAsia" w:ascii="仿宋" w:hAnsi="仿宋" w:eastAsia="仿宋" w:cs="仿宋"/>
          <w:sz w:val="28"/>
          <w:szCs w:val="28"/>
        </w:rPr>
        <w:t>”住宅用房；</w:t>
      </w:r>
    </w:p>
    <w:p>
      <w:pPr>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szCs w:val="28"/>
        </w:rPr>
      </w:pPr>
      <w:r>
        <w:rPr>
          <w:rFonts w:hint="eastAsia" w:ascii="仿宋" w:hAnsi="仿宋" w:eastAsia="仿宋" w:cs="仿宋"/>
          <w:sz w:val="28"/>
          <w:szCs w:val="28"/>
        </w:rPr>
        <w:t>坐落：</w:t>
      </w:r>
      <w:r>
        <w:rPr>
          <w:rFonts w:hint="eastAsia" w:ascii="仿宋" w:hAnsi="仿宋" w:eastAsia="仿宋" w:cs="仿宋"/>
          <w:sz w:val="28"/>
          <w:lang w:eastAsia="zh-CN"/>
        </w:rPr>
        <w:t>六盘水市钟山区钟山中路81号2栋附87号</w:t>
      </w:r>
      <w:r>
        <w:rPr>
          <w:rFonts w:hint="eastAsia" w:ascii="仿宋" w:hAnsi="仿宋" w:eastAsia="仿宋" w:cs="仿宋"/>
          <w:sz w:val="28"/>
          <w:szCs w:val="28"/>
        </w:rPr>
        <w:t>；</w:t>
      </w:r>
    </w:p>
    <w:p>
      <w:pPr>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szCs w:val="28"/>
        </w:rPr>
      </w:pPr>
      <w:r>
        <w:rPr>
          <w:rFonts w:hint="eastAsia" w:ascii="仿宋" w:hAnsi="仿宋" w:eastAsia="仿宋" w:cs="仿宋"/>
          <w:sz w:val="28"/>
          <w:szCs w:val="28"/>
        </w:rPr>
        <w:t>范围：估价对象包括房屋及其分摊的土地使用权、以及室内装饰装修，不包含室内动产；</w:t>
      </w:r>
    </w:p>
    <w:p>
      <w:pPr>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szCs w:val="28"/>
        </w:rPr>
      </w:pPr>
      <w:r>
        <w:rPr>
          <w:rFonts w:hint="eastAsia" w:ascii="仿宋" w:hAnsi="仿宋" w:eastAsia="仿宋" w:cs="仿宋"/>
          <w:sz w:val="28"/>
          <w:szCs w:val="28"/>
        </w:rPr>
        <w:t>规模：建筑面积</w:t>
      </w:r>
      <w:r>
        <w:rPr>
          <w:rFonts w:hint="eastAsia" w:ascii="仿宋" w:hAnsi="仿宋" w:eastAsia="仿宋" w:cs="仿宋"/>
          <w:sz w:val="28"/>
          <w:szCs w:val="28"/>
          <w:highlight w:val="none"/>
          <w:lang w:eastAsia="zh-CN"/>
        </w:rPr>
        <w:t>137.66</w:t>
      </w:r>
      <w:r>
        <w:rPr>
          <w:rFonts w:hint="eastAsia" w:ascii="仿宋" w:hAnsi="仿宋" w:eastAsia="仿宋" w:cs="仿宋"/>
          <w:sz w:val="28"/>
          <w:szCs w:val="28"/>
          <w:highlight w:val="none"/>
        </w:rPr>
        <w:t>平方米</w:t>
      </w:r>
      <w:r>
        <w:rPr>
          <w:rFonts w:hint="eastAsia" w:ascii="仿宋" w:hAnsi="仿宋" w:eastAsia="仿宋" w:cs="仿宋"/>
          <w:sz w:val="28"/>
          <w:szCs w:val="28"/>
        </w:rPr>
        <w:t>，分摊土地使用权面积</w:t>
      </w:r>
      <w:r>
        <w:rPr>
          <w:rFonts w:hint="eastAsia" w:ascii="仿宋" w:hAnsi="仿宋" w:eastAsia="仿宋" w:cs="仿宋"/>
          <w:sz w:val="28"/>
          <w:szCs w:val="28"/>
          <w:lang w:val="en-US" w:eastAsia="zh-CN"/>
        </w:rPr>
        <w:t>不详</w:t>
      </w:r>
      <w:r>
        <w:rPr>
          <w:rFonts w:hint="eastAsia" w:ascii="仿宋" w:hAnsi="仿宋" w:eastAsia="仿宋" w:cs="仿宋"/>
          <w:sz w:val="28"/>
          <w:szCs w:val="28"/>
        </w:rPr>
        <w:t>；</w:t>
      </w:r>
    </w:p>
    <w:p>
      <w:pPr>
        <w:pageBreakBefore w:val="0"/>
        <w:widowControl w:val="0"/>
        <w:kinsoku/>
        <w:wordWrap/>
        <w:overflowPunct/>
        <w:topLinePunct w:val="0"/>
        <w:autoSpaceDE/>
        <w:autoSpaceDN/>
        <w:bidi w:val="0"/>
        <w:spacing w:line="360" w:lineRule="auto"/>
        <w:ind w:firstLine="566"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rPr>
        <w:t>用途：</w:t>
      </w:r>
      <w:r>
        <w:rPr>
          <w:rFonts w:hint="eastAsia" w:ascii="仿宋" w:hAnsi="仿宋" w:eastAsia="仿宋" w:cs="仿宋"/>
          <w:sz w:val="28"/>
          <w:szCs w:val="28"/>
          <w:lang w:eastAsia="zh-CN"/>
        </w:rPr>
        <w:t>估价对象</w:t>
      </w:r>
      <w:r>
        <w:rPr>
          <w:rFonts w:hint="eastAsia" w:ascii="仿宋" w:hAnsi="仿宋" w:eastAsia="仿宋" w:cs="仿宋"/>
          <w:sz w:val="28"/>
          <w:szCs w:val="28"/>
        </w:rPr>
        <w:t>规划用途</w:t>
      </w:r>
      <w:r>
        <w:rPr>
          <w:rFonts w:hint="eastAsia" w:ascii="仿宋" w:hAnsi="仿宋" w:eastAsia="仿宋" w:cs="仿宋"/>
          <w:sz w:val="28"/>
          <w:szCs w:val="28"/>
          <w:lang w:eastAsia="zh-CN"/>
        </w:rPr>
        <w:t>为</w:t>
      </w:r>
      <w:r>
        <w:rPr>
          <w:rFonts w:hint="eastAsia" w:ascii="仿宋" w:hAnsi="仿宋" w:eastAsia="仿宋" w:cs="仿宋"/>
          <w:sz w:val="28"/>
          <w:szCs w:val="28"/>
        </w:rPr>
        <w:t>住宅，实际用途</w:t>
      </w:r>
      <w:r>
        <w:rPr>
          <w:rFonts w:hint="eastAsia" w:ascii="仿宋" w:hAnsi="仿宋" w:eastAsia="仿宋" w:cs="仿宋"/>
          <w:sz w:val="28"/>
          <w:szCs w:val="28"/>
          <w:lang w:eastAsia="zh-CN"/>
        </w:rPr>
        <w:t>为</w:t>
      </w:r>
      <w:r>
        <w:rPr>
          <w:rFonts w:hint="eastAsia" w:ascii="仿宋" w:hAnsi="仿宋" w:eastAsia="仿宋" w:cs="仿宋"/>
          <w:sz w:val="28"/>
          <w:szCs w:val="28"/>
        </w:rPr>
        <w:t>住宅</w:t>
      </w:r>
      <w:r>
        <w:rPr>
          <w:rFonts w:hint="eastAsia" w:ascii="仿宋" w:hAnsi="仿宋" w:eastAsia="仿宋" w:cs="仿宋"/>
          <w:sz w:val="28"/>
          <w:szCs w:val="28"/>
          <w:lang w:val="en-US" w:eastAsia="zh-CN"/>
        </w:rPr>
        <w:t>。</w:t>
      </w:r>
    </w:p>
    <w:p>
      <w:pPr>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szCs w:val="28"/>
        </w:rPr>
      </w:pPr>
      <w:r>
        <w:rPr>
          <w:rFonts w:hint="eastAsia" w:ascii="仿宋" w:hAnsi="仿宋" w:eastAsia="仿宋" w:cs="仿宋"/>
          <w:sz w:val="28"/>
          <w:szCs w:val="28"/>
        </w:rPr>
        <w:t>（二）权益状况</w:t>
      </w:r>
    </w:p>
    <w:p>
      <w:pPr>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szCs w:val="28"/>
        </w:rPr>
      </w:pPr>
      <w:r>
        <w:rPr>
          <w:rFonts w:hint="eastAsia" w:ascii="仿宋" w:hAnsi="仿宋" w:eastAsia="仿宋" w:cs="仿宋"/>
          <w:sz w:val="28"/>
          <w:szCs w:val="28"/>
        </w:rPr>
        <w:t>1、建筑物权益状况</w:t>
      </w:r>
    </w:p>
    <w:p>
      <w:pPr>
        <w:pageBreakBefore w:val="0"/>
        <w:widowControl w:val="0"/>
        <w:kinsoku/>
        <w:wordWrap/>
        <w:overflowPunct/>
        <w:topLinePunct w:val="0"/>
        <w:autoSpaceDE/>
        <w:autoSpaceDN/>
        <w:bidi w:val="0"/>
        <w:spacing w:line="360" w:lineRule="auto"/>
        <w:ind w:firstLine="566" w:firstLineChars="200"/>
        <w:textAlignment w:val="auto"/>
        <w:rPr>
          <w:rFonts w:hint="eastAsia" w:ascii="仿宋" w:hAnsi="仿宋" w:eastAsia="仿宋" w:cs="仿宋"/>
          <w:sz w:val="28"/>
          <w:szCs w:val="28"/>
        </w:rPr>
      </w:pPr>
      <w:r>
        <w:rPr>
          <w:rFonts w:hint="eastAsia" w:ascii="仿宋" w:hAnsi="仿宋" w:eastAsia="仿宋" w:cs="仿宋"/>
          <w:sz w:val="28"/>
        </w:rPr>
        <w:t>①房屋所有权</w:t>
      </w:r>
    </w:p>
    <w:p>
      <w:pPr>
        <w:pageBreakBefore w:val="0"/>
        <w:widowControl w:val="0"/>
        <w:kinsoku/>
        <w:wordWrap/>
        <w:overflowPunct/>
        <w:topLinePunct w:val="0"/>
        <w:autoSpaceDE/>
        <w:autoSpaceDN/>
        <w:bidi w:val="0"/>
        <w:adjustRightInd w:val="0"/>
        <w:snapToGrid w:val="0"/>
        <w:spacing w:line="360" w:lineRule="auto"/>
        <w:ind w:firstLine="566" w:firstLineChars="200"/>
        <w:jc w:val="left"/>
        <w:textAlignment w:val="auto"/>
        <w:rPr>
          <w:rFonts w:hint="eastAsia" w:ascii="仿宋" w:hAnsi="仿宋" w:eastAsia="仿宋" w:cs="仿宋"/>
          <w:snapToGrid w:val="0"/>
          <w:kern w:val="0"/>
          <w:sz w:val="28"/>
          <w:szCs w:val="28"/>
        </w:rPr>
      </w:pPr>
      <w:r>
        <w:rPr>
          <w:rFonts w:hint="eastAsia" w:ascii="仿宋" w:hAnsi="仿宋" w:eastAsia="仿宋" w:cs="仿宋"/>
          <w:sz w:val="28"/>
          <w:szCs w:val="28"/>
        </w:rPr>
        <w:t>估价委托人和当事人均未能提供估价对象的</w:t>
      </w:r>
      <w:r>
        <w:rPr>
          <w:rFonts w:hint="eastAsia" w:ascii="仿宋" w:hAnsi="仿宋" w:eastAsia="仿宋" w:cs="仿宋"/>
          <w:sz w:val="28"/>
          <w:szCs w:val="28"/>
          <w:lang w:eastAsia="zh-CN"/>
        </w:rPr>
        <w:t>《房屋所有权证》、《国有土地使用证》或《不动产权证书》复印件</w:t>
      </w:r>
      <w:r>
        <w:rPr>
          <w:rFonts w:hint="eastAsia" w:ascii="仿宋" w:hAnsi="仿宋" w:eastAsia="仿宋" w:cs="仿宋"/>
          <w:sz w:val="28"/>
          <w:szCs w:val="28"/>
        </w:rPr>
        <w:t>，根据其提供的</w:t>
      </w:r>
      <w:r>
        <w:rPr>
          <w:rFonts w:hint="eastAsia" w:ascii="仿宋" w:hAnsi="仿宋" w:eastAsia="仿宋" w:cs="仿宋"/>
          <w:sz w:val="28"/>
          <w:szCs w:val="28"/>
          <w:lang w:eastAsia="zh-CN"/>
        </w:rPr>
        <w:t>《房屋记载表》及《个人不动产信息情况证明》复印件</w:t>
      </w:r>
      <w:r>
        <w:rPr>
          <w:rFonts w:hint="eastAsia" w:ascii="仿宋" w:hAnsi="仿宋" w:eastAsia="仿宋" w:cs="仿宋"/>
          <w:sz w:val="28"/>
          <w:szCs w:val="28"/>
        </w:rPr>
        <w:t>，</w:t>
      </w:r>
      <w:r>
        <w:rPr>
          <w:rFonts w:hint="eastAsia" w:ascii="仿宋" w:hAnsi="仿宋" w:eastAsia="仿宋" w:cs="仿宋"/>
          <w:sz w:val="28"/>
          <w:szCs w:val="28"/>
          <w:lang w:eastAsia="zh-CN"/>
        </w:rPr>
        <w:t>其载明的</w:t>
      </w:r>
      <w:r>
        <w:rPr>
          <w:rFonts w:hint="eastAsia" w:ascii="仿宋" w:hAnsi="仿宋" w:eastAsia="仿宋" w:cs="仿宋"/>
          <w:sz w:val="28"/>
          <w:szCs w:val="28"/>
        </w:rPr>
        <w:t>不</w:t>
      </w:r>
      <w:r>
        <w:rPr>
          <w:rFonts w:hint="eastAsia" w:ascii="仿宋" w:hAnsi="仿宋" w:eastAsia="仿宋" w:cs="仿宋"/>
          <w:snapToGrid w:val="0"/>
          <w:kern w:val="0"/>
          <w:sz w:val="28"/>
          <w:szCs w:val="28"/>
        </w:rPr>
        <w:t>动产状况见下表：</w:t>
      </w:r>
    </w:p>
    <w:tbl>
      <w:tblPr>
        <w:tblStyle w:val="9"/>
        <w:tblW w:w="5117" w:type="pct"/>
        <w:tblInd w:w="-179" w:type="dxa"/>
        <w:tblLayout w:type="fixed"/>
        <w:tblCellMar>
          <w:top w:w="0" w:type="dxa"/>
          <w:left w:w="0" w:type="dxa"/>
          <w:bottom w:w="0" w:type="dxa"/>
          <w:right w:w="0" w:type="dxa"/>
        </w:tblCellMar>
      </w:tblPr>
      <w:tblGrid>
        <w:gridCol w:w="964"/>
        <w:gridCol w:w="2276"/>
        <w:gridCol w:w="2276"/>
        <w:gridCol w:w="919"/>
        <w:gridCol w:w="498"/>
        <w:gridCol w:w="579"/>
        <w:gridCol w:w="670"/>
        <w:gridCol w:w="670"/>
        <w:gridCol w:w="789"/>
      </w:tblGrid>
      <w:tr>
        <w:tblPrEx>
          <w:tblCellMar>
            <w:top w:w="0" w:type="dxa"/>
            <w:left w:w="0" w:type="dxa"/>
            <w:bottom w:w="0" w:type="dxa"/>
            <w:right w:w="0" w:type="dxa"/>
          </w:tblCellMar>
        </w:tblPrEx>
        <w:trPr>
          <w:trHeight w:val="520" w:hRule="atLeast"/>
        </w:trPr>
        <w:tc>
          <w:tcPr>
            <w:tcW w:w="499" w:type="pct"/>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产权人</w:t>
            </w:r>
          </w:p>
        </w:tc>
        <w:tc>
          <w:tcPr>
            <w:tcW w:w="1180"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房屋坐落</w:t>
            </w:r>
          </w:p>
        </w:tc>
        <w:tc>
          <w:tcPr>
            <w:tcW w:w="1180"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不动产单元号</w:t>
            </w:r>
          </w:p>
        </w:tc>
        <w:tc>
          <w:tcPr>
            <w:tcW w:w="47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项目名称</w:t>
            </w:r>
          </w:p>
        </w:tc>
        <w:tc>
          <w:tcPr>
            <w:tcW w:w="258"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所在层</w:t>
            </w:r>
          </w:p>
        </w:tc>
        <w:tc>
          <w:tcPr>
            <w:tcW w:w="300"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房号</w:t>
            </w:r>
          </w:p>
        </w:tc>
        <w:tc>
          <w:tcPr>
            <w:tcW w:w="34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规划用途</w:t>
            </w:r>
          </w:p>
        </w:tc>
        <w:tc>
          <w:tcPr>
            <w:tcW w:w="34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建筑结构</w:t>
            </w:r>
          </w:p>
        </w:tc>
        <w:tc>
          <w:tcPr>
            <w:tcW w:w="40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kern w:val="0"/>
                <w:sz w:val="21"/>
                <w:szCs w:val="21"/>
                <w:u w:val="none"/>
                <w:lang w:val="en-US" w:eastAsia="zh-CN" w:bidi="ar"/>
              </w:rPr>
            </w:pPr>
            <w:r>
              <w:rPr>
                <w:rFonts w:hint="eastAsia" w:ascii="仿宋" w:hAnsi="仿宋" w:eastAsia="仿宋" w:cs="仿宋"/>
                <w:b/>
                <w:bCs/>
                <w:i w:val="0"/>
                <w:color w:val="535353"/>
                <w:kern w:val="0"/>
                <w:sz w:val="21"/>
                <w:szCs w:val="21"/>
                <w:u w:val="none"/>
                <w:lang w:val="en-US" w:eastAsia="zh-CN" w:bidi="ar"/>
              </w:rPr>
              <w:t>建筑面积</w:t>
            </w:r>
            <w:r>
              <w:rPr>
                <w:rFonts w:hint="eastAsia" w:ascii="仿宋" w:hAnsi="仿宋" w:eastAsia="仿宋" w:cs="仿宋"/>
                <w:b/>
                <w:bCs/>
                <w:i w:val="0"/>
                <w:color w:val="535353"/>
                <w:kern w:val="0"/>
                <w:sz w:val="18"/>
                <w:szCs w:val="18"/>
                <w:u w:val="none"/>
                <w:lang w:val="en-US" w:eastAsia="zh-CN" w:bidi="ar"/>
              </w:rPr>
              <w:t>（m</w:t>
            </w:r>
            <w:r>
              <w:rPr>
                <w:rFonts w:hint="eastAsia" w:ascii="仿宋" w:hAnsi="仿宋" w:eastAsia="仿宋" w:cs="仿宋"/>
                <w:b/>
                <w:bCs/>
                <w:i w:val="0"/>
                <w:color w:val="535353"/>
                <w:kern w:val="0"/>
                <w:sz w:val="18"/>
                <w:szCs w:val="18"/>
                <w:u w:val="none"/>
                <w:vertAlign w:val="superscript"/>
                <w:lang w:bidi="ar"/>
              </w:rPr>
              <w:t>2</w:t>
            </w:r>
            <w:r>
              <w:rPr>
                <w:rFonts w:hint="eastAsia" w:ascii="仿宋" w:hAnsi="仿宋" w:eastAsia="仿宋" w:cs="仿宋"/>
                <w:b/>
                <w:bCs/>
                <w:i w:val="0"/>
                <w:color w:val="535353"/>
                <w:kern w:val="0"/>
                <w:sz w:val="18"/>
                <w:szCs w:val="18"/>
                <w:u w:val="none"/>
                <w:lang w:bidi="ar"/>
              </w:rPr>
              <w:t>）</w:t>
            </w:r>
          </w:p>
        </w:tc>
      </w:tr>
      <w:tr>
        <w:tblPrEx>
          <w:tblCellMar>
            <w:top w:w="0" w:type="dxa"/>
            <w:left w:w="0" w:type="dxa"/>
            <w:bottom w:w="0" w:type="dxa"/>
            <w:right w:w="0" w:type="dxa"/>
          </w:tblCellMar>
        </w:tblPrEx>
        <w:trPr>
          <w:trHeight w:val="1140" w:hRule="atLeast"/>
        </w:trPr>
        <w:tc>
          <w:tcPr>
            <w:tcW w:w="499" w:type="pct"/>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陈顺龙</w:t>
            </w:r>
          </w:p>
        </w:tc>
        <w:tc>
          <w:tcPr>
            <w:tcW w:w="1180"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六盘水市钟山区钟山中路81号2栋附87号</w:t>
            </w:r>
          </w:p>
        </w:tc>
        <w:tc>
          <w:tcPr>
            <w:tcW w:w="1180"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520201005007GB00006F00010510</w:t>
            </w:r>
          </w:p>
        </w:tc>
        <w:tc>
          <w:tcPr>
            <w:tcW w:w="47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龙城广场</w:t>
            </w:r>
          </w:p>
        </w:tc>
        <w:tc>
          <w:tcPr>
            <w:tcW w:w="258"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25</w:t>
            </w:r>
          </w:p>
        </w:tc>
        <w:tc>
          <w:tcPr>
            <w:tcW w:w="300"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附87</w:t>
            </w:r>
          </w:p>
        </w:tc>
        <w:tc>
          <w:tcPr>
            <w:tcW w:w="34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住宅</w:t>
            </w:r>
          </w:p>
        </w:tc>
        <w:tc>
          <w:tcPr>
            <w:tcW w:w="34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钢混</w:t>
            </w:r>
          </w:p>
        </w:tc>
        <w:tc>
          <w:tcPr>
            <w:tcW w:w="40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137.66</w:t>
            </w:r>
          </w:p>
        </w:tc>
      </w:tr>
    </w:tbl>
    <w:p>
      <w:pPr>
        <w:pageBreakBefore w:val="0"/>
        <w:widowControl w:val="0"/>
        <w:tabs>
          <w:tab w:val="left" w:pos="180"/>
        </w:tabs>
        <w:kinsoku/>
        <w:wordWrap/>
        <w:overflowPunct/>
        <w:topLinePunct w:val="0"/>
        <w:autoSpaceDE/>
        <w:autoSpaceDN/>
        <w:bidi w:val="0"/>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②其他</w:t>
      </w:r>
    </w:p>
    <w:p>
      <w:pPr>
        <w:pageBreakBefore w:val="0"/>
        <w:widowControl w:val="0"/>
        <w:tabs>
          <w:tab w:val="left" w:pos="180"/>
        </w:tabs>
        <w:kinsoku/>
        <w:wordWrap/>
        <w:overflowPunct/>
        <w:topLinePunct w:val="0"/>
        <w:autoSpaceDE/>
        <w:autoSpaceDN/>
        <w:bidi w:val="0"/>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所在物业有物业管理。</w:t>
      </w:r>
    </w:p>
    <w:p>
      <w:pPr>
        <w:pageBreakBefore w:val="0"/>
        <w:widowControl w:val="0"/>
        <w:tabs>
          <w:tab w:val="left" w:pos="180"/>
        </w:tabs>
        <w:kinsoku/>
        <w:wordWrap/>
        <w:overflowPunct/>
        <w:topLinePunct w:val="0"/>
        <w:autoSpaceDE/>
        <w:autoSpaceDN/>
        <w:bidi w:val="0"/>
        <w:adjustRightInd w:val="0"/>
        <w:snapToGrid w:val="0"/>
        <w:spacing w:line="360" w:lineRule="auto"/>
        <w:ind w:firstLine="538"/>
        <w:rPr>
          <w:rFonts w:hint="eastAsia" w:ascii="仿宋" w:hAnsi="仿宋" w:eastAsia="仿宋" w:cs="仿宋"/>
          <w:sz w:val="28"/>
        </w:rPr>
      </w:pPr>
      <w:r>
        <w:rPr>
          <w:rFonts w:hint="eastAsia" w:ascii="仿宋" w:hAnsi="仿宋" w:eastAsia="仿宋" w:cs="仿宋"/>
          <w:sz w:val="28"/>
        </w:rPr>
        <w:t>2、土地权益状况</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①土地所有权</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估价对象所在宗地为国有土地，所有权属国家。</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highlight w:val="none"/>
        </w:rPr>
        <w:t>②土地使用权</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napToGrid w:val="0"/>
          <w:kern w:val="0"/>
          <w:sz w:val="28"/>
          <w:szCs w:val="28"/>
          <w:lang w:eastAsia="zh-CN"/>
        </w:rPr>
      </w:pPr>
      <w:r>
        <w:rPr>
          <w:rFonts w:hint="eastAsia" w:ascii="仿宋" w:hAnsi="仿宋" w:eastAsia="仿宋" w:cs="仿宋"/>
          <w:sz w:val="28"/>
          <w:highlight w:val="none"/>
        </w:rPr>
        <w:t>估价委托人和当事人均未能提供估价对象的</w:t>
      </w:r>
      <w:r>
        <w:rPr>
          <w:rFonts w:hint="eastAsia" w:ascii="仿宋" w:hAnsi="仿宋" w:eastAsia="仿宋" w:cs="仿宋"/>
          <w:sz w:val="28"/>
          <w:highlight w:val="none"/>
          <w:lang w:eastAsia="zh-CN"/>
        </w:rPr>
        <w:t>《国有土地使用证》或《不动产权证书》复印件</w:t>
      </w:r>
      <w:r>
        <w:rPr>
          <w:rFonts w:hint="eastAsia" w:ascii="仿宋" w:hAnsi="仿宋" w:eastAsia="仿宋" w:cs="仿宋"/>
          <w:sz w:val="28"/>
          <w:highlight w:val="none"/>
        </w:rPr>
        <w:t>，根据其提供的</w:t>
      </w:r>
      <w:r>
        <w:rPr>
          <w:rFonts w:hint="eastAsia" w:ascii="仿宋" w:hAnsi="仿宋" w:eastAsia="仿宋" w:cs="仿宋"/>
          <w:sz w:val="28"/>
          <w:szCs w:val="28"/>
          <w:lang w:eastAsia="zh-CN"/>
        </w:rPr>
        <w:t>《房屋记载表》</w:t>
      </w:r>
      <w:r>
        <w:rPr>
          <w:rFonts w:hint="eastAsia" w:ascii="仿宋" w:hAnsi="仿宋" w:eastAsia="仿宋" w:cs="仿宋"/>
          <w:sz w:val="28"/>
          <w:highlight w:val="none"/>
        </w:rPr>
        <w:t>复印件</w:t>
      </w:r>
      <w:r>
        <w:rPr>
          <w:rFonts w:hint="eastAsia" w:ascii="仿宋" w:hAnsi="仿宋" w:eastAsia="仿宋" w:cs="仿宋"/>
          <w:sz w:val="28"/>
          <w:highlight w:val="none"/>
          <w:lang w:eastAsia="zh-CN"/>
        </w:rPr>
        <w:t>记载估价对象土地信息为黔钟经国用（</w:t>
      </w:r>
      <w:r>
        <w:rPr>
          <w:rFonts w:hint="eastAsia" w:ascii="仿宋" w:hAnsi="仿宋" w:eastAsia="仿宋" w:cs="仿宋"/>
          <w:sz w:val="28"/>
          <w:highlight w:val="none"/>
          <w:lang w:val="en-US" w:eastAsia="zh-CN"/>
        </w:rPr>
        <w:t>2008</w:t>
      </w:r>
      <w:r>
        <w:rPr>
          <w:rFonts w:hint="eastAsia" w:ascii="仿宋" w:hAnsi="仿宋" w:eastAsia="仿宋" w:cs="仿宋"/>
          <w:sz w:val="28"/>
          <w:highlight w:val="none"/>
          <w:lang w:eastAsia="zh-CN"/>
        </w:rPr>
        <w:t>）第</w:t>
      </w:r>
      <w:r>
        <w:rPr>
          <w:rFonts w:hint="eastAsia" w:ascii="仿宋" w:hAnsi="仿宋" w:eastAsia="仿宋" w:cs="仿宋"/>
          <w:sz w:val="28"/>
          <w:highlight w:val="none"/>
          <w:lang w:val="en-US" w:eastAsia="zh-CN"/>
        </w:rPr>
        <w:t>0005号的用途：综合、终止日期：2057年11月22日；黔钟经国用（2010）第1208号的用途：商服、住宅；终止日期：商服2047年11月21日、住宅2077年11月21日。</w:t>
      </w:r>
      <w:r>
        <w:rPr>
          <w:rFonts w:hint="eastAsia" w:ascii="仿宋" w:hAnsi="仿宋" w:eastAsia="仿宋" w:cs="仿宋"/>
          <w:sz w:val="28"/>
          <w:highlight w:val="none"/>
        </w:rPr>
        <w:t>根据其提供的</w:t>
      </w:r>
      <w:r>
        <w:rPr>
          <w:rFonts w:hint="eastAsia" w:ascii="仿宋" w:hAnsi="仿宋" w:eastAsia="仿宋" w:cs="仿宋"/>
          <w:sz w:val="28"/>
          <w:szCs w:val="28"/>
          <w:lang w:eastAsia="zh-CN"/>
        </w:rPr>
        <w:t>《房屋记载表》、《个人不动产信息情况证明》</w:t>
      </w:r>
      <w:r>
        <w:rPr>
          <w:rFonts w:hint="eastAsia" w:ascii="仿宋" w:hAnsi="仿宋" w:eastAsia="仿宋" w:cs="仿宋"/>
          <w:sz w:val="28"/>
          <w:highlight w:val="none"/>
        </w:rPr>
        <w:t>复印件</w:t>
      </w:r>
      <w:r>
        <w:rPr>
          <w:rFonts w:hint="eastAsia" w:ascii="仿宋" w:hAnsi="仿宋" w:eastAsia="仿宋" w:cs="仿宋"/>
          <w:sz w:val="28"/>
          <w:highlight w:val="none"/>
          <w:lang w:eastAsia="zh-CN"/>
        </w:rPr>
        <w:t>及估价人员现场查勘了解，</w:t>
      </w:r>
      <w:r>
        <w:rPr>
          <w:rFonts w:hint="eastAsia" w:ascii="仿宋" w:hAnsi="仿宋" w:eastAsia="仿宋" w:cs="仿宋"/>
          <w:sz w:val="28"/>
          <w:highlight w:val="none"/>
        </w:rPr>
        <w:t>估价对象为住宅房地产，对应分摊的土地使用权类型为国有出让</w:t>
      </w:r>
      <w:r>
        <w:rPr>
          <w:rFonts w:hint="eastAsia" w:ascii="仿宋" w:hAnsi="仿宋" w:eastAsia="仿宋" w:cs="仿宋"/>
          <w:sz w:val="28"/>
          <w:highlight w:val="none"/>
          <w:lang w:eastAsia="zh-CN"/>
        </w:rPr>
        <w:t>，</w:t>
      </w:r>
      <w:r>
        <w:rPr>
          <w:rFonts w:hint="eastAsia" w:ascii="仿宋" w:hAnsi="仿宋" w:eastAsia="仿宋" w:cs="仿宋"/>
          <w:sz w:val="28"/>
          <w:highlight w:val="none"/>
        </w:rPr>
        <w:t>本次估价假设估价对象土地用途</w:t>
      </w:r>
      <w:r>
        <w:rPr>
          <w:rFonts w:hint="eastAsia" w:ascii="仿宋" w:hAnsi="仿宋" w:eastAsia="仿宋" w:cs="仿宋"/>
          <w:sz w:val="28"/>
          <w:highlight w:val="none"/>
          <w:lang w:eastAsia="zh-CN"/>
        </w:rPr>
        <w:t>与房屋用途一致，土地使用权人与房屋所有权人一致</w:t>
      </w:r>
      <w:r>
        <w:rPr>
          <w:rFonts w:hint="eastAsia" w:ascii="仿宋" w:hAnsi="仿宋" w:eastAsia="仿宋" w:cs="仿宋"/>
          <w:sz w:val="28"/>
          <w:highlight w:val="none"/>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highlight w:val="none"/>
        </w:rPr>
        <w:t>3、出租或占用情况</w:t>
      </w:r>
    </w:p>
    <w:p>
      <w:pPr>
        <w:pageBreakBefore w:val="0"/>
        <w:widowControl w:val="0"/>
        <w:tabs>
          <w:tab w:val="left" w:pos="180"/>
        </w:tabs>
        <w:kinsoku/>
        <w:wordWrap/>
        <w:overflowPunct/>
        <w:topLinePunct w:val="0"/>
        <w:autoSpaceDE/>
        <w:autoSpaceDN/>
        <w:bidi w:val="0"/>
        <w:adjustRightInd w:val="0"/>
        <w:snapToGrid w:val="0"/>
        <w:spacing w:line="360" w:lineRule="auto"/>
        <w:ind w:firstLine="538"/>
        <w:rPr>
          <w:rFonts w:hint="eastAsia" w:ascii="仿宋" w:hAnsi="仿宋" w:eastAsia="仿宋" w:cs="仿宋"/>
          <w:sz w:val="28"/>
          <w:szCs w:val="20"/>
        </w:rPr>
      </w:pPr>
      <w:r>
        <w:rPr>
          <w:rFonts w:hint="eastAsia" w:ascii="仿宋" w:hAnsi="仿宋" w:eastAsia="仿宋" w:cs="仿宋"/>
          <w:sz w:val="28"/>
        </w:rPr>
        <w:t>至价值时点，</w:t>
      </w:r>
      <w:r>
        <w:rPr>
          <w:rFonts w:hint="eastAsia" w:ascii="仿宋" w:hAnsi="仿宋" w:eastAsia="仿宋" w:cs="仿宋"/>
          <w:sz w:val="28"/>
          <w:szCs w:val="20"/>
        </w:rPr>
        <w:t>估价对象</w:t>
      </w:r>
      <w:r>
        <w:rPr>
          <w:rFonts w:hint="eastAsia" w:ascii="仿宋" w:hAnsi="仿宋" w:eastAsia="仿宋" w:cs="仿宋"/>
          <w:sz w:val="28"/>
          <w:szCs w:val="20"/>
          <w:lang w:eastAsia="zh-CN"/>
        </w:rPr>
        <w:t>目前作住宅用房使用</w:t>
      </w:r>
      <w:r>
        <w:rPr>
          <w:rFonts w:hint="eastAsia" w:ascii="仿宋" w:hAnsi="仿宋" w:eastAsia="仿宋" w:cs="仿宋"/>
          <w:sz w:val="28"/>
          <w:szCs w:val="20"/>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4、他项权利情况</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highlight w:val="none"/>
        </w:rPr>
        <w:t>根据估价委托人提供</w:t>
      </w:r>
      <w:r>
        <w:rPr>
          <w:rFonts w:hint="eastAsia" w:ascii="仿宋" w:hAnsi="仿宋" w:eastAsia="仿宋" w:cs="仿宋"/>
          <w:sz w:val="28"/>
          <w:highlight w:val="none"/>
          <w:lang w:eastAsia="zh-CN"/>
        </w:rPr>
        <w:t>《</w:t>
      </w:r>
      <w:r>
        <w:rPr>
          <w:rFonts w:hint="eastAsia" w:ascii="仿宋" w:hAnsi="仿宋" w:eastAsia="仿宋" w:cs="仿宋"/>
          <w:sz w:val="28"/>
          <w:szCs w:val="28"/>
          <w:lang w:eastAsia="zh-CN"/>
        </w:rPr>
        <w:t>个人不动产信息情况证明</w:t>
      </w:r>
      <w:r>
        <w:rPr>
          <w:rFonts w:hint="eastAsia" w:ascii="仿宋" w:hAnsi="仿宋" w:eastAsia="仿宋" w:cs="仿宋"/>
          <w:sz w:val="28"/>
          <w:highlight w:val="none"/>
          <w:lang w:eastAsia="zh-CN"/>
        </w:rPr>
        <w:t>》复印件</w:t>
      </w:r>
      <w:r>
        <w:rPr>
          <w:rFonts w:hint="eastAsia" w:ascii="仿宋" w:hAnsi="仿宋" w:eastAsia="仿宋" w:cs="仿宋"/>
          <w:sz w:val="28"/>
          <w:highlight w:val="none"/>
        </w:rPr>
        <w:t>，估价对象有</w:t>
      </w:r>
      <w:r>
        <w:rPr>
          <w:rFonts w:hint="eastAsia" w:ascii="仿宋" w:hAnsi="仿宋" w:eastAsia="仿宋" w:cs="仿宋"/>
          <w:sz w:val="28"/>
          <w:highlight w:val="none"/>
          <w:lang w:eastAsia="zh-CN"/>
        </w:rPr>
        <w:t>抵押权，具体抵押情况不详，未知估价对象于价值时点是否有</w:t>
      </w:r>
      <w:r>
        <w:rPr>
          <w:rFonts w:hint="eastAsia" w:ascii="仿宋" w:hAnsi="仿宋" w:eastAsia="仿宋" w:cs="仿宋"/>
          <w:sz w:val="28"/>
          <w:highlight w:val="none"/>
        </w:rPr>
        <w:t>地役权、租赁权等他项权利。结合本次估价目的，在估价过程中，本次估价未考虑抵押权、租赁权、地役权等他项权利对估价结果的影响。</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（三）实物状况</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highlight w:val="none"/>
        </w:rPr>
        <w:t>1、估价对象土地实物状况</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土地面积：不详；</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szCs w:val="28"/>
          <w:highlight w:val="none"/>
        </w:rPr>
        <w:t>四至：</w:t>
      </w:r>
      <w:r>
        <w:rPr>
          <w:rFonts w:hint="eastAsia" w:ascii="仿宋" w:hAnsi="仿宋" w:eastAsia="仿宋" w:cs="仿宋"/>
          <w:sz w:val="28"/>
          <w:szCs w:val="28"/>
          <w:highlight w:val="none"/>
          <w:lang w:eastAsia="zh-CN"/>
        </w:rPr>
        <w:t>北</w:t>
      </w:r>
      <w:r>
        <w:rPr>
          <w:rFonts w:hint="eastAsia" w:ascii="仿宋" w:hAnsi="仿宋" w:eastAsia="仿宋" w:cs="仿宋"/>
          <w:sz w:val="28"/>
          <w:szCs w:val="28"/>
          <w:highlight w:val="none"/>
        </w:rPr>
        <w:t>至</w:t>
      </w:r>
      <w:r>
        <w:rPr>
          <w:rFonts w:hint="eastAsia" w:ascii="仿宋" w:hAnsi="仿宋" w:eastAsia="仿宋" w:cs="仿宋"/>
          <w:sz w:val="28"/>
          <w:szCs w:val="28"/>
          <w:highlight w:val="none"/>
          <w:lang w:eastAsia="zh-CN"/>
        </w:rPr>
        <w:t>规划道路</w:t>
      </w:r>
      <w:r>
        <w:rPr>
          <w:rFonts w:hint="eastAsia" w:ascii="仿宋" w:hAnsi="仿宋" w:eastAsia="仿宋" w:cs="仿宋"/>
          <w:sz w:val="28"/>
          <w:szCs w:val="28"/>
          <w:highlight w:val="none"/>
        </w:rPr>
        <w:t>，南至</w:t>
      </w:r>
      <w:r>
        <w:rPr>
          <w:rFonts w:hint="eastAsia" w:ascii="仿宋" w:hAnsi="仿宋" w:eastAsia="仿宋" w:cs="仿宋"/>
          <w:sz w:val="28"/>
          <w:szCs w:val="28"/>
          <w:highlight w:val="none"/>
          <w:lang w:eastAsia="zh-CN"/>
        </w:rPr>
        <w:t>钟山大道</w:t>
      </w:r>
      <w:r>
        <w:rPr>
          <w:rFonts w:hint="eastAsia" w:ascii="仿宋" w:hAnsi="仿宋" w:eastAsia="仿宋" w:cs="仿宋"/>
          <w:sz w:val="28"/>
          <w:szCs w:val="28"/>
          <w:highlight w:val="none"/>
        </w:rPr>
        <w:t>，西至</w:t>
      </w:r>
      <w:r>
        <w:rPr>
          <w:rFonts w:hint="eastAsia" w:ascii="仿宋" w:hAnsi="仿宋" w:eastAsia="仿宋" w:cs="仿宋"/>
          <w:sz w:val="28"/>
          <w:szCs w:val="28"/>
          <w:highlight w:val="none"/>
          <w:lang w:eastAsia="zh-CN"/>
        </w:rPr>
        <w:t>其他楼栋</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东</w:t>
      </w:r>
      <w:r>
        <w:rPr>
          <w:rFonts w:hint="eastAsia" w:ascii="仿宋" w:hAnsi="仿宋" w:eastAsia="仿宋" w:cs="仿宋"/>
          <w:sz w:val="28"/>
          <w:szCs w:val="28"/>
          <w:highlight w:val="none"/>
        </w:rPr>
        <w:t>至</w:t>
      </w:r>
      <w:r>
        <w:rPr>
          <w:rFonts w:hint="eastAsia" w:ascii="仿宋" w:hAnsi="仿宋" w:eastAsia="仿宋" w:cs="仿宋"/>
          <w:sz w:val="28"/>
          <w:szCs w:val="28"/>
          <w:highlight w:val="none"/>
          <w:lang w:eastAsia="zh-CN"/>
        </w:rPr>
        <w:t>龙城路</w:t>
      </w:r>
      <w:r>
        <w:rPr>
          <w:rFonts w:hint="eastAsia" w:ascii="仿宋" w:hAnsi="仿宋" w:eastAsia="仿宋" w:cs="仿宋"/>
          <w:sz w:val="28"/>
          <w:szCs w:val="28"/>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形状：</w:t>
      </w:r>
      <w:r>
        <w:rPr>
          <w:rFonts w:hint="eastAsia" w:ascii="仿宋" w:hAnsi="仿宋" w:eastAsia="仿宋" w:cs="仿宋"/>
          <w:sz w:val="28"/>
          <w:highlight w:val="none"/>
        </w:rPr>
        <w:t>估价对象所在</w:t>
      </w:r>
      <w:r>
        <w:rPr>
          <w:rFonts w:hint="eastAsia" w:ascii="仿宋" w:hAnsi="仿宋" w:eastAsia="仿宋" w:cs="仿宋"/>
          <w:sz w:val="28"/>
          <w:highlight w:val="none"/>
          <w:lang w:eastAsia="zh-CN"/>
        </w:rPr>
        <w:t>地块</w:t>
      </w:r>
      <w:r>
        <w:rPr>
          <w:rFonts w:hint="eastAsia" w:ascii="仿宋" w:hAnsi="仿宋" w:eastAsia="仿宋" w:cs="仿宋"/>
          <w:sz w:val="28"/>
          <w:highlight w:val="none"/>
        </w:rPr>
        <w:t>呈较规则的多边形；</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地形、地势：地形有一定起伏，与相邻土地、道路有一定高差，自然排水较好，无发生内涝和洪水淹没的可能性；</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土壤：土壤未受过污染；</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地质：地基的承载能力和稳定性良好，地下水位正常且无污染，无滑坡、泥石流等不良地质现象；</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开发程度：宗地外达到“</w:t>
      </w:r>
      <w:r>
        <w:rPr>
          <w:rFonts w:hint="eastAsia" w:ascii="仿宋" w:hAnsi="仿宋" w:eastAsia="仿宋" w:cs="仿宋"/>
          <w:sz w:val="28"/>
          <w:lang w:eastAsia="zh-CN"/>
        </w:rPr>
        <w:t>六</w:t>
      </w:r>
      <w:r>
        <w:rPr>
          <w:rFonts w:hint="eastAsia" w:ascii="仿宋" w:hAnsi="仿宋" w:eastAsia="仿宋" w:cs="仿宋"/>
          <w:sz w:val="28"/>
        </w:rPr>
        <w:t>通”（通上水、通下水、通电、通路、通讯</w:t>
      </w:r>
      <w:r>
        <w:rPr>
          <w:rFonts w:hint="eastAsia" w:ascii="仿宋" w:hAnsi="仿宋" w:eastAsia="仿宋" w:cs="仿宋"/>
          <w:sz w:val="28"/>
          <w:lang w:eastAsia="zh-CN"/>
        </w:rPr>
        <w:t>、通气</w:t>
      </w:r>
      <w:r>
        <w:rPr>
          <w:rFonts w:hint="eastAsia" w:ascii="仿宋" w:hAnsi="仿宋" w:eastAsia="仿宋" w:cs="仿宋"/>
          <w:sz w:val="28"/>
        </w:rPr>
        <w:t>），宗地内达到“</w:t>
      </w:r>
      <w:r>
        <w:rPr>
          <w:rFonts w:hint="eastAsia" w:ascii="仿宋" w:hAnsi="仿宋" w:eastAsia="仿宋" w:cs="仿宋"/>
          <w:sz w:val="28"/>
          <w:lang w:eastAsia="zh-CN"/>
        </w:rPr>
        <w:t>六</w:t>
      </w:r>
      <w:r>
        <w:rPr>
          <w:rFonts w:hint="eastAsia" w:ascii="仿宋" w:hAnsi="仿宋" w:eastAsia="仿宋" w:cs="仿宋"/>
          <w:sz w:val="28"/>
        </w:rPr>
        <w:t>通一平”（通上水、通下水、通电、通路、通讯</w:t>
      </w:r>
      <w:r>
        <w:rPr>
          <w:rFonts w:hint="eastAsia" w:ascii="仿宋" w:hAnsi="仿宋" w:eastAsia="仿宋" w:cs="仿宋"/>
          <w:sz w:val="28"/>
          <w:lang w:eastAsia="zh-CN"/>
        </w:rPr>
        <w:t>、通气</w:t>
      </w:r>
      <w:r>
        <w:rPr>
          <w:rFonts w:hint="eastAsia" w:ascii="仿宋" w:hAnsi="仿宋" w:eastAsia="仿宋" w:cs="仿宋"/>
          <w:sz w:val="28"/>
        </w:rPr>
        <w:t>及场地平整）。</w:t>
      </w:r>
    </w:p>
    <w:p>
      <w:pPr>
        <w:pageBreakBefore w:val="0"/>
        <w:widowControl w:val="0"/>
        <w:numPr>
          <w:ilvl w:val="0"/>
          <w:numId w:val="0"/>
        </w:numPr>
        <w:tabs>
          <w:tab w:val="left" w:pos="180"/>
        </w:tabs>
        <w:kinsoku/>
        <w:wordWrap/>
        <w:overflowPunct/>
        <w:topLinePunct w:val="0"/>
        <w:autoSpaceDE/>
        <w:autoSpaceDN/>
        <w:bidi w:val="0"/>
        <w:adjustRightInd w:val="0"/>
        <w:snapToGrid w:val="0"/>
        <w:spacing w:line="360" w:lineRule="auto"/>
        <w:ind w:leftChars="200" w:firstLine="283" w:firstLineChars="100"/>
        <w:rPr>
          <w:rFonts w:hint="eastAsia" w:ascii="仿宋" w:hAnsi="仿宋" w:eastAsia="仿宋" w:cs="仿宋"/>
          <w:sz w:val="28"/>
        </w:rPr>
      </w:pPr>
      <w:r>
        <w:rPr>
          <w:rFonts w:hint="eastAsia" w:ascii="仿宋" w:hAnsi="仿宋" w:eastAsia="仿宋" w:cs="仿宋"/>
          <w:sz w:val="28"/>
          <w:lang w:val="en-US" w:eastAsia="zh-CN"/>
        </w:rPr>
        <w:t>2、</w:t>
      </w:r>
      <w:r>
        <w:rPr>
          <w:rFonts w:hint="eastAsia" w:ascii="仿宋" w:hAnsi="仿宋" w:eastAsia="仿宋" w:cs="仿宋"/>
          <w:sz w:val="28"/>
        </w:rPr>
        <w:t>建筑物实物状况</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rPr>
        <w:t>建筑规模：面积：</w:t>
      </w:r>
      <w:r>
        <w:rPr>
          <w:rFonts w:hint="eastAsia" w:ascii="仿宋" w:hAnsi="仿宋" w:eastAsia="仿宋" w:cs="仿宋"/>
          <w:sz w:val="28"/>
          <w:highlight w:val="none"/>
          <w:lang w:eastAsia="zh-CN"/>
        </w:rPr>
        <w:t>估价对象</w:t>
      </w:r>
      <w:r>
        <w:rPr>
          <w:rFonts w:hint="eastAsia" w:ascii="仿宋" w:hAnsi="仿宋" w:eastAsia="仿宋" w:cs="仿宋"/>
          <w:sz w:val="28"/>
          <w:highlight w:val="none"/>
        </w:rPr>
        <w:t>建筑面积为</w:t>
      </w:r>
      <w:r>
        <w:rPr>
          <w:rFonts w:hint="eastAsia" w:ascii="仿宋" w:hAnsi="仿宋" w:eastAsia="仿宋" w:cs="仿宋"/>
          <w:sz w:val="28"/>
          <w:highlight w:val="none"/>
          <w:lang w:val="en-US" w:eastAsia="zh-CN"/>
        </w:rPr>
        <w:t>137.66</w:t>
      </w:r>
      <w:r>
        <w:rPr>
          <w:rFonts w:hint="eastAsia" w:ascii="仿宋" w:hAnsi="仿宋" w:eastAsia="仿宋" w:cs="仿宋"/>
          <w:sz w:val="28"/>
          <w:highlight w:val="none"/>
        </w:rPr>
        <w:t>平方米</w:t>
      </w:r>
      <w:r>
        <w:rPr>
          <w:rFonts w:hint="eastAsia" w:ascii="仿宋" w:hAnsi="仿宋" w:eastAsia="仿宋" w:cs="仿宋"/>
          <w:sz w:val="28"/>
        </w:rPr>
        <w:t>；</w:t>
      </w:r>
      <w:r>
        <w:rPr>
          <w:rFonts w:hint="eastAsia" w:ascii="仿宋" w:hAnsi="仿宋" w:eastAsia="仿宋" w:cs="仿宋"/>
          <w:sz w:val="28"/>
          <w:highlight w:val="none"/>
        </w:rPr>
        <w:t>总层数：所在建筑物总楼层</w:t>
      </w:r>
      <w:r>
        <w:rPr>
          <w:rFonts w:hint="eastAsia" w:ascii="仿宋" w:hAnsi="仿宋" w:eastAsia="仿宋" w:cs="仿宋"/>
          <w:sz w:val="28"/>
          <w:highlight w:val="none"/>
          <w:lang w:eastAsia="zh-CN"/>
        </w:rPr>
        <w:t>为</w:t>
      </w:r>
      <w:r>
        <w:rPr>
          <w:rFonts w:hint="eastAsia" w:ascii="仿宋" w:hAnsi="仿宋" w:eastAsia="仿宋" w:cs="仿宋"/>
          <w:sz w:val="28"/>
          <w:highlight w:val="none"/>
          <w:lang w:val="en-US" w:eastAsia="zh-CN"/>
        </w:rPr>
        <w:t>30</w:t>
      </w:r>
      <w:r>
        <w:rPr>
          <w:rFonts w:hint="eastAsia" w:ascii="仿宋" w:hAnsi="仿宋" w:eastAsia="仿宋" w:cs="仿宋"/>
          <w:sz w:val="28"/>
          <w:highlight w:val="none"/>
        </w:rPr>
        <w:t>层；</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建筑结构：</w:t>
      </w:r>
      <w:r>
        <w:rPr>
          <w:rFonts w:hint="eastAsia" w:ascii="仿宋" w:hAnsi="仿宋" w:eastAsia="仿宋" w:cs="仿宋"/>
          <w:sz w:val="28"/>
          <w:lang w:eastAsia="zh-CN"/>
        </w:rPr>
        <w:t>钢筋混凝土结构</w:t>
      </w:r>
      <w:r>
        <w:rPr>
          <w:rFonts w:hint="eastAsia" w:ascii="仿宋" w:hAnsi="仿宋" w:eastAsia="仿宋" w:cs="仿宋"/>
          <w:sz w:val="28"/>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设施设备：给排水：接市政管网，消防设施：室外消火栓系统，通讯：程控交换机、光纤，供电：接市政供电网；电梯：</w:t>
      </w:r>
      <w:r>
        <w:rPr>
          <w:rFonts w:hint="eastAsia" w:ascii="仿宋" w:hAnsi="仿宋" w:eastAsia="仿宋" w:cs="仿宋"/>
          <w:sz w:val="28"/>
          <w:lang w:eastAsia="zh-CN"/>
        </w:rPr>
        <w:t>有</w:t>
      </w:r>
      <w:r>
        <w:rPr>
          <w:rFonts w:hint="eastAsia" w:ascii="仿宋" w:hAnsi="仿宋" w:eastAsia="仿宋" w:cs="仿宋"/>
          <w:sz w:val="28"/>
        </w:rPr>
        <w:t>电梯；通气状况：通气。配置的设施设备使用正常，性能完好；</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lang w:eastAsia="zh-CN"/>
        </w:rPr>
      </w:pPr>
      <w:r>
        <w:rPr>
          <w:rFonts w:hint="eastAsia" w:ascii="仿宋" w:hAnsi="仿宋" w:eastAsia="仿宋" w:cs="仿宋"/>
          <w:sz w:val="28"/>
          <w:highlight w:val="none"/>
        </w:rPr>
        <w:t>装饰装修：外墙</w:t>
      </w:r>
      <w:r>
        <w:rPr>
          <w:rFonts w:hint="eastAsia" w:ascii="仿宋" w:hAnsi="仿宋" w:eastAsia="仿宋" w:cs="仿宋"/>
          <w:sz w:val="28"/>
          <w:highlight w:val="none"/>
          <w:lang w:eastAsia="zh-CN"/>
        </w:rPr>
        <w:t>贴墙砖</w:t>
      </w:r>
      <w:r>
        <w:rPr>
          <w:rFonts w:hint="eastAsia" w:ascii="仿宋" w:hAnsi="仿宋" w:eastAsia="仿宋" w:cs="仿宋"/>
          <w:sz w:val="28"/>
          <w:highlight w:val="none"/>
        </w:rPr>
        <w:t>，入户门为防盗门，</w:t>
      </w:r>
      <w:r>
        <w:rPr>
          <w:rFonts w:hint="eastAsia" w:ascii="仿宋" w:hAnsi="仿宋" w:eastAsia="仿宋" w:cs="仿宋"/>
          <w:sz w:val="28"/>
          <w:highlight w:val="none"/>
          <w:lang w:eastAsia="zh-CN"/>
        </w:rPr>
        <w:t>玻璃窗，室内客厅、餐厅地面铺木地板，墙面贴墙纸，天棚吊顶</w:t>
      </w:r>
      <w:r>
        <w:rPr>
          <w:rFonts w:hint="eastAsia" w:ascii="仿宋" w:hAnsi="仿宋" w:eastAsia="仿宋" w:cs="仿宋"/>
          <w:sz w:val="28"/>
          <w:highlight w:val="none"/>
        </w:rPr>
        <w:t>；</w:t>
      </w:r>
      <w:r>
        <w:rPr>
          <w:rFonts w:hint="eastAsia" w:ascii="仿宋" w:hAnsi="仿宋" w:eastAsia="仿宋" w:cs="仿宋"/>
          <w:sz w:val="28"/>
          <w:highlight w:val="none"/>
          <w:lang w:eastAsia="zh-CN"/>
        </w:rPr>
        <w:t>卧室地面铺木地板，墙面贴墙纸，天棚刷乳胶漆；卫生间、厨房地面铺地砖，墙面贴墙砖置顶，天棚铝扣板吊顶；储物间地面铺地砖，墙面贴墙纸，天棚刷乳胶漆；</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空间布局：</w:t>
      </w:r>
      <w:r>
        <w:rPr>
          <w:rFonts w:hint="eastAsia" w:ascii="仿宋" w:hAnsi="仿宋" w:eastAsia="仿宋" w:cs="仿宋"/>
          <w:sz w:val="28"/>
          <w:highlight w:val="none"/>
        </w:rPr>
        <w:t>住宅，</w:t>
      </w:r>
      <w:r>
        <w:rPr>
          <w:rFonts w:hint="eastAsia" w:ascii="仿宋" w:hAnsi="仿宋" w:eastAsia="仿宋" w:cs="仿宋"/>
          <w:sz w:val="28"/>
          <w:highlight w:val="none"/>
          <w:lang w:eastAsia="zh-CN"/>
        </w:rPr>
        <w:t>三室两厅一厨二卫一储物间</w:t>
      </w:r>
      <w:r>
        <w:rPr>
          <w:rFonts w:hint="eastAsia" w:ascii="仿宋" w:hAnsi="仿宋" w:eastAsia="仿宋" w:cs="仿宋"/>
          <w:sz w:val="28"/>
        </w:rPr>
        <w:t>，形状规则，平面布局、室内空间布局合理、流畅；</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建筑功能：防水、保温、隔热、隔声、通风、日照等功能符合国家相关建筑设计标准的强制性要求，光线充足；</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highlight w:val="none"/>
        </w:rPr>
        <w:t>外观：</w:t>
      </w:r>
      <w:r>
        <w:rPr>
          <w:rFonts w:hint="eastAsia" w:ascii="仿宋" w:hAnsi="仿宋" w:eastAsia="仿宋" w:cs="仿宋"/>
          <w:sz w:val="28"/>
          <w:highlight w:val="none"/>
          <w:lang w:eastAsia="zh-CN"/>
        </w:rPr>
        <w:t>新</w:t>
      </w:r>
      <w:r>
        <w:rPr>
          <w:rFonts w:hint="eastAsia" w:ascii="仿宋" w:hAnsi="仿宋" w:eastAsia="仿宋" w:cs="仿宋"/>
          <w:sz w:val="28"/>
          <w:highlight w:val="none"/>
        </w:rPr>
        <w:t>式住宅楼，外观</w:t>
      </w:r>
      <w:r>
        <w:rPr>
          <w:rFonts w:hint="eastAsia" w:ascii="仿宋" w:hAnsi="仿宋" w:eastAsia="仿宋" w:cs="仿宋"/>
          <w:sz w:val="28"/>
          <w:highlight w:val="none"/>
          <w:lang w:eastAsia="zh-CN"/>
        </w:rPr>
        <w:t>新颖</w:t>
      </w:r>
      <w:r>
        <w:rPr>
          <w:rFonts w:hint="eastAsia" w:ascii="仿宋" w:hAnsi="仿宋" w:eastAsia="仿宋" w:cs="仿宋"/>
          <w:sz w:val="28"/>
          <w:highlight w:val="none"/>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新旧程度：</w:t>
      </w:r>
      <w:r>
        <w:rPr>
          <w:rFonts w:hint="eastAsia" w:ascii="仿宋" w:hAnsi="仿宋" w:eastAsia="仿宋" w:cs="仿宋"/>
          <w:sz w:val="28"/>
          <w:highlight w:val="none"/>
        </w:rPr>
        <w:t>建成年份：</w:t>
      </w:r>
      <w:r>
        <w:rPr>
          <w:rFonts w:hint="eastAsia" w:ascii="仿宋" w:hAnsi="仿宋" w:eastAsia="仿宋" w:cs="仿宋"/>
          <w:sz w:val="28"/>
          <w:highlight w:val="none"/>
          <w:lang w:val="en-US" w:eastAsia="zh-CN"/>
        </w:rPr>
        <w:t>2012年</w:t>
      </w:r>
      <w:r>
        <w:rPr>
          <w:rFonts w:hint="eastAsia" w:ascii="仿宋" w:hAnsi="仿宋" w:eastAsia="仿宋" w:cs="仿宋"/>
          <w:sz w:val="28"/>
          <w:highlight w:val="none"/>
        </w:rPr>
        <w:t>；设计使用年限：</w:t>
      </w:r>
      <w:r>
        <w:rPr>
          <w:rFonts w:hint="eastAsia" w:ascii="仿宋" w:hAnsi="仿宋" w:eastAsia="仿宋" w:cs="仿宋"/>
          <w:sz w:val="28"/>
          <w:highlight w:val="none"/>
          <w:lang w:val="en-US" w:eastAsia="zh-CN"/>
        </w:rPr>
        <w:t>60</w:t>
      </w:r>
      <w:r>
        <w:rPr>
          <w:rFonts w:hint="eastAsia" w:ascii="仿宋" w:hAnsi="仿宋" w:eastAsia="仿宋" w:cs="仿宋"/>
          <w:sz w:val="28"/>
          <w:highlight w:val="none"/>
        </w:rPr>
        <w:t>年</w:t>
      </w:r>
      <w:r>
        <w:rPr>
          <w:rFonts w:hint="eastAsia" w:ascii="仿宋" w:hAnsi="仿宋" w:eastAsia="仿宋" w:cs="仿宋"/>
          <w:sz w:val="28"/>
          <w:highlight w:val="none"/>
          <w:lang w:eastAsia="zh-CN"/>
        </w:rPr>
        <w:t>；</w:t>
      </w:r>
      <w:r>
        <w:rPr>
          <w:rFonts w:hint="eastAsia" w:ascii="仿宋" w:hAnsi="仿宋" w:eastAsia="仿宋" w:cs="仿宋"/>
          <w:sz w:val="28"/>
        </w:rPr>
        <w:t>维护及完损状况：地基稳定，承重构件完好，无不均匀沉降，地面、墙面、天棚、门窗破损情况，整体上使用维护</w:t>
      </w:r>
      <w:r>
        <w:rPr>
          <w:rFonts w:hint="eastAsia" w:ascii="仿宋" w:hAnsi="仿宋" w:eastAsia="仿宋" w:cs="仿宋"/>
          <w:sz w:val="28"/>
          <w:lang w:eastAsia="zh-CN"/>
        </w:rPr>
        <w:t>较好</w:t>
      </w:r>
      <w:r>
        <w:rPr>
          <w:rFonts w:hint="eastAsia" w:ascii="仿宋" w:hAnsi="仿宋" w:eastAsia="仿宋" w:cs="仿宋"/>
          <w:sz w:val="28"/>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其他：</w:t>
      </w:r>
      <w:r>
        <w:rPr>
          <w:rFonts w:hint="eastAsia" w:ascii="仿宋" w:hAnsi="仿宋" w:eastAsia="仿宋" w:cs="仿宋"/>
          <w:sz w:val="28"/>
          <w:lang w:eastAsia="zh-CN"/>
        </w:rPr>
        <w:t>估价对象</w:t>
      </w:r>
      <w:r>
        <w:rPr>
          <w:rFonts w:hint="eastAsia" w:ascii="仿宋" w:hAnsi="仿宋" w:eastAsia="仿宋" w:cs="仿宋"/>
          <w:sz w:val="28"/>
        </w:rPr>
        <w:t>所在的“</w:t>
      </w:r>
      <w:r>
        <w:rPr>
          <w:rFonts w:hint="eastAsia" w:ascii="仿宋" w:hAnsi="仿宋" w:eastAsia="仿宋" w:cs="仿宋"/>
          <w:sz w:val="28"/>
          <w:lang w:eastAsia="zh-CN"/>
        </w:rPr>
        <w:t>龙城广场</w:t>
      </w:r>
      <w:r>
        <w:rPr>
          <w:rFonts w:hint="eastAsia" w:ascii="仿宋" w:hAnsi="仿宋" w:eastAsia="仿宋" w:cs="仿宋"/>
          <w:sz w:val="28"/>
        </w:rPr>
        <w:t>”设计为中端住宅小区，总建筑规模</w:t>
      </w:r>
      <w:r>
        <w:rPr>
          <w:rFonts w:hint="eastAsia" w:ascii="仿宋" w:hAnsi="仿宋" w:eastAsia="仿宋" w:cs="仿宋"/>
          <w:sz w:val="28"/>
          <w:lang w:eastAsia="zh-CN"/>
        </w:rPr>
        <w:t>一般</w:t>
      </w:r>
      <w:r>
        <w:rPr>
          <w:rFonts w:hint="eastAsia" w:ascii="仿宋" w:hAnsi="仿宋" w:eastAsia="仿宋" w:cs="仿宋"/>
          <w:sz w:val="28"/>
        </w:rPr>
        <w:t>，小区</w:t>
      </w:r>
      <w:r>
        <w:rPr>
          <w:rFonts w:hint="eastAsia" w:ascii="仿宋" w:hAnsi="仿宋" w:eastAsia="仿宋" w:cs="仿宋"/>
          <w:sz w:val="28"/>
          <w:lang w:eastAsia="zh-CN"/>
        </w:rPr>
        <w:t>有</w:t>
      </w:r>
      <w:r>
        <w:rPr>
          <w:rFonts w:hint="eastAsia" w:ascii="仿宋" w:hAnsi="仿宋" w:eastAsia="仿宋" w:cs="仿宋"/>
          <w:sz w:val="28"/>
        </w:rPr>
        <w:t>配套商业服务业。</w:t>
      </w:r>
    </w:p>
    <w:p>
      <w:pPr>
        <w:pageBreakBefore w:val="0"/>
        <w:widowControl w:val="0"/>
        <w:numPr>
          <w:ilvl w:val="0"/>
          <w:numId w:val="5"/>
        </w:numPr>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区位状况</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1、位置</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lang w:eastAsia="zh-CN"/>
        </w:rPr>
      </w:pPr>
      <w:r>
        <w:rPr>
          <w:rFonts w:hint="eastAsia" w:ascii="仿宋" w:hAnsi="仿宋" w:eastAsia="仿宋" w:cs="仿宋"/>
          <w:sz w:val="28"/>
          <w:highlight w:val="none"/>
          <w:lang w:eastAsia="zh-CN"/>
        </w:rPr>
        <w:t>所</w:t>
      </w:r>
      <w:r>
        <w:rPr>
          <w:rFonts w:hint="eastAsia" w:ascii="仿宋" w:hAnsi="仿宋" w:eastAsia="仿宋" w:cs="仿宋"/>
          <w:sz w:val="28"/>
          <w:highlight w:val="none"/>
        </w:rPr>
        <w:t>在楼幢临</w:t>
      </w:r>
      <w:r>
        <w:rPr>
          <w:rFonts w:hint="eastAsia" w:ascii="仿宋" w:hAnsi="仿宋" w:eastAsia="仿宋" w:cs="仿宋"/>
          <w:sz w:val="28"/>
          <w:highlight w:val="none"/>
          <w:lang w:eastAsia="zh-CN"/>
        </w:rPr>
        <w:t>钟山大道。</w:t>
      </w:r>
    </w:p>
    <w:p>
      <w:pPr>
        <w:pageBreakBefore w:val="0"/>
        <w:widowControl w:val="0"/>
        <w:tabs>
          <w:tab w:val="left" w:pos="180"/>
        </w:tabs>
        <w:kinsoku/>
        <w:wordWrap/>
        <w:overflowPunct/>
        <w:topLinePunct w:val="0"/>
        <w:autoSpaceDE/>
        <w:autoSpaceDN/>
        <w:bidi w:val="0"/>
        <w:adjustRightInd w:val="0"/>
        <w:snapToGrid w:val="0"/>
        <w:spacing w:line="360" w:lineRule="auto"/>
        <w:ind w:firstLine="538" w:firstLineChars="200"/>
        <w:rPr>
          <w:rFonts w:hint="eastAsia" w:ascii="仿宋" w:hAnsi="仿宋" w:eastAsia="仿宋" w:cs="仿宋"/>
          <w:w w:val="95"/>
          <w:sz w:val="28"/>
        </w:rPr>
      </w:pPr>
      <w:r>
        <w:rPr>
          <w:rFonts w:hint="eastAsia" w:ascii="仿宋" w:hAnsi="仿宋" w:eastAsia="仿宋" w:cs="仿宋"/>
          <w:w w:val="95"/>
          <w:sz w:val="28"/>
        </w:rPr>
        <w:t>2、交通坐落：</w:t>
      </w:r>
      <w:r>
        <w:rPr>
          <w:rFonts w:hint="eastAsia" w:ascii="仿宋" w:hAnsi="仿宋" w:eastAsia="仿宋" w:cs="仿宋"/>
          <w:w w:val="95"/>
          <w:sz w:val="28"/>
          <w:lang w:eastAsia="zh-CN"/>
        </w:rPr>
        <w:t>六盘水市钟山区钟山中路81号2栋附87号</w:t>
      </w:r>
      <w:r>
        <w:rPr>
          <w:rFonts w:hint="eastAsia" w:ascii="仿宋" w:hAnsi="仿宋" w:eastAsia="仿宋" w:cs="仿宋"/>
          <w:w w:val="95"/>
          <w:sz w:val="28"/>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方位：位于</w:t>
      </w:r>
      <w:r>
        <w:rPr>
          <w:rFonts w:hint="eastAsia" w:ascii="仿宋" w:hAnsi="仿宋" w:eastAsia="仿宋" w:cs="仿宋"/>
          <w:sz w:val="28"/>
          <w:lang w:eastAsia="zh-CN"/>
        </w:rPr>
        <w:t>六盘水市钟山区城区东部</w:t>
      </w:r>
      <w:r>
        <w:rPr>
          <w:rFonts w:hint="eastAsia" w:ascii="仿宋" w:hAnsi="仿宋" w:eastAsia="仿宋" w:cs="仿宋"/>
          <w:sz w:val="28"/>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距离：</w:t>
      </w:r>
      <w:r>
        <w:rPr>
          <w:rFonts w:hint="eastAsia" w:ascii="仿宋" w:hAnsi="仿宋" w:eastAsia="仿宋" w:cs="仿宋"/>
          <w:sz w:val="28"/>
          <w:lang w:eastAsia="zh-CN"/>
        </w:rPr>
        <w:t>距离中国农业银行</w:t>
      </w:r>
      <w:r>
        <w:rPr>
          <w:rFonts w:hint="eastAsia" w:ascii="仿宋" w:hAnsi="仿宋" w:eastAsia="仿宋" w:cs="仿宋"/>
          <w:sz w:val="28"/>
          <w:lang w:val="en-US" w:eastAsia="zh-CN"/>
        </w:rPr>
        <w:t>127米，中国建设银行约133米，</w:t>
      </w:r>
      <w:r>
        <w:rPr>
          <w:rFonts w:hint="eastAsia" w:ascii="仿宋" w:hAnsi="仿宋" w:eastAsia="仿宋" w:cs="仿宋"/>
          <w:sz w:val="28"/>
          <w:lang w:eastAsia="zh-CN"/>
        </w:rPr>
        <w:t>距离六盘水博爱医院约</w:t>
      </w:r>
      <w:r>
        <w:rPr>
          <w:rFonts w:hint="eastAsia" w:ascii="仿宋" w:hAnsi="仿宋" w:eastAsia="仿宋" w:cs="仿宋"/>
          <w:sz w:val="28"/>
          <w:lang w:val="en-US" w:eastAsia="zh-CN"/>
        </w:rPr>
        <w:t>453米，距离麒麟公园约593米，距离万达广场780米</w:t>
      </w:r>
      <w:r>
        <w:rPr>
          <w:rFonts w:hint="eastAsia" w:ascii="仿宋" w:hAnsi="仿宋" w:eastAsia="仿宋" w:cs="仿宋"/>
          <w:sz w:val="28"/>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highlight w:val="none"/>
        </w:rPr>
        <w:t>朝向：估价对象为</w:t>
      </w:r>
      <w:r>
        <w:rPr>
          <w:rFonts w:hint="eastAsia" w:ascii="仿宋" w:hAnsi="仿宋" w:eastAsia="仿宋" w:cs="仿宋"/>
          <w:sz w:val="28"/>
          <w:highlight w:val="none"/>
          <w:lang w:eastAsia="zh-CN"/>
        </w:rPr>
        <w:t>西南</w:t>
      </w:r>
      <w:r>
        <w:rPr>
          <w:rFonts w:hint="eastAsia" w:ascii="仿宋" w:hAnsi="仿宋" w:eastAsia="仿宋" w:cs="仿宋"/>
          <w:sz w:val="28"/>
          <w:highlight w:val="none"/>
        </w:rPr>
        <w:t>朝向；</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楼层：估价对象位于第</w:t>
      </w:r>
      <w:r>
        <w:rPr>
          <w:rFonts w:hint="eastAsia" w:ascii="仿宋" w:hAnsi="仿宋" w:eastAsia="仿宋" w:cs="仿宋"/>
          <w:sz w:val="28"/>
          <w:lang w:val="en-US" w:eastAsia="zh-CN"/>
        </w:rPr>
        <w:t>25</w:t>
      </w:r>
      <w:r>
        <w:rPr>
          <w:rFonts w:hint="eastAsia" w:ascii="仿宋" w:hAnsi="仿宋" w:eastAsia="仿宋" w:cs="仿宋"/>
          <w:sz w:val="28"/>
        </w:rPr>
        <w:t>层；</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highlight w:val="none"/>
        </w:rPr>
      </w:pPr>
      <w:r>
        <w:rPr>
          <w:rFonts w:hint="eastAsia" w:ascii="仿宋" w:hAnsi="仿宋" w:eastAsia="仿宋" w:cs="仿宋"/>
          <w:sz w:val="28"/>
          <w:highlight w:val="none"/>
        </w:rPr>
        <w:t>临街状况：估价对象所在楼幢临</w:t>
      </w:r>
      <w:r>
        <w:rPr>
          <w:rFonts w:hint="eastAsia" w:ascii="仿宋" w:hAnsi="仿宋" w:eastAsia="仿宋" w:cs="仿宋"/>
          <w:sz w:val="28"/>
          <w:highlight w:val="none"/>
          <w:lang w:eastAsia="zh-CN"/>
        </w:rPr>
        <w:t>钟山大道</w:t>
      </w:r>
      <w:r>
        <w:rPr>
          <w:rFonts w:hint="eastAsia" w:ascii="仿宋" w:hAnsi="仿宋" w:eastAsia="仿宋" w:cs="仿宋"/>
          <w:sz w:val="28"/>
          <w:highlight w:val="none"/>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道路状况：区域内有</w:t>
      </w:r>
      <w:r>
        <w:rPr>
          <w:rFonts w:hint="eastAsia" w:ascii="仿宋" w:hAnsi="仿宋" w:eastAsia="仿宋" w:cs="仿宋"/>
          <w:sz w:val="28"/>
          <w:highlight w:val="none"/>
          <w:lang w:eastAsia="zh-CN"/>
        </w:rPr>
        <w:t>钟山大道、钟山中路、龙城路</w:t>
      </w:r>
      <w:r>
        <w:rPr>
          <w:rFonts w:hint="eastAsia" w:ascii="仿宋" w:hAnsi="仿宋" w:eastAsia="仿宋" w:cs="仿宋"/>
          <w:sz w:val="28"/>
        </w:rPr>
        <w:t>等市政道路，路网密集度较高，道路等级</w:t>
      </w:r>
      <w:r>
        <w:rPr>
          <w:rFonts w:hint="eastAsia" w:ascii="仿宋" w:hAnsi="仿宋" w:eastAsia="仿宋" w:cs="仿宋"/>
          <w:sz w:val="28"/>
          <w:lang w:eastAsia="zh-CN"/>
        </w:rPr>
        <w:t>较好</w:t>
      </w:r>
      <w:r>
        <w:rPr>
          <w:rFonts w:hint="eastAsia" w:ascii="仿宋" w:hAnsi="仿宋" w:eastAsia="仿宋" w:cs="仿宋"/>
          <w:sz w:val="28"/>
        </w:rPr>
        <w:t>；</w:t>
      </w:r>
    </w:p>
    <w:p>
      <w:pPr>
        <w:pageBreakBefore w:val="0"/>
        <w:widowControl w:val="0"/>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交通工具：有</w:t>
      </w:r>
      <w:r>
        <w:rPr>
          <w:rFonts w:hint="eastAsia" w:ascii="仿宋" w:hAnsi="仿宋" w:eastAsia="仿宋" w:cs="仿宋"/>
          <w:sz w:val="28"/>
          <w:lang w:val="en-US" w:eastAsia="zh-CN"/>
        </w:rPr>
        <w:t>1路、9路、16路、34路等多条公交车线路</w:t>
      </w:r>
      <w:r>
        <w:rPr>
          <w:rFonts w:hint="eastAsia" w:ascii="仿宋" w:hAnsi="仿宋" w:eastAsia="仿宋" w:cs="仿宋"/>
          <w:sz w:val="28"/>
        </w:rPr>
        <w:t>经过该区域，距离</w:t>
      </w:r>
      <w:r>
        <w:rPr>
          <w:rFonts w:hint="eastAsia" w:ascii="仿宋" w:hAnsi="仿宋" w:eastAsia="仿宋" w:cs="仿宋"/>
          <w:sz w:val="28"/>
          <w:lang w:eastAsia="zh-CN"/>
        </w:rPr>
        <w:t>公交车</w:t>
      </w:r>
      <w:r>
        <w:rPr>
          <w:rFonts w:hint="eastAsia" w:ascii="仿宋" w:hAnsi="仿宋" w:eastAsia="仿宋" w:cs="仿宋"/>
          <w:sz w:val="28"/>
        </w:rPr>
        <w:t>站约</w:t>
      </w:r>
      <w:r>
        <w:rPr>
          <w:rFonts w:hint="eastAsia" w:ascii="仿宋" w:hAnsi="仿宋" w:eastAsia="仿宋" w:cs="仿宋"/>
          <w:sz w:val="28"/>
          <w:lang w:val="en-US" w:eastAsia="zh-CN"/>
        </w:rPr>
        <w:t>152米</w:t>
      </w:r>
      <w:r>
        <w:rPr>
          <w:rFonts w:hint="eastAsia" w:ascii="仿宋" w:hAnsi="仿宋" w:eastAsia="仿宋" w:cs="仿宋"/>
          <w:sz w:val="28"/>
        </w:rPr>
        <w:t>，内外交通较方便快捷；</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交通管制状况:区域内</w:t>
      </w:r>
      <w:r>
        <w:rPr>
          <w:rFonts w:hint="eastAsia" w:ascii="仿宋" w:hAnsi="仿宋" w:eastAsia="仿宋" w:cs="仿宋"/>
          <w:sz w:val="28"/>
          <w:lang w:eastAsia="zh-CN"/>
        </w:rPr>
        <w:t>无</w:t>
      </w:r>
      <w:r>
        <w:rPr>
          <w:rFonts w:hint="eastAsia" w:ascii="仿宋" w:hAnsi="仿宋" w:eastAsia="仿宋" w:cs="仿宋"/>
          <w:sz w:val="28"/>
        </w:rPr>
        <w:t>单行道、车辆限行等交通管制状况，交通较畅通；</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highlight w:val="none"/>
        </w:rPr>
        <w:t>停车状况：</w:t>
      </w:r>
      <w:r>
        <w:rPr>
          <w:rFonts w:hint="eastAsia" w:ascii="仿宋" w:hAnsi="仿宋" w:eastAsia="仿宋" w:cs="仿宋"/>
          <w:sz w:val="28"/>
          <w:highlight w:val="none"/>
          <w:lang w:eastAsia="zh-CN"/>
        </w:rPr>
        <w:t>估价对象</w:t>
      </w:r>
      <w:r>
        <w:rPr>
          <w:rFonts w:hint="eastAsia" w:ascii="仿宋" w:hAnsi="仿宋" w:eastAsia="仿宋" w:cs="仿宋"/>
          <w:sz w:val="28"/>
          <w:highlight w:val="none"/>
        </w:rPr>
        <w:t>所在</w:t>
      </w:r>
      <w:r>
        <w:rPr>
          <w:rFonts w:hint="eastAsia" w:ascii="仿宋" w:hAnsi="仿宋" w:eastAsia="仿宋" w:cs="仿宋"/>
          <w:sz w:val="28"/>
          <w:highlight w:val="none"/>
          <w:lang w:eastAsia="zh-CN"/>
        </w:rPr>
        <w:t>小区有大型地下停车场，</w:t>
      </w:r>
      <w:r>
        <w:rPr>
          <w:rFonts w:hint="eastAsia" w:ascii="仿宋" w:hAnsi="仿宋" w:eastAsia="仿宋" w:cs="仿宋"/>
          <w:sz w:val="28"/>
          <w:highlight w:val="none"/>
        </w:rPr>
        <w:t>区域周边街道有路边临时停车位，</w:t>
      </w:r>
      <w:r>
        <w:rPr>
          <w:rFonts w:hint="eastAsia" w:ascii="仿宋" w:hAnsi="仿宋" w:eastAsia="仿宋" w:cs="仿宋"/>
          <w:sz w:val="28"/>
        </w:rPr>
        <w:t>车位数量基本能够满足需求，停车便捷度较好。</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3、周围环境和景观</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自然环境：区域内街道较整洁，无明显大气、水文等污染，环境状况</w:t>
      </w:r>
      <w:r>
        <w:rPr>
          <w:rFonts w:hint="eastAsia" w:ascii="仿宋" w:hAnsi="仿宋" w:eastAsia="仿宋" w:cs="仿宋"/>
          <w:sz w:val="28"/>
          <w:lang w:eastAsia="zh-CN"/>
        </w:rPr>
        <w:t>一般</w:t>
      </w:r>
      <w:r>
        <w:rPr>
          <w:rFonts w:hint="eastAsia" w:ascii="仿宋" w:hAnsi="仿宋" w:eastAsia="仿宋" w:cs="仿宋"/>
          <w:sz w:val="28"/>
        </w:rPr>
        <w:t>；</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人文环境：所在区域为</w:t>
      </w:r>
      <w:r>
        <w:rPr>
          <w:rFonts w:hint="eastAsia" w:ascii="仿宋" w:hAnsi="仿宋" w:eastAsia="仿宋" w:cs="仿宋"/>
          <w:sz w:val="28"/>
          <w:lang w:eastAsia="zh-CN"/>
        </w:rPr>
        <w:t>六盘水市钟山区城区东部</w:t>
      </w:r>
      <w:r>
        <w:rPr>
          <w:rFonts w:hint="eastAsia" w:ascii="仿宋" w:hAnsi="仿宋" w:eastAsia="仿宋" w:cs="仿宋"/>
          <w:sz w:val="28"/>
        </w:rPr>
        <w:t>，居民以中等收入者为主，治安状况</w:t>
      </w:r>
      <w:r>
        <w:rPr>
          <w:rFonts w:hint="eastAsia" w:ascii="仿宋" w:hAnsi="仿宋" w:eastAsia="仿宋" w:cs="仿宋"/>
          <w:sz w:val="28"/>
          <w:lang w:eastAsia="zh-CN"/>
        </w:rPr>
        <w:t>较好</w:t>
      </w:r>
      <w:r>
        <w:rPr>
          <w:rFonts w:hint="eastAsia" w:ascii="仿宋" w:hAnsi="仿宋" w:eastAsia="仿宋" w:cs="仿宋"/>
          <w:sz w:val="28"/>
        </w:rPr>
        <w:t>。相邻房地产以</w:t>
      </w:r>
      <w:r>
        <w:rPr>
          <w:rFonts w:hint="eastAsia" w:ascii="仿宋" w:hAnsi="仿宋" w:eastAsia="仿宋" w:cs="仿宋"/>
          <w:sz w:val="28"/>
          <w:lang w:eastAsia="zh-CN"/>
        </w:rPr>
        <w:t>居民麒麟花园、德远</w:t>
      </w:r>
      <w:r>
        <w:rPr>
          <w:rFonts w:hint="eastAsia" w:ascii="仿宋" w:hAnsi="仿宋" w:eastAsia="仿宋" w:cs="仿宋"/>
          <w:sz w:val="28"/>
          <w:lang w:val="en-US" w:eastAsia="zh-CN"/>
        </w:rPr>
        <w:t>·城中湾畔、川心小区</w:t>
      </w:r>
      <w:r>
        <w:rPr>
          <w:rFonts w:hint="eastAsia" w:ascii="仿宋" w:hAnsi="仿宋" w:eastAsia="仿宋" w:cs="仿宋"/>
          <w:sz w:val="28"/>
        </w:rPr>
        <w:t>等住宅房地产为主，区域内住宅楼聚集度</w:t>
      </w:r>
      <w:r>
        <w:rPr>
          <w:rFonts w:hint="eastAsia" w:ascii="仿宋" w:hAnsi="仿宋" w:eastAsia="仿宋" w:cs="仿宋"/>
          <w:sz w:val="28"/>
          <w:lang w:eastAsia="zh-CN"/>
        </w:rPr>
        <w:t>较好</w:t>
      </w:r>
      <w:r>
        <w:rPr>
          <w:rFonts w:hint="eastAsia" w:ascii="仿宋" w:hAnsi="仿宋" w:eastAsia="仿宋" w:cs="仿宋"/>
          <w:sz w:val="28"/>
        </w:rPr>
        <w:t>，居住氛围</w:t>
      </w:r>
      <w:r>
        <w:rPr>
          <w:rFonts w:hint="eastAsia" w:ascii="仿宋" w:hAnsi="仿宋" w:eastAsia="仿宋" w:cs="仿宋"/>
          <w:sz w:val="28"/>
          <w:lang w:eastAsia="zh-CN"/>
        </w:rPr>
        <w:t>较好</w:t>
      </w:r>
      <w:r>
        <w:rPr>
          <w:rFonts w:hint="eastAsia" w:ascii="仿宋" w:hAnsi="仿宋" w:eastAsia="仿宋" w:cs="仿宋"/>
          <w:sz w:val="28"/>
        </w:rPr>
        <w:t>；</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景观：</w:t>
      </w:r>
      <w:r>
        <w:rPr>
          <w:rFonts w:hint="eastAsia" w:ascii="仿宋" w:hAnsi="仿宋" w:eastAsia="仿宋" w:cs="仿宋"/>
          <w:sz w:val="28"/>
          <w:lang w:eastAsia="zh-CN"/>
        </w:rPr>
        <w:t>所在区域设有麒麟公园，</w:t>
      </w:r>
      <w:r>
        <w:rPr>
          <w:rFonts w:hint="eastAsia" w:ascii="仿宋" w:hAnsi="仿宋" w:eastAsia="仿宋" w:cs="仿宋"/>
          <w:sz w:val="28"/>
        </w:rPr>
        <w:t>景观</w:t>
      </w:r>
      <w:r>
        <w:rPr>
          <w:rFonts w:hint="eastAsia" w:ascii="仿宋" w:hAnsi="仿宋" w:eastAsia="仿宋" w:cs="仿宋"/>
          <w:sz w:val="28"/>
          <w:lang w:eastAsia="zh-CN"/>
        </w:rPr>
        <w:t>较好</w:t>
      </w:r>
      <w:r>
        <w:rPr>
          <w:rFonts w:hint="eastAsia" w:ascii="仿宋" w:hAnsi="仿宋" w:eastAsia="仿宋" w:cs="仿宋"/>
          <w:sz w:val="28"/>
        </w:rPr>
        <w:t>。</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4、外部配套设施</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基础设施：估价对象所在区域已达到了“</w:t>
      </w:r>
      <w:r>
        <w:rPr>
          <w:rFonts w:hint="eastAsia" w:ascii="仿宋" w:hAnsi="仿宋" w:eastAsia="仿宋" w:cs="仿宋"/>
          <w:sz w:val="28"/>
          <w:lang w:eastAsia="zh-CN"/>
        </w:rPr>
        <w:t>六</w:t>
      </w:r>
      <w:r>
        <w:rPr>
          <w:rFonts w:hint="eastAsia" w:ascii="仿宋" w:hAnsi="仿宋" w:eastAsia="仿宋" w:cs="仿宋"/>
          <w:sz w:val="28"/>
        </w:rPr>
        <w:t>通一平”，水、电、路、</w:t>
      </w:r>
      <w:r>
        <w:rPr>
          <w:rFonts w:hint="eastAsia" w:ascii="仿宋" w:hAnsi="仿宋" w:eastAsia="仿宋" w:cs="仿宋"/>
          <w:sz w:val="28"/>
          <w:lang w:eastAsia="zh-CN"/>
        </w:rPr>
        <w:t>气、</w:t>
      </w:r>
      <w:r>
        <w:rPr>
          <w:rFonts w:hint="eastAsia" w:ascii="仿宋" w:hAnsi="仿宋" w:eastAsia="仿宋" w:cs="仿宋"/>
          <w:sz w:val="28"/>
        </w:rPr>
        <w:t>通讯等基础设施完备；</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highlight w:val="none"/>
        </w:rPr>
        <w:t>公共服务设施：</w:t>
      </w:r>
      <w:r>
        <w:rPr>
          <w:rFonts w:hint="eastAsia" w:ascii="仿宋" w:hAnsi="仿宋" w:eastAsia="仿宋" w:cs="仿宋"/>
          <w:sz w:val="28"/>
        </w:rPr>
        <w:t>估价对象区域内有</w:t>
      </w:r>
      <w:r>
        <w:rPr>
          <w:rFonts w:hint="eastAsia" w:ascii="仿宋" w:hAnsi="仿宋" w:eastAsia="仿宋" w:cs="仿宋"/>
          <w:sz w:val="28"/>
          <w:lang w:eastAsia="zh-CN"/>
        </w:rPr>
        <w:t>优芽小学、市民族学校等教育机构</w:t>
      </w:r>
      <w:r>
        <w:rPr>
          <w:rFonts w:hint="eastAsia" w:ascii="仿宋" w:hAnsi="仿宋" w:eastAsia="仿宋" w:cs="仿宋"/>
          <w:sz w:val="28"/>
        </w:rPr>
        <w:t>；</w:t>
      </w:r>
      <w:r>
        <w:rPr>
          <w:rFonts w:hint="eastAsia" w:ascii="仿宋" w:hAnsi="仿宋" w:eastAsia="仿宋" w:cs="仿宋"/>
          <w:sz w:val="28"/>
          <w:lang w:eastAsia="zh-CN"/>
        </w:rPr>
        <w:t>中国农业银行、中国建设银行、重庆银行、中国银行</w:t>
      </w:r>
      <w:r>
        <w:rPr>
          <w:rFonts w:hint="eastAsia" w:ascii="仿宋" w:hAnsi="仿宋" w:eastAsia="仿宋" w:cs="仿宋"/>
          <w:sz w:val="28"/>
          <w:highlight w:val="none"/>
        </w:rPr>
        <w:t>等金融场所</w:t>
      </w:r>
      <w:r>
        <w:rPr>
          <w:rFonts w:hint="eastAsia" w:ascii="仿宋" w:hAnsi="仿宋" w:eastAsia="仿宋" w:cs="仿宋"/>
          <w:sz w:val="28"/>
          <w:highlight w:val="none"/>
          <w:lang w:eastAsia="zh-CN"/>
        </w:rPr>
        <w:t>；有</w:t>
      </w:r>
      <w:r>
        <w:rPr>
          <w:rFonts w:hint="eastAsia" w:ascii="仿宋" w:hAnsi="仿宋" w:eastAsia="仿宋" w:cs="仿宋"/>
          <w:sz w:val="28"/>
          <w:lang w:eastAsia="zh-CN"/>
        </w:rPr>
        <w:t>六盘水博爱医院</w:t>
      </w:r>
      <w:r>
        <w:rPr>
          <w:rFonts w:hint="eastAsia" w:ascii="仿宋" w:hAnsi="仿宋" w:eastAsia="仿宋" w:cs="仿宋"/>
          <w:sz w:val="28"/>
          <w:highlight w:val="none"/>
          <w:lang w:eastAsia="zh-CN"/>
        </w:rPr>
        <w:t>等医疗机构；</w:t>
      </w:r>
      <w:r>
        <w:rPr>
          <w:rFonts w:hint="eastAsia" w:ascii="仿宋" w:hAnsi="仿宋" w:eastAsia="仿宋" w:cs="仿宋"/>
          <w:sz w:val="28"/>
        </w:rPr>
        <w:t>商业服务主要以附近的</w:t>
      </w:r>
      <w:r>
        <w:rPr>
          <w:rFonts w:hint="eastAsia" w:ascii="仿宋" w:hAnsi="仿宋" w:eastAsia="仿宋" w:cs="仿宋"/>
          <w:sz w:val="28"/>
          <w:lang w:eastAsia="zh-CN"/>
        </w:rPr>
        <w:t>永辉超市、家友超市、</w:t>
      </w:r>
      <w:r>
        <w:rPr>
          <w:rFonts w:hint="eastAsia" w:ascii="仿宋" w:hAnsi="仿宋" w:eastAsia="仿宋" w:cs="仿宋"/>
          <w:sz w:val="28"/>
        </w:rPr>
        <w:t>周边沿街底商商业等为主，</w:t>
      </w:r>
      <w:r>
        <w:rPr>
          <w:rFonts w:hint="eastAsia" w:ascii="仿宋" w:hAnsi="仿宋" w:eastAsia="仿宋" w:cs="仿宋"/>
          <w:sz w:val="28"/>
          <w:lang w:eastAsia="zh-CN"/>
        </w:rPr>
        <w:t>所在区域设有麒麟公园</w:t>
      </w:r>
      <w:r>
        <w:rPr>
          <w:rFonts w:hint="eastAsia" w:ascii="仿宋" w:hAnsi="仿宋" w:eastAsia="仿宋" w:cs="仿宋"/>
          <w:sz w:val="28"/>
          <w:highlight w:val="none"/>
        </w:rPr>
        <w:t>等休闲娱乐场所</w:t>
      </w:r>
      <w:r>
        <w:rPr>
          <w:rFonts w:hint="eastAsia" w:ascii="仿宋" w:hAnsi="仿宋" w:eastAsia="仿宋" w:cs="仿宋"/>
          <w:sz w:val="28"/>
        </w:rPr>
        <w:t>。</w:t>
      </w:r>
    </w:p>
    <w:p>
      <w:pPr>
        <w:pStyle w:val="3"/>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napToGrid w:val="0"/>
          <w:sz w:val="28"/>
          <w:szCs w:val="28"/>
        </w:rPr>
      </w:pPr>
      <w:bookmarkStart w:id="51" w:name="_Toc9777"/>
      <w:bookmarkStart w:id="52" w:name="_Toc5994"/>
      <w:bookmarkStart w:id="53" w:name="_Toc14990"/>
      <w:bookmarkStart w:id="54" w:name="_Toc437853093"/>
      <w:bookmarkStart w:id="55" w:name="_Toc26564"/>
      <w:bookmarkStart w:id="56" w:name="_Toc32534"/>
      <w:bookmarkStart w:id="57" w:name="_Toc2211"/>
      <w:r>
        <w:rPr>
          <w:rFonts w:hint="eastAsia" w:ascii="仿宋" w:hAnsi="仿宋" w:eastAsia="仿宋" w:cs="仿宋"/>
          <w:snapToGrid w:val="0"/>
          <w:sz w:val="28"/>
          <w:szCs w:val="28"/>
        </w:rPr>
        <w:t>四、估价目的</w:t>
      </w:r>
      <w:bookmarkEnd w:id="50"/>
      <w:bookmarkEnd w:id="51"/>
      <w:bookmarkEnd w:id="52"/>
      <w:bookmarkEnd w:id="53"/>
      <w:bookmarkEnd w:id="54"/>
      <w:bookmarkEnd w:id="55"/>
      <w:bookmarkEnd w:id="56"/>
      <w:bookmarkEnd w:id="57"/>
    </w:p>
    <w:p>
      <w:pPr>
        <w:pageBreakBefore w:val="0"/>
        <w:widowControl w:val="0"/>
        <w:kinsoku/>
        <w:wordWrap/>
        <w:overflowPunct/>
        <w:topLinePunct w:val="0"/>
        <w:autoSpaceDE/>
        <w:autoSpaceDN/>
        <w:bidi w:val="0"/>
        <w:spacing w:line="360" w:lineRule="auto"/>
        <w:ind w:firstLine="566" w:firstLineChars="200"/>
        <w:rPr>
          <w:rFonts w:hint="eastAsia" w:ascii="仿宋" w:hAnsi="仿宋" w:eastAsia="仿宋" w:cs="仿宋"/>
          <w:sz w:val="28"/>
          <w:szCs w:val="28"/>
        </w:rPr>
      </w:pPr>
      <w:r>
        <w:rPr>
          <w:rFonts w:hint="eastAsia" w:ascii="仿宋" w:hAnsi="仿宋" w:eastAsia="仿宋"/>
          <w:sz w:val="28"/>
        </w:rPr>
        <w:t>本次估价目的是为司法拍卖（变卖）提供房地产市场价值参考依据</w:t>
      </w:r>
      <w:r>
        <w:rPr>
          <w:rFonts w:hint="eastAsia" w:ascii="仿宋" w:hAnsi="仿宋" w:eastAsia="仿宋" w:cs="仿宋"/>
          <w:sz w:val="28"/>
          <w:szCs w:val="28"/>
        </w:rPr>
        <w:t>。</w:t>
      </w:r>
    </w:p>
    <w:p>
      <w:pPr>
        <w:pStyle w:val="3"/>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napToGrid w:val="0"/>
          <w:sz w:val="28"/>
          <w:szCs w:val="28"/>
        </w:rPr>
      </w:pPr>
      <w:bookmarkStart w:id="58" w:name="_Toc408527830"/>
      <w:bookmarkStart w:id="59" w:name="_Toc17384"/>
      <w:bookmarkStart w:id="60" w:name="_Toc31821"/>
      <w:bookmarkStart w:id="61" w:name="_Toc437853094"/>
      <w:bookmarkStart w:id="62" w:name="_Toc26767"/>
      <w:bookmarkStart w:id="63" w:name="_Toc16829"/>
      <w:bookmarkStart w:id="64" w:name="_Toc3378"/>
      <w:bookmarkStart w:id="65" w:name="_Toc11659"/>
      <w:r>
        <w:rPr>
          <w:rFonts w:hint="eastAsia" w:ascii="仿宋" w:hAnsi="仿宋" w:eastAsia="仿宋" w:cs="仿宋"/>
          <w:snapToGrid w:val="0"/>
          <w:sz w:val="28"/>
          <w:szCs w:val="28"/>
        </w:rPr>
        <w:t>五、价值时点</w:t>
      </w:r>
      <w:bookmarkEnd w:id="58"/>
      <w:bookmarkEnd w:id="59"/>
      <w:bookmarkEnd w:id="60"/>
      <w:bookmarkEnd w:id="61"/>
      <w:bookmarkEnd w:id="62"/>
      <w:bookmarkEnd w:id="63"/>
      <w:bookmarkEnd w:id="64"/>
      <w:bookmarkEnd w:id="65"/>
    </w:p>
    <w:p>
      <w:pPr>
        <w:pageBreakBefore w:val="0"/>
        <w:widowControl w:val="0"/>
        <w:kinsoku/>
        <w:wordWrap/>
        <w:overflowPunct/>
        <w:topLinePunct w:val="0"/>
        <w:autoSpaceDE/>
        <w:autoSpaceDN/>
        <w:bidi w:val="0"/>
        <w:adjustRightInd w:val="0"/>
        <w:snapToGrid w:val="0"/>
        <w:spacing w:line="360" w:lineRule="auto"/>
        <w:ind w:firstLine="555"/>
        <w:rPr>
          <w:rFonts w:hint="eastAsia" w:ascii="仿宋" w:hAnsi="仿宋" w:eastAsia="仿宋" w:cs="仿宋"/>
          <w:sz w:val="28"/>
        </w:rPr>
      </w:pPr>
      <w:r>
        <w:rPr>
          <w:rFonts w:hint="eastAsia" w:ascii="仿宋" w:hAnsi="仿宋" w:eastAsia="仿宋" w:cs="仿宋"/>
          <w:sz w:val="28"/>
          <w:highlight w:val="none"/>
        </w:rPr>
        <w:t>本次估价的价值时点为</w:t>
      </w:r>
      <w:r>
        <w:rPr>
          <w:rFonts w:hint="eastAsia" w:ascii="仿宋" w:hAnsi="仿宋" w:eastAsia="仿宋" w:cs="仿宋"/>
          <w:sz w:val="28"/>
          <w:highlight w:val="none"/>
          <w:lang w:eastAsia="zh-CN"/>
        </w:rPr>
        <w:t>2020年01月02日</w:t>
      </w:r>
      <w:r>
        <w:rPr>
          <w:rFonts w:hint="eastAsia" w:ascii="仿宋" w:hAnsi="仿宋" w:eastAsia="仿宋" w:cs="仿宋"/>
          <w:sz w:val="28"/>
        </w:rPr>
        <w:t>。</w:t>
      </w:r>
    </w:p>
    <w:p>
      <w:pPr>
        <w:pageBreakBefore w:val="0"/>
        <w:widowControl w:val="0"/>
        <w:kinsoku/>
        <w:wordWrap/>
        <w:overflowPunct/>
        <w:topLinePunct w:val="0"/>
        <w:autoSpaceDE/>
        <w:autoSpaceDN/>
        <w:bidi w:val="0"/>
        <w:adjustRightInd w:val="0"/>
        <w:snapToGrid w:val="0"/>
        <w:spacing w:line="360" w:lineRule="auto"/>
        <w:ind w:firstLine="555"/>
        <w:rPr>
          <w:rFonts w:hint="eastAsia" w:ascii="仿宋" w:hAnsi="仿宋" w:eastAsia="仿宋" w:cs="仿宋"/>
          <w:sz w:val="28"/>
        </w:rPr>
      </w:pPr>
      <w:r>
        <w:rPr>
          <w:rFonts w:hint="eastAsia" w:ascii="仿宋" w:hAnsi="仿宋" w:eastAsia="仿宋"/>
          <w:sz w:val="28"/>
          <w:highlight w:val="none"/>
          <w:lang w:eastAsia="zh-CN"/>
        </w:rPr>
        <w:t>《贵州省六盘水市钟山区人民法院评估委托书》（2019）黔钟委评字第179号</w:t>
      </w:r>
      <w:r>
        <w:rPr>
          <w:rFonts w:hint="eastAsia" w:ascii="仿宋" w:hAnsi="仿宋" w:eastAsia="仿宋"/>
          <w:sz w:val="28"/>
        </w:rPr>
        <w:t>未明确价值时点，本次估价的价值时点确定为完成现场查勘之日。</w:t>
      </w:r>
    </w:p>
    <w:p>
      <w:pPr>
        <w:pStyle w:val="3"/>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napToGrid w:val="0"/>
          <w:sz w:val="28"/>
          <w:szCs w:val="28"/>
        </w:rPr>
      </w:pPr>
      <w:bookmarkStart w:id="66" w:name="_Toc408527831"/>
      <w:bookmarkStart w:id="67" w:name="_Toc4846"/>
      <w:bookmarkStart w:id="68" w:name="_Toc27107"/>
      <w:bookmarkStart w:id="69" w:name="_Toc437853095"/>
      <w:bookmarkStart w:id="70" w:name="_Toc21136"/>
      <w:bookmarkStart w:id="71" w:name="_Toc22672"/>
      <w:bookmarkStart w:id="72" w:name="_Toc23436"/>
      <w:bookmarkStart w:id="73" w:name="_Toc2023"/>
      <w:r>
        <w:rPr>
          <w:rFonts w:hint="eastAsia" w:ascii="仿宋" w:hAnsi="仿宋" w:eastAsia="仿宋" w:cs="仿宋"/>
          <w:snapToGrid w:val="0"/>
          <w:sz w:val="28"/>
          <w:szCs w:val="28"/>
        </w:rPr>
        <w:t>六、价值类型</w:t>
      </w:r>
      <w:bookmarkEnd w:id="66"/>
      <w:bookmarkEnd w:id="67"/>
      <w:bookmarkEnd w:id="68"/>
      <w:bookmarkEnd w:id="69"/>
      <w:bookmarkEnd w:id="70"/>
      <w:bookmarkEnd w:id="71"/>
      <w:bookmarkEnd w:id="72"/>
      <w:bookmarkEnd w:id="73"/>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本次估价的价值类型为市场价值，市场价值是指估价对象经适当营销后，由熟悉情况、谨慎行事且不受强迫的交易双方，以公平交易的方式在价值时点自愿进行交易的金额。房地产市场价值的具体内涵如下：</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(1)包含建筑物所有权价值（包含室内装饰装修价值）和所分摊或占用的土地使用权价值。实物状况、权益状况及区位状况如前述“估价对象”中所描述。</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(2)考虑到本次估价目的和当地房地产市场交易惯例，本次估价设定在交易过程中，由购买方承担在交易过程中应缴纳的交易税费。</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(3)不考虑房地产查封及房地产上原有的担保物权和其他优先受偿权因素的影响。</w:t>
      </w:r>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(4)计价币别：人民币。</w:t>
      </w:r>
    </w:p>
    <w:p>
      <w:pPr>
        <w:pStyle w:val="3"/>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napToGrid w:val="0"/>
          <w:sz w:val="28"/>
          <w:szCs w:val="28"/>
        </w:rPr>
      </w:pPr>
      <w:bookmarkStart w:id="74" w:name="_Toc408527832"/>
      <w:bookmarkStart w:id="75" w:name="_Toc11034"/>
      <w:bookmarkStart w:id="76" w:name="_Toc24449"/>
      <w:bookmarkStart w:id="77" w:name="_Toc437853096"/>
      <w:bookmarkStart w:id="78" w:name="_Toc19248"/>
      <w:bookmarkStart w:id="79" w:name="_Toc8737"/>
      <w:bookmarkStart w:id="80" w:name="_Toc731"/>
      <w:bookmarkStart w:id="81" w:name="_Toc26697"/>
      <w:r>
        <w:rPr>
          <w:rFonts w:hint="eastAsia" w:ascii="仿宋" w:hAnsi="仿宋" w:eastAsia="仿宋" w:cs="仿宋"/>
          <w:snapToGrid w:val="0"/>
          <w:sz w:val="28"/>
          <w:szCs w:val="28"/>
        </w:rPr>
        <w:t>七、估价依据</w:t>
      </w:r>
      <w:bookmarkEnd w:id="74"/>
      <w:bookmarkEnd w:id="75"/>
      <w:bookmarkEnd w:id="76"/>
      <w:bookmarkEnd w:id="77"/>
      <w:bookmarkEnd w:id="78"/>
      <w:bookmarkEnd w:id="79"/>
      <w:bookmarkEnd w:id="80"/>
      <w:bookmarkEnd w:id="81"/>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highlight w:val="none"/>
        </w:rPr>
      </w:pPr>
      <w:r>
        <w:rPr>
          <w:rFonts w:hint="eastAsia" w:ascii="仿宋" w:hAnsi="仿宋" w:eastAsia="仿宋"/>
          <w:sz w:val="28"/>
          <w:szCs w:val="28"/>
          <w:highlight w:val="none"/>
          <w:lang w:eastAsia="zh-CN"/>
        </w:rPr>
        <w:t>《贵州省六盘水市钟山区人民法院评估委托书》（2019）黔钟委评字第179号</w:t>
      </w:r>
      <w:r>
        <w:rPr>
          <w:rFonts w:hint="eastAsia" w:ascii="仿宋" w:hAnsi="仿宋" w:eastAsia="仿宋"/>
          <w:sz w:val="28"/>
          <w:szCs w:val="28"/>
          <w:highlight w:val="none"/>
        </w:rPr>
        <w:t>；</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《中华人民共和国资产评估法》；</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《中华人民共和国城市房地产管理法》；</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《中华人民共和国土地管理法》；</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《中华人民共和国物权法》；</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《中华人民共和国城乡规划法》；</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《人民法院对外委托司法鉴定管理规定》（法释〔2002〕8号）；</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《最高人民法院关于人民法院委托评估、拍卖和变卖工作的若干规定》（法释［2009］16号）；</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《最高人民法院关于人民法院委托评估、拍卖工作的若干规定》（法释［20</w:t>
      </w:r>
      <w:r>
        <w:rPr>
          <w:rFonts w:hint="eastAsia" w:ascii="仿宋" w:hAnsi="仿宋" w:eastAsia="仿宋"/>
          <w:sz w:val="28"/>
          <w:szCs w:val="28"/>
          <w:lang w:val="en-US" w:eastAsia="zh-CN"/>
        </w:rPr>
        <w:t>11</w:t>
      </w:r>
      <w:r>
        <w:rPr>
          <w:rFonts w:hint="eastAsia" w:ascii="仿宋" w:hAnsi="仿宋" w:eastAsia="仿宋"/>
          <w:sz w:val="28"/>
          <w:szCs w:val="28"/>
        </w:rPr>
        <w:t>］</w:t>
      </w:r>
      <w:r>
        <w:rPr>
          <w:rFonts w:hint="eastAsia" w:ascii="仿宋" w:hAnsi="仿宋" w:eastAsia="仿宋"/>
          <w:sz w:val="28"/>
          <w:szCs w:val="28"/>
          <w:lang w:val="en-US" w:eastAsia="zh-CN"/>
        </w:rPr>
        <w:t>21</w:t>
      </w:r>
      <w:r>
        <w:rPr>
          <w:rFonts w:hint="eastAsia" w:ascii="仿宋" w:hAnsi="仿宋" w:eastAsia="仿宋"/>
          <w:sz w:val="28"/>
          <w:szCs w:val="28"/>
        </w:rPr>
        <w:t>号）；</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rPr>
        <w:t>最高人民法院关于人民法院确定财产处置参考价若干问题的规定 </w:t>
      </w:r>
      <w:r>
        <w:rPr>
          <w:rFonts w:hint="eastAsia" w:ascii="仿宋" w:hAnsi="仿宋" w:eastAsia="仿宋"/>
          <w:sz w:val="28"/>
          <w:szCs w:val="28"/>
          <w:lang w:eastAsia="zh-CN"/>
        </w:rPr>
        <w:t>》</w:t>
      </w:r>
      <w:r>
        <w:rPr>
          <w:rFonts w:hint="eastAsia" w:ascii="仿宋" w:hAnsi="仿宋" w:eastAsia="仿宋"/>
          <w:sz w:val="28"/>
          <w:szCs w:val="28"/>
        </w:rPr>
        <w:t>（法释〔20</w:t>
      </w:r>
      <w:r>
        <w:rPr>
          <w:rFonts w:hint="eastAsia" w:ascii="仿宋" w:hAnsi="仿宋" w:eastAsia="仿宋"/>
          <w:sz w:val="28"/>
          <w:szCs w:val="28"/>
          <w:lang w:val="en-US" w:eastAsia="zh-CN"/>
        </w:rPr>
        <w:t>18</w:t>
      </w:r>
      <w:r>
        <w:rPr>
          <w:rFonts w:hint="eastAsia" w:ascii="仿宋" w:hAnsi="仿宋" w:eastAsia="仿宋"/>
          <w:sz w:val="28"/>
          <w:szCs w:val="28"/>
        </w:rPr>
        <w:t>〕</w:t>
      </w:r>
      <w:r>
        <w:rPr>
          <w:rFonts w:hint="eastAsia" w:ascii="仿宋" w:hAnsi="仿宋" w:eastAsia="仿宋"/>
          <w:sz w:val="28"/>
          <w:szCs w:val="28"/>
          <w:lang w:val="en-US" w:eastAsia="zh-CN"/>
        </w:rPr>
        <w:t>15</w:t>
      </w:r>
      <w:r>
        <w:rPr>
          <w:rFonts w:hint="eastAsia" w:ascii="仿宋" w:hAnsi="仿宋" w:eastAsia="仿宋"/>
          <w:sz w:val="28"/>
          <w:szCs w:val="28"/>
        </w:rPr>
        <w:t>号）</w:t>
      </w:r>
      <w:r>
        <w:rPr>
          <w:rFonts w:hint="eastAsia" w:ascii="仿宋" w:hAnsi="仿宋" w:eastAsia="仿宋"/>
          <w:sz w:val="28"/>
          <w:szCs w:val="28"/>
          <w:lang w:eastAsia="zh-CN"/>
        </w:rPr>
        <w:t>；</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《房地产估价规范》（GB/T50291-2015）；</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《房地产估价基本术语标准》（GB/T50899-2013）；</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注册房地产估价师实地查勘、调查获得的资料；</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注册房地产估价师掌握的近期房地产市场交易资料；</w:t>
      </w:r>
    </w:p>
    <w:p>
      <w:pPr>
        <w:pageBreakBefore w:val="0"/>
        <w:widowControl w:val="0"/>
        <w:numPr>
          <w:ilvl w:val="0"/>
          <w:numId w:val="6"/>
        </w:numPr>
        <w:kinsoku/>
        <w:wordWrap/>
        <w:overflowPunct/>
        <w:topLinePunct w:val="0"/>
        <w:autoSpaceDE/>
        <w:autoSpaceDN/>
        <w:bidi w:val="0"/>
        <w:adjustRightInd w:val="0"/>
        <w:snapToGrid w:val="0"/>
        <w:spacing w:line="360" w:lineRule="auto"/>
        <w:textAlignment w:val="baseline"/>
        <w:rPr>
          <w:rFonts w:hint="eastAsia" w:ascii="仿宋" w:hAnsi="仿宋" w:eastAsia="仿宋"/>
          <w:sz w:val="28"/>
          <w:szCs w:val="28"/>
        </w:rPr>
      </w:pPr>
      <w:r>
        <w:rPr>
          <w:rFonts w:hint="eastAsia" w:ascii="仿宋" w:hAnsi="仿宋" w:eastAsia="仿宋"/>
          <w:sz w:val="28"/>
          <w:szCs w:val="28"/>
        </w:rPr>
        <w:t>估价委托人和当事人提供的与估价对象有关的资料：</w:t>
      </w:r>
    </w:p>
    <w:p>
      <w:pPr>
        <w:pageBreakBefore w:val="0"/>
        <w:widowControl w:val="0"/>
        <w:numPr>
          <w:ilvl w:val="0"/>
          <w:numId w:val="7"/>
        </w:numPr>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szCs w:val="28"/>
        </w:rPr>
      </w:pPr>
      <w:r>
        <w:rPr>
          <w:rFonts w:hint="eastAsia" w:ascii="仿宋" w:hAnsi="仿宋" w:eastAsia="仿宋" w:cs="仿宋"/>
          <w:sz w:val="28"/>
          <w:szCs w:val="28"/>
        </w:rPr>
        <w:t>估价对象</w:t>
      </w:r>
      <w:r>
        <w:rPr>
          <w:rFonts w:hint="eastAsia" w:ascii="仿宋" w:hAnsi="仿宋" w:eastAsia="仿宋" w:cs="仿宋"/>
          <w:sz w:val="28"/>
          <w:szCs w:val="28"/>
          <w:lang w:eastAsia="zh-CN"/>
        </w:rPr>
        <w:t>《房屋记载表》</w:t>
      </w:r>
      <w:r>
        <w:rPr>
          <w:rFonts w:hint="eastAsia" w:ascii="仿宋" w:hAnsi="仿宋" w:eastAsia="仿宋" w:cs="仿宋"/>
          <w:sz w:val="28"/>
          <w:szCs w:val="28"/>
        </w:rPr>
        <w:t>复印件；</w:t>
      </w:r>
    </w:p>
    <w:p>
      <w:pPr>
        <w:pageBreakBefore w:val="0"/>
        <w:widowControl w:val="0"/>
        <w:numPr>
          <w:ilvl w:val="0"/>
          <w:numId w:val="7"/>
        </w:numPr>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《贵州省六盘水市钟山区人民法院评估委托书》</w:t>
      </w:r>
      <w:r>
        <w:rPr>
          <w:rFonts w:hint="eastAsia" w:ascii="仿宋" w:hAnsi="仿宋" w:eastAsia="仿宋"/>
          <w:sz w:val="28"/>
          <w:highlight w:val="none"/>
          <w:lang w:eastAsia="zh-CN"/>
        </w:rPr>
        <w:t>（2019）黔钟委评字第179号</w:t>
      </w:r>
      <w:r>
        <w:rPr>
          <w:rFonts w:hint="eastAsia" w:ascii="仿宋" w:hAnsi="仿宋" w:eastAsia="仿宋" w:cs="仿宋"/>
          <w:sz w:val="28"/>
          <w:szCs w:val="28"/>
          <w:lang w:eastAsia="zh-CN"/>
        </w:rPr>
        <w:t>；</w:t>
      </w:r>
    </w:p>
    <w:p>
      <w:pPr>
        <w:pageBreakBefore w:val="0"/>
        <w:widowControl w:val="0"/>
        <w:numPr>
          <w:ilvl w:val="0"/>
          <w:numId w:val="7"/>
        </w:numPr>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szCs w:val="28"/>
          <w:lang w:eastAsia="zh-CN"/>
        </w:rPr>
      </w:pPr>
      <w:r>
        <w:rPr>
          <w:rFonts w:hint="eastAsia" w:ascii="仿宋" w:hAnsi="仿宋" w:eastAsia="仿宋"/>
          <w:sz w:val="28"/>
          <w:szCs w:val="28"/>
          <w:lang w:eastAsia="zh-CN"/>
        </w:rPr>
        <w:t>《个人不动产信息情况证明》复印件；</w:t>
      </w:r>
    </w:p>
    <w:p>
      <w:pPr>
        <w:pageBreakBefore w:val="0"/>
        <w:widowControl w:val="0"/>
        <w:numPr>
          <w:ilvl w:val="0"/>
          <w:numId w:val="7"/>
        </w:numPr>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szCs w:val="28"/>
          <w:lang w:eastAsia="zh-CN"/>
        </w:rPr>
      </w:pPr>
      <w:r>
        <w:rPr>
          <w:rFonts w:hint="eastAsia" w:ascii="仿宋" w:hAnsi="仿宋" w:eastAsia="仿宋"/>
          <w:sz w:val="28"/>
          <w:szCs w:val="28"/>
          <w:lang w:eastAsia="zh-CN"/>
        </w:rPr>
        <w:t>《证明》复印件；</w:t>
      </w:r>
    </w:p>
    <w:p>
      <w:pPr>
        <w:pageBreakBefore w:val="0"/>
        <w:widowControl w:val="0"/>
        <w:numPr>
          <w:ilvl w:val="0"/>
          <w:numId w:val="7"/>
        </w:numPr>
        <w:tabs>
          <w:tab w:val="left" w:pos="180"/>
        </w:tabs>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szCs w:val="28"/>
        </w:rPr>
      </w:pPr>
      <w:r>
        <w:rPr>
          <w:rFonts w:hint="eastAsia" w:ascii="仿宋" w:hAnsi="仿宋" w:eastAsia="仿宋" w:cs="仿宋"/>
          <w:sz w:val="28"/>
          <w:szCs w:val="28"/>
        </w:rPr>
        <w:t>其它与估价对象有关的资料。</w:t>
      </w:r>
    </w:p>
    <w:p>
      <w:pPr>
        <w:pStyle w:val="3"/>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napToGrid w:val="0"/>
          <w:sz w:val="28"/>
          <w:szCs w:val="28"/>
        </w:rPr>
      </w:pPr>
      <w:bookmarkStart w:id="82" w:name="_Toc408527833"/>
      <w:bookmarkStart w:id="83" w:name="_Toc31184"/>
      <w:bookmarkStart w:id="84" w:name="_Toc17328"/>
      <w:bookmarkStart w:id="85" w:name="_Toc437853097"/>
      <w:bookmarkStart w:id="86" w:name="_Toc17756"/>
      <w:bookmarkStart w:id="87" w:name="_Toc27909"/>
      <w:bookmarkStart w:id="88" w:name="_Toc16524"/>
      <w:bookmarkStart w:id="89" w:name="_Toc22703"/>
      <w:r>
        <w:rPr>
          <w:rFonts w:hint="eastAsia" w:ascii="仿宋" w:hAnsi="仿宋" w:eastAsia="仿宋" w:cs="仿宋"/>
          <w:snapToGrid w:val="0"/>
          <w:sz w:val="28"/>
          <w:szCs w:val="28"/>
        </w:rPr>
        <w:t>八、估价原则</w:t>
      </w:r>
      <w:bookmarkEnd w:id="82"/>
      <w:bookmarkEnd w:id="83"/>
      <w:bookmarkEnd w:id="84"/>
      <w:bookmarkEnd w:id="85"/>
      <w:bookmarkEnd w:id="86"/>
      <w:bookmarkEnd w:id="87"/>
      <w:bookmarkEnd w:id="88"/>
      <w:bookmarkEnd w:id="89"/>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1、独立、客观、公正原则</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独立、客观、公正原则要求估价机构和估价师应当站在中立的立场上，评估出对各方当事人来说都是公平合理的价值。具体地说，“独立”是要求估价机构和估价师在估价中不应受包括委托人在内的任何单位和个人的干扰，应当凭借估价专业知识、经验和应有的职业道德进行估价；“客观”是要求估价机构和估价师在估价中不应带有自己的情感、好恶和偏见，应当按照事物的本来面目、实事求是地进行估价；“公正”是要求估价机构和估价师在估价中不应偏袒相关当事人中的任何一方，应当坚持原则、公平正直进行估价。</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2、合法原则</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合法原则要求估价结果是在依法判定的估价对象状况特别是权益状况下的价值。</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依法判定的估价对象权益，可分解为依法判定的权利类型及归属，以及使用、处分等权利。在依法判定的权利类型及归属方面，是指所有权、建设用地使用权、地役权、抵押权、租赁权等房地产权利及其归属，一般应以不动产登记薄、权属证书以及有合同（例如租赁权应以租赁合同）等为依据；在依法判定的使用权利方面，应以使用管制（如土地用途管制、规划条件等）为依据；在依法判定的处分权利方面，应以法律、法规、规章、政策或者合同（如国有建设用地使用权出让合同）等允许的处分方式为依据；在依法判定的其他权益方面，评估出的价值应符合国家的价格政策，具体地说，评估政府定价或政府指导价的房地产，应当遵守相应的政府定价和政府指导价。</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3、最高最佳利用原则</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最高最佳利用原则要求估价结果是在估价对象最高最佳利用下的价值。最高最佳利用是指法律上允许、技术上可能、经济上可行，经过充分合理的论证，使估价对象价值最大的一种最可能的利用。</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4、替代原则</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替代原则要求估价结果不得不合理地偏离类似房地产在同等条件下的正常价格。</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根据经济学理论，同一种商品在同一个市场上具有相同的市场价格。房地产价值的形成也符合这一规律，只是由于房地产的独一无二特性，使得完全形同的房地产几乎没有，但在同一个市场上具有相近效用的房地产，其价格应当是接近的。</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5、价值时点原则</w:t>
      </w:r>
    </w:p>
    <w:p>
      <w:pPr>
        <w:pStyle w:val="12"/>
        <w:pageBreakBefore w:val="0"/>
        <w:widowControl w:val="0"/>
        <w:kinsoku/>
        <w:wordWrap/>
        <w:overflowPunct/>
        <w:topLinePunct w:val="0"/>
        <w:autoSpaceDE/>
        <w:autoSpaceDN/>
        <w:bidi w:val="0"/>
        <w:adjustRightInd w:val="0"/>
        <w:snapToGrid w:val="0"/>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价值时点原则要求估价结果是在由估价目的决定的某个特定时间的价值。房地产估价之所以要遵循价值时点原则，是因为影响房地产价值的因素是不断变化的，房地产市场是不断变化的，从而房地产价值和价值也是不断变化的。估价既不可能也无必要评估估价对象在所有时间上的价值，通常只是评估估价对象在某个特定时间的价值，这就要求估价师必须先确定某个特定时间，这个特定时间既不是委托人也不是估价师可以随意确定的，必须根据估价目的来确定。</w:t>
      </w:r>
    </w:p>
    <w:p>
      <w:pPr>
        <w:pStyle w:val="3"/>
        <w:pageBreakBefore w:val="0"/>
        <w:widowControl w:val="0"/>
        <w:kinsoku/>
        <w:wordWrap/>
        <w:overflowPunct/>
        <w:topLinePunct w:val="0"/>
        <w:autoSpaceDE/>
        <w:autoSpaceDN/>
        <w:bidi w:val="0"/>
        <w:adjustRightInd w:val="0"/>
        <w:snapToGrid w:val="0"/>
        <w:spacing w:before="0" w:after="0" w:line="360" w:lineRule="auto"/>
        <w:rPr>
          <w:rFonts w:hint="eastAsia" w:ascii="仿宋" w:hAnsi="仿宋" w:eastAsia="仿宋" w:cs="仿宋"/>
          <w:snapToGrid w:val="0"/>
          <w:sz w:val="28"/>
          <w:szCs w:val="28"/>
        </w:rPr>
      </w:pPr>
      <w:bookmarkStart w:id="90" w:name="_Toc408527834"/>
      <w:bookmarkStart w:id="91" w:name="_Toc4913"/>
      <w:bookmarkStart w:id="92" w:name="_Toc1912"/>
      <w:bookmarkStart w:id="93" w:name="_Toc437853098"/>
      <w:bookmarkStart w:id="94" w:name="_Toc21219"/>
      <w:bookmarkStart w:id="95" w:name="_Toc24710"/>
      <w:bookmarkStart w:id="96" w:name="_Toc27788"/>
      <w:bookmarkStart w:id="97" w:name="_Toc29454"/>
      <w:r>
        <w:rPr>
          <w:rFonts w:hint="eastAsia" w:ascii="仿宋" w:hAnsi="仿宋" w:eastAsia="仿宋" w:cs="仿宋"/>
          <w:snapToGrid w:val="0"/>
          <w:sz w:val="28"/>
          <w:szCs w:val="28"/>
        </w:rPr>
        <w:t>九、估价方法</w:t>
      </w:r>
      <w:bookmarkEnd w:id="90"/>
      <w:bookmarkEnd w:id="91"/>
      <w:bookmarkEnd w:id="92"/>
      <w:bookmarkEnd w:id="93"/>
      <w:bookmarkEnd w:id="94"/>
      <w:bookmarkEnd w:id="95"/>
      <w:bookmarkEnd w:id="96"/>
      <w:bookmarkEnd w:id="97"/>
    </w:p>
    <w:p>
      <w:pPr>
        <w:pageBreakBefore w:val="0"/>
        <w:widowControl w:val="0"/>
        <w:kinsoku/>
        <w:wordWrap/>
        <w:overflowPunct/>
        <w:topLinePunct w:val="0"/>
        <w:autoSpaceDE/>
        <w:autoSpaceDN/>
        <w:bidi w:val="0"/>
        <w:adjustRightInd w:val="0"/>
        <w:snapToGrid w:val="0"/>
        <w:spacing w:line="360" w:lineRule="auto"/>
        <w:ind w:firstLine="566" w:firstLineChars="200"/>
        <w:rPr>
          <w:rFonts w:hint="eastAsia" w:ascii="仿宋" w:hAnsi="仿宋" w:eastAsia="仿宋" w:cs="仿宋"/>
          <w:sz w:val="28"/>
        </w:rPr>
      </w:pPr>
      <w:r>
        <w:rPr>
          <w:rFonts w:hint="eastAsia" w:ascii="仿宋" w:hAnsi="仿宋" w:eastAsia="仿宋" w:cs="仿宋"/>
          <w:sz w:val="28"/>
        </w:rPr>
        <w:t>1、选用估价方法的法律、法规或技术标准依据</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根据《房地产估价规范》（GB/T50291-2015）4.1.2条规定，估价方法的选用，应符合下列规定：</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⑴估价对象的同类房地产有较多交易的，应选用比较法。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⑵估价对象或其同类房地产通常有租金等经济收入的，应选用收益法。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⑶估价对象可假定为独立的开发建设项目进行重新开发建设的，宜选用成本法；当估价对象的同类房地产没有交易或交易很少，且估价对象或其同类房地产没有租金等经济收入时，应选用成本法。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⑷估价对象具有开发或再开发潜力且开发完成后的价值可采用除成本法以外的方法测算的，应选用假设开发法。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2、理论上适用但未选用的估价方法及其理由</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⑴收益法：估价对象作为住宅用房，可产生一定的收益，但收益性不明显，将其预期收益转换为价值后，不能客观、合理反映估价对象的市场价值，故本次估价未选用收益法。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⑵成本法：估价对象周边基础设施、公用服务设施较齐备，其区位状况较好，而选用成本法测算时无法考虑区位效应、城市附加值等影响，测算结果不能客观、合理反映估价对象的市场价值，故本次估价未选用成本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⑶假设开发法：估价对象为已建成的住宅用房，至价值时点已达到最高最佳利用状态，不具有开发或再开发潜力，故本次估价不选用假设开发法。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3、本次估价选用的估价方法及理由</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比较法：与估价对象处于同一供求范围内的同类房地产的交易实例较多，且具代表性，可作为可比实例或通过修正后可作为可比实例，故本次估价选用比较法。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4、估价方法定义</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比较法：选用数宗真实成交且符合一定条件的类似房地产，将它们与估价对象进行比较，根据之间的差异对成交价格进行适当处理后得到估价对象价值或价格的方法。</w:t>
      </w:r>
    </w:p>
    <w:p>
      <w:pPr>
        <w:keepNext w:val="0"/>
        <w:keepLines w:val="0"/>
        <w:pageBreakBefore w:val="0"/>
        <w:widowControl w:val="0"/>
        <w:kinsoku/>
        <w:wordWrap/>
        <w:overflowPunct/>
        <w:topLinePunct w:val="0"/>
        <w:autoSpaceDE/>
        <w:autoSpaceDN/>
        <w:bidi w:val="0"/>
        <w:adjustRightInd w:val="0"/>
        <w:snapToGrid w:val="0"/>
        <w:spacing w:line="360" w:lineRule="auto"/>
        <w:ind w:firstLine="566" w:firstLineChars="200"/>
        <w:textAlignment w:val="auto"/>
        <w:rPr>
          <w:rFonts w:hint="eastAsia" w:ascii="仿宋" w:hAnsi="仿宋" w:eastAsia="仿宋" w:cs="仿宋"/>
          <w:sz w:val="28"/>
        </w:rPr>
      </w:pPr>
      <w:r>
        <w:rPr>
          <w:rFonts w:hint="eastAsia" w:ascii="仿宋" w:hAnsi="仿宋" w:eastAsia="仿宋" w:cs="仿宋"/>
          <w:sz w:val="28"/>
        </w:rPr>
        <w:t>5、估价的技术路线</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hint="eastAsia" w:ascii="仿宋" w:hAnsi="仿宋" w:eastAsia="仿宋" w:cs="仿宋"/>
          <w:sz w:val="28"/>
        </w:rPr>
        <w:t>比较法</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ascii="仿宋" w:hAnsi="仿宋" w:eastAsia="仿宋" w:cs="仿宋"/>
          <w:sz w:val="28"/>
        </w:rPr>
        <w:fldChar w:fldCharType="begin"/>
      </w:r>
      <w:r>
        <w:rPr>
          <w:rFonts w:ascii="仿宋" w:hAnsi="仿宋" w:eastAsia="仿宋" w:cs="仿宋"/>
          <w:sz w:val="28"/>
        </w:rPr>
        <w:instrText xml:space="preserve"> </w:instrText>
      </w:r>
      <w:r>
        <w:rPr>
          <w:rFonts w:hint="eastAsia" w:ascii="仿宋" w:hAnsi="仿宋" w:eastAsia="仿宋" w:cs="仿宋"/>
          <w:sz w:val="28"/>
        </w:rPr>
        <w:instrText xml:space="preserve">= 1 \* GB3</w:instrText>
      </w:r>
      <w:r>
        <w:rPr>
          <w:rFonts w:ascii="仿宋" w:hAnsi="仿宋" w:eastAsia="仿宋" w:cs="仿宋"/>
          <w:sz w:val="28"/>
        </w:rPr>
        <w:instrText xml:space="preserve"> </w:instrText>
      </w:r>
      <w:r>
        <w:rPr>
          <w:rFonts w:ascii="仿宋" w:hAnsi="仿宋" w:eastAsia="仿宋" w:cs="仿宋"/>
          <w:sz w:val="28"/>
        </w:rPr>
        <w:fldChar w:fldCharType="separate"/>
      </w:r>
      <w:r>
        <w:rPr>
          <w:rFonts w:hint="eastAsia" w:ascii="仿宋" w:hAnsi="仿宋" w:eastAsia="仿宋" w:cs="仿宋"/>
          <w:sz w:val="28"/>
        </w:rPr>
        <w:t>①</w:t>
      </w:r>
      <w:r>
        <w:rPr>
          <w:rFonts w:ascii="仿宋" w:hAnsi="仿宋" w:eastAsia="仿宋" w:cs="仿宋"/>
          <w:sz w:val="28"/>
        </w:rPr>
        <w:fldChar w:fldCharType="end"/>
      </w:r>
      <w:r>
        <w:rPr>
          <w:rFonts w:hint="eastAsia" w:ascii="仿宋" w:hAnsi="仿宋" w:eastAsia="仿宋" w:cs="仿宋"/>
          <w:sz w:val="28"/>
        </w:rPr>
        <w:t>搜集交易实例；</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ascii="仿宋" w:hAnsi="仿宋" w:eastAsia="仿宋" w:cs="仿宋"/>
          <w:sz w:val="28"/>
        </w:rPr>
        <w:fldChar w:fldCharType="begin"/>
      </w:r>
      <w:r>
        <w:rPr>
          <w:rFonts w:ascii="仿宋" w:hAnsi="仿宋" w:eastAsia="仿宋" w:cs="仿宋"/>
          <w:sz w:val="28"/>
        </w:rPr>
        <w:instrText xml:space="preserve"> </w:instrText>
      </w:r>
      <w:r>
        <w:rPr>
          <w:rFonts w:hint="eastAsia" w:ascii="仿宋" w:hAnsi="仿宋" w:eastAsia="仿宋" w:cs="仿宋"/>
          <w:sz w:val="28"/>
        </w:rPr>
        <w:instrText xml:space="preserve">= 2 \* GB3</w:instrText>
      </w:r>
      <w:r>
        <w:rPr>
          <w:rFonts w:ascii="仿宋" w:hAnsi="仿宋" w:eastAsia="仿宋" w:cs="仿宋"/>
          <w:sz w:val="28"/>
        </w:rPr>
        <w:instrText xml:space="preserve"> </w:instrText>
      </w:r>
      <w:r>
        <w:rPr>
          <w:rFonts w:ascii="仿宋" w:hAnsi="仿宋" w:eastAsia="仿宋" w:cs="仿宋"/>
          <w:sz w:val="28"/>
        </w:rPr>
        <w:fldChar w:fldCharType="separate"/>
      </w:r>
      <w:r>
        <w:rPr>
          <w:rFonts w:hint="eastAsia" w:ascii="仿宋" w:hAnsi="仿宋" w:eastAsia="仿宋" w:cs="仿宋"/>
          <w:sz w:val="28"/>
        </w:rPr>
        <w:t>②</w:t>
      </w:r>
      <w:r>
        <w:rPr>
          <w:rFonts w:ascii="仿宋" w:hAnsi="仿宋" w:eastAsia="仿宋" w:cs="仿宋"/>
          <w:sz w:val="28"/>
        </w:rPr>
        <w:fldChar w:fldCharType="end"/>
      </w:r>
      <w:r>
        <w:rPr>
          <w:rFonts w:hint="eastAsia" w:ascii="仿宋" w:hAnsi="仿宋" w:eastAsia="仿宋" w:cs="仿宋"/>
          <w:sz w:val="28"/>
        </w:rPr>
        <w:t>选取可比实例；</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ascii="仿宋" w:hAnsi="仿宋" w:eastAsia="仿宋" w:cs="仿宋"/>
          <w:sz w:val="28"/>
        </w:rPr>
        <w:fldChar w:fldCharType="begin"/>
      </w:r>
      <w:r>
        <w:rPr>
          <w:rFonts w:ascii="仿宋" w:hAnsi="仿宋" w:eastAsia="仿宋" w:cs="仿宋"/>
          <w:sz w:val="28"/>
        </w:rPr>
        <w:instrText xml:space="preserve"> </w:instrText>
      </w:r>
      <w:r>
        <w:rPr>
          <w:rFonts w:hint="eastAsia" w:ascii="仿宋" w:hAnsi="仿宋" w:eastAsia="仿宋" w:cs="仿宋"/>
          <w:sz w:val="28"/>
        </w:rPr>
        <w:instrText xml:space="preserve">= 3 \* GB3</w:instrText>
      </w:r>
      <w:r>
        <w:rPr>
          <w:rFonts w:ascii="仿宋" w:hAnsi="仿宋" w:eastAsia="仿宋" w:cs="仿宋"/>
          <w:sz w:val="28"/>
        </w:rPr>
        <w:instrText xml:space="preserve"> </w:instrText>
      </w:r>
      <w:r>
        <w:rPr>
          <w:rFonts w:ascii="仿宋" w:hAnsi="仿宋" w:eastAsia="仿宋" w:cs="仿宋"/>
          <w:sz w:val="28"/>
        </w:rPr>
        <w:fldChar w:fldCharType="separate"/>
      </w:r>
      <w:r>
        <w:rPr>
          <w:rFonts w:hint="eastAsia" w:ascii="仿宋" w:hAnsi="仿宋" w:eastAsia="仿宋" w:cs="仿宋"/>
          <w:sz w:val="28"/>
        </w:rPr>
        <w:t>③</w:t>
      </w:r>
      <w:r>
        <w:rPr>
          <w:rFonts w:ascii="仿宋" w:hAnsi="仿宋" w:eastAsia="仿宋" w:cs="仿宋"/>
          <w:sz w:val="28"/>
        </w:rPr>
        <w:fldChar w:fldCharType="end"/>
      </w:r>
      <w:r>
        <w:rPr>
          <w:rFonts w:hint="eastAsia" w:ascii="仿宋" w:hAnsi="仿宋" w:eastAsia="仿宋" w:cs="仿宋"/>
          <w:sz w:val="28"/>
        </w:rPr>
        <w:t>建立比较基础；</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ascii="仿宋" w:hAnsi="仿宋" w:eastAsia="仿宋" w:cs="仿宋"/>
          <w:sz w:val="28"/>
        </w:rPr>
        <w:fldChar w:fldCharType="begin"/>
      </w:r>
      <w:r>
        <w:rPr>
          <w:rFonts w:ascii="仿宋" w:hAnsi="仿宋" w:eastAsia="仿宋" w:cs="仿宋"/>
          <w:sz w:val="28"/>
        </w:rPr>
        <w:instrText xml:space="preserve"> </w:instrText>
      </w:r>
      <w:r>
        <w:rPr>
          <w:rFonts w:hint="eastAsia" w:ascii="仿宋" w:hAnsi="仿宋" w:eastAsia="仿宋" w:cs="仿宋"/>
          <w:sz w:val="28"/>
        </w:rPr>
        <w:instrText xml:space="preserve">= 4 \* GB3</w:instrText>
      </w:r>
      <w:r>
        <w:rPr>
          <w:rFonts w:ascii="仿宋" w:hAnsi="仿宋" w:eastAsia="仿宋" w:cs="仿宋"/>
          <w:sz w:val="28"/>
        </w:rPr>
        <w:instrText xml:space="preserve"> </w:instrText>
      </w:r>
      <w:r>
        <w:rPr>
          <w:rFonts w:ascii="仿宋" w:hAnsi="仿宋" w:eastAsia="仿宋" w:cs="仿宋"/>
          <w:sz w:val="28"/>
        </w:rPr>
        <w:fldChar w:fldCharType="separate"/>
      </w:r>
      <w:r>
        <w:rPr>
          <w:rFonts w:hint="eastAsia" w:ascii="仿宋" w:hAnsi="仿宋" w:eastAsia="仿宋" w:cs="仿宋"/>
          <w:sz w:val="28"/>
        </w:rPr>
        <w:t>④</w:t>
      </w:r>
      <w:r>
        <w:rPr>
          <w:rFonts w:ascii="仿宋" w:hAnsi="仿宋" w:eastAsia="仿宋" w:cs="仿宋"/>
          <w:sz w:val="28"/>
        </w:rPr>
        <w:fldChar w:fldCharType="end"/>
      </w:r>
      <w:r>
        <w:rPr>
          <w:rFonts w:hint="eastAsia" w:ascii="仿宋" w:hAnsi="仿宋" w:eastAsia="仿宋" w:cs="仿宋"/>
          <w:sz w:val="28"/>
        </w:rPr>
        <w:t>进行交易情况修正；</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ascii="仿宋" w:hAnsi="仿宋" w:eastAsia="仿宋" w:cs="仿宋"/>
          <w:sz w:val="28"/>
        </w:rPr>
        <w:fldChar w:fldCharType="begin"/>
      </w:r>
      <w:r>
        <w:rPr>
          <w:rFonts w:ascii="仿宋" w:hAnsi="仿宋" w:eastAsia="仿宋" w:cs="仿宋"/>
          <w:sz w:val="28"/>
        </w:rPr>
        <w:instrText xml:space="preserve"> </w:instrText>
      </w:r>
      <w:r>
        <w:rPr>
          <w:rFonts w:hint="eastAsia" w:ascii="仿宋" w:hAnsi="仿宋" w:eastAsia="仿宋" w:cs="仿宋"/>
          <w:sz w:val="28"/>
        </w:rPr>
        <w:instrText xml:space="preserve">= 5 \* GB3</w:instrText>
      </w:r>
      <w:r>
        <w:rPr>
          <w:rFonts w:ascii="仿宋" w:hAnsi="仿宋" w:eastAsia="仿宋" w:cs="仿宋"/>
          <w:sz w:val="28"/>
        </w:rPr>
        <w:instrText xml:space="preserve"> </w:instrText>
      </w:r>
      <w:r>
        <w:rPr>
          <w:rFonts w:ascii="仿宋" w:hAnsi="仿宋" w:eastAsia="仿宋" w:cs="仿宋"/>
          <w:sz w:val="28"/>
        </w:rPr>
        <w:fldChar w:fldCharType="separate"/>
      </w:r>
      <w:r>
        <w:rPr>
          <w:rFonts w:hint="eastAsia" w:ascii="仿宋" w:hAnsi="仿宋" w:eastAsia="仿宋" w:cs="仿宋"/>
          <w:sz w:val="28"/>
        </w:rPr>
        <w:t>⑤</w:t>
      </w:r>
      <w:r>
        <w:rPr>
          <w:rFonts w:ascii="仿宋" w:hAnsi="仿宋" w:eastAsia="仿宋" w:cs="仿宋"/>
          <w:sz w:val="28"/>
        </w:rPr>
        <w:fldChar w:fldCharType="end"/>
      </w:r>
      <w:r>
        <w:rPr>
          <w:rFonts w:hint="eastAsia" w:ascii="仿宋" w:hAnsi="仿宋" w:eastAsia="仿宋" w:cs="仿宋"/>
          <w:sz w:val="28"/>
        </w:rPr>
        <w:t>进行市场状况修正；</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ascii="仿宋" w:hAnsi="仿宋" w:eastAsia="仿宋" w:cs="仿宋"/>
          <w:sz w:val="28"/>
        </w:rPr>
        <w:fldChar w:fldCharType="begin"/>
      </w:r>
      <w:r>
        <w:rPr>
          <w:rFonts w:ascii="仿宋" w:hAnsi="仿宋" w:eastAsia="仿宋" w:cs="仿宋"/>
          <w:sz w:val="28"/>
        </w:rPr>
        <w:instrText xml:space="preserve"> </w:instrText>
      </w:r>
      <w:r>
        <w:rPr>
          <w:rFonts w:hint="eastAsia" w:ascii="仿宋" w:hAnsi="仿宋" w:eastAsia="仿宋" w:cs="仿宋"/>
          <w:sz w:val="28"/>
        </w:rPr>
        <w:instrText xml:space="preserve">= 6 \* GB3</w:instrText>
      </w:r>
      <w:r>
        <w:rPr>
          <w:rFonts w:ascii="仿宋" w:hAnsi="仿宋" w:eastAsia="仿宋" w:cs="仿宋"/>
          <w:sz w:val="28"/>
        </w:rPr>
        <w:instrText xml:space="preserve"> </w:instrText>
      </w:r>
      <w:r>
        <w:rPr>
          <w:rFonts w:ascii="仿宋" w:hAnsi="仿宋" w:eastAsia="仿宋" w:cs="仿宋"/>
          <w:sz w:val="28"/>
        </w:rPr>
        <w:fldChar w:fldCharType="separate"/>
      </w:r>
      <w:r>
        <w:rPr>
          <w:rFonts w:hint="eastAsia" w:ascii="仿宋" w:hAnsi="仿宋" w:eastAsia="仿宋" w:cs="仿宋"/>
          <w:sz w:val="28"/>
        </w:rPr>
        <w:t>⑥</w:t>
      </w:r>
      <w:r>
        <w:rPr>
          <w:rFonts w:ascii="仿宋" w:hAnsi="仿宋" w:eastAsia="仿宋" w:cs="仿宋"/>
          <w:sz w:val="28"/>
        </w:rPr>
        <w:fldChar w:fldCharType="end"/>
      </w:r>
      <w:r>
        <w:rPr>
          <w:rFonts w:hint="eastAsia" w:ascii="仿宋" w:hAnsi="仿宋" w:eastAsia="仿宋" w:cs="仿宋"/>
          <w:sz w:val="28"/>
        </w:rPr>
        <w:t>进行房地产状况修正；</w:t>
      </w:r>
    </w:p>
    <w:p>
      <w:pPr>
        <w:keepNext w:val="0"/>
        <w:keepLines w:val="0"/>
        <w:pageBreakBefore w:val="0"/>
        <w:widowControl w:val="0"/>
        <w:kinsoku/>
        <w:wordWrap/>
        <w:overflowPunct/>
        <w:topLinePunct w:val="0"/>
        <w:autoSpaceDE/>
        <w:autoSpaceDN/>
        <w:bidi w:val="0"/>
        <w:spacing w:line="360" w:lineRule="auto"/>
        <w:ind w:firstLine="555"/>
        <w:textAlignment w:val="auto"/>
        <w:rPr>
          <w:rFonts w:hint="eastAsia" w:ascii="仿宋" w:hAnsi="仿宋" w:eastAsia="仿宋" w:cs="仿宋"/>
          <w:sz w:val="28"/>
        </w:rPr>
      </w:pPr>
      <w:r>
        <w:rPr>
          <w:rFonts w:ascii="仿宋" w:hAnsi="仿宋" w:eastAsia="仿宋" w:cs="仿宋"/>
          <w:sz w:val="28"/>
        </w:rPr>
        <w:fldChar w:fldCharType="begin"/>
      </w:r>
      <w:r>
        <w:rPr>
          <w:rFonts w:ascii="仿宋" w:hAnsi="仿宋" w:eastAsia="仿宋" w:cs="仿宋"/>
          <w:sz w:val="28"/>
        </w:rPr>
        <w:instrText xml:space="preserve"> </w:instrText>
      </w:r>
      <w:r>
        <w:rPr>
          <w:rFonts w:hint="eastAsia" w:ascii="仿宋" w:hAnsi="仿宋" w:eastAsia="仿宋" w:cs="仿宋"/>
          <w:sz w:val="28"/>
        </w:rPr>
        <w:instrText xml:space="preserve">= 7 \* GB3</w:instrText>
      </w:r>
      <w:r>
        <w:rPr>
          <w:rFonts w:ascii="仿宋" w:hAnsi="仿宋" w:eastAsia="仿宋" w:cs="仿宋"/>
          <w:sz w:val="28"/>
        </w:rPr>
        <w:instrText xml:space="preserve"> </w:instrText>
      </w:r>
      <w:r>
        <w:rPr>
          <w:rFonts w:ascii="仿宋" w:hAnsi="仿宋" w:eastAsia="仿宋" w:cs="仿宋"/>
          <w:sz w:val="28"/>
        </w:rPr>
        <w:fldChar w:fldCharType="separate"/>
      </w:r>
      <w:r>
        <w:rPr>
          <w:rFonts w:hint="eastAsia" w:ascii="仿宋" w:hAnsi="仿宋" w:eastAsia="仿宋" w:cs="仿宋"/>
          <w:sz w:val="28"/>
        </w:rPr>
        <w:t>⑦</w:t>
      </w:r>
      <w:r>
        <w:rPr>
          <w:rFonts w:ascii="仿宋" w:hAnsi="仿宋" w:eastAsia="仿宋" w:cs="仿宋"/>
          <w:sz w:val="28"/>
        </w:rPr>
        <w:fldChar w:fldCharType="end"/>
      </w:r>
      <w:r>
        <w:rPr>
          <w:rFonts w:hint="eastAsia" w:ascii="仿宋" w:hAnsi="仿宋" w:eastAsia="仿宋" w:cs="仿宋"/>
          <w:sz w:val="28"/>
        </w:rPr>
        <w:t>计算比较价格。</w:t>
      </w:r>
    </w:p>
    <w:tbl>
      <w:tblPr>
        <w:tblStyle w:val="9"/>
        <w:tblW w:w="0" w:type="auto"/>
        <w:jc w:val="center"/>
        <w:tblLayout w:type="fixed"/>
        <w:tblCellMar>
          <w:top w:w="0" w:type="dxa"/>
          <w:left w:w="108" w:type="dxa"/>
          <w:bottom w:w="0" w:type="dxa"/>
          <w:right w:w="108" w:type="dxa"/>
        </w:tblCellMar>
      </w:tblPr>
      <w:tblGrid>
        <w:gridCol w:w="1408"/>
        <w:gridCol w:w="1285"/>
        <w:gridCol w:w="465"/>
        <w:gridCol w:w="832"/>
        <w:gridCol w:w="465"/>
        <w:gridCol w:w="832"/>
        <w:gridCol w:w="465"/>
        <w:gridCol w:w="832"/>
        <w:gridCol w:w="465"/>
        <w:gridCol w:w="832"/>
        <w:gridCol w:w="465"/>
        <w:gridCol w:w="832"/>
      </w:tblGrid>
      <w:tr>
        <w:tblPrEx>
          <w:tblCellMar>
            <w:top w:w="0" w:type="dxa"/>
            <w:left w:w="108" w:type="dxa"/>
            <w:bottom w:w="0" w:type="dxa"/>
            <w:right w:w="108" w:type="dxa"/>
          </w:tblCellMar>
        </w:tblPrEx>
        <w:trPr>
          <w:trHeight w:val="425" w:hRule="atLeast"/>
          <w:jc w:val="center"/>
        </w:trPr>
        <w:tc>
          <w:tcPr>
            <w:tcW w:w="1408" w:type="dxa"/>
            <w:noWrap/>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1285" w:type="dxa"/>
            <w:noWrap/>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465" w:type="dxa"/>
            <w:noWrap/>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restart"/>
            <w:noWrap w:val="0"/>
            <w:vAlign w:val="bottom"/>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交易</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情况</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修正</w:t>
            </w: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restart"/>
            <w:noWrap w:val="0"/>
            <w:vAlign w:val="bottom"/>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交易</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日期</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修正</w:t>
            </w: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restart"/>
            <w:noWrap w:val="0"/>
            <w:vAlign w:val="bottom"/>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区域</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因素</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修正</w:t>
            </w: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restart"/>
            <w:noWrap w:val="0"/>
            <w:vAlign w:val="bottom"/>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实物</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状况</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修正</w:t>
            </w: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restart"/>
            <w:noWrap w:val="0"/>
            <w:vAlign w:val="bottom"/>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权益</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状况</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修正</w:t>
            </w:r>
          </w:p>
        </w:tc>
      </w:tr>
      <w:tr>
        <w:tblPrEx>
          <w:tblCellMar>
            <w:top w:w="0" w:type="dxa"/>
            <w:left w:w="108" w:type="dxa"/>
            <w:bottom w:w="0" w:type="dxa"/>
            <w:right w:w="108" w:type="dxa"/>
          </w:tblCellMar>
        </w:tblPrEx>
        <w:trPr>
          <w:trHeight w:val="850" w:hRule="atLeast"/>
          <w:jc w:val="center"/>
        </w:trPr>
        <w:tc>
          <w:tcPr>
            <w:tcW w:w="1408" w:type="dxa"/>
            <w:noWrap/>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1285" w:type="dxa"/>
            <w:noWrap/>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465" w:type="dxa"/>
            <w:noWrap/>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465" w:type="dxa"/>
            <w:noWrap w:val="0"/>
            <w:vAlign w:val="bottom"/>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r>
      <w:tr>
        <w:tblPrEx>
          <w:tblCellMar>
            <w:top w:w="0" w:type="dxa"/>
            <w:left w:w="108" w:type="dxa"/>
            <w:bottom w:w="0" w:type="dxa"/>
            <w:right w:w="108" w:type="dxa"/>
          </w:tblCellMar>
        </w:tblPrEx>
        <w:trPr>
          <w:trHeight w:val="425" w:hRule="atLeast"/>
          <w:jc w:val="center"/>
        </w:trPr>
        <w:tc>
          <w:tcPr>
            <w:tcW w:w="1408" w:type="dxa"/>
            <w:vMerge w:val="restart"/>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比准价格 =</w:t>
            </w:r>
          </w:p>
        </w:tc>
        <w:tc>
          <w:tcPr>
            <w:tcW w:w="1285" w:type="dxa"/>
            <w:vMerge w:val="restart"/>
            <w:noWrap w:val="0"/>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可比实例</w:t>
            </w:r>
            <w:r>
              <w:rPr>
                <w:rFonts w:hint="eastAsia" w:ascii="仿宋_GB2312" w:hAnsi="宋体" w:eastAsia="仿宋_GB2312" w:cs="宋体"/>
                <w:color w:val="000000"/>
                <w:kern w:val="0"/>
                <w:sz w:val="24"/>
              </w:rPr>
              <w:br w:type="textWrapping"/>
            </w:r>
            <w:r>
              <w:rPr>
                <w:rFonts w:hint="eastAsia" w:ascii="仿宋_GB2312" w:hAnsi="宋体" w:eastAsia="仿宋_GB2312" w:cs="宋体"/>
                <w:color w:val="000000"/>
                <w:kern w:val="0"/>
                <w:sz w:val="24"/>
              </w:rPr>
              <w:t>成交价格</w:t>
            </w:r>
          </w:p>
        </w:tc>
        <w:tc>
          <w:tcPr>
            <w:tcW w:w="465" w:type="dxa"/>
            <w:vMerge w:val="restart"/>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832" w:type="dxa"/>
            <w:tcBorders>
              <w:top w:val="nil"/>
              <w:left w:val="nil"/>
              <w:bottom w:val="single" w:color="auto" w:sz="4" w:space="0"/>
              <w:right w:val="nil"/>
            </w:tcBorders>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c>
          <w:tcPr>
            <w:tcW w:w="465" w:type="dxa"/>
            <w:vMerge w:val="restart"/>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832" w:type="dxa"/>
            <w:tcBorders>
              <w:top w:val="nil"/>
              <w:left w:val="nil"/>
              <w:bottom w:val="single" w:color="auto" w:sz="4" w:space="0"/>
              <w:right w:val="nil"/>
            </w:tcBorders>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465" w:type="dxa"/>
            <w:vMerge w:val="restart"/>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832" w:type="dxa"/>
            <w:tcBorders>
              <w:top w:val="nil"/>
              <w:left w:val="nil"/>
              <w:bottom w:val="single" w:color="auto" w:sz="4" w:space="0"/>
              <w:right w:val="nil"/>
            </w:tcBorders>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c>
          <w:tcPr>
            <w:tcW w:w="465" w:type="dxa"/>
            <w:vMerge w:val="restart"/>
            <w:noWrap/>
            <w:vAlign w:val="bottom"/>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832" w:type="dxa"/>
            <w:tcBorders>
              <w:top w:val="nil"/>
              <w:left w:val="nil"/>
              <w:bottom w:val="single" w:color="auto" w:sz="4" w:space="0"/>
              <w:right w:val="nil"/>
            </w:tcBorders>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c>
          <w:tcPr>
            <w:tcW w:w="465" w:type="dxa"/>
            <w:vMerge w:val="restart"/>
            <w:noWrap/>
            <w:vAlign w:val="bottom"/>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p>
        </w:tc>
        <w:tc>
          <w:tcPr>
            <w:tcW w:w="832" w:type="dxa"/>
            <w:tcBorders>
              <w:top w:val="nil"/>
              <w:left w:val="nil"/>
              <w:bottom w:val="single" w:color="auto" w:sz="4" w:space="0"/>
              <w:right w:val="nil"/>
            </w:tcBorders>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r>
      <w:tr>
        <w:tblPrEx>
          <w:tblCellMar>
            <w:top w:w="0" w:type="dxa"/>
            <w:left w:w="108" w:type="dxa"/>
            <w:bottom w:w="0" w:type="dxa"/>
            <w:right w:w="108" w:type="dxa"/>
          </w:tblCellMar>
        </w:tblPrEx>
        <w:trPr>
          <w:trHeight w:val="341" w:hRule="atLeast"/>
          <w:jc w:val="center"/>
        </w:trPr>
        <w:tc>
          <w:tcPr>
            <w:tcW w:w="1408"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1285"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465"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465"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100</w:t>
            </w:r>
          </w:p>
        </w:tc>
        <w:tc>
          <w:tcPr>
            <w:tcW w:w="465"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465"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465" w:type="dxa"/>
            <w:vMerge w:val="continue"/>
            <w:noWrap w:val="0"/>
            <w:vAlign w:val="center"/>
          </w:tcPr>
          <w:p>
            <w:pPr>
              <w:keepNext w:val="0"/>
              <w:keepLines w:val="0"/>
              <w:pageBreakBefore w:val="0"/>
              <w:widowControl/>
              <w:kinsoku/>
              <w:wordWrap/>
              <w:overflowPunct/>
              <w:topLinePunct w:val="0"/>
              <w:autoSpaceDE/>
              <w:autoSpaceDN/>
              <w:bidi w:val="0"/>
              <w:spacing w:line="500" w:lineRule="exact"/>
              <w:jc w:val="left"/>
              <w:textAlignment w:val="auto"/>
              <w:rPr>
                <w:rFonts w:ascii="仿宋_GB2312" w:hAnsi="宋体" w:eastAsia="仿宋_GB2312" w:cs="宋体"/>
                <w:color w:val="000000"/>
                <w:kern w:val="0"/>
                <w:sz w:val="24"/>
              </w:rPr>
            </w:pPr>
          </w:p>
        </w:tc>
        <w:tc>
          <w:tcPr>
            <w:tcW w:w="832" w:type="dxa"/>
            <w:noWrap/>
            <w:vAlign w:val="center"/>
          </w:tcPr>
          <w:p>
            <w:pPr>
              <w:keepNext w:val="0"/>
              <w:keepLines w:val="0"/>
              <w:pageBreakBefore w:val="0"/>
              <w:widowControl/>
              <w:kinsoku/>
              <w:wordWrap/>
              <w:overflowPunct/>
              <w:topLinePunct w:val="0"/>
              <w:autoSpaceDE/>
              <w:autoSpaceDN/>
              <w:bidi w:val="0"/>
              <w:spacing w:line="500" w:lineRule="exact"/>
              <w:jc w:val="center"/>
              <w:textAlignment w:val="auto"/>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bl>
    <w:p>
      <w:pPr>
        <w:pStyle w:val="3"/>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napToGrid w:val="0"/>
          <w:sz w:val="28"/>
          <w:szCs w:val="28"/>
        </w:rPr>
      </w:pPr>
      <w:bookmarkStart w:id="98" w:name="_Toc31108"/>
      <w:bookmarkStart w:id="99" w:name="_Toc32156"/>
      <w:bookmarkStart w:id="100" w:name="_Toc26792"/>
      <w:bookmarkStart w:id="101" w:name="_Toc437853099"/>
      <w:bookmarkStart w:id="102" w:name="_Toc27858"/>
      <w:bookmarkStart w:id="103" w:name="_Toc408527835"/>
      <w:bookmarkStart w:id="104" w:name="_Toc5359"/>
      <w:bookmarkStart w:id="105" w:name="_Toc16558"/>
      <w:r>
        <w:rPr>
          <w:rFonts w:hint="eastAsia" w:ascii="仿宋" w:hAnsi="仿宋" w:eastAsia="仿宋" w:cs="仿宋"/>
          <w:snapToGrid w:val="0"/>
          <w:sz w:val="28"/>
          <w:szCs w:val="28"/>
        </w:rPr>
        <w:t>十、估价结果</w:t>
      </w:r>
      <w:bookmarkEnd w:id="98"/>
      <w:bookmarkEnd w:id="99"/>
      <w:bookmarkEnd w:id="100"/>
      <w:bookmarkEnd w:id="101"/>
      <w:bookmarkEnd w:id="102"/>
      <w:bookmarkEnd w:id="103"/>
      <w:bookmarkEnd w:id="104"/>
      <w:bookmarkEnd w:id="105"/>
    </w:p>
    <w:p>
      <w:pPr>
        <w:keepNext w:val="0"/>
        <w:keepLines w:val="0"/>
        <w:pageBreakBefore w:val="0"/>
        <w:widowControl w:val="0"/>
        <w:kinsoku/>
        <w:wordWrap/>
        <w:overflowPunct/>
        <w:topLinePunct w:val="0"/>
        <w:autoSpaceDE/>
        <w:autoSpaceDN/>
        <w:bidi w:val="0"/>
        <w:adjustRightInd w:val="0"/>
        <w:snapToGrid w:val="0"/>
        <w:spacing w:line="360" w:lineRule="auto"/>
        <w:ind w:firstLine="570"/>
        <w:textAlignment w:val="auto"/>
        <w:rPr>
          <w:rFonts w:hint="eastAsia" w:ascii="仿宋" w:hAnsi="仿宋" w:eastAsia="仿宋" w:cs="仿宋"/>
          <w:b/>
          <w:sz w:val="28"/>
        </w:rPr>
      </w:pPr>
      <w:r>
        <w:rPr>
          <w:rFonts w:hint="eastAsia" w:ascii="仿宋" w:hAnsi="仿宋" w:eastAsia="仿宋" w:cs="仿宋"/>
          <w:sz w:val="28"/>
        </w:rPr>
        <w:t>注册房地产估价师根据估价目的，遵循估价原则，按照评估工作程序，详细分析了影响房地产价值的各项因素，采用比较法测算，最终确定估价对象于价值时点</w:t>
      </w:r>
      <w:r>
        <w:rPr>
          <w:rFonts w:hint="eastAsia" w:ascii="仿宋" w:hAnsi="仿宋" w:eastAsia="仿宋" w:cs="仿宋"/>
          <w:sz w:val="28"/>
          <w:highlight w:val="none"/>
          <w:lang w:eastAsia="zh-CN"/>
        </w:rPr>
        <w:t>2020年01月02日</w:t>
      </w:r>
      <w:r>
        <w:rPr>
          <w:rFonts w:hint="eastAsia" w:ascii="仿宋" w:hAnsi="仿宋" w:eastAsia="仿宋" w:cs="仿宋"/>
          <w:sz w:val="28"/>
        </w:rPr>
        <w:t>的市场价值如下：</w:t>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b/>
          <w:color w:val="000000"/>
          <w:spacing w:val="22"/>
          <w:w w:val="88"/>
          <w:kern w:val="0"/>
          <w:sz w:val="28"/>
          <w:highlight w:val="none"/>
          <w:lang w:eastAsia="zh-CN"/>
        </w:rPr>
      </w:pPr>
      <w:bookmarkStart w:id="106" w:name="_Toc408527836"/>
      <w:bookmarkStart w:id="107" w:name="_Toc19138"/>
      <w:bookmarkStart w:id="108" w:name="_Toc26016"/>
      <w:bookmarkStart w:id="109" w:name="_Toc437853100"/>
      <w:bookmarkStart w:id="110" w:name="_Toc27957"/>
      <w:bookmarkStart w:id="111" w:name="_Toc19137"/>
      <w:bookmarkStart w:id="112" w:name="_Toc7969"/>
      <w:r>
        <w:rPr>
          <w:rFonts w:hint="eastAsia" w:ascii="仿宋" w:hAnsi="仿宋" w:eastAsia="仿宋" w:cs="仿宋"/>
          <w:b/>
          <w:color w:val="000000"/>
          <w:spacing w:val="22"/>
          <w:w w:val="88"/>
          <w:kern w:val="0"/>
          <w:sz w:val="28"/>
        </w:rPr>
        <w:t>评估总价：</w:t>
      </w:r>
      <w:r>
        <w:rPr>
          <w:rFonts w:hint="eastAsia" w:ascii="仿宋" w:hAnsi="仿宋" w:eastAsia="仿宋" w:cs="仿宋"/>
          <w:b/>
          <w:color w:val="000000"/>
          <w:sz w:val="28"/>
          <w:szCs w:val="28"/>
          <w:highlight w:val="none"/>
          <w:lang w:eastAsia="zh-CN"/>
        </w:rPr>
        <w:t>88.72万元</w:t>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b/>
          <w:color w:val="000000"/>
          <w:spacing w:val="22"/>
          <w:w w:val="88"/>
          <w:kern w:val="0"/>
          <w:sz w:val="28"/>
          <w:highlight w:val="none"/>
        </w:rPr>
      </w:pPr>
      <w:r>
        <w:rPr>
          <w:rFonts w:hint="eastAsia" w:ascii="仿宋" w:hAnsi="仿宋" w:eastAsia="仿宋" w:cs="仿宋"/>
          <w:b/>
          <w:color w:val="000000"/>
          <w:spacing w:val="22"/>
          <w:w w:val="88"/>
          <w:kern w:val="0"/>
          <w:sz w:val="28"/>
          <w:highlight w:val="none"/>
        </w:rPr>
        <w:t>大   写：</w:t>
      </w:r>
      <w:r>
        <w:rPr>
          <w:rFonts w:hint="eastAsia" w:ascii="仿宋" w:hAnsi="仿宋" w:eastAsia="仿宋" w:cs="仿宋"/>
          <w:b/>
          <w:color w:val="000000"/>
          <w:sz w:val="28"/>
          <w:szCs w:val="28"/>
          <w:highlight w:val="none"/>
        </w:rPr>
        <w:fldChar w:fldCharType="begin"/>
      </w:r>
      <w:r>
        <w:rPr>
          <w:rFonts w:hint="eastAsia" w:ascii="仿宋" w:hAnsi="仿宋" w:eastAsia="仿宋" w:cs="仿宋"/>
          <w:b/>
          <w:color w:val="000000"/>
          <w:sz w:val="28"/>
          <w:szCs w:val="28"/>
          <w:highlight w:val="none"/>
        </w:rPr>
        <w:instrText xml:space="preserve"> =</w:instrText>
      </w:r>
      <w:r>
        <w:rPr>
          <w:rFonts w:hint="eastAsia" w:ascii="仿宋" w:hAnsi="仿宋" w:eastAsia="仿宋" w:cs="仿宋"/>
          <w:b/>
          <w:color w:val="000000"/>
          <w:sz w:val="28"/>
          <w:szCs w:val="28"/>
          <w:highlight w:val="none"/>
          <w:lang w:val="en-US" w:eastAsia="zh-CN"/>
        </w:rPr>
        <w:instrText xml:space="preserve">88.72*10000</w:instrText>
      </w:r>
      <w:r>
        <w:rPr>
          <w:rFonts w:hint="eastAsia" w:ascii="仿宋" w:hAnsi="仿宋" w:eastAsia="仿宋" w:cs="仿宋"/>
          <w:b/>
          <w:color w:val="000000"/>
          <w:sz w:val="28"/>
          <w:szCs w:val="28"/>
          <w:highlight w:val="none"/>
        </w:rPr>
        <w:instrText xml:space="preserve">\* CHINESENUM4 \* MERGEFORMAT </w:instrText>
      </w:r>
      <w:r>
        <w:rPr>
          <w:rFonts w:hint="eastAsia" w:ascii="仿宋" w:hAnsi="仿宋" w:eastAsia="仿宋" w:cs="仿宋"/>
          <w:b/>
          <w:color w:val="000000"/>
          <w:sz w:val="28"/>
          <w:szCs w:val="28"/>
          <w:highlight w:val="none"/>
        </w:rPr>
        <w:fldChar w:fldCharType="separate"/>
      </w:r>
      <w:r>
        <w:rPr>
          <w:rFonts w:hint="eastAsia" w:ascii="仿宋" w:hAnsi="仿宋" w:eastAsia="仿宋" w:cs="仿宋"/>
          <w:b/>
          <w:color w:val="000000"/>
          <w:sz w:val="28"/>
          <w:szCs w:val="28"/>
          <w:highlight w:val="none"/>
        </w:rPr>
        <w:t>捌拾捌万柒仟贰佰元整</w:t>
      </w:r>
      <w:r>
        <w:rPr>
          <w:rFonts w:hint="eastAsia" w:ascii="仿宋" w:hAnsi="仿宋" w:eastAsia="仿宋" w:cs="仿宋"/>
          <w:b/>
          <w:color w:val="000000"/>
          <w:sz w:val="28"/>
          <w:szCs w:val="28"/>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left="-4" w:firstLine="591"/>
        <w:textAlignment w:val="auto"/>
        <w:rPr>
          <w:rFonts w:hint="eastAsia" w:ascii="仿宋" w:hAnsi="仿宋" w:eastAsia="仿宋" w:cs="仿宋"/>
          <w:b/>
          <w:color w:val="000000"/>
          <w:spacing w:val="22"/>
          <w:w w:val="88"/>
          <w:kern w:val="0"/>
          <w:sz w:val="28"/>
        </w:rPr>
      </w:pPr>
      <w:r>
        <w:rPr>
          <w:rFonts w:hint="eastAsia" w:ascii="仿宋" w:hAnsi="仿宋" w:eastAsia="仿宋" w:cs="仿宋"/>
          <w:b/>
          <w:color w:val="000000"/>
          <w:spacing w:val="22"/>
          <w:w w:val="88"/>
          <w:kern w:val="0"/>
          <w:sz w:val="28"/>
        </w:rPr>
        <w:t>币   种：人民币</w:t>
      </w:r>
    </w:p>
    <w:p>
      <w:pPr>
        <w:pageBreakBefore w:val="0"/>
        <w:kinsoku/>
        <w:wordWrap/>
        <w:overflowPunct/>
        <w:topLinePunct w:val="0"/>
        <w:autoSpaceDE/>
        <w:autoSpaceDN/>
        <w:bidi w:val="0"/>
        <w:adjustRightInd w:val="0"/>
        <w:snapToGrid w:val="0"/>
        <w:spacing w:line="360" w:lineRule="auto"/>
        <w:ind w:firstLine="566" w:firstLineChars="200"/>
        <w:jc w:val="center"/>
        <w:textAlignment w:val="auto"/>
        <w:rPr>
          <w:rFonts w:hint="eastAsia" w:ascii="仿宋" w:hAnsi="仿宋" w:eastAsia="仿宋" w:cs="仿宋"/>
          <w:b/>
          <w:sz w:val="28"/>
        </w:rPr>
      </w:pPr>
      <w:r>
        <w:rPr>
          <w:rFonts w:hint="eastAsia" w:ascii="仿宋" w:hAnsi="仿宋" w:eastAsia="仿宋" w:cs="仿宋"/>
          <w:b/>
          <w:sz w:val="28"/>
        </w:rPr>
        <w:t>评估结果一览表</w:t>
      </w:r>
    </w:p>
    <w:tbl>
      <w:tblPr>
        <w:tblStyle w:val="9"/>
        <w:tblW w:w="5422" w:type="pct"/>
        <w:tblInd w:w="-509" w:type="dxa"/>
        <w:tblLayout w:type="fixed"/>
        <w:tblCellMar>
          <w:top w:w="0" w:type="dxa"/>
          <w:left w:w="0" w:type="dxa"/>
          <w:bottom w:w="0" w:type="dxa"/>
          <w:right w:w="0" w:type="dxa"/>
        </w:tblCellMar>
      </w:tblPr>
      <w:tblGrid>
        <w:gridCol w:w="780"/>
        <w:gridCol w:w="1665"/>
        <w:gridCol w:w="1740"/>
        <w:gridCol w:w="585"/>
        <w:gridCol w:w="750"/>
        <w:gridCol w:w="585"/>
        <w:gridCol w:w="600"/>
        <w:gridCol w:w="585"/>
        <w:gridCol w:w="960"/>
        <w:gridCol w:w="1078"/>
        <w:gridCol w:w="887"/>
      </w:tblGrid>
      <w:tr>
        <w:tblPrEx>
          <w:tblCellMar>
            <w:top w:w="0" w:type="dxa"/>
            <w:left w:w="0" w:type="dxa"/>
            <w:bottom w:w="0" w:type="dxa"/>
            <w:right w:w="0" w:type="dxa"/>
          </w:tblCellMar>
        </w:tblPrEx>
        <w:trPr>
          <w:trHeight w:val="644" w:hRule="atLeast"/>
        </w:trPr>
        <w:tc>
          <w:tcPr>
            <w:tcW w:w="381" w:type="pct"/>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产权人</w:t>
            </w:r>
          </w:p>
        </w:tc>
        <w:tc>
          <w:tcPr>
            <w:tcW w:w="81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房屋坐落</w:t>
            </w:r>
          </w:p>
        </w:tc>
        <w:tc>
          <w:tcPr>
            <w:tcW w:w="851"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不动产单元号</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项目名称</w:t>
            </w:r>
          </w:p>
        </w:tc>
        <w:tc>
          <w:tcPr>
            <w:tcW w:w="36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所在层</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房号</w:t>
            </w:r>
          </w:p>
        </w:tc>
        <w:tc>
          <w:tcPr>
            <w:tcW w:w="293"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规划用途</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建筑结构</w:t>
            </w:r>
          </w:p>
        </w:tc>
        <w:tc>
          <w:tcPr>
            <w:tcW w:w="46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建筑面积</w:t>
            </w:r>
            <w:r>
              <w:rPr>
                <w:rFonts w:hint="eastAsia" w:ascii="仿宋" w:hAnsi="仿宋" w:eastAsia="仿宋" w:cs="仿宋"/>
                <w:b/>
                <w:bCs/>
                <w:i w:val="0"/>
                <w:color w:val="535353"/>
                <w:kern w:val="0"/>
                <w:sz w:val="21"/>
                <w:szCs w:val="21"/>
                <w:u w:val="none"/>
                <w:lang w:val="en-US" w:eastAsia="zh-CN" w:bidi="ar"/>
              </w:rPr>
              <w:t>（m</w:t>
            </w:r>
            <w:r>
              <w:rPr>
                <w:rFonts w:hint="eastAsia" w:ascii="仿宋" w:hAnsi="仿宋" w:eastAsia="仿宋" w:cs="仿宋"/>
                <w:b/>
                <w:bCs/>
                <w:i w:val="0"/>
                <w:color w:val="535353"/>
                <w:kern w:val="0"/>
                <w:sz w:val="21"/>
                <w:szCs w:val="21"/>
                <w:u w:val="none"/>
                <w:vertAlign w:val="superscript"/>
                <w:lang w:bidi="ar"/>
              </w:rPr>
              <w:t>2</w:t>
            </w:r>
            <w:r>
              <w:rPr>
                <w:rFonts w:hint="eastAsia" w:ascii="仿宋" w:hAnsi="仿宋" w:eastAsia="仿宋" w:cs="仿宋"/>
                <w:b/>
                <w:bCs/>
                <w:i w:val="0"/>
                <w:color w:val="535353"/>
                <w:kern w:val="0"/>
                <w:sz w:val="21"/>
                <w:szCs w:val="21"/>
                <w:u w:val="none"/>
                <w:lang w:bidi="ar"/>
              </w:rPr>
              <w:t>）</w:t>
            </w:r>
          </w:p>
        </w:tc>
        <w:tc>
          <w:tcPr>
            <w:tcW w:w="52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评估单价</w:t>
            </w:r>
            <w:r>
              <w:rPr>
                <w:rFonts w:hint="eastAsia" w:ascii="仿宋" w:hAnsi="仿宋" w:eastAsia="仿宋" w:cs="仿宋"/>
                <w:b/>
                <w:bCs/>
                <w:i w:val="0"/>
                <w:color w:val="535353"/>
                <w:kern w:val="0"/>
                <w:sz w:val="21"/>
                <w:szCs w:val="21"/>
                <w:u w:val="none"/>
                <w:lang w:val="en-US" w:eastAsia="zh-CN" w:bidi="ar"/>
              </w:rPr>
              <w:t>（元/m</w:t>
            </w:r>
            <w:r>
              <w:rPr>
                <w:rFonts w:hint="eastAsia" w:ascii="仿宋" w:hAnsi="仿宋" w:eastAsia="仿宋" w:cs="仿宋"/>
                <w:b/>
                <w:bCs/>
                <w:i w:val="0"/>
                <w:color w:val="535353"/>
                <w:kern w:val="0"/>
                <w:sz w:val="21"/>
                <w:szCs w:val="21"/>
                <w:u w:val="none"/>
                <w:vertAlign w:val="superscript"/>
                <w:lang w:bidi="ar"/>
              </w:rPr>
              <w:t>2</w:t>
            </w:r>
            <w:r>
              <w:rPr>
                <w:rFonts w:hint="eastAsia" w:ascii="仿宋" w:hAnsi="仿宋" w:eastAsia="仿宋" w:cs="仿宋"/>
                <w:b/>
                <w:bCs/>
                <w:i w:val="0"/>
                <w:color w:val="535353"/>
                <w:kern w:val="0"/>
                <w:sz w:val="21"/>
                <w:szCs w:val="21"/>
                <w:u w:val="none"/>
                <w:lang w:bidi="ar"/>
              </w:rPr>
              <w:t>）</w:t>
            </w:r>
          </w:p>
        </w:tc>
        <w:tc>
          <w:tcPr>
            <w:tcW w:w="43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535353"/>
                <w:sz w:val="21"/>
                <w:szCs w:val="21"/>
                <w:u w:val="none"/>
              </w:rPr>
            </w:pPr>
            <w:r>
              <w:rPr>
                <w:rFonts w:hint="eastAsia" w:ascii="仿宋" w:hAnsi="仿宋" w:eastAsia="仿宋" w:cs="仿宋"/>
                <w:b/>
                <w:bCs/>
                <w:i w:val="0"/>
                <w:color w:val="535353"/>
                <w:sz w:val="21"/>
                <w:szCs w:val="21"/>
                <w:u w:val="none"/>
                <w:lang w:val="en-US" w:eastAsia="zh-CN"/>
              </w:rPr>
              <w:t>评估总价</w:t>
            </w:r>
            <w:r>
              <w:rPr>
                <w:rFonts w:hint="eastAsia" w:ascii="仿宋" w:hAnsi="仿宋" w:eastAsia="仿宋" w:cs="仿宋"/>
                <w:b/>
                <w:bCs/>
                <w:i w:val="0"/>
                <w:color w:val="535353"/>
                <w:kern w:val="0"/>
                <w:sz w:val="21"/>
                <w:szCs w:val="21"/>
                <w:u w:val="none"/>
                <w:lang w:val="en-US" w:eastAsia="zh-CN" w:bidi="ar"/>
              </w:rPr>
              <w:t>(万元）</w:t>
            </w:r>
          </w:p>
        </w:tc>
      </w:tr>
      <w:tr>
        <w:tblPrEx>
          <w:tblCellMar>
            <w:top w:w="0" w:type="dxa"/>
            <w:left w:w="0" w:type="dxa"/>
            <w:bottom w:w="0" w:type="dxa"/>
            <w:right w:w="0" w:type="dxa"/>
          </w:tblCellMar>
        </w:tblPrEx>
        <w:trPr>
          <w:trHeight w:val="810" w:hRule="atLeast"/>
        </w:trPr>
        <w:tc>
          <w:tcPr>
            <w:tcW w:w="381" w:type="pct"/>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陈顺龙</w:t>
            </w:r>
          </w:p>
        </w:tc>
        <w:tc>
          <w:tcPr>
            <w:tcW w:w="81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六盘水市钟山区钟山中路81号2栋附87号</w:t>
            </w:r>
          </w:p>
        </w:tc>
        <w:tc>
          <w:tcPr>
            <w:tcW w:w="851"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520201005007GB00006F00010510</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龙城广场</w:t>
            </w:r>
          </w:p>
        </w:tc>
        <w:tc>
          <w:tcPr>
            <w:tcW w:w="36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25</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附87</w:t>
            </w:r>
          </w:p>
        </w:tc>
        <w:tc>
          <w:tcPr>
            <w:tcW w:w="293"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住宅</w:t>
            </w:r>
          </w:p>
        </w:tc>
        <w:tc>
          <w:tcPr>
            <w:tcW w:w="286"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钢混</w:t>
            </w:r>
          </w:p>
        </w:tc>
        <w:tc>
          <w:tcPr>
            <w:tcW w:w="46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137.66</w:t>
            </w:r>
          </w:p>
        </w:tc>
        <w:tc>
          <w:tcPr>
            <w:tcW w:w="52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6445</w:t>
            </w:r>
          </w:p>
        </w:tc>
        <w:tc>
          <w:tcPr>
            <w:tcW w:w="43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sz w:val="21"/>
                <w:szCs w:val="21"/>
                <w:u w:val="none"/>
              </w:rPr>
            </w:pPr>
            <w:r>
              <w:rPr>
                <w:rFonts w:hint="eastAsia" w:ascii="仿宋" w:hAnsi="仿宋" w:eastAsia="仿宋" w:cs="仿宋"/>
                <w:i w:val="0"/>
                <w:color w:val="535353"/>
                <w:kern w:val="0"/>
                <w:sz w:val="21"/>
                <w:szCs w:val="21"/>
                <w:u w:val="none"/>
                <w:lang w:val="en-US" w:eastAsia="zh-CN" w:bidi="ar"/>
              </w:rPr>
              <w:t>88.72</w:t>
            </w:r>
          </w:p>
        </w:tc>
      </w:tr>
      <w:tr>
        <w:tblPrEx>
          <w:tblCellMar>
            <w:top w:w="0" w:type="dxa"/>
            <w:left w:w="0" w:type="dxa"/>
            <w:bottom w:w="0" w:type="dxa"/>
            <w:right w:w="0" w:type="dxa"/>
          </w:tblCellMar>
        </w:tblPrEx>
        <w:trPr>
          <w:trHeight w:val="600" w:hRule="atLeast"/>
        </w:trPr>
        <w:tc>
          <w:tcPr>
            <w:tcW w:w="3568" w:type="pct"/>
            <w:gridSpan w:val="8"/>
            <w:tcBorders>
              <w:top w:val="single" w:color="535353" w:sz="4" w:space="0"/>
              <w:left w:val="single" w:color="535353" w:sz="4" w:space="0"/>
              <w:bottom w:val="single" w:color="535353" w:sz="4" w:space="0"/>
              <w:right w:val="single" w:color="535353"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kern w:val="0"/>
                <w:sz w:val="21"/>
                <w:szCs w:val="21"/>
                <w:u w:val="none"/>
                <w:lang w:val="en-US" w:eastAsia="zh-CN" w:bidi="ar"/>
              </w:rPr>
            </w:pPr>
            <w:r>
              <w:rPr>
                <w:rFonts w:hint="eastAsia" w:ascii="仿宋" w:hAnsi="仿宋" w:eastAsia="仿宋" w:cs="仿宋"/>
                <w:i w:val="0"/>
                <w:color w:val="535353"/>
                <w:sz w:val="21"/>
                <w:szCs w:val="21"/>
                <w:u w:val="none"/>
                <w:lang w:val="en-US" w:eastAsia="zh-CN"/>
              </w:rPr>
              <w:t>合      计</w:t>
            </w:r>
          </w:p>
        </w:tc>
        <w:tc>
          <w:tcPr>
            <w:tcW w:w="469"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kern w:val="2"/>
                <w:sz w:val="21"/>
                <w:szCs w:val="21"/>
                <w:u w:val="none"/>
                <w:lang w:val="en-US" w:eastAsia="zh-CN" w:bidi="ar-SA"/>
              </w:rPr>
            </w:pPr>
            <w:r>
              <w:rPr>
                <w:rFonts w:hint="eastAsia" w:ascii="仿宋" w:hAnsi="仿宋" w:eastAsia="仿宋" w:cs="仿宋"/>
                <w:i w:val="0"/>
                <w:color w:val="535353"/>
                <w:kern w:val="0"/>
                <w:sz w:val="21"/>
                <w:szCs w:val="21"/>
                <w:u w:val="none"/>
                <w:lang w:val="en-US" w:eastAsia="zh-CN" w:bidi="ar"/>
              </w:rPr>
              <w:t>137.66</w:t>
            </w:r>
          </w:p>
        </w:tc>
        <w:tc>
          <w:tcPr>
            <w:tcW w:w="527"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535353"/>
                <w:kern w:val="2"/>
                <w:sz w:val="21"/>
                <w:szCs w:val="21"/>
                <w:u w:val="none"/>
                <w:lang w:val="en-US" w:eastAsia="zh-CN" w:bidi="ar-SA"/>
              </w:rPr>
            </w:pPr>
            <w:r>
              <w:rPr>
                <w:rFonts w:hint="eastAsia" w:ascii="仿宋" w:hAnsi="仿宋" w:eastAsia="仿宋" w:cs="仿宋"/>
                <w:i w:val="0"/>
                <w:color w:val="535353"/>
                <w:kern w:val="0"/>
                <w:sz w:val="21"/>
                <w:szCs w:val="21"/>
                <w:u w:val="none"/>
                <w:lang w:val="en-US" w:eastAsia="zh-CN" w:bidi="ar"/>
              </w:rPr>
              <w:t>--</w:t>
            </w:r>
          </w:p>
        </w:tc>
        <w:tc>
          <w:tcPr>
            <w:tcW w:w="434" w:type="pct"/>
            <w:tcBorders>
              <w:top w:val="single" w:color="535353" w:sz="4" w:space="0"/>
              <w:left w:val="single" w:color="535353" w:sz="4" w:space="0"/>
              <w:bottom w:val="single" w:color="535353" w:sz="4" w:space="0"/>
              <w:right w:val="single" w:color="535353"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535353"/>
                <w:kern w:val="2"/>
                <w:sz w:val="21"/>
                <w:szCs w:val="21"/>
                <w:u w:val="none"/>
                <w:lang w:val="en-US" w:eastAsia="zh-CN" w:bidi="ar-SA"/>
              </w:rPr>
            </w:pPr>
            <w:r>
              <w:rPr>
                <w:rFonts w:hint="eastAsia" w:ascii="仿宋" w:hAnsi="仿宋" w:eastAsia="仿宋" w:cs="仿宋"/>
                <w:i w:val="0"/>
                <w:color w:val="535353"/>
                <w:kern w:val="0"/>
                <w:sz w:val="21"/>
                <w:szCs w:val="21"/>
                <w:u w:val="none"/>
                <w:lang w:val="en-US" w:eastAsia="zh-CN" w:bidi="ar"/>
              </w:rPr>
              <w:t>88.72</w:t>
            </w:r>
          </w:p>
        </w:tc>
      </w:tr>
    </w:tbl>
    <w:p>
      <w:pPr>
        <w:pStyle w:val="3"/>
        <w:adjustRightInd w:val="0"/>
        <w:snapToGrid w:val="0"/>
        <w:spacing w:line="360" w:lineRule="auto"/>
        <w:rPr>
          <w:rFonts w:hint="eastAsia" w:ascii="仿宋" w:hAnsi="仿宋" w:eastAsia="仿宋" w:cs="仿宋"/>
          <w:snapToGrid w:val="0"/>
          <w:sz w:val="28"/>
          <w:szCs w:val="28"/>
        </w:rPr>
      </w:pPr>
      <w:bookmarkStart w:id="113" w:name="_Toc9031"/>
      <w:r>
        <w:rPr>
          <w:rFonts w:hint="eastAsia" w:ascii="仿宋" w:hAnsi="仿宋" w:eastAsia="仿宋" w:cs="仿宋"/>
          <w:snapToGrid w:val="0"/>
          <w:sz w:val="28"/>
          <w:szCs w:val="28"/>
        </w:rPr>
        <w:t>十一、注册房地产估价师</w:t>
      </w:r>
      <w:bookmarkEnd w:id="106"/>
      <w:bookmarkEnd w:id="107"/>
      <w:bookmarkEnd w:id="108"/>
      <w:bookmarkEnd w:id="109"/>
      <w:bookmarkEnd w:id="110"/>
      <w:bookmarkEnd w:id="111"/>
      <w:bookmarkEnd w:id="112"/>
      <w:bookmarkEnd w:id="113"/>
    </w:p>
    <w:tbl>
      <w:tblPr>
        <w:tblStyle w:val="9"/>
        <w:tblpPr w:leftFromText="180" w:rightFromText="180" w:vertAnchor="text" w:horzAnchor="margin" w:tblpY="4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552"/>
        <w:gridCol w:w="2268"/>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1" w:type="dxa"/>
            <w:noWrap w:val="0"/>
            <w:vAlign w:val="center"/>
          </w:tcPr>
          <w:p>
            <w:pPr>
              <w:adjustRightInd w:val="0"/>
              <w:snapToGrid w:val="0"/>
              <w:jc w:val="center"/>
              <w:rPr>
                <w:rFonts w:hint="eastAsia" w:ascii="仿宋" w:hAnsi="仿宋" w:eastAsia="仿宋" w:cs="仿宋"/>
                <w:spacing w:val="-20"/>
                <w:sz w:val="28"/>
                <w:szCs w:val="28"/>
              </w:rPr>
            </w:pPr>
            <w:bookmarkStart w:id="114" w:name="_Toc408527837"/>
            <w:r>
              <w:rPr>
                <w:rFonts w:hint="eastAsia" w:ascii="仿宋" w:hAnsi="仿宋" w:eastAsia="仿宋" w:cs="仿宋"/>
                <w:spacing w:val="-20"/>
                <w:sz w:val="28"/>
                <w:szCs w:val="28"/>
              </w:rPr>
              <w:t>姓   名</w:t>
            </w:r>
          </w:p>
        </w:tc>
        <w:tc>
          <w:tcPr>
            <w:tcW w:w="2552"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注册号</w:t>
            </w:r>
          </w:p>
        </w:tc>
        <w:tc>
          <w:tcPr>
            <w:tcW w:w="2268"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签   名</w:t>
            </w:r>
          </w:p>
        </w:tc>
        <w:tc>
          <w:tcPr>
            <w:tcW w:w="2693"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951"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napToGrid w:val="0"/>
                <w:kern w:val="0"/>
                <w:sz w:val="28"/>
                <w:szCs w:val="28"/>
              </w:rPr>
              <w:t>韩朝钦</w:t>
            </w:r>
          </w:p>
        </w:tc>
        <w:tc>
          <w:tcPr>
            <w:tcW w:w="2552"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z w:val="28"/>
                <w:szCs w:val="28"/>
              </w:rPr>
              <w:t>5220140044</w:t>
            </w:r>
          </w:p>
        </w:tc>
        <w:tc>
          <w:tcPr>
            <w:tcW w:w="2268" w:type="dxa"/>
            <w:noWrap w:val="0"/>
            <w:vAlign w:val="center"/>
          </w:tcPr>
          <w:p>
            <w:pPr>
              <w:adjustRightInd w:val="0"/>
              <w:snapToGrid w:val="0"/>
              <w:jc w:val="center"/>
              <w:rPr>
                <w:rFonts w:hint="eastAsia" w:ascii="仿宋" w:hAnsi="仿宋" w:eastAsia="仿宋" w:cs="仿宋"/>
                <w:spacing w:val="-20"/>
                <w:sz w:val="28"/>
                <w:szCs w:val="28"/>
              </w:rPr>
            </w:pPr>
          </w:p>
        </w:tc>
        <w:tc>
          <w:tcPr>
            <w:tcW w:w="2693"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951" w:type="dxa"/>
            <w:noWrap w:val="0"/>
            <w:vAlign w:val="center"/>
          </w:tcPr>
          <w:p>
            <w:pPr>
              <w:adjustRightInd w:val="0"/>
              <w:snapToGrid w:val="0"/>
              <w:jc w:val="center"/>
              <w:rPr>
                <w:rFonts w:hint="eastAsia" w:ascii="仿宋" w:hAnsi="仿宋" w:eastAsia="仿宋" w:cs="仿宋"/>
                <w:spacing w:val="-20"/>
                <w:sz w:val="28"/>
                <w:szCs w:val="28"/>
                <w:lang w:eastAsia="zh-CN"/>
              </w:rPr>
            </w:pPr>
            <w:r>
              <w:rPr>
                <w:rFonts w:hint="eastAsia" w:ascii="仿宋" w:hAnsi="仿宋" w:eastAsia="仿宋" w:cs="仿宋"/>
                <w:snapToGrid w:val="0"/>
                <w:kern w:val="0"/>
                <w:sz w:val="28"/>
                <w:szCs w:val="28"/>
                <w:lang w:eastAsia="zh-CN"/>
              </w:rPr>
              <w:t>张李楠</w:t>
            </w:r>
          </w:p>
        </w:tc>
        <w:tc>
          <w:tcPr>
            <w:tcW w:w="2552" w:type="dxa"/>
            <w:noWrap w:val="0"/>
            <w:vAlign w:val="center"/>
          </w:tcPr>
          <w:p>
            <w:pPr>
              <w:adjustRightInd w:val="0"/>
              <w:snapToGrid w:val="0"/>
              <w:jc w:val="center"/>
              <w:rPr>
                <w:rFonts w:hint="eastAsia" w:ascii="仿宋" w:hAnsi="仿宋" w:eastAsia="仿宋" w:cs="仿宋"/>
                <w:spacing w:val="-20"/>
                <w:sz w:val="28"/>
                <w:szCs w:val="28"/>
                <w:lang w:eastAsia="zh-CN"/>
              </w:rPr>
            </w:pPr>
            <w:r>
              <w:rPr>
                <w:rFonts w:hint="eastAsia" w:ascii="仿宋" w:hAnsi="仿宋" w:eastAsia="仿宋" w:cs="仿宋"/>
                <w:sz w:val="28"/>
                <w:szCs w:val="28"/>
                <w:lang w:eastAsia="zh-CN"/>
              </w:rPr>
              <w:t>5220180051</w:t>
            </w:r>
          </w:p>
        </w:tc>
        <w:tc>
          <w:tcPr>
            <w:tcW w:w="2268" w:type="dxa"/>
            <w:noWrap w:val="0"/>
            <w:vAlign w:val="center"/>
          </w:tcPr>
          <w:p>
            <w:pPr>
              <w:adjustRightInd w:val="0"/>
              <w:snapToGrid w:val="0"/>
              <w:jc w:val="center"/>
              <w:rPr>
                <w:rFonts w:hint="eastAsia" w:ascii="仿宋" w:hAnsi="仿宋" w:eastAsia="仿宋" w:cs="仿宋"/>
                <w:spacing w:val="-20"/>
                <w:sz w:val="28"/>
                <w:szCs w:val="28"/>
              </w:rPr>
            </w:pPr>
          </w:p>
        </w:tc>
        <w:tc>
          <w:tcPr>
            <w:tcW w:w="2693" w:type="dxa"/>
            <w:noWrap w:val="0"/>
            <w:vAlign w:val="center"/>
          </w:tcPr>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 xml:space="preserve">    年   月   日</w:t>
            </w:r>
          </w:p>
        </w:tc>
      </w:tr>
      <w:bookmarkEnd w:id="114"/>
    </w:tbl>
    <w:p>
      <w:pPr>
        <w:adjustRightInd w:val="0"/>
        <w:snapToGrid w:val="0"/>
        <w:jc w:val="center"/>
        <w:rPr>
          <w:rFonts w:hint="eastAsia" w:ascii="仿宋" w:hAnsi="仿宋" w:eastAsia="仿宋" w:cs="仿宋"/>
          <w:spacing w:val="-20"/>
          <w:sz w:val="28"/>
          <w:szCs w:val="28"/>
        </w:rPr>
      </w:pPr>
      <w:r>
        <w:rPr>
          <w:rFonts w:hint="eastAsia" w:ascii="仿宋" w:hAnsi="仿宋" w:eastAsia="仿宋" w:cs="仿宋"/>
          <w:spacing w:val="-20"/>
          <w:sz w:val="28"/>
          <w:szCs w:val="28"/>
        </w:rPr>
        <w:t>注册房地产估价师</w:t>
      </w:r>
    </w:p>
    <w:p>
      <w:pPr>
        <w:pStyle w:val="3"/>
        <w:adjustRightInd w:val="0"/>
        <w:snapToGrid w:val="0"/>
        <w:spacing w:line="360" w:lineRule="auto"/>
        <w:rPr>
          <w:rFonts w:hint="eastAsia" w:ascii="仿宋" w:hAnsi="仿宋" w:eastAsia="仿宋" w:cs="仿宋"/>
          <w:snapToGrid w:val="0"/>
          <w:sz w:val="28"/>
          <w:szCs w:val="28"/>
        </w:rPr>
      </w:pPr>
      <w:bookmarkStart w:id="115" w:name="_Toc2670"/>
      <w:bookmarkStart w:id="116" w:name="_Toc3499"/>
      <w:bookmarkStart w:id="117" w:name="_Toc21005"/>
      <w:bookmarkStart w:id="118" w:name="_Toc437853101"/>
      <w:bookmarkStart w:id="119" w:name="_Toc13286"/>
      <w:bookmarkStart w:id="120" w:name="_Toc26040"/>
      <w:bookmarkStart w:id="121" w:name="_Toc408527838"/>
      <w:bookmarkStart w:id="122" w:name="_Toc29694"/>
      <w:r>
        <w:rPr>
          <w:rFonts w:hint="eastAsia" w:ascii="仿宋" w:hAnsi="仿宋" w:eastAsia="仿宋" w:cs="仿宋"/>
          <w:snapToGrid w:val="0"/>
          <w:sz w:val="28"/>
          <w:szCs w:val="28"/>
        </w:rPr>
        <w:t>十二、实地查勘期</w:t>
      </w:r>
      <w:bookmarkEnd w:id="115"/>
      <w:bookmarkEnd w:id="116"/>
      <w:bookmarkEnd w:id="117"/>
      <w:bookmarkEnd w:id="118"/>
      <w:bookmarkEnd w:id="119"/>
      <w:bookmarkEnd w:id="120"/>
      <w:bookmarkEnd w:id="121"/>
      <w:bookmarkEnd w:id="122"/>
    </w:p>
    <w:p>
      <w:pPr>
        <w:pStyle w:val="13"/>
        <w:snapToGrid w:val="0"/>
        <w:spacing w:line="360" w:lineRule="auto"/>
        <w:ind w:firstLine="566" w:firstLineChars="200"/>
        <w:textAlignment w:val="auto"/>
        <w:rPr>
          <w:rFonts w:hint="eastAsia" w:ascii="仿宋" w:hAnsi="仿宋" w:eastAsia="仿宋" w:cs="仿宋"/>
          <w:kern w:val="2"/>
          <w:szCs w:val="28"/>
          <w:highlight w:val="none"/>
        </w:rPr>
      </w:pPr>
      <w:r>
        <w:rPr>
          <w:rFonts w:hint="eastAsia" w:ascii="仿宋" w:hAnsi="仿宋" w:eastAsia="仿宋" w:cs="仿宋"/>
          <w:kern w:val="2"/>
          <w:szCs w:val="28"/>
          <w:highlight w:val="none"/>
          <w:lang w:eastAsia="zh-CN"/>
        </w:rPr>
        <w:t>2020年01月02日</w:t>
      </w:r>
      <w:r>
        <w:rPr>
          <w:rFonts w:hint="eastAsia" w:ascii="仿宋" w:hAnsi="仿宋" w:eastAsia="仿宋" w:cs="仿宋"/>
          <w:kern w:val="2"/>
          <w:szCs w:val="28"/>
          <w:highlight w:val="none"/>
        </w:rPr>
        <w:t>。</w:t>
      </w:r>
    </w:p>
    <w:p>
      <w:pPr>
        <w:pStyle w:val="3"/>
        <w:adjustRightInd w:val="0"/>
        <w:snapToGrid w:val="0"/>
        <w:spacing w:line="360" w:lineRule="auto"/>
        <w:rPr>
          <w:rFonts w:hint="eastAsia" w:ascii="仿宋" w:hAnsi="仿宋" w:eastAsia="仿宋" w:cs="仿宋"/>
          <w:snapToGrid w:val="0"/>
          <w:sz w:val="28"/>
          <w:szCs w:val="28"/>
        </w:rPr>
      </w:pPr>
      <w:bookmarkStart w:id="123" w:name="_Toc437853102"/>
      <w:bookmarkStart w:id="124" w:name="_Toc28458"/>
      <w:bookmarkStart w:id="125" w:name="_Toc8326"/>
      <w:bookmarkStart w:id="126" w:name="_Toc408527839"/>
      <w:bookmarkStart w:id="127" w:name="_Toc16331"/>
      <w:bookmarkStart w:id="128" w:name="_Toc16191"/>
      <w:bookmarkStart w:id="129" w:name="_Toc12048"/>
      <w:bookmarkStart w:id="130" w:name="_Toc18309"/>
      <w:r>
        <w:rPr>
          <w:rFonts w:hint="eastAsia" w:ascii="仿宋" w:hAnsi="仿宋" w:eastAsia="仿宋" w:cs="仿宋"/>
          <w:snapToGrid w:val="0"/>
          <w:sz w:val="28"/>
          <w:szCs w:val="28"/>
        </w:rPr>
        <w:t>十三、估价作业期</w:t>
      </w:r>
      <w:bookmarkEnd w:id="123"/>
      <w:bookmarkEnd w:id="124"/>
      <w:bookmarkEnd w:id="125"/>
      <w:bookmarkEnd w:id="126"/>
      <w:bookmarkEnd w:id="127"/>
      <w:bookmarkEnd w:id="128"/>
      <w:bookmarkEnd w:id="129"/>
      <w:bookmarkEnd w:id="130"/>
    </w:p>
    <w:p>
      <w:pPr>
        <w:adjustRightInd w:val="0"/>
        <w:snapToGrid w:val="0"/>
        <w:spacing w:line="360" w:lineRule="auto"/>
        <w:ind w:firstLine="526" w:firstLineChars="200"/>
        <w:rPr>
          <w:rFonts w:hint="eastAsia" w:ascii="仿宋" w:hAnsi="仿宋" w:eastAsia="仿宋" w:cs="仿宋"/>
          <w:sz w:val="28"/>
          <w:highlight w:val="none"/>
          <w:lang w:eastAsia="zh-CN"/>
        </w:rPr>
        <w:sectPr>
          <w:headerReference r:id="rId15" w:type="default"/>
          <w:pgSz w:w="11906" w:h="16838"/>
          <w:pgMar w:top="1247" w:right="1020" w:bottom="1247" w:left="1497" w:header="907" w:footer="907" w:gutter="0"/>
          <w:cols w:space="720" w:num="1"/>
          <w:docGrid w:type="linesAndChars" w:linePitch="312" w:charSpace="693"/>
        </w:sectPr>
      </w:pPr>
      <w:bookmarkStart w:id="131" w:name="_Toc408527840"/>
      <w:r>
        <w:rPr>
          <w:rFonts w:hint="eastAsia" w:ascii="仿宋" w:hAnsi="仿宋" w:eastAsia="仿宋" w:cs="仿宋"/>
          <w:spacing w:val="-10"/>
          <w:sz w:val="28"/>
          <w:szCs w:val="28"/>
          <w:highlight w:val="none"/>
          <w:lang w:eastAsia="zh-CN"/>
        </w:rPr>
        <w:t>2020年01月02日至2020年01月07日 。</w:t>
      </w:r>
    </w:p>
    <w:p>
      <w:pPr>
        <w:pStyle w:val="2"/>
        <w:adjustRightInd w:val="0"/>
        <w:snapToGrid w:val="0"/>
        <w:spacing w:line="420" w:lineRule="exact"/>
        <w:jc w:val="center"/>
        <w:rPr>
          <w:rFonts w:hint="eastAsia" w:ascii="仿宋" w:hAnsi="仿宋" w:eastAsia="仿宋" w:cs="仿宋"/>
          <w:bCs w:val="0"/>
          <w:snapToGrid w:val="0"/>
          <w:color w:val="000000"/>
          <w:sz w:val="36"/>
          <w:szCs w:val="36"/>
          <w:lang w:val="en-US" w:eastAsia="zh-CN"/>
        </w:rPr>
      </w:pPr>
      <w:bookmarkStart w:id="132" w:name="_Toc20901"/>
      <w:bookmarkStart w:id="133" w:name="_Toc26299"/>
      <w:bookmarkStart w:id="134" w:name="_Toc437853104"/>
      <w:bookmarkStart w:id="135" w:name="_Toc24142"/>
      <w:bookmarkStart w:id="136" w:name="_Toc14530"/>
      <w:bookmarkStart w:id="137" w:name="_Toc30749"/>
      <w:bookmarkStart w:id="138" w:name="_Toc11874"/>
      <w:r>
        <w:rPr>
          <w:rFonts w:hint="eastAsia" w:ascii="仿宋" w:hAnsi="仿宋" w:eastAsia="仿宋" w:cs="仿宋"/>
          <w:bCs w:val="0"/>
          <w:snapToGrid w:val="0"/>
          <w:color w:val="000000"/>
          <w:sz w:val="36"/>
          <w:szCs w:val="36"/>
        </w:rPr>
        <w:t>附    件</w:t>
      </w:r>
      <w:bookmarkEnd w:id="131"/>
      <w:bookmarkEnd w:id="132"/>
      <w:bookmarkEnd w:id="133"/>
      <w:bookmarkEnd w:id="134"/>
      <w:bookmarkEnd w:id="135"/>
      <w:bookmarkEnd w:id="136"/>
      <w:bookmarkEnd w:id="137"/>
      <w:bookmarkEnd w:id="138"/>
      <w:r>
        <w:rPr>
          <w:rFonts w:hint="eastAsia" w:ascii="仿宋" w:hAnsi="仿宋" w:eastAsia="仿宋" w:cs="仿宋"/>
          <w:bCs w:val="0"/>
          <w:snapToGrid w:val="0"/>
          <w:color w:val="000000"/>
          <w:sz w:val="36"/>
          <w:szCs w:val="36"/>
          <w:lang w:val="en-US" w:eastAsia="zh-CN"/>
        </w:rPr>
        <w:t xml:space="preserve"> </w:t>
      </w:r>
    </w:p>
    <w:p>
      <w:pPr>
        <w:pStyle w:val="3"/>
        <w:adjustRightInd w:val="0"/>
        <w:snapToGrid w:val="0"/>
        <w:spacing w:line="360" w:lineRule="auto"/>
        <w:rPr>
          <w:rFonts w:hint="eastAsia"/>
        </w:rPr>
      </w:pPr>
      <w:bookmarkStart w:id="139" w:name="_Toc453773338"/>
      <w:bookmarkStart w:id="140" w:name="_Toc453772955"/>
      <w:bookmarkStart w:id="141" w:name="_Toc32290"/>
      <w:r>
        <w:rPr>
          <w:rFonts w:hint="eastAsia" w:ascii="仿宋" w:hAnsi="仿宋" w:eastAsia="仿宋"/>
          <w:sz w:val="28"/>
          <w:szCs w:val="28"/>
          <w:lang w:eastAsia="zh-CN"/>
        </w:rPr>
        <w:t>一</w:t>
      </w:r>
      <w:r>
        <w:rPr>
          <w:rFonts w:hint="eastAsia" w:ascii="仿宋" w:hAnsi="仿宋" w:eastAsia="仿宋"/>
          <w:sz w:val="28"/>
          <w:szCs w:val="28"/>
        </w:rPr>
        <w:t>、</w:t>
      </w:r>
      <w:r>
        <w:rPr>
          <w:rFonts w:hint="eastAsia" w:ascii="仿宋" w:hAnsi="仿宋" w:eastAsia="仿宋" w:cs="仿宋"/>
          <w:snapToGrid w:val="0"/>
          <w:sz w:val="28"/>
          <w:szCs w:val="28"/>
        </w:rPr>
        <w:t>房地产估价委托书</w:t>
      </w:r>
      <w:bookmarkEnd w:id="139"/>
      <w:bookmarkEnd w:id="140"/>
      <w:r>
        <w:rPr>
          <w:rFonts w:hint="eastAsia" w:ascii="仿宋" w:hAnsi="仿宋" w:eastAsia="仿宋" w:cs="仿宋"/>
          <w:snapToGrid w:val="0"/>
          <w:sz w:val="28"/>
          <w:szCs w:val="28"/>
        </w:rPr>
        <w:t>复印件</w:t>
      </w:r>
      <w:bookmarkEnd w:id="141"/>
    </w:p>
    <w:p>
      <w:pPr>
        <w:jc w:val="center"/>
        <w:rPr>
          <w:rFonts w:hint="eastAsia" w:eastAsia="仿宋"/>
          <w:kern w:val="0"/>
          <w:sz w:val="20"/>
          <w:szCs w:val="20"/>
        </w:rPr>
      </w:pPr>
      <w:r>
        <w:drawing>
          <wp:inline distT="0" distB="0" distL="114300" distR="114300">
            <wp:extent cx="5182870" cy="7366635"/>
            <wp:effectExtent l="0" t="0" r="1778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182870" cy="7366635"/>
                    </a:xfrm>
                    <a:prstGeom prst="rect">
                      <a:avLst/>
                    </a:prstGeom>
                    <a:noFill/>
                    <a:ln>
                      <a:noFill/>
                    </a:ln>
                  </pic:spPr>
                </pic:pic>
              </a:graphicData>
            </a:graphic>
          </wp:inline>
        </w:drawing>
      </w:r>
    </w:p>
    <w:p>
      <w:pPr>
        <w:pStyle w:val="3"/>
        <w:numPr>
          <w:ilvl w:val="0"/>
          <w:numId w:val="8"/>
        </w:numPr>
        <w:adjustRightInd w:val="0"/>
        <w:snapToGrid w:val="0"/>
        <w:spacing w:line="360" w:lineRule="auto"/>
        <w:rPr>
          <w:rFonts w:hint="eastAsia" w:ascii="仿宋" w:hAnsi="仿宋" w:eastAsia="仿宋"/>
          <w:sz w:val="28"/>
          <w:szCs w:val="28"/>
        </w:rPr>
      </w:pPr>
      <w:bookmarkStart w:id="142" w:name="_Toc453772956"/>
      <w:bookmarkStart w:id="143" w:name="_Toc453773339"/>
      <w:bookmarkStart w:id="144" w:name="_Toc18375"/>
      <w:r>
        <w:rPr>
          <w:rFonts w:hint="eastAsia" w:ascii="仿宋" w:hAnsi="仿宋" w:eastAsia="仿宋"/>
          <w:sz w:val="28"/>
          <w:szCs w:val="28"/>
        </w:rPr>
        <w:t>估价对象位置图</w:t>
      </w:r>
      <w:bookmarkEnd w:id="142"/>
      <w:bookmarkEnd w:id="143"/>
      <w:bookmarkEnd w:id="144"/>
    </w:p>
    <w:p>
      <w:pPr>
        <w:numPr>
          <w:ilvl w:val="0"/>
          <w:numId w:val="0"/>
        </w:numPr>
        <w:jc w:val="center"/>
        <w:rPr>
          <w:rFonts w:hint="eastAsia"/>
        </w:rPr>
      </w:pPr>
      <w:r>
        <w:rPr>
          <w:rFonts w:hint="eastAsia" w:ascii="仿宋" w:hAnsi="仿宋" w:eastAsia="仿宋"/>
          <w:sz w:val="28"/>
          <w:szCs w:val="28"/>
          <w:lang w:eastAsia="zh-CN"/>
        </w:rPr>
        <w:t>估价对象</w:t>
      </w:r>
      <w:r>
        <w:rPr>
          <w:rFonts w:hint="eastAsia" w:ascii="仿宋" w:hAnsi="仿宋" w:eastAsia="仿宋"/>
          <w:sz w:val="28"/>
          <w:szCs w:val="28"/>
        </w:rPr>
        <w:t>位置图</w:t>
      </w:r>
    </w:p>
    <w:p>
      <w:pPr>
        <w:widowControl/>
        <w:jc w:val="center"/>
        <w:rPr>
          <w:b/>
          <w:bCs/>
        </w:rPr>
      </w:pPr>
      <w:r>
        <w:rPr>
          <w:rFonts w:hint="eastAsia" w:ascii="宋体" w:hAnsi="宋体" w:cs="宋体"/>
          <w:szCs w:val="21"/>
        </w:rPr>
        <mc:AlternateContent>
          <mc:Choice Requires="wps">
            <w:drawing>
              <wp:anchor distT="0" distB="0" distL="114300" distR="114300" simplePos="0" relativeHeight="251658240" behindDoc="0" locked="0" layoutInCell="1" allowOverlap="1">
                <wp:simplePos x="0" y="0"/>
                <wp:positionH relativeFrom="column">
                  <wp:posOffset>15875</wp:posOffset>
                </wp:positionH>
                <wp:positionV relativeFrom="paragraph">
                  <wp:posOffset>3891280</wp:posOffset>
                </wp:positionV>
                <wp:extent cx="5513705" cy="3996690"/>
                <wp:effectExtent l="5080" t="1800860" r="5715" b="12700"/>
                <wp:wrapNone/>
                <wp:docPr id="6" name="矩形标注 6"/>
                <wp:cNvGraphicFramePr/>
                <a:graphic xmlns:a="http://schemas.openxmlformats.org/drawingml/2006/main">
                  <a:graphicData uri="http://schemas.microsoft.com/office/word/2010/wordprocessingShape">
                    <wps:wsp>
                      <wps:cNvSpPr/>
                      <wps:spPr>
                        <a:xfrm>
                          <a:off x="0" y="0"/>
                          <a:ext cx="5513705" cy="3996690"/>
                        </a:xfrm>
                        <a:prstGeom prst="wedgeRectCallout">
                          <a:avLst>
                            <a:gd name="adj1" fmla="val -10486"/>
                            <a:gd name="adj2" fmla="val -94712"/>
                          </a:avLst>
                        </a:prstGeom>
                        <a:noFill/>
                        <a:ln w="9525" cap="flat" cmpd="sng">
                          <a:solidFill>
                            <a:srgbClr val="FF0000"/>
                          </a:solidFill>
                          <a:prstDash val="solid"/>
                          <a:miter/>
                          <a:headEnd type="none" w="med" len="med"/>
                          <a:tailEnd type="none" w="med" len="med"/>
                        </a:ln>
                      </wps:spPr>
                      <wps:txbx>
                        <w:txbxContent>
                          <w:p>
                            <w:pPr>
                              <w:widowControl/>
                              <w:jc w:val="both"/>
                              <w:rPr>
                                <w:rFonts w:hint="eastAsia"/>
                              </w:rPr>
                            </w:pPr>
                            <w:r>
                              <w:drawing>
                                <wp:inline distT="0" distB="0" distL="114300" distR="114300">
                                  <wp:extent cx="5349875" cy="3874135"/>
                                  <wp:effectExtent l="0" t="0" r="317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5349875" cy="387413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61" type="#_x0000_t61" style="position:absolute;left:0pt;margin-left:1.25pt;margin-top:306.4pt;height:314.7pt;width:434.15pt;z-index:251658240;mso-width-relative:page;mso-height-relative:page;" filled="f" stroked="t" coordsize="21600,21600" o:gfxdata="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JX9lfWAAAA&#10;CgEAAA8AAAAAAAAAAQAgAAAAIgAAAGRycy9kb3ducmV2LnhtbFBLAQIUABQAAAAIAIdO4kBVzw3c&#10;HwIAABgEAAAOAAAAAAAAAAEAIAAAACUBAABkcnMvZTJvRG9jLnhtbFBLBQYAAAAABgAGAFkBAAC2&#10;BQAAAAA=&#10;" adj="8535,-9658">
                <v:fill on="f" focussize="0,0"/>
                <v:stroke color="#FF0000" joinstyle="miter"/>
                <v:imagedata o:title=""/>
                <o:lock v:ext="edit" aspectratio="f"/>
                <v:textbox>
                  <w:txbxContent>
                    <w:p>
                      <w:pPr>
                        <w:widowControl/>
                        <w:jc w:val="both"/>
                        <w:rPr>
                          <w:rFonts w:hint="eastAsia"/>
                        </w:rPr>
                      </w:pPr>
                      <w:r>
                        <w:drawing>
                          <wp:inline distT="0" distB="0" distL="114300" distR="114300">
                            <wp:extent cx="5349875" cy="3874135"/>
                            <wp:effectExtent l="0" t="0" r="317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5349875" cy="3874135"/>
                                    </a:xfrm>
                                    <a:prstGeom prst="rect">
                                      <a:avLst/>
                                    </a:prstGeom>
                                    <a:noFill/>
                                    <a:ln>
                                      <a:noFill/>
                                    </a:ln>
                                  </pic:spPr>
                                </pic:pic>
                              </a:graphicData>
                            </a:graphic>
                          </wp:inline>
                        </w:drawing>
                      </w:r>
                    </w:p>
                  </w:txbxContent>
                </v:textbox>
              </v:shape>
            </w:pict>
          </mc:Fallback>
        </mc:AlternateContent>
      </w:r>
      <w:r>
        <w:drawing>
          <wp:inline distT="0" distB="0" distL="114300" distR="114300">
            <wp:extent cx="5563235" cy="3758565"/>
            <wp:effectExtent l="0" t="0" r="1841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563235" cy="3758565"/>
                    </a:xfrm>
                    <a:prstGeom prst="rect">
                      <a:avLst/>
                    </a:prstGeom>
                    <a:noFill/>
                    <a:ln>
                      <a:noFill/>
                    </a:ln>
                  </pic:spPr>
                </pic:pic>
              </a:graphicData>
            </a:graphic>
          </wp:inline>
        </w:drawing>
      </w:r>
    </w:p>
    <w:p>
      <w:pPr>
        <w:topLinePunct/>
        <w:ind w:right="23"/>
        <w:rPr>
          <w:rFonts w:hint="eastAsia" w:ascii="宋体" w:hAnsi="宋体" w:cs="宋体"/>
          <w:szCs w:val="21"/>
        </w:rPr>
      </w:pPr>
    </w:p>
    <w:p>
      <w:pPr>
        <w:pStyle w:val="3"/>
        <w:numPr>
          <w:ilvl w:val="0"/>
          <w:numId w:val="8"/>
        </w:numPr>
        <w:adjustRightInd w:val="0"/>
        <w:snapToGrid w:val="0"/>
        <w:spacing w:line="360" w:lineRule="auto"/>
        <w:jc w:val="left"/>
        <w:rPr>
          <w:rFonts w:hint="eastAsia" w:ascii="仿宋" w:hAnsi="仿宋" w:eastAsia="仿宋"/>
          <w:sz w:val="28"/>
          <w:szCs w:val="28"/>
        </w:rPr>
      </w:pPr>
      <w:bookmarkStart w:id="145" w:name="_Toc11865"/>
      <w:bookmarkStart w:id="162" w:name="_GoBack"/>
      <w:bookmarkEnd w:id="162"/>
      <w:r>
        <w:rPr>
          <w:rFonts w:hint="eastAsia" w:ascii="宋体" w:hAnsi="宋体" w:cs="宋体"/>
          <w:szCs w:val="21"/>
        </w:rPr>
        <mc:AlternateContent>
          <mc:Choice Requires="wps">
            <w:drawing>
              <wp:anchor distT="0" distB="0" distL="114300" distR="114300" simplePos="0" relativeHeight="251659264" behindDoc="0" locked="0" layoutInCell="1" allowOverlap="1">
                <wp:simplePos x="0" y="0"/>
                <wp:positionH relativeFrom="column">
                  <wp:posOffset>2114550</wp:posOffset>
                </wp:positionH>
                <wp:positionV relativeFrom="paragraph">
                  <wp:posOffset>1644650</wp:posOffset>
                </wp:positionV>
                <wp:extent cx="1143000" cy="398780"/>
                <wp:effectExtent l="143510" t="6350" r="8890" b="375920"/>
                <wp:wrapNone/>
                <wp:docPr id="8" name="椭圆形标注 8"/>
                <wp:cNvGraphicFramePr/>
                <a:graphic xmlns:a="http://schemas.openxmlformats.org/drawingml/2006/main">
                  <a:graphicData uri="http://schemas.microsoft.com/office/word/2010/wordprocessingShape">
                    <wps:wsp>
                      <wps:cNvSpPr/>
                      <wps:spPr>
                        <a:xfrm>
                          <a:off x="0" y="0"/>
                          <a:ext cx="1143000" cy="398780"/>
                        </a:xfrm>
                        <a:prstGeom prst="wedgeEllipseCallout">
                          <a:avLst>
                            <a:gd name="adj1" fmla="val -59218"/>
                            <a:gd name="adj2" fmla="val 134079"/>
                          </a:avLst>
                        </a:prstGeom>
                        <a:solidFill>
                          <a:srgbClr val="FFFFFF">
                            <a:alpha val="50000"/>
                          </a:srgbClr>
                        </a:solidFill>
                        <a:ln w="12700" cap="flat" cmpd="sng">
                          <a:solidFill>
                            <a:srgbClr val="FF0000"/>
                          </a:solidFill>
                          <a:prstDash val="solid"/>
                          <a:miter/>
                          <a:headEnd type="none" w="med" len="med"/>
                          <a:tailEnd type="none" w="med" len="med"/>
                        </a:ln>
                      </wps:spPr>
                      <wps:txbx>
                        <w:txbxContent>
                          <w:p>
                            <w:pPr>
                              <w:jc w:val="center"/>
                              <w:rPr>
                                <w:rFonts w:ascii="宋体" w:hAnsi="宋体"/>
                                <w:b/>
                                <w:color w:val="FF0000"/>
                                <w:sz w:val="24"/>
                              </w:rPr>
                            </w:pPr>
                            <w:r>
                              <w:rPr>
                                <w:rFonts w:hint="eastAsia" w:ascii="宋体" w:hAnsi="宋体"/>
                                <w:b/>
                                <w:color w:val="FF0000"/>
                                <w:sz w:val="24"/>
                              </w:rPr>
                              <w:t>估价对象</w:t>
                            </w:r>
                          </w:p>
                        </w:txbxContent>
                      </wps:txbx>
                      <wps:bodyPr upright="1"/>
                    </wps:wsp>
                  </a:graphicData>
                </a:graphic>
              </wp:anchor>
            </w:drawing>
          </mc:Choice>
          <mc:Fallback>
            <w:pict>
              <v:shape id="_x0000_s1026" o:spid="_x0000_s1026" o:spt="63" type="#_x0000_t63" style="position:absolute;left:0pt;margin-left:166.5pt;margin-top:129.5pt;height:31.4pt;width:90pt;z-index:251659264;mso-width-relative:page;mso-height-relative:page;" fillcolor="#FFFFFF" filled="t" stroked="t" coordsize="21600,21600" o:gfxdata="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2mOKc2AAAAAsBAAAPAAAAAAAAAAEAIAAAACIAAABkcnMvZG93bnJl&#10;di54bWxQSwECFAAUAAAACACHTuJAgrxU+jYCAABoBAAADgAAAAAAAAABACAAAAAnAQAAZHJzL2Uy&#10;b0RvYy54bWxQSwUGAAAAAAYABgBZAQAAzwUAAAAA&#10;" adj="-1991,39761">
                <v:fill on="t" opacity="32768f" focussize="0,0"/>
                <v:stroke weight="1pt" color="#FF0000" joinstyle="miter"/>
                <v:imagedata o:title=""/>
                <o:lock v:ext="edit" aspectratio="f"/>
                <v:textbox>
                  <w:txbxContent>
                    <w:p>
                      <w:pPr>
                        <w:jc w:val="center"/>
                        <w:rPr>
                          <w:rFonts w:ascii="宋体" w:hAnsi="宋体"/>
                          <w:b/>
                          <w:color w:val="FF0000"/>
                          <w:sz w:val="24"/>
                        </w:rPr>
                      </w:pPr>
                      <w:r>
                        <w:rPr>
                          <w:rFonts w:hint="eastAsia" w:ascii="宋体" w:hAnsi="宋体"/>
                          <w:b/>
                          <w:color w:val="FF0000"/>
                          <w:sz w:val="24"/>
                        </w:rPr>
                        <w:t>估价对象</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60288" behindDoc="0" locked="0" layoutInCell="1" allowOverlap="1">
                <wp:simplePos x="0" y="0"/>
                <wp:positionH relativeFrom="column">
                  <wp:posOffset>1830070</wp:posOffset>
                </wp:positionH>
                <wp:positionV relativeFrom="paragraph">
                  <wp:posOffset>2280920</wp:posOffset>
                </wp:positionV>
                <wp:extent cx="237490" cy="221615"/>
                <wp:effectExtent l="14605" t="15240" r="33655" b="29845"/>
                <wp:wrapNone/>
                <wp:docPr id="9" name="五角星 9"/>
                <wp:cNvGraphicFramePr/>
                <a:graphic xmlns:a="http://schemas.openxmlformats.org/drawingml/2006/main">
                  <a:graphicData uri="http://schemas.microsoft.com/office/word/2010/wordprocessingShape">
                    <wps:wsp>
                      <wps:cNvSpPr/>
                      <wps:spPr>
                        <a:xfrm>
                          <a:off x="0" y="0"/>
                          <a:ext cx="237490" cy="22161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44.1pt;margin-top:179.6pt;height:17.45pt;width:18.7pt;z-index:251660288;mso-width-relative:page;mso-height-relative:page;" fillcolor="#FF0000" filled="t" stroked="t" coordsize="237490,221615" o:gfxdata="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fRE7dcAAAAL&#10;AQAADwAAAAAAAAABACAAAAAiAAAAZHJzL2Rvd25yZXYueG1sUEsBAhQAFAAAAAgAh07iQGuN6Vfk&#10;AQAA0wMAAA4AAAAAAAAAAQAgAAAAJgEAAGRycy9lMm9Eb2MueG1sUEsFBgAAAAAGAAYAWQEAAHwF&#10;AAAAAA==&#10;" path="m0,84649l90713,84649,118745,0,146776,84649,237489,84649,164100,136965,192133,221614,118745,169297,45356,221614,73389,136965xe">
                <v:path o:connectlocs="118745,0;0,84649;45356,221614;192133,221614;237489,84649" o:connectangles="247,164,82,82,0"/>
                <v:fill on="t" focussize="0,0"/>
                <v:stroke color="#FF0000" joinstyle="miter"/>
                <v:imagedata o:title=""/>
                <o:lock v:ext="edit" aspectratio="f"/>
              </v:shape>
            </w:pict>
          </mc:Fallback>
        </mc:AlternateContent>
      </w:r>
      <w:r>
        <w:rPr>
          <w:rFonts w:ascii="仿宋" w:hAnsi="仿宋" w:eastAsia="仿宋" w:cs="仿宋"/>
          <w:spacing w:val="-10"/>
          <w:sz w:val="28"/>
          <w:szCs w:val="28"/>
        </w:rPr>
        <w:br w:type="page"/>
      </w:r>
      <w:r>
        <w:rPr>
          <w:rFonts w:hint="eastAsia" w:ascii="仿宋" w:hAnsi="仿宋" w:eastAsia="仿宋"/>
          <w:b/>
          <w:bCs/>
          <w:sz w:val="28"/>
          <w:szCs w:val="28"/>
        </w:rPr>
        <w:t>估价对象实地查勘情况和相关照片</w:t>
      </w:r>
      <w:bookmarkEnd w:id="145"/>
    </w:p>
    <w:tbl>
      <w:tblPr>
        <w:tblStyle w:val="9"/>
        <w:tblW w:w="0" w:type="auto"/>
        <w:tblInd w:w="0" w:type="dxa"/>
        <w:tblLayout w:type="fixed"/>
        <w:tblCellMar>
          <w:top w:w="0" w:type="dxa"/>
          <w:left w:w="108" w:type="dxa"/>
          <w:bottom w:w="0" w:type="dxa"/>
          <w:right w:w="108" w:type="dxa"/>
        </w:tblCellMar>
      </w:tblPr>
      <w:tblGrid>
        <w:gridCol w:w="3192"/>
        <w:gridCol w:w="3000"/>
        <w:gridCol w:w="3096"/>
      </w:tblGrid>
      <w:tr>
        <w:tblPrEx>
          <w:tblCellMar>
            <w:top w:w="0" w:type="dxa"/>
            <w:left w:w="108" w:type="dxa"/>
            <w:bottom w:w="0" w:type="dxa"/>
            <w:right w:w="108" w:type="dxa"/>
          </w:tblCellMar>
        </w:tblPrEx>
        <w:trPr>
          <w:trHeight w:val="2406" w:hRule="atLeast"/>
        </w:trPr>
        <w:tc>
          <w:tcPr>
            <w:tcW w:w="3192" w:type="dxa"/>
            <w:noWrap w:val="0"/>
            <w:vAlign w:val="top"/>
          </w:tcPr>
          <w:p>
            <w:pPr>
              <w:rPr>
                <w:rFonts w:hint="eastAsia" w:ascii="宋体" w:hAnsi="宋体" w:cs="宋体"/>
              </w:rPr>
            </w:pPr>
            <w:r>
              <w:rPr>
                <w:rFonts w:hint="eastAsia" w:ascii="宋体" w:hAnsi="宋体" w:cs="宋体"/>
              </w:rPr>
              <w:drawing>
                <wp:inline distT="0" distB="0" distL="114300" distR="114300">
                  <wp:extent cx="1866900" cy="2489835"/>
                  <wp:effectExtent l="0" t="0" r="0" b="5715"/>
                  <wp:docPr id="10" name="图片 4" descr="D:\1苏代群\苏代群\诺力达\报告\法院\六盘水钟山区法院\龙城广场\照片\六盘水钟山区房屋照片\IMG_9507.JPGIMG_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1苏代群\苏代群\诺力达\报告\法院\六盘水钟山区法院\龙城广场\照片\六盘水钟山区房屋照片\IMG_9507.JPGIMG_9507"/>
                          <pic:cNvPicPr>
                            <a:picLocks noChangeAspect="1"/>
                          </pic:cNvPicPr>
                        </pic:nvPicPr>
                        <pic:blipFill>
                          <a:blip r:embed="rId20"/>
                          <a:stretch>
                            <a:fillRect/>
                          </a:stretch>
                        </pic:blipFill>
                        <pic:spPr>
                          <a:xfrm>
                            <a:off x="0" y="0"/>
                            <a:ext cx="1866900" cy="2489835"/>
                          </a:xfrm>
                          <a:prstGeom prst="rect">
                            <a:avLst/>
                          </a:prstGeom>
                          <a:noFill/>
                          <a:ln>
                            <a:noFill/>
                          </a:ln>
                        </pic:spPr>
                      </pic:pic>
                    </a:graphicData>
                  </a:graphic>
                </wp:inline>
              </w:drawing>
            </w:r>
          </w:p>
        </w:tc>
        <w:tc>
          <w:tcPr>
            <w:tcW w:w="3000" w:type="dxa"/>
            <w:noWrap w:val="0"/>
            <w:vAlign w:val="top"/>
          </w:tcPr>
          <w:p>
            <w:pPr>
              <w:rPr>
                <w:rFonts w:hint="eastAsia" w:ascii="宋体" w:hAnsi="宋体" w:cs="宋体"/>
              </w:rPr>
            </w:pPr>
            <w:r>
              <w:rPr>
                <w:rFonts w:hint="eastAsia" w:ascii="宋体" w:hAnsi="宋体" w:cs="宋体"/>
              </w:rPr>
              <w:drawing>
                <wp:inline distT="0" distB="0" distL="114300" distR="114300">
                  <wp:extent cx="1825625" cy="2434590"/>
                  <wp:effectExtent l="0" t="0" r="3175" b="3810"/>
                  <wp:docPr id="11" name="图片 5" descr="D:\1苏代群\苏代群\诺力达\报告\法院\六盘水钟山区法院\龙城广场\照片\六盘水钟山区房屋照片\IMG_9504.JPGIMG_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D:\1苏代群\苏代群\诺力达\报告\法院\六盘水钟山区法院\龙城广场\照片\六盘水钟山区房屋照片\IMG_9504.JPGIMG_9504"/>
                          <pic:cNvPicPr>
                            <a:picLocks noChangeAspect="1"/>
                          </pic:cNvPicPr>
                        </pic:nvPicPr>
                        <pic:blipFill>
                          <a:blip r:embed="rId21"/>
                          <a:stretch>
                            <a:fillRect/>
                          </a:stretch>
                        </pic:blipFill>
                        <pic:spPr>
                          <a:xfrm>
                            <a:off x="0" y="0"/>
                            <a:ext cx="1825625" cy="2434590"/>
                          </a:xfrm>
                          <a:prstGeom prst="rect">
                            <a:avLst/>
                          </a:prstGeom>
                          <a:noFill/>
                          <a:ln>
                            <a:noFill/>
                          </a:ln>
                        </pic:spPr>
                      </pic:pic>
                    </a:graphicData>
                  </a:graphic>
                </wp:inline>
              </w:drawing>
            </w:r>
          </w:p>
        </w:tc>
        <w:tc>
          <w:tcPr>
            <w:tcW w:w="3096" w:type="dxa"/>
            <w:noWrap w:val="0"/>
            <w:vAlign w:val="top"/>
          </w:tcPr>
          <w:p>
            <w:pPr>
              <w:rPr>
                <w:rFonts w:hint="eastAsia" w:ascii="宋体" w:hAnsi="宋体" w:cs="宋体"/>
              </w:rPr>
            </w:pPr>
            <w:r>
              <w:rPr>
                <w:rFonts w:hint="eastAsia" w:ascii="宋体" w:hAnsi="宋体" w:cs="宋体"/>
              </w:rPr>
              <w:drawing>
                <wp:inline distT="0" distB="0" distL="114300" distR="114300">
                  <wp:extent cx="1814195" cy="2418715"/>
                  <wp:effectExtent l="0" t="0" r="14605" b="635"/>
                  <wp:docPr id="12" name="图片 6" descr="D:\1苏代群\苏代群\诺力达\报告\法院\六盘水钟山区法院\龙城广场\照片\六盘水钟山区房屋照片\IMG_9535.JPGIMG_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D:\1苏代群\苏代群\诺力达\报告\法院\六盘水钟山区法院\龙城广场\照片\六盘水钟山区房屋照片\IMG_9535.JPGIMG_9535"/>
                          <pic:cNvPicPr>
                            <a:picLocks noChangeAspect="1"/>
                          </pic:cNvPicPr>
                        </pic:nvPicPr>
                        <pic:blipFill>
                          <a:blip r:embed="rId22"/>
                          <a:stretch>
                            <a:fillRect/>
                          </a:stretch>
                        </pic:blipFill>
                        <pic:spPr>
                          <a:xfrm>
                            <a:off x="0" y="0"/>
                            <a:ext cx="1814195" cy="24187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82" w:hRule="atLeast"/>
        </w:trPr>
        <w:tc>
          <w:tcPr>
            <w:tcW w:w="3192" w:type="dxa"/>
            <w:noWrap w:val="0"/>
            <w:vAlign w:val="center"/>
          </w:tcPr>
          <w:p>
            <w:pPr>
              <w:jc w:val="center"/>
              <w:rPr>
                <w:rFonts w:hint="eastAsia" w:ascii="宋体" w:hAnsi="宋体" w:cs="宋体"/>
              </w:rPr>
            </w:pPr>
            <w:r>
              <w:rPr>
                <w:rFonts w:hint="eastAsia" w:ascii="宋体" w:hAnsi="宋体" w:cs="宋体"/>
              </w:rPr>
              <w:t>楼幢外观</w:t>
            </w:r>
          </w:p>
        </w:tc>
        <w:tc>
          <w:tcPr>
            <w:tcW w:w="3000" w:type="dxa"/>
            <w:noWrap w:val="0"/>
            <w:vAlign w:val="center"/>
          </w:tcPr>
          <w:p>
            <w:pPr>
              <w:jc w:val="center"/>
              <w:rPr>
                <w:rFonts w:hint="eastAsia" w:ascii="宋体" w:hAnsi="宋体" w:eastAsia="宋体" w:cs="宋体"/>
                <w:lang w:eastAsia="zh-CN"/>
              </w:rPr>
            </w:pPr>
            <w:r>
              <w:rPr>
                <w:rFonts w:hint="eastAsia" w:ascii="宋体" w:hAnsi="宋体" w:cs="宋体"/>
                <w:lang w:eastAsia="zh-CN"/>
              </w:rPr>
              <w:t>单元入户门</w:t>
            </w:r>
          </w:p>
        </w:tc>
        <w:tc>
          <w:tcPr>
            <w:tcW w:w="3096" w:type="dxa"/>
            <w:noWrap w:val="0"/>
            <w:vAlign w:val="center"/>
          </w:tcPr>
          <w:p>
            <w:pPr>
              <w:jc w:val="center"/>
              <w:rPr>
                <w:rFonts w:hint="eastAsia" w:ascii="宋体" w:hAnsi="宋体" w:eastAsia="宋体" w:cs="宋体"/>
                <w:lang w:eastAsia="zh-CN"/>
              </w:rPr>
            </w:pPr>
            <w:r>
              <w:rPr>
                <w:rFonts w:hint="eastAsia" w:ascii="宋体" w:hAnsi="宋体" w:cs="宋体"/>
                <w:lang w:eastAsia="zh-CN"/>
              </w:rPr>
              <w:t>估价对象入户门</w:t>
            </w:r>
          </w:p>
        </w:tc>
      </w:tr>
      <w:tr>
        <w:tblPrEx>
          <w:tblCellMar>
            <w:top w:w="0" w:type="dxa"/>
            <w:left w:w="108" w:type="dxa"/>
            <w:bottom w:w="0" w:type="dxa"/>
            <w:right w:w="108" w:type="dxa"/>
          </w:tblCellMar>
        </w:tblPrEx>
        <w:trPr>
          <w:trHeight w:val="2203" w:hRule="atLeast"/>
        </w:trPr>
        <w:tc>
          <w:tcPr>
            <w:tcW w:w="3192" w:type="dxa"/>
            <w:noWrap w:val="0"/>
            <w:vAlign w:val="top"/>
          </w:tcPr>
          <w:p>
            <w:pPr>
              <w:rPr>
                <w:rFonts w:hint="eastAsia" w:ascii="宋体" w:hAnsi="宋体" w:cs="宋体"/>
              </w:rPr>
            </w:pPr>
            <w:r>
              <w:rPr>
                <w:rFonts w:hint="eastAsia" w:ascii="宋体" w:hAnsi="宋体" w:cs="宋体"/>
              </w:rPr>
              <w:drawing>
                <wp:inline distT="0" distB="0" distL="114300" distR="114300">
                  <wp:extent cx="1668780" cy="2225675"/>
                  <wp:effectExtent l="0" t="0" r="7620" b="3175"/>
                  <wp:docPr id="13" name="图片 7" descr="D:\1苏代群\苏代群\诺力达\报告\法院\六盘水钟山区法院\龙城广场\照片\六盘水钟山区房屋照片\IMG_9514.JPGIMG_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1苏代群\苏代群\诺力达\报告\法院\六盘水钟山区法院\龙城广场\照片\六盘水钟山区房屋照片\IMG_9514.JPGIMG_9514"/>
                          <pic:cNvPicPr>
                            <a:picLocks noChangeAspect="1"/>
                          </pic:cNvPicPr>
                        </pic:nvPicPr>
                        <pic:blipFill>
                          <a:blip r:embed="rId23"/>
                          <a:stretch>
                            <a:fillRect/>
                          </a:stretch>
                        </pic:blipFill>
                        <pic:spPr>
                          <a:xfrm>
                            <a:off x="0" y="0"/>
                            <a:ext cx="1668780" cy="2225675"/>
                          </a:xfrm>
                          <a:prstGeom prst="rect">
                            <a:avLst/>
                          </a:prstGeom>
                          <a:noFill/>
                          <a:ln>
                            <a:noFill/>
                          </a:ln>
                        </pic:spPr>
                      </pic:pic>
                    </a:graphicData>
                  </a:graphic>
                </wp:inline>
              </w:drawing>
            </w:r>
          </w:p>
        </w:tc>
        <w:tc>
          <w:tcPr>
            <w:tcW w:w="3000" w:type="dxa"/>
            <w:noWrap w:val="0"/>
            <w:vAlign w:val="top"/>
          </w:tcPr>
          <w:p>
            <w:pPr>
              <w:rPr>
                <w:rFonts w:hint="eastAsia" w:ascii="宋体" w:hAnsi="宋体" w:cs="宋体"/>
              </w:rPr>
            </w:pPr>
            <w:r>
              <w:rPr>
                <w:rFonts w:hint="eastAsia" w:ascii="宋体" w:hAnsi="宋体" w:cs="宋体"/>
              </w:rPr>
              <w:drawing>
                <wp:inline distT="0" distB="0" distL="114300" distR="114300">
                  <wp:extent cx="1702435" cy="2270125"/>
                  <wp:effectExtent l="0" t="0" r="12065" b="15875"/>
                  <wp:docPr id="14" name="图片 8" descr="D:\1苏代群\苏代群\诺力达\报告\法院\六盘水钟山区法院\龙城广场\照片\六盘水钟山区房屋照片\IMG_9517.JPGIMG_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D:\1苏代群\苏代群\诺力达\报告\法院\六盘水钟山区法院\龙城广场\照片\六盘水钟山区房屋照片\IMG_9517.JPGIMG_9517"/>
                          <pic:cNvPicPr>
                            <a:picLocks noChangeAspect="1"/>
                          </pic:cNvPicPr>
                        </pic:nvPicPr>
                        <pic:blipFill>
                          <a:blip r:embed="rId24"/>
                          <a:stretch>
                            <a:fillRect/>
                          </a:stretch>
                        </pic:blipFill>
                        <pic:spPr>
                          <a:xfrm>
                            <a:off x="0" y="0"/>
                            <a:ext cx="1702435" cy="2270125"/>
                          </a:xfrm>
                          <a:prstGeom prst="rect">
                            <a:avLst/>
                          </a:prstGeom>
                          <a:noFill/>
                          <a:ln>
                            <a:noFill/>
                          </a:ln>
                        </pic:spPr>
                      </pic:pic>
                    </a:graphicData>
                  </a:graphic>
                </wp:inline>
              </w:drawing>
            </w:r>
          </w:p>
        </w:tc>
        <w:tc>
          <w:tcPr>
            <w:tcW w:w="3096" w:type="dxa"/>
            <w:noWrap w:val="0"/>
            <w:vAlign w:val="top"/>
          </w:tcPr>
          <w:p>
            <w:pPr>
              <w:rPr>
                <w:rFonts w:hint="eastAsia" w:ascii="宋体" w:hAnsi="宋体" w:cs="宋体"/>
              </w:rPr>
            </w:pPr>
            <w:r>
              <w:rPr>
                <w:rFonts w:hint="eastAsia" w:ascii="宋体" w:hAnsi="宋体" w:cs="宋体"/>
              </w:rPr>
              <w:drawing>
                <wp:inline distT="0" distB="0" distL="114300" distR="114300">
                  <wp:extent cx="1672590" cy="2230755"/>
                  <wp:effectExtent l="0" t="0" r="3810" b="17145"/>
                  <wp:docPr id="15" name="图片 9" descr="D:\1苏代群\苏代群\诺力达\报告\法院\六盘水钟山区法院\龙城广场\照片\六盘水钟山区房屋照片\IMG_9525.JPGIMG_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D:\1苏代群\苏代群\诺力达\报告\法院\六盘水钟山区法院\龙城广场\照片\六盘水钟山区房屋照片\IMG_9525.JPGIMG_9525"/>
                          <pic:cNvPicPr>
                            <a:picLocks noChangeAspect="1"/>
                          </pic:cNvPicPr>
                        </pic:nvPicPr>
                        <pic:blipFill>
                          <a:blip r:embed="rId25"/>
                          <a:stretch>
                            <a:fillRect/>
                          </a:stretch>
                        </pic:blipFill>
                        <pic:spPr>
                          <a:xfrm>
                            <a:off x="0" y="0"/>
                            <a:ext cx="1672590" cy="22307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38" w:hRule="atLeast"/>
        </w:trPr>
        <w:tc>
          <w:tcPr>
            <w:tcW w:w="3192" w:type="dxa"/>
            <w:noWrap w:val="0"/>
            <w:vAlign w:val="center"/>
          </w:tcPr>
          <w:p>
            <w:pPr>
              <w:jc w:val="center"/>
              <w:rPr>
                <w:rFonts w:hint="eastAsia" w:ascii="宋体" w:hAnsi="宋体" w:eastAsia="宋体" w:cs="宋体"/>
                <w:lang w:eastAsia="zh-CN"/>
              </w:rPr>
            </w:pPr>
            <w:r>
              <w:rPr>
                <w:rFonts w:hint="eastAsia" w:ascii="宋体" w:hAnsi="宋体" w:cs="宋体"/>
                <w:lang w:eastAsia="zh-CN"/>
              </w:rPr>
              <w:t>估价对象室内</w:t>
            </w:r>
          </w:p>
        </w:tc>
        <w:tc>
          <w:tcPr>
            <w:tcW w:w="3000" w:type="dxa"/>
            <w:noWrap w:val="0"/>
            <w:vAlign w:val="center"/>
          </w:tcPr>
          <w:p>
            <w:pPr>
              <w:jc w:val="center"/>
              <w:rPr>
                <w:rFonts w:hint="eastAsia" w:ascii="宋体" w:hAnsi="宋体" w:eastAsia="宋体" w:cs="宋体"/>
                <w:lang w:eastAsia="zh-CN"/>
              </w:rPr>
            </w:pPr>
            <w:r>
              <w:rPr>
                <w:rFonts w:hint="eastAsia" w:ascii="宋体" w:hAnsi="宋体" w:cs="宋体"/>
                <w:lang w:eastAsia="zh-CN"/>
              </w:rPr>
              <w:t>估价对象室内</w:t>
            </w:r>
          </w:p>
        </w:tc>
        <w:tc>
          <w:tcPr>
            <w:tcW w:w="3096" w:type="dxa"/>
            <w:noWrap w:val="0"/>
            <w:vAlign w:val="center"/>
          </w:tcPr>
          <w:p>
            <w:pPr>
              <w:jc w:val="center"/>
              <w:rPr>
                <w:rFonts w:hint="eastAsia" w:ascii="宋体" w:hAnsi="宋体" w:eastAsia="宋体" w:cs="宋体"/>
                <w:lang w:eastAsia="zh-CN"/>
              </w:rPr>
            </w:pPr>
            <w:r>
              <w:rPr>
                <w:rFonts w:hint="eastAsia" w:ascii="宋体" w:hAnsi="宋体" w:cs="宋体"/>
                <w:lang w:eastAsia="zh-CN"/>
              </w:rPr>
              <w:t>估价对象室内</w:t>
            </w:r>
          </w:p>
        </w:tc>
      </w:tr>
      <w:tr>
        <w:tblPrEx>
          <w:tblCellMar>
            <w:top w:w="0" w:type="dxa"/>
            <w:left w:w="108" w:type="dxa"/>
            <w:bottom w:w="0" w:type="dxa"/>
            <w:right w:w="108" w:type="dxa"/>
          </w:tblCellMar>
        </w:tblPrEx>
        <w:trPr>
          <w:trHeight w:val="3924" w:hRule="atLeast"/>
        </w:trPr>
        <w:tc>
          <w:tcPr>
            <w:tcW w:w="3192" w:type="dxa"/>
            <w:noWrap w:val="0"/>
            <w:vAlign w:val="center"/>
          </w:tcPr>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1750060" cy="2333625"/>
                  <wp:effectExtent l="0" t="0" r="2540" b="9525"/>
                  <wp:docPr id="16" name="图片 10" descr="D:\1苏代群\苏代群\诺力达\报告\法院\六盘水钟山区法院\龙城广场\照片\六盘水钟山区房屋照片\IMG_9521.JPGIMG_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D:\1苏代群\苏代群\诺力达\报告\法院\六盘水钟山区法院\龙城广场\照片\六盘水钟山区房屋照片\IMG_9521.JPGIMG_9521"/>
                          <pic:cNvPicPr>
                            <a:picLocks noChangeAspect="1"/>
                          </pic:cNvPicPr>
                        </pic:nvPicPr>
                        <pic:blipFill>
                          <a:blip r:embed="rId26"/>
                          <a:stretch>
                            <a:fillRect/>
                          </a:stretch>
                        </pic:blipFill>
                        <pic:spPr>
                          <a:xfrm>
                            <a:off x="0" y="0"/>
                            <a:ext cx="1750060" cy="2333625"/>
                          </a:xfrm>
                          <a:prstGeom prst="rect">
                            <a:avLst/>
                          </a:prstGeom>
                          <a:noFill/>
                          <a:ln>
                            <a:noFill/>
                          </a:ln>
                        </pic:spPr>
                      </pic:pic>
                    </a:graphicData>
                  </a:graphic>
                </wp:inline>
              </w:drawing>
            </w:r>
          </w:p>
        </w:tc>
        <w:tc>
          <w:tcPr>
            <w:tcW w:w="3000" w:type="dxa"/>
            <w:noWrap w:val="0"/>
            <w:vAlign w:val="center"/>
          </w:tcPr>
          <w:p>
            <w:pPr>
              <w:jc w:val="center"/>
              <w:rPr>
                <w:rFonts w:hint="eastAsia" w:ascii="宋体" w:hAnsi="宋体" w:cs="宋体"/>
                <w:lang w:eastAsia="zh-CN"/>
              </w:rPr>
            </w:pPr>
            <w:r>
              <w:rPr>
                <w:rFonts w:hint="eastAsia" w:ascii="宋体" w:hAnsi="宋体" w:cs="宋体"/>
                <w:lang w:eastAsia="zh-CN"/>
              </w:rPr>
              <w:drawing>
                <wp:inline distT="0" distB="0" distL="114300" distR="114300">
                  <wp:extent cx="1740535" cy="2320925"/>
                  <wp:effectExtent l="0" t="0" r="12065" b="3175"/>
                  <wp:docPr id="17" name="图片 11" descr="D:\1苏代群\苏代群\诺力达\报告\法院\六盘水钟山区法院\龙城广场\照片\六盘水钟山区房屋照片\IMG_9534.JPGIMG_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D:\1苏代群\苏代群\诺力达\报告\法院\六盘水钟山区法院\龙城广场\照片\六盘水钟山区房屋照片\IMG_9534.JPGIMG_9534"/>
                          <pic:cNvPicPr>
                            <a:picLocks noChangeAspect="1"/>
                          </pic:cNvPicPr>
                        </pic:nvPicPr>
                        <pic:blipFill>
                          <a:blip r:embed="rId27"/>
                          <a:stretch>
                            <a:fillRect/>
                          </a:stretch>
                        </pic:blipFill>
                        <pic:spPr>
                          <a:xfrm>
                            <a:off x="0" y="0"/>
                            <a:ext cx="1740535" cy="2320925"/>
                          </a:xfrm>
                          <a:prstGeom prst="rect">
                            <a:avLst/>
                          </a:prstGeom>
                          <a:noFill/>
                          <a:ln>
                            <a:noFill/>
                          </a:ln>
                        </pic:spPr>
                      </pic:pic>
                    </a:graphicData>
                  </a:graphic>
                </wp:inline>
              </w:drawing>
            </w:r>
          </w:p>
        </w:tc>
        <w:tc>
          <w:tcPr>
            <w:tcW w:w="3096" w:type="dxa"/>
            <w:noWrap w:val="0"/>
            <w:vAlign w:val="center"/>
          </w:tcPr>
          <w:p>
            <w:pPr>
              <w:jc w:val="center"/>
              <w:rPr>
                <w:rFonts w:hint="eastAsia" w:ascii="宋体" w:hAnsi="宋体" w:cs="宋体"/>
                <w:lang w:eastAsia="zh-CN"/>
              </w:rPr>
            </w:pPr>
            <w:r>
              <w:rPr>
                <w:rFonts w:hint="eastAsia" w:ascii="宋体" w:hAnsi="宋体" w:cs="宋体"/>
                <w:lang w:eastAsia="zh-CN"/>
              </w:rPr>
              <w:drawing>
                <wp:inline distT="0" distB="0" distL="114300" distR="114300">
                  <wp:extent cx="1802765" cy="2404110"/>
                  <wp:effectExtent l="0" t="0" r="6985" b="15240"/>
                  <wp:docPr id="18" name="图片 12" descr="D:\1苏代群\苏代群\诺力达\报告\法院\六盘水钟山区法院\龙城广场\照片\六盘水钟山区房屋照片\IMG_9526.JPGIMG_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D:\1苏代群\苏代群\诺力达\报告\法院\六盘水钟山区法院\龙城广场\照片\六盘水钟山区房屋照片\IMG_9526.JPGIMG_9526"/>
                          <pic:cNvPicPr>
                            <a:picLocks noChangeAspect="1"/>
                          </pic:cNvPicPr>
                        </pic:nvPicPr>
                        <pic:blipFill>
                          <a:blip r:embed="rId28"/>
                          <a:stretch>
                            <a:fillRect/>
                          </a:stretch>
                        </pic:blipFill>
                        <pic:spPr>
                          <a:xfrm>
                            <a:off x="0" y="0"/>
                            <a:ext cx="1802765" cy="24041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15" w:hRule="atLeast"/>
        </w:trPr>
        <w:tc>
          <w:tcPr>
            <w:tcW w:w="3192" w:type="dxa"/>
            <w:noWrap w:val="0"/>
            <w:vAlign w:val="center"/>
          </w:tcPr>
          <w:p>
            <w:pPr>
              <w:jc w:val="center"/>
              <w:rPr>
                <w:rFonts w:hint="eastAsia" w:ascii="宋体" w:hAnsi="宋体" w:eastAsia="宋体" w:cs="宋体"/>
                <w:lang w:eastAsia="zh-CN"/>
              </w:rPr>
            </w:pPr>
            <w:r>
              <w:rPr>
                <w:rFonts w:hint="eastAsia" w:ascii="宋体" w:hAnsi="宋体" w:cs="宋体"/>
                <w:lang w:eastAsia="zh-CN"/>
              </w:rPr>
              <w:t>估价对象室内</w:t>
            </w:r>
          </w:p>
        </w:tc>
        <w:tc>
          <w:tcPr>
            <w:tcW w:w="3000" w:type="dxa"/>
            <w:noWrap w:val="0"/>
            <w:vAlign w:val="center"/>
          </w:tcPr>
          <w:p>
            <w:pPr>
              <w:jc w:val="center"/>
              <w:rPr>
                <w:rFonts w:hint="eastAsia" w:ascii="宋体" w:hAnsi="宋体" w:cs="宋体"/>
                <w:lang w:eastAsia="zh-CN"/>
              </w:rPr>
            </w:pPr>
            <w:r>
              <w:rPr>
                <w:rFonts w:hint="eastAsia" w:ascii="宋体" w:hAnsi="宋体" w:cs="宋体"/>
                <w:lang w:eastAsia="zh-CN"/>
              </w:rPr>
              <w:t>估价对象室内</w:t>
            </w:r>
          </w:p>
        </w:tc>
        <w:tc>
          <w:tcPr>
            <w:tcW w:w="3096" w:type="dxa"/>
            <w:noWrap w:val="0"/>
            <w:vAlign w:val="center"/>
          </w:tcPr>
          <w:p>
            <w:pPr>
              <w:jc w:val="center"/>
              <w:rPr>
                <w:rFonts w:hint="eastAsia" w:ascii="宋体" w:hAnsi="宋体" w:cs="宋体"/>
                <w:lang w:eastAsia="zh-CN"/>
              </w:rPr>
            </w:pPr>
            <w:r>
              <w:rPr>
                <w:rFonts w:hint="eastAsia" w:ascii="宋体" w:hAnsi="宋体" w:cs="宋体"/>
                <w:lang w:eastAsia="zh-CN"/>
              </w:rPr>
              <w:t>估价对象室内</w:t>
            </w:r>
          </w:p>
        </w:tc>
      </w:tr>
    </w:tbl>
    <w:p>
      <w:pPr>
        <w:pStyle w:val="3"/>
        <w:adjustRightInd w:val="0"/>
        <w:snapToGrid w:val="0"/>
        <w:spacing w:line="360" w:lineRule="auto"/>
        <w:rPr>
          <w:rFonts w:hint="eastAsia" w:ascii="仿宋" w:hAnsi="仿宋" w:eastAsia="仿宋"/>
          <w:sz w:val="28"/>
          <w:szCs w:val="28"/>
        </w:rPr>
      </w:pPr>
      <w:r>
        <w:rPr>
          <w:rFonts w:ascii="仿宋" w:hAnsi="仿宋" w:eastAsia="仿宋" w:cs="仿宋"/>
          <w:spacing w:val="-10"/>
          <w:sz w:val="28"/>
          <w:szCs w:val="28"/>
        </w:rPr>
        <w:br w:type="page"/>
      </w:r>
      <w:bookmarkStart w:id="146" w:name="_Toc453773341"/>
      <w:bookmarkStart w:id="147" w:name="_Toc453772958"/>
      <w:bookmarkStart w:id="148" w:name="_Toc9623"/>
      <w:r>
        <w:rPr>
          <w:rFonts w:hint="eastAsia" w:ascii="仿宋" w:hAnsi="仿宋" w:eastAsia="仿宋"/>
          <w:sz w:val="28"/>
          <w:szCs w:val="28"/>
          <w:lang w:eastAsia="zh-CN"/>
        </w:rPr>
        <w:t>四</w:t>
      </w:r>
      <w:r>
        <w:rPr>
          <w:rFonts w:hint="eastAsia" w:ascii="仿宋" w:hAnsi="仿宋" w:eastAsia="仿宋"/>
          <w:sz w:val="28"/>
          <w:szCs w:val="28"/>
        </w:rPr>
        <w:t>、估价对象权属证明复印件</w:t>
      </w:r>
      <w:bookmarkEnd w:id="146"/>
      <w:bookmarkEnd w:id="147"/>
      <w:bookmarkEnd w:id="148"/>
    </w:p>
    <w:p>
      <w:pPr>
        <w:jc w:val="center"/>
        <w:rPr>
          <w:rFonts w:hint="eastAsia"/>
        </w:rPr>
      </w:pPr>
      <w:r>
        <w:drawing>
          <wp:inline distT="0" distB="0" distL="114300" distR="114300">
            <wp:extent cx="5638800" cy="7934325"/>
            <wp:effectExtent l="0" t="0" r="0" b="952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9"/>
                    <a:stretch>
                      <a:fillRect/>
                    </a:stretch>
                  </pic:blipFill>
                  <pic:spPr>
                    <a:xfrm>
                      <a:off x="0" y="0"/>
                      <a:ext cx="5638800" cy="7934325"/>
                    </a:xfrm>
                    <a:prstGeom prst="rect">
                      <a:avLst/>
                    </a:prstGeom>
                    <a:noFill/>
                    <a:ln>
                      <a:noFill/>
                    </a:ln>
                  </pic:spPr>
                </pic:pic>
              </a:graphicData>
            </a:graphic>
          </wp:inline>
        </w:drawing>
      </w:r>
      <w:r>
        <w:drawing>
          <wp:inline distT="0" distB="0" distL="114300" distR="114300">
            <wp:extent cx="5686425" cy="8048625"/>
            <wp:effectExtent l="0" t="0" r="9525" b="952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0"/>
                    <a:stretch>
                      <a:fillRect/>
                    </a:stretch>
                  </pic:blipFill>
                  <pic:spPr>
                    <a:xfrm>
                      <a:off x="0" y="0"/>
                      <a:ext cx="5686425" cy="8048625"/>
                    </a:xfrm>
                    <a:prstGeom prst="rect">
                      <a:avLst/>
                    </a:prstGeom>
                    <a:noFill/>
                    <a:ln>
                      <a:noFill/>
                    </a:ln>
                  </pic:spPr>
                </pic:pic>
              </a:graphicData>
            </a:graphic>
          </wp:inline>
        </w:drawing>
      </w:r>
    </w:p>
    <w:p>
      <w:pPr>
        <w:jc w:val="center"/>
        <w:rPr>
          <w:rFonts w:hint="eastAsia"/>
        </w:rPr>
      </w:pPr>
    </w:p>
    <w:p>
      <w:pPr>
        <w:jc w:val="center"/>
        <w:rPr>
          <w:rFonts w:hint="eastAsia"/>
        </w:rPr>
      </w:pPr>
    </w:p>
    <w:p>
      <w:pPr>
        <w:jc w:val="center"/>
        <w:rPr>
          <w:rFonts w:hint="eastAsia"/>
        </w:rPr>
      </w:pPr>
    </w:p>
    <w:p>
      <w:pPr>
        <w:pStyle w:val="3"/>
        <w:rPr>
          <w:rFonts w:hint="eastAsia" w:ascii="仿宋" w:hAnsi="仿宋" w:eastAsia="仿宋" w:cs="仿宋"/>
          <w:sz w:val="28"/>
          <w:szCs w:val="28"/>
        </w:rPr>
      </w:pPr>
      <w:bookmarkStart w:id="149" w:name="_Toc453772960"/>
      <w:bookmarkStart w:id="150" w:name="_Toc453773342"/>
      <w:bookmarkStart w:id="151" w:name="_Toc453773343"/>
      <w:bookmarkStart w:id="152" w:name="_Toc7856"/>
      <w:r>
        <w:rPr>
          <w:rFonts w:hint="eastAsia" w:ascii="仿宋" w:hAnsi="仿宋" w:eastAsia="仿宋" w:cs="仿宋"/>
          <w:sz w:val="28"/>
          <w:szCs w:val="28"/>
        </w:rPr>
        <w:t>五、专业帮助情况和相关专业意见</w:t>
      </w:r>
      <w:bookmarkEnd w:id="149"/>
      <w:bookmarkEnd w:id="150"/>
      <w:bookmarkEnd w:id="151"/>
      <w:bookmarkEnd w:id="152"/>
    </w:p>
    <w:p>
      <w:pPr>
        <w:ind w:firstLine="560" w:firstLineChars="200"/>
        <w:rPr>
          <w:rFonts w:hint="eastAsia" w:ascii="仿宋" w:hAnsi="仿宋" w:eastAsia="仿宋" w:cs="仿宋"/>
          <w:sz w:val="28"/>
        </w:rPr>
      </w:pPr>
      <w:r>
        <w:rPr>
          <w:rFonts w:hint="eastAsia" w:ascii="仿宋" w:hAnsi="仿宋" w:eastAsia="仿宋" w:cs="仿宋"/>
          <w:sz w:val="28"/>
        </w:rPr>
        <w:t>本次估价没有人提供重要专业帮助。</w:t>
      </w:r>
    </w:p>
    <w:p>
      <w:pPr>
        <w:pStyle w:val="3"/>
        <w:rPr>
          <w:rFonts w:hint="eastAsia" w:ascii="仿宋" w:hAnsi="仿宋" w:eastAsia="仿宋" w:cs="仿宋"/>
          <w:sz w:val="28"/>
          <w:szCs w:val="28"/>
        </w:rPr>
      </w:pPr>
      <w:bookmarkStart w:id="153" w:name="_Toc453772961"/>
      <w:bookmarkStart w:id="154" w:name="_Toc453773344"/>
      <w:bookmarkStart w:id="155" w:name="_Toc14299"/>
      <w:r>
        <w:rPr>
          <w:rFonts w:hint="eastAsia" w:ascii="仿宋" w:hAnsi="仿宋" w:eastAsia="仿宋" w:cs="仿宋"/>
          <w:sz w:val="28"/>
          <w:szCs w:val="28"/>
        </w:rPr>
        <w:t>六、估价所依据的其他文件资料</w:t>
      </w:r>
      <w:bookmarkEnd w:id="153"/>
      <w:bookmarkEnd w:id="154"/>
      <w:bookmarkEnd w:id="155"/>
    </w:p>
    <w:p>
      <w:pPr>
        <w:ind w:firstLine="420" w:firstLineChars="200"/>
        <w:jc w:val="both"/>
        <w:rPr>
          <w:rFonts w:hint="eastAsia" w:ascii="仿宋" w:hAnsi="仿宋" w:eastAsia="仿宋" w:cs="仿宋"/>
          <w:sz w:val="28"/>
        </w:rPr>
      </w:pPr>
      <w:r>
        <w:drawing>
          <wp:inline distT="0" distB="0" distL="114300" distR="114300">
            <wp:extent cx="5471795" cy="7573010"/>
            <wp:effectExtent l="0" t="0" r="14605" b="889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1"/>
                    <a:stretch>
                      <a:fillRect/>
                    </a:stretch>
                  </pic:blipFill>
                  <pic:spPr>
                    <a:xfrm>
                      <a:off x="0" y="0"/>
                      <a:ext cx="5471795" cy="7573010"/>
                    </a:xfrm>
                    <a:prstGeom prst="rect">
                      <a:avLst/>
                    </a:prstGeom>
                    <a:noFill/>
                    <a:ln>
                      <a:noFill/>
                    </a:ln>
                  </pic:spPr>
                </pic:pic>
              </a:graphicData>
            </a:graphic>
          </wp:inline>
        </w:drawing>
      </w:r>
    </w:p>
    <w:p>
      <w:pPr>
        <w:ind w:firstLine="560" w:firstLineChars="200"/>
        <w:rPr>
          <w:rFonts w:hint="eastAsia" w:ascii="仿宋" w:hAnsi="仿宋" w:eastAsia="仿宋" w:cs="仿宋"/>
          <w:sz w:val="28"/>
        </w:rPr>
      </w:pPr>
    </w:p>
    <w:p>
      <w:pPr>
        <w:rPr>
          <w:rStyle w:val="14"/>
          <w:rFonts w:hint="eastAsia"/>
        </w:rPr>
      </w:pPr>
      <w:bookmarkStart w:id="156" w:name="_Toc15400"/>
      <w:bookmarkStart w:id="157" w:name="_Toc453772962"/>
      <w:bookmarkStart w:id="158" w:name="_Toc453773345"/>
      <w:r>
        <w:rPr>
          <w:rStyle w:val="14"/>
          <w:rFonts w:hint="eastAsia" w:ascii="仿宋" w:hAnsi="仿宋" w:eastAsia="仿宋" w:cs="仿宋"/>
          <w:sz w:val="28"/>
          <w:szCs w:val="28"/>
        </w:rPr>
        <w:t>七、房地产估价机构营业执照和估价资质证书复印件</w:t>
      </w:r>
    </w:p>
    <w:bookmarkEnd w:id="156"/>
    <w:p>
      <w:pPr>
        <w:ind w:firstLine="562" w:firstLineChars="200"/>
        <w:rPr>
          <w:rFonts w:hint="eastAsia" w:ascii="仿宋" w:hAnsi="仿宋" w:eastAsia="仿宋"/>
          <w:szCs w:val="28"/>
        </w:rPr>
      </w:pPr>
      <w:r>
        <w:rPr>
          <w:rFonts w:hint="eastAsia" w:ascii="仿宋" w:hAnsi="仿宋" w:eastAsia="仿宋"/>
          <w:b/>
          <w:bCs/>
          <w:sz w:val="28"/>
          <w:szCs w:val="28"/>
        </w:rPr>
        <w:drawing>
          <wp:anchor distT="0" distB="0" distL="114300" distR="114300" simplePos="0" relativeHeight="251661312" behindDoc="0" locked="0" layoutInCell="1" allowOverlap="1">
            <wp:simplePos x="0" y="0"/>
            <wp:positionH relativeFrom="column">
              <wp:posOffset>-81915</wp:posOffset>
            </wp:positionH>
            <wp:positionV relativeFrom="paragraph">
              <wp:posOffset>229870</wp:posOffset>
            </wp:positionV>
            <wp:extent cx="5381625" cy="7620000"/>
            <wp:effectExtent l="0" t="0" r="9525" b="0"/>
            <wp:wrapTopAndBottom/>
            <wp:docPr id="22" name="图片 5" descr="诺力达总公司营业执照（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诺力达总公司营业执照（副）"/>
                    <pic:cNvPicPr>
                      <a:picLocks noChangeAspect="1"/>
                    </pic:cNvPicPr>
                  </pic:nvPicPr>
                  <pic:blipFill>
                    <a:blip r:embed="rId32"/>
                    <a:stretch>
                      <a:fillRect/>
                    </a:stretch>
                  </pic:blipFill>
                  <pic:spPr>
                    <a:xfrm>
                      <a:off x="0" y="0"/>
                      <a:ext cx="5381625" cy="7620000"/>
                    </a:xfrm>
                    <a:prstGeom prst="rect">
                      <a:avLst/>
                    </a:prstGeom>
                    <a:noFill/>
                    <a:ln>
                      <a:noFill/>
                    </a:ln>
                  </pic:spPr>
                </pic:pic>
              </a:graphicData>
            </a:graphic>
          </wp:anchor>
        </w:drawing>
      </w:r>
      <w:r>
        <w:rPr>
          <w:rStyle w:val="14"/>
          <w:rFonts w:hint="eastAsia" w:ascii="仿宋" w:hAnsi="仿宋" w:eastAsia="仿宋" w:cs="仿宋"/>
          <w:sz w:val="28"/>
          <w:szCs w:val="28"/>
        </w:rPr>
        <w:br w:type="page"/>
      </w:r>
      <w:bookmarkEnd w:id="157"/>
      <w:bookmarkEnd w:id="158"/>
      <w:r>
        <w:rPr>
          <w:rFonts w:ascii="仿宋" w:hAnsi="仿宋" w:eastAsia="仿宋"/>
          <w:szCs w:val="28"/>
        </w:rPr>
        <w:drawing>
          <wp:anchor distT="0" distB="0" distL="114300" distR="114300" simplePos="0" relativeHeight="251662336" behindDoc="0" locked="0" layoutInCell="1" allowOverlap="1">
            <wp:simplePos x="0" y="0"/>
            <wp:positionH relativeFrom="column">
              <wp:posOffset>6985</wp:posOffset>
            </wp:positionH>
            <wp:positionV relativeFrom="paragraph">
              <wp:posOffset>252730</wp:posOffset>
            </wp:positionV>
            <wp:extent cx="5808980" cy="8292465"/>
            <wp:effectExtent l="0" t="0" r="1270" b="13335"/>
            <wp:wrapTopAndBottom/>
            <wp:docPr id="23" name="图片 6" descr="诺力达壹级资质备案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诺力达壹级资质备案证书1"/>
                    <pic:cNvPicPr>
                      <a:picLocks noChangeAspect="1"/>
                    </pic:cNvPicPr>
                  </pic:nvPicPr>
                  <pic:blipFill>
                    <a:blip r:embed="rId33"/>
                    <a:stretch>
                      <a:fillRect/>
                    </a:stretch>
                  </pic:blipFill>
                  <pic:spPr>
                    <a:xfrm>
                      <a:off x="0" y="0"/>
                      <a:ext cx="5808980" cy="8292465"/>
                    </a:xfrm>
                    <a:prstGeom prst="rect">
                      <a:avLst/>
                    </a:prstGeom>
                    <a:noFill/>
                    <a:ln>
                      <a:noFill/>
                    </a:ln>
                  </pic:spPr>
                </pic:pic>
              </a:graphicData>
            </a:graphic>
          </wp:anchor>
        </w:drawing>
      </w:r>
      <w:r>
        <w:rPr>
          <w:rFonts w:ascii="仿宋" w:hAnsi="仿宋" w:eastAsia="仿宋"/>
          <w:szCs w:val="28"/>
        </w:rPr>
        <w:br w:type="page"/>
      </w:r>
      <w:bookmarkStart w:id="159" w:name="_Toc453772963"/>
      <w:bookmarkStart w:id="160" w:name="_Toc453773346"/>
      <w:bookmarkStart w:id="161" w:name="_Toc26692"/>
      <w:r>
        <w:rPr>
          <w:rStyle w:val="14"/>
          <w:rFonts w:hint="eastAsia" w:ascii="仿宋" w:hAnsi="仿宋" w:eastAsia="仿宋" w:cs="仿宋"/>
          <w:sz w:val="28"/>
          <w:szCs w:val="28"/>
        </w:rPr>
        <w:t>八、注册房地产估价师资格证书复印件</w:t>
      </w:r>
      <w:bookmarkEnd w:id="159"/>
      <w:bookmarkEnd w:id="160"/>
      <w:bookmarkEnd w:id="161"/>
    </w:p>
    <w:p>
      <w:pPr>
        <w:rPr>
          <w:rFonts w:hint="eastAsia" w:eastAsia="仿宋"/>
          <w:kern w:val="0"/>
          <w:sz w:val="20"/>
          <w:szCs w:val="20"/>
        </w:rPr>
      </w:pPr>
      <w:r>
        <w:rPr>
          <w:rFonts w:hint="eastAsia" w:eastAsia="仿宋"/>
          <w:kern w:val="0"/>
          <w:sz w:val="20"/>
          <w:szCs w:val="20"/>
        </w:rPr>
        <w:drawing>
          <wp:anchor distT="0" distB="0" distL="114300" distR="114300" simplePos="0" relativeHeight="251663360" behindDoc="0" locked="0" layoutInCell="1" allowOverlap="1">
            <wp:simplePos x="0" y="0"/>
            <wp:positionH relativeFrom="column">
              <wp:posOffset>231140</wp:posOffset>
            </wp:positionH>
            <wp:positionV relativeFrom="paragraph">
              <wp:posOffset>23495</wp:posOffset>
            </wp:positionV>
            <wp:extent cx="5222875" cy="7367270"/>
            <wp:effectExtent l="0" t="0" r="15875" b="5080"/>
            <wp:wrapTopAndBottom/>
            <wp:docPr id="24" name="图片 7" descr="韩朝钦估价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韩朝钦估价师证"/>
                    <pic:cNvPicPr>
                      <a:picLocks noChangeAspect="1"/>
                    </pic:cNvPicPr>
                  </pic:nvPicPr>
                  <pic:blipFill>
                    <a:blip r:embed="rId34"/>
                    <a:stretch>
                      <a:fillRect/>
                    </a:stretch>
                  </pic:blipFill>
                  <pic:spPr>
                    <a:xfrm>
                      <a:off x="0" y="0"/>
                      <a:ext cx="5222875" cy="7367270"/>
                    </a:xfrm>
                    <a:prstGeom prst="rect">
                      <a:avLst/>
                    </a:prstGeom>
                    <a:noFill/>
                    <a:ln>
                      <a:noFill/>
                    </a:ln>
                  </pic:spPr>
                </pic:pic>
              </a:graphicData>
            </a:graphic>
          </wp:anchor>
        </w:drawing>
      </w:r>
    </w:p>
    <w:p>
      <w:pPr>
        <w:rPr>
          <w:rFonts w:hint="eastAsia" w:eastAsia="仿宋"/>
          <w:kern w:val="0"/>
          <w:sz w:val="20"/>
          <w:szCs w:val="20"/>
        </w:rPr>
      </w:pPr>
    </w:p>
    <w:p>
      <w:pPr>
        <w:rPr>
          <w:rFonts w:hint="eastAsia" w:eastAsia="仿宋"/>
          <w:kern w:val="0"/>
          <w:sz w:val="20"/>
          <w:szCs w:val="20"/>
        </w:rPr>
      </w:pPr>
    </w:p>
    <w:p>
      <w:pPr>
        <w:rPr>
          <w:rFonts w:hint="eastAsia" w:eastAsia="仿宋"/>
          <w:kern w:val="0"/>
          <w:sz w:val="20"/>
          <w:szCs w:val="20"/>
        </w:rPr>
      </w:pPr>
    </w:p>
    <w:p>
      <w:pPr>
        <w:rPr>
          <w:rFonts w:hint="eastAsia" w:eastAsia="仿宋"/>
          <w:kern w:val="0"/>
          <w:sz w:val="20"/>
          <w:szCs w:val="20"/>
        </w:rPr>
      </w:pPr>
    </w:p>
    <w:p>
      <w:pPr>
        <w:rPr>
          <w:rFonts w:hint="eastAsia" w:eastAsia="仿宋"/>
          <w:kern w:val="0"/>
          <w:sz w:val="20"/>
          <w:szCs w:val="20"/>
        </w:rPr>
      </w:pPr>
    </w:p>
    <w:p>
      <w:pPr>
        <w:rPr>
          <w:rFonts w:hint="eastAsia" w:eastAsia="仿宋"/>
          <w:kern w:val="0"/>
          <w:sz w:val="20"/>
          <w:szCs w:val="20"/>
        </w:rPr>
      </w:pPr>
      <w:r>
        <w:rPr>
          <w:rFonts w:hint="eastAsia" w:eastAsia="宋体"/>
          <w:lang w:eastAsia="zh-CN"/>
        </w:rPr>
        <w:drawing>
          <wp:inline distT="0" distB="0" distL="114300" distR="114300">
            <wp:extent cx="5269865" cy="7633335"/>
            <wp:effectExtent l="0" t="0" r="6985" b="5715"/>
            <wp:docPr id="25" name="图片 16" descr="f6b01d525d1712673671d2bc1b7a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f6b01d525d1712673671d2bc1b7a039"/>
                    <pic:cNvPicPr>
                      <a:picLocks noChangeAspect="1"/>
                    </pic:cNvPicPr>
                  </pic:nvPicPr>
                  <pic:blipFill>
                    <a:blip r:embed="rId35"/>
                    <a:stretch>
                      <a:fillRect/>
                    </a:stretch>
                  </pic:blipFill>
                  <pic:spPr>
                    <a:xfrm>
                      <a:off x="0" y="0"/>
                      <a:ext cx="5269865" cy="763333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Fonts w:eastAsia="宋体"/>
      </w:rPr>
    </w:pPr>
    <w:r>
      <w:fldChar w:fldCharType="begin"/>
    </w:r>
    <w:r>
      <w:rPr>
        <w:rStyle w:val="11"/>
        <w:rFonts w:eastAsia="宋体"/>
      </w:rPr>
      <w:instrText xml:space="preserve">PAGE  </w:instrText>
    </w:r>
    <w:r>
      <w:fldChar w:fldCharType="end"/>
    </w:r>
  </w:p>
  <w:p>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rPr>
        <w:rFonts w:hint="eastAsia" w:ascii="楷体" w:hAnsi="楷体" w:eastAsia="楷体" w:cs="Arial"/>
        <w:sz w:val="21"/>
        <w:szCs w:val="21"/>
      </w:rPr>
    </w:pPr>
    <w:r>
      <w:rPr>
        <w:rFonts w:ascii="楷体" w:hAnsi="楷体" w:eastAsia="楷体"/>
        <w:b/>
        <w:color w:val="000000"/>
        <w:sz w:val="21"/>
        <w:szCs w:val="21"/>
      </w:rPr>
      <mc:AlternateContent>
        <mc:Choice Requires="wps">
          <w:drawing>
            <wp:anchor distT="0" distB="0" distL="114300" distR="114300" simplePos="0" relativeHeight="251658240" behindDoc="0" locked="0" layoutInCell="1" allowOverlap="1">
              <wp:simplePos x="0" y="0"/>
              <wp:positionH relativeFrom="column">
                <wp:posOffset>-20320</wp:posOffset>
              </wp:positionH>
              <wp:positionV relativeFrom="paragraph">
                <wp:posOffset>-15240</wp:posOffset>
              </wp:positionV>
              <wp:extent cx="5979795" cy="1905"/>
              <wp:effectExtent l="0" t="0" r="0" b="0"/>
              <wp:wrapNone/>
              <wp:docPr id="1" name="直接连接符 1"/>
              <wp:cNvGraphicFramePr/>
              <a:graphic xmlns:a="http://schemas.openxmlformats.org/drawingml/2006/main">
                <a:graphicData uri="http://schemas.microsoft.com/office/word/2010/wordprocessingShape">
                  <wps:wsp>
                    <wps:cNvSpPr/>
                    <wps:spPr>
                      <a:xfrm flipV="1">
                        <a:off x="0" y="0"/>
                        <a:ext cx="5979795"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6pt;margin-top:-1.2pt;height:0.15pt;width:470.85pt;z-index:251658240;mso-width-relative:page;mso-height-relative:page;" filled="f" stroked="t" coordsize="21600,21600" o:gfxdata="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sket7XAAAACAEAAA8A&#10;AAAAAAAAAQAgAAAAIgAAAGRycy9kb3ducmV2LnhtbFBLAQIUABQAAAAIAIdO4kBlcFke3wEAAKMD&#10;AAAOAAAAAAAAAAEAIAAAACYBAABkcnMvZTJvRG9jLnhtbFBLBQYAAAAABgAGAFkBAAB3BQAAAAA=&#10;">
              <v:fill on="f" focussize="0,0"/>
              <v:stroke color="#000000" joinstyle="round"/>
              <v:imagedata o:title=""/>
              <o:lock v:ext="edit" aspectratio="f"/>
            </v:line>
          </w:pict>
        </mc:Fallback>
      </mc:AlternateContent>
    </w:r>
    <w:r>
      <w:rPr>
        <w:rFonts w:hint="eastAsia" w:ascii="楷体" w:hAnsi="楷体" w:eastAsia="楷体" w:cs="Arial"/>
        <w:sz w:val="21"/>
        <w:szCs w:val="21"/>
      </w:rPr>
      <w:t>四川诺力达资产评估房地产土地估价有限公司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rPr>
        <w:rFonts w:hint="eastAsia" w:ascii="楷体" w:hAnsi="楷体" w:eastAsia="楷体" w:cs="Arial"/>
        <w:sz w:val="21"/>
        <w:szCs w:val="21"/>
      </w:rPr>
    </w:pPr>
    <w:r>
      <w:rPr>
        <w:rFonts w:ascii="楷体" w:hAnsi="楷体" w:eastAsia="楷体"/>
        <w:b/>
        <w:color w:val="000000"/>
        <w:sz w:val="21"/>
        <w:szCs w:val="21"/>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-15240</wp:posOffset>
              </wp:positionV>
              <wp:extent cx="5979795" cy="1905"/>
              <wp:effectExtent l="0" t="0" r="0" b="0"/>
              <wp:wrapNone/>
              <wp:docPr id="2" name="直接连接符 2"/>
              <wp:cNvGraphicFramePr/>
              <a:graphic xmlns:a="http://schemas.openxmlformats.org/drawingml/2006/main">
                <a:graphicData uri="http://schemas.microsoft.com/office/word/2010/wordprocessingShape">
                  <wps:wsp>
                    <wps:cNvSpPr/>
                    <wps:spPr>
                      <a:xfrm flipV="1">
                        <a:off x="0" y="0"/>
                        <a:ext cx="5979795"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6pt;margin-top:-1.2pt;height:0.15pt;width:470.85pt;z-index:251660288;mso-width-relative:page;mso-height-relative:page;" filled="f" stroked="t" coordsize="21600,21600" o:gfxdata="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LJHre1wAAAAgBAAAP&#10;AAAAAAAAAAEAIAAAACIAAABkcnMvZG93bnJldi54bWxQSwECFAAUAAAACACHTuJAQRHm2eABAACj&#10;AwAADgAAAAAAAAABACAAAAAmAQAAZHJzL2Uyb0RvYy54bWxQSwUGAAAAAAYABgBZAQAAeAUAAAAA&#10;">
              <v:fill on="f" focussize="0,0"/>
              <v:stroke color="#000000" joinstyle="round"/>
              <v:imagedata o:title=""/>
              <o:lock v:ext="edit" aspectratio="f"/>
            </v:line>
          </w:pict>
        </mc:Fallback>
      </mc:AlternateContent>
    </w:r>
    <w:r>
      <w:rPr>
        <w:rFonts w:ascii="楷体" w:hAnsi="楷体" w:eastAsia="楷体"/>
        <w:sz w:val="21"/>
        <w:szCs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Style w:val="11"/>
                              <w:rFonts w:hint="eastAsia" w:ascii="楷体" w:hAnsi="楷体" w:eastAsia="楷体"/>
                              <w:sz w:val="21"/>
                              <w:szCs w:val="21"/>
                              <w:lang w:eastAsia="zh-CN"/>
                            </w:rPr>
                          </w:pPr>
                          <w:r>
                            <w:rPr>
                              <w:rStyle w:val="11"/>
                              <w:rFonts w:hint="eastAsia" w:ascii="楷体" w:hAnsi="楷体" w:eastAsia="楷体"/>
                              <w:sz w:val="21"/>
                              <w:szCs w:val="21"/>
                              <w:lang w:eastAsia="zh-CN"/>
                            </w:rPr>
                            <w:t xml:space="preserve">第 </w:t>
                          </w:r>
                          <w:r>
                            <w:rPr>
                              <w:rFonts w:hint="eastAsia" w:ascii="楷体" w:hAnsi="楷体" w:eastAsia="楷体"/>
                              <w:sz w:val="21"/>
                              <w:szCs w:val="21"/>
                            </w:rPr>
                            <w:fldChar w:fldCharType="begin"/>
                          </w:r>
                          <w:r>
                            <w:rPr>
                              <w:rStyle w:val="11"/>
                              <w:rFonts w:hint="eastAsia" w:ascii="楷体" w:hAnsi="楷体" w:eastAsia="楷体"/>
                              <w:sz w:val="21"/>
                              <w:szCs w:val="21"/>
                              <w:lang w:eastAsia="zh-CN"/>
                            </w:rPr>
                            <w:instrText xml:space="preserve"> PAGE  \* MERGEFORMAT </w:instrText>
                          </w:r>
                          <w:r>
                            <w:rPr>
                              <w:rFonts w:hint="eastAsia" w:ascii="楷体" w:hAnsi="楷体" w:eastAsia="楷体"/>
                              <w:sz w:val="21"/>
                              <w:szCs w:val="21"/>
                            </w:rPr>
                            <w:fldChar w:fldCharType="separate"/>
                          </w:r>
                          <w:r>
                            <w:rPr>
                              <w:rFonts w:eastAsia="楷体"/>
                              <w:sz w:val="20"/>
                              <w:szCs w:val="20"/>
                            </w:rPr>
                            <w:t>1</w:t>
                          </w:r>
                          <w:r>
                            <w:rPr>
                              <w:rFonts w:hint="eastAsia" w:ascii="楷体" w:hAnsi="楷体" w:eastAsia="楷体"/>
                              <w:sz w:val="21"/>
                              <w:szCs w:val="21"/>
                            </w:rPr>
                            <w:fldChar w:fldCharType="end"/>
                          </w:r>
                          <w:r>
                            <w:rPr>
                              <w:rStyle w:val="11"/>
                              <w:rFonts w:hint="eastAsia" w:ascii="楷体" w:hAnsi="楷体" w:eastAsia="楷体"/>
                              <w:sz w:val="21"/>
                              <w:szCs w:val="21"/>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qKiq4BAABLAwAADgAAAGRycy9lMm9Eb2MueG1srVPNThsxEL5X4h0s&#10;34mXI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qoqKrgEAAEsD&#10;AAAOAAAAAAAAAAEAIAAAAB4BAABkcnMvZTJvRG9jLnhtbFBLBQYAAAAABgAGAFkBAAA+BQAAAAA=&#10;">
              <v:fill on="f" focussize="0,0"/>
              <v:stroke on="f"/>
              <v:imagedata o:title=""/>
              <o:lock v:ext="edit" aspectratio="f"/>
              <v:textbox inset="0mm,0mm,0mm,0mm" style="mso-fit-shape-to-text:t;">
                <w:txbxContent>
                  <w:p>
                    <w:pPr>
                      <w:pStyle w:val="5"/>
                      <w:rPr>
                        <w:rStyle w:val="11"/>
                        <w:rFonts w:hint="eastAsia" w:ascii="楷体" w:hAnsi="楷体" w:eastAsia="楷体"/>
                        <w:sz w:val="21"/>
                        <w:szCs w:val="21"/>
                        <w:lang w:eastAsia="zh-CN"/>
                      </w:rPr>
                    </w:pPr>
                    <w:r>
                      <w:rPr>
                        <w:rStyle w:val="11"/>
                        <w:rFonts w:hint="eastAsia" w:ascii="楷体" w:hAnsi="楷体" w:eastAsia="楷体"/>
                        <w:sz w:val="21"/>
                        <w:szCs w:val="21"/>
                        <w:lang w:eastAsia="zh-CN"/>
                      </w:rPr>
                      <w:t xml:space="preserve">第 </w:t>
                    </w:r>
                    <w:r>
                      <w:rPr>
                        <w:rFonts w:hint="eastAsia" w:ascii="楷体" w:hAnsi="楷体" w:eastAsia="楷体"/>
                        <w:sz w:val="21"/>
                        <w:szCs w:val="21"/>
                      </w:rPr>
                      <w:fldChar w:fldCharType="begin"/>
                    </w:r>
                    <w:r>
                      <w:rPr>
                        <w:rStyle w:val="11"/>
                        <w:rFonts w:hint="eastAsia" w:ascii="楷体" w:hAnsi="楷体" w:eastAsia="楷体"/>
                        <w:sz w:val="21"/>
                        <w:szCs w:val="21"/>
                        <w:lang w:eastAsia="zh-CN"/>
                      </w:rPr>
                      <w:instrText xml:space="preserve"> PAGE  \* MERGEFORMAT </w:instrText>
                    </w:r>
                    <w:r>
                      <w:rPr>
                        <w:rFonts w:hint="eastAsia" w:ascii="楷体" w:hAnsi="楷体" w:eastAsia="楷体"/>
                        <w:sz w:val="21"/>
                        <w:szCs w:val="21"/>
                      </w:rPr>
                      <w:fldChar w:fldCharType="separate"/>
                    </w:r>
                    <w:r>
                      <w:rPr>
                        <w:rFonts w:eastAsia="楷体"/>
                        <w:sz w:val="20"/>
                        <w:szCs w:val="20"/>
                      </w:rPr>
                      <w:t>1</w:t>
                    </w:r>
                    <w:r>
                      <w:rPr>
                        <w:rFonts w:hint="eastAsia" w:ascii="楷体" w:hAnsi="楷体" w:eastAsia="楷体"/>
                        <w:sz w:val="21"/>
                        <w:szCs w:val="21"/>
                      </w:rPr>
                      <w:fldChar w:fldCharType="end"/>
                    </w:r>
                    <w:r>
                      <w:rPr>
                        <w:rStyle w:val="11"/>
                        <w:rFonts w:hint="eastAsia" w:ascii="楷体" w:hAnsi="楷体" w:eastAsia="楷体"/>
                        <w:sz w:val="21"/>
                        <w:szCs w:val="21"/>
                        <w:lang w:eastAsia="zh-CN"/>
                      </w:rPr>
                      <w:t xml:space="preserve"> 页</w:t>
                    </w:r>
                  </w:p>
                </w:txbxContent>
              </v:textbox>
            </v:shape>
          </w:pict>
        </mc:Fallback>
      </mc:AlternateContent>
    </w:r>
    <w:r>
      <w:rPr>
        <w:rFonts w:hint="eastAsia" w:ascii="楷体" w:hAnsi="楷体" w:eastAsia="楷体" w:cs="Arial"/>
        <w:sz w:val="21"/>
        <w:szCs w:val="21"/>
      </w:rPr>
      <w:t>四川诺力达资产评估房地产土地估价有限公司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48"/>
      </w:tabs>
      <w:jc w:val="both"/>
      <w:rPr>
        <w:rFonts w:ascii="楷体" w:hAnsi="楷体" w:eastAsia="楷体"/>
        <w:sz w:val="21"/>
        <w:szCs w:val="21"/>
      </w:rPr>
    </w:pPr>
    <w:r>
      <w:rPr>
        <w:rFonts w:hint="eastAsia" w:ascii="楷体" w:hAnsi="楷体" w:eastAsia="楷体" w:cs="Arial"/>
        <w:sz w:val="21"/>
        <w:szCs w:val="21"/>
      </w:rPr>
      <w:t xml:space="preserve">房地产估价报告 </w:t>
    </w:r>
    <w:r>
      <w:rPr>
        <w:rFonts w:hint="eastAsia" w:ascii="楷体" w:hAnsi="楷体" w:eastAsia="楷体"/>
        <w:i/>
        <w:sz w:val="21"/>
        <w:szCs w:val="21"/>
      </w:rPr>
      <w:t xml:space="preserve">                                                            </w:t>
    </w:r>
    <w:r>
      <w:rPr>
        <w:rFonts w:hint="eastAsia" w:ascii="楷体" w:hAnsi="楷体" w:eastAsia="楷体"/>
        <w:iCs/>
        <w:sz w:val="21"/>
        <w:szCs w:val="21"/>
      </w:rPr>
      <w:t>致估价委托人函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48"/>
      </w:tabs>
      <w:jc w:val="both"/>
      <w:rPr>
        <w:rFonts w:hint="eastAsia" w:ascii="楷体" w:hAnsi="楷体" w:eastAsia="楷体"/>
        <w:i/>
        <w:sz w:val="21"/>
        <w:szCs w:val="21"/>
      </w:rPr>
    </w:pPr>
    <w:r>
      <w:rPr>
        <w:rFonts w:hint="eastAsia" w:ascii="楷体" w:hAnsi="楷体" w:eastAsia="楷体" w:cs="Arial"/>
        <w:sz w:val="21"/>
        <w:szCs w:val="21"/>
      </w:rPr>
      <w:t xml:space="preserve">房地产估价报告 </w:t>
    </w:r>
    <w:r>
      <w:rPr>
        <w:rFonts w:hint="eastAsia" w:ascii="楷体" w:hAnsi="楷体" w:eastAsia="楷体"/>
        <w:i/>
        <w:sz w:val="21"/>
        <w:szCs w:val="21"/>
      </w:rPr>
      <w:t xml:space="preserve">                                                                </w:t>
    </w:r>
    <w:r>
      <w:rPr>
        <w:rFonts w:hint="eastAsia" w:ascii="楷体" w:hAnsi="楷体" w:eastAsia="楷体"/>
        <w:iCs/>
        <w:sz w:val="21"/>
        <w:szCs w:val="21"/>
      </w:rPr>
      <w:t>估价师声明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48"/>
      </w:tabs>
      <w:jc w:val="both"/>
      <w:rPr>
        <w:rFonts w:hint="eastAsia" w:ascii="楷体" w:hAnsi="楷体" w:eastAsia="楷体"/>
        <w:i/>
        <w:sz w:val="21"/>
        <w:szCs w:val="21"/>
      </w:rPr>
    </w:pPr>
    <w:r>
      <w:rPr>
        <w:rFonts w:hint="eastAsia" w:ascii="楷体" w:hAnsi="楷体" w:eastAsia="楷体" w:cs="Arial"/>
        <w:sz w:val="21"/>
        <w:szCs w:val="21"/>
      </w:rPr>
      <w:t xml:space="preserve">房地产估价报告 </w:t>
    </w:r>
    <w:r>
      <w:rPr>
        <w:rFonts w:hint="eastAsia" w:ascii="楷体" w:hAnsi="楷体" w:eastAsia="楷体"/>
        <w:i/>
        <w:sz w:val="21"/>
        <w:szCs w:val="21"/>
      </w:rPr>
      <w:t xml:space="preserve">                                         </w:t>
    </w:r>
    <w:r>
      <w:rPr>
        <w:rFonts w:hint="eastAsia" w:ascii="楷体" w:hAnsi="楷体" w:eastAsia="楷体"/>
        <w:iCs/>
        <w:sz w:val="21"/>
        <w:szCs w:val="21"/>
      </w:rPr>
      <w:t>估价假设和限制条件及使用报告说明</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48"/>
      </w:tabs>
      <w:jc w:val="both"/>
      <w:rPr>
        <w:rFonts w:hint="eastAsia" w:ascii="楷体" w:hAnsi="楷体" w:eastAsia="楷体"/>
        <w:i/>
        <w:sz w:val="21"/>
        <w:szCs w:val="21"/>
      </w:rPr>
    </w:pPr>
    <w:r>
      <w:rPr>
        <w:rFonts w:hint="eastAsia" w:ascii="楷体" w:hAnsi="楷体" w:eastAsia="楷体" w:cs="Arial"/>
        <w:sz w:val="21"/>
        <w:szCs w:val="21"/>
      </w:rPr>
      <w:t xml:space="preserve">房地产估价报告 </w:t>
    </w:r>
    <w:r>
      <w:rPr>
        <w:rFonts w:hint="eastAsia" w:ascii="楷体" w:hAnsi="楷体" w:eastAsia="楷体"/>
        <w:i/>
        <w:sz w:val="21"/>
        <w:szCs w:val="21"/>
      </w:rPr>
      <w:t xml:space="preserve">                                                    </w:t>
    </w:r>
    <w:r>
      <w:rPr>
        <w:rFonts w:hint="eastAsia" w:ascii="楷体" w:hAnsi="楷体" w:eastAsia="楷体"/>
        <w:iCs/>
        <w:sz w:val="21"/>
        <w:szCs w:val="21"/>
      </w:rPr>
      <w:t>估价结果报告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5BB9E"/>
    <w:multiLevelType w:val="singleLevel"/>
    <w:tmpl w:val="8135BB9E"/>
    <w:lvl w:ilvl="0" w:tentative="0">
      <w:start w:val="4"/>
      <w:numFmt w:val="chineseCounting"/>
      <w:suff w:val="nothing"/>
      <w:lvlText w:val="（%1）"/>
      <w:lvlJc w:val="left"/>
      <w:rPr>
        <w:rFonts w:hint="eastAsia"/>
      </w:rPr>
    </w:lvl>
  </w:abstractNum>
  <w:abstractNum w:abstractNumId="1">
    <w:nsid w:val="F46C8A2B"/>
    <w:multiLevelType w:val="singleLevel"/>
    <w:tmpl w:val="F46C8A2B"/>
    <w:lvl w:ilvl="0" w:tentative="0">
      <w:start w:val="2"/>
      <w:numFmt w:val="chineseCounting"/>
      <w:suff w:val="nothing"/>
      <w:lvlText w:val="（%1）"/>
      <w:lvlJc w:val="left"/>
      <w:rPr>
        <w:rFonts w:hint="eastAsia"/>
      </w:rPr>
    </w:lvl>
  </w:abstractNum>
  <w:abstractNum w:abstractNumId="2">
    <w:nsid w:val="1C0C478E"/>
    <w:multiLevelType w:val="singleLevel"/>
    <w:tmpl w:val="1C0C478E"/>
    <w:lvl w:ilvl="0" w:tentative="0">
      <w:start w:val="2"/>
      <w:numFmt w:val="chineseCounting"/>
      <w:suff w:val="nothing"/>
      <w:lvlText w:val="%1、"/>
      <w:lvlJc w:val="left"/>
      <w:rPr>
        <w:rFonts w:hint="eastAsia"/>
      </w:rPr>
    </w:lvl>
  </w:abstractNum>
  <w:abstractNum w:abstractNumId="3">
    <w:nsid w:val="2AEC5F88"/>
    <w:multiLevelType w:val="multilevel"/>
    <w:tmpl w:val="2AEC5F88"/>
    <w:lvl w:ilvl="0" w:tentative="0">
      <w:start w:val="1"/>
      <w:numFmt w:val="decimal"/>
      <w:suff w:val="nothing"/>
      <w:lvlText w:val="%1、"/>
      <w:lvlJc w:val="left"/>
      <w:pPr>
        <w:ind w:left="518" w:firstLine="0"/>
      </w:pPr>
      <w:rPr>
        <w:rFonts w:hint="eastAsia"/>
      </w:rPr>
    </w:lvl>
    <w:lvl w:ilvl="1" w:tentative="0">
      <w:start w:val="1"/>
      <w:numFmt w:val="lowerLetter"/>
      <w:lvlText w:val="%2)"/>
      <w:lvlJc w:val="left"/>
      <w:pPr>
        <w:ind w:left="1358" w:hanging="420"/>
      </w:pPr>
    </w:lvl>
    <w:lvl w:ilvl="2" w:tentative="0">
      <w:start w:val="1"/>
      <w:numFmt w:val="lowerRoman"/>
      <w:lvlText w:val="%3."/>
      <w:lvlJc w:val="right"/>
      <w:pPr>
        <w:ind w:left="1778" w:hanging="420"/>
      </w:pPr>
    </w:lvl>
    <w:lvl w:ilvl="3" w:tentative="0">
      <w:start w:val="1"/>
      <w:numFmt w:val="decimal"/>
      <w:lvlText w:val="%4."/>
      <w:lvlJc w:val="left"/>
      <w:pPr>
        <w:ind w:left="2198" w:hanging="420"/>
      </w:pPr>
    </w:lvl>
    <w:lvl w:ilvl="4" w:tentative="0">
      <w:start w:val="1"/>
      <w:numFmt w:val="lowerLetter"/>
      <w:lvlText w:val="%5)"/>
      <w:lvlJc w:val="left"/>
      <w:pPr>
        <w:ind w:left="2618" w:hanging="420"/>
      </w:pPr>
    </w:lvl>
    <w:lvl w:ilvl="5" w:tentative="0">
      <w:start w:val="1"/>
      <w:numFmt w:val="lowerRoman"/>
      <w:lvlText w:val="%6."/>
      <w:lvlJc w:val="right"/>
      <w:pPr>
        <w:ind w:left="3038" w:hanging="420"/>
      </w:pPr>
    </w:lvl>
    <w:lvl w:ilvl="6" w:tentative="0">
      <w:start w:val="1"/>
      <w:numFmt w:val="decimal"/>
      <w:lvlText w:val="%7."/>
      <w:lvlJc w:val="left"/>
      <w:pPr>
        <w:ind w:left="3458" w:hanging="420"/>
      </w:pPr>
    </w:lvl>
    <w:lvl w:ilvl="7" w:tentative="0">
      <w:start w:val="1"/>
      <w:numFmt w:val="lowerLetter"/>
      <w:lvlText w:val="%8)"/>
      <w:lvlJc w:val="left"/>
      <w:pPr>
        <w:ind w:left="3878" w:hanging="420"/>
      </w:pPr>
    </w:lvl>
    <w:lvl w:ilvl="8" w:tentative="0">
      <w:start w:val="1"/>
      <w:numFmt w:val="lowerRoman"/>
      <w:lvlText w:val="%9."/>
      <w:lvlJc w:val="right"/>
      <w:pPr>
        <w:ind w:left="4298" w:hanging="420"/>
      </w:pPr>
    </w:lvl>
  </w:abstractNum>
  <w:abstractNum w:abstractNumId="4">
    <w:nsid w:val="36CC71A1"/>
    <w:multiLevelType w:val="multilevel"/>
    <w:tmpl w:val="36CC71A1"/>
    <w:lvl w:ilvl="0" w:tentative="0">
      <w:start w:val="1"/>
      <w:numFmt w:val="decimal"/>
      <w:suff w:val="space"/>
      <w:lvlText w:val="（%1）"/>
      <w:lvlJc w:val="left"/>
      <w:pPr>
        <w:ind w:left="0" w:firstLine="518"/>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44012EA8"/>
    <w:multiLevelType w:val="multilevel"/>
    <w:tmpl w:val="44012EA8"/>
    <w:lvl w:ilvl="0" w:tentative="0">
      <w:start w:val="1"/>
      <w:numFmt w:val="decimal"/>
      <w:suff w:val="nothing"/>
      <w:lvlText w:val="%1、"/>
      <w:lvlJc w:val="left"/>
      <w:pPr>
        <w:ind w:left="518" w:firstLine="0"/>
      </w:pPr>
      <w:rPr>
        <w:rFonts w:hint="eastAsia"/>
      </w:rPr>
    </w:lvl>
    <w:lvl w:ilvl="1" w:tentative="0">
      <w:start w:val="1"/>
      <w:numFmt w:val="lowerLetter"/>
      <w:lvlText w:val="%2)"/>
      <w:lvlJc w:val="left"/>
      <w:pPr>
        <w:ind w:left="1358" w:hanging="420"/>
      </w:pPr>
    </w:lvl>
    <w:lvl w:ilvl="2" w:tentative="0">
      <w:start w:val="1"/>
      <w:numFmt w:val="lowerRoman"/>
      <w:lvlText w:val="%3."/>
      <w:lvlJc w:val="right"/>
      <w:pPr>
        <w:ind w:left="1778" w:hanging="420"/>
      </w:pPr>
    </w:lvl>
    <w:lvl w:ilvl="3" w:tentative="0">
      <w:start w:val="1"/>
      <w:numFmt w:val="decimal"/>
      <w:lvlText w:val="%4."/>
      <w:lvlJc w:val="left"/>
      <w:pPr>
        <w:ind w:left="2198" w:hanging="420"/>
      </w:pPr>
    </w:lvl>
    <w:lvl w:ilvl="4" w:tentative="0">
      <w:start w:val="1"/>
      <w:numFmt w:val="lowerLetter"/>
      <w:lvlText w:val="%5)"/>
      <w:lvlJc w:val="left"/>
      <w:pPr>
        <w:ind w:left="2618" w:hanging="420"/>
      </w:pPr>
    </w:lvl>
    <w:lvl w:ilvl="5" w:tentative="0">
      <w:start w:val="1"/>
      <w:numFmt w:val="lowerRoman"/>
      <w:lvlText w:val="%6."/>
      <w:lvlJc w:val="right"/>
      <w:pPr>
        <w:ind w:left="3038" w:hanging="420"/>
      </w:pPr>
    </w:lvl>
    <w:lvl w:ilvl="6" w:tentative="0">
      <w:start w:val="1"/>
      <w:numFmt w:val="decimal"/>
      <w:lvlText w:val="%7."/>
      <w:lvlJc w:val="left"/>
      <w:pPr>
        <w:ind w:left="3458" w:hanging="420"/>
      </w:pPr>
    </w:lvl>
    <w:lvl w:ilvl="7" w:tentative="0">
      <w:start w:val="1"/>
      <w:numFmt w:val="lowerLetter"/>
      <w:lvlText w:val="%8)"/>
      <w:lvlJc w:val="left"/>
      <w:pPr>
        <w:ind w:left="3878" w:hanging="420"/>
      </w:pPr>
    </w:lvl>
    <w:lvl w:ilvl="8" w:tentative="0">
      <w:start w:val="1"/>
      <w:numFmt w:val="lowerRoman"/>
      <w:lvlText w:val="%9."/>
      <w:lvlJc w:val="right"/>
      <w:pPr>
        <w:ind w:left="4298" w:hanging="420"/>
      </w:pPr>
    </w:lvl>
  </w:abstractNum>
  <w:abstractNum w:abstractNumId="6">
    <w:nsid w:val="54784448"/>
    <w:multiLevelType w:val="multilevel"/>
    <w:tmpl w:val="54784448"/>
    <w:lvl w:ilvl="0" w:tentative="0">
      <w:start w:val="1"/>
      <w:numFmt w:val="decimal"/>
      <w:suff w:val="nothing"/>
      <w:lvlText w:val="%1、"/>
      <w:lvlJc w:val="left"/>
      <w:pPr>
        <w:ind w:left="518" w:firstLine="0"/>
      </w:pPr>
      <w:rPr>
        <w:rFonts w:hint="eastAsia"/>
      </w:rPr>
    </w:lvl>
    <w:lvl w:ilvl="1" w:tentative="0">
      <w:start w:val="1"/>
      <w:numFmt w:val="lowerLetter"/>
      <w:lvlText w:val="%2)"/>
      <w:lvlJc w:val="left"/>
      <w:pPr>
        <w:ind w:left="1358" w:hanging="420"/>
      </w:pPr>
    </w:lvl>
    <w:lvl w:ilvl="2" w:tentative="0">
      <w:start w:val="1"/>
      <w:numFmt w:val="lowerRoman"/>
      <w:lvlText w:val="%3."/>
      <w:lvlJc w:val="right"/>
      <w:pPr>
        <w:ind w:left="1778" w:hanging="420"/>
      </w:pPr>
    </w:lvl>
    <w:lvl w:ilvl="3" w:tentative="0">
      <w:start w:val="1"/>
      <w:numFmt w:val="decimal"/>
      <w:lvlText w:val="%4."/>
      <w:lvlJc w:val="left"/>
      <w:pPr>
        <w:ind w:left="2198" w:hanging="420"/>
      </w:pPr>
    </w:lvl>
    <w:lvl w:ilvl="4" w:tentative="0">
      <w:start w:val="1"/>
      <w:numFmt w:val="lowerLetter"/>
      <w:lvlText w:val="%5)"/>
      <w:lvlJc w:val="left"/>
      <w:pPr>
        <w:ind w:left="2618" w:hanging="420"/>
      </w:pPr>
    </w:lvl>
    <w:lvl w:ilvl="5" w:tentative="0">
      <w:start w:val="1"/>
      <w:numFmt w:val="lowerRoman"/>
      <w:lvlText w:val="%6."/>
      <w:lvlJc w:val="right"/>
      <w:pPr>
        <w:ind w:left="3038" w:hanging="420"/>
      </w:pPr>
    </w:lvl>
    <w:lvl w:ilvl="6" w:tentative="0">
      <w:start w:val="1"/>
      <w:numFmt w:val="decimal"/>
      <w:lvlText w:val="%7."/>
      <w:lvlJc w:val="left"/>
      <w:pPr>
        <w:ind w:left="3458" w:hanging="420"/>
      </w:pPr>
    </w:lvl>
    <w:lvl w:ilvl="7" w:tentative="0">
      <w:start w:val="1"/>
      <w:numFmt w:val="lowerLetter"/>
      <w:lvlText w:val="%8)"/>
      <w:lvlJc w:val="left"/>
      <w:pPr>
        <w:ind w:left="3878" w:hanging="420"/>
      </w:pPr>
    </w:lvl>
    <w:lvl w:ilvl="8" w:tentative="0">
      <w:start w:val="1"/>
      <w:numFmt w:val="lowerRoman"/>
      <w:lvlText w:val="%9."/>
      <w:lvlJc w:val="right"/>
      <w:pPr>
        <w:ind w:left="4298" w:hanging="420"/>
      </w:pPr>
    </w:lvl>
  </w:abstractNum>
  <w:abstractNum w:abstractNumId="7">
    <w:nsid w:val="708F749E"/>
    <w:multiLevelType w:val="multilevel"/>
    <w:tmpl w:val="708F749E"/>
    <w:lvl w:ilvl="0" w:tentative="0">
      <w:start w:val="1"/>
      <w:numFmt w:val="decimal"/>
      <w:suff w:val="nothing"/>
      <w:lvlText w:val="%1、"/>
      <w:lvlJc w:val="left"/>
      <w:pPr>
        <w:ind w:left="518" w:firstLine="0"/>
      </w:pPr>
      <w:rPr>
        <w:rFonts w:hint="eastAsia"/>
      </w:rPr>
    </w:lvl>
    <w:lvl w:ilvl="1" w:tentative="0">
      <w:start w:val="1"/>
      <w:numFmt w:val="lowerLetter"/>
      <w:lvlText w:val="%2)"/>
      <w:lvlJc w:val="left"/>
      <w:pPr>
        <w:ind w:left="1358" w:hanging="420"/>
      </w:pPr>
    </w:lvl>
    <w:lvl w:ilvl="2" w:tentative="0">
      <w:start w:val="1"/>
      <w:numFmt w:val="lowerRoman"/>
      <w:lvlText w:val="%3."/>
      <w:lvlJc w:val="right"/>
      <w:pPr>
        <w:ind w:left="1778" w:hanging="420"/>
      </w:pPr>
    </w:lvl>
    <w:lvl w:ilvl="3" w:tentative="0">
      <w:start w:val="1"/>
      <w:numFmt w:val="decimal"/>
      <w:lvlText w:val="%4."/>
      <w:lvlJc w:val="left"/>
      <w:pPr>
        <w:ind w:left="2198" w:hanging="420"/>
      </w:pPr>
    </w:lvl>
    <w:lvl w:ilvl="4" w:tentative="0">
      <w:start w:val="1"/>
      <w:numFmt w:val="lowerLetter"/>
      <w:lvlText w:val="%5)"/>
      <w:lvlJc w:val="left"/>
      <w:pPr>
        <w:ind w:left="2618" w:hanging="420"/>
      </w:pPr>
    </w:lvl>
    <w:lvl w:ilvl="5" w:tentative="0">
      <w:start w:val="1"/>
      <w:numFmt w:val="lowerRoman"/>
      <w:lvlText w:val="%6."/>
      <w:lvlJc w:val="right"/>
      <w:pPr>
        <w:ind w:left="3038" w:hanging="420"/>
      </w:pPr>
    </w:lvl>
    <w:lvl w:ilvl="6" w:tentative="0">
      <w:start w:val="1"/>
      <w:numFmt w:val="decimal"/>
      <w:lvlText w:val="%7."/>
      <w:lvlJc w:val="left"/>
      <w:pPr>
        <w:ind w:left="3458" w:hanging="420"/>
      </w:pPr>
    </w:lvl>
    <w:lvl w:ilvl="7" w:tentative="0">
      <w:start w:val="1"/>
      <w:numFmt w:val="lowerLetter"/>
      <w:lvlText w:val="%8)"/>
      <w:lvlJc w:val="left"/>
      <w:pPr>
        <w:ind w:left="3878" w:hanging="420"/>
      </w:pPr>
    </w:lvl>
    <w:lvl w:ilvl="8" w:tentative="0">
      <w:start w:val="1"/>
      <w:numFmt w:val="lowerRoman"/>
      <w:lvlText w:val="%9."/>
      <w:lvlJc w:val="right"/>
      <w:pPr>
        <w:ind w:left="4298" w:hanging="420"/>
      </w:pPr>
    </w:lvl>
  </w:abstractNum>
  <w:num w:numId="1">
    <w:abstractNumId w:val="5"/>
  </w:num>
  <w:num w:numId="2">
    <w:abstractNumId w:val="1"/>
  </w:num>
  <w:num w:numId="3">
    <w:abstractNumId w:val="3"/>
  </w:num>
  <w:num w:numId="4">
    <w:abstractNumId w:val="7"/>
  </w:num>
  <w:num w:numId="5">
    <w:abstractNumId w:val="0"/>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CF6CAF"/>
    <w:rsid w:val="042F3F35"/>
    <w:rsid w:val="04997592"/>
    <w:rsid w:val="11EE4A66"/>
    <w:rsid w:val="1DA41654"/>
    <w:rsid w:val="21095B41"/>
    <w:rsid w:val="285B2C73"/>
    <w:rsid w:val="39B159DD"/>
    <w:rsid w:val="401572DF"/>
    <w:rsid w:val="426A6D51"/>
    <w:rsid w:val="48345619"/>
    <w:rsid w:val="4B5B5E29"/>
    <w:rsid w:val="55CF6CAF"/>
    <w:rsid w:val="668C42BE"/>
    <w:rsid w:val="774157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4"/>
    <w:qFormat/>
    <w:uiPriority w:val="0"/>
    <w:pPr>
      <w:keepNext/>
      <w:keepLines/>
      <w:spacing w:before="260" w:after="260" w:line="416" w:lineRule="auto"/>
      <w:outlineLvl w:val="1"/>
    </w:pPr>
    <w:rPr>
      <w:rFonts w:ascii="Arial" w:hAnsi="Arial" w:eastAsia="黑体"/>
      <w:b/>
      <w:bCs/>
      <w:kern w:val="0"/>
      <w:sz w:val="32"/>
      <w:szCs w:val="32"/>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4">
    <w:name w:val="Body Text"/>
    <w:basedOn w:val="1"/>
    <w:uiPriority w:val="0"/>
    <w:rPr>
      <w:rFonts w:ascii="仿宋_GB2312" w:eastAsia="仿宋_GB2312"/>
      <w:sz w:val="18"/>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20"/>
    </w:rPr>
  </w:style>
  <w:style w:type="paragraph" w:styleId="7">
    <w:name w:val="toc 1"/>
    <w:basedOn w:val="1"/>
    <w:next w:val="1"/>
    <w:uiPriority w:val="39"/>
  </w:style>
  <w:style w:type="paragraph" w:styleId="8">
    <w:name w:val="toc 2"/>
    <w:basedOn w:val="1"/>
    <w:next w:val="1"/>
    <w:uiPriority w:val="39"/>
    <w:pPr>
      <w:ind w:left="420" w:leftChars="200"/>
    </w:pPr>
  </w:style>
  <w:style w:type="character" w:styleId="11">
    <w:name w:val="page number"/>
    <w:basedOn w:val="10"/>
    <w:uiPriority w:val="0"/>
  </w:style>
  <w:style w:type="paragraph" w:customStyle="1" w:styleId="12">
    <w:name w:val="样式7"/>
    <w:basedOn w:val="1"/>
    <w:uiPriority w:val="0"/>
    <w:pPr>
      <w:spacing w:line="360" w:lineRule="auto"/>
      <w:ind w:firstLine="567"/>
    </w:pPr>
    <w:rPr>
      <w:rFonts w:ascii="仿宋_GB2312" w:eastAsia="仿宋_GB2312"/>
      <w:sz w:val="28"/>
      <w:szCs w:val="20"/>
    </w:rPr>
  </w:style>
  <w:style w:type="paragraph" w:customStyle="1" w:styleId="13">
    <w:name w:val="Body Text Indent 2"/>
    <w:basedOn w:val="1"/>
    <w:uiPriority w:val="0"/>
    <w:pPr>
      <w:adjustRightInd w:val="0"/>
      <w:spacing w:line="300" w:lineRule="atLeast"/>
      <w:ind w:firstLine="540"/>
      <w:textAlignment w:val="baseline"/>
    </w:pPr>
    <w:rPr>
      <w:rFonts w:ascii="宋体"/>
      <w:kern w:val="0"/>
      <w:sz w:val="28"/>
      <w:szCs w:val="20"/>
    </w:rPr>
  </w:style>
  <w:style w:type="character" w:customStyle="1" w:styleId="14">
    <w:name w:val="标题 2 Char"/>
    <w:link w:val="3"/>
    <w:uiPriority w:val="0"/>
    <w:rPr>
      <w:rFonts w:ascii="Arial" w:hAnsi="Arial" w:eastAsia="黑体"/>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535353"/>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2020-01-14T04:57:00Z</dcterms:created>
  <dc:creator>Zzr有点东西</dc:creator>
  <cp:lastModifiedBy>Zzr有点东西</cp:lastModifiedBy>
  <dcterms:modified xsi:type="dcterms:W3CDTF">2020-01-14T05:07:35Z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