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spacing w:beforeLines="400" w:line="360" w:lineRule="auto"/>
        <w:jc w:val="center"/>
        <w:rPr>
          <w:rFonts w:eastAsia="仿宋_GB2312"/>
          <w:b/>
          <w:bCs/>
          <w:spacing w:val="24"/>
          <w:sz w:val="72"/>
          <w:szCs w:val="72"/>
        </w:rPr>
      </w:pPr>
      <w:r>
        <w:rPr>
          <w:rFonts w:hint="eastAsia" w:ascii="楷体_GB2312" w:eastAsia="楷体_GB2312"/>
          <w:b/>
          <w:spacing w:val="24"/>
          <w:sz w:val="72"/>
          <w:szCs w:val="72"/>
        </w:rPr>
        <w:t>房地产估价报告</w:t>
      </w:r>
    </w:p>
    <w:p>
      <w:pPr>
        <w:spacing w:line="360" w:lineRule="auto"/>
        <w:jc w:val="center"/>
        <w:rPr>
          <w:rFonts w:eastAsia="仿宋_GB2312"/>
          <w:sz w:val="28"/>
        </w:rPr>
      </w:pPr>
    </w:p>
    <w:p>
      <w:pPr>
        <w:spacing w:line="360" w:lineRule="auto"/>
        <w:jc w:val="center"/>
        <w:rPr>
          <w:rFonts w:eastAsia="仿宋_GB2312"/>
          <w:sz w:val="28"/>
        </w:rPr>
      </w:pPr>
    </w:p>
    <w:tbl>
      <w:tblPr>
        <w:tblStyle w:val="24"/>
        <w:tblW w:w="9629" w:type="dxa"/>
        <w:jc w:val="center"/>
        <w:tblInd w:w="0" w:type="dxa"/>
        <w:tblLayout w:type="fixed"/>
        <w:tblCellMar>
          <w:top w:w="0" w:type="dxa"/>
          <w:left w:w="108" w:type="dxa"/>
          <w:bottom w:w="0" w:type="dxa"/>
          <w:right w:w="108" w:type="dxa"/>
        </w:tblCellMar>
      </w:tblPr>
      <w:tblGrid>
        <w:gridCol w:w="2924"/>
        <w:gridCol w:w="6705"/>
      </w:tblGrid>
      <w:tr>
        <w:tblPrEx>
          <w:tblLayout w:type="fixed"/>
          <w:tblCellMar>
            <w:top w:w="0" w:type="dxa"/>
            <w:left w:w="108" w:type="dxa"/>
            <w:bottom w:w="0" w:type="dxa"/>
            <w:right w:w="108" w:type="dxa"/>
          </w:tblCellMar>
        </w:tblPrEx>
        <w:trPr>
          <w:trHeight w:val="1141" w:hRule="atLeast"/>
          <w:jc w:val="center"/>
        </w:trPr>
        <w:tc>
          <w:tcPr>
            <w:tcW w:w="2924" w:type="dxa"/>
            <w:vAlign w:val="center"/>
          </w:tcPr>
          <w:p>
            <w:pPr>
              <w:spacing w:line="540" w:lineRule="exact"/>
              <w:ind w:right="210" w:rightChars="100"/>
              <w:jc w:val="left"/>
              <w:rPr>
                <w:rFonts w:eastAsia="仿宋_GB2312"/>
                <w:b/>
                <w:sz w:val="28"/>
              </w:rPr>
            </w:pPr>
            <w:r>
              <w:rPr>
                <w:rFonts w:hint="eastAsia" w:eastAsia="楷体_GB2312"/>
                <w:b/>
                <w:sz w:val="32"/>
              </w:rPr>
              <w:t>估价项目名称：</w:t>
            </w:r>
          </w:p>
        </w:tc>
        <w:tc>
          <w:tcPr>
            <w:tcW w:w="6705" w:type="dxa"/>
            <w:vAlign w:val="center"/>
          </w:tcPr>
          <w:p>
            <w:pPr>
              <w:spacing w:line="540" w:lineRule="exact"/>
              <w:rPr>
                <w:rFonts w:ascii="Calibri" w:hAnsi="Calibri" w:eastAsia="楷体_GB2312"/>
                <w:color w:val="000000"/>
                <w:sz w:val="32"/>
                <w:szCs w:val="32"/>
              </w:rPr>
            </w:pPr>
            <w:r>
              <w:rPr>
                <w:rFonts w:hint="eastAsia" w:ascii="楷体_GB2312" w:hAnsi="楷体_GB2312" w:eastAsia="楷体_GB2312" w:cs="楷体_GB2312"/>
                <w:color w:val="000000"/>
                <w:w w:val="95"/>
                <w:sz w:val="32"/>
                <w:szCs w:val="32"/>
                <w:lang w:eastAsia="zh-CN"/>
              </w:rPr>
              <w:t>青海民和回族</w:t>
            </w:r>
            <w:r>
              <w:rPr>
                <w:rFonts w:hint="eastAsia" w:ascii="楷体_GB2312" w:hAnsi="楷体_GB2312" w:eastAsia="楷体_GB2312" w:cs="楷体_GB2312"/>
                <w:color w:val="000000"/>
                <w:w w:val="95"/>
                <w:sz w:val="32"/>
                <w:szCs w:val="32"/>
                <w:lang w:val="en-US" w:eastAsia="zh-CN"/>
              </w:rPr>
              <w:t>土族</w:t>
            </w:r>
            <w:r>
              <w:rPr>
                <w:rFonts w:hint="eastAsia" w:ascii="楷体_GB2312" w:hAnsi="楷体_GB2312" w:eastAsia="楷体_GB2312" w:cs="楷体_GB2312"/>
                <w:color w:val="000000"/>
                <w:w w:val="95"/>
                <w:sz w:val="32"/>
                <w:szCs w:val="32"/>
                <w:lang w:eastAsia="zh-CN"/>
              </w:rPr>
              <w:t>自治县川口镇公园北路15号1幢1单元18层1181、1182、1183室和2单元18层2181、2182、2183室</w:t>
            </w:r>
            <w:r>
              <w:rPr>
                <w:rFonts w:hint="eastAsia" w:ascii="楷体_GB2312" w:eastAsia="楷体_GB2312"/>
                <w:color w:val="000000"/>
                <w:w w:val="95"/>
                <w:sz w:val="32"/>
                <w:szCs w:val="32"/>
                <w:lang w:val="en-US" w:eastAsia="zh-CN"/>
              </w:rPr>
              <w:t>的住宅房地产</w:t>
            </w:r>
            <w:r>
              <w:rPr>
                <w:rFonts w:hint="eastAsia" w:ascii="楷体_GB2312" w:eastAsia="楷体_GB2312"/>
                <w:color w:val="000000"/>
                <w:w w:val="95"/>
                <w:sz w:val="32"/>
                <w:szCs w:val="32"/>
              </w:rPr>
              <w:t>市场价值评估</w:t>
            </w:r>
          </w:p>
        </w:tc>
      </w:tr>
      <w:tr>
        <w:tblPrEx>
          <w:tblLayout w:type="fixed"/>
          <w:tblCellMar>
            <w:top w:w="0" w:type="dxa"/>
            <w:left w:w="108" w:type="dxa"/>
            <w:bottom w:w="0" w:type="dxa"/>
            <w:right w:w="108" w:type="dxa"/>
          </w:tblCellMar>
        </w:tblPrEx>
        <w:trPr>
          <w:trHeight w:val="1141" w:hRule="atLeast"/>
          <w:jc w:val="center"/>
        </w:trPr>
        <w:tc>
          <w:tcPr>
            <w:tcW w:w="2924" w:type="dxa"/>
            <w:vAlign w:val="center"/>
          </w:tcPr>
          <w:p>
            <w:pPr>
              <w:spacing w:line="540" w:lineRule="exact"/>
              <w:ind w:right="210" w:rightChars="100"/>
              <w:jc w:val="left"/>
              <w:rPr>
                <w:rFonts w:eastAsia="仿宋_GB2312"/>
                <w:b/>
                <w:sz w:val="28"/>
              </w:rPr>
            </w:pPr>
            <w:r>
              <w:rPr>
                <w:rFonts w:hint="eastAsia" w:eastAsia="楷体_GB2312"/>
                <w:b/>
                <w:sz w:val="32"/>
              </w:rPr>
              <w:t>估价委托人：</w:t>
            </w:r>
          </w:p>
        </w:tc>
        <w:tc>
          <w:tcPr>
            <w:tcW w:w="6705" w:type="dxa"/>
            <w:vAlign w:val="center"/>
          </w:tcPr>
          <w:p>
            <w:pPr>
              <w:spacing w:line="540" w:lineRule="exact"/>
              <w:ind w:right="100"/>
              <w:rPr>
                <w:rFonts w:hint="eastAsia" w:ascii="楷体_GB2312" w:eastAsia="楷体_GB2312"/>
                <w:color w:val="000000"/>
                <w:sz w:val="28"/>
                <w:lang w:eastAsia="zh-CN"/>
              </w:rPr>
            </w:pPr>
            <w:r>
              <w:rPr>
                <w:rFonts w:hint="eastAsia" w:ascii="楷体_GB2312" w:hAnsi="宋体" w:eastAsia="楷体_GB2312" w:cs="宋体"/>
                <w:color w:val="000000"/>
                <w:sz w:val="32"/>
                <w:lang w:eastAsia="zh-CN"/>
              </w:rPr>
              <w:t>东阳市人民法院</w:t>
            </w:r>
          </w:p>
        </w:tc>
      </w:tr>
      <w:tr>
        <w:tblPrEx>
          <w:tblLayout w:type="fixed"/>
          <w:tblCellMar>
            <w:top w:w="0" w:type="dxa"/>
            <w:left w:w="108" w:type="dxa"/>
            <w:bottom w:w="0" w:type="dxa"/>
            <w:right w:w="108" w:type="dxa"/>
          </w:tblCellMar>
        </w:tblPrEx>
        <w:trPr>
          <w:trHeight w:val="1141" w:hRule="atLeast"/>
          <w:jc w:val="center"/>
        </w:trPr>
        <w:tc>
          <w:tcPr>
            <w:tcW w:w="2924" w:type="dxa"/>
            <w:vAlign w:val="center"/>
          </w:tcPr>
          <w:p>
            <w:pPr>
              <w:spacing w:line="540" w:lineRule="exact"/>
              <w:ind w:right="-143" w:rightChars="-68"/>
              <w:jc w:val="left"/>
              <w:rPr>
                <w:rFonts w:eastAsia="仿宋_GB2312"/>
                <w:b/>
                <w:sz w:val="28"/>
              </w:rPr>
            </w:pPr>
            <w:r>
              <w:rPr>
                <w:rFonts w:hint="eastAsia" w:eastAsia="楷体_GB2312"/>
                <w:b/>
                <w:sz w:val="32"/>
              </w:rPr>
              <w:t>房地产估价机构：</w:t>
            </w:r>
          </w:p>
        </w:tc>
        <w:tc>
          <w:tcPr>
            <w:tcW w:w="6705" w:type="dxa"/>
            <w:vAlign w:val="center"/>
          </w:tcPr>
          <w:p>
            <w:pPr>
              <w:spacing w:line="540" w:lineRule="exact"/>
              <w:ind w:right="100"/>
              <w:rPr>
                <w:rFonts w:eastAsia="仿宋_GB2312"/>
                <w:sz w:val="28"/>
              </w:rPr>
            </w:pPr>
            <w:r>
              <w:rPr>
                <w:rFonts w:hint="eastAsia" w:eastAsia="楷体_GB2312"/>
                <w:sz w:val="32"/>
              </w:rPr>
              <w:t>金华市华诚房地产土地评估有限责任公司</w:t>
            </w:r>
          </w:p>
        </w:tc>
      </w:tr>
      <w:tr>
        <w:tblPrEx>
          <w:tblLayout w:type="fixed"/>
          <w:tblCellMar>
            <w:top w:w="0" w:type="dxa"/>
            <w:left w:w="108" w:type="dxa"/>
            <w:bottom w:w="0" w:type="dxa"/>
            <w:right w:w="108" w:type="dxa"/>
          </w:tblCellMar>
        </w:tblPrEx>
        <w:trPr>
          <w:trHeight w:val="1725" w:hRule="atLeast"/>
          <w:jc w:val="center"/>
        </w:trPr>
        <w:tc>
          <w:tcPr>
            <w:tcW w:w="2924" w:type="dxa"/>
            <w:vAlign w:val="center"/>
          </w:tcPr>
          <w:p>
            <w:pPr>
              <w:spacing w:line="540" w:lineRule="exact"/>
              <w:ind w:right="-145" w:rightChars="-69"/>
              <w:jc w:val="left"/>
              <w:rPr>
                <w:rFonts w:eastAsia="仿宋_GB2312"/>
                <w:b/>
                <w:sz w:val="28"/>
              </w:rPr>
            </w:pPr>
            <w:r>
              <w:rPr>
                <w:rFonts w:hint="eastAsia" w:ascii="楷体_GB2312" w:eastAsia="楷体_GB2312"/>
                <w:b/>
                <w:sz w:val="32"/>
                <w:szCs w:val="32"/>
              </w:rPr>
              <w:t>注册房地产估价师</w:t>
            </w:r>
            <w:r>
              <w:rPr>
                <w:rFonts w:hint="eastAsia" w:eastAsia="楷体_GB2312"/>
                <w:b/>
                <w:sz w:val="32"/>
              </w:rPr>
              <w:t>：</w:t>
            </w:r>
          </w:p>
        </w:tc>
        <w:tc>
          <w:tcPr>
            <w:tcW w:w="6705" w:type="dxa"/>
            <w:vAlign w:val="center"/>
          </w:tcPr>
          <w:p>
            <w:pPr>
              <w:ind w:right="100"/>
              <w:rPr>
                <w:rFonts w:hint="eastAsia" w:ascii="楷体" w:hAnsi="楷体" w:eastAsia="楷体"/>
                <w:sz w:val="32"/>
                <w:szCs w:val="32"/>
                <w:lang w:eastAsia="zh-CN"/>
              </w:rPr>
            </w:pPr>
            <w:r>
              <w:rPr>
                <w:rFonts w:hint="eastAsia" w:ascii="楷体" w:hAnsi="楷体" w:eastAsia="楷体"/>
                <w:sz w:val="32"/>
                <w:szCs w:val="32"/>
              </w:rPr>
              <w:t>楼  飞</w:t>
            </w:r>
            <w:r>
              <w:rPr>
                <w:rFonts w:hint="eastAsia" w:ascii="楷体" w:hAnsi="楷体" w:eastAsia="楷体"/>
                <w:sz w:val="32"/>
                <w:szCs w:val="32"/>
                <w:lang w:eastAsia="zh-CN"/>
              </w:rPr>
              <w:t>(</w:t>
            </w:r>
            <w:r>
              <w:rPr>
                <w:rFonts w:hint="eastAsia" w:ascii="楷体" w:hAnsi="楷体" w:eastAsia="楷体"/>
                <w:sz w:val="32"/>
                <w:szCs w:val="32"/>
              </w:rPr>
              <w:t>注册号：3320070025</w:t>
            </w:r>
            <w:r>
              <w:rPr>
                <w:rFonts w:hint="eastAsia" w:ascii="楷体" w:hAnsi="楷体" w:eastAsia="楷体"/>
                <w:sz w:val="32"/>
                <w:szCs w:val="32"/>
                <w:lang w:eastAsia="zh-CN"/>
              </w:rPr>
              <w:t>)</w:t>
            </w:r>
          </w:p>
          <w:p>
            <w:pPr>
              <w:ind w:right="100" w:rightChars="0"/>
              <w:rPr>
                <w:rFonts w:ascii="楷体_GB2312" w:eastAsia="楷体_GB2312"/>
                <w:sz w:val="32"/>
                <w:szCs w:val="32"/>
              </w:rPr>
            </w:pPr>
            <w:r>
              <w:rPr>
                <w:rFonts w:hint="eastAsia" w:ascii="楷体" w:hAnsi="楷体" w:eastAsia="楷体"/>
                <w:sz w:val="32"/>
                <w:szCs w:val="32"/>
                <w:lang w:eastAsia="zh-CN"/>
              </w:rPr>
              <w:t>俞小群(</w:t>
            </w:r>
            <w:r>
              <w:rPr>
                <w:rFonts w:hint="eastAsia" w:ascii="楷体" w:hAnsi="楷体" w:eastAsia="楷体"/>
                <w:sz w:val="32"/>
                <w:szCs w:val="32"/>
              </w:rPr>
              <w:t>注册号：</w:t>
            </w:r>
            <w:r>
              <w:rPr>
                <w:rFonts w:hint="eastAsia" w:ascii="楷体" w:hAnsi="楷体" w:eastAsia="楷体"/>
                <w:sz w:val="32"/>
                <w:szCs w:val="32"/>
                <w:lang w:eastAsia="zh-CN"/>
              </w:rPr>
              <w:t>3320100028)</w:t>
            </w:r>
            <w:r>
              <w:rPr>
                <w:rFonts w:hint="eastAsia" w:ascii="楷体" w:hAnsi="楷体" w:eastAsia="楷体"/>
                <w:sz w:val="32"/>
                <w:szCs w:val="32"/>
              </w:rPr>
              <w:t xml:space="preserve"> </w:t>
            </w:r>
          </w:p>
        </w:tc>
      </w:tr>
      <w:tr>
        <w:tblPrEx>
          <w:tblLayout w:type="fixed"/>
          <w:tblCellMar>
            <w:top w:w="0" w:type="dxa"/>
            <w:left w:w="108" w:type="dxa"/>
            <w:bottom w:w="0" w:type="dxa"/>
            <w:right w:w="108" w:type="dxa"/>
          </w:tblCellMar>
        </w:tblPrEx>
        <w:trPr>
          <w:trHeight w:val="1141" w:hRule="atLeast"/>
          <w:jc w:val="center"/>
        </w:trPr>
        <w:tc>
          <w:tcPr>
            <w:tcW w:w="2924" w:type="dxa"/>
            <w:vAlign w:val="center"/>
          </w:tcPr>
          <w:p>
            <w:pPr>
              <w:spacing w:line="540" w:lineRule="exact"/>
              <w:ind w:right="-288" w:rightChars="-137"/>
              <w:jc w:val="left"/>
              <w:rPr>
                <w:rFonts w:eastAsia="仿宋_GB2312"/>
                <w:b/>
                <w:sz w:val="28"/>
              </w:rPr>
            </w:pPr>
            <w:r>
              <w:rPr>
                <w:rFonts w:hint="eastAsia" w:ascii="楷体_GB2312" w:eastAsia="楷体_GB2312"/>
                <w:b/>
                <w:sz w:val="32"/>
                <w:szCs w:val="32"/>
              </w:rPr>
              <w:t>估价报告出具日期</w:t>
            </w:r>
            <w:r>
              <w:rPr>
                <w:rFonts w:hint="eastAsia" w:eastAsia="楷体_GB2312"/>
                <w:b/>
                <w:sz w:val="32"/>
              </w:rPr>
              <w:t>：</w:t>
            </w:r>
          </w:p>
        </w:tc>
        <w:tc>
          <w:tcPr>
            <w:tcW w:w="6705" w:type="dxa"/>
            <w:vAlign w:val="center"/>
          </w:tcPr>
          <w:p>
            <w:pPr>
              <w:spacing w:line="540" w:lineRule="exact"/>
              <w:ind w:right="100"/>
              <w:rPr>
                <w:rFonts w:hint="eastAsia" w:eastAsia="仿宋_GB2312"/>
                <w:color w:val="000000"/>
                <w:sz w:val="28"/>
                <w:lang w:eastAsia="zh-CN"/>
              </w:rPr>
            </w:pPr>
            <w:r>
              <w:rPr>
                <w:rFonts w:hint="eastAsia" w:eastAsia="楷体_GB2312"/>
                <w:color w:val="000000"/>
                <w:sz w:val="32"/>
                <w:lang w:eastAsia="zh-CN"/>
              </w:rPr>
              <w:t>2019年09月02日</w:t>
            </w:r>
          </w:p>
        </w:tc>
      </w:tr>
      <w:tr>
        <w:tblPrEx>
          <w:tblLayout w:type="fixed"/>
          <w:tblCellMar>
            <w:top w:w="0" w:type="dxa"/>
            <w:left w:w="108" w:type="dxa"/>
            <w:bottom w:w="0" w:type="dxa"/>
            <w:right w:w="108" w:type="dxa"/>
          </w:tblCellMar>
        </w:tblPrEx>
        <w:trPr>
          <w:trHeight w:val="1141" w:hRule="atLeast"/>
          <w:jc w:val="center"/>
        </w:trPr>
        <w:tc>
          <w:tcPr>
            <w:tcW w:w="2924" w:type="dxa"/>
            <w:vAlign w:val="center"/>
          </w:tcPr>
          <w:p>
            <w:pPr>
              <w:spacing w:line="540" w:lineRule="exact"/>
              <w:ind w:right="210" w:rightChars="100"/>
              <w:jc w:val="left"/>
              <w:rPr>
                <w:rFonts w:eastAsia="仿宋_GB2312"/>
                <w:b/>
                <w:sz w:val="28"/>
              </w:rPr>
            </w:pPr>
            <w:r>
              <w:rPr>
                <w:rFonts w:hint="eastAsia" w:eastAsia="楷体_GB2312"/>
                <w:b/>
                <w:sz w:val="32"/>
              </w:rPr>
              <w:t>估价报告编号：</w:t>
            </w:r>
          </w:p>
        </w:tc>
        <w:tc>
          <w:tcPr>
            <w:tcW w:w="6705" w:type="dxa"/>
            <w:vAlign w:val="center"/>
          </w:tcPr>
          <w:p>
            <w:pPr>
              <w:spacing w:line="540" w:lineRule="exact"/>
              <w:ind w:right="100"/>
              <w:rPr>
                <w:rFonts w:eastAsia="仿宋_GB2312"/>
                <w:color w:val="FF0000"/>
                <w:sz w:val="32"/>
                <w:szCs w:val="32"/>
              </w:rPr>
            </w:pPr>
            <w:r>
              <w:rPr>
                <w:rFonts w:hint="eastAsia" w:eastAsia="楷体_GB2312"/>
                <w:sz w:val="32"/>
              </w:rPr>
              <w:t>金华诚房</w:t>
            </w:r>
            <w:r>
              <w:rPr>
                <w:rFonts w:eastAsia="楷体_GB2312"/>
                <w:sz w:val="32"/>
              </w:rPr>
              <w:t>(</w:t>
            </w:r>
            <w:r>
              <w:rPr>
                <w:rFonts w:hint="eastAsia" w:eastAsia="楷体_GB2312"/>
                <w:sz w:val="32"/>
              </w:rPr>
              <w:t>估</w:t>
            </w:r>
            <w:r>
              <w:rPr>
                <w:rFonts w:eastAsia="楷体_GB2312"/>
                <w:sz w:val="32"/>
              </w:rPr>
              <w:t>)</w:t>
            </w:r>
            <w:r>
              <w:rPr>
                <w:rFonts w:hint="eastAsia" w:eastAsia="楷体_GB2312"/>
                <w:sz w:val="32"/>
              </w:rPr>
              <w:t>字</w:t>
            </w:r>
            <w:r>
              <w:rPr>
                <w:rFonts w:eastAsia="楷体_GB2312"/>
                <w:sz w:val="32"/>
              </w:rPr>
              <w:t>(201</w:t>
            </w:r>
            <w:r>
              <w:rPr>
                <w:rFonts w:hint="eastAsia" w:eastAsia="楷体_GB2312"/>
                <w:sz w:val="32"/>
                <w:lang w:val="en-US" w:eastAsia="zh-CN"/>
              </w:rPr>
              <w:t>9</w:t>
            </w:r>
            <w:r>
              <w:rPr>
                <w:rFonts w:eastAsia="楷体_GB2312"/>
                <w:color w:val="000000"/>
                <w:sz w:val="32"/>
              </w:rPr>
              <w:t>)</w:t>
            </w:r>
            <w:r>
              <w:rPr>
                <w:rFonts w:hint="eastAsia" w:eastAsia="楷体_GB2312"/>
                <w:color w:val="000000"/>
                <w:sz w:val="32"/>
              </w:rPr>
              <w:t>第</w:t>
            </w:r>
            <w:r>
              <w:rPr>
                <w:rFonts w:hint="eastAsia" w:eastAsia="楷体_GB2312"/>
                <w:color w:val="000000"/>
                <w:sz w:val="32"/>
                <w:lang w:val="en-US" w:eastAsia="zh-CN"/>
              </w:rPr>
              <w:t>09</w:t>
            </w:r>
            <w:r>
              <w:rPr>
                <w:rFonts w:eastAsia="楷体_GB2312"/>
                <w:color w:val="000000"/>
                <w:sz w:val="32"/>
              </w:rPr>
              <w:t>-</w:t>
            </w:r>
            <w:r>
              <w:rPr>
                <w:rFonts w:hint="eastAsia" w:eastAsia="楷体_GB2312"/>
                <w:color w:val="000000"/>
                <w:sz w:val="32"/>
                <w:lang w:val="en-US" w:eastAsia="zh-CN"/>
              </w:rPr>
              <w:t>1410</w:t>
            </w:r>
            <w:r>
              <w:rPr>
                <w:rFonts w:hint="eastAsia" w:eastAsia="楷体_GB2312"/>
                <w:color w:val="000000"/>
                <w:sz w:val="32"/>
              </w:rPr>
              <w:t>号</w:t>
            </w:r>
          </w:p>
        </w:tc>
      </w:tr>
    </w:tbl>
    <w:p>
      <w:pPr>
        <w:spacing w:line="360" w:lineRule="auto"/>
        <w:rPr>
          <w:rFonts w:eastAsia="楷体_GB2312"/>
          <w:sz w:val="32"/>
        </w:rPr>
      </w:pPr>
    </w:p>
    <w:p>
      <w:pPr>
        <w:spacing w:line="360" w:lineRule="auto"/>
        <w:jc w:val="center"/>
        <w:rPr>
          <w:rFonts w:eastAsia="仿宋_GB2312"/>
          <w:sz w:val="28"/>
        </w:rPr>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pgNumType w:start="0"/>
          <w:cols w:space="425" w:num="1"/>
          <w:titlePg/>
          <w:docGrid w:type="lines" w:linePitch="312" w:charSpace="0"/>
        </w:sectPr>
      </w:pPr>
    </w:p>
    <w:p>
      <w:pPr>
        <w:jc w:val="center"/>
        <w:rPr>
          <w:rFonts w:eastAsia="仿宋_GB2312"/>
          <w:b/>
          <w:bCs/>
          <w:kern w:val="44"/>
          <w:sz w:val="44"/>
          <w:szCs w:val="44"/>
        </w:rPr>
      </w:pPr>
      <w:r>
        <w:rPr>
          <w:rFonts w:hint="eastAsia" w:eastAsia="仿宋_GB2312"/>
          <w:b/>
          <w:bCs/>
          <w:kern w:val="44"/>
          <w:sz w:val="44"/>
          <w:szCs w:val="44"/>
        </w:rPr>
        <w:t>致估价委托人函</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仿宋_GB2312" w:hAnsi="Calibri" w:eastAsia="仿宋_GB2312"/>
          <w:b/>
          <w:sz w:val="28"/>
          <w:szCs w:val="28"/>
        </w:rPr>
      </w:pPr>
      <w:r>
        <w:rPr>
          <w:rFonts w:hint="eastAsia" w:ascii="仿宋_GB2312" w:hAnsi="宋体" w:eastAsia="仿宋_GB2312" w:cs="宋体"/>
          <w:b/>
          <w:sz w:val="28"/>
          <w:szCs w:val="28"/>
          <w:lang w:eastAsia="zh-CN"/>
        </w:rPr>
        <w:t>东阳市人民法院</w:t>
      </w:r>
      <w:r>
        <w:rPr>
          <w:rFonts w:hint="eastAsia" w:ascii="仿宋_GB2312" w:hAnsi="宋体" w:eastAsia="仿宋_GB2312"/>
          <w:b/>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eastAsia="仿宋_GB2312"/>
          <w:sz w:val="28"/>
          <w:szCs w:val="28"/>
          <w:lang w:eastAsia="zh-CN"/>
        </w:rPr>
      </w:pPr>
      <w:r>
        <w:rPr>
          <w:rFonts w:hint="eastAsia" w:ascii="仿宋_GB2312" w:eastAsia="仿宋_GB2312"/>
          <w:sz w:val="28"/>
          <w:szCs w:val="28"/>
        </w:rPr>
        <w:t>受贵院的委托</w:t>
      </w:r>
      <w:r>
        <w:rPr>
          <w:rFonts w:hint="eastAsia" w:ascii="仿宋_GB2312" w:eastAsia="仿宋_GB2312"/>
          <w:sz w:val="28"/>
          <w:szCs w:val="28"/>
          <w:lang w:val="en-US" w:eastAsia="zh-CN"/>
        </w:rPr>
        <w:t>【</w:t>
      </w:r>
      <w:r>
        <w:rPr>
          <w:rFonts w:hint="eastAsia" w:ascii="仿宋_GB2312" w:eastAsia="仿宋_GB2312"/>
          <w:sz w:val="28"/>
          <w:szCs w:val="28"/>
          <w:highlight w:val="none"/>
          <w:lang w:eastAsia="zh-CN"/>
        </w:rPr>
        <w:t>(2019)浙东法委评112号</w:t>
      </w:r>
      <w:r>
        <w:rPr>
          <w:rFonts w:hint="eastAsia" w:ascii="仿宋_GB2312" w:eastAsia="仿宋_GB2312"/>
          <w:sz w:val="28"/>
          <w:szCs w:val="28"/>
        </w:rPr>
        <w:t>《司法评估委托书》</w:t>
      </w:r>
      <w:r>
        <w:rPr>
          <w:rFonts w:hint="eastAsia" w:ascii="仿宋_GB2312" w:eastAsia="仿宋_GB2312"/>
          <w:sz w:val="28"/>
          <w:szCs w:val="28"/>
          <w:lang w:eastAsia="zh-CN"/>
        </w:rPr>
        <w:t>】，我公司</w:t>
      </w:r>
      <w:r>
        <w:rPr>
          <w:rFonts w:hint="eastAsia" w:ascii="仿宋_GB2312" w:hAnsi="Plotter" w:eastAsia="仿宋_GB2312"/>
          <w:sz w:val="28"/>
        </w:rPr>
        <w:t>指派专业估价人员对</w:t>
      </w:r>
      <w:r>
        <w:rPr>
          <w:rFonts w:hint="eastAsia" w:ascii="仿宋_GB2312" w:eastAsia="仿宋_GB2312"/>
          <w:sz w:val="28"/>
          <w:szCs w:val="28"/>
        </w:rPr>
        <w:t>位于</w:t>
      </w:r>
      <w:r>
        <w:rPr>
          <w:rFonts w:hint="eastAsia" w:ascii="仿宋_GB2312" w:eastAsia="仿宋_GB2312"/>
          <w:sz w:val="28"/>
          <w:szCs w:val="28"/>
          <w:lang w:eastAsia="zh-CN"/>
        </w:rPr>
        <w:t>青海民和回族土族自治县川口镇公园北路15号1幢1单元18层1181、1182、1183室和2单元18层2181、2182、2183室</w:t>
      </w:r>
      <w:r>
        <w:rPr>
          <w:rFonts w:hint="eastAsia" w:ascii="仿宋_GB2312" w:eastAsia="仿宋_GB2312"/>
          <w:sz w:val="28"/>
          <w:szCs w:val="28"/>
        </w:rPr>
        <w:t>的</w:t>
      </w:r>
      <w:r>
        <w:rPr>
          <w:rFonts w:hint="eastAsia" w:ascii="仿宋_GB2312" w:eastAsia="仿宋_GB2312"/>
          <w:sz w:val="28"/>
          <w:szCs w:val="28"/>
          <w:lang w:eastAsia="zh-CN"/>
        </w:rPr>
        <w:t>六套住宅房地产进行了实地查勘，并对其市场价值进行了估价。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eastAsia="仿宋_GB2312"/>
          <w:color w:val="000000"/>
          <w:w w:val="95"/>
          <w:sz w:val="28"/>
          <w:szCs w:val="32"/>
          <w:lang w:val="en-US" w:eastAsia="zh-CN"/>
        </w:rPr>
      </w:pPr>
      <w:r>
        <w:rPr>
          <w:rFonts w:hint="eastAsia" w:ascii="仿宋_GB2312" w:eastAsia="仿宋_GB2312"/>
          <w:sz w:val="28"/>
          <w:szCs w:val="28"/>
          <w:lang w:val="en-US" w:eastAsia="zh-CN"/>
        </w:rPr>
        <w:t>1、</w:t>
      </w:r>
      <w:r>
        <w:rPr>
          <w:rFonts w:hint="eastAsia" w:ascii="仿宋_GB2312" w:hAnsi="Plotter" w:eastAsia="仿宋_GB2312"/>
          <w:sz w:val="28"/>
          <w:szCs w:val="28"/>
        </w:rPr>
        <w:t>估价对象</w:t>
      </w:r>
      <w:r>
        <w:rPr>
          <w:rFonts w:hint="eastAsia" w:ascii="仿宋_GB2312" w:hAnsi="Plotter" w:eastAsia="仿宋_GB2312"/>
          <w:sz w:val="28"/>
          <w:szCs w:val="28"/>
          <w:lang w:eastAsia="zh-CN"/>
        </w:rPr>
        <w:t>：</w:t>
      </w:r>
      <w:r>
        <w:rPr>
          <w:rFonts w:hint="eastAsia" w:ascii="仿宋_GB2312" w:eastAsia="仿宋_GB2312"/>
          <w:sz w:val="28"/>
          <w:szCs w:val="28"/>
        </w:rPr>
        <w:t>估价对象</w:t>
      </w:r>
      <w:r>
        <w:rPr>
          <w:rFonts w:hint="eastAsia" w:ascii="仿宋_GB2312" w:eastAsia="仿宋_GB2312"/>
          <w:sz w:val="28"/>
          <w:szCs w:val="28"/>
          <w:lang w:val="en-US" w:eastAsia="zh-CN"/>
        </w:rPr>
        <w:t>系</w:t>
      </w:r>
      <w:r>
        <w:rPr>
          <w:rFonts w:hint="eastAsia" w:ascii="仿宋_GB2312" w:eastAsia="仿宋_GB2312"/>
          <w:sz w:val="28"/>
          <w:szCs w:val="28"/>
          <w:lang w:eastAsia="zh-CN"/>
        </w:rPr>
        <w:t>青海金天地房地产开发有限公司(</w:t>
      </w:r>
      <w:r>
        <w:rPr>
          <w:rFonts w:hint="eastAsia" w:ascii="仿宋_GB2312" w:eastAsia="仿宋_GB2312"/>
          <w:sz w:val="28"/>
          <w:szCs w:val="28"/>
          <w:lang w:val="en-US" w:eastAsia="zh-CN"/>
        </w:rPr>
        <w:t>开发商</w:t>
      </w:r>
      <w:r>
        <w:rPr>
          <w:rFonts w:hint="eastAsia" w:ascii="仿宋_GB2312" w:eastAsia="仿宋_GB2312"/>
          <w:sz w:val="28"/>
          <w:szCs w:val="28"/>
          <w:lang w:eastAsia="zh-CN"/>
        </w:rPr>
        <w:t>)</w:t>
      </w:r>
      <w:r>
        <w:rPr>
          <w:rFonts w:hint="eastAsia" w:ascii="仿宋_GB2312" w:eastAsia="仿宋_GB2312"/>
          <w:sz w:val="28"/>
          <w:szCs w:val="28"/>
          <w:lang w:val="en-US" w:eastAsia="zh-CN"/>
        </w:rPr>
        <w:t>名下</w:t>
      </w:r>
      <w:r>
        <w:rPr>
          <w:rFonts w:hint="eastAsia" w:ascii="仿宋_GB2312" w:eastAsia="仿宋_GB2312"/>
          <w:sz w:val="28"/>
          <w:szCs w:val="28"/>
        </w:rPr>
        <w:t>位于</w:t>
      </w:r>
      <w:r>
        <w:rPr>
          <w:rFonts w:hint="eastAsia" w:ascii="仿宋_GB2312" w:eastAsia="仿宋_GB2312"/>
          <w:sz w:val="28"/>
          <w:szCs w:val="28"/>
          <w:lang w:eastAsia="zh-CN"/>
        </w:rPr>
        <w:t>青海民和回族土族自治县川口镇公园北路15号1幢1单元18层1181、1182、1183室和2单元18层2181、2182、2183室</w:t>
      </w:r>
      <w:r>
        <w:rPr>
          <w:rFonts w:hint="eastAsia" w:ascii="仿宋_GB2312" w:eastAsia="仿宋_GB2312"/>
          <w:sz w:val="28"/>
          <w:szCs w:val="28"/>
          <w:lang w:val="en-US" w:eastAsia="zh-CN"/>
        </w:rPr>
        <w:t>的</w:t>
      </w:r>
      <w:r>
        <w:rPr>
          <w:rFonts w:hint="eastAsia" w:ascii="仿宋_GB2312" w:eastAsia="仿宋_GB2312"/>
          <w:sz w:val="28"/>
          <w:szCs w:val="28"/>
          <w:lang w:eastAsia="zh-CN"/>
        </w:rPr>
        <w:t>六套住宅房地产</w:t>
      </w:r>
      <w:r>
        <w:rPr>
          <w:rFonts w:hint="eastAsia" w:ascii="仿宋_GB2312" w:eastAsia="仿宋_GB2312"/>
          <w:sz w:val="28"/>
          <w:szCs w:val="28"/>
          <w:lang w:val="en-US" w:eastAsia="zh-CN"/>
        </w:rPr>
        <w:t>，房屋</w:t>
      </w:r>
      <w:r>
        <w:rPr>
          <w:rFonts w:hint="eastAsia" w:ascii="仿宋_GB2312" w:hAnsi="Plotter" w:eastAsia="仿宋_GB2312"/>
          <w:color w:val="000000"/>
          <w:sz w:val="28"/>
          <w:szCs w:val="28"/>
        </w:rPr>
        <w:t>建筑面积</w:t>
      </w:r>
      <w:r>
        <w:rPr>
          <w:rFonts w:hint="eastAsia" w:ascii="仿宋_GB2312" w:hAnsi="Plotter" w:eastAsia="仿宋_GB2312"/>
          <w:color w:val="000000"/>
          <w:sz w:val="28"/>
          <w:szCs w:val="28"/>
          <w:lang w:val="en-US" w:eastAsia="zh-CN"/>
        </w:rPr>
        <w:t>合计为</w:t>
      </w:r>
      <w:r>
        <w:rPr>
          <w:rFonts w:hint="eastAsia" w:ascii="仿宋_GB2312" w:eastAsia="仿宋_GB2312"/>
          <w:sz w:val="28"/>
          <w:szCs w:val="28"/>
          <w:lang w:eastAsia="zh-CN"/>
        </w:rPr>
        <w:t>1751.92</w:t>
      </w:r>
      <w:r>
        <w:rPr>
          <w:rFonts w:hint="eastAsia" w:ascii="仿宋_GB2312" w:hAnsi="Plotter" w:eastAsia="仿宋_GB2312"/>
          <w:color w:val="000000"/>
          <w:sz w:val="28"/>
          <w:szCs w:val="28"/>
          <w:lang w:eastAsia="zh-CN"/>
        </w:rPr>
        <w:t>平方米。</w:t>
      </w:r>
      <w:r>
        <w:rPr>
          <w:rFonts w:hint="eastAsia" w:ascii="仿宋_GB2312" w:eastAsia="仿宋_GB2312"/>
          <w:color w:val="000000"/>
          <w:w w:val="95"/>
          <w:sz w:val="28"/>
          <w:szCs w:val="32"/>
          <w:lang w:eastAsia="zh-CN"/>
        </w:rPr>
        <w:t>估价对象为预售商品房，尚未办理相关</w:t>
      </w:r>
      <w:r>
        <w:rPr>
          <w:rFonts w:hint="eastAsia" w:ascii="仿宋_GB2312" w:eastAsia="仿宋_GB2312"/>
          <w:color w:val="000000"/>
          <w:w w:val="95"/>
          <w:sz w:val="28"/>
          <w:szCs w:val="32"/>
          <w:lang w:val="en-US" w:eastAsia="zh-CN"/>
        </w:rPr>
        <w:t>不动</w:t>
      </w:r>
      <w:r>
        <w:rPr>
          <w:rFonts w:hint="eastAsia" w:ascii="仿宋_GB2312" w:eastAsia="仿宋_GB2312"/>
          <w:color w:val="000000"/>
          <w:w w:val="95"/>
          <w:sz w:val="28"/>
          <w:szCs w:val="32"/>
          <w:lang w:eastAsia="zh-CN"/>
        </w:rPr>
        <w:t>产权证。</w:t>
      </w:r>
      <w:r>
        <w:rPr>
          <w:rFonts w:hint="eastAsia" w:ascii="仿宋_GB2312" w:eastAsia="仿宋_GB2312"/>
          <w:color w:val="000000"/>
          <w:w w:val="95"/>
          <w:sz w:val="28"/>
          <w:szCs w:val="32"/>
          <w:lang w:val="en-US" w:eastAsia="zh-CN"/>
        </w:rPr>
        <w:t>该小区总用地的规划用途为商住用地，使用权类型为出让。</w:t>
      </w:r>
    </w:p>
    <w:p>
      <w:pPr>
        <w:keepNext w:val="0"/>
        <w:keepLines w:val="0"/>
        <w:pageBreakBefore w:val="0"/>
        <w:widowControl w:val="0"/>
        <w:kinsoku/>
        <w:wordWrap/>
        <w:overflowPunct/>
        <w:topLinePunct w:val="0"/>
        <w:autoSpaceDE/>
        <w:autoSpaceDN/>
        <w:bidi w:val="0"/>
        <w:adjustRightInd/>
        <w:snapToGrid w:val="0"/>
        <w:spacing w:line="500" w:lineRule="exact"/>
        <w:ind w:firstLine="571" w:firstLineChars="204"/>
        <w:textAlignment w:val="auto"/>
        <w:rPr>
          <w:rFonts w:hint="eastAsia" w:ascii="仿宋_GB2312" w:eastAsia="仿宋_GB2312"/>
          <w:sz w:val="28"/>
          <w:szCs w:val="28"/>
        </w:rPr>
      </w:pPr>
      <w:r>
        <w:rPr>
          <w:rFonts w:hint="eastAsia" w:ascii="仿宋_GB2312" w:hAnsi="Plotter" w:eastAsia="仿宋_GB2312"/>
          <w:sz w:val="28"/>
        </w:rPr>
        <w:t>2、估价目的</w:t>
      </w:r>
      <w:r>
        <w:rPr>
          <w:rFonts w:hint="eastAsia" w:ascii="仿宋_GB2312" w:hAnsi="Plotter" w:eastAsia="仿宋_GB2312"/>
          <w:sz w:val="28"/>
          <w:lang w:eastAsia="zh-CN"/>
        </w:rPr>
        <w:t>：</w:t>
      </w:r>
      <w:r>
        <w:rPr>
          <w:rFonts w:hint="eastAsia" w:ascii="仿宋_GB2312" w:eastAsia="仿宋_GB2312"/>
          <w:sz w:val="28"/>
          <w:szCs w:val="28"/>
          <w:lang w:eastAsia="zh-CN"/>
        </w:rPr>
        <w:t>为司法处置(诉讼)提供参考依据而评估房地产市场价值</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val="0"/>
        <w:spacing w:line="500" w:lineRule="exact"/>
        <w:ind w:firstLine="571" w:firstLineChars="204"/>
        <w:textAlignment w:val="auto"/>
        <w:rPr>
          <w:rFonts w:hint="eastAsia" w:ascii="仿宋_GB2312" w:hAnsi="Plotter" w:eastAsia="仿宋_GB2312"/>
          <w:sz w:val="28"/>
          <w:lang w:eastAsia="zh-CN"/>
        </w:rPr>
      </w:pPr>
      <w:r>
        <w:rPr>
          <w:rFonts w:hint="eastAsia" w:ascii="仿宋_GB2312" w:hAnsi="Plotter" w:eastAsia="仿宋_GB2312"/>
          <w:sz w:val="28"/>
        </w:rPr>
        <w:t>3、价值时点</w:t>
      </w:r>
      <w:r>
        <w:rPr>
          <w:rFonts w:hint="eastAsia" w:ascii="仿宋_GB2312" w:hAnsi="Plotter" w:eastAsia="仿宋_GB2312"/>
          <w:sz w:val="28"/>
          <w:lang w:eastAsia="zh-CN"/>
        </w:rPr>
        <w:t>：2019年08月20日。</w:t>
      </w:r>
    </w:p>
    <w:p>
      <w:pPr>
        <w:keepNext w:val="0"/>
        <w:keepLines w:val="0"/>
        <w:pageBreakBefore w:val="0"/>
        <w:widowControl w:val="0"/>
        <w:kinsoku/>
        <w:wordWrap/>
        <w:overflowPunct/>
        <w:topLinePunct w:val="0"/>
        <w:autoSpaceDE/>
        <w:autoSpaceDN/>
        <w:bidi w:val="0"/>
        <w:adjustRightInd/>
        <w:snapToGrid w:val="0"/>
        <w:spacing w:line="500" w:lineRule="exact"/>
        <w:ind w:firstLine="571" w:firstLineChars="204"/>
        <w:textAlignment w:val="auto"/>
        <w:rPr>
          <w:rFonts w:hint="eastAsia" w:ascii="仿宋_GB2312" w:hAnsi="Plotter" w:eastAsia="仿宋_GB2312"/>
          <w:sz w:val="28"/>
        </w:rPr>
      </w:pPr>
      <w:r>
        <w:rPr>
          <w:rFonts w:hint="eastAsia" w:ascii="仿宋_GB2312" w:hAnsi="Plotter" w:eastAsia="仿宋_GB2312"/>
          <w:sz w:val="28"/>
        </w:rPr>
        <w:t>4、价值类型</w:t>
      </w:r>
      <w:r>
        <w:rPr>
          <w:rFonts w:hint="eastAsia" w:ascii="仿宋_GB2312" w:hAnsi="Plotter" w:eastAsia="仿宋_GB2312"/>
          <w:sz w:val="28"/>
          <w:lang w:eastAsia="zh-CN"/>
        </w:rPr>
        <w:t>：</w:t>
      </w:r>
      <w:r>
        <w:rPr>
          <w:rFonts w:hint="eastAsia" w:ascii="仿宋_GB2312" w:hAnsi="Plotter" w:eastAsia="仿宋_GB2312"/>
          <w:sz w:val="28"/>
        </w:rPr>
        <w:t>市场价值</w:t>
      </w:r>
      <w:r>
        <w:rPr>
          <w:rFonts w:hint="eastAsia" w:ascii="仿宋_GB2312" w:hAnsi="Plotter" w:eastAsia="仿宋_GB2312"/>
          <w:sz w:val="28"/>
          <w:lang w:eastAsia="zh-CN"/>
        </w:rPr>
        <w:t>。</w:t>
      </w:r>
    </w:p>
    <w:p>
      <w:pPr>
        <w:keepNext w:val="0"/>
        <w:keepLines w:val="0"/>
        <w:pageBreakBefore w:val="0"/>
        <w:widowControl w:val="0"/>
        <w:kinsoku/>
        <w:wordWrap/>
        <w:overflowPunct/>
        <w:topLinePunct w:val="0"/>
        <w:autoSpaceDE/>
        <w:autoSpaceDN/>
        <w:bidi w:val="0"/>
        <w:adjustRightInd/>
        <w:snapToGrid w:val="0"/>
        <w:spacing w:line="500" w:lineRule="exact"/>
        <w:ind w:firstLine="571" w:firstLineChars="204"/>
        <w:textAlignment w:val="auto"/>
        <w:rPr>
          <w:rFonts w:hint="eastAsia" w:ascii="仿宋_GB2312" w:hAnsi="Plotter" w:eastAsia="仿宋_GB2312"/>
          <w:sz w:val="28"/>
          <w:lang w:eastAsia="zh-CN"/>
        </w:rPr>
      </w:pPr>
      <w:r>
        <w:rPr>
          <w:rFonts w:hint="eastAsia" w:ascii="仿宋_GB2312" w:hAnsi="Plotter" w:eastAsia="仿宋_GB2312"/>
          <w:sz w:val="28"/>
        </w:rPr>
        <w:t>5、估价结果：</w:t>
      </w:r>
    </w:p>
    <w:p>
      <w:pPr>
        <w:keepNext w:val="0"/>
        <w:keepLines w:val="0"/>
        <w:pageBreakBefore w:val="0"/>
        <w:widowControl w:val="0"/>
        <w:kinsoku/>
        <w:wordWrap/>
        <w:overflowPunct/>
        <w:topLinePunct w:val="0"/>
        <w:autoSpaceDE/>
        <w:autoSpaceDN/>
        <w:bidi w:val="0"/>
        <w:adjustRightInd/>
        <w:snapToGrid w:val="0"/>
        <w:spacing w:line="500" w:lineRule="exact"/>
        <w:ind w:firstLine="571" w:firstLineChars="204"/>
        <w:textAlignment w:val="auto"/>
        <w:rPr>
          <w:rFonts w:hint="eastAsia" w:ascii="仿宋" w:hAnsi="仿宋" w:eastAsia="仿宋" w:cs="仿宋"/>
          <w:sz w:val="28"/>
          <w:szCs w:val="28"/>
        </w:rPr>
      </w:pPr>
      <w:r>
        <w:rPr>
          <w:rFonts w:hint="eastAsia" w:ascii="仿宋_GB2312" w:hAnsi="Plotter" w:eastAsia="仿宋_GB2312"/>
          <w:sz w:val="28"/>
        </w:rPr>
        <w:t>本公司根据估价目的，依</w:t>
      </w:r>
      <w:r>
        <w:rPr>
          <w:rFonts w:hint="eastAsia" w:ascii="仿宋_GB2312" w:hAnsi="宋体" w:eastAsia="仿宋_GB2312" w:cs="宋体"/>
          <w:color w:val="333333"/>
          <w:sz w:val="28"/>
          <w:szCs w:val="28"/>
        </w:rPr>
        <w:t>据</w:t>
      </w:r>
      <w:r>
        <w:rPr>
          <w:rFonts w:hint="eastAsia" w:ascii="仿宋_GB2312" w:hAnsi="Plotter" w:eastAsia="仿宋_GB2312"/>
          <w:sz w:val="28"/>
          <w:szCs w:val="28"/>
        </w:rPr>
        <w:t>《房地产估价规范》以及有关法律、法规和政策的规定，</w:t>
      </w:r>
      <w:r>
        <w:rPr>
          <w:rFonts w:hint="eastAsia" w:ascii="仿宋_GB2312" w:eastAsia="仿宋_GB2312"/>
          <w:sz w:val="28"/>
          <w:szCs w:val="28"/>
        </w:rPr>
        <w:t>遵循独立、客观、公正、科学的估价原则，</w:t>
      </w:r>
      <w:r>
        <w:rPr>
          <w:rFonts w:hint="eastAsia" w:ascii="仿宋_GB2312" w:hAnsi="Plotter" w:eastAsia="仿宋_GB2312"/>
          <w:sz w:val="28"/>
          <w:szCs w:val="28"/>
        </w:rPr>
        <w:t>按照严谨的估价程序</w:t>
      </w:r>
      <w:r>
        <w:rPr>
          <w:rFonts w:hint="eastAsia" w:ascii="仿宋_GB2312" w:eastAsia="仿宋_GB2312"/>
          <w:sz w:val="28"/>
          <w:szCs w:val="28"/>
        </w:rPr>
        <w:t>，选用</w:t>
      </w:r>
      <w:r>
        <w:rPr>
          <w:rFonts w:hint="eastAsia" w:ascii="仿宋_GB2312" w:eastAsia="仿宋_GB2312"/>
          <w:color w:val="C00000"/>
          <w:sz w:val="28"/>
          <w:szCs w:val="28"/>
          <w:lang w:val="en-US" w:eastAsia="zh-CN"/>
        </w:rPr>
        <w:t>比较</w:t>
      </w:r>
      <w:r>
        <w:rPr>
          <w:rFonts w:hint="eastAsia" w:ascii="仿宋_GB2312" w:eastAsia="仿宋_GB2312"/>
          <w:color w:val="C00000"/>
          <w:sz w:val="28"/>
          <w:szCs w:val="28"/>
          <w:lang w:eastAsia="zh-CN"/>
        </w:rPr>
        <w:t>法</w:t>
      </w:r>
      <w:r>
        <w:rPr>
          <w:rFonts w:hint="eastAsia" w:ascii="仿宋_GB2312" w:eastAsia="仿宋_GB2312"/>
          <w:sz w:val="28"/>
          <w:szCs w:val="28"/>
        </w:rPr>
        <w:t>作为本次估价</w:t>
      </w:r>
      <w:r>
        <w:rPr>
          <w:rFonts w:hint="eastAsia" w:ascii="仿宋" w:hAnsi="仿宋" w:eastAsia="仿宋" w:cs="仿宋"/>
          <w:sz w:val="28"/>
          <w:szCs w:val="28"/>
        </w:rPr>
        <w:t>的基本方法，</w:t>
      </w:r>
      <w:r>
        <w:rPr>
          <w:rFonts w:hint="eastAsia" w:ascii="仿宋" w:hAnsi="仿宋" w:eastAsia="仿宋" w:cs="仿宋"/>
          <w:color w:val="000000"/>
          <w:kern w:val="0"/>
          <w:sz w:val="28"/>
          <w:szCs w:val="28"/>
        </w:rPr>
        <w:t>并在综合分析各种影响</w:t>
      </w:r>
      <w:r>
        <w:rPr>
          <w:rFonts w:hint="eastAsia" w:ascii="仿宋" w:hAnsi="仿宋" w:eastAsia="仿宋" w:cs="仿宋"/>
          <w:sz w:val="28"/>
          <w:szCs w:val="28"/>
        </w:rPr>
        <w:t>价格因素的基础上，经认真测算评定，确定估价对象在满足本报告估价假设和限制条件下，于价值时点的</w:t>
      </w:r>
      <w:r>
        <w:rPr>
          <w:rFonts w:hint="eastAsia" w:ascii="仿宋" w:hAnsi="仿宋" w:eastAsia="仿宋" w:cs="仿宋"/>
          <w:b/>
          <w:sz w:val="28"/>
          <w:szCs w:val="28"/>
        </w:rPr>
        <w:t>市场价值为人民币</w:t>
      </w:r>
      <w:r>
        <w:rPr>
          <w:rFonts w:hint="eastAsia" w:ascii="仿宋" w:hAnsi="仿宋" w:eastAsia="仿宋" w:cs="仿宋"/>
          <w:b/>
          <w:sz w:val="28"/>
          <w:szCs w:val="28"/>
          <w:lang w:eastAsia="zh-CN"/>
        </w:rPr>
        <w:t>956.72万元</w:t>
      </w:r>
      <w:r>
        <w:rPr>
          <w:rFonts w:hint="eastAsia" w:ascii="仿宋" w:hAnsi="仿宋" w:eastAsia="仿宋" w:cs="仿宋"/>
          <w:b/>
          <w:sz w:val="28"/>
          <w:szCs w:val="28"/>
        </w:rPr>
        <w:t>，大写人民币</w:t>
      </w:r>
      <w:r>
        <w:rPr>
          <w:rFonts w:hint="eastAsia" w:ascii="仿宋" w:hAnsi="仿宋" w:eastAsia="仿宋" w:cs="仿宋"/>
          <w:b/>
          <w:sz w:val="28"/>
          <w:szCs w:val="28"/>
          <w:lang w:eastAsia="zh-CN"/>
        </w:rPr>
        <w:t>玖佰伍拾陆万柒仟贰佰元整</w:t>
      </w:r>
      <w:r>
        <w:rPr>
          <w:rFonts w:hint="eastAsia" w:ascii="仿宋" w:hAnsi="仿宋" w:eastAsia="仿宋" w:cs="仿宋"/>
          <w:b/>
          <w:sz w:val="28"/>
          <w:szCs w:val="28"/>
        </w:rPr>
        <w:t>。</w:t>
      </w:r>
      <w:r>
        <w:rPr>
          <w:rFonts w:hint="eastAsia" w:ascii="仿宋" w:hAnsi="仿宋" w:eastAsia="仿宋" w:cs="仿宋"/>
          <w:b w:val="0"/>
          <w:bCs/>
          <w:sz w:val="28"/>
          <w:szCs w:val="28"/>
          <w:lang w:val="en-US" w:eastAsia="zh-CN"/>
        </w:rPr>
        <w:t>详见估价结果一览表。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本估价报告的有效期为</w:t>
      </w:r>
      <w:r>
        <w:rPr>
          <w:rFonts w:hint="eastAsia" w:ascii="仿宋" w:hAnsi="仿宋" w:eastAsia="仿宋" w:cs="仿宋"/>
          <w:sz w:val="28"/>
          <w:szCs w:val="28"/>
          <w:lang w:eastAsia="zh-CN"/>
        </w:rPr>
        <w:t>2019年09月02日</w:t>
      </w:r>
      <w:r>
        <w:rPr>
          <w:rFonts w:hint="eastAsia" w:ascii="仿宋" w:hAnsi="仿宋" w:eastAsia="仿宋" w:cs="仿宋"/>
          <w:sz w:val="28"/>
          <w:szCs w:val="28"/>
        </w:rPr>
        <w:t>起一年。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特此函告</w:t>
      </w:r>
    </w:p>
    <w:p>
      <w:pPr>
        <w:keepNext w:val="0"/>
        <w:keepLines w:val="0"/>
        <w:pageBreakBefore w:val="0"/>
        <w:widowControl w:val="0"/>
        <w:kinsoku/>
        <w:wordWrap/>
        <w:overflowPunct/>
        <w:topLinePunct w:val="0"/>
        <w:autoSpaceDE/>
        <w:autoSpaceDN/>
        <w:bidi w:val="0"/>
        <w:adjustRightInd/>
        <w:snapToGrid/>
        <w:spacing w:line="500" w:lineRule="exact"/>
        <w:ind w:firstLine="3920" w:firstLineChars="14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3920" w:firstLineChars="1400"/>
        <w:textAlignment w:val="auto"/>
        <w:outlineLvl w:val="9"/>
        <w:rPr>
          <w:rFonts w:hint="eastAsia" w:ascii="仿宋" w:hAnsi="仿宋" w:eastAsia="仿宋" w:cs="仿宋"/>
          <w:sz w:val="28"/>
          <w:szCs w:val="28"/>
        </w:rPr>
      </w:pPr>
      <w:r>
        <w:rPr>
          <w:rFonts w:hint="eastAsia" w:ascii="仿宋" w:hAnsi="仿宋" w:eastAsia="仿宋" w:cs="仿宋"/>
          <w:sz w:val="28"/>
          <w:szCs w:val="28"/>
        </w:rPr>
        <w:t>金华市华诚房地产土地评估有限责任公司</w:t>
      </w:r>
    </w:p>
    <w:p>
      <w:pPr>
        <w:keepNext w:val="0"/>
        <w:keepLines w:val="0"/>
        <w:pageBreakBefore w:val="0"/>
        <w:widowControl w:val="0"/>
        <w:kinsoku/>
        <w:wordWrap/>
        <w:overflowPunct/>
        <w:topLinePunct w:val="0"/>
        <w:autoSpaceDE/>
        <w:autoSpaceDN/>
        <w:bidi w:val="0"/>
        <w:adjustRightInd/>
        <w:snapToGrid/>
        <w:spacing w:line="500" w:lineRule="exact"/>
        <w:ind w:firstLine="3920" w:firstLineChars="140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法定代表人：</w:t>
      </w:r>
    </w:p>
    <w:p>
      <w:pPr>
        <w:keepNext w:val="0"/>
        <w:keepLines w:val="0"/>
        <w:pageBreakBefore w:val="0"/>
        <w:widowControl w:val="0"/>
        <w:kinsoku/>
        <w:wordWrap/>
        <w:overflowPunct/>
        <w:topLinePunct w:val="0"/>
        <w:autoSpaceDE/>
        <w:autoSpaceDN/>
        <w:bidi w:val="0"/>
        <w:adjustRightInd/>
        <w:snapToGrid/>
        <w:spacing w:line="500" w:lineRule="exact"/>
        <w:ind w:firstLine="5040" w:firstLineChars="18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 xml:space="preserve"> </w:t>
      </w:r>
      <w:r>
        <w:rPr>
          <w:rFonts w:hint="eastAsia" w:ascii="仿宋" w:hAnsi="仿宋" w:eastAsia="仿宋" w:cs="仿宋"/>
          <w:sz w:val="28"/>
          <w:szCs w:val="28"/>
          <w:lang w:eastAsia="zh-CN"/>
        </w:rPr>
        <w:t>2019年09月02日</w:t>
      </w:r>
    </w:p>
    <w:p>
      <w:pPr>
        <w:keepNext w:val="0"/>
        <w:keepLines w:val="0"/>
        <w:pageBreakBefore w:val="0"/>
        <w:widowControl w:val="0"/>
        <w:kinsoku/>
        <w:wordWrap/>
        <w:overflowPunct/>
        <w:topLinePunct w:val="0"/>
        <w:autoSpaceDE/>
        <w:autoSpaceDN/>
        <w:bidi w:val="0"/>
        <w:adjustRightInd/>
        <w:snapToGrid/>
        <w:spacing w:line="500" w:lineRule="exact"/>
        <w:ind w:firstLine="5040" w:firstLineChars="1800"/>
        <w:textAlignment w:val="auto"/>
        <w:outlineLvl w:val="9"/>
        <w:rPr>
          <w:rFonts w:hint="eastAsia" w:ascii="仿宋" w:hAnsi="仿宋" w:eastAsia="仿宋" w:cs="仿宋"/>
          <w:sz w:val="28"/>
          <w:szCs w:val="28"/>
          <w:lang w:eastAsia="zh-CN"/>
        </w:rPr>
      </w:pPr>
    </w:p>
    <w:tbl>
      <w:tblPr>
        <w:tblStyle w:val="24"/>
        <w:tblW w:w="9715" w:type="dxa"/>
        <w:tblInd w:w="0" w:type="dxa"/>
        <w:shd w:val="clear" w:color="auto" w:fill="auto"/>
        <w:tblLayout w:type="fixed"/>
        <w:tblCellMar>
          <w:top w:w="0" w:type="dxa"/>
          <w:left w:w="0" w:type="dxa"/>
          <w:bottom w:w="0" w:type="dxa"/>
          <w:right w:w="0" w:type="dxa"/>
        </w:tblCellMar>
      </w:tblPr>
      <w:tblGrid>
        <w:gridCol w:w="700"/>
        <w:gridCol w:w="1065"/>
        <w:gridCol w:w="1170"/>
        <w:gridCol w:w="1230"/>
        <w:gridCol w:w="1020"/>
        <w:gridCol w:w="1335"/>
        <w:gridCol w:w="1620"/>
        <w:gridCol w:w="240"/>
        <w:gridCol w:w="1335"/>
      </w:tblGrid>
      <w:tr>
        <w:tblPrEx>
          <w:shd w:val="clear" w:color="auto" w:fill="auto"/>
          <w:tblLayout w:type="fixed"/>
          <w:tblCellMar>
            <w:top w:w="0" w:type="dxa"/>
            <w:left w:w="0" w:type="dxa"/>
            <w:bottom w:w="0" w:type="dxa"/>
            <w:right w:w="0" w:type="dxa"/>
          </w:tblCellMar>
        </w:tblPrEx>
        <w:trPr>
          <w:trHeight w:val="660" w:hRule="atLeast"/>
        </w:trPr>
        <w:tc>
          <w:tcPr>
            <w:tcW w:w="9715"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估价结果一览表</w:t>
            </w:r>
          </w:p>
        </w:tc>
      </w:tr>
      <w:tr>
        <w:tblPrEx>
          <w:tblLayout w:type="fixed"/>
          <w:tblCellMar>
            <w:top w:w="0" w:type="dxa"/>
            <w:left w:w="0" w:type="dxa"/>
            <w:bottom w:w="0" w:type="dxa"/>
            <w:right w:w="0" w:type="dxa"/>
          </w:tblCellMar>
        </w:tblPrEx>
        <w:trPr>
          <w:trHeight w:val="66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房号</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所在楼层</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建筑面积(㎡)</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单价(元/㎡)</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评估价值(万元)</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其中:装修余值(万元)</w:t>
            </w:r>
          </w:p>
        </w:tc>
      </w:tr>
      <w:tr>
        <w:tblPrEx>
          <w:tblLayout w:type="fixed"/>
          <w:tblCellMar>
            <w:top w:w="0" w:type="dxa"/>
            <w:left w:w="0" w:type="dxa"/>
            <w:bottom w:w="0" w:type="dxa"/>
            <w:right w:w="0" w:type="dxa"/>
          </w:tblCellMar>
        </w:tblPrEx>
        <w:trPr>
          <w:trHeight w:val="660" w:hRule="atLeast"/>
        </w:trPr>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1181</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18层</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177.20 </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305.26</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5321</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162.43 </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1.28 </w:t>
            </w:r>
          </w:p>
        </w:tc>
      </w:tr>
      <w:tr>
        <w:tblPrEx>
          <w:tblLayout w:type="fixed"/>
          <w:tblCellMar>
            <w:top w:w="0" w:type="dxa"/>
            <w:left w:w="0" w:type="dxa"/>
            <w:bottom w:w="0" w:type="dxa"/>
            <w:right w:w="0" w:type="dxa"/>
          </w:tblCellMar>
        </w:tblPrEx>
        <w:trPr>
          <w:trHeight w:val="66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1181跃</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128.06</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0" w:hRule="atLeast"/>
        </w:trPr>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1182</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18层</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146.52</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280.06</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5769</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161.57 </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15.18 </w:t>
            </w:r>
          </w:p>
        </w:tc>
      </w:tr>
      <w:tr>
        <w:tblPrEx>
          <w:tblLayout w:type="fixed"/>
          <w:tblCellMar>
            <w:top w:w="0" w:type="dxa"/>
            <w:left w:w="0" w:type="dxa"/>
            <w:bottom w:w="0" w:type="dxa"/>
            <w:right w:w="0" w:type="dxa"/>
          </w:tblCellMar>
        </w:tblPrEx>
        <w:trPr>
          <w:trHeight w:val="66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1182跃</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133.54</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0" w:hRule="atLeast"/>
        </w:trPr>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1183</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18层</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181.44</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290.64</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5950</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172.93 </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21.01 </w:t>
            </w:r>
          </w:p>
        </w:tc>
      </w:tr>
      <w:tr>
        <w:tblPrEx>
          <w:tblLayout w:type="fixed"/>
          <w:tblCellMar>
            <w:top w:w="0" w:type="dxa"/>
            <w:left w:w="0" w:type="dxa"/>
            <w:bottom w:w="0" w:type="dxa"/>
            <w:right w:w="0" w:type="dxa"/>
          </w:tblCellMar>
        </w:tblPrEx>
        <w:trPr>
          <w:trHeight w:val="66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1183跃</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109.20 </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0" w:hRule="atLeast"/>
        </w:trPr>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2181</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18层</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181.44</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290.64</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5227</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151.92 </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66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2181跃</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109.20 </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0" w:hRule="atLeast"/>
        </w:trPr>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2182</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18层</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146.52</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280.06</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5227</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146.39 </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66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2182跃</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133.54</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0" w:hRule="atLeast"/>
        </w:trPr>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2183</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18层</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177.20 </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305.26</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5290</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161.48 </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0.33 </w:t>
            </w:r>
          </w:p>
        </w:tc>
      </w:tr>
      <w:tr>
        <w:tblPrEx>
          <w:tblLayout w:type="fixed"/>
          <w:tblCellMar>
            <w:top w:w="0" w:type="dxa"/>
            <w:left w:w="0" w:type="dxa"/>
            <w:bottom w:w="0" w:type="dxa"/>
            <w:right w:w="0" w:type="dxa"/>
          </w:tblCellMar>
        </w:tblPrEx>
        <w:trPr>
          <w:trHeight w:val="660" w:hRule="atLeast"/>
        </w:trPr>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2183跃</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128.06</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60" w:hRule="atLeast"/>
        </w:trPr>
        <w:tc>
          <w:tcPr>
            <w:tcW w:w="293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合   计</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1751.92</w:t>
            </w:r>
          </w:p>
        </w:tc>
        <w:tc>
          <w:tcPr>
            <w:tcW w:w="10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1751.92</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956.72 </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37.80 </w:t>
            </w:r>
          </w:p>
        </w:tc>
      </w:tr>
    </w:tbl>
    <w:p>
      <w:pPr>
        <w:keepNext w:val="0"/>
        <w:keepLines w:val="0"/>
        <w:pageBreakBefore w:val="0"/>
        <w:widowControl w:val="0"/>
        <w:kinsoku/>
        <w:wordWrap/>
        <w:overflowPunct/>
        <w:topLinePunct w:val="0"/>
        <w:autoSpaceDE/>
        <w:autoSpaceDN/>
        <w:bidi w:val="0"/>
        <w:adjustRightInd/>
        <w:snapToGrid/>
        <w:spacing w:line="500" w:lineRule="exact"/>
        <w:ind w:firstLine="5040" w:firstLineChars="1800"/>
        <w:textAlignment w:val="auto"/>
        <w:outlineLvl w:val="9"/>
        <w:rPr>
          <w:rFonts w:hint="eastAsia" w:ascii="仿宋" w:hAnsi="仿宋" w:eastAsia="仿宋" w:cs="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040" w:firstLineChars="1800"/>
        <w:textAlignment w:val="auto"/>
        <w:outlineLvl w:val="9"/>
        <w:rPr>
          <w:rFonts w:hint="eastAsia" w:ascii="仿宋" w:hAnsi="仿宋" w:eastAsia="仿宋" w:cs="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040" w:firstLineChars="1800"/>
        <w:textAlignment w:val="auto"/>
        <w:outlineLvl w:val="9"/>
        <w:rPr>
          <w:rFonts w:hint="eastAsia" w:ascii="仿宋" w:hAnsi="仿宋" w:eastAsia="仿宋" w:cs="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040" w:firstLineChars="1800"/>
        <w:textAlignment w:val="auto"/>
        <w:outlineLvl w:val="9"/>
        <w:rPr>
          <w:rFonts w:hint="eastAsia" w:ascii="仿宋" w:hAnsi="仿宋" w:eastAsia="仿宋" w:cs="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040" w:firstLineChars="1800"/>
        <w:textAlignment w:val="auto"/>
        <w:outlineLvl w:val="9"/>
        <w:rPr>
          <w:rFonts w:hint="eastAsia" w:ascii="仿宋" w:hAnsi="仿宋" w:eastAsia="仿宋" w:cs="仿宋"/>
          <w:sz w:val="28"/>
          <w:szCs w:val="28"/>
          <w:lang w:eastAsia="zh-CN"/>
        </w:rPr>
      </w:pPr>
    </w:p>
    <w:p>
      <w:pPr>
        <w:spacing w:line="360" w:lineRule="auto"/>
        <w:jc w:val="center"/>
        <w:rPr>
          <w:rFonts w:eastAsia="仿宋_GB2312"/>
          <w:b/>
          <w:bCs/>
          <w:sz w:val="44"/>
        </w:rPr>
      </w:pPr>
      <w:r>
        <w:rPr>
          <w:rFonts w:hint="eastAsia" w:eastAsia="仿宋_GB2312"/>
          <w:b/>
          <w:bCs/>
          <w:sz w:val="44"/>
        </w:rPr>
        <w:t>目录</w:t>
      </w:r>
    </w:p>
    <w:p>
      <w:pPr>
        <w:pStyle w:val="17"/>
        <w:tabs>
          <w:tab w:val="right" w:leader="dot" w:pos="9344"/>
        </w:tabs>
        <w:spacing w:line="440" w:lineRule="exact"/>
        <w:rPr>
          <w:rFonts w:ascii="Calibri" w:hAnsi="Calibri"/>
          <w:szCs w:val="22"/>
        </w:rPr>
      </w:pPr>
      <w:r>
        <w:rPr>
          <w:rFonts w:ascii="仿宋_GB2312" w:hAnsi="宋体" w:eastAsia="仿宋_GB2312"/>
          <w:bCs/>
          <w:sz w:val="24"/>
          <w:szCs w:val="24"/>
        </w:rPr>
        <w:fldChar w:fldCharType="begin"/>
      </w:r>
      <w:r>
        <w:rPr>
          <w:rFonts w:ascii="仿宋_GB2312" w:hAnsi="宋体" w:eastAsia="仿宋_GB2312"/>
          <w:bCs/>
          <w:sz w:val="24"/>
          <w:szCs w:val="24"/>
        </w:rPr>
        <w:instrText xml:space="preserve"> TOC \o "1-3" \h \z \u </w:instrText>
      </w:r>
      <w:r>
        <w:rPr>
          <w:rFonts w:ascii="仿宋_GB2312" w:hAnsi="宋体" w:eastAsia="仿宋_GB2312"/>
          <w:bCs/>
          <w:sz w:val="24"/>
          <w:szCs w:val="24"/>
        </w:rPr>
        <w:fldChar w:fldCharType="separate"/>
      </w:r>
      <w:r>
        <w:fldChar w:fldCharType="begin"/>
      </w:r>
      <w:r>
        <w:instrText xml:space="preserve"> HYPERLINK \l "_Toc476334907" </w:instrText>
      </w:r>
      <w:r>
        <w:fldChar w:fldCharType="separate"/>
      </w:r>
      <w:r>
        <w:rPr>
          <w:rStyle w:val="31"/>
          <w:rFonts w:hint="eastAsia" w:eastAsia="仿宋_GB2312"/>
        </w:rPr>
        <w:t>估价师</w:t>
      </w:r>
      <w:r>
        <w:rPr>
          <w:rStyle w:val="31"/>
          <w:rFonts w:hint="eastAsia" w:ascii="仿宋_GB2312" w:hAnsi="宋体" w:eastAsia="仿宋_GB2312"/>
        </w:rPr>
        <w:t>声明</w:t>
      </w:r>
      <w:r>
        <w:tab/>
      </w:r>
      <w:r>
        <w:fldChar w:fldCharType="begin"/>
      </w:r>
      <w:r>
        <w:instrText xml:space="preserve"> PAGEREF _Toc476334907 \h </w:instrText>
      </w:r>
      <w:r>
        <w:fldChar w:fldCharType="separate"/>
      </w:r>
      <w:r>
        <w:t>1</w:t>
      </w:r>
      <w:r>
        <w:fldChar w:fldCharType="end"/>
      </w:r>
      <w:r>
        <w:fldChar w:fldCharType="end"/>
      </w:r>
    </w:p>
    <w:p>
      <w:pPr>
        <w:pStyle w:val="17"/>
        <w:tabs>
          <w:tab w:val="right" w:leader="dot" w:pos="9344"/>
        </w:tabs>
        <w:spacing w:line="440" w:lineRule="exact"/>
        <w:rPr>
          <w:rFonts w:ascii="Calibri" w:hAnsi="Calibri"/>
          <w:szCs w:val="22"/>
        </w:rPr>
      </w:pPr>
      <w:r>
        <w:fldChar w:fldCharType="begin"/>
      </w:r>
      <w:r>
        <w:instrText xml:space="preserve"> HYPERLINK \l "_Toc476334908" </w:instrText>
      </w:r>
      <w:r>
        <w:fldChar w:fldCharType="separate"/>
      </w:r>
      <w:r>
        <w:rPr>
          <w:rStyle w:val="31"/>
          <w:rFonts w:hint="eastAsia" w:ascii="仿宋_GB2312" w:hAnsi="宋体" w:eastAsia="仿宋_GB2312"/>
        </w:rPr>
        <w:t>估价的假设和限制条件</w:t>
      </w:r>
      <w:r>
        <w:tab/>
      </w:r>
      <w:r>
        <w:fldChar w:fldCharType="begin"/>
      </w:r>
      <w:r>
        <w:instrText xml:space="preserve"> PAGEREF _Toc476334908 \h </w:instrText>
      </w:r>
      <w:r>
        <w:fldChar w:fldCharType="separate"/>
      </w:r>
      <w:r>
        <w:t>2</w:t>
      </w:r>
      <w:r>
        <w:fldChar w:fldCharType="end"/>
      </w:r>
      <w:r>
        <w:fldChar w:fldCharType="end"/>
      </w:r>
    </w:p>
    <w:p>
      <w:pPr>
        <w:pStyle w:val="17"/>
        <w:tabs>
          <w:tab w:val="right" w:leader="dot" w:pos="9344"/>
        </w:tabs>
        <w:spacing w:line="440" w:lineRule="exact"/>
        <w:rPr>
          <w:rFonts w:ascii="Calibri" w:hAnsi="Calibri"/>
          <w:szCs w:val="22"/>
        </w:rPr>
      </w:pPr>
      <w:r>
        <w:fldChar w:fldCharType="begin"/>
      </w:r>
      <w:r>
        <w:instrText xml:space="preserve"> HYPERLINK \l "_Toc476334909" </w:instrText>
      </w:r>
      <w:r>
        <w:fldChar w:fldCharType="separate"/>
      </w:r>
      <w:r>
        <w:rPr>
          <w:rStyle w:val="31"/>
          <w:rFonts w:hint="eastAsia" w:ascii="仿宋_GB2312" w:hAnsi="宋体" w:eastAsia="仿宋_GB2312"/>
        </w:rPr>
        <w:t>房地产估价结果报告</w:t>
      </w:r>
      <w:r>
        <w:tab/>
      </w:r>
      <w:r>
        <w:fldChar w:fldCharType="begin"/>
      </w:r>
      <w:r>
        <w:instrText xml:space="preserve"> PAGEREF _Toc476334909 \h </w:instrText>
      </w:r>
      <w:r>
        <w:fldChar w:fldCharType="separate"/>
      </w:r>
      <w:r>
        <w:t>5</w:t>
      </w:r>
      <w:r>
        <w:fldChar w:fldCharType="end"/>
      </w:r>
      <w:r>
        <w:fldChar w:fldCharType="end"/>
      </w:r>
    </w:p>
    <w:p>
      <w:pPr>
        <w:pStyle w:val="21"/>
        <w:tabs>
          <w:tab w:val="right" w:leader="dot" w:pos="9356"/>
          <w:tab w:val="clear" w:pos="8494"/>
        </w:tabs>
        <w:spacing w:line="440" w:lineRule="exact"/>
        <w:rPr>
          <w:rFonts w:ascii="Calibri" w:hAnsi="Calibri"/>
          <w:szCs w:val="22"/>
        </w:rPr>
      </w:pPr>
      <w:r>
        <w:fldChar w:fldCharType="begin"/>
      </w:r>
      <w:r>
        <w:instrText xml:space="preserve"> HYPERLINK \l "_Toc476334910" </w:instrText>
      </w:r>
      <w:r>
        <w:fldChar w:fldCharType="separate"/>
      </w:r>
      <w:r>
        <w:rPr>
          <w:rStyle w:val="31"/>
          <w:rFonts w:hint="eastAsia" w:ascii="仿宋_GB2312" w:hAnsi="宋体" w:eastAsia="仿宋_GB2312"/>
        </w:rPr>
        <w:t>一、</w:t>
      </w:r>
      <w:r>
        <w:rPr>
          <w:rStyle w:val="31"/>
          <w:rFonts w:hint="eastAsia" w:ascii="仿宋_GB2312" w:eastAsia="仿宋_GB2312"/>
        </w:rPr>
        <w:t>估价委托人</w:t>
      </w:r>
      <w:r>
        <w:tab/>
      </w:r>
      <w:r>
        <w:fldChar w:fldCharType="begin"/>
      </w:r>
      <w:r>
        <w:instrText xml:space="preserve"> PAGEREF _Toc476334910 \h </w:instrText>
      </w:r>
      <w:r>
        <w:fldChar w:fldCharType="separate"/>
      </w:r>
      <w:r>
        <w:t>5</w:t>
      </w:r>
      <w:r>
        <w:fldChar w:fldCharType="end"/>
      </w:r>
      <w:r>
        <w:fldChar w:fldCharType="end"/>
      </w:r>
    </w:p>
    <w:p>
      <w:pPr>
        <w:pStyle w:val="21"/>
        <w:tabs>
          <w:tab w:val="right" w:leader="dot" w:pos="9356"/>
          <w:tab w:val="clear" w:pos="8494"/>
        </w:tabs>
        <w:spacing w:line="440" w:lineRule="exact"/>
        <w:rPr>
          <w:rFonts w:ascii="Calibri" w:hAnsi="Calibri"/>
          <w:szCs w:val="22"/>
        </w:rPr>
      </w:pPr>
      <w:r>
        <w:fldChar w:fldCharType="begin"/>
      </w:r>
      <w:r>
        <w:instrText xml:space="preserve"> HYPERLINK \l "_Toc476334911" </w:instrText>
      </w:r>
      <w:r>
        <w:fldChar w:fldCharType="separate"/>
      </w:r>
      <w:r>
        <w:rPr>
          <w:rStyle w:val="31"/>
          <w:rFonts w:hint="eastAsia" w:ascii="仿宋_GB2312" w:hAnsi="宋体" w:eastAsia="仿宋_GB2312"/>
        </w:rPr>
        <w:t>二、房地产估价机构</w:t>
      </w:r>
      <w:r>
        <w:tab/>
      </w:r>
      <w:r>
        <w:fldChar w:fldCharType="begin"/>
      </w:r>
      <w:r>
        <w:instrText xml:space="preserve"> PAGEREF _Toc476334911 \h </w:instrText>
      </w:r>
      <w:r>
        <w:fldChar w:fldCharType="separate"/>
      </w:r>
      <w:r>
        <w:t>5</w:t>
      </w:r>
      <w:r>
        <w:fldChar w:fldCharType="end"/>
      </w:r>
      <w:r>
        <w:fldChar w:fldCharType="end"/>
      </w:r>
    </w:p>
    <w:p>
      <w:pPr>
        <w:pStyle w:val="21"/>
        <w:tabs>
          <w:tab w:val="right" w:leader="dot" w:pos="9356"/>
          <w:tab w:val="clear" w:pos="8494"/>
        </w:tabs>
        <w:spacing w:line="440" w:lineRule="exact"/>
        <w:rPr>
          <w:rFonts w:ascii="Calibri" w:hAnsi="Calibri"/>
          <w:szCs w:val="22"/>
        </w:rPr>
      </w:pPr>
      <w:r>
        <w:fldChar w:fldCharType="begin"/>
      </w:r>
      <w:r>
        <w:instrText xml:space="preserve"> HYPERLINK \l "_Toc476334912" </w:instrText>
      </w:r>
      <w:r>
        <w:fldChar w:fldCharType="separate"/>
      </w:r>
      <w:r>
        <w:rPr>
          <w:rStyle w:val="31"/>
          <w:rFonts w:hint="eastAsia" w:ascii="仿宋_GB2312" w:hAnsi="宋体" w:eastAsia="仿宋_GB2312"/>
        </w:rPr>
        <w:t>三、估价对象</w:t>
      </w:r>
      <w:r>
        <w:tab/>
      </w:r>
      <w:r>
        <w:fldChar w:fldCharType="begin"/>
      </w:r>
      <w:r>
        <w:instrText xml:space="preserve"> PAGEREF _Toc476334912 \h </w:instrText>
      </w:r>
      <w:r>
        <w:fldChar w:fldCharType="separate"/>
      </w:r>
      <w:r>
        <w:t>5</w:t>
      </w:r>
      <w:r>
        <w:fldChar w:fldCharType="end"/>
      </w:r>
      <w:r>
        <w:fldChar w:fldCharType="end"/>
      </w:r>
    </w:p>
    <w:p>
      <w:pPr>
        <w:pStyle w:val="21"/>
        <w:tabs>
          <w:tab w:val="right" w:leader="dot" w:pos="9356"/>
          <w:tab w:val="clear" w:pos="8494"/>
        </w:tabs>
        <w:spacing w:line="440" w:lineRule="exact"/>
        <w:rPr>
          <w:rFonts w:ascii="Calibri" w:hAnsi="Calibri"/>
          <w:szCs w:val="22"/>
        </w:rPr>
      </w:pPr>
      <w:r>
        <w:fldChar w:fldCharType="begin"/>
      </w:r>
      <w:r>
        <w:instrText xml:space="preserve"> HYPERLINK \l "_Toc476334913" </w:instrText>
      </w:r>
      <w:r>
        <w:fldChar w:fldCharType="separate"/>
      </w:r>
      <w:r>
        <w:rPr>
          <w:rStyle w:val="31"/>
          <w:rFonts w:hint="eastAsia" w:ascii="仿宋_GB2312" w:hAnsi="宋体" w:eastAsia="仿宋_GB2312"/>
        </w:rPr>
        <w:t>四、估价目的</w:t>
      </w:r>
      <w:r>
        <w:tab/>
      </w:r>
      <w:r>
        <w:fldChar w:fldCharType="begin"/>
      </w:r>
      <w:r>
        <w:instrText xml:space="preserve"> PAGEREF _Toc476334913 \h </w:instrText>
      </w:r>
      <w:r>
        <w:fldChar w:fldCharType="separate"/>
      </w:r>
      <w:r>
        <w:t>7</w:t>
      </w:r>
      <w:r>
        <w:fldChar w:fldCharType="end"/>
      </w:r>
      <w:r>
        <w:fldChar w:fldCharType="end"/>
      </w:r>
    </w:p>
    <w:p>
      <w:pPr>
        <w:pStyle w:val="21"/>
        <w:tabs>
          <w:tab w:val="right" w:leader="dot" w:pos="9356"/>
          <w:tab w:val="clear" w:pos="8494"/>
        </w:tabs>
        <w:spacing w:line="440" w:lineRule="exact"/>
        <w:rPr>
          <w:rFonts w:ascii="Calibri" w:hAnsi="Calibri"/>
          <w:szCs w:val="22"/>
        </w:rPr>
      </w:pPr>
      <w:r>
        <w:fldChar w:fldCharType="begin"/>
      </w:r>
      <w:r>
        <w:instrText xml:space="preserve"> HYPERLINK \l "_Toc476334914" </w:instrText>
      </w:r>
      <w:r>
        <w:fldChar w:fldCharType="separate"/>
      </w:r>
      <w:r>
        <w:rPr>
          <w:rStyle w:val="31"/>
          <w:rFonts w:hint="eastAsia" w:ascii="仿宋_GB2312" w:hAnsi="宋体" w:eastAsia="仿宋_GB2312"/>
        </w:rPr>
        <w:t>五、价值时点</w:t>
      </w:r>
      <w:r>
        <w:tab/>
      </w:r>
      <w:r>
        <w:fldChar w:fldCharType="begin"/>
      </w:r>
      <w:r>
        <w:instrText xml:space="preserve"> PAGEREF _Toc476334914 \h </w:instrText>
      </w:r>
      <w:r>
        <w:fldChar w:fldCharType="separate"/>
      </w:r>
      <w:r>
        <w:t>7</w:t>
      </w:r>
      <w:r>
        <w:fldChar w:fldCharType="end"/>
      </w:r>
      <w:r>
        <w:fldChar w:fldCharType="end"/>
      </w:r>
    </w:p>
    <w:p>
      <w:pPr>
        <w:pStyle w:val="21"/>
        <w:tabs>
          <w:tab w:val="right" w:leader="dot" w:pos="9356"/>
          <w:tab w:val="clear" w:pos="8494"/>
        </w:tabs>
        <w:spacing w:line="440" w:lineRule="exact"/>
        <w:rPr>
          <w:rFonts w:ascii="Calibri" w:hAnsi="Calibri"/>
          <w:szCs w:val="22"/>
        </w:rPr>
      </w:pPr>
      <w:r>
        <w:fldChar w:fldCharType="begin"/>
      </w:r>
      <w:r>
        <w:instrText xml:space="preserve"> HYPERLINK \l "_Toc476334915" </w:instrText>
      </w:r>
      <w:r>
        <w:fldChar w:fldCharType="separate"/>
      </w:r>
      <w:r>
        <w:rPr>
          <w:rStyle w:val="31"/>
          <w:rFonts w:hint="eastAsia" w:ascii="仿宋_GB2312" w:hAnsi="宋体" w:eastAsia="仿宋_GB2312"/>
        </w:rPr>
        <w:t>六、价值定义</w:t>
      </w:r>
      <w:r>
        <w:tab/>
      </w:r>
      <w:r>
        <w:fldChar w:fldCharType="begin"/>
      </w:r>
      <w:r>
        <w:instrText xml:space="preserve"> PAGEREF _Toc476334915 \h </w:instrText>
      </w:r>
      <w:r>
        <w:fldChar w:fldCharType="separate"/>
      </w:r>
      <w:r>
        <w:t>7</w:t>
      </w:r>
      <w:r>
        <w:fldChar w:fldCharType="end"/>
      </w:r>
      <w:r>
        <w:fldChar w:fldCharType="end"/>
      </w:r>
    </w:p>
    <w:p>
      <w:pPr>
        <w:pStyle w:val="21"/>
        <w:tabs>
          <w:tab w:val="right" w:leader="dot" w:pos="9356"/>
          <w:tab w:val="clear" w:pos="8494"/>
        </w:tabs>
        <w:spacing w:line="440" w:lineRule="exact"/>
        <w:rPr>
          <w:rFonts w:ascii="Calibri" w:hAnsi="Calibri"/>
          <w:szCs w:val="22"/>
        </w:rPr>
      </w:pPr>
      <w:r>
        <w:fldChar w:fldCharType="begin"/>
      </w:r>
      <w:r>
        <w:instrText xml:space="preserve"> HYPERLINK \l "_Toc476334916" </w:instrText>
      </w:r>
      <w:r>
        <w:fldChar w:fldCharType="separate"/>
      </w:r>
      <w:r>
        <w:rPr>
          <w:rStyle w:val="31"/>
          <w:rFonts w:hint="eastAsia" w:ascii="仿宋_GB2312" w:hAnsi="宋体" w:eastAsia="仿宋_GB2312"/>
        </w:rPr>
        <w:t>七、估价依据</w:t>
      </w:r>
      <w:r>
        <w:tab/>
      </w:r>
      <w:r>
        <w:fldChar w:fldCharType="begin"/>
      </w:r>
      <w:r>
        <w:instrText xml:space="preserve"> PAGEREF _Toc476334916 \h </w:instrText>
      </w:r>
      <w:r>
        <w:fldChar w:fldCharType="separate"/>
      </w:r>
      <w:r>
        <w:t>7</w:t>
      </w:r>
      <w:r>
        <w:fldChar w:fldCharType="end"/>
      </w:r>
      <w:r>
        <w:fldChar w:fldCharType="end"/>
      </w:r>
    </w:p>
    <w:p>
      <w:pPr>
        <w:pStyle w:val="21"/>
        <w:tabs>
          <w:tab w:val="right" w:leader="dot" w:pos="9356"/>
          <w:tab w:val="clear" w:pos="8494"/>
        </w:tabs>
        <w:spacing w:line="440" w:lineRule="exact"/>
        <w:rPr>
          <w:rFonts w:ascii="Calibri" w:hAnsi="Calibri"/>
          <w:szCs w:val="22"/>
        </w:rPr>
      </w:pPr>
      <w:r>
        <w:fldChar w:fldCharType="begin"/>
      </w:r>
      <w:r>
        <w:instrText xml:space="preserve"> HYPERLINK \l "_Toc476334917" </w:instrText>
      </w:r>
      <w:r>
        <w:fldChar w:fldCharType="separate"/>
      </w:r>
      <w:r>
        <w:rPr>
          <w:rStyle w:val="31"/>
          <w:rFonts w:hint="eastAsia" w:ascii="仿宋_GB2312" w:hAnsi="宋体" w:eastAsia="仿宋_GB2312"/>
        </w:rPr>
        <w:t>八、估价原则</w:t>
      </w:r>
      <w:r>
        <w:tab/>
      </w:r>
      <w:r>
        <w:fldChar w:fldCharType="begin"/>
      </w:r>
      <w:r>
        <w:instrText xml:space="preserve"> PAGEREF _Toc476334917 \h </w:instrText>
      </w:r>
      <w:r>
        <w:fldChar w:fldCharType="separate"/>
      </w:r>
      <w:r>
        <w:t>8</w:t>
      </w:r>
      <w:r>
        <w:fldChar w:fldCharType="end"/>
      </w:r>
      <w:r>
        <w:fldChar w:fldCharType="end"/>
      </w:r>
    </w:p>
    <w:p>
      <w:pPr>
        <w:pStyle w:val="21"/>
        <w:tabs>
          <w:tab w:val="right" w:leader="dot" w:pos="9356"/>
          <w:tab w:val="clear" w:pos="8494"/>
        </w:tabs>
        <w:spacing w:line="440" w:lineRule="exact"/>
        <w:rPr>
          <w:rFonts w:ascii="Calibri" w:hAnsi="Calibri"/>
          <w:szCs w:val="22"/>
        </w:rPr>
      </w:pPr>
      <w:r>
        <w:fldChar w:fldCharType="begin"/>
      </w:r>
      <w:r>
        <w:instrText xml:space="preserve"> HYPERLINK \l "_Toc476334918" </w:instrText>
      </w:r>
      <w:r>
        <w:fldChar w:fldCharType="separate"/>
      </w:r>
      <w:r>
        <w:rPr>
          <w:rStyle w:val="31"/>
          <w:rFonts w:hint="eastAsia" w:ascii="仿宋_GB2312" w:hAnsi="宋体" w:eastAsia="仿宋_GB2312"/>
        </w:rPr>
        <w:t>九、估价方法</w:t>
      </w:r>
      <w:r>
        <w:tab/>
      </w:r>
      <w:r>
        <w:fldChar w:fldCharType="begin"/>
      </w:r>
      <w:r>
        <w:instrText xml:space="preserve"> PAGEREF _Toc476334918 \h </w:instrText>
      </w:r>
      <w:r>
        <w:fldChar w:fldCharType="separate"/>
      </w:r>
      <w:r>
        <w:t>9</w:t>
      </w:r>
      <w:r>
        <w:fldChar w:fldCharType="end"/>
      </w:r>
      <w:r>
        <w:fldChar w:fldCharType="end"/>
      </w:r>
    </w:p>
    <w:p>
      <w:pPr>
        <w:pStyle w:val="21"/>
        <w:tabs>
          <w:tab w:val="right" w:leader="dot" w:pos="9356"/>
          <w:tab w:val="clear" w:pos="8494"/>
        </w:tabs>
        <w:spacing w:line="440" w:lineRule="exact"/>
        <w:rPr>
          <w:rFonts w:ascii="Calibri" w:hAnsi="Calibri"/>
          <w:szCs w:val="22"/>
        </w:rPr>
      </w:pPr>
      <w:r>
        <w:fldChar w:fldCharType="begin"/>
      </w:r>
      <w:r>
        <w:instrText xml:space="preserve"> HYPERLINK \l "_Toc476334919" </w:instrText>
      </w:r>
      <w:r>
        <w:fldChar w:fldCharType="separate"/>
      </w:r>
      <w:r>
        <w:rPr>
          <w:rStyle w:val="31"/>
          <w:rFonts w:hint="eastAsia" w:ascii="仿宋_GB2312" w:hAnsi="宋体" w:eastAsia="仿宋_GB2312"/>
        </w:rPr>
        <w:t>十、估价结果</w:t>
      </w:r>
      <w:r>
        <w:tab/>
      </w:r>
      <w:r>
        <w:fldChar w:fldCharType="begin"/>
      </w:r>
      <w:r>
        <w:instrText xml:space="preserve"> PAGEREF _Toc476334919 \h </w:instrText>
      </w:r>
      <w:r>
        <w:fldChar w:fldCharType="separate"/>
      </w:r>
      <w:r>
        <w:t>9</w:t>
      </w:r>
      <w:r>
        <w:fldChar w:fldCharType="end"/>
      </w:r>
      <w:r>
        <w:fldChar w:fldCharType="end"/>
      </w:r>
    </w:p>
    <w:p>
      <w:pPr>
        <w:pStyle w:val="21"/>
        <w:tabs>
          <w:tab w:val="right" w:leader="dot" w:pos="9356"/>
          <w:tab w:val="clear" w:pos="8494"/>
        </w:tabs>
        <w:spacing w:line="440" w:lineRule="exact"/>
        <w:rPr>
          <w:rFonts w:ascii="Calibri" w:hAnsi="Calibri"/>
          <w:szCs w:val="22"/>
        </w:rPr>
      </w:pPr>
      <w:r>
        <w:fldChar w:fldCharType="begin"/>
      </w:r>
      <w:r>
        <w:instrText xml:space="preserve"> HYPERLINK \l "_Toc476334920" </w:instrText>
      </w:r>
      <w:r>
        <w:fldChar w:fldCharType="separate"/>
      </w:r>
      <w:r>
        <w:rPr>
          <w:rStyle w:val="31"/>
          <w:rFonts w:hint="eastAsia" w:ascii="仿宋_GB2312" w:hAnsi="宋体" w:eastAsia="仿宋_GB2312"/>
        </w:rPr>
        <w:t>十一、</w:t>
      </w:r>
      <w:r>
        <w:rPr>
          <w:rStyle w:val="31"/>
          <w:rFonts w:hint="eastAsia" w:ascii="仿宋_GB2312" w:eastAsia="仿宋_GB2312"/>
        </w:rPr>
        <w:t>注册房地产估价师</w:t>
      </w:r>
      <w:r>
        <w:tab/>
      </w:r>
      <w:r>
        <w:fldChar w:fldCharType="begin"/>
      </w:r>
      <w:r>
        <w:instrText xml:space="preserve"> PAGEREF _Toc476334920 \h </w:instrText>
      </w:r>
      <w:r>
        <w:fldChar w:fldCharType="separate"/>
      </w:r>
      <w:r>
        <w:t>10</w:t>
      </w:r>
      <w:r>
        <w:fldChar w:fldCharType="end"/>
      </w:r>
      <w:r>
        <w:fldChar w:fldCharType="end"/>
      </w:r>
    </w:p>
    <w:p>
      <w:pPr>
        <w:pStyle w:val="21"/>
        <w:tabs>
          <w:tab w:val="right" w:leader="dot" w:pos="9356"/>
          <w:tab w:val="clear" w:pos="8494"/>
        </w:tabs>
        <w:spacing w:line="440" w:lineRule="exact"/>
        <w:rPr>
          <w:rFonts w:ascii="Calibri" w:hAnsi="Calibri"/>
          <w:szCs w:val="22"/>
        </w:rPr>
      </w:pPr>
      <w:r>
        <w:fldChar w:fldCharType="begin"/>
      </w:r>
      <w:r>
        <w:instrText xml:space="preserve"> HYPERLINK \l "_Toc476334921" </w:instrText>
      </w:r>
      <w:r>
        <w:fldChar w:fldCharType="separate"/>
      </w:r>
      <w:r>
        <w:rPr>
          <w:rStyle w:val="31"/>
          <w:rFonts w:hint="eastAsia" w:ascii="仿宋_GB2312" w:hAnsi="宋体" w:eastAsia="仿宋_GB2312"/>
        </w:rPr>
        <w:t>十二、估价作业期</w:t>
      </w:r>
      <w:r>
        <w:tab/>
      </w:r>
      <w:r>
        <w:fldChar w:fldCharType="begin"/>
      </w:r>
      <w:r>
        <w:instrText xml:space="preserve"> PAGEREF _Toc476334921 \h </w:instrText>
      </w:r>
      <w:r>
        <w:fldChar w:fldCharType="separate"/>
      </w:r>
      <w:r>
        <w:t>10</w:t>
      </w:r>
      <w:r>
        <w:fldChar w:fldCharType="end"/>
      </w:r>
      <w:r>
        <w:fldChar w:fldCharType="end"/>
      </w:r>
    </w:p>
    <w:p>
      <w:pPr>
        <w:pStyle w:val="21"/>
        <w:tabs>
          <w:tab w:val="right" w:leader="dot" w:pos="9356"/>
          <w:tab w:val="clear" w:pos="8494"/>
        </w:tabs>
        <w:spacing w:line="440" w:lineRule="exact"/>
        <w:rPr>
          <w:rFonts w:ascii="Calibri" w:hAnsi="Calibri"/>
          <w:szCs w:val="22"/>
        </w:rPr>
      </w:pPr>
      <w:r>
        <w:fldChar w:fldCharType="begin"/>
      </w:r>
      <w:r>
        <w:instrText xml:space="preserve"> HYPERLINK \l "_Toc476334922" </w:instrText>
      </w:r>
      <w:r>
        <w:fldChar w:fldCharType="separate"/>
      </w:r>
      <w:r>
        <w:rPr>
          <w:rStyle w:val="31"/>
          <w:rFonts w:hint="eastAsia" w:ascii="仿宋_GB2312" w:hAnsi="宋体" w:eastAsia="仿宋_GB2312"/>
        </w:rPr>
        <w:t>十三、估价报告应用的有效期</w:t>
      </w:r>
      <w:r>
        <w:tab/>
      </w:r>
      <w:r>
        <w:fldChar w:fldCharType="begin"/>
      </w:r>
      <w:r>
        <w:instrText xml:space="preserve"> PAGEREF _Toc476334922 \h </w:instrText>
      </w:r>
      <w:r>
        <w:fldChar w:fldCharType="separate"/>
      </w:r>
      <w:r>
        <w:t>10</w:t>
      </w:r>
      <w:r>
        <w:fldChar w:fldCharType="end"/>
      </w:r>
      <w:r>
        <w:fldChar w:fldCharType="end"/>
      </w:r>
    </w:p>
    <w:p>
      <w:pPr>
        <w:pStyle w:val="17"/>
        <w:tabs>
          <w:tab w:val="right" w:leader="dot" w:pos="9344"/>
        </w:tabs>
        <w:spacing w:line="440" w:lineRule="exact"/>
        <w:rPr>
          <w:rFonts w:ascii="Calibri" w:hAnsi="Calibri"/>
          <w:szCs w:val="22"/>
        </w:rPr>
      </w:pPr>
      <w:r>
        <w:fldChar w:fldCharType="begin"/>
      </w:r>
      <w:r>
        <w:instrText xml:space="preserve"> HYPERLINK \l "_Toc476334923" </w:instrText>
      </w:r>
      <w:r>
        <w:fldChar w:fldCharType="separate"/>
      </w:r>
      <w:r>
        <w:rPr>
          <w:rStyle w:val="31"/>
          <w:rFonts w:hint="eastAsia" w:ascii="仿宋_GB2312" w:hAnsi="宋体" w:eastAsia="仿宋_GB2312"/>
        </w:rPr>
        <w:t>附件</w:t>
      </w:r>
      <w:r>
        <w:tab/>
      </w:r>
      <w:r>
        <w:fldChar w:fldCharType="begin"/>
      </w:r>
      <w:r>
        <w:instrText xml:space="preserve"> PAGEREF _Toc476334923 \h </w:instrText>
      </w:r>
      <w:r>
        <w:fldChar w:fldCharType="separate"/>
      </w:r>
      <w:r>
        <w:t>11</w:t>
      </w:r>
      <w:r>
        <w:fldChar w:fldCharType="end"/>
      </w:r>
      <w:r>
        <w:fldChar w:fldCharType="end"/>
      </w:r>
    </w:p>
    <w:p>
      <w:pPr>
        <w:spacing w:line="500" w:lineRule="exact"/>
        <w:rPr>
          <w:rFonts w:ascii="仿宋_GB2312" w:hAnsi="宋体" w:eastAsia="仿宋_GB2312"/>
          <w:sz w:val="21"/>
          <w:szCs w:val="21"/>
        </w:rPr>
      </w:pPr>
      <w:r>
        <w:rPr>
          <w:rFonts w:ascii="仿宋_GB2312" w:hAnsi="宋体" w:eastAsia="仿宋_GB2312"/>
          <w:bCs/>
          <w:sz w:val="24"/>
          <w:szCs w:val="24"/>
        </w:rPr>
        <w:fldChar w:fldCharType="end"/>
      </w:r>
      <w:r>
        <w:rPr>
          <w:rFonts w:hint="eastAsia" w:ascii="仿宋_GB2312" w:hAnsi="宋体" w:eastAsia="仿宋_GB2312"/>
          <w:bCs/>
          <w:sz w:val="24"/>
          <w:szCs w:val="24"/>
          <w:lang w:val="en-US" w:eastAsia="zh-CN"/>
        </w:rPr>
        <w:t xml:space="preserve">    </w:t>
      </w:r>
      <w:r>
        <w:rPr>
          <w:rFonts w:hint="eastAsia" w:ascii="仿宋_GB2312" w:hAnsi="宋体" w:eastAsia="仿宋_GB2312"/>
          <w:sz w:val="21"/>
          <w:szCs w:val="21"/>
        </w:rPr>
        <w:t>一、《司法评估委托书》复印件</w:t>
      </w:r>
    </w:p>
    <w:p>
      <w:pPr>
        <w:pageBreakBefore w:val="0"/>
        <w:kinsoku/>
        <w:wordWrap/>
        <w:overflowPunct/>
        <w:topLinePunct w:val="0"/>
        <w:autoSpaceDE/>
        <w:autoSpaceDN/>
        <w:bidi w:val="0"/>
        <w:adjustRightInd/>
        <w:spacing w:line="500" w:lineRule="exact"/>
        <w:ind w:firstLine="420" w:firstLineChars="200"/>
        <w:textAlignment w:val="auto"/>
        <w:rPr>
          <w:rFonts w:hint="eastAsia" w:ascii="仿宋_GB2312" w:eastAsia="仿宋_GB2312"/>
          <w:color w:val="000000"/>
          <w:sz w:val="21"/>
          <w:szCs w:val="21"/>
          <w:lang w:eastAsia="zh-CN"/>
        </w:rPr>
      </w:pPr>
      <w:r>
        <w:rPr>
          <w:rFonts w:hint="eastAsia" w:ascii="仿宋_GB2312" w:hAnsi="宋体" w:eastAsia="仿宋_GB2312"/>
          <w:sz w:val="21"/>
          <w:szCs w:val="21"/>
        </w:rPr>
        <w:t>二、</w:t>
      </w:r>
      <w:r>
        <w:rPr>
          <w:rFonts w:hint="eastAsia" w:ascii="仿宋_GB2312" w:hAnsi="宋体" w:eastAsia="仿宋_GB2312" w:cs="Times New Roman"/>
          <w:sz w:val="21"/>
          <w:szCs w:val="21"/>
          <w:lang w:eastAsia="zh-CN"/>
        </w:rPr>
        <w:t>民和回族土族自治县</w:t>
      </w:r>
      <w:r>
        <w:rPr>
          <w:rFonts w:hint="eastAsia" w:ascii="仿宋_GB2312" w:hAnsi="宋体" w:eastAsia="仿宋_GB2312" w:cs="Times New Roman"/>
          <w:sz w:val="21"/>
          <w:szCs w:val="21"/>
          <w:lang w:val="en-US" w:eastAsia="zh-CN"/>
        </w:rPr>
        <w:t>房产管理局《回复函》复印件；</w:t>
      </w:r>
    </w:p>
    <w:p>
      <w:pPr>
        <w:pageBreakBefore w:val="0"/>
        <w:kinsoku/>
        <w:wordWrap/>
        <w:overflowPunct/>
        <w:topLinePunct w:val="0"/>
        <w:autoSpaceDE/>
        <w:autoSpaceDN/>
        <w:bidi w:val="0"/>
        <w:adjustRightInd/>
        <w:spacing w:line="500" w:lineRule="exact"/>
        <w:ind w:firstLine="420" w:firstLineChars="200"/>
        <w:textAlignment w:val="auto"/>
        <w:rPr>
          <w:rFonts w:ascii="仿宋_GB2312" w:eastAsia="仿宋_GB2312"/>
          <w:color w:val="000000"/>
          <w:sz w:val="21"/>
          <w:szCs w:val="21"/>
        </w:rPr>
      </w:pPr>
      <w:r>
        <w:rPr>
          <w:rFonts w:hint="eastAsia" w:ascii="仿宋_GB2312" w:eastAsia="仿宋_GB2312"/>
          <w:color w:val="000000"/>
          <w:sz w:val="21"/>
          <w:szCs w:val="21"/>
          <w:lang w:val="en-US" w:eastAsia="zh-CN"/>
        </w:rPr>
        <w:t>三</w:t>
      </w:r>
      <w:r>
        <w:rPr>
          <w:rFonts w:hint="eastAsia" w:ascii="仿宋_GB2312" w:eastAsia="仿宋_GB2312"/>
          <w:color w:val="000000"/>
          <w:sz w:val="21"/>
          <w:szCs w:val="21"/>
        </w:rPr>
        <w:t>、《</w:t>
      </w:r>
      <w:r>
        <w:rPr>
          <w:rFonts w:hint="eastAsia" w:ascii="仿宋_GB2312" w:eastAsia="仿宋_GB2312"/>
          <w:color w:val="000000"/>
          <w:sz w:val="21"/>
          <w:szCs w:val="21"/>
          <w:lang w:val="en-US" w:eastAsia="zh-CN"/>
        </w:rPr>
        <w:t>测绘成果报告书</w:t>
      </w:r>
      <w:r>
        <w:rPr>
          <w:rFonts w:hint="eastAsia" w:ascii="仿宋_GB2312" w:eastAsia="仿宋_GB2312"/>
          <w:color w:val="000000"/>
          <w:sz w:val="21"/>
          <w:szCs w:val="21"/>
          <w:lang w:eastAsia="zh-CN"/>
        </w:rPr>
        <w:t>》</w:t>
      </w:r>
      <w:r>
        <w:rPr>
          <w:rFonts w:hint="eastAsia" w:ascii="仿宋_GB2312" w:eastAsia="仿宋_GB2312"/>
          <w:color w:val="000000"/>
          <w:sz w:val="21"/>
          <w:szCs w:val="21"/>
        </w:rPr>
        <w:t>复印件；</w:t>
      </w:r>
    </w:p>
    <w:p>
      <w:pPr>
        <w:spacing w:line="500" w:lineRule="exact"/>
        <w:ind w:firstLine="420" w:firstLineChars="200"/>
        <w:rPr>
          <w:rFonts w:ascii="仿宋_GB2312" w:hAnsi="宋体" w:eastAsia="仿宋_GB2312"/>
          <w:sz w:val="21"/>
          <w:szCs w:val="21"/>
        </w:rPr>
      </w:pPr>
      <w:r>
        <w:rPr>
          <w:rFonts w:hint="eastAsia" w:ascii="仿宋_GB2312" w:eastAsia="仿宋_GB2312"/>
          <w:color w:val="000000"/>
          <w:sz w:val="21"/>
          <w:szCs w:val="21"/>
          <w:lang w:val="en-US" w:eastAsia="zh-CN"/>
        </w:rPr>
        <w:t>四</w:t>
      </w:r>
      <w:r>
        <w:rPr>
          <w:rFonts w:hint="eastAsia" w:ascii="仿宋_GB2312" w:eastAsia="仿宋_GB2312"/>
          <w:color w:val="000000"/>
          <w:sz w:val="21"/>
          <w:szCs w:val="21"/>
        </w:rPr>
        <w:t>、</w:t>
      </w:r>
      <w:r>
        <w:rPr>
          <w:rFonts w:hint="eastAsia" w:ascii="仿宋_GB2312" w:eastAsia="仿宋_GB2312"/>
          <w:color w:val="000000"/>
          <w:sz w:val="21"/>
          <w:szCs w:val="21"/>
          <w:lang w:val="en-US" w:eastAsia="zh-CN"/>
        </w:rPr>
        <w:t>项目总</w:t>
      </w:r>
      <w:r>
        <w:rPr>
          <w:rFonts w:hint="eastAsia" w:ascii="仿宋_GB2312" w:eastAsia="仿宋_GB2312"/>
          <w:color w:val="000000"/>
          <w:sz w:val="21"/>
          <w:szCs w:val="21"/>
        </w:rPr>
        <w:t>《国有土地使用证》</w:t>
      </w:r>
      <w:r>
        <w:rPr>
          <w:rFonts w:hint="eastAsia" w:ascii="仿宋_GB2312" w:eastAsia="仿宋_GB2312"/>
          <w:color w:val="000000"/>
          <w:sz w:val="21"/>
          <w:szCs w:val="21"/>
          <w:lang w:eastAsia="zh-CN"/>
        </w:rPr>
        <w:t>、</w:t>
      </w:r>
      <w:r>
        <w:rPr>
          <w:rFonts w:hint="eastAsia" w:ascii="仿宋_GB2312" w:eastAsia="仿宋_GB2312"/>
          <w:color w:val="000000"/>
          <w:sz w:val="21"/>
          <w:szCs w:val="21"/>
        </w:rPr>
        <w:t>《</w:t>
      </w:r>
      <w:r>
        <w:rPr>
          <w:rFonts w:hint="eastAsia" w:ascii="仿宋_GB2312" w:eastAsia="仿宋_GB2312"/>
          <w:color w:val="000000"/>
          <w:sz w:val="21"/>
          <w:szCs w:val="21"/>
          <w:lang w:eastAsia="zh-CN"/>
        </w:rPr>
        <w:t>建设工程规划许可证</w:t>
      </w:r>
      <w:r>
        <w:rPr>
          <w:rFonts w:hint="eastAsia" w:ascii="仿宋_GB2312" w:eastAsia="仿宋_GB2312"/>
          <w:color w:val="000000"/>
          <w:sz w:val="21"/>
          <w:szCs w:val="21"/>
        </w:rPr>
        <w:t>》</w:t>
      </w:r>
      <w:r>
        <w:rPr>
          <w:rFonts w:hint="eastAsia" w:ascii="仿宋_GB2312" w:eastAsia="仿宋_GB2312"/>
          <w:color w:val="000000"/>
          <w:sz w:val="21"/>
          <w:szCs w:val="21"/>
          <w:lang w:eastAsia="zh-CN"/>
        </w:rPr>
        <w:t>等</w:t>
      </w:r>
      <w:r>
        <w:rPr>
          <w:rFonts w:hint="eastAsia" w:ascii="仿宋_GB2312" w:eastAsia="仿宋_GB2312"/>
          <w:color w:val="000000"/>
          <w:sz w:val="21"/>
          <w:szCs w:val="21"/>
        </w:rPr>
        <w:t>复印件</w:t>
      </w:r>
    </w:p>
    <w:p>
      <w:pPr>
        <w:spacing w:line="500" w:lineRule="exact"/>
        <w:ind w:firstLine="420" w:firstLineChars="200"/>
        <w:rPr>
          <w:rFonts w:ascii="仿宋_GB2312" w:hAnsi="宋体" w:eastAsia="仿宋_GB2312"/>
          <w:sz w:val="21"/>
          <w:szCs w:val="21"/>
        </w:rPr>
      </w:pPr>
      <w:r>
        <w:rPr>
          <w:rFonts w:hint="eastAsia" w:ascii="仿宋_GB2312" w:hAnsi="宋体" w:eastAsia="仿宋_GB2312"/>
          <w:sz w:val="21"/>
          <w:szCs w:val="21"/>
          <w:lang w:val="en-US" w:eastAsia="zh-CN"/>
        </w:rPr>
        <w:t>五</w:t>
      </w:r>
      <w:r>
        <w:rPr>
          <w:rFonts w:hint="eastAsia" w:ascii="仿宋_GB2312" w:hAnsi="宋体" w:eastAsia="仿宋_GB2312"/>
          <w:sz w:val="21"/>
          <w:szCs w:val="21"/>
        </w:rPr>
        <w:t>、估价对象实景图</w:t>
      </w:r>
    </w:p>
    <w:p>
      <w:pPr>
        <w:spacing w:line="500" w:lineRule="exact"/>
        <w:ind w:firstLine="420" w:firstLineChars="200"/>
        <w:rPr>
          <w:rFonts w:ascii="仿宋_GB2312" w:hAnsi="宋体" w:eastAsia="仿宋_GB2312"/>
          <w:sz w:val="21"/>
          <w:szCs w:val="21"/>
        </w:rPr>
      </w:pPr>
      <w:r>
        <w:rPr>
          <w:rFonts w:hint="eastAsia" w:ascii="仿宋_GB2312" w:hAnsi="宋体" w:eastAsia="仿宋_GB2312"/>
          <w:sz w:val="21"/>
          <w:szCs w:val="21"/>
          <w:lang w:val="en-US" w:eastAsia="zh-CN"/>
        </w:rPr>
        <w:t>六</w:t>
      </w:r>
      <w:r>
        <w:rPr>
          <w:rFonts w:hint="eastAsia" w:ascii="仿宋_GB2312" w:hAnsi="宋体" w:eastAsia="仿宋_GB2312"/>
          <w:sz w:val="21"/>
          <w:szCs w:val="21"/>
        </w:rPr>
        <w:t>、估价对象位置示意图</w:t>
      </w:r>
    </w:p>
    <w:p>
      <w:pPr>
        <w:spacing w:line="500" w:lineRule="exact"/>
        <w:ind w:firstLine="420" w:firstLineChars="200"/>
        <w:rPr>
          <w:rFonts w:ascii="仿宋_GB2312" w:hAnsi="宋体" w:eastAsia="仿宋_GB2312"/>
          <w:sz w:val="21"/>
          <w:szCs w:val="21"/>
        </w:rPr>
      </w:pPr>
      <w:r>
        <w:rPr>
          <w:rFonts w:hint="eastAsia" w:ascii="仿宋_GB2312" w:hAnsi="宋体" w:eastAsia="仿宋_GB2312"/>
          <w:sz w:val="21"/>
          <w:szCs w:val="21"/>
          <w:lang w:val="en-US" w:eastAsia="zh-CN"/>
        </w:rPr>
        <w:t>七</w:t>
      </w:r>
      <w:r>
        <w:rPr>
          <w:rFonts w:hint="eastAsia" w:ascii="仿宋_GB2312" w:hAnsi="宋体" w:eastAsia="仿宋_GB2312"/>
          <w:sz w:val="21"/>
          <w:szCs w:val="21"/>
        </w:rPr>
        <w:t>、估价机构营业执照复印件</w:t>
      </w:r>
    </w:p>
    <w:p>
      <w:pPr>
        <w:spacing w:line="500" w:lineRule="exact"/>
        <w:ind w:firstLine="420" w:firstLineChars="200"/>
        <w:rPr>
          <w:rFonts w:ascii="仿宋_GB2312" w:hAnsi="宋体" w:eastAsia="仿宋_GB2312"/>
          <w:sz w:val="21"/>
          <w:szCs w:val="21"/>
        </w:rPr>
      </w:pPr>
      <w:r>
        <w:rPr>
          <w:rFonts w:hint="eastAsia" w:ascii="仿宋_GB2312" w:hAnsi="宋体" w:eastAsia="仿宋_GB2312"/>
          <w:sz w:val="21"/>
          <w:szCs w:val="21"/>
          <w:lang w:val="en-US" w:eastAsia="zh-CN"/>
        </w:rPr>
        <w:t>八</w:t>
      </w:r>
      <w:r>
        <w:rPr>
          <w:rFonts w:hint="eastAsia" w:ascii="仿宋_GB2312" w:hAnsi="宋体" w:eastAsia="仿宋_GB2312"/>
          <w:sz w:val="21"/>
          <w:szCs w:val="21"/>
        </w:rPr>
        <w:t>、估价机构资格证书复印件</w:t>
      </w:r>
    </w:p>
    <w:p>
      <w:pPr>
        <w:spacing w:line="500" w:lineRule="exact"/>
        <w:ind w:firstLine="420" w:firstLineChars="200"/>
        <w:rPr>
          <w:rFonts w:ascii="仿宋_GB2312" w:hAnsi="宋体" w:eastAsia="仿宋_GB2312"/>
          <w:sz w:val="21"/>
          <w:szCs w:val="21"/>
        </w:rPr>
        <w:sectPr>
          <w:headerReference r:id="rId8" w:type="default"/>
          <w:footerReference r:id="rId9" w:type="default"/>
          <w:pgSz w:w="11906" w:h="16838"/>
          <w:pgMar w:top="1417" w:right="1134" w:bottom="1247" w:left="1361" w:header="851" w:footer="992" w:gutter="0"/>
          <w:pgNumType w:fmt="upperRoman" w:start="1"/>
          <w:cols w:space="0" w:num="1"/>
          <w:rtlGutter w:val="0"/>
          <w:docGrid w:type="lines" w:linePitch="380" w:charSpace="0"/>
        </w:sectPr>
      </w:pPr>
      <w:r>
        <w:rPr>
          <w:rFonts w:hint="eastAsia" w:ascii="仿宋_GB2312" w:hAnsi="宋体" w:eastAsia="仿宋_GB2312"/>
          <w:sz w:val="21"/>
          <w:szCs w:val="21"/>
          <w:lang w:val="en-US" w:eastAsia="zh-CN"/>
        </w:rPr>
        <w:t>九</w:t>
      </w:r>
      <w:r>
        <w:rPr>
          <w:rFonts w:hint="eastAsia" w:ascii="仿宋_GB2312" w:hAnsi="宋体" w:eastAsia="仿宋_GB2312"/>
          <w:sz w:val="21"/>
          <w:szCs w:val="21"/>
        </w:rPr>
        <w:t>、估价师资格证书复印件</w:t>
      </w:r>
    </w:p>
    <w:p>
      <w:pPr>
        <w:pStyle w:val="2"/>
        <w:spacing w:beforeLines="50" w:after="0" w:line="480" w:lineRule="exact"/>
        <w:jc w:val="center"/>
        <w:rPr>
          <w:rFonts w:ascii="仿宋_GB2312" w:hAnsi="宋体" w:eastAsia="仿宋_GB2312"/>
        </w:rPr>
      </w:pPr>
      <w:bookmarkStart w:id="0" w:name="_Toc476334907"/>
      <w:r>
        <w:rPr>
          <w:rFonts w:hint="eastAsia" w:eastAsia="仿宋_GB2312"/>
        </w:rPr>
        <w:t>估价师</w:t>
      </w:r>
      <w:r>
        <w:rPr>
          <w:rFonts w:hint="eastAsia" w:ascii="仿宋_GB2312" w:hAnsi="宋体" w:eastAsia="仿宋_GB2312"/>
        </w:rPr>
        <w:t>声明</w:t>
      </w:r>
      <w:bookmarkEnd w:id="0"/>
    </w:p>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我们郑重声明：</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_GB2312" w:eastAsia="仿宋_GB2312" w:cs="仿宋_GB2312"/>
          <w:sz w:val="28"/>
          <w:szCs w:val="28"/>
        </w:rPr>
      </w:pPr>
      <w:r>
        <w:rPr>
          <w:rFonts w:ascii="仿宋_GB2312" w:hAnsi="仿宋_GB2312" w:eastAsia="仿宋_GB2312" w:cs="仿宋_GB2312"/>
          <w:sz w:val="28"/>
          <w:szCs w:val="28"/>
        </w:rPr>
        <w:t xml:space="preserve">    1</w:t>
      </w:r>
      <w:r>
        <w:rPr>
          <w:rFonts w:hint="eastAsia" w:ascii="仿宋_GB2312" w:hAnsi="仿宋_GB2312" w:eastAsia="仿宋_GB2312" w:cs="仿宋_GB2312"/>
          <w:sz w:val="28"/>
          <w:szCs w:val="28"/>
        </w:rPr>
        <w:t>、我们在本估价报告中陈述的事实是真实的和准确的。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、本估价报告中的分析、意见和结论是我们自己公正的专业分析、意见和结论，但受本估价报告中已说明的假设和限制条件的限制。</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宋体" w:eastAsia="仿宋_GB2312"/>
          <w:sz w:val="28"/>
          <w:szCs w:val="28"/>
        </w:rPr>
      </w:pPr>
      <w:r>
        <w:rPr>
          <w:rFonts w:hint="eastAsia" w:ascii="仿宋_GB2312" w:hAnsi="宋体" w:eastAsia="仿宋_GB2312"/>
          <w:sz w:val="28"/>
          <w:szCs w:val="28"/>
        </w:rPr>
        <w:t>3、本估价报告所依据的有关资料均由估价委托人提供，其真实性、合法性和完整性由估价委托人负责。</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宋体" w:eastAsia="仿宋_GB2312"/>
          <w:sz w:val="28"/>
          <w:szCs w:val="28"/>
        </w:rPr>
      </w:pPr>
      <w:r>
        <w:rPr>
          <w:rFonts w:hint="eastAsia" w:ascii="仿宋_GB2312" w:hAnsi="宋体" w:eastAsia="仿宋_GB2312"/>
          <w:sz w:val="28"/>
          <w:szCs w:val="28"/>
          <w:lang w:val="en-US" w:eastAsia="zh-CN"/>
        </w:rPr>
        <w:t xml:space="preserve">4、我们与本估价报告中的估价对象没有现实或潜在的利益，与估价委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_GB2312" w:hAnsi="宋体" w:eastAsia="仿宋_GB2312"/>
          <w:sz w:val="28"/>
          <w:szCs w:val="28"/>
        </w:rPr>
      </w:pPr>
      <w:r>
        <w:rPr>
          <w:rFonts w:hint="eastAsia" w:ascii="仿宋_GB2312" w:hAnsi="宋体" w:eastAsia="仿宋_GB2312"/>
          <w:sz w:val="28"/>
          <w:szCs w:val="28"/>
          <w:lang w:val="en-US" w:eastAsia="zh-CN"/>
        </w:rPr>
        <w:t xml:space="preserve">托人及估价利害关系人没有利害关系，也对本估价报告中的估价对象、估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_GB2312" w:hAnsi="宋体" w:eastAsia="仿宋_GB2312"/>
          <w:sz w:val="28"/>
          <w:szCs w:val="28"/>
        </w:rPr>
      </w:pPr>
      <w:r>
        <w:rPr>
          <w:rFonts w:hint="eastAsia" w:ascii="仿宋_GB2312" w:hAnsi="宋体" w:eastAsia="仿宋_GB2312"/>
          <w:sz w:val="28"/>
          <w:szCs w:val="28"/>
          <w:lang w:val="en-US" w:eastAsia="zh-CN"/>
        </w:rPr>
        <w:t>价委托人及估价利害关系人没有偏见。</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、我们依据中华人民共和国国家标准《房地产估价规范》、</w:t>
      </w:r>
      <w:r>
        <w:rPr>
          <w:rFonts w:hint="eastAsia" w:ascii="仿宋_GB2312" w:eastAsia="仿宋_GB2312"/>
          <w:sz w:val="28"/>
          <w:szCs w:val="28"/>
        </w:rPr>
        <w:t>《房地产估价基本术语规范》以及相关房地产估价专项标准进行分析，</w:t>
      </w:r>
      <w:r>
        <w:rPr>
          <w:rFonts w:hint="eastAsia" w:ascii="仿宋_GB2312" w:hAnsi="仿宋_GB2312" w:eastAsia="仿宋_GB2312" w:cs="仿宋_GB2312"/>
          <w:sz w:val="28"/>
          <w:szCs w:val="28"/>
        </w:rPr>
        <w:t>形成意见和结论，撰写本估价报告。</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w:t>
      </w:r>
      <w:r>
        <w:rPr>
          <w:rFonts w:hint="eastAsia" w:ascii="仿宋_GB2312" w:eastAsia="仿宋_GB2312"/>
          <w:sz w:val="28"/>
          <w:szCs w:val="28"/>
        </w:rPr>
        <w:t>注册房地产估价师</w:t>
      </w:r>
      <w:r>
        <w:rPr>
          <w:rFonts w:hint="eastAsia" w:ascii="仿宋_GB2312" w:eastAsia="仿宋_GB2312"/>
          <w:color w:val="FF0000"/>
          <w:sz w:val="28"/>
          <w:szCs w:val="28"/>
          <w:lang w:eastAsia="zh-CN"/>
        </w:rPr>
        <w:t>已</w:t>
      </w:r>
      <w:r>
        <w:rPr>
          <w:rFonts w:hint="eastAsia" w:ascii="仿宋_GB2312" w:eastAsia="仿宋_GB2312"/>
          <w:kern w:val="0"/>
          <w:sz w:val="28"/>
          <w:szCs w:val="28"/>
        </w:rPr>
        <w:t>于</w:t>
      </w:r>
      <w:r>
        <w:rPr>
          <w:rFonts w:hint="eastAsia" w:ascii="仿宋_GB2312" w:eastAsia="仿宋_GB2312"/>
          <w:sz w:val="28"/>
          <w:szCs w:val="28"/>
          <w:lang w:eastAsia="zh-CN"/>
        </w:rPr>
        <w:t>2019年08月20日</w:t>
      </w:r>
      <w:r>
        <w:rPr>
          <w:rFonts w:hint="eastAsia" w:ascii="仿宋_GB2312" w:eastAsia="仿宋_GB2312"/>
          <w:sz w:val="28"/>
          <w:szCs w:val="28"/>
        </w:rPr>
        <w:t>对估价报告中的估价对象进行了实地查勘，</w:t>
      </w:r>
      <w:r>
        <w:rPr>
          <w:rFonts w:hint="eastAsia" w:ascii="仿宋" w:hAnsi="仿宋" w:eastAsia="仿宋" w:cs="仿宋_GB2312"/>
          <w:sz w:val="28"/>
          <w:szCs w:val="28"/>
        </w:rPr>
        <w:t>但仅限于其外观和使用状况。</w:t>
      </w:r>
      <w:r>
        <w:rPr>
          <w:rFonts w:hint="eastAsia" w:ascii="仿宋" w:hAnsi="仿宋" w:eastAsia="仿宋" w:cs="仿宋_GB2312"/>
          <w:sz w:val="28"/>
          <w:szCs w:val="28"/>
          <w:lang w:eastAsia="zh-CN"/>
        </w:rPr>
        <w:t>我们</w:t>
      </w:r>
      <w:r>
        <w:rPr>
          <w:rFonts w:hint="eastAsia" w:ascii="仿宋" w:hAnsi="仿宋" w:eastAsia="仿宋" w:cs="仿宋_GB2312"/>
          <w:sz w:val="28"/>
          <w:szCs w:val="28"/>
        </w:rPr>
        <w:t>不承担对估价对象的建筑结构、质量进行调查的责任</w:t>
      </w:r>
      <w:r>
        <w:rPr>
          <w:rFonts w:hint="eastAsia" w:ascii="仿宋" w:hAnsi="仿宋" w:eastAsia="仿宋" w:cs="仿宋_GB2312"/>
          <w:sz w:val="28"/>
          <w:szCs w:val="28"/>
          <w:lang w:eastAsia="zh-CN"/>
        </w:rPr>
        <w:t>，也不承担</w:t>
      </w:r>
      <w:r>
        <w:rPr>
          <w:rFonts w:hint="eastAsia" w:ascii="仿宋" w:hAnsi="仿宋" w:eastAsia="仿宋" w:cs="仿宋_GB2312"/>
          <w:sz w:val="28"/>
          <w:szCs w:val="28"/>
        </w:rPr>
        <w:t>其他被遮盖、未暴露及难于触及的部分进行</w:t>
      </w:r>
      <w:r>
        <w:rPr>
          <w:rFonts w:hint="eastAsia" w:ascii="仿宋_GB2312" w:eastAsia="仿宋_GB2312"/>
          <w:sz w:val="28"/>
          <w:szCs w:val="28"/>
        </w:rPr>
        <w:t>勘查</w:t>
      </w:r>
      <w:r>
        <w:rPr>
          <w:rFonts w:hint="eastAsia" w:ascii="仿宋" w:hAnsi="仿宋" w:eastAsia="仿宋" w:cs="仿宋_GB2312"/>
          <w:sz w:val="28"/>
          <w:szCs w:val="28"/>
        </w:rPr>
        <w:t>的责任。</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hAnsi="仿宋"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w:t>
      </w:r>
      <w:r>
        <w:rPr>
          <w:rFonts w:hint="eastAsia" w:ascii="仿宋_GB2312" w:eastAsia="仿宋_GB2312"/>
          <w:sz w:val="28"/>
          <w:szCs w:val="28"/>
        </w:rPr>
        <w:t>本估价报告仅是在报告中说明的假设条件下对估价对象正常市场价</w:t>
      </w:r>
      <w:r>
        <w:rPr>
          <w:rFonts w:hint="eastAsia" w:ascii="仿宋_GB2312" w:hAnsi="宋体" w:eastAsia="仿宋_GB2312" w:cs="宋体"/>
          <w:sz w:val="28"/>
          <w:szCs w:val="28"/>
        </w:rPr>
        <w:t>值</w:t>
      </w:r>
      <w:r>
        <w:rPr>
          <w:rFonts w:hint="eastAsia" w:ascii="仿宋_GB2312" w:hAnsi="仿宋" w:eastAsia="仿宋_GB2312" w:cs="宋体"/>
          <w:sz w:val="28"/>
          <w:szCs w:val="28"/>
        </w:rPr>
        <w:t>进行</w:t>
      </w:r>
      <w:r>
        <w:rPr>
          <w:rFonts w:hint="eastAsia" w:ascii="仿宋_GB2312" w:hAnsi="仿宋" w:eastAsia="仿宋_GB2312" w:cs="仿宋_GB2312"/>
          <w:sz w:val="28"/>
          <w:szCs w:val="28"/>
        </w:rPr>
        <w:t>合理估算，报告中对估价对象权属和面积情况的披露不作为其权属和面积方面确认的依据，有关权属和面积界定以有关部门认定的为准。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、没有</w:t>
      </w:r>
      <w:r>
        <w:rPr>
          <w:rFonts w:hint="eastAsia" w:ascii="仿宋_GB2312" w:hAnsi="仿宋_GB2312" w:eastAsia="仿宋_GB2312" w:cs="仿宋_GB2312"/>
          <w:sz w:val="28"/>
          <w:szCs w:val="28"/>
          <w:lang w:eastAsia="zh-CN"/>
        </w:rPr>
        <w:t>外部专家及单位</w:t>
      </w:r>
      <w:r>
        <w:rPr>
          <w:rFonts w:hint="eastAsia" w:ascii="仿宋_GB2312" w:hAnsi="仿宋_GB2312" w:eastAsia="仿宋_GB2312" w:cs="仿宋_GB2312"/>
          <w:sz w:val="28"/>
          <w:szCs w:val="28"/>
        </w:rPr>
        <w:t>对本估价报告提供专业帮助。</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、参加本次估价的注册房地产估价师签名：</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sz w:val="28"/>
          <w:szCs w:val="28"/>
        </w:rPr>
      </w:pPr>
      <w:r>
        <w:rPr>
          <w:rFonts w:hint="eastAsia" w:ascii="仿宋_GB2312" w:hAnsi="仿宋_GB2312" w:eastAsia="仿宋_GB2312" w:cs="仿宋_GB2312"/>
          <w:sz w:val="28"/>
          <w:szCs w:val="28"/>
        </w:rPr>
        <w:t>注册房地产估价师姓名       注册证书编号     签字盖章</w:t>
      </w:r>
    </w:p>
    <w:p>
      <w:pPr>
        <w:keepNext w:val="0"/>
        <w:keepLines w:val="0"/>
        <w:pageBreakBefore w:val="0"/>
        <w:kinsoku/>
        <w:wordWrap/>
        <w:overflowPunct/>
        <w:topLinePunct w:val="0"/>
        <w:autoSpaceDE/>
        <w:autoSpaceDN/>
        <w:bidi w:val="0"/>
        <w:adjustRightInd/>
        <w:snapToGrid/>
        <w:spacing w:line="500" w:lineRule="exact"/>
        <w:ind w:firstLine="840" w:firstLineChars="300"/>
        <w:textAlignment w:val="auto"/>
        <w:rPr>
          <w:rFonts w:ascii="仿宋_GB2312" w:eastAsia="仿宋_GB2312"/>
          <w:sz w:val="28"/>
          <w:szCs w:val="28"/>
        </w:rPr>
      </w:pPr>
    </w:p>
    <w:p>
      <w:pPr>
        <w:keepNext w:val="0"/>
        <w:keepLines w:val="0"/>
        <w:pageBreakBefore w:val="0"/>
        <w:kinsoku/>
        <w:wordWrap/>
        <w:overflowPunct/>
        <w:topLinePunct w:val="0"/>
        <w:autoSpaceDE/>
        <w:autoSpaceDN/>
        <w:bidi w:val="0"/>
        <w:adjustRightInd/>
        <w:snapToGrid/>
        <w:spacing w:line="500" w:lineRule="exact"/>
        <w:ind w:firstLine="840" w:firstLineChars="300"/>
        <w:textAlignment w:val="auto"/>
        <w:rPr>
          <w:rFonts w:hint="eastAsia" w:ascii="仿宋_GB2312" w:eastAsia="仿宋_GB2312"/>
          <w:sz w:val="28"/>
          <w:szCs w:val="28"/>
          <w:lang w:eastAsia="zh-CN"/>
        </w:rPr>
      </w:pPr>
      <w:r>
        <w:rPr>
          <w:rFonts w:hint="eastAsia" w:ascii="仿宋_GB2312" w:eastAsia="仿宋_GB2312"/>
          <w:sz w:val="28"/>
          <w:szCs w:val="28"/>
          <w:lang w:eastAsia="zh-CN"/>
        </w:rPr>
        <w:t>俞小群</w:t>
      </w:r>
      <w:r>
        <w:rPr>
          <w:rFonts w:hint="eastAsia" w:ascii="仿宋_GB2312" w:eastAsia="仿宋_GB2312"/>
          <w:sz w:val="28"/>
          <w:szCs w:val="28"/>
        </w:rPr>
        <w:t xml:space="preserve">                  </w:t>
      </w:r>
      <w:r>
        <w:rPr>
          <w:rFonts w:hint="eastAsia" w:ascii="仿宋_GB2312" w:eastAsia="仿宋_GB2312"/>
          <w:sz w:val="28"/>
          <w:szCs w:val="28"/>
          <w:lang w:eastAsia="zh-CN"/>
        </w:rPr>
        <w:t>3320100028</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rPr>
      </w:pPr>
    </w:p>
    <w:p>
      <w:pPr>
        <w:keepNext w:val="0"/>
        <w:keepLines w:val="0"/>
        <w:pageBreakBefore w:val="0"/>
        <w:kinsoku/>
        <w:wordWrap/>
        <w:overflowPunct/>
        <w:topLinePunct w:val="0"/>
        <w:autoSpaceDE/>
        <w:autoSpaceDN/>
        <w:bidi w:val="0"/>
        <w:adjustRightInd/>
        <w:snapToGrid/>
        <w:spacing w:line="500" w:lineRule="exact"/>
        <w:ind w:firstLine="840" w:firstLineChars="300"/>
        <w:textAlignment w:val="auto"/>
        <w:rPr>
          <w:rFonts w:ascii="仿宋_GB2312" w:eastAsia="仿宋_GB2312"/>
          <w:sz w:val="28"/>
          <w:szCs w:val="28"/>
        </w:rPr>
      </w:pPr>
      <w:r>
        <w:rPr>
          <w:rFonts w:hint="eastAsia" w:ascii="仿宋_GB2312" w:eastAsia="仿宋_GB2312"/>
          <w:sz w:val="28"/>
          <w:szCs w:val="28"/>
        </w:rPr>
        <w:t>楼飞</w:t>
      </w:r>
      <w:r>
        <w:rPr>
          <w:rFonts w:ascii="仿宋_GB2312" w:eastAsia="仿宋_GB2312"/>
          <w:sz w:val="28"/>
          <w:szCs w:val="28"/>
        </w:rPr>
        <w:t xml:space="preserve"> </w:t>
      </w:r>
      <w:r>
        <w:rPr>
          <w:rFonts w:hint="eastAsia" w:ascii="仿宋_GB2312" w:eastAsia="仿宋_GB2312"/>
          <w:sz w:val="28"/>
          <w:szCs w:val="28"/>
        </w:rPr>
        <w:t xml:space="preserve">                   </w:t>
      </w:r>
      <w:r>
        <w:rPr>
          <w:rFonts w:ascii="仿宋_GB2312" w:eastAsia="仿宋_GB2312"/>
          <w:sz w:val="28"/>
          <w:szCs w:val="28"/>
        </w:rPr>
        <w:t xml:space="preserve">3320070025 </w:t>
      </w:r>
    </w:p>
    <w:p>
      <w:pPr>
        <w:pStyle w:val="2"/>
        <w:spacing w:beforeLines="50" w:afterLines="50" w:line="500" w:lineRule="exact"/>
        <w:jc w:val="center"/>
        <w:rPr>
          <w:rFonts w:ascii="仿宋_GB2312" w:hAnsi="宋体" w:eastAsia="仿宋_GB2312"/>
        </w:rPr>
      </w:pPr>
      <w:bookmarkStart w:id="1" w:name="_Toc476334908"/>
      <w:r>
        <w:rPr>
          <w:rFonts w:hint="eastAsia" w:ascii="仿宋_GB2312" w:hAnsi="宋体" w:eastAsia="仿宋_GB2312"/>
        </w:rPr>
        <w:t>估价的假设和限制条件</w:t>
      </w:r>
      <w:bookmarkEnd w:id="1"/>
    </w:p>
    <w:p>
      <w:pPr>
        <w:keepNext w:val="0"/>
        <w:keepLines w:val="0"/>
        <w:pageBreakBefore w:val="0"/>
        <w:kinsoku/>
        <w:wordWrap/>
        <w:overflowPunct/>
        <w:topLinePunct w:val="0"/>
        <w:autoSpaceDE/>
        <w:autoSpaceDN/>
        <w:bidi w:val="0"/>
        <w:adjustRightInd/>
        <w:snapToGrid w:val="0"/>
        <w:spacing w:line="500" w:lineRule="exact"/>
        <w:ind w:firstLine="540" w:firstLineChars="192"/>
        <w:textAlignment w:val="auto"/>
        <w:outlineLvl w:val="9"/>
        <w:rPr>
          <w:rFonts w:hint="eastAsia" w:ascii="仿宋_GB2312" w:eastAsia="仿宋_GB2312"/>
          <w:color w:val="000000"/>
          <w:sz w:val="28"/>
          <w:szCs w:val="28"/>
        </w:rPr>
      </w:pPr>
      <w:r>
        <w:rPr>
          <w:rFonts w:hint="eastAsia" w:ascii="仿宋_GB2312" w:eastAsia="仿宋_GB2312"/>
          <w:b/>
          <w:bCs/>
          <w:color w:val="000000"/>
          <w:sz w:val="28"/>
          <w:szCs w:val="28"/>
        </w:rPr>
        <w:t>一、估价假设条件</w:t>
      </w:r>
      <w:r>
        <w:rPr>
          <w:rFonts w:hint="eastAsia" w:ascii="仿宋_GB2312" w:eastAsia="仿宋_GB2312"/>
          <w:color w:val="000000"/>
          <w:sz w:val="28"/>
          <w:szCs w:val="28"/>
        </w:rPr>
        <w:t xml:space="preserve"> </w:t>
      </w:r>
    </w:p>
    <w:p>
      <w:pPr>
        <w:keepNext w:val="0"/>
        <w:keepLines w:val="0"/>
        <w:pageBreakBefore w:val="0"/>
        <w:kinsoku/>
        <w:wordWrap/>
        <w:overflowPunct/>
        <w:topLinePunct w:val="0"/>
        <w:autoSpaceDE/>
        <w:autoSpaceDN/>
        <w:bidi w:val="0"/>
        <w:adjustRightInd/>
        <w:snapToGrid w:val="0"/>
        <w:spacing w:line="500" w:lineRule="exact"/>
        <w:ind w:firstLine="540" w:firstLineChars="192"/>
        <w:textAlignment w:val="auto"/>
        <w:outlineLvl w:val="9"/>
        <w:rPr>
          <w:rFonts w:hint="eastAsia" w:ascii="仿宋_GB2312" w:eastAsia="仿宋_GB2312"/>
          <w:color w:val="000000"/>
          <w:sz w:val="28"/>
          <w:szCs w:val="28"/>
        </w:rPr>
      </w:pPr>
      <w:r>
        <w:rPr>
          <w:rFonts w:hint="eastAsia" w:ascii="仿宋_GB2312" w:eastAsia="仿宋_GB2312"/>
          <w:b/>
          <w:bCs/>
          <w:color w:val="000000"/>
          <w:sz w:val="28"/>
          <w:szCs w:val="28"/>
          <w:lang w:val="en-US" w:eastAsia="zh-CN"/>
        </w:rPr>
        <w:t>(</w:t>
      </w:r>
      <w:r>
        <w:rPr>
          <w:rFonts w:hint="eastAsia" w:ascii="仿宋_GB2312" w:eastAsia="仿宋_GB2312"/>
          <w:b/>
          <w:bCs/>
          <w:color w:val="000000"/>
          <w:sz w:val="28"/>
          <w:szCs w:val="28"/>
        </w:rPr>
        <w:t>一</w:t>
      </w:r>
      <w:r>
        <w:rPr>
          <w:rFonts w:hint="eastAsia" w:ascii="仿宋_GB2312" w:eastAsia="仿宋_GB2312"/>
          <w:b/>
          <w:bCs/>
          <w:color w:val="000000"/>
          <w:sz w:val="28"/>
          <w:szCs w:val="28"/>
          <w:lang w:val="en-US" w:eastAsia="zh-CN"/>
        </w:rPr>
        <w:t>)</w:t>
      </w:r>
      <w:r>
        <w:rPr>
          <w:rFonts w:hint="eastAsia" w:ascii="仿宋_GB2312" w:eastAsia="仿宋_GB2312"/>
          <w:b/>
          <w:bCs/>
          <w:color w:val="000000"/>
          <w:sz w:val="28"/>
          <w:szCs w:val="28"/>
        </w:rPr>
        <w:t>一般</w:t>
      </w:r>
      <w:r>
        <w:rPr>
          <w:rFonts w:hint="eastAsia" w:ascii="仿宋_GB2312" w:eastAsia="仿宋_GB2312"/>
          <w:b/>
          <w:bCs/>
          <w:color w:val="000000"/>
          <w:sz w:val="28"/>
          <w:szCs w:val="28"/>
          <w:lang w:eastAsia="zh-CN"/>
        </w:rPr>
        <w:t>性</w:t>
      </w:r>
      <w:r>
        <w:rPr>
          <w:rFonts w:hint="eastAsia" w:ascii="仿宋_GB2312" w:eastAsia="仿宋_GB2312"/>
          <w:b/>
          <w:bCs/>
          <w:color w:val="000000"/>
          <w:sz w:val="28"/>
          <w:szCs w:val="28"/>
        </w:rPr>
        <w:t>假设</w:t>
      </w:r>
      <w:r>
        <w:rPr>
          <w:rFonts w:hint="eastAsia" w:ascii="仿宋_GB2312" w:eastAsia="仿宋_GB2312"/>
          <w:color w:val="000000"/>
          <w:sz w:val="28"/>
          <w:szCs w:val="28"/>
        </w:rPr>
        <w:t xml:space="preserve"> </w:t>
      </w:r>
    </w:p>
    <w:p>
      <w:pPr>
        <w:keepNext w:val="0"/>
        <w:keepLines w:val="0"/>
        <w:pageBreakBefore w:val="0"/>
        <w:kinsoku/>
        <w:wordWrap/>
        <w:overflowPunct/>
        <w:topLinePunct w:val="0"/>
        <w:autoSpaceDE/>
        <w:autoSpaceDN/>
        <w:bidi w:val="0"/>
        <w:adjustRightInd/>
        <w:snapToGrid w:val="0"/>
        <w:spacing w:line="500" w:lineRule="exact"/>
        <w:ind w:firstLine="537" w:firstLineChars="192"/>
        <w:textAlignment w:val="auto"/>
        <w:outlineLvl w:val="9"/>
        <w:rPr>
          <w:rFonts w:hint="eastAsia" w:ascii="仿宋_GB2312" w:eastAsia="仿宋_GB2312"/>
          <w:color w:val="000000"/>
          <w:sz w:val="28"/>
          <w:szCs w:val="28"/>
        </w:rPr>
      </w:pPr>
      <w:r>
        <w:rPr>
          <w:rFonts w:hint="eastAsia" w:ascii="仿宋_GB2312" w:eastAsia="仿宋_GB2312"/>
          <w:color w:val="000000"/>
          <w:sz w:val="28"/>
          <w:szCs w:val="28"/>
        </w:rPr>
        <w:t>1</w:t>
      </w:r>
      <w:r>
        <w:rPr>
          <w:rFonts w:hint="eastAsia" w:ascii="仿宋_GB2312" w:eastAsia="仿宋_GB2312"/>
          <w:color w:val="000000"/>
          <w:sz w:val="28"/>
          <w:szCs w:val="28"/>
          <w:lang w:eastAsia="zh-CN"/>
        </w:rPr>
        <w:t>、</w:t>
      </w:r>
      <w:r>
        <w:rPr>
          <w:rFonts w:hint="eastAsia" w:ascii="仿宋_GB2312" w:eastAsia="仿宋_GB2312"/>
          <w:color w:val="000000"/>
          <w:sz w:val="28"/>
          <w:szCs w:val="28"/>
        </w:rPr>
        <w:t xml:space="preserve">估价对象产权明晰，手续齐全，可在公开市场上自由转让。 </w:t>
      </w:r>
    </w:p>
    <w:p>
      <w:pPr>
        <w:keepNext w:val="0"/>
        <w:keepLines w:val="0"/>
        <w:pageBreakBefore w:val="0"/>
        <w:tabs>
          <w:tab w:val="left" w:pos="3023"/>
        </w:tabs>
        <w:kinsoku/>
        <w:wordWrap/>
        <w:overflowPunct/>
        <w:topLinePunct w:val="0"/>
        <w:autoSpaceDE/>
        <w:autoSpaceDN/>
        <w:bidi w:val="0"/>
        <w:adjustRightInd/>
        <w:spacing w:line="500" w:lineRule="exact"/>
        <w:ind w:firstLine="560" w:firstLineChars="200"/>
        <w:textAlignment w:val="auto"/>
        <w:outlineLvl w:val="9"/>
        <w:rPr>
          <w:rFonts w:hint="eastAsia" w:ascii="仿宋_GB2312" w:eastAsia="仿宋_GB2312"/>
          <w:sz w:val="28"/>
          <w:szCs w:val="28"/>
        </w:rPr>
      </w:pPr>
      <w:r>
        <w:rPr>
          <w:rFonts w:hint="eastAsia" w:ascii="仿宋_GB2312" w:eastAsia="仿宋_GB2312"/>
          <w:color w:val="000000"/>
          <w:sz w:val="28"/>
          <w:szCs w:val="28"/>
        </w:rPr>
        <w:t>2</w:t>
      </w:r>
      <w:r>
        <w:rPr>
          <w:rFonts w:hint="eastAsia" w:ascii="仿宋_GB2312" w:eastAsia="仿宋_GB2312"/>
          <w:color w:val="000000"/>
          <w:sz w:val="28"/>
          <w:szCs w:val="28"/>
          <w:lang w:eastAsia="zh-CN"/>
        </w:rPr>
        <w:t>、</w:t>
      </w:r>
      <w:r>
        <w:rPr>
          <w:rFonts w:hint="eastAsia" w:ascii="仿宋_GB2312" w:eastAsia="仿宋_GB2312"/>
          <w:color w:val="000000"/>
          <w:sz w:val="28"/>
          <w:szCs w:val="28"/>
        </w:rPr>
        <w:t>价值时点的房地产市场为公开、平等、自愿的交易市场。</w:t>
      </w:r>
      <w:r>
        <w:rPr>
          <w:rFonts w:hint="eastAsia" w:ascii="仿宋_GB2312" w:eastAsia="仿宋_GB2312"/>
          <w:sz w:val="28"/>
          <w:szCs w:val="28"/>
        </w:rPr>
        <w:t>即能满足以下条件：</w:t>
      </w:r>
      <w:r>
        <w:rPr>
          <w:rFonts w:hint="eastAsia" w:ascii="仿宋_GB2312" w:eastAsia="仿宋_GB2312"/>
          <w:sz w:val="28"/>
          <w:szCs w:val="28"/>
          <w:lang w:val="en-US" w:eastAsia="zh-CN"/>
        </w:rPr>
        <w:t>(</w:t>
      </w:r>
      <w:r>
        <w:rPr>
          <w:rFonts w:hint="eastAsia" w:ascii="仿宋_GB2312" w:eastAsia="仿宋_GB2312"/>
          <w:sz w:val="28"/>
          <w:szCs w:val="28"/>
        </w:rPr>
        <w:t>1</w:t>
      </w:r>
      <w:r>
        <w:rPr>
          <w:rFonts w:hint="eastAsia" w:ascii="仿宋_GB2312" w:eastAsia="仿宋_GB2312"/>
          <w:sz w:val="28"/>
          <w:szCs w:val="28"/>
          <w:lang w:val="en-US" w:eastAsia="zh-CN"/>
        </w:rPr>
        <w:t>)</w:t>
      </w:r>
      <w:r>
        <w:rPr>
          <w:rFonts w:hint="eastAsia" w:ascii="仿宋_GB2312" w:eastAsia="仿宋_GB2312"/>
          <w:sz w:val="28"/>
          <w:szCs w:val="28"/>
        </w:rPr>
        <w:t>自愿销售的卖方及自愿购买的买方；</w:t>
      </w:r>
      <w:r>
        <w:rPr>
          <w:rFonts w:hint="eastAsia" w:ascii="仿宋_GB2312" w:eastAsia="仿宋_GB2312"/>
          <w:sz w:val="28"/>
          <w:szCs w:val="28"/>
          <w:lang w:val="en-US" w:eastAsia="zh-CN"/>
        </w:rPr>
        <w:t>(</w:t>
      </w:r>
      <w:r>
        <w:rPr>
          <w:rFonts w:hint="eastAsia" w:ascii="仿宋_GB2312" w:eastAsia="仿宋_GB2312"/>
          <w:sz w:val="28"/>
          <w:szCs w:val="28"/>
        </w:rPr>
        <w:t>2</w:t>
      </w:r>
      <w:r>
        <w:rPr>
          <w:rFonts w:hint="eastAsia" w:ascii="仿宋_GB2312" w:eastAsia="仿宋_GB2312"/>
          <w:sz w:val="28"/>
          <w:szCs w:val="28"/>
          <w:lang w:val="en-US" w:eastAsia="zh-CN"/>
        </w:rPr>
        <w:t>)</w:t>
      </w:r>
      <w:r>
        <w:rPr>
          <w:rFonts w:hint="eastAsia" w:ascii="仿宋_GB2312" w:eastAsia="仿宋_GB2312"/>
          <w:sz w:val="28"/>
          <w:szCs w:val="28"/>
        </w:rPr>
        <w:t>交易双方无任何利害关系，交易的目的是追求各自利益的最大化；</w:t>
      </w:r>
      <w:r>
        <w:rPr>
          <w:rFonts w:hint="eastAsia" w:ascii="仿宋_GB2312" w:eastAsia="仿宋_GB2312"/>
          <w:sz w:val="28"/>
          <w:szCs w:val="28"/>
          <w:lang w:val="en-US" w:eastAsia="zh-CN"/>
        </w:rPr>
        <w:t>(</w:t>
      </w:r>
      <w:r>
        <w:rPr>
          <w:rFonts w:hint="eastAsia" w:ascii="仿宋_GB2312" w:eastAsia="仿宋_GB2312"/>
          <w:sz w:val="28"/>
          <w:szCs w:val="28"/>
        </w:rPr>
        <w:t>3</w:t>
      </w:r>
      <w:r>
        <w:rPr>
          <w:rFonts w:hint="eastAsia" w:ascii="仿宋_GB2312" w:eastAsia="仿宋_GB2312"/>
          <w:sz w:val="28"/>
          <w:szCs w:val="28"/>
          <w:lang w:val="en-US" w:eastAsia="zh-CN"/>
        </w:rPr>
        <w:t>)</w:t>
      </w:r>
      <w:r>
        <w:rPr>
          <w:rFonts w:hint="eastAsia" w:ascii="仿宋_GB2312" w:eastAsia="仿宋_GB2312"/>
          <w:sz w:val="28"/>
          <w:szCs w:val="28"/>
        </w:rPr>
        <w:t>交易双方了解交易对象、知晓市场行情；</w:t>
      </w:r>
      <w:r>
        <w:rPr>
          <w:rFonts w:hint="eastAsia" w:ascii="仿宋_GB2312" w:eastAsia="仿宋_GB2312"/>
          <w:sz w:val="28"/>
          <w:szCs w:val="28"/>
          <w:lang w:val="en-US" w:eastAsia="zh-CN"/>
        </w:rPr>
        <w:t>(</w:t>
      </w:r>
      <w:r>
        <w:rPr>
          <w:rFonts w:hint="eastAsia" w:ascii="仿宋_GB2312" w:eastAsia="仿宋_GB2312"/>
          <w:sz w:val="28"/>
          <w:szCs w:val="28"/>
        </w:rPr>
        <w:t>4</w:t>
      </w:r>
      <w:r>
        <w:rPr>
          <w:rFonts w:hint="eastAsia" w:ascii="仿宋_GB2312" w:eastAsia="仿宋_GB2312"/>
          <w:sz w:val="28"/>
          <w:szCs w:val="28"/>
          <w:lang w:val="en-US" w:eastAsia="zh-CN"/>
        </w:rPr>
        <w:t>)</w:t>
      </w:r>
      <w:r>
        <w:rPr>
          <w:rFonts w:hint="eastAsia" w:ascii="仿宋_GB2312" w:eastAsia="仿宋_GB2312"/>
          <w:sz w:val="28"/>
          <w:szCs w:val="28"/>
        </w:rPr>
        <w:t>交易双方有较充裕的时间进行交易；</w:t>
      </w:r>
      <w:r>
        <w:rPr>
          <w:rFonts w:hint="eastAsia" w:ascii="仿宋_GB2312" w:eastAsia="仿宋_GB2312"/>
          <w:sz w:val="28"/>
          <w:szCs w:val="28"/>
          <w:lang w:val="en-US" w:eastAsia="zh-CN"/>
        </w:rPr>
        <w:t>(</w:t>
      </w:r>
      <w:r>
        <w:rPr>
          <w:rFonts w:hint="eastAsia" w:ascii="仿宋_GB2312" w:eastAsia="仿宋_GB2312"/>
          <w:sz w:val="28"/>
          <w:szCs w:val="28"/>
        </w:rPr>
        <w:t>5</w:t>
      </w:r>
      <w:r>
        <w:rPr>
          <w:rFonts w:hint="eastAsia" w:ascii="仿宋_GB2312" w:eastAsia="仿宋_GB2312"/>
          <w:sz w:val="28"/>
          <w:szCs w:val="28"/>
          <w:lang w:val="en-US" w:eastAsia="zh-CN"/>
        </w:rPr>
        <w:t>)</w:t>
      </w:r>
      <w:r>
        <w:rPr>
          <w:rFonts w:hint="eastAsia" w:ascii="仿宋_GB2312" w:eastAsia="仿宋_GB2312"/>
          <w:sz w:val="28"/>
          <w:szCs w:val="28"/>
        </w:rPr>
        <w:t>不存在特殊买者的附加出价。</w:t>
      </w:r>
    </w:p>
    <w:p>
      <w:pPr>
        <w:keepNext w:val="0"/>
        <w:keepLines w:val="0"/>
        <w:pageBreakBefore w:val="0"/>
        <w:tabs>
          <w:tab w:val="left" w:pos="3023"/>
        </w:tabs>
        <w:kinsoku/>
        <w:wordWrap/>
        <w:overflowPunct/>
        <w:topLinePunct w:val="0"/>
        <w:autoSpaceDE/>
        <w:autoSpaceDN/>
        <w:bidi w:val="0"/>
        <w:adjustRightInd/>
        <w:spacing w:line="500" w:lineRule="exact"/>
        <w:ind w:firstLine="560" w:firstLineChars="200"/>
        <w:textAlignment w:val="auto"/>
        <w:outlineLvl w:val="9"/>
        <w:rPr>
          <w:rFonts w:hint="eastAsia" w:ascii="仿宋_GB2312" w:eastAsia="仿宋_GB2312"/>
          <w:color w:val="000000"/>
          <w:sz w:val="28"/>
          <w:szCs w:val="28"/>
        </w:rPr>
      </w:pPr>
      <w:r>
        <w:rPr>
          <w:rFonts w:hint="eastAsia" w:ascii="仿宋_GB2312" w:eastAsia="仿宋_GB2312"/>
          <w:color w:val="000000"/>
          <w:sz w:val="28"/>
          <w:szCs w:val="28"/>
        </w:rPr>
        <w:t>3</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相关当事人提供了估价对象项目的总</w:t>
      </w:r>
      <w:r>
        <w:rPr>
          <w:rFonts w:hint="eastAsia" w:ascii="仿宋_GB2312" w:eastAsia="仿宋_GB2312"/>
          <w:color w:val="000000"/>
          <w:sz w:val="28"/>
          <w:szCs w:val="28"/>
        </w:rPr>
        <w:t>《</w:t>
      </w:r>
      <w:r>
        <w:rPr>
          <w:rFonts w:hint="eastAsia" w:ascii="仿宋_GB2312" w:eastAsia="仿宋_GB2312"/>
          <w:color w:val="000000"/>
          <w:sz w:val="28"/>
          <w:szCs w:val="28"/>
          <w:lang w:eastAsia="zh-CN"/>
        </w:rPr>
        <w:t>国有土地使用证》</w:t>
      </w:r>
      <w:r>
        <w:rPr>
          <w:rFonts w:hint="eastAsia" w:ascii="仿宋_GB2312" w:eastAsia="仿宋_GB2312"/>
          <w:color w:val="000000"/>
          <w:sz w:val="28"/>
          <w:szCs w:val="28"/>
          <w:lang w:val="en-US" w:eastAsia="zh-CN"/>
        </w:rPr>
        <w:t>、</w:t>
      </w:r>
      <w:r>
        <w:rPr>
          <w:rFonts w:hint="eastAsia" w:ascii="仿宋_GB2312" w:eastAsia="仿宋_GB2312"/>
          <w:sz w:val="28"/>
          <w:szCs w:val="28"/>
          <w:lang w:val="en-US" w:eastAsia="zh-CN"/>
        </w:rPr>
        <w:t>《土地使用权登记卡》、</w:t>
      </w:r>
      <w:r>
        <w:rPr>
          <w:rFonts w:hint="eastAsia" w:ascii="仿宋_GB2312" w:eastAsia="仿宋_GB2312"/>
          <w:color w:val="000000"/>
          <w:sz w:val="28"/>
          <w:szCs w:val="28"/>
          <w:lang w:val="en-US" w:eastAsia="zh-CN"/>
        </w:rPr>
        <w:t>《</w:t>
      </w:r>
      <w:r>
        <w:rPr>
          <w:rFonts w:hint="eastAsia" w:ascii="仿宋_GB2312" w:eastAsia="仿宋_GB2312"/>
          <w:color w:val="000000"/>
          <w:sz w:val="28"/>
          <w:szCs w:val="28"/>
          <w:lang w:eastAsia="zh-CN"/>
        </w:rPr>
        <w:t>建设工程规划许可证</w:t>
      </w:r>
      <w:r>
        <w:rPr>
          <w:rFonts w:hint="eastAsia" w:ascii="仿宋_GB2312" w:eastAsia="仿宋_GB2312"/>
          <w:color w:val="000000"/>
          <w:sz w:val="28"/>
          <w:szCs w:val="28"/>
          <w:lang w:val="en-US" w:eastAsia="zh-CN"/>
        </w:rPr>
        <w:t>》、民房预测2016字第26号《民和县房地产测绘成果报告书》、《</w:t>
      </w:r>
      <w:r>
        <w:rPr>
          <w:rFonts w:hint="eastAsia" w:ascii="仿宋_GB2312" w:eastAsia="仿宋_GB2312"/>
          <w:color w:val="000000"/>
          <w:sz w:val="28"/>
          <w:szCs w:val="28"/>
          <w:lang w:eastAsia="zh-CN"/>
        </w:rPr>
        <w:t>民和县房产管理局回复函</w:t>
      </w:r>
      <w:r>
        <w:rPr>
          <w:rFonts w:hint="eastAsia" w:ascii="仿宋_GB2312" w:eastAsia="仿宋_GB2312"/>
          <w:color w:val="000000"/>
          <w:sz w:val="28"/>
          <w:szCs w:val="28"/>
          <w:lang w:val="en-US" w:eastAsia="zh-CN"/>
        </w:rPr>
        <w:t>》等</w:t>
      </w:r>
      <w:r>
        <w:rPr>
          <w:rFonts w:hint="eastAsia" w:ascii="仿宋_GB2312" w:eastAsia="仿宋_GB2312"/>
          <w:color w:val="000000"/>
          <w:sz w:val="28"/>
          <w:szCs w:val="28"/>
          <w:lang w:eastAsia="zh-CN"/>
        </w:rPr>
        <w:t>复印件</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我们已向政府有关部门进行核实，在无理由怀疑其合法性、真实性、准确性和完整性的情况下，假定估价委托人提供的资料合法、真实、准确、完整。</w:t>
      </w:r>
      <w:r>
        <w:rPr>
          <w:rFonts w:hint="eastAsia" w:ascii="仿宋_GB2312" w:eastAsia="仿宋_GB2312"/>
          <w:color w:val="000000"/>
          <w:sz w:val="28"/>
          <w:szCs w:val="28"/>
        </w:rPr>
        <w:t>因提供的资料失实造成估价结果有误，估价机构不承担相应责任。</w:t>
      </w:r>
    </w:p>
    <w:p>
      <w:pPr>
        <w:keepNext w:val="0"/>
        <w:keepLines w:val="0"/>
        <w:pageBreakBefore w:val="0"/>
        <w:tabs>
          <w:tab w:val="left" w:pos="3023"/>
        </w:tabs>
        <w:kinsoku/>
        <w:wordWrap/>
        <w:overflowPunct/>
        <w:topLinePunct w:val="0"/>
        <w:autoSpaceDE/>
        <w:autoSpaceDN/>
        <w:bidi w:val="0"/>
        <w:adjustRightInd/>
        <w:spacing w:line="500" w:lineRule="exact"/>
        <w:ind w:firstLine="560" w:firstLineChars="200"/>
        <w:textAlignment w:val="auto"/>
        <w:outlineLvl w:val="9"/>
        <w:rPr>
          <w:rFonts w:hint="eastAsia" w:ascii="仿宋_GB2312" w:eastAsia="仿宋_GB2312"/>
          <w:color w:val="000000"/>
          <w:sz w:val="28"/>
          <w:szCs w:val="28"/>
        </w:rPr>
      </w:pPr>
      <w:r>
        <w:rPr>
          <w:rFonts w:hint="eastAsia" w:ascii="仿宋_GB2312" w:eastAsia="仿宋_GB2312"/>
          <w:color w:val="000000"/>
          <w:sz w:val="28"/>
          <w:szCs w:val="28"/>
          <w:lang w:val="en-US" w:eastAsia="zh-CN"/>
        </w:rPr>
        <w:t>4、注册房地产估价师已对房屋建筑质量等影响估价对象价值的重大因素给予了关注，在无理由怀疑估价对象存在安全隐患且无相应的专业机构进行鉴定、检测的情况下，假定估价对象建筑质量合格</w:t>
      </w:r>
      <w:r>
        <w:rPr>
          <w:rFonts w:hint="eastAsia" w:ascii="仿宋_GB2312" w:eastAsia="仿宋_GB2312"/>
          <w:color w:val="000000"/>
          <w:sz w:val="28"/>
          <w:szCs w:val="28"/>
        </w:rPr>
        <w:t>，且符合国家有关技术、质量、验收规范，符合国家有关安全使用标准</w:t>
      </w:r>
      <w:r>
        <w:rPr>
          <w:rFonts w:hint="eastAsia" w:ascii="仿宋_GB2312" w:eastAsia="仿宋_GB2312"/>
          <w:color w:val="000000"/>
          <w:sz w:val="28"/>
          <w:szCs w:val="28"/>
          <w:lang w:val="en-US" w:eastAsia="zh-CN"/>
        </w:rPr>
        <w:t xml:space="preserve">。 </w:t>
      </w:r>
    </w:p>
    <w:p>
      <w:pPr>
        <w:keepNext w:val="0"/>
        <w:keepLines w:val="0"/>
        <w:pageBreakBefore w:val="0"/>
        <w:kinsoku/>
        <w:wordWrap/>
        <w:overflowPunct/>
        <w:topLinePunct w:val="0"/>
        <w:autoSpaceDE/>
        <w:autoSpaceDN/>
        <w:bidi w:val="0"/>
        <w:adjustRightInd/>
        <w:snapToGrid w:val="0"/>
        <w:spacing w:line="500" w:lineRule="exact"/>
        <w:ind w:firstLine="540" w:firstLineChars="192"/>
        <w:textAlignment w:val="auto"/>
        <w:outlineLvl w:val="9"/>
        <w:rPr>
          <w:rFonts w:hint="eastAsia" w:ascii="仿宋_GB2312" w:eastAsia="仿宋_GB2312"/>
          <w:b/>
          <w:bCs/>
          <w:color w:val="000000"/>
          <w:sz w:val="28"/>
          <w:szCs w:val="28"/>
        </w:rPr>
      </w:pPr>
      <w:r>
        <w:rPr>
          <w:rFonts w:hint="eastAsia" w:ascii="仿宋_GB2312" w:eastAsia="仿宋_GB2312"/>
          <w:b/>
          <w:bCs/>
          <w:color w:val="000000"/>
          <w:sz w:val="28"/>
          <w:szCs w:val="28"/>
          <w:lang w:val="en-US" w:eastAsia="zh-CN"/>
        </w:rPr>
        <w:t>(</w:t>
      </w:r>
      <w:r>
        <w:rPr>
          <w:rFonts w:hint="eastAsia" w:ascii="仿宋_GB2312" w:eastAsia="仿宋_GB2312"/>
          <w:b/>
          <w:bCs/>
          <w:color w:val="000000"/>
          <w:sz w:val="28"/>
          <w:szCs w:val="28"/>
        </w:rPr>
        <w:t>二</w:t>
      </w:r>
      <w:r>
        <w:rPr>
          <w:rFonts w:hint="eastAsia" w:ascii="仿宋_GB2312" w:eastAsia="仿宋_GB2312"/>
          <w:b/>
          <w:bCs/>
          <w:color w:val="000000"/>
          <w:sz w:val="28"/>
          <w:szCs w:val="28"/>
          <w:lang w:val="en-US" w:eastAsia="zh-CN"/>
        </w:rPr>
        <w:t>)</w:t>
      </w:r>
      <w:r>
        <w:rPr>
          <w:rFonts w:hint="eastAsia" w:ascii="仿宋_GB2312" w:eastAsia="仿宋_GB2312"/>
          <w:b/>
          <w:bCs/>
          <w:color w:val="000000"/>
          <w:sz w:val="28"/>
          <w:szCs w:val="28"/>
        </w:rPr>
        <w:t xml:space="preserve">未定事项假设 </w:t>
      </w:r>
    </w:p>
    <w:p>
      <w:pPr>
        <w:keepNext w:val="0"/>
        <w:keepLines w:val="0"/>
        <w:pageBreakBefore w:val="0"/>
        <w:tabs>
          <w:tab w:val="left" w:pos="3023"/>
        </w:tabs>
        <w:kinsoku/>
        <w:wordWrap/>
        <w:overflowPunct/>
        <w:topLinePunct w:val="0"/>
        <w:autoSpaceDE/>
        <w:autoSpaceDN/>
        <w:bidi w:val="0"/>
        <w:adjustRightInd/>
        <w:spacing w:line="500" w:lineRule="exact"/>
        <w:ind w:firstLine="560" w:firstLineChars="200"/>
        <w:textAlignment w:val="auto"/>
        <w:outlineLvl w:val="9"/>
        <w:rPr>
          <w:rFonts w:hint="eastAsia" w:ascii="仿宋_GB2312" w:eastAsia="仿宋_GB2312"/>
          <w:color w:val="000000"/>
          <w:sz w:val="28"/>
          <w:szCs w:val="28"/>
          <w:lang w:eastAsia="zh-CN"/>
        </w:rPr>
      </w:pPr>
      <w:r>
        <w:rPr>
          <w:rFonts w:hint="eastAsia" w:ascii="仿宋_GB2312" w:eastAsia="仿宋_GB2312"/>
          <w:sz w:val="28"/>
          <w:szCs w:val="28"/>
          <w:lang w:eastAsia="zh-CN"/>
        </w:rPr>
        <w:t>1、</w:t>
      </w:r>
      <w:r>
        <w:rPr>
          <w:rFonts w:hint="eastAsia" w:ascii="仿宋_GB2312" w:eastAsia="仿宋_GB2312"/>
          <w:color w:val="000000"/>
          <w:sz w:val="28"/>
          <w:szCs w:val="28"/>
        </w:rPr>
        <w:t>注册房地产估价师未对估价对象</w:t>
      </w:r>
      <w:r>
        <w:rPr>
          <w:rFonts w:hint="eastAsia" w:ascii="仿宋_GB2312" w:eastAsia="仿宋_GB2312"/>
          <w:color w:val="000000"/>
          <w:sz w:val="28"/>
          <w:szCs w:val="28"/>
          <w:lang w:val="en-US" w:eastAsia="zh-CN"/>
        </w:rPr>
        <w:t>的</w:t>
      </w:r>
      <w:r>
        <w:rPr>
          <w:rFonts w:hint="eastAsia" w:ascii="仿宋_GB2312" w:eastAsia="仿宋_GB2312"/>
          <w:color w:val="000000"/>
          <w:sz w:val="28"/>
          <w:szCs w:val="28"/>
          <w:lang w:eastAsia="zh-CN"/>
        </w:rPr>
        <w:t>房屋</w:t>
      </w:r>
      <w:r>
        <w:rPr>
          <w:rFonts w:hint="eastAsia" w:ascii="仿宋_GB2312" w:eastAsia="仿宋_GB2312"/>
          <w:color w:val="000000"/>
          <w:sz w:val="28"/>
          <w:szCs w:val="28"/>
        </w:rPr>
        <w:t>建筑面积和</w:t>
      </w:r>
      <w:r>
        <w:rPr>
          <w:rFonts w:hint="eastAsia" w:ascii="仿宋_GB2312" w:eastAsia="仿宋_GB2312"/>
          <w:color w:val="000000"/>
          <w:sz w:val="28"/>
          <w:szCs w:val="28"/>
          <w:lang w:eastAsia="zh-CN"/>
        </w:rPr>
        <w:t>土地使用面积</w:t>
      </w:r>
      <w:r>
        <w:rPr>
          <w:rFonts w:hint="eastAsia" w:ascii="仿宋_GB2312" w:eastAsia="仿宋_GB2312"/>
          <w:color w:val="000000"/>
          <w:sz w:val="28"/>
          <w:szCs w:val="28"/>
        </w:rPr>
        <w:t>进行专业测量，</w:t>
      </w:r>
      <w:r>
        <w:rPr>
          <w:rFonts w:hint="eastAsia" w:ascii="仿宋_GB2312" w:eastAsia="仿宋_GB2312"/>
          <w:color w:val="000000"/>
          <w:sz w:val="28"/>
          <w:szCs w:val="28"/>
          <w:lang w:eastAsia="zh-CN"/>
        </w:rPr>
        <w:t>估价对象未取得相应的房屋所有权证和土地使用权证，</w:t>
      </w:r>
      <w:r>
        <w:rPr>
          <w:rFonts w:hint="eastAsia" w:ascii="仿宋_GB2312" w:eastAsia="仿宋_GB2312"/>
          <w:color w:val="000000"/>
          <w:sz w:val="28"/>
          <w:szCs w:val="28"/>
        </w:rPr>
        <w:t>本次估价过程中估价对象的</w:t>
      </w:r>
      <w:r>
        <w:rPr>
          <w:rFonts w:hint="eastAsia" w:ascii="仿宋_GB2312" w:eastAsia="仿宋_GB2312"/>
          <w:color w:val="000000"/>
          <w:sz w:val="28"/>
          <w:szCs w:val="28"/>
          <w:lang w:eastAsia="zh-CN"/>
        </w:rPr>
        <w:t>房屋</w:t>
      </w:r>
      <w:r>
        <w:rPr>
          <w:rFonts w:hint="eastAsia" w:ascii="仿宋_GB2312" w:eastAsia="仿宋_GB2312"/>
          <w:color w:val="000000"/>
          <w:sz w:val="28"/>
          <w:szCs w:val="28"/>
        </w:rPr>
        <w:t>建筑面积</w:t>
      </w:r>
      <w:r>
        <w:rPr>
          <w:rFonts w:hint="eastAsia" w:ascii="仿宋_GB2312" w:eastAsia="仿宋_GB2312"/>
          <w:color w:val="000000"/>
          <w:sz w:val="28"/>
          <w:szCs w:val="28"/>
          <w:lang w:eastAsia="zh-CN"/>
        </w:rPr>
        <w:t>以</w:t>
      </w:r>
      <w:r>
        <w:rPr>
          <w:rFonts w:hint="eastAsia" w:ascii="仿宋_GB2312" w:eastAsia="仿宋_GB2312"/>
          <w:color w:val="000000"/>
          <w:sz w:val="28"/>
          <w:szCs w:val="28"/>
          <w:lang w:val="en-US" w:eastAsia="zh-CN"/>
        </w:rPr>
        <w:t>民房预测2016字第26号《民和县房地产测绘成果报告书》</w:t>
      </w:r>
      <w:r>
        <w:rPr>
          <w:rFonts w:hint="eastAsia" w:ascii="仿宋_GB2312" w:eastAsia="仿宋_GB2312"/>
          <w:color w:val="000000"/>
          <w:sz w:val="28"/>
          <w:szCs w:val="28"/>
          <w:lang w:eastAsia="zh-CN"/>
        </w:rPr>
        <w:t>为准，土地使用权面积未分割，总用地为出让的商住用地，本次估价按出让的住宅用地评估。</w:t>
      </w:r>
    </w:p>
    <w:p>
      <w:pPr>
        <w:keepNext w:val="0"/>
        <w:keepLines w:val="0"/>
        <w:pageBreakBefore w:val="0"/>
        <w:tabs>
          <w:tab w:val="left" w:pos="3023"/>
        </w:tabs>
        <w:kinsoku/>
        <w:wordWrap/>
        <w:overflowPunct/>
        <w:topLinePunct w:val="0"/>
        <w:autoSpaceDE/>
        <w:autoSpaceDN/>
        <w:bidi w:val="0"/>
        <w:adjustRightInd/>
        <w:spacing w:line="500" w:lineRule="exact"/>
        <w:ind w:firstLine="560" w:firstLineChars="200"/>
        <w:textAlignment w:val="auto"/>
        <w:outlineLvl w:val="9"/>
        <w:rPr>
          <w:rFonts w:hint="eastAsia" w:ascii="仿宋_GB2312" w:eastAsia="仿宋_GB2312"/>
          <w:sz w:val="28"/>
          <w:szCs w:val="28"/>
          <w:lang w:val="en-US" w:eastAsia="zh-CN"/>
        </w:rPr>
      </w:pPr>
      <w:r>
        <w:rPr>
          <w:rFonts w:hint="eastAsia" w:ascii="仿宋_GB2312" w:eastAsia="仿宋_GB2312"/>
          <w:color w:val="C00000"/>
          <w:sz w:val="28"/>
          <w:szCs w:val="28"/>
          <w:lang w:val="en-US" w:eastAsia="zh-CN"/>
        </w:rPr>
        <w:t xml:space="preserve">2、估价对象为预售商品房，尚未办理竣工综合验收，本次估价假设其按规划设计要求完成建设并通过竣工综合验收，且可依法办理产权证为前提。 </w:t>
      </w:r>
    </w:p>
    <w:p>
      <w:pPr>
        <w:keepNext w:val="0"/>
        <w:keepLines w:val="0"/>
        <w:pageBreakBefore w:val="0"/>
        <w:tabs>
          <w:tab w:val="left" w:pos="3023"/>
        </w:tabs>
        <w:kinsoku/>
        <w:wordWrap/>
        <w:overflowPunct/>
        <w:topLinePunct w:val="0"/>
        <w:autoSpaceDE/>
        <w:autoSpaceDN/>
        <w:bidi w:val="0"/>
        <w:adjustRightInd/>
        <w:spacing w:line="500" w:lineRule="exact"/>
        <w:ind w:firstLine="560" w:firstLineChars="200"/>
        <w:textAlignment w:val="auto"/>
        <w:outlineLvl w:val="9"/>
        <w:rPr>
          <w:rFonts w:hint="eastAsia" w:ascii="仿宋_GB2312" w:eastAsia="仿宋_GB2312"/>
          <w:sz w:val="28"/>
          <w:szCs w:val="28"/>
          <w:lang w:eastAsia="zh-CN"/>
        </w:rPr>
      </w:pPr>
      <w:r>
        <w:rPr>
          <w:rFonts w:hint="eastAsia" w:ascii="仿宋_GB2312" w:eastAsia="仿宋_GB2312"/>
          <w:sz w:val="28"/>
          <w:szCs w:val="28"/>
          <w:lang w:val="en-US" w:eastAsia="zh-CN"/>
        </w:rPr>
        <w:t>3</w:t>
      </w:r>
      <w:r>
        <w:rPr>
          <w:rFonts w:hint="eastAsia" w:ascii="仿宋_GB2312" w:eastAsia="仿宋_GB2312"/>
          <w:sz w:val="28"/>
          <w:szCs w:val="28"/>
          <w:lang w:eastAsia="zh-CN"/>
        </w:rPr>
        <w:t>、</w:t>
      </w:r>
      <w:r>
        <w:rPr>
          <w:rFonts w:hint="eastAsia" w:ascii="仿宋_GB2312" w:eastAsia="仿宋_GB2312"/>
          <w:sz w:val="28"/>
          <w:szCs w:val="28"/>
        </w:rPr>
        <w:t>在</w:t>
      </w:r>
      <w:r>
        <w:rPr>
          <w:rFonts w:hint="eastAsia" w:ascii="仿宋_GB2312" w:eastAsia="仿宋_GB2312"/>
          <w:sz w:val="28"/>
          <w:szCs w:val="28"/>
          <w:lang w:eastAsia="zh-CN"/>
        </w:rPr>
        <w:t>2019年08月20日</w:t>
      </w:r>
      <w:r>
        <w:rPr>
          <w:rFonts w:hint="eastAsia" w:ascii="仿宋_GB2312" w:eastAsia="仿宋_GB2312"/>
          <w:sz w:val="28"/>
          <w:szCs w:val="28"/>
        </w:rPr>
        <w:t>，我们对估价对象进行了现场查勘。</w:t>
      </w:r>
      <w:r>
        <w:rPr>
          <w:rFonts w:hint="eastAsia" w:ascii="仿宋_GB2312" w:eastAsia="仿宋_GB2312"/>
          <w:sz w:val="28"/>
          <w:szCs w:val="28"/>
          <w:lang w:eastAsia="zh-CN"/>
        </w:rPr>
        <w:t>估价对象部分房地产由第三方占有和使用，是否存在合法的占有和使用权我们无法查证，应以法院拍卖公告为准。</w:t>
      </w:r>
      <w:r>
        <w:rPr>
          <w:rFonts w:hint="eastAsia" w:ascii="仿宋_GB2312" w:hAnsi="宋体" w:eastAsia="仿宋_GB2312" w:cs="Times New Roman"/>
          <w:sz w:val="28"/>
          <w:szCs w:val="28"/>
          <w:lang w:val="en-US" w:eastAsia="zh-CN"/>
        </w:rPr>
        <w:t>根据</w:t>
      </w:r>
      <w:r>
        <w:rPr>
          <w:rFonts w:hint="eastAsia" w:ascii="仿宋_GB2312" w:hAnsi="宋体" w:eastAsia="仿宋_GB2312" w:cs="Times New Roman"/>
          <w:sz w:val="28"/>
          <w:szCs w:val="28"/>
          <w:lang w:eastAsia="zh-CN"/>
        </w:rPr>
        <w:t>民和回族土族自治县</w:t>
      </w:r>
      <w:r>
        <w:rPr>
          <w:rFonts w:hint="eastAsia" w:ascii="仿宋_GB2312" w:hAnsi="宋体" w:eastAsia="仿宋_GB2312" w:cs="Times New Roman"/>
          <w:sz w:val="28"/>
          <w:szCs w:val="28"/>
          <w:lang w:val="en-US" w:eastAsia="zh-CN"/>
        </w:rPr>
        <w:t>房产管理局出具的《回复函》复印件，</w:t>
      </w:r>
      <w:r>
        <w:rPr>
          <w:rFonts w:hint="eastAsia" w:ascii="仿宋" w:hAnsi="仿宋" w:eastAsia="仿宋"/>
          <w:sz w:val="28"/>
          <w:lang w:val="en-US" w:eastAsia="zh-CN"/>
        </w:rPr>
        <w:t>估价对象尚未在青海省房屋交易监管系统办理网签备案。本次估价假设估价对象在价值时点为</w:t>
      </w:r>
      <w:r>
        <w:rPr>
          <w:rFonts w:hint="eastAsia" w:ascii="仿宋_GB2312" w:eastAsia="仿宋_GB2312"/>
          <w:sz w:val="28"/>
          <w:szCs w:val="28"/>
          <w:lang w:eastAsia="zh-CN"/>
        </w:rPr>
        <w:t>青海金天地房地产开发有限公司(</w:t>
      </w:r>
      <w:r>
        <w:rPr>
          <w:rFonts w:hint="eastAsia" w:ascii="仿宋_GB2312" w:eastAsia="仿宋_GB2312"/>
          <w:sz w:val="28"/>
          <w:szCs w:val="28"/>
          <w:lang w:val="en-US" w:eastAsia="zh-CN"/>
        </w:rPr>
        <w:t>开发商</w:t>
      </w:r>
      <w:r>
        <w:rPr>
          <w:rFonts w:hint="eastAsia" w:ascii="仿宋_GB2312" w:eastAsia="仿宋_GB2312"/>
          <w:sz w:val="28"/>
          <w:szCs w:val="28"/>
          <w:lang w:eastAsia="zh-CN"/>
        </w:rPr>
        <w:t>)</w:t>
      </w:r>
      <w:r>
        <w:rPr>
          <w:rFonts w:hint="eastAsia" w:ascii="仿宋_GB2312" w:eastAsia="仿宋_GB2312"/>
          <w:sz w:val="28"/>
          <w:szCs w:val="28"/>
          <w:lang w:val="en-US" w:eastAsia="zh-CN"/>
        </w:rPr>
        <w:t>名下的</w:t>
      </w:r>
      <w:r>
        <w:rPr>
          <w:rFonts w:hint="eastAsia" w:ascii="仿宋" w:hAnsi="仿宋" w:eastAsia="仿宋"/>
          <w:sz w:val="28"/>
          <w:lang w:val="en-US" w:eastAsia="zh-CN"/>
        </w:rPr>
        <w:t>未预售商品房</w:t>
      </w:r>
      <w:r>
        <w:rPr>
          <w:rFonts w:hint="eastAsia" w:ascii="仿宋_GB2312" w:eastAsia="仿宋_GB2312"/>
          <w:sz w:val="28"/>
          <w:szCs w:val="28"/>
          <w:lang w:eastAsia="zh-CN"/>
        </w:rPr>
        <w:t>。</w:t>
      </w:r>
    </w:p>
    <w:p>
      <w:pPr>
        <w:keepNext w:val="0"/>
        <w:keepLines w:val="0"/>
        <w:pageBreakBefore w:val="0"/>
        <w:kinsoku/>
        <w:wordWrap/>
        <w:overflowPunct/>
        <w:topLinePunct w:val="0"/>
        <w:autoSpaceDE/>
        <w:autoSpaceDN/>
        <w:bidi w:val="0"/>
        <w:adjustRightInd/>
        <w:snapToGrid w:val="0"/>
        <w:spacing w:line="500" w:lineRule="exact"/>
        <w:ind w:firstLine="540" w:firstLineChars="192"/>
        <w:textAlignment w:val="auto"/>
        <w:outlineLvl w:val="9"/>
        <w:rPr>
          <w:rFonts w:hint="eastAsia" w:ascii="仿宋_GB2312" w:eastAsia="仿宋_GB2312"/>
          <w:color w:val="000000"/>
          <w:sz w:val="28"/>
          <w:szCs w:val="28"/>
          <w:lang w:val="en-US" w:eastAsia="zh-CN"/>
        </w:rPr>
      </w:pPr>
      <w:r>
        <w:rPr>
          <w:rFonts w:hint="eastAsia" w:ascii="仿宋_GB2312" w:eastAsia="仿宋_GB2312"/>
          <w:b/>
          <w:bCs/>
          <w:color w:val="000000"/>
          <w:sz w:val="28"/>
          <w:szCs w:val="28"/>
          <w:lang w:val="en-US" w:eastAsia="zh-CN"/>
        </w:rPr>
        <w:t>(</w:t>
      </w:r>
      <w:r>
        <w:rPr>
          <w:rFonts w:hint="eastAsia" w:ascii="仿宋_GB2312" w:eastAsia="仿宋_GB2312"/>
          <w:b/>
          <w:bCs/>
          <w:color w:val="000000"/>
          <w:sz w:val="28"/>
          <w:szCs w:val="28"/>
        </w:rPr>
        <w:t>三</w:t>
      </w:r>
      <w:r>
        <w:rPr>
          <w:rFonts w:hint="eastAsia" w:ascii="仿宋_GB2312" w:eastAsia="仿宋_GB2312"/>
          <w:b/>
          <w:bCs/>
          <w:color w:val="000000"/>
          <w:sz w:val="28"/>
          <w:szCs w:val="28"/>
          <w:lang w:val="en-US" w:eastAsia="zh-CN"/>
        </w:rPr>
        <w:t>)</w:t>
      </w:r>
      <w:r>
        <w:rPr>
          <w:rFonts w:hint="eastAsia" w:ascii="仿宋_GB2312" w:eastAsia="仿宋_GB2312"/>
          <w:b/>
          <w:bCs/>
          <w:color w:val="000000"/>
          <w:sz w:val="28"/>
          <w:szCs w:val="28"/>
        </w:rPr>
        <w:t>背离事实假设</w:t>
      </w:r>
      <w:r>
        <w:rPr>
          <w:rFonts w:hint="eastAsia" w:ascii="仿宋_GB2312" w:eastAsia="仿宋_GB2312"/>
          <w:color w:val="000000"/>
          <w:sz w:val="28"/>
          <w:szCs w:val="28"/>
        </w:rPr>
        <w:t xml:space="preserve"> </w:t>
      </w:r>
      <w:r>
        <w:rPr>
          <w:rFonts w:hint="eastAsia" w:ascii="仿宋_GB2312" w:eastAsia="仿宋_GB2312"/>
          <w:color w:val="000000"/>
          <w:sz w:val="28"/>
          <w:szCs w:val="28"/>
          <w:lang w:val="en-US" w:eastAsia="zh-CN"/>
        </w:rPr>
        <w:t xml:space="preserve"> </w:t>
      </w:r>
    </w:p>
    <w:p>
      <w:pPr>
        <w:keepNext w:val="0"/>
        <w:keepLines w:val="0"/>
        <w:pageBreakBefore w:val="0"/>
        <w:tabs>
          <w:tab w:val="left" w:pos="3023"/>
        </w:tabs>
        <w:kinsoku/>
        <w:wordWrap/>
        <w:overflowPunct/>
        <w:topLinePunct w:val="0"/>
        <w:autoSpaceDE/>
        <w:autoSpaceDN/>
        <w:bidi w:val="0"/>
        <w:adjustRightInd/>
        <w:spacing w:line="500" w:lineRule="exact"/>
        <w:ind w:firstLine="560" w:firstLineChars="200"/>
        <w:textAlignment w:val="auto"/>
        <w:outlineLvl w:val="9"/>
        <w:rPr>
          <w:rFonts w:hint="eastAsia" w:ascii="仿宋_GB2312" w:eastAsia="仿宋_GB2312"/>
          <w:sz w:val="28"/>
          <w:szCs w:val="28"/>
        </w:rPr>
      </w:pPr>
      <w:r>
        <w:rPr>
          <w:rFonts w:hint="eastAsia" w:ascii="仿宋_GB2312" w:eastAsia="仿宋_GB2312"/>
          <w:sz w:val="28"/>
          <w:szCs w:val="28"/>
          <w:lang w:eastAsia="zh-CN"/>
        </w:rPr>
        <w:t>根据估价委托人提供的资料、注册房地产估价师查档及实地查勘，估价对象于价值时点尚有查封未解除</w:t>
      </w:r>
      <w:r>
        <w:rPr>
          <w:rFonts w:hint="default" w:ascii="仿宋_GB2312" w:eastAsia="仿宋_GB2312"/>
          <w:sz w:val="28"/>
          <w:szCs w:val="28"/>
          <w:lang w:eastAsia="zh-CN"/>
        </w:rPr>
        <w:t>。鉴于本次估价目的是为人民法院执行</w:t>
      </w:r>
      <w:r>
        <w:rPr>
          <w:rFonts w:hint="eastAsia" w:ascii="仿宋_GB2312" w:eastAsia="仿宋_GB2312"/>
          <w:sz w:val="28"/>
          <w:szCs w:val="28"/>
          <w:lang w:eastAsia="zh-CN"/>
        </w:rPr>
        <w:t>司法处置提供价值参考</w:t>
      </w:r>
      <w:r>
        <w:rPr>
          <w:rFonts w:hint="eastAsia" w:ascii="仿宋_GB2312" w:hAnsi="Tahoma" w:eastAsia="仿宋_GB2312" w:cs="Tahoma"/>
          <w:color w:val="000000"/>
          <w:kern w:val="0"/>
          <w:sz w:val="28"/>
          <w:szCs w:val="28"/>
        </w:rPr>
        <w:t>依据</w:t>
      </w:r>
      <w:r>
        <w:rPr>
          <w:rFonts w:hint="default" w:ascii="Times New Roman" w:hAnsi="Times New Roman" w:eastAsia="仿宋" w:cs="Times New Roman"/>
          <w:color w:val="auto"/>
          <w:sz w:val="28"/>
          <w:szCs w:val="28"/>
          <w:lang w:eastAsia="zh-CN"/>
        </w:rPr>
        <w:t>，故本报告以估价对象的房屋所有权及国有土地使用权不存在任何查封限制、</w:t>
      </w:r>
      <w:r>
        <w:rPr>
          <w:rFonts w:hint="eastAsia" w:ascii="仿宋_GB2312" w:eastAsia="仿宋_GB2312"/>
          <w:sz w:val="28"/>
          <w:szCs w:val="28"/>
          <w:lang w:eastAsia="zh-CN"/>
        </w:rPr>
        <w:t>租赁限制、</w:t>
      </w:r>
      <w:r>
        <w:rPr>
          <w:rFonts w:hint="default" w:ascii="Times New Roman" w:hAnsi="Times New Roman" w:eastAsia="仿宋" w:cs="Times New Roman"/>
          <w:color w:val="auto"/>
          <w:sz w:val="28"/>
          <w:szCs w:val="28"/>
          <w:lang w:eastAsia="zh-CN"/>
        </w:rPr>
        <w:t>担保物权、</w:t>
      </w:r>
      <w:r>
        <w:rPr>
          <w:rFonts w:hint="eastAsia" w:eastAsia="仿宋" w:cs="Times New Roman"/>
          <w:color w:val="auto"/>
          <w:sz w:val="28"/>
          <w:szCs w:val="28"/>
          <w:lang w:eastAsia="zh-CN"/>
        </w:rPr>
        <w:t>拖欠工程款、</w:t>
      </w:r>
      <w:r>
        <w:rPr>
          <w:rFonts w:hint="default" w:ascii="Times New Roman" w:hAnsi="Times New Roman" w:eastAsia="仿宋" w:cs="Times New Roman"/>
          <w:color w:val="auto"/>
          <w:sz w:val="28"/>
          <w:szCs w:val="28"/>
          <w:lang w:eastAsia="zh-CN"/>
        </w:rPr>
        <w:t>其他优先受偿权为假设前提，即假定其为完整权利状态下的房地产。</w:t>
      </w:r>
    </w:p>
    <w:p>
      <w:pPr>
        <w:keepNext w:val="0"/>
        <w:keepLines w:val="0"/>
        <w:pageBreakBefore w:val="0"/>
        <w:kinsoku/>
        <w:wordWrap/>
        <w:overflowPunct/>
        <w:topLinePunct w:val="0"/>
        <w:autoSpaceDE/>
        <w:autoSpaceDN/>
        <w:bidi w:val="0"/>
        <w:adjustRightInd/>
        <w:snapToGrid w:val="0"/>
        <w:spacing w:line="500" w:lineRule="exact"/>
        <w:ind w:firstLine="540" w:firstLineChars="192"/>
        <w:textAlignment w:val="auto"/>
        <w:outlineLvl w:val="9"/>
        <w:rPr>
          <w:rFonts w:hint="eastAsia" w:ascii="仿宋_GB2312" w:eastAsia="仿宋_GB2312"/>
          <w:color w:val="000000"/>
          <w:sz w:val="28"/>
          <w:szCs w:val="28"/>
        </w:rPr>
      </w:pPr>
      <w:r>
        <w:rPr>
          <w:rFonts w:hint="eastAsia" w:ascii="仿宋_GB2312" w:eastAsia="仿宋_GB2312"/>
          <w:b/>
          <w:bCs/>
          <w:color w:val="000000"/>
          <w:sz w:val="28"/>
          <w:szCs w:val="28"/>
          <w:lang w:val="en-US" w:eastAsia="zh-CN"/>
        </w:rPr>
        <w:t>(</w:t>
      </w:r>
      <w:r>
        <w:rPr>
          <w:rFonts w:hint="eastAsia" w:ascii="仿宋_GB2312" w:eastAsia="仿宋_GB2312"/>
          <w:b/>
          <w:bCs/>
          <w:color w:val="000000"/>
          <w:sz w:val="28"/>
          <w:szCs w:val="28"/>
        </w:rPr>
        <w:t>四</w:t>
      </w:r>
      <w:r>
        <w:rPr>
          <w:rFonts w:hint="eastAsia" w:ascii="仿宋_GB2312" w:eastAsia="仿宋_GB2312"/>
          <w:b/>
          <w:bCs/>
          <w:color w:val="000000"/>
          <w:sz w:val="28"/>
          <w:szCs w:val="28"/>
          <w:lang w:val="en-US" w:eastAsia="zh-CN"/>
        </w:rPr>
        <w:t>)</w:t>
      </w:r>
      <w:r>
        <w:rPr>
          <w:rFonts w:hint="eastAsia" w:ascii="仿宋_GB2312" w:eastAsia="仿宋_GB2312"/>
          <w:b/>
          <w:bCs/>
          <w:color w:val="000000"/>
          <w:sz w:val="28"/>
          <w:szCs w:val="28"/>
        </w:rPr>
        <w:t>不相一致假设</w:t>
      </w:r>
      <w:r>
        <w:rPr>
          <w:rFonts w:hint="eastAsia" w:ascii="仿宋_GB2312" w:eastAsia="仿宋_GB2312"/>
          <w:color w:val="000000"/>
          <w:sz w:val="28"/>
          <w:szCs w:val="28"/>
        </w:rPr>
        <w:t xml:space="preserve"> </w:t>
      </w:r>
    </w:p>
    <w:p>
      <w:pPr>
        <w:keepNext w:val="0"/>
        <w:keepLines w:val="0"/>
        <w:pageBreakBefore w:val="0"/>
        <w:kinsoku/>
        <w:wordWrap/>
        <w:overflowPunct/>
        <w:topLinePunct w:val="0"/>
        <w:autoSpaceDE/>
        <w:autoSpaceDN/>
        <w:bidi w:val="0"/>
        <w:adjustRightInd/>
        <w:snapToGrid w:val="0"/>
        <w:spacing w:line="500" w:lineRule="exact"/>
        <w:ind w:firstLine="554" w:firstLineChars="198"/>
        <w:textAlignment w:val="auto"/>
        <w:rPr>
          <w:rFonts w:hint="eastAsia" w:ascii="仿宋_GB2312" w:eastAsia="仿宋_GB2312"/>
          <w:color w:val="000000"/>
          <w:sz w:val="28"/>
          <w:szCs w:val="28"/>
          <w:lang w:eastAsia="zh-CN"/>
        </w:rPr>
      </w:pPr>
      <w:r>
        <w:rPr>
          <w:rFonts w:hint="eastAsia" w:ascii="仿宋_GB2312" w:eastAsia="仿宋_GB2312"/>
          <w:sz w:val="28"/>
          <w:szCs w:val="28"/>
          <w:lang w:eastAsia="zh-CN"/>
        </w:rPr>
        <w:t>无不相一致假设</w:t>
      </w:r>
      <w:r>
        <w:rPr>
          <w:rFonts w:hint="eastAsia" w:ascii="仿宋_GB2312" w:eastAsia="仿宋_GB2312"/>
          <w:color w:val="000000"/>
          <w:sz w:val="28"/>
          <w:szCs w:val="28"/>
          <w:lang w:eastAsia="zh-CN"/>
        </w:rPr>
        <w:t>。</w:t>
      </w:r>
    </w:p>
    <w:p>
      <w:pPr>
        <w:keepNext w:val="0"/>
        <w:keepLines w:val="0"/>
        <w:pageBreakBefore w:val="0"/>
        <w:kinsoku/>
        <w:wordWrap/>
        <w:overflowPunct/>
        <w:topLinePunct w:val="0"/>
        <w:autoSpaceDE/>
        <w:autoSpaceDN/>
        <w:bidi w:val="0"/>
        <w:adjustRightInd/>
        <w:snapToGrid w:val="0"/>
        <w:spacing w:line="500" w:lineRule="exact"/>
        <w:ind w:firstLine="540" w:firstLineChars="192"/>
        <w:textAlignment w:val="auto"/>
        <w:outlineLvl w:val="9"/>
        <w:rPr>
          <w:rFonts w:hint="eastAsia" w:ascii="仿宋_GB2312" w:eastAsia="仿宋_GB2312"/>
          <w:b/>
          <w:bCs/>
          <w:color w:val="000000"/>
          <w:sz w:val="28"/>
          <w:szCs w:val="28"/>
        </w:rPr>
      </w:pPr>
      <w:r>
        <w:rPr>
          <w:rFonts w:hint="eastAsia" w:ascii="仿宋_GB2312" w:eastAsia="仿宋_GB2312"/>
          <w:b/>
          <w:bCs/>
          <w:color w:val="000000"/>
          <w:sz w:val="28"/>
          <w:szCs w:val="28"/>
          <w:lang w:val="en-US" w:eastAsia="zh-CN"/>
        </w:rPr>
        <w:t>(</w:t>
      </w:r>
      <w:r>
        <w:rPr>
          <w:rFonts w:hint="eastAsia" w:ascii="仿宋_GB2312" w:eastAsia="仿宋_GB2312"/>
          <w:b/>
          <w:bCs/>
          <w:color w:val="000000"/>
          <w:sz w:val="28"/>
          <w:szCs w:val="28"/>
        </w:rPr>
        <w:t>五</w:t>
      </w:r>
      <w:r>
        <w:rPr>
          <w:rFonts w:hint="eastAsia" w:ascii="仿宋_GB2312" w:eastAsia="仿宋_GB2312"/>
          <w:b/>
          <w:bCs/>
          <w:color w:val="000000"/>
          <w:sz w:val="28"/>
          <w:szCs w:val="28"/>
          <w:lang w:val="en-US" w:eastAsia="zh-CN"/>
        </w:rPr>
        <w:t>)</w:t>
      </w:r>
      <w:r>
        <w:rPr>
          <w:rFonts w:hint="eastAsia" w:ascii="仿宋_GB2312" w:eastAsia="仿宋_GB2312"/>
          <w:b/>
          <w:bCs/>
          <w:color w:val="000000"/>
          <w:sz w:val="28"/>
          <w:szCs w:val="28"/>
        </w:rPr>
        <w:t xml:space="preserve">依据不足假设 </w:t>
      </w:r>
    </w:p>
    <w:p>
      <w:pPr>
        <w:keepNext w:val="0"/>
        <w:keepLines w:val="0"/>
        <w:pageBreakBefore w:val="0"/>
        <w:tabs>
          <w:tab w:val="left" w:pos="3023"/>
        </w:tabs>
        <w:kinsoku/>
        <w:wordWrap/>
        <w:overflowPunct/>
        <w:topLinePunct w:val="0"/>
        <w:autoSpaceDE/>
        <w:autoSpaceDN/>
        <w:bidi w:val="0"/>
        <w:adjustRightInd/>
        <w:spacing w:line="500" w:lineRule="exact"/>
        <w:ind w:firstLine="560" w:firstLineChars="200"/>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无依据不足假设。</w:t>
      </w:r>
    </w:p>
    <w:p>
      <w:pPr>
        <w:keepNext w:val="0"/>
        <w:keepLines w:val="0"/>
        <w:pageBreakBefore w:val="0"/>
        <w:kinsoku/>
        <w:wordWrap/>
        <w:overflowPunct/>
        <w:topLinePunct w:val="0"/>
        <w:autoSpaceDE/>
        <w:autoSpaceDN/>
        <w:bidi w:val="0"/>
        <w:adjustRightInd/>
        <w:spacing w:line="500" w:lineRule="exact"/>
        <w:ind w:firstLine="562" w:firstLineChars="200"/>
        <w:textAlignment w:val="auto"/>
        <w:outlineLvl w:val="9"/>
        <w:rPr>
          <w:rFonts w:ascii="仿宋_GB2312" w:eastAsia="仿宋_GB2312"/>
          <w:b/>
          <w:bCs/>
          <w:color w:val="000000"/>
          <w:sz w:val="28"/>
          <w:szCs w:val="28"/>
        </w:rPr>
      </w:pPr>
      <w:r>
        <w:rPr>
          <w:rFonts w:hint="eastAsia" w:ascii="仿宋_GB2312" w:eastAsia="仿宋_GB2312"/>
          <w:b/>
          <w:bCs/>
          <w:color w:val="000000"/>
          <w:sz w:val="28"/>
          <w:szCs w:val="28"/>
        </w:rPr>
        <w:t>二、估价报告使用的限制条件</w:t>
      </w:r>
    </w:p>
    <w:p>
      <w:pPr>
        <w:keepNext w:val="0"/>
        <w:keepLines w:val="0"/>
        <w:pageBreakBefore w:val="0"/>
        <w:widowControl/>
        <w:kinsoku/>
        <w:wordWrap/>
        <w:overflowPunct/>
        <w:topLinePunct w:val="0"/>
        <w:autoSpaceDE/>
        <w:autoSpaceDN/>
        <w:bidi w:val="0"/>
        <w:adjustRightInd/>
        <w:spacing w:line="500" w:lineRule="exact"/>
        <w:ind w:firstLine="560" w:firstLineChars="200"/>
        <w:jc w:val="left"/>
        <w:textAlignment w:val="auto"/>
        <w:outlineLvl w:val="9"/>
        <w:rPr>
          <w:rFonts w:hint="eastAsia" w:ascii="仿宋_GB2312" w:hAnsi="Tahoma" w:eastAsia="仿宋_GB2312" w:cs="Tahoma"/>
          <w:color w:val="000000"/>
          <w:kern w:val="0"/>
          <w:sz w:val="28"/>
          <w:szCs w:val="28"/>
        </w:rPr>
      </w:pPr>
      <w:r>
        <w:rPr>
          <w:rFonts w:ascii="仿宋_GB2312" w:hAnsi="Tahoma" w:eastAsia="仿宋_GB2312" w:cs="Tahoma"/>
          <w:color w:val="000000"/>
          <w:kern w:val="0"/>
          <w:sz w:val="28"/>
          <w:szCs w:val="28"/>
        </w:rPr>
        <w:t>1</w:t>
      </w:r>
      <w:r>
        <w:rPr>
          <w:rFonts w:hint="eastAsia" w:ascii="仿宋_GB2312" w:hAnsi="Tahoma" w:eastAsia="仿宋_GB2312" w:cs="Tahoma"/>
          <w:color w:val="000000"/>
          <w:kern w:val="0"/>
          <w:sz w:val="28"/>
          <w:szCs w:val="28"/>
        </w:rPr>
        <w:t>、本次估价结果是反映估价对象在本次估价目的下，根据公开市场原则确定的价值时点的公允价格，仅为司法</w:t>
      </w:r>
      <w:r>
        <w:rPr>
          <w:rFonts w:hint="eastAsia" w:ascii="仿宋_GB2312" w:hAnsi="Tahoma" w:eastAsia="仿宋_GB2312" w:cs="Tahoma"/>
          <w:color w:val="000000"/>
          <w:kern w:val="0"/>
          <w:sz w:val="28"/>
          <w:szCs w:val="28"/>
          <w:lang w:eastAsia="zh-CN"/>
        </w:rPr>
        <w:t>处置</w:t>
      </w:r>
      <w:r>
        <w:rPr>
          <w:rFonts w:hint="eastAsia" w:ascii="仿宋_GB2312" w:hAnsi="Tahoma" w:eastAsia="仿宋_GB2312" w:cs="Tahoma"/>
          <w:color w:val="000000"/>
          <w:kern w:val="0"/>
          <w:sz w:val="28"/>
          <w:szCs w:val="28"/>
        </w:rPr>
        <w:t>提供价值参考依据，不得用于其他目的和用途。若改变估价目的及使用条件，则估价结果应重新评估。</w:t>
      </w:r>
    </w:p>
    <w:p>
      <w:pPr>
        <w:keepNext w:val="0"/>
        <w:keepLines w:val="0"/>
        <w:pageBreakBefore w:val="0"/>
        <w:widowControl/>
        <w:kinsoku/>
        <w:wordWrap/>
        <w:overflowPunct/>
        <w:topLinePunct w:val="0"/>
        <w:autoSpaceDE/>
        <w:autoSpaceDN/>
        <w:bidi w:val="0"/>
        <w:adjustRightInd/>
        <w:spacing w:line="500" w:lineRule="exact"/>
        <w:ind w:firstLine="560" w:firstLineChars="200"/>
        <w:jc w:val="left"/>
        <w:textAlignment w:val="auto"/>
        <w:outlineLvl w:val="9"/>
        <w:rPr>
          <w:rFonts w:hint="eastAsia"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2、本估价结果已包含</w:t>
      </w:r>
      <w:r>
        <w:rPr>
          <w:rFonts w:hint="eastAsia" w:ascii="仿宋_GB2312" w:hAnsi="Tahoma" w:eastAsia="仿宋_GB2312" w:cs="Tahoma"/>
          <w:color w:val="000000"/>
          <w:kern w:val="0"/>
          <w:sz w:val="28"/>
          <w:szCs w:val="28"/>
          <w:lang w:eastAsia="zh-CN"/>
        </w:rPr>
        <w:t>国有土地使用权价值、建筑物价值以及</w:t>
      </w:r>
      <w:r>
        <w:rPr>
          <w:rFonts w:hint="eastAsia" w:ascii="仿宋_GB2312" w:hAnsi="Tahoma" w:eastAsia="仿宋_GB2312" w:cs="Tahoma"/>
          <w:color w:val="000000"/>
          <w:kern w:val="0"/>
          <w:sz w:val="28"/>
          <w:szCs w:val="28"/>
        </w:rPr>
        <w:t>与房地产不可分割的满足其使用功能的水、电</w:t>
      </w:r>
      <w:r>
        <w:rPr>
          <w:rFonts w:hint="eastAsia" w:ascii="仿宋_GB2312" w:hAnsi="Tahoma" w:eastAsia="仿宋_GB2312" w:cs="Tahoma"/>
          <w:color w:val="000000"/>
          <w:kern w:val="0"/>
          <w:sz w:val="28"/>
          <w:szCs w:val="28"/>
          <w:lang w:eastAsia="zh-CN"/>
        </w:rPr>
        <w:t>、室内固定装修等</w:t>
      </w:r>
      <w:r>
        <w:rPr>
          <w:rFonts w:hint="eastAsia" w:ascii="仿宋_GB2312" w:hAnsi="Tahoma" w:eastAsia="仿宋_GB2312" w:cs="Tahoma"/>
          <w:color w:val="000000"/>
          <w:kern w:val="0"/>
          <w:sz w:val="28"/>
          <w:szCs w:val="28"/>
        </w:rPr>
        <w:t>配套的</w:t>
      </w:r>
      <w:r>
        <w:rPr>
          <w:rFonts w:hint="eastAsia" w:ascii="仿宋_GB2312" w:hAnsi="Tahoma" w:eastAsia="仿宋_GB2312" w:cs="Tahoma"/>
          <w:color w:val="000000"/>
          <w:kern w:val="0"/>
          <w:sz w:val="28"/>
          <w:szCs w:val="28"/>
          <w:lang w:eastAsia="zh-CN"/>
        </w:rPr>
        <w:t>相关</w:t>
      </w:r>
      <w:r>
        <w:rPr>
          <w:rFonts w:hint="eastAsia" w:ascii="仿宋_GB2312" w:hAnsi="Tahoma" w:eastAsia="仿宋_GB2312" w:cs="Tahoma"/>
          <w:color w:val="000000"/>
          <w:kern w:val="0"/>
          <w:sz w:val="28"/>
          <w:szCs w:val="28"/>
        </w:rPr>
        <w:t>附属设施</w:t>
      </w:r>
      <w:r>
        <w:rPr>
          <w:rFonts w:hint="eastAsia" w:ascii="仿宋_GB2312" w:hAnsi="Tahoma" w:eastAsia="仿宋_GB2312" w:cs="Tahoma"/>
          <w:color w:val="000000"/>
          <w:kern w:val="0"/>
          <w:sz w:val="28"/>
          <w:szCs w:val="28"/>
          <w:lang w:eastAsia="zh-CN"/>
        </w:rPr>
        <w:t>等价值</w:t>
      </w:r>
      <w:r>
        <w:rPr>
          <w:rFonts w:hint="eastAsia" w:ascii="仿宋_GB2312" w:hAnsi="Tahoma" w:eastAsia="仿宋_GB2312" w:cs="Tahoma"/>
          <w:color w:val="000000"/>
          <w:kern w:val="0"/>
          <w:sz w:val="28"/>
          <w:szCs w:val="28"/>
        </w:rPr>
        <w:t>。不包括可移动设施设备、债权债务及其它特许经营权等。</w:t>
      </w:r>
    </w:p>
    <w:p>
      <w:pPr>
        <w:pStyle w:val="10"/>
        <w:keepNext w:val="0"/>
        <w:keepLines w:val="0"/>
        <w:pageBreakBefore w:val="0"/>
        <w:widowControl w:val="0"/>
        <w:kinsoku/>
        <w:wordWrap/>
        <w:overflowPunct/>
        <w:topLinePunct w:val="0"/>
        <w:autoSpaceDE/>
        <w:autoSpaceDN/>
        <w:bidi w:val="0"/>
        <w:adjustRightInd/>
        <w:snapToGrid/>
        <w:spacing w:before="40" w:after="40" w:line="500" w:lineRule="exact"/>
        <w:ind w:firstLine="560" w:firstLineChars="200"/>
        <w:textAlignment w:val="auto"/>
        <w:rPr>
          <w:rFonts w:hint="eastAsia" w:ascii="仿宋_GB2312" w:hAnsi="Tahoma" w:eastAsia="仿宋_GB2312" w:cs="Tahoma"/>
          <w:color w:val="000000"/>
          <w:kern w:val="0"/>
          <w:sz w:val="28"/>
          <w:szCs w:val="28"/>
          <w:lang w:val="en-US" w:eastAsia="zh-CN" w:bidi="ar-SA"/>
        </w:rPr>
      </w:pPr>
      <w:r>
        <w:rPr>
          <w:rFonts w:hint="eastAsia" w:ascii="仿宋_GB2312" w:hAnsi="Tahoma" w:eastAsia="仿宋_GB2312" w:cs="Tahoma"/>
          <w:color w:val="000000"/>
          <w:kern w:val="0"/>
          <w:sz w:val="28"/>
          <w:szCs w:val="28"/>
          <w:lang w:val="en-US" w:eastAsia="zh-CN" w:bidi="ar-SA"/>
        </w:rPr>
        <w:t>3、估价对象为预售商品房，实际建筑面积和相应分摊的土地面积以过户时相关登记机关确定为准，能否办理及何时能够办理不动产权证书本报告不予确认。</w:t>
      </w:r>
    </w:p>
    <w:p>
      <w:pPr>
        <w:pStyle w:val="10"/>
        <w:keepNext w:val="0"/>
        <w:keepLines w:val="0"/>
        <w:pageBreakBefore w:val="0"/>
        <w:widowControl w:val="0"/>
        <w:kinsoku/>
        <w:wordWrap/>
        <w:overflowPunct/>
        <w:topLinePunct w:val="0"/>
        <w:autoSpaceDE/>
        <w:autoSpaceDN/>
        <w:bidi w:val="0"/>
        <w:adjustRightInd/>
        <w:snapToGrid/>
        <w:spacing w:before="40" w:after="40" w:line="500" w:lineRule="exact"/>
        <w:ind w:firstLine="560" w:firstLineChars="200"/>
        <w:textAlignment w:val="auto"/>
        <w:rPr>
          <w:rFonts w:hint="eastAsia" w:ascii="仿宋_GB2312" w:hAnsi="Tahoma" w:eastAsia="仿宋_GB2312" w:cs="Tahoma"/>
          <w:color w:val="000000"/>
          <w:kern w:val="0"/>
          <w:sz w:val="28"/>
          <w:szCs w:val="28"/>
          <w:lang w:val="en-US" w:eastAsia="zh-CN"/>
        </w:rPr>
      </w:pPr>
      <w:r>
        <w:rPr>
          <w:rFonts w:hint="eastAsia" w:ascii="仿宋_GB2312" w:hAnsi="Tahoma" w:eastAsia="仿宋_GB2312" w:cs="Tahoma"/>
          <w:color w:val="000000"/>
          <w:kern w:val="0"/>
          <w:sz w:val="28"/>
          <w:szCs w:val="28"/>
          <w:lang w:val="en-US" w:eastAsia="zh-CN" w:bidi="ar-SA"/>
        </w:rPr>
        <w:t>4、</w:t>
      </w:r>
      <w:r>
        <w:rPr>
          <w:rFonts w:hint="default" w:ascii="仿宋_GB2312" w:hAnsi="Tahoma" w:eastAsia="仿宋_GB2312" w:cs="Tahoma"/>
          <w:color w:val="000000"/>
          <w:kern w:val="0"/>
          <w:sz w:val="28"/>
          <w:szCs w:val="28"/>
          <w:lang w:val="en-US" w:eastAsia="zh-CN" w:bidi="ar-SA"/>
        </w:rPr>
        <w:t>本次估价未考虑未来可能的变现、处置中应承担的相关费用和税费</w:t>
      </w:r>
      <w:r>
        <w:rPr>
          <w:rFonts w:hint="eastAsia" w:ascii="仿宋_GB2312" w:hAnsi="Tahoma" w:eastAsia="仿宋_GB2312" w:cs="Tahoma"/>
          <w:color w:val="000000"/>
          <w:kern w:val="0"/>
          <w:sz w:val="28"/>
          <w:szCs w:val="28"/>
          <w:lang w:val="en-US" w:eastAsia="zh-CN" w:bidi="ar-SA"/>
        </w:rPr>
        <w:t>(</w:t>
      </w:r>
      <w:r>
        <w:rPr>
          <w:rFonts w:hint="default" w:ascii="仿宋_GB2312" w:hAnsi="Tahoma" w:eastAsia="仿宋_GB2312" w:cs="Tahoma"/>
          <w:color w:val="000000"/>
          <w:kern w:val="0"/>
          <w:sz w:val="28"/>
          <w:szCs w:val="28"/>
          <w:lang w:val="en-US" w:eastAsia="zh-CN" w:bidi="ar-SA"/>
        </w:rPr>
        <w:t>如拍卖佣金、增</w:t>
      </w:r>
      <w:r>
        <w:rPr>
          <w:rFonts w:hint="default" w:ascii="Times New Roman" w:hAnsi="Times New Roman" w:eastAsia="仿宋" w:cs="Times New Roman"/>
          <w:color w:val="auto"/>
          <w:sz w:val="28"/>
          <w:szCs w:val="28"/>
          <w:lang w:eastAsia="zh-CN"/>
        </w:rPr>
        <w:t>值税及附加、交易手续费、办理房地产权属转移等费用</w:t>
      </w:r>
      <w:r>
        <w:rPr>
          <w:rFonts w:hint="eastAsia"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lang w:eastAsia="zh-CN"/>
        </w:rPr>
        <w:t>对估价结果的影响。</w:t>
      </w:r>
    </w:p>
    <w:p>
      <w:pPr>
        <w:keepNext w:val="0"/>
        <w:keepLines w:val="0"/>
        <w:pageBreakBefore w:val="0"/>
        <w:widowControl/>
        <w:kinsoku/>
        <w:wordWrap/>
        <w:overflowPunct/>
        <w:topLinePunct w:val="0"/>
        <w:autoSpaceDE/>
        <w:autoSpaceDN/>
        <w:bidi w:val="0"/>
        <w:adjustRightInd/>
        <w:spacing w:line="500" w:lineRule="exact"/>
        <w:ind w:firstLine="560" w:firstLineChars="200"/>
        <w:jc w:val="left"/>
        <w:textAlignment w:val="auto"/>
        <w:outlineLvl w:val="9"/>
        <w:rPr>
          <w:rFonts w:hint="eastAsia"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lang w:val="en-US" w:eastAsia="zh-CN"/>
        </w:rPr>
        <w:t>5</w:t>
      </w:r>
      <w:r>
        <w:rPr>
          <w:rFonts w:hint="eastAsia" w:ascii="仿宋_GB2312" w:hAnsi="Tahoma" w:eastAsia="仿宋_GB2312" w:cs="Tahoma"/>
          <w:color w:val="000000"/>
          <w:kern w:val="0"/>
          <w:sz w:val="28"/>
          <w:szCs w:val="28"/>
        </w:rPr>
        <w:t>、本次估价未考虑未来国家宏观经济政策、市场供应关系、市场结构发生重大改变，遇有自然力和其他不可抗力等因素对房地产价值的影响，以及特殊交易方式下的特殊交易价格等对估价结果的影响。</w:t>
      </w:r>
    </w:p>
    <w:p>
      <w:pPr>
        <w:keepNext w:val="0"/>
        <w:keepLines w:val="0"/>
        <w:pageBreakBefore w:val="0"/>
        <w:widowControl/>
        <w:kinsoku/>
        <w:wordWrap/>
        <w:overflowPunct/>
        <w:topLinePunct w:val="0"/>
        <w:autoSpaceDE/>
        <w:autoSpaceDN/>
        <w:bidi w:val="0"/>
        <w:adjustRightInd/>
        <w:spacing w:line="500" w:lineRule="exact"/>
        <w:ind w:firstLine="560" w:firstLineChars="200"/>
        <w:jc w:val="left"/>
        <w:textAlignment w:val="auto"/>
        <w:outlineLvl w:val="9"/>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lang w:val="en-US" w:eastAsia="zh-CN"/>
        </w:rPr>
        <w:t>6</w:t>
      </w:r>
      <w:r>
        <w:rPr>
          <w:rFonts w:hint="eastAsia" w:ascii="仿宋_GB2312" w:hAnsi="Tahoma" w:eastAsia="仿宋_GB2312" w:cs="Tahoma"/>
          <w:color w:val="000000"/>
          <w:kern w:val="0"/>
          <w:sz w:val="28"/>
          <w:szCs w:val="28"/>
        </w:rPr>
        <w:t>、报告中数据全部采用电算化连续计算得出，由于在报告中计算的数据均按四舍五入保留两位小数或取整，因此可能出现个别等式左右不完全相等的情况，但不影响计算结果及最终估价结果的准确性。</w:t>
      </w:r>
    </w:p>
    <w:p>
      <w:pPr>
        <w:keepNext w:val="0"/>
        <w:keepLines w:val="0"/>
        <w:pageBreakBefore w:val="0"/>
        <w:kinsoku/>
        <w:wordWrap/>
        <w:overflowPunct/>
        <w:topLinePunct w:val="0"/>
        <w:autoSpaceDE/>
        <w:autoSpaceDN/>
        <w:bidi w:val="0"/>
        <w:adjustRightInd/>
        <w:spacing w:line="500" w:lineRule="exact"/>
        <w:ind w:right="-107" w:rightChars="-51" w:firstLine="560" w:firstLineChars="200"/>
        <w:textAlignment w:val="auto"/>
        <w:outlineLvl w:val="9"/>
        <w:rPr>
          <w:rFonts w:ascii="仿宋_GB2312" w:hAnsi="Plotter" w:eastAsia="仿宋_GB2312"/>
          <w:color w:val="000000"/>
          <w:sz w:val="28"/>
          <w:szCs w:val="28"/>
        </w:rPr>
      </w:pPr>
      <w:r>
        <w:rPr>
          <w:rFonts w:hint="eastAsia" w:ascii="仿宋_GB2312" w:hAnsi="Plotter" w:eastAsia="仿宋_GB2312"/>
          <w:color w:val="000000"/>
          <w:sz w:val="28"/>
          <w:szCs w:val="28"/>
          <w:lang w:val="en-US" w:eastAsia="zh-CN"/>
        </w:rPr>
        <w:t>7</w:t>
      </w:r>
      <w:r>
        <w:rPr>
          <w:rFonts w:hint="eastAsia" w:ascii="仿宋_GB2312" w:hAnsi="Plotter" w:eastAsia="仿宋_GB2312"/>
          <w:color w:val="000000"/>
          <w:sz w:val="28"/>
          <w:szCs w:val="28"/>
        </w:rPr>
        <w:t>、</w:t>
      </w:r>
      <w:r>
        <w:rPr>
          <w:rFonts w:hint="eastAsia" w:ascii="仿宋_GB2312" w:hAnsi="仿宋_GB2312" w:eastAsia="仿宋_GB2312" w:cs="仿宋_GB2312"/>
          <w:color w:val="000000"/>
          <w:sz w:val="28"/>
          <w:szCs w:val="28"/>
        </w:rPr>
        <w:t>本估价报告经估价机构加盖公章并由注册房地产估价师签章后整体原件使用方为有效。</w:t>
      </w:r>
      <w:r>
        <w:rPr>
          <w:rFonts w:hint="eastAsia" w:eastAsia="仿宋_GB2312"/>
          <w:sz w:val="28"/>
        </w:rPr>
        <w:t>部分使用或复印件使用无效。未经本公司书面同意，本报告任何一部分或全部均不得发表于任何媒体或作未经授权的使用。</w:t>
      </w:r>
    </w:p>
    <w:p>
      <w:pPr>
        <w:keepNext w:val="0"/>
        <w:keepLines w:val="0"/>
        <w:pageBreakBefore w:val="0"/>
        <w:kinsoku/>
        <w:wordWrap/>
        <w:overflowPunct/>
        <w:topLinePunct w:val="0"/>
        <w:autoSpaceDE/>
        <w:autoSpaceDN/>
        <w:bidi w:val="0"/>
        <w:adjustRightInd/>
        <w:snapToGrid w:val="0"/>
        <w:spacing w:line="500" w:lineRule="exact"/>
        <w:ind w:firstLine="560" w:firstLineChars="200"/>
        <w:textAlignment w:val="auto"/>
        <w:outlineLvl w:val="9"/>
        <w:rPr>
          <w:rFonts w:hint="eastAsia" w:ascii="仿宋_GB2312" w:hAnsi="Plotter" w:eastAsia="仿宋_GB2312"/>
          <w:color w:val="000000"/>
          <w:sz w:val="28"/>
          <w:szCs w:val="28"/>
        </w:rPr>
      </w:pPr>
      <w:r>
        <w:rPr>
          <w:rFonts w:hint="eastAsia" w:ascii="仿宋_GB2312" w:eastAsia="仿宋_GB2312"/>
          <w:color w:val="000000"/>
          <w:sz w:val="28"/>
          <w:szCs w:val="28"/>
          <w:lang w:val="en-US" w:eastAsia="zh-CN"/>
        </w:rPr>
        <w:t>8</w:t>
      </w:r>
      <w:r>
        <w:rPr>
          <w:rFonts w:hint="eastAsia" w:ascii="仿宋_GB2312" w:eastAsia="仿宋_GB2312"/>
          <w:color w:val="000000"/>
          <w:sz w:val="28"/>
          <w:szCs w:val="28"/>
        </w:rPr>
        <w:t>、</w:t>
      </w:r>
      <w:r>
        <w:rPr>
          <w:rFonts w:hint="eastAsia" w:ascii="仿宋_GB2312" w:hAnsi="Plotter" w:eastAsia="仿宋_GB2312"/>
          <w:color w:val="000000"/>
          <w:sz w:val="28"/>
          <w:szCs w:val="28"/>
        </w:rPr>
        <w:t>本估价报告使用期限为壹年，即本报告提交日起壹年内使用有效。在报告使用期限内</w:t>
      </w:r>
      <w:r>
        <w:rPr>
          <w:rFonts w:hint="eastAsia" w:eastAsia="仿宋_GB2312"/>
          <w:sz w:val="28"/>
        </w:rPr>
        <w:t>，如果房地产市场状况变化较大或估价对象的法律权属、实体状况发生变化</w:t>
      </w:r>
      <w:r>
        <w:rPr>
          <w:rFonts w:hint="eastAsia" w:ascii="仿宋_GB2312" w:hAnsi="Plotter" w:eastAsia="仿宋_GB2312"/>
          <w:color w:val="000000"/>
          <w:sz w:val="28"/>
          <w:szCs w:val="28"/>
        </w:rPr>
        <w:t>，并对房地产价值产生明显影响时，应重新进行估价。</w:t>
      </w:r>
    </w:p>
    <w:p>
      <w:pPr>
        <w:keepNext w:val="0"/>
        <w:keepLines w:val="0"/>
        <w:pageBreakBefore w:val="0"/>
        <w:kinsoku/>
        <w:wordWrap/>
        <w:overflowPunct/>
        <w:topLinePunct w:val="0"/>
        <w:autoSpaceDE/>
        <w:autoSpaceDN/>
        <w:bidi w:val="0"/>
        <w:adjustRightInd/>
        <w:snapToGrid w:val="0"/>
        <w:spacing w:line="500" w:lineRule="exact"/>
        <w:ind w:firstLine="560" w:firstLineChars="200"/>
        <w:textAlignment w:val="auto"/>
        <w:outlineLvl w:val="9"/>
        <w:rPr>
          <w:rFonts w:hint="eastAsia" w:ascii="仿宋_GB2312" w:hAnsi="Plotter" w:eastAsia="仿宋_GB2312"/>
          <w:color w:val="000000"/>
          <w:sz w:val="28"/>
          <w:szCs w:val="28"/>
        </w:rPr>
      </w:pPr>
      <w:r>
        <w:rPr>
          <w:rFonts w:hint="eastAsia" w:ascii="仿宋_GB2312" w:eastAsia="仿宋_GB2312"/>
          <w:color w:val="000000"/>
          <w:sz w:val="28"/>
          <w:szCs w:val="28"/>
          <w:lang w:val="en-US" w:eastAsia="zh-CN"/>
        </w:rPr>
        <w:t>9</w:t>
      </w:r>
      <w:r>
        <w:rPr>
          <w:rFonts w:hint="eastAsia" w:ascii="仿宋_GB2312" w:eastAsia="仿宋_GB2312"/>
          <w:color w:val="000000"/>
          <w:sz w:val="28"/>
          <w:szCs w:val="28"/>
        </w:rPr>
        <w:t>、</w:t>
      </w:r>
      <w:r>
        <w:rPr>
          <w:rFonts w:hint="eastAsia" w:ascii="仿宋_GB2312" w:hAnsi="Plotter" w:eastAsia="仿宋_GB2312"/>
          <w:color w:val="000000"/>
          <w:sz w:val="28"/>
          <w:szCs w:val="28"/>
        </w:rPr>
        <w:t>根据《最高人民法院关于人民法院民事执行中拍卖、变卖财产的规定》，当事人或者其他利害关系人对评估报告有异议的，可以在收到</w:t>
      </w:r>
      <w:r>
        <w:rPr>
          <w:rFonts w:hint="eastAsia" w:ascii="仿宋_GB2312" w:hAnsi="Plotter" w:eastAsia="仿宋_GB2312"/>
          <w:color w:val="000000"/>
          <w:sz w:val="28"/>
          <w:szCs w:val="28"/>
          <w:lang w:eastAsia="zh-CN"/>
        </w:rPr>
        <w:t>估价</w:t>
      </w:r>
      <w:r>
        <w:rPr>
          <w:rFonts w:hint="eastAsia" w:ascii="仿宋_GB2312" w:hAnsi="Plotter" w:eastAsia="仿宋_GB2312"/>
          <w:color w:val="000000"/>
          <w:sz w:val="28"/>
          <w:szCs w:val="28"/>
        </w:rPr>
        <w:t>报告后十日内以书面形式向此次</w:t>
      </w:r>
      <w:r>
        <w:rPr>
          <w:rFonts w:hint="eastAsia" w:ascii="仿宋_GB2312" w:hAnsi="Plotter" w:eastAsia="仿宋_GB2312"/>
          <w:color w:val="000000"/>
          <w:sz w:val="28"/>
          <w:szCs w:val="28"/>
          <w:lang w:eastAsia="zh-CN"/>
        </w:rPr>
        <w:t>估价</w:t>
      </w:r>
      <w:r>
        <w:rPr>
          <w:rFonts w:hint="eastAsia" w:ascii="仿宋_GB2312" w:hAnsi="Plotter" w:eastAsia="仿宋_GB2312"/>
          <w:color w:val="000000"/>
          <w:sz w:val="28"/>
          <w:szCs w:val="28"/>
        </w:rPr>
        <w:t xml:space="preserve">的委托方提出，逾期视为认同。 </w:t>
      </w:r>
    </w:p>
    <w:p>
      <w:pPr>
        <w:keepNext w:val="0"/>
        <w:keepLines w:val="0"/>
        <w:pageBreakBefore w:val="0"/>
        <w:kinsoku/>
        <w:wordWrap/>
        <w:overflowPunct/>
        <w:topLinePunct w:val="0"/>
        <w:autoSpaceDE/>
        <w:autoSpaceDN/>
        <w:bidi w:val="0"/>
        <w:adjustRightInd/>
        <w:snapToGrid w:val="0"/>
        <w:spacing w:line="500" w:lineRule="exact"/>
        <w:ind w:firstLine="537" w:firstLineChars="192"/>
        <w:textAlignment w:val="auto"/>
        <w:outlineLvl w:val="9"/>
        <w:rPr>
          <w:rFonts w:ascii="仿宋_GB2312" w:hAnsi="Plotter" w:eastAsia="仿宋_GB2312"/>
          <w:color w:val="000000"/>
          <w:sz w:val="28"/>
          <w:szCs w:val="28"/>
        </w:rPr>
      </w:pPr>
      <w:r>
        <w:rPr>
          <w:rFonts w:hint="eastAsia" w:ascii="仿宋_GB2312" w:eastAsia="仿宋_GB2312"/>
          <w:sz w:val="28"/>
          <w:szCs w:val="28"/>
        </w:rPr>
        <w:t>本报告由金华市华诚房地产土地评估有限责任公司负责解释。</w:t>
      </w:r>
    </w:p>
    <w:p>
      <w:pPr>
        <w:pStyle w:val="2"/>
        <w:pageBreakBefore w:val="0"/>
        <w:kinsoku/>
        <w:wordWrap/>
        <w:overflowPunct/>
        <w:topLinePunct w:val="0"/>
        <w:autoSpaceDE/>
        <w:autoSpaceDN/>
        <w:bidi w:val="0"/>
        <w:adjustRightInd/>
        <w:spacing w:beforeLines="50" w:afterLines="50" w:line="500" w:lineRule="exact"/>
        <w:jc w:val="center"/>
        <w:textAlignment w:val="auto"/>
        <w:rPr>
          <w:rFonts w:ascii="仿宋_GB2312" w:hAnsi="宋体" w:eastAsia="仿宋_GB2312"/>
        </w:rPr>
      </w:pPr>
      <w:bookmarkStart w:id="2" w:name="_Toc476334909"/>
      <w:r>
        <w:rPr>
          <w:rFonts w:hint="eastAsia" w:ascii="仿宋_GB2312" w:hAnsi="宋体" w:eastAsia="仿宋_GB2312"/>
        </w:rPr>
        <w:br w:type="page"/>
      </w:r>
      <w:r>
        <w:rPr>
          <w:rFonts w:hint="eastAsia" w:ascii="仿宋_GB2312" w:hAnsi="宋体" w:eastAsia="仿宋_GB2312"/>
        </w:rPr>
        <w:t>房地产估价结果报告</w:t>
      </w:r>
      <w:bookmarkEnd w:id="2"/>
    </w:p>
    <w:p>
      <w:pPr>
        <w:pStyle w:val="3"/>
        <w:pageBreakBefore w:val="0"/>
        <w:widowControl w:val="0"/>
        <w:kinsoku/>
        <w:wordWrap/>
        <w:overflowPunct/>
        <w:topLinePunct w:val="0"/>
        <w:autoSpaceDE/>
        <w:autoSpaceDN/>
        <w:bidi w:val="0"/>
        <w:adjustRightInd/>
        <w:spacing w:before="0" w:after="0" w:line="500" w:lineRule="exact"/>
        <w:ind w:firstLine="562" w:firstLineChars="200"/>
        <w:textAlignment w:val="auto"/>
        <w:rPr>
          <w:rFonts w:ascii="仿宋_GB2312" w:hAnsi="宋体" w:eastAsia="仿宋_GB2312"/>
          <w:sz w:val="28"/>
          <w:szCs w:val="28"/>
        </w:rPr>
      </w:pPr>
      <w:bookmarkStart w:id="3" w:name="_Toc476334910"/>
      <w:r>
        <w:rPr>
          <w:rFonts w:hint="eastAsia" w:ascii="仿宋_GB2312" w:hAnsi="宋体" w:eastAsia="仿宋_GB2312"/>
          <w:sz w:val="28"/>
          <w:szCs w:val="28"/>
        </w:rPr>
        <w:t>一、</w:t>
      </w:r>
      <w:r>
        <w:rPr>
          <w:rFonts w:hint="eastAsia" w:ascii="仿宋_GB2312" w:eastAsia="仿宋_GB2312"/>
          <w:sz w:val="28"/>
          <w:szCs w:val="28"/>
        </w:rPr>
        <w:t>估价委托人</w:t>
      </w:r>
      <w:bookmarkEnd w:id="3"/>
    </w:p>
    <w:p>
      <w:pPr>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_GB2312" w:hAnsi="宋体" w:eastAsia="仿宋_GB2312" w:cs="宋体"/>
          <w:sz w:val="28"/>
          <w:szCs w:val="28"/>
          <w:lang w:eastAsia="zh-CN"/>
        </w:rPr>
      </w:pPr>
      <w:r>
        <w:rPr>
          <w:rFonts w:hint="eastAsia" w:ascii="仿宋_GB2312" w:hAnsi="宋体" w:eastAsia="仿宋_GB2312"/>
          <w:sz w:val="28"/>
          <w:szCs w:val="28"/>
        </w:rPr>
        <w:t>名称：</w:t>
      </w:r>
      <w:r>
        <w:rPr>
          <w:rFonts w:hint="eastAsia" w:ascii="仿宋_GB2312" w:hAnsi="宋体" w:eastAsia="仿宋_GB2312" w:cs="宋体"/>
          <w:sz w:val="28"/>
          <w:szCs w:val="28"/>
          <w:lang w:eastAsia="zh-CN"/>
        </w:rPr>
        <w:t>东阳市人民法院</w:t>
      </w:r>
    </w:p>
    <w:p>
      <w:pPr>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_GB2312" w:hAnsi="宋体" w:eastAsia="仿宋_GB2312" w:cs="宋体"/>
          <w:sz w:val="28"/>
          <w:szCs w:val="28"/>
          <w:lang w:eastAsia="zh-CN"/>
        </w:rPr>
      </w:pPr>
      <w:r>
        <w:rPr>
          <w:rFonts w:hint="eastAsia" w:ascii="仿宋_GB2312" w:hAnsi="宋体" w:eastAsia="仿宋_GB2312"/>
          <w:sz w:val="28"/>
          <w:szCs w:val="28"/>
        </w:rPr>
        <w:t>地址：</w:t>
      </w:r>
      <w:r>
        <w:rPr>
          <w:rFonts w:hint="eastAsia" w:ascii="仿宋_GB2312" w:hAnsi="宋体" w:eastAsia="仿宋_GB2312" w:cs="宋体"/>
          <w:sz w:val="28"/>
          <w:szCs w:val="28"/>
          <w:lang w:eastAsia="zh-CN"/>
        </w:rPr>
        <w:t>东阳市人民北路56号</w:t>
      </w:r>
    </w:p>
    <w:p>
      <w:pPr>
        <w:pStyle w:val="3"/>
        <w:pageBreakBefore w:val="0"/>
        <w:widowControl w:val="0"/>
        <w:kinsoku/>
        <w:wordWrap/>
        <w:overflowPunct/>
        <w:topLinePunct w:val="0"/>
        <w:autoSpaceDE/>
        <w:autoSpaceDN/>
        <w:bidi w:val="0"/>
        <w:adjustRightInd/>
        <w:spacing w:before="0" w:after="0" w:line="500" w:lineRule="exact"/>
        <w:ind w:firstLine="562" w:firstLineChars="200"/>
        <w:textAlignment w:val="auto"/>
        <w:rPr>
          <w:rFonts w:ascii="仿宋_GB2312" w:hAnsi="宋体" w:eastAsia="仿宋_GB2312"/>
          <w:sz w:val="28"/>
          <w:szCs w:val="28"/>
        </w:rPr>
      </w:pPr>
      <w:bookmarkStart w:id="4" w:name="_Toc476334911"/>
      <w:r>
        <w:rPr>
          <w:rFonts w:hint="eastAsia" w:ascii="仿宋_GB2312" w:hAnsi="宋体" w:eastAsia="仿宋_GB2312"/>
          <w:sz w:val="28"/>
          <w:szCs w:val="28"/>
        </w:rPr>
        <w:t>二、房地产估价机构</w:t>
      </w:r>
      <w:bookmarkEnd w:id="4"/>
    </w:p>
    <w:p>
      <w:pPr>
        <w:pageBreakBefore w:val="0"/>
        <w:widowControl w:val="0"/>
        <w:kinsoku/>
        <w:wordWrap/>
        <w:overflowPunct/>
        <w:topLinePunct w:val="0"/>
        <w:autoSpaceDE/>
        <w:autoSpaceDN/>
        <w:bidi w:val="0"/>
        <w:adjustRightInd/>
        <w:spacing w:line="500" w:lineRule="exact"/>
        <w:ind w:firstLine="571" w:firstLineChars="204"/>
        <w:textAlignment w:val="auto"/>
        <w:rPr>
          <w:rFonts w:ascii="仿宋" w:hAnsi="仿宋" w:eastAsia="仿宋"/>
          <w:sz w:val="28"/>
        </w:rPr>
      </w:pPr>
      <w:r>
        <w:rPr>
          <w:rFonts w:hint="eastAsia" w:ascii="仿宋" w:hAnsi="仿宋" w:eastAsia="仿宋"/>
          <w:sz w:val="28"/>
        </w:rPr>
        <w:t>机构名称：金华市华诚房地产土地评估有限责任公司</w:t>
      </w:r>
    </w:p>
    <w:p>
      <w:pPr>
        <w:pageBreakBefore w:val="0"/>
        <w:widowControl w:val="0"/>
        <w:kinsoku/>
        <w:wordWrap/>
        <w:overflowPunct/>
        <w:topLinePunct w:val="0"/>
        <w:autoSpaceDE/>
        <w:autoSpaceDN/>
        <w:bidi w:val="0"/>
        <w:adjustRightInd/>
        <w:spacing w:line="500" w:lineRule="exact"/>
        <w:ind w:firstLine="571" w:firstLineChars="204"/>
        <w:textAlignment w:val="auto"/>
        <w:rPr>
          <w:rFonts w:ascii="仿宋" w:hAnsi="仿宋" w:eastAsia="仿宋"/>
          <w:sz w:val="28"/>
        </w:rPr>
      </w:pPr>
      <w:r>
        <w:rPr>
          <w:rFonts w:hint="eastAsia" w:ascii="仿宋" w:hAnsi="仿宋" w:eastAsia="仿宋"/>
          <w:sz w:val="28"/>
        </w:rPr>
        <w:t>机构地址：金华市双龙南街828号市农科教大楼西附楼壹楼</w:t>
      </w:r>
    </w:p>
    <w:p>
      <w:pPr>
        <w:pageBreakBefore w:val="0"/>
        <w:widowControl w:val="0"/>
        <w:tabs>
          <w:tab w:val="center" w:pos="5056"/>
        </w:tabs>
        <w:kinsoku/>
        <w:wordWrap/>
        <w:overflowPunct/>
        <w:topLinePunct w:val="0"/>
        <w:autoSpaceDE/>
        <w:autoSpaceDN/>
        <w:bidi w:val="0"/>
        <w:adjustRightInd/>
        <w:spacing w:line="500" w:lineRule="exact"/>
        <w:ind w:firstLine="571" w:firstLineChars="204"/>
        <w:textAlignment w:val="auto"/>
        <w:rPr>
          <w:rFonts w:ascii="仿宋" w:hAnsi="仿宋" w:eastAsia="仿宋"/>
          <w:sz w:val="28"/>
        </w:rPr>
      </w:pPr>
      <w:r>
        <w:rPr>
          <w:rFonts w:hint="eastAsia" w:ascii="仿宋" w:hAnsi="仿宋" w:eastAsia="仿宋"/>
          <w:sz w:val="28"/>
        </w:rPr>
        <w:t>法定代表人：王勇明</w:t>
      </w:r>
    </w:p>
    <w:p>
      <w:pPr>
        <w:pageBreakBefore w:val="0"/>
        <w:widowControl w:val="0"/>
        <w:tabs>
          <w:tab w:val="center" w:pos="5056"/>
        </w:tabs>
        <w:kinsoku/>
        <w:wordWrap/>
        <w:overflowPunct/>
        <w:topLinePunct w:val="0"/>
        <w:autoSpaceDE/>
        <w:autoSpaceDN/>
        <w:bidi w:val="0"/>
        <w:adjustRightInd/>
        <w:spacing w:line="500" w:lineRule="exact"/>
        <w:ind w:firstLine="571" w:firstLineChars="204"/>
        <w:textAlignment w:val="auto"/>
        <w:rPr>
          <w:rFonts w:ascii="仿宋" w:hAnsi="仿宋" w:eastAsia="仿宋"/>
          <w:sz w:val="28"/>
        </w:rPr>
      </w:pPr>
      <w:r>
        <w:rPr>
          <w:rFonts w:hint="eastAsia" w:ascii="仿宋" w:hAnsi="仿宋" w:eastAsia="仿宋"/>
          <w:sz w:val="28"/>
        </w:rPr>
        <w:t>机构类别：房地产评估机构、土地估价机构</w:t>
      </w:r>
    </w:p>
    <w:p>
      <w:pPr>
        <w:pageBreakBefore w:val="0"/>
        <w:widowControl w:val="0"/>
        <w:tabs>
          <w:tab w:val="center" w:pos="5056"/>
        </w:tabs>
        <w:kinsoku/>
        <w:wordWrap/>
        <w:overflowPunct/>
        <w:topLinePunct w:val="0"/>
        <w:autoSpaceDE/>
        <w:autoSpaceDN/>
        <w:bidi w:val="0"/>
        <w:adjustRightInd/>
        <w:spacing w:line="500" w:lineRule="exact"/>
        <w:ind w:firstLine="571" w:firstLineChars="204"/>
        <w:textAlignment w:val="auto"/>
        <w:rPr>
          <w:rFonts w:ascii="仿宋" w:hAnsi="仿宋" w:eastAsia="仿宋"/>
          <w:sz w:val="28"/>
        </w:rPr>
      </w:pPr>
      <w:r>
        <w:rPr>
          <w:rFonts w:hint="eastAsia" w:ascii="仿宋" w:hAnsi="仿宋" w:eastAsia="仿宋"/>
          <w:sz w:val="28"/>
        </w:rPr>
        <w:t xml:space="preserve">房地产评估资质等级：贰级 </w:t>
      </w:r>
    </w:p>
    <w:p>
      <w:pPr>
        <w:pageBreakBefore w:val="0"/>
        <w:widowControl w:val="0"/>
        <w:tabs>
          <w:tab w:val="center" w:pos="5056"/>
        </w:tabs>
        <w:kinsoku/>
        <w:wordWrap/>
        <w:overflowPunct/>
        <w:topLinePunct w:val="0"/>
        <w:autoSpaceDE/>
        <w:autoSpaceDN/>
        <w:bidi w:val="0"/>
        <w:adjustRightInd/>
        <w:spacing w:line="500" w:lineRule="exact"/>
        <w:ind w:firstLine="571" w:firstLineChars="204"/>
        <w:textAlignment w:val="auto"/>
        <w:rPr>
          <w:rFonts w:hint="eastAsia" w:ascii="仿宋" w:hAnsi="仿宋" w:eastAsia="仿宋"/>
          <w:sz w:val="28"/>
          <w:szCs w:val="22"/>
        </w:rPr>
      </w:pPr>
      <w:r>
        <w:rPr>
          <w:rFonts w:hint="eastAsia" w:ascii="仿宋" w:hAnsi="仿宋" w:eastAsia="仿宋"/>
          <w:sz w:val="28"/>
          <w:szCs w:val="22"/>
        </w:rPr>
        <w:t>证书编号：浙建房估证字【2011】006号</w:t>
      </w:r>
    </w:p>
    <w:p>
      <w:pPr>
        <w:pageBreakBefore w:val="0"/>
        <w:widowControl w:val="0"/>
        <w:tabs>
          <w:tab w:val="center" w:pos="5056"/>
        </w:tabs>
        <w:kinsoku/>
        <w:wordWrap/>
        <w:overflowPunct/>
        <w:topLinePunct w:val="0"/>
        <w:autoSpaceDE/>
        <w:autoSpaceDN/>
        <w:bidi w:val="0"/>
        <w:adjustRightInd/>
        <w:spacing w:line="500" w:lineRule="exact"/>
        <w:ind w:firstLine="571" w:firstLineChars="204"/>
        <w:textAlignment w:val="auto"/>
        <w:rPr>
          <w:rFonts w:hint="eastAsia" w:ascii="仿宋" w:hAnsi="仿宋" w:eastAsia="仿宋"/>
          <w:sz w:val="28"/>
          <w:szCs w:val="22"/>
        </w:rPr>
      </w:pPr>
      <w:r>
        <w:rPr>
          <w:rFonts w:hint="eastAsia" w:ascii="仿宋" w:hAnsi="仿宋" w:eastAsia="仿宋"/>
          <w:sz w:val="28"/>
          <w:szCs w:val="22"/>
        </w:rPr>
        <w:t xml:space="preserve">土地估价资信等级：一级 </w:t>
      </w:r>
    </w:p>
    <w:p>
      <w:pPr>
        <w:pageBreakBefore w:val="0"/>
        <w:widowControl w:val="0"/>
        <w:kinsoku/>
        <w:wordWrap/>
        <w:overflowPunct/>
        <w:topLinePunct w:val="0"/>
        <w:autoSpaceDE/>
        <w:autoSpaceDN/>
        <w:bidi w:val="0"/>
        <w:adjustRightInd/>
        <w:snapToGrid w:val="0"/>
        <w:spacing w:line="500" w:lineRule="exact"/>
        <w:ind w:firstLine="571" w:firstLineChars="204"/>
        <w:textAlignment w:val="auto"/>
        <w:rPr>
          <w:rFonts w:hint="eastAsia" w:ascii="仿宋" w:hAnsi="仿宋" w:eastAsia="仿宋"/>
          <w:sz w:val="28"/>
          <w:szCs w:val="22"/>
        </w:rPr>
      </w:pPr>
      <w:r>
        <w:rPr>
          <w:rFonts w:hint="eastAsia" w:ascii="仿宋" w:hAnsi="仿宋" w:eastAsia="仿宋"/>
          <w:sz w:val="28"/>
          <w:szCs w:val="22"/>
        </w:rPr>
        <w:t>土地估价机构备案号：浙土估备字【201</w:t>
      </w:r>
      <w:r>
        <w:rPr>
          <w:rFonts w:hint="eastAsia" w:ascii="仿宋" w:hAnsi="仿宋" w:eastAsia="仿宋"/>
          <w:sz w:val="28"/>
          <w:szCs w:val="22"/>
          <w:lang w:val="en-US" w:eastAsia="zh-CN"/>
        </w:rPr>
        <w:t>8</w:t>
      </w:r>
      <w:r>
        <w:rPr>
          <w:rFonts w:hint="eastAsia" w:ascii="仿宋" w:hAnsi="仿宋" w:eastAsia="仿宋"/>
          <w:sz w:val="28"/>
          <w:szCs w:val="22"/>
        </w:rPr>
        <w:t>】00</w:t>
      </w:r>
      <w:r>
        <w:rPr>
          <w:rFonts w:hint="eastAsia" w:ascii="仿宋" w:hAnsi="仿宋" w:eastAsia="仿宋"/>
          <w:sz w:val="28"/>
          <w:szCs w:val="22"/>
          <w:lang w:val="en-US" w:eastAsia="zh-CN"/>
        </w:rPr>
        <w:t>8</w:t>
      </w:r>
      <w:r>
        <w:rPr>
          <w:rFonts w:hint="eastAsia" w:ascii="仿宋" w:hAnsi="仿宋" w:eastAsia="仿宋"/>
          <w:sz w:val="28"/>
          <w:szCs w:val="22"/>
        </w:rPr>
        <w:t>8号</w:t>
      </w:r>
    </w:p>
    <w:p>
      <w:pPr>
        <w:pageBreakBefore w:val="0"/>
        <w:widowControl w:val="0"/>
        <w:kinsoku/>
        <w:wordWrap/>
        <w:overflowPunct/>
        <w:topLinePunct w:val="0"/>
        <w:autoSpaceDE/>
        <w:autoSpaceDN/>
        <w:bidi w:val="0"/>
        <w:adjustRightInd/>
        <w:snapToGrid w:val="0"/>
        <w:spacing w:line="500" w:lineRule="exact"/>
        <w:ind w:firstLine="571" w:firstLineChars="204"/>
        <w:textAlignment w:val="auto"/>
        <w:rPr>
          <w:rFonts w:ascii="仿宋_GB2312" w:hAnsi="宋体" w:eastAsia="仿宋_GB2312"/>
          <w:sz w:val="28"/>
          <w:szCs w:val="28"/>
        </w:rPr>
      </w:pPr>
      <w:r>
        <w:rPr>
          <w:rFonts w:hint="eastAsia" w:ascii="仿宋_GB2312" w:hAnsi="宋体" w:eastAsia="仿宋_GB2312"/>
          <w:sz w:val="28"/>
          <w:szCs w:val="28"/>
        </w:rPr>
        <w:t>联系电话：</w:t>
      </w:r>
      <w:r>
        <w:rPr>
          <w:rFonts w:ascii="仿宋_GB2312" w:hAnsi="宋体" w:eastAsia="仿宋_GB2312"/>
          <w:sz w:val="28"/>
          <w:szCs w:val="28"/>
        </w:rPr>
        <w:t>0579-82335185</w:t>
      </w:r>
      <w:r>
        <w:rPr>
          <w:rFonts w:hint="eastAsia" w:ascii="仿宋_GB2312" w:hAnsi="宋体" w:eastAsia="仿宋_GB2312"/>
          <w:sz w:val="28"/>
          <w:szCs w:val="28"/>
        </w:rPr>
        <w:t>、</w:t>
      </w:r>
      <w:r>
        <w:rPr>
          <w:rFonts w:ascii="仿宋_GB2312" w:hAnsi="宋体" w:eastAsia="仿宋_GB2312"/>
          <w:sz w:val="28"/>
          <w:szCs w:val="28"/>
        </w:rPr>
        <w:t>82336909</w:t>
      </w:r>
    </w:p>
    <w:p>
      <w:pPr>
        <w:pStyle w:val="3"/>
        <w:pageBreakBefore w:val="0"/>
        <w:widowControl w:val="0"/>
        <w:kinsoku/>
        <w:wordWrap/>
        <w:overflowPunct/>
        <w:topLinePunct w:val="0"/>
        <w:autoSpaceDE/>
        <w:autoSpaceDN/>
        <w:bidi w:val="0"/>
        <w:adjustRightInd/>
        <w:spacing w:before="0" w:after="0" w:line="500" w:lineRule="exact"/>
        <w:ind w:firstLine="562" w:firstLineChars="200"/>
        <w:textAlignment w:val="auto"/>
        <w:rPr>
          <w:rFonts w:ascii="仿宋_GB2312" w:hAnsi="宋体" w:eastAsia="仿宋_GB2312"/>
          <w:sz w:val="28"/>
          <w:szCs w:val="28"/>
        </w:rPr>
      </w:pPr>
      <w:bookmarkStart w:id="5" w:name="_Toc476334912"/>
      <w:r>
        <w:rPr>
          <w:rFonts w:hint="eastAsia" w:ascii="仿宋_GB2312" w:hAnsi="宋体" w:eastAsia="仿宋_GB2312"/>
          <w:sz w:val="28"/>
          <w:szCs w:val="28"/>
        </w:rPr>
        <w:t>三、估价对象</w:t>
      </w:r>
      <w:bookmarkEnd w:id="5"/>
    </w:p>
    <w:p>
      <w:pPr>
        <w:pageBreakBefore w:val="0"/>
        <w:widowControl w:val="0"/>
        <w:kinsoku/>
        <w:wordWrap/>
        <w:overflowPunct/>
        <w:topLinePunct w:val="0"/>
        <w:autoSpaceDE/>
        <w:autoSpaceDN/>
        <w:bidi w:val="0"/>
        <w:adjustRightInd/>
        <w:spacing w:line="500" w:lineRule="exact"/>
        <w:ind w:firstLine="562" w:firstLineChars="200"/>
        <w:textAlignment w:val="auto"/>
        <w:rPr>
          <w:rFonts w:ascii="仿宋_GB2312" w:hAnsi="宋体" w:eastAsia="仿宋_GB2312"/>
          <w:b/>
          <w:sz w:val="28"/>
          <w:szCs w:val="28"/>
        </w:rPr>
      </w:pPr>
      <w:r>
        <w:rPr>
          <w:rFonts w:ascii="仿宋_GB2312" w:hAnsi="宋体" w:eastAsia="仿宋_GB2312"/>
          <w:b/>
          <w:sz w:val="28"/>
          <w:szCs w:val="28"/>
        </w:rPr>
        <w:t>(</w:t>
      </w:r>
      <w:r>
        <w:rPr>
          <w:rFonts w:hint="eastAsia" w:ascii="仿宋_GB2312" w:hAnsi="宋体" w:eastAsia="仿宋_GB2312"/>
          <w:b/>
          <w:sz w:val="28"/>
          <w:szCs w:val="28"/>
        </w:rPr>
        <w:t>一</w:t>
      </w:r>
      <w:r>
        <w:rPr>
          <w:rFonts w:ascii="仿宋_GB2312" w:hAnsi="宋体" w:eastAsia="仿宋_GB2312"/>
          <w:b/>
          <w:sz w:val="28"/>
          <w:szCs w:val="28"/>
        </w:rPr>
        <w:t>)</w:t>
      </w:r>
      <w:r>
        <w:rPr>
          <w:rFonts w:hint="eastAsia" w:ascii="仿宋_GB2312" w:hAnsi="宋体" w:eastAsia="仿宋_GB2312"/>
          <w:b/>
          <w:sz w:val="28"/>
          <w:szCs w:val="28"/>
        </w:rPr>
        <w:t>估价对象范围</w:t>
      </w:r>
    </w:p>
    <w:p>
      <w:pPr>
        <w:pageBreakBefore w:val="0"/>
        <w:widowControl w:val="0"/>
        <w:kinsoku/>
        <w:wordWrap/>
        <w:overflowPunct/>
        <w:topLinePunct w:val="0"/>
        <w:autoSpaceDE/>
        <w:autoSpaceDN/>
        <w:bidi w:val="0"/>
        <w:adjustRightInd/>
        <w:snapToGrid w:val="0"/>
        <w:spacing w:line="500" w:lineRule="exact"/>
        <w:ind w:firstLine="571" w:firstLineChars="204"/>
        <w:textAlignment w:val="auto"/>
        <w:rPr>
          <w:rFonts w:hint="eastAsia" w:ascii="仿宋_GB2312" w:hAnsi="宋体" w:eastAsia="仿宋_GB2312"/>
          <w:sz w:val="28"/>
          <w:szCs w:val="28"/>
        </w:rPr>
      </w:pPr>
      <w:r>
        <w:rPr>
          <w:rFonts w:hint="eastAsia" w:ascii="仿宋_GB2312" w:hAnsi="宋体" w:eastAsia="仿宋_GB2312"/>
          <w:sz w:val="28"/>
          <w:szCs w:val="28"/>
        </w:rPr>
        <w:t>估价对象系</w:t>
      </w:r>
      <w:r>
        <w:rPr>
          <w:rFonts w:hint="eastAsia" w:ascii="仿宋_GB2312" w:hAnsi="宋体" w:eastAsia="仿宋_GB2312"/>
          <w:sz w:val="28"/>
          <w:szCs w:val="28"/>
          <w:lang w:eastAsia="zh-CN"/>
        </w:rPr>
        <w:t>青海金天地房地产开发有限公司名下</w:t>
      </w:r>
      <w:r>
        <w:rPr>
          <w:rFonts w:hint="eastAsia" w:ascii="仿宋_GB2312" w:hAnsi="宋体" w:eastAsia="仿宋_GB2312"/>
          <w:sz w:val="28"/>
          <w:szCs w:val="28"/>
        </w:rPr>
        <w:t>位于</w:t>
      </w:r>
      <w:r>
        <w:rPr>
          <w:rFonts w:hint="eastAsia" w:ascii="仿宋_GB2312" w:hAnsi="宋体" w:eastAsia="仿宋_GB2312"/>
          <w:sz w:val="28"/>
          <w:szCs w:val="28"/>
          <w:lang w:eastAsia="zh-CN"/>
        </w:rPr>
        <w:t>青海民和回族土族自治县川口镇公园北路15号1幢1单元18层1181、1182、1183室和2单元18层2181、2182、2183室</w:t>
      </w:r>
      <w:r>
        <w:rPr>
          <w:rFonts w:hint="eastAsia" w:ascii="仿宋_GB2312" w:hAnsi="宋体" w:eastAsia="仿宋_GB2312"/>
          <w:sz w:val="28"/>
          <w:szCs w:val="28"/>
        </w:rPr>
        <w:t>的</w:t>
      </w:r>
      <w:r>
        <w:rPr>
          <w:rFonts w:hint="eastAsia" w:ascii="仿宋_GB2312" w:hAnsi="宋体" w:eastAsia="仿宋_GB2312"/>
          <w:sz w:val="28"/>
          <w:szCs w:val="28"/>
          <w:lang w:eastAsia="zh-CN"/>
        </w:rPr>
        <w:t>六套住宅房地产</w:t>
      </w:r>
      <w:r>
        <w:rPr>
          <w:rFonts w:hint="eastAsia" w:ascii="仿宋_GB2312" w:hAnsi="宋体" w:eastAsia="仿宋_GB2312"/>
          <w:sz w:val="28"/>
          <w:szCs w:val="28"/>
        </w:rPr>
        <w:t>，</w:t>
      </w:r>
      <w:r>
        <w:rPr>
          <w:rFonts w:hint="eastAsia" w:ascii="仿宋_GB2312" w:eastAsia="仿宋_GB2312"/>
          <w:sz w:val="28"/>
          <w:szCs w:val="28"/>
          <w:lang w:val="en-US" w:eastAsia="zh-CN"/>
        </w:rPr>
        <w:t>总</w:t>
      </w:r>
      <w:r>
        <w:rPr>
          <w:rFonts w:hint="eastAsia" w:ascii="仿宋_GB2312" w:eastAsia="仿宋_GB2312"/>
          <w:sz w:val="28"/>
          <w:szCs w:val="28"/>
          <w:lang w:eastAsia="zh-CN"/>
        </w:rPr>
        <w:t>建筑面积</w:t>
      </w:r>
      <w:r>
        <w:rPr>
          <w:rFonts w:hint="eastAsia" w:ascii="仿宋_GB2312" w:eastAsia="仿宋_GB2312"/>
          <w:sz w:val="28"/>
          <w:szCs w:val="28"/>
          <w:lang w:val="en-US" w:eastAsia="zh-CN"/>
        </w:rPr>
        <w:t>为</w:t>
      </w:r>
      <w:r>
        <w:rPr>
          <w:rFonts w:hint="eastAsia" w:ascii="仿宋_GB2312" w:eastAsia="仿宋_GB2312"/>
          <w:sz w:val="28"/>
          <w:szCs w:val="28"/>
          <w:lang w:eastAsia="zh-CN"/>
        </w:rPr>
        <w:t>1751.92平方米，</w:t>
      </w:r>
      <w:r>
        <w:rPr>
          <w:rFonts w:hint="eastAsia" w:ascii="仿宋_GB2312" w:eastAsia="仿宋_GB2312"/>
          <w:color w:val="000000"/>
          <w:w w:val="95"/>
          <w:sz w:val="28"/>
          <w:szCs w:val="32"/>
        </w:rPr>
        <w:t>包括土地使用权及房屋所有权、</w:t>
      </w:r>
      <w:r>
        <w:rPr>
          <w:rFonts w:hint="eastAsia" w:ascii="仿宋_GB2312" w:hAnsi="宋体" w:eastAsia="仿宋_GB2312"/>
          <w:sz w:val="28"/>
          <w:szCs w:val="28"/>
          <w:lang w:eastAsia="zh-CN"/>
        </w:rPr>
        <w:t>室内</w:t>
      </w:r>
      <w:r>
        <w:rPr>
          <w:rFonts w:hint="eastAsia" w:ascii="仿宋_GB2312" w:hAnsi="宋体" w:eastAsia="仿宋_GB2312"/>
          <w:sz w:val="28"/>
          <w:szCs w:val="28"/>
        </w:rPr>
        <w:t>固定装修</w:t>
      </w:r>
      <w:r>
        <w:rPr>
          <w:rFonts w:hint="eastAsia" w:ascii="仿宋_GB2312" w:hAnsi="宋体" w:eastAsia="仿宋_GB2312"/>
          <w:sz w:val="28"/>
          <w:szCs w:val="28"/>
          <w:lang w:eastAsia="zh-CN"/>
        </w:rPr>
        <w:t>及附属设施，</w:t>
      </w:r>
      <w:r>
        <w:rPr>
          <w:rFonts w:hint="eastAsia" w:ascii="仿宋_GB2312" w:hAnsi="宋体" w:eastAsia="仿宋_GB2312"/>
          <w:sz w:val="28"/>
          <w:szCs w:val="28"/>
        </w:rPr>
        <w:t>不包括室内可移动设施设备、债权债务及其它</w:t>
      </w:r>
      <w:r>
        <w:rPr>
          <w:rFonts w:hint="eastAsia" w:ascii="仿宋_GB2312" w:hAnsi="宋体" w:eastAsia="仿宋_GB2312"/>
          <w:sz w:val="28"/>
          <w:szCs w:val="28"/>
          <w:lang w:eastAsia="zh-CN"/>
        </w:rPr>
        <w:t>财产或收益</w:t>
      </w:r>
      <w:r>
        <w:rPr>
          <w:rFonts w:hint="eastAsia" w:ascii="仿宋_GB2312" w:hAnsi="宋体" w:eastAsia="仿宋_GB2312"/>
          <w:sz w:val="28"/>
          <w:szCs w:val="28"/>
        </w:rPr>
        <w:t>。</w:t>
      </w:r>
    </w:p>
    <w:p>
      <w:pPr>
        <w:pageBreakBefore w:val="0"/>
        <w:widowControl w:val="0"/>
        <w:kinsoku/>
        <w:wordWrap/>
        <w:overflowPunct/>
        <w:topLinePunct w:val="0"/>
        <w:autoSpaceDE/>
        <w:autoSpaceDN/>
        <w:bidi w:val="0"/>
        <w:adjustRightInd/>
        <w:spacing w:line="500" w:lineRule="exact"/>
        <w:ind w:firstLine="562" w:firstLineChars="200"/>
        <w:textAlignment w:val="auto"/>
        <w:rPr>
          <w:rFonts w:ascii="仿宋_GB2312" w:hAnsi="宋体" w:eastAsia="仿宋_GB2312"/>
          <w:b/>
          <w:sz w:val="28"/>
          <w:szCs w:val="28"/>
        </w:rPr>
      </w:pPr>
      <w:r>
        <w:rPr>
          <w:rFonts w:ascii="仿宋_GB2312" w:hAnsi="宋体" w:eastAsia="仿宋_GB2312"/>
          <w:b/>
          <w:sz w:val="28"/>
          <w:szCs w:val="28"/>
        </w:rPr>
        <w:t>(</w:t>
      </w:r>
      <w:r>
        <w:rPr>
          <w:rFonts w:hint="eastAsia" w:ascii="仿宋_GB2312" w:hAnsi="宋体" w:eastAsia="仿宋_GB2312"/>
          <w:b/>
          <w:sz w:val="28"/>
          <w:szCs w:val="28"/>
          <w:lang w:eastAsia="zh-CN"/>
        </w:rPr>
        <w:t>二</w:t>
      </w:r>
      <w:r>
        <w:rPr>
          <w:rFonts w:ascii="仿宋_GB2312" w:hAnsi="宋体" w:eastAsia="仿宋_GB2312"/>
          <w:b/>
          <w:sz w:val="28"/>
          <w:szCs w:val="28"/>
        </w:rPr>
        <w:t>)</w:t>
      </w:r>
      <w:r>
        <w:rPr>
          <w:rFonts w:hint="eastAsia" w:ascii="仿宋_GB2312" w:hAnsi="宋体" w:eastAsia="仿宋_GB2312"/>
          <w:b/>
          <w:sz w:val="28"/>
          <w:szCs w:val="28"/>
        </w:rPr>
        <w:t>估价对象实物状况</w:t>
      </w:r>
    </w:p>
    <w:p>
      <w:pPr>
        <w:pageBreakBefore w:val="0"/>
        <w:widowControl w:val="0"/>
        <w:kinsoku/>
        <w:wordWrap/>
        <w:overflowPunct/>
        <w:topLinePunct w:val="0"/>
        <w:autoSpaceDE/>
        <w:autoSpaceDN/>
        <w:bidi w:val="0"/>
        <w:adjustRightInd/>
        <w:spacing w:line="500" w:lineRule="exact"/>
        <w:ind w:firstLine="562" w:firstLineChars="200"/>
        <w:textAlignment w:val="auto"/>
        <w:rPr>
          <w:rFonts w:ascii="仿宋_GB2312" w:hAnsi="宋体" w:eastAsia="仿宋_GB2312"/>
          <w:b/>
          <w:sz w:val="28"/>
          <w:szCs w:val="28"/>
        </w:rPr>
      </w:pPr>
      <w:r>
        <w:rPr>
          <w:rFonts w:ascii="仿宋_GB2312" w:hAnsi="宋体" w:eastAsia="仿宋_GB2312"/>
          <w:b/>
          <w:sz w:val="28"/>
          <w:szCs w:val="28"/>
        </w:rPr>
        <w:t>1</w:t>
      </w:r>
      <w:r>
        <w:rPr>
          <w:rFonts w:hint="eastAsia" w:ascii="仿宋_GB2312" w:hAnsi="宋体" w:eastAsia="仿宋_GB2312"/>
          <w:b/>
          <w:sz w:val="28"/>
          <w:szCs w:val="28"/>
        </w:rPr>
        <w:t>、土地实物状况</w:t>
      </w:r>
    </w:p>
    <w:p>
      <w:pPr>
        <w:pageBreakBefore w:val="0"/>
        <w:widowControl w:val="0"/>
        <w:kinsoku/>
        <w:wordWrap/>
        <w:overflowPunct/>
        <w:topLinePunct w:val="0"/>
        <w:autoSpaceDE/>
        <w:autoSpaceDN/>
        <w:bidi w:val="0"/>
        <w:adjustRightInd/>
        <w:snapToGrid w:val="0"/>
        <w:spacing w:line="500" w:lineRule="exact"/>
        <w:ind w:firstLine="571" w:firstLineChars="204"/>
        <w:textAlignment w:val="auto"/>
        <w:rPr>
          <w:rFonts w:hint="eastAsia" w:ascii="仿宋_GB2312" w:hAnsi="宋体" w:eastAsia="仿宋_GB2312" w:cs="Times New Roman"/>
          <w:sz w:val="28"/>
          <w:szCs w:val="28"/>
        </w:rPr>
      </w:pPr>
      <w:r>
        <w:rPr>
          <w:rFonts w:hint="eastAsia" w:ascii="仿宋_GB2312" w:hAnsi="宋体" w:eastAsia="仿宋_GB2312" w:cs="Times New Roman"/>
          <w:sz w:val="28"/>
          <w:szCs w:val="28"/>
          <w:lang w:val="en-US" w:eastAsia="zh-CN"/>
        </w:rPr>
        <w:t>估价对象所属宗地平面形状近似长方形</w:t>
      </w:r>
      <w:r>
        <w:rPr>
          <w:rFonts w:hint="eastAsia" w:ascii="仿宋_GB2312" w:hAnsi="宋体" w:eastAsia="仿宋_GB2312" w:cs="Times New Roman"/>
          <w:sz w:val="28"/>
          <w:szCs w:val="28"/>
          <w:lang w:eastAsia="zh-CN"/>
        </w:rPr>
        <w:t>，东临</w:t>
      </w:r>
      <w:r>
        <w:rPr>
          <w:rFonts w:hint="eastAsia" w:ascii="仿宋_GB2312" w:hAnsi="宋体" w:eastAsia="仿宋_GB2312" w:cs="Times New Roman"/>
          <w:sz w:val="28"/>
          <w:szCs w:val="28"/>
          <w:lang w:val="en-US" w:eastAsia="zh-CN"/>
        </w:rPr>
        <w:t>道路</w:t>
      </w:r>
      <w:r>
        <w:rPr>
          <w:rFonts w:hint="eastAsia" w:ascii="仿宋_GB2312" w:hAnsi="宋体" w:eastAsia="仿宋_GB2312" w:cs="Times New Roman"/>
          <w:sz w:val="28"/>
          <w:szCs w:val="28"/>
          <w:lang w:eastAsia="zh-CN"/>
        </w:rPr>
        <w:t>，南</w:t>
      </w:r>
      <w:r>
        <w:rPr>
          <w:rFonts w:hint="eastAsia" w:ascii="仿宋_GB2312" w:hAnsi="宋体" w:eastAsia="仿宋_GB2312" w:cs="Times New Roman"/>
          <w:sz w:val="28"/>
          <w:szCs w:val="28"/>
          <w:lang w:val="en-US" w:eastAsia="zh-CN"/>
        </w:rPr>
        <w:t>靠民和回族土族自治县人民检察院</w:t>
      </w:r>
      <w:r>
        <w:rPr>
          <w:rFonts w:hint="eastAsia" w:ascii="仿宋_GB2312" w:hAnsi="宋体" w:eastAsia="仿宋_GB2312" w:cs="Times New Roman"/>
          <w:sz w:val="28"/>
          <w:szCs w:val="28"/>
          <w:lang w:eastAsia="zh-CN"/>
        </w:rPr>
        <w:t>，西</w:t>
      </w:r>
      <w:r>
        <w:rPr>
          <w:rFonts w:hint="eastAsia" w:ascii="仿宋_GB2312" w:hAnsi="宋体" w:eastAsia="仿宋_GB2312" w:cs="Times New Roman"/>
          <w:sz w:val="28"/>
          <w:szCs w:val="28"/>
          <w:lang w:val="en-US" w:eastAsia="zh-CN"/>
        </w:rPr>
        <w:t>靠道路</w:t>
      </w:r>
      <w:r>
        <w:rPr>
          <w:rFonts w:hint="eastAsia" w:ascii="仿宋_GB2312" w:hAnsi="宋体" w:eastAsia="仿宋_GB2312" w:cs="Times New Roman"/>
          <w:sz w:val="28"/>
          <w:szCs w:val="28"/>
          <w:lang w:eastAsia="zh-CN"/>
        </w:rPr>
        <w:t>，北沿</w:t>
      </w:r>
      <w:r>
        <w:rPr>
          <w:rFonts w:hint="eastAsia" w:ascii="仿宋_GB2312" w:hAnsi="宋体" w:eastAsia="仿宋_GB2312"/>
          <w:sz w:val="28"/>
          <w:szCs w:val="28"/>
          <w:lang w:eastAsia="zh-CN"/>
        </w:rPr>
        <w:t>公园北路</w:t>
      </w:r>
      <w:r>
        <w:rPr>
          <w:rFonts w:hint="eastAsia" w:ascii="仿宋_GB2312" w:hAnsi="宋体" w:eastAsia="仿宋_GB2312" w:cs="Times New Roman"/>
          <w:sz w:val="28"/>
          <w:szCs w:val="28"/>
          <w:lang w:eastAsia="zh-CN"/>
        </w:rPr>
        <w:t>，土地地势平坦，无明显坡度；</w:t>
      </w:r>
      <w:r>
        <w:rPr>
          <w:rFonts w:hint="eastAsia" w:ascii="仿宋_GB2312" w:hAnsi="宋体" w:eastAsia="仿宋_GB2312" w:cs="Times New Roman"/>
          <w:sz w:val="28"/>
          <w:szCs w:val="28"/>
        </w:rPr>
        <w:t>土地开发程度</w:t>
      </w:r>
      <w:r>
        <w:rPr>
          <w:rFonts w:hint="eastAsia" w:ascii="仿宋_GB2312" w:hAnsi="宋体" w:eastAsia="仿宋_GB2312" w:cs="Times New Roman"/>
          <w:sz w:val="28"/>
          <w:szCs w:val="28"/>
          <w:lang w:eastAsia="zh-CN"/>
        </w:rPr>
        <w:t>为</w:t>
      </w:r>
      <w:r>
        <w:rPr>
          <w:rFonts w:hint="eastAsia" w:ascii="仿宋_GB2312" w:hAnsi="宋体" w:eastAsia="仿宋_GB2312" w:cs="Times New Roman"/>
          <w:sz w:val="28"/>
          <w:szCs w:val="28"/>
          <w:lang w:val="en-US" w:eastAsia="zh-CN"/>
        </w:rPr>
        <w:t>六</w:t>
      </w:r>
      <w:r>
        <w:rPr>
          <w:rFonts w:hint="eastAsia" w:ascii="仿宋_GB2312" w:hAnsi="宋体" w:eastAsia="仿宋_GB2312" w:cs="Times New Roman"/>
          <w:sz w:val="28"/>
          <w:szCs w:val="28"/>
        </w:rPr>
        <w:t>通一平(即宗地</w:t>
      </w:r>
      <w:r>
        <w:rPr>
          <w:rFonts w:hint="eastAsia" w:ascii="仿宋_GB2312" w:hAnsi="宋体" w:eastAsia="仿宋_GB2312" w:cs="Times New Roman"/>
          <w:sz w:val="28"/>
          <w:szCs w:val="28"/>
          <w:lang w:eastAsia="zh-CN"/>
        </w:rPr>
        <w:t>外</w:t>
      </w:r>
      <w:r>
        <w:rPr>
          <w:rFonts w:hint="eastAsia" w:ascii="仿宋_GB2312" w:hAnsi="宋体" w:eastAsia="仿宋_GB2312" w:cs="Times New Roman"/>
          <w:sz w:val="28"/>
          <w:szCs w:val="28"/>
        </w:rPr>
        <w:t>通上水</w:t>
      </w:r>
      <w:r>
        <w:rPr>
          <w:rFonts w:hint="eastAsia" w:ascii="仿宋_GB2312" w:hAnsi="宋体" w:eastAsia="仿宋_GB2312" w:cs="Times New Roman"/>
          <w:sz w:val="28"/>
          <w:szCs w:val="28"/>
          <w:lang w:eastAsia="zh-CN"/>
        </w:rPr>
        <w:t>、排</w:t>
      </w:r>
      <w:r>
        <w:rPr>
          <w:rFonts w:hint="eastAsia" w:ascii="仿宋_GB2312" w:hAnsi="宋体" w:eastAsia="仿宋_GB2312" w:cs="Times New Roman"/>
          <w:sz w:val="28"/>
          <w:szCs w:val="28"/>
        </w:rPr>
        <w:t>水、通电、通讯、通路</w:t>
      </w:r>
      <w:r>
        <w:rPr>
          <w:rFonts w:hint="eastAsia" w:ascii="仿宋_GB2312" w:hAnsi="宋体" w:eastAsia="仿宋_GB2312" w:cs="Times New Roman"/>
          <w:sz w:val="28"/>
          <w:szCs w:val="28"/>
          <w:lang w:eastAsia="zh-CN"/>
        </w:rPr>
        <w:t>、</w:t>
      </w:r>
      <w:r>
        <w:rPr>
          <w:rFonts w:hint="eastAsia" w:ascii="仿宋_GB2312" w:hAnsi="宋体" w:eastAsia="仿宋_GB2312" w:cs="Times New Roman"/>
          <w:sz w:val="28"/>
          <w:szCs w:val="28"/>
          <w:lang w:val="en-US" w:eastAsia="zh-CN"/>
        </w:rPr>
        <w:t>通气</w:t>
      </w:r>
      <w:r>
        <w:rPr>
          <w:rFonts w:hint="eastAsia" w:ascii="仿宋_GB2312" w:hAnsi="宋体" w:eastAsia="仿宋_GB2312" w:cs="Times New Roman"/>
          <w:sz w:val="28"/>
          <w:szCs w:val="28"/>
        </w:rPr>
        <w:t>，宗地内场地平整)。</w:t>
      </w:r>
    </w:p>
    <w:p>
      <w:pPr>
        <w:pageBreakBefore w:val="0"/>
        <w:widowControl w:val="0"/>
        <w:kinsoku/>
        <w:wordWrap/>
        <w:overflowPunct/>
        <w:topLinePunct w:val="0"/>
        <w:autoSpaceDE/>
        <w:autoSpaceDN/>
        <w:bidi w:val="0"/>
        <w:adjustRightInd/>
        <w:spacing w:line="500" w:lineRule="exact"/>
        <w:ind w:firstLine="568" w:firstLineChars="202"/>
        <w:textAlignment w:val="auto"/>
        <w:rPr>
          <w:rFonts w:ascii="仿宋_GB2312" w:hAnsi="仿宋" w:eastAsia="仿宋_GB2312"/>
          <w:b/>
          <w:color w:val="000000"/>
          <w:sz w:val="28"/>
          <w:szCs w:val="28"/>
        </w:rPr>
      </w:pPr>
      <w:r>
        <w:rPr>
          <w:rFonts w:ascii="仿宋_GB2312" w:hAnsi="宋体" w:eastAsia="仿宋_GB2312"/>
          <w:b/>
          <w:sz w:val="28"/>
          <w:szCs w:val="28"/>
        </w:rPr>
        <w:t>2</w:t>
      </w:r>
      <w:r>
        <w:rPr>
          <w:rFonts w:hint="eastAsia" w:ascii="仿宋_GB2312" w:hAnsi="宋体" w:eastAsia="仿宋_GB2312"/>
          <w:b/>
          <w:sz w:val="28"/>
          <w:szCs w:val="28"/>
        </w:rPr>
        <w:t>、</w:t>
      </w:r>
      <w:r>
        <w:rPr>
          <w:rFonts w:hint="eastAsia" w:ascii="仿宋_GB2312" w:hAnsi="宋体" w:eastAsia="仿宋_GB2312"/>
          <w:b/>
          <w:sz w:val="28"/>
          <w:szCs w:val="28"/>
          <w:lang w:eastAsia="zh-CN"/>
        </w:rPr>
        <w:t>建筑物</w:t>
      </w:r>
      <w:r>
        <w:rPr>
          <w:rFonts w:hint="eastAsia" w:ascii="仿宋_GB2312" w:hAnsi="仿宋" w:eastAsia="仿宋_GB2312"/>
          <w:b/>
          <w:color w:val="000000"/>
          <w:sz w:val="28"/>
          <w:szCs w:val="28"/>
        </w:rPr>
        <w:t>实物状况</w:t>
      </w:r>
    </w:p>
    <w:p>
      <w:pPr>
        <w:snapToGrid w:val="0"/>
        <w:spacing w:line="500" w:lineRule="exact"/>
        <w:ind w:firstLine="565" w:firstLineChars="202"/>
        <w:rPr>
          <w:rFonts w:hint="eastAsia" w:ascii="仿宋_GB2312" w:eastAsia="仿宋_GB2312"/>
          <w:sz w:val="28"/>
          <w:szCs w:val="28"/>
          <w:lang w:val="en-US" w:eastAsia="zh-CN"/>
        </w:rPr>
      </w:pPr>
      <w:r>
        <w:rPr>
          <w:rFonts w:hint="eastAsia" w:ascii="仿宋_GB2312" w:hAnsi="宋体" w:eastAsia="仿宋_GB2312" w:cs="Times New Roman"/>
          <w:sz w:val="28"/>
          <w:szCs w:val="28"/>
          <w:lang w:val="en-US" w:eastAsia="zh-CN"/>
        </w:rPr>
        <w:t>估价对象为</w:t>
      </w:r>
      <w:r>
        <w:rPr>
          <w:rFonts w:hint="eastAsia" w:ascii="仿宋_GB2312" w:hAnsi="宋体" w:eastAsia="仿宋_GB2312" w:cs="Times New Roman"/>
          <w:sz w:val="28"/>
          <w:szCs w:val="28"/>
          <w:lang w:eastAsia="zh-CN"/>
        </w:rPr>
        <w:t>青海民和回族土族自治县川口镇公园北路15号1幢1单元18层1181、1182、1183室和2单元18层2181、2182、2183室</w:t>
      </w:r>
      <w:r>
        <w:rPr>
          <w:rFonts w:hint="eastAsia" w:ascii="仿宋_GB2312" w:hAnsi="宋体" w:eastAsia="仿宋_GB2312" w:cs="Times New Roman"/>
          <w:sz w:val="28"/>
          <w:szCs w:val="28"/>
          <w:lang w:val="en-US" w:eastAsia="zh-CN"/>
        </w:rPr>
        <w:t>共六套住宅用房，所在建筑物为商住综合楼</w:t>
      </w:r>
      <w:r>
        <w:rPr>
          <w:rFonts w:hint="eastAsia" w:ascii="仿宋_GB2312" w:hAnsi="宋体" w:eastAsia="仿宋_GB2312" w:cs="Times New Roman"/>
          <w:sz w:val="28"/>
          <w:szCs w:val="28"/>
        </w:rPr>
        <w:t>(</w:t>
      </w:r>
      <w:r>
        <w:rPr>
          <w:rFonts w:hint="eastAsia" w:ascii="仿宋_GB2312" w:hAnsi="宋体" w:eastAsia="仿宋_GB2312" w:cs="Times New Roman"/>
          <w:sz w:val="28"/>
          <w:szCs w:val="28"/>
          <w:lang w:val="en-US" w:eastAsia="zh-CN"/>
        </w:rPr>
        <w:t>项目名称：盛利达商厦及培训中心</w:t>
      </w:r>
      <w:r>
        <w:rPr>
          <w:rFonts w:hint="eastAsia" w:ascii="仿宋_GB2312" w:hAnsi="宋体" w:eastAsia="仿宋_GB2312" w:cs="Times New Roman"/>
          <w:sz w:val="28"/>
          <w:szCs w:val="28"/>
        </w:rPr>
        <w:t>)</w:t>
      </w:r>
      <w:r>
        <w:rPr>
          <w:rFonts w:hint="eastAsia" w:ascii="仿宋_GB2312" w:hAnsi="宋体" w:eastAsia="仿宋_GB2312" w:cs="Times New Roman"/>
          <w:sz w:val="28"/>
          <w:szCs w:val="28"/>
          <w:lang w:val="en-US" w:eastAsia="zh-CN"/>
        </w:rPr>
        <w:t>，地上共十八层，地下共二层，钢混结构。在价值时点主体已完工、尚未办理竣工综合验收。住宅分二个单元，每个单元一梯三户、装有两台电梯，外墙面为外墙涂料，铝合金窗。估价对象均位于第十八层，房屋建筑面积合计为</w:t>
      </w:r>
      <w:r>
        <w:rPr>
          <w:rFonts w:hint="eastAsia" w:ascii="仿宋_GB2312" w:eastAsia="仿宋_GB2312"/>
          <w:sz w:val="28"/>
          <w:szCs w:val="28"/>
          <w:lang w:eastAsia="zh-CN"/>
        </w:rPr>
        <w:t>1751.92平方米</w:t>
      </w:r>
      <w:r>
        <w:rPr>
          <w:rFonts w:hint="eastAsia" w:ascii="仿宋_GB2312" w:eastAsia="仿宋_GB2312"/>
          <w:sz w:val="28"/>
          <w:szCs w:val="28"/>
          <w:lang w:val="en-US" w:eastAsia="zh-CN"/>
        </w:rPr>
        <w:t>，其中：</w:t>
      </w:r>
    </w:p>
    <w:p>
      <w:pPr>
        <w:snapToGrid w:val="0"/>
        <w:spacing w:line="500" w:lineRule="exact"/>
        <w:ind w:firstLine="565" w:firstLineChars="202"/>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rPr>
        <w:t>(</w:t>
      </w:r>
      <w:r>
        <w:rPr>
          <w:rFonts w:hint="eastAsia" w:ascii="仿宋_GB2312" w:hAnsi="宋体" w:eastAsia="仿宋_GB2312" w:cs="Times New Roman"/>
          <w:sz w:val="28"/>
          <w:szCs w:val="28"/>
          <w:lang w:val="en-US" w:eastAsia="zh-CN"/>
        </w:rPr>
        <w:t>1</w:t>
      </w:r>
      <w:r>
        <w:rPr>
          <w:rFonts w:hint="eastAsia" w:ascii="仿宋_GB2312" w:hAnsi="宋体" w:eastAsia="仿宋_GB2312" w:cs="Times New Roman"/>
          <w:sz w:val="28"/>
          <w:szCs w:val="28"/>
        </w:rPr>
        <w:t>)</w:t>
      </w:r>
      <w:r>
        <w:rPr>
          <w:rFonts w:hint="eastAsia" w:ascii="仿宋_GB2312" w:hAnsi="宋体" w:eastAsia="仿宋_GB2312" w:cs="Times New Roman"/>
          <w:sz w:val="28"/>
          <w:szCs w:val="28"/>
          <w:lang w:eastAsia="zh-CN"/>
        </w:rPr>
        <w:t>1单元1181</w:t>
      </w:r>
      <w:r>
        <w:rPr>
          <w:rFonts w:hint="eastAsia" w:ascii="仿宋_GB2312" w:hAnsi="宋体" w:eastAsia="仿宋_GB2312" w:cs="Times New Roman"/>
          <w:sz w:val="28"/>
          <w:szCs w:val="28"/>
          <w:lang w:val="en-US" w:eastAsia="zh-CN"/>
        </w:rPr>
        <w:t>室：第18层建筑面积为177.20平方米、跃层建筑面积为128.06平方米，入户防盗门，室内简单装修，强化木地板，内墙面和顶棚未装修，现浇室内楼梯，跃层有露台。</w:t>
      </w:r>
    </w:p>
    <w:p>
      <w:pPr>
        <w:snapToGrid w:val="0"/>
        <w:spacing w:line="500" w:lineRule="exact"/>
        <w:ind w:firstLine="565" w:firstLineChars="202"/>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rPr>
        <w:t>(</w:t>
      </w:r>
      <w:r>
        <w:rPr>
          <w:rFonts w:hint="eastAsia" w:ascii="仿宋_GB2312" w:hAnsi="宋体" w:eastAsia="仿宋_GB2312" w:cs="Times New Roman"/>
          <w:sz w:val="28"/>
          <w:szCs w:val="28"/>
          <w:lang w:val="en-US" w:eastAsia="zh-CN"/>
        </w:rPr>
        <w:t>2</w:t>
      </w:r>
      <w:r>
        <w:rPr>
          <w:rFonts w:hint="eastAsia" w:ascii="仿宋_GB2312" w:hAnsi="宋体" w:eastAsia="仿宋_GB2312" w:cs="Times New Roman"/>
          <w:sz w:val="28"/>
          <w:szCs w:val="28"/>
        </w:rPr>
        <w:t>)</w:t>
      </w:r>
      <w:r>
        <w:rPr>
          <w:rFonts w:hint="eastAsia" w:ascii="仿宋_GB2312" w:hAnsi="宋体" w:eastAsia="仿宋_GB2312" w:cs="Times New Roman"/>
          <w:sz w:val="28"/>
          <w:szCs w:val="28"/>
          <w:lang w:eastAsia="zh-CN"/>
        </w:rPr>
        <w:t>1单元118</w:t>
      </w:r>
      <w:r>
        <w:rPr>
          <w:rFonts w:hint="eastAsia" w:ascii="仿宋_GB2312" w:hAnsi="宋体" w:eastAsia="仿宋_GB2312" w:cs="Times New Roman"/>
          <w:sz w:val="28"/>
          <w:szCs w:val="28"/>
          <w:lang w:val="en-US" w:eastAsia="zh-CN"/>
        </w:rPr>
        <w:t>2室：第18层建筑面积为146.52平方米、跃层建筑面积为133.54平方米，入户防盗门，室内正在装修，抛光砖地面，部分胶合板吊顶，乳胶漆内墙面，厨卫地砖地面、磁砖内墙面，厨柜、衣柜门未安装，室内楼梯抛光砖贴面、栏杆未安装。</w:t>
      </w:r>
    </w:p>
    <w:p>
      <w:pPr>
        <w:snapToGrid w:val="0"/>
        <w:spacing w:line="500" w:lineRule="exact"/>
        <w:ind w:firstLine="565" w:firstLineChars="202"/>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rPr>
        <w:t>(</w:t>
      </w:r>
      <w:r>
        <w:rPr>
          <w:rFonts w:hint="eastAsia" w:ascii="仿宋_GB2312" w:hAnsi="宋体" w:eastAsia="仿宋_GB2312" w:cs="Times New Roman"/>
          <w:sz w:val="28"/>
          <w:szCs w:val="28"/>
          <w:lang w:val="en-US" w:eastAsia="zh-CN"/>
        </w:rPr>
        <w:t>3</w:t>
      </w:r>
      <w:r>
        <w:rPr>
          <w:rFonts w:hint="eastAsia" w:ascii="仿宋_GB2312" w:hAnsi="宋体" w:eastAsia="仿宋_GB2312" w:cs="Times New Roman"/>
          <w:sz w:val="28"/>
          <w:szCs w:val="28"/>
        </w:rPr>
        <w:t>)</w:t>
      </w:r>
      <w:r>
        <w:rPr>
          <w:rFonts w:hint="eastAsia" w:ascii="仿宋_GB2312" w:hAnsi="宋体" w:eastAsia="仿宋_GB2312" w:cs="Times New Roman"/>
          <w:sz w:val="28"/>
          <w:szCs w:val="28"/>
          <w:lang w:eastAsia="zh-CN"/>
        </w:rPr>
        <w:t>1单元118</w:t>
      </w:r>
      <w:r>
        <w:rPr>
          <w:rFonts w:hint="eastAsia" w:ascii="仿宋_GB2312" w:hAnsi="宋体" w:eastAsia="仿宋_GB2312" w:cs="Times New Roman"/>
          <w:sz w:val="28"/>
          <w:szCs w:val="28"/>
          <w:lang w:val="en-US" w:eastAsia="zh-CN"/>
        </w:rPr>
        <w:t>3室：第18层建筑面积为181.44平方米、跃层建筑面积为109.20平方米，入户防盗门，室内已装修，抛光砖地面，卧室水泥地面、地板未安装，胶合板吊顶，乳胶漆内墙面，厨卫地砖地面、磁砖内墙面、扣板吊顶，厨柜、衣柜已安装，厨卫设施配套齐全，室内楼梯花岗岩贴面、木栏杆及扶手。</w:t>
      </w:r>
    </w:p>
    <w:p>
      <w:pPr>
        <w:snapToGrid w:val="0"/>
        <w:spacing w:line="500" w:lineRule="exact"/>
        <w:ind w:firstLine="565" w:firstLineChars="202"/>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rPr>
        <w:t>(</w:t>
      </w:r>
      <w:r>
        <w:rPr>
          <w:rFonts w:hint="eastAsia" w:ascii="仿宋_GB2312" w:hAnsi="宋体" w:eastAsia="仿宋_GB2312" w:cs="Times New Roman"/>
          <w:sz w:val="28"/>
          <w:szCs w:val="28"/>
          <w:lang w:val="en-US" w:eastAsia="zh-CN"/>
        </w:rPr>
        <w:t>4</w:t>
      </w:r>
      <w:r>
        <w:rPr>
          <w:rFonts w:hint="eastAsia" w:ascii="仿宋_GB2312" w:hAnsi="宋体" w:eastAsia="仿宋_GB2312" w:cs="Times New Roman"/>
          <w:sz w:val="28"/>
          <w:szCs w:val="28"/>
        </w:rPr>
        <w:t>)</w:t>
      </w:r>
      <w:r>
        <w:rPr>
          <w:rFonts w:hint="eastAsia" w:ascii="仿宋_GB2312" w:hAnsi="宋体" w:eastAsia="仿宋_GB2312" w:cs="Times New Roman"/>
          <w:sz w:val="28"/>
          <w:szCs w:val="28"/>
          <w:lang w:val="en-US" w:eastAsia="zh-CN"/>
        </w:rPr>
        <w:t>2</w:t>
      </w:r>
      <w:r>
        <w:rPr>
          <w:rFonts w:hint="eastAsia" w:ascii="仿宋_GB2312" w:hAnsi="宋体" w:eastAsia="仿宋_GB2312" w:cs="Times New Roman"/>
          <w:sz w:val="28"/>
          <w:szCs w:val="28"/>
          <w:lang w:eastAsia="zh-CN"/>
        </w:rPr>
        <w:t>单元</w:t>
      </w:r>
      <w:r>
        <w:rPr>
          <w:rFonts w:hint="eastAsia" w:ascii="仿宋_GB2312" w:hAnsi="宋体" w:eastAsia="仿宋_GB2312" w:cs="Times New Roman"/>
          <w:sz w:val="28"/>
          <w:szCs w:val="28"/>
          <w:lang w:val="en-US" w:eastAsia="zh-CN"/>
        </w:rPr>
        <w:t>2</w:t>
      </w:r>
      <w:r>
        <w:rPr>
          <w:rFonts w:hint="eastAsia" w:ascii="仿宋_GB2312" w:hAnsi="宋体" w:eastAsia="仿宋_GB2312" w:cs="Times New Roman"/>
          <w:sz w:val="28"/>
          <w:szCs w:val="28"/>
          <w:lang w:eastAsia="zh-CN"/>
        </w:rPr>
        <w:t>18</w:t>
      </w:r>
      <w:r>
        <w:rPr>
          <w:rFonts w:hint="eastAsia" w:ascii="仿宋_GB2312" w:hAnsi="宋体" w:eastAsia="仿宋_GB2312" w:cs="Times New Roman"/>
          <w:sz w:val="28"/>
          <w:szCs w:val="28"/>
          <w:lang w:val="en-US" w:eastAsia="zh-CN"/>
        </w:rPr>
        <w:t>1室：第18层建筑面积为181.44平方米、跃层建筑面积为109.20平方米，入户防盗门，室内毛坯、未装修。</w:t>
      </w:r>
    </w:p>
    <w:p>
      <w:pPr>
        <w:snapToGrid w:val="0"/>
        <w:spacing w:line="500" w:lineRule="exact"/>
        <w:ind w:firstLine="565" w:firstLineChars="202"/>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rPr>
        <w:t>(</w:t>
      </w:r>
      <w:r>
        <w:rPr>
          <w:rFonts w:hint="eastAsia" w:ascii="仿宋_GB2312" w:hAnsi="宋体" w:eastAsia="仿宋_GB2312" w:cs="Times New Roman"/>
          <w:sz w:val="28"/>
          <w:szCs w:val="28"/>
          <w:lang w:val="en-US" w:eastAsia="zh-CN"/>
        </w:rPr>
        <w:t>5</w:t>
      </w:r>
      <w:r>
        <w:rPr>
          <w:rFonts w:hint="eastAsia" w:ascii="仿宋_GB2312" w:hAnsi="宋体" w:eastAsia="仿宋_GB2312" w:cs="Times New Roman"/>
          <w:sz w:val="28"/>
          <w:szCs w:val="28"/>
        </w:rPr>
        <w:t>)</w:t>
      </w:r>
      <w:r>
        <w:rPr>
          <w:rFonts w:hint="eastAsia" w:ascii="仿宋_GB2312" w:hAnsi="宋体" w:eastAsia="仿宋_GB2312" w:cs="Times New Roman"/>
          <w:sz w:val="28"/>
          <w:szCs w:val="28"/>
          <w:lang w:val="en-US" w:eastAsia="zh-CN"/>
        </w:rPr>
        <w:t>2</w:t>
      </w:r>
      <w:r>
        <w:rPr>
          <w:rFonts w:hint="eastAsia" w:ascii="仿宋_GB2312" w:hAnsi="宋体" w:eastAsia="仿宋_GB2312" w:cs="Times New Roman"/>
          <w:sz w:val="28"/>
          <w:szCs w:val="28"/>
          <w:lang w:eastAsia="zh-CN"/>
        </w:rPr>
        <w:t>单元</w:t>
      </w:r>
      <w:r>
        <w:rPr>
          <w:rFonts w:hint="eastAsia" w:ascii="仿宋_GB2312" w:hAnsi="宋体" w:eastAsia="仿宋_GB2312" w:cs="Times New Roman"/>
          <w:sz w:val="28"/>
          <w:szCs w:val="28"/>
          <w:lang w:val="en-US" w:eastAsia="zh-CN"/>
        </w:rPr>
        <w:t>2</w:t>
      </w:r>
      <w:r>
        <w:rPr>
          <w:rFonts w:hint="eastAsia" w:ascii="仿宋_GB2312" w:hAnsi="宋体" w:eastAsia="仿宋_GB2312" w:cs="Times New Roman"/>
          <w:sz w:val="28"/>
          <w:szCs w:val="28"/>
          <w:lang w:eastAsia="zh-CN"/>
        </w:rPr>
        <w:t>18</w:t>
      </w:r>
      <w:r>
        <w:rPr>
          <w:rFonts w:hint="eastAsia" w:ascii="仿宋_GB2312" w:hAnsi="宋体" w:eastAsia="仿宋_GB2312" w:cs="Times New Roman"/>
          <w:sz w:val="28"/>
          <w:szCs w:val="28"/>
          <w:lang w:val="en-US" w:eastAsia="zh-CN"/>
        </w:rPr>
        <w:t>2室：第18层建筑面积为146.52平方米、跃层建筑面积为133.54平方米，入户防盗门，室内毛坯、未装修。</w:t>
      </w:r>
    </w:p>
    <w:p>
      <w:pPr>
        <w:pageBreakBefore w:val="0"/>
        <w:widowControl w:val="0"/>
        <w:numPr>
          <w:ilvl w:val="0"/>
          <w:numId w:val="0"/>
        </w:numPr>
        <w:kinsoku/>
        <w:wordWrap/>
        <w:overflowPunct/>
        <w:topLinePunct w:val="0"/>
        <w:autoSpaceDE/>
        <w:autoSpaceDN/>
        <w:bidi w:val="0"/>
        <w:adjustRightInd/>
        <w:snapToGrid w:val="0"/>
        <w:spacing w:line="500" w:lineRule="exact"/>
        <w:ind w:firstLine="560" w:firstLineChars="200"/>
        <w:textAlignment w:val="auto"/>
        <w:rPr>
          <w:rFonts w:hint="eastAsia" w:ascii="仿宋_GB2312" w:hAnsi="宋体" w:eastAsia="仿宋_GB2312" w:cs="宋体"/>
          <w:bCs/>
          <w:kern w:val="0"/>
          <w:sz w:val="28"/>
          <w:szCs w:val="28"/>
        </w:rPr>
      </w:pPr>
      <w:r>
        <w:rPr>
          <w:rFonts w:hint="eastAsia" w:ascii="仿宋_GB2312" w:hAnsi="宋体" w:eastAsia="仿宋_GB2312" w:cs="Times New Roman"/>
          <w:sz w:val="28"/>
          <w:szCs w:val="28"/>
        </w:rPr>
        <w:t>(</w:t>
      </w:r>
      <w:r>
        <w:rPr>
          <w:rFonts w:hint="eastAsia" w:ascii="仿宋_GB2312" w:hAnsi="宋体" w:eastAsia="仿宋_GB2312" w:cs="Times New Roman"/>
          <w:sz w:val="28"/>
          <w:szCs w:val="28"/>
          <w:lang w:val="en-US" w:eastAsia="zh-CN"/>
        </w:rPr>
        <w:t>6</w:t>
      </w:r>
      <w:r>
        <w:rPr>
          <w:rFonts w:hint="eastAsia" w:ascii="仿宋_GB2312" w:hAnsi="宋体" w:eastAsia="仿宋_GB2312" w:cs="Times New Roman"/>
          <w:sz w:val="28"/>
          <w:szCs w:val="28"/>
        </w:rPr>
        <w:t>)</w:t>
      </w:r>
      <w:r>
        <w:rPr>
          <w:rFonts w:hint="eastAsia" w:ascii="仿宋_GB2312" w:hAnsi="宋体" w:eastAsia="仿宋_GB2312" w:cs="Times New Roman"/>
          <w:sz w:val="28"/>
          <w:szCs w:val="28"/>
          <w:lang w:val="en-US" w:eastAsia="zh-CN"/>
        </w:rPr>
        <w:t>2</w:t>
      </w:r>
      <w:r>
        <w:rPr>
          <w:rFonts w:hint="eastAsia" w:ascii="仿宋_GB2312" w:hAnsi="宋体" w:eastAsia="仿宋_GB2312" w:cs="Times New Roman"/>
          <w:sz w:val="28"/>
          <w:szCs w:val="28"/>
          <w:lang w:eastAsia="zh-CN"/>
        </w:rPr>
        <w:t>单元</w:t>
      </w:r>
      <w:r>
        <w:rPr>
          <w:rFonts w:hint="eastAsia" w:ascii="仿宋_GB2312" w:hAnsi="宋体" w:eastAsia="仿宋_GB2312" w:cs="Times New Roman"/>
          <w:sz w:val="28"/>
          <w:szCs w:val="28"/>
          <w:lang w:val="en-US" w:eastAsia="zh-CN"/>
        </w:rPr>
        <w:t>2</w:t>
      </w:r>
      <w:r>
        <w:rPr>
          <w:rFonts w:hint="eastAsia" w:ascii="仿宋_GB2312" w:hAnsi="宋体" w:eastAsia="仿宋_GB2312" w:cs="Times New Roman"/>
          <w:sz w:val="28"/>
          <w:szCs w:val="28"/>
          <w:lang w:eastAsia="zh-CN"/>
        </w:rPr>
        <w:t>18</w:t>
      </w:r>
      <w:r>
        <w:rPr>
          <w:rFonts w:hint="eastAsia" w:ascii="仿宋_GB2312" w:hAnsi="宋体" w:eastAsia="仿宋_GB2312" w:cs="Times New Roman"/>
          <w:sz w:val="28"/>
          <w:szCs w:val="28"/>
          <w:lang w:val="en-US" w:eastAsia="zh-CN"/>
        </w:rPr>
        <w:t>3室：第18层建筑面积为177.20平方米、跃层建筑面积为128.06平方米，入户防盗门，室内毛坯，卫生间简单装修，现浇室内楼梯，跃层有露台</w:t>
      </w:r>
      <w:r>
        <w:rPr>
          <w:rFonts w:hint="eastAsia" w:ascii="仿宋_GB2312" w:hAnsi="宋体" w:eastAsia="仿宋_GB2312" w:cs="宋体"/>
          <w:bCs/>
          <w:kern w:val="0"/>
          <w:sz w:val="28"/>
          <w:szCs w:val="28"/>
        </w:rPr>
        <w:t>。</w:t>
      </w:r>
    </w:p>
    <w:p>
      <w:pPr>
        <w:pageBreakBefore w:val="0"/>
        <w:widowControl w:val="0"/>
        <w:numPr>
          <w:ilvl w:val="0"/>
          <w:numId w:val="0"/>
        </w:numPr>
        <w:kinsoku/>
        <w:wordWrap/>
        <w:overflowPunct/>
        <w:topLinePunct w:val="0"/>
        <w:autoSpaceDE/>
        <w:autoSpaceDN/>
        <w:bidi w:val="0"/>
        <w:adjustRightInd/>
        <w:snapToGrid w:val="0"/>
        <w:spacing w:line="500" w:lineRule="exact"/>
        <w:ind w:firstLine="560" w:firstLineChars="200"/>
        <w:textAlignment w:val="auto"/>
        <w:rPr>
          <w:rFonts w:hint="eastAsia" w:ascii="仿宋_GB2312" w:hAnsi="宋体" w:eastAsia="仿宋_GB2312" w:cs="宋体"/>
          <w:bCs/>
          <w:kern w:val="0"/>
          <w:sz w:val="28"/>
          <w:szCs w:val="28"/>
          <w:lang w:val="en-US" w:eastAsia="zh-CN"/>
        </w:rPr>
      </w:pPr>
      <w:r>
        <w:rPr>
          <w:rFonts w:hint="eastAsia" w:ascii="仿宋_GB2312" w:hAnsi="宋体" w:eastAsia="仿宋_GB2312" w:cs="宋体"/>
          <w:bCs/>
          <w:kern w:val="0"/>
          <w:sz w:val="28"/>
          <w:szCs w:val="28"/>
          <w:lang w:val="en-US" w:eastAsia="zh-CN"/>
        </w:rPr>
        <w:t>在价值时点，估价对象房地产由第三方占用和使用。</w:t>
      </w:r>
    </w:p>
    <w:p>
      <w:pPr>
        <w:pageBreakBefore w:val="0"/>
        <w:widowControl w:val="0"/>
        <w:kinsoku/>
        <w:wordWrap/>
        <w:overflowPunct/>
        <w:topLinePunct w:val="0"/>
        <w:autoSpaceDE/>
        <w:autoSpaceDN/>
        <w:bidi w:val="0"/>
        <w:adjustRightInd/>
        <w:spacing w:line="500" w:lineRule="exact"/>
        <w:ind w:firstLine="562" w:firstLineChars="200"/>
        <w:textAlignment w:val="auto"/>
        <w:rPr>
          <w:rFonts w:ascii="仿宋_GB2312" w:hAnsi="宋体" w:eastAsia="仿宋_GB2312"/>
          <w:b/>
          <w:color w:val="000000"/>
          <w:sz w:val="28"/>
          <w:szCs w:val="28"/>
        </w:rPr>
      </w:pPr>
      <w:r>
        <w:rPr>
          <w:rFonts w:ascii="仿宋_GB2312" w:hAnsi="宋体" w:eastAsia="仿宋_GB2312"/>
          <w:b/>
          <w:color w:val="000000"/>
          <w:sz w:val="28"/>
          <w:szCs w:val="28"/>
        </w:rPr>
        <w:t>(</w:t>
      </w:r>
      <w:r>
        <w:rPr>
          <w:rFonts w:hint="eastAsia" w:ascii="仿宋_GB2312" w:hAnsi="宋体" w:eastAsia="仿宋_GB2312"/>
          <w:b/>
          <w:color w:val="000000"/>
          <w:sz w:val="28"/>
          <w:szCs w:val="28"/>
          <w:lang w:eastAsia="zh-CN"/>
        </w:rPr>
        <w:t>三</w:t>
      </w:r>
      <w:r>
        <w:rPr>
          <w:rFonts w:ascii="仿宋_GB2312" w:hAnsi="宋体" w:eastAsia="仿宋_GB2312"/>
          <w:b/>
          <w:color w:val="000000"/>
          <w:sz w:val="28"/>
          <w:szCs w:val="28"/>
        </w:rPr>
        <w:t>)</w:t>
      </w:r>
      <w:r>
        <w:rPr>
          <w:rFonts w:hint="eastAsia" w:ascii="仿宋_GB2312" w:hAnsi="宋体" w:eastAsia="仿宋_GB2312"/>
          <w:b/>
          <w:color w:val="000000"/>
          <w:sz w:val="28"/>
          <w:szCs w:val="28"/>
        </w:rPr>
        <w:t>估价对象权益状况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lang w:val="en-US" w:eastAsia="zh-CN"/>
        </w:rPr>
      </w:pPr>
      <w:r>
        <w:rPr>
          <w:rFonts w:hint="eastAsia" w:ascii="仿宋" w:hAnsi="仿宋" w:eastAsia="仿宋"/>
          <w:sz w:val="28"/>
          <w:lang w:val="en-US" w:eastAsia="zh-CN"/>
        </w:rPr>
        <w:t>估价对象为青海金天地房地产开发有限公司开发的预售商品房，所属《国有土地使用证》尚未办理，项目总宗地为国有出让的商住用地。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lang w:val="en-US" w:eastAsia="zh-CN"/>
        </w:rPr>
      </w:pPr>
      <w:r>
        <w:rPr>
          <w:rFonts w:hint="eastAsia" w:ascii="仿宋_GB2312" w:hAnsi="宋体" w:eastAsia="仿宋_GB2312" w:cs="Times New Roman"/>
          <w:sz w:val="28"/>
          <w:szCs w:val="28"/>
          <w:lang w:val="en-US" w:eastAsia="zh-CN"/>
        </w:rPr>
        <w:t>根据</w:t>
      </w:r>
      <w:r>
        <w:rPr>
          <w:rFonts w:hint="eastAsia" w:ascii="仿宋_GB2312" w:hAnsi="宋体" w:eastAsia="仿宋_GB2312" w:cs="Times New Roman"/>
          <w:sz w:val="28"/>
          <w:szCs w:val="28"/>
          <w:lang w:eastAsia="zh-CN"/>
        </w:rPr>
        <w:t>民和回族土族自治县</w:t>
      </w:r>
      <w:r>
        <w:rPr>
          <w:rFonts w:hint="eastAsia" w:ascii="仿宋_GB2312" w:hAnsi="宋体" w:eastAsia="仿宋_GB2312" w:cs="Times New Roman"/>
          <w:sz w:val="28"/>
          <w:szCs w:val="28"/>
          <w:lang w:val="en-US" w:eastAsia="zh-CN"/>
        </w:rPr>
        <w:t>房产管理局出具的《回复函》复印件，</w:t>
      </w:r>
      <w:r>
        <w:rPr>
          <w:rFonts w:hint="eastAsia" w:ascii="仿宋" w:hAnsi="仿宋" w:eastAsia="仿宋"/>
          <w:sz w:val="28"/>
          <w:lang w:val="en-US" w:eastAsia="zh-CN"/>
        </w:rPr>
        <w:t>估价对象尚未在青海省房屋交易监管系统办理网签备案，首封法院为浙江省东阳市人民法院，在青海省房屋交易监管系统中无抵押权人。</w:t>
      </w:r>
    </w:p>
    <w:p>
      <w:pPr>
        <w:pageBreakBefore w:val="0"/>
        <w:kinsoku/>
        <w:wordWrap/>
        <w:overflowPunct/>
        <w:topLinePunct w:val="0"/>
        <w:autoSpaceDE/>
        <w:autoSpaceDN/>
        <w:bidi w:val="0"/>
        <w:adjustRightInd/>
        <w:spacing w:line="500" w:lineRule="exact"/>
        <w:ind w:firstLine="560" w:firstLineChars="200"/>
        <w:textAlignment w:val="auto"/>
        <w:rPr>
          <w:rFonts w:hint="eastAsia" w:eastAsia="仿宋_GB2312"/>
          <w:sz w:val="28"/>
        </w:rPr>
      </w:pPr>
      <w:r>
        <w:rPr>
          <w:rFonts w:hint="eastAsia" w:eastAsia="仿宋_GB2312"/>
          <w:sz w:val="28"/>
        </w:rPr>
        <w:t>本次估价假设</w:t>
      </w:r>
      <w:r>
        <w:rPr>
          <w:rFonts w:hint="eastAsia" w:ascii="仿宋_GB2312" w:hAnsi="Tahoma" w:eastAsia="仿宋_GB2312" w:cs="Tahoma"/>
          <w:color w:val="000000"/>
          <w:kern w:val="0"/>
          <w:sz w:val="28"/>
          <w:szCs w:val="28"/>
          <w:shd w:val="clear" w:color="auto" w:fill="FFFFFF"/>
        </w:rPr>
        <w:t>在价值时点</w:t>
      </w:r>
      <w:r>
        <w:rPr>
          <w:rFonts w:hint="eastAsia" w:eastAsia="仿宋_GB2312"/>
          <w:sz w:val="28"/>
        </w:rPr>
        <w:t>估价对象处于完整权利状态，即不存在产权纠纷、抵押、担保、抵债、</w:t>
      </w:r>
      <w:r>
        <w:rPr>
          <w:rFonts w:hint="eastAsia" w:eastAsia="仿宋_GB2312"/>
          <w:sz w:val="28"/>
          <w:lang w:val="en-US" w:eastAsia="zh-CN"/>
        </w:rPr>
        <w:t>查封、</w:t>
      </w:r>
      <w:r>
        <w:rPr>
          <w:rFonts w:hint="eastAsia" w:eastAsia="仿宋_GB2312"/>
          <w:sz w:val="28"/>
        </w:rPr>
        <w:t>租赁以及法定优先受偿权等他项权利。</w:t>
      </w:r>
    </w:p>
    <w:p>
      <w:pPr>
        <w:pageBreakBefore w:val="0"/>
        <w:kinsoku/>
        <w:wordWrap/>
        <w:overflowPunct/>
        <w:topLinePunct w:val="0"/>
        <w:autoSpaceDE/>
        <w:autoSpaceDN/>
        <w:bidi w:val="0"/>
        <w:adjustRightInd/>
        <w:spacing w:line="500" w:lineRule="exact"/>
        <w:ind w:firstLine="562" w:firstLineChars="200"/>
        <w:textAlignment w:val="auto"/>
        <w:rPr>
          <w:rFonts w:ascii="仿宋_GB2312" w:eastAsia="仿宋_GB2312"/>
          <w:b/>
          <w:sz w:val="28"/>
          <w:szCs w:val="28"/>
        </w:rPr>
      </w:pPr>
      <w:r>
        <w:rPr>
          <w:rFonts w:ascii="仿宋_GB2312" w:hAnsi="宋体" w:eastAsia="仿宋_GB2312"/>
          <w:b/>
          <w:sz w:val="28"/>
          <w:szCs w:val="28"/>
        </w:rPr>
        <w:t>(</w:t>
      </w:r>
      <w:r>
        <w:rPr>
          <w:rFonts w:hint="eastAsia" w:ascii="仿宋_GB2312" w:hAnsi="宋体" w:eastAsia="仿宋_GB2312"/>
          <w:b/>
          <w:sz w:val="28"/>
          <w:szCs w:val="28"/>
          <w:lang w:eastAsia="zh-CN"/>
        </w:rPr>
        <w:t>四</w:t>
      </w:r>
      <w:r>
        <w:rPr>
          <w:rFonts w:ascii="仿宋_GB2312" w:hAnsi="宋体" w:eastAsia="仿宋_GB2312"/>
          <w:b/>
          <w:sz w:val="28"/>
          <w:szCs w:val="28"/>
        </w:rPr>
        <w:t>)</w:t>
      </w:r>
      <w:r>
        <w:rPr>
          <w:rFonts w:hint="eastAsia" w:ascii="仿宋_GB2312" w:hAnsi="宋体" w:eastAsia="仿宋_GB2312"/>
          <w:b/>
          <w:sz w:val="28"/>
          <w:szCs w:val="28"/>
        </w:rPr>
        <w:t>估价对象</w:t>
      </w:r>
      <w:r>
        <w:rPr>
          <w:rFonts w:hint="eastAsia" w:ascii="仿宋_GB2312" w:eastAsia="仿宋_GB2312"/>
          <w:b/>
          <w:sz w:val="28"/>
          <w:szCs w:val="28"/>
        </w:rPr>
        <w:t>区位状况：</w:t>
      </w:r>
    </w:p>
    <w:p>
      <w:pPr>
        <w:pageBreakBefore w:val="0"/>
        <w:kinsoku/>
        <w:wordWrap/>
        <w:overflowPunct/>
        <w:topLinePunct w:val="0"/>
        <w:autoSpaceDE/>
        <w:autoSpaceDN/>
        <w:bidi w:val="0"/>
        <w:adjustRightInd/>
        <w:spacing w:line="500" w:lineRule="exact"/>
        <w:ind w:firstLine="560" w:firstLineChars="200"/>
        <w:textAlignment w:val="auto"/>
        <w:rPr>
          <w:rFonts w:hint="eastAsia" w:ascii="仿宋_GB2312" w:hAnsi="Tahoma" w:eastAsia="仿宋_GB2312" w:cs="Tahoma"/>
          <w:color w:val="000000"/>
          <w:kern w:val="0"/>
          <w:sz w:val="28"/>
          <w:szCs w:val="28"/>
          <w:shd w:val="clear" w:color="auto" w:fill="FFFFFF"/>
        </w:rPr>
      </w:pPr>
      <w:r>
        <w:rPr>
          <w:rFonts w:hint="eastAsia" w:ascii="仿宋_GB2312" w:hAnsi="宋体" w:eastAsia="仿宋_GB2312" w:cs="Times New Roman"/>
          <w:sz w:val="28"/>
          <w:szCs w:val="28"/>
          <w:lang w:val="en-US" w:eastAsia="zh-CN"/>
        </w:rPr>
        <w:t>估价对象坐落于</w:t>
      </w:r>
      <w:r>
        <w:rPr>
          <w:rFonts w:hint="eastAsia" w:ascii="仿宋_GB2312" w:hAnsi="宋体" w:eastAsia="仿宋_GB2312" w:cs="Times New Roman"/>
          <w:sz w:val="28"/>
          <w:szCs w:val="28"/>
          <w:lang w:eastAsia="zh-CN"/>
        </w:rPr>
        <w:t>青海民和回族土族自治县川口镇公园北路15号1幢1单元18层1181、1182、1183室和2单元18层2181、2182、2183室</w:t>
      </w:r>
      <w:r>
        <w:rPr>
          <w:rFonts w:hint="eastAsia" w:ascii="仿宋_GB2312" w:hAnsi="Tahoma" w:eastAsia="仿宋_GB2312" w:cs="Tahoma"/>
          <w:color w:val="000000"/>
          <w:kern w:val="0"/>
          <w:sz w:val="28"/>
          <w:szCs w:val="28"/>
          <w:shd w:val="clear" w:color="auto" w:fill="FFFFFF"/>
        </w:rPr>
        <w:t>，</w:t>
      </w:r>
      <w:r>
        <w:rPr>
          <w:rFonts w:hint="eastAsia" w:ascii="仿宋_GB2312" w:hAnsi="Tahoma" w:eastAsia="仿宋_GB2312" w:cs="Tahoma"/>
          <w:color w:val="000000"/>
          <w:kern w:val="0"/>
          <w:sz w:val="28"/>
          <w:szCs w:val="28"/>
          <w:shd w:val="clear" w:color="auto" w:fill="FFFFFF"/>
          <w:lang w:val="en-US" w:eastAsia="zh-CN"/>
        </w:rPr>
        <w:t>位于民和县川垣新区，</w:t>
      </w:r>
      <w:r>
        <w:rPr>
          <w:rFonts w:hint="eastAsia" w:ascii="仿宋_GB2312" w:hAnsi="宋体" w:eastAsia="仿宋_GB2312" w:cs="Times New Roman"/>
          <w:sz w:val="28"/>
          <w:szCs w:val="28"/>
          <w:lang w:val="en-US" w:eastAsia="zh-CN"/>
        </w:rPr>
        <w:t>附近有平兴礼园、广馨百合苑、东源御景、广馨花园等住宅小区，以及民和县人民政府、自然资源局、人民法院、民和县中医院、</w:t>
      </w:r>
      <w:bookmarkStart w:id="18" w:name="_GoBack"/>
      <w:r>
        <w:rPr>
          <w:rFonts w:hint="eastAsia" w:ascii="仿宋_GB2312" w:hAnsi="宋体" w:eastAsia="仿宋_GB2312" w:cs="Times New Roman"/>
          <w:sz w:val="28"/>
          <w:szCs w:val="28"/>
          <w:lang w:val="en-US" w:eastAsia="zh-CN"/>
        </w:rPr>
        <w:t>广兴源川垣农贸市场</w:t>
      </w:r>
      <w:bookmarkEnd w:id="18"/>
      <w:r>
        <w:rPr>
          <w:rFonts w:hint="eastAsia" w:ascii="仿宋_GB2312" w:hAnsi="宋体" w:eastAsia="仿宋_GB2312" w:cs="Times New Roman"/>
          <w:sz w:val="28"/>
          <w:szCs w:val="28"/>
          <w:lang w:val="en-US" w:eastAsia="zh-CN"/>
        </w:rPr>
        <w:t>、海鸿国际广场等，道路通达，交通便捷，基础设施和公共服务配套设施完善。</w:t>
      </w:r>
    </w:p>
    <w:p>
      <w:pPr>
        <w:pStyle w:val="3"/>
        <w:pageBreakBefore w:val="0"/>
        <w:kinsoku/>
        <w:wordWrap/>
        <w:overflowPunct/>
        <w:topLinePunct w:val="0"/>
        <w:autoSpaceDE/>
        <w:autoSpaceDN/>
        <w:bidi w:val="0"/>
        <w:adjustRightInd/>
        <w:spacing w:before="0" w:after="0" w:line="500" w:lineRule="exact"/>
        <w:ind w:firstLine="562" w:firstLineChars="200"/>
        <w:textAlignment w:val="auto"/>
        <w:rPr>
          <w:rFonts w:ascii="仿宋_GB2312" w:hAnsi="宋体" w:eastAsia="仿宋_GB2312"/>
          <w:sz w:val="28"/>
          <w:szCs w:val="28"/>
        </w:rPr>
      </w:pPr>
      <w:bookmarkStart w:id="6" w:name="_Toc476334913"/>
      <w:r>
        <w:rPr>
          <w:rFonts w:hint="eastAsia" w:ascii="仿宋_GB2312" w:hAnsi="宋体" w:eastAsia="仿宋_GB2312"/>
          <w:sz w:val="28"/>
          <w:szCs w:val="28"/>
        </w:rPr>
        <w:t>四、估价目的</w:t>
      </w:r>
      <w:bookmarkEnd w:id="6"/>
    </w:p>
    <w:p>
      <w:pPr>
        <w:pageBreakBefore w:val="0"/>
        <w:widowControl/>
        <w:kinsoku/>
        <w:wordWrap/>
        <w:overflowPunct/>
        <w:topLinePunct w:val="0"/>
        <w:autoSpaceDE/>
        <w:autoSpaceDN/>
        <w:bidi w:val="0"/>
        <w:adjustRightInd/>
        <w:spacing w:line="500" w:lineRule="exact"/>
        <w:ind w:firstLine="560" w:firstLineChars="200"/>
        <w:jc w:val="left"/>
        <w:textAlignment w:val="auto"/>
        <w:rPr>
          <w:rFonts w:ascii="仿宋_GB2312" w:hAnsi="宋体" w:eastAsia="仿宋_GB2312"/>
          <w:color w:val="000000"/>
          <w:sz w:val="28"/>
          <w:szCs w:val="28"/>
        </w:rPr>
      </w:pPr>
      <w:r>
        <w:rPr>
          <w:rFonts w:hint="eastAsia" w:ascii="仿宋_GB2312" w:eastAsia="仿宋_GB2312"/>
          <w:sz w:val="28"/>
          <w:szCs w:val="28"/>
          <w:lang w:eastAsia="zh-CN"/>
        </w:rPr>
        <w:t>为司法处置(诉讼)提供参考依据而评估房地产市场价值</w:t>
      </w:r>
      <w:r>
        <w:rPr>
          <w:rFonts w:hint="eastAsia" w:ascii="仿宋_GB2312" w:hAnsi="Tahoma" w:eastAsia="仿宋_GB2312" w:cs="Tahoma"/>
          <w:color w:val="000000"/>
          <w:kern w:val="0"/>
          <w:sz w:val="28"/>
          <w:szCs w:val="28"/>
        </w:rPr>
        <w:t>。</w:t>
      </w:r>
    </w:p>
    <w:p>
      <w:pPr>
        <w:pStyle w:val="3"/>
        <w:pageBreakBefore w:val="0"/>
        <w:kinsoku/>
        <w:wordWrap/>
        <w:overflowPunct/>
        <w:topLinePunct w:val="0"/>
        <w:autoSpaceDE/>
        <w:autoSpaceDN/>
        <w:bidi w:val="0"/>
        <w:adjustRightInd/>
        <w:spacing w:before="0" w:after="0" w:line="500" w:lineRule="exact"/>
        <w:ind w:firstLine="562" w:firstLineChars="200"/>
        <w:textAlignment w:val="auto"/>
        <w:rPr>
          <w:rFonts w:ascii="仿宋_GB2312" w:hAnsi="宋体" w:eastAsia="仿宋_GB2312"/>
          <w:sz w:val="28"/>
          <w:szCs w:val="28"/>
        </w:rPr>
      </w:pPr>
      <w:bookmarkStart w:id="7" w:name="_Toc476334914"/>
      <w:r>
        <w:rPr>
          <w:rFonts w:hint="eastAsia" w:ascii="仿宋_GB2312" w:hAnsi="宋体" w:eastAsia="仿宋_GB2312"/>
          <w:sz w:val="28"/>
          <w:szCs w:val="28"/>
        </w:rPr>
        <w:t>五、价值时点</w:t>
      </w:r>
      <w:bookmarkEnd w:id="7"/>
    </w:p>
    <w:p>
      <w:pPr>
        <w:pageBreakBefore w:val="0"/>
        <w:kinsoku/>
        <w:wordWrap/>
        <w:overflowPunct/>
        <w:topLinePunct w:val="0"/>
        <w:autoSpaceDE/>
        <w:autoSpaceDN/>
        <w:bidi w:val="0"/>
        <w:adjustRightInd/>
        <w:spacing w:line="500" w:lineRule="exact"/>
        <w:ind w:firstLine="580" w:firstLineChars="200"/>
        <w:textAlignment w:val="auto"/>
        <w:rPr>
          <w:rFonts w:hint="eastAsia" w:ascii="仿宋_GB2312" w:hAnsi="Tahoma" w:eastAsia="仿宋_GB2312" w:cs="Tahoma"/>
          <w:color w:val="000000"/>
          <w:kern w:val="0"/>
          <w:sz w:val="28"/>
          <w:szCs w:val="28"/>
          <w:shd w:val="clear" w:color="auto" w:fill="FFFFFF"/>
        </w:rPr>
      </w:pPr>
      <w:r>
        <w:rPr>
          <w:rFonts w:hint="eastAsia" w:ascii="仿宋_GB2312" w:hAnsi="宋体" w:eastAsia="仿宋_GB2312" w:cs="宋体"/>
          <w:color w:val="333333"/>
          <w:sz w:val="29"/>
          <w:szCs w:val="29"/>
        </w:rPr>
        <w:t>价值时点设定为实地查勘日</w:t>
      </w:r>
      <w:r>
        <w:rPr>
          <w:rFonts w:hint="eastAsia" w:ascii="仿宋_GB2312" w:hAnsi="Tahoma" w:eastAsia="仿宋_GB2312" w:cs="Tahoma"/>
          <w:color w:val="C00000"/>
          <w:kern w:val="0"/>
          <w:sz w:val="28"/>
          <w:szCs w:val="28"/>
          <w:shd w:val="clear" w:color="auto" w:fill="FFFFFF"/>
          <w:lang w:eastAsia="zh-CN"/>
        </w:rPr>
        <w:t>2019年08月20日</w:t>
      </w:r>
      <w:r>
        <w:rPr>
          <w:rFonts w:hint="eastAsia" w:ascii="仿宋_GB2312" w:hAnsi="Tahoma" w:eastAsia="仿宋_GB2312" w:cs="Tahoma"/>
          <w:color w:val="000000"/>
          <w:kern w:val="0"/>
          <w:sz w:val="28"/>
          <w:szCs w:val="28"/>
          <w:shd w:val="clear" w:color="auto" w:fill="FFFFFF"/>
        </w:rPr>
        <w:t>。</w:t>
      </w:r>
    </w:p>
    <w:p>
      <w:pPr>
        <w:pStyle w:val="3"/>
        <w:pageBreakBefore w:val="0"/>
        <w:kinsoku/>
        <w:wordWrap/>
        <w:overflowPunct/>
        <w:topLinePunct w:val="0"/>
        <w:autoSpaceDE/>
        <w:autoSpaceDN/>
        <w:bidi w:val="0"/>
        <w:adjustRightInd/>
        <w:spacing w:before="0" w:after="0" w:line="500" w:lineRule="exact"/>
        <w:ind w:firstLine="562" w:firstLineChars="200"/>
        <w:textAlignment w:val="auto"/>
        <w:rPr>
          <w:rFonts w:ascii="仿宋_GB2312" w:hAnsi="宋体" w:eastAsia="仿宋_GB2312"/>
          <w:sz w:val="28"/>
          <w:szCs w:val="28"/>
        </w:rPr>
      </w:pPr>
      <w:bookmarkStart w:id="8" w:name="_Toc476334915"/>
      <w:r>
        <w:rPr>
          <w:rFonts w:hint="eastAsia" w:ascii="仿宋_GB2312" w:hAnsi="宋体" w:eastAsia="仿宋_GB2312"/>
          <w:sz w:val="28"/>
          <w:szCs w:val="28"/>
        </w:rPr>
        <w:t>六、价值定义</w:t>
      </w:r>
      <w:bookmarkEnd w:id="8"/>
    </w:p>
    <w:p>
      <w:pPr>
        <w:pageBreakBefore w:val="0"/>
        <w:kinsoku/>
        <w:wordWrap/>
        <w:overflowPunct/>
        <w:topLinePunct w:val="0"/>
        <w:autoSpaceDE/>
        <w:autoSpaceDN/>
        <w:bidi w:val="0"/>
        <w:adjustRightInd/>
        <w:snapToGrid w:val="0"/>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本次估价采用市场价值标准。市场价值是指估价对象房地产经适当营销后，由熟悉情况、谨慎行事且不受强迫的交易双方，以公平交易方式在价值时点自愿进行交易的金额。</w:t>
      </w:r>
    </w:p>
    <w:p>
      <w:pPr>
        <w:pStyle w:val="3"/>
        <w:pageBreakBefore w:val="0"/>
        <w:kinsoku/>
        <w:wordWrap/>
        <w:overflowPunct/>
        <w:topLinePunct w:val="0"/>
        <w:autoSpaceDE/>
        <w:autoSpaceDN/>
        <w:bidi w:val="0"/>
        <w:adjustRightInd/>
        <w:spacing w:before="0" w:after="0" w:line="500" w:lineRule="exact"/>
        <w:ind w:firstLine="562" w:firstLineChars="200"/>
        <w:textAlignment w:val="auto"/>
        <w:rPr>
          <w:rFonts w:ascii="仿宋_GB2312" w:hAnsi="宋体" w:eastAsia="仿宋_GB2312"/>
          <w:sz w:val="28"/>
          <w:szCs w:val="28"/>
        </w:rPr>
      </w:pPr>
      <w:bookmarkStart w:id="9" w:name="_Toc476334916"/>
      <w:r>
        <w:rPr>
          <w:rFonts w:hint="eastAsia" w:ascii="仿宋_GB2312" w:hAnsi="宋体" w:eastAsia="仿宋_GB2312"/>
          <w:sz w:val="28"/>
          <w:szCs w:val="28"/>
        </w:rPr>
        <w:t>七、估价依据</w:t>
      </w:r>
      <w:bookmarkEnd w:id="9"/>
    </w:p>
    <w:p>
      <w:pPr>
        <w:pageBreakBefore w:val="0"/>
        <w:kinsoku/>
        <w:wordWrap/>
        <w:overflowPunct/>
        <w:topLinePunct w:val="0"/>
        <w:autoSpaceDE/>
        <w:autoSpaceDN/>
        <w:bidi w:val="0"/>
        <w:adjustRightInd/>
        <w:spacing w:line="500" w:lineRule="exact"/>
        <w:ind w:firstLine="560" w:firstLineChars="200"/>
        <w:textAlignment w:val="auto"/>
        <w:rPr>
          <w:rFonts w:ascii="仿宋_GB2312" w:eastAsia="仿宋_GB2312"/>
          <w:color w:val="000000"/>
          <w:sz w:val="28"/>
          <w:szCs w:val="28"/>
        </w:rPr>
      </w:pPr>
      <w:r>
        <w:rPr>
          <w:rFonts w:ascii="仿宋_GB2312" w:eastAsia="仿宋_GB2312"/>
          <w:color w:val="000000"/>
          <w:sz w:val="28"/>
          <w:szCs w:val="28"/>
        </w:rPr>
        <w:t>(</w:t>
      </w:r>
      <w:r>
        <w:rPr>
          <w:rFonts w:hint="eastAsia" w:ascii="仿宋_GB2312" w:eastAsia="仿宋_GB2312"/>
          <w:color w:val="000000"/>
          <w:sz w:val="28"/>
          <w:szCs w:val="28"/>
        </w:rPr>
        <w:t>一</w:t>
      </w:r>
      <w:r>
        <w:rPr>
          <w:rFonts w:ascii="仿宋_GB2312" w:eastAsia="仿宋_GB2312"/>
          <w:color w:val="000000"/>
          <w:sz w:val="28"/>
          <w:szCs w:val="28"/>
        </w:rPr>
        <w:t>)</w:t>
      </w:r>
      <w:r>
        <w:rPr>
          <w:rFonts w:hint="eastAsia" w:ascii="仿宋_GB2312" w:eastAsia="仿宋_GB2312"/>
          <w:color w:val="000000"/>
          <w:sz w:val="28"/>
          <w:szCs w:val="28"/>
        </w:rPr>
        <w:t>本次估价所依据的有关法律、法规和部门规章</w:t>
      </w:r>
    </w:p>
    <w:p>
      <w:pPr>
        <w:pageBreakBefore w:val="0"/>
        <w:kinsoku/>
        <w:wordWrap/>
        <w:overflowPunct/>
        <w:topLinePunct w:val="0"/>
        <w:autoSpaceDE/>
        <w:autoSpaceDN/>
        <w:bidi w:val="0"/>
        <w:adjustRightInd/>
        <w:spacing w:line="500" w:lineRule="exact"/>
        <w:ind w:firstLine="560" w:firstLineChars="200"/>
        <w:textAlignment w:val="auto"/>
        <w:rPr>
          <w:rFonts w:ascii="仿宋_GB2312" w:hAnsi="Tahoma" w:eastAsia="仿宋_GB2312" w:cs="Tahoma"/>
          <w:color w:val="000000"/>
          <w:kern w:val="0"/>
          <w:sz w:val="28"/>
          <w:szCs w:val="28"/>
        </w:rPr>
      </w:pPr>
      <w:r>
        <w:rPr>
          <w:rFonts w:ascii="仿宋_GB2312" w:hAnsi="Tahoma" w:eastAsia="仿宋_GB2312" w:cs="Tahoma"/>
          <w:color w:val="000000"/>
          <w:kern w:val="0"/>
          <w:sz w:val="28"/>
          <w:szCs w:val="28"/>
        </w:rPr>
        <w:t>1</w:t>
      </w:r>
      <w:r>
        <w:rPr>
          <w:rFonts w:hint="eastAsia" w:ascii="仿宋_GB2312" w:hAnsi="Tahoma" w:eastAsia="仿宋_GB2312" w:cs="Tahoma"/>
          <w:color w:val="000000"/>
          <w:kern w:val="0"/>
          <w:sz w:val="28"/>
          <w:szCs w:val="28"/>
        </w:rPr>
        <w:t>、《中华人民共和国物权法》；</w:t>
      </w:r>
    </w:p>
    <w:p>
      <w:pPr>
        <w:pageBreakBefore w:val="0"/>
        <w:kinsoku/>
        <w:wordWrap/>
        <w:overflowPunct/>
        <w:topLinePunct w:val="0"/>
        <w:autoSpaceDE/>
        <w:autoSpaceDN/>
        <w:bidi w:val="0"/>
        <w:adjustRightInd/>
        <w:spacing w:line="500" w:lineRule="exact"/>
        <w:ind w:firstLine="560" w:firstLineChars="200"/>
        <w:textAlignment w:val="auto"/>
        <w:rPr>
          <w:rFonts w:ascii="仿宋_GB2312" w:hAnsi="Tahoma" w:eastAsia="仿宋_GB2312" w:cs="Tahoma"/>
          <w:color w:val="000000"/>
          <w:kern w:val="0"/>
          <w:sz w:val="28"/>
          <w:szCs w:val="28"/>
        </w:rPr>
      </w:pPr>
      <w:r>
        <w:rPr>
          <w:rFonts w:ascii="仿宋_GB2312" w:hAnsi="Tahoma" w:eastAsia="仿宋_GB2312" w:cs="Tahoma"/>
          <w:color w:val="000000"/>
          <w:kern w:val="0"/>
          <w:sz w:val="28"/>
          <w:szCs w:val="28"/>
        </w:rPr>
        <w:t>2</w:t>
      </w:r>
      <w:r>
        <w:rPr>
          <w:rFonts w:hint="eastAsia" w:ascii="仿宋_GB2312" w:hAnsi="Tahoma" w:eastAsia="仿宋_GB2312" w:cs="Tahoma"/>
          <w:color w:val="000000"/>
          <w:kern w:val="0"/>
          <w:sz w:val="28"/>
          <w:szCs w:val="28"/>
        </w:rPr>
        <w:t>、《中华人民共和国城市房地产管理法》；</w:t>
      </w:r>
    </w:p>
    <w:p>
      <w:pPr>
        <w:pageBreakBefore w:val="0"/>
        <w:kinsoku/>
        <w:wordWrap/>
        <w:overflowPunct/>
        <w:topLinePunct w:val="0"/>
        <w:autoSpaceDE/>
        <w:autoSpaceDN/>
        <w:bidi w:val="0"/>
        <w:adjustRightInd/>
        <w:spacing w:line="500" w:lineRule="exact"/>
        <w:ind w:firstLine="560" w:firstLineChars="200"/>
        <w:textAlignment w:val="auto"/>
        <w:rPr>
          <w:rFonts w:ascii="仿宋_GB2312" w:hAnsi="Tahoma" w:eastAsia="仿宋_GB2312" w:cs="Tahoma"/>
          <w:color w:val="000000"/>
          <w:kern w:val="0"/>
          <w:sz w:val="28"/>
          <w:szCs w:val="28"/>
        </w:rPr>
      </w:pPr>
      <w:r>
        <w:rPr>
          <w:rFonts w:ascii="仿宋_GB2312" w:hAnsi="Tahoma" w:eastAsia="仿宋_GB2312" w:cs="Tahoma"/>
          <w:color w:val="000000"/>
          <w:kern w:val="0"/>
          <w:sz w:val="28"/>
          <w:szCs w:val="28"/>
        </w:rPr>
        <w:t>3</w:t>
      </w:r>
      <w:r>
        <w:rPr>
          <w:rFonts w:hint="eastAsia" w:ascii="仿宋_GB2312" w:hAnsi="Tahoma" w:eastAsia="仿宋_GB2312" w:cs="Tahoma"/>
          <w:color w:val="000000"/>
          <w:kern w:val="0"/>
          <w:sz w:val="28"/>
          <w:szCs w:val="28"/>
        </w:rPr>
        <w:t>、《中华人民共和国土地管理法》及实施细则；</w:t>
      </w:r>
    </w:p>
    <w:p>
      <w:pPr>
        <w:pageBreakBefore w:val="0"/>
        <w:kinsoku/>
        <w:wordWrap/>
        <w:overflowPunct/>
        <w:topLinePunct w:val="0"/>
        <w:autoSpaceDE/>
        <w:autoSpaceDN/>
        <w:bidi w:val="0"/>
        <w:adjustRightInd/>
        <w:spacing w:line="500" w:lineRule="exact"/>
        <w:ind w:firstLine="560" w:firstLineChars="200"/>
        <w:textAlignment w:val="auto"/>
        <w:rPr>
          <w:rFonts w:hint="eastAsia" w:ascii="仿宋_GB2312" w:hAnsi="Tahoma" w:eastAsia="仿宋_GB2312" w:cs="Tahoma"/>
          <w:color w:val="000000"/>
          <w:kern w:val="0"/>
          <w:sz w:val="28"/>
          <w:szCs w:val="28"/>
        </w:rPr>
      </w:pPr>
      <w:r>
        <w:rPr>
          <w:rFonts w:ascii="仿宋_GB2312" w:hAnsi="Tahoma" w:eastAsia="仿宋_GB2312" w:cs="Tahoma"/>
          <w:color w:val="000000"/>
          <w:kern w:val="0"/>
          <w:sz w:val="28"/>
          <w:szCs w:val="28"/>
        </w:rPr>
        <w:t>4</w:t>
      </w:r>
      <w:r>
        <w:rPr>
          <w:rFonts w:hint="eastAsia" w:ascii="仿宋_GB2312" w:hAnsi="Tahoma" w:eastAsia="仿宋_GB2312" w:cs="Tahoma"/>
          <w:color w:val="000000"/>
          <w:kern w:val="0"/>
          <w:sz w:val="28"/>
          <w:szCs w:val="28"/>
        </w:rPr>
        <w:t>、《中华人民共和国城镇国有土地使用权出让和转让暂行条例》；</w:t>
      </w:r>
    </w:p>
    <w:p>
      <w:pPr>
        <w:pageBreakBefore w:val="0"/>
        <w:kinsoku/>
        <w:wordWrap/>
        <w:overflowPunct/>
        <w:topLinePunct w:val="0"/>
        <w:autoSpaceDE/>
        <w:autoSpaceDN/>
        <w:bidi w:val="0"/>
        <w:adjustRightInd/>
        <w:spacing w:line="500" w:lineRule="exact"/>
        <w:ind w:firstLine="560" w:firstLineChars="200"/>
        <w:textAlignment w:val="auto"/>
        <w:rPr>
          <w:rFonts w:hint="eastAsia"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5、《中华人民共和国资产评估法》；</w:t>
      </w:r>
    </w:p>
    <w:p>
      <w:pPr>
        <w:pageBreakBefore w:val="0"/>
        <w:kinsoku/>
        <w:wordWrap/>
        <w:overflowPunct/>
        <w:topLinePunct w:val="0"/>
        <w:autoSpaceDE/>
        <w:autoSpaceDN/>
        <w:bidi w:val="0"/>
        <w:adjustRightInd/>
        <w:spacing w:line="500" w:lineRule="exact"/>
        <w:ind w:firstLine="560" w:firstLineChars="200"/>
        <w:textAlignment w:val="auto"/>
        <w:rPr>
          <w:rFonts w:hint="eastAsia"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6、《司法鉴定程序通则》；</w:t>
      </w:r>
    </w:p>
    <w:p>
      <w:pPr>
        <w:pageBreakBefore w:val="0"/>
        <w:kinsoku/>
        <w:wordWrap/>
        <w:overflowPunct/>
        <w:topLinePunct w:val="0"/>
        <w:autoSpaceDE/>
        <w:autoSpaceDN/>
        <w:bidi w:val="0"/>
        <w:adjustRightInd/>
        <w:spacing w:line="500" w:lineRule="exact"/>
        <w:ind w:firstLine="560" w:firstLineChars="200"/>
        <w:textAlignment w:val="auto"/>
        <w:rPr>
          <w:rFonts w:hint="eastAsia" w:ascii="仿宋_GB2312" w:eastAsia="仿宋_GB2312"/>
          <w:color w:val="000000"/>
          <w:sz w:val="28"/>
          <w:szCs w:val="28"/>
        </w:rPr>
      </w:pPr>
      <w:r>
        <w:rPr>
          <w:rFonts w:hint="eastAsia" w:ascii="仿宋_GB2312" w:eastAsia="仿宋_GB2312"/>
          <w:color w:val="000000"/>
          <w:sz w:val="28"/>
          <w:szCs w:val="28"/>
          <w:lang w:val="en-US" w:eastAsia="zh-CN"/>
        </w:rPr>
        <w:t>7</w:t>
      </w:r>
      <w:r>
        <w:rPr>
          <w:rFonts w:hint="eastAsia" w:ascii="仿宋_GB2312" w:eastAsia="仿宋_GB2312"/>
          <w:color w:val="000000"/>
          <w:sz w:val="28"/>
          <w:szCs w:val="28"/>
        </w:rPr>
        <w:t>、《全国人民代表大会常委会关于司法鉴定管理问题的决定》；</w:t>
      </w:r>
    </w:p>
    <w:p>
      <w:pPr>
        <w:pageBreakBefore w:val="0"/>
        <w:kinsoku/>
        <w:wordWrap/>
        <w:overflowPunct/>
        <w:topLinePunct w:val="0"/>
        <w:autoSpaceDE/>
        <w:autoSpaceDN/>
        <w:bidi w:val="0"/>
        <w:adjustRightInd/>
        <w:spacing w:line="500" w:lineRule="exact"/>
        <w:ind w:firstLine="560" w:firstLineChars="200"/>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8</w:t>
      </w:r>
      <w:r>
        <w:rPr>
          <w:rFonts w:hint="eastAsia" w:ascii="仿宋_GB2312" w:eastAsia="仿宋_GB2312"/>
          <w:color w:val="000000"/>
          <w:sz w:val="28"/>
          <w:szCs w:val="28"/>
        </w:rPr>
        <w:t>、《最高人民法院关于人民法院委托评估、拍卖和变卖工作的若干规定》</w:t>
      </w:r>
      <w:r>
        <w:rPr>
          <w:rFonts w:hint="eastAsia" w:ascii="仿宋_GB2312" w:eastAsia="仿宋_GB2312"/>
          <w:color w:val="000000"/>
          <w:sz w:val="28"/>
          <w:szCs w:val="28"/>
          <w:lang w:eastAsia="zh-CN"/>
        </w:rPr>
        <w:t>；</w:t>
      </w:r>
    </w:p>
    <w:p>
      <w:pPr>
        <w:pageBreakBefore w:val="0"/>
        <w:kinsoku/>
        <w:wordWrap/>
        <w:overflowPunct/>
        <w:topLinePunct w:val="0"/>
        <w:autoSpaceDE/>
        <w:autoSpaceDN/>
        <w:bidi w:val="0"/>
        <w:adjustRightInd/>
        <w:spacing w:line="500" w:lineRule="exact"/>
        <w:ind w:firstLine="560" w:firstLineChars="200"/>
        <w:textAlignment w:val="auto"/>
        <w:rPr>
          <w:rFonts w:hint="eastAsia" w:ascii="仿宋_GB2312" w:eastAsia="仿宋_GB2312"/>
          <w:color w:val="000000"/>
          <w:sz w:val="28"/>
          <w:szCs w:val="28"/>
        </w:rPr>
      </w:pPr>
      <w:r>
        <w:rPr>
          <w:rFonts w:hint="eastAsia" w:ascii="仿宋_GB2312" w:eastAsia="仿宋_GB2312"/>
          <w:color w:val="000000"/>
          <w:sz w:val="28"/>
          <w:szCs w:val="28"/>
          <w:lang w:val="en-US" w:eastAsia="zh-CN"/>
        </w:rPr>
        <w:t>9、</w:t>
      </w:r>
      <w:r>
        <w:rPr>
          <w:rFonts w:hint="eastAsia" w:ascii="仿宋_GB2312" w:eastAsia="仿宋_GB2312"/>
          <w:color w:val="000000"/>
          <w:sz w:val="28"/>
          <w:szCs w:val="28"/>
        </w:rPr>
        <w:t>其他有关司法鉴定的法律文件。</w:t>
      </w:r>
    </w:p>
    <w:p>
      <w:pPr>
        <w:pageBreakBefore w:val="0"/>
        <w:kinsoku/>
        <w:wordWrap/>
        <w:overflowPunct/>
        <w:topLinePunct w:val="0"/>
        <w:autoSpaceDE/>
        <w:autoSpaceDN/>
        <w:bidi w:val="0"/>
        <w:adjustRightInd/>
        <w:spacing w:line="500" w:lineRule="exact"/>
        <w:ind w:firstLine="560" w:firstLineChars="200"/>
        <w:textAlignment w:val="auto"/>
        <w:rPr>
          <w:rFonts w:hint="eastAsia" w:ascii="仿宋_GB2312" w:eastAsia="仿宋_GB2312"/>
          <w:color w:val="000000"/>
          <w:sz w:val="28"/>
          <w:szCs w:val="28"/>
        </w:rPr>
      </w:pPr>
      <w:r>
        <w:rPr>
          <w:rFonts w:hint="eastAsia" w:ascii="仿宋_GB2312" w:eastAsia="仿宋_GB2312"/>
          <w:color w:val="000000"/>
          <w:sz w:val="28"/>
          <w:szCs w:val="28"/>
        </w:rPr>
        <w:t>(二)本次估价采用的技术规程</w:t>
      </w:r>
    </w:p>
    <w:p>
      <w:pPr>
        <w:pageBreakBefore w:val="0"/>
        <w:kinsoku/>
        <w:wordWrap/>
        <w:overflowPunct/>
        <w:topLinePunct w:val="0"/>
        <w:autoSpaceDE/>
        <w:autoSpaceDN/>
        <w:bidi w:val="0"/>
        <w:adjustRightInd/>
        <w:spacing w:line="500" w:lineRule="exact"/>
        <w:ind w:firstLine="560" w:firstLineChars="200"/>
        <w:textAlignment w:val="auto"/>
        <w:rPr>
          <w:rFonts w:hint="eastAsia" w:ascii="仿宋_GB2312" w:eastAsia="仿宋_GB2312"/>
          <w:color w:val="000000"/>
          <w:sz w:val="28"/>
          <w:szCs w:val="28"/>
        </w:rPr>
      </w:pPr>
      <w:r>
        <w:rPr>
          <w:rFonts w:hint="eastAsia" w:ascii="仿宋_GB2312" w:eastAsia="仿宋_GB2312"/>
          <w:color w:val="000000"/>
          <w:sz w:val="28"/>
          <w:szCs w:val="28"/>
        </w:rPr>
        <w:t>1、中华人民共和国国家标准GB/T50291-2015《房地产估价规范》；</w:t>
      </w:r>
    </w:p>
    <w:p>
      <w:pPr>
        <w:pageBreakBefore w:val="0"/>
        <w:kinsoku/>
        <w:wordWrap/>
        <w:overflowPunct/>
        <w:topLinePunct w:val="0"/>
        <w:autoSpaceDE/>
        <w:autoSpaceDN/>
        <w:bidi w:val="0"/>
        <w:adjustRightInd/>
        <w:spacing w:line="500" w:lineRule="exact"/>
        <w:ind w:firstLine="560" w:firstLineChars="200"/>
        <w:textAlignment w:val="auto"/>
        <w:rPr>
          <w:rFonts w:hint="eastAsia" w:ascii="仿宋_GB2312" w:eastAsia="仿宋_GB2312"/>
          <w:color w:val="000000"/>
          <w:sz w:val="28"/>
          <w:szCs w:val="28"/>
        </w:rPr>
      </w:pPr>
      <w:r>
        <w:rPr>
          <w:rFonts w:hint="eastAsia" w:ascii="仿宋_GB2312" w:eastAsia="仿宋_GB2312"/>
          <w:color w:val="000000"/>
          <w:sz w:val="28"/>
          <w:szCs w:val="28"/>
        </w:rPr>
        <w:t>2、中华人民共和国国家标准GB/T-18508-2014《城镇土地估价规程》；</w:t>
      </w:r>
    </w:p>
    <w:p>
      <w:pPr>
        <w:pageBreakBefore w:val="0"/>
        <w:kinsoku/>
        <w:wordWrap/>
        <w:overflowPunct/>
        <w:topLinePunct w:val="0"/>
        <w:autoSpaceDE/>
        <w:autoSpaceDN/>
        <w:bidi w:val="0"/>
        <w:adjustRightInd/>
        <w:spacing w:line="500" w:lineRule="exact"/>
        <w:ind w:firstLine="560" w:firstLineChars="200"/>
        <w:textAlignment w:val="auto"/>
        <w:rPr>
          <w:rFonts w:hint="eastAsia" w:ascii="仿宋_GB2312" w:eastAsia="仿宋_GB2312"/>
          <w:color w:val="000000"/>
          <w:sz w:val="28"/>
          <w:szCs w:val="28"/>
        </w:rPr>
      </w:pPr>
      <w:r>
        <w:rPr>
          <w:rFonts w:hint="eastAsia" w:ascii="仿宋_GB2312" w:eastAsia="仿宋_GB2312"/>
          <w:color w:val="000000"/>
          <w:sz w:val="28"/>
          <w:szCs w:val="28"/>
        </w:rPr>
        <w:t>3、中华人民共和国国家标准GB/T50899-2013《房地产估价基本术语标准》；</w:t>
      </w:r>
    </w:p>
    <w:p>
      <w:pPr>
        <w:pageBreakBefore w:val="0"/>
        <w:kinsoku/>
        <w:wordWrap/>
        <w:overflowPunct/>
        <w:topLinePunct w:val="0"/>
        <w:autoSpaceDE/>
        <w:autoSpaceDN/>
        <w:bidi w:val="0"/>
        <w:adjustRightInd/>
        <w:spacing w:line="50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4、《浙江省房地产司法评估指导意见</w:t>
      </w:r>
      <w:r>
        <w:rPr>
          <w:rFonts w:hint="eastAsia" w:ascii="仿宋_GB2312" w:eastAsia="仿宋_GB2312"/>
          <w:color w:val="000000"/>
          <w:sz w:val="28"/>
          <w:szCs w:val="28"/>
          <w:lang w:eastAsia="zh-CN"/>
        </w:rPr>
        <w:t>(</w:t>
      </w:r>
      <w:r>
        <w:rPr>
          <w:rFonts w:hint="eastAsia" w:ascii="仿宋_GB2312" w:eastAsia="仿宋_GB2312"/>
          <w:color w:val="000000"/>
          <w:sz w:val="28"/>
          <w:szCs w:val="28"/>
        </w:rPr>
        <w:t>试行</w:t>
      </w:r>
      <w:r>
        <w:rPr>
          <w:rFonts w:hint="eastAsia" w:ascii="仿宋_GB2312" w:eastAsia="仿宋_GB2312"/>
          <w:color w:val="000000"/>
          <w:sz w:val="28"/>
          <w:szCs w:val="28"/>
          <w:lang w:eastAsia="zh-CN"/>
        </w:rPr>
        <w:t>)</w:t>
      </w:r>
      <w:r>
        <w:rPr>
          <w:rFonts w:hint="eastAsia" w:ascii="仿宋_GB2312" w:eastAsia="仿宋_GB2312"/>
          <w:color w:val="000000"/>
          <w:sz w:val="28"/>
          <w:szCs w:val="28"/>
        </w:rPr>
        <w:t>》</w:t>
      </w:r>
      <w:r>
        <w:rPr>
          <w:rFonts w:hint="eastAsia" w:ascii="仿宋_GB2312" w:eastAsia="仿宋_GB2312"/>
          <w:color w:val="000000"/>
          <w:sz w:val="28"/>
          <w:szCs w:val="28"/>
          <w:lang w:eastAsia="zh-CN"/>
        </w:rPr>
        <w:t>(</w:t>
      </w:r>
      <w:r>
        <w:rPr>
          <w:rFonts w:hint="eastAsia" w:ascii="仿宋_GB2312" w:eastAsia="仿宋_GB2312"/>
          <w:color w:val="000000"/>
          <w:sz w:val="28"/>
          <w:szCs w:val="28"/>
        </w:rPr>
        <w:t>浙估协〔2018〕66号</w:t>
      </w:r>
      <w:r>
        <w:rPr>
          <w:rFonts w:hint="eastAsia" w:ascii="仿宋_GB2312" w:eastAsia="仿宋_GB2312"/>
          <w:color w:val="000000"/>
          <w:sz w:val="28"/>
          <w:szCs w:val="28"/>
          <w:lang w:eastAsia="zh-CN"/>
        </w:rPr>
        <w:t>)</w:t>
      </w:r>
      <w:r>
        <w:rPr>
          <w:rFonts w:hint="eastAsia" w:ascii="仿宋_GB2312" w:eastAsia="仿宋_GB2312"/>
          <w:color w:val="000000"/>
          <w:sz w:val="28"/>
          <w:szCs w:val="28"/>
        </w:rPr>
        <w:t>。</w:t>
      </w:r>
    </w:p>
    <w:p>
      <w:pPr>
        <w:pageBreakBefore w:val="0"/>
        <w:kinsoku/>
        <w:wordWrap/>
        <w:overflowPunct/>
        <w:topLinePunct w:val="0"/>
        <w:autoSpaceDE/>
        <w:autoSpaceDN/>
        <w:bidi w:val="0"/>
        <w:adjustRightInd/>
        <w:spacing w:line="500" w:lineRule="exact"/>
        <w:ind w:firstLine="560" w:firstLineChars="200"/>
        <w:textAlignment w:val="auto"/>
        <w:rPr>
          <w:rFonts w:ascii="仿宋_GB2312" w:eastAsia="仿宋_GB2312"/>
          <w:color w:val="000000"/>
          <w:sz w:val="28"/>
          <w:szCs w:val="28"/>
        </w:rPr>
      </w:pPr>
      <w:r>
        <w:rPr>
          <w:rFonts w:ascii="仿宋_GB2312" w:eastAsia="仿宋_GB2312"/>
          <w:color w:val="000000"/>
          <w:sz w:val="28"/>
          <w:szCs w:val="28"/>
        </w:rPr>
        <w:t>(</w:t>
      </w:r>
      <w:r>
        <w:rPr>
          <w:rFonts w:hint="eastAsia" w:ascii="仿宋_GB2312" w:eastAsia="仿宋_GB2312"/>
          <w:color w:val="000000"/>
          <w:sz w:val="28"/>
          <w:szCs w:val="28"/>
        </w:rPr>
        <w:t>三</w:t>
      </w:r>
      <w:r>
        <w:rPr>
          <w:rFonts w:ascii="仿宋_GB2312" w:eastAsia="仿宋_GB2312"/>
          <w:color w:val="000000"/>
          <w:sz w:val="28"/>
          <w:szCs w:val="28"/>
        </w:rPr>
        <w:t>)</w:t>
      </w:r>
      <w:r>
        <w:rPr>
          <w:rFonts w:hint="eastAsia" w:ascii="仿宋_GB2312" w:eastAsia="仿宋_GB2312"/>
          <w:color w:val="000000"/>
          <w:sz w:val="28"/>
          <w:szCs w:val="28"/>
        </w:rPr>
        <w:t>估价委托人提供的有关资料</w:t>
      </w:r>
    </w:p>
    <w:p>
      <w:pPr>
        <w:pageBreakBefore w:val="0"/>
        <w:kinsoku/>
        <w:wordWrap/>
        <w:overflowPunct/>
        <w:topLinePunct w:val="0"/>
        <w:autoSpaceDE/>
        <w:autoSpaceDN/>
        <w:bidi w:val="0"/>
        <w:adjustRightInd/>
        <w:spacing w:line="500" w:lineRule="exact"/>
        <w:ind w:firstLine="560" w:firstLineChars="200"/>
        <w:textAlignment w:val="auto"/>
        <w:rPr>
          <w:rFonts w:ascii="仿宋_GB2312" w:eastAsia="仿宋_GB2312"/>
          <w:color w:val="000000"/>
          <w:sz w:val="28"/>
          <w:szCs w:val="28"/>
        </w:rPr>
      </w:pPr>
      <w:r>
        <w:rPr>
          <w:rFonts w:ascii="仿宋_GB2312" w:eastAsia="仿宋_GB2312"/>
          <w:color w:val="000000"/>
          <w:sz w:val="28"/>
          <w:szCs w:val="28"/>
        </w:rPr>
        <w:t>1</w:t>
      </w:r>
      <w:r>
        <w:rPr>
          <w:rFonts w:hint="eastAsia" w:ascii="仿宋_GB2312" w:eastAsia="仿宋_GB2312"/>
          <w:color w:val="000000"/>
          <w:sz w:val="28"/>
          <w:szCs w:val="28"/>
        </w:rPr>
        <w:t>、</w:t>
      </w:r>
      <w:r>
        <w:rPr>
          <w:rFonts w:hint="eastAsia" w:ascii="仿宋_GB2312" w:hAnsi="Plotter" w:eastAsia="仿宋_GB2312"/>
          <w:color w:val="000000"/>
          <w:sz w:val="28"/>
          <w:szCs w:val="28"/>
        </w:rPr>
        <w:t>《司法评估委托书》</w:t>
      </w:r>
      <w:r>
        <w:rPr>
          <w:rFonts w:hint="eastAsia" w:ascii="仿宋_GB2312" w:eastAsia="仿宋_GB2312"/>
          <w:color w:val="000000"/>
          <w:sz w:val="28"/>
          <w:szCs w:val="28"/>
        </w:rPr>
        <w:t>；</w:t>
      </w:r>
    </w:p>
    <w:p>
      <w:pPr>
        <w:pageBreakBefore w:val="0"/>
        <w:kinsoku/>
        <w:wordWrap/>
        <w:overflowPunct/>
        <w:topLinePunct w:val="0"/>
        <w:autoSpaceDE/>
        <w:autoSpaceDN/>
        <w:bidi w:val="0"/>
        <w:adjustRightInd/>
        <w:spacing w:line="500" w:lineRule="exact"/>
        <w:ind w:firstLine="560" w:firstLineChars="200"/>
        <w:textAlignment w:val="auto"/>
        <w:rPr>
          <w:rFonts w:hint="eastAsia" w:ascii="仿宋_GB2312" w:eastAsia="仿宋_GB2312"/>
          <w:color w:val="000000"/>
          <w:sz w:val="28"/>
          <w:szCs w:val="28"/>
          <w:lang w:eastAsia="zh-CN"/>
        </w:rPr>
      </w:pPr>
      <w:r>
        <w:rPr>
          <w:rFonts w:ascii="仿宋_GB2312" w:eastAsia="仿宋_GB2312"/>
          <w:color w:val="000000"/>
          <w:sz w:val="28"/>
          <w:szCs w:val="28"/>
        </w:rPr>
        <w:t>2</w:t>
      </w:r>
      <w:r>
        <w:rPr>
          <w:rFonts w:hint="eastAsia" w:ascii="仿宋_GB2312" w:eastAsia="仿宋_GB2312"/>
          <w:color w:val="000000"/>
          <w:sz w:val="28"/>
          <w:szCs w:val="28"/>
          <w:lang w:eastAsia="zh-CN"/>
        </w:rPr>
        <w:t>、</w:t>
      </w:r>
      <w:r>
        <w:rPr>
          <w:rFonts w:hint="eastAsia" w:ascii="仿宋_GB2312" w:hAnsi="宋体" w:eastAsia="仿宋_GB2312" w:cs="Times New Roman"/>
          <w:sz w:val="28"/>
          <w:szCs w:val="28"/>
          <w:lang w:eastAsia="zh-CN"/>
        </w:rPr>
        <w:t>民和回族土族自治县</w:t>
      </w:r>
      <w:r>
        <w:rPr>
          <w:rFonts w:hint="eastAsia" w:ascii="仿宋_GB2312" w:hAnsi="宋体" w:eastAsia="仿宋_GB2312" w:cs="Times New Roman"/>
          <w:sz w:val="28"/>
          <w:szCs w:val="28"/>
          <w:lang w:val="en-US" w:eastAsia="zh-CN"/>
        </w:rPr>
        <w:t>房产管理局出具的《回复函》复印件；</w:t>
      </w:r>
    </w:p>
    <w:p>
      <w:pPr>
        <w:pageBreakBefore w:val="0"/>
        <w:kinsoku/>
        <w:wordWrap/>
        <w:overflowPunct/>
        <w:topLinePunct w:val="0"/>
        <w:autoSpaceDE/>
        <w:autoSpaceDN/>
        <w:bidi w:val="0"/>
        <w:adjustRightInd/>
        <w:spacing w:line="500" w:lineRule="exact"/>
        <w:ind w:firstLine="560" w:firstLineChars="200"/>
        <w:textAlignment w:val="auto"/>
        <w:rPr>
          <w:rFonts w:ascii="仿宋_GB2312" w:eastAsia="仿宋_GB2312"/>
          <w:color w:val="000000"/>
          <w:sz w:val="28"/>
          <w:szCs w:val="28"/>
        </w:rPr>
      </w:pPr>
      <w:r>
        <w:rPr>
          <w:rFonts w:ascii="仿宋_GB2312" w:eastAsia="仿宋_GB2312"/>
          <w:color w:val="000000"/>
          <w:sz w:val="28"/>
          <w:szCs w:val="28"/>
        </w:rPr>
        <w:t>3</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测绘成果报告书</w:t>
      </w:r>
      <w:r>
        <w:rPr>
          <w:rFonts w:hint="eastAsia" w:ascii="仿宋_GB2312" w:eastAsia="仿宋_GB2312"/>
          <w:color w:val="000000"/>
          <w:sz w:val="28"/>
          <w:szCs w:val="28"/>
          <w:lang w:eastAsia="zh-CN"/>
        </w:rPr>
        <w:t>》</w:t>
      </w:r>
      <w:r>
        <w:rPr>
          <w:rFonts w:hint="eastAsia" w:ascii="仿宋_GB2312" w:eastAsia="仿宋_GB2312"/>
          <w:color w:val="000000"/>
          <w:sz w:val="28"/>
          <w:szCs w:val="28"/>
        </w:rPr>
        <w:t>复印件；</w:t>
      </w:r>
    </w:p>
    <w:p>
      <w:pPr>
        <w:pageBreakBefore w:val="0"/>
        <w:kinsoku/>
        <w:wordWrap/>
        <w:overflowPunct/>
        <w:topLinePunct w:val="0"/>
        <w:autoSpaceDE/>
        <w:autoSpaceDN/>
        <w:bidi w:val="0"/>
        <w:adjustRightInd/>
        <w:spacing w:line="50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lang w:val="en-US" w:eastAsia="zh-CN"/>
        </w:rPr>
        <w:t>4</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项目</w:t>
      </w:r>
      <w:r>
        <w:rPr>
          <w:rFonts w:hint="eastAsia" w:ascii="仿宋_GB2312" w:eastAsia="仿宋_GB2312"/>
          <w:color w:val="000000"/>
          <w:sz w:val="28"/>
          <w:szCs w:val="28"/>
        </w:rPr>
        <w:t>《国有土地使用证》</w:t>
      </w:r>
      <w:r>
        <w:rPr>
          <w:rFonts w:hint="eastAsia" w:ascii="仿宋_GB2312" w:eastAsia="仿宋_GB2312"/>
          <w:color w:val="000000"/>
          <w:sz w:val="28"/>
          <w:szCs w:val="28"/>
          <w:lang w:eastAsia="zh-CN"/>
        </w:rPr>
        <w:t>、</w:t>
      </w:r>
      <w:r>
        <w:rPr>
          <w:rFonts w:hint="eastAsia" w:ascii="仿宋_GB2312" w:eastAsia="仿宋_GB2312"/>
          <w:color w:val="000000"/>
          <w:sz w:val="28"/>
          <w:szCs w:val="28"/>
        </w:rPr>
        <w:t>《</w:t>
      </w:r>
      <w:r>
        <w:rPr>
          <w:rFonts w:hint="eastAsia" w:ascii="仿宋_GB2312" w:eastAsia="仿宋_GB2312"/>
          <w:color w:val="000000"/>
          <w:sz w:val="28"/>
          <w:szCs w:val="28"/>
          <w:lang w:eastAsia="zh-CN"/>
        </w:rPr>
        <w:t>建设工程规划许可证</w:t>
      </w:r>
      <w:r>
        <w:rPr>
          <w:rFonts w:hint="eastAsia" w:ascii="仿宋_GB2312" w:eastAsia="仿宋_GB2312"/>
          <w:color w:val="000000"/>
          <w:sz w:val="28"/>
          <w:szCs w:val="28"/>
        </w:rPr>
        <w:t>》</w:t>
      </w:r>
      <w:r>
        <w:rPr>
          <w:rFonts w:hint="eastAsia" w:ascii="仿宋_GB2312" w:eastAsia="仿宋_GB2312"/>
          <w:color w:val="000000"/>
          <w:sz w:val="28"/>
          <w:szCs w:val="28"/>
          <w:lang w:eastAsia="zh-CN"/>
        </w:rPr>
        <w:t>等</w:t>
      </w:r>
      <w:r>
        <w:rPr>
          <w:rFonts w:hint="eastAsia" w:ascii="仿宋_GB2312" w:eastAsia="仿宋_GB2312"/>
          <w:color w:val="000000"/>
          <w:sz w:val="28"/>
          <w:szCs w:val="28"/>
        </w:rPr>
        <w:t>复印件。</w:t>
      </w:r>
    </w:p>
    <w:p>
      <w:pPr>
        <w:pageBreakBefore w:val="0"/>
        <w:kinsoku/>
        <w:wordWrap/>
        <w:overflowPunct/>
        <w:topLinePunct w:val="0"/>
        <w:autoSpaceDE/>
        <w:autoSpaceDN/>
        <w:bidi w:val="0"/>
        <w:adjustRightInd/>
        <w:spacing w:line="500" w:lineRule="exact"/>
        <w:ind w:firstLine="560" w:firstLineChars="200"/>
        <w:textAlignment w:val="auto"/>
        <w:rPr>
          <w:rFonts w:ascii="仿宋_GB2312" w:hAnsi="Tahoma" w:eastAsia="仿宋_GB2312" w:cs="Tahoma"/>
          <w:color w:val="666666"/>
          <w:kern w:val="0"/>
          <w:sz w:val="28"/>
          <w:szCs w:val="28"/>
        </w:rPr>
      </w:pPr>
      <w:r>
        <w:rPr>
          <w:rFonts w:ascii="仿宋_GB2312" w:eastAsia="仿宋_GB2312"/>
          <w:color w:val="000000"/>
          <w:sz w:val="28"/>
          <w:szCs w:val="28"/>
        </w:rPr>
        <w:t>(</w:t>
      </w:r>
      <w:r>
        <w:rPr>
          <w:rFonts w:hint="eastAsia" w:ascii="仿宋_GB2312" w:eastAsia="仿宋_GB2312"/>
          <w:color w:val="000000"/>
          <w:sz w:val="28"/>
          <w:szCs w:val="28"/>
        </w:rPr>
        <w:t>四</w:t>
      </w:r>
      <w:r>
        <w:rPr>
          <w:rFonts w:ascii="仿宋_GB2312" w:eastAsia="仿宋_GB2312"/>
          <w:color w:val="000000"/>
          <w:sz w:val="28"/>
          <w:szCs w:val="28"/>
        </w:rPr>
        <w:t>)</w:t>
      </w:r>
      <w:r>
        <w:rPr>
          <w:rFonts w:hint="eastAsia" w:ascii="仿宋_GB2312" w:eastAsia="仿宋_GB2312"/>
          <w:color w:val="000000"/>
          <w:sz w:val="28"/>
          <w:szCs w:val="28"/>
        </w:rPr>
        <w:t>房地产估价机构和估价人员所搜集掌握的有关资料</w:t>
      </w:r>
    </w:p>
    <w:p>
      <w:pPr>
        <w:pageBreakBefore w:val="0"/>
        <w:widowControl/>
        <w:kinsoku/>
        <w:wordWrap/>
        <w:overflowPunct/>
        <w:topLinePunct w:val="0"/>
        <w:autoSpaceDE/>
        <w:autoSpaceDN/>
        <w:bidi w:val="0"/>
        <w:adjustRightInd/>
        <w:spacing w:line="500" w:lineRule="exact"/>
        <w:ind w:firstLine="560" w:firstLineChars="200"/>
        <w:jc w:val="left"/>
        <w:textAlignment w:val="auto"/>
        <w:rPr>
          <w:rFonts w:ascii="仿宋_GB2312" w:hAnsi="Tahoma" w:eastAsia="仿宋_GB2312" w:cs="Tahoma"/>
          <w:color w:val="666666"/>
          <w:kern w:val="0"/>
          <w:sz w:val="28"/>
          <w:szCs w:val="28"/>
        </w:rPr>
      </w:pPr>
      <w:r>
        <w:rPr>
          <w:rFonts w:ascii="仿宋_GB2312" w:hAnsi="Tahoma" w:eastAsia="仿宋_GB2312" w:cs="Tahoma"/>
          <w:color w:val="000000"/>
          <w:kern w:val="0"/>
          <w:sz w:val="28"/>
          <w:szCs w:val="28"/>
        </w:rPr>
        <w:t>1</w:t>
      </w:r>
      <w:r>
        <w:rPr>
          <w:rFonts w:hint="eastAsia" w:ascii="仿宋_GB2312" w:hAnsi="Tahoma" w:eastAsia="仿宋_GB2312" w:cs="Tahoma"/>
          <w:color w:val="000000"/>
          <w:kern w:val="0"/>
          <w:sz w:val="28"/>
          <w:szCs w:val="28"/>
        </w:rPr>
        <w:t>、估价人员现场实地勘查、搜集和记录、整理的相关资料；</w:t>
      </w:r>
    </w:p>
    <w:p>
      <w:pPr>
        <w:pageBreakBefore w:val="0"/>
        <w:widowControl/>
        <w:kinsoku/>
        <w:wordWrap/>
        <w:overflowPunct/>
        <w:topLinePunct w:val="0"/>
        <w:autoSpaceDE/>
        <w:autoSpaceDN/>
        <w:bidi w:val="0"/>
        <w:adjustRightInd/>
        <w:spacing w:line="500" w:lineRule="exact"/>
        <w:ind w:firstLine="560" w:firstLineChars="200"/>
        <w:jc w:val="left"/>
        <w:textAlignment w:val="auto"/>
        <w:rPr>
          <w:rFonts w:ascii="仿宋_GB2312" w:hAnsi="Tahoma" w:eastAsia="仿宋_GB2312" w:cs="Tahoma"/>
          <w:color w:val="666666"/>
          <w:kern w:val="0"/>
          <w:sz w:val="28"/>
          <w:szCs w:val="28"/>
        </w:rPr>
      </w:pPr>
      <w:r>
        <w:rPr>
          <w:rFonts w:ascii="仿宋_GB2312" w:hAnsi="Tahoma" w:eastAsia="仿宋_GB2312" w:cs="Tahoma"/>
          <w:color w:val="000000"/>
          <w:kern w:val="0"/>
          <w:sz w:val="28"/>
          <w:szCs w:val="28"/>
        </w:rPr>
        <w:t>2</w:t>
      </w:r>
      <w:r>
        <w:rPr>
          <w:rFonts w:hint="eastAsia" w:ascii="仿宋_GB2312" w:hAnsi="Tahoma" w:eastAsia="仿宋_GB2312" w:cs="Tahoma"/>
          <w:color w:val="000000"/>
          <w:kern w:val="0"/>
          <w:sz w:val="28"/>
          <w:szCs w:val="28"/>
        </w:rPr>
        <w:t>、估价人员收集的</w:t>
      </w:r>
      <w:r>
        <w:rPr>
          <w:rFonts w:hint="eastAsia" w:ascii="仿宋_GB2312" w:hAnsi="宋体" w:eastAsia="仿宋_GB2312"/>
          <w:sz w:val="28"/>
          <w:szCs w:val="28"/>
        </w:rPr>
        <w:t>各类建筑的造价</w:t>
      </w:r>
      <w:r>
        <w:rPr>
          <w:rFonts w:hint="eastAsia" w:ascii="仿宋_GB2312" w:hAnsi="Tahoma" w:eastAsia="仿宋_GB2312" w:cs="Tahoma"/>
          <w:color w:val="000000"/>
          <w:kern w:val="0"/>
          <w:sz w:val="28"/>
          <w:szCs w:val="28"/>
        </w:rPr>
        <w:t>等方面资料；</w:t>
      </w:r>
    </w:p>
    <w:p>
      <w:pPr>
        <w:pageBreakBefore w:val="0"/>
        <w:widowControl/>
        <w:kinsoku/>
        <w:wordWrap/>
        <w:overflowPunct/>
        <w:topLinePunct w:val="0"/>
        <w:autoSpaceDE/>
        <w:autoSpaceDN/>
        <w:bidi w:val="0"/>
        <w:adjustRightInd/>
        <w:spacing w:line="500" w:lineRule="exact"/>
        <w:ind w:firstLine="560" w:firstLineChars="200"/>
        <w:jc w:val="left"/>
        <w:textAlignment w:val="auto"/>
        <w:rPr>
          <w:rFonts w:ascii="仿宋_GB2312" w:hAnsi="宋体" w:eastAsia="仿宋_GB2312"/>
          <w:sz w:val="28"/>
          <w:szCs w:val="28"/>
        </w:rPr>
      </w:pPr>
      <w:r>
        <w:rPr>
          <w:rFonts w:ascii="仿宋_GB2312" w:hAnsi="Tahoma" w:eastAsia="仿宋_GB2312" w:cs="Tahoma"/>
          <w:color w:val="000000"/>
          <w:kern w:val="0"/>
          <w:sz w:val="28"/>
          <w:szCs w:val="28"/>
        </w:rPr>
        <w:t>3</w:t>
      </w:r>
      <w:r>
        <w:rPr>
          <w:rFonts w:hint="eastAsia" w:ascii="仿宋_GB2312" w:hAnsi="Tahoma" w:eastAsia="仿宋_GB2312" w:cs="Tahoma"/>
          <w:color w:val="000000"/>
          <w:kern w:val="0"/>
          <w:sz w:val="28"/>
          <w:szCs w:val="28"/>
        </w:rPr>
        <w:t>、本估价机构掌握的房地产市场资料。</w:t>
      </w:r>
    </w:p>
    <w:p>
      <w:pPr>
        <w:pStyle w:val="3"/>
        <w:pageBreakBefore w:val="0"/>
        <w:kinsoku/>
        <w:wordWrap/>
        <w:overflowPunct/>
        <w:topLinePunct w:val="0"/>
        <w:autoSpaceDE/>
        <w:autoSpaceDN/>
        <w:bidi w:val="0"/>
        <w:adjustRightInd/>
        <w:spacing w:before="0" w:after="0" w:line="500" w:lineRule="exact"/>
        <w:ind w:firstLine="562" w:firstLineChars="200"/>
        <w:textAlignment w:val="auto"/>
        <w:rPr>
          <w:rFonts w:ascii="仿宋_GB2312" w:hAnsi="宋体" w:eastAsia="仿宋_GB2312"/>
          <w:sz w:val="28"/>
          <w:szCs w:val="28"/>
        </w:rPr>
      </w:pPr>
      <w:bookmarkStart w:id="10" w:name="_Toc476334917"/>
      <w:r>
        <w:rPr>
          <w:rFonts w:hint="eastAsia" w:ascii="仿宋_GB2312" w:hAnsi="宋体" w:eastAsia="仿宋_GB2312"/>
          <w:sz w:val="28"/>
          <w:szCs w:val="28"/>
        </w:rPr>
        <w:t>八、估价原则</w:t>
      </w:r>
      <w:bookmarkEnd w:id="10"/>
    </w:p>
    <w:p>
      <w:pPr>
        <w:pageBreakBefore w:val="0"/>
        <w:kinsoku/>
        <w:wordWrap/>
        <w:overflowPunct/>
        <w:topLinePunct w:val="0"/>
        <w:autoSpaceDE/>
        <w:autoSpaceDN/>
        <w:bidi w:val="0"/>
        <w:adjustRightInd/>
        <w:spacing w:line="500" w:lineRule="exact"/>
        <w:ind w:firstLine="560" w:firstLineChars="200"/>
        <w:textAlignment w:val="auto"/>
        <w:rPr>
          <w:rFonts w:ascii="仿宋_GB2312" w:eastAsia="仿宋_GB2312"/>
          <w:sz w:val="28"/>
          <w:szCs w:val="28"/>
        </w:rPr>
      </w:pPr>
      <w:r>
        <w:rPr>
          <w:rFonts w:hint="eastAsia" w:ascii="仿宋_GB2312" w:hAnsi="Tahoma" w:eastAsia="仿宋_GB2312" w:cs="Tahoma"/>
          <w:color w:val="000000"/>
          <w:kern w:val="0"/>
          <w:sz w:val="28"/>
          <w:szCs w:val="28"/>
        </w:rPr>
        <w:t>本估价报告在遵循</w:t>
      </w:r>
      <w:r>
        <w:rPr>
          <w:rFonts w:hint="eastAsia" w:ascii="仿宋_GB2312" w:eastAsia="仿宋_GB2312"/>
          <w:sz w:val="28"/>
          <w:szCs w:val="28"/>
        </w:rPr>
        <w:t>客观、独立、公正</w:t>
      </w:r>
      <w:r>
        <w:rPr>
          <w:rFonts w:hint="eastAsia" w:ascii="仿宋_GB2312" w:hAnsi="Tahoma" w:eastAsia="仿宋_GB2312" w:cs="Tahoma"/>
          <w:color w:val="000000"/>
          <w:kern w:val="0"/>
          <w:sz w:val="28"/>
          <w:szCs w:val="28"/>
        </w:rPr>
        <w:t>、科学、合理的基本原则下，结合估价目的对估价对象进行估价。具体依据如下估价原则：</w:t>
      </w:r>
    </w:p>
    <w:p>
      <w:pPr>
        <w:pageBreakBefore w:val="0"/>
        <w:kinsoku/>
        <w:wordWrap/>
        <w:overflowPunct/>
        <w:topLinePunct w:val="0"/>
        <w:autoSpaceDE/>
        <w:autoSpaceDN/>
        <w:bidi w:val="0"/>
        <w:adjustRightInd/>
        <w:spacing w:line="500" w:lineRule="exact"/>
        <w:ind w:firstLine="536" w:firstLineChars="200"/>
        <w:textAlignment w:val="auto"/>
        <w:rPr>
          <w:rFonts w:ascii="仿宋_GB2312" w:eastAsia="仿宋_GB2312"/>
          <w:sz w:val="28"/>
          <w:szCs w:val="28"/>
        </w:rPr>
      </w:pPr>
      <w:r>
        <w:rPr>
          <w:rFonts w:ascii="仿宋_GB2312" w:hAnsi="仿宋_GB2312" w:eastAsia="仿宋_GB2312" w:cs="仿宋_GB2312"/>
          <w:spacing w:val="-6"/>
          <w:sz w:val="28"/>
          <w:szCs w:val="28"/>
        </w:rPr>
        <w:t>(</w:t>
      </w:r>
      <w:r>
        <w:rPr>
          <w:rFonts w:hint="eastAsia" w:ascii="仿宋_GB2312" w:hAnsi="仿宋_GB2312" w:eastAsia="仿宋_GB2312" w:cs="仿宋_GB2312"/>
          <w:spacing w:val="-6"/>
          <w:sz w:val="28"/>
          <w:szCs w:val="28"/>
        </w:rPr>
        <w:t>一</w:t>
      </w:r>
      <w:r>
        <w:rPr>
          <w:rFonts w:ascii="仿宋_GB2312" w:hAnsi="仿宋_GB2312" w:eastAsia="仿宋_GB2312" w:cs="仿宋_GB2312"/>
          <w:spacing w:val="-6"/>
          <w:sz w:val="28"/>
          <w:szCs w:val="28"/>
        </w:rPr>
        <w:t>)</w:t>
      </w:r>
      <w:r>
        <w:rPr>
          <w:rFonts w:hint="eastAsia" w:ascii="仿宋_GB2312" w:eastAsia="仿宋_GB2312"/>
          <w:sz w:val="28"/>
          <w:szCs w:val="28"/>
        </w:rPr>
        <w:t>客观、独立、公正原则</w:t>
      </w:r>
    </w:p>
    <w:p>
      <w:pPr>
        <w:pageBreakBefore w:val="0"/>
        <w:kinsoku/>
        <w:wordWrap/>
        <w:overflowPunct/>
        <w:topLinePunct w:val="0"/>
        <w:autoSpaceDE/>
        <w:autoSpaceDN/>
        <w:bidi w:val="0"/>
        <w:adjustRightInd/>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要求站在中立的立场上，实事求是、公平正直地评估出对各方估价利害关系人均是公平合理的价值或价格的原则。</w:t>
      </w:r>
    </w:p>
    <w:p>
      <w:pPr>
        <w:pageBreakBefore w:val="0"/>
        <w:kinsoku/>
        <w:wordWrap/>
        <w:overflowPunct/>
        <w:topLinePunct w:val="0"/>
        <w:autoSpaceDE/>
        <w:autoSpaceDN/>
        <w:bidi w:val="0"/>
        <w:adjustRightInd/>
        <w:spacing w:line="500" w:lineRule="exact"/>
        <w:ind w:firstLine="536" w:firstLineChars="200"/>
        <w:textAlignment w:val="auto"/>
        <w:rPr>
          <w:rFonts w:ascii="仿宋_GB2312" w:eastAsia="仿宋_GB2312"/>
          <w:sz w:val="28"/>
          <w:szCs w:val="28"/>
        </w:rPr>
      </w:pPr>
      <w:r>
        <w:rPr>
          <w:rFonts w:ascii="仿宋_GB2312" w:hAnsi="仿宋_GB2312" w:eastAsia="仿宋_GB2312" w:cs="仿宋_GB2312"/>
          <w:spacing w:val="-6"/>
          <w:sz w:val="28"/>
          <w:szCs w:val="28"/>
        </w:rPr>
        <w:t>(</w:t>
      </w:r>
      <w:r>
        <w:rPr>
          <w:rFonts w:hint="eastAsia" w:ascii="仿宋_GB2312" w:hAnsi="仿宋_GB2312" w:eastAsia="仿宋_GB2312" w:cs="仿宋_GB2312"/>
          <w:spacing w:val="-6"/>
          <w:sz w:val="28"/>
          <w:szCs w:val="28"/>
        </w:rPr>
        <w:t>二</w:t>
      </w:r>
      <w:r>
        <w:rPr>
          <w:rFonts w:ascii="仿宋_GB2312" w:hAnsi="仿宋_GB2312" w:eastAsia="仿宋_GB2312" w:cs="仿宋_GB2312"/>
          <w:spacing w:val="-6"/>
          <w:sz w:val="28"/>
          <w:szCs w:val="28"/>
        </w:rPr>
        <w:t>)</w:t>
      </w:r>
      <w:r>
        <w:rPr>
          <w:rFonts w:hint="eastAsia" w:ascii="仿宋_GB2312" w:eastAsia="仿宋_GB2312"/>
          <w:sz w:val="28"/>
          <w:szCs w:val="28"/>
        </w:rPr>
        <w:t>合法原则</w:t>
      </w:r>
    </w:p>
    <w:p>
      <w:pPr>
        <w:pageBreakBefore w:val="0"/>
        <w:kinsoku/>
        <w:wordWrap/>
        <w:overflowPunct/>
        <w:topLinePunct w:val="0"/>
        <w:autoSpaceDE/>
        <w:autoSpaceDN/>
        <w:bidi w:val="0"/>
        <w:adjustRightInd/>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要求估价结果是在依法判定的估价对象状况下的价值或价格的原则。</w:t>
      </w:r>
    </w:p>
    <w:p>
      <w:pPr>
        <w:pageBreakBefore w:val="0"/>
        <w:kinsoku/>
        <w:wordWrap/>
        <w:overflowPunct/>
        <w:topLinePunct w:val="0"/>
        <w:autoSpaceDE/>
        <w:autoSpaceDN/>
        <w:bidi w:val="0"/>
        <w:adjustRightInd/>
        <w:spacing w:line="500" w:lineRule="exact"/>
        <w:ind w:firstLine="536" w:firstLineChars="200"/>
        <w:textAlignment w:val="auto"/>
        <w:rPr>
          <w:rFonts w:ascii="仿宋_GB2312" w:eastAsia="仿宋_GB2312"/>
          <w:sz w:val="28"/>
          <w:szCs w:val="28"/>
        </w:rPr>
      </w:pPr>
      <w:r>
        <w:rPr>
          <w:rFonts w:ascii="仿宋_GB2312" w:hAnsi="仿宋_GB2312" w:eastAsia="仿宋_GB2312" w:cs="仿宋_GB2312"/>
          <w:spacing w:val="-6"/>
          <w:sz w:val="28"/>
          <w:szCs w:val="28"/>
        </w:rPr>
        <w:t>(</w:t>
      </w:r>
      <w:r>
        <w:rPr>
          <w:rFonts w:hint="eastAsia" w:ascii="仿宋_GB2312" w:hAnsi="仿宋_GB2312" w:eastAsia="仿宋_GB2312" w:cs="仿宋_GB2312"/>
          <w:spacing w:val="-6"/>
          <w:sz w:val="28"/>
          <w:szCs w:val="28"/>
        </w:rPr>
        <w:t>三</w:t>
      </w:r>
      <w:r>
        <w:rPr>
          <w:rFonts w:ascii="仿宋_GB2312" w:hAnsi="仿宋_GB2312" w:eastAsia="仿宋_GB2312" w:cs="仿宋_GB2312"/>
          <w:spacing w:val="-6"/>
          <w:sz w:val="28"/>
          <w:szCs w:val="28"/>
        </w:rPr>
        <w:t>)</w:t>
      </w:r>
      <w:r>
        <w:rPr>
          <w:rFonts w:hint="eastAsia" w:ascii="仿宋_GB2312" w:eastAsia="仿宋_GB2312"/>
          <w:sz w:val="28"/>
          <w:szCs w:val="28"/>
        </w:rPr>
        <w:t>价值时点原则</w:t>
      </w:r>
    </w:p>
    <w:p>
      <w:pPr>
        <w:pageBreakBefore w:val="0"/>
        <w:kinsoku/>
        <w:wordWrap/>
        <w:overflowPunct/>
        <w:topLinePunct w:val="0"/>
        <w:autoSpaceDE/>
        <w:autoSpaceDN/>
        <w:bidi w:val="0"/>
        <w:adjustRightInd/>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要求估价结果是在根据估价目的确定的某一特定时间的价值或价格的原则。</w:t>
      </w:r>
    </w:p>
    <w:p>
      <w:pPr>
        <w:pageBreakBefore w:val="0"/>
        <w:kinsoku/>
        <w:wordWrap/>
        <w:overflowPunct/>
        <w:topLinePunct w:val="0"/>
        <w:autoSpaceDE/>
        <w:autoSpaceDN/>
        <w:bidi w:val="0"/>
        <w:adjustRightInd/>
        <w:spacing w:line="500" w:lineRule="exact"/>
        <w:ind w:firstLine="536" w:firstLineChars="200"/>
        <w:textAlignment w:val="auto"/>
        <w:rPr>
          <w:rFonts w:ascii="仿宋_GB2312" w:eastAsia="仿宋_GB2312"/>
          <w:sz w:val="28"/>
          <w:szCs w:val="28"/>
        </w:rPr>
      </w:pPr>
      <w:r>
        <w:rPr>
          <w:rFonts w:ascii="仿宋_GB2312" w:hAnsi="仿宋_GB2312" w:eastAsia="仿宋_GB2312" w:cs="仿宋_GB2312"/>
          <w:spacing w:val="-6"/>
          <w:sz w:val="28"/>
          <w:szCs w:val="28"/>
        </w:rPr>
        <w:t>(</w:t>
      </w:r>
      <w:r>
        <w:rPr>
          <w:rFonts w:hint="eastAsia" w:ascii="仿宋_GB2312" w:hAnsi="仿宋_GB2312" w:eastAsia="仿宋_GB2312" w:cs="仿宋_GB2312"/>
          <w:spacing w:val="-6"/>
          <w:sz w:val="28"/>
          <w:szCs w:val="28"/>
        </w:rPr>
        <w:t>四</w:t>
      </w:r>
      <w:r>
        <w:rPr>
          <w:rFonts w:ascii="仿宋_GB2312" w:hAnsi="仿宋_GB2312" w:eastAsia="仿宋_GB2312" w:cs="仿宋_GB2312"/>
          <w:spacing w:val="-6"/>
          <w:sz w:val="28"/>
          <w:szCs w:val="28"/>
        </w:rPr>
        <w:t>)</w:t>
      </w:r>
      <w:r>
        <w:rPr>
          <w:rFonts w:hint="eastAsia" w:ascii="仿宋_GB2312" w:eastAsia="仿宋_GB2312"/>
          <w:sz w:val="28"/>
          <w:szCs w:val="28"/>
        </w:rPr>
        <w:t>替代原则</w:t>
      </w:r>
    </w:p>
    <w:p>
      <w:pPr>
        <w:pageBreakBefore w:val="0"/>
        <w:kinsoku/>
        <w:wordWrap/>
        <w:overflowPunct/>
        <w:topLinePunct w:val="0"/>
        <w:autoSpaceDE/>
        <w:autoSpaceDN/>
        <w:bidi w:val="0"/>
        <w:adjustRightInd/>
        <w:spacing w:line="500" w:lineRule="exact"/>
        <w:ind w:firstLine="560" w:firstLineChars="200"/>
        <w:textAlignment w:val="auto"/>
        <w:rPr>
          <w:rFonts w:ascii="仿宋_GB2312" w:eastAsia="仿宋_GB2312"/>
          <w:sz w:val="28"/>
          <w:szCs w:val="28"/>
        </w:rPr>
      </w:pPr>
      <w:r>
        <w:rPr>
          <w:rFonts w:hint="eastAsia" w:ascii="仿宋_GB2312" w:eastAsia="仿宋_GB2312"/>
          <w:sz w:val="28"/>
          <w:szCs w:val="28"/>
        </w:rPr>
        <w:t>要求估价结果与估价对象的类似房地产在同等条件下的价值或价格偏差在合理范围内的原则。</w:t>
      </w:r>
    </w:p>
    <w:p>
      <w:pPr>
        <w:pageBreakBefore w:val="0"/>
        <w:kinsoku/>
        <w:wordWrap/>
        <w:overflowPunct/>
        <w:topLinePunct w:val="0"/>
        <w:autoSpaceDE/>
        <w:autoSpaceDN/>
        <w:bidi w:val="0"/>
        <w:adjustRightInd/>
        <w:spacing w:line="500" w:lineRule="exact"/>
        <w:ind w:firstLine="536" w:firstLineChars="200"/>
        <w:textAlignment w:val="auto"/>
        <w:rPr>
          <w:rFonts w:ascii="仿宋_GB2312" w:eastAsia="仿宋_GB2312"/>
          <w:sz w:val="28"/>
          <w:szCs w:val="28"/>
        </w:rPr>
      </w:pPr>
      <w:r>
        <w:rPr>
          <w:rFonts w:ascii="仿宋_GB2312" w:hAnsi="仿宋_GB2312" w:eastAsia="仿宋_GB2312" w:cs="仿宋_GB2312"/>
          <w:spacing w:val="-6"/>
          <w:sz w:val="28"/>
          <w:szCs w:val="28"/>
        </w:rPr>
        <w:t>(</w:t>
      </w:r>
      <w:r>
        <w:rPr>
          <w:rFonts w:hint="eastAsia" w:ascii="仿宋_GB2312" w:hAnsi="仿宋_GB2312" w:eastAsia="仿宋_GB2312" w:cs="仿宋_GB2312"/>
          <w:spacing w:val="-6"/>
          <w:sz w:val="28"/>
          <w:szCs w:val="28"/>
        </w:rPr>
        <w:t>五</w:t>
      </w:r>
      <w:r>
        <w:rPr>
          <w:rFonts w:ascii="仿宋_GB2312" w:hAnsi="仿宋_GB2312" w:eastAsia="仿宋_GB2312" w:cs="仿宋_GB2312"/>
          <w:spacing w:val="-6"/>
          <w:sz w:val="28"/>
          <w:szCs w:val="28"/>
        </w:rPr>
        <w:t>)</w:t>
      </w:r>
      <w:r>
        <w:rPr>
          <w:rFonts w:hint="eastAsia" w:ascii="仿宋_GB2312" w:eastAsia="仿宋_GB2312"/>
          <w:sz w:val="28"/>
          <w:szCs w:val="28"/>
        </w:rPr>
        <w:t>最高最佳利用原则</w:t>
      </w:r>
    </w:p>
    <w:p>
      <w:pPr>
        <w:pageBreakBefore w:val="0"/>
        <w:kinsoku/>
        <w:wordWrap/>
        <w:overflowPunct/>
        <w:topLinePunct w:val="0"/>
        <w:autoSpaceDE/>
        <w:autoSpaceDN/>
        <w:bidi w:val="0"/>
        <w:adjustRightInd/>
        <w:spacing w:line="500" w:lineRule="exact"/>
        <w:ind w:firstLine="560" w:firstLineChars="200"/>
        <w:textAlignment w:val="auto"/>
        <w:rPr>
          <w:rFonts w:ascii="仿宋_GB2312" w:hAnsi="宋体" w:eastAsia="仿宋_GB2312"/>
          <w:sz w:val="28"/>
          <w:szCs w:val="28"/>
        </w:rPr>
      </w:pPr>
      <w:r>
        <w:rPr>
          <w:rFonts w:hint="eastAsia" w:ascii="仿宋_GB2312" w:eastAsia="仿宋_GB2312"/>
          <w:sz w:val="28"/>
          <w:szCs w:val="28"/>
        </w:rPr>
        <w:t>要求估价结果是在估价对象最高最佳利用状况下的价值或价格的原则。最高最佳利用是指房地产在法律上允许、技术上可能、财务上可行并使价值最大的合理、可能的利用，包括最佳的用途、规模、档次等。</w:t>
      </w:r>
    </w:p>
    <w:p>
      <w:pPr>
        <w:pStyle w:val="3"/>
        <w:pageBreakBefore w:val="0"/>
        <w:kinsoku/>
        <w:wordWrap/>
        <w:overflowPunct/>
        <w:topLinePunct w:val="0"/>
        <w:autoSpaceDE/>
        <w:autoSpaceDN/>
        <w:bidi w:val="0"/>
        <w:adjustRightInd/>
        <w:spacing w:before="0" w:after="0" w:line="500" w:lineRule="exact"/>
        <w:ind w:firstLine="562" w:firstLineChars="200"/>
        <w:textAlignment w:val="auto"/>
        <w:rPr>
          <w:rFonts w:ascii="仿宋_GB2312" w:hAnsi="宋体" w:eastAsia="仿宋_GB2312"/>
          <w:sz w:val="28"/>
          <w:szCs w:val="28"/>
        </w:rPr>
      </w:pPr>
      <w:bookmarkStart w:id="11" w:name="_Toc476334918"/>
      <w:r>
        <w:rPr>
          <w:rFonts w:hint="eastAsia" w:ascii="仿宋_GB2312" w:hAnsi="宋体" w:eastAsia="仿宋_GB2312"/>
          <w:sz w:val="28"/>
          <w:szCs w:val="28"/>
        </w:rPr>
        <w:t>九、估价方法</w:t>
      </w:r>
      <w:bookmarkEnd w:id="11"/>
    </w:p>
    <w:p>
      <w:pPr>
        <w:pageBreakBefore w:val="0"/>
        <w:kinsoku/>
        <w:wordWrap/>
        <w:overflowPunct/>
        <w:topLinePunct w:val="0"/>
        <w:autoSpaceDE/>
        <w:autoSpaceDN/>
        <w:bidi w:val="0"/>
        <w:adjustRightInd/>
        <w:spacing w:line="500" w:lineRule="exact"/>
        <w:ind w:firstLine="560" w:firstLineChars="200"/>
        <w:textAlignment w:val="auto"/>
        <w:rPr>
          <w:rFonts w:ascii="仿宋_GB2312" w:hAnsi="宋体" w:eastAsia="仿宋_GB2312"/>
          <w:sz w:val="28"/>
          <w:szCs w:val="28"/>
        </w:rPr>
      </w:pPr>
      <w:bookmarkStart w:id="12" w:name="_Toc476334919"/>
      <w:r>
        <w:rPr>
          <w:rFonts w:hint="eastAsia" w:ascii="仿宋_GB2312" w:eastAsia="仿宋_GB2312"/>
          <w:sz w:val="28"/>
          <w:szCs w:val="28"/>
        </w:rPr>
        <w:t>根据中华人民共和国国家标准《房地产估价规范》</w:t>
      </w:r>
      <w:r>
        <w:rPr>
          <w:rFonts w:ascii="仿宋_GB2312" w:eastAsia="仿宋_GB2312"/>
          <w:sz w:val="28"/>
          <w:szCs w:val="28"/>
        </w:rPr>
        <w:t>(GB/T50291-2015)</w:t>
      </w:r>
      <w:r>
        <w:rPr>
          <w:rFonts w:hint="eastAsia" w:ascii="仿宋_GB2312" w:eastAsia="仿宋_GB2312"/>
          <w:sz w:val="28"/>
          <w:szCs w:val="28"/>
        </w:rPr>
        <w:t>，</w:t>
      </w:r>
      <w:r>
        <w:rPr>
          <w:rFonts w:hint="eastAsia" w:ascii="仿宋_GB2312" w:hAnsi="宋体" w:eastAsia="仿宋_GB2312"/>
          <w:sz w:val="28"/>
          <w:szCs w:val="28"/>
        </w:rPr>
        <w:t>房地产估价基本方法有比较法、成本法、收益法、假设开发法等，估价人员在认真分析所掌握的资料并对估价对象进行实地查看后，根据估价对象的特点及实际情况，选取</w:t>
      </w:r>
      <w:r>
        <w:rPr>
          <w:rFonts w:hint="eastAsia" w:ascii="仿宋_GB2312" w:hAnsi="宋体" w:eastAsia="仿宋_GB2312"/>
          <w:color w:val="C00000"/>
          <w:sz w:val="28"/>
          <w:szCs w:val="28"/>
          <w:lang w:val="en-US" w:eastAsia="zh-CN"/>
        </w:rPr>
        <w:t>比较法</w:t>
      </w:r>
      <w:r>
        <w:rPr>
          <w:rFonts w:hint="eastAsia" w:ascii="仿宋_GB2312" w:hAnsi="宋体" w:eastAsia="仿宋_GB2312"/>
          <w:sz w:val="28"/>
          <w:szCs w:val="28"/>
        </w:rPr>
        <w:t>进行估价。</w:t>
      </w:r>
    </w:p>
    <w:p>
      <w:pPr>
        <w:pageBreakBefore w:val="0"/>
        <w:kinsoku/>
        <w:wordWrap/>
        <w:overflowPunct/>
        <w:topLinePunct w:val="0"/>
        <w:autoSpaceDE/>
        <w:autoSpaceDN/>
        <w:bidi w:val="0"/>
        <w:adjustRightInd/>
        <w:snapToGrid/>
        <w:spacing w:line="500" w:lineRule="exact"/>
        <w:ind w:firstLine="571" w:firstLineChars="204"/>
        <w:textAlignment w:val="auto"/>
        <w:rPr>
          <w:rFonts w:ascii="仿宋_GB2312" w:hAnsi="宋体" w:eastAsia="仿宋_GB2312" w:cs="宋体"/>
          <w:kern w:val="0"/>
          <w:sz w:val="28"/>
          <w:szCs w:val="28"/>
        </w:rPr>
      </w:pPr>
      <w:r>
        <w:rPr>
          <w:rFonts w:hint="eastAsia" w:ascii="仿宋_GB2312" w:hAnsi="宋体" w:eastAsia="仿宋_GB2312"/>
          <w:color w:val="C00000"/>
          <w:sz w:val="28"/>
          <w:szCs w:val="28"/>
          <w:lang w:val="en-US" w:eastAsia="zh-CN"/>
        </w:rPr>
        <w:t>1、比较</w:t>
      </w:r>
      <w:r>
        <w:rPr>
          <w:rFonts w:hint="eastAsia" w:ascii="仿宋_GB2312" w:hAnsi="宋体" w:eastAsia="仿宋_GB2312"/>
          <w:color w:val="C00000"/>
          <w:sz w:val="28"/>
          <w:szCs w:val="28"/>
        </w:rPr>
        <w:t>法：</w:t>
      </w:r>
      <w:r>
        <w:rPr>
          <w:rFonts w:hint="eastAsia" w:ascii="仿宋_GB2312" w:hAnsi="宋体" w:eastAsia="仿宋_GB2312" w:cs="宋体"/>
          <w:kern w:val="0"/>
          <w:sz w:val="28"/>
          <w:szCs w:val="28"/>
        </w:rPr>
        <w:t>是指估价对象与在价值时点近期发生过交易的可比实例进行比较，并以这些可比实例的成交价格进行适当处理来求取估价对象价值的方法。</w:t>
      </w:r>
    </w:p>
    <w:p>
      <w:pPr>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cs="宋体"/>
          <w:sz w:val="28"/>
          <w:szCs w:val="28"/>
        </w:rPr>
        <w:t>其计算公式</w:t>
      </w:r>
      <w:r>
        <w:rPr>
          <w:rFonts w:hint="eastAsia" w:ascii="仿宋_GB2312" w:eastAsia="仿宋_GB2312"/>
          <w:sz w:val="28"/>
          <w:szCs w:val="28"/>
        </w:rPr>
        <w:t>：</w:t>
      </w:r>
      <w:r>
        <w:rPr>
          <w:rFonts w:hint="eastAsia" w:ascii="仿宋_GB2312" w:hAnsi="宋体" w:eastAsia="仿宋_GB2312" w:cs="宋体"/>
          <w:sz w:val="28"/>
          <w:szCs w:val="28"/>
        </w:rPr>
        <w:t>估价对象价格</w:t>
      </w:r>
      <w:r>
        <w:rPr>
          <w:rFonts w:ascii="仿宋_GB2312" w:hAnsi="宋体" w:eastAsia="仿宋_GB2312" w:cs="宋体"/>
          <w:sz w:val="28"/>
          <w:szCs w:val="28"/>
        </w:rPr>
        <w:t>=</w:t>
      </w:r>
      <w:r>
        <w:rPr>
          <w:rFonts w:hint="eastAsia" w:ascii="仿宋_GB2312" w:hAnsi="宋体" w:eastAsia="仿宋_GB2312" w:cs="宋体"/>
          <w:sz w:val="28"/>
          <w:szCs w:val="28"/>
        </w:rPr>
        <w:t>可比实例成交价格</w:t>
      </w:r>
      <w:r>
        <w:rPr>
          <w:rFonts w:hint="eastAsia" w:ascii="仿宋_GB2312" w:eastAsia="仿宋_GB2312"/>
          <w:sz w:val="28"/>
          <w:szCs w:val="28"/>
        </w:rPr>
        <w:t>×交易情况修正系数×市场状况调整系数×区域因素修正系数×个别因素修正系数</w:t>
      </w:r>
    </w:p>
    <w:p>
      <w:pPr>
        <w:pStyle w:val="3"/>
        <w:pageBreakBefore w:val="0"/>
        <w:kinsoku/>
        <w:wordWrap/>
        <w:overflowPunct/>
        <w:topLinePunct w:val="0"/>
        <w:autoSpaceDE/>
        <w:autoSpaceDN/>
        <w:bidi w:val="0"/>
        <w:adjustRightInd/>
        <w:spacing w:before="0" w:after="0" w:line="500" w:lineRule="exact"/>
        <w:ind w:firstLine="562" w:firstLineChars="200"/>
        <w:textAlignment w:val="auto"/>
        <w:rPr>
          <w:rFonts w:ascii="仿宋_GB2312" w:hAnsi="宋体" w:eastAsia="仿宋_GB2312"/>
          <w:sz w:val="28"/>
          <w:szCs w:val="28"/>
        </w:rPr>
      </w:pPr>
      <w:r>
        <w:rPr>
          <w:rFonts w:hint="eastAsia" w:ascii="仿宋_GB2312" w:hAnsi="宋体" w:eastAsia="仿宋_GB2312"/>
          <w:sz w:val="28"/>
          <w:szCs w:val="28"/>
        </w:rPr>
        <w:t>十、估价结果</w:t>
      </w:r>
      <w:bookmarkEnd w:id="12"/>
    </w:p>
    <w:p>
      <w:pPr>
        <w:pageBreakBefore w:val="0"/>
        <w:kinsoku/>
        <w:wordWrap/>
        <w:overflowPunct/>
        <w:topLinePunct w:val="0"/>
        <w:autoSpaceDE/>
        <w:autoSpaceDN/>
        <w:bidi w:val="0"/>
        <w:adjustRightInd/>
        <w:spacing w:line="500" w:lineRule="exact"/>
        <w:ind w:firstLine="560" w:firstLineChars="200"/>
        <w:textAlignment w:val="auto"/>
        <w:rPr>
          <w:rFonts w:ascii="仿宋_GB2312" w:hAnsi="宋体" w:eastAsia="仿宋_GB2312" w:cs="宋体"/>
          <w:b/>
          <w:color w:val="000000"/>
          <w:sz w:val="28"/>
          <w:szCs w:val="28"/>
        </w:rPr>
      </w:pPr>
      <w:r>
        <w:rPr>
          <w:rFonts w:hint="eastAsia" w:ascii="仿宋_GB2312" w:eastAsia="仿宋_GB2312"/>
          <w:sz w:val="28"/>
          <w:szCs w:val="28"/>
        </w:rPr>
        <w:t>根据估价目的，</w:t>
      </w:r>
      <w:r>
        <w:rPr>
          <w:rFonts w:hint="eastAsia" w:ascii="仿宋_GB2312" w:hAnsi="宋体" w:eastAsia="仿宋_GB2312" w:cs="宋体"/>
          <w:color w:val="333333"/>
          <w:sz w:val="28"/>
          <w:szCs w:val="28"/>
        </w:rPr>
        <w:t>依据</w:t>
      </w:r>
      <w:r>
        <w:rPr>
          <w:rFonts w:hint="eastAsia" w:ascii="仿宋_GB2312" w:hAnsi="Plotter" w:eastAsia="仿宋_GB2312"/>
          <w:sz w:val="28"/>
          <w:szCs w:val="28"/>
        </w:rPr>
        <w:t>《房地产估价规范》以及有关法律、法规和政策的规定，</w:t>
      </w:r>
      <w:r>
        <w:rPr>
          <w:rFonts w:hint="eastAsia" w:ascii="仿宋_GB2312" w:eastAsia="仿宋_GB2312"/>
          <w:color w:val="000000"/>
          <w:sz w:val="28"/>
          <w:szCs w:val="28"/>
        </w:rPr>
        <w:t>遵循独立、客观、公正、科学的估价原则，</w:t>
      </w:r>
      <w:r>
        <w:rPr>
          <w:rFonts w:hint="eastAsia" w:ascii="仿宋_GB2312" w:hAnsi="Plotter" w:eastAsia="仿宋_GB2312"/>
          <w:color w:val="000000"/>
          <w:sz w:val="28"/>
          <w:szCs w:val="28"/>
        </w:rPr>
        <w:t>按照严谨的估价程序</w:t>
      </w:r>
      <w:r>
        <w:rPr>
          <w:rFonts w:hint="eastAsia" w:ascii="仿宋_GB2312" w:eastAsia="仿宋_GB2312"/>
          <w:color w:val="000000"/>
          <w:sz w:val="28"/>
          <w:szCs w:val="28"/>
        </w:rPr>
        <w:t>，选用适宜的估价方法，</w:t>
      </w:r>
      <w:r>
        <w:rPr>
          <w:rFonts w:hint="eastAsia" w:ascii="仿宋_GB2312" w:hAnsi="Tahoma" w:eastAsia="仿宋_GB2312" w:cs="Tahoma"/>
          <w:color w:val="000000"/>
          <w:kern w:val="0"/>
          <w:sz w:val="28"/>
          <w:szCs w:val="28"/>
        </w:rPr>
        <w:t>并在综合分析各种影响价格因素的基础上，</w:t>
      </w:r>
      <w:r>
        <w:rPr>
          <w:rFonts w:hint="eastAsia" w:ascii="仿宋_GB2312" w:eastAsia="仿宋_GB2312"/>
          <w:color w:val="000000"/>
          <w:sz w:val="28"/>
          <w:szCs w:val="28"/>
        </w:rPr>
        <w:t>经认真测算评定</w:t>
      </w:r>
      <w:r>
        <w:rPr>
          <w:rFonts w:hint="eastAsia" w:ascii="仿宋_GB2312" w:hAnsi="Plotter" w:eastAsia="仿宋_GB2312"/>
          <w:color w:val="000000"/>
          <w:sz w:val="28"/>
          <w:szCs w:val="28"/>
        </w:rPr>
        <w:t>，</w:t>
      </w:r>
      <w:r>
        <w:rPr>
          <w:rFonts w:hint="eastAsia" w:ascii="仿宋_GB2312" w:eastAsia="仿宋_GB2312"/>
          <w:color w:val="000000"/>
          <w:sz w:val="28"/>
          <w:szCs w:val="28"/>
        </w:rPr>
        <w:t>确定</w:t>
      </w:r>
      <w:r>
        <w:rPr>
          <w:rFonts w:hint="eastAsia" w:ascii="仿宋_GB2312" w:hAnsi="Plotter" w:eastAsia="仿宋_GB2312"/>
          <w:color w:val="000000"/>
          <w:sz w:val="28"/>
          <w:szCs w:val="28"/>
        </w:rPr>
        <w:t>估价对象在满足</w:t>
      </w:r>
      <w:r>
        <w:rPr>
          <w:rFonts w:hint="eastAsia" w:ascii="仿宋_GB2312" w:eastAsia="仿宋_GB2312"/>
          <w:color w:val="000000"/>
          <w:sz w:val="28"/>
          <w:szCs w:val="28"/>
        </w:rPr>
        <w:t>本报告估价假设和限制条件下，</w:t>
      </w:r>
      <w:r>
        <w:rPr>
          <w:rFonts w:hint="eastAsia" w:ascii="仿宋_GB2312" w:eastAsia="仿宋_GB2312"/>
          <w:b/>
          <w:color w:val="000000"/>
          <w:sz w:val="28"/>
          <w:szCs w:val="28"/>
        </w:rPr>
        <w:t>于价值时点</w:t>
      </w:r>
      <w:r>
        <w:rPr>
          <w:rFonts w:hint="eastAsia" w:ascii="仿宋_GB2312" w:eastAsia="仿宋_GB2312"/>
          <w:b/>
          <w:color w:val="000000"/>
          <w:sz w:val="28"/>
          <w:szCs w:val="28"/>
          <w:lang w:eastAsia="zh-CN"/>
        </w:rPr>
        <w:t>2019年08月20日</w:t>
      </w:r>
      <w:r>
        <w:rPr>
          <w:rFonts w:hint="eastAsia" w:ascii="仿宋_GB2312" w:eastAsia="仿宋_GB2312"/>
          <w:b/>
          <w:color w:val="000000"/>
          <w:sz w:val="28"/>
          <w:szCs w:val="28"/>
        </w:rPr>
        <w:t>的</w:t>
      </w:r>
      <w:r>
        <w:rPr>
          <w:rFonts w:hint="eastAsia" w:ascii="仿宋_GB2312" w:eastAsia="仿宋_GB2312"/>
          <w:b/>
          <w:sz w:val="28"/>
          <w:szCs w:val="28"/>
        </w:rPr>
        <w:t>市场价值为人民币</w:t>
      </w:r>
      <w:r>
        <w:rPr>
          <w:rFonts w:hint="eastAsia" w:ascii="仿宋_GB2312" w:eastAsia="仿宋_GB2312"/>
          <w:b/>
          <w:sz w:val="28"/>
          <w:szCs w:val="28"/>
          <w:lang w:eastAsia="zh-CN"/>
        </w:rPr>
        <w:t>956.72万元</w:t>
      </w:r>
      <w:r>
        <w:rPr>
          <w:rFonts w:hint="eastAsia" w:ascii="仿宋_GB2312" w:eastAsia="仿宋_GB2312"/>
          <w:b/>
          <w:sz w:val="28"/>
          <w:szCs w:val="28"/>
        </w:rPr>
        <w:t>，大写人民币</w:t>
      </w:r>
      <w:r>
        <w:rPr>
          <w:rFonts w:hint="eastAsia" w:ascii="仿宋_GB2312" w:eastAsia="仿宋_GB2312"/>
          <w:b/>
          <w:sz w:val="28"/>
          <w:szCs w:val="28"/>
          <w:lang w:eastAsia="zh-CN"/>
        </w:rPr>
        <w:t>玖佰伍拾陆万柒仟贰佰元整</w:t>
      </w:r>
      <w:r>
        <w:rPr>
          <w:rFonts w:hint="eastAsia" w:ascii="仿宋_GB2312" w:hAnsi="Tahoma" w:eastAsia="仿宋_GB2312" w:cs="Tahoma"/>
          <w:b/>
          <w:bCs/>
          <w:color w:val="000000"/>
          <w:kern w:val="0"/>
          <w:sz w:val="28"/>
          <w:szCs w:val="28"/>
        </w:rPr>
        <w:t>。</w:t>
      </w:r>
      <w:r>
        <w:rPr>
          <w:rFonts w:ascii="仿宋_GB2312" w:hAnsi="Tahoma" w:eastAsia="仿宋_GB2312" w:cs="Tahoma"/>
          <w:b/>
          <w:bCs/>
          <w:color w:val="000000"/>
          <w:kern w:val="0"/>
          <w:sz w:val="28"/>
          <w:szCs w:val="28"/>
        </w:rPr>
        <w:t>(</w:t>
      </w:r>
      <w:r>
        <w:rPr>
          <w:rFonts w:hint="eastAsia" w:ascii="仿宋_GB2312" w:hAnsi="Tahoma" w:eastAsia="仿宋_GB2312" w:cs="Tahoma"/>
          <w:b/>
          <w:bCs/>
          <w:color w:val="000000"/>
          <w:kern w:val="0"/>
          <w:sz w:val="28"/>
          <w:szCs w:val="28"/>
        </w:rPr>
        <w:t>转让过程中各种税、费需另行支付</w:t>
      </w:r>
      <w:r>
        <w:rPr>
          <w:rFonts w:ascii="仿宋_GB2312" w:hAnsi="Tahoma" w:eastAsia="仿宋_GB2312" w:cs="Tahoma"/>
          <w:b/>
          <w:bCs/>
          <w:color w:val="000000"/>
          <w:kern w:val="0"/>
          <w:sz w:val="28"/>
          <w:szCs w:val="28"/>
        </w:rPr>
        <w:t>)</w:t>
      </w:r>
      <w:r>
        <w:rPr>
          <w:rFonts w:hint="eastAsia" w:ascii="仿宋_GB2312" w:hAnsi="宋体" w:eastAsia="仿宋_GB2312" w:cs="宋体"/>
          <w:b/>
          <w:color w:val="000000"/>
          <w:sz w:val="28"/>
          <w:szCs w:val="28"/>
        </w:rPr>
        <w:t>。</w:t>
      </w:r>
    </w:p>
    <w:p>
      <w:pPr>
        <w:pStyle w:val="3"/>
        <w:pageBreakBefore w:val="0"/>
        <w:kinsoku/>
        <w:wordWrap/>
        <w:overflowPunct/>
        <w:topLinePunct w:val="0"/>
        <w:autoSpaceDE/>
        <w:autoSpaceDN/>
        <w:bidi w:val="0"/>
        <w:adjustRightInd/>
        <w:spacing w:before="0" w:after="0" w:line="500" w:lineRule="exact"/>
        <w:ind w:firstLine="562" w:firstLineChars="200"/>
        <w:textAlignment w:val="auto"/>
        <w:rPr>
          <w:sz w:val="28"/>
          <w:szCs w:val="28"/>
        </w:rPr>
      </w:pPr>
      <w:bookmarkStart w:id="13" w:name="_Toc157450099"/>
      <w:bookmarkStart w:id="14" w:name="_Toc476334920"/>
      <w:r>
        <w:rPr>
          <w:rFonts w:hint="eastAsia" w:ascii="仿宋_GB2312" w:hAnsi="宋体" w:eastAsia="仿宋_GB2312"/>
          <w:sz w:val="28"/>
          <w:szCs w:val="28"/>
        </w:rPr>
        <w:t>十一、</w:t>
      </w:r>
      <w:bookmarkEnd w:id="13"/>
      <w:r>
        <w:rPr>
          <w:rFonts w:hint="eastAsia" w:ascii="仿宋_GB2312" w:eastAsia="仿宋_GB2312"/>
          <w:sz w:val="28"/>
          <w:szCs w:val="28"/>
        </w:rPr>
        <w:t>注册房地产估价师</w:t>
      </w:r>
      <w:bookmarkEnd w:id="14"/>
    </w:p>
    <w:p>
      <w:pPr>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估价师姓名        注册证书号        签字盖章</w:t>
      </w:r>
    </w:p>
    <w:p>
      <w:pPr>
        <w:pageBreakBefore w:val="0"/>
        <w:kinsoku/>
        <w:wordWrap/>
        <w:overflowPunct/>
        <w:topLinePunct w:val="0"/>
        <w:autoSpaceDE/>
        <w:autoSpaceDN/>
        <w:bidi w:val="0"/>
        <w:adjustRightInd/>
        <w:spacing w:line="500" w:lineRule="exact"/>
        <w:ind w:firstLine="840" w:firstLineChars="300"/>
        <w:textAlignment w:val="auto"/>
        <w:rPr>
          <w:rFonts w:hint="eastAsia" w:ascii="仿宋_GB2312" w:eastAsia="仿宋_GB2312"/>
          <w:sz w:val="28"/>
          <w:szCs w:val="28"/>
          <w:lang w:eastAsia="zh-CN"/>
        </w:rPr>
      </w:pPr>
      <w:r>
        <w:rPr>
          <w:rFonts w:hint="eastAsia" w:ascii="仿宋_GB2312" w:eastAsia="仿宋_GB2312"/>
          <w:sz w:val="28"/>
          <w:szCs w:val="28"/>
          <w:lang w:eastAsia="zh-CN"/>
        </w:rPr>
        <w:t>俞小群</w:t>
      </w:r>
      <w:r>
        <w:rPr>
          <w:rFonts w:ascii="仿宋_GB2312" w:eastAsia="仿宋_GB2312"/>
          <w:sz w:val="28"/>
          <w:szCs w:val="28"/>
        </w:rPr>
        <w:t xml:space="preserve">          </w:t>
      </w:r>
      <w:r>
        <w:rPr>
          <w:rFonts w:hint="eastAsia" w:ascii="仿宋_GB2312" w:eastAsia="仿宋_GB2312"/>
          <w:sz w:val="28"/>
          <w:szCs w:val="28"/>
          <w:lang w:eastAsia="zh-CN"/>
        </w:rPr>
        <w:t>3320100028</w:t>
      </w:r>
    </w:p>
    <w:p>
      <w:pPr>
        <w:pageBreakBefore w:val="0"/>
        <w:kinsoku/>
        <w:wordWrap/>
        <w:overflowPunct/>
        <w:topLinePunct w:val="0"/>
        <w:autoSpaceDE/>
        <w:autoSpaceDN/>
        <w:bidi w:val="0"/>
        <w:adjustRightInd/>
        <w:spacing w:line="500" w:lineRule="exact"/>
        <w:ind w:firstLine="560" w:firstLineChars="200"/>
        <w:textAlignment w:val="auto"/>
        <w:rPr>
          <w:rFonts w:ascii="仿宋_GB2312" w:eastAsia="仿宋_GB2312"/>
          <w:sz w:val="28"/>
          <w:szCs w:val="28"/>
        </w:rPr>
      </w:pPr>
    </w:p>
    <w:p>
      <w:pPr>
        <w:pageBreakBefore w:val="0"/>
        <w:kinsoku/>
        <w:wordWrap/>
        <w:overflowPunct/>
        <w:topLinePunct w:val="0"/>
        <w:autoSpaceDE/>
        <w:autoSpaceDN/>
        <w:bidi w:val="0"/>
        <w:adjustRightInd/>
        <w:spacing w:line="500" w:lineRule="exact"/>
        <w:ind w:firstLine="840" w:firstLineChars="300"/>
        <w:textAlignment w:val="auto"/>
        <w:rPr>
          <w:rFonts w:ascii="仿宋_GB2312" w:eastAsia="仿宋_GB2312"/>
          <w:sz w:val="28"/>
          <w:szCs w:val="28"/>
        </w:rPr>
      </w:pPr>
      <w:r>
        <w:rPr>
          <w:rFonts w:hint="eastAsia" w:ascii="仿宋_GB2312" w:eastAsia="仿宋_GB2312"/>
          <w:sz w:val="28"/>
          <w:szCs w:val="28"/>
        </w:rPr>
        <w:t>楼</w:t>
      </w:r>
      <w:r>
        <w:rPr>
          <w:rFonts w:hint="eastAsia" w:ascii="仿宋_GB2312" w:eastAsia="仿宋_GB2312"/>
          <w:sz w:val="28"/>
          <w:szCs w:val="28"/>
          <w:lang w:val="en-US" w:eastAsia="zh-CN"/>
        </w:rPr>
        <w:t xml:space="preserve">  </w:t>
      </w:r>
      <w:r>
        <w:rPr>
          <w:rFonts w:hint="eastAsia" w:ascii="仿宋_GB2312" w:eastAsia="仿宋_GB2312"/>
          <w:sz w:val="28"/>
          <w:szCs w:val="28"/>
        </w:rPr>
        <w:t>飞</w:t>
      </w:r>
      <w:r>
        <w:rPr>
          <w:rFonts w:ascii="仿宋_GB2312" w:eastAsia="仿宋_GB2312"/>
          <w:sz w:val="28"/>
          <w:szCs w:val="28"/>
        </w:rPr>
        <w:t xml:space="preserve">          3320070025 </w:t>
      </w:r>
    </w:p>
    <w:p>
      <w:pPr>
        <w:pageBreakBefore w:val="0"/>
        <w:kinsoku/>
        <w:wordWrap/>
        <w:overflowPunct/>
        <w:topLinePunct w:val="0"/>
        <w:autoSpaceDE/>
        <w:autoSpaceDN/>
        <w:bidi w:val="0"/>
        <w:adjustRightInd/>
        <w:spacing w:line="500" w:lineRule="exact"/>
        <w:ind w:firstLine="840" w:firstLineChars="300"/>
        <w:textAlignment w:val="auto"/>
        <w:rPr>
          <w:rFonts w:ascii="仿宋_GB2312" w:eastAsia="仿宋_GB2312"/>
          <w:sz w:val="28"/>
          <w:szCs w:val="28"/>
        </w:rPr>
      </w:pPr>
    </w:p>
    <w:p>
      <w:pPr>
        <w:pStyle w:val="3"/>
        <w:pageBreakBefore w:val="0"/>
        <w:kinsoku/>
        <w:wordWrap/>
        <w:overflowPunct/>
        <w:topLinePunct w:val="0"/>
        <w:autoSpaceDE/>
        <w:autoSpaceDN/>
        <w:bidi w:val="0"/>
        <w:adjustRightInd/>
        <w:spacing w:before="0" w:after="0" w:line="500" w:lineRule="exact"/>
        <w:ind w:firstLine="562" w:firstLineChars="200"/>
        <w:textAlignment w:val="auto"/>
        <w:rPr>
          <w:rFonts w:ascii="仿宋_GB2312" w:hAnsi="宋体" w:eastAsia="仿宋_GB2312"/>
          <w:sz w:val="28"/>
          <w:szCs w:val="28"/>
        </w:rPr>
      </w:pPr>
      <w:bookmarkStart w:id="15" w:name="_Toc476334921"/>
      <w:r>
        <w:rPr>
          <w:rFonts w:hint="eastAsia" w:ascii="仿宋_GB2312" w:hAnsi="宋体" w:eastAsia="仿宋_GB2312"/>
          <w:sz w:val="28"/>
          <w:szCs w:val="28"/>
        </w:rPr>
        <w:t>十二、估价作业期</w:t>
      </w:r>
      <w:bookmarkEnd w:id="15"/>
    </w:p>
    <w:p>
      <w:pPr>
        <w:pageBreakBefore w:val="0"/>
        <w:kinsoku/>
        <w:wordWrap/>
        <w:overflowPunct/>
        <w:topLinePunct w:val="0"/>
        <w:autoSpaceDE/>
        <w:autoSpaceDN/>
        <w:bidi w:val="0"/>
        <w:adjustRightInd/>
        <w:spacing w:line="500" w:lineRule="exact"/>
        <w:ind w:firstLine="560" w:firstLineChars="200"/>
        <w:textAlignment w:val="auto"/>
        <w:rPr>
          <w:rFonts w:hint="eastAsia" w:ascii="仿宋_GB2312" w:eastAsia="仿宋_GB2312"/>
          <w:sz w:val="28"/>
          <w:szCs w:val="28"/>
          <w:lang w:eastAsia="zh-CN"/>
        </w:rPr>
      </w:pPr>
      <w:r>
        <w:rPr>
          <w:rFonts w:hint="eastAsia" w:ascii="仿宋_GB2312" w:hAnsi="宋体" w:eastAsia="仿宋_GB2312"/>
          <w:sz w:val="28"/>
          <w:szCs w:val="28"/>
          <w:lang w:eastAsia="zh-CN"/>
        </w:rPr>
        <w:t>2019年08月20日</w:t>
      </w:r>
      <w:r>
        <w:rPr>
          <w:rFonts w:hint="eastAsia" w:ascii="仿宋_GB2312" w:hAnsi="宋体" w:eastAsia="仿宋_GB2312"/>
          <w:sz w:val="28"/>
          <w:szCs w:val="28"/>
        </w:rPr>
        <w:t>至</w:t>
      </w:r>
      <w:r>
        <w:rPr>
          <w:rFonts w:hint="eastAsia" w:ascii="仿宋_GB2312" w:eastAsia="仿宋_GB2312"/>
          <w:sz w:val="28"/>
          <w:szCs w:val="28"/>
          <w:lang w:eastAsia="zh-CN"/>
        </w:rPr>
        <w:t>2019年09月02日</w:t>
      </w:r>
    </w:p>
    <w:p>
      <w:pPr>
        <w:pStyle w:val="3"/>
        <w:pageBreakBefore w:val="0"/>
        <w:kinsoku/>
        <w:wordWrap/>
        <w:overflowPunct/>
        <w:topLinePunct w:val="0"/>
        <w:autoSpaceDE/>
        <w:autoSpaceDN/>
        <w:bidi w:val="0"/>
        <w:adjustRightInd/>
        <w:spacing w:before="0" w:after="0" w:line="500" w:lineRule="exact"/>
        <w:ind w:firstLine="562" w:firstLineChars="200"/>
        <w:textAlignment w:val="auto"/>
        <w:rPr>
          <w:rFonts w:ascii="仿宋_GB2312" w:hAnsi="宋体" w:eastAsia="仿宋_GB2312"/>
          <w:sz w:val="28"/>
          <w:szCs w:val="28"/>
        </w:rPr>
      </w:pPr>
      <w:bookmarkStart w:id="16" w:name="_Toc476334922"/>
      <w:r>
        <w:rPr>
          <w:rFonts w:hint="eastAsia" w:ascii="仿宋_GB2312" w:hAnsi="宋体" w:eastAsia="仿宋_GB2312"/>
          <w:sz w:val="28"/>
          <w:szCs w:val="28"/>
        </w:rPr>
        <w:t>十三、估价报告应用的有效期</w:t>
      </w:r>
      <w:bookmarkEnd w:id="16"/>
    </w:p>
    <w:p>
      <w:pPr>
        <w:pStyle w:val="13"/>
        <w:pageBreakBefore w:val="0"/>
        <w:tabs>
          <w:tab w:val="left" w:pos="180"/>
          <w:tab w:val="left" w:pos="1080"/>
        </w:tabs>
        <w:kinsoku/>
        <w:wordWrap/>
        <w:overflowPunct/>
        <w:topLinePunct w:val="0"/>
        <w:autoSpaceDE/>
        <w:autoSpaceDN/>
        <w:bidi w:val="0"/>
        <w:adjustRightInd/>
        <w:spacing w:line="500" w:lineRule="exact"/>
        <w:ind w:right="28" w:firstLine="560" w:firstLineChars="200"/>
        <w:textAlignment w:val="auto"/>
        <w:rPr>
          <w:rFonts w:hint="eastAsia" w:hAnsi="宋体"/>
          <w:sz w:val="28"/>
          <w:szCs w:val="28"/>
        </w:rPr>
      </w:pPr>
      <w:r>
        <w:rPr>
          <w:rFonts w:hint="eastAsia" w:hAnsi="宋体"/>
          <w:sz w:val="28"/>
          <w:szCs w:val="28"/>
        </w:rPr>
        <w:t>估价结果自本估价报告提交之日起壹年内有效，即从</w:t>
      </w:r>
      <w:r>
        <w:rPr>
          <w:rFonts w:hint="eastAsia" w:hAnsi="宋体"/>
          <w:sz w:val="28"/>
          <w:szCs w:val="28"/>
          <w:lang w:eastAsia="zh-CN"/>
        </w:rPr>
        <w:t>2019年09月02日</w:t>
      </w:r>
      <w:r>
        <w:rPr>
          <w:rFonts w:hint="eastAsia" w:hAnsi="宋体"/>
          <w:sz w:val="28"/>
          <w:szCs w:val="28"/>
        </w:rPr>
        <w:t>至</w:t>
      </w:r>
      <w:r>
        <w:rPr>
          <w:rFonts w:hAnsi="宋体"/>
          <w:sz w:val="28"/>
          <w:szCs w:val="28"/>
        </w:rPr>
        <w:t>20</w:t>
      </w:r>
      <w:r>
        <w:rPr>
          <w:rFonts w:hint="eastAsia" w:hAnsi="宋体"/>
          <w:sz w:val="28"/>
          <w:szCs w:val="28"/>
          <w:lang w:val="en-US" w:eastAsia="zh-CN"/>
        </w:rPr>
        <w:t>20</w:t>
      </w:r>
      <w:r>
        <w:rPr>
          <w:rFonts w:hint="eastAsia" w:hAnsi="宋体"/>
          <w:sz w:val="28"/>
          <w:szCs w:val="28"/>
        </w:rPr>
        <w:t>年</w:t>
      </w:r>
      <w:r>
        <w:rPr>
          <w:rFonts w:hint="eastAsia" w:hAnsi="宋体"/>
          <w:sz w:val="28"/>
          <w:szCs w:val="28"/>
          <w:lang w:val="en-US" w:eastAsia="zh-CN"/>
        </w:rPr>
        <w:t>09</w:t>
      </w:r>
      <w:r>
        <w:rPr>
          <w:rFonts w:hint="eastAsia" w:hAnsi="宋体"/>
          <w:sz w:val="28"/>
          <w:szCs w:val="28"/>
        </w:rPr>
        <w:t>月</w:t>
      </w:r>
      <w:r>
        <w:rPr>
          <w:rFonts w:hint="eastAsia" w:hAnsi="宋体"/>
          <w:sz w:val="28"/>
          <w:szCs w:val="28"/>
          <w:lang w:val="en-US" w:eastAsia="zh-CN"/>
        </w:rPr>
        <w:t>01</w:t>
      </w:r>
      <w:r>
        <w:rPr>
          <w:rFonts w:hint="eastAsia" w:hAnsi="宋体"/>
          <w:sz w:val="28"/>
          <w:szCs w:val="28"/>
        </w:rPr>
        <w:t>日。</w:t>
      </w:r>
    </w:p>
    <w:p>
      <w:pPr>
        <w:pStyle w:val="13"/>
        <w:pageBreakBefore w:val="0"/>
        <w:tabs>
          <w:tab w:val="left" w:pos="180"/>
          <w:tab w:val="left" w:pos="1080"/>
        </w:tabs>
        <w:kinsoku/>
        <w:wordWrap/>
        <w:overflowPunct/>
        <w:topLinePunct w:val="0"/>
        <w:autoSpaceDE/>
        <w:autoSpaceDN/>
        <w:bidi w:val="0"/>
        <w:adjustRightInd/>
        <w:spacing w:line="500" w:lineRule="exact"/>
        <w:ind w:right="28" w:firstLine="560" w:firstLineChars="200"/>
        <w:textAlignment w:val="auto"/>
        <w:rPr>
          <w:rFonts w:hint="eastAsia" w:hAnsi="宋体"/>
          <w:sz w:val="28"/>
          <w:szCs w:val="28"/>
        </w:rPr>
      </w:pPr>
    </w:p>
    <w:p>
      <w:pPr>
        <w:pStyle w:val="13"/>
        <w:pageBreakBefore w:val="0"/>
        <w:tabs>
          <w:tab w:val="left" w:pos="180"/>
          <w:tab w:val="left" w:pos="1080"/>
        </w:tabs>
        <w:kinsoku/>
        <w:wordWrap/>
        <w:overflowPunct/>
        <w:topLinePunct w:val="0"/>
        <w:autoSpaceDE/>
        <w:autoSpaceDN/>
        <w:bidi w:val="0"/>
        <w:adjustRightInd/>
        <w:spacing w:line="500" w:lineRule="exact"/>
        <w:ind w:right="28" w:firstLine="560" w:firstLineChars="200"/>
        <w:textAlignment w:val="auto"/>
        <w:rPr>
          <w:rFonts w:hint="eastAsia" w:hAnsi="宋体"/>
          <w:sz w:val="28"/>
          <w:szCs w:val="28"/>
        </w:rPr>
      </w:pPr>
    </w:p>
    <w:p>
      <w:pPr>
        <w:pStyle w:val="13"/>
        <w:pageBreakBefore w:val="0"/>
        <w:tabs>
          <w:tab w:val="left" w:pos="180"/>
          <w:tab w:val="left" w:pos="1080"/>
        </w:tabs>
        <w:kinsoku/>
        <w:wordWrap/>
        <w:overflowPunct/>
        <w:topLinePunct w:val="0"/>
        <w:autoSpaceDE/>
        <w:autoSpaceDN/>
        <w:bidi w:val="0"/>
        <w:adjustRightInd/>
        <w:spacing w:line="500" w:lineRule="exact"/>
        <w:ind w:right="28" w:firstLine="560" w:firstLineChars="200"/>
        <w:textAlignment w:val="auto"/>
        <w:rPr>
          <w:rFonts w:hint="eastAsia" w:hAnsi="宋体"/>
          <w:sz w:val="28"/>
          <w:szCs w:val="28"/>
        </w:rPr>
      </w:pPr>
    </w:p>
    <w:p>
      <w:pPr>
        <w:pStyle w:val="13"/>
        <w:pageBreakBefore w:val="0"/>
        <w:tabs>
          <w:tab w:val="left" w:pos="180"/>
          <w:tab w:val="left" w:pos="1080"/>
        </w:tabs>
        <w:kinsoku/>
        <w:wordWrap/>
        <w:overflowPunct/>
        <w:topLinePunct w:val="0"/>
        <w:autoSpaceDE/>
        <w:autoSpaceDN/>
        <w:bidi w:val="0"/>
        <w:adjustRightInd/>
        <w:spacing w:line="500" w:lineRule="exact"/>
        <w:ind w:right="28" w:firstLine="560" w:firstLineChars="200"/>
        <w:textAlignment w:val="auto"/>
        <w:rPr>
          <w:rFonts w:hint="eastAsia" w:hAnsi="宋体"/>
          <w:sz w:val="28"/>
          <w:szCs w:val="28"/>
        </w:rPr>
      </w:pPr>
    </w:p>
    <w:p>
      <w:pPr>
        <w:pStyle w:val="13"/>
        <w:pageBreakBefore w:val="0"/>
        <w:tabs>
          <w:tab w:val="left" w:pos="180"/>
          <w:tab w:val="left" w:pos="1080"/>
        </w:tabs>
        <w:kinsoku/>
        <w:wordWrap/>
        <w:overflowPunct/>
        <w:topLinePunct w:val="0"/>
        <w:autoSpaceDE/>
        <w:autoSpaceDN/>
        <w:bidi w:val="0"/>
        <w:adjustRightInd/>
        <w:spacing w:line="500" w:lineRule="exact"/>
        <w:ind w:right="28" w:firstLine="560" w:firstLineChars="200"/>
        <w:textAlignment w:val="auto"/>
        <w:rPr>
          <w:rFonts w:hint="eastAsia" w:hAnsi="宋体"/>
          <w:sz w:val="28"/>
          <w:szCs w:val="28"/>
        </w:rPr>
      </w:pPr>
    </w:p>
    <w:p>
      <w:pPr>
        <w:pStyle w:val="13"/>
        <w:pageBreakBefore w:val="0"/>
        <w:tabs>
          <w:tab w:val="left" w:pos="180"/>
          <w:tab w:val="left" w:pos="1080"/>
        </w:tabs>
        <w:kinsoku/>
        <w:wordWrap/>
        <w:overflowPunct/>
        <w:topLinePunct w:val="0"/>
        <w:autoSpaceDE/>
        <w:autoSpaceDN/>
        <w:bidi w:val="0"/>
        <w:adjustRightInd/>
        <w:spacing w:line="500" w:lineRule="exact"/>
        <w:ind w:right="28" w:firstLine="560" w:firstLineChars="200"/>
        <w:textAlignment w:val="auto"/>
        <w:rPr>
          <w:rFonts w:hint="eastAsia" w:hAnsi="宋体"/>
          <w:sz w:val="28"/>
          <w:szCs w:val="28"/>
        </w:rPr>
      </w:pPr>
    </w:p>
    <w:p>
      <w:pPr>
        <w:pStyle w:val="13"/>
        <w:pageBreakBefore w:val="0"/>
        <w:tabs>
          <w:tab w:val="left" w:pos="180"/>
          <w:tab w:val="left" w:pos="1080"/>
        </w:tabs>
        <w:kinsoku/>
        <w:wordWrap/>
        <w:overflowPunct/>
        <w:topLinePunct w:val="0"/>
        <w:autoSpaceDE/>
        <w:autoSpaceDN/>
        <w:bidi w:val="0"/>
        <w:adjustRightInd/>
        <w:spacing w:line="500" w:lineRule="exact"/>
        <w:ind w:right="28" w:firstLine="560" w:firstLineChars="200"/>
        <w:textAlignment w:val="auto"/>
        <w:rPr>
          <w:rFonts w:hint="eastAsia" w:hAnsi="宋体"/>
          <w:sz w:val="28"/>
          <w:szCs w:val="28"/>
        </w:rPr>
      </w:pPr>
    </w:p>
    <w:p>
      <w:pPr>
        <w:pStyle w:val="13"/>
        <w:pageBreakBefore w:val="0"/>
        <w:tabs>
          <w:tab w:val="left" w:pos="180"/>
          <w:tab w:val="left" w:pos="1080"/>
        </w:tabs>
        <w:kinsoku/>
        <w:wordWrap/>
        <w:overflowPunct/>
        <w:topLinePunct w:val="0"/>
        <w:autoSpaceDE/>
        <w:autoSpaceDN/>
        <w:bidi w:val="0"/>
        <w:adjustRightInd/>
        <w:spacing w:line="500" w:lineRule="exact"/>
        <w:ind w:right="28" w:firstLine="560" w:firstLineChars="200"/>
        <w:textAlignment w:val="auto"/>
        <w:rPr>
          <w:rFonts w:hint="eastAsia" w:hAnsi="宋体"/>
          <w:sz w:val="28"/>
          <w:szCs w:val="28"/>
        </w:rPr>
      </w:pPr>
    </w:p>
    <w:p>
      <w:pPr>
        <w:pStyle w:val="13"/>
        <w:pageBreakBefore w:val="0"/>
        <w:tabs>
          <w:tab w:val="left" w:pos="180"/>
          <w:tab w:val="left" w:pos="1080"/>
        </w:tabs>
        <w:kinsoku/>
        <w:wordWrap/>
        <w:overflowPunct/>
        <w:topLinePunct w:val="0"/>
        <w:autoSpaceDE/>
        <w:autoSpaceDN/>
        <w:bidi w:val="0"/>
        <w:adjustRightInd/>
        <w:spacing w:line="500" w:lineRule="exact"/>
        <w:ind w:right="28" w:firstLine="560" w:firstLineChars="200"/>
        <w:textAlignment w:val="auto"/>
        <w:rPr>
          <w:rFonts w:hint="eastAsia" w:hAnsi="宋体"/>
          <w:sz w:val="28"/>
          <w:szCs w:val="28"/>
        </w:rPr>
      </w:pPr>
    </w:p>
    <w:p>
      <w:pPr>
        <w:pStyle w:val="13"/>
        <w:pageBreakBefore w:val="0"/>
        <w:tabs>
          <w:tab w:val="left" w:pos="180"/>
          <w:tab w:val="left" w:pos="1080"/>
        </w:tabs>
        <w:kinsoku/>
        <w:wordWrap/>
        <w:overflowPunct/>
        <w:topLinePunct w:val="0"/>
        <w:autoSpaceDE/>
        <w:autoSpaceDN/>
        <w:bidi w:val="0"/>
        <w:adjustRightInd/>
        <w:spacing w:line="500" w:lineRule="exact"/>
        <w:ind w:right="28" w:firstLine="560" w:firstLineChars="200"/>
        <w:textAlignment w:val="auto"/>
        <w:rPr>
          <w:rFonts w:hint="eastAsia" w:hAnsi="宋体"/>
          <w:sz w:val="28"/>
          <w:szCs w:val="28"/>
        </w:rPr>
      </w:pPr>
    </w:p>
    <w:p>
      <w:pPr>
        <w:pStyle w:val="13"/>
        <w:pageBreakBefore w:val="0"/>
        <w:tabs>
          <w:tab w:val="left" w:pos="180"/>
          <w:tab w:val="left" w:pos="1080"/>
        </w:tabs>
        <w:kinsoku/>
        <w:wordWrap/>
        <w:overflowPunct/>
        <w:topLinePunct w:val="0"/>
        <w:autoSpaceDE/>
        <w:autoSpaceDN/>
        <w:bidi w:val="0"/>
        <w:adjustRightInd/>
        <w:spacing w:line="500" w:lineRule="exact"/>
        <w:ind w:right="28" w:firstLine="560" w:firstLineChars="200"/>
        <w:textAlignment w:val="auto"/>
        <w:rPr>
          <w:rFonts w:hint="eastAsia" w:hAnsi="宋体"/>
          <w:sz w:val="28"/>
          <w:szCs w:val="28"/>
        </w:rPr>
      </w:pPr>
    </w:p>
    <w:p>
      <w:pPr>
        <w:pStyle w:val="2"/>
        <w:spacing w:before="0" w:after="0" w:line="480" w:lineRule="auto"/>
        <w:jc w:val="center"/>
        <w:rPr>
          <w:rFonts w:ascii="仿宋_GB2312" w:hAnsi="宋体" w:eastAsia="仿宋_GB2312"/>
        </w:rPr>
      </w:pPr>
      <w:bookmarkStart w:id="17" w:name="_Toc476334923"/>
      <w:r>
        <w:rPr>
          <w:rFonts w:hint="eastAsia" w:ascii="仿宋_GB2312" w:hAnsi="宋体" w:eastAsia="仿宋_GB2312"/>
        </w:rPr>
        <w:t>附件</w:t>
      </w:r>
      <w:bookmarkEnd w:id="17"/>
    </w:p>
    <w:p>
      <w:pPr>
        <w:spacing w:line="500" w:lineRule="exact"/>
        <w:rPr>
          <w:rFonts w:ascii="仿宋_GB2312" w:hAnsi="宋体" w:eastAsia="仿宋_GB2312"/>
          <w:sz w:val="28"/>
          <w:szCs w:val="28"/>
        </w:rPr>
      </w:pP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一、《司法评估委托书》复印件</w:t>
      </w:r>
    </w:p>
    <w:p>
      <w:pPr>
        <w:pageBreakBefore w:val="0"/>
        <w:kinsoku/>
        <w:wordWrap/>
        <w:overflowPunct/>
        <w:topLinePunct w:val="0"/>
        <w:autoSpaceDE/>
        <w:autoSpaceDN/>
        <w:bidi w:val="0"/>
        <w:adjustRightInd/>
        <w:spacing w:line="500" w:lineRule="exact"/>
        <w:ind w:firstLine="560" w:firstLineChars="200"/>
        <w:textAlignment w:val="auto"/>
        <w:rPr>
          <w:rFonts w:hint="eastAsia" w:ascii="仿宋_GB2312" w:eastAsia="仿宋_GB2312"/>
          <w:color w:val="000000"/>
          <w:sz w:val="28"/>
          <w:szCs w:val="28"/>
          <w:lang w:eastAsia="zh-CN"/>
        </w:rPr>
      </w:pPr>
      <w:r>
        <w:rPr>
          <w:rFonts w:hint="eastAsia" w:ascii="仿宋_GB2312" w:hAnsi="宋体" w:eastAsia="仿宋_GB2312"/>
          <w:sz w:val="28"/>
          <w:szCs w:val="28"/>
        </w:rPr>
        <w:t>二、</w:t>
      </w:r>
      <w:r>
        <w:rPr>
          <w:rFonts w:hint="eastAsia" w:ascii="仿宋_GB2312" w:hAnsi="宋体" w:eastAsia="仿宋_GB2312" w:cs="Times New Roman"/>
          <w:sz w:val="28"/>
          <w:szCs w:val="28"/>
          <w:lang w:eastAsia="zh-CN"/>
        </w:rPr>
        <w:t>民和回族土族自治县</w:t>
      </w:r>
      <w:r>
        <w:rPr>
          <w:rFonts w:hint="eastAsia" w:ascii="仿宋_GB2312" w:hAnsi="宋体" w:eastAsia="仿宋_GB2312" w:cs="Times New Roman"/>
          <w:sz w:val="28"/>
          <w:szCs w:val="28"/>
          <w:lang w:val="en-US" w:eastAsia="zh-CN"/>
        </w:rPr>
        <w:t>房产管理局《回复函》复印件；</w:t>
      </w:r>
    </w:p>
    <w:p>
      <w:pPr>
        <w:pageBreakBefore w:val="0"/>
        <w:kinsoku/>
        <w:wordWrap/>
        <w:overflowPunct/>
        <w:topLinePunct w:val="0"/>
        <w:autoSpaceDE/>
        <w:autoSpaceDN/>
        <w:bidi w:val="0"/>
        <w:adjustRightInd/>
        <w:spacing w:line="50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lang w:val="en-US" w:eastAsia="zh-CN"/>
        </w:rPr>
        <w:t>三</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测绘成果报告书</w:t>
      </w:r>
      <w:r>
        <w:rPr>
          <w:rFonts w:hint="eastAsia" w:ascii="仿宋_GB2312" w:eastAsia="仿宋_GB2312"/>
          <w:color w:val="000000"/>
          <w:sz w:val="28"/>
          <w:szCs w:val="28"/>
          <w:lang w:eastAsia="zh-CN"/>
        </w:rPr>
        <w:t>》</w:t>
      </w:r>
      <w:r>
        <w:rPr>
          <w:rFonts w:hint="eastAsia" w:ascii="仿宋_GB2312" w:eastAsia="仿宋_GB2312"/>
          <w:color w:val="000000"/>
          <w:sz w:val="28"/>
          <w:szCs w:val="28"/>
        </w:rPr>
        <w:t>复印件；</w:t>
      </w:r>
    </w:p>
    <w:p>
      <w:pPr>
        <w:spacing w:line="500" w:lineRule="exact"/>
        <w:ind w:firstLine="560" w:firstLineChars="200"/>
        <w:rPr>
          <w:rFonts w:ascii="仿宋_GB2312" w:hAnsi="宋体" w:eastAsia="仿宋_GB2312"/>
          <w:sz w:val="28"/>
          <w:szCs w:val="28"/>
        </w:rPr>
      </w:pPr>
      <w:r>
        <w:rPr>
          <w:rFonts w:hint="eastAsia" w:ascii="仿宋_GB2312" w:eastAsia="仿宋_GB2312"/>
          <w:color w:val="000000"/>
          <w:sz w:val="28"/>
          <w:szCs w:val="28"/>
          <w:lang w:val="en-US" w:eastAsia="zh-CN"/>
        </w:rPr>
        <w:t>四</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项目总</w:t>
      </w:r>
      <w:r>
        <w:rPr>
          <w:rFonts w:hint="eastAsia" w:ascii="仿宋_GB2312" w:eastAsia="仿宋_GB2312"/>
          <w:color w:val="000000"/>
          <w:sz w:val="28"/>
          <w:szCs w:val="28"/>
        </w:rPr>
        <w:t>《国有土地使用证》</w:t>
      </w:r>
      <w:r>
        <w:rPr>
          <w:rFonts w:hint="eastAsia" w:ascii="仿宋_GB2312" w:eastAsia="仿宋_GB2312"/>
          <w:color w:val="000000"/>
          <w:sz w:val="28"/>
          <w:szCs w:val="28"/>
          <w:lang w:eastAsia="zh-CN"/>
        </w:rPr>
        <w:t>、</w:t>
      </w:r>
      <w:r>
        <w:rPr>
          <w:rFonts w:hint="eastAsia" w:ascii="仿宋_GB2312" w:eastAsia="仿宋_GB2312"/>
          <w:color w:val="000000"/>
          <w:sz w:val="28"/>
          <w:szCs w:val="28"/>
        </w:rPr>
        <w:t>《</w:t>
      </w:r>
      <w:r>
        <w:rPr>
          <w:rFonts w:hint="eastAsia" w:ascii="仿宋_GB2312" w:eastAsia="仿宋_GB2312"/>
          <w:color w:val="000000"/>
          <w:sz w:val="28"/>
          <w:szCs w:val="28"/>
          <w:lang w:eastAsia="zh-CN"/>
        </w:rPr>
        <w:t>建设工程规划许可证</w:t>
      </w:r>
      <w:r>
        <w:rPr>
          <w:rFonts w:hint="eastAsia" w:ascii="仿宋_GB2312" w:eastAsia="仿宋_GB2312"/>
          <w:color w:val="000000"/>
          <w:sz w:val="28"/>
          <w:szCs w:val="28"/>
        </w:rPr>
        <w:t>》</w:t>
      </w:r>
      <w:r>
        <w:rPr>
          <w:rFonts w:hint="eastAsia" w:ascii="仿宋_GB2312" w:eastAsia="仿宋_GB2312"/>
          <w:color w:val="000000"/>
          <w:sz w:val="28"/>
          <w:szCs w:val="28"/>
          <w:lang w:eastAsia="zh-CN"/>
        </w:rPr>
        <w:t>等</w:t>
      </w:r>
      <w:r>
        <w:rPr>
          <w:rFonts w:hint="eastAsia" w:ascii="仿宋_GB2312" w:eastAsia="仿宋_GB2312"/>
          <w:color w:val="000000"/>
          <w:sz w:val="28"/>
          <w:szCs w:val="28"/>
        </w:rPr>
        <w:t>复印件</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lang w:val="en-US" w:eastAsia="zh-CN"/>
        </w:rPr>
        <w:t>五</w:t>
      </w:r>
      <w:r>
        <w:rPr>
          <w:rFonts w:hint="eastAsia" w:ascii="仿宋_GB2312" w:hAnsi="宋体" w:eastAsia="仿宋_GB2312"/>
          <w:sz w:val="28"/>
          <w:szCs w:val="28"/>
        </w:rPr>
        <w:t>、估价对象实景图</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lang w:val="en-US" w:eastAsia="zh-CN"/>
        </w:rPr>
        <w:t>六</w:t>
      </w:r>
      <w:r>
        <w:rPr>
          <w:rFonts w:hint="eastAsia" w:ascii="仿宋_GB2312" w:hAnsi="宋体" w:eastAsia="仿宋_GB2312"/>
          <w:sz w:val="28"/>
          <w:szCs w:val="28"/>
        </w:rPr>
        <w:t>、估价对象位置示意图</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lang w:val="en-US" w:eastAsia="zh-CN"/>
        </w:rPr>
        <w:t>七</w:t>
      </w:r>
      <w:r>
        <w:rPr>
          <w:rFonts w:hint="eastAsia" w:ascii="仿宋_GB2312" w:hAnsi="宋体" w:eastAsia="仿宋_GB2312"/>
          <w:sz w:val="28"/>
          <w:szCs w:val="28"/>
        </w:rPr>
        <w:t>、估价机构营业执照复印件</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lang w:val="en-US" w:eastAsia="zh-CN"/>
        </w:rPr>
        <w:t>八</w:t>
      </w:r>
      <w:r>
        <w:rPr>
          <w:rFonts w:hint="eastAsia" w:ascii="仿宋_GB2312" w:hAnsi="宋体" w:eastAsia="仿宋_GB2312"/>
          <w:sz w:val="28"/>
          <w:szCs w:val="28"/>
        </w:rPr>
        <w:t>、估价机构资格证书复印件</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lang w:val="en-US" w:eastAsia="zh-CN"/>
        </w:rPr>
        <w:t>九</w:t>
      </w:r>
      <w:r>
        <w:rPr>
          <w:rFonts w:hint="eastAsia" w:ascii="仿宋_GB2312" w:hAnsi="宋体" w:eastAsia="仿宋_GB2312"/>
          <w:sz w:val="28"/>
          <w:szCs w:val="28"/>
        </w:rPr>
        <w:t>、估价师资格证书复印件</w:t>
      </w:r>
    </w:p>
    <w:sectPr>
      <w:pgSz w:w="11906" w:h="16838"/>
      <w:pgMar w:top="1418" w:right="1134" w:bottom="1247" w:left="1418" w:header="851" w:footer="992" w:gutter="0"/>
      <w:pgNumType w:start="1"/>
      <w:cols w:space="425"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Arial Unicode MS">
    <w:altName w:val="宋体"/>
    <w:panose1 w:val="020B0604020202020204"/>
    <w:charset w:val="86"/>
    <w:family w:val="roman"/>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Plotter">
    <w:altName w:val="Tahoma"/>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Arial Black">
    <w:panose1 w:val="020B0A0402010202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jc w:val="center"/>
      <w:rPr>
        <w:rStyle w:val="28"/>
      </w:rPr>
    </w:pPr>
  </w:p>
  <w:p>
    <w:pPr>
      <w:pStyle w:val="15"/>
      <w:framePr w:wrap="around" w:vAnchor="text" w:hAnchor="margin" w:xAlign="center" w:y="1"/>
      <w:rPr>
        <w:rStyle w:val="28"/>
      </w:rPr>
    </w:pPr>
  </w:p>
  <w:p>
    <w:pPr>
      <w:pStyle w:val="1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8"/>
      </w:rPr>
    </w:pPr>
    <w:r>
      <w:rPr>
        <w:rStyle w:val="28"/>
      </w:rPr>
      <w:fldChar w:fldCharType="begin"/>
    </w:r>
    <w:r>
      <w:rPr>
        <w:rStyle w:val="28"/>
      </w:rPr>
      <w:instrText xml:space="preserve">PAGE  </w:instrText>
    </w:r>
    <w:r>
      <w:rPr>
        <w:rStyle w:val="28"/>
      </w:rPr>
      <w:fldChar w:fldCharType="separate"/>
    </w:r>
    <w:r>
      <w:rPr>
        <w:rStyle w:val="28"/>
      </w:rPr>
      <w:t>10</w:t>
    </w:r>
    <w:r>
      <w:rPr>
        <w:rStyle w:val="28"/>
      </w:rPr>
      <w:fldChar w:fldCharType="end"/>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w:pict>
        <v:line id="_x0000_s4097" o:spid="_x0000_s4097" o:spt="20" style="position:absolute;left:0pt;margin-left:0pt;margin-top:4.75pt;height:0pt;width:426.7pt;z-index:251660288;mso-width-relative:page;mso-height-relative:page;" coordsize="21600,21600">
          <v:path arrowok="t"/>
          <v:fill focussize="0,0"/>
          <v:stroke weight="4.5pt" linestyle="thinThick"/>
          <v:imagedata o:title=""/>
          <o:lock v:ext="edit"/>
        </v:line>
      </w:pict>
    </w:r>
  </w:p>
  <w:p>
    <w:pPr>
      <w:pStyle w:val="15"/>
      <w:framePr w:wrap="around" w:vAnchor="text" w:hAnchor="page" w:x="10236" w:y="118"/>
      <w:rPr>
        <w:rStyle w:val="28"/>
        <w:rFonts w:ascii="Arial Black" w:hAnsi="Arial Black"/>
        <w:sz w:val="28"/>
      </w:rPr>
    </w:pPr>
    <w:r>
      <w:rPr>
        <w:rStyle w:val="28"/>
        <w:rFonts w:ascii="Arial Black" w:hAnsi="Arial Black"/>
        <w:sz w:val="28"/>
      </w:rPr>
      <w:fldChar w:fldCharType="begin"/>
    </w:r>
    <w:r>
      <w:rPr>
        <w:rStyle w:val="28"/>
        <w:rFonts w:ascii="Arial Black" w:hAnsi="Arial Black"/>
        <w:sz w:val="28"/>
      </w:rPr>
      <w:instrText xml:space="preserve">PAGE  </w:instrText>
    </w:r>
    <w:r>
      <w:rPr>
        <w:rStyle w:val="28"/>
        <w:rFonts w:ascii="Arial Black" w:hAnsi="Arial Black"/>
        <w:sz w:val="28"/>
      </w:rPr>
      <w:fldChar w:fldCharType="separate"/>
    </w:r>
    <w:r>
      <w:rPr>
        <w:rStyle w:val="28"/>
        <w:rFonts w:ascii="Arial Black" w:hAnsi="Arial Black"/>
        <w:sz w:val="28"/>
      </w:rPr>
      <w:t>11</w:t>
    </w:r>
    <w:r>
      <w:rPr>
        <w:rStyle w:val="28"/>
        <w:rFonts w:ascii="Arial Black" w:hAnsi="Arial Black"/>
        <w:sz w:val="28"/>
      </w:rPr>
      <w:fldChar w:fldCharType="end"/>
    </w:r>
  </w:p>
  <w:p>
    <w:pPr>
      <w:pStyle w:val="15"/>
      <w:ind w:right="360"/>
      <w:rPr>
        <w:rFonts w:eastAsia="仿宋_GB2312"/>
        <w:sz w:val="21"/>
      </w:rPr>
    </w:pPr>
    <w:r>
      <w:rPr>
        <w:rFonts w:hint="eastAsia" w:eastAsia="仿宋_GB2312"/>
        <w:sz w:val="21"/>
      </w:rPr>
      <w:t>金华市华诚房地产土地评估有限责任公司</w:t>
    </w:r>
    <w:r>
      <w:rPr>
        <w:rFonts w:hint="eastAsia" w:eastAsia="仿宋_GB2312"/>
        <w:sz w:val="21"/>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632" w:leftChars="301" w:firstLine="7110" w:firstLineChars="3950"/>
      <w:jc w:val="both"/>
      <w:rPr>
        <w:rFonts w:ascii="仿宋_GB2312" w:hAnsi="宋体" w:eastAsia="仿宋_GB2312"/>
        <w:iCs/>
      </w:rPr>
    </w:pPr>
    <w:r>
      <w:rPr>
        <w:rFonts w:hint="eastAsia" w:ascii="仿宋_GB2312" w:hAnsi="宋体" w:eastAsia="仿宋_GB2312"/>
        <w:iCs/>
      </w:rPr>
      <w:t>华诚·估价报告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6137B"/>
    <w:rsid w:val="00002155"/>
    <w:rsid w:val="00002F8F"/>
    <w:rsid w:val="00005473"/>
    <w:rsid w:val="000056D8"/>
    <w:rsid w:val="00010D7C"/>
    <w:rsid w:val="0001218C"/>
    <w:rsid w:val="00014A6A"/>
    <w:rsid w:val="00015241"/>
    <w:rsid w:val="00020FAA"/>
    <w:rsid w:val="0002366B"/>
    <w:rsid w:val="00024417"/>
    <w:rsid w:val="0002615F"/>
    <w:rsid w:val="00032944"/>
    <w:rsid w:val="00032C25"/>
    <w:rsid w:val="000333AF"/>
    <w:rsid w:val="00033C68"/>
    <w:rsid w:val="00034666"/>
    <w:rsid w:val="00035762"/>
    <w:rsid w:val="00044214"/>
    <w:rsid w:val="00052BD4"/>
    <w:rsid w:val="0005410D"/>
    <w:rsid w:val="000548B6"/>
    <w:rsid w:val="00055573"/>
    <w:rsid w:val="00056F49"/>
    <w:rsid w:val="0006137B"/>
    <w:rsid w:val="00061473"/>
    <w:rsid w:val="0006536D"/>
    <w:rsid w:val="00065875"/>
    <w:rsid w:val="00065B8A"/>
    <w:rsid w:val="000717E1"/>
    <w:rsid w:val="00071CF9"/>
    <w:rsid w:val="000728D4"/>
    <w:rsid w:val="000729F3"/>
    <w:rsid w:val="00075670"/>
    <w:rsid w:val="00077302"/>
    <w:rsid w:val="00083787"/>
    <w:rsid w:val="0008438A"/>
    <w:rsid w:val="00085F78"/>
    <w:rsid w:val="00087103"/>
    <w:rsid w:val="00090E7D"/>
    <w:rsid w:val="000968AA"/>
    <w:rsid w:val="00097E55"/>
    <w:rsid w:val="000A2F7A"/>
    <w:rsid w:val="000A431D"/>
    <w:rsid w:val="000B022A"/>
    <w:rsid w:val="000B2958"/>
    <w:rsid w:val="000B5040"/>
    <w:rsid w:val="000B61BE"/>
    <w:rsid w:val="000C0421"/>
    <w:rsid w:val="000C3304"/>
    <w:rsid w:val="000D2AF8"/>
    <w:rsid w:val="000D30A8"/>
    <w:rsid w:val="000D4038"/>
    <w:rsid w:val="000D4DC4"/>
    <w:rsid w:val="000E1560"/>
    <w:rsid w:val="000E1A3D"/>
    <w:rsid w:val="000E20E3"/>
    <w:rsid w:val="000E5BBB"/>
    <w:rsid w:val="000F2068"/>
    <w:rsid w:val="000F3B80"/>
    <w:rsid w:val="000F49B7"/>
    <w:rsid w:val="000F6BAE"/>
    <w:rsid w:val="000F71B3"/>
    <w:rsid w:val="000F796B"/>
    <w:rsid w:val="001008AE"/>
    <w:rsid w:val="0010128F"/>
    <w:rsid w:val="001061CB"/>
    <w:rsid w:val="00106B14"/>
    <w:rsid w:val="0011038C"/>
    <w:rsid w:val="001137A4"/>
    <w:rsid w:val="001142C1"/>
    <w:rsid w:val="00115DFD"/>
    <w:rsid w:val="00116E0E"/>
    <w:rsid w:val="00116F38"/>
    <w:rsid w:val="00121D64"/>
    <w:rsid w:val="001250EA"/>
    <w:rsid w:val="00125756"/>
    <w:rsid w:val="00126CDB"/>
    <w:rsid w:val="00127B12"/>
    <w:rsid w:val="001308A7"/>
    <w:rsid w:val="00130B24"/>
    <w:rsid w:val="001333E0"/>
    <w:rsid w:val="001339BD"/>
    <w:rsid w:val="0013475E"/>
    <w:rsid w:val="00134786"/>
    <w:rsid w:val="0013575C"/>
    <w:rsid w:val="00141987"/>
    <w:rsid w:val="00142040"/>
    <w:rsid w:val="00142D45"/>
    <w:rsid w:val="001502C2"/>
    <w:rsid w:val="00150C4C"/>
    <w:rsid w:val="00151D9D"/>
    <w:rsid w:val="00152047"/>
    <w:rsid w:val="00154DD8"/>
    <w:rsid w:val="001562B2"/>
    <w:rsid w:val="00156892"/>
    <w:rsid w:val="001576E2"/>
    <w:rsid w:val="00157B02"/>
    <w:rsid w:val="00161DA3"/>
    <w:rsid w:val="001630A0"/>
    <w:rsid w:val="001728FC"/>
    <w:rsid w:val="0017362F"/>
    <w:rsid w:val="00175A9C"/>
    <w:rsid w:val="00175E1A"/>
    <w:rsid w:val="00177FB1"/>
    <w:rsid w:val="00180450"/>
    <w:rsid w:val="00184FA4"/>
    <w:rsid w:val="00185AAF"/>
    <w:rsid w:val="00186CA3"/>
    <w:rsid w:val="0018777E"/>
    <w:rsid w:val="00192B68"/>
    <w:rsid w:val="001962AB"/>
    <w:rsid w:val="001A2310"/>
    <w:rsid w:val="001A4482"/>
    <w:rsid w:val="001A6D9A"/>
    <w:rsid w:val="001B41E5"/>
    <w:rsid w:val="001B4286"/>
    <w:rsid w:val="001B4C01"/>
    <w:rsid w:val="001B6585"/>
    <w:rsid w:val="001B79DC"/>
    <w:rsid w:val="001B7F04"/>
    <w:rsid w:val="001D0531"/>
    <w:rsid w:val="001D2444"/>
    <w:rsid w:val="001D2478"/>
    <w:rsid w:val="001D24FA"/>
    <w:rsid w:val="001D42EE"/>
    <w:rsid w:val="001E0692"/>
    <w:rsid w:val="001E0994"/>
    <w:rsid w:val="001E1230"/>
    <w:rsid w:val="001E12E6"/>
    <w:rsid w:val="001E160F"/>
    <w:rsid w:val="001E18AB"/>
    <w:rsid w:val="001E1D06"/>
    <w:rsid w:val="001E1E55"/>
    <w:rsid w:val="001E2BBD"/>
    <w:rsid w:val="001E6635"/>
    <w:rsid w:val="001E6EA2"/>
    <w:rsid w:val="001F5CFE"/>
    <w:rsid w:val="001F7445"/>
    <w:rsid w:val="001F7CEA"/>
    <w:rsid w:val="00201447"/>
    <w:rsid w:val="0020210E"/>
    <w:rsid w:val="002042EB"/>
    <w:rsid w:val="00204C25"/>
    <w:rsid w:val="00212706"/>
    <w:rsid w:val="00212C1F"/>
    <w:rsid w:val="002141AA"/>
    <w:rsid w:val="0021441C"/>
    <w:rsid w:val="00217D2E"/>
    <w:rsid w:val="0022399D"/>
    <w:rsid w:val="0023006C"/>
    <w:rsid w:val="00231EEC"/>
    <w:rsid w:val="00234A77"/>
    <w:rsid w:val="00235FB4"/>
    <w:rsid w:val="0023762E"/>
    <w:rsid w:val="002377EC"/>
    <w:rsid w:val="00242522"/>
    <w:rsid w:val="002438AB"/>
    <w:rsid w:val="00246B0F"/>
    <w:rsid w:val="00247585"/>
    <w:rsid w:val="0025054A"/>
    <w:rsid w:val="00252DF7"/>
    <w:rsid w:val="002550CC"/>
    <w:rsid w:val="002574DE"/>
    <w:rsid w:val="002577EC"/>
    <w:rsid w:val="00257DCB"/>
    <w:rsid w:val="00260956"/>
    <w:rsid w:val="002636CC"/>
    <w:rsid w:val="00270F09"/>
    <w:rsid w:val="002753C6"/>
    <w:rsid w:val="00277CEE"/>
    <w:rsid w:val="00282E9D"/>
    <w:rsid w:val="00283435"/>
    <w:rsid w:val="002843B4"/>
    <w:rsid w:val="00286270"/>
    <w:rsid w:val="00287A23"/>
    <w:rsid w:val="00293B65"/>
    <w:rsid w:val="00293D87"/>
    <w:rsid w:val="00294B67"/>
    <w:rsid w:val="002A22D5"/>
    <w:rsid w:val="002A2686"/>
    <w:rsid w:val="002B05AF"/>
    <w:rsid w:val="002B18F4"/>
    <w:rsid w:val="002B777C"/>
    <w:rsid w:val="002C2749"/>
    <w:rsid w:val="002D0FCA"/>
    <w:rsid w:val="002D1BAB"/>
    <w:rsid w:val="002D1DA8"/>
    <w:rsid w:val="002D39E8"/>
    <w:rsid w:val="002D785A"/>
    <w:rsid w:val="002E2093"/>
    <w:rsid w:val="002E688B"/>
    <w:rsid w:val="002F0FA0"/>
    <w:rsid w:val="002F48D4"/>
    <w:rsid w:val="002F4DCC"/>
    <w:rsid w:val="002F6768"/>
    <w:rsid w:val="002F780D"/>
    <w:rsid w:val="002F7931"/>
    <w:rsid w:val="00301B97"/>
    <w:rsid w:val="00324EDA"/>
    <w:rsid w:val="003301D3"/>
    <w:rsid w:val="00331AE9"/>
    <w:rsid w:val="00336B44"/>
    <w:rsid w:val="00341251"/>
    <w:rsid w:val="003420AD"/>
    <w:rsid w:val="003425D7"/>
    <w:rsid w:val="0034776B"/>
    <w:rsid w:val="0035285C"/>
    <w:rsid w:val="003555F6"/>
    <w:rsid w:val="00356664"/>
    <w:rsid w:val="0035760C"/>
    <w:rsid w:val="00360ECF"/>
    <w:rsid w:val="003626CB"/>
    <w:rsid w:val="0036279F"/>
    <w:rsid w:val="00364091"/>
    <w:rsid w:val="00372364"/>
    <w:rsid w:val="003726ED"/>
    <w:rsid w:val="00372B21"/>
    <w:rsid w:val="00372C31"/>
    <w:rsid w:val="00375359"/>
    <w:rsid w:val="0037742C"/>
    <w:rsid w:val="00377704"/>
    <w:rsid w:val="00377D7E"/>
    <w:rsid w:val="003831A2"/>
    <w:rsid w:val="0038320E"/>
    <w:rsid w:val="00383E7F"/>
    <w:rsid w:val="00385687"/>
    <w:rsid w:val="003864D5"/>
    <w:rsid w:val="00387525"/>
    <w:rsid w:val="00391EBA"/>
    <w:rsid w:val="003939B4"/>
    <w:rsid w:val="00396420"/>
    <w:rsid w:val="003A3E9C"/>
    <w:rsid w:val="003A4651"/>
    <w:rsid w:val="003A4DAC"/>
    <w:rsid w:val="003A6C4C"/>
    <w:rsid w:val="003B01CA"/>
    <w:rsid w:val="003B122B"/>
    <w:rsid w:val="003B1767"/>
    <w:rsid w:val="003B1D1B"/>
    <w:rsid w:val="003B6581"/>
    <w:rsid w:val="003C03F9"/>
    <w:rsid w:val="003C0CAF"/>
    <w:rsid w:val="003C105E"/>
    <w:rsid w:val="003C2AAF"/>
    <w:rsid w:val="003C3443"/>
    <w:rsid w:val="003C4BC6"/>
    <w:rsid w:val="003C7986"/>
    <w:rsid w:val="003D190A"/>
    <w:rsid w:val="003D6C2F"/>
    <w:rsid w:val="003D7872"/>
    <w:rsid w:val="003E58B6"/>
    <w:rsid w:val="003F1F94"/>
    <w:rsid w:val="003F4950"/>
    <w:rsid w:val="003F5D3C"/>
    <w:rsid w:val="00401E14"/>
    <w:rsid w:val="004028A0"/>
    <w:rsid w:val="004033B6"/>
    <w:rsid w:val="0040759A"/>
    <w:rsid w:val="00412861"/>
    <w:rsid w:val="0041624B"/>
    <w:rsid w:val="00420042"/>
    <w:rsid w:val="00420826"/>
    <w:rsid w:val="004209F6"/>
    <w:rsid w:val="00424CB9"/>
    <w:rsid w:val="0042719A"/>
    <w:rsid w:val="0042755F"/>
    <w:rsid w:val="00427756"/>
    <w:rsid w:val="00427996"/>
    <w:rsid w:val="00427B4B"/>
    <w:rsid w:val="00433EC5"/>
    <w:rsid w:val="004342B5"/>
    <w:rsid w:val="004351C4"/>
    <w:rsid w:val="00440BF4"/>
    <w:rsid w:val="0044647D"/>
    <w:rsid w:val="004469A4"/>
    <w:rsid w:val="00446D0D"/>
    <w:rsid w:val="004515C3"/>
    <w:rsid w:val="00452354"/>
    <w:rsid w:val="00454803"/>
    <w:rsid w:val="00455A60"/>
    <w:rsid w:val="00464846"/>
    <w:rsid w:val="00464E45"/>
    <w:rsid w:val="00467665"/>
    <w:rsid w:val="00470A32"/>
    <w:rsid w:val="00471C43"/>
    <w:rsid w:val="004741D6"/>
    <w:rsid w:val="00477C18"/>
    <w:rsid w:val="00477E56"/>
    <w:rsid w:val="00480841"/>
    <w:rsid w:val="00486C25"/>
    <w:rsid w:val="00487F4F"/>
    <w:rsid w:val="00490132"/>
    <w:rsid w:val="00490461"/>
    <w:rsid w:val="00491C6B"/>
    <w:rsid w:val="00492068"/>
    <w:rsid w:val="004930CF"/>
    <w:rsid w:val="004A08D3"/>
    <w:rsid w:val="004A1510"/>
    <w:rsid w:val="004A30BF"/>
    <w:rsid w:val="004A4CE3"/>
    <w:rsid w:val="004A5E67"/>
    <w:rsid w:val="004B2877"/>
    <w:rsid w:val="004B3482"/>
    <w:rsid w:val="004B4B7E"/>
    <w:rsid w:val="004B5B8F"/>
    <w:rsid w:val="004C0113"/>
    <w:rsid w:val="004C5ACE"/>
    <w:rsid w:val="004C722E"/>
    <w:rsid w:val="004C7328"/>
    <w:rsid w:val="004D1077"/>
    <w:rsid w:val="004D12DA"/>
    <w:rsid w:val="004D1DDD"/>
    <w:rsid w:val="004D1F55"/>
    <w:rsid w:val="004D3537"/>
    <w:rsid w:val="004D45D7"/>
    <w:rsid w:val="004D6332"/>
    <w:rsid w:val="004D6F75"/>
    <w:rsid w:val="004E4712"/>
    <w:rsid w:val="004E634E"/>
    <w:rsid w:val="004E7A80"/>
    <w:rsid w:val="004F1759"/>
    <w:rsid w:val="004F1B00"/>
    <w:rsid w:val="004F270D"/>
    <w:rsid w:val="00500FE0"/>
    <w:rsid w:val="0050573A"/>
    <w:rsid w:val="00506102"/>
    <w:rsid w:val="00515689"/>
    <w:rsid w:val="005160F0"/>
    <w:rsid w:val="00523C4B"/>
    <w:rsid w:val="00526503"/>
    <w:rsid w:val="005317F6"/>
    <w:rsid w:val="00532BA8"/>
    <w:rsid w:val="00534EBE"/>
    <w:rsid w:val="0053755A"/>
    <w:rsid w:val="005376B9"/>
    <w:rsid w:val="00537EF4"/>
    <w:rsid w:val="00542D46"/>
    <w:rsid w:val="00546BB1"/>
    <w:rsid w:val="00546DBA"/>
    <w:rsid w:val="00547D46"/>
    <w:rsid w:val="005550A4"/>
    <w:rsid w:val="005552D3"/>
    <w:rsid w:val="00561ABA"/>
    <w:rsid w:val="00562F9F"/>
    <w:rsid w:val="00565B87"/>
    <w:rsid w:val="00567595"/>
    <w:rsid w:val="00567BAF"/>
    <w:rsid w:val="00570FB7"/>
    <w:rsid w:val="00575DA0"/>
    <w:rsid w:val="005768B9"/>
    <w:rsid w:val="00576AE6"/>
    <w:rsid w:val="00576D61"/>
    <w:rsid w:val="00577477"/>
    <w:rsid w:val="00586E1E"/>
    <w:rsid w:val="0059031A"/>
    <w:rsid w:val="00592BE9"/>
    <w:rsid w:val="0059393B"/>
    <w:rsid w:val="00593987"/>
    <w:rsid w:val="00595C61"/>
    <w:rsid w:val="00596531"/>
    <w:rsid w:val="005A4896"/>
    <w:rsid w:val="005A4CC4"/>
    <w:rsid w:val="005A60FA"/>
    <w:rsid w:val="005B1B20"/>
    <w:rsid w:val="005B1BE2"/>
    <w:rsid w:val="005B2792"/>
    <w:rsid w:val="005B58B2"/>
    <w:rsid w:val="005B6F39"/>
    <w:rsid w:val="005B7188"/>
    <w:rsid w:val="005C03C8"/>
    <w:rsid w:val="005C22E0"/>
    <w:rsid w:val="005C3772"/>
    <w:rsid w:val="005C4EC4"/>
    <w:rsid w:val="005C743F"/>
    <w:rsid w:val="005C759A"/>
    <w:rsid w:val="005D3E62"/>
    <w:rsid w:val="005D552B"/>
    <w:rsid w:val="005D6027"/>
    <w:rsid w:val="005E0D5C"/>
    <w:rsid w:val="005E22C5"/>
    <w:rsid w:val="005E36A8"/>
    <w:rsid w:val="005E372A"/>
    <w:rsid w:val="005E6DDD"/>
    <w:rsid w:val="005E706A"/>
    <w:rsid w:val="005F14B3"/>
    <w:rsid w:val="005F24D4"/>
    <w:rsid w:val="005F2999"/>
    <w:rsid w:val="005F2DDE"/>
    <w:rsid w:val="005F3177"/>
    <w:rsid w:val="005F4B04"/>
    <w:rsid w:val="005F583C"/>
    <w:rsid w:val="005F60E8"/>
    <w:rsid w:val="00605D74"/>
    <w:rsid w:val="006078B9"/>
    <w:rsid w:val="00611576"/>
    <w:rsid w:val="0061220F"/>
    <w:rsid w:val="006123A0"/>
    <w:rsid w:val="00612599"/>
    <w:rsid w:val="00615CA7"/>
    <w:rsid w:val="00617DD6"/>
    <w:rsid w:val="00621D0E"/>
    <w:rsid w:val="00625611"/>
    <w:rsid w:val="0062676D"/>
    <w:rsid w:val="006271F4"/>
    <w:rsid w:val="00627956"/>
    <w:rsid w:val="00627C74"/>
    <w:rsid w:val="00630A78"/>
    <w:rsid w:val="006339F8"/>
    <w:rsid w:val="0063551A"/>
    <w:rsid w:val="00635C92"/>
    <w:rsid w:val="00637E75"/>
    <w:rsid w:val="006401DF"/>
    <w:rsid w:val="00643226"/>
    <w:rsid w:val="00646044"/>
    <w:rsid w:val="00655205"/>
    <w:rsid w:val="00655CD8"/>
    <w:rsid w:val="00660DFD"/>
    <w:rsid w:val="0066133F"/>
    <w:rsid w:val="0066249E"/>
    <w:rsid w:val="00665F8D"/>
    <w:rsid w:val="0067123D"/>
    <w:rsid w:val="00671AB2"/>
    <w:rsid w:val="00675137"/>
    <w:rsid w:val="0067628B"/>
    <w:rsid w:val="006808AF"/>
    <w:rsid w:val="00683519"/>
    <w:rsid w:val="00686B06"/>
    <w:rsid w:val="0069152B"/>
    <w:rsid w:val="00692219"/>
    <w:rsid w:val="00692CF4"/>
    <w:rsid w:val="00693C7F"/>
    <w:rsid w:val="00697653"/>
    <w:rsid w:val="00697B86"/>
    <w:rsid w:val="006A2C89"/>
    <w:rsid w:val="006A5C5F"/>
    <w:rsid w:val="006A6DA1"/>
    <w:rsid w:val="006A6E70"/>
    <w:rsid w:val="006A7BF5"/>
    <w:rsid w:val="006B03C8"/>
    <w:rsid w:val="006B0C24"/>
    <w:rsid w:val="006B0D9D"/>
    <w:rsid w:val="006B13CA"/>
    <w:rsid w:val="006B3A49"/>
    <w:rsid w:val="006B3A67"/>
    <w:rsid w:val="006B46C1"/>
    <w:rsid w:val="006B55C7"/>
    <w:rsid w:val="006B68A7"/>
    <w:rsid w:val="006B74FE"/>
    <w:rsid w:val="006B7879"/>
    <w:rsid w:val="006C5772"/>
    <w:rsid w:val="006D1E1C"/>
    <w:rsid w:val="006D4F01"/>
    <w:rsid w:val="006D78C1"/>
    <w:rsid w:val="006E5A46"/>
    <w:rsid w:val="006E6E4D"/>
    <w:rsid w:val="006E77C0"/>
    <w:rsid w:val="006F6934"/>
    <w:rsid w:val="00707237"/>
    <w:rsid w:val="007177A0"/>
    <w:rsid w:val="00722B0B"/>
    <w:rsid w:val="007324AC"/>
    <w:rsid w:val="0073281E"/>
    <w:rsid w:val="007378E9"/>
    <w:rsid w:val="007401E5"/>
    <w:rsid w:val="00741B4B"/>
    <w:rsid w:val="00743F81"/>
    <w:rsid w:val="0074512F"/>
    <w:rsid w:val="00747F48"/>
    <w:rsid w:val="0075065C"/>
    <w:rsid w:val="007526D4"/>
    <w:rsid w:val="007547A9"/>
    <w:rsid w:val="00754F3A"/>
    <w:rsid w:val="00761161"/>
    <w:rsid w:val="0076204C"/>
    <w:rsid w:val="00764E37"/>
    <w:rsid w:val="007732D4"/>
    <w:rsid w:val="007735A8"/>
    <w:rsid w:val="007756C8"/>
    <w:rsid w:val="00777C97"/>
    <w:rsid w:val="007814E0"/>
    <w:rsid w:val="007835EF"/>
    <w:rsid w:val="007835F7"/>
    <w:rsid w:val="00783F5B"/>
    <w:rsid w:val="00792456"/>
    <w:rsid w:val="007A0173"/>
    <w:rsid w:val="007A142F"/>
    <w:rsid w:val="007A1ACB"/>
    <w:rsid w:val="007A3D4F"/>
    <w:rsid w:val="007A4494"/>
    <w:rsid w:val="007A79CC"/>
    <w:rsid w:val="007B10A5"/>
    <w:rsid w:val="007B2712"/>
    <w:rsid w:val="007B6149"/>
    <w:rsid w:val="007B6328"/>
    <w:rsid w:val="007C171D"/>
    <w:rsid w:val="007C2661"/>
    <w:rsid w:val="007C4621"/>
    <w:rsid w:val="007C6881"/>
    <w:rsid w:val="007C7BC1"/>
    <w:rsid w:val="007D315E"/>
    <w:rsid w:val="007D37F6"/>
    <w:rsid w:val="007D4425"/>
    <w:rsid w:val="007D4BE6"/>
    <w:rsid w:val="007D7083"/>
    <w:rsid w:val="007D74F1"/>
    <w:rsid w:val="007E28DE"/>
    <w:rsid w:val="007E3BF1"/>
    <w:rsid w:val="007E647F"/>
    <w:rsid w:val="007F1447"/>
    <w:rsid w:val="007F1798"/>
    <w:rsid w:val="007F45AF"/>
    <w:rsid w:val="007F45E4"/>
    <w:rsid w:val="007F481A"/>
    <w:rsid w:val="007F53B6"/>
    <w:rsid w:val="007F5F89"/>
    <w:rsid w:val="007F653F"/>
    <w:rsid w:val="008010E1"/>
    <w:rsid w:val="0080436B"/>
    <w:rsid w:val="008047F5"/>
    <w:rsid w:val="0080667B"/>
    <w:rsid w:val="008071EA"/>
    <w:rsid w:val="0080727A"/>
    <w:rsid w:val="008201D0"/>
    <w:rsid w:val="00822C85"/>
    <w:rsid w:val="00824E89"/>
    <w:rsid w:val="008252C6"/>
    <w:rsid w:val="00832F36"/>
    <w:rsid w:val="00835839"/>
    <w:rsid w:val="00836940"/>
    <w:rsid w:val="00840688"/>
    <w:rsid w:val="0084082D"/>
    <w:rsid w:val="008423CD"/>
    <w:rsid w:val="00844C4A"/>
    <w:rsid w:val="0084568E"/>
    <w:rsid w:val="00846E08"/>
    <w:rsid w:val="00847AB5"/>
    <w:rsid w:val="00850AB7"/>
    <w:rsid w:val="00853D87"/>
    <w:rsid w:val="0085513E"/>
    <w:rsid w:val="00855620"/>
    <w:rsid w:val="00855F60"/>
    <w:rsid w:val="00855FB2"/>
    <w:rsid w:val="00855FB9"/>
    <w:rsid w:val="00856553"/>
    <w:rsid w:val="00856963"/>
    <w:rsid w:val="00856A5A"/>
    <w:rsid w:val="00856B9B"/>
    <w:rsid w:val="0086059A"/>
    <w:rsid w:val="008658D8"/>
    <w:rsid w:val="00865A5F"/>
    <w:rsid w:val="00866EC5"/>
    <w:rsid w:val="00871666"/>
    <w:rsid w:val="00872FA1"/>
    <w:rsid w:val="00876596"/>
    <w:rsid w:val="0087707E"/>
    <w:rsid w:val="008801A5"/>
    <w:rsid w:val="00883090"/>
    <w:rsid w:val="00884367"/>
    <w:rsid w:val="00887D03"/>
    <w:rsid w:val="008924E3"/>
    <w:rsid w:val="00893DAF"/>
    <w:rsid w:val="008948D5"/>
    <w:rsid w:val="00895854"/>
    <w:rsid w:val="008A2C87"/>
    <w:rsid w:val="008A4B8C"/>
    <w:rsid w:val="008A5783"/>
    <w:rsid w:val="008A5F8F"/>
    <w:rsid w:val="008A72BC"/>
    <w:rsid w:val="008A731B"/>
    <w:rsid w:val="008B1B69"/>
    <w:rsid w:val="008B2722"/>
    <w:rsid w:val="008B6D94"/>
    <w:rsid w:val="008C12EB"/>
    <w:rsid w:val="008C232E"/>
    <w:rsid w:val="008C3424"/>
    <w:rsid w:val="008C3A1D"/>
    <w:rsid w:val="008C3AF4"/>
    <w:rsid w:val="008D09DF"/>
    <w:rsid w:val="008D0A25"/>
    <w:rsid w:val="008D4A47"/>
    <w:rsid w:val="008D5245"/>
    <w:rsid w:val="008D5DA2"/>
    <w:rsid w:val="008D67FE"/>
    <w:rsid w:val="008E050D"/>
    <w:rsid w:val="008E31CF"/>
    <w:rsid w:val="008E3517"/>
    <w:rsid w:val="008E4DA0"/>
    <w:rsid w:val="008E6423"/>
    <w:rsid w:val="008E6C38"/>
    <w:rsid w:val="008F659C"/>
    <w:rsid w:val="00903C15"/>
    <w:rsid w:val="009100C1"/>
    <w:rsid w:val="009106D8"/>
    <w:rsid w:val="009130E0"/>
    <w:rsid w:val="00914316"/>
    <w:rsid w:val="00914F1F"/>
    <w:rsid w:val="0092232C"/>
    <w:rsid w:val="0092303F"/>
    <w:rsid w:val="00926133"/>
    <w:rsid w:val="00936488"/>
    <w:rsid w:val="00936AD3"/>
    <w:rsid w:val="00940684"/>
    <w:rsid w:val="009417C5"/>
    <w:rsid w:val="00941E44"/>
    <w:rsid w:val="00941FFE"/>
    <w:rsid w:val="00943643"/>
    <w:rsid w:val="00944431"/>
    <w:rsid w:val="0094502E"/>
    <w:rsid w:val="009472FB"/>
    <w:rsid w:val="0094788C"/>
    <w:rsid w:val="00951D43"/>
    <w:rsid w:val="009523D7"/>
    <w:rsid w:val="00952909"/>
    <w:rsid w:val="009536A9"/>
    <w:rsid w:val="00955D82"/>
    <w:rsid w:val="0095685B"/>
    <w:rsid w:val="0096040F"/>
    <w:rsid w:val="00960955"/>
    <w:rsid w:val="00962A48"/>
    <w:rsid w:val="00962D3D"/>
    <w:rsid w:val="009633F2"/>
    <w:rsid w:val="009642D7"/>
    <w:rsid w:val="00964934"/>
    <w:rsid w:val="009655A3"/>
    <w:rsid w:val="00965BA5"/>
    <w:rsid w:val="00971B7E"/>
    <w:rsid w:val="00971FB8"/>
    <w:rsid w:val="009769A2"/>
    <w:rsid w:val="00977F7E"/>
    <w:rsid w:val="00982296"/>
    <w:rsid w:val="009824FA"/>
    <w:rsid w:val="00984C1F"/>
    <w:rsid w:val="0098513B"/>
    <w:rsid w:val="0099316D"/>
    <w:rsid w:val="00994349"/>
    <w:rsid w:val="0099537D"/>
    <w:rsid w:val="00995A7B"/>
    <w:rsid w:val="009965D6"/>
    <w:rsid w:val="009B341C"/>
    <w:rsid w:val="009B4176"/>
    <w:rsid w:val="009B46C2"/>
    <w:rsid w:val="009B5141"/>
    <w:rsid w:val="009B6C9D"/>
    <w:rsid w:val="009C0818"/>
    <w:rsid w:val="009C4987"/>
    <w:rsid w:val="009C5011"/>
    <w:rsid w:val="009C6724"/>
    <w:rsid w:val="009C74ED"/>
    <w:rsid w:val="009D0039"/>
    <w:rsid w:val="009D291A"/>
    <w:rsid w:val="009D31DD"/>
    <w:rsid w:val="009D4710"/>
    <w:rsid w:val="009D50F8"/>
    <w:rsid w:val="009D607B"/>
    <w:rsid w:val="009D6ADC"/>
    <w:rsid w:val="009D7FB3"/>
    <w:rsid w:val="009E1172"/>
    <w:rsid w:val="009E1FD6"/>
    <w:rsid w:val="009E496C"/>
    <w:rsid w:val="009E4D24"/>
    <w:rsid w:val="009E52E9"/>
    <w:rsid w:val="009F261F"/>
    <w:rsid w:val="009F50F3"/>
    <w:rsid w:val="009F6007"/>
    <w:rsid w:val="009F6899"/>
    <w:rsid w:val="00A01325"/>
    <w:rsid w:val="00A05E1E"/>
    <w:rsid w:val="00A13DE9"/>
    <w:rsid w:val="00A155E3"/>
    <w:rsid w:val="00A157DF"/>
    <w:rsid w:val="00A164FD"/>
    <w:rsid w:val="00A21CE4"/>
    <w:rsid w:val="00A21E0C"/>
    <w:rsid w:val="00A22CD0"/>
    <w:rsid w:val="00A22EF2"/>
    <w:rsid w:val="00A258A6"/>
    <w:rsid w:val="00A25E7B"/>
    <w:rsid w:val="00A302C3"/>
    <w:rsid w:val="00A32C52"/>
    <w:rsid w:val="00A347DF"/>
    <w:rsid w:val="00A34F8F"/>
    <w:rsid w:val="00A36D7D"/>
    <w:rsid w:val="00A37EFC"/>
    <w:rsid w:val="00A37FBA"/>
    <w:rsid w:val="00A50DDA"/>
    <w:rsid w:val="00A535AB"/>
    <w:rsid w:val="00A5686F"/>
    <w:rsid w:val="00A57CE8"/>
    <w:rsid w:val="00A632D9"/>
    <w:rsid w:val="00A64860"/>
    <w:rsid w:val="00A7103C"/>
    <w:rsid w:val="00A74446"/>
    <w:rsid w:val="00A82FD5"/>
    <w:rsid w:val="00A84D21"/>
    <w:rsid w:val="00A876C4"/>
    <w:rsid w:val="00A87C8C"/>
    <w:rsid w:val="00A87D18"/>
    <w:rsid w:val="00A901DE"/>
    <w:rsid w:val="00A90E08"/>
    <w:rsid w:val="00A91F2C"/>
    <w:rsid w:val="00A94197"/>
    <w:rsid w:val="00A94DE7"/>
    <w:rsid w:val="00A94DFE"/>
    <w:rsid w:val="00A95620"/>
    <w:rsid w:val="00A9688B"/>
    <w:rsid w:val="00AA1734"/>
    <w:rsid w:val="00AA326B"/>
    <w:rsid w:val="00AA4965"/>
    <w:rsid w:val="00AA5CB1"/>
    <w:rsid w:val="00AA6290"/>
    <w:rsid w:val="00AB1852"/>
    <w:rsid w:val="00AB2835"/>
    <w:rsid w:val="00AC0E94"/>
    <w:rsid w:val="00AC30D5"/>
    <w:rsid w:val="00AC3A91"/>
    <w:rsid w:val="00AC7C04"/>
    <w:rsid w:val="00AC7F20"/>
    <w:rsid w:val="00AD2A02"/>
    <w:rsid w:val="00AD4BED"/>
    <w:rsid w:val="00AE22BA"/>
    <w:rsid w:val="00AE28A4"/>
    <w:rsid w:val="00AE3704"/>
    <w:rsid w:val="00AE3DC0"/>
    <w:rsid w:val="00AF2AA3"/>
    <w:rsid w:val="00AF3043"/>
    <w:rsid w:val="00AF3289"/>
    <w:rsid w:val="00AF41A3"/>
    <w:rsid w:val="00AF5145"/>
    <w:rsid w:val="00AF71FA"/>
    <w:rsid w:val="00AF7B40"/>
    <w:rsid w:val="00B0014F"/>
    <w:rsid w:val="00B018D6"/>
    <w:rsid w:val="00B0313F"/>
    <w:rsid w:val="00B07E8F"/>
    <w:rsid w:val="00B11F9D"/>
    <w:rsid w:val="00B12C1A"/>
    <w:rsid w:val="00B15322"/>
    <w:rsid w:val="00B15352"/>
    <w:rsid w:val="00B167D6"/>
    <w:rsid w:val="00B202D7"/>
    <w:rsid w:val="00B362A9"/>
    <w:rsid w:val="00B417B0"/>
    <w:rsid w:val="00B45D3A"/>
    <w:rsid w:val="00B46464"/>
    <w:rsid w:val="00B46B7F"/>
    <w:rsid w:val="00B5574E"/>
    <w:rsid w:val="00B626A0"/>
    <w:rsid w:val="00B62D8B"/>
    <w:rsid w:val="00B7093C"/>
    <w:rsid w:val="00B72625"/>
    <w:rsid w:val="00B72997"/>
    <w:rsid w:val="00B745C7"/>
    <w:rsid w:val="00B761E6"/>
    <w:rsid w:val="00B76B55"/>
    <w:rsid w:val="00B77ACB"/>
    <w:rsid w:val="00B81A16"/>
    <w:rsid w:val="00B829EB"/>
    <w:rsid w:val="00B87AAE"/>
    <w:rsid w:val="00B87CEB"/>
    <w:rsid w:val="00B90C45"/>
    <w:rsid w:val="00B91A9B"/>
    <w:rsid w:val="00B931F6"/>
    <w:rsid w:val="00B94296"/>
    <w:rsid w:val="00B94C01"/>
    <w:rsid w:val="00BA71C8"/>
    <w:rsid w:val="00BB469A"/>
    <w:rsid w:val="00BC0FF2"/>
    <w:rsid w:val="00BC42E1"/>
    <w:rsid w:val="00BC7A44"/>
    <w:rsid w:val="00BD2149"/>
    <w:rsid w:val="00BD3E5B"/>
    <w:rsid w:val="00BD6396"/>
    <w:rsid w:val="00BD6C40"/>
    <w:rsid w:val="00BD76EA"/>
    <w:rsid w:val="00BD77B9"/>
    <w:rsid w:val="00BD78A0"/>
    <w:rsid w:val="00BD7F5B"/>
    <w:rsid w:val="00BE1099"/>
    <w:rsid w:val="00BE41F4"/>
    <w:rsid w:val="00C01EF7"/>
    <w:rsid w:val="00C06C0A"/>
    <w:rsid w:val="00C111F5"/>
    <w:rsid w:val="00C114F3"/>
    <w:rsid w:val="00C1246D"/>
    <w:rsid w:val="00C1441B"/>
    <w:rsid w:val="00C20839"/>
    <w:rsid w:val="00C21744"/>
    <w:rsid w:val="00C2208D"/>
    <w:rsid w:val="00C23C0E"/>
    <w:rsid w:val="00C25ADF"/>
    <w:rsid w:val="00C31D86"/>
    <w:rsid w:val="00C32CC0"/>
    <w:rsid w:val="00C34931"/>
    <w:rsid w:val="00C36CDA"/>
    <w:rsid w:val="00C40052"/>
    <w:rsid w:val="00C42A9D"/>
    <w:rsid w:val="00C44911"/>
    <w:rsid w:val="00C44F36"/>
    <w:rsid w:val="00C45098"/>
    <w:rsid w:val="00C45BD9"/>
    <w:rsid w:val="00C5136C"/>
    <w:rsid w:val="00C51C3A"/>
    <w:rsid w:val="00C53BF3"/>
    <w:rsid w:val="00C55E56"/>
    <w:rsid w:val="00C57CB6"/>
    <w:rsid w:val="00C6177A"/>
    <w:rsid w:val="00C633F1"/>
    <w:rsid w:val="00C64AF1"/>
    <w:rsid w:val="00C66917"/>
    <w:rsid w:val="00C67CE0"/>
    <w:rsid w:val="00C72AB9"/>
    <w:rsid w:val="00C73519"/>
    <w:rsid w:val="00C76299"/>
    <w:rsid w:val="00C76E65"/>
    <w:rsid w:val="00C770B1"/>
    <w:rsid w:val="00C802FF"/>
    <w:rsid w:val="00C803F2"/>
    <w:rsid w:val="00C813BA"/>
    <w:rsid w:val="00C8164B"/>
    <w:rsid w:val="00C85E94"/>
    <w:rsid w:val="00C91649"/>
    <w:rsid w:val="00C91D52"/>
    <w:rsid w:val="00C951AD"/>
    <w:rsid w:val="00C96EE7"/>
    <w:rsid w:val="00CA2E34"/>
    <w:rsid w:val="00CB052B"/>
    <w:rsid w:val="00CB3C21"/>
    <w:rsid w:val="00CB6F0F"/>
    <w:rsid w:val="00CC290C"/>
    <w:rsid w:val="00CC4076"/>
    <w:rsid w:val="00CC498C"/>
    <w:rsid w:val="00CC4D40"/>
    <w:rsid w:val="00CD02AA"/>
    <w:rsid w:val="00CD2A35"/>
    <w:rsid w:val="00CD5341"/>
    <w:rsid w:val="00CE2286"/>
    <w:rsid w:val="00CE4161"/>
    <w:rsid w:val="00CE7455"/>
    <w:rsid w:val="00CF2008"/>
    <w:rsid w:val="00CF20DA"/>
    <w:rsid w:val="00CF347E"/>
    <w:rsid w:val="00CF3813"/>
    <w:rsid w:val="00D016EF"/>
    <w:rsid w:val="00D02D88"/>
    <w:rsid w:val="00D0387D"/>
    <w:rsid w:val="00D0653D"/>
    <w:rsid w:val="00D10C74"/>
    <w:rsid w:val="00D13C8E"/>
    <w:rsid w:val="00D14AD2"/>
    <w:rsid w:val="00D155EF"/>
    <w:rsid w:val="00D155F3"/>
    <w:rsid w:val="00D26719"/>
    <w:rsid w:val="00D30867"/>
    <w:rsid w:val="00D363D2"/>
    <w:rsid w:val="00D4024D"/>
    <w:rsid w:val="00D43C1C"/>
    <w:rsid w:val="00D501BC"/>
    <w:rsid w:val="00D502FC"/>
    <w:rsid w:val="00D50F96"/>
    <w:rsid w:val="00D510EA"/>
    <w:rsid w:val="00D566B0"/>
    <w:rsid w:val="00D57E25"/>
    <w:rsid w:val="00D71B6F"/>
    <w:rsid w:val="00D71DDC"/>
    <w:rsid w:val="00D734DC"/>
    <w:rsid w:val="00D8134D"/>
    <w:rsid w:val="00D82111"/>
    <w:rsid w:val="00D8730A"/>
    <w:rsid w:val="00D875BE"/>
    <w:rsid w:val="00D972E8"/>
    <w:rsid w:val="00DA47AA"/>
    <w:rsid w:val="00DA505D"/>
    <w:rsid w:val="00DB14DE"/>
    <w:rsid w:val="00DB1D20"/>
    <w:rsid w:val="00DB2578"/>
    <w:rsid w:val="00DB4382"/>
    <w:rsid w:val="00DB6314"/>
    <w:rsid w:val="00DB71D7"/>
    <w:rsid w:val="00DB7468"/>
    <w:rsid w:val="00DC1EF6"/>
    <w:rsid w:val="00DC71A2"/>
    <w:rsid w:val="00DD2359"/>
    <w:rsid w:val="00DD47EC"/>
    <w:rsid w:val="00DD57A7"/>
    <w:rsid w:val="00DD68F8"/>
    <w:rsid w:val="00DD7F44"/>
    <w:rsid w:val="00DE0C45"/>
    <w:rsid w:val="00DE2EEB"/>
    <w:rsid w:val="00DE6452"/>
    <w:rsid w:val="00DF036E"/>
    <w:rsid w:val="00DF2655"/>
    <w:rsid w:val="00DF29E0"/>
    <w:rsid w:val="00E00D2C"/>
    <w:rsid w:val="00E0567B"/>
    <w:rsid w:val="00E068DE"/>
    <w:rsid w:val="00E139B1"/>
    <w:rsid w:val="00E14B1C"/>
    <w:rsid w:val="00E1539A"/>
    <w:rsid w:val="00E236AE"/>
    <w:rsid w:val="00E23CD6"/>
    <w:rsid w:val="00E26243"/>
    <w:rsid w:val="00E27EFD"/>
    <w:rsid w:val="00E34D5C"/>
    <w:rsid w:val="00E360FE"/>
    <w:rsid w:val="00E40C81"/>
    <w:rsid w:val="00E42871"/>
    <w:rsid w:val="00E429B0"/>
    <w:rsid w:val="00E42E32"/>
    <w:rsid w:val="00E45444"/>
    <w:rsid w:val="00E45F05"/>
    <w:rsid w:val="00E46FE6"/>
    <w:rsid w:val="00E47060"/>
    <w:rsid w:val="00E53C79"/>
    <w:rsid w:val="00E5460F"/>
    <w:rsid w:val="00E54872"/>
    <w:rsid w:val="00E54CFF"/>
    <w:rsid w:val="00E552F8"/>
    <w:rsid w:val="00E57825"/>
    <w:rsid w:val="00E621C9"/>
    <w:rsid w:val="00E639D1"/>
    <w:rsid w:val="00E63AEE"/>
    <w:rsid w:val="00E64BD3"/>
    <w:rsid w:val="00E66EA9"/>
    <w:rsid w:val="00E67C8A"/>
    <w:rsid w:val="00E67DAA"/>
    <w:rsid w:val="00E7249E"/>
    <w:rsid w:val="00E72EC3"/>
    <w:rsid w:val="00E80020"/>
    <w:rsid w:val="00E801C2"/>
    <w:rsid w:val="00E92D98"/>
    <w:rsid w:val="00E972B8"/>
    <w:rsid w:val="00E97A67"/>
    <w:rsid w:val="00EA0297"/>
    <w:rsid w:val="00EA1698"/>
    <w:rsid w:val="00EA2351"/>
    <w:rsid w:val="00EA312A"/>
    <w:rsid w:val="00EA3D8C"/>
    <w:rsid w:val="00EA571E"/>
    <w:rsid w:val="00EA7AAB"/>
    <w:rsid w:val="00EB0CD1"/>
    <w:rsid w:val="00EB0ED1"/>
    <w:rsid w:val="00EB308D"/>
    <w:rsid w:val="00EB3930"/>
    <w:rsid w:val="00EB55AC"/>
    <w:rsid w:val="00EC1803"/>
    <w:rsid w:val="00EC4BBA"/>
    <w:rsid w:val="00EC5712"/>
    <w:rsid w:val="00EC7875"/>
    <w:rsid w:val="00ED2EA1"/>
    <w:rsid w:val="00ED3B99"/>
    <w:rsid w:val="00ED3ED8"/>
    <w:rsid w:val="00EE331F"/>
    <w:rsid w:val="00EE34C1"/>
    <w:rsid w:val="00EE4E56"/>
    <w:rsid w:val="00EE5288"/>
    <w:rsid w:val="00EF046B"/>
    <w:rsid w:val="00EF091E"/>
    <w:rsid w:val="00EF182B"/>
    <w:rsid w:val="00EF202F"/>
    <w:rsid w:val="00EF2F26"/>
    <w:rsid w:val="00EF2F6F"/>
    <w:rsid w:val="00EF4FFD"/>
    <w:rsid w:val="00EF5006"/>
    <w:rsid w:val="00EF5132"/>
    <w:rsid w:val="00EF525B"/>
    <w:rsid w:val="00EF5B14"/>
    <w:rsid w:val="00F03381"/>
    <w:rsid w:val="00F1036A"/>
    <w:rsid w:val="00F10D54"/>
    <w:rsid w:val="00F110A0"/>
    <w:rsid w:val="00F12E71"/>
    <w:rsid w:val="00F13CCC"/>
    <w:rsid w:val="00F143C1"/>
    <w:rsid w:val="00F17370"/>
    <w:rsid w:val="00F174A8"/>
    <w:rsid w:val="00F17AF1"/>
    <w:rsid w:val="00F2046E"/>
    <w:rsid w:val="00F25DD6"/>
    <w:rsid w:val="00F268DE"/>
    <w:rsid w:val="00F31860"/>
    <w:rsid w:val="00F34BD5"/>
    <w:rsid w:val="00F3504C"/>
    <w:rsid w:val="00F35379"/>
    <w:rsid w:val="00F4138B"/>
    <w:rsid w:val="00F43FCC"/>
    <w:rsid w:val="00F4521F"/>
    <w:rsid w:val="00F46B59"/>
    <w:rsid w:val="00F4707A"/>
    <w:rsid w:val="00F50197"/>
    <w:rsid w:val="00F5042E"/>
    <w:rsid w:val="00F51547"/>
    <w:rsid w:val="00F5175A"/>
    <w:rsid w:val="00F51C67"/>
    <w:rsid w:val="00F52263"/>
    <w:rsid w:val="00F52F03"/>
    <w:rsid w:val="00F5369C"/>
    <w:rsid w:val="00F56854"/>
    <w:rsid w:val="00F56AAF"/>
    <w:rsid w:val="00F65AF3"/>
    <w:rsid w:val="00F72697"/>
    <w:rsid w:val="00F743DA"/>
    <w:rsid w:val="00F74710"/>
    <w:rsid w:val="00F81A9C"/>
    <w:rsid w:val="00F82610"/>
    <w:rsid w:val="00F83A3E"/>
    <w:rsid w:val="00F84A90"/>
    <w:rsid w:val="00F85001"/>
    <w:rsid w:val="00F85989"/>
    <w:rsid w:val="00F86D78"/>
    <w:rsid w:val="00F87D72"/>
    <w:rsid w:val="00F90A3A"/>
    <w:rsid w:val="00F93999"/>
    <w:rsid w:val="00FA04B7"/>
    <w:rsid w:val="00FA04C6"/>
    <w:rsid w:val="00FA0668"/>
    <w:rsid w:val="00FA3165"/>
    <w:rsid w:val="00FA4163"/>
    <w:rsid w:val="00FA53E7"/>
    <w:rsid w:val="00FA6954"/>
    <w:rsid w:val="00FB0998"/>
    <w:rsid w:val="00FB1E6B"/>
    <w:rsid w:val="00FB2033"/>
    <w:rsid w:val="00FB5F5F"/>
    <w:rsid w:val="00FB7383"/>
    <w:rsid w:val="00FB7B9E"/>
    <w:rsid w:val="00FC1013"/>
    <w:rsid w:val="00FC1933"/>
    <w:rsid w:val="00FC6A2A"/>
    <w:rsid w:val="00FD2672"/>
    <w:rsid w:val="00FD3247"/>
    <w:rsid w:val="00FD7CB0"/>
    <w:rsid w:val="00FE2B48"/>
    <w:rsid w:val="00FE2C00"/>
    <w:rsid w:val="00FF0287"/>
    <w:rsid w:val="00FF1EE6"/>
    <w:rsid w:val="00FF37E3"/>
    <w:rsid w:val="00FF6ACF"/>
    <w:rsid w:val="00FF7DAE"/>
    <w:rsid w:val="02BE4701"/>
    <w:rsid w:val="03C26BE7"/>
    <w:rsid w:val="05FA4747"/>
    <w:rsid w:val="075C3B53"/>
    <w:rsid w:val="07BB5535"/>
    <w:rsid w:val="0AEE7AE6"/>
    <w:rsid w:val="0E3B681A"/>
    <w:rsid w:val="0E4D26CF"/>
    <w:rsid w:val="0ED95B81"/>
    <w:rsid w:val="10DB1AB0"/>
    <w:rsid w:val="11AD000F"/>
    <w:rsid w:val="11B62317"/>
    <w:rsid w:val="11E17050"/>
    <w:rsid w:val="124D0E22"/>
    <w:rsid w:val="1300070F"/>
    <w:rsid w:val="18A51E17"/>
    <w:rsid w:val="18B17E52"/>
    <w:rsid w:val="19AC18FB"/>
    <w:rsid w:val="1A1B5143"/>
    <w:rsid w:val="1AC12DCE"/>
    <w:rsid w:val="1B2B2F63"/>
    <w:rsid w:val="1C616AB2"/>
    <w:rsid w:val="1CBA5EAA"/>
    <w:rsid w:val="1D6B4A8B"/>
    <w:rsid w:val="20D129E0"/>
    <w:rsid w:val="21486BDB"/>
    <w:rsid w:val="21C72BCC"/>
    <w:rsid w:val="257B35F4"/>
    <w:rsid w:val="26AB02BF"/>
    <w:rsid w:val="2C025147"/>
    <w:rsid w:val="36391D9C"/>
    <w:rsid w:val="36417C4E"/>
    <w:rsid w:val="37950404"/>
    <w:rsid w:val="382F0635"/>
    <w:rsid w:val="3BB71FBE"/>
    <w:rsid w:val="3BEC226C"/>
    <w:rsid w:val="3CB876D4"/>
    <w:rsid w:val="40F61EFB"/>
    <w:rsid w:val="41211BF5"/>
    <w:rsid w:val="41F87942"/>
    <w:rsid w:val="4630334B"/>
    <w:rsid w:val="4A4D4CA9"/>
    <w:rsid w:val="4A863D78"/>
    <w:rsid w:val="4E2E00FD"/>
    <w:rsid w:val="4F627413"/>
    <w:rsid w:val="4FA77D8F"/>
    <w:rsid w:val="50FE4D6C"/>
    <w:rsid w:val="51D40750"/>
    <w:rsid w:val="51EA2C0A"/>
    <w:rsid w:val="529C1476"/>
    <w:rsid w:val="52D25413"/>
    <w:rsid w:val="54E732BF"/>
    <w:rsid w:val="560E54F4"/>
    <w:rsid w:val="5A8402A1"/>
    <w:rsid w:val="5B1C1CD0"/>
    <w:rsid w:val="5BAB39B0"/>
    <w:rsid w:val="661F6F86"/>
    <w:rsid w:val="66535C29"/>
    <w:rsid w:val="676140C4"/>
    <w:rsid w:val="67794597"/>
    <w:rsid w:val="6ADD3180"/>
    <w:rsid w:val="6CDA77B1"/>
    <w:rsid w:val="6D05447A"/>
    <w:rsid w:val="72E44BDF"/>
    <w:rsid w:val="73650D8E"/>
    <w:rsid w:val="748A1535"/>
    <w:rsid w:val="75010912"/>
    <w:rsid w:val="758D6972"/>
    <w:rsid w:val="76177447"/>
    <w:rsid w:val="76900392"/>
    <w:rsid w:val="76FF7C0C"/>
    <w:rsid w:val="76FF7CA8"/>
    <w:rsid w:val="770B1BB6"/>
    <w:rsid w:val="7B2E244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1"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32"/>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33"/>
    <w:qFormat/>
    <w:uiPriority w:val="99"/>
    <w:pPr>
      <w:keepNext/>
      <w:keepLines/>
      <w:spacing w:before="260" w:after="260" w:line="416" w:lineRule="auto"/>
      <w:outlineLvl w:val="1"/>
    </w:pPr>
    <w:rPr>
      <w:rFonts w:ascii="Arial" w:hAnsi="Arial" w:eastAsia="黑体"/>
      <w:b/>
      <w:bCs/>
      <w:kern w:val="0"/>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4">
    <w:name w:val="toc 7"/>
    <w:basedOn w:val="1"/>
    <w:next w:val="1"/>
    <w:semiHidden/>
    <w:qFormat/>
    <w:uiPriority w:val="99"/>
    <w:pPr>
      <w:ind w:left="2520" w:leftChars="1200"/>
    </w:pPr>
  </w:style>
  <w:style w:type="paragraph" w:styleId="5">
    <w:name w:val="Normal Indent"/>
    <w:basedOn w:val="1"/>
    <w:link w:val="45"/>
    <w:qFormat/>
    <w:uiPriority w:val="99"/>
    <w:pPr>
      <w:snapToGrid w:val="0"/>
      <w:spacing w:line="360" w:lineRule="auto"/>
      <w:ind w:firstLine="567"/>
    </w:pPr>
    <w:rPr>
      <w:kern w:val="0"/>
      <w:sz w:val="20"/>
    </w:rPr>
  </w:style>
  <w:style w:type="paragraph" w:styleId="6">
    <w:name w:val="Body Text"/>
    <w:basedOn w:val="1"/>
    <w:qFormat/>
    <w:locked/>
    <w:uiPriority w:val="1"/>
    <w:rPr>
      <w:rFonts w:ascii="宋体" w:hAnsi="宋体" w:eastAsia="宋体" w:cs="宋体"/>
      <w:sz w:val="28"/>
      <w:szCs w:val="28"/>
      <w:lang w:val="zh-CN" w:eastAsia="zh-CN" w:bidi="zh-CN"/>
    </w:rPr>
  </w:style>
  <w:style w:type="paragraph" w:styleId="7">
    <w:name w:val="Body Text Indent"/>
    <w:basedOn w:val="1"/>
    <w:link w:val="34"/>
    <w:qFormat/>
    <w:uiPriority w:val="99"/>
    <w:pPr>
      <w:ind w:firstLine="555"/>
      <w:jc w:val="center"/>
    </w:pPr>
    <w:rPr>
      <w:rFonts w:ascii="仿宋_GB2312" w:eastAsia="仿宋_GB2312"/>
      <w:kern w:val="0"/>
      <w:sz w:val="20"/>
    </w:rPr>
  </w:style>
  <w:style w:type="paragraph" w:styleId="8">
    <w:name w:val="toc 5"/>
    <w:basedOn w:val="1"/>
    <w:next w:val="1"/>
    <w:semiHidden/>
    <w:qFormat/>
    <w:uiPriority w:val="99"/>
    <w:pPr>
      <w:ind w:left="1680" w:leftChars="800"/>
    </w:pPr>
  </w:style>
  <w:style w:type="paragraph" w:styleId="9">
    <w:name w:val="toc 3"/>
    <w:basedOn w:val="1"/>
    <w:next w:val="1"/>
    <w:semiHidden/>
    <w:qFormat/>
    <w:uiPriority w:val="99"/>
    <w:pPr>
      <w:ind w:left="840" w:leftChars="400"/>
    </w:pPr>
  </w:style>
  <w:style w:type="paragraph" w:styleId="10">
    <w:name w:val="Plain Text"/>
    <w:basedOn w:val="1"/>
    <w:next w:val="1"/>
    <w:link w:val="35"/>
    <w:qFormat/>
    <w:uiPriority w:val="99"/>
    <w:rPr>
      <w:rFonts w:ascii="宋体" w:hAnsi="Courier New"/>
      <w:kern w:val="0"/>
      <w:sz w:val="20"/>
    </w:rPr>
  </w:style>
  <w:style w:type="paragraph" w:styleId="11">
    <w:name w:val="toc 8"/>
    <w:basedOn w:val="1"/>
    <w:next w:val="1"/>
    <w:semiHidden/>
    <w:qFormat/>
    <w:uiPriority w:val="99"/>
    <w:pPr>
      <w:ind w:left="2940" w:leftChars="1400"/>
    </w:pPr>
  </w:style>
  <w:style w:type="paragraph" w:styleId="12">
    <w:name w:val="Date"/>
    <w:basedOn w:val="1"/>
    <w:next w:val="1"/>
    <w:link w:val="36"/>
    <w:qFormat/>
    <w:uiPriority w:val="99"/>
    <w:rPr>
      <w:rFonts w:eastAsia="楷体_GB2312"/>
      <w:kern w:val="0"/>
      <w:sz w:val="20"/>
    </w:rPr>
  </w:style>
  <w:style w:type="paragraph" w:styleId="13">
    <w:name w:val="Body Text Indent 2"/>
    <w:basedOn w:val="1"/>
    <w:link w:val="37"/>
    <w:qFormat/>
    <w:uiPriority w:val="99"/>
    <w:pPr>
      <w:spacing w:line="360" w:lineRule="auto"/>
      <w:ind w:firstLine="556"/>
    </w:pPr>
    <w:rPr>
      <w:rFonts w:ascii="仿宋_GB2312" w:eastAsia="仿宋_GB2312"/>
      <w:kern w:val="0"/>
      <w:sz w:val="20"/>
    </w:rPr>
  </w:style>
  <w:style w:type="paragraph" w:styleId="14">
    <w:name w:val="Balloon Text"/>
    <w:basedOn w:val="1"/>
    <w:link w:val="38"/>
    <w:semiHidden/>
    <w:qFormat/>
    <w:uiPriority w:val="99"/>
    <w:rPr>
      <w:kern w:val="0"/>
      <w:sz w:val="18"/>
      <w:szCs w:val="18"/>
    </w:rPr>
  </w:style>
  <w:style w:type="paragraph" w:styleId="15">
    <w:name w:val="footer"/>
    <w:basedOn w:val="1"/>
    <w:link w:val="39"/>
    <w:qFormat/>
    <w:uiPriority w:val="99"/>
    <w:pPr>
      <w:tabs>
        <w:tab w:val="center" w:pos="4153"/>
        <w:tab w:val="right" w:pos="8306"/>
      </w:tabs>
      <w:snapToGrid w:val="0"/>
      <w:jc w:val="left"/>
    </w:pPr>
    <w:rPr>
      <w:kern w:val="0"/>
      <w:sz w:val="18"/>
      <w:szCs w:val="18"/>
    </w:rPr>
  </w:style>
  <w:style w:type="paragraph" w:styleId="16">
    <w:name w:val="header"/>
    <w:basedOn w:val="1"/>
    <w:link w:val="40"/>
    <w:qFormat/>
    <w:uiPriority w:val="99"/>
    <w:pPr>
      <w:pBdr>
        <w:bottom w:val="single" w:color="auto" w:sz="6" w:space="1"/>
      </w:pBdr>
      <w:tabs>
        <w:tab w:val="center" w:pos="4153"/>
        <w:tab w:val="right" w:pos="8306"/>
      </w:tabs>
      <w:snapToGrid w:val="0"/>
      <w:jc w:val="center"/>
    </w:pPr>
    <w:rPr>
      <w:kern w:val="0"/>
      <w:sz w:val="18"/>
      <w:szCs w:val="18"/>
    </w:rPr>
  </w:style>
  <w:style w:type="paragraph" w:styleId="17">
    <w:name w:val="toc 1"/>
    <w:basedOn w:val="1"/>
    <w:next w:val="1"/>
    <w:qFormat/>
    <w:uiPriority w:val="99"/>
  </w:style>
  <w:style w:type="paragraph" w:styleId="18">
    <w:name w:val="toc 4"/>
    <w:basedOn w:val="1"/>
    <w:next w:val="1"/>
    <w:semiHidden/>
    <w:qFormat/>
    <w:uiPriority w:val="99"/>
    <w:pPr>
      <w:ind w:left="1260" w:leftChars="600"/>
    </w:pPr>
  </w:style>
  <w:style w:type="paragraph" w:styleId="19">
    <w:name w:val="toc 6"/>
    <w:basedOn w:val="1"/>
    <w:next w:val="1"/>
    <w:semiHidden/>
    <w:qFormat/>
    <w:uiPriority w:val="99"/>
    <w:pPr>
      <w:ind w:left="2100" w:leftChars="1000"/>
    </w:pPr>
  </w:style>
  <w:style w:type="paragraph" w:styleId="20">
    <w:name w:val="Body Text Indent 3"/>
    <w:basedOn w:val="1"/>
    <w:link w:val="41"/>
    <w:qFormat/>
    <w:uiPriority w:val="99"/>
    <w:pPr>
      <w:spacing w:line="360" w:lineRule="auto"/>
      <w:ind w:firstLine="555"/>
    </w:pPr>
    <w:rPr>
      <w:rFonts w:ascii="仿宋_GB2312" w:eastAsia="仿宋_GB2312"/>
      <w:kern w:val="0"/>
      <w:sz w:val="20"/>
    </w:rPr>
  </w:style>
  <w:style w:type="paragraph" w:styleId="21">
    <w:name w:val="toc 2"/>
    <w:basedOn w:val="1"/>
    <w:next w:val="1"/>
    <w:qFormat/>
    <w:uiPriority w:val="99"/>
    <w:pPr>
      <w:tabs>
        <w:tab w:val="right" w:leader="dot" w:pos="8494"/>
      </w:tabs>
      <w:spacing w:line="480" w:lineRule="auto"/>
      <w:ind w:left="420" w:leftChars="200"/>
    </w:pPr>
  </w:style>
  <w:style w:type="paragraph" w:styleId="22">
    <w:name w:val="toc 9"/>
    <w:basedOn w:val="1"/>
    <w:next w:val="1"/>
    <w:semiHidden/>
    <w:qFormat/>
    <w:uiPriority w:val="99"/>
    <w:pPr>
      <w:ind w:left="3360" w:leftChars="1600"/>
    </w:pPr>
  </w:style>
  <w:style w:type="paragraph" w:styleId="2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25">
    <w:name w:val="Table Grid"/>
    <w:basedOn w:val="24"/>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7">
    <w:name w:val="Strong"/>
    <w:basedOn w:val="26"/>
    <w:qFormat/>
    <w:uiPriority w:val="0"/>
    <w:rPr>
      <w:b/>
    </w:rPr>
  </w:style>
  <w:style w:type="character" w:styleId="28">
    <w:name w:val="page number"/>
    <w:basedOn w:val="26"/>
    <w:qFormat/>
    <w:uiPriority w:val="99"/>
    <w:rPr>
      <w:rFonts w:cs="Times New Roman"/>
    </w:rPr>
  </w:style>
  <w:style w:type="character" w:styleId="29">
    <w:name w:val="FollowedHyperlink"/>
    <w:basedOn w:val="26"/>
    <w:qFormat/>
    <w:uiPriority w:val="99"/>
    <w:rPr>
      <w:rFonts w:cs="Times New Roman"/>
      <w:color w:val="800080"/>
      <w:u w:val="single"/>
    </w:rPr>
  </w:style>
  <w:style w:type="character" w:styleId="30">
    <w:name w:val="Emphasis"/>
    <w:basedOn w:val="26"/>
    <w:qFormat/>
    <w:uiPriority w:val="99"/>
    <w:rPr>
      <w:rFonts w:cs="Times New Roman"/>
      <w:i/>
    </w:rPr>
  </w:style>
  <w:style w:type="character" w:styleId="31">
    <w:name w:val="Hyperlink"/>
    <w:basedOn w:val="26"/>
    <w:qFormat/>
    <w:uiPriority w:val="99"/>
    <w:rPr>
      <w:rFonts w:cs="Times New Roman"/>
      <w:color w:val="0000FF"/>
      <w:u w:val="single"/>
    </w:rPr>
  </w:style>
  <w:style w:type="character" w:customStyle="1" w:styleId="32">
    <w:name w:val="标题 1 Char"/>
    <w:basedOn w:val="26"/>
    <w:link w:val="2"/>
    <w:qFormat/>
    <w:locked/>
    <w:uiPriority w:val="99"/>
    <w:rPr>
      <w:rFonts w:ascii="Times New Roman" w:hAnsi="Times New Roman" w:eastAsia="宋体" w:cs="Times New Roman"/>
      <w:b/>
      <w:kern w:val="44"/>
      <w:sz w:val="44"/>
    </w:rPr>
  </w:style>
  <w:style w:type="character" w:customStyle="1" w:styleId="33">
    <w:name w:val="标题 2 Char"/>
    <w:basedOn w:val="26"/>
    <w:link w:val="3"/>
    <w:qFormat/>
    <w:locked/>
    <w:uiPriority w:val="99"/>
    <w:rPr>
      <w:rFonts w:ascii="Arial" w:hAnsi="Arial" w:eastAsia="黑体" w:cs="Times New Roman"/>
      <w:b/>
      <w:sz w:val="32"/>
    </w:rPr>
  </w:style>
  <w:style w:type="character" w:customStyle="1" w:styleId="34">
    <w:name w:val="正文文本缩进 Char"/>
    <w:basedOn w:val="26"/>
    <w:link w:val="7"/>
    <w:qFormat/>
    <w:locked/>
    <w:uiPriority w:val="99"/>
    <w:rPr>
      <w:rFonts w:ascii="仿宋_GB2312" w:hAnsi="Times New Roman" w:eastAsia="仿宋_GB2312" w:cs="Times New Roman"/>
      <w:sz w:val="20"/>
    </w:rPr>
  </w:style>
  <w:style w:type="character" w:customStyle="1" w:styleId="35">
    <w:name w:val="纯文本 Char"/>
    <w:basedOn w:val="26"/>
    <w:link w:val="10"/>
    <w:qFormat/>
    <w:locked/>
    <w:uiPriority w:val="99"/>
    <w:rPr>
      <w:rFonts w:ascii="宋体" w:hAnsi="Courier New" w:eastAsia="宋体" w:cs="Times New Roman"/>
      <w:sz w:val="20"/>
    </w:rPr>
  </w:style>
  <w:style w:type="character" w:customStyle="1" w:styleId="36">
    <w:name w:val="日期 Char"/>
    <w:basedOn w:val="26"/>
    <w:link w:val="12"/>
    <w:qFormat/>
    <w:locked/>
    <w:uiPriority w:val="99"/>
    <w:rPr>
      <w:rFonts w:ascii="Times New Roman" w:hAnsi="Times New Roman" w:eastAsia="楷体_GB2312" w:cs="Times New Roman"/>
      <w:sz w:val="20"/>
    </w:rPr>
  </w:style>
  <w:style w:type="character" w:customStyle="1" w:styleId="37">
    <w:name w:val="正文文本缩进 2 Char"/>
    <w:basedOn w:val="26"/>
    <w:link w:val="13"/>
    <w:qFormat/>
    <w:locked/>
    <w:uiPriority w:val="99"/>
    <w:rPr>
      <w:rFonts w:ascii="仿宋_GB2312" w:hAnsi="Times New Roman" w:eastAsia="仿宋_GB2312" w:cs="Times New Roman"/>
      <w:sz w:val="20"/>
    </w:rPr>
  </w:style>
  <w:style w:type="character" w:customStyle="1" w:styleId="38">
    <w:name w:val="批注框文本 Char"/>
    <w:basedOn w:val="26"/>
    <w:link w:val="14"/>
    <w:semiHidden/>
    <w:qFormat/>
    <w:locked/>
    <w:uiPriority w:val="99"/>
    <w:rPr>
      <w:rFonts w:ascii="Times New Roman" w:hAnsi="Times New Roman" w:eastAsia="宋体" w:cs="Times New Roman"/>
      <w:sz w:val="18"/>
    </w:rPr>
  </w:style>
  <w:style w:type="character" w:customStyle="1" w:styleId="39">
    <w:name w:val="页脚 Char"/>
    <w:basedOn w:val="26"/>
    <w:link w:val="15"/>
    <w:qFormat/>
    <w:locked/>
    <w:uiPriority w:val="99"/>
    <w:rPr>
      <w:rFonts w:cs="Times New Roman"/>
      <w:sz w:val="18"/>
    </w:rPr>
  </w:style>
  <w:style w:type="character" w:customStyle="1" w:styleId="40">
    <w:name w:val="页眉 Char"/>
    <w:basedOn w:val="26"/>
    <w:link w:val="16"/>
    <w:qFormat/>
    <w:locked/>
    <w:uiPriority w:val="99"/>
    <w:rPr>
      <w:rFonts w:cs="Times New Roman"/>
      <w:sz w:val="18"/>
    </w:rPr>
  </w:style>
  <w:style w:type="character" w:customStyle="1" w:styleId="41">
    <w:name w:val="正文文本缩进 3 Char"/>
    <w:basedOn w:val="26"/>
    <w:link w:val="20"/>
    <w:qFormat/>
    <w:locked/>
    <w:uiPriority w:val="99"/>
    <w:rPr>
      <w:rFonts w:ascii="仿宋_GB2312" w:hAnsi="Times New Roman" w:eastAsia="仿宋_GB2312" w:cs="Times New Roman"/>
      <w:sz w:val="20"/>
    </w:rPr>
  </w:style>
  <w:style w:type="paragraph" w:customStyle="1" w:styleId="42">
    <w:name w:val="封面标题"/>
    <w:basedOn w:val="10"/>
    <w:qFormat/>
    <w:uiPriority w:val="99"/>
    <w:pPr>
      <w:spacing w:line="240" w:lineRule="atLeast"/>
      <w:jc w:val="center"/>
    </w:pPr>
    <w:rPr>
      <w:sz w:val="44"/>
    </w:rPr>
  </w:style>
  <w:style w:type="paragraph" w:customStyle="1" w:styleId="43">
    <w:name w:val="封面正文"/>
    <w:basedOn w:val="10"/>
    <w:qFormat/>
    <w:uiPriority w:val="99"/>
    <w:rPr>
      <w:rFonts w:ascii="楷体_GB2312" w:eastAsia="楷体_GB2312"/>
      <w:sz w:val="32"/>
    </w:rPr>
  </w:style>
  <w:style w:type="paragraph" w:customStyle="1" w:styleId="44">
    <w:name w:val="xl25"/>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Arial Narrow" w:eastAsia="Arial Unicode MS" w:cs="Arial Unicode MS"/>
      <w:b/>
      <w:bCs/>
      <w:kern w:val="0"/>
      <w:szCs w:val="21"/>
    </w:rPr>
  </w:style>
  <w:style w:type="character" w:customStyle="1" w:styleId="45">
    <w:name w:val="正文缩进 Char"/>
    <w:link w:val="5"/>
    <w:qFormat/>
    <w:locked/>
    <w:uiPriority w:val="99"/>
    <w:rPr>
      <w:rFonts w:ascii="Times New Roman" w:hAnsi="Times New Roman" w:eastAsia="宋体"/>
      <w:sz w:val="20"/>
    </w:rPr>
  </w:style>
  <w:style w:type="character" w:customStyle="1" w:styleId="46">
    <w:name w:val="纯文本 Char Char"/>
    <w:link w:val="47"/>
    <w:qFormat/>
    <w:locked/>
    <w:uiPriority w:val="99"/>
    <w:rPr>
      <w:rFonts w:ascii="宋体" w:hAnsi="Courier New"/>
    </w:rPr>
  </w:style>
  <w:style w:type="paragraph" w:customStyle="1" w:styleId="47">
    <w:name w:val="纯文本1"/>
    <w:basedOn w:val="1"/>
    <w:link w:val="46"/>
    <w:qFormat/>
    <w:uiPriority w:val="99"/>
    <w:rPr>
      <w:rFonts w:ascii="宋体" w:hAnsi="Courier New"/>
      <w:kern w:val="0"/>
      <w:sz w:val="20"/>
    </w:rPr>
  </w:style>
  <w:style w:type="character" w:customStyle="1" w:styleId="48">
    <w:name w:val="正文缩进 Char1"/>
    <w:link w:val="49"/>
    <w:qFormat/>
    <w:locked/>
    <w:uiPriority w:val="99"/>
    <w:rPr>
      <w:rFonts w:eastAsia="宋体"/>
      <w:sz w:val="28"/>
    </w:rPr>
  </w:style>
  <w:style w:type="paragraph" w:customStyle="1" w:styleId="49">
    <w:name w:val="正文缩进1"/>
    <w:basedOn w:val="1"/>
    <w:link w:val="48"/>
    <w:qFormat/>
    <w:uiPriority w:val="99"/>
    <w:pPr>
      <w:snapToGrid w:val="0"/>
      <w:spacing w:line="360" w:lineRule="auto"/>
      <w:ind w:firstLine="567"/>
    </w:pPr>
    <w:rPr>
      <w:kern w:val="0"/>
      <w:sz w:val="28"/>
    </w:rPr>
  </w:style>
  <w:style w:type="character" w:customStyle="1" w:styleId="50">
    <w:name w:val="纯文本 Char1"/>
    <w:qFormat/>
    <w:uiPriority w:val="99"/>
    <w:rPr>
      <w:rFonts w:ascii="宋体" w:hAnsi="Courier New"/>
      <w:kern w:val="2"/>
      <w:sz w:val="21"/>
    </w:rPr>
  </w:style>
  <w:style w:type="paragraph" w:customStyle="1" w:styleId="51">
    <w:name w:val="纯文本11"/>
    <w:basedOn w:val="1"/>
    <w:qFormat/>
    <w:uiPriority w:val="99"/>
    <w:rPr>
      <w:rFonts w:ascii="宋体" w:hAnsi="Courier New"/>
    </w:rPr>
  </w:style>
  <w:style w:type="character" w:customStyle="1" w:styleId="52">
    <w:name w:val="cp"/>
    <w:qFormat/>
    <w:uiPriority w:val="99"/>
  </w:style>
  <w:style w:type="character" w:customStyle="1" w:styleId="53">
    <w:name w:val="d12"/>
    <w:qFormat/>
    <w:uiPriority w:val="99"/>
  </w:style>
  <w:style w:type="character" w:customStyle="1" w:styleId="54">
    <w:name w:val="d4"/>
    <w:qFormat/>
    <w:uiPriority w:val="99"/>
  </w:style>
  <w:style w:type="character" w:customStyle="1" w:styleId="55">
    <w:name w:val="s_地址"/>
    <w:qFormat/>
    <w:uiPriority w:val="99"/>
  </w:style>
  <w:style w:type="character" w:customStyle="1" w:styleId="56">
    <w:name w:val="client1"/>
    <w:qFormat/>
    <w:uiPriority w:val="99"/>
  </w:style>
  <w:style w:type="paragraph" w:customStyle="1" w:styleId="57">
    <w:name w:val="无间隔1"/>
    <w:link w:val="58"/>
    <w:qFormat/>
    <w:uiPriority w:val="99"/>
    <w:rPr>
      <w:rFonts w:ascii="Calibri" w:hAnsi="Calibri" w:eastAsia="宋体" w:cs="Times New Roman"/>
      <w:kern w:val="0"/>
      <w:sz w:val="22"/>
      <w:szCs w:val="22"/>
      <w:lang w:val="en-US" w:eastAsia="zh-CN" w:bidi="ar-SA"/>
    </w:rPr>
  </w:style>
  <w:style w:type="character" w:customStyle="1" w:styleId="58">
    <w:name w:val="无间隔 Char"/>
    <w:link w:val="57"/>
    <w:qFormat/>
    <w:locked/>
    <w:uiPriority w:val="99"/>
    <w:rPr>
      <w:rFonts w:ascii="Calibri" w:hAnsi="Calibri"/>
      <w:sz w:val="22"/>
      <w:lang w:val="en-US" w:eastAsia="zh-CN"/>
    </w:rPr>
  </w:style>
  <w:style w:type="paragraph" w:customStyle="1" w:styleId="59">
    <w:name w:val="列出段落1"/>
    <w:basedOn w:val="1"/>
    <w:qFormat/>
    <w:uiPriority w:val="99"/>
    <w:pPr>
      <w:ind w:firstLine="420" w:firstLineChars="200"/>
    </w:pPr>
  </w:style>
  <w:style w:type="character" w:customStyle="1" w:styleId="60">
    <w:name w:val="font101"/>
    <w:qFormat/>
    <w:uiPriority w:val="99"/>
    <w:rPr>
      <w:rFonts w:ascii="Times New Roman" w:hAnsi="Times New Roman"/>
      <w:b/>
      <w:color w:val="auto"/>
      <w:sz w:val="24"/>
      <w:u w:val="none"/>
    </w:rPr>
  </w:style>
  <w:style w:type="character" w:customStyle="1" w:styleId="61">
    <w:name w:val="font91"/>
    <w:qFormat/>
    <w:uiPriority w:val="99"/>
    <w:rPr>
      <w:rFonts w:ascii="宋体" w:hAnsi="宋体" w:eastAsia="宋体"/>
      <w:b/>
      <w:color w:val="auto"/>
      <w:sz w:val="22"/>
      <w:u w:val="none"/>
    </w:rPr>
  </w:style>
  <w:style w:type="character" w:customStyle="1" w:styleId="62">
    <w:name w:val="font121"/>
    <w:qFormat/>
    <w:uiPriority w:val="99"/>
    <w:rPr>
      <w:rFonts w:ascii="Times New Roman" w:hAnsi="Times New Roman"/>
      <w:b/>
      <w:color w:val="auto"/>
      <w:sz w:val="21"/>
      <w:u w:val="none"/>
    </w:rPr>
  </w:style>
  <w:style w:type="character" w:customStyle="1" w:styleId="63">
    <w:name w:val="font61"/>
    <w:qFormat/>
    <w:uiPriority w:val="99"/>
    <w:rPr>
      <w:rFonts w:ascii="Arial Narrow" w:hAnsi="Arial Narrow"/>
      <w:b/>
      <w:color w:val="auto"/>
      <w:sz w:val="22"/>
      <w:u w:val="none"/>
    </w:rPr>
  </w:style>
  <w:style w:type="character" w:customStyle="1" w:styleId="64">
    <w:name w:val="font21"/>
    <w:qFormat/>
    <w:uiPriority w:val="99"/>
    <w:rPr>
      <w:rFonts w:ascii="宋体" w:hAnsi="宋体" w:eastAsia="宋体"/>
      <w:color w:val="000000"/>
      <w:sz w:val="18"/>
      <w:u w:val="none"/>
    </w:rPr>
  </w:style>
  <w:style w:type="character" w:customStyle="1" w:styleId="65">
    <w:name w:val="font11"/>
    <w:qFormat/>
    <w:uiPriority w:val="99"/>
    <w:rPr>
      <w:rFonts w:ascii="宋体" w:hAnsi="宋体" w:eastAsia="宋体"/>
      <w:b/>
      <w:color w:val="000000"/>
      <w:sz w:val="18"/>
      <w:u w:val="none"/>
    </w:rPr>
  </w:style>
  <w:style w:type="character" w:customStyle="1" w:styleId="66">
    <w:name w:val="font01"/>
    <w:qFormat/>
    <w:uiPriority w:val="99"/>
    <w:rPr>
      <w:rFonts w:ascii="宋体" w:hAnsi="宋体" w:eastAsia="宋体"/>
      <w:color w:val="000000"/>
      <w:sz w:val="18"/>
      <w:u w:val="none"/>
    </w:rPr>
  </w:style>
  <w:style w:type="character" w:customStyle="1" w:styleId="67">
    <w:name w:val="font41"/>
    <w:basedOn w:val="26"/>
    <w:qFormat/>
    <w:uiPriority w:val="0"/>
    <w:rPr>
      <w:rFonts w:hint="eastAsia" w:ascii="宋体" w:hAnsi="宋体" w:eastAsia="宋体" w:cs="宋体"/>
      <w:b/>
      <w:color w:val="000000"/>
      <w:sz w:val="20"/>
      <w:szCs w:val="20"/>
      <w:u w:val="none"/>
    </w:rPr>
  </w:style>
  <w:style w:type="character" w:customStyle="1" w:styleId="68">
    <w:name w:val="font51"/>
    <w:basedOn w:val="26"/>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B6155A-1F44-4388-920F-D98F97FA1818}">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14</Pages>
  <Words>6261</Words>
  <Characters>1987</Characters>
  <Lines>16</Lines>
  <Paragraphs>16</Paragraphs>
  <TotalTime>21</TotalTime>
  <ScaleCrop>false</ScaleCrop>
  <LinksUpToDate>false</LinksUpToDate>
  <CharactersWithSpaces>8232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2015-05-10T03:23:00Z</dcterms:created>
  <dc:creator>Microsoft</dc:creator>
  <cp:lastModifiedBy>Administrator</cp:lastModifiedBy>
  <cp:lastPrinted>2019-09-09T02:48:28Z</cp:lastPrinted>
  <dcterms:modified xsi:type="dcterms:W3CDTF">2019-09-09T02:57:31Z</dcterms:modified>
  <cp:revision>403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