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600" w:lineRule="exact"/>
        <w:jc w:val="center"/>
        <w:rPr>
          <w:rFonts w:hint="eastAsia" w:ascii="宋体" w:hAnsi="宋体"/>
          <w:b/>
          <w:sz w:val="72"/>
        </w:rPr>
      </w:pPr>
    </w:p>
    <w:p>
      <w:pPr>
        <w:spacing w:line="600" w:lineRule="exact"/>
        <w:jc w:val="center"/>
        <w:rPr>
          <w:rFonts w:hint="eastAsia" w:ascii="宋体" w:hAnsi="宋体"/>
          <w:b/>
          <w:sz w:val="72"/>
        </w:rPr>
      </w:pPr>
    </w:p>
    <w:p>
      <w:pPr>
        <w:spacing w:line="960" w:lineRule="exact"/>
        <w:rPr>
          <w:rFonts w:hint="eastAsia" w:ascii="宋体" w:hAnsi="宋体"/>
          <w:b/>
          <w:sz w:val="72"/>
        </w:rPr>
      </w:pPr>
    </w:p>
    <w:p>
      <w:pPr>
        <w:jc w:val="center"/>
        <w:rPr>
          <w:rFonts w:hint="eastAsia"/>
          <w:b/>
          <w:sz w:val="84"/>
          <w:szCs w:val="84"/>
        </w:rPr>
      </w:pPr>
      <w:r>
        <w:rPr>
          <w:rFonts w:hint="eastAsia"/>
          <w:b/>
          <w:sz w:val="84"/>
          <w:szCs w:val="84"/>
          <w:lang w:eastAsia="zh-CN"/>
        </w:rPr>
        <w:t>涉案</w:t>
      </w:r>
      <w:r>
        <w:rPr>
          <w:b/>
          <w:sz w:val="84"/>
          <w:szCs w:val="84"/>
        </w:rPr>
        <w:t>房地产估价报告</w:t>
      </w:r>
    </w:p>
    <w:p>
      <w:pPr>
        <w:spacing w:line="600" w:lineRule="exact"/>
        <w:rPr>
          <w:rFonts w:hint="eastAsia" w:ascii="宋体" w:hAnsi="宋体"/>
          <w:b/>
          <w:sz w:val="44"/>
        </w:rPr>
      </w:pPr>
      <w:r>
        <w:rPr>
          <w:rFonts w:hint="eastAsia" w:ascii="宋体" w:hAnsi="宋体"/>
          <w:b/>
          <w:sz w:val="84"/>
        </w:rPr>
        <w:t xml:space="preserve">     </w:t>
      </w:r>
    </w:p>
    <w:p>
      <w:pPr>
        <w:spacing w:line="600" w:lineRule="exact"/>
        <w:jc w:val="center"/>
        <w:rPr>
          <w:rFonts w:hint="eastAsia" w:ascii="宋体" w:hAnsi="宋体" w:eastAsia="宋体"/>
          <w:b/>
          <w:sz w:val="30"/>
          <w:highlight w:val="none"/>
          <w:lang w:val="en-US" w:eastAsia="zh-CN"/>
        </w:rPr>
      </w:pPr>
      <w:r>
        <w:rPr>
          <w:rFonts w:hint="eastAsia" w:ascii="宋体" w:hAnsi="宋体"/>
          <w:b/>
          <w:sz w:val="30"/>
          <w:highlight w:val="none"/>
          <w:lang w:val="en-US" w:eastAsia="zh-CN"/>
        </w:rPr>
        <w:t>内正翔估字[2019]第0068号</w:t>
      </w:r>
    </w:p>
    <w:p>
      <w:pPr>
        <w:spacing w:line="600" w:lineRule="exact"/>
        <w:jc w:val="center"/>
        <w:rPr>
          <w:rFonts w:ascii="宋体" w:hAnsi="宋体"/>
          <w:b/>
          <w:sz w:val="30"/>
        </w:rPr>
      </w:pPr>
    </w:p>
    <w:p>
      <w:pPr>
        <w:spacing w:line="600" w:lineRule="exact"/>
        <w:rPr>
          <w:rFonts w:hint="eastAsia" w:ascii="宋体" w:hAnsi="宋体"/>
        </w:rPr>
      </w:pPr>
    </w:p>
    <w:p>
      <w:pPr>
        <w:spacing w:line="600" w:lineRule="exact"/>
        <w:rPr>
          <w:rFonts w:hint="eastAsia" w:ascii="宋体" w:hAnsi="宋体"/>
        </w:rPr>
      </w:pPr>
    </w:p>
    <w:p>
      <w:pPr>
        <w:spacing w:line="600" w:lineRule="exact"/>
        <w:rPr>
          <w:rFonts w:hint="eastAsia" w:ascii="宋体" w:hAnsi="宋体"/>
        </w:rPr>
      </w:pPr>
    </w:p>
    <w:p>
      <w:pPr>
        <w:spacing w:line="600" w:lineRule="exact"/>
        <w:rPr>
          <w:rFonts w:hint="eastAsia" w:ascii="宋体" w:hAnsi="宋体"/>
        </w:rPr>
      </w:pPr>
    </w:p>
    <w:p>
      <w:pPr>
        <w:ind w:left="2749" w:leftChars="200" w:hanging="2107" w:hangingChars="700"/>
        <w:rPr>
          <w:rFonts w:hint="eastAsia"/>
          <w:b/>
          <w:sz w:val="30"/>
          <w:szCs w:val="30"/>
        </w:rPr>
      </w:pPr>
      <w:r>
        <w:rPr>
          <w:rFonts w:hint="eastAsia"/>
          <w:b/>
          <w:sz w:val="30"/>
          <w:szCs w:val="30"/>
        </w:rPr>
        <w:t>估价项目名称：位于</w:t>
      </w:r>
      <w:r>
        <w:rPr>
          <w:rFonts w:hint="eastAsia"/>
          <w:b/>
          <w:sz w:val="30"/>
          <w:szCs w:val="30"/>
          <w:lang w:eastAsia="zh-CN"/>
        </w:rPr>
        <w:t>巴彦淖尔市磴口县嘉德学府</w:t>
      </w:r>
      <w:r>
        <w:rPr>
          <w:rFonts w:hint="eastAsia"/>
          <w:b/>
          <w:sz w:val="30"/>
          <w:szCs w:val="30"/>
          <w:lang w:val="en-US" w:eastAsia="zh-CN"/>
        </w:rPr>
        <w:t>7</w:t>
      </w:r>
      <w:r>
        <w:rPr>
          <w:rFonts w:hint="eastAsia"/>
          <w:b/>
          <w:sz w:val="30"/>
          <w:szCs w:val="30"/>
          <w:lang w:eastAsia="zh-CN"/>
        </w:rPr>
        <w:t>号楼25套车库</w:t>
      </w:r>
      <w:r>
        <w:rPr>
          <w:rFonts w:hint="eastAsia"/>
          <w:b/>
          <w:sz w:val="30"/>
          <w:szCs w:val="30"/>
        </w:rPr>
        <w:t>的市场价值评估</w:t>
      </w:r>
    </w:p>
    <w:p>
      <w:pPr>
        <w:ind w:left="642" w:leftChars="200"/>
        <w:rPr>
          <w:rFonts w:hint="eastAsia" w:ascii="宋体" w:hAnsi="宋体" w:eastAsia="宋体"/>
          <w:b/>
          <w:sz w:val="30"/>
          <w:szCs w:val="30"/>
          <w:lang w:eastAsia="zh-CN"/>
        </w:rPr>
      </w:pPr>
      <w:r>
        <w:rPr>
          <w:rFonts w:hint="eastAsia" w:ascii="宋体" w:hAnsi="宋体"/>
          <w:b/>
          <w:sz w:val="30"/>
          <w:szCs w:val="30"/>
        </w:rPr>
        <w:t>估价委托人：</w:t>
      </w:r>
      <w:r>
        <w:rPr>
          <w:rFonts w:hint="eastAsia" w:ascii="宋体" w:hAnsi="宋体"/>
          <w:b/>
          <w:sz w:val="30"/>
          <w:szCs w:val="30"/>
          <w:lang w:eastAsia="zh-CN"/>
        </w:rPr>
        <w:t>巴彦淖尔市临河区人民法院</w:t>
      </w:r>
    </w:p>
    <w:p>
      <w:pPr>
        <w:ind w:left="642" w:leftChars="200"/>
        <w:rPr>
          <w:rFonts w:hint="eastAsia" w:ascii="宋体" w:hAnsi="宋体"/>
          <w:b/>
          <w:sz w:val="30"/>
          <w:szCs w:val="30"/>
        </w:rPr>
      </w:pPr>
      <w:r>
        <w:rPr>
          <w:rFonts w:hint="eastAsia" w:ascii="宋体" w:hAnsi="宋体"/>
          <w:b/>
          <w:sz w:val="30"/>
          <w:szCs w:val="30"/>
        </w:rPr>
        <w:t>房地产估价机构：内蒙古正翔房地产价格评估有限责任公司</w:t>
      </w:r>
    </w:p>
    <w:p>
      <w:pPr>
        <w:ind w:left="642" w:leftChars="200"/>
        <w:rPr>
          <w:rFonts w:hint="eastAsia" w:ascii="宋体" w:hAnsi="宋体"/>
          <w:b/>
          <w:sz w:val="30"/>
          <w:szCs w:val="30"/>
          <w:highlight w:val="none"/>
        </w:rPr>
      </w:pPr>
      <w:r>
        <w:rPr>
          <w:rFonts w:hint="eastAsia" w:ascii="宋体" w:hAnsi="宋体"/>
          <w:b/>
          <w:sz w:val="30"/>
          <w:szCs w:val="30"/>
        </w:rPr>
        <w:t>注册房地产估价</w:t>
      </w:r>
      <w:r>
        <w:rPr>
          <w:rFonts w:hint="eastAsia" w:ascii="宋体" w:hAnsi="宋体"/>
          <w:b/>
          <w:sz w:val="30"/>
          <w:szCs w:val="30"/>
          <w:highlight w:val="none"/>
        </w:rPr>
        <w:t>师：郑 美 云（注册号：1519970007）</w:t>
      </w:r>
    </w:p>
    <w:p>
      <w:pPr>
        <w:ind w:left="642" w:leftChars="200"/>
        <w:rPr>
          <w:rFonts w:hint="eastAsia" w:ascii="宋体" w:hAnsi="宋体"/>
          <w:b/>
          <w:sz w:val="30"/>
          <w:szCs w:val="30"/>
          <w:highlight w:val="none"/>
        </w:rPr>
      </w:pPr>
      <w:r>
        <w:rPr>
          <w:rFonts w:hint="eastAsia" w:ascii="宋体" w:hAnsi="宋体"/>
          <w:b/>
          <w:sz w:val="30"/>
          <w:szCs w:val="30"/>
          <w:highlight w:val="none"/>
        </w:rPr>
        <w:t xml:space="preserve">                  </w:t>
      </w:r>
      <w:r>
        <w:rPr>
          <w:rFonts w:hint="eastAsia" w:ascii="宋体" w:hAnsi="宋体"/>
          <w:b/>
          <w:sz w:val="30"/>
          <w:szCs w:val="30"/>
          <w:highlight w:val="none"/>
          <w:lang w:eastAsia="zh-CN"/>
        </w:rPr>
        <w:t>燕</w:t>
      </w:r>
      <w:r>
        <w:rPr>
          <w:rFonts w:hint="eastAsia" w:ascii="宋体" w:hAnsi="宋体"/>
          <w:b/>
          <w:sz w:val="30"/>
          <w:szCs w:val="30"/>
          <w:highlight w:val="none"/>
          <w:lang w:val="en-US" w:eastAsia="zh-CN"/>
        </w:rPr>
        <w:t xml:space="preserve"> </w:t>
      </w:r>
      <w:r>
        <w:rPr>
          <w:rFonts w:hint="eastAsia" w:ascii="宋体" w:hAnsi="宋体"/>
          <w:b/>
          <w:sz w:val="30"/>
          <w:szCs w:val="30"/>
          <w:highlight w:val="none"/>
          <w:lang w:eastAsia="zh-CN"/>
        </w:rPr>
        <w:t>美</w:t>
      </w:r>
      <w:r>
        <w:rPr>
          <w:rFonts w:hint="eastAsia" w:ascii="宋体" w:hAnsi="宋体"/>
          <w:b/>
          <w:sz w:val="30"/>
          <w:szCs w:val="30"/>
          <w:highlight w:val="none"/>
          <w:lang w:val="en-US" w:eastAsia="zh-CN"/>
        </w:rPr>
        <w:t xml:space="preserve"> </w:t>
      </w:r>
      <w:r>
        <w:rPr>
          <w:rFonts w:hint="eastAsia" w:ascii="宋体" w:hAnsi="宋体"/>
          <w:b/>
          <w:sz w:val="30"/>
          <w:szCs w:val="30"/>
          <w:highlight w:val="none"/>
          <w:lang w:eastAsia="zh-CN"/>
        </w:rPr>
        <w:t>荣</w:t>
      </w:r>
      <w:r>
        <w:rPr>
          <w:rFonts w:hint="eastAsia" w:ascii="宋体" w:hAnsi="宋体"/>
          <w:b/>
          <w:sz w:val="30"/>
          <w:szCs w:val="30"/>
          <w:highlight w:val="none"/>
        </w:rPr>
        <w:t>（注册号：</w:t>
      </w:r>
      <w:r>
        <w:rPr>
          <w:rFonts w:hint="eastAsia" w:ascii="宋体" w:hAnsi="宋体"/>
          <w:b/>
          <w:sz w:val="30"/>
          <w:szCs w:val="30"/>
          <w:highlight w:val="none"/>
          <w:lang w:eastAsia="zh-CN"/>
        </w:rPr>
        <w:t>1520140033</w:t>
      </w:r>
      <w:r>
        <w:rPr>
          <w:rFonts w:hint="eastAsia" w:ascii="宋体" w:hAnsi="宋体"/>
          <w:b/>
          <w:sz w:val="30"/>
          <w:szCs w:val="30"/>
          <w:highlight w:val="none"/>
        </w:rPr>
        <w:t>）</w:t>
      </w:r>
    </w:p>
    <w:p>
      <w:pPr>
        <w:ind w:left="642" w:leftChars="200"/>
        <w:rPr>
          <w:rFonts w:hint="eastAsia" w:ascii="宋体" w:hAnsi="宋体" w:eastAsia="宋体"/>
          <w:b/>
          <w:sz w:val="30"/>
          <w:szCs w:val="30"/>
          <w:highlight w:val="none"/>
          <w:lang w:eastAsia="zh-CN"/>
        </w:rPr>
      </w:pPr>
      <w:r>
        <w:rPr>
          <w:rFonts w:hint="eastAsia" w:ascii="宋体" w:hAnsi="宋体"/>
          <w:b/>
          <w:sz w:val="30"/>
          <w:szCs w:val="30"/>
          <w:highlight w:val="none"/>
        </w:rPr>
        <w:t>估价报告出具日期:</w:t>
      </w:r>
      <w:r>
        <w:rPr>
          <w:rFonts w:hint="eastAsia" w:ascii="宋体" w:hAnsi="宋体"/>
          <w:b/>
          <w:sz w:val="30"/>
          <w:szCs w:val="30"/>
          <w:highlight w:val="none"/>
          <w:lang w:eastAsia="zh-CN"/>
        </w:rPr>
        <w:t>二〇一九年一月十七日</w:t>
      </w:r>
    </w:p>
    <w:p>
      <w:pPr>
        <w:ind w:left="642" w:leftChars="200"/>
        <w:rPr>
          <w:rFonts w:hint="eastAsia" w:ascii="宋体" w:hAnsi="宋体"/>
          <w:b/>
          <w:sz w:val="30"/>
          <w:szCs w:val="30"/>
          <w:highlight w:val="none"/>
        </w:rPr>
      </w:pPr>
      <w:r>
        <w:rPr>
          <w:rFonts w:hint="eastAsia" w:ascii="宋体" w:hAnsi="宋体"/>
          <w:b/>
          <w:sz w:val="30"/>
          <w:szCs w:val="30"/>
          <w:highlight w:val="none"/>
        </w:rPr>
        <w:t>地址：呼和浩特市赛罕区东影南路昭君花园写字楼六层</w:t>
      </w:r>
    </w:p>
    <w:p>
      <w:pPr>
        <w:ind w:left="642" w:leftChars="200"/>
        <w:rPr>
          <w:rFonts w:hint="eastAsia" w:ascii="宋体" w:hAnsi="宋体"/>
          <w:b/>
          <w:sz w:val="30"/>
          <w:szCs w:val="30"/>
        </w:rPr>
      </w:pPr>
      <w:r>
        <w:rPr>
          <w:rFonts w:hint="eastAsia" w:ascii="宋体" w:hAnsi="宋体"/>
          <w:b/>
          <w:sz w:val="30"/>
          <w:szCs w:val="30"/>
        </w:rPr>
        <w:t>电话：</w:t>
      </w:r>
      <w:r>
        <w:rPr>
          <w:rFonts w:ascii="宋体" w:hAnsi="宋体"/>
          <w:b/>
          <w:sz w:val="30"/>
          <w:szCs w:val="30"/>
        </w:rPr>
        <w:t>0471</w:t>
      </w:r>
      <w:r>
        <w:rPr>
          <w:rFonts w:hint="eastAsia" w:ascii="宋体" w:hAnsi="宋体"/>
          <w:b/>
          <w:sz w:val="30"/>
          <w:szCs w:val="30"/>
        </w:rPr>
        <w:t>-4689815     传真：</w:t>
      </w:r>
      <w:r>
        <w:rPr>
          <w:rFonts w:ascii="宋体" w:hAnsi="宋体"/>
          <w:b/>
          <w:sz w:val="30"/>
          <w:szCs w:val="30"/>
        </w:rPr>
        <w:t>0471</w:t>
      </w:r>
      <w:r>
        <w:rPr>
          <w:rFonts w:hint="eastAsia" w:ascii="宋体" w:hAnsi="宋体"/>
          <w:b/>
          <w:sz w:val="30"/>
          <w:szCs w:val="30"/>
        </w:rPr>
        <w:t>-4689815</w:t>
      </w:r>
    </w:p>
    <w:p>
      <w:pPr>
        <w:ind w:left="642" w:leftChars="200"/>
        <w:rPr>
          <w:rFonts w:ascii="宋体" w:hAnsi="宋体"/>
          <w:b/>
          <w:sz w:val="30"/>
          <w:szCs w:val="30"/>
        </w:rPr>
      </w:pPr>
      <w:r>
        <w:rPr>
          <w:rFonts w:hint="eastAsia" w:ascii="宋体" w:hAnsi="宋体"/>
          <w:b/>
          <w:sz w:val="30"/>
          <w:szCs w:val="30"/>
        </w:rPr>
        <w:t xml:space="preserve">邮编： </w:t>
      </w:r>
      <w:r>
        <w:rPr>
          <w:rFonts w:ascii="宋体" w:hAnsi="宋体"/>
          <w:b/>
          <w:sz w:val="30"/>
          <w:szCs w:val="30"/>
        </w:rPr>
        <w:t>010010</w:t>
      </w:r>
    </w:p>
    <w:p>
      <w:pPr>
        <w:rPr>
          <w:rFonts w:hint="eastAsia" w:ascii="宋体" w:hAnsi="宋体"/>
          <w:b/>
          <w:sz w:val="30"/>
          <w:szCs w:val="30"/>
        </w:rPr>
      </w:pPr>
    </w:p>
    <w:p>
      <w:pPr>
        <w:spacing w:line="660" w:lineRule="exact"/>
        <w:jc w:val="center"/>
        <w:rPr>
          <w:rFonts w:ascii="宋体" w:hAnsi="宋体"/>
          <w:b/>
          <w:bCs/>
          <w:sz w:val="44"/>
          <w:szCs w:val="24"/>
        </w:rPr>
      </w:pPr>
      <w:r>
        <w:rPr>
          <w:rFonts w:hint="eastAsia" w:ascii="宋体" w:hAnsi="宋体"/>
          <w:b/>
          <w:bCs/>
          <w:sz w:val="44"/>
        </w:rPr>
        <w:br w:type="page"/>
      </w:r>
      <w:r>
        <w:rPr>
          <w:rFonts w:hint="eastAsia" w:ascii="宋体" w:hAnsi="宋体"/>
          <w:b/>
          <w:bCs/>
          <w:sz w:val="44"/>
        </w:rPr>
        <w:t>致</w:t>
      </w:r>
      <w:r>
        <w:rPr>
          <w:rFonts w:ascii="宋体" w:hAnsi="宋体"/>
          <w:b/>
          <w:bCs/>
          <w:sz w:val="44"/>
        </w:rPr>
        <w:t xml:space="preserve"> </w:t>
      </w:r>
      <w:r>
        <w:rPr>
          <w:rFonts w:hint="eastAsia" w:ascii="宋体" w:hAnsi="宋体"/>
          <w:b/>
          <w:bCs/>
          <w:sz w:val="44"/>
        </w:rPr>
        <w:t>委</w:t>
      </w:r>
      <w:r>
        <w:rPr>
          <w:rFonts w:ascii="宋体" w:hAnsi="宋体"/>
          <w:b/>
          <w:bCs/>
          <w:sz w:val="44"/>
        </w:rPr>
        <w:t xml:space="preserve"> </w:t>
      </w:r>
      <w:r>
        <w:rPr>
          <w:rFonts w:hint="eastAsia" w:ascii="宋体" w:hAnsi="宋体"/>
          <w:b/>
          <w:bCs/>
          <w:sz w:val="44"/>
        </w:rPr>
        <w:t>托 估 价</w:t>
      </w:r>
      <w:r>
        <w:rPr>
          <w:rFonts w:ascii="宋体" w:hAnsi="宋体"/>
          <w:b/>
          <w:bCs/>
          <w:sz w:val="44"/>
        </w:rPr>
        <w:t xml:space="preserve"> </w:t>
      </w:r>
      <w:r>
        <w:rPr>
          <w:rFonts w:hint="eastAsia" w:ascii="宋体" w:hAnsi="宋体"/>
          <w:b/>
          <w:bCs/>
          <w:sz w:val="44"/>
        </w:rPr>
        <w:t>人</w:t>
      </w:r>
      <w:r>
        <w:rPr>
          <w:rFonts w:ascii="宋体" w:hAnsi="宋体"/>
          <w:b/>
          <w:bCs/>
          <w:sz w:val="44"/>
        </w:rPr>
        <w:t xml:space="preserve"> </w:t>
      </w:r>
      <w:r>
        <w:rPr>
          <w:rFonts w:hint="eastAsia" w:ascii="宋体" w:hAnsi="宋体"/>
          <w:b/>
          <w:bCs/>
          <w:sz w:val="44"/>
        </w:rPr>
        <w:t>函</w:t>
      </w:r>
    </w:p>
    <w:p>
      <w:pPr>
        <w:spacing w:line="600" w:lineRule="exact"/>
        <w:rPr>
          <w:rFonts w:hint="eastAsia" w:ascii="宋体" w:hAnsi="宋体" w:eastAsia="宋体"/>
          <w:sz w:val="24"/>
          <w:szCs w:val="24"/>
          <w:lang w:eastAsia="zh-CN"/>
        </w:rPr>
      </w:pPr>
      <w:r>
        <w:rPr>
          <w:rFonts w:hint="eastAsia"/>
          <w:sz w:val="24"/>
          <w:szCs w:val="24"/>
        </w:rPr>
        <w:t>致：</w:t>
      </w:r>
      <w:r>
        <w:rPr>
          <w:rFonts w:hint="eastAsia"/>
          <w:sz w:val="24"/>
          <w:szCs w:val="24"/>
          <w:lang w:eastAsia="zh-CN"/>
        </w:rPr>
        <w:t>巴彦淖尔市临河区人民法院</w:t>
      </w:r>
    </w:p>
    <w:p>
      <w:pPr>
        <w:spacing w:line="600" w:lineRule="exact"/>
        <w:ind w:firstLine="482" w:firstLineChars="200"/>
        <w:rPr>
          <w:rFonts w:ascii="宋体" w:hAnsi="宋体"/>
          <w:sz w:val="24"/>
          <w:szCs w:val="24"/>
        </w:rPr>
      </w:pPr>
      <w:r>
        <w:rPr>
          <w:rFonts w:hint="eastAsia" w:ascii="宋体" w:hAnsi="宋体"/>
          <w:sz w:val="24"/>
          <w:szCs w:val="24"/>
        </w:rPr>
        <w:t>承蒙委托，</w:t>
      </w:r>
      <w:r>
        <w:rPr>
          <w:rFonts w:hint="eastAsia" w:ascii="宋体" w:hAnsi="宋体" w:cs="宋体-18030"/>
          <w:sz w:val="24"/>
          <w:szCs w:val="24"/>
        </w:rPr>
        <w:t>本评估公司秉着独立、客观、公正、科学的原则，</w:t>
      </w:r>
      <w:r>
        <w:rPr>
          <w:rFonts w:hint="eastAsia" w:ascii="宋体" w:hAnsi="宋体"/>
          <w:sz w:val="24"/>
          <w:szCs w:val="24"/>
        </w:rPr>
        <w:t>对位于</w:t>
      </w:r>
      <w:r>
        <w:rPr>
          <w:rFonts w:hint="eastAsia" w:ascii="宋体" w:hAnsi="宋体"/>
          <w:sz w:val="24"/>
          <w:szCs w:val="24"/>
          <w:lang w:eastAsia="zh-CN"/>
        </w:rPr>
        <w:t>巴彦淖尔市磴口县嘉德学府</w:t>
      </w:r>
      <w:r>
        <w:rPr>
          <w:rFonts w:hint="eastAsia" w:ascii="宋体" w:hAnsi="宋体"/>
          <w:sz w:val="24"/>
          <w:szCs w:val="24"/>
          <w:lang w:val="en-US" w:eastAsia="zh-CN"/>
        </w:rPr>
        <w:t>7</w:t>
      </w:r>
      <w:r>
        <w:rPr>
          <w:rFonts w:hint="eastAsia" w:ascii="宋体" w:hAnsi="宋体"/>
          <w:sz w:val="24"/>
          <w:szCs w:val="24"/>
          <w:lang w:eastAsia="zh-CN"/>
        </w:rPr>
        <w:t>号楼25套车库</w:t>
      </w:r>
      <w:r>
        <w:rPr>
          <w:rFonts w:hint="eastAsia" w:ascii="宋体" w:hAnsi="宋体"/>
          <w:sz w:val="24"/>
          <w:szCs w:val="28"/>
        </w:rPr>
        <w:t>进行市场价值评估，估价目的：</w:t>
      </w:r>
      <w:r>
        <w:rPr>
          <w:rFonts w:hint="eastAsia" w:ascii="宋体" w:hAnsi="宋体"/>
          <w:sz w:val="24"/>
          <w:szCs w:val="28"/>
          <w:lang w:eastAsia="zh-CN"/>
        </w:rPr>
        <w:t>委托人</w:t>
      </w:r>
      <w:r>
        <w:rPr>
          <w:rFonts w:hint="eastAsia" w:ascii="宋体" w:hAnsi="宋体"/>
          <w:sz w:val="24"/>
          <w:szCs w:val="28"/>
        </w:rPr>
        <w:t>欲了解估价对象的市场价格，特委托我公司对估价对象的市场价值进行评估，以提供参考依据</w:t>
      </w:r>
      <w:r>
        <w:rPr>
          <w:rFonts w:hint="eastAsia" w:ascii="宋体" w:hAnsi="宋体"/>
          <w:sz w:val="24"/>
          <w:szCs w:val="24"/>
        </w:rPr>
        <w:t>，</w:t>
      </w:r>
      <w:r>
        <w:rPr>
          <w:rFonts w:hint="eastAsia" w:ascii="宋体" w:hAnsi="宋体"/>
          <w:sz w:val="24"/>
          <w:szCs w:val="24"/>
          <w:shd w:val="clear" w:color="auto" w:fill="FFFFFF"/>
        </w:rPr>
        <w:t>价值时点：</w:t>
      </w:r>
      <w:r>
        <w:rPr>
          <w:rFonts w:hint="eastAsia" w:ascii="宋体" w:hAnsi="宋体"/>
          <w:sz w:val="24"/>
          <w:szCs w:val="24"/>
          <w:shd w:val="clear" w:color="auto" w:fill="FFFFFF"/>
          <w:lang w:eastAsia="zh-CN"/>
        </w:rPr>
        <w:t>二〇一九年一月八日</w:t>
      </w:r>
      <w:r>
        <w:rPr>
          <w:rFonts w:hint="eastAsia" w:ascii="宋体" w:hAnsi="宋体"/>
          <w:sz w:val="24"/>
          <w:szCs w:val="24"/>
          <w:shd w:val="clear" w:color="auto" w:fill="FFFFFF"/>
        </w:rPr>
        <w:t>。</w:t>
      </w:r>
    </w:p>
    <w:p>
      <w:pPr>
        <w:spacing w:line="600" w:lineRule="exact"/>
        <w:ind w:firstLine="482" w:firstLineChars="200"/>
        <w:rPr>
          <w:rFonts w:ascii="宋体" w:hAnsi="宋体"/>
          <w:color w:val="auto"/>
          <w:sz w:val="24"/>
          <w:szCs w:val="24"/>
          <w:highlight w:val="none"/>
        </w:rPr>
      </w:pPr>
      <w:r>
        <w:rPr>
          <w:rFonts w:hint="eastAsia" w:ascii="宋体" w:hAnsi="宋体"/>
          <w:sz w:val="24"/>
        </w:rPr>
        <w:t>本估价机构根据估价目的及估价对象的特点，遵循估价原则，按照估价程序，</w:t>
      </w:r>
      <w:r>
        <w:rPr>
          <w:rFonts w:hint="eastAsia" w:ascii="宋体" w:hAnsi="宋体"/>
          <w:sz w:val="24"/>
          <w:szCs w:val="24"/>
        </w:rPr>
        <w:t>采用比较法和收益法相</w:t>
      </w:r>
      <w:r>
        <w:rPr>
          <w:rFonts w:hint="eastAsia" w:ascii="宋体" w:hAnsi="宋体"/>
          <w:sz w:val="24"/>
          <w:szCs w:val="24"/>
          <w:highlight w:val="none"/>
        </w:rPr>
        <w:t>结合的估价方法，</w:t>
      </w:r>
      <w:r>
        <w:rPr>
          <w:rFonts w:hint="eastAsia" w:ascii="宋体" w:hAnsi="宋体"/>
          <w:sz w:val="24"/>
          <w:highlight w:val="none"/>
        </w:rPr>
        <w:t>在认真分析现有资料的基础上，经过测算，结合估</w:t>
      </w:r>
      <w:r>
        <w:rPr>
          <w:rFonts w:hint="eastAsia" w:ascii="宋体" w:hAnsi="宋体"/>
          <w:sz w:val="24"/>
          <w:szCs w:val="24"/>
          <w:highlight w:val="none"/>
        </w:rPr>
        <w:t>价经验与对影响房地产市场价格因素的分析，确定估价对象于估价时点</w:t>
      </w:r>
      <w:r>
        <w:rPr>
          <w:rFonts w:hint="eastAsia" w:ascii="宋体" w:hAnsi="宋体"/>
          <w:sz w:val="24"/>
          <w:szCs w:val="28"/>
          <w:highlight w:val="none"/>
        </w:rPr>
        <w:t>在完好状态</w:t>
      </w:r>
      <w:r>
        <w:rPr>
          <w:rFonts w:hint="eastAsia" w:ascii="宋体" w:hAnsi="宋体"/>
          <w:sz w:val="24"/>
          <w:szCs w:val="24"/>
          <w:highlight w:val="none"/>
        </w:rPr>
        <w:t>并符合假设和限制条件下的市场价</w:t>
      </w:r>
      <w:r>
        <w:rPr>
          <w:rFonts w:hint="eastAsia" w:ascii="宋体" w:hAnsi="宋体"/>
          <w:color w:val="auto"/>
          <w:sz w:val="24"/>
          <w:szCs w:val="24"/>
          <w:highlight w:val="none"/>
        </w:rPr>
        <w:t>值为</w:t>
      </w:r>
      <w:r>
        <w:rPr>
          <w:rFonts w:hint="eastAsia" w:ascii="宋体" w:hAnsi="宋体"/>
          <w:bCs/>
          <w:color w:val="auto"/>
          <w:sz w:val="24"/>
          <w:szCs w:val="28"/>
          <w:highlight w:val="none"/>
          <w:lang w:eastAsia="zh-CN"/>
        </w:rPr>
        <w:t>1608851</w:t>
      </w:r>
      <w:r>
        <w:rPr>
          <w:rFonts w:hint="eastAsia" w:ascii="宋体" w:hAnsi="宋体"/>
          <w:color w:val="auto"/>
          <w:sz w:val="24"/>
          <w:szCs w:val="24"/>
          <w:highlight w:val="none"/>
        </w:rPr>
        <w:t>元，</w:t>
      </w:r>
      <w:r>
        <w:rPr>
          <w:rFonts w:ascii="宋体" w:hAnsi="宋体"/>
          <w:color w:val="auto"/>
          <w:sz w:val="24"/>
          <w:highlight w:val="none"/>
        </w:rPr>
        <w:t>(</w:t>
      </w:r>
      <w:r>
        <w:rPr>
          <w:rFonts w:hint="eastAsia" w:ascii="宋体" w:hAnsi="宋体"/>
          <w:color w:val="auto"/>
          <w:sz w:val="24"/>
          <w:highlight w:val="none"/>
        </w:rPr>
        <w:t>大写</w:t>
      </w:r>
      <w:r>
        <w:rPr>
          <w:rFonts w:ascii="宋体" w:hAnsi="宋体"/>
          <w:color w:val="auto"/>
          <w:sz w:val="24"/>
          <w:highlight w:val="none"/>
        </w:rPr>
        <w:t>)</w:t>
      </w:r>
      <w:r>
        <w:rPr>
          <w:rFonts w:hint="eastAsia" w:ascii="宋体" w:hAnsi="宋体"/>
          <w:color w:val="auto"/>
          <w:sz w:val="24"/>
          <w:highlight w:val="none"/>
        </w:rPr>
        <w:t>：人民币</w:t>
      </w:r>
      <w:r>
        <w:rPr>
          <w:rFonts w:hint="eastAsia" w:ascii="宋体" w:hAnsi="宋体"/>
          <w:color w:val="auto"/>
          <w:sz w:val="24"/>
          <w:highlight w:val="none"/>
          <w:lang w:eastAsia="zh-CN"/>
        </w:rPr>
        <w:t>壹佰陆拾万零捌仟捌佰伍拾壹</w:t>
      </w:r>
      <w:r>
        <w:rPr>
          <w:rFonts w:hint="eastAsia" w:ascii="宋体" w:hAnsi="宋体"/>
          <w:color w:val="auto"/>
          <w:sz w:val="24"/>
          <w:highlight w:val="none"/>
        </w:rPr>
        <w:t>元整</w:t>
      </w:r>
      <w:r>
        <w:rPr>
          <w:rFonts w:hint="eastAsia" w:ascii="宋体" w:hAnsi="宋体"/>
          <w:color w:val="auto"/>
          <w:sz w:val="24"/>
          <w:szCs w:val="24"/>
          <w:highlight w:val="none"/>
        </w:rPr>
        <w:t>。具体结果如下：</w:t>
      </w:r>
    </w:p>
    <w:tbl>
      <w:tblPr>
        <w:tblStyle w:val="10"/>
        <w:tblW w:w="83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19"/>
        <w:gridCol w:w="1080"/>
        <w:gridCol w:w="1080"/>
        <w:gridCol w:w="1635"/>
        <w:gridCol w:w="2190"/>
        <w:gridCol w:w="1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楼号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房号</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建筑面积（㎡）</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评估单价（元/㎡）</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评估总价（元）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r>
              <w:rPr>
                <w:rFonts w:hint="eastAsia" w:ascii="宋体" w:hAnsi="宋体" w:cs="宋体"/>
                <w:i w:val="0"/>
                <w:color w:val="000000"/>
                <w:kern w:val="0"/>
                <w:sz w:val="24"/>
                <w:szCs w:val="24"/>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30.64</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24.08</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24.08</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28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644.83</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1608851</w:t>
            </w:r>
          </w:p>
        </w:tc>
      </w:tr>
    </w:tbl>
    <w:p>
      <w:pPr>
        <w:spacing w:line="600" w:lineRule="exact"/>
        <w:ind w:firstLine="482" w:firstLineChars="200"/>
        <w:rPr>
          <w:rFonts w:hint="eastAsia" w:ascii="宋体" w:hAnsi="宋体"/>
          <w:sz w:val="24"/>
          <w:szCs w:val="24"/>
        </w:rPr>
      </w:pPr>
      <w:r>
        <w:rPr>
          <w:rFonts w:hint="eastAsia" w:ascii="宋体" w:hAnsi="宋体"/>
          <w:color w:val="auto"/>
          <w:sz w:val="24"/>
          <w:szCs w:val="28"/>
          <w:highlight w:val="none"/>
        </w:rPr>
        <w:t>欲了解该估价项目的全面情况，应认真阅读本房地产估价报告书全</w:t>
      </w:r>
      <w:r>
        <w:rPr>
          <w:rFonts w:hint="eastAsia" w:ascii="宋体" w:hAnsi="宋体"/>
          <w:color w:val="auto"/>
          <w:sz w:val="24"/>
          <w:szCs w:val="28"/>
        </w:rPr>
        <w:t>文，因委托人或相关人员使用本报告的片段或部分内容而引起的不良后果，估价公司和估价人员不承</w:t>
      </w:r>
      <w:r>
        <w:rPr>
          <w:rFonts w:hint="eastAsia" w:ascii="宋体" w:hAnsi="宋体"/>
          <w:sz w:val="24"/>
          <w:szCs w:val="28"/>
        </w:rPr>
        <w:t>担相应的责任</w:t>
      </w:r>
      <w:r>
        <w:rPr>
          <w:rFonts w:hint="eastAsia" w:ascii="宋体" w:hAnsi="宋体"/>
          <w:bCs/>
          <w:sz w:val="24"/>
          <w:szCs w:val="24"/>
          <w:shd w:val="clear" w:color="auto" w:fill="FFFFFF"/>
        </w:rPr>
        <w:t>。</w:t>
      </w:r>
    </w:p>
    <w:p>
      <w:pPr>
        <w:spacing w:line="600" w:lineRule="exact"/>
        <w:ind w:firstLine="482" w:firstLineChars="200"/>
        <w:rPr>
          <w:rFonts w:hint="eastAsia" w:ascii="宋体" w:hAnsi="宋体"/>
          <w:sz w:val="24"/>
          <w:szCs w:val="24"/>
          <w:highlight w:val="none"/>
        </w:rPr>
      </w:pPr>
      <w:r>
        <w:rPr>
          <w:rFonts w:hint="eastAsia" w:ascii="宋体" w:hAnsi="宋体"/>
          <w:sz w:val="24"/>
          <w:szCs w:val="24"/>
        </w:rPr>
        <w:t>特发此函！</w:t>
      </w:r>
    </w:p>
    <w:p>
      <w:pPr>
        <w:spacing w:line="600" w:lineRule="exact"/>
        <w:ind w:right="1500" w:firstLine="482" w:firstLineChars="200"/>
        <w:jc w:val="right"/>
        <w:rPr>
          <w:rFonts w:hint="eastAsia" w:ascii="宋体" w:hAnsi="宋体"/>
          <w:sz w:val="24"/>
          <w:szCs w:val="24"/>
          <w:highlight w:val="none"/>
        </w:rPr>
      </w:pPr>
      <w:r>
        <w:rPr>
          <w:rFonts w:hint="eastAsia" w:ascii="宋体" w:hAnsi="宋体"/>
          <w:sz w:val="24"/>
          <w:szCs w:val="24"/>
          <w:highlight w:val="none"/>
        </w:rPr>
        <w:t xml:space="preserve"> 内蒙古正翔房地产价格评估有限责任公司</w:t>
      </w:r>
      <w:r>
        <w:rPr>
          <w:rFonts w:ascii="宋体" w:hAnsi="宋体"/>
          <w:sz w:val="24"/>
          <w:szCs w:val="24"/>
          <w:highlight w:val="none"/>
        </w:rPr>
        <w:t xml:space="preserve">                      </w:t>
      </w:r>
      <w:r>
        <w:rPr>
          <w:rFonts w:hint="eastAsia" w:ascii="宋体" w:hAnsi="宋体"/>
          <w:sz w:val="24"/>
          <w:szCs w:val="24"/>
          <w:highlight w:val="none"/>
        </w:rPr>
        <w:t xml:space="preserve">   </w:t>
      </w:r>
    </w:p>
    <w:p>
      <w:pPr>
        <w:pStyle w:val="2"/>
        <w:snapToGrid w:val="0"/>
        <w:spacing w:line="600" w:lineRule="exact"/>
        <w:jc w:val="center"/>
        <w:rPr>
          <w:rFonts w:hint="eastAsia" w:hAnsi="宋体" w:eastAsia="宋体"/>
          <w:b/>
          <w:sz w:val="48"/>
          <w:szCs w:val="48"/>
          <w:highlight w:val="none"/>
          <w:lang w:eastAsia="zh-CN"/>
        </w:rPr>
      </w:pPr>
      <w:r>
        <w:rPr>
          <w:rFonts w:hint="eastAsia" w:hAnsi="宋体"/>
          <w:sz w:val="24"/>
          <w:szCs w:val="24"/>
          <w:highlight w:val="none"/>
        </w:rPr>
        <w:t xml:space="preserve">                               </w:t>
      </w:r>
      <w:r>
        <w:rPr>
          <w:rFonts w:hint="eastAsia" w:hAnsi="宋体"/>
          <w:sz w:val="24"/>
          <w:szCs w:val="24"/>
          <w:highlight w:val="none"/>
          <w:lang w:eastAsia="zh-CN"/>
        </w:rPr>
        <w:t>二〇一九年一月十七日</w:t>
      </w:r>
    </w:p>
    <w:p>
      <w:pPr>
        <w:pStyle w:val="2"/>
        <w:snapToGrid w:val="0"/>
        <w:spacing w:line="600" w:lineRule="exact"/>
        <w:jc w:val="center"/>
        <w:rPr>
          <w:rFonts w:hint="eastAsia" w:hAnsi="宋体"/>
          <w:b/>
          <w:sz w:val="48"/>
          <w:szCs w:val="48"/>
        </w:rPr>
      </w:pPr>
      <w:r>
        <w:rPr>
          <w:rFonts w:hint="eastAsia" w:hAnsi="宋体"/>
          <w:b/>
          <w:sz w:val="48"/>
          <w:szCs w:val="48"/>
          <w:highlight w:val="none"/>
        </w:rPr>
        <w:br w:type="page"/>
      </w:r>
      <w:r>
        <w:rPr>
          <w:rFonts w:hint="eastAsia" w:hAnsi="宋体"/>
          <w:b/>
          <w:sz w:val="48"/>
          <w:szCs w:val="48"/>
        </w:rPr>
        <w:t>目      录</w:t>
      </w:r>
    </w:p>
    <w:p>
      <w:pPr>
        <w:pStyle w:val="2"/>
        <w:tabs>
          <w:tab w:val="left" w:pos="6864"/>
        </w:tabs>
        <w:snapToGrid w:val="0"/>
        <w:spacing w:line="600" w:lineRule="exact"/>
        <w:rPr>
          <w:rFonts w:hint="eastAsia" w:hAnsi="宋体"/>
          <w:sz w:val="28"/>
          <w:szCs w:val="28"/>
        </w:rPr>
      </w:pPr>
      <w:r>
        <w:rPr>
          <w:rFonts w:hint="eastAsia" w:hAnsi="宋体"/>
          <w:sz w:val="28"/>
          <w:szCs w:val="28"/>
        </w:rPr>
        <w:t xml:space="preserve">    一、注册房地产估价师声明</w:t>
      </w:r>
      <w:r>
        <w:rPr>
          <w:rFonts w:hAnsi="宋体"/>
          <w:sz w:val="28"/>
          <w:szCs w:val="28"/>
        </w:rPr>
        <w:t>……………………………………………</w:t>
      </w:r>
      <w:r>
        <w:rPr>
          <w:rFonts w:hint="eastAsia" w:hAnsi="宋体"/>
          <w:sz w:val="28"/>
          <w:szCs w:val="28"/>
        </w:rPr>
        <w:t>第0</w:t>
      </w:r>
      <w:r>
        <w:rPr>
          <w:rFonts w:hint="eastAsia" w:hAnsi="宋体"/>
          <w:sz w:val="28"/>
          <w:szCs w:val="28"/>
          <w:lang w:val="en-US" w:eastAsia="zh-CN"/>
        </w:rPr>
        <w:t>6</w:t>
      </w:r>
      <w:r>
        <w:rPr>
          <w:rFonts w:hint="eastAsia" w:hAnsi="宋体"/>
          <w:sz w:val="28"/>
          <w:szCs w:val="28"/>
        </w:rPr>
        <w:t>页</w:t>
      </w:r>
    </w:p>
    <w:p>
      <w:pPr>
        <w:pStyle w:val="2"/>
        <w:tabs>
          <w:tab w:val="left" w:pos="2024"/>
        </w:tabs>
        <w:snapToGrid w:val="0"/>
        <w:spacing w:line="600" w:lineRule="exact"/>
        <w:ind w:firstLine="570"/>
        <w:rPr>
          <w:rFonts w:hint="eastAsia" w:hAnsi="宋体"/>
          <w:sz w:val="28"/>
          <w:szCs w:val="28"/>
        </w:rPr>
      </w:pPr>
      <w:r>
        <w:rPr>
          <w:rFonts w:hint="eastAsia" w:hAnsi="宋体"/>
          <w:sz w:val="28"/>
          <w:szCs w:val="28"/>
        </w:rPr>
        <w:t>二、估价的假设和限制条件</w:t>
      </w:r>
      <w:r>
        <w:rPr>
          <w:rFonts w:hAnsi="宋体"/>
          <w:sz w:val="28"/>
          <w:szCs w:val="28"/>
        </w:rPr>
        <w:t>……………………………………………</w:t>
      </w:r>
      <w:r>
        <w:rPr>
          <w:rFonts w:hint="eastAsia" w:hAnsi="宋体"/>
          <w:sz w:val="28"/>
          <w:szCs w:val="28"/>
        </w:rPr>
        <w:t>第0</w:t>
      </w:r>
      <w:r>
        <w:rPr>
          <w:rFonts w:hint="eastAsia" w:hAnsi="宋体"/>
          <w:sz w:val="28"/>
          <w:szCs w:val="28"/>
          <w:lang w:val="en-US" w:eastAsia="zh-CN"/>
        </w:rPr>
        <w:t>7</w:t>
      </w:r>
      <w:r>
        <w:rPr>
          <w:rFonts w:hint="eastAsia" w:hAnsi="宋体"/>
          <w:sz w:val="28"/>
          <w:szCs w:val="28"/>
        </w:rPr>
        <w:t>页</w:t>
      </w:r>
    </w:p>
    <w:p>
      <w:pPr>
        <w:pStyle w:val="2"/>
        <w:snapToGrid w:val="0"/>
        <w:spacing w:line="600" w:lineRule="exact"/>
        <w:ind w:firstLine="570"/>
        <w:rPr>
          <w:rFonts w:hint="eastAsia" w:hAnsi="宋体"/>
          <w:sz w:val="28"/>
          <w:szCs w:val="28"/>
        </w:rPr>
      </w:pPr>
      <w:r>
        <w:rPr>
          <w:rFonts w:hint="eastAsia" w:hAnsi="宋体"/>
          <w:sz w:val="28"/>
          <w:szCs w:val="28"/>
        </w:rPr>
        <w:t>三、房地产估价结果报告</w:t>
      </w:r>
      <w:r>
        <w:rPr>
          <w:rFonts w:hAnsi="宋体"/>
          <w:sz w:val="28"/>
          <w:szCs w:val="28"/>
        </w:rPr>
        <w:t>………………………………………………</w:t>
      </w:r>
      <w:r>
        <w:rPr>
          <w:rFonts w:hint="eastAsia" w:hAnsi="宋体"/>
          <w:sz w:val="28"/>
          <w:szCs w:val="28"/>
        </w:rPr>
        <w:t>第0</w:t>
      </w:r>
      <w:r>
        <w:rPr>
          <w:rFonts w:hint="eastAsia" w:hAnsi="宋体"/>
          <w:sz w:val="28"/>
          <w:szCs w:val="28"/>
          <w:lang w:val="en-US" w:eastAsia="zh-CN"/>
        </w:rPr>
        <w:t>9</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估价委托人</w:t>
      </w:r>
      <w:r>
        <w:rPr>
          <w:rFonts w:hAnsi="宋体"/>
          <w:sz w:val="28"/>
          <w:szCs w:val="28"/>
        </w:rPr>
        <w:t>……………………………………………………</w:t>
      </w:r>
      <w:r>
        <w:rPr>
          <w:rFonts w:hint="eastAsia" w:hAnsi="宋体"/>
          <w:sz w:val="28"/>
          <w:szCs w:val="28"/>
        </w:rPr>
        <w:t>第0</w:t>
      </w:r>
      <w:r>
        <w:rPr>
          <w:rFonts w:hint="eastAsia" w:hAnsi="宋体"/>
          <w:sz w:val="28"/>
          <w:szCs w:val="28"/>
          <w:lang w:val="en-US" w:eastAsia="zh-CN"/>
        </w:rPr>
        <w:t>9</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房地产估价机构</w:t>
      </w:r>
      <w:r>
        <w:rPr>
          <w:rFonts w:hAnsi="宋体"/>
          <w:sz w:val="28"/>
          <w:szCs w:val="28"/>
        </w:rPr>
        <w:t>………………………………………………</w:t>
      </w:r>
      <w:r>
        <w:rPr>
          <w:rFonts w:hint="eastAsia" w:hAnsi="宋体"/>
          <w:sz w:val="28"/>
          <w:szCs w:val="28"/>
        </w:rPr>
        <w:t>第0</w:t>
      </w:r>
      <w:r>
        <w:rPr>
          <w:rFonts w:hint="eastAsia" w:hAnsi="宋体"/>
          <w:sz w:val="28"/>
          <w:szCs w:val="28"/>
          <w:lang w:val="en-US" w:eastAsia="zh-CN"/>
        </w:rPr>
        <w:t>9</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估价目的</w:t>
      </w:r>
      <w:r>
        <w:rPr>
          <w:rFonts w:hAnsi="宋体"/>
          <w:sz w:val="28"/>
          <w:szCs w:val="28"/>
        </w:rPr>
        <w:t>………………………</w:t>
      </w:r>
      <w:r>
        <w:rPr>
          <w:rFonts w:hint="eastAsia" w:hAnsi="宋体"/>
          <w:sz w:val="28"/>
          <w:szCs w:val="28"/>
          <w:lang w:eastAsia="zh-CN"/>
        </w:rPr>
        <w:t>…</w:t>
      </w:r>
      <w:r>
        <w:rPr>
          <w:rFonts w:hAnsi="宋体"/>
          <w:sz w:val="28"/>
          <w:szCs w:val="28"/>
        </w:rPr>
        <w:t>……………………………</w:t>
      </w:r>
      <w:r>
        <w:rPr>
          <w:rFonts w:hint="eastAsia" w:hAnsi="宋体"/>
          <w:sz w:val="28"/>
          <w:szCs w:val="28"/>
        </w:rPr>
        <w:t>第0</w:t>
      </w:r>
      <w:r>
        <w:rPr>
          <w:rFonts w:hint="eastAsia" w:hAnsi="宋体"/>
          <w:sz w:val="28"/>
          <w:szCs w:val="28"/>
          <w:lang w:val="en-US" w:eastAsia="zh-CN"/>
        </w:rPr>
        <w:t>9</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估价对象</w:t>
      </w:r>
      <w:r>
        <w:rPr>
          <w:rFonts w:hAnsi="宋体"/>
          <w:sz w:val="28"/>
          <w:szCs w:val="28"/>
        </w:rPr>
        <w:t>………………………………………………………</w:t>
      </w:r>
      <w:r>
        <w:rPr>
          <w:rFonts w:hint="eastAsia" w:hAnsi="宋体"/>
          <w:sz w:val="28"/>
          <w:szCs w:val="28"/>
        </w:rPr>
        <w:t>第0</w:t>
      </w:r>
      <w:r>
        <w:rPr>
          <w:rFonts w:hint="eastAsia" w:hAnsi="宋体"/>
          <w:sz w:val="28"/>
          <w:szCs w:val="28"/>
          <w:lang w:val="en-US" w:eastAsia="zh-CN"/>
        </w:rPr>
        <w:t>9</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价值时点</w:t>
      </w:r>
      <w:r>
        <w:rPr>
          <w:rFonts w:hAnsi="宋体"/>
          <w:sz w:val="28"/>
          <w:szCs w:val="28"/>
        </w:rPr>
        <w:t>………………………………………………………</w:t>
      </w:r>
      <w:r>
        <w:rPr>
          <w:rFonts w:hint="eastAsia" w:hAnsi="宋体"/>
          <w:sz w:val="28"/>
          <w:szCs w:val="28"/>
        </w:rPr>
        <w:t>第</w:t>
      </w:r>
      <w:r>
        <w:rPr>
          <w:rFonts w:hint="eastAsia" w:hAnsi="宋体"/>
          <w:sz w:val="28"/>
          <w:szCs w:val="28"/>
          <w:lang w:val="en-US" w:eastAsia="zh-CN"/>
        </w:rPr>
        <w:t>10</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lang w:eastAsia="zh-CN"/>
        </w:rPr>
        <w:t>价值类型………………………………………………………第</w:t>
      </w:r>
      <w:r>
        <w:rPr>
          <w:rFonts w:hint="eastAsia" w:hAnsi="宋体"/>
          <w:sz w:val="28"/>
          <w:szCs w:val="28"/>
          <w:lang w:val="en-US" w:eastAsia="zh-CN"/>
        </w:rPr>
        <w:t>10页</w:t>
      </w:r>
    </w:p>
    <w:p>
      <w:pPr>
        <w:pStyle w:val="2"/>
        <w:numPr>
          <w:ilvl w:val="0"/>
          <w:numId w:val="1"/>
        </w:numPr>
        <w:snapToGrid w:val="0"/>
        <w:spacing w:line="600" w:lineRule="exact"/>
        <w:rPr>
          <w:rFonts w:hint="eastAsia" w:hAnsi="宋体"/>
          <w:sz w:val="28"/>
          <w:szCs w:val="28"/>
        </w:rPr>
      </w:pPr>
      <w:r>
        <w:rPr>
          <w:rFonts w:hint="eastAsia" w:hAnsi="宋体"/>
          <w:sz w:val="28"/>
          <w:szCs w:val="28"/>
        </w:rPr>
        <w:t>估价原则</w:t>
      </w:r>
      <w:r>
        <w:rPr>
          <w:rFonts w:hAnsi="宋体"/>
          <w:sz w:val="28"/>
          <w:szCs w:val="28"/>
        </w:rPr>
        <w:t>………………………………………………………</w:t>
      </w:r>
      <w:r>
        <w:rPr>
          <w:rFonts w:hint="eastAsia" w:hAnsi="宋体"/>
          <w:sz w:val="28"/>
          <w:szCs w:val="28"/>
        </w:rPr>
        <w:t>第</w:t>
      </w:r>
      <w:r>
        <w:rPr>
          <w:rFonts w:hint="eastAsia" w:hAnsi="宋体"/>
          <w:sz w:val="28"/>
          <w:szCs w:val="28"/>
          <w:lang w:val="en-US" w:eastAsia="zh-CN"/>
        </w:rPr>
        <w:t>11</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估价依据</w:t>
      </w:r>
      <w:r>
        <w:rPr>
          <w:rFonts w:hAnsi="宋体"/>
          <w:sz w:val="28"/>
          <w:szCs w:val="28"/>
        </w:rPr>
        <w:t>………………………………………………………</w:t>
      </w:r>
      <w:r>
        <w:rPr>
          <w:rFonts w:hint="eastAsia" w:hAnsi="宋体"/>
          <w:sz w:val="28"/>
          <w:szCs w:val="28"/>
        </w:rPr>
        <w:t>第1</w:t>
      </w:r>
      <w:r>
        <w:rPr>
          <w:rFonts w:hint="eastAsia" w:hAnsi="宋体"/>
          <w:sz w:val="28"/>
          <w:szCs w:val="28"/>
          <w:lang w:val="en-US" w:eastAsia="zh-CN"/>
        </w:rPr>
        <w:t>1</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估价方法</w:t>
      </w:r>
      <w:r>
        <w:rPr>
          <w:rFonts w:hAnsi="宋体"/>
          <w:sz w:val="28"/>
          <w:szCs w:val="28"/>
        </w:rPr>
        <w:t>………………………………………………………</w:t>
      </w:r>
      <w:r>
        <w:rPr>
          <w:rFonts w:hint="eastAsia" w:hAnsi="宋体"/>
          <w:sz w:val="28"/>
          <w:szCs w:val="28"/>
        </w:rPr>
        <w:t>第1</w:t>
      </w:r>
      <w:r>
        <w:rPr>
          <w:rFonts w:hint="eastAsia" w:hAnsi="宋体"/>
          <w:sz w:val="28"/>
          <w:szCs w:val="28"/>
          <w:lang w:val="en-US" w:eastAsia="zh-CN"/>
        </w:rPr>
        <w:t>2</w:t>
      </w:r>
      <w:r>
        <w:rPr>
          <w:rFonts w:hint="eastAsia" w:hAnsi="宋体"/>
          <w:sz w:val="28"/>
          <w:szCs w:val="28"/>
        </w:rPr>
        <w:t>页</w:t>
      </w:r>
    </w:p>
    <w:p>
      <w:pPr>
        <w:pStyle w:val="2"/>
        <w:numPr>
          <w:ilvl w:val="0"/>
          <w:numId w:val="1"/>
        </w:numPr>
        <w:snapToGrid w:val="0"/>
        <w:spacing w:line="600" w:lineRule="exact"/>
        <w:rPr>
          <w:rFonts w:hint="eastAsia" w:hAnsi="宋体"/>
          <w:sz w:val="28"/>
          <w:szCs w:val="28"/>
        </w:rPr>
      </w:pPr>
      <w:r>
        <w:rPr>
          <w:rFonts w:hint="eastAsia" w:hAnsi="宋体"/>
          <w:sz w:val="28"/>
          <w:szCs w:val="28"/>
        </w:rPr>
        <w:t>估价结果</w:t>
      </w:r>
      <w:r>
        <w:rPr>
          <w:rFonts w:hAnsi="宋体"/>
          <w:sz w:val="28"/>
          <w:szCs w:val="28"/>
        </w:rPr>
        <w:t>………………………………………………………</w:t>
      </w:r>
      <w:r>
        <w:rPr>
          <w:rFonts w:hint="eastAsia" w:hAnsi="宋体"/>
          <w:sz w:val="28"/>
          <w:szCs w:val="28"/>
        </w:rPr>
        <w:t>第1</w:t>
      </w:r>
      <w:r>
        <w:rPr>
          <w:rFonts w:hint="eastAsia" w:hAnsi="宋体"/>
          <w:sz w:val="28"/>
          <w:szCs w:val="28"/>
          <w:lang w:val="en-US" w:eastAsia="zh-CN"/>
        </w:rPr>
        <w:t>3</w:t>
      </w:r>
      <w:r>
        <w:rPr>
          <w:rFonts w:hint="eastAsia" w:hAnsi="宋体"/>
          <w:sz w:val="28"/>
          <w:szCs w:val="28"/>
        </w:rPr>
        <w:t>页</w:t>
      </w:r>
    </w:p>
    <w:p>
      <w:pPr>
        <w:pStyle w:val="2"/>
        <w:snapToGrid w:val="0"/>
        <w:spacing w:line="600" w:lineRule="exact"/>
        <w:ind w:left="720"/>
        <w:rPr>
          <w:rFonts w:hint="eastAsia" w:hAnsi="宋体"/>
          <w:sz w:val="28"/>
          <w:szCs w:val="28"/>
        </w:rPr>
      </w:pPr>
      <w:r>
        <w:rPr>
          <w:rFonts w:hint="eastAsia" w:hAnsi="宋体"/>
          <w:sz w:val="28"/>
          <w:szCs w:val="28"/>
        </w:rPr>
        <w:t>（十一）注册房地产估价师</w:t>
      </w:r>
      <w:r>
        <w:rPr>
          <w:rFonts w:hAnsi="宋体"/>
          <w:sz w:val="28"/>
          <w:szCs w:val="28"/>
        </w:rPr>
        <w:t>…………………………………………</w:t>
      </w:r>
      <w:r>
        <w:rPr>
          <w:rFonts w:hint="eastAsia" w:hAnsi="宋体"/>
          <w:sz w:val="28"/>
          <w:szCs w:val="28"/>
        </w:rPr>
        <w:t>第1</w:t>
      </w:r>
      <w:r>
        <w:rPr>
          <w:rFonts w:hint="eastAsia" w:hAnsi="宋体"/>
          <w:sz w:val="28"/>
          <w:szCs w:val="28"/>
          <w:lang w:val="en-US" w:eastAsia="zh-CN"/>
        </w:rPr>
        <w:t>4</w:t>
      </w:r>
      <w:r>
        <w:rPr>
          <w:rFonts w:hint="eastAsia" w:hAnsi="宋体"/>
          <w:sz w:val="28"/>
          <w:szCs w:val="28"/>
        </w:rPr>
        <w:t>页</w:t>
      </w:r>
    </w:p>
    <w:p>
      <w:pPr>
        <w:pStyle w:val="2"/>
        <w:snapToGrid w:val="0"/>
        <w:spacing w:line="600" w:lineRule="exact"/>
        <w:ind w:left="720"/>
        <w:rPr>
          <w:rFonts w:hint="eastAsia" w:hAnsi="宋体"/>
          <w:sz w:val="28"/>
          <w:szCs w:val="28"/>
        </w:rPr>
      </w:pPr>
      <w:r>
        <w:rPr>
          <w:rFonts w:hint="eastAsia" w:hAnsi="宋体"/>
          <w:sz w:val="28"/>
          <w:szCs w:val="28"/>
        </w:rPr>
        <w:t>（十二）实地查勘期</w:t>
      </w:r>
      <w:r>
        <w:rPr>
          <w:rFonts w:hAnsi="宋体"/>
          <w:sz w:val="28"/>
          <w:szCs w:val="28"/>
        </w:rPr>
        <w:t>…………………………………………………</w:t>
      </w:r>
      <w:r>
        <w:rPr>
          <w:rFonts w:hint="eastAsia" w:hAnsi="宋体"/>
          <w:sz w:val="28"/>
          <w:szCs w:val="28"/>
        </w:rPr>
        <w:t>第1</w:t>
      </w:r>
      <w:r>
        <w:rPr>
          <w:rFonts w:hint="eastAsia" w:hAnsi="宋体"/>
          <w:sz w:val="28"/>
          <w:szCs w:val="28"/>
          <w:lang w:val="en-US" w:eastAsia="zh-CN"/>
        </w:rPr>
        <w:t>4</w:t>
      </w:r>
      <w:r>
        <w:rPr>
          <w:rFonts w:hint="eastAsia" w:hAnsi="宋体"/>
          <w:sz w:val="28"/>
          <w:szCs w:val="28"/>
        </w:rPr>
        <w:t>页</w:t>
      </w:r>
    </w:p>
    <w:p>
      <w:pPr>
        <w:pStyle w:val="2"/>
        <w:snapToGrid w:val="0"/>
        <w:spacing w:line="600" w:lineRule="exact"/>
        <w:ind w:left="720"/>
        <w:rPr>
          <w:rFonts w:hint="eastAsia" w:hAnsi="宋体"/>
          <w:sz w:val="28"/>
          <w:szCs w:val="28"/>
        </w:rPr>
      </w:pPr>
      <w:r>
        <w:rPr>
          <w:rFonts w:hint="eastAsia" w:hAnsi="宋体"/>
          <w:sz w:val="28"/>
          <w:szCs w:val="28"/>
        </w:rPr>
        <w:t>（十三）估价作业期</w:t>
      </w:r>
      <w:r>
        <w:rPr>
          <w:rFonts w:hAnsi="宋体"/>
          <w:sz w:val="28"/>
          <w:szCs w:val="28"/>
        </w:rPr>
        <w:t>…………………………………………………</w:t>
      </w:r>
      <w:r>
        <w:rPr>
          <w:rFonts w:hint="eastAsia" w:hAnsi="宋体"/>
          <w:sz w:val="28"/>
          <w:szCs w:val="28"/>
        </w:rPr>
        <w:t>第1</w:t>
      </w:r>
      <w:r>
        <w:rPr>
          <w:rFonts w:hint="eastAsia" w:hAnsi="宋体"/>
          <w:sz w:val="28"/>
          <w:szCs w:val="28"/>
          <w:lang w:val="en-US" w:eastAsia="zh-CN"/>
        </w:rPr>
        <w:t>4</w:t>
      </w:r>
      <w:r>
        <w:rPr>
          <w:rFonts w:hint="eastAsia" w:hAnsi="宋体"/>
          <w:sz w:val="28"/>
          <w:szCs w:val="28"/>
        </w:rPr>
        <w:t>页</w:t>
      </w:r>
    </w:p>
    <w:p>
      <w:pPr>
        <w:pStyle w:val="2"/>
        <w:snapToGrid w:val="0"/>
        <w:spacing w:line="600" w:lineRule="exact"/>
        <w:ind w:firstLine="570"/>
        <w:rPr>
          <w:rFonts w:hint="eastAsia" w:hAnsi="宋体"/>
          <w:sz w:val="28"/>
          <w:szCs w:val="28"/>
        </w:rPr>
      </w:pPr>
      <w:r>
        <w:rPr>
          <w:rFonts w:hint="eastAsia" w:hAnsi="宋体"/>
          <w:sz w:val="28"/>
          <w:szCs w:val="28"/>
        </w:rPr>
        <w:t>四、房地产估价技术报告</w:t>
      </w:r>
      <w:r>
        <w:rPr>
          <w:rFonts w:hAnsi="宋体"/>
          <w:sz w:val="28"/>
          <w:szCs w:val="28"/>
        </w:rPr>
        <w:t>………………………………………………</w:t>
      </w:r>
      <w:r>
        <w:rPr>
          <w:rFonts w:hint="eastAsia" w:hAnsi="宋体"/>
          <w:sz w:val="28"/>
          <w:szCs w:val="28"/>
        </w:rPr>
        <w:t>第1</w:t>
      </w:r>
      <w:r>
        <w:rPr>
          <w:rFonts w:hint="eastAsia" w:hAnsi="宋体"/>
          <w:sz w:val="28"/>
          <w:szCs w:val="28"/>
          <w:lang w:val="en-US" w:eastAsia="zh-CN"/>
        </w:rPr>
        <w:t>5</w:t>
      </w:r>
      <w:r>
        <w:rPr>
          <w:rFonts w:hint="eastAsia" w:hAnsi="宋体"/>
          <w:sz w:val="28"/>
          <w:szCs w:val="28"/>
        </w:rPr>
        <w:t>页</w:t>
      </w:r>
    </w:p>
    <w:p>
      <w:pPr>
        <w:pStyle w:val="2"/>
        <w:snapToGrid w:val="0"/>
        <w:spacing w:line="600" w:lineRule="exact"/>
        <w:ind w:firstLine="802" w:firstLineChars="286"/>
        <w:rPr>
          <w:rFonts w:hint="eastAsia" w:hAnsi="宋体"/>
          <w:sz w:val="28"/>
          <w:szCs w:val="28"/>
        </w:rPr>
      </w:pPr>
      <w:r>
        <w:rPr>
          <w:rFonts w:hint="eastAsia" w:hAnsi="宋体"/>
          <w:sz w:val="28"/>
          <w:szCs w:val="28"/>
        </w:rPr>
        <w:t>（一）</w:t>
      </w:r>
      <w:r>
        <w:rPr>
          <w:rFonts w:hint="eastAsia" w:hAnsi="宋体"/>
          <w:bCs/>
          <w:sz w:val="28"/>
          <w:szCs w:val="28"/>
        </w:rPr>
        <w:t>估价对象描述与分析</w:t>
      </w:r>
      <w:r>
        <w:rPr>
          <w:rFonts w:hAnsi="宋体"/>
          <w:bCs/>
          <w:sz w:val="28"/>
          <w:szCs w:val="28"/>
        </w:rPr>
        <w:t>…………………………………………</w:t>
      </w:r>
      <w:r>
        <w:rPr>
          <w:rFonts w:hint="eastAsia" w:hAnsi="宋体"/>
          <w:sz w:val="28"/>
          <w:szCs w:val="28"/>
        </w:rPr>
        <w:t>第1</w:t>
      </w:r>
      <w:r>
        <w:rPr>
          <w:rFonts w:hint="eastAsia" w:hAnsi="宋体"/>
          <w:sz w:val="28"/>
          <w:szCs w:val="28"/>
          <w:lang w:val="en-US" w:eastAsia="zh-CN"/>
        </w:rPr>
        <w:t>5</w:t>
      </w:r>
      <w:r>
        <w:rPr>
          <w:rFonts w:hint="eastAsia" w:hAnsi="宋体"/>
          <w:sz w:val="28"/>
          <w:szCs w:val="28"/>
        </w:rPr>
        <w:t>页</w:t>
      </w:r>
    </w:p>
    <w:p>
      <w:pPr>
        <w:pStyle w:val="2"/>
        <w:snapToGrid w:val="0"/>
        <w:spacing w:line="600" w:lineRule="exact"/>
        <w:ind w:firstLine="851" w:firstLineChars="303"/>
        <w:rPr>
          <w:rFonts w:hint="eastAsia" w:hAnsi="宋体"/>
          <w:sz w:val="28"/>
          <w:szCs w:val="28"/>
        </w:rPr>
      </w:pPr>
      <w:r>
        <w:rPr>
          <w:rFonts w:hint="eastAsia" w:hAnsi="宋体"/>
          <w:sz w:val="28"/>
          <w:szCs w:val="28"/>
        </w:rPr>
        <w:t>（二）市场背景描述与分析</w:t>
      </w:r>
      <w:r>
        <w:rPr>
          <w:rFonts w:hAnsi="宋体"/>
          <w:sz w:val="28"/>
          <w:szCs w:val="28"/>
        </w:rPr>
        <w:t>…………………………………………</w:t>
      </w:r>
      <w:r>
        <w:rPr>
          <w:rFonts w:hint="eastAsia" w:hAnsi="宋体"/>
          <w:sz w:val="28"/>
          <w:szCs w:val="28"/>
        </w:rPr>
        <w:t>第1</w:t>
      </w:r>
      <w:r>
        <w:rPr>
          <w:rFonts w:hint="eastAsia" w:hAnsi="宋体"/>
          <w:sz w:val="28"/>
          <w:szCs w:val="28"/>
          <w:lang w:val="en-US" w:eastAsia="zh-CN"/>
        </w:rPr>
        <w:t>6</w:t>
      </w:r>
      <w:r>
        <w:rPr>
          <w:rFonts w:hint="eastAsia" w:hAnsi="宋体"/>
          <w:sz w:val="28"/>
          <w:szCs w:val="28"/>
        </w:rPr>
        <w:t>页</w:t>
      </w:r>
    </w:p>
    <w:p>
      <w:pPr>
        <w:pStyle w:val="2"/>
        <w:snapToGrid w:val="0"/>
        <w:spacing w:line="600" w:lineRule="exact"/>
        <w:ind w:firstLine="851" w:firstLineChars="303"/>
        <w:rPr>
          <w:rFonts w:hint="eastAsia" w:hAnsi="宋体"/>
          <w:sz w:val="28"/>
          <w:szCs w:val="28"/>
        </w:rPr>
      </w:pPr>
      <w:r>
        <w:rPr>
          <w:rFonts w:hint="eastAsia" w:hAnsi="宋体"/>
          <w:sz w:val="28"/>
          <w:szCs w:val="28"/>
        </w:rPr>
        <w:t>（三）</w:t>
      </w:r>
      <w:r>
        <w:rPr>
          <w:rFonts w:hint="eastAsia" w:hAnsi="宋体"/>
          <w:bCs/>
          <w:sz w:val="28"/>
          <w:szCs w:val="28"/>
        </w:rPr>
        <w:t>估价对象</w:t>
      </w:r>
      <w:r>
        <w:rPr>
          <w:rFonts w:hint="eastAsia" w:hAnsi="宋体"/>
          <w:sz w:val="28"/>
          <w:szCs w:val="28"/>
        </w:rPr>
        <w:t>最高最佳利用</w:t>
      </w:r>
      <w:r>
        <w:rPr>
          <w:rFonts w:hint="eastAsia" w:hAnsi="宋体"/>
          <w:bCs/>
          <w:sz w:val="28"/>
          <w:szCs w:val="28"/>
        </w:rPr>
        <w:t>分析</w:t>
      </w:r>
      <w:r>
        <w:rPr>
          <w:rFonts w:hAnsi="宋体"/>
          <w:bCs/>
          <w:sz w:val="28"/>
          <w:szCs w:val="28"/>
        </w:rPr>
        <w:t>…………………………………</w:t>
      </w:r>
      <w:r>
        <w:rPr>
          <w:rFonts w:hint="eastAsia" w:hAnsi="宋体"/>
          <w:sz w:val="28"/>
          <w:szCs w:val="28"/>
        </w:rPr>
        <w:t>第1</w:t>
      </w:r>
      <w:r>
        <w:rPr>
          <w:rFonts w:hint="eastAsia" w:hAnsi="宋体"/>
          <w:sz w:val="28"/>
          <w:szCs w:val="28"/>
          <w:lang w:val="en-US" w:eastAsia="zh-CN"/>
        </w:rPr>
        <w:t>8</w:t>
      </w:r>
      <w:r>
        <w:rPr>
          <w:rFonts w:hint="eastAsia" w:hAnsi="宋体"/>
          <w:sz w:val="28"/>
          <w:szCs w:val="28"/>
        </w:rPr>
        <w:t>页</w:t>
      </w:r>
    </w:p>
    <w:p>
      <w:pPr>
        <w:pStyle w:val="2"/>
        <w:snapToGrid w:val="0"/>
        <w:spacing w:line="600" w:lineRule="exact"/>
        <w:ind w:firstLine="851" w:firstLineChars="303"/>
        <w:rPr>
          <w:rFonts w:hint="eastAsia" w:hAnsi="宋体"/>
          <w:sz w:val="28"/>
          <w:szCs w:val="28"/>
        </w:rPr>
      </w:pPr>
      <w:r>
        <w:rPr>
          <w:rFonts w:hint="eastAsia" w:hAnsi="宋体"/>
          <w:sz w:val="28"/>
          <w:szCs w:val="28"/>
        </w:rPr>
        <w:t>（四）</w:t>
      </w:r>
      <w:r>
        <w:rPr>
          <w:rFonts w:hint="eastAsia" w:hAnsi="宋体"/>
          <w:bCs/>
          <w:sz w:val="28"/>
          <w:szCs w:val="28"/>
        </w:rPr>
        <w:t>估价方法适用性分析</w:t>
      </w:r>
      <w:r>
        <w:rPr>
          <w:rFonts w:hAnsi="宋体"/>
          <w:bCs/>
          <w:sz w:val="28"/>
          <w:szCs w:val="28"/>
        </w:rPr>
        <w:t>…………………………………………</w:t>
      </w:r>
      <w:r>
        <w:rPr>
          <w:rFonts w:hint="eastAsia" w:hAnsi="宋体"/>
          <w:sz w:val="28"/>
          <w:szCs w:val="28"/>
        </w:rPr>
        <w:t>第1</w:t>
      </w:r>
      <w:r>
        <w:rPr>
          <w:rFonts w:hint="eastAsia" w:hAnsi="宋体"/>
          <w:sz w:val="28"/>
          <w:szCs w:val="28"/>
          <w:lang w:val="en-US" w:eastAsia="zh-CN"/>
        </w:rPr>
        <w:t>9</w:t>
      </w:r>
      <w:r>
        <w:rPr>
          <w:rFonts w:hint="eastAsia" w:hAnsi="宋体"/>
          <w:sz w:val="28"/>
          <w:szCs w:val="28"/>
        </w:rPr>
        <w:t>页</w:t>
      </w:r>
    </w:p>
    <w:p>
      <w:pPr>
        <w:pStyle w:val="2"/>
        <w:snapToGrid w:val="0"/>
        <w:spacing w:line="600" w:lineRule="exact"/>
        <w:ind w:firstLine="851" w:firstLineChars="303"/>
        <w:rPr>
          <w:rFonts w:hint="eastAsia" w:hAnsi="宋体"/>
          <w:sz w:val="28"/>
          <w:szCs w:val="28"/>
        </w:rPr>
      </w:pPr>
      <w:r>
        <w:rPr>
          <w:rFonts w:hint="eastAsia" w:hAnsi="宋体"/>
          <w:sz w:val="28"/>
          <w:szCs w:val="28"/>
        </w:rPr>
        <w:t>（五）估价测算过程</w:t>
      </w:r>
      <w:r>
        <w:rPr>
          <w:rFonts w:hAnsi="宋体"/>
          <w:bCs/>
          <w:sz w:val="28"/>
          <w:szCs w:val="28"/>
        </w:rPr>
        <w:t>…………………………………………………</w:t>
      </w:r>
      <w:r>
        <w:rPr>
          <w:rFonts w:hint="eastAsia" w:hAnsi="宋体"/>
          <w:sz w:val="28"/>
          <w:szCs w:val="28"/>
        </w:rPr>
        <w:t>第</w:t>
      </w:r>
      <w:r>
        <w:rPr>
          <w:rFonts w:hint="eastAsia" w:hAnsi="宋体"/>
          <w:sz w:val="28"/>
          <w:szCs w:val="28"/>
          <w:lang w:val="en-US" w:eastAsia="zh-CN"/>
        </w:rPr>
        <w:t>20</w:t>
      </w:r>
      <w:r>
        <w:rPr>
          <w:rFonts w:hint="eastAsia" w:hAnsi="宋体"/>
          <w:sz w:val="28"/>
          <w:szCs w:val="28"/>
        </w:rPr>
        <w:t>页</w:t>
      </w:r>
    </w:p>
    <w:p>
      <w:pPr>
        <w:pStyle w:val="2"/>
        <w:snapToGrid w:val="0"/>
        <w:spacing w:line="600" w:lineRule="exact"/>
        <w:ind w:firstLine="851" w:firstLineChars="303"/>
        <w:rPr>
          <w:rFonts w:hint="eastAsia" w:hAnsi="宋体"/>
          <w:sz w:val="28"/>
          <w:szCs w:val="28"/>
        </w:rPr>
      </w:pPr>
      <w:r>
        <w:rPr>
          <w:rFonts w:hint="eastAsia" w:hAnsi="宋体"/>
          <w:sz w:val="28"/>
          <w:szCs w:val="28"/>
        </w:rPr>
        <w:t>（六）估价结果确定</w:t>
      </w:r>
      <w:r>
        <w:rPr>
          <w:rFonts w:hAnsi="宋体"/>
          <w:sz w:val="28"/>
          <w:szCs w:val="28"/>
        </w:rPr>
        <w:t>…………………………………………………</w:t>
      </w:r>
      <w:r>
        <w:rPr>
          <w:rFonts w:hint="eastAsia" w:hAnsi="宋体"/>
          <w:sz w:val="28"/>
          <w:szCs w:val="28"/>
        </w:rPr>
        <w:t>第2</w:t>
      </w:r>
      <w:r>
        <w:rPr>
          <w:rFonts w:hint="eastAsia" w:hAnsi="宋体"/>
          <w:sz w:val="28"/>
          <w:szCs w:val="28"/>
          <w:lang w:val="en-US" w:eastAsia="zh-CN"/>
        </w:rPr>
        <w:t>6</w:t>
      </w:r>
      <w:r>
        <w:rPr>
          <w:rFonts w:hint="eastAsia" w:hAnsi="宋体"/>
          <w:sz w:val="28"/>
          <w:szCs w:val="28"/>
        </w:rPr>
        <w:t>页</w:t>
      </w:r>
    </w:p>
    <w:p>
      <w:pPr>
        <w:spacing w:line="600" w:lineRule="exact"/>
        <w:ind w:left="436" w:leftChars="136" w:firstLine="140" w:firstLineChars="50"/>
        <w:rPr>
          <w:rFonts w:hint="eastAsia" w:ascii="宋体" w:hAnsi="宋体"/>
          <w:sz w:val="28"/>
          <w:szCs w:val="28"/>
        </w:rPr>
      </w:pPr>
      <w:r>
        <w:rPr>
          <w:rFonts w:hint="eastAsia" w:ascii="宋体" w:hAnsi="宋体"/>
          <w:sz w:val="28"/>
          <w:szCs w:val="28"/>
        </w:rPr>
        <w:t>五、附件</w:t>
      </w:r>
    </w:p>
    <w:p>
      <w:pPr>
        <w:spacing w:line="600" w:lineRule="exact"/>
        <w:ind w:firstLine="980" w:firstLineChars="349"/>
        <w:rPr>
          <w:rFonts w:ascii="宋体" w:hAnsi="宋体"/>
          <w:sz w:val="28"/>
          <w:szCs w:val="28"/>
        </w:rPr>
      </w:pPr>
      <w:r>
        <w:rPr>
          <w:rFonts w:hint="eastAsia" w:ascii="宋体" w:hAnsi="宋体"/>
          <w:sz w:val="28"/>
          <w:szCs w:val="28"/>
        </w:rPr>
        <w:t>（一）</w:t>
      </w:r>
      <w:r>
        <w:rPr>
          <w:rFonts w:hint="eastAsia" w:ascii="宋体" w:hAnsi="宋体"/>
          <w:sz w:val="28"/>
          <w:szCs w:val="28"/>
          <w:lang w:eastAsia="zh-CN"/>
        </w:rPr>
        <w:t>巴彦淖尔市临河区人民法院执行</w:t>
      </w:r>
      <w:r>
        <w:rPr>
          <w:rFonts w:hint="eastAsia" w:ascii="宋体" w:hAnsi="宋体"/>
          <w:sz w:val="28"/>
          <w:szCs w:val="28"/>
        </w:rPr>
        <w:t>评估委托书复印件；</w:t>
      </w:r>
    </w:p>
    <w:p>
      <w:pPr>
        <w:spacing w:line="600" w:lineRule="exact"/>
        <w:ind w:firstLine="980" w:firstLineChars="349"/>
        <w:rPr>
          <w:rFonts w:hint="eastAsia" w:ascii="宋体" w:hAnsi="宋体"/>
          <w:sz w:val="28"/>
          <w:szCs w:val="28"/>
        </w:rPr>
      </w:pPr>
      <w:r>
        <w:rPr>
          <w:rFonts w:hint="eastAsia" w:ascii="宋体" w:hAnsi="宋体"/>
          <w:sz w:val="28"/>
          <w:szCs w:val="28"/>
        </w:rPr>
        <w:t>（二）估价对象位置图及影像资料复印件；</w:t>
      </w:r>
    </w:p>
    <w:p>
      <w:pPr>
        <w:spacing w:line="600" w:lineRule="exact"/>
        <w:ind w:firstLine="980" w:firstLineChars="349"/>
        <w:rPr>
          <w:rFonts w:hint="eastAsia" w:ascii="宋体" w:hAnsi="宋体"/>
          <w:sz w:val="28"/>
          <w:szCs w:val="28"/>
        </w:rPr>
      </w:pPr>
      <w:r>
        <w:rPr>
          <w:rFonts w:hint="eastAsia" w:ascii="宋体" w:hAnsi="宋体"/>
          <w:sz w:val="28"/>
          <w:szCs w:val="28"/>
        </w:rPr>
        <w:t>（三）估价对象</w:t>
      </w:r>
      <w:r>
        <w:rPr>
          <w:rFonts w:hint="eastAsia" w:ascii="宋体" w:hAnsi="宋体"/>
          <w:sz w:val="28"/>
          <w:szCs w:val="28"/>
          <w:lang w:eastAsia="zh-CN"/>
        </w:rPr>
        <w:t>权属信息资料</w:t>
      </w:r>
      <w:r>
        <w:rPr>
          <w:rFonts w:hint="eastAsia" w:ascii="宋体" w:hAnsi="宋体"/>
          <w:sz w:val="28"/>
          <w:szCs w:val="28"/>
        </w:rPr>
        <w:t>复印件；</w:t>
      </w:r>
    </w:p>
    <w:p>
      <w:pPr>
        <w:spacing w:line="600" w:lineRule="exact"/>
        <w:ind w:firstLine="980" w:firstLineChars="349"/>
        <w:rPr>
          <w:rFonts w:hint="eastAsia" w:ascii="宋体" w:hAnsi="宋体"/>
          <w:sz w:val="28"/>
          <w:szCs w:val="28"/>
        </w:rPr>
      </w:pPr>
      <w:r>
        <w:rPr>
          <w:rFonts w:hint="eastAsia" w:ascii="宋体" w:hAnsi="宋体"/>
          <w:sz w:val="28"/>
          <w:szCs w:val="28"/>
        </w:rPr>
        <w:t>（四）估价对象现场勘验</w:t>
      </w:r>
      <w:r>
        <w:rPr>
          <w:rFonts w:hint="eastAsia" w:ascii="宋体" w:hAnsi="宋体"/>
          <w:sz w:val="28"/>
          <w:szCs w:val="28"/>
          <w:lang w:eastAsia="zh-CN"/>
        </w:rPr>
        <w:t>表复印件</w:t>
      </w:r>
      <w:r>
        <w:rPr>
          <w:rFonts w:hint="eastAsia" w:ascii="宋体" w:hAnsi="宋体"/>
          <w:sz w:val="28"/>
          <w:szCs w:val="28"/>
        </w:rPr>
        <w:t>；</w:t>
      </w:r>
    </w:p>
    <w:p>
      <w:pPr>
        <w:spacing w:line="600" w:lineRule="exact"/>
        <w:ind w:firstLine="980" w:firstLineChars="349"/>
        <w:rPr>
          <w:rFonts w:hint="eastAsia" w:ascii="宋体" w:hAnsi="宋体"/>
          <w:sz w:val="28"/>
          <w:szCs w:val="28"/>
        </w:rPr>
      </w:pPr>
      <w:r>
        <w:rPr>
          <w:rFonts w:hint="eastAsia" w:ascii="宋体" w:hAnsi="宋体"/>
          <w:sz w:val="28"/>
          <w:szCs w:val="28"/>
        </w:rPr>
        <w:t>（四）可比实例位置图；</w:t>
      </w:r>
    </w:p>
    <w:p>
      <w:pPr>
        <w:spacing w:line="600" w:lineRule="exact"/>
        <w:ind w:firstLine="980" w:firstLineChars="349"/>
        <w:rPr>
          <w:rFonts w:hint="eastAsia" w:ascii="宋体" w:hAnsi="宋体"/>
          <w:sz w:val="28"/>
          <w:szCs w:val="28"/>
        </w:rPr>
      </w:pPr>
      <w:r>
        <w:rPr>
          <w:rFonts w:hint="eastAsia" w:ascii="宋体" w:hAnsi="宋体"/>
          <w:sz w:val="28"/>
          <w:szCs w:val="28"/>
        </w:rPr>
        <w:t>（五）房地产估价机构营业执照和估价资质证书复印件；</w:t>
      </w:r>
    </w:p>
    <w:p>
      <w:pPr>
        <w:spacing w:line="600" w:lineRule="exact"/>
        <w:ind w:firstLine="980" w:firstLineChars="349"/>
        <w:rPr>
          <w:rFonts w:hint="eastAsia" w:ascii="宋体" w:hAnsi="宋体"/>
          <w:sz w:val="28"/>
          <w:szCs w:val="28"/>
        </w:rPr>
      </w:pPr>
      <w:r>
        <w:rPr>
          <w:rFonts w:hint="eastAsia" w:ascii="宋体" w:hAnsi="宋体"/>
          <w:sz w:val="28"/>
          <w:szCs w:val="28"/>
        </w:rPr>
        <w:t>（六）估价公司《内蒙古自治区人民法院对外委托司法鉴定入册机构》复印件；</w:t>
      </w:r>
    </w:p>
    <w:p>
      <w:pPr>
        <w:spacing w:line="600" w:lineRule="exact"/>
        <w:ind w:firstLine="980" w:firstLineChars="349"/>
        <w:rPr>
          <w:rFonts w:hint="eastAsia" w:ascii="宋体" w:hAnsi="宋体" w:eastAsia="宋体"/>
          <w:sz w:val="28"/>
          <w:szCs w:val="28"/>
          <w:lang w:eastAsia="zh-CN"/>
        </w:rPr>
      </w:pPr>
      <w:r>
        <w:rPr>
          <w:rFonts w:hint="eastAsia" w:ascii="宋体" w:hAnsi="宋体"/>
          <w:sz w:val="28"/>
          <w:szCs w:val="28"/>
        </w:rPr>
        <w:t>（七）注册房地产估价师估价资质证书复印件</w:t>
      </w:r>
      <w:r>
        <w:rPr>
          <w:rFonts w:hint="eastAsia" w:ascii="宋体" w:hAnsi="宋体"/>
          <w:sz w:val="28"/>
          <w:szCs w:val="28"/>
          <w:lang w:eastAsia="zh-CN"/>
        </w:rPr>
        <w:t>。</w:t>
      </w:r>
    </w:p>
    <w:p>
      <w:pPr>
        <w:spacing w:line="600" w:lineRule="exact"/>
        <w:ind w:firstLine="980" w:firstLineChars="349"/>
        <w:rPr>
          <w:rFonts w:hint="eastAsia" w:ascii="宋体" w:hAnsi="宋体"/>
          <w:sz w:val="28"/>
          <w:szCs w:val="28"/>
        </w:rPr>
      </w:pPr>
    </w:p>
    <w:p>
      <w:pPr>
        <w:spacing w:line="600" w:lineRule="exact"/>
        <w:ind w:firstLine="980" w:firstLineChars="349"/>
        <w:rPr>
          <w:rFonts w:hint="eastAsia" w:ascii="宋体" w:hAnsi="宋体"/>
          <w:b/>
          <w:bCs/>
          <w:sz w:val="28"/>
          <w:szCs w:val="28"/>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00" w:lineRule="exact"/>
        <w:jc w:val="center"/>
        <w:rPr>
          <w:rFonts w:hint="eastAsia" w:ascii="宋体" w:hAnsi="宋体"/>
          <w:b/>
          <w:bCs/>
          <w:sz w:val="44"/>
        </w:rPr>
      </w:pPr>
    </w:p>
    <w:p>
      <w:pPr>
        <w:spacing w:line="660" w:lineRule="exact"/>
        <w:rPr>
          <w:rFonts w:hint="eastAsia" w:ascii="宋体" w:hAnsi="宋体"/>
          <w:b/>
          <w:bCs/>
          <w:sz w:val="44"/>
        </w:rPr>
      </w:pPr>
    </w:p>
    <w:p>
      <w:pPr>
        <w:spacing w:line="660" w:lineRule="exact"/>
        <w:rPr>
          <w:rFonts w:hint="eastAsia" w:ascii="宋体" w:hAnsi="宋体"/>
          <w:b/>
          <w:bCs/>
          <w:sz w:val="44"/>
        </w:rPr>
      </w:pPr>
    </w:p>
    <w:p>
      <w:pPr>
        <w:tabs>
          <w:tab w:val="left" w:pos="1086"/>
        </w:tabs>
        <w:spacing w:line="800" w:lineRule="exact"/>
        <w:jc w:val="center"/>
        <w:rPr>
          <w:rFonts w:hint="eastAsia" w:ascii="宋体" w:hAnsi="宋体"/>
          <w:sz w:val="44"/>
          <w:szCs w:val="44"/>
        </w:rPr>
      </w:pPr>
      <w:r>
        <w:rPr>
          <w:rFonts w:hint="eastAsia" w:ascii="宋体" w:hAnsi="宋体"/>
          <w:b/>
          <w:sz w:val="44"/>
          <w:szCs w:val="44"/>
        </w:rPr>
        <w:t>注册房地产估价师声明</w:t>
      </w:r>
    </w:p>
    <w:p>
      <w:pPr>
        <w:spacing w:line="800" w:lineRule="exact"/>
        <w:rPr>
          <w:rFonts w:hint="eastAsia" w:ascii="宋体" w:hAnsi="宋体"/>
          <w:sz w:val="24"/>
          <w:szCs w:val="24"/>
        </w:rPr>
      </w:pPr>
      <w:r>
        <w:rPr>
          <w:rFonts w:hint="eastAsia" w:ascii="宋体" w:hAnsi="宋体"/>
          <w:sz w:val="30"/>
          <w:szCs w:val="30"/>
        </w:rPr>
        <w:t xml:space="preserve">   </w:t>
      </w:r>
      <w:r>
        <w:rPr>
          <w:rFonts w:hint="eastAsia" w:ascii="宋体" w:hAnsi="宋体"/>
          <w:sz w:val="24"/>
          <w:szCs w:val="24"/>
        </w:rPr>
        <w:t>我们郑重声明：</w:t>
      </w:r>
    </w:p>
    <w:p>
      <w:pPr>
        <w:numPr>
          <w:ilvl w:val="0"/>
          <w:numId w:val="2"/>
        </w:numPr>
        <w:tabs>
          <w:tab w:val="left" w:pos="905"/>
          <w:tab w:val="left" w:pos="1086"/>
          <w:tab w:val="left" w:pos="2190"/>
        </w:tabs>
        <w:spacing w:line="800" w:lineRule="exact"/>
        <w:rPr>
          <w:rFonts w:hint="eastAsia" w:ascii="宋体" w:hAnsi="宋体"/>
          <w:sz w:val="24"/>
          <w:szCs w:val="24"/>
        </w:rPr>
      </w:pPr>
      <w:r>
        <w:rPr>
          <w:rFonts w:hint="eastAsia" w:ascii="宋体" w:hAnsi="宋体"/>
          <w:sz w:val="24"/>
          <w:szCs w:val="24"/>
        </w:rPr>
        <w:t>注册房地产估价师在估价报告中对事实的说明是真实和准确的，没有虚假记载、误导性陈述和重大遗漏。</w:t>
      </w:r>
    </w:p>
    <w:p>
      <w:pPr>
        <w:numPr>
          <w:ilvl w:val="0"/>
          <w:numId w:val="2"/>
        </w:numPr>
        <w:tabs>
          <w:tab w:val="left" w:pos="905"/>
          <w:tab w:val="left" w:pos="1086"/>
          <w:tab w:val="left" w:pos="2190"/>
        </w:tabs>
        <w:spacing w:line="800" w:lineRule="exact"/>
        <w:rPr>
          <w:rFonts w:hint="eastAsia" w:ascii="宋体" w:hAnsi="宋体"/>
          <w:sz w:val="24"/>
          <w:szCs w:val="24"/>
        </w:rPr>
      </w:pPr>
      <w:r>
        <w:rPr>
          <w:rFonts w:hint="eastAsia" w:ascii="宋体" w:hAnsi="宋体"/>
          <w:sz w:val="24"/>
          <w:szCs w:val="24"/>
        </w:rPr>
        <w:t>估价报告中的分析、意见和结论是注册房地产估价师独立、客观、公正的专业分析、意见和结论，但受到估价报告中已说明的假设和限制条件的限制。</w:t>
      </w:r>
    </w:p>
    <w:p>
      <w:pPr>
        <w:numPr>
          <w:ilvl w:val="0"/>
          <w:numId w:val="2"/>
        </w:numPr>
        <w:tabs>
          <w:tab w:val="left" w:pos="1086"/>
          <w:tab w:val="left" w:pos="2190"/>
        </w:tabs>
        <w:spacing w:line="800" w:lineRule="exact"/>
        <w:rPr>
          <w:rFonts w:hint="eastAsia" w:ascii="宋体" w:hAnsi="宋体"/>
          <w:sz w:val="24"/>
          <w:szCs w:val="24"/>
        </w:rPr>
      </w:pPr>
      <w:r>
        <w:rPr>
          <w:rFonts w:hint="eastAsia" w:ascii="宋体" w:hAnsi="宋体"/>
          <w:sz w:val="24"/>
          <w:szCs w:val="24"/>
        </w:rPr>
        <w:t>注册房地产估价师与估价报告中的估价对象没有现实或潜在利益，与估价委托人及估价利害关系人没有利害关系，也对估价对象、估价委托人及估价利害关系人没有偏见。</w:t>
      </w:r>
    </w:p>
    <w:p>
      <w:pPr>
        <w:numPr>
          <w:ilvl w:val="0"/>
          <w:numId w:val="2"/>
        </w:numPr>
        <w:tabs>
          <w:tab w:val="left" w:pos="905"/>
          <w:tab w:val="left" w:pos="1086"/>
          <w:tab w:val="left" w:pos="2190"/>
        </w:tabs>
        <w:spacing w:line="800" w:lineRule="exact"/>
        <w:rPr>
          <w:rFonts w:hint="eastAsia" w:ascii="宋体" w:hAnsi="宋体"/>
          <w:sz w:val="24"/>
          <w:szCs w:val="24"/>
        </w:rPr>
      </w:pPr>
      <w:r>
        <w:rPr>
          <w:rFonts w:hint="eastAsia" w:ascii="宋体" w:hAnsi="宋体"/>
          <w:sz w:val="24"/>
          <w:szCs w:val="24"/>
        </w:rPr>
        <w:t>注册房地产估价师是按照有关房地产估价标准的规定进行估价工作，撰写估价报告。</w:t>
      </w:r>
    </w:p>
    <w:p>
      <w:pPr>
        <w:numPr>
          <w:ilvl w:val="0"/>
          <w:numId w:val="2"/>
        </w:numPr>
        <w:tabs>
          <w:tab w:val="left" w:pos="905"/>
          <w:tab w:val="left" w:pos="1086"/>
          <w:tab w:val="left" w:pos="2190"/>
        </w:tabs>
        <w:spacing w:line="800" w:lineRule="exact"/>
        <w:rPr>
          <w:rFonts w:hint="eastAsia" w:ascii="宋体" w:hAnsi="宋体"/>
          <w:sz w:val="24"/>
          <w:szCs w:val="24"/>
        </w:rPr>
      </w:pPr>
      <w:r>
        <w:rPr>
          <w:rFonts w:hint="eastAsia" w:ascii="宋体" w:hAnsi="宋体"/>
          <w:sz w:val="24"/>
          <w:szCs w:val="24"/>
        </w:rPr>
        <w:t>没有人对本估价报告提出重要专业帮助。</w:t>
      </w:r>
    </w:p>
    <w:p>
      <w:pPr>
        <w:numPr>
          <w:ilvl w:val="0"/>
          <w:numId w:val="2"/>
        </w:numPr>
        <w:spacing w:line="800" w:lineRule="exact"/>
        <w:rPr>
          <w:rFonts w:ascii="宋体" w:hAnsi="宋体"/>
          <w:sz w:val="24"/>
          <w:szCs w:val="24"/>
        </w:rPr>
      </w:pPr>
      <w:r>
        <w:rPr>
          <w:rFonts w:hint="eastAsia" w:ascii="宋体" w:hAnsi="宋体"/>
          <w:sz w:val="24"/>
          <w:szCs w:val="24"/>
        </w:rPr>
        <w:t>参加本次估价的注册房地产估价师签章：</w:t>
      </w:r>
    </w:p>
    <w:tbl>
      <w:tblPr>
        <w:tblStyle w:val="10"/>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273"/>
        <w:gridCol w:w="2031"/>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2" w:type="dxa"/>
            <w:noWrap w:val="0"/>
            <w:vAlign w:val="center"/>
          </w:tcPr>
          <w:p>
            <w:pPr>
              <w:spacing w:line="600" w:lineRule="exact"/>
              <w:jc w:val="center"/>
              <w:rPr>
                <w:rFonts w:hint="eastAsia" w:ascii="宋体" w:hAnsi="宋体"/>
                <w:sz w:val="24"/>
                <w:szCs w:val="24"/>
              </w:rPr>
            </w:pPr>
            <w:r>
              <w:rPr>
                <w:rFonts w:hint="eastAsia" w:ascii="宋体" w:hAnsi="宋体"/>
                <w:sz w:val="24"/>
                <w:szCs w:val="24"/>
              </w:rPr>
              <w:t>姓名</w:t>
            </w:r>
          </w:p>
        </w:tc>
        <w:tc>
          <w:tcPr>
            <w:tcW w:w="3273" w:type="dxa"/>
            <w:noWrap w:val="0"/>
            <w:vAlign w:val="center"/>
          </w:tcPr>
          <w:p>
            <w:pPr>
              <w:spacing w:line="600" w:lineRule="exact"/>
              <w:jc w:val="center"/>
              <w:rPr>
                <w:rFonts w:hint="eastAsia" w:ascii="宋体" w:hAnsi="宋体"/>
                <w:sz w:val="24"/>
                <w:szCs w:val="24"/>
              </w:rPr>
            </w:pPr>
            <w:r>
              <w:rPr>
                <w:rFonts w:hint="eastAsia" w:ascii="宋体" w:hAnsi="宋体"/>
                <w:sz w:val="24"/>
                <w:szCs w:val="24"/>
              </w:rPr>
              <w:t>执业资格</w:t>
            </w:r>
          </w:p>
        </w:tc>
        <w:tc>
          <w:tcPr>
            <w:tcW w:w="2031" w:type="dxa"/>
            <w:noWrap w:val="0"/>
            <w:vAlign w:val="center"/>
          </w:tcPr>
          <w:p>
            <w:pPr>
              <w:spacing w:line="600" w:lineRule="exact"/>
              <w:jc w:val="center"/>
              <w:rPr>
                <w:rFonts w:hint="eastAsia" w:ascii="宋体" w:hAnsi="宋体"/>
                <w:sz w:val="24"/>
                <w:szCs w:val="24"/>
              </w:rPr>
            </w:pPr>
            <w:r>
              <w:rPr>
                <w:rFonts w:hint="eastAsia" w:ascii="宋体" w:hAnsi="宋体"/>
                <w:sz w:val="24"/>
                <w:szCs w:val="24"/>
              </w:rPr>
              <w:t>注册号</w:t>
            </w:r>
          </w:p>
        </w:tc>
        <w:tc>
          <w:tcPr>
            <w:tcW w:w="2652" w:type="dxa"/>
            <w:noWrap w:val="0"/>
            <w:vAlign w:val="center"/>
          </w:tcPr>
          <w:p>
            <w:pPr>
              <w:spacing w:line="600" w:lineRule="exact"/>
              <w:jc w:val="center"/>
              <w:rPr>
                <w:rFonts w:hint="eastAsia" w:ascii="宋体" w:hAnsi="宋体"/>
                <w:sz w:val="24"/>
                <w:szCs w:val="24"/>
              </w:rPr>
            </w:pPr>
            <w:r>
              <w:rPr>
                <w:rFonts w:hint="eastAsia" w:ascii="宋体" w:hAnsi="宋体"/>
                <w:sz w:val="24"/>
                <w:szCs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144" w:hRule="atLeast"/>
        </w:trPr>
        <w:tc>
          <w:tcPr>
            <w:tcW w:w="1512" w:type="dxa"/>
            <w:noWrap w:val="0"/>
            <w:vAlign w:val="center"/>
          </w:tcPr>
          <w:p>
            <w:pPr>
              <w:spacing w:line="600" w:lineRule="exact"/>
              <w:jc w:val="center"/>
              <w:rPr>
                <w:rFonts w:hint="eastAsia" w:ascii="宋体" w:hAnsi="宋体"/>
                <w:sz w:val="24"/>
                <w:szCs w:val="24"/>
              </w:rPr>
            </w:pPr>
            <w:r>
              <w:rPr>
                <w:rFonts w:hint="eastAsia" w:ascii="宋体" w:hAnsi="宋体"/>
                <w:sz w:val="24"/>
                <w:szCs w:val="24"/>
              </w:rPr>
              <w:t>郑美云</w:t>
            </w:r>
          </w:p>
        </w:tc>
        <w:tc>
          <w:tcPr>
            <w:tcW w:w="3273" w:type="dxa"/>
            <w:noWrap w:val="0"/>
            <w:vAlign w:val="center"/>
          </w:tcPr>
          <w:p>
            <w:pPr>
              <w:spacing w:line="600" w:lineRule="exact"/>
              <w:jc w:val="center"/>
              <w:rPr>
                <w:rFonts w:hint="eastAsia" w:ascii="宋体" w:hAnsi="宋体"/>
                <w:sz w:val="24"/>
                <w:szCs w:val="24"/>
              </w:rPr>
            </w:pPr>
            <w:r>
              <w:rPr>
                <w:rFonts w:hint="eastAsia" w:ascii="宋体" w:hAnsi="宋体"/>
                <w:sz w:val="24"/>
                <w:szCs w:val="24"/>
              </w:rPr>
              <w:t>中国注册房地产估价师</w:t>
            </w:r>
          </w:p>
        </w:tc>
        <w:tc>
          <w:tcPr>
            <w:tcW w:w="2031" w:type="dxa"/>
            <w:noWrap w:val="0"/>
            <w:vAlign w:val="center"/>
          </w:tcPr>
          <w:p>
            <w:pPr>
              <w:spacing w:line="600" w:lineRule="exact"/>
              <w:jc w:val="center"/>
              <w:rPr>
                <w:rFonts w:hint="eastAsia" w:ascii="宋体" w:hAnsi="宋体"/>
                <w:sz w:val="24"/>
                <w:szCs w:val="24"/>
              </w:rPr>
            </w:pPr>
            <w:r>
              <w:rPr>
                <w:rFonts w:hint="eastAsia" w:ascii="宋体" w:hAnsi="宋体"/>
                <w:sz w:val="24"/>
                <w:szCs w:val="24"/>
              </w:rPr>
              <w:t>1519970007</w:t>
            </w:r>
          </w:p>
        </w:tc>
        <w:tc>
          <w:tcPr>
            <w:tcW w:w="2652" w:type="dxa"/>
            <w:noWrap w:val="0"/>
            <w:vAlign w:val="center"/>
          </w:tcPr>
          <w:p>
            <w:pPr>
              <w:spacing w:line="600" w:lineRule="exact"/>
              <w:jc w:val="center"/>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2317" w:hRule="atLeast"/>
        </w:trPr>
        <w:tc>
          <w:tcPr>
            <w:tcW w:w="1512" w:type="dxa"/>
            <w:noWrap w:val="0"/>
            <w:vAlign w:val="center"/>
          </w:tcPr>
          <w:p>
            <w:pPr>
              <w:spacing w:line="600" w:lineRule="exact"/>
              <w:jc w:val="center"/>
              <w:rPr>
                <w:rFonts w:hint="eastAsia" w:ascii="宋体" w:hAnsi="宋体" w:eastAsia="宋体"/>
                <w:sz w:val="24"/>
                <w:szCs w:val="24"/>
                <w:lang w:eastAsia="zh-CN"/>
              </w:rPr>
            </w:pPr>
            <w:r>
              <w:rPr>
                <w:rFonts w:hint="eastAsia" w:ascii="宋体" w:hAnsi="宋体"/>
                <w:sz w:val="24"/>
                <w:szCs w:val="24"/>
                <w:lang w:eastAsia="zh-CN"/>
              </w:rPr>
              <w:t>燕美荣</w:t>
            </w:r>
          </w:p>
        </w:tc>
        <w:tc>
          <w:tcPr>
            <w:tcW w:w="3273" w:type="dxa"/>
            <w:noWrap w:val="0"/>
            <w:vAlign w:val="center"/>
          </w:tcPr>
          <w:p>
            <w:pPr>
              <w:spacing w:line="600" w:lineRule="exact"/>
              <w:jc w:val="center"/>
              <w:rPr>
                <w:rFonts w:hint="eastAsia" w:ascii="宋体" w:hAnsi="宋体"/>
                <w:sz w:val="24"/>
                <w:szCs w:val="24"/>
              </w:rPr>
            </w:pPr>
            <w:r>
              <w:rPr>
                <w:rFonts w:hint="eastAsia" w:ascii="宋体" w:hAnsi="宋体"/>
                <w:sz w:val="24"/>
                <w:szCs w:val="24"/>
              </w:rPr>
              <w:t>中国注册房地产估价师</w:t>
            </w:r>
          </w:p>
        </w:tc>
        <w:tc>
          <w:tcPr>
            <w:tcW w:w="2031" w:type="dxa"/>
            <w:noWrap w:val="0"/>
            <w:vAlign w:val="center"/>
          </w:tcPr>
          <w:p>
            <w:pPr>
              <w:spacing w:line="600" w:lineRule="exact"/>
              <w:jc w:val="center"/>
              <w:rPr>
                <w:rFonts w:hint="eastAsia" w:ascii="宋体" w:hAnsi="宋体" w:eastAsia="宋体"/>
                <w:sz w:val="24"/>
                <w:szCs w:val="24"/>
                <w:lang w:eastAsia="zh-CN"/>
              </w:rPr>
            </w:pPr>
            <w:r>
              <w:rPr>
                <w:rFonts w:hint="eastAsia" w:ascii="宋体" w:hAnsi="宋体"/>
                <w:sz w:val="24"/>
                <w:szCs w:val="24"/>
                <w:lang w:eastAsia="zh-CN"/>
              </w:rPr>
              <w:t>1520140033</w:t>
            </w:r>
          </w:p>
        </w:tc>
        <w:tc>
          <w:tcPr>
            <w:tcW w:w="2652" w:type="dxa"/>
            <w:noWrap w:val="0"/>
            <w:vAlign w:val="center"/>
          </w:tcPr>
          <w:p>
            <w:pPr>
              <w:spacing w:line="600" w:lineRule="exact"/>
              <w:jc w:val="center"/>
              <w:rPr>
                <w:rFonts w:hint="eastAsia" w:ascii="宋体" w:hAnsi="宋体"/>
                <w:sz w:val="24"/>
                <w:szCs w:val="24"/>
              </w:rPr>
            </w:pPr>
          </w:p>
        </w:tc>
      </w:tr>
    </w:tbl>
    <w:p>
      <w:pPr>
        <w:spacing w:line="600" w:lineRule="exact"/>
        <w:jc w:val="center"/>
        <w:rPr>
          <w:rFonts w:hint="eastAsia" w:ascii="宋体" w:hAnsi="宋体"/>
          <w:b/>
          <w:sz w:val="44"/>
          <w:szCs w:val="44"/>
        </w:rPr>
      </w:pPr>
      <w:r>
        <w:rPr>
          <w:rFonts w:hint="eastAsia" w:ascii="宋体" w:hAnsi="宋体"/>
          <w:b/>
          <w:sz w:val="44"/>
          <w:szCs w:val="44"/>
        </w:rPr>
        <w:t>估价的假设和限制条件</w:t>
      </w:r>
    </w:p>
    <w:p>
      <w:pPr>
        <w:spacing w:line="600" w:lineRule="exact"/>
        <w:rPr>
          <w:rFonts w:hint="eastAsia" w:ascii="宋体" w:hAnsi="宋体"/>
          <w:sz w:val="24"/>
          <w:szCs w:val="24"/>
        </w:rPr>
      </w:pPr>
      <w:r>
        <w:rPr>
          <w:rFonts w:hint="eastAsia" w:ascii="宋体" w:hAnsi="宋体"/>
          <w:sz w:val="24"/>
          <w:szCs w:val="24"/>
        </w:rPr>
        <w:t>（一）估价假设条件：</w:t>
      </w:r>
    </w:p>
    <w:p>
      <w:pPr>
        <w:tabs>
          <w:tab w:val="left" w:pos="1267"/>
        </w:tabs>
        <w:spacing w:line="600" w:lineRule="exact"/>
        <w:rPr>
          <w:rFonts w:hint="eastAsia" w:ascii="宋体" w:hAnsi="宋体"/>
          <w:sz w:val="24"/>
          <w:szCs w:val="24"/>
        </w:rPr>
      </w:pPr>
      <w:r>
        <w:rPr>
          <w:rFonts w:hint="eastAsia" w:ascii="宋体" w:hAnsi="宋体"/>
          <w:sz w:val="24"/>
          <w:szCs w:val="24"/>
        </w:rPr>
        <w:t>1、委估物业合法取得房屋所有权证，并以确认的房屋用途测算估价对象的价格；</w:t>
      </w:r>
    </w:p>
    <w:p>
      <w:pPr>
        <w:tabs>
          <w:tab w:val="left" w:pos="0"/>
        </w:tabs>
        <w:spacing w:line="600" w:lineRule="exact"/>
        <w:ind w:hanging="571"/>
        <w:rPr>
          <w:rFonts w:hint="eastAsia" w:ascii="宋体" w:hAnsi="宋体"/>
          <w:sz w:val="24"/>
          <w:szCs w:val="24"/>
        </w:rPr>
      </w:pPr>
      <w:r>
        <w:rPr>
          <w:rFonts w:hint="eastAsia" w:ascii="宋体" w:hAnsi="宋体"/>
          <w:sz w:val="24"/>
          <w:szCs w:val="24"/>
        </w:rPr>
        <w:t xml:space="preserve">     2、本报告以估价对象在估价时点处于完好状态并达到委托人所提供的使用功能为假设前提；</w:t>
      </w:r>
    </w:p>
    <w:p>
      <w:pPr>
        <w:tabs>
          <w:tab w:val="left" w:pos="0"/>
        </w:tabs>
        <w:spacing w:line="600" w:lineRule="exact"/>
        <w:rPr>
          <w:rFonts w:hint="eastAsia" w:ascii="宋体" w:hAnsi="宋体"/>
          <w:sz w:val="24"/>
          <w:szCs w:val="24"/>
        </w:rPr>
      </w:pPr>
      <w:r>
        <w:rPr>
          <w:rFonts w:hint="eastAsia" w:ascii="宋体" w:hAnsi="宋体"/>
          <w:sz w:val="24"/>
          <w:szCs w:val="24"/>
        </w:rPr>
        <w:t>3、有一个充分健全发育的市场，房地产建设的必要成本能得到承认；</w:t>
      </w:r>
    </w:p>
    <w:p>
      <w:pPr>
        <w:tabs>
          <w:tab w:val="left" w:pos="1086"/>
          <w:tab w:val="left" w:pos="1267"/>
        </w:tabs>
        <w:spacing w:line="600" w:lineRule="exact"/>
        <w:rPr>
          <w:rFonts w:hint="eastAsia" w:ascii="宋体" w:hAnsi="宋体"/>
          <w:sz w:val="24"/>
          <w:szCs w:val="24"/>
        </w:rPr>
      </w:pPr>
      <w:r>
        <w:rPr>
          <w:rFonts w:hint="eastAsia" w:ascii="宋体" w:hAnsi="宋体"/>
          <w:sz w:val="24"/>
          <w:szCs w:val="24"/>
        </w:rPr>
        <w:t>4、估价对象不存在也不涉及任何法律纠纷；</w:t>
      </w:r>
    </w:p>
    <w:p>
      <w:pPr>
        <w:tabs>
          <w:tab w:val="left" w:pos="468"/>
        </w:tabs>
        <w:spacing w:line="600" w:lineRule="exact"/>
        <w:rPr>
          <w:rFonts w:hint="eastAsia" w:ascii="宋体" w:hAnsi="宋体"/>
          <w:sz w:val="24"/>
          <w:szCs w:val="24"/>
        </w:rPr>
      </w:pPr>
      <w:r>
        <w:rPr>
          <w:rFonts w:hint="eastAsia" w:ascii="宋体" w:hAnsi="宋体"/>
          <w:sz w:val="24"/>
          <w:szCs w:val="24"/>
        </w:rPr>
        <w:t>5、估价对象应支付的各种税费已付清；</w:t>
      </w:r>
    </w:p>
    <w:p>
      <w:pPr>
        <w:spacing w:line="600" w:lineRule="exact"/>
        <w:rPr>
          <w:rFonts w:hint="eastAsia" w:ascii="宋体" w:hAnsi="宋体"/>
          <w:sz w:val="24"/>
          <w:szCs w:val="24"/>
        </w:rPr>
      </w:pPr>
      <w:r>
        <w:rPr>
          <w:rFonts w:hint="eastAsia" w:ascii="宋体" w:hAnsi="宋体"/>
          <w:sz w:val="24"/>
          <w:szCs w:val="24"/>
        </w:rPr>
        <w:t>6、注册房地产估价师郑美云和</w:t>
      </w:r>
      <w:r>
        <w:rPr>
          <w:rFonts w:hint="eastAsia" w:ascii="宋体" w:hAnsi="宋体"/>
          <w:sz w:val="24"/>
          <w:szCs w:val="24"/>
          <w:lang w:eastAsia="zh-CN"/>
        </w:rPr>
        <w:t>燕美荣</w:t>
      </w:r>
      <w:r>
        <w:rPr>
          <w:rFonts w:hint="eastAsia" w:ascii="宋体" w:hAnsi="宋体"/>
          <w:sz w:val="24"/>
          <w:szCs w:val="24"/>
        </w:rPr>
        <w:t>于</w:t>
      </w:r>
      <w:r>
        <w:rPr>
          <w:rFonts w:hint="eastAsia" w:ascii="宋体" w:hAnsi="宋体"/>
          <w:sz w:val="24"/>
          <w:szCs w:val="24"/>
          <w:shd w:val="clear" w:color="auto" w:fill="FFFFFF"/>
          <w:lang w:eastAsia="zh-CN"/>
        </w:rPr>
        <w:t>二〇一九年一月十四日</w:t>
      </w:r>
      <w:r>
        <w:rPr>
          <w:rFonts w:hint="eastAsia" w:ascii="宋体" w:hAnsi="宋体"/>
          <w:sz w:val="24"/>
          <w:szCs w:val="24"/>
        </w:rPr>
        <w:t>对本估价报告中的估价对象进行了实地查勘，除非另有协议，估价人员不承担对估价对象建筑结构质量进行调查的责任和其他被遮盖、未暴露及难以接触到的部分进行检视的责任；</w:t>
      </w:r>
    </w:p>
    <w:p>
      <w:pPr>
        <w:spacing w:line="600" w:lineRule="exact"/>
        <w:rPr>
          <w:rFonts w:hint="eastAsia"/>
          <w:sz w:val="24"/>
          <w:szCs w:val="24"/>
        </w:rPr>
      </w:pPr>
      <w:r>
        <w:rPr>
          <w:rFonts w:hint="eastAsia" w:ascii="宋体" w:hAnsi="宋体"/>
          <w:sz w:val="24"/>
          <w:szCs w:val="24"/>
        </w:rPr>
        <w:t>7、</w:t>
      </w:r>
      <w:r>
        <w:rPr>
          <w:rFonts w:hint="eastAsia"/>
          <w:sz w:val="24"/>
          <w:szCs w:val="24"/>
        </w:rPr>
        <w:t>本估价报告依据了委托人提供的相关资料，委托人对资料的真实性负责，因资料失实造成估价结果有误的，估价机构和估价人员不承担相应的责任；</w:t>
      </w:r>
    </w:p>
    <w:p>
      <w:pPr>
        <w:spacing w:line="600" w:lineRule="exact"/>
        <w:rPr>
          <w:rFonts w:hint="eastAsia" w:ascii="宋体" w:hAnsi="宋体"/>
          <w:sz w:val="24"/>
          <w:szCs w:val="24"/>
          <w:lang w:val="en-US" w:eastAsia="zh-CN"/>
        </w:rPr>
      </w:pPr>
      <w:r>
        <w:rPr>
          <w:rFonts w:hint="eastAsia" w:ascii="宋体" w:hAnsi="宋体"/>
          <w:sz w:val="24"/>
          <w:szCs w:val="24"/>
        </w:rPr>
        <w:t xml:space="preserve">（二）估价限制条件：  </w:t>
      </w:r>
    </w:p>
    <w:p>
      <w:pPr>
        <w:tabs>
          <w:tab w:val="left" w:pos="0"/>
          <w:tab w:val="left" w:pos="1086"/>
          <w:tab w:val="left" w:pos="1267"/>
        </w:tabs>
        <w:spacing w:line="600" w:lineRule="exact"/>
        <w:rPr>
          <w:rFonts w:hint="eastAsia" w:ascii="宋体" w:hAnsi="宋体"/>
          <w:sz w:val="24"/>
          <w:szCs w:val="24"/>
        </w:rPr>
      </w:pPr>
      <w:r>
        <w:rPr>
          <w:rFonts w:hint="eastAsia" w:ascii="宋体" w:hAnsi="宋体"/>
          <w:sz w:val="24"/>
          <w:szCs w:val="24"/>
          <w:lang w:val="en-US" w:eastAsia="zh-CN"/>
        </w:rPr>
        <w:t>1</w:t>
      </w:r>
      <w:r>
        <w:rPr>
          <w:rFonts w:hint="eastAsia" w:ascii="宋体" w:hAnsi="宋体"/>
          <w:sz w:val="24"/>
          <w:szCs w:val="24"/>
        </w:rPr>
        <w:t>、委托人提供的使用功能、布局以及设备安装和装修工程是否有变，均对估价结果产生一定影响；</w:t>
      </w:r>
    </w:p>
    <w:p>
      <w:pPr>
        <w:tabs>
          <w:tab w:val="left" w:pos="362"/>
          <w:tab w:val="left" w:pos="905"/>
          <w:tab w:val="left" w:pos="1991"/>
        </w:tabs>
        <w:spacing w:line="600" w:lineRule="exact"/>
        <w:rPr>
          <w:rFonts w:hint="eastAsia" w:ascii="宋体" w:hAnsi="宋体"/>
          <w:sz w:val="24"/>
          <w:szCs w:val="24"/>
        </w:rPr>
      </w:pPr>
      <w:r>
        <w:rPr>
          <w:rFonts w:hint="eastAsia" w:ascii="宋体" w:hAnsi="宋体"/>
          <w:sz w:val="24"/>
          <w:szCs w:val="24"/>
          <w:lang w:val="en-US" w:eastAsia="zh-CN"/>
        </w:rPr>
        <w:t>2</w:t>
      </w:r>
      <w:r>
        <w:rPr>
          <w:rFonts w:hint="eastAsia" w:ascii="宋体" w:hAnsi="宋体"/>
          <w:sz w:val="24"/>
          <w:szCs w:val="24"/>
        </w:rPr>
        <w:t>、估价时点后，估价报告有效期内估价对象的质量及价格标准发生变化，并对估价对象估价价格产生明显影响时，不能直接用本估价结论；</w:t>
      </w:r>
    </w:p>
    <w:p>
      <w:pPr>
        <w:tabs>
          <w:tab w:val="left" w:pos="0"/>
          <w:tab w:val="left" w:pos="181"/>
          <w:tab w:val="left" w:pos="362"/>
          <w:tab w:val="left" w:pos="724"/>
          <w:tab w:val="left" w:pos="905"/>
        </w:tabs>
        <w:spacing w:line="600" w:lineRule="exact"/>
        <w:ind w:hanging="539"/>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3</w:t>
      </w:r>
      <w:r>
        <w:rPr>
          <w:rFonts w:hint="eastAsia" w:ascii="宋体" w:hAnsi="宋体"/>
          <w:sz w:val="24"/>
          <w:szCs w:val="24"/>
        </w:rPr>
        <w:t>、本次估价结果未考虑国家宏观经济政策发生重大变化以及遇有自然力和其他不可抗力对估价结论的影响；</w:t>
      </w:r>
    </w:p>
    <w:p>
      <w:pPr>
        <w:tabs>
          <w:tab w:val="left" w:pos="362"/>
          <w:tab w:val="left" w:pos="905"/>
          <w:tab w:val="left" w:pos="1267"/>
          <w:tab w:val="left" w:pos="1991"/>
        </w:tabs>
        <w:spacing w:line="600" w:lineRule="exact"/>
        <w:rPr>
          <w:rFonts w:hint="eastAsia" w:ascii="宋体" w:hAnsi="宋体"/>
          <w:sz w:val="24"/>
          <w:szCs w:val="24"/>
        </w:rPr>
      </w:pPr>
      <w:r>
        <w:rPr>
          <w:rFonts w:hint="eastAsia" w:ascii="宋体" w:hAnsi="宋体"/>
          <w:sz w:val="24"/>
          <w:szCs w:val="24"/>
          <w:lang w:val="en-US" w:eastAsia="zh-CN"/>
        </w:rPr>
        <w:t>4</w:t>
      </w:r>
      <w:r>
        <w:rPr>
          <w:rFonts w:hint="eastAsia" w:ascii="宋体" w:hAnsi="宋体"/>
          <w:sz w:val="24"/>
          <w:szCs w:val="24"/>
        </w:rPr>
        <w:t>、本次估价未考虑特殊交易方式对评估结论的影响；</w:t>
      </w:r>
    </w:p>
    <w:p>
      <w:pPr>
        <w:tabs>
          <w:tab w:val="left" w:pos="181"/>
          <w:tab w:val="left" w:pos="905"/>
          <w:tab w:val="left" w:pos="1267"/>
          <w:tab w:val="left" w:pos="1991"/>
        </w:tabs>
        <w:spacing w:line="600" w:lineRule="exact"/>
        <w:rPr>
          <w:rFonts w:hint="eastAsia" w:ascii="宋体" w:hAnsi="宋体"/>
          <w:sz w:val="24"/>
          <w:szCs w:val="24"/>
        </w:rPr>
      </w:pPr>
      <w:r>
        <w:rPr>
          <w:rFonts w:hint="eastAsia" w:ascii="宋体" w:hAnsi="宋体"/>
          <w:sz w:val="24"/>
          <w:szCs w:val="24"/>
          <w:lang w:val="en-US" w:eastAsia="zh-CN"/>
        </w:rPr>
        <w:t>5</w:t>
      </w:r>
      <w:r>
        <w:rPr>
          <w:rFonts w:hint="eastAsia" w:ascii="宋体" w:hAnsi="宋体"/>
          <w:sz w:val="24"/>
          <w:szCs w:val="24"/>
        </w:rPr>
        <w:t>、本报告估价结果仅作为委托人在本次估价目的下的使用，不得做其他用途。凡因委托人使用估价报告不当而引起的后果，估价机构和估价人员不承担相应的责任；</w:t>
      </w:r>
    </w:p>
    <w:p>
      <w:pPr>
        <w:tabs>
          <w:tab w:val="left" w:pos="905"/>
          <w:tab w:val="left" w:pos="1086"/>
        </w:tabs>
        <w:spacing w:line="600" w:lineRule="exact"/>
        <w:rPr>
          <w:rFonts w:hint="eastAsia" w:ascii="宋体" w:hAnsi="宋体"/>
          <w:sz w:val="24"/>
          <w:szCs w:val="24"/>
        </w:rPr>
      </w:pPr>
      <w:r>
        <w:rPr>
          <w:rFonts w:hint="eastAsia" w:ascii="宋体" w:hAnsi="宋体"/>
          <w:sz w:val="24"/>
          <w:szCs w:val="24"/>
          <w:lang w:val="en-US" w:eastAsia="zh-CN"/>
        </w:rPr>
        <w:t>6</w:t>
      </w:r>
      <w:r>
        <w:rPr>
          <w:rFonts w:hint="eastAsia" w:ascii="宋体" w:hAnsi="宋体"/>
          <w:sz w:val="24"/>
          <w:szCs w:val="24"/>
        </w:rPr>
        <w:t>、</w:t>
      </w:r>
      <w:r>
        <w:rPr>
          <w:rFonts w:ascii="宋体" w:hAnsi="宋体"/>
          <w:sz w:val="24"/>
          <w:szCs w:val="24"/>
        </w:rPr>
        <w:t>未经估价机构书面同意，本估价报告的全部或部分及任何参考资料均不允许在任何公开发表的文件、通告或声明中引用，亦不得以其他任何方式公开发表</w:t>
      </w:r>
      <w:r>
        <w:rPr>
          <w:rFonts w:hint="eastAsia" w:ascii="宋体" w:hAnsi="宋体"/>
          <w:sz w:val="24"/>
          <w:szCs w:val="24"/>
        </w:rPr>
        <w:t>；报告解释权为本评估机构所有；</w:t>
      </w:r>
    </w:p>
    <w:p>
      <w:pPr>
        <w:spacing w:line="600" w:lineRule="exact"/>
        <w:rPr>
          <w:rFonts w:hint="eastAsia" w:ascii="宋体" w:hAnsi="宋体"/>
          <w:sz w:val="24"/>
          <w:szCs w:val="24"/>
        </w:rPr>
      </w:pPr>
      <w:r>
        <w:rPr>
          <w:rFonts w:hint="eastAsia"/>
          <w:sz w:val="24"/>
          <w:szCs w:val="28"/>
          <w:lang w:val="en-US" w:eastAsia="zh-CN"/>
        </w:rPr>
        <w:t>7</w:t>
      </w:r>
      <w:r>
        <w:rPr>
          <w:rFonts w:hint="eastAsia"/>
          <w:sz w:val="24"/>
          <w:szCs w:val="28"/>
        </w:rPr>
        <w:t>、未来市场变化风险和短期强制处分等因素对房地产价值均产生一定的影响，委托人及相关方面需全面考虑。</w:t>
      </w:r>
    </w:p>
    <w:p>
      <w:pPr>
        <w:tabs>
          <w:tab w:val="left" w:pos="181"/>
          <w:tab w:val="left" w:pos="905"/>
          <w:tab w:val="left" w:pos="1267"/>
          <w:tab w:val="left" w:pos="1991"/>
        </w:tabs>
        <w:spacing w:line="600" w:lineRule="exact"/>
        <w:rPr>
          <w:rFonts w:hint="eastAsia" w:ascii="宋体" w:hAnsi="宋体"/>
          <w:sz w:val="24"/>
          <w:szCs w:val="24"/>
        </w:rPr>
      </w:pPr>
      <w:r>
        <w:rPr>
          <w:rFonts w:hint="eastAsia" w:ascii="宋体" w:hAnsi="宋体"/>
          <w:sz w:val="24"/>
          <w:szCs w:val="24"/>
          <w:lang w:val="en-US" w:eastAsia="zh-CN"/>
        </w:rPr>
        <w:t>8</w:t>
      </w:r>
      <w:r>
        <w:rPr>
          <w:rFonts w:hint="eastAsia" w:ascii="宋体" w:hAnsi="宋体"/>
          <w:sz w:val="24"/>
          <w:szCs w:val="24"/>
        </w:rPr>
        <w:t>、估价报告应用的有效期自完成估价报告之日起原则上为一年，但市场状况变化很大时，估价报告应用的有效期不超过半年。</w:t>
      </w:r>
    </w:p>
    <w:p>
      <w:pPr>
        <w:tabs>
          <w:tab w:val="left" w:pos="181"/>
          <w:tab w:val="left" w:pos="905"/>
          <w:tab w:val="left" w:pos="1267"/>
          <w:tab w:val="left" w:pos="1991"/>
        </w:tabs>
        <w:spacing w:line="600" w:lineRule="exact"/>
        <w:rPr>
          <w:rFonts w:hint="eastAsia" w:ascii="宋体" w:hAnsi="宋体"/>
          <w:sz w:val="24"/>
          <w:szCs w:val="24"/>
        </w:rPr>
      </w:pPr>
      <w:r>
        <w:rPr>
          <w:rFonts w:hint="eastAsia" w:ascii="宋体" w:hAnsi="宋体"/>
          <w:sz w:val="24"/>
          <w:szCs w:val="24"/>
          <w:lang w:val="en-US" w:eastAsia="zh-CN"/>
        </w:rPr>
        <w:t>9</w:t>
      </w:r>
      <w:r>
        <w:rPr>
          <w:rFonts w:hint="eastAsia" w:ascii="宋体" w:hAnsi="宋体"/>
          <w:sz w:val="24"/>
          <w:szCs w:val="24"/>
        </w:rPr>
        <w:t>、</w:t>
      </w:r>
      <w:r>
        <w:rPr>
          <w:rFonts w:ascii="Arial" w:hAnsi="Arial" w:cs="Arial"/>
          <w:sz w:val="24"/>
          <w:szCs w:val="24"/>
        </w:rPr>
        <w:t>报告中数据全部采用电算化连续计算得出，由于在报告中计算的数据均按四舍五入保留小数或取整</w:t>
      </w:r>
      <w:r>
        <w:rPr>
          <w:rFonts w:hint="eastAsia" w:ascii="Arial" w:hAnsi="Arial" w:cs="Arial"/>
          <w:sz w:val="24"/>
          <w:szCs w:val="24"/>
        </w:rPr>
        <w:t>，</w:t>
      </w:r>
      <w:r>
        <w:rPr>
          <w:rFonts w:ascii="Arial" w:hAnsi="Arial" w:cs="Arial"/>
          <w:sz w:val="24"/>
          <w:szCs w:val="24"/>
        </w:rPr>
        <w:t>因此，可能出现个别等式左右不完全相等的情况，但不影响计算结果和最终评估结果的准确性。</w:t>
      </w:r>
    </w:p>
    <w:p>
      <w:pPr>
        <w:tabs>
          <w:tab w:val="left" w:pos="181"/>
          <w:tab w:val="left" w:pos="905"/>
          <w:tab w:val="left" w:pos="1267"/>
          <w:tab w:val="left" w:pos="1991"/>
        </w:tabs>
        <w:spacing w:line="600" w:lineRule="exact"/>
        <w:rPr>
          <w:rFonts w:hint="eastAsia" w:ascii="宋体" w:hAnsi="宋体"/>
        </w:rPr>
        <w:sectPr>
          <w:headerReference r:id="rId4" w:type="first"/>
          <w:footerReference r:id="rId6" w:type="first"/>
          <w:headerReference r:id="rId3" w:type="default"/>
          <w:footerReference r:id="rId5" w:type="default"/>
          <w:pgSz w:w="11907" w:h="16839"/>
          <w:pgMar w:top="1417" w:right="1134" w:bottom="1134" w:left="1134" w:header="851" w:footer="850" w:gutter="0"/>
          <w:cols w:space="720" w:num="1"/>
          <w:titlePg/>
          <w:docGrid w:type="linesAndChars" w:linePitch="274" w:charSpace="266"/>
        </w:sectPr>
      </w:pPr>
      <w:r>
        <w:rPr>
          <w:rFonts w:hint="eastAsia" w:ascii="宋体" w:hAnsi="宋体"/>
          <w:sz w:val="24"/>
          <w:szCs w:val="24"/>
        </w:rPr>
        <w:t>1</w:t>
      </w:r>
      <w:r>
        <w:rPr>
          <w:rFonts w:hint="eastAsia" w:ascii="宋体" w:hAnsi="宋体"/>
          <w:sz w:val="24"/>
          <w:szCs w:val="24"/>
          <w:lang w:val="en-US" w:eastAsia="zh-CN"/>
        </w:rPr>
        <w:t>0</w:t>
      </w:r>
      <w:r>
        <w:rPr>
          <w:rFonts w:hint="eastAsia" w:ascii="宋体" w:hAnsi="宋体"/>
          <w:sz w:val="24"/>
          <w:szCs w:val="24"/>
        </w:rPr>
        <w:t>、</w:t>
      </w:r>
      <w:r>
        <w:rPr>
          <w:rFonts w:ascii="宋体" w:hAnsi="宋体"/>
          <w:sz w:val="24"/>
          <w:szCs w:val="24"/>
        </w:rPr>
        <w:t>如发现本估价报告文字</w:t>
      </w:r>
      <w:r>
        <w:rPr>
          <w:rFonts w:hint="eastAsia" w:ascii="宋体" w:hAnsi="宋体"/>
          <w:sz w:val="24"/>
          <w:szCs w:val="24"/>
        </w:rPr>
        <w:t>、</w:t>
      </w:r>
      <w:r>
        <w:rPr>
          <w:rFonts w:ascii="宋体" w:hAnsi="宋体"/>
          <w:sz w:val="24"/>
          <w:szCs w:val="24"/>
        </w:rPr>
        <w:t>数字</w:t>
      </w:r>
      <w:r>
        <w:rPr>
          <w:rFonts w:hint="eastAsia" w:ascii="宋体" w:hAnsi="宋体"/>
          <w:sz w:val="24"/>
          <w:szCs w:val="24"/>
        </w:rPr>
        <w:t>等</w:t>
      </w:r>
      <w:r>
        <w:rPr>
          <w:rFonts w:ascii="宋体" w:hAnsi="宋体"/>
          <w:sz w:val="24"/>
          <w:szCs w:val="24"/>
        </w:rPr>
        <w:t>因校对或其他类似原因出现差错时，请</w:t>
      </w:r>
      <w:r>
        <w:rPr>
          <w:rFonts w:hint="eastAsia" w:ascii="宋体" w:hAnsi="宋体"/>
          <w:sz w:val="24"/>
          <w:szCs w:val="24"/>
        </w:rPr>
        <w:t>及时</w:t>
      </w:r>
      <w:r>
        <w:rPr>
          <w:rFonts w:ascii="宋体" w:hAnsi="宋体"/>
          <w:sz w:val="24"/>
          <w:szCs w:val="24"/>
        </w:rPr>
        <w:t>通知本</w:t>
      </w:r>
      <w:r>
        <w:rPr>
          <w:rFonts w:hint="eastAsia" w:ascii="宋体" w:hAnsi="宋体"/>
          <w:sz w:val="24"/>
          <w:szCs w:val="24"/>
        </w:rPr>
        <w:t>公司</w:t>
      </w:r>
      <w:r>
        <w:rPr>
          <w:rFonts w:ascii="宋体" w:hAnsi="宋体"/>
          <w:sz w:val="24"/>
          <w:szCs w:val="24"/>
        </w:rPr>
        <w:t>进行更正。</w:t>
      </w:r>
      <w:r>
        <w:rPr>
          <w:rFonts w:hint="eastAsia" w:ascii="宋体" w:hAnsi="宋体"/>
          <w:sz w:val="30"/>
          <w:szCs w:val="30"/>
        </w:rPr>
        <w:t xml:space="preserve">                                    </w:t>
      </w:r>
    </w:p>
    <w:p>
      <w:pPr>
        <w:spacing w:line="600" w:lineRule="exact"/>
        <w:jc w:val="center"/>
        <w:rPr>
          <w:rFonts w:hint="eastAsia" w:ascii="宋体" w:hAnsi="宋体"/>
          <w:b/>
          <w:sz w:val="44"/>
        </w:rPr>
      </w:pPr>
      <w:r>
        <w:rPr>
          <w:rFonts w:hint="eastAsia" w:ascii="宋体" w:hAnsi="宋体"/>
          <w:b/>
          <w:sz w:val="44"/>
        </w:rPr>
        <w:t>房 地 产 估 价 结 果 报 告</w:t>
      </w:r>
    </w:p>
    <w:p>
      <w:pPr>
        <w:keepNext w:val="0"/>
        <w:keepLines w:val="0"/>
        <w:pageBreakBefore w:val="0"/>
        <w:kinsoku/>
        <w:wordWrap/>
        <w:overflowPunct/>
        <w:topLinePunct w:val="0"/>
        <w:bidi w:val="0"/>
        <w:adjustRightInd/>
        <w:snapToGrid/>
        <w:spacing w:line="660" w:lineRule="exact"/>
        <w:textAlignment w:val="auto"/>
        <w:outlineLvl w:val="9"/>
        <w:rPr>
          <w:rFonts w:hint="eastAsia" w:ascii="宋体" w:hAnsi="宋体"/>
          <w:b/>
          <w:sz w:val="24"/>
          <w:szCs w:val="24"/>
        </w:rPr>
      </w:pPr>
      <w:r>
        <w:rPr>
          <w:rFonts w:hint="eastAsia" w:ascii="宋体" w:hAnsi="宋体"/>
          <w:b/>
          <w:sz w:val="24"/>
          <w:szCs w:val="24"/>
        </w:rPr>
        <w:t>一、估价委托人</w:t>
      </w:r>
    </w:p>
    <w:p>
      <w:pPr>
        <w:keepNext w:val="0"/>
        <w:keepLines w:val="0"/>
        <w:pageBreakBefore w:val="0"/>
        <w:kinsoku/>
        <w:wordWrap/>
        <w:overflowPunct/>
        <w:topLinePunct w:val="0"/>
        <w:bidi w:val="0"/>
        <w:adjustRightInd/>
        <w:snapToGrid/>
        <w:spacing w:line="660" w:lineRule="exact"/>
        <w:ind w:firstLine="468"/>
        <w:textAlignment w:val="auto"/>
        <w:outlineLvl w:val="9"/>
        <w:rPr>
          <w:rFonts w:hint="eastAsia" w:eastAsia="宋体"/>
          <w:sz w:val="24"/>
          <w:szCs w:val="24"/>
          <w:lang w:eastAsia="zh-CN"/>
        </w:rPr>
      </w:pPr>
      <w:r>
        <w:rPr>
          <w:rFonts w:hint="eastAsia"/>
          <w:sz w:val="24"/>
          <w:szCs w:val="24"/>
        </w:rPr>
        <w:t>估价委托人：</w:t>
      </w:r>
      <w:r>
        <w:rPr>
          <w:rFonts w:hint="eastAsia"/>
          <w:sz w:val="24"/>
          <w:szCs w:val="24"/>
          <w:lang w:eastAsia="zh-CN"/>
        </w:rPr>
        <w:t>巴彦淖尔市临河区人民法院</w:t>
      </w:r>
    </w:p>
    <w:p>
      <w:pPr>
        <w:keepNext w:val="0"/>
        <w:keepLines w:val="0"/>
        <w:pageBreakBefore w:val="0"/>
        <w:kinsoku/>
        <w:wordWrap/>
        <w:overflowPunct/>
        <w:topLinePunct w:val="0"/>
        <w:bidi w:val="0"/>
        <w:adjustRightInd/>
        <w:snapToGrid/>
        <w:spacing w:line="660" w:lineRule="exact"/>
        <w:ind w:firstLine="468"/>
        <w:textAlignment w:val="auto"/>
        <w:outlineLvl w:val="9"/>
        <w:rPr>
          <w:rFonts w:hint="eastAsia" w:eastAsia="宋体"/>
          <w:sz w:val="24"/>
          <w:szCs w:val="28"/>
          <w:lang w:eastAsia="zh-CN"/>
        </w:rPr>
      </w:pPr>
      <w:r>
        <w:rPr>
          <w:rFonts w:hint="eastAsia"/>
          <w:sz w:val="24"/>
          <w:szCs w:val="24"/>
        </w:rPr>
        <w:t>住址：</w:t>
      </w:r>
      <w:r>
        <w:rPr>
          <w:rFonts w:hint="eastAsia" w:ascii="宋体" w:hAnsi="宋体"/>
          <w:sz w:val="24"/>
          <w:szCs w:val="24"/>
          <w:lang w:eastAsia="zh-CN"/>
        </w:rPr>
        <w:t>巴彦淖尔市</w:t>
      </w:r>
    </w:p>
    <w:p>
      <w:pPr>
        <w:keepNext w:val="0"/>
        <w:keepLines w:val="0"/>
        <w:pageBreakBefore w:val="0"/>
        <w:kinsoku/>
        <w:wordWrap/>
        <w:overflowPunct/>
        <w:topLinePunct w:val="0"/>
        <w:bidi w:val="0"/>
        <w:adjustRightInd/>
        <w:snapToGrid/>
        <w:spacing w:line="660" w:lineRule="exact"/>
        <w:textAlignment w:val="auto"/>
        <w:outlineLvl w:val="9"/>
        <w:rPr>
          <w:rFonts w:hint="eastAsia" w:ascii="宋体" w:hAnsi="宋体"/>
          <w:sz w:val="24"/>
          <w:szCs w:val="24"/>
        </w:rPr>
      </w:pPr>
      <w:r>
        <w:rPr>
          <w:rFonts w:hint="eastAsia" w:ascii="宋体" w:hAnsi="宋体"/>
          <w:b/>
          <w:sz w:val="24"/>
          <w:szCs w:val="24"/>
        </w:rPr>
        <w:t>二、房地产估价机构</w:t>
      </w:r>
    </w:p>
    <w:p>
      <w:pPr>
        <w:keepNext w:val="0"/>
        <w:keepLines w:val="0"/>
        <w:pageBreakBefore w:val="0"/>
        <w:kinsoku/>
        <w:wordWrap/>
        <w:overflowPunct/>
        <w:topLinePunct w:val="0"/>
        <w:bidi w:val="0"/>
        <w:adjustRightInd/>
        <w:snapToGrid/>
        <w:spacing w:line="660" w:lineRule="exact"/>
        <w:ind w:firstLine="468"/>
        <w:textAlignment w:val="auto"/>
        <w:outlineLvl w:val="9"/>
        <w:rPr>
          <w:rFonts w:hint="eastAsia" w:ascii="宋体" w:hAnsi="宋体"/>
          <w:sz w:val="24"/>
          <w:szCs w:val="24"/>
        </w:rPr>
      </w:pPr>
      <w:r>
        <w:rPr>
          <w:rFonts w:hint="eastAsia" w:ascii="宋体" w:hAnsi="宋体"/>
          <w:sz w:val="24"/>
          <w:szCs w:val="24"/>
        </w:rPr>
        <w:t>房地产估价机构名称：内蒙古正翔房地产价格评估有限责任公司</w:t>
      </w:r>
    </w:p>
    <w:p>
      <w:pPr>
        <w:keepNext w:val="0"/>
        <w:keepLines w:val="0"/>
        <w:pageBreakBefore w:val="0"/>
        <w:kinsoku/>
        <w:wordWrap/>
        <w:overflowPunct/>
        <w:topLinePunct w:val="0"/>
        <w:bidi w:val="0"/>
        <w:adjustRightInd/>
        <w:snapToGrid/>
        <w:spacing w:line="660" w:lineRule="exact"/>
        <w:ind w:firstLine="468"/>
        <w:textAlignment w:val="auto"/>
        <w:outlineLvl w:val="9"/>
        <w:rPr>
          <w:rFonts w:hint="eastAsia" w:ascii="宋体" w:hAnsi="宋体"/>
          <w:sz w:val="24"/>
          <w:szCs w:val="24"/>
        </w:rPr>
      </w:pPr>
      <w:r>
        <w:rPr>
          <w:rFonts w:hint="eastAsia" w:ascii="宋体" w:hAnsi="宋体"/>
          <w:sz w:val="24"/>
          <w:szCs w:val="24"/>
        </w:rPr>
        <w:t>资质等级：贰级</w:t>
      </w:r>
    </w:p>
    <w:p>
      <w:pPr>
        <w:keepNext w:val="0"/>
        <w:keepLines w:val="0"/>
        <w:pageBreakBefore w:val="0"/>
        <w:kinsoku/>
        <w:wordWrap/>
        <w:overflowPunct/>
        <w:topLinePunct w:val="0"/>
        <w:bidi w:val="0"/>
        <w:adjustRightInd/>
        <w:snapToGrid/>
        <w:spacing w:line="660" w:lineRule="exact"/>
        <w:ind w:firstLine="468"/>
        <w:textAlignment w:val="auto"/>
        <w:outlineLvl w:val="9"/>
        <w:rPr>
          <w:rFonts w:hint="eastAsia" w:ascii="宋体" w:hAnsi="宋体"/>
          <w:sz w:val="24"/>
          <w:szCs w:val="24"/>
        </w:rPr>
      </w:pPr>
      <w:r>
        <w:rPr>
          <w:rFonts w:hint="eastAsia" w:ascii="宋体" w:hAnsi="宋体"/>
          <w:sz w:val="24"/>
          <w:szCs w:val="24"/>
        </w:rPr>
        <w:t>证书编号：内建房估证字[2003]第028号</w:t>
      </w:r>
    </w:p>
    <w:p>
      <w:pPr>
        <w:keepNext w:val="0"/>
        <w:keepLines w:val="0"/>
        <w:pageBreakBefore w:val="0"/>
        <w:kinsoku/>
        <w:wordWrap/>
        <w:overflowPunct/>
        <w:topLinePunct w:val="0"/>
        <w:bidi w:val="0"/>
        <w:adjustRightInd/>
        <w:snapToGrid/>
        <w:spacing w:line="660" w:lineRule="exact"/>
        <w:ind w:firstLine="468"/>
        <w:textAlignment w:val="auto"/>
        <w:outlineLvl w:val="9"/>
        <w:rPr>
          <w:rFonts w:hint="eastAsia" w:ascii="宋体" w:hAnsi="宋体"/>
          <w:sz w:val="24"/>
          <w:szCs w:val="24"/>
        </w:rPr>
      </w:pPr>
      <w:r>
        <w:rPr>
          <w:rFonts w:hint="eastAsia" w:ascii="宋体" w:hAnsi="宋体"/>
          <w:sz w:val="24"/>
          <w:szCs w:val="24"/>
        </w:rPr>
        <w:t>法定代表人：乌云斯琴</w:t>
      </w:r>
    </w:p>
    <w:p>
      <w:pPr>
        <w:keepNext w:val="0"/>
        <w:keepLines w:val="0"/>
        <w:pageBreakBefore w:val="0"/>
        <w:kinsoku/>
        <w:wordWrap/>
        <w:overflowPunct/>
        <w:topLinePunct w:val="0"/>
        <w:bidi w:val="0"/>
        <w:adjustRightInd/>
        <w:snapToGrid/>
        <w:spacing w:line="660" w:lineRule="exact"/>
        <w:ind w:firstLine="484" w:firstLineChars="201"/>
        <w:textAlignment w:val="auto"/>
        <w:outlineLvl w:val="9"/>
        <w:rPr>
          <w:rFonts w:ascii="宋体" w:hAnsi="宋体"/>
          <w:sz w:val="24"/>
          <w:szCs w:val="24"/>
        </w:rPr>
      </w:pPr>
      <w:r>
        <w:rPr>
          <w:rFonts w:hint="eastAsia" w:ascii="宋体" w:hAnsi="宋体"/>
          <w:sz w:val="24"/>
          <w:szCs w:val="24"/>
        </w:rPr>
        <w:t>住所：呼和浩特市赛罕区东影南路昭君花园写字楼六楼</w:t>
      </w:r>
    </w:p>
    <w:p>
      <w:pPr>
        <w:keepNext w:val="0"/>
        <w:keepLines w:val="0"/>
        <w:pageBreakBefore w:val="0"/>
        <w:tabs>
          <w:tab w:val="left" w:pos="0"/>
        </w:tabs>
        <w:kinsoku/>
        <w:wordWrap/>
        <w:overflowPunct/>
        <w:topLinePunct w:val="0"/>
        <w:bidi w:val="0"/>
        <w:adjustRightInd/>
        <w:snapToGrid/>
        <w:spacing w:line="660" w:lineRule="exact"/>
        <w:ind w:firstLine="468"/>
        <w:textAlignment w:val="auto"/>
        <w:outlineLvl w:val="9"/>
        <w:rPr>
          <w:rFonts w:hint="eastAsia" w:ascii="宋体" w:hAnsi="宋体"/>
          <w:sz w:val="24"/>
          <w:szCs w:val="24"/>
        </w:rPr>
      </w:pPr>
      <w:r>
        <w:rPr>
          <w:rFonts w:hint="eastAsia" w:ascii="宋体" w:hAnsi="宋体"/>
          <w:sz w:val="24"/>
          <w:szCs w:val="24"/>
        </w:rPr>
        <w:t>电话：0471-4689815</w:t>
      </w:r>
    </w:p>
    <w:p>
      <w:pPr>
        <w:keepNext w:val="0"/>
        <w:keepLines w:val="0"/>
        <w:pageBreakBefore w:val="0"/>
        <w:tabs>
          <w:tab w:val="left" w:pos="0"/>
          <w:tab w:val="left" w:pos="468"/>
        </w:tabs>
        <w:kinsoku/>
        <w:wordWrap/>
        <w:overflowPunct/>
        <w:topLinePunct w:val="0"/>
        <w:bidi w:val="0"/>
        <w:adjustRightInd/>
        <w:snapToGrid/>
        <w:spacing w:line="660" w:lineRule="exact"/>
        <w:textAlignment w:val="auto"/>
        <w:outlineLvl w:val="9"/>
        <w:rPr>
          <w:rFonts w:hint="eastAsia" w:ascii="宋体" w:hAnsi="宋体"/>
          <w:b/>
          <w:sz w:val="24"/>
          <w:szCs w:val="24"/>
        </w:rPr>
      </w:pPr>
      <w:r>
        <w:rPr>
          <w:rFonts w:hint="eastAsia" w:ascii="宋体" w:hAnsi="宋体"/>
          <w:b/>
          <w:sz w:val="24"/>
          <w:szCs w:val="24"/>
        </w:rPr>
        <w:t>三、估价目的</w:t>
      </w:r>
    </w:p>
    <w:p>
      <w:pPr>
        <w:keepNext w:val="0"/>
        <w:keepLines w:val="0"/>
        <w:pageBreakBefore w:val="0"/>
        <w:tabs>
          <w:tab w:val="left" w:pos="1267"/>
        </w:tabs>
        <w:kinsoku/>
        <w:wordWrap/>
        <w:overflowPunct/>
        <w:topLinePunct w:val="0"/>
        <w:bidi w:val="0"/>
        <w:adjustRightInd/>
        <w:snapToGrid/>
        <w:spacing w:line="660" w:lineRule="exact"/>
        <w:ind w:firstLine="482" w:firstLineChars="200"/>
        <w:textAlignment w:val="auto"/>
        <w:outlineLvl w:val="9"/>
        <w:rPr>
          <w:rFonts w:hint="eastAsia" w:ascii="宋体" w:hAnsi="宋体"/>
          <w:b/>
          <w:sz w:val="24"/>
          <w:szCs w:val="24"/>
        </w:rPr>
      </w:pPr>
      <w:r>
        <w:rPr>
          <w:rFonts w:hint="eastAsia" w:ascii="宋体" w:hAnsi="宋体"/>
          <w:sz w:val="24"/>
          <w:szCs w:val="28"/>
          <w:lang w:eastAsia="zh-CN"/>
        </w:rPr>
        <w:t>委托人</w:t>
      </w:r>
      <w:r>
        <w:rPr>
          <w:rFonts w:hint="eastAsia" w:ascii="宋体" w:hAnsi="宋体"/>
          <w:sz w:val="24"/>
          <w:szCs w:val="28"/>
        </w:rPr>
        <w:t>欲了解估价对象的市场价格，特委托我公司对估价对象的市场价值进行评估，以提供参考依据。</w:t>
      </w:r>
    </w:p>
    <w:p>
      <w:pPr>
        <w:keepNext w:val="0"/>
        <w:keepLines w:val="0"/>
        <w:pageBreakBefore w:val="0"/>
        <w:tabs>
          <w:tab w:val="left" w:pos="1267"/>
        </w:tabs>
        <w:kinsoku/>
        <w:wordWrap/>
        <w:overflowPunct/>
        <w:topLinePunct w:val="0"/>
        <w:bidi w:val="0"/>
        <w:adjustRightInd/>
        <w:snapToGrid/>
        <w:spacing w:line="660" w:lineRule="exact"/>
        <w:textAlignment w:val="auto"/>
        <w:outlineLvl w:val="9"/>
        <w:rPr>
          <w:rFonts w:hint="eastAsia" w:ascii="宋体" w:hAnsi="宋体"/>
          <w:b/>
          <w:sz w:val="24"/>
          <w:szCs w:val="24"/>
        </w:rPr>
      </w:pPr>
      <w:r>
        <w:rPr>
          <w:rFonts w:hint="eastAsia" w:ascii="宋体" w:hAnsi="宋体"/>
          <w:b/>
          <w:sz w:val="24"/>
          <w:szCs w:val="24"/>
        </w:rPr>
        <w:t>四、估价对象</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8"/>
        </w:rPr>
      </w:pPr>
      <w:r>
        <w:rPr>
          <w:rFonts w:hint="eastAsia" w:ascii="宋体" w:hAnsi="宋体"/>
          <w:sz w:val="24"/>
          <w:szCs w:val="28"/>
        </w:rPr>
        <w:t>1、区位状况</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8"/>
        </w:rPr>
      </w:pPr>
      <w:r>
        <w:rPr>
          <w:rFonts w:hint="eastAsia"/>
          <w:sz w:val="24"/>
          <w:szCs w:val="28"/>
        </w:rPr>
        <w:t>估价对象位于</w:t>
      </w:r>
      <w:r>
        <w:rPr>
          <w:rFonts w:hint="eastAsia" w:ascii="宋体" w:hAnsi="宋体"/>
          <w:sz w:val="24"/>
          <w:szCs w:val="24"/>
          <w:lang w:eastAsia="zh-CN"/>
        </w:rPr>
        <w:t>巴彦淖尔市磴口县嘉德学府</w:t>
      </w:r>
      <w:r>
        <w:rPr>
          <w:rFonts w:hint="eastAsia" w:ascii="宋体" w:hAnsi="宋体"/>
          <w:sz w:val="24"/>
          <w:szCs w:val="24"/>
          <w:lang w:val="en-US" w:eastAsia="zh-CN"/>
        </w:rPr>
        <w:t>7</w:t>
      </w:r>
      <w:r>
        <w:rPr>
          <w:rFonts w:hint="eastAsia" w:ascii="宋体" w:hAnsi="宋体"/>
          <w:sz w:val="24"/>
          <w:szCs w:val="24"/>
          <w:lang w:eastAsia="zh-CN"/>
        </w:rPr>
        <w:t>号楼</w:t>
      </w:r>
      <w:r>
        <w:rPr>
          <w:rFonts w:hint="eastAsia"/>
          <w:sz w:val="24"/>
          <w:szCs w:val="28"/>
        </w:rPr>
        <w:t>，附近有</w:t>
      </w:r>
      <w:r>
        <w:rPr>
          <w:rFonts w:hint="eastAsia"/>
          <w:sz w:val="24"/>
          <w:szCs w:val="28"/>
          <w:lang w:eastAsia="zh-CN"/>
        </w:rPr>
        <w:t>磴口县第二完全小学</w:t>
      </w:r>
      <w:r>
        <w:rPr>
          <w:rFonts w:hint="eastAsia"/>
          <w:sz w:val="24"/>
          <w:szCs w:val="28"/>
        </w:rPr>
        <w:t>、</w:t>
      </w:r>
      <w:r>
        <w:rPr>
          <w:rFonts w:hint="eastAsia"/>
          <w:sz w:val="24"/>
          <w:szCs w:val="28"/>
          <w:lang w:eastAsia="zh-CN"/>
        </w:rPr>
        <w:t>巴彦高勒镇仁德小学</w:t>
      </w:r>
      <w:r>
        <w:rPr>
          <w:rFonts w:hint="eastAsia"/>
          <w:sz w:val="24"/>
          <w:szCs w:val="28"/>
        </w:rPr>
        <w:t>、</w:t>
      </w:r>
      <w:r>
        <w:rPr>
          <w:rFonts w:hint="eastAsia"/>
          <w:sz w:val="24"/>
          <w:szCs w:val="28"/>
          <w:lang w:eastAsia="zh-CN"/>
        </w:rPr>
        <w:t>磴口博物馆</w:t>
      </w:r>
      <w:r>
        <w:rPr>
          <w:rFonts w:hint="eastAsia"/>
          <w:sz w:val="24"/>
          <w:szCs w:val="28"/>
        </w:rPr>
        <w:t>等，</w:t>
      </w:r>
      <w:r>
        <w:rPr>
          <w:rFonts w:hint="eastAsia" w:ascii="宋体" w:hAnsi="宋体"/>
          <w:sz w:val="24"/>
          <w:szCs w:val="28"/>
        </w:rPr>
        <w:t>有公交车及</w:t>
      </w:r>
      <w:r>
        <w:rPr>
          <w:rFonts w:hint="eastAsia"/>
          <w:sz w:val="24"/>
          <w:szCs w:val="28"/>
        </w:rPr>
        <w:t>营运班车从其附近通过，交通便利，城市基础设施、公用配套设施完备，区域环境良好。</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8"/>
        </w:rPr>
      </w:pPr>
      <w:r>
        <w:rPr>
          <w:rFonts w:hint="eastAsia" w:ascii="宋体" w:hAnsi="宋体"/>
          <w:sz w:val="24"/>
          <w:szCs w:val="28"/>
        </w:rPr>
        <w:t>2、实物状况</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8"/>
        </w:rPr>
      </w:pPr>
      <w:r>
        <w:rPr>
          <w:rFonts w:hint="eastAsia"/>
          <w:sz w:val="24"/>
          <w:szCs w:val="28"/>
        </w:rPr>
        <w:t>估价对象</w:t>
      </w:r>
      <w:r>
        <w:rPr>
          <w:rFonts w:hint="eastAsia" w:ascii="宋体" w:hAnsi="宋体" w:cs="宋体"/>
          <w:kern w:val="0"/>
          <w:sz w:val="24"/>
          <w:szCs w:val="24"/>
        </w:rPr>
        <w:t>为</w:t>
      </w:r>
      <w:r>
        <w:rPr>
          <w:rFonts w:hint="eastAsia" w:ascii="宋体" w:hAnsi="宋体"/>
          <w:bCs/>
          <w:sz w:val="24"/>
          <w:szCs w:val="24"/>
          <w:lang w:eastAsia="zh-CN"/>
        </w:rPr>
        <w:t>框架</w:t>
      </w:r>
      <w:r>
        <w:rPr>
          <w:rFonts w:hint="eastAsia" w:ascii="宋体" w:hAnsi="宋体"/>
          <w:bCs/>
          <w:sz w:val="24"/>
          <w:szCs w:val="24"/>
        </w:rPr>
        <w:t>结构，</w:t>
      </w:r>
      <w:r>
        <w:rPr>
          <w:rFonts w:hint="eastAsia" w:ascii="宋体" w:hAnsi="宋体"/>
          <w:bCs/>
          <w:sz w:val="24"/>
          <w:szCs w:val="24"/>
          <w:lang w:eastAsia="zh-CN"/>
        </w:rPr>
        <w:t>住宅用途</w:t>
      </w:r>
      <w:r>
        <w:rPr>
          <w:rFonts w:hint="eastAsia" w:ascii="宋体" w:hAnsi="宋体"/>
          <w:bCs/>
          <w:sz w:val="24"/>
          <w:szCs w:val="24"/>
        </w:rPr>
        <w:t>，</w:t>
      </w:r>
      <w:r>
        <w:rPr>
          <w:rFonts w:hint="eastAsia" w:ascii="宋体" w:hAnsi="宋体" w:cs="宋体-18030"/>
          <w:sz w:val="24"/>
          <w:szCs w:val="24"/>
        </w:rPr>
        <w:t>房屋总层数为</w:t>
      </w:r>
      <w:r>
        <w:rPr>
          <w:rFonts w:hint="eastAsia" w:ascii="宋体" w:hAnsi="宋体" w:cs="宋体-18030"/>
          <w:sz w:val="24"/>
          <w:szCs w:val="24"/>
          <w:lang w:val="en-US" w:eastAsia="zh-CN"/>
        </w:rPr>
        <w:t>18</w:t>
      </w:r>
      <w:r>
        <w:rPr>
          <w:rFonts w:hint="eastAsia" w:ascii="宋体" w:hAnsi="宋体" w:cs="宋体-18030"/>
          <w:sz w:val="24"/>
          <w:szCs w:val="24"/>
        </w:rPr>
        <w:t>层</w:t>
      </w:r>
      <w:r>
        <w:rPr>
          <w:rFonts w:hint="eastAsia" w:ascii="宋体" w:hAnsi="宋体"/>
          <w:sz w:val="24"/>
          <w:szCs w:val="28"/>
        </w:rPr>
        <w:t>，估价对象所在层数为第</w:t>
      </w:r>
      <w:r>
        <w:rPr>
          <w:rFonts w:hint="eastAsia" w:ascii="宋体" w:hAnsi="宋体"/>
          <w:sz w:val="24"/>
          <w:szCs w:val="28"/>
          <w:lang w:val="en-US" w:eastAsia="zh-CN"/>
        </w:rPr>
        <w:t>1</w:t>
      </w:r>
      <w:r>
        <w:rPr>
          <w:rFonts w:hint="eastAsia" w:ascii="宋体" w:hAnsi="宋体"/>
          <w:sz w:val="24"/>
          <w:szCs w:val="28"/>
        </w:rPr>
        <w:t>层，其装饰外墙</w:t>
      </w:r>
      <w:r>
        <w:rPr>
          <w:rFonts w:hint="eastAsia"/>
          <w:sz w:val="24"/>
          <w:szCs w:val="28"/>
          <w:lang w:eastAsia="zh-CN"/>
        </w:rPr>
        <w:t>，室内毛坯房；</w:t>
      </w:r>
      <w:r>
        <w:rPr>
          <w:rFonts w:hint="eastAsia" w:ascii="宋体" w:hAnsi="宋体"/>
          <w:sz w:val="24"/>
          <w:szCs w:val="28"/>
        </w:rPr>
        <w:t>水、电</w:t>
      </w:r>
      <w:r>
        <w:rPr>
          <w:rFonts w:hint="eastAsia" w:ascii="宋体" w:hAnsi="宋体"/>
          <w:sz w:val="24"/>
          <w:szCs w:val="28"/>
          <w:lang w:eastAsia="zh-CN"/>
        </w:rPr>
        <w:t>、暖</w:t>
      </w:r>
      <w:r>
        <w:rPr>
          <w:rFonts w:hint="eastAsia" w:ascii="宋体" w:hAnsi="宋体"/>
          <w:sz w:val="24"/>
          <w:szCs w:val="28"/>
        </w:rPr>
        <w:t>等设施齐</w:t>
      </w:r>
      <w:r>
        <w:rPr>
          <w:rFonts w:hint="eastAsia"/>
          <w:sz w:val="24"/>
          <w:szCs w:val="28"/>
        </w:rPr>
        <w:t>全，经向委托人了解及估价人员调查，得知估价对象于</w:t>
      </w:r>
      <w:r>
        <w:rPr>
          <w:rFonts w:hint="eastAsia"/>
          <w:sz w:val="24"/>
          <w:szCs w:val="28"/>
          <w:lang w:val="en-US" w:eastAsia="zh-CN"/>
        </w:rPr>
        <w:t>2017</w:t>
      </w:r>
      <w:r>
        <w:rPr>
          <w:rFonts w:hint="eastAsia"/>
          <w:sz w:val="24"/>
          <w:szCs w:val="28"/>
        </w:rPr>
        <w:t>年建成。</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8"/>
        </w:rPr>
      </w:pPr>
      <w:r>
        <w:rPr>
          <w:rFonts w:hint="eastAsia" w:ascii="宋体" w:hAnsi="宋体"/>
          <w:sz w:val="24"/>
          <w:szCs w:val="28"/>
        </w:rPr>
        <w:t>3、权益状况</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cs="宋体"/>
          <w:kern w:val="0"/>
          <w:sz w:val="24"/>
          <w:szCs w:val="24"/>
        </w:rPr>
      </w:pPr>
      <w:r>
        <w:rPr>
          <w:rFonts w:hint="eastAsia" w:ascii="宋体" w:hAnsi="宋体"/>
          <w:sz w:val="24"/>
          <w:szCs w:val="28"/>
          <w:lang w:eastAsia="zh-CN"/>
        </w:rPr>
        <w:t>委托人</w:t>
      </w:r>
      <w:r>
        <w:rPr>
          <w:rFonts w:hint="eastAsia" w:ascii="宋体" w:hAnsi="宋体"/>
          <w:sz w:val="24"/>
          <w:szCs w:val="28"/>
        </w:rPr>
        <w:t>提供了估价对象</w:t>
      </w:r>
      <w:r>
        <w:rPr>
          <w:rFonts w:hint="eastAsia" w:ascii="宋体" w:hAnsi="宋体"/>
          <w:sz w:val="24"/>
          <w:szCs w:val="28"/>
          <w:lang w:eastAsia="zh-CN"/>
        </w:rPr>
        <w:t>房屋信息说明</w:t>
      </w:r>
      <w:r>
        <w:rPr>
          <w:rFonts w:hint="eastAsia" w:ascii="宋体" w:hAnsi="宋体"/>
          <w:sz w:val="24"/>
          <w:szCs w:val="28"/>
        </w:rPr>
        <w:t>，</w:t>
      </w:r>
      <w:r>
        <w:rPr>
          <w:rFonts w:hint="eastAsia" w:ascii="宋体" w:hAnsi="宋体"/>
          <w:sz w:val="24"/>
          <w:szCs w:val="28"/>
          <w:lang w:eastAsia="zh-CN"/>
        </w:rPr>
        <w:t>产权人</w:t>
      </w:r>
      <w:r>
        <w:rPr>
          <w:rFonts w:hint="eastAsia" w:ascii="宋体" w:hAnsi="宋体"/>
          <w:sz w:val="24"/>
          <w:szCs w:val="28"/>
        </w:rPr>
        <w:t>：</w:t>
      </w:r>
      <w:r>
        <w:rPr>
          <w:rFonts w:hint="eastAsia" w:ascii="宋体" w:hAnsi="宋体"/>
          <w:sz w:val="24"/>
          <w:szCs w:val="28"/>
          <w:lang w:eastAsia="zh-CN"/>
        </w:rPr>
        <w:t>内蒙古嘉德房地产开发有限公司，</w:t>
      </w:r>
      <w:r>
        <w:rPr>
          <w:rFonts w:hint="eastAsia" w:ascii="宋体" w:hAnsi="宋体"/>
          <w:sz w:val="24"/>
          <w:szCs w:val="28"/>
        </w:rPr>
        <w:t>以上</w:t>
      </w:r>
      <w:r>
        <w:rPr>
          <w:rFonts w:hint="eastAsia" w:ascii="宋体" w:hAnsi="宋体"/>
          <w:sz w:val="24"/>
          <w:szCs w:val="24"/>
        </w:rPr>
        <w:t>估价对象现为</w:t>
      </w:r>
      <w:r>
        <w:rPr>
          <w:rFonts w:hint="eastAsia" w:ascii="宋体" w:hAnsi="宋体"/>
          <w:sz w:val="24"/>
          <w:szCs w:val="24"/>
          <w:lang w:eastAsia="zh-CN"/>
        </w:rPr>
        <w:t>住宅</w:t>
      </w:r>
      <w:r>
        <w:rPr>
          <w:rFonts w:hint="eastAsia" w:ascii="宋体" w:hAnsi="宋体"/>
          <w:sz w:val="24"/>
          <w:szCs w:val="24"/>
        </w:rPr>
        <w:t>用房，使用和维护状况良好</w:t>
      </w:r>
      <w:r>
        <w:rPr>
          <w:rFonts w:hint="eastAsia" w:ascii="宋体" w:hAnsi="宋体"/>
          <w:bCs/>
          <w:sz w:val="24"/>
          <w:szCs w:val="24"/>
          <w:shd w:val="clear" w:color="auto" w:fill="FFFFFF"/>
        </w:rPr>
        <w:t>。</w:t>
      </w:r>
    </w:p>
    <w:p>
      <w:pPr>
        <w:keepNext w:val="0"/>
        <w:keepLines w:val="0"/>
        <w:pageBreakBefore w:val="0"/>
        <w:kinsoku/>
        <w:wordWrap/>
        <w:overflowPunct/>
        <w:topLinePunct w:val="0"/>
        <w:bidi w:val="0"/>
        <w:adjustRightInd/>
        <w:snapToGrid/>
        <w:spacing w:line="660" w:lineRule="exact"/>
        <w:textAlignment w:val="auto"/>
        <w:outlineLvl w:val="9"/>
        <w:rPr>
          <w:rFonts w:hint="eastAsia" w:ascii="宋体" w:hAnsi="宋体"/>
          <w:b/>
          <w:sz w:val="24"/>
          <w:szCs w:val="24"/>
        </w:rPr>
      </w:pPr>
      <w:r>
        <w:rPr>
          <w:rFonts w:hint="eastAsia" w:ascii="宋体" w:hAnsi="宋体"/>
          <w:b/>
          <w:sz w:val="24"/>
          <w:szCs w:val="24"/>
        </w:rPr>
        <w:t>五、价值时点</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rPr>
      </w:pPr>
      <w:r>
        <w:rPr>
          <w:rFonts w:hint="eastAsia" w:ascii="宋体" w:hAnsi="宋体"/>
          <w:sz w:val="24"/>
        </w:rPr>
        <w:t>本项目</w:t>
      </w:r>
      <w:r>
        <w:rPr>
          <w:rFonts w:hint="eastAsia" w:ascii="宋体" w:hAnsi="宋体"/>
          <w:sz w:val="24"/>
          <w:szCs w:val="24"/>
        </w:rPr>
        <w:t>价值时点</w:t>
      </w:r>
      <w:r>
        <w:rPr>
          <w:rFonts w:hint="eastAsia" w:ascii="宋体" w:hAnsi="宋体"/>
          <w:sz w:val="24"/>
        </w:rPr>
        <w:t>为</w:t>
      </w:r>
      <w:r>
        <w:rPr>
          <w:rFonts w:hint="eastAsia" w:ascii="宋体" w:hAnsi="宋体"/>
          <w:sz w:val="24"/>
          <w:szCs w:val="24"/>
          <w:lang w:eastAsia="zh-CN"/>
        </w:rPr>
        <w:t>二〇一九年一月八日</w:t>
      </w:r>
      <w:r>
        <w:rPr>
          <w:rFonts w:hint="eastAsia" w:ascii="宋体" w:hAnsi="宋体"/>
          <w:sz w:val="24"/>
        </w:rPr>
        <w:t>。</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rPr>
        <w:t>在本次估价中，</w:t>
      </w:r>
      <w:r>
        <w:rPr>
          <w:rFonts w:hint="eastAsia" w:ascii="宋体" w:hAnsi="宋体"/>
          <w:sz w:val="24"/>
          <w:szCs w:val="24"/>
        </w:rPr>
        <w:t>估价师在</w:t>
      </w:r>
      <w:r>
        <w:rPr>
          <w:rFonts w:hint="eastAsia" w:ascii="宋体" w:hAnsi="宋体"/>
          <w:sz w:val="24"/>
          <w:szCs w:val="24"/>
          <w:lang w:eastAsia="zh-CN"/>
        </w:rPr>
        <w:t>二〇一九年一月十四日</w:t>
      </w:r>
      <w:r>
        <w:rPr>
          <w:rFonts w:hint="eastAsia" w:ascii="宋体" w:hAnsi="宋体"/>
          <w:sz w:val="24"/>
          <w:szCs w:val="24"/>
        </w:rPr>
        <w:t>对估价对象进行了实地的查勘，估价时点</w:t>
      </w:r>
      <w:r>
        <w:rPr>
          <w:rFonts w:hint="eastAsia" w:ascii="宋体" w:hAnsi="宋体"/>
          <w:sz w:val="24"/>
        </w:rPr>
        <w:t>的确定考虑了估价工作的可操作性和结论的有效性，由评估机构与委托人协商确定；</w:t>
      </w:r>
      <w:r>
        <w:rPr>
          <w:rFonts w:hint="eastAsia" w:ascii="宋体" w:hAnsi="宋体"/>
          <w:sz w:val="24"/>
          <w:szCs w:val="24"/>
        </w:rPr>
        <w:t>估价时点</w:t>
      </w:r>
      <w:r>
        <w:rPr>
          <w:rFonts w:hint="eastAsia" w:ascii="宋体" w:hAnsi="宋体"/>
          <w:sz w:val="24"/>
        </w:rPr>
        <w:t>的确定对估价结果的客观性、真实性和公正性没有影响，估价中所采用的价格标准是</w:t>
      </w:r>
      <w:r>
        <w:rPr>
          <w:rFonts w:hint="eastAsia" w:ascii="宋体" w:hAnsi="宋体"/>
          <w:sz w:val="24"/>
          <w:szCs w:val="24"/>
        </w:rPr>
        <w:t>估价时点</w:t>
      </w:r>
      <w:r>
        <w:rPr>
          <w:rFonts w:hint="eastAsia" w:ascii="宋体" w:hAnsi="宋体"/>
          <w:sz w:val="24"/>
        </w:rPr>
        <w:t>的有效价格标准。</w:t>
      </w:r>
    </w:p>
    <w:p>
      <w:pPr>
        <w:keepNext w:val="0"/>
        <w:keepLines w:val="0"/>
        <w:pageBreakBefore w:val="0"/>
        <w:numPr>
          <w:ilvl w:val="0"/>
          <w:numId w:val="3"/>
        </w:numPr>
        <w:kinsoku/>
        <w:wordWrap/>
        <w:overflowPunct/>
        <w:topLinePunct w:val="0"/>
        <w:bidi w:val="0"/>
        <w:adjustRightInd/>
        <w:snapToGrid/>
        <w:spacing w:afterLines="50" w:line="660" w:lineRule="exact"/>
        <w:textAlignment w:val="auto"/>
        <w:outlineLvl w:val="9"/>
        <w:rPr>
          <w:rFonts w:hint="eastAsia" w:ascii="宋体" w:hAnsi="宋体"/>
          <w:b/>
          <w:sz w:val="24"/>
          <w:szCs w:val="24"/>
          <w:lang w:eastAsia="zh-CN"/>
        </w:rPr>
      </w:pPr>
      <w:r>
        <w:rPr>
          <w:rFonts w:hint="eastAsia" w:ascii="宋体" w:hAnsi="宋体"/>
          <w:b/>
          <w:sz w:val="24"/>
          <w:szCs w:val="24"/>
          <w:lang w:eastAsia="zh-CN"/>
        </w:rPr>
        <w:t>价值类型</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b w:val="0"/>
          <w:bCs w:val="0"/>
          <w:sz w:val="24"/>
          <w:lang w:eastAsia="zh-CN"/>
        </w:rPr>
      </w:pPr>
      <w:r>
        <w:rPr>
          <w:rFonts w:hint="eastAsia" w:ascii="宋体" w:hAnsi="宋体"/>
          <w:b w:val="0"/>
          <w:bCs w:val="0"/>
          <w:sz w:val="24"/>
          <w:lang w:eastAsia="zh-CN"/>
        </w:rPr>
        <w:t>本报告所确定的房地产价值，即该房地产的客观合理价格，是在公开市场条件下，在本次价值目的的特定条件下形成或成立的正常价格，对于其估价目的并不试用，如估价目的变更，须另行估价。有关的价值类型论述如下：</w:t>
      </w:r>
    </w:p>
    <w:p>
      <w:pPr>
        <w:keepNext w:val="0"/>
        <w:keepLines w:val="0"/>
        <w:pageBreakBefore w:val="0"/>
        <w:numPr>
          <w:ilvl w:val="0"/>
          <w:numId w:val="4"/>
        </w:numPr>
        <w:kinsoku/>
        <w:wordWrap/>
        <w:overflowPunct/>
        <w:topLinePunct w:val="0"/>
        <w:bidi w:val="0"/>
        <w:adjustRightInd/>
        <w:snapToGrid/>
        <w:spacing w:line="660" w:lineRule="exact"/>
        <w:ind w:firstLine="482" w:firstLineChars="200"/>
        <w:textAlignment w:val="auto"/>
        <w:outlineLvl w:val="9"/>
        <w:rPr>
          <w:rFonts w:hint="eastAsia" w:ascii="宋体" w:hAnsi="宋体"/>
          <w:b w:val="0"/>
          <w:bCs w:val="0"/>
          <w:sz w:val="24"/>
          <w:lang w:eastAsia="zh-CN"/>
        </w:rPr>
      </w:pPr>
      <w:r>
        <w:rPr>
          <w:rFonts w:hint="eastAsia" w:ascii="宋体" w:hAnsi="宋体"/>
          <w:b w:val="0"/>
          <w:bCs w:val="0"/>
          <w:sz w:val="24"/>
          <w:lang w:eastAsia="zh-CN"/>
        </w:rPr>
        <w:t>价值类型</w:t>
      </w:r>
    </w:p>
    <w:p>
      <w:pPr>
        <w:keepNext w:val="0"/>
        <w:keepLines w:val="0"/>
        <w:pageBreakBefore w:val="0"/>
        <w:numPr>
          <w:ilvl w:val="0"/>
          <w:numId w:val="0"/>
        </w:numPr>
        <w:kinsoku/>
        <w:wordWrap/>
        <w:overflowPunct/>
        <w:topLinePunct w:val="0"/>
        <w:bidi w:val="0"/>
        <w:adjustRightInd/>
        <w:snapToGrid/>
        <w:spacing w:line="660" w:lineRule="exact"/>
        <w:ind w:firstLine="482" w:firstLineChars="200"/>
        <w:textAlignment w:val="auto"/>
        <w:outlineLvl w:val="9"/>
        <w:rPr>
          <w:rFonts w:hint="eastAsia" w:ascii="宋体" w:hAnsi="宋体"/>
          <w:b w:val="0"/>
          <w:bCs w:val="0"/>
          <w:sz w:val="24"/>
          <w:lang w:eastAsia="zh-CN"/>
        </w:rPr>
      </w:pPr>
      <w:r>
        <w:rPr>
          <w:rFonts w:hint="eastAsia" w:ascii="宋体" w:hAnsi="宋体"/>
          <w:b w:val="0"/>
          <w:bCs w:val="0"/>
          <w:sz w:val="24"/>
          <w:lang w:eastAsia="zh-CN"/>
        </w:rPr>
        <w:t>市场价值是由估价师收集市场上同类商品价格信息并对有关数据进行分析、比较后确定的价值。该价值也是在有效应用的基础上，根据市场供求关系，买卖双方对交易商品价值做出的一种理性的判断。</w:t>
      </w:r>
    </w:p>
    <w:p>
      <w:pPr>
        <w:keepNext w:val="0"/>
        <w:keepLines w:val="0"/>
        <w:pageBreakBefore w:val="0"/>
        <w:numPr>
          <w:ilvl w:val="0"/>
          <w:numId w:val="4"/>
        </w:numPr>
        <w:kinsoku/>
        <w:wordWrap/>
        <w:overflowPunct/>
        <w:topLinePunct w:val="0"/>
        <w:bidi w:val="0"/>
        <w:adjustRightInd/>
        <w:snapToGrid/>
        <w:spacing w:line="660" w:lineRule="exact"/>
        <w:ind w:left="0" w:leftChars="0" w:firstLine="482" w:firstLineChars="200"/>
        <w:textAlignment w:val="auto"/>
        <w:outlineLvl w:val="9"/>
        <w:rPr>
          <w:rFonts w:hint="eastAsia" w:ascii="宋体" w:hAnsi="宋体"/>
          <w:b w:val="0"/>
          <w:bCs w:val="0"/>
          <w:sz w:val="24"/>
          <w:lang w:eastAsia="zh-CN"/>
        </w:rPr>
      </w:pPr>
      <w:r>
        <w:rPr>
          <w:rFonts w:hint="eastAsia" w:ascii="宋体" w:hAnsi="宋体"/>
          <w:b w:val="0"/>
          <w:bCs w:val="0"/>
          <w:sz w:val="24"/>
          <w:lang w:eastAsia="zh-CN"/>
        </w:rPr>
        <w:t>适用范围</w:t>
      </w:r>
    </w:p>
    <w:p>
      <w:pPr>
        <w:keepNext w:val="0"/>
        <w:keepLines w:val="0"/>
        <w:pageBreakBefore w:val="0"/>
        <w:numPr>
          <w:ilvl w:val="0"/>
          <w:numId w:val="0"/>
        </w:numPr>
        <w:kinsoku/>
        <w:wordWrap/>
        <w:overflowPunct/>
        <w:topLinePunct w:val="0"/>
        <w:bidi w:val="0"/>
        <w:adjustRightInd/>
        <w:snapToGrid/>
        <w:spacing w:line="660" w:lineRule="exact"/>
        <w:ind w:firstLine="482" w:firstLineChars="200"/>
        <w:textAlignment w:val="auto"/>
        <w:outlineLvl w:val="9"/>
        <w:rPr>
          <w:rFonts w:hint="eastAsia" w:ascii="宋体" w:hAnsi="宋体"/>
          <w:b/>
          <w:sz w:val="24"/>
          <w:szCs w:val="24"/>
          <w:lang w:eastAsia="zh-CN"/>
        </w:rPr>
      </w:pPr>
      <w:r>
        <w:rPr>
          <w:rFonts w:hint="eastAsia" w:ascii="宋体" w:hAnsi="宋体"/>
          <w:b w:val="0"/>
          <w:bCs w:val="0"/>
          <w:sz w:val="24"/>
          <w:lang w:eastAsia="zh-CN"/>
        </w:rPr>
        <w:t>本项目所涉及到的市场价值是反映估价对象在基准日的价值或价值可实现程度，是估价师按照相关法律、法规和估价规范，在实施必要程序后形成的、建立在相关假设和限制条件基础上的专业意见，是房地产出售时的参考依据，不应当被认为是对所出售资产可实现价格的保证，委托人及相关方面应合理理解并恰当使用评估结论。</w:t>
      </w:r>
    </w:p>
    <w:p>
      <w:pPr>
        <w:keepNext w:val="0"/>
        <w:keepLines w:val="0"/>
        <w:pageBreakBefore w:val="0"/>
        <w:kinsoku/>
        <w:wordWrap/>
        <w:overflowPunct/>
        <w:topLinePunct w:val="0"/>
        <w:bidi w:val="0"/>
        <w:adjustRightInd/>
        <w:snapToGrid/>
        <w:spacing w:after="137" w:afterLines="50" w:line="660" w:lineRule="exact"/>
        <w:textAlignment w:val="auto"/>
        <w:outlineLvl w:val="9"/>
        <w:rPr>
          <w:rFonts w:hint="eastAsia" w:ascii="宋体" w:hAnsi="宋体"/>
          <w:b/>
          <w:sz w:val="24"/>
          <w:szCs w:val="24"/>
        </w:rPr>
      </w:pPr>
      <w:r>
        <w:rPr>
          <w:rFonts w:hint="eastAsia" w:ascii="宋体" w:hAnsi="宋体"/>
          <w:b/>
          <w:sz w:val="24"/>
          <w:szCs w:val="24"/>
          <w:lang w:eastAsia="zh-CN"/>
        </w:rPr>
        <w:t>七</w:t>
      </w:r>
      <w:r>
        <w:rPr>
          <w:rFonts w:hint="eastAsia" w:ascii="宋体" w:hAnsi="宋体"/>
          <w:b/>
          <w:sz w:val="24"/>
          <w:szCs w:val="24"/>
        </w:rPr>
        <w:t>、估价原则</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4"/>
        </w:rPr>
      </w:pPr>
      <w:r>
        <w:rPr>
          <w:rFonts w:hint="eastAsia"/>
          <w:sz w:val="24"/>
          <w:szCs w:val="24"/>
        </w:rPr>
        <w:t>本估价报告在遵循客观、公正、科学、合理的基本原则下，结合估价目的对估价对象进行估价。具体遵循如下估价原则：</w:t>
      </w:r>
    </w:p>
    <w:p>
      <w:pPr>
        <w:keepNext w:val="0"/>
        <w:keepLines w:val="0"/>
        <w:pageBreakBefore w:val="0"/>
        <w:kinsoku/>
        <w:wordWrap/>
        <w:overflowPunct/>
        <w:topLinePunct w:val="0"/>
        <w:bidi w:val="0"/>
        <w:adjustRightInd/>
        <w:snapToGrid/>
        <w:spacing w:line="660" w:lineRule="exact"/>
        <w:textAlignment w:val="auto"/>
        <w:outlineLvl w:val="9"/>
        <w:rPr>
          <w:rFonts w:hint="eastAsia"/>
          <w:sz w:val="24"/>
          <w:szCs w:val="24"/>
        </w:rPr>
      </w:pPr>
      <w:r>
        <w:rPr>
          <w:sz w:val="24"/>
          <w:szCs w:val="24"/>
        </w:rPr>
        <w:t>（一）独立、客观、公正原则</w:t>
      </w:r>
      <w:r>
        <w:rPr>
          <w:rFonts w:hint="eastAsia"/>
          <w:sz w:val="24"/>
          <w:szCs w:val="24"/>
        </w:rPr>
        <w:t>：</w:t>
      </w:r>
      <w:r>
        <w:rPr>
          <w:sz w:val="24"/>
          <w:szCs w:val="24"/>
        </w:rPr>
        <w:t>要求估价机构有完全独立性，估价机构和估价人员与估价对象及相关当事人没有</w:t>
      </w:r>
      <w:r>
        <w:rPr>
          <w:rFonts w:hint="eastAsia"/>
          <w:sz w:val="24"/>
          <w:szCs w:val="24"/>
        </w:rPr>
        <w:t>利害</w:t>
      </w:r>
      <w:r>
        <w:rPr>
          <w:sz w:val="24"/>
          <w:szCs w:val="24"/>
        </w:rPr>
        <w:t>关系，不受外部干扰因素影响，从实际出发，公平合理地进行估价。</w:t>
      </w:r>
    </w:p>
    <w:p>
      <w:pPr>
        <w:keepNext w:val="0"/>
        <w:keepLines w:val="0"/>
        <w:pageBreakBefore w:val="0"/>
        <w:kinsoku/>
        <w:wordWrap/>
        <w:overflowPunct/>
        <w:topLinePunct w:val="0"/>
        <w:bidi w:val="0"/>
        <w:adjustRightInd/>
        <w:snapToGrid/>
        <w:spacing w:line="660" w:lineRule="exact"/>
        <w:textAlignment w:val="auto"/>
        <w:outlineLvl w:val="9"/>
        <w:rPr>
          <w:rFonts w:hint="eastAsia"/>
          <w:sz w:val="24"/>
          <w:szCs w:val="24"/>
        </w:rPr>
      </w:pPr>
      <w:r>
        <w:rPr>
          <w:sz w:val="24"/>
          <w:szCs w:val="24"/>
        </w:rPr>
        <w:t>（二）合法原则</w:t>
      </w:r>
      <w:r>
        <w:rPr>
          <w:rFonts w:hint="eastAsia"/>
          <w:sz w:val="24"/>
          <w:szCs w:val="24"/>
        </w:rPr>
        <w:t>： 评估价值应为在依法判定的估价对象状况下的价值或价格</w:t>
      </w:r>
      <w:r>
        <w:rPr>
          <w:sz w:val="24"/>
          <w:szCs w:val="24"/>
        </w:rPr>
        <w:t>。</w:t>
      </w:r>
      <w:r>
        <w:rPr>
          <w:sz w:val="24"/>
          <w:szCs w:val="24"/>
        </w:rPr>
        <w:br w:type="textWrapping"/>
      </w:r>
      <w:r>
        <w:rPr>
          <w:sz w:val="24"/>
          <w:szCs w:val="24"/>
        </w:rPr>
        <w:t>（三）</w:t>
      </w:r>
      <w:r>
        <w:rPr>
          <w:rFonts w:hint="eastAsia"/>
          <w:sz w:val="24"/>
          <w:szCs w:val="24"/>
        </w:rPr>
        <w:t>价值时点原则：评估价值</w:t>
      </w:r>
      <w:r>
        <w:rPr>
          <w:sz w:val="24"/>
          <w:szCs w:val="24"/>
        </w:rPr>
        <w:t>应</w:t>
      </w:r>
      <w:r>
        <w:rPr>
          <w:rFonts w:hint="eastAsia"/>
          <w:sz w:val="24"/>
          <w:szCs w:val="24"/>
        </w:rPr>
        <w:t>为在根据估价目的确定的某一特定时间的价值或价格</w:t>
      </w:r>
      <w:r>
        <w:rPr>
          <w:sz w:val="24"/>
          <w:szCs w:val="24"/>
        </w:rPr>
        <w:t>。</w:t>
      </w:r>
    </w:p>
    <w:p>
      <w:pPr>
        <w:keepNext w:val="0"/>
        <w:keepLines w:val="0"/>
        <w:pageBreakBefore w:val="0"/>
        <w:kinsoku/>
        <w:wordWrap/>
        <w:overflowPunct/>
        <w:topLinePunct w:val="0"/>
        <w:bidi w:val="0"/>
        <w:adjustRightInd/>
        <w:snapToGrid/>
        <w:spacing w:line="660" w:lineRule="exact"/>
        <w:textAlignment w:val="auto"/>
        <w:outlineLvl w:val="9"/>
        <w:rPr>
          <w:rFonts w:hint="eastAsia"/>
          <w:sz w:val="24"/>
          <w:szCs w:val="24"/>
        </w:rPr>
      </w:pPr>
      <w:r>
        <w:rPr>
          <w:sz w:val="24"/>
          <w:szCs w:val="24"/>
        </w:rPr>
        <w:t>（</w:t>
      </w:r>
      <w:r>
        <w:rPr>
          <w:rFonts w:hint="eastAsia"/>
          <w:sz w:val="24"/>
          <w:szCs w:val="24"/>
        </w:rPr>
        <w:t>四</w:t>
      </w:r>
      <w:r>
        <w:rPr>
          <w:sz w:val="24"/>
          <w:szCs w:val="24"/>
        </w:rPr>
        <w:t>）</w:t>
      </w:r>
      <w:r>
        <w:rPr>
          <w:rFonts w:hint="eastAsia"/>
          <w:sz w:val="24"/>
          <w:szCs w:val="24"/>
        </w:rPr>
        <w:t xml:space="preserve"> 最高最佳利用原则：</w:t>
      </w:r>
      <w:r>
        <w:rPr>
          <w:sz w:val="24"/>
          <w:szCs w:val="24"/>
        </w:rPr>
        <w:t>在合法使用前提下，房地产只有在最高</w:t>
      </w:r>
      <w:r>
        <w:rPr>
          <w:rFonts w:hint="eastAsia"/>
          <w:sz w:val="24"/>
          <w:szCs w:val="24"/>
        </w:rPr>
        <w:t>最</w:t>
      </w:r>
      <w:r>
        <w:rPr>
          <w:sz w:val="24"/>
          <w:szCs w:val="24"/>
        </w:rPr>
        <w:t>佳使用状态下才能发挥最大效用。最高最佳使用应是法律上允许、技术上可能、</w:t>
      </w:r>
      <w:r>
        <w:rPr>
          <w:rFonts w:hint="eastAsia"/>
          <w:sz w:val="24"/>
          <w:szCs w:val="24"/>
        </w:rPr>
        <w:t>财务</w:t>
      </w:r>
      <w:r>
        <w:rPr>
          <w:sz w:val="24"/>
          <w:szCs w:val="24"/>
        </w:rPr>
        <w:t>上可行</w:t>
      </w:r>
      <w:r>
        <w:rPr>
          <w:rFonts w:hint="eastAsia"/>
          <w:sz w:val="24"/>
          <w:szCs w:val="24"/>
        </w:rPr>
        <w:t>、价值最大化</w:t>
      </w:r>
      <w:r>
        <w:rPr>
          <w:sz w:val="24"/>
          <w:szCs w:val="24"/>
        </w:rPr>
        <w:t>，经过充分合理的论证，能使估价对象产生最高价值的使用方式。</w:t>
      </w:r>
    </w:p>
    <w:p>
      <w:pPr>
        <w:keepNext w:val="0"/>
        <w:keepLines w:val="0"/>
        <w:pageBreakBefore w:val="0"/>
        <w:kinsoku/>
        <w:wordWrap/>
        <w:overflowPunct/>
        <w:topLinePunct w:val="0"/>
        <w:bidi w:val="0"/>
        <w:adjustRightInd/>
        <w:snapToGrid/>
        <w:spacing w:line="660" w:lineRule="exact"/>
        <w:textAlignment w:val="auto"/>
        <w:outlineLvl w:val="9"/>
        <w:rPr>
          <w:rFonts w:hint="eastAsia" w:ascii="宋体" w:hAnsi="宋体"/>
          <w:b/>
          <w:sz w:val="24"/>
          <w:szCs w:val="24"/>
        </w:rPr>
      </w:pPr>
      <w:r>
        <w:rPr>
          <w:rFonts w:hint="eastAsia" w:ascii="宋体" w:hAnsi="宋体"/>
          <w:b/>
          <w:sz w:val="24"/>
          <w:szCs w:val="24"/>
          <w:lang w:eastAsia="zh-CN"/>
        </w:rPr>
        <w:t>八</w:t>
      </w:r>
      <w:r>
        <w:rPr>
          <w:rFonts w:hint="eastAsia" w:ascii="宋体" w:hAnsi="宋体"/>
          <w:b/>
          <w:sz w:val="24"/>
          <w:szCs w:val="24"/>
        </w:rPr>
        <w:t>、估价依据</w:t>
      </w:r>
    </w:p>
    <w:p>
      <w:pPr>
        <w:keepNext w:val="0"/>
        <w:keepLines w:val="0"/>
        <w:pageBreakBefore w:val="0"/>
        <w:widowControl/>
        <w:kinsoku/>
        <w:wordWrap/>
        <w:overflowPunct/>
        <w:topLinePunct w:val="0"/>
        <w:bidi w:val="0"/>
        <w:adjustRightInd/>
        <w:snapToGrid/>
        <w:spacing w:line="660" w:lineRule="exact"/>
        <w:ind w:left="603" w:hanging="602" w:hangingChars="250"/>
        <w:jc w:val="left"/>
        <w:textAlignment w:val="auto"/>
        <w:outlineLvl w:val="9"/>
        <w:rPr>
          <w:rFonts w:hint="eastAsia" w:ascii="宋体" w:hAnsi="宋体"/>
          <w:sz w:val="24"/>
          <w:szCs w:val="24"/>
        </w:rPr>
      </w:pPr>
      <w:r>
        <w:rPr>
          <w:rFonts w:hint="eastAsia" w:ascii="宋体" w:hAnsi="宋体"/>
          <w:sz w:val="24"/>
          <w:szCs w:val="24"/>
        </w:rPr>
        <w:t xml:space="preserve">  </w:t>
      </w:r>
      <w:r>
        <w:rPr>
          <w:rFonts w:hint="eastAsia" w:ascii="宋体" w:hAnsi="宋体"/>
          <w:sz w:val="24"/>
          <w:szCs w:val="24"/>
          <w:lang w:val="en-US" w:eastAsia="zh-CN"/>
        </w:rPr>
        <w:t xml:space="preserve"> </w:t>
      </w:r>
      <w:r>
        <w:rPr>
          <w:rFonts w:hint="eastAsia" w:ascii="宋体" w:hAnsi="宋体"/>
          <w:sz w:val="24"/>
          <w:szCs w:val="24"/>
        </w:rPr>
        <w:t xml:space="preserve">  </w:t>
      </w:r>
      <w:r>
        <w:rPr>
          <w:rFonts w:ascii="宋体" w:hAnsi="宋体"/>
          <w:sz w:val="24"/>
          <w:szCs w:val="24"/>
        </w:rPr>
        <w:t>1、《中华人民共和国物权法》；</w:t>
      </w:r>
      <w:r>
        <w:rPr>
          <w:rFonts w:ascii="宋体" w:hAnsi="宋体"/>
          <w:sz w:val="24"/>
          <w:szCs w:val="24"/>
        </w:rPr>
        <w:br w:type="textWrapping"/>
      </w:r>
      <w:r>
        <w:rPr>
          <w:rFonts w:ascii="宋体" w:hAnsi="宋体"/>
          <w:sz w:val="24"/>
          <w:szCs w:val="24"/>
        </w:rPr>
        <w:t>2、《中华人民共和国土地管理法》；</w:t>
      </w:r>
      <w:r>
        <w:rPr>
          <w:rFonts w:ascii="宋体" w:hAnsi="宋体"/>
          <w:sz w:val="24"/>
          <w:szCs w:val="24"/>
        </w:rPr>
        <w:br w:type="textWrapping"/>
      </w:r>
      <w:r>
        <w:rPr>
          <w:rFonts w:ascii="宋体" w:hAnsi="宋体"/>
          <w:sz w:val="24"/>
          <w:szCs w:val="24"/>
        </w:rPr>
        <w:t>3、《中华人民共和国城市房地产管理法》；</w:t>
      </w:r>
      <w:r>
        <w:rPr>
          <w:rFonts w:ascii="宋体" w:hAnsi="宋体"/>
          <w:sz w:val="24"/>
          <w:szCs w:val="24"/>
        </w:rPr>
        <w:br w:type="textWrapping"/>
      </w:r>
      <w:r>
        <w:rPr>
          <w:rFonts w:ascii="宋体" w:hAnsi="宋体"/>
          <w:sz w:val="24"/>
          <w:szCs w:val="24"/>
        </w:rPr>
        <w:t>4、《房地产估价规范》；</w:t>
      </w:r>
      <w:r>
        <w:rPr>
          <w:rFonts w:ascii="宋体" w:hAnsi="宋体"/>
          <w:sz w:val="24"/>
          <w:szCs w:val="24"/>
        </w:rPr>
        <w:br w:type="textWrapping"/>
      </w:r>
      <w:r>
        <w:rPr>
          <w:rFonts w:ascii="宋体" w:hAnsi="宋体"/>
          <w:sz w:val="24"/>
          <w:szCs w:val="24"/>
        </w:rPr>
        <w:t>5、《房地产估价报告评审标准》；</w:t>
      </w:r>
      <w:r>
        <w:rPr>
          <w:rFonts w:ascii="宋体" w:hAnsi="宋体"/>
          <w:sz w:val="24"/>
          <w:szCs w:val="24"/>
        </w:rPr>
        <w:br w:type="textWrapping"/>
      </w:r>
      <w:r>
        <w:rPr>
          <w:rFonts w:ascii="宋体" w:hAnsi="宋体"/>
          <w:sz w:val="24"/>
          <w:szCs w:val="24"/>
        </w:rPr>
        <w:t>6、《房地产估价基本术语标准》；</w:t>
      </w:r>
    </w:p>
    <w:p>
      <w:pPr>
        <w:keepNext w:val="0"/>
        <w:keepLines w:val="0"/>
        <w:pageBreakBefore w:val="0"/>
        <w:widowControl/>
        <w:kinsoku/>
        <w:wordWrap/>
        <w:overflowPunct/>
        <w:topLinePunct w:val="0"/>
        <w:bidi w:val="0"/>
        <w:adjustRightInd/>
        <w:snapToGrid/>
        <w:spacing w:line="660" w:lineRule="exact"/>
        <w:ind w:left="603" w:leftChars="113" w:hanging="241" w:hangingChars="100"/>
        <w:jc w:val="left"/>
        <w:textAlignment w:val="auto"/>
        <w:outlineLvl w:val="9"/>
        <w:rPr>
          <w:rFonts w:hint="eastAsia" w:ascii="宋体" w:hAnsi="宋体"/>
          <w:sz w:val="24"/>
          <w:szCs w:val="24"/>
        </w:rPr>
      </w:pPr>
      <w:r>
        <w:rPr>
          <w:rFonts w:hint="eastAsia" w:ascii="宋体" w:hAnsi="宋体"/>
          <w:sz w:val="24"/>
          <w:szCs w:val="24"/>
        </w:rPr>
        <w:t xml:space="preserve">  7</w:t>
      </w:r>
      <w:r>
        <w:rPr>
          <w:rFonts w:ascii="宋体" w:hAnsi="宋体"/>
          <w:sz w:val="24"/>
          <w:szCs w:val="24"/>
        </w:rPr>
        <w:t>、国务院、建设部、中国人民银行及有关部委，内蒙古自治区及</w:t>
      </w:r>
      <w:r>
        <w:rPr>
          <w:rFonts w:hint="eastAsia" w:ascii="宋体" w:hAnsi="宋体"/>
          <w:sz w:val="24"/>
          <w:szCs w:val="24"/>
          <w:lang w:eastAsia="zh-CN"/>
        </w:rPr>
        <w:t>巴彦淖尔</w:t>
      </w:r>
      <w:r>
        <w:rPr>
          <w:rFonts w:hint="eastAsia" w:ascii="宋体" w:hAnsi="宋体"/>
          <w:sz w:val="24"/>
          <w:szCs w:val="24"/>
        </w:rPr>
        <w:t>市</w:t>
      </w:r>
      <w:r>
        <w:rPr>
          <w:rFonts w:ascii="宋体" w:hAnsi="宋体"/>
          <w:sz w:val="24"/>
          <w:szCs w:val="24"/>
        </w:rPr>
        <w:t>二级地方人民政府和有关部门颁布的法规和政策性文件；</w:t>
      </w:r>
      <w:r>
        <w:rPr>
          <w:rFonts w:ascii="宋体" w:hAnsi="宋体"/>
          <w:sz w:val="24"/>
          <w:szCs w:val="24"/>
        </w:rPr>
        <w:br w:type="textWrapping"/>
      </w:r>
      <w:r>
        <w:rPr>
          <w:rFonts w:hint="eastAsia" w:ascii="宋体" w:hAnsi="宋体"/>
          <w:sz w:val="24"/>
          <w:szCs w:val="24"/>
        </w:rPr>
        <w:t>8</w:t>
      </w:r>
      <w:r>
        <w:rPr>
          <w:rFonts w:ascii="宋体" w:hAnsi="宋体"/>
          <w:sz w:val="24"/>
          <w:szCs w:val="24"/>
        </w:rPr>
        <w:t>、</w:t>
      </w:r>
      <w:r>
        <w:rPr>
          <w:rFonts w:hint="eastAsia" w:ascii="宋体" w:hAnsi="宋体"/>
          <w:sz w:val="24"/>
          <w:szCs w:val="24"/>
          <w:lang w:eastAsia="zh-CN"/>
        </w:rPr>
        <w:t>委托人</w:t>
      </w:r>
      <w:r>
        <w:rPr>
          <w:rFonts w:ascii="宋体" w:hAnsi="宋体"/>
          <w:sz w:val="24"/>
          <w:szCs w:val="24"/>
        </w:rPr>
        <w:t>与本估价机构签订的房地产估价委托书；</w:t>
      </w:r>
    </w:p>
    <w:p>
      <w:pPr>
        <w:keepNext w:val="0"/>
        <w:keepLines w:val="0"/>
        <w:pageBreakBefore w:val="0"/>
        <w:widowControl/>
        <w:kinsoku/>
        <w:wordWrap/>
        <w:overflowPunct/>
        <w:topLinePunct w:val="0"/>
        <w:bidi w:val="0"/>
        <w:adjustRightInd/>
        <w:snapToGrid/>
        <w:spacing w:line="660" w:lineRule="exact"/>
        <w:ind w:left="604" w:leftChars="151" w:hanging="120" w:hangingChars="50"/>
        <w:jc w:val="left"/>
        <w:textAlignment w:val="auto"/>
        <w:outlineLvl w:val="9"/>
        <w:rPr>
          <w:rFonts w:hint="eastAsia" w:ascii="宋体" w:hAnsi="宋体"/>
          <w:sz w:val="24"/>
          <w:szCs w:val="24"/>
        </w:rPr>
      </w:pPr>
      <w:r>
        <w:rPr>
          <w:rFonts w:hint="eastAsia" w:ascii="宋体" w:hAnsi="宋体"/>
          <w:sz w:val="24"/>
          <w:szCs w:val="24"/>
        </w:rPr>
        <w:t xml:space="preserve"> 9</w:t>
      </w:r>
      <w:r>
        <w:rPr>
          <w:rFonts w:ascii="宋体" w:hAnsi="宋体"/>
          <w:sz w:val="24"/>
          <w:szCs w:val="24"/>
        </w:rPr>
        <w:t>、</w:t>
      </w:r>
      <w:r>
        <w:rPr>
          <w:rFonts w:hint="eastAsia" w:ascii="宋体" w:hAnsi="宋体"/>
          <w:sz w:val="24"/>
          <w:szCs w:val="24"/>
          <w:lang w:eastAsia="zh-CN"/>
        </w:rPr>
        <w:t>委托人</w:t>
      </w:r>
      <w:r>
        <w:rPr>
          <w:rFonts w:ascii="宋体" w:hAnsi="宋体"/>
          <w:sz w:val="24"/>
          <w:szCs w:val="24"/>
        </w:rPr>
        <w:t>提供的有关资料及权属证明资料；</w:t>
      </w:r>
      <w:r>
        <w:rPr>
          <w:rFonts w:ascii="宋体" w:hAnsi="宋体"/>
          <w:sz w:val="24"/>
          <w:szCs w:val="24"/>
        </w:rPr>
        <w:br w:type="textWrapping"/>
      </w:r>
      <w:r>
        <w:rPr>
          <w:rFonts w:hint="eastAsia" w:ascii="宋体" w:hAnsi="宋体"/>
          <w:sz w:val="24"/>
          <w:szCs w:val="24"/>
        </w:rPr>
        <w:t>10</w:t>
      </w:r>
      <w:r>
        <w:rPr>
          <w:rFonts w:ascii="宋体" w:hAnsi="宋体"/>
          <w:sz w:val="24"/>
          <w:szCs w:val="24"/>
        </w:rPr>
        <w:t>、受理估价方所掌握的有关资料及估价人员现场勘察获取的有关资料；</w:t>
      </w:r>
    </w:p>
    <w:p>
      <w:pPr>
        <w:keepNext w:val="0"/>
        <w:keepLines w:val="0"/>
        <w:pageBreakBefore w:val="0"/>
        <w:tabs>
          <w:tab w:val="left" w:pos="300"/>
        </w:tabs>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szCs w:val="24"/>
        </w:rPr>
        <w:t xml:space="preserve"> </w:t>
      </w:r>
      <w:r>
        <w:rPr>
          <w:rFonts w:ascii="宋体" w:hAnsi="宋体"/>
          <w:sz w:val="24"/>
          <w:szCs w:val="24"/>
        </w:rPr>
        <w:t>1</w:t>
      </w:r>
      <w:r>
        <w:rPr>
          <w:rFonts w:hint="eastAsia" w:ascii="宋体" w:hAnsi="宋体"/>
          <w:sz w:val="24"/>
          <w:szCs w:val="24"/>
        </w:rPr>
        <w:t>1</w:t>
      </w:r>
      <w:r>
        <w:rPr>
          <w:rFonts w:ascii="宋体" w:hAnsi="宋体"/>
          <w:sz w:val="24"/>
          <w:szCs w:val="24"/>
        </w:rPr>
        <w:t>、其他资料。</w:t>
      </w:r>
    </w:p>
    <w:p>
      <w:pPr>
        <w:keepNext w:val="0"/>
        <w:keepLines w:val="0"/>
        <w:pageBreakBefore w:val="0"/>
        <w:kinsoku/>
        <w:wordWrap/>
        <w:overflowPunct/>
        <w:topLinePunct w:val="0"/>
        <w:bidi w:val="0"/>
        <w:adjustRightInd/>
        <w:snapToGrid/>
        <w:spacing w:line="660" w:lineRule="exact"/>
        <w:ind w:left="363" w:hanging="361" w:hangingChars="150"/>
        <w:textAlignment w:val="auto"/>
        <w:outlineLvl w:val="9"/>
        <w:rPr>
          <w:rFonts w:hint="eastAsia" w:ascii="宋体" w:hAnsi="宋体"/>
          <w:b/>
          <w:sz w:val="24"/>
          <w:szCs w:val="24"/>
        </w:rPr>
      </w:pPr>
      <w:r>
        <w:rPr>
          <w:rFonts w:hint="eastAsia" w:ascii="宋体" w:hAnsi="宋体"/>
          <w:b/>
          <w:sz w:val="24"/>
          <w:szCs w:val="24"/>
        </w:rPr>
        <w:t>九、估价方法</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rPr>
      </w:pPr>
      <w:r>
        <w:rPr>
          <w:rFonts w:hint="eastAsia" w:ascii="宋体" w:hAnsi="宋体"/>
          <w:sz w:val="24"/>
          <w:szCs w:val="24"/>
        </w:rPr>
        <w:t>合理公正的估价必须遵循一定的估价原则和适当的估价程序，科学的使用估价方法。估价方法的选择需根据估价目的、估价对象的区位、用途、结构、设施的完善程度、建筑面积等因素，以及市场条件及资料取得情况，合理的确定估价方法。本次估价的估价对象当地的房地产市场较活跃，类似房地产的交易案例较多，且其收益较容易获得，故本次采用比较法和收益法对进行估价，并结合实地查勘的结果和估价人员的经验，最终确定估价对象的估价结果。本次估价选用的估价方法概述如下：</w:t>
      </w:r>
    </w:p>
    <w:p>
      <w:pPr>
        <w:keepNext w:val="0"/>
        <w:keepLines w:val="0"/>
        <w:pageBreakBefore w:val="0"/>
        <w:kinsoku/>
        <w:wordWrap/>
        <w:overflowPunct/>
        <w:topLinePunct w:val="0"/>
        <w:bidi w:val="0"/>
        <w:adjustRightInd/>
        <w:snapToGrid/>
        <w:spacing w:line="660" w:lineRule="exact"/>
        <w:ind w:left="362" w:hanging="361" w:hangingChars="150"/>
        <w:textAlignment w:val="auto"/>
        <w:outlineLvl w:val="9"/>
        <w:rPr>
          <w:rFonts w:hint="eastAsia" w:ascii="宋体" w:hAnsi="宋体"/>
          <w:sz w:val="24"/>
          <w:szCs w:val="24"/>
        </w:rPr>
      </w:pPr>
      <w:r>
        <w:rPr>
          <w:rFonts w:hint="eastAsia" w:ascii="宋体" w:hAnsi="宋体"/>
          <w:sz w:val="24"/>
          <w:szCs w:val="24"/>
        </w:rPr>
        <w:t>1、比较法概述如下：</w:t>
      </w:r>
    </w:p>
    <w:p>
      <w:pPr>
        <w:keepNext w:val="0"/>
        <w:keepLines w:val="0"/>
        <w:pageBreakBefore w:val="0"/>
        <w:kinsoku/>
        <w:wordWrap/>
        <w:overflowPunct/>
        <w:topLinePunct w:val="0"/>
        <w:bidi w:val="0"/>
        <w:adjustRightInd/>
        <w:snapToGrid/>
        <w:spacing w:line="660" w:lineRule="exact"/>
        <w:ind w:left="362" w:hanging="361" w:hangingChars="150"/>
        <w:textAlignment w:val="auto"/>
        <w:outlineLvl w:val="9"/>
        <w:rPr>
          <w:rFonts w:hint="eastAsia" w:ascii="宋体" w:hAnsi="宋体"/>
          <w:sz w:val="24"/>
          <w:szCs w:val="24"/>
        </w:rPr>
      </w:pPr>
      <w:r>
        <w:rPr>
          <w:rFonts w:hint="eastAsia" w:ascii="宋体" w:hAnsi="宋体"/>
          <w:sz w:val="24"/>
          <w:szCs w:val="24"/>
        </w:rPr>
        <w:t>（1）方法定义</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4"/>
        </w:rPr>
      </w:pPr>
      <w:r>
        <w:rPr>
          <w:rFonts w:hint="eastAsia"/>
          <w:sz w:val="24"/>
          <w:szCs w:val="24"/>
        </w:rPr>
        <w:t>选取一定数量的可比实例，将它们与估价对象进行比较，根据期间的差异对可比实例成交价格进行处理后得到估价对象价值或价格的方法。</w:t>
      </w:r>
    </w:p>
    <w:p>
      <w:pPr>
        <w:keepNext w:val="0"/>
        <w:keepLines w:val="0"/>
        <w:pageBreakBefore w:val="0"/>
        <w:kinsoku/>
        <w:wordWrap/>
        <w:overflowPunct/>
        <w:topLinePunct w:val="0"/>
        <w:bidi w:val="0"/>
        <w:adjustRightInd/>
        <w:snapToGrid/>
        <w:spacing w:line="660" w:lineRule="exact"/>
        <w:ind w:left="362" w:hanging="361" w:hangingChars="150"/>
        <w:textAlignment w:val="auto"/>
        <w:outlineLvl w:val="9"/>
        <w:rPr>
          <w:rFonts w:hint="eastAsia" w:ascii="宋体" w:hAnsi="宋体"/>
          <w:sz w:val="24"/>
          <w:szCs w:val="24"/>
        </w:rPr>
      </w:pPr>
      <w:r>
        <w:rPr>
          <w:rFonts w:hint="eastAsia" w:ascii="宋体" w:hAnsi="宋体"/>
          <w:sz w:val="24"/>
          <w:szCs w:val="24"/>
        </w:rPr>
        <w:t>（2）估价步骤</w:t>
      </w:r>
    </w:p>
    <w:p>
      <w:pPr>
        <w:keepNext w:val="0"/>
        <w:keepLines w:val="0"/>
        <w:pageBreakBefore w:val="0"/>
        <w:kinsoku/>
        <w:wordWrap/>
        <w:overflowPunct/>
        <w:topLinePunct w:val="0"/>
        <w:bidi w:val="0"/>
        <w:adjustRightInd/>
        <w:snapToGrid/>
        <w:spacing w:line="660" w:lineRule="exact"/>
        <w:ind w:firstLine="469" w:firstLineChars="195"/>
        <w:textAlignment w:val="auto"/>
        <w:outlineLvl w:val="9"/>
        <w:rPr>
          <w:rFonts w:hint="eastAsia"/>
          <w:sz w:val="24"/>
          <w:szCs w:val="24"/>
        </w:rPr>
      </w:pPr>
      <w:r>
        <w:rPr>
          <w:rFonts w:hint="eastAsia"/>
          <w:sz w:val="24"/>
          <w:szCs w:val="24"/>
        </w:rPr>
        <w:t>①搜集交易实例；②选取可比实例；③建立比较基础；④进行交易情况修正；⑤进行</w:t>
      </w:r>
    </w:p>
    <w:p>
      <w:pPr>
        <w:keepNext w:val="0"/>
        <w:keepLines w:val="0"/>
        <w:pageBreakBefore w:val="0"/>
        <w:kinsoku/>
        <w:wordWrap/>
        <w:overflowPunct/>
        <w:topLinePunct w:val="0"/>
        <w:bidi w:val="0"/>
        <w:adjustRightInd/>
        <w:snapToGrid/>
        <w:spacing w:line="660" w:lineRule="exact"/>
        <w:textAlignment w:val="auto"/>
        <w:outlineLvl w:val="9"/>
        <w:rPr>
          <w:rFonts w:hint="eastAsia"/>
        </w:rPr>
      </w:pPr>
      <w:r>
        <w:rPr>
          <w:rFonts w:hint="eastAsia"/>
          <w:sz w:val="24"/>
          <w:szCs w:val="24"/>
        </w:rPr>
        <w:t>市场状况修正；⑥进行房地产状况修正（区位状况、实物状况和权益状况）；⑦计算比较价值。</w:t>
      </w:r>
    </w:p>
    <w:p>
      <w:pPr>
        <w:keepNext w:val="0"/>
        <w:keepLines w:val="0"/>
        <w:pageBreakBefore w:val="0"/>
        <w:kinsoku/>
        <w:wordWrap/>
        <w:overflowPunct/>
        <w:topLinePunct w:val="0"/>
        <w:bidi w:val="0"/>
        <w:adjustRightInd/>
        <w:snapToGrid/>
        <w:spacing w:line="660" w:lineRule="exact"/>
        <w:ind w:left="362" w:hanging="361" w:hangingChars="150"/>
        <w:textAlignment w:val="auto"/>
        <w:outlineLvl w:val="9"/>
        <w:rPr>
          <w:rFonts w:hint="eastAsia" w:ascii="宋体" w:hAnsi="宋体"/>
          <w:sz w:val="24"/>
          <w:szCs w:val="24"/>
        </w:rPr>
      </w:pPr>
      <w:r>
        <w:rPr>
          <w:rFonts w:hint="eastAsia" w:ascii="宋体" w:hAnsi="宋体"/>
          <w:sz w:val="24"/>
          <w:szCs w:val="24"/>
        </w:rPr>
        <w:t>（3）计算公式</w:t>
      </w:r>
    </w:p>
    <w:p>
      <w:pPr>
        <w:keepNext w:val="0"/>
        <w:keepLines w:val="0"/>
        <w:pageBreakBefore w:val="0"/>
        <w:kinsoku/>
        <w:wordWrap/>
        <w:overflowPunct/>
        <w:topLinePunct w:val="0"/>
        <w:bidi w:val="0"/>
        <w:adjustRightInd/>
        <w:snapToGrid/>
        <w:spacing w:line="660" w:lineRule="exact"/>
        <w:ind w:left="1568" w:leftChars="151" w:hanging="1084" w:hangingChars="450"/>
        <w:textAlignment w:val="auto"/>
        <w:outlineLvl w:val="9"/>
        <w:rPr>
          <w:rFonts w:hint="eastAsia" w:ascii="宋体" w:hAnsi="宋体"/>
          <w:sz w:val="24"/>
          <w:szCs w:val="24"/>
        </w:rPr>
      </w:pPr>
      <w:r>
        <w:rPr>
          <w:rFonts w:hint="eastAsia" w:ascii="宋体" w:hAnsi="宋体"/>
          <w:sz w:val="24"/>
          <w:szCs w:val="24"/>
        </w:rPr>
        <w:t>比较价格=∑n（可比实例×交易情况修正系数×市场状况修正系数×房地产状况修正系数）/n</w:t>
      </w:r>
    </w:p>
    <w:p>
      <w:pPr>
        <w:keepNext w:val="0"/>
        <w:keepLines w:val="0"/>
        <w:pageBreakBefore w:val="0"/>
        <w:kinsoku/>
        <w:wordWrap/>
        <w:overflowPunct/>
        <w:topLinePunct w:val="0"/>
        <w:autoSpaceDE w:val="0"/>
        <w:autoSpaceDN w:val="0"/>
        <w:bidi w:val="0"/>
        <w:adjustRightInd/>
        <w:snapToGrid/>
        <w:spacing w:line="660" w:lineRule="exact"/>
        <w:textAlignment w:val="auto"/>
        <w:outlineLvl w:val="9"/>
        <w:rPr>
          <w:rFonts w:hint="eastAsia" w:ascii="宋体" w:hAnsi="宋体"/>
          <w:sz w:val="24"/>
          <w:szCs w:val="24"/>
        </w:rPr>
      </w:pPr>
      <w:r>
        <w:rPr>
          <w:rFonts w:hint="eastAsia" w:ascii="宋体" w:hAnsi="宋体"/>
          <w:sz w:val="24"/>
          <w:szCs w:val="24"/>
        </w:rPr>
        <w:t>2、收益法概述如下：</w:t>
      </w:r>
    </w:p>
    <w:p>
      <w:pPr>
        <w:keepNext w:val="0"/>
        <w:keepLines w:val="0"/>
        <w:pageBreakBefore w:val="0"/>
        <w:tabs>
          <w:tab w:val="left" w:pos="468"/>
        </w:tabs>
        <w:kinsoku/>
        <w:wordWrap/>
        <w:overflowPunct/>
        <w:topLinePunct w:val="0"/>
        <w:autoSpaceDE w:val="0"/>
        <w:autoSpaceDN w:val="0"/>
        <w:bidi w:val="0"/>
        <w:adjustRightInd/>
        <w:snapToGrid/>
        <w:spacing w:line="660" w:lineRule="exact"/>
        <w:textAlignment w:val="auto"/>
        <w:outlineLvl w:val="9"/>
        <w:rPr>
          <w:rFonts w:hint="eastAsia" w:ascii="宋体" w:hAnsi="宋体"/>
          <w:sz w:val="24"/>
          <w:szCs w:val="24"/>
        </w:rPr>
      </w:pPr>
      <w:r>
        <w:rPr>
          <w:rFonts w:hint="eastAsia" w:ascii="宋体" w:hAnsi="宋体"/>
          <w:sz w:val="24"/>
          <w:szCs w:val="24"/>
        </w:rPr>
        <w:t>（1）方法定义</w:t>
      </w:r>
    </w:p>
    <w:p>
      <w:pPr>
        <w:keepNext w:val="0"/>
        <w:keepLines w:val="0"/>
        <w:pageBreakBefore w:val="0"/>
        <w:kinsoku/>
        <w:wordWrap/>
        <w:overflowPunct/>
        <w:topLinePunct w:val="0"/>
        <w:autoSpaceDE w:val="0"/>
        <w:autoSpaceDN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szCs w:val="24"/>
        </w:rPr>
        <w:t>收益法是通过预测估价对象未来收益，利用报酬率或资本化率、收益乘数将未来收益转化为价值得到估价对象价值或价格的方法。</w:t>
      </w:r>
    </w:p>
    <w:p>
      <w:pPr>
        <w:keepNext w:val="0"/>
        <w:keepLines w:val="0"/>
        <w:pageBreakBefore w:val="0"/>
        <w:kinsoku/>
        <w:wordWrap/>
        <w:overflowPunct/>
        <w:topLinePunct w:val="0"/>
        <w:bidi w:val="0"/>
        <w:adjustRightInd/>
        <w:snapToGrid/>
        <w:spacing w:line="660" w:lineRule="exact"/>
        <w:ind w:left="362" w:hanging="361" w:hangingChars="150"/>
        <w:textAlignment w:val="auto"/>
        <w:outlineLvl w:val="9"/>
        <w:rPr>
          <w:rFonts w:hint="eastAsia" w:ascii="宋体" w:hAnsi="宋体"/>
          <w:sz w:val="24"/>
          <w:szCs w:val="24"/>
        </w:rPr>
      </w:pPr>
      <w:r>
        <w:rPr>
          <w:rFonts w:hint="eastAsia" w:ascii="宋体" w:hAnsi="宋体"/>
          <w:sz w:val="24"/>
          <w:szCs w:val="24"/>
        </w:rPr>
        <w:t>（2）估价步骤</w:t>
      </w:r>
    </w:p>
    <w:p>
      <w:pPr>
        <w:keepNext w:val="0"/>
        <w:keepLines w:val="0"/>
        <w:pageBreakBefore w:val="0"/>
        <w:kinsoku/>
        <w:wordWrap/>
        <w:overflowPunct/>
        <w:topLinePunct w:val="0"/>
        <w:bidi w:val="0"/>
        <w:adjustRightInd/>
        <w:snapToGrid/>
        <w:spacing w:line="660" w:lineRule="exact"/>
        <w:ind w:firstLine="469" w:firstLineChars="195"/>
        <w:textAlignment w:val="auto"/>
        <w:outlineLvl w:val="9"/>
        <w:rPr>
          <w:rFonts w:hint="eastAsia"/>
          <w:sz w:val="24"/>
          <w:szCs w:val="24"/>
        </w:rPr>
      </w:pPr>
      <w:r>
        <w:rPr>
          <w:rFonts w:hint="eastAsia"/>
          <w:sz w:val="24"/>
          <w:szCs w:val="24"/>
        </w:rPr>
        <w:t>①选择具体估价方法；②测算收益期或持有期；③测算未来收益；④确定报酬率或资本化率、收益乘数；⑤计算收益价值。</w:t>
      </w:r>
    </w:p>
    <w:p>
      <w:pPr>
        <w:keepNext w:val="0"/>
        <w:keepLines w:val="0"/>
        <w:pageBreakBefore w:val="0"/>
        <w:kinsoku/>
        <w:wordWrap/>
        <w:overflowPunct/>
        <w:topLinePunct w:val="0"/>
        <w:autoSpaceDE w:val="0"/>
        <w:autoSpaceDN w:val="0"/>
        <w:bidi w:val="0"/>
        <w:adjustRightInd/>
        <w:snapToGrid/>
        <w:spacing w:line="660" w:lineRule="exact"/>
        <w:textAlignment w:val="auto"/>
        <w:outlineLvl w:val="9"/>
        <w:rPr>
          <w:rFonts w:hint="eastAsia" w:ascii="宋体" w:hAnsi="宋体"/>
          <w:sz w:val="24"/>
          <w:szCs w:val="24"/>
        </w:rPr>
      </w:pPr>
      <w:r>
        <w:rPr>
          <w:rFonts w:hint="eastAsia" w:ascii="宋体" w:hAnsi="宋体"/>
          <w:sz w:val="24"/>
          <w:szCs w:val="24"/>
        </w:rPr>
        <w:t>（3）计算公式</w:t>
      </w:r>
    </w:p>
    <w:p>
      <w:pPr>
        <w:keepNext w:val="0"/>
        <w:keepLines w:val="0"/>
        <w:pageBreakBefore w:val="0"/>
        <w:kinsoku/>
        <w:wordWrap/>
        <w:overflowPunct/>
        <w:topLinePunct w:val="0"/>
        <w:autoSpaceDE w:val="0"/>
        <w:autoSpaceDN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szCs w:val="24"/>
        </w:rPr>
        <w:t>潜在毛收入：是指假定房地产在充分利用、无空置状态下可获的的收入。</w:t>
      </w:r>
    </w:p>
    <w:p>
      <w:pPr>
        <w:keepNext w:val="0"/>
        <w:keepLines w:val="0"/>
        <w:pageBreakBefore w:val="0"/>
        <w:kinsoku/>
        <w:wordWrap/>
        <w:overflowPunct/>
        <w:topLinePunct w:val="0"/>
        <w:autoSpaceDE w:val="0"/>
        <w:autoSpaceDN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szCs w:val="24"/>
        </w:rPr>
        <w:t>有效毛收入：是指由潜在毛收入扣除正常的空置、拖欠租金以及其他原因造成的收入损失后所得到的收入。</w:t>
      </w:r>
    </w:p>
    <w:p>
      <w:pPr>
        <w:keepNext w:val="0"/>
        <w:keepLines w:val="0"/>
        <w:pageBreakBefore w:val="0"/>
        <w:kinsoku/>
        <w:wordWrap/>
        <w:overflowPunct/>
        <w:topLinePunct w:val="0"/>
        <w:autoSpaceDE w:val="0"/>
        <w:autoSpaceDN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szCs w:val="24"/>
        </w:rPr>
        <w:t>净收益：是指由有效毛收入扣除合理运营费用后得到的归属于房地产的收益。</w:t>
      </w:r>
    </w:p>
    <w:p>
      <w:pPr>
        <w:keepNext w:val="0"/>
        <w:keepLines w:val="0"/>
        <w:pageBreakBefore w:val="0"/>
        <w:tabs>
          <w:tab w:val="left" w:pos="861"/>
        </w:tabs>
        <w:kinsoku/>
        <w:wordWrap/>
        <w:overflowPunct/>
        <w:topLinePunct w:val="0"/>
        <w:bidi w:val="0"/>
        <w:adjustRightInd/>
        <w:snapToGrid/>
        <w:spacing w:before="137" w:beforeLines="50" w:after="137" w:afterLines="50" w:line="660" w:lineRule="exact"/>
        <w:ind w:firstLine="482" w:firstLineChars="200"/>
        <w:textAlignment w:val="auto"/>
        <w:outlineLvl w:val="9"/>
        <w:rPr>
          <w:rFonts w:ascii="宋体" w:hAnsi="宋体"/>
          <w:sz w:val="24"/>
          <w:szCs w:val="24"/>
        </w:rPr>
      </w:pPr>
      <w:r>
        <w:rPr>
          <w:rFonts w:ascii="宋体" w:hAnsi="宋体"/>
          <w:sz w:val="24"/>
          <w:szCs w:val="24"/>
        </w:rPr>
        <w:t>V=</w:t>
      </w:r>
      <w:r>
        <w:rPr>
          <w:rFonts w:ascii="宋体" w:hAnsi="宋体"/>
          <w:sz w:val="24"/>
          <w:szCs w:val="24"/>
        </w:rPr>
        <w:fldChar w:fldCharType="begin"/>
      </w:r>
      <w:r>
        <w:rPr>
          <w:rFonts w:ascii="宋体" w:hAnsi="宋体"/>
          <w:sz w:val="24"/>
          <w:szCs w:val="24"/>
        </w:rPr>
        <w:instrText xml:space="preserve"> EQ </w:instrText>
      </w:r>
      <w:r>
        <w:rPr>
          <w:rFonts w:ascii="宋体" w:hAnsi="宋体"/>
          <w:sz w:val="24"/>
          <w:szCs w:val="24"/>
        </w:rPr>
        <w:fldChar w:fldCharType="end"/>
      </w:r>
      <w:r>
        <w:rPr>
          <w:rFonts w:ascii="宋体" w:hAnsi="宋体"/>
          <w:sz w:val="24"/>
          <w:szCs w:val="24"/>
        </w:rPr>
        <w:fldChar w:fldCharType="begin"/>
      </w:r>
      <w:r>
        <w:rPr>
          <w:rFonts w:ascii="宋体" w:hAnsi="宋体"/>
          <w:sz w:val="24"/>
          <w:szCs w:val="24"/>
        </w:rPr>
        <w:instrText xml:space="preserve"> EQ \F(a,r) </w:instrText>
      </w:r>
      <w:r>
        <w:rPr>
          <w:rFonts w:ascii="宋体" w:hAnsi="宋体"/>
          <w:sz w:val="24"/>
          <w:szCs w:val="24"/>
        </w:rPr>
        <w:fldChar w:fldCharType="end"/>
      </w:r>
      <w:r>
        <w:rPr>
          <w:rFonts w:hint="eastAsia" w:ascii="宋体" w:hAnsi="宋体"/>
          <w:sz w:val="24"/>
          <w:szCs w:val="24"/>
        </w:rPr>
        <w:t>×</w:t>
      </w:r>
      <w:r>
        <w:rPr>
          <w:rFonts w:ascii="宋体" w:hAnsi="宋体"/>
          <w:sz w:val="24"/>
          <w:szCs w:val="24"/>
        </w:rPr>
        <w:t>[1-</w:t>
      </w:r>
      <w:r>
        <w:rPr>
          <w:rFonts w:ascii="宋体" w:hAnsi="宋体"/>
          <w:sz w:val="24"/>
          <w:szCs w:val="24"/>
        </w:rPr>
        <w:fldChar w:fldCharType="begin"/>
      </w:r>
      <w:r>
        <w:rPr>
          <w:rFonts w:ascii="宋体" w:hAnsi="宋体"/>
          <w:sz w:val="24"/>
          <w:szCs w:val="24"/>
        </w:rPr>
        <w:instrText xml:space="preserve"> EQ \F(1,（1+r）</w:instrText>
      </w:r>
      <w:r>
        <w:rPr>
          <w:rFonts w:ascii="宋体" w:hAnsi="宋体"/>
          <w:sz w:val="24"/>
          <w:szCs w:val="24"/>
          <w:vertAlign w:val="superscript"/>
        </w:rPr>
        <w:instrText xml:space="preserve">n</w:instrText>
      </w:r>
      <w:r>
        <w:rPr>
          <w:rFonts w:ascii="宋体" w:hAnsi="宋体"/>
          <w:sz w:val="24"/>
          <w:szCs w:val="24"/>
        </w:rPr>
        <w:instrText xml:space="preserve">) </w:instrText>
      </w:r>
      <w:r>
        <w:rPr>
          <w:rFonts w:ascii="宋体" w:hAnsi="宋体"/>
          <w:sz w:val="24"/>
          <w:szCs w:val="24"/>
        </w:rPr>
        <w:fldChar w:fldCharType="end"/>
      </w:r>
      <w:r>
        <w:rPr>
          <w:rFonts w:ascii="宋体" w:hAnsi="宋体"/>
          <w:sz w:val="24"/>
          <w:szCs w:val="24"/>
        </w:rPr>
        <w:t>]</w:t>
      </w:r>
      <w:r>
        <w:rPr>
          <w:rFonts w:hint="eastAsia" w:ascii="宋体" w:hAnsi="宋体"/>
          <w:sz w:val="24"/>
          <w:szCs w:val="24"/>
        </w:rPr>
        <w:t xml:space="preserve"> </w:t>
      </w:r>
    </w:p>
    <w:p>
      <w:pPr>
        <w:keepNext w:val="0"/>
        <w:keepLines w:val="0"/>
        <w:pageBreakBefore w:val="0"/>
        <w:tabs>
          <w:tab w:val="left" w:pos="861"/>
        </w:tabs>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4"/>
        </w:rPr>
      </w:pPr>
      <w:r>
        <w:rPr>
          <w:rFonts w:hint="eastAsia" w:ascii="宋体" w:hAnsi="宋体"/>
          <w:sz w:val="24"/>
          <w:szCs w:val="24"/>
        </w:rPr>
        <w:t>式中：V—收益价值、a—房地产年净收益、</w:t>
      </w:r>
    </w:p>
    <w:p>
      <w:pPr>
        <w:keepNext w:val="0"/>
        <w:keepLines w:val="0"/>
        <w:pageBreakBefore w:val="0"/>
        <w:tabs>
          <w:tab w:val="left" w:pos="861"/>
        </w:tabs>
        <w:kinsoku/>
        <w:wordWrap/>
        <w:overflowPunct/>
        <w:topLinePunct w:val="0"/>
        <w:bidi w:val="0"/>
        <w:adjustRightInd/>
        <w:snapToGrid/>
        <w:spacing w:line="660" w:lineRule="exact"/>
        <w:ind w:firstLine="1205" w:firstLineChars="500"/>
        <w:textAlignment w:val="auto"/>
        <w:outlineLvl w:val="9"/>
        <w:rPr>
          <w:rFonts w:hint="eastAsia"/>
          <w:sz w:val="24"/>
          <w:szCs w:val="24"/>
        </w:rPr>
      </w:pPr>
      <w:r>
        <w:rPr>
          <w:rFonts w:hint="eastAsia" w:ascii="宋体" w:hAnsi="宋体"/>
          <w:sz w:val="24"/>
          <w:szCs w:val="24"/>
        </w:rPr>
        <w:t>r—报酬率、n—未来可能收益的年限</w:t>
      </w:r>
    </w:p>
    <w:p>
      <w:pPr>
        <w:pStyle w:val="3"/>
        <w:keepNext w:val="0"/>
        <w:keepLines w:val="0"/>
        <w:pageBreakBefore w:val="0"/>
        <w:tabs>
          <w:tab w:val="left" w:pos="0"/>
        </w:tabs>
        <w:kinsoku/>
        <w:wordWrap/>
        <w:overflowPunct/>
        <w:topLinePunct w:val="0"/>
        <w:bidi w:val="0"/>
        <w:adjustRightInd/>
        <w:snapToGrid/>
        <w:spacing w:line="660" w:lineRule="exact"/>
        <w:ind w:left="0" w:firstLine="0"/>
        <w:textAlignment w:val="auto"/>
        <w:outlineLvl w:val="9"/>
        <w:rPr>
          <w:rFonts w:hint="eastAsia" w:ascii="宋体" w:hAnsi="宋体"/>
          <w:b/>
          <w:sz w:val="24"/>
          <w:szCs w:val="24"/>
        </w:rPr>
      </w:pPr>
      <w:r>
        <w:rPr>
          <w:rFonts w:hint="eastAsia" w:ascii="宋体" w:hAnsi="宋体"/>
          <w:b/>
          <w:sz w:val="24"/>
          <w:szCs w:val="24"/>
        </w:rPr>
        <w:t>十、估价结果</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color w:val="auto"/>
          <w:sz w:val="24"/>
          <w:szCs w:val="24"/>
        </w:rPr>
      </w:pPr>
      <w:r>
        <w:rPr>
          <w:rFonts w:hint="eastAsia" w:ascii="宋体" w:hAnsi="宋体"/>
          <w:sz w:val="24"/>
        </w:rPr>
        <w:t>本估价机构根据估价目的及估价对象的特点，遵循估价原则，按照估价程序，</w:t>
      </w:r>
      <w:r>
        <w:rPr>
          <w:rFonts w:hint="eastAsia" w:ascii="宋体" w:hAnsi="宋体"/>
          <w:sz w:val="24"/>
          <w:szCs w:val="24"/>
        </w:rPr>
        <w:t>采用比较法和收益法相结合的估价方法，</w:t>
      </w:r>
      <w:r>
        <w:rPr>
          <w:rFonts w:hint="eastAsia" w:ascii="宋体" w:hAnsi="宋体"/>
          <w:sz w:val="24"/>
        </w:rPr>
        <w:t>在认真分析现有资料的基础上，经过测算，结合估</w:t>
      </w:r>
      <w:r>
        <w:rPr>
          <w:rFonts w:hint="eastAsia" w:ascii="宋体" w:hAnsi="宋体"/>
          <w:sz w:val="24"/>
          <w:szCs w:val="24"/>
        </w:rPr>
        <w:t>价经验与对影响房地产市场价格因素的分析，确定估价对象于估价时点</w:t>
      </w:r>
      <w:r>
        <w:rPr>
          <w:rFonts w:hint="eastAsia" w:ascii="宋体" w:hAnsi="宋体"/>
          <w:sz w:val="24"/>
          <w:szCs w:val="28"/>
        </w:rPr>
        <w:t>在完好状态</w:t>
      </w:r>
      <w:r>
        <w:rPr>
          <w:rFonts w:hint="eastAsia" w:ascii="宋体" w:hAnsi="宋体"/>
          <w:sz w:val="24"/>
          <w:szCs w:val="24"/>
        </w:rPr>
        <w:t>并符合假设和限制条件下的市场价</w:t>
      </w:r>
      <w:r>
        <w:rPr>
          <w:rFonts w:hint="eastAsia" w:ascii="宋体" w:hAnsi="宋体"/>
          <w:color w:val="auto"/>
          <w:sz w:val="24"/>
          <w:szCs w:val="24"/>
        </w:rPr>
        <w:t>值为</w:t>
      </w:r>
      <w:r>
        <w:rPr>
          <w:rFonts w:hint="eastAsia" w:ascii="宋体" w:hAnsi="宋体"/>
          <w:bCs/>
          <w:color w:val="auto"/>
          <w:sz w:val="24"/>
          <w:szCs w:val="28"/>
          <w:lang w:eastAsia="zh-CN"/>
        </w:rPr>
        <w:t>1608851</w:t>
      </w:r>
      <w:r>
        <w:rPr>
          <w:rFonts w:hint="eastAsia" w:ascii="宋体" w:hAnsi="宋体"/>
          <w:color w:val="auto"/>
          <w:sz w:val="24"/>
          <w:szCs w:val="24"/>
        </w:rPr>
        <w:t>元，</w:t>
      </w:r>
      <w:r>
        <w:rPr>
          <w:rFonts w:ascii="宋体" w:hAnsi="宋体"/>
          <w:color w:val="auto"/>
          <w:sz w:val="24"/>
        </w:rPr>
        <w:t>(</w:t>
      </w:r>
      <w:r>
        <w:rPr>
          <w:rFonts w:hint="eastAsia" w:ascii="宋体" w:hAnsi="宋体"/>
          <w:color w:val="auto"/>
          <w:sz w:val="24"/>
        </w:rPr>
        <w:t>大写</w:t>
      </w:r>
      <w:r>
        <w:rPr>
          <w:rFonts w:ascii="宋体" w:hAnsi="宋体"/>
          <w:color w:val="auto"/>
          <w:sz w:val="24"/>
        </w:rPr>
        <w:t>)</w:t>
      </w:r>
      <w:r>
        <w:rPr>
          <w:rFonts w:hint="eastAsia" w:ascii="宋体" w:hAnsi="宋体"/>
          <w:color w:val="auto"/>
          <w:sz w:val="24"/>
        </w:rPr>
        <w:t>：人民币</w:t>
      </w:r>
      <w:r>
        <w:rPr>
          <w:rFonts w:hint="eastAsia" w:ascii="宋体" w:hAnsi="宋体"/>
          <w:color w:val="auto"/>
          <w:sz w:val="24"/>
          <w:lang w:eastAsia="zh-CN"/>
        </w:rPr>
        <w:t>壹佰陆拾万零捌仟捌佰伍拾壹</w:t>
      </w:r>
      <w:r>
        <w:rPr>
          <w:rFonts w:hint="eastAsia" w:ascii="宋体" w:hAnsi="宋体"/>
          <w:color w:val="auto"/>
          <w:sz w:val="24"/>
        </w:rPr>
        <w:t>元整</w:t>
      </w:r>
      <w:r>
        <w:rPr>
          <w:rFonts w:hint="eastAsia" w:ascii="宋体" w:hAnsi="宋体"/>
          <w:color w:val="auto"/>
          <w:sz w:val="24"/>
          <w:szCs w:val="24"/>
        </w:rPr>
        <w:t>。</w:t>
      </w:r>
    </w:p>
    <w:p>
      <w:pPr>
        <w:keepNext w:val="0"/>
        <w:keepLines w:val="0"/>
        <w:pageBreakBefore w:val="0"/>
        <w:kinsoku/>
        <w:wordWrap/>
        <w:overflowPunct/>
        <w:topLinePunct w:val="0"/>
        <w:bidi w:val="0"/>
        <w:adjustRightInd/>
        <w:snapToGrid/>
        <w:spacing w:line="660" w:lineRule="exact"/>
        <w:textAlignment w:val="auto"/>
        <w:outlineLvl w:val="9"/>
        <w:rPr>
          <w:rFonts w:hint="eastAsia" w:ascii="宋体" w:hAnsi="宋体"/>
          <w:sz w:val="24"/>
          <w:szCs w:val="24"/>
        </w:rPr>
      </w:pPr>
      <w:r>
        <w:rPr>
          <w:rFonts w:hint="eastAsia" w:ascii="宋体" w:hAnsi="宋体"/>
          <w:b/>
          <w:sz w:val="24"/>
          <w:szCs w:val="24"/>
        </w:rPr>
        <w:t>十一、注册房地产估价师</w:t>
      </w:r>
    </w:p>
    <w:tbl>
      <w:tblPr>
        <w:tblStyle w:val="10"/>
        <w:tblW w:w="946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12"/>
        <w:gridCol w:w="3273"/>
        <w:gridCol w:w="2031"/>
        <w:gridCol w:w="26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512"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姓名</w:t>
            </w:r>
          </w:p>
        </w:tc>
        <w:tc>
          <w:tcPr>
            <w:tcW w:w="3273"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执业资格</w:t>
            </w:r>
          </w:p>
        </w:tc>
        <w:tc>
          <w:tcPr>
            <w:tcW w:w="2031"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注册号</w:t>
            </w:r>
          </w:p>
        </w:tc>
        <w:tc>
          <w:tcPr>
            <w:tcW w:w="2652"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签章</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trPr>
        <w:tc>
          <w:tcPr>
            <w:tcW w:w="1512"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郑美云</w:t>
            </w:r>
          </w:p>
        </w:tc>
        <w:tc>
          <w:tcPr>
            <w:tcW w:w="3273"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中国注册房地产估价师</w:t>
            </w:r>
          </w:p>
        </w:tc>
        <w:tc>
          <w:tcPr>
            <w:tcW w:w="2031"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1519970007</w:t>
            </w:r>
          </w:p>
        </w:tc>
        <w:tc>
          <w:tcPr>
            <w:tcW w:w="2652"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1800" w:hRule="atLeast"/>
        </w:trPr>
        <w:tc>
          <w:tcPr>
            <w:tcW w:w="1512"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eastAsia="宋体"/>
                <w:sz w:val="24"/>
                <w:szCs w:val="24"/>
                <w:lang w:eastAsia="zh-CN"/>
              </w:rPr>
            </w:pPr>
            <w:r>
              <w:rPr>
                <w:rFonts w:hint="eastAsia" w:ascii="宋体" w:hAnsi="宋体"/>
                <w:sz w:val="24"/>
                <w:szCs w:val="24"/>
                <w:lang w:eastAsia="zh-CN"/>
              </w:rPr>
              <w:t>燕美荣</w:t>
            </w:r>
          </w:p>
        </w:tc>
        <w:tc>
          <w:tcPr>
            <w:tcW w:w="3273"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r>
              <w:rPr>
                <w:rFonts w:hint="eastAsia" w:ascii="宋体" w:hAnsi="宋体"/>
                <w:sz w:val="24"/>
                <w:szCs w:val="24"/>
              </w:rPr>
              <w:t>中国注册房地产估价师</w:t>
            </w:r>
          </w:p>
        </w:tc>
        <w:tc>
          <w:tcPr>
            <w:tcW w:w="2031"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eastAsia="宋体"/>
                <w:sz w:val="24"/>
                <w:szCs w:val="24"/>
                <w:lang w:eastAsia="zh-CN"/>
              </w:rPr>
            </w:pPr>
            <w:r>
              <w:rPr>
                <w:rFonts w:hint="eastAsia" w:ascii="宋体" w:hAnsi="宋体"/>
                <w:sz w:val="24"/>
                <w:szCs w:val="24"/>
                <w:lang w:eastAsia="zh-CN"/>
              </w:rPr>
              <w:t>1520140033</w:t>
            </w:r>
          </w:p>
        </w:tc>
        <w:tc>
          <w:tcPr>
            <w:tcW w:w="2652" w:type="dxa"/>
            <w:noWrap w:val="0"/>
            <w:vAlign w:val="center"/>
          </w:tcPr>
          <w:p>
            <w:pPr>
              <w:keepNext w:val="0"/>
              <w:keepLines w:val="0"/>
              <w:pageBreakBefore w:val="0"/>
              <w:kinsoku/>
              <w:wordWrap/>
              <w:overflowPunct/>
              <w:topLinePunct w:val="0"/>
              <w:bidi w:val="0"/>
              <w:adjustRightInd/>
              <w:snapToGrid/>
              <w:spacing w:line="660" w:lineRule="exact"/>
              <w:jc w:val="center"/>
              <w:textAlignment w:val="auto"/>
              <w:outlineLvl w:val="9"/>
              <w:rPr>
                <w:rFonts w:hint="eastAsia" w:ascii="宋体" w:hAnsi="宋体"/>
                <w:sz w:val="24"/>
                <w:szCs w:val="24"/>
              </w:rPr>
            </w:pPr>
          </w:p>
        </w:tc>
      </w:tr>
    </w:tbl>
    <w:p>
      <w:pPr>
        <w:keepNext w:val="0"/>
        <w:keepLines w:val="0"/>
        <w:pageBreakBefore w:val="0"/>
        <w:kinsoku/>
        <w:wordWrap/>
        <w:overflowPunct/>
        <w:topLinePunct w:val="0"/>
        <w:bidi w:val="0"/>
        <w:adjustRightInd/>
        <w:snapToGrid/>
        <w:spacing w:line="660" w:lineRule="exact"/>
        <w:textAlignment w:val="auto"/>
        <w:outlineLvl w:val="9"/>
        <w:rPr>
          <w:rFonts w:hint="eastAsia" w:ascii="宋体" w:hAnsi="宋体"/>
          <w:sz w:val="24"/>
          <w:szCs w:val="24"/>
          <w:highlight w:val="none"/>
        </w:rPr>
      </w:pPr>
      <w:r>
        <w:rPr>
          <w:rFonts w:ascii="宋体" w:hAnsi="宋体"/>
          <w:b/>
          <w:sz w:val="24"/>
          <w:szCs w:val="24"/>
        </w:rPr>
        <w:t>十二、</w:t>
      </w:r>
      <w:r>
        <w:rPr>
          <w:rFonts w:hint="eastAsia" w:ascii="宋体" w:hAnsi="宋体"/>
          <w:b/>
          <w:sz w:val="24"/>
          <w:szCs w:val="24"/>
        </w:rPr>
        <w:t>实地查勘期：</w:t>
      </w:r>
      <w:r>
        <w:rPr>
          <w:rFonts w:hint="eastAsia" w:ascii="宋体" w:hAnsi="宋体"/>
          <w:sz w:val="24"/>
          <w:szCs w:val="24"/>
          <w:lang w:eastAsia="zh-CN"/>
        </w:rPr>
        <w:t>二〇一九年一月十四日</w:t>
      </w:r>
      <w:r>
        <w:rPr>
          <w:rFonts w:hint="eastAsia" w:ascii="宋体" w:hAnsi="宋体"/>
          <w:sz w:val="24"/>
          <w:szCs w:val="24"/>
          <w:highlight w:val="none"/>
        </w:rPr>
        <w:t>至</w:t>
      </w:r>
      <w:r>
        <w:rPr>
          <w:rFonts w:hint="eastAsia" w:ascii="宋体" w:hAnsi="宋体"/>
          <w:sz w:val="24"/>
          <w:szCs w:val="24"/>
          <w:highlight w:val="none"/>
          <w:lang w:eastAsia="zh-CN"/>
        </w:rPr>
        <w:t>二〇一九年一月十四日</w:t>
      </w:r>
      <w:r>
        <w:rPr>
          <w:rFonts w:hint="eastAsia" w:ascii="宋体" w:hAnsi="宋体"/>
          <w:sz w:val="24"/>
          <w:szCs w:val="24"/>
          <w:highlight w:val="none"/>
        </w:rPr>
        <w:t>。</w:t>
      </w:r>
    </w:p>
    <w:p>
      <w:pPr>
        <w:keepNext w:val="0"/>
        <w:keepLines w:val="0"/>
        <w:pageBreakBefore w:val="0"/>
        <w:kinsoku/>
        <w:wordWrap/>
        <w:overflowPunct/>
        <w:topLinePunct w:val="0"/>
        <w:bidi w:val="0"/>
        <w:adjustRightInd/>
        <w:snapToGrid/>
        <w:spacing w:after="137" w:afterLines="50" w:line="660" w:lineRule="exact"/>
        <w:textAlignment w:val="auto"/>
        <w:outlineLvl w:val="9"/>
        <w:rPr>
          <w:rFonts w:hint="eastAsia" w:ascii="宋体" w:hAnsi="宋体"/>
          <w:sz w:val="24"/>
          <w:szCs w:val="24"/>
          <w:highlight w:val="none"/>
        </w:rPr>
      </w:pPr>
      <w:r>
        <w:rPr>
          <w:rFonts w:hint="eastAsia" w:ascii="宋体" w:hAnsi="宋体"/>
          <w:b/>
          <w:sz w:val="24"/>
          <w:szCs w:val="24"/>
          <w:highlight w:val="none"/>
        </w:rPr>
        <w:t>十三、估价作业期：</w:t>
      </w:r>
      <w:r>
        <w:rPr>
          <w:rFonts w:hint="eastAsia" w:ascii="宋体" w:hAnsi="宋体"/>
          <w:sz w:val="24"/>
          <w:szCs w:val="24"/>
          <w:highlight w:val="none"/>
          <w:lang w:eastAsia="zh-CN"/>
        </w:rPr>
        <w:t>二〇一九年一月八日</w:t>
      </w:r>
      <w:r>
        <w:rPr>
          <w:rFonts w:hint="eastAsia" w:ascii="宋体" w:hAnsi="宋体"/>
          <w:sz w:val="24"/>
          <w:szCs w:val="24"/>
          <w:highlight w:val="none"/>
        </w:rPr>
        <w:t>至</w:t>
      </w:r>
      <w:r>
        <w:rPr>
          <w:rFonts w:hint="eastAsia" w:ascii="宋体" w:hAnsi="宋体"/>
          <w:sz w:val="24"/>
          <w:szCs w:val="24"/>
          <w:highlight w:val="none"/>
          <w:lang w:eastAsia="zh-CN"/>
        </w:rPr>
        <w:t>二〇一九年一月十七日</w:t>
      </w:r>
      <w:r>
        <w:rPr>
          <w:rFonts w:hint="eastAsia" w:ascii="宋体" w:hAnsi="宋体"/>
          <w:sz w:val="24"/>
          <w:szCs w:val="24"/>
          <w:highlight w:val="none"/>
        </w:rPr>
        <w:t xml:space="preserve">。                                          </w:t>
      </w:r>
    </w:p>
    <w:p>
      <w:pPr>
        <w:keepNext w:val="0"/>
        <w:keepLines w:val="0"/>
        <w:pageBreakBefore w:val="0"/>
        <w:kinsoku/>
        <w:wordWrap/>
        <w:overflowPunct/>
        <w:topLinePunct w:val="0"/>
        <w:bidi w:val="0"/>
        <w:adjustRightInd/>
        <w:snapToGrid/>
        <w:spacing w:before="137" w:beforeLines="50" w:line="660" w:lineRule="exact"/>
        <w:jc w:val="center"/>
        <w:textAlignment w:val="auto"/>
        <w:outlineLvl w:val="9"/>
        <w:rPr>
          <w:rFonts w:hint="eastAsia" w:ascii="宋体" w:hAnsi="宋体"/>
          <w:sz w:val="24"/>
          <w:szCs w:val="24"/>
          <w:highlight w:val="none"/>
        </w:rPr>
      </w:pPr>
      <w:r>
        <w:rPr>
          <w:rFonts w:hint="eastAsia" w:ascii="宋体" w:hAnsi="宋体"/>
          <w:sz w:val="24"/>
          <w:szCs w:val="24"/>
          <w:highlight w:val="none"/>
        </w:rPr>
        <w:t xml:space="preserve">                      内蒙古正翔房地产价格评估有限责任公司</w:t>
      </w:r>
    </w:p>
    <w:p>
      <w:pPr>
        <w:keepNext w:val="0"/>
        <w:keepLines w:val="0"/>
        <w:pageBreakBefore w:val="0"/>
        <w:tabs>
          <w:tab w:val="left" w:pos="780"/>
        </w:tabs>
        <w:kinsoku/>
        <w:wordWrap/>
        <w:overflowPunct/>
        <w:topLinePunct w:val="0"/>
        <w:bidi w:val="0"/>
        <w:adjustRightInd/>
        <w:snapToGrid/>
        <w:spacing w:line="660" w:lineRule="exact"/>
        <w:jc w:val="center"/>
        <w:textAlignment w:val="auto"/>
        <w:outlineLvl w:val="9"/>
        <w:rPr>
          <w:rFonts w:hint="eastAsia" w:ascii="宋体" w:hAnsi="宋体" w:eastAsia="宋体"/>
          <w:sz w:val="24"/>
          <w:szCs w:val="24"/>
          <w:highlight w:val="none"/>
          <w:lang w:eastAsia="zh-CN"/>
        </w:rPr>
      </w:pPr>
      <w:r>
        <w:rPr>
          <w:rFonts w:hint="eastAsia" w:ascii="宋体" w:hAnsi="宋体"/>
          <w:sz w:val="24"/>
          <w:szCs w:val="24"/>
          <w:highlight w:val="none"/>
        </w:rPr>
        <w:t xml:space="preserve">                     </w:t>
      </w:r>
      <w:r>
        <w:rPr>
          <w:rFonts w:hint="eastAsia" w:ascii="宋体" w:hAnsi="宋体"/>
          <w:sz w:val="24"/>
          <w:szCs w:val="24"/>
          <w:highlight w:val="none"/>
          <w:lang w:eastAsia="zh-CN"/>
        </w:rPr>
        <w:t>二〇一九年一月十七日</w:t>
      </w:r>
    </w:p>
    <w:p>
      <w:pPr>
        <w:keepNext w:val="0"/>
        <w:keepLines w:val="0"/>
        <w:pageBreakBefore w:val="0"/>
        <w:kinsoku/>
        <w:wordWrap/>
        <w:overflowPunct/>
        <w:topLinePunct w:val="0"/>
        <w:bidi w:val="0"/>
        <w:adjustRightInd/>
        <w:snapToGrid/>
        <w:spacing w:after="137" w:afterLines="50" w:line="660" w:lineRule="exact"/>
        <w:jc w:val="center"/>
        <w:textAlignment w:val="auto"/>
        <w:outlineLvl w:val="9"/>
        <w:rPr>
          <w:rFonts w:ascii="宋体" w:hAnsi="宋体"/>
          <w:b/>
          <w:sz w:val="44"/>
          <w:szCs w:val="44"/>
          <w:highlight w:val="none"/>
        </w:rPr>
        <w:sectPr>
          <w:footerReference r:id="rId7" w:type="default"/>
          <w:pgSz w:w="11907" w:h="16839"/>
          <w:pgMar w:top="1417" w:right="1134" w:bottom="1134" w:left="1134" w:header="851" w:footer="850" w:gutter="0"/>
          <w:cols w:space="720" w:num="1"/>
          <w:titlePg/>
          <w:docGrid w:type="linesAndChars" w:linePitch="274" w:charSpace="266"/>
        </w:sectPr>
      </w:pPr>
    </w:p>
    <w:p>
      <w:pPr>
        <w:spacing w:after="137" w:afterLines="50" w:line="600" w:lineRule="exact"/>
        <w:jc w:val="center"/>
        <w:rPr>
          <w:rFonts w:hint="eastAsia" w:ascii="宋体" w:hAnsi="宋体"/>
          <w:b/>
          <w:sz w:val="44"/>
          <w:szCs w:val="44"/>
        </w:rPr>
      </w:pPr>
      <w:r>
        <w:rPr>
          <w:rFonts w:hint="eastAsia" w:ascii="宋体" w:hAnsi="宋体"/>
          <w:b/>
          <w:sz w:val="44"/>
          <w:szCs w:val="44"/>
        </w:rPr>
        <w:t>房 地 产 估 价 技 术 报 告</w:t>
      </w:r>
    </w:p>
    <w:p>
      <w:pPr>
        <w:spacing w:after="137" w:afterLines="50" w:line="600" w:lineRule="exact"/>
        <w:rPr>
          <w:rFonts w:hint="eastAsia" w:ascii="宋体" w:hAnsi="宋体"/>
          <w:b/>
          <w:bCs/>
          <w:sz w:val="24"/>
          <w:szCs w:val="24"/>
        </w:rPr>
      </w:pPr>
      <w:r>
        <w:rPr>
          <w:rFonts w:hint="eastAsia" w:ascii="宋体" w:hAnsi="宋体"/>
          <w:b/>
          <w:bCs/>
          <w:sz w:val="24"/>
          <w:szCs w:val="24"/>
        </w:rPr>
        <w:t>一、估价对象描述与分析</w:t>
      </w:r>
    </w:p>
    <w:p>
      <w:pPr>
        <w:spacing w:line="600" w:lineRule="exact"/>
        <w:ind w:firstLine="482" w:firstLineChars="200"/>
        <w:rPr>
          <w:rFonts w:hint="eastAsia" w:ascii="宋体" w:hAnsi="宋体"/>
          <w:sz w:val="24"/>
          <w:szCs w:val="28"/>
        </w:rPr>
      </w:pPr>
      <w:r>
        <w:rPr>
          <w:rFonts w:hint="eastAsia" w:ascii="宋体" w:hAnsi="宋体"/>
          <w:sz w:val="24"/>
          <w:szCs w:val="28"/>
        </w:rPr>
        <w:t>1、区位状况</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default"/>
          <w:sz w:val="24"/>
          <w:szCs w:val="28"/>
        </w:rPr>
      </w:pPr>
      <w:r>
        <w:rPr>
          <w:rFonts w:hint="eastAsia"/>
          <w:sz w:val="24"/>
          <w:szCs w:val="28"/>
        </w:rPr>
        <w:t>巴彦淖尔市，是</w:t>
      </w:r>
      <w:r>
        <w:rPr>
          <w:rFonts w:hint="default"/>
          <w:sz w:val="24"/>
          <w:szCs w:val="28"/>
        </w:rPr>
        <w:fldChar w:fldCharType="begin"/>
      </w:r>
      <w:r>
        <w:rPr>
          <w:rFonts w:hint="default"/>
          <w:sz w:val="24"/>
          <w:szCs w:val="28"/>
        </w:rPr>
        <w:instrText xml:space="preserve"> HYPERLINK "https://baike.so.com/doc/24056827-24639969.html" \t "https://baike.so.com/doc/_blank" </w:instrText>
      </w:r>
      <w:r>
        <w:rPr>
          <w:rFonts w:hint="default"/>
          <w:sz w:val="24"/>
          <w:szCs w:val="28"/>
        </w:rPr>
        <w:fldChar w:fldCharType="separate"/>
      </w:r>
      <w:r>
        <w:rPr>
          <w:rFonts w:hint="default"/>
          <w:sz w:val="24"/>
          <w:szCs w:val="28"/>
        </w:rPr>
        <w:t>内蒙古自治区</w:t>
      </w:r>
      <w:r>
        <w:rPr>
          <w:rFonts w:hint="default"/>
          <w:sz w:val="24"/>
          <w:szCs w:val="28"/>
        </w:rPr>
        <w:fldChar w:fldCharType="end"/>
      </w:r>
      <w:r>
        <w:rPr>
          <w:rFonts w:hint="default"/>
          <w:sz w:val="24"/>
          <w:szCs w:val="28"/>
        </w:rPr>
        <w:t>西部的一个</w:t>
      </w:r>
      <w:r>
        <w:rPr>
          <w:rFonts w:hint="default"/>
          <w:sz w:val="24"/>
          <w:szCs w:val="28"/>
        </w:rPr>
        <w:fldChar w:fldCharType="begin"/>
      </w:r>
      <w:r>
        <w:rPr>
          <w:rFonts w:hint="default"/>
          <w:sz w:val="24"/>
          <w:szCs w:val="28"/>
        </w:rPr>
        <w:instrText xml:space="preserve"> HYPERLINK "https://baike.so.com/doc/10946098-11473628.html" \t "https://baike.so.com/doc/_blank" </w:instrText>
      </w:r>
      <w:r>
        <w:rPr>
          <w:rFonts w:hint="default"/>
          <w:sz w:val="24"/>
          <w:szCs w:val="28"/>
        </w:rPr>
        <w:fldChar w:fldCharType="separate"/>
      </w:r>
      <w:r>
        <w:rPr>
          <w:rFonts w:hint="default"/>
          <w:sz w:val="24"/>
          <w:szCs w:val="28"/>
        </w:rPr>
        <w:t>新兴城市</w:t>
      </w:r>
      <w:r>
        <w:rPr>
          <w:rFonts w:hint="default"/>
          <w:sz w:val="24"/>
          <w:szCs w:val="28"/>
        </w:rPr>
        <w:fldChar w:fldCharType="end"/>
      </w:r>
      <w:r>
        <w:rPr>
          <w:rFonts w:hint="default"/>
          <w:sz w:val="24"/>
          <w:szCs w:val="28"/>
        </w:rPr>
        <w:t>，“巴彦淖尔”系</w:t>
      </w:r>
      <w:r>
        <w:rPr>
          <w:rFonts w:hint="default"/>
          <w:sz w:val="24"/>
          <w:szCs w:val="28"/>
        </w:rPr>
        <w:fldChar w:fldCharType="begin"/>
      </w:r>
      <w:r>
        <w:rPr>
          <w:rFonts w:hint="default"/>
          <w:sz w:val="24"/>
          <w:szCs w:val="28"/>
        </w:rPr>
        <w:instrText xml:space="preserve"> HYPERLINK "https://baike.so.com/doc/1632055-1725340.html" \t "https://baike.so.com/doc/_blank" </w:instrText>
      </w:r>
      <w:r>
        <w:rPr>
          <w:rFonts w:hint="default"/>
          <w:sz w:val="24"/>
          <w:szCs w:val="28"/>
        </w:rPr>
        <w:fldChar w:fldCharType="separate"/>
      </w:r>
      <w:r>
        <w:rPr>
          <w:rFonts w:hint="default"/>
          <w:sz w:val="24"/>
          <w:szCs w:val="28"/>
        </w:rPr>
        <w:t>蒙古语</w:t>
      </w:r>
      <w:r>
        <w:rPr>
          <w:rFonts w:hint="default"/>
          <w:sz w:val="24"/>
          <w:szCs w:val="28"/>
        </w:rPr>
        <w:fldChar w:fldCharType="end"/>
      </w:r>
      <w:r>
        <w:rPr>
          <w:rFonts w:hint="default"/>
          <w:sz w:val="24"/>
          <w:szCs w:val="28"/>
        </w:rPr>
        <w:t>，意为“富饶的湖泊”，位于举世闻名的河套平原和乌拉特草原上，东接包头市，西邻阿拉善盟，南隔黄河与鄂尔多斯市相望，北与蒙古国接壤，交通便利，通讯便捷，气候干燥，气温偏低，自然资源丰富，旅游资源独具特色，是中国恐龙的故乡，被誉为“</w:t>
      </w:r>
      <w:r>
        <w:rPr>
          <w:rFonts w:hint="default"/>
          <w:sz w:val="24"/>
          <w:szCs w:val="28"/>
        </w:rPr>
        <w:fldChar w:fldCharType="begin"/>
      </w:r>
      <w:r>
        <w:rPr>
          <w:rFonts w:hint="default"/>
          <w:sz w:val="24"/>
          <w:szCs w:val="28"/>
        </w:rPr>
        <w:instrText xml:space="preserve"> HYPERLINK "https://baike.so.com/doc/2362957-2498687.html" \t "https://baike.so.com/doc/_blank" </w:instrText>
      </w:r>
      <w:r>
        <w:rPr>
          <w:rFonts w:hint="default"/>
          <w:sz w:val="24"/>
          <w:szCs w:val="28"/>
        </w:rPr>
        <w:fldChar w:fldCharType="separate"/>
      </w:r>
      <w:r>
        <w:rPr>
          <w:rFonts w:hint="default"/>
          <w:sz w:val="24"/>
          <w:szCs w:val="28"/>
        </w:rPr>
        <w:t>塞上江南</w:t>
      </w:r>
      <w:r>
        <w:rPr>
          <w:rFonts w:hint="default"/>
          <w:sz w:val="24"/>
          <w:szCs w:val="28"/>
        </w:rPr>
        <w:fldChar w:fldCharType="end"/>
      </w:r>
      <w:r>
        <w:rPr>
          <w:rFonts w:hint="default"/>
          <w:sz w:val="24"/>
          <w:szCs w:val="28"/>
        </w:rPr>
        <w:t>，</w:t>
      </w:r>
      <w:r>
        <w:rPr>
          <w:rFonts w:hint="default"/>
          <w:sz w:val="24"/>
          <w:szCs w:val="28"/>
        </w:rPr>
        <w:fldChar w:fldCharType="begin"/>
      </w:r>
      <w:r>
        <w:rPr>
          <w:rFonts w:hint="default"/>
          <w:sz w:val="24"/>
          <w:szCs w:val="28"/>
        </w:rPr>
        <w:instrText xml:space="preserve"> HYPERLINK "https://baike.so.com/doc/5322952-5558122.html" \t "https://baike.so.com/doc/_blank" </w:instrText>
      </w:r>
      <w:r>
        <w:rPr>
          <w:rFonts w:hint="default"/>
          <w:sz w:val="24"/>
          <w:szCs w:val="28"/>
        </w:rPr>
        <w:fldChar w:fldCharType="separate"/>
      </w:r>
      <w:r>
        <w:rPr>
          <w:rFonts w:hint="default"/>
          <w:sz w:val="24"/>
          <w:szCs w:val="28"/>
        </w:rPr>
        <w:t>黄河明珠</w:t>
      </w:r>
      <w:r>
        <w:rPr>
          <w:rFonts w:hint="default"/>
          <w:sz w:val="24"/>
          <w:szCs w:val="28"/>
        </w:rPr>
        <w:fldChar w:fldCharType="end"/>
      </w:r>
      <w:r>
        <w:rPr>
          <w:rFonts w:hint="default"/>
          <w:sz w:val="24"/>
          <w:szCs w:val="28"/>
        </w:rPr>
        <w:t>，北方新城，</w:t>
      </w:r>
      <w:r>
        <w:rPr>
          <w:rFonts w:hint="default"/>
          <w:sz w:val="24"/>
          <w:szCs w:val="28"/>
        </w:rPr>
        <w:fldChar w:fldCharType="begin"/>
      </w:r>
      <w:r>
        <w:rPr>
          <w:rFonts w:hint="default"/>
          <w:sz w:val="24"/>
          <w:szCs w:val="28"/>
        </w:rPr>
        <w:instrText xml:space="preserve"> HYPERLINK "https://baike.so.com/doc/5882303-6095181.html" \t "https://baike.so.com/doc/_blank" </w:instrText>
      </w:r>
      <w:r>
        <w:rPr>
          <w:rFonts w:hint="default"/>
          <w:sz w:val="24"/>
          <w:szCs w:val="28"/>
        </w:rPr>
        <w:fldChar w:fldCharType="separate"/>
      </w:r>
      <w:r>
        <w:rPr>
          <w:rFonts w:hint="default"/>
          <w:sz w:val="24"/>
          <w:szCs w:val="28"/>
        </w:rPr>
        <w:t>西部热土</w:t>
      </w:r>
      <w:r>
        <w:rPr>
          <w:rFonts w:hint="default"/>
          <w:sz w:val="24"/>
          <w:szCs w:val="28"/>
        </w:rPr>
        <w:fldChar w:fldCharType="end"/>
      </w:r>
      <w:r>
        <w:rPr>
          <w:rFonts w:hint="default"/>
          <w:sz w:val="24"/>
          <w:szCs w:val="28"/>
        </w:rPr>
        <w:t>”。</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8"/>
        </w:rPr>
      </w:pPr>
      <w:r>
        <w:rPr>
          <w:rFonts w:hint="default"/>
          <w:sz w:val="24"/>
          <w:szCs w:val="28"/>
        </w:rPr>
        <w:t>2009年初以来，全市以新农村新牧区建设统领“三农”工作，以特色、高效设施农牧业为发展方向，大力推进现代农牧业建设，实现了农牧业增产、农牧民增收的目标。</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default"/>
          <w:sz w:val="24"/>
          <w:szCs w:val="28"/>
        </w:rPr>
      </w:pPr>
      <w:r>
        <w:rPr>
          <w:rFonts w:hint="default"/>
          <w:sz w:val="24"/>
          <w:szCs w:val="28"/>
        </w:rPr>
        <w:t>全市农作物总播面积达到了916.5万亩，粮食产量达到49亿斤，同比增长14%。设施农业快速发展，全年新增设施农业面积达1.07万亩。农村土地规模化经营和草牧场流转面积分别达到77万亩和832万亩。牧业年度牲畜存栏达915万头（只），牲畜出栏率达95%，同比提高了7.4个百分点。农牧民来自养殖业的现金收入达2100元，同比增长了20%。村镇、农田、通道绿化力度进一步加大，全年完成造林绿化152万亩。全面落实了各项惠农政策，农牧民人均受益371元，较2008年增加了55元。</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default"/>
          <w:sz w:val="24"/>
          <w:szCs w:val="28"/>
        </w:rPr>
      </w:pPr>
      <w:r>
        <w:rPr>
          <w:rFonts w:hint="default"/>
          <w:sz w:val="24"/>
          <w:szCs w:val="28"/>
        </w:rPr>
        <w:t>中低产田改造、河套灌区续建配套与节水改造等重点项目顺利实施，新增沼气入户2.8万户，新解决了19万人的安全饮水问题，建设通乡通村油路1200公里，有效地改善了农牧民生产、生活条件。</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default"/>
          <w:sz w:val="24"/>
          <w:szCs w:val="28"/>
        </w:rPr>
      </w:pPr>
      <w:r>
        <w:rPr>
          <w:rFonts w:hint="default"/>
          <w:sz w:val="24"/>
          <w:szCs w:val="28"/>
        </w:rPr>
        <w:t>2003年，凭借“河套平原”这一天下闻名的品牌，巴彦淖尔先后引进了蒙牛、伊利、小肥羊等畜产品加工企业、中粮屯河、新疆中基、山东鲁花、安徽真心、浙江娃哈哈、重庆飞亚等国内知名农产品深加工龙头企业，以及国外知名企业集团意大利大</w:t>
      </w:r>
      <w:r>
        <w:rPr>
          <w:rFonts w:hint="default"/>
          <w:sz w:val="24"/>
          <w:szCs w:val="28"/>
        </w:rPr>
        <w:fldChar w:fldCharType="begin"/>
      </w:r>
      <w:r>
        <w:rPr>
          <w:rFonts w:hint="default"/>
          <w:sz w:val="24"/>
          <w:szCs w:val="28"/>
        </w:rPr>
        <w:instrText xml:space="preserve"> HYPERLINK "https://baike.so.com/doc/1204643-1274412.html" \t "https://baike.so.com/doc/_blank" </w:instrText>
      </w:r>
      <w:r>
        <w:rPr>
          <w:rFonts w:hint="default"/>
          <w:sz w:val="24"/>
          <w:szCs w:val="28"/>
        </w:rPr>
        <w:fldChar w:fldCharType="separate"/>
      </w:r>
      <w:r>
        <w:rPr>
          <w:rFonts w:hint="default"/>
          <w:sz w:val="24"/>
          <w:szCs w:val="28"/>
        </w:rPr>
        <w:t>罗素</w:t>
      </w:r>
      <w:r>
        <w:rPr>
          <w:rFonts w:hint="default"/>
          <w:sz w:val="24"/>
          <w:szCs w:val="28"/>
        </w:rPr>
        <w:fldChar w:fldCharType="end"/>
      </w:r>
      <w:r>
        <w:rPr>
          <w:rFonts w:hint="default"/>
          <w:sz w:val="24"/>
          <w:szCs w:val="28"/>
        </w:rPr>
        <w:t>公司、西班牙</w:t>
      </w:r>
      <w:r>
        <w:rPr>
          <w:rFonts w:hint="default"/>
          <w:sz w:val="24"/>
          <w:szCs w:val="28"/>
        </w:rPr>
        <w:fldChar w:fldCharType="begin"/>
      </w:r>
      <w:r>
        <w:rPr>
          <w:rFonts w:hint="default"/>
          <w:sz w:val="24"/>
          <w:szCs w:val="28"/>
        </w:rPr>
        <w:instrText xml:space="preserve"> HYPERLINK "https://baike.so.com/doc/1801203-1904723.html" \t "https://baike.so.com/doc/_blank" </w:instrText>
      </w:r>
      <w:r>
        <w:rPr>
          <w:rFonts w:hint="default"/>
          <w:sz w:val="24"/>
          <w:szCs w:val="28"/>
        </w:rPr>
        <w:fldChar w:fldCharType="separate"/>
      </w:r>
      <w:r>
        <w:rPr>
          <w:rFonts w:hint="default"/>
          <w:sz w:val="24"/>
          <w:szCs w:val="28"/>
        </w:rPr>
        <w:t>安哥拉</w:t>
      </w:r>
      <w:r>
        <w:rPr>
          <w:rFonts w:hint="default"/>
          <w:sz w:val="24"/>
          <w:szCs w:val="28"/>
        </w:rPr>
        <w:fldChar w:fldCharType="end"/>
      </w:r>
      <w:r>
        <w:rPr>
          <w:rFonts w:hint="default"/>
          <w:sz w:val="24"/>
          <w:szCs w:val="28"/>
        </w:rPr>
        <w:t>斯公司、印尼APP纸业等，由此构筑起巴彦淖尔乳、肉、绒、粮油、蔬菜瓜果、饲草料、炒货、酿酒、林苇、药材等10大农畜产品深加工系列。</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eastAsia="宋体"/>
          <w:sz w:val="24"/>
          <w:szCs w:val="28"/>
          <w:lang w:eastAsia="zh-CN"/>
        </w:rPr>
      </w:pPr>
      <w:r>
        <w:rPr>
          <w:rFonts w:hint="default"/>
          <w:sz w:val="24"/>
          <w:szCs w:val="28"/>
        </w:rPr>
        <w:t>2006年，巴彦淖尔市农畜产品加工业实现产值110.4亿元，全市百万元以上农畜产品加工企业达到260户，销售收入超亿元的企业达到22户，超5亿元的2户。2007年全市农畜产品加工业实现产值151.6亿元，占到全市工业总产值的45%。优质农畜产品年出口总额近3亿美元，居自治区第一位。以绿色、特色为标志的巴彦淖尔市农畜产品加工业已经当之无愧地成为巴彦淖尔市工业经济的主力军。</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8"/>
        </w:rPr>
      </w:pPr>
      <w:r>
        <w:rPr>
          <w:rFonts w:hint="eastAsia"/>
          <w:sz w:val="24"/>
          <w:szCs w:val="28"/>
        </w:rPr>
        <w:t>估价对象位于</w:t>
      </w:r>
      <w:r>
        <w:rPr>
          <w:rFonts w:hint="eastAsia" w:ascii="宋体" w:hAnsi="宋体"/>
          <w:sz w:val="24"/>
          <w:szCs w:val="24"/>
          <w:lang w:eastAsia="zh-CN"/>
        </w:rPr>
        <w:t>巴彦淖尔市磴口县嘉德学府</w:t>
      </w:r>
      <w:r>
        <w:rPr>
          <w:rFonts w:hint="eastAsia" w:ascii="宋体" w:hAnsi="宋体"/>
          <w:sz w:val="24"/>
          <w:szCs w:val="24"/>
          <w:lang w:val="en-US" w:eastAsia="zh-CN"/>
        </w:rPr>
        <w:t>7</w:t>
      </w:r>
      <w:r>
        <w:rPr>
          <w:rFonts w:hint="eastAsia" w:ascii="宋体" w:hAnsi="宋体"/>
          <w:sz w:val="24"/>
          <w:szCs w:val="24"/>
          <w:lang w:eastAsia="zh-CN"/>
        </w:rPr>
        <w:t>号楼</w:t>
      </w:r>
      <w:r>
        <w:rPr>
          <w:rFonts w:hint="eastAsia"/>
          <w:sz w:val="24"/>
          <w:szCs w:val="28"/>
        </w:rPr>
        <w:t>，附近有</w:t>
      </w:r>
      <w:r>
        <w:rPr>
          <w:rFonts w:hint="eastAsia"/>
          <w:sz w:val="24"/>
          <w:szCs w:val="28"/>
          <w:lang w:eastAsia="zh-CN"/>
        </w:rPr>
        <w:t>磴口县第二完全小学</w:t>
      </w:r>
      <w:r>
        <w:rPr>
          <w:rFonts w:hint="eastAsia"/>
          <w:sz w:val="24"/>
          <w:szCs w:val="28"/>
        </w:rPr>
        <w:t>、</w:t>
      </w:r>
      <w:r>
        <w:rPr>
          <w:rFonts w:hint="eastAsia"/>
          <w:sz w:val="24"/>
          <w:szCs w:val="28"/>
          <w:lang w:eastAsia="zh-CN"/>
        </w:rPr>
        <w:t>巴彦高勒镇仁德小学</w:t>
      </w:r>
      <w:r>
        <w:rPr>
          <w:rFonts w:hint="eastAsia"/>
          <w:sz w:val="24"/>
          <w:szCs w:val="28"/>
        </w:rPr>
        <w:t>、</w:t>
      </w:r>
      <w:r>
        <w:rPr>
          <w:rFonts w:hint="eastAsia"/>
          <w:sz w:val="24"/>
          <w:szCs w:val="28"/>
          <w:lang w:eastAsia="zh-CN"/>
        </w:rPr>
        <w:t>磴口博物馆</w:t>
      </w:r>
      <w:r>
        <w:rPr>
          <w:rFonts w:hint="eastAsia"/>
          <w:sz w:val="24"/>
          <w:szCs w:val="28"/>
        </w:rPr>
        <w:t>等，</w:t>
      </w:r>
      <w:r>
        <w:rPr>
          <w:rFonts w:hint="eastAsia" w:ascii="宋体" w:hAnsi="宋体"/>
          <w:sz w:val="24"/>
          <w:szCs w:val="28"/>
        </w:rPr>
        <w:t>有公交车及</w:t>
      </w:r>
      <w:r>
        <w:rPr>
          <w:rFonts w:hint="eastAsia"/>
          <w:sz w:val="24"/>
          <w:szCs w:val="28"/>
        </w:rPr>
        <w:t>营运班车从其附近通过，交通便利，城市基础设施、公用配套设施完备，区域环境良好。</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8"/>
        </w:rPr>
      </w:pPr>
      <w:r>
        <w:rPr>
          <w:rFonts w:hint="eastAsia" w:ascii="宋体" w:hAnsi="宋体"/>
          <w:sz w:val="24"/>
          <w:szCs w:val="28"/>
        </w:rPr>
        <w:t>2、实物状况</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8"/>
        </w:rPr>
      </w:pPr>
      <w:r>
        <w:rPr>
          <w:rFonts w:hint="eastAsia"/>
          <w:sz w:val="24"/>
          <w:szCs w:val="28"/>
        </w:rPr>
        <w:t>估价对象</w:t>
      </w:r>
      <w:r>
        <w:rPr>
          <w:rFonts w:hint="eastAsia" w:ascii="宋体" w:hAnsi="宋体" w:cs="宋体"/>
          <w:kern w:val="0"/>
          <w:sz w:val="24"/>
          <w:szCs w:val="24"/>
        </w:rPr>
        <w:t>为</w:t>
      </w:r>
      <w:r>
        <w:rPr>
          <w:rFonts w:hint="eastAsia" w:ascii="宋体" w:hAnsi="宋体"/>
          <w:bCs/>
          <w:sz w:val="24"/>
          <w:szCs w:val="24"/>
          <w:lang w:eastAsia="zh-CN"/>
        </w:rPr>
        <w:t>框架</w:t>
      </w:r>
      <w:r>
        <w:rPr>
          <w:rFonts w:hint="eastAsia" w:ascii="宋体" w:hAnsi="宋体"/>
          <w:bCs/>
          <w:sz w:val="24"/>
          <w:szCs w:val="24"/>
        </w:rPr>
        <w:t>结构，</w:t>
      </w:r>
      <w:r>
        <w:rPr>
          <w:rFonts w:hint="eastAsia" w:ascii="宋体" w:hAnsi="宋体"/>
          <w:bCs/>
          <w:sz w:val="24"/>
          <w:szCs w:val="24"/>
          <w:lang w:eastAsia="zh-CN"/>
        </w:rPr>
        <w:t>住宅用途</w:t>
      </w:r>
      <w:r>
        <w:rPr>
          <w:rFonts w:hint="eastAsia" w:ascii="宋体" w:hAnsi="宋体"/>
          <w:bCs/>
          <w:sz w:val="24"/>
          <w:szCs w:val="24"/>
        </w:rPr>
        <w:t>，</w:t>
      </w:r>
      <w:r>
        <w:rPr>
          <w:rFonts w:hint="eastAsia" w:ascii="宋体" w:hAnsi="宋体" w:cs="宋体-18030"/>
          <w:sz w:val="24"/>
          <w:szCs w:val="24"/>
        </w:rPr>
        <w:t>房屋总层数为</w:t>
      </w:r>
      <w:r>
        <w:rPr>
          <w:rFonts w:hint="eastAsia" w:ascii="宋体" w:hAnsi="宋体" w:cs="宋体-18030"/>
          <w:sz w:val="24"/>
          <w:szCs w:val="24"/>
          <w:lang w:val="en-US" w:eastAsia="zh-CN"/>
        </w:rPr>
        <w:t>18</w:t>
      </w:r>
      <w:r>
        <w:rPr>
          <w:rFonts w:hint="eastAsia" w:ascii="宋体" w:hAnsi="宋体" w:cs="宋体-18030"/>
          <w:sz w:val="24"/>
          <w:szCs w:val="24"/>
        </w:rPr>
        <w:t>层</w:t>
      </w:r>
      <w:r>
        <w:rPr>
          <w:rFonts w:hint="eastAsia" w:ascii="宋体" w:hAnsi="宋体"/>
          <w:sz w:val="24"/>
          <w:szCs w:val="28"/>
        </w:rPr>
        <w:t>，估价对象所在层数为第</w:t>
      </w:r>
      <w:r>
        <w:rPr>
          <w:rFonts w:hint="eastAsia" w:ascii="宋体" w:hAnsi="宋体"/>
          <w:sz w:val="24"/>
          <w:szCs w:val="28"/>
          <w:lang w:val="en-US" w:eastAsia="zh-CN"/>
        </w:rPr>
        <w:t>1</w:t>
      </w:r>
      <w:r>
        <w:rPr>
          <w:rFonts w:hint="eastAsia" w:ascii="宋体" w:hAnsi="宋体"/>
          <w:sz w:val="24"/>
          <w:szCs w:val="28"/>
        </w:rPr>
        <w:t>层，其装饰外墙</w:t>
      </w:r>
      <w:r>
        <w:rPr>
          <w:rFonts w:hint="eastAsia"/>
          <w:sz w:val="24"/>
          <w:szCs w:val="28"/>
          <w:lang w:eastAsia="zh-CN"/>
        </w:rPr>
        <w:t>，室内毛坯房；</w:t>
      </w:r>
      <w:r>
        <w:rPr>
          <w:rFonts w:hint="eastAsia" w:ascii="宋体" w:hAnsi="宋体"/>
          <w:sz w:val="24"/>
          <w:szCs w:val="28"/>
        </w:rPr>
        <w:t>水、电</w:t>
      </w:r>
      <w:r>
        <w:rPr>
          <w:rFonts w:hint="eastAsia" w:ascii="宋体" w:hAnsi="宋体"/>
          <w:sz w:val="24"/>
          <w:szCs w:val="28"/>
          <w:lang w:eastAsia="zh-CN"/>
        </w:rPr>
        <w:t>、暖</w:t>
      </w:r>
      <w:r>
        <w:rPr>
          <w:rFonts w:hint="eastAsia" w:ascii="宋体" w:hAnsi="宋体"/>
          <w:sz w:val="24"/>
          <w:szCs w:val="28"/>
        </w:rPr>
        <w:t>等设施齐</w:t>
      </w:r>
      <w:r>
        <w:rPr>
          <w:rFonts w:hint="eastAsia"/>
          <w:sz w:val="24"/>
          <w:szCs w:val="28"/>
        </w:rPr>
        <w:t>全，经向委托人了解及估价人员调查，得知估价对象于</w:t>
      </w:r>
      <w:r>
        <w:rPr>
          <w:rFonts w:hint="eastAsia"/>
          <w:sz w:val="24"/>
          <w:szCs w:val="28"/>
          <w:lang w:val="en-US" w:eastAsia="zh-CN"/>
        </w:rPr>
        <w:t>2017</w:t>
      </w:r>
      <w:r>
        <w:rPr>
          <w:rFonts w:hint="eastAsia"/>
          <w:sz w:val="24"/>
          <w:szCs w:val="28"/>
        </w:rPr>
        <w:t>年建成。</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ascii="宋体" w:hAnsi="宋体"/>
          <w:sz w:val="24"/>
          <w:szCs w:val="28"/>
        </w:rPr>
      </w:pPr>
      <w:r>
        <w:rPr>
          <w:rFonts w:hint="eastAsia" w:ascii="宋体" w:hAnsi="宋体"/>
          <w:sz w:val="24"/>
          <w:szCs w:val="28"/>
        </w:rPr>
        <w:t>3、权益状况</w:t>
      </w:r>
    </w:p>
    <w:p>
      <w:pPr>
        <w:keepNext w:val="0"/>
        <w:keepLines w:val="0"/>
        <w:pageBreakBefore w:val="0"/>
        <w:kinsoku/>
        <w:wordWrap/>
        <w:overflowPunct/>
        <w:topLinePunct w:val="0"/>
        <w:bidi w:val="0"/>
        <w:adjustRightInd/>
        <w:snapToGrid/>
        <w:spacing w:line="660" w:lineRule="exact"/>
        <w:ind w:firstLine="482" w:firstLineChars="200"/>
        <w:textAlignment w:val="auto"/>
        <w:outlineLvl w:val="9"/>
        <w:rPr>
          <w:rFonts w:hint="eastAsia"/>
          <w:sz w:val="24"/>
          <w:szCs w:val="28"/>
        </w:rPr>
      </w:pPr>
      <w:r>
        <w:rPr>
          <w:rFonts w:hint="eastAsia" w:ascii="宋体" w:hAnsi="宋体"/>
          <w:sz w:val="24"/>
          <w:szCs w:val="28"/>
          <w:lang w:eastAsia="zh-CN"/>
        </w:rPr>
        <w:t>委托人</w:t>
      </w:r>
      <w:r>
        <w:rPr>
          <w:rFonts w:hint="eastAsia" w:ascii="宋体" w:hAnsi="宋体"/>
          <w:sz w:val="24"/>
          <w:szCs w:val="28"/>
        </w:rPr>
        <w:t>提供了估价对象</w:t>
      </w:r>
      <w:r>
        <w:rPr>
          <w:rFonts w:hint="eastAsia" w:ascii="宋体" w:hAnsi="宋体"/>
          <w:sz w:val="24"/>
          <w:szCs w:val="28"/>
          <w:lang w:eastAsia="zh-CN"/>
        </w:rPr>
        <w:t>房屋信息说明</w:t>
      </w:r>
      <w:r>
        <w:rPr>
          <w:rFonts w:hint="eastAsia" w:ascii="宋体" w:hAnsi="宋体"/>
          <w:sz w:val="24"/>
          <w:szCs w:val="28"/>
        </w:rPr>
        <w:t>，</w:t>
      </w:r>
      <w:r>
        <w:rPr>
          <w:rFonts w:hint="eastAsia" w:ascii="宋体" w:hAnsi="宋体"/>
          <w:sz w:val="24"/>
          <w:szCs w:val="28"/>
          <w:lang w:eastAsia="zh-CN"/>
        </w:rPr>
        <w:t>产权人</w:t>
      </w:r>
      <w:r>
        <w:rPr>
          <w:rFonts w:hint="eastAsia" w:ascii="宋体" w:hAnsi="宋体"/>
          <w:sz w:val="24"/>
          <w:szCs w:val="28"/>
        </w:rPr>
        <w:t>：</w:t>
      </w:r>
      <w:r>
        <w:rPr>
          <w:rFonts w:hint="eastAsia" w:ascii="宋体" w:hAnsi="宋体"/>
          <w:sz w:val="24"/>
          <w:szCs w:val="28"/>
          <w:lang w:eastAsia="zh-CN"/>
        </w:rPr>
        <w:t>内蒙古嘉德房地产开发有限公司，</w:t>
      </w:r>
      <w:r>
        <w:rPr>
          <w:rFonts w:hint="eastAsia" w:ascii="宋体" w:hAnsi="宋体"/>
          <w:sz w:val="24"/>
          <w:szCs w:val="28"/>
        </w:rPr>
        <w:t>以上</w:t>
      </w:r>
      <w:r>
        <w:rPr>
          <w:rFonts w:hint="eastAsia" w:ascii="宋体" w:hAnsi="宋体"/>
          <w:sz w:val="24"/>
          <w:szCs w:val="24"/>
        </w:rPr>
        <w:t>估价对象现为</w:t>
      </w:r>
      <w:r>
        <w:rPr>
          <w:rFonts w:hint="eastAsia" w:ascii="宋体" w:hAnsi="宋体"/>
          <w:sz w:val="24"/>
          <w:szCs w:val="24"/>
          <w:lang w:eastAsia="zh-CN"/>
        </w:rPr>
        <w:t>住宅</w:t>
      </w:r>
      <w:r>
        <w:rPr>
          <w:rFonts w:hint="eastAsia" w:ascii="宋体" w:hAnsi="宋体"/>
          <w:sz w:val="24"/>
          <w:szCs w:val="24"/>
        </w:rPr>
        <w:t>用房，使用和维护状况良好</w:t>
      </w:r>
      <w:r>
        <w:rPr>
          <w:rFonts w:hint="eastAsia" w:ascii="宋体" w:hAnsi="宋体"/>
          <w:bCs/>
          <w:sz w:val="24"/>
          <w:szCs w:val="24"/>
          <w:shd w:val="clear" w:color="auto" w:fill="FFFFFF"/>
        </w:rPr>
        <w:t>。</w:t>
      </w:r>
    </w:p>
    <w:p>
      <w:pPr>
        <w:spacing w:after="100" w:afterAutospacing="1" w:line="600" w:lineRule="exact"/>
        <w:rPr>
          <w:rFonts w:hint="eastAsia" w:ascii="宋体" w:hAnsi="宋体"/>
          <w:b/>
          <w:sz w:val="24"/>
          <w:szCs w:val="24"/>
        </w:rPr>
      </w:pPr>
      <w:r>
        <w:rPr>
          <w:rFonts w:hint="eastAsia" w:ascii="宋体" w:hAnsi="宋体"/>
          <w:b/>
          <w:bCs/>
          <w:sz w:val="24"/>
          <w:szCs w:val="24"/>
        </w:rPr>
        <w:t>二、</w:t>
      </w:r>
      <w:r>
        <w:rPr>
          <w:rFonts w:hint="eastAsia" w:ascii="宋体" w:hAnsi="宋体"/>
          <w:b/>
          <w:sz w:val="24"/>
          <w:szCs w:val="24"/>
        </w:rPr>
        <w:t>市场背景描述与分析</w:t>
      </w:r>
    </w:p>
    <w:p>
      <w:pPr>
        <w:spacing w:after="100" w:afterAutospacing="1" w:line="600" w:lineRule="exact"/>
        <w:rPr>
          <w:rFonts w:hint="eastAsia" w:ascii="宋体" w:hAnsi="宋体"/>
          <w:sz w:val="24"/>
          <w:szCs w:val="28"/>
        </w:rPr>
      </w:pPr>
      <w:r>
        <w:rPr>
          <w:rFonts w:hint="eastAsia" w:ascii="宋体" w:hAnsi="宋体"/>
          <w:b/>
          <w:sz w:val="24"/>
          <w:szCs w:val="24"/>
        </w:rPr>
        <w:t xml:space="preserve">    </w:t>
      </w:r>
      <w:r>
        <w:rPr>
          <w:rFonts w:hint="eastAsia" w:ascii="宋体" w:hAnsi="宋体"/>
          <w:sz w:val="24"/>
          <w:szCs w:val="28"/>
        </w:rPr>
        <w:t>2016年,楼市一改往日高歌猛进的姿态,</w:t>
      </w:r>
      <w:r>
        <w:rPr>
          <w:rFonts w:hint="eastAsia" w:ascii="宋体" w:hAnsi="宋体"/>
          <w:sz w:val="24"/>
          <w:szCs w:val="28"/>
        </w:rPr>
        <w:fldChar w:fldCharType="begin"/>
      </w:r>
      <w:r>
        <w:rPr>
          <w:rFonts w:hint="eastAsia" w:ascii="宋体" w:hAnsi="宋体"/>
          <w:sz w:val="24"/>
          <w:szCs w:val="28"/>
        </w:rPr>
        <w:instrText xml:space="preserve"> HYPERLINK "http://www.askci.com/reports/index1194.html" \t "_blank" </w:instrText>
      </w:r>
      <w:r>
        <w:rPr>
          <w:rFonts w:hint="eastAsia" w:ascii="宋体" w:hAnsi="宋体"/>
          <w:sz w:val="24"/>
          <w:szCs w:val="28"/>
        </w:rPr>
        <w:fldChar w:fldCharType="separate"/>
      </w:r>
      <w:r>
        <w:rPr>
          <w:rFonts w:hint="eastAsia" w:ascii="宋体" w:hAnsi="宋体"/>
          <w:sz w:val="24"/>
          <w:szCs w:val="28"/>
        </w:rPr>
        <w:t>投资</w:t>
      </w:r>
      <w:r>
        <w:rPr>
          <w:rFonts w:hint="eastAsia" w:ascii="宋体" w:hAnsi="宋体"/>
          <w:sz w:val="24"/>
          <w:szCs w:val="28"/>
        </w:rPr>
        <w:fldChar w:fldCharType="end"/>
      </w:r>
      <w:r>
        <w:rPr>
          <w:rFonts w:hint="eastAsia" w:ascii="宋体" w:hAnsi="宋体"/>
          <w:sz w:val="24"/>
          <w:szCs w:val="28"/>
        </w:rPr>
        <w:t>增速放缓、库存居高不下、房价持续回落,市场分化明显。与此同时,“去行政化”调控</w:t>
      </w:r>
      <w:r>
        <w:rPr>
          <w:rFonts w:hint="eastAsia" w:ascii="宋体" w:hAnsi="宋体"/>
          <w:sz w:val="24"/>
          <w:szCs w:val="28"/>
        </w:rPr>
        <w:fldChar w:fldCharType="begin"/>
      </w:r>
      <w:r>
        <w:rPr>
          <w:rFonts w:hint="eastAsia" w:ascii="宋体" w:hAnsi="宋体"/>
          <w:sz w:val="24"/>
          <w:szCs w:val="28"/>
        </w:rPr>
        <w:instrText xml:space="preserve"> HYPERLINK "http://www.askci.com/reports/" \t "_blank" </w:instrText>
      </w:r>
      <w:r>
        <w:rPr>
          <w:rFonts w:hint="eastAsia" w:ascii="宋体" w:hAnsi="宋体"/>
          <w:sz w:val="24"/>
          <w:szCs w:val="28"/>
        </w:rPr>
        <w:fldChar w:fldCharType="separate"/>
      </w:r>
      <w:r>
        <w:rPr>
          <w:rFonts w:hint="eastAsia" w:ascii="宋体" w:hAnsi="宋体"/>
          <w:sz w:val="24"/>
          <w:szCs w:val="28"/>
        </w:rPr>
        <w:t>趋势</w:t>
      </w:r>
      <w:r>
        <w:rPr>
          <w:rFonts w:hint="eastAsia" w:ascii="宋体" w:hAnsi="宋体"/>
          <w:sz w:val="24"/>
          <w:szCs w:val="28"/>
        </w:rPr>
        <w:fldChar w:fldCharType="end"/>
      </w:r>
      <w:r>
        <w:rPr>
          <w:rFonts w:hint="eastAsia" w:ascii="宋体" w:hAnsi="宋体"/>
          <w:sz w:val="24"/>
          <w:szCs w:val="28"/>
        </w:rPr>
        <w:t>日益明朗。</w:t>
      </w:r>
    </w:p>
    <w:p>
      <w:pPr>
        <w:spacing w:line="600" w:lineRule="exact"/>
        <w:ind w:firstLine="482" w:firstLineChars="200"/>
        <w:rPr>
          <w:rFonts w:hint="eastAsia" w:ascii="宋体" w:hAnsi="宋体"/>
          <w:sz w:val="24"/>
          <w:szCs w:val="24"/>
        </w:rPr>
      </w:pPr>
      <w:r>
        <w:rPr>
          <w:rFonts w:hint="eastAsia" w:ascii="宋体" w:hAnsi="宋体"/>
          <w:sz w:val="24"/>
          <w:szCs w:val="24"/>
        </w:rPr>
        <w:t>2016年,楼市变化速度,显然超出市场预期。国家统计局公布的70个大中城市房价数据,可谓一个直观的观察窗口。一季度,70个大中城市,有一半还处于环比温和上涨,然而从5月份开始,房价环比下降的城市个数持续增加,5月35个、6月55个、7月64个、8月68个、9月、10月均为69个。</w:t>
      </w:r>
    </w:p>
    <w:p>
      <w:pPr>
        <w:spacing w:line="600" w:lineRule="exact"/>
        <w:ind w:firstLine="361" w:firstLineChars="150"/>
        <w:rPr>
          <w:rFonts w:hint="eastAsia" w:ascii="宋体" w:hAnsi="宋体"/>
          <w:sz w:val="24"/>
          <w:szCs w:val="24"/>
        </w:rPr>
      </w:pPr>
      <w:r>
        <w:rPr>
          <w:rFonts w:hint="eastAsia" w:ascii="宋体" w:hAnsi="宋体"/>
          <w:sz w:val="24"/>
          <w:szCs w:val="24"/>
        </w:rPr>
        <w:t xml:space="preserve"> 不仅新建商品房如此,二手房价格环比下降的城市也持续增加,特别是到9月份,70个大中城市的二手房价全部呈环比下降态势。房价的变化,直接影响购房者的心理。一系列</w:t>
      </w:r>
      <w:r>
        <w:rPr>
          <w:rFonts w:ascii="宋体" w:hAnsi="宋体"/>
          <w:sz w:val="24"/>
          <w:szCs w:val="24"/>
        </w:rPr>
        <w:fldChar w:fldCharType="begin"/>
      </w:r>
      <w:r>
        <w:rPr>
          <w:rFonts w:ascii="宋体" w:hAnsi="宋体"/>
          <w:sz w:val="24"/>
          <w:szCs w:val="24"/>
        </w:rPr>
        <w:instrText xml:space="preserve"> HYPERLINK "http://www.askci.com/reports/index172.html" \t "_blank" </w:instrText>
      </w:r>
      <w:r>
        <w:rPr>
          <w:rFonts w:ascii="宋体" w:hAnsi="宋体"/>
          <w:sz w:val="24"/>
          <w:szCs w:val="24"/>
        </w:rPr>
        <w:fldChar w:fldCharType="separate"/>
      </w:r>
      <w:r>
        <w:rPr>
          <w:rStyle w:val="9"/>
          <w:rFonts w:hint="eastAsia" w:ascii="宋体" w:hAnsi="宋体"/>
          <w:color w:val="auto"/>
          <w:sz w:val="24"/>
          <w:szCs w:val="24"/>
          <w:u w:val="none"/>
        </w:rPr>
        <w:t>房地产</w:t>
      </w:r>
      <w:r>
        <w:rPr>
          <w:rFonts w:ascii="宋体" w:hAnsi="宋体"/>
          <w:sz w:val="24"/>
          <w:szCs w:val="24"/>
        </w:rPr>
        <w:fldChar w:fldCharType="end"/>
      </w:r>
      <w:r>
        <w:rPr>
          <w:rFonts w:hint="eastAsia" w:ascii="宋体" w:hAnsi="宋体"/>
          <w:sz w:val="24"/>
          <w:szCs w:val="24"/>
        </w:rPr>
        <w:t>市场的数据也在持续走低。开发投资增速放慢,1至10月份比1至9月份回落0.1个百分点。房屋新开工面积下降5.5%,作为传统销售旺季的“金九银十”风光不再;库存居高不下,10月末,商品房待售面积比9月末增加1091万平方米。面对楼市种种变化,不少业内人士感慨,中国房地产行业轻松赚钱的“黄金时代”已经结束。</w:t>
      </w:r>
    </w:p>
    <w:p>
      <w:pPr>
        <w:spacing w:line="600" w:lineRule="exact"/>
        <w:ind w:firstLine="361" w:firstLineChars="150"/>
        <w:rPr>
          <w:rFonts w:hint="eastAsia" w:ascii="宋体" w:hAnsi="宋体"/>
          <w:sz w:val="24"/>
          <w:szCs w:val="24"/>
        </w:rPr>
      </w:pPr>
      <w:r>
        <w:rPr>
          <w:rFonts w:hint="eastAsia" w:ascii="宋体" w:hAnsi="宋体"/>
          <w:sz w:val="24"/>
          <w:szCs w:val="24"/>
        </w:rPr>
        <w:t xml:space="preserve"> 国务院发展研究中心市场经济研究所副研究员邵挺表示,中国房地产市场和中国经济一样,都已经进入了一个新阶段,即“供需总量基本平衡、区域结构差异扩大”。</w:t>
      </w:r>
    </w:p>
    <w:p>
      <w:pPr>
        <w:spacing w:line="600" w:lineRule="exact"/>
        <w:ind w:firstLine="361" w:firstLineChars="150"/>
        <w:rPr>
          <w:rFonts w:hint="eastAsia" w:ascii="宋体" w:hAnsi="宋体"/>
          <w:sz w:val="24"/>
          <w:szCs w:val="24"/>
        </w:rPr>
      </w:pPr>
      <w:r>
        <w:rPr>
          <w:rFonts w:hint="eastAsia" w:ascii="宋体" w:hAnsi="宋体"/>
          <w:sz w:val="24"/>
          <w:szCs w:val="24"/>
        </w:rPr>
        <w:t xml:space="preserve"> 从“政策很复杂,市场很简单”到“政策很简单,市场很复杂”,2016年,楼市与“行政化”调控方式渐行渐远。一个具有代表性的现象就是,行政色彩浓郁的限购政策逐步退出部分城市。限购的保留与取消,被业内人士视为对2016年政府工作</w:t>
      </w:r>
      <w:r>
        <w:rPr>
          <w:rFonts w:ascii="宋体" w:hAnsi="宋体"/>
          <w:sz w:val="24"/>
          <w:szCs w:val="24"/>
        </w:rPr>
        <w:fldChar w:fldCharType="begin"/>
      </w:r>
      <w:r>
        <w:rPr>
          <w:rFonts w:ascii="宋体" w:hAnsi="宋体"/>
          <w:sz w:val="24"/>
          <w:szCs w:val="24"/>
        </w:rPr>
        <w:instrText xml:space="preserve"> HYPERLINK "http://www.askci.com/reports/index190.html" \t "_blank" </w:instrText>
      </w:r>
      <w:r>
        <w:rPr>
          <w:rFonts w:ascii="宋体" w:hAnsi="宋体"/>
          <w:sz w:val="24"/>
          <w:szCs w:val="24"/>
        </w:rPr>
        <w:fldChar w:fldCharType="separate"/>
      </w:r>
      <w:r>
        <w:rPr>
          <w:rStyle w:val="9"/>
          <w:rFonts w:hint="eastAsia" w:ascii="宋体" w:hAnsi="宋体"/>
          <w:color w:val="auto"/>
          <w:sz w:val="24"/>
          <w:szCs w:val="24"/>
          <w:u w:val="none"/>
        </w:rPr>
        <w:t>报告</w:t>
      </w:r>
      <w:r>
        <w:rPr>
          <w:rFonts w:ascii="宋体" w:hAnsi="宋体"/>
          <w:sz w:val="24"/>
          <w:szCs w:val="24"/>
        </w:rPr>
        <w:fldChar w:fldCharType="end"/>
      </w:r>
      <w:r>
        <w:rPr>
          <w:rFonts w:hint="eastAsia" w:ascii="宋体" w:hAnsi="宋体"/>
          <w:sz w:val="24"/>
          <w:szCs w:val="24"/>
        </w:rPr>
        <w:t>提出的“分类调控”的落实。</w:t>
      </w:r>
    </w:p>
    <w:p>
      <w:pPr>
        <w:spacing w:line="600" w:lineRule="exact"/>
        <w:ind w:firstLine="361" w:firstLineChars="150"/>
        <w:rPr>
          <w:rFonts w:hint="eastAsia" w:ascii="宋体" w:hAnsi="宋体"/>
          <w:sz w:val="24"/>
          <w:szCs w:val="24"/>
        </w:rPr>
      </w:pPr>
      <w:r>
        <w:rPr>
          <w:rFonts w:hint="eastAsia" w:ascii="宋体" w:hAnsi="宋体"/>
          <w:sz w:val="24"/>
          <w:szCs w:val="24"/>
        </w:rPr>
        <w:t>住房城乡建设部新闻发言人倪虹明确表示:“用市场的手段调控市场的问题,这将是下一步调控的主要方向和手段。”部分受访专家表示,经济“新常态”要求中高速增长,这对于房地产而言是利好,可以让市场慢慢去调节自己。</w:t>
      </w:r>
    </w:p>
    <w:p>
      <w:pPr>
        <w:spacing w:line="600" w:lineRule="exact"/>
        <w:ind w:firstLine="361" w:firstLineChars="150"/>
        <w:rPr>
          <w:rFonts w:hint="eastAsia" w:ascii="宋体" w:hAnsi="宋体"/>
          <w:sz w:val="24"/>
          <w:szCs w:val="24"/>
        </w:rPr>
      </w:pPr>
      <w:r>
        <w:rPr>
          <w:rFonts w:hint="eastAsia" w:ascii="宋体" w:hAnsi="宋体"/>
          <w:sz w:val="24"/>
          <w:szCs w:val="24"/>
        </w:rPr>
        <w:t>对于步入新常态的房地产市场,不做过度反应,并不意味着政府不作为。特别是在当前宏观经济面临下行挑战的背景下,在坚持抑制投资投机性需求外,更要注重满足居民的合理住房需求。</w:t>
      </w:r>
    </w:p>
    <w:p>
      <w:pPr>
        <w:spacing w:line="600" w:lineRule="exact"/>
        <w:ind w:firstLine="361" w:firstLineChars="150"/>
        <w:rPr>
          <w:rFonts w:hint="eastAsia" w:ascii="宋体" w:hAnsi="宋体"/>
          <w:sz w:val="24"/>
          <w:szCs w:val="24"/>
        </w:rPr>
      </w:pPr>
      <w:r>
        <w:rPr>
          <w:rFonts w:hint="eastAsia" w:ascii="宋体" w:hAnsi="宋体"/>
          <w:sz w:val="24"/>
          <w:szCs w:val="24"/>
        </w:rPr>
        <w:t>2016年下半年出台的一系列政策对此均有所体现。比如房贷新政策要求“对拥有1套住房并已结清相应购房贷款的家庭,为改善居住条件再次申请贷款购买普通商品住房,执行首套房贷款政策。”住房公积金新规定中要求推进异地贷款业务,公积金贷款对象扩大至第二套改善型自住住房。</w:t>
      </w:r>
    </w:p>
    <w:p>
      <w:pPr>
        <w:spacing w:line="600" w:lineRule="exact"/>
        <w:ind w:firstLine="361" w:firstLineChars="150"/>
        <w:rPr>
          <w:rFonts w:hint="eastAsia" w:ascii="宋体" w:hAnsi="宋体"/>
          <w:sz w:val="24"/>
          <w:szCs w:val="24"/>
        </w:rPr>
      </w:pPr>
      <w:r>
        <w:rPr>
          <w:rFonts w:hint="eastAsia" w:ascii="宋体" w:hAnsi="宋体"/>
          <w:sz w:val="24"/>
          <w:szCs w:val="24"/>
        </w:rPr>
        <w:t>清华大学房地产研究所所长刘洪玉说:“在抑制住房投机需求的同时,支持和鼓励使用需求,就能保持房地</w:t>
      </w:r>
      <w:r>
        <w:rPr>
          <w:rFonts w:ascii="宋体" w:hAnsi="宋体"/>
          <w:sz w:val="24"/>
          <w:szCs w:val="24"/>
        </w:rPr>
        <w:fldChar w:fldCharType="begin"/>
      </w:r>
      <w:r>
        <w:rPr>
          <w:rFonts w:ascii="宋体" w:hAnsi="宋体"/>
          <w:sz w:val="24"/>
          <w:szCs w:val="24"/>
        </w:rPr>
        <w:instrText xml:space="preserve"> HYPERLINK "http://www.askci.com/reports/index199.html" \t "_blank" </w:instrText>
      </w:r>
      <w:r>
        <w:rPr>
          <w:rFonts w:ascii="宋体" w:hAnsi="宋体"/>
          <w:sz w:val="24"/>
          <w:szCs w:val="24"/>
        </w:rPr>
        <w:fldChar w:fldCharType="separate"/>
      </w:r>
      <w:r>
        <w:rPr>
          <w:rStyle w:val="9"/>
          <w:rFonts w:hint="eastAsia" w:ascii="宋体" w:hAnsi="宋体"/>
          <w:color w:val="auto"/>
          <w:sz w:val="24"/>
          <w:szCs w:val="24"/>
          <w:u w:val="none"/>
        </w:rPr>
        <w:t>产业</w:t>
      </w:r>
      <w:r>
        <w:rPr>
          <w:rFonts w:ascii="宋体" w:hAnsi="宋体"/>
          <w:sz w:val="24"/>
          <w:szCs w:val="24"/>
        </w:rPr>
        <w:fldChar w:fldCharType="end"/>
      </w:r>
      <w:r>
        <w:rPr>
          <w:rFonts w:hint="eastAsia" w:ascii="宋体" w:hAnsi="宋体"/>
          <w:sz w:val="24"/>
          <w:szCs w:val="24"/>
        </w:rPr>
        <w:t>的经济规模,对宏观经济稳定增长作出贡献。”</w:t>
      </w:r>
    </w:p>
    <w:p>
      <w:pPr>
        <w:spacing w:line="600" w:lineRule="exact"/>
        <w:rPr>
          <w:rFonts w:hint="eastAsia" w:ascii="宋体" w:hAnsi="宋体"/>
          <w:sz w:val="24"/>
          <w:szCs w:val="24"/>
        </w:rPr>
      </w:pPr>
      <w:r>
        <w:rPr>
          <w:rFonts w:hint="eastAsia" w:ascii="宋体" w:hAnsi="宋体"/>
          <w:sz w:val="24"/>
          <w:szCs w:val="24"/>
        </w:rPr>
        <w:t>专家还建议,在中国房地产市场告别高速增长的“黄金期”,房地产投资量、竣工量和新开工量等各项重要指标的峰值已经到来的情况下,尤其要注重房地产泡沫的抑制和防范。</w:t>
      </w:r>
    </w:p>
    <w:p>
      <w:pPr>
        <w:spacing w:line="600" w:lineRule="exact"/>
        <w:ind w:firstLine="361" w:firstLineChars="150"/>
        <w:rPr>
          <w:rFonts w:hint="eastAsia" w:ascii="宋体" w:hAnsi="宋体"/>
          <w:sz w:val="24"/>
          <w:szCs w:val="24"/>
        </w:rPr>
      </w:pPr>
      <w:r>
        <w:rPr>
          <w:rFonts w:hint="eastAsia" w:ascii="宋体" w:hAnsi="宋体"/>
          <w:sz w:val="24"/>
          <w:szCs w:val="24"/>
        </w:rPr>
        <w:t>从当前来看,银行房贷新政、央行降息等政策出台,犹如给房地产市场注入了“强心剂”,自去年10月份以来,冷清的楼市有了些许变化。10月份部分城市二手商业价格环比有所回升。北京、</w:t>
      </w:r>
      <w:r>
        <w:rPr>
          <w:rFonts w:ascii="宋体" w:hAnsi="宋体"/>
          <w:sz w:val="24"/>
          <w:szCs w:val="24"/>
        </w:rPr>
        <w:fldChar w:fldCharType="begin"/>
      </w:r>
      <w:r>
        <w:rPr>
          <w:rFonts w:ascii="宋体" w:hAnsi="宋体"/>
          <w:sz w:val="24"/>
          <w:szCs w:val="24"/>
        </w:rPr>
        <w:instrText xml:space="preserve"> HYPERLINK "http://www.askci.com/search/1/baogao/%E4%B8%8A%E6%B5%B7/" \t "_blank" </w:instrText>
      </w:r>
      <w:r>
        <w:rPr>
          <w:rFonts w:ascii="宋体" w:hAnsi="宋体"/>
          <w:sz w:val="24"/>
          <w:szCs w:val="24"/>
        </w:rPr>
        <w:fldChar w:fldCharType="separate"/>
      </w:r>
      <w:r>
        <w:rPr>
          <w:rStyle w:val="9"/>
          <w:rFonts w:hint="eastAsia" w:ascii="宋体" w:hAnsi="宋体"/>
          <w:color w:val="auto"/>
          <w:sz w:val="24"/>
          <w:szCs w:val="24"/>
          <w:u w:val="none"/>
        </w:rPr>
        <w:t>上海</w:t>
      </w:r>
      <w:r>
        <w:rPr>
          <w:rFonts w:ascii="宋体" w:hAnsi="宋体"/>
          <w:sz w:val="24"/>
          <w:szCs w:val="24"/>
        </w:rPr>
        <w:fldChar w:fldCharType="end"/>
      </w:r>
      <w:r>
        <w:rPr>
          <w:rFonts w:hint="eastAsia" w:ascii="宋体" w:hAnsi="宋体"/>
          <w:sz w:val="24"/>
          <w:szCs w:val="24"/>
        </w:rPr>
        <w:t>、广州、深圳4个一线城市二手商业价格环比均停止下跌。其中,北京二手商业价格环比上涨0.3%,上海、广州、深圳环比均持平。对于房价环比降幅收窄,国家统计局城市司高级统计师刘建伟认为,与各地房贷政策调整,房企为消化库存继续加大推盘力度,部分购房者选择入市这些因素有关。</w:t>
      </w:r>
    </w:p>
    <w:p>
      <w:pPr>
        <w:spacing w:line="600" w:lineRule="exact"/>
        <w:ind w:firstLine="361" w:firstLineChars="150"/>
        <w:rPr>
          <w:rFonts w:hint="eastAsia" w:ascii="宋体" w:hAnsi="宋体"/>
          <w:sz w:val="24"/>
          <w:szCs w:val="24"/>
        </w:rPr>
      </w:pPr>
      <w:r>
        <w:rPr>
          <w:rFonts w:hint="eastAsia" w:ascii="宋体" w:hAnsi="宋体"/>
          <w:sz w:val="24"/>
          <w:szCs w:val="24"/>
        </w:rPr>
        <w:t>楼市是否会全面回暖?部分受访专家给出的答案是否定的。他们认为,由于不少城市库存依然高企,加之土地消化周期过长,需求过度透支,房价调整尚未到位。因此,市场短期回暖不具可持续性。</w:t>
      </w:r>
    </w:p>
    <w:p>
      <w:pPr>
        <w:spacing w:line="600" w:lineRule="exact"/>
        <w:ind w:firstLine="361" w:firstLineChars="150"/>
        <w:rPr>
          <w:rFonts w:hint="eastAsia" w:ascii="宋体" w:hAnsi="宋体"/>
          <w:sz w:val="24"/>
          <w:szCs w:val="24"/>
        </w:rPr>
      </w:pPr>
      <w:r>
        <w:rPr>
          <w:rFonts w:hint="eastAsia" w:ascii="宋体" w:hAnsi="宋体"/>
          <w:sz w:val="24"/>
          <w:szCs w:val="24"/>
        </w:rPr>
        <w:t>中原地产首席分析师张大伟说:“一二线城市,楼市资金面将明显好转。三四线城市因为库存绝对值过高,这种情况下,即使信贷刺激,出现全面回暖的可能性也不大。”</w:t>
      </w:r>
    </w:p>
    <w:p>
      <w:pPr>
        <w:spacing w:line="600" w:lineRule="exact"/>
        <w:ind w:firstLine="361" w:firstLineChars="150"/>
        <w:rPr>
          <w:rFonts w:hint="eastAsia" w:ascii="宋体" w:hAnsi="宋体"/>
          <w:sz w:val="24"/>
          <w:szCs w:val="24"/>
        </w:rPr>
      </w:pPr>
      <w:r>
        <w:rPr>
          <w:rFonts w:hint="eastAsia" w:ascii="宋体" w:hAnsi="宋体"/>
          <w:sz w:val="24"/>
          <w:szCs w:val="24"/>
        </w:rPr>
        <w:t>此外,对于信贷政策对楼市的刺激作用,业内人士并不表示乐观。北京市房地产协会会长陈志认为,作为非对称降息,央行的此次政策会带来预期性的微刺激,但市场短期内尚未显示其影响,就预期而言,降息作用有限,未来楼市难言乐观。</w:t>
      </w:r>
    </w:p>
    <w:p>
      <w:pPr>
        <w:tabs>
          <w:tab w:val="left" w:pos="0"/>
        </w:tabs>
        <w:spacing w:line="600" w:lineRule="exact"/>
        <w:ind w:firstLine="482" w:firstLineChars="200"/>
        <w:rPr>
          <w:rFonts w:hint="eastAsia" w:ascii="宋体" w:hAnsi="宋体"/>
          <w:sz w:val="24"/>
          <w:szCs w:val="24"/>
        </w:rPr>
      </w:pPr>
      <w:r>
        <w:rPr>
          <w:rFonts w:hint="eastAsia" w:ascii="宋体" w:hAnsi="宋体"/>
          <w:sz w:val="24"/>
          <w:szCs w:val="24"/>
        </w:rPr>
        <w:t>就中长期而言,专家认为,从全国的房价收入比、户均住房套数、居民收入增速等指标观察,中国房地产市场仍具备实现平稳发展的条件。</w:t>
      </w:r>
    </w:p>
    <w:p>
      <w:pPr>
        <w:tabs>
          <w:tab w:val="left" w:pos="0"/>
        </w:tabs>
        <w:spacing w:line="600" w:lineRule="exact"/>
        <w:rPr>
          <w:rFonts w:hint="eastAsia" w:ascii="宋体" w:hAnsi="宋体"/>
          <w:b/>
          <w:bCs/>
          <w:sz w:val="24"/>
          <w:szCs w:val="24"/>
        </w:rPr>
      </w:pPr>
      <w:r>
        <w:rPr>
          <w:rFonts w:hint="eastAsia" w:ascii="宋体" w:hAnsi="宋体"/>
          <w:b/>
          <w:bCs/>
          <w:sz w:val="24"/>
          <w:szCs w:val="24"/>
        </w:rPr>
        <w:t>三、估价对象</w:t>
      </w:r>
      <w:r>
        <w:rPr>
          <w:rFonts w:hint="eastAsia" w:ascii="宋体" w:hAnsi="宋体"/>
          <w:b/>
          <w:sz w:val="24"/>
          <w:szCs w:val="24"/>
        </w:rPr>
        <w:t>最高最佳利用</w:t>
      </w:r>
      <w:r>
        <w:rPr>
          <w:rFonts w:hint="eastAsia" w:ascii="宋体" w:hAnsi="宋体"/>
          <w:b/>
          <w:bCs/>
          <w:sz w:val="24"/>
          <w:szCs w:val="24"/>
        </w:rPr>
        <w:t>分析</w:t>
      </w:r>
    </w:p>
    <w:p>
      <w:pPr>
        <w:tabs>
          <w:tab w:val="left" w:pos="0"/>
        </w:tabs>
        <w:spacing w:line="600" w:lineRule="exact"/>
        <w:ind w:firstLine="468"/>
        <w:rPr>
          <w:rFonts w:hint="eastAsia" w:ascii="宋体" w:hAnsi="宋体"/>
          <w:sz w:val="24"/>
          <w:szCs w:val="24"/>
        </w:rPr>
      </w:pPr>
      <w:r>
        <w:rPr>
          <w:rFonts w:hint="eastAsia" w:ascii="宋体" w:hAnsi="宋体"/>
          <w:sz w:val="24"/>
          <w:szCs w:val="24"/>
        </w:rPr>
        <w:t>房地产估价应当以估价对象的最高最佳使用为前提进行估价。最高最佳使用原则是指法律上允许、技术上可能、经济上可行，经充分合理论证，能使估价对象产生最高价格的使用，本估价对象地处产业较为聚集的区域，本报告中的使用功能为最高最佳使用。</w:t>
      </w:r>
    </w:p>
    <w:p>
      <w:pPr>
        <w:spacing w:line="600" w:lineRule="exact"/>
        <w:rPr>
          <w:rFonts w:hint="eastAsia" w:ascii="宋体" w:hAnsi="宋体"/>
          <w:b/>
          <w:bCs/>
          <w:sz w:val="24"/>
          <w:szCs w:val="24"/>
        </w:rPr>
      </w:pPr>
      <w:r>
        <w:rPr>
          <w:rFonts w:hint="eastAsia" w:ascii="宋体" w:hAnsi="宋体"/>
          <w:b/>
          <w:bCs/>
          <w:sz w:val="24"/>
          <w:szCs w:val="24"/>
        </w:rPr>
        <w:t>四、估价方法适用性分析</w:t>
      </w:r>
    </w:p>
    <w:p>
      <w:pPr>
        <w:spacing w:line="600" w:lineRule="exact"/>
        <w:ind w:firstLine="482" w:firstLineChars="200"/>
        <w:rPr>
          <w:rFonts w:hint="eastAsia"/>
        </w:rPr>
      </w:pPr>
      <w:r>
        <w:rPr>
          <w:rFonts w:hint="eastAsia" w:ascii="宋体" w:hAnsi="宋体"/>
          <w:sz w:val="24"/>
          <w:szCs w:val="24"/>
        </w:rPr>
        <w:t>合理公正的估价必须遵循一定的估价原则和适当的估价程序，科学的使用估价方法。估价方法的选择需根据估价目的、估价对象的区位、用途、结构、设施的完善程度、建筑面积等因素，以及市场条件及资料取得情况，合理的确定估价方法。本次估价的估价对象当地的房地产市场较活跃，类似房地产的交易案例较多，且其收益较容易获得，故本次采用比较法和收益法对进行估价，并结合实地查勘的结果和估价人员的经验，最终确定估价对象的估价结果。本次估价选用的估价方法概述如下：</w:t>
      </w:r>
    </w:p>
    <w:p>
      <w:pPr>
        <w:spacing w:line="600" w:lineRule="exact"/>
        <w:ind w:left="362" w:hanging="361" w:hangingChars="150"/>
        <w:rPr>
          <w:rFonts w:hint="eastAsia" w:ascii="宋体" w:hAnsi="宋体"/>
          <w:sz w:val="24"/>
          <w:szCs w:val="24"/>
        </w:rPr>
      </w:pPr>
      <w:r>
        <w:rPr>
          <w:rFonts w:hint="eastAsia" w:ascii="宋体" w:hAnsi="宋体"/>
          <w:sz w:val="24"/>
          <w:szCs w:val="24"/>
        </w:rPr>
        <w:t>1、比较法概述如下：</w:t>
      </w:r>
    </w:p>
    <w:p>
      <w:pPr>
        <w:spacing w:line="600" w:lineRule="exact"/>
        <w:ind w:left="362" w:hanging="361" w:hangingChars="150"/>
        <w:rPr>
          <w:rFonts w:hint="eastAsia" w:ascii="宋体" w:hAnsi="宋体"/>
          <w:sz w:val="24"/>
          <w:szCs w:val="24"/>
        </w:rPr>
      </w:pPr>
      <w:r>
        <w:rPr>
          <w:rFonts w:hint="eastAsia" w:ascii="宋体" w:hAnsi="宋体"/>
          <w:sz w:val="24"/>
          <w:szCs w:val="24"/>
        </w:rPr>
        <w:t>（1）方法定义</w:t>
      </w:r>
    </w:p>
    <w:p>
      <w:pPr>
        <w:spacing w:line="600" w:lineRule="exact"/>
        <w:ind w:firstLine="482" w:firstLineChars="200"/>
        <w:rPr>
          <w:rFonts w:hint="eastAsia"/>
          <w:sz w:val="24"/>
          <w:szCs w:val="24"/>
        </w:rPr>
      </w:pPr>
      <w:r>
        <w:rPr>
          <w:rFonts w:hint="eastAsia"/>
          <w:sz w:val="24"/>
          <w:szCs w:val="24"/>
        </w:rPr>
        <w:t>选取一定数量的可比实例，将它们与估价对象进行比较，根据期间的差异对可比实例成交价格进行处理后得到估价对象价值或价格的方法。</w:t>
      </w:r>
    </w:p>
    <w:p>
      <w:pPr>
        <w:spacing w:line="600" w:lineRule="exact"/>
        <w:ind w:left="362" w:hanging="361" w:hangingChars="150"/>
        <w:rPr>
          <w:rFonts w:hint="eastAsia" w:ascii="宋体" w:hAnsi="宋体"/>
          <w:sz w:val="24"/>
          <w:szCs w:val="24"/>
        </w:rPr>
      </w:pPr>
      <w:r>
        <w:rPr>
          <w:rFonts w:hint="eastAsia" w:ascii="宋体" w:hAnsi="宋体"/>
          <w:sz w:val="24"/>
          <w:szCs w:val="24"/>
        </w:rPr>
        <w:t>（2）估价步骤</w:t>
      </w:r>
    </w:p>
    <w:p>
      <w:pPr>
        <w:spacing w:line="600" w:lineRule="exact"/>
        <w:ind w:firstLine="469" w:firstLineChars="195"/>
        <w:rPr>
          <w:rFonts w:hint="eastAsia"/>
          <w:sz w:val="24"/>
          <w:szCs w:val="24"/>
        </w:rPr>
      </w:pPr>
      <w:r>
        <w:rPr>
          <w:rFonts w:hint="eastAsia"/>
          <w:sz w:val="24"/>
          <w:szCs w:val="24"/>
        </w:rPr>
        <w:t>①搜集交易实例；②选取可比实例；</w:t>
      </w:r>
    </w:p>
    <w:p>
      <w:pPr>
        <w:spacing w:line="600" w:lineRule="exact"/>
        <w:ind w:firstLine="469" w:firstLineChars="195"/>
        <w:rPr>
          <w:rFonts w:hint="eastAsia"/>
          <w:sz w:val="24"/>
          <w:szCs w:val="24"/>
        </w:rPr>
      </w:pPr>
      <w:r>
        <w:rPr>
          <w:rFonts w:hint="eastAsia"/>
          <w:sz w:val="24"/>
          <w:szCs w:val="24"/>
        </w:rPr>
        <w:t>③建立比较基础；④进行交易情况修正；</w:t>
      </w:r>
    </w:p>
    <w:p>
      <w:pPr>
        <w:spacing w:line="600" w:lineRule="exact"/>
        <w:ind w:firstLine="469" w:firstLineChars="195"/>
        <w:rPr>
          <w:rFonts w:hint="eastAsia"/>
        </w:rPr>
      </w:pPr>
      <w:r>
        <w:rPr>
          <w:rFonts w:hint="eastAsia"/>
          <w:sz w:val="24"/>
          <w:szCs w:val="24"/>
        </w:rPr>
        <w:t>⑤进行市场状况修正；⑥进行房地产状况修正（区位状况、实物状况和权益状况）；⑦计算比较价值。</w:t>
      </w:r>
    </w:p>
    <w:p>
      <w:pPr>
        <w:spacing w:line="600" w:lineRule="exact"/>
        <w:ind w:left="362" w:hanging="361" w:hangingChars="150"/>
        <w:rPr>
          <w:rFonts w:hint="eastAsia" w:ascii="宋体" w:hAnsi="宋体"/>
          <w:sz w:val="24"/>
          <w:szCs w:val="24"/>
        </w:rPr>
      </w:pPr>
      <w:r>
        <w:rPr>
          <w:rFonts w:hint="eastAsia" w:ascii="宋体" w:hAnsi="宋体"/>
          <w:sz w:val="24"/>
          <w:szCs w:val="24"/>
        </w:rPr>
        <w:t>（3）计算公式</w:t>
      </w:r>
    </w:p>
    <w:p>
      <w:pPr>
        <w:spacing w:line="600" w:lineRule="exact"/>
        <w:ind w:left="1568" w:leftChars="151" w:hanging="1084" w:hangingChars="450"/>
        <w:rPr>
          <w:rFonts w:hint="eastAsia" w:ascii="宋体" w:hAnsi="宋体"/>
          <w:sz w:val="24"/>
          <w:szCs w:val="24"/>
        </w:rPr>
      </w:pPr>
      <w:r>
        <w:rPr>
          <w:rFonts w:hint="eastAsia" w:ascii="宋体" w:hAnsi="宋体"/>
          <w:sz w:val="24"/>
          <w:szCs w:val="24"/>
        </w:rPr>
        <w:t>比较价格=∑n（可比实例×交易情况修正系数×市场状况修正系数×房地产状况修正系数）/n</w:t>
      </w:r>
    </w:p>
    <w:p>
      <w:pPr>
        <w:autoSpaceDE w:val="0"/>
        <w:autoSpaceDN w:val="0"/>
        <w:spacing w:line="600" w:lineRule="exact"/>
        <w:rPr>
          <w:rFonts w:hint="eastAsia" w:ascii="宋体" w:hAnsi="宋体"/>
          <w:sz w:val="24"/>
          <w:szCs w:val="24"/>
        </w:rPr>
      </w:pPr>
      <w:r>
        <w:rPr>
          <w:rFonts w:hint="eastAsia" w:ascii="宋体" w:hAnsi="宋体"/>
          <w:sz w:val="24"/>
          <w:szCs w:val="24"/>
        </w:rPr>
        <w:t>2、收益法概述如下：</w:t>
      </w:r>
    </w:p>
    <w:p>
      <w:pPr>
        <w:tabs>
          <w:tab w:val="left" w:pos="468"/>
        </w:tabs>
        <w:autoSpaceDE w:val="0"/>
        <w:autoSpaceDN w:val="0"/>
        <w:spacing w:line="600" w:lineRule="exact"/>
        <w:rPr>
          <w:rFonts w:hint="eastAsia" w:ascii="宋体" w:hAnsi="宋体"/>
          <w:sz w:val="24"/>
          <w:szCs w:val="24"/>
        </w:rPr>
      </w:pPr>
      <w:r>
        <w:rPr>
          <w:rFonts w:hint="eastAsia" w:ascii="宋体" w:hAnsi="宋体"/>
          <w:sz w:val="24"/>
          <w:szCs w:val="24"/>
        </w:rPr>
        <w:t>（1）方法定义</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收益法是通过预测估价对象未来收益，利用报酬率或资本化率、收益乘数将未来收益转化为价值得到估价对象价值或价格的方法。</w:t>
      </w:r>
    </w:p>
    <w:p>
      <w:pPr>
        <w:spacing w:line="600" w:lineRule="exact"/>
        <w:ind w:left="362" w:hanging="361" w:hangingChars="150"/>
        <w:rPr>
          <w:rFonts w:hint="eastAsia" w:ascii="宋体" w:hAnsi="宋体"/>
          <w:sz w:val="24"/>
          <w:szCs w:val="24"/>
        </w:rPr>
      </w:pPr>
      <w:r>
        <w:rPr>
          <w:rFonts w:hint="eastAsia" w:ascii="宋体" w:hAnsi="宋体"/>
          <w:sz w:val="24"/>
          <w:szCs w:val="24"/>
        </w:rPr>
        <w:t>（2）估价步骤</w:t>
      </w:r>
    </w:p>
    <w:p>
      <w:pPr>
        <w:spacing w:line="600" w:lineRule="exact"/>
        <w:ind w:firstLine="469" w:firstLineChars="195"/>
        <w:rPr>
          <w:rFonts w:hint="eastAsia"/>
          <w:sz w:val="24"/>
          <w:szCs w:val="24"/>
        </w:rPr>
      </w:pPr>
      <w:r>
        <w:rPr>
          <w:rFonts w:hint="eastAsia"/>
          <w:sz w:val="24"/>
          <w:szCs w:val="24"/>
        </w:rPr>
        <w:t>①选择具体估价方法；②测算收益期或持有期；③测算未来收益；④确定报酬率或资本化率、收益乘数；⑤计算收益价值。</w:t>
      </w:r>
    </w:p>
    <w:p>
      <w:pPr>
        <w:autoSpaceDE w:val="0"/>
        <w:autoSpaceDN w:val="0"/>
        <w:spacing w:line="600" w:lineRule="exact"/>
        <w:rPr>
          <w:rFonts w:hint="eastAsia" w:ascii="宋体" w:hAnsi="宋体"/>
          <w:sz w:val="24"/>
          <w:szCs w:val="24"/>
        </w:rPr>
      </w:pPr>
      <w:r>
        <w:rPr>
          <w:rFonts w:hint="eastAsia" w:ascii="宋体" w:hAnsi="宋体"/>
          <w:sz w:val="24"/>
          <w:szCs w:val="24"/>
        </w:rPr>
        <w:t>（3）计算公式</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潜在毛收入：是指假定房地产在充分利用、无空置状态下可获的的收入。</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有效毛收入：是指由潜在毛收入扣除正常的空置、拖欠租金以及其他原因造成的收入损失后所得到的收入。</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净收益：是指由有效毛收入扣除合理运营费用后得到的归属于房地产的收益。</w:t>
      </w:r>
    </w:p>
    <w:p>
      <w:pPr>
        <w:tabs>
          <w:tab w:val="left" w:pos="861"/>
        </w:tabs>
        <w:spacing w:before="137" w:beforeLines="50" w:after="137" w:afterLines="50" w:line="600" w:lineRule="exact"/>
        <w:ind w:firstLine="482" w:firstLineChars="200"/>
        <w:rPr>
          <w:rFonts w:ascii="宋体" w:hAnsi="宋体"/>
          <w:sz w:val="24"/>
          <w:szCs w:val="24"/>
        </w:rPr>
      </w:pPr>
      <w:r>
        <w:rPr>
          <w:rFonts w:ascii="宋体" w:hAnsi="宋体"/>
          <w:sz w:val="24"/>
          <w:szCs w:val="24"/>
        </w:rPr>
        <w:t>V=</w:t>
      </w:r>
      <w:r>
        <w:rPr>
          <w:rFonts w:ascii="宋体" w:hAnsi="宋体"/>
          <w:sz w:val="24"/>
          <w:szCs w:val="24"/>
        </w:rPr>
        <w:fldChar w:fldCharType="begin"/>
      </w:r>
      <w:r>
        <w:rPr>
          <w:rFonts w:ascii="宋体" w:hAnsi="宋体"/>
          <w:sz w:val="24"/>
          <w:szCs w:val="24"/>
        </w:rPr>
        <w:instrText xml:space="preserve"> EQ </w:instrText>
      </w:r>
      <w:r>
        <w:rPr>
          <w:rFonts w:ascii="宋体" w:hAnsi="宋体"/>
          <w:sz w:val="24"/>
          <w:szCs w:val="24"/>
        </w:rPr>
        <w:fldChar w:fldCharType="end"/>
      </w:r>
      <w:r>
        <w:rPr>
          <w:rFonts w:ascii="宋体" w:hAnsi="宋体"/>
          <w:sz w:val="24"/>
          <w:szCs w:val="24"/>
        </w:rPr>
        <w:fldChar w:fldCharType="begin"/>
      </w:r>
      <w:r>
        <w:rPr>
          <w:rFonts w:ascii="宋体" w:hAnsi="宋体"/>
          <w:sz w:val="24"/>
          <w:szCs w:val="24"/>
        </w:rPr>
        <w:instrText xml:space="preserve"> EQ \F(a,r) </w:instrText>
      </w:r>
      <w:r>
        <w:rPr>
          <w:rFonts w:ascii="宋体" w:hAnsi="宋体"/>
          <w:sz w:val="24"/>
          <w:szCs w:val="24"/>
        </w:rPr>
        <w:fldChar w:fldCharType="end"/>
      </w:r>
      <w:r>
        <w:rPr>
          <w:rFonts w:hint="eastAsia" w:ascii="宋体" w:hAnsi="宋体"/>
          <w:sz w:val="24"/>
          <w:szCs w:val="24"/>
        </w:rPr>
        <w:t>×</w:t>
      </w:r>
      <w:r>
        <w:rPr>
          <w:rFonts w:ascii="宋体" w:hAnsi="宋体"/>
          <w:sz w:val="24"/>
          <w:szCs w:val="24"/>
        </w:rPr>
        <w:t>[1-</w:t>
      </w:r>
      <w:r>
        <w:rPr>
          <w:rFonts w:ascii="宋体" w:hAnsi="宋体"/>
          <w:sz w:val="24"/>
          <w:szCs w:val="24"/>
        </w:rPr>
        <w:fldChar w:fldCharType="begin"/>
      </w:r>
      <w:r>
        <w:rPr>
          <w:rFonts w:ascii="宋体" w:hAnsi="宋体"/>
          <w:sz w:val="24"/>
          <w:szCs w:val="24"/>
        </w:rPr>
        <w:instrText xml:space="preserve"> EQ \F(1,（1+r）</w:instrText>
      </w:r>
      <w:r>
        <w:rPr>
          <w:rFonts w:ascii="宋体" w:hAnsi="宋体"/>
          <w:sz w:val="24"/>
          <w:szCs w:val="24"/>
          <w:vertAlign w:val="superscript"/>
        </w:rPr>
        <w:instrText xml:space="preserve">n</w:instrText>
      </w:r>
      <w:r>
        <w:rPr>
          <w:rFonts w:ascii="宋体" w:hAnsi="宋体"/>
          <w:sz w:val="24"/>
          <w:szCs w:val="24"/>
        </w:rPr>
        <w:instrText xml:space="preserve">) </w:instrText>
      </w:r>
      <w:r>
        <w:rPr>
          <w:rFonts w:ascii="宋体" w:hAnsi="宋体"/>
          <w:sz w:val="24"/>
          <w:szCs w:val="24"/>
        </w:rPr>
        <w:fldChar w:fldCharType="end"/>
      </w:r>
      <w:r>
        <w:rPr>
          <w:rFonts w:ascii="宋体" w:hAnsi="宋体"/>
          <w:sz w:val="24"/>
          <w:szCs w:val="24"/>
        </w:rPr>
        <w:t>]</w:t>
      </w:r>
    </w:p>
    <w:p>
      <w:pPr>
        <w:tabs>
          <w:tab w:val="left" w:pos="861"/>
        </w:tabs>
        <w:spacing w:line="600" w:lineRule="exact"/>
        <w:ind w:firstLine="482" w:firstLineChars="200"/>
        <w:rPr>
          <w:rFonts w:hint="eastAsia" w:ascii="宋体" w:hAnsi="宋体"/>
          <w:sz w:val="24"/>
          <w:szCs w:val="24"/>
        </w:rPr>
      </w:pPr>
      <w:r>
        <w:rPr>
          <w:rFonts w:hint="eastAsia" w:ascii="宋体" w:hAnsi="宋体"/>
          <w:sz w:val="24"/>
          <w:szCs w:val="24"/>
        </w:rPr>
        <w:t>式中：V—收益价值</w:t>
      </w:r>
    </w:p>
    <w:p>
      <w:pPr>
        <w:tabs>
          <w:tab w:val="left" w:pos="861"/>
        </w:tabs>
        <w:spacing w:line="600" w:lineRule="exact"/>
        <w:ind w:firstLine="1205" w:firstLineChars="500"/>
        <w:rPr>
          <w:rFonts w:hint="eastAsia" w:ascii="宋体" w:hAnsi="宋体"/>
          <w:sz w:val="24"/>
          <w:szCs w:val="24"/>
        </w:rPr>
      </w:pPr>
      <w:r>
        <w:rPr>
          <w:rFonts w:hint="eastAsia" w:ascii="宋体" w:hAnsi="宋体"/>
          <w:sz w:val="24"/>
          <w:szCs w:val="24"/>
        </w:rPr>
        <w:t>a—房地产年净收益</w:t>
      </w:r>
    </w:p>
    <w:p>
      <w:pPr>
        <w:tabs>
          <w:tab w:val="left" w:pos="861"/>
        </w:tabs>
        <w:spacing w:line="600" w:lineRule="exact"/>
        <w:ind w:firstLine="1205" w:firstLineChars="500"/>
        <w:rPr>
          <w:rFonts w:hint="eastAsia" w:ascii="宋体" w:hAnsi="宋体"/>
          <w:sz w:val="24"/>
          <w:szCs w:val="24"/>
        </w:rPr>
      </w:pPr>
      <w:r>
        <w:rPr>
          <w:rFonts w:hint="eastAsia" w:ascii="宋体" w:hAnsi="宋体"/>
          <w:sz w:val="24"/>
          <w:szCs w:val="24"/>
        </w:rPr>
        <w:t>r—报酬率</w:t>
      </w:r>
    </w:p>
    <w:p>
      <w:pPr>
        <w:tabs>
          <w:tab w:val="left" w:pos="861"/>
        </w:tabs>
        <w:spacing w:line="600" w:lineRule="exact"/>
        <w:ind w:firstLine="1205" w:firstLineChars="500"/>
        <w:rPr>
          <w:rFonts w:hint="eastAsia" w:ascii="宋体" w:hAnsi="宋体"/>
          <w:sz w:val="24"/>
          <w:szCs w:val="24"/>
        </w:rPr>
      </w:pPr>
      <w:r>
        <w:rPr>
          <w:rFonts w:hint="eastAsia" w:ascii="宋体" w:hAnsi="宋体"/>
          <w:sz w:val="24"/>
          <w:szCs w:val="24"/>
        </w:rPr>
        <w:t>n—未来可能收益的年限</w:t>
      </w:r>
    </w:p>
    <w:p>
      <w:pPr>
        <w:spacing w:line="600" w:lineRule="exact"/>
        <w:rPr>
          <w:rFonts w:hint="eastAsia" w:eastAsia="宋体"/>
          <w:b/>
          <w:sz w:val="24"/>
          <w:szCs w:val="24"/>
          <w:lang w:eastAsia="zh-CN"/>
        </w:rPr>
      </w:pPr>
      <w:r>
        <w:rPr>
          <w:rFonts w:hint="eastAsia"/>
          <w:b/>
          <w:sz w:val="24"/>
          <w:szCs w:val="24"/>
        </w:rPr>
        <w:t>五、估价测算过程</w:t>
      </w:r>
      <w:r>
        <w:rPr>
          <w:rFonts w:hint="eastAsia"/>
          <w:b/>
          <w:sz w:val="24"/>
          <w:szCs w:val="24"/>
          <w:lang w:eastAsia="zh-CN"/>
        </w:rPr>
        <w:t>（以</w:t>
      </w:r>
      <w:r>
        <w:rPr>
          <w:rFonts w:hint="eastAsia"/>
          <w:b/>
          <w:sz w:val="24"/>
          <w:szCs w:val="24"/>
          <w:lang w:val="en-US" w:eastAsia="zh-CN"/>
        </w:rPr>
        <w:t>102号，建筑面积28.19平方米为例</w:t>
      </w:r>
      <w:r>
        <w:rPr>
          <w:rFonts w:hint="eastAsia"/>
          <w:b/>
          <w:sz w:val="24"/>
          <w:szCs w:val="24"/>
          <w:lang w:eastAsia="zh-CN"/>
        </w:rPr>
        <w:t>）</w:t>
      </w:r>
    </w:p>
    <w:p>
      <w:pPr>
        <w:spacing w:line="600" w:lineRule="exact"/>
        <w:rPr>
          <w:rFonts w:hint="eastAsia"/>
          <w:sz w:val="24"/>
          <w:szCs w:val="24"/>
        </w:rPr>
      </w:pPr>
      <w:r>
        <w:rPr>
          <w:rFonts w:hint="eastAsia" w:ascii="宋体" w:hAnsi="宋体" w:cs="宋体"/>
          <w:sz w:val="24"/>
          <w:szCs w:val="24"/>
        </w:rPr>
        <w:t>（一）</w:t>
      </w:r>
      <w:r>
        <w:rPr>
          <w:rFonts w:hint="eastAsia"/>
          <w:sz w:val="24"/>
          <w:szCs w:val="24"/>
        </w:rPr>
        <w:t>比较法测算过程</w:t>
      </w:r>
    </w:p>
    <w:p>
      <w:pPr>
        <w:spacing w:line="600" w:lineRule="exact"/>
        <w:ind w:firstLine="482" w:firstLineChars="200"/>
        <w:rPr>
          <w:sz w:val="24"/>
          <w:szCs w:val="24"/>
        </w:rPr>
      </w:pPr>
      <w:r>
        <w:rPr>
          <w:rFonts w:hint="eastAsia"/>
          <w:sz w:val="24"/>
          <w:szCs w:val="24"/>
        </w:rPr>
        <w:t>A、估价技术路线</w:t>
      </w:r>
    </w:p>
    <w:p>
      <w:pPr>
        <w:spacing w:line="600" w:lineRule="exact"/>
        <w:ind w:firstLine="482" w:firstLineChars="200"/>
        <w:rPr>
          <w:sz w:val="24"/>
          <w:szCs w:val="24"/>
        </w:rPr>
      </w:pPr>
      <w:r>
        <w:rPr>
          <w:sz w:val="24"/>
          <w:szCs w:val="24"/>
        </w:rPr>
        <w:t>1</w:t>
      </w:r>
      <w:r>
        <w:rPr>
          <w:rFonts w:hint="eastAsia"/>
          <w:sz w:val="24"/>
          <w:szCs w:val="24"/>
        </w:rPr>
        <w:t>、选取估价方法：本次评估根据当地房地产市场发育情况，结合估价对象的估价目的、区位条件及个别因素，选择市场比较法进行评估；</w:t>
      </w:r>
    </w:p>
    <w:p>
      <w:pPr>
        <w:spacing w:line="600" w:lineRule="exact"/>
        <w:ind w:firstLine="482" w:firstLineChars="200"/>
        <w:rPr>
          <w:rFonts w:hint="eastAsia"/>
          <w:sz w:val="24"/>
          <w:szCs w:val="24"/>
        </w:rPr>
      </w:pPr>
      <w:r>
        <w:rPr>
          <w:sz w:val="24"/>
          <w:szCs w:val="24"/>
        </w:rPr>
        <w:t>2</w:t>
      </w:r>
      <w:r>
        <w:rPr>
          <w:rFonts w:hint="eastAsia"/>
          <w:sz w:val="24"/>
          <w:szCs w:val="24"/>
        </w:rPr>
        <w:t>、搜集实例：在搜集掌握估价对象有关资料的基础上，广泛搜集交易实例，根据估价对象状况和本次估价目的，选取</w:t>
      </w:r>
      <w:r>
        <w:rPr>
          <w:sz w:val="24"/>
          <w:szCs w:val="24"/>
        </w:rPr>
        <w:t>A</w:t>
      </w:r>
      <w:r>
        <w:rPr>
          <w:rFonts w:hint="eastAsia"/>
          <w:sz w:val="24"/>
          <w:szCs w:val="24"/>
        </w:rPr>
        <w:t>、</w:t>
      </w:r>
      <w:r>
        <w:rPr>
          <w:sz w:val="24"/>
          <w:szCs w:val="24"/>
        </w:rPr>
        <w:t>B</w:t>
      </w:r>
      <w:r>
        <w:rPr>
          <w:rFonts w:hint="eastAsia"/>
          <w:sz w:val="24"/>
          <w:szCs w:val="24"/>
        </w:rPr>
        <w:t>、</w:t>
      </w:r>
      <w:r>
        <w:rPr>
          <w:sz w:val="24"/>
          <w:szCs w:val="24"/>
        </w:rPr>
        <w:t>C</w:t>
      </w:r>
      <w:r>
        <w:rPr>
          <w:rFonts w:hint="eastAsia"/>
          <w:sz w:val="24"/>
          <w:szCs w:val="24"/>
        </w:rPr>
        <w:t>三宗交易实例作为可比实例，具体如下：</w:t>
      </w:r>
    </w:p>
    <w:p>
      <w:pPr>
        <w:spacing w:line="600" w:lineRule="exact"/>
        <w:ind w:firstLine="482" w:firstLineChars="200"/>
        <w:rPr>
          <w:rFonts w:hint="eastAsia" w:ascii="宋体" w:hAnsi="宋体"/>
          <w:sz w:val="24"/>
          <w:szCs w:val="24"/>
        </w:rPr>
      </w:pPr>
      <w:r>
        <w:rPr>
          <w:rFonts w:hint="eastAsia" w:ascii="宋体" w:hAnsi="宋体"/>
          <w:sz w:val="24"/>
          <w:szCs w:val="24"/>
        </w:rPr>
        <w:t>实例A：</w:t>
      </w:r>
      <w:r>
        <w:rPr>
          <w:rFonts w:hint="eastAsia" w:ascii="宋体" w:hAnsi="宋体"/>
          <w:sz w:val="24"/>
          <w:szCs w:val="24"/>
          <w:lang w:eastAsia="zh-CN"/>
        </w:rPr>
        <w:t>嘉德学府，框架</w:t>
      </w:r>
      <w:r>
        <w:rPr>
          <w:rFonts w:hint="eastAsia" w:ascii="宋体" w:hAnsi="宋体"/>
          <w:sz w:val="24"/>
          <w:szCs w:val="24"/>
        </w:rPr>
        <w:t>结构，</w:t>
      </w:r>
      <w:r>
        <w:rPr>
          <w:rFonts w:hint="eastAsia" w:ascii="宋体" w:hAnsi="宋体"/>
          <w:sz w:val="24"/>
          <w:szCs w:val="24"/>
          <w:lang w:eastAsia="zh-CN"/>
        </w:rPr>
        <w:t>室内普通装修</w:t>
      </w:r>
      <w:r>
        <w:rPr>
          <w:rFonts w:hint="eastAsia" w:ascii="宋体" w:hAnsi="宋体"/>
          <w:sz w:val="24"/>
          <w:szCs w:val="24"/>
        </w:rPr>
        <w:t>，房屋总层数为</w:t>
      </w:r>
      <w:r>
        <w:rPr>
          <w:rFonts w:hint="eastAsia" w:ascii="宋体" w:hAnsi="宋体"/>
          <w:sz w:val="24"/>
          <w:szCs w:val="24"/>
          <w:lang w:val="en-US" w:eastAsia="zh-CN"/>
        </w:rPr>
        <w:t>18</w:t>
      </w:r>
      <w:r>
        <w:rPr>
          <w:rFonts w:hint="eastAsia" w:ascii="宋体" w:hAnsi="宋体"/>
          <w:sz w:val="24"/>
          <w:szCs w:val="24"/>
        </w:rPr>
        <w:t>层，其位于整幢楼的第</w:t>
      </w:r>
      <w:r>
        <w:rPr>
          <w:rFonts w:hint="eastAsia" w:ascii="宋体" w:hAnsi="宋体"/>
          <w:sz w:val="24"/>
          <w:szCs w:val="24"/>
          <w:lang w:val="en-US" w:eastAsia="zh-CN"/>
        </w:rPr>
        <w:t>1</w:t>
      </w:r>
      <w:r>
        <w:rPr>
          <w:rFonts w:hint="eastAsia" w:ascii="宋体" w:hAnsi="宋体"/>
          <w:sz w:val="24"/>
          <w:szCs w:val="24"/>
        </w:rPr>
        <w:t>层，201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01</w:t>
      </w:r>
      <w:r>
        <w:rPr>
          <w:rFonts w:hint="eastAsia" w:ascii="宋体" w:hAnsi="宋体"/>
          <w:sz w:val="24"/>
          <w:szCs w:val="24"/>
        </w:rPr>
        <w:t>月的成交价为</w:t>
      </w:r>
      <w:r>
        <w:rPr>
          <w:rFonts w:hint="eastAsia" w:ascii="宋体" w:hAnsi="宋体"/>
          <w:sz w:val="24"/>
          <w:szCs w:val="24"/>
          <w:lang w:val="en-US" w:eastAsia="zh-CN"/>
        </w:rPr>
        <w:t>2321</w:t>
      </w:r>
      <w:r>
        <w:rPr>
          <w:rFonts w:hint="eastAsia" w:ascii="宋体" w:hAnsi="宋体"/>
          <w:sz w:val="24"/>
          <w:szCs w:val="24"/>
        </w:rPr>
        <w:t>元/平方米。</w:t>
      </w:r>
    </w:p>
    <w:p>
      <w:pPr>
        <w:tabs>
          <w:tab w:val="left" w:pos="2835"/>
        </w:tabs>
        <w:spacing w:line="600" w:lineRule="exact"/>
        <w:ind w:firstLine="482" w:firstLineChars="200"/>
        <w:rPr>
          <w:rFonts w:hint="eastAsia" w:ascii="宋体" w:hAnsi="宋体"/>
          <w:sz w:val="24"/>
          <w:szCs w:val="24"/>
        </w:rPr>
      </w:pPr>
      <w:r>
        <w:rPr>
          <w:rFonts w:hint="eastAsia" w:ascii="宋体" w:hAnsi="宋体"/>
          <w:sz w:val="24"/>
          <w:szCs w:val="24"/>
        </w:rPr>
        <w:t>实例B：</w:t>
      </w:r>
      <w:r>
        <w:rPr>
          <w:rFonts w:hint="eastAsia" w:ascii="宋体" w:hAnsi="宋体"/>
          <w:sz w:val="24"/>
          <w:szCs w:val="24"/>
          <w:lang w:eastAsia="zh-CN"/>
        </w:rPr>
        <w:t>得志小区，混合</w:t>
      </w:r>
      <w:r>
        <w:rPr>
          <w:rFonts w:hint="eastAsia" w:ascii="宋体" w:hAnsi="宋体"/>
          <w:sz w:val="24"/>
          <w:szCs w:val="24"/>
        </w:rPr>
        <w:t>结构，</w:t>
      </w:r>
      <w:r>
        <w:rPr>
          <w:rFonts w:hint="eastAsia" w:ascii="宋体" w:hAnsi="宋体"/>
          <w:sz w:val="24"/>
          <w:szCs w:val="24"/>
          <w:lang w:eastAsia="zh-CN"/>
        </w:rPr>
        <w:t>室内普通装修</w:t>
      </w:r>
      <w:r>
        <w:rPr>
          <w:rFonts w:hint="eastAsia" w:ascii="宋体" w:hAnsi="宋体"/>
          <w:sz w:val="24"/>
          <w:szCs w:val="24"/>
        </w:rPr>
        <w:t>，房屋总层数为</w:t>
      </w:r>
      <w:r>
        <w:rPr>
          <w:rFonts w:hint="eastAsia" w:ascii="宋体" w:hAnsi="宋体"/>
          <w:sz w:val="24"/>
          <w:szCs w:val="24"/>
          <w:lang w:val="en-US" w:eastAsia="zh-CN"/>
        </w:rPr>
        <w:t>1</w:t>
      </w:r>
      <w:r>
        <w:rPr>
          <w:rFonts w:hint="eastAsia" w:ascii="宋体" w:hAnsi="宋体"/>
          <w:sz w:val="24"/>
          <w:szCs w:val="24"/>
        </w:rPr>
        <w:t>层，其位于整幢楼的第</w:t>
      </w:r>
      <w:r>
        <w:rPr>
          <w:rFonts w:hint="eastAsia" w:ascii="宋体" w:hAnsi="宋体"/>
          <w:sz w:val="24"/>
          <w:szCs w:val="24"/>
          <w:lang w:val="en-US" w:eastAsia="zh-CN"/>
        </w:rPr>
        <w:t>1</w:t>
      </w:r>
      <w:r>
        <w:rPr>
          <w:rFonts w:hint="eastAsia" w:ascii="宋体" w:hAnsi="宋体"/>
          <w:sz w:val="24"/>
          <w:szCs w:val="24"/>
        </w:rPr>
        <w:t>层，201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01</w:t>
      </w:r>
      <w:r>
        <w:rPr>
          <w:rFonts w:hint="eastAsia" w:ascii="宋体" w:hAnsi="宋体"/>
          <w:sz w:val="24"/>
          <w:szCs w:val="24"/>
        </w:rPr>
        <w:t>月的成交价为</w:t>
      </w:r>
      <w:r>
        <w:rPr>
          <w:rFonts w:hint="eastAsia" w:ascii="宋体" w:hAnsi="宋体"/>
          <w:sz w:val="24"/>
          <w:szCs w:val="24"/>
          <w:lang w:val="en-US" w:eastAsia="zh-CN"/>
        </w:rPr>
        <w:t>3545</w:t>
      </w:r>
      <w:r>
        <w:rPr>
          <w:rFonts w:hint="eastAsia" w:ascii="宋体" w:hAnsi="宋体"/>
          <w:sz w:val="24"/>
          <w:szCs w:val="24"/>
        </w:rPr>
        <w:t>元/平方米</w:t>
      </w:r>
    </w:p>
    <w:p>
      <w:pPr>
        <w:spacing w:line="600" w:lineRule="exact"/>
        <w:ind w:firstLine="482" w:firstLineChars="200"/>
        <w:rPr>
          <w:sz w:val="24"/>
          <w:szCs w:val="24"/>
        </w:rPr>
      </w:pPr>
      <w:r>
        <w:rPr>
          <w:rFonts w:hint="eastAsia" w:ascii="宋体" w:hAnsi="宋体"/>
          <w:sz w:val="24"/>
          <w:szCs w:val="24"/>
        </w:rPr>
        <w:t>实例C：</w:t>
      </w:r>
      <w:r>
        <w:rPr>
          <w:rFonts w:hint="eastAsia" w:ascii="宋体" w:hAnsi="宋体"/>
          <w:sz w:val="24"/>
          <w:szCs w:val="24"/>
          <w:lang w:eastAsia="zh-CN"/>
        </w:rPr>
        <w:t>和谐小区，混合</w:t>
      </w:r>
      <w:r>
        <w:rPr>
          <w:rFonts w:hint="eastAsia" w:ascii="宋体" w:hAnsi="宋体"/>
          <w:sz w:val="24"/>
          <w:szCs w:val="24"/>
        </w:rPr>
        <w:t>结构，</w:t>
      </w:r>
      <w:r>
        <w:rPr>
          <w:rFonts w:hint="eastAsia" w:ascii="宋体" w:hAnsi="宋体"/>
          <w:sz w:val="24"/>
          <w:szCs w:val="24"/>
          <w:lang w:eastAsia="zh-CN"/>
        </w:rPr>
        <w:t>室内普通装修</w:t>
      </w:r>
      <w:r>
        <w:rPr>
          <w:rFonts w:hint="eastAsia" w:ascii="宋体" w:hAnsi="宋体"/>
          <w:sz w:val="24"/>
          <w:szCs w:val="24"/>
        </w:rPr>
        <w:t>，房屋总层数为</w:t>
      </w:r>
      <w:r>
        <w:rPr>
          <w:rFonts w:hint="eastAsia" w:ascii="宋体" w:hAnsi="宋体"/>
          <w:sz w:val="24"/>
          <w:szCs w:val="24"/>
          <w:lang w:val="en-US" w:eastAsia="zh-CN"/>
        </w:rPr>
        <w:t>6</w:t>
      </w:r>
      <w:r>
        <w:rPr>
          <w:rFonts w:hint="eastAsia" w:ascii="宋体" w:hAnsi="宋体"/>
          <w:sz w:val="24"/>
          <w:szCs w:val="24"/>
        </w:rPr>
        <w:t>层，其位于整幢楼的第</w:t>
      </w:r>
      <w:r>
        <w:rPr>
          <w:rFonts w:hint="eastAsia" w:ascii="宋体" w:hAnsi="宋体"/>
          <w:sz w:val="24"/>
          <w:szCs w:val="24"/>
          <w:lang w:val="en-US" w:eastAsia="zh-CN"/>
        </w:rPr>
        <w:t>1</w:t>
      </w:r>
      <w:r>
        <w:rPr>
          <w:rFonts w:hint="eastAsia" w:ascii="宋体" w:hAnsi="宋体"/>
          <w:sz w:val="24"/>
          <w:szCs w:val="24"/>
        </w:rPr>
        <w:t>层，201</w:t>
      </w:r>
      <w:r>
        <w:rPr>
          <w:rFonts w:hint="eastAsia" w:ascii="宋体" w:hAnsi="宋体"/>
          <w:sz w:val="24"/>
          <w:szCs w:val="24"/>
          <w:lang w:val="en-US" w:eastAsia="zh-CN"/>
        </w:rPr>
        <w:t>9</w:t>
      </w:r>
      <w:r>
        <w:rPr>
          <w:rFonts w:hint="eastAsia" w:ascii="宋体" w:hAnsi="宋体"/>
          <w:sz w:val="24"/>
          <w:szCs w:val="24"/>
        </w:rPr>
        <w:t>年</w:t>
      </w:r>
      <w:r>
        <w:rPr>
          <w:rFonts w:hint="eastAsia" w:ascii="宋体" w:hAnsi="宋体"/>
          <w:sz w:val="24"/>
          <w:szCs w:val="24"/>
          <w:lang w:val="en-US" w:eastAsia="zh-CN"/>
        </w:rPr>
        <w:t>01</w:t>
      </w:r>
      <w:r>
        <w:rPr>
          <w:rFonts w:hint="eastAsia" w:ascii="宋体" w:hAnsi="宋体"/>
          <w:sz w:val="24"/>
          <w:szCs w:val="24"/>
        </w:rPr>
        <w:t>月的成交价为</w:t>
      </w:r>
      <w:r>
        <w:rPr>
          <w:rFonts w:hint="eastAsia" w:ascii="宋体" w:hAnsi="宋体"/>
          <w:sz w:val="24"/>
          <w:szCs w:val="24"/>
          <w:lang w:val="en-US" w:eastAsia="zh-CN"/>
        </w:rPr>
        <w:t>3658</w:t>
      </w:r>
      <w:r>
        <w:rPr>
          <w:rFonts w:hint="eastAsia" w:ascii="宋体" w:hAnsi="宋体"/>
          <w:sz w:val="24"/>
          <w:szCs w:val="24"/>
        </w:rPr>
        <w:t>元/平方米</w:t>
      </w:r>
    </w:p>
    <w:p>
      <w:pPr>
        <w:spacing w:line="600" w:lineRule="exact"/>
        <w:ind w:firstLine="482" w:firstLineChars="200"/>
        <w:rPr>
          <w:sz w:val="24"/>
          <w:szCs w:val="24"/>
        </w:rPr>
      </w:pPr>
      <w:r>
        <w:rPr>
          <w:sz w:val="24"/>
          <w:szCs w:val="24"/>
        </w:rPr>
        <w:t>3</w:t>
      </w:r>
      <w:r>
        <w:rPr>
          <w:rFonts w:hint="eastAsia"/>
          <w:sz w:val="24"/>
          <w:szCs w:val="24"/>
        </w:rPr>
        <w:t>、建立价格可比基础，统一为一次性付款，统一单价为</w:t>
      </w:r>
      <w:r>
        <w:rPr>
          <w:sz w:val="24"/>
          <w:szCs w:val="24"/>
        </w:rPr>
        <w:t>(</w:t>
      </w:r>
      <w:r>
        <w:rPr>
          <w:rFonts w:hint="eastAsia"/>
          <w:sz w:val="24"/>
          <w:szCs w:val="24"/>
        </w:rPr>
        <w:t>人民币元</w:t>
      </w:r>
      <w:r>
        <w:rPr>
          <w:sz w:val="24"/>
          <w:szCs w:val="24"/>
        </w:rPr>
        <w:t>/</w:t>
      </w:r>
      <w:r>
        <w:rPr>
          <w:rFonts w:hint="eastAsia"/>
          <w:sz w:val="24"/>
          <w:szCs w:val="24"/>
        </w:rPr>
        <w:t>平方米</w:t>
      </w:r>
      <w:r>
        <w:rPr>
          <w:sz w:val="24"/>
          <w:szCs w:val="24"/>
        </w:rPr>
        <w:t>)</w:t>
      </w:r>
      <w:r>
        <w:rPr>
          <w:rFonts w:hint="eastAsia"/>
          <w:sz w:val="24"/>
          <w:szCs w:val="24"/>
        </w:rPr>
        <w:t>；</w:t>
      </w:r>
    </w:p>
    <w:p>
      <w:pPr>
        <w:spacing w:line="600" w:lineRule="exact"/>
        <w:ind w:firstLine="482" w:firstLineChars="200"/>
        <w:rPr>
          <w:sz w:val="24"/>
          <w:szCs w:val="24"/>
        </w:rPr>
      </w:pPr>
      <w:r>
        <w:rPr>
          <w:sz w:val="24"/>
          <w:szCs w:val="24"/>
        </w:rPr>
        <w:t>4</w:t>
      </w:r>
      <w:r>
        <w:rPr>
          <w:rFonts w:hint="eastAsia"/>
          <w:sz w:val="24"/>
          <w:szCs w:val="24"/>
        </w:rPr>
        <w:t>、将</w:t>
      </w:r>
      <w:r>
        <w:rPr>
          <w:sz w:val="24"/>
          <w:szCs w:val="24"/>
        </w:rPr>
        <w:t>A</w:t>
      </w:r>
      <w:r>
        <w:rPr>
          <w:rFonts w:hint="eastAsia"/>
          <w:sz w:val="24"/>
          <w:szCs w:val="24"/>
        </w:rPr>
        <w:t>、</w:t>
      </w:r>
      <w:r>
        <w:rPr>
          <w:sz w:val="24"/>
          <w:szCs w:val="24"/>
        </w:rPr>
        <w:t>B</w:t>
      </w:r>
      <w:r>
        <w:rPr>
          <w:rFonts w:hint="eastAsia"/>
          <w:sz w:val="24"/>
          <w:szCs w:val="24"/>
        </w:rPr>
        <w:t>、</w:t>
      </w:r>
      <w:r>
        <w:rPr>
          <w:sz w:val="24"/>
          <w:szCs w:val="24"/>
        </w:rPr>
        <w:t>C</w:t>
      </w:r>
      <w:r>
        <w:rPr>
          <w:rFonts w:hint="eastAsia"/>
          <w:sz w:val="24"/>
          <w:szCs w:val="24"/>
        </w:rPr>
        <w:t>三宗可比实例与待估房地产进行分析、比较及因素修正，以计算出各自的比准单价；</w:t>
      </w:r>
    </w:p>
    <w:p>
      <w:pPr>
        <w:spacing w:line="600" w:lineRule="exact"/>
        <w:ind w:firstLine="478" w:firstLineChars="199"/>
        <w:rPr>
          <w:sz w:val="24"/>
          <w:szCs w:val="24"/>
        </w:rPr>
      </w:pPr>
      <w:r>
        <w:rPr>
          <w:sz w:val="24"/>
          <w:szCs w:val="24"/>
        </w:rPr>
        <w:t>5</w:t>
      </w:r>
      <w:r>
        <w:rPr>
          <w:rFonts w:hint="eastAsia"/>
          <w:sz w:val="24"/>
          <w:szCs w:val="24"/>
        </w:rPr>
        <w:t>、将比较单价的平均值作为待估房地产的评估单价，从而计算、确定估价对象评估总值。</w:t>
      </w:r>
    </w:p>
    <w:p>
      <w:pPr>
        <w:spacing w:line="600" w:lineRule="exact"/>
        <w:ind w:firstLine="570"/>
        <w:rPr>
          <w:rFonts w:hint="eastAsia"/>
          <w:b/>
          <w:sz w:val="24"/>
          <w:szCs w:val="30"/>
        </w:rPr>
      </w:pPr>
      <w:r>
        <w:rPr>
          <w:rFonts w:hint="eastAsia"/>
          <w:sz w:val="24"/>
          <w:szCs w:val="24"/>
        </w:rPr>
        <w:t>B、案例计算</w:t>
      </w:r>
    </w:p>
    <w:p>
      <w:pPr>
        <w:spacing w:line="600" w:lineRule="exact"/>
        <w:jc w:val="center"/>
        <w:rPr>
          <w:sz w:val="24"/>
          <w:szCs w:val="30"/>
        </w:rPr>
      </w:pPr>
      <w:r>
        <w:rPr>
          <w:rFonts w:hint="eastAsia" w:ascii="宋体" w:hAnsi="宋体" w:cs="宋体"/>
          <w:sz w:val="24"/>
          <w:szCs w:val="30"/>
        </w:rPr>
        <w:t>房</w:t>
      </w:r>
      <w:r>
        <w:rPr>
          <w:rFonts w:hint="eastAsia"/>
          <w:sz w:val="24"/>
          <w:szCs w:val="30"/>
        </w:rPr>
        <w:t xml:space="preserve">  地  产  因</w:t>
      </w:r>
      <w:r>
        <w:rPr>
          <w:sz w:val="24"/>
          <w:szCs w:val="30"/>
        </w:rPr>
        <w:t xml:space="preserve">  </w:t>
      </w:r>
      <w:r>
        <w:rPr>
          <w:rFonts w:hint="eastAsia"/>
          <w:sz w:val="24"/>
          <w:szCs w:val="30"/>
        </w:rPr>
        <w:t>素</w:t>
      </w:r>
      <w:r>
        <w:rPr>
          <w:sz w:val="24"/>
          <w:szCs w:val="30"/>
        </w:rPr>
        <w:t xml:space="preserve">  </w:t>
      </w:r>
      <w:r>
        <w:rPr>
          <w:rFonts w:hint="eastAsia"/>
          <w:sz w:val="24"/>
          <w:szCs w:val="30"/>
        </w:rPr>
        <w:t>条</w:t>
      </w:r>
      <w:r>
        <w:rPr>
          <w:sz w:val="24"/>
          <w:szCs w:val="30"/>
        </w:rPr>
        <w:t xml:space="preserve">  </w:t>
      </w:r>
      <w:r>
        <w:rPr>
          <w:rFonts w:hint="eastAsia"/>
          <w:sz w:val="24"/>
          <w:szCs w:val="30"/>
        </w:rPr>
        <w:t>件</w:t>
      </w:r>
      <w:r>
        <w:rPr>
          <w:sz w:val="24"/>
          <w:szCs w:val="30"/>
        </w:rPr>
        <w:t xml:space="preserve">  </w:t>
      </w:r>
      <w:r>
        <w:rPr>
          <w:rFonts w:hint="eastAsia"/>
          <w:sz w:val="24"/>
          <w:szCs w:val="30"/>
        </w:rPr>
        <w:t>表</w:t>
      </w:r>
    </w:p>
    <w:tbl>
      <w:tblPr>
        <w:tblStyle w:val="10"/>
        <w:tblW w:w="9480"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39"/>
        <w:gridCol w:w="1687"/>
        <w:gridCol w:w="1735"/>
        <w:gridCol w:w="1740"/>
        <w:gridCol w:w="1740"/>
        <w:gridCol w:w="1739"/>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1192" w:hRule="atLeast"/>
        </w:trPr>
        <w:tc>
          <w:tcPr>
            <w:tcW w:w="2526" w:type="dxa"/>
            <w:gridSpan w:val="2"/>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600" w:lineRule="exact"/>
              <w:ind w:firstLine="422" w:firstLineChars="200"/>
              <w:jc w:val="center"/>
              <w:rPr>
                <w:rFonts w:ascii="宋体" w:hAnsi="宋体"/>
                <w:sz w:val="21"/>
                <w:szCs w:val="21"/>
              </w:rPr>
            </w:pPr>
            <w:r>
              <w:rPr>
                <w:rFonts w:hint="eastAsia" w:ascii="宋体" w:hAnsi="宋体"/>
                <w:sz w:val="21"/>
                <w:szCs w:val="21"/>
              </w:rPr>
              <w:t>估价对象及交易实例</w:t>
            </w:r>
          </w:p>
          <w:p>
            <w:pPr>
              <w:spacing w:line="600" w:lineRule="exact"/>
              <w:jc w:val="center"/>
              <w:rPr>
                <w:rFonts w:hint="eastAsia" w:ascii="宋体" w:hAnsi="宋体"/>
                <w:sz w:val="21"/>
                <w:szCs w:val="21"/>
              </w:rPr>
            </w:pPr>
          </w:p>
          <w:p>
            <w:pPr>
              <w:spacing w:line="600" w:lineRule="exact"/>
              <w:ind w:firstLine="211" w:firstLineChars="100"/>
              <w:rPr>
                <w:rFonts w:ascii="宋体" w:hAnsi="宋体"/>
                <w:sz w:val="21"/>
                <w:szCs w:val="21"/>
              </w:rPr>
            </w:pPr>
            <w:r>
              <w:rPr>
                <w:rFonts w:hint="eastAsia" w:ascii="宋体" w:hAnsi="宋体"/>
                <w:sz w:val="21"/>
                <w:szCs w:val="21"/>
              </w:rPr>
              <w:t>比较因素</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估价对象</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实例</w:t>
            </w:r>
            <w:r>
              <w:rPr>
                <w:rFonts w:ascii="宋体" w:hAnsi="宋体"/>
                <w:sz w:val="21"/>
                <w:szCs w:val="21"/>
              </w:rPr>
              <w:t>A</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实例</w:t>
            </w:r>
            <w:r>
              <w:rPr>
                <w:rFonts w:ascii="宋体" w:hAnsi="宋体"/>
                <w:sz w:val="21"/>
                <w:szCs w:val="21"/>
              </w:rPr>
              <w:t>B</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实例</w:t>
            </w:r>
            <w:r>
              <w:rPr>
                <w:rFonts w:ascii="宋体" w:hAnsi="宋体"/>
                <w:sz w:val="21"/>
                <w:szCs w:val="21"/>
              </w:rPr>
              <w:t>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2526" w:type="dxa"/>
            <w:gridSpan w:val="2"/>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eastAsia="zh-CN"/>
              </w:rPr>
            </w:pPr>
            <w:r>
              <w:rPr>
                <w:rFonts w:hint="eastAsia" w:ascii="宋体" w:hAnsi="宋体"/>
                <w:sz w:val="21"/>
                <w:szCs w:val="21"/>
                <w:lang w:eastAsia="zh-CN"/>
              </w:rPr>
              <w:t>名称</w:t>
            </w:r>
          </w:p>
        </w:tc>
        <w:tc>
          <w:tcPr>
            <w:tcW w:w="1735"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eastAsia="zh-CN"/>
              </w:rPr>
            </w:pPr>
            <w:r>
              <w:rPr>
                <w:rFonts w:hint="eastAsia" w:ascii="宋体" w:hAnsi="宋体"/>
                <w:sz w:val="21"/>
                <w:szCs w:val="21"/>
                <w:lang w:eastAsia="zh-CN"/>
              </w:rPr>
              <w:t>嘉德学府</w:t>
            </w:r>
          </w:p>
        </w:tc>
        <w:tc>
          <w:tcPr>
            <w:tcW w:w="1740"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val="en-US" w:eastAsia="zh-CN"/>
              </w:rPr>
            </w:pPr>
            <w:r>
              <w:rPr>
                <w:rFonts w:hint="eastAsia" w:ascii="宋体" w:hAnsi="宋体"/>
                <w:sz w:val="21"/>
                <w:szCs w:val="21"/>
                <w:lang w:eastAsia="zh-CN"/>
              </w:rPr>
              <w:t>嘉德学府</w:t>
            </w:r>
          </w:p>
        </w:tc>
        <w:tc>
          <w:tcPr>
            <w:tcW w:w="1740"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val="en-US" w:eastAsia="zh-CN"/>
              </w:rPr>
            </w:pPr>
            <w:r>
              <w:rPr>
                <w:rFonts w:hint="eastAsia" w:ascii="宋体" w:hAnsi="宋体"/>
                <w:sz w:val="21"/>
                <w:szCs w:val="21"/>
                <w:lang w:eastAsia="zh-CN"/>
              </w:rPr>
              <w:t>得志小区</w:t>
            </w:r>
          </w:p>
        </w:tc>
        <w:tc>
          <w:tcPr>
            <w:tcW w:w="1739"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val="en-US" w:eastAsia="zh-CN"/>
              </w:rPr>
            </w:pPr>
            <w:r>
              <w:rPr>
                <w:rFonts w:hint="eastAsia" w:ascii="宋体" w:hAnsi="宋体"/>
                <w:sz w:val="21"/>
                <w:szCs w:val="21"/>
                <w:lang w:eastAsia="zh-CN"/>
              </w:rPr>
              <w:t>和谐小区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2526" w:type="dxa"/>
            <w:gridSpan w:val="2"/>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交易价格（元</w:t>
            </w:r>
            <w:r>
              <w:rPr>
                <w:rFonts w:ascii="宋体" w:hAnsi="宋体"/>
                <w:sz w:val="21"/>
                <w:szCs w:val="21"/>
              </w:rPr>
              <w:t>/</w:t>
            </w:r>
            <w:r>
              <w:rPr>
                <w:rFonts w:hint="eastAsia" w:ascii="宋体" w:hAnsi="宋体"/>
                <w:sz w:val="21"/>
                <w:szCs w:val="21"/>
              </w:rPr>
              <w:t>㎡）</w:t>
            </w:r>
          </w:p>
        </w:tc>
        <w:tc>
          <w:tcPr>
            <w:tcW w:w="1735"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eastAsia="zh-CN"/>
              </w:rPr>
            </w:pPr>
            <w:r>
              <w:rPr>
                <w:rFonts w:hint="eastAsia" w:ascii="宋体" w:hAnsi="宋体"/>
                <w:sz w:val="21"/>
                <w:szCs w:val="21"/>
                <w:lang w:eastAsia="zh-CN"/>
              </w:rPr>
              <w:t>待估</w:t>
            </w:r>
          </w:p>
        </w:tc>
        <w:tc>
          <w:tcPr>
            <w:tcW w:w="1740"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val="en-US" w:eastAsia="zh-CN"/>
              </w:rPr>
            </w:pPr>
            <w:r>
              <w:rPr>
                <w:rFonts w:hint="eastAsia" w:ascii="宋体" w:hAnsi="宋体"/>
                <w:sz w:val="21"/>
                <w:szCs w:val="21"/>
                <w:lang w:val="en-US" w:eastAsia="zh-CN"/>
              </w:rPr>
              <w:t>2321</w:t>
            </w:r>
          </w:p>
        </w:tc>
        <w:tc>
          <w:tcPr>
            <w:tcW w:w="1740"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val="en-US" w:eastAsia="zh-CN"/>
              </w:rPr>
            </w:pPr>
            <w:r>
              <w:rPr>
                <w:rFonts w:hint="eastAsia" w:ascii="宋体" w:hAnsi="宋体"/>
                <w:sz w:val="21"/>
                <w:szCs w:val="21"/>
                <w:lang w:val="en-US" w:eastAsia="zh-CN"/>
              </w:rPr>
              <w:t>3545</w:t>
            </w:r>
          </w:p>
        </w:tc>
        <w:tc>
          <w:tcPr>
            <w:tcW w:w="1739"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lang w:val="en-US" w:eastAsia="zh-CN"/>
              </w:rPr>
            </w:pPr>
            <w:r>
              <w:rPr>
                <w:rFonts w:hint="eastAsia" w:ascii="宋体" w:hAnsi="宋体"/>
                <w:sz w:val="21"/>
                <w:szCs w:val="21"/>
                <w:lang w:val="en-US" w:eastAsia="zh-CN"/>
              </w:rPr>
              <w:t>3658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52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交易方式</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正常</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eastAsia="zh-CN"/>
              </w:rPr>
            </w:pPr>
            <w:r>
              <w:rPr>
                <w:rFonts w:hint="eastAsia" w:ascii="宋体" w:hAnsi="宋体"/>
                <w:sz w:val="21"/>
                <w:szCs w:val="21"/>
              </w:rPr>
              <w:t>正常</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eastAsia="zh-CN"/>
              </w:rPr>
            </w:pPr>
            <w:r>
              <w:rPr>
                <w:rFonts w:hint="eastAsia" w:ascii="宋体" w:hAnsi="宋体"/>
                <w:sz w:val="21"/>
                <w:szCs w:val="21"/>
              </w:rPr>
              <w:t>正常</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lang w:eastAsia="zh-CN"/>
              </w:rPr>
            </w:pPr>
            <w:r>
              <w:rPr>
                <w:rFonts w:hint="eastAsia" w:ascii="宋体" w:hAnsi="宋体"/>
                <w:sz w:val="21"/>
                <w:szCs w:val="21"/>
              </w:rPr>
              <w:t>正常</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52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交易日期</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201</w:t>
            </w:r>
            <w:r>
              <w:rPr>
                <w:rFonts w:hint="eastAsia" w:ascii="宋体" w:hAnsi="宋体"/>
                <w:sz w:val="21"/>
                <w:szCs w:val="21"/>
                <w:lang w:val="en-US" w:eastAsia="zh-CN"/>
              </w:rPr>
              <w:t>9</w:t>
            </w:r>
            <w:r>
              <w:rPr>
                <w:rFonts w:hint="eastAsia" w:ascii="宋体" w:hAnsi="宋体"/>
                <w:sz w:val="21"/>
                <w:szCs w:val="21"/>
              </w:rPr>
              <w:t>年</w:t>
            </w:r>
            <w:r>
              <w:rPr>
                <w:rFonts w:hint="eastAsia" w:ascii="宋体" w:hAnsi="宋体"/>
                <w:sz w:val="21"/>
                <w:szCs w:val="21"/>
                <w:lang w:val="en-US" w:eastAsia="zh-CN"/>
              </w:rPr>
              <w:t>01</w:t>
            </w:r>
            <w:r>
              <w:rPr>
                <w:rFonts w:hint="eastAsia" w:ascii="宋体" w:hAnsi="宋体"/>
                <w:sz w:val="21"/>
                <w:szCs w:val="21"/>
              </w:rPr>
              <w:t>月</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201</w:t>
            </w:r>
            <w:r>
              <w:rPr>
                <w:rFonts w:hint="eastAsia" w:ascii="宋体" w:hAnsi="宋体"/>
                <w:sz w:val="21"/>
                <w:szCs w:val="21"/>
                <w:lang w:val="en-US" w:eastAsia="zh-CN"/>
              </w:rPr>
              <w:t>9</w:t>
            </w:r>
            <w:r>
              <w:rPr>
                <w:rFonts w:hint="eastAsia" w:ascii="宋体" w:hAnsi="宋体"/>
                <w:sz w:val="21"/>
                <w:szCs w:val="21"/>
              </w:rPr>
              <w:t>年</w:t>
            </w:r>
            <w:r>
              <w:rPr>
                <w:rFonts w:hint="eastAsia" w:ascii="宋体" w:hAnsi="宋体"/>
                <w:sz w:val="21"/>
                <w:szCs w:val="21"/>
                <w:lang w:val="en-US" w:eastAsia="zh-CN"/>
              </w:rPr>
              <w:t>01</w:t>
            </w:r>
            <w:r>
              <w:rPr>
                <w:rFonts w:hint="eastAsia" w:ascii="宋体" w:hAnsi="宋体"/>
                <w:sz w:val="21"/>
                <w:szCs w:val="21"/>
              </w:rPr>
              <w:t>月</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201</w:t>
            </w:r>
            <w:r>
              <w:rPr>
                <w:rFonts w:hint="eastAsia" w:ascii="宋体" w:hAnsi="宋体"/>
                <w:sz w:val="21"/>
                <w:szCs w:val="21"/>
                <w:lang w:val="en-US" w:eastAsia="zh-CN"/>
              </w:rPr>
              <w:t>9</w:t>
            </w:r>
            <w:r>
              <w:rPr>
                <w:rFonts w:hint="eastAsia" w:ascii="宋体" w:hAnsi="宋体"/>
                <w:sz w:val="21"/>
                <w:szCs w:val="21"/>
              </w:rPr>
              <w:t>年</w:t>
            </w:r>
            <w:r>
              <w:rPr>
                <w:rFonts w:hint="eastAsia" w:ascii="宋体" w:hAnsi="宋体"/>
                <w:sz w:val="21"/>
                <w:szCs w:val="21"/>
                <w:lang w:val="en-US" w:eastAsia="zh-CN"/>
              </w:rPr>
              <w:t>01</w:t>
            </w:r>
            <w:r>
              <w:rPr>
                <w:rFonts w:hint="eastAsia" w:ascii="宋体" w:hAnsi="宋体"/>
                <w:sz w:val="21"/>
                <w:szCs w:val="21"/>
              </w:rPr>
              <w:t>月</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201</w:t>
            </w:r>
            <w:r>
              <w:rPr>
                <w:rFonts w:hint="eastAsia" w:ascii="宋体" w:hAnsi="宋体"/>
                <w:sz w:val="21"/>
                <w:szCs w:val="21"/>
                <w:lang w:val="en-US" w:eastAsia="zh-CN"/>
              </w:rPr>
              <w:t>9</w:t>
            </w:r>
            <w:r>
              <w:rPr>
                <w:rFonts w:hint="eastAsia" w:ascii="宋体" w:hAnsi="宋体"/>
                <w:sz w:val="21"/>
                <w:szCs w:val="21"/>
              </w:rPr>
              <w:t>年</w:t>
            </w:r>
            <w:r>
              <w:rPr>
                <w:rFonts w:hint="eastAsia" w:ascii="宋体" w:hAnsi="宋体"/>
                <w:sz w:val="21"/>
                <w:szCs w:val="21"/>
                <w:lang w:val="en-US" w:eastAsia="zh-CN"/>
              </w:rPr>
              <w:t>01</w:t>
            </w:r>
            <w:r>
              <w:rPr>
                <w:rFonts w:hint="eastAsia" w:ascii="宋体" w:hAnsi="宋体"/>
                <w:sz w:val="21"/>
                <w:szCs w:val="21"/>
              </w:rPr>
              <w:t>月</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restart"/>
            <w:tcBorders>
              <w:top w:val="single" w:color="auto" w:sz="4" w:space="0"/>
              <w:left w:val="single" w:color="auto" w:sz="4" w:space="0"/>
              <w:right w:val="single" w:color="auto" w:sz="4" w:space="0"/>
            </w:tcBorders>
            <w:noWrap w:val="0"/>
            <w:textDirection w:val="tbRlV"/>
            <w:vAlign w:val="center"/>
          </w:tcPr>
          <w:p>
            <w:pPr>
              <w:spacing w:line="600" w:lineRule="exact"/>
              <w:ind w:left="113" w:right="113"/>
              <w:jc w:val="center"/>
              <w:rPr>
                <w:rFonts w:ascii="宋体" w:hAnsi="宋体"/>
                <w:sz w:val="21"/>
                <w:szCs w:val="21"/>
              </w:rPr>
            </w:pPr>
            <w:r>
              <w:rPr>
                <w:rFonts w:hint="eastAsia" w:ascii="宋体" w:hAnsi="宋体"/>
                <w:sz w:val="21"/>
                <w:szCs w:val="21"/>
              </w:rPr>
              <w:t>区 位</w:t>
            </w:r>
            <w:r>
              <w:rPr>
                <w:rFonts w:ascii="宋体" w:hAnsi="宋体"/>
                <w:sz w:val="21"/>
                <w:szCs w:val="21"/>
              </w:rPr>
              <w:t xml:space="preserve"> </w:t>
            </w:r>
            <w:r>
              <w:rPr>
                <w:rFonts w:hint="eastAsia" w:ascii="宋体" w:hAnsi="宋体"/>
                <w:sz w:val="21"/>
                <w:szCs w:val="21"/>
              </w:rPr>
              <w:t>因</w:t>
            </w:r>
            <w:r>
              <w:rPr>
                <w:rFonts w:ascii="宋体" w:hAnsi="宋体"/>
                <w:sz w:val="21"/>
                <w:szCs w:val="21"/>
              </w:rPr>
              <w:t xml:space="preserve"> </w:t>
            </w:r>
            <w:r>
              <w:rPr>
                <w:rFonts w:hint="eastAsia" w:ascii="宋体" w:hAnsi="宋体"/>
                <w:sz w:val="21"/>
                <w:szCs w:val="21"/>
              </w:rPr>
              <w:t>素</w:t>
            </w: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位置</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居住</w:t>
            </w:r>
            <w:r>
              <w:rPr>
                <w:rFonts w:hint="eastAsia" w:ascii="宋体" w:hAnsi="宋体"/>
                <w:sz w:val="21"/>
                <w:szCs w:val="21"/>
              </w:rPr>
              <w:t>区</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居住</w:t>
            </w:r>
            <w:r>
              <w:rPr>
                <w:rFonts w:hint="eastAsia" w:ascii="宋体" w:hAnsi="宋体"/>
                <w:sz w:val="21"/>
                <w:szCs w:val="21"/>
              </w:rPr>
              <w:t>区</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居住</w:t>
            </w:r>
            <w:r>
              <w:rPr>
                <w:rFonts w:hint="eastAsia" w:ascii="宋体" w:hAnsi="宋体"/>
                <w:sz w:val="21"/>
                <w:szCs w:val="21"/>
              </w:rPr>
              <w:t>区</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居住</w:t>
            </w:r>
            <w:r>
              <w:rPr>
                <w:rFonts w:hint="eastAsia" w:ascii="宋体" w:hAnsi="宋体"/>
                <w:sz w:val="21"/>
                <w:szCs w:val="21"/>
              </w:rPr>
              <w:t>区</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left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交通便捷程度</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高</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高</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高</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高</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left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楼层</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hint="eastAsia" w:ascii="宋体" w:hAnsi="宋体"/>
                <w:sz w:val="21"/>
                <w:szCs w:val="21"/>
                <w:lang w:val="en-US" w:eastAsia="zh-CN"/>
              </w:rPr>
              <w:t>1</w:t>
            </w:r>
            <w:r>
              <w:rPr>
                <w:rFonts w:hint="eastAsia" w:ascii="宋体" w:hAnsi="宋体" w:eastAsia="宋体"/>
                <w:sz w:val="21"/>
                <w:szCs w:val="21"/>
                <w:lang w:val="en-US" w:eastAsia="zh-CN"/>
              </w:rPr>
              <w:t>/18</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hint="eastAsia" w:ascii="宋体" w:hAnsi="宋体"/>
                <w:sz w:val="21"/>
                <w:szCs w:val="21"/>
                <w:lang w:val="en-US" w:eastAsia="zh-CN"/>
              </w:rPr>
              <w:t>1</w:t>
            </w:r>
            <w:r>
              <w:rPr>
                <w:rFonts w:hint="eastAsia" w:ascii="宋体" w:hAnsi="宋体" w:eastAsia="宋体"/>
                <w:sz w:val="21"/>
                <w:szCs w:val="21"/>
                <w:lang w:val="en-US" w:eastAsia="zh-CN"/>
              </w:rPr>
              <w:t>/18</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hint="eastAsia" w:ascii="宋体" w:hAnsi="宋体"/>
                <w:sz w:val="21"/>
                <w:szCs w:val="21"/>
                <w:lang w:val="en-US" w:eastAsia="zh-CN"/>
              </w:rPr>
              <w:t>1/1</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hint="eastAsia" w:ascii="宋体" w:hAnsi="宋体"/>
                <w:sz w:val="21"/>
                <w:szCs w:val="21"/>
                <w:lang w:val="en-US" w:eastAsia="zh-CN"/>
              </w:rPr>
              <w:t>1/6</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left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周围环境</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好</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left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外部配套设施</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left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空间布局</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好</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好</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好</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left w:val="single" w:color="auto" w:sz="4" w:space="0"/>
              <w:bottom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建筑结构</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lang w:eastAsia="zh-CN"/>
              </w:rPr>
              <w:t>框架</w:t>
            </w:r>
            <w:r>
              <w:rPr>
                <w:rFonts w:hint="eastAsia" w:ascii="宋体" w:hAnsi="宋体"/>
                <w:sz w:val="21"/>
                <w:szCs w:val="21"/>
              </w:rPr>
              <w:t>结构</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lang w:eastAsia="zh-CN"/>
              </w:rPr>
              <w:t>框架</w:t>
            </w:r>
            <w:r>
              <w:rPr>
                <w:rFonts w:hint="eastAsia" w:ascii="宋体" w:hAnsi="宋体"/>
                <w:sz w:val="21"/>
                <w:szCs w:val="21"/>
              </w:rPr>
              <w:t>结构</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lang w:eastAsia="zh-CN"/>
              </w:rPr>
              <w:t>混合</w:t>
            </w:r>
            <w:r>
              <w:rPr>
                <w:rFonts w:hint="eastAsia" w:ascii="宋体" w:hAnsi="宋体"/>
                <w:sz w:val="21"/>
                <w:szCs w:val="21"/>
              </w:rPr>
              <w:t>结构</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lang w:eastAsia="zh-CN"/>
              </w:rPr>
              <w:t>混合</w:t>
            </w:r>
            <w:r>
              <w:rPr>
                <w:rFonts w:hint="eastAsia" w:ascii="宋体" w:hAnsi="宋体"/>
                <w:sz w:val="21"/>
                <w:szCs w:val="21"/>
              </w:rPr>
              <w:t>结构</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restart"/>
            <w:tcBorders>
              <w:top w:val="single" w:color="auto" w:sz="4" w:space="0"/>
              <w:left w:val="single" w:color="auto" w:sz="4" w:space="0"/>
              <w:bottom w:val="single" w:color="auto" w:sz="4" w:space="0"/>
              <w:right w:val="single" w:color="auto" w:sz="4" w:space="0"/>
            </w:tcBorders>
            <w:noWrap w:val="0"/>
            <w:textDirection w:val="tbRlV"/>
            <w:vAlign w:val="center"/>
          </w:tcPr>
          <w:p>
            <w:pPr>
              <w:spacing w:line="600" w:lineRule="exact"/>
              <w:ind w:left="113" w:right="113"/>
              <w:jc w:val="center"/>
              <w:rPr>
                <w:rFonts w:ascii="宋体" w:hAnsi="宋体"/>
                <w:sz w:val="21"/>
                <w:szCs w:val="21"/>
              </w:rPr>
            </w:pPr>
            <w:r>
              <w:rPr>
                <w:rFonts w:hint="eastAsia" w:ascii="宋体" w:hAnsi="宋体"/>
                <w:sz w:val="21"/>
                <w:szCs w:val="21"/>
              </w:rPr>
              <w:t>实 物</w:t>
            </w:r>
            <w:r>
              <w:rPr>
                <w:rFonts w:ascii="宋体" w:hAnsi="宋体"/>
                <w:sz w:val="21"/>
                <w:szCs w:val="21"/>
              </w:rPr>
              <w:t xml:space="preserve"> </w:t>
            </w:r>
            <w:r>
              <w:rPr>
                <w:rFonts w:hint="eastAsia" w:ascii="宋体" w:hAnsi="宋体"/>
                <w:sz w:val="21"/>
                <w:szCs w:val="21"/>
              </w:rPr>
              <w:t>因</w:t>
            </w:r>
            <w:r>
              <w:rPr>
                <w:rFonts w:ascii="宋体" w:hAnsi="宋体"/>
                <w:sz w:val="21"/>
                <w:szCs w:val="21"/>
              </w:rPr>
              <w:t xml:space="preserve"> </w:t>
            </w:r>
            <w:r>
              <w:rPr>
                <w:rFonts w:hint="eastAsia" w:ascii="宋体" w:hAnsi="宋体"/>
                <w:sz w:val="21"/>
                <w:szCs w:val="21"/>
              </w:rPr>
              <w:t>素</w:t>
            </w: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装饰装修</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毛坯房</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lang w:eastAsia="zh-CN"/>
              </w:rPr>
              <w:t>普通</w:t>
            </w:r>
            <w:r>
              <w:rPr>
                <w:rFonts w:hint="eastAsia" w:ascii="宋体" w:hAnsi="宋体"/>
                <w:sz w:val="21"/>
                <w:szCs w:val="21"/>
              </w:rPr>
              <w:t>装修</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普通</w:t>
            </w:r>
            <w:r>
              <w:rPr>
                <w:rFonts w:hint="eastAsia" w:ascii="宋体" w:hAnsi="宋体"/>
                <w:sz w:val="21"/>
                <w:szCs w:val="21"/>
              </w:rPr>
              <w:t>装修</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lang w:eastAsia="zh-CN"/>
              </w:rPr>
              <w:t>普通</w:t>
            </w:r>
            <w:r>
              <w:rPr>
                <w:rFonts w:hint="eastAsia" w:ascii="宋体" w:hAnsi="宋体"/>
                <w:sz w:val="21"/>
                <w:szCs w:val="21"/>
              </w:rPr>
              <w:t>装修</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配套设施设备</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齐全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67" w:hRule="atLeast"/>
        </w:trPr>
        <w:tc>
          <w:tcPr>
            <w:tcW w:w="839" w:type="dxa"/>
            <w:vMerge w:val="continue"/>
            <w:tcBorders>
              <w:top w:val="single" w:color="auto" w:sz="4" w:space="0"/>
              <w:left w:val="single" w:color="auto" w:sz="4" w:space="0"/>
              <w:bottom w:val="single" w:color="auto" w:sz="4" w:space="0"/>
              <w:right w:val="single" w:color="auto" w:sz="4" w:space="0"/>
            </w:tcBorders>
            <w:noWrap w:val="0"/>
            <w:vAlign w:val="center"/>
          </w:tcPr>
          <w:p>
            <w:pPr>
              <w:widowControl/>
              <w:spacing w:line="600" w:lineRule="exact"/>
              <w:jc w:val="center"/>
              <w:rPr>
                <w:rFonts w:ascii="宋体" w:hAnsi="宋体"/>
                <w:sz w:val="21"/>
                <w:szCs w:val="21"/>
              </w:rPr>
            </w:pPr>
          </w:p>
        </w:tc>
        <w:tc>
          <w:tcPr>
            <w:tcW w:w="1687"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内部设施</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齐全</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齐全</w:t>
            </w:r>
          </w:p>
        </w:tc>
        <w:tc>
          <w:tcPr>
            <w:tcW w:w="1740"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齐全</w:t>
            </w:r>
          </w:p>
        </w:tc>
        <w:tc>
          <w:tcPr>
            <w:tcW w:w="1739"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齐全</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cantSplit/>
          <w:trHeight w:val="523" w:hRule="atLeast"/>
        </w:trPr>
        <w:tc>
          <w:tcPr>
            <w:tcW w:w="2526" w:type="dxa"/>
            <w:gridSpan w:val="2"/>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权益因素</w:t>
            </w:r>
          </w:p>
        </w:tc>
        <w:tc>
          <w:tcPr>
            <w:tcW w:w="1735"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产权清晰</w:t>
            </w:r>
          </w:p>
        </w:tc>
        <w:tc>
          <w:tcPr>
            <w:tcW w:w="1740"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产权清晰</w:t>
            </w:r>
          </w:p>
        </w:tc>
        <w:tc>
          <w:tcPr>
            <w:tcW w:w="1740"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产权清晰</w:t>
            </w:r>
          </w:p>
        </w:tc>
        <w:tc>
          <w:tcPr>
            <w:tcW w:w="1739" w:type="dxa"/>
            <w:tcBorders>
              <w:top w:val="single" w:color="auto" w:sz="4" w:space="0"/>
              <w:left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产权清晰</w:t>
            </w:r>
          </w:p>
        </w:tc>
      </w:tr>
    </w:tbl>
    <w:p>
      <w:pPr>
        <w:spacing w:line="600" w:lineRule="exact"/>
        <w:jc w:val="center"/>
        <w:rPr>
          <w:rFonts w:ascii="宋体" w:hAnsi="宋体"/>
          <w:sz w:val="24"/>
          <w:szCs w:val="24"/>
        </w:rPr>
      </w:pPr>
      <w:r>
        <w:rPr>
          <w:rFonts w:hint="eastAsia" w:ascii="宋体" w:hAnsi="宋体"/>
          <w:sz w:val="24"/>
          <w:szCs w:val="24"/>
        </w:rPr>
        <w:t>房 地 产 价 格 计 算 表</w:t>
      </w:r>
    </w:p>
    <w:tbl>
      <w:tblPr>
        <w:tblStyle w:val="10"/>
        <w:tblW w:w="9516" w:type="dxa"/>
        <w:tblInd w:w="-48"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2496"/>
        <w:gridCol w:w="2184"/>
        <w:gridCol w:w="2652"/>
        <w:gridCol w:w="2184"/>
      </w:tblGrid>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721" w:hRule="atLeast"/>
        </w:trPr>
        <w:tc>
          <w:tcPr>
            <w:tcW w:w="2496" w:type="dxa"/>
            <w:tcBorders>
              <w:top w:val="single" w:color="auto" w:sz="4" w:space="0"/>
              <w:left w:val="single" w:color="auto" w:sz="4" w:space="0"/>
              <w:bottom w:val="single" w:color="auto" w:sz="4" w:space="0"/>
              <w:right w:val="single" w:color="auto" w:sz="4" w:space="0"/>
              <w:tl2br w:val="single" w:color="auto" w:sz="4" w:space="0"/>
            </w:tcBorders>
            <w:noWrap w:val="0"/>
            <w:vAlign w:val="center"/>
          </w:tcPr>
          <w:p>
            <w:pPr>
              <w:spacing w:line="600" w:lineRule="exact"/>
              <w:ind w:firstLine="738" w:firstLineChars="350"/>
              <w:rPr>
                <w:rFonts w:hint="eastAsia" w:ascii="宋体" w:hAnsi="宋体"/>
                <w:sz w:val="21"/>
                <w:szCs w:val="21"/>
              </w:rPr>
            </w:pPr>
            <w:r>
              <w:rPr>
                <w:rFonts w:hint="eastAsia" w:ascii="宋体" w:hAnsi="宋体"/>
                <w:sz w:val="21"/>
                <w:szCs w:val="21"/>
              </w:rPr>
              <w:t>实例及估价对象</w:t>
            </w:r>
          </w:p>
          <w:p>
            <w:pPr>
              <w:spacing w:line="600" w:lineRule="exact"/>
              <w:ind w:firstLine="105" w:firstLineChars="50"/>
              <w:rPr>
                <w:rFonts w:ascii="宋体" w:hAnsi="宋体"/>
                <w:sz w:val="21"/>
                <w:szCs w:val="21"/>
              </w:rPr>
            </w:pPr>
            <w:r>
              <w:rPr>
                <w:rFonts w:hint="eastAsia" w:ascii="宋体" w:hAnsi="宋体"/>
                <w:sz w:val="21"/>
                <w:szCs w:val="21"/>
              </w:rPr>
              <w:t>因素</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实例</w:t>
            </w:r>
            <w:r>
              <w:rPr>
                <w:rFonts w:ascii="宋体" w:hAnsi="宋体"/>
                <w:sz w:val="21"/>
                <w:szCs w:val="21"/>
              </w:rPr>
              <w:t>A</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实例</w:t>
            </w:r>
            <w:r>
              <w:rPr>
                <w:rFonts w:ascii="宋体" w:hAnsi="宋体"/>
                <w:sz w:val="21"/>
                <w:szCs w:val="21"/>
              </w:rPr>
              <w:t>B</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实例</w:t>
            </w:r>
            <w:r>
              <w:rPr>
                <w:rFonts w:ascii="宋体" w:hAnsi="宋体"/>
                <w:sz w:val="21"/>
                <w:szCs w:val="21"/>
              </w:rPr>
              <w:t>C</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交易价格（元</w:t>
            </w:r>
            <w:r>
              <w:rPr>
                <w:rFonts w:ascii="宋体" w:hAnsi="宋体"/>
                <w:sz w:val="21"/>
                <w:szCs w:val="21"/>
              </w:rPr>
              <w:t>/</w:t>
            </w:r>
            <w:r>
              <w:rPr>
                <w:rFonts w:hint="eastAsia" w:ascii="宋体" w:hAnsi="宋体"/>
                <w:sz w:val="21"/>
                <w:szCs w:val="21"/>
              </w:rPr>
              <w:t>㎡）</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cs="宋体"/>
                <w:sz w:val="21"/>
                <w:szCs w:val="21"/>
              </w:rPr>
            </w:pPr>
            <w:r>
              <w:rPr>
                <w:rFonts w:hint="eastAsia" w:ascii="宋体" w:hAnsi="宋体"/>
                <w:sz w:val="21"/>
                <w:szCs w:val="21"/>
                <w:lang w:val="en-US" w:eastAsia="zh-CN"/>
              </w:rPr>
              <w:t>2321</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cs="宋体"/>
                <w:sz w:val="21"/>
                <w:szCs w:val="21"/>
              </w:rPr>
            </w:pPr>
            <w:r>
              <w:rPr>
                <w:rFonts w:hint="eastAsia" w:ascii="宋体" w:hAnsi="宋体" w:cs="宋体"/>
                <w:sz w:val="21"/>
                <w:szCs w:val="21"/>
                <w:lang w:val="en-US" w:eastAsia="zh-CN"/>
              </w:rPr>
              <w:t>3545</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cs="宋体"/>
                <w:sz w:val="21"/>
                <w:szCs w:val="21"/>
              </w:rPr>
            </w:pPr>
            <w:r>
              <w:rPr>
                <w:rFonts w:hint="eastAsia" w:ascii="宋体" w:hAnsi="宋体"/>
                <w:sz w:val="21"/>
                <w:szCs w:val="21"/>
                <w:lang w:val="en-US" w:eastAsia="zh-CN"/>
              </w:rPr>
              <w:t>3658</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交易方式</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ascii="宋体" w:hAnsi="宋体"/>
                <w:sz w:val="21"/>
                <w:szCs w:val="21"/>
              </w:rPr>
              <w:t>100/100</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ascii="宋体" w:hAnsi="宋体"/>
                <w:sz w:val="21"/>
                <w:szCs w:val="21"/>
              </w:rPr>
              <w:t>100/100</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ascii="宋体" w:hAnsi="宋体"/>
                <w:sz w:val="21"/>
                <w:szCs w:val="21"/>
              </w:rPr>
              <w:t>100/100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交易日期</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ascii="宋体" w:hAnsi="宋体"/>
                <w:sz w:val="21"/>
                <w:szCs w:val="21"/>
              </w:rPr>
              <w:t>100/</w:t>
            </w:r>
            <w:r>
              <w:rPr>
                <w:rFonts w:hint="eastAsia" w:ascii="宋体" w:hAnsi="宋体"/>
                <w:sz w:val="21"/>
                <w:szCs w:val="21"/>
              </w:rPr>
              <w:t>100</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ascii="宋体" w:hAnsi="宋体"/>
                <w:sz w:val="21"/>
                <w:szCs w:val="21"/>
              </w:rPr>
              <w:t>100/</w:t>
            </w:r>
            <w:r>
              <w:rPr>
                <w:rFonts w:hint="eastAsia" w:ascii="宋体" w:hAnsi="宋体"/>
                <w:sz w:val="21"/>
                <w:szCs w:val="21"/>
              </w:rPr>
              <w:t>100</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ascii="宋体" w:hAnsi="宋体"/>
                <w:sz w:val="21"/>
                <w:szCs w:val="21"/>
              </w:rPr>
              <w:t>100/</w:t>
            </w:r>
            <w:r>
              <w:rPr>
                <w:rFonts w:hint="eastAsia" w:ascii="宋体" w:hAnsi="宋体"/>
                <w:sz w:val="21"/>
                <w:szCs w:val="21"/>
              </w:rPr>
              <w:t>100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区位因素</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ascii="宋体" w:hAnsi="宋体"/>
                <w:sz w:val="21"/>
                <w:szCs w:val="21"/>
              </w:rPr>
              <w:t>100/</w:t>
            </w:r>
            <w:r>
              <w:rPr>
                <w:rFonts w:hint="eastAsia" w:ascii="宋体" w:hAnsi="宋体"/>
                <w:sz w:val="21"/>
                <w:szCs w:val="21"/>
                <w:lang w:val="en-US" w:eastAsia="zh-CN"/>
              </w:rPr>
              <w:t>104</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ascii="宋体" w:hAnsi="宋体"/>
                <w:sz w:val="21"/>
                <w:szCs w:val="21"/>
              </w:rPr>
              <w:t>100/</w:t>
            </w:r>
            <w:r>
              <w:rPr>
                <w:rFonts w:hint="eastAsia" w:ascii="宋体" w:hAnsi="宋体"/>
                <w:sz w:val="21"/>
                <w:szCs w:val="21"/>
                <w:lang w:val="en-US" w:eastAsia="zh-CN"/>
              </w:rPr>
              <w:t>110</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ascii="宋体" w:hAnsi="宋体"/>
                <w:sz w:val="21"/>
                <w:szCs w:val="21"/>
              </w:rPr>
              <w:t>100/</w:t>
            </w:r>
            <w:r>
              <w:rPr>
                <w:rFonts w:hint="eastAsia" w:ascii="宋体" w:hAnsi="宋体"/>
                <w:sz w:val="21"/>
                <w:szCs w:val="21"/>
                <w:lang w:val="en-US" w:eastAsia="zh-CN"/>
              </w:rPr>
              <w:t>110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实物因素</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ascii="宋体" w:hAnsi="宋体"/>
                <w:sz w:val="21"/>
                <w:szCs w:val="21"/>
              </w:rPr>
              <w:t>100/</w:t>
            </w:r>
            <w:r>
              <w:rPr>
                <w:rFonts w:hint="eastAsia" w:ascii="宋体" w:hAnsi="宋体"/>
                <w:sz w:val="21"/>
                <w:szCs w:val="21"/>
              </w:rPr>
              <w:t>1</w:t>
            </w:r>
            <w:r>
              <w:rPr>
                <w:rFonts w:hint="eastAsia" w:ascii="宋体" w:hAnsi="宋体"/>
                <w:sz w:val="21"/>
                <w:szCs w:val="21"/>
                <w:lang w:val="en-US" w:eastAsia="zh-CN"/>
              </w:rPr>
              <w:t>10</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ascii="宋体" w:hAnsi="宋体"/>
                <w:sz w:val="21"/>
                <w:szCs w:val="21"/>
              </w:rPr>
              <w:t>100/</w:t>
            </w:r>
            <w:r>
              <w:rPr>
                <w:rFonts w:hint="eastAsia" w:ascii="宋体" w:hAnsi="宋体"/>
                <w:sz w:val="21"/>
                <w:szCs w:val="21"/>
              </w:rPr>
              <w:t>1</w:t>
            </w:r>
            <w:r>
              <w:rPr>
                <w:rFonts w:hint="eastAsia" w:ascii="宋体" w:hAnsi="宋体"/>
                <w:sz w:val="21"/>
                <w:szCs w:val="21"/>
                <w:lang w:val="en-US" w:eastAsia="zh-CN"/>
              </w:rPr>
              <w:t>20</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ascii="宋体" w:hAnsi="宋体"/>
                <w:sz w:val="21"/>
                <w:szCs w:val="21"/>
              </w:rPr>
              <w:t>100/</w:t>
            </w:r>
            <w:r>
              <w:rPr>
                <w:rFonts w:hint="eastAsia" w:ascii="宋体" w:hAnsi="宋体"/>
                <w:sz w:val="21"/>
                <w:szCs w:val="21"/>
              </w:rPr>
              <w:t>1</w:t>
            </w:r>
            <w:r>
              <w:rPr>
                <w:rFonts w:hint="eastAsia" w:ascii="宋体" w:hAnsi="宋体"/>
                <w:sz w:val="21"/>
                <w:szCs w:val="21"/>
                <w:lang w:val="en-US" w:eastAsia="zh-CN"/>
              </w:rPr>
              <w:t>2</w:t>
            </w:r>
            <w:r>
              <w:rPr>
                <w:rFonts w:hint="eastAsia" w:ascii="宋体" w:hAnsi="宋体"/>
                <w:sz w:val="21"/>
                <w:szCs w:val="21"/>
              </w:rPr>
              <w:t>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权益因素</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100/100</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sz w:val="21"/>
                <w:szCs w:val="21"/>
              </w:rPr>
            </w:pPr>
            <w:r>
              <w:rPr>
                <w:rFonts w:hint="eastAsia" w:ascii="宋体" w:hAnsi="宋体"/>
                <w:sz w:val="21"/>
                <w:szCs w:val="21"/>
              </w:rPr>
              <w:t>100/100</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eastAsia="宋体"/>
                <w:sz w:val="21"/>
                <w:szCs w:val="21"/>
                <w:lang w:val="en-US" w:eastAsia="zh-CN"/>
              </w:rPr>
            </w:pPr>
            <w:r>
              <w:rPr>
                <w:rFonts w:hint="eastAsia" w:ascii="宋体" w:hAnsi="宋体"/>
                <w:sz w:val="21"/>
                <w:szCs w:val="21"/>
              </w:rPr>
              <w:t>100/1</w:t>
            </w:r>
            <w:r>
              <w:rPr>
                <w:rFonts w:hint="eastAsia" w:ascii="宋体" w:hAnsi="宋体"/>
                <w:sz w:val="21"/>
                <w:szCs w:val="21"/>
                <w:lang w:val="en-US" w:eastAsia="zh-CN"/>
              </w:rPr>
              <w:t>00</w:t>
            </w:r>
          </w:p>
        </w:tc>
      </w:tr>
      <w:tr>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Ex>
        <w:trPr>
          <w:trHeight w:val="567" w:hRule="atLeast"/>
        </w:trPr>
        <w:tc>
          <w:tcPr>
            <w:tcW w:w="2496" w:type="dxa"/>
            <w:tcBorders>
              <w:top w:val="nil"/>
              <w:left w:val="single" w:color="auto" w:sz="4" w:space="0"/>
              <w:bottom w:val="single" w:color="auto" w:sz="4" w:space="0"/>
              <w:right w:val="single" w:color="auto" w:sz="4" w:space="0"/>
            </w:tcBorders>
            <w:noWrap w:val="0"/>
            <w:vAlign w:val="center"/>
          </w:tcPr>
          <w:p>
            <w:pPr>
              <w:spacing w:line="600" w:lineRule="exact"/>
              <w:jc w:val="center"/>
              <w:rPr>
                <w:rFonts w:ascii="宋体" w:hAnsi="宋体"/>
                <w:sz w:val="21"/>
                <w:szCs w:val="21"/>
              </w:rPr>
            </w:pPr>
            <w:r>
              <w:rPr>
                <w:rFonts w:hint="eastAsia" w:ascii="宋体" w:hAnsi="宋体"/>
                <w:sz w:val="21"/>
                <w:szCs w:val="21"/>
              </w:rPr>
              <w:t>比较价格（元</w:t>
            </w:r>
            <w:r>
              <w:rPr>
                <w:rFonts w:ascii="宋体" w:hAnsi="宋体"/>
                <w:sz w:val="21"/>
                <w:szCs w:val="21"/>
              </w:rPr>
              <w:t>/</w:t>
            </w:r>
            <w:r>
              <w:rPr>
                <w:rFonts w:hint="eastAsia" w:ascii="宋体" w:hAnsi="宋体"/>
                <w:sz w:val="21"/>
                <w:szCs w:val="21"/>
              </w:rPr>
              <w:t>㎡）</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cs="宋体"/>
                <w:sz w:val="21"/>
                <w:szCs w:val="21"/>
                <w:lang w:val="en-US"/>
              </w:rPr>
            </w:pPr>
            <w:r>
              <w:rPr>
                <w:rFonts w:hint="eastAsia" w:ascii="宋体" w:hAnsi="宋体"/>
                <w:sz w:val="21"/>
                <w:szCs w:val="21"/>
                <w:lang w:val="en-US" w:eastAsia="zh-CN"/>
              </w:rPr>
              <w:t>2029</w:t>
            </w:r>
          </w:p>
        </w:tc>
        <w:tc>
          <w:tcPr>
            <w:tcW w:w="2652"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cs="宋体"/>
                <w:sz w:val="21"/>
                <w:szCs w:val="21"/>
                <w:lang w:val="en-US"/>
              </w:rPr>
            </w:pPr>
            <w:r>
              <w:rPr>
                <w:rFonts w:hint="eastAsia" w:ascii="宋体" w:hAnsi="宋体" w:cs="宋体"/>
                <w:sz w:val="21"/>
                <w:szCs w:val="21"/>
                <w:lang w:val="en-US" w:eastAsia="zh-CN"/>
              </w:rPr>
              <w:t>2686</w:t>
            </w:r>
          </w:p>
        </w:tc>
        <w:tc>
          <w:tcPr>
            <w:tcW w:w="2184" w:type="dxa"/>
            <w:tcBorders>
              <w:top w:val="single" w:color="auto" w:sz="4" w:space="0"/>
              <w:left w:val="single" w:color="auto" w:sz="4" w:space="0"/>
              <w:bottom w:val="single" w:color="auto" w:sz="4" w:space="0"/>
              <w:right w:val="single" w:color="auto" w:sz="4" w:space="0"/>
            </w:tcBorders>
            <w:noWrap w:val="0"/>
            <w:vAlign w:val="center"/>
          </w:tcPr>
          <w:p>
            <w:pPr>
              <w:spacing w:line="600" w:lineRule="exact"/>
              <w:jc w:val="center"/>
              <w:rPr>
                <w:rFonts w:hint="eastAsia" w:ascii="宋体" w:hAnsi="宋体" w:cs="宋体"/>
                <w:sz w:val="21"/>
                <w:szCs w:val="21"/>
                <w:lang w:val="en-US"/>
              </w:rPr>
            </w:pPr>
            <w:r>
              <w:rPr>
                <w:rFonts w:hint="eastAsia" w:ascii="宋体" w:hAnsi="宋体"/>
                <w:sz w:val="21"/>
                <w:szCs w:val="21"/>
                <w:lang w:val="en-US" w:eastAsia="zh-CN"/>
              </w:rPr>
              <w:t>2771</w:t>
            </w:r>
          </w:p>
        </w:tc>
      </w:tr>
    </w:tbl>
    <w:p>
      <w:pPr>
        <w:tabs>
          <w:tab w:val="left" w:pos="0"/>
        </w:tabs>
        <w:spacing w:line="600" w:lineRule="exact"/>
        <w:rPr>
          <w:rFonts w:hint="eastAsia" w:ascii="宋体" w:hAnsi="宋体"/>
          <w:sz w:val="24"/>
          <w:szCs w:val="28"/>
        </w:rPr>
      </w:pPr>
      <w:r>
        <w:rPr>
          <w:rFonts w:hint="eastAsia" w:ascii="宋体" w:hAnsi="宋体"/>
          <w:sz w:val="24"/>
          <w:szCs w:val="28"/>
        </w:rPr>
        <w:t xml:space="preserve"> C、调整后各案例的比较价格差距较小，对调整后的比较价格进行综合平均，得到估价对象的比较价格为：（</w:t>
      </w:r>
      <w:r>
        <w:rPr>
          <w:rFonts w:hint="eastAsia" w:ascii="宋体" w:hAnsi="宋体"/>
          <w:sz w:val="24"/>
          <w:szCs w:val="28"/>
          <w:lang w:val="en-US" w:eastAsia="zh-CN"/>
        </w:rPr>
        <w:t>2029</w:t>
      </w:r>
      <w:r>
        <w:rPr>
          <w:rFonts w:hint="eastAsia" w:ascii="宋体" w:hAnsi="宋体"/>
          <w:sz w:val="24"/>
          <w:szCs w:val="28"/>
        </w:rPr>
        <w:t>+</w:t>
      </w:r>
      <w:r>
        <w:rPr>
          <w:rFonts w:hint="eastAsia" w:ascii="宋体" w:hAnsi="宋体"/>
          <w:sz w:val="24"/>
          <w:szCs w:val="28"/>
          <w:lang w:val="en-US" w:eastAsia="zh-CN"/>
        </w:rPr>
        <w:t>2686</w:t>
      </w:r>
      <w:r>
        <w:rPr>
          <w:rFonts w:hint="eastAsia" w:ascii="宋体" w:hAnsi="宋体"/>
          <w:sz w:val="24"/>
          <w:szCs w:val="28"/>
        </w:rPr>
        <w:t>+</w:t>
      </w:r>
      <w:r>
        <w:rPr>
          <w:rFonts w:hint="eastAsia" w:ascii="宋体" w:hAnsi="宋体"/>
          <w:sz w:val="24"/>
          <w:szCs w:val="28"/>
          <w:lang w:val="en-US" w:eastAsia="zh-CN"/>
        </w:rPr>
        <w:t>2771</w:t>
      </w:r>
      <w:r>
        <w:rPr>
          <w:rFonts w:hint="eastAsia" w:ascii="宋体" w:hAnsi="宋体"/>
          <w:sz w:val="24"/>
          <w:szCs w:val="28"/>
        </w:rPr>
        <w:t>）÷3≈</w:t>
      </w:r>
      <w:r>
        <w:rPr>
          <w:rFonts w:hint="eastAsia" w:ascii="宋体" w:hAnsi="宋体"/>
          <w:sz w:val="24"/>
          <w:szCs w:val="28"/>
          <w:lang w:val="en-US" w:eastAsia="zh-CN"/>
        </w:rPr>
        <w:t>2495</w:t>
      </w:r>
      <w:r>
        <w:rPr>
          <w:rFonts w:hint="eastAsia" w:ascii="宋体" w:hAnsi="宋体"/>
          <w:sz w:val="24"/>
          <w:szCs w:val="28"/>
        </w:rPr>
        <w:t>元/㎡</w:t>
      </w:r>
    </w:p>
    <w:p>
      <w:pPr>
        <w:spacing w:line="600" w:lineRule="exact"/>
        <w:rPr>
          <w:rFonts w:hint="eastAsia"/>
          <w:sz w:val="24"/>
          <w:szCs w:val="24"/>
        </w:rPr>
      </w:pPr>
      <w:r>
        <w:rPr>
          <w:rFonts w:hint="eastAsia" w:ascii="宋体" w:hAnsi="宋体"/>
          <w:bCs/>
          <w:sz w:val="24"/>
          <w:szCs w:val="24"/>
        </w:rPr>
        <w:t>（二）</w:t>
      </w:r>
      <w:r>
        <w:rPr>
          <w:rFonts w:hint="eastAsia" w:ascii="宋体" w:hAnsi="宋体"/>
          <w:sz w:val="24"/>
          <w:szCs w:val="24"/>
        </w:rPr>
        <w:t>收益法</w:t>
      </w:r>
      <w:r>
        <w:rPr>
          <w:rFonts w:hint="eastAsia"/>
          <w:sz w:val="24"/>
          <w:szCs w:val="24"/>
        </w:rPr>
        <w:t>测算过程</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（1）潜在年总收益</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综合考虑估价对象建筑结构和平面布置情况，根据市场调查及委托人提供的情况，确定其租金毛收入平均为</w:t>
      </w:r>
      <w:r>
        <w:rPr>
          <w:rFonts w:hint="eastAsia" w:ascii="宋体" w:hAnsi="宋体"/>
          <w:sz w:val="24"/>
          <w:szCs w:val="24"/>
          <w:lang w:val="en-US" w:eastAsia="zh-CN"/>
        </w:rPr>
        <w:t>0.6</w:t>
      </w:r>
      <w:r>
        <w:rPr>
          <w:rFonts w:hint="eastAsia" w:ascii="宋体" w:hAnsi="宋体"/>
          <w:sz w:val="24"/>
          <w:szCs w:val="24"/>
        </w:rPr>
        <w:t>元/天·m</w:t>
      </w:r>
      <w:r>
        <w:rPr>
          <w:rFonts w:hint="eastAsia" w:ascii="宋体" w:hAnsi="宋体"/>
          <w:sz w:val="24"/>
          <w:szCs w:val="24"/>
          <w:vertAlign w:val="superscript"/>
        </w:rPr>
        <w:t>2</w:t>
      </w:r>
      <w:r>
        <w:rPr>
          <w:rFonts w:hint="eastAsia" w:ascii="宋体" w:hAnsi="宋体"/>
          <w:sz w:val="24"/>
          <w:szCs w:val="24"/>
        </w:rPr>
        <w:t>，合计每年每平米</w:t>
      </w:r>
      <w:r>
        <w:rPr>
          <w:rFonts w:hint="eastAsia" w:ascii="宋体" w:hAnsi="宋体"/>
          <w:sz w:val="24"/>
          <w:szCs w:val="24"/>
          <w:lang w:val="en-US" w:eastAsia="zh-CN"/>
        </w:rPr>
        <w:t>219</w:t>
      </w:r>
      <w:r>
        <w:rPr>
          <w:rFonts w:hint="eastAsia" w:ascii="宋体" w:hAnsi="宋体"/>
          <w:sz w:val="24"/>
          <w:szCs w:val="24"/>
        </w:rPr>
        <w:t>元。</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（2）有效年总收益</w:t>
      </w:r>
      <w:r>
        <w:rPr>
          <w:rFonts w:hint="eastAsia" w:ascii="宋体" w:hAnsi="宋体"/>
          <w:sz w:val="24"/>
          <w:szCs w:val="24"/>
        </w:rPr>
        <w:tab/>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按正常出租闲置率并考虑拖欠租金以及其他原因造成的收入损失，按毛租金收入的5%计算。则：</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有效年总收益=</w:t>
      </w:r>
      <w:r>
        <w:rPr>
          <w:rFonts w:hint="eastAsia" w:ascii="宋体" w:hAnsi="宋体"/>
          <w:sz w:val="24"/>
          <w:szCs w:val="24"/>
          <w:lang w:val="en-US" w:eastAsia="zh-CN"/>
        </w:rPr>
        <w:t>219</w:t>
      </w:r>
      <w:r>
        <w:rPr>
          <w:rFonts w:hint="eastAsia" w:ascii="宋体" w:hAnsi="宋体"/>
          <w:sz w:val="24"/>
          <w:szCs w:val="24"/>
        </w:rPr>
        <w:t>元×（100%-5%）=</w:t>
      </w:r>
      <w:r>
        <w:rPr>
          <w:rFonts w:hint="eastAsia" w:ascii="宋体" w:hAnsi="宋体"/>
          <w:sz w:val="24"/>
          <w:szCs w:val="24"/>
          <w:lang w:val="en-US" w:eastAsia="zh-CN"/>
        </w:rPr>
        <w:t>208.05</w:t>
      </w:r>
      <w:r>
        <w:rPr>
          <w:rFonts w:hint="eastAsia" w:ascii="宋体" w:hAnsi="宋体"/>
          <w:sz w:val="24"/>
          <w:szCs w:val="24"/>
        </w:rPr>
        <w:t>元/㎡</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（3）客观年运营费用</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委估对象为</w:t>
      </w:r>
      <w:r>
        <w:rPr>
          <w:rFonts w:hint="eastAsia" w:ascii="宋体" w:hAnsi="宋体"/>
          <w:sz w:val="24"/>
          <w:szCs w:val="24"/>
          <w:lang w:eastAsia="zh-CN"/>
        </w:rPr>
        <w:t>框架</w:t>
      </w:r>
      <w:r>
        <w:rPr>
          <w:rFonts w:hint="eastAsia" w:ascii="宋体" w:hAnsi="宋体"/>
          <w:sz w:val="24"/>
          <w:szCs w:val="24"/>
        </w:rPr>
        <w:t>结构，</w:t>
      </w:r>
      <w:r>
        <w:rPr>
          <w:rFonts w:hint="eastAsia" w:ascii="宋体" w:hAnsi="宋体"/>
          <w:sz w:val="24"/>
        </w:rPr>
        <w:t>根据当地目前同一区域、同种结构、用途房屋的建筑安装工程造价水平，结合估价对象的具体情况进行调查了解和分析，</w:t>
      </w:r>
      <w:r>
        <w:rPr>
          <w:rFonts w:hint="eastAsia" w:ascii="宋体" w:hAnsi="宋体"/>
          <w:sz w:val="24"/>
          <w:szCs w:val="24"/>
        </w:rPr>
        <w:t>确定其重置价为</w:t>
      </w:r>
      <w:r>
        <w:rPr>
          <w:rFonts w:hint="eastAsia" w:ascii="宋体" w:hAnsi="宋体"/>
          <w:sz w:val="24"/>
          <w:szCs w:val="24"/>
          <w:lang w:val="en-US" w:eastAsia="zh-CN"/>
        </w:rPr>
        <w:t>2</w:t>
      </w:r>
      <w:r>
        <w:rPr>
          <w:rFonts w:hint="eastAsia" w:ascii="宋体" w:hAnsi="宋体"/>
          <w:sz w:val="24"/>
          <w:szCs w:val="24"/>
        </w:rPr>
        <w:t>500元/㎡。</w:t>
      </w:r>
    </w:p>
    <w:p>
      <w:pPr>
        <w:autoSpaceDE w:val="0"/>
        <w:autoSpaceDN w:val="0"/>
        <w:spacing w:line="600" w:lineRule="exact"/>
        <w:ind w:firstLine="482" w:firstLineChars="200"/>
        <w:rPr>
          <w:rFonts w:hint="eastAsia" w:ascii="宋体" w:hAnsi="宋体"/>
          <w:sz w:val="24"/>
          <w:szCs w:val="24"/>
        </w:rPr>
      </w:pPr>
      <w:r>
        <w:rPr>
          <w:rFonts w:ascii="宋体" w:hAnsi="宋体"/>
          <w:sz w:val="24"/>
          <w:szCs w:val="24"/>
        </w:rPr>
        <w:t>A</w:t>
      </w:r>
      <w:r>
        <w:rPr>
          <w:rFonts w:hint="eastAsia" w:ascii="宋体" w:hAnsi="宋体"/>
          <w:sz w:val="24"/>
          <w:szCs w:val="24"/>
        </w:rPr>
        <w:t>、房产税：按年有效租金收入的12%计算。</w:t>
      </w:r>
    </w:p>
    <w:p>
      <w:pPr>
        <w:autoSpaceDE w:val="0"/>
        <w:autoSpaceDN w:val="0"/>
        <w:spacing w:line="600" w:lineRule="exact"/>
        <w:ind w:firstLine="482" w:firstLineChars="200"/>
        <w:rPr>
          <w:rFonts w:hint="eastAsia" w:ascii="宋体" w:hAnsi="宋体"/>
          <w:sz w:val="24"/>
          <w:szCs w:val="24"/>
        </w:rPr>
      </w:pPr>
      <w:r>
        <w:rPr>
          <w:rFonts w:ascii="宋体" w:hAnsi="宋体"/>
          <w:sz w:val="24"/>
          <w:szCs w:val="24"/>
        </w:rPr>
        <w:t>B</w:t>
      </w:r>
      <w:r>
        <w:rPr>
          <w:rFonts w:hint="eastAsia" w:ascii="宋体" w:hAnsi="宋体"/>
          <w:sz w:val="24"/>
          <w:szCs w:val="24"/>
        </w:rPr>
        <w:t>、</w:t>
      </w:r>
      <w:r>
        <w:rPr>
          <w:rFonts w:hint="eastAsia" w:ascii="宋体" w:hAnsi="宋体"/>
          <w:sz w:val="24"/>
        </w:rPr>
        <w:t>税金及附加</w:t>
      </w:r>
      <w:r>
        <w:rPr>
          <w:rFonts w:hint="eastAsia" w:ascii="宋体" w:hAnsi="宋体"/>
          <w:sz w:val="24"/>
          <w:szCs w:val="24"/>
        </w:rPr>
        <w:t>：按年有效租金收入的0.48%计算。</w:t>
      </w:r>
    </w:p>
    <w:p>
      <w:pPr>
        <w:autoSpaceDE w:val="0"/>
        <w:autoSpaceDN w:val="0"/>
        <w:spacing w:line="600" w:lineRule="exact"/>
        <w:ind w:firstLine="482" w:firstLineChars="200"/>
        <w:rPr>
          <w:rFonts w:hint="eastAsia" w:ascii="宋体" w:hAnsi="宋体"/>
          <w:sz w:val="24"/>
          <w:szCs w:val="24"/>
        </w:rPr>
      </w:pPr>
      <w:r>
        <w:rPr>
          <w:rFonts w:ascii="宋体" w:hAnsi="宋体"/>
          <w:sz w:val="24"/>
          <w:szCs w:val="24"/>
        </w:rPr>
        <w:t>C</w:t>
      </w:r>
      <w:r>
        <w:rPr>
          <w:rFonts w:hint="eastAsia" w:ascii="宋体" w:hAnsi="宋体"/>
          <w:sz w:val="24"/>
          <w:szCs w:val="24"/>
        </w:rPr>
        <w:t>、物业管理费：包括正常使用下的能源费、清洁费以及员工工资、福利等费用，按年有效租金收入的2%计算。</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D、</w:t>
      </w:r>
      <w:r>
        <w:rPr>
          <w:rFonts w:hint="eastAsia" w:ascii="宋体" w:hAnsi="宋体"/>
          <w:sz w:val="24"/>
          <w:szCs w:val="28"/>
        </w:rPr>
        <w:t>保险费</w:t>
      </w:r>
      <w:r>
        <w:rPr>
          <w:rFonts w:hint="eastAsia" w:ascii="宋体" w:hAnsi="宋体"/>
          <w:sz w:val="24"/>
          <w:szCs w:val="24"/>
        </w:rPr>
        <w:t>：按房屋现值的3‰计算。</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E、房屋修缮费：指为保证房屋正常使用而进行定期维修和日常修理所需费用。按房屋现值的2%计算。</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G、年客观年运营成本</w:t>
      </w:r>
    </w:p>
    <w:p>
      <w:pPr>
        <w:autoSpaceDE w:val="0"/>
        <w:autoSpaceDN w:val="0"/>
        <w:spacing w:line="600" w:lineRule="exact"/>
        <w:ind w:firstLine="602" w:firstLineChars="250"/>
        <w:rPr>
          <w:rFonts w:hint="eastAsia" w:ascii="宋体" w:hAnsi="宋体"/>
          <w:sz w:val="24"/>
          <w:szCs w:val="24"/>
        </w:rPr>
      </w:pPr>
      <w:r>
        <w:rPr>
          <w:rFonts w:hint="eastAsia" w:ascii="宋体" w:hAnsi="宋体"/>
          <w:sz w:val="24"/>
          <w:szCs w:val="24"/>
        </w:rPr>
        <w:t>年客观年运营成本=</w:t>
      </w:r>
      <w:r>
        <w:rPr>
          <w:rFonts w:hint="eastAsia" w:ascii="宋体" w:hAnsi="宋体"/>
          <w:sz w:val="24"/>
          <w:szCs w:val="24"/>
          <w:lang w:val="en-US" w:eastAsia="zh-CN"/>
        </w:rPr>
        <w:t>208.05</w:t>
      </w:r>
      <w:r>
        <w:rPr>
          <w:rFonts w:hint="eastAsia" w:ascii="宋体" w:hAnsi="宋体"/>
          <w:sz w:val="24"/>
          <w:szCs w:val="24"/>
        </w:rPr>
        <w:t>元/㎡×14.48%+</w:t>
      </w:r>
      <w:r>
        <w:rPr>
          <w:rFonts w:hint="eastAsia" w:ascii="宋体" w:hAnsi="宋体"/>
          <w:sz w:val="24"/>
          <w:szCs w:val="24"/>
          <w:lang w:val="en-US" w:eastAsia="zh-CN"/>
        </w:rPr>
        <w:t>2</w:t>
      </w:r>
      <w:r>
        <w:rPr>
          <w:rFonts w:hint="eastAsia" w:ascii="宋体" w:hAnsi="宋体"/>
          <w:sz w:val="24"/>
          <w:szCs w:val="24"/>
        </w:rPr>
        <w:t>500元/㎡×（3‰+2%）</w:t>
      </w:r>
    </w:p>
    <w:p>
      <w:pPr>
        <w:autoSpaceDE w:val="0"/>
        <w:autoSpaceDN w:val="0"/>
        <w:spacing w:line="600" w:lineRule="exact"/>
        <w:ind w:firstLine="2530" w:firstLineChars="1050"/>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30.13</w:t>
      </w:r>
      <w:r>
        <w:rPr>
          <w:rFonts w:hint="eastAsia" w:ascii="宋体" w:hAnsi="宋体"/>
          <w:sz w:val="24"/>
          <w:szCs w:val="24"/>
        </w:rPr>
        <w:t>元/㎡+</w:t>
      </w:r>
      <w:r>
        <w:rPr>
          <w:rFonts w:hint="eastAsia" w:ascii="宋体" w:hAnsi="宋体"/>
          <w:sz w:val="24"/>
          <w:szCs w:val="24"/>
          <w:lang w:val="en-US" w:eastAsia="zh-CN"/>
        </w:rPr>
        <w:t>57.5</w:t>
      </w:r>
      <w:r>
        <w:rPr>
          <w:rFonts w:hint="eastAsia" w:ascii="宋体" w:hAnsi="宋体"/>
          <w:sz w:val="24"/>
          <w:szCs w:val="24"/>
        </w:rPr>
        <w:t>元/㎡</w:t>
      </w:r>
    </w:p>
    <w:p>
      <w:pPr>
        <w:autoSpaceDE w:val="0"/>
        <w:autoSpaceDN w:val="0"/>
        <w:spacing w:line="600" w:lineRule="exact"/>
        <w:ind w:firstLine="2530" w:firstLineChars="1050"/>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87.63</w:t>
      </w:r>
      <w:r>
        <w:rPr>
          <w:rFonts w:hint="eastAsia" w:ascii="宋体" w:hAnsi="宋体"/>
          <w:sz w:val="24"/>
          <w:szCs w:val="24"/>
        </w:rPr>
        <w:t>元/㎡</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（4）年净收益</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年净收益=有效年总收益-年客观运营成本</w:t>
      </w:r>
    </w:p>
    <w:p>
      <w:pPr>
        <w:autoSpaceDE w:val="0"/>
        <w:autoSpaceDN w:val="0"/>
        <w:spacing w:line="600" w:lineRule="exact"/>
        <w:ind w:firstLine="1446" w:firstLineChars="600"/>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208.05</w:t>
      </w:r>
      <w:r>
        <w:rPr>
          <w:rFonts w:hint="eastAsia" w:ascii="宋体" w:hAnsi="宋体"/>
          <w:sz w:val="24"/>
          <w:szCs w:val="24"/>
        </w:rPr>
        <w:t>元/㎡-</w:t>
      </w:r>
      <w:r>
        <w:rPr>
          <w:rFonts w:hint="eastAsia" w:ascii="宋体" w:hAnsi="宋体"/>
          <w:sz w:val="24"/>
          <w:szCs w:val="24"/>
          <w:lang w:val="en-US" w:eastAsia="zh-CN"/>
        </w:rPr>
        <w:t>87.63</w:t>
      </w:r>
      <w:r>
        <w:rPr>
          <w:rFonts w:hint="eastAsia" w:ascii="宋体" w:hAnsi="宋体"/>
          <w:sz w:val="24"/>
          <w:szCs w:val="24"/>
        </w:rPr>
        <w:t>元/㎡</w:t>
      </w:r>
    </w:p>
    <w:p>
      <w:pPr>
        <w:autoSpaceDE w:val="0"/>
        <w:autoSpaceDN w:val="0"/>
        <w:spacing w:line="600" w:lineRule="exact"/>
        <w:ind w:firstLine="1446" w:firstLineChars="600"/>
        <w:rPr>
          <w:rFonts w:hint="eastAsia" w:ascii="宋体" w:hAnsi="宋体"/>
          <w:sz w:val="24"/>
          <w:szCs w:val="24"/>
        </w:rPr>
      </w:pPr>
      <w:r>
        <w:rPr>
          <w:rFonts w:hint="eastAsia" w:ascii="宋体" w:hAnsi="宋体"/>
          <w:sz w:val="24"/>
          <w:szCs w:val="24"/>
        </w:rPr>
        <w:t>≈</w:t>
      </w:r>
      <w:r>
        <w:rPr>
          <w:rFonts w:hint="eastAsia" w:ascii="宋体" w:hAnsi="宋体"/>
          <w:sz w:val="24"/>
          <w:szCs w:val="24"/>
          <w:lang w:val="en-US" w:eastAsia="zh-CN"/>
        </w:rPr>
        <w:t>120</w:t>
      </w:r>
      <w:r>
        <w:rPr>
          <w:rFonts w:hint="eastAsia" w:ascii="宋体" w:hAnsi="宋体"/>
          <w:sz w:val="24"/>
          <w:szCs w:val="24"/>
        </w:rPr>
        <w:t>元/㎡</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（5）确定报酬率</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采用安全利率加风险调整值法确定报酬率，安全利率选用</w:t>
      </w:r>
      <w:r>
        <w:rPr>
          <w:rFonts w:hint="eastAsia" w:ascii="宋体" w:hAnsi="宋体"/>
          <w:sz w:val="24"/>
        </w:rPr>
        <w:t>中国人民银行公布的</w:t>
      </w:r>
      <w:r>
        <w:rPr>
          <w:rFonts w:hint="eastAsia" w:ascii="宋体" w:hAnsi="宋体"/>
          <w:sz w:val="24"/>
          <w:szCs w:val="24"/>
        </w:rPr>
        <w:t>一年期存款利率加上一定的风险调整值，故报酬率确定为6%。</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（6）收益年期的确定</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根据《房地产估价规范》，</w:t>
      </w:r>
      <w:r>
        <w:rPr>
          <w:rFonts w:hint="eastAsia" w:ascii="宋体" w:hAnsi="宋体"/>
          <w:sz w:val="24"/>
          <w:szCs w:val="24"/>
          <w:lang w:eastAsia="zh-CN"/>
        </w:rPr>
        <w:t>框架</w:t>
      </w:r>
      <w:r>
        <w:rPr>
          <w:rFonts w:hint="eastAsia" w:ascii="宋体" w:hAnsi="宋体"/>
          <w:sz w:val="24"/>
          <w:szCs w:val="24"/>
        </w:rPr>
        <w:t>结构房屋的经济耐用年限为</w:t>
      </w:r>
      <w:r>
        <w:rPr>
          <w:rFonts w:hint="eastAsia" w:ascii="宋体" w:hAnsi="宋体"/>
          <w:sz w:val="24"/>
          <w:szCs w:val="24"/>
          <w:lang w:val="en-US" w:eastAsia="zh-CN"/>
        </w:rPr>
        <w:t>6</w:t>
      </w:r>
      <w:r>
        <w:rPr>
          <w:rFonts w:hint="eastAsia" w:ascii="宋体" w:hAnsi="宋体"/>
          <w:sz w:val="24"/>
          <w:szCs w:val="24"/>
        </w:rPr>
        <w:t>0年，而</w:t>
      </w:r>
      <w:r>
        <w:rPr>
          <w:rFonts w:hint="eastAsia" w:ascii="宋体" w:hAnsi="宋体"/>
          <w:sz w:val="24"/>
          <w:szCs w:val="24"/>
          <w:lang w:eastAsia="zh-CN"/>
        </w:rPr>
        <w:t>住宅</w:t>
      </w:r>
      <w:r>
        <w:rPr>
          <w:rFonts w:hint="eastAsia" w:ascii="宋体" w:hAnsi="宋体"/>
          <w:sz w:val="24"/>
          <w:szCs w:val="24"/>
        </w:rPr>
        <w:t>用地的最高出让年限为</w:t>
      </w:r>
      <w:r>
        <w:rPr>
          <w:rFonts w:hint="eastAsia" w:ascii="宋体" w:hAnsi="宋体"/>
          <w:sz w:val="24"/>
          <w:szCs w:val="24"/>
          <w:lang w:val="en-US" w:eastAsia="zh-CN"/>
        </w:rPr>
        <w:t>7</w:t>
      </w:r>
      <w:r>
        <w:rPr>
          <w:rFonts w:hint="eastAsia" w:ascii="宋体" w:hAnsi="宋体"/>
          <w:sz w:val="24"/>
          <w:szCs w:val="24"/>
        </w:rPr>
        <w:t>0年，由于估价对象属</w:t>
      </w:r>
      <w:r>
        <w:rPr>
          <w:rFonts w:hint="eastAsia" w:ascii="宋体" w:hAnsi="宋体"/>
          <w:sz w:val="24"/>
          <w:szCs w:val="24"/>
          <w:lang w:eastAsia="zh-CN"/>
        </w:rPr>
        <w:t>住宅</w:t>
      </w:r>
      <w:r>
        <w:rPr>
          <w:rFonts w:hint="eastAsia" w:ascii="宋体" w:hAnsi="宋体"/>
          <w:sz w:val="24"/>
          <w:szCs w:val="24"/>
        </w:rPr>
        <w:t>物业，其经济价值或使用情况受其结构布局、装修标准、设备使用情况等影响较大，在一定的经济收益年限内可以满足消费需要，超过此年限，就应重新投资进行改造，根据本市同类型物业的经济收益年限，本报告确定估价对象的经济收益年限为</w:t>
      </w:r>
      <w:r>
        <w:rPr>
          <w:rFonts w:hint="eastAsia" w:ascii="宋体" w:hAnsi="宋体"/>
          <w:sz w:val="24"/>
          <w:szCs w:val="24"/>
          <w:lang w:val="en-US" w:eastAsia="zh-CN"/>
        </w:rPr>
        <w:t>59</w:t>
      </w:r>
      <w:r>
        <w:rPr>
          <w:rFonts w:hint="eastAsia" w:ascii="宋体" w:hAnsi="宋体"/>
          <w:sz w:val="24"/>
          <w:szCs w:val="24"/>
        </w:rPr>
        <w:t>年。</w:t>
      </w:r>
    </w:p>
    <w:p>
      <w:pPr>
        <w:autoSpaceDE w:val="0"/>
        <w:autoSpaceDN w:val="0"/>
        <w:spacing w:line="600" w:lineRule="exact"/>
        <w:ind w:firstLine="482" w:firstLineChars="200"/>
        <w:rPr>
          <w:rFonts w:hint="eastAsia" w:ascii="宋体" w:hAnsi="宋体"/>
          <w:sz w:val="24"/>
          <w:szCs w:val="24"/>
        </w:rPr>
      </w:pPr>
      <w:r>
        <w:rPr>
          <w:rFonts w:hint="eastAsia" w:ascii="宋体" w:hAnsi="宋体"/>
          <w:sz w:val="24"/>
          <w:szCs w:val="24"/>
        </w:rPr>
        <w:t>（7）选用适当的计算公式求出委估不动产收益价值</w:t>
      </w:r>
    </w:p>
    <w:p>
      <w:pPr>
        <w:keepNext w:val="0"/>
        <w:keepLines w:val="0"/>
        <w:pageBreakBefore w:val="0"/>
        <w:widowControl w:val="0"/>
        <w:tabs>
          <w:tab w:val="left" w:pos="0"/>
        </w:tabs>
        <w:kinsoku/>
        <w:wordWrap/>
        <w:overflowPunct/>
        <w:topLinePunct w:val="0"/>
        <w:autoSpaceDE/>
        <w:autoSpaceDN/>
        <w:bidi w:val="0"/>
        <w:adjustRightInd/>
        <w:snapToGrid/>
        <w:spacing w:line="240" w:lineRule="atLeast"/>
        <w:ind w:firstLine="482" w:firstLineChars="200"/>
        <w:textAlignment w:val="auto"/>
        <w:outlineLvl w:val="9"/>
        <w:rPr>
          <w:rFonts w:ascii="宋体" w:hAnsi="宋体" w:cs="宋体"/>
          <w:sz w:val="24"/>
          <w:szCs w:val="24"/>
        </w:rPr>
      </w:pPr>
      <w:r>
        <w:rPr>
          <w:rFonts w:hint="eastAsia" w:ascii="宋体" w:hAnsi="宋体" w:cs="宋体"/>
          <w:sz w:val="24"/>
          <w:szCs w:val="24"/>
        </w:rPr>
        <w:t>假设委估不动产的年净收益在经营年限将保持稳定状态且报酬率不变的情况下，其计算公式为：</w:t>
      </w:r>
      <w:r>
        <w:rPr>
          <w:rFonts w:ascii="宋体" w:hAnsi="宋体"/>
          <w:sz w:val="24"/>
          <w:szCs w:val="24"/>
        </w:rPr>
        <w:t>V=</w:t>
      </w:r>
      <w:r>
        <w:rPr>
          <w:rFonts w:ascii="宋体" w:hAnsi="宋体"/>
          <w:sz w:val="24"/>
          <w:szCs w:val="24"/>
        </w:rPr>
        <w:fldChar w:fldCharType="begin"/>
      </w:r>
      <w:r>
        <w:rPr>
          <w:rFonts w:ascii="宋体" w:hAnsi="宋体"/>
          <w:sz w:val="24"/>
          <w:szCs w:val="24"/>
        </w:rPr>
        <w:instrText xml:space="preserve"> EQ </w:instrText>
      </w:r>
      <w:r>
        <w:rPr>
          <w:rFonts w:ascii="宋体" w:hAnsi="宋体"/>
          <w:sz w:val="24"/>
          <w:szCs w:val="24"/>
        </w:rPr>
        <w:fldChar w:fldCharType="end"/>
      </w:r>
      <w:r>
        <w:rPr>
          <w:rFonts w:ascii="宋体" w:hAnsi="宋体"/>
          <w:sz w:val="24"/>
          <w:szCs w:val="24"/>
        </w:rPr>
        <w:fldChar w:fldCharType="begin"/>
      </w:r>
      <w:r>
        <w:rPr>
          <w:rFonts w:ascii="宋体" w:hAnsi="宋体"/>
          <w:sz w:val="24"/>
          <w:szCs w:val="24"/>
        </w:rPr>
        <w:instrText xml:space="preserve"> EQ \F(a,r) </w:instrText>
      </w:r>
      <w:r>
        <w:rPr>
          <w:rFonts w:ascii="宋体" w:hAnsi="宋体"/>
          <w:sz w:val="24"/>
          <w:szCs w:val="24"/>
        </w:rPr>
        <w:fldChar w:fldCharType="end"/>
      </w:r>
      <w:r>
        <w:rPr>
          <w:rFonts w:hint="eastAsia" w:ascii="宋体" w:hAnsi="宋体"/>
          <w:sz w:val="24"/>
          <w:szCs w:val="24"/>
        </w:rPr>
        <w:t>×</w:t>
      </w:r>
      <w:r>
        <w:rPr>
          <w:rFonts w:ascii="宋体" w:hAnsi="宋体"/>
          <w:sz w:val="24"/>
          <w:szCs w:val="24"/>
        </w:rPr>
        <w:t>[1-</w:t>
      </w:r>
      <w:r>
        <w:rPr>
          <w:rFonts w:ascii="宋体" w:hAnsi="宋体"/>
          <w:sz w:val="24"/>
          <w:szCs w:val="24"/>
        </w:rPr>
        <w:fldChar w:fldCharType="begin"/>
      </w:r>
      <w:r>
        <w:rPr>
          <w:rFonts w:ascii="宋体" w:hAnsi="宋体"/>
          <w:sz w:val="24"/>
          <w:szCs w:val="24"/>
        </w:rPr>
        <w:instrText xml:space="preserve"> EQ \F(1,（1+r）</w:instrText>
      </w:r>
      <w:r>
        <w:rPr>
          <w:rFonts w:ascii="宋体" w:hAnsi="宋体"/>
          <w:sz w:val="24"/>
          <w:szCs w:val="24"/>
          <w:vertAlign w:val="superscript"/>
        </w:rPr>
        <w:instrText xml:space="preserve">n</w:instrText>
      </w:r>
      <w:r>
        <w:rPr>
          <w:rFonts w:ascii="宋体" w:hAnsi="宋体"/>
          <w:sz w:val="24"/>
          <w:szCs w:val="24"/>
        </w:rPr>
        <w:instrText xml:space="preserve">) </w:instrText>
      </w:r>
      <w:r>
        <w:rPr>
          <w:rFonts w:ascii="宋体" w:hAnsi="宋体"/>
          <w:sz w:val="24"/>
          <w:szCs w:val="24"/>
        </w:rPr>
        <w:fldChar w:fldCharType="end"/>
      </w:r>
      <w:r>
        <w:rPr>
          <w:rFonts w:ascii="宋体" w:hAnsi="宋体"/>
          <w:sz w:val="24"/>
          <w:szCs w:val="24"/>
        </w:rPr>
        <w:t>]</w:t>
      </w:r>
    </w:p>
    <w:p>
      <w:pPr>
        <w:tabs>
          <w:tab w:val="left" w:pos="0"/>
        </w:tabs>
        <w:spacing w:line="600" w:lineRule="exact"/>
        <w:ind w:firstLine="482" w:firstLineChars="200"/>
        <w:rPr>
          <w:rFonts w:hint="eastAsia" w:ascii="宋体" w:hAnsi="宋体"/>
          <w:sz w:val="24"/>
          <w:szCs w:val="24"/>
          <w:vertAlign w:val="superscript"/>
        </w:rPr>
      </w:pPr>
      <w:r>
        <w:rPr>
          <w:rFonts w:hint="eastAsia" w:ascii="宋体" w:hAnsi="宋体" w:cs="宋体"/>
          <w:sz w:val="24"/>
          <w:szCs w:val="24"/>
        </w:rPr>
        <w:t>收益价值</w:t>
      </w:r>
      <w:r>
        <w:rPr>
          <w:rFonts w:ascii="宋体" w:hAnsi="宋体" w:cs="宋体"/>
          <w:sz w:val="24"/>
          <w:szCs w:val="24"/>
        </w:rPr>
        <w:t>=</w:t>
      </w:r>
      <w:r>
        <w:rPr>
          <w:rFonts w:hint="eastAsia" w:ascii="宋体" w:hAnsi="宋体"/>
          <w:sz w:val="24"/>
          <w:szCs w:val="24"/>
          <w:lang w:val="en-US" w:eastAsia="zh-CN"/>
        </w:rPr>
        <w:t>120/6</w:t>
      </w:r>
      <w:r>
        <w:rPr>
          <w:rFonts w:hint="eastAsia" w:ascii="宋体" w:hAnsi="宋体"/>
          <w:sz w:val="24"/>
          <w:szCs w:val="24"/>
        </w:rPr>
        <w:t>%×[1-1/（1+6%）</w:t>
      </w:r>
      <w:r>
        <w:rPr>
          <w:rFonts w:hint="eastAsia" w:ascii="宋体" w:hAnsi="宋体"/>
          <w:sz w:val="24"/>
          <w:szCs w:val="24"/>
          <w:vertAlign w:val="superscript"/>
          <w:lang w:val="en-US" w:eastAsia="zh-CN"/>
        </w:rPr>
        <w:t>59</w:t>
      </w:r>
      <w:r>
        <w:rPr>
          <w:rFonts w:hint="eastAsia" w:ascii="宋体" w:hAnsi="宋体"/>
          <w:sz w:val="24"/>
          <w:szCs w:val="24"/>
        </w:rPr>
        <w:t>]</w:t>
      </w:r>
    </w:p>
    <w:p>
      <w:pPr>
        <w:ind w:firstLine="1446" w:firstLineChars="600"/>
        <w:rPr>
          <w:rFonts w:hint="eastAsia" w:ascii="宋体" w:hAnsi="宋体"/>
          <w:sz w:val="24"/>
          <w:szCs w:val="24"/>
        </w:rPr>
      </w:pPr>
      <w:r>
        <w:rPr>
          <w:rFonts w:hint="eastAsia" w:ascii="宋体" w:hAnsi="宋体" w:cs="宋体"/>
          <w:sz w:val="24"/>
          <w:szCs w:val="24"/>
        </w:rPr>
        <w:t>≈</w:t>
      </w:r>
      <w:r>
        <w:rPr>
          <w:rFonts w:hint="eastAsia" w:ascii="宋体" w:hAnsi="宋体" w:cs="宋体"/>
          <w:sz w:val="24"/>
          <w:szCs w:val="24"/>
          <w:lang w:val="en-US" w:eastAsia="zh-CN"/>
        </w:rPr>
        <w:t>1936</w:t>
      </w:r>
      <w:r>
        <w:rPr>
          <w:rFonts w:hint="eastAsia" w:ascii="宋体" w:hAnsi="宋体"/>
          <w:sz w:val="24"/>
          <w:szCs w:val="24"/>
        </w:rPr>
        <w:t>元/㎡</w:t>
      </w:r>
    </w:p>
    <w:p>
      <w:pPr>
        <w:tabs>
          <w:tab w:val="left" w:pos="624"/>
        </w:tabs>
        <w:spacing w:line="600" w:lineRule="exact"/>
        <w:rPr>
          <w:rFonts w:hint="eastAsia" w:ascii="宋体" w:hAnsi="宋体"/>
          <w:sz w:val="24"/>
          <w:szCs w:val="24"/>
        </w:rPr>
      </w:pPr>
      <w:r>
        <w:rPr>
          <w:rFonts w:hint="eastAsia" w:ascii="宋体" w:hAnsi="宋体"/>
          <w:bCs/>
          <w:sz w:val="24"/>
          <w:szCs w:val="24"/>
        </w:rPr>
        <w:t>（三）估价对象评估价格的确定</w:t>
      </w:r>
    </w:p>
    <w:p>
      <w:pPr>
        <w:tabs>
          <w:tab w:val="left" w:pos="0"/>
        </w:tabs>
        <w:spacing w:line="600" w:lineRule="exact"/>
        <w:ind w:firstLine="482" w:firstLineChars="200"/>
        <w:rPr>
          <w:rFonts w:hint="eastAsia" w:ascii="宋体" w:hAnsi="宋体"/>
          <w:sz w:val="24"/>
          <w:szCs w:val="28"/>
        </w:rPr>
      </w:pPr>
      <w:r>
        <w:rPr>
          <w:rFonts w:hint="eastAsia"/>
          <w:sz w:val="24"/>
          <w:szCs w:val="28"/>
        </w:rPr>
        <w:t>以上两种方法的测算结果差距较大，比较法是从估价对象的类似交易情况案例中，修正得到估价对象的价值，收益法是从估价对象未来收益折现到价值时点的价值，两种方法从不同的角度反应了估价对象的价值，</w:t>
      </w:r>
      <w:r>
        <w:rPr>
          <w:rFonts w:hint="eastAsia" w:ascii="宋体" w:hAnsi="宋体"/>
          <w:sz w:val="24"/>
          <w:szCs w:val="24"/>
        </w:rPr>
        <w:t>经综合分析与考察当地市场和社会经济状况后，</w:t>
      </w:r>
      <w:r>
        <w:rPr>
          <w:rFonts w:hint="eastAsia"/>
          <w:sz w:val="24"/>
          <w:szCs w:val="28"/>
        </w:rPr>
        <w:t>我们认为比较法测算的结果较收益法测算的结果更能反应估价对象的市场价值，所以我们采用比较法的测算结果作为本次估价的结果，</w:t>
      </w:r>
      <w:r>
        <w:rPr>
          <w:rFonts w:hint="eastAsia" w:ascii="宋体" w:hAnsi="宋体"/>
          <w:sz w:val="24"/>
          <w:szCs w:val="28"/>
        </w:rPr>
        <w:t>即：</w:t>
      </w:r>
      <w:r>
        <w:rPr>
          <w:rFonts w:hint="eastAsia" w:ascii="宋体" w:hAnsi="宋体"/>
          <w:sz w:val="24"/>
          <w:szCs w:val="28"/>
          <w:lang w:val="en-US" w:eastAsia="zh-CN"/>
        </w:rPr>
        <w:t>2495</w:t>
      </w:r>
      <w:r>
        <w:rPr>
          <w:rFonts w:hint="eastAsia" w:ascii="宋体" w:hAnsi="宋体"/>
          <w:sz w:val="24"/>
          <w:szCs w:val="28"/>
        </w:rPr>
        <w:t>元/㎡</w:t>
      </w:r>
    </w:p>
    <w:p>
      <w:pPr>
        <w:tabs>
          <w:tab w:val="left" w:pos="0"/>
        </w:tabs>
        <w:spacing w:line="600" w:lineRule="exact"/>
        <w:ind w:firstLine="482" w:firstLineChars="200"/>
        <w:rPr>
          <w:rFonts w:hint="eastAsia" w:ascii="宋体" w:hAnsi="宋体"/>
          <w:sz w:val="24"/>
          <w:szCs w:val="28"/>
          <w:lang w:val="en-US" w:eastAsia="zh-CN"/>
        </w:rPr>
      </w:pPr>
      <w:r>
        <w:rPr>
          <w:rFonts w:hint="eastAsia" w:ascii="宋体" w:hAnsi="宋体"/>
          <w:sz w:val="24"/>
          <w:szCs w:val="28"/>
          <w:lang w:eastAsia="zh-CN"/>
        </w:rPr>
        <w:t>评估价值</w:t>
      </w:r>
      <w:r>
        <w:rPr>
          <w:rFonts w:hint="eastAsia" w:ascii="宋体" w:hAnsi="宋体"/>
          <w:sz w:val="24"/>
          <w:szCs w:val="28"/>
          <w:lang w:val="en-US" w:eastAsia="zh-CN"/>
        </w:rPr>
        <w:t>=评估单价×建筑面积</w:t>
      </w:r>
    </w:p>
    <w:p>
      <w:pPr>
        <w:tabs>
          <w:tab w:val="left" w:pos="0"/>
        </w:tabs>
        <w:spacing w:line="600" w:lineRule="exact"/>
        <w:ind w:firstLine="1446" w:firstLineChars="600"/>
        <w:rPr>
          <w:rFonts w:hint="eastAsia" w:ascii="宋体" w:hAnsi="宋体"/>
          <w:sz w:val="24"/>
          <w:szCs w:val="28"/>
          <w:lang w:val="en-US" w:eastAsia="zh-CN"/>
        </w:rPr>
      </w:pPr>
      <w:r>
        <w:rPr>
          <w:rFonts w:hint="eastAsia" w:ascii="宋体" w:hAnsi="宋体"/>
          <w:sz w:val="24"/>
          <w:szCs w:val="28"/>
          <w:lang w:val="en-US" w:eastAsia="zh-CN"/>
        </w:rPr>
        <w:t>=2495元/平方米×28.19平方米</w:t>
      </w:r>
    </w:p>
    <w:p>
      <w:pPr>
        <w:spacing w:line="600" w:lineRule="exact"/>
        <w:ind w:firstLine="1446" w:firstLineChars="600"/>
        <w:rPr>
          <w:rFonts w:hint="eastAsia" w:ascii="宋体" w:hAnsi="宋体"/>
          <w:sz w:val="24"/>
          <w:szCs w:val="28"/>
          <w:lang w:val="en-US" w:eastAsia="zh-CN"/>
        </w:rPr>
      </w:pPr>
      <w:r>
        <w:rPr>
          <w:rFonts w:hint="eastAsia" w:ascii="宋体" w:hAnsi="宋体"/>
          <w:sz w:val="24"/>
          <w:szCs w:val="28"/>
          <w:lang w:val="en-US" w:eastAsia="zh-CN"/>
        </w:rPr>
        <w:t>=70334元</w:t>
      </w:r>
    </w:p>
    <w:p>
      <w:pPr>
        <w:spacing w:line="600" w:lineRule="exact"/>
        <w:ind w:firstLine="482" w:firstLineChars="200"/>
        <w:rPr>
          <w:rFonts w:ascii="宋体" w:hAnsi="宋体"/>
          <w:color w:val="auto"/>
          <w:sz w:val="24"/>
          <w:szCs w:val="24"/>
          <w:highlight w:val="none"/>
        </w:rPr>
      </w:pPr>
      <w:r>
        <w:rPr>
          <w:rFonts w:hint="eastAsia" w:ascii="宋体" w:hAnsi="宋体"/>
          <w:color w:val="auto"/>
          <w:sz w:val="24"/>
          <w:szCs w:val="24"/>
          <w:highlight w:val="none"/>
          <w:lang w:eastAsia="zh-CN"/>
        </w:rPr>
        <w:t>同理可得</w:t>
      </w:r>
      <w:r>
        <w:rPr>
          <w:rFonts w:hint="eastAsia" w:ascii="宋体" w:hAnsi="宋体"/>
          <w:color w:val="auto"/>
          <w:sz w:val="24"/>
          <w:szCs w:val="24"/>
          <w:highlight w:val="none"/>
        </w:rPr>
        <w:t>：</w:t>
      </w:r>
    </w:p>
    <w:tbl>
      <w:tblPr>
        <w:tblStyle w:val="10"/>
        <w:tblW w:w="8310"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
      <w:tblGrid>
        <w:gridCol w:w="719"/>
        <w:gridCol w:w="1080"/>
        <w:gridCol w:w="1080"/>
        <w:gridCol w:w="1635"/>
        <w:gridCol w:w="2190"/>
        <w:gridCol w:w="1606"/>
      </w:tblGrid>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shd w:val="clear" w:color="auto" w:fill="auto"/>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序号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楼号</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房号</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建筑面积（㎡）</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评估单价（元/㎡）</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评估总价（元）</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w:t>
            </w:r>
            <w:r>
              <w:rPr>
                <w:rFonts w:hint="eastAsia" w:ascii="宋体" w:hAnsi="宋体" w:cs="宋体"/>
                <w:i w:val="0"/>
                <w:color w:val="000000"/>
                <w:kern w:val="0"/>
                <w:sz w:val="24"/>
                <w:szCs w:val="24"/>
                <w:u w:val="none"/>
                <w:lang w:val="en-US" w:eastAsia="zh-CN" w:bidi="ar"/>
              </w:rPr>
              <w:t>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109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18.79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46881</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113</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28.19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70334</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119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128</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18</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129</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19</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130</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30.64</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76447</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20</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131</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24.08</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21</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132</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24.08</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60080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22</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134</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23</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135</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136</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29.92</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74650</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719"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25</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7</w:t>
            </w:r>
          </w:p>
        </w:tc>
        <w:tc>
          <w:tcPr>
            <w:tcW w:w="1080"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137</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bottom"/>
          </w:tcPr>
          <w:p>
            <w:pPr>
              <w:keepNext w:val="0"/>
              <w:keepLines w:val="0"/>
              <w:widowControl/>
              <w:suppressLineNumbers w:val="0"/>
              <w:jc w:val="center"/>
              <w:textAlignment w:val="bottom"/>
              <w:rPr>
                <w:rFonts w:hint="eastAsia" w:ascii="宋体" w:hAnsi="宋体" w:eastAsia="宋体" w:cs="宋体"/>
                <w:i w:val="0"/>
                <w:color w:val="000000"/>
                <w:sz w:val="24"/>
                <w:szCs w:val="24"/>
                <w:u w:val="none"/>
              </w:rPr>
            </w:pPr>
            <w:r>
              <w:rPr>
                <w:rFonts w:hint="eastAsia" w:ascii="宋体" w:hAnsi="宋体" w:eastAsia="宋体" w:cs="宋体"/>
                <w:i w:val="0"/>
                <w:color w:val="000000"/>
                <w:kern w:val="0"/>
                <w:sz w:val="24"/>
                <w:szCs w:val="24"/>
                <w:u w:val="none"/>
                <w:lang w:val="en-US" w:eastAsia="zh-CN" w:bidi="ar"/>
              </w:rPr>
              <w:t>21.89</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2495</w:t>
            </w: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54616</w:t>
            </w:r>
          </w:p>
        </w:tc>
      </w:tr>
      <w:tr>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fixed"/>
          <w:tblCellMar>
            <w:top w:w="15" w:type="dxa"/>
            <w:left w:w="15" w:type="dxa"/>
            <w:bottom w:w="15" w:type="dxa"/>
            <w:right w:w="15" w:type="dxa"/>
          </w:tblCellMar>
        </w:tblPrEx>
        <w:trPr>
          <w:trHeight w:val="113" w:hRule="atLeast"/>
        </w:trPr>
        <w:tc>
          <w:tcPr>
            <w:tcW w:w="2879" w:type="dxa"/>
            <w:gridSpan w:val="3"/>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合计</w:t>
            </w:r>
          </w:p>
        </w:tc>
        <w:tc>
          <w:tcPr>
            <w:tcW w:w="1635"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644.83</w:t>
            </w:r>
          </w:p>
        </w:tc>
        <w:tc>
          <w:tcPr>
            <w:tcW w:w="2190" w:type="dxa"/>
            <w:tcBorders>
              <w:top w:val="single" w:color="000000" w:sz="4" w:space="0"/>
              <w:left w:val="single" w:color="000000" w:sz="4" w:space="0"/>
              <w:bottom w:val="single" w:color="000000" w:sz="4" w:space="0"/>
              <w:right w:val="single" w:color="000000" w:sz="4" w:space="0"/>
            </w:tcBorders>
            <w:shd w:val="clear" w:color="auto" w:fill="auto"/>
            <w:vAlign w:val="center"/>
          </w:tcPr>
          <w:p>
            <w:pPr>
              <w:jc w:val="center"/>
              <w:rPr>
                <w:rFonts w:hint="eastAsia" w:ascii="宋体" w:hAnsi="宋体" w:eastAsia="宋体" w:cs="宋体"/>
                <w:i w:val="0"/>
                <w:color w:val="000000"/>
                <w:sz w:val="22"/>
                <w:szCs w:val="22"/>
                <w:u w:val="none"/>
              </w:rPr>
            </w:pPr>
          </w:p>
        </w:tc>
        <w:tc>
          <w:tcPr>
            <w:tcW w:w="1606" w:type="dxa"/>
            <w:tcBorders>
              <w:top w:val="single" w:color="000000" w:sz="4" w:space="0"/>
              <w:left w:val="single" w:color="000000" w:sz="4" w:space="0"/>
              <w:bottom w:val="single" w:color="000000" w:sz="4" w:space="0"/>
              <w:right w:val="single" w:color="000000" w:sz="4" w:space="0"/>
            </w:tcBorders>
            <w:shd w:val="clear" w:color="auto" w:fill="auto"/>
            <w:vAlign w:val="center"/>
          </w:tcPr>
          <w:p>
            <w:pPr>
              <w:keepNext w:val="0"/>
              <w:keepLines w:val="0"/>
              <w:widowControl/>
              <w:suppressLineNumbers w:val="0"/>
              <w:jc w:val="center"/>
              <w:textAlignment w:val="center"/>
              <w:rPr>
                <w:rFonts w:hint="eastAsia" w:ascii="宋体" w:hAnsi="宋体" w:eastAsia="宋体" w:cs="宋体"/>
                <w:i w:val="0"/>
                <w:color w:val="000000"/>
                <w:sz w:val="22"/>
                <w:szCs w:val="22"/>
                <w:u w:val="none"/>
              </w:rPr>
            </w:pPr>
            <w:r>
              <w:rPr>
                <w:rFonts w:hint="eastAsia" w:ascii="宋体" w:hAnsi="宋体" w:eastAsia="宋体" w:cs="宋体"/>
                <w:i w:val="0"/>
                <w:color w:val="000000"/>
                <w:kern w:val="0"/>
                <w:sz w:val="22"/>
                <w:szCs w:val="22"/>
                <w:u w:val="none"/>
                <w:lang w:val="en-US" w:eastAsia="zh-CN" w:bidi="ar"/>
              </w:rPr>
              <w:t>1608851</w:t>
            </w:r>
          </w:p>
        </w:tc>
      </w:tr>
    </w:tbl>
    <w:p>
      <w:pPr>
        <w:tabs>
          <w:tab w:val="left" w:pos="0"/>
        </w:tabs>
        <w:spacing w:line="600" w:lineRule="exact"/>
        <w:rPr>
          <w:rFonts w:hint="eastAsia" w:ascii="宋体" w:hAnsi="宋体"/>
          <w:sz w:val="24"/>
        </w:rPr>
      </w:pPr>
      <w:r>
        <w:rPr>
          <w:rFonts w:hint="eastAsia" w:ascii="宋体" w:hAnsi="宋体"/>
          <w:b/>
          <w:sz w:val="24"/>
          <w:szCs w:val="24"/>
          <w:lang w:eastAsia="zh-CN"/>
        </w:rPr>
        <w:t>六</w:t>
      </w:r>
      <w:r>
        <w:rPr>
          <w:rFonts w:hint="eastAsia" w:ascii="宋体" w:hAnsi="宋体"/>
          <w:b/>
          <w:sz w:val="24"/>
          <w:szCs w:val="24"/>
        </w:rPr>
        <w:t>、估价结果确定</w:t>
      </w:r>
    </w:p>
    <w:p>
      <w:pPr>
        <w:spacing w:line="660" w:lineRule="exact"/>
        <w:ind w:firstLine="482" w:firstLineChars="200"/>
        <w:rPr>
          <w:rFonts w:hint="eastAsia" w:ascii="宋体" w:hAnsi="宋体"/>
          <w:sz w:val="24"/>
          <w:szCs w:val="24"/>
        </w:rPr>
      </w:pPr>
      <w:r>
        <w:rPr>
          <w:rFonts w:hint="eastAsia" w:ascii="宋体" w:hAnsi="宋体"/>
          <w:sz w:val="24"/>
        </w:rPr>
        <w:t>本估价机构根据估价目的及估价对象的特点，遵循估价原则，按照估价程序，</w:t>
      </w:r>
      <w:r>
        <w:rPr>
          <w:rFonts w:hint="eastAsia" w:ascii="宋体" w:hAnsi="宋体"/>
          <w:sz w:val="24"/>
          <w:szCs w:val="24"/>
        </w:rPr>
        <w:t>采用比较法和收益法相结合的估价方法，</w:t>
      </w:r>
      <w:r>
        <w:rPr>
          <w:rFonts w:hint="eastAsia" w:ascii="宋体" w:hAnsi="宋体"/>
          <w:sz w:val="24"/>
        </w:rPr>
        <w:t>在认真分析现有资料的基础上，经过测算，结合估</w:t>
      </w:r>
      <w:r>
        <w:rPr>
          <w:rFonts w:hint="eastAsia" w:ascii="宋体" w:hAnsi="宋体"/>
          <w:sz w:val="24"/>
          <w:szCs w:val="24"/>
        </w:rPr>
        <w:t>价经验与对影响房地产市场价格因素的分析，确定估价对象于估价时点</w:t>
      </w:r>
      <w:r>
        <w:rPr>
          <w:rFonts w:hint="eastAsia" w:ascii="宋体" w:hAnsi="宋体"/>
          <w:sz w:val="24"/>
          <w:szCs w:val="28"/>
        </w:rPr>
        <w:t>在完好状态</w:t>
      </w:r>
      <w:r>
        <w:rPr>
          <w:rFonts w:hint="eastAsia" w:ascii="宋体" w:hAnsi="宋体"/>
          <w:sz w:val="24"/>
          <w:szCs w:val="24"/>
        </w:rPr>
        <w:t>并符合假设和限制条件下的市场价值为</w:t>
      </w:r>
      <w:r>
        <w:rPr>
          <w:rFonts w:hint="eastAsia" w:ascii="宋体" w:hAnsi="宋体"/>
          <w:bCs/>
          <w:sz w:val="24"/>
          <w:szCs w:val="28"/>
          <w:lang w:eastAsia="zh-CN"/>
        </w:rPr>
        <w:t>1608851</w:t>
      </w:r>
      <w:r>
        <w:rPr>
          <w:rFonts w:hint="eastAsia" w:ascii="宋体" w:hAnsi="宋体"/>
          <w:sz w:val="24"/>
          <w:szCs w:val="24"/>
        </w:rPr>
        <w:t>元，</w:t>
      </w:r>
      <w:r>
        <w:rPr>
          <w:rFonts w:ascii="宋体" w:hAnsi="宋体"/>
          <w:sz w:val="24"/>
        </w:rPr>
        <w:t>(</w:t>
      </w:r>
      <w:r>
        <w:rPr>
          <w:rFonts w:hint="eastAsia" w:ascii="宋体" w:hAnsi="宋体"/>
          <w:sz w:val="24"/>
        </w:rPr>
        <w:t>大写</w:t>
      </w:r>
      <w:r>
        <w:rPr>
          <w:rFonts w:ascii="宋体" w:hAnsi="宋体"/>
          <w:sz w:val="24"/>
        </w:rPr>
        <w:t>)</w:t>
      </w:r>
      <w:r>
        <w:rPr>
          <w:rFonts w:hint="eastAsia" w:ascii="宋体" w:hAnsi="宋体"/>
          <w:sz w:val="24"/>
        </w:rPr>
        <w:t>：人民币</w:t>
      </w:r>
      <w:r>
        <w:rPr>
          <w:rFonts w:hint="eastAsia" w:ascii="宋体" w:hAnsi="宋体"/>
          <w:sz w:val="24"/>
          <w:lang w:eastAsia="zh-CN"/>
        </w:rPr>
        <w:t>壹佰陆拾万零捌仟捌佰伍拾壹</w:t>
      </w:r>
      <w:r>
        <w:rPr>
          <w:rFonts w:hint="eastAsia" w:ascii="宋体" w:hAnsi="宋体"/>
          <w:sz w:val="24"/>
        </w:rPr>
        <w:t>元整</w:t>
      </w:r>
      <w:r>
        <w:rPr>
          <w:rFonts w:hint="eastAsia" w:ascii="宋体" w:hAnsi="宋体"/>
          <w:sz w:val="24"/>
          <w:szCs w:val="24"/>
        </w:rPr>
        <w:t>。</w:t>
      </w:r>
    </w:p>
    <w:p>
      <w:pPr>
        <w:tabs>
          <w:tab w:val="left" w:pos="0"/>
        </w:tabs>
        <w:spacing w:line="600" w:lineRule="exact"/>
        <w:ind w:firstLine="5024" w:firstLineChars="2085"/>
        <w:rPr>
          <w:rFonts w:hint="eastAsia" w:ascii="宋体" w:hAnsi="宋体"/>
          <w:sz w:val="24"/>
          <w:szCs w:val="24"/>
          <w:highlight w:val="none"/>
        </w:rPr>
      </w:pPr>
      <w:r>
        <w:rPr>
          <w:rFonts w:hint="eastAsia" w:ascii="宋体" w:hAnsi="宋体"/>
          <w:sz w:val="24"/>
          <w:szCs w:val="24"/>
          <w:highlight w:val="none"/>
        </w:rPr>
        <w:t>内蒙古正翔房地产价格评估有限责任公司</w:t>
      </w:r>
    </w:p>
    <w:p>
      <w:pPr>
        <w:spacing w:line="600" w:lineRule="exact"/>
        <w:rPr>
          <w:rFonts w:hint="eastAsia" w:ascii="宋体" w:hAnsi="宋体"/>
          <w:sz w:val="24"/>
          <w:szCs w:val="24"/>
          <w:highlight w:val="none"/>
          <w:lang w:eastAsia="zh-CN"/>
        </w:rPr>
      </w:pPr>
      <w:r>
        <w:rPr>
          <w:rFonts w:hint="eastAsia" w:ascii="宋体" w:hAnsi="宋体"/>
          <w:sz w:val="24"/>
          <w:szCs w:val="24"/>
          <w:highlight w:val="none"/>
        </w:rPr>
        <w:t xml:space="preserve">                                                   </w:t>
      </w:r>
      <w:r>
        <w:rPr>
          <w:rFonts w:hint="eastAsia" w:ascii="宋体" w:hAnsi="宋体"/>
          <w:sz w:val="24"/>
          <w:szCs w:val="24"/>
          <w:highlight w:val="none"/>
          <w:lang w:eastAsia="zh-CN"/>
        </w:rPr>
        <w:t>二〇一九年一月十七日</w:t>
      </w:r>
    </w:p>
    <w:p>
      <w:pPr>
        <w:spacing w:line="240" w:lineRule="auto"/>
        <w:rPr>
          <w:rFonts w:hint="eastAsia" w:ascii="宋体" w:hAnsi="宋体"/>
          <w:sz w:val="24"/>
          <w:szCs w:val="24"/>
          <w:highlight w:val="none"/>
          <w:lang w:eastAsia="zh-CN"/>
        </w:rPr>
      </w:pPr>
      <w:r>
        <w:rPr>
          <w:rFonts w:hint="eastAsia" w:ascii="宋体" w:hAnsi="宋体"/>
          <w:sz w:val="24"/>
          <w:szCs w:val="24"/>
          <w:highlight w:val="none"/>
          <w:lang w:eastAsia="zh-CN"/>
        </w:rPr>
        <w:br w:type="page"/>
      </w:r>
      <w:r>
        <w:rPr>
          <w:rFonts w:hint="eastAsia" w:ascii="宋体" w:hAnsi="宋体"/>
          <w:sz w:val="24"/>
          <w:szCs w:val="24"/>
          <w:highlight w:val="none"/>
          <w:lang w:eastAsia="zh-CN"/>
        </w:rPr>
        <w:drawing>
          <wp:inline distT="0" distB="0" distL="114300" distR="114300">
            <wp:extent cx="6115050" cy="8648065"/>
            <wp:effectExtent l="0" t="0" r="0" b="635"/>
            <wp:docPr id="3" name="图片 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 descr="001"/>
                    <pic:cNvPicPr>
                      <a:picLocks noChangeAspect="1"/>
                    </pic:cNvPicPr>
                  </pic:nvPicPr>
                  <pic:blipFill>
                    <a:blip r:embed="rId9"/>
                    <a:stretch>
                      <a:fillRect/>
                    </a:stretch>
                  </pic:blipFill>
                  <pic:spPr>
                    <a:xfrm>
                      <a:off x="0" y="0"/>
                      <a:ext cx="6115050" cy="8648065"/>
                    </a:xfrm>
                    <a:prstGeom prst="rect">
                      <a:avLst/>
                    </a:prstGeom>
                    <a:noFill/>
                    <a:ln w="9525">
                      <a:noFill/>
                    </a:ln>
                  </pic:spPr>
                </pic:pic>
              </a:graphicData>
            </a:graphic>
          </wp:inline>
        </w:drawing>
      </w:r>
    </w:p>
    <w:p>
      <w:pPr>
        <w:spacing w:line="240" w:lineRule="auto"/>
        <w:jc w:val="center"/>
        <w:rPr>
          <w:rFonts w:hint="eastAsia" w:ascii="宋体" w:hAnsi="宋体"/>
          <w:sz w:val="24"/>
          <w:szCs w:val="24"/>
          <w:highlight w:val="none"/>
          <w:lang w:eastAsia="zh-CN"/>
        </w:rPr>
      </w:pPr>
      <w:r>
        <w:rPr>
          <w:rFonts w:hint="eastAsia" w:ascii="宋体" w:hAnsi="宋体"/>
          <w:sz w:val="24"/>
          <w:szCs w:val="24"/>
          <w:highlight w:val="none"/>
          <w:lang w:eastAsia="zh-CN"/>
        </w:rPr>
        <w:br w:type="page"/>
      </w:r>
      <w:r>
        <w:rPr>
          <w:rFonts w:hint="eastAsia" w:ascii="宋体" w:hAnsi="宋体"/>
          <w:b/>
          <w:bCs/>
          <w:sz w:val="36"/>
          <w:szCs w:val="36"/>
          <w:highlight w:val="none"/>
          <w:lang w:eastAsia="zh-CN"/>
        </w:rPr>
        <w:t>估价对象位置图</w:t>
      </w:r>
      <w:r>
        <w:rPr>
          <w:rFonts w:hint="eastAsia" w:ascii="宋体" w:hAnsi="宋体"/>
          <w:sz w:val="24"/>
          <w:szCs w:val="24"/>
          <w:highlight w:val="none"/>
          <w:lang w:eastAsia="zh-CN"/>
        </w:rPr>
        <w:drawing>
          <wp:inline distT="0" distB="0" distL="114300" distR="114300">
            <wp:extent cx="6117590" cy="3448050"/>
            <wp:effectExtent l="0" t="0" r="16510" b="0"/>
            <wp:docPr id="4" name="图片 2" descr="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2" descr="位置"/>
                    <pic:cNvPicPr>
                      <a:picLocks noChangeAspect="1"/>
                    </pic:cNvPicPr>
                  </pic:nvPicPr>
                  <pic:blipFill>
                    <a:blip r:embed="rId10"/>
                    <a:stretch>
                      <a:fillRect/>
                    </a:stretch>
                  </pic:blipFill>
                  <pic:spPr>
                    <a:xfrm>
                      <a:off x="0" y="0"/>
                      <a:ext cx="6117590" cy="3448050"/>
                    </a:xfrm>
                    <a:prstGeom prst="rect">
                      <a:avLst/>
                    </a:prstGeom>
                    <a:noFill/>
                    <a:ln w="9525">
                      <a:noFill/>
                    </a:ln>
                  </pic:spPr>
                </pic:pic>
              </a:graphicData>
            </a:graphic>
          </wp:inline>
        </w:drawing>
      </w:r>
    </w:p>
    <w:p>
      <w:pPr>
        <w:spacing w:line="240" w:lineRule="auto"/>
        <w:jc w:val="center"/>
        <w:rPr>
          <w:rFonts w:hint="eastAsia" w:ascii="宋体" w:hAnsi="宋体"/>
          <w:sz w:val="24"/>
          <w:szCs w:val="24"/>
          <w:highlight w:val="none"/>
          <w:lang w:eastAsia="zh-CN"/>
        </w:rPr>
      </w:pPr>
      <w:r>
        <w:rPr>
          <w:rFonts w:hint="eastAsia" w:ascii="宋体" w:hAnsi="宋体"/>
          <w:sz w:val="24"/>
          <w:szCs w:val="24"/>
          <w:highlight w:val="none"/>
          <w:lang w:eastAsia="zh-CN"/>
        </w:rPr>
        <w:br w:type="page"/>
      </w:r>
      <w:r>
        <w:rPr>
          <w:rFonts w:hint="eastAsia" w:ascii="宋体" w:hAnsi="宋体"/>
          <w:b/>
          <w:bCs/>
          <w:sz w:val="36"/>
          <w:szCs w:val="36"/>
          <w:highlight w:val="none"/>
          <w:lang w:eastAsia="zh-CN"/>
        </w:rPr>
        <w:t>估价对象影像资料</w:t>
      </w:r>
      <w:r>
        <w:rPr>
          <w:rFonts w:hint="eastAsia" w:ascii="宋体" w:hAnsi="宋体"/>
          <w:sz w:val="24"/>
          <w:szCs w:val="24"/>
          <w:highlight w:val="none"/>
          <w:lang w:eastAsia="zh-CN"/>
        </w:rPr>
        <w:drawing>
          <wp:inline distT="0" distB="0" distL="114300" distR="114300">
            <wp:extent cx="6099810" cy="8133715"/>
            <wp:effectExtent l="0" t="0" r="15240" b="635"/>
            <wp:docPr id="31" name="图片 31" descr="IMG_20190114_1108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0190114_110846"/>
                    <pic:cNvPicPr>
                      <a:picLocks noChangeAspect="1"/>
                    </pic:cNvPicPr>
                  </pic:nvPicPr>
                  <pic:blipFill>
                    <a:blip r:embed="rId11"/>
                    <a:stretch>
                      <a:fillRect/>
                    </a:stretch>
                  </pic:blipFill>
                  <pic:spPr>
                    <a:xfrm>
                      <a:off x="0" y="0"/>
                      <a:ext cx="6099810" cy="8133715"/>
                    </a:xfrm>
                    <a:prstGeom prst="rect">
                      <a:avLst/>
                    </a:prstGeom>
                  </pic:spPr>
                </pic:pic>
              </a:graphicData>
            </a:graphic>
          </wp:inline>
        </w:drawing>
      </w:r>
      <w:r>
        <w:rPr>
          <w:rFonts w:hint="eastAsia" w:ascii="宋体" w:hAnsi="宋体"/>
          <w:sz w:val="24"/>
          <w:szCs w:val="24"/>
          <w:highlight w:val="none"/>
          <w:lang w:eastAsia="zh-CN"/>
        </w:rPr>
        <w:drawing>
          <wp:inline distT="0" distB="0" distL="114300" distR="114300">
            <wp:extent cx="6085205" cy="4191635"/>
            <wp:effectExtent l="0" t="0" r="10795" b="18415"/>
            <wp:docPr id="30" name="图片 30" descr="IMG_20190114_1109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0190114_110924"/>
                    <pic:cNvPicPr>
                      <a:picLocks noChangeAspect="1"/>
                    </pic:cNvPicPr>
                  </pic:nvPicPr>
                  <pic:blipFill>
                    <a:blip r:embed="rId12"/>
                    <a:stretch>
                      <a:fillRect/>
                    </a:stretch>
                  </pic:blipFill>
                  <pic:spPr>
                    <a:xfrm>
                      <a:off x="0" y="0"/>
                      <a:ext cx="6085205" cy="4191635"/>
                    </a:xfrm>
                    <a:prstGeom prst="rect">
                      <a:avLst/>
                    </a:prstGeom>
                  </pic:spPr>
                </pic:pic>
              </a:graphicData>
            </a:graphic>
          </wp:inline>
        </w:drawing>
      </w:r>
      <w:r>
        <w:rPr>
          <w:rFonts w:hint="eastAsia" w:ascii="宋体" w:hAnsi="宋体"/>
          <w:sz w:val="24"/>
          <w:szCs w:val="24"/>
          <w:highlight w:val="none"/>
          <w:lang w:eastAsia="zh-CN"/>
        </w:rPr>
        <w:drawing>
          <wp:inline distT="0" distB="0" distL="114300" distR="114300">
            <wp:extent cx="6085205" cy="4564380"/>
            <wp:effectExtent l="0" t="0" r="10795" b="7620"/>
            <wp:docPr id="29" name="图片 29" descr="IMG_20190114_1109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0190114_110942"/>
                    <pic:cNvPicPr>
                      <a:picLocks noChangeAspect="1"/>
                    </pic:cNvPicPr>
                  </pic:nvPicPr>
                  <pic:blipFill>
                    <a:blip r:embed="rId13"/>
                    <a:stretch>
                      <a:fillRect/>
                    </a:stretch>
                  </pic:blipFill>
                  <pic:spPr>
                    <a:xfrm>
                      <a:off x="0" y="0"/>
                      <a:ext cx="6085205" cy="4564380"/>
                    </a:xfrm>
                    <a:prstGeom prst="rect">
                      <a:avLst/>
                    </a:prstGeom>
                  </pic:spPr>
                </pic:pic>
              </a:graphicData>
            </a:graphic>
          </wp:inline>
        </w:drawing>
      </w:r>
      <w:r>
        <w:rPr>
          <w:rFonts w:hint="eastAsia" w:ascii="宋体" w:hAnsi="宋体"/>
          <w:sz w:val="24"/>
          <w:szCs w:val="24"/>
          <w:highlight w:val="none"/>
          <w:lang w:eastAsia="zh-CN"/>
        </w:rPr>
        <w:drawing>
          <wp:inline distT="0" distB="0" distL="114300" distR="114300">
            <wp:extent cx="6085205" cy="4227195"/>
            <wp:effectExtent l="0" t="0" r="10795" b="1905"/>
            <wp:docPr id="28" name="图片 28" descr="IMG_20190114_120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0190114_120603"/>
                    <pic:cNvPicPr>
                      <a:picLocks noChangeAspect="1"/>
                    </pic:cNvPicPr>
                  </pic:nvPicPr>
                  <pic:blipFill>
                    <a:blip r:embed="rId14"/>
                    <a:stretch>
                      <a:fillRect/>
                    </a:stretch>
                  </pic:blipFill>
                  <pic:spPr>
                    <a:xfrm>
                      <a:off x="0" y="0"/>
                      <a:ext cx="6085205" cy="4227195"/>
                    </a:xfrm>
                    <a:prstGeom prst="rect">
                      <a:avLst/>
                    </a:prstGeom>
                  </pic:spPr>
                </pic:pic>
              </a:graphicData>
            </a:graphic>
          </wp:inline>
        </w:drawing>
      </w:r>
      <w:r>
        <w:rPr>
          <w:rFonts w:hint="eastAsia" w:ascii="宋体" w:hAnsi="宋体"/>
          <w:sz w:val="24"/>
          <w:szCs w:val="24"/>
          <w:highlight w:val="none"/>
          <w:lang w:eastAsia="zh-CN"/>
        </w:rPr>
        <w:drawing>
          <wp:inline distT="0" distB="0" distL="114300" distR="114300">
            <wp:extent cx="6085205" cy="4564380"/>
            <wp:effectExtent l="0" t="0" r="10795" b="7620"/>
            <wp:docPr id="27" name="图片 27" descr="IMG_20190114_1206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0190114_120611"/>
                    <pic:cNvPicPr>
                      <a:picLocks noChangeAspect="1"/>
                    </pic:cNvPicPr>
                  </pic:nvPicPr>
                  <pic:blipFill>
                    <a:blip r:embed="rId15"/>
                    <a:stretch>
                      <a:fillRect/>
                    </a:stretch>
                  </pic:blipFill>
                  <pic:spPr>
                    <a:xfrm>
                      <a:off x="0" y="0"/>
                      <a:ext cx="6085205" cy="4564380"/>
                    </a:xfrm>
                    <a:prstGeom prst="rect">
                      <a:avLst/>
                    </a:prstGeom>
                  </pic:spPr>
                </pic:pic>
              </a:graphicData>
            </a:graphic>
          </wp:inline>
        </w:drawing>
      </w:r>
      <w:bookmarkStart w:id="0" w:name="_GoBack"/>
      <w:r>
        <w:rPr>
          <w:rFonts w:hint="eastAsia" w:ascii="宋体" w:hAnsi="宋体"/>
          <w:sz w:val="24"/>
          <w:szCs w:val="24"/>
          <w:highlight w:val="none"/>
          <w:lang w:eastAsia="zh-CN"/>
        </w:rPr>
        <w:drawing>
          <wp:inline distT="0" distB="0" distL="114300" distR="114300">
            <wp:extent cx="6085205" cy="4213225"/>
            <wp:effectExtent l="0" t="0" r="10795" b="15875"/>
            <wp:docPr id="26" name="图片 26" descr="IMG_20190114_1208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0190114_120815"/>
                    <pic:cNvPicPr>
                      <a:picLocks noChangeAspect="1"/>
                    </pic:cNvPicPr>
                  </pic:nvPicPr>
                  <pic:blipFill>
                    <a:blip r:embed="rId16"/>
                    <a:stretch>
                      <a:fillRect/>
                    </a:stretch>
                  </pic:blipFill>
                  <pic:spPr>
                    <a:xfrm>
                      <a:off x="0" y="0"/>
                      <a:ext cx="6085205" cy="4213225"/>
                    </a:xfrm>
                    <a:prstGeom prst="rect">
                      <a:avLst/>
                    </a:prstGeom>
                  </pic:spPr>
                </pic:pic>
              </a:graphicData>
            </a:graphic>
          </wp:inline>
        </w:drawing>
      </w:r>
      <w:bookmarkEnd w:id="0"/>
      <w:r>
        <w:rPr>
          <w:rFonts w:hint="eastAsia" w:ascii="宋体" w:hAnsi="宋体"/>
          <w:sz w:val="24"/>
          <w:szCs w:val="24"/>
          <w:highlight w:val="none"/>
          <w:lang w:eastAsia="zh-CN"/>
        </w:rPr>
        <w:drawing>
          <wp:inline distT="0" distB="0" distL="114300" distR="114300">
            <wp:extent cx="6085205" cy="4564380"/>
            <wp:effectExtent l="0" t="0" r="10795" b="7620"/>
            <wp:docPr id="25" name="图片 25" descr="IMG_20190114_121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0190114_121014"/>
                    <pic:cNvPicPr>
                      <a:picLocks noChangeAspect="1"/>
                    </pic:cNvPicPr>
                  </pic:nvPicPr>
                  <pic:blipFill>
                    <a:blip r:embed="rId17"/>
                    <a:stretch>
                      <a:fillRect/>
                    </a:stretch>
                  </pic:blipFill>
                  <pic:spPr>
                    <a:xfrm>
                      <a:off x="0" y="0"/>
                      <a:ext cx="6085205" cy="4564380"/>
                    </a:xfrm>
                    <a:prstGeom prst="rect">
                      <a:avLst/>
                    </a:prstGeom>
                  </pic:spPr>
                </pic:pic>
              </a:graphicData>
            </a:graphic>
          </wp:inline>
        </w:drawing>
      </w:r>
      <w:r>
        <w:rPr>
          <w:rFonts w:hint="eastAsia" w:ascii="宋体" w:hAnsi="宋体"/>
          <w:sz w:val="24"/>
          <w:szCs w:val="24"/>
          <w:highlight w:val="none"/>
          <w:lang w:eastAsia="zh-CN"/>
        </w:rPr>
        <w:drawing>
          <wp:inline distT="0" distB="0" distL="114300" distR="114300">
            <wp:extent cx="6099810" cy="8133715"/>
            <wp:effectExtent l="0" t="0" r="15240" b="635"/>
            <wp:docPr id="12" name="图片 10" descr="IMG_20190114_1200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0" descr="IMG_20190114_120032"/>
                    <pic:cNvPicPr>
                      <a:picLocks noChangeAspect="1"/>
                    </pic:cNvPicPr>
                  </pic:nvPicPr>
                  <pic:blipFill>
                    <a:blip r:embed="rId18"/>
                    <a:stretch>
                      <a:fillRect/>
                    </a:stretch>
                  </pic:blipFill>
                  <pic:spPr>
                    <a:xfrm>
                      <a:off x="0" y="0"/>
                      <a:ext cx="6099810" cy="8133715"/>
                    </a:xfrm>
                    <a:prstGeom prst="rect">
                      <a:avLst/>
                    </a:prstGeom>
                    <a:noFill/>
                    <a:ln w="9525">
                      <a:noFill/>
                    </a:ln>
                  </pic:spPr>
                </pic:pic>
              </a:graphicData>
            </a:graphic>
          </wp:inline>
        </w:drawing>
      </w:r>
    </w:p>
    <w:p>
      <w:pPr>
        <w:spacing w:line="240" w:lineRule="auto"/>
        <w:jc w:val="center"/>
        <w:rPr>
          <w:rFonts w:hint="eastAsia" w:ascii="宋体" w:hAnsi="宋体"/>
          <w:b/>
          <w:bCs/>
          <w:sz w:val="36"/>
          <w:szCs w:val="36"/>
          <w:highlight w:val="none"/>
          <w:lang w:eastAsia="zh-CN"/>
        </w:rPr>
      </w:pPr>
      <w:r>
        <w:rPr>
          <w:rFonts w:hint="eastAsia" w:ascii="宋体" w:hAnsi="宋体"/>
          <w:sz w:val="24"/>
          <w:szCs w:val="24"/>
          <w:highlight w:val="none"/>
          <w:lang w:eastAsia="zh-CN"/>
        </w:rPr>
        <w:br w:type="page"/>
      </w:r>
      <w:r>
        <w:rPr>
          <w:rFonts w:hint="eastAsia" w:ascii="宋体" w:hAnsi="宋体"/>
          <w:sz w:val="24"/>
          <w:szCs w:val="24"/>
          <w:highlight w:val="none"/>
          <w:lang w:eastAsia="zh-CN"/>
        </w:rPr>
        <w:drawing>
          <wp:inline distT="0" distB="0" distL="114300" distR="114300">
            <wp:extent cx="6120765" cy="8161020"/>
            <wp:effectExtent l="0" t="0" r="13335" b="11430"/>
            <wp:docPr id="5" name="图片 5" descr="微信图片_201901181636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微信图片_201901181636001"/>
                    <pic:cNvPicPr>
                      <a:picLocks noChangeAspect="1"/>
                    </pic:cNvPicPr>
                  </pic:nvPicPr>
                  <pic:blipFill>
                    <a:blip r:embed="rId19"/>
                    <a:stretch>
                      <a:fillRect/>
                    </a:stretch>
                  </pic:blipFill>
                  <pic:spPr>
                    <a:xfrm>
                      <a:off x="0" y="0"/>
                      <a:ext cx="6120765" cy="8161020"/>
                    </a:xfrm>
                    <a:prstGeom prst="rect">
                      <a:avLst/>
                    </a:prstGeom>
                  </pic:spPr>
                </pic:pic>
              </a:graphicData>
            </a:graphic>
          </wp:inline>
        </w:drawing>
      </w:r>
      <w:r>
        <w:rPr>
          <w:rFonts w:hint="eastAsia" w:ascii="宋体" w:hAnsi="宋体"/>
          <w:sz w:val="24"/>
          <w:szCs w:val="24"/>
          <w:highlight w:val="none"/>
          <w:lang w:eastAsia="zh-CN"/>
        </w:rPr>
        <w:br w:type="page"/>
      </w:r>
      <w:r>
        <w:rPr>
          <w:rFonts w:hint="eastAsia" w:ascii="宋体" w:hAnsi="宋体"/>
          <w:b/>
          <w:bCs/>
          <w:sz w:val="36"/>
          <w:szCs w:val="36"/>
          <w:highlight w:val="none"/>
          <w:lang w:eastAsia="zh-CN"/>
        </w:rPr>
        <w:t>可比实例位置图</w:t>
      </w:r>
    </w:p>
    <w:p>
      <w:pPr>
        <w:spacing w:line="240" w:lineRule="auto"/>
        <w:jc w:val="both"/>
        <w:rPr>
          <w:rFonts w:hint="eastAsia" w:ascii="宋体" w:hAnsi="宋体"/>
          <w:sz w:val="24"/>
          <w:szCs w:val="24"/>
          <w:highlight w:val="none"/>
          <w:lang w:eastAsia="zh-CN"/>
        </w:rPr>
      </w:pPr>
      <w:r>
        <w:rPr>
          <w:rFonts w:hint="eastAsia" w:ascii="宋体" w:hAnsi="宋体"/>
          <w:sz w:val="24"/>
          <w:szCs w:val="24"/>
          <w:highlight w:val="none"/>
          <w:lang w:eastAsia="zh-CN"/>
        </w:rPr>
        <w:drawing>
          <wp:inline distT="0" distB="0" distL="114300" distR="114300">
            <wp:extent cx="6112510" cy="3576320"/>
            <wp:effectExtent l="0" t="0" r="2540" b="5080"/>
            <wp:docPr id="33" name="图片 33" descr="车库可比实例位置"/>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车库可比实例位置"/>
                    <pic:cNvPicPr>
                      <a:picLocks noChangeAspect="1"/>
                    </pic:cNvPicPr>
                  </pic:nvPicPr>
                  <pic:blipFill>
                    <a:blip r:embed="rId20"/>
                    <a:stretch>
                      <a:fillRect/>
                    </a:stretch>
                  </pic:blipFill>
                  <pic:spPr>
                    <a:xfrm>
                      <a:off x="0" y="0"/>
                      <a:ext cx="6112510" cy="3576320"/>
                    </a:xfrm>
                    <a:prstGeom prst="rect">
                      <a:avLst/>
                    </a:prstGeom>
                  </pic:spPr>
                </pic:pic>
              </a:graphicData>
            </a:graphic>
          </wp:inline>
        </w:drawing>
      </w:r>
      <w:r>
        <w:rPr>
          <w:rFonts w:hint="eastAsia" w:ascii="宋体" w:hAnsi="宋体"/>
          <w:sz w:val="24"/>
          <w:szCs w:val="24"/>
          <w:highlight w:val="none"/>
          <w:lang w:eastAsia="zh-CN"/>
        </w:rPr>
        <w:drawing>
          <wp:inline distT="0" distB="0" distL="114300" distR="114300">
            <wp:extent cx="6115050" cy="8649970"/>
            <wp:effectExtent l="0" t="0" r="0" b="17780"/>
            <wp:docPr id="19" name="图片 17" descr="微信图片_2018122017433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7" descr="微信图片_201812201743362"/>
                    <pic:cNvPicPr>
                      <a:picLocks noChangeAspect="1"/>
                    </pic:cNvPicPr>
                  </pic:nvPicPr>
                  <pic:blipFill>
                    <a:blip r:embed="rId21"/>
                    <a:stretch>
                      <a:fillRect/>
                    </a:stretch>
                  </pic:blipFill>
                  <pic:spPr>
                    <a:xfrm>
                      <a:off x="0" y="0"/>
                      <a:ext cx="6115050" cy="8649970"/>
                    </a:xfrm>
                    <a:prstGeom prst="rect">
                      <a:avLst/>
                    </a:prstGeom>
                    <a:noFill/>
                    <a:ln w="9525">
                      <a:noFill/>
                    </a:ln>
                  </pic:spPr>
                </pic:pic>
              </a:graphicData>
            </a:graphic>
          </wp:inline>
        </w:drawing>
      </w:r>
    </w:p>
    <w:p>
      <w:pPr>
        <w:spacing w:line="240" w:lineRule="auto"/>
        <w:jc w:val="both"/>
        <w:rPr>
          <w:rFonts w:hint="eastAsia" w:ascii="宋体" w:hAnsi="宋体"/>
          <w:sz w:val="24"/>
          <w:szCs w:val="24"/>
          <w:highlight w:val="none"/>
          <w:lang w:eastAsia="zh-CN"/>
        </w:rPr>
      </w:pPr>
      <w:r>
        <w:rPr>
          <w:rFonts w:hint="eastAsia" w:ascii="宋体" w:hAnsi="宋体"/>
          <w:sz w:val="24"/>
          <w:szCs w:val="24"/>
          <w:highlight w:val="none"/>
          <w:lang w:eastAsia="zh-CN"/>
        </w:rPr>
        <w:br w:type="page"/>
      </w:r>
      <w:r>
        <w:rPr>
          <w:rFonts w:hint="eastAsia" w:ascii="宋体" w:hAnsi="宋体"/>
          <w:sz w:val="24"/>
          <w:szCs w:val="24"/>
          <w:highlight w:val="none"/>
          <w:lang w:eastAsia="zh-CN"/>
        </w:rPr>
        <w:drawing>
          <wp:inline distT="0" distB="0" distL="114300" distR="114300">
            <wp:extent cx="6115050" cy="8649970"/>
            <wp:effectExtent l="0" t="0" r="0" b="17780"/>
            <wp:docPr id="20" name="图片 18" descr="微信图片_2018122017433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18" descr="微信图片_201812201743363"/>
                    <pic:cNvPicPr>
                      <a:picLocks noChangeAspect="1"/>
                    </pic:cNvPicPr>
                  </pic:nvPicPr>
                  <pic:blipFill>
                    <a:blip r:embed="rId22"/>
                    <a:stretch>
                      <a:fillRect/>
                    </a:stretch>
                  </pic:blipFill>
                  <pic:spPr>
                    <a:xfrm>
                      <a:off x="0" y="0"/>
                      <a:ext cx="6115050" cy="8649970"/>
                    </a:xfrm>
                    <a:prstGeom prst="rect">
                      <a:avLst/>
                    </a:prstGeom>
                    <a:noFill/>
                    <a:ln w="9525">
                      <a:noFill/>
                    </a:ln>
                  </pic:spPr>
                </pic:pic>
              </a:graphicData>
            </a:graphic>
          </wp:inline>
        </w:drawing>
      </w:r>
    </w:p>
    <w:p>
      <w:pPr>
        <w:spacing w:line="240" w:lineRule="auto"/>
        <w:jc w:val="both"/>
        <w:rPr>
          <w:rFonts w:hint="eastAsia" w:ascii="宋体" w:hAnsi="宋体"/>
          <w:sz w:val="24"/>
          <w:szCs w:val="24"/>
          <w:highlight w:val="none"/>
          <w:lang w:eastAsia="zh-CN"/>
        </w:rPr>
      </w:pPr>
      <w:r>
        <w:rPr>
          <w:rFonts w:hint="eastAsia" w:ascii="宋体" w:hAnsi="宋体"/>
          <w:sz w:val="24"/>
          <w:szCs w:val="24"/>
          <w:highlight w:val="none"/>
          <w:lang w:eastAsia="zh-CN"/>
        </w:rPr>
        <w:br w:type="page"/>
      </w:r>
      <w:r>
        <w:rPr>
          <w:rFonts w:hint="eastAsia" w:ascii="宋体" w:hAnsi="宋体"/>
          <w:sz w:val="24"/>
          <w:szCs w:val="24"/>
          <w:highlight w:val="none"/>
          <w:lang w:eastAsia="zh-CN"/>
        </w:rPr>
        <w:drawing>
          <wp:inline distT="0" distB="0" distL="114300" distR="114300">
            <wp:extent cx="6115050" cy="8649970"/>
            <wp:effectExtent l="0" t="0" r="0" b="17780"/>
            <wp:docPr id="21" name="图片 19" descr="微信图片_201901161719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19" descr="微信图片_20190116171925"/>
                    <pic:cNvPicPr>
                      <a:picLocks noChangeAspect="1"/>
                    </pic:cNvPicPr>
                  </pic:nvPicPr>
                  <pic:blipFill>
                    <a:blip r:embed="rId23"/>
                    <a:stretch>
                      <a:fillRect/>
                    </a:stretch>
                  </pic:blipFill>
                  <pic:spPr>
                    <a:xfrm>
                      <a:off x="0" y="0"/>
                      <a:ext cx="6115050" cy="8649970"/>
                    </a:xfrm>
                    <a:prstGeom prst="rect">
                      <a:avLst/>
                    </a:prstGeom>
                    <a:noFill/>
                    <a:ln w="9525">
                      <a:noFill/>
                    </a:ln>
                  </pic:spPr>
                </pic:pic>
              </a:graphicData>
            </a:graphic>
          </wp:inline>
        </w:drawing>
      </w:r>
    </w:p>
    <w:p>
      <w:pPr>
        <w:spacing w:line="240" w:lineRule="auto"/>
        <w:jc w:val="both"/>
        <w:rPr>
          <w:rFonts w:hint="eastAsia" w:ascii="宋体" w:hAnsi="宋体"/>
          <w:sz w:val="24"/>
          <w:szCs w:val="24"/>
          <w:highlight w:val="none"/>
          <w:lang w:eastAsia="zh-CN"/>
        </w:rPr>
      </w:pPr>
      <w:r>
        <w:rPr>
          <w:rFonts w:hint="eastAsia" w:ascii="宋体" w:hAnsi="宋体"/>
          <w:sz w:val="24"/>
          <w:szCs w:val="24"/>
          <w:highlight w:val="none"/>
          <w:lang w:eastAsia="zh-CN"/>
        </w:rPr>
        <w:br w:type="page"/>
      </w:r>
      <w:r>
        <w:rPr>
          <w:rFonts w:hint="eastAsia" w:ascii="宋体" w:hAnsi="宋体"/>
          <w:sz w:val="24"/>
          <w:szCs w:val="24"/>
          <w:highlight w:val="none"/>
          <w:lang w:eastAsia="zh-CN"/>
        </w:rPr>
        <w:drawing>
          <wp:inline distT="0" distB="0" distL="114300" distR="114300">
            <wp:extent cx="6115050" cy="8649970"/>
            <wp:effectExtent l="0" t="0" r="0" b="17780"/>
            <wp:docPr id="22" name="图片 20" descr="微信图片_2018122017433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0" descr="微信图片_201812201743365"/>
                    <pic:cNvPicPr>
                      <a:picLocks noChangeAspect="1"/>
                    </pic:cNvPicPr>
                  </pic:nvPicPr>
                  <pic:blipFill>
                    <a:blip r:embed="rId24"/>
                    <a:stretch>
                      <a:fillRect/>
                    </a:stretch>
                  </pic:blipFill>
                  <pic:spPr>
                    <a:xfrm>
                      <a:off x="0" y="0"/>
                      <a:ext cx="6115050" cy="8649970"/>
                    </a:xfrm>
                    <a:prstGeom prst="rect">
                      <a:avLst/>
                    </a:prstGeom>
                    <a:noFill/>
                    <a:ln w="9525">
                      <a:noFill/>
                    </a:ln>
                  </pic:spPr>
                </pic:pic>
              </a:graphicData>
            </a:graphic>
          </wp:inline>
        </w:drawing>
      </w:r>
      <w:r>
        <w:rPr>
          <w:rFonts w:hint="eastAsia" w:ascii="宋体" w:hAnsi="宋体"/>
          <w:sz w:val="24"/>
          <w:szCs w:val="24"/>
          <w:highlight w:val="none"/>
          <w:lang w:eastAsia="zh-CN"/>
        </w:rPr>
        <w:drawing>
          <wp:inline distT="0" distB="0" distL="114300" distR="114300">
            <wp:extent cx="6115050" cy="8649970"/>
            <wp:effectExtent l="0" t="0" r="0" b="17780"/>
            <wp:docPr id="23" name="图片 21" descr="微信图片_2018122017433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1" descr="微信图片_201812201743366"/>
                    <pic:cNvPicPr>
                      <a:picLocks noChangeAspect="1"/>
                    </pic:cNvPicPr>
                  </pic:nvPicPr>
                  <pic:blipFill>
                    <a:blip r:embed="rId25"/>
                    <a:stretch>
                      <a:fillRect/>
                    </a:stretch>
                  </pic:blipFill>
                  <pic:spPr>
                    <a:xfrm>
                      <a:off x="0" y="0"/>
                      <a:ext cx="6115050" cy="8649970"/>
                    </a:xfrm>
                    <a:prstGeom prst="rect">
                      <a:avLst/>
                    </a:prstGeom>
                    <a:noFill/>
                    <a:ln w="9525">
                      <a:noFill/>
                    </a:ln>
                  </pic:spPr>
                </pic:pic>
              </a:graphicData>
            </a:graphic>
          </wp:inline>
        </w:drawing>
      </w:r>
    </w:p>
    <w:p>
      <w:pPr>
        <w:spacing w:line="240" w:lineRule="auto"/>
        <w:rPr>
          <w:rFonts w:hint="eastAsia" w:ascii="宋体" w:hAnsi="宋体" w:eastAsia="宋体"/>
          <w:sz w:val="30"/>
          <w:szCs w:val="30"/>
          <w:highlight w:val="none"/>
          <w:lang w:eastAsia="zh-CN"/>
        </w:rPr>
      </w:pPr>
    </w:p>
    <w:p/>
    <w:sectPr>
      <w:pgSz w:w="11907" w:h="16839"/>
      <w:pgMar w:top="1417" w:right="1134" w:bottom="1134" w:left="1134" w:header="851" w:footer="850" w:gutter="0"/>
      <w:cols w:space="720" w:num="1"/>
      <w:titlePg/>
      <w:docGrid w:type="linesAndChars" w:linePitch="274" w:charSpace="26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宋体-18030">
    <w:altName w:val="宋体"/>
    <w:panose1 w:val="00000000000000000000"/>
    <w:charset w:val="86"/>
    <w:family w:val="modern"/>
    <w:pitch w:val="default"/>
    <w:sig w:usb0="00000000" w:usb1="00000000" w:usb2="000A005E"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eastAsia"/>
        <w:sz w:val="21"/>
      </w:rPr>
    </w:pPr>
    <w:r>
      <w:rPr>
        <w:b/>
        <w:sz w:val="21"/>
      </w:rPr>
      <mc:AlternateContent>
        <mc:Choice Requires="wps">
          <w:drawing>
            <wp:anchor distT="0" distB="0" distL="114300" distR="114300" simplePos="0" relativeHeight="251658240" behindDoc="0" locked="0" layoutInCell="1" allowOverlap="1">
              <wp:simplePos x="0" y="0"/>
              <wp:positionH relativeFrom="column">
                <wp:posOffset>99060</wp:posOffset>
              </wp:positionH>
              <wp:positionV relativeFrom="paragraph">
                <wp:posOffset>-50800</wp:posOffset>
              </wp:positionV>
              <wp:extent cx="5844540" cy="0"/>
              <wp:effectExtent l="0" t="0" r="0" b="0"/>
              <wp:wrapNone/>
              <wp:docPr id="1" name="直接连接符 1"/>
              <wp:cNvGraphicFramePr/>
              <a:graphic xmlns:a="http://schemas.openxmlformats.org/drawingml/2006/main">
                <a:graphicData uri="http://schemas.microsoft.com/office/word/2010/wordprocessingShape">
                  <wps:wsp>
                    <wps:cNvCnPr/>
                    <wps:spPr>
                      <a:xfrm>
                        <a:off x="0" y="0"/>
                        <a:ext cx="58445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7.8pt;margin-top:-4pt;height:0pt;width:460.2pt;z-index:251658240;mso-width-relative:page;mso-height-relative:page;" filled="f" stroked="t" coordsize="21600,21600" o:gfxdata="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">
              <v:fill on="f" focussize="0,0"/>
              <v:stroke color="#000000" joinstyle="round"/>
              <v:imagedata o:title=""/>
              <o:lock v:ext="edit" aspectratio="f"/>
            </v:line>
          </w:pict>
        </mc:Fallback>
      </mc:AlternateContent>
    </w:r>
    <w:r>
      <w:rPr>
        <w:rStyle w:val="8"/>
        <w:rFonts w:hint="eastAsia"/>
        <w:sz w:val="21"/>
      </w:rPr>
      <w:t>内蒙古正翔房地产价格评估有限责任公司                                           共</w:t>
    </w:r>
    <w:r>
      <w:fldChar w:fldCharType="begin"/>
    </w:r>
    <w:r>
      <w:rPr>
        <w:rStyle w:val="8"/>
      </w:rPr>
      <w:instrText xml:space="preserve"> NUMPAGES </w:instrText>
    </w:r>
    <w:r>
      <w:fldChar w:fldCharType="separate"/>
    </w:r>
    <w:r>
      <w:rPr>
        <w:rStyle w:val="8"/>
      </w:rPr>
      <w:t>22</w:t>
    </w:r>
    <w:r>
      <w:fldChar w:fldCharType="end"/>
    </w:r>
    <w:r>
      <w:rPr>
        <w:rStyle w:val="8"/>
        <w:rFonts w:hint="eastAsia"/>
        <w:sz w:val="21"/>
      </w:rPr>
      <w:t>页第</w:t>
    </w:r>
    <w:r>
      <w:fldChar w:fldCharType="begin"/>
    </w:r>
    <w:r>
      <w:rPr>
        <w:rStyle w:val="8"/>
      </w:rPr>
      <w:instrText xml:space="preserve"> PAGE </w:instrText>
    </w:r>
    <w:r>
      <w:fldChar w:fldCharType="separate"/>
    </w:r>
    <w:r>
      <w:rPr>
        <w:rStyle w:val="8"/>
      </w:rPr>
      <w:t>7</w:t>
    </w:r>
    <w:r>
      <w:fldChar w:fldCharType="end"/>
    </w:r>
    <w:r>
      <w:rPr>
        <w:rStyle w:val="8"/>
        <w:rFonts w:hint="eastAsia"/>
        <w:sz w:val="21"/>
      </w:rPr>
      <w:t>页</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pPr>
    <w:r>
      <w:rPr>
        <w:rFonts w:hint="eastAsia"/>
        <w:lang w:eastAsia="zh-CN"/>
      </w:rPr>
      <w:tab/>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4"/>
      <w:jc w:val="both"/>
      <w:rPr>
        <w:rFonts w:hint="eastAsia"/>
        <w:sz w:val="21"/>
      </w:rPr>
    </w:pPr>
    <w:r>
      <w:rPr>
        <w:b/>
        <w:sz w:val="21"/>
      </w:rPr>
      <mc:AlternateContent>
        <mc:Choice Requires="wps">
          <w:drawing>
            <wp:anchor distT="0" distB="0" distL="114300" distR="114300" simplePos="0" relativeHeight="251659264" behindDoc="0" locked="0" layoutInCell="1" allowOverlap="1">
              <wp:simplePos x="0" y="0"/>
              <wp:positionH relativeFrom="column">
                <wp:posOffset>0</wp:posOffset>
              </wp:positionH>
              <wp:positionV relativeFrom="paragraph">
                <wp:posOffset>-50800</wp:posOffset>
              </wp:positionV>
              <wp:extent cx="5844540" cy="0"/>
              <wp:effectExtent l="0" t="0" r="0" b="0"/>
              <wp:wrapNone/>
              <wp:docPr id="2" name="直接连接符 2"/>
              <wp:cNvGraphicFramePr/>
              <a:graphic xmlns:a="http://schemas.openxmlformats.org/drawingml/2006/main">
                <a:graphicData uri="http://schemas.microsoft.com/office/word/2010/wordprocessingShape">
                  <wps:wsp>
                    <wps:cNvCnPr/>
                    <wps:spPr>
                      <a:xfrm>
                        <a:off x="0" y="0"/>
                        <a:ext cx="5844540" cy="0"/>
                      </a:xfrm>
                      <a:prstGeom prst="line">
                        <a:avLst/>
                      </a:prstGeom>
                      <a:ln w="9525" cap="flat" cmpd="sng">
                        <a:solidFill>
                          <a:srgbClr val="000000"/>
                        </a:solidFill>
                        <a:prstDash val="solid"/>
                        <a:headEnd type="none" w="med" len="med"/>
                        <a:tailEnd type="none" w="med" len="med"/>
                      </a:ln>
                    </wps:spPr>
                    <wps:bodyPr upright="1"/>
                  </wps:wsp>
                </a:graphicData>
              </a:graphic>
            </wp:anchor>
          </w:drawing>
        </mc:Choice>
        <mc:Fallback>
          <w:pict>
            <v:line id="_x0000_s1026" o:spid="_x0000_s1026" o:spt="20" style="position:absolute;left:0pt;margin-left:0pt;margin-top:-4pt;height:0pt;width:460.2pt;z-index:251659264;mso-width-relative:page;mso-height-relative:page;" filled="f" stroked="t" coordsize="21600,21600" o:gfxdata="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">
              <v:fill on="f" focussize="0,0"/>
              <v:stroke color="#000000" joinstyle="round"/>
              <v:imagedata o:title=""/>
              <o:lock v:ext="edit" aspectratio="f"/>
            </v:line>
          </w:pict>
        </mc:Fallback>
      </mc:AlternateContent>
    </w:r>
    <w:r>
      <w:rPr>
        <w:rStyle w:val="8"/>
        <w:rFonts w:hint="eastAsia"/>
        <w:sz w:val="21"/>
      </w:rPr>
      <w:t>内蒙古正翔房地产价格评估有限责任公司                                            共</w:t>
    </w:r>
    <w:r>
      <w:fldChar w:fldCharType="begin"/>
    </w:r>
    <w:r>
      <w:rPr>
        <w:rStyle w:val="8"/>
      </w:rPr>
      <w:instrText xml:space="preserve"> NUMPAGES </w:instrText>
    </w:r>
    <w:r>
      <w:fldChar w:fldCharType="separate"/>
    </w:r>
    <w:r>
      <w:rPr>
        <w:rStyle w:val="8"/>
      </w:rPr>
      <w:t>22</w:t>
    </w:r>
    <w:r>
      <w:fldChar w:fldCharType="end"/>
    </w:r>
    <w:r>
      <w:rPr>
        <w:rStyle w:val="8"/>
        <w:rFonts w:hint="eastAsia"/>
        <w:sz w:val="21"/>
      </w:rPr>
      <w:t>页第</w:t>
    </w:r>
    <w:r>
      <w:fldChar w:fldCharType="begin"/>
    </w:r>
    <w:r>
      <w:rPr>
        <w:rStyle w:val="8"/>
      </w:rPr>
      <w:instrText xml:space="preserve"> PAGE </w:instrText>
    </w:r>
    <w:r>
      <w:fldChar w:fldCharType="separate"/>
    </w:r>
    <w:r>
      <w:rPr>
        <w:rStyle w:val="8"/>
      </w:rPr>
      <w:t>22</w:t>
    </w:r>
    <w:r>
      <w:fldChar w:fldCharType="end"/>
    </w:r>
    <w:r>
      <w:rPr>
        <w:rStyle w:val="8"/>
        <w:rFonts w:hint="eastAsia"/>
        <w:sz w:val="21"/>
      </w:rPr>
      <w:t>页</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105" w:hanging="105" w:hangingChars="50"/>
      <w:rPr>
        <w:rFonts w:hint="eastAsia"/>
        <w:b/>
        <w:i/>
        <w:iCs/>
        <w:sz w:val="21"/>
        <w:szCs w:val="21"/>
      </w:rPr>
    </w:pPr>
    <w:r>
      <w:rPr>
        <w:rFonts w:hint="eastAsia" w:ascii="宋体" w:hAnsi="宋体"/>
        <w:b/>
        <w:bCs/>
        <w:i/>
        <w:sz w:val="21"/>
        <w:szCs w:val="21"/>
      </w:rPr>
      <w:t xml:space="preserve">房         地         </w:t>
    </w:r>
    <w:r>
      <w:rPr>
        <w:rFonts w:hint="eastAsia"/>
        <w:b/>
        <w:bCs/>
        <w:i/>
        <w:sz w:val="21"/>
        <w:szCs w:val="21"/>
      </w:rPr>
      <w:t>产         估         价         报         告        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ind w:left="105" w:hanging="105" w:hangingChars="50"/>
      <w:rPr>
        <w:rFonts w:hint="eastAsia"/>
        <w:b/>
        <w:i/>
        <w:iCs/>
        <w:sz w:val="21"/>
        <w:szCs w:val="21"/>
      </w:rPr>
    </w:pPr>
    <w:r>
      <w:rPr>
        <w:rFonts w:hint="eastAsia" w:ascii="宋体" w:hAnsi="宋体"/>
        <w:b/>
        <w:bCs/>
        <w:i/>
        <w:sz w:val="21"/>
        <w:szCs w:val="21"/>
      </w:rPr>
      <w:t xml:space="preserve">房         地         </w:t>
    </w:r>
    <w:r>
      <w:rPr>
        <w:rFonts w:hint="eastAsia"/>
        <w:b/>
        <w:bCs/>
        <w:i/>
        <w:sz w:val="21"/>
        <w:szCs w:val="21"/>
      </w:rPr>
      <w:t>产         估         价         报         告        书</w:t>
    </w:r>
  </w:p>
  <w:p>
    <w:pPr>
      <w:pStyle w:val="6"/>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86A96DE"/>
    <w:multiLevelType w:val="singleLevel"/>
    <w:tmpl w:val="186A96DE"/>
    <w:lvl w:ilvl="0" w:tentative="0">
      <w:start w:val="6"/>
      <w:numFmt w:val="chineseCounting"/>
      <w:suff w:val="nothing"/>
      <w:lvlText w:val="%1、"/>
      <w:lvlJc w:val="left"/>
      <w:rPr>
        <w:rFonts w:hint="eastAsia"/>
      </w:rPr>
    </w:lvl>
  </w:abstractNum>
  <w:abstractNum w:abstractNumId="1">
    <w:nsid w:val="29BF4052"/>
    <w:multiLevelType w:val="multilevel"/>
    <w:tmpl w:val="29BF4052"/>
    <w:lvl w:ilvl="0" w:tentative="0">
      <w:start w:val="1"/>
      <w:numFmt w:val="decimal"/>
      <w:lvlText w:val="%1、"/>
      <w:lvlJc w:val="left"/>
      <w:pPr>
        <w:tabs>
          <w:tab w:val="left" w:pos="480"/>
        </w:tabs>
        <w:ind w:left="480" w:hanging="480"/>
      </w:pPr>
      <w:rPr>
        <w:rFonts w:ascii="Times New Roman" w:hAnsi="Times New Roman" w:eastAsia="Times New Roman" w:cs="Times New Roman"/>
      </w:r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
    <w:nsid w:val="4013692D"/>
    <w:multiLevelType w:val="singleLevel"/>
    <w:tmpl w:val="4013692D"/>
    <w:lvl w:ilvl="0" w:tentative="0">
      <w:start w:val="1"/>
      <w:numFmt w:val="japaneseCounting"/>
      <w:lvlText w:val="（%1）"/>
      <w:lvlJc w:val="left"/>
      <w:pPr>
        <w:tabs>
          <w:tab w:val="left" w:pos="1620"/>
        </w:tabs>
        <w:ind w:left="1620" w:hanging="900"/>
      </w:pPr>
      <w:rPr>
        <w:rFonts w:hint="eastAsia"/>
      </w:rPr>
    </w:lvl>
  </w:abstractNum>
  <w:abstractNum w:abstractNumId="3">
    <w:nsid w:val="6F43797C"/>
    <w:multiLevelType w:val="singleLevel"/>
    <w:tmpl w:val="6F43797C"/>
    <w:lvl w:ilvl="0" w:tentative="0">
      <w:start w:val="1"/>
      <w:numFmt w:val="decimal"/>
      <w:suff w:val="nothing"/>
      <w:lvlText w:val="%1、"/>
      <w:lvlJc w:val="left"/>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54C03FAE"/>
    <w:rsid w:val="40D50A9D"/>
    <w:rsid w:val="47035899"/>
    <w:rsid w:val="54C03FA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qFormat="1"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32"/>
      <w:lang w:val="en-US" w:eastAsia="zh-CN" w:bidi="ar-SA"/>
    </w:rPr>
  </w:style>
  <w:style w:type="character" w:default="1" w:styleId="7">
    <w:name w:val="Default Paragraph Font"/>
    <w:semiHidden/>
    <w:uiPriority w:val="0"/>
  </w:style>
  <w:style w:type="table" w:default="1" w:styleId="10">
    <w:name w:val="Normal Table"/>
    <w:semiHidden/>
    <w:qFormat/>
    <w:uiPriority w:val="0"/>
    <w:tblPr>
      <w:tblLayout w:type="fixed"/>
      <w:tblCellMar>
        <w:top w:w="0" w:type="dxa"/>
        <w:left w:w="108" w:type="dxa"/>
        <w:bottom w:w="0" w:type="dxa"/>
        <w:right w:w="108" w:type="dxa"/>
      </w:tblCellMar>
    </w:tblPr>
  </w:style>
  <w:style w:type="paragraph" w:styleId="2">
    <w:name w:val="Plain Text"/>
    <w:basedOn w:val="1"/>
    <w:qFormat/>
    <w:uiPriority w:val="0"/>
    <w:rPr>
      <w:rFonts w:ascii="宋体" w:hAnsi="Courier New"/>
      <w:sz w:val="21"/>
    </w:rPr>
  </w:style>
  <w:style w:type="paragraph" w:styleId="3">
    <w:name w:val="Body Text Indent 2"/>
    <w:basedOn w:val="1"/>
    <w:qFormat/>
    <w:uiPriority w:val="0"/>
    <w:pPr>
      <w:widowControl/>
      <w:ind w:left="720" w:firstLine="630"/>
    </w:pPr>
    <w:rPr>
      <w:kern w:val="0"/>
    </w:rPr>
  </w:style>
  <w:style w:type="paragraph" w:styleId="4">
    <w:name w:val="footer"/>
    <w:basedOn w:val="5"/>
    <w:qFormat/>
    <w:uiPriority w:val="0"/>
    <w:pPr>
      <w:tabs>
        <w:tab w:val="center" w:pos="-18551"/>
        <w:tab w:val="right" w:pos="4320"/>
      </w:tabs>
    </w:pPr>
  </w:style>
  <w:style w:type="paragraph" w:customStyle="1" w:styleId="5">
    <w:name w:val="基准页眉样式"/>
    <w:basedOn w:val="1"/>
    <w:qFormat/>
    <w:uiPriority w:val="0"/>
    <w:pPr>
      <w:keepLines/>
      <w:widowControl/>
      <w:tabs>
        <w:tab w:val="center" w:pos="-18551"/>
        <w:tab w:val="right" w:pos="4320"/>
      </w:tabs>
      <w:jc w:val="left"/>
    </w:pPr>
    <w:rPr>
      <w:rFonts w:ascii="Arial" w:hAnsi="Arial"/>
      <w:spacing w:val="-4"/>
      <w:kern w:val="0"/>
      <w:sz w:val="20"/>
    </w:rPr>
  </w:style>
  <w:style w:type="paragraph" w:styleId="6">
    <w:name w:val="header"/>
    <w:basedOn w:val="1"/>
    <w:qFormat/>
    <w:uiPriority w:val="0"/>
    <w:pPr>
      <w:pBdr>
        <w:bottom w:val="single" w:color="auto" w:sz="6" w:space="1"/>
      </w:pBdr>
      <w:tabs>
        <w:tab w:val="center" w:pos="4153"/>
        <w:tab w:val="right" w:pos="8306"/>
      </w:tabs>
      <w:snapToGrid w:val="0"/>
      <w:jc w:val="center"/>
    </w:pPr>
    <w:rPr>
      <w:sz w:val="18"/>
      <w:szCs w:val="18"/>
    </w:rPr>
  </w:style>
  <w:style w:type="character" w:styleId="8">
    <w:name w:val="page number"/>
    <w:qFormat/>
    <w:uiPriority w:val="0"/>
    <w:rPr>
      <w:rFonts w:ascii="Arial" w:hAnsi="Arial"/>
      <w:b/>
      <w:sz w:val="18"/>
    </w:rPr>
  </w:style>
  <w:style w:type="character" w:styleId="9">
    <w:name w:val="Hyperlink"/>
    <w:basedOn w:val="7"/>
    <w:qFormat/>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1.jpe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7.jpeg"/><Relationship Id="rId24" Type="http://schemas.openxmlformats.org/officeDocument/2006/relationships/image" Target="media/image16.jpeg"/><Relationship Id="rId23" Type="http://schemas.openxmlformats.org/officeDocument/2006/relationships/image" Target="media/image15.jpeg"/><Relationship Id="rId22" Type="http://schemas.openxmlformats.org/officeDocument/2006/relationships/image" Target="media/image14.jpeg"/><Relationship Id="rId21" Type="http://schemas.openxmlformats.org/officeDocument/2006/relationships/image" Target="media/image13.jpeg"/><Relationship Id="rId20" Type="http://schemas.openxmlformats.org/officeDocument/2006/relationships/image" Target="media/image12.png"/><Relationship Id="rId2" Type="http://schemas.openxmlformats.org/officeDocument/2006/relationships/settings" Target="settings.xml"/><Relationship Id="rId19" Type="http://schemas.openxmlformats.org/officeDocument/2006/relationships/image" Target="media/image11.jpeg"/><Relationship Id="rId18" Type="http://schemas.openxmlformats.org/officeDocument/2006/relationships/image" Target="media/image10.jpeg"/><Relationship Id="rId17" Type="http://schemas.openxmlformats.org/officeDocument/2006/relationships/image" Target="media/image9.jpeg"/><Relationship Id="rId16" Type="http://schemas.openxmlformats.org/officeDocument/2006/relationships/image" Target="media/image8.jpeg"/><Relationship Id="rId15" Type="http://schemas.openxmlformats.org/officeDocument/2006/relationships/image" Target="media/image7.jpeg"/><Relationship Id="rId14" Type="http://schemas.openxmlformats.org/officeDocument/2006/relationships/image" Target="media/image6.jpeg"/><Relationship Id="rId13" Type="http://schemas.openxmlformats.org/officeDocument/2006/relationships/image" Target="media/image5.jpeg"/><Relationship Id="rId12" Type="http://schemas.openxmlformats.org/officeDocument/2006/relationships/image" Target="media/image4.jpeg"/><Relationship Id="rId11" Type="http://schemas.openxmlformats.org/officeDocument/2006/relationships/image" Target="media/image3.jpeg"/><Relationship Id="rId10" Type="http://schemas.openxmlformats.org/officeDocument/2006/relationships/image" Target="media/image2.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0</TotalTime>
  <ScaleCrop>false</ScaleCrop>
  <LinksUpToDate>false</LinksUpToDate>
  <CharactersWithSpaces>0</CharactersWithSpaces>
  <Application>WPS Office_11.1.0.8214_F1E327BC-269C-435d-A152-05C5408002CA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2019-01-17T07:58:00Z</dcterms:created>
  <dc:creator>Administrator</dc:creator>
  <cp:lastModifiedBy>李强</cp:lastModifiedBy>
  <dcterms:modified xsi:type="dcterms:W3CDTF">2019-01-18T08:38:00Z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2052-11.1.0.8214</vt:lpwstr>
  </property>
</Properties>
</file>