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Times New Roman" w:hAnsi="Times New Roman" w:eastAsia="隶书" w:cs="Times New Roman"/>
          <w:b/>
          <w:color w:val="000000"/>
          <w:sz w:val="44"/>
          <w:szCs w:val="24"/>
        </w:rPr>
      </w:pPr>
      <w:bookmarkStart w:id="0" w:name="_Hlk495943653"/>
      <w:r>
        <w:rPr>
          <w:rFonts w:hint="eastAsia" w:ascii="宋体" w:hAnsi="宋体" w:eastAsia="宋体" w:cs="Times New Roman"/>
          <w:color w:val="000000"/>
          <w:sz w:val="28"/>
          <w:szCs w:val="28"/>
        </w:rPr>
        <w:t>本资产评估报告依据中国资产评估准则编制</w:t>
      </w:r>
    </w:p>
    <w:p>
      <w:pPr>
        <w:spacing w:line="520" w:lineRule="exact"/>
        <w:jc w:val="center"/>
        <w:rPr>
          <w:rFonts w:ascii="Times New Roman" w:hAnsi="Times New Roman" w:eastAsia="隶书" w:cs="Times New Roman"/>
          <w:b/>
          <w:color w:val="000000"/>
          <w:spacing w:val="24"/>
          <w:sz w:val="44"/>
          <w:szCs w:val="44"/>
        </w:rPr>
      </w:pPr>
    </w:p>
    <w:p>
      <w:pPr>
        <w:spacing w:line="520" w:lineRule="exact"/>
        <w:jc w:val="center"/>
        <w:rPr>
          <w:rFonts w:ascii="Times New Roman" w:hAnsi="Times New Roman" w:eastAsia="隶书" w:cs="Times New Roman"/>
          <w:b/>
          <w:color w:val="000000"/>
          <w:spacing w:val="24"/>
          <w:sz w:val="44"/>
          <w:szCs w:val="44"/>
        </w:rPr>
      </w:pPr>
    </w:p>
    <w:p>
      <w:pPr>
        <w:spacing w:line="520" w:lineRule="exact"/>
        <w:jc w:val="center"/>
        <w:rPr>
          <w:rFonts w:ascii="Times New Roman" w:hAnsi="Times New Roman" w:eastAsia="隶书" w:cs="Times New Roman"/>
          <w:b/>
          <w:color w:val="000000"/>
          <w:spacing w:val="24"/>
          <w:sz w:val="44"/>
          <w:szCs w:val="44"/>
        </w:rPr>
      </w:pPr>
    </w:p>
    <w:p>
      <w:pPr>
        <w:spacing w:line="520" w:lineRule="exact"/>
        <w:jc w:val="center"/>
        <w:rPr>
          <w:rFonts w:ascii="Times New Roman" w:hAnsi="Times New Roman" w:eastAsia="隶书" w:cs="Times New Roman"/>
          <w:b/>
          <w:color w:val="000000"/>
          <w:spacing w:val="24"/>
          <w:sz w:val="44"/>
          <w:szCs w:val="44"/>
        </w:rPr>
      </w:pPr>
    </w:p>
    <w:p>
      <w:pPr>
        <w:spacing w:line="360" w:lineRule="exact"/>
        <w:jc w:val="center"/>
        <w:outlineLvl w:val="0"/>
        <w:rPr>
          <w:rFonts w:ascii="Times New Roman" w:hAnsi="Times New Roman" w:eastAsia="隶书" w:cs="Times New Roman"/>
          <w:b/>
          <w:color w:val="000000"/>
          <w:spacing w:val="24"/>
          <w:sz w:val="30"/>
          <w:szCs w:val="30"/>
        </w:rPr>
      </w:pPr>
      <w:bookmarkStart w:id="1" w:name="_Toc137110493"/>
      <w:r>
        <w:rPr>
          <w:rFonts w:hint="eastAsia" w:ascii="Times New Roman" w:hAnsi="Times New Roman" w:eastAsia="隶书" w:cs="Times New Roman"/>
          <w:b/>
          <w:color w:val="000000"/>
          <w:spacing w:val="24"/>
          <w:sz w:val="30"/>
          <w:szCs w:val="30"/>
        </w:rPr>
        <w:t>山东水云间置业发展有限公司</w:t>
      </w:r>
    </w:p>
    <w:p>
      <w:pPr>
        <w:spacing w:line="360" w:lineRule="exact"/>
        <w:jc w:val="center"/>
        <w:outlineLvl w:val="0"/>
        <w:rPr>
          <w:rFonts w:ascii="Times New Roman" w:hAnsi="Times New Roman" w:eastAsia="隶书" w:cs="Times New Roman"/>
          <w:b/>
          <w:color w:val="000000"/>
          <w:spacing w:val="24"/>
          <w:sz w:val="30"/>
          <w:szCs w:val="30"/>
        </w:rPr>
      </w:pPr>
      <w:r>
        <w:rPr>
          <w:rFonts w:hint="eastAsia" w:ascii="Times New Roman" w:hAnsi="Times New Roman" w:eastAsia="隶书" w:cs="Times New Roman"/>
          <w:b/>
          <w:color w:val="000000"/>
          <w:spacing w:val="24"/>
          <w:sz w:val="30"/>
          <w:szCs w:val="30"/>
        </w:rPr>
        <w:t>破产清算涉及的相关资产</w:t>
      </w:r>
    </w:p>
    <w:p>
      <w:pPr>
        <w:spacing w:line="240" w:lineRule="exact"/>
        <w:jc w:val="center"/>
        <w:rPr>
          <w:rFonts w:ascii="Times New Roman" w:hAnsi="Times New Roman" w:eastAsia="隶书" w:cs="Times New Roman"/>
          <w:b/>
          <w:spacing w:val="24"/>
          <w:sz w:val="44"/>
          <w:szCs w:val="44"/>
        </w:rPr>
      </w:pPr>
    </w:p>
    <w:p>
      <w:pPr>
        <w:spacing w:line="560" w:lineRule="exact"/>
        <w:jc w:val="center"/>
        <w:outlineLvl w:val="0"/>
        <w:rPr>
          <w:rFonts w:ascii="Times New Roman" w:hAnsi="Times New Roman" w:eastAsia="隶书" w:cs="Times New Roman"/>
          <w:b/>
          <w:sz w:val="72"/>
          <w:szCs w:val="72"/>
        </w:rPr>
      </w:pPr>
      <w:bookmarkStart w:id="2" w:name="_Toc497119831"/>
      <w:r>
        <w:rPr>
          <w:rFonts w:hint="eastAsia" w:ascii="Times New Roman" w:hAnsi="Times New Roman" w:eastAsia="隶书" w:cs="Times New Roman"/>
          <w:b/>
          <w:spacing w:val="24"/>
          <w:sz w:val="72"/>
          <w:szCs w:val="72"/>
        </w:rPr>
        <w:t>资产评</w:t>
      </w:r>
      <w:r>
        <w:rPr>
          <w:rFonts w:ascii="Times New Roman" w:hAnsi="Times New Roman" w:eastAsia="隶书" w:cs="Times New Roman"/>
          <w:b/>
          <w:spacing w:val="24"/>
          <w:sz w:val="72"/>
          <w:szCs w:val="72"/>
        </w:rPr>
        <w:t>估</w:t>
      </w:r>
      <w:bookmarkEnd w:id="1"/>
      <w:r>
        <w:rPr>
          <w:rFonts w:ascii="Times New Roman" w:hAnsi="Times New Roman" w:eastAsia="隶书" w:cs="Times New Roman"/>
          <w:b/>
          <w:spacing w:val="24"/>
          <w:sz w:val="72"/>
          <w:szCs w:val="72"/>
        </w:rPr>
        <w:t>报告</w:t>
      </w:r>
      <w:bookmarkEnd w:id="2"/>
    </w:p>
    <w:p>
      <w:pPr>
        <w:autoSpaceDE w:val="0"/>
        <w:autoSpaceDN w:val="0"/>
        <w:adjustRightInd w:val="0"/>
        <w:spacing w:line="560" w:lineRule="exact"/>
        <w:jc w:val="center"/>
        <w:textAlignment w:val="bottom"/>
        <w:rPr>
          <w:rFonts w:ascii="仿宋" w:hAnsi="仿宋" w:eastAsia="仿宋" w:cs="Times New Roman"/>
          <w:b/>
          <w:kern w:val="0"/>
          <w:sz w:val="24"/>
          <w:szCs w:val="24"/>
        </w:rPr>
      </w:pPr>
      <w:bookmarkStart w:id="43" w:name="_GoBack"/>
      <w:bookmarkEnd w:id="43"/>
      <w:r>
        <w:rPr>
          <w:rFonts w:hint="eastAsia" w:ascii="仿宋" w:hAnsi="仿宋" w:eastAsia="仿宋" w:cs="Times New Roman"/>
          <w:b/>
          <w:kern w:val="0"/>
          <w:sz w:val="24"/>
          <w:szCs w:val="24"/>
        </w:rPr>
        <w:t>鲁坤评报字</w:t>
      </w:r>
      <w:r>
        <w:rPr>
          <w:rFonts w:ascii="仿宋" w:hAnsi="仿宋" w:eastAsia="仿宋" w:cs="Times New Roman"/>
          <w:b/>
          <w:kern w:val="0"/>
          <w:sz w:val="24"/>
          <w:szCs w:val="24"/>
        </w:rPr>
        <w:t>[201</w:t>
      </w:r>
      <w:r>
        <w:rPr>
          <w:rFonts w:hint="eastAsia" w:ascii="仿宋" w:hAnsi="仿宋" w:eastAsia="仿宋" w:cs="Times New Roman"/>
          <w:b/>
          <w:kern w:val="0"/>
          <w:sz w:val="24"/>
          <w:szCs w:val="24"/>
        </w:rPr>
        <w:t>9</w:t>
      </w:r>
      <w:r>
        <w:rPr>
          <w:rFonts w:ascii="仿宋" w:hAnsi="仿宋" w:eastAsia="仿宋" w:cs="Times New Roman"/>
          <w:b/>
          <w:kern w:val="0"/>
          <w:sz w:val="24"/>
          <w:szCs w:val="24"/>
        </w:rPr>
        <w:t>]第</w:t>
      </w:r>
      <w:r>
        <w:rPr>
          <w:rFonts w:hint="eastAsia" w:ascii="仿宋" w:hAnsi="仿宋" w:eastAsia="仿宋" w:cs="Times New Roman"/>
          <w:b/>
          <w:kern w:val="0"/>
          <w:sz w:val="24"/>
          <w:szCs w:val="24"/>
          <w:lang w:val="en-US" w:eastAsia="zh-CN"/>
        </w:rPr>
        <w:t>32</w:t>
      </w:r>
      <w:r>
        <w:rPr>
          <w:rFonts w:ascii="仿宋" w:hAnsi="仿宋" w:eastAsia="仿宋" w:cs="Times New Roman"/>
          <w:b/>
          <w:kern w:val="0"/>
          <w:sz w:val="24"/>
          <w:szCs w:val="24"/>
        </w:rPr>
        <w:t>号</w:t>
      </w:r>
    </w:p>
    <w:p>
      <w:pPr>
        <w:autoSpaceDE w:val="0"/>
        <w:autoSpaceDN w:val="0"/>
        <w:adjustRightInd w:val="0"/>
        <w:spacing w:line="560" w:lineRule="exact"/>
        <w:jc w:val="center"/>
        <w:textAlignment w:val="bottom"/>
        <w:rPr>
          <w:rFonts w:ascii="仿宋" w:hAnsi="仿宋" w:eastAsia="仿宋" w:cs="Times New Roman"/>
          <w:b/>
          <w:kern w:val="0"/>
          <w:sz w:val="24"/>
          <w:szCs w:val="24"/>
        </w:rPr>
      </w:pPr>
      <w:r>
        <w:rPr>
          <w:rFonts w:hint="eastAsia" w:ascii="仿宋" w:hAnsi="仿宋" w:eastAsia="仿宋" w:cs="Times New Roman"/>
          <w:b/>
          <w:kern w:val="0"/>
          <w:sz w:val="24"/>
          <w:szCs w:val="24"/>
        </w:rPr>
        <w:t>共1册，第1册</w:t>
      </w:r>
    </w:p>
    <w:p>
      <w:pPr>
        <w:jc w:val="center"/>
        <w:rPr>
          <w:rFonts w:ascii="Times New Roman" w:hAnsi="Times New Roman" w:eastAsia="隶书" w:cs="Times New Roman"/>
          <w:b/>
          <w:bCs/>
          <w:sz w:val="32"/>
          <w:szCs w:val="24"/>
        </w:rPr>
      </w:pPr>
    </w:p>
    <w:p>
      <w:pPr>
        <w:jc w:val="center"/>
        <w:rPr>
          <w:rFonts w:ascii="Times New Roman" w:hAnsi="Times New Roman" w:eastAsia="隶书" w:cs="Times New Roman"/>
          <w:b/>
          <w:bCs/>
          <w:sz w:val="32"/>
          <w:szCs w:val="24"/>
        </w:rPr>
      </w:pPr>
    </w:p>
    <w:p>
      <w:pPr>
        <w:jc w:val="center"/>
        <w:rPr>
          <w:rFonts w:ascii="Times New Roman" w:hAnsi="Times New Roman" w:eastAsia="隶书" w:cs="Times New Roman"/>
          <w:b/>
          <w:bCs/>
          <w:sz w:val="32"/>
          <w:szCs w:val="24"/>
        </w:rPr>
      </w:pPr>
    </w:p>
    <w:p>
      <w:pPr>
        <w:jc w:val="center"/>
        <w:rPr>
          <w:rFonts w:ascii="Times New Roman" w:hAnsi="Times New Roman" w:eastAsia="隶书" w:cs="Times New Roman"/>
          <w:b/>
          <w:bCs/>
          <w:sz w:val="32"/>
          <w:szCs w:val="24"/>
        </w:rPr>
      </w:pPr>
    </w:p>
    <w:p>
      <w:pPr>
        <w:jc w:val="center"/>
        <w:rPr>
          <w:rFonts w:ascii="Times New Roman" w:hAnsi="Times New Roman" w:eastAsia="隶书" w:cs="Times New Roman"/>
          <w:b/>
          <w:bCs/>
          <w:sz w:val="32"/>
          <w:szCs w:val="24"/>
        </w:rPr>
      </w:pPr>
    </w:p>
    <w:p>
      <w:pPr>
        <w:jc w:val="center"/>
        <w:rPr>
          <w:rFonts w:ascii="Times New Roman" w:hAnsi="Times New Roman" w:eastAsia="隶书" w:cs="Times New Roman"/>
          <w:b/>
          <w:bCs/>
          <w:sz w:val="32"/>
          <w:szCs w:val="24"/>
        </w:rPr>
      </w:pPr>
    </w:p>
    <w:p>
      <w:pPr>
        <w:rPr>
          <w:rFonts w:ascii="Times New Roman" w:hAnsi="Times New Roman" w:eastAsia="隶书" w:cs="Times New Roman"/>
          <w:b/>
          <w:bCs/>
          <w:sz w:val="36"/>
          <w:szCs w:val="24"/>
        </w:rPr>
      </w:pPr>
    </w:p>
    <w:p>
      <w:pPr>
        <w:rPr>
          <w:rFonts w:ascii="Times New Roman" w:hAnsi="Times New Roman" w:eastAsia="隶书" w:cs="Times New Roman"/>
          <w:b/>
          <w:bCs/>
          <w:sz w:val="36"/>
          <w:szCs w:val="24"/>
        </w:rPr>
      </w:pPr>
      <w:r>
        <w:rPr>
          <w:rFonts w:ascii="Times New Roman" w:hAnsi="Times New Roman" w:eastAsia="隶书" w:cs="Times New Roman"/>
          <w:b/>
          <w:bCs/>
          <w:sz w:val="36"/>
          <w:szCs w:val="24"/>
        </w:rPr>
        <mc:AlternateContent>
          <mc:Choice Requires="wps">
            <w:drawing>
              <wp:anchor distT="0" distB="0" distL="114300" distR="114300" simplePos="0" relativeHeight="251672576" behindDoc="0" locked="0" layoutInCell="1" allowOverlap="1">
                <wp:simplePos x="0" y="0"/>
                <wp:positionH relativeFrom="column">
                  <wp:posOffset>524510</wp:posOffset>
                </wp:positionH>
                <wp:positionV relativeFrom="paragraph">
                  <wp:posOffset>171450</wp:posOffset>
                </wp:positionV>
                <wp:extent cx="5147310" cy="1389380"/>
                <wp:effectExtent l="0" t="0" r="0" b="0"/>
                <wp:wrapNone/>
                <wp:docPr id="1" name="文本框 19"/>
                <wp:cNvGraphicFramePr/>
                <a:graphic xmlns:a="http://schemas.openxmlformats.org/drawingml/2006/main">
                  <a:graphicData uri="http://schemas.microsoft.com/office/word/2010/wordprocessingShape">
                    <wps:wsp>
                      <wps:cNvSpPr txBox="1"/>
                      <wps:spPr>
                        <a:xfrm>
                          <a:off x="0" y="0"/>
                          <a:ext cx="5147310" cy="1389380"/>
                        </a:xfrm>
                        <a:prstGeom prst="rect">
                          <a:avLst/>
                        </a:prstGeom>
                        <a:noFill/>
                        <a:ln w="9525">
                          <a:noFill/>
                        </a:ln>
                        <a:effectLst/>
                      </wps:spPr>
                      <wps:txbx>
                        <w:txbxContent>
                          <w:p>
                            <w:pPr>
                              <w:jc w:val="center"/>
                              <w:rPr>
                                <w:rFonts w:ascii="隶书" w:eastAsia="隶书"/>
                                <w:spacing w:val="40"/>
                                <w:sz w:val="32"/>
                                <w:szCs w:val="32"/>
                              </w:rPr>
                            </w:pPr>
                            <w:r>
                              <w:rPr>
                                <w:rFonts w:hint="eastAsia" w:ascii="隶书" w:eastAsia="隶书"/>
                                <w:spacing w:val="40"/>
                                <w:sz w:val="32"/>
                                <w:szCs w:val="32"/>
                              </w:rPr>
                              <w:t>山东坤元资产评估房地产土地估价有限公司</w:t>
                            </w:r>
                          </w:p>
                          <w:p>
                            <w:pPr>
                              <w:ind w:firstLine="344" w:firstLineChars="100"/>
                              <w:jc w:val="center"/>
                              <w:rPr>
                                <w:spacing w:val="32"/>
                                <w:sz w:val="28"/>
                                <w:szCs w:val="28"/>
                              </w:rPr>
                            </w:pPr>
                            <w:r>
                              <w:rPr>
                                <w:rFonts w:hint="eastAsia" w:ascii="隶书" w:eastAsia="隶书"/>
                                <w:spacing w:val="32"/>
                                <w:sz w:val="28"/>
                                <w:szCs w:val="28"/>
                              </w:rPr>
                              <w:t>二○一九年八</w:t>
                            </w:r>
                            <w:r>
                              <w:rPr>
                                <w:rFonts w:hint="eastAsia" w:ascii="隶书" w:eastAsia="隶书"/>
                                <w:color w:val="000000"/>
                                <w:spacing w:val="32"/>
                                <w:sz w:val="28"/>
                                <w:szCs w:val="28"/>
                              </w:rPr>
                              <w:t>月七</w:t>
                            </w:r>
                            <w:r>
                              <w:rPr>
                                <w:rFonts w:hint="eastAsia" w:ascii="隶书" w:eastAsia="隶书"/>
                                <w:spacing w:val="32"/>
                                <w:sz w:val="28"/>
                                <w:szCs w:val="28"/>
                              </w:rPr>
                              <w:t>日</w:t>
                            </w:r>
                          </w:p>
                          <w:p>
                            <w:pPr>
                              <w:ind w:firstLine="1720" w:firstLineChars="500"/>
                              <w:rPr>
                                <w:spacing w:val="32"/>
                                <w:sz w:val="28"/>
                                <w:szCs w:val="28"/>
                              </w:rPr>
                            </w:pPr>
                          </w:p>
                        </w:txbxContent>
                      </wps:txbx>
                      <wps:bodyPr upright="1"/>
                    </wps:wsp>
                  </a:graphicData>
                </a:graphic>
              </wp:anchor>
            </w:drawing>
          </mc:Choice>
          <mc:Fallback>
            <w:pict>
              <v:shape id="文本框 19" o:spid="_x0000_s1026" o:spt="202" type="#_x0000_t202" style="position:absolute;left:0pt;margin-left:41.3pt;margin-top:13.5pt;height:109.4pt;width:405.3pt;z-index:251672576;mso-width-relative:page;mso-height-relative:page;" filled="f" stroked="f" coordsize="21600,21600" o:gfxdata="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ZQOtA1wAAAAkBAAAPAAAAAAAA&#10;AAEAIAAAACIAAABkcnMvZG93bnJldi54bWxQSwECFAAUAAAACACHTuJAvWDRm6EBAAAZAwAADgAA&#10;AAAAAAABACAAAAAmAQAAZHJzL2Uyb0RvYy54bWxQSwUGAAAAAAYABgBZAQAAOQUAAAAA&#10;">
                <v:fill on="f" focussize="0,0"/>
                <v:stroke on="f"/>
                <v:imagedata o:title=""/>
                <o:lock v:ext="edit" aspectratio="f"/>
                <v:textbox>
                  <w:txbxContent>
                    <w:p>
                      <w:pPr>
                        <w:jc w:val="center"/>
                        <w:rPr>
                          <w:rFonts w:ascii="隶书" w:eastAsia="隶书"/>
                          <w:spacing w:val="40"/>
                          <w:sz w:val="32"/>
                          <w:szCs w:val="32"/>
                        </w:rPr>
                      </w:pPr>
                      <w:r>
                        <w:rPr>
                          <w:rFonts w:hint="eastAsia" w:ascii="隶书" w:eastAsia="隶书"/>
                          <w:spacing w:val="40"/>
                          <w:sz w:val="32"/>
                          <w:szCs w:val="32"/>
                        </w:rPr>
                        <w:t>山东坤元资产评估房地产土地估价有限公司</w:t>
                      </w:r>
                    </w:p>
                    <w:p>
                      <w:pPr>
                        <w:ind w:firstLine="344" w:firstLineChars="100"/>
                        <w:jc w:val="center"/>
                        <w:rPr>
                          <w:spacing w:val="32"/>
                          <w:sz w:val="28"/>
                          <w:szCs w:val="28"/>
                        </w:rPr>
                      </w:pPr>
                      <w:r>
                        <w:rPr>
                          <w:rFonts w:hint="eastAsia" w:ascii="隶书" w:eastAsia="隶书"/>
                          <w:spacing w:val="32"/>
                          <w:sz w:val="28"/>
                          <w:szCs w:val="28"/>
                        </w:rPr>
                        <w:t>二○一九年八</w:t>
                      </w:r>
                      <w:r>
                        <w:rPr>
                          <w:rFonts w:hint="eastAsia" w:ascii="隶书" w:eastAsia="隶书"/>
                          <w:color w:val="000000"/>
                          <w:spacing w:val="32"/>
                          <w:sz w:val="28"/>
                          <w:szCs w:val="28"/>
                        </w:rPr>
                        <w:t>月七</w:t>
                      </w:r>
                      <w:r>
                        <w:rPr>
                          <w:rFonts w:hint="eastAsia" w:ascii="隶书" w:eastAsia="隶书"/>
                          <w:spacing w:val="32"/>
                          <w:sz w:val="28"/>
                          <w:szCs w:val="28"/>
                        </w:rPr>
                        <w:t>日</w:t>
                      </w:r>
                    </w:p>
                    <w:p>
                      <w:pPr>
                        <w:ind w:firstLine="1720" w:firstLineChars="500"/>
                        <w:rPr>
                          <w:spacing w:val="32"/>
                          <w:sz w:val="28"/>
                          <w:szCs w:val="28"/>
                        </w:rPr>
                      </w:pPr>
                    </w:p>
                  </w:txbxContent>
                </v:textbox>
              </v:shape>
            </w:pict>
          </mc:Fallback>
        </mc:AlternateContent>
      </w:r>
    </w:p>
    <w:p/>
    <w:p>
      <w:pPr>
        <w:tabs>
          <w:tab w:val="left" w:pos="1020"/>
          <w:tab w:val="left" w:pos="7980"/>
        </w:tabs>
        <w:rPr>
          <w:rFonts w:ascii="Times New Roman" w:hAnsi="Times New Roman" w:eastAsia="黑体" w:cs="Times New Roman"/>
          <w:sz w:val="36"/>
          <w:szCs w:val="24"/>
        </w:rPr>
        <w:sectPr>
          <w:headerReference r:id="rId3" w:type="default"/>
          <w:footerReference r:id="rId4" w:type="default"/>
          <w:footerReference r:id="rId5" w:type="even"/>
          <w:pgSz w:w="11906" w:h="16838"/>
          <w:pgMar w:top="1418" w:right="1361" w:bottom="1134" w:left="1474" w:header="720" w:footer="720" w:gutter="0"/>
          <w:pgNumType w:start="1"/>
          <w:cols w:space="720" w:num="1"/>
          <w:docGrid w:type="linesAndChars" w:linePitch="285" w:charSpace="0"/>
        </w:sectPr>
      </w:pPr>
    </w:p>
    <w:p>
      <w:pPr>
        <w:spacing w:line="240" w:lineRule="exact"/>
        <w:jc w:val="center"/>
        <w:rPr>
          <w:rFonts w:ascii="Times New Roman" w:hAnsi="Times New Roman" w:eastAsia="隶书" w:cs="Times New Roman"/>
          <w:b/>
          <w:sz w:val="44"/>
          <w:szCs w:val="44"/>
        </w:rPr>
      </w:pPr>
      <w:bookmarkStart w:id="3" w:name="_Hlk493581056"/>
      <w:bookmarkEnd w:id="3"/>
    </w:p>
    <w:p>
      <w:pPr>
        <w:jc w:val="center"/>
        <w:rPr>
          <w:rFonts w:ascii="Times New Roman" w:hAnsi="Times New Roman" w:eastAsia="隶书" w:cs="Times New Roman"/>
          <w:b/>
          <w:sz w:val="44"/>
          <w:szCs w:val="44"/>
        </w:rPr>
      </w:pPr>
      <w:r>
        <w:rPr>
          <w:rFonts w:ascii="Times New Roman" w:hAnsi="Times New Roman" w:eastAsia="隶书" w:cs="Times New Roman"/>
          <w:b/>
          <w:sz w:val="44"/>
          <w:szCs w:val="44"/>
        </w:rPr>
        <w:t>目录</w:t>
      </w:r>
    </w:p>
    <w:sdt>
      <w:sdtPr>
        <w:rPr>
          <w:lang w:val="zh-CN"/>
        </w:rPr>
        <w:id w:val="805207404"/>
        <w:docPartObj>
          <w:docPartGallery w:val="Table of Contents"/>
          <w:docPartUnique/>
        </w:docPartObj>
      </w:sdtPr>
      <w:sdtEndPr>
        <w:rPr>
          <w:b/>
          <w:bCs/>
          <w:lang w:val="zh-CN"/>
        </w:rPr>
      </w:sdtEndPr>
      <w:sdtContent>
        <w:p>
          <w:pPr>
            <w:widowControl/>
            <w:tabs>
              <w:tab w:val="right" w:leader="hyphen" w:pos="8820"/>
            </w:tabs>
            <w:overflowPunct w:val="0"/>
            <w:autoSpaceDE w:val="0"/>
            <w:autoSpaceDN w:val="0"/>
            <w:adjustRightInd w:val="0"/>
            <w:spacing w:line="640" w:lineRule="exact"/>
            <w:ind w:right="-415" w:rightChars="-197"/>
            <w:jc w:val="left"/>
            <w:textAlignment w:val="baseline"/>
            <w:rPr>
              <w:rFonts w:ascii="宋体" w:hAnsi="宋体" w:eastAsia="宋体" w:cs="Times New Roman"/>
              <w:smallCaps/>
              <w:kern w:val="0"/>
              <w:sz w:val="24"/>
              <w:szCs w:val="24"/>
            </w:rPr>
          </w:pPr>
          <w:r>
            <w:fldChar w:fldCharType="begin"/>
          </w:r>
          <w:r>
            <w:instrText xml:space="preserve"> TOC \o "1-3" \h \z \u </w:instrText>
          </w:r>
          <w:r>
            <w:fldChar w:fldCharType="separate"/>
          </w:r>
          <w:r>
            <w:fldChar w:fldCharType="begin"/>
          </w:r>
          <w:r>
            <w:instrText xml:space="preserve"> HYPERLINK \l "_Toc497119832" </w:instrText>
          </w:r>
          <w:r>
            <w:fldChar w:fldCharType="separate"/>
          </w:r>
          <w:r>
            <w:rPr>
              <w:rFonts w:hint="eastAsia" w:ascii="隶书" w:hAnsi="Times New Roman" w:eastAsia="隶书" w:cs="Times New Roman"/>
              <w:smallCaps/>
              <w:kern w:val="0"/>
              <w:sz w:val="36"/>
              <w:szCs w:val="36"/>
            </w:rPr>
            <w:t>声明</w:t>
          </w:r>
          <w:r>
            <w:rPr>
              <w:rFonts w:ascii="隶书" w:hAnsi="Times New Roman" w:eastAsia="隶书" w:cs="Times New Roman"/>
              <w:smallCaps/>
              <w:kern w:val="0"/>
              <w:sz w:val="36"/>
              <w:szCs w:val="36"/>
            </w:rPr>
            <w:tab/>
          </w:r>
          <w:r>
            <w:rPr>
              <w:rFonts w:ascii="隶书" w:hAnsi="Times New Roman" w:eastAsia="隶书" w:cs="Times New Roman"/>
              <w:smallCaps/>
              <w:kern w:val="0"/>
              <w:sz w:val="36"/>
              <w:szCs w:val="36"/>
            </w:rPr>
            <w:fldChar w:fldCharType="begin"/>
          </w:r>
          <w:r>
            <w:rPr>
              <w:rFonts w:ascii="隶书" w:hAnsi="Times New Roman" w:eastAsia="隶书" w:cs="Times New Roman"/>
              <w:smallCaps/>
              <w:kern w:val="0"/>
              <w:sz w:val="36"/>
              <w:szCs w:val="36"/>
            </w:rPr>
            <w:instrText xml:space="preserve"> PAGEREF _Toc497119832 \h </w:instrText>
          </w:r>
          <w:r>
            <w:rPr>
              <w:rFonts w:ascii="隶书" w:hAnsi="Times New Roman" w:eastAsia="隶书" w:cs="Times New Roman"/>
              <w:smallCaps/>
              <w:kern w:val="0"/>
              <w:sz w:val="36"/>
              <w:szCs w:val="36"/>
            </w:rPr>
            <w:fldChar w:fldCharType="separate"/>
          </w:r>
          <w:r>
            <w:rPr>
              <w:rFonts w:ascii="隶书" w:hAnsi="Times New Roman" w:eastAsia="隶书" w:cs="Times New Roman"/>
              <w:smallCaps/>
              <w:kern w:val="0"/>
              <w:sz w:val="36"/>
              <w:szCs w:val="36"/>
            </w:rPr>
            <w:t>2</w:t>
          </w:r>
          <w:r>
            <w:rPr>
              <w:rFonts w:ascii="隶书" w:hAnsi="Times New Roman" w:eastAsia="隶书" w:cs="Times New Roman"/>
              <w:smallCaps/>
              <w:kern w:val="0"/>
              <w:sz w:val="36"/>
              <w:szCs w:val="36"/>
            </w:rPr>
            <w:fldChar w:fldCharType="end"/>
          </w:r>
          <w:r>
            <w:rPr>
              <w:rFonts w:ascii="隶书" w:hAnsi="Times New Roman" w:eastAsia="隶书" w:cs="Times New Roman"/>
              <w:smallCaps/>
              <w:kern w:val="0"/>
              <w:sz w:val="36"/>
              <w:szCs w:val="36"/>
            </w:rPr>
            <w:fldChar w:fldCharType="end"/>
          </w:r>
        </w:p>
        <w:p>
          <w:pPr>
            <w:widowControl/>
            <w:tabs>
              <w:tab w:val="right" w:leader="hyphen" w:pos="8820"/>
            </w:tabs>
            <w:overflowPunct w:val="0"/>
            <w:autoSpaceDE w:val="0"/>
            <w:autoSpaceDN w:val="0"/>
            <w:adjustRightInd w:val="0"/>
            <w:spacing w:line="640" w:lineRule="exact"/>
            <w:ind w:right="-415" w:rightChars="-197"/>
            <w:jc w:val="left"/>
            <w:textAlignment w:val="baseline"/>
            <w:rPr>
              <w:rFonts w:ascii="隶书" w:hAnsi="Times New Roman" w:eastAsia="隶书" w:cs="Times New Roman"/>
              <w:smallCaps/>
              <w:kern w:val="0"/>
              <w:sz w:val="36"/>
              <w:szCs w:val="36"/>
            </w:rPr>
          </w:pPr>
          <w:r>
            <w:fldChar w:fldCharType="begin"/>
          </w:r>
          <w:r>
            <w:instrText xml:space="preserve"> HYPERLINK \l "_Toc497119836" </w:instrText>
          </w:r>
          <w:r>
            <w:fldChar w:fldCharType="separate"/>
          </w:r>
          <w:r>
            <w:rPr>
              <w:rFonts w:hint="eastAsia" w:ascii="隶书" w:hAnsi="Times New Roman" w:eastAsia="隶书" w:cs="Times New Roman"/>
              <w:smallCaps/>
              <w:kern w:val="0"/>
              <w:sz w:val="36"/>
              <w:szCs w:val="36"/>
            </w:rPr>
            <w:t>资产评估报告摘要</w:t>
          </w:r>
          <w:r>
            <w:rPr>
              <w:rFonts w:ascii="隶书" w:hAnsi="Times New Roman" w:eastAsia="隶书" w:cs="Times New Roman"/>
              <w:smallCaps/>
              <w:kern w:val="0"/>
              <w:sz w:val="36"/>
              <w:szCs w:val="36"/>
            </w:rPr>
            <w:tab/>
          </w:r>
          <w:r>
            <w:rPr>
              <w:rFonts w:ascii="隶书" w:hAnsi="Times New Roman" w:eastAsia="隶书" w:cs="Times New Roman"/>
              <w:smallCaps/>
              <w:kern w:val="0"/>
              <w:sz w:val="36"/>
              <w:szCs w:val="36"/>
            </w:rPr>
            <w:fldChar w:fldCharType="begin"/>
          </w:r>
          <w:r>
            <w:rPr>
              <w:rFonts w:ascii="隶书" w:hAnsi="Times New Roman" w:eastAsia="隶书" w:cs="Times New Roman"/>
              <w:smallCaps/>
              <w:kern w:val="0"/>
              <w:sz w:val="36"/>
              <w:szCs w:val="36"/>
            </w:rPr>
            <w:instrText xml:space="preserve"> PAGEREF _Toc497119836 \h </w:instrText>
          </w:r>
          <w:r>
            <w:rPr>
              <w:rFonts w:ascii="隶书" w:hAnsi="Times New Roman" w:eastAsia="隶书" w:cs="Times New Roman"/>
              <w:smallCaps/>
              <w:kern w:val="0"/>
              <w:sz w:val="36"/>
              <w:szCs w:val="36"/>
            </w:rPr>
            <w:fldChar w:fldCharType="separate"/>
          </w:r>
          <w:r>
            <w:rPr>
              <w:rFonts w:ascii="隶书" w:hAnsi="Times New Roman" w:eastAsia="隶书" w:cs="Times New Roman"/>
              <w:smallCaps/>
              <w:kern w:val="0"/>
              <w:sz w:val="36"/>
              <w:szCs w:val="36"/>
            </w:rPr>
            <w:t>4</w:t>
          </w:r>
          <w:r>
            <w:rPr>
              <w:rFonts w:ascii="隶书" w:hAnsi="Times New Roman" w:eastAsia="隶书" w:cs="Times New Roman"/>
              <w:smallCaps/>
              <w:kern w:val="0"/>
              <w:sz w:val="36"/>
              <w:szCs w:val="36"/>
            </w:rPr>
            <w:fldChar w:fldCharType="end"/>
          </w:r>
          <w:r>
            <w:rPr>
              <w:rFonts w:ascii="隶书" w:hAnsi="Times New Roman" w:eastAsia="隶书" w:cs="Times New Roman"/>
              <w:smallCaps/>
              <w:kern w:val="0"/>
              <w:sz w:val="36"/>
              <w:szCs w:val="36"/>
            </w:rPr>
            <w:fldChar w:fldCharType="end"/>
          </w:r>
        </w:p>
        <w:p>
          <w:pPr>
            <w:widowControl/>
            <w:tabs>
              <w:tab w:val="right" w:leader="hyphen" w:pos="8820"/>
            </w:tabs>
            <w:overflowPunct w:val="0"/>
            <w:autoSpaceDE w:val="0"/>
            <w:autoSpaceDN w:val="0"/>
            <w:adjustRightInd w:val="0"/>
            <w:spacing w:line="640" w:lineRule="exact"/>
            <w:ind w:right="-415" w:rightChars="-197"/>
            <w:jc w:val="left"/>
            <w:textAlignment w:val="baseline"/>
            <w:rPr>
              <w:rFonts w:ascii="宋体" w:hAnsi="宋体" w:eastAsia="宋体"/>
              <w:smallCaps/>
              <w:sz w:val="24"/>
              <w:szCs w:val="24"/>
            </w:rPr>
          </w:pPr>
          <w:r>
            <w:fldChar w:fldCharType="begin"/>
          </w:r>
          <w:r>
            <w:instrText xml:space="preserve"> HYPERLINK \l "_Toc497119840" </w:instrText>
          </w:r>
          <w:r>
            <w:fldChar w:fldCharType="separate"/>
          </w:r>
          <w:r>
            <w:rPr>
              <w:rFonts w:hint="eastAsia" w:ascii="隶书" w:hAnsi="Times New Roman" w:eastAsia="隶书" w:cs="Times New Roman"/>
              <w:smallCaps/>
              <w:kern w:val="0"/>
              <w:sz w:val="36"/>
              <w:szCs w:val="36"/>
            </w:rPr>
            <w:t>资产评估报告</w:t>
          </w:r>
          <w:r>
            <w:rPr>
              <w:rFonts w:ascii="隶书" w:hAnsi="Times New Roman" w:eastAsia="隶书" w:cs="Times New Roman"/>
              <w:smallCaps/>
              <w:kern w:val="0"/>
              <w:sz w:val="36"/>
              <w:szCs w:val="36"/>
            </w:rPr>
            <w:tab/>
          </w:r>
          <w:r>
            <w:rPr>
              <w:rFonts w:ascii="隶书" w:hAnsi="Times New Roman" w:eastAsia="隶书" w:cs="Times New Roman"/>
              <w:smallCaps/>
              <w:kern w:val="0"/>
              <w:sz w:val="36"/>
              <w:szCs w:val="36"/>
            </w:rPr>
            <w:fldChar w:fldCharType="begin"/>
          </w:r>
          <w:r>
            <w:rPr>
              <w:rFonts w:ascii="隶书" w:hAnsi="Times New Roman" w:eastAsia="隶书" w:cs="Times New Roman"/>
              <w:smallCaps/>
              <w:kern w:val="0"/>
              <w:sz w:val="36"/>
              <w:szCs w:val="36"/>
            </w:rPr>
            <w:instrText xml:space="preserve"> PAGEREF _Toc497119840 \h </w:instrText>
          </w:r>
          <w:r>
            <w:rPr>
              <w:rFonts w:ascii="隶书" w:hAnsi="Times New Roman" w:eastAsia="隶书" w:cs="Times New Roman"/>
              <w:smallCaps/>
              <w:kern w:val="0"/>
              <w:sz w:val="36"/>
              <w:szCs w:val="36"/>
            </w:rPr>
            <w:fldChar w:fldCharType="separate"/>
          </w:r>
          <w:r>
            <w:rPr>
              <w:rFonts w:ascii="隶书" w:hAnsi="Times New Roman" w:eastAsia="隶书" w:cs="Times New Roman"/>
              <w:smallCaps/>
              <w:kern w:val="0"/>
              <w:sz w:val="36"/>
              <w:szCs w:val="36"/>
            </w:rPr>
            <w:t>7</w:t>
          </w:r>
          <w:r>
            <w:rPr>
              <w:rFonts w:ascii="隶书" w:hAnsi="Times New Roman" w:eastAsia="隶书" w:cs="Times New Roman"/>
              <w:smallCaps/>
              <w:kern w:val="0"/>
              <w:sz w:val="36"/>
              <w:szCs w:val="36"/>
            </w:rPr>
            <w:fldChar w:fldCharType="end"/>
          </w:r>
          <w:r>
            <w:rPr>
              <w:rFonts w:ascii="隶书" w:hAnsi="Times New Roman" w:eastAsia="隶书" w:cs="Times New Roman"/>
              <w:smallCaps/>
              <w:kern w:val="0"/>
              <w:sz w:val="36"/>
              <w:szCs w:val="36"/>
            </w:rPr>
            <w:fldChar w:fldCharType="end"/>
          </w:r>
        </w:p>
        <w:p>
          <w:pPr>
            <w:pStyle w:val="30"/>
            <w:rPr>
              <w:rFonts w:cstheme="minorBidi"/>
              <w:kern w:val="2"/>
            </w:rPr>
          </w:pPr>
          <w:r>
            <w:fldChar w:fldCharType="begin"/>
          </w:r>
          <w:r>
            <w:instrText xml:space="preserve"> HYPERLINK \l "_Toc497119841" </w:instrText>
          </w:r>
          <w:r>
            <w:fldChar w:fldCharType="separate"/>
          </w:r>
          <w:r>
            <w:rPr>
              <w:rStyle w:val="43"/>
              <w:rFonts w:hint="eastAsia"/>
              <w:b w:val="0"/>
              <w:bCs w:val="0"/>
            </w:rPr>
            <w:t>一、</w:t>
          </w:r>
          <w:r>
            <w:rPr>
              <w:rStyle w:val="43"/>
              <w:rFonts w:hint="eastAsia"/>
              <w:b w:val="0"/>
            </w:rPr>
            <w:t>委托人、产权持有人和资产评估委托合同约定的其他资产评估报告使用人</w:t>
          </w:r>
          <w:r>
            <w:tab/>
          </w:r>
          <w:r>
            <w:rPr>
              <w:b w:val="0"/>
            </w:rPr>
            <w:fldChar w:fldCharType="begin"/>
          </w:r>
          <w:r>
            <w:rPr>
              <w:b w:val="0"/>
            </w:rPr>
            <w:instrText xml:space="preserve"> PAGEREF _Toc497119841 \h </w:instrText>
          </w:r>
          <w:r>
            <w:rPr>
              <w:b w:val="0"/>
            </w:rPr>
            <w:fldChar w:fldCharType="separate"/>
          </w:r>
          <w:r>
            <w:rPr>
              <w:b w:val="0"/>
            </w:rPr>
            <w:t>7</w:t>
          </w:r>
          <w:r>
            <w:rPr>
              <w:b w:val="0"/>
            </w:rPr>
            <w:fldChar w:fldCharType="end"/>
          </w:r>
          <w:r>
            <w:rPr>
              <w:b w:val="0"/>
            </w:rPr>
            <w:fldChar w:fldCharType="end"/>
          </w:r>
        </w:p>
        <w:p>
          <w:pPr>
            <w:pStyle w:val="30"/>
            <w:rPr>
              <w:rFonts w:cstheme="minorBidi"/>
              <w:kern w:val="2"/>
            </w:rPr>
          </w:pPr>
          <w:r>
            <w:fldChar w:fldCharType="begin"/>
          </w:r>
          <w:r>
            <w:instrText xml:space="preserve"> HYPERLINK \l "_Toc497119842" </w:instrText>
          </w:r>
          <w:r>
            <w:fldChar w:fldCharType="separate"/>
          </w:r>
          <w:r>
            <w:rPr>
              <w:rStyle w:val="43"/>
              <w:rFonts w:hint="eastAsia"/>
              <w:b w:val="0"/>
              <w:bCs w:val="0"/>
            </w:rPr>
            <w:t>二、评估目的</w:t>
          </w:r>
          <w:r>
            <w:tab/>
          </w:r>
          <w:r>
            <w:rPr>
              <w:b w:val="0"/>
            </w:rPr>
            <w:fldChar w:fldCharType="begin"/>
          </w:r>
          <w:r>
            <w:rPr>
              <w:b w:val="0"/>
            </w:rPr>
            <w:instrText xml:space="preserve"> PAGEREF _Toc497119842 \h </w:instrText>
          </w:r>
          <w:r>
            <w:rPr>
              <w:b w:val="0"/>
            </w:rPr>
            <w:fldChar w:fldCharType="separate"/>
          </w:r>
          <w:r>
            <w:rPr>
              <w:b w:val="0"/>
            </w:rPr>
            <w:t>8</w:t>
          </w:r>
          <w:r>
            <w:rPr>
              <w:b w:val="0"/>
            </w:rPr>
            <w:fldChar w:fldCharType="end"/>
          </w:r>
          <w:r>
            <w:rPr>
              <w:b w:val="0"/>
            </w:rPr>
            <w:fldChar w:fldCharType="end"/>
          </w:r>
        </w:p>
        <w:p>
          <w:pPr>
            <w:pStyle w:val="30"/>
            <w:rPr>
              <w:rFonts w:cstheme="minorBidi"/>
              <w:kern w:val="2"/>
            </w:rPr>
          </w:pPr>
          <w:r>
            <w:fldChar w:fldCharType="begin"/>
          </w:r>
          <w:r>
            <w:instrText xml:space="preserve"> HYPERLINK \l "_Toc497119843" </w:instrText>
          </w:r>
          <w:r>
            <w:fldChar w:fldCharType="separate"/>
          </w:r>
          <w:r>
            <w:rPr>
              <w:rStyle w:val="43"/>
              <w:rFonts w:hint="eastAsia"/>
              <w:b w:val="0"/>
            </w:rPr>
            <w:t>三、评估对象和评估范围</w:t>
          </w:r>
          <w:r>
            <w:tab/>
          </w:r>
          <w:r>
            <w:rPr>
              <w:b w:val="0"/>
            </w:rPr>
            <w:fldChar w:fldCharType="begin"/>
          </w:r>
          <w:r>
            <w:rPr>
              <w:b w:val="0"/>
            </w:rPr>
            <w:instrText xml:space="preserve"> PAGEREF _Toc497119843 \h </w:instrText>
          </w:r>
          <w:r>
            <w:rPr>
              <w:b w:val="0"/>
            </w:rPr>
            <w:fldChar w:fldCharType="separate"/>
          </w:r>
          <w:r>
            <w:rPr>
              <w:b w:val="0"/>
            </w:rPr>
            <w:t>8</w:t>
          </w:r>
          <w:r>
            <w:rPr>
              <w:b w:val="0"/>
            </w:rPr>
            <w:fldChar w:fldCharType="end"/>
          </w:r>
          <w:r>
            <w:rPr>
              <w:b w:val="0"/>
            </w:rPr>
            <w:fldChar w:fldCharType="end"/>
          </w:r>
        </w:p>
        <w:p>
          <w:pPr>
            <w:pStyle w:val="30"/>
            <w:rPr>
              <w:rFonts w:cstheme="minorBidi"/>
              <w:kern w:val="2"/>
            </w:rPr>
          </w:pPr>
          <w:r>
            <w:fldChar w:fldCharType="begin"/>
          </w:r>
          <w:r>
            <w:instrText xml:space="preserve"> HYPERLINK \l "_Toc497119844" </w:instrText>
          </w:r>
          <w:r>
            <w:fldChar w:fldCharType="separate"/>
          </w:r>
          <w:r>
            <w:rPr>
              <w:rStyle w:val="43"/>
              <w:rFonts w:hint="eastAsia"/>
              <w:b w:val="0"/>
            </w:rPr>
            <w:t>四、价值类型</w:t>
          </w:r>
          <w:r>
            <w:tab/>
          </w:r>
          <w:r>
            <w:rPr>
              <w:b w:val="0"/>
            </w:rPr>
            <w:fldChar w:fldCharType="begin"/>
          </w:r>
          <w:r>
            <w:rPr>
              <w:b w:val="0"/>
            </w:rPr>
            <w:instrText xml:space="preserve"> PAGEREF _Toc497119844 \h </w:instrText>
          </w:r>
          <w:r>
            <w:rPr>
              <w:b w:val="0"/>
            </w:rPr>
            <w:fldChar w:fldCharType="separate"/>
          </w:r>
          <w:r>
            <w:rPr>
              <w:b w:val="0"/>
            </w:rPr>
            <w:t>8</w:t>
          </w:r>
          <w:r>
            <w:rPr>
              <w:b w:val="0"/>
            </w:rPr>
            <w:fldChar w:fldCharType="end"/>
          </w:r>
          <w:r>
            <w:rPr>
              <w:b w:val="0"/>
            </w:rPr>
            <w:fldChar w:fldCharType="end"/>
          </w:r>
        </w:p>
        <w:p>
          <w:pPr>
            <w:pStyle w:val="30"/>
            <w:rPr>
              <w:rFonts w:cstheme="minorBidi"/>
              <w:kern w:val="2"/>
            </w:rPr>
          </w:pPr>
          <w:r>
            <w:fldChar w:fldCharType="begin"/>
          </w:r>
          <w:r>
            <w:instrText xml:space="preserve"> HYPERLINK \l "_Toc497119845" </w:instrText>
          </w:r>
          <w:r>
            <w:fldChar w:fldCharType="separate"/>
          </w:r>
          <w:r>
            <w:rPr>
              <w:rStyle w:val="43"/>
              <w:rFonts w:hint="eastAsia"/>
              <w:b w:val="0"/>
            </w:rPr>
            <w:t>五、评估基准日</w:t>
          </w:r>
          <w:r>
            <w:tab/>
          </w:r>
          <w:r>
            <w:rPr>
              <w:b w:val="0"/>
            </w:rPr>
            <w:fldChar w:fldCharType="begin"/>
          </w:r>
          <w:r>
            <w:rPr>
              <w:b w:val="0"/>
            </w:rPr>
            <w:instrText xml:space="preserve"> PAGEREF _Toc497119845 \h </w:instrText>
          </w:r>
          <w:r>
            <w:rPr>
              <w:b w:val="0"/>
            </w:rPr>
            <w:fldChar w:fldCharType="separate"/>
          </w:r>
          <w:r>
            <w:rPr>
              <w:b w:val="0"/>
            </w:rPr>
            <w:t>9</w:t>
          </w:r>
          <w:r>
            <w:rPr>
              <w:b w:val="0"/>
            </w:rPr>
            <w:fldChar w:fldCharType="end"/>
          </w:r>
          <w:r>
            <w:rPr>
              <w:b w:val="0"/>
            </w:rPr>
            <w:fldChar w:fldCharType="end"/>
          </w:r>
        </w:p>
        <w:p>
          <w:pPr>
            <w:pStyle w:val="30"/>
            <w:rPr>
              <w:rFonts w:cstheme="minorBidi"/>
              <w:kern w:val="2"/>
            </w:rPr>
          </w:pPr>
          <w:r>
            <w:fldChar w:fldCharType="begin"/>
          </w:r>
          <w:r>
            <w:instrText xml:space="preserve"> HYPERLINK \l "_Toc497119846" </w:instrText>
          </w:r>
          <w:r>
            <w:fldChar w:fldCharType="separate"/>
          </w:r>
          <w:r>
            <w:rPr>
              <w:rStyle w:val="43"/>
              <w:rFonts w:hint="eastAsia"/>
              <w:b w:val="0"/>
            </w:rPr>
            <w:t>六、评估依据</w:t>
          </w:r>
          <w:r>
            <w:tab/>
          </w:r>
          <w:r>
            <w:rPr>
              <w:b w:val="0"/>
            </w:rPr>
            <w:fldChar w:fldCharType="begin"/>
          </w:r>
          <w:r>
            <w:rPr>
              <w:b w:val="0"/>
            </w:rPr>
            <w:instrText xml:space="preserve"> PAGEREF _Toc497119846 \h </w:instrText>
          </w:r>
          <w:r>
            <w:rPr>
              <w:b w:val="0"/>
            </w:rPr>
            <w:fldChar w:fldCharType="separate"/>
          </w:r>
          <w:r>
            <w:rPr>
              <w:b w:val="0"/>
            </w:rPr>
            <w:t>9</w:t>
          </w:r>
          <w:r>
            <w:rPr>
              <w:b w:val="0"/>
            </w:rPr>
            <w:fldChar w:fldCharType="end"/>
          </w:r>
          <w:r>
            <w:rPr>
              <w:b w:val="0"/>
            </w:rPr>
            <w:fldChar w:fldCharType="end"/>
          </w:r>
        </w:p>
        <w:p>
          <w:pPr>
            <w:pStyle w:val="30"/>
            <w:rPr>
              <w:rFonts w:cstheme="minorBidi"/>
              <w:kern w:val="2"/>
            </w:rPr>
          </w:pPr>
          <w:r>
            <w:fldChar w:fldCharType="begin"/>
          </w:r>
          <w:r>
            <w:instrText xml:space="preserve"> HYPERLINK \l "_Toc497119847" </w:instrText>
          </w:r>
          <w:r>
            <w:fldChar w:fldCharType="separate"/>
          </w:r>
          <w:r>
            <w:rPr>
              <w:rStyle w:val="43"/>
              <w:rFonts w:hint="eastAsia"/>
              <w:b w:val="0"/>
            </w:rPr>
            <w:t>七、评估方法</w:t>
          </w:r>
          <w:r>
            <w:tab/>
          </w:r>
          <w:r>
            <w:rPr>
              <w:b w:val="0"/>
            </w:rPr>
            <w:fldChar w:fldCharType="begin"/>
          </w:r>
          <w:r>
            <w:rPr>
              <w:b w:val="0"/>
            </w:rPr>
            <w:instrText xml:space="preserve"> PAGEREF _Toc497119847 \h </w:instrText>
          </w:r>
          <w:r>
            <w:rPr>
              <w:b w:val="0"/>
            </w:rPr>
            <w:fldChar w:fldCharType="separate"/>
          </w:r>
          <w:r>
            <w:rPr>
              <w:b w:val="0"/>
            </w:rPr>
            <w:t>10</w:t>
          </w:r>
          <w:r>
            <w:rPr>
              <w:b w:val="0"/>
            </w:rPr>
            <w:fldChar w:fldCharType="end"/>
          </w:r>
          <w:r>
            <w:rPr>
              <w:b w:val="0"/>
            </w:rPr>
            <w:fldChar w:fldCharType="end"/>
          </w:r>
        </w:p>
        <w:p>
          <w:pPr>
            <w:pStyle w:val="30"/>
            <w:rPr>
              <w:rFonts w:cstheme="minorBidi"/>
              <w:kern w:val="2"/>
            </w:rPr>
          </w:pPr>
          <w:r>
            <w:fldChar w:fldCharType="begin"/>
          </w:r>
          <w:r>
            <w:instrText xml:space="preserve"> HYPERLINK \l "_Toc497119848" </w:instrText>
          </w:r>
          <w:r>
            <w:fldChar w:fldCharType="separate"/>
          </w:r>
          <w:r>
            <w:rPr>
              <w:rStyle w:val="43"/>
              <w:rFonts w:hint="eastAsia"/>
              <w:b w:val="0"/>
            </w:rPr>
            <w:t>八、评估程序实施过程和情况</w:t>
          </w:r>
          <w:r>
            <w:tab/>
          </w:r>
          <w:r>
            <w:rPr>
              <w:b w:val="0"/>
            </w:rPr>
            <w:fldChar w:fldCharType="begin"/>
          </w:r>
          <w:r>
            <w:rPr>
              <w:b w:val="0"/>
            </w:rPr>
            <w:instrText xml:space="preserve"> PAGEREF _Toc497119848 \h </w:instrText>
          </w:r>
          <w:r>
            <w:rPr>
              <w:b w:val="0"/>
            </w:rPr>
            <w:fldChar w:fldCharType="separate"/>
          </w:r>
          <w:r>
            <w:rPr>
              <w:b w:val="0"/>
            </w:rPr>
            <w:t>11</w:t>
          </w:r>
          <w:r>
            <w:rPr>
              <w:b w:val="0"/>
            </w:rPr>
            <w:fldChar w:fldCharType="end"/>
          </w:r>
          <w:r>
            <w:rPr>
              <w:b w:val="0"/>
            </w:rPr>
            <w:fldChar w:fldCharType="end"/>
          </w:r>
        </w:p>
        <w:p>
          <w:pPr>
            <w:pStyle w:val="30"/>
            <w:rPr>
              <w:rFonts w:cstheme="minorBidi"/>
              <w:kern w:val="2"/>
            </w:rPr>
          </w:pPr>
          <w:r>
            <w:fldChar w:fldCharType="begin"/>
          </w:r>
          <w:r>
            <w:instrText xml:space="preserve"> HYPERLINK \l "_Toc497119849" </w:instrText>
          </w:r>
          <w:r>
            <w:fldChar w:fldCharType="separate"/>
          </w:r>
          <w:r>
            <w:rPr>
              <w:rStyle w:val="43"/>
              <w:rFonts w:hint="eastAsia"/>
              <w:b w:val="0"/>
            </w:rPr>
            <w:t>九、评估假设</w:t>
          </w:r>
          <w:r>
            <w:tab/>
          </w:r>
          <w:r>
            <w:rPr>
              <w:b w:val="0"/>
            </w:rPr>
            <w:fldChar w:fldCharType="begin"/>
          </w:r>
          <w:r>
            <w:rPr>
              <w:b w:val="0"/>
            </w:rPr>
            <w:instrText xml:space="preserve"> PAGEREF _Toc497119849 \h </w:instrText>
          </w:r>
          <w:r>
            <w:rPr>
              <w:b w:val="0"/>
            </w:rPr>
            <w:fldChar w:fldCharType="separate"/>
          </w:r>
          <w:r>
            <w:rPr>
              <w:b w:val="0"/>
            </w:rPr>
            <w:t>11</w:t>
          </w:r>
          <w:r>
            <w:rPr>
              <w:b w:val="0"/>
            </w:rPr>
            <w:fldChar w:fldCharType="end"/>
          </w:r>
          <w:r>
            <w:rPr>
              <w:b w:val="0"/>
            </w:rPr>
            <w:fldChar w:fldCharType="end"/>
          </w:r>
        </w:p>
        <w:p>
          <w:pPr>
            <w:pStyle w:val="30"/>
            <w:rPr>
              <w:rFonts w:cstheme="minorBidi"/>
              <w:kern w:val="2"/>
            </w:rPr>
          </w:pPr>
          <w:r>
            <w:fldChar w:fldCharType="begin"/>
          </w:r>
          <w:r>
            <w:instrText xml:space="preserve"> HYPERLINK \l "_Toc497119851" </w:instrText>
          </w:r>
          <w:r>
            <w:fldChar w:fldCharType="separate"/>
          </w:r>
          <w:r>
            <w:rPr>
              <w:rStyle w:val="43"/>
              <w:rFonts w:hint="eastAsia"/>
              <w:b w:val="0"/>
            </w:rPr>
            <w:t>十、评估结论</w:t>
          </w:r>
          <w:r>
            <w:tab/>
          </w:r>
          <w:r>
            <w:rPr>
              <w:b w:val="0"/>
            </w:rPr>
            <w:fldChar w:fldCharType="begin"/>
          </w:r>
          <w:r>
            <w:rPr>
              <w:b w:val="0"/>
            </w:rPr>
            <w:instrText xml:space="preserve"> PAGEREF _Toc497119851 \h </w:instrText>
          </w:r>
          <w:r>
            <w:rPr>
              <w:b w:val="0"/>
            </w:rPr>
            <w:fldChar w:fldCharType="separate"/>
          </w:r>
          <w:r>
            <w:rPr>
              <w:b w:val="0"/>
            </w:rPr>
            <w:t>24</w:t>
          </w:r>
          <w:r>
            <w:rPr>
              <w:b w:val="0"/>
            </w:rPr>
            <w:fldChar w:fldCharType="end"/>
          </w:r>
          <w:r>
            <w:rPr>
              <w:b w:val="0"/>
            </w:rPr>
            <w:fldChar w:fldCharType="end"/>
          </w:r>
        </w:p>
        <w:p>
          <w:pPr>
            <w:pStyle w:val="30"/>
            <w:rPr>
              <w:rFonts w:cstheme="minorBidi"/>
              <w:kern w:val="2"/>
            </w:rPr>
          </w:pPr>
          <w:r>
            <w:fldChar w:fldCharType="begin"/>
          </w:r>
          <w:r>
            <w:instrText xml:space="preserve"> HYPERLINK \l "_Toc497119852" </w:instrText>
          </w:r>
          <w:r>
            <w:fldChar w:fldCharType="separate"/>
          </w:r>
          <w:r>
            <w:rPr>
              <w:rStyle w:val="43"/>
              <w:rFonts w:hint="eastAsia"/>
              <w:b w:val="0"/>
            </w:rPr>
            <w:t>十一、</w:t>
          </w:r>
          <w:r>
            <w:rPr>
              <w:rStyle w:val="43"/>
              <w:rFonts w:hint="eastAsia"/>
              <w:b w:val="0"/>
              <w:bCs w:val="0"/>
            </w:rPr>
            <w:t>特别事项说明</w:t>
          </w:r>
          <w:r>
            <w:tab/>
          </w:r>
          <w:r>
            <w:rPr>
              <w:b w:val="0"/>
            </w:rPr>
            <w:fldChar w:fldCharType="begin"/>
          </w:r>
          <w:r>
            <w:rPr>
              <w:b w:val="0"/>
            </w:rPr>
            <w:instrText xml:space="preserve"> PAGEREF _Toc497119852 \h </w:instrText>
          </w:r>
          <w:r>
            <w:rPr>
              <w:b w:val="0"/>
            </w:rPr>
            <w:fldChar w:fldCharType="separate"/>
          </w:r>
          <w:r>
            <w:rPr>
              <w:b w:val="0"/>
            </w:rPr>
            <w:t>26</w:t>
          </w:r>
          <w:r>
            <w:rPr>
              <w:b w:val="0"/>
            </w:rPr>
            <w:fldChar w:fldCharType="end"/>
          </w:r>
          <w:r>
            <w:rPr>
              <w:b w:val="0"/>
            </w:rPr>
            <w:fldChar w:fldCharType="end"/>
          </w:r>
        </w:p>
        <w:p>
          <w:pPr>
            <w:pStyle w:val="30"/>
            <w:rPr>
              <w:rFonts w:cstheme="minorBidi"/>
              <w:kern w:val="2"/>
            </w:rPr>
          </w:pPr>
          <w:r>
            <w:fldChar w:fldCharType="begin"/>
          </w:r>
          <w:r>
            <w:instrText xml:space="preserve"> HYPERLINK \l "_Toc497119853" </w:instrText>
          </w:r>
          <w:r>
            <w:fldChar w:fldCharType="separate"/>
          </w:r>
          <w:r>
            <w:rPr>
              <w:rStyle w:val="43"/>
              <w:rFonts w:hint="eastAsia"/>
              <w:b w:val="0"/>
            </w:rPr>
            <w:t>十二、资产评估报告使用限制说明</w:t>
          </w:r>
          <w:r>
            <w:tab/>
          </w:r>
          <w:r>
            <w:rPr>
              <w:b w:val="0"/>
            </w:rPr>
            <w:fldChar w:fldCharType="begin"/>
          </w:r>
          <w:r>
            <w:rPr>
              <w:b w:val="0"/>
            </w:rPr>
            <w:instrText xml:space="preserve"> PAGEREF _Toc497119853 \h </w:instrText>
          </w:r>
          <w:r>
            <w:rPr>
              <w:b w:val="0"/>
            </w:rPr>
            <w:fldChar w:fldCharType="separate"/>
          </w:r>
          <w:r>
            <w:rPr>
              <w:b w:val="0"/>
            </w:rPr>
            <w:t>26</w:t>
          </w:r>
          <w:r>
            <w:rPr>
              <w:b w:val="0"/>
            </w:rPr>
            <w:fldChar w:fldCharType="end"/>
          </w:r>
          <w:r>
            <w:rPr>
              <w:b w:val="0"/>
            </w:rPr>
            <w:fldChar w:fldCharType="end"/>
          </w:r>
        </w:p>
        <w:p>
          <w:pPr>
            <w:pStyle w:val="30"/>
            <w:rPr>
              <w:rFonts w:asciiTheme="minorHAnsi" w:hAnsiTheme="minorHAnsi" w:eastAsiaTheme="minorEastAsia" w:cstheme="minorBidi"/>
              <w:kern w:val="2"/>
              <w:sz w:val="21"/>
              <w:szCs w:val="22"/>
            </w:rPr>
          </w:pPr>
          <w:r>
            <w:fldChar w:fldCharType="begin"/>
          </w:r>
          <w:r>
            <w:instrText xml:space="preserve"> HYPERLINK \l "_Toc497119854" </w:instrText>
          </w:r>
          <w:r>
            <w:fldChar w:fldCharType="separate"/>
          </w:r>
          <w:r>
            <w:rPr>
              <w:rStyle w:val="43"/>
              <w:rFonts w:hint="eastAsia"/>
              <w:b w:val="0"/>
            </w:rPr>
            <w:t>十三、资产评估报告日</w:t>
          </w:r>
          <w:r>
            <w:tab/>
          </w:r>
          <w:r>
            <w:rPr>
              <w:b w:val="0"/>
            </w:rPr>
            <w:fldChar w:fldCharType="begin"/>
          </w:r>
          <w:r>
            <w:rPr>
              <w:b w:val="0"/>
            </w:rPr>
            <w:instrText xml:space="preserve">PAGEREF _Toc497119854 \h </w:instrText>
          </w:r>
          <w:r>
            <w:rPr>
              <w:b w:val="0"/>
            </w:rPr>
            <w:fldChar w:fldCharType="separate"/>
          </w:r>
          <w:r>
            <w:rPr>
              <w:b w:val="0"/>
            </w:rPr>
            <w:t>27</w:t>
          </w:r>
          <w:r>
            <w:rPr>
              <w:b w:val="0"/>
            </w:rPr>
            <w:fldChar w:fldCharType="end"/>
          </w:r>
          <w:r>
            <w:rPr>
              <w:b w:val="0"/>
            </w:rPr>
            <w:fldChar w:fldCharType="end"/>
          </w:r>
        </w:p>
        <w:p>
          <w:pPr>
            <w:widowControl/>
            <w:tabs>
              <w:tab w:val="right" w:leader="hyphen" w:pos="8820"/>
            </w:tabs>
            <w:overflowPunct w:val="0"/>
            <w:autoSpaceDE w:val="0"/>
            <w:autoSpaceDN w:val="0"/>
            <w:adjustRightInd w:val="0"/>
            <w:spacing w:line="640" w:lineRule="exact"/>
            <w:ind w:right="-415" w:rightChars="-197"/>
            <w:jc w:val="left"/>
            <w:textAlignment w:val="baseline"/>
            <w:rPr>
              <w:smallCaps/>
            </w:rPr>
          </w:pPr>
          <w:r>
            <w:fldChar w:fldCharType="begin"/>
          </w:r>
          <w:r>
            <w:instrText xml:space="preserve"> HYPERLINK \l "_Toc497119855" </w:instrText>
          </w:r>
          <w:r>
            <w:fldChar w:fldCharType="separate"/>
          </w:r>
          <w:r>
            <w:rPr>
              <w:rFonts w:hint="eastAsia" w:ascii="隶书" w:hAnsi="Times New Roman" w:eastAsia="隶书" w:cs="Times New Roman"/>
              <w:smallCaps/>
              <w:kern w:val="0"/>
              <w:sz w:val="36"/>
              <w:szCs w:val="36"/>
            </w:rPr>
            <w:t>资产评估报告附件</w:t>
          </w:r>
          <w:r>
            <w:tab/>
          </w:r>
          <w:r>
            <w:rPr>
              <w:b/>
            </w:rPr>
            <w:fldChar w:fldCharType="begin"/>
          </w:r>
          <w:r>
            <w:rPr>
              <w:b/>
            </w:rPr>
            <w:instrText xml:space="preserve"> PAGEREF _Toc497119855 \h </w:instrText>
          </w:r>
          <w:r>
            <w:rPr>
              <w:b/>
            </w:rPr>
            <w:fldChar w:fldCharType="separate"/>
          </w:r>
          <w:r>
            <w:rPr>
              <w:b/>
            </w:rPr>
            <w:t>28</w:t>
          </w:r>
          <w:r>
            <w:rPr>
              <w:b/>
            </w:rPr>
            <w:fldChar w:fldCharType="end"/>
          </w:r>
          <w:r>
            <w:rPr>
              <w:b/>
            </w:rPr>
            <w:fldChar w:fldCharType="end"/>
          </w:r>
        </w:p>
        <w:p>
          <w:pPr>
            <w:rPr>
              <w:b/>
              <w:bCs/>
              <w:lang w:val="zh-CN"/>
            </w:rPr>
          </w:pPr>
          <w:r>
            <w:rPr>
              <w:b/>
              <w:bCs/>
              <w:lang w:val="zh-CN"/>
            </w:rPr>
            <w:fldChar w:fldCharType="end"/>
          </w:r>
        </w:p>
        <w:p/>
      </w:sdtContent>
    </w:sdt>
    <w:p>
      <w:pPr>
        <w:autoSpaceDE w:val="0"/>
        <w:autoSpaceDN w:val="0"/>
        <w:adjustRightInd w:val="0"/>
        <w:spacing w:line="280" w:lineRule="exact"/>
        <w:ind w:firstLine="1042" w:firstLineChars="200"/>
        <w:rPr>
          <w:rFonts w:ascii="隶书" w:hAnsi="Times New Roman" w:eastAsia="隶书" w:cs="Times New Roman"/>
          <w:b/>
          <w:sz w:val="52"/>
          <w:szCs w:val="52"/>
        </w:rPr>
      </w:pPr>
      <w:bookmarkStart w:id="4" w:name="_Toc497119832"/>
    </w:p>
    <w:p>
      <w:pPr>
        <w:autoSpaceDE w:val="0"/>
        <w:autoSpaceDN w:val="0"/>
        <w:adjustRightInd w:val="0"/>
        <w:spacing w:line="300" w:lineRule="exact"/>
        <w:ind w:right="-23" w:rightChars="-11" w:firstLine="1042" w:firstLineChars="200"/>
        <w:rPr>
          <w:rFonts w:ascii="隶书" w:hAnsi="Times New Roman" w:eastAsia="隶书" w:cs="Times New Roman"/>
          <w:b/>
          <w:sz w:val="52"/>
          <w:szCs w:val="52"/>
        </w:rPr>
      </w:pPr>
    </w:p>
    <w:p>
      <w:pPr>
        <w:autoSpaceDE w:val="0"/>
        <w:autoSpaceDN w:val="0"/>
        <w:adjustRightInd w:val="0"/>
        <w:spacing w:line="300" w:lineRule="exact"/>
        <w:ind w:right="-23" w:rightChars="-11" w:firstLine="1042" w:firstLineChars="200"/>
        <w:rPr>
          <w:rFonts w:ascii="隶书" w:hAnsi="Times New Roman" w:eastAsia="隶书" w:cs="Times New Roman"/>
          <w:b/>
          <w:sz w:val="52"/>
          <w:szCs w:val="52"/>
        </w:rPr>
      </w:pPr>
    </w:p>
    <w:p>
      <w:pPr>
        <w:autoSpaceDE w:val="0"/>
        <w:autoSpaceDN w:val="0"/>
        <w:adjustRightInd w:val="0"/>
        <w:spacing w:line="300" w:lineRule="exact"/>
        <w:ind w:right="-23" w:rightChars="-11" w:firstLine="1042" w:firstLineChars="200"/>
        <w:rPr>
          <w:rFonts w:ascii="隶书" w:hAnsi="Times New Roman" w:eastAsia="隶书" w:cs="Times New Roman"/>
          <w:b/>
          <w:sz w:val="52"/>
          <w:szCs w:val="52"/>
        </w:rPr>
      </w:pPr>
    </w:p>
    <w:p>
      <w:pPr>
        <w:keepNext/>
        <w:keepLines/>
        <w:spacing w:before="260" w:after="260" w:line="360" w:lineRule="exact"/>
        <w:jc w:val="center"/>
        <w:outlineLvl w:val="1"/>
        <w:rPr>
          <w:rFonts w:ascii="隶书" w:hAnsi="Times New Roman" w:eastAsia="隶书" w:cs="Times New Roman"/>
          <w:b/>
          <w:sz w:val="52"/>
          <w:szCs w:val="52"/>
        </w:rPr>
      </w:pPr>
    </w:p>
    <w:p>
      <w:pPr>
        <w:keepNext/>
        <w:keepLines/>
        <w:spacing w:before="260" w:after="260" w:line="360" w:lineRule="exact"/>
        <w:jc w:val="center"/>
        <w:outlineLvl w:val="1"/>
        <w:rPr>
          <w:rFonts w:ascii="隶书" w:hAnsi="Times New Roman" w:eastAsia="隶书" w:cs="Times New Roman"/>
          <w:b/>
          <w:bCs/>
          <w:sz w:val="52"/>
          <w:szCs w:val="52"/>
        </w:rPr>
      </w:pPr>
      <w:r>
        <w:rPr>
          <w:rFonts w:hint="eastAsia" w:ascii="隶书" w:hAnsi="Times New Roman" w:eastAsia="隶书" w:cs="Times New Roman"/>
          <w:b/>
          <w:sz w:val="52"/>
          <w:szCs w:val="52"/>
        </w:rPr>
        <w:t>声明</w:t>
      </w:r>
      <w:bookmarkEnd w:id="4"/>
    </w:p>
    <w:p>
      <w:pPr>
        <w:autoSpaceDE w:val="0"/>
        <w:autoSpaceDN w:val="0"/>
        <w:adjustRightInd w:val="0"/>
        <w:spacing w:line="440" w:lineRule="exact"/>
        <w:ind w:right="-23" w:rightChars="-11"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一、本资产评估报告是依据中华人民共和国财政部发布的资产评估基本准则和中国资产评估协会发布的资产评估执业准则和职业道德准则编制的。</w:t>
      </w:r>
    </w:p>
    <w:p>
      <w:pPr>
        <w:autoSpaceDE w:val="0"/>
        <w:autoSpaceDN w:val="0"/>
        <w:adjustRightInd w:val="0"/>
        <w:spacing w:line="440" w:lineRule="exact"/>
        <w:ind w:right="-23" w:rightChars="-11"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委托人或者其他资产评估报告使用人应当按照法律、行政法规规定和本资产评估报告载明的使用范围依法使用本资产评估报告；委托人或者其他资产评估报告使用人违反前述规定使用本资产评估报告的，本资产评估机构及签字资产评估师不承担责任。</w:t>
      </w:r>
    </w:p>
    <w:p>
      <w:pPr>
        <w:autoSpaceDE w:val="0"/>
        <w:autoSpaceDN w:val="0"/>
        <w:adjustRightInd w:val="0"/>
        <w:spacing w:line="440" w:lineRule="exact"/>
        <w:ind w:right="-23" w:rightChars="-11"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三、本资产评估报告仅供委托人、资产评估委托合同中约定的其他资产评估报告使用人和国家法律、行政法规规定的资产评估报告使用人使用；除此之外，其他任何机构和个人不能成为本资产评估报告的使用人。</w:t>
      </w:r>
    </w:p>
    <w:p>
      <w:pPr>
        <w:autoSpaceDE w:val="0"/>
        <w:autoSpaceDN w:val="0"/>
        <w:adjustRightInd w:val="0"/>
        <w:spacing w:line="440" w:lineRule="exact"/>
        <w:ind w:right="-23" w:rightChars="-11"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四、资产评估报告使用人应当正确理解评估结论，</w:t>
      </w:r>
      <w:r>
        <w:rPr>
          <w:rFonts w:ascii="Times New Roman" w:hAnsi="Times New Roman" w:eastAsia="宋体" w:cs="Times New Roman"/>
          <w:sz w:val="24"/>
          <w:szCs w:val="24"/>
        </w:rPr>
        <w:t>评估结论不等同于评估对象可实现价格，评估结论不应当被认为是对评估对象可实现价格的保证。</w:t>
      </w:r>
    </w:p>
    <w:p>
      <w:pPr>
        <w:autoSpaceDE w:val="0"/>
        <w:autoSpaceDN w:val="0"/>
        <w:adjustRightInd w:val="0"/>
        <w:spacing w:line="440" w:lineRule="exact"/>
        <w:ind w:right="-23" w:rightChars="-11"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w:t>
      </w:r>
      <w:r>
        <w:rPr>
          <w:rFonts w:ascii="Times New Roman" w:hAnsi="Times New Roman" w:eastAsia="宋体" w:cs="Times New Roman"/>
          <w:sz w:val="24"/>
          <w:szCs w:val="24"/>
        </w:rPr>
        <w:t>本资产评估机构出具的</w:t>
      </w:r>
      <w:r>
        <w:rPr>
          <w:rFonts w:hint="eastAsia" w:ascii="Times New Roman" w:hAnsi="Times New Roman" w:eastAsia="宋体" w:cs="Times New Roman"/>
          <w:sz w:val="24"/>
          <w:szCs w:val="24"/>
        </w:rPr>
        <w:t>本</w:t>
      </w:r>
      <w:r>
        <w:rPr>
          <w:rFonts w:ascii="Times New Roman" w:hAnsi="Times New Roman" w:eastAsia="宋体" w:cs="Times New Roman"/>
          <w:sz w:val="24"/>
          <w:szCs w:val="24"/>
        </w:rPr>
        <w:t>资产评估报告中的分析、判断和结果受</w:t>
      </w:r>
      <w:r>
        <w:rPr>
          <w:rFonts w:hint="eastAsia" w:ascii="Times New Roman" w:hAnsi="Times New Roman" w:eastAsia="宋体" w:cs="Times New Roman"/>
          <w:sz w:val="24"/>
          <w:szCs w:val="24"/>
        </w:rPr>
        <w:t>本</w:t>
      </w:r>
      <w:r>
        <w:rPr>
          <w:rFonts w:ascii="Times New Roman" w:hAnsi="Times New Roman" w:eastAsia="宋体" w:cs="Times New Roman"/>
          <w:sz w:val="24"/>
          <w:szCs w:val="24"/>
        </w:rPr>
        <w:t>资产评估报告中</w:t>
      </w:r>
      <w:r>
        <w:rPr>
          <w:rFonts w:hint="eastAsia" w:ascii="Times New Roman" w:hAnsi="Times New Roman" w:eastAsia="宋体" w:cs="Times New Roman"/>
          <w:sz w:val="24"/>
          <w:szCs w:val="24"/>
        </w:rPr>
        <w:t>载明</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评估</w:t>
      </w:r>
      <w:r>
        <w:rPr>
          <w:rFonts w:ascii="Times New Roman" w:hAnsi="Times New Roman" w:eastAsia="宋体" w:cs="Times New Roman"/>
          <w:sz w:val="24"/>
          <w:szCs w:val="24"/>
        </w:rPr>
        <w:t>假设</w:t>
      </w:r>
      <w:r>
        <w:rPr>
          <w:rFonts w:hint="eastAsia" w:ascii="Times New Roman" w:hAnsi="Times New Roman" w:eastAsia="宋体" w:cs="Times New Roman"/>
          <w:sz w:val="24"/>
          <w:szCs w:val="24"/>
        </w:rPr>
        <w:t>、</w:t>
      </w:r>
      <w:r>
        <w:rPr>
          <w:rFonts w:ascii="Times New Roman" w:hAnsi="Times New Roman" w:eastAsia="宋体" w:cs="Times New Roman"/>
          <w:sz w:val="24"/>
          <w:szCs w:val="24"/>
        </w:rPr>
        <w:t>限制条件</w:t>
      </w:r>
      <w:r>
        <w:rPr>
          <w:rFonts w:hint="eastAsia" w:ascii="Times New Roman" w:hAnsi="Times New Roman" w:eastAsia="宋体" w:cs="Times New Roman"/>
          <w:sz w:val="24"/>
          <w:szCs w:val="24"/>
        </w:rPr>
        <w:t>等方面</w:t>
      </w:r>
      <w:r>
        <w:rPr>
          <w:rFonts w:ascii="Times New Roman" w:hAnsi="Times New Roman" w:eastAsia="宋体" w:cs="Times New Roman"/>
          <w:sz w:val="24"/>
          <w:szCs w:val="24"/>
        </w:rPr>
        <w:t>的限制</w:t>
      </w:r>
      <w:r>
        <w:rPr>
          <w:rFonts w:hint="eastAsia" w:ascii="Times New Roman" w:hAnsi="Times New Roman" w:eastAsia="宋体" w:cs="Times New Roman"/>
          <w:sz w:val="24"/>
          <w:szCs w:val="24"/>
        </w:rPr>
        <w:t>和特别事项等方面的影响</w:t>
      </w:r>
      <w:r>
        <w:rPr>
          <w:rFonts w:ascii="Times New Roman" w:hAnsi="Times New Roman" w:eastAsia="宋体" w:cs="Times New Roman"/>
          <w:sz w:val="24"/>
          <w:szCs w:val="24"/>
        </w:rPr>
        <w:t>，资产评估报告使用人应当充分</w:t>
      </w:r>
      <w:r>
        <w:rPr>
          <w:rFonts w:hint="eastAsia" w:ascii="Times New Roman" w:hAnsi="Times New Roman" w:eastAsia="宋体" w:cs="Times New Roman"/>
          <w:sz w:val="24"/>
          <w:szCs w:val="24"/>
        </w:rPr>
        <w:t>关注本</w:t>
      </w:r>
      <w:r>
        <w:rPr>
          <w:rFonts w:ascii="Times New Roman" w:hAnsi="Times New Roman" w:eastAsia="宋体" w:cs="Times New Roman"/>
          <w:sz w:val="24"/>
          <w:szCs w:val="24"/>
        </w:rPr>
        <w:t>资产评估报告中载明的</w:t>
      </w:r>
      <w:r>
        <w:rPr>
          <w:rFonts w:hint="eastAsia" w:ascii="Times New Roman" w:hAnsi="Times New Roman" w:eastAsia="宋体" w:cs="Times New Roman"/>
          <w:sz w:val="24"/>
          <w:szCs w:val="24"/>
        </w:rPr>
        <w:t>评估</w:t>
      </w:r>
      <w:r>
        <w:rPr>
          <w:rFonts w:ascii="Times New Roman" w:hAnsi="Times New Roman" w:eastAsia="宋体" w:cs="Times New Roman"/>
          <w:sz w:val="24"/>
          <w:szCs w:val="24"/>
        </w:rPr>
        <w:t>假设、限制条件、</w:t>
      </w:r>
      <w:bookmarkStart w:id="5" w:name="_Hlk495749329"/>
      <w:r>
        <w:rPr>
          <w:rFonts w:ascii="Times New Roman" w:hAnsi="Times New Roman" w:eastAsia="宋体" w:cs="Times New Roman"/>
          <w:sz w:val="24"/>
          <w:szCs w:val="24"/>
        </w:rPr>
        <w:t>特别事项</w:t>
      </w:r>
      <w:bookmarkEnd w:id="5"/>
      <w:r>
        <w:rPr>
          <w:rFonts w:ascii="Times New Roman" w:hAnsi="Times New Roman" w:eastAsia="宋体" w:cs="Times New Roman"/>
          <w:sz w:val="24"/>
          <w:szCs w:val="24"/>
        </w:rPr>
        <w:t>和使用限制及其对评估结论的影响</w:t>
      </w:r>
      <w:r>
        <w:rPr>
          <w:rFonts w:hint="eastAsia" w:ascii="Times New Roman" w:hAnsi="Times New Roman" w:eastAsia="宋体" w:cs="Times New Roman"/>
          <w:sz w:val="24"/>
          <w:szCs w:val="24"/>
        </w:rPr>
        <w:t>，并根据评估基准日后的资产状况和市场变化情况在本评估报告的有效使用期内依法使用本资产评估报告及其评估结论</w:t>
      </w:r>
      <w:bookmarkStart w:id="6" w:name="_Hlk493427210"/>
      <w:r>
        <w:rPr>
          <w:rFonts w:hint="eastAsia" w:ascii="Times New Roman" w:hAnsi="Times New Roman" w:eastAsia="宋体" w:cs="Times New Roman"/>
          <w:sz w:val="24"/>
          <w:szCs w:val="24"/>
        </w:rPr>
        <w:t>。</w:t>
      </w:r>
    </w:p>
    <w:bookmarkEnd w:id="6"/>
    <w:p>
      <w:pPr>
        <w:autoSpaceDE w:val="0"/>
        <w:autoSpaceDN w:val="0"/>
        <w:adjustRightInd w:val="0"/>
        <w:spacing w:line="440" w:lineRule="exact"/>
        <w:ind w:right="-23" w:rightChars="-11"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六、本评估机构及资产评估师在执行本评估业务的过程中，遵循了相关法律、行政法规和资产评估准则的相关规定，恪守了独立、客观、公正的执业原则，本评估机构对出具的资产评估报告依法承担责任。</w:t>
      </w:r>
    </w:p>
    <w:p>
      <w:pPr>
        <w:autoSpaceDE w:val="0"/>
        <w:autoSpaceDN w:val="0"/>
        <w:adjustRightInd w:val="0"/>
        <w:spacing w:line="440" w:lineRule="exact"/>
        <w:ind w:right="-23" w:rightChars="-11"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七、本次评估的评估对象所涉及的资产清单由</w:t>
      </w:r>
      <w:bookmarkStart w:id="7" w:name="_Hlk493345008"/>
      <w:r>
        <w:rPr>
          <w:rFonts w:hint="eastAsia" w:ascii="Times New Roman" w:hAnsi="Times New Roman" w:eastAsia="宋体" w:cs="Times New Roman"/>
          <w:sz w:val="24"/>
          <w:szCs w:val="24"/>
        </w:rPr>
        <w:t>委托人</w:t>
      </w:r>
      <w:bookmarkEnd w:id="7"/>
      <w:r>
        <w:rPr>
          <w:rFonts w:hint="eastAsia" w:ascii="Times New Roman" w:hAnsi="Times New Roman" w:eastAsia="宋体" w:cs="Times New Roman"/>
          <w:sz w:val="24"/>
          <w:szCs w:val="24"/>
        </w:rPr>
        <w:t>申报并经其采用签字、盖章或法律允许的其他方式确认；委托人和相关当事人依法对其所提供资料的真实性、合法性、完整性负责；因委托人和相关当事人提供虚假</w:t>
      </w:r>
      <w:r>
        <w:rPr>
          <w:rFonts w:ascii="Times New Roman" w:hAnsi="Times New Roman" w:eastAsia="宋体" w:cs="Times New Roman"/>
          <w:sz w:val="24"/>
          <w:szCs w:val="24"/>
        </w:rPr>
        <w:t>或不实</w:t>
      </w:r>
      <w:r>
        <w:rPr>
          <w:rFonts w:hint="eastAsia" w:ascii="Times New Roman" w:hAnsi="Times New Roman" w:eastAsia="宋体" w:cs="Times New Roman"/>
          <w:sz w:val="24"/>
          <w:szCs w:val="24"/>
        </w:rPr>
        <w:t>的法律</w:t>
      </w:r>
      <w:r>
        <w:rPr>
          <w:rFonts w:ascii="Times New Roman" w:hAnsi="Times New Roman" w:eastAsia="宋体" w:cs="Times New Roman"/>
          <w:sz w:val="24"/>
          <w:szCs w:val="24"/>
        </w:rPr>
        <w:t>权属</w:t>
      </w:r>
      <w:r>
        <w:rPr>
          <w:rFonts w:hint="eastAsia" w:ascii="Times New Roman" w:hAnsi="Times New Roman" w:eastAsia="宋体" w:cs="Times New Roman"/>
          <w:sz w:val="24"/>
          <w:szCs w:val="24"/>
        </w:rPr>
        <w:t>资料</w:t>
      </w:r>
      <w:r>
        <w:rPr>
          <w:rFonts w:ascii="Times New Roman" w:hAnsi="Times New Roman" w:eastAsia="宋体" w:cs="Times New Roman"/>
          <w:sz w:val="24"/>
          <w:szCs w:val="24"/>
        </w:rPr>
        <w:t>、财务会计信息或者其他相关资料</w:t>
      </w:r>
      <w:r>
        <w:rPr>
          <w:rFonts w:hint="eastAsia" w:ascii="Times New Roman" w:hAnsi="Times New Roman" w:eastAsia="宋体" w:cs="Times New Roman"/>
          <w:sz w:val="24"/>
          <w:szCs w:val="24"/>
        </w:rPr>
        <w:t>，资产评估专业人员履行正常核查程序未能发现而导致的法律后果应由委托人和相关当事人依法承担责任。</w:t>
      </w:r>
    </w:p>
    <w:p>
      <w:pPr>
        <w:autoSpaceDE w:val="0"/>
        <w:autoSpaceDN w:val="0"/>
        <w:adjustRightInd w:val="0"/>
        <w:spacing w:line="440" w:lineRule="exact"/>
        <w:ind w:right="-23" w:rightChars="-11"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八</w:t>
      </w:r>
      <w:r>
        <w:rPr>
          <w:rFonts w:ascii="Times New Roman" w:hAnsi="Times New Roman" w:eastAsia="宋体" w:cs="Times New Roman"/>
          <w:sz w:val="24"/>
          <w:szCs w:val="24"/>
        </w:rPr>
        <w:t>、本资产评估机构及资产评估师与资产评估报告中的评估对象没有现存或者预期的利益关系；与相关当事人没有现存或者预期的利益关系，对相关当事人不存在偏见。</w:t>
      </w:r>
    </w:p>
    <w:p>
      <w:pPr>
        <w:autoSpaceDE w:val="0"/>
        <w:autoSpaceDN w:val="0"/>
        <w:adjustRightInd w:val="0"/>
        <w:spacing w:line="440" w:lineRule="exact"/>
        <w:ind w:right="-23" w:rightChars="-11"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九</w:t>
      </w:r>
      <w:r>
        <w:rPr>
          <w:rFonts w:ascii="Times New Roman" w:hAnsi="Times New Roman" w:eastAsia="宋体" w:cs="Times New Roman"/>
          <w:sz w:val="24"/>
          <w:szCs w:val="24"/>
        </w:rPr>
        <w:t>、资产评估</w:t>
      </w:r>
      <w:r>
        <w:rPr>
          <w:rFonts w:hint="eastAsia" w:ascii="Times New Roman" w:hAnsi="Times New Roman" w:eastAsia="宋体" w:cs="Times New Roman"/>
          <w:sz w:val="24"/>
          <w:szCs w:val="24"/>
        </w:rPr>
        <w:t>专业人员业</w:t>
      </w:r>
      <w:r>
        <w:rPr>
          <w:rFonts w:ascii="Times New Roman" w:hAnsi="Times New Roman" w:eastAsia="宋体" w:cs="Times New Roman"/>
          <w:sz w:val="24"/>
          <w:szCs w:val="24"/>
        </w:rPr>
        <w:t>已对</w:t>
      </w:r>
      <w:r>
        <w:rPr>
          <w:rFonts w:hint="eastAsia" w:ascii="Times New Roman" w:hAnsi="Times New Roman" w:eastAsia="宋体" w:cs="Times New Roman"/>
          <w:sz w:val="24"/>
          <w:szCs w:val="24"/>
        </w:rPr>
        <w:t>本</w:t>
      </w:r>
      <w:r>
        <w:rPr>
          <w:rFonts w:ascii="Times New Roman" w:hAnsi="Times New Roman" w:eastAsia="宋体" w:cs="Times New Roman"/>
          <w:sz w:val="24"/>
          <w:szCs w:val="24"/>
        </w:rPr>
        <w:t>资产评估报告中的评估对象及其所涉及资产进行</w:t>
      </w:r>
      <w:r>
        <w:rPr>
          <w:rFonts w:hint="eastAsia" w:ascii="Times New Roman" w:hAnsi="Times New Roman" w:eastAsia="宋体" w:cs="Times New Roman"/>
          <w:sz w:val="24"/>
          <w:szCs w:val="24"/>
        </w:rPr>
        <w:t>了必要的</w:t>
      </w:r>
      <w:r>
        <w:rPr>
          <w:rFonts w:ascii="Times New Roman" w:hAnsi="Times New Roman" w:eastAsia="宋体" w:cs="Times New Roman"/>
          <w:sz w:val="24"/>
          <w:szCs w:val="24"/>
        </w:rPr>
        <w:t>现场调查；</w:t>
      </w:r>
      <w:r>
        <w:rPr>
          <w:rFonts w:hint="eastAsia" w:ascii="Times New Roman" w:hAnsi="Times New Roman" w:eastAsia="宋体" w:cs="Times New Roman"/>
          <w:sz w:val="24"/>
          <w:szCs w:val="24"/>
        </w:rPr>
        <w:t>业</w:t>
      </w:r>
      <w:r>
        <w:rPr>
          <w:rFonts w:ascii="Times New Roman" w:hAnsi="Times New Roman" w:eastAsia="宋体" w:cs="Times New Roman"/>
          <w:sz w:val="24"/>
          <w:szCs w:val="24"/>
        </w:rPr>
        <w:t>已对评估对象及其所涉及资产的法律权属状况</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资料进行了查验，</w:t>
      </w:r>
      <w:r>
        <w:rPr>
          <w:rFonts w:hint="eastAsia" w:ascii="Times New Roman" w:hAnsi="Times New Roman" w:eastAsia="宋体" w:cs="Times New Roman"/>
          <w:sz w:val="24"/>
          <w:szCs w:val="24"/>
        </w:rPr>
        <w:t>并对已</w:t>
      </w:r>
      <w:r>
        <w:rPr>
          <w:rFonts w:ascii="Times New Roman" w:hAnsi="Times New Roman" w:eastAsia="宋体" w:cs="Times New Roman"/>
          <w:sz w:val="24"/>
          <w:szCs w:val="24"/>
        </w:rPr>
        <w:t>发现的</w:t>
      </w:r>
      <w:r>
        <w:rPr>
          <w:rFonts w:hint="eastAsia" w:ascii="Times New Roman" w:hAnsi="Times New Roman" w:eastAsia="宋体" w:cs="Times New Roman"/>
          <w:sz w:val="24"/>
          <w:szCs w:val="24"/>
        </w:rPr>
        <w:t>产权资料瑕疵等</w:t>
      </w:r>
      <w:r>
        <w:rPr>
          <w:rFonts w:ascii="Times New Roman" w:hAnsi="Times New Roman" w:eastAsia="宋体" w:cs="Times New Roman"/>
          <w:sz w:val="24"/>
          <w:szCs w:val="24"/>
        </w:rPr>
        <w:t>问题进行了如实披露，</w:t>
      </w:r>
      <w:r>
        <w:rPr>
          <w:rFonts w:hint="eastAsia" w:ascii="Times New Roman" w:hAnsi="Times New Roman" w:eastAsia="宋体" w:cs="Times New Roman"/>
          <w:sz w:val="24"/>
          <w:szCs w:val="24"/>
        </w:rPr>
        <w:t>但并非对评估对象的法律权属提供保证。特</w:t>
      </w:r>
      <w:r>
        <w:rPr>
          <w:rFonts w:ascii="Times New Roman" w:hAnsi="Times New Roman" w:eastAsia="宋体" w:cs="Times New Roman"/>
          <w:sz w:val="24"/>
          <w:szCs w:val="24"/>
        </w:rPr>
        <w:t>提请委托人及相关当事人完善产权</w:t>
      </w:r>
      <w:r>
        <w:rPr>
          <w:rFonts w:hint="eastAsia" w:ascii="Times New Roman" w:hAnsi="Times New Roman" w:eastAsia="宋体" w:cs="Times New Roman"/>
          <w:sz w:val="24"/>
          <w:szCs w:val="24"/>
        </w:rPr>
        <w:t>手续</w:t>
      </w:r>
      <w:r>
        <w:rPr>
          <w:rFonts w:ascii="Times New Roman" w:hAnsi="Times New Roman" w:eastAsia="宋体" w:cs="Times New Roman"/>
          <w:sz w:val="24"/>
          <w:szCs w:val="24"/>
        </w:rPr>
        <w:t>以满足</w:t>
      </w:r>
      <w:r>
        <w:rPr>
          <w:rFonts w:hint="eastAsia" w:ascii="Times New Roman" w:hAnsi="Times New Roman" w:eastAsia="宋体" w:cs="Times New Roman"/>
          <w:sz w:val="24"/>
          <w:szCs w:val="24"/>
        </w:rPr>
        <w:t>本</w:t>
      </w:r>
      <w:r>
        <w:rPr>
          <w:rFonts w:ascii="Times New Roman" w:hAnsi="Times New Roman" w:eastAsia="宋体" w:cs="Times New Roman"/>
          <w:sz w:val="24"/>
          <w:szCs w:val="24"/>
        </w:rPr>
        <w:t>资产评估报告</w:t>
      </w:r>
      <w:r>
        <w:rPr>
          <w:rFonts w:hint="eastAsia" w:ascii="Times New Roman" w:hAnsi="Times New Roman" w:eastAsia="宋体" w:cs="Times New Roman"/>
          <w:sz w:val="24"/>
          <w:szCs w:val="24"/>
        </w:rPr>
        <w:t>经济行为</w:t>
      </w:r>
      <w:r>
        <w:rPr>
          <w:rFonts w:ascii="Times New Roman" w:hAnsi="Times New Roman" w:eastAsia="宋体" w:cs="Times New Roman"/>
          <w:sz w:val="24"/>
          <w:szCs w:val="24"/>
        </w:rPr>
        <w:t>的要求。</w:t>
      </w:r>
    </w:p>
    <w:p>
      <w:pPr>
        <w:autoSpaceDE w:val="0"/>
        <w:autoSpaceDN w:val="0"/>
        <w:adjustRightInd w:val="0"/>
        <w:spacing w:line="440" w:lineRule="exact"/>
        <w:ind w:right="-23" w:rightChars="-11"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十、本资产评估报告中如有万元汇总数与明细数据的合计数存在的尾数差异，系因电脑对各明细数据进行万元取整时遵循四舍五入规则处理所致，应以汇总数据为准。</w:t>
      </w: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autoSpaceDE w:val="0"/>
        <w:autoSpaceDN w:val="0"/>
        <w:adjustRightInd w:val="0"/>
        <w:spacing w:line="240" w:lineRule="exact"/>
        <w:ind w:right="-23" w:rightChars="-11" w:firstLine="482" w:firstLineChars="200"/>
        <w:jc w:val="left"/>
        <w:rPr>
          <w:rFonts w:ascii="Times New Roman" w:hAnsi="Times New Roman" w:eastAsia="宋体" w:cs="Times New Roman"/>
          <w:bCs/>
          <w:sz w:val="24"/>
          <w:szCs w:val="24"/>
        </w:rPr>
      </w:pPr>
      <w:r>
        <w:rPr>
          <w:rFonts w:ascii="Times New Roman" w:hAnsi="Times New Roman" w:eastAsia="宋体" w:cs="Times New Roman"/>
          <w:bCs/>
          <w:sz w:val="24"/>
          <w:szCs w:val="24"/>
        </w:rPr>
        <w:br w:type="page"/>
      </w:r>
    </w:p>
    <w:p>
      <w:pPr>
        <w:autoSpaceDE w:val="0"/>
        <w:autoSpaceDN w:val="0"/>
        <w:adjustRightInd w:val="0"/>
        <w:spacing w:line="240" w:lineRule="exact"/>
        <w:ind w:right="-21" w:rightChars="-10"/>
        <w:jc w:val="center"/>
        <w:rPr>
          <w:rFonts w:ascii="Times New Roman" w:hAnsi="Times New Roman" w:eastAsia="宋体" w:cs="Times New Roman"/>
          <w:color w:val="000000"/>
          <w:sz w:val="24"/>
          <w:szCs w:val="24"/>
        </w:rPr>
      </w:pPr>
    </w:p>
    <w:p>
      <w:pPr>
        <w:spacing w:line="360" w:lineRule="exact"/>
        <w:jc w:val="center"/>
        <w:outlineLvl w:val="0"/>
        <w:rPr>
          <w:rFonts w:ascii="Times New Roman" w:hAnsi="Times New Roman" w:eastAsia="隶书" w:cs="Times New Roman"/>
          <w:b/>
          <w:color w:val="000000"/>
          <w:spacing w:val="24"/>
          <w:sz w:val="30"/>
          <w:szCs w:val="30"/>
        </w:rPr>
      </w:pPr>
      <w:bookmarkStart w:id="8" w:name="_Toc497119836"/>
      <w:r>
        <w:rPr>
          <w:rFonts w:hint="eastAsia" w:ascii="Times New Roman" w:hAnsi="Times New Roman" w:eastAsia="隶书" w:cs="Times New Roman"/>
          <w:b/>
          <w:color w:val="000000"/>
          <w:spacing w:val="24"/>
          <w:sz w:val="30"/>
          <w:szCs w:val="30"/>
        </w:rPr>
        <w:t>山东水云间置业发展有限公司</w:t>
      </w:r>
    </w:p>
    <w:p>
      <w:pPr>
        <w:spacing w:line="360" w:lineRule="exact"/>
        <w:jc w:val="center"/>
        <w:outlineLvl w:val="0"/>
        <w:rPr>
          <w:rFonts w:ascii="Times New Roman" w:hAnsi="Times New Roman" w:eastAsia="隶书" w:cs="Times New Roman"/>
          <w:b/>
          <w:color w:val="000000"/>
          <w:spacing w:val="24"/>
          <w:sz w:val="30"/>
          <w:szCs w:val="30"/>
        </w:rPr>
      </w:pPr>
      <w:r>
        <w:rPr>
          <w:rFonts w:hint="eastAsia" w:ascii="Times New Roman" w:hAnsi="Times New Roman" w:eastAsia="隶书" w:cs="Times New Roman"/>
          <w:b/>
          <w:color w:val="000000"/>
          <w:spacing w:val="24"/>
          <w:sz w:val="30"/>
          <w:szCs w:val="30"/>
        </w:rPr>
        <w:t>拟破产清算涉及的相关资产</w:t>
      </w:r>
    </w:p>
    <w:p>
      <w:pPr>
        <w:keepNext/>
        <w:keepLines/>
        <w:spacing w:before="260" w:after="260" w:line="360" w:lineRule="exact"/>
        <w:jc w:val="center"/>
        <w:outlineLvl w:val="1"/>
        <w:rPr>
          <w:rFonts w:ascii="隶书" w:hAnsi="Times New Roman" w:eastAsia="隶书" w:cs="Times New Roman"/>
          <w:sz w:val="52"/>
          <w:szCs w:val="52"/>
        </w:rPr>
      </w:pPr>
      <w:r>
        <w:rPr>
          <w:rFonts w:hint="eastAsia" w:ascii="隶书" w:hAnsi="Times New Roman" w:eastAsia="隶书" w:cs="Times New Roman"/>
          <w:b/>
          <w:sz w:val="52"/>
          <w:szCs w:val="52"/>
        </w:rPr>
        <w:t>评估报告摘要</w:t>
      </w:r>
      <w:bookmarkEnd w:id="8"/>
    </w:p>
    <w:p>
      <w:pPr>
        <w:autoSpaceDE w:val="0"/>
        <w:autoSpaceDN w:val="0"/>
        <w:adjustRightInd w:val="0"/>
        <w:spacing w:line="24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鲁坤评报字</w:t>
      </w:r>
      <w:r>
        <w:rPr>
          <w:rFonts w:ascii="仿宋" w:hAnsi="仿宋" w:eastAsia="仿宋" w:cs="Times New Roman"/>
          <w:color w:val="000000"/>
          <w:sz w:val="24"/>
          <w:szCs w:val="24"/>
        </w:rPr>
        <w:t>[201</w:t>
      </w:r>
      <w:r>
        <w:rPr>
          <w:rFonts w:hint="eastAsia" w:ascii="仿宋" w:hAnsi="仿宋" w:eastAsia="仿宋" w:cs="Times New Roman"/>
          <w:color w:val="000000"/>
          <w:sz w:val="24"/>
          <w:szCs w:val="24"/>
        </w:rPr>
        <w:t>9</w:t>
      </w:r>
      <w:r>
        <w:rPr>
          <w:rFonts w:ascii="仿宋" w:hAnsi="仿宋" w:eastAsia="仿宋" w:cs="Times New Roman"/>
          <w:color w:val="000000"/>
          <w:sz w:val="24"/>
          <w:szCs w:val="24"/>
        </w:rPr>
        <w:t>]第</w:t>
      </w:r>
      <w:r>
        <w:rPr>
          <w:rFonts w:hint="eastAsia" w:ascii="仿宋" w:hAnsi="仿宋" w:eastAsia="仿宋" w:cs="Times New Roman"/>
          <w:color w:val="000000"/>
          <w:sz w:val="24"/>
          <w:szCs w:val="24"/>
          <w:lang w:val="en-US" w:eastAsia="zh-CN"/>
        </w:rPr>
        <w:t>32</w:t>
      </w:r>
      <w:r>
        <w:rPr>
          <w:rFonts w:ascii="仿宋" w:hAnsi="仿宋" w:eastAsia="仿宋" w:cs="Times New Roman"/>
          <w:color w:val="000000"/>
          <w:sz w:val="24"/>
          <w:szCs w:val="24"/>
        </w:rPr>
        <w:t>号</w:t>
      </w:r>
    </w:p>
    <w:p>
      <w:pPr>
        <w:autoSpaceDE w:val="0"/>
        <w:autoSpaceDN w:val="0"/>
        <w:adjustRightInd w:val="0"/>
        <w:spacing w:line="240" w:lineRule="exact"/>
        <w:jc w:val="center"/>
        <w:rPr>
          <w:rFonts w:ascii="Times New Roman" w:hAnsi="Times New Roman" w:eastAsia="宋体" w:cs="Times New Roman"/>
          <w:sz w:val="24"/>
          <w:szCs w:val="24"/>
        </w:rPr>
      </w:pPr>
    </w:p>
    <w:p>
      <w:pPr>
        <w:autoSpaceDE w:val="0"/>
        <w:autoSpaceDN w:val="0"/>
        <w:adjustRightInd w:val="0"/>
        <w:spacing w:line="440" w:lineRule="exact"/>
        <w:rPr>
          <w:rFonts w:ascii="Times New Roman" w:hAnsi="Times New Roman" w:eastAsia="宋体" w:cs="Times New Roman"/>
          <w:b/>
          <w:bCs/>
          <w:smallCaps/>
          <w:sz w:val="24"/>
          <w:szCs w:val="24"/>
        </w:rPr>
      </w:pPr>
      <w:r>
        <w:rPr>
          <w:rFonts w:hint="eastAsia" w:ascii="Times New Roman" w:hAnsi="Times New Roman" w:eastAsia="宋体" w:cs="Times New Roman"/>
          <w:b/>
          <w:bCs/>
          <w:smallCaps/>
          <w:sz w:val="24"/>
          <w:szCs w:val="24"/>
        </w:rPr>
        <w:t>山东水云间置业发展有限公司管理人</w:t>
      </w:r>
      <w:r>
        <w:rPr>
          <w:rFonts w:ascii="Times New Roman" w:hAnsi="Times New Roman" w:eastAsia="宋体" w:cs="Times New Roman"/>
          <w:b/>
          <w:bCs/>
          <w:smallCaps/>
          <w:sz w:val="24"/>
          <w:szCs w:val="24"/>
        </w:rPr>
        <w:t>：</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山东坤元资产评估房地产土地估价有限公司接受</w:t>
      </w:r>
      <w:r>
        <w:rPr>
          <w:rFonts w:hint="eastAsia" w:ascii="Times New Roman" w:hAnsi="Times New Roman" w:eastAsia="宋体" w:cs="Times New Roman"/>
          <w:bCs/>
          <w:smallCaps/>
          <w:sz w:val="24"/>
          <w:szCs w:val="24"/>
        </w:rPr>
        <w:t>山东水云间置业发展有限公司管理人</w:t>
      </w:r>
      <w:r>
        <w:rPr>
          <w:rFonts w:hint="eastAsia" w:ascii="Times New Roman" w:hAnsi="Times New Roman" w:eastAsia="宋体" w:cs="Times New Roman"/>
          <w:sz w:val="24"/>
          <w:szCs w:val="24"/>
        </w:rPr>
        <w:t>的委托，遵循有关法律、行政法规和资产评估准则的相关规定，恪守独立、客观、公正原则，采用成本法，依照必要的评估程序，对山东水云间置业发展有限公司破产清算涉及的相关资产在2019年7月23日的清算价值进行了评估</w:t>
      </w:r>
      <w:r>
        <w:rPr>
          <w:rFonts w:ascii="Times New Roman" w:hAnsi="Times New Roman" w:eastAsia="宋体" w:cs="Times New Roman"/>
          <w:sz w:val="24"/>
          <w:szCs w:val="24"/>
        </w:rPr>
        <w:t>。现将资产评估情况摘要报告如下：</w:t>
      </w:r>
    </w:p>
    <w:p>
      <w:pPr>
        <w:numPr>
          <w:ilvl w:val="0"/>
          <w:numId w:val="2"/>
        </w:numPr>
        <w:tabs>
          <w:tab w:val="left" w:pos="180"/>
        </w:tabs>
        <w:spacing w:line="440" w:lineRule="exact"/>
        <w:ind w:left="0" w:firstLine="482" w:firstLineChars="200"/>
        <w:rPr>
          <w:rFonts w:ascii="Times New Roman" w:hAnsi="宋体" w:eastAsia="宋体" w:cs="Times New Roman"/>
          <w:b/>
          <w:sz w:val="24"/>
          <w:szCs w:val="24"/>
        </w:rPr>
      </w:pPr>
      <w:r>
        <w:rPr>
          <w:rFonts w:ascii="Times New Roman" w:hAnsi="宋体" w:eastAsia="宋体" w:cs="Times New Roman"/>
          <w:b/>
          <w:sz w:val="24"/>
          <w:szCs w:val="24"/>
        </w:rPr>
        <w:t>评估目的</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根据山东省庆云县人民法院裁定受理山东水云间置业发展有限公司的破产清算(〔2017〕鲁1423破3号民事裁定书)，受山东水云间置业发展有限公司管理人委托，对山东水云间置业发展有限公司破产清算涉及的相关资产进行评估，以确定其在评估基准日的清算价值，为山东水云间置业发展有限公司</w:t>
      </w:r>
      <w:r>
        <w:rPr>
          <w:rFonts w:hint="eastAsia" w:ascii="Times New Roman" w:hAnsi="Times New Roman" w:eastAsia="宋体" w:cs="Times New Roman"/>
          <w:bCs/>
          <w:smallCaps/>
          <w:sz w:val="24"/>
          <w:szCs w:val="24"/>
        </w:rPr>
        <w:t>财产处置</w:t>
      </w:r>
      <w:r>
        <w:rPr>
          <w:rFonts w:hint="eastAsia" w:ascii="Times New Roman" w:hAnsi="Times New Roman" w:eastAsia="宋体" w:cs="Times New Roman"/>
          <w:sz w:val="24"/>
          <w:szCs w:val="24"/>
        </w:rPr>
        <w:t>提供价值参考依据。</w:t>
      </w:r>
    </w:p>
    <w:p>
      <w:pPr>
        <w:numPr>
          <w:ilvl w:val="0"/>
          <w:numId w:val="2"/>
        </w:numPr>
        <w:tabs>
          <w:tab w:val="left" w:pos="180"/>
        </w:tabs>
        <w:spacing w:line="440" w:lineRule="exact"/>
        <w:ind w:left="0" w:firstLine="482" w:firstLineChars="200"/>
        <w:rPr>
          <w:rFonts w:ascii="Times New Roman" w:hAnsi="宋体" w:eastAsia="宋体" w:cs="Times New Roman"/>
          <w:b/>
          <w:sz w:val="24"/>
          <w:szCs w:val="24"/>
        </w:rPr>
      </w:pPr>
      <w:r>
        <w:rPr>
          <w:rFonts w:ascii="Times New Roman" w:hAnsi="宋体" w:eastAsia="宋体" w:cs="Times New Roman"/>
          <w:b/>
          <w:sz w:val="24"/>
          <w:szCs w:val="24"/>
        </w:rPr>
        <w:t>评估对象和</w:t>
      </w:r>
      <w:r>
        <w:rPr>
          <w:rFonts w:hint="eastAsia" w:ascii="Times New Roman" w:hAnsi="宋体" w:eastAsia="宋体" w:cs="Times New Roman"/>
          <w:b/>
          <w:sz w:val="24"/>
          <w:szCs w:val="24"/>
        </w:rPr>
        <w:t>评估</w:t>
      </w:r>
      <w:r>
        <w:rPr>
          <w:rFonts w:ascii="Times New Roman" w:hAnsi="宋体" w:eastAsia="宋体" w:cs="Times New Roman"/>
          <w:b/>
          <w:sz w:val="24"/>
          <w:szCs w:val="24"/>
        </w:rPr>
        <w:t>范围</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评估对象为山东水云间置业发展有限公司破产清算涉及</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相关资产。</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评估范围为山东水云间置业发展有限公司管理人申报评估的相关资产，包括：土地使用权、住宅、在建工程及配套设施等。主要为土地使用权一宗，面积为84199.74平方米（约合126.3亩，地上建有已竣工商品房及在建工程，剩余未开发面积为42,668.89平方米（委托人申报数据）），性质为住宅用地；商品房六栋及车库、储藏室，建筑面积为29,697.64平方米；在建工程13栋，建筑面积约为13534平方米；及相关配套设施</w:t>
      </w:r>
      <w:r>
        <w:rPr>
          <w:rStyle w:val="44"/>
          <w:rFonts w:hint="eastAsia" w:ascii="Times New Roman" w:hAnsi="Times New Roman" w:eastAsia="宋体" w:cs="Times New Roman"/>
          <w:sz w:val="24"/>
          <w:szCs w:val="24"/>
        </w:rPr>
        <w:t>。具体范围以评估申报表为准。</w:t>
      </w:r>
    </w:p>
    <w:p>
      <w:pPr>
        <w:numPr>
          <w:ilvl w:val="0"/>
          <w:numId w:val="2"/>
        </w:numPr>
        <w:tabs>
          <w:tab w:val="left" w:pos="180"/>
        </w:tabs>
        <w:spacing w:line="440" w:lineRule="exact"/>
        <w:ind w:left="0" w:firstLine="482" w:firstLineChars="200"/>
        <w:rPr>
          <w:rFonts w:ascii="Times New Roman" w:hAnsi="宋体" w:eastAsia="宋体" w:cs="Times New Roman"/>
          <w:b/>
          <w:sz w:val="24"/>
          <w:szCs w:val="24"/>
        </w:rPr>
      </w:pPr>
      <w:r>
        <w:rPr>
          <w:rFonts w:ascii="Times New Roman" w:hAnsi="宋体" w:eastAsia="宋体" w:cs="Times New Roman"/>
          <w:b/>
          <w:sz w:val="24"/>
          <w:szCs w:val="24"/>
        </w:rPr>
        <w:t>价值类型</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本次评估选取清算价值作为本评估报告的评估结论的价值类型。</w:t>
      </w:r>
    </w:p>
    <w:p>
      <w:pPr>
        <w:numPr>
          <w:ilvl w:val="0"/>
          <w:numId w:val="2"/>
        </w:numPr>
        <w:tabs>
          <w:tab w:val="left" w:pos="180"/>
        </w:tabs>
        <w:spacing w:line="440" w:lineRule="exact"/>
        <w:ind w:left="0" w:firstLine="482" w:firstLineChars="200"/>
        <w:rPr>
          <w:rFonts w:ascii="Times New Roman" w:hAnsi="Times New Roman" w:eastAsia="宋体" w:cs="Times New Roman"/>
          <w:b/>
          <w:sz w:val="24"/>
          <w:szCs w:val="24"/>
        </w:rPr>
      </w:pPr>
      <w:r>
        <w:rPr>
          <w:rFonts w:ascii="Times New Roman" w:hAnsi="宋体" w:eastAsia="宋体" w:cs="Times New Roman"/>
          <w:b/>
          <w:sz w:val="24"/>
          <w:szCs w:val="24"/>
        </w:rPr>
        <w:t>评估基准日</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本报告的评估基准日为2019年7月23日</w:t>
      </w:r>
      <w:r>
        <w:rPr>
          <w:rFonts w:ascii="Times New Roman" w:hAnsi="Times New Roman" w:eastAsia="宋体" w:cs="Times New Roman"/>
          <w:sz w:val="24"/>
          <w:szCs w:val="24"/>
        </w:rPr>
        <w:t>。</w:t>
      </w:r>
    </w:p>
    <w:p>
      <w:pPr>
        <w:numPr>
          <w:ilvl w:val="0"/>
          <w:numId w:val="2"/>
        </w:numPr>
        <w:tabs>
          <w:tab w:val="left" w:pos="180"/>
        </w:tabs>
        <w:spacing w:line="440" w:lineRule="exact"/>
        <w:ind w:left="0" w:firstLine="482" w:firstLineChars="200"/>
        <w:rPr>
          <w:rFonts w:ascii="宋体" w:hAnsi="宋体" w:eastAsia="宋体"/>
          <w:b/>
          <w:sz w:val="24"/>
          <w:szCs w:val="24"/>
        </w:rPr>
      </w:pPr>
      <w:bookmarkStart w:id="9" w:name="_Hlk494015134"/>
      <w:r>
        <w:rPr>
          <w:rFonts w:ascii="宋体" w:hAnsi="宋体" w:eastAsia="宋体"/>
          <w:b/>
          <w:sz w:val="24"/>
          <w:szCs w:val="24"/>
        </w:rPr>
        <w:t>评估</w:t>
      </w:r>
      <w:r>
        <w:rPr>
          <w:rFonts w:ascii="Times New Roman" w:hAnsi="宋体" w:eastAsia="宋体" w:cs="Times New Roman"/>
          <w:b/>
          <w:sz w:val="24"/>
          <w:szCs w:val="24"/>
        </w:rPr>
        <w:t>方法</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本次采用成本法进行评估</w:t>
      </w:r>
      <w:r>
        <w:rPr>
          <w:rFonts w:ascii="Times New Roman" w:hAnsi="Times New Roman" w:eastAsia="宋体" w:cs="Times New Roman"/>
          <w:sz w:val="24"/>
          <w:szCs w:val="24"/>
        </w:rPr>
        <w:t>。</w:t>
      </w:r>
    </w:p>
    <w:p>
      <w:pPr>
        <w:numPr>
          <w:ilvl w:val="0"/>
          <w:numId w:val="2"/>
        </w:numPr>
        <w:tabs>
          <w:tab w:val="left" w:pos="180"/>
        </w:tabs>
        <w:spacing w:line="440" w:lineRule="exact"/>
        <w:ind w:left="0" w:firstLine="482" w:firstLineChars="200"/>
        <w:rPr>
          <w:rFonts w:ascii="Times New Roman" w:hAnsi="Times New Roman" w:eastAsia="宋体" w:cs="Times New Roman"/>
          <w:b/>
          <w:sz w:val="24"/>
          <w:szCs w:val="24"/>
        </w:rPr>
      </w:pPr>
      <w:r>
        <w:rPr>
          <w:rFonts w:ascii="Times New Roman" w:hAnsi="宋体" w:eastAsia="宋体" w:cs="Times New Roman"/>
          <w:b/>
          <w:sz w:val="24"/>
          <w:szCs w:val="24"/>
        </w:rPr>
        <w:t>评估</w:t>
      </w:r>
      <w:r>
        <w:rPr>
          <w:rFonts w:hint="eastAsia" w:ascii="宋体" w:hAnsi="宋体" w:eastAsia="宋体"/>
          <w:b/>
          <w:sz w:val="24"/>
          <w:szCs w:val="24"/>
        </w:rPr>
        <w:t>结论</w:t>
      </w:r>
      <w:r>
        <w:rPr>
          <w:rFonts w:hint="eastAsia" w:ascii="Times New Roman" w:hAnsi="宋体" w:eastAsia="宋体" w:cs="Times New Roman"/>
          <w:b/>
          <w:sz w:val="24"/>
          <w:szCs w:val="24"/>
        </w:rPr>
        <w:t>及其有效使用期</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截至评估基准日</w:t>
      </w:r>
      <w:r>
        <w:rPr>
          <w:rFonts w:hint="eastAsia" w:ascii="Times New Roman" w:hAnsi="Times New Roman" w:eastAsia="宋体" w:cs="Times New Roman"/>
          <w:sz w:val="24"/>
          <w:szCs w:val="24"/>
        </w:rPr>
        <w:t>2019年7月23日</w:t>
      </w:r>
      <w:r>
        <w:rPr>
          <w:rFonts w:ascii="Times New Roman" w:hAnsi="Times New Roman" w:eastAsia="宋体" w:cs="Times New Roman"/>
          <w:sz w:val="24"/>
          <w:szCs w:val="24"/>
        </w:rPr>
        <w:t>，经评估，</w:t>
      </w:r>
      <w:r>
        <w:rPr>
          <w:rFonts w:hint="eastAsia" w:ascii="Times New Roman" w:hAnsi="Times New Roman" w:eastAsia="宋体" w:cs="Times New Roman"/>
          <w:sz w:val="24"/>
          <w:szCs w:val="24"/>
        </w:rPr>
        <w:t>山东水云间置业发展有限公司管理人申报的资产市场价值18,560.45万元，清算价值为</w:t>
      </w:r>
      <w:r>
        <w:rPr>
          <w:rFonts w:hint="eastAsia" w:ascii="Times New Roman" w:hAnsi="Times New Roman" w:eastAsia="宋体" w:cs="Times New Roman"/>
          <w:sz w:val="24"/>
          <w:szCs w:val="24"/>
          <w:lang w:eastAsia="zh-CN"/>
        </w:rPr>
        <w:t>13,325.56</w:t>
      </w:r>
      <w:r>
        <w:rPr>
          <w:rFonts w:hint="eastAsia" w:ascii="Times New Roman" w:hAnsi="Times New Roman" w:eastAsia="宋体" w:cs="Times New Roman"/>
          <w:sz w:val="24"/>
          <w:szCs w:val="24"/>
        </w:rPr>
        <w:t>万元。</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按现行规定，本评估报告的评估结论的有效使用期为壹年，该有效使用期从评估基准日起计算。</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本评估报告的合法使用者在使用本评估报告及其</w:t>
      </w:r>
      <w:r>
        <w:rPr>
          <w:rFonts w:hint="eastAsia" w:ascii="Times New Roman" w:hAnsi="Times New Roman" w:eastAsia="宋体" w:cs="Times New Roman"/>
          <w:sz w:val="24"/>
          <w:szCs w:val="24"/>
        </w:rPr>
        <w:t>评估结论</w:t>
      </w:r>
      <w:r>
        <w:rPr>
          <w:rFonts w:ascii="Times New Roman" w:hAnsi="Times New Roman" w:eastAsia="宋体" w:cs="Times New Roman"/>
          <w:sz w:val="24"/>
          <w:szCs w:val="24"/>
        </w:rPr>
        <w:t>时，应特别注意本评估报告所载明的</w:t>
      </w:r>
      <w:r>
        <w:rPr>
          <w:rFonts w:hint="eastAsia" w:ascii="Times New Roman" w:hAnsi="Times New Roman" w:eastAsia="宋体" w:cs="Times New Roman"/>
          <w:sz w:val="24"/>
          <w:szCs w:val="24"/>
        </w:rPr>
        <w:t>假设条件、限制条件、</w:t>
      </w:r>
      <w:r>
        <w:rPr>
          <w:rFonts w:ascii="Times New Roman" w:hAnsi="Times New Roman" w:eastAsia="宋体" w:cs="Times New Roman"/>
          <w:sz w:val="24"/>
          <w:szCs w:val="24"/>
        </w:rPr>
        <w:t>特别事项（期后重大事项）及其对评估</w:t>
      </w:r>
      <w:r>
        <w:rPr>
          <w:rFonts w:hint="eastAsia" w:ascii="Times New Roman" w:hAnsi="Times New Roman" w:eastAsia="宋体" w:cs="Times New Roman"/>
          <w:sz w:val="24"/>
          <w:szCs w:val="24"/>
        </w:rPr>
        <w:t>结果</w:t>
      </w:r>
      <w:r>
        <w:rPr>
          <w:rFonts w:ascii="Times New Roman" w:hAnsi="Times New Roman" w:eastAsia="宋体" w:cs="Times New Roman"/>
          <w:sz w:val="24"/>
          <w:szCs w:val="24"/>
        </w:rPr>
        <w:t>的影响。</w:t>
      </w:r>
    </w:p>
    <w:p>
      <w:pPr>
        <w:numPr>
          <w:ilvl w:val="0"/>
          <w:numId w:val="2"/>
        </w:numPr>
        <w:tabs>
          <w:tab w:val="left" w:pos="180"/>
        </w:tabs>
        <w:spacing w:line="440" w:lineRule="exact"/>
        <w:ind w:left="0" w:firstLine="482" w:firstLineChars="200"/>
        <w:rPr>
          <w:rFonts w:ascii="Times New Roman" w:hAnsi="Times New Roman" w:eastAsia="宋体" w:cs="Times New Roman"/>
          <w:b/>
          <w:sz w:val="24"/>
          <w:szCs w:val="24"/>
        </w:rPr>
      </w:pPr>
      <w:r>
        <w:rPr>
          <w:rFonts w:ascii="Times New Roman" w:hAnsi="宋体" w:eastAsia="宋体" w:cs="Times New Roman"/>
          <w:b/>
          <w:sz w:val="24"/>
          <w:szCs w:val="24"/>
        </w:rPr>
        <w:t>特别事项</w:t>
      </w:r>
      <w:r>
        <w:rPr>
          <w:rFonts w:hint="eastAsia" w:ascii="Times New Roman" w:hAnsi="宋体" w:eastAsia="宋体" w:cs="Times New Roman"/>
          <w:b/>
          <w:sz w:val="24"/>
          <w:szCs w:val="24"/>
        </w:rPr>
        <w:t>说明</w:t>
      </w:r>
    </w:p>
    <w:p>
      <w:pPr>
        <w:autoSpaceDE w:val="0"/>
        <w:autoSpaceDN w:val="0"/>
        <w:adjustRightInd w:val="0"/>
        <w:spacing w:line="440" w:lineRule="exact"/>
        <w:ind w:firstLine="482" w:firstLineChars="200"/>
        <w:rPr>
          <w:rFonts w:ascii="宋体" w:hAnsi="宋体" w:eastAsia="宋体" w:cs="Times New Roman"/>
          <w:sz w:val="24"/>
          <w:szCs w:val="24"/>
        </w:rPr>
      </w:pPr>
      <w:r>
        <w:rPr>
          <w:rFonts w:ascii="宋体" w:hAnsi="宋体" w:eastAsia="宋体" w:cs="Times New Roman"/>
          <w:sz w:val="24"/>
          <w:szCs w:val="24"/>
        </w:rPr>
        <w:t>（一）引用其他机构出具报告结论的情况</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p>
      <w:pPr>
        <w:numPr>
          <w:ilvl w:val="0"/>
          <w:numId w:val="3"/>
        </w:numPr>
        <w:autoSpaceDE w:val="0"/>
        <w:autoSpaceDN w:val="0"/>
        <w:adjustRightInd w:val="0"/>
        <w:spacing w:line="440" w:lineRule="exact"/>
        <w:ind w:firstLine="482" w:firstLineChars="200"/>
        <w:rPr>
          <w:rFonts w:ascii="宋体" w:hAnsi="宋体" w:eastAsia="宋体" w:cs="Times New Roman"/>
          <w:sz w:val="24"/>
          <w:szCs w:val="24"/>
        </w:rPr>
      </w:pPr>
      <w:r>
        <w:rPr>
          <w:rFonts w:ascii="宋体" w:hAnsi="宋体" w:eastAsia="宋体" w:cs="Times New Roman"/>
          <w:sz w:val="24"/>
          <w:szCs w:val="24"/>
        </w:rPr>
        <w:t>权属资料不全面或者存在瑕疵的情形</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截止2019年8月7日，山东水云间置业发展有限公司管理人申报的已竣工商品房六栋及车库、储藏室，建筑面积为29697.64平方米，已取得国有土地使用证、建设用地规划许可证、建筑工程施工许可证、商品房预售许可证和建设工程规划许可证，尚未办理房屋所有权证；在建工程13栋别墅，建筑面积为13534平方米，已取得国有土地使用证和建设用地规划许可证。土地使用权的用地性质为普通商品房用地，在建别墅属于擅自更改规划，尚未办理建设工程规划许可证和建筑工程施工许可证和商品房预售许可证。</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本次评估未考虑以上权属资料不全事项对评估值可能产生的影响。</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（三）评估程序受到限制的</w:t>
      </w:r>
      <w:r>
        <w:rPr>
          <w:rFonts w:hint="eastAsia" w:ascii="Times New Roman" w:hAnsi="Times New Roman" w:eastAsia="宋体" w:cs="Times New Roman"/>
          <w:sz w:val="24"/>
          <w:szCs w:val="24"/>
        </w:rPr>
        <w:t>情形</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委托人及产权持有人未提供财务账册及其他相关资料，未提供账面价值。</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（四）评估资料不完整的</w:t>
      </w:r>
      <w:r>
        <w:rPr>
          <w:rFonts w:hint="eastAsia" w:ascii="Times New Roman" w:hAnsi="Times New Roman" w:eastAsia="宋体" w:cs="Times New Roman"/>
          <w:sz w:val="24"/>
          <w:szCs w:val="24"/>
        </w:rPr>
        <w:t>情形</w:t>
      </w:r>
    </w:p>
    <w:p>
      <w:pPr>
        <w:autoSpaceDE w:val="0"/>
        <w:autoSpaceDN w:val="0"/>
        <w:adjustRightInd w:val="0"/>
        <w:spacing w:line="440" w:lineRule="exact"/>
        <w:ind w:right="-21" w:rightChars="-10" w:firstLine="482" w:firstLineChars="200"/>
        <w:rPr>
          <w:rFonts w:ascii="Times New Roman" w:hAnsi="宋体" w:eastAsia="宋体" w:cs="Times New Roman"/>
          <w:sz w:val="24"/>
          <w:szCs w:val="24"/>
        </w:rPr>
      </w:pPr>
      <w:r>
        <w:rPr>
          <w:rFonts w:hint="eastAsia" w:ascii="Times New Roman" w:hAnsi="宋体" w:eastAsia="宋体" w:cs="Times New Roman"/>
          <w:sz w:val="24"/>
          <w:szCs w:val="24"/>
        </w:rPr>
        <w:t>无。</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（五）</w:t>
      </w:r>
      <w:r>
        <w:rPr>
          <w:rFonts w:hint="eastAsia" w:ascii="Times New Roman" w:hAnsi="Times New Roman" w:eastAsia="宋体" w:cs="Times New Roman"/>
          <w:sz w:val="24"/>
          <w:szCs w:val="24"/>
        </w:rPr>
        <w:t>评估基准日存在的法律、经济等未决事项</w:t>
      </w:r>
    </w:p>
    <w:p>
      <w:pPr>
        <w:autoSpaceDE w:val="0"/>
        <w:autoSpaceDN w:val="0"/>
        <w:adjustRightInd w:val="0"/>
        <w:spacing w:line="440" w:lineRule="exact"/>
        <w:ind w:firstLine="470"/>
        <w:rPr>
          <w:rFonts w:ascii="Times New Roman" w:hAnsi="宋体" w:eastAsia="宋体" w:cs="Times New Roman"/>
          <w:sz w:val="24"/>
          <w:szCs w:val="24"/>
        </w:rPr>
      </w:pPr>
      <w:r>
        <w:rPr>
          <w:rFonts w:hint="eastAsia" w:ascii="Times New Roman" w:hAnsi="宋体" w:eastAsia="宋体" w:cs="Times New Roman"/>
          <w:sz w:val="24"/>
          <w:szCs w:val="24"/>
        </w:rPr>
        <w:t>委托人及产权持有人未提供与申报资产相关的涉诉未决事项资料，本次评估未考虑诉讼事项对评估值可能产生的影响。</w:t>
      </w:r>
    </w:p>
    <w:p>
      <w:pPr>
        <w:autoSpaceDE w:val="0"/>
        <w:autoSpaceDN w:val="0"/>
        <w:adjustRightInd w:val="0"/>
        <w:spacing w:line="440" w:lineRule="exact"/>
        <w:ind w:firstLine="470"/>
        <w:rPr>
          <w:rFonts w:ascii="Times New Roman" w:hAnsi="宋体" w:eastAsia="宋体" w:cs="Times New Roman"/>
          <w:sz w:val="24"/>
          <w:szCs w:val="24"/>
        </w:rPr>
      </w:pPr>
      <w:r>
        <w:rPr>
          <w:rFonts w:ascii="Times New Roman" w:hAnsi="宋体" w:eastAsia="宋体" w:cs="Times New Roman"/>
          <w:sz w:val="24"/>
          <w:szCs w:val="24"/>
        </w:rPr>
        <w:t>（六）</w:t>
      </w:r>
      <w:r>
        <w:rPr>
          <w:rFonts w:hint="eastAsia" w:ascii="Times New Roman" w:hAnsi="宋体" w:eastAsia="宋体" w:cs="Times New Roman"/>
          <w:sz w:val="24"/>
          <w:szCs w:val="24"/>
        </w:rPr>
        <w:t>抵押、</w:t>
      </w:r>
      <w:r>
        <w:rPr>
          <w:rFonts w:ascii="Times New Roman" w:hAnsi="宋体" w:eastAsia="宋体" w:cs="Times New Roman"/>
          <w:sz w:val="24"/>
          <w:szCs w:val="24"/>
        </w:rPr>
        <w:t>担保、租赁及其或有负债（或有资产）等事项的性质、金额及与评估对象的关系</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宋体" w:eastAsia="宋体" w:cs="Times New Roman"/>
          <w:sz w:val="24"/>
          <w:szCs w:val="24"/>
        </w:rPr>
        <w:t>委托人及产权持有人未提供与申报资产相关的抵押、担保、租赁资料，</w:t>
      </w:r>
      <w:r>
        <w:rPr>
          <w:rFonts w:hint="eastAsia" w:ascii="Times New Roman" w:hAnsi="Times New Roman" w:eastAsia="宋体" w:cs="Times New Roman"/>
          <w:sz w:val="24"/>
          <w:szCs w:val="24"/>
        </w:rPr>
        <w:t>本次评估未考虑该事项对评估值可能产生的影响。</w:t>
      </w:r>
    </w:p>
    <w:p>
      <w:pPr>
        <w:autoSpaceDE w:val="0"/>
        <w:autoSpaceDN w:val="0"/>
        <w:adjustRightInd w:val="0"/>
        <w:spacing w:line="440" w:lineRule="exact"/>
        <w:ind w:firstLine="470"/>
        <w:rPr>
          <w:rFonts w:ascii="Times New Roman" w:hAnsi="宋体" w:eastAsia="宋体" w:cs="Times New Roman"/>
          <w:sz w:val="24"/>
          <w:szCs w:val="24"/>
        </w:rPr>
      </w:pPr>
      <w:r>
        <w:rPr>
          <w:rFonts w:ascii="Times New Roman" w:hAnsi="宋体" w:eastAsia="宋体" w:cs="Times New Roman"/>
          <w:sz w:val="24"/>
          <w:szCs w:val="24"/>
        </w:rPr>
        <w:t>（七）评估基准日至评估报告日之间</w:t>
      </w:r>
      <w:r>
        <w:rPr>
          <w:rFonts w:hint="eastAsia" w:ascii="Times New Roman" w:hAnsi="宋体" w:eastAsia="宋体" w:cs="Times New Roman"/>
          <w:sz w:val="24"/>
          <w:szCs w:val="24"/>
        </w:rPr>
        <w:t>发生的</w:t>
      </w:r>
      <w:r>
        <w:rPr>
          <w:rFonts w:ascii="Times New Roman" w:hAnsi="宋体" w:eastAsia="宋体" w:cs="Times New Roman"/>
          <w:sz w:val="24"/>
          <w:szCs w:val="24"/>
        </w:rPr>
        <w:t>可能对评估结论产生影响的事项</w:t>
      </w:r>
    </w:p>
    <w:p>
      <w:pPr>
        <w:autoSpaceDE w:val="0"/>
        <w:autoSpaceDN w:val="0"/>
        <w:adjustRightInd w:val="0"/>
        <w:spacing w:line="440" w:lineRule="exact"/>
        <w:ind w:firstLine="470"/>
        <w:rPr>
          <w:rFonts w:ascii="Times New Roman" w:hAnsi="宋体" w:eastAsia="宋体" w:cs="Times New Roman"/>
          <w:sz w:val="24"/>
          <w:szCs w:val="24"/>
        </w:rPr>
      </w:pPr>
      <w:r>
        <w:rPr>
          <w:rFonts w:ascii="Times New Roman" w:hAnsi="宋体" w:eastAsia="宋体" w:cs="Times New Roman"/>
          <w:sz w:val="24"/>
          <w:szCs w:val="24"/>
        </w:rPr>
        <w:t>无</w:t>
      </w:r>
      <w:r>
        <w:rPr>
          <w:rFonts w:hint="eastAsia" w:ascii="Times New Roman" w:hAnsi="宋体" w:eastAsia="宋体" w:cs="Times New Roman"/>
          <w:sz w:val="24"/>
          <w:szCs w:val="24"/>
        </w:rPr>
        <w:t>。</w:t>
      </w:r>
    </w:p>
    <w:p>
      <w:pPr>
        <w:autoSpaceDE w:val="0"/>
        <w:autoSpaceDN w:val="0"/>
        <w:adjustRightInd w:val="0"/>
        <w:spacing w:line="440" w:lineRule="exact"/>
        <w:ind w:firstLine="470"/>
        <w:rPr>
          <w:rFonts w:ascii="Times New Roman" w:hAnsi="宋体" w:eastAsia="宋体" w:cs="Times New Roman"/>
          <w:sz w:val="24"/>
          <w:szCs w:val="24"/>
        </w:rPr>
      </w:pPr>
      <w:r>
        <w:rPr>
          <w:rFonts w:ascii="Times New Roman" w:hAnsi="宋体" w:eastAsia="宋体" w:cs="Times New Roman"/>
          <w:sz w:val="24"/>
          <w:szCs w:val="24"/>
        </w:rPr>
        <w:t>（八）本次资产评估对应的经济行为中，可能对评估</w:t>
      </w:r>
      <w:r>
        <w:rPr>
          <w:rFonts w:hint="eastAsia" w:ascii="Times New Roman" w:hAnsi="宋体" w:eastAsia="宋体" w:cs="Times New Roman"/>
          <w:sz w:val="24"/>
          <w:szCs w:val="24"/>
        </w:rPr>
        <w:t>结果</w:t>
      </w:r>
      <w:r>
        <w:rPr>
          <w:rFonts w:ascii="Times New Roman" w:hAnsi="宋体" w:eastAsia="宋体" w:cs="Times New Roman"/>
          <w:sz w:val="24"/>
          <w:szCs w:val="24"/>
        </w:rPr>
        <w:t>产生重大影响的瑕疵情形</w:t>
      </w:r>
    </w:p>
    <w:p>
      <w:pPr>
        <w:autoSpaceDE w:val="0"/>
        <w:autoSpaceDN w:val="0"/>
        <w:adjustRightInd w:val="0"/>
        <w:spacing w:line="440" w:lineRule="exact"/>
        <w:ind w:firstLine="470"/>
        <w:rPr>
          <w:rFonts w:ascii="Times New Roman" w:hAnsi="宋体" w:eastAsia="宋体" w:cs="Times New Roman"/>
          <w:sz w:val="24"/>
          <w:szCs w:val="24"/>
        </w:rPr>
      </w:pPr>
      <w:r>
        <w:rPr>
          <w:rFonts w:ascii="Times New Roman" w:hAnsi="宋体" w:eastAsia="宋体" w:cs="Times New Roman"/>
          <w:sz w:val="24"/>
          <w:szCs w:val="24"/>
        </w:rPr>
        <w:t>无</w:t>
      </w:r>
      <w:r>
        <w:rPr>
          <w:rFonts w:hint="eastAsia" w:ascii="Times New Roman" w:hAnsi="宋体" w:eastAsia="宋体" w:cs="Times New Roman"/>
          <w:sz w:val="24"/>
          <w:szCs w:val="24"/>
        </w:rPr>
        <w:t>。</w:t>
      </w:r>
    </w:p>
    <w:p>
      <w:pPr>
        <w:autoSpaceDE w:val="0"/>
        <w:autoSpaceDN w:val="0"/>
        <w:adjustRightInd w:val="0"/>
        <w:spacing w:line="440" w:lineRule="exact"/>
        <w:ind w:firstLine="470"/>
        <w:rPr>
          <w:rFonts w:ascii="Times New Roman" w:hAnsi="Times New Roman" w:eastAsia="宋体" w:cs="Times New Roman"/>
          <w:sz w:val="24"/>
          <w:szCs w:val="24"/>
        </w:rPr>
      </w:pPr>
      <w:r>
        <w:rPr>
          <w:rFonts w:hint="eastAsia" w:ascii="宋体" w:hAnsi="宋体" w:eastAsia="宋体" w:cs="Times New Roman"/>
          <w:sz w:val="24"/>
          <w:szCs w:val="24"/>
        </w:rPr>
        <w:t>（九）</w:t>
      </w:r>
      <w:r>
        <w:rPr>
          <w:rFonts w:hint="eastAsia" w:ascii="Times New Roman" w:hAnsi="Times New Roman" w:eastAsia="宋体" w:cs="Times New Roman"/>
          <w:sz w:val="24"/>
          <w:szCs w:val="24"/>
        </w:rPr>
        <w:t>其他特别说明事项</w:t>
      </w:r>
    </w:p>
    <w:p>
      <w:pPr>
        <w:numPr>
          <w:ilvl w:val="0"/>
          <w:numId w:val="4"/>
        </w:numPr>
        <w:autoSpaceDE w:val="0"/>
        <w:autoSpaceDN w:val="0"/>
        <w:adjustRightInd w:val="0"/>
        <w:spacing w:line="440" w:lineRule="exact"/>
        <w:ind w:firstLine="482" w:firstLineChars="200"/>
        <w:rPr>
          <w:rFonts w:ascii="Times New Roman" w:hAnsi="宋体" w:eastAsia="宋体" w:cs="Times New Roman"/>
          <w:sz w:val="24"/>
          <w:szCs w:val="24"/>
        </w:rPr>
      </w:pPr>
      <w:r>
        <w:rPr>
          <w:rFonts w:hint="eastAsia" w:ascii="Times New Roman" w:hAnsi="宋体" w:eastAsia="宋体" w:cs="Times New Roman"/>
          <w:sz w:val="24"/>
          <w:szCs w:val="24"/>
        </w:rPr>
        <w:t>委托人申报的已建成的6幢住宅楼共计192户、停车库240个，储藏室99个，其中，已预售住宅134套（含抵账19套）、车库71个（含抵账2个）、储藏室20个。此次评估未考虑预售和抵债情况对评估结论的影响，仅为委托人申报资产的清算价值提供价值参考依据。</w:t>
      </w:r>
    </w:p>
    <w:p>
      <w:pPr>
        <w:numPr>
          <w:ilvl w:val="0"/>
          <w:numId w:val="4"/>
        </w:num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土地使用权的用地性质为普通商品房用地，在建工程中的联排别墅等属于擅自更改规划，尚未取得建设工程规划许可证和建筑工程施工许可证。</w:t>
      </w:r>
    </w:p>
    <w:p>
      <w:pPr>
        <w:autoSpaceDE w:val="0"/>
        <w:autoSpaceDN w:val="0"/>
        <w:adjustRightInd w:val="0"/>
        <w:spacing w:line="440" w:lineRule="exact"/>
        <w:ind w:firstLine="470"/>
        <w:rPr>
          <w:rFonts w:ascii="Times New Roman" w:hAnsi="Times New Roman" w:eastAsia="宋体" w:cs="Times New Roman"/>
          <w:sz w:val="24"/>
          <w:szCs w:val="24"/>
        </w:rPr>
      </w:pPr>
      <w:r>
        <w:rPr>
          <w:rFonts w:hint="eastAsia" w:ascii="Times New Roman" w:hAnsi="宋体" w:eastAsia="宋体" w:cs="Times New Roman"/>
          <w:sz w:val="24"/>
          <w:szCs w:val="24"/>
        </w:rPr>
        <w:t>3、此次评估结果中评估价值均为含税价值。</w:t>
      </w:r>
    </w:p>
    <w:p>
      <w:pPr>
        <w:numPr>
          <w:ilvl w:val="0"/>
          <w:numId w:val="2"/>
        </w:numPr>
        <w:tabs>
          <w:tab w:val="left" w:pos="180"/>
        </w:tabs>
        <w:spacing w:line="440" w:lineRule="exact"/>
        <w:ind w:left="0" w:firstLine="482" w:firstLineChars="200"/>
        <w:rPr>
          <w:rFonts w:ascii="Times New Roman" w:hAnsi="Times New Roman" w:eastAsia="宋体" w:cs="Times New Roman"/>
          <w:b/>
          <w:sz w:val="24"/>
          <w:szCs w:val="24"/>
        </w:rPr>
      </w:pPr>
      <w:r>
        <w:rPr>
          <w:rFonts w:hint="eastAsia" w:ascii="Times New Roman" w:hAnsi="宋体" w:eastAsia="宋体" w:cs="Times New Roman"/>
          <w:b/>
          <w:sz w:val="24"/>
          <w:szCs w:val="24"/>
        </w:rPr>
        <w:t>资产</w:t>
      </w:r>
      <w:r>
        <w:rPr>
          <w:rFonts w:ascii="Times New Roman" w:hAnsi="宋体" w:eastAsia="宋体" w:cs="Times New Roman"/>
          <w:b/>
          <w:sz w:val="24"/>
          <w:szCs w:val="24"/>
        </w:rPr>
        <w:t>评估报告日</w:t>
      </w:r>
    </w:p>
    <w:p>
      <w:pPr>
        <w:autoSpaceDE w:val="0"/>
        <w:autoSpaceDN w:val="0"/>
        <w:adjustRightInd w:val="0"/>
        <w:spacing w:line="440" w:lineRule="exact"/>
        <w:ind w:firstLine="470"/>
        <w:rPr>
          <w:rFonts w:ascii="Times New Roman" w:hAnsi="Times New Roman" w:eastAsia="宋体" w:cs="Times New Roman"/>
          <w:sz w:val="24"/>
          <w:szCs w:val="24"/>
        </w:rPr>
      </w:pPr>
      <w:r>
        <w:rPr>
          <w:rFonts w:hint="eastAsia" w:ascii="Times New Roman" w:hAnsi="Times New Roman" w:eastAsia="宋体" w:cs="Times New Roman"/>
          <w:sz w:val="24"/>
          <w:szCs w:val="24"/>
        </w:rPr>
        <w:t>资产评估报告日是评估结论最终形成日。</w:t>
      </w:r>
      <w:r>
        <w:rPr>
          <w:rFonts w:ascii="Times New Roman" w:hAnsi="Times New Roman" w:eastAsia="宋体" w:cs="Times New Roman"/>
          <w:sz w:val="24"/>
          <w:szCs w:val="24"/>
        </w:rPr>
        <w:t>本</w:t>
      </w:r>
      <w:r>
        <w:rPr>
          <w:rFonts w:hint="eastAsia" w:ascii="Times New Roman" w:hAnsi="Times New Roman" w:eastAsia="宋体" w:cs="Times New Roman"/>
          <w:sz w:val="24"/>
          <w:szCs w:val="24"/>
        </w:rPr>
        <w:t>资产</w:t>
      </w:r>
      <w:r>
        <w:rPr>
          <w:rFonts w:ascii="Times New Roman" w:hAnsi="Times New Roman" w:eastAsia="宋体" w:cs="Times New Roman"/>
          <w:sz w:val="24"/>
          <w:szCs w:val="24"/>
        </w:rPr>
        <w:t>评估报告日为</w:t>
      </w:r>
      <w:r>
        <w:rPr>
          <w:rFonts w:ascii="宋体" w:hAnsi="宋体" w:eastAsia="宋体" w:cs="Times New Roman"/>
          <w:kern w:val="0"/>
          <w:sz w:val="24"/>
          <w:szCs w:val="24"/>
        </w:rPr>
        <w:t>201</w:t>
      </w:r>
      <w:r>
        <w:rPr>
          <w:rFonts w:hint="eastAsia" w:ascii="宋体" w:hAnsi="宋体" w:eastAsia="宋体" w:cs="Times New Roman"/>
          <w:kern w:val="0"/>
          <w:sz w:val="24"/>
          <w:szCs w:val="24"/>
        </w:rPr>
        <w:t>9</w:t>
      </w:r>
      <w:r>
        <w:rPr>
          <w:rFonts w:ascii="宋体" w:hAnsi="宋体" w:eastAsia="宋体" w:cs="Times New Roman"/>
          <w:kern w:val="0"/>
          <w:sz w:val="24"/>
          <w:szCs w:val="24"/>
        </w:rPr>
        <w:t>年</w:t>
      </w:r>
      <w:r>
        <w:rPr>
          <w:rFonts w:hint="eastAsia" w:ascii="宋体" w:hAnsi="宋体" w:eastAsia="宋体" w:cs="Times New Roman"/>
          <w:kern w:val="0"/>
          <w:sz w:val="24"/>
          <w:szCs w:val="24"/>
        </w:rPr>
        <w:t>8</w:t>
      </w:r>
      <w:r>
        <w:rPr>
          <w:rFonts w:ascii="宋体" w:hAnsi="宋体" w:eastAsia="宋体" w:cs="Times New Roman"/>
          <w:kern w:val="0"/>
          <w:sz w:val="24"/>
          <w:szCs w:val="24"/>
        </w:rPr>
        <w:t>月</w:t>
      </w:r>
      <w:r>
        <w:rPr>
          <w:rFonts w:hint="eastAsia" w:ascii="宋体" w:hAnsi="宋体" w:eastAsia="宋体" w:cs="Times New Roman"/>
          <w:kern w:val="0"/>
          <w:sz w:val="24"/>
          <w:szCs w:val="24"/>
        </w:rPr>
        <w:t>7</w:t>
      </w:r>
      <w:r>
        <w:rPr>
          <w:rFonts w:ascii="宋体" w:hAnsi="宋体" w:eastAsia="宋体" w:cs="Times New Roman"/>
          <w:kern w:val="0"/>
          <w:sz w:val="24"/>
          <w:szCs w:val="24"/>
        </w:rPr>
        <w:t>日</w:t>
      </w:r>
      <w:r>
        <w:rPr>
          <w:rFonts w:ascii="Times New Roman" w:hAnsi="Times New Roman" w:eastAsia="宋体" w:cs="Times New Roman"/>
          <w:sz w:val="24"/>
          <w:szCs w:val="24"/>
        </w:rPr>
        <w:t>。</w:t>
      </w: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以上内容摘自评估报告正文，欲了解本评估项目的详细情况并正确理解评估结论，应当阅读评估报告正文。</w:t>
      </w:r>
      <w:bookmarkEnd w:id="9"/>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pStyle w:val="2"/>
        <w:ind w:firstLine="422"/>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p>
    <w:p>
      <w:pPr>
        <w:spacing w:line="360" w:lineRule="exact"/>
        <w:jc w:val="center"/>
        <w:outlineLvl w:val="0"/>
        <w:rPr>
          <w:rFonts w:ascii="Times New Roman" w:hAnsi="Times New Roman" w:eastAsia="隶书" w:cs="Times New Roman"/>
          <w:b/>
          <w:color w:val="000000"/>
          <w:spacing w:val="24"/>
          <w:sz w:val="30"/>
          <w:szCs w:val="30"/>
        </w:rPr>
      </w:pPr>
      <w:r>
        <w:rPr>
          <w:rFonts w:hint="eastAsia" w:ascii="Times New Roman" w:hAnsi="Times New Roman" w:eastAsia="隶书" w:cs="Times New Roman"/>
          <w:b/>
          <w:color w:val="000000"/>
          <w:spacing w:val="24"/>
          <w:sz w:val="30"/>
          <w:szCs w:val="30"/>
        </w:rPr>
        <w:t>山东水云间置业发展有限公司</w:t>
      </w:r>
    </w:p>
    <w:p>
      <w:pPr>
        <w:spacing w:line="360" w:lineRule="exact"/>
        <w:jc w:val="center"/>
        <w:outlineLvl w:val="0"/>
        <w:rPr>
          <w:rFonts w:ascii="Times New Roman" w:hAnsi="Times New Roman" w:eastAsia="隶书" w:cs="Times New Roman"/>
          <w:b/>
          <w:spacing w:val="24"/>
          <w:sz w:val="44"/>
          <w:szCs w:val="44"/>
        </w:rPr>
      </w:pPr>
      <w:r>
        <w:rPr>
          <w:rFonts w:hint="eastAsia" w:ascii="Times New Roman" w:hAnsi="Times New Roman" w:eastAsia="隶书" w:cs="Times New Roman"/>
          <w:b/>
          <w:color w:val="000000"/>
          <w:spacing w:val="24"/>
          <w:sz w:val="30"/>
          <w:szCs w:val="30"/>
        </w:rPr>
        <w:t>破产清算涉及的相关资产</w:t>
      </w:r>
    </w:p>
    <w:p>
      <w:pPr>
        <w:keepNext/>
        <w:keepLines/>
        <w:spacing w:before="260" w:after="260" w:line="560" w:lineRule="exact"/>
        <w:jc w:val="center"/>
        <w:outlineLvl w:val="1"/>
        <w:rPr>
          <w:rFonts w:ascii="隶书" w:hAnsi="Times New Roman" w:eastAsia="隶书" w:cs="Times New Roman"/>
          <w:b/>
          <w:sz w:val="72"/>
          <w:szCs w:val="72"/>
        </w:rPr>
      </w:pPr>
      <w:bookmarkStart w:id="10" w:name="_Toc497119840"/>
      <w:r>
        <w:rPr>
          <w:rFonts w:hint="eastAsia" w:ascii="隶书" w:hAnsi="Times New Roman" w:eastAsia="隶书" w:cs="Times New Roman"/>
          <w:b/>
          <w:sz w:val="72"/>
          <w:szCs w:val="72"/>
        </w:rPr>
        <w:t>评估报告</w:t>
      </w:r>
      <w:bookmarkEnd w:id="10"/>
    </w:p>
    <w:p>
      <w:pPr>
        <w:autoSpaceDE w:val="0"/>
        <w:autoSpaceDN w:val="0"/>
        <w:adjustRightInd w:val="0"/>
        <w:spacing w:line="240" w:lineRule="exact"/>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鲁坤</w:t>
      </w:r>
      <w:r>
        <w:rPr>
          <w:rFonts w:ascii="仿宋" w:hAnsi="仿宋" w:eastAsia="仿宋" w:cs="Times New Roman"/>
          <w:color w:val="000000"/>
          <w:sz w:val="24"/>
          <w:szCs w:val="24"/>
        </w:rPr>
        <w:t>评报字[201</w:t>
      </w:r>
      <w:r>
        <w:rPr>
          <w:rFonts w:hint="eastAsia" w:ascii="仿宋" w:hAnsi="仿宋" w:eastAsia="仿宋" w:cs="Times New Roman"/>
          <w:color w:val="000000"/>
          <w:sz w:val="24"/>
          <w:szCs w:val="24"/>
        </w:rPr>
        <w:t>9</w:t>
      </w:r>
      <w:r>
        <w:rPr>
          <w:rFonts w:ascii="仿宋" w:hAnsi="仿宋" w:eastAsia="仿宋" w:cs="Times New Roman"/>
          <w:color w:val="000000"/>
          <w:sz w:val="24"/>
          <w:szCs w:val="24"/>
        </w:rPr>
        <w:t>]</w:t>
      </w:r>
      <w:r>
        <w:rPr>
          <w:rFonts w:hint="eastAsia" w:ascii="仿宋" w:hAnsi="仿宋" w:eastAsia="仿宋" w:cs="Times New Roman"/>
          <w:color w:val="000000"/>
          <w:sz w:val="24"/>
          <w:szCs w:val="24"/>
        </w:rPr>
        <w:t>第</w:t>
      </w:r>
      <w:r>
        <w:rPr>
          <w:rFonts w:hint="eastAsia" w:ascii="仿宋" w:hAnsi="仿宋" w:eastAsia="仿宋" w:cs="Times New Roman"/>
          <w:color w:val="000000"/>
          <w:sz w:val="24"/>
          <w:szCs w:val="24"/>
          <w:lang w:val="en-US" w:eastAsia="zh-CN"/>
        </w:rPr>
        <w:t>32</w:t>
      </w:r>
      <w:r>
        <w:rPr>
          <w:rFonts w:ascii="仿宋" w:hAnsi="仿宋" w:eastAsia="仿宋" w:cs="Times New Roman"/>
          <w:color w:val="000000"/>
          <w:sz w:val="24"/>
          <w:szCs w:val="24"/>
        </w:rPr>
        <w:t>号</w:t>
      </w:r>
    </w:p>
    <w:p>
      <w:pPr>
        <w:spacing w:line="400" w:lineRule="exact"/>
        <w:jc w:val="center"/>
        <w:rPr>
          <w:rFonts w:ascii="Times New Roman" w:hAnsi="Times New Roman" w:eastAsia="宋体" w:cs="Times New Roman"/>
          <w:szCs w:val="21"/>
        </w:rPr>
      </w:pPr>
    </w:p>
    <w:p>
      <w:pPr>
        <w:autoSpaceDE w:val="0"/>
        <w:autoSpaceDN w:val="0"/>
        <w:adjustRightInd w:val="0"/>
        <w:spacing w:line="440" w:lineRule="exact"/>
        <w:rPr>
          <w:rFonts w:ascii="Times New Roman" w:hAnsi="Times New Roman" w:eastAsia="宋体" w:cs="Times New Roman"/>
          <w:b/>
          <w:bCs/>
          <w:smallCaps/>
          <w:sz w:val="24"/>
          <w:szCs w:val="24"/>
        </w:rPr>
      </w:pPr>
      <w:r>
        <w:rPr>
          <w:rFonts w:hint="eastAsia" w:ascii="Times New Roman" w:hAnsi="Times New Roman" w:eastAsia="宋体" w:cs="Times New Roman"/>
          <w:b/>
          <w:bCs/>
          <w:smallCaps/>
          <w:sz w:val="24"/>
          <w:szCs w:val="24"/>
        </w:rPr>
        <w:t>山东水云间置业发展有限公司管理人</w:t>
      </w:r>
      <w:r>
        <w:rPr>
          <w:rFonts w:ascii="Times New Roman" w:hAnsi="Times New Roman" w:eastAsia="宋体" w:cs="Times New Roman"/>
          <w:b/>
          <w:bCs/>
          <w:smallCaps/>
          <w:sz w:val="24"/>
          <w:szCs w:val="24"/>
        </w:rPr>
        <w:t>：</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山东坤元资产评估房地产土地估价有限公司接受</w:t>
      </w:r>
      <w:r>
        <w:rPr>
          <w:rFonts w:hint="eastAsia" w:ascii="Times New Roman" w:hAnsi="Times New Roman" w:eastAsia="宋体" w:cs="Times New Roman"/>
          <w:bCs/>
          <w:smallCaps/>
          <w:sz w:val="24"/>
          <w:szCs w:val="24"/>
        </w:rPr>
        <w:t>山东水云间置业发展有限公司管理人</w:t>
      </w:r>
      <w:r>
        <w:rPr>
          <w:rFonts w:hint="eastAsia" w:ascii="Times New Roman" w:hAnsi="Times New Roman" w:eastAsia="宋体" w:cs="Times New Roman"/>
          <w:sz w:val="24"/>
          <w:szCs w:val="24"/>
        </w:rPr>
        <w:t>的委托，遵循有关法律、行政法规和资产评估准则的相关规定，恪守独立、客观、公正原则，采用成本法，依照必要的评估程序，对山东水云间置业发展有限公司破产清算涉及的相关资产在2019年7月23日的清算价值进行了评估</w:t>
      </w:r>
      <w:r>
        <w:rPr>
          <w:rFonts w:ascii="Times New Roman" w:hAnsi="Times New Roman" w:eastAsia="宋体" w:cs="Times New Roman"/>
          <w:sz w:val="24"/>
          <w:szCs w:val="24"/>
        </w:rPr>
        <w:t>。现将资产评估情况报告如下：</w:t>
      </w:r>
    </w:p>
    <w:p>
      <w:pPr>
        <w:keepNext/>
        <w:keepLines/>
        <w:spacing w:before="120" w:after="120" w:line="440" w:lineRule="exact"/>
        <w:ind w:firstLine="471" w:firstLineChars="196"/>
        <w:outlineLvl w:val="1"/>
        <w:rPr>
          <w:rFonts w:ascii="Times New Roman" w:hAnsi="Times New Roman" w:eastAsia="宋体" w:cs="Times New Roman"/>
          <w:b/>
          <w:sz w:val="24"/>
          <w:szCs w:val="24"/>
        </w:rPr>
      </w:pPr>
      <w:bookmarkStart w:id="11" w:name="_Toc497119841"/>
      <w:r>
        <w:rPr>
          <w:rFonts w:ascii="Times New Roman" w:hAnsi="宋体" w:eastAsia="宋体" w:cs="Times New Roman"/>
          <w:b/>
          <w:bCs/>
          <w:sz w:val="24"/>
          <w:szCs w:val="24"/>
        </w:rPr>
        <w:t>一、</w:t>
      </w:r>
      <w:r>
        <w:rPr>
          <w:rFonts w:hint="eastAsia" w:ascii="Times New Roman" w:hAnsi="Times New Roman" w:eastAsia="宋体" w:cs="Times New Roman"/>
          <w:b/>
          <w:sz w:val="24"/>
          <w:szCs w:val="24"/>
        </w:rPr>
        <w:t>委托人、产权持有人和资产评估委托合同约定的其他资产评估报告使用人</w:t>
      </w:r>
      <w:bookmarkEnd w:id="11"/>
    </w:p>
    <w:p>
      <w:pPr>
        <w:autoSpaceDE w:val="0"/>
        <w:autoSpaceDN w:val="0"/>
        <w:adjustRightInd w:val="0"/>
        <w:spacing w:line="440" w:lineRule="exact"/>
        <w:ind w:right="-21" w:rightChars="-10" w:firstLine="482" w:firstLineChars="200"/>
        <w:rPr>
          <w:rFonts w:ascii="Times New Roman" w:hAnsi="Times New Roman" w:eastAsia="宋体" w:cs="Times New Roman"/>
          <w:b/>
          <w:sz w:val="24"/>
          <w:szCs w:val="24"/>
        </w:rPr>
      </w:pPr>
      <w:bookmarkStart w:id="12" w:name="_Toc495516773"/>
      <w:r>
        <w:rPr>
          <w:rFonts w:hint="eastAsia" w:ascii="Times New Roman" w:hAnsi="Times New Roman" w:eastAsia="宋体" w:cs="Times New Roman"/>
          <w:b/>
          <w:sz w:val="24"/>
          <w:szCs w:val="24"/>
        </w:rPr>
        <w:t>（一）委托人：山东水云间置业发展有限公司管理人。</w:t>
      </w:r>
      <w:bookmarkEnd w:id="12"/>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2017年12月14日，山东省庆云县人民法院根据山东水云间置业发展有限公司清算组的申请，裁定受理山东水云间置业发展有限公司破产清算一案，并指定山东华信产权流动破产清算事务有限公司担任山东水云间置业发展有限公司管理人。</w:t>
      </w:r>
    </w:p>
    <w:p>
      <w:pPr>
        <w:autoSpaceDE w:val="0"/>
        <w:autoSpaceDN w:val="0"/>
        <w:adjustRightInd w:val="0"/>
        <w:spacing w:line="440" w:lineRule="exact"/>
        <w:ind w:right="-21" w:rightChars="-10" w:firstLine="482" w:firstLineChars="200"/>
        <w:rPr>
          <w:rFonts w:ascii="Times New Roman" w:hAnsi="Times New Roman" w:eastAsia="宋体" w:cs="Times New Roman"/>
          <w:b/>
          <w:sz w:val="24"/>
          <w:szCs w:val="24"/>
        </w:rPr>
      </w:pPr>
      <w:bookmarkStart w:id="13" w:name="_Toc495516774"/>
      <w:r>
        <w:rPr>
          <w:rFonts w:hint="eastAsia" w:ascii="Times New Roman" w:hAnsi="Times New Roman" w:eastAsia="宋体" w:cs="Times New Roman"/>
          <w:b/>
          <w:sz w:val="24"/>
          <w:szCs w:val="24"/>
        </w:rPr>
        <w:t>（二）产权持有人概况</w:t>
      </w:r>
      <w:bookmarkEnd w:id="13"/>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一）企业名称、类型与组织形式</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产权持有人于评估基准日的《营业执照》载明的主要登记事项如下：</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统一社会信用代码：91371423695435050G</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名称：山东水云间置业发展有限公司（简称水云间置业）</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类型：有限责任公司(自然人投资或控股)</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法定代表人：赵德才</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注册资本：壹仟万元整</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成立日期：1998年04月14日</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营业期限：1998年04月14日至2018年04月13日</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住所：山东省德州市庆云县迎宾路南侧（迎宾花园15栋4单元102）</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经营范围：房地产开发、商品房销售；家居装饰；房地产信息咨询服务(依法须经批准的项目，经相关部门批准后方可开展经营活动)。</w:t>
      </w:r>
    </w:p>
    <w:p>
      <w:pPr>
        <w:spacing w:line="440" w:lineRule="exact"/>
        <w:ind w:firstLine="482" w:firstLineChars="200"/>
        <w:rPr>
          <w:rFonts w:ascii="宋体" w:hAnsi="宋体" w:eastAsia="宋体"/>
          <w:sz w:val="24"/>
          <w:szCs w:val="24"/>
          <w:lang w:val="zh-CN"/>
        </w:rPr>
      </w:pPr>
      <w:r>
        <w:rPr>
          <w:rFonts w:hint="eastAsia" w:ascii="宋体" w:hAnsi="宋体" w:eastAsia="宋体"/>
          <w:sz w:val="24"/>
          <w:szCs w:val="24"/>
        </w:rPr>
        <w:t>二</w:t>
      </w:r>
      <w:r>
        <w:rPr>
          <w:rFonts w:hint="eastAsia" w:ascii="宋体" w:hAnsi="宋体" w:eastAsia="宋体"/>
          <w:sz w:val="24"/>
          <w:szCs w:val="24"/>
          <w:lang w:val="zh-CN"/>
        </w:rPr>
        <w:t>)产权持有人基准日的</w:t>
      </w:r>
      <w:r>
        <w:rPr>
          <w:rFonts w:ascii="宋体" w:hAnsi="宋体" w:eastAsia="宋体"/>
          <w:sz w:val="24"/>
          <w:szCs w:val="24"/>
          <w:lang w:val="zh-CN"/>
        </w:rPr>
        <w:t>资产</w:t>
      </w:r>
      <w:r>
        <w:rPr>
          <w:rFonts w:hint="eastAsia" w:ascii="宋体" w:hAnsi="宋体" w:eastAsia="宋体"/>
          <w:sz w:val="24"/>
          <w:szCs w:val="24"/>
          <w:lang w:val="zh-CN"/>
        </w:rPr>
        <w:t>状况</w:t>
      </w:r>
      <w:r>
        <w:rPr>
          <w:rFonts w:ascii="宋体" w:hAnsi="宋体" w:eastAsia="宋体"/>
          <w:sz w:val="24"/>
          <w:szCs w:val="24"/>
          <w:lang w:val="zh-CN"/>
        </w:rPr>
        <w:t>见下表</w:t>
      </w:r>
      <w:r>
        <w:rPr>
          <w:rFonts w:hint="eastAsia" w:ascii="宋体" w:hAnsi="宋体" w:eastAsia="宋体"/>
          <w:sz w:val="24"/>
          <w:szCs w:val="24"/>
          <w:lang w:val="zh-CN"/>
        </w:rPr>
        <w:t>，委托人未提供资产账面价值</w:t>
      </w:r>
      <w:r>
        <w:rPr>
          <w:rFonts w:ascii="宋体" w:hAnsi="宋体" w:eastAsia="宋体"/>
          <w:sz w:val="24"/>
          <w:szCs w:val="24"/>
          <w:lang w:val="zh-CN"/>
        </w:rPr>
        <w:t>：</w:t>
      </w:r>
    </w:p>
    <w:p>
      <w:pPr>
        <w:autoSpaceDE w:val="0"/>
        <w:autoSpaceDN w:val="0"/>
        <w:adjustRightInd w:val="0"/>
        <w:spacing w:line="400" w:lineRule="atLeast"/>
        <w:ind w:right="-436" w:firstLine="6697" w:firstLineChars="3700"/>
        <w:jc w:val="left"/>
        <w:rPr>
          <w:rFonts w:ascii="宋体" w:hAnsi="宋体" w:eastAsia="宋体"/>
          <w:sz w:val="18"/>
          <w:szCs w:val="18"/>
          <w:lang w:val="zh-CN"/>
        </w:rPr>
      </w:pPr>
    </w:p>
    <w:tbl>
      <w:tblPr>
        <w:tblStyle w:val="37"/>
        <w:tblW w:w="9275"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4072"/>
        <w:gridCol w:w="400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blHeader/>
        </w:trPr>
        <w:tc>
          <w:tcPr>
            <w:tcW w:w="1198" w:type="dxa"/>
            <w:vAlign w:val="bottom"/>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4072"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4005"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项目内容</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98" w:type="dxa"/>
            <w:vAlign w:val="bottom"/>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4072" w:type="dxa"/>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流动资产</w:t>
            </w:r>
          </w:p>
        </w:tc>
        <w:tc>
          <w:tcPr>
            <w:tcW w:w="4005"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存货-开发产品·</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98" w:type="dxa"/>
            <w:vAlign w:val="bottom"/>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4072" w:type="dxa"/>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在建工程</w:t>
            </w:r>
          </w:p>
        </w:tc>
        <w:tc>
          <w:tcPr>
            <w:tcW w:w="4005"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在建别墅</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98" w:type="dxa"/>
            <w:vAlign w:val="bottom"/>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4072" w:type="dxa"/>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w:t>
            </w:r>
          </w:p>
        </w:tc>
        <w:tc>
          <w:tcPr>
            <w:tcW w:w="4005"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土地使用权</w:t>
            </w:r>
          </w:p>
        </w:tc>
      </w:tr>
    </w:tbl>
    <w:p>
      <w:pPr>
        <w:autoSpaceDE w:val="0"/>
        <w:autoSpaceDN w:val="0"/>
        <w:adjustRightInd w:val="0"/>
        <w:spacing w:line="440" w:lineRule="exact"/>
        <w:ind w:right="-21" w:rightChars="-10"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（三）委托人与产权持有人的关系</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产权持有人山东水云间置业发展有限公司拟破产清算，委托人为山东水云间置业发展有限公司管理人。</w:t>
      </w:r>
    </w:p>
    <w:p>
      <w:pPr>
        <w:autoSpaceDE w:val="0"/>
        <w:autoSpaceDN w:val="0"/>
        <w:adjustRightInd w:val="0"/>
        <w:spacing w:line="440" w:lineRule="exact"/>
        <w:ind w:right="-21" w:rightChars="-10"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（四</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资产</w:t>
      </w:r>
      <w:r>
        <w:rPr>
          <w:rFonts w:ascii="Times New Roman" w:hAnsi="Times New Roman" w:eastAsia="宋体" w:cs="Times New Roman"/>
          <w:b/>
          <w:sz w:val="24"/>
          <w:szCs w:val="24"/>
        </w:rPr>
        <w:t>评估</w:t>
      </w:r>
      <w:r>
        <w:rPr>
          <w:rFonts w:hint="eastAsia" w:ascii="Times New Roman" w:hAnsi="Times New Roman" w:eastAsia="宋体" w:cs="Times New Roman"/>
          <w:b/>
          <w:sz w:val="24"/>
          <w:szCs w:val="24"/>
        </w:rPr>
        <w:t>委托合同</w:t>
      </w:r>
      <w:r>
        <w:rPr>
          <w:rFonts w:ascii="Times New Roman" w:hAnsi="Times New Roman" w:eastAsia="宋体" w:cs="Times New Roman"/>
          <w:b/>
          <w:sz w:val="24"/>
          <w:szCs w:val="24"/>
        </w:rPr>
        <w:t>约定的其他</w:t>
      </w:r>
      <w:r>
        <w:rPr>
          <w:rFonts w:hint="eastAsia" w:ascii="Times New Roman" w:hAnsi="Times New Roman" w:eastAsia="宋体" w:cs="Times New Roman"/>
          <w:b/>
          <w:sz w:val="24"/>
          <w:szCs w:val="24"/>
        </w:rPr>
        <w:t>资产评估</w:t>
      </w:r>
      <w:r>
        <w:rPr>
          <w:rFonts w:ascii="Times New Roman" w:hAnsi="Times New Roman" w:eastAsia="宋体" w:cs="Times New Roman"/>
          <w:b/>
          <w:sz w:val="24"/>
          <w:szCs w:val="24"/>
        </w:rPr>
        <w:t>报告使用</w:t>
      </w:r>
      <w:r>
        <w:rPr>
          <w:rFonts w:hint="eastAsia" w:ascii="Times New Roman" w:hAnsi="Times New Roman" w:eastAsia="宋体" w:cs="Times New Roman"/>
          <w:b/>
          <w:sz w:val="24"/>
          <w:szCs w:val="24"/>
        </w:rPr>
        <w:t>人概况</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本评估报告使用者为委托人和法律、法规规定的评估报告使用者，其他任何机构和个人不能成为资产评估报告使用人。</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委托人和其他报告使用者应当合理理解并恰当使用价值评估结论。</w:t>
      </w:r>
    </w:p>
    <w:p>
      <w:pPr>
        <w:keepNext/>
        <w:keepLines/>
        <w:spacing w:before="120" w:after="120" w:line="440" w:lineRule="exact"/>
        <w:ind w:firstLine="482" w:firstLineChars="200"/>
        <w:outlineLvl w:val="1"/>
        <w:rPr>
          <w:rFonts w:ascii="Times New Roman" w:hAnsi="宋体" w:eastAsia="宋体" w:cs="Times New Roman"/>
          <w:b/>
          <w:bCs/>
          <w:sz w:val="24"/>
          <w:szCs w:val="24"/>
        </w:rPr>
      </w:pPr>
      <w:bookmarkStart w:id="14" w:name="_Toc497119842"/>
      <w:r>
        <w:rPr>
          <w:rFonts w:ascii="Times New Roman" w:hAnsi="宋体" w:eastAsia="宋体" w:cs="Times New Roman"/>
          <w:b/>
          <w:bCs/>
          <w:sz w:val="24"/>
          <w:szCs w:val="24"/>
        </w:rPr>
        <w:t>二、评估目的</w:t>
      </w:r>
      <w:bookmarkEnd w:id="14"/>
    </w:p>
    <w:p>
      <w:pPr>
        <w:autoSpaceDE w:val="0"/>
        <w:autoSpaceDN w:val="0"/>
        <w:adjustRightInd w:val="0"/>
        <w:spacing w:line="440" w:lineRule="exact"/>
        <w:ind w:firstLine="482" w:firstLineChars="200"/>
        <w:rPr>
          <w:rFonts w:ascii="Times New Roman" w:hAnsi="Times New Roman" w:eastAsia="宋体" w:cs="Times New Roman"/>
          <w:sz w:val="24"/>
          <w:szCs w:val="24"/>
        </w:rPr>
      </w:pPr>
      <w:bookmarkStart w:id="15" w:name="_Toc497119843"/>
      <w:r>
        <w:rPr>
          <w:rFonts w:hint="eastAsia" w:ascii="Times New Roman" w:hAnsi="Times New Roman" w:eastAsia="宋体" w:cs="Times New Roman"/>
          <w:sz w:val="24"/>
          <w:szCs w:val="24"/>
        </w:rPr>
        <w:t>根据山东省庆云县人民法院裁定受理山东水云间置业发展有限公司的破产清算申请(〔2017〕鲁1423破3号民事裁定书)，受山东水云间置业发展有限公司管理人委托，对山东水云间置业发展有限公司破产清算涉及的相关资产进行评估，以确定其在评估基准日的清算价值，为山东水云间置业发展有限公司</w:t>
      </w:r>
      <w:r>
        <w:rPr>
          <w:rFonts w:hint="eastAsia" w:ascii="Times New Roman" w:hAnsi="Times New Roman" w:eastAsia="宋体" w:cs="Times New Roman"/>
          <w:bCs/>
          <w:smallCaps/>
          <w:sz w:val="24"/>
          <w:szCs w:val="24"/>
        </w:rPr>
        <w:t>财产处置</w:t>
      </w:r>
      <w:r>
        <w:rPr>
          <w:rFonts w:hint="eastAsia" w:ascii="Times New Roman" w:hAnsi="Times New Roman" w:eastAsia="宋体" w:cs="Times New Roman"/>
          <w:sz w:val="24"/>
          <w:szCs w:val="24"/>
        </w:rPr>
        <w:t>提供价值参考依据。</w:t>
      </w:r>
    </w:p>
    <w:p>
      <w:pPr>
        <w:keepNext/>
        <w:keepLines/>
        <w:spacing w:before="120" w:after="120" w:line="440" w:lineRule="exact"/>
        <w:ind w:firstLine="482" w:firstLineChars="200"/>
        <w:outlineLvl w:val="1"/>
        <w:rPr>
          <w:rFonts w:ascii="Times New Roman" w:hAnsi="宋体" w:eastAsia="宋体" w:cs="Times New Roman"/>
          <w:b/>
          <w:bCs/>
          <w:sz w:val="24"/>
          <w:szCs w:val="24"/>
        </w:rPr>
      </w:pPr>
      <w:r>
        <w:rPr>
          <w:rFonts w:ascii="Times New Roman" w:hAnsi="宋体" w:eastAsia="宋体" w:cs="Times New Roman"/>
          <w:b/>
          <w:bCs/>
          <w:sz w:val="24"/>
          <w:szCs w:val="24"/>
        </w:rPr>
        <w:t>三、评估对象和评估范围</w:t>
      </w:r>
      <w:bookmarkEnd w:id="15"/>
    </w:p>
    <w:p>
      <w:pPr>
        <w:autoSpaceDE w:val="0"/>
        <w:autoSpaceDN w:val="0"/>
        <w:adjustRightInd w:val="0"/>
        <w:spacing w:line="440" w:lineRule="exact"/>
        <w:ind w:firstLine="482" w:firstLineChars="200"/>
        <w:rPr>
          <w:rFonts w:ascii="Times New Roman" w:hAnsi="Times New Roman" w:eastAsia="宋体" w:cs="Times New Roman"/>
          <w:sz w:val="24"/>
          <w:szCs w:val="24"/>
        </w:rPr>
      </w:pPr>
      <w:bookmarkStart w:id="16" w:name="_Toc497119844"/>
      <w:r>
        <w:rPr>
          <w:rFonts w:hint="eastAsia" w:ascii="Times New Roman" w:hAnsi="Times New Roman" w:eastAsia="宋体" w:cs="Times New Roman"/>
          <w:sz w:val="24"/>
          <w:szCs w:val="24"/>
        </w:rPr>
        <w:t>评估对象为山东水云间置业发展有限公司破产清算涉及</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相关资产。</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评估范围为山东水云间置业发展有限公司管理人申报评估的资产，包括：土地使用权、住宅、在建工程及配套设施等。主要为土地使用权一宗，面积为84199.74平方米（约合126.3亩，地上建有已竣工商品房及在建工程，剩余未开发面积为42,668.89平方米（委托人申报数据）），性质为住宅用地；商品房六栋及车库、储藏室，建筑面积为29697.64平方米；在建工程13栋，建筑面积约为13534平方米；及相关配套设施。具体范围以评估申报表为准。</w:t>
      </w:r>
    </w:p>
    <w:p>
      <w:pPr>
        <w:keepNext/>
        <w:keepLines/>
        <w:spacing w:before="120" w:after="120" w:line="440" w:lineRule="exact"/>
        <w:ind w:firstLine="482" w:firstLineChars="200"/>
        <w:outlineLvl w:val="1"/>
        <w:rPr>
          <w:rFonts w:ascii="Times New Roman" w:hAnsi="Times New Roman" w:eastAsia="宋体" w:cs="Times New Roman"/>
          <w:b/>
          <w:sz w:val="24"/>
          <w:szCs w:val="24"/>
        </w:rPr>
      </w:pPr>
      <w:r>
        <w:rPr>
          <w:rFonts w:ascii="Times New Roman" w:hAnsi="宋体" w:eastAsia="宋体" w:cs="Times New Roman"/>
          <w:b/>
          <w:sz w:val="24"/>
          <w:szCs w:val="24"/>
        </w:rPr>
        <w:t>四、价值类型</w:t>
      </w:r>
      <w:bookmarkEnd w:id="16"/>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w:t>
      </w:r>
      <w:r>
        <w:rPr>
          <w:rFonts w:ascii="Times New Roman" w:hAnsi="Times New Roman" w:eastAsia="宋体" w:cs="Times New Roman"/>
          <w:sz w:val="24"/>
          <w:szCs w:val="24"/>
        </w:rPr>
        <w:t>价值类型及其选取</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资产评估价值类型包括市场价值和市场价值以外的价值类型。</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经评估人员与委托人充分沟通后，根据本评估项目的评估目的、评估对象的具体状况及评估资料的收集情况等相关条件，选取适宜的价值类型，并与委托人就本次评估的价值类型达成了一致意见，最终选定清算价值作为本评估报告的评估结论的价值类型。</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（二）清算</w:t>
      </w:r>
      <w:r>
        <w:rPr>
          <w:rFonts w:ascii="Times New Roman" w:hAnsi="Times New Roman" w:eastAsia="宋体" w:cs="Times New Roman"/>
          <w:sz w:val="24"/>
          <w:szCs w:val="24"/>
        </w:rPr>
        <w:t>价值的定义</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本评估报告书所称</w:t>
      </w:r>
      <w:r>
        <w:rPr>
          <w:rFonts w:ascii="Times New Roman" w:hAnsi="Times New Roman" w:eastAsia="宋体" w:cs="Times New Roman"/>
          <w:sz w:val="24"/>
          <w:szCs w:val="24"/>
        </w:rPr>
        <w:t>清算价值是指在评估对象处于被迫出售、快速变现等非正常市场条件下的价值估计数额</w:t>
      </w:r>
      <w:r>
        <w:rPr>
          <w:rFonts w:hint="eastAsia" w:ascii="Times New Roman" w:hAnsi="Times New Roman" w:eastAsia="宋体" w:cs="Times New Roman"/>
          <w:sz w:val="24"/>
          <w:szCs w:val="24"/>
        </w:rPr>
        <w:t>。</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（三）选择价值类型的理由</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山东水云间置业发展有限公司管理人因山东水云间置业发展有限公司破产清算事宜需进行资产评估，</w:t>
      </w:r>
      <w:r>
        <w:rPr>
          <w:rFonts w:ascii="Times New Roman" w:hAnsi="Times New Roman" w:eastAsia="宋体" w:cs="Times New Roman"/>
          <w:sz w:val="24"/>
          <w:szCs w:val="24"/>
        </w:rPr>
        <w:t>评估对象面临被迫出售、快速变现，</w:t>
      </w:r>
      <w:r>
        <w:rPr>
          <w:rFonts w:hint="eastAsia" w:ascii="Times New Roman" w:hAnsi="Times New Roman" w:eastAsia="宋体" w:cs="Times New Roman"/>
          <w:sz w:val="24"/>
          <w:szCs w:val="24"/>
        </w:rPr>
        <w:t>以确定其在评估基准日的清算价值，为处置破产财产提供参考依据。</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本次评估的</w:t>
      </w:r>
      <w:r>
        <w:rPr>
          <w:rFonts w:hint="eastAsia" w:ascii="Times New Roman" w:hAnsi="Times New Roman" w:eastAsia="宋体" w:cs="Times New Roman"/>
          <w:sz w:val="24"/>
          <w:szCs w:val="24"/>
        </w:rPr>
        <w:t>资产</w:t>
      </w:r>
      <w:r>
        <w:rPr>
          <w:rFonts w:ascii="Times New Roman" w:hAnsi="Times New Roman" w:eastAsia="宋体" w:cs="Times New Roman"/>
          <w:sz w:val="24"/>
          <w:szCs w:val="24"/>
        </w:rPr>
        <w:t>价值类型为</w:t>
      </w:r>
      <w:r>
        <w:rPr>
          <w:rFonts w:hint="eastAsia" w:ascii="Times New Roman" w:hAnsi="Times New Roman" w:eastAsia="宋体" w:cs="Times New Roman"/>
          <w:sz w:val="24"/>
          <w:szCs w:val="24"/>
        </w:rPr>
        <w:t>清算价值</w:t>
      </w:r>
      <w:r>
        <w:rPr>
          <w:rFonts w:ascii="Times New Roman" w:hAnsi="Times New Roman" w:eastAsia="宋体" w:cs="Times New Roman"/>
          <w:sz w:val="24"/>
          <w:szCs w:val="24"/>
        </w:rPr>
        <w:t>。</w:t>
      </w:r>
    </w:p>
    <w:p>
      <w:pPr>
        <w:keepNext/>
        <w:keepLines/>
        <w:spacing w:before="120" w:after="120" w:line="440" w:lineRule="exact"/>
        <w:ind w:firstLine="482" w:firstLineChars="200"/>
        <w:outlineLvl w:val="1"/>
        <w:rPr>
          <w:rFonts w:ascii="Times New Roman" w:hAnsi="Times New Roman" w:eastAsia="宋体" w:cs="Times New Roman"/>
          <w:b/>
          <w:sz w:val="24"/>
          <w:szCs w:val="24"/>
        </w:rPr>
      </w:pPr>
      <w:bookmarkStart w:id="17" w:name="_Toc497119845"/>
      <w:r>
        <w:rPr>
          <w:rFonts w:ascii="Times New Roman" w:hAnsi="宋体" w:eastAsia="宋体" w:cs="Times New Roman"/>
          <w:b/>
          <w:sz w:val="24"/>
          <w:szCs w:val="24"/>
        </w:rPr>
        <w:t>五、评估基准日</w:t>
      </w:r>
      <w:bookmarkEnd w:id="17"/>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本次评估</w:t>
      </w:r>
      <w:r>
        <w:rPr>
          <w:rFonts w:ascii="Times New Roman" w:hAnsi="Times New Roman" w:eastAsia="宋体" w:cs="Times New Roman"/>
          <w:sz w:val="24"/>
          <w:szCs w:val="24"/>
        </w:rPr>
        <w:t>的评估基准日是</w:t>
      </w:r>
      <w:r>
        <w:rPr>
          <w:rFonts w:hint="eastAsia" w:ascii="Times New Roman" w:hAnsi="Times New Roman" w:eastAsia="宋体" w:cs="Times New Roman"/>
          <w:sz w:val="24"/>
          <w:szCs w:val="24"/>
        </w:rPr>
        <w:t>2019年7月23日</w:t>
      </w:r>
      <w:r>
        <w:rPr>
          <w:rFonts w:ascii="Times New Roman" w:hAnsi="Times New Roman" w:eastAsia="宋体" w:cs="Times New Roman"/>
          <w:sz w:val="24"/>
          <w:szCs w:val="24"/>
        </w:rPr>
        <w:t>。</w:t>
      </w:r>
      <w:r>
        <w:rPr>
          <w:rFonts w:hint="eastAsia" w:ascii="Times New Roman" w:hAnsi="Times New Roman" w:eastAsia="宋体" w:cs="Times New Roman"/>
          <w:sz w:val="24"/>
          <w:szCs w:val="24"/>
        </w:rPr>
        <w:t>该评估基准日由委托人选定并与本次评估的《资产评估委托合同》载明的评估基准日一致。</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在与</w:t>
      </w:r>
      <w:r>
        <w:rPr>
          <w:rFonts w:hint="eastAsia" w:ascii="Times New Roman" w:hAnsi="Times New Roman" w:eastAsia="宋体" w:cs="Times New Roman"/>
          <w:sz w:val="24"/>
          <w:szCs w:val="24"/>
        </w:rPr>
        <w:t>资产</w:t>
      </w:r>
      <w:r>
        <w:rPr>
          <w:rFonts w:ascii="Times New Roman" w:hAnsi="Times New Roman" w:eastAsia="宋体" w:cs="Times New Roman"/>
          <w:sz w:val="24"/>
          <w:szCs w:val="24"/>
        </w:rPr>
        <w:t>评估机构及资产评估师进行充分沟通的基础上，委托人于确定评估基准日时主要考虑了以下因素：</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1、评估基准日尽可能与评估目的所对应的经济行为的计划实施日期接近，使评估基准日的时点价值对拟进行交易的双方更具有价值参考意义，以利于评估结论有效服务于评估目的。</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Style w:val="44"/>
          <w:rFonts w:hint="eastAsia" w:ascii="Times New Roman" w:hAnsi="Times New Roman" w:eastAsia="宋体" w:cs="Times New Roman"/>
        </w:rPr>
        <w:t>、</w:t>
      </w:r>
      <w:r>
        <w:rPr>
          <w:rFonts w:ascii="Times New Roman" w:hAnsi="Times New Roman" w:eastAsia="宋体" w:cs="Times New Roman"/>
          <w:sz w:val="24"/>
          <w:szCs w:val="24"/>
        </w:rPr>
        <w:t>评估基准日尽可能与资产评估专业人员实际实施现场调查的日期接近，使资产评估专业人员能更好的把握评估对象所包含的资产于评估基准日的状况，以利于真实反映评估对象在评估基准日的价值</w:t>
      </w:r>
      <w:r>
        <w:rPr>
          <w:rFonts w:hint="eastAsia" w:ascii="Times New Roman" w:hAnsi="Times New Roman" w:eastAsia="宋体" w:cs="Times New Roman"/>
          <w:sz w:val="24"/>
          <w:szCs w:val="24"/>
        </w:rPr>
        <w:t>。</w:t>
      </w:r>
    </w:p>
    <w:p>
      <w:pPr>
        <w:keepNext/>
        <w:keepLines/>
        <w:spacing w:before="120" w:after="120" w:line="440" w:lineRule="exact"/>
        <w:ind w:firstLine="482" w:firstLineChars="200"/>
        <w:outlineLvl w:val="1"/>
        <w:rPr>
          <w:rFonts w:ascii="Times New Roman" w:hAnsi="Times New Roman" w:eastAsia="宋体" w:cs="Times New Roman"/>
          <w:b/>
          <w:sz w:val="24"/>
          <w:szCs w:val="24"/>
        </w:rPr>
      </w:pPr>
      <w:bookmarkStart w:id="18" w:name="_Toc497119846"/>
      <w:r>
        <w:rPr>
          <w:rFonts w:ascii="Times New Roman" w:hAnsi="宋体" w:eastAsia="宋体" w:cs="Times New Roman"/>
          <w:b/>
          <w:sz w:val="24"/>
          <w:szCs w:val="24"/>
        </w:rPr>
        <w:t>六、评估依据</w:t>
      </w:r>
      <w:bookmarkEnd w:id="18"/>
    </w:p>
    <w:p>
      <w:pPr>
        <w:autoSpaceDE w:val="0"/>
        <w:autoSpaceDN w:val="0"/>
        <w:adjustRightInd w:val="0"/>
        <w:spacing w:line="460" w:lineRule="exact"/>
        <w:ind w:firstLine="482" w:firstLineChars="200"/>
        <w:rPr>
          <w:rFonts w:ascii="宋体" w:hAnsi="宋体" w:eastAsia="宋体" w:cs="Times New Roman"/>
          <w:b/>
          <w:sz w:val="24"/>
          <w:szCs w:val="24"/>
        </w:rPr>
      </w:pPr>
      <w:r>
        <w:rPr>
          <w:rFonts w:ascii="宋体" w:hAnsi="宋体" w:eastAsia="宋体" w:cs="Times New Roman"/>
          <w:b/>
          <w:sz w:val="24"/>
          <w:szCs w:val="24"/>
        </w:rPr>
        <w:t>（一）经济行为依据</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1.山东省庆云县人民法院民事裁定书（2017）鲁1423破3号；</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2.山东水云间置业发展有限公司管理人与山东坤元资产评估房地产土地估价有限公司签订的资产评估委托合同。</w:t>
      </w:r>
    </w:p>
    <w:p>
      <w:pPr>
        <w:autoSpaceDE w:val="0"/>
        <w:autoSpaceDN w:val="0"/>
        <w:adjustRightInd w:val="0"/>
        <w:spacing w:line="460" w:lineRule="exact"/>
        <w:ind w:firstLine="482" w:firstLineChars="200"/>
        <w:rPr>
          <w:rFonts w:ascii="宋体" w:hAnsi="宋体" w:eastAsia="宋体" w:cs="Times New Roman"/>
          <w:b/>
          <w:sz w:val="24"/>
          <w:szCs w:val="24"/>
        </w:rPr>
      </w:pPr>
      <w:r>
        <w:rPr>
          <w:rFonts w:ascii="宋体" w:hAnsi="宋体" w:eastAsia="宋体" w:cs="Times New Roman"/>
          <w:b/>
          <w:sz w:val="24"/>
          <w:szCs w:val="24"/>
        </w:rPr>
        <w:t>（二）法律法规依据</w:t>
      </w:r>
    </w:p>
    <w:p>
      <w:pPr>
        <w:autoSpaceDE w:val="0"/>
        <w:autoSpaceDN w:val="0"/>
        <w:adjustRightInd w:val="0"/>
        <w:spacing w:line="440" w:lineRule="exact"/>
        <w:ind w:firstLine="482" w:firstLineChars="200"/>
        <w:rPr>
          <w:rFonts w:ascii="宋体" w:hAnsi="宋体" w:eastAsia="宋体" w:cs="Times New Roman"/>
          <w:sz w:val="24"/>
          <w:szCs w:val="24"/>
        </w:rPr>
      </w:pPr>
      <w:r>
        <w:rPr>
          <w:rFonts w:hint="eastAsia" w:ascii="Times New Roman" w:hAnsi="Times New Roman" w:eastAsia="宋体" w:cs="Times New Roman"/>
          <w:sz w:val="24"/>
          <w:szCs w:val="24"/>
        </w:rPr>
        <w:t>1.《中华人民共和国公司法》</w:t>
      </w:r>
      <w:r>
        <w:rPr>
          <w:rFonts w:hint="eastAsia" w:ascii="宋体" w:hAnsi="宋体" w:eastAsia="宋体" w:cs="Times New Roman"/>
          <w:sz w:val="24"/>
          <w:szCs w:val="24"/>
        </w:rPr>
        <w:t>（</w:t>
      </w:r>
      <w:r>
        <w:rPr>
          <w:rFonts w:ascii="宋体" w:hAnsi="宋体" w:eastAsia="宋体" w:cs="Times New Roman"/>
          <w:sz w:val="24"/>
          <w:szCs w:val="24"/>
        </w:rPr>
        <w:t>201</w:t>
      </w:r>
      <w:r>
        <w:rPr>
          <w:rFonts w:hint="eastAsia" w:ascii="宋体" w:hAnsi="宋体" w:eastAsia="宋体" w:cs="Times New Roman"/>
          <w:sz w:val="24"/>
          <w:szCs w:val="24"/>
        </w:rPr>
        <w:t>8年10月26日根据第十三届全国人民代表大会常务委员会第六次会议修订）</w:t>
      </w:r>
      <w:r>
        <w:rPr>
          <w:rFonts w:ascii="宋体" w:hAnsi="宋体" w:eastAsia="宋体" w:cs="Times New Roman"/>
          <w:sz w:val="24"/>
          <w:szCs w:val="24"/>
        </w:rPr>
        <w:t>；</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2《中华人民共和国资产评估法》（中华人民共和国主席令第46号，2016年7月2日第十二届全国人民代表大会常务委员会第二十一次会议通过）；</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3.《中华人民共和国企业破产法》；</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4.《中华人民共和国城市房地产管理法》</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5.《中华人民共和国土地管理法》；</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6.《房地产估价规范》（</w:t>
      </w:r>
      <w:r>
        <w:rPr>
          <w:rFonts w:ascii="Times New Roman" w:hAnsi="Times New Roman" w:eastAsia="宋体" w:cs="Times New Roman"/>
          <w:sz w:val="24"/>
          <w:szCs w:val="24"/>
        </w:rPr>
        <w:t>GB/T50291-</w:t>
      </w:r>
      <w:r>
        <w:rPr>
          <w:rFonts w:hint="eastAsia" w:ascii="Times New Roman" w:hAnsi="Times New Roman" w:eastAsia="宋体" w:cs="Times New Roman"/>
          <w:sz w:val="24"/>
          <w:szCs w:val="24"/>
        </w:rPr>
        <w:t>2015）；</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7.《城镇土地估价规程》（</w:t>
      </w:r>
      <w:r>
        <w:rPr>
          <w:rFonts w:ascii="Times New Roman" w:hAnsi="Times New Roman" w:eastAsia="宋体" w:cs="Times New Roman"/>
          <w:sz w:val="24"/>
          <w:szCs w:val="24"/>
        </w:rPr>
        <w:t>GB/T18508-20</w:t>
      </w:r>
      <w:r>
        <w:rPr>
          <w:rFonts w:hint="eastAsia" w:ascii="Times New Roman" w:hAnsi="Times New Roman" w:eastAsia="宋体" w:cs="Times New Roman"/>
          <w:sz w:val="24"/>
          <w:szCs w:val="24"/>
        </w:rPr>
        <w:t>17）；</w:t>
      </w:r>
    </w:p>
    <w:p>
      <w:pPr>
        <w:autoSpaceDE w:val="0"/>
        <w:autoSpaceDN w:val="0"/>
        <w:adjustRightInd w:val="0"/>
        <w:spacing w:line="46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8.其他与评估相关的法律、法规等。</w:t>
      </w:r>
    </w:p>
    <w:p>
      <w:pPr>
        <w:pStyle w:val="151"/>
        <w:numPr>
          <w:ilvl w:val="0"/>
          <w:numId w:val="5"/>
        </w:numPr>
        <w:autoSpaceDE w:val="0"/>
        <w:autoSpaceDN w:val="0"/>
        <w:adjustRightInd w:val="0"/>
        <w:spacing w:line="460" w:lineRule="exact"/>
        <w:ind w:firstLineChars="0"/>
        <w:rPr>
          <w:rFonts w:ascii="宋体" w:hAnsi="宋体"/>
          <w:b/>
        </w:rPr>
      </w:pPr>
      <w:r>
        <w:rPr>
          <w:rFonts w:ascii="宋体" w:hAnsi="宋体"/>
          <w:b/>
        </w:rPr>
        <w:t>评估准则依据</w:t>
      </w:r>
    </w:p>
    <w:p>
      <w:pPr>
        <w:autoSpaceDE w:val="0"/>
        <w:autoSpaceDN w:val="0"/>
        <w:adjustRightInd w:val="0"/>
        <w:spacing w:line="440" w:lineRule="exact"/>
        <w:ind w:right="-485" w:rightChars="-230" w:firstLine="482" w:firstLineChars="200"/>
        <w:rPr>
          <w:rFonts w:ascii="宋体" w:hAnsi="宋体" w:eastAsia="宋体" w:cs="Times New Roman"/>
          <w:sz w:val="24"/>
          <w:szCs w:val="24"/>
        </w:rPr>
      </w:pPr>
      <w:bookmarkStart w:id="19" w:name="_Hlk493332049"/>
      <w:bookmarkStart w:id="20" w:name="_Hlk494011574"/>
      <w:r>
        <w:rPr>
          <w:rFonts w:hint="eastAsia" w:ascii="宋体" w:hAnsi="宋体" w:eastAsia="宋体" w:cs="Times New Roman"/>
          <w:sz w:val="24"/>
          <w:szCs w:val="24"/>
        </w:rPr>
        <w:t>1.《资产评估基本准则》（财政部财资[2017]43号）；</w:t>
      </w:r>
    </w:p>
    <w:p>
      <w:pPr>
        <w:autoSpaceDE w:val="0"/>
        <w:autoSpaceDN w:val="0"/>
        <w:adjustRightInd w:val="0"/>
        <w:spacing w:line="440" w:lineRule="exact"/>
        <w:ind w:right="-485" w:rightChars="-230" w:firstLine="482" w:firstLineChars="200"/>
        <w:rPr>
          <w:rFonts w:ascii="宋体" w:hAnsi="宋体" w:eastAsia="宋体" w:cs="Times New Roman"/>
          <w:sz w:val="24"/>
          <w:szCs w:val="24"/>
        </w:rPr>
      </w:pPr>
      <w:r>
        <w:rPr>
          <w:rFonts w:hint="eastAsia" w:ascii="宋体" w:hAnsi="宋体" w:eastAsia="宋体" w:cs="Times New Roman"/>
          <w:sz w:val="24"/>
          <w:szCs w:val="24"/>
        </w:rPr>
        <w:t>2.《资产评估职业道德准则》（中评协[2017]30号）；</w:t>
      </w:r>
    </w:p>
    <w:bookmarkEnd w:id="19"/>
    <w:p>
      <w:pPr>
        <w:autoSpaceDE w:val="0"/>
        <w:autoSpaceDN w:val="0"/>
        <w:adjustRightInd w:val="0"/>
        <w:spacing w:line="440" w:lineRule="exact"/>
        <w:ind w:right="-485" w:rightChars="-230" w:firstLine="482" w:firstLineChars="200"/>
        <w:rPr>
          <w:rFonts w:ascii="宋体" w:hAnsi="宋体" w:eastAsia="宋体" w:cs="Times New Roman"/>
          <w:sz w:val="24"/>
          <w:szCs w:val="24"/>
        </w:rPr>
      </w:pPr>
      <w:r>
        <w:rPr>
          <w:rFonts w:hint="eastAsia" w:ascii="宋体" w:hAnsi="宋体" w:eastAsia="宋体" w:cs="Times New Roman"/>
          <w:sz w:val="24"/>
          <w:szCs w:val="24"/>
        </w:rPr>
        <w:t>3.《资产评估执业准则——资产评估程序》（中评协[2018]36号）；</w:t>
      </w:r>
    </w:p>
    <w:p>
      <w:pPr>
        <w:autoSpaceDE w:val="0"/>
        <w:autoSpaceDN w:val="0"/>
        <w:adjustRightInd w:val="0"/>
        <w:spacing w:line="440" w:lineRule="exact"/>
        <w:ind w:right="-485" w:rightChars="-230" w:firstLine="482" w:firstLineChars="200"/>
        <w:rPr>
          <w:rFonts w:ascii="宋体" w:hAnsi="宋体" w:eastAsia="宋体" w:cs="Times New Roman"/>
          <w:sz w:val="24"/>
          <w:szCs w:val="24"/>
        </w:rPr>
      </w:pPr>
      <w:r>
        <w:rPr>
          <w:rFonts w:hint="eastAsia" w:ascii="宋体" w:hAnsi="宋体" w:eastAsia="宋体" w:cs="Times New Roman"/>
          <w:sz w:val="24"/>
          <w:szCs w:val="24"/>
        </w:rPr>
        <w:t>4.《资产评估执业准则——资产评估报告》（中评协[2018]35号）；</w:t>
      </w:r>
    </w:p>
    <w:p>
      <w:pPr>
        <w:autoSpaceDE w:val="0"/>
        <w:autoSpaceDN w:val="0"/>
        <w:adjustRightInd w:val="0"/>
        <w:spacing w:line="440" w:lineRule="exact"/>
        <w:ind w:right="-485" w:rightChars="-230" w:firstLine="482" w:firstLineChars="200"/>
        <w:rPr>
          <w:rFonts w:ascii="宋体" w:hAnsi="宋体" w:eastAsia="宋体" w:cs="Times New Roman"/>
          <w:sz w:val="24"/>
          <w:szCs w:val="24"/>
        </w:rPr>
      </w:pPr>
      <w:r>
        <w:rPr>
          <w:rFonts w:hint="eastAsia" w:ascii="宋体" w:hAnsi="宋体" w:eastAsia="宋体" w:cs="Times New Roman"/>
          <w:sz w:val="24"/>
          <w:szCs w:val="24"/>
        </w:rPr>
        <w:t>5.《资产评估执业准则——资产评估委托合同》（中评协[2017]33号）；</w:t>
      </w:r>
    </w:p>
    <w:p>
      <w:pPr>
        <w:autoSpaceDE w:val="0"/>
        <w:autoSpaceDN w:val="0"/>
        <w:adjustRightInd w:val="0"/>
        <w:spacing w:line="440" w:lineRule="exact"/>
        <w:ind w:right="-485" w:rightChars="-230" w:firstLine="482" w:firstLineChars="200"/>
        <w:rPr>
          <w:rFonts w:ascii="宋体" w:hAnsi="宋体" w:eastAsia="宋体" w:cs="Times New Roman"/>
          <w:sz w:val="24"/>
          <w:szCs w:val="24"/>
        </w:rPr>
      </w:pPr>
      <w:r>
        <w:rPr>
          <w:rFonts w:hint="eastAsia" w:ascii="宋体" w:hAnsi="宋体" w:eastAsia="宋体" w:cs="Times New Roman"/>
          <w:sz w:val="24"/>
          <w:szCs w:val="24"/>
        </w:rPr>
        <w:t>6.《资产评估执业准则——资产评估档案》（中评协[2018]37号）；</w:t>
      </w:r>
    </w:p>
    <w:p>
      <w:pPr>
        <w:autoSpaceDE w:val="0"/>
        <w:autoSpaceDN w:val="0"/>
        <w:adjustRightInd w:val="0"/>
        <w:spacing w:line="440" w:lineRule="exact"/>
        <w:ind w:right="-485" w:rightChars="-230" w:firstLine="482" w:firstLineChars="200"/>
        <w:rPr>
          <w:rFonts w:ascii="宋体" w:hAnsi="宋体" w:eastAsia="宋体" w:cs="Times New Roman"/>
          <w:sz w:val="24"/>
          <w:szCs w:val="24"/>
        </w:rPr>
      </w:pPr>
      <w:r>
        <w:rPr>
          <w:rFonts w:hint="eastAsia" w:ascii="宋体" w:hAnsi="宋体" w:eastAsia="宋体" w:cs="Times New Roman"/>
          <w:sz w:val="24"/>
          <w:szCs w:val="24"/>
        </w:rPr>
        <w:t>8.《资产评估执业准则——不动产》（中评协[2017]38号）；</w:t>
      </w:r>
    </w:p>
    <w:p>
      <w:pPr>
        <w:autoSpaceDE w:val="0"/>
        <w:autoSpaceDN w:val="0"/>
        <w:adjustRightInd w:val="0"/>
        <w:spacing w:line="440" w:lineRule="exact"/>
        <w:ind w:right="-485" w:rightChars="-230" w:firstLine="482" w:firstLineChars="200"/>
        <w:rPr>
          <w:rFonts w:ascii="宋体" w:hAnsi="宋体" w:eastAsia="宋体" w:cs="Times New Roman"/>
          <w:sz w:val="24"/>
          <w:szCs w:val="24"/>
        </w:rPr>
      </w:pPr>
      <w:r>
        <w:rPr>
          <w:rFonts w:hint="eastAsia" w:ascii="宋体" w:hAnsi="宋体" w:eastAsia="宋体" w:cs="Times New Roman"/>
          <w:sz w:val="24"/>
          <w:szCs w:val="24"/>
        </w:rPr>
        <w:t>9.《资产评估机构业务质量控制指南》（中评协[2017]46号）；</w:t>
      </w:r>
    </w:p>
    <w:p>
      <w:pPr>
        <w:autoSpaceDE w:val="0"/>
        <w:autoSpaceDN w:val="0"/>
        <w:adjustRightInd w:val="0"/>
        <w:spacing w:line="440" w:lineRule="exact"/>
        <w:ind w:right="-485" w:rightChars="-230" w:firstLine="482" w:firstLineChars="200"/>
        <w:rPr>
          <w:rFonts w:ascii="宋体" w:hAnsi="宋体" w:eastAsia="宋体" w:cs="Times New Roman"/>
          <w:sz w:val="24"/>
          <w:szCs w:val="24"/>
        </w:rPr>
      </w:pPr>
      <w:r>
        <w:rPr>
          <w:rFonts w:hint="eastAsia" w:ascii="宋体" w:hAnsi="宋体" w:eastAsia="宋体" w:cs="Times New Roman"/>
          <w:sz w:val="24"/>
          <w:szCs w:val="24"/>
        </w:rPr>
        <w:t>10.《资产评估价值类型指导意见》（中评协[2017]47号）；</w:t>
      </w:r>
    </w:p>
    <w:p>
      <w:pPr>
        <w:autoSpaceDE w:val="0"/>
        <w:autoSpaceDN w:val="0"/>
        <w:adjustRightInd w:val="0"/>
        <w:spacing w:line="440" w:lineRule="exact"/>
        <w:ind w:right="-485" w:rightChars="-230" w:firstLine="482" w:firstLineChars="200"/>
        <w:rPr>
          <w:rFonts w:ascii="宋体" w:hAnsi="宋体" w:eastAsia="宋体" w:cs="Times New Roman"/>
          <w:sz w:val="24"/>
          <w:szCs w:val="24"/>
        </w:rPr>
      </w:pPr>
      <w:r>
        <w:rPr>
          <w:rFonts w:hint="eastAsia" w:ascii="宋体" w:hAnsi="宋体" w:eastAsia="宋体" w:cs="Times New Roman"/>
          <w:sz w:val="24"/>
          <w:szCs w:val="24"/>
        </w:rPr>
        <w:t>11.《资产评估对象法律权属指导意见》（中评协[2017]48号）；</w:t>
      </w:r>
    </w:p>
    <w:bookmarkEnd w:id="20"/>
    <w:p>
      <w:pPr>
        <w:autoSpaceDE w:val="0"/>
        <w:autoSpaceDN w:val="0"/>
        <w:adjustRightInd w:val="0"/>
        <w:spacing w:line="460" w:lineRule="exact"/>
        <w:ind w:firstLine="482" w:firstLineChars="200"/>
        <w:rPr>
          <w:rFonts w:ascii="宋体" w:hAnsi="宋体" w:eastAsia="宋体" w:cs="Times New Roman"/>
          <w:b/>
          <w:sz w:val="24"/>
          <w:szCs w:val="24"/>
        </w:rPr>
      </w:pPr>
      <w:r>
        <w:rPr>
          <w:rFonts w:ascii="宋体" w:hAnsi="宋体" w:eastAsia="宋体" w:cs="Times New Roman"/>
          <w:b/>
          <w:sz w:val="24"/>
          <w:szCs w:val="24"/>
        </w:rPr>
        <w:t>（四）</w:t>
      </w:r>
      <w:r>
        <w:rPr>
          <w:rFonts w:hint="eastAsia" w:ascii="宋体" w:hAnsi="宋体" w:eastAsia="宋体" w:cs="Times New Roman"/>
          <w:b/>
          <w:sz w:val="24"/>
          <w:szCs w:val="24"/>
        </w:rPr>
        <w:t>资产</w:t>
      </w:r>
      <w:r>
        <w:rPr>
          <w:rFonts w:ascii="宋体" w:hAnsi="宋体" w:eastAsia="宋体" w:cs="Times New Roman"/>
          <w:b/>
          <w:sz w:val="24"/>
          <w:szCs w:val="24"/>
        </w:rPr>
        <w:t>权属依据</w:t>
      </w:r>
    </w:p>
    <w:p>
      <w:pPr>
        <w:autoSpaceDE w:val="0"/>
        <w:autoSpaceDN w:val="0"/>
        <w:adjustRightInd w:val="0"/>
        <w:spacing w:line="46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1.产权持有人的营业执照；</w:t>
      </w:r>
    </w:p>
    <w:p>
      <w:pPr>
        <w:autoSpaceDE w:val="0"/>
        <w:autoSpaceDN w:val="0"/>
        <w:adjustRightInd w:val="0"/>
        <w:spacing w:line="46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2.产权持有人的国有土地使用证等产权证明文件；</w:t>
      </w:r>
    </w:p>
    <w:p>
      <w:pPr>
        <w:autoSpaceDE w:val="0"/>
        <w:autoSpaceDN w:val="0"/>
        <w:adjustRightInd w:val="0"/>
        <w:spacing w:line="46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3.其他相关权属依据。</w:t>
      </w:r>
    </w:p>
    <w:p>
      <w:pPr>
        <w:autoSpaceDE w:val="0"/>
        <w:autoSpaceDN w:val="0"/>
        <w:adjustRightInd w:val="0"/>
        <w:spacing w:line="460" w:lineRule="exact"/>
        <w:ind w:firstLine="482" w:firstLineChars="200"/>
        <w:rPr>
          <w:rFonts w:ascii="宋体" w:hAnsi="宋体" w:eastAsia="宋体" w:cs="Times New Roman"/>
          <w:b/>
          <w:sz w:val="24"/>
          <w:szCs w:val="24"/>
        </w:rPr>
      </w:pPr>
      <w:r>
        <w:rPr>
          <w:rFonts w:ascii="宋体" w:hAnsi="宋体" w:eastAsia="宋体" w:cs="Times New Roman"/>
          <w:b/>
          <w:sz w:val="24"/>
          <w:szCs w:val="24"/>
        </w:rPr>
        <w:t>（五）评估取价依据</w:t>
      </w:r>
    </w:p>
    <w:p>
      <w:pPr>
        <w:autoSpaceDE w:val="0"/>
        <w:autoSpaceDN w:val="0"/>
        <w:adjustRightInd w:val="0"/>
        <w:spacing w:line="460" w:lineRule="exact"/>
        <w:ind w:right="-21" w:rightChars="-10" w:firstLine="482" w:firstLineChars="200"/>
        <w:rPr>
          <w:rFonts w:ascii="宋体" w:hAnsi="宋体" w:eastAsia="宋体" w:cs="Times New Roman"/>
          <w:sz w:val="24"/>
          <w:szCs w:val="24"/>
        </w:rPr>
      </w:pPr>
      <w:bookmarkStart w:id="21" w:name="_Toc497119847"/>
      <w:r>
        <w:rPr>
          <w:rFonts w:hint="eastAsia" w:ascii="宋体" w:hAnsi="宋体" w:eastAsia="宋体" w:cs="Times New Roman"/>
          <w:sz w:val="24"/>
          <w:szCs w:val="24"/>
        </w:rPr>
        <w:t>1.评估基准日近期的山东省、庆云县建设工程造价信息；</w:t>
      </w:r>
    </w:p>
    <w:p>
      <w:pPr>
        <w:autoSpaceDE w:val="0"/>
        <w:autoSpaceDN w:val="0"/>
        <w:adjustRightInd w:val="0"/>
        <w:spacing w:line="46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2.《山东省建筑工程消耗量定额》（</w:t>
      </w:r>
      <w:r>
        <w:rPr>
          <w:rFonts w:ascii="宋体" w:hAnsi="宋体" w:eastAsia="宋体" w:cs="Times New Roman"/>
          <w:sz w:val="24"/>
          <w:szCs w:val="24"/>
        </w:rPr>
        <w:t>2016）</w:t>
      </w:r>
      <w:r>
        <w:rPr>
          <w:rFonts w:hint="eastAsia" w:ascii="宋体" w:hAnsi="宋体" w:eastAsia="宋体" w:cs="Times New Roman"/>
          <w:sz w:val="24"/>
          <w:szCs w:val="24"/>
        </w:rPr>
        <w:t>，</w:t>
      </w:r>
      <w:r>
        <w:rPr>
          <w:rFonts w:ascii="宋体" w:hAnsi="宋体" w:eastAsia="宋体" w:cs="Times New Roman"/>
          <w:sz w:val="24"/>
          <w:szCs w:val="24"/>
        </w:rPr>
        <w:t>《山东省安装工程消耗量定额》（2016）</w:t>
      </w:r>
      <w:r>
        <w:rPr>
          <w:rFonts w:hint="eastAsia" w:ascii="宋体" w:hAnsi="宋体" w:eastAsia="宋体" w:cs="Times New Roman"/>
          <w:sz w:val="24"/>
          <w:szCs w:val="24"/>
        </w:rPr>
        <w:t>和《山东省装饰工程消耗量定额》（2016）</w:t>
      </w:r>
      <w:r>
        <w:rPr>
          <w:rFonts w:ascii="宋体" w:hAnsi="宋体" w:eastAsia="宋体" w:cs="Times New Roman"/>
          <w:sz w:val="24"/>
          <w:szCs w:val="24"/>
        </w:rPr>
        <w:t>；</w:t>
      </w:r>
    </w:p>
    <w:p>
      <w:pPr>
        <w:autoSpaceDE w:val="0"/>
        <w:autoSpaceDN w:val="0"/>
        <w:adjustRightInd w:val="0"/>
        <w:spacing w:line="46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资产评估专业人员通过市场调查所收集的有关询价资料和参数资料；</w:t>
      </w:r>
    </w:p>
    <w:p>
      <w:pPr>
        <w:autoSpaceDE w:val="0"/>
        <w:autoSpaceDN w:val="0"/>
        <w:adjustRightInd w:val="0"/>
        <w:spacing w:line="46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其他相关资料。</w:t>
      </w:r>
    </w:p>
    <w:p>
      <w:pPr>
        <w:keepNext/>
        <w:keepLines/>
        <w:spacing w:before="120" w:after="120" w:line="440" w:lineRule="exact"/>
        <w:ind w:firstLine="482" w:firstLineChars="200"/>
        <w:outlineLvl w:val="1"/>
        <w:rPr>
          <w:rFonts w:ascii="Times New Roman" w:hAnsi="Times New Roman" w:eastAsia="宋体" w:cs="Times New Roman"/>
          <w:b/>
          <w:sz w:val="24"/>
          <w:szCs w:val="24"/>
        </w:rPr>
      </w:pPr>
      <w:r>
        <w:rPr>
          <w:rFonts w:ascii="Times New Roman" w:hAnsi="宋体" w:eastAsia="宋体" w:cs="Times New Roman"/>
          <w:b/>
          <w:sz w:val="24"/>
          <w:szCs w:val="24"/>
        </w:rPr>
        <w:t>七、评估方法</w:t>
      </w:r>
      <w:bookmarkEnd w:id="21"/>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Arial Narrow"/>
          <w:kern w:val="0"/>
          <w:sz w:val="24"/>
          <w:szCs w:val="24"/>
        </w:rPr>
        <w:t>由于本次评估的对象为产权持有人拟破产清算涉及的资产，根据评估目的、评估对象、价值类型、资料收集情况等相关条件，以及三种评估基本方法的适用条件，本次评估</w:t>
      </w:r>
      <w:r>
        <w:rPr>
          <w:rFonts w:hint="eastAsia" w:ascii="宋体" w:hAnsi="宋体" w:eastAsia="宋体" w:cs="Times New Roman"/>
          <w:sz w:val="24"/>
          <w:szCs w:val="24"/>
        </w:rPr>
        <w:t>选用成本法和市场法对涉及的资产进行评估。</w:t>
      </w:r>
    </w:p>
    <w:p>
      <w:pPr>
        <w:widowControl/>
        <w:autoSpaceDE w:val="0"/>
        <w:autoSpaceDN w:val="0"/>
        <w:adjustRightInd w:val="0"/>
        <w:spacing w:line="430" w:lineRule="exact"/>
        <w:ind w:right="-21" w:rightChars="-10" w:firstLine="482" w:firstLineChars="200"/>
        <w:jc w:val="left"/>
        <w:rPr>
          <w:rFonts w:ascii="宋体" w:hAnsi="宋体" w:eastAsia="宋体" w:cs="Times New Roman"/>
          <w:sz w:val="24"/>
          <w:szCs w:val="24"/>
        </w:rPr>
      </w:pPr>
      <w:r>
        <w:rPr>
          <w:rFonts w:hint="eastAsia" w:ascii="宋体" w:hAnsi="宋体" w:eastAsia="宋体" w:cs="Times New Roman"/>
          <w:sz w:val="24"/>
          <w:szCs w:val="24"/>
        </w:rPr>
        <w:t>1.市场法</w:t>
      </w:r>
    </w:p>
    <w:p>
      <w:pPr>
        <w:widowControl/>
        <w:autoSpaceDE w:val="0"/>
        <w:autoSpaceDN w:val="0"/>
        <w:adjustRightInd w:val="0"/>
        <w:spacing w:line="430" w:lineRule="exact"/>
        <w:ind w:right="-21" w:rightChars="-10" w:firstLine="482" w:firstLineChars="200"/>
        <w:jc w:val="left"/>
        <w:rPr>
          <w:rFonts w:ascii="宋体" w:hAnsi="宋体" w:eastAsia="宋体" w:cs="Times New Roman"/>
          <w:sz w:val="24"/>
          <w:szCs w:val="24"/>
        </w:rPr>
      </w:pPr>
      <w:r>
        <w:rPr>
          <w:rFonts w:hint="eastAsia" w:ascii="宋体" w:hAnsi="宋体" w:eastAsia="宋体" w:cs="Times New Roman"/>
          <w:sz w:val="24"/>
          <w:szCs w:val="24"/>
        </w:rPr>
        <w:t>本次评估选用市场法对涉及的存货-开发产品进行评估，市场法是指将评估对象与市场上同样或类似资产的近期交易价格经过直接比较、类比分析和调整，确定其价值的评估方法。</w:t>
      </w:r>
      <w:r>
        <w:rPr>
          <w:rFonts w:hint="eastAsia" w:ascii="宋体" w:hAnsi="宋体" w:eastAsia="宋体" w:cs="Times New Roman"/>
          <w:sz w:val="24"/>
          <w:szCs w:val="24"/>
        </w:rPr>
        <w:br w:type="textWrapping"/>
      </w:r>
      <w:r>
        <w:rPr>
          <w:rFonts w:hint="eastAsia" w:ascii="宋体" w:hAnsi="宋体" w:eastAsia="宋体" w:cs="Times New Roman"/>
          <w:sz w:val="24"/>
          <w:szCs w:val="24"/>
        </w:rPr>
        <w:t xml:space="preserve">   2．成本法</w:t>
      </w:r>
      <w:r>
        <w:rPr>
          <w:rFonts w:hint="eastAsia" w:ascii="宋体" w:hAnsi="宋体" w:eastAsia="宋体" w:cs="Times New Roman"/>
          <w:sz w:val="24"/>
          <w:szCs w:val="24"/>
        </w:rPr>
        <w:br w:type="textWrapping"/>
      </w:r>
      <w:r>
        <w:rPr>
          <w:rFonts w:hint="eastAsia" w:ascii="宋体" w:hAnsi="宋体" w:eastAsia="宋体" w:cs="Times New Roman"/>
          <w:sz w:val="24"/>
          <w:szCs w:val="24"/>
        </w:rPr>
        <w:t>本次评估选用成本法对涉及的在建工程和土地使用权进行评估，成本法是指通过计算评估对象的更新重置成本或者复原重置成本，并扣除其实体性贬值、功能性贬值和经济性贬值，确定其价值的评估方法。</w:t>
      </w:r>
    </w:p>
    <w:p>
      <w:pPr>
        <w:spacing w:line="480" w:lineRule="exact"/>
        <w:ind w:firstLine="482" w:firstLineChars="200"/>
        <w:rPr>
          <w:rFonts w:ascii="Times New Roman" w:hAnsi="Times New Roman" w:eastAsia="宋体" w:cs="Times New Roman"/>
          <w:b/>
          <w:sz w:val="24"/>
          <w:szCs w:val="24"/>
        </w:rPr>
      </w:pPr>
      <w:bookmarkStart w:id="22" w:name="_Toc497119848"/>
      <w:r>
        <w:rPr>
          <w:rFonts w:ascii="Times New Roman" w:hAnsi="Times New Roman" w:eastAsia="宋体" w:cs="Times New Roman"/>
          <w:b/>
          <w:sz w:val="24"/>
          <w:szCs w:val="24"/>
        </w:rPr>
        <w:t>八</w:t>
      </w: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评估程序实施过程和情况</w:t>
      </w:r>
      <w:bookmarkEnd w:id="22"/>
    </w:p>
    <w:p>
      <w:pPr>
        <w:spacing w:line="440" w:lineRule="exact"/>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(一) 评估程序总体实施过程</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本评估机构</w:t>
      </w:r>
      <w:r>
        <w:rPr>
          <w:rFonts w:ascii="宋体" w:hAnsi="宋体" w:eastAsia="宋体" w:cs="Times New Roman"/>
          <w:sz w:val="24"/>
          <w:szCs w:val="24"/>
        </w:rPr>
        <w:t>接受委托后，即选派资产评估专业人员了解与</w:t>
      </w:r>
      <w:r>
        <w:rPr>
          <w:rFonts w:hint="eastAsia" w:ascii="宋体" w:hAnsi="宋体" w:eastAsia="宋体" w:cs="Times New Roman"/>
          <w:sz w:val="24"/>
          <w:szCs w:val="24"/>
        </w:rPr>
        <w:t>本次评估</w:t>
      </w:r>
      <w:r>
        <w:rPr>
          <w:rFonts w:ascii="宋体" w:hAnsi="宋体" w:eastAsia="宋体" w:cs="Times New Roman"/>
          <w:sz w:val="24"/>
          <w:szCs w:val="24"/>
        </w:rPr>
        <w:t>相关的基本情况、制定评估工作计划，并布置和协助</w:t>
      </w:r>
      <w:r>
        <w:rPr>
          <w:rFonts w:hint="eastAsia" w:ascii="宋体" w:hAnsi="宋体" w:eastAsia="宋体" w:cs="Times New Roman"/>
          <w:sz w:val="24"/>
          <w:szCs w:val="24"/>
        </w:rPr>
        <w:t>委托人</w:t>
      </w:r>
      <w:r>
        <w:rPr>
          <w:rFonts w:ascii="宋体" w:hAnsi="宋体" w:eastAsia="宋体" w:cs="Times New Roman"/>
          <w:sz w:val="24"/>
          <w:szCs w:val="24"/>
        </w:rPr>
        <w:t>进行资产清查工作；随后评估小组进驻</w:t>
      </w:r>
      <w:r>
        <w:rPr>
          <w:rFonts w:hint="eastAsia" w:ascii="宋体" w:hAnsi="宋体" w:eastAsia="宋体" w:cs="Times New Roman"/>
          <w:sz w:val="24"/>
          <w:szCs w:val="24"/>
        </w:rPr>
        <w:t>项目所在地</w:t>
      </w:r>
      <w:r>
        <w:rPr>
          <w:rFonts w:ascii="宋体" w:hAnsi="宋体" w:eastAsia="宋体" w:cs="Times New Roman"/>
          <w:sz w:val="24"/>
          <w:szCs w:val="24"/>
        </w:rPr>
        <w:t>，对评估对象</w:t>
      </w:r>
      <w:r>
        <w:rPr>
          <w:rFonts w:hint="eastAsia" w:ascii="宋体" w:hAnsi="宋体" w:eastAsia="宋体" w:cs="Times New Roman"/>
          <w:sz w:val="24"/>
          <w:szCs w:val="24"/>
        </w:rPr>
        <w:t>及其所包含</w:t>
      </w:r>
      <w:r>
        <w:rPr>
          <w:rFonts w:ascii="宋体" w:hAnsi="宋体" w:eastAsia="宋体" w:cs="Times New Roman"/>
          <w:sz w:val="24"/>
          <w:szCs w:val="24"/>
        </w:rPr>
        <w:t>的资产实施现场调查。</w:t>
      </w:r>
      <w:r>
        <w:rPr>
          <w:rFonts w:hint="eastAsia" w:ascii="宋体" w:hAnsi="宋体" w:eastAsia="宋体" w:cs="Times New Roman"/>
          <w:sz w:val="24"/>
          <w:szCs w:val="24"/>
        </w:rPr>
        <w:t>资产评估专业人员</w:t>
      </w:r>
      <w:r>
        <w:rPr>
          <w:rFonts w:ascii="宋体" w:hAnsi="宋体" w:eastAsia="宋体" w:cs="Times New Roman"/>
          <w:sz w:val="24"/>
          <w:szCs w:val="24"/>
        </w:rPr>
        <w:t>根据</w:t>
      </w:r>
      <w:r>
        <w:rPr>
          <w:rFonts w:hint="eastAsia" w:ascii="宋体" w:hAnsi="宋体" w:eastAsia="宋体" w:cs="Times New Roman"/>
          <w:sz w:val="24"/>
          <w:szCs w:val="24"/>
        </w:rPr>
        <w:t>本次评估</w:t>
      </w:r>
      <w:r>
        <w:rPr>
          <w:rFonts w:ascii="宋体" w:hAnsi="宋体" w:eastAsia="宋体" w:cs="Times New Roman"/>
          <w:sz w:val="24"/>
          <w:szCs w:val="24"/>
        </w:rPr>
        <w:t>的</w:t>
      </w:r>
      <w:r>
        <w:rPr>
          <w:rFonts w:hint="eastAsia" w:ascii="宋体" w:hAnsi="宋体" w:eastAsia="宋体" w:cs="Times New Roman"/>
          <w:sz w:val="24"/>
          <w:szCs w:val="24"/>
        </w:rPr>
        <w:t>评估目的、</w:t>
      </w:r>
      <w:r>
        <w:rPr>
          <w:rFonts w:ascii="宋体" w:hAnsi="宋体" w:eastAsia="宋体" w:cs="Times New Roman"/>
          <w:sz w:val="24"/>
          <w:szCs w:val="24"/>
        </w:rPr>
        <w:t>评估对象、评估范围</w:t>
      </w:r>
      <w:r>
        <w:rPr>
          <w:rFonts w:hint="eastAsia" w:ascii="宋体" w:hAnsi="宋体" w:eastAsia="宋体" w:cs="Times New Roman"/>
          <w:sz w:val="24"/>
          <w:szCs w:val="24"/>
        </w:rPr>
        <w:t>、</w:t>
      </w:r>
      <w:r>
        <w:rPr>
          <w:rFonts w:ascii="宋体" w:hAnsi="宋体" w:eastAsia="宋体" w:cs="Times New Roman"/>
          <w:sz w:val="24"/>
          <w:szCs w:val="24"/>
        </w:rPr>
        <w:t>资料收集情况等</w:t>
      </w:r>
      <w:r>
        <w:rPr>
          <w:rFonts w:hint="eastAsia" w:ascii="宋体" w:hAnsi="宋体" w:eastAsia="宋体" w:cs="Times New Roman"/>
          <w:sz w:val="24"/>
          <w:szCs w:val="24"/>
        </w:rPr>
        <w:t>相关条件和</w:t>
      </w:r>
      <w:r>
        <w:rPr>
          <w:rFonts w:ascii="宋体" w:hAnsi="宋体" w:eastAsia="宋体" w:cs="Times New Roman"/>
          <w:sz w:val="24"/>
          <w:szCs w:val="24"/>
        </w:rPr>
        <w:t>评估</w:t>
      </w:r>
      <w:r>
        <w:rPr>
          <w:rFonts w:hint="eastAsia" w:ascii="宋体" w:hAnsi="宋体" w:eastAsia="宋体" w:cs="Times New Roman"/>
          <w:sz w:val="24"/>
          <w:szCs w:val="24"/>
        </w:rPr>
        <w:t>项目</w:t>
      </w:r>
      <w:r>
        <w:rPr>
          <w:rFonts w:ascii="宋体" w:hAnsi="宋体" w:eastAsia="宋体" w:cs="Times New Roman"/>
          <w:sz w:val="24"/>
          <w:szCs w:val="24"/>
        </w:rPr>
        <w:t>的具体情况制定并执行了以下资产评估专业人员认为能够支持评估</w:t>
      </w:r>
      <w:r>
        <w:rPr>
          <w:rFonts w:hint="eastAsia" w:ascii="宋体" w:hAnsi="宋体" w:eastAsia="宋体" w:cs="Times New Roman"/>
          <w:sz w:val="24"/>
          <w:szCs w:val="24"/>
        </w:rPr>
        <w:t>结果</w:t>
      </w:r>
      <w:r>
        <w:rPr>
          <w:rFonts w:ascii="宋体" w:hAnsi="宋体" w:eastAsia="宋体" w:cs="Times New Roman"/>
          <w:sz w:val="24"/>
          <w:szCs w:val="24"/>
        </w:rPr>
        <w:t>的适当评估程序：</w:t>
      </w:r>
    </w:p>
    <w:p>
      <w:pPr>
        <w:spacing w:line="440" w:lineRule="exact"/>
        <w:ind w:firstLine="482" w:firstLineChars="200"/>
        <w:rPr>
          <w:rFonts w:ascii="Times New Roman" w:hAnsi="Times New Roman" w:eastAsia="宋体" w:cs="Times New Roman"/>
          <w:b/>
          <w:bCs/>
          <w:sz w:val="24"/>
          <w:szCs w:val="24"/>
        </w:rPr>
      </w:pPr>
      <w:bookmarkStart w:id="23" w:name="_Toc497119849"/>
      <w:r>
        <w:rPr>
          <w:rFonts w:hint="eastAsia" w:ascii="Times New Roman" w:hAnsi="Times New Roman" w:eastAsia="宋体" w:cs="Times New Roman"/>
          <w:b/>
          <w:bCs/>
          <w:sz w:val="24"/>
          <w:szCs w:val="24"/>
        </w:rPr>
        <w:t>一）评估项目洽谈和评估工作准备阶段</w:t>
      </w:r>
    </w:p>
    <w:p>
      <w:pPr>
        <w:autoSpaceDE w:val="0"/>
        <w:autoSpaceDN w:val="0"/>
        <w:adjustRightInd w:val="0"/>
        <w:spacing w:line="440" w:lineRule="exact"/>
        <w:ind w:right="-21" w:rightChars="-10" w:firstLine="482" w:firstLineChars="200"/>
        <w:rPr>
          <w:rFonts w:ascii="宋体" w:hAnsi="宋体" w:eastAsia="宋体" w:cs="Times New Roman"/>
          <w:b/>
          <w:sz w:val="24"/>
          <w:szCs w:val="24"/>
        </w:rPr>
      </w:pPr>
      <w:r>
        <w:rPr>
          <w:rFonts w:hint="eastAsia" w:ascii="宋体" w:hAnsi="宋体" w:eastAsia="宋体" w:cs="Times New Roman"/>
          <w:b/>
          <w:sz w:val="24"/>
          <w:szCs w:val="24"/>
        </w:rPr>
        <w:t>1.明确评估业务的基本事项、拟定评估计划</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本评估机构通过洽谈、评估项目风险评价等前期工作程序并决定接受委托后，即与委托人进行充分沟通、了解本评估项目的基本事项——评估目的、评估对象与评估范围、评估基准日等，拟定评估工作方案和制定评估计划，并与委托人签订《资产评估委托合同》。</w:t>
      </w:r>
    </w:p>
    <w:p>
      <w:pPr>
        <w:autoSpaceDE w:val="0"/>
        <w:autoSpaceDN w:val="0"/>
        <w:adjustRightInd w:val="0"/>
        <w:spacing w:line="430" w:lineRule="exact"/>
        <w:ind w:right="-21" w:rightChars="-10" w:firstLine="482" w:firstLineChars="200"/>
        <w:rPr>
          <w:rFonts w:ascii="宋体" w:hAnsi="宋体" w:eastAsia="宋体" w:cs="Times New Roman"/>
          <w:b/>
          <w:sz w:val="24"/>
          <w:szCs w:val="24"/>
        </w:rPr>
      </w:pPr>
      <w:r>
        <w:rPr>
          <w:rFonts w:hint="eastAsia" w:ascii="宋体" w:hAnsi="宋体" w:eastAsia="宋体" w:cs="Times New Roman"/>
          <w:b/>
          <w:sz w:val="24"/>
          <w:szCs w:val="24"/>
        </w:rPr>
        <w:t>2.提交《资产评估须提供资料清单》</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根据委托评估资产的特点，提交有针对性的《资产评估须提供资料清单》、《资产评估申报明细表》等，要求委托人和产权持有人积极进行评估资料准备工作。</w:t>
      </w:r>
    </w:p>
    <w:p>
      <w:pPr>
        <w:autoSpaceDE w:val="0"/>
        <w:autoSpaceDN w:val="0"/>
        <w:adjustRightInd w:val="0"/>
        <w:spacing w:line="430" w:lineRule="exact"/>
        <w:ind w:right="-21" w:rightChars="-10" w:firstLine="482" w:firstLineChars="200"/>
        <w:rPr>
          <w:rFonts w:ascii="宋体" w:hAnsi="宋体" w:eastAsia="宋体" w:cs="Times New Roman"/>
          <w:b/>
          <w:sz w:val="24"/>
          <w:szCs w:val="24"/>
        </w:rPr>
      </w:pPr>
      <w:r>
        <w:rPr>
          <w:rFonts w:hint="eastAsia" w:ascii="宋体" w:hAnsi="宋体" w:eastAsia="宋体" w:cs="Times New Roman"/>
          <w:b/>
          <w:sz w:val="24"/>
          <w:szCs w:val="24"/>
        </w:rPr>
        <w:t>3.指导委托人清查资产、准备评估资料</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与委托人相关工作人员联系，布置并辅导其按照资产评估的要求填列《资产评估申报明细表》和准备评估所需要的相关资料。</w:t>
      </w:r>
    </w:p>
    <w:p>
      <w:pPr>
        <w:spacing w:line="430" w:lineRule="exact"/>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二）尽职调查、收集评估资料、现场核实资产与验证资料和评定估算阶段</w:t>
      </w:r>
    </w:p>
    <w:p>
      <w:pPr>
        <w:autoSpaceDE w:val="0"/>
        <w:autoSpaceDN w:val="0"/>
        <w:adjustRightInd w:val="0"/>
        <w:spacing w:line="430" w:lineRule="exact"/>
        <w:ind w:right="-21" w:rightChars="-10" w:firstLine="482" w:firstLineChars="200"/>
        <w:rPr>
          <w:rFonts w:ascii="宋体" w:hAnsi="宋体" w:eastAsia="宋体" w:cs="Times New Roman"/>
          <w:b/>
          <w:sz w:val="24"/>
          <w:szCs w:val="24"/>
        </w:rPr>
      </w:pPr>
      <w:bookmarkStart w:id="24" w:name="_Hlk493603272"/>
      <w:r>
        <w:rPr>
          <w:rFonts w:hint="eastAsia" w:ascii="宋体" w:hAnsi="宋体" w:eastAsia="宋体" w:cs="Times New Roman"/>
          <w:b/>
          <w:sz w:val="24"/>
          <w:szCs w:val="24"/>
        </w:rPr>
        <w:t>1.收集并验证委托人提供的资料</w:t>
      </w:r>
      <w:bookmarkEnd w:id="24"/>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对委托人提供的资料进行验证、核对，对发现的问题协同其解决。</w:t>
      </w:r>
    </w:p>
    <w:p>
      <w:pPr>
        <w:autoSpaceDE w:val="0"/>
        <w:autoSpaceDN w:val="0"/>
        <w:adjustRightInd w:val="0"/>
        <w:spacing w:line="430" w:lineRule="exact"/>
        <w:ind w:right="-21" w:rightChars="-10" w:firstLine="482" w:firstLineChars="200"/>
        <w:rPr>
          <w:rFonts w:ascii="宋体" w:hAnsi="宋体" w:eastAsia="宋体" w:cs="Times New Roman"/>
          <w:b/>
          <w:sz w:val="24"/>
          <w:szCs w:val="24"/>
        </w:rPr>
      </w:pPr>
      <w:r>
        <w:rPr>
          <w:rFonts w:hint="eastAsia" w:ascii="宋体" w:hAnsi="宋体" w:eastAsia="宋体" w:cs="Times New Roman"/>
          <w:b/>
          <w:sz w:val="24"/>
          <w:szCs w:val="24"/>
        </w:rPr>
        <w:t>2.现场勘查与重点清查</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对评估对象所涉及的资产进行全面核实，对重要资产进行详细勘查、并编制《现场勘查工作底稿》。</w:t>
      </w:r>
    </w:p>
    <w:p>
      <w:pPr>
        <w:autoSpaceDE w:val="0"/>
        <w:autoSpaceDN w:val="0"/>
        <w:adjustRightInd w:val="0"/>
        <w:spacing w:line="430" w:lineRule="exact"/>
        <w:ind w:right="-21" w:rightChars="-10" w:firstLine="482" w:firstLineChars="200"/>
        <w:rPr>
          <w:rFonts w:ascii="宋体" w:hAnsi="宋体" w:eastAsia="宋体" w:cs="Times New Roman"/>
          <w:b/>
          <w:sz w:val="24"/>
          <w:szCs w:val="24"/>
        </w:rPr>
      </w:pPr>
      <w:r>
        <w:rPr>
          <w:rFonts w:hint="eastAsia" w:ascii="宋体" w:hAnsi="宋体" w:eastAsia="宋体" w:cs="Times New Roman"/>
          <w:b/>
          <w:sz w:val="24"/>
          <w:szCs w:val="24"/>
        </w:rPr>
        <w:t>3.确定评估途径及方法</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根据评估对象的实际状况和具体特点以及资料收集情况，确定评估的基本途径、具体评估模型及方法。</w:t>
      </w:r>
    </w:p>
    <w:p>
      <w:pPr>
        <w:autoSpaceDE w:val="0"/>
        <w:autoSpaceDN w:val="0"/>
        <w:adjustRightInd w:val="0"/>
        <w:spacing w:line="430" w:lineRule="exact"/>
        <w:ind w:right="-21" w:rightChars="-10" w:firstLine="482" w:firstLineChars="200"/>
        <w:rPr>
          <w:rFonts w:ascii="宋体" w:hAnsi="宋体" w:eastAsia="宋体" w:cs="Times New Roman"/>
          <w:b/>
          <w:sz w:val="24"/>
          <w:szCs w:val="24"/>
        </w:rPr>
      </w:pPr>
      <w:r>
        <w:rPr>
          <w:rFonts w:hint="eastAsia" w:ascii="宋体" w:hAnsi="宋体" w:eastAsia="宋体" w:cs="Times New Roman"/>
          <w:b/>
          <w:sz w:val="24"/>
          <w:szCs w:val="24"/>
        </w:rPr>
        <w:t>4.评定估算</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根据确定的评估基本途径及具体方法，对评估对象及其所包含资产的价值分别进行评定估算，并形成相关评估底稿、评估明细表好评估说明。</w:t>
      </w:r>
    </w:p>
    <w:p>
      <w:pPr>
        <w:spacing w:line="430" w:lineRule="exact"/>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三）汇总评定阶段</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对初步的评定估算结果进行分析、汇总，对评估结果进行必要的调整、修正和完善，确定初步的汇总评估结果，并起草评估报告并连同评估明细表和相关工作底稿提交给资产评估机构质量监管部复核。</w:t>
      </w:r>
    </w:p>
    <w:p>
      <w:pPr>
        <w:spacing w:line="430" w:lineRule="exact"/>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四）出具评估报告</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履行上述工作步骤后，在不影响资产评估机构和资产评估师独立形成评估结论的前提下，与委托人就评估初步结果交换意见，在充分考虑委托人的有关合理意见后，按本公司的三级复核制度和质控程序对评估报告、评估明细表、评估说明进行校验、核对、修改完善后，由本评估机构出具资产评估报告。</w:t>
      </w:r>
    </w:p>
    <w:p>
      <w:pPr>
        <w:numPr>
          <w:ilvl w:val="0"/>
          <w:numId w:val="6"/>
        </w:numPr>
        <w:spacing w:line="440" w:lineRule="exact"/>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主要资产的评估方法如下：</w:t>
      </w:r>
    </w:p>
    <w:p>
      <w:pPr>
        <w:autoSpaceDE w:val="0"/>
        <w:autoSpaceDN w:val="0"/>
        <w:adjustRightInd w:val="0"/>
        <w:spacing w:line="44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1、存货-开发产品</w:t>
      </w:r>
    </w:p>
    <w:p>
      <w:pPr>
        <w:autoSpaceDE w:val="0"/>
        <w:autoSpaceDN w:val="0"/>
        <w:adjustRightInd w:val="0"/>
        <w:spacing w:line="44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1）评估范围</w:t>
      </w:r>
    </w:p>
    <w:p>
      <w:pPr>
        <w:autoSpaceDE w:val="0"/>
        <w:autoSpaceDN w:val="0"/>
        <w:adjustRightInd w:val="0"/>
        <w:spacing w:line="44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山东水云间置业发展有限公司列入评估范围的存货-开发产品为山东水云间置业发展有限公司开发的房地产项目“水云间自然生态家园（即龙城佳苑）”，主要包括商品房六栋及车库、储藏室，建筑面积共29,697.64平方米。</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根据山东水云间置业发展有限公司管理人提供的《存货-开发产品评估申报表》，存货-开发产品在评估基准日的详细情况如下表所示：</w:t>
      </w:r>
    </w:p>
    <w:tbl>
      <w:tblPr>
        <w:tblStyle w:val="37"/>
        <w:tblW w:w="9015" w:type="dxa"/>
        <w:tblInd w:w="0" w:type="dxa"/>
        <w:tblLayout w:type="fixed"/>
        <w:tblCellMar>
          <w:top w:w="0" w:type="dxa"/>
          <w:left w:w="108" w:type="dxa"/>
          <w:bottom w:w="0" w:type="dxa"/>
          <w:right w:w="108" w:type="dxa"/>
        </w:tblCellMar>
      </w:tblPr>
      <w:tblGrid>
        <w:gridCol w:w="663"/>
        <w:gridCol w:w="3156"/>
        <w:gridCol w:w="1980"/>
        <w:gridCol w:w="3216"/>
      </w:tblGrid>
      <w:tr>
        <w:tblPrEx>
          <w:tblLayout w:type="fixed"/>
          <w:tblCellMar>
            <w:top w:w="0" w:type="dxa"/>
            <w:left w:w="108" w:type="dxa"/>
            <w:bottom w:w="0" w:type="dxa"/>
            <w:right w:w="108" w:type="dxa"/>
          </w:tblCellMar>
        </w:tblPrEx>
        <w:trPr>
          <w:trHeight w:val="340" w:hRule="exact"/>
        </w:trPr>
        <w:tc>
          <w:tcPr>
            <w:tcW w:w="663" w:type="dxa"/>
            <w:vMerge w:val="restart"/>
            <w:tcBorders>
              <w:top w:val="single" w:color="auto" w:sz="4" w:space="0"/>
              <w:left w:val="single" w:color="auto" w:sz="4" w:space="0"/>
              <w:right w:val="single" w:color="auto" w:sz="4" w:space="0"/>
            </w:tcBorders>
            <w:shd w:val="clear" w:color="auto" w:fill="FFFFFF"/>
            <w:vAlign w:val="center"/>
          </w:tcPr>
          <w:p>
            <w:pPr>
              <w:widowControl/>
              <w:spacing w:line="300" w:lineRule="exact"/>
              <w:jc w:val="center"/>
              <w:rPr>
                <w:rFonts w:ascii="宋体" w:hAnsi="宋体" w:eastAsia="宋体" w:cs="宋体"/>
                <w:bCs/>
                <w:kern w:val="0"/>
                <w:sz w:val="18"/>
                <w:szCs w:val="18"/>
              </w:rPr>
            </w:pPr>
            <w:r>
              <w:rPr>
                <w:rFonts w:hint="eastAsia" w:ascii="宋体" w:hAnsi="宋体" w:eastAsia="宋体" w:cs="宋体"/>
                <w:bCs/>
                <w:kern w:val="0"/>
                <w:sz w:val="18"/>
                <w:szCs w:val="18"/>
              </w:rPr>
              <w:t>编号</w:t>
            </w:r>
          </w:p>
        </w:tc>
        <w:tc>
          <w:tcPr>
            <w:tcW w:w="3156" w:type="dxa"/>
            <w:vMerge w:val="restart"/>
            <w:tcBorders>
              <w:top w:val="single" w:color="auto" w:sz="4" w:space="0"/>
              <w:left w:val="nil"/>
              <w:right w:val="single" w:color="auto" w:sz="4" w:space="0"/>
            </w:tcBorders>
            <w:shd w:val="clear" w:color="auto" w:fill="FFFFFF"/>
            <w:vAlign w:val="center"/>
          </w:tcPr>
          <w:p>
            <w:pPr>
              <w:widowControl/>
              <w:spacing w:line="300" w:lineRule="exact"/>
              <w:jc w:val="center"/>
              <w:rPr>
                <w:rFonts w:ascii="宋体" w:hAnsi="宋体" w:eastAsia="宋体" w:cs="宋体"/>
                <w:bCs/>
                <w:kern w:val="0"/>
                <w:sz w:val="18"/>
                <w:szCs w:val="18"/>
              </w:rPr>
            </w:pPr>
            <w:r>
              <w:rPr>
                <w:rFonts w:hint="eastAsia" w:ascii="宋体" w:hAnsi="宋体" w:eastAsia="宋体" w:cs="宋体"/>
                <w:bCs/>
                <w:kern w:val="0"/>
                <w:sz w:val="18"/>
                <w:szCs w:val="18"/>
              </w:rPr>
              <w:t>科目名称</w:t>
            </w:r>
          </w:p>
        </w:tc>
        <w:tc>
          <w:tcPr>
            <w:tcW w:w="1980" w:type="dxa"/>
            <w:vMerge w:val="restart"/>
            <w:tcBorders>
              <w:top w:val="single" w:color="auto" w:sz="4" w:space="0"/>
              <w:left w:val="nil"/>
              <w:right w:val="single" w:color="auto" w:sz="4" w:space="0"/>
            </w:tcBorders>
            <w:shd w:val="clear" w:color="auto" w:fill="FFFFFF"/>
            <w:vAlign w:val="center"/>
          </w:tcPr>
          <w:p>
            <w:pPr>
              <w:widowControl/>
              <w:spacing w:line="300" w:lineRule="exact"/>
              <w:jc w:val="center"/>
              <w:rPr>
                <w:rFonts w:ascii="宋体" w:hAnsi="宋体" w:eastAsia="宋体" w:cs="宋体"/>
                <w:bCs/>
                <w:kern w:val="0"/>
                <w:sz w:val="18"/>
                <w:szCs w:val="18"/>
              </w:rPr>
            </w:pPr>
            <w:r>
              <w:rPr>
                <w:rFonts w:hint="eastAsia" w:ascii="宋体" w:hAnsi="宋体" w:eastAsia="宋体" w:cs="宋体"/>
                <w:bCs/>
                <w:kern w:val="0"/>
                <w:sz w:val="20"/>
                <w:szCs w:val="20"/>
              </w:rPr>
              <w:t>项数</w:t>
            </w:r>
          </w:p>
        </w:tc>
        <w:tc>
          <w:tcPr>
            <w:tcW w:w="3216" w:type="dxa"/>
            <w:vMerge w:val="restart"/>
            <w:tcBorders>
              <w:top w:val="single" w:color="auto" w:sz="4" w:space="0"/>
              <w:left w:val="nil"/>
              <w:right w:val="single" w:color="auto" w:sz="4" w:space="0"/>
            </w:tcBorders>
            <w:shd w:val="clear" w:color="auto" w:fill="FFFFFF"/>
            <w:vAlign w:val="center"/>
          </w:tcPr>
          <w:p>
            <w:pPr>
              <w:widowControl/>
              <w:spacing w:line="300" w:lineRule="exact"/>
              <w:jc w:val="center"/>
              <w:rPr>
                <w:rFonts w:ascii="宋体" w:hAnsi="宋体" w:eastAsia="宋体" w:cs="宋体"/>
                <w:bCs/>
                <w:kern w:val="0"/>
                <w:sz w:val="18"/>
                <w:szCs w:val="18"/>
              </w:rPr>
            </w:pPr>
            <w:r>
              <w:rPr>
                <w:rFonts w:hint="eastAsia" w:ascii="宋体" w:hAnsi="宋体" w:eastAsia="宋体" w:cs="宋体"/>
                <w:bCs/>
                <w:kern w:val="0"/>
                <w:sz w:val="18"/>
                <w:szCs w:val="18"/>
              </w:rPr>
              <w:t>建筑面积（㎡）</w:t>
            </w:r>
          </w:p>
        </w:tc>
      </w:tr>
      <w:tr>
        <w:tblPrEx>
          <w:tblLayout w:type="fixed"/>
          <w:tblCellMar>
            <w:top w:w="0" w:type="dxa"/>
            <w:left w:w="108" w:type="dxa"/>
            <w:bottom w:w="0" w:type="dxa"/>
            <w:right w:w="108" w:type="dxa"/>
          </w:tblCellMar>
        </w:tblPrEx>
        <w:trPr>
          <w:trHeight w:val="312" w:hRule="exact"/>
        </w:trPr>
        <w:tc>
          <w:tcPr>
            <w:tcW w:w="663" w:type="dxa"/>
            <w:vMerge w:val="continue"/>
            <w:tcBorders>
              <w:left w:val="single" w:color="auto" w:sz="4" w:space="0"/>
              <w:bottom w:val="single" w:color="auto" w:sz="4" w:space="0"/>
              <w:right w:val="single" w:color="auto" w:sz="4" w:space="0"/>
            </w:tcBorders>
            <w:shd w:val="clear" w:color="auto" w:fill="FFFFFF"/>
            <w:vAlign w:val="bottom"/>
          </w:tcPr>
          <w:p>
            <w:pPr>
              <w:widowControl/>
              <w:spacing w:line="300" w:lineRule="exact"/>
              <w:jc w:val="center"/>
              <w:rPr>
                <w:rFonts w:ascii="宋体" w:hAnsi="宋体" w:eastAsia="宋体" w:cs="宋体"/>
                <w:bCs/>
                <w:kern w:val="0"/>
                <w:sz w:val="18"/>
                <w:szCs w:val="18"/>
              </w:rPr>
            </w:pPr>
          </w:p>
        </w:tc>
        <w:tc>
          <w:tcPr>
            <w:tcW w:w="3156" w:type="dxa"/>
            <w:vMerge w:val="continue"/>
            <w:tcBorders>
              <w:left w:val="nil"/>
              <w:bottom w:val="single" w:color="auto" w:sz="4" w:space="0"/>
              <w:right w:val="single" w:color="auto" w:sz="4" w:space="0"/>
            </w:tcBorders>
            <w:shd w:val="clear" w:color="auto" w:fill="FFFFFF"/>
            <w:vAlign w:val="bottom"/>
          </w:tcPr>
          <w:p>
            <w:pPr>
              <w:widowControl/>
              <w:spacing w:line="300" w:lineRule="exact"/>
              <w:jc w:val="center"/>
              <w:rPr>
                <w:rFonts w:ascii="宋体" w:hAnsi="宋体" w:eastAsia="宋体"/>
                <w:bCs/>
                <w:kern w:val="0"/>
                <w:sz w:val="18"/>
                <w:szCs w:val="18"/>
              </w:rPr>
            </w:pPr>
          </w:p>
        </w:tc>
        <w:tc>
          <w:tcPr>
            <w:tcW w:w="1980" w:type="dxa"/>
            <w:vMerge w:val="continue"/>
            <w:tcBorders>
              <w:left w:val="nil"/>
              <w:bottom w:val="single" w:color="auto" w:sz="4" w:space="0"/>
              <w:right w:val="single" w:color="auto" w:sz="4" w:space="0"/>
            </w:tcBorders>
            <w:shd w:val="clear" w:color="auto" w:fill="FFFFFF"/>
            <w:vAlign w:val="bottom"/>
          </w:tcPr>
          <w:p>
            <w:pPr>
              <w:widowControl/>
              <w:spacing w:line="300" w:lineRule="exact"/>
              <w:ind w:firstLine="454"/>
              <w:jc w:val="center"/>
              <w:rPr>
                <w:rFonts w:ascii="宋体" w:hAnsi="宋体" w:eastAsia="宋体" w:cs="宋体"/>
                <w:bCs/>
                <w:kern w:val="0"/>
                <w:sz w:val="18"/>
                <w:szCs w:val="18"/>
              </w:rPr>
            </w:pPr>
          </w:p>
        </w:tc>
        <w:tc>
          <w:tcPr>
            <w:tcW w:w="3216" w:type="dxa"/>
            <w:vMerge w:val="continue"/>
            <w:tcBorders>
              <w:left w:val="nil"/>
              <w:bottom w:val="single" w:color="auto" w:sz="4" w:space="0"/>
              <w:right w:val="single" w:color="auto" w:sz="4" w:space="0"/>
            </w:tcBorders>
            <w:shd w:val="clear" w:color="auto" w:fill="FFFFFF"/>
            <w:vAlign w:val="bottom"/>
          </w:tcPr>
          <w:p>
            <w:pPr>
              <w:widowControl/>
              <w:spacing w:line="300" w:lineRule="exact"/>
              <w:jc w:val="center"/>
              <w:rPr>
                <w:rFonts w:ascii="宋体" w:hAnsi="宋体" w:eastAsia="宋体" w:cs="宋体"/>
                <w:bCs/>
                <w:kern w:val="0"/>
                <w:sz w:val="18"/>
                <w:szCs w:val="18"/>
              </w:rPr>
            </w:pPr>
          </w:p>
        </w:tc>
      </w:tr>
      <w:tr>
        <w:tblPrEx>
          <w:tblLayout w:type="fixed"/>
          <w:tblCellMar>
            <w:top w:w="0" w:type="dxa"/>
            <w:left w:w="108" w:type="dxa"/>
            <w:bottom w:w="0" w:type="dxa"/>
            <w:right w:w="108" w:type="dxa"/>
          </w:tblCellMar>
        </w:tblPrEx>
        <w:trPr>
          <w:trHeight w:val="340" w:hRule="exact"/>
        </w:trPr>
        <w:tc>
          <w:tcPr>
            <w:tcW w:w="663" w:type="dxa"/>
            <w:tcBorders>
              <w:top w:val="nil"/>
              <w:left w:val="single" w:color="auto" w:sz="4" w:space="0"/>
              <w:bottom w:val="single" w:color="auto" w:sz="4" w:space="0"/>
              <w:right w:val="single" w:color="auto" w:sz="4" w:space="0"/>
            </w:tcBorders>
            <w:shd w:val="clear" w:color="auto" w:fill="FFFFFF"/>
            <w:vAlign w:val="bottom"/>
          </w:tcPr>
          <w:p>
            <w:pPr>
              <w:widowControl/>
              <w:spacing w:line="300" w:lineRule="exact"/>
              <w:jc w:val="center"/>
              <w:rPr>
                <w:rFonts w:ascii="宋体" w:hAnsi="宋体" w:eastAsia="宋体"/>
                <w:bCs/>
                <w:kern w:val="0"/>
                <w:sz w:val="18"/>
                <w:szCs w:val="18"/>
              </w:rPr>
            </w:pPr>
            <w:r>
              <w:rPr>
                <w:rFonts w:ascii="宋体" w:hAnsi="宋体" w:eastAsia="宋体"/>
                <w:bCs/>
                <w:kern w:val="0"/>
                <w:sz w:val="18"/>
                <w:szCs w:val="18"/>
              </w:rPr>
              <w:t>1</w:t>
            </w:r>
          </w:p>
        </w:tc>
        <w:tc>
          <w:tcPr>
            <w:tcW w:w="3156" w:type="dxa"/>
            <w:tcBorders>
              <w:top w:val="nil"/>
              <w:left w:val="nil"/>
              <w:bottom w:val="single" w:color="auto" w:sz="4" w:space="0"/>
              <w:right w:val="single" w:color="auto" w:sz="4" w:space="0"/>
            </w:tcBorders>
            <w:shd w:val="clear" w:color="auto" w:fill="FFFFFF"/>
            <w:vAlign w:val="bottom"/>
          </w:tcPr>
          <w:p>
            <w:pPr>
              <w:widowControl/>
              <w:spacing w:line="300" w:lineRule="exact"/>
              <w:jc w:val="center"/>
              <w:rPr>
                <w:rFonts w:ascii="宋体" w:hAnsi="宋体" w:eastAsia="宋体"/>
                <w:bCs/>
                <w:kern w:val="0"/>
                <w:sz w:val="18"/>
                <w:szCs w:val="18"/>
              </w:rPr>
            </w:pPr>
            <w:r>
              <w:rPr>
                <w:rFonts w:hint="eastAsia" w:ascii="宋体" w:hAnsi="宋体" w:eastAsia="宋体"/>
                <w:bCs/>
                <w:kern w:val="0"/>
                <w:sz w:val="18"/>
                <w:szCs w:val="18"/>
              </w:rPr>
              <w:t>存货-开发产品</w:t>
            </w:r>
          </w:p>
        </w:tc>
        <w:tc>
          <w:tcPr>
            <w:tcW w:w="1980" w:type="dxa"/>
            <w:tcBorders>
              <w:top w:val="nil"/>
              <w:left w:val="nil"/>
              <w:bottom w:val="single" w:color="auto" w:sz="4" w:space="0"/>
              <w:right w:val="single" w:color="auto" w:sz="4" w:space="0"/>
            </w:tcBorders>
            <w:shd w:val="clear" w:color="auto" w:fill="FFFFFF"/>
            <w:vAlign w:val="bottom"/>
          </w:tcPr>
          <w:p>
            <w:pPr>
              <w:widowControl/>
              <w:spacing w:line="300" w:lineRule="exact"/>
              <w:jc w:val="center"/>
              <w:rPr>
                <w:rFonts w:ascii="宋体" w:hAnsi="宋体" w:eastAsia="宋体" w:cs="宋体"/>
                <w:bCs/>
                <w:kern w:val="0"/>
                <w:sz w:val="18"/>
                <w:szCs w:val="18"/>
              </w:rPr>
            </w:pPr>
            <w:r>
              <w:rPr>
                <w:rFonts w:hint="eastAsia" w:ascii="宋体" w:hAnsi="宋体" w:eastAsia="宋体" w:cs="宋体"/>
                <w:bCs/>
                <w:kern w:val="0"/>
                <w:sz w:val="18"/>
                <w:szCs w:val="18"/>
              </w:rPr>
              <w:t>285</w:t>
            </w:r>
          </w:p>
        </w:tc>
        <w:tc>
          <w:tcPr>
            <w:tcW w:w="3216" w:type="dxa"/>
            <w:tcBorders>
              <w:top w:val="nil"/>
              <w:left w:val="nil"/>
              <w:bottom w:val="single" w:color="auto" w:sz="4" w:space="0"/>
              <w:right w:val="single" w:color="auto" w:sz="4" w:space="0"/>
            </w:tcBorders>
            <w:shd w:val="clear" w:color="auto" w:fill="FFFFFF"/>
            <w:vAlign w:val="bottom"/>
          </w:tcPr>
          <w:p>
            <w:pPr>
              <w:widowControl/>
              <w:spacing w:line="300" w:lineRule="exact"/>
              <w:jc w:val="right"/>
              <w:rPr>
                <w:rFonts w:ascii="宋体" w:hAnsi="宋体" w:eastAsia="宋体" w:cs="宋体"/>
                <w:bCs/>
                <w:kern w:val="0"/>
                <w:sz w:val="18"/>
                <w:szCs w:val="18"/>
              </w:rPr>
            </w:pPr>
            <w:r>
              <w:rPr>
                <w:rFonts w:hint="eastAsia" w:ascii="宋体" w:hAnsi="宋体" w:eastAsia="宋体" w:cs="宋体"/>
                <w:bCs/>
                <w:kern w:val="0"/>
                <w:sz w:val="18"/>
                <w:szCs w:val="18"/>
              </w:rPr>
              <w:t xml:space="preserve"> 29,697.64  </w:t>
            </w:r>
          </w:p>
        </w:tc>
      </w:tr>
      <w:tr>
        <w:tblPrEx>
          <w:tblLayout w:type="fixed"/>
          <w:tblCellMar>
            <w:top w:w="0" w:type="dxa"/>
            <w:left w:w="108" w:type="dxa"/>
            <w:bottom w:w="0" w:type="dxa"/>
            <w:right w:w="108" w:type="dxa"/>
          </w:tblCellMar>
        </w:tblPrEx>
        <w:trPr>
          <w:trHeight w:val="340" w:hRule="exact"/>
        </w:trPr>
        <w:tc>
          <w:tcPr>
            <w:tcW w:w="663" w:type="dxa"/>
            <w:tcBorders>
              <w:top w:val="nil"/>
              <w:left w:val="single" w:color="auto" w:sz="4" w:space="0"/>
              <w:bottom w:val="single" w:color="auto" w:sz="4" w:space="0"/>
              <w:right w:val="single" w:color="auto" w:sz="4" w:space="0"/>
            </w:tcBorders>
            <w:shd w:val="clear" w:color="auto" w:fill="FFFFFF"/>
            <w:vAlign w:val="bottom"/>
          </w:tcPr>
          <w:p>
            <w:pPr>
              <w:widowControl/>
              <w:spacing w:line="300" w:lineRule="exact"/>
              <w:jc w:val="center"/>
              <w:rPr>
                <w:rFonts w:ascii="宋体" w:hAnsi="宋体" w:eastAsia="宋体"/>
                <w:bCs/>
                <w:kern w:val="0"/>
                <w:sz w:val="18"/>
                <w:szCs w:val="18"/>
              </w:rPr>
            </w:pPr>
          </w:p>
        </w:tc>
        <w:tc>
          <w:tcPr>
            <w:tcW w:w="3156" w:type="dxa"/>
            <w:tcBorders>
              <w:top w:val="nil"/>
              <w:left w:val="nil"/>
              <w:bottom w:val="single" w:color="auto" w:sz="4" w:space="0"/>
              <w:right w:val="single" w:color="auto" w:sz="4" w:space="0"/>
            </w:tcBorders>
            <w:shd w:val="clear" w:color="auto" w:fill="FFFFFF"/>
            <w:vAlign w:val="bottom"/>
          </w:tcPr>
          <w:p>
            <w:pPr>
              <w:widowControl/>
              <w:spacing w:line="300" w:lineRule="exact"/>
              <w:jc w:val="center"/>
              <w:rPr>
                <w:rFonts w:ascii="宋体" w:hAnsi="宋体" w:eastAsia="宋体"/>
                <w:bCs/>
                <w:kern w:val="0"/>
                <w:sz w:val="18"/>
                <w:szCs w:val="18"/>
              </w:rPr>
            </w:pPr>
            <w:r>
              <w:rPr>
                <w:rFonts w:hint="eastAsia" w:ascii="宋体" w:hAnsi="宋体" w:eastAsia="宋体"/>
                <w:bCs/>
                <w:kern w:val="0"/>
                <w:sz w:val="18"/>
                <w:szCs w:val="18"/>
              </w:rPr>
              <w:t>合计</w:t>
            </w:r>
          </w:p>
        </w:tc>
        <w:tc>
          <w:tcPr>
            <w:tcW w:w="1980" w:type="dxa"/>
            <w:tcBorders>
              <w:top w:val="nil"/>
              <w:left w:val="nil"/>
              <w:bottom w:val="single" w:color="auto" w:sz="4" w:space="0"/>
              <w:right w:val="single" w:color="auto" w:sz="4" w:space="0"/>
            </w:tcBorders>
            <w:shd w:val="clear" w:color="auto" w:fill="FFFFFF"/>
            <w:vAlign w:val="bottom"/>
          </w:tcPr>
          <w:p>
            <w:pPr>
              <w:widowControl/>
              <w:spacing w:line="300" w:lineRule="exact"/>
              <w:jc w:val="center"/>
              <w:rPr>
                <w:rFonts w:ascii="宋体" w:hAnsi="宋体" w:eastAsia="宋体"/>
                <w:bCs/>
                <w:kern w:val="0"/>
                <w:sz w:val="18"/>
                <w:szCs w:val="18"/>
              </w:rPr>
            </w:pPr>
            <w:r>
              <w:rPr>
                <w:rFonts w:hint="eastAsia" w:ascii="宋体" w:hAnsi="宋体" w:eastAsia="宋体" w:cs="宋体"/>
                <w:bCs/>
                <w:kern w:val="0"/>
                <w:sz w:val="18"/>
                <w:szCs w:val="18"/>
              </w:rPr>
              <w:t>285</w:t>
            </w:r>
          </w:p>
        </w:tc>
        <w:tc>
          <w:tcPr>
            <w:tcW w:w="3216" w:type="dxa"/>
            <w:tcBorders>
              <w:top w:val="nil"/>
              <w:left w:val="nil"/>
              <w:bottom w:val="single" w:color="auto" w:sz="4" w:space="0"/>
              <w:right w:val="single" w:color="auto" w:sz="4" w:space="0"/>
            </w:tcBorders>
            <w:shd w:val="clear" w:color="auto" w:fill="FFFFFF"/>
            <w:vAlign w:val="bottom"/>
          </w:tcPr>
          <w:p>
            <w:pPr>
              <w:widowControl/>
              <w:spacing w:line="300" w:lineRule="exact"/>
              <w:jc w:val="right"/>
              <w:rPr>
                <w:rFonts w:ascii="宋体" w:hAnsi="宋体" w:eastAsia="宋体"/>
                <w:bCs/>
                <w:kern w:val="0"/>
                <w:sz w:val="18"/>
                <w:szCs w:val="18"/>
              </w:rPr>
            </w:pPr>
            <w:r>
              <w:rPr>
                <w:rFonts w:hint="eastAsia" w:ascii="宋体" w:hAnsi="宋体" w:eastAsia="宋体" w:cs="宋体"/>
                <w:bCs/>
                <w:kern w:val="0"/>
                <w:sz w:val="18"/>
                <w:szCs w:val="18"/>
              </w:rPr>
              <w:t xml:space="preserve"> 29,697.64  </w:t>
            </w:r>
          </w:p>
        </w:tc>
      </w:tr>
    </w:tbl>
    <w:p>
      <w:pPr>
        <w:autoSpaceDE w:val="0"/>
        <w:autoSpaceDN w:val="0"/>
        <w:adjustRightInd w:val="0"/>
        <w:spacing w:line="430" w:lineRule="exact"/>
        <w:ind w:right="-21" w:rightChars="-10" w:firstLine="723" w:firstLineChars="300"/>
        <w:rPr>
          <w:rFonts w:ascii="宋体" w:hAnsi="宋体" w:eastAsia="宋体" w:cs="Times New Roman"/>
          <w:sz w:val="24"/>
          <w:szCs w:val="24"/>
        </w:rPr>
      </w:pPr>
      <w:r>
        <w:rPr>
          <w:rFonts w:hint="eastAsia" w:ascii="宋体" w:hAnsi="宋体" w:eastAsia="宋体" w:cs="Times New Roman"/>
          <w:sz w:val="24"/>
          <w:szCs w:val="24"/>
        </w:rPr>
        <w:t>2）评估对象概况</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存货—开发产品为开发的房地产项目“水云间自然生态家园（即龙城佳苑）”，位于庆云县祥云大道东侧、马颊河与德惠新河之间，该项目原名水云间，2006年由天津澜驰置业有限公司庆云分公司协议开发，2007年经庆云县政府批准实施规划，2008年正式开工建设，后更名为龙城佳苑。项目占地面积84,199.74平方米，规划总建筑面积59,954.81平方米，整个小区地块呈长方形，目前已建成6幢5层住宅（含车库、储藏室）。小区仅由支路与祥云大道相通，无公交线路可达，距离庆云汽车站约2km。</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该小区内已建成的6幢住宅楼均为毛坯房，南北通透，设计合理，配有电梯，入户防盗门，铝合金窗，天然气管道供气，预留空调位，通讯预留电话线接口、有线电视、宽带。已建成的6幢住宅楼共计192户、停车库240个，储藏室99个。</w:t>
      </w:r>
    </w:p>
    <w:p>
      <w:pPr>
        <w:pStyle w:val="21"/>
        <w:spacing w:line="440" w:lineRule="exact"/>
        <w:ind w:firstLine="482" w:firstLineChars="200"/>
        <w:rPr>
          <w:rFonts w:hAnsi="宋体"/>
          <w:szCs w:val="24"/>
        </w:rPr>
      </w:pPr>
      <w:r>
        <w:rPr>
          <w:rFonts w:hint="eastAsia" w:hAnsi="宋体"/>
          <w:szCs w:val="24"/>
        </w:rPr>
        <w:t>项目中已经完工6幢住宅楼，已经暂停销售，截至2018年7月23日，已预售住宅134套（含抵账19套）、车库71个（含抵账2个）、储藏室20个，尚未销售住宅58套（含已收定金27套）、车库169个、储藏室79个。</w:t>
      </w:r>
    </w:p>
    <w:p>
      <w:pPr>
        <w:autoSpaceDE w:val="0"/>
        <w:autoSpaceDN w:val="0"/>
        <w:adjustRightInd w:val="0"/>
        <w:spacing w:line="430" w:lineRule="exact"/>
        <w:ind w:right="-21" w:rightChars="-10" w:firstLine="482" w:firstLineChars="200"/>
        <w:rPr>
          <w:rFonts w:eastAsia="仿宋_GB2312"/>
          <w:sz w:val="28"/>
        </w:rPr>
      </w:pPr>
      <w:r>
        <w:rPr>
          <w:rFonts w:hint="eastAsia" w:ascii="宋体" w:hAnsi="宋体" w:eastAsia="宋体" w:cs="Times New Roman"/>
          <w:sz w:val="24"/>
          <w:szCs w:val="24"/>
        </w:rPr>
        <w:t>已经完工的6幢住宅楼均未办理房屋所有权证。</w:t>
      </w:r>
    </w:p>
    <w:p>
      <w:pPr>
        <w:autoSpaceDE w:val="0"/>
        <w:autoSpaceDN w:val="0"/>
        <w:adjustRightInd w:val="0"/>
        <w:spacing w:line="430" w:lineRule="exact"/>
        <w:ind w:right="-21" w:rightChars="-10" w:firstLine="723" w:firstLineChars="300"/>
        <w:rPr>
          <w:rFonts w:ascii="宋体" w:hAnsi="宋体" w:eastAsia="宋体" w:cs="Times New Roman"/>
          <w:sz w:val="24"/>
          <w:szCs w:val="24"/>
        </w:rPr>
      </w:pPr>
      <w:r>
        <w:rPr>
          <w:rFonts w:hint="eastAsia" w:ascii="宋体" w:hAnsi="宋体" w:eastAsia="宋体" w:cs="Times New Roman"/>
          <w:sz w:val="24"/>
          <w:szCs w:val="24"/>
        </w:rPr>
        <w:t>3）评估程序</w:t>
      </w:r>
    </w:p>
    <w:p>
      <w:pPr>
        <w:pStyle w:val="21"/>
        <w:spacing w:line="440" w:lineRule="exact"/>
        <w:ind w:firstLine="482" w:firstLineChars="200"/>
        <w:rPr>
          <w:szCs w:val="24"/>
        </w:rPr>
      </w:pPr>
      <w:r>
        <w:rPr>
          <w:rFonts w:hint="eastAsia"/>
          <w:szCs w:val="24"/>
        </w:rPr>
        <w:t>(</w:t>
      </w:r>
      <w:r>
        <w:rPr>
          <w:szCs w:val="24"/>
        </w:rPr>
        <w:t>1</w:t>
      </w:r>
      <w:r>
        <w:rPr>
          <w:rFonts w:hint="eastAsia"/>
          <w:szCs w:val="24"/>
        </w:rPr>
        <w:t>)</w:t>
      </w:r>
      <w:r>
        <w:rPr>
          <w:szCs w:val="24"/>
        </w:rPr>
        <w:t>核对原始资料</w:t>
      </w:r>
    </w:p>
    <w:p>
      <w:pPr>
        <w:pStyle w:val="21"/>
        <w:spacing w:line="440" w:lineRule="exact"/>
        <w:ind w:firstLine="482" w:firstLineChars="200"/>
        <w:rPr>
          <w:szCs w:val="24"/>
        </w:rPr>
      </w:pPr>
      <w:r>
        <w:rPr>
          <w:szCs w:val="24"/>
        </w:rPr>
        <w:t>根据</w:t>
      </w:r>
      <w:r>
        <w:rPr>
          <w:rFonts w:hint="eastAsia"/>
          <w:szCs w:val="24"/>
        </w:rPr>
        <w:t>被评估企业</w:t>
      </w:r>
      <w:r>
        <w:rPr>
          <w:szCs w:val="24"/>
        </w:rPr>
        <w:t>提供的</w:t>
      </w:r>
      <w:r>
        <w:rPr>
          <w:rFonts w:hint="eastAsia"/>
          <w:szCs w:val="24"/>
        </w:rPr>
        <w:t>房屋</w:t>
      </w:r>
      <w:r>
        <w:rPr>
          <w:szCs w:val="24"/>
        </w:rPr>
        <w:t>建筑物清查评估明细表，</w:t>
      </w:r>
      <w:r>
        <w:rPr>
          <w:rFonts w:hint="eastAsia"/>
          <w:szCs w:val="24"/>
        </w:rPr>
        <w:t>查阅房屋建筑物工程图纸，了解房屋</w:t>
      </w:r>
      <w:r>
        <w:rPr>
          <w:szCs w:val="24"/>
        </w:rPr>
        <w:t>建筑物</w:t>
      </w:r>
      <w:r>
        <w:rPr>
          <w:rFonts w:hint="eastAsia"/>
          <w:szCs w:val="24"/>
        </w:rPr>
        <w:t>的结构、装修、设施配置及地点分布等基本情况。</w:t>
      </w:r>
    </w:p>
    <w:p>
      <w:pPr>
        <w:pStyle w:val="21"/>
        <w:spacing w:line="440" w:lineRule="exact"/>
        <w:ind w:firstLine="482" w:firstLineChars="200"/>
        <w:rPr>
          <w:szCs w:val="24"/>
        </w:rPr>
      </w:pPr>
      <w:r>
        <w:rPr>
          <w:rFonts w:hint="eastAsia"/>
          <w:szCs w:val="24"/>
        </w:rPr>
        <w:t>(2)</w:t>
      </w:r>
      <w:r>
        <w:rPr>
          <w:szCs w:val="24"/>
        </w:rPr>
        <w:t>市场调查</w:t>
      </w:r>
    </w:p>
    <w:p>
      <w:pPr>
        <w:pStyle w:val="21"/>
        <w:spacing w:line="440" w:lineRule="atLeast"/>
        <w:ind w:firstLine="482" w:firstLineChars="200"/>
        <w:rPr>
          <w:szCs w:val="24"/>
        </w:rPr>
      </w:pPr>
      <w:r>
        <w:rPr>
          <w:rFonts w:hint="eastAsia"/>
          <w:szCs w:val="24"/>
        </w:rPr>
        <w:t>根据评估需要，评估人员根据评估对象所处地理位置，通过市场调查和比较分析，在充分了解参照物及评估对象状况的前提下，通过网络和实地调查市场交易案例获取位于同一供需范围内近期成交的、与委估对象位置、装修及结构等类似的多个住宅的成交价格信息。</w:t>
      </w:r>
    </w:p>
    <w:p>
      <w:pPr>
        <w:pStyle w:val="21"/>
        <w:spacing w:line="440" w:lineRule="atLeast"/>
        <w:ind w:firstLine="482" w:firstLineChars="200"/>
        <w:rPr>
          <w:szCs w:val="24"/>
        </w:rPr>
      </w:pPr>
      <w:r>
        <w:rPr>
          <w:rFonts w:hint="eastAsia"/>
          <w:szCs w:val="24"/>
        </w:rPr>
        <w:t>(3)</w:t>
      </w:r>
      <w:r>
        <w:rPr>
          <w:szCs w:val="24"/>
        </w:rPr>
        <w:t>现场勘察</w:t>
      </w:r>
    </w:p>
    <w:p>
      <w:pPr>
        <w:pStyle w:val="21"/>
        <w:spacing w:line="440" w:lineRule="atLeast"/>
        <w:ind w:firstLine="482" w:firstLineChars="200"/>
        <w:rPr>
          <w:szCs w:val="24"/>
        </w:rPr>
      </w:pPr>
      <w:r>
        <w:rPr>
          <w:szCs w:val="24"/>
        </w:rPr>
        <w:t>对建筑物的现场查勘评估，遵循公正、客观的原则，根据委托单位提供的建筑物清查评估明细表所列项目的项数、面积、结构类型、装饰及给排水、配电照明、通风等设备情况，进行现场查勘核实，并结合现场了解建筑物结构特征的各部位完损状况逐项做现场记录。</w:t>
      </w:r>
    </w:p>
    <w:p>
      <w:pPr>
        <w:pStyle w:val="21"/>
        <w:spacing w:line="440" w:lineRule="atLeast"/>
        <w:ind w:firstLine="482" w:firstLineChars="200"/>
        <w:rPr>
          <w:szCs w:val="24"/>
        </w:rPr>
      </w:pPr>
      <w:r>
        <w:rPr>
          <w:szCs w:val="24"/>
        </w:rPr>
        <w:t>评估人员对委托评估的房屋</w:t>
      </w:r>
      <w:r>
        <w:rPr>
          <w:rFonts w:hint="eastAsia"/>
          <w:szCs w:val="24"/>
        </w:rPr>
        <w:t>建</w:t>
      </w:r>
      <w:r>
        <w:rPr>
          <w:szCs w:val="24"/>
        </w:rPr>
        <w:t>筑物作详细查看，除核实建筑物数量及内容是否与申报情况一致外，主要查看建筑物结构、装修、设施、配套使用状况。</w:t>
      </w:r>
    </w:p>
    <w:p>
      <w:pPr>
        <w:pStyle w:val="21"/>
        <w:spacing w:line="440" w:lineRule="atLeast"/>
        <w:ind w:firstLine="482" w:firstLineChars="200"/>
        <w:rPr>
          <w:szCs w:val="24"/>
        </w:rPr>
      </w:pPr>
      <w:r>
        <w:rPr>
          <w:rFonts w:hint="eastAsia" w:hAnsi="宋体" w:cs="宋体"/>
          <w:szCs w:val="24"/>
        </w:rPr>
        <w:t>①</w:t>
      </w:r>
      <w:r>
        <w:rPr>
          <w:szCs w:val="24"/>
        </w:rPr>
        <w:t>结构：为了判断建筑物基础的安全性，初步确定基础的可靠性和合理性，为评估提供依据。根据结构类型对承重墙、梁、板、柱进行细心观测，查看有无变形开裂，有无不均匀沉降，查看混凝土构件有无露筋、麻面、变形，查看墙体是否有风化以及风化的严重程度。</w:t>
      </w:r>
    </w:p>
    <w:p>
      <w:pPr>
        <w:pStyle w:val="21"/>
        <w:spacing w:line="440" w:lineRule="atLeast"/>
        <w:ind w:firstLine="482" w:firstLineChars="200"/>
        <w:rPr>
          <w:szCs w:val="24"/>
        </w:rPr>
      </w:pPr>
      <w:r>
        <w:rPr>
          <w:rFonts w:hint="eastAsia" w:hAnsi="宋体" w:cs="宋体"/>
          <w:szCs w:val="24"/>
        </w:rPr>
        <w:t>②</w:t>
      </w:r>
      <w:r>
        <w:rPr>
          <w:szCs w:val="24"/>
        </w:rPr>
        <w:t>装饰：查看装修的内容有无脱落、开裂、损坏，</w:t>
      </w:r>
      <w:r>
        <w:rPr>
          <w:rFonts w:hint="eastAsia"/>
          <w:szCs w:val="24"/>
        </w:rPr>
        <w:t>及</w:t>
      </w:r>
      <w:r>
        <w:rPr>
          <w:szCs w:val="24"/>
        </w:rPr>
        <w:t>装饰的新旧程度。</w:t>
      </w:r>
    </w:p>
    <w:p>
      <w:pPr>
        <w:pStyle w:val="21"/>
        <w:spacing w:line="440" w:lineRule="atLeast"/>
        <w:ind w:firstLine="482" w:firstLineChars="200"/>
        <w:rPr>
          <w:szCs w:val="24"/>
        </w:rPr>
      </w:pPr>
      <w:r>
        <w:rPr>
          <w:rFonts w:hint="eastAsia" w:hAnsi="宋体" w:cs="宋体"/>
          <w:szCs w:val="24"/>
        </w:rPr>
        <w:t>③</w:t>
      </w:r>
      <w:r>
        <w:rPr>
          <w:szCs w:val="24"/>
        </w:rPr>
        <w:t>设备：水电设施是否完好齐全，是否畅通，有无损坏和腐蚀，能否满足使用要求。</w:t>
      </w:r>
    </w:p>
    <w:p>
      <w:pPr>
        <w:pStyle w:val="21"/>
        <w:spacing w:line="440" w:lineRule="atLeast"/>
        <w:ind w:firstLine="482" w:firstLineChars="200"/>
        <w:rPr>
          <w:szCs w:val="24"/>
        </w:rPr>
      </w:pPr>
      <w:r>
        <w:rPr>
          <w:rFonts w:hint="eastAsia" w:hAnsi="宋体" w:cs="宋体"/>
          <w:szCs w:val="24"/>
        </w:rPr>
        <w:t>④</w:t>
      </w:r>
      <w:r>
        <w:rPr>
          <w:szCs w:val="24"/>
        </w:rPr>
        <w:t>维护结构：如非承重墙、门、窗、隔断、散水、防水、保温等，查看有无损坏、丢失、腐烂、开裂等现象。</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4）评估方法</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根据评估对象的具体条件、用地性质及评估目的，结合收集的有关资料，考虑到当地房地产市场发育程度，可选择市场比较法、收益法等评估方法进行评估。本次评估根据评估对象、价值类型、资料收集情况等相关条件，对房屋建筑物采用市场比较法进行评估。</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市场比较法是将评估对象房地产与在近期已经发生了交易或者将要发生交易的类似房地产加以比较对照，从已经发生了交易的类似房地产的已知价格，修正得出评估对象房地产价格的一种估价方法（所谓类似房地产，是指在用途、建筑结构、所处地区等方面，与评估对象房地产相同或相似的房地产）。</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对于住宅，按照市场比较法计算正常评估值，在此基础上乘以变现系数，计算清算价值。</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住宅清算价值=住宅的正常市场价值×变现系数</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（1）正常市场价值</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A.市场比较法原理：</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所谓市场比较法是将估价对象房地产与在近期已经发生了交易的类似房地产加以比较对照，从已经发生了交易的类似房地产的已知价格，修正得出估价对象房地产价格的一种估价方法（所谓类似房地产，是指在用途、建筑结构、所处地区等方面，与估价对象房地产相同或相似的房地产）。</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B.技术路线：</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a.搜集交易实例；</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b 选取可比实例；</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c.建立比较基础；</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d.进行交易情况修正；</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e.进行</w:t>
      </w:r>
      <w:bookmarkStart w:id="25" w:name="_Hlk518630672"/>
      <w:r>
        <w:rPr>
          <w:rFonts w:hint="eastAsia" w:ascii="宋体" w:hAnsi="宋体" w:eastAsia="宋体" w:cs="Times New Roman"/>
          <w:sz w:val="24"/>
          <w:szCs w:val="24"/>
        </w:rPr>
        <w:t>交易日期修正；</w:t>
      </w:r>
      <w:bookmarkEnd w:id="25"/>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f.进行不动产状况修正；</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g.计算比较价值。</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根据本次评估估价对象特点，根据估价对象所在位置周围房地产的市场价值，采用市场比较法确定估价对象的市场价值，则应有：</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bookmarkStart w:id="26" w:name="_Hlk518630709"/>
      <w:r>
        <w:rPr>
          <w:rFonts w:hint="eastAsia" w:ascii="宋体" w:hAnsi="宋体" w:eastAsia="宋体" w:cs="Times New Roman"/>
          <w:sz w:val="24"/>
          <w:szCs w:val="24"/>
        </w:rPr>
        <w:t>比准价格=可比实例成交价格×交易情况修正×交易日期修正×不动产状况修正</w:t>
      </w:r>
    </w:p>
    <w:bookmarkEnd w:id="26"/>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确定估价对象房地产市场价值。</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（2）变现系数</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本次评估的变现折扣率根据对资产的变现难易程度计算。变现处置时考虑资产特性因素、市场因素、变现时间因素。</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变现系数=1-（资产特性因素+市场因素因素+变现时间因素）/100</w:t>
      </w:r>
    </w:p>
    <w:p>
      <w:pPr>
        <w:autoSpaceDE w:val="0"/>
        <w:autoSpaceDN w:val="0"/>
        <w:adjustRightInd w:val="0"/>
        <w:spacing w:line="430" w:lineRule="exact"/>
        <w:ind w:right="-21" w:rightChars="-10" w:firstLine="1928" w:firstLineChars="800"/>
        <w:rPr>
          <w:rFonts w:ascii="宋体" w:hAnsi="宋体" w:eastAsia="宋体" w:cs="Times New Roman"/>
          <w:sz w:val="24"/>
          <w:szCs w:val="24"/>
        </w:rPr>
      </w:pPr>
      <w:r>
        <w:rPr>
          <w:rFonts w:hint="eastAsia" w:ascii="宋体" w:hAnsi="宋体" w:eastAsia="宋体" w:cs="Times New Roman"/>
          <w:sz w:val="24"/>
          <w:szCs w:val="24"/>
        </w:rPr>
        <w:t>=1-（5+</w:t>
      </w:r>
      <w:r>
        <w:rPr>
          <w:rFonts w:hint="eastAsia" w:ascii="宋体" w:hAnsi="宋体" w:eastAsia="宋体" w:cs="Times New Roman"/>
          <w:sz w:val="24"/>
          <w:szCs w:val="24"/>
          <w:lang w:val="en-US" w:eastAsia="zh-CN"/>
        </w:rPr>
        <w:t>10</w:t>
      </w:r>
      <w:r>
        <w:rPr>
          <w:rFonts w:hint="eastAsia" w:ascii="宋体" w:hAnsi="宋体" w:eastAsia="宋体" w:cs="Times New Roman"/>
          <w:sz w:val="24"/>
          <w:szCs w:val="24"/>
        </w:rPr>
        <w:t>+1</w:t>
      </w: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）/100=</w:t>
      </w:r>
      <w:r>
        <w:rPr>
          <w:rFonts w:hint="eastAsia" w:ascii="宋体" w:hAnsi="宋体" w:eastAsia="宋体" w:cs="Times New Roman"/>
          <w:sz w:val="24"/>
          <w:szCs w:val="24"/>
          <w:lang w:val="en-US" w:eastAsia="zh-CN"/>
        </w:rPr>
        <w:t>7</w:t>
      </w:r>
      <w:r>
        <w:rPr>
          <w:rFonts w:hint="eastAsia" w:ascii="宋体" w:hAnsi="宋体" w:eastAsia="宋体" w:cs="Times New Roman"/>
          <w:sz w:val="24"/>
          <w:szCs w:val="24"/>
        </w:rPr>
        <w:t>0%</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（3）清算价值的计算</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清算价值=市场价值×变现系数</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根据本次的评估目的，当评估对象面临被迫出售、快速变现，以确定其在估价时点的清算价值。取得重置完全价值后，考虑取变现系数确定基准日的清算价值。</w:t>
      </w:r>
    </w:p>
    <w:p>
      <w:pPr>
        <w:autoSpaceDE w:val="0"/>
        <w:autoSpaceDN w:val="0"/>
        <w:adjustRightInd w:val="0"/>
        <w:spacing w:line="430" w:lineRule="exact"/>
        <w:ind w:right="-21" w:rightChars="-10" w:firstLine="723" w:firstLineChars="300"/>
        <w:rPr>
          <w:rFonts w:ascii="宋体" w:hAnsi="宋体" w:eastAsia="宋体" w:cs="Times New Roman"/>
          <w:sz w:val="24"/>
          <w:szCs w:val="24"/>
        </w:rPr>
      </w:pPr>
      <w:r>
        <w:rPr>
          <w:rFonts w:hint="eastAsia" w:ascii="宋体" w:hAnsi="宋体" w:eastAsia="宋体" w:cs="Times New Roman"/>
          <w:sz w:val="24"/>
          <w:szCs w:val="24"/>
        </w:rPr>
        <w:t>5）评估结果</w:t>
      </w:r>
    </w:p>
    <w:p>
      <w:pPr>
        <w:autoSpaceDE w:val="0"/>
        <w:autoSpaceDN w:val="0"/>
        <w:adjustRightInd w:val="0"/>
        <w:spacing w:line="430" w:lineRule="exact"/>
        <w:ind w:right="-21" w:rightChars="-10" w:firstLine="402" w:firstLineChars="200"/>
        <w:jc w:val="right"/>
        <w:rPr>
          <w:rFonts w:ascii="宋体" w:hAnsi="宋体" w:eastAsia="宋体" w:cs="Times New Roman"/>
          <w:sz w:val="20"/>
          <w:szCs w:val="20"/>
        </w:rPr>
      </w:pPr>
      <w:r>
        <w:rPr>
          <w:rFonts w:hint="eastAsia" w:ascii="宋体" w:hAnsi="宋体" w:eastAsia="宋体" w:cs="Times New Roman"/>
          <w:sz w:val="20"/>
          <w:szCs w:val="20"/>
        </w:rPr>
        <w:t>金额单位：元</w:t>
      </w:r>
    </w:p>
    <w:tbl>
      <w:tblPr>
        <w:tblStyle w:val="37"/>
        <w:tblW w:w="9275"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07"/>
        <w:gridCol w:w="2849"/>
        <w:gridCol w:w="271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707" w:type="dxa"/>
            <w:vMerge w:val="restar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5568" w:type="dxa"/>
            <w:gridSpan w:val="2"/>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评估价值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07" w:type="dxa"/>
            <w:vAlign w:val="center"/>
          </w:tcPr>
          <w:p>
            <w:pPr>
              <w:widowControl/>
              <w:jc w:val="left"/>
              <w:rPr>
                <w:rFonts w:ascii="宋体" w:hAnsi="宋体" w:eastAsia="宋体" w:cs="宋体"/>
                <w:kern w:val="0"/>
                <w:sz w:val="20"/>
                <w:szCs w:val="20"/>
              </w:rPr>
            </w:pPr>
          </w:p>
        </w:tc>
        <w:tc>
          <w:tcPr>
            <w:tcW w:w="2849" w:type="dxa"/>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color w:val="000000"/>
                <w:kern w:val="0"/>
                <w:sz w:val="20"/>
                <w:szCs w:val="20"/>
              </w:rPr>
              <w:t>市场价值</w:t>
            </w:r>
          </w:p>
        </w:tc>
        <w:tc>
          <w:tcPr>
            <w:tcW w:w="2719" w:type="dxa"/>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color w:val="000000"/>
                <w:kern w:val="0"/>
                <w:sz w:val="20"/>
                <w:szCs w:val="20"/>
              </w:rPr>
              <w:t>清算价值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3707" w:type="dxa"/>
            <w:vAlign w:val="center"/>
          </w:tcPr>
          <w:p>
            <w:pPr>
              <w:widowControl/>
              <w:jc w:val="left"/>
              <w:rPr>
                <w:rFonts w:ascii="宋体" w:hAnsi="宋体" w:eastAsia="宋体" w:cs="宋体"/>
                <w:kern w:val="0"/>
                <w:sz w:val="20"/>
                <w:szCs w:val="20"/>
              </w:rPr>
            </w:pPr>
            <w:r>
              <w:rPr>
                <w:rFonts w:hint="eastAsia" w:ascii="宋体" w:hAnsi="宋体" w:eastAsia="宋体" w:cs="Times New Roman"/>
                <w:sz w:val="18"/>
                <w:szCs w:val="18"/>
              </w:rPr>
              <w:t>存货-开发产品</w:t>
            </w:r>
          </w:p>
        </w:tc>
        <w:tc>
          <w:tcPr>
            <w:tcW w:w="2849" w:type="dxa"/>
            <w:vAlign w:val="center"/>
          </w:tcPr>
          <w:p>
            <w:pPr>
              <w:widowControl/>
              <w:jc w:val="right"/>
              <w:textAlignment w:val="center"/>
              <w:rPr>
                <w:rFonts w:ascii="宋体" w:hAnsi="宋体" w:eastAsia="宋体" w:cs="Times New Roman"/>
                <w:sz w:val="18"/>
                <w:szCs w:val="18"/>
              </w:rPr>
            </w:pPr>
            <w:r>
              <w:rPr>
                <w:rFonts w:hint="eastAsia" w:ascii="宋体" w:hAnsi="宋体" w:eastAsia="宋体" w:cs="Times New Roman"/>
                <w:sz w:val="18"/>
                <w:szCs w:val="18"/>
              </w:rPr>
              <w:t xml:space="preserve"> 129,323,994.00 </w:t>
            </w:r>
          </w:p>
        </w:tc>
        <w:tc>
          <w:tcPr>
            <w:tcW w:w="2719" w:type="dxa"/>
            <w:vAlign w:val="center"/>
          </w:tcPr>
          <w:p>
            <w:pPr>
              <w:widowControl/>
              <w:jc w:val="right"/>
              <w:textAlignment w:val="center"/>
              <w:rPr>
                <w:rFonts w:ascii="宋体" w:hAnsi="宋体" w:eastAsia="宋体" w:cs="Times New Roman"/>
                <w:sz w:val="18"/>
                <w:szCs w:val="18"/>
              </w:rPr>
            </w:pPr>
            <w:r>
              <w:rPr>
                <w:rFonts w:hint="eastAsia" w:ascii="宋体" w:hAnsi="宋体" w:eastAsia="宋体" w:cs="Times New Roman"/>
                <w:sz w:val="18"/>
                <w:szCs w:val="18"/>
              </w:rPr>
              <w:t xml:space="preserve"> 90,526,806.00   </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0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合计</w:t>
            </w:r>
          </w:p>
        </w:tc>
        <w:tc>
          <w:tcPr>
            <w:tcW w:w="2849" w:type="dxa"/>
            <w:vAlign w:val="center"/>
          </w:tcPr>
          <w:p>
            <w:pPr>
              <w:widowControl/>
              <w:jc w:val="right"/>
              <w:textAlignment w:val="center"/>
              <w:rPr>
                <w:rFonts w:ascii="宋体" w:hAnsi="宋体" w:eastAsia="宋体" w:cs="Times New Roman"/>
                <w:sz w:val="18"/>
                <w:szCs w:val="18"/>
              </w:rPr>
            </w:pPr>
            <w:r>
              <w:rPr>
                <w:rFonts w:hint="eastAsia" w:ascii="宋体" w:hAnsi="宋体" w:eastAsia="宋体" w:cs="Times New Roman"/>
                <w:sz w:val="18"/>
                <w:szCs w:val="18"/>
              </w:rPr>
              <w:t xml:space="preserve"> 129,323,994.00 </w:t>
            </w:r>
          </w:p>
        </w:tc>
        <w:tc>
          <w:tcPr>
            <w:tcW w:w="2719" w:type="dxa"/>
            <w:vAlign w:val="center"/>
          </w:tcPr>
          <w:p>
            <w:pPr>
              <w:widowControl/>
              <w:jc w:val="right"/>
              <w:textAlignment w:val="center"/>
              <w:rPr>
                <w:rFonts w:ascii="宋体" w:hAnsi="宋体" w:eastAsia="宋体" w:cs="Times New Roman"/>
                <w:sz w:val="18"/>
                <w:szCs w:val="18"/>
              </w:rPr>
            </w:pPr>
            <w:r>
              <w:rPr>
                <w:rFonts w:hint="eastAsia" w:ascii="宋体" w:hAnsi="宋体" w:eastAsia="宋体" w:cs="Times New Roman"/>
                <w:sz w:val="18"/>
                <w:szCs w:val="18"/>
              </w:rPr>
              <w:t xml:space="preserve"> 90,526,806.00   </w:t>
            </w:r>
          </w:p>
        </w:tc>
      </w:tr>
    </w:tbl>
    <w:p>
      <w:pPr>
        <w:spacing w:line="440" w:lineRule="exact"/>
        <w:ind w:firstLine="723" w:firstLineChars="300"/>
        <w:rPr>
          <w:rFonts w:ascii="宋体" w:hAnsi="宋体" w:eastAsia="宋体"/>
          <w:sz w:val="24"/>
          <w:szCs w:val="24"/>
        </w:rPr>
      </w:pPr>
      <w:r>
        <w:rPr>
          <w:rFonts w:hint="eastAsia" w:ascii="宋体" w:hAnsi="宋体" w:eastAsia="宋体"/>
          <w:sz w:val="24"/>
          <w:szCs w:val="24"/>
        </w:rPr>
        <w:t>6）特别事项</w:t>
      </w:r>
    </w:p>
    <w:p>
      <w:pPr>
        <w:spacing w:line="440" w:lineRule="atLeast"/>
        <w:ind w:firstLine="482" w:firstLineChars="200"/>
        <w:rPr>
          <w:rFonts w:ascii="宋体" w:hAnsi="宋体" w:eastAsia="宋体"/>
          <w:sz w:val="24"/>
          <w:szCs w:val="24"/>
        </w:rPr>
      </w:pPr>
      <w:r>
        <w:rPr>
          <w:rFonts w:hint="eastAsia" w:ascii="宋体" w:hAnsi="宋体" w:eastAsia="宋体"/>
          <w:sz w:val="24"/>
          <w:szCs w:val="24"/>
        </w:rPr>
        <w:t>(1)在评估过程中，我们未考虑该等房屋建筑物因抵押、担保以及该物业出售时所应承担的费用和税项等可能影响其价值的任何限制。</w:t>
      </w:r>
    </w:p>
    <w:p>
      <w:pPr>
        <w:spacing w:line="440" w:lineRule="atLeast"/>
        <w:ind w:firstLine="482" w:firstLineChars="200"/>
        <w:rPr>
          <w:rFonts w:ascii="宋体" w:hAnsi="宋体" w:eastAsia="宋体"/>
          <w:sz w:val="24"/>
          <w:szCs w:val="24"/>
        </w:rPr>
      </w:pPr>
      <w:r>
        <w:rPr>
          <w:rFonts w:hint="eastAsia" w:ascii="宋体" w:hAnsi="宋体" w:eastAsia="宋体"/>
          <w:sz w:val="24"/>
          <w:szCs w:val="24"/>
        </w:rPr>
        <w:t>(2)我们曾视察所评房屋建筑物的外貌，在尽可能的情况下察看了房屋建筑物内部状况，但我们并未进行任何结构测试，我们也无法就此房屋建筑物之内部结构有无腐朽、虫蛀或其他任何结构损坏发表意见，也没有测试任何建筑构件。</w:t>
      </w:r>
    </w:p>
    <w:p>
      <w:pPr>
        <w:spacing w:line="440" w:lineRule="atLeast"/>
        <w:ind w:firstLine="482" w:firstLineChars="200"/>
        <w:rPr>
          <w:rFonts w:ascii="宋体" w:hAnsi="宋体" w:eastAsia="宋体"/>
          <w:sz w:val="24"/>
          <w:szCs w:val="24"/>
        </w:rPr>
      </w:pPr>
      <w:r>
        <w:rPr>
          <w:rFonts w:hint="eastAsia" w:ascii="宋体" w:hAnsi="宋体" w:eastAsia="宋体"/>
          <w:sz w:val="24"/>
          <w:szCs w:val="24"/>
        </w:rPr>
        <w:t>(3)评估对象的建筑面积和双方使用面积来源于委托人提供的相关资料，资产评估师未对建筑面积进行专业测量。经实地查勘和简单测量，评估对象建筑面积与双方提供的面积大体相当。若与实际不符，应据实调整评估价值。因其不实造成的影响，本公司不承担任何责任。</w:t>
      </w:r>
    </w:p>
    <w:p>
      <w:pPr>
        <w:autoSpaceDE w:val="0"/>
        <w:autoSpaceDN w:val="0"/>
        <w:adjustRightInd w:val="0"/>
        <w:spacing w:line="440" w:lineRule="atLeast"/>
        <w:ind w:firstLine="482" w:firstLineChars="200"/>
        <w:rPr>
          <w:rFonts w:ascii="宋体" w:hAnsi="宋体" w:eastAsia="宋体" w:cs="Times New Roman"/>
          <w:sz w:val="24"/>
          <w:szCs w:val="24"/>
        </w:rPr>
      </w:pPr>
      <w:r>
        <w:rPr>
          <w:rFonts w:hint="eastAsia" w:ascii="宋体" w:hAnsi="宋体" w:eastAsia="宋体" w:cs="Times New Roman"/>
          <w:sz w:val="24"/>
          <w:szCs w:val="24"/>
        </w:rPr>
        <w:t>2、在建工程-土建工程</w:t>
      </w:r>
    </w:p>
    <w:p>
      <w:pPr>
        <w:autoSpaceDE w:val="0"/>
        <w:autoSpaceDN w:val="0"/>
        <w:adjustRightInd w:val="0"/>
        <w:spacing w:line="440" w:lineRule="atLeast"/>
        <w:ind w:firstLine="482" w:firstLineChars="200"/>
        <w:rPr>
          <w:rFonts w:ascii="宋体" w:hAnsi="宋体" w:eastAsia="宋体" w:cs="Times New Roman"/>
          <w:sz w:val="24"/>
          <w:szCs w:val="24"/>
        </w:rPr>
      </w:pPr>
      <w:r>
        <w:rPr>
          <w:rFonts w:hint="eastAsia" w:ascii="宋体" w:hAnsi="宋体" w:eastAsia="宋体" w:cs="Times New Roman"/>
          <w:sz w:val="24"/>
          <w:szCs w:val="24"/>
        </w:rPr>
        <w:t>本次评估所涉及的在建工程-土建工程为13栋在建别墅，位于庆云县祥云大道东侧、马颊河与德惠新河之间。</w:t>
      </w:r>
    </w:p>
    <w:p>
      <w:pPr>
        <w:autoSpaceDE w:val="0"/>
        <w:autoSpaceDN w:val="0"/>
        <w:adjustRightInd w:val="0"/>
        <w:spacing w:line="440" w:lineRule="atLeast"/>
        <w:ind w:firstLine="482" w:firstLineChars="200"/>
        <w:rPr>
          <w:rFonts w:ascii="宋体" w:hAnsi="宋体" w:eastAsia="宋体" w:cs="Times New Roman"/>
          <w:sz w:val="24"/>
          <w:szCs w:val="24"/>
        </w:rPr>
      </w:pPr>
      <w:r>
        <w:rPr>
          <w:rFonts w:hint="eastAsia" w:ascii="宋体" w:hAnsi="宋体" w:eastAsia="宋体" w:cs="Times New Roman"/>
          <w:sz w:val="24"/>
          <w:szCs w:val="24"/>
        </w:rPr>
        <w:t>土建工程所在的宗地使用权面积84,199.74平方米，规划总建筑面积59,954.81平方米，整个地块呈长方形，目前该宗地上的东部已建成6幢多层住宅，在建别墅面积为13,534.50平方米。该宗地仅由支路与祥云大道相通，无公交线路可达，距离庆云汽车站约2km，周边配套设施尚不完善。</w:t>
      </w:r>
    </w:p>
    <w:p>
      <w:pPr>
        <w:widowControl/>
        <w:numPr>
          <w:ilvl w:val="255"/>
          <w:numId w:val="0"/>
        </w:numPr>
        <w:spacing w:line="440" w:lineRule="atLeast"/>
        <w:ind w:right="-135" w:rightChars="-64" w:firstLine="480"/>
        <w:jc w:val="left"/>
        <w:rPr>
          <w:rFonts w:ascii="Times New Roman" w:hAnsi="Times New Roman" w:eastAsia="宋体" w:cs="Times New Roman"/>
          <w:sz w:val="24"/>
          <w:szCs w:val="24"/>
        </w:rPr>
      </w:pPr>
      <w:r>
        <w:rPr>
          <w:rFonts w:hint="eastAsia" w:ascii="宋体" w:hAnsi="宋体" w:eastAsia="宋体" w:cs="宋体"/>
          <w:kern w:val="0"/>
          <w:sz w:val="24"/>
          <w:szCs w:val="24"/>
        </w:rPr>
        <w:t>（1）</w:t>
      </w:r>
      <w:r>
        <w:rPr>
          <w:rFonts w:hint="eastAsia" w:ascii="宋体" w:hAnsi="宋体" w:eastAsia="宋体" w:cs="Times New Roman"/>
          <w:kern w:val="0"/>
          <w:sz w:val="24"/>
          <w:szCs w:val="24"/>
        </w:rPr>
        <w:t>土建工程</w:t>
      </w:r>
    </w:p>
    <w:p>
      <w:pPr>
        <w:widowControl/>
        <w:adjustRightInd w:val="0"/>
        <w:snapToGrid w:val="0"/>
        <w:spacing w:line="440" w:lineRule="exact"/>
        <w:ind w:firstLine="482" w:firstLineChars="200"/>
        <w:jc w:val="left"/>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评估范围</w:t>
      </w:r>
      <w:r>
        <w:rPr>
          <w:rFonts w:hint="eastAsia" w:ascii="宋体" w:hAnsi="宋体" w:eastAsia="宋体" w:cs="宋体"/>
          <w:kern w:val="0"/>
          <w:sz w:val="24"/>
          <w:szCs w:val="24"/>
        </w:rPr>
        <w:t>及概况</w:t>
      </w:r>
    </w:p>
    <w:p>
      <w:pPr>
        <w:widowControl/>
        <w:spacing w:line="440" w:lineRule="atLeast"/>
        <w:ind w:right="-135" w:rightChars="-64" w:firstLine="482" w:firstLineChars="200"/>
        <w:rPr>
          <w:rFonts w:ascii="宋体" w:hAnsi="宋体" w:eastAsia="宋体" w:cs="宋体"/>
          <w:kern w:val="0"/>
          <w:sz w:val="24"/>
          <w:szCs w:val="24"/>
        </w:rPr>
      </w:pPr>
      <w:r>
        <w:rPr>
          <w:rFonts w:hint="eastAsia" w:ascii="宋体" w:hAnsi="宋体" w:eastAsia="宋体" w:cs="宋体"/>
          <w:kern w:val="0"/>
          <w:sz w:val="24"/>
          <w:szCs w:val="24"/>
        </w:rPr>
        <w:t>评估范围为山东水云间置业发展有限公司因破产清算所涉及的13栋在建别墅，位于庆云县祥云大道东侧、马颊河与德惠新河。</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在建的13栋别墅包括：</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评估明细表-在建工程第1-5项</w:t>
      </w:r>
      <w:r>
        <w:rPr>
          <w:rStyle w:val="44"/>
          <w:rFonts w:hint="eastAsia" w:ascii="Times New Roman" w:hAnsi="Times New Roman" w:eastAsia="宋体" w:cs="Times New Roman"/>
        </w:rPr>
        <w:t>共</w:t>
      </w:r>
      <w:r>
        <w:rPr>
          <w:rFonts w:hint="eastAsia" w:ascii="宋体" w:hAnsi="宋体" w:eastAsia="宋体" w:cs="Times New Roman"/>
          <w:sz w:val="24"/>
          <w:szCs w:val="24"/>
        </w:rPr>
        <w:t>5栋双拼别墅，已完成土建工程施工，建筑主体已封顶，尚未完成装饰及安装施工。</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第6-7项2栋联排别墅，已完成土建工程施工，建筑主体已封顶，内墙抹灰，尚未完成外墙装饰及安装施工。</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第8-10项3栋独栋别墅，已完成土建工程施工，建筑主体已封顶，尚未完成外墙装饰及安装施工。</w:t>
      </w:r>
    </w:p>
    <w:p>
      <w:pPr>
        <w:autoSpaceDE w:val="0"/>
        <w:autoSpaceDN w:val="0"/>
        <w:adjustRightInd w:val="0"/>
        <w:spacing w:line="440" w:lineRule="atLeas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第11-12项3栋复式住宅，其中29号已完成土建工程施工，建筑主体已封顶，尚未完成外墙装饰及安装施工；30号已完成土建工程施工，建筑主体已封顶，内墙抹灰，尚未完成外墙装饰及安装施工；31号建筑主体未封顶，1-3层内墙抹灰，尚未完成外墙装饰及安装施工。</w:t>
      </w:r>
    </w:p>
    <w:p>
      <w:pPr>
        <w:widowControl/>
        <w:spacing w:line="440" w:lineRule="atLeast"/>
        <w:ind w:right="-135" w:rightChars="-64" w:firstLine="482" w:firstLineChars="200"/>
        <w:rPr>
          <w:rFonts w:ascii="宋体" w:hAnsi="宋体" w:eastAsia="宋体" w:cs="宋体"/>
          <w:kern w:val="0"/>
          <w:sz w:val="24"/>
          <w:szCs w:val="24"/>
        </w:rPr>
      </w:pPr>
      <w:r>
        <w:rPr>
          <w:rFonts w:hint="eastAsia" w:ascii="宋体" w:hAnsi="宋体" w:eastAsia="宋体" w:cs="宋体"/>
          <w:kern w:val="0"/>
          <w:sz w:val="24"/>
          <w:szCs w:val="24"/>
        </w:rPr>
        <w:t>各项主要土建工程的结构及面积的明细如下：</w:t>
      </w:r>
    </w:p>
    <w:p>
      <w:pPr>
        <w:widowControl/>
        <w:spacing w:line="440" w:lineRule="atLeast"/>
        <w:ind w:right="-135" w:rightChars="-64" w:firstLine="480"/>
        <w:jc w:val="right"/>
        <w:rPr>
          <w:rFonts w:ascii="宋体" w:hAnsi="宋体" w:eastAsia="宋体" w:cs="宋体"/>
          <w:kern w:val="0"/>
          <w:sz w:val="24"/>
          <w:szCs w:val="24"/>
        </w:rPr>
      </w:pPr>
      <w:r>
        <w:rPr>
          <w:rFonts w:hint="eastAsia" w:ascii="宋体" w:hAnsi="宋体" w:eastAsia="宋体" w:cs="宋体"/>
          <w:kern w:val="0"/>
          <w:sz w:val="24"/>
          <w:szCs w:val="24"/>
        </w:rPr>
        <w:t>单位：平方米</w:t>
      </w:r>
    </w:p>
    <w:tbl>
      <w:tblPr>
        <w:tblStyle w:val="37"/>
        <w:tblW w:w="9083" w:type="dxa"/>
        <w:tblInd w:w="0" w:type="dxa"/>
        <w:tblLayout w:type="fixed"/>
        <w:tblCellMar>
          <w:top w:w="0" w:type="dxa"/>
          <w:left w:w="0" w:type="dxa"/>
          <w:bottom w:w="0" w:type="dxa"/>
          <w:right w:w="0" w:type="dxa"/>
        </w:tblCellMar>
      </w:tblPr>
      <w:tblGrid>
        <w:gridCol w:w="2930"/>
        <w:gridCol w:w="3788"/>
        <w:gridCol w:w="2365"/>
      </w:tblGrid>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项目名称</w:t>
            </w:r>
          </w:p>
        </w:tc>
        <w:tc>
          <w:tcPr>
            <w:tcW w:w="37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结构</w:t>
            </w:r>
          </w:p>
        </w:tc>
        <w:tc>
          <w:tcPr>
            <w:tcW w:w="23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建筑面积</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双拼18</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513.20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双拼19</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513.20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双拼20</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513.20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双拼21</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513.20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双拼22</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513.20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联排10</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1,024.00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联排11</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1,024.00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独栋23</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329.00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独栋24</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329.00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独栋25</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329.00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复式29</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2,644.50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复式30</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2,644.50 </w:t>
            </w:r>
          </w:p>
        </w:tc>
      </w:tr>
      <w:tr>
        <w:tblPrEx>
          <w:tblLayout w:type="fixed"/>
          <w:tblCellMar>
            <w:top w:w="0" w:type="dxa"/>
            <w:left w:w="0" w:type="dxa"/>
            <w:bottom w:w="0" w:type="dxa"/>
            <w:right w:w="0" w:type="dxa"/>
          </w:tblCellMar>
        </w:tblPrEx>
        <w:trPr>
          <w:trHeight w:val="283" w:hRule="atLeast"/>
          <w:tblHeader/>
        </w:trPr>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复式31</w:t>
            </w: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砖混</w:t>
            </w:r>
          </w:p>
        </w:tc>
        <w:tc>
          <w:tcPr>
            <w:tcW w:w="23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 xml:space="preserve">2,644.50 </w:t>
            </w:r>
          </w:p>
        </w:tc>
      </w:tr>
    </w:tbl>
    <w:p>
      <w:pPr>
        <w:widowControl/>
        <w:spacing w:line="440" w:lineRule="atLeast"/>
        <w:ind w:right="-135" w:rightChars="-64" w:firstLine="480"/>
        <w:jc w:val="left"/>
        <w:rPr>
          <w:rFonts w:ascii="宋体" w:hAnsi="宋体" w:eastAsia="宋体" w:cs="宋体"/>
          <w:kern w:val="0"/>
          <w:sz w:val="24"/>
          <w:szCs w:val="24"/>
        </w:rPr>
      </w:pPr>
      <w:r>
        <w:rPr>
          <w:rFonts w:hint="eastAsia" w:ascii="宋体" w:hAnsi="宋体" w:eastAsia="宋体" w:cs="宋体"/>
          <w:kern w:val="0"/>
          <w:sz w:val="24"/>
          <w:szCs w:val="24"/>
        </w:rPr>
        <w:t>2）评估过程</w:t>
      </w:r>
    </w:p>
    <w:p>
      <w:pPr>
        <w:widowControl/>
        <w:spacing w:line="440" w:lineRule="exact"/>
        <w:ind w:firstLine="482" w:firstLineChars="200"/>
        <w:jc w:val="left"/>
        <w:rPr>
          <w:rFonts w:ascii="宋体" w:hAnsi="宋体" w:eastAsia="宋体" w:cs="宋体"/>
          <w:kern w:val="0"/>
          <w:sz w:val="24"/>
          <w:szCs w:val="24"/>
        </w:rPr>
      </w:pPr>
      <w:r>
        <w:rPr>
          <w:rFonts w:hint="eastAsia" w:ascii="宋体" w:hAnsi="宋体" w:eastAsia="宋体" w:cs="宋体"/>
          <w:kern w:val="0"/>
          <w:sz w:val="24"/>
          <w:szCs w:val="24"/>
        </w:rPr>
        <w:t>①检查资产评估明细表各项内容填写情况。</w:t>
      </w:r>
    </w:p>
    <w:p>
      <w:pPr>
        <w:widowControl/>
        <w:spacing w:line="440" w:lineRule="exact"/>
        <w:ind w:firstLine="482" w:firstLineChars="200"/>
        <w:jc w:val="left"/>
        <w:rPr>
          <w:rFonts w:ascii="宋体" w:hAnsi="宋体" w:eastAsia="宋体" w:cs="宋体"/>
          <w:kern w:val="0"/>
          <w:sz w:val="24"/>
          <w:szCs w:val="24"/>
        </w:rPr>
      </w:pPr>
      <w:r>
        <w:rPr>
          <w:rFonts w:hint="eastAsia" w:ascii="宋体" w:hAnsi="宋体" w:eastAsia="宋体" w:cs="宋体"/>
          <w:kern w:val="0"/>
          <w:sz w:val="24"/>
          <w:szCs w:val="24"/>
        </w:rPr>
        <w:t>②根据申报的在建工程项目，通过与现场工作人员交谈了解工程实际进度情况。</w:t>
      </w:r>
    </w:p>
    <w:p>
      <w:pPr>
        <w:widowControl/>
        <w:spacing w:line="440" w:lineRule="exact"/>
        <w:ind w:firstLine="482" w:firstLineChars="200"/>
        <w:jc w:val="left"/>
        <w:rPr>
          <w:rFonts w:ascii="宋体" w:hAnsi="宋体" w:eastAsia="宋体" w:cs="宋体"/>
          <w:kern w:val="0"/>
          <w:sz w:val="24"/>
          <w:szCs w:val="24"/>
        </w:rPr>
      </w:pPr>
      <w:r>
        <w:rPr>
          <w:rFonts w:hint="eastAsia" w:ascii="宋体" w:hAnsi="宋体" w:eastAsia="宋体" w:cs="宋体"/>
          <w:kern w:val="0"/>
          <w:sz w:val="24"/>
          <w:szCs w:val="24"/>
        </w:rPr>
        <w:t>③现场实地勘察在建工程的形象进度。</w:t>
      </w:r>
    </w:p>
    <w:p>
      <w:pPr>
        <w:widowControl/>
        <w:spacing w:line="440" w:lineRule="exact"/>
        <w:ind w:firstLine="482" w:firstLineChars="200"/>
        <w:jc w:val="left"/>
        <w:rPr>
          <w:rFonts w:ascii="宋体" w:hAnsi="宋体" w:eastAsia="宋体" w:cs="宋体"/>
          <w:kern w:val="0"/>
          <w:sz w:val="24"/>
          <w:szCs w:val="24"/>
        </w:rPr>
      </w:pPr>
      <w:r>
        <w:rPr>
          <w:rFonts w:hint="eastAsia" w:ascii="宋体" w:hAnsi="宋体" w:eastAsia="宋体" w:cs="宋体"/>
          <w:kern w:val="0"/>
          <w:sz w:val="24"/>
          <w:szCs w:val="24"/>
        </w:rPr>
        <w:t>④通过现场了解，确定评估方法，测算在建工程评估值。</w:t>
      </w:r>
    </w:p>
    <w:p>
      <w:pPr>
        <w:widowControl/>
        <w:spacing w:line="440" w:lineRule="exact"/>
        <w:ind w:firstLine="482" w:firstLineChars="200"/>
        <w:jc w:val="left"/>
        <w:rPr>
          <w:rFonts w:ascii="宋体" w:hAnsi="宋体" w:eastAsia="宋体" w:cs="宋体"/>
          <w:kern w:val="0"/>
          <w:sz w:val="24"/>
          <w:szCs w:val="24"/>
        </w:rPr>
      </w:pPr>
      <w:r>
        <w:rPr>
          <w:rFonts w:hint="eastAsia" w:ascii="宋体" w:hAnsi="宋体" w:eastAsia="宋体" w:cs="宋体"/>
          <w:kern w:val="0"/>
          <w:sz w:val="24"/>
          <w:szCs w:val="24"/>
        </w:rPr>
        <w:t>⑤撰写在建工程评估技术说明。</w:t>
      </w:r>
    </w:p>
    <w:p>
      <w:pPr>
        <w:widowControl/>
        <w:spacing w:line="440" w:lineRule="exact"/>
        <w:ind w:firstLine="482" w:firstLineChars="200"/>
        <w:jc w:val="left"/>
        <w:rPr>
          <w:rFonts w:ascii="宋体" w:hAnsi="宋体" w:eastAsia="宋体" w:cs="宋体"/>
          <w:kern w:val="0"/>
          <w:sz w:val="24"/>
          <w:szCs w:val="24"/>
        </w:rPr>
      </w:pPr>
      <w:r>
        <w:rPr>
          <w:rFonts w:hint="eastAsia" w:ascii="宋体" w:hAnsi="宋体" w:eastAsia="宋体" w:cs="宋体"/>
          <w:kern w:val="0"/>
          <w:sz w:val="24"/>
          <w:szCs w:val="24"/>
        </w:rPr>
        <w:t>3）评估方法</w:t>
      </w:r>
    </w:p>
    <w:p>
      <w:pPr>
        <w:widowControl/>
        <w:spacing w:line="440" w:lineRule="exact"/>
        <w:ind w:firstLine="482" w:firstLineChars="200"/>
        <w:rPr>
          <w:rFonts w:ascii="宋体" w:hAnsi="宋体" w:eastAsia="宋体" w:cs="宋体"/>
          <w:kern w:val="0"/>
          <w:sz w:val="24"/>
          <w:szCs w:val="24"/>
        </w:rPr>
      </w:pPr>
      <w:r>
        <w:rPr>
          <w:rFonts w:hint="eastAsia" w:ascii="宋体" w:hAnsi="宋体" w:eastAsia="宋体" w:cs="宋体"/>
          <w:kern w:val="0"/>
          <w:sz w:val="24"/>
          <w:szCs w:val="24"/>
        </w:rPr>
        <w:t>本次评估范围内在建工程的评估方法采用成本法。</w:t>
      </w:r>
    </w:p>
    <w:p>
      <w:pPr>
        <w:widowControl/>
        <w:spacing w:line="440" w:lineRule="exact"/>
        <w:ind w:firstLine="482" w:firstLineChars="200"/>
        <w:rPr>
          <w:rFonts w:ascii="宋体" w:hAnsi="宋体" w:eastAsia="宋体" w:cs="宋体"/>
          <w:kern w:val="0"/>
          <w:sz w:val="24"/>
          <w:szCs w:val="24"/>
        </w:rPr>
      </w:pPr>
      <w:r>
        <w:rPr>
          <w:rFonts w:hint="eastAsia" w:ascii="宋体" w:hAnsi="宋体" w:eastAsia="宋体" w:cs="宋体"/>
          <w:kern w:val="0"/>
          <w:sz w:val="24"/>
          <w:szCs w:val="24"/>
        </w:rPr>
        <w:t>对于在建别墅，按照重置成本法计算市场价值，在此基础上乘以变现系数，计算清算价值。</w:t>
      </w:r>
    </w:p>
    <w:p>
      <w:pPr>
        <w:widowControl/>
        <w:spacing w:line="440" w:lineRule="exact"/>
        <w:ind w:firstLine="482" w:firstLineChars="200"/>
        <w:rPr>
          <w:rFonts w:ascii="宋体" w:hAnsi="宋体" w:eastAsia="宋体" w:cs="宋体"/>
          <w:kern w:val="0"/>
          <w:sz w:val="24"/>
          <w:szCs w:val="24"/>
        </w:rPr>
      </w:pPr>
      <w:r>
        <w:rPr>
          <w:rFonts w:hint="eastAsia" w:ascii="宋体" w:hAnsi="宋体" w:eastAsia="宋体" w:cs="宋体"/>
          <w:kern w:val="0"/>
          <w:sz w:val="24"/>
          <w:szCs w:val="24"/>
        </w:rPr>
        <w:t>在建别墅清算价值=在建别墅的市场价值×变现系数</w:t>
      </w:r>
    </w:p>
    <w:p>
      <w:pPr>
        <w:autoSpaceDE w:val="0"/>
        <w:autoSpaceDN w:val="0"/>
        <w:adjustRightInd w:val="0"/>
        <w:spacing w:line="44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A、重置成本的估算</w:t>
      </w:r>
    </w:p>
    <w:p>
      <w:pPr>
        <w:autoSpaceDE w:val="0"/>
        <w:autoSpaceDN w:val="0"/>
        <w:adjustRightInd w:val="0"/>
        <w:spacing w:line="44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重置成本＝建安工程造价+前期费用及其它费用+资金成本</w:t>
      </w:r>
    </w:p>
    <w:p>
      <w:pPr>
        <w:autoSpaceDE w:val="0"/>
        <w:autoSpaceDN w:val="0"/>
        <w:adjustRightInd w:val="0"/>
        <w:spacing w:line="44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(1)建安工程造价</w:t>
      </w:r>
    </w:p>
    <w:p>
      <w:pPr>
        <w:autoSpaceDE w:val="0"/>
        <w:autoSpaceDN w:val="0"/>
        <w:adjustRightInd w:val="0"/>
        <w:spacing w:line="44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我们对建筑物进行了现场勘察，通过现场勘察，了解建筑物的建筑特征，并参照了该建筑物的工程结算及类似工程的造价情况，通过查阅同类工程材料、人工、机械用量和基准日相近的德州市工程造价信息相关信息数据，进行价差调整和综合取费，套用山东省2016年定额计算公式和相关取费标准，测算出该工程基准日的综合造价。</w:t>
      </w:r>
    </w:p>
    <w:p>
      <w:pPr>
        <w:autoSpaceDE w:val="0"/>
        <w:autoSpaceDN w:val="0"/>
        <w:adjustRightInd w:val="0"/>
        <w:spacing w:line="44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(2)前期费用及其它费用</w:t>
      </w:r>
    </w:p>
    <w:p>
      <w:pPr>
        <w:autoSpaceDE w:val="0"/>
        <w:autoSpaceDN w:val="0"/>
        <w:adjustRightInd w:val="0"/>
        <w:spacing w:line="44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房屋前期费用及其它费用取费表</w:t>
      </w:r>
    </w:p>
    <w:tbl>
      <w:tblPr>
        <w:tblStyle w:val="37"/>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133"/>
        <w:gridCol w:w="4111"/>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811" w:type="dxa"/>
            <w:vAlign w:val="center"/>
          </w:tcPr>
          <w:p>
            <w:pPr>
              <w:autoSpaceDE w:val="0"/>
              <w:autoSpaceDN w:val="0"/>
              <w:adjustRightInd w:val="0"/>
              <w:spacing w:line="430" w:lineRule="exact"/>
              <w:ind w:right="-21" w:rightChars="-10"/>
              <w:jc w:val="center"/>
              <w:rPr>
                <w:rFonts w:ascii="宋体" w:hAnsi="宋体" w:eastAsia="宋体" w:cs="Times New Roman"/>
                <w:sz w:val="18"/>
                <w:szCs w:val="18"/>
              </w:rPr>
            </w:pPr>
            <w:r>
              <w:rPr>
                <w:rFonts w:hint="eastAsia" w:ascii="宋体" w:hAnsi="宋体" w:eastAsia="宋体" w:cs="Times New Roman"/>
                <w:sz w:val="18"/>
                <w:szCs w:val="18"/>
              </w:rPr>
              <w:t>费用项目</w:t>
            </w:r>
          </w:p>
        </w:tc>
        <w:tc>
          <w:tcPr>
            <w:tcW w:w="1133" w:type="dxa"/>
            <w:vAlign w:val="center"/>
          </w:tcPr>
          <w:p>
            <w:pPr>
              <w:autoSpaceDE w:val="0"/>
              <w:autoSpaceDN w:val="0"/>
              <w:adjustRightInd w:val="0"/>
              <w:spacing w:line="430" w:lineRule="exact"/>
              <w:ind w:right="-21" w:rightChars="-10"/>
              <w:jc w:val="center"/>
              <w:rPr>
                <w:rFonts w:ascii="宋体" w:hAnsi="宋体" w:eastAsia="宋体" w:cs="Times New Roman"/>
                <w:sz w:val="18"/>
                <w:szCs w:val="18"/>
              </w:rPr>
            </w:pPr>
            <w:r>
              <w:rPr>
                <w:rFonts w:hint="eastAsia" w:ascii="宋体" w:hAnsi="宋体" w:eastAsia="宋体" w:cs="Times New Roman"/>
                <w:sz w:val="18"/>
                <w:szCs w:val="18"/>
              </w:rPr>
              <w:t>征收标准</w:t>
            </w:r>
          </w:p>
        </w:tc>
        <w:tc>
          <w:tcPr>
            <w:tcW w:w="4111" w:type="dxa"/>
            <w:vAlign w:val="center"/>
          </w:tcPr>
          <w:p>
            <w:pPr>
              <w:autoSpaceDE w:val="0"/>
              <w:autoSpaceDN w:val="0"/>
              <w:adjustRightInd w:val="0"/>
              <w:spacing w:line="430" w:lineRule="exact"/>
              <w:ind w:right="-21" w:rightChars="-10"/>
              <w:jc w:val="center"/>
              <w:rPr>
                <w:rFonts w:ascii="宋体" w:hAnsi="宋体" w:eastAsia="宋体" w:cs="Times New Roman"/>
                <w:sz w:val="18"/>
                <w:szCs w:val="18"/>
              </w:rPr>
            </w:pPr>
            <w:r>
              <w:rPr>
                <w:rFonts w:hint="eastAsia" w:ascii="宋体" w:hAnsi="宋体" w:eastAsia="宋体" w:cs="Times New Roman"/>
                <w:sz w:val="18"/>
                <w:szCs w:val="18"/>
              </w:rPr>
              <w:t>取费依据</w:t>
            </w:r>
          </w:p>
        </w:tc>
        <w:tc>
          <w:tcPr>
            <w:tcW w:w="2220" w:type="dxa"/>
            <w:vAlign w:val="center"/>
          </w:tcPr>
          <w:p>
            <w:pPr>
              <w:autoSpaceDE w:val="0"/>
              <w:autoSpaceDN w:val="0"/>
              <w:adjustRightInd w:val="0"/>
              <w:spacing w:line="430" w:lineRule="exact"/>
              <w:ind w:right="-21" w:rightChars="-10"/>
              <w:jc w:val="center"/>
              <w:rPr>
                <w:rFonts w:ascii="宋体" w:hAnsi="宋体" w:eastAsia="宋体" w:cs="Times New Roman"/>
                <w:sz w:val="18"/>
                <w:szCs w:val="18"/>
              </w:rPr>
            </w:pPr>
            <w:r>
              <w:rPr>
                <w:rFonts w:hint="eastAsia" w:ascii="宋体" w:hAnsi="宋体" w:eastAsia="宋体" w:cs="Times New Roman"/>
                <w:sz w:val="18"/>
                <w:szCs w:val="18"/>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1" w:type="dxa"/>
            <w:vAlign w:val="bottom"/>
          </w:tcPr>
          <w:p>
            <w:pPr>
              <w:widowControl/>
              <w:jc w:val="left"/>
              <w:textAlignment w:val="bottom"/>
              <w:rPr>
                <w:rFonts w:ascii="宋体" w:hAnsi="宋体" w:eastAsia="宋体" w:cs="Times New Roman"/>
                <w:sz w:val="18"/>
                <w:szCs w:val="18"/>
              </w:rPr>
            </w:pPr>
            <w:r>
              <w:rPr>
                <w:rFonts w:hint="eastAsia" w:ascii="宋体" w:hAnsi="宋体" w:eastAsia="宋体" w:cs="宋体"/>
                <w:color w:val="000000"/>
                <w:kern w:val="0"/>
                <w:sz w:val="18"/>
                <w:szCs w:val="18"/>
              </w:rPr>
              <w:t>建设单位管理费</w:t>
            </w:r>
          </w:p>
        </w:tc>
        <w:tc>
          <w:tcPr>
            <w:tcW w:w="1133" w:type="dxa"/>
            <w:vAlign w:val="cente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8"/>
                <w:szCs w:val="18"/>
              </w:rPr>
              <w:t>1.75%</w:t>
            </w:r>
          </w:p>
        </w:tc>
        <w:tc>
          <w:tcPr>
            <w:tcW w:w="4111" w:type="dxa"/>
            <w:vAlign w:val="bottom"/>
          </w:tcPr>
          <w:p>
            <w:pPr>
              <w:widowControl/>
              <w:jc w:val="left"/>
              <w:textAlignment w:val="bottom"/>
              <w:rPr>
                <w:rFonts w:ascii="宋体" w:hAnsi="宋体" w:eastAsia="宋体" w:cs="Times New Roman"/>
                <w:sz w:val="18"/>
                <w:szCs w:val="18"/>
              </w:rPr>
            </w:pPr>
            <w:r>
              <w:rPr>
                <w:rFonts w:hint="eastAsia" w:ascii="宋体" w:hAnsi="宋体" w:eastAsia="宋体" w:cs="宋体"/>
                <w:color w:val="000000"/>
                <w:kern w:val="0"/>
                <w:sz w:val="18"/>
                <w:szCs w:val="18"/>
              </w:rPr>
              <w:t>财建[2016]504号</w:t>
            </w:r>
          </w:p>
        </w:tc>
        <w:tc>
          <w:tcPr>
            <w:tcW w:w="2220" w:type="dxa"/>
            <w:vAlign w:val="center"/>
          </w:tcPr>
          <w:p>
            <w:pPr>
              <w:autoSpaceDE w:val="0"/>
              <w:autoSpaceDN w:val="0"/>
              <w:adjustRightInd w:val="0"/>
              <w:spacing w:line="430" w:lineRule="exact"/>
              <w:ind w:right="-21" w:rightChars="-10"/>
              <w:rPr>
                <w:rFonts w:ascii="宋体" w:hAnsi="宋体" w:eastAsia="宋体" w:cs="Times New Roman"/>
                <w:sz w:val="18"/>
                <w:szCs w:val="18"/>
              </w:rPr>
            </w:pPr>
            <w:r>
              <w:rPr>
                <w:rFonts w:hint="eastAsia" w:ascii="宋体" w:hAnsi="宋体" w:eastAsia="宋体" w:cs="Times New Roman"/>
                <w:sz w:val="18"/>
                <w:szCs w:val="18"/>
              </w:rPr>
              <w:t>建安总造价×费率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1" w:type="dxa"/>
            <w:vAlign w:val="bottom"/>
          </w:tcPr>
          <w:p>
            <w:pPr>
              <w:widowControl/>
              <w:jc w:val="left"/>
              <w:textAlignment w:val="bottom"/>
              <w:rPr>
                <w:rFonts w:ascii="宋体" w:hAnsi="宋体" w:eastAsia="宋体" w:cs="Times New Roman"/>
                <w:sz w:val="18"/>
                <w:szCs w:val="18"/>
              </w:rPr>
            </w:pPr>
            <w:r>
              <w:rPr>
                <w:rFonts w:hint="eastAsia" w:ascii="宋体" w:hAnsi="宋体" w:eastAsia="宋体" w:cs="宋体"/>
                <w:color w:val="000000"/>
                <w:kern w:val="0"/>
                <w:sz w:val="18"/>
                <w:szCs w:val="18"/>
              </w:rPr>
              <w:t>勘查设计费</w:t>
            </w:r>
          </w:p>
        </w:tc>
        <w:tc>
          <w:tcPr>
            <w:tcW w:w="1133" w:type="dxa"/>
            <w:vAlign w:val="cente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8"/>
                <w:szCs w:val="18"/>
              </w:rPr>
              <w:t>2.47%</w:t>
            </w:r>
          </w:p>
        </w:tc>
        <w:tc>
          <w:tcPr>
            <w:tcW w:w="4111" w:type="dxa"/>
            <w:vAlign w:val="bottom"/>
          </w:tcPr>
          <w:p>
            <w:pPr>
              <w:widowControl/>
              <w:jc w:val="left"/>
              <w:textAlignment w:val="bottom"/>
              <w:rPr>
                <w:rFonts w:ascii="宋体" w:hAnsi="宋体" w:eastAsia="宋体" w:cs="Times New Roman"/>
                <w:sz w:val="18"/>
                <w:szCs w:val="18"/>
              </w:rPr>
            </w:pPr>
            <w:r>
              <w:rPr>
                <w:rFonts w:hint="eastAsia" w:ascii="宋体" w:hAnsi="宋体" w:eastAsia="宋体" w:cs="宋体"/>
                <w:color w:val="000000"/>
                <w:kern w:val="0"/>
                <w:sz w:val="18"/>
                <w:szCs w:val="18"/>
              </w:rPr>
              <w:t>国家计委、建设部计价格【2002】10号</w:t>
            </w:r>
          </w:p>
        </w:tc>
        <w:tc>
          <w:tcPr>
            <w:tcW w:w="2220" w:type="dxa"/>
            <w:vAlign w:val="center"/>
          </w:tcPr>
          <w:p>
            <w:pPr>
              <w:autoSpaceDE w:val="0"/>
              <w:autoSpaceDN w:val="0"/>
              <w:adjustRightInd w:val="0"/>
              <w:spacing w:line="430" w:lineRule="exact"/>
              <w:ind w:right="-21" w:rightChars="-10"/>
              <w:rPr>
                <w:rFonts w:ascii="宋体" w:hAnsi="宋体" w:eastAsia="宋体" w:cs="Times New Roman"/>
                <w:sz w:val="18"/>
                <w:szCs w:val="18"/>
              </w:rPr>
            </w:pPr>
            <w:r>
              <w:rPr>
                <w:rFonts w:hint="eastAsia" w:ascii="宋体" w:hAnsi="宋体" w:eastAsia="宋体" w:cs="Times New Roman"/>
                <w:sz w:val="18"/>
                <w:szCs w:val="18"/>
              </w:rPr>
              <w:t>建安总造价×费率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1" w:type="dxa"/>
            <w:vAlign w:val="bottom"/>
          </w:tcPr>
          <w:p>
            <w:pPr>
              <w:widowControl/>
              <w:jc w:val="left"/>
              <w:textAlignment w:val="bottom"/>
              <w:rPr>
                <w:rFonts w:ascii="宋体" w:hAnsi="宋体" w:eastAsia="宋体" w:cs="Times New Roman"/>
                <w:sz w:val="18"/>
                <w:szCs w:val="18"/>
              </w:rPr>
            </w:pPr>
            <w:r>
              <w:rPr>
                <w:rFonts w:hint="eastAsia" w:ascii="宋体" w:hAnsi="宋体" w:eastAsia="宋体" w:cs="宋体"/>
                <w:color w:val="000000"/>
                <w:kern w:val="0"/>
                <w:sz w:val="18"/>
                <w:szCs w:val="18"/>
              </w:rPr>
              <w:t>工程建设监理费</w:t>
            </w:r>
          </w:p>
        </w:tc>
        <w:tc>
          <w:tcPr>
            <w:tcW w:w="1133" w:type="dxa"/>
            <w:vAlign w:val="cente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8"/>
                <w:szCs w:val="18"/>
              </w:rPr>
              <w:t>2.16%</w:t>
            </w:r>
          </w:p>
        </w:tc>
        <w:tc>
          <w:tcPr>
            <w:tcW w:w="4111" w:type="dxa"/>
            <w:vAlign w:val="bottom"/>
          </w:tcPr>
          <w:p>
            <w:pPr>
              <w:widowControl/>
              <w:jc w:val="left"/>
              <w:textAlignment w:val="bottom"/>
              <w:rPr>
                <w:rFonts w:ascii="宋体" w:hAnsi="宋体" w:eastAsia="宋体" w:cs="Times New Roman"/>
                <w:sz w:val="18"/>
                <w:szCs w:val="18"/>
              </w:rPr>
            </w:pPr>
            <w:r>
              <w:rPr>
                <w:rFonts w:hint="eastAsia" w:ascii="宋体" w:hAnsi="宋体" w:eastAsia="宋体" w:cs="宋体"/>
                <w:color w:val="000000"/>
                <w:kern w:val="0"/>
                <w:sz w:val="18"/>
                <w:szCs w:val="18"/>
              </w:rPr>
              <w:t>发改价格〔2007〕670号</w:t>
            </w:r>
          </w:p>
        </w:tc>
        <w:tc>
          <w:tcPr>
            <w:tcW w:w="2220" w:type="dxa"/>
            <w:vAlign w:val="center"/>
          </w:tcPr>
          <w:p>
            <w:pPr>
              <w:autoSpaceDE w:val="0"/>
              <w:autoSpaceDN w:val="0"/>
              <w:adjustRightInd w:val="0"/>
              <w:spacing w:line="430" w:lineRule="exact"/>
              <w:ind w:right="-21" w:rightChars="-10"/>
              <w:rPr>
                <w:rFonts w:ascii="宋体" w:hAnsi="宋体" w:eastAsia="宋体" w:cs="Times New Roman"/>
                <w:sz w:val="18"/>
                <w:szCs w:val="18"/>
              </w:rPr>
            </w:pPr>
            <w:r>
              <w:rPr>
                <w:rFonts w:hint="eastAsia" w:ascii="宋体" w:hAnsi="宋体" w:eastAsia="宋体" w:cs="Times New Roman"/>
                <w:sz w:val="18"/>
                <w:szCs w:val="18"/>
              </w:rPr>
              <w:t>建安总造价×费率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1" w:type="dxa"/>
            <w:vAlign w:val="bottom"/>
          </w:tcPr>
          <w:p>
            <w:pPr>
              <w:widowControl/>
              <w:jc w:val="left"/>
              <w:textAlignment w:val="bottom"/>
              <w:rPr>
                <w:rFonts w:ascii="宋体" w:hAnsi="宋体" w:eastAsia="宋体" w:cs="Times New Roman"/>
                <w:sz w:val="18"/>
                <w:szCs w:val="18"/>
              </w:rPr>
            </w:pPr>
            <w:r>
              <w:rPr>
                <w:rFonts w:hint="eastAsia" w:ascii="宋体" w:hAnsi="宋体" w:eastAsia="宋体" w:cs="宋体"/>
                <w:color w:val="000000"/>
                <w:kern w:val="0"/>
                <w:sz w:val="18"/>
                <w:szCs w:val="18"/>
              </w:rPr>
              <w:t>招标代理服务费</w:t>
            </w:r>
          </w:p>
        </w:tc>
        <w:tc>
          <w:tcPr>
            <w:tcW w:w="1133" w:type="dxa"/>
            <w:vAlign w:val="cente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8"/>
                <w:szCs w:val="18"/>
              </w:rPr>
              <w:t>0.40%</w:t>
            </w:r>
          </w:p>
        </w:tc>
        <w:tc>
          <w:tcPr>
            <w:tcW w:w="4111" w:type="dxa"/>
            <w:vAlign w:val="bottom"/>
          </w:tcPr>
          <w:p>
            <w:pPr>
              <w:widowControl/>
              <w:jc w:val="left"/>
              <w:textAlignment w:val="bottom"/>
              <w:rPr>
                <w:rFonts w:ascii="宋体" w:hAnsi="宋体" w:eastAsia="宋体" w:cs="Times New Roman"/>
                <w:sz w:val="18"/>
                <w:szCs w:val="18"/>
              </w:rPr>
            </w:pPr>
            <w:r>
              <w:rPr>
                <w:rFonts w:hint="eastAsia" w:ascii="宋体" w:hAnsi="宋体" w:eastAsia="宋体" w:cs="宋体"/>
                <w:color w:val="000000"/>
                <w:kern w:val="0"/>
                <w:sz w:val="18"/>
                <w:szCs w:val="18"/>
              </w:rPr>
              <w:t>按国家计委计价格【2002】1980号</w:t>
            </w:r>
          </w:p>
        </w:tc>
        <w:tc>
          <w:tcPr>
            <w:tcW w:w="2220" w:type="dxa"/>
            <w:vAlign w:val="center"/>
          </w:tcPr>
          <w:p>
            <w:pPr>
              <w:autoSpaceDE w:val="0"/>
              <w:autoSpaceDN w:val="0"/>
              <w:adjustRightInd w:val="0"/>
              <w:spacing w:line="430" w:lineRule="exact"/>
              <w:ind w:right="-21" w:rightChars="-10"/>
              <w:rPr>
                <w:rFonts w:ascii="宋体" w:hAnsi="宋体" w:eastAsia="宋体" w:cs="Times New Roman"/>
                <w:sz w:val="18"/>
                <w:szCs w:val="18"/>
              </w:rPr>
            </w:pPr>
            <w:r>
              <w:rPr>
                <w:rFonts w:hint="eastAsia" w:ascii="宋体" w:hAnsi="宋体" w:eastAsia="宋体" w:cs="Times New Roman"/>
                <w:sz w:val="18"/>
                <w:szCs w:val="18"/>
              </w:rPr>
              <w:t>建安总造价×费率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811" w:type="dxa"/>
            <w:vAlign w:val="center"/>
          </w:tcPr>
          <w:p>
            <w:pPr>
              <w:widowControl/>
              <w:jc w:val="left"/>
              <w:textAlignment w:val="bottom"/>
              <w:rPr>
                <w:rFonts w:ascii="宋体" w:hAnsi="宋体" w:eastAsia="宋体" w:cs="Times New Roman"/>
                <w:sz w:val="18"/>
                <w:szCs w:val="18"/>
              </w:rPr>
            </w:pPr>
            <w:r>
              <w:rPr>
                <w:rFonts w:hint="eastAsia" w:ascii="宋体" w:hAnsi="宋体" w:eastAsia="宋体" w:cs="宋体"/>
                <w:color w:val="000000"/>
                <w:kern w:val="0"/>
                <w:sz w:val="18"/>
                <w:szCs w:val="18"/>
              </w:rPr>
              <w:t>环境影响咨询费</w:t>
            </w:r>
          </w:p>
        </w:tc>
        <w:tc>
          <w:tcPr>
            <w:tcW w:w="1133" w:type="dxa"/>
            <w:vAlign w:val="cente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8"/>
                <w:szCs w:val="18"/>
              </w:rPr>
              <w:t>0.47%</w:t>
            </w:r>
          </w:p>
        </w:tc>
        <w:tc>
          <w:tcPr>
            <w:tcW w:w="4111" w:type="dxa"/>
            <w:vAlign w:val="center"/>
          </w:tcPr>
          <w:p>
            <w:pPr>
              <w:widowControl/>
              <w:textAlignment w:val="bottom"/>
              <w:rPr>
                <w:rFonts w:ascii="宋体" w:hAnsi="宋体" w:eastAsia="宋体" w:cs="Times New Roman"/>
                <w:sz w:val="18"/>
                <w:szCs w:val="18"/>
              </w:rPr>
            </w:pPr>
            <w:r>
              <w:rPr>
                <w:rFonts w:hint="eastAsia" w:ascii="宋体" w:hAnsi="宋体" w:eastAsia="宋体" w:cs="宋体"/>
                <w:color w:val="000000"/>
                <w:kern w:val="0"/>
                <w:sz w:val="18"/>
                <w:szCs w:val="18"/>
              </w:rPr>
              <w:t>国家计委、国家环境保护总局关于规范环境影响评价收费标准的通知（计价格【2002】125号）</w:t>
            </w:r>
          </w:p>
        </w:tc>
        <w:tc>
          <w:tcPr>
            <w:tcW w:w="2220" w:type="dxa"/>
            <w:vAlign w:val="center"/>
          </w:tcPr>
          <w:p>
            <w:pPr>
              <w:autoSpaceDE w:val="0"/>
              <w:autoSpaceDN w:val="0"/>
              <w:adjustRightInd w:val="0"/>
              <w:spacing w:line="430" w:lineRule="exact"/>
              <w:ind w:right="-21" w:rightChars="-10"/>
              <w:rPr>
                <w:rFonts w:ascii="宋体" w:hAnsi="宋体" w:eastAsia="宋体" w:cs="Times New Roman"/>
                <w:sz w:val="18"/>
                <w:szCs w:val="18"/>
              </w:rPr>
            </w:pPr>
            <w:r>
              <w:rPr>
                <w:rFonts w:hint="eastAsia" w:ascii="宋体" w:hAnsi="宋体" w:eastAsia="宋体" w:cs="Times New Roman"/>
                <w:sz w:val="18"/>
                <w:szCs w:val="18"/>
              </w:rPr>
              <w:t>建安总造价×费率</w:t>
            </w:r>
          </w:p>
        </w:tc>
      </w:tr>
    </w:tbl>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在建别墅的前期费用为建设单位管理费、勘查设计费、工程建设监理费、招标代理服务费和环境影响咨询费。环境影响咨询费、招标代理服务费和勘查设计费在工程前期已全部发生，所以以建安总造价为基数计算费用，工程建设监理费和建设单位管理费随着工程的进度均匀发生，所以以建安工程费用为基数计算。</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前期费用及其它费用=建安工程费用×（建设单位管理费率+工程建设监理费率）+建安总造价×（勘查设计费+招标代理服务费+环境影响咨询费）</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（3）资金成本</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资金成本，按合理工期的贷款利率计。建设资金按均匀投入，计息期按工期一半计算。评估基准日贷款利率一年以内（含一年）为4.35%、一至五年（含五年）为4.75%、五年以上为4.90%。</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B.变现系数的估算</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本次评估的变现折扣率根据资产的变现难易程度计算,变现处置时考虑资产特性因素、市场因素因素、变现时间因素。</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变现系数=1-（资产特性因素+市场因素因素+变现时间因素）/100</w:t>
      </w:r>
    </w:p>
    <w:p>
      <w:pPr>
        <w:autoSpaceDE w:val="0"/>
        <w:autoSpaceDN w:val="0"/>
        <w:adjustRightInd w:val="0"/>
        <w:spacing w:line="430" w:lineRule="exact"/>
        <w:ind w:right="-21" w:rightChars="-10" w:firstLine="1928" w:firstLineChars="800"/>
        <w:rPr>
          <w:rFonts w:ascii="宋体" w:hAnsi="宋体" w:eastAsia="宋体" w:cs="Times New Roman"/>
          <w:sz w:val="24"/>
          <w:szCs w:val="24"/>
        </w:rPr>
      </w:pPr>
      <w:r>
        <w:rPr>
          <w:rFonts w:hint="eastAsia" w:ascii="宋体" w:hAnsi="宋体" w:eastAsia="宋体" w:cs="Times New Roman"/>
          <w:sz w:val="24"/>
          <w:szCs w:val="24"/>
        </w:rPr>
        <w:t>=1-（10+15+15）/100= 60%</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C.清算价值的计算</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在建别墅清算价值=在建别墅的市场价值×变现系数</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根据本次的评估目的，当评估对象面临被迫出售、快速变现，以确定其在估价时点的清算价值。取得重置完全价值后，考虑取变现系数确定基准日的评估清算价值。</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4）评估结果</w:t>
      </w:r>
    </w:p>
    <w:p>
      <w:pPr>
        <w:autoSpaceDE w:val="0"/>
        <w:autoSpaceDN w:val="0"/>
        <w:adjustRightInd w:val="0"/>
        <w:spacing w:line="430" w:lineRule="exact"/>
        <w:ind w:right="-21" w:rightChars="-10" w:firstLine="402" w:firstLineChars="200"/>
        <w:jc w:val="right"/>
        <w:rPr>
          <w:rFonts w:ascii="宋体" w:hAnsi="宋体" w:eastAsia="宋体" w:cs="Times New Roman"/>
          <w:sz w:val="20"/>
          <w:szCs w:val="20"/>
        </w:rPr>
      </w:pPr>
      <w:r>
        <w:rPr>
          <w:rFonts w:hint="eastAsia" w:ascii="宋体" w:hAnsi="宋体" w:eastAsia="宋体" w:cs="Times New Roman"/>
          <w:sz w:val="20"/>
          <w:szCs w:val="20"/>
        </w:rPr>
        <w:t>金额单位：元</w:t>
      </w:r>
    </w:p>
    <w:tbl>
      <w:tblPr>
        <w:tblStyle w:val="37"/>
        <w:tblW w:w="9375"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47"/>
        <w:gridCol w:w="2880"/>
        <w:gridCol w:w="274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747" w:type="dxa"/>
            <w:vMerge w:val="restar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5628" w:type="dxa"/>
            <w:gridSpan w:val="2"/>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评估价值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47" w:type="dxa"/>
            <w:vMerge w:val="continue"/>
            <w:vAlign w:val="center"/>
          </w:tcPr>
          <w:p>
            <w:pPr>
              <w:widowControl/>
              <w:jc w:val="left"/>
              <w:rPr>
                <w:rFonts w:ascii="宋体" w:hAnsi="宋体" w:eastAsia="宋体" w:cs="宋体"/>
                <w:kern w:val="0"/>
                <w:sz w:val="20"/>
                <w:szCs w:val="20"/>
              </w:rPr>
            </w:pPr>
          </w:p>
        </w:tc>
        <w:tc>
          <w:tcPr>
            <w:tcW w:w="2880" w:type="dxa"/>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color w:val="000000"/>
                <w:kern w:val="0"/>
                <w:sz w:val="20"/>
                <w:szCs w:val="20"/>
              </w:rPr>
              <w:t>市场价值</w:t>
            </w:r>
          </w:p>
        </w:tc>
        <w:tc>
          <w:tcPr>
            <w:tcW w:w="2748" w:type="dxa"/>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color w:val="000000"/>
                <w:kern w:val="0"/>
                <w:sz w:val="20"/>
                <w:szCs w:val="20"/>
              </w:rPr>
              <w:t>清算价值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3747" w:type="dxa"/>
            <w:vAlign w:val="center"/>
          </w:tcPr>
          <w:p>
            <w:pPr>
              <w:widowControl/>
              <w:jc w:val="left"/>
              <w:rPr>
                <w:rFonts w:ascii="宋体" w:hAnsi="宋体" w:eastAsia="宋体" w:cs="宋体"/>
                <w:kern w:val="0"/>
                <w:sz w:val="20"/>
                <w:szCs w:val="20"/>
              </w:rPr>
            </w:pPr>
            <w:r>
              <w:rPr>
                <w:rFonts w:hint="eastAsia" w:eastAsia="宋体"/>
              </w:rPr>
              <w:t>在建工程</w:t>
            </w:r>
          </w:p>
        </w:tc>
        <w:tc>
          <w:tcPr>
            <w:tcW w:w="2880" w:type="dxa"/>
            <w:vAlign w:val="center"/>
          </w:tcPr>
          <w:p>
            <w:pPr>
              <w:widowControl/>
              <w:jc w:val="right"/>
              <w:textAlignment w:val="center"/>
              <w:rPr>
                <w:rFonts w:ascii="宋体" w:hAnsi="宋体" w:eastAsia="宋体" w:cs="Times New Roman"/>
                <w:sz w:val="18"/>
                <w:szCs w:val="18"/>
              </w:rPr>
            </w:pPr>
            <w:r>
              <w:rPr>
                <w:rFonts w:hint="eastAsia" w:ascii="宋体" w:hAnsi="宋体" w:eastAsia="宋体" w:cs="Times New Roman"/>
                <w:sz w:val="18"/>
                <w:szCs w:val="18"/>
              </w:rPr>
              <w:t xml:space="preserve"> 11,478,220.00 </w:t>
            </w:r>
          </w:p>
        </w:tc>
        <w:tc>
          <w:tcPr>
            <w:tcW w:w="2748" w:type="dxa"/>
            <w:vAlign w:val="center"/>
          </w:tcPr>
          <w:p>
            <w:pPr>
              <w:widowControl/>
              <w:jc w:val="right"/>
              <w:textAlignment w:val="center"/>
              <w:rPr>
                <w:rFonts w:ascii="宋体" w:hAnsi="宋体" w:eastAsia="宋体" w:cs="Times New Roman"/>
                <w:sz w:val="18"/>
                <w:szCs w:val="18"/>
              </w:rPr>
            </w:pPr>
            <w:r>
              <w:rPr>
                <w:rFonts w:hint="eastAsia" w:ascii="宋体" w:hAnsi="宋体" w:eastAsia="宋体" w:cs="Times New Roman"/>
                <w:sz w:val="18"/>
                <w:szCs w:val="18"/>
              </w:rPr>
              <w:t xml:space="preserve"> 6,886,932.00 </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747" w:type="dxa"/>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2880" w:type="dxa"/>
            <w:vAlign w:val="center"/>
          </w:tcPr>
          <w:p>
            <w:pPr>
              <w:widowControl/>
              <w:jc w:val="right"/>
              <w:textAlignment w:val="center"/>
              <w:rPr>
                <w:rFonts w:ascii="宋体" w:hAnsi="宋体" w:eastAsia="宋体" w:cs="Times New Roman"/>
                <w:sz w:val="18"/>
                <w:szCs w:val="18"/>
              </w:rPr>
            </w:pPr>
            <w:r>
              <w:rPr>
                <w:rFonts w:hint="eastAsia" w:ascii="宋体" w:hAnsi="宋体" w:eastAsia="宋体" w:cs="Times New Roman"/>
                <w:sz w:val="18"/>
                <w:szCs w:val="18"/>
              </w:rPr>
              <w:t xml:space="preserve"> 11,478,220.00 </w:t>
            </w:r>
          </w:p>
        </w:tc>
        <w:tc>
          <w:tcPr>
            <w:tcW w:w="2748" w:type="dxa"/>
            <w:vAlign w:val="center"/>
          </w:tcPr>
          <w:p>
            <w:pPr>
              <w:widowControl/>
              <w:jc w:val="right"/>
              <w:textAlignment w:val="center"/>
              <w:rPr>
                <w:rFonts w:ascii="宋体" w:hAnsi="宋体" w:eastAsia="宋体" w:cs="Times New Roman"/>
                <w:sz w:val="18"/>
                <w:szCs w:val="18"/>
              </w:rPr>
            </w:pPr>
            <w:r>
              <w:rPr>
                <w:rFonts w:hint="eastAsia" w:ascii="宋体" w:hAnsi="宋体" w:eastAsia="宋体" w:cs="Times New Roman"/>
                <w:sz w:val="18"/>
                <w:szCs w:val="18"/>
              </w:rPr>
              <w:t xml:space="preserve"> 6,886,932.00 </w:t>
            </w:r>
          </w:p>
        </w:tc>
      </w:tr>
    </w:tbl>
    <w:p>
      <w:pPr>
        <w:spacing w:line="440" w:lineRule="exact"/>
        <w:ind w:firstLine="482" w:firstLineChars="200"/>
        <w:rPr>
          <w:rFonts w:ascii="宋体" w:hAnsi="宋体" w:eastAsia="宋体"/>
          <w:sz w:val="24"/>
          <w:szCs w:val="24"/>
        </w:rPr>
      </w:pPr>
      <w:r>
        <w:rPr>
          <w:rFonts w:hint="eastAsia" w:ascii="宋体" w:hAnsi="宋体" w:eastAsia="宋体"/>
          <w:sz w:val="24"/>
          <w:szCs w:val="24"/>
        </w:rPr>
        <w:t>5）特别事项</w:t>
      </w:r>
    </w:p>
    <w:p>
      <w:pPr>
        <w:spacing w:line="440" w:lineRule="exact"/>
        <w:ind w:firstLine="482" w:firstLineChars="200"/>
        <w:rPr>
          <w:rFonts w:ascii="宋体" w:hAnsi="宋体" w:eastAsia="宋体"/>
          <w:sz w:val="24"/>
          <w:szCs w:val="24"/>
        </w:rPr>
      </w:pPr>
      <w:r>
        <w:rPr>
          <w:rFonts w:hint="eastAsia" w:ascii="宋体" w:hAnsi="宋体" w:eastAsia="宋体"/>
          <w:sz w:val="24"/>
          <w:szCs w:val="24"/>
        </w:rPr>
        <w:t>（1)在评估过程中，我们未考虑该等房屋建筑物因抵押、担保以及该物业出售时所应承担的费用和税项等可能影响其价值的任何限制。</w:t>
      </w:r>
    </w:p>
    <w:p>
      <w:pPr>
        <w:spacing w:line="440" w:lineRule="exact"/>
        <w:ind w:firstLine="482" w:firstLineChars="200"/>
        <w:rPr>
          <w:rFonts w:ascii="宋体" w:hAnsi="宋体" w:eastAsia="宋体"/>
          <w:sz w:val="24"/>
          <w:szCs w:val="24"/>
        </w:rPr>
      </w:pPr>
      <w:r>
        <w:rPr>
          <w:rFonts w:hint="eastAsia" w:ascii="宋体" w:hAnsi="宋体" w:eastAsia="宋体"/>
          <w:sz w:val="24"/>
          <w:szCs w:val="24"/>
        </w:rPr>
        <w:t>（2)我们曾视察所评房屋建筑物的外貌，在尽可能的情况下察看了房屋建筑物内部状况，但我们并未进行任何结构测试，虽然在视察过程中有些房屋并未发现任何严重损坏，但我们也无法就此房屋建筑物之内部结构有无腐朽、虫蛀或其他任何结构损坏发表意见，也没有测试任何建筑构件。</w:t>
      </w:r>
    </w:p>
    <w:p>
      <w:pPr>
        <w:spacing w:line="440" w:lineRule="exact"/>
        <w:ind w:firstLine="482" w:firstLineChars="200"/>
        <w:rPr>
          <w:rFonts w:ascii="宋体" w:hAnsi="宋体" w:eastAsia="宋体"/>
          <w:sz w:val="24"/>
          <w:szCs w:val="24"/>
        </w:rPr>
      </w:pPr>
      <w:r>
        <w:rPr>
          <w:rFonts w:hint="eastAsia" w:ascii="宋体" w:hAnsi="宋体" w:eastAsia="宋体"/>
          <w:sz w:val="24"/>
          <w:szCs w:val="24"/>
        </w:rPr>
        <w:t>（3)评估对象的建筑面积和双方使用面积来源于估价委托人提供的相关资料，资产评估师未对建筑面积进行专业测量。经实地查勘和简单测量，评估对象建筑面积与委托人提供的面积大体相当。若与实际不符，应据实调整评估价值。因其不实造成的影响，本公司不承担任何责任。</w:t>
      </w:r>
    </w:p>
    <w:p>
      <w:pPr>
        <w:spacing w:line="440" w:lineRule="exact"/>
        <w:ind w:firstLine="482" w:firstLineChars="200"/>
        <w:rPr>
          <w:rFonts w:ascii="宋体" w:hAnsi="宋体" w:eastAsia="宋体"/>
          <w:sz w:val="24"/>
          <w:szCs w:val="24"/>
        </w:rPr>
      </w:pPr>
      <w:r>
        <w:rPr>
          <w:rFonts w:hint="eastAsia" w:ascii="宋体" w:hAnsi="宋体" w:eastAsia="宋体"/>
          <w:sz w:val="24"/>
          <w:szCs w:val="24"/>
        </w:rPr>
        <w:t>3、无形资产—土地使用权</w:t>
      </w:r>
    </w:p>
    <w:p>
      <w:pPr>
        <w:pStyle w:val="21"/>
        <w:spacing w:line="440" w:lineRule="exact"/>
        <w:ind w:firstLine="482" w:firstLineChars="200"/>
      </w:pPr>
      <w:r>
        <w:rPr>
          <w:rFonts w:hint="eastAsia"/>
        </w:rPr>
        <w:t>1）评估范围</w:t>
      </w:r>
    </w:p>
    <w:p>
      <w:pPr>
        <w:pStyle w:val="21"/>
        <w:spacing w:line="440" w:lineRule="exact"/>
        <w:ind w:firstLine="482" w:firstLineChars="200"/>
      </w:pPr>
      <w:r>
        <w:rPr>
          <w:rFonts w:hint="eastAsia"/>
        </w:rPr>
        <w:t>本次评估的无形资产为山东水云间置业发展有限公司破产清算涉及的土地使用权,位于246省道东侧、马颊河与德惠新河之间，面积为84,199.74平方米。本次评估的宗地为上述已建成的6幢住宅楼后的剩余未开发部分，位于上述宗地的西部，土地剩余面积42,668.89平方米（委托人申报数据），地上有在建联排别墅和独栋别墅，尚未取得房地产建设、销售相关法律文件。</w:t>
      </w:r>
    </w:p>
    <w:p>
      <w:pPr>
        <w:pStyle w:val="21"/>
        <w:spacing w:line="440" w:lineRule="exact"/>
        <w:ind w:firstLine="482" w:firstLineChars="200"/>
      </w:pPr>
      <w:r>
        <w:rPr>
          <w:rFonts w:hint="eastAsia"/>
        </w:rPr>
        <w:t>2）评估对象概况</w:t>
      </w:r>
    </w:p>
    <w:p>
      <w:pPr>
        <w:pStyle w:val="21"/>
        <w:spacing w:line="440" w:lineRule="exact"/>
        <w:ind w:firstLine="482" w:firstLineChars="200"/>
        <w:rPr>
          <w:rStyle w:val="44"/>
          <w:rFonts w:ascii="Times New Roman" w:hAnsi="Times New Roman"/>
        </w:rPr>
      </w:pPr>
      <w:r>
        <w:rPr>
          <w:rFonts w:hint="eastAsia"/>
        </w:rPr>
        <w:t>（1）</w:t>
      </w:r>
      <w:r>
        <w:t>土地登记状况</w:t>
      </w:r>
    </w:p>
    <w:p>
      <w:pPr>
        <w:pStyle w:val="21"/>
        <w:spacing w:line="440" w:lineRule="exact"/>
        <w:ind w:firstLine="482" w:firstLineChars="200"/>
        <w:rPr>
          <w:rFonts w:hAnsi="宋体"/>
        </w:rPr>
      </w:pPr>
      <w:r>
        <w:rPr>
          <w:rFonts w:hint="eastAsia" w:hAnsi="宋体"/>
        </w:rPr>
        <w:t>评估宗地位于246省道东侧、马颊河与德惠新河之间</w:t>
      </w:r>
      <w:r>
        <w:rPr>
          <w:rFonts w:hint="eastAsia"/>
        </w:rPr>
        <w:t>，土地使用权人为山东水云间置业发展有限公司</w:t>
      </w:r>
      <w:r>
        <w:rPr>
          <w:rFonts w:hint="eastAsia" w:hAnsi="宋体"/>
        </w:rPr>
        <w:t>，地类（用途）为住宅用地，使用权类型为出让，使用权面积为42,668.89平方米,该宗土地已缴纳出让金及契税，于2009年10月10日办理国有土地使用权证。根据出让合同</w:t>
      </w:r>
      <w:r>
        <w:rPr>
          <w:rFonts w:hint="eastAsia" w:hAnsi="宋体"/>
          <w:bCs/>
        </w:rPr>
        <w:t>，设定宗地土地使用年期为70年，</w:t>
      </w:r>
      <w:r>
        <w:rPr>
          <w:rFonts w:hint="eastAsia" w:hAnsi="宋体"/>
        </w:rPr>
        <w:t>使用期限至</w:t>
      </w:r>
      <w:r>
        <w:rPr>
          <w:rFonts w:hAnsi="宋体"/>
        </w:rPr>
        <w:t>20</w:t>
      </w:r>
      <w:r>
        <w:rPr>
          <w:rFonts w:hint="eastAsia" w:hAnsi="宋体"/>
        </w:rPr>
        <w:t>79年10</w:t>
      </w:r>
      <w:r>
        <w:rPr>
          <w:rFonts w:hAnsi="宋体"/>
        </w:rPr>
        <w:t>月</w:t>
      </w:r>
      <w:r>
        <w:rPr>
          <w:rFonts w:hint="eastAsia" w:hAnsi="宋体"/>
        </w:rPr>
        <w:t>9</w:t>
      </w:r>
      <w:r>
        <w:rPr>
          <w:rFonts w:hAnsi="宋体"/>
        </w:rPr>
        <w:t>日</w:t>
      </w:r>
      <w:r>
        <w:rPr>
          <w:rFonts w:hint="eastAsia" w:hAnsi="宋体"/>
        </w:rPr>
        <w:t>。</w:t>
      </w:r>
    </w:p>
    <w:tbl>
      <w:tblPr>
        <w:tblStyle w:val="37"/>
        <w:tblW w:w="9089" w:type="dxa"/>
        <w:tblInd w:w="0" w:type="dxa"/>
        <w:tblLayout w:type="fixed"/>
        <w:tblCellMar>
          <w:top w:w="15" w:type="dxa"/>
          <w:left w:w="15" w:type="dxa"/>
          <w:bottom w:w="15" w:type="dxa"/>
          <w:right w:w="15" w:type="dxa"/>
        </w:tblCellMar>
      </w:tblPr>
      <w:tblGrid>
        <w:gridCol w:w="456"/>
        <w:gridCol w:w="1566"/>
        <w:gridCol w:w="1976"/>
        <w:gridCol w:w="1544"/>
        <w:gridCol w:w="2041"/>
        <w:gridCol w:w="1506"/>
      </w:tblGrid>
      <w:tr>
        <w:tblPrEx>
          <w:tblLayout w:type="fixed"/>
          <w:tblCellMar>
            <w:top w:w="15" w:type="dxa"/>
            <w:left w:w="15" w:type="dxa"/>
            <w:bottom w:w="15" w:type="dxa"/>
            <w:right w:w="15" w:type="dxa"/>
          </w:tblCellMar>
        </w:tblPrEx>
        <w:trPr>
          <w:trHeight w:val="326" w:hRule="atLeast"/>
          <w:tblHeader/>
        </w:trPr>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序号</w:t>
            </w:r>
          </w:p>
        </w:tc>
        <w:tc>
          <w:tcPr>
            <w:tcW w:w="156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土地证号</w:t>
            </w:r>
          </w:p>
        </w:tc>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土地位置</w:t>
            </w:r>
          </w:p>
        </w:tc>
        <w:tc>
          <w:tcPr>
            <w:tcW w:w="154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土地使用权取得方式</w:t>
            </w:r>
          </w:p>
        </w:tc>
        <w:tc>
          <w:tcPr>
            <w:tcW w:w="204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权利起止日期</w:t>
            </w:r>
          </w:p>
        </w:tc>
        <w:tc>
          <w:tcPr>
            <w:tcW w:w="150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面积（平方米）</w:t>
            </w:r>
          </w:p>
        </w:tc>
      </w:tr>
      <w:tr>
        <w:tblPrEx>
          <w:tblLayout w:type="fixed"/>
          <w:tblCellMar>
            <w:top w:w="15" w:type="dxa"/>
            <w:left w:w="15" w:type="dxa"/>
            <w:bottom w:w="15" w:type="dxa"/>
            <w:right w:w="15" w:type="dxa"/>
          </w:tblCellMar>
        </w:tblPrEx>
        <w:trPr>
          <w:trHeight w:val="431" w:hRule="atLeast"/>
          <w:tblHead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0"/>
                <w:szCs w:val="16"/>
              </w:rPr>
            </w:pPr>
          </w:p>
        </w:tc>
        <w:tc>
          <w:tcPr>
            <w:tcW w:w="15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0"/>
                <w:szCs w:val="16"/>
              </w:rPr>
            </w:pPr>
          </w:p>
        </w:tc>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0"/>
                <w:szCs w:val="16"/>
              </w:rPr>
            </w:pPr>
          </w:p>
        </w:tc>
        <w:tc>
          <w:tcPr>
            <w:tcW w:w="15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0"/>
                <w:szCs w:val="16"/>
              </w:rPr>
            </w:pPr>
          </w:p>
        </w:tc>
        <w:tc>
          <w:tcPr>
            <w:tcW w:w="20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0"/>
                <w:szCs w:val="16"/>
              </w:rPr>
            </w:pPr>
          </w:p>
        </w:tc>
        <w:tc>
          <w:tcPr>
            <w:tcW w:w="15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0"/>
                <w:szCs w:val="16"/>
              </w:rPr>
            </w:pPr>
          </w:p>
        </w:tc>
      </w:tr>
      <w:tr>
        <w:tblPrEx>
          <w:tblLayout w:type="fixed"/>
          <w:tblCellMar>
            <w:top w:w="15" w:type="dxa"/>
            <w:left w:w="15" w:type="dxa"/>
            <w:bottom w:w="15" w:type="dxa"/>
            <w:right w:w="15" w:type="dxa"/>
          </w:tblCellMar>
        </w:tblPrEx>
        <w:trPr>
          <w:trHeight w:val="723"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1</w:t>
            </w:r>
          </w:p>
        </w:tc>
        <w:tc>
          <w:tcPr>
            <w:tcW w:w="156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庆国用（2009）第743号</w:t>
            </w:r>
          </w:p>
        </w:tc>
        <w:tc>
          <w:tcPr>
            <w:tcW w:w="19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246省道东侧、马颊河与德惠新河之间</w:t>
            </w:r>
          </w:p>
        </w:tc>
        <w:tc>
          <w:tcPr>
            <w:tcW w:w="154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招拍挂</w:t>
            </w:r>
          </w:p>
        </w:tc>
        <w:tc>
          <w:tcPr>
            <w:tcW w:w="204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2009/10/10-2079/10/9</w:t>
            </w:r>
          </w:p>
        </w:tc>
        <w:tc>
          <w:tcPr>
            <w:tcW w:w="150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Times New Roman"/>
                <w:sz w:val="20"/>
                <w:szCs w:val="16"/>
              </w:rPr>
            </w:pPr>
            <w:r>
              <w:rPr>
                <w:rFonts w:hint="eastAsia" w:ascii="宋体" w:hAnsi="宋体" w:eastAsia="宋体" w:cs="Times New Roman"/>
                <w:sz w:val="20"/>
                <w:szCs w:val="16"/>
              </w:rPr>
              <w:t>42,668.89</w:t>
            </w:r>
          </w:p>
        </w:tc>
      </w:tr>
    </w:tbl>
    <w:p>
      <w:pPr>
        <w:pStyle w:val="21"/>
        <w:spacing w:line="440" w:lineRule="exact"/>
        <w:ind w:firstLine="482" w:firstLineChars="200"/>
      </w:pPr>
      <w:r>
        <w:rPr>
          <w:rFonts w:hint="eastAsia"/>
        </w:rPr>
        <w:t>（2)土地权利状况</w:t>
      </w:r>
    </w:p>
    <w:p>
      <w:pPr>
        <w:pStyle w:val="21"/>
        <w:spacing w:line="440" w:lineRule="exact"/>
        <w:ind w:firstLine="482" w:firstLineChars="200"/>
      </w:pPr>
      <w:r>
        <w:rPr>
          <w:rFonts w:hint="eastAsia"/>
        </w:rPr>
        <w:t>评估对象的土地所有权属国家所有，为山东水云间置业发展有限公司以出让方式取得待估宗地土地使用权。根据国有土地使用证，截至评估基准日，评估对象剩余土地使用年限为60.25年。</w:t>
      </w:r>
    </w:p>
    <w:p>
      <w:pPr>
        <w:pStyle w:val="21"/>
        <w:spacing w:line="440" w:lineRule="exact"/>
        <w:ind w:firstLine="482" w:firstLineChars="200"/>
      </w:pPr>
      <w:r>
        <w:rPr>
          <w:rFonts w:hint="eastAsia"/>
        </w:rPr>
        <w:t>(3)土地利用状况</w:t>
      </w:r>
    </w:p>
    <w:p>
      <w:pPr>
        <w:spacing w:line="440" w:lineRule="exact"/>
        <w:ind w:firstLine="482" w:firstLineChars="200"/>
        <w:rPr>
          <w:rFonts w:ascii="宋体" w:hAnsi="宋体" w:eastAsia="宋体" w:cs="Times New Roman"/>
          <w:sz w:val="24"/>
          <w:szCs w:val="20"/>
        </w:rPr>
      </w:pPr>
      <w:r>
        <w:rPr>
          <w:rFonts w:hint="eastAsia" w:ascii="宋体" w:hAnsi="宋体" w:eastAsia="宋体" w:cs="Times New Roman"/>
          <w:sz w:val="24"/>
          <w:szCs w:val="20"/>
        </w:rPr>
        <w:t>宗地红线内场地平整，截至评估基准日，宗地内均已作现状利用。</w:t>
      </w:r>
    </w:p>
    <w:p>
      <w:pPr>
        <w:spacing w:line="440" w:lineRule="exact"/>
        <w:ind w:firstLine="723" w:firstLineChars="300"/>
        <w:rPr>
          <w:rFonts w:ascii="宋体" w:hAnsi="宋体" w:eastAsia="宋体"/>
          <w:sz w:val="24"/>
          <w:szCs w:val="24"/>
        </w:rPr>
      </w:pPr>
      <w:r>
        <w:rPr>
          <w:rFonts w:hint="eastAsia" w:ascii="宋体" w:hAnsi="宋体" w:eastAsia="宋体"/>
          <w:sz w:val="24"/>
          <w:szCs w:val="24"/>
        </w:rPr>
        <w:t>3）地价定义</w:t>
      </w:r>
    </w:p>
    <w:p>
      <w:pPr>
        <w:spacing w:line="440" w:lineRule="exact"/>
        <w:ind w:firstLine="482" w:firstLineChars="200"/>
        <w:rPr>
          <w:rFonts w:ascii="宋体" w:hAnsi="宋体" w:eastAsia="宋体"/>
          <w:sz w:val="24"/>
          <w:szCs w:val="24"/>
        </w:rPr>
      </w:pPr>
      <w:r>
        <w:rPr>
          <w:rFonts w:hint="eastAsia" w:ascii="宋体" w:hAnsi="宋体" w:eastAsia="宋体"/>
          <w:sz w:val="24"/>
          <w:szCs w:val="24"/>
        </w:rPr>
        <w:t>根据委估方提供的土地使用权证，待估宗地登记用途为住宅，此次评估设定土地用途为住宅用地。</w:t>
      </w:r>
    </w:p>
    <w:p>
      <w:pPr>
        <w:spacing w:line="440" w:lineRule="exact"/>
        <w:ind w:firstLine="482" w:firstLineChars="200"/>
        <w:rPr>
          <w:rFonts w:ascii="宋体" w:hAnsi="宋体" w:eastAsia="宋体"/>
          <w:sz w:val="24"/>
          <w:szCs w:val="24"/>
        </w:rPr>
      </w:pPr>
      <w:r>
        <w:rPr>
          <w:rFonts w:hint="eastAsia" w:ascii="宋体" w:hAnsi="宋体" w:eastAsia="宋体"/>
          <w:sz w:val="24"/>
          <w:szCs w:val="24"/>
        </w:rPr>
        <w:t>根据土地使用权证，截至评估基准日，估价对象剩余使用年限为60.25年，</w:t>
      </w:r>
    </w:p>
    <w:p>
      <w:pPr>
        <w:spacing w:line="440" w:lineRule="exact"/>
        <w:ind w:firstLine="482" w:firstLineChars="200"/>
        <w:rPr>
          <w:rFonts w:ascii="宋体" w:hAnsi="宋体" w:eastAsia="宋体"/>
          <w:sz w:val="24"/>
          <w:szCs w:val="24"/>
        </w:rPr>
      </w:pPr>
      <w:r>
        <w:rPr>
          <w:rFonts w:hint="eastAsia" w:ascii="宋体" w:hAnsi="宋体" w:eastAsia="宋体"/>
          <w:sz w:val="24"/>
          <w:szCs w:val="24"/>
        </w:rPr>
        <w:t>评估宗地实际土地开发程度为宗地红线内外“六通”（通电、通路、通给水、通讯、通排水、燃气）及宗地红线内场地平整，此次估价设定待估宗地的土地开发程度为宗地红线外“六通”（通电、通路、通给水、通讯、通排水、燃气）及宗地红线内场地平整。</w:t>
      </w:r>
    </w:p>
    <w:p>
      <w:pPr>
        <w:spacing w:line="440" w:lineRule="exact"/>
        <w:ind w:firstLine="482" w:firstLineChars="200"/>
        <w:rPr>
          <w:rFonts w:ascii="宋体" w:hAnsi="宋体" w:eastAsia="宋体"/>
          <w:sz w:val="24"/>
          <w:szCs w:val="24"/>
        </w:rPr>
      </w:pPr>
      <w:r>
        <w:rPr>
          <w:rFonts w:hint="eastAsia" w:ascii="宋体" w:hAnsi="宋体" w:eastAsia="宋体"/>
          <w:sz w:val="24"/>
          <w:szCs w:val="24"/>
        </w:rPr>
        <w:t>评估宗地的评估价格是指在估价基准日2019年7月23日，在估价设定土地开发程度为“六通”（通电、通路、通给水、通讯、通排水、燃气）及宗地红线内场地平整，设定土地用途为住宅用地，设定土地使用年期为70年，估价对象剩余土地使用年限为60.25年的清算价值。</w:t>
      </w:r>
    </w:p>
    <w:p>
      <w:pPr>
        <w:numPr>
          <w:ilvl w:val="0"/>
          <w:numId w:val="7"/>
        </w:numPr>
        <w:spacing w:line="440" w:lineRule="exact"/>
        <w:ind w:firstLine="482" w:firstLineChars="200"/>
        <w:rPr>
          <w:rFonts w:ascii="宋体" w:hAnsi="宋体" w:eastAsia="宋体"/>
          <w:sz w:val="24"/>
          <w:szCs w:val="24"/>
        </w:rPr>
      </w:pPr>
      <w:r>
        <w:rPr>
          <w:rFonts w:hint="eastAsia" w:ascii="宋体" w:hAnsi="宋体" w:eastAsia="宋体"/>
          <w:sz w:val="24"/>
          <w:szCs w:val="24"/>
        </w:rPr>
        <w:t>评估计算方法</w:t>
      </w:r>
    </w:p>
    <w:p>
      <w:pPr>
        <w:pStyle w:val="2"/>
        <w:ind w:firstLine="482" w:firstLineChars="200"/>
      </w:pPr>
      <w:r>
        <w:rPr>
          <w:rFonts w:hint="eastAsia"/>
        </w:rPr>
        <w:t>A、市场价值的估算</w:t>
      </w:r>
    </w:p>
    <w:p>
      <w:pPr>
        <w:spacing w:line="440" w:lineRule="exact"/>
        <w:ind w:firstLine="482" w:firstLineChars="200"/>
        <w:rPr>
          <w:rFonts w:ascii="宋体" w:hAnsi="宋体" w:eastAsia="宋体"/>
          <w:sz w:val="24"/>
          <w:szCs w:val="24"/>
        </w:rPr>
      </w:pPr>
      <w:r>
        <w:rPr>
          <w:rFonts w:hint="eastAsia" w:ascii="宋体" w:hAnsi="宋体" w:eastAsia="宋体"/>
          <w:sz w:val="24"/>
          <w:szCs w:val="24"/>
        </w:rPr>
        <w:t>据评估人员</w:t>
      </w:r>
    </w:p>
    <w:p>
      <w:pPr>
        <w:spacing w:line="440" w:lineRule="exact"/>
        <w:ind w:firstLine="0" w:firstLineChars="0"/>
        <w:rPr>
          <w:rFonts w:ascii="宋体" w:hAnsi="宋体" w:eastAsia="宋体"/>
          <w:sz w:val="24"/>
          <w:szCs w:val="24"/>
        </w:rPr>
      </w:pPr>
      <w:r>
        <w:rPr>
          <w:rFonts w:hint="eastAsia" w:ascii="宋体" w:hAnsi="宋体" w:eastAsia="宋体"/>
          <w:sz w:val="24"/>
          <w:szCs w:val="24"/>
        </w:rPr>
        <w:t>了解，庆云县土地使用权所在地土地交易市场不发达，故不宜采用市场法评估，此次根据评估人员搜集的相关资料采用基准地价系数修正法评估。</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基准地价系数修正法评估宗地地价的公式为：</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宗地地价</w:t>
      </w:r>
      <w:r>
        <w:rPr>
          <w:rFonts w:ascii="宋体" w:hAnsi="宋体" w:eastAsia="宋体" w:cs="宋体"/>
          <w:bCs/>
          <w:sz w:val="24"/>
          <w:szCs w:val="24"/>
        </w:rPr>
        <w:t>＝</w:t>
      </w:r>
      <w:r>
        <w:rPr>
          <w:rFonts w:hint="eastAsia" w:ascii="宋体" w:hAnsi="宋体" w:eastAsia="宋体" w:cs="宋体"/>
          <w:bCs/>
          <w:sz w:val="24"/>
          <w:szCs w:val="24"/>
        </w:rPr>
        <w:t>宗地所在区域级别基准地价×</w:t>
      </w:r>
      <w:r>
        <w:rPr>
          <w:rFonts w:ascii="宋体" w:hAnsi="宋体" w:eastAsia="宋体" w:cs="宋体"/>
          <w:bCs/>
          <w:sz w:val="24"/>
          <w:szCs w:val="24"/>
        </w:rPr>
        <w:t>K1</w:t>
      </w:r>
      <w:r>
        <w:rPr>
          <w:rFonts w:hint="eastAsia" w:ascii="宋体" w:hAnsi="宋体" w:eastAsia="宋体" w:cs="宋体"/>
          <w:bCs/>
          <w:sz w:val="24"/>
          <w:szCs w:val="24"/>
        </w:rPr>
        <w:t>×</w:t>
      </w:r>
      <w:r>
        <w:rPr>
          <w:rFonts w:ascii="宋体" w:hAnsi="宋体" w:eastAsia="宋体" w:cs="宋体"/>
          <w:bCs/>
          <w:sz w:val="24"/>
          <w:szCs w:val="24"/>
        </w:rPr>
        <w:t>K2</w:t>
      </w:r>
      <w:r>
        <w:rPr>
          <w:rFonts w:hint="eastAsia" w:ascii="宋体" w:hAnsi="宋体" w:eastAsia="宋体" w:cs="宋体"/>
          <w:bCs/>
          <w:sz w:val="24"/>
          <w:szCs w:val="24"/>
        </w:rPr>
        <w:t>×</w:t>
      </w:r>
      <w:r>
        <w:rPr>
          <w:rFonts w:ascii="宋体" w:hAnsi="宋体" w:eastAsia="宋体" w:cs="宋体"/>
          <w:bCs/>
          <w:sz w:val="24"/>
          <w:szCs w:val="24"/>
        </w:rPr>
        <w:t>K3</w:t>
      </w:r>
      <w:r>
        <w:rPr>
          <w:rFonts w:hint="eastAsia" w:ascii="宋体" w:hAnsi="宋体" w:eastAsia="宋体" w:cs="宋体"/>
          <w:bCs/>
          <w:sz w:val="24"/>
          <w:szCs w:val="24"/>
        </w:rPr>
        <w:t>×(1±K5)×</w:t>
      </w:r>
      <w:r>
        <w:rPr>
          <w:rFonts w:ascii="宋体" w:hAnsi="宋体" w:eastAsia="宋体" w:cs="宋体"/>
          <w:bCs/>
          <w:sz w:val="24"/>
          <w:szCs w:val="24"/>
        </w:rPr>
        <w:t>(1±</w:t>
      </w:r>
      <w:r>
        <w:rPr>
          <w:rFonts w:hint="eastAsia" w:ascii="宋体" w:hAnsi="宋体" w:eastAsia="宋体" w:cs="宋体"/>
          <w:bCs/>
          <w:sz w:val="24"/>
          <w:szCs w:val="24"/>
        </w:rPr>
        <w:t>∑</w:t>
      </w:r>
      <w:r>
        <w:rPr>
          <w:rFonts w:ascii="宋体" w:hAnsi="宋体" w:eastAsia="宋体" w:cs="宋体"/>
          <w:bCs/>
          <w:sz w:val="24"/>
          <w:szCs w:val="24"/>
        </w:rPr>
        <w:t>K)±K</w:t>
      </w:r>
      <w:r>
        <w:rPr>
          <w:rFonts w:hint="eastAsia" w:ascii="宋体" w:hAnsi="宋体" w:eastAsia="宋体" w:cs="宋体"/>
          <w:bCs/>
          <w:sz w:val="24"/>
          <w:szCs w:val="24"/>
        </w:rPr>
        <w:t>4</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式中：K1——期日修正系数</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K2——土地使用年限修正系数</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K3——容积率修正系数</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K4——开发程度修正</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K5—-用途修正</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∑K——影响地价区域个别因素修正系数之和</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(1)确定待估宗地基准地价</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根据庆云县国有土地基准地价应用技术手册，待估宗地使用性质为住宅，此次评估参照三级住宅用地进行评估，庆云县三级住宅用地基准地价为1,022.00元/平方米，待估宗地基准地价为1,022.00元/平方米。</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(2)期日修正系数（</w:t>
      </w:r>
      <w:r>
        <w:rPr>
          <w:rFonts w:ascii="宋体" w:hAnsi="宋体" w:eastAsia="宋体" w:cs="宋体"/>
          <w:bCs/>
          <w:sz w:val="24"/>
          <w:szCs w:val="24"/>
        </w:rPr>
        <w:t>K1</w:t>
      </w:r>
      <w:r>
        <w:rPr>
          <w:rFonts w:hint="eastAsia" w:ascii="宋体" w:hAnsi="宋体" w:eastAsia="宋体" w:cs="宋体"/>
          <w:bCs/>
          <w:sz w:val="24"/>
          <w:szCs w:val="24"/>
        </w:rPr>
        <w:t>）</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根据庆云县国有土地基准地价应用技术手册，基准地价评估期日为201</w:t>
      </w:r>
      <w:r>
        <w:rPr>
          <w:rFonts w:ascii="宋体" w:hAnsi="宋体" w:eastAsia="宋体" w:cs="宋体"/>
          <w:bCs/>
          <w:sz w:val="24"/>
          <w:szCs w:val="24"/>
        </w:rPr>
        <w:t>6</w:t>
      </w:r>
      <w:r>
        <w:rPr>
          <w:rFonts w:hint="eastAsia" w:ascii="宋体" w:hAnsi="宋体" w:eastAsia="宋体" w:cs="宋体"/>
          <w:bCs/>
          <w:sz w:val="24"/>
          <w:szCs w:val="24"/>
        </w:rPr>
        <w:t>年1月1日。根据中国城市地价动态监测网发布的地价指数信息，住宅用地期日修正系数为K1＝1.3353。</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(3)土地使用年期修正系数（</w:t>
      </w:r>
      <w:r>
        <w:rPr>
          <w:rFonts w:ascii="宋体" w:hAnsi="宋体" w:eastAsia="宋体" w:cs="宋体"/>
          <w:bCs/>
          <w:sz w:val="24"/>
          <w:szCs w:val="24"/>
        </w:rPr>
        <w:t>K</w:t>
      </w:r>
      <w:r>
        <w:rPr>
          <w:rFonts w:hint="eastAsia" w:ascii="宋体" w:hAnsi="宋体" w:eastAsia="宋体" w:cs="宋体"/>
          <w:bCs/>
          <w:sz w:val="24"/>
          <w:szCs w:val="24"/>
        </w:rPr>
        <w:t>2）</w:t>
      </w:r>
    </w:p>
    <w:p>
      <w:pPr>
        <w:spacing w:line="460" w:lineRule="exact"/>
        <w:ind w:firstLine="482" w:firstLineChars="200"/>
        <w:rPr>
          <w:rFonts w:ascii="宋体" w:hAnsi="宋体" w:eastAsia="宋体" w:cs="宋体"/>
          <w:bCs/>
          <w:sz w:val="24"/>
          <w:szCs w:val="24"/>
        </w:rPr>
      </w:pPr>
      <w:r>
        <w:rPr>
          <w:rFonts w:hint="eastAsia" w:ascii="宋体" w:hAnsi="宋体" w:eastAsia="宋体" w:cs="宋体"/>
          <w:bCs/>
          <w:sz w:val="24"/>
          <w:szCs w:val="24"/>
        </w:rPr>
        <w:t>待评估宗地为住宅用地，</w:t>
      </w:r>
      <w:r>
        <w:rPr>
          <w:rFonts w:hint="eastAsia" w:ascii="宋体" w:hAnsi="宋体" w:eastAsia="宋体" w:cs="Times New Roman"/>
          <w:sz w:val="24"/>
          <w:szCs w:val="24"/>
        </w:rPr>
        <w:t>估价对象设定土地使用年限为7</w:t>
      </w:r>
      <w:r>
        <w:rPr>
          <w:rFonts w:ascii="宋体" w:hAnsi="宋体" w:eastAsia="宋体" w:cs="Times New Roman"/>
          <w:sz w:val="24"/>
          <w:szCs w:val="24"/>
        </w:rPr>
        <w:t>0</w:t>
      </w:r>
      <w:r>
        <w:rPr>
          <w:rFonts w:hint="eastAsia" w:ascii="宋体" w:hAnsi="宋体" w:eastAsia="宋体" w:cs="Times New Roman"/>
          <w:sz w:val="24"/>
          <w:szCs w:val="24"/>
        </w:rPr>
        <w:t>年，</w:t>
      </w:r>
      <w:r>
        <w:rPr>
          <w:rFonts w:hint="eastAsia" w:ascii="宋体" w:hAnsi="宋体" w:eastAsia="宋体" w:cs="宋体"/>
          <w:bCs/>
          <w:sz w:val="24"/>
          <w:szCs w:val="24"/>
        </w:rPr>
        <w:t>国有土地使用权证登记土地使用年期宗地土地</w:t>
      </w:r>
      <w:r>
        <w:rPr>
          <w:rFonts w:hint="eastAsia" w:ascii="宋体" w:hAnsi="宋体" w:eastAsia="宋体" w:cs="宋体"/>
          <w:sz w:val="24"/>
          <w:szCs w:val="24"/>
        </w:rPr>
        <w:t>终止日期为2079年</w:t>
      </w:r>
      <w:r>
        <w:rPr>
          <w:rFonts w:ascii="宋体" w:hAnsi="宋体" w:eastAsia="宋体" w:cs="宋体"/>
          <w:sz w:val="24"/>
          <w:szCs w:val="24"/>
        </w:rPr>
        <w:t>1</w:t>
      </w:r>
      <w:r>
        <w:rPr>
          <w:rFonts w:hint="eastAsia" w:ascii="宋体" w:hAnsi="宋体" w:eastAsia="宋体" w:cs="宋体"/>
          <w:sz w:val="24"/>
          <w:szCs w:val="24"/>
        </w:rPr>
        <w:t>0月9日。</w:t>
      </w:r>
      <w:r>
        <w:rPr>
          <w:rFonts w:hint="eastAsia" w:ascii="宋体" w:hAnsi="宋体" w:eastAsia="宋体" w:cs="宋体"/>
          <w:bCs/>
          <w:sz w:val="24"/>
          <w:szCs w:val="24"/>
        </w:rPr>
        <w:t>截至评估基准日，评估对象剩余使用年限为60</w:t>
      </w:r>
      <w:r>
        <w:rPr>
          <w:rFonts w:ascii="宋体" w:hAnsi="宋体" w:eastAsia="宋体" w:cs="宋体"/>
          <w:bCs/>
          <w:sz w:val="24"/>
          <w:szCs w:val="24"/>
        </w:rPr>
        <w:t>.</w:t>
      </w:r>
      <w:r>
        <w:rPr>
          <w:rFonts w:hint="eastAsia" w:ascii="宋体" w:hAnsi="宋体" w:eastAsia="宋体" w:cs="宋体"/>
          <w:bCs/>
          <w:sz w:val="24"/>
          <w:szCs w:val="24"/>
        </w:rPr>
        <w:t>25年。我们通过基准地价手册查询到剩余年期60和61年的年期修正系数，采用插值法计算得出剩余年限60.25年的年期修正系数为0.9813，剩余年限为60.25年的住宅用地年期修正系数</w:t>
      </w:r>
      <w:r>
        <w:rPr>
          <w:rFonts w:ascii="宋体" w:hAnsi="宋体" w:eastAsia="宋体" w:cs="宋体"/>
          <w:bCs/>
          <w:sz w:val="24"/>
          <w:szCs w:val="24"/>
        </w:rPr>
        <w:t>K</w:t>
      </w:r>
      <w:r>
        <w:rPr>
          <w:rFonts w:hint="eastAsia" w:ascii="宋体" w:hAnsi="宋体" w:eastAsia="宋体" w:cs="宋体"/>
          <w:bCs/>
          <w:sz w:val="24"/>
          <w:szCs w:val="24"/>
        </w:rPr>
        <w:t>2=0.9813</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(4)容积率修正系数（</w:t>
      </w:r>
      <w:r>
        <w:rPr>
          <w:rFonts w:ascii="宋体" w:hAnsi="宋体" w:eastAsia="宋体" w:cs="宋体"/>
          <w:bCs/>
          <w:sz w:val="24"/>
          <w:szCs w:val="24"/>
        </w:rPr>
        <w:t>K</w:t>
      </w:r>
      <w:r>
        <w:rPr>
          <w:rFonts w:hint="eastAsia" w:ascii="宋体" w:hAnsi="宋体" w:eastAsia="宋体" w:cs="宋体"/>
          <w:bCs/>
          <w:sz w:val="24"/>
          <w:szCs w:val="24"/>
        </w:rPr>
        <w:t>3）</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基准地价的标准容积率为1</w:t>
      </w:r>
      <w:r>
        <w:rPr>
          <w:rFonts w:ascii="宋体" w:hAnsi="宋体" w:eastAsia="宋体" w:cs="宋体"/>
          <w:bCs/>
          <w:sz w:val="24"/>
          <w:szCs w:val="24"/>
        </w:rPr>
        <w:t>.</w:t>
      </w:r>
      <w:r>
        <w:rPr>
          <w:rFonts w:hint="eastAsia" w:ascii="宋体" w:hAnsi="宋体" w:eastAsia="宋体" w:cs="宋体"/>
          <w:bCs/>
          <w:sz w:val="24"/>
          <w:szCs w:val="24"/>
        </w:rPr>
        <w:t>8，待估宗地规划容积率为0</w:t>
      </w:r>
      <w:r>
        <w:rPr>
          <w:rFonts w:ascii="宋体" w:hAnsi="宋体" w:eastAsia="宋体" w:cs="宋体"/>
          <w:bCs/>
          <w:sz w:val="24"/>
          <w:szCs w:val="24"/>
        </w:rPr>
        <w:t>.7</w:t>
      </w:r>
      <w:r>
        <w:rPr>
          <w:rFonts w:hint="eastAsia" w:ascii="宋体" w:hAnsi="宋体" w:eastAsia="宋体" w:cs="宋体"/>
          <w:bCs/>
          <w:sz w:val="24"/>
          <w:szCs w:val="24"/>
        </w:rPr>
        <w:t>，根据庆云县住宅用地容积率修正系数表，待估宗地容积率修正系数为</w:t>
      </w:r>
      <w:r>
        <w:rPr>
          <w:rFonts w:ascii="宋体" w:hAnsi="宋体" w:eastAsia="宋体" w:cs="宋体"/>
          <w:bCs/>
          <w:sz w:val="24"/>
          <w:szCs w:val="24"/>
        </w:rPr>
        <w:t>K</w:t>
      </w:r>
      <w:r>
        <w:rPr>
          <w:rFonts w:hint="eastAsia" w:ascii="宋体" w:hAnsi="宋体" w:eastAsia="宋体" w:cs="宋体"/>
          <w:bCs/>
          <w:sz w:val="24"/>
          <w:szCs w:val="24"/>
        </w:rPr>
        <w:t>3＝0.76。</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(5)开发程度修正（</w:t>
      </w:r>
      <w:r>
        <w:rPr>
          <w:rFonts w:ascii="宋体" w:hAnsi="宋体" w:eastAsia="宋体" w:cs="宋体"/>
          <w:bCs/>
          <w:sz w:val="24"/>
          <w:szCs w:val="24"/>
        </w:rPr>
        <w:t>K</w:t>
      </w:r>
      <w:r>
        <w:rPr>
          <w:rFonts w:hint="eastAsia" w:ascii="宋体" w:hAnsi="宋体" w:eastAsia="宋体" w:cs="宋体"/>
          <w:bCs/>
          <w:sz w:val="24"/>
          <w:szCs w:val="24"/>
        </w:rPr>
        <w:t>4）</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基准地价开发程度设定为“六通一平”，即红线外通路，供电、通讯、供水、排水、供气以及红线内场地平整,宗地实际开发程度与基准地价开发程度相同，根据庆云县土地开发程度增幅修正表，开发程度修正</w:t>
      </w:r>
      <w:r>
        <w:rPr>
          <w:rFonts w:ascii="宋体" w:hAnsi="宋体" w:eastAsia="宋体" w:cs="宋体"/>
          <w:bCs/>
          <w:sz w:val="24"/>
          <w:szCs w:val="24"/>
        </w:rPr>
        <w:t>K4＝</w:t>
      </w:r>
      <w:r>
        <w:rPr>
          <w:rFonts w:hint="eastAsia" w:ascii="宋体" w:hAnsi="宋体" w:eastAsia="宋体" w:cs="宋体"/>
          <w:bCs/>
          <w:sz w:val="24"/>
          <w:szCs w:val="24"/>
        </w:rPr>
        <w:t>0.00元/平方米。</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(6)用途修正（K5）</w:t>
      </w:r>
    </w:p>
    <w:p>
      <w:pPr>
        <w:autoSpaceDE w:val="0"/>
        <w:autoSpaceDN w:val="0"/>
        <w:spacing w:line="440" w:lineRule="exact"/>
        <w:ind w:firstLine="555"/>
        <w:textAlignment w:val="bottom"/>
        <w:rPr>
          <w:rFonts w:ascii="宋体" w:hAnsi="宋体" w:eastAsia="宋体" w:cs="宋体"/>
          <w:bCs/>
          <w:sz w:val="24"/>
          <w:szCs w:val="24"/>
        </w:rPr>
      </w:pPr>
      <w:r>
        <w:rPr>
          <w:rFonts w:ascii="宋体" w:hAnsi="宋体" w:eastAsia="宋体" w:cs="宋体"/>
          <w:bCs/>
          <w:sz w:val="24"/>
          <w:szCs w:val="24"/>
        </w:rPr>
        <w:t>根据</w:t>
      </w:r>
      <w:r>
        <w:rPr>
          <w:rFonts w:hint="eastAsia" w:ascii="宋体" w:hAnsi="宋体" w:eastAsia="宋体" w:cs="宋体"/>
          <w:bCs/>
          <w:sz w:val="24"/>
          <w:szCs w:val="24"/>
        </w:rPr>
        <w:t>庆云县</w:t>
      </w:r>
      <w:r>
        <w:rPr>
          <w:rFonts w:ascii="宋体" w:hAnsi="宋体" w:eastAsia="宋体" w:cs="宋体"/>
          <w:bCs/>
          <w:sz w:val="24"/>
          <w:szCs w:val="24"/>
        </w:rPr>
        <w:t>国有土地基准地价应用技术手册</w:t>
      </w:r>
      <w:r>
        <w:rPr>
          <w:rFonts w:hint="eastAsia" w:ascii="宋体" w:hAnsi="宋体" w:eastAsia="宋体" w:cs="宋体"/>
          <w:bCs/>
          <w:sz w:val="24"/>
          <w:szCs w:val="24"/>
        </w:rPr>
        <w:t>,待估土地用途与住宅基准土地用途一致，修正数</w:t>
      </w:r>
      <w:r>
        <w:rPr>
          <w:rFonts w:ascii="宋体" w:hAnsi="宋体" w:eastAsia="宋体" w:cs="宋体"/>
          <w:bCs/>
          <w:sz w:val="24"/>
          <w:szCs w:val="24"/>
        </w:rPr>
        <w:t>为0.</w:t>
      </w:r>
      <w:r>
        <w:rPr>
          <w:rFonts w:hint="eastAsia" w:ascii="宋体" w:hAnsi="宋体" w:eastAsia="宋体" w:cs="宋体"/>
          <w:bCs/>
          <w:sz w:val="24"/>
          <w:szCs w:val="24"/>
        </w:rPr>
        <w:t>00</w:t>
      </w:r>
      <w:r>
        <w:rPr>
          <w:rFonts w:ascii="宋体" w:hAnsi="宋体" w:eastAsia="宋体" w:cs="宋体"/>
          <w:bCs/>
          <w:sz w:val="24"/>
          <w:szCs w:val="24"/>
        </w:rPr>
        <w:t>。</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(7)编制基准地价修正因素条件说明表和修正系数表</w:t>
      </w:r>
    </w:p>
    <w:p>
      <w:pPr>
        <w:spacing w:line="440" w:lineRule="exact"/>
        <w:jc w:val="center"/>
        <w:rPr>
          <w:rFonts w:ascii="宋体" w:hAnsi="Courier New" w:eastAsia="宋体" w:cs="Times New Roman"/>
          <w:bCs/>
          <w:szCs w:val="20"/>
        </w:rPr>
      </w:pPr>
      <w:r>
        <w:rPr>
          <w:rFonts w:hint="eastAsia" w:ascii="宋体" w:hAnsi="宋体" w:eastAsia="宋体" w:cs="宋体"/>
          <w:bCs/>
          <w:sz w:val="24"/>
          <w:szCs w:val="24"/>
        </w:rPr>
        <w:t>庆云县城住宅用地地价因素修正系数说明表</w:t>
      </w:r>
    </w:p>
    <w:tbl>
      <w:tblPr>
        <w:tblStyle w:val="37"/>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8"/>
        <w:gridCol w:w="1500"/>
        <w:gridCol w:w="1788"/>
        <w:gridCol w:w="1153"/>
        <w:gridCol w:w="1730"/>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9083" w:type="dxa"/>
            <w:gridSpan w:val="6"/>
            <w:shd w:val="clear" w:color="auto" w:fill="FFFFFF"/>
            <w:noWrap/>
            <w:tcMar>
              <w:top w:w="12" w:type="dxa"/>
              <w:left w:w="12" w:type="dxa"/>
              <w:right w:w="12"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58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因素</w:t>
            </w:r>
          </w:p>
        </w:tc>
        <w:tc>
          <w:tcPr>
            <w:tcW w:w="1500"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优</w:t>
            </w:r>
          </w:p>
        </w:tc>
        <w:tc>
          <w:tcPr>
            <w:tcW w:w="178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较优</w:t>
            </w:r>
          </w:p>
        </w:tc>
        <w:tc>
          <w:tcPr>
            <w:tcW w:w="1153"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一般</w:t>
            </w:r>
          </w:p>
        </w:tc>
        <w:tc>
          <w:tcPr>
            <w:tcW w:w="1730"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较劣</w:t>
            </w:r>
          </w:p>
        </w:tc>
        <w:tc>
          <w:tcPr>
            <w:tcW w:w="132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5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距最近商服中心距离（m）</w:t>
            </w:r>
          </w:p>
        </w:tc>
        <w:tc>
          <w:tcPr>
            <w:tcW w:w="150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＜600m</w:t>
            </w:r>
          </w:p>
        </w:tc>
        <w:tc>
          <w:tcPr>
            <w:tcW w:w="17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600-1200m</w:t>
            </w:r>
          </w:p>
        </w:tc>
        <w:tc>
          <w:tcPr>
            <w:tcW w:w="1153"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1200-1800m</w:t>
            </w:r>
          </w:p>
        </w:tc>
        <w:tc>
          <w:tcPr>
            <w:tcW w:w="173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1800-2400m</w:t>
            </w:r>
          </w:p>
        </w:tc>
        <w:tc>
          <w:tcPr>
            <w:tcW w:w="132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&gt;2400m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5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区域环境质量状况</w:t>
            </w:r>
          </w:p>
        </w:tc>
        <w:tc>
          <w:tcPr>
            <w:tcW w:w="150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邻园林无任何污染</w:t>
            </w:r>
          </w:p>
        </w:tc>
        <w:tc>
          <w:tcPr>
            <w:tcW w:w="17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绿化条件好无污染</w:t>
            </w:r>
          </w:p>
        </w:tc>
        <w:tc>
          <w:tcPr>
            <w:tcW w:w="1153"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基本无污染</w:t>
            </w:r>
          </w:p>
        </w:tc>
        <w:tc>
          <w:tcPr>
            <w:tcW w:w="173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有一定噪音或空气污染</w:t>
            </w:r>
          </w:p>
        </w:tc>
        <w:tc>
          <w:tcPr>
            <w:tcW w:w="132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污染较严重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5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距学校距离</w:t>
            </w:r>
          </w:p>
        </w:tc>
        <w:tc>
          <w:tcPr>
            <w:tcW w:w="150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＜600m</w:t>
            </w:r>
          </w:p>
        </w:tc>
        <w:tc>
          <w:tcPr>
            <w:tcW w:w="17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600-1200m</w:t>
            </w:r>
          </w:p>
        </w:tc>
        <w:tc>
          <w:tcPr>
            <w:tcW w:w="1153"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1200-1800m</w:t>
            </w:r>
          </w:p>
        </w:tc>
        <w:tc>
          <w:tcPr>
            <w:tcW w:w="173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1800-2400m</w:t>
            </w:r>
          </w:p>
        </w:tc>
        <w:tc>
          <w:tcPr>
            <w:tcW w:w="132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&gt;2400m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5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距医院距离</w:t>
            </w:r>
          </w:p>
        </w:tc>
        <w:tc>
          <w:tcPr>
            <w:tcW w:w="150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＜600m</w:t>
            </w:r>
          </w:p>
        </w:tc>
        <w:tc>
          <w:tcPr>
            <w:tcW w:w="17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600-1200m</w:t>
            </w:r>
          </w:p>
        </w:tc>
        <w:tc>
          <w:tcPr>
            <w:tcW w:w="1153"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1200-1800m</w:t>
            </w:r>
          </w:p>
        </w:tc>
        <w:tc>
          <w:tcPr>
            <w:tcW w:w="173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1800-2400m</w:t>
            </w:r>
          </w:p>
        </w:tc>
        <w:tc>
          <w:tcPr>
            <w:tcW w:w="132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&gt;2400m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5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距农贸市场距离</w:t>
            </w:r>
          </w:p>
        </w:tc>
        <w:tc>
          <w:tcPr>
            <w:tcW w:w="150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＜750m</w:t>
            </w:r>
          </w:p>
        </w:tc>
        <w:tc>
          <w:tcPr>
            <w:tcW w:w="17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750-1500m</w:t>
            </w:r>
          </w:p>
        </w:tc>
        <w:tc>
          <w:tcPr>
            <w:tcW w:w="1153"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1500-2250m</w:t>
            </w:r>
          </w:p>
        </w:tc>
        <w:tc>
          <w:tcPr>
            <w:tcW w:w="173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2250-3000m</w:t>
            </w:r>
          </w:p>
        </w:tc>
        <w:tc>
          <w:tcPr>
            <w:tcW w:w="132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&gt;3000m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9" w:hRule="atLeast"/>
        </w:trPr>
        <w:tc>
          <w:tcPr>
            <w:tcW w:w="158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宗地形状</w:t>
            </w:r>
          </w:p>
        </w:tc>
        <w:tc>
          <w:tcPr>
            <w:tcW w:w="1500"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长方形或正方形</w:t>
            </w:r>
          </w:p>
        </w:tc>
        <w:tc>
          <w:tcPr>
            <w:tcW w:w="178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规划，有利于住宅利用</w:t>
            </w:r>
          </w:p>
        </w:tc>
        <w:tc>
          <w:tcPr>
            <w:tcW w:w="1153"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基本规则，不影响宗地使用</w:t>
            </w:r>
          </w:p>
        </w:tc>
        <w:tc>
          <w:tcPr>
            <w:tcW w:w="1730"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不规则，对利用有一定影响</w:t>
            </w:r>
          </w:p>
        </w:tc>
        <w:tc>
          <w:tcPr>
            <w:tcW w:w="132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不规则，对利用有严重影响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5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距银行距离</w:t>
            </w:r>
          </w:p>
        </w:tc>
        <w:tc>
          <w:tcPr>
            <w:tcW w:w="150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&lt;450m</w:t>
            </w:r>
          </w:p>
        </w:tc>
        <w:tc>
          <w:tcPr>
            <w:tcW w:w="17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450-900m</w:t>
            </w:r>
          </w:p>
        </w:tc>
        <w:tc>
          <w:tcPr>
            <w:tcW w:w="1153"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900-1350m</w:t>
            </w:r>
          </w:p>
        </w:tc>
        <w:tc>
          <w:tcPr>
            <w:tcW w:w="173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1350-1800m</w:t>
            </w:r>
          </w:p>
        </w:tc>
        <w:tc>
          <w:tcPr>
            <w:tcW w:w="132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&gt;1800m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5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道路状况</w:t>
            </w:r>
          </w:p>
        </w:tc>
        <w:tc>
          <w:tcPr>
            <w:tcW w:w="150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生活型为主</w:t>
            </w:r>
          </w:p>
        </w:tc>
        <w:tc>
          <w:tcPr>
            <w:tcW w:w="17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混合，生活型为主</w:t>
            </w:r>
          </w:p>
        </w:tc>
        <w:tc>
          <w:tcPr>
            <w:tcW w:w="1153"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混合型为主</w:t>
            </w:r>
          </w:p>
        </w:tc>
        <w:tc>
          <w:tcPr>
            <w:tcW w:w="173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混合，交通型为主</w:t>
            </w:r>
          </w:p>
        </w:tc>
        <w:tc>
          <w:tcPr>
            <w:tcW w:w="132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交通型为主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trPr>
        <w:tc>
          <w:tcPr>
            <w:tcW w:w="1588"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规划,限制</w:t>
            </w:r>
          </w:p>
        </w:tc>
        <w:tc>
          <w:tcPr>
            <w:tcW w:w="1500"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规划前景好；对利用类型，利用强度控制很严格</w:t>
            </w:r>
          </w:p>
        </w:tc>
        <w:tc>
          <w:tcPr>
            <w:tcW w:w="1788"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规划前景较好；对利用类型，利用强度控制较严格</w:t>
            </w:r>
          </w:p>
        </w:tc>
        <w:tc>
          <w:tcPr>
            <w:tcW w:w="1153"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规划前景一般；对利用类型，利用强度有所控制</w:t>
            </w:r>
          </w:p>
        </w:tc>
        <w:tc>
          <w:tcPr>
            <w:tcW w:w="1730"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规划前景较差；对利用类型，利用强度较少控制</w:t>
            </w:r>
          </w:p>
        </w:tc>
        <w:tc>
          <w:tcPr>
            <w:tcW w:w="1324"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规划前景差；对利用类型，利用强度控制无任何要求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trPr>
        <w:tc>
          <w:tcPr>
            <w:tcW w:w="1588"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c>
          <w:tcPr>
            <w:tcW w:w="1500"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c>
          <w:tcPr>
            <w:tcW w:w="1788"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c>
          <w:tcPr>
            <w:tcW w:w="1153"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c>
          <w:tcPr>
            <w:tcW w:w="1730"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c>
          <w:tcPr>
            <w:tcW w:w="1324"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5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周围土地利用情况</w:t>
            </w:r>
          </w:p>
        </w:tc>
        <w:tc>
          <w:tcPr>
            <w:tcW w:w="150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住宅</w:t>
            </w:r>
          </w:p>
        </w:tc>
        <w:tc>
          <w:tcPr>
            <w:tcW w:w="17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住宅，科研，办公</w:t>
            </w:r>
          </w:p>
        </w:tc>
        <w:tc>
          <w:tcPr>
            <w:tcW w:w="1153"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住宅，商服</w:t>
            </w:r>
          </w:p>
        </w:tc>
        <w:tc>
          <w:tcPr>
            <w:tcW w:w="173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商服，公建</w:t>
            </w:r>
          </w:p>
        </w:tc>
        <w:tc>
          <w:tcPr>
            <w:tcW w:w="132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5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区域文化设施方便度</w:t>
            </w:r>
          </w:p>
        </w:tc>
        <w:tc>
          <w:tcPr>
            <w:tcW w:w="150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方便</w:t>
            </w:r>
          </w:p>
        </w:tc>
        <w:tc>
          <w:tcPr>
            <w:tcW w:w="17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较方便</w:t>
            </w:r>
          </w:p>
        </w:tc>
        <w:tc>
          <w:tcPr>
            <w:tcW w:w="1153"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一般</w:t>
            </w:r>
          </w:p>
        </w:tc>
        <w:tc>
          <w:tcPr>
            <w:tcW w:w="173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较不方便</w:t>
            </w:r>
          </w:p>
        </w:tc>
        <w:tc>
          <w:tcPr>
            <w:tcW w:w="132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5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周围景观状况</w:t>
            </w:r>
          </w:p>
        </w:tc>
        <w:tc>
          <w:tcPr>
            <w:tcW w:w="150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邻公园，水系</w:t>
            </w:r>
          </w:p>
        </w:tc>
        <w:tc>
          <w:tcPr>
            <w:tcW w:w="1788"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邻公园，公共绿地</w:t>
            </w:r>
          </w:p>
        </w:tc>
        <w:tc>
          <w:tcPr>
            <w:tcW w:w="1153"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邻绿地</w:t>
            </w:r>
          </w:p>
        </w:tc>
        <w:tc>
          <w:tcPr>
            <w:tcW w:w="1730"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周围无绿地</w:t>
            </w:r>
          </w:p>
        </w:tc>
        <w:tc>
          <w:tcPr>
            <w:tcW w:w="132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邻嫌恶设施</w:t>
            </w:r>
          </w:p>
        </w:tc>
      </w:tr>
    </w:tbl>
    <w:p>
      <w:pPr>
        <w:spacing w:line="440" w:lineRule="exact"/>
        <w:ind w:firstLine="482" w:firstLineChars="200"/>
        <w:jc w:val="center"/>
        <w:rPr>
          <w:rFonts w:ascii="宋体" w:hAnsi="宋体" w:eastAsia="宋体" w:cs="宋体"/>
          <w:bCs/>
          <w:sz w:val="24"/>
          <w:szCs w:val="24"/>
        </w:rPr>
      </w:pPr>
    </w:p>
    <w:p>
      <w:pPr>
        <w:spacing w:line="440" w:lineRule="exact"/>
        <w:ind w:firstLine="482" w:firstLineChars="200"/>
        <w:jc w:val="center"/>
        <w:rPr>
          <w:rFonts w:ascii="宋体" w:hAnsi="宋体" w:eastAsia="宋体" w:cs="宋体"/>
          <w:bCs/>
          <w:sz w:val="24"/>
          <w:szCs w:val="24"/>
        </w:rPr>
      </w:pPr>
      <w:r>
        <w:rPr>
          <w:rFonts w:hint="eastAsia" w:ascii="宋体" w:hAnsi="宋体" w:eastAsia="宋体" w:cs="宋体"/>
          <w:bCs/>
          <w:sz w:val="24"/>
          <w:szCs w:val="24"/>
        </w:rPr>
        <w:t>庆云县城住宅用地地价因素基准地价修正系数表（%）</w:t>
      </w:r>
    </w:p>
    <w:tbl>
      <w:tblPr>
        <w:tblStyle w:val="37"/>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4"/>
        <w:gridCol w:w="1586"/>
        <w:gridCol w:w="1658"/>
        <w:gridCol w:w="955"/>
        <w:gridCol w:w="176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tcBorders>
              <w:tl2br w:val="single" w:color="000000" w:sz="4"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级别</w:t>
            </w:r>
          </w:p>
        </w:tc>
        <w:tc>
          <w:tcPr>
            <w:tcW w:w="7119" w:type="dxa"/>
            <w:gridSpan w:val="5"/>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tcBorders>
              <w:tl2br w:val="single" w:color="000000" w:sz="4" w:space="0"/>
            </w:tcBorders>
            <w:shd w:val="clear" w:color="auto" w:fill="FFFFFF"/>
            <w:tcMar>
              <w:top w:w="12" w:type="dxa"/>
              <w:left w:w="12" w:type="dxa"/>
              <w:right w:w="12" w:type="dxa"/>
            </w:tcMar>
            <w:vAlign w:val="bottom"/>
          </w:tcPr>
          <w:p>
            <w:pPr>
              <w:widowControl/>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因素</w:t>
            </w:r>
          </w:p>
        </w:tc>
        <w:tc>
          <w:tcPr>
            <w:tcW w:w="1586" w:type="dxa"/>
            <w:shd w:val="clear" w:color="auto" w:fill="FFFFFF"/>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2"/>
              </w:rPr>
              <w:t>优</w:t>
            </w:r>
          </w:p>
        </w:tc>
        <w:tc>
          <w:tcPr>
            <w:tcW w:w="1658" w:type="dxa"/>
            <w:shd w:val="clear" w:color="auto" w:fill="FFFFFF"/>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2"/>
              </w:rPr>
              <w:t>较优</w:t>
            </w:r>
          </w:p>
        </w:tc>
        <w:tc>
          <w:tcPr>
            <w:tcW w:w="955" w:type="dxa"/>
            <w:shd w:val="clear" w:color="auto" w:fill="FFFFFF"/>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2"/>
              </w:rPr>
              <w:t>一般</w:t>
            </w:r>
          </w:p>
        </w:tc>
        <w:tc>
          <w:tcPr>
            <w:tcW w:w="1766" w:type="dxa"/>
            <w:shd w:val="clear" w:color="auto" w:fill="FFFFFF"/>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2"/>
              </w:rPr>
              <w:t>较差</w:t>
            </w:r>
          </w:p>
        </w:tc>
        <w:tc>
          <w:tcPr>
            <w:tcW w:w="1154" w:type="dxa"/>
            <w:shd w:val="clear" w:color="auto" w:fill="FFFFFF"/>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2"/>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距最近商服中心距离（m）</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2.28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1.14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-1.16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区域环境质量状况</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1.22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0.61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-0.62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距学校距离</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1.98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0.99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-1.01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距医院距离</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1.82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0.91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-0.93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距农贸市场距离</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1.06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0.53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-0.54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宗地形状</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0.91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0.46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-0.46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距银行距离</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1.52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0.76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-0.77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道路状况</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0.91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0.46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-0.46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规划,限制</w:t>
            </w:r>
          </w:p>
        </w:tc>
        <w:tc>
          <w:tcPr>
            <w:tcW w:w="1586"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1.06 </w:t>
            </w:r>
          </w:p>
        </w:tc>
        <w:tc>
          <w:tcPr>
            <w:tcW w:w="1658"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0.53 </w:t>
            </w:r>
          </w:p>
        </w:tc>
        <w:tc>
          <w:tcPr>
            <w:tcW w:w="955"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-0.54 </w:t>
            </w:r>
          </w:p>
        </w:tc>
        <w:tc>
          <w:tcPr>
            <w:tcW w:w="1154" w:type="dxa"/>
            <w:vMerge w:val="restart"/>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trPr>
        <w:tc>
          <w:tcPr>
            <w:tcW w:w="1964"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c>
          <w:tcPr>
            <w:tcW w:w="1586"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c>
          <w:tcPr>
            <w:tcW w:w="1658"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c>
          <w:tcPr>
            <w:tcW w:w="955"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c>
          <w:tcPr>
            <w:tcW w:w="1766"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c>
          <w:tcPr>
            <w:tcW w:w="1154" w:type="dxa"/>
            <w:vMerge w:val="continue"/>
            <w:shd w:val="clear" w:color="auto" w:fill="FFFFFF"/>
            <w:tcMar>
              <w:top w:w="12" w:type="dxa"/>
              <w:left w:w="12" w:type="dxa"/>
              <w:right w:w="12" w:type="dxa"/>
            </w:tcMar>
            <w:vAlign w:val="center"/>
          </w:tcPr>
          <w:p>
            <w:pPr>
              <w:jc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周围土地利用情况</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0.76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0.38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-0.39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区域文化设施方便度</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0.91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0.46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-0.46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周围景观状况</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0.76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0.38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-0.39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964" w:type="dxa"/>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58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15.19 </w:t>
            </w:r>
          </w:p>
        </w:tc>
        <w:tc>
          <w:tcPr>
            <w:tcW w:w="1658"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7.61 </w:t>
            </w:r>
          </w:p>
        </w:tc>
        <w:tc>
          <w:tcPr>
            <w:tcW w:w="955"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1766"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-7.73 </w:t>
            </w:r>
          </w:p>
        </w:tc>
        <w:tc>
          <w:tcPr>
            <w:tcW w:w="1154" w:type="dxa"/>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-15.47 </w:t>
            </w:r>
          </w:p>
        </w:tc>
      </w:tr>
    </w:tbl>
    <w:p>
      <w:pPr>
        <w:spacing w:line="440" w:lineRule="exact"/>
        <w:rPr>
          <w:rFonts w:ascii="宋体" w:hAnsi="宋体" w:eastAsia="宋体" w:cs="宋体"/>
          <w:bCs/>
          <w:sz w:val="24"/>
          <w:szCs w:val="24"/>
        </w:rPr>
      </w:pPr>
    </w:p>
    <w:p>
      <w:pPr>
        <w:spacing w:line="440" w:lineRule="exact"/>
        <w:jc w:val="center"/>
        <w:rPr>
          <w:rFonts w:ascii="宋体" w:hAnsi="宋体" w:eastAsia="宋体" w:cs="宋体"/>
          <w:bCs/>
          <w:sz w:val="24"/>
          <w:szCs w:val="24"/>
        </w:rPr>
      </w:pPr>
      <w:r>
        <w:rPr>
          <w:rFonts w:hint="eastAsia" w:ascii="宋体" w:hAnsi="宋体" w:eastAsia="宋体" w:cs="宋体"/>
          <w:bCs/>
          <w:sz w:val="24"/>
          <w:szCs w:val="24"/>
        </w:rPr>
        <w:t>待估宗地地价影响因素说明、优劣程度及修正系数表</w:t>
      </w:r>
      <w:r>
        <w:rPr>
          <w:rFonts w:hint="eastAsia" w:ascii="宋体" w:hAnsi="宋体" w:eastAsia="宋体" w:cs="宋体"/>
          <w:bCs/>
          <w:sz w:val="24"/>
          <w:szCs w:val="24"/>
        </w:rPr>
        <w:tab/>
      </w:r>
    </w:p>
    <w:tbl>
      <w:tblPr>
        <w:tblStyle w:val="37"/>
        <w:tblW w:w="9083" w:type="dxa"/>
        <w:tblInd w:w="0" w:type="dxa"/>
        <w:tblLayout w:type="fixed"/>
        <w:tblCellMar>
          <w:top w:w="0" w:type="dxa"/>
          <w:left w:w="0" w:type="dxa"/>
          <w:bottom w:w="0" w:type="dxa"/>
          <w:right w:w="0" w:type="dxa"/>
        </w:tblCellMar>
      </w:tblPr>
      <w:tblGrid>
        <w:gridCol w:w="2892"/>
        <w:gridCol w:w="2339"/>
        <w:gridCol w:w="2443"/>
        <w:gridCol w:w="1409"/>
      </w:tblGrid>
      <w:tr>
        <w:tblPrEx>
          <w:tblLayout w:type="fixed"/>
          <w:tblCellMar>
            <w:top w:w="0" w:type="dxa"/>
            <w:left w:w="0" w:type="dxa"/>
            <w:bottom w:w="0" w:type="dxa"/>
            <w:right w:w="0" w:type="dxa"/>
          </w:tblCellMar>
        </w:tblPrEx>
        <w:trPr>
          <w:trHeight w:val="327" w:hRule="atLeast"/>
          <w:tblHeader/>
        </w:trPr>
        <w:tc>
          <w:tcPr>
            <w:tcW w:w="289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因素</w:t>
            </w:r>
          </w:p>
        </w:tc>
        <w:tc>
          <w:tcPr>
            <w:tcW w:w="2339"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因素说明</w:t>
            </w:r>
          </w:p>
        </w:tc>
        <w:tc>
          <w:tcPr>
            <w:tcW w:w="2443"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优劣程度</w:t>
            </w:r>
          </w:p>
        </w:tc>
        <w:tc>
          <w:tcPr>
            <w:tcW w:w="1409"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系数</w:t>
            </w:r>
          </w:p>
        </w:tc>
      </w:tr>
      <w:tr>
        <w:tblPrEx>
          <w:tblLayout w:type="fixed"/>
          <w:tblCellMar>
            <w:top w:w="0" w:type="dxa"/>
            <w:left w:w="0" w:type="dxa"/>
            <w:bottom w:w="0" w:type="dxa"/>
            <w:right w:w="0" w:type="dxa"/>
          </w:tblCellMar>
        </w:tblPrEx>
        <w:trPr>
          <w:trHeight w:val="327" w:hRule="atLeast"/>
        </w:trPr>
        <w:tc>
          <w:tcPr>
            <w:tcW w:w="2892" w:type="dxa"/>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距最近商服中心距离（m）</w:t>
            </w:r>
          </w:p>
        </w:tc>
        <w:tc>
          <w:tcPr>
            <w:tcW w:w="233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1200-1800m</w:t>
            </w:r>
          </w:p>
        </w:tc>
        <w:tc>
          <w:tcPr>
            <w:tcW w:w="2443"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一般</w:t>
            </w:r>
          </w:p>
        </w:tc>
        <w:tc>
          <w:tcPr>
            <w:tcW w:w="140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   </w:t>
            </w:r>
          </w:p>
        </w:tc>
      </w:tr>
      <w:tr>
        <w:tblPrEx>
          <w:tblLayout w:type="fixed"/>
          <w:tblCellMar>
            <w:top w:w="0" w:type="dxa"/>
            <w:left w:w="0" w:type="dxa"/>
            <w:bottom w:w="0" w:type="dxa"/>
            <w:right w:w="0" w:type="dxa"/>
          </w:tblCellMar>
        </w:tblPrEx>
        <w:trPr>
          <w:trHeight w:val="327" w:hRule="atLeast"/>
        </w:trPr>
        <w:tc>
          <w:tcPr>
            <w:tcW w:w="2892" w:type="dxa"/>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区域环境质量状况</w:t>
            </w:r>
          </w:p>
        </w:tc>
        <w:tc>
          <w:tcPr>
            <w:tcW w:w="233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基本无污染</w:t>
            </w:r>
          </w:p>
        </w:tc>
        <w:tc>
          <w:tcPr>
            <w:tcW w:w="2443"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一般</w:t>
            </w:r>
          </w:p>
        </w:tc>
        <w:tc>
          <w:tcPr>
            <w:tcW w:w="140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   </w:t>
            </w:r>
          </w:p>
        </w:tc>
      </w:tr>
      <w:tr>
        <w:tblPrEx>
          <w:tblLayout w:type="fixed"/>
          <w:tblCellMar>
            <w:top w:w="0" w:type="dxa"/>
            <w:left w:w="0" w:type="dxa"/>
            <w:bottom w:w="0" w:type="dxa"/>
            <w:right w:w="0" w:type="dxa"/>
          </w:tblCellMar>
        </w:tblPrEx>
        <w:trPr>
          <w:trHeight w:val="327" w:hRule="atLeast"/>
        </w:trPr>
        <w:tc>
          <w:tcPr>
            <w:tcW w:w="2892" w:type="dxa"/>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距学校距离</w:t>
            </w:r>
          </w:p>
        </w:tc>
        <w:tc>
          <w:tcPr>
            <w:tcW w:w="233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1200-1800m</w:t>
            </w:r>
          </w:p>
        </w:tc>
        <w:tc>
          <w:tcPr>
            <w:tcW w:w="2443"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一般</w:t>
            </w:r>
          </w:p>
        </w:tc>
        <w:tc>
          <w:tcPr>
            <w:tcW w:w="140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   </w:t>
            </w:r>
          </w:p>
        </w:tc>
      </w:tr>
      <w:tr>
        <w:tblPrEx>
          <w:tblLayout w:type="fixed"/>
          <w:tblCellMar>
            <w:top w:w="0" w:type="dxa"/>
            <w:left w:w="0" w:type="dxa"/>
            <w:bottom w:w="0" w:type="dxa"/>
            <w:right w:w="0" w:type="dxa"/>
          </w:tblCellMar>
        </w:tblPrEx>
        <w:trPr>
          <w:trHeight w:val="327" w:hRule="atLeast"/>
        </w:trPr>
        <w:tc>
          <w:tcPr>
            <w:tcW w:w="2892" w:type="dxa"/>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距医院距离</w:t>
            </w:r>
          </w:p>
        </w:tc>
        <w:tc>
          <w:tcPr>
            <w:tcW w:w="233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1200-1800m</w:t>
            </w:r>
          </w:p>
        </w:tc>
        <w:tc>
          <w:tcPr>
            <w:tcW w:w="2443"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一般</w:t>
            </w:r>
          </w:p>
        </w:tc>
        <w:tc>
          <w:tcPr>
            <w:tcW w:w="140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   </w:t>
            </w:r>
          </w:p>
        </w:tc>
      </w:tr>
      <w:tr>
        <w:tblPrEx>
          <w:tblLayout w:type="fixed"/>
          <w:tblCellMar>
            <w:top w:w="0" w:type="dxa"/>
            <w:left w:w="0" w:type="dxa"/>
            <w:bottom w:w="0" w:type="dxa"/>
            <w:right w:w="0" w:type="dxa"/>
          </w:tblCellMar>
        </w:tblPrEx>
        <w:trPr>
          <w:trHeight w:val="327" w:hRule="atLeast"/>
        </w:trPr>
        <w:tc>
          <w:tcPr>
            <w:tcW w:w="2892" w:type="dxa"/>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距农贸市场距离</w:t>
            </w:r>
          </w:p>
        </w:tc>
        <w:tc>
          <w:tcPr>
            <w:tcW w:w="233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1500-2250m</w:t>
            </w:r>
          </w:p>
        </w:tc>
        <w:tc>
          <w:tcPr>
            <w:tcW w:w="2443"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一般</w:t>
            </w:r>
          </w:p>
        </w:tc>
        <w:tc>
          <w:tcPr>
            <w:tcW w:w="140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Layout w:type="fixed"/>
          <w:tblCellMar>
            <w:top w:w="0" w:type="dxa"/>
            <w:left w:w="0" w:type="dxa"/>
            <w:bottom w:w="0" w:type="dxa"/>
            <w:right w:w="0" w:type="dxa"/>
          </w:tblCellMar>
        </w:tblPrEx>
        <w:trPr>
          <w:trHeight w:val="327" w:hRule="atLeast"/>
        </w:trPr>
        <w:tc>
          <w:tcPr>
            <w:tcW w:w="2892" w:type="dxa"/>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宗地形状</w:t>
            </w:r>
          </w:p>
        </w:tc>
        <w:tc>
          <w:tcPr>
            <w:tcW w:w="233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规划，有利于住宅利用</w:t>
            </w:r>
          </w:p>
        </w:tc>
        <w:tc>
          <w:tcPr>
            <w:tcW w:w="2443"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较优</w:t>
            </w:r>
          </w:p>
        </w:tc>
        <w:tc>
          <w:tcPr>
            <w:tcW w:w="140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0.46</w:t>
            </w:r>
          </w:p>
        </w:tc>
      </w:tr>
      <w:tr>
        <w:tblPrEx>
          <w:tblLayout w:type="fixed"/>
          <w:tblCellMar>
            <w:top w:w="0" w:type="dxa"/>
            <w:left w:w="0" w:type="dxa"/>
            <w:bottom w:w="0" w:type="dxa"/>
            <w:right w:w="0" w:type="dxa"/>
          </w:tblCellMar>
        </w:tblPrEx>
        <w:trPr>
          <w:trHeight w:val="327" w:hRule="atLeast"/>
        </w:trPr>
        <w:tc>
          <w:tcPr>
            <w:tcW w:w="2892" w:type="dxa"/>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距银行距离</w:t>
            </w:r>
          </w:p>
        </w:tc>
        <w:tc>
          <w:tcPr>
            <w:tcW w:w="233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1350-1800m</w:t>
            </w:r>
          </w:p>
        </w:tc>
        <w:tc>
          <w:tcPr>
            <w:tcW w:w="2443"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较差</w:t>
            </w:r>
          </w:p>
        </w:tc>
        <w:tc>
          <w:tcPr>
            <w:tcW w:w="140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-0.77</w:t>
            </w:r>
          </w:p>
        </w:tc>
      </w:tr>
      <w:tr>
        <w:tblPrEx>
          <w:tblLayout w:type="fixed"/>
          <w:tblCellMar>
            <w:top w:w="0" w:type="dxa"/>
            <w:left w:w="0" w:type="dxa"/>
            <w:bottom w:w="0" w:type="dxa"/>
            <w:right w:w="0" w:type="dxa"/>
          </w:tblCellMar>
        </w:tblPrEx>
        <w:trPr>
          <w:trHeight w:val="327" w:hRule="atLeast"/>
        </w:trPr>
        <w:tc>
          <w:tcPr>
            <w:tcW w:w="2892" w:type="dxa"/>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道路状况</w:t>
            </w:r>
          </w:p>
        </w:tc>
        <w:tc>
          <w:tcPr>
            <w:tcW w:w="233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混合型为主</w:t>
            </w:r>
          </w:p>
        </w:tc>
        <w:tc>
          <w:tcPr>
            <w:tcW w:w="2443"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一般</w:t>
            </w:r>
          </w:p>
        </w:tc>
        <w:tc>
          <w:tcPr>
            <w:tcW w:w="140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Layout w:type="fixed"/>
          <w:tblCellMar>
            <w:top w:w="0" w:type="dxa"/>
            <w:left w:w="0" w:type="dxa"/>
            <w:bottom w:w="0" w:type="dxa"/>
            <w:right w:w="0" w:type="dxa"/>
          </w:tblCellMar>
        </w:tblPrEx>
        <w:trPr>
          <w:trHeight w:val="540" w:hRule="atLeast"/>
        </w:trPr>
        <w:tc>
          <w:tcPr>
            <w:tcW w:w="2892" w:type="dxa"/>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规划,限制</w:t>
            </w:r>
          </w:p>
        </w:tc>
        <w:tc>
          <w:tcPr>
            <w:tcW w:w="233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规划前景一般；对利用类型，利用强度有所控制</w:t>
            </w:r>
          </w:p>
        </w:tc>
        <w:tc>
          <w:tcPr>
            <w:tcW w:w="2443"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一般</w:t>
            </w:r>
          </w:p>
        </w:tc>
        <w:tc>
          <w:tcPr>
            <w:tcW w:w="140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Layout w:type="fixed"/>
          <w:tblCellMar>
            <w:top w:w="0" w:type="dxa"/>
            <w:left w:w="0" w:type="dxa"/>
            <w:bottom w:w="0" w:type="dxa"/>
            <w:right w:w="0" w:type="dxa"/>
          </w:tblCellMar>
        </w:tblPrEx>
        <w:trPr>
          <w:trHeight w:val="327" w:hRule="atLeast"/>
        </w:trPr>
        <w:tc>
          <w:tcPr>
            <w:tcW w:w="2892" w:type="dxa"/>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周围土地利用情况</w:t>
            </w:r>
          </w:p>
        </w:tc>
        <w:tc>
          <w:tcPr>
            <w:tcW w:w="233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其他</w:t>
            </w:r>
          </w:p>
        </w:tc>
        <w:tc>
          <w:tcPr>
            <w:tcW w:w="2443"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差</w:t>
            </w:r>
          </w:p>
        </w:tc>
        <w:tc>
          <w:tcPr>
            <w:tcW w:w="1409" w:type="dxa"/>
            <w:tcBorders>
              <w:top w:val="nil"/>
              <w:left w:val="nil"/>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-0.77</w:t>
            </w:r>
          </w:p>
        </w:tc>
      </w:tr>
      <w:tr>
        <w:tblPrEx>
          <w:tblLayout w:type="fixed"/>
          <w:tblCellMar>
            <w:top w:w="0" w:type="dxa"/>
            <w:left w:w="0" w:type="dxa"/>
            <w:bottom w:w="0" w:type="dxa"/>
            <w:right w:w="0" w:type="dxa"/>
          </w:tblCellMar>
        </w:tblPrEx>
        <w:trPr>
          <w:trHeight w:val="327" w:hRule="atLeast"/>
        </w:trPr>
        <w:tc>
          <w:tcPr>
            <w:tcW w:w="2892" w:type="dxa"/>
            <w:tcBorders>
              <w:top w:val="nil"/>
              <w:left w:val="single" w:color="000000" w:sz="8" w:space="0"/>
              <w:bottom w:val="single" w:color="auto" w:sz="4"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区域文化设施方便度</w:t>
            </w:r>
          </w:p>
        </w:tc>
        <w:tc>
          <w:tcPr>
            <w:tcW w:w="2339" w:type="dxa"/>
            <w:tcBorders>
              <w:top w:val="nil"/>
              <w:left w:val="nil"/>
              <w:bottom w:val="single" w:color="auto" w:sz="4"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较不方便</w:t>
            </w:r>
          </w:p>
        </w:tc>
        <w:tc>
          <w:tcPr>
            <w:tcW w:w="2443" w:type="dxa"/>
            <w:tcBorders>
              <w:top w:val="nil"/>
              <w:left w:val="nil"/>
              <w:bottom w:val="single" w:color="auto" w:sz="4"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较差</w:t>
            </w:r>
          </w:p>
        </w:tc>
        <w:tc>
          <w:tcPr>
            <w:tcW w:w="1409" w:type="dxa"/>
            <w:tcBorders>
              <w:top w:val="nil"/>
              <w:left w:val="nil"/>
              <w:bottom w:val="single" w:color="auto" w:sz="4"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-0.46</w:t>
            </w:r>
          </w:p>
        </w:tc>
      </w:tr>
      <w:tr>
        <w:tblPrEx>
          <w:tblLayout w:type="fixed"/>
          <w:tblCellMar>
            <w:top w:w="0" w:type="dxa"/>
            <w:left w:w="0" w:type="dxa"/>
            <w:bottom w:w="0" w:type="dxa"/>
            <w:right w:w="0" w:type="dxa"/>
          </w:tblCellMar>
        </w:tblPrEx>
        <w:trPr>
          <w:trHeight w:val="327" w:hRule="atLeast"/>
        </w:trPr>
        <w:tc>
          <w:tcPr>
            <w:tcW w:w="2892" w:type="dxa"/>
            <w:tcBorders>
              <w:top w:val="single" w:color="auto" w:sz="4" w:space="0"/>
              <w:left w:val="single" w:color="auto" w:sz="4" w:space="0"/>
              <w:bottom w:val="single" w:color="auto" w:sz="4"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周围景观状况</w:t>
            </w:r>
          </w:p>
        </w:tc>
        <w:tc>
          <w:tcPr>
            <w:tcW w:w="2339" w:type="dxa"/>
            <w:tcBorders>
              <w:top w:val="single" w:color="auto" w:sz="4" w:space="0"/>
              <w:left w:val="single" w:color="000000" w:sz="8" w:space="0"/>
              <w:bottom w:val="single" w:color="auto" w:sz="4"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邻公园，水系</w:t>
            </w:r>
          </w:p>
        </w:tc>
        <w:tc>
          <w:tcPr>
            <w:tcW w:w="2443" w:type="dxa"/>
            <w:tcBorders>
              <w:top w:val="single" w:color="auto" w:sz="4" w:space="0"/>
              <w:left w:val="single" w:color="000000" w:sz="8" w:space="0"/>
              <w:bottom w:val="single" w:color="auto" w:sz="4"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优</w:t>
            </w:r>
          </w:p>
        </w:tc>
        <w:tc>
          <w:tcPr>
            <w:tcW w:w="1409" w:type="dxa"/>
            <w:tcBorders>
              <w:top w:val="single" w:color="auto" w:sz="4" w:space="0"/>
              <w:left w:val="single" w:color="000000" w:sz="8" w:space="0"/>
              <w:bottom w:val="single" w:color="auto" w:sz="4" w:space="0"/>
              <w:right w:val="single" w:color="auto" w:sz="4"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0.76</w:t>
            </w:r>
          </w:p>
        </w:tc>
      </w:tr>
      <w:tr>
        <w:tblPrEx>
          <w:tblLayout w:type="fixed"/>
          <w:tblCellMar>
            <w:top w:w="0" w:type="dxa"/>
            <w:left w:w="0" w:type="dxa"/>
            <w:bottom w:w="0" w:type="dxa"/>
            <w:right w:w="0" w:type="dxa"/>
          </w:tblCellMar>
        </w:tblPrEx>
        <w:trPr>
          <w:trHeight w:val="327" w:hRule="atLeast"/>
        </w:trPr>
        <w:tc>
          <w:tcPr>
            <w:tcW w:w="7674" w:type="dxa"/>
            <w:gridSpan w:val="3"/>
            <w:tcBorders>
              <w:top w:val="single" w:color="auto" w:sz="4"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综合修正系数（%）</w:t>
            </w:r>
          </w:p>
        </w:tc>
        <w:tc>
          <w:tcPr>
            <w:tcW w:w="1409" w:type="dxa"/>
            <w:tcBorders>
              <w:top w:val="single" w:color="auto" w:sz="4" w:space="0"/>
              <w:left w:val="single" w:color="000000" w:sz="8" w:space="0"/>
              <w:bottom w:val="single" w:color="000000" w:sz="8" w:space="0"/>
              <w:right w:val="single" w:color="000000" w:sz="8" w:space="0"/>
            </w:tcBorders>
            <w:shd w:val="clear" w:color="auto" w:fill="FFFFFF"/>
            <w:tcMar>
              <w:top w:w="12" w:type="dxa"/>
              <w:left w:w="12" w:type="dxa"/>
              <w:right w:w="12" w:type="dxa"/>
            </w:tcMar>
            <w:vAlign w:val="bottom"/>
          </w:tcPr>
          <w:p>
            <w:pPr>
              <w:widowControl/>
              <w:jc w:val="center"/>
              <w:textAlignment w:val="bottom"/>
              <w:rPr>
                <w:rFonts w:ascii="宋体" w:hAnsi="宋体" w:eastAsia="宋体" w:cs="宋体"/>
                <w:color w:val="000000"/>
                <w:kern w:val="0"/>
                <w:sz w:val="20"/>
                <w:szCs w:val="20"/>
              </w:rPr>
            </w:pPr>
            <w:r>
              <w:rPr>
                <w:rFonts w:hint="eastAsia" w:ascii="宋体" w:hAnsi="宋体" w:eastAsia="宋体" w:cs="宋体"/>
                <w:color w:val="000000"/>
                <w:kern w:val="0"/>
                <w:sz w:val="20"/>
                <w:szCs w:val="20"/>
              </w:rPr>
              <w:t>-0.78</w:t>
            </w:r>
          </w:p>
        </w:tc>
      </w:tr>
    </w:tbl>
    <w:p>
      <w:pPr>
        <w:autoSpaceDE w:val="0"/>
        <w:autoSpaceDN w:val="0"/>
        <w:spacing w:line="440" w:lineRule="exact"/>
        <w:ind w:firstLine="241" w:firstLineChars="100"/>
        <w:textAlignment w:val="bottom"/>
        <w:rPr>
          <w:rFonts w:ascii="宋体" w:hAnsi="宋体" w:eastAsia="宋体" w:cs="宋体"/>
          <w:bCs/>
          <w:sz w:val="24"/>
          <w:szCs w:val="24"/>
        </w:rPr>
      </w:pPr>
      <w:r>
        <w:rPr>
          <w:rFonts w:hint="eastAsia" w:ascii="宋体" w:hAnsi="宋体" w:eastAsia="宋体" w:cs="宋体"/>
          <w:bCs/>
          <w:sz w:val="24"/>
          <w:szCs w:val="24"/>
        </w:rPr>
        <w:t>(8)基准地价测算结果</w:t>
      </w:r>
    </w:p>
    <w:p>
      <w:pPr>
        <w:autoSpaceDE w:val="0"/>
        <w:autoSpaceDN w:val="0"/>
        <w:adjustRightInd w:val="0"/>
        <w:spacing w:line="400" w:lineRule="exact"/>
        <w:ind w:firstLine="641"/>
        <w:jc w:val="center"/>
        <w:rPr>
          <w:rFonts w:ascii="Times New Roman" w:hAnsi="Courier New" w:eastAsia="宋体" w:cs="Times New Roman"/>
          <w:szCs w:val="20"/>
        </w:rPr>
      </w:pPr>
      <w:r>
        <w:rPr>
          <w:rFonts w:hint="eastAsia" w:ascii="Times New Roman" w:hAnsi="Courier New" w:eastAsia="宋体" w:cs="Times New Roman"/>
          <w:szCs w:val="20"/>
        </w:rPr>
        <w:t>表5 待估宗地基准地价结果表</w:t>
      </w:r>
    </w:p>
    <w:tbl>
      <w:tblPr>
        <w:tblStyle w:val="37"/>
        <w:tblW w:w="9275" w:type="dxa"/>
        <w:jc w:val="center"/>
        <w:tblInd w:w="0" w:type="dxa"/>
        <w:tblLayout w:type="fixed"/>
        <w:tblCellMar>
          <w:top w:w="0" w:type="dxa"/>
          <w:left w:w="108" w:type="dxa"/>
          <w:bottom w:w="0" w:type="dxa"/>
          <w:right w:w="108" w:type="dxa"/>
        </w:tblCellMar>
      </w:tblPr>
      <w:tblGrid>
        <w:gridCol w:w="1178"/>
        <w:gridCol w:w="688"/>
        <w:gridCol w:w="931"/>
        <w:gridCol w:w="992"/>
        <w:gridCol w:w="976"/>
        <w:gridCol w:w="887"/>
        <w:gridCol w:w="811"/>
        <w:gridCol w:w="684"/>
        <w:gridCol w:w="896"/>
        <w:gridCol w:w="1232"/>
      </w:tblGrid>
      <w:tr>
        <w:tblPrEx>
          <w:tblLayout w:type="fixed"/>
          <w:tblCellMar>
            <w:top w:w="0" w:type="dxa"/>
            <w:left w:w="108" w:type="dxa"/>
            <w:bottom w:w="0" w:type="dxa"/>
            <w:right w:w="108" w:type="dxa"/>
          </w:tblCellMar>
        </w:tblPrEx>
        <w:trPr>
          <w:trHeight w:val="283" w:hRule="atLeast"/>
          <w:jc w:val="center"/>
        </w:trPr>
        <w:tc>
          <w:tcPr>
            <w:tcW w:w="11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hint="eastAsia" w:ascii="宋体" w:hAnsi="宋体" w:eastAsia="宋体" w:cs="宋体"/>
                <w:color w:val="000000"/>
                <w:kern w:val="0"/>
                <w:sz w:val="18"/>
                <w:szCs w:val="20"/>
              </w:rPr>
              <w:t>宗地</w:t>
            </w:r>
          </w:p>
          <w:p>
            <w:pPr>
              <w:widowControl/>
              <w:jc w:val="center"/>
              <w:textAlignment w:val="bottom"/>
              <w:rPr>
                <w:rFonts w:ascii="宋体" w:hAnsi="宋体" w:eastAsia="宋体" w:cs="宋体"/>
                <w:color w:val="000000"/>
                <w:kern w:val="0"/>
                <w:sz w:val="18"/>
                <w:szCs w:val="20"/>
              </w:rPr>
            </w:pPr>
            <w:r>
              <w:rPr>
                <w:rFonts w:hint="eastAsia" w:ascii="宋体" w:hAnsi="宋体" w:eastAsia="宋体" w:cs="宋体"/>
                <w:color w:val="000000"/>
                <w:kern w:val="0"/>
                <w:sz w:val="18"/>
                <w:szCs w:val="20"/>
              </w:rPr>
              <w:t>编号</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hint="eastAsia" w:ascii="宋体" w:hAnsi="宋体" w:eastAsia="宋体" w:cs="宋体"/>
                <w:color w:val="000000"/>
                <w:kern w:val="0"/>
                <w:sz w:val="18"/>
                <w:szCs w:val="20"/>
              </w:rPr>
              <w:t>设定</w:t>
            </w:r>
          </w:p>
          <w:p>
            <w:pPr>
              <w:widowControl/>
              <w:jc w:val="center"/>
              <w:textAlignment w:val="bottom"/>
              <w:rPr>
                <w:rFonts w:ascii="宋体" w:hAnsi="宋体" w:eastAsia="宋体" w:cs="宋体"/>
                <w:color w:val="000000"/>
                <w:kern w:val="0"/>
                <w:sz w:val="18"/>
                <w:szCs w:val="20"/>
              </w:rPr>
            </w:pPr>
            <w:r>
              <w:rPr>
                <w:rFonts w:hint="eastAsia" w:ascii="宋体" w:hAnsi="宋体" w:eastAsia="宋体" w:cs="宋体"/>
                <w:color w:val="000000"/>
                <w:kern w:val="0"/>
                <w:sz w:val="18"/>
                <w:szCs w:val="20"/>
              </w:rPr>
              <w:t>用途</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hint="eastAsia" w:ascii="宋体" w:hAnsi="宋体" w:eastAsia="宋体" w:cs="宋体"/>
                <w:color w:val="000000"/>
                <w:kern w:val="0"/>
                <w:sz w:val="18"/>
                <w:szCs w:val="20"/>
              </w:rPr>
              <w:t>基准地价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hint="eastAsia" w:ascii="宋体" w:hAnsi="宋体" w:eastAsia="宋体" w:cs="宋体"/>
                <w:color w:val="000000"/>
                <w:kern w:val="0"/>
                <w:sz w:val="18"/>
                <w:szCs w:val="20"/>
              </w:rPr>
              <w:t>综合修正系数</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年期修正系数</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期日修正系数</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容积率系数</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用途修正</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开发程度修正</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土地价格土地价格(元/m2)</w:t>
            </w:r>
          </w:p>
        </w:tc>
      </w:tr>
      <w:tr>
        <w:tblPrEx>
          <w:tblLayout w:type="fixed"/>
          <w:tblCellMar>
            <w:top w:w="0" w:type="dxa"/>
            <w:left w:w="108" w:type="dxa"/>
            <w:bottom w:w="0" w:type="dxa"/>
            <w:right w:w="108" w:type="dxa"/>
          </w:tblCellMar>
        </w:tblPrEx>
        <w:trPr>
          <w:trHeight w:val="702" w:hRule="atLeast"/>
          <w:jc w:val="center"/>
        </w:trPr>
        <w:tc>
          <w:tcPr>
            <w:tcW w:w="117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庆国用（2009）第743号</w:t>
            </w:r>
          </w:p>
        </w:tc>
        <w:tc>
          <w:tcPr>
            <w:tcW w:w="68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住宅</w:t>
            </w:r>
          </w:p>
        </w:tc>
        <w:tc>
          <w:tcPr>
            <w:tcW w:w="93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1</w:t>
            </w:r>
            <w:r>
              <w:rPr>
                <w:rFonts w:hint="eastAsia" w:ascii="宋体" w:hAnsi="宋体" w:eastAsia="宋体" w:cs="宋体"/>
                <w:color w:val="000000"/>
                <w:kern w:val="0"/>
                <w:sz w:val="18"/>
                <w:szCs w:val="20"/>
              </w:rPr>
              <w:t>022.00</w:t>
            </w: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-0.0</w:t>
            </w:r>
            <w:r>
              <w:rPr>
                <w:rFonts w:hint="eastAsia" w:ascii="宋体" w:hAnsi="宋体" w:eastAsia="宋体" w:cs="宋体"/>
                <w:color w:val="000000"/>
                <w:kern w:val="0"/>
                <w:sz w:val="18"/>
                <w:szCs w:val="20"/>
              </w:rPr>
              <w:t>078</w:t>
            </w:r>
          </w:p>
        </w:tc>
        <w:tc>
          <w:tcPr>
            <w:tcW w:w="97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0.98</w:t>
            </w:r>
            <w:r>
              <w:rPr>
                <w:rFonts w:hint="eastAsia" w:ascii="宋体" w:hAnsi="宋体" w:eastAsia="宋体" w:cs="宋体"/>
                <w:color w:val="000000"/>
                <w:kern w:val="0"/>
                <w:sz w:val="18"/>
                <w:szCs w:val="20"/>
              </w:rPr>
              <w:t>13</w:t>
            </w:r>
          </w:p>
        </w:tc>
        <w:tc>
          <w:tcPr>
            <w:tcW w:w="88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1.</w:t>
            </w:r>
            <w:r>
              <w:rPr>
                <w:rFonts w:hint="eastAsia" w:ascii="宋体" w:hAnsi="宋体" w:eastAsia="宋体" w:cs="宋体"/>
                <w:color w:val="000000"/>
                <w:kern w:val="0"/>
                <w:sz w:val="18"/>
                <w:szCs w:val="20"/>
              </w:rPr>
              <w:t>3353</w:t>
            </w:r>
          </w:p>
        </w:tc>
        <w:tc>
          <w:tcPr>
            <w:tcW w:w="81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0.76</w:t>
            </w:r>
          </w:p>
        </w:tc>
        <w:tc>
          <w:tcPr>
            <w:tcW w:w="68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0</w:t>
            </w:r>
          </w:p>
        </w:tc>
        <w:tc>
          <w:tcPr>
            <w:tcW w:w="89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hint="eastAsia" w:ascii="宋体" w:hAnsi="宋体" w:eastAsia="宋体" w:cs="宋体"/>
                <w:color w:val="000000"/>
                <w:kern w:val="0"/>
                <w:sz w:val="18"/>
                <w:szCs w:val="20"/>
              </w:rPr>
              <w:t>0</w:t>
            </w:r>
          </w:p>
        </w:tc>
        <w:tc>
          <w:tcPr>
            <w:tcW w:w="123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bottom"/>
              <w:rPr>
                <w:rFonts w:ascii="宋体" w:hAnsi="宋体" w:eastAsia="宋体" w:cs="宋体"/>
                <w:color w:val="000000"/>
                <w:kern w:val="0"/>
                <w:sz w:val="18"/>
                <w:szCs w:val="20"/>
              </w:rPr>
            </w:pPr>
            <w:r>
              <w:rPr>
                <w:rFonts w:ascii="宋体" w:hAnsi="宋体" w:eastAsia="宋体" w:cs="宋体"/>
                <w:color w:val="000000"/>
                <w:kern w:val="0"/>
                <w:sz w:val="18"/>
                <w:szCs w:val="20"/>
              </w:rPr>
              <w:t>1</w:t>
            </w:r>
            <w:r>
              <w:rPr>
                <w:rFonts w:hint="eastAsia" w:ascii="宋体" w:hAnsi="宋体" w:eastAsia="宋体" w:cs="宋体"/>
                <w:color w:val="000000"/>
                <w:kern w:val="0"/>
                <w:sz w:val="18"/>
                <w:szCs w:val="20"/>
              </w:rPr>
              <w:t>009</w:t>
            </w:r>
            <w:r>
              <w:rPr>
                <w:rFonts w:ascii="宋体" w:hAnsi="宋体" w:eastAsia="宋体" w:cs="宋体"/>
                <w:color w:val="000000"/>
                <w:kern w:val="0"/>
                <w:sz w:val="18"/>
                <w:szCs w:val="20"/>
              </w:rPr>
              <w:t>.</w:t>
            </w:r>
            <w:r>
              <w:rPr>
                <w:rFonts w:hint="eastAsia" w:ascii="宋体" w:hAnsi="宋体" w:eastAsia="宋体" w:cs="宋体"/>
                <w:color w:val="000000"/>
                <w:kern w:val="0"/>
                <w:sz w:val="18"/>
                <w:szCs w:val="20"/>
              </w:rPr>
              <w:t>82</w:t>
            </w:r>
          </w:p>
        </w:tc>
      </w:tr>
    </w:tbl>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土地单价为1,009.82元/平方米。</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购买土地使用权，应按照土地价格缴纳契税4%。</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本次评估加4%契税的单价=1,009.82×(1</w:t>
      </w:r>
      <w:r>
        <w:rPr>
          <w:rFonts w:ascii="宋体" w:hAnsi="宋体" w:eastAsia="宋体" w:cs="宋体"/>
          <w:bCs/>
          <w:sz w:val="24"/>
          <w:szCs w:val="24"/>
        </w:rPr>
        <w:t>+4%)=</w:t>
      </w:r>
      <w:r>
        <w:rPr>
          <w:rFonts w:hint="eastAsia" w:ascii="宋体" w:hAnsi="宋体" w:eastAsia="宋体" w:cs="宋体"/>
          <w:bCs/>
          <w:sz w:val="24"/>
          <w:szCs w:val="24"/>
        </w:rPr>
        <w:t>1,050.21元/平方米,取整为1</w:t>
      </w:r>
      <w:r>
        <w:rPr>
          <w:rFonts w:ascii="宋体" w:hAnsi="宋体" w:eastAsia="宋体" w:cs="宋体"/>
          <w:bCs/>
          <w:sz w:val="24"/>
          <w:szCs w:val="24"/>
        </w:rPr>
        <w:t>,</w:t>
      </w:r>
      <w:r>
        <w:rPr>
          <w:rFonts w:hint="eastAsia" w:ascii="宋体" w:hAnsi="宋体" w:eastAsia="宋体" w:cs="宋体"/>
          <w:bCs/>
          <w:sz w:val="24"/>
          <w:szCs w:val="24"/>
        </w:rPr>
        <w:t>050.00元/平方米。</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故土地取得费=1,050.00×42,668.89=44,802,334.50(元)</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B.变现系数的估算</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本次评估的变现折扣率根据资产变现难易程度计算,变现处置时考虑资产特性因素、市场因素因素、变现时间因素。</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变现系数=1-（资产特性因素+市场因素因素+变现时间因素）/100</w:t>
      </w:r>
    </w:p>
    <w:p>
      <w:pPr>
        <w:autoSpaceDE w:val="0"/>
        <w:autoSpaceDN w:val="0"/>
        <w:adjustRightInd w:val="0"/>
        <w:spacing w:line="430" w:lineRule="exact"/>
        <w:ind w:right="-21" w:rightChars="-10" w:firstLine="1928" w:firstLineChars="800"/>
        <w:rPr>
          <w:rFonts w:ascii="宋体" w:hAnsi="宋体" w:eastAsia="宋体" w:cs="Times New Roman"/>
          <w:sz w:val="24"/>
          <w:szCs w:val="24"/>
        </w:rPr>
      </w:pPr>
      <w:r>
        <w:rPr>
          <w:rFonts w:hint="eastAsia" w:ascii="宋体" w:hAnsi="宋体" w:eastAsia="宋体" w:cs="Times New Roman"/>
          <w:sz w:val="24"/>
          <w:szCs w:val="24"/>
        </w:rPr>
        <w:t>=1-（5+5+10）/100= 80%</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C.清算价值的计算</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土地清算价值=土地的市场价值×变现系数</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根据本次的评估目的，当评估对象面临被迫出售、快速变现，以确定其在估价时点的清算价值。取得重置完全价值后，考虑取变现系数确定基准日的评估清算价值。</w:t>
      </w:r>
    </w:p>
    <w:p>
      <w:pPr>
        <w:autoSpaceDE w:val="0"/>
        <w:autoSpaceDN w:val="0"/>
        <w:spacing w:line="440" w:lineRule="exact"/>
        <w:ind w:firstLine="555"/>
        <w:textAlignment w:val="bottom"/>
        <w:rPr>
          <w:rFonts w:ascii="宋体" w:hAnsi="宋体" w:eastAsia="宋体" w:cs="宋体"/>
          <w:bCs/>
          <w:sz w:val="24"/>
          <w:szCs w:val="24"/>
        </w:rPr>
      </w:pPr>
      <w:r>
        <w:rPr>
          <w:rFonts w:hint="eastAsia" w:ascii="宋体" w:hAnsi="宋体" w:eastAsia="宋体" w:cs="宋体"/>
          <w:bCs/>
          <w:sz w:val="24"/>
          <w:szCs w:val="24"/>
        </w:rPr>
        <w:t>5)评估结果</w:t>
      </w:r>
    </w:p>
    <w:bookmarkEnd w:id="0"/>
    <w:p>
      <w:pPr>
        <w:spacing w:line="440" w:lineRule="exact"/>
        <w:ind w:firstLine="482" w:firstLineChars="200"/>
        <w:jc w:val="center"/>
        <w:rPr>
          <w:rFonts w:ascii="宋体" w:hAnsi="宋体" w:eastAsia="宋体"/>
          <w:sz w:val="24"/>
          <w:szCs w:val="24"/>
        </w:rPr>
      </w:pPr>
      <w:r>
        <w:rPr>
          <w:rFonts w:hint="eastAsia" w:ascii="宋体" w:hAnsi="宋体" w:eastAsia="宋体"/>
          <w:sz w:val="24"/>
          <w:szCs w:val="24"/>
        </w:rPr>
        <w:t>待估宗地土地估价结果确定表</w:t>
      </w:r>
    </w:p>
    <w:p>
      <w:pPr>
        <w:spacing w:line="440" w:lineRule="exact"/>
        <w:ind w:firstLine="362" w:firstLineChars="200"/>
        <w:jc w:val="right"/>
        <w:rPr>
          <w:rFonts w:ascii="宋体" w:hAnsi="宋体" w:eastAsia="宋体"/>
          <w:sz w:val="24"/>
          <w:szCs w:val="24"/>
        </w:rPr>
      </w:pPr>
      <w:r>
        <w:rPr>
          <w:rFonts w:hint="eastAsia" w:ascii="宋体" w:hAnsi="宋体" w:eastAsia="宋体"/>
          <w:sz w:val="18"/>
          <w:szCs w:val="18"/>
        </w:rPr>
        <w:t>金额单位：：人民币元</w:t>
      </w:r>
    </w:p>
    <w:tbl>
      <w:tblPr>
        <w:tblStyle w:val="37"/>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559"/>
        <w:gridCol w:w="283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518" w:type="dxa"/>
            <w:vAlign w:val="center"/>
          </w:tcPr>
          <w:p>
            <w:pPr>
              <w:jc w:val="center"/>
              <w:rPr>
                <w:rFonts w:ascii="宋体" w:hAnsi="宋体" w:eastAsia="宋体"/>
                <w:sz w:val="20"/>
                <w:szCs w:val="24"/>
              </w:rPr>
            </w:pPr>
            <w:r>
              <w:rPr>
                <w:rFonts w:hint="eastAsia" w:ascii="宋体" w:hAnsi="宋体" w:eastAsia="宋体" w:cs="Times New Roman"/>
                <w:sz w:val="20"/>
                <w:szCs w:val="16"/>
              </w:rPr>
              <w:t>土地证号</w:t>
            </w:r>
          </w:p>
        </w:tc>
        <w:tc>
          <w:tcPr>
            <w:tcW w:w="1559" w:type="dxa"/>
            <w:vAlign w:val="center"/>
          </w:tcPr>
          <w:p>
            <w:pPr>
              <w:jc w:val="center"/>
              <w:rPr>
                <w:rFonts w:ascii="宋体" w:hAnsi="宋体" w:eastAsia="宋体"/>
                <w:sz w:val="20"/>
                <w:szCs w:val="24"/>
              </w:rPr>
            </w:pPr>
            <w:r>
              <w:rPr>
                <w:rFonts w:hint="eastAsia" w:ascii="宋体" w:hAnsi="宋体" w:eastAsia="宋体"/>
                <w:sz w:val="20"/>
                <w:szCs w:val="24"/>
              </w:rPr>
              <w:t>土地面积（㎡）</w:t>
            </w:r>
          </w:p>
        </w:tc>
        <w:tc>
          <w:tcPr>
            <w:tcW w:w="2835" w:type="dxa"/>
            <w:vAlign w:val="center"/>
          </w:tcPr>
          <w:p>
            <w:pPr>
              <w:widowControl/>
              <w:jc w:val="center"/>
              <w:rPr>
                <w:rFonts w:ascii="宋体" w:hAnsi="宋体" w:eastAsia="宋体"/>
                <w:sz w:val="20"/>
                <w:szCs w:val="24"/>
              </w:rPr>
            </w:pPr>
            <w:r>
              <w:rPr>
                <w:rFonts w:hint="eastAsia" w:ascii="宋体" w:hAnsi="宋体" w:eastAsia="宋体"/>
                <w:sz w:val="20"/>
                <w:szCs w:val="24"/>
              </w:rPr>
              <w:t>市场价值</w:t>
            </w:r>
          </w:p>
        </w:tc>
        <w:tc>
          <w:tcPr>
            <w:tcW w:w="2363" w:type="dxa"/>
            <w:vAlign w:val="center"/>
          </w:tcPr>
          <w:p>
            <w:pPr>
              <w:widowControl/>
              <w:jc w:val="center"/>
              <w:rPr>
                <w:rFonts w:ascii="宋体" w:hAnsi="宋体" w:eastAsia="宋体"/>
                <w:sz w:val="20"/>
                <w:szCs w:val="24"/>
              </w:rPr>
            </w:pPr>
            <w:r>
              <w:rPr>
                <w:rFonts w:hint="eastAsia" w:ascii="宋体" w:hAnsi="宋体" w:eastAsia="宋体"/>
                <w:sz w:val="20"/>
                <w:szCs w:val="24"/>
              </w:rPr>
              <w:t>清算价值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2518" w:type="dxa"/>
            <w:vAlign w:val="center"/>
          </w:tcPr>
          <w:p>
            <w:pPr>
              <w:widowControl/>
              <w:jc w:val="center"/>
              <w:rPr>
                <w:rFonts w:ascii="宋体" w:hAnsi="宋体" w:eastAsia="宋体"/>
                <w:sz w:val="20"/>
                <w:szCs w:val="24"/>
              </w:rPr>
            </w:pPr>
            <w:r>
              <w:rPr>
                <w:rFonts w:hint="eastAsia" w:ascii="宋体" w:hAnsi="宋体" w:eastAsia="宋体" w:cs="Times New Roman"/>
                <w:sz w:val="20"/>
                <w:szCs w:val="16"/>
              </w:rPr>
              <w:t>庆国用（2009）第743号</w:t>
            </w:r>
          </w:p>
        </w:tc>
        <w:tc>
          <w:tcPr>
            <w:tcW w:w="1559" w:type="dxa"/>
            <w:vAlign w:val="center"/>
          </w:tcPr>
          <w:p>
            <w:pPr>
              <w:widowControl/>
              <w:jc w:val="center"/>
              <w:rPr>
                <w:rFonts w:ascii="宋体" w:hAnsi="宋体" w:eastAsia="宋体"/>
                <w:sz w:val="20"/>
                <w:szCs w:val="24"/>
              </w:rPr>
            </w:pPr>
            <w:r>
              <w:rPr>
                <w:rFonts w:hint="eastAsia" w:ascii="宋体" w:hAnsi="宋体" w:eastAsia="宋体" w:cs="Times New Roman"/>
                <w:sz w:val="20"/>
                <w:szCs w:val="16"/>
              </w:rPr>
              <w:t>42,668.89</w:t>
            </w:r>
          </w:p>
        </w:tc>
        <w:tc>
          <w:tcPr>
            <w:tcW w:w="2835" w:type="dxa"/>
            <w:vAlign w:val="center"/>
          </w:tcPr>
          <w:p>
            <w:pPr>
              <w:widowControl/>
              <w:jc w:val="center"/>
              <w:rPr>
                <w:rFonts w:ascii="宋体" w:hAnsi="宋体" w:eastAsia="宋体" w:cs="Times New Roman"/>
                <w:sz w:val="20"/>
                <w:szCs w:val="16"/>
              </w:rPr>
            </w:pPr>
            <w:r>
              <w:rPr>
                <w:rFonts w:hint="eastAsia" w:ascii="宋体" w:hAnsi="宋体" w:eastAsia="宋体" w:cs="Times New Roman"/>
                <w:sz w:val="20"/>
                <w:szCs w:val="20"/>
              </w:rPr>
              <w:t xml:space="preserve"> 44,802,334.50 </w:t>
            </w:r>
          </w:p>
        </w:tc>
        <w:tc>
          <w:tcPr>
            <w:tcW w:w="2363" w:type="dxa"/>
            <w:vAlign w:val="center"/>
          </w:tcPr>
          <w:p>
            <w:pPr>
              <w:widowControl/>
              <w:jc w:val="center"/>
              <w:rPr>
                <w:rFonts w:ascii="宋体" w:hAnsi="宋体" w:eastAsia="宋体" w:cs="Times New Roman"/>
                <w:sz w:val="20"/>
                <w:szCs w:val="16"/>
              </w:rPr>
            </w:pPr>
            <w:r>
              <w:rPr>
                <w:rFonts w:hint="eastAsia" w:ascii="宋体" w:hAnsi="宋体" w:eastAsia="宋体" w:cs="Times New Roman"/>
                <w:sz w:val="20"/>
                <w:szCs w:val="20"/>
              </w:rPr>
              <w:t xml:space="preserve">  35,841,868.00 </w:t>
            </w:r>
          </w:p>
        </w:tc>
      </w:tr>
    </w:tbl>
    <w:p>
      <w:pPr>
        <w:spacing w:line="440" w:lineRule="exact"/>
        <w:ind w:firstLine="482" w:firstLineChars="200"/>
        <w:rPr>
          <w:rFonts w:ascii="宋体" w:hAnsi="宋体" w:eastAsia="宋体"/>
          <w:sz w:val="24"/>
          <w:szCs w:val="24"/>
        </w:rPr>
      </w:pPr>
      <w:r>
        <w:rPr>
          <w:rFonts w:hint="eastAsia" w:ascii="宋体" w:hAnsi="宋体" w:eastAsia="宋体"/>
          <w:sz w:val="24"/>
          <w:szCs w:val="24"/>
        </w:rPr>
        <w:t>6）特别事项</w:t>
      </w:r>
    </w:p>
    <w:p>
      <w:pPr>
        <w:spacing w:line="440" w:lineRule="exact"/>
        <w:ind w:firstLine="482" w:firstLineChars="200"/>
        <w:rPr>
          <w:rFonts w:ascii="宋体" w:hAnsi="宋体" w:eastAsia="宋体"/>
          <w:sz w:val="24"/>
          <w:szCs w:val="24"/>
        </w:rPr>
      </w:pPr>
      <w:r>
        <w:rPr>
          <w:rFonts w:hint="eastAsia" w:ascii="宋体" w:hAnsi="宋体" w:eastAsia="宋体"/>
          <w:sz w:val="24"/>
          <w:szCs w:val="24"/>
        </w:rPr>
        <w:t>本次评估结果是反映评估对象在本次评估目的下，根据公开市场原则估算的清算价值，没有考虑抵押、担保事宜，以及特殊的交易方可能追加付出的价格等对评估价格的影响，同时，报告也未考虑国家宏观经济政策发生变化以及遇有自然力和其他不可抗力对资产状况及价格的影响。当前述条件以及评估中遵循的评估假设等其他情况发生变化时，评估结果一般会失效。</w:t>
      </w:r>
    </w:p>
    <w:p>
      <w:pPr>
        <w:pStyle w:val="21"/>
        <w:spacing w:line="440" w:lineRule="exact"/>
        <w:ind w:firstLine="482" w:firstLineChars="200"/>
        <w:rPr>
          <w:rFonts w:ascii="Times New Roman" w:hAnsi="Times New Roman"/>
          <w:b/>
          <w:bCs/>
          <w:szCs w:val="24"/>
        </w:rPr>
      </w:pPr>
      <w:r>
        <w:rPr>
          <w:rFonts w:hint="eastAsia" w:ascii="Times New Roman" w:hAnsi="Times New Roman"/>
          <w:b/>
          <w:bCs/>
          <w:szCs w:val="24"/>
        </w:rPr>
        <w:t>（三)评估结果</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截至评估基准日</w:t>
      </w:r>
      <w:r>
        <w:rPr>
          <w:rFonts w:hint="eastAsia" w:ascii="Times New Roman" w:hAnsi="Times New Roman" w:eastAsia="宋体" w:cs="Times New Roman"/>
          <w:sz w:val="24"/>
          <w:szCs w:val="24"/>
        </w:rPr>
        <w:t>2019年7月23日</w:t>
      </w:r>
      <w:r>
        <w:rPr>
          <w:rFonts w:ascii="Times New Roman" w:hAnsi="Times New Roman" w:eastAsia="宋体" w:cs="Times New Roman"/>
          <w:sz w:val="24"/>
          <w:szCs w:val="24"/>
        </w:rPr>
        <w:t>，经评估，</w:t>
      </w:r>
      <w:r>
        <w:rPr>
          <w:rFonts w:hint="eastAsia" w:ascii="Times New Roman" w:hAnsi="Times New Roman" w:eastAsia="宋体" w:cs="Times New Roman"/>
          <w:sz w:val="24"/>
          <w:szCs w:val="24"/>
        </w:rPr>
        <w:t>山东水云间置业发展有限公司管理人申报评估的相关资产市场价值为18,560.45万元，清算价值为</w:t>
      </w:r>
      <w:r>
        <w:rPr>
          <w:rFonts w:hint="eastAsia" w:ascii="Times New Roman" w:hAnsi="Times New Roman" w:eastAsia="宋体" w:cs="Times New Roman"/>
          <w:sz w:val="24"/>
          <w:szCs w:val="24"/>
          <w:lang w:eastAsia="zh-CN"/>
        </w:rPr>
        <w:t>13,325.56</w:t>
      </w:r>
      <w:r>
        <w:rPr>
          <w:rFonts w:hint="eastAsia" w:ascii="Times New Roman" w:hAnsi="Times New Roman" w:eastAsia="宋体" w:cs="Times New Roman"/>
          <w:sz w:val="24"/>
          <w:szCs w:val="24"/>
        </w:rPr>
        <w:t>万元。</w:t>
      </w:r>
    </w:p>
    <w:p>
      <w:pPr>
        <w:keepNext/>
        <w:keepLines/>
        <w:spacing w:before="120" w:after="120" w:line="430" w:lineRule="exact"/>
        <w:ind w:firstLine="473" w:firstLineChars="197"/>
        <w:outlineLvl w:val="1"/>
        <w:rPr>
          <w:rFonts w:ascii="Times New Roman" w:hAnsi="Times New Roman" w:eastAsia="宋体" w:cs="Times New Roman"/>
          <w:b/>
          <w:sz w:val="24"/>
          <w:szCs w:val="24"/>
        </w:rPr>
      </w:pPr>
      <w:r>
        <w:rPr>
          <w:rFonts w:hint="eastAsia" w:ascii="Times New Roman" w:hAnsi="Times New Roman" w:eastAsia="宋体" w:cs="Times New Roman"/>
          <w:b/>
          <w:sz w:val="24"/>
          <w:szCs w:val="24"/>
        </w:rPr>
        <w:t>九</w:t>
      </w:r>
      <w:r>
        <w:rPr>
          <w:rFonts w:ascii="Times New Roman" w:hAnsi="Times New Roman" w:eastAsia="宋体" w:cs="Times New Roman"/>
          <w:b/>
          <w:sz w:val="24"/>
          <w:szCs w:val="24"/>
        </w:rPr>
        <w:t>、评估假设</w:t>
      </w:r>
      <w:bookmarkEnd w:id="23"/>
    </w:p>
    <w:p>
      <w:pPr>
        <w:autoSpaceDE w:val="0"/>
        <w:autoSpaceDN w:val="0"/>
        <w:adjustRightInd w:val="0"/>
        <w:spacing w:line="430" w:lineRule="exact"/>
        <w:ind w:right="-21" w:rightChars="-10" w:firstLine="482" w:firstLineChars="200"/>
        <w:rPr>
          <w:rFonts w:ascii="宋体" w:hAnsi="宋体" w:eastAsia="宋体" w:cs="Times New Roman"/>
          <w:sz w:val="24"/>
          <w:szCs w:val="24"/>
        </w:rPr>
      </w:pPr>
      <w:bookmarkStart w:id="27" w:name="_Toc138862088"/>
      <w:r>
        <w:rPr>
          <w:rFonts w:hint="eastAsia" w:ascii="宋体" w:hAnsi="宋体" w:eastAsia="宋体" w:cs="Times New Roman"/>
          <w:sz w:val="24"/>
          <w:szCs w:val="24"/>
        </w:rPr>
        <w:t>本报告评估结论仅在本价值评估报告设定的如下评估假设和限制条件下成立。</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1．前提假设：产权持有人依法进行破产清算。</w:t>
      </w:r>
    </w:p>
    <w:p>
      <w:pPr>
        <w:autoSpaceDE w:val="0"/>
        <w:autoSpaceDN w:val="0"/>
        <w:adjustRightInd w:val="0"/>
        <w:spacing w:line="440" w:lineRule="exact"/>
        <w:ind w:firstLine="482" w:firstLineChars="200"/>
        <w:rPr>
          <w:rFonts w:ascii="宋体" w:hAnsi="宋体" w:eastAsia="宋体" w:cs="Times New Roman"/>
          <w:sz w:val="24"/>
          <w:szCs w:val="24"/>
        </w:rPr>
      </w:pPr>
      <w:r>
        <w:rPr>
          <w:rFonts w:hint="eastAsia" w:ascii="宋体" w:hAnsi="宋体" w:eastAsia="宋体" w:cs="Times New Roman"/>
          <w:sz w:val="24"/>
          <w:szCs w:val="24"/>
        </w:rPr>
        <w:t>2．特别假设：管理人提供的评估资料真实、合法、完整，评估人员在能力范围内收集到的评估资料真实、可信。产权持有人能获取相关资产全部产权证明文件。</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土地使用权的用地性质为普通商品房用地，在建工程中的联排别墅等属于擅自更改规划，尚未取得建设工程规划许可证和建筑工程施工许可证。本次评估假设按别墅继续修建。</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3.交易假设：假设评估对象已经处在交易过程中。</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4.公开市场假设：假设评估对象拟进入的市场为一个充分发达与完善的市场，即公开市场，评估对象在公开市场上实现的交换价值隐含着市场对该评估对象在当时条件下有效使用的社会认同。</w:t>
      </w:r>
    </w:p>
    <w:bookmarkEnd w:id="27"/>
    <w:p>
      <w:pPr>
        <w:keepNext/>
        <w:keepLines/>
        <w:spacing w:before="120" w:after="120" w:line="430" w:lineRule="exact"/>
        <w:ind w:firstLine="471" w:firstLineChars="196"/>
        <w:outlineLvl w:val="1"/>
        <w:rPr>
          <w:rFonts w:ascii="Times New Roman" w:hAnsi="Times New Roman" w:eastAsia="宋体" w:cs="Times New Roman"/>
          <w:b/>
          <w:sz w:val="24"/>
          <w:szCs w:val="24"/>
        </w:rPr>
      </w:pPr>
      <w:bookmarkStart w:id="28" w:name="_Toc138862089"/>
      <w:bookmarkStart w:id="29" w:name="_Toc497119851"/>
      <w:r>
        <w:rPr>
          <w:rFonts w:ascii="Times New Roman" w:hAnsi="Times New Roman" w:eastAsia="宋体" w:cs="Times New Roman"/>
          <w:b/>
          <w:sz w:val="24"/>
          <w:szCs w:val="24"/>
        </w:rPr>
        <w:t>十、评估</w:t>
      </w:r>
      <w:bookmarkEnd w:id="28"/>
      <w:r>
        <w:rPr>
          <w:rFonts w:hint="eastAsia" w:ascii="Times New Roman" w:hAnsi="Times New Roman" w:eastAsia="宋体" w:cs="Times New Roman"/>
          <w:b/>
          <w:sz w:val="24"/>
          <w:szCs w:val="24"/>
        </w:rPr>
        <w:t>结论</w:t>
      </w:r>
      <w:bookmarkEnd w:id="29"/>
    </w:p>
    <w:p>
      <w:pPr>
        <w:autoSpaceDE w:val="0"/>
        <w:autoSpaceDN w:val="0"/>
        <w:adjustRightInd w:val="0"/>
        <w:spacing w:line="430" w:lineRule="exact"/>
        <w:ind w:right="-21" w:rightChars="-10" w:firstLine="482" w:firstLineChars="200"/>
        <w:rPr>
          <w:rFonts w:ascii="宋体" w:hAnsi="宋体" w:eastAsia="宋体" w:cs="Times New Roman"/>
          <w:sz w:val="24"/>
          <w:szCs w:val="24"/>
        </w:rPr>
      </w:pPr>
      <w:bookmarkStart w:id="30" w:name="_Toc200873084"/>
      <w:r>
        <w:rPr>
          <w:rFonts w:hint="eastAsia" w:ascii="宋体" w:hAnsi="宋体" w:eastAsia="宋体" w:cs="Times New Roman"/>
          <w:b/>
          <w:sz w:val="24"/>
          <w:szCs w:val="24"/>
        </w:rPr>
        <w:t>（一</w:t>
      </w:r>
      <w:r>
        <w:rPr>
          <w:rFonts w:ascii="宋体" w:hAnsi="宋体" w:eastAsia="宋体" w:cs="Times New Roman"/>
          <w:b/>
          <w:sz w:val="24"/>
          <w:szCs w:val="24"/>
        </w:rPr>
        <w:t>）评估</w:t>
      </w:r>
      <w:r>
        <w:rPr>
          <w:rFonts w:hint="eastAsia" w:ascii="宋体" w:hAnsi="宋体" w:eastAsia="宋体" w:cs="Times New Roman"/>
          <w:b/>
          <w:sz w:val="24"/>
          <w:szCs w:val="24"/>
        </w:rPr>
        <w:t>结论</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ascii="宋体" w:hAnsi="宋体" w:eastAsia="宋体" w:cs="Times New Roman"/>
          <w:sz w:val="24"/>
          <w:szCs w:val="24"/>
        </w:rPr>
        <w:t>在本报告所揭示的假设前提条件基础上，</w:t>
      </w:r>
      <w:r>
        <w:rPr>
          <w:rFonts w:hint="eastAsia" w:ascii="宋体" w:hAnsi="宋体" w:eastAsia="宋体" w:cs="Times New Roman"/>
          <w:sz w:val="24"/>
          <w:szCs w:val="24"/>
        </w:rPr>
        <w:t>水云间置业</w:t>
      </w:r>
      <w:r>
        <w:rPr>
          <w:rFonts w:ascii="宋体" w:hAnsi="宋体" w:eastAsia="宋体" w:cs="Times New Roman"/>
          <w:sz w:val="24"/>
          <w:szCs w:val="24"/>
        </w:rPr>
        <w:t>拟破产清算涉及的</w:t>
      </w:r>
      <w:r>
        <w:rPr>
          <w:rFonts w:hint="eastAsia" w:ascii="宋体" w:hAnsi="宋体" w:eastAsia="宋体" w:cs="Times New Roman"/>
          <w:sz w:val="24"/>
          <w:szCs w:val="24"/>
        </w:rPr>
        <w:t>相关</w:t>
      </w:r>
      <w:r>
        <w:rPr>
          <w:rFonts w:ascii="宋体" w:hAnsi="宋体" w:eastAsia="宋体" w:cs="Times New Roman"/>
          <w:sz w:val="24"/>
          <w:szCs w:val="24"/>
        </w:rPr>
        <w:t>资产</w:t>
      </w:r>
      <w:r>
        <w:rPr>
          <w:rFonts w:hint="eastAsia" w:ascii="宋体" w:hAnsi="宋体" w:eastAsia="宋体" w:cs="Times New Roman"/>
          <w:sz w:val="24"/>
          <w:szCs w:val="24"/>
        </w:rPr>
        <w:t>市场价值为18,560.45万元，清算价值为</w:t>
      </w:r>
      <w:r>
        <w:rPr>
          <w:rFonts w:hint="eastAsia" w:ascii="宋体" w:hAnsi="宋体" w:eastAsia="宋体" w:cs="Times New Roman"/>
          <w:sz w:val="24"/>
          <w:szCs w:val="24"/>
          <w:lang w:eastAsia="zh-CN"/>
        </w:rPr>
        <w:t>13,325.56</w:t>
      </w:r>
      <w:r>
        <w:rPr>
          <w:rFonts w:hint="eastAsia" w:ascii="宋体" w:hAnsi="宋体" w:eastAsia="宋体" w:cs="Times New Roman"/>
          <w:sz w:val="24"/>
          <w:szCs w:val="24"/>
        </w:rPr>
        <w:t>万元。</w:t>
      </w:r>
    </w:p>
    <w:p>
      <w:pPr>
        <w:autoSpaceDE w:val="0"/>
        <w:autoSpaceDN w:val="0"/>
        <w:adjustRightInd w:val="0"/>
        <w:spacing w:line="430" w:lineRule="exact"/>
        <w:ind w:right="-21" w:rightChars="-10" w:firstLine="482" w:firstLineChars="200"/>
        <w:jc w:val="center"/>
        <w:rPr>
          <w:rFonts w:ascii="宋体" w:hAnsi="宋体" w:eastAsia="宋体" w:cs="Times New Roman"/>
          <w:sz w:val="24"/>
          <w:szCs w:val="24"/>
        </w:rPr>
      </w:pPr>
      <w:r>
        <w:rPr>
          <w:rFonts w:hint="eastAsia" w:ascii="宋体" w:hAnsi="宋体" w:eastAsia="宋体" w:cs="Times New Roman"/>
          <w:sz w:val="24"/>
          <w:szCs w:val="24"/>
        </w:rPr>
        <w:t>资产评估结果汇总表</w:t>
      </w:r>
    </w:p>
    <w:p>
      <w:pPr>
        <w:snapToGrid w:val="0"/>
        <w:spacing w:line="560" w:lineRule="exact"/>
        <w:jc w:val="right"/>
        <w:rPr>
          <w:rFonts w:ascii="宋体" w:hAnsi="宋体" w:eastAsia="宋体"/>
          <w:sz w:val="18"/>
          <w:szCs w:val="18"/>
        </w:rPr>
      </w:pPr>
      <w:r>
        <w:rPr>
          <w:rFonts w:hint="eastAsia" w:ascii="宋体" w:hAnsi="宋体" w:eastAsia="宋体"/>
          <w:sz w:val="18"/>
          <w:szCs w:val="18"/>
        </w:rPr>
        <w:t>金额单位：人民币万元</w:t>
      </w:r>
    </w:p>
    <w:tbl>
      <w:tblPr>
        <w:tblStyle w:val="37"/>
        <w:tblW w:w="8967"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19"/>
        <w:gridCol w:w="840"/>
        <w:gridCol w:w="2154"/>
        <w:gridCol w:w="215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4659" w:type="dxa"/>
            <w:gridSpan w:val="2"/>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项目</w:t>
            </w:r>
          </w:p>
        </w:tc>
        <w:tc>
          <w:tcPr>
            <w:tcW w:w="2154" w:type="dxa"/>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市场价值</w:t>
            </w:r>
          </w:p>
        </w:tc>
        <w:tc>
          <w:tcPr>
            <w:tcW w:w="2154" w:type="dxa"/>
            <w:vAlign w:val="center"/>
          </w:tcPr>
          <w:p>
            <w:pPr>
              <w:widowControl/>
              <w:spacing w:line="300" w:lineRule="exact"/>
              <w:jc w:val="center"/>
              <w:rPr>
                <w:rFonts w:ascii="宋体" w:hAnsi="宋体" w:eastAsia="宋体" w:cs="宋体"/>
                <w:kern w:val="0"/>
                <w:sz w:val="20"/>
                <w:szCs w:val="20"/>
              </w:rPr>
            </w:pPr>
            <w:r>
              <w:rPr>
                <w:rFonts w:hint="eastAsia" w:ascii="宋体" w:hAnsi="宋体" w:eastAsia="宋体" w:cs="宋体"/>
                <w:kern w:val="0"/>
                <w:sz w:val="20"/>
                <w:szCs w:val="20"/>
              </w:rPr>
              <w:t>清算价值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3819" w:type="dxa"/>
            <w:vAlign w:val="center"/>
          </w:tcPr>
          <w:p>
            <w:pPr>
              <w:widowControl/>
              <w:spacing w:line="300" w:lineRule="exact"/>
              <w:jc w:val="left"/>
              <w:rPr>
                <w:rFonts w:ascii="宋体" w:hAnsi="宋体" w:eastAsia="宋体" w:cs="宋体"/>
                <w:kern w:val="0"/>
                <w:sz w:val="20"/>
                <w:szCs w:val="20"/>
              </w:rPr>
            </w:pPr>
            <w:r>
              <w:rPr>
                <w:rFonts w:hint="eastAsia" w:ascii="宋体" w:hAnsi="宋体" w:eastAsia="宋体" w:cs="宋体"/>
                <w:kern w:val="0"/>
                <w:sz w:val="20"/>
                <w:szCs w:val="20"/>
              </w:rPr>
              <w:t>流动资产</w:t>
            </w:r>
          </w:p>
        </w:tc>
        <w:tc>
          <w:tcPr>
            <w:tcW w:w="840" w:type="dxa"/>
            <w:vAlign w:val="center"/>
          </w:tcPr>
          <w:p>
            <w:pPr>
              <w:widowControl/>
              <w:spacing w:line="300" w:lineRule="exact"/>
              <w:jc w:val="center"/>
              <w:rPr>
                <w:rFonts w:ascii="宋体" w:hAnsi="宋体" w:eastAsia="宋体" w:cs="宋体"/>
                <w:bCs/>
                <w:kern w:val="0"/>
                <w:sz w:val="20"/>
                <w:szCs w:val="20"/>
              </w:rPr>
            </w:pPr>
            <w:r>
              <w:rPr>
                <w:rFonts w:hint="eastAsia" w:ascii="宋体" w:hAnsi="宋体" w:eastAsia="宋体" w:cs="宋体"/>
                <w:bCs/>
                <w:kern w:val="0"/>
                <w:sz w:val="20"/>
                <w:szCs w:val="20"/>
              </w:rPr>
              <w:t>1</w:t>
            </w:r>
          </w:p>
        </w:tc>
        <w:tc>
          <w:tcPr>
            <w:tcW w:w="2154" w:type="dxa"/>
            <w:vAlign w:val="center"/>
          </w:tcPr>
          <w:p>
            <w:pPr>
              <w:widowControl/>
              <w:spacing w:line="300" w:lineRule="exact"/>
              <w:jc w:val="right"/>
              <w:rPr>
                <w:rFonts w:ascii="宋体" w:hAnsi="宋体" w:eastAsia="宋体" w:cs="宋体"/>
                <w:kern w:val="0"/>
                <w:sz w:val="20"/>
                <w:szCs w:val="20"/>
              </w:rPr>
            </w:pPr>
            <w:r>
              <w:rPr>
                <w:rFonts w:hint="default" w:ascii="宋体" w:hAnsi="宋体" w:eastAsia="宋体" w:cs="宋体"/>
                <w:i w:val="0"/>
                <w:kern w:val="0"/>
                <w:sz w:val="20"/>
                <w:szCs w:val="20"/>
                <w:u w:val="none"/>
                <w:lang w:val="en-US" w:eastAsia="zh-CN" w:bidi="ar"/>
              </w:rPr>
              <w:t xml:space="preserve"> 12,932.40 </w:t>
            </w:r>
          </w:p>
        </w:tc>
        <w:tc>
          <w:tcPr>
            <w:tcW w:w="2154" w:type="dxa"/>
            <w:vAlign w:val="center"/>
          </w:tcPr>
          <w:p>
            <w:pPr>
              <w:widowControl/>
              <w:spacing w:line="300" w:lineRule="exact"/>
              <w:jc w:val="right"/>
              <w:rPr>
                <w:rFonts w:ascii="宋体" w:hAnsi="宋体" w:eastAsia="宋体" w:cs="宋体"/>
                <w:kern w:val="0"/>
                <w:sz w:val="20"/>
                <w:szCs w:val="20"/>
              </w:rPr>
            </w:pPr>
            <w:r>
              <w:rPr>
                <w:rFonts w:hint="default" w:ascii="宋体" w:hAnsi="宋体" w:eastAsia="宋体" w:cs="宋体"/>
                <w:i w:val="0"/>
                <w:kern w:val="0"/>
                <w:sz w:val="20"/>
                <w:szCs w:val="20"/>
                <w:u w:val="none"/>
                <w:lang w:val="en-US" w:eastAsia="zh-CN" w:bidi="ar"/>
              </w:rPr>
              <w:t xml:space="preserve"> 9,052.68 </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3819" w:type="dxa"/>
            <w:vAlign w:val="center"/>
          </w:tcPr>
          <w:p>
            <w:pPr>
              <w:widowControl/>
              <w:spacing w:line="300" w:lineRule="exact"/>
              <w:jc w:val="left"/>
              <w:rPr>
                <w:rFonts w:ascii="宋体" w:hAnsi="宋体" w:eastAsia="宋体" w:cs="宋体"/>
                <w:b/>
                <w:bCs/>
                <w:kern w:val="0"/>
                <w:sz w:val="20"/>
                <w:szCs w:val="20"/>
              </w:rPr>
            </w:pPr>
            <w:r>
              <w:rPr>
                <w:rFonts w:hint="eastAsia" w:ascii="宋体" w:hAnsi="宋体" w:eastAsia="宋体" w:cs="宋体"/>
                <w:kern w:val="0"/>
                <w:sz w:val="20"/>
                <w:szCs w:val="20"/>
              </w:rPr>
              <w:t>非流动资产</w:t>
            </w:r>
          </w:p>
        </w:tc>
        <w:tc>
          <w:tcPr>
            <w:tcW w:w="840" w:type="dxa"/>
            <w:vAlign w:val="center"/>
          </w:tcPr>
          <w:p>
            <w:pPr>
              <w:widowControl/>
              <w:spacing w:line="300" w:lineRule="exact"/>
              <w:jc w:val="center"/>
              <w:rPr>
                <w:rFonts w:ascii="宋体" w:hAnsi="宋体" w:eastAsia="宋体" w:cs="宋体"/>
                <w:bCs/>
                <w:kern w:val="0"/>
                <w:sz w:val="20"/>
                <w:szCs w:val="20"/>
              </w:rPr>
            </w:pPr>
            <w:r>
              <w:rPr>
                <w:rFonts w:hint="eastAsia" w:ascii="宋体" w:hAnsi="宋体" w:eastAsia="宋体" w:cs="宋体"/>
                <w:bCs/>
                <w:kern w:val="0"/>
                <w:sz w:val="20"/>
                <w:szCs w:val="20"/>
              </w:rPr>
              <w:t>2</w:t>
            </w:r>
          </w:p>
        </w:tc>
        <w:tc>
          <w:tcPr>
            <w:tcW w:w="2154" w:type="dxa"/>
            <w:vAlign w:val="center"/>
          </w:tcPr>
          <w:p>
            <w:pPr>
              <w:widowControl/>
              <w:spacing w:line="300" w:lineRule="exact"/>
              <w:jc w:val="right"/>
              <w:rPr>
                <w:rFonts w:ascii="宋体" w:hAnsi="宋体" w:eastAsia="宋体" w:cs="宋体"/>
                <w:kern w:val="0"/>
                <w:sz w:val="20"/>
                <w:szCs w:val="20"/>
              </w:rPr>
            </w:pPr>
            <w:r>
              <w:rPr>
                <w:rFonts w:ascii="宋体" w:hAnsi="宋体" w:eastAsia="宋体" w:cs="宋体"/>
                <w:kern w:val="0"/>
                <w:sz w:val="20"/>
                <w:szCs w:val="20"/>
              </w:rPr>
              <w:t xml:space="preserve"> 5,628.06 </w:t>
            </w:r>
          </w:p>
        </w:tc>
        <w:tc>
          <w:tcPr>
            <w:tcW w:w="2154" w:type="dxa"/>
            <w:vAlign w:val="center"/>
          </w:tcPr>
          <w:p>
            <w:pPr>
              <w:widowControl/>
              <w:spacing w:line="300" w:lineRule="exact"/>
              <w:jc w:val="right"/>
              <w:rPr>
                <w:rFonts w:ascii="宋体" w:hAnsi="宋体" w:eastAsia="宋体" w:cs="宋体"/>
                <w:kern w:val="0"/>
                <w:sz w:val="20"/>
                <w:szCs w:val="20"/>
              </w:rPr>
            </w:pPr>
            <w:r>
              <w:rPr>
                <w:rFonts w:ascii="宋体" w:hAnsi="宋体" w:eastAsia="宋体" w:cs="宋体"/>
                <w:kern w:val="0"/>
                <w:sz w:val="20"/>
                <w:szCs w:val="20"/>
              </w:rPr>
              <w:t xml:space="preserve"> 4,272.88 </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819" w:type="dxa"/>
            <w:vAlign w:val="center"/>
          </w:tcPr>
          <w:p>
            <w:pPr>
              <w:widowControl/>
              <w:spacing w:line="300" w:lineRule="exact"/>
              <w:ind w:firstLine="201" w:firstLineChars="100"/>
              <w:jc w:val="left"/>
              <w:rPr>
                <w:rFonts w:ascii="宋体" w:hAnsi="宋体" w:eastAsia="宋体" w:cs="宋体"/>
                <w:kern w:val="0"/>
                <w:sz w:val="20"/>
                <w:szCs w:val="20"/>
              </w:rPr>
            </w:pPr>
            <w:r>
              <w:rPr>
                <w:rFonts w:hint="eastAsia" w:ascii="宋体" w:hAnsi="宋体" w:eastAsia="宋体" w:cs="宋体"/>
                <w:kern w:val="0"/>
                <w:sz w:val="20"/>
                <w:szCs w:val="20"/>
              </w:rPr>
              <w:t>在建工程</w:t>
            </w:r>
          </w:p>
        </w:tc>
        <w:tc>
          <w:tcPr>
            <w:tcW w:w="840" w:type="dxa"/>
            <w:vAlign w:val="center"/>
          </w:tcPr>
          <w:p>
            <w:pPr>
              <w:widowControl/>
              <w:spacing w:line="300" w:lineRule="exact"/>
              <w:jc w:val="center"/>
              <w:rPr>
                <w:rFonts w:ascii="宋体" w:hAnsi="宋体" w:eastAsia="宋体" w:cs="宋体"/>
                <w:bCs/>
                <w:kern w:val="0"/>
                <w:sz w:val="20"/>
                <w:szCs w:val="20"/>
              </w:rPr>
            </w:pPr>
            <w:r>
              <w:rPr>
                <w:rFonts w:hint="eastAsia" w:ascii="宋体" w:hAnsi="宋体" w:eastAsia="宋体" w:cs="宋体"/>
                <w:bCs/>
                <w:kern w:val="0"/>
                <w:sz w:val="20"/>
                <w:szCs w:val="20"/>
              </w:rPr>
              <w:t>3</w:t>
            </w:r>
          </w:p>
        </w:tc>
        <w:tc>
          <w:tcPr>
            <w:tcW w:w="2154" w:type="dxa"/>
            <w:vAlign w:val="center"/>
          </w:tcPr>
          <w:p>
            <w:pPr>
              <w:widowControl/>
              <w:spacing w:line="300" w:lineRule="exact"/>
              <w:jc w:val="right"/>
              <w:rPr>
                <w:rFonts w:ascii="宋体" w:hAnsi="宋体" w:eastAsia="宋体" w:cs="宋体"/>
                <w:kern w:val="0"/>
                <w:sz w:val="20"/>
                <w:szCs w:val="20"/>
              </w:rPr>
            </w:pPr>
            <w:r>
              <w:rPr>
                <w:rFonts w:ascii="宋体" w:hAnsi="宋体" w:eastAsia="宋体" w:cs="宋体"/>
                <w:kern w:val="0"/>
                <w:sz w:val="20"/>
                <w:szCs w:val="20"/>
              </w:rPr>
              <w:t xml:space="preserve"> 1,147.82 </w:t>
            </w:r>
          </w:p>
        </w:tc>
        <w:tc>
          <w:tcPr>
            <w:tcW w:w="2154" w:type="dxa"/>
            <w:vAlign w:val="center"/>
          </w:tcPr>
          <w:p>
            <w:pPr>
              <w:widowControl/>
              <w:spacing w:line="300" w:lineRule="exact"/>
              <w:jc w:val="right"/>
              <w:rPr>
                <w:rFonts w:ascii="宋体" w:hAnsi="宋体" w:eastAsia="宋体" w:cs="宋体"/>
                <w:kern w:val="0"/>
                <w:sz w:val="20"/>
                <w:szCs w:val="20"/>
              </w:rPr>
            </w:pPr>
            <w:r>
              <w:rPr>
                <w:rFonts w:ascii="宋体" w:hAnsi="宋体" w:eastAsia="宋体" w:cs="宋体"/>
                <w:kern w:val="0"/>
                <w:sz w:val="20"/>
                <w:szCs w:val="20"/>
              </w:rPr>
              <w:t xml:space="preserve"> 688.69 </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819" w:type="dxa"/>
            <w:vAlign w:val="center"/>
          </w:tcPr>
          <w:p>
            <w:pPr>
              <w:widowControl/>
              <w:spacing w:line="300" w:lineRule="exact"/>
              <w:ind w:firstLine="201" w:firstLineChars="100"/>
              <w:jc w:val="left"/>
              <w:rPr>
                <w:rFonts w:ascii="宋体" w:hAnsi="宋体" w:eastAsia="宋体" w:cs="宋体"/>
                <w:b/>
                <w:bCs/>
                <w:kern w:val="0"/>
                <w:sz w:val="20"/>
                <w:szCs w:val="20"/>
              </w:rPr>
            </w:pPr>
            <w:r>
              <w:rPr>
                <w:rFonts w:hint="eastAsia" w:ascii="宋体" w:hAnsi="宋体" w:eastAsia="宋体" w:cs="宋体"/>
                <w:kern w:val="0"/>
                <w:sz w:val="20"/>
                <w:szCs w:val="20"/>
              </w:rPr>
              <w:t>无形资产</w:t>
            </w:r>
          </w:p>
        </w:tc>
        <w:tc>
          <w:tcPr>
            <w:tcW w:w="840" w:type="dxa"/>
            <w:vAlign w:val="center"/>
          </w:tcPr>
          <w:p>
            <w:pPr>
              <w:widowControl/>
              <w:spacing w:line="300" w:lineRule="exact"/>
              <w:jc w:val="center"/>
              <w:rPr>
                <w:rFonts w:ascii="宋体" w:hAnsi="宋体" w:eastAsia="宋体" w:cs="宋体"/>
                <w:bCs/>
                <w:kern w:val="0"/>
                <w:sz w:val="20"/>
                <w:szCs w:val="20"/>
              </w:rPr>
            </w:pPr>
            <w:r>
              <w:rPr>
                <w:rFonts w:hint="eastAsia" w:ascii="宋体" w:hAnsi="宋体" w:eastAsia="宋体" w:cs="宋体"/>
                <w:bCs/>
                <w:kern w:val="0"/>
                <w:sz w:val="20"/>
                <w:szCs w:val="20"/>
              </w:rPr>
              <w:t>4</w:t>
            </w:r>
          </w:p>
        </w:tc>
        <w:tc>
          <w:tcPr>
            <w:tcW w:w="2154" w:type="dxa"/>
            <w:vAlign w:val="center"/>
          </w:tcPr>
          <w:p>
            <w:pPr>
              <w:widowControl/>
              <w:spacing w:line="300" w:lineRule="exact"/>
              <w:jc w:val="right"/>
              <w:rPr>
                <w:rFonts w:ascii="宋体" w:hAnsi="宋体" w:eastAsia="宋体" w:cs="宋体"/>
                <w:kern w:val="0"/>
                <w:sz w:val="20"/>
                <w:szCs w:val="20"/>
              </w:rPr>
            </w:pPr>
            <w:r>
              <w:rPr>
                <w:rFonts w:ascii="宋体" w:hAnsi="宋体" w:eastAsia="宋体" w:cs="宋体"/>
                <w:kern w:val="0"/>
                <w:sz w:val="20"/>
                <w:szCs w:val="20"/>
              </w:rPr>
              <w:t xml:space="preserve"> 4,480.23 </w:t>
            </w:r>
          </w:p>
        </w:tc>
        <w:tc>
          <w:tcPr>
            <w:tcW w:w="2154" w:type="dxa"/>
            <w:vAlign w:val="center"/>
          </w:tcPr>
          <w:p>
            <w:pPr>
              <w:widowControl/>
              <w:spacing w:line="300" w:lineRule="exact"/>
              <w:jc w:val="right"/>
              <w:rPr>
                <w:rFonts w:ascii="宋体" w:hAnsi="宋体" w:eastAsia="宋体" w:cs="宋体"/>
                <w:kern w:val="0"/>
                <w:sz w:val="20"/>
                <w:szCs w:val="20"/>
              </w:rPr>
            </w:pPr>
            <w:r>
              <w:rPr>
                <w:rFonts w:ascii="宋体" w:hAnsi="宋体" w:eastAsia="宋体" w:cs="宋体"/>
                <w:kern w:val="0"/>
                <w:sz w:val="20"/>
                <w:szCs w:val="20"/>
              </w:rPr>
              <w:t xml:space="preserve"> 3,584.19 </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3819" w:type="dxa"/>
            <w:vAlign w:val="center"/>
          </w:tcPr>
          <w:p>
            <w:pPr>
              <w:widowControl/>
              <w:spacing w:line="300" w:lineRule="exact"/>
              <w:jc w:val="left"/>
              <w:rPr>
                <w:rFonts w:ascii="宋体" w:hAnsi="宋体" w:eastAsia="宋体" w:cs="宋体"/>
                <w:b/>
                <w:bCs/>
                <w:kern w:val="0"/>
                <w:sz w:val="20"/>
                <w:szCs w:val="20"/>
              </w:rPr>
            </w:pPr>
            <w:r>
              <w:rPr>
                <w:rFonts w:hint="eastAsia" w:ascii="宋体" w:hAnsi="宋体" w:eastAsia="宋体" w:cs="宋体"/>
                <w:b/>
                <w:bCs/>
                <w:kern w:val="0"/>
                <w:sz w:val="20"/>
                <w:szCs w:val="20"/>
              </w:rPr>
              <w:t>资产总计</w:t>
            </w:r>
          </w:p>
        </w:tc>
        <w:tc>
          <w:tcPr>
            <w:tcW w:w="840" w:type="dxa"/>
            <w:vAlign w:val="center"/>
          </w:tcPr>
          <w:p>
            <w:pPr>
              <w:widowControl/>
              <w:spacing w:line="30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5</w:t>
            </w:r>
          </w:p>
        </w:tc>
        <w:tc>
          <w:tcPr>
            <w:tcW w:w="2154" w:type="dxa"/>
            <w:vAlign w:val="center"/>
          </w:tcPr>
          <w:p>
            <w:pPr>
              <w:widowControl/>
              <w:spacing w:line="300" w:lineRule="exact"/>
              <w:jc w:val="right"/>
              <w:rPr>
                <w:rFonts w:ascii="宋体" w:hAnsi="宋体" w:eastAsia="宋体" w:cs="宋体"/>
                <w:kern w:val="0"/>
                <w:sz w:val="20"/>
                <w:szCs w:val="20"/>
              </w:rPr>
            </w:pPr>
            <w:r>
              <w:rPr>
                <w:rFonts w:hint="eastAsia" w:ascii="宋体" w:hAnsi="宋体" w:eastAsia="宋体" w:cs="宋体"/>
                <w:kern w:val="0"/>
                <w:sz w:val="20"/>
                <w:szCs w:val="20"/>
              </w:rPr>
              <w:t>18,560.45</w:t>
            </w:r>
          </w:p>
        </w:tc>
        <w:tc>
          <w:tcPr>
            <w:tcW w:w="2154" w:type="dxa"/>
            <w:vAlign w:val="center"/>
          </w:tcPr>
          <w:p>
            <w:pPr>
              <w:widowControl/>
              <w:spacing w:line="300" w:lineRule="exact"/>
              <w:jc w:val="right"/>
              <w:rPr>
                <w:rFonts w:ascii="宋体" w:hAnsi="宋体" w:eastAsia="宋体" w:cs="宋体"/>
                <w:kern w:val="0"/>
                <w:sz w:val="20"/>
                <w:szCs w:val="20"/>
              </w:rPr>
            </w:pPr>
            <w:r>
              <w:rPr>
                <w:rFonts w:hint="eastAsia" w:ascii="宋体" w:hAnsi="宋体" w:eastAsia="宋体" w:cs="宋体"/>
                <w:kern w:val="0"/>
                <w:sz w:val="20"/>
                <w:szCs w:val="20"/>
                <w:lang w:eastAsia="zh-CN"/>
              </w:rPr>
              <w:t>13,325.56</w:t>
            </w:r>
            <w:r>
              <w:rPr>
                <w:rFonts w:hint="eastAsia" w:ascii="宋体" w:hAnsi="宋体" w:eastAsia="宋体" w:cs="宋体"/>
                <w:kern w:val="0"/>
                <w:sz w:val="20"/>
                <w:szCs w:val="20"/>
              </w:rPr>
              <w:t xml:space="preserve"> </w:t>
            </w:r>
          </w:p>
        </w:tc>
      </w:tr>
    </w:tbl>
    <w:p>
      <w:pPr>
        <w:pStyle w:val="157"/>
        <w:spacing w:line="460" w:lineRule="exact"/>
        <w:ind w:firstLine="482" w:firstLineChars="200"/>
        <w:rPr>
          <w:rFonts w:hAnsi="宋体" w:cs="Arial"/>
          <w:szCs w:val="24"/>
        </w:rPr>
      </w:pPr>
      <w:r>
        <w:t>详细情况见评估明细表。</w:t>
      </w:r>
    </w:p>
    <w:p>
      <w:pPr>
        <w:autoSpaceDE w:val="0"/>
        <w:autoSpaceDN w:val="0"/>
        <w:adjustRightInd w:val="0"/>
        <w:spacing w:line="440" w:lineRule="exact"/>
        <w:ind w:right="-21" w:rightChars="-10" w:firstLine="482" w:firstLineChars="200"/>
        <w:rPr>
          <w:rFonts w:ascii="宋体" w:hAnsi="宋体" w:eastAsia="宋体" w:cs="Times New Roman"/>
          <w:b/>
          <w:sz w:val="24"/>
          <w:szCs w:val="24"/>
        </w:rPr>
      </w:pPr>
      <w:r>
        <w:rPr>
          <w:rFonts w:hint="eastAsia" w:ascii="宋体" w:hAnsi="宋体" w:eastAsia="宋体" w:cs="Times New Roman"/>
          <w:b/>
          <w:sz w:val="24"/>
          <w:szCs w:val="24"/>
        </w:rPr>
        <w:t>（</w:t>
      </w:r>
      <w:r>
        <w:rPr>
          <w:rFonts w:ascii="宋体" w:hAnsi="宋体" w:eastAsia="宋体" w:cs="Times New Roman"/>
          <w:b/>
          <w:sz w:val="24"/>
          <w:szCs w:val="24"/>
        </w:rPr>
        <w:t>二）评估</w:t>
      </w:r>
      <w:r>
        <w:rPr>
          <w:rFonts w:hint="eastAsia" w:ascii="宋体" w:hAnsi="宋体" w:eastAsia="宋体" w:cs="Times New Roman"/>
          <w:b/>
          <w:sz w:val="24"/>
          <w:szCs w:val="24"/>
        </w:rPr>
        <w:t>结论</w:t>
      </w:r>
      <w:r>
        <w:rPr>
          <w:rFonts w:ascii="宋体" w:hAnsi="宋体" w:eastAsia="宋体" w:cs="Times New Roman"/>
          <w:b/>
          <w:sz w:val="24"/>
          <w:szCs w:val="24"/>
        </w:rPr>
        <w:t>成立的条件</w:t>
      </w:r>
      <w:bookmarkEnd w:id="30"/>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1.本报告结论的成立以相关政府部门、委托人以及其他知情人员提供的资料和情况介绍真实、完整为假设前提</w:t>
      </w:r>
      <w:r>
        <w:rPr>
          <w:rFonts w:ascii="宋体" w:hAnsi="宋体" w:eastAsia="宋体" w:cs="Times New Roman"/>
          <w:sz w:val="24"/>
          <w:szCs w:val="24"/>
        </w:rPr>
        <w:t>。</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本评估报告的评估</w:t>
      </w:r>
      <w:r>
        <w:rPr>
          <w:rFonts w:hint="eastAsia" w:ascii="宋体" w:hAnsi="宋体" w:eastAsia="宋体" w:cs="Times New Roman"/>
          <w:sz w:val="24"/>
          <w:szCs w:val="24"/>
        </w:rPr>
        <w:t>结论</w:t>
      </w:r>
      <w:r>
        <w:rPr>
          <w:rFonts w:ascii="宋体" w:hAnsi="宋体" w:eastAsia="宋体" w:cs="Times New Roman"/>
          <w:sz w:val="24"/>
          <w:szCs w:val="24"/>
        </w:rPr>
        <w:t>是在本评估报告载明的评估假设和限制条件下，为本评估报告</w:t>
      </w:r>
      <w:r>
        <w:rPr>
          <w:rFonts w:hint="eastAsia" w:ascii="宋体" w:hAnsi="宋体" w:eastAsia="宋体" w:cs="Times New Roman"/>
          <w:sz w:val="24"/>
          <w:szCs w:val="24"/>
        </w:rPr>
        <w:t>载明</w:t>
      </w:r>
      <w:r>
        <w:rPr>
          <w:rFonts w:ascii="宋体" w:hAnsi="宋体" w:eastAsia="宋体" w:cs="Times New Roman"/>
          <w:sz w:val="24"/>
          <w:szCs w:val="24"/>
        </w:rPr>
        <w:t>的评估目的而</w:t>
      </w:r>
      <w:r>
        <w:rPr>
          <w:rFonts w:hint="eastAsia" w:ascii="宋体" w:hAnsi="宋体" w:eastAsia="宋体" w:cs="Times New Roman"/>
          <w:sz w:val="24"/>
          <w:szCs w:val="24"/>
        </w:rPr>
        <w:t>出具</w:t>
      </w:r>
      <w:r>
        <w:rPr>
          <w:rFonts w:ascii="宋体" w:hAnsi="宋体" w:eastAsia="宋体" w:cs="Times New Roman"/>
          <w:sz w:val="24"/>
          <w:szCs w:val="24"/>
        </w:rPr>
        <w:t>的</w:t>
      </w:r>
      <w:bookmarkStart w:id="31" w:name="_Hlt137098081"/>
      <w:bookmarkEnd w:id="31"/>
      <w:r>
        <w:rPr>
          <w:rFonts w:ascii="宋体" w:hAnsi="宋体" w:eastAsia="宋体" w:cs="Times New Roman"/>
          <w:sz w:val="24"/>
          <w:szCs w:val="24"/>
        </w:rPr>
        <w:t>评估对象于评估基准日的</w:t>
      </w:r>
      <w:r>
        <w:rPr>
          <w:rFonts w:hint="eastAsia" w:ascii="宋体" w:hAnsi="宋体" w:eastAsia="宋体" w:cs="Times New Roman"/>
          <w:sz w:val="24"/>
          <w:szCs w:val="24"/>
        </w:rPr>
        <w:t>清算</w:t>
      </w:r>
      <w:r>
        <w:rPr>
          <w:rFonts w:ascii="宋体" w:hAnsi="宋体" w:eastAsia="宋体" w:cs="Times New Roman"/>
          <w:sz w:val="24"/>
          <w:szCs w:val="24"/>
        </w:rPr>
        <w:t>价值参考意见；本评估报告的合法使用者应当理解</w:t>
      </w:r>
      <w:r>
        <w:rPr>
          <w:rFonts w:hint="eastAsia" w:ascii="宋体" w:hAnsi="宋体" w:eastAsia="宋体" w:cs="Times New Roman"/>
          <w:sz w:val="24"/>
          <w:szCs w:val="24"/>
        </w:rPr>
        <w:t>：评估结论不等同于评估对象可实现的价格，不应当将评估结论视为评估对象可实现价格的保证。</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本评估报告的评估</w:t>
      </w:r>
      <w:r>
        <w:rPr>
          <w:rFonts w:hint="eastAsia" w:ascii="宋体" w:hAnsi="宋体" w:eastAsia="宋体" w:cs="Times New Roman"/>
          <w:sz w:val="24"/>
          <w:szCs w:val="24"/>
        </w:rPr>
        <w:t>结论</w:t>
      </w:r>
      <w:r>
        <w:rPr>
          <w:rFonts w:ascii="宋体" w:hAnsi="宋体" w:eastAsia="宋体" w:cs="Times New Roman"/>
          <w:sz w:val="24"/>
          <w:szCs w:val="24"/>
        </w:rPr>
        <w:t>是反映评估对象在本评估报告载明的评估目的之下，根据本评估报告载明的“评估假设和限制条件”确定的</w:t>
      </w:r>
      <w:r>
        <w:rPr>
          <w:rFonts w:hint="eastAsia" w:ascii="宋体" w:hAnsi="宋体" w:eastAsia="宋体" w:cs="Times New Roman"/>
          <w:sz w:val="24"/>
          <w:szCs w:val="24"/>
        </w:rPr>
        <w:t>清算</w:t>
      </w:r>
      <w:r>
        <w:rPr>
          <w:rFonts w:ascii="宋体" w:hAnsi="宋体" w:eastAsia="宋体" w:cs="Times New Roman"/>
          <w:sz w:val="24"/>
          <w:szCs w:val="24"/>
        </w:rPr>
        <w:t>价值，没有考虑以下因素：</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过去或将来可能承担的抵押、质押、担保等事宜的影响；</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特殊的交易方或交易方式可能追加付出的价格等对评估价值的影响；</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评估基准日后遇有自然力和其他不可抗力对资产价值的影响。</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如果该等资产出售，所应承担的费用和税项等可能影响其价值净额的相关方面。</w:t>
      </w:r>
    </w:p>
    <w:p>
      <w:pPr>
        <w:autoSpaceDE w:val="0"/>
        <w:autoSpaceDN w:val="0"/>
        <w:adjustRightInd w:val="0"/>
        <w:spacing w:line="440" w:lineRule="exact"/>
        <w:ind w:right="-21" w:rightChars="-10" w:firstLine="482" w:firstLineChars="200"/>
        <w:rPr>
          <w:rFonts w:ascii="宋体" w:hAnsi="宋体" w:eastAsia="宋体" w:cs="Times New Roman"/>
          <w:b/>
          <w:sz w:val="24"/>
          <w:szCs w:val="24"/>
        </w:rPr>
      </w:pPr>
      <w:bookmarkStart w:id="32" w:name="_Toc200873085"/>
      <w:r>
        <w:rPr>
          <w:rFonts w:hint="eastAsia" w:ascii="宋体" w:hAnsi="宋体" w:eastAsia="宋体" w:cs="Times New Roman"/>
          <w:b/>
          <w:sz w:val="24"/>
          <w:szCs w:val="24"/>
        </w:rPr>
        <w:t>（</w:t>
      </w:r>
      <w:r>
        <w:rPr>
          <w:rFonts w:ascii="宋体" w:hAnsi="宋体" w:eastAsia="宋体" w:cs="Times New Roman"/>
          <w:b/>
          <w:sz w:val="24"/>
          <w:szCs w:val="24"/>
        </w:rPr>
        <w:t>三）</w:t>
      </w:r>
      <w:bookmarkEnd w:id="32"/>
      <w:bookmarkStart w:id="33" w:name="_Toc117234849"/>
      <w:bookmarkStart w:id="34" w:name="_Toc200873086"/>
      <w:r>
        <w:rPr>
          <w:rFonts w:ascii="宋体" w:hAnsi="宋体" w:eastAsia="宋体" w:cs="Times New Roman"/>
          <w:b/>
          <w:sz w:val="24"/>
          <w:szCs w:val="24"/>
        </w:rPr>
        <w:t>评估</w:t>
      </w:r>
      <w:r>
        <w:rPr>
          <w:rFonts w:hint="eastAsia" w:ascii="宋体" w:hAnsi="宋体" w:eastAsia="宋体" w:cs="Times New Roman"/>
          <w:b/>
          <w:sz w:val="24"/>
          <w:szCs w:val="24"/>
        </w:rPr>
        <w:t>结论</w:t>
      </w:r>
      <w:r>
        <w:rPr>
          <w:rFonts w:ascii="宋体" w:hAnsi="宋体" w:eastAsia="宋体" w:cs="Times New Roman"/>
          <w:b/>
          <w:sz w:val="24"/>
          <w:szCs w:val="24"/>
        </w:rPr>
        <w:t>的效力</w:t>
      </w:r>
      <w:bookmarkEnd w:id="33"/>
      <w:bookmarkEnd w:id="34"/>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本评估报告</w:t>
      </w:r>
      <w:r>
        <w:rPr>
          <w:rFonts w:hint="eastAsia" w:ascii="宋体" w:hAnsi="宋体" w:eastAsia="宋体" w:cs="Times New Roman"/>
          <w:sz w:val="24"/>
          <w:szCs w:val="24"/>
        </w:rPr>
        <w:t>的评估结论是资产</w:t>
      </w:r>
      <w:r>
        <w:rPr>
          <w:rFonts w:ascii="宋体" w:hAnsi="宋体" w:eastAsia="宋体" w:cs="Times New Roman"/>
          <w:sz w:val="24"/>
          <w:szCs w:val="24"/>
        </w:rPr>
        <w:t>评估专业人员依照国家有关规定出具的专业意见，依照法律法规的有关规定发生法律效力。</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2.在本次评估中，本公司对水云间置业管理人提供的评估对象和相关资产的法律权属资料及其来源进行了必要的查验，未发现其他评估对象和相关资产的权属资料存在瑕疵情况。提供有关资产真实、合法、完整的，法律权属资料是委托人的责任，我们的责任是对委托人提供的资料作必要的查验，评估报告不能作为对评估对象和相关资产的法律权属的确认和保证。若产权持有人不拥有前述资产的所有权或其他有关权利，或对前述资产的所有权或其他有关权利存在部分限制，则前述资产的评估结果会受到影响。</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3.鉴于本次评估工作取得资料的有限性和分析判断的主观性，因此，建议水云间置业管理人采用公开透明的处置方式处置该资产，由市场对本报告价值进行修正并决定最后成交价格，有利于资产的最大回收。</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4.评估结论无法考虑影响资产价值的所有因素，评估结论与处置资产时最终实现价格可能出现一定差距。本报告结论是水云间置业管理人进行资产处置的参考依据，不应当被认为是对资产处置时可实现价格的保证。</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5.委托人及其他报告使用者应当合理理解并恰当使用本报告结论，提请委托人在参考评估结论的基础上，结合资产处置方案和市场状况等因素，进行合理决策。</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6.本评估结论受到索取资料的限制和本机构评估人员的执业水平和能力的影响，仅供委托人处置资产提供参考，对可能涉及的有关经济行为不具有强制约束力。如因资料的真实性等原因而影响评估结果的合理性，本公司不承担责任。</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7.本评估结果是依据本次评估目的、以报告中揭示的假设前提而确定的</w:t>
      </w:r>
      <w:r>
        <w:rPr>
          <w:rStyle w:val="44"/>
          <w:rFonts w:hint="eastAsia" w:ascii="Times New Roman" w:hAnsi="Times New Roman" w:eastAsia="宋体" w:cs="Times New Roman"/>
        </w:rPr>
        <w:t>清算价值</w:t>
      </w:r>
      <w:r>
        <w:rPr>
          <w:rFonts w:hint="eastAsia" w:ascii="宋体" w:hAnsi="宋体" w:eastAsia="宋体" w:cs="Times New Roman"/>
          <w:sz w:val="24"/>
          <w:szCs w:val="24"/>
        </w:rPr>
        <w:t>，没有考虑将来可能承担的抵押、担保事宜，以及特殊的交易方式可能追加或减少付出的价格等对评估价值的影响，也未考虑宏观经济环境发生变化以及遇有自然力和其它不可抗力对资产价格的影响。</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8.本次价值评估时，我们依据现时的实际情况作了我们认为必要、合理的假设，在资产评估报告中列示。这些假设是我们进行资产评估的前提条件。</w:t>
      </w:r>
      <w:r>
        <w:rPr>
          <w:rFonts w:ascii="宋体" w:hAnsi="宋体" w:eastAsia="宋体" w:cs="Times New Roman"/>
          <w:sz w:val="24"/>
          <w:szCs w:val="24"/>
        </w:rPr>
        <w:t>当未来经济环境和以上假设发生较大变化时，评估人员将不承担由于前提条件的改变而推导出不同</w:t>
      </w:r>
      <w:r>
        <w:rPr>
          <w:rFonts w:hint="eastAsia" w:ascii="宋体" w:hAnsi="宋体" w:eastAsia="宋体" w:cs="Times New Roman"/>
          <w:sz w:val="24"/>
          <w:szCs w:val="24"/>
        </w:rPr>
        <w:t>资产评估</w:t>
      </w:r>
      <w:r>
        <w:rPr>
          <w:rFonts w:ascii="宋体" w:hAnsi="宋体" w:eastAsia="宋体" w:cs="Times New Roman"/>
          <w:sz w:val="24"/>
          <w:szCs w:val="24"/>
        </w:rPr>
        <w:t>结果的责任</w:t>
      </w:r>
      <w:r>
        <w:rPr>
          <w:rFonts w:hint="eastAsia" w:ascii="宋体" w:hAnsi="宋体" w:eastAsia="宋体" w:cs="Times New Roman"/>
          <w:sz w:val="24"/>
          <w:szCs w:val="24"/>
        </w:rPr>
        <w:t>。</w:t>
      </w:r>
    </w:p>
    <w:p>
      <w:pPr>
        <w:autoSpaceDE w:val="0"/>
        <w:autoSpaceDN w:val="0"/>
        <w:adjustRightInd w:val="0"/>
        <w:spacing w:line="44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9.本次评估对可能存在的其他影响评估结果的瑕疵事项，在进行资产评估时委托人即产权持有人未作特别说明而评估师根据其执业经验一般不能获悉的情况下，评估机构和评估人员不承担相关责任。</w:t>
      </w:r>
    </w:p>
    <w:p>
      <w:pPr>
        <w:keepNext/>
        <w:keepLines/>
        <w:spacing w:before="260" w:after="260" w:line="440" w:lineRule="exact"/>
        <w:ind w:firstLine="474"/>
        <w:outlineLvl w:val="1"/>
        <w:rPr>
          <w:rFonts w:ascii="Times New Roman" w:hAnsi="Times New Roman" w:eastAsia="宋体" w:cs="Times New Roman"/>
          <w:b/>
          <w:bCs/>
          <w:kern w:val="0"/>
          <w:sz w:val="24"/>
          <w:szCs w:val="24"/>
        </w:rPr>
      </w:pPr>
      <w:bookmarkStart w:id="35" w:name="_Toc497119852"/>
      <w:r>
        <w:rPr>
          <w:rFonts w:ascii="Times New Roman" w:hAnsi="Times New Roman" w:eastAsia="宋体" w:cs="Times New Roman"/>
          <w:b/>
          <w:sz w:val="24"/>
          <w:szCs w:val="24"/>
        </w:rPr>
        <w:t>十</w:t>
      </w:r>
      <w:r>
        <w:rPr>
          <w:rFonts w:hint="eastAsia" w:ascii="Times New Roman" w:hAnsi="Times New Roman" w:eastAsia="宋体" w:cs="Times New Roman"/>
          <w:b/>
          <w:sz w:val="24"/>
          <w:szCs w:val="24"/>
        </w:rPr>
        <w:t>一</w:t>
      </w:r>
      <w:r>
        <w:rPr>
          <w:rFonts w:ascii="Times New Roman" w:hAnsi="Times New Roman" w:eastAsia="宋体" w:cs="Times New Roman"/>
          <w:b/>
          <w:sz w:val="24"/>
          <w:szCs w:val="24"/>
        </w:rPr>
        <w:t>、</w:t>
      </w:r>
      <w:r>
        <w:rPr>
          <w:rFonts w:ascii="Times New Roman" w:hAnsi="Times New Roman" w:eastAsia="宋体" w:cs="Times New Roman"/>
          <w:b/>
          <w:bCs/>
          <w:kern w:val="0"/>
          <w:sz w:val="24"/>
          <w:szCs w:val="24"/>
        </w:rPr>
        <w:t>特别事项说明</w:t>
      </w:r>
      <w:bookmarkEnd w:id="35"/>
    </w:p>
    <w:p>
      <w:pPr>
        <w:autoSpaceDE w:val="0"/>
        <w:autoSpaceDN w:val="0"/>
        <w:adjustRightInd w:val="0"/>
        <w:spacing w:line="440" w:lineRule="exact"/>
        <w:ind w:firstLine="482" w:firstLineChars="200"/>
        <w:rPr>
          <w:rFonts w:ascii="宋体" w:hAnsi="宋体" w:eastAsia="宋体" w:cs="Times New Roman"/>
          <w:sz w:val="24"/>
          <w:szCs w:val="24"/>
        </w:rPr>
      </w:pPr>
      <w:bookmarkStart w:id="36" w:name="_Toc497119853"/>
      <w:r>
        <w:rPr>
          <w:rFonts w:ascii="宋体" w:hAnsi="宋体" w:eastAsia="宋体" w:cs="Times New Roman"/>
          <w:sz w:val="24"/>
          <w:szCs w:val="24"/>
        </w:rPr>
        <w:t>（一）引用其他机构出具报告结论的情况</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p>
      <w:pPr>
        <w:numPr>
          <w:ilvl w:val="0"/>
          <w:numId w:val="3"/>
        </w:numPr>
        <w:autoSpaceDE w:val="0"/>
        <w:autoSpaceDN w:val="0"/>
        <w:adjustRightInd w:val="0"/>
        <w:spacing w:line="440" w:lineRule="exact"/>
        <w:ind w:firstLine="482" w:firstLineChars="200"/>
        <w:rPr>
          <w:rFonts w:ascii="宋体" w:hAnsi="宋体" w:eastAsia="宋体" w:cs="Times New Roman"/>
          <w:sz w:val="24"/>
          <w:szCs w:val="24"/>
        </w:rPr>
      </w:pPr>
      <w:r>
        <w:rPr>
          <w:rFonts w:ascii="宋体" w:hAnsi="宋体" w:eastAsia="宋体" w:cs="Times New Roman"/>
          <w:sz w:val="24"/>
          <w:szCs w:val="24"/>
        </w:rPr>
        <w:t>权属资料不全面或者存在瑕疵的情形</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截止2019年7月23日，山东水云间置业发展有限公司管理人申报的已竣工商品房六栋及车库、储藏室，建筑面积为29697.64平方米，已取得国有土地使用证、建设用地规划许可证、建筑工程施工许可证、商品房预售许可证和建设工程规划许可证，尚未办理房屋所有权证；在建工程13栋别墅，建筑面积为13534平方米，已取得国有土地使用证和建设用地规划许可证。土地使用权的用地性质为普通商品房用地，在建别墅属于擅自更改规划，尚未办理建设工程规划许可证、建筑工程施工许可证和商品房预售许可证。</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本次评估未考虑以上权属资料不全事项对评估值可能产生的影响。</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（三）评估程序受到限制的</w:t>
      </w:r>
      <w:r>
        <w:rPr>
          <w:rFonts w:hint="eastAsia" w:ascii="Times New Roman" w:hAnsi="Times New Roman" w:eastAsia="宋体" w:cs="Times New Roman"/>
          <w:sz w:val="24"/>
          <w:szCs w:val="24"/>
        </w:rPr>
        <w:t>情形</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委托人及产权持有人未提供财务账册及其他相关资料，未提供账面价值。</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（四）评估资料不完整的</w:t>
      </w:r>
      <w:r>
        <w:rPr>
          <w:rFonts w:hint="eastAsia" w:ascii="Times New Roman" w:hAnsi="Times New Roman" w:eastAsia="宋体" w:cs="Times New Roman"/>
          <w:sz w:val="24"/>
          <w:szCs w:val="24"/>
        </w:rPr>
        <w:t>情形</w:t>
      </w:r>
    </w:p>
    <w:p>
      <w:pPr>
        <w:autoSpaceDE w:val="0"/>
        <w:autoSpaceDN w:val="0"/>
        <w:adjustRightInd w:val="0"/>
        <w:spacing w:line="440" w:lineRule="exact"/>
        <w:ind w:right="-21" w:rightChars="-10" w:firstLine="482" w:firstLineChars="200"/>
        <w:rPr>
          <w:rFonts w:ascii="Times New Roman" w:hAnsi="宋体" w:eastAsia="宋体" w:cs="Times New Roman"/>
          <w:sz w:val="24"/>
          <w:szCs w:val="24"/>
        </w:rPr>
      </w:pPr>
      <w:r>
        <w:rPr>
          <w:rFonts w:hint="eastAsia" w:ascii="Times New Roman" w:hAnsi="宋体" w:eastAsia="宋体" w:cs="Times New Roman"/>
          <w:sz w:val="24"/>
          <w:szCs w:val="24"/>
        </w:rPr>
        <w:t>无。</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ascii="Times New Roman" w:hAnsi="Times New Roman" w:eastAsia="宋体" w:cs="Times New Roman"/>
          <w:sz w:val="24"/>
          <w:szCs w:val="24"/>
        </w:rPr>
        <w:t>（五）</w:t>
      </w:r>
      <w:r>
        <w:rPr>
          <w:rFonts w:hint="eastAsia" w:ascii="Times New Roman" w:hAnsi="Times New Roman" w:eastAsia="宋体" w:cs="Times New Roman"/>
          <w:sz w:val="24"/>
          <w:szCs w:val="24"/>
        </w:rPr>
        <w:t>评估基准日存在的法律、经济等未决事项</w:t>
      </w:r>
    </w:p>
    <w:p>
      <w:pPr>
        <w:autoSpaceDE w:val="0"/>
        <w:autoSpaceDN w:val="0"/>
        <w:adjustRightInd w:val="0"/>
        <w:spacing w:line="440" w:lineRule="exact"/>
        <w:ind w:right="-21" w:rightChars="-10" w:firstLine="482" w:firstLineChars="200"/>
        <w:rPr>
          <w:rFonts w:ascii="Times New Roman" w:hAnsi="Times New Roman" w:eastAsia="宋体" w:cs="Times New Roman"/>
          <w:sz w:val="24"/>
          <w:szCs w:val="24"/>
        </w:rPr>
      </w:pPr>
      <w:r>
        <w:rPr>
          <w:rFonts w:hint="eastAsia" w:ascii="Times New Roman" w:hAnsi="宋体" w:eastAsia="宋体" w:cs="Times New Roman"/>
          <w:sz w:val="24"/>
          <w:szCs w:val="24"/>
        </w:rPr>
        <w:t>委托人及产权持有人未提供与申报资产相关的涉诉未决事项资料，</w:t>
      </w:r>
      <w:r>
        <w:rPr>
          <w:rFonts w:hint="eastAsia" w:ascii="Times New Roman" w:hAnsi="Times New Roman" w:eastAsia="宋体" w:cs="Times New Roman"/>
          <w:sz w:val="24"/>
          <w:szCs w:val="24"/>
        </w:rPr>
        <w:t>本次评估未考虑诉讼事项对评估值可能产生的影响。</w:t>
      </w:r>
    </w:p>
    <w:p>
      <w:pPr>
        <w:autoSpaceDE w:val="0"/>
        <w:autoSpaceDN w:val="0"/>
        <w:adjustRightInd w:val="0"/>
        <w:spacing w:line="440" w:lineRule="exact"/>
        <w:ind w:firstLine="470"/>
        <w:rPr>
          <w:rFonts w:ascii="Times New Roman" w:hAnsi="宋体" w:eastAsia="宋体" w:cs="Times New Roman"/>
          <w:sz w:val="24"/>
          <w:szCs w:val="24"/>
        </w:rPr>
      </w:pPr>
      <w:r>
        <w:rPr>
          <w:rFonts w:ascii="Times New Roman" w:hAnsi="宋体" w:eastAsia="宋体" w:cs="Times New Roman"/>
          <w:sz w:val="24"/>
          <w:szCs w:val="24"/>
        </w:rPr>
        <w:t>（六）</w:t>
      </w:r>
      <w:r>
        <w:rPr>
          <w:rFonts w:hint="eastAsia" w:ascii="Times New Roman" w:hAnsi="宋体" w:eastAsia="宋体" w:cs="Times New Roman"/>
          <w:sz w:val="24"/>
          <w:szCs w:val="24"/>
        </w:rPr>
        <w:t>抵押、</w:t>
      </w:r>
      <w:r>
        <w:rPr>
          <w:rFonts w:ascii="Times New Roman" w:hAnsi="宋体" w:eastAsia="宋体" w:cs="Times New Roman"/>
          <w:sz w:val="24"/>
          <w:szCs w:val="24"/>
        </w:rPr>
        <w:t>担保、租赁及其或有负债（或有资产）等事项的性质、金额及与评估对象的关系</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宋体" w:eastAsia="宋体" w:cs="Times New Roman"/>
          <w:sz w:val="24"/>
          <w:szCs w:val="24"/>
        </w:rPr>
        <w:t>委托人及产权持有人未提供与申报资产相关的抵押、担保、租赁资料，</w:t>
      </w:r>
      <w:r>
        <w:rPr>
          <w:rFonts w:hint="eastAsia" w:ascii="Times New Roman" w:hAnsi="Times New Roman" w:eastAsia="宋体" w:cs="Times New Roman"/>
          <w:sz w:val="24"/>
          <w:szCs w:val="24"/>
        </w:rPr>
        <w:t>本次评估未考虑该事项对评估值可能产生的影响。</w:t>
      </w:r>
    </w:p>
    <w:p>
      <w:pPr>
        <w:autoSpaceDE w:val="0"/>
        <w:autoSpaceDN w:val="0"/>
        <w:adjustRightInd w:val="0"/>
        <w:spacing w:line="440" w:lineRule="exact"/>
        <w:ind w:firstLine="470"/>
        <w:rPr>
          <w:rFonts w:ascii="Times New Roman" w:hAnsi="宋体" w:eastAsia="宋体" w:cs="Times New Roman"/>
          <w:sz w:val="24"/>
          <w:szCs w:val="24"/>
        </w:rPr>
      </w:pPr>
      <w:r>
        <w:rPr>
          <w:rFonts w:ascii="Times New Roman" w:hAnsi="宋体" w:eastAsia="宋体" w:cs="Times New Roman"/>
          <w:sz w:val="24"/>
          <w:szCs w:val="24"/>
        </w:rPr>
        <w:t>（七）评估基准日至评估报告日之间</w:t>
      </w:r>
      <w:r>
        <w:rPr>
          <w:rFonts w:hint="eastAsia" w:ascii="Times New Roman" w:hAnsi="宋体" w:eastAsia="宋体" w:cs="Times New Roman"/>
          <w:sz w:val="24"/>
          <w:szCs w:val="24"/>
        </w:rPr>
        <w:t>发生的</w:t>
      </w:r>
      <w:r>
        <w:rPr>
          <w:rFonts w:ascii="Times New Roman" w:hAnsi="宋体" w:eastAsia="宋体" w:cs="Times New Roman"/>
          <w:sz w:val="24"/>
          <w:szCs w:val="24"/>
        </w:rPr>
        <w:t>可能对评估结论产生影响的事项</w:t>
      </w:r>
    </w:p>
    <w:p>
      <w:pPr>
        <w:autoSpaceDE w:val="0"/>
        <w:autoSpaceDN w:val="0"/>
        <w:adjustRightInd w:val="0"/>
        <w:spacing w:line="440" w:lineRule="exact"/>
        <w:ind w:firstLine="470"/>
        <w:rPr>
          <w:rFonts w:ascii="Times New Roman" w:hAnsi="宋体" w:eastAsia="宋体" w:cs="Times New Roman"/>
          <w:sz w:val="24"/>
          <w:szCs w:val="24"/>
        </w:rPr>
      </w:pPr>
      <w:r>
        <w:rPr>
          <w:rFonts w:ascii="Times New Roman" w:hAnsi="宋体" w:eastAsia="宋体" w:cs="Times New Roman"/>
          <w:sz w:val="24"/>
          <w:szCs w:val="24"/>
        </w:rPr>
        <w:t>无</w:t>
      </w:r>
      <w:r>
        <w:rPr>
          <w:rFonts w:hint="eastAsia" w:ascii="Times New Roman" w:hAnsi="宋体" w:eastAsia="宋体" w:cs="Times New Roman"/>
          <w:sz w:val="24"/>
          <w:szCs w:val="24"/>
        </w:rPr>
        <w:t>。</w:t>
      </w:r>
    </w:p>
    <w:p>
      <w:pPr>
        <w:autoSpaceDE w:val="0"/>
        <w:autoSpaceDN w:val="0"/>
        <w:adjustRightInd w:val="0"/>
        <w:spacing w:line="440" w:lineRule="exact"/>
        <w:ind w:firstLine="470"/>
        <w:rPr>
          <w:rFonts w:ascii="Times New Roman" w:hAnsi="宋体" w:eastAsia="宋体" w:cs="Times New Roman"/>
          <w:sz w:val="24"/>
          <w:szCs w:val="24"/>
        </w:rPr>
      </w:pPr>
      <w:r>
        <w:rPr>
          <w:rFonts w:ascii="Times New Roman" w:hAnsi="宋体" w:eastAsia="宋体" w:cs="Times New Roman"/>
          <w:sz w:val="24"/>
          <w:szCs w:val="24"/>
        </w:rPr>
        <w:t>（八）本次资产评估对应的经济行为中，可能对评估</w:t>
      </w:r>
      <w:r>
        <w:rPr>
          <w:rFonts w:hint="eastAsia" w:ascii="Times New Roman" w:hAnsi="宋体" w:eastAsia="宋体" w:cs="Times New Roman"/>
          <w:sz w:val="24"/>
          <w:szCs w:val="24"/>
        </w:rPr>
        <w:t>结果</w:t>
      </w:r>
      <w:r>
        <w:rPr>
          <w:rFonts w:ascii="Times New Roman" w:hAnsi="宋体" w:eastAsia="宋体" w:cs="Times New Roman"/>
          <w:sz w:val="24"/>
          <w:szCs w:val="24"/>
        </w:rPr>
        <w:t>产生重大影响的瑕疵情形</w:t>
      </w:r>
    </w:p>
    <w:p>
      <w:pPr>
        <w:autoSpaceDE w:val="0"/>
        <w:autoSpaceDN w:val="0"/>
        <w:adjustRightInd w:val="0"/>
        <w:spacing w:line="440" w:lineRule="exact"/>
        <w:ind w:firstLine="470"/>
        <w:rPr>
          <w:rFonts w:ascii="Times New Roman" w:hAnsi="宋体" w:eastAsia="宋体" w:cs="Times New Roman"/>
          <w:sz w:val="24"/>
          <w:szCs w:val="24"/>
        </w:rPr>
      </w:pPr>
      <w:r>
        <w:rPr>
          <w:rFonts w:ascii="Times New Roman" w:hAnsi="宋体" w:eastAsia="宋体" w:cs="Times New Roman"/>
          <w:sz w:val="24"/>
          <w:szCs w:val="24"/>
        </w:rPr>
        <w:t>无</w:t>
      </w:r>
      <w:r>
        <w:rPr>
          <w:rFonts w:hint="eastAsia" w:ascii="Times New Roman" w:hAnsi="宋体" w:eastAsia="宋体" w:cs="Times New Roman"/>
          <w:sz w:val="24"/>
          <w:szCs w:val="24"/>
        </w:rPr>
        <w:t>。</w:t>
      </w:r>
    </w:p>
    <w:p>
      <w:pPr>
        <w:autoSpaceDE w:val="0"/>
        <w:autoSpaceDN w:val="0"/>
        <w:adjustRightInd w:val="0"/>
        <w:spacing w:line="440" w:lineRule="exact"/>
        <w:ind w:firstLine="470"/>
        <w:rPr>
          <w:rFonts w:ascii="Times New Roman" w:hAnsi="Times New Roman" w:eastAsia="宋体" w:cs="Times New Roman"/>
          <w:sz w:val="24"/>
          <w:szCs w:val="24"/>
        </w:rPr>
      </w:pPr>
      <w:r>
        <w:rPr>
          <w:rFonts w:hint="eastAsia" w:ascii="宋体" w:hAnsi="宋体" w:eastAsia="宋体" w:cs="Times New Roman"/>
          <w:sz w:val="24"/>
          <w:szCs w:val="24"/>
        </w:rPr>
        <w:t>（九）</w:t>
      </w:r>
      <w:r>
        <w:rPr>
          <w:rFonts w:hint="eastAsia" w:ascii="Times New Roman" w:hAnsi="Times New Roman" w:eastAsia="宋体" w:cs="Times New Roman"/>
          <w:sz w:val="24"/>
          <w:szCs w:val="24"/>
        </w:rPr>
        <w:t>其他特别说明事项</w:t>
      </w:r>
    </w:p>
    <w:p>
      <w:pPr>
        <w:autoSpaceDE w:val="0"/>
        <w:autoSpaceDN w:val="0"/>
        <w:adjustRightInd w:val="0"/>
        <w:spacing w:line="440" w:lineRule="exact"/>
        <w:ind w:firstLine="482" w:firstLineChars="200"/>
        <w:rPr>
          <w:rFonts w:ascii="Times New Roman" w:hAnsi="宋体" w:eastAsia="宋体" w:cs="Times New Roman"/>
          <w:sz w:val="24"/>
          <w:szCs w:val="24"/>
        </w:rPr>
      </w:pPr>
      <w:r>
        <w:rPr>
          <w:rFonts w:hint="eastAsia" w:ascii="Times New Roman" w:hAnsi="宋体" w:eastAsia="宋体" w:cs="Times New Roman"/>
          <w:sz w:val="24"/>
          <w:szCs w:val="24"/>
        </w:rPr>
        <w:t>1、委托人申报的已建成的6幢住宅楼共计192户、停车库240个，储藏室99个，其中，已预售住宅134套（含抵账19套）、车库71个（含抵账2个）、储藏室20个。此次评估未考虑预售和抵债情况对评估结论的影响，仅为委托人申报资产的清算价值提供价值参考依据。</w:t>
      </w:r>
    </w:p>
    <w:p>
      <w:pPr>
        <w:autoSpaceDE w:val="0"/>
        <w:autoSpaceDN w:val="0"/>
        <w:adjustRightInd w:val="0"/>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2、土地使用权的用地性质为普通商品房用地，在建工程中的联排别墅等属于擅自更改规划，尚未取得建设工程规划许可证和建筑工程施工许可证。</w:t>
      </w:r>
    </w:p>
    <w:p>
      <w:pPr>
        <w:autoSpaceDE w:val="0"/>
        <w:autoSpaceDN w:val="0"/>
        <w:adjustRightInd w:val="0"/>
        <w:spacing w:line="440" w:lineRule="exact"/>
        <w:ind w:firstLine="470"/>
        <w:rPr>
          <w:rFonts w:ascii="Times New Roman" w:hAnsi="Times New Roman" w:eastAsia="宋体" w:cs="Times New Roman"/>
          <w:sz w:val="24"/>
          <w:szCs w:val="24"/>
        </w:rPr>
      </w:pPr>
      <w:r>
        <w:rPr>
          <w:rFonts w:hint="eastAsia" w:ascii="Times New Roman" w:hAnsi="宋体" w:eastAsia="宋体" w:cs="Times New Roman"/>
          <w:sz w:val="24"/>
          <w:szCs w:val="24"/>
        </w:rPr>
        <w:t>3、此次评估结果中评估价值均为含税价值。</w:t>
      </w:r>
    </w:p>
    <w:p>
      <w:pPr>
        <w:keepNext/>
        <w:keepLines/>
        <w:spacing w:before="120" w:after="120" w:line="430" w:lineRule="exact"/>
        <w:ind w:firstLine="482" w:firstLineChars="200"/>
        <w:outlineLvl w:val="1"/>
        <w:rPr>
          <w:rFonts w:ascii="Times New Roman" w:hAnsi="Times New Roman" w:eastAsia="宋体" w:cs="Times New Roman"/>
          <w:b/>
          <w:sz w:val="24"/>
          <w:szCs w:val="24"/>
        </w:rPr>
      </w:pPr>
      <w:r>
        <w:rPr>
          <w:rFonts w:ascii="Times New Roman" w:hAnsi="Times New Roman" w:eastAsia="宋体" w:cs="Times New Roman"/>
          <w:b/>
          <w:sz w:val="24"/>
          <w:szCs w:val="24"/>
        </w:rPr>
        <w:t>十</w:t>
      </w:r>
      <w:r>
        <w:rPr>
          <w:rFonts w:hint="eastAsia" w:ascii="Times New Roman" w:hAnsi="Times New Roman" w:eastAsia="宋体" w:cs="Times New Roman"/>
          <w:b/>
          <w:sz w:val="24"/>
          <w:szCs w:val="24"/>
        </w:rPr>
        <w:t>二</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资产</w:t>
      </w:r>
      <w:r>
        <w:rPr>
          <w:rFonts w:ascii="Times New Roman" w:hAnsi="Times New Roman" w:eastAsia="宋体" w:cs="Times New Roman"/>
          <w:b/>
          <w:sz w:val="24"/>
          <w:szCs w:val="24"/>
        </w:rPr>
        <w:t>评估报告使用限制说明</w:t>
      </w:r>
      <w:bookmarkEnd w:id="36"/>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（一）本资产评估报告使用范围</w:t>
      </w:r>
    </w:p>
    <w:p>
      <w:pPr>
        <w:pStyle w:val="157"/>
        <w:spacing w:line="500" w:lineRule="exact"/>
        <w:ind w:firstLine="482" w:firstLineChars="200"/>
        <w:rPr>
          <w:rFonts w:hAnsi="宋体"/>
          <w:szCs w:val="24"/>
        </w:rPr>
      </w:pPr>
      <w:r>
        <w:rPr>
          <w:rFonts w:hint="eastAsia" w:hAnsi="宋体" w:cs="Arial"/>
          <w:szCs w:val="24"/>
        </w:rPr>
        <w:t>本报告仅供委托人用于评估目的对应的经济行为。</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二）本评估报告及其评估结论仅供委托人、资产评估委托合同约定的其他评估报告使用人和国家法律、法规规定的评估报告使用人用于本评估报告载明的评估目的和用途以及送交相关行政主管机关审查、备案；除此之外，其他任何机构和个人不能成为本评估报告的合法使用人。</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（三）资产评估报告使用人应当正确理解评估结论，评估结论不等同于评估对象可实现的价格，评估结论不应当被认为是对评估对象可实现价格的保证。</w:t>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（四）若未征得本评估机构书面许可，任何单位和个人不得复印、摘抄、引用本评估报告的全部或部分内容或将其全部或部分内容披露于任何媒体，法律、法规规定以及相关当事人另有约定的除外。</w:t>
      </w:r>
    </w:p>
    <w:p>
      <w:pPr>
        <w:tabs>
          <w:tab w:val="right" w:pos="9083"/>
        </w:tabs>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（五）评估结论的有效使用期</w:t>
      </w:r>
      <w:r>
        <w:rPr>
          <w:rFonts w:ascii="宋体" w:hAnsi="宋体" w:eastAsia="宋体" w:cs="Times New Roman"/>
          <w:sz w:val="24"/>
          <w:szCs w:val="24"/>
        </w:rPr>
        <w:tab/>
      </w:r>
    </w:p>
    <w:p>
      <w:pPr>
        <w:autoSpaceDE w:val="0"/>
        <w:autoSpaceDN w:val="0"/>
        <w:adjustRightInd w:val="0"/>
        <w:spacing w:line="430" w:lineRule="exact"/>
        <w:ind w:right="-21" w:rightChars="-10" w:firstLine="482" w:firstLineChars="200"/>
        <w:rPr>
          <w:rFonts w:ascii="宋体" w:hAnsi="宋体" w:eastAsia="宋体" w:cs="Times New Roman"/>
          <w:sz w:val="24"/>
          <w:szCs w:val="24"/>
        </w:rPr>
      </w:pPr>
      <w:r>
        <w:rPr>
          <w:rFonts w:hint="eastAsia" w:ascii="宋体" w:hAnsi="宋体" w:eastAsia="宋体" w:cs="Times New Roman"/>
          <w:sz w:val="24"/>
          <w:szCs w:val="24"/>
        </w:rPr>
        <w:t>按现行规定，本评估报告的评估结论的有效使用期为壹年，该有效使用期从评估基准日起计算。</w:t>
      </w:r>
    </w:p>
    <w:p>
      <w:pPr>
        <w:keepNext/>
        <w:keepLines/>
        <w:spacing w:before="120" w:after="120" w:line="440" w:lineRule="exact"/>
        <w:ind w:firstLine="482" w:firstLineChars="200"/>
        <w:outlineLvl w:val="1"/>
        <w:rPr>
          <w:rFonts w:ascii="Times New Roman" w:hAnsi="Times New Roman" w:eastAsia="宋体" w:cs="Times New Roman"/>
          <w:b/>
          <w:sz w:val="24"/>
          <w:szCs w:val="24"/>
        </w:rPr>
      </w:pPr>
      <w:bookmarkStart w:id="37" w:name="_Toc497119854"/>
      <w:bookmarkStart w:id="38" w:name="_Toc138862091"/>
      <w:r>
        <w:rPr>
          <w:rFonts w:ascii="Times New Roman" w:hAnsi="Times New Roman" w:eastAsia="宋体" w:cs="Times New Roman"/>
          <w:b/>
          <w:sz w:val="24"/>
          <w:szCs w:val="24"/>
        </w:rPr>
        <w:t>十</w:t>
      </w:r>
      <w:r>
        <w:rPr>
          <w:rFonts w:hint="eastAsia" w:ascii="Times New Roman" w:hAnsi="Times New Roman" w:eastAsia="宋体" w:cs="Times New Roman"/>
          <w:b/>
          <w:sz w:val="24"/>
          <w:szCs w:val="24"/>
        </w:rPr>
        <w:t>三</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资产</w:t>
      </w:r>
      <w:r>
        <w:rPr>
          <w:rFonts w:ascii="Times New Roman" w:hAnsi="Times New Roman" w:eastAsia="宋体" w:cs="Times New Roman"/>
          <w:b/>
          <w:sz w:val="24"/>
          <w:szCs w:val="24"/>
        </w:rPr>
        <w:t>评估报告日</w:t>
      </w:r>
      <w:bookmarkEnd w:id="37"/>
      <w:bookmarkEnd w:id="38"/>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rPr>
          <w:rFonts w:ascii="Times New Roman" w:hAnsi="Times New Roman" w:eastAsia="宋体" w:cs="Times New Roman"/>
          <w:b/>
          <w:sz w:val="24"/>
          <w:szCs w:val="24"/>
        </w:rPr>
      </w:pPr>
      <w:bookmarkStart w:id="39" w:name="_Hlk493346711"/>
      <w:r>
        <w:rPr>
          <w:rFonts w:hint="eastAsia" w:ascii="宋体" w:hAnsi="宋体" w:eastAsia="宋体" w:cs="Times New Roman"/>
          <w:kern w:val="0"/>
          <w:sz w:val="24"/>
          <w:szCs w:val="24"/>
        </w:rPr>
        <w:t>资产评估报告日是评估结论最终形成日。</w:t>
      </w:r>
      <w:bookmarkEnd w:id="39"/>
      <w:r>
        <w:rPr>
          <w:rFonts w:ascii="宋体" w:hAnsi="宋体" w:eastAsia="宋体" w:cs="Times New Roman"/>
          <w:kern w:val="0"/>
          <w:sz w:val="24"/>
          <w:szCs w:val="24"/>
        </w:rPr>
        <w:t>本</w:t>
      </w:r>
      <w:r>
        <w:rPr>
          <w:rFonts w:hint="eastAsia" w:ascii="宋体" w:hAnsi="宋体" w:eastAsia="宋体" w:cs="Times New Roman"/>
          <w:kern w:val="0"/>
          <w:sz w:val="24"/>
          <w:szCs w:val="24"/>
        </w:rPr>
        <w:t>资产</w:t>
      </w:r>
      <w:r>
        <w:rPr>
          <w:rFonts w:ascii="宋体" w:hAnsi="宋体" w:eastAsia="宋体" w:cs="Times New Roman"/>
          <w:kern w:val="0"/>
          <w:sz w:val="24"/>
          <w:szCs w:val="24"/>
        </w:rPr>
        <w:t>评估报告日为201</w:t>
      </w:r>
      <w:r>
        <w:rPr>
          <w:rFonts w:hint="eastAsia" w:ascii="宋体" w:hAnsi="宋体" w:eastAsia="宋体" w:cs="Times New Roman"/>
          <w:kern w:val="0"/>
          <w:sz w:val="24"/>
          <w:szCs w:val="24"/>
        </w:rPr>
        <w:t>9</w:t>
      </w:r>
      <w:r>
        <w:rPr>
          <w:rFonts w:ascii="宋体" w:hAnsi="宋体" w:eastAsia="宋体" w:cs="Times New Roman"/>
          <w:kern w:val="0"/>
          <w:sz w:val="24"/>
          <w:szCs w:val="24"/>
        </w:rPr>
        <w:t>年</w:t>
      </w:r>
      <w:r>
        <w:rPr>
          <w:rFonts w:hint="eastAsia" w:ascii="宋体" w:hAnsi="宋体" w:eastAsia="宋体" w:cs="Times New Roman"/>
          <w:kern w:val="0"/>
          <w:sz w:val="24"/>
          <w:szCs w:val="24"/>
        </w:rPr>
        <w:t>8</w:t>
      </w:r>
      <w:r>
        <w:rPr>
          <w:rFonts w:ascii="宋体" w:hAnsi="宋体" w:eastAsia="宋体" w:cs="Times New Roman"/>
          <w:kern w:val="0"/>
          <w:sz w:val="24"/>
          <w:szCs w:val="24"/>
        </w:rPr>
        <w:t>月</w:t>
      </w:r>
      <w:r>
        <w:rPr>
          <w:rFonts w:hint="eastAsia" w:ascii="宋体" w:hAnsi="宋体" w:eastAsia="宋体" w:cs="Times New Roman"/>
          <w:kern w:val="0"/>
          <w:sz w:val="24"/>
          <w:szCs w:val="24"/>
        </w:rPr>
        <w:t>7</w:t>
      </w:r>
      <w:r>
        <w:rPr>
          <w:rFonts w:ascii="宋体" w:hAnsi="宋体" w:eastAsia="宋体" w:cs="Times New Roman"/>
          <w:kern w:val="0"/>
          <w:sz w:val="24"/>
          <w:szCs w:val="24"/>
        </w:rPr>
        <w:t>日。</w:t>
      </w: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right="1446" w:firstLine="482" w:firstLineChars="200"/>
        <w:jc w:val="right"/>
        <w:rPr>
          <w:rFonts w:ascii="宋体" w:hAnsi="宋体" w:eastAsia="宋体" w:cs="Times New Roman"/>
          <w:kern w:val="0"/>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right="1446" w:firstLine="482" w:firstLineChars="200"/>
        <w:jc w:val="right"/>
        <w:rPr>
          <w:rFonts w:ascii="宋体" w:hAnsi="宋体" w:eastAsia="宋体" w:cs="Times New Roman"/>
          <w:kern w:val="0"/>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right="1446" w:firstLine="482" w:firstLineChars="200"/>
        <w:jc w:val="right"/>
        <w:rPr>
          <w:rFonts w:ascii="宋体" w:hAnsi="宋体" w:eastAsia="宋体" w:cs="Times New Roman"/>
          <w:kern w:val="0"/>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right="1446" w:firstLine="482" w:firstLineChars="200"/>
        <w:jc w:val="right"/>
        <w:rPr>
          <w:rFonts w:ascii="宋体" w:hAnsi="宋体" w:eastAsia="宋体" w:cs="Times New Roman"/>
          <w:kern w:val="0"/>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right="1446" w:firstLine="482" w:firstLineChars="200"/>
        <w:jc w:val="right"/>
        <w:rPr>
          <w:rFonts w:ascii="宋体" w:hAnsi="宋体" w:eastAsia="宋体" w:cs="Times New Roman"/>
          <w:kern w:val="0"/>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right="1446" w:firstLine="482" w:firstLineChars="200"/>
        <w:jc w:val="right"/>
        <w:rPr>
          <w:rFonts w:ascii="宋体" w:hAnsi="宋体" w:eastAsia="宋体" w:cs="Times New Roman"/>
          <w:kern w:val="0"/>
          <w:sz w:val="24"/>
          <w:szCs w:val="24"/>
        </w:rPr>
      </w:pPr>
      <w:r>
        <w:rPr>
          <w:rFonts w:hint="eastAsia" w:ascii="宋体" w:hAnsi="宋体" w:eastAsia="宋体" w:cs="Times New Roman"/>
          <w:kern w:val="0"/>
          <w:sz w:val="24"/>
          <w:szCs w:val="24"/>
        </w:rPr>
        <w:t>山东坤元资产评估房地产土地估价有限公司</w:t>
      </w: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right="964" w:firstLine="482" w:firstLineChars="200"/>
        <w:jc w:val="right"/>
        <w:rPr>
          <w:rFonts w:ascii="宋体" w:hAnsi="宋体" w:eastAsia="宋体" w:cs="Times New Roman"/>
          <w:kern w:val="0"/>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482" w:firstLineChars="200"/>
        <w:jc w:val="left"/>
        <w:rPr>
          <w:rFonts w:ascii="宋体" w:hAnsi="宋体" w:eastAsia="宋体" w:cs="Times New Roman"/>
          <w:kern w:val="0"/>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2892" w:firstLineChars="1200"/>
        <w:jc w:val="left"/>
        <w:rPr>
          <w:rFonts w:ascii="宋体" w:hAnsi="宋体" w:eastAsia="宋体" w:cs="Times New Roman"/>
          <w:kern w:val="0"/>
          <w:sz w:val="24"/>
          <w:szCs w:val="24"/>
        </w:rPr>
      </w:pPr>
      <w:r>
        <w:rPr>
          <w:rFonts w:hint="eastAsia" w:ascii="宋体" w:hAnsi="宋体" w:eastAsia="宋体" w:cs="Times New Roman"/>
          <w:kern w:val="0"/>
          <w:sz w:val="24"/>
          <w:szCs w:val="24"/>
        </w:rPr>
        <w:t>资产评估师：</w:t>
      </w:r>
      <w:r>
        <w:rPr>
          <w:rFonts w:hint="eastAsia" w:ascii="宋体" w:hAnsi="宋体" w:eastAsia="宋体" w:cs="Times New Roman"/>
          <w:kern w:val="0"/>
          <w:sz w:val="24"/>
          <w:szCs w:val="24"/>
          <w:lang w:val="en-US" w:eastAsia="zh-CN"/>
        </w:rPr>
        <w:t xml:space="preserve">           </w:t>
      </w:r>
      <w:r>
        <w:rPr>
          <w:rFonts w:ascii="宋体" w:hAnsi="宋体" w:eastAsia="宋体" w:cs="Times New Roman"/>
          <w:kern w:val="0"/>
          <w:sz w:val="24"/>
          <w:szCs w:val="24"/>
        </w:rPr>
        <w:t>资产评估师：</w:t>
      </w: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2892" w:firstLineChars="1200"/>
        <w:jc w:val="left"/>
        <w:rPr>
          <w:rFonts w:ascii="宋体" w:hAnsi="宋体" w:eastAsia="宋体" w:cs="Times New Roman"/>
          <w:kern w:val="0"/>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2892" w:firstLineChars="1200"/>
        <w:jc w:val="left"/>
        <w:rPr>
          <w:rFonts w:ascii="宋体" w:hAnsi="宋体" w:eastAsia="宋体" w:cs="Times New Roman"/>
          <w:kern w:val="0"/>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2892" w:firstLineChars="1200"/>
        <w:jc w:val="left"/>
        <w:rPr>
          <w:rFonts w:ascii="宋体" w:hAnsi="宋体" w:eastAsia="宋体" w:cs="Times New Roman"/>
          <w:kern w:val="0"/>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2892" w:firstLineChars="1200"/>
        <w:jc w:val="left"/>
        <w:rPr>
          <w:rFonts w:ascii="宋体" w:hAnsi="宋体" w:eastAsia="宋体" w:cs="Times New Roman"/>
          <w:kern w:val="0"/>
          <w:sz w:val="24"/>
          <w:szCs w:val="24"/>
        </w:rPr>
      </w:pPr>
    </w:p>
    <w:p>
      <w:pPr>
        <w:widowControl/>
        <w:tabs>
          <w:tab w:val="left" w:pos="180"/>
          <w:tab w:val="left" w:pos="916"/>
          <w:tab w:val="left" w:pos="1832"/>
          <w:tab w:val="left" w:pos="2748"/>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2892" w:firstLineChars="1200"/>
        <w:jc w:val="left"/>
        <w:rPr>
          <w:rFonts w:ascii="宋体" w:hAnsi="宋体" w:eastAsia="宋体" w:cs="Times New Roman"/>
          <w:kern w:val="0"/>
          <w:sz w:val="24"/>
          <w:szCs w:val="24"/>
        </w:rPr>
      </w:pPr>
    </w:p>
    <w:p>
      <w:pPr>
        <w:keepNext/>
        <w:keepLines/>
        <w:spacing w:before="260" w:after="260" w:line="560" w:lineRule="exact"/>
        <w:jc w:val="center"/>
        <w:outlineLvl w:val="1"/>
        <w:rPr>
          <w:rFonts w:ascii="隶书" w:hAnsi="Times New Roman" w:eastAsia="隶书" w:cs="Times New Roman"/>
          <w:bCs/>
          <w:sz w:val="52"/>
          <w:szCs w:val="52"/>
        </w:rPr>
      </w:pPr>
      <w:bookmarkStart w:id="40" w:name="_Toc497119855"/>
      <w:bookmarkStart w:id="41" w:name="_Toc138862093"/>
      <w:r>
        <w:rPr>
          <w:rFonts w:hint="eastAsia" w:ascii="隶书" w:hAnsi="Times New Roman" w:eastAsia="隶书" w:cs="Times New Roman"/>
          <w:bCs/>
          <w:sz w:val="52"/>
          <w:szCs w:val="52"/>
        </w:rPr>
        <w:t>资产评估报告</w:t>
      </w:r>
      <w:bookmarkStart w:id="42" w:name="_Toc123890978"/>
      <w:r>
        <w:rPr>
          <w:rFonts w:hint="eastAsia" w:ascii="隶书" w:hAnsi="Times New Roman" w:eastAsia="隶书" w:cs="Times New Roman"/>
          <w:bCs/>
          <w:sz w:val="52"/>
          <w:szCs w:val="52"/>
        </w:rPr>
        <w:t>附件</w:t>
      </w:r>
      <w:bookmarkEnd w:id="40"/>
      <w:bookmarkEnd w:id="41"/>
      <w:bookmarkEnd w:id="42"/>
    </w:p>
    <w:p>
      <w:pPr>
        <w:pStyle w:val="30"/>
        <w:widowControl w:val="0"/>
        <w:numPr>
          <w:ilvl w:val="0"/>
          <w:numId w:val="8"/>
        </w:numPr>
        <w:tabs>
          <w:tab w:val="right" w:leader="dot" w:pos="8647"/>
          <w:tab w:val="clear" w:pos="8820"/>
        </w:tabs>
        <w:overflowPunct/>
        <w:autoSpaceDE/>
        <w:autoSpaceDN/>
        <w:adjustRightInd/>
        <w:spacing w:line="480" w:lineRule="exact"/>
        <w:ind w:right="0" w:rightChars="0" w:firstLine="454"/>
        <w:textAlignment w:val="auto"/>
        <w:rPr>
          <w:rFonts w:hAnsi="Times New Roman"/>
          <w:b w:val="0"/>
          <w:smallCaps w:val="0"/>
          <w:kern w:val="2"/>
          <w:sz w:val="21"/>
          <w:szCs w:val="20"/>
        </w:rPr>
      </w:pPr>
      <w:r>
        <w:rPr>
          <w:rFonts w:hint="eastAsia" w:hAnsi="Times New Roman"/>
          <w:b w:val="0"/>
          <w:smallCaps w:val="0"/>
          <w:kern w:val="2"/>
          <w:sz w:val="21"/>
          <w:szCs w:val="20"/>
        </w:rPr>
        <w:t>山东省庆云县人民法院民事裁定书〔2017〕鲁1423破3号；</w:t>
      </w:r>
    </w:p>
    <w:p>
      <w:pPr>
        <w:pStyle w:val="30"/>
        <w:widowControl w:val="0"/>
        <w:numPr>
          <w:ilvl w:val="0"/>
          <w:numId w:val="8"/>
        </w:numPr>
        <w:tabs>
          <w:tab w:val="right" w:leader="dot" w:pos="8647"/>
          <w:tab w:val="clear" w:pos="8820"/>
        </w:tabs>
        <w:overflowPunct/>
        <w:autoSpaceDE/>
        <w:autoSpaceDN/>
        <w:adjustRightInd/>
        <w:spacing w:line="480" w:lineRule="exact"/>
        <w:ind w:right="0" w:rightChars="0" w:firstLine="454"/>
        <w:textAlignment w:val="auto"/>
        <w:rPr>
          <w:rFonts w:hAnsi="Times New Roman"/>
          <w:b w:val="0"/>
          <w:smallCaps w:val="0"/>
          <w:kern w:val="2"/>
          <w:sz w:val="21"/>
          <w:szCs w:val="20"/>
        </w:rPr>
      </w:pPr>
      <w:r>
        <w:rPr>
          <w:rFonts w:hint="eastAsia" w:hAnsi="Times New Roman"/>
          <w:b w:val="0"/>
          <w:smallCaps w:val="0"/>
          <w:kern w:val="2"/>
          <w:sz w:val="21"/>
          <w:szCs w:val="20"/>
        </w:rPr>
        <w:t>山东省庆云县人民法院民事决定书〔2017〕鲁1423破3号；</w:t>
      </w:r>
    </w:p>
    <w:p>
      <w:pPr>
        <w:pStyle w:val="30"/>
        <w:widowControl w:val="0"/>
        <w:numPr>
          <w:ilvl w:val="0"/>
          <w:numId w:val="8"/>
        </w:numPr>
        <w:tabs>
          <w:tab w:val="right" w:leader="dot" w:pos="8647"/>
          <w:tab w:val="clear" w:pos="8820"/>
        </w:tabs>
        <w:overflowPunct/>
        <w:autoSpaceDE/>
        <w:autoSpaceDN/>
        <w:adjustRightInd/>
        <w:spacing w:line="480" w:lineRule="exact"/>
        <w:ind w:right="0" w:rightChars="0" w:firstLine="454"/>
        <w:textAlignment w:val="auto"/>
        <w:rPr>
          <w:rFonts w:hAnsi="Times New Roman"/>
          <w:b w:val="0"/>
          <w:smallCaps w:val="0"/>
          <w:kern w:val="2"/>
          <w:sz w:val="21"/>
          <w:szCs w:val="20"/>
        </w:rPr>
      </w:pPr>
      <w:r>
        <w:rPr>
          <w:rFonts w:hint="eastAsia" w:hAnsi="Times New Roman"/>
          <w:b w:val="0"/>
          <w:smallCaps w:val="0"/>
          <w:kern w:val="2"/>
          <w:sz w:val="21"/>
          <w:szCs w:val="20"/>
        </w:rPr>
        <w:t>产权持有人的营业执照复印件</w:t>
      </w:r>
    </w:p>
    <w:p>
      <w:pPr>
        <w:pStyle w:val="30"/>
        <w:widowControl w:val="0"/>
        <w:numPr>
          <w:ilvl w:val="0"/>
          <w:numId w:val="8"/>
        </w:numPr>
        <w:tabs>
          <w:tab w:val="right" w:leader="dot" w:pos="8647"/>
          <w:tab w:val="clear" w:pos="8820"/>
        </w:tabs>
        <w:overflowPunct/>
        <w:autoSpaceDE/>
        <w:autoSpaceDN/>
        <w:adjustRightInd/>
        <w:spacing w:line="480" w:lineRule="exact"/>
        <w:ind w:right="0" w:rightChars="0" w:firstLine="454"/>
        <w:textAlignment w:val="auto"/>
        <w:rPr>
          <w:rFonts w:hAnsi="Times New Roman"/>
          <w:b w:val="0"/>
          <w:smallCaps w:val="0"/>
          <w:kern w:val="2"/>
          <w:sz w:val="21"/>
          <w:szCs w:val="20"/>
        </w:rPr>
      </w:pPr>
      <w:r>
        <w:rPr>
          <w:rFonts w:hint="eastAsia" w:hAnsi="Times New Roman"/>
          <w:b w:val="0"/>
          <w:smallCaps w:val="0"/>
          <w:kern w:val="2"/>
          <w:sz w:val="21"/>
          <w:szCs w:val="20"/>
        </w:rPr>
        <w:t>评估对象所涉及的主要资产权属证明资料复印件</w:t>
      </w:r>
    </w:p>
    <w:p>
      <w:pPr>
        <w:pStyle w:val="30"/>
        <w:widowControl w:val="0"/>
        <w:tabs>
          <w:tab w:val="right" w:leader="dot" w:pos="8647"/>
          <w:tab w:val="clear" w:pos="8820"/>
        </w:tabs>
        <w:overflowPunct/>
        <w:autoSpaceDE/>
        <w:autoSpaceDN/>
        <w:adjustRightInd/>
        <w:spacing w:line="480" w:lineRule="exact"/>
        <w:ind w:right="0" w:rightChars="0" w:firstLine="454"/>
        <w:textAlignment w:val="auto"/>
        <w:rPr>
          <w:rFonts w:hAnsi="Times New Roman"/>
          <w:b w:val="0"/>
          <w:smallCaps w:val="0"/>
          <w:kern w:val="2"/>
          <w:sz w:val="21"/>
          <w:szCs w:val="20"/>
        </w:rPr>
      </w:pPr>
      <w:r>
        <w:rPr>
          <w:rFonts w:hint="eastAsia" w:hAnsi="Times New Roman"/>
          <w:b w:val="0"/>
          <w:smallCaps w:val="0"/>
          <w:kern w:val="2"/>
          <w:sz w:val="21"/>
          <w:szCs w:val="20"/>
        </w:rPr>
        <w:t>3、委托人及产权持有人承诺函；</w:t>
      </w:r>
    </w:p>
    <w:p>
      <w:pPr>
        <w:pStyle w:val="30"/>
        <w:widowControl w:val="0"/>
        <w:tabs>
          <w:tab w:val="right" w:leader="dot" w:pos="8647"/>
          <w:tab w:val="clear" w:pos="8820"/>
        </w:tabs>
        <w:overflowPunct/>
        <w:autoSpaceDE/>
        <w:autoSpaceDN/>
        <w:adjustRightInd/>
        <w:spacing w:line="480" w:lineRule="exact"/>
        <w:ind w:right="0" w:rightChars="0" w:firstLine="454"/>
        <w:textAlignment w:val="auto"/>
        <w:rPr>
          <w:rFonts w:hAnsi="Times New Roman"/>
          <w:b w:val="0"/>
          <w:smallCaps w:val="0"/>
          <w:kern w:val="2"/>
          <w:sz w:val="21"/>
          <w:szCs w:val="20"/>
        </w:rPr>
      </w:pPr>
      <w:r>
        <w:rPr>
          <w:rFonts w:hint="eastAsia" w:hAnsi="Times New Roman"/>
          <w:b w:val="0"/>
          <w:smallCaps w:val="0"/>
          <w:kern w:val="2"/>
          <w:sz w:val="21"/>
          <w:szCs w:val="20"/>
        </w:rPr>
        <w:t>4、</w:t>
      </w:r>
      <w:r>
        <w:rPr>
          <w:rFonts w:hAnsi="Times New Roman"/>
          <w:b w:val="0"/>
          <w:smallCaps w:val="0"/>
          <w:kern w:val="2"/>
          <w:sz w:val="21"/>
          <w:szCs w:val="20"/>
        </w:rPr>
        <w:t>评估机构营业执照</w:t>
      </w:r>
      <w:r>
        <w:rPr>
          <w:rFonts w:hint="eastAsia" w:hAnsi="Times New Roman"/>
          <w:b w:val="0"/>
          <w:smallCaps w:val="0"/>
          <w:kern w:val="2"/>
          <w:sz w:val="21"/>
          <w:szCs w:val="20"/>
        </w:rPr>
        <w:t>、备案公告及资产评估师承诺函；</w:t>
      </w:r>
    </w:p>
    <w:p>
      <w:pPr>
        <w:pStyle w:val="30"/>
        <w:widowControl w:val="0"/>
        <w:tabs>
          <w:tab w:val="right" w:leader="dot" w:pos="8647"/>
          <w:tab w:val="clear" w:pos="8820"/>
        </w:tabs>
        <w:overflowPunct/>
        <w:autoSpaceDE/>
        <w:autoSpaceDN/>
        <w:adjustRightInd/>
        <w:spacing w:line="480" w:lineRule="exact"/>
        <w:ind w:right="0" w:rightChars="0" w:firstLine="454"/>
        <w:textAlignment w:val="auto"/>
        <w:rPr>
          <w:rFonts w:hAnsi="Times New Roman"/>
          <w:b w:val="0"/>
          <w:smallCaps w:val="0"/>
          <w:kern w:val="2"/>
          <w:sz w:val="21"/>
          <w:szCs w:val="20"/>
        </w:rPr>
      </w:pPr>
      <w:r>
        <w:rPr>
          <w:rFonts w:hint="eastAsia" w:hAnsi="Times New Roman"/>
          <w:b w:val="0"/>
          <w:smallCaps w:val="0"/>
          <w:kern w:val="2"/>
          <w:sz w:val="21"/>
          <w:szCs w:val="20"/>
        </w:rPr>
        <w:t>5、</w:t>
      </w:r>
      <w:r>
        <w:rPr>
          <w:rFonts w:hAnsi="Times New Roman"/>
          <w:b w:val="0"/>
          <w:smallCaps w:val="0"/>
          <w:kern w:val="2"/>
          <w:sz w:val="21"/>
          <w:szCs w:val="20"/>
        </w:rPr>
        <w:t>签字</w:t>
      </w:r>
      <w:r>
        <w:rPr>
          <w:rFonts w:hint="eastAsia" w:hAnsi="Times New Roman"/>
          <w:b w:val="0"/>
          <w:smallCaps w:val="0"/>
          <w:kern w:val="2"/>
          <w:sz w:val="21"/>
          <w:szCs w:val="20"/>
        </w:rPr>
        <w:t>资产</w:t>
      </w:r>
      <w:r>
        <w:rPr>
          <w:rFonts w:hAnsi="Times New Roman"/>
          <w:b w:val="0"/>
          <w:smallCaps w:val="0"/>
          <w:kern w:val="2"/>
          <w:sz w:val="21"/>
          <w:szCs w:val="20"/>
        </w:rPr>
        <w:t>评估师资格证书；</w:t>
      </w:r>
    </w:p>
    <w:p>
      <w:pPr>
        <w:pStyle w:val="30"/>
        <w:widowControl w:val="0"/>
        <w:tabs>
          <w:tab w:val="right" w:leader="dot" w:pos="8647"/>
          <w:tab w:val="clear" w:pos="8820"/>
        </w:tabs>
        <w:overflowPunct/>
        <w:autoSpaceDE/>
        <w:autoSpaceDN/>
        <w:adjustRightInd/>
        <w:spacing w:line="480" w:lineRule="exact"/>
        <w:ind w:right="0" w:rightChars="0" w:firstLine="454"/>
        <w:textAlignment w:val="auto"/>
        <w:rPr>
          <w:rFonts w:hAnsi="Times New Roman"/>
          <w:b w:val="0"/>
          <w:smallCaps w:val="0"/>
          <w:kern w:val="2"/>
          <w:sz w:val="21"/>
          <w:szCs w:val="20"/>
        </w:rPr>
      </w:pPr>
      <w:r>
        <w:rPr>
          <w:rFonts w:hint="eastAsia" w:hAnsi="Times New Roman"/>
          <w:b w:val="0"/>
          <w:smallCaps w:val="0"/>
          <w:kern w:val="2"/>
          <w:sz w:val="21"/>
          <w:szCs w:val="20"/>
        </w:rPr>
        <w:t>6、评估结果汇总表及分类汇总表等。</w:t>
      </w:r>
    </w:p>
    <w:p>
      <w:pPr>
        <w:pStyle w:val="30"/>
        <w:widowControl w:val="0"/>
        <w:tabs>
          <w:tab w:val="right" w:leader="dot" w:pos="8647"/>
          <w:tab w:val="clear" w:pos="8820"/>
        </w:tabs>
        <w:overflowPunct/>
        <w:autoSpaceDE/>
        <w:autoSpaceDN/>
        <w:adjustRightInd/>
        <w:spacing w:line="480" w:lineRule="exact"/>
        <w:ind w:right="0" w:rightChars="0" w:firstLine="454"/>
        <w:textAlignment w:val="auto"/>
        <w:rPr>
          <w:rFonts w:hAnsi="Times New Roman"/>
          <w:b w:val="0"/>
          <w:smallCaps w:val="0"/>
          <w:kern w:val="2"/>
          <w:sz w:val="21"/>
          <w:szCs w:val="20"/>
        </w:rPr>
      </w:pPr>
    </w:p>
    <w:p>
      <w:pPr>
        <w:spacing w:line="520" w:lineRule="exact"/>
        <w:ind w:left="411" w:leftChars="195" w:firstLine="445" w:firstLineChars="185"/>
        <w:rPr>
          <w:rFonts w:ascii="宋体" w:hAnsi="宋体" w:eastAsia="宋体" w:cs="Times New Roman"/>
          <w:kern w:val="0"/>
          <w:sz w:val="24"/>
          <w:szCs w:val="24"/>
        </w:rPr>
      </w:pPr>
    </w:p>
    <w:p/>
    <w:p/>
    <w:p/>
    <w:p/>
    <w:p/>
    <w:p/>
    <w:p/>
    <w:p/>
    <w:p/>
    <w:sectPr>
      <w:headerReference r:id="rId6" w:type="default"/>
      <w:footerReference r:id="rId7" w:type="default"/>
      <w:footerReference r:id="rId8" w:type="even"/>
      <w:pgSz w:w="11906" w:h="16838"/>
      <w:pgMar w:top="1304" w:right="1259" w:bottom="1247" w:left="1588" w:header="964" w:footer="992" w:gutter="0"/>
      <w:pgNumType w:start="1"/>
      <w:cols w:space="425" w:num="1"/>
      <w:docGrid w:type="linesAndChars" w:linePitch="326" w:charSpace="2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Arial Unicode MS">
    <w:altName w:val="宋体"/>
    <w:panose1 w:val="020B0604020202020204"/>
    <w:charset w:val="86"/>
    <w:family w:val="swiss"/>
    <w:pitch w:val="default"/>
    <w:sig w:usb0="00000000" w:usb1="00000000" w:usb2="0000003F" w:usb3="00000000" w:csb0="003F01FF" w:csb1="00000000"/>
  </w:font>
  <w:font w:name="Microsoft YaHei UI">
    <w:panose1 w:val="020B0503020204020204"/>
    <w:charset w:val="86"/>
    <w:family w:val="swiss"/>
    <w:pitch w:val="default"/>
    <w:sig w:usb0="80000287" w:usb1="2ACF3C50" w:usb2="00000016" w:usb3="00000000" w:csb0="0004001F" w:csb1="00000000"/>
  </w:font>
  <w:font w:name="Kai Titling">
    <w:altName w:val="黑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pP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41"/>
      </w:rPr>
    </w:pPr>
    <w:r>
      <w:rPr>
        <w:rStyle w:val="41"/>
      </w:rPr>
      <w:fldChar w:fldCharType="begin"/>
    </w:r>
    <w:r>
      <w:rPr>
        <w:rStyle w:val="41"/>
      </w:rPr>
      <w:instrText xml:space="preserve">PAGE  </w:instrText>
    </w:r>
    <w:r>
      <w:rPr>
        <w:rStyle w:val="41"/>
      </w:rPr>
      <w:fldChar w:fldCharType="end"/>
    </w:r>
  </w:p>
  <w:p>
    <w:pPr>
      <w:pStyle w:val="2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double" w:color="auto" w:sz="4" w:space="0"/>
      </w:pBdr>
      <w:jc w:val="both"/>
      <w:rPr>
        <w:b/>
      </w:rPr>
    </w:pPr>
    <w:r>
      <mc:AlternateContent>
        <mc:Choice Requires="wps">
          <w:drawing>
            <wp:anchor distT="0" distB="0" distL="114300" distR="114300" simplePos="0" relativeHeight="251659264" behindDoc="0" locked="0" layoutInCell="1" allowOverlap="1">
              <wp:simplePos x="0" y="0"/>
              <wp:positionH relativeFrom="page">
                <wp:posOffset>3341370</wp:posOffset>
              </wp:positionH>
              <wp:positionV relativeFrom="page">
                <wp:posOffset>10010140</wp:posOffset>
              </wp:positionV>
              <wp:extent cx="1282700" cy="343535"/>
              <wp:effectExtent l="4445" t="4445" r="8255" b="17780"/>
              <wp:wrapNone/>
              <wp:docPr id="2" name="带形: 前凸弯 38"/>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ln>
                      <a:effectLst/>
                    </wps:spPr>
                    <wps:txbx>
                      <w:txbxContent>
                        <w:p>
                          <w:pPr>
                            <w:jc w:val="center"/>
                            <w:rPr>
                              <w:b/>
                              <w:color w:val="4F81BD"/>
                            </w:rPr>
                          </w:pPr>
                          <w:r>
                            <w:rPr>
                              <w:b/>
                            </w:rPr>
                            <w:fldChar w:fldCharType="begin"/>
                          </w:r>
                          <w:r>
                            <w:rPr>
                              <w:b/>
                            </w:rPr>
                            <w:instrText xml:space="preserve"> PAGE    \* MERGEFORMAT </w:instrText>
                          </w:r>
                          <w:r>
                            <w:rPr>
                              <w:b/>
                            </w:rPr>
                            <w:fldChar w:fldCharType="separate"/>
                          </w:r>
                          <w:r>
                            <w:rPr>
                              <w:b/>
                              <w:color w:val="4F81BD"/>
                              <w:lang w:val="zh-CN"/>
                            </w:rPr>
                            <w:t>2</w:t>
                          </w:r>
                          <w:r>
                            <w:rPr>
                              <w:b/>
                            </w:rPr>
                            <w:fldChar w:fldCharType="end"/>
                          </w:r>
                        </w:p>
                      </w:txbxContent>
                    </wps:txbx>
                    <wps:bodyPr rot="0" vert="horz" wrap="square" lIns="91440" tIns="45720" rIns="91440" bIns="45720" anchor="t" anchorCtr="0" upright="1">
                      <a:noAutofit/>
                    </wps:bodyPr>
                  </wps:wsp>
                </a:graphicData>
              </a:graphic>
            </wp:anchor>
          </w:drawing>
        </mc:Choice>
        <mc:Fallback>
          <w:pict>
            <v:shape id="带形: 前凸弯 38" o:spid="_x0000_s1026" o:spt="107" type="#_x0000_t107" style="position:absolute;left:0pt;margin-left:263.1pt;margin-top:788.2pt;height:27.05pt;width:101pt;mso-position-horizontal-relative:page;mso-position-vertical-relative:page;z-index:251659264;mso-width-relative:page;mso-height-relative:page;" filled="f" stroked="t" coordsize="21600,21600" o:gfxdata="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x6nS2gAAAA0BAAAPAAAAAAAAAAEAIAAAACIAAABkcnMvZG93bnJldi54bWxQ&#10;SwECFAAUAAAACACHTuJAm/UhumcCAACdBAAADgAAAAAAAAABACAAAAApAQAAZHJzL2Uyb0RvYy54&#10;bWxQSwUGAAAAAAYABgBZAQAAAgYAAAAA&#10;" adj="5400,5400,18900">
              <v:fill on="f" focussize="0,0"/>
              <v:stroke color="#71A0DC" joinstyle="round"/>
              <v:imagedata o:title=""/>
              <o:lock v:ext="edit" aspectratio="f"/>
              <v:textbox>
                <w:txbxContent>
                  <w:p>
                    <w:pPr>
                      <w:jc w:val="center"/>
                      <w:rPr>
                        <w:b/>
                        <w:color w:val="4F81BD"/>
                      </w:rPr>
                    </w:pPr>
                    <w:r>
                      <w:rPr>
                        <w:b/>
                      </w:rPr>
                      <w:fldChar w:fldCharType="begin"/>
                    </w:r>
                    <w:r>
                      <w:rPr>
                        <w:b/>
                      </w:rPr>
                      <w:instrText xml:space="preserve"> PAGE    \* MERGEFORMAT </w:instrText>
                    </w:r>
                    <w:r>
                      <w:rPr>
                        <w:b/>
                      </w:rPr>
                      <w:fldChar w:fldCharType="separate"/>
                    </w:r>
                    <w:r>
                      <w:rPr>
                        <w:b/>
                        <w:color w:val="4F81BD"/>
                        <w:lang w:val="zh-CN"/>
                      </w:rPr>
                      <w:t>2</w:t>
                    </w:r>
                    <w:r>
                      <w:rPr>
                        <w:b/>
                      </w:rPr>
                      <w:fldChar w:fldCharType="end"/>
                    </w:r>
                  </w:p>
                </w:txbxContent>
              </v:textbox>
            </v:shape>
          </w:pict>
        </mc:Fallback>
      </mc:AlternateContent>
    </w:r>
    <w:r>
      <w:rPr>
        <w:rFonts w:hint="eastAsia" w:ascii="楷体_GB2312" w:hAnsi="宋体" w:eastAsia="楷体_GB2312"/>
        <w:b/>
        <w:color w:val="000000"/>
      </w:rPr>
      <w:t>山东坤元资产评估房地产土地估价有限公司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41"/>
      </w:rPr>
    </w:pPr>
    <w:r>
      <w:rPr>
        <w:rStyle w:val="41"/>
      </w:rPr>
      <w:fldChar w:fldCharType="begin"/>
    </w:r>
    <w:r>
      <w:rPr>
        <w:rStyle w:val="41"/>
      </w:rPr>
      <w:instrText xml:space="preserve">PAGE  </w:instrText>
    </w:r>
    <w:r>
      <w:rPr>
        <w:rStyle w:val="41"/>
      </w:rP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double" w:color="auto" w:sz="4" w:space="1"/>
      </w:pBdr>
      <w:jc w:val="right"/>
      <w:rPr>
        <w:rFonts w:ascii="宋体" w:hAnsi="宋体"/>
        <w:i/>
      </w:rPr>
    </w:pPr>
    <w:r>
      <w:rPr>
        <w:rFonts w:hint="eastAsia" w:ascii="宋体" w:hAnsi="宋体"/>
        <w:i/>
      </w:rPr>
      <w:t>山东水云间置业发展有限公司拟破产清算涉及的相关资产</w:t>
    </w:r>
    <w:r>
      <w:rPr>
        <w:rFonts w:ascii="宋体" w:hAnsi="宋体"/>
        <w:i/>
      </w:rPr>
      <w:t>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53321"/>
    <w:multiLevelType w:val="singleLevel"/>
    <w:tmpl w:val="8FA53321"/>
    <w:lvl w:ilvl="0" w:tentative="0">
      <w:start w:val="4"/>
      <w:numFmt w:val="decimal"/>
      <w:lvlText w:val="%1)"/>
      <w:lvlJc w:val="left"/>
      <w:pPr>
        <w:tabs>
          <w:tab w:val="left" w:pos="312"/>
        </w:tabs>
      </w:pPr>
    </w:lvl>
  </w:abstractNum>
  <w:abstractNum w:abstractNumId="1">
    <w:nsid w:val="E380C7B6"/>
    <w:multiLevelType w:val="singleLevel"/>
    <w:tmpl w:val="E380C7B6"/>
    <w:lvl w:ilvl="0" w:tentative="0">
      <w:start w:val="1"/>
      <w:numFmt w:val="decimal"/>
      <w:suff w:val="nothing"/>
      <w:lvlText w:val="%1、"/>
      <w:lvlJc w:val="left"/>
    </w:lvl>
  </w:abstractNum>
  <w:abstractNum w:abstractNumId="2">
    <w:nsid w:val="F1F4B317"/>
    <w:multiLevelType w:val="singleLevel"/>
    <w:tmpl w:val="F1F4B317"/>
    <w:lvl w:ilvl="0" w:tentative="0">
      <w:start w:val="1"/>
      <w:numFmt w:val="decimal"/>
      <w:suff w:val="nothing"/>
      <w:lvlText w:val="%1、"/>
      <w:lvlJc w:val="left"/>
    </w:lvl>
  </w:abstractNum>
  <w:abstractNum w:abstractNumId="3">
    <w:nsid w:val="1D435C3A"/>
    <w:multiLevelType w:val="multilevel"/>
    <w:tmpl w:val="1D435C3A"/>
    <w:lvl w:ilvl="0" w:tentative="0">
      <w:start w:val="1"/>
      <w:numFmt w:val="japaneseCounting"/>
      <w:lvlText w:val="%1、"/>
      <w:lvlJc w:val="left"/>
      <w:pPr>
        <w:tabs>
          <w:tab w:val="left" w:pos="1047"/>
        </w:tabs>
        <w:ind w:left="1047" w:hanging="480"/>
      </w:pPr>
      <w:rPr>
        <w:rFonts w:hint="eastAsia"/>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4">
    <w:nsid w:val="2D6D33B6"/>
    <w:multiLevelType w:val="singleLevel"/>
    <w:tmpl w:val="2D6D33B6"/>
    <w:lvl w:ilvl="0" w:tentative="0">
      <w:start w:val="2"/>
      <w:numFmt w:val="chineseCounting"/>
      <w:suff w:val="nothing"/>
      <w:lvlText w:val="（%1）"/>
      <w:lvlJc w:val="left"/>
      <w:rPr>
        <w:rFonts w:hint="eastAsia"/>
      </w:rPr>
    </w:lvl>
  </w:abstractNum>
  <w:abstractNum w:abstractNumId="5">
    <w:nsid w:val="40A7773C"/>
    <w:multiLevelType w:val="multilevel"/>
    <w:tmpl w:val="40A7773C"/>
    <w:lvl w:ilvl="0" w:tentative="0">
      <w:start w:val="3"/>
      <w:numFmt w:val="japaneseCounting"/>
      <w:lvlText w:val="（%1）"/>
      <w:lvlJc w:val="left"/>
      <w:pPr>
        <w:ind w:left="1249" w:hanging="765"/>
      </w:pPr>
      <w:rPr>
        <w:rFonts w:hint="default"/>
        <w:lang w:val="en-US"/>
      </w:rPr>
    </w:lvl>
    <w:lvl w:ilvl="1" w:tentative="0">
      <w:start w:val="1"/>
      <w:numFmt w:val="lowerLetter"/>
      <w:lvlText w:val="%2)"/>
      <w:lvlJc w:val="left"/>
      <w:pPr>
        <w:ind w:left="1324" w:hanging="420"/>
      </w:pPr>
    </w:lvl>
    <w:lvl w:ilvl="2" w:tentative="0">
      <w:start w:val="1"/>
      <w:numFmt w:val="lowerRoman"/>
      <w:lvlText w:val="%3."/>
      <w:lvlJc w:val="right"/>
      <w:pPr>
        <w:ind w:left="1744" w:hanging="420"/>
      </w:pPr>
    </w:lvl>
    <w:lvl w:ilvl="3" w:tentative="0">
      <w:start w:val="1"/>
      <w:numFmt w:val="decimal"/>
      <w:lvlText w:val="%4."/>
      <w:lvlJc w:val="left"/>
      <w:pPr>
        <w:ind w:left="2164" w:hanging="420"/>
      </w:pPr>
    </w:lvl>
    <w:lvl w:ilvl="4" w:tentative="0">
      <w:start w:val="1"/>
      <w:numFmt w:val="lowerLetter"/>
      <w:lvlText w:val="%5)"/>
      <w:lvlJc w:val="left"/>
      <w:pPr>
        <w:ind w:left="2584" w:hanging="420"/>
      </w:pPr>
    </w:lvl>
    <w:lvl w:ilvl="5" w:tentative="0">
      <w:start w:val="1"/>
      <w:numFmt w:val="lowerRoman"/>
      <w:lvlText w:val="%6."/>
      <w:lvlJc w:val="right"/>
      <w:pPr>
        <w:ind w:left="3004" w:hanging="420"/>
      </w:pPr>
    </w:lvl>
    <w:lvl w:ilvl="6" w:tentative="0">
      <w:start w:val="1"/>
      <w:numFmt w:val="decimal"/>
      <w:lvlText w:val="%7."/>
      <w:lvlJc w:val="left"/>
      <w:pPr>
        <w:ind w:left="3424" w:hanging="420"/>
      </w:pPr>
    </w:lvl>
    <w:lvl w:ilvl="7" w:tentative="0">
      <w:start w:val="1"/>
      <w:numFmt w:val="lowerLetter"/>
      <w:lvlText w:val="%8)"/>
      <w:lvlJc w:val="left"/>
      <w:pPr>
        <w:ind w:left="3844" w:hanging="420"/>
      </w:pPr>
    </w:lvl>
    <w:lvl w:ilvl="8" w:tentative="0">
      <w:start w:val="1"/>
      <w:numFmt w:val="lowerRoman"/>
      <w:lvlText w:val="%9."/>
      <w:lvlJc w:val="right"/>
      <w:pPr>
        <w:ind w:left="4264" w:hanging="420"/>
      </w:pPr>
    </w:lvl>
  </w:abstractNum>
  <w:abstractNum w:abstractNumId="6">
    <w:nsid w:val="62F17B30"/>
    <w:multiLevelType w:val="singleLevel"/>
    <w:tmpl w:val="62F17B30"/>
    <w:lvl w:ilvl="0" w:tentative="0">
      <w:start w:val="2"/>
      <w:numFmt w:val="chineseCounting"/>
      <w:suff w:val="space"/>
      <w:lvlText w:val="(%1)"/>
      <w:lvlJc w:val="left"/>
      <w:rPr>
        <w:rFonts w:hint="eastAsia"/>
      </w:rPr>
    </w:lvl>
  </w:abstractNum>
  <w:abstractNum w:abstractNumId="7">
    <w:nsid w:val="6C281C42"/>
    <w:multiLevelType w:val="multilevel"/>
    <w:tmpl w:val="6C281C42"/>
    <w:lvl w:ilvl="0" w:tentative="0">
      <w:start w:val="1"/>
      <w:numFmt w:val="upperLetter"/>
      <w:pStyle w:val="3"/>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3"/>
  </w:num>
  <w:num w:numId="3">
    <w:abstractNumId w:val="4"/>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BA"/>
    <w:rsid w:val="000116C8"/>
    <w:rsid w:val="00013391"/>
    <w:rsid w:val="0002202B"/>
    <w:rsid w:val="00026AB3"/>
    <w:rsid w:val="00027B0C"/>
    <w:rsid w:val="00033C34"/>
    <w:rsid w:val="00040B42"/>
    <w:rsid w:val="000429AF"/>
    <w:rsid w:val="000470AE"/>
    <w:rsid w:val="00047901"/>
    <w:rsid w:val="00050445"/>
    <w:rsid w:val="00057E4E"/>
    <w:rsid w:val="000604B1"/>
    <w:rsid w:val="00060712"/>
    <w:rsid w:val="000641EE"/>
    <w:rsid w:val="00067DDC"/>
    <w:rsid w:val="00070BAA"/>
    <w:rsid w:val="00072658"/>
    <w:rsid w:val="00073255"/>
    <w:rsid w:val="00085A08"/>
    <w:rsid w:val="00087810"/>
    <w:rsid w:val="000A03D6"/>
    <w:rsid w:val="000A41D1"/>
    <w:rsid w:val="000A61C3"/>
    <w:rsid w:val="000A7B8C"/>
    <w:rsid w:val="000B3A19"/>
    <w:rsid w:val="000B6501"/>
    <w:rsid w:val="000C063D"/>
    <w:rsid w:val="000C1F5B"/>
    <w:rsid w:val="000C2732"/>
    <w:rsid w:val="000D11E9"/>
    <w:rsid w:val="000D673C"/>
    <w:rsid w:val="000D6D09"/>
    <w:rsid w:val="000E055E"/>
    <w:rsid w:val="000E67D9"/>
    <w:rsid w:val="000E6850"/>
    <w:rsid w:val="000F31A8"/>
    <w:rsid w:val="000F3FE7"/>
    <w:rsid w:val="000F600B"/>
    <w:rsid w:val="000F73CC"/>
    <w:rsid w:val="00104BB5"/>
    <w:rsid w:val="001061EF"/>
    <w:rsid w:val="00107020"/>
    <w:rsid w:val="001118AC"/>
    <w:rsid w:val="0011319B"/>
    <w:rsid w:val="00117AAA"/>
    <w:rsid w:val="00117FD0"/>
    <w:rsid w:val="0012184A"/>
    <w:rsid w:val="00126A29"/>
    <w:rsid w:val="001308B1"/>
    <w:rsid w:val="001312CB"/>
    <w:rsid w:val="001332AD"/>
    <w:rsid w:val="00134D35"/>
    <w:rsid w:val="001351EB"/>
    <w:rsid w:val="001365F2"/>
    <w:rsid w:val="001428F7"/>
    <w:rsid w:val="001549E6"/>
    <w:rsid w:val="00163813"/>
    <w:rsid w:val="00164F8B"/>
    <w:rsid w:val="0016553E"/>
    <w:rsid w:val="00166565"/>
    <w:rsid w:val="00180814"/>
    <w:rsid w:val="001823C5"/>
    <w:rsid w:val="00182981"/>
    <w:rsid w:val="00184A9E"/>
    <w:rsid w:val="001918DE"/>
    <w:rsid w:val="0019354D"/>
    <w:rsid w:val="001A6547"/>
    <w:rsid w:val="001B1887"/>
    <w:rsid w:val="001B6F8A"/>
    <w:rsid w:val="001C36F3"/>
    <w:rsid w:val="001C3F76"/>
    <w:rsid w:val="001C6422"/>
    <w:rsid w:val="001C6458"/>
    <w:rsid w:val="001D2595"/>
    <w:rsid w:val="001D2F9B"/>
    <w:rsid w:val="001D31D9"/>
    <w:rsid w:val="001D349E"/>
    <w:rsid w:val="001E2AD1"/>
    <w:rsid w:val="001E32A5"/>
    <w:rsid w:val="001E33D3"/>
    <w:rsid w:val="001E5B63"/>
    <w:rsid w:val="001F7917"/>
    <w:rsid w:val="00203341"/>
    <w:rsid w:val="00206ABD"/>
    <w:rsid w:val="00211FA8"/>
    <w:rsid w:val="002149C6"/>
    <w:rsid w:val="0022019A"/>
    <w:rsid w:val="00224970"/>
    <w:rsid w:val="002320CC"/>
    <w:rsid w:val="00232D42"/>
    <w:rsid w:val="00241F1C"/>
    <w:rsid w:val="00246CA1"/>
    <w:rsid w:val="00250063"/>
    <w:rsid w:val="00264EEB"/>
    <w:rsid w:val="00265691"/>
    <w:rsid w:val="0026669D"/>
    <w:rsid w:val="002718DB"/>
    <w:rsid w:val="002723B5"/>
    <w:rsid w:val="002761C3"/>
    <w:rsid w:val="00282CDA"/>
    <w:rsid w:val="002845BD"/>
    <w:rsid w:val="00285F73"/>
    <w:rsid w:val="002871F9"/>
    <w:rsid w:val="0029481A"/>
    <w:rsid w:val="00295699"/>
    <w:rsid w:val="002A174D"/>
    <w:rsid w:val="002A4556"/>
    <w:rsid w:val="002A4A39"/>
    <w:rsid w:val="002A7C84"/>
    <w:rsid w:val="002B0447"/>
    <w:rsid w:val="002B604A"/>
    <w:rsid w:val="002C1FD6"/>
    <w:rsid w:val="002C2A37"/>
    <w:rsid w:val="002C63E1"/>
    <w:rsid w:val="002D386A"/>
    <w:rsid w:val="002D4476"/>
    <w:rsid w:val="002E1657"/>
    <w:rsid w:val="002E1CB0"/>
    <w:rsid w:val="002E4432"/>
    <w:rsid w:val="002E65C4"/>
    <w:rsid w:val="002E79B9"/>
    <w:rsid w:val="002E7FFB"/>
    <w:rsid w:val="002F0A9C"/>
    <w:rsid w:val="0030217A"/>
    <w:rsid w:val="00303731"/>
    <w:rsid w:val="003056E7"/>
    <w:rsid w:val="00306307"/>
    <w:rsid w:val="00310847"/>
    <w:rsid w:val="00311F35"/>
    <w:rsid w:val="00315B37"/>
    <w:rsid w:val="0031606E"/>
    <w:rsid w:val="00327759"/>
    <w:rsid w:val="00330E70"/>
    <w:rsid w:val="00334EB5"/>
    <w:rsid w:val="00335369"/>
    <w:rsid w:val="00353378"/>
    <w:rsid w:val="00362A2C"/>
    <w:rsid w:val="00372605"/>
    <w:rsid w:val="00374F10"/>
    <w:rsid w:val="00377BC0"/>
    <w:rsid w:val="003801AB"/>
    <w:rsid w:val="0038168A"/>
    <w:rsid w:val="00385901"/>
    <w:rsid w:val="00385F8A"/>
    <w:rsid w:val="0039160A"/>
    <w:rsid w:val="00391D0B"/>
    <w:rsid w:val="00392B3A"/>
    <w:rsid w:val="003A0671"/>
    <w:rsid w:val="003B0349"/>
    <w:rsid w:val="003B036D"/>
    <w:rsid w:val="003B0955"/>
    <w:rsid w:val="003B1B29"/>
    <w:rsid w:val="003B595B"/>
    <w:rsid w:val="003B77CE"/>
    <w:rsid w:val="003C130E"/>
    <w:rsid w:val="003C14CA"/>
    <w:rsid w:val="003C4252"/>
    <w:rsid w:val="003C7248"/>
    <w:rsid w:val="003C788C"/>
    <w:rsid w:val="003D12BE"/>
    <w:rsid w:val="003D1780"/>
    <w:rsid w:val="003D1B9B"/>
    <w:rsid w:val="003D1C19"/>
    <w:rsid w:val="003D3BAE"/>
    <w:rsid w:val="003E0A03"/>
    <w:rsid w:val="003E20A2"/>
    <w:rsid w:val="003E2ACB"/>
    <w:rsid w:val="003E3D3F"/>
    <w:rsid w:val="003F5C15"/>
    <w:rsid w:val="003F5C86"/>
    <w:rsid w:val="00401EAC"/>
    <w:rsid w:val="0040258A"/>
    <w:rsid w:val="004032A2"/>
    <w:rsid w:val="0040727B"/>
    <w:rsid w:val="0041761A"/>
    <w:rsid w:val="004214A2"/>
    <w:rsid w:val="00422098"/>
    <w:rsid w:val="0042309D"/>
    <w:rsid w:val="00431A50"/>
    <w:rsid w:val="004445A2"/>
    <w:rsid w:val="0044547A"/>
    <w:rsid w:val="00451BF4"/>
    <w:rsid w:val="00457E58"/>
    <w:rsid w:val="00460536"/>
    <w:rsid w:val="0046334B"/>
    <w:rsid w:val="0046427F"/>
    <w:rsid w:val="0046517C"/>
    <w:rsid w:val="004701EA"/>
    <w:rsid w:val="00474741"/>
    <w:rsid w:val="00477071"/>
    <w:rsid w:val="00477E7C"/>
    <w:rsid w:val="00480F70"/>
    <w:rsid w:val="00484D15"/>
    <w:rsid w:val="004859F8"/>
    <w:rsid w:val="00487037"/>
    <w:rsid w:val="0049056A"/>
    <w:rsid w:val="00491D58"/>
    <w:rsid w:val="00493AF3"/>
    <w:rsid w:val="004A152D"/>
    <w:rsid w:val="004A4C8E"/>
    <w:rsid w:val="004A4CA7"/>
    <w:rsid w:val="004A6FE2"/>
    <w:rsid w:val="004A7C8C"/>
    <w:rsid w:val="004C0F98"/>
    <w:rsid w:val="004C5E4E"/>
    <w:rsid w:val="004C5F8E"/>
    <w:rsid w:val="004D1BF1"/>
    <w:rsid w:val="004D1FFC"/>
    <w:rsid w:val="004D7BE7"/>
    <w:rsid w:val="004E3629"/>
    <w:rsid w:val="004E3F31"/>
    <w:rsid w:val="004E5E79"/>
    <w:rsid w:val="004F1B2E"/>
    <w:rsid w:val="004F7B83"/>
    <w:rsid w:val="005035DB"/>
    <w:rsid w:val="005065F6"/>
    <w:rsid w:val="00506CCD"/>
    <w:rsid w:val="00507D18"/>
    <w:rsid w:val="005146E6"/>
    <w:rsid w:val="00521B3A"/>
    <w:rsid w:val="005221AE"/>
    <w:rsid w:val="005254CC"/>
    <w:rsid w:val="00534F48"/>
    <w:rsid w:val="00542287"/>
    <w:rsid w:val="0054260E"/>
    <w:rsid w:val="00551392"/>
    <w:rsid w:val="005529E2"/>
    <w:rsid w:val="0055323A"/>
    <w:rsid w:val="0056138C"/>
    <w:rsid w:val="00562FA9"/>
    <w:rsid w:val="00564C77"/>
    <w:rsid w:val="005711E4"/>
    <w:rsid w:val="00572F3E"/>
    <w:rsid w:val="00575772"/>
    <w:rsid w:val="00575E3E"/>
    <w:rsid w:val="0058188B"/>
    <w:rsid w:val="00585614"/>
    <w:rsid w:val="00591F36"/>
    <w:rsid w:val="00593133"/>
    <w:rsid w:val="00593247"/>
    <w:rsid w:val="005952D8"/>
    <w:rsid w:val="005A2441"/>
    <w:rsid w:val="005C06F0"/>
    <w:rsid w:val="005D1F6E"/>
    <w:rsid w:val="005E671A"/>
    <w:rsid w:val="005E7F01"/>
    <w:rsid w:val="005E7F56"/>
    <w:rsid w:val="005F1A57"/>
    <w:rsid w:val="005F6B25"/>
    <w:rsid w:val="00610152"/>
    <w:rsid w:val="006135FB"/>
    <w:rsid w:val="006249FC"/>
    <w:rsid w:val="00626789"/>
    <w:rsid w:val="00626A78"/>
    <w:rsid w:val="00626ABE"/>
    <w:rsid w:val="00630B72"/>
    <w:rsid w:val="00632DEA"/>
    <w:rsid w:val="00634848"/>
    <w:rsid w:val="0063519A"/>
    <w:rsid w:val="00641F63"/>
    <w:rsid w:val="0065069E"/>
    <w:rsid w:val="006559F6"/>
    <w:rsid w:val="006616FB"/>
    <w:rsid w:val="00670875"/>
    <w:rsid w:val="00671541"/>
    <w:rsid w:val="00675B3A"/>
    <w:rsid w:val="006828BA"/>
    <w:rsid w:val="00683052"/>
    <w:rsid w:val="00683452"/>
    <w:rsid w:val="006834FC"/>
    <w:rsid w:val="006851F8"/>
    <w:rsid w:val="0069077E"/>
    <w:rsid w:val="006910A2"/>
    <w:rsid w:val="00691C28"/>
    <w:rsid w:val="006928EE"/>
    <w:rsid w:val="006937A6"/>
    <w:rsid w:val="00693F1F"/>
    <w:rsid w:val="00694DC6"/>
    <w:rsid w:val="006976EB"/>
    <w:rsid w:val="00697FAE"/>
    <w:rsid w:val="006A0312"/>
    <w:rsid w:val="006A1C6F"/>
    <w:rsid w:val="006A6965"/>
    <w:rsid w:val="006B52AF"/>
    <w:rsid w:val="006B5E7D"/>
    <w:rsid w:val="006B6AB2"/>
    <w:rsid w:val="006C1CA7"/>
    <w:rsid w:val="006C254B"/>
    <w:rsid w:val="006D3CC8"/>
    <w:rsid w:val="006D7292"/>
    <w:rsid w:val="006E21E3"/>
    <w:rsid w:val="006E3B53"/>
    <w:rsid w:val="006E5212"/>
    <w:rsid w:val="006E6B9A"/>
    <w:rsid w:val="00700FBE"/>
    <w:rsid w:val="00703568"/>
    <w:rsid w:val="00707415"/>
    <w:rsid w:val="0070771B"/>
    <w:rsid w:val="00713515"/>
    <w:rsid w:val="0071754F"/>
    <w:rsid w:val="00720519"/>
    <w:rsid w:val="00725015"/>
    <w:rsid w:val="007252AE"/>
    <w:rsid w:val="007301F5"/>
    <w:rsid w:val="007318F3"/>
    <w:rsid w:val="00733630"/>
    <w:rsid w:val="00736462"/>
    <w:rsid w:val="00737875"/>
    <w:rsid w:val="00743EDA"/>
    <w:rsid w:val="00746FAD"/>
    <w:rsid w:val="00747687"/>
    <w:rsid w:val="007521A6"/>
    <w:rsid w:val="00757772"/>
    <w:rsid w:val="00757E63"/>
    <w:rsid w:val="00762E3C"/>
    <w:rsid w:val="00763079"/>
    <w:rsid w:val="00764D27"/>
    <w:rsid w:val="007653D8"/>
    <w:rsid w:val="0076599B"/>
    <w:rsid w:val="00771E2C"/>
    <w:rsid w:val="00774AD1"/>
    <w:rsid w:val="00783B7C"/>
    <w:rsid w:val="00784661"/>
    <w:rsid w:val="007971AA"/>
    <w:rsid w:val="007A036D"/>
    <w:rsid w:val="007A11AF"/>
    <w:rsid w:val="007A12DE"/>
    <w:rsid w:val="007A4F4F"/>
    <w:rsid w:val="007A77FB"/>
    <w:rsid w:val="007B163B"/>
    <w:rsid w:val="007B3697"/>
    <w:rsid w:val="007C20F4"/>
    <w:rsid w:val="007D0E82"/>
    <w:rsid w:val="007D2511"/>
    <w:rsid w:val="007D4B23"/>
    <w:rsid w:val="007D5EA7"/>
    <w:rsid w:val="007D78E2"/>
    <w:rsid w:val="007E1FAB"/>
    <w:rsid w:val="007E4840"/>
    <w:rsid w:val="007F06C4"/>
    <w:rsid w:val="007F180D"/>
    <w:rsid w:val="007F1AEE"/>
    <w:rsid w:val="007F308B"/>
    <w:rsid w:val="007F5DBA"/>
    <w:rsid w:val="007F76F5"/>
    <w:rsid w:val="00800A79"/>
    <w:rsid w:val="00814543"/>
    <w:rsid w:val="00814AEC"/>
    <w:rsid w:val="00822E01"/>
    <w:rsid w:val="0082434C"/>
    <w:rsid w:val="00825EAD"/>
    <w:rsid w:val="00827705"/>
    <w:rsid w:val="008325FF"/>
    <w:rsid w:val="008351C6"/>
    <w:rsid w:val="00844A88"/>
    <w:rsid w:val="00851C73"/>
    <w:rsid w:val="00860434"/>
    <w:rsid w:val="008609C8"/>
    <w:rsid w:val="00864A0A"/>
    <w:rsid w:val="00891C85"/>
    <w:rsid w:val="00893DED"/>
    <w:rsid w:val="00894539"/>
    <w:rsid w:val="008949F4"/>
    <w:rsid w:val="008A17C4"/>
    <w:rsid w:val="008A3B07"/>
    <w:rsid w:val="008B5C53"/>
    <w:rsid w:val="008B5F2D"/>
    <w:rsid w:val="008C3CD7"/>
    <w:rsid w:val="008C4C04"/>
    <w:rsid w:val="008C6EC7"/>
    <w:rsid w:val="008D05E5"/>
    <w:rsid w:val="008D0A6A"/>
    <w:rsid w:val="008D5D88"/>
    <w:rsid w:val="008E4C6E"/>
    <w:rsid w:val="008E4D4A"/>
    <w:rsid w:val="008E5DCB"/>
    <w:rsid w:val="008F219A"/>
    <w:rsid w:val="008F3C8B"/>
    <w:rsid w:val="00901E7D"/>
    <w:rsid w:val="00906372"/>
    <w:rsid w:val="00906844"/>
    <w:rsid w:val="0091010F"/>
    <w:rsid w:val="00911792"/>
    <w:rsid w:val="009124B9"/>
    <w:rsid w:val="00917E1D"/>
    <w:rsid w:val="009261D4"/>
    <w:rsid w:val="009319D1"/>
    <w:rsid w:val="00933F08"/>
    <w:rsid w:val="00936BED"/>
    <w:rsid w:val="0094324C"/>
    <w:rsid w:val="00952BF4"/>
    <w:rsid w:val="009554FD"/>
    <w:rsid w:val="0095551D"/>
    <w:rsid w:val="009572FE"/>
    <w:rsid w:val="00965D33"/>
    <w:rsid w:val="0097144C"/>
    <w:rsid w:val="00982752"/>
    <w:rsid w:val="009868A5"/>
    <w:rsid w:val="00992A71"/>
    <w:rsid w:val="00995482"/>
    <w:rsid w:val="009A56C6"/>
    <w:rsid w:val="009D1E33"/>
    <w:rsid w:val="009E0E13"/>
    <w:rsid w:val="009E4221"/>
    <w:rsid w:val="009F53C4"/>
    <w:rsid w:val="009F6B9A"/>
    <w:rsid w:val="00A00088"/>
    <w:rsid w:val="00A0060A"/>
    <w:rsid w:val="00A01107"/>
    <w:rsid w:val="00A078FA"/>
    <w:rsid w:val="00A15EA1"/>
    <w:rsid w:val="00A1753D"/>
    <w:rsid w:val="00A22FE7"/>
    <w:rsid w:val="00A259A0"/>
    <w:rsid w:val="00A30CF7"/>
    <w:rsid w:val="00A32AEE"/>
    <w:rsid w:val="00A33D44"/>
    <w:rsid w:val="00A36509"/>
    <w:rsid w:val="00A36704"/>
    <w:rsid w:val="00A437AE"/>
    <w:rsid w:val="00A47FF5"/>
    <w:rsid w:val="00A5419C"/>
    <w:rsid w:val="00A62D8F"/>
    <w:rsid w:val="00A676F8"/>
    <w:rsid w:val="00A729E9"/>
    <w:rsid w:val="00A732AF"/>
    <w:rsid w:val="00A76039"/>
    <w:rsid w:val="00A76ABF"/>
    <w:rsid w:val="00A773CA"/>
    <w:rsid w:val="00A81AF8"/>
    <w:rsid w:val="00A835FA"/>
    <w:rsid w:val="00A83DC6"/>
    <w:rsid w:val="00A97009"/>
    <w:rsid w:val="00AA1EC0"/>
    <w:rsid w:val="00AA4795"/>
    <w:rsid w:val="00AA6333"/>
    <w:rsid w:val="00AA78B2"/>
    <w:rsid w:val="00AA7B00"/>
    <w:rsid w:val="00AC47E2"/>
    <w:rsid w:val="00AD0619"/>
    <w:rsid w:val="00AD41FA"/>
    <w:rsid w:val="00AD60BC"/>
    <w:rsid w:val="00AD685E"/>
    <w:rsid w:val="00AD6E5A"/>
    <w:rsid w:val="00AE6656"/>
    <w:rsid w:val="00AF47FA"/>
    <w:rsid w:val="00B03564"/>
    <w:rsid w:val="00B05931"/>
    <w:rsid w:val="00B10071"/>
    <w:rsid w:val="00B11A0A"/>
    <w:rsid w:val="00B21BF5"/>
    <w:rsid w:val="00B224BE"/>
    <w:rsid w:val="00B22EFD"/>
    <w:rsid w:val="00B2305C"/>
    <w:rsid w:val="00B237BD"/>
    <w:rsid w:val="00B26972"/>
    <w:rsid w:val="00B26E60"/>
    <w:rsid w:val="00B30804"/>
    <w:rsid w:val="00B37353"/>
    <w:rsid w:val="00B42204"/>
    <w:rsid w:val="00B46126"/>
    <w:rsid w:val="00B511F3"/>
    <w:rsid w:val="00B548F0"/>
    <w:rsid w:val="00B55ADC"/>
    <w:rsid w:val="00B55D1E"/>
    <w:rsid w:val="00B6682D"/>
    <w:rsid w:val="00B728DC"/>
    <w:rsid w:val="00B72B4B"/>
    <w:rsid w:val="00B73276"/>
    <w:rsid w:val="00B73F64"/>
    <w:rsid w:val="00B80648"/>
    <w:rsid w:val="00B90F1B"/>
    <w:rsid w:val="00B952F7"/>
    <w:rsid w:val="00BA4578"/>
    <w:rsid w:val="00BB4C02"/>
    <w:rsid w:val="00BB5141"/>
    <w:rsid w:val="00BB5328"/>
    <w:rsid w:val="00BB5462"/>
    <w:rsid w:val="00BC1354"/>
    <w:rsid w:val="00BD79CE"/>
    <w:rsid w:val="00BF12BE"/>
    <w:rsid w:val="00C01637"/>
    <w:rsid w:val="00C03E21"/>
    <w:rsid w:val="00C03EE1"/>
    <w:rsid w:val="00C110D9"/>
    <w:rsid w:val="00C1227A"/>
    <w:rsid w:val="00C13BBC"/>
    <w:rsid w:val="00C14332"/>
    <w:rsid w:val="00C15243"/>
    <w:rsid w:val="00C17025"/>
    <w:rsid w:val="00C20952"/>
    <w:rsid w:val="00C22F9A"/>
    <w:rsid w:val="00C23436"/>
    <w:rsid w:val="00C24CEF"/>
    <w:rsid w:val="00C25182"/>
    <w:rsid w:val="00C2602E"/>
    <w:rsid w:val="00C274E4"/>
    <w:rsid w:val="00C27AC9"/>
    <w:rsid w:val="00C341C8"/>
    <w:rsid w:val="00C40788"/>
    <w:rsid w:val="00C40A44"/>
    <w:rsid w:val="00C4291E"/>
    <w:rsid w:val="00C50D77"/>
    <w:rsid w:val="00C53962"/>
    <w:rsid w:val="00C55F9F"/>
    <w:rsid w:val="00C64EFB"/>
    <w:rsid w:val="00C676E6"/>
    <w:rsid w:val="00C70910"/>
    <w:rsid w:val="00C70EEF"/>
    <w:rsid w:val="00C71C4D"/>
    <w:rsid w:val="00C74D92"/>
    <w:rsid w:val="00C75966"/>
    <w:rsid w:val="00C8395C"/>
    <w:rsid w:val="00C908E9"/>
    <w:rsid w:val="00C91447"/>
    <w:rsid w:val="00C934E3"/>
    <w:rsid w:val="00CA5755"/>
    <w:rsid w:val="00CB2C39"/>
    <w:rsid w:val="00CB48DF"/>
    <w:rsid w:val="00CC3D72"/>
    <w:rsid w:val="00CD65AD"/>
    <w:rsid w:val="00CE1612"/>
    <w:rsid w:val="00CE2402"/>
    <w:rsid w:val="00CE5A2E"/>
    <w:rsid w:val="00CF0617"/>
    <w:rsid w:val="00D0143D"/>
    <w:rsid w:val="00D0196D"/>
    <w:rsid w:val="00D0465E"/>
    <w:rsid w:val="00D12774"/>
    <w:rsid w:val="00D1670B"/>
    <w:rsid w:val="00D203C5"/>
    <w:rsid w:val="00D2391C"/>
    <w:rsid w:val="00D31A1C"/>
    <w:rsid w:val="00D31C82"/>
    <w:rsid w:val="00D34A99"/>
    <w:rsid w:val="00D416E8"/>
    <w:rsid w:val="00D41F96"/>
    <w:rsid w:val="00D467D3"/>
    <w:rsid w:val="00D52454"/>
    <w:rsid w:val="00D53AED"/>
    <w:rsid w:val="00D54EAE"/>
    <w:rsid w:val="00D57317"/>
    <w:rsid w:val="00D61746"/>
    <w:rsid w:val="00D640CA"/>
    <w:rsid w:val="00D729AF"/>
    <w:rsid w:val="00D759AC"/>
    <w:rsid w:val="00D83EF6"/>
    <w:rsid w:val="00D9266A"/>
    <w:rsid w:val="00DA06DD"/>
    <w:rsid w:val="00DA10B8"/>
    <w:rsid w:val="00DA1359"/>
    <w:rsid w:val="00DA1B7D"/>
    <w:rsid w:val="00DA3545"/>
    <w:rsid w:val="00DA5A3D"/>
    <w:rsid w:val="00DB636F"/>
    <w:rsid w:val="00DB7014"/>
    <w:rsid w:val="00DB7966"/>
    <w:rsid w:val="00DC6A19"/>
    <w:rsid w:val="00DC7505"/>
    <w:rsid w:val="00DD0053"/>
    <w:rsid w:val="00DD3972"/>
    <w:rsid w:val="00DD39CD"/>
    <w:rsid w:val="00DD4D98"/>
    <w:rsid w:val="00DD614B"/>
    <w:rsid w:val="00DE58BB"/>
    <w:rsid w:val="00DE60D0"/>
    <w:rsid w:val="00E01223"/>
    <w:rsid w:val="00E04DC7"/>
    <w:rsid w:val="00E057E2"/>
    <w:rsid w:val="00E07540"/>
    <w:rsid w:val="00E1040C"/>
    <w:rsid w:val="00E20AED"/>
    <w:rsid w:val="00E22F34"/>
    <w:rsid w:val="00E23904"/>
    <w:rsid w:val="00E268A4"/>
    <w:rsid w:val="00E32B77"/>
    <w:rsid w:val="00E35D54"/>
    <w:rsid w:val="00E35EA5"/>
    <w:rsid w:val="00E40012"/>
    <w:rsid w:val="00E41647"/>
    <w:rsid w:val="00E45412"/>
    <w:rsid w:val="00E454C3"/>
    <w:rsid w:val="00E55930"/>
    <w:rsid w:val="00E61253"/>
    <w:rsid w:val="00E61BDF"/>
    <w:rsid w:val="00E63ECB"/>
    <w:rsid w:val="00E65A56"/>
    <w:rsid w:val="00E65AC8"/>
    <w:rsid w:val="00E663C0"/>
    <w:rsid w:val="00E66595"/>
    <w:rsid w:val="00E67EC9"/>
    <w:rsid w:val="00E76B1A"/>
    <w:rsid w:val="00E85148"/>
    <w:rsid w:val="00E86561"/>
    <w:rsid w:val="00E94108"/>
    <w:rsid w:val="00E96B93"/>
    <w:rsid w:val="00EA039C"/>
    <w:rsid w:val="00EA0881"/>
    <w:rsid w:val="00EA1984"/>
    <w:rsid w:val="00EA1A89"/>
    <w:rsid w:val="00EA4CF8"/>
    <w:rsid w:val="00EB102A"/>
    <w:rsid w:val="00EB1EA0"/>
    <w:rsid w:val="00EB2E00"/>
    <w:rsid w:val="00EB5992"/>
    <w:rsid w:val="00EB777C"/>
    <w:rsid w:val="00EC0A04"/>
    <w:rsid w:val="00EC1500"/>
    <w:rsid w:val="00EC691F"/>
    <w:rsid w:val="00EC6FC4"/>
    <w:rsid w:val="00EC71BF"/>
    <w:rsid w:val="00ED22C8"/>
    <w:rsid w:val="00ED3D65"/>
    <w:rsid w:val="00EE2369"/>
    <w:rsid w:val="00EE2A31"/>
    <w:rsid w:val="00EE3AA8"/>
    <w:rsid w:val="00EE6C2D"/>
    <w:rsid w:val="00EF01F5"/>
    <w:rsid w:val="00EF7D22"/>
    <w:rsid w:val="00F02297"/>
    <w:rsid w:val="00F101E3"/>
    <w:rsid w:val="00F101E9"/>
    <w:rsid w:val="00F15BCE"/>
    <w:rsid w:val="00F17A7C"/>
    <w:rsid w:val="00F17D6C"/>
    <w:rsid w:val="00F21242"/>
    <w:rsid w:val="00F21E13"/>
    <w:rsid w:val="00F22EE9"/>
    <w:rsid w:val="00F23099"/>
    <w:rsid w:val="00F24F65"/>
    <w:rsid w:val="00F25AEA"/>
    <w:rsid w:val="00F269B9"/>
    <w:rsid w:val="00F33025"/>
    <w:rsid w:val="00F36423"/>
    <w:rsid w:val="00F417BA"/>
    <w:rsid w:val="00F5522B"/>
    <w:rsid w:val="00F57511"/>
    <w:rsid w:val="00F5773F"/>
    <w:rsid w:val="00F64796"/>
    <w:rsid w:val="00F718C0"/>
    <w:rsid w:val="00F735A1"/>
    <w:rsid w:val="00F73618"/>
    <w:rsid w:val="00F8285E"/>
    <w:rsid w:val="00F83B06"/>
    <w:rsid w:val="00F844FF"/>
    <w:rsid w:val="00F86C49"/>
    <w:rsid w:val="00FA12D8"/>
    <w:rsid w:val="00FA505C"/>
    <w:rsid w:val="00FA5F4A"/>
    <w:rsid w:val="00FB526E"/>
    <w:rsid w:val="00FB53AD"/>
    <w:rsid w:val="00FB612F"/>
    <w:rsid w:val="00FC23E0"/>
    <w:rsid w:val="00FC6CF8"/>
    <w:rsid w:val="00FD6BAE"/>
    <w:rsid w:val="00FE662C"/>
    <w:rsid w:val="00FF330F"/>
    <w:rsid w:val="00FF3868"/>
    <w:rsid w:val="00FF7FD5"/>
    <w:rsid w:val="01BB41F6"/>
    <w:rsid w:val="0410085C"/>
    <w:rsid w:val="062B27BE"/>
    <w:rsid w:val="06EB7723"/>
    <w:rsid w:val="081D2DCC"/>
    <w:rsid w:val="08C15E4C"/>
    <w:rsid w:val="08D66BF2"/>
    <w:rsid w:val="092C5D5F"/>
    <w:rsid w:val="0A0B0635"/>
    <w:rsid w:val="0B222DC0"/>
    <w:rsid w:val="13C775F3"/>
    <w:rsid w:val="14310C42"/>
    <w:rsid w:val="188F12C3"/>
    <w:rsid w:val="197B526E"/>
    <w:rsid w:val="1AA72C85"/>
    <w:rsid w:val="1BD1340C"/>
    <w:rsid w:val="1D33084D"/>
    <w:rsid w:val="24252DB5"/>
    <w:rsid w:val="27876BC2"/>
    <w:rsid w:val="29213143"/>
    <w:rsid w:val="2A382305"/>
    <w:rsid w:val="2AC24512"/>
    <w:rsid w:val="2AD93FD9"/>
    <w:rsid w:val="30F8771C"/>
    <w:rsid w:val="32125416"/>
    <w:rsid w:val="337271D5"/>
    <w:rsid w:val="34973BA8"/>
    <w:rsid w:val="39B05925"/>
    <w:rsid w:val="3A4A2AFF"/>
    <w:rsid w:val="3A69013E"/>
    <w:rsid w:val="3C980771"/>
    <w:rsid w:val="47FC18B9"/>
    <w:rsid w:val="4AA34737"/>
    <w:rsid w:val="4AA52064"/>
    <w:rsid w:val="4C565091"/>
    <w:rsid w:val="4F690711"/>
    <w:rsid w:val="51EA3F61"/>
    <w:rsid w:val="5462113B"/>
    <w:rsid w:val="5E987DC3"/>
    <w:rsid w:val="60AE00CE"/>
    <w:rsid w:val="60E14FFB"/>
    <w:rsid w:val="62FC1D73"/>
    <w:rsid w:val="64922803"/>
    <w:rsid w:val="6523266D"/>
    <w:rsid w:val="66923124"/>
    <w:rsid w:val="6A8F16AF"/>
    <w:rsid w:val="6BD30D5F"/>
    <w:rsid w:val="6BFB6DFD"/>
    <w:rsid w:val="6D901BD6"/>
    <w:rsid w:val="783116C5"/>
    <w:rsid w:val="78A45517"/>
    <w:rsid w:val="7C612406"/>
    <w:rsid w:val="7F8747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7"/>
    <w:qFormat/>
    <w:uiPriority w:val="0"/>
    <w:pPr>
      <w:keepNext/>
      <w:numPr>
        <w:ilvl w:val="0"/>
        <w:numId w:val="1"/>
      </w:numPr>
      <w:tabs>
        <w:tab w:val="left" w:pos="-105"/>
        <w:tab w:val="clear" w:pos="720"/>
      </w:tabs>
      <w:ind w:left="0" w:firstLine="0"/>
      <w:outlineLvl w:val="0"/>
    </w:pPr>
    <w:rPr>
      <w:rFonts w:ascii="仿宋_GB2312" w:hAnsi="Times New Roman" w:eastAsia="仿宋_GB2312" w:cs="Times New Roman"/>
      <w:sz w:val="28"/>
      <w:szCs w:val="20"/>
    </w:rPr>
  </w:style>
  <w:style w:type="paragraph" w:styleId="4">
    <w:name w:val="heading 2"/>
    <w:basedOn w:val="1"/>
    <w:next w:val="1"/>
    <w:link w:val="58"/>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59"/>
    <w:qFormat/>
    <w:uiPriority w:val="0"/>
    <w:pPr>
      <w:keepNext/>
      <w:keepLines/>
      <w:spacing w:before="240" w:line="360" w:lineRule="auto"/>
      <w:outlineLvl w:val="2"/>
    </w:pPr>
    <w:rPr>
      <w:rFonts w:ascii="Times New Roman" w:hAnsi="Times New Roman" w:eastAsia="宋体" w:cs="Times New Roman"/>
      <w:b/>
      <w:sz w:val="24"/>
      <w:szCs w:val="20"/>
    </w:rPr>
  </w:style>
  <w:style w:type="paragraph" w:styleId="7">
    <w:name w:val="heading 4"/>
    <w:basedOn w:val="1"/>
    <w:next w:val="1"/>
    <w:link w:val="60"/>
    <w:qFormat/>
    <w:uiPriority w:val="0"/>
    <w:pPr>
      <w:keepNext/>
      <w:keepLines/>
      <w:spacing w:before="280" w:after="290" w:line="376" w:lineRule="atLeast"/>
      <w:jc w:val="left"/>
      <w:outlineLvl w:val="3"/>
    </w:pPr>
    <w:rPr>
      <w:rFonts w:ascii="Arial" w:hAnsi="Arial" w:eastAsia="黑体" w:cs="Times New Roman"/>
      <w:b/>
      <w:sz w:val="28"/>
      <w:szCs w:val="20"/>
    </w:rPr>
  </w:style>
  <w:style w:type="paragraph" w:styleId="8">
    <w:name w:val="heading 5"/>
    <w:basedOn w:val="1"/>
    <w:next w:val="1"/>
    <w:link w:val="61"/>
    <w:qFormat/>
    <w:uiPriority w:val="0"/>
    <w:pPr>
      <w:keepNext/>
      <w:keepLines/>
      <w:spacing w:before="280" w:after="290" w:line="376" w:lineRule="atLeast"/>
      <w:jc w:val="left"/>
      <w:outlineLvl w:val="4"/>
    </w:pPr>
    <w:rPr>
      <w:rFonts w:ascii="Arial" w:hAnsi="Arial" w:eastAsia="宋体" w:cs="Times New Roman"/>
      <w:b/>
      <w:sz w:val="28"/>
      <w:szCs w:val="20"/>
    </w:rPr>
  </w:style>
  <w:style w:type="paragraph" w:styleId="9">
    <w:name w:val="heading 6"/>
    <w:basedOn w:val="1"/>
    <w:next w:val="1"/>
    <w:link w:val="62"/>
    <w:qFormat/>
    <w:uiPriority w:val="0"/>
    <w:pPr>
      <w:keepNext/>
      <w:keepLines/>
      <w:spacing w:before="240" w:after="64" w:line="320" w:lineRule="atLeast"/>
      <w:jc w:val="left"/>
      <w:outlineLvl w:val="5"/>
    </w:pPr>
    <w:rPr>
      <w:rFonts w:ascii="Arial" w:hAnsi="Arial" w:eastAsia="黑体" w:cs="Times New Roman"/>
      <w:b/>
      <w:sz w:val="24"/>
      <w:szCs w:val="20"/>
    </w:rPr>
  </w:style>
  <w:style w:type="paragraph" w:styleId="10">
    <w:name w:val="heading 7"/>
    <w:basedOn w:val="1"/>
    <w:next w:val="1"/>
    <w:link w:val="63"/>
    <w:qFormat/>
    <w:uiPriority w:val="0"/>
    <w:pPr>
      <w:keepNext/>
      <w:keepLines/>
      <w:spacing w:before="240" w:after="64" w:line="320" w:lineRule="atLeast"/>
      <w:jc w:val="left"/>
      <w:outlineLvl w:val="6"/>
    </w:pPr>
    <w:rPr>
      <w:rFonts w:ascii="Arial" w:hAnsi="Arial" w:eastAsia="宋体" w:cs="Times New Roman"/>
      <w:b/>
      <w:sz w:val="24"/>
      <w:szCs w:val="20"/>
    </w:rPr>
  </w:style>
  <w:style w:type="paragraph" w:styleId="11">
    <w:name w:val="heading 8"/>
    <w:basedOn w:val="1"/>
    <w:next w:val="1"/>
    <w:link w:val="64"/>
    <w:qFormat/>
    <w:uiPriority w:val="0"/>
    <w:pPr>
      <w:keepNext/>
      <w:keepLines/>
      <w:spacing w:before="240" w:after="64" w:line="320" w:lineRule="atLeast"/>
      <w:jc w:val="left"/>
      <w:outlineLvl w:val="7"/>
    </w:pPr>
    <w:rPr>
      <w:rFonts w:ascii="Arial" w:hAnsi="Arial" w:eastAsia="黑体" w:cs="Times New Roman"/>
      <w:sz w:val="24"/>
      <w:szCs w:val="20"/>
    </w:rPr>
  </w:style>
  <w:style w:type="paragraph" w:styleId="12">
    <w:name w:val="heading 9"/>
    <w:basedOn w:val="1"/>
    <w:next w:val="1"/>
    <w:link w:val="65"/>
    <w:qFormat/>
    <w:uiPriority w:val="0"/>
    <w:pPr>
      <w:keepNext/>
      <w:keepLines/>
      <w:spacing w:before="240" w:after="64" w:line="320" w:lineRule="atLeast"/>
      <w:jc w:val="left"/>
      <w:outlineLvl w:val="8"/>
    </w:pPr>
    <w:rPr>
      <w:rFonts w:ascii="Arial" w:hAnsi="Arial" w:eastAsia="黑体" w:cs="Times New Roman"/>
      <w:sz w:val="24"/>
      <w:szCs w:val="20"/>
    </w:rPr>
  </w:style>
  <w:style w:type="character" w:default="1" w:styleId="39">
    <w:name w:val="Default Paragraph Font"/>
    <w:semiHidden/>
    <w:unhideWhenUsed/>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eastAsia="宋体" w:cs="Times New Roman"/>
      <w:sz w:val="24"/>
    </w:rPr>
  </w:style>
  <w:style w:type="paragraph" w:styleId="6">
    <w:name w:val="Normal Indent"/>
    <w:basedOn w:val="1"/>
    <w:qFormat/>
    <w:uiPriority w:val="0"/>
    <w:pPr>
      <w:ind w:firstLine="420"/>
    </w:pPr>
    <w:rPr>
      <w:rFonts w:ascii="Times New Roman" w:hAnsi="Times New Roman" w:eastAsia="宋体" w:cs="Times New Roman"/>
      <w:sz w:val="24"/>
      <w:szCs w:val="20"/>
    </w:rPr>
  </w:style>
  <w:style w:type="paragraph" w:styleId="13">
    <w:name w:val="caption"/>
    <w:basedOn w:val="1"/>
    <w:next w:val="1"/>
    <w:qFormat/>
    <w:uiPriority w:val="0"/>
    <w:pPr>
      <w:spacing w:before="152" w:after="160"/>
    </w:pPr>
    <w:rPr>
      <w:rFonts w:ascii="Arial" w:hAnsi="Arial" w:eastAsia="黑体" w:cs="Times New Roman"/>
      <w:sz w:val="24"/>
      <w:szCs w:val="20"/>
    </w:rPr>
  </w:style>
  <w:style w:type="paragraph" w:styleId="14">
    <w:name w:val="Document Map"/>
    <w:basedOn w:val="1"/>
    <w:link w:val="142"/>
    <w:semiHidden/>
    <w:qFormat/>
    <w:uiPriority w:val="0"/>
    <w:pPr>
      <w:shd w:val="clear" w:color="auto" w:fill="000080"/>
    </w:pPr>
    <w:rPr>
      <w:rFonts w:ascii="Times New Roman" w:hAnsi="Times New Roman" w:eastAsia="宋体" w:cs="Times New Roman"/>
      <w:szCs w:val="20"/>
    </w:rPr>
  </w:style>
  <w:style w:type="paragraph" w:styleId="15">
    <w:name w:val="annotation text"/>
    <w:basedOn w:val="1"/>
    <w:link w:val="138"/>
    <w:semiHidden/>
    <w:qFormat/>
    <w:uiPriority w:val="0"/>
    <w:pPr>
      <w:jc w:val="left"/>
    </w:pPr>
    <w:rPr>
      <w:rFonts w:ascii="Times New Roman" w:hAnsi="Times New Roman" w:eastAsia="宋体" w:cs="Times New Roman"/>
      <w:szCs w:val="24"/>
    </w:rPr>
  </w:style>
  <w:style w:type="paragraph" w:styleId="16">
    <w:name w:val="Body Text 3"/>
    <w:basedOn w:val="1"/>
    <w:link w:val="92"/>
    <w:qFormat/>
    <w:uiPriority w:val="0"/>
    <w:pPr>
      <w:spacing w:after="120"/>
    </w:pPr>
    <w:rPr>
      <w:rFonts w:ascii="Times New Roman" w:hAnsi="Times New Roman" w:eastAsia="宋体" w:cs="Times New Roman"/>
      <w:sz w:val="16"/>
      <w:szCs w:val="16"/>
    </w:rPr>
  </w:style>
  <w:style w:type="paragraph" w:styleId="17">
    <w:name w:val="Body Text"/>
    <w:basedOn w:val="1"/>
    <w:link w:val="87"/>
    <w:qFormat/>
    <w:uiPriority w:val="0"/>
    <w:pPr>
      <w:spacing w:line="440" w:lineRule="exact"/>
    </w:pPr>
    <w:rPr>
      <w:rFonts w:ascii="Times New Roman" w:hAnsi="Times New Roman" w:eastAsia="宋体" w:cs="Times New Roman"/>
      <w:sz w:val="24"/>
      <w:szCs w:val="24"/>
    </w:rPr>
  </w:style>
  <w:style w:type="paragraph" w:styleId="18">
    <w:name w:val="Body Text Indent"/>
    <w:basedOn w:val="1"/>
    <w:link w:val="74"/>
    <w:qFormat/>
    <w:uiPriority w:val="0"/>
    <w:pPr>
      <w:spacing w:line="440" w:lineRule="exact"/>
      <w:ind w:firstLine="480"/>
    </w:pPr>
    <w:rPr>
      <w:rFonts w:ascii="Times New Roman" w:hAnsi="Times New Roman" w:eastAsia="宋体" w:cs="Times New Roman"/>
      <w:sz w:val="24"/>
      <w:szCs w:val="20"/>
    </w:rPr>
  </w:style>
  <w:style w:type="paragraph" w:styleId="19">
    <w:name w:val="Block Text"/>
    <w:basedOn w:val="1"/>
    <w:qFormat/>
    <w:uiPriority w:val="0"/>
    <w:pPr>
      <w:adjustRightInd w:val="0"/>
      <w:snapToGrid w:val="0"/>
      <w:spacing w:line="440" w:lineRule="exact"/>
      <w:ind w:left="42" w:leftChars="20" w:right="42" w:rightChars="20" w:firstLine="480" w:firstLineChars="200"/>
    </w:pPr>
    <w:rPr>
      <w:rFonts w:ascii="Times New Roman" w:hAnsi="Times New Roman" w:eastAsia="宋体" w:cs="Times New Roman"/>
      <w:sz w:val="24"/>
      <w:szCs w:val="24"/>
    </w:rPr>
  </w:style>
  <w:style w:type="paragraph" w:styleId="20">
    <w:name w:val="toc 3"/>
    <w:basedOn w:val="1"/>
    <w:next w:val="1"/>
    <w:semiHidden/>
    <w:unhideWhenUsed/>
    <w:qFormat/>
    <w:uiPriority w:val="39"/>
    <w:pPr>
      <w:widowControl/>
      <w:spacing w:after="100" w:line="276" w:lineRule="auto"/>
      <w:ind w:left="440"/>
      <w:jc w:val="left"/>
    </w:pPr>
    <w:rPr>
      <w:kern w:val="0"/>
      <w:sz w:val="22"/>
    </w:rPr>
  </w:style>
  <w:style w:type="paragraph" w:styleId="21">
    <w:name w:val="Plain Text"/>
    <w:basedOn w:val="1"/>
    <w:link w:val="68"/>
    <w:qFormat/>
    <w:uiPriority w:val="0"/>
    <w:rPr>
      <w:rFonts w:ascii="宋体" w:hAnsi="Courier New" w:eastAsia="宋体" w:cs="Times New Roman"/>
      <w:sz w:val="24"/>
      <w:szCs w:val="20"/>
    </w:rPr>
  </w:style>
  <w:style w:type="paragraph" w:styleId="22">
    <w:name w:val="Date"/>
    <w:basedOn w:val="1"/>
    <w:next w:val="1"/>
    <w:link w:val="72"/>
    <w:qFormat/>
    <w:uiPriority w:val="0"/>
    <w:rPr>
      <w:rFonts w:ascii="Times New Roman" w:hAnsi="Times New Roman" w:eastAsia="宋体" w:cs="Times New Roman"/>
      <w:sz w:val="24"/>
      <w:szCs w:val="20"/>
    </w:rPr>
  </w:style>
  <w:style w:type="paragraph" w:styleId="23">
    <w:name w:val="Body Text Indent 2"/>
    <w:basedOn w:val="1"/>
    <w:link w:val="70"/>
    <w:qFormat/>
    <w:uiPriority w:val="0"/>
    <w:pPr>
      <w:spacing w:line="440" w:lineRule="exact"/>
      <w:ind w:firstLine="720" w:firstLineChars="300"/>
    </w:pPr>
    <w:rPr>
      <w:rFonts w:ascii="Times New Roman" w:hAnsi="Times New Roman" w:eastAsia="宋体" w:cs="Times New Roman"/>
      <w:sz w:val="24"/>
      <w:szCs w:val="20"/>
    </w:rPr>
  </w:style>
  <w:style w:type="paragraph" w:styleId="24">
    <w:name w:val="Balloon Text"/>
    <w:basedOn w:val="1"/>
    <w:link w:val="85"/>
    <w:semiHidden/>
    <w:qFormat/>
    <w:uiPriority w:val="0"/>
    <w:rPr>
      <w:rFonts w:ascii="Times New Roman" w:hAnsi="Times New Roman" w:eastAsia="宋体" w:cs="Times New Roman"/>
      <w:sz w:val="18"/>
      <w:szCs w:val="18"/>
    </w:rPr>
  </w:style>
  <w:style w:type="paragraph" w:styleId="25">
    <w:name w:val="footer"/>
    <w:basedOn w:val="1"/>
    <w:link w:val="47"/>
    <w:unhideWhenUsed/>
    <w:qFormat/>
    <w:uiPriority w:val="0"/>
    <w:pPr>
      <w:tabs>
        <w:tab w:val="center" w:pos="4153"/>
        <w:tab w:val="right" w:pos="8306"/>
      </w:tabs>
      <w:snapToGrid w:val="0"/>
      <w:jc w:val="left"/>
    </w:pPr>
    <w:rPr>
      <w:sz w:val="18"/>
      <w:szCs w:val="18"/>
    </w:rPr>
  </w:style>
  <w:style w:type="paragraph" w:styleId="26">
    <w:name w:val="header"/>
    <w:basedOn w:val="1"/>
    <w:link w:val="46"/>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rPr>
      <w:rFonts w:ascii="Times New Roman" w:hAnsi="Times New Roman" w:eastAsia="宋体" w:cs="Times New Roman"/>
      <w:sz w:val="24"/>
      <w:szCs w:val="24"/>
    </w:rPr>
  </w:style>
  <w:style w:type="paragraph" w:styleId="28">
    <w:name w:val="footnote text"/>
    <w:basedOn w:val="1"/>
    <w:link w:val="168"/>
    <w:qFormat/>
    <w:uiPriority w:val="0"/>
    <w:pPr>
      <w:snapToGrid w:val="0"/>
      <w:jc w:val="left"/>
    </w:pPr>
    <w:rPr>
      <w:rFonts w:ascii="Times New Roman" w:hAnsi="Times New Roman" w:eastAsia="宋体" w:cs="Times New Roman"/>
      <w:sz w:val="18"/>
      <w:szCs w:val="18"/>
    </w:rPr>
  </w:style>
  <w:style w:type="paragraph" w:styleId="29">
    <w:name w:val="Body Text Indent 3"/>
    <w:basedOn w:val="1"/>
    <w:link w:val="80"/>
    <w:qFormat/>
    <w:uiPriority w:val="0"/>
    <w:pPr>
      <w:spacing w:after="120"/>
      <w:ind w:left="420" w:leftChars="200"/>
    </w:pPr>
    <w:rPr>
      <w:rFonts w:ascii="Times New Roman" w:hAnsi="Times New Roman" w:eastAsia="宋体" w:cs="Times New Roman"/>
      <w:sz w:val="16"/>
      <w:szCs w:val="16"/>
    </w:rPr>
  </w:style>
  <w:style w:type="paragraph" w:styleId="30">
    <w:name w:val="toc 2"/>
    <w:basedOn w:val="1"/>
    <w:next w:val="1"/>
    <w:qFormat/>
    <w:uiPriority w:val="39"/>
    <w:pPr>
      <w:widowControl/>
      <w:tabs>
        <w:tab w:val="right" w:leader="hyphen" w:pos="8820"/>
      </w:tabs>
      <w:overflowPunct w:val="0"/>
      <w:autoSpaceDE w:val="0"/>
      <w:autoSpaceDN w:val="0"/>
      <w:adjustRightInd w:val="0"/>
      <w:spacing w:line="640" w:lineRule="exact"/>
      <w:ind w:right="-416" w:rightChars="-197"/>
      <w:jc w:val="left"/>
      <w:textAlignment w:val="baseline"/>
    </w:pPr>
    <w:rPr>
      <w:rFonts w:ascii="宋体" w:hAnsi="宋体" w:eastAsia="宋体" w:cs="Times New Roman"/>
      <w:b/>
      <w:bCs/>
      <w:smallCaps/>
      <w:kern w:val="0"/>
      <w:sz w:val="24"/>
      <w:szCs w:val="24"/>
    </w:rPr>
  </w:style>
  <w:style w:type="paragraph" w:styleId="31">
    <w:name w:val="Body Text 2"/>
    <w:basedOn w:val="1"/>
    <w:link w:val="119"/>
    <w:qFormat/>
    <w:uiPriority w:val="0"/>
    <w:pPr>
      <w:spacing w:after="120" w:line="480" w:lineRule="auto"/>
    </w:pPr>
    <w:rPr>
      <w:rFonts w:ascii="Times New Roman" w:hAnsi="Times New Roman" w:eastAsia="宋体" w:cs="Times New Roman"/>
      <w:szCs w:val="24"/>
    </w:rPr>
  </w:style>
  <w:style w:type="paragraph" w:styleId="32">
    <w:name w:val="HTML Preformatted"/>
    <w:basedOn w:val="1"/>
    <w:link w:val="1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3">
    <w:name w:val="Normal (Web)"/>
    <w:basedOn w:val="1"/>
    <w:qFormat/>
    <w:uiPriority w:val="99"/>
    <w:rPr>
      <w:rFonts w:ascii="Times New Roman" w:hAnsi="Times New Roman" w:eastAsia="宋体" w:cs="Times New Roman"/>
      <w:sz w:val="24"/>
      <w:szCs w:val="24"/>
    </w:rPr>
  </w:style>
  <w:style w:type="paragraph" w:styleId="34">
    <w:name w:val="Title"/>
    <w:basedOn w:val="1"/>
    <w:link w:val="132"/>
    <w:qFormat/>
    <w:uiPriority w:val="0"/>
    <w:pPr>
      <w:autoSpaceDE w:val="0"/>
      <w:autoSpaceDN w:val="0"/>
      <w:adjustRightInd w:val="0"/>
      <w:spacing w:line="360" w:lineRule="atLeast"/>
    </w:pPr>
    <w:rPr>
      <w:rFonts w:ascii="PMingLiU" w:hAnsi="Times New Roman" w:eastAsia="PMingLiU" w:cs="Times New Roman"/>
      <w:color w:val="000000"/>
      <w:kern w:val="0"/>
      <w:sz w:val="24"/>
      <w:szCs w:val="24"/>
      <w:lang w:eastAsia="zh-TW"/>
    </w:rPr>
  </w:style>
  <w:style w:type="paragraph" w:styleId="35">
    <w:name w:val="annotation subject"/>
    <w:basedOn w:val="15"/>
    <w:next w:val="15"/>
    <w:link w:val="140"/>
    <w:semiHidden/>
    <w:qFormat/>
    <w:uiPriority w:val="0"/>
    <w:rPr>
      <w:b/>
      <w:bCs/>
      <w:sz w:val="24"/>
    </w:rPr>
  </w:style>
  <w:style w:type="paragraph" w:styleId="36">
    <w:name w:val="Body Text First Indent"/>
    <w:basedOn w:val="17"/>
    <w:link w:val="135"/>
    <w:qFormat/>
    <w:uiPriority w:val="0"/>
    <w:pPr>
      <w:spacing w:after="120" w:line="240" w:lineRule="auto"/>
      <w:ind w:firstLine="420"/>
    </w:pPr>
    <w:rPr>
      <w:sz w:val="21"/>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qFormat/>
    <w:uiPriority w:val="22"/>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semiHidden/>
    <w:qFormat/>
    <w:uiPriority w:val="0"/>
    <w:rPr>
      <w:sz w:val="21"/>
      <w:szCs w:val="21"/>
    </w:rPr>
  </w:style>
  <w:style w:type="character" w:styleId="45">
    <w:name w:val="footnote reference"/>
    <w:qFormat/>
    <w:uiPriority w:val="0"/>
    <w:rPr>
      <w:vertAlign w:val="superscript"/>
    </w:rPr>
  </w:style>
  <w:style w:type="character" w:customStyle="1" w:styleId="46">
    <w:name w:val="页眉 Char1"/>
    <w:basedOn w:val="39"/>
    <w:link w:val="26"/>
    <w:qFormat/>
    <w:uiPriority w:val="99"/>
    <w:rPr>
      <w:sz w:val="18"/>
      <w:szCs w:val="18"/>
    </w:rPr>
  </w:style>
  <w:style w:type="character" w:customStyle="1" w:styleId="47">
    <w:name w:val="页脚 Char1"/>
    <w:basedOn w:val="39"/>
    <w:link w:val="25"/>
    <w:qFormat/>
    <w:uiPriority w:val="99"/>
    <w:rPr>
      <w:sz w:val="18"/>
      <w:szCs w:val="18"/>
    </w:rPr>
  </w:style>
  <w:style w:type="character" w:customStyle="1" w:styleId="48">
    <w:name w:val="标题 1 字符"/>
    <w:basedOn w:val="39"/>
    <w:qFormat/>
    <w:uiPriority w:val="9"/>
    <w:rPr>
      <w:b/>
      <w:bCs/>
      <w:kern w:val="44"/>
      <w:sz w:val="44"/>
      <w:szCs w:val="44"/>
    </w:rPr>
  </w:style>
  <w:style w:type="character" w:customStyle="1" w:styleId="49">
    <w:name w:val="标题 2 字符"/>
    <w:basedOn w:val="39"/>
    <w:semiHidden/>
    <w:qFormat/>
    <w:uiPriority w:val="9"/>
    <w:rPr>
      <w:rFonts w:asciiTheme="majorHAnsi" w:hAnsiTheme="majorHAnsi" w:eastAsiaTheme="majorEastAsia" w:cstheme="majorBidi"/>
      <w:b/>
      <w:bCs/>
      <w:sz w:val="32"/>
      <w:szCs w:val="32"/>
    </w:rPr>
  </w:style>
  <w:style w:type="character" w:customStyle="1" w:styleId="50">
    <w:name w:val="标题 3 字符"/>
    <w:basedOn w:val="39"/>
    <w:semiHidden/>
    <w:qFormat/>
    <w:uiPriority w:val="9"/>
    <w:rPr>
      <w:b/>
      <w:bCs/>
      <w:sz w:val="32"/>
      <w:szCs w:val="32"/>
    </w:rPr>
  </w:style>
  <w:style w:type="character" w:customStyle="1" w:styleId="51">
    <w:name w:val="标题 4 字符"/>
    <w:basedOn w:val="39"/>
    <w:semiHidden/>
    <w:qFormat/>
    <w:uiPriority w:val="9"/>
    <w:rPr>
      <w:rFonts w:asciiTheme="majorHAnsi" w:hAnsiTheme="majorHAnsi" w:eastAsiaTheme="majorEastAsia" w:cstheme="majorBidi"/>
      <w:b/>
      <w:bCs/>
      <w:sz w:val="28"/>
      <w:szCs w:val="28"/>
    </w:rPr>
  </w:style>
  <w:style w:type="character" w:customStyle="1" w:styleId="52">
    <w:name w:val="标题 5 字符"/>
    <w:basedOn w:val="39"/>
    <w:semiHidden/>
    <w:qFormat/>
    <w:uiPriority w:val="9"/>
    <w:rPr>
      <w:b/>
      <w:bCs/>
      <w:sz w:val="28"/>
      <w:szCs w:val="28"/>
    </w:rPr>
  </w:style>
  <w:style w:type="character" w:customStyle="1" w:styleId="53">
    <w:name w:val="标题 6 字符"/>
    <w:basedOn w:val="39"/>
    <w:semiHidden/>
    <w:qFormat/>
    <w:uiPriority w:val="9"/>
    <w:rPr>
      <w:rFonts w:asciiTheme="majorHAnsi" w:hAnsiTheme="majorHAnsi" w:eastAsiaTheme="majorEastAsia" w:cstheme="majorBidi"/>
      <w:b/>
      <w:bCs/>
      <w:sz w:val="24"/>
      <w:szCs w:val="24"/>
    </w:rPr>
  </w:style>
  <w:style w:type="character" w:customStyle="1" w:styleId="54">
    <w:name w:val="标题 7 字符"/>
    <w:basedOn w:val="39"/>
    <w:semiHidden/>
    <w:qFormat/>
    <w:uiPriority w:val="9"/>
    <w:rPr>
      <w:b/>
      <w:bCs/>
      <w:sz w:val="24"/>
      <w:szCs w:val="24"/>
    </w:rPr>
  </w:style>
  <w:style w:type="character" w:customStyle="1" w:styleId="55">
    <w:name w:val="标题 8 字符"/>
    <w:basedOn w:val="39"/>
    <w:semiHidden/>
    <w:qFormat/>
    <w:uiPriority w:val="9"/>
    <w:rPr>
      <w:rFonts w:asciiTheme="majorHAnsi" w:hAnsiTheme="majorHAnsi" w:eastAsiaTheme="majorEastAsia" w:cstheme="majorBidi"/>
      <w:sz w:val="24"/>
      <w:szCs w:val="24"/>
    </w:rPr>
  </w:style>
  <w:style w:type="character" w:customStyle="1" w:styleId="56">
    <w:name w:val="标题 9 字符"/>
    <w:basedOn w:val="39"/>
    <w:semiHidden/>
    <w:qFormat/>
    <w:uiPriority w:val="9"/>
    <w:rPr>
      <w:rFonts w:asciiTheme="majorHAnsi" w:hAnsiTheme="majorHAnsi" w:eastAsiaTheme="majorEastAsia" w:cstheme="majorBidi"/>
      <w:szCs w:val="21"/>
    </w:rPr>
  </w:style>
  <w:style w:type="character" w:customStyle="1" w:styleId="57">
    <w:name w:val="标题 1 Char"/>
    <w:link w:val="3"/>
    <w:qFormat/>
    <w:uiPriority w:val="0"/>
    <w:rPr>
      <w:rFonts w:ascii="仿宋_GB2312" w:hAnsi="Times New Roman" w:eastAsia="仿宋_GB2312" w:cs="Times New Roman"/>
      <w:sz w:val="28"/>
      <w:szCs w:val="20"/>
    </w:rPr>
  </w:style>
  <w:style w:type="character" w:customStyle="1" w:styleId="58">
    <w:name w:val="标题 2 Char"/>
    <w:link w:val="4"/>
    <w:qFormat/>
    <w:uiPriority w:val="0"/>
    <w:rPr>
      <w:rFonts w:ascii="Arial" w:hAnsi="Arial" w:eastAsia="黑体" w:cs="Times New Roman"/>
      <w:b/>
      <w:bCs/>
      <w:sz w:val="32"/>
      <w:szCs w:val="32"/>
    </w:rPr>
  </w:style>
  <w:style w:type="character" w:customStyle="1" w:styleId="59">
    <w:name w:val="标题 3 Char"/>
    <w:link w:val="5"/>
    <w:qFormat/>
    <w:uiPriority w:val="0"/>
    <w:rPr>
      <w:rFonts w:ascii="Times New Roman" w:hAnsi="Times New Roman" w:eastAsia="宋体" w:cs="Times New Roman"/>
      <w:b/>
      <w:sz w:val="24"/>
      <w:szCs w:val="20"/>
    </w:rPr>
  </w:style>
  <w:style w:type="character" w:customStyle="1" w:styleId="60">
    <w:name w:val="标题 4 Char"/>
    <w:link w:val="7"/>
    <w:qFormat/>
    <w:uiPriority w:val="0"/>
    <w:rPr>
      <w:rFonts w:ascii="Arial" w:hAnsi="Arial" w:eastAsia="黑体" w:cs="Times New Roman"/>
      <w:b/>
      <w:sz w:val="28"/>
      <w:szCs w:val="20"/>
    </w:rPr>
  </w:style>
  <w:style w:type="character" w:customStyle="1" w:styleId="61">
    <w:name w:val="标题 5 Char"/>
    <w:link w:val="8"/>
    <w:qFormat/>
    <w:uiPriority w:val="0"/>
    <w:rPr>
      <w:rFonts w:ascii="Arial" w:hAnsi="Arial" w:eastAsia="宋体" w:cs="Times New Roman"/>
      <w:b/>
      <w:sz w:val="28"/>
      <w:szCs w:val="20"/>
    </w:rPr>
  </w:style>
  <w:style w:type="character" w:customStyle="1" w:styleId="62">
    <w:name w:val="标题 6 Char"/>
    <w:link w:val="9"/>
    <w:qFormat/>
    <w:uiPriority w:val="0"/>
    <w:rPr>
      <w:rFonts w:ascii="Arial" w:hAnsi="Arial" w:eastAsia="黑体" w:cs="Times New Roman"/>
      <w:b/>
      <w:sz w:val="24"/>
      <w:szCs w:val="20"/>
    </w:rPr>
  </w:style>
  <w:style w:type="character" w:customStyle="1" w:styleId="63">
    <w:name w:val="标题 7 Char"/>
    <w:link w:val="10"/>
    <w:qFormat/>
    <w:uiPriority w:val="0"/>
    <w:rPr>
      <w:rFonts w:ascii="Arial" w:hAnsi="Arial" w:eastAsia="宋体" w:cs="Times New Roman"/>
      <w:b/>
      <w:sz w:val="24"/>
      <w:szCs w:val="20"/>
    </w:rPr>
  </w:style>
  <w:style w:type="character" w:customStyle="1" w:styleId="64">
    <w:name w:val="标题 8 Char"/>
    <w:link w:val="11"/>
    <w:qFormat/>
    <w:uiPriority w:val="0"/>
    <w:rPr>
      <w:rFonts w:ascii="Arial" w:hAnsi="Arial" w:eastAsia="黑体" w:cs="Times New Roman"/>
      <w:sz w:val="24"/>
      <w:szCs w:val="20"/>
    </w:rPr>
  </w:style>
  <w:style w:type="character" w:customStyle="1" w:styleId="65">
    <w:name w:val="标题 9 Char"/>
    <w:link w:val="12"/>
    <w:qFormat/>
    <w:uiPriority w:val="0"/>
    <w:rPr>
      <w:rFonts w:ascii="Arial" w:hAnsi="Arial" w:eastAsia="黑体" w:cs="Times New Roman"/>
      <w:sz w:val="24"/>
      <w:szCs w:val="20"/>
    </w:rPr>
  </w:style>
  <w:style w:type="paragraph" w:customStyle="1" w:styleId="66">
    <w:name w:val="默认段落字体 Para Char Char Char Char Char Char Char"/>
    <w:basedOn w:val="1"/>
    <w:qFormat/>
    <w:uiPriority w:val="0"/>
    <w:rPr>
      <w:rFonts w:ascii="Tahoma" w:hAnsi="Tahoma" w:eastAsia="宋体" w:cs="Times New Roman"/>
      <w:sz w:val="24"/>
      <w:szCs w:val="20"/>
    </w:rPr>
  </w:style>
  <w:style w:type="character" w:customStyle="1" w:styleId="67">
    <w:name w:val="纯文本 字符"/>
    <w:basedOn w:val="39"/>
    <w:semiHidden/>
    <w:qFormat/>
    <w:uiPriority w:val="99"/>
    <w:rPr>
      <w:rFonts w:hAnsi="Courier New" w:cs="Courier New" w:asciiTheme="minorEastAsia"/>
    </w:rPr>
  </w:style>
  <w:style w:type="character" w:customStyle="1" w:styleId="68">
    <w:name w:val="纯文本 Char"/>
    <w:link w:val="21"/>
    <w:qFormat/>
    <w:uiPriority w:val="0"/>
    <w:rPr>
      <w:rFonts w:ascii="宋体" w:hAnsi="Courier New" w:eastAsia="宋体" w:cs="Times New Roman"/>
      <w:sz w:val="24"/>
      <w:szCs w:val="20"/>
    </w:rPr>
  </w:style>
  <w:style w:type="character" w:customStyle="1" w:styleId="69">
    <w:name w:val="正文文本缩进 2 字符"/>
    <w:basedOn w:val="39"/>
    <w:semiHidden/>
    <w:qFormat/>
    <w:uiPriority w:val="99"/>
  </w:style>
  <w:style w:type="character" w:customStyle="1" w:styleId="70">
    <w:name w:val="正文文本缩进 2 Char"/>
    <w:link w:val="23"/>
    <w:qFormat/>
    <w:uiPriority w:val="0"/>
    <w:rPr>
      <w:rFonts w:ascii="Times New Roman" w:hAnsi="Times New Roman" w:eastAsia="宋体" w:cs="Times New Roman"/>
      <w:sz w:val="24"/>
      <w:szCs w:val="20"/>
    </w:rPr>
  </w:style>
  <w:style w:type="character" w:customStyle="1" w:styleId="71">
    <w:name w:val="日期 字符"/>
    <w:basedOn w:val="39"/>
    <w:semiHidden/>
    <w:qFormat/>
    <w:uiPriority w:val="99"/>
  </w:style>
  <w:style w:type="character" w:customStyle="1" w:styleId="72">
    <w:name w:val="日期 Char"/>
    <w:link w:val="22"/>
    <w:qFormat/>
    <w:uiPriority w:val="0"/>
    <w:rPr>
      <w:rFonts w:ascii="Times New Roman" w:hAnsi="Times New Roman" w:eastAsia="宋体" w:cs="Times New Roman"/>
      <w:sz w:val="24"/>
      <w:szCs w:val="20"/>
    </w:rPr>
  </w:style>
  <w:style w:type="character" w:customStyle="1" w:styleId="73">
    <w:name w:val="正文文本缩进 字符"/>
    <w:basedOn w:val="39"/>
    <w:semiHidden/>
    <w:qFormat/>
    <w:uiPriority w:val="99"/>
  </w:style>
  <w:style w:type="character" w:customStyle="1" w:styleId="74">
    <w:name w:val="正文文本缩进 Char"/>
    <w:link w:val="18"/>
    <w:qFormat/>
    <w:uiPriority w:val="0"/>
    <w:rPr>
      <w:rFonts w:ascii="Times New Roman" w:hAnsi="Times New Roman" w:eastAsia="宋体" w:cs="Times New Roman"/>
      <w:sz w:val="24"/>
      <w:szCs w:val="20"/>
    </w:rPr>
  </w:style>
  <w:style w:type="character" w:customStyle="1" w:styleId="75">
    <w:name w:val="页眉 Char"/>
    <w:qFormat/>
    <w:uiPriority w:val="0"/>
    <w:rPr>
      <w:kern w:val="2"/>
      <w:sz w:val="18"/>
    </w:rPr>
  </w:style>
  <w:style w:type="character" w:customStyle="1" w:styleId="76">
    <w:name w:val="页脚 Char"/>
    <w:qFormat/>
    <w:uiPriority w:val="0"/>
    <w:rPr>
      <w:kern w:val="2"/>
      <w:sz w:val="18"/>
    </w:rPr>
  </w:style>
  <w:style w:type="paragraph" w:customStyle="1" w:styleId="77">
    <w:name w:val="11"/>
    <w:basedOn w:val="1"/>
    <w:next w:val="21"/>
    <w:qFormat/>
    <w:uiPriority w:val="0"/>
    <w:pPr>
      <w:adjustRightInd w:val="0"/>
      <w:spacing w:line="312" w:lineRule="atLeast"/>
      <w:textAlignment w:val="baseline"/>
    </w:pPr>
    <w:rPr>
      <w:rFonts w:ascii="宋体" w:hAnsi="Courier New" w:eastAsia="宋体" w:cs="Times New Roman"/>
      <w:kern w:val="0"/>
      <w:sz w:val="24"/>
      <w:szCs w:val="20"/>
    </w:rPr>
  </w:style>
  <w:style w:type="paragraph" w:customStyle="1" w:styleId="78">
    <w:name w:val="10"/>
    <w:basedOn w:val="1"/>
    <w:next w:val="29"/>
    <w:qFormat/>
    <w:uiPriority w:val="0"/>
    <w:pPr>
      <w:spacing w:line="460" w:lineRule="exact"/>
      <w:ind w:firstLine="1080"/>
    </w:pPr>
    <w:rPr>
      <w:rFonts w:ascii="Times New Roman" w:hAnsi="Times New Roman" w:eastAsia="宋体" w:cs="Times New Roman"/>
      <w:sz w:val="24"/>
      <w:szCs w:val="24"/>
    </w:rPr>
  </w:style>
  <w:style w:type="character" w:customStyle="1" w:styleId="79">
    <w:name w:val="正文文本缩进 3 字符"/>
    <w:basedOn w:val="39"/>
    <w:semiHidden/>
    <w:qFormat/>
    <w:uiPriority w:val="99"/>
    <w:rPr>
      <w:sz w:val="16"/>
      <w:szCs w:val="16"/>
    </w:rPr>
  </w:style>
  <w:style w:type="character" w:customStyle="1" w:styleId="80">
    <w:name w:val="正文文本缩进 3 Char"/>
    <w:link w:val="29"/>
    <w:qFormat/>
    <w:uiPriority w:val="0"/>
    <w:rPr>
      <w:rFonts w:ascii="Times New Roman" w:hAnsi="Times New Roman" w:eastAsia="宋体" w:cs="Times New Roman"/>
      <w:sz w:val="16"/>
      <w:szCs w:val="16"/>
    </w:rPr>
  </w:style>
  <w:style w:type="paragraph" w:customStyle="1" w:styleId="81">
    <w:name w:val="9"/>
    <w:basedOn w:val="1"/>
    <w:next w:val="21"/>
    <w:qFormat/>
    <w:uiPriority w:val="0"/>
    <w:rPr>
      <w:rFonts w:ascii="宋体" w:hAnsi="Courier New" w:eastAsia="宋体" w:cs="Times New Roman"/>
      <w:sz w:val="24"/>
      <w:szCs w:val="20"/>
    </w:rPr>
  </w:style>
  <w:style w:type="paragraph" w:customStyle="1" w:styleId="82">
    <w:name w:val="8"/>
    <w:basedOn w:val="1"/>
    <w:next w:val="29"/>
    <w:qFormat/>
    <w:uiPriority w:val="0"/>
    <w:pPr>
      <w:spacing w:line="460" w:lineRule="exact"/>
      <w:ind w:firstLine="1080"/>
    </w:pPr>
    <w:rPr>
      <w:rFonts w:ascii="Times New Roman" w:hAnsi="Times New Roman" w:eastAsia="宋体" w:cs="Times New Roman"/>
      <w:sz w:val="24"/>
      <w:szCs w:val="24"/>
    </w:rPr>
  </w:style>
  <w:style w:type="paragraph" w:customStyle="1" w:styleId="83">
    <w:name w:val="7"/>
    <w:basedOn w:val="1"/>
    <w:next w:val="33"/>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4">
    <w:name w:val="批注框文本 字符"/>
    <w:basedOn w:val="39"/>
    <w:semiHidden/>
    <w:qFormat/>
    <w:uiPriority w:val="99"/>
    <w:rPr>
      <w:sz w:val="18"/>
      <w:szCs w:val="18"/>
    </w:rPr>
  </w:style>
  <w:style w:type="character" w:customStyle="1" w:styleId="85">
    <w:name w:val="批注框文本 Char"/>
    <w:link w:val="24"/>
    <w:semiHidden/>
    <w:qFormat/>
    <w:uiPriority w:val="0"/>
    <w:rPr>
      <w:rFonts w:ascii="Times New Roman" w:hAnsi="Times New Roman" w:eastAsia="宋体" w:cs="Times New Roman"/>
      <w:sz w:val="18"/>
      <w:szCs w:val="18"/>
    </w:rPr>
  </w:style>
  <w:style w:type="character" w:customStyle="1" w:styleId="86">
    <w:name w:val="正文文本 字符"/>
    <w:basedOn w:val="39"/>
    <w:semiHidden/>
    <w:qFormat/>
    <w:uiPriority w:val="99"/>
  </w:style>
  <w:style w:type="character" w:customStyle="1" w:styleId="87">
    <w:name w:val="正文文本 Char"/>
    <w:link w:val="17"/>
    <w:qFormat/>
    <w:uiPriority w:val="0"/>
    <w:rPr>
      <w:rFonts w:ascii="Times New Roman" w:hAnsi="Times New Roman" w:eastAsia="宋体" w:cs="Times New Roman"/>
      <w:sz w:val="24"/>
      <w:szCs w:val="24"/>
    </w:rPr>
  </w:style>
  <w:style w:type="paragraph" w:customStyle="1" w:styleId="88">
    <w:name w:val="XBT"/>
    <w:basedOn w:val="1"/>
    <w:qFormat/>
    <w:uiPriority w:val="0"/>
    <w:pPr>
      <w:adjustRightInd w:val="0"/>
      <w:spacing w:before="600" w:after="240" w:line="440" w:lineRule="atLeast"/>
      <w:textAlignment w:val="baseline"/>
    </w:pPr>
    <w:rPr>
      <w:rFonts w:ascii="Arial Narrow" w:hAnsi="Arial Narrow" w:eastAsia="黑体" w:cs="Times New Roman"/>
      <w:b/>
      <w:kern w:val="0"/>
      <w:sz w:val="24"/>
      <w:szCs w:val="20"/>
    </w:rPr>
  </w:style>
  <w:style w:type="paragraph" w:customStyle="1" w:styleId="89">
    <w:name w:val="zw"/>
    <w:basedOn w:val="1"/>
    <w:link w:val="90"/>
    <w:qFormat/>
    <w:uiPriority w:val="0"/>
    <w:pPr>
      <w:autoSpaceDE w:val="0"/>
      <w:autoSpaceDN w:val="0"/>
      <w:adjustRightInd w:val="0"/>
      <w:spacing w:line="360" w:lineRule="auto"/>
      <w:ind w:firstLine="482"/>
      <w:textAlignment w:val="bottom"/>
    </w:pPr>
    <w:rPr>
      <w:rFonts w:ascii="Arial Narrow" w:hAnsi="Arial Narrow" w:eastAsia="仿宋_GB2312" w:cs="Times New Roman"/>
      <w:kern w:val="0"/>
      <w:sz w:val="24"/>
      <w:szCs w:val="20"/>
    </w:rPr>
  </w:style>
  <w:style w:type="character" w:customStyle="1" w:styleId="90">
    <w:name w:val="zw Char"/>
    <w:link w:val="89"/>
    <w:qFormat/>
    <w:uiPriority w:val="0"/>
    <w:rPr>
      <w:rFonts w:ascii="Arial Narrow" w:hAnsi="Arial Narrow" w:eastAsia="仿宋_GB2312" w:cs="Times New Roman"/>
      <w:kern w:val="0"/>
      <w:sz w:val="24"/>
      <w:szCs w:val="20"/>
    </w:rPr>
  </w:style>
  <w:style w:type="character" w:customStyle="1" w:styleId="91">
    <w:name w:val="正文文本 3 字符"/>
    <w:basedOn w:val="39"/>
    <w:semiHidden/>
    <w:qFormat/>
    <w:uiPriority w:val="99"/>
    <w:rPr>
      <w:sz w:val="16"/>
      <w:szCs w:val="16"/>
    </w:rPr>
  </w:style>
  <w:style w:type="character" w:customStyle="1" w:styleId="92">
    <w:name w:val="正文文本 3 Char"/>
    <w:link w:val="16"/>
    <w:qFormat/>
    <w:uiPriority w:val="0"/>
    <w:rPr>
      <w:rFonts w:ascii="Times New Roman" w:hAnsi="Times New Roman" w:eastAsia="宋体" w:cs="Times New Roman"/>
      <w:sz w:val="16"/>
      <w:szCs w:val="16"/>
    </w:rPr>
  </w:style>
  <w:style w:type="paragraph" w:customStyle="1" w:styleId="93">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94">
    <w:name w:val="xl24"/>
    <w:basedOn w:val="1"/>
    <w:qFormat/>
    <w:uiPriority w:val="0"/>
    <w:pPr>
      <w:widowControl/>
      <w:spacing w:before="100" w:beforeAutospacing="1" w:after="100" w:afterAutospacing="1"/>
      <w:jc w:val="left"/>
    </w:pPr>
    <w:rPr>
      <w:rFonts w:ascii="宋体" w:hAnsi="宋体" w:eastAsia="宋体" w:cs="Times New Roman"/>
      <w:kern w:val="0"/>
      <w:sz w:val="20"/>
      <w:szCs w:val="20"/>
    </w:rPr>
  </w:style>
  <w:style w:type="paragraph" w:customStyle="1" w:styleId="95">
    <w:name w:val="xl25"/>
    <w:basedOn w:val="1"/>
    <w:qFormat/>
    <w:uiPriority w:val="0"/>
    <w:pPr>
      <w:widowControl/>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96">
    <w:name w:val="xl26"/>
    <w:basedOn w:val="1"/>
    <w:qFormat/>
    <w:uiPriority w:val="0"/>
    <w:pPr>
      <w:widowControl/>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97">
    <w:name w:val="xl27"/>
    <w:basedOn w:val="1"/>
    <w:qFormat/>
    <w:uiPriority w:val="0"/>
    <w:pPr>
      <w:widowControl/>
      <w:spacing w:before="100" w:beforeAutospacing="1" w:after="100" w:afterAutospacing="1"/>
      <w:jc w:val="left"/>
    </w:pPr>
    <w:rPr>
      <w:rFonts w:ascii="宋体" w:hAnsi="宋体" w:eastAsia="宋体" w:cs="Times New Roman"/>
      <w:kern w:val="0"/>
      <w:sz w:val="20"/>
      <w:szCs w:val="20"/>
    </w:rPr>
  </w:style>
  <w:style w:type="paragraph" w:customStyle="1" w:styleId="98">
    <w:name w:val="xl28"/>
    <w:basedOn w:val="1"/>
    <w:qFormat/>
    <w:uiPriority w:val="0"/>
    <w:pPr>
      <w:widowControl/>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99">
    <w:name w:val="xl29"/>
    <w:basedOn w:val="1"/>
    <w:qFormat/>
    <w:uiPriority w:val="0"/>
    <w:pPr>
      <w:widowControl/>
      <w:spacing w:before="100" w:beforeAutospacing="1" w:after="100" w:afterAutospacing="1"/>
      <w:jc w:val="left"/>
    </w:pPr>
    <w:rPr>
      <w:rFonts w:ascii="宋体" w:hAnsi="宋体" w:eastAsia="宋体" w:cs="Times New Roman"/>
      <w:kern w:val="0"/>
      <w:sz w:val="20"/>
      <w:szCs w:val="20"/>
    </w:rPr>
  </w:style>
  <w:style w:type="character" w:customStyle="1" w:styleId="100">
    <w:name w:val="HTML 预设格式 字符"/>
    <w:basedOn w:val="39"/>
    <w:semiHidden/>
    <w:qFormat/>
    <w:uiPriority w:val="99"/>
    <w:rPr>
      <w:rFonts w:ascii="Courier New" w:hAnsi="Courier New" w:cs="Courier New"/>
      <w:sz w:val="20"/>
      <w:szCs w:val="20"/>
    </w:rPr>
  </w:style>
  <w:style w:type="character" w:customStyle="1" w:styleId="101">
    <w:name w:val="HTML 预设格式 Char"/>
    <w:link w:val="32"/>
    <w:qFormat/>
    <w:uiPriority w:val="0"/>
    <w:rPr>
      <w:rFonts w:ascii="宋体" w:hAnsi="宋体" w:eastAsia="宋体" w:cs="Times New Roman"/>
      <w:kern w:val="0"/>
      <w:sz w:val="24"/>
      <w:szCs w:val="24"/>
    </w:rPr>
  </w:style>
  <w:style w:type="paragraph" w:customStyle="1" w:styleId="102">
    <w:name w:val="xl39"/>
    <w:basedOn w:val="1"/>
    <w:qFormat/>
    <w:uiPriority w:val="0"/>
    <w:pPr>
      <w:widowControl/>
      <w:spacing w:before="100" w:beforeAutospacing="1" w:after="100" w:afterAutospacing="1"/>
      <w:jc w:val="left"/>
    </w:pPr>
    <w:rPr>
      <w:rFonts w:ascii="宋体" w:hAnsi="宋体" w:eastAsia="宋体" w:cs="Times New Roman"/>
      <w:kern w:val="0"/>
      <w:sz w:val="13"/>
      <w:szCs w:val="13"/>
    </w:rPr>
  </w:style>
  <w:style w:type="paragraph" w:customStyle="1" w:styleId="103">
    <w:name w:val="font0"/>
    <w:basedOn w:val="1"/>
    <w:qFormat/>
    <w:uiPriority w:val="0"/>
    <w:pPr>
      <w:widowControl/>
      <w:spacing w:before="100" w:beforeAutospacing="1" w:after="100" w:afterAutospacing="1"/>
      <w:jc w:val="left"/>
    </w:pPr>
    <w:rPr>
      <w:rFonts w:hint="eastAsia" w:ascii="宋体" w:hAnsi="宋体" w:eastAsia="宋体" w:cs="Arial Unicode MS"/>
      <w:kern w:val="0"/>
      <w:sz w:val="24"/>
      <w:szCs w:val="24"/>
    </w:rPr>
  </w:style>
  <w:style w:type="paragraph" w:customStyle="1" w:styleId="104">
    <w:name w:val="xl30"/>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5">
    <w:name w:val="xl3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6">
    <w:name w:val="xl3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7">
    <w:name w:val="xl3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8">
    <w:name w:val="xl34"/>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9">
    <w:name w:val="xl3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cs="Times New Roman"/>
      <w:kern w:val="0"/>
      <w:sz w:val="24"/>
      <w:szCs w:val="24"/>
    </w:rPr>
  </w:style>
  <w:style w:type="paragraph" w:customStyle="1" w:styleId="110">
    <w:name w:val="xl36"/>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left"/>
    </w:pPr>
    <w:rPr>
      <w:rFonts w:ascii="Times New Roman" w:hAnsi="Times New Roman" w:eastAsia="Arial Unicode MS" w:cs="Times New Roman"/>
      <w:kern w:val="0"/>
      <w:sz w:val="24"/>
      <w:szCs w:val="24"/>
    </w:rPr>
  </w:style>
  <w:style w:type="paragraph" w:customStyle="1" w:styleId="111">
    <w:name w:val="xl3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Times New Roman" w:hAnsi="Times New Roman" w:eastAsia="Arial Unicode MS" w:cs="Times New Roman"/>
      <w:kern w:val="0"/>
      <w:sz w:val="24"/>
      <w:szCs w:val="24"/>
    </w:rPr>
  </w:style>
  <w:style w:type="character" w:customStyle="1" w:styleId="112">
    <w:name w:val="px141"/>
    <w:qFormat/>
    <w:uiPriority w:val="0"/>
    <w:rPr>
      <w:sz w:val="21"/>
      <w:szCs w:val="21"/>
    </w:rPr>
  </w:style>
  <w:style w:type="paragraph" w:customStyle="1" w:styleId="113">
    <w:name w:val="Char"/>
    <w:basedOn w:val="1"/>
    <w:qFormat/>
    <w:uiPriority w:val="0"/>
    <w:rPr>
      <w:rFonts w:ascii="Times New Roman" w:hAnsi="Times New Roman" w:eastAsia="宋体" w:cs="Times New Roman"/>
      <w:szCs w:val="24"/>
    </w:rPr>
  </w:style>
  <w:style w:type="paragraph" w:customStyle="1" w:styleId="114">
    <w:name w:val="正文宋体"/>
    <w:basedOn w:val="21"/>
    <w:qFormat/>
    <w:uiPriority w:val="0"/>
    <w:pPr>
      <w:widowControl/>
      <w:adjustRightInd w:val="0"/>
      <w:spacing w:before="60" w:after="60"/>
      <w:ind w:firstLine="454"/>
      <w:textAlignment w:val="baseline"/>
    </w:pPr>
    <w:rPr>
      <w:kern w:val="0"/>
    </w:rPr>
  </w:style>
  <w:style w:type="paragraph" w:customStyle="1" w:styleId="115">
    <w:name w:val="Char Char Char1 Char Char Char Char Char Char Char Char Char Char Char Char Char Char Char Char"/>
    <w:basedOn w:val="1"/>
    <w:qFormat/>
    <w:uiPriority w:val="0"/>
    <w:pPr>
      <w:adjustRightInd w:val="0"/>
      <w:spacing w:line="360" w:lineRule="atLeast"/>
      <w:jc w:val="left"/>
      <w:textAlignment w:val="baseline"/>
    </w:pPr>
    <w:rPr>
      <w:rFonts w:ascii="Tahoma" w:hAnsi="Tahoma" w:eastAsia="宋体" w:cs="Times New Roman"/>
      <w:kern w:val="0"/>
      <w:sz w:val="24"/>
      <w:szCs w:val="20"/>
    </w:rPr>
  </w:style>
  <w:style w:type="paragraph" w:customStyle="1" w:styleId="116">
    <w:name w:val="小标号"/>
    <w:basedOn w:val="1"/>
    <w:next w:val="1"/>
    <w:qFormat/>
    <w:uiPriority w:val="0"/>
    <w:pPr>
      <w:tabs>
        <w:tab w:val="left" w:pos="567"/>
      </w:tabs>
      <w:snapToGrid w:val="0"/>
      <w:spacing w:beforeLines="50" w:line="360" w:lineRule="auto"/>
      <w:jc w:val="left"/>
    </w:pPr>
    <w:rPr>
      <w:rFonts w:ascii="Times New Roman" w:hAnsi="Arial" w:eastAsia="宋体" w:cs="Times New Roman"/>
      <w:b/>
      <w:bCs/>
      <w:color w:val="000000"/>
      <w:spacing w:val="6"/>
      <w:sz w:val="24"/>
      <w:szCs w:val="24"/>
    </w:rPr>
  </w:style>
  <w:style w:type="character" w:customStyle="1" w:styleId="117">
    <w:name w:val="big1"/>
    <w:qFormat/>
    <w:uiPriority w:val="0"/>
    <w:rPr>
      <w:sz w:val="22"/>
      <w:szCs w:val="22"/>
    </w:rPr>
  </w:style>
  <w:style w:type="character" w:customStyle="1" w:styleId="118">
    <w:name w:val="正文文本 2 字符"/>
    <w:basedOn w:val="39"/>
    <w:semiHidden/>
    <w:qFormat/>
    <w:uiPriority w:val="99"/>
  </w:style>
  <w:style w:type="character" w:customStyle="1" w:styleId="119">
    <w:name w:val="正文文本 2 Char"/>
    <w:link w:val="31"/>
    <w:qFormat/>
    <w:uiPriority w:val="0"/>
    <w:rPr>
      <w:rFonts w:ascii="Times New Roman" w:hAnsi="Times New Roman" w:eastAsia="宋体" w:cs="Times New Roman"/>
      <w:szCs w:val="24"/>
    </w:rPr>
  </w:style>
  <w:style w:type="paragraph" w:customStyle="1" w:styleId="120">
    <w:name w:val="5"/>
    <w:basedOn w:val="1"/>
    <w:next w:val="21"/>
    <w:qFormat/>
    <w:uiPriority w:val="0"/>
    <w:pPr>
      <w:adjustRightInd w:val="0"/>
      <w:spacing w:line="312" w:lineRule="atLeast"/>
      <w:textAlignment w:val="baseline"/>
    </w:pPr>
    <w:rPr>
      <w:rFonts w:ascii="宋体" w:hAnsi="Courier New" w:eastAsia="宋体" w:cs="Times New Roman"/>
      <w:kern w:val="0"/>
      <w:szCs w:val="20"/>
    </w:rPr>
  </w:style>
  <w:style w:type="paragraph" w:customStyle="1" w:styleId="121">
    <w:name w:val="4"/>
    <w:basedOn w:val="1"/>
    <w:next w:val="29"/>
    <w:qFormat/>
    <w:uiPriority w:val="0"/>
    <w:pPr>
      <w:spacing w:line="460" w:lineRule="exact"/>
      <w:ind w:firstLine="1080"/>
    </w:pPr>
    <w:rPr>
      <w:rFonts w:ascii="Times New Roman" w:hAnsi="Times New Roman" w:eastAsia="宋体" w:cs="Times New Roman"/>
      <w:sz w:val="24"/>
      <w:szCs w:val="24"/>
    </w:rPr>
  </w:style>
  <w:style w:type="paragraph" w:customStyle="1" w:styleId="122">
    <w:name w:val="3"/>
    <w:basedOn w:val="1"/>
    <w:next w:val="21"/>
    <w:qFormat/>
    <w:uiPriority w:val="0"/>
    <w:rPr>
      <w:rFonts w:ascii="宋体" w:hAnsi="Courier New" w:eastAsia="宋体" w:cs="Times New Roman"/>
      <w:szCs w:val="20"/>
    </w:rPr>
  </w:style>
  <w:style w:type="paragraph" w:customStyle="1" w:styleId="123">
    <w:name w:val="2"/>
    <w:basedOn w:val="1"/>
    <w:next w:val="29"/>
    <w:qFormat/>
    <w:uiPriority w:val="0"/>
    <w:pPr>
      <w:spacing w:line="460" w:lineRule="exact"/>
      <w:ind w:firstLine="1080"/>
    </w:pPr>
    <w:rPr>
      <w:rFonts w:ascii="Times New Roman" w:hAnsi="Times New Roman" w:eastAsia="宋体" w:cs="Times New Roman"/>
      <w:sz w:val="24"/>
      <w:szCs w:val="24"/>
    </w:rPr>
  </w:style>
  <w:style w:type="paragraph" w:customStyle="1" w:styleId="124">
    <w:name w:val="1"/>
    <w:basedOn w:val="1"/>
    <w:next w:val="33"/>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
    <w:name w:val="font6"/>
    <w:basedOn w:val="1"/>
    <w:qFormat/>
    <w:uiPriority w:val="0"/>
    <w:pPr>
      <w:widowControl/>
      <w:spacing w:before="100" w:beforeAutospacing="1" w:after="100" w:afterAutospacing="1"/>
      <w:jc w:val="left"/>
    </w:pPr>
    <w:rPr>
      <w:rFonts w:hint="eastAsia" w:ascii="宋体" w:hAnsi="宋体" w:eastAsia="宋体" w:cs="Times New Roman"/>
      <w:color w:val="000000"/>
      <w:kern w:val="0"/>
      <w:sz w:val="20"/>
      <w:szCs w:val="20"/>
    </w:rPr>
  </w:style>
  <w:style w:type="paragraph" w:customStyle="1" w:styleId="126">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127">
    <w:name w:val="xl38"/>
    <w:basedOn w:val="1"/>
    <w:qFormat/>
    <w:uiPriority w:val="0"/>
    <w:pPr>
      <w:widowControl/>
      <w:spacing w:before="100" w:beforeAutospacing="1" w:after="100" w:afterAutospacing="1"/>
      <w:jc w:val="left"/>
    </w:pPr>
    <w:rPr>
      <w:rFonts w:ascii="宋体" w:hAnsi="宋体" w:eastAsia="宋体" w:cs="Times New Roman"/>
      <w:kern w:val="0"/>
      <w:sz w:val="13"/>
      <w:szCs w:val="13"/>
    </w:rPr>
  </w:style>
  <w:style w:type="paragraph" w:customStyle="1" w:styleId="128">
    <w:name w:val="xl40"/>
    <w:basedOn w:val="1"/>
    <w:qFormat/>
    <w:uiPriority w:val="0"/>
    <w:pPr>
      <w:widowControl/>
      <w:pBdr>
        <w:right w:val="single" w:color="auto" w:sz="8" w:space="0"/>
      </w:pBdr>
      <w:spacing w:before="100" w:beforeAutospacing="1" w:after="100" w:afterAutospacing="1"/>
    </w:pPr>
    <w:rPr>
      <w:rFonts w:ascii="宋体" w:hAnsi="宋体" w:eastAsia="宋体" w:cs="Times New Roman"/>
      <w:kern w:val="0"/>
      <w:sz w:val="13"/>
      <w:szCs w:val="13"/>
    </w:rPr>
  </w:style>
  <w:style w:type="paragraph" w:customStyle="1" w:styleId="129">
    <w:name w:val="6"/>
    <w:basedOn w:val="1"/>
    <w:next w:val="21"/>
    <w:qFormat/>
    <w:uiPriority w:val="0"/>
    <w:pPr>
      <w:adjustRightInd w:val="0"/>
      <w:spacing w:line="312" w:lineRule="atLeast"/>
      <w:textAlignment w:val="baseline"/>
    </w:pPr>
    <w:rPr>
      <w:rFonts w:ascii="宋体" w:hAnsi="Courier New" w:eastAsia="宋体" w:cs="Times New Roman"/>
      <w:kern w:val="0"/>
      <w:szCs w:val="20"/>
    </w:rPr>
  </w:style>
  <w:style w:type="paragraph" w:customStyle="1" w:styleId="130">
    <w:name w:val="附註內文"/>
    <w:basedOn w:val="1"/>
    <w:qFormat/>
    <w:uiPriority w:val="0"/>
    <w:pPr>
      <w:autoSpaceDE w:val="0"/>
      <w:autoSpaceDN w:val="0"/>
      <w:adjustRightInd w:val="0"/>
      <w:spacing w:line="300" w:lineRule="atLeast"/>
    </w:pPr>
    <w:rPr>
      <w:rFonts w:ascii="PMingLiU" w:hAnsi="Times New Roman" w:eastAsia="PMingLiU" w:cs="PMingLiU"/>
      <w:color w:val="000000"/>
      <w:kern w:val="0"/>
      <w:sz w:val="20"/>
      <w:szCs w:val="20"/>
      <w:lang w:eastAsia="zh-TW"/>
    </w:rPr>
  </w:style>
  <w:style w:type="character" w:customStyle="1" w:styleId="131">
    <w:name w:val="标题 字符"/>
    <w:basedOn w:val="39"/>
    <w:qFormat/>
    <w:uiPriority w:val="10"/>
    <w:rPr>
      <w:rFonts w:asciiTheme="majorHAnsi" w:hAnsiTheme="majorHAnsi" w:eastAsiaTheme="majorEastAsia" w:cstheme="majorBidi"/>
      <w:b/>
      <w:bCs/>
      <w:sz w:val="32"/>
      <w:szCs w:val="32"/>
    </w:rPr>
  </w:style>
  <w:style w:type="character" w:customStyle="1" w:styleId="132">
    <w:name w:val="标题 Char"/>
    <w:link w:val="34"/>
    <w:qFormat/>
    <w:uiPriority w:val="0"/>
    <w:rPr>
      <w:rFonts w:ascii="PMingLiU" w:hAnsi="Times New Roman" w:eastAsia="PMingLiU" w:cs="Times New Roman"/>
      <w:color w:val="000000"/>
      <w:kern w:val="0"/>
      <w:sz w:val="24"/>
      <w:szCs w:val="24"/>
      <w:lang w:eastAsia="zh-TW"/>
    </w:rPr>
  </w:style>
  <w:style w:type="paragraph" w:customStyle="1" w:styleId="133">
    <w:name w:val="xl22"/>
    <w:basedOn w:val="1"/>
    <w:qFormat/>
    <w:uiPriority w:val="0"/>
    <w:pPr>
      <w:widowControl/>
      <w:spacing w:before="100" w:beforeAutospacing="1" w:after="100" w:afterAutospacing="1"/>
      <w:jc w:val="left"/>
    </w:pPr>
    <w:rPr>
      <w:rFonts w:ascii="Arial Unicode MS" w:hAnsi="Arial Unicode MS" w:eastAsia="宋体" w:cs="Times New Roman"/>
      <w:kern w:val="0"/>
      <w:sz w:val="20"/>
      <w:szCs w:val="20"/>
    </w:rPr>
  </w:style>
  <w:style w:type="character" w:customStyle="1" w:styleId="134">
    <w:name w:val="正文首行缩进 字符"/>
    <w:basedOn w:val="86"/>
    <w:semiHidden/>
    <w:qFormat/>
    <w:uiPriority w:val="99"/>
  </w:style>
  <w:style w:type="character" w:customStyle="1" w:styleId="135">
    <w:name w:val="正文首行缩进 Char"/>
    <w:link w:val="36"/>
    <w:qFormat/>
    <w:uiPriority w:val="0"/>
    <w:rPr>
      <w:rFonts w:ascii="Times New Roman" w:hAnsi="Times New Roman" w:eastAsia="宋体" w:cs="Times New Roman"/>
      <w:szCs w:val="24"/>
    </w:rPr>
  </w:style>
  <w:style w:type="character" w:customStyle="1" w:styleId="136">
    <w:name w:val="Char Char3"/>
    <w:semiHidden/>
    <w:qFormat/>
    <w:locked/>
    <w:uiPriority w:val="0"/>
    <w:rPr>
      <w:rFonts w:ascii="宋体" w:hAnsi="Courier New" w:eastAsia="宋体"/>
      <w:kern w:val="2"/>
      <w:sz w:val="21"/>
      <w:lang w:val="en-US" w:eastAsia="zh-CN" w:bidi="ar-SA"/>
    </w:rPr>
  </w:style>
  <w:style w:type="character" w:customStyle="1" w:styleId="137">
    <w:name w:val="批注文字 字符"/>
    <w:basedOn w:val="39"/>
    <w:semiHidden/>
    <w:qFormat/>
    <w:uiPriority w:val="99"/>
  </w:style>
  <w:style w:type="character" w:customStyle="1" w:styleId="138">
    <w:name w:val="批注文字 Char"/>
    <w:link w:val="15"/>
    <w:semiHidden/>
    <w:qFormat/>
    <w:uiPriority w:val="0"/>
    <w:rPr>
      <w:rFonts w:ascii="Times New Roman" w:hAnsi="Times New Roman" w:eastAsia="宋体" w:cs="Times New Roman"/>
      <w:szCs w:val="24"/>
    </w:rPr>
  </w:style>
  <w:style w:type="character" w:customStyle="1" w:styleId="139">
    <w:name w:val="批注主题 字符"/>
    <w:basedOn w:val="137"/>
    <w:semiHidden/>
    <w:qFormat/>
    <w:uiPriority w:val="99"/>
    <w:rPr>
      <w:b/>
      <w:bCs/>
    </w:rPr>
  </w:style>
  <w:style w:type="character" w:customStyle="1" w:styleId="140">
    <w:name w:val="批注主题 Char"/>
    <w:link w:val="35"/>
    <w:semiHidden/>
    <w:qFormat/>
    <w:uiPriority w:val="0"/>
    <w:rPr>
      <w:rFonts w:ascii="Times New Roman" w:hAnsi="Times New Roman" w:eastAsia="宋体" w:cs="Times New Roman"/>
      <w:b/>
      <w:bCs/>
      <w:sz w:val="24"/>
      <w:szCs w:val="24"/>
    </w:rPr>
  </w:style>
  <w:style w:type="character" w:customStyle="1" w:styleId="141">
    <w:name w:val="文档结构图 字符"/>
    <w:basedOn w:val="39"/>
    <w:semiHidden/>
    <w:qFormat/>
    <w:uiPriority w:val="99"/>
    <w:rPr>
      <w:rFonts w:ascii="Microsoft YaHei UI" w:eastAsia="Microsoft YaHei UI"/>
      <w:sz w:val="18"/>
      <w:szCs w:val="18"/>
    </w:rPr>
  </w:style>
  <w:style w:type="character" w:customStyle="1" w:styleId="142">
    <w:name w:val="文档结构图 Char"/>
    <w:link w:val="14"/>
    <w:semiHidden/>
    <w:qFormat/>
    <w:uiPriority w:val="0"/>
    <w:rPr>
      <w:rFonts w:ascii="Times New Roman" w:hAnsi="Times New Roman" w:eastAsia="宋体" w:cs="Times New Roman"/>
      <w:szCs w:val="20"/>
      <w:shd w:val="clear" w:color="auto" w:fill="000080"/>
    </w:rPr>
  </w:style>
  <w:style w:type="character" w:customStyle="1" w:styleId="143">
    <w:name w:val="Char Char1"/>
    <w:semiHidden/>
    <w:qFormat/>
    <w:locked/>
    <w:uiPriority w:val="0"/>
    <w:rPr>
      <w:rFonts w:ascii="宋体" w:hAnsi="Courier New" w:eastAsia="宋体"/>
      <w:kern w:val="2"/>
      <w:sz w:val="24"/>
      <w:lang w:val="en-US" w:eastAsia="zh-CN" w:bidi="ar-SA"/>
    </w:rPr>
  </w:style>
  <w:style w:type="paragraph" w:customStyle="1" w:styleId="144">
    <w:name w:val="Char Char Char Char"/>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character" w:customStyle="1" w:styleId="145">
    <w:name w:val="普通文字 Char1"/>
    <w:qFormat/>
    <w:uiPriority w:val="0"/>
    <w:rPr>
      <w:rFonts w:ascii="宋体" w:hAnsi="Courier New" w:eastAsia="宋体"/>
      <w:kern w:val="2"/>
      <w:sz w:val="24"/>
      <w:lang w:val="en-US" w:eastAsia="zh-CN" w:bidi="ar-SA"/>
    </w:rPr>
  </w:style>
  <w:style w:type="character" w:customStyle="1" w:styleId="146">
    <w:name w:val="Char Char31"/>
    <w:semiHidden/>
    <w:qFormat/>
    <w:uiPriority w:val="0"/>
    <w:rPr>
      <w:rFonts w:ascii="宋体" w:hAnsi="Courier New" w:eastAsia="宋体"/>
      <w:kern w:val="2"/>
      <w:sz w:val="24"/>
      <w:lang w:val="en-US" w:eastAsia="zh-CN" w:bidi="ar-SA"/>
    </w:rPr>
  </w:style>
  <w:style w:type="paragraph" w:customStyle="1" w:styleId="147">
    <w:name w:val="Default"/>
    <w:qFormat/>
    <w:uiPriority w:val="0"/>
    <w:pPr>
      <w:widowControl w:val="0"/>
      <w:autoSpaceDE w:val="0"/>
      <w:autoSpaceDN w:val="0"/>
      <w:adjustRightInd w:val="0"/>
    </w:pPr>
    <w:rPr>
      <w:rFonts w:ascii="Kai Titling" w:hAnsi="Times New Roman" w:eastAsia="Kai Titling" w:cs="Kai Titling"/>
      <w:color w:val="000000"/>
      <w:sz w:val="24"/>
      <w:szCs w:val="24"/>
      <w:lang w:val="en-US" w:eastAsia="zh-CN" w:bidi="ar-SA"/>
    </w:rPr>
  </w:style>
  <w:style w:type="character" w:customStyle="1" w:styleId="148">
    <w:name w:val="black91"/>
    <w:qFormat/>
    <w:uiPriority w:val="0"/>
    <w:rPr>
      <w:rFonts w:hint="eastAsia" w:ascii="宋体" w:hAnsi="宋体" w:eastAsia="宋体"/>
      <w:color w:val="000000"/>
      <w:sz w:val="20"/>
      <w:szCs w:val="20"/>
    </w:rPr>
  </w:style>
  <w:style w:type="character" w:customStyle="1" w:styleId="149">
    <w:name w:val="a11"/>
    <w:qFormat/>
    <w:uiPriority w:val="0"/>
    <w:rPr>
      <w:sz w:val="14"/>
      <w:szCs w:val="14"/>
    </w:rPr>
  </w:style>
  <w:style w:type="paragraph" w:customStyle="1" w:styleId="150">
    <w:name w:val="Char Char1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styleId="151">
    <w:name w:val="List Paragraph"/>
    <w:basedOn w:val="1"/>
    <w:qFormat/>
    <w:uiPriority w:val="34"/>
    <w:pPr>
      <w:ind w:firstLine="420" w:firstLineChars="200"/>
    </w:pPr>
    <w:rPr>
      <w:rFonts w:ascii="Times New Roman" w:hAnsi="Times New Roman" w:eastAsia="宋体" w:cs="Times New Roman"/>
      <w:sz w:val="24"/>
      <w:szCs w:val="24"/>
    </w:rPr>
  </w:style>
  <w:style w:type="paragraph" w:customStyle="1" w:styleId="152">
    <w:name w:val="Char3 Char Char Char Char Char"/>
    <w:basedOn w:val="1"/>
    <w:qFormat/>
    <w:uiPriority w:val="0"/>
    <w:rPr>
      <w:rFonts w:ascii="Tahoma" w:hAnsi="Tahoma" w:eastAsia="宋体" w:cs="Times New Roman"/>
      <w:sz w:val="24"/>
      <w:szCs w:val="20"/>
    </w:rPr>
  </w:style>
  <w:style w:type="paragraph" w:customStyle="1" w:styleId="153">
    <w:name w:val="Char Char Char1 Char Char Char Char Char Char Char Char Char Char Char Char Char Char Char Char11"/>
    <w:basedOn w:val="1"/>
    <w:qFormat/>
    <w:uiPriority w:val="0"/>
    <w:pPr>
      <w:adjustRightInd w:val="0"/>
      <w:spacing w:line="360" w:lineRule="atLeast"/>
      <w:jc w:val="left"/>
    </w:pPr>
    <w:rPr>
      <w:rFonts w:ascii="Tahoma" w:hAnsi="Tahoma" w:eastAsia="宋体" w:cs="Times New Roman"/>
      <w:kern w:val="0"/>
      <w:sz w:val="24"/>
      <w:szCs w:val="20"/>
    </w:rPr>
  </w:style>
  <w:style w:type="paragraph" w:customStyle="1" w:styleId="154">
    <w:name w:val="样式 加粗 行距: 固定值 20 磅"/>
    <w:basedOn w:val="1"/>
    <w:qFormat/>
    <w:uiPriority w:val="0"/>
    <w:pPr>
      <w:spacing w:line="360" w:lineRule="auto"/>
      <w:ind w:firstLine="200" w:firstLineChars="200"/>
    </w:pPr>
    <w:rPr>
      <w:rFonts w:ascii="Times New Roman" w:hAnsi="Times New Roman" w:eastAsia="宋体" w:cs="宋体"/>
      <w:b/>
      <w:bCs/>
      <w:szCs w:val="20"/>
    </w:rPr>
  </w:style>
  <w:style w:type="paragraph" w:customStyle="1" w:styleId="155">
    <w:name w:val="Char Char Char Char1"/>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156">
    <w:name w:val="Char1"/>
    <w:basedOn w:val="1"/>
    <w:qFormat/>
    <w:uiPriority w:val="0"/>
    <w:pPr>
      <w:spacing w:line="440" w:lineRule="exact"/>
      <w:ind w:firstLine="196" w:firstLineChars="196"/>
    </w:pPr>
    <w:rPr>
      <w:rFonts w:ascii="Times New Roman" w:hAnsi="Times New Roman" w:eastAsia="宋体" w:cs="Times New Roman"/>
      <w:szCs w:val="24"/>
    </w:rPr>
  </w:style>
  <w:style w:type="paragraph" w:customStyle="1" w:styleId="157">
    <w:name w:val="纯文本1"/>
    <w:basedOn w:val="1"/>
    <w:qFormat/>
    <w:uiPriority w:val="0"/>
    <w:rPr>
      <w:rFonts w:ascii="宋体" w:hAnsi="Courier New" w:eastAsia="宋体" w:cs="Times New Roman"/>
      <w:sz w:val="24"/>
      <w:szCs w:val="20"/>
    </w:rPr>
  </w:style>
  <w:style w:type="paragraph" w:customStyle="1" w:styleId="158">
    <w:name w:val="样式7"/>
    <w:basedOn w:val="1"/>
    <w:qFormat/>
    <w:uiPriority w:val="0"/>
    <w:pPr>
      <w:spacing w:line="360" w:lineRule="auto"/>
      <w:ind w:firstLine="567"/>
    </w:pPr>
    <w:rPr>
      <w:rFonts w:ascii="仿宋_GB2312" w:hAnsi="Times New Roman" w:eastAsia="仿宋_GB2312" w:cs="Times New Roman"/>
      <w:sz w:val="28"/>
      <w:szCs w:val="20"/>
    </w:rPr>
  </w:style>
  <w:style w:type="paragraph" w:customStyle="1" w:styleId="159">
    <w:name w:val="Char Char Char1 Char Char Char Char Char Char Char Char Char Char Char Char Char Char Char Char1"/>
    <w:basedOn w:val="1"/>
    <w:qFormat/>
    <w:uiPriority w:val="0"/>
    <w:pPr>
      <w:adjustRightInd w:val="0"/>
      <w:spacing w:line="360" w:lineRule="atLeast"/>
      <w:ind w:firstLine="196" w:firstLineChars="196"/>
      <w:jc w:val="left"/>
    </w:pPr>
    <w:rPr>
      <w:rFonts w:ascii="Tahoma" w:hAnsi="Tahoma" w:eastAsia="宋体" w:cs="Times New Roman"/>
      <w:kern w:val="0"/>
      <w:sz w:val="24"/>
      <w:szCs w:val="20"/>
    </w:rPr>
  </w:style>
  <w:style w:type="paragraph" w:customStyle="1" w:styleId="160">
    <w:name w:val="fig"/>
    <w:basedOn w:val="1"/>
    <w:qFormat/>
    <w:uiPriority w:val="0"/>
    <w:pPr>
      <w:overflowPunct w:val="0"/>
      <w:autoSpaceDE w:val="0"/>
      <w:autoSpaceDN w:val="0"/>
      <w:adjustRightInd w:val="0"/>
      <w:spacing w:before="120" w:after="240" w:line="360" w:lineRule="atLeast"/>
      <w:jc w:val="center"/>
    </w:pPr>
    <w:rPr>
      <w:rFonts w:hint="eastAsia" w:ascii="黑体" w:hAnsi="Times New Roman" w:eastAsia="黑体" w:cs="Times New Roman"/>
      <w:kern w:val="0"/>
      <w:sz w:val="24"/>
      <w:szCs w:val="20"/>
    </w:rPr>
  </w:style>
  <w:style w:type="paragraph" w:customStyle="1" w:styleId="161">
    <w:name w:val="Char3"/>
    <w:basedOn w:val="1"/>
    <w:qFormat/>
    <w:uiPriority w:val="0"/>
    <w:pPr>
      <w:spacing w:line="440" w:lineRule="exact"/>
      <w:ind w:firstLine="196" w:firstLineChars="196"/>
    </w:pPr>
    <w:rPr>
      <w:rFonts w:ascii="Tahoma" w:hAnsi="Tahoma" w:eastAsia="宋体" w:cs="Times New Roman"/>
      <w:sz w:val="24"/>
      <w:szCs w:val="20"/>
    </w:rPr>
  </w:style>
  <w:style w:type="paragraph" w:customStyle="1" w:styleId="162">
    <w:name w:val="Char31"/>
    <w:basedOn w:val="1"/>
    <w:qFormat/>
    <w:uiPriority w:val="0"/>
    <w:rPr>
      <w:rFonts w:ascii="Tahoma" w:hAnsi="Tahoma" w:eastAsia="宋体" w:cs="Times New Roman"/>
      <w:sz w:val="24"/>
      <w:szCs w:val="20"/>
    </w:rPr>
  </w:style>
  <w:style w:type="paragraph" w:customStyle="1" w:styleId="16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customStyle="1" w:styleId="164">
    <w:name w:val="列出段落1"/>
    <w:basedOn w:val="1"/>
    <w:qFormat/>
    <w:uiPriority w:val="0"/>
    <w:pPr>
      <w:ind w:firstLine="420" w:firstLineChars="200"/>
    </w:pPr>
    <w:rPr>
      <w:rFonts w:ascii="Calibri" w:hAnsi="Calibri" w:eastAsia="宋体" w:cs="Times New Roman"/>
    </w:rPr>
  </w:style>
  <w:style w:type="paragraph" w:customStyle="1" w:styleId="165">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6">
    <w:name w:val="Char Char11"/>
    <w:semiHidden/>
    <w:qFormat/>
    <w:uiPriority w:val="0"/>
    <w:rPr>
      <w:rFonts w:ascii="宋体" w:hAnsi="Courier New" w:eastAsia="宋体"/>
      <w:kern w:val="2"/>
      <w:sz w:val="24"/>
      <w:lang w:val="en-US" w:eastAsia="zh-CN" w:bidi="ar-SA"/>
    </w:rPr>
  </w:style>
  <w:style w:type="character" w:customStyle="1" w:styleId="167">
    <w:name w:val="脚注文本 字符"/>
    <w:basedOn w:val="39"/>
    <w:semiHidden/>
    <w:qFormat/>
    <w:uiPriority w:val="99"/>
    <w:rPr>
      <w:sz w:val="18"/>
      <w:szCs w:val="18"/>
    </w:rPr>
  </w:style>
  <w:style w:type="character" w:customStyle="1" w:styleId="168">
    <w:name w:val="脚注文本 Char"/>
    <w:link w:val="28"/>
    <w:qFormat/>
    <w:uiPriority w:val="0"/>
    <w:rPr>
      <w:rFonts w:ascii="Times New Roman" w:hAnsi="Times New Roman" w:eastAsia="宋体" w:cs="Times New Roman"/>
      <w:sz w:val="18"/>
      <w:szCs w:val="18"/>
    </w:rPr>
  </w:style>
  <w:style w:type="paragraph" w:customStyle="1" w:styleId="169">
    <w:name w:val="Char Char1 Char Char Char Char Char Char Char Char 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7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1">
    <w:name w:val="TOC 标题1"/>
    <w:basedOn w:val="3"/>
    <w:next w:val="1"/>
    <w:unhideWhenUsed/>
    <w:qFormat/>
    <w:uiPriority w:val="39"/>
    <w:pPr>
      <w:keepLines/>
      <w:widowControl/>
      <w:numPr>
        <w:numId w:val="0"/>
      </w:numPr>
      <w:spacing w:before="480" w:line="276" w:lineRule="auto"/>
      <w:jc w:val="left"/>
      <w:outlineLvl w:val="9"/>
    </w:pPr>
    <w:rPr>
      <w:rFonts w:asciiTheme="majorHAnsi" w:hAnsiTheme="majorHAnsi" w:eastAsiaTheme="majorEastAsia" w:cstheme="majorBidi"/>
      <w:b/>
      <w:bCs/>
      <w:color w:val="2F5597" w:themeColor="accent1" w:themeShade="BF"/>
      <w:kern w:val="0"/>
      <w:szCs w:val="28"/>
    </w:rPr>
  </w:style>
  <w:style w:type="character" w:customStyle="1" w:styleId="172">
    <w:name w:val="jbxxcontent"/>
    <w:qFormat/>
    <w:uiPriority w:val="0"/>
  </w:style>
  <w:style w:type="character" w:customStyle="1" w:styleId="173">
    <w:name w:val="font14 line-height"/>
    <w:basedOn w:val="39"/>
    <w:qFormat/>
    <w:uiPriority w:val="0"/>
  </w:style>
  <w:style w:type="character" w:customStyle="1" w:styleId="174">
    <w:name w:val="font21"/>
    <w:basedOn w:val="39"/>
    <w:qFormat/>
    <w:uiPriority w:val="0"/>
    <w:rPr>
      <w:rFonts w:hint="default" w:ascii="仿宋_GB2312" w:eastAsia="仿宋_GB2312" w:cs="仿宋_GB2312"/>
      <w:color w:val="000000"/>
      <w:sz w:val="21"/>
      <w:szCs w:val="21"/>
      <w:u w:val="none"/>
    </w:rPr>
  </w:style>
  <w:style w:type="character" w:customStyle="1" w:styleId="175">
    <w:name w:val="font11"/>
    <w:basedOn w:val="39"/>
    <w:qFormat/>
    <w:uiPriority w:val="0"/>
    <w:rPr>
      <w:rFonts w:hint="default"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4A924-2E8E-455A-95ED-5CB46A272FA0}">
  <ds:schemaRefs/>
</ds:datastoreItem>
</file>

<file path=docProps/app.xml><?xml version="1.0" encoding="utf-8"?>
<Properties xmlns="http://schemas.openxmlformats.org/officeDocument/2006/extended-properties" xmlns:vt="http://schemas.openxmlformats.org/officeDocument/2006/docPropsVTypes">
  <Template>Normal.dotm</Template>
  <Pages>29</Pages>
  <Words>3252</Words>
  <Characters>18537</Characters>
  <Lines>154</Lines>
  <Paragraphs>43</Paragraphs>
  <TotalTime>3</TotalTime>
  <ScaleCrop>false</ScaleCrop>
  <LinksUpToDate>false</LinksUpToDate>
  <CharactersWithSpaces>21746</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2017-10-14T10:27:00Z</dcterms:created>
  <dc:creator>吴花卿</dc:creator>
  <cp:lastModifiedBy>张宇翔</cp:lastModifiedBy>
  <cp:lastPrinted>2018-07-31T03:10:00Z</cp:lastPrinted>
  <dcterms:modified xsi:type="dcterms:W3CDTF">2019-08-22T06:30:22Z</dcterms:modified>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