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40"/>
        </w:tabs>
        <w:snapToGrid w:val="0"/>
        <w:spacing w:line="800" w:lineRule="exact"/>
        <w:ind w:firstLine="627" w:firstLineChars="142"/>
        <w:jc w:val="center"/>
        <w:rPr>
          <w:rFonts w:hint="eastAsia" w:ascii="宋体" w:hAnsi="宋体" w:cs="宋体"/>
          <w:b/>
          <w:snapToGrid w:val="0"/>
          <w:color w:val="auto"/>
          <w:kern w:val="0"/>
          <w:sz w:val="44"/>
          <w:szCs w:val="44"/>
        </w:rPr>
      </w:pPr>
    </w:p>
    <w:p>
      <w:pPr>
        <w:tabs>
          <w:tab w:val="left" w:pos="540"/>
        </w:tabs>
        <w:snapToGrid w:val="0"/>
        <w:spacing w:line="800" w:lineRule="exact"/>
        <w:ind w:firstLine="627" w:firstLineChars="142"/>
        <w:jc w:val="center"/>
        <w:rPr>
          <w:rFonts w:ascii="黑体" w:hAnsi="宋体" w:eastAsia="黑体" w:cs="宋体"/>
          <w:b/>
          <w:snapToGrid w:val="0"/>
          <w:color w:val="auto"/>
          <w:kern w:val="0"/>
          <w:sz w:val="44"/>
          <w:szCs w:val="44"/>
        </w:rPr>
      </w:pPr>
      <w:r>
        <w:rPr>
          <w:rFonts w:hint="eastAsia" w:ascii="宋体" w:hAnsi="宋体" w:cs="宋体"/>
          <w:b/>
          <w:snapToGrid w:val="0"/>
          <w:color w:val="auto"/>
          <w:kern w:val="0"/>
          <w:sz w:val="44"/>
          <w:szCs w:val="44"/>
        </w:rPr>
        <w:t>房地产</w:t>
      </w:r>
      <w:r>
        <w:rPr>
          <w:rFonts w:hint="eastAsia" w:ascii="宋体" w:hAnsi="宋体" w:cs="宋体"/>
          <w:b/>
          <w:snapToGrid w:val="0"/>
          <w:color w:val="auto"/>
          <w:kern w:val="0"/>
          <w:sz w:val="44"/>
          <w:szCs w:val="44"/>
          <w:lang w:eastAsia="zh-CN"/>
        </w:rPr>
        <w:t>司法鉴定</w:t>
      </w:r>
      <w:r>
        <w:rPr>
          <w:rFonts w:hint="eastAsia" w:ascii="宋体" w:hAnsi="宋体" w:cs="宋体"/>
          <w:b/>
          <w:snapToGrid w:val="0"/>
          <w:color w:val="auto"/>
          <w:kern w:val="0"/>
          <w:sz w:val="44"/>
          <w:szCs w:val="44"/>
        </w:rPr>
        <w:t>估价报告</w:t>
      </w:r>
    </w:p>
    <w:p>
      <w:pPr>
        <w:tabs>
          <w:tab w:val="left" w:pos="540"/>
        </w:tabs>
        <w:snapToGrid w:val="0"/>
        <w:spacing w:line="800" w:lineRule="exact"/>
        <w:ind w:firstLine="627" w:firstLineChars="142"/>
        <w:jc w:val="center"/>
        <w:rPr>
          <w:rFonts w:ascii="黑体" w:hAnsi="宋体" w:eastAsia="黑体" w:cs="宋体"/>
          <w:b/>
          <w:snapToGrid w:val="0"/>
          <w:color w:val="auto"/>
          <w:kern w:val="0"/>
          <w:sz w:val="44"/>
          <w:szCs w:val="44"/>
        </w:rPr>
      </w:pPr>
    </w:p>
    <w:p>
      <w:pPr>
        <w:tabs>
          <w:tab w:val="left" w:pos="540"/>
        </w:tabs>
        <w:snapToGrid w:val="0"/>
        <w:spacing w:line="800" w:lineRule="exact"/>
        <w:ind w:firstLine="627" w:firstLineChars="142"/>
        <w:jc w:val="center"/>
        <w:rPr>
          <w:rFonts w:ascii="黑体" w:hAnsi="宋体" w:eastAsia="黑体" w:cs="宋体"/>
          <w:b/>
          <w:snapToGrid w:val="0"/>
          <w:color w:val="auto"/>
          <w:kern w:val="0"/>
          <w:sz w:val="44"/>
          <w:szCs w:val="44"/>
        </w:rPr>
      </w:pP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估价报告编号:</w:t>
      </w:r>
    </w:p>
    <w:p>
      <w:pPr>
        <w:tabs>
          <w:tab w:val="left" w:pos="2160"/>
        </w:tabs>
        <w:adjustRightInd w:val="0"/>
        <w:spacing w:line="600" w:lineRule="exact"/>
        <w:ind w:left="636" w:leftChars="303" w:firstLine="0" w:firstLineChars="0"/>
        <w:rPr>
          <w:rFonts w:hint="eastAsia" w:ascii="仿宋" w:hAnsi="仿宋" w:eastAsia="仿宋" w:cs="仿宋"/>
          <w:snapToGrid w:val="0"/>
          <w:color w:val="auto"/>
          <w:spacing w:val="2"/>
          <w:kern w:val="0"/>
          <w:sz w:val="28"/>
          <w:szCs w:val="28"/>
          <w:lang w:eastAsia="zh-CN"/>
        </w:rPr>
      </w:pPr>
      <w:r>
        <w:rPr>
          <w:rFonts w:hint="eastAsia" w:ascii="仿宋" w:hAnsi="仿宋" w:eastAsia="仿宋" w:cs="仿宋"/>
          <w:snapToGrid w:val="0"/>
          <w:color w:val="auto"/>
          <w:spacing w:val="2"/>
          <w:kern w:val="0"/>
          <w:sz w:val="28"/>
          <w:szCs w:val="28"/>
          <w:lang w:eastAsia="zh-CN"/>
        </w:rPr>
        <w:t>川天成房估(2019)第C235号</w:t>
      </w: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估价项目名称：</w:t>
      </w:r>
    </w:p>
    <w:p>
      <w:pPr>
        <w:tabs>
          <w:tab w:val="left" w:pos="2160"/>
        </w:tabs>
        <w:adjustRightInd w:val="0"/>
        <w:spacing w:line="600" w:lineRule="exact"/>
        <w:ind w:left="636" w:leftChars="303" w:firstLine="0" w:firstLineChars="0"/>
        <w:rPr>
          <w:rFonts w:hint="eastAsia" w:ascii="仿宋" w:hAnsi="仿宋" w:eastAsia="仿宋" w:cs="仿宋"/>
          <w:snapToGrid w:val="0"/>
          <w:color w:val="auto"/>
          <w:spacing w:val="2"/>
          <w:kern w:val="0"/>
          <w:sz w:val="28"/>
          <w:szCs w:val="28"/>
          <w:lang w:val="en-US" w:eastAsia="zh-CN"/>
        </w:rPr>
      </w:pPr>
      <w:r>
        <w:rPr>
          <w:rFonts w:hint="eastAsia" w:ascii="仿宋" w:hAnsi="仿宋" w:eastAsia="仿宋" w:cs="仿宋"/>
          <w:snapToGrid w:val="0"/>
          <w:color w:val="auto"/>
          <w:spacing w:val="2"/>
          <w:kern w:val="0"/>
          <w:sz w:val="28"/>
          <w:szCs w:val="28"/>
          <w:lang w:eastAsia="zh-CN"/>
        </w:rPr>
        <w:t>六盘水市钟</w:t>
      </w:r>
      <w:r>
        <w:rPr>
          <w:rFonts w:hint="eastAsia" w:ascii="仿宋" w:hAnsi="仿宋" w:eastAsia="仿宋" w:cs="仿宋"/>
          <w:snapToGrid w:val="0"/>
          <w:color w:val="auto"/>
          <w:spacing w:val="2"/>
          <w:kern w:val="0"/>
          <w:sz w:val="28"/>
          <w:szCs w:val="28"/>
          <w:lang w:val="en-US" w:eastAsia="zh-CN"/>
        </w:rPr>
        <w:t>山区市场路9号附12号住宅房地产市场价值估价</w:t>
      </w: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估价委托人：</w:t>
      </w:r>
    </w:p>
    <w:p>
      <w:pPr>
        <w:tabs>
          <w:tab w:val="left" w:pos="2160"/>
        </w:tabs>
        <w:adjustRightInd w:val="0"/>
        <w:spacing w:line="600" w:lineRule="exact"/>
        <w:ind w:firstLine="627" w:firstLineChars="196"/>
        <w:rPr>
          <w:rFonts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lang w:eastAsia="zh-CN"/>
        </w:rPr>
        <w:t>六盘水市钟山</w:t>
      </w:r>
      <w:r>
        <w:rPr>
          <w:rFonts w:hint="eastAsia" w:ascii="仿宋" w:hAnsi="仿宋" w:eastAsia="仿宋" w:cs="宋体"/>
          <w:snapToGrid w:val="0"/>
          <w:color w:val="auto"/>
          <w:spacing w:val="20"/>
          <w:kern w:val="0"/>
          <w:sz w:val="28"/>
          <w:szCs w:val="28"/>
        </w:rPr>
        <w:t>区人民法院</w:t>
      </w: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 xml:space="preserve">房地产估价机构：                                                                                                                                                                                                                                                                                                                                                                                                                                                                                                                                                                                                                                                                                                                                                                                                                                                                                                                    </w:t>
      </w:r>
    </w:p>
    <w:p>
      <w:pPr>
        <w:tabs>
          <w:tab w:val="left" w:pos="2160"/>
        </w:tabs>
        <w:adjustRightInd w:val="0"/>
        <w:spacing w:line="600" w:lineRule="exact"/>
        <w:ind w:firstLine="627" w:firstLineChars="196"/>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rPr>
        <w:t>四川天成房地产土地估价咨询有限公司</w:t>
      </w:r>
      <w:r>
        <w:rPr>
          <w:rFonts w:hint="eastAsia"/>
          <w:color w:val="auto"/>
          <w:lang w:val="en-US" w:eastAsia="zh-CN"/>
        </w:rPr>
        <w:t xml:space="preserve"> </w:t>
      </w:r>
      <w:r>
        <w:rPr>
          <w:rFonts w:hint="eastAsia" w:ascii="仿宋" w:hAnsi="仿宋" w:eastAsia="仿宋" w:cs="宋体"/>
          <w:snapToGrid w:val="0"/>
          <w:color w:val="auto"/>
          <w:spacing w:val="20"/>
          <w:kern w:val="0"/>
          <w:sz w:val="28"/>
          <w:szCs w:val="28"/>
          <w:lang w:val="en-US" w:eastAsia="zh-CN"/>
        </w:rPr>
        <w:t xml:space="preserve">  壹级</w:t>
      </w: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注册房地产估价师：</w:t>
      </w:r>
    </w:p>
    <w:p>
      <w:pPr>
        <w:tabs>
          <w:tab w:val="left" w:pos="2160"/>
        </w:tabs>
        <w:adjustRightInd w:val="0"/>
        <w:spacing w:line="600" w:lineRule="exact"/>
        <w:ind w:firstLine="627" w:firstLineChars="196"/>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lang w:eastAsia="zh-CN"/>
        </w:rPr>
        <w:t>段春兰</w:t>
      </w:r>
      <w:r>
        <w:rPr>
          <w:rFonts w:hint="eastAsia" w:ascii="仿宋" w:hAnsi="仿宋" w:eastAsia="仿宋" w:cs="宋体"/>
          <w:snapToGrid w:val="0"/>
          <w:color w:val="auto"/>
          <w:spacing w:val="20"/>
          <w:kern w:val="0"/>
          <w:sz w:val="28"/>
          <w:szCs w:val="28"/>
        </w:rPr>
        <w:t>[注册号</w:t>
      </w:r>
      <w:r>
        <w:rPr>
          <w:rFonts w:hint="eastAsia" w:ascii="仿宋" w:hAnsi="仿宋" w:eastAsia="仿宋" w:cs="宋体"/>
          <w:snapToGrid w:val="0"/>
          <w:color w:val="auto"/>
          <w:spacing w:val="20"/>
          <w:kern w:val="0"/>
          <w:sz w:val="28"/>
          <w:szCs w:val="28"/>
          <w:lang w:val="en-US" w:eastAsia="zh-CN"/>
        </w:rPr>
        <w:t>5220190048</w:t>
      </w:r>
      <w:r>
        <w:rPr>
          <w:rFonts w:hint="eastAsia" w:ascii="仿宋" w:hAnsi="仿宋" w:eastAsia="仿宋" w:cs="宋体"/>
          <w:snapToGrid w:val="0"/>
          <w:color w:val="auto"/>
          <w:spacing w:val="20"/>
          <w:kern w:val="0"/>
          <w:sz w:val="28"/>
          <w:szCs w:val="28"/>
        </w:rPr>
        <w:t>]</w:t>
      </w:r>
    </w:p>
    <w:p>
      <w:pPr>
        <w:tabs>
          <w:tab w:val="left" w:pos="2160"/>
        </w:tabs>
        <w:adjustRightInd w:val="0"/>
        <w:spacing w:line="600" w:lineRule="exact"/>
        <w:ind w:firstLine="640" w:firstLineChars="200"/>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rPr>
        <w:t>罗泽芳[注册号5120150067]</w:t>
      </w:r>
    </w:p>
    <w:p>
      <w:pPr>
        <w:tabs>
          <w:tab w:val="left" w:pos="2160"/>
        </w:tabs>
        <w:adjustRightInd w:val="0"/>
        <w:spacing w:line="600" w:lineRule="exact"/>
        <w:rPr>
          <w:rFonts w:ascii="仿宋" w:hAnsi="仿宋" w:eastAsia="仿宋" w:cs="宋体"/>
          <w:b/>
          <w:snapToGrid w:val="0"/>
          <w:color w:val="auto"/>
          <w:spacing w:val="20"/>
          <w:kern w:val="0"/>
          <w:sz w:val="28"/>
          <w:szCs w:val="28"/>
        </w:rPr>
      </w:pPr>
      <w:r>
        <w:rPr>
          <w:rFonts w:hint="eastAsia" w:ascii="仿宋" w:hAnsi="仿宋" w:eastAsia="仿宋" w:cs="宋体"/>
          <w:b/>
          <w:snapToGrid w:val="0"/>
          <w:color w:val="auto"/>
          <w:spacing w:val="20"/>
          <w:kern w:val="0"/>
          <w:sz w:val="28"/>
          <w:szCs w:val="28"/>
        </w:rPr>
        <w:t>估价报告出具日期：</w:t>
      </w:r>
    </w:p>
    <w:p>
      <w:pPr>
        <w:tabs>
          <w:tab w:val="left" w:pos="2160"/>
        </w:tabs>
        <w:adjustRightInd w:val="0"/>
        <w:spacing w:line="600" w:lineRule="exact"/>
        <w:rPr>
          <w:rFonts w:hint="eastAsia" w:ascii="仿宋" w:hAnsi="仿宋" w:eastAsia="仿宋" w:cs="宋体"/>
          <w:snapToGrid w:val="0"/>
          <w:color w:val="auto"/>
          <w:spacing w:val="20"/>
          <w:kern w:val="0"/>
          <w:sz w:val="28"/>
          <w:szCs w:val="28"/>
          <w:lang w:eastAsia="zh-CN"/>
        </w:rPr>
      </w:pPr>
      <w:r>
        <w:rPr>
          <w:rFonts w:hint="eastAsia" w:ascii="仿宋" w:hAnsi="仿宋" w:eastAsia="仿宋" w:cs="宋体"/>
          <w:snapToGrid w:val="0"/>
          <w:color w:val="auto"/>
          <w:spacing w:val="20"/>
          <w:kern w:val="0"/>
          <w:sz w:val="28"/>
          <w:szCs w:val="28"/>
        </w:rPr>
        <w:t xml:space="preserve">   </w:t>
      </w:r>
      <w:r>
        <w:rPr>
          <w:rFonts w:hint="eastAsia" w:ascii="仿宋" w:hAnsi="仿宋" w:eastAsia="仿宋" w:cs="宋体"/>
          <w:snapToGrid w:val="0"/>
          <w:color w:val="auto"/>
          <w:spacing w:val="20"/>
          <w:kern w:val="0"/>
          <w:sz w:val="28"/>
          <w:szCs w:val="28"/>
          <w:lang w:eastAsia="zh-CN"/>
        </w:rPr>
        <w:t xml:space="preserve"> 二〇一九年十一月五日</w:t>
      </w:r>
    </w:p>
    <w:p>
      <w:pPr>
        <w:tabs>
          <w:tab w:val="left" w:pos="2160"/>
        </w:tabs>
        <w:adjustRightInd w:val="0"/>
        <w:spacing w:line="600" w:lineRule="exact"/>
        <w:ind w:left="2523" w:leftChars="171" w:hanging="2164" w:hangingChars="674"/>
        <w:rPr>
          <w:rFonts w:ascii="仿宋_GB2312" w:hAnsi="仿宋" w:eastAsia="仿宋_GB2312" w:cs="宋体"/>
          <w:b/>
          <w:snapToGrid w:val="0"/>
          <w:color w:val="auto"/>
          <w:spacing w:val="20"/>
          <w:kern w:val="0"/>
          <w:sz w:val="28"/>
          <w:szCs w:val="28"/>
        </w:rPr>
      </w:pPr>
    </w:p>
    <w:p>
      <w:pPr>
        <w:spacing w:beforeLines="100" w:afterLines="100" w:line="480" w:lineRule="auto"/>
        <w:rPr>
          <w:rFonts w:ascii="黑体" w:hAnsi="黑体" w:eastAsia="黑体" w:cs="宋体"/>
          <w:b/>
          <w:snapToGrid w:val="0"/>
          <w:color w:val="auto"/>
          <w:kern w:val="0"/>
          <w:sz w:val="32"/>
          <w:szCs w:val="32"/>
        </w:rPr>
      </w:pPr>
    </w:p>
    <w:p>
      <w:pPr>
        <w:spacing w:beforeLines="100" w:afterLines="100" w:line="480" w:lineRule="auto"/>
        <w:jc w:val="center"/>
        <w:rPr>
          <w:rFonts w:hint="eastAsia" w:ascii="宋体" w:hAnsi="宋体" w:cs="宋体"/>
          <w:b/>
          <w:snapToGrid w:val="0"/>
          <w:color w:val="auto"/>
          <w:kern w:val="0"/>
          <w:sz w:val="32"/>
          <w:szCs w:val="32"/>
        </w:rPr>
      </w:pPr>
    </w:p>
    <w:p>
      <w:pPr>
        <w:spacing w:beforeLines="100" w:afterLines="100" w:line="480" w:lineRule="auto"/>
        <w:jc w:val="center"/>
        <w:rPr>
          <w:rFonts w:ascii="宋体" w:hAnsi="宋体" w:cs="宋体"/>
          <w:b/>
          <w:snapToGrid w:val="0"/>
          <w:color w:val="auto"/>
          <w:kern w:val="0"/>
          <w:sz w:val="32"/>
          <w:szCs w:val="32"/>
        </w:rPr>
      </w:pPr>
      <w:r>
        <w:rPr>
          <w:rFonts w:hint="eastAsia" w:ascii="宋体" w:hAnsi="宋体" w:cs="宋体"/>
          <w:b/>
          <w:snapToGrid w:val="0"/>
          <w:color w:val="auto"/>
          <w:kern w:val="0"/>
          <w:sz w:val="32"/>
          <w:szCs w:val="32"/>
        </w:rPr>
        <w:t>致估价委托人</w:t>
      </w:r>
      <w:r>
        <w:rPr>
          <w:rFonts w:hint="eastAsia" w:ascii="宋体" w:hAnsi="宋体" w:cs="宋体"/>
          <w:b/>
          <w:snapToGrid w:val="0"/>
          <w:color w:val="auto"/>
          <w:kern w:val="0"/>
          <w:sz w:val="32"/>
          <w:szCs w:val="32"/>
          <w:lang w:eastAsia="zh-CN"/>
        </w:rPr>
        <w:t>函</w:t>
      </w:r>
    </w:p>
    <w:p>
      <w:pPr>
        <w:adjustRightInd w:val="0"/>
        <w:spacing w:beforeLines="50" w:line="520" w:lineRule="exact"/>
        <w:rPr>
          <w:rFonts w:hint="eastAsia" w:ascii="仿宋_GB2312" w:hAnsi="仿宋" w:eastAsia="仿宋_GB2312"/>
          <w:snapToGrid w:val="0"/>
          <w:color w:val="auto"/>
          <w:spacing w:val="2"/>
          <w:kern w:val="0"/>
          <w:sz w:val="24"/>
          <w:szCs w:val="24"/>
          <w:lang w:eastAsia="zh-CN"/>
        </w:rPr>
      </w:pPr>
      <w:r>
        <w:rPr>
          <w:rFonts w:hint="eastAsia" w:ascii="仿宋_GB2312" w:hAnsi="仿宋" w:eastAsia="仿宋_GB2312"/>
          <w:b/>
          <w:snapToGrid w:val="0"/>
          <w:color w:val="auto"/>
          <w:spacing w:val="2"/>
          <w:kern w:val="0"/>
          <w:sz w:val="24"/>
          <w:szCs w:val="24"/>
          <w:lang w:eastAsia="zh-CN"/>
        </w:rPr>
        <w:t>六盘水市钟山区人民法院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宋体"/>
          <w:color w:val="auto"/>
          <w:sz w:val="24"/>
          <w:szCs w:val="24"/>
        </w:rPr>
      </w:pPr>
      <w:r>
        <w:rPr>
          <w:rFonts w:hint="eastAsia" w:ascii="仿宋" w:hAnsi="仿宋" w:eastAsia="仿宋" w:cs="宋体"/>
          <w:color w:val="auto"/>
          <w:sz w:val="24"/>
          <w:szCs w:val="24"/>
        </w:rPr>
        <w:t>受贵院（2019）黔</w:t>
      </w:r>
      <w:r>
        <w:rPr>
          <w:rFonts w:hint="eastAsia" w:ascii="仿宋" w:hAnsi="仿宋" w:eastAsia="仿宋" w:cs="宋体"/>
          <w:color w:val="auto"/>
          <w:sz w:val="24"/>
          <w:szCs w:val="24"/>
          <w:lang w:eastAsia="zh-CN"/>
        </w:rPr>
        <w:t>钟</w:t>
      </w:r>
      <w:r>
        <w:rPr>
          <w:rFonts w:hint="eastAsia" w:ascii="仿宋" w:hAnsi="仿宋" w:eastAsia="仿宋" w:cs="宋体"/>
          <w:color w:val="auto"/>
          <w:sz w:val="24"/>
          <w:szCs w:val="24"/>
        </w:rPr>
        <w:t>委</w:t>
      </w:r>
      <w:r>
        <w:rPr>
          <w:rFonts w:hint="eastAsia" w:ascii="仿宋" w:hAnsi="仿宋" w:eastAsia="仿宋" w:cs="宋体"/>
          <w:color w:val="auto"/>
          <w:sz w:val="24"/>
          <w:szCs w:val="24"/>
          <w:lang w:eastAsia="zh-CN"/>
        </w:rPr>
        <w:t>评</w:t>
      </w:r>
      <w:r>
        <w:rPr>
          <w:rFonts w:hint="eastAsia" w:ascii="仿宋" w:hAnsi="仿宋" w:eastAsia="仿宋" w:cs="宋体"/>
          <w:color w:val="auto"/>
          <w:sz w:val="24"/>
          <w:szCs w:val="24"/>
        </w:rPr>
        <w:t>字</w:t>
      </w:r>
      <w:r>
        <w:rPr>
          <w:rFonts w:hint="eastAsia" w:ascii="仿宋" w:hAnsi="仿宋" w:eastAsia="仿宋" w:cs="宋体"/>
          <w:color w:val="auto"/>
          <w:sz w:val="24"/>
          <w:szCs w:val="24"/>
          <w:lang w:eastAsia="zh-CN"/>
        </w:rPr>
        <w:t>第139号</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贵州省六盘水市钟山区人民法院评估委托书</w:t>
      </w:r>
      <w:r>
        <w:rPr>
          <w:rFonts w:hint="eastAsia" w:ascii="仿宋" w:hAnsi="仿宋" w:eastAsia="仿宋" w:cs="宋体"/>
          <w:color w:val="auto"/>
          <w:sz w:val="24"/>
          <w:szCs w:val="24"/>
        </w:rPr>
        <w:t>》的委托</w:t>
      </w:r>
      <w:r>
        <w:rPr>
          <w:rFonts w:hint="eastAsia" w:ascii="仿宋" w:hAnsi="仿宋" w:eastAsia="仿宋"/>
          <w:snapToGrid w:val="0"/>
          <w:color w:val="auto"/>
          <w:kern w:val="0"/>
          <w:sz w:val="24"/>
          <w:szCs w:val="24"/>
        </w:rPr>
        <w:t>，我公司成立以注册房地产估价师</w:t>
      </w:r>
      <w:r>
        <w:rPr>
          <w:rFonts w:hint="eastAsia" w:ascii="仿宋" w:hAnsi="仿宋" w:eastAsia="仿宋"/>
          <w:snapToGrid w:val="0"/>
          <w:color w:val="auto"/>
          <w:kern w:val="0"/>
          <w:sz w:val="24"/>
          <w:szCs w:val="24"/>
          <w:lang w:eastAsia="zh-CN"/>
        </w:rPr>
        <w:t>段春兰</w:t>
      </w:r>
      <w:r>
        <w:rPr>
          <w:rFonts w:hint="eastAsia" w:ascii="仿宋" w:hAnsi="仿宋" w:eastAsia="仿宋"/>
          <w:snapToGrid w:val="0"/>
          <w:color w:val="auto"/>
          <w:kern w:val="0"/>
          <w:sz w:val="24"/>
          <w:szCs w:val="24"/>
        </w:rPr>
        <w:t>为项目负责人的估价小组，依据</w:t>
      </w:r>
      <w:r>
        <w:rPr>
          <w:rFonts w:hint="eastAsia" w:ascii="仿宋" w:hAnsi="仿宋" w:eastAsia="仿宋" w:cs="宋体"/>
          <w:color w:val="auto"/>
          <w:sz w:val="24"/>
          <w:szCs w:val="24"/>
        </w:rPr>
        <w:t>现行法律、法规、政策、技术标准、估价委托人提供的资料和陈述的有关情况，经过实地查勘和市场调查，根据估价目的，遵循估价原则，按照估价程序，在充分考虑影响</w:t>
      </w:r>
      <w:r>
        <w:rPr>
          <w:rFonts w:hint="eastAsia" w:ascii="仿宋" w:hAnsi="仿宋" w:eastAsia="仿宋" w:cs="宋体"/>
          <w:color w:val="auto"/>
          <w:sz w:val="24"/>
          <w:szCs w:val="24"/>
          <w:lang w:eastAsia="zh-CN"/>
        </w:rPr>
        <w:t>住宅房地产</w:t>
      </w:r>
      <w:r>
        <w:rPr>
          <w:rFonts w:hint="eastAsia" w:ascii="仿宋" w:hAnsi="仿宋" w:eastAsia="仿宋" w:cs="宋体"/>
          <w:color w:val="auto"/>
          <w:sz w:val="24"/>
          <w:szCs w:val="24"/>
        </w:rPr>
        <w:t>价值的各项因素的基础上，对</w:t>
      </w:r>
      <w:r>
        <w:rPr>
          <w:rFonts w:hint="eastAsia" w:ascii="仿宋" w:hAnsi="仿宋" w:eastAsia="仿宋" w:cs="宋体"/>
          <w:color w:val="auto"/>
          <w:sz w:val="24"/>
          <w:szCs w:val="24"/>
          <w:lang w:eastAsia="zh-CN"/>
        </w:rPr>
        <w:t>六盘水市钟山区市场路9号附12号房地产</w:t>
      </w:r>
      <w:r>
        <w:rPr>
          <w:rFonts w:hint="eastAsia" w:ascii="仿宋" w:hAnsi="仿宋" w:eastAsia="仿宋" w:cs="宋体"/>
          <w:color w:val="auto"/>
          <w:sz w:val="24"/>
          <w:szCs w:val="24"/>
        </w:rPr>
        <w:t>于现状利用条件下的市场价值进行了鉴定估价。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宋体"/>
          <w:color w:val="auto"/>
          <w:sz w:val="24"/>
          <w:szCs w:val="24"/>
        </w:rPr>
      </w:pPr>
      <w:r>
        <w:rPr>
          <w:rFonts w:hint="eastAsia" w:ascii="仿宋" w:hAnsi="仿宋" w:eastAsia="仿宋" w:cs="宋体"/>
          <w:color w:val="auto"/>
          <w:sz w:val="24"/>
          <w:szCs w:val="24"/>
          <w:lang w:val="en-US" w:eastAsia="zh-CN"/>
        </w:rPr>
        <w:t>1、</w:t>
      </w:r>
      <w:r>
        <w:rPr>
          <w:rFonts w:hint="eastAsia" w:ascii="仿宋" w:hAnsi="仿宋" w:eastAsia="仿宋" w:cs="宋体"/>
          <w:color w:val="auto"/>
          <w:sz w:val="24"/>
          <w:szCs w:val="24"/>
        </w:rPr>
        <w:t>估价对象：本次</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位于</w:t>
      </w:r>
      <w:r>
        <w:rPr>
          <w:rFonts w:hint="eastAsia" w:ascii="仿宋" w:hAnsi="仿宋" w:eastAsia="仿宋" w:cs="宋体"/>
          <w:color w:val="auto"/>
          <w:sz w:val="24"/>
          <w:szCs w:val="24"/>
          <w:lang w:eastAsia="zh-CN"/>
        </w:rPr>
        <w:t>六盘水市钟山区市场路9号附12号</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》记载</w:t>
      </w:r>
      <w:r>
        <w:rPr>
          <w:rFonts w:hint="eastAsia" w:ascii="仿宋" w:hAnsi="仿宋" w:eastAsia="仿宋" w:cs="宋体"/>
          <w:color w:val="auto"/>
          <w:sz w:val="24"/>
          <w:szCs w:val="24"/>
          <w:lang w:eastAsia="zh-CN"/>
        </w:rPr>
        <w:t>不动产权证号为</w:t>
      </w:r>
      <w:r>
        <w:rPr>
          <w:rFonts w:hint="eastAsia" w:ascii="仿宋" w:hAnsi="仿宋" w:eastAsia="仿宋" w:cs="宋体"/>
          <w:color w:val="auto"/>
          <w:sz w:val="24"/>
          <w:szCs w:val="24"/>
          <w:lang w:val="en-US" w:eastAsia="zh-CN"/>
        </w:rPr>
        <w:t>监证0047254号</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权利人</w:t>
      </w:r>
      <w:r>
        <w:rPr>
          <w:rFonts w:hint="eastAsia" w:ascii="仿宋" w:hAnsi="仿宋" w:eastAsia="仿宋" w:cs="宋体"/>
          <w:color w:val="auto"/>
          <w:sz w:val="24"/>
          <w:szCs w:val="24"/>
        </w:rPr>
        <w:t>为</w:t>
      </w:r>
      <w:r>
        <w:rPr>
          <w:rFonts w:hint="eastAsia" w:ascii="仿宋" w:hAnsi="仿宋" w:eastAsia="仿宋" w:cs="宋体"/>
          <w:color w:val="auto"/>
          <w:sz w:val="24"/>
          <w:szCs w:val="24"/>
          <w:lang w:eastAsia="zh-CN"/>
        </w:rPr>
        <w:t>苏玉华，混合结构</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建于2001年，</w:t>
      </w:r>
      <w:r>
        <w:rPr>
          <w:rFonts w:hint="eastAsia" w:ascii="仿宋" w:hAnsi="仿宋" w:eastAsia="仿宋" w:cs="宋体"/>
          <w:color w:val="auto"/>
          <w:sz w:val="24"/>
          <w:szCs w:val="24"/>
        </w:rPr>
        <w:t>建筑面积为</w:t>
      </w:r>
      <w:r>
        <w:rPr>
          <w:rFonts w:hint="eastAsia" w:ascii="仿宋" w:hAnsi="仿宋" w:eastAsia="仿宋" w:cs="宋体"/>
          <w:color w:val="auto"/>
          <w:sz w:val="24"/>
          <w:szCs w:val="24"/>
          <w:lang w:val="en-US" w:eastAsia="zh-CN"/>
        </w:rPr>
        <w:t>227.1</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用途为住宅，分摊土地使用权类型为出让。</w:t>
      </w:r>
      <w:r>
        <w:rPr>
          <w:rFonts w:hint="eastAsia" w:ascii="仿宋" w:hAnsi="仿宋" w:eastAsia="仿宋" w:cs="宋体"/>
          <w:color w:val="auto"/>
          <w:sz w:val="24"/>
          <w:szCs w:val="24"/>
        </w:rPr>
        <w:t>列入本次估价范围的是</w:t>
      </w:r>
      <w:r>
        <w:rPr>
          <w:rFonts w:hint="eastAsia" w:ascii="仿宋" w:hAnsi="仿宋" w:eastAsia="仿宋" w:cs="宋体"/>
          <w:color w:val="auto"/>
          <w:sz w:val="24"/>
          <w:szCs w:val="24"/>
          <w:lang w:eastAsia="zh-CN"/>
        </w:rPr>
        <w:t>房屋</w:t>
      </w:r>
      <w:r>
        <w:rPr>
          <w:rFonts w:hint="eastAsia" w:ascii="仿宋" w:hAnsi="仿宋" w:eastAsia="仿宋" w:cs="宋体"/>
          <w:color w:val="auto"/>
          <w:sz w:val="24"/>
          <w:szCs w:val="24"/>
        </w:rPr>
        <w:t>、分摊相应土地使用权和必要的设备设施</w:t>
      </w:r>
      <w:r>
        <w:rPr>
          <w:rFonts w:hint="eastAsia" w:ascii="仿宋" w:hAnsi="仿宋" w:eastAsia="仿宋" w:cs="宋体"/>
          <w:color w:val="auto"/>
          <w:sz w:val="24"/>
          <w:szCs w:val="24"/>
          <w:lang w:eastAsia="zh-CN"/>
        </w:rPr>
        <w:t>以及按二手房交易市场通常应当包含的</w:t>
      </w:r>
      <w:r>
        <w:rPr>
          <w:rFonts w:hint="eastAsia" w:ascii="仿宋" w:hAnsi="仿宋" w:eastAsia="仿宋" w:cs="宋体"/>
          <w:color w:val="auto"/>
          <w:sz w:val="24"/>
          <w:szCs w:val="24"/>
        </w:rPr>
        <w:t>装饰装修</w:t>
      </w:r>
      <w:r>
        <w:rPr>
          <w:rFonts w:hint="eastAsia" w:ascii="仿宋" w:hAnsi="仿宋" w:eastAsia="仿宋" w:cs="宋体"/>
          <w:color w:val="auto"/>
          <w:sz w:val="24"/>
          <w:szCs w:val="24"/>
          <w:lang w:eastAsia="zh-CN"/>
        </w:rPr>
        <w:t>价值</w:t>
      </w:r>
      <w:r>
        <w:rPr>
          <w:rFonts w:hint="eastAsia" w:ascii="仿宋" w:hAnsi="仿宋" w:eastAsia="仿宋" w:cs="宋体"/>
          <w:color w:val="auto"/>
          <w:sz w:val="24"/>
          <w:szCs w:val="24"/>
        </w:rPr>
        <w:t>，不包括动产、构筑物、树木等，以及债权债务、特许经营权等其他财产或权益。</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宋体"/>
          <w:color w:val="auto"/>
          <w:sz w:val="24"/>
          <w:szCs w:val="24"/>
        </w:rPr>
      </w:pPr>
      <w:r>
        <w:rPr>
          <w:rFonts w:hint="eastAsia" w:ascii="仿宋" w:hAnsi="仿宋" w:eastAsia="仿宋" w:cs="宋体"/>
          <w:color w:val="auto"/>
          <w:sz w:val="24"/>
          <w:szCs w:val="24"/>
        </w:rPr>
        <w:t>2、估价目的：为司法拍卖（变卖）提供房地产市场价值参考依</w:t>
      </w:r>
      <w:r>
        <w:rPr>
          <w:rFonts w:hint="eastAsia" w:ascii="仿宋" w:hAnsi="仿宋" w:eastAsia="仿宋" w:cs="宋体"/>
          <w:snapToGrid w:val="0"/>
          <w:color w:val="auto"/>
          <w:kern w:val="0"/>
          <w:sz w:val="24"/>
          <w:szCs w:val="24"/>
        </w:rPr>
        <w:t>据</w:t>
      </w:r>
      <w:r>
        <w:rPr>
          <w:rFonts w:hint="eastAsia" w:ascii="仿宋" w:hAnsi="仿宋" w:eastAsia="仿宋"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宋体"/>
          <w:color w:val="auto"/>
          <w:sz w:val="24"/>
          <w:szCs w:val="24"/>
        </w:rPr>
      </w:pPr>
      <w:r>
        <w:rPr>
          <w:rFonts w:hint="eastAsia" w:ascii="仿宋" w:hAnsi="仿宋" w:eastAsia="仿宋" w:cs="宋体"/>
          <w:color w:val="auto"/>
          <w:sz w:val="24"/>
          <w:szCs w:val="24"/>
        </w:rPr>
        <w:t>3、价值时点：</w:t>
      </w:r>
      <w:r>
        <w:rPr>
          <w:rFonts w:hint="eastAsia" w:ascii="仿宋" w:hAnsi="仿宋" w:eastAsia="仿宋" w:cs="宋体"/>
          <w:color w:val="auto"/>
          <w:sz w:val="24"/>
          <w:szCs w:val="24"/>
          <w:lang w:eastAsia="zh-CN"/>
        </w:rPr>
        <w:t>2019年10月29日</w:t>
      </w:r>
      <w:r>
        <w:rPr>
          <w:rFonts w:hint="eastAsia" w:ascii="仿宋" w:hAnsi="仿宋" w:eastAsia="仿宋"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宋体"/>
          <w:color w:val="auto"/>
          <w:sz w:val="24"/>
          <w:szCs w:val="24"/>
        </w:rPr>
      </w:pPr>
      <w:r>
        <w:rPr>
          <w:rFonts w:hint="eastAsia" w:ascii="仿宋" w:hAnsi="仿宋" w:eastAsia="仿宋" w:cs="宋体"/>
          <w:color w:val="auto"/>
          <w:sz w:val="24"/>
          <w:szCs w:val="24"/>
        </w:rPr>
        <w:t>4、价值类型：市场价值，不考虑房地产拍卖（变卖）成交后的税费及税费的转移负担。</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宋体"/>
          <w:color w:val="auto"/>
          <w:sz w:val="24"/>
          <w:szCs w:val="24"/>
        </w:rPr>
      </w:pPr>
      <w:r>
        <w:rPr>
          <w:rFonts w:hint="eastAsia" w:ascii="仿宋" w:hAnsi="仿宋" w:eastAsia="仿宋" w:cs="宋体"/>
          <w:color w:val="auto"/>
          <w:sz w:val="24"/>
          <w:szCs w:val="24"/>
        </w:rPr>
        <w:t>5、估价方法：比较法。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宋体"/>
          <w:color w:val="auto"/>
          <w:sz w:val="24"/>
          <w:szCs w:val="24"/>
        </w:rPr>
      </w:pPr>
      <w:r>
        <w:rPr>
          <w:rFonts w:hint="eastAsia" w:ascii="仿宋" w:hAnsi="仿宋" w:eastAsia="仿宋" w:cs="宋体"/>
          <w:color w:val="auto"/>
          <w:sz w:val="24"/>
          <w:szCs w:val="24"/>
        </w:rPr>
        <w:t>6、估价结果：估价人员进行周密的计算、分析、测算和判断，确定估价对象在价值时点满足本报告“估价假设和限制条件”下的估价结果为：</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单价：</w:t>
      </w:r>
      <w:r>
        <w:rPr>
          <w:rFonts w:hint="eastAsia" w:ascii="仿宋" w:hAnsi="仿宋" w:eastAsia="仿宋"/>
          <w:b/>
          <w:color w:val="auto"/>
          <w:sz w:val="24"/>
          <w:szCs w:val="24"/>
          <w:lang w:val="zh-CN"/>
        </w:rPr>
        <w:t>RMB</w:t>
      </w:r>
      <w:r>
        <w:rPr>
          <w:rFonts w:hint="eastAsia" w:ascii="仿宋" w:hAnsi="仿宋" w:eastAsia="仿宋"/>
          <w:b/>
          <w:color w:val="auto"/>
          <w:sz w:val="24"/>
          <w:szCs w:val="24"/>
          <w:lang w:val="en-US" w:eastAsia="zh-CN"/>
        </w:rPr>
        <w:t xml:space="preserve"> 4373元/㎡</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default" w:ascii="仿宋" w:hAnsi="仿宋" w:eastAsia="仿宋" w:cs="宋体"/>
          <w:color w:val="auto"/>
          <w:sz w:val="24"/>
          <w:szCs w:val="24"/>
          <w:lang w:val="en-US" w:eastAsia="zh-CN"/>
        </w:rPr>
      </w:pPr>
      <w:r>
        <w:rPr>
          <w:rFonts w:hint="eastAsia" w:ascii="仿宋" w:hAnsi="仿宋" w:eastAsia="仿宋"/>
          <w:b/>
          <w:color w:val="auto"/>
          <w:sz w:val="24"/>
          <w:szCs w:val="24"/>
        </w:rPr>
        <w:t>总价：</w:t>
      </w:r>
      <w:r>
        <w:rPr>
          <w:rFonts w:hint="eastAsia" w:ascii="仿宋" w:hAnsi="仿宋" w:eastAsia="仿宋" w:cs="仿宋"/>
          <w:b/>
          <w:color w:val="auto"/>
          <w:sz w:val="24"/>
          <w:szCs w:val="24"/>
          <w:lang w:val="zh-CN"/>
        </w:rPr>
        <w:t>RMB</w:t>
      </w:r>
      <w:r>
        <w:rPr>
          <w:rFonts w:hint="eastAsia" w:ascii="仿宋" w:hAnsi="仿宋" w:eastAsia="仿宋" w:cs="仿宋"/>
          <w:b/>
          <w:color w:val="auto"/>
          <w:sz w:val="24"/>
          <w:szCs w:val="24"/>
        </w:rPr>
        <w:t xml:space="preserve"> </w:t>
      </w:r>
      <w:r>
        <w:rPr>
          <w:rFonts w:hint="eastAsia" w:ascii="仿宋" w:hAnsi="仿宋" w:eastAsia="仿宋"/>
          <w:b/>
          <w:bCs/>
          <w:color w:val="auto"/>
          <w:sz w:val="24"/>
          <w:szCs w:val="24"/>
          <w:lang w:val="en-US" w:eastAsia="zh-CN"/>
        </w:rPr>
        <w:t>99.31</w:t>
      </w:r>
      <w:r>
        <w:rPr>
          <w:rFonts w:hint="eastAsia" w:ascii="仿宋" w:hAnsi="仿宋" w:eastAsia="仿宋"/>
          <w:b/>
          <w:bCs/>
          <w:color w:val="auto"/>
          <w:sz w:val="24"/>
          <w:szCs w:val="24"/>
        </w:rPr>
        <w:t>万</w:t>
      </w:r>
      <w:r>
        <w:rPr>
          <w:rFonts w:hint="eastAsia" w:ascii="仿宋" w:hAnsi="仿宋" w:eastAsia="仿宋" w:cs="仿宋"/>
          <w:b/>
          <w:color w:val="auto"/>
          <w:sz w:val="24"/>
          <w:szCs w:val="24"/>
        </w:rPr>
        <w:t>元</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ascii="仿宋" w:hAnsi="仿宋" w:eastAsia="仿宋"/>
          <w:b/>
          <w:color w:val="auto"/>
          <w:sz w:val="24"/>
          <w:szCs w:val="24"/>
        </w:rPr>
      </w:pPr>
      <w:r>
        <w:rPr>
          <w:rFonts w:hint="eastAsia" w:ascii="仿宋" w:hAnsi="仿宋" w:eastAsia="仿宋" w:cs="仿宋"/>
          <w:b/>
          <w:color w:val="auto"/>
          <w:sz w:val="24"/>
          <w:szCs w:val="24"/>
        </w:rPr>
        <w:t>大写：</w:t>
      </w:r>
      <w:r>
        <w:rPr>
          <w:rFonts w:hint="eastAsia" w:ascii="仿宋" w:hAnsi="仿宋" w:eastAsia="仿宋"/>
          <w:b/>
          <w:color w:val="auto"/>
          <w:sz w:val="24"/>
          <w:szCs w:val="24"/>
        </w:rPr>
        <w:t>人民币</w:t>
      </w:r>
      <w:r>
        <w:rPr>
          <w:rFonts w:hint="eastAsia" w:ascii="仿宋" w:hAnsi="仿宋" w:eastAsia="仿宋"/>
          <w:b/>
          <w:color w:val="auto"/>
          <w:sz w:val="24"/>
          <w:szCs w:val="24"/>
          <w:lang w:eastAsia="zh-CN"/>
        </w:rPr>
        <w:t>玖拾玖万叁仟壹佰元整</w:t>
      </w:r>
    </w:p>
    <w:p>
      <w:pPr>
        <w:keepNext w:val="0"/>
        <w:keepLines w:val="0"/>
        <w:pageBreakBefore w:val="0"/>
        <w:widowControl w:val="0"/>
        <w:kinsoku/>
        <w:wordWrap/>
        <w:overflowPunct/>
        <w:topLinePunct w:val="0"/>
        <w:autoSpaceDE/>
        <w:autoSpaceDN/>
        <w:bidi w:val="0"/>
        <w:adjustRightInd w:val="0"/>
        <w:snapToGrid w:val="0"/>
        <w:spacing w:line="480" w:lineRule="exact"/>
        <w:ind w:firstLine="488" w:firstLineChars="200"/>
        <w:textAlignment w:val="auto"/>
        <w:rPr>
          <w:rFonts w:ascii="仿宋" w:hAnsi="仿宋" w:eastAsia="仿宋"/>
          <w:snapToGrid w:val="0"/>
          <w:color w:val="auto"/>
          <w:spacing w:val="2"/>
          <w:kern w:val="0"/>
          <w:sz w:val="24"/>
          <w:szCs w:val="24"/>
        </w:rPr>
      </w:pPr>
      <w:r>
        <w:rPr>
          <w:rFonts w:hint="eastAsia" w:ascii="仿宋" w:hAnsi="仿宋" w:eastAsia="仿宋"/>
          <w:snapToGrid w:val="0"/>
          <w:color w:val="auto"/>
          <w:spacing w:val="2"/>
          <w:kern w:val="0"/>
          <w:sz w:val="24"/>
          <w:szCs w:val="24"/>
        </w:rPr>
        <w:t>7、特别提示：</w:t>
      </w:r>
    </w:p>
    <w:p>
      <w:pPr>
        <w:keepNext w:val="0"/>
        <w:keepLines w:val="0"/>
        <w:pageBreakBefore w:val="0"/>
        <w:widowControl w:val="0"/>
        <w:kinsoku/>
        <w:wordWrap/>
        <w:overflowPunct/>
        <w:topLinePunct w:val="0"/>
        <w:autoSpaceDE/>
        <w:autoSpaceDN/>
        <w:bidi w:val="0"/>
        <w:adjustRightInd w:val="0"/>
        <w:snapToGrid w:val="0"/>
        <w:spacing w:line="480" w:lineRule="exact"/>
        <w:ind w:firstLine="488" w:firstLineChars="200"/>
        <w:textAlignment w:val="auto"/>
        <w:rPr>
          <w:rFonts w:ascii="仿宋" w:hAnsi="仿宋" w:eastAsia="仿宋"/>
          <w:snapToGrid w:val="0"/>
          <w:color w:val="auto"/>
          <w:spacing w:val="2"/>
          <w:kern w:val="0"/>
          <w:sz w:val="24"/>
          <w:szCs w:val="24"/>
        </w:rPr>
      </w:pPr>
      <w:r>
        <w:rPr>
          <w:rFonts w:hint="eastAsia" w:ascii="仿宋" w:hAnsi="仿宋" w:eastAsia="仿宋"/>
          <w:snapToGrid w:val="0"/>
          <w:color w:val="auto"/>
          <w:spacing w:val="2"/>
          <w:kern w:val="0"/>
          <w:sz w:val="24"/>
          <w:szCs w:val="24"/>
        </w:rPr>
        <w:t>（1）报告使用人在使用本估价报告之前须对报告全文，特别是“估价假设和限制条件”认真阅读，以免使用不当，造成损失。</w:t>
      </w:r>
    </w:p>
    <w:p>
      <w:pPr>
        <w:keepNext w:val="0"/>
        <w:keepLines w:val="0"/>
        <w:pageBreakBefore w:val="0"/>
        <w:widowControl w:val="0"/>
        <w:kinsoku/>
        <w:wordWrap/>
        <w:overflowPunct/>
        <w:topLinePunct w:val="0"/>
        <w:autoSpaceDE/>
        <w:autoSpaceDN/>
        <w:bidi w:val="0"/>
        <w:adjustRightInd w:val="0"/>
        <w:snapToGrid w:val="0"/>
        <w:spacing w:line="480" w:lineRule="exact"/>
        <w:ind w:firstLine="488" w:firstLineChars="200"/>
        <w:textAlignment w:val="auto"/>
        <w:rPr>
          <w:rFonts w:hint="eastAsia" w:ascii="仿宋" w:hAnsi="仿宋" w:eastAsia="仿宋"/>
          <w:snapToGrid w:val="0"/>
          <w:color w:val="auto"/>
          <w:spacing w:val="2"/>
          <w:kern w:val="0"/>
          <w:sz w:val="24"/>
          <w:szCs w:val="24"/>
        </w:rPr>
      </w:pPr>
      <w:r>
        <w:rPr>
          <w:rFonts w:hint="eastAsia" w:ascii="仿宋" w:hAnsi="仿宋" w:eastAsia="仿宋"/>
          <w:snapToGrid w:val="0"/>
          <w:color w:val="auto"/>
          <w:spacing w:val="2"/>
          <w:kern w:val="0"/>
          <w:sz w:val="24"/>
          <w:szCs w:val="24"/>
        </w:rPr>
        <w:t>（2）本估价报告使用期限为壹年，自估价报告出具之日</w:t>
      </w:r>
      <w:r>
        <w:rPr>
          <w:rFonts w:hint="eastAsia" w:ascii="仿宋" w:hAnsi="仿宋" w:eastAsia="仿宋"/>
          <w:snapToGrid w:val="0"/>
          <w:color w:val="auto"/>
          <w:spacing w:val="2"/>
          <w:kern w:val="0"/>
          <w:sz w:val="24"/>
          <w:szCs w:val="24"/>
          <w:lang w:eastAsia="zh-CN"/>
        </w:rPr>
        <w:t>2019年11月</w:t>
      </w:r>
      <w:r>
        <w:rPr>
          <w:rFonts w:hint="eastAsia" w:ascii="仿宋" w:hAnsi="仿宋" w:eastAsia="仿宋"/>
          <w:snapToGrid w:val="0"/>
          <w:color w:val="auto"/>
          <w:spacing w:val="2"/>
          <w:kern w:val="0"/>
          <w:sz w:val="24"/>
          <w:szCs w:val="24"/>
          <w:lang w:val="en-US" w:eastAsia="zh-CN"/>
        </w:rPr>
        <w:t>5</w:t>
      </w:r>
      <w:r>
        <w:rPr>
          <w:rFonts w:hint="eastAsia" w:ascii="仿宋" w:hAnsi="仿宋" w:eastAsia="仿宋"/>
          <w:snapToGrid w:val="0"/>
          <w:color w:val="auto"/>
          <w:spacing w:val="2"/>
          <w:kern w:val="0"/>
          <w:sz w:val="24"/>
          <w:szCs w:val="24"/>
          <w:lang w:eastAsia="zh-CN"/>
        </w:rPr>
        <w:t>日至2020年11月</w:t>
      </w:r>
      <w:r>
        <w:rPr>
          <w:rFonts w:hint="eastAsia" w:ascii="仿宋" w:hAnsi="仿宋" w:eastAsia="仿宋"/>
          <w:snapToGrid w:val="0"/>
          <w:color w:val="auto"/>
          <w:spacing w:val="2"/>
          <w:kern w:val="0"/>
          <w:sz w:val="24"/>
          <w:szCs w:val="24"/>
          <w:lang w:val="en-US" w:eastAsia="zh-CN"/>
        </w:rPr>
        <w:t>4</w:t>
      </w:r>
      <w:r>
        <w:rPr>
          <w:rFonts w:hint="eastAsia" w:ascii="仿宋" w:hAnsi="仿宋" w:eastAsia="仿宋"/>
          <w:snapToGrid w:val="0"/>
          <w:color w:val="auto"/>
          <w:spacing w:val="2"/>
          <w:kern w:val="0"/>
          <w:sz w:val="24"/>
          <w:szCs w:val="24"/>
          <w:lang w:eastAsia="zh-CN"/>
        </w:rPr>
        <w:t>日止</w:t>
      </w:r>
      <w:r>
        <w:rPr>
          <w:rFonts w:hint="eastAsia" w:ascii="仿宋" w:hAnsi="仿宋" w:eastAsia="仿宋"/>
          <w:snapToGrid w:val="0"/>
          <w:color w:val="auto"/>
          <w:spacing w:val="2"/>
          <w:kern w:val="0"/>
          <w:sz w:val="24"/>
          <w:szCs w:val="24"/>
        </w:rPr>
        <w:t>。</w:t>
      </w:r>
    </w:p>
    <w:p>
      <w:pPr>
        <w:adjustRightInd w:val="0"/>
        <w:spacing w:line="440" w:lineRule="exact"/>
        <w:ind w:firstLine="488" w:firstLineChars="200"/>
        <w:rPr>
          <w:rFonts w:ascii="仿宋" w:hAnsi="仿宋" w:eastAsia="仿宋"/>
          <w:snapToGrid w:val="0"/>
          <w:color w:val="auto"/>
          <w:spacing w:val="2"/>
          <w:kern w:val="0"/>
          <w:sz w:val="24"/>
          <w:szCs w:val="24"/>
        </w:rPr>
      </w:pPr>
    </w:p>
    <w:p>
      <w:pPr>
        <w:adjustRightInd w:val="0"/>
        <w:spacing w:line="440" w:lineRule="exact"/>
        <w:ind w:firstLine="488" w:firstLineChars="200"/>
        <w:rPr>
          <w:rFonts w:ascii="仿宋" w:hAnsi="仿宋" w:eastAsia="仿宋"/>
          <w:snapToGrid w:val="0"/>
          <w:color w:val="auto"/>
          <w:spacing w:val="2"/>
          <w:kern w:val="0"/>
          <w:sz w:val="24"/>
          <w:szCs w:val="24"/>
        </w:rPr>
      </w:pPr>
    </w:p>
    <w:p>
      <w:pPr>
        <w:adjustRightInd w:val="0"/>
        <w:spacing w:line="440" w:lineRule="exact"/>
        <w:ind w:firstLine="488" w:firstLineChars="200"/>
        <w:rPr>
          <w:rFonts w:ascii="仿宋" w:hAnsi="仿宋" w:eastAsia="仿宋"/>
          <w:snapToGrid w:val="0"/>
          <w:color w:val="auto"/>
          <w:spacing w:val="2"/>
          <w:kern w:val="0"/>
          <w:sz w:val="24"/>
          <w:szCs w:val="24"/>
        </w:rPr>
      </w:pPr>
      <w:r>
        <w:rPr>
          <w:rFonts w:hint="eastAsia" w:ascii="仿宋" w:hAnsi="仿宋" w:eastAsia="仿宋"/>
          <w:snapToGrid w:val="0"/>
          <w:color w:val="auto"/>
          <w:spacing w:val="2"/>
          <w:kern w:val="0"/>
          <w:sz w:val="24"/>
          <w:szCs w:val="24"/>
        </w:rPr>
        <w:t>此   函</w:t>
      </w:r>
    </w:p>
    <w:p>
      <w:pPr>
        <w:adjustRightInd w:val="0"/>
        <w:snapToGrid w:val="0"/>
        <w:spacing w:line="480" w:lineRule="exact"/>
        <w:ind w:firstLine="4320" w:firstLineChars="1800"/>
        <w:rPr>
          <w:rFonts w:ascii="仿宋" w:hAnsi="仿宋" w:eastAsia="仿宋" w:cs="宋体"/>
          <w:color w:val="auto"/>
          <w:sz w:val="24"/>
          <w:szCs w:val="24"/>
        </w:rPr>
      </w:pPr>
    </w:p>
    <w:p>
      <w:pPr>
        <w:adjustRightInd w:val="0"/>
        <w:snapToGrid w:val="0"/>
        <w:spacing w:line="480" w:lineRule="exact"/>
        <w:ind w:firstLine="4320" w:firstLineChars="1800"/>
        <w:rPr>
          <w:rFonts w:ascii="仿宋" w:hAnsi="仿宋" w:eastAsia="仿宋" w:cs="宋体"/>
          <w:color w:val="auto"/>
          <w:sz w:val="24"/>
          <w:szCs w:val="24"/>
        </w:rPr>
      </w:pPr>
      <w:bookmarkStart w:id="0" w:name="_Toc320276189"/>
      <w:bookmarkStart w:id="1" w:name="_Toc248673824"/>
      <w:bookmarkStart w:id="2" w:name="_Toc444180876"/>
      <w:r>
        <w:rPr>
          <w:rFonts w:hint="eastAsia" w:ascii="仿宋" w:hAnsi="仿宋" w:eastAsia="仿宋" w:cs="宋体"/>
          <w:color w:val="auto"/>
          <w:sz w:val="24"/>
          <w:szCs w:val="24"/>
        </w:rPr>
        <w:t>四川天成房地产土地估价咨询有限公司</w:t>
      </w:r>
    </w:p>
    <w:p>
      <w:pPr>
        <w:adjustRightInd w:val="0"/>
        <w:snapToGrid w:val="0"/>
        <w:spacing w:line="480" w:lineRule="exact"/>
        <w:ind w:firstLine="3600" w:firstLineChars="1500"/>
        <w:rPr>
          <w:rFonts w:ascii="仿宋" w:hAnsi="仿宋" w:eastAsia="仿宋" w:cs="宋体"/>
          <w:color w:val="auto"/>
          <w:sz w:val="24"/>
          <w:szCs w:val="24"/>
        </w:rPr>
      </w:pPr>
      <w:r>
        <w:rPr>
          <w:rFonts w:hint="eastAsia" w:ascii="仿宋" w:hAnsi="仿宋" w:eastAsia="仿宋" w:cs="宋体"/>
          <w:color w:val="auto"/>
          <w:sz w:val="24"/>
          <w:szCs w:val="24"/>
        </w:rPr>
        <w:t xml:space="preserve">              </w:t>
      </w:r>
    </w:p>
    <w:p>
      <w:pPr>
        <w:adjustRightInd w:val="0"/>
        <w:snapToGrid w:val="0"/>
        <w:spacing w:line="480" w:lineRule="exact"/>
        <w:ind w:firstLine="5280" w:firstLineChars="2200"/>
        <w:rPr>
          <w:rFonts w:ascii="仿宋" w:hAnsi="仿宋" w:eastAsia="仿宋" w:cs="宋体"/>
          <w:color w:val="auto"/>
          <w:sz w:val="24"/>
          <w:szCs w:val="24"/>
        </w:rPr>
      </w:pPr>
      <w:r>
        <w:rPr>
          <w:rFonts w:hint="eastAsia" w:ascii="仿宋" w:hAnsi="仿宋" w:eastAsia="仿宋" w:cs="宋体"/>
          <w:color w:val="auto"/>
          <w:sz w:val="24"/>
          <w:szCs w:val="24"/>
        </w:rPr>
        <w:t>法定代表人：丁永洪</w:t>
      </w:r>
    </w:p>
    <w:p>
      <w:pPr>
        <w:adjustRightInd w:val="0"/>
        <w:snapToGrid w:val="0"/>
        <w:spacing w:line="480" w:lineRule="exact"/>
        <w:ind w:firstLine="4320" w:firstLineChars="1800"/>
        <w:rPr>
          <w:rFonts w:ascii="仿宋" w:hAnsi="仿宋" w:eastAsia="仿宋" w:cs="宋体"/>
          <w:color w:val="auto"/>
          <w:sz w:val="24"/>
          <w:szCs w:val="24"/>
        </w:rPr>
      </w:pPr>
    </w:p>
    <w:p>
      <w:pPr>
        <w:adjustRightInd w:val="0"/>
        <w:snapToGrid w:val="0"/>
        <w:spacing w:line="480" w:lineRule="exact"/>
        <w:rPr>
          <w:rFonts w:hint="eastAsia" w:ascii="仿宋" w:hAnsi="仿宋" w:eastAsia="仿宋" w:cs="宋体"/>
          <w:color w:val="auto"/>
          <w:sz w:val="24"/>
          <w:szCs w:val="24"/>
          <w:lang w:eastAsia="zh-CN"/>
        </w:rPr>
      </w:pPr>
      <w:r>
        <w:rPr>
          <w:rFonts w:hint="eastAsia" w:ascii="仿宋" w:hAnsi="仿宋" w:eastAsia="仿宋" w:cs="宋体"/>
          <w:color w:val="auto"/>
          <w:sz w:val="24"/>
          <w:szCs w:val="24"/>
        </w:rPr>
        <w:t xml:space="preserve">                                           </w:t>
      </w:r>
      <w:r>
        <w:rPr>
          <w:rFonts w:hint="eastAsia" w:ascii="仿宋" w:hAnsi="仿宋" w:eastAsia="仿宋" w:cs="宋体"/>
          <w:color w:val="auto"/>
          <w:sz w:val="24"/>
          <w:szCs w:val="24"/>
          <w:lang w:eastAsia="zh-CN"/>
        </w:rPr>
        <w:t xml:space="preserve"> 二〇一九年十一月五日</w:t>
      </w:r>
    </w:p>
    <w:p>
      <w:pPr>
        <w:adjustRightInd w:val="0"/>
        <w:snapToGrid w:val="0"/>
        <w:spacing w:line="480" w:lineRule="auto"/>
        <w:rPr>
          <w:rFonts w:ascii="仿宋_GB2312" w:hAnsi="仿宋_GB2312" w:eastAsia="仿宋_GB2312" w:cs="仿宋_GB2312"/>
          <w:color w:val="auto"/>
          <w:sz w:val="28"/>
          <w:szCs w:val="28"/>
        </w:rPr>
      </w:pPr>
    </w:p>
    <w:p>
      <w:pP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spacing w:beforeLines="100" w:afterLines="100" w:line="480" w:lineRule="auto"/>
        <w:jc w:val="center"/>
        <w:rPr>
          <w:rFonts w:hint="eastAsia" w:ascii="宋体" w:hAnsi="宋体" w:cs="宋体"/>
          <w:b/>
          <w:snapToGrid w:val="0"/>
          <w:color w:val="auto"/>
          <w:kern w:val="0"/>
          <w:sz w:val="32"/>
          <w:szCs w:val="32"/>
        </w:rPr>
      </w:pPr>
      <w:bookmarkStart w:id="3" w:name="_Toc8292"/>
      <w:bookmarkStart w:id="4" w:name="_Toc487623248"/>
      <w:bookmarkStart w:id="94" w:name="_GoBack"/>
      <w:bookmarkEnd w:id="94"/>
      <w:r>
        <w:rPr>
          <w:rFonts w:hint="eastAsia" w:ascii="宋体" w:hAnsi="宋体" w:cs="宋体"/>
          <w:b/>
          <w:snapToGrid w:val="0"/>
          <w:color w:val="auto"/>
          <w:kern w:val="0"/>
          <w:sz w:val="32"/>
          <w:szCs w:val="32"/>
        </w:rPr>
        <w:t>估价报告目录</w:t>
      </w:r>
      <w:bookmarkEnd w:id="0"/>
      <w:bookmarkEnd w:id="1"/>
      <w:bookmarkEnd w:id="2"/>
      <w:bookmarkEnd w:id="3"/>
      <w:bookmarkEnd w:id="4"/>
      <w:bookmarkStart w:id="5" w:name="_Toc130033715"/>
    </w:p>
    <w:p>
      <w:pPr>
        <w:pStyle w:val="23"/>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TOC \o "1-3" \h \u </w:instrText>
      </w:r>
      <w:r>
        <w:rPr>
          <w:rFonts w:hint="eastAsia" w:ascii="仿宋" w:hAnsi="仿宋" w:eastAsia="仿宋"/>
          <w:color w:val="auto"/>
        </w:rPr>
        <w:fldChar w:fldCharType="separate"/>
      </w:r>
      <w:r>
        <w:rPr>
          <w:rFonts w:hint="eastAsia" w:ascii="仿宋" w:hAnsi="仿宋" w:eastAsia="仿宋"/>
          <w:color w:val="auto"/>
        </w:rPr>
        <w:fldChar w:fldCharType="begin"/>
      </w:r>
      <w:r>
        <w:rPr>
          <w:rFonts w:hint="eastAsia" w:ascii="仿宋" w:hAnsi="仿宋" w:eastAsia="仿宋"/>
          <w:color w:val="auto"/>
        </w:rPr>
        <w:instrText xml:space="preserve"> HYPERLINK \l _Toc18469 </w:instrText>
      </w:r>
      <w:r>
        <w:rPr>
          <w:rFonts w:hint="eastAsia" w:ascii="仿宋" w:hAnsi="仿宋" w:eastAsia="仿宋"/>
          <w:color w:val="auto"/>
        </w:rPr>
        <w:fldChar w:fldCharType="separate"/>
      </w:r>
      <w:r>
        <w:rPr>
          <w:rFonts w:hint="eastAsia" w:ascii="宋体" w:hAnsi="宋体" w:cs="宋体"/>
          <w:snapToGrid w:val="0"/>
          <w:color w:val="auto"/>
          <w:kern w:val="0"/>
          <w:szCs w:val="32"/>
        </w:rPr>
        <w:t>估价师声明</w:t>
      </w:r>
      <w:r>
        <w:rPr>
          <w:color w:val="auto"/>
        </w:rPr>
        <w:tab/>
      </w:r>
      <w:r>
        <w:rPr>
          <w:color w:val="auto"/>
        </w:rPr>
        <w:fldChar w:fldCharType="begin"/>
      </w:r>
      <w:r>
        <w:rPr>
          <w:color w:val="auto"/>
        </w:rPr>
        <w:instrText xml:space="preserve"> PAGEREF _Toc18469 </w:instrText>
      </w:r>
      <w:r>
        <w:rPr>
          <w:color w:val="auto"/>
        </w:rPr>
        <w:fldChar w:fldCharType="separate"/>
      </w:r>
      <w:r>
        <w:rPr>
          <w:color w:val="auto"/>
        </w:rPr>
        <w:t>1</w:t>
      </w:r>
      <w:r>
        <w:rPr>
          <w:color w:val="auto"/>
        </w:rPr>
        <w:fldChar w:fldCharType="end"/>
      </w:r>
      <w:r>
        <w:rPr>
          <w:rFonts w:hint="eastAsia" w:ascii="仿宋" w:hAnsi="仿宋" w:eastAsia="仿宋"/>
          <w:color w:val="auto"/>
        </w:rPr>
        <w:fldChar w:fldCharType="end"/>
      </w:r>
    </w:p>
    <w:p>
      <w:pPr>
        <w:pStyle w:val="23"/>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_Toc12462 </w:instrText>
      </w:r>
      <w:r>
        <w:rPr>
          <w:rFonts w:hint="eastAsia" w:ascii="仿宋" w:hAnsi="仿宋" w:eastAsia="仿宋"/>
          <w:color w:val="auto"/>
        </w:rPr>
        <w:fldChar w:fldCharType="separate"/>
      </w:r>
      <w:r>
        <w:rPr>
          <w:rFonts w:hint="eastAsia" w:ascii="宋体" w:hAnsi="宋体" w:cs="宋体"/>
          <w:snapToGrid w:val="0"/>
          <w:color w:val="auto"/>
          <w:kern w:val="0"/>
          <w:szCs w:val="32"/>
        </w:rPr>
        <w:t>估价假设和限制条件</w:t>
      </w:r>
      <w:r>
        <w:rPr>
          <w:color w:val="auto"/>
        </w:rPr>
        <w:tab/>
      </w:r>
      <w:r>
        <w:rPr>
          <w:color w:val="auto"/>
        </w:rPr>
        <w:fldChar w:fldCharType="begin"/>
      </w:r>
      <w:r>
        <w:rPr>
          <w:color w:val="auto"/>
        </w:rPr>
        <w:instrText xml:space="preserve"> PAGEREF _Toc12462 </w:instrText>
      </w:r>
      <w:r>
        <w:rPr>
          <w:color w:val="auto"/>
        </w:rPr>
        <w:fldChar w:fldCharType="separate"/>
      </w:r>
      <w:r>
        <w:rPr>
          <w:color w:val="auto"/>
        </w:rPr>
        <w:t>2</w:t>
      </w:r>
      <w:r>
        <w:rPr>
          <w:color w:val="auto"/>
        </w:rPr>
        <w:fldChar w:fldCharType="end"/>
      </w:r>
      <w:r>
        <w:rPr>
          <w:rFonts w:hint="eastAsia" w:ascii="仿宋" w:hAnsi="仿宋" w:eastAsia="仿宋"/>
          <w:color w:val="auto"/>
        </w:rPr>
        <w:fldChar w:fldCharType="end"/>
      </w:r>
    </w:p>
    <w:p>
      <w:pPr>
        <w:pStyle w:val="23"/>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_Toc17561 </w:instrText>
      </w:r>
      <w:r>
        <w:rPr>
          <w:rFonts w:hint="eastAsia" w:ascii="仿宋" w:hAnsi="仿宋" w:eastAsia="仿宋"/>
          <w:color w:val="auto"/>
        </w:rPr>
        <w:fldChar w:fldCharType="separate"/>
      </w:r>
      <w:r>
        <w:rPr>
          <w:rFonts w:hint="eastAsia" w:ascii="宋体" w:hAnsi="宋体" w:cs="宋体"/>
          <w:snapToGrid w:val="0"/>
          <w:color w:val="auto"/>
          <w:kern w:val="0"/>
          <w:szCs w:val="32"/>
        </w:rPr>
        <w:t>估价结果报告</w:t>
      </w:r>
      <w:r>
        <w:rPr>
          <w:color w:val="auto"/>
        </w:rPr>
        <w:tab/>
      </w:r>
      <w:r>
        <w:rPr>
          <w:color w:val="auto"/>
        </w:rPr>
        <w:fldChar w:fldCharType="begin"/>
      </w:r>
      <w:r>
        <w:rPr>
          <w:color w:val="auto"/>
        </w:rPr>
        <w:instrText xml:space="preserve"> PAGEREF _Toc17561 </w:instrText>
      </w:r>
      <w:r>
        <w:rPr>
          <w:color w:val="auto"/>
        </w:rPr>
        <w:fldChar w:fldCharType="separate"/>
      </w:r>
      <w:r>
        <w:rPr>
          <w:color w:val="auto"/>
        </w:rPr>
        <w:t>5</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_Toc32440 </w:instrText>
      </w:r>
      <w:r>
        <w:rPr>
          <w:rFonts w:hint="eastAsia" w:ascii="仿宋" w:hAnsi="仿宋" w:eastAsia="仿宋"/>
          <w:color w:val="auto"/>
        </w:rPr>
        <w:fldChar w:fldCharType="separate"/>
      </w:r>
      <w:r>
        <w:rPr>
          <w:rFonts w:hint="eastAsia" w:ascii="仿宋" w:hAnsi="仿宋" w:eastAsia="仿宋" w:cs="仿宋"/>
          <w:color w:val="auto"/>
          <w:szCs w:val="24"/>
        </w:rPr>
        <w:t>一、估价委托人</w:t>
      </w:r>
      <w:r>
        <w:rPr>
          <w:color w:val="auto"/>
        </w:rPr>
        <w:tab/>
      </w:r>
      <w:r>
        <w:rPr>
          <w:color w:val="auto"/>
        </w:rPr>
        <w:fldChar w:fldCharType="begin"/>
      </w:r>
      <w:r>
        <w:rPr>
          <w:color w:val="auto"/>
        </w:rPr>
        <w:instrText xml:space="preserve"> PAGEREF _Toc32440 </w:instrText>
      </w:r>
      <w:r>
        <w:rPr>
          <w:color w:val="auto"/>
        </w:rPr>
        <w:fldChar w:fldCharType="separate"/>
      </w:r>
      <w:r>
        <w:rPr>
          <w:color w:val="auto"/>
        </w:rPr>
        <w:t>5</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_Toc4966 </w:instrText>
      </w:r>
      <w:r>
        <w:rPr>
          <w:rFonts w:hint="eastAsia" w:ascii="仿宋" w:hAnsi="仿宋" w:eastAsia="仿宋"/>
          <w:color w:val="auto"/>
        </w:rPr>
        <w:fldChar w:fldCharType="separate"/>
      </w:r>
      <w:r>
        <w:rPr>
          <w:rFonts w:hint="eastAsia" w:ascii="仿宋" w:hAnsi="仿宋" w:eastAsia="仿宋" w:cs="仿宋"/>
          <w:color w:val="auto"/>
          <w:szCs w:val="24"/>
        </w:rPr>
        <w:t>二、房地产估价机构</w:t>
      </w:r>
      <w:r>
        <w:rPr>
          <w:color w:val="auto"/>
        </w:rPr>
        <w:tab/>
      </w:r>
      <w:r>
        <w:rPr>
          <w:color w:val="auto"/>
        </w:rPr>
        <w:fldChar w:fldCharType="begin"/>
      </w:r>
      <w:r>
        <w:rPr>
          <w:color w:val="auto"/>
        </w:rPr>
        <w:instrText xml:space="preserve"> PAGEREF _Toc4966 </w:instrText>
      </w:r>
      <w:r>
        <w:rPr>
          <w:color w:val="auto"/>
        </w:rPr>
        <w:fldChar w:fldCharType="separate"/>
      </w:r>
      <w:r>
        <w:rPr>
          <w:color w:val="auto"/>
        </w:rPr>
        <w:t>5</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_Toc24106 </w:instrText>
      </w:r>
      <w:r>
        <w:rPr>
          <w:rFonts w:hint="eastAsia" w:ascii="仿宋" w:hAnsi="仿宋" w:eastAsia="仿宋"/>
          <w:color w:val="auto"/>
        </w:rPr>
        <w:fldChar w:fldCharType="separate"/>
      </w:r>
      <w:r>
        <w:rPr>
          <w:rFonts w:hint="eastAsia" w:ascii="仿宋" w:hAnsi="仿宋" w:eastAsia="仿宋" w:cs="仿宋"/>
          <w:color w:val="auto"/>
          <w:szCs w:val="24"/>
        </w:rPr>
        <w:t>三、估价目的</w:t>
      </w:r>
      <w:r>
        <w:rPr>
          <w:color w:val="auto"/>
        </w:rPr>
        <w:tab/>
      </w:r>
      <w:r>
        <w:rPr>
          <w:color w:val="auto"/>
        </w:rPr>
        <w:fldChar w:fldCharType="begin"/>
      </w:r>
      <w:r>
        <w:rPr>
          <w:color w:val="auto"/>
        </w:rPr>
        <w:instrText xml:space="preserve"> PAGEREF _Toc24106 </w:instrText>
      </w:r>
      <w:r>
        <w:rPr>
          <w:color w:val="auto"/>
        </w:rPr>
        <w:fldChar w:fldCharType="separate"/>
      </w:r>
      <w:r>
        <w:rPr>
          <w:color w:val="auto"/>
        </w:rPr>
        <w:t>5</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_Toc11686 </w:instrText>
      </w:r>
      <w:r>
        <w:rPr>
          <w:rFonts w:hint="eastAsia" w:ascii="仿宋" w:hAnsi="仿宋" w:eastAsia="仿宋"/>
          <w:color w:val="auto"/>
        </w:rPr>
        <w:fldChar w:fldCharType="separate"/>
      </w:r>
      <w:r>
        <w:rPr>
          <w:rFonts w:hint="eastAsia" w:ascii="仿宋" w:hAnsi="仿宋" w:eastAsia="仿宋" w:cs="仿宋"/>
          <w:color w:val="auto"/>
          <w:szCs w:val="24"/>
        </w:rPr>
        <w:t>四、估价对象</w:t>
      </w:r>
      <w:r>
        <w:rPr>
          <w:color w:val="auto"/>
        </w:rPr>
        <w:tab/>
      </w:r>
      <w:r>
        <w:rPr>
          <w:color w:val="auto"/>
        </w:rPr>
        <w:fldChar w:fldCharType="begin"/>
      </w:r>
      <w:r>
        <w:rPr>
          <w:color w:val="auto"/>
        </w:rPr>
        <w:instrText xml:space="preserve"> PAGEREF _Toc11686 </w:instrText>
      </w:r>
      <w:r>
        <w:rPr>
          <w:color w:val="auto"/>
        </w:rPr>
        <w:fldChar w:fldCharType="separate"/>
      </w:r>
      <w:r>
        <w:rPr>
          <w:color w:val="auto"/>
        </w:rPr>
        <w:t>5</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_Toc4423 </w:instrText>
      </w:r>
      <w:r>
        <w:rPr>
          <w:rFonts w:hint="eastAsia" w:ascii="仿宋" w:hAnsi="仿宋" w:eastAsia="仿宋"/>
          <w:color w:val="auto"/>
        </w:rPr>
        <w:fldChar w:fldCharType="separate"/>
      </w:r>
      <w:r>
        <w:rPr>
          <w:rFonts w:hint="eastAsia" w:ascii="仿宋" w:hAnsi="仿宋" w:eastAsia="仿宋" w:cs="仿宋"/>
          <w:color w:val="auto"/>
          <w:szCs w:val="24"/>
        </w:rPr>
        <w:t>五、价值时点</w:t>
      </w:r>
      <w:r>
        <w:rPr>
          <w:color w:val="auto"/>
        </w:rPr>
        <w:tab/>
      </w:r>
      <w:r>
        <w:rPr>
          <w:color w:val="auto"/>
        </w:rPr>
        <w:fldChar w:fldCharType="begin"/>
      </w:r>
      <w:r>
        <w:rPr>
          <w:color w:val="auto"/>
        </w:rPr>
        <w:instrText xml:space="preserve"> PAGEREF _Toc4423 </w:instrText>
      </w:r>
      <w:r>
        <w:rPr>
          <w:color w:val="auto"/>
        </w:rPr>
        <w:fldChar w:fldCharType="separate"/>
      </w:r>
      <w:r>
        <w:rPr>
          <w:color w:val="auto"/>
        </w:rPr>
        <w:t>8</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_Toc3033 </w:instrText>
      </w:r>
      <w:r>
        <w:rPr>
          <w:rFonts w:hint="eastAsia" w:ascii="仿宋" w:hAnsi="仿宋" w:eastAsia="仿宋"/>
          <w:color w:val="auto"/>
        </w:rPr>
        <w:fldChar w:fldCharType="separate"/>
      </w:r>
      <w:r>
        <w:rPr>
          <w:rFonts w:hint="eastAsia" w:ascii="仿宋" w:hAnsi="仿宋" w:eastAsia="仿宋" w:cs="仿宋"/>
          <w:color w:val="auto"/>
          <w:szCs w:val="24"/>
        </w:rPr>
        <w:t>六、价值类型</w:t>
      </w:r>
      <w:r>
        <w:rPr>
          <w:color w:val="auto"/>
        </w:rPr>
        <w:tab/>
      </w:r>
      <w:r>
        <w:rPr>
          <w:color w:val="auto"/>
        </w:rPr>
        <w:fldChar w:fldCharType="begin"/>
      </w:r>
      <w:r>
        <w:rPr>
          <w:color w:val="auto"/>
        </w:rPr>
        <w:instrText xml:space="preserve"> PAGEREF _Toc3033 </w:instrText>
      </w:r>
      <w:r>
        <w:rPr>
          <w:color w:val="auto"/>
        </w:rPr>
        <w:fldChar w:fldCharType="separate"/>
      </w:r>
      <w:r>
        <w:rPr>
          <w:color w:val="auto"/>
        </w:rPr>
        <w:t>8</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_Toc6320 </w:instrText>
      </w:r>
      <w:r>
        <w:rPr>
          <w:rFonts w:hint="eastAsia" w:ascii="仿宋" w:hAnsi="仿宋" w:eastAsia="仿宋"/>
          <w:color w:val="auto"/>
        </w:rPr>
        <w:fldChar w:fldCharType="separate"/>
      </w:r>
      <w:r>
        <w:rPr>
          <w:rFonts w:hint="eastAsia" w:ascii="仿宋" w:hAnsi="仿宋" w:eastAsia="仿宋" w:cs="仿宋"/>
          <w:color w:val="auto"/>
          <w:szCs w:val="24"/>
        </w:rPr>
        <w:t>七、估价原则</w:t>
      </w:r>
      <w:r>
        <w:rPr>
          <w:color w:val="auto"/>
        </w:rPr>
        <w:tab/>
      </w:r>
      <w:r>
        <w:rPr>
          <w:color w:val="auto"/>
        </w:rPr>
        <w:fldChar w:fldCharType="begin"/>
      </w:r>
      <w:r>
        <w:rPr>
          <w:color w:val="auto"/>
        </w:rPr>
        <w:instrText xml:space="preserve"> PAGEREF _Toc6320 </w:instrText>
      </w:r>
      <w:r>
        <w:rPr>
          <w:color w:val="auto"/>
        </w:rPr>
        <w:fldChar w:fldCharType="separate"/>
      </w:r>
      <w:r>
        <w:rPr>
          <w:color w:val="auto"/>
        </w:rPr>
        <w:t>8</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_Toc30133 </w:instrText>
      </w:r>
      <w:r>
        <w:rPr>
          <w:rFonts w:hint="eastAsia" w:ascii="仿宋" w:hAnsi="仿宋" w:eastAsia="仿宋"/>
          <w:color w:val="auto"/>
        </w:rPr>
        <w:fldChar w:fldCharType="separate"/>
      </w:r>
      <w:r>
        <w:rPr>
          <w:rFonts w:hint="eastAsia" w:ascii="仿宋" w:hAnsi="仿宋" w:eastAsia="仿宋" w:cs="仿宋"/>
          <w:color w:val="auto"/>
          <w:szCs w:val="24"/>
        </w:rPr>
        <w:t>八、估价依据</w:t>
      </w:r>
      <w:r>
        <w:rPr>
          <w:color w:val="auto"/>
        </w:rPr>
        <w:tab/>
      </w:r>
      <w:r>
        <w:rPr>
          <w:color w:val="auto"/>
        </w:rPr>
        <w:fldChar w:fldCharType="begin"/>
      </w:r>
      <w:r>
        <w:rPr>
          <w:color w:val="auto"/>
        </w:rPr>
        <w:instrText xml:space="preserve"> PAGEREF _Toc30133 </w:instrText>
      </w:r>
      <w:r>
        <w:rPr>
          <w:color w:val="auto"/>
        </w:rPr>
        <w:fldChar w:fldCharType="separate"/>
      </w:r>
      <w:r>
        <w:rPr>
          <w:color w:val="auto"/>
        </w:rPr>
        <w:t>9</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_Toc10360 </w:instrText>
      </w:r>
      <w:r>
        <w:rPr>
          <w:rFonts w:hint="eastAsia" w:ascii="仿宋" w:hAnsi="仿宋" w:eastAsia="仿宋"/>
          <w:color w:val="auto"/>
        </w:rPr>
        <w:fldChar w:fldCharType="separate"/>
      </w:r>
      <w:r>
        <w:rPr>
          <w:rFonts w:hint="eastAsia" w:ascii="仿宋" w:hAnsi="仿宋" w:eastAsia="仿宋" w:cs="仿宋"/>
          <w:color w:val="auto"/>
          <w:szCs w:val="24"/>
        </w:rPr>
        <w:t>九、估价方法</w:t>
      </w:r>
      <w:r>
        <w:rPr>
          <w:color w:val="auto"/>
        </w:rPr>
        <w:tab/>
      </w:r>
      <w:r>
        <w:rPr>
          <w:color w:val="auto"/>
        </w:rPr>
        <w:fldChar w:fldCharType="begin"/>
      </w:r>
      <w:r>
        <w:rPr>
          <w:color w:val="auto"/>
        </w:rPr>
        <w:instrText xml:space="preserve"> PAGEREF _Toc10360 </w:instrText>
      </w:r>
      <w:r>
        <w:rPr>
          <w:color w:val="auto"/>
        </w:rPr>
        <w:fldChar w:fldCharType="separate"/>
      </w:r>
      <w:r>
        <w:rPr>
          <w:color w:val="auto"/>
        </w:rPr>
        <w:t>10</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_Toc30059 </w:instrText>
      </w:r>
      <w:r>
        <w:rPr>
          <w:rFonts w:hint="eastAsia" w:ascii="仿宋" w:hAnsi="仿宋" w:eastAsia="仿宋"/>
          <w:color w:val="auto"/>
        </w:rPr>
        <w:fldChar w:fldCharType="separate"/>
      </w:r>
      <w:r>
        <w:rPr>
          <w:rFonts w:hint="eastAsia" w:ascii="仿宋" w:hAnsi="仿宋" w:eastAsia="仿宋" w:cs="仿宋"/>
          <w:color w:val="auto"/>
          <w:szCs w:val="24"/>
        </w:rPr>
        <w:t>十、估价结果</w:t>
      </w:r>
      <w:r>
        <w:rPr>
          <w:color w:val="auto"/>
        </w:rPr>
        <w:tab/>
      </w:r>
      <w:r>
        <w:rPr>
          <w:color w:val="auto"/>
        </w:rPr>
        <w:fldChar w:fldCharType="begin"/>
      </w:r>
      <w:r>
        <w:rPr>
          <w:color w:val="auto"/>
        </w:rPr>
        <w:instrText xml:space="preserve"> PAGEREF _Toc30059 </w:instrText>
      </w:r>
      <w:r>
        <w:rPr>
          <w:color w:val="auto"/>
        </w:rPr>
        <w:fldChar w:fldCharType="separate"/>
      </w:r>
      <w:r>
        <w:rPr>
          <w:color w:val="auto"/>
        </w:rPr>
        <w:t>11</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_Toc22218 </w:instrText>
      </w:r>
      <w:r>
        <w:rPr>
          <w:rFonts w:hint="eastAsia" w:ascii="仿宋" w:hAnsi="仿宋" w:eastAsia="仿宋"/>
          <w:color w:val="auto"/>
        </w:rPr>
        <w:fldChar w:fldCharType="separate"/>
      </w:r>
      <w:r>
        <w:rPr>
          <w:rFonts w:hint="eastAsia" w:ascii="仿宋" w:hAnsi="仿宋" w:eastAsia="仿宋" w:cs="仿宋"/>
          <w:color w:val="auto"/>
          <w:szCs w:val="24"/>
        </w:rPr>
        <w:t>十一、注册房地产估价师</w:t>
      </w:r>
      <w:r>
        <w:rPr>
          <w:color w:val="auto"/>
        </w:rPr>
        <w:tab/>
      </w:r>
      <w:r>
        <w:rPr>
          <w:color w:val="auto"/>
        </w:rPr>
        <w:fldChar w:fldCharType="begin"/>
      </w:r>
      <w:r>
        <w:rPr>
          <w:color w:val="auto"/>
        </w:rPr>
        <w:instrText xml:space="preserve"> PAGEREF _Toc22218 </w:instrText>
      </w:r>
      <w:r>
        <w:rPr>
          <w:color w:val="auto"/>
        </w:rPr>
        <w:fldChar w:fldCharType="separate"/>
      </w:r>
      <w:r>
        <w:rPr>
          <w:color w:val="auto"/>
        </w:rPr>
        <w:t>12</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_Toc12853 </w:instrText>
      </w:r>
      <w:r>
        <w:rPr>
          <w:rFonts w:hint="eastAsia" w:ascii="仿宋" w:hAnsi="仿宋" w:eastAsia="仿宋"/>
          <w:color w:val="auto"/>
        </w:rPr>
        <w:fldChar w:fldCharType="separate"/>
      </w:r>
      <w:r>
        <w:rPr>
          <w:rFonts w:hint="eastAsia" w:ascii="仿宋" w:hAnsi="仿宋" w:eastAsia="仿宋" w:cs="仿宋"/>
          <w:color w:val="auto"/>
          <w:szCs w:val="24"/>
        </w:rPr>
        <w:t>十二、实地查勘期</w:t>
      </w:r>
      <w:r>
        <w:rPr>
          <w:color w:val="auto"/>
        </w:rPr>
        <w:tab/>
      </w:r>
      <w:r>
        <w:rPr>
          <w:color w:val="auto"/>
        </w:rPr>
        <w:fldChar w:fldCharType="begin"/>
      </w:r>
      <w:r>
        <w:rPr>
          <w:color w:val="auto"/>
        </w:rPr>
        <w:instrText xml:space="preserve"> PAGEREF _Toc12853 </w:instrText>
      </w:r>
      <w:r>
        <w:rPr>
          <w:color w:val="auto"/>
        </w:rPr>
        <w:fldChar w:fldCharType="separate"/>
      </w:r>
      <w:r>
        <w:rPr>
          <w:color w:val="auto"/>
        </w:rPr>
        <w:t>12</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_Toc22734 </w:instrText>
      </w:r>
      <w:r>
        <w:rPr>
          <w:rFonts w:hint="eastAsia" w:ascii="仿宋" w:hAnsi="仿宋" w:eastAsia="仿宋"/>
          <w:color w:val="auto"/>
        </w:rPr>
        <w:fldChar w:fldCharType="separate"/>
      </w:r>
      <w:r>
        <w:rPr>
          <w:rFonts w:hint="eastAsia" w:ascii="仿宋" w:hAnsi="仿宋" w:eastAsia="仿宋" w:cs="仿宋"/>
          <w:color w:val="auto"/>
          <w:szCs w:val="24"/>
        </w:rPr>
        <w:t>十三、估价作业期</w:t>
      </w:r>
      <w:r>
        <w:rPr>
          <w:color w:val="auto"/>
        </w:rPr>
        <w:tab/>
      </w:r>
      <w:r>
        <w:rPr>
          <w:color w:val="auto"/>
        </w:rPr>
        <w:fldChar w:fldCharType="begin"/>
      </w:r>
      <w:r>
        <w:rPr>
          <w:color w:val="auto"/>
        </w:rPr>
        <w:instrText xml:space="preserve"> PAGEREF _Toc22734 </w:instrText>
      </w:r>
      <w:r>
        <w:rPr>
          <w:color w:val="auto"/>
        </w:rPr>
        <w:fldChar w:fldCharType="separate"/>
      </w:r>
      <w:r>
        <w:rPr>
          <w:color w:val="auto"/>
        </w:rPr>
        <w:t>12</w:t>
      </w:r>
      <w:r>
        <w:rPr>
          <w:color w:val="auto"/>
        </w:rPr>
        <w:fldChar w:fldCharType="end"/>
      </w:r>
      <w:r>
        <w:rPr>
          <w:rFonts w:hint="eastAsia" w:ascii="仿宋" w:hAnsi="仿宋" w:eastAsia="仿宋"/>
          <w:color w:val="auto"/>
        </w:rPr>
        <w:fldChar w:fldCharType="end"/>
      </w:r>
    </w:p>
    <w:p>
      <w:pPr>
        <w:pStyle w:val="23"/>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_Toc21539 </w:instrText>
      </w:r>
      <w:r>
        <w:rPr>
          <w:rFonts w:hint="eastAsia" w:ascii="仿宋" w:hAnsi="仿宋" w:eastAsia="仿宋"/>
          <w:color w:val="auto"/>
        </w:rPr>
        <w:fldChar w:fldCharType="separate"/>
      </w:r>
      <w:r>
        <w:rPr>
          <w:rFonts w:hint="eastAsia" w:ascii="宋体" w:hAnsi="宋体" w:cs="宋体"/>
          <w:snapToGrid w:val="0"/>
          <w:color w:val="auto"/>
          <w:kern w:val="0"/>
          <w:szCs w:val="32"/>
        </w:rPr>
        <w:t>估价报告附件</w:t>
      </w:r>
      <w:r>
        <w:rPr>
          <w:color w:val="auto"/>
        </w:rPr>
        <w:tab/>
      </w:r>
      <w:r>
        <w:rPr>
          <w:color w:val="auto"/>
        </w:rPr>
        <w:fldChar w:fldCharType="begin"/>
      </w:r>
      <w:r>
        <w:rPr>
          <w:color w:val="auto"/>
        </w:rPr>
        <w:instrText xml:space="preserve"> PAGEREF _Toc21539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_Toc1972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一、（2019）黔</w:t>
      </w:r>
      <w:r>
        <w:rPr>
          <w:rFonts w:hint="eastAsia" w:ascii="仿宋_GB2312" w:hAnsi="仿宋" w:eastAsia="仿宋_GB2312" w:cs="宋体"/>
          <w:bCs w:val="0"/>
          <w:color w:val="auto"/>
          <w:szCs w:val="24"/>
          <w:lang w:eastAsia="zh-CN"/>
        </w:rPr>
        <w:t>钟</w:t>
      </w:r>
      <w:r>
        <w:rPr>
          <w:rFonts w:hint="eastAsia" w:ascii="仿宋_GB2312" w:hAnsi="仿宋" w:eastAsia="仿宋_GB2312" w:cs="宋体"/>
          <w:bCs w:val="0"/>
          <w:color w:val="auto"/>
          <w:szCs w:val="24"/>
        </w:rPr>
        <w:t>委</w:t>
      </w:r>
      <w:r>
        <w:rPr>
          <w:rFonts w:hint="eastAsia" w:ascii="仿宋_GB2312" w:hAnsi="仿宋" w:eastAsia="仿宋_GB2312" w:cs="宋体"/>
          <w:bCs w:val="0"/>
          <w:color w:val="auto"/>
          <w:szCs w:val="24"/>
          <w:lang w:eastAsia="zh-CN"/>
        </w:rPr>
        <w:t>评</w:t>
      </w:r>
      <w:r>
        <w:rPr>
          <w:rFonts w:hint="eastAsia" w:ascii="仿宋_GB2312" w:hAnsi="仿宋" w:eastAsia="仿宋_GB2312" w:cs="宋体"/>
          <w:bCs w:val="0"/>
          <w:color w:val="auto"/>
          <w:szCs w:val="24"/>
        </w:rPr>
        <w:t>字</w:t>
      </w:r>
      <w:r>
        <w:rPr>
          <w:rFonts w:hint="eastAsia" w:ascii="仿宋_GB2312" w:hAnsi="仿宋" w:eastAsia="仿宋_GB2312" w:cs="宋体"/>
          <w:bCs w:val="0"/>
          <w:color w:val="auto"/>
          <w:szCs w:val="24"/>
          <w:lang w:eastAsia="zh-CN"/>
        </w:rPr>
        <w:t>第139号</w:t>
      </w:r>
      <w:r>
        <w:rPr>
          <w:rFonts w:hint="eastAsia" w:ascii="仿宋_GB2312" w:hAnsi="仿宋" w:eastAsia="仿宋_GB2312" w:cs="宋体"/>
          <w:bCs w:val="0"/>
          <w:color w:val="auto"/>
          <w:szCs w:val="24"/>
        </w:rPr>
        <w:t>《</w:t>
      </w:r>
      <w:r>
        <w:rPr>
          <w:rFonts w:hint="eastAsia" w:ascii="仿宋_GB2312" w:hAnsi="仿宋" w:eastAsia="仿宋_GB2312" w:cs="宋体"/>
          <w:bCs w:val="0"/>
          <w:color w:val="auto"/>
          <w:szCs w:val="24"/>
          <w:lang w:eastAsia="zh-CN"/>
        </w:rPr>
        <w:t>贵州省六盘水市钟山区人民法院评估委托书</w:t>
      </w:r>
      <w:r>
        <w:rPr>
          <w:rFonts w:hint="eastAsia" w:ascii="仿宋_GB2312" w:hAnsi="仿宋" w:eastAsia="仿宋_GB2312" w:cs="宋体"/>
          <w:bCs w:val="0"/>
          <w:color w:val="auto"/>
          <w:szCs w:val="24"/>
        </w:rPr>
        <w:t>》复</w:t>
      </w:r>
      <w:r>
        <w:rPr>
          <w:rFonts w:hint="eastAsia" w:ascii="仿宋_GB2312" w:hAnsi="仿宋" w:eastAsia="仿宋_GB2312" w:cs="宋体"/>
          <w:bCs w:val="0"/>
          <w:color w:val="auto"/>
          <w:szCs w:val="24"/>
          <w:lang w:eastAsia="zh-CN"/>
        </w:rPr>
        <w:t>印</w:t>
      </w:r>
      <w:r>
        <w:rPr>
          <w:rFonts w:hint="eastAsia" w:ascii="仿宋_GB2312" w:hAnsi="仿宋" w:eastAsia="仿宋_GB2312" w:cs="宋体"/>
          <w:bCs w:val="0"/>
          <w:color w:val="auto"/>
          <w:szCs w:val="24"/>
        </w:rPr>
        <w:t>件</w:t>
      </w:r>
      <w:r>
        <w:rPr>
          <w:color w:val="auto"/>
        </w:rPr>
        <w:tab/>
      </w:r>
      <w:r>
        <w:rPr>
          <w:color w:val="auto"/>
        </w:rPr>
        <w:fldChar w:fldCharType="begin"/>
      </w:r>
      <w:r>
        <w:rPr>
          <w:color w:val="auto"/>
        </w:rPr>
        <w:instrText xml:space="preserve"> PAGEREF _Toc1972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_Toc25474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二、估价对象位置图</w:t>
      </w:r>
      <w:r>
        <w:rPr>
          <w:color w:val="auto"/>
        </w:rPr>
        <w:tab/>
      </w:r>
      <w:r>
        <w:rPr>
          <w:color w:val="auto"/>
        </w:rPr>
        <w:fldChar w:fldCharType="begin"/>
      </w:r>
      <w:r>
        <w:rPr>
          <w:color w:val="auto"/>
        </w:rPr>
        <w:instrText xml:space="preserve"> PAGEREF _Toc25474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_Toc30472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三、估价对象实地查勘情况和相关照片</w:t>
      </w:r>
      <w:r>
        <w:rPr>
          <w:color w:val="auto"/>
        </w:rPr>
        <w:tab/>
      </w:r>
      <w:r>
        <w:rPr>
          <w:color w:val="auto"/>
        </w:rPr>
        <w:fldChar w:fldCharType="begin"/>
      </w:r>
      <w:r>
        <w:rPr>
          <w:color w:val="auto"/>
        </w:rPr>
        <w:instrText xml:space="preserve"> PAGEREF _Toc30472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_Toc26710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四、估价对象《</w:t>
      </w:r>
      <w:r>
        <w:rPr>
          <w:rFonts w:hint="eastAsia" w:ascii="仿宋_GB2312" w:hAnsi="仿宋" w:eastAsia="仿宋_GB2312" w:cs="宋体"/>
          <w:bCs w:val="0"/>
          <w:color w:val="auto"/>
          <w:szCs w:val="24"/>
          <w:lang w:eastAsia="zh-CN"/>
        </w:rPr>
        <w:t>不动产信息查询结果</w:t>
      </w:r>
      <w:r>
        <w:rPr>
          <w:rFonts w:hint="eastAsia" w:ascii="仿宋_GB2312" w:hAnsi="仿宋" w:eastAsia="仿宋_GB2312" w:cs="宋体"/>
          <w:bCs w:val="0"/>
          <w:color w:val="auto"/>
          <w:szCs w:val="24"/>
        </w:rPr>
        <w:t>》复印件</w:t>
      </w:r>
      <w:r>
        <w:rPr>
          <w:color w:val="auto"/>
        </w:rPr>
        <w:tab/>
      </w:r>
      <w:r>
        <w:rPr>
          <w:color w:val="auto"/>
        </w:rPr>
        <w:fldChar w:fldCharType="begin"/>
      </w:r>
      <w:r>
        <w:rPr>
          <w:color w:val="auto"/>
        </w:rPr>
        <w:instrText xml:space="preserve"> PAGEREF _Toc26710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_Toc28351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五</w:t>
      </w:r>
      <w:r>
        <w:rPr>
          <w:rFonts w:hint="eastAsia" w:ascii="仿宋" w:hAnsi="仿宋" w:eastAsia="仿宋"/>
          <w:color w:val="auto"/>
        </w:rPr>
        <w:fldChar w:fldCharType="begin"/>
      </w:r>
      <w:r>
        <w:rPr>
          <w:rFonts w:hint="eastAsia" w:ascii="仿宋" w:hAnsi="仿宋" w:eastAsia="仿宋"/>
          <w:color w:val="auto"/>
        </w:rPr>
        <w:instrText xml:space="preserve"> HYPERLINK \l _Toc29367 </w:instrText>
      </w:r>
      <w:r>
        <w:rPr>
          <w:rFonts w:hint="eastAsia" w:ascii="仿宋" w:hAnsi="仿宋" w:eastAsia="仿宋"/>
          <w:color w:val="auto"/>
        </w:rPr>
        <w:fldChar w:fldCharType="separate"/>
      </w:r>
      <w:r>
        <w:rPr>
          <w:rFonts w:hint="eastAsia" w:ascii="仿宋_GB2312" w:hAnsi="仿宋" w:eastAsia="仿宋_GB2312" w:cs="宋体"/>
          <w:bCs w:val="0"/>
          <w:color w:val="auto"/>
          <w:szCs w:val="24"/>
        </w:rPr>
        <w:t>、估价专业帮助和相关专业意见说明</w:t>
      </w:r>
      <w:r>
        <w:rPr>
          <w:color w:val="auto"/>
        </w:rPr>
        <w:tab/>
      </w:r>
      <w:r>
        <w:rPr>
          <w:rFonts w:hint="eastAsia" w:ascii="仿宋" w:hAnsi="仿宋" w:eastAsia="仿宋"/>
          <w:color w:val="auto"/>
        </w:rPr>
        <w:fldChar w:fldCharType="end"/>
      </w:r>
      <w:r>
        <w:rPr>
          <w:rFonts w:hint="eastAsia" w:ascii="仿宋" w:hAnsi="仿宋" w:eastAsia="仿宋"/>
          <w:color w:val="auto"/>
          <w:lang w:val="en-US" w:eastAsia="zh-CN"/>
        </w:rPr>
        <w:t>13</w:t>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_Toc28322 </w:instrText>
      </w:r>
      <w:r>
        <w:rPr>
          <w:rFonts w:hint="eastAsia" w:ascii="仿宋" w:hAnsi="仿宋" w:eastAsia="仿宋"/>
          <w:color w:val="auto"/>
        </w:rPr>
        <w:fldChar w:fldCharType="separate"/>
      </w:r>
      <w:r>
        <w:rPr>
          <w:rFonts w:hint="eastAsia" w:ascii="仿宋_GB2312" w:hAnsi="仿宋" w:eastAsia="仿宋_GB2312" w:cs="宋体"/>
          <w:bCs w:val="0"/>
          <w:color w:val="auto"/>
          <w:szCs w:val="24"/>
          <w:lang w:eastAsia="zh-CN"/>
        </w:rPr>
        <w:t>六</w:t>
      </w:r>
      <w:r>
        <w:rPr>
          <w:rFonts w:hint="eastAsia" w:ascii="仿宋_GB2312" w:hAnsi="仿宋" w:eastAsia="仿宋_GB2312" w:cs="宋体"/>
          <w:bCs w:val="0"/>
          <w:color w:val="auto"/>
          <w:szCs w:val="24"/>
        </w:rPr>
        <w:t>、评估机构营业执照和评估机构</w:t>
      </w:r>
      <w:r>
        <w:rPr>
          <w:rFonts w:hint="eastAsia" w:ascii="仿宋_GB2312" w:hAnsi="仿宋" w:eastAsia="仿宋_GB2312" w:cs="宋体"/>
          <w:bCs w:val="0"/>
          <w:color w:val="auto"/>
          <w:szCs w:val="24"/>
          <w:lang w:eastAsia="zh-CN"/>
        </w:rPr>
        <w:t>备案</w:t>
      </w:r>
      <w:r>
        <w:rPr>
          <w:rFonts w:hint="eastAsia" w:ascii="仿宋_GB2312" w:hAnsi="仿宋" w:eastAsia="仿宋_GB2312" w:cs="宋体"/>
          <w:bCs w:val="0"/>
          <w:color w:val="auto"/>
          <w:szCs w:val="24"/>
        </w:rPr>
        <w:t>证书复印件</w:t>
      </w:r>
      <w:r>
        <w:rPr>
          <w:color w:val="auto"/>
        </w:rPr>
        <w:tab/>
      </w:r>
      <w:r>
        <w:rPr>
          <w:color w:val="auto"/>
        </w:rPr>
        <w:fldChar w:fldCharType="begin"/>
      </w:r>
      <w:r>
        <w:rPr>
          <w:color w:val="auto"/>
        </w:rPr>
        <w:instrText xml:space="preserve"> PAGEREF _Toc28322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r>
        <w:rPr>
          <w:rFonts w:hint="eastAsia" w:ascii="仿宋" w:hAnsi="仿宋" w:eastAsia="仿宋"/>
          <w:color w:val="auto"/>
        </w:rPr>
        <w:fldChar w:fldCharType="begin"/>
      </w:r>
      <w:r>
        <w:rPr>
          <w:rFonts w:hint="eastAsia" w:ascii="仿宋" w:hAnsi="仿宋" w:eastAsia="仿宋"/>
          <w:color w:val="auto"/>
        </w:rPr>
        <w:instrText xml:space="preserve"> HYPERLINK \l _Toc15130 </w:instrText>
      </w:r>
      <w:r>
        <w:rPr>
          <w:rFonts w:hint="eastAsia" w:ascii="仿宋" w:hAnsi="仿宋" w:eastAsia="仿宋"/>
          <w:color w:val="auto"/>
        </w:rPr>
        <w:fldChar w:fldCharType="separate"/>
      </w:r>
      <w:r>
        <w:rPr>
          <w:rFonts w:hint="eastAsia" w:ascii="仿宋_GB2312" w:hAnsi="仿宋" w:eastAsia="仿宋_GB2312" w:cs="宋体"/>
          <w:bCs w:val="0"/>
          <w:color w:val="auto"/>
          <w:szCs w:val="24"/>
          <w:lang w:eastAsia="zh-CN"/>
        </w:rPr>
        <w:t>七</w:t>
      </w:r>
      <w:r>
        <w:rPr>
          <w:rFonts w:hint="eastAsia" w:ascii="仿宋_GB2312" w:hAnsi="仿宋" w:eastAsia="仿宋_GB2312" w:cs="宋体"/>
          <w:bCs w:val="0"/>
          <w:color w:val="auto"/>
          <w:szCs w:val="24"/>
        </w:rPr>
        <w:t>、注册房地产估价师注册证书复印件</w:t>
      </w:r>
      <w:r>
        <w:rPr>
          <w:color w:val="auto"/>
        </w:rPr>
        <w:tab/>
      </w:r>
      <w:r>
        <w:rPr>
          <w:color w:val="auto"/>
        </w:rPr>
        <w:fldChar w:fldCharType="begin"/>
      </w:r>
      <w:r>
        <w:rPr>
          <w:color w:val="auto"/>
        </w:rPr>
        <w:instrText xml:space="preserve"> PAGEREF _Toc15130 </w:instrText>
      </w:r>
      <w:r>
        <w:rPr>
          <w:color w:val="auto"/>
        </w:rPr>
        <w:fldChar w:fldCharType="separate"/>
      </w:r>
      <w:r>
        <w:rPr>
          <w:color w:val="auto"/>
        </w:rPr>
        <w:t>13</w:t>
      </w:r>
      <w:r>
        <w:rPr>
          <w:color w:val="auto"/>
        </w:rPr>
        <w:fldChar w:fldCharType="end"/>
      </w:r>
      <w:r>
        <w:rPr>
          <w:rFonts w:hint="eastAsia" w:ascii="仿宋" w:hAnsi="仿宋" w:eastAsia="仿宋"/>
          <w:color w:val="auto"/>
        </w:rPr>
        <w:fldChar w:fldCharType="end"/>
      </w:r>
      <w:r>
        <w:rPr>
          <w:color w:val="auto"/>
        </w:rPr>
        <w:tab/>
      </w:r>
      <w:r>
        <w:rPr>
          <w:rFonts w:hint="eastAsia" w:ascii="仿宋" w:hAnsi="仿宋" w:eastAsia="仿宋"/>
          <w:color w:val="auto"/>
        </w:rPr>
        <w:fldChar w:fldCharType="end"/>
      </w:r>
    </w:p>
    <w:p>
      <w:pPr>
        <w:pStyle w:val="28"/>
        <w:pageBreakBefore w:val="0"/>
        <w:widowControl w:val="0"/>
        <w:tabs>
          <w:tab w:val="right" w:leader="dot" w:pos="9030"/>
        </w:tabs>
        <w:kinsoku/>
        <w:wordWrap/>
        <w:overflowPunct/>
        <w:topLinePunct w:val="0"/>
        <w:autoSpaceDE/>
        <w:autoSpaceDN/>
        <w:bidi w:val="0"/>
        <w:spacing w:line="440" w:lineRule="exact"/>
        <w:textAlignment w:val="auto"/>
        <w:rPr>
          <w:color w:val="auto"/>
        </w:rPr>
      </w:pPr>
    </w:p>
    <w:p>
      <w:pPr>
        <w:keepNext/>
        <w:keepLines/>
        <w:pageBreakBefore w:val="0"/>
        <w:widowControl w:val="0"/>
        <w:kinsoku/>
        <w:wordWrap/>
        <w:overflowPunct/>
        <w:topLinePunct w:val="0"/>
        <w:autoSpaceDE/>
        <w:autoSpaceDN/>
        <w:bidi w:val="0"/>
        <w:adjustRightInd w:val="0"/>
        <w:snapToGrid w:val="0"/>
        <w:spacing w:line="440" w:lineRule="exact"/>
        <w:jc w:val="center"/>
        <w:textAlignment w:val="auto"/>
        <w:rPr>
          <w:color w:val="auto"/>
        </w:rPr>
      </w:pPr>
      <w:r>
        <w:rPr>
          <w:rFonts w:hint="eastAsia" w:ascii="仿宋" w:hAnsi="仿宋" w:eastAsia="仿宋"/>
          <w:color w:val="auto"/>
        </w:rPr>
        <w:fldChar w:fldCharType="end"/>
      </w:r>
      <w:bookmarkStart w:id="6" w:name="_Toc444180877"/>
    </w:p>
    <w:p>
      <w:pPr>
        <w:pStyle w:val="3"/>
        <w:spacing w:before="120" w:after="120" w:line="240" w:lineRule="auto"/>
        <w:rPr>
          <w:rFonts w:ascii="黑体" w:hAnsi="黑体" w:eastAsia="黑体"/>
          <w:snapToGrid w:val="0"/>
          <w:color w:val="auto"/>
          <w:kern w:val="0"/>
        </w:rPr>
        <w:sectPr>
          <w:headerReference r:id="rId3" w:type="default"/>
          <w:footerReference r:id="rId4" w:type="default"/>
          <w:pgSz w:w="11906" w:h="16838"/>
          <w:pgMar w:top="1440" w:right="1196" w:bottom="1440" w:left="1680" w:header="851" w:footer="992" w:gutter="0"/>
          <w:pgNumType w:start="1"/>
          <w:cols w:space="720" w:num="1"/>
          <w:docGrid w:type="lines" w:linePitch="312" w:charSpace="0"/>
        </w:sectPr>
      </w:pPr>
    </w:p>
    <w:p>
      <w:pPr>
        <w:pStyle w:val="3"/>
        <w:spacing w:before="120" w:after="120" w:line="240" w:lineRule="auto"/>
        <w:jc w:val="center"/>
        <w:rPr>
          <w:rFonts w:ascii="宋体" w:hAnsi="宋体" w:cs="宋体"/>
          <w:snapToGrid w:val="0"/>
          <w:color w:val="auto"/>
          <w:kern w:val="0"/>
          <w:sz w:val="32"/>
          <w:szCs w:val="32"/>
        </w:rPr>
      </w:pPr>
      <w:bookmarkStart w:id="7" w:name="_Toc18469"/>
      <w:r>
        <w:rPr>
          <w:rFonts w:hint="eastAsia" w:ascii="宋体" w:hAnsi="宋体" w:cs="宋体"/>
          <w:snapToGrid w:val="0"/>
          <w:color w:val="auto"/>
          <w:kern w:val="0"/>
          <w:sz w:val="32"/>
          <w:szCs w:val="32"/>
        </w:rPr>
        <w:t>估价师声明</w:t>
      </w:r>
      <w:bookmarkEnd w:id="6"/>
      <w:bookmarkEnd w:id="7"/>
    </w:p>
    <w:p>
      <w:pPr>
        <w:rPr>
          <w:color w:val="auto"/>
        </w:rPr>
      </w:pPr>
    </w:p>
    <w:bookmarkEnd w:id="5"/>
    <w:p>
      <w:pPr>
        <w:adjustRightInd w:val="0"/>
        <w:spacing w:line="480" w:lineRule="exact"/>
        <w:ind w:firstLine="480" w:firstLineChars="200"/>
        <w:rPr>
          <w:rFonts w:ascii="仿宋" w:hAnsi="仿宋" w:eastAsia="仿宋" w:cs="宋体"/>
          <w:color w:val="auto"/>
          <w:sz w:val="24"/>
          <w:szCs w:val="24"/>
        </w:rPr>
      </w:pPr>
      <w:bookmarkStart w:id="8" w:name="_Toc320184502"/>
      <w:bookmarkStart w:id="9" w:name="_Toc320276191"/>
      <w:bookmarkStart w:id="10" w:name="_Toc231983234"/>
      <w:bookmarkStart w:id="11" w:name="_Toc320173772"/>
      <w:bookmarkStart w:id="12" w:name="_Toc130033716"/>
      <w:r>
        <w:rPr>
          <w:rFonts w:hint="eastAsia" w:ascii="仿宋" w:hAnsi="仿宋" w:eastAsia="仿宋" w:cs="宋体"/>
          <w:color w:val="auto"/>
          <w:sz w:val="24"/>
          <w:szCs w:val="24"/>
        </w:rPr>
        <w:t>我们根据自己的专业知识和职业道德，在此郑重声明：</w:t>
      </w:r>
    </w:p>
    <w:p>
      <w:pPr>
        <w:adjustRightInd w:val="0"/>
        <w:spacing w:line="4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（一）我们在本估价报告中对事实的说明是真实和准确的，没有虚假记载、误导性陈述和重大遗漏。</w:t>
      </w:r>
    </w:p>
    <w:p>
      <w:pPr>
        <w:adjustRightInd w:val="0"/>
        <w:spacing w:line="4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（二）本估价报告中的分析、意见和结论是我们独立、客观、公正的专业分析、意见和结论，但受估价报告中已说明的估价的假设和限制条件的限制。</w:t>
      </w:r>
    </w:p>
    <w:p>
      <w:pPr>
        <w:adjustRightInd w:val="0"/>
        <w:spacing w:line="4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（三）我们与本估价报告中的估价对象没有现实或潜在的利益，与估价委托人和估价利害关系人没有利害关系，也对估价对象、估价委托人及估价利害关系人没有偏见。</w:t>
      </w:r>
    </w:p>
    <w:p>
      <w:pPr>
        <w:adjustRightInd w:val="0"/>
        <w:spacing w:line="4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（四）我们是按照国家标准《房地产估价规范》GB/T50291-2015、《房地产估价基本术语标准》GB/T50899-2013以及《贵州省涉案财物价格鉴定操作规程》（试行）进行估价工作，撰写本估价报告。</w:t>
      </w:r>
    </w:p>
    <w:p>
      <w:pPr>
        <w:adjustRightInd w:val="0"/>
        <w:spacing w:line="4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（五）参加本次估价的注册房地产估价师承诺对其估价职业道德、专业胜任能力和勤勉尽职尽责。</w:t>
      </w:r>
    </w:p>
    <w:p>
      <w:pPr>
        <w:tabs>
          <w:tab w:val="left" w:pos="2044"/>
        </w:tabs>
        <w:adjustRightInd w:val="0"/>
        <w:spacing w:line="480" w:lineRule="exact"/>
        <w:ind w:firstLine="480" w:firstLineChars="200"/>
        <w:jc w:val="center"/>
        <w:rPr>
          <w:rFonts w:ascii="仿宋" w:hAnsi="仿宋" w:eastAsia="仿宋" w:cs="宋体"/>
          <w:snapToGrid w:val="0"/>
          <w:color w:val="auto"/>
          <w:kern w:val="0"/>
          <w:sz w:val="24"/>
          <w:szCs w:val="24"/>
        </w:rPr>
      </w:pPr>
      <w:r>
        <w:rPr>
          <w:rFonts w:hint="eastAsia" w:ascii="仿宋" w:hAnsi="仿宋" w:eastAsia="仿宋" w:cs="宋体"/>
          <w:snapToGrid w:val="0"/>
          <w:color w:val="auto"/>
          <w:kern w:val="0"/>
          <w:sz w:val="24"/>
          <w:szCs w:val="24"/>
        </w:rPr>
        <w:t>注册房地产估价师</w:t>
      </w:r>
    </w:p>
    <w:tbl>
      <w:tblPr>
        <w:tblStyle w:val="45"/>
        <w:tblW w:w="9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2345"/>
        <w:gridCol w:w="2345"/>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exact"/>
          <w:jc w:val="center"/>
        </w:trPr>
        <w:tc>
          <w:tcPr>
            <w:tcW w:w="2125" w:type="dxa"/>
          </w:tcPr>
          <w:p>
            <w:pPr>
              <w:tabs>
                <w:tab w:val="left" w:pos="2044"/>
              </w:tabs>
              <w:adjustRightInd w:val="0"/>
              <w:spacing w:line="500" w:lineRule="exact"/>
              <w:ind w:firstLine="420" w:firstLineChars="200"/>
              <w:rPr>
                <w:rFonts w:ascii="仿宋" w:hAnsi="仿宋" w:eastAsia="仿宋" w:cs="仿宋"/>
                <w:snapToGrid w:val="0"/>
                <w:color w:val="auto"/>
                <w:kern w:val="0"/>
                <w:szCs w:val="21"/>
                <w:lang w:val="zh-CN"/>
              </w:rPr>
            </w:pPr>
            <w:r>
              <w:rPr>
                <w:rFonts w:hint="eastAsia" w:ascii="仿宋" w:hAnsi="仿宋" w:eastAsia="仿宋" w:cs="仿宋"/>
                <w:snapToGrid w:val="0"/>
                <w:color w:val="auto"/>
                <w:kern w:val="0"/>
                <w:szCs w:val="21"/>
                <w:lang w:val="zh-CN"/>
              </w:rPr>
              <w:t>姓    名</w:t>
            </w:r>
          </w:p>
        </w:tc>
        <w:tc>
          <w:tcPr>
            <w:tcW w:w="2345" w:type="dxa"/>
          </w:tcPr>
          <w:p>
            <w:pPr>
              <w:tabs>
                <w:tab w:val="left" w:pos="2044"/>
              </w:tabs>
              <w:adjustRightInd w:val="0"/>
              <w:spacing w:line="500" w:lineRule="exact"/>
              <w:ind w:firstLine="420" w:firstLineChars="200"/>
              <w:rPr>
                <w:rFonts w:ascii="仿宋" w:hAnsi="仿宋" w:eastAsia="仿宋" w:cs="仿宋"/>
                <w:snapToGrid w:val="0"/>
                <w:color w:val="auto"/>
                <w:kern w:val="0"/>
                <w:szCs w:val="21"/>
                <w:lang w:val="zh-CN"/>
              </w:rPr>
            </w:pPr>
            <w:r>
              <w:rPr>
                <w:rFonts w:hint="eastAsia" w:ascii="仿宋" w:hAnsi="仿宋" w:eastAsia="仿宋" w:cs="仿宋"/>
                <w:snapToGrid w:val="0"/>
                <w:color w:val="auto"/>
                <w:kern w:val="0"/>
                <w:szCs w:val="21"/>
                <w:lang w:val="zh-CN"/>
              </w:rPr>
              <w:t>注  册  号</w:t>
            </w:r>
          </w:p>
        </w:tc>
        <w:tc>
          <w:tcPr>
            <w:tcW w:w="2345" w:type="dxa"/>
          </w:tcPr>
          <w:p>
            <w:pPr>
              <w:tabs>
                <w:tab w:val="left" w:pos="2044"/>
              </w:tabs>
              <w:adjustRightInd w:val="0"/>
              <w:spacing w:line="500" w:lineRule="exact"/>
              <w:ind w:firstLine="420" w:firstLineChars="200"/>
              <w:rPr>
                <w:rFonts w:ascii="仿宋" w:hAnsi="仿宋" w:eastAsia="仿宋" w:cs="仿宋"/>
                <w:snapToGrid w:val="0"/>
                <w:color w:val="auto"/>
                <w:kern w:val="0"/>
                <w:szCs w:val="21"/>
                <w:lang w:val="zh-CN"/>
              </w:rPr>
            </w:pPr>
            <w:r>
              <w:rPr>
                <w:rFonts w:hint="eastAsia" w:ascii="仿宋" w:hAnsi="仿宋" w:eastAsia="仿宋" w:cs="仿宋"/>
                <w:snapToGrid w:val="0"/>
                <w:color w:val="auto"/>
                <w:kern w:val="0"/>
                <w:szCs w:val="21"/>
                <w:lang w:val="zh-CN"/>
              </w:rPr>
              <w:t>签   名</w:t>
            </w:r>
          </w:p>
        </w:tc>
        <w:tc>
          <w:tcPr>
            <w:tcW w:w="2391" w:type="dxa"/>
          </w:tcPr>
          <w:p>
            <w:pPr>
              <w:tabs>
                <w:tab w:val="left" w:pos="2044"/>
              </w:tabs>
              <w:adjustRightInd w:val="0"/>
              <w:spacing w:line="500" w:lineRule="exact"/>
              <w:ind w:firstLine="630" w:firstLineChars="300"/>
              <w:rPr>
                <w:rFonts w:ascii="仿宋" w:hAnsi="仿宋" w:eastAsia="仿宋" w:cs="仿宋"/>
                <w:snapToGrid w:val="0"/>
                <w:color w:val="auto"/>
                <w:kern w:val="0"/>
                <w:szCs w:val="21"/>
                <w:lang w:val="zh-CN"/>
              </w:rPr>
            </w:pPr>
            <w:r>
              <w:rPr>
                <w:rFonts w:hint="eastAsia" w:ascii="仿宋" w:hAnsi="仿宋" w:eastAsia="仿宋" w:cs="仿宋"/>
                <w:snapToGrid w:val="0"/>
                <w:color w:val="auto"/>
                <w:kern w:val="0"/>
                <w:szCs w:val="21"/>
                <w:lang w:val="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2125" w:type="dxa"/>
            <w:vAlign w:val="center"/>
          </w:tcPr>
          <w:p>
            <w:pPr>
              <w:tabs>
                <w:tab w:val="left" w:pos="2044"/>
              </w:tabs>
              <w:adjustRightInd w:val="0"/>
              <w:spacing w:line="500" w:lineRule="exact"/>
              <w:ind w:firstLine="420" w:firstLineChars="200"/>
              <w:rPr>
                <w:rFonts w:hint="eastAsia" w:ascii="仿宋" w:hAnsi="仿宋" w:eastAsia="仿宋" w:cs="仿宋"/>
                <w:snapToGrid w:val="0"/>
                <w:color w:val="auto"/>
                <w:kern w:val="0"/>
                <w:szCs w:val="21"/>
                <w:lang w:val="zh-CN" w:eastAsia="zh-CN"/>
              </w:rPr>
            </w:pPr>
            <w:r>
              <w:rPr>
                <w:rFonts w:hint="eastAsia" w:ascii="仿宋" w:hAnsi="仿宋" w:eastAsia="仿宋" w:cs="仿宋"/>
                <w:snapToGrid w:val="0"/>
                <w:color w:val="auto"/>
                <w:kern w:val="0"/>
                <w:szCs w:val="21"/>
                <w:lang w:eastAsia="zh-CN"/>
              </w:rPr>
              <w:t>段春兰</w:t>
            </w:r>
          </w:p>
        </w:tc>
        <w:tc>
          <w:tcPr>
            <w:tcW w:w="2345" w:type="dxa"/>
            <w:vAlign w:val="center"/>
          </w:tcPr>
          <w:p>
            <w:pPr>
              <w:tabs>
                <w:tab w:val="left" w:pos="2044"/>
              </w:tabs>
              <w:adjustRightInd w:val="0"/>
              <w:spacing w:line="500" w:lineRule="exact"/>
              <w:ind w:firstLine="420" w:firstLineChars="200"/>
              <w:rPr>
                <w:rFonts w:hint="eastAsia" w:ascii="仿宋" w:hAnsi="仿宋" w:eastAsia="仿宋" w:cs="仿宋"/>
                <w:snapToGrid w:val="0"/>
                <w:color w:val="auto"/>
                <w:kern w:val="0"/>
                <w:szCs w:val="21"/>
                <w:lang w:val="zh-CN" w:eastAsia="zh-CN"/>
              </w:rPr>
            </w:pPr>
            <w:r>
              <w:rPr>
                <w:rFonts w:hint="eastAsia" w:ascii="仿宋" w:hAnsi="仿宋" w:eastAsia="仿宋" w:cs="仿宋"/>
                <w:snapToGrid w:val="0"/>
                <w:color w:val="auto"/>
                <w:kern w:val="0"/>
                <w:szCs w:val="21"/>
                <w:lang w:val="en-US" w:eastAsia="zh-CN"/>
              </w:rPr>
              <w:t>5220190048</w:t>
            </w:r>
          </w:p>
        </w:tc>
        <w:tc>
          <w:tcPr>
            <w:tcW w:w="2345"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Cs w:val="21"/>
                <w:lang w:val="zh-CN"/>
              </w:rPr>
            </w:pPr>
          </w:p>
        </w:tc>
        <w:tc>
          <w:tcPr>
            <w:tcW w:w="2391" w:type="dxa"/>
            <w:vAlign w:val="center"/>
          </w:tcPr>
          <w:p>
            <w:pPr>
              <w:tabs>
                <w:tab w:val="left" w:pos="2044"/>
              </w:tabs>
              <w:adjustRightInd w:val="0"/>
              <w:spacing w:line="500" w:lineRule="exact"/>
              <w:rPr>
                <w:rFonts w:hint="eastAsia" w:ascii="仿宋" w:hAnsi="仿宋" w:eastAsia="仿宋" w:cs="仿宋"/>
                <w:snapToGrid w:val="0"/>
                <w:color w:val="auto"/>
                <w:kern w:val="0"/>
                <w:szCs w:val="21"/>
                <w:lang w:val="zh-CN" w:eastAsia="zh-CN"/>
              </w:rPr>
            </w:pPr>
            <w:r>
              <w:rPr>
                <w:rFonts w:hint="eastAsia" w:ascii="仿宋" w:hAnsi="仿宋" w:eastAsia="仿宋" w:cs="仿宋"/>
                <w:snapToGrid w:val="0"/>
                <w:color w:val="auto"/>
                <w:kern w:val="0"/>
                <w:szCs w:val="21"/>
              </w:rPr>
              <w:t xml:space="preserve">   </w:t>
            </w:r>
            <w:r>
              <w:rPr>
                <w:rFonts w:hint="eastAsia" w:ascii="仿宋" w:hAnsi="仿宋" w:eastAsia="仿宋" w:cs="仿宋"/>
                <w:snapToGrid w:val="0"/>
                <w:color w:val="auto"/>
                <w:kern w:val="0"/>
                <w:szCs w:val="21"/>
                <w:lang w:eastAsia="zh-CN"/>
              </w:rPr>
              <w:t xml:space="preserve"> 2019年11月</w:t>
            </w:r>
            <w:r>
              <w:rPr>
                <w:rFonts w:hint="eastAsia" w:ascii="仿宋" w:hAnsi="仿宋" w:eastAsia="仿宋" w:cs="仿宋"/>
                <w:snapToGrid w:val="0"/>
                <w:color w:val="auto"/>
                <w:kern w:val="0"/>
                <w:szCs w:val="21"/>
                <w:lang w:val="en-US" w:eastAsia="zh-CN"/>
              </w:rPr>
              <w:t>5</w:t>
            </w:r>
            <w:r>
              <w:rPr>
                <w:rFonts w:hint="eastAsia" w:ascii="仿宋" w:hAnsi="仿宋" w:eastAsia="仿宋" w:cs="仿宋"/>
                <w:snapToGrid w:val="0"/>
                <w:color w:val="auto"/>
                <w:kern w:val="0"/>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jc w:val="center"/>
        </w:trPr>
        <w:tc>
          <w:tcPr>
            <w:tcW w:w="2125"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Cs w:val="21"/>
                <w:highlight w:val="yellow"/>
                <w:lang w:val="zh-CN"/>
              </w:rPr>
            </w:pPr>
            <w:r>
              <w:rPr>
                <w:rFonts w:hint="eastAsia" w:ascii="仿宋" w:hAnsi="仿宋" w:eastAsia="仿宋" w:cs="仿宋"/>
                <w:snapToGrid w:val="0"/>
                <w:color w:val="auto"/>
                <w:kern w:val="0"/>
                <w:szCs w:val="21"/>
              </w:rPr>
              <w:t>罗泽芳</w:t>
            </w:r>
          </w:p>
        </w:tc>
        <w:tc>
          <w:tcPr>
            <w:tcW w:w="2345"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Cs w:val="21"/>
                <w:highlight w:val="yellow"/>
                <w:lang w:val="zh-CN"/>
              </w:rPr>
            </w:pPr>
            <w:r>
              <w:rPr>
                <w:rFonts w:hint="eastAsia" w:ascii="仿宋" w:hAnsi="仿宋" w:eastAsia="仿宋" w:cs="仿宋"/>
                <w:snapToGrid w:val="0"/>
                <w:color w:val="auto"/>
                <w:kern w:val="0"/>
                <w:szCs w:val="21"/>
              </w:rPr>
              <w:t>5120150067</w:t>
            </w:r>
          </w:p>
        </w:tc>
        <w:tc>
          <w:tcPr>
            <w:tcW w:w="2345"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Cs w:val="21"/>
                <w:lang w:val="zh-CN"/>
              </w:rPr>
            </w:pPr>
          </w:p>
        </w:tc>
        <w:tc>
          <w:tcPr>
            <w:tcW w:w="2391" w:type="dxa"/>
            <w:vAlign w:val="center"/>
          </w:tcPr>
          <w:p>
            <w:pPr>
              <w:tabs>
                <w:tab w:val="left" w:pos="2044"/>
              </w:tabs>
              <w:adjustRightInd w:val="0"/>
              <w:spacing w:line="500" w:lineRule="exact"/>
              <w:ind w:firstLine="315" w:firstLineChars="150"/>
              <w:rPr>
                <w:rFonts w:hint="eastAsia" w:ascii="仿宋" w:hAnsi="仿宋" w:eastAsia="仿宋" w:cs="仿宋"/>
                <w:snapToGrid w:val="0"/>
                <w:color w:val="auto"/>
                <w:kern w:val="0"/>
                <w:szCs w:val="21"/>
                <w:lang w:val="zh-CN" w:eastAsia="zh-CN"/>
              </w:rPr>
            </w:pPr>
            <w:r>
              <w:rPr>
                <w:rFonts w:hint="eastAsia" w:ascii="仿宋" w:hAnsi="仿宋" w:eastAsia="仿宋" w:cs="仿宋"/>
                <w:snapToGrid w:val="0"/>
                <w:color w:val="auto"/>
                <w:kern w:val="0"/>
                <w:szCs w:val="21"/>
                <w:lang w:eastAsia="zh-CN"/>
              </w:rPr>
              <w:t xml:space="preserve"> 2019年11月</w:t>
            </w:r>
            <w:r>
              <w:rPr>
                <w:rFonts w:hint="eastAsia" w:ascii="仿宋" w:hAnsi="仿宋" w:eastAsia="仿宋" w:cs="仿宋"/>
                <w:snapToGrid w:val="0"/>
                <w:color w:val="auto"/>
                <w:kern w:val="0"/>
                <w:szCs w:val="21"/>
                <w:lang w:val="en-US" w:eastAsia="zh-CN"/>
              </w:rPr>
              <w:t>5</w:t>
            </w:r>
            <w:r>
              <w:rPr>
                <w:rFonts w:hint="eastAsia" w:ascii="仿宋" w:hAnsi="仿宋" w:eastAsia="仿宋" w:cs="仿宋"/>
                <w:snapToGrid w:val="0"/>
                <w:color w:val="auto"/>
                <w:kern w:val="0"/>
                <w:szCs w:val="21"/>
                <w:lang w:eastAsia="zh-CN"/>
              </w:rPr>
              <w:t>日</w:t>
            </w:r>
          </w:p>
        </w:tc>
      </w:tr>
    </w:tbl>
    <w:p>
      <w:pPr>
        <w:rPr>
          <w:rFonts w:ascii="宋体" w:hAnsi="宋体" w:cs="宋体"/>
          <w:snapToGrid w:val="0"/>
          <w:color w:val="auto"/>
          <w:kern w:val="0"/>
          <w:sz w:val="32"/>
          <w:szCs w:val="32"/>
        </w:rPr>
      </w:pPr>
      <w:bookmarkStart w:id="13" w:name="_Toc444180878"/>
      <w:r>
        <w:rPr>
          <w:rFonts w:hint="eastAsia" w:ascii="宋体" w:hAnsi="宋体" w:cs="宋体"/>
          <w:snapToGrid w:val="0"/>
          <w:color w:val="auto"/>
          <w:kern w:val="0"/>
          <w:sz w:val="32"/>
          <w:szCs w:val="32"/>
        </w:rPr>
        <w:br w:type="page"/>
      </w:r>
    </w:p>
    <w:p>
      <w:pPr>
        <w:pStyle w:val="3"/>
        <w:spacing w:before="120" w:after="120" w:line="240" w:lineRule="auto"/>
        <w:jc w:val="center"/>
        <w:rPr>
          <w:rFonts w:ascii="宋体" w:hAnsi="宋体" w:cs="宋体"/>
          <w:snapToGrid w:val="0"/>
          <w:color w:val="auto"/>
          <w:kern w:val="0"/>
          <w:sz w:val="32"/>
          <w:szCs w:val="32"/>
        </w:rPr>
      </w:pPr>
      <w:bookmarkStart w:id="14" w:name="_Toc12462"/>
      <w:r>
        <w:rPr>
          <w:rFonts w:hint="eastAsia" w:ascii="宋体" w:hAnsi="宋体" w:cs="宋体"/>
          <w:snapToGrid w:val="0"/>
          <w:color w:val="auto"/>
          <w:kern w:val="0"/>
          <w:sz w:val="32"/>
          <w:szCs w:val="32"/>
        </w:rPr>
        <w:t>估价假设和限制条件</w:t>
      </w:r>
      <w:bookmarkEnd w:id="8"/>
      <w:bookmarkEnd w:id="9"/>
      <w:bookmarkEnd w:id="10"/>
      <w:bookmarkEnd w:id="11"/>
      <w:bookmarkEnd w:id="13"/>
      <w:bookmarkEnd w:id="14"/>
    </w:p>
    <w:bookmarkEnd w:id="12"/>
    <w:p>
      <w:pPr>
        <w:tabs>
          <w:tab w:val="left" w:pos="735"/>
        </w:tabs>
        <w:adjustRightInd w:val="0"/>
        <w:snapToGrid w:val="0"/>
        <w:spacing w:line="480" w:lineRule="exact"/>
        <w:rPr>
          <w:rFonts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一、本次估价的一般假设</w:t>
      </w:r>
    </w:p>
    <w:p>
      <w:pPr>
        <w:adjustRightInd w:val="0"/>
        <w:snapToGrid w:val="0"/>
        <w:spacing w:line="460" w:lineRule="exact"/>
        <w:ind w:firstLine="480" w:firstLineChars="200"/>
        <w:rPr>
          <w:rFonts w:ascii="仿宋" w:hAnsi="仿宋" w:eastAsia="仿宋" w:cs="宋体"/>
          <w:snapToGrid w:val="0"/>
          <w:color w:val="auto"/>
          <w:kern w:val="0"/>
          <w:sz w:val="24"/>
          <w:szCs w:val="24"/>
        </w:rPr>
      </w:pPr>
      <w:r>
        <w:rPr>
          <w:rFonts w:hint="eastAsia" w:ascii="仿宋" w:hAnsi="仿宋" w:eastAsia="仿宋" w:cs="宋体"/>
          <w:snapToGrid w:val="0"/>
          <w:color w:val="auto"/>
          <w:kern w:val="0"/>
          <w:sz w:val="24"/>
          <w:szCs w:val="24"/>
        </w:rPr>
        <w:t>1、估价委托人提供了估价对象的</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w:t>
      </w:r>
      <w:r>
        <w:rPr>
          <w:rFonts w:hint="eastAsia" w:ascii="仿宋" w:hAnsi="仿宋" w:eastAsia="仿宋" w:cs="宋体"/>
          <w:snapToGrid w:val="0"/>
          <w:color w:val="auto"/>
          <w:kern w:val="0"/>
          <w:sz w:val="24"/>
          <w:szCs w:val="24"/>
        </w:rPr>
        <w:t>复印件，我们未向政府有关部门进行核实，在无理由怀疑其合法性、真实性、准确性、完整性的情况下，假定估价委托人提供的资料合法、真实、准确、完整。</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2、注册房地产估价师已对</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安全环境污染噪音等影响估价对象价值的重大因素给予了关注，在无理由怀疑估价对象存在安全隐患且无相应的专业机构进行鉴定检测的情况，假定估价对象能正常安全使用。</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snapToGrid w:val="0"/>
          <w:color w:val="auto"/>
          <w:kern w:val="0"/>
          <w:sz w:val="24"/>
          <w:szCs w:val="24"/>
        </w:rPr>
        <w:t>3、注册房地产估价师未对</w:t>
      </w:r>
      <w:r>
        <w:rPr>
          <w:rFonts w:hint="eastAsia" w:ascii="仿宋" w:hAnsi="仿宋" w:eastAsia="仿宋" w:cs="宋体"/>
          <w:snapToGrid w:val="0"/>
          <w:color w:val="auto"/>
          <w:kern w:val="0"/>
          <w:sz w:val="24"/>
          <w:szCs w:val="24"/>
          <w:lang w:eastAsia="zh-CN"/>
        </w:rPr>
        <w:t>房地产</w:t>
      </w:r>
      <w:r>
        <w:rPr>
          <w:rFonts w:hint="eastAsia" w:ascii="仿宋" w:hAnsi="仿宋" w:eastAsia="仿宋" w:cs="宋体"/>
          <w:snapToGrid w:val="0"/>
          <w:color w:val="auto"/>
          <w:kern w:val="0"/>
          <w:sz w:val="24"/>
          <w:szCs w:val="24"/>
        </w:rPr>
        <w:t>建筑面积进行专业测量，经实地查勘，估价对象</w:t>
      </w:r>
      <w:r>
        <w:rPr>
          <w:rFonts w:hint="eastAsia" w:ascii="仿宋" w:hAnsi="仿宋" w:eastAsia="仿宋" w:cs="宋体"/>
          <w:snapToGrid w:val="0"/>
          <w:color w:val="auto"/>
          <w:kern w:val="0"/>
          <w:sz w:val="24"/>
          <w:szCs w:val="24"/>
          <w:lang w:eastAsia="zh-CN"/>
        </w:rPr>
        <w:t>房地产</w:t>
      </w:r>
      <w:r>
        <w:rPr>
          <w:rFonts w:hint="eastAsia" w:ascii="仿宋" w:hAnsi="仿宋" w:eastAsia="仿宋" w:cs="宋体"/>
          <w:snapToGrid w:val="0"/>
          <w:color w:val="auto"/>
          <w:kern w:val="0"/>
          <w:sz w:val="24"/>
          <w:szCs w:val="24"/>
        </w:rPr>
        <w:t>建筑面积与</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w:t>
      </w:r>
      <w:r>
        <w:rPr>
          <w:rFonts w:hint="eastAsia" w:ascii="仿宋" w:hAnsi="仿宋" w:eastAsia="仿宋" w:cs="宋体"/>
          <w:snapToGrid w:val="0"/>
          <w:color w:val="auto"/>
          <w:kern w:val="0"/>
          <w:sz w:val="24"/>
          <w:szCs w:val="24"/>
        </w:rPr>
        <w:t>记载建筑面积大体相当。</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4、估价对象在价值时点的房地产市场为公开、平等、自愿的交易市场，即满足以下条件：</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（1）交易双方自愿地进行交易；</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（2）交易双方处于利己动机进行交易，交易目的都是追求自身最大经济利益；</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（3）交易双方都具有完全市场信息、知晓市场行情，以及对交易对象具有必要的专业知识、不存在买者因特殊兴趣而给予附加出价;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（4）交易双方在适当的期间完成谈判和交易，以及在谈判期间物业价值保持稳定；</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（5）市场供求关系、市场结构保持稳定、未发生重大变化或实质性改变。</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6、估价对象应享有公共部位的通行权、水电等共用设施及小区景观、绿化、配套设施的使用权。</w:t>
      </w:r>
    </w:p>
    <w:p>
      <w:pPr>
        <w:tabs>
          <w:tab w:val="left" w:pos="735"/>
        </w:tabs>
        <w:adjustRightInd w:val="0"/>
        <w:snapToGrid w:val="0"/>
        <w:spacing w:line="480" w:lineRule="exact"/>
        <w:rPr>
          <w:rFonts w:ascii="仿宋" w:hAnsi="仿宋" w:eastAsia="仿宋" w:cs="宋体"/>
          <w:snapToGrid w:val="0"/>
          <w:color w:val="auto"/>
          <w:kern w:val="0"/>
          <w:sz w:val="24"/>
          <w:szCs w:val="24"/>
        </w:rPr>
      </w:pPr>
      <w:bookmarkStart w:id="15" w:name="_Toc320173773"/>
      <w:bookmarkStart w:id="16" w:name="_Toc320184503"/>
      <w:bookmarkStart w:id="17" w:name="_Toc183593024"/>
      <w:bookmarkStart w:id="18" w:name="_Toc320276192"/>
      <w:r>
        <w:rPr>
          <w:rFonts w:hint="eastAsia" w:ascii="仿宋" w:hAnsi="仿宋" w:eastAsia="仿宋" w:cs="仿宋"/>
          <w:b/>
          <w:snapToGrid w:val="0"/>
          <w:color w:val="auto"/>
          <w:kern w:val="0"/>
          <w:sz w:val="24"/>
          <w:szCs w:val="24"/>
        </w:rPr>
        <w:t>二、本次估价未定事项假设</w:t>
      </w:r>
    </w:p>
    <w:p>
      <w:pPr>
        <w:adjustRightInd w:val="0"/>
        <w:spacing w:line="46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估价委托人未提供</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的《国有土地使用证》，</w:t>
      </w:r>
      <w:r>
        <w:rPr>
          <w:rFonts w:hint="eastAsia" w:ascii="仿宋" w:hAnsi="仿宋" w:eastAsia="仿宋" w:cs="宋体"/>
          <w:color w:val="auto"/>
          <w:sz w:val="24"/>
          <w:szCs w:val="24"/>
          <w:lang w:eastAsia="zh-CN"/>
        </w:rPr>
        <w:t>根据估价委托人和估价人员实地查勘，估价对象系房屋产权人通过购买商品房所得，故其分摊的土地使用权类型为出让。房屋登记</w:t>
      </w:r>
      <w:r>
        <w:rPr>
          <w:rFonts w:hint="eastAsia" w:ascii="仿宋" w:hAnsi="仿宋" w:eastAsia="仿宋" w:cs="宋体"/>
          <w:color w:val="auto"/>
          <w:sz w:val="24"/>
          <w:szCs w:val="24"/>
        </w:rPr>
        <w:t>用途为</w:t>
      </w:r>
      <w:r>
        <w:rPr>
          <w:rFonts w:hint="eastAsia" w:ascii="仿宋" w:hAnsi="仿宋" w:eastAsia="仿宋" w:cs="宋体"/>
          <w:color w:val="auto"/>
          <w:sz w:val="24"/>
          <w:szCs w:val="24"/>
          <w:lang w:eastAsia="zh-CN"/>
        </w:rPr>
        <w:t>住宅，根据房地合一原则，土地用途与房屋用途一致。综上所述，本次评估设定估价对象分摊的土地使用权类型为出让</w:t>
      </w:r>
      <w:r>
        <w:rPr>
          <w:rFonts w:hint="eastAsia" w:ascii="仿宋" w:hAnsi="仿宋" w:eastAsia="仿宋" w:cs="宋体"/>
          <w:snapToGrid w:val="0"/>
          <w:color w:val="auto"/>
          <w:kern w:val="0"/>
          <w:sz w:val="24"/>
          <w:szCs w:val="24"/>
          <w:lang w:val="en-US" w:eastAsia="zh-CN"/>
        </w:rPr>
        <w:t>,</w:t>
      </w:r>
      <w:r>
        <w:rPr>
          <w:rFonts w:hint="eastAsia" w:ascii="仿宋" w:hAnsi="仿宋" w:eastAsia="仿宋" w:cs="宋体"/>
          <w:snapToGrid w:val="0"/>
          <w:color w:val="auto"/>
          <w:kern w:val="0"/>
          <w:sz w:val="24"/>
          <w:szCs w:val="24"/>
        </w:rPr>
        <w:t>土地用途与</w:t>
      </w:r>
      <w:r>
        <w:rPr>
          <w:rFonts w:hint="eastAsia" w:ascii="仿宋" w:hAnsi="仿宋" w:eastAsia="仿宋" w:cs="宋体"/>
          <w:snapToGrid w:val="0"/>
          <w:color w:val="auto"/>
          <w:kern w:val="0"/>
          <w:sz w:val="24"/>
          <w:szCs w:val="24"/>
          <w:lang w:eastAsia="zh-CN"/>
        </w:rPr>
        <w:t>房屋</w:t>
      </w:r>
      <w:r>
        <w:rPr>
          <w:rFonts w:hint="eastAsia" w:ascii="仿宋" w:hAnsi="仿宋" w:eastAsia="仿宋" w:cs="宋体"/>
          <w:snapToGrid w:val="0"/>
          <w:color w:val="auto"/>
          <w:kern w:val="0"/>
          <w:sz w:val="24"/>
          <w:szCs w:val="24"/>
        </w:rPr>
        <w:t>用途一致</w:t>
      </w:r>
      <w:r>
        <w:rPr>
          <w:rFonts w:hint="eastAsia" w:ascii="仿宋" w:hAnsi="仿宋" w:eastAsia="仿宋" w:cs="宋体"/>
          <w:color w:val="auto"/>
          <w:sz w:val="24"/>
          <w:szCs w:val="24"/>
          <w:lang w:eastAsia="zh-CN"/>
        </w:rPr>
        <w:t>。</w:t>
      </w:r>
    </w:p>
    <w:p>
      <w:pPr>
        <w:pStyle w:val="2"/>
        <w:rPr>
          <w:rFonts w:hint="eastAsia"/>
          <w:lang w:eastAsia="zh-CN"/>
        </w:rPr>
      </w:pPr>
    </w:p>
    <w:p>
      <w:pPr>
        <w:tabs>
          <w:tab w:val="left" w:pos="735"/>
        </w:tabs>
        <w:adjustRightInd w:val="0"/>
        <w:snapToGrid w:val="0"/>
        <w:spacing w:line="480" w:lineRule="exact"/>
        <w:rPr>
          <w:rFonts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三、本次估价的背离事实假设</w:t>
      </w:r>
    </w:p>
    <w:p>
      <w:pPr>
        <w:tabs>
          <w:tab w:val="left" w:pos="735"/>
        </w:tabs>
        <w:adjustRightInd w:val="0"/>
        <w:snapToGrid w:val="0"/>
        <w:spacing w:line="460" w:lineRule="exact"/>
        <w:ind w:firstLine="460" w:firstLineChars="192"/>
        <w:rPr>
          <w:rFonts w:ascii="仿宋" w:hAnsi="仿宋" w:eastAsia="仿宋" w:cs="宋体"/>
          <w:color w:val="auto"/>
          <w:sz w:val="24"/>
          <w:szCs w:val="24"/>
        </w:rPr>
      </w:pPr>
      <w:r>
        <w:rPr>
          <w:rFonts w:hint="eastAsia" w:ascii="仿宋" w:hAnsi="仿宋" w:eastAsia="仿宋" w:cs="宋体"/>
          <w:snapToGrid w:val="0"/>
          <w:color w:val="auto"/>
          <w:kern w:val="0"/>
          <w:sz w:val="24"/>
          <w:szCs w:val="24"/>
        </w:rPr>
        <w:t>1、本次估价目的是为司法拍卖（变卖）提供房地产市场价值参考依据，在房地产司法拍卖估价中，不考虑拍卖财产上原有的担保物权、其他优先受偿权及查封因素，因原有的担保物权及其他优先受偿权因拍卖而消灭，查封因拍卖而解除，本次估价不考虑估价对象的他项权利状况对其价值的影响</w:t>
      </w:r>
      <w:r>
        <w:rPr>
          <w:rFonts w:hint="eastAsia" w:ascii="仿宋" w:hAnsi="仿宋" w:eastAsia="仿宋" w:cs="宋体"/>
          <w:color w:val="auto"/>
          <w:sz w:val="24"/>
          <w:szCs w:val="24"/>
        </w:rPr>
        <w:t>。</w:t>
      </w:r>
    </w:p>
    <w:p>
      <w:pPr>
        <w:tabs>
          <w:tab w:val="left" w:pos="735"/>
        </w:tabs>
        <w:adjustRightInd w:val="0"/>
        <w:snapToGrid w:val="0"/>
        <w:spacing w:line="460" w:lineRule="exact"/>
        <w:ind w:firstLine="460" w:firstLineChars="192"/>
        <w:rPr>
          <w:rFonts w:ascii="仿宋" w:hAnsi="仿宋" w:eastAsia="仿宋" w:cs="宋体"/>
          <w:color w:val="auto"/>
          <w:sz w:val="24"/>
          <w:szCs w:val="24"/>
        </w:rPr>
      </w:pPr>
      <w:r>
        <w:rPr>
          <w:rFonts w:hint="eastAsia" w:ascii="仿宋" w:hAnsi="仿宋" w:eastAsia="仿宋" w:cs="宋体"/>
          <w:color w:val="auto"/>
          <w:sz w:val="24"/>
          <w:szCs w:val="24"/>
          <w:lang w:val="en-US" w:eastAsia="zh-CN"/>
        </w:rPr>
        <w:t>2</w:t>
      </w:r>
      <w:r>
        <w:rPr>
          <w:rFonts w:hint="eastAsia" w:ascii="仿宋" w:hAnsi="仿宋" w:eastAsia="仿宋" w:cs="宋体"/>
          <w:color w:val="auto"/>
          <w:sz w:val="24"/>
          <w:szCs w:val="24"/>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w:t>
      </w:r>
    </w:p>
    <w:p>
      <w:pPr>
        <w:tabs>
          <w:tab w:val="left" w:pos="735"/>
        </w:tabs>
        <w:adjustRightInd w:val="0"/>
        <w:snapToGrid w:val="0"/>
        <w:spacing w:line="480" w:lineRule="exact"/>
        <w:rPr>
          <w:rFonts w:hint="eastAsia"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四、本次估价不相一致假设</w:t>
      </w:r>
    </w:p>
    <w:p>
      <w:pPr>
        <w:tabs>
          <w:tab w:val="left" w:pos="735"/>
        </w:tabs>
        <w:adjustRightInd w:val="0"/>
        <w:snapToGrid w:val="0"/>
        <w:spacing w:line="460" w:lineRule="exact"/>
        <w:ind w:firstLine="460" w:firstLineChars="192"/>
        <w:rPr>
          <w:rFonts w:hint="eastAsia" w:ascii="仿宋" w:hAnsi="仿宋" w:eastAsia="仿宋" w:cs="宋体"/>
          <w:color w:val="auto"/>
          <w:sz w:val="24"/>
          <w:szCs w:val="24"/>
        </w:rPr>
      </w:pPr>
      <w:r>
        <w:rPr>
          <w:rFonts w:hint="eastAsia" w:ascii="仿宋" w:hAnsi="仿宋" w:eastAsia="仿宋" w:cs="宋体"/>
          <w:color w:val="auto"/>
          <w:sz w:val="24"/>
          <w:szCs w:val="24"/>
        </w:rPr>
        <w:t>估价对象证载地址为</w:t>
      </w:r>
      <w:r>
        <w:rPr>
          <w:rFonts w:hint="eastAsia" w:ascii="仿宋" w:hAnsi="仿宋" w:eastAsia="仿宋" w:cs="宋体"/>
          <w:color w:val="auto"/>
          <w:sz w:val="24"/>
          <w:szCs w:val="24"/>
          <w:lang w:val="en-US" w:eastAsia="zh-CN"/>
        </w:rPr>
        <w:t>六盘水市钟山区市场路9号附12号</w:t>
      </w:r>
      <w:r>
        <w:rPr>
          <w:rFonts w:hint="eastAsia" w:ascii="仿宋" w:hAnsi="仿宋" w:eastAsia="仿宋" w:cs="宋体"/>
          <w:color w:val="auto"/>
          <w:sz w:val="24"/>
          <w:szCs w:val="24"/>
        </w:rPr>
        <w:t>，实际查勘地址为</w:t>
      </w:r>
      <w:r>
        <w:rPr>
          <w:rFonts w:hint="eastAsia" w:ascii="仿宋" w:hAnsi="仿宋" w:eastAsia="仿宋" w:cs="宋体"/>
          <w:color w:val="auto"/>
          <w:sz w:val="24"/>
          <w:szCs w:val="24"/>
          <w:lang w:val="en-US" w:eastAsia="zh-CN"/>
        </w:rPr>
        <w:t>六盘水市钟山区市场路9号2-3层202号，</w:t>
      </w:r>
      <w:r>
        <w:rPr>
          <w:rFonts w:hint="eastAsia" w:ascii="仿宋" w:hAnsi="仿宋" w:eastAsia="仿宋" w:cs="宋体"/>
          <w:color w:val="auto"/>
          <w:sz w:val="24"/>
          <w:szCs w:val="24"/>
        </w:rPr>
        <w:t>估价委托人没有提供两者为同一地址的证明资料，本次估价假定证载地址与实际查勘地址为同一地址，即所指的均为同一标的物。</w:t>
      </w:r>
    </w:p>
    <w:p>
      <w:pPr>
        <w:numPr>
          <w:ilvl w:val="0"/>
          <w:numId w:val="1"/>
        </w:numPr>
        <w:tabs>
          <w:tab w:val="left" w:pos="735"/>
        </w:tabs>
        <w:adjustRightInd w:val="0"/>
        <w:snapToGrid w:val="0"/>
        <w:spacing w:line="480" w:lineRule="exact"/>
        <w:rPr>
          <w:rFonts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本次估价的依据不足假设</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估价委托人未能提供估价对象《</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所有权证》和《国有土地使用证》，仅提供了《</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》复印件，本次估价假定其复印件内容与原件内容完全一致。</w:t>
      </w:r>
    </w:p>
    <w:p>
      <w:pPr>
        <w:tabs>
          <w:tab w:val="left" w:pos="735"/>
        </w:tabs>
        <w:adjustRightInd w:val="0"/>
        <w:snapToGrid w:val="0"/>
        <w:spacing w:line="480" w:lineRule="exact"/>
        <w:rPr>
          <w:rFonts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六、本报告使用的限制条件</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1、本估价报告使用期限自估价报告出具之日起壹年，即</w:t>
      </w:r>
      <w:r>
        <w:rPr>
          <w:rFonts w:hint="eastAsia" w:ascii="仿宋" w:hAnsi="仿宋" w:eastAsia="仿宋" w:cs="宋体"/>
          <w:color w:val="auto"/>
          <w:sz w:val="24"/>
          <w:szCs w:val="24"/>
          <w:lang w:eastAsia="zh-CN"/>
        </w:rPr>
        <w:t>2019年11月</w:t>
      </w:r>
      <w:r>
        <w:rPr>
          <w:rFonts w:hint="eastAsia" w:ascii="仿宋" w:hAnsi="仿宋" w:eastAsia="仿宋" w:cs="宋体"/>
          <w:color w:val="auto"/>
          <w:sz w:val="24"/>
          <w:szCs w:val="24"/>
          <w:lang w:val="en-US" w:eastAsia="zh-CN"/>
        </w:rPr>
        <w:t>5</w:t>
      </w:r>
      <w:r>
        <w:rPr>
          <w:rFonts w:hint="eastAsia" w:ascii="仿宋" w:hAnsi="仿宋" w:eastAsia="仿宋" w:cs="宋体"/>
          <w:color w:val="auto"/>
          <w:sz w:val="24"/>
          <w:szCs w:val="24"/>
          <w:lang w:eastAsia="zh-CN"/>
        </w:rPr>
        <w:t>日至2020年11月</w:t>
      </w:r>
      <w:r>
        <w:rPr>
          <w:rFonts w:hint="eastAsia" w:ascii="仿宋" w:hAnsi="仿宋" w:eastAsia="仿宋" w:cs="宋体"/>
          <w:color w:val="auto"/>
          <w:sz w:val="24"/>
          <w:szCs w:val="24"/>
          <w:lang w:val="en-US" w:eastAsia="zh-CN"/>
        </w:rPr>
        <w:t>4</w:t>
      </w:r>
      <w:r>
        <w:rPr>
          <w:rFonts w:hint="eastAsia" w:ascii="仿宋" w:hAnsi="仿宋" w:eastAsia="仿宋" w:cs="宋体"/>
          <w:color w:val="auto"/>
          <w:sz w:val="24"/>
          <w:szCs w:val="24"/>
          <w:lang w:eastAsia="zh-CN"/>
        </w:rPr>
        <w:t>日止</w:t>
      </w:r>
      <w:r>
        <w:rPr>
          <w:rFonts w:hint="eastAsia" w:ascii="仿宋" w:hAnsi="仿宋" w:eastAsia="仿宋" w:cs="宋体"/>
          <w:color w:val="auto"/>
          <w:sz w:val="24"/>
          <w:szCs w:val="24"/>
        </w:rPr>
        <w:t>。若报告使用期限内，房地产市场或估价对象状况发生重大变化，估价结果需做相应调整或委托估价机构重新估价。</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2、估价结果为房地产市场价值，包括</w:t>
      </w:r>
      <w:r>
        <w:rPr>
          <w:rFonts w:hint="eastAsia" w:ascii="仿宋" w:hAnsi="仿宋" w:eastAsia="仿宋" w:cs="宋体"/>
          <w:color w:val="auto"/>
          <w:sz w:val="24"/>
          <w:szCs w:val="24"/>
          <w:lang w:eastAsia="zh-CN"/>
        </w:rPr>
        <w:t>房屋</w:t>
      </w:r>
      <w:r>
        <w:rPr>
          <w:rFonts w:hint="eastAsia" w:ascii="仿宋" w:hAnsi="仿宋" w:eastAsia="仿宋" w:cs="宋体"/>
          <w:color w:val="auto"/>
          <w:sz w:val="24"/>
          <w:szCs w:val="24"/>
        </w:rPr>
        <w:t>、分摊相应土地使用权和必要的设备设施</w:t>
      </w:r>
      <w:r>
        <w:rPr>
          <w:rFonts w:hint="eastAsia" w:ascii="仿宋" w:hAnsi="仿宋" w:eastAsia="仿宋" w:cs="宋体"/>
          <w:color w:val="auto"/>
          <w:sz w:val="24"/>
          <w:szCs w:val="24"/>
          <w:lang w:val="en-US" w:eastAsia="zh-CN"/>
        </w:rPr>
        <w:t>以及按二手房交易市场通常应当包含的装饰装修价值</w:t>
      </w:r>
      <w:r>
        <w:rPr>
          <w:rFonts w:hint="eastAsia" w:ascii="仿宋" w:hAnsi="仿宋" w:eastAsia="仿宋" w:cs="宋体"/>
          <w:color w:val="auto"/>
          <w:sz w:val="24"/>
          <w:szCs w:val="24"/>
        </w:rPr>
        <w:t>，不包括动产、构筑物、树木等，以及债权债务、特许经营权等其他财产或权益。遵循权利主体一致原则，分割处置该估价结果无效。</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3、本估价报告估价结果仅</w:t>
      </w:r>
      <w:r>
        <w:rPr>
          <w:rFonts w:hint="eastAsia" w:ascii="仿宋" w:hAnsi="仿宋" w:eastAsia="仿宋" w:cs="宋体"/>
          <w:snapToGrid w:val="0"/>
          <w:color w:val="auto"/>
          <w:kern w:val="0"/>
          <w:sz w:val="24"/>
          <w:szCs w:val="24"/>
        </w:rPr>
        <w:t>为司法拍卖（变卖）提供房地产市场价值参考依据</w:t>
      </w:r>
      <w:r>
        <w:rPr>
          <w:rFonts w:hint="eastAsia" w:ascii="仿宋" w:hAnsi="仿宋" w:eastAsia="仿宋" w:cs="宋体"/>
          <w:color w:val="auto"/>
          <w:sz w:val="24"/>
          <w:szCs w:val="24"/>
        </w:rPr>
        <w:t>，按照既定目的提供给估价委托人使用，若改变估价目的及使用条件，需向本公司咨询后作必要调整甚至重新估价。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4、本估价报告分为估价结果报告和估价技术报告两部分，估价结果报告提供给估价委托人，估价技术报告根据有关规定由估价机构存档并在必要时提供给相关主管部门审查使用。</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5、未经估价机构书面同意，本估价报告的全部和部分及任何参考资料均不允许在任何公开发表的文件、通知或声明中引用，亦不得以其他任何方式公开发表。</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6、本报告必须完整使用方为有效，对仅使用报告中的部份内容或者违规使用本估价报告和估价结果，所导致的有关损失或者法律后果由有关责任方自行承担，本估价机构及本估价报告签字注册房地产估价师不承担任何责任。本公司保留对违规使用本估价报告和估价结果的有关责任方追究相关法律责任的权利。</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7、估价过程中遇到非注册房地产估价师执业水平和能力所能评定估算的不确定性因素、或有关事项等，注册房地产估价师和估价机构对此类事项不承担任何责任。本估价报告仅是在报告中说明的假设条件下对估价对象</w:t>
      </w:r>
      <w:r>
        <w:rPr>
          <w:rFonts w:hint="eastAsia" w:ascii="仿宋" w:hAnsi="仿宋" w:eastAsia="仿宋" w:cs="宋体"/>
          <w:snapToGrid w:val="0"/>
          <w:color w:val="auto"/>
          <w:kern w:val="0"/>
          <w:sz w:val="24"/>
          <w:szCs w:val="24"/>
        </w:rPr>
        <w:t>正常市场价值</w:t>
      </w:r>
      <w:r>
        <w:rPr>
          <w:rFonts w:hint="eastAsia" w:ascii="仿宋" w:hAnsi="仿宋" w:eastAsia="仿宋" w:cs="宋体"/>
          <w:color w:val="auto"/>
          <w:sz w:val="24"/>
          <w:szCs w:val="24"/>
        </w:rPr>
        <w:t>进行的合理估算，报告中对估价对象权属情况的披露不能作为对其权属确认的依据，估价对象权属界定以有权管理部门认定为准。</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8、本次估价所涉权属资料《</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复印件</w:t>
      </w:r>
      <w:r>
        <w:rPr>
          <w:rFonts w:hint="eastAsia" w:ascii="仿宋" w:hAnsi="仿宋" w:eastAsia="仿宋" w:cs="宋体"/>
          <w:color w:val="auto"/>
          <w:sz w:val="24"/>
          <w:szCs w:val="24"/>
        </w:rPr>
        <w:t>为经当事人质证人民法院认定的鉴定评估资料，估价依据及相关参数资料为注册房地产估价师调查核实的资料。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9、其他事项说明：</w:t>
      </w:r>
    </w:p>
    <w:p>
      <w:pPr>
        <w:spacing w:line="46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w:t>
      </w:r>
      <w:bookmarkEnd w:id="15"/>
      <w:bookmarkEnd w:id="16"/>
      <w:bookmarkEnd w:id="17"/>
      <w:bookmarkEnd w:id="18"/>
      <w:bookmarkStart w:id="19" w:name="_Toc444180879"/>
      <w:r>
        <w:rPr>
          <w:rFonts w:hint="eastAsia" w:ascii="仿宋" w:hAnsi="仿宋" w:eastAsia="仿宋" w:cs="宋体"/>
          <w:color w:val="auto"/>
          <w:sz w:val="24"/>
          <w:szCs w:val="24"/>
        </w:rPr>
        <w:t>本次估价估价委托人和案件当事人没有提供估价对象的租赁情况，若存在租赁，依据《合同法》第229条和《民通意见》119条有关规定，遵循“买卖不破租赁”，买受人应当对租约，以及履约情况进行判断和予以关注。</w:t>
      </w:r>
    </w:p>
    <w:p>
      <w:pPr>
        <w:adjustRightInd w:val="0"/>
        <w:spacing w:line="440" w:lineRule="exact"/>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（2）估价报告中假设估价对象土地使用权为出让（未提供《国有土地使用证》），如果真实情况是国有划拨，须扣除应补交的土地出让金。因此予以披露，特提请关注。</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）案件当事人对鉴定估价报告有异议的，可以自收到鉴定估价报告起</w:t>
      </w:r>
      <w:r>
        <w:rPr>
          <w:rFonts w:hint="eastAsia" w:ascii="仿宋" w:hAnsi="仿宋" w:eastAsia="仿宋" w:cs="宋体"/>
          <w:color w:val="auto"/>
          <w:sz w:val="24"/>
          <w:szCs w:val="24"/>
          <w:lang w:val="en-US" w:eastAsia="zh-CN"/>
        </w:rPr>
        <w:t>10</w:t>
      </w:r>
      <w:r>
        <w:rPr>
          <w:rFonts w:hint="eastAsia" w:ascii="仿宋" w:hAnsi="仿宋" w:eastAsia="仿宋" w:cs="宋体"/>
          <w:color w:val="auto"/>
          <w:sz w:val="24"/>
          <w:szCs w:val="24"/>
        </w:rPr>
        <w:t>日内提出异议，超过该期间即丧失对鉴定估价报告提出异议的权利。</w:t>
      </w:r>
    </w:p>
    <w:p>
      <w:pPr>
        <w:rPr>
          <w:rFonts w:hint="eastAsia" w:ascii="宋体" w:hAnsi="宋体" w:cs="宋体"/>
          <w:snapToGrid w:val="0"/>
          <w:color w:val="auto"/>
          <w:kern w:val="0"/>
          <w:sz w:val="32"/>
          <w:szCs w:val="32"/>
        </w:rPr>
      </w:pPr>
      <w:r>
        <w:rPr>
          <w:rFonts w:hint="eastAsia" w:ascii="宋体" w:hAnsi="宋体" w:cs="宋体"/>
          <w:snapToGrid w:val="0"/>
          <w:color w:val="auto"/>
          <w:kern w:val="0"/>
          <w:sz w:val="32"/>
          <w:szCs w:val="32"/>
        </w:rPr>
        <w:br w:type="page"/>
      </w:r>
    </w:p>
    <w:p>
      <w:pPr>
        <w:pStyle w:val="3"/>
        <w:spacing w:before="120" w:after="120" w:line="240" w:lineRule="auto"/>
        <w:jc w:val="center"/>
        <w:rPr>
          <w:rFonts w:ascii="宋体" w:hAnsi="宋体" w:cs="宋体"/>
          <w:snapToGrid w:val="0"/>
          <w:color w:val="auto"/>
          <w:kern w:val="0"/>
          <w:sz w:val="32"/>
          <w:szCs w:val="32"/>
        </w:rPr>
      </w:pPr>
      <w:bookmarkStart w:id="20" w:name="_Toc17561"/>
      <w:r>
        <w:rPr>
          <w:rFonts w:hint="eastAsia" w:ascii="宋体" w:hAnsi="宋体" w:cs="宋体"/>
          <w:snapToGrid w:val="0"/>
          <w:color w:val="auto"/>
          <w:kern w:val="0"/>
          <w:sz w:val="32"/>
          <w:szCs w:val="32"/>
        </w:rPr>
        <w:t>估价结果报告</w:t>
      </w:r>
      <w:bookmarkEnd w:id="19"/>
      <w:bookmarkEnd w:id="20"/>
    </w:p>
    <w:p>
      <w:pPr>
        <w:pStyle w:val="4"/>
        <w:spacing w:before="0" w:after="0" w:line="460" w:lineRule="exact"/>
        <w:rPr>
          <w:rFonts w:ascii="仿宋" w:hAnsi="仿宋" w:eastAsia="仿宋" w:cs="仿宋"/>
          <w:color w:val="auto"/>
          <w:sz w:val="24"/>
          <w:szCs w:val="24"/>
        </w:rPr>
      </w:pPr>
      <w:bookmarkStart w:id="21" w:name="_Toc32440"/>
      <w:bookmarkStart w:id="22" w:name="_Toc444180880"/>
      <w:bookmarkStart w:id="23" w:name="_Toc320276193"/>
      <w:bookmarkStart w:id="24" w:name="_Toc320184504"/>
      <w:bookmarkStart w:id="25" w:name="_Toc320173774"/>
      <w:bookmarkStart w:id="26" w:name="_Toc321996042"/>
      <w:bookmarkStart w:id="27" w:name="_Toc385002024"/>
      <w:r>
        <w:rPr>
          <w:rFonts w:hint="eastAsia" w:ascii="仿宋" w:hAnsi="仿宋" w:eastAsia="仿宋" w:cs="仿宋"/>
          <w:color w:val="auto"/>
          <w:sz w:val="24"/>
          <w:szCs w:val="24"/>
        </w:rPr>
        <w:t>一、估价委托人</w:t>
      </w:r>
      <w:bookmarkEnd w:id="21"/>
      <w:bookmarkEnd w:id="22"/>
      <w:bookmarkEnd w:id="23"/>
      <w:bookmarkEnd w:id="24"/>
      <w:bookmarkEnd w:id="25"/>
    </w:p>
    <w:p>
      <w:pPr>
        <w:autoSpaceDE w:val="0"/>
        <w:autoSpaceDN w:val="0"/>
        <w:adjustRightInd w:val="0"/>
        <w:spacing w:line="500" w:lineRule="exact"/>
        <w:ind w:firstLine="468" w:firstLineChars="195"/>
        <w:jc w:val="left"/>
        <w:textAlignment w:val="center"/>
        <w:rPr>
          <w:rFonts w:ascii="仿宋" w:hAnsi="仿宋" w:eastAsia="仿宋" w:cs="宋体"/>
          <w:color w:val="auto"/>
          <w:sz w:val="24"/>
          <w:szCs w:val="24"/>
        </w:rPr>
      </w:pPr>
      <w:bookmarkStart w:id="28" w:name="_Toc320173775"/>
      <w:bookmarkStart w:id="29" w:name="_Toc444180881"/>
      <w:bookmarkStart w:id="30" w:name="_Toc320184505"/>
      <w:bookmarkStart w:id="31" w:name="_Toc320276194"/>
      <w:r>
        <w:rPr>
          <w:rFonts w:hint="eastAsia" w:ascii="仿宋" w:hAnsi="仿宋" w:eastAsia="仿宋" w:cs="宋体"/>
          <w:color w:val="auto"/>
          <w:sz w:val="24"/>
          <w:szCs w:val="24"/>
        </w:rPr>
        <w:t>单位名称:</w:t>
      </w:r>
      <w:r>
        <w:rPr>
          <w:rFonts w:hint="eastAsia" w:ascii="仿宋" w:hAnsi="仿宋" w:eastAsia="仿宋" w:cs="宋体"/>
          <w:color w:val="auto"/>
          <w:sz w:val="24"/>
          <w:szCs w:val="24"/>
          <w:lang w:eastAsia="zh-CN"/>
        </w:rPr>
        <w:t>六盘水市钟山区</w:t>
      </w:r>
      <w:r>
        <w:rPr>
          <w:rFonts w:hint="eastAsia" w:ascii="仿宋" w:hAnsi="仿宋" w:eastAsia="仿宋" w:cs="宋体"/>
          <w:color w:val="auto"/>
          <w:sz w:val="24"/>
          <w:szCs w:val="24"/>
        </w:rPr>
        <w:t>人民法院</w:t>
      </w:r>
    </w:p>
    <w:p>
      <w:pPr>
        <w:autoSpaceDE w:val="0"/>
        <w:autoSpaceDN w:val="0"/>
        <w:adjustRightInd w:val="0"/>
        <w:spacing w:line="500" w:lineRule="exact"/>
        <w:ind w:firstLine="468" w:firstLineChars="195"/>
        <w:jc w:val="left"/>
        <w:textAlignment w:val="center"/>
        <w:rPr>
          <w:rFonts w:ascii="仿宋" w:hAnsi="仿宋" w:eastAsia="仿宋" w:cs="宋体"/>
          <w:color w:val="auto"/>
          <w:sz w:val="24"/>
          <w:szCs w:val="24"/>
        </w:rPr>
      </w:pPr>
      <w:r>
        <w:rPr>
          <w:rFonts w:hint="eastAsia" w:ascii="仿宋" w:hAnsi="仿宋" w:eastAsia="仿宋" w:cs="宋体"/>
          <w:color w:val="auto"/>
          <w:sz w:val="24"/>
          <w:szCs w:val="24"/>
        </w:rPr>
        <w:t>联 系 人：</w:t>
      </w:r>
      <w:r>
        <w:rPr>
          <w:rFonts w:hint="eastAsia" w:ascii="仿宋" w:hAnsi="仿宋" w:eastAsia="仿宋" w:cs="宋体"/>
          <w:color w:val="auto"/>
          <w:sz w:val="24"/>
          <w:szCs w:val="24"/>
          <w:lang w:eastAsia="zh-CN"/>
        </w:rPr>
        <w:t>楚杜龙</w:t>
      </w:r>
    </w:p>
    <w:p>
      <w:pPr>
        <w:autoSpaceDE w:val="0"/>
        <w:autoSpaceDN w:val="0"/>
        <w:adjustRightInd w:val="0"/>
        <w:spacing w:line="500" w:lineRule="exact"/>
        <w:ind w:firstLine="468" w:firstLineChars="195"/>
        <w:jc w:val="left"/>
        <w:textAlignment w:val="center"/>
        <w:rPr>
          <w:rFonts w:ascii="仿宋" w:hAnsi="仿宋" w:eastAsia="仿宋" w:cs="宋体"/>
          <w:color w:val="auto"/>
          <w:sz w:val="24"/>
          <w:szCs w:val="24"/>
        </w:rPr>
      </w:pPr>
      <w:r>
        <w:rPr>
          <w:rFonts w:hint="eastAsia" w:ascii="仿宋" w:hAnsi="仿宋" w:eastAsia="仿宋" w:cs="宋体"/>
          <w:color w:val="auto"/>
          <w:sz w:val="24"/>
          <w:szCs w:val="24"/>
        </w:rPr>
        <w:t>联系电话：</w:t>
      </w:r>
      <w:r>
        <w:rPr>
          <w:rFonts w:hint="eastAsia" w:ascii="仿宋" w:hAnsi="仿宋" w:eastAsia="仿宋" w:cs="宋体"/>
          <w:color w:val="auto"/>
          <w:sz w:val="24"/>
          <w:szCs w:val="24"/>
          <w:lang w:val="en-US" w:eastAsia="zh-CN"/>
        </w:rPr>
        <w:t>18188086412</w:t>
      </w:r>
    </w:p>
    <w:bookmarkEnd w:id="28"/>
    <w:bookmarkEnd w:id="29"/>
    <w:bookmarkEnd w:id="30"/>
    <w:bookmarkEnd w:id="31"/>
    <w:p>
      <w:pPr>
        <w:pStyle w:val="4"/>
        <w:spacing w:before="0" w:after="0" w:line="460" w:lineRule="exact"/>
        <w:rPr>
          <w:rFonts w:ascii="仿宋" w:hAnsi="仿宋" w:eastAsia="仿宋" w:cs="仿宋"/>
          <w:color w:val="auto"/>
          <w:sz w:val="24"/>
          <w:szCs w:val="24"/>
        </w:rPr>
      </w:pPr>
      <w:bookmarkStart w:id="32" w:name="_Toc9024"/>
      <w:bookmarkStart w:id="33" w:name="_Toc4966"/>
      <w:bookmarkStart w:id="34" w:name="_Toc444180882"/>
      <w:bookmarkStart w:id="35" w:name="_Toc320184506"/>
      <w:bookmarkStart w:id="36" w:name="_Toc320173776"/>
      <w:bookmarkStart w:id="37" w:name="_Toc320276195"/>
      <w:r>
        <w:rPr>
          <w:rFonts w:hint="eastAsia" w:ascii="仿宋" w:hAnsi="仿宋" w:eastAsia="仿宋" w:cs="仿宋"/>
          <w:color w:val="auto"/>
          <w:sz w:val="24"/>
          <w:szCs w:val="24"/>
        </w:rPr>
        <w:t>二、房地产估价机构</w:t>
      </w:r>
      <w:bookmarkEnd w:id="32"/>
      <w:bookmarkEnd w:id="33"/>
    </w:p>
    <w:p>
      <w:pPr>
        <w:spacing w:line="460" w:lineRule="exact"/>
        <w:ind w:left="466" w:leftChars="222"/>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rPr>
        <w:t>机构名称：四川天成房地产土地估价咨询有限公司</w:t>
      </w:r>
      <w:r>
        <w:rPr>
          <w:rFonts w:hint="eastAsia" w:ascii="仿宋" w:hAnsi="仿宋" w:eastAsia="仿宋" w:cs="宋体"/>
          <w:color w:val="auto"/>
          <w:sz w:val="24"/>
          <w:szCs w:val="24"/>
          <w:lang w:val="en-US" w:eastAsia="zh-CN"/>
        </w:rPr>
        <w:t xml:space="preserve">  </w:t>
      </w:r>
    </w:p>
    <w:p>
      <w:pPr>
        <w:spacing w:line="460" w:lineRule="exact"/>
        <w:ind w:left="466" w:leftChars="222"/>
        <w:rPr>
          <w:rFonts w:ascii="仿宋" w:hAnsi="仿宋" w:eastAsia="仿宋" w:cs="宋体"/>
          <w:color w:val="auto"/>
          <w:sz w:val="24"/>
          <w:szCs w:val="24"/>
        </w:rPr>
      </w:pPr>
      <w:r>
        <w:rPr>
          <w:rFonts w:hint="eastAsia" w:ascii="仿宋" w:hAnsi="仿宋" w:eastAsia="仿宋" w:cs="宋体"/>
          <w:color w:val="auto"/>
          <w:sz w:val="24"/>
          <w:szCs w:val="24"/>
        </w:rPr>
        <w:t>法定代表人：丁永洪</w:t>
      </w:r>
      <w:r>
        <w:rPr>
          <w:rFonts w:hint="eastAsia" w:ascii="仿宋" w:hAnsi="仿宋" w:eastAsia="仿宋" w:cs="宋体"/>
          <w:color w:val="auto"/>
          <w:sz w:val="24"/>
          <w:szCs w:val="24"/>
        </w:rPr>
        <w:br w:type="textWrapping"/>
      </w:r>
      <w:r>
        <w:rPr>
          <w:rFonts w:hint="eastAsia" w:ascii="仿宋" w:hAnsi="仿宋" w:eastAsia="仿宋" w:cs="宋体"/>
          <w:color w:val="auto"/>
          <w:sz w:val="24"/>
          <w:szCs w:val="24"/>
        </w:rPr>
        <w:t>机构地址：成都市金牛区星辉中路5号2楼</w:t>
      </w:r>
      <w:r>
        <w:rPr>
          <w:rFonts w:hint="eastAsia" w:ascii="仿宋" w:hAnsi="仿宋" w:eastAsia="仿宋" w:cs="宋体"/>
          <w:color w:val="auto"/>
          <w:sz w:val="24"/>
          <w:szCs w:val="24"/>
        </w:rPr>
        <w:br w:type="textWrapping"/>
      </w:r>
      <w:r>
        <w:rPr>
          <w:rFonts w:hint="eastAsia" w:ascii="仿宋" w:hAnsi="仿宋" w:eastAsia="仿宋" w:cs="宋体"/>
          <w:color w:val="auto"/>
          <w:sz w:val="24"/>
          <w:szCs w:val="24"/>
        </w:rPr>
        <w:t>统一社会信用代码：91510105771677693P</w:t>
      </w:r>
      <w:r>
        <w:rPr>
          <w:rFonts w:hint="eastAsia" w:ascii="仿宋" w:hAnsi="仿宋" w:eastAsia="仿宋" w:cs="宋体"/>
          <w:color w:val="auto"/>
          <w:sz w:val="24"/>
          <w:szCs w:val="24"/>
        </w:rPr>
        <w:br w:type="textWrapping"/>
      </w:r>
      <w:r>
        <w:rPr>
          <w:rFonts w:hint="eastAsia" w:ascii="仿宋" w:hAnsi="仿宋" w:eastAsia="仿宋" w:cs="宋体"/>
          <w:color w:val="auto"/>
          <w:sz w:val="24"/>
          <w:szCs w:val="24"/>
        </w:rPr>
        <w:t>备案等级：壹级</w:t>
      </w:r>
      <w:r>
        <w:rPr>
          <w:rFonts w:hint="eastAsia" w:ascii="仿宋" w:hAnsi="仿宋" w:eastAsia="仿宋" w:cs="宋体"/>
          <w:color w:val="auto"/>
          <w:sz w:val="24"/>
          <w:szCs w:val="24"/>
        </w:rPr>
        <w:br w:type="textWrapping"/>
      </w:r>
      <w:r>
        <w:rPr>
          <w:rFonts w:hint="eastAsia" w:ascii="仿宋" w:hAnsi="仿宋" w:eastAsia="仿宋" w:cs="宋体"/>
          <w:color w:val="auto"/>
          <w:sz w:val="24"/>
          <w:szCs w:val="24"/>
        </w:rPr>
        <w:t>证书编号：川建房估备字[2017]0008号</w:t>
      </w:r>
      <w:r>
        <w:rPr>
          <w:rFonts w:hint="eastAsia" w:ascii="仿宋" w:hAnsi="仿宋" w:eastAsia="仿宋" w:cs="宋体"/>
          <w:color w:val="auto"/>
          <w:sz w:val="24"/>
          <w:szCs w:val="24"/>
        </w:rPr>
        <w:br w:type="textWrapping"/>
      </w:r>
      <w:r>
        <w:rPr>
          <w:rFonts w:hint="eastAsia" w:ascii="仿宋" w:hAnsi="仿宋" w:eastAsia="仿宋" w:cs="宋体"/>
          <w:color w:val="auto"/>
          <w:sz w:val="24"/>
          <w:szCs w:val="24"/>
        </w:rPr>
        <w:t>资质有效期:2017年06月11日至2020年06月11日</w:t>
      </w:r>
    </w:p>
    <w:p>
      <w:pPr>
        <w:pStyle w:val="4"/>
        <w:spacing w:before="0" w:after="0" w:line="460" w:lineRule="exact"/>
        <w:rPr>
          <w:rFonts w:ascii="仿宋" w:hAnsi="仿宋" w:eastAsia="仿宋" w:cs="仿宋"/>
          <w:color w:val="auto"/>
          <w:sz w:val="24"/>
          <w:szCs w:val="24"/>
        </w:rPr>
      </w:pPr>
      <w:bookmarkStart w:id="38" w:name="_Toc24106"/>
      <w:r>
        <w:rPr>
          <w:rFonts w:hint="eastAsia" w:ascii="仿宋" w:hAnsi="仿宋" w:eastAsia="仿宋" w:cs="仿宋"/>
          <w:color w:val="auto"/>
          <w:sz w:val="24"/>
          <w:szCs w:val="24"/>
        </w:rPr>
        <w:t>三、估价目的</w:t>
      </w:r>
      <w:bookmarkEnd w:id="34"/>
      <w:bookmarkEnd w:id="38"/>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snapToGrid w:val="0"/>
          <w:color w:val="auto"/>
          <w:kern w:val="0"/>
          <w:sz w:val="24"/>
          <w:szCs w:val="24"/>
        </w:rPr>
        <w:t>为司法拍卖（变卖）提供房地产市场价值参考依据</w:t>
      </w:r>
      <w:r>
        <w:rPr>
          <w:rFonts w:hint="eastAsia" w:ascii="仿宋" w:hAnsi="仿宋" w:eastAsia="仿宋" w:cs="宋体"/>
          <w:color w:val="auto"/>
          <w:sz w:val="24"/>
          <w:szCs w:val="24"/>
        </w:rPr>
        <w:t>。</w:t>
      </w:r>
    </w:p>
    <w:p>
      <w:pPr>
        <w:pStyle w:val="4"/>
        <w:spacing w:before="0" w:after="0" w:line="460" w:lineRule="exact"/>
        <w:rPr>
          <w:rFonts w:ascii="仿宋" w:hAnsi="仿宋" w:eastAsia="仿宋" w:cs="仿宋"/>
          <w:color w:val="auto"/>
          <w:sz w:val="24"/>
          <w:szCs w:val="24"/>
        </w:rPr>
      </w:pPr>
      <w:bookmarkStart w:id="39" w:name="_Toc11686"/>
      <w:bookmarkStart w:id="40" w:name="_Toc444180883"/>
      <w:r>
        <w:rPr>
          <w:rFonts w:hint="eastAsia" w:ascii="仿宋" w:hAnsi="仿宋" w:eastAsia="仿宋" w:cs="仿宋"/>
          <w:color w:val="auto"/>
          <w:sz w:val="24"/>
          <w:szCs w:val="24"/>
        </w:rPr>
        <w:t>四、估价对象</w:t>
      </w:r>
      <w:bookmarkEnd w:id="35"/>
      <w:bookmarkEnd w:id="36"/>
      <w:bookmarkEnd w:id="37"/>
      <w:bookmarkEnd w:id="39"/>
      <w:bookmarkEnd w:id="40"/>
    </w:p>
    <w:p>
      <w:pPr>
        <w:spacing w:line="460" w:lineRule="exact"/>
        <w:ind w:firstLine="241" w:firstLineChars="100"/>
        <w:rPr>
          <w:rFonts w:ascii="仿宋" w:hAnsi="仿宋" w:eastAsia="仿宋" w:cs="宋体"/>
          <w:b/>
          <w:color w:val="auto"/>
          <w:sz w:val="24"/>
          <w:szCs w:val="24"/>
        </w:rPr>
      </w:pPr>
      <w:r>
        <w:rPr>
          <w:rFonts w:hint="eastAsia" w:ascii="仿宋" w:hAnsi="仿宋" w:eastAsia="仿宋" w:cs="宋体"/>
          <w:b/>
          <w:color w:val="auto"/>
          <w:sz w:val="24"/>
          <w:szCs w:val="24"/>
        </w:rPr>
        <w:t>（一）估价对象界定</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受</w:t>
      </w:r>
      <w:r>
        <w:rPr>
          <w:rFonts w:hint="eastAsia" w:ascii="仿宋" w:hAnsi="仿宋" w:eastAsia="仿宋" w:cs="宋体"/>
          <w:color w:val="auto"/>
          <w:sz w:val="24"/>
          <w:szCs w:val="24"/>
          <w:lang w:eastAsia="zh-CN"/>
        </w:rPr>
        <w:t>六盘水市钟山</w:t>
      </w:r>
      <w:r>
        <w:rPr>
          <w:rFonts w:hint="eastAsia" w:ascii="仿宋" w:hAnsi="仿宋" w:eastAsia="仿宋" w:cs="宋体"/>
          <w:color w:val="auto"/>
          <w:sz w:val="24"/>
          <w:szCs w:val="24"/>
        </w:rPr>
        <w:t>区人民法院（2019）黔</w:t>
      </w:r>
      <w:r>
        <w:rPr>
          <w:rFonts w:hint="eastAsia" w:ascii="仿宋" w:hAnsi="仿宋" w:eastAsia="仿宋" w:cs="宋体"/>
          <w:color w:val="auto"/>
          <w:sz w:val="24"/>
          <w:szCs w:val="24"/>
          <w:lang w:eastAsia="zh-CN"/>
        </w:rPr>
        <w:t>钟</w:t>
      </w:r>
      <w:r>
        <w:rPr>
          <w:rFonts w:hint="eastAsia" w:ascii="仿宋" w:hAnsi="仿宋" w:eastAsia="仿宋" w:cs="宋体"/>
          <w:color w:val="auto"/>
          <w:sz w:val="24"/>
          <w:szCs w:val="24"/>
        </w:rPr>
        <w:t>委</w:t>
      </w:r>
      <w:r>
        <w:rPr>
          <w:rFonts w:hint="eastAsia" w:ascii="仿宋" w:hAnsi="仿宋" w:eastAsia="仿宋" w:cs="宋体"/>
          <w:color w:val="auto"/>
          <w:sz w:val="24"/>
          <w:szCs w:val="24"/>
          <w:lang w:eastAsia="zh-CN"/>
        </w:rPr>
        <w:t>评</w:t>
      </w:r>
      <w:r>
        <w:rPr>
          <w:rFonts w:hint="eastAsia" w:ascii="仿宋" w:hAnsi="仿宋" w:eastAsia="仿宋" w:cs="宋体"/>
          <w:color w:val="auto"/>
          <w:sz w:val="24"/>
          <w:szCs w:val="24"/>
        </w:rPr>
        <w:t>字</w:t>
      </w:r>
      <w:r>
        <w:rPr>
          <w:rFonts w:hint="eastAsia" w:ascii="仿宋" w:hAnsi="仿宋" w:eastAsia="仿宋" w:cs="宋体"/>
          <w:color w:val="auto"/>
          <w:sz w:val="24"/>
          <w:szCs w:val="24"/>
          <w:lang w:eastAsia="zh-CN"/>
        </w:rPr>
        <w:t>第139号</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贵州省六盘水市钟山</w:t>
      </w:r>
      <w:r>
        <w:rPr>
          <w:rFonts w:hint="eastAsia" w:ascii="仿宋" w:hAnsi="仿宋" w:eastAsia="仿宋" w:cs="宋体"/>
          <w:color w:val="auto"/>
          <w:sz w:val="24"/>
          <w:szCs w:val="24"/>
        </w:rPr>
        <w:t>区人民法院</w:t>
      </w:r>
      <w:r>
        <w:rPr>
          <w:rFonts w:hint="eastAsia" w:ascii="仿宋" w:hAnsi="仿宋" w:eastAsia="仿宋" w:cs="宋体"/>
          <w:color w:val="auto"/>
          <w:sz w:val="24"/>
          <w:szCs w:val="24"/>
          <w:lang w:eastAsia="zh-CN"/>
        </w:rPr>
        <w:t>评估</w:t>
      </w:r>
      <w:r>
        <w:rPr>
          <w:rFonts w:hint="eastAsia" w:ascii="仿宋" w:hAnsi="仿宋" w:eastAsia="仿宋" w:cs="宋体"/>
          <w:color w:val="auto"/>
          <w:sz w:val="24"/>
          <w:szCs w:val="24"/>
        </w:rPr>
        <w:t>委托书》的委托，本次估价对象为贵院受理的</w:t>
      </w:r>
      <w:r>
        <w:rPr>
          <w:rFonts w:hint="eastAsia" w:ascii="仿宋" w:hAnsi="仿宋" w:eastAsia="仿宋" w:cs="宋体"/>
          <w:color w:val="auto"/>
          <w:sz w:val="24"/>
          <w:szCs w:val="24"/>
          <w:lang w:eastAsia="zh-CN"/>
        </w:rPr>
        <w:t>余继平申请执行其与杨定全、苏玉华、贵州兴龙腾房地产开发有限公司民间借贷纠纷一案</w:t>
      </w:r>
      <w:r>
        <w:rPr>
          <w:rFonts w:hint="eastAsia" w:ascii="仿宋" w:hAnsi="仿宋" w:eastAsia="仿宋" w:cs="宋体"/>
          <w:color w:val="auto"/>
          <w:sz w:val="24"/>
          <w:szCs w:val="24"/>
        </w:rPr>
        <w:t>中涉及的</w:t>
      </w:r>
      <w:r>
        <w:rPr>
          <w:rFonts w:hint="eastAsia" w:ascii="仿宋" w:hAnsi="仿宋" w:eastAsia="仿宋" w:cs="宋体"/>
          <w:color w:val="auto"/>
          <w:sz w:val="24"/>
          <w:szCs w:val="24"/>
          <w:lang w:eastAsia="zh-CN"/>
        </w:rPr>
        <w:t>六盘水市钟山区市场路9号附12号房地产，《不动产信息查询结果</w:t>
      </w:r>
      <w:r>
        <w:rPr>
          <w:rFonts w:hint="eastAsia" w:ascii="仿宋" w:hAnsi="仿宋" w:eastAsia="仿宋" w:cs="宋体"/>
          <w:color w:val="auto"/>
          <w:sz w:val="24"/>
          <w:szCs w:val="24"/>
        </w:rPr>
        <w:t>》记载</w:t>
      </w:r>
      <w:r>
        <w:rPr>
          <w:rFonts w:hint="eastAsia" w:ascii="仿宋" w:hAnsi="仿宋" w:eastAsia="仿宋" w:cs="宋体"/>
          <w:color w:val="auto"/>
          <w:sz w:val="24"/>
          <w:szCs w:val="24"/>
          <w:lang w:eastAsia="zh-CN"/>
        </w:rPr>
        <w:t>不动产权证号为</w:t>
      </w:r>
      <w:r>
        <w:rPr>
          <w:rFonts w:hint="eastAsia" w:ascii="仿宋" w:hAnsi="仿宋" w:eastAsia="仿宋" w:cs="宋体"/>
          <w:color w:val="auto"/>
          <w:sz w:val="24"/>
          <w:szCs w:val="24"/>
          <w:lang w:val="en-US" w:eastAsia="zh-CN"/>
        </w:rPr>
        <w:t>监证0047254号</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权利人</w:t>
      </w:r>
      <w:r>
        <w:rPr>
          <w:rFonts w:hint="eastAsia" w:ascii="仿宋" w:hAnsi="仿宋" w:eastAsia="仿宋" w:cs="宋体"/>
          <w:color w:val="auto"/>
          <w:sz w:val="24"/>
          <w:szCs w:val="24"/>
        </w:rPr>
        <w:t>为</w:t>
      </w:r>
      <w:r>
        <w:rPr>
          <w:rFonts w:hint="eastAsia" w:ascii="仿宋" w:hAnsi="仿宋" w:eastAsia="仿宋" w:cs="宋体"/>
          <w:color w:val="auto"/>
          <w:sz w:val="24"/>
          <w:szCs w:val="24"/>
          <w:lang w:eastAsia="zh-CN"/>
        </w:rPr>
        <w:t>苏玉华，混合结构</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建成于2001年，</w:t>
      </w:r>
      <w:r>
        <w:rPr>
          <w:rFonts w:hint="eastAsia" w:ascii="仿宋" w:hAnsi="仿宋" w:eastAsia="仿宋" w:cs="宋体"/>
          <w:color w:val="auto"/>
          <w:sz w:val="24"/>
          <w:szCs w:val="24"/>
        </w:rPr>
        <w:t>建筑面积为</w:t>
      </w:r>
      <w:r>
        <w:rPr>
          <w:rFonts w:hint="eastAsia" w:ascii="仿宋" w:hAnsi="仿宋" w:eastAsia="仿宋" w:cs="宋体"/>
          <w:color w:val="auto"/>
          <w:sz w:val="24"/>
          <w:szCs w:val="24"/>
          <w:lang w:val="en-US" w:eastAsia="zh-CN"/>
        </w:rPr>
        <w:t>227.1</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用途为住宅，分摊土地使用权类型为出让。</w:t>
      </w:r>
      <w:r>
        <w:rPr>
          <w:rFonts w:hint="eastAsia" w:ascii="仿宋" w:hAnsi="仿宋" w:eastAsia="仿宋" w:cs="宋体"/>
          <w:color w:val="auto"/>
          <w:sz w:val="24"/>
          <w:szCs w:val="24"/>
        </w:rPr>
        <w:t>列入本次估价范围的是</w:t>
      </w:r>
      <w:r>
        <w:rPr>
          <w:rFonts w:hint="eastAsia" w:ascii="仿宋" w:hAnsi="仿宋" w:eastAsia="仿宋" w:cs="宋体"/>
          <w:color w:val="auto"/>
          <w:sz w:val="24"/>
          <w:szCs w:val="24"/>
          <w:lang w:eastAsia="zh-CN"/>
        </w:rPr>
        <w:t>房屋</w:t>
      </w:r>
      <w:r>
        <w:rPr>
          <w:rFonts w:hint="eastAsia" w:ascii="仿宋" w:hAnsi="仿宋" w:eastAsia="仿宋" w:cs="宋体"/>
          <w:color w:val="auto"/>
          <w:sz w:val="24"/>
          <w:szCs w:val="24"/>
        </w:rPr>
        <w:t>、分摊相应土地使用权和必要的设备设施</w:t>
      </w:r>
      <w:r>
        <w:rPr>
          <w:rFonts w:hint="eastAsia" w:ascii="仿宋" w:hAnsi="仿宋" w:eastAsia="仿宋" w:cs="宋体"/>
          <w:color w:val="auto"/>
          <w:sz w:val="24"/>
          <w:szCs w:val="24"/>
          <w:lang w:eastAsia="zh-CN"/>
        </w:rPr>
        <w:t>以及按二手房交易市场通常应当包含的</w:t>
      </w:r>
      <w:r>
        <w:rPr>
          <w:rFonts w:hint="eastAsia" w:ascii="仿宋" w:hAnsi="仿宋" w:eastAsia="仿宋" w:cs="宋体"/>
          <w:color w:val="auto"/>
          <w:sz w:val="24"/>
          <w:szCs w:val="24"/>
        </w:rPr>
        <w:t>装饰装修</w:t>
      </w:r>
      <w:r>
        <w:rPr>
          <w:rFonts w:hint="eastAsia" w:ascii="仿宋" w:hAnsi="仿宋" w:eastAsia="仿宋" w:cs="宋体"/>
          <w:color w:val="auto"/>
          <w:sz w:val="24"/>
          <w:szCs w:val="24"/>
          <w:lang w:eastAsia="zh-CN"/>
        </w:rPr>
        <w:t>价值</w:t>
      </w:r>
      <w:r>
        <w:rPr>
          <w:rFonts w:hint="eastAsia" w:ascii="仿宋" w:hAnsi="仿宋" w:eastAsia="仿宋" w:cs="宋体"/>
          <w:color w:val="auto"/>
          <w:sz w:val="24"/>
          <w:szCs w:val="24"/>
        </w:rPr>
        <w:t>，不包括动产、构筑物、树木等，以及债权债务、特许经营权等其他财产或权益。</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所在小区用地</w:t>
      </w:r>
      <w:r>
        <w:rPr>
          <w:rFonts w:hint="eastAsia" w:ascii="仿宋" w:hAnsi="仿宋" w:eastAsia="仿宋" w:cs="宋体"/>
          <w:color w:val="auto"/>
          <w:sz w:val="24"/>
          <w:szCs w:val="24"/>
          <w:lang w:eastAsia="zh-CN"/>
        </w:rPr>
        <w:t>东临市场路，南临住宅，西临住宅，北临人民路。</w:t>
      </w:r>
    </w:p>
    <w:p>
      <w:pPr>
        <w:spacing w:line="460" w:lineRule="exact"/>
        <w:ind w:firstLine="361" w:firstLineChars="150"/>
        <w:rPr>
          <w:rFonts w:ascii="仿宋_GB2312" w:hAnsi="仿宋" w:eastAsia="仿宋_GB2312" w:cs="宋体"/>
          <w:b/>
          <w:color w:val="auto"/>
          <w:sz w:val="24"/>
          <w:szCs w:val="24"/>
        </w:rPr>
      </w:pPr>
      <w:r>
        <w:rPr>
          <w:rFonts w:hint="eastAsia" w:ascii="仿宋_GB2312" w:hAnsi="仿宋" w:eastAsia="仿宋_GB2312" w:cs="宋体"/>
          <w:b/>
          <w:color w:val="auto"/>
          <w:sz w:val="24"/>
          <w:szCs w:val="24"/>
        </w:rPr>
        <w:t>（二）估价对象权属权益状况</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1、估价对象产权状况</w:t>
      </w:r>
    </w:p>
    <w:p>
      <w:pPr>
        <w:autoSpaceDE w:val="0"/>
        <w:autoSpaceDN w:val="0"/>
        <w:adjustRightInd w:val="0"/>
        <w:spacing w:line="460" w:lineRule="exact"/>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rPr>
        <w:t>根据估价委托人提供的《</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》复印件登记其权属、用途等基本情况详见下表：</w:t>
      </w:r>
    </w:p>
    <w:p>
      <w:pPr>
        <w:autoSpaceDE w:val="0"/>
        <w:autoSpaceDN w:val="0"/>
        <w:adjustRightInd w:val="0"/>
        <w:spacing w:line="460" w:lineRule="exact"/>
        <w:ind w:firstLine="420" w:firstLineChars="200"/>
        <w:textAlignment w:val="center"/>
        <w:rPr>
          <w:rFonts w:ascii="仿宋" w:hAnsi="仿宋" w:eastAsia="仿宋" w:cs="宋体"/>
          <w:color w:val="auto"/>
          <w:sz w:val="24"/>
          <w:szCs w:val="24"/>
        </w:rPr>
      </w:pPr>
      <w:r>
        <w:rPr>
          <w:rFonts w:hint="eastAsia" w:ascii="仿宋" w:hAnsi="仿宋" w:eastAsia="仿宋" w:cs="宋体"/>
          <w:color w:val="auto"/>
          <w:szCs w:val="21"/>
        </w:rPr>
        <w:t xml:space="preserve">表4-1                       </w:t>
      </w:r>
      <w:r>
        <w:rPr>
          <w:rFonts w:hint="eastAsia" w:ascii="仿宋" w:hAnsi="仿宋" w:eastAsia="仿宋" w:cs="宋体"/>
          <w:color w:val="auto"/>
          <w:szCs w:val="21"/>
          <w:lang w:eastAsia="zh-CN"/>
        </w:rPr>
        <w:t>估价对象</w:t>
      </w:r>
      <w:r>
        <w:rPr>
          <w:rFonts w:hint="eastAsia" w:ascii="仿宋" w:hAnsi="仿宋" w:eastAsia="仿宋" w:cs="宋体"/>
          <w:color w:val="auto"/>
          <w:szCs w:val="21"/>
        </w:rPr>
        <w:t>产权登记情况一览表</w:t>
      </w:r>
    </w:p>
    <w:tbl>
      <w:tblPr>
        <w:tblStyle w:val="45"/>
        <w:tblW w:w="9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58"/>
        <w:gridCol w:w="688"/>
        <w:gridCol w:w="983"/>
        <w:gridCol w:w="1020"/>
        <w:gridCol w:w="1237"/>
        <w:gridCol w:w="964"/>
        <w:gridCol w:w="993"/>
        <w:gridCol w:w="782"/>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797" w:type="dxa"/>
            <w:gridSpan w:val="2"/>
            <w:vAlign w:val="center"/>
          </w:tcPr>
          <w:p>
            <w:pPr>
              <w:autoSpaceDE w:val="0"/>
              <w:autoSpaceDN w:val="0"/>
              <w:adjustRightInd w:val="0"/>
              <w:spacing w:line="240" w:lineRule="atLeast"/>
              <w:jc w:val="center"/>
              <w:textAlignment w:val="center"/>
              <w:rPr>
                <w:rFonts w:ascii="仿宋" w:hAnsi="仿宋" w:eastAsia="仿宋" w:cs="宋体"/>
                <w:color w:val="auto"/>
                <w:sz w:val="18"/>
                <w:szCs w:val="18"/>
              </w:rPr>
            </w:pPr>
            <w:r>
              <w:rPr>
                <w:rFonts w:hint="eastAsia" w:ascii="仿宋" w:hAnsi="仿宋" w:eastAsia="仿宋" w:cs="宋体"/>
                <w:color w:val="auto"/>
                <w:sz w:val="18"/>
                <w:szCs w:val="18"/>
                <w:lang w:eastAsia="zh-CN"/>
              </w:rPr>
              <w:t>房屋</w:t>
            </w:r>
            <w:r>
              <w:rPr>
                <w:rFonts w:hint="eastAsia" w:ascii="仿宋" w:hAnsi="仿宋" w:eastAsia="仿宋" w:cs="宋体"/>
                <w:color w:val="auto"/>
                <w:sz w:val="18"/>
                <w:szCs w:val="18"/>
              </w:rPr>
              <w:t>坐落</w:t>
            </w:r>
          </w:p>
        </w:tc>
        <w:tc>
          <w:tcPr>
            <w:tcW w:w="7449" w:type="dxa"/>
            <w:gridSpan w:val="8"/>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eastAsia="zh-CN"/>
              </w:rPr>
              <w:t>钟山区市场路9号附12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39"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权利人</w:t>
            </w:r>
          </w:p>
        </w:tc>
        <w:tc>
          <w:tcPr>
            <w:tcW w:w="858"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 xml:space="preserve"> 苏玉华</w:t>
            </w:r>
          </w:p>
        </w:tc>
        <w:tc>
          <w:tcPr>
            <w:tcW w:w="1671" w:type="dxa"/>
            <w:gridSpan w:val="2"/>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不动产权证号</w:t>
            </w:r>
          </w:p>
        </w:tc>
        <w:tc>
          <w:tcPr>
            <w:tcW w:w="2257" w:type="dxa"/>
            <w:gridSpan w:val="2"/>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监证 0047254</w:t>
            </w:r>
          </w:p>
        </w:tc>
        <w:tc>
          <w:tcPr>
            <w:tcW w:w="964"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楼层</w:t>
            </w:r>
          </w:p>
        </w:tc>
        <w:tc>
          <w:tcPr>
            <w:tcW w:w="993" w:type="dxa"/>
            <w:vAlign w:val="center"/>
          </w:tcPr>
          <w:p>
            <w:pPr>
              <w:autoSpaceDE w:val="0"/>
              <w:autoSpaceDN w:val="0"/>
              <w:adjustRightInd w:val="0"/>
              <w:spacing w:line="240" w:lineRule="atLeast"/>
              <w:ind w:firstLine="180" w:firstLineChars="100"/>
              <w:jc w:val="both"/>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2跃3</w:t>
            </w:r>
          </w:p>
        </w:tc>
        <w:tc>
          <w:tcPr>
            <w:tcW w:w="782"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层高</w:t>
            </w:r>
          </w:p>
        </w:tc>
        <w:tc>
          <w:tcPr>
            <w:tcW w:w="782" w:type="dxa"/>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39"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房屋用途</w:t>
            </w:r>
          </w:p>
        </w:tc>
        <w:tc>
          <w:tcPr>
            <w:tcW w:w="858"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住宅</w:t>
            </w:r>
          </w:p>
        </w:tc>
        <w:tc>
          <w:tcPr>
            <w:tcW w:w="688"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结构</w:t>
            </w:r>
          </w:p>
        </w:tc>
        <w:tc>
          <w:tcPr>
            <w:tcW w:w="983"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混合</w:t>
            </w:r>
          </w:p>
        </w:tc>
        <w:tc>
          <w:tcPr>
            <w:tcW w:w="1020"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建筑面积</w:t>
            </w:r>
          </w:p>
        </w:tc>
        <w:tc>
          <w:tcPr>
            <w:tcW w:w="1237" w:type="dxa"/>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227.1㎡</w:t>
            </w:r>
          </w:p>
        </w:tc>
        <w:tc>
          <w:tcPr>
            <w:tcW w:w="964"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幢号</w:t>
            </w:r>
          </w:p>
        </w:tc>
        <w:tc>
          <w:tcPr>
            <w:tcW w:w="993" w:type="dxa"/>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w:t>
            </w:r>
          </w:p>
        </w:tc>
        <w:tc>
          <w:tcPr>
            <w:tcW w:w="782"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单元号</w:t>
            </w:r>
          </w:p>
        </w:tc>
        <w:tc>
          <w:tcPr>
            <w:tcW w:w="782" w:type="dxa"/>
            <w:vAlign w:val="center"/>
          </w:tcPr>
          <w:p>
            <w:pPr>
              <w:autoSpaceDE w:val="0"/>
              <w:autoSpaceDN w:val="0"/>
              <w:adjustRightInd w:val="0"/>
              <w:spacing w:line="240" w:lineRule="atLeast"/>
              <w:jc w:val="center"/>
              <w:textAlignment w:val="center"/>
              <w:rPr>
                <w:rFonts w:hint="default"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39"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抵押情况</w:t>
            </w:r>
          </w:p>
        </w:tc>
        <w:tc>
          <w:tcPr>
            <w:tcW w:w="1546" w:type="dxa"/>
            <w:gridSpan w:val="2"/>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已抵押</w:t>
            </w:r>
          </w:p>
        </w:tc>
        <w:tc>
          <w:tcPr>
            <w:tcW w:w="983"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抵押权人</w:t>
            </w:r>
          </w:p>
        </w:tc>
        <w:tc>
          <w:tcPr>
            <w:tcW w:w="2257" w:type="dxa"/>
            <w:gridSpan w:val="2"/>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云南金大典当有限</w:t>
            </w:r>
          </w:p>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公司六盘水分公司</w:t>
            </w:r>
          </w:p>
        </w:tc>
        <w:tc>
          <w:tcPr>
            <w:tcW w:w="964" w:type="dxa"/>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eastAsia="zh-CN"/>
              </w:rPr>
            </w:pPr>
            <w:r>
              <w:rPr>
                <w:rFonts w:hint="eastAsia" w:ascii="仿宋" w:hAnsi="仿宋" w:eastAsia="仿宋" w:cs="宋体"/>
                <w:color w:val="auto"/>
                <w:sz w:val="18"/>
                <w:szCs w:val="18"/>
                <w:lang w:eastAsia="zh-CN"/>
              </w:rPr>
              <w:t>抵押证号</w:t>
            </w:r>
          </w:p>
        </w:tc>
        <w:tc>
          <w:tcPr>
            <w:tcW w:w="2557" w:type="dxa"/>
            <w:gridSpan w:val="3"/>
            <w:vAlign w:val="center"/>
          </w:tcPr>
          <w:p>
            <w:pPr>
              <w:autoSpaceDE w:val="0"/>
              <w:autoSpaceDN w:val="0"/>
              <w:adjustRightInd w:val="0"/>
              <w:spacing w:line="240" w:lineRule="atLeast"/>
              <w:jc w:val="center"/>
              <w:textAlignment w:val="center"/>
              <w:rPr>
                <w:rFonts w:hint="eastAsia" w:ascii="仿宋" w:hAnsi="仿宋" w:eastAsia="仿宋" w:cs="宋体"/>
                <w:color w:val="auto"/>
                <w:sz w:val="18"/>
                <w:szCs w:val="18"/>
                <w:lang w:val="en-US" w:eastAsia="zh-CN"/>
              </w:rPr>
            </w:pPr>
            <w:r>
              <w:rPr>
                <w:rFonts w:hint="eastAsia" w:ascii="仿宋" w:hAnsi="仿宋" w:eastAsia="仿宋" w:cs="宋体"/>
                <w:color w:val="auto"/>
                <w:sz w:val="18"/>
                <w:szCs w:val="18"/>
                <w:lang w:val="en-US" w:eastAsia="zh-CN"/>
              </w:rPr>
              <w:t>他证号00059266</w:t>
            </w:r>
          </w:p>
        </w:tc>
      </w:tr>
    </w:tbl>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2、估价对象权益状况</w:t>
      </w:r>
    </w:p>
    <w:p>
      <w:pPr>
        <w:adjustRightInd w:val="0"/>
        <w:spacing w:line="460" w:lineRule="exact"/>
        <w:ind w:firstLine="480" w:firstLineChars="200"/>
        <w:rPr>
          <w:rFonts w:hint="eastAsia" w:ascii="仿宋" w:hAnsi="仿宋" w:eastAsia="仿宋" w:cs="宋体"/>
          <w:color w:val="auto"/>
          <w:sz w:val="24"/>
          <w:szCs w:val="24"/>
          <w:lang w:eastAsia="zh-CN"/>
        </w:rPr>
      </w:pPr>
      <w:bookmarkStart w:id="41" w:name="_Hlk500439878"/>
      <w:r>
        <w:rPr>
          <w:rFonts w:hint="eastAsia" w:ascii="仿宋" w:hAnsi="仿宋" w:eastAsia="仿宋" w:cs="宋体"/>
          <w:color w:val="auto"/>
          <w:sz w:val="24"/>
          <w:szCs w:val="24"/>
          <w:lang w:eastAsia="zh-CN"/>
        </w:rPr>
        <w:t>估价对象权利人为苏玉华，共有情况不详。估价委托人未提供估价对象的《国有土地使用证》，根据估价委托人和估价人员实地查勘，估价对象系权利人通过购买商品房所得，分摊土地使用权类型为出让。房屋登记用途为住宅，根据房地合一原则，土地用途与房屋用途一致。</w:t>
      </w:r>
    </w:p>
    <w:p>
      <w:pPr>
        <w:adjustRightInd w:val="0"/>
        <w:spacing w:line="460" w:lineRule="exact"/>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截止价值时点，估价对象设置抵押权，</w:t>
      </w:r>
      <w:bookmarkEnd w:id="41"/>
      <w:r>
        <w:rPr>
          <w:rFonts w:hint="eastAsia" w:ascii="仿宋" w:hAnsi="仿宋" w:eastAsia="仿宋" w:cs="宋体"/>
          <w:color w:val="auto"/>
          <w:sz w:val="24"/>
          <w:szCs w:val="24"/>
          <w:lang w:val="en-US" w:eastAsia="zh-CN"/>
        </w:rPr>
        <w:t>抵押的他证号为00059266，抵押权人为云南金大典当有限公司六盘水分公司。</w:t>
      </w:r>
    </w:p>
    <w:p>
      <w:pPr>
        <w:adjustRightInd w:val="0"/>
        <w:spacing w:line="46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lang w:eastAsia="zh-CN"/>
        </w:rPr>
        <w:t>总体说来，估价对象房屋所有权与土地使用权人均为苏玉华，权利主体一致，除设置抵押权限制外，权属无争议。</w:t>
      </w:r>
    </w:p>
    <w:p>
      <w:pPr>
        <w:spacing w:line="460" w:lineRule="exact"/>
        <w:ind w:firstLine="361" w:firstLineChars="150"/>
        <w:rPr>
          <w:rFonts w:ascii="仿宋_GB2312" w:hAnsi="仿宋" w:eastAsia="仿宋_GB2312" w:cs="宋体"/>
          <w:b/>
          <w:color w:val="auto"/>
          <w:kern w:val="0"/>
          <w:sz w:val="24"/>
          <w:szCs w:val="24"/>
        </w:rPr>
      </w:pPr>
      <w:r>
        <w:rPr>
          <w:rFonts w:hint="eastAsia" w:ascii="仿宋_GB2312" w:hAnsi="仿宋" w:eastAsia="仿宋_GB2312" w:cs="宋体"/>
          <w:b/>
          <w:color w:val="auto"/>
          <w:sz w:val="24"/>
          <w:szCs w:val="24"/>
        </w:rPr>
        <w:t>（三）</w:t>
      </w:r>
      <w:r>
        <w:rPr>
          <w:rFonts w:hint="eastAsia" w:ascii="仿宋_GB2312" w:hAnsi="仿宋" w:eastAsia="仿宋_GB2312" w:cs="宋体"/>
          <w:b/>
          <w:color w:val="auto"/>
          <w:kern w:val="0"/>
          <w:sz w:val="24"/>
          <w:szCs w:val="24"/>
        </w:rPr>
        <w:t>估价对象实物状况</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依据估价委托人提供的《</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》复印件及估价人员现场查勘，估价对象</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实物状况如下表：</w:t>
      </w:r>
    </w:p>
    <w:p>
      <w:pPr>
        <w:spacing w:line="460" w:lineRule="exact"/>
        <w:ind w:firstLine="420"/>
        <w:rPr>
          <w:rFonts w:ascii="仿宋" w:hAnsi="仿宋" w:eastAsia="仿宋" w:cs="宋体"/>
          <w:color w:val="auto"/>
          <w:sz w:val="24"/>
          <w:szCs w:val="24"/>
        </w:rPr>
      </w:pPr>
      <w:r>
        <w:rPr>
          <w:rFonts w:hint="eastAsia" w:ascii="仿宋" w:hAnsi="仿宋" w:eastAsia="仿宋" w:cs="宋体"/>
          <w:color w:val="auto"/>
          <w:szCs w:val="21"/>
        </w:rPr>
        <w:t>表4-4</w:t>
      </w:r>
      <w:r>
        <w:rPr>
          <w:rFonts w:hint="eastAsia" w:ascii="仿宋" w:hAnsi="仿宋" w:eastAsia="仿宋" w:cs="宋体"/>
          <w:color w:val="auto"/>
          <w:sz w:val="24"/>
          <w:szCs w:val="24"/>
        </w:rPr>
        <w:t xml:space="preserve">                   </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实物状况一览表</w:t>
      </w:r>
    </w:p>
    <w:tbl>
      <w:tblPr>
        <w:tblStyle w:val="45"/>
        <w:tblW w:w="9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4"/>
        <w:gridCol w:w="1634"/>
        <w:gridCol w:w="268"/>
        <w:gridCol w:w="1013"/>
        <w:gridCol w:w="358"/>
        <w:gridCol w:w="695"/>
        <w:gridCol w:w="1478"/>
        <w:gridCol w:w="94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246"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bookmarkStart w:id="42" w:name="_Hlk507924003"/>
            <w:r>
              <w:rPr>
                <w:rFonts w:hint="eastAsia" w:ascii="仿宋" w:hAnsi="仿宋" w:eastAsia="仿宋" w:cs="宋体"/>
                <w:bCs/>
                <w:color w:val="auto"/>
                <w:sz w:val="18"/>
                <w:szCs w:val="18"/>
              </w:rPr>
              <w:t>土地实物状况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仿宋"/>
                <w:bCs/>
                <w:color w:val="auto"/>
                <w:sz w:val="18"/>
                <w:szCs w:val="18"/>
              </w:rPr>
              <w:t>土地使用者</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eastAsia="zh-CN"/>
              </w:rPr>
              <w:t xml:space="preserve"> 苏玉华</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color w:val="auto"/>
                <w:sz w:val="18"/>
                <w:szCs w:val="18"/>
              </w:rPr>
            </w:pPr>
            <w:r>
              <w:rPr>
                <w:rFonts w:hint="eastAsia" w:ascii="仿宋" w:hAnsi="仿宋" w:eastAsia="仿宋" w:cs="宋体"/>
                <w:bCs/>
                <w:color w:val="auto"/>
                <w:sz w:val="18"/>
                <w:szCs w:val="18"/>
              </w:rPr>
              <w:t>座    落</w:t>
            </w:r>
          </w:p>
        </w:tc>
        <w:tc>
          <w:tcPr>
            <w:tcW w:w="514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六盘水市钟山区市场路</w:t>
            </w:r>
            <w:r>
              <w:rPr>
                <w:rFonts w:hint="eastAsia" w:ascii="仿宋" w:hAnsi="仿宋" w:eastAsia="仿宋" w:cs="宋体"/>
                <w:bCs/>
                <w:color w:val="auto"/>
                <w:sz w:val="18"/>
                <w:szCs w:val="18"/>
                <w:lang w:val="en-US" w:eastAsia="zh-CN"/>
              </w:rPr>
              <w:t>9号附12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面积（m</w:t>
            </w:r>
            <w:r>
              <w:rPr>
                <w:rFonts w:hint="eastAsia" w:ascii="仿宋" w:hAnsi="仿宋" w:eastAsia="仿宋" w:cs="宋体"/>
                <w:bCs/>
                <w:color w:val="auto"/>
                <w:sz w:val="18"/>
                <w:szCs w:val="18"/>
                <w:vertAlign w:val="superscript"/>
              </w:rPr>
              <w:t>2</w:t>
            </w:r>
            <w:r>
              <w:rPr>
                <w:rFonts w:hint="eastAsia" w:ascii="仿宋" w:hAnsi="仿宋" w:eastAsia="仿宋" w:cs="宋体"/>
                <w:bCs/>
                <w:color w:val="auto"/>
                <w:sz w:val="18"/>
                <w:szCs w:val="18"/>
              </w:rPr>
              <w:t>）</w:t>
            </w:r>
          </w:p>
        </w:tc>
        <w:tc>
          <w:tcPr>
            <w:tcW w:w="16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val="en-US" w:eastAsia="zh-CN"/>
              </w:rPr>
              <w:t>/</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用    途</w:t>
            </w:r>
          </w:p>
        </w:tc>
        <w:tc>
          <w:tcPr>
            <w:tcW w:w="514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四     至</w:t>
            </w:r>
          </w:p>
        </w:tc>
        <w:tc>
          <w:tcPr>
            <w:tcW w:w="806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东临市场路，南临住宅，西临住宅，北临人民路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形     状</w:t>
            </w:r>
          </w:p>
        </w:tc>
        <w:tc>
          <w:tcPr>
            <w:tcW w:w="291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较规则</w:t>
            </w:r>
          </w:p>
        </w:tc>
        <w:tc>
          <w:tcPr>
            <w:tcW w:w="1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地形地势</w:t>
            </w:r>
          </w:p>
        </w:tc>
        <w:tc>
          <w:tcPr>
            <w:tcW w:w="40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地势平坦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土     壤</w:t>
            </w:r>
          </w:p>
        </w:tc>
        <w:tc>
          <w:tcPr>
            <w:tcW w:w="291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未受过污染</w:t>
            </w:r>
          </w:p>
        </w:tc>
        <w:tc>
          <w:tcPr>
            <w:tcW w:w="1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开发程度</w:t>
            </w:r>
          </w:p>
        </w:tc>
        <w:tc>
          <w:tcPr>
            <w:tcW w:w="40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六通一平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s="宋体"/>
                <w:bCs/>
                <w:color w:val="auto"/>
                <w:sz w:val="18"/>
                <w:szCs w:val="18"/>
              </w:rPr>
            </w:pPr>
            <w:r>
              <w:rPr>
                <w:rFonts w:hint="eastAsia" w:ascii="仿宋" w:hAnsi="仿宋" w:eastAsia="仿宋" w:cs="宋体"/>
                <w:bCs/>
                <w:color w:val="auto"/>
                <w:sz w:val="18"/>
                <w:szCs w:val="18"/>
              </w:rPr>
              <w:t xml:space="preserve">  地质条件</w:t>
            </w:r>
          </w:p>
        </w:tc>
        <w:tc>
          <w:tcPr>
            <w:tcW w:w="806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地下水对钢筋无侵蚀作用，无不良地质现象，地基承载力和稳定性好，适合建筑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246"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建筑物实物状况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楼盘名称</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仿宋"/>
                <w:color w:val="1D41D5"/>
                <w:kern w:val="0"/>
                <w:sz w:val="18"/>
                <w:szCs w:val="18"/>
                <w:lang w:val="en-US" w:eastAsia="zh-CN" w:bidi="ar-SA"/>
              </w:rPr>
              <w:t>/</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坐   落</w:t>
            </w:r>
          </w:p>
        </w:tc>
        <w:tc>
          <w:tcPr>
            <w:tcW w:w="479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六盘水市钟山区市场路</w:t>
            </w:r>
            <w:r>
              <w:rPr>
                <w:rFonts w:hint="eastAsia" w:ascii="仿宋" w:hAnsi="仿宋" w:eastAsia="仿宋" w:cs="宋体"/>
                <w:bCs/>
                <w:color w:val="auto"/>
                <w:sz w:val="18"/>
                <w:szCs w:val="18"/>
                <w:lang w:val="en-US" w:eastAsia="zh-CN"/>
              </w:rPr>
              <w:t>9号附12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建筑结构</w:t>
            </w:r>
          </w:p>
        </w:tc>
        <w:tc>
          <w:tcPr>
            <w:tcW w:w="349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混合</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面积（m</w:t>
            </w:r>
            <w:r>
              <w:rPr>
                <w:rFonts w:hint="eastAsia" w:ascii="仿宋" w:hAnsi="仿宋" w:eastAsia="仿宋" w:cs="宋体"/>
                <w:bCs/>
                <w:color w:val="auto"/>
                <w:sz w:val="18"/>
                <w:szCs w:val="18"/>
                <w:vertAlign w:val="superscript"/>
              </w:rPr>
              <w:t>2</w:t>
            </w:r>
            <w:r>
              <w:rPr>
                <w:rFonts w:hint="eastAsia" w:ascii="仿宋" w:hAnsi="仿宋" w:eastAsia="仿宋" w:cs="宋体"/>
                <w:bCs/>
                <w:color w:val="auto"/>
                <w:sz w:val="18"/>
                <w:szCs w:val="18"/>
              </w:rPr>
              <w:t>）</w:t>
            </w:r>
          </w:p>
        </w:tc>
        <w:tc>
          <w:tcPr>
            <w:tcW w:w="26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cs="宋体"/>
                <w:bCs/>
                <w:color w:val="auto"/>
                <w:sz w:val="18"/>
                <w:szCs w:val="18"/>
                <w:lang w:val="en-US" w:eastAsia="zh-CN"/>
              </w:rPr>
            </w:pPr>
            <w:r>
              <w:rPr>
                <w:rFonts w:hint="eastAsia" w:ascii="仿宋" w:hAnsi="仿宋" w:eastAsia="仿宋" w:cs="宋体"/>
                <w:bCs/>
                <w:color w:val="auto"/>
                <w:sz w:val="18"/>
                <w:szCs w:val="18"/>
                <w:lang w:val="en-US" w:eastAsia="zh-CN"/>
              </w:rPr>
              <w:t>227.1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临街状况</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eastAsia="zh-CN"/>
              </w:rPr>
              <w:t>一面</w:t>
            </w:r>
            <w:r>
              <w:rPr>
                <w:rFonts w:hint="eastAsia" w:ascii="仿宋" w:hAnsi="仿宋" w:eastAsia="仿宋" w:cs="宋体"/>
                <w:bCs/>
                <w:color w:val="auto"/>
                <w:sz w:val="18"/>
                <w:szCs w:val="18"/>
              </w:rPr>
              <w:t>临街</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朝    向</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eastAsia="zh-CN"/>
              </w:rPr>
              <w:t>西南</w:t>
            </w:r>
          </w:p>
        </w:tc>
        <w:tc>
          <w:tcPr>
            <w:tcW w:w="9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基    础</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所在单元</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val="en-US" w:eastAsia="zh-CN"/>
              </w:rPr>
            </w:pPr>
            <w:r>
              <w:rPr>
                <w:rFonts w:hint="eastAsia" w:ascii="仿宋" w:hAnsi="仿宋" w:eastAsia="仿宋" w:cs="宋体"/>
                <w:bCs/>
                <w:color w:val="auto"/>
                <w:sz w:val="18"/>
                <w:szCs w:val="18"/>
                <w:lang w:val="en-US" w:eastAsia="zh-CN"/>
              </w:rPr>
              <w:t>/</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总 楼 层</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val="en-US" w:eastAsia="zh-CN"/>
              </w:rPr>
              <w:t>8</w:t>
            </w:r>
            <w:r>
              <w:rPr>
                <w:rFonts w:hint="eastAsia" w:ascii="仿宋" w:hAnsi="仿宋" w:eastAsia="仿宋" w:cs="宋体"/>
                <w:bCs/>
                <w:color w:val="auto"/>
                <w:sz w:val="18"/>
                <w:szCs w:val="18"/>
              </w:rPr>
              <w:t>层</w:t>
            </w:r>
          </w:p>
        </w:tc>
        <w:tc>
          <w:tcPr>
            <w:tcW w:w="9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所在楼层</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val="en-US" w:eastAsia="zh-CN"/>
              </w:rPr>
              <w:t>2</w:t>
            </w:r>
            <w:r>
              <w:rPr>
                <w:rFonts w:hint="eastAsia" w:ascii="仿宋" w:hAnsi="仿宋" w:eastAsia="仿宋" w:cs="宋体"/>
                <w:bCs/>
                <w:color w:val="auto"/>
                <w:sz w:val="18"/>
                <w:szCs w:val="18"/>
                <w:lang w:eastAsia="zh-CN"/>
              </w:rPr>
              <w:t>跃</w:t>
            </w:r>
            <w:r>
              <w:rPr>
                <w:rFonts w:hint="eastAsia" w:ascii="仿宋" w:hAnsi="仿宋" w:eastAsia="仿宋" w:cs="宋体"/>
                <w:bCs/>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户    型</w:t>
            </w:r>
          </w:p>
        </w:tc>
        <w:tc>
          <w:tcPr>
            <w:tcW w:w="349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val="en-US" w:eastAsia="zh-CN"/>
              </w:rPr>
              <w:t>6</w:t>
            </w:r>
            <w:r>
              <w:rPr>
                <w:rFonts w:hint="eastAsia" w:ascii="仿宋" w:hAnsi="仿宋" w:eastAsia="仿宋" w:cs="宋体"/>
                <w:bCs/>
                <w:color w:val="auto"/>
                <w:sz w:val="18"/>
                <w:szCs w:val="18"/>
              </w:rPr>
              <w:t>室</w:t>
            </w:r>
            <w:r>
              <w:rPr>
                <w:rFonts w:hint="eastAsia" w:ascii="仿宋" w:hAnsi="仿宋" w:eastAsia="仿宋" w:cs="宋体"/>
                <w:bCs/>
                <w:color w:val="auto"/>
                <w:sz w:val="18"/>
                <w:szCs w:val="18"/>
                <w:lang w:val="en-US" w:eastAsia="zh-CN"/>
              </w:rPr>
              <w:t>2</w:t>
            </w:r>
            <w:r>
              <w:rPr>
                <w:rFonts w:hint="eastAsia" w:ascii="仿宋" w:hAnsi="仿宋" w:eastAsia="仿宋" w:cs="宋体"/>
                <w:bCs/>
                <w:color w:val="auto"/>
                <w:sz w:val="18"/>
                <w:szCs w:val="18"/>
              </w:rPr>
              <w:t>厅1厨</w:t>
            </w:r>
            <w:r>
              <w:rPr>
                <w:rFonts w:hint="eastAsia" w:ascii="仿宋" w:hAnsi="仿宋" w:eastAsia="仿宋" w:cs="宋体"/>
                <w:bCs/>
                <w:color w:val="auto"/>
                <w:sz w:val="18"/>
                <w:szCs w:val="18"/>
                <w:lang w:val="en-US" w:eastAsia="zh-CN"/>
              </w:rPr>
              <w:t>3</w:t>
            </w:r>
            <w:r>
              <w:rPr>
                <w:rFonts w:hint="eastAsia" w:ascii="仿宋" w:hAnsi="仿宋" w:eastAsia="仿宋" w:cs="宋体"/>
                <w:bCs/>
                <w:color w:val="auto"/>
                <w:sz w:val="18"/>
                <w:szCs w:val="18"/>
              </w:rPr>
              <w:t>卫</w:t>
            </w:r>
            <w:r>
              <w:rPr>
                <w:rFonts w:hint="eastAsia" w:ascii="仿宋" w:hAnsi="仿宋" w:eastAsia="仿宋" w:cs="宋体"/>
                <w:bCs/>
                <w:color w:val="auto"/>
                <w:sz w:val="18"/>
                <w:szCs w:val="18"/>
                <w:lang w:val="en-US" w:eastAsia="zh-CN"/>
              </w:rPr>
              <w:t>1</w:t>
            </w:r>
            <w:r>
              <w:rPr>
                <w:rFonts w:hint="eastAsia" w:ascii="仿宋" w:hAnsi="仿宋" w:eastAsia="仿宋" w:cs="宋体"/>
                <w:bCs/>
                <w:color w:val="auto"/>
                <w:sz w:val="18"/>
                <w:szCs w:val="18"/>
              </w:rPr>
              <w:t>阳</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利用状况</w:t>
            </w:r>
          </w:p>
        </w:tc>
        <w:tc>
          <w:tcPr>
            <w:tcW w:w="26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平面布置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rPr>
            </w:pPr>
            <w:r>
              <w:rPr>
                <w:rFonts w:hint="eastAsia" w:ascii="仿宋" w:hAnsi="仿宋" w:eastAsia="仿宋" w:cs="宋体"/>
                <w:bCs/>
                <w:color w:val="auto"/>
                <w:sz w:val="18"/>
                <w:szCs w:val="18"/>
                <w:lang w:eastAsia="zh-CN"/>
              </w:rPr>
              <w:t>功能明确，布局合理</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装修档次</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lang w:eastAsia="zh-CN"/>
              </w:rPr>
              <w:t>精装</w:t>
            </w:r>
          </w:p>
        </w:tc>
        <w:tc>
          <w:tcPr>
            <w:tcW w:w="9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rPr>
            </w:pPr>
            <w:r>
              <w:rPr>
                <w:rFonts w:hint="eastAsia" w:ascii="仿宋" w:hAnsi="仿宋" w:eastAsia="仿宋" w:cs="宋体"/>
                <w:bCs/>
                <w:color w:val="auto"/>
                <w:sz w:val="18"/>
                <w:szCs w:val="18"/>
              </w:rPr>
              <w:t>物业类别</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cs="宋体"/>
                <w:bCs/>
                <w:color w:val="auto"/>
                <w:sz w:val="18"/>
                <w:szCs w:val="18"/>
                <w:lang w:val="en-US" w:eastAsia="zh-CN"/>
              </w:rPr>
            </w:pPr>
            <w:r>
              <w:rPr>
                <w:rFonts w:hint="eastAsia" w:ascii="仿宋" w:hAnsi="仿宋" w:eastAsia="仿宋" w:cs="宋体"/>
                <w:bCs/>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rPr>
            </w:pPr>
            <w:r>
              <w:rPr>
                <w:rFonts w:hint="eastAsia" w:ascii="仿宋" w:hAnsi="仿宋" w:eastAsia="仿宋" w:cs="宋体"/>
                <w:bCs/>
                <w:color w:val="auto"/>
                <w:sz w:val="18"/>
                <w:szCs w:val="18"/>
              </w:rPr>
              <w:t>套    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rPr>
              <w:t>成套</w:t>
            </w:r>
            <w:r>
              <w:rPr>
                <w:rFonts w:hint="eastAsia" w:ascii="仿宋" w:hAnsi="仿宋" w:eastAsia="仿宋" w:cs="宋体"/>
                <w:bCs/>
                <w:color w:val="auto"/>
                <w:sz w:val="18"/>
                <w:szCs w:val="18"/>
                <w:lang w:eastAsia="zh-CN"/>
              </w:rPr>
              <w:t>住宅</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通风采光</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较好</w:t>
            </w:r>
          </w:p>
        </w:tc>
        <w:tc>
          <w:tcPr>
            <w:tcW w:w="94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bCs/>
                <w:color w:val="auto"/>
                <w:sz w:val="18"/>
                <w:szCs w:val="18"/>
              </w:rPr>
            </w:pPr>
            <w:r>
              <w:rPr>
                <w:rFonts w:hint="eastAsia" w:ascii="仿宋" w:hAnsi="仿宋" w:eastAsia="仿宋" w:cs="宋体"/>
                <w:bCs/>
                <w:color w:val="auto"/>
                <w:sz w:val="18"/>
                <w:szCs w:val="18"/>
              </w:rPr>
              <w:t>建成年代</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cs="宋体"/>
                <w:bCs/>
                <w:color w:val="auto"/>
                <w:sz w:val="18"/>
                <w:szCs w:val="18"/>
                <w:lang w:val="en-US" w:eastAsia="zh-CN"/>
              </w:rPr>
            </w:pPr>
            <w:r>
              <w:rPr>
                <w:rFonts w:hint="eastAsia" w:ascii="仿宋" w:hAnsi="仿宋" w:eastAsia="仿宋" w:cs="宋体"/>
                <w:bCs/>
                <w:color w:val="auto"/>
                <w:sz w:val="18"/>
                <w:szCs w:val="18"/>
                <w:lang w:val="en-US" w:eastAsia="zh-CN"/>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设备设施</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垂直交通</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宋体"/>
                <w:bCs/>
                <w:color w:val="auto"/>
                <w:sz w:val="18"/>
                <w:szCs w:val="18"/>
                <w:lang w:eastAsia="zh-CN"/>
              </w:rPr>
            </w:pPr>
            <w:r>
              <w:rPr>
                <w:rFonts w:hint="eastAsia" w:ascii="仿宋" w:hAnsi="仿宋" w:eastAsia="仿宋" w:cs="宋体"/>
                <w:bCs/>
                <w:color w:val="auto"/>
                <w:sz w:val="18"/>
                <w:szCs w:val="18"/>
                <w:lang w:eastAsia="zh-CN"/>
              </w:rPr>
              <w:t>步梯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安防系统</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bCs/>
                <w:color w:val="auto"/>
                <w:sz w:val="18"/>
                <w:szCs w:val="18"/>
              </w:rPr>
            </w:pPr>
            <w:r>
              <w:rPr>
                <w:rFonts w:hint="eastAsia" w:ascii="仿宋" w:hAnsi="仿宋" w:eastAsia="仿宋" w:cs="宋体"/>
                <w:bCs/>
                <w:color w:val="auto"/>
                <w:sz w:val="18"/>
                <w:szCs w:val="18"/>
              </w:rPr>
              <w:t>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管    线</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bCs/>
                <w:color w:val="auto"/>
                <w:sz w:val="18"/>
                <w:szCs w:val="18"/>
                <w:lang w:val="eu-ES"/>
              </w:rPr>
            </w:pPr>
            <w:r>
              <w:rPr>
                <w:rFonts w:hint="eastAsia" w:ascii="仿宋" w:hAnsi="仿宋" w:eastAsia="仿宋" w:cs="宋体"/>
                <w:bCs/>
                <w:color w:val="auto"/>
                <w:sz w:val="18"/>
                <w:szCs w:val="18"/>
                <w:lang w:val="eu-ES"/>
              </w:rPr>
              <w:t>室外水电光纤通讯管线</w:t>
            </w:r>
            <w:r>
              <w:rPr>
                <w:rFonts w:hint="eastAsia" w:ascii="仿宋" w:hAnsi="仿宋" w:eastAsia="仿宋" w:cs="宋体"/>
                <w:bCs/>
                <w:color w:val="auto"/>
                <w:sz w:val="18"/>
                <w:szCs w:val="18"/>
                <w:lang w:val="eu-ES" w:eastAsia="zh-CN"/>
              </w:rPr>
              <w:t>明</w:t>
            </w:r>
            <w:r>
              <w:rPr>
                <w:rFonts w:hint="eastAsia" w:ascii="仿宋" w:hAnsi="仿宋" w:eastAsia="仿宋" w:cs="宋体"/>
                <w:bCs/>
                <w:color w:val="auto"/>
                <w:sz w:val="18"/>
                <w:szCs w:val="18"/>
                <w:lang w:val="eu-ES"/>
              </w:rPr>
              <w:t>设；室内水电光纤通讯管线</w:t>
            </w:r>
            <w:r>
              <w:rPr>
                <w:rFonts w:hint="eastAsia" w:ascii="仿宋" w:hAnsi="仿宋" w:eastAsia="仿宋" w:cs="宋体"/>
                <w:bCs/>
                <w:color w:val="auto"/>
                <w:sz w:val="18"/>
                <w:szCs w:val="18"/>
                <w:lang w:val="eu-ES" w:eastAsia="zh-CN"/>
              </w:rPr>
              <w:t>暗</w:t>
            </w:r>
            <w:r>
              <w:rPr>
                <w:rFonts w:hint="eastAsia" w:ascii="仿宋" w:hAnsi="仿宋" w:eastAsia="仿宋" w:cs="宋体"/>
                <w:bCs/>
                <w:color w:val="auto"/>
                <w:sz w:val="18"/>
                <w:szCs w:val="18"/>
                <w:lang w:val="eu-ES"/>
              </w:rPr>
              <w:t>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基础设施</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bCs/>
                <w:color w:val="auto"/>
                <w:sz w:val="18"/>
                <w:szCs w:val="18"/>
              </w:rPr>
            </w:pPr>
            <w:r>
              <w:rPr>
                <w:rFonts w:hint="eastAsia" w:ascii="仿宋" w:hAnsi="仿宋" w:eastAsia="仿宋" w:cs="宋体"/>
                <w:bCs/>
                <w:color w:val="auto"/>
                <w:sz w:val="18"/>
                <w:szCs w:val="18"/>
              </w:rPr>
              <w:t>区域通路、通电、通讯、通气、供水、排水六通，基础设施完善，保证程度高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pacing w:val="-20"/>
                <w:sz w:val="18"/>
                <w:szCs w:val="18"/>
              </w:rPr>
            </w:pPr>
            <w:r>
              <w:rPr>
                <w:rFonts w:hint="eastAsia" w:ascii="仿宋" w:hAnsi="仿宋" w:eastAsia="仿宋" w:cs="宋体"/>
                <w:bCs/>
                <w:color w:val="auto"/>
                <w:spacing w:val="-20"/>
                <w:sz w:val="18"/>
                <w:szCs w:val="18"/>
              </w:rPr>
              <w:t>装修</w:t>
            </w:r>
          </w:p>
          <w:p>
            <w:pPr>
              <w:spacing w:line="320" w:lineRule="exact"/>
              <w:jc w:val="center"/>
              <w:rPr>
                <w:rFonts w:ascii="仿宋" w:hAnsi="仿宋" w:eastAsia="仿宋" w:cs="宋体"/>
                <w:bCs/>
                <w:color w:val="auto"/>
                <w:spacing w:val="-20"/>
                <w:sz w:val="18"/>
                <w:szCs w:val="18"/>
              </w:rPr>
            </w:pPr>
            <w:r>
              <w:rPr>
                <w:rFonts w:hint="eastAsia" w:ascii="仿宋" w:hAnsi="仿宋" w:eastAsia="仿宋" w:cs="宋体"/>
                <w:bCs/>
                <w:color w:val="auto"/>
                <w:spacing w:val="-20"/>
                <w:sz w:val="18"/>
                <w:szCs w:val="18"/>
              </w:rPr>
              <w:t>状况</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外    墙</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lang w:eastAsia="zh-CN"/>
              </w:rPr>
              <w:t>外墙砖</w:t>
            </w:r>
            <w:r>
              <w:rPr>
                <w:rFonts w:hint="eastAsia" w:ascii="仿宋" w:hAnsi="仿宋" w:eastAsia="仿宋" w:cs="宋体"/>
                <w:bCs/>
                <w:color w:val="auto"/>
                <w:sz w:val="18"/>
                <w:szCs w:val="18"/>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公共通道</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rPr>
              <w:t>地面贴砖，墙面抹灰，屋顶</w:t>
            </w:r>
            <w:r>
              <w:rPr>
                <w:rFonts w:hint="eastAsia" w:ascii="仿宋" w:hAnsi="仿宋" w:eastAsia="仿宋" w:cs="宋体"/>
                <w:bCs/>
                <w:color w:val="auto"/>
                <w:sz w:val="18"/>
                <w:szCs w:val="18"/>
                <w:lang w:eastAsia="zh-CN"/>
              </w:rPr>
              <w:t>塑扣吊顶</w:t>
            </w:r>
            <w:r>
              <w:rPr>
                <w:rFonts w:hint="eastAsia" w:ascii="仿宋" w:hAnsi="仿宋" w:eastAsia="仿宋" w:cs="宋体"/>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内    墙</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rPr>
              <w:t>大厅、卧室：</w:t>
            </w:r>
            <w:r>
              <w:rPr>
                <w:rFonts w:hint="eastAsia" w:ascii="仿宋" w:hAnsi="仿宋" w:eastAsia="仿宋" w:cs="宋体"/>
                <w:bCs/>
                <w:color w:val="auto"/>
                <w:sz w:val="18"/>
                <w:szCs w:val="18"/>
                <w:lang w:eastAsia="zh-CN"/>
              </w:rPr>
              <w:t>乳胶漆</w:t>
            </w:r>
            <w:r>
              <w:rPr>
                <w:rFonts w:hint="eastAsia" w:ascii="仿宋" w:hAnsi="仿宋" w:eastAsia="仿宋" w:cs="宋体"/>
                <w:bCs/>
                <w:color w:val="auto"/>
                <w:sz w:val="18"/>
                <w:szCs w:val="18"/>
              </w:rPr>
              <w:t>；卫生间、厨房：墙砖。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屋    顶</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rPr>
              <w:t>大厅、卧室：石</w:t>
            </w:r>
            <w:r>
              <w:rPr>
                <w:rFonts w:hint="eastAsia" w:ascii="仿宋" w:hAnsi="仿宋" w:eastAsia="仿宋" w:cs="宋体"/>
                <w:bCs/>
                <w:color w:val="auto"/>
                <w:sz w:val="18"/>
                <w:szCs w:val="18"/>
                <w:lang w:eastAsia="zh-CN"/>
              </w:rPr>
              <w:t>膏</w:t>
            </w:r>
            <w:r>
              <w:rPr>
                <w:rFonts w:hint="eastAsia" w:ascii="仿宋" w:hAnsi="仿宋" w:eastAsia="仿宋" w:cs="宋体"/>
                <w:bCs/>
                <w:color w:val="auto"/>
                <w:sz w:val="18"/>
                <w:szCs w:val="18"/>
                <w:lang w:val="en-US" w:eastAsia="zh-CN"/>
              </w:rPr>
              <w:t>+木质</w:t>
            </w:r>
            <w:r>
              <w:rPr>
                <w:rFonts w:hint="eastAsia" w:ascii="仿宋" w:hAnsi="仿宋" w:eastAsia="仿宋" w:cs="宋体"/>
                <w:bCs/>
                <w:color w:val="auto"/>
                <w:sz w:val="18"/>
                <w:szCs w:val="18"/>
              </w:rPr>
              <w:t>吊顶；卫生间、厨房：塑扣板。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地    面</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rPr>
              <w:t>卧室：</w:t>
            </w:r>
            <w:r>
              <w:rPr>
                <w:rFonts w:hint="eastAsia" w:ascii="仿宋" w:hAnsi="仿宋" w:eastAsia="仿宋" w:cs="宋体"/>
                <w:bCs/>
                <w:color w:val="auto"/>
                <w:sz w:val="18"/>
                <w:szCs w:val="18"/>
                <w:lang w:eastAsia="zh-CN"/>
              </w:rPr>
              <w:t>地板砖</w:t>
            </w:r>
            <w:r>
              <w:rPr>
                <w:rFonts w:hint="eastAsia" w:ascii="仿宋" w:hAnsi="仿宋" w:eastAsia="仿宋" w:cs="宋体"/>
                <w:bCs/>
                <w:color w:val="auto"/>
                <w:sz w:val="18"/>
                <w:szCs w:val="18"/>
              </w:rPr>
              <w:t>；</w:t>
            </w:r>
            <w:r>
              <w:rPr>
                <w:rFonts w:hint="eastAsia" w:ascii="仿宋" w:hAnsi="仿宋" w:eastAsia="仿宋" w:cs="宋体"/>
                <w:bCs/>
                <w:color w:val="auto"/>
                <w:sz w:val="18"/>
                <w:szCs w:val="18"/>
                <w:lang w:eastAsia="zh-CN"/>
              </w:rPr>
              <w:t>大厅、</w:t>
            </w:r>
            <w:r>
              <w:rPr>
                <w:rFonts w:hint="eastAsia" w:ascii="仿宋" w:hAnsi="仿宋" w:eastAsia="仿宋" w:cs="宋体"/>
                <w:bCs/>
                <w:color w:val="auto"/>
                <w:sz w:val="18"/>
                <w:szCs w:val="18"/>
              </w:rPr>
              <w:t>卫生间、厨房：地砖。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门    窗</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bCs/>
                <w:color w:val="auto"/>
                <w:sz w:val="18"/>
                <w:szCs w:val="18"/>
              </w:rPr>
            </w:pPr>
            <w:r>
              <w:rPr>
                <w:rFonts w:hint="eastAsia" w:ascii="仿宋" w:hAnsi="仿宋" w:eastAsia="仿宋" w:cs="宋体"/>
                <w:bCs/>
                <w:color w:val="auto"/>
                <w:sz w:val="18"/>
                <w:szCs w:val="18"/>
                <w:lang w:val="zh-CN"/>
              </w:rPr>
              <w:t>进户防盗门；卧室：实木门；厨房、卫生间：推拉门；塑钢玻璃窗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auto"/>
                <w:spacing w:val="-20"/>
                <w:sz w:val="18"/>
                <w:szCs w:val="18"/>
              </w:rPr>
            </w:pPr>
            <w:r>
              <w:rPr>
                <w:rFonts w:hint="eastAsia" w:ascii="仿宋" w:hAnsi="仿宋" w:eastAsia="仿宋" w:cs="宋体"/>
                <w:bCs/>
                <w:color w:val="auto"/>
                <w:spacing w:val="-20"/>
                <w:sz w:val="18"/>
                <w:szCs w:val="18"/>
              </w:rPr>
              <w:t>建筑完损情况</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结   构</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color w:val="auto"/>
                <w:sz w:val="18"/>
                <w:szCs w:val="18"/>
              </w:rPr>
            </w:pPr>
            <w:r>
              <w:rPr>
                <w:rFonts w:hint="eastAsia" w:ascii="仿宋" w:hAnsi="仿宋" w:eastAsia="仿宋" w:cs="宋体"/>
                <w:color w:val="auto"/>
                <w:sz w:val="18"/>
                <w:szCs w:val="18"/>
              </w:rPr>
              <w:t>地基无不均匀沉降，墙面无裂缝现象，尚未发现主体结构受损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装饰装修</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color w:val="auto"/>
                <w:sz w:val="18"/>
                <w:szCs w:val="18"/>
              </w:rPr>
            </w:pPr>
            <w:r>
              <w:rPr>
                <w:rFonts w:hint="eastAsia" w:ascii="仿宋" w:hAnsi="仿宋" w:eastAsia="仿宋" w:cs="宋体"/>
                <w:bCs/>
                <w:color w:val="auto"/>
                <w:sz w:val="18"/>
                <w:szCs w:val="18"/>
                <w:lang w:eastAsia="zh-CN"/>
              </w:rPr>
              <w:t>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设   备</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color w:val="auto"/>
                <w:sz w:val="18"/>
                <w:szCs w:val="18"/>
              </w:rPr>
            </w:pPr>
            <w:r>
              <w:rPr>
                <w:rFonts w:hint="eastAsia" w:ascii="仿宋" w:hAnsi="仿宋" w:eastAsia="仿宋" w:cs="宋体"/>
                <w:color w:val="auto"/>
                <w:sz w:val="18"/>
                <w:szCs w:val="18"/>
              </w:rPr>
              <w:t>正常利用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Cs/>
                <w:color w:val="auto"/>
                <w:spacing w:val="-20"/>
                <w:sz w:val="18"/>
                <w:szCs w:val="18"/>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建筑综合成新率</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color w:val="auto"/>
                <w:sz w:val="18"/>
                <w:szCs w:val="18"/>
              </w:rPr>
            </w:pPr>
            <w:r>
              <w:rPr>
                <w:rFonts w:hint="eastAsia" w:ascii="仿宋" w:hAnsi="仿宋" w:eastAsia="仿宋" w:cs="宋体"/>
                <w:color w:val="auto"/>
                <w:sz w:val="18"/>
                <w:szCs w:val="18"/>
              </w:rPr>
              <w:t>综合建筑物的设计使用年限、地基与墙面、主体结构、配套设施设备、维护保养状况等因素，判断建筑物的综合成新率为</w:t>
            </w:r>
            <w:r>
              <w:rPr>
                <w:rFonts w:hint="eastAsia" w:ascii="仿宋" w:hAnsi="仿宋" w:eastAsia="仿宋" w:cs="宋体"/>
                <w:color w:val="auto"/>
                <w:sz w:val="18"/>
                <w:szCs w:val="18"/>
                <w:lang w:val="en-US" w:eastAsia="zh-CN"/>
              </w:rPr>
              <w:t>8</w:t>
            </w:r>
            <w:r>
              <w:rPr>
                <w:rFonts w:hint="eastAsia" w:ascii="仿宋" w:hAnsi="仿宋" w:eastAsia="仿宋" w:cs="宋体"/>
                <w:color w:val="auto"/>
                <w:sz w:val="18"/>
                <w:szCs w:val="18"/>
              </w:rPr>
              <w:t>成新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30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bCs/>
                <w:color w:val="auto"/>
                <w:sz w:val="18"/>
                <w:szCs w:val="18"/>
              </w:rPr>
            </w:pPr>
            <w:r>
              <w:rPr>
                <w:rFonts w:hint="eastAsia" w:ascii="仿宋" w:hAnsi="仿宋" w:eastAsia="仿宋" w:cs="宋体"/>
                <w:bCs/>
                <w:color w:val="auto"/>
                <w:sz w:val="18"/>
                <w:szCs w:val="18"/>
              </w:rPr>
              <w:t>物业管理</w:t>
            </w:r>
          </w:p>
        </w:tc>
        <w:tc>
          <w:tcPr>
            <w:tcW w:w="616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s="宋体"/>
                <w:color w:val="auto"/>
                <w:sz w:val="18"/>
                <w:szCs w:val="18"/>
              </w:rPr>
            </w:pPr>
            <w:r>
              <w:rPr>
                <w:rFonts w:hint="eastAsia" w:ascii="仿宋" w:hAnsi="仿宋" w:eastAsia="仿宋" w:cs="宋体"/>
                <w:color w:val="auto"/>
                <w:sz w:val="18"/>
                <w:szCs w:val="18"/>
              </w:rPr>
              <w:t>专业物业管理公司承管</w:t>
            </w:r>
          </w:p>
        </w:tc>
      </w:tr>
      <w:bookmarkEnd w:id="42"/>
    </w:tbl>
    <w:p>
      <w:pPr>
        <w:spacing w:line="440" w:lineRule="exact"/>
        <w:ind w:firstLine="472" w:firstLineChars="196"/>
        <w:rPr>
          <w:rFonts w:ascii="仿宋" w:hAnsi="仿宋" w:eastAsia="仿宋" w:cs="宋体"/>
          <w:b/>
          <w:color w:val="auto"/>
          <w:kern w:val="0"/>
          <w:sz w:val="24"/>
          <w:szCs w:val="24"/>
        </w:rPr>
      </w:pPr>
      <w:r>
        <w:rPr>
          <w:rFonts w:hint="eastAsia" w:ascii="仿宋" w:hAnsi="仿宋" w:eastAsia="仿宋" w:cs="宋体"/>
          <w:b/>
          <w:color w:val="auto"/>
          <w:sz w:val="24"/>
          <w:szCs w:val="24"/>
        </w:rPr>
        <w:t>(四)估价对象区位状况</w:t>
      </w:r>
    </w:p>
    <w:p>
      <w:pPr>
        <w:spacing w:line="440" w:lineRule="exact"/>
        <w:ind w:firstLine="470" w:firstLineChars="196"/>
        <w:rPr>
          <w:rFonts w:hint="eastAsia" w:ascii="仿宋" w:hAnsi="仿宋" w:eastAsia="仿宋" w:cs="宋体"/>
          <w:color w:val="auto"/>
          <w:sz w:val="24"/>
          <w:szCs w:val="24"/>
          <w:lang w:val="eu-ES"/>
        </w:rPr>
      </w:pP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位于</w:t>
      </w:r>
      <w:r>
        <w:rPr>
          <w:rFonts w:hint="eastAsia" w:ascii="仿宋" w:hAnsi="仿宋" w:eastAsia="仿宋" w:cs="宋体"/>
          <w:color w:val="auto"/>
          <w:sz w:val="24"/>
          <w:szCs w:val="24"/>
          <w:lang w:eastAsia="zh-CN"/>
        </w:rPr>
        <w:t>六盘水市市场路9号附12号</w:t>
      </w:r>
      <w:r>
        <w:rPr>
          <w:rFonts w:hint="eastAsia" w:ascii="仿宋" w:hAnsi="仿宋" w:eastAsia="仿宋" w:cs="宋体"/>
          <w:color w:val="auto"/>
          <w:sz w:val="24"/>
          <w:szCs w:val="24"/>
        </w:rPr>
        <w:t>，根据估价人员实地查勘,估价对象的主要区位状况详见下表：</w:t>
      </w:r>
      <w:bookmarkStart w:id="43" w:name="_Toc320184507"/>
      <w:bookmarkStart w:id="44" w:name="_Toc320276196"/>
      <w:bookmarkStart w:id="45" w:name="_Toc320173777"/>
    </w:p>
    <w:p>
      <w:pPr>
        <w:tabs>
          <w:tab w:val="left" w:pos="430"/>
        </w:tabs>
        <w:spacing w:line="440" w:lineRule="exact"/>
        <w:rPr>
          <w:rFonts w:ascii="仿宋" w:hAnsi="仿宋" w:eastAsia="仿宋" w:cs="宋体"/>
          <w:color w:val="auto"/>
          <w:sz w:val="24"/>
          <w:szCs w:val="24"/>
        </w:rPr>
      </w:pPr>
      <w:r>
        <w:rPr>
          <w:rFonts w:hint="eastAsia" w:ascii="仿宋" w:hAnsi="仿宋" w:eastAsia="仿宋" w:cs="宋体"/>
          <w:color w:val="auto"/>
          <w:szCs w:val="21"/>
        </w:rPr>
        <w:t>表4-6</w:t>
      </w:r>
      <w:r>
        <w:rPr>
          <w:rFonts w:hint="eastAsia" w:ascii="仿宋" w:hAnsi="仿宋" w:eastAsia="仿宋" w:cs="宋体"/>
          <w:color w:val="auto"/>
          <w:sz w:val="24"/>
          <w:szCs w:val="24"/>
        </w:rPr>
        <w:t xml:space="preserve">                    </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区位状况一览表</w:t>
      </w:r>
    </w:p>
    <w:bookmarkEnd w:id="43"/>
    <w:bookmarkEnd w:id="44"/>
    <w:bookmarkEnd w:id="45"/>
    <w:tbl>
      <w:tblPr>
        <w:tblStyle w:val="45"/>
        <w:tblW w:w="9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647"/>
        <w:gridCol w:w="7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exact"/>
          <w:jc w:val="center"/>
        </w:trPr>
        <w:tc>
          <w:tcPr>
            <w:tcW w:w="768" w:type="dxa"/>
            <w:vMerge w:val="restart"/>
            <w:vAlign w:val="center"/>
          </w:tcPr>
          <w:p>
            <w:pPr>
              <w:spacing w:line="240" w:lineRule="atLeast"/>
              <w:jc w:val="center"/>
              <w:rPr>
                <w:rFonts w:ascii="仿宋" w:hAnsi="仿宋" w:eastAsia="仿宋" w:cs="仿宋"/>
                <w:color w:val="auto"/>
                <w:kern w:val="0"/>
                <w:sz w:val="18"/>
                <w:szCs w:val="18"/>
              </w:rPr>
            </w:pPr>
            <w:bookmarkStart w:id="46" w:name="_Toc320276197"/>
            <w:bookmarkStart w:id="47" w:name="_Toc320173778"/>
            <w:bookmarkStart w:id="48" w:name="_Toc320184508"/>
            <w:bookmarkStart w:id="49" w:name="_Toc444180884"/>
            <w:r>
              <w:rPr>
                <w:rFonts w:hint="eastAsia" w:ascii="仿宋" w:hAnsi="仿宋" w:eastAsia="仿宋" w:cs="仿宋"/>
                <w:color w:val="auto"/>
                <w:kern w:val="0"/>
                <w:sz w:val="18"/>
                <w:szCs w:val="18"/>
              </w:rPr>
              <w:t>位置</w:t>
            </w:r>
          </w:p>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状况</w:t>
            </w: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坐   落</w:t>
            </w:r>
          </w:p>
        </w:tc>
        <w:tc>
          <w:tcPr>
            <w:tcW w:w="7041" w:type="dxa"/>
            <w:vAlign w:val="center"/>
          </w:tcPr>
          <w:p>
            <w:pPr>
              <w:spacing w:line="240" w:lineRule="atLeas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六盘水市市场路9号附12号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方   位</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位于</w:t>
            </w:r>
            <w:r>
              <w:rPr>
                <w:rFonts w:hint="eastAsia" w:ascii="仿宋" w:hAnsi="仿宋" w:eastAsia="仿宋" w:cs="仿宋"/>
                <w:color w:val="auto"/>
                <w:kern w:val="0"/>
                <w:sz w:val="18"/>
                <w:szCs w:val="18"/>
                <w:lang w:eastAsia="zh-CN"/>
              </w:rPr>
              <w:t>六盘水市北面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距市中心</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距离市中心约</w:t>
            </w:r>
            <w:r>
              <w:rPr>
                <w:rFonts w:hint="eastAsia" w:ascii="仿宋" w:hAnsi="仿宋" w:eastAsia="仿宋" w:cs="仿宋"/>
                <w:color w:val="auto"/>
                <w:kern w:val="0"/>
                <w:sz w:val="18"/>
                <w:szCs w:val="18"/>
                <w:lang w:val="en-US" w:eastAsia="zh-CN"/>
              </w:rPr>
              <w:t>3</w:t>
            </w:r>
            <w:r>
              <w:rPr>
                <w:rFonts w:hint="eastAsia" w:ascii="仿宋" w:hAnsi="仿宋" w:eastAsia="仿宋" w:cs="仿宋"/>
                <w:color w:val="auto"/>
                <w:kern w:val="0"/>
                <w:sz w:val="18"/>
                <w:szCs w:val="18"/>
              </w:rPr>
              <w:t>公里内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距政务中心</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距六盘水市人民政府约3.5公里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土地级别</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临街状况</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lang w:eastAsia="zh-CN"/>
              </w:rPr>
              <w:t>一面临街，临市场路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城市规划</w:t>
            </w:r>
          </w:p>
        </w:tc>
        <w:tc>
          <w:tcPr>
            <w:tcW w:w="7041" w:type="dxa"/>
            <w:vAlign w:val="center"/>
          </w:tcPr>
          <w:p>
            <w:pPr>
              <w:spacing w:line="240" w:lineRule="atLeas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楼幢、楼层</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lang w:val="en-US" w:eastAsia="zh-CN"/>
              </w:rPr>
              <w:t>市场路9号附12号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exac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朝    向</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lang w:eastAsia="zh-CN"/>
              </w:rPr>
              <w:t>西南</w:t>
            </w:r>
            <w:r>
              <w:rPr>
                <w:rFonts w:hint="eastAsia" w:ascii="仿宋" w:hAnsi="仿宋" w:eastAsia="仿宋" w:cs="仿宋"/>
                <w:color w:val="auto"/>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exact"/>
          <w:jc w:val="center"/>
        </w:trPr>
        <w:tc>
          <w:tcPr>
            <w:tcW w:w="768" w:type="dxa"/>
            <w:vMerge w:val="restart"/>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交通</w:t>
            </w:r>
          </w:p>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状况</w:t>
            </w: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道路状况</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lang w:eastAsia="zh-CN"/>
              </w:rPr>
              <w:t>所在区域以钟山中路为主干道，与市场路，天龙路，人民路等支路组成道路网，</w:t>
            </w:r>
            <w:r>
              <w:rPr>
                <w:rFonts w:hint="eastAsia" w:ascii="仿宋" w:hAnsi="仿宋" w:eastAsia="仿宋" w:cs="仿宋"/>
                <w:color w:val="auto"/>
                <w:kern w:val="0"/>
                <w:sz w:val="18"/>
                <w:szCs w:val="18"/>
              </w:rPr>
              <w:t>道路</w:t>
            </w:r>
            <w:r>
              <w:rPr>
                <w:rFonts w:hint="eastAsia" w:ascii="仿宋" w:hAnsi="仿宋" w:eastAsia="仿宋" w:cs="仿宋"/>
                <w:color w:val="auto"/>
                <w:kern w:val="0"/>
                <w:sz w:val="18"/>
                <w:szCs w:val="18"/>
                <w:lang w:eastAsia="zh-CN"/>
              </w:rPr>
              <w:t>通达度</w:t>
            </w:r>
            <w:r>
              <w:rPr>
                <w:rFonts w:hint="eastAsia" w:ascii="仿宋" w:hAnsi="仿宋" w:eastAsia="仿宋" w:cs="仿宋"/>
                <w:color w:val="auto"/>
                <w:kern w:val="0"/>
                <w:sz w:val="18"/>
                <w:szCs w:val="18"/>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公共交通</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公交线路</w:t>
            </w:r>
            <w:r>
              <w:rPr>
                <w:rFonts w:hint="eastAsia" w:ascii="仿宋" w:hAnsi="仿宋" w:eastAsia="仿宋" w:cs="仿宋"/>
                <w:color w:val="auto"/>
                <w:kern w:val="0"/>
                <w:sz w:val="18"/>
                <w:szCs w:val="18"/>
                <w:lang w:val="en-US" w:eastAsia="zh-CN"/>
              </w:rPr>
              <w:t>1、4、9、16</w:t>
            </w:r>
            <w:r>
              <w:rPr>
                <w:rFonts w:hint="eastAsia" w:ascii="仿宋" w:hAnsi="仿宋" w:eastAsia="仿宋" w:cs="仿宋"/>
                <w:color w:val="auto"/>
                <w:kern w:val="0"/>
                <w:sz w:val="18"/>
                <w:szCs w:val="18"/>
              </w:rPr>
              <w:t>路等公交车经过，交通便捷。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距客运站</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距南客运站约7.7公里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shd w:val="clear" w:color="auto" w:fill="auto"/>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距高速路出入口</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交通管制</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停车便利度</w:t>
            </w:r>
          </w:p>
        </w:tc>
        <w:tc>
          <w:tcPr>
            <w:tcW w:w="7041" w:type="dxa"/>
            <w:vAlign w:val="center"/>
          </w:tcPr>
          <w:p>
            <w:pPr>
              <w:spacing w:line="240" w:lineRule="atLeas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68" w:type="dxa"/>
            <w:vMerge w:val="restart"/>
            <w:vAlign w:val="center"/>
          </w:tcPr>
          <w:p>
            <w:pPr>
              <w:spacing w:line="240" w:lineRule="atLeas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环境</w:t>
            </w:r>
          </w:p>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状况</w:t>
            </w: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自然环境</w:t>
            </w:r>
          </w:p>
        </w:tc>
        <w:tc>
          <w:tcPr>
            <w:tcW w:w="7041" w:type="dxa"/>
            <w:vAlign w:val="center"/>
          </w:tcPr>
          <w:p>
            <w:pPr>
              <w:spacing w:line="240" w:lineRule="atLeas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人文环境</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highlight w:val="no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噪音治安</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区域内主要噪音为汽车噪音，治安较好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68" w:type="dxa"/>
            <w:vMerge w:val="continue"/>
            <w:vAlign w:val="center"/>
          </w:tcPr>
          <w:p>
            <w:pPr>
              <w:spacing w:line="240" w:lineRule="atLeast"/>
              <w:jc w:val="center"/>
              <w:rPr>
                <w:rFonts w:ascii="仿宋" w:hAnsi="仿宋" w:eastAsia="仿宋" w:cs="仿宋"/>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空气质量</w:t>
            </w:r>
          </w:p>
        </w:tc>
        <w:tc>
          <w:tcPr>
            <w:tcW w:w="7041" w:type="dxa"/>
            <w:vAlign w:val="center"/>
          </w:tcPr>
          <w:p>
            <w:pPr>
              <w:spacing w:line="240" w:lineRule="atLeas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68" w:type="dxa"/>
            <w:vMerge w:val="restart"/>
            <w:vAlign w:val="center"/>
          </w:tcPr>
          <w:p>
            <w:pPr>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外部配套设施</w:t>
            </w: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基础设施</w:t>
            </w:r>
          </w:p>
        </w:tc>
        <w:tc>
          <w:tcPr>
            <w:tcW w:w="7041" w:type="dxa"/>
            <w:vAlign w:val="center"/>
          </w:tcPr>
          <w:p>
            <w:pPr>
              <w:spacing w:line="240" w:lineRule="atLeast"/>
              <w:rPr>
                <w:rFonts w:ascii="仿宋" w:hAnsi="仿宋" w:eastAsia="仿宋" w:cs="仿宋"/>
                <w:color w:val="auto"/>
                <w:kern w:val="0"/>
                <w:sz w:val="18"/>
                <w:szCs w:val="18"/>
              </w:rPr>
            </w:pPr>
            <w:r>
              <w:rPr>
                <w:rFonts w:hint="eastAsia" w:ascii="仿宋" w:hAnsi="仿宋" w:eastAsia="仿宋" w:cs="仿宋"/>
                <w:color w:val="auto"/>
                <w:kern w:val="0"/>
                <w:sz w:val="18"/>
                <w:szCs w:val="18"/>
              </w:rPr>
              <w:t>区域通路、通电、通讯、通气、供水、排水六通，基础设施较完善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68" w:type="dxa"/>
            <w:vMerge w:val="continue"/>
            <w:vAlign w:val="center"/>
          </w:tcPr>
          <w:p>
            <w:pPr>
              <w:spacing w:line="240" w:lineRule="atLeast"/>
              <w:jc w:val="center"/>
              <w:rPr>
                <w:rFonts w:ascii="仿宋" w:hAnsi="仿宋" w:eastAsia="仿宋" w:cs="仿宋"/>
                <w:b/>
                <w:color w:val="auto"/>
                <w:kern w:val="0"/>
                <w:sz w:val="18"/>
                <w:szCs w:val="18"/>
              </w:rPr>
            </w:pPr>
          </w:p>
        </w:tc>
        <w:tc>
          <w:tcPr>
            <w:tcW w:w="1647" w:type="dxa"/>
            <w:vAlign w:val="center"/>
          </w:tcPr>
          <w:p>
            <w:pPr>
              <w:spacing w:line="240" w:lineRule="atLeas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公共服务设施</w:t>
            </w:r>
          </w:p>
        </w:tc>
        <w:tc>
          <w:tcPr>
            <w:tcW w:w="7041" w:type="dxa"/>
            <w:vAlign w:val="center"/>
          </w:tcPr>
          <w:p>
            <w:pPr>
              <w:spacing w:line="240" w:lineRule="atLeas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区域内</w:t>
            </w:r>
            <w:r>
              <w:rPr>
                <w:rFonts w:hint="eastAsia" w:ascii="仿宋" w:hAnsi="仿宋" w:eastAsia="仿宋" w:cs="仿宋"/>
                <w:color w:val="auto"/>
                <w:kern w:val="0"/>
                <w:sz w:val="18"/>
                <w:szCs w:val="18"/>
                <w:lang w:eastAsia="zh-CN"/>
              </w:rPr>
              <w:t>有六盘水市民族中学、沃尔玛、凉都妇产医院、金蓝子农贸市场、明鑫酒店等公共配套设施</w:t>
            </w:r>
            <w:r>
              <w:rPr>
                <w:rFonts w:hint="eastAsia" w:ascii="仿宋" w:hAnsi="仿宋" w:eastAsia="仿宋" w:cs="仿宋"/>
                <w:color w:val="auto"/>
                <w:kern w:val="0"/>
                <w:sz w:val="18"/>
                <w:szCs w:val="18"/>
              </w:rPr>
              <w:t>，公共配套</w:t>
            </w:r>
            <w:r>
              <w:rPr>
                <w:rFonts w:hint="eastAsia" w:ascii="仿宋" w:hAnsi="仿宋" w:eastAsia="仿宋" w:cs="仿宋"/>
                <w:color w:val="auto"/>
                <w:kern w:val="0"/>
                <w:sz w:val="18"/>
                <w:szCs w:val="18"/>
                <w:lang w:eastAsia="zh-CN"/>
              </w:rPr>
              <w:t>较</w:t>
            </w:r>
            <w:r>
              <w:rPr>
                <w:rFonts w:hint="eastAsia" w:ascii="仿宋" w:hAnsi="仿宋" w:eastAsia="仿宋" w:cs="仿宋"/>
                <w:color w:val="auto"/>
                <w:kern w:val="0"/>
                <w:sz w:val="18"/>
                <w:szCs w:val="18"/>
              </w:rPr>
              <w:t>完善</w:t>
            </w:r>
            <w:r>
              <w:rPr>
                <w:rFonts w:hint="eastAsia" w:ascii="仿宋" w:hAnsi="仿宋" w:eastAsia="仿宋" w:cs="仿宋"/>
                <w:color w:val="auto"/>
                <w:kern w:val="0"/>
                <w:sz w:val="18"/>
                <w:szCs w:val="18"/>
                <w:lang w:eastAsia="zh-CN"/>
              </w:rPr>
              <w:t>。</w:t>
            </w:r>
          </w:p>
        </w:tc>
      </w:tr>
    </w:tbl>
    <w:p>
      <w:pPr>
        <w:pStyle w:val="4"/>
        <w:spacing w:before="0" w:after="0" w:line="460" w:lineRule="exact"/>
        <w:rPr>
          <w:rFonts w:ascii="仿宋" w:hAnsi="仿宋" w:eastAsia="仿宋" w:cs="仿宋"/>
          <w:color w:val="auto"/>
          <w:sz w:val="24"/>
          <w:szCs w:val="24"/>
        </w:rPr>
      </w:pPr>
      <w:bookmarkStart w:id="50" w:name="_Toc4423"/>
      <w:r>
        <w:rPr>
          <w:rFonts w:hint="eastAsia" w:ascii="仿宋" w:hAnsi="仿宋" w:eastAsia="仿宋" w:cs="仿宋"/>
          <w:color w:val="auto"/>
          <w:sz w:val="24"/>
          <w:szCs w:val="24"/>
        </w:rPr>
        <w:t>五、</w:t>
      </w:r>
      <w:bookmarkEnd w:id="46"/>
      <w:bookmarkEnd w:id="47"/>
      <w:bookmarkEnd w:id="48"/>
      <w:r>
        <w:rPr>
          <w:rFonts w:hint="eastAsia" w:ascii="仿宋" w:hAnsi="仿宋" w:eastAsia="仿宋" w:cs="仿宋"/>
          <w:color w:val="auto"/>
          <w:sz w:val="24"/>
          <w:szCs w:val="24"/>
        </w:rPr>
        <w:t>价值时点</w:t>
      </w:r>
      <w:bookmarkEnd w:id="49"/>
      <w:bookmarkEnd w:id="50"/>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本次估价的价值时点为</w:t>
      </w:r>
      <w:r>
        <w:rPr>
          <w:rFonts w:hint="eastAsia" w:ascii="仿宋" w:hAnsi="仿宋" w:eastAsia="仿宋" w:cs="宋体"/>
          <w:color w:val="auto"/>
          <w:sz w:val="24"/>
          <w:szCs w:val="24"/>
          <w:lang w:eastAsia="zh-CN"/>
        </w:rPr>
        <w:t>现场勘查日</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2019年10月29日</w:t>
      </w:r>
      <w:r>
        <w:rPr>
          <w:rFonts w:hint="eastAsia" w:ascii="仿宋" w:hAnsi="仿宋" w:eastAsia="仿宋" w:cs="宋体"/>
          <w:color w:val="auto"/>
          <w:sz w:val="24"/>
          <w:szCs w:val="24"/>
        </w:rPr>
        <w:t>。</w:t>
      </w:r>
    </w:p>
    <w:p>
      <w:pPr>
        <w:pStyle w:val="4"/>
        <w:spacing w:before="0" w:after="0" w:line="460" w:lineRule="exact"/>
        <w:rPr>
          <w:rFonts w:ascii="仿宋" w:hAnsi="仿宋" w:eastAsia="仿宋" w:cs="仿宋"/>
          <w:color w:val="auto"/>
          <w:sz w:val="24"/>
          <w:szCs w:val="24"/>
        </w:rPr>
      </w:pPr>
      <w:bookmarkStart w:id="51" w:name="_Toc444180885"/>
      <w:bookmarkStart w:id="52" w:name="_Toc3033"/>
      <w:bookmarkStart w:id="53" w:name="_Toc320276199"/>
      <w:bookmarkStart w:id="54" w:name="_Toc320184510"/>
      <w:bookmarkStart w:id="55" w:name="_Toc320173780"/>
      <w:bookmarkStart w:id="56" w:name="_Toc320184513"/>
      <w:bookmarkStart w:id="57" w:name="_Toc320173783"/>
      <w:bookmarkStart w:id="58" w:name="_Toc320276202"/>
      <w:r>
        <w:rPr>
          <w:rFonts w:hint="eastAsia" w:ascii="仿宋" w:hAnsi="仿宋" w:eastAsia="仿宋" w:cs="仿宋"/>
          <w:color w:val="auto"/>
          <w:sz w:val="24"/>
          <w:szCs w:val="24"/>
        </w:rPr>
        <w:t>六、价值类型</w:t>
      </w:r>
      <w:bookmarkEnd w:id="51"/>
      <w:bookmarkEnd w:id="52"/>
    </w:p>
    <w:p>
      <w:pPr>
        <w:adjustRightInd w:val="0"/>
        <w:spacing w:line="440" w:lineRule="exact"/>
        <w:ind w:firstLine="480" w:firstLineChars="200"/>
        <w:rPr>
          <w:rFonts w:ascii="仿宋" w:hAnsi="仿宋" w:eastAsia="仿宋" w:cs="宋体"/>
          <w:color w:val="auto"/>
          <w:sz w:val="24"/>
          <w:szCs w:val="24"/>
        </w:rPr>
      </w:pPr>
      <w:bookmarkStart w:id="59" w:name="_Toc444180886"/>
      <w:bookmarkStart w:id="60" w:name="_Toc320173781"/>
      <w:bookmarkStart w:id="61" w:name="_Toc320276200"/>
      <w:bookmarkStart w:id="62" w:name="_Toc320184511"/>
      <w:r>
        <w:rPr>
          <w:rFonts w:hint="eastAsia" w:ascii="仿宋" w:hAnsi="仿宋" w:eastAsia="仿宋" w:cs="宋体"/>
          <w:color w:val="auto"/>
          <w:sz w:val="24"/>
          <w:szCs w:val="24"/>
        </w:rPr>
        <w:t>（一)价值标准：市场价值，不考虑房地产拍卖（变卖）成交后的税费及税费的转移负担。</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（二）价值内涵：本报告价值内涵为满足本估价报告“估价假设与限制条件”，遵循客观、独立、公开、合法原则，以</w:t>
      </w:r>
      <w:r>
        <w:rPr>
          <w:rFonts w:hint="eastAsia" w:ascii="仿宋" w:hAnsi="仿宋" w:eastAsia="仿宋" w:cs="宋体"/>
          <w:color w:val="auto"/>
          <w:sz w:val="24"/>
          <w:szCs w:val="24"/>
          <w:lang w:eastAsia="zh-CN"/>
        </w:rPr>
        <w:t>证载住宅</w:t>
      </w:r>
      <w:r>
        <w:rPr>
          <w:rFonts w:hint="eastAsia" w:ascii="仿宋" w:hAnsi="仿宋" w:eastAsia="仿宋" w:cs="宋体"/>
          <w:color w:val="auto"/>
          <w:sz w:val="24"/>
          <w:szCs w:val="24"/>
        </w:rPr>
        <w:t>用途，在价值时点</w:t>
      </w:r>
      <w:r>
        <w:rPr>
          <w:rFonts w:hint="eastAsia" w:ascii="仿宋" w:hAnsi="仿宋" w:eastAsia="仿宋" w:cs="宋体"/>
          <w:color w:val="auto"/>
          <w:sz w:val="24"/>
          <w:szCs w:val="24"/>
          <w:lang w:eastAsia="zh-CN"/>
        </w:rPr>
        <w:t>2019年10月29日</w:t>
      </w:r>
      <w:r>
        <w:rPr>
          <w:rFonts w:hint="eastAsia" w:ascii="仿宋" w:hAnsi="仿宋" w:eastAsia="仿宋" w:cs="宋体"/>
          <w:color w:val="auto"/>
          <w:sz w:val="24"/>
          <w:szCs w:val="24"/>
        </w:rPr>
        <w:t>于现状条件下的市场价值，该价值内涵还包括：</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1、列入本次估价范围的是</w:t>
      </w:r>
      <w:r>
        <w:rPr>
          <w:rFonts w:hint="eastAsia" w:ascii="仿宋" w:hAnsi="仿宋" w:eastAsia="仿宋" w:cs="宋体"/>
          <w:color w:val="auto"/>
          <w:sz w:val="24"/>
          <w:szCs w:val="24"/>
          <w:lang w:eastAsia="zh-CN"/>
        </w:rPr>
        <w:t>房屋</w:t>
      </w:r>
      <w:r>
        <w:rPr>
          <w:rFonts w:hint="eastAsia" w:ascii="仿宋" w:hAnsi="仿宋" w:eastAsia="仿宋" w:cs="宋体"/>
          <w:color w:val="auto"/>
          <w:sz w:val="24"/>
          <w:szCs w:val="24"/>
        </w:rPr>
        <w:t>、分摊相应土地使用权和必要的设备设施</w:t>
      </w:r>
      <w:r>
        <w:rPr>
          <w:rFonts w:hint="eastAsia" w:ascii="仿宋" w:hAnsi="仿宋" w:eastAsia="仿宋" w:cs="宋体"/>
          <w:color w:val="auto"/>
          <w:sz w:val="24"/>
          <w:szCs w:val="24"/>
          <w:lang w:eastAsia="zh-CN"/>
        </w:rPr>
        <w:t>以及按二手房交易市场通常应当包含的</w:t>
      </w:r>
      <w:r>
        <w:rPr>
          <w:rFonts w:hint="eastAsia" w:ascii="仿宋" w:hAnsi="仿宋" w:eastAsia="仿宋" w:cs="宋体"/>
          <w:color w:val="auto"/>
          <w:sz w:val="24"/>
          <w:szCs w:val="24"/>
        </w:rPr>
        <w:t>装饰装修</w:t>
      </w:r>
      <w:r>
        <w:rPr>
          <w:rFonts w:hint="eastAsia" w:ascii="仿宋" w:hAnsi="仿宋" w:eastAsia="仿宋" w:cs="宋体"/>
          <w:color w:val="auto"/>
          <w:sz w:val="24"/>
          <w:szCs w:val="24"/>
          <w:lang w:eastAsia="zh-CN"/>
        </w:rPr>
        <w:t>价值</w:t>
      </w:r>
      <w:r>
        <w:rPr>
          <w:rFonts w:hint="eastAsia" w:ascii="仿宋" w:hAnsi="仿宋" w:eastAsia="仿宋" w:cs="宋体"/>
          <w:color w:val="auto"/>
          <w:sz w:val="24"/>
          <w:szCs w:val="24"/>
        </w:rPr>
        <w:t>，不包括动产、构筑物、树木等，以及债权债务、特许经营权等其他财产或权益。</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2、本次估价未考虑查封、抵押、租赁等权利限制、未来市场价值变化风险、特殊交易方式、不可抗力、短期强制处分等因素影响。</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3、币种：人民币。</w:t>
      </w:r>
    </w:p>
    <w:p>
      <w:pPr>
        <w:pStyle w:val="4"/>
        <w:spacing w:before="0" w:after="0" w:line="460" w:lineRule="exact"/>
        <w:rPr>
          <w:rFonts w:ascii="仿宋" w:hAnsi="仿宋" w:eastAsia="仿宋" w:cs="仿宋"/>
          <w:color w:val="auto"/>
          <w:sz w:val="24"/>
          <w:szCs w:val="24"/>
        </w:rPr>
      </w:pPr>
      <w:bookmarkStart w:id="63" w:name="_Toc6320"/>
      <w:r>
        <w:rPr>
          <w:rFonts w:hint="eastAsia" w:ascii="仿宋" w:hAnsi="仿宋" w:eastAsia="仿宋" w:cs="仿宋"/>
          <w:color w:val="auto"/>
          <w:sz w:val="24"/>
          <w:szCs w:val="24"/>
        </w:rPr>
        <w:t>七、估价原则</w:t>
      </w:r>
      <w:bookmarkEnd w:id="59"/>
      <w:bookmarkEnd w:id="60"/>
      <w:bookmarkEnd w:id="61"/>
      <w:bookmarkEnd w:id="62"/>
      <w:bookmarkEnd w:id="63"/>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1、独立、客观、公正原则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2、合法原则</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估价结果应是依法判定的估价对象状况下的价值或价格。依据是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登记薄、土地登记薄）、权属证书、有关批文和合同等（如规划意见书、国有建设用地使用出让招标文件、国有建设用地使用权出让合同、房地产转让合同、</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租赁合同等）；本次估价</w:t>
      </w:r>
      <w:r>
        <w:rPr>
          <w:rFonts w:hint="eastAsia" w:ascii="仿宋" w:hAnsi="仿宋" w:eastAsia="仿宋" w:cs="宋体"/>
          <w:color w:val="auto"/>
          <w:sz w:val="24"/>
          <w:szCs w:val="24"/>
          <w:lang w:eastAsia="zh-CN"/>
        </w:rPr>
        <w:t>委托人提供的</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》记载</w:t>
      </w:r>
      <w:r>
        <w:rPr>
          <w:rFonts w:hint="eastAsia" w:ascii="仿宋" w:hAnsi="仿宋" w:eastAsia="仿宋" w:cs="宋体"/>
          <w:color w:val="auto"/>
          <w:sz w:val="24"/>
          <w:szCs w:val="24"/>
          <w:lang w:eastAsia="zh-CN"/>
        </w:rPr>
        <w:t>房屋用途为住宅，本次估价按照证载住宅用途进行</w:t>
      </w:r>
      <w:r>
        <w:rPr>
          <w:rFonts w:hint="eastAsia" w:ascii="仿宋" w:hAnsi="仿宋" w:eastAsia="仿宋" w:cs="宋体"/>
          <w:color w:val="auto"/>
          <w:sz w:val="24"/>
          <w:szCs w:val="24"/>
        </w:rPr>
        <w:t>估价。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3、价值时点原则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pPr>
        <w:adjustRightInd w:val="0"/>
        <w:spacing w:line="440" w:lineRule="exact"/>
        <w:ind w:firstLine="480" w:firstLineChars="200"/>
        <w:rPr>
          <w:rFonts w:ascii="仿宋" w:hAnsi="仿宋" w:eastAsia="仿宋" w:cs="宋体"/>
          <w:color w:val="auto"/>
          <w:sz w:val="24"/>
          <w:szCs w:val="24"/>
        </w:rPr>
      </w:pPr>
      <w:bookmarkStart w:id="64" w:name="_Toc444180887"/>
      <w:r>
        <w:rPr>
          <w:rFonts w:hint="eastAsia" w:ascii="仿宋" w:hAnsi="仿宋" w:eastAsia="仿宋" w:cs="宋体"/>
          <w:color w:val="auto"/>
          <w:sz w:val="24"/>
          <w:szCs w:val="24"/>
        </w:rPr>
        <w:t>4、替代原则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本次估价选用的比较法就是替代原则的具体体现。</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5、最高最佳利用原则</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证载用途为最高最佳利用。</w:t>
      </w:r>
    </w:p>
    <w:p>
      <w:pPr>
        <w:pStyle w:val="4"/>
        <w:spacing w:before="0" w:after="0" w:line="460" w:lineRule="exact"/>
        <w:rPr>
          <w:rFonts w:ascii="仿宋" w:hAnsi="仿宋" w:eastAsia="仿宋" w:cs="仿宋"/>
          <w:color w:val="auto"/>
          <w:sz w:val="24"/>
          <w:szCs w:val="24"/>
        </w:rPr>
      </w:pPr>
      <w:bookmarkStart w:id="65" w:name="_Toc30133"/>
      <w:r>
        <w:rPr>
          <w:rFonts w:hint="eastAsia" w:ascii="仿宋" w:hAnsi="仿宋" w:eastAsia="仿宋" w:cs="仿宋"/>
          <w:color w:val="auto"/>
          <w:sz w:val="24"/>
          <w:szCs w:val="24"/>
        </w:rPr>
        <w:t>八、估价依据</w:t>
      </w:r>
      <w:bookmarkEnd w:id="53"/>
      <w:bookmarkEnd w:id="54"/>
      <w:bookmarkEnd w:id="55"/>
      <w:bookmarkEnd w:id="64"/>
      <w:bookmarkEnd w:id="65"/>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1、本次估价主要依据的法律、法规和政策性文件</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（1）《中华人民共和国物权法》；</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（2）《中华人民共和国城市房地产管理法》；</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（3）《中华人民共和国拍卖法》；</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（4）《中华人民共和国资产评估法》；</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（5）《城市房地产转让管理规定》（建设部令第96号）等相关法律法规；</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（6）《</w:t>
      </w:r>
      <w:r>
        <w:rPr>
          <w:rFonts w:hint="eastAsia" w:ascii="仿宋" w:hAnsi="仿宋" w:eastAsia="仿宋" w:cs="宋体"/>
          <w:color w:val="auto"/>
          <w:sz w:val="24"/>
          <w:szCs w:val="24"/>
          <w:lang w:eastAsia="zh-CN"/>
        </w:rPr>
        <w:t>司法鉴定</w:t>
      </w:r>
      <w:r>
        <w:rPr>
          <w:rFonts w:hint="eastAsia" w:ascii="仿宋" w:hAnsi="仿宋" w:eastAsia="仿宋" w:cs="宋体"/>
          <w:color w:val="auto"/>
          <w:sz w:val="24"/>
          <w:szCs w:val="24"/>
        </w:rPr>
        <w:t>程序通则》(司法部令</w:t>
      </w:r>
      <w:r>
        <w:rPr>
          <w:rFonts w:hint="eastAsia" w:ascii="仿宋" w:hAnsi="仿宋" w:eastAsia="仿宋" w:cs="宋体"/>
          <w:color w:val="auto"/>
          <w:sz w:val="24"/>
          <w:szCs w:val="24"/>
          <w:lang w:eastAsia="zh-CN"/>
        </w:rPr>
        <w:t xml:space="preserve"> 第139号</w:t>
      </w:r>
      <w:r>
        <w:rPr>
          <w:rFonts w:hint="eastAsia" w:ascii="仿宋" w:hAnsi="仿宋" w:eastAsia="仿宋" w:cs="宋体"/>
          <w:color w:val="auto"/>
          <w:sz w:val="24"/>
          <w:szCs w:val="24"/>
        </w:rPr>
        <w:t>）；</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（7）《最高人民法院关于人民法院委托评估拍卖工作的若干规定》（法释〔2011〕21号）；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（8）《最高人民法院关于人民法院网络司法拍卖若干问题的规定》（法释〔2016〕18号）；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（9）《最高人民法院关于人民法院民事执行中拍卖变卖财产的规定》（法释〔2004〕16号）；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（10）《最高人民法院关于人民法院委托评估、拍卖和变卖工作的若干规定》（法释〔</w:t>
      </w:r>
      <w:r>
        <w:rPr>
          <w:rFonts w:hint="eastAsia" w:ascii="仿宋" w:hAnsi="仿宋" w:eastAsia="仿宋" w:cs="宋体"/>
          <w:color w:val="auto"/>
          <w:sz w:val="24"/>
          <w:szCs w:val="24"/>
          <w:lang w:eastAsia="zh-CN"/>
        </w:rPr>
        <w:t>2012</w:t>
      </w:r>
      <w:r>
        <w:rPr>
          <w:rFonts w:hint="eastAsia" w:ascii="仿宋" w:hAnsi="仿宋" w:eastAsia="仿宋" w:cs="宋体"/>
          <w:color w:val="auto"/>
          <w:sz w:val="24"/>
          <w:szCs w:val="24"/>
        </w:rPr>
        <w:t>〕16号）；</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（11）《城镇国有土地出让和转让暂行条例》中华人民共和国国务院令第55号(1990)。</w:t>
      </w:r>
    </w:p>
    <w:p>
      <w:pPr>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rPr>
        <w:t>12、《最高人民法院关于人民法院确定财产处置参考价若干问题的规定》（法释〔2018〕15号）</w:t>
      </w:r>
      <w:r>
        <w:rPr>
          <w:rFonts w:hint="eastAsia" w:ascii="仿宋" w:hAnsi="仿宋" w:eastAsia="仿宋" w:cs="宋体"/>
          <w:sz w:val="24"/>
          <w:szCs w:val="24"/>
          <w:lang w:eastAsia="zh-CN"/>
        </w:rPr>
        <w:t>。</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2、本次估价主要依据的估价技术标准</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（1）《房地产估价规范》（GB/T50291-2015）；</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（2）《房地产估价基本术语标准》（GB/T50899-2013）；</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）《贵州省涉案财物价格鉴定操作规程》（试行）。</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3、估价委托人提供的估价所需资料</w:t>
      </w:r>
    </w:p>
    <w:p>
      <w:pPr>
        <w:adjustRightInd w:val="0"/>
        <w:spacing w:line="440" w:lineRule="exact"/>
        <w:ind w:left="239" w:leftChars="114" w:firstLine="240" w:firstLineChars="100"/>
        <w:rPr>
          <w:rFonts w:ascii="仿宋" w:hAnsi="仿宋" w:eastAsia="仿宋" w:cs="宋体"/>
          <w:color w:val="auto"/>
          <w:sz w:val="24"/>
          <w:szCs w:val="24"/>
        </w:rPr>
      </w:pPr>
      <w:r>
        <w:rPr>
          <w:rFonts w:hint="eastAsia" w:ascii="仿宋" w:hAnsi="仿宋" w:eastAsia="仿宋" w:cs="宋体"/>
          <w:color w:val="auto"/>
          <w:sz w:val="24"/>
          <w:szCs w:val="24"/>
        </w:rPr>
        <w:t>（1）《</w:t>
      </w:r>
      <w:r>
        <w:rPr>
          <w:rFonts w:hint="eastAsia" w:ascii="仿宋" w:hAnsi="仿宋" w:eastAsia="仿宋" w:cs="宋体"/>
          <w:color w:val="auto"/>
          <w:sz w:val="24"/>
          <w:szCs w:val="24"/>
          <w:lang w:eastAsia="zh-CN"/>
        </w:rPr>
        <w:t>贵州省六盘水市钟山区人民法院评估委托书</w:t>
      </w:r>
      <w:r>
        <w:rPr>
          <w:rFonts w:hint="eastAsia" w:ascii="仿宋" w:hAnsi="仿宋" w:eastAsia="仿宋" w:cs="宋体"/>
          <w:color w:val="auto"/>
          <w:sz w:val="24"/>
          <w:szCs w:val="24"/>
        </w:rPr>
        <w:t>》（2019）黔</w:t>
      </w:r>
      <w:r>
        <w:rPr>
          <w:rFonts w:hint="eastAsia" w:ascii="仿宋" w:hAnsi="仿宋" w:eastAsia="仿宋" w:cs="宋体"/>
          <w:color w:val="auto"/>
          <w:sz w:val="24"/>
          <w:szCs w:val="24"/>
          <w:lang w:eastAsia="zh-CN"/>
        </w:rPr>
        <w:t>钟</w:t>
      </w:r>
      <w:r>
        <w:rPr>
          <w:rFonts w:hint="eastAsia" w:ascii="仿宋" w:hAnsi="仿宋" w:eastAsia="仿宋" w:cs="宋体"/>
          <w:color w:val="auto"/>
          <w:sz w:val="24"/>
          <w:szCs w:val="24"/>
        </w:rPr>
        <w:t>委</w:t>
      </w:r>
      <w:r>
        <w:rPr>
          <w:rFonts w:hint="eastAsia" w:ascii="仿宋" w:hAnsi="仿宋" w:eastAsia="仿宋" w:cs="宋体"/>
          <w:color w:val="auto"/>
          <w:sz w:val="24"/>
          <w:szCs w:val="24"/>
          <w:lang w:eastAsia="zh-CN"/>
        </w:rPr>
        <w:t>评</w:t>
      </w:r>
      <w:r>
        <w:rPr>
          <w:rFonts w:hint="eastAsia" w:ascii="仿宋" w:hAnsi="仿宋" w:eastAsia="仿宋" w:cs="宋体"/>
          <w:color w:val="auto"/>
          <w:sz w:val="24"/>
          <w:szCs w:val="24"/>
        </w:rPr>
        <w:t>字</w:t>
      </w:r>
      <w:r>
        <w:rPr>
          <w:rFonts w:hint="eastAsia" w:ascii="仿宋" w:hAnsi="仿宋" w:eastAsia="仿宋" w:cs="宋体"/>
          <w:color w:val="auto"/>
          <w:sz w:val="24"/>
          <w:szCs w:val="24"/>
          <w:lang w:eastAsia="zh-CN"/>
        </w:rPr>
        <w:t>第139号</w:t>
      </w:r>
      <w:r>
        <w:rPr>
          <w:rFonts w:hint="eastAsia" w:ascii="仿宋" w:hAnsi="仿宋" w:eastAsia="仿宋" w:cs="宋体"/>
          <w:color w:val="auto"/>
          <w:sz w:val="24"/>
          <w:szCs w:val="24"/>
        </w:rPr>
        <w:t>；</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w:t>
      </w:r>
      <w:r>
        <w:rPr>
          <w:rFonts w:hint="eastAsia" w:ascii="仿宋" w:hAnsi="仿宋" w:eastAsia="仿宋" w:cs="宋体"/>
          <w:color w:val="auto"/>
          <w:sz w:val="24"/>
          <w:szCs w:val="24"/>
          <w:lang w:eastAsia="zh-CN"/>
        </w:rPr>
        <w:t>不动产信息查询结果</w:t>
      </w:r>
      <w:r>
        <w:rPr>
          <w:rFonts w:hint="eastAsia" w:ascii="仿宋" w:hAnsi="仿宋" w:eastAsia="仿宋" w:cs="宋体"/>
          <w:color w:val="auto"/>
          <w:sz w:val="24"/>
          <w:szCs w:val="24"/>
        </w:rPr>
        <w:t>》复印件。</w:t>
      </w:r>
    </w:p>
    <w:p>
      <w:pPr>
        <w:adjustRightInd w:val="0"/>
        <w:spacing w:line="440" w:lineRule="exact"/>
        <w:ind w:firstLine="480" w:firstLineChars="200"/>
        <w:rPr>
          <w:rFonts w:ascii="仿宋" w:hAnsi="仿宋" w:eastAsia="仿宋" w:cs="宋体"/>
          <w:color w:val="auto"/>
          <w:sz w:val="24"/>
          <w:szCs w:val="24"/>
        </w:rPr>
      </w:pPr>
      <w:bookmarkStart w:id="66" w:name="_Toc320173782"/>
      <w:bookmarkStart w:id="67" w:name="_Toc320276201"/>
      <w:bookmarkStart w:id="68" w:name="_Toc320184512"/>
      <w:bookmarkStart w:id="69" w:name="_Toc444180888"/>
      <w:r>
        <w:rPr>
          <w:rFonts w:hint="eastAsia" w:ascii="仿宋" w:hAnsi="仿宋" w:eastAsia="仿宋" w:cs="宋体"/>
          <w:color w:val="auto"/>
          <w:sz w:val="24"/>
          <w:szCs w:val="24"/>
        </w:rPr>
        <w:t>4、估价机构和注册房地产估价师掌握和搜集的估价所需资料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（1）估价人员实地查勘及估价机构和估价人员掌握的相关信息资料；</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（2）估价对象所在区位的房地产市场状况、同类房地产市场交易等数据资料。</w:t>
      </w:r>
    </w:p>
    <w:p>
      <w:pPr>
        <w:pStyle w:val="4"/>
        <w:spacing w:before="0" w:after="0" w:line="460" w:lineRule="exact"/>
        <w:rPr>
          <w:rFonts w:ascii="仿宋" w:hAnsi="仿宋" w:eastAsia="仿宋" w:cs="仿宋"/>
          <w:color w:val="auto"/>
          <w:sz w:val="24"/>
          <w:szCs w:val="24"/>
        </w:rPr>
      </w:pPr>
      <w:bookmarkStart w:id="70" w:name="_Toc10360"/>
      <w:r>
        <w:rPr>
          <w:rFonts w:hint="eastAsia" w:ascii="仿宋" w:hAnsi="仿宋" w:eastAsia="仿宋" w:cs="仿宋"/>
          <w:color w:val="auto"/>
          <w:sz w:val="24"/>
          <w:szCs w:val="24"/>
        </w:rPr>
        <w:t>九、估价方法</w:t>
      </w:r>
      <w:bookmarkEnd w:id="66"/>
      <w:bookmarkEnd w:id="67"/>
      <w:bookmarkEnd w:id="68"/>
      <w:bookmarkEnd w:id="69"/>
      <w:bookmarkEnd w:id="70"/>
    </w:p>
    <w:p>
      <w:pPr>
        <w:adjustRightInd w:val="0"/>
        <w:spacing w:line="440" w:lineRule="exact"/>
        <w:ind w:firstLine="482" w:firstLineChars="200"/>
        <w:rPr>
          <w:rFonts w:ascii="仿宋" w:hAnsi="仿宋" w:eastAsia="仿宋" w:cs="宋体"/>
          <w:color w:val="auto"/>
          <w:sz w:val="24"/>
          <w:szCs w:val="24"/>
        </w:rPr>
      </w:pPr>
      <w:r>
        <w:rPr>
          <w:rFonts w:hint="eastAsia" w:ascii="仿宋" w:hAnsi="仿宋" w:eastAsia="仿宋" w:cs="宋体"/>
          <w:b/>
          <w:bCs/>
          <w:color w:val="auto"/>
          <w:sz w:val="24"/>
          <w:szCs w:val="24"/>
        </w:rPr>
        <w:t>（一）估价方法选择</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根据GB/T50291-2015《房地产估价规范》，估价方法通常有比较法、成本法、收益法、假设开发法以及</w:t>
      </w:r>
      <w:r>
        <w:rPr>
          <w:rFonts w:hint="eastAsia" w:ascii="仿宋" w:hAnsi="仿宋" w:eastAsia="仿宋" w:cs="宋体"/>
          <w:color w:val="auto"/>
          <w:sz w:val="24"/>
          <w:szCs w:val="24"/>
          <w:lang w:eastAsia="zh-CN"/>
        </w:rPr>
        <w:t>基准</w:t>
      </w:r>
      <w:r>
        <w:rPr>
          <w:rFonts w:hint="eastAsia" w:ascii="仿宋" w:hAnsi="仿宋" w:eastAsia="仿宋" w:cs="宋体"/>
          <w:color w:val="auto"/>
          <w:sz w:val="24"/>
          <w:szCs w:val="24"/>
        </w:rPr>
        <w:t>地价修正法等其他估价方法。根据估价委托人提供的资料、估价目的和估价对象特点，估价人员在认真分析所掌握的资料并进行了实地查勘，针对本次</w:t>
      </w:r>
      <w:r>
        <w:rPr>
          <w:rFonts w:hint="eastAsia" w:ascii="仿宋" w:hAnsi="仿宋" w:eastAsia="仿宋" w:cs="宋体"/>
          <w:color w:val="auto"/>
          <w:sz w:val="24"/>
          <w:szCs w:val="24"/>
          <w:lang w:eastAsia="zh-CN"/>
        </w:rPr>
        <w:t>估价对象住宅</w:t>
      </w:r>
      <w:r>
        <w:rPr>
          <w:rFonts w:hint="eastAsia" w:ascii="仿宋" w:hAnsi="仿宋" w:eastAsia="仿宋" w:cs="宋体"/>
          <w:color w:val="auto"/>
          <w:sz w:val="24"/>
          <w:szCs w:val="24"/>
        </w:rPr>
        <w:t>房</w:t>
      </w:r>
      <w:r>
        <w:rPr>
          <w:rFonts w:hint="eastAsia" w:ascii="仿宋" w:hAnsi="仿宋" w:eastAsia="仿宋" w:cs="宋体"/>
          <w:color w:val="auto"/>
          <w:sz w:val="24"/>
          <w:szCs w:val="24"/>
          <w:lang w:eastAsia="zh-CN"/>
        </w:rPr>
        <w:t>地产</w:t>
      </w:r>
      <w:r>
        <w:rPr>
          <w:rFonts w:hint="eastAsia" w:ascii="仿宋" w:hAnsi="仿宋" w:eastAsia="仿宋" w:cs="宋体"/>
          <w:color w:val="auto"/>
          <w:sz w:val="24"/>
          <w:szCs w:val="24"/>
        </w:rPr>
        <w:t>，结合对房地产估价的方法进行适应性分析后，最终确定</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采用比较法作为本次估价方法。其理由为：</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所处区位为</w:t>
      </w:r>
      <w:r>
        <w:rPr>
          <w:rFonts w:hint="eastAsia" w:ascii="仿宋" w:hAnsi="仿宋" w:eastAsia="仿宋" w:cs="宋体"/>
          <w:color w:val="auto"/>
          <w:sz w:val="24"/>
          <w:szCs w:val="24"/>
          <w:lang w:eastAsia="zh-CN"/>
        </w:rPr>
        <w:t>六盘水市市场路</w:t>
      </w:r>
      <w:r>
        <w:rPr>
          <w:rFonts w:hint="eastAsia" w:ascii="仿宋" w:hAnsi="仿宋" w:eastAsia="仿宋" w:cs="宋体"/>
          <w:color w:val="auto"/>
          <w:sz w:val="24"/>
          <w:szCs w:val="24"/>
          <w:lang w:val="en-US" w:eastAsia="zh-CN"/>
        </w:rPr>
        <w:t>9号附12号</w:t>
      </w:r>
      <w:r>
        <w:rPr>
          <w:rFonts w:hint="eastAsia" w:ascii="仿宋" w:hAnsi="仿宋" w:eastAsia="仿宋" w:cs="宋体"/>
          <w:color w:val="auto"/>
          <w:sz w:val="24"/>
          <w:szCs w:val="24"/>
        </w:rPr>
        <w:t>，所在区域有较多的交易案例，交易市场活跃，适宜选用比较法进行测算。</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仿宋"/>
          <w:b w:val="0"/>
          <w:bCs/>
          <w:color w:val="auto"/>
          <w:sz w:val="24"/>
          <w:szCs w:val="24"/>
        </w:rPr>
        <w:t>估价对象</w:t>
      </w:r>
      <w:r>
        <w:rPr>
          <w:rFonts w:hint="eastAsia" w:ascii="仿宋" w:hAnsi="仿宋" w:eastAsia="仿宋" w:cs="宋体"/>
          <w:color w:val="auto"/>
          <w:sz w:val="24"/>
          <w:szCs w:val="24"/>
          <w:lang w:eastAsia="zh-CN"/>
        </w:rPr>
        <w:t>同一供需圈</w:t>
      </w:r>
      <w:r>
        <w:rPr>
          <w:rFonts w:hint="eastAsia" w:ascii="仿宋" w:hAnsi="仿宋" w:eastAsia="仿宋" w:cs="宋体"/>
          <w:color w:val="auto"/>
          <w:sz w:val="24"/>
          <w:szCs w:val="24"/>
        </w:rPr>
        <w:t>类似</w:t>
      </w:r>
      <w:r>
        <w:rPr>
          <w:rFonts w:hint="eastAsia" w:ascii="仿宋" w:hAnsi="仿宋" w:eastAsia="仿宋" w:cs="宋体"/>
          <w:color w:val="auto"/>
          <w:sz w:val="24"/>
          <w:szCs w:val="24"/>
          <w:lang w:eastAsia="zh-CN"/>
        </w:rPr>
        <w:t>大面积</w:t>
      </w:r>
      <w:r>
        <w:rPr>
          <w:rFonts w:hint="eastAsia" w:ascii="仿宋" w:hAnsi="仿宋" w:eastAsia="仿宋" w:cs="宋体"/>
          <w:color w:val="auto"/>
          <w:sz w:val="24"/>
          <w:szCs w:val="24"/>
        </w:rPr>
        <w:t>出租案例</w:t>
      </w:r>
      <w:r>
        <w:rPr>
          <w:rFonts w:hint="eastAsia" w:ascii="仿宋" w:hAnsi="仿宋" w:eastAsia="仿宋" w:cs="宋体"/>
          <w:color w:val="auto"/>
          <w:sz w:val="24"/>
          <w:szCs w:val="24"/>
          <w:lang w:eastAsia="zh-CN"/>
        </w:rPr>
        <w:t>极少，</w:t>
      </w:r>
      <w:r>
        <w:rPr>
          <w:rFonts w:hint="eastAsia" w:ascii="仿宋" w:hAnsi="仿宋" w:eastAsia="仿宋" w:cs="仿宋"/>
          <w:b w:val="0"/>
          <w:bCs/>
          <w:color w:val="auto"/>
          <w:sz w:val="24"/>
          <w:szCs w:val="24"/>
        </w:rPr>
        <w:t>不符合收益法的适用条件，故不选择收益法作为本次估价方法</w:t>
      </w:r>
      <w:r>
        <w:rPr>
          <w:rFonts w:hint="eastAsia" w:ascii="仿宋" w:hAnsi="仿宋" w:eastAsia="仿宋" w:cs="宋体"/>
          <w:color w:val="auto"/>
          <w:sz w:val="24"/>
          <w:szCs w:val="24"/>
        </w:rPr>
        <w:t>。</w:t>
      </w:r>
    </w:p>
    <w:p>
      <w:pPr>
        <w:adjustRightInd w:val="0"/>
        <w:spacing w:line="44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成本法一般适用于评估那些可独立开发建设的整体房地产的价值，而</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仅为所在项目单套</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，项目建成</w:t>
      </w:r>
      <w:r>
        <w:rPr>
          <w:rFonts w:hint="eastAsia" w:ascii="仿宋" w:hAnsi="仿宋" w:eastAsia="仿宋" w:cs="宋体"/>
          <w:color w:val="auto"/>
          <w:sz w:val="24"/>
          <w:szCs w:val="24"/>
          <w:lang w:eastAsia="zh-CN"/>
        </w:rPr>
        <w:t>年份为</w:t>
      </w:r>
      <w:r>
        <w:rPr>
          <w:rFonts w:hint="eastAsia" w:ascii="仿宋" w:hAnsi="仿宋" w:eastAsia="仿宋" w:cs="宋体"/>
          <w:color w:val="auto"/>
          <w:sz w:val="24"/>
          <w:szCs w:val="24"/>
          <w:lang w:val="en-US" w:eastAsia="zh-CN"/>
        </w:rPr>
        <w:t>2001年</w:t>
      </w:r>
      <w:r>
        <w:rPr>
          <w:rFonts w:hint="eastAsia" w:ascii="仿宋" w:hAnsi="仿宋" w:eastAsia="仿宋" w:cs="宋体"/>
          <w:color w:val="auto"/>
          <w:sz w:val="24"/>
          <w:szCs w:val="24"/>
        </w:rPr>
        <w:t>，所在项目建设相关资料难以查询搜集，无法估算该项目单位面积平均价值，进而无法在此基础上进行楼幢、楼层、朝向、装饰装修、面积等因素调整后得到该套</w:t>
      </w:r>
      <w:r>
        <w:rPr>
          <w:rFonts w:hint="eastAsia" w:ascii="仿宋" w:hAnsi="仿宋" w:eastAsia="仿宋" w:cs="宋体"/>
          <w:color w:val="auto"/>
          <w:sz w:val="24"/>
          <w:szCs w:val="24"/>
          <w:lang w:eastAsia="zh-CN"/>
        </w:rPr>
        <w:t>房地产</w:t>
      </w:r>
      <w:r>
        <w:rPr>
          <w:rFonts w:hint="eastAsia" w:ascii="仿宋" w:hAnsi="仿宋" w:eastAsia="仿宋" w:cs="宋体"/>
          <w:color w:val="auto"/>
          <w:sz w:val="24"/>
          <w:szCs w:val="24"/>
        </w:rPr>
        <w:t>的价值，故不宜采用成本法。</w:t>
      </w:r>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于建成并投入使用的物业，非待开发建设物业，不产生后续开发成本，故不适宜采用假设开发法进行估价。</w:t>
      </w:r>
    </w:p>
    <w:p>
      <w:pPr>
        <w:adjustRightInd w:val="0"/>
        <w:spacing w:line="440" w:lineRule="exact"/>
        <w:ind w:firstLine="480" w:firstLineChars="200"/>
        <w:rPr>
          <w:color w:val="auto"/>
        </w:rPr>
      </w:pP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为已建成房地产而非宗地地价估价，故不宜采用</w:t>
      </w:r>
      <w:r>
        <w:rPr>
          <w:rFonts w:hint="eastAsia" w:ascii="仿宋" w:hAnsi="仿宋" w:eastAsia="仿宋" w:cs="宋体"/>
          <w:color w:val="auto"/>
          <w:sz w:val="24"/>
          <w:szCs w:val="24"/>
          <w:lang w:eastAsia="zh-CN"/>
        </w:rPr>
        <w:t>基准</w:t>
      </w:r>
      <w:r>
        <w:rPr>
          <w:rFonts w:hint="eastAsia" w:ascii="仿宋" w:hAnsi="仿宋" w:eastAsia="仿宋" w:cs="宋体"/>
          <w:color w:val="auto"/>
          <w:sz w:val="24"/>
          <w:szCs w:val="24"/>
        </w:rPr>
        <w:t>地价修正法进行估价。</w:t>
      </w:r>
    </w:p>
    <w:p>
      <w:pPr>
        <w:adjustRightInd w:val="0"/>
        <w:spacing w:line="440" w:lineRule="exact"/>
        <w:ind w:firstLine="482" w:firstLineChars="200"/>
        <w:rPr>
          <w:rFonts w:hint="eastAsia" w:ascii="仿宋" w:hAnsi="仿宋" w:eastAsia="仿宋" w:cs="宋体"/>
          <w:b/>
          <w:bCs/>
          <w:color w:val="auto"/>
          <w:sz w:val="24"/>
          <w:szCs w:val="24"/>
        </w:rPr>
      </w:pPr>
      <w:r>
        <w:rPr>
          <w:rFonts w:hint="eastAsia" w:ascii="仿宋" w:hAnsi="仿宋" w:eastAsia="仿宋" w:cs="宋体"/>
          <w:b/>
          <w:bCs/>
          <w:color w:val="auto"/>
          <w:sz w:val="24"/>
          <w:szCs w:val="24"/>
        </w:rPr>
        <w:t>（二）估价方法定义</w:t>
      </w:r>
    </w:p>
    <w:p>
      <w:pPr>
        <w:autoSpaceDE w:val="0"/>
        <w:autoSpaceDN w:val="0"/>
        <w:adjustRightInd w:val="0"/>
        <w:snapToGrid w:val="0"/>
        <w:spacing w:line="480" w:lineRule="exact"/>
        <w:ind w:firstLine="480"/>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djustRightInd w:val="0"/>
        <w:spacing w:line="440" w:lineRule="exact"/>
        <w:ind w:firstLine="482" w:firstLineChars="200"/>
        <w:rPr>
          <w:rFonts w:ascii="仿宋" w:hAnsi="仿宋" w:eastAsia="仿宋" w:cs="宋体"/>
          <w:b/>
          <w:bCs/>
          <w:color w:val="auto"/>
          <w:sz w:val="24"/>
          <w:szCs w:val="24"/>
        </w:rPr>
      </w:pPr>
      <w:r>
        <w:rPr>
          <w:rFonts w:hint="eastAsia" w:ascii="仿宋" w:hAnsi="仿宋" w:eastAsia="仿宋" w:cs="仿宋"/>
          <w:b/>
          <w:bCs/>
          <w:color w:val="auto"/>
          <w:sz w:val="24"/>
          <w:szCs w:val="24"/>
        </w:rPr>
        <w:t>（三）估价参数及测算过程</w:t>
      </w:r>
    </w:p>
    <w:bookmarkEnd w:id="56"/>
    <w:bookmarkEnd w:id="57"/>
    <w:bookmarkEnd w:id="58"/>
    <w:p>
      <w:pPr>
        <w:adjustRightInd w:val="0"/>
        <w:spacing w:line="480" w:lineRule="exact"/>
        <w:ind w:firstLine="480" w:firstLineChars="200"/>
        <w:rPr>
          <w:rFonts w:ascii="仿宋" w:hAnsi="仿宋" w:eastAsia="仿宋" w:cs="仿宋"/>
          <w:bCs/>
          <w:color w:val="auto"/>
          <w:sz w:val="24"/>
          <w:szCs w:val="24"/>
        </w:rPr>
      </w:pPr>
      <w:bookmarkStart w:id="71" w:name="_Toc444180890"/>
      <w:bookmarkStart w:id="72" w:name="_Toc320184515"/>
      <w:bookmarkStart w:id="73" w:name="_Toc320173785"/>
      <w:bookmarkStart w:id="74" w:name="_Toc320276204"/>
      <w:r>
        <w:rPr>
          <w:rFonts w:hint="eastAsia" w:ascii="仿宋" w:hAnsi="仿宋" w:eastAsia="仿宋" w:cs="宋体"/>
          <w:color w:val="auto"/>
          <w:sz w:val="24"/>
          <w:szCs w:val="24"/>
          <w:lang w:eastAsia="zh-CN"/>
        </w:rPr>
        <w:t>比较法：</w:t>
      </w:r>
      <w:r>
        <w:rPr>
          <w:rFonts w:hint="eastAsia" w:ascii="仿宋" w:hAnsi="仿宋" w:eastAsia="仿宋" w:cs="宋体"/>
          <w:color w:val="auto"/>
          <w:sz w:val="24"/>
          <w:szCs w:val="24"/>
        </w:rPr>
        <w:t>在估价对象的同一供需圈内根据估价目的，选择与估价对象房地产相似、交易方式适合、成交日期与价值时点相近、成交价格尽量为正常价格的三个相类似的房地产作为可比实例，在建立比较基础后价格的基础上，进行了交易情况修正、市场状况和房地产状况调整后采用算术平均</w:t>
      </w:r>
      <w:r>
        <w:rPr>
          <w:rFonts w:hint="eastAsia" w:ascii="仿宋" w:hAnsi="仿宋" w:eastAsia="仿宋" w:cs="宋体"/>
          <w:color w:val="auto"/>
          <w:sz w:val="24"/>
          <w:szCs w:val="24"/>
          <w:lang w:eastAsia="zh-CN"/>
        </w:rPr>
        <w:t>法</w:t>
      </w:r>
      <w:r>
        <w:rPr>
          <w:rFonts w:hint="eastAsia" w:ascii="仿宋" w:hAnsi="仿宋" w:eastAsia="仿宋" w:cs="宋体"/>
          <w:color w:val="auto"/>
          <w:sz w:val="24"/>
          <w:szCs w:val="24"/>
        </w:rPr>
        <w:t>得出</w:t>
      </w:r>
      <w:r>
        <w:rPr>
          <w:rFonts w:hint="eastAsia" w:ascii="仿宋" w:hAnsi="仿宋" w:eastAsia="仿宋" w:cs="宋体"/>
          <w:color w:val="auto"/>
          <w:sz w:val="24"/>
          <w:szCs w:val="24"/>
          <w:lang w:eastAsia="zh-CN"/>
        </w:rPr>
        <w:t>估价对象</w:t>
      </w:r>
      <w:r>
        <w:rPr>
          <w:rFonts w:hint="eastAsia" w:ascii="仿宋" w:hAnsi="仿宋" w:eastAsia="仿宋" w:cs="宋体"/>
          <w:color w:val="auto"/>
          <w:sz w:val="24"/>
          <w:szCs w:val="24"/>
        </w:rPr>
        <w:t>的比较价值为</w:t>
      </w:r>
      <w:r>
        <w:rPr>
          <w:rFonts w:hint="eastAsia" w:ascii="仿宋" w:hAnsi="仿宋" w:eastAsia="仿宋" w:cs="宋体"/>
          <w:color w:val="auto"/>
          <w:sz w:val="24"/>
          <w:szCs w:val="24"/>
          <w:lang w:val="en-US" w:eastAsia="zh-CN"/>
        </w:rPr>
        <w:t>4373</w:t>
      </w:r>
      <w:r>
        <w:rPr>
          <w:rFonts w:hint="eastAsia" w:ascii="仿宋" w:hAnsi="仿宋" w:eastAsia="仿宋" w:cs="宋体"/>
          <w:color w:val="auto"/>
          <w:sz w:val="24"/>
          <w:szCs w:val="24"/>
        </w:rPr>
        <w:t>元/㎡。</w:t>
      </w:r>
    </w:p>
    <w:p>
      <w:pPr>
        <w:pStyle w:val="4"/>
        <w:spacing w:before="0" w:after="0" w:line="460" w:lineRule="exact"/>
        <w:rPr>
          <w:rFonts w:ascii="仿宋" w:hAnsi="仿宋" w:eastAsia="仿宋" w:cs="仿宋"/>
          <w:color w:val="auto"/>
          <w:sz w:val="24"/>
          <w:szCs w:val="24"/>
        </w:rPr>
      </w:pPr>
      <w:bookmarkStart w:id="75" w:name="_Toc14949"/>
      <w:bookmarkStart w:id="76" w:name="_Toc30059"/>
      <w:bookmarkStart w:id="77" w:name="_Toc444180889"/>
      <w:r>
        <w:rPr>
          <w:rFonts w:hint="eastAsia" w:ascii="仿宋" w:hAnsi="仿宋" w:eastAsia="仿宋" w:cs="仿宋"/>
          <w:color w:val="auto"/>
          <w:sz w:val="24"/>
          <w:szCs w:val="24"/>
        </w:rPr>
        <w:t>十、估价结果</w:t>
      </w:r>
      <w:bookmarkEnd w:id="75"/>
      <w:bookmarkEnd w:id="76"/>
      <w:bookmarkEnd w:id="77"/>
    </w:p>
    <w:p>
      <w:pPr>
        <w:adjustRightInd w:val="0"/>
        <w:spacing w:line="480" w:lineRule="exact"/>
        <w:ind w:firstLine="480" w:firstLineChars="200"/>
        <w:rPr>
          <w:rFonts w:ascii="仿宋" w:hAnsi="仿宋" w:eastAsia="仿宋" w:cs="仿宋"/>
          <w:bCs/>
          <w:color w:val="auto"/>
          <w:sz w:val="24"/>
          <w:szCs w:val="24"/>
          <w:lang w:val="zh-CN"/>
        </w:rPr>
      </w:pPr>
      <w:r>
        <w:rPr>
          <w:rFonts w:hint="eastAsia" w:ascii="仿宋" w:hAnsi="仿宋" w:eastAsia="仿宋" w:cs="宋体"/>
          <w:color w:val="auto"/>
          <w:sz w:val="24"/>
          <w:szCs w:val="24"/>
        </w:rPr>
        <w:t>估价人员在认真分析估价委托人提供的资料，以及注册房地产估价师实地查勘和市场调查取得资料的基础上，对影响</w:t>
      </w:r>
      <w:r>
        <w:rPr>
          <w:rFonts w:hint="eastAsia" w:ascii="仿宋" w:hAnsi="仿宋" w:eastAsia="仿宋" w:cs="宋体"/>
          <w:color w:val="auto"/>
          <w:sz w:val="24"/>
          <w:szCs w:val="24"/>
          <w:lang w:eastAsia="zh-CN"/>
        </w:rPr>
        <w:t>住宅</w:t>
      </w:r>
      <w:r>
        <w:rPr>
          <w:rFonts w:hint="eastAsia" w:ascii="仿宋" w:hAnsi="仿宋" w:eastAsia="仿宋" w:cs="宋体"/>
          <w:color w:val="auto"/>
          <w:sz w:val="24"/>
          <w:szCs w:val="24"/>
        </w:rPr>
        <w:t>房地产价值的因素进行了综合分析，采用比较法测算，确定估价对象于价值时点</w:t>
      </w:r>
      <w:r>
        <w:rPr>
          <w:rFonts w:hint="eastAsia" w:ascii="仿宋" w:hAnsi="仿宋" w:eastAsia="仿宋" w:cs="宋体"/>
          <w:color w:val="auto"/>
          <w:sz w:val="24"/>
          <w:szCs w:val="24"/>
          <w:lang w:eastAsia="zh-CN"/>
        </w:rPr>
        <w:t>2019年10月29日</w:t>
      </w:r>
      <w:r>
        <w:rPr>
          <w:rFonts w:hint="eastAsia" w:ascii="仿宋" w:hAnsi="仿宋" w:eastAsia="仿宋" w:cs="宋体"/>
          <w:color w:val="auto"/>
          <w:sz w:val="24"/>
          <w:szCs w:val="24"/>
        </w:rPr>
        <w:t>的市场价值为：</w:t>
      </w:r>
      <w:r>
        <w:rPr>
          <w:rFonts w:hint="eastAsia" w:ascii="仿宋" w:hAnsi="仿宋" w:eastAsia="仿宋"/>
          <w:b/>
          <w:bCs/>
          <w:color w:val="auto"/>
          <w:sz w:val="24"/>
          <w:szCs w:val="24"/>
          <w:lang w:val="en-US" w:eastAsia="zh-CN"/>
        </w:rPr>
        <w:t>99.31</w:t>
      </w:r>
      <w:r>
        <w:rPr>
          <w:rFonts w:hint="eastAsia" w:ascii="仿宋" w:hAnsi="仿宋" w:eastAsia="仿宋"/>
          <w:b/>
          <w:bCs/>
          <w:color w:val="auto"/>
          <w:sz w:val="24"/>
          <w:szCs w:val="24"/>
        </w:rPr>
        <w:t>万</w:t>
      </w:r>
      <w:r>
        <w:rPr>
          <w:rFonts w:hint="eastAsia" w:ascii="仿宋" w:hAnsi="仿宋" w:eastAsia="仿宋" w:cs="仿宋"/>
          <w:b/>
          <w:color w:val="auto"/>
          <w:sz w:val="24"/>
          <w:szCs w:val="24"/>
        </w:rPr>
        <w:t>元</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大写</w:t>
      </w:r>
      <w:r>
        <w:rPr>
          <w:rFonts w:hint="eastAsia" w:ascii="仿宋" w:hAnsi="仿宋" w:eastAsia="仿宋"/>
          <w:b/>
          <w:color w:val="auto"/>
          <w:sz w:val="24"/>
          <w:szCs w:val="24"/>
        </w:rPr>
        <w:t>人民币</w:t>
      </w:r>
      <w:r>
        <w:rPr>
          <w:rFonts w:hint="eastAsia" w:ascii="仿宋" w:hAnsi="仿宋" w:eastAsia="仿宋"/>
          <w:b/>
          <w:color w:val="auto"/>
          <w:sz w:val="24"/>
          <w:szCs w:val="24"/>
          <w:lang w:eastAsia="zh-CN"/>
        </w:rPr>
        <w:t>玖拾玖万叁仟壹佰</w:t>
      </w:r>
      <w:r>
        <w:rPr>
          <w:rFonts w:hint="eastAsia" w:ascii="仿宋" w:hAnsi="仿宋" w:eastAsia="仿宋"/>
          <w:b/>
          <w:color w:val="auto"/>
          <w:sz w:val="24"/>
          <w:szCs w:val="24"/>
        </w:rPr>
        <w:t>元整</w:t>
      </w:r>
      <w:r>
        <w:rPr>
          <w:rFonts w:hint="eastAsia" w:ascii="仿宋" w:hAnsi="仿宋" w:eastAsia="仿宋" w:cs="仿宋"/>
          <w:b/>
          <w:color w:val="auto"/>
          <w:sz w:val="24"/>
          <w:szCs w:val="24"/>
        </w:rPr>
        <w:t>。</w:t>
      </w:r>
    </w:p>
    <w:p>
      <w:pPr>
        <w:autoSpaceDE w:val="0"/>
        <w:autoSpaceDN w:val="0"/>
        <w:adjustRightInd w:val="0"/>
        <w:spacing w:line="440" w:lineRule="exact"/>
        <w:rPr>
          <w:rFonts w:ascii="仿宋" w:hAnsi="仿宋" w:eastAsia="仿宋" w:cs="宋体"/>
          <w:color w:val="auto"/>
          <w:sz w:val="24"/>
          <w:szCs w:val="24"/>
          <w:lang w:val="zh-CN"/>
        </w:rPr>
      </w:pPr>
      <w:r>
        <w:rPr>
          <w:rFonts w:hint="eastAsia" w:ascii="仿宋" w:hAnsi="仿宋" w:eastAsia="仿宋" w:cs="宋体"/>
          <w:bCs/>
          <w:color w:val="auto"/>
          <w:sz w:val="24"/>
          <w:szCs w:val="24"/>
        </w:rPr>
        <w:t xml:space="preserve">                         </w:t>
      </w:r>
      <w:r>
        <w:rPr>
          <w:rFonts w:hint="eastAsia" w:ascii="仿宋" w:hAnsi="仿宋" w:eastAsia="仿宋" w:cs="宋体"/>
          <w:bCs/>
          <w:color w:val="auto"/>
          <w:sz w:val="24"/>
          <w:szCs w:val="24"/>
          <w:lang w:val="zh-CN"/>
        </w:rPr>
        <w:t>估价结果汇总表</w:t>
      </w:r>
      <w:r>
        <w:rPr>
          <w:rFonts w:hint="eastAsia" w:ascii="仿宋" w:hAnsi="仿宋" w:eastAsia="仿宋" w:cs="宋体"/>
          <w:bCs/>
          <w:color w:val="auto"/>
          <w:sz w:val="24"/>
          <w:szCs w:val="24"/>
        </w:rPr>
        <w:t xml:space="preserve">                   币种：人民币</w:t>
      </w:r>
    </w:p>
    <w:tbl>
      <w:tblPr>
        <w:tblStyle w:val="45"/>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054"/>
        <w:gridCol w:w="3881"/>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3392" w:type="dxa"/>
            <w:gridSpan w:val="2"/>
            <w:vMerge w:val="restart"/>
            <w:tcBorders>
              <w:tl2br w:val="single" w:color="auto" w:sz="4" w:space="0"/>
            </w:tcBorders>
          </w:tcPr>
          <w:p>
            <w:pPr>
              <w:autoSpaceDE w:val="0"/>
              <w:autoSpaceDN w:val="0"/>
              <w:adjustRightInd w:val="0"/>
              <w:snapToGrid w:val="0"/>
              <w:spacing w:line="300" w:lineRule="exact"/>
              <w:rPr>
                <w:rFonts w:ascii="仿宋" w:hAnsi="仿宋" w:eastAsia="仿宋" w:cs="宋体"/>
                <w:color w:val="auto"/>
                <w:sz w:val="18"/>
                <w:szCs w:val="18"/>
                <w:lang w:val="zh-CN"/>
              </w:rPr>
            </w:pPr>
          </w:p>
          <w:p>
            <w:pPr>
              <w:autoSpaceDE w:val="0"/>
              <w:autoSpaceDN w:val="0"/>
              <w:adjustRightInd w:val="0"/>
              <w:snapToGrid w:val="0"/>
              <w:spacing w:line="300" w:lineRule="exact"/>
              <w:rPr>
                <w:rFonts w:ascii="仿宋" w:hAnsi="仿宋" w:eastAsia="仿宋" w:cs="宋体"/>
                <w:color w:val="auto"/>
                <w:sz w:val="18"/>
                <w:szCs w:val="18"/>
                <w:lang w:val="zh-CN"/>
              </w:rPr>
            </w:pPr>
            <w:r>
              <w:rPr>
                <w:rFonts w:hint="eastAsia" w:ascii="仿宋" w:hAnsi="仿宋" w:eastAsia="仿宋" w:cs="宋体"/>
                <w:color w:val="auto"/>
                <w:sz w:val="18"/>
                <w:szCs w:val="18"/>
                <w:lang w:val="zh-CN"/>
              </w:rPr>
              <w:t xml:space="preserve">    </w:t>
            </w:r>
            <w:r>
              <w:rPr>
                <w:rFonts w:hint="eastAsia" w:ascii="仿宋" w:hAnsi="仿宋" w:eastAsia="仿宋" w:cs="宋体"/>
                <w:color w:val="auto"/>
                <w:sz w:val="18"/>
                <w:szCs w:val="18"/>
              </w:rPr>
              <w:t xml:space="preserve">                   </w:t>
            </w:r>
            <w:r>
              <w:rPr>
                <w:rFonts w:hint="eastAsia" w:ascii="仿宋" w:hAnsi="仿宋" w:eastAsia="仿宋" w:cs="宋体"/>
                <w:color w:val="auto"/>
                <w:sz w:val="18"/>
                <w:szCs w:val="18"/>
                <w:lang w:val="zh-CN"/>
              </w:rPr>
              <w:t xml:space="preserve"> 估价方法</w:t>
            </w:r>
          </w:p>
          <w:p>
            <w:pPr>
              <w:autoSpaceDE w:val="0"/>
              <w:autoSpaceDN w:val="0"/>
              <w:adjustRightInd w:val="0"/>
              <w:snapToGrid w:val="0"/>
              <w:spacing w:line="300" w:lineRule="exact"/>
              <w:rPr>
                <w:rFonts w:ascii="仿宋" w:hAnsi="仿宋" w:eastAsia="仿宋" w:cs="宋体"/>
                <w:color w:val="auto"/>
                <w:sz w:val="18"/>
                <w:szCs w:val="18"/>
                <w:lang w:val="zh-CN"/>
              </w:rPr>
            </w:pPr>
            <w:r>
              <w:rPr>
                <w:rFonts w:hint="eastAsia" w:ascii="仿宋" w:hAnsi="仿宋" w:eastAsia="仿宋" w:cs="宋体"/>
                <w:color w:val="auto"/>
                <w:sz w:val="18"/>
                <w:szCs w:val="18"/>
                <w:lang w:val="zh-CN"/>
              </w:rPr>
              <w:t>项目及相关结果</w:t>
            </w:r>
          </w:p>
        </w:tc>
        <w:tc>
          <w:tcPr>
            <w:tcW w:w="3881" w:type="dxa"/>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zh-CN"/>
              </w:rPr>
              <w:t>测算结果</w:t>
            </w:r>
          </w:p>
        </w:tc>
        <w:tc>
          <w:tcPr>
            <w:tcW w:w="1973" w:type="dxa"/>
            <w:vMerge w:val="restart"/>
            <w:vAlign w:val="center"/>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3392" w:type="dxa"/>
            <w:gridSpan w:val="2"/>
            <w:vMerge w:val="continue"/>
          </w:tcPr>
          <w:p>
            <w:pPr>
              <w:autoSpaceDE w:val="0"/>
              <w:autoSpaceDN w:val="0"/>
              <w:adjustRightInd w:val="0"/>
              <w:snapToGrid w:val="0"/>
              <w:spacing w:line="300" w:lineRule="exact"/>
              <w:rPr>
                <w:rFonts w:ascii="仿宋" w:hAnsi="仿宋" w:eastAsia="仿宋" w:cs="宋体"/>
                <w:color w:val="auto"/>
                <w:sz w:val="18"/>
                <w:szCs w:val="18"/>
                <w:lang w:val="zh-CN"/>
              </w:rPr>
            </w:pPr>
          </w:p>
        </w:tc>
        <w:tc>
          <w:tcPr>
            <w:tcW w:w="3881" w:type="dxa"/>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zh-CN"/>
              </w:rPr>
              <w:t>比较法</w:t>
            </w:r>
          </w:p>
        </w:tc>
        <w:tc>
          <w:tcPr>
            <w:tcW w:w="1973" w:type="dxa"/>
            <w:vMerge w:val="continue"/>
          </w:tcPr>
          <w:p>
            <w:pPr>
              <w:autoSpaceDE w:val="0"/>
              <w:autoSpaceDN w:val="0"/>
              <w:adjustRightInd w:val="0"/>
              <w:snapToGrid w:val="0"/>
              <w:spacing w:line="300" w:lineRule="exact"/>
              <w:jc w:val="center"/>
              <w:rPr>
                <w:rFonts w:ascii="仿宋" w:hAnsi="仿宋" w:eastAsia="仿宋" w:cs="宋体"/>
                <w:color w:val="auto"/>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restart"/>
            <w:vAlign w:val="center"/>
          </w:tcPr>
          <w:p>
            <w:pPr>
              <w:autoSpaceDE w:val="0"/>
              <w:autoSpaceDN w:val="0"/>
              <w:adjustRightInd w:val="0"/>
              <w:snapToGrid w:val="0"/>
              <w:spacing w:line="300" w:lineRule="exact"/>
              <w:rPr>
                <w:rFonts w:ascii="仿宋" w:hAnsi="仿宋" w:eastAsia="仿宋" w:cs="宋体"/>
                <w:color w:val="auto"/>
                <w:sz w:val="18"/>
                <w:szCs w:val="18"/>
                <w:lang w:val="zh-CN"/>
              </w:rPr>
            </w:pPr>
            <w:r>
              <w:rPr>
                <w:rFonts w:hint="eastAsia" w:ascii="仿宋" w:hAnsi="仿宋" w:eastAsia="仿宋" w:cs="宋体"/>
                <w:color w:val="auto"/>
                <w:sz w:val="18"/>
                <w:szCs w:val="18"/>
                <w:lang w:val="zh-CN"/>
              </w:rPr>
              <w:t>估价对象</w:t>
            </w:r>
          </w:p>
        </w:tc>
        <w:tc>
          <w:tcPr>
            <w:tcW w:w="2054" w:type="dxa"/>
            <w:vAlign w:val="center"/>
          </w:tcPr>
          <w:p>
            <w:pPr>
              <w:autoSpaceDE w:val="0"/>
              <w:autoSpaceDN w:val="0"/>
              <w:adjustRightInd w:val="0"/>
              <w:snapToGrid w:val="0"/>
              <w:spacing w:line="300" w:lineRule="exact"/>
              <w:rPr>
                <w:rFonts w:ascii="仿宋" w:hAnsi="仿宋" w:eastAsia="仿宋" w:cs="宋体"/>
                <w:color w:val="auto"/>
                <w:sz w:val="18"/>
                <w:szCs w:val="18"/>
                <w:lang w:val="zh-CN"/>
              </w:rPr>
            </w:pPr>
            <w:r>
              <w:rPr>
                <w:rFonts w:hint="eastAsia" w:ascii="仿宋" w:hAnsi="仿宋" w:eastAsia="仿宋" w:cs="宋体"/>
                <w:color w:val="auto"/>
                <w:sz w:val="18"/>
                <w:szCs w:val="18"/>
                <w:lang w:val="zh-CN"/>
              </w:rPr>
              <w:t>总价（万元）</w:t>
            </w:r>
          </w:p>
        </w:tc>
        <w:tc>
          <w:tcPr>
            <w:tcW w:w="3881" w:type="dxa"/>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en-US" w:eastAsia="zh-CN"/>
              </w:rPr>
              <w:t>99.31</w:t>
            </w:r>
          </w:p>
        </w:tc>
        <w:tc>
          <w:tcPr>
            <w:tcW w:w="1973" w:type="dxa"/>
            <w:vAlign w:val="top"/>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en-US" w:eastAsia="zh-CN"/>
              </w:rPr>
              <w:t>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38" w:type="dxa"/>
            <w:vMerge w:val="continue"/>
            <w:vAlign w:val="center"/>
          </w:tcPr>
          <w:p>
            <w:pPr>
              <w:autoSpaceDE w:val="0"/>
              <w:autoSpaceDN w:val="0"/>
              <w:adjustRightInd w:val="0"/>
              <w:snapToGrid w:val="0"/>
              <w:spacing w:line="300" w:lineRule="exact"/>
              <w:rPr>
                <w:rFonts w:ascii="仿宋" w:hAnsi="仿宋" w:eastAsia="仿宋" w:cs="宋体"/>
                <w:color w:val="auto"/>
                <w:sz w:val="18"/>
                <w:szCs w:val="18"/>
                <w:lang w:val="zh-CN"/>
              </w:rPr>
            </w:pPr>
          </w:p>
        </w:tc>
        <w:tc>
          <w:tcPr>
            <w:tcW w:w="2054" w:type="dxa"/>
            <w:vAlign w:val="center"/>
          </w:tcPr>
          <w:p>
            <w:pPr>
              <w:autoSpaceDE w:val="0"/>
              <w:autoSpaceDN w:val="0"/>
              <w:adjustRightInd w:val="0"/>
              <w:snapToGrid w:val="0"/>
              <w:spacing w:line="300" w:lineRule="exact"/>
              <w:rPr>
                <w:rFonts w:ascii="仿宋" w:hAnsi="仿宋" w:eastAsia="仿宋" w:cs="宋体"/>
                <w:color w:val="auto"/>
                <w:sz w:val="18"/>
                <w:szCs w:val="18"/>
                <w:lang w:val="zh-CN"/>
              </w:rPr>
            </w:pPr>
            <w:r>
              <w:rPr>
                <w:rFonts w:hint="eastAsia" w:ascii="仿宋" w:hAnsi="仿宋" w:eastAsia="仿宋" w:cs="宋体"/>
                <w:color w:val="auto"/>
                <w:sz w:val="18"/>
                <w:szCs w:val="18"/>
                <w:lang w:val="zh-CN"/>
              </w:rPr>
              <w:t>单价（元/㎡）</w:t>
            </w:r>
          </w:p>
        </w:tc>
        <w:tc>
          <w:tcPr>
            <w:tcW w:w="3881" w:type="dxa"/>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en-US" w:eastAsia="zh-CN"/>
              </w:rPr>
              <w:t>4373</w:t>
            </w:r>
          </w:p>
        </w:tc>
        <w:tc>
          <w:tcPr>
            <w:tcW w:w="1973" w:type="dxa"/>
            <w:vAlign w:val="top"/>
          </w:tcPr>
          <w:p>
            <w:pPr>
              <w:autoSpaceDE w:val="0"/>
              <w:autoSpaceDN w:val="0"/>
              <w:adjustRightInd w:val="0"/>
              <w:snapToGrid w:val="0"/>
              <w:spacing w:line="300" w:lineRule="exact"/>
              <w:jc w:val="center"/>
              <w:rPr>
                <w:rFonts w:ascii="仿宋" w:hAnsi="仿宋" w:eastAsia="仿宋" w:cs="宋体"/>
                <w:color w:val="auto"/>
                <w:sz w:val="18"/>
                <w:szCs w:val="18"/>
                <w:lang w:val="zh-CN"/>
              </w:rPr>
            </w:pPr>
            <w:r>
              <w:rPr>
                <w:rFonts w:hint="eastAsia" w:ascii="仿宋" w:hAnsi="仿宋" w:eastAsia="仿宋" w:cs="宋体"/>
                <w:color w:val="auto"/>
                <w:sz w:val="18"/>
                <w:szCs w:val="18"/>
                <w:lang w:val="en-US" w:eastAsia="zh-CN"/>
              </w:rPr>
              <w:t>4373</w:t>
            </w:r>
          </w:p>
        </w:tc>
      </w:tr>
    </w:tbl>
    <w:p>
      <w:pPr>
        <w:pStyle w:val="4"/>
        <w:spacing w:before="0" w:after="0" w:line="460" w:lineRule="exact"/>
        <w:rPr>
          <w:rFonts w:ascii="仿宋" w:hAnsi="仿宋" w:eastAsia="仿宋" w:cs="仿宋"/>
          <w:color w:val="auto"/>
          <w:sz w:val="24"/>
          <w:szCs w:val="24"/>
        </w:rPr>
      </w:pPr>
      <w:bookmarkStart w:id="78" w:name="_Toc22218"/>
      <w:r>
        <w:rPr>
          <w:rFonts w:hint="eastAsia" w:ascii="仿宋" w:hAnsi="仿宋" w:eastAsia="仿宋" w:cs="仿宋"/>
          <w:color w:val="auto"/>
          <w:sz w:val="24"/>
          <w:szCs w:val="24"/>
        </w:rPr>
        <w:t>十一、注册房地产估价师</w:t>
      </w:r>
      <w:bookmarkEnd w:id="71"/>
      <w:bookmarkEnd w:id="78"/>
    </w:p>
    <w:p>
      <w:pPr>
        <w:spacing w:line="460" w:lineRule="exact"/>
        <w:jc w:val="left"/>
        <w:rPr>
          <w:rFonts w:ascii="仿宋" w:hAnsi="仿宋" w:eastAsia="仿宋" w:cs="宋体"/>
          <w:color w:val="auto"/>
          <w:spacing w:val="4"/>
          <w:sz w:val="24"/>
          <w:szCs w:val="24"/>
        </w:rPr>
      </w:pPr>
      <w:r>
        <w:rPr>
          <w:rFonts w:hint="eastAsia" w:ascii="仿宋" w:hAnsi="仿宋" w:eastAsia="仿宋" w:cs="宋体"/>
          <w:color w:val="auto"/>
          <w:spacing w:val="4"/>
          <w:sz w:val="24"/>
          <w:szCs w:val="24"/>
        </w:rPr>
        <w:t>参加本次估价的注册房地产估价师见下表：</w:t>
      </w:r>
    </w:p>
    <w:bookmarkEnd w:id="72"/>
    <w:bookmarkEnd w:id="73"/>
    <w:bookmarkEnd w:id="74"/>
    <w:tbl>
      <w:tblPr>
        <w:tblStyle w:val="45"/>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237"/>
        <w:gridCol w:w="283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2088" w:type="dxa"/>
          </w:tcPr>
          <w:p>
            <w:pPr>
              <w:adjustRightInd w:val="0"/>
              <w:spacing w:line="460" w:lineRule="exact"/>
              <w:jc w:val="center"/>
              <w:rPr>
                <w:rFonts w:ascii="仿宋" w:hAnsi="仿宋" w:eastAsia="仿宋" w:cs="仿宋"/>
                <w:snapToGrid w:val="0"/>
                <w:color w:val="auto"/>
                <w:kern w:val="0"/>
                <w:sz w:val="18"/>
                <w:szCs w:val="18"/>
              </w:rPr>
            </w:pPr>
            <w:r>
              <w:rPr>
                <w:rFonts w:hint="eastAsia" w:ascii="仿宋" w:hAnsi="仿宋" w:eastAsia="仿宋" w:cs="仿宋"/>
                <w:snapToGrid w:val="0"/>
                <w:color w:val="auto"/>
                <w:kern w:val="0"/>
                <w:sz w:val="18"/>
                <w:szCs w:val="18"/>
              </w:rPr>
              <w:t>姓    名</w:t>
            </w:r>
          </w:p>
        </w:tc>
        <w:tc>
          <w:tcPr>
            <w:tcW w:w="2237" w:type="dxa"/>
          </w:tcPr>
          <w:p>
            <w:pPr>
              <w:adjustRightInd w:val="0"/>
              <w:spacing w:line="460" w:lineRule="exact"/>
              <w:jc w:val="center"/>
              <w:rPr>
                <w:rFonts w:ascii="仿宋" w:hAnsi="仿宋" w:eastAsia="仿宋" w:cs="仿宋"/>
                <w:snapToGrid w:val="0"/>
                <w:color w:val="auto"/>
                <w:kern w:val="0"/>
                <w:sz w:val="18"/>
                <w:szCs w:val="18"/>
              </w:rPr>
            </w:pPr>
            <w:r>
              <w:rPr>
                <w:rFonts w:hint="eastAsia" w:ascii="仿宋" w:hAnsi="仿宋" w:eastAsia="仿宋" w:cs="仿宋"/>
                <w:snapToGrid w:val="0"/>
                <w:color w:val="auto"/>
                <w:kern w:val="0"/>
                <w:sz w:val="18"/>
                <w:szCs w:val="18"/>
              </w:rPr>
              <w:t>注  册  号</w:t>
            </w:r>
          </w:p>
        </w:tc>
        <w:tc>
          <w:tcPr>
            <w:tcW w:w="2833" w:type="dxa"/>
          </w:tcPr>
          <w:p>
            <w:pPr>
              <w:adjustRightInd w:val="0"/>
              <w:spacing w:line="480" w:lineRule="exact"/>
              <w:jc w:val="center"/>
              <w:rPr>
                <w:rFonts w:ascii="仿宋" w:hAnsi="仿宋" w:eastAsia="仿宋" w:cs="仿宋"/>
                <w:snapToGrid w:val="0"/>
                <w:color w:val="auto"/>
                <w:kern w:val="0"/>
                <w:sz w:val="18"/>
                <w:szCs w:val="18"/>
              </w:rPr>
            </w:pPr>
            <w:r>
              <w:rPr>
                <w:rFonts w:hint="eastAsia" w:ascii="仿宋" w:hAnsi="仿宋" w:eastAsia="仿宋" w:cs="仿宋"/>
                <w:snapToGrid w:val="0"/>
                <w:color w:val="auto"/>
                <w:kern w:val="0"/>
                <w:sz w:val="18"/>
                <w:szCs w:val="18"/>
              </w:rPr>
              <w:t>签    名</w:t>
            </w:r>
          </w:p>
        </w:tc>
        <w:tc>
          <w:tcPr>
            <w:tcW w:w="2088" w:type="dxa"/>
          </w:tcPr>
          <w:p>
            <w:pPr>
              <w:adjustRightInd w:val="0"/>
              <w:spacing w:line="480" w:lineRule="exact"/>
              <w:jc w:val="center"/>
              <w:rPr>
                <w:rFonts w:ascii="仿宋" w:hAnsi="仿宋" w:eastAsia="仿宋" w:cs="仿宋"/>
                <w:snapToGrid w:val="0"/>
                <w:color w:val="auto"/>
                <w:kern w:val="0"/>
                <w:sz w:val="18"/>
                <w:szCs w:val="18"/>
              </w:rPr>
            </w:pPr>
            <w:r>
              <w:rPr>
                <w:rFonts w:hint="eastAsia" w:ascii="仿宋" w:hAnsi="仿宋" w:eastAsia="仿宋" w:cs="仿宋"/>
                <w:snapToGrid w:val="0"/>
                <w:color w:val="auto"/>
                <w:kern w:val="0"/>
                <w:sz w:val="18"/>
                <w:szCs w:val="1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2088" w:type="dxa"/>
            <w:vAlign w:val="center"/>
          </w:tcPr>
          <w:p>
            <w:pPr>
              <w:adjustRightInd w:val="0"/>
              <w:spacing w:line="460" w:lineRule="exact"/>
              <w:jc w:val="center"/>
              <w:rPr>
                <w:rFonts w:hint="eastAsia" w:ascii="仿宋" w:hAnsi="仿宋" w:eastAsia="仿宋" w:cs="仿宋"/>
                <w:snapToGrid w:val="0"/>
                <w:color w:val="auto"/>
                <w:kern w:val="0"/>
                <w:sz w:val="18"/>
                <w:szCs w:val="18"/>
                <w:lang w:eastAsia="zh-CN"/>
              </w:rPr>
            </w:pPr>
            <w:r>
              <w:rPr>
                <w:rFonts w:hint="eastAsia" w:ascii="仿宋" w:hAnsi="仿宋" w:eastAsia="仿宋" w:cs="仿宋"/>
                <w:snapToGrid w:val="0"/>
                <w:color w:val="auto"/>
                <w:kern w:val="0"/>
                <w:sz w:val="18"/>
                <w:szCs w:val="18"/>
                <w:lang w:eastAsia="zh-CN"/>
              </w:rPr>
              <w:t>段春兰</w:t>
            </w:r>
          </w:p>
        </w:tc>
        <w:tc>
          <w:tcPr>
            <w:tcW w:w="2237"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 w:val="18"/>
                <w:szCs w:val="18"/>
              </w:rPr>
            </w:pPr>
            <w:r>
              <w:rPr>
                <w:rFonts w:hint="eastAsia" w:ascii="仿宋" w:hAnsi="仿宋" w:eastAsia="仿宋" w:cs="仿宋"/>
                <w:snapToGrid w:val="0"/>
                <w:color w:val="auto"/>
                <w:kern w:val="0"/>
                <w:szCs w:val="21"/>
                <w:lang w:val="en-US" w:eastAsia="zh-CN"/>
              </w:rPr>
              <w:t>5220190048</w:t>
            </w:r>
          </w:p>
        </w:tc>
        <w:tc>
          <w:tcPr>
            <w:tcW w:w="2833" w:type="dxa"/>
            <w:vAlign w:val="center"/>
          </w:tcPr>
          <w:p>
            <w:pPr>
              <w:tabs>
                <w:tab w:val="left" w:pos="2044"/>
              </w:tabs>
              <w:adjustRightInd w:val="0"/>
              <w:spacing w:line="500" w:lineRule="exact"/>
              <w:ind w:firstLine="360" w:firstLineChars="200"/>
              <w:rPr>
                <w:rFonts w:ascii="仿宋" w:hAnsi="仿宋" w:eastAsia="仿宋" w:cs="仿宋"/>
                <w:snapToGrid w:val="0"/>
                <w:color w:val="auto"/>
                <w:kern w:val="0"/>
                <w:sz w:val="18"/>
                <w:szCs w:val="18"/>
              </w:rPr>
            </w:pPr>
          </w:p>
        </w:tc>
        <w:tc>
          <w:tcPr>
            <w:tcW w:w="2088" w:type="dxa"/>
            <w:vAlign w:val="center"/>
          </w:tcPr>
          <w:p>
            <w:pPr>
              <w:tabs>
                <w:tab w:val="left" w:pos="2044"/>
              </w:tabs>
              <w:adjustRightInd w:val="0"/>
              <w:spacing w:line="500" w:lineRule="exact"/>
              <w:rPr>
                <w:rFonts w:hint="eastAsia" w:ascii="仿宋" w:hAnsi="仿宋" w:eastAsia="仿宋" w:cs="仿宋"/>
                <w:snapToGrid w:val="0"/>
                <w:color w:val="auto"/>
                <w:kern w:val="0"/>
                <w:sz w:val="18"/>
                <w:szCs w:val="18"/>
                <w:lang w:eastAsia="zh-CN"/>
              </w:rPr>
            </w:pPr>
            <w:r>
              <w:rPr>
                <w:rFonts w:hint="eastAsia" w:ascii="仿宋" w:hAnsi="仿宋" w:eastAsia="仿宋" w:cs="仿宋"/>
                <w:snapToGrid w:val="0"/>
                <w:color w:val="auto"/>
                <w:kern w:val="0"/>
                <w:szCs w:val="21"/>
              </w:rPr>
              <w:t xml:space="preserve"> </w:t>
            </w:r>
            <w:r>
              <w:rPr>
                <w:rFonts w:hint="eastAsia" w:ascii="仿宋" w:hAnsi="仿宋" w:eastAsia="仿宋" w:cs="仿宋"/>
                <w:snapToGrid w:val="0"/>
                <w:color w:val="auto"/>
                <w:kern w:val="0"/>
                <w:szCs w:val="21"/>
                <w:lang w:eastAsia="zh-CN"/>
              </w:rPr>
              <w:t xml:space="preserve"> 2019年11月</w:t>
            </w:r>
            <w:r>
              <w:rPr>
                <w:rFonts w:hint="eastAsia" w:ascii="仿宋" w:hAnsi="仿宋" w:eastAsia="仿宋" w:cs="仿宋"/>
                <w:snapToGrid w:val="0"/>
                <w:color w:val="auto"/>
                <w:kern w:val="0"/>
                <w:szCs w:val="21"/>
                <w:lang w:val="en-US" w:eastAsia="zh-CN"/>
              </w:rPr>
              <w:t>5</w:t>
            </w:r>
            <w:r>
              <w:rPr>
                <w:rFonts w:hint="eastAsia" w:ascii="仿宋" w:hAnsi="仿宋" w:eastAsia="仿宋" w:cs="仿宋"/>
                <w:snapToGrid w:val="0"/>
                <w:color w:val="auto"/>
                <w:kern w:val="0"/>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2088" w:type="dxa"/>
            <w:vAlign w:val="center"/>
          </w:tcPr>
          <w:p>
            <w:pPr>
              <w:adjustRightInd w:val="0"/>
              <w:spacing w:line="460" w:lineRule="exact"/>
              <w:jc w:val="center"/>
              <w:rPr>
                <w:rFonts w:ascii="仿宋" w:hAnsi="仿宋" w:eastAsia="仿宋" w:cs="仿宋"/>
                <w:snapToGrid w:val="0"/>
                <w:color w:val="auto"/>
                <w:kern w:val="0"/>
                <w:sz w:val="18"/>
                <w:szCs w:val="18"/>
              </w:rPr>
            </w:pPr>
            <w:r>
              <w:rPr>
                <w:rFonts w:hint="eastAsia" w:ascii="仿宋" w:hAnsi="仿宋" w:eastAsia="仿宋" w:cs="仿宋"/>
                <w:snapToGrid w:val="0"/>
                <w:color w:val="auto"/>
                <w:kern w:val="0"/>
                <w:sz w:val="18"/>
                <w:szCs w:val="18"/>
              </w:rPr>
              <w:t>罗泽芳</w:t>
            </w:r>
          </w:p>
        </w:tc>
        <w:tc>
          <w:tcPr>
            <w:tcW w:w="2237" w:type="dxa"/>
            <w:vAlign w:val="center"/>
          </w:tcPr>
          <w:p>
            <w:pPr>
              <w:tabs>
                <w:tab w:val="left" w:pos="2044"/>
              </w:tabs>
              <w:adjustRightInd w:val="0"/>
              <w:spacing w:line="500" w:lineRule="exact"/>
              <w:ind w:firstLine="420" w:firstLineChars="200"/>
              <w:rPr>
                <w:rFonts w:ascii="仿宋" w:hAnsi="仿宋" w:eastAsia="仿宋" w:cs="仿宋"/>
                <w:snapToGrid w:val="0"/>
                <w:color w:val="auto"/>
                <w:kern w:val="0"/>
                <w:sz w:val="18"/>
                <w:szCs w:val="18"/>
              </w:rPr>
            </w:pPr>
            <w:r>
              <w:rPr>
                <w:rFonts w:hint="eastAsia" w:ascii="仿宋" w:hAnsi="仿宋" w:eastAsia="仿宋" w:cs="仿宋"/>
                <w:snapToGrid w:val="0"/>
                <w:color w:val="auto"/>
                <w:kern w:val="0"/>
                <w:szCs w:val="21"/>
              </w:rPr>
              <w:t>5120150067</w:t>
            </w:r>
          </w:p>
        </w:tc>
        <w:tc>
          <w:tcPr>
            <w:tcW w:w="2833" w:type="dxa"/>
            <w:vAlign w:val="center"/>
          </w:tcPr>
          <w:p>
            <w:pPr>
              <w:tabs>
                <w:tab w:val="left" w:pos="2044"/>
              </w:tabs>
              <w:adjustRightInd w:val="0"/>
              <w:spacing w:line="500" w:lineRule="exact"/>
              <w:ind w:firstLine="360" w:firstLineChars="200"/>
              <w:rPr>
                <w:rFonts w:ascii="仿宋" w:hAnsi="仿宋" w:eastAsia="仿宋" w:cs="仿宋"/>
                <w:snapToGrid w:val="0"/>
                <w:color w:val="auto"/>
                <w:kern w:val="0"/>
                <w:sz w:val="18"/>
                <w:szCs w:val="18"/>
              </w:rPr>
            </w:pPr>
          </w:p>
        </w:tc>
        <w:tc>
          <w:tcPr>
            <w:tcW w:w="2088" w:type="dxa"/>
            <w:vAlign w:val="center"/>
          </w:tcPr>
          <w:p>
            <w:pPr>
              <w:tabs>
                <w:tab w:val="left" w:pos="2044"/>
              </w:tabs>
              <w:adjustRightInd w:val="0"/>
              <w:spacing w:line="500" w:lineRule="exact"/>
              <w:ind w:firstLine="210" w:firstLineChars="100"/>
              <w:rPr>
                <w:rFonts w:hint="eastAsia" w:ascii="仿宋" w:hAnsi="仿宋" w:eastAsia="仿宋" w:cs="仿宋"/>
                <w:snapToGrid w:val="0"/>
                <w:color w:val="auto"/>
                <w:kern w:val="0"/>
                <w:sz w:val="18"/>
                <w:szCs w:val="18"/>
                <w:lang w:eastAsia="zh-CN"/>
              </w:rPr>
            </w:pPr>
            <w:r>
              <w:rPr>
                <w:rFonts w:hint="eastAsia" w:ascii="仿宋" w:hAnsi="仿宋" w:eastAsia="仿宋" w:cs="仿宋"/>
                <w:snapToGrid w:val="0"/>
                <w:color w:val="auto"/>
                <w:kern w:val="0"/>
                <w:szCs w:val="21"/>
                <w:lang w:eastAsia="zh-CN"/>
              </w:rPr>
              <w:t>2019年</w:t>
            </w:r>
            <w:r>
              <w:rPr>
                <w:rFonts w:hint="eastAsia" w:ascii="仿宋" w:hAnsi="仿宋" w:eastAsia="仿宋" w:cs="仿宋"/>
                <w:snapToGrid w:val="0"/>
                <w:color w:val="auto"/>
                <w:kern w:val="0"/>
                <w:szCs w:val="21"/>
                <w:lang w:val="en-US" w:eastAsia="zh-CN"/>
              </w:rPr>
              <w:t>11</w:t>
            </w:r>
            <w:r>
              <w:rPr>
                <w:rFonts w:hint="eastAsia" w:ascii="仿宋" w:hAnsi="仿宋" w:eastAsia="仿宋" w:cs="仿宋"/>
                <w:snapToGrid w:val="0"/>
                <w:color w:val="auto"/>
                <w:kern w:val="0"/>
                <w:szCs w:val="21"/>
                <w:lang w:eastAsia="zh-CN"/>
              </w:rPr>
              <w:t>月</w:t>
            </w:r>
            <w:r>
              <w:rPr>
                <w:rFonts w:hint="eastAsia" w:ascii="仿宋" w:hAnsi="仿宋" w:eastAsia="仿宋" w:cs="仿宋"/>
                <w:snapToGrid w:val="0"/>
                <w:color w:val="auto"/>
                <w:kern w:val="0"/>
                <w:szCs w:val="21"/>
                <w:lang w:val="en-US" w:eastAsia="zh-CN"/>
              </w:rPr>
              <w:t>5</w:t>
            </w:r>
            <w:r>
              <w:rPr>
                <w:rFonts w:hint="eastAsia" w:ascii="仿宋" w:hAnsi="仿宋" w:eastAsia="仿宋" w:cs="仿宋"/>
                <w:snapToGrid w:val="0"/>
                <w:color w:val="auto"/>
                <w:kern w:val="0"/>
                <w:szCs w:val="21"/>
                <w:lang w:eastAsia="zh-CN"/>
              </w:rPr>
              <w:t>日</w:t>
            </w:r>
          </w:p>
        </w:tc>
      </w:tr>
    </w:tbl>
    <w:p>
      <w:pPr>
        <w:pStyle w:val="4"/>
        <w:spacing w:before="0" w:after="0" w:line="460" w:lineRule="exact"/>
        <w:rPr>
          <w:rFonts w:ascii="仿宋" w:hAnsi="仿宋" w:eastAsia="仿宋" w:cs="仿宋"/>
          <w:color w:val="auto"/>
          <w:sz w:val="24"/>
          <w:szCs w:val="24"/>
        </w:rPr>
      </w:pPr>
      <w:bookmarkStart w:id="79" w:name="_Toc444180891"/>
      <w:bookmarkStart w:id="80" w:name="_Toc12853"/>
      <w:r>
        <w:rPr>
          <w:rFonts w:hint="eastAsia" w:ascii="仿宋" w:hAnsi="仿宋" w:eastAsia="仿宋" w:cs="仿宋"/>
          <w:color w:val="auto"/>
          <w:sz w:val="24"/>
          <w:szCs w:val="24"/>
        </w:rPr>
        <w:t>十二、实地查勘期</w:t>
      </w:r>
      <w:bookmarkEnd w:id="79"/>
      <w:bookmarkEnd w:id="80"/>
    </w:p>
    <w:p>
      <w:pPr>
        <w:adjustRightInd w:val="0"/>
        <w:spacing w:line="44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本次估价对象的实地查勘期为</w:t>
      </w:r>
      <w:r>
        <w:rPr>
          <w:rFonts w:hint="eastAsia" w:ascii="仿宋" w:hAnsi="仿宋" w:eastAsia="仿宋" w:cs="宋体"/>
          <w:color w:val="auto"/>
          <w:sz w:val="24"/>
          <w:szCs w:val="24"/>
          <w:lang w:eastAsia="zh-CN"/>
        </w:rPr>
        <w:t>2019年10月29日</w:t>
      </w:r>
      <w:r>
        <w:rPr>
          <w:rFonts w:hint="eastAsia" w:ascii="仿宋" w:hAnsi="仿宋" w:eastAsia="仿宋" w:cs="宋体"/>
          <w:color w:val="auto"/>
          <w:sz w:val="24"/>
          <w:szCs w:val="24"/>
        </w:rPr>
        <w:t>。</w:t>
      </w:r>
    </w:p>
    <w:p>
      <w:pPr>
        <w:pStyle w:val="4"/>
        <w:spacing w:before="0" w:after="0" w:line="460" w:lineRule="exact"/>
        <w:rPr>
          <w:rFonts w:ascii="仿宋" w:hAnsi="仿宋" w:eastAsia="仿宋" w:cs="仿宋"/>
          <w:color w:val="auto"/>
          <w:sz w:val="24"/>
          <w:szCs w:val="24"/>
        </w:rPr>
      </w:pPr>
      <w:bookmarkStart w:id="81" w:name="_Toc22734"/>
      <w:bookmarkStart w:id="82" w:name="_Toc444180892"/>
      <w:r>
        <w:rPr>
          <w:rFonts w:hint="eastAsia" w:ascii="仿宋" w:hAnsi="仿宋" w:eastAsia="仿宋" w:cs="仿宋"/>
          <w:color w:val="auto"/>
          <w:sz w:val="24"/>
          <w:szCs w:val="24"/>
        </w:rPr>
        <w:t>十三、估价作业期</w:t>
      </w:r>
      <w:bookmarkEnd w:id="81"/>
      <w:bookmarkEnd w:id="82"/>
    </w:p>
    <w:p>
      <w:pPr>
        <w:adjustRightInd w:val="0"/>
        <w:spacing w:line="440" w:lineRule="exact"/>
        <w:ind w:firstLine="480" w:firstLineChars="200"/>
        <w:rPr>
          <w:rFonts w:ascii="宋体" w:hAnsi="宋体" w:cs="宋体"/>
          <w:snapToGrid w:val="0"/>
          <w:color w:val="auto"/>
          <w:kern w:val="0"/>
          <w:sz w:val="32"/>
          <w:szCs w:val="32"/>
        </w:rPr>
      </w:pPr>
      <w:bookmarkStart w:id="83" w:name="_Toc385002023"/>
      <w:bookmarkStart w:id="84" w:name="_Toc444180894"/>
      <w:r>
        <w:rPr>
          <w:rFonts w:hint="eastAsia" w:ascii="仿宋" w:hAnsi="仿宋" w:eastAsia="仿宋" w:cs="宋体"/>
          <w:color w:val="auto"/>
          <w:sz w:val="24"/>
          <w:szCs w:val="24"/>
        </w:rPr>
        <w:t>本次估价作业期为自受理估价委托之日</w:t>
      </w:r>
      <w:r>
        <w:rPr>
          <w:rFonts w:hint="eastAsia" w:ascii="仿宋" w:hAnsi="仿宋" w:eastAsia="仿宋" w:cs="宋体"/>
          <w:color w:val="auto"/>
          <w:sz w:val="24"/>
          <w:szCs w:val="24"/>
          <w:lang w:eastAsia="zh-CN"/>
        </w:rPr>
        <w:t>2019年</w:t>
      </w:r>
      <w:r>
        <w:rPr>
          <w:rFonts w:hint="eastAsia" w:ascii="仿宋" w:hAnsi="仿宋" w:eastAsia="仿宋" w:cs="宋体"/>
          <w:color w:val="auto"/>
          <w:sz w:val="24"/>
          <w:szCs w:val="24"/>
          <w:lang w:val="en-US" w:eastAsia="zh-CN"/>
        </w:rPr>
        <w:t>10</w:t>
      </w:r>
      <w:r>
        <w:rPr>
          <w:rFonts w:hint="eastAsia" w:ascii="仿宋" w:hAnsi="仿宋" w:eastAsia="仿宋" w:cs="宋体"/>
          <w:color w:val="auto"/>
          <w:sz w:val="24"/>
          <w:szCs w:val="24"/>
          <w:lang w:eastAsia="zh-CN"/>
        </w:rPr>
        <w:t>月</w:t>
      </w:r>
      <w:r>
        <w:rPr>
          <w:rFonts w:hint="eastAsia" w:ascii="仿宋" w:hAnsi="仿宋" w:eastAsia="仿宋" w:cs="宋体"/>
          <w:color w:val="auto"/>
          <w:sz w:val="24"/>
          <w:szCs w:val="24"/>
          <w:lang w:val="en-US" w:eastAsia="zh-CN"/>
        </w:rPr>
        <w:t>29</w:t>
      </w:r>
      <w:r>
        <w:rPr>
          <w:rFonts w:hint="eastAsia" w:ascii="仿宋" w:hAnsi="仿宋" w:eastAsia="仿宋" w:cs="宋体"/>
          <w:color w:val="auto"/>
          <w:sz w:val="24"/>
          <w:szCs w:val="24"/>
          <w:lang w:eastAsia="zh-CN"/>
        </w:rPr>
        <w:t>日</w:t>
      </w:r>
      <w:r>
        <w:rPr>
          <w:rFonts w:hint="eastAsia" w:ascii="仿宋" w:hAnsi="仿宋" w:eastAsia="仿宋" w:cs="宋体"/>
          <w:color w:val="auto"/>
          <w:sz w:val="24"/>
          <w:szCs w:val="24"/>
        </w:rPr>
        <w:t>至估价报告出具之日</w:t>
      </w:r>
      <w:r>
        <w:rPr>
          <w:rFonts w:hint="eastAsia" w:ascii="仿宋" w:hAnsi="仿宋" w:eastAsia="仿宋" w:cs="宋体"/>
          <w:color w:val="auto"/>
          <w:sz w:val="24"/>
          <w:szCs w:val="24"/>
          <w:lang w:eastAsia="zh-CN"/>
        </w:rPr>
        <w:t xml:space="preserve">  2019年11月</w:t>
      </w:r>
      <w:r>
        <w:rPr>
          <w:rFonts w:hint="eastAsia" w:ascii="仿宋" w:hAnsi="仿宋" w:eastAsia="仿宋" w:cs="宋体"/>
          <w:color w:val="auto"/>
          <w:sz w:val="24"/>
          <w:szCs w:val="24"/>
          <w:lang w:val="en-US" w:eastAsia="zh-CN"/>
        </w:rPr>
        <w:t>5</w:t>
      </w:r>
      <w:r>
        <w:rPr>
          <w:rFonts w:hint="eastAsia" w:ascii="仿宋" w:hAnsi="仿宋" w:eastAsia="仿宋" w:cs="宋体"/>
          <w:color w:val="auto"/>
          <w:sz w:val="24"/>
          <w:szCs w:val="24"/>
          <w:lang w:eastAsia="zh-CN"/>
        </w:rPr>
        <w:t>日</w:t>
      </w:r>
      <w:r>
        <w:rPr>
          <w:rFonts w:hint="eastAsia" w:ascii="仿宋" w:hAnsi="仿宋" w:eastAsia="仿宋" w:cs="宋体"/>
          <w:color w:val="auto"/>
          <w:sz w:val="24"/>
          <w:szCs w:val="24"/>
        </w:rPr>
        <w:t>。</w:t>
      </w:r>
      <w:bookmarkEnd w:id="83"/>
      <w:bookmarkEnd w:id="84"/>
      <w:bookmarkStart w:id="85" w:name="_Toc444180895"/>
      <w:r>
        <w:rPr>
          <w:rFonts w:hint="eastAsia" w:ascii="宋体" w:hAnsi="宋体" w:cs="宋体"/>
          <w:snapToGrid w:val="0"/>
          <w:color w:val="auto"/>
          <w:kern w:val="0"/>
          <w:sz w:val="32"/>
          <w:szCs w:val="32"/>
        </w:rPr>
        <w:br w:type="page"/>
      </w:r>
    </w:p>
    <w:p>
      <w:pPr>
        <w:pStyle w:val="3"/>
        <w:spacing w:before="120" w:after="120" w:line="240" w:lineRule="auto"/>
        <w:jc w:val="center"/>
        <w:rPr>
          <w:rFonts w:ascii="宋体" w:hAnsi="宋体" w:cs="宋体"/>
          <w:snapToGrid w:val="0"/>
          <w:color w:val="auto"/>
          <w:kern w:val="0"/>
          <w:sz w:val="32"/>
          <w:szCs w:val="32"/>
        </w:rPr>
      </w:pPr>
      <w:bookmarkStart w:id="86" w:name="_Toc21539"/>
      <w:r>
        <w:rPr>
          <w:rFonts w:hint="eastAsia" w:ascii="宋体" w:hAnsi="宋体" w:cs="宋体"/>
          <w:snapToGrid w:val="0"/>
          <w:color w:val="auto"/>
          <w:kern w:val="0"/>
          <w:sz w:val="32"/>
          <w:szCs w:val="32"/>
        </w:rPr>
        <w:t>估价报告附件</w:t>
      </w:r>
      <w:bookmarkEnd w:id="85"/>
      <w:bookmarkEnd w:id="86"/>
    </w:p>
    <w:p>
      <w:pPr>
        <w:pStyle w:val="4"/>
        <w:numPr>
          <w:ilvl w:val="0"/>
          <w:numId w:val="2"/>
        </w:numPr>
        <w:tabs>
          <w:tab w:val="left" w:pos="413"/>
        </w:tabs>
        <w:spacing w:before="0" w:after="0" w:line="560" w:lineRule="exact"/>
        <w:rPr>
          <w:rFonts w:ascii="仿宋_GB2312" w:hAnsi="仿宋" w:eastAsia="仿宋_GB2312" w:cs="宋体"/>
          <w:b w:val="0"/>
          <w:bCs w:val="0"/>
          <w:color w:val="auto"/>
          <w:sz w:val="24"/>
          <w:szCs w:val="24"/>
        </w:rPr>
      </w:pPr>
      <w:bookmarkStart w:id="87" w:name="_Toc1972"/>
      <w:r>
        <w:rPr>
          <w:rFonts w:hint="eastAsia" w:ascii="仿宋_GB2312" w:hAnsi="仿宋" w:eastAsia="仿宋_GB2312" w:cs="宋体"/>
          <w:b w:val="0"/>
          <w:bCs w:val="0"/>
          <w:color w:val="auto"/>
          <w:sz w:val="24"/>
          <w:szCs w:val="24"/>
        </w:rPr>
        <w:t>（2019）黔</w:t>
      </w:r>
      <w:r>
        <w:rPr>
          <w:rFonts w:hint="eastAsia" w:ascii="仿宋_GB2312" w:hAnsi="仿宋" w:eastAsia="仿宋_GB2312" w:cs="宋体"/>
          <w:b w:val="0"/>
          <w:bCs w:val="0"/>
          <w:color w:val="auto"/>
          <w:sz w:val="24"/>
          <w:szCs w:val="24"/>
          <w:lang w:eastAsia="zh-CN"/>
        </w:rPr>
        <w:t>钟</w:t>
      </w:r>
      <w:r>
        <w:rPr>
          <w:rFonts w:hint="eastAsia" w:ascii="仿宋_GB2312" w:hAnsi="仿宋" w:eastAsia="仿宋_GB2312" w:cs="宋体"/>
          <w:b w:val="0"/>
          <w:bCs w:val="0"/>
          <w:color w:val="auto"/>
          <w:sz w:val="24"/>
          <w:szCs w:val="24"/>
        </w:rPr>
        <w:t>委</w:t>
      </w:r>
      <w:r>
        <w:rPr>
          <w:rFonts w:hint="eastAsia" w:ascii="仿宋_GB2312" w:hAnsi="仿宋" w:eastAsia="仿宋_GB2312" w:cs="宋体"/>
          <w:b w:val="0"/>
          <w:bCs w:val="0"/>
          <w:color w:val="auto"/>
          <w:sz w:val="24"/>
          <w:szCs w:val="24"/>
          <w:lang w:eastAsia="zh-CN"/>
        </w:rPr>
        <w:t>评</w:t>
      </w:r>
      <w:r>
        <w:rPr>
          <w:rFonts w:hint="eastAsia" w:ascii="仿宋_GB2312" w:hAnsi="仿宋" w:eastAsia="仿宋_GB2312" w:cs="宋体"/>
          <w:b w:val="0"/>
          <w:bCs w:val="0"/>
          <w:color w:val="auto"/>
          <w:sz w:val="24"/>
          <w:szCs w:val="24"/>
        </w:rPr>
        <w:t>字</w:t>
      </w:r>
      <w:r>
        <w:rPr>
          <w:rFonts w:hint="eastAsia" w:ascii="仿宋_GB2312" w:hAnsi="仿宋" w:eastAsia="仿宋_GB2312" w:cs="宋体"/>
          <w:b w:val="0"/>
          <w:bCs w:val="0"/>
          <w:color w:val="auto"/>
          <w:sz w:val="24"/>
          <w:szCs w:val="24"/>
          <w:lang w:eastAsia="zh-CN"/>
        </w:rPr>
        <w:t>第139号</w:t>
      </w:r>
      <w:r>
        <w:rPr>
          <w:rFonts w:hint="eastAsia" w:ascii="仿宋_GB2312" w:hAnsi="仿宋" w:eastAsia="仿宋_GB2312" w:cs="宋体"/>
          <w:b w:val="0"/>
          <w:bCs w:val="0"/>
          <w:color w:val="auto"/>
          <w:sz w:val="24"/>
          <w:szCs w:val="24"/>
        </w:rPr>
        <w:t>《</w:t>
      </w:r>
      <w:r>
        <w:rPr>
          <w:rFonts w:hint="eastAsia" w:ascii="仿宋_GB2312" w:hAnsi="仿宋" w:eastAsia="仿宋_GB2312" w:cs="宋体"/>
          <w:b w:val="0"/>
          <w:bCs w:val="0"/>
          <w:color w:val="auto"/>
          <w:sz w:val="24"/>
          <w:szCs w:val="24"/>
          <w:lang w:eastAsia="zh-CN"/>
        </w:rPr>
        <w:t>六盘水市钟山区人民法院评估委托书</w:t>
      </w:r>
      <w:r>
        <w:rPr>
          <w:rFonts w:hint="eastAsia" w:ascii="仿宋_GB2312" w:hAnsi="仿宋" w:eastAsia="仿宋_GB2312" w:cs="宋体"/>
          <w:b w:val="0"/>
          <w:bCs w:val="0"/>
          <w:color w:val="auto"/>
          <w:sz w:val="24"/>
          <w:szCs w:val="24"/>
        </w:rPr>
        <w:t>》复</w:t>
      </w:r>
      <w:r>
        <w:rPr>
          <w:rFonts w:hint="eastAsia" w:ascii="仿宋_GB2312" w:hAnsi="仿宋" w:eastAsia="仿宋_GB2312" w:cs="宋体"/>
          <w:b w:val="0"/>
          <w:bCs w:val="0"/>
          <w:color w:val="auto"/>
          <w:sz w:val="24"/>
          <w:szCs w:val="24"/>
          <w:lang w:eastAsia="zh-CN"/>
        </w:rPr>
        <w:t>印</w:t>
      </w:r>
      <w:r>
        <w:rPr>
          <w:rFonts w:hint="eastAsia" w:ascii="仿宋_GB2312" w:hAnsi="仿宋" w:eastAsia="仿宋_GB2312" w:cs="宋体"/>
          <w:b w:val="0"/>
          <w:bCs w:val="0"/>
          <w:color w:val="auto"/>
          <w:sz w:val="24"/>
          <w:szCs w:val="24"/>
        </w:rPr>
        <w:t>件</w:t>
      </w:r>
      <w:bookmarkEnd w:id="87"/>
    </w:p>
    <w:p>
      <w:pPr>
        <w:pStyle w:val="4"/>
        <w:numPr>
          <w:ilvl w:val="0"/>
          <w:numId w:val="2"/>
        </w:numPr>
        <w:spacing w:before="0" w:after="0" w:line="560" w:lineRule="exact"/>
        <w:rPr>
          <w:rFonts w:ascii="仿宋_GB2312" w:hAnsi="仿宋" w:eastAsia="仿宋_GB2312" w:cs="宋体"/>
          <w:b w:val="0"/>
          <w:bCs w:val="0"/>
          <w:color w:val="auto"/>
          <w:sz w:val="24"/>
          <w:szCs w:val="24"/>
        </w:rPr>
      </w:pPr>
      <w:bookmarkStart w:id="88" w:name="_Toc25474"/>
      <w:r>
        <w:rPr>
          <w:rFonts w:hint="eastAsia" w:ascii="仿宋_GB2312" w:hAnsi="仿宋" w:eastAsia="仿宋_GB2312" w:cs="宋体"/>
          <w:b w:val="0"/>
          <w:bCs w:val="0"/>
          <w:color w:val="auto"/>
          <w:sz w:val="24"/>
          <w:szCs w:val="24"/>
        </w:rPr>
        <w:t>估价对象位置图</w:t>
      </w:r>
      <w:bookmarkEnd w:id="88"/>
    </w:p>
    <w:p>
      <w:pPr>
        <w:pStyle w:val="4"/>
        <w:numPr>
          <w:ilvl w:val="0"/>
          <w:numId w:val="2"/>
        </w:numPr>
        <w:spacing w:before="0" w:after="0" w:line="560" w:lineRule="exact"/>
        <w:rPr>
          <w:rFonts w:ascii="仿宋_GB2312" w:hAnsi="仿宋" w:eastAsia="仿宋_GB2312" w:cs="宋体"/>
          <w:b w:val="0"/>
          <w:bCs w:val="0"/>
          <w:color w:val="auto"/>
          <w:sz w:val="24"/>
          <w:szCs w:val="24"/>
        </w:rPr>
      </w:pPr>
      <w:bookmarkStart w:id="89" w:name="_Toc30472"/>
      <w:r>
        <w:rPr>
          <w:rFonts w:hint="eastAsia" w:ascii="仿宋_GB2312" w:hAnsi="仿宋" w:eastAsia="仿宋_GB2312" w:cs="宋体"/>
          <w:b w:val="0"/>
          <w:bCs w:val="0"/>
          <w:color w:val="auto"/>
          <w:sz w:val="24"/>
          <w:szCs w:val="24"/>
        </w:rPr>
        <w:t>估价对象实地查勘情况和相关照片</w:t>
      </w:r>
      <w:bookmarkEnd w:id="89"/>
    </w:p>
    <w:p>
      <w:pPr>
        <w:pStyle w:val="4"/>
        <w:numPr>
          <w:ilvl w:val="0"/>
          <w:numId w:val="2"/>
        </w:numPr>
        <w:spacing w:before="0" w:after="0" w:line="560" w:lineRule="exact"/>
        <w:rPr>
          <w:rFonts w:ascii="仿宋_GB2312" w:hAnsi="仿宋" w:eastAsia="仿宋_GB2312" w:cs="宋体"/>
          <w:b w:val="0"/>
          <w:bCs w:val="0"/>
          <w:color w:val="auto"/>
          <w:sz w:val="24"/>
          <w:szCs w:val="24"/>
        </w:rPr>
      </w:pPr>
      <w:bookmarkStart w:id="90" w:name="_Toc26710"/>
      <w:r>
        <w:rPr>
          <w:rFonts w:hint="eastAsia" w:ascii="仿宋_GB2312" w:hAnsi="仿宋" w:eastAsia="仿宋_GB2312" w:cs="宋体"/>
          <w:b w:val="0"/>
          <w:bCs w:val="0"/>
          <w:color w:val="auto"/>
          <w:sz w:val="24"/>
          <w:szCs w:val="24"/>
        </w:rPr>
        <w:t>估价对象《</w:t>
      </w:r>
      <w:r>
        <w:rPr>
          <w:rFonts w:hint="eastAsia" w:ascii="仿宋_GB2312" w:hAnsi="仿宋" w:eastAsia="仿宋_GB2312" w:cs="宋体"/>
          <w:b w:val="0"/>
          <w:bCs w:val="0"/>
          <w:color w:val="auto"/>
          <w:sz w:val="24"/>
          <w:szCs w:val="24"/>
          <w:lang w:eastAsia="zh-CN"/>
        </w:rPr>
        <w:t>不动产信息查询结果</w:t>
      </w:r>
      <w:r>
        <w:rPr>
          <w:rFonts w:hint="eastAsia" w:ascii="仿宋_GB2312" w:hAnsi="仿宋" w:eastAsia="仿宋_GB2312" w:cs="宋体"/>
          <w:b w:val="0"/>
          <w:bCs w:val="0"/>
          <w:color w:val="auto"/>
          <w:sz w:val="24"/>
          <w:szCs w:val="24"/>
        </w:rPr>
        <w:t>》复印件</w:t>
      </w:r>
      <w:bookmarkEnd w:id="90"/>
    </w:p>
    <w:p>
      <w:pPr>
        <w:pStyle w:val="4"/>
        <w:spacing w:before="0" w:after="0" w:line="560" w:lineRule="exact"/>
        <w:ind w:left="420"/>
        <w:rPr>
          <w:rFonts w:ascii="仿宋_GB2312" w:hAnsi="仿宋" w:eastAsia="仿宋_GB2312" w:cs="宋体"/>
          <w:b w:val="0"/>
          <w:bCs w:val="0"/>
          <w:color w:val="auto"/>
          <w:sz w:val="24"/>
          <w:szCs w:val="24"/>
        </w:rPr>
      </w:pPr>
      <w:bookmarkStart w:id="91" w:name="_Toc28351"/>
      <w:r>
        <w:rPr>
          <w:rFonts w:hint="eastAsia" w:ascii="仿宋_GB2312" w:hAnsi="仿宋" w:eastAsia="仿宋_GB2312" w:cs="宋体"/>
          <w:b w:val="0"/>
          <w:bCs w:val="0"/>
          <w:color w:val="auto"/>
          <w:sz w:val="24"/>
          <w:szCs w:val="24"/>
        </w:rPr>
        <w:t>五、</w:t>
      </w:r>
      <w:bookmarkEnd w:id="91"/>
      <w:r>
        <w:rPr>
          <w:rFonts w:hint="eastAsia" w:ascii="仿宋_GB2312" w:hAnsi="仿宋" w:eastAsia="仿宋_GB2312" w:cs="宋体"/>
          <w:b w:val="0"/>
          <w:bCs w:val="0"/>
          <w:color w:val="auto"/>
          <w:sz w:val="24"/>
          <w:szCs w:val="24"/>
        </w:rPr>
        <w:t>估价专业帮助和相关专业意见说明</w:t>
      </w:r>
    </w:p>
    <w:p>
      <w:pPr>
        <w:pStyle w:val="4"/>
        <w:spacing w:before="0" w:after="0" w:line="560" w:lineRule="exact"/>
        <w:ind w:left="420"/>
        <w:rPr>
          <w:rFonts w:ascii="仿宋_GB2312" w:hAnsi="仿宋" w:eastAsia="仿宋_GB2312" w:cs="宋体"/>
          <w:b w:val="0"/>
          <w:bCs w:val="0"/>
          <w:color w:val="auto"/>
          <w:sz w:val="24"/>
          <w:szCs w:val="24"/>
        </w:rPr>
      </w:pPr>
      <w:bookmarkStart w:id="92" w:name="_Toc28322"/>
      <w:r>
        <w:rPr>
          <w:rFonts w:hint="eastAsia" w:ascii="仿宋_GB2312" w:hAnsi="仿宋" w:eastAsia="仿宋_GB2312" w:cs="宋体"/>
          <w:b w:val="0"/>
          <w:bCs w:val="0"/>
          <w:color w:val="auto"/>
          <w:sz w:val="24"/>
          <w:szCs w:val="24"/>
          <w:lang w:eastAsia="zh-CN"/>
        </w:rPr>
        <w:t>六</w:t>
      </w:r>
      <w:r>
        <w:rPr>
          <w:rFonts w:hint="eastAsia" w:ascii="仿宋_GB2312" w:hAnsi="仿宋" w:eastAsia="仿宋_GB2312" w:cs="宋体"/>
          <w:b w:val="0"/>
          <w:bCs w:val="0"/>
          <w:color w:val="auto"/>
          <w:sz w:val="24"/>
          <w:szCs w:val="24"/>
        </w:rPr>
        <w:t>、评估机构营业执照和评估机构</w:t>
      </w:r>
      <w:r>
        <w:rPr>
          <w:rFonts w:hint="eastAsia" w:ascii="仿宋_GB2312" w:hAnsi="仿宋" w:eastAsia="仿宋_GB2312" w:cs="宋体"/>
          <w:b w:val="0"/>
          <w:bCs w:val="0"/>
          <w:color w:val="auto"/>
          <w:sz w:val="24"/>
          <w:szCs w:val="24"/>
          <w:lang w:eastAsia="zh-CN"/>
        </w:rPr>
        <w:t>备案</w:t>
      </w:r>
      <w:r>
        <w:rPr>
          <w:rFonts w:hint="eastAsia" w:ascii="仿宋_GB2312" w:hAnsi="仿宋" w:eastAsia="仿宋_GB2312" w:cs="宋体"/>
          <w:b w:val="0"/>
          <w:bCs w:val="0"/>
          <w:color w:val="auto"/>
          <w:sz w:val="24"/>
          <w:szCs w:val="24"/>
        </w:rPr>
        <w:t>证书复印件</w:t>
      </w:r>
      <w:bookmarkEnd w:id="92"/>
    </w:p>
    <w:p>
      <w:pPr>
        <w:pStyle w:val="4"/>
        <w:spacing w:before="0" w:after="0" w:line="560" w:lineRule="exact"/>
        <w:ind w:left="420"/>
        <w:rPr>
          <w:rFonts w:ascii="仿宋_GB2312" w:hAnsi="仿宋" w:eastAsia="仿宋_GB2312" w:cs="宋体"/>
          <w:b w:val="0"/>
          <w:bCs w:val="0"/>
          <w:color w:val="auto"/>
          <w:sz w:val="24"/>
          <w:szCs w:val="24"/>
        </w:rPr>
      </w:pPr>
      <w:bookmarkStart w:id="93" w:name="_Toc15130"/>
      <w:r>
        <w:rPr>
          <w:rFonts w:hint="eastAsia" w:ascii="仿宋_GB2312" w:hAnsi="仿宋" w:eastAsia="仿宋_GB2312" w:cs="宋体"/>
          <w:b w:val="0"/>
          <w:bCs w:val="0"/>
          <w:color w:val="auto"/>
          <w:sz w:val="24"/>
          <w:szCs w:val="24"/>
          <w:lang w:eastAsia="zh-CN"/>
        </w:rPr>
        <w:t>七</w:t>
      </w:r>
      <w:r>
        <w:rPr>
          <w:rFonts w:hint="eastAsia" w:ascii="仿宋_GB2312" w:hAnsi="仿宋" w:eastAsia="仿宋_GB2312" w:cs="宋体"/>
          <w:b w:val="0"/>
          <w:bCs w:val="0"/>
          <w:color w:val="auto"/>
          <w:sz w:val="24"/>
          <w:szCs w:val="24"/>
        </w:rPr>
        <w:t>、注册房地产估价师注册证书复印件</w:t>
      </w:r>
      <w:bookmarkEnd w:id="93"/>
    </w:p>
    <w:p>
      <w:pPr>
        <w:pStyle w:val="4"/>
        <w:spacing w:before="0" w:after="0" w:line="560" w:lineRule="exact"/>
        <w:ind w:left="420"/>
        <w:rPr>
          <w:rFonts w:eastAsia="仿宋_GB2312"/>
          <w:color w:val="auto"/>
        </w:rPr>
      </w:pPr>
      <w:r>
        <w:rPr>
          <w:rFonts w:hint="eastAsia" w:ascii="仿宋_GB2312" w:hAnsi="仿宋" w:eastAsia="仿宋_GB2312" w:cs="宋体"/>
          <w:b w:val="0"/>
          <w:bCs w:val="0"/>
          <w:color w:val="auto"/>
          <w:sz w:val="24"/>
          <w:szCs w:val="24"/>
        </w:rPr>
        <w:t xml:space="preserve">        </w:t>
      </w:r>
    </w:p>
    <w:bookmarkEnd w:id="26"/>
    <w:bookmarkEnd w:id="27"/>
    <w:p>
      <w:pPr>
        <w:widowControl/>
        <w:jc w:val="left"/>
        <w:rPr>
          <w:rFonts w:ascii="仿宋" w:hAnsi="仿宋"/>
          <w:color w:val="auto"/>
        </w:rPr>
      </w:pPr>
    </w:p>
    <w:sectPr>
      <w:footerReference r:id="rId5" w:type="default"/>
      <w:pgSz w:w="11906" w:h="16838"/>
      <w:pgMar w:top="1440" w:right="1196" w:bottom="1440" w:left="16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1"/>
        <w:left w:val="none" w:color="auto" w:sz="0" w:space="4"/>
        <w:bottom w:val="single" w:color="auto" w:sz="4" w:space="1"/>
        <w:right w:val="none" w:color="auto" w:sz="0" w:space="4"/>
      </w:pBdr>
      <w:rPr>
        <w:u w:val="single"/>
      </w:rPr>
    </w:pPr>
  </w:p>
  <w:p>
    <w:pPr>
      <w:pStyle w:val="21"/>
      <w:ind w:right="360"/>
    </w:pPr>
    <w:r>
      <w:rPr>
        <w:rFonts w:hint="eastAsia"/>
      </w:rPr>
      <w:t xml:space="preserve">地址：贵阳市观山湖区长岭北路8号美的·财智中心C座4-16   电话： 0851-85811907    17785964961   </w:t>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1"/>
        <w:left w:val="none" w:color="auto" w:sz="0" w:space="4"/>
        <w:bottom w:val="single" w:color="auto" w:sz="4" w:space="1"/>
        <w:right w:val="none" w:color="auto" w:sz="0" w:space="4"/>
      </w:pBdr>
      <w:ind w:right="360"/>
      <w:rPr>
        <w:u w:val="single"/>
      </w:rPr>
    </w:pPr>
  </w:p>
  <w:p>
    <w:pPr>
      <w:pStyle w:val="21"/>
      <w:ind w:right="360"/>
    </w:pPr>
    <w:r>
      <w:rPr>
        <w:rFonts w:hint="eastAsia"/>
      </w:rPr>
      <w:t xml:space="preserve">地址：贵阳市观山湖区长岭北路8号美的·财智中心C座4-16   电话： 0851-85811907    17785964961   </w:t>
    </w:r>
    <w:r>
      <w:pict>
        <v:shape id="4098" o:spid="_x0000_s4098" o:spt="202" type="#_x0000_t202" style="position:absolute;left:0pt;margin-left:445.6pt;margin-top:1.55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1"/>
                  <w:rPr>
                    <w:rStyle w:val="34"/>
                  </w:rPr>
                </w:pPr>
                <w:r>
                  <w:fldChar w:fldCharType="begin"/>
                </w:r>
                <w:r>
                  <w:rPr>
                    <w:rStyle w:val="34"/>
                  </w:rPr>
                  <w:instrText xml:space="preserve">PAGE  </w:instrText>
                </w:r>
                <w:r>
                  <w:fldChar w:fldCharType="separate"/>
                </w:r>
                <w:r>
                  <w:rPr>
                    <w:rStyle w:val="34"/>
                  </w:rPr>
                  <w:t>15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thickThinSmallGap" w:color="auto" w:sz="12" w:space="1"/>
      </w:pBdr>
      <w:jc w:val="both"/>
    </w:pPr>
    <w:r>
      <w:rPr>
        <w:rFonts w:hint="eastAsia"/>
      </w:rPr>
      <w:t xml:space="preserve">  </w:t>
    </w:r>
    <w:r>
      <w:drawing>
        <wp:anchor distT="0" distB="0" distL="114300" distR="114300" simplePos="0" relativeHeight="251663360" behindDoc="0" locked="0" layoutInCell="1" allowOverlap="1">
          <wp:simplePos x="0" y="0"/>
          <wp:positionH relativeFrom="column">
            <wp:posOffset>5080</wp:posOffset>
          </wp:positionH>
          <wp:positionV relativeFrom="paragraph">
            <wp:posOffset>-635</wp:posOffset>
          </wp:positionV>
          <wp:extent cx="266700" cy="260350"/>
          <wp:effectExtent l="0" t="0" r="0" b="6350"/>
          <wp:wrapNone/>
          <wp:docPr id="1" name="Picture 6" descr="天成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天成封面"/>
                  <pic:cNvPicPr>
                    <a:picLocks noChangeAspect="1"/>
                  </pic:cNvPicPr>
                </pic:nvPicPr>
                <pic:blipFill>
                  <a:blip r:embed="rId1"/>
                  <a:srcRect t="68477" r="71970"/>
                  <a:stretch>
                    <a:fillRect/>
                  </a:stretch>
                </pic:blipFill>
                <pic:spPr>
                  <a:xfrm>
                    <a:off x="0" y="0"/>
                    <a:ext cx="266700" cy="260350"/>
                  </a:xfrm>
                  <a:prstGeom prst="rect">
                    <a:avLst/>
                  </a:prstGeom>
                  <a:noFill/>
                  <a:ln>
                    <a:noFill/>
                  </a:ln>
                </pic:spPr>
              </pic:pic>
            </a:graphicData>
          </a:graphic>
        </wp:anchor>
      </w:drawing>
    </w:r>
    <w:r>
      <w:rPr>
        <w:rFonts w:hint="eastAsia"/>
      </w:rPr>
      <w:t xml:space="preserve">  </w:t>
    </w:r>
    <w:r>
      <w:rPr>
        <w:rFonts w:hint="eastAsia"/>
        <w:lang w:val="en-US" w:eastAsia="zh-CN"/>
      </w:rPr>
      <w:t xml:space="preserve"> </w:t>
    </w:r>
    <w:r>
      <w:rPr>
        <w:rStyle w:val="33"/>
        <w:rFonts w:hint="eastAsia" w:ascii="仿宋" w:hAnsi="仿宋" w:eastAsia="仿宋" w:cs="仿宋"/>
      </w:rPr>
      <w:t>天成估价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chineseCounting"/>
      <w:suff w:val="nothing"/>
      <w:lvlText w:val="%1、"/>
      <w:lvlJc w:val="left"/>
      <w:pPr>
        <w:ind w:left="0" w:firstLine="420"/>
      </w:pPr>
      <w:rPr>
        <w:rFonts w:hint="eastAsia"/>
      </w:rPr>
    </w:lvl>
  </w:abstractNum>
  <w:abstractNum w:abstractNumId="1">
    <w:nsid w:val="00000002"/>
    <w:multiLevelType w:val="singleLevel"/>
    <w:tmpl w:val="00000002"/>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46CB"/>
    <w:rsid w:val="003746CB"/>
    <w:rsid w:val="003E7C5C"/>
    <w:rsid w:val="003F1D60"/>
    <w:rsid w:val="0042695C"/>
    <w:rsid w:val="0045069E"/>
    <w:rsid w:val="004A0AA0"/>
    <w:rsid w:val="00507AE9"/>
    <w:rsid w:val="00571B87"/>
    <w:rsid w:val="005F7BCC"/>
    <w:rsid w:val="00665EB8"/>
    <w:rsid w:val="0072171F"/>
    <w:rsid w:val="0075662D"/>
    <w:rsid w:val="00796243"/>
    <w:rsid w:val="009315E0"/>
    <w:rsid w:val="00A078C5"/>
    <w:rsid w:val="00AA0BD6"/>
    <w:rsid w:val="00B145F7"/>
    <w:rsid w:val="00BD6E6C"/>
    <w:rsid w:val="00C92C1B"/>
    <w:rsid w:val="00CF2C68"/>
    <w:rsid w:val="00E61D76"/>
    <w:rsid w:val="00F506E7"/>
    <w:rsid w:val="00FB7559"/>
    <w:rsid w:val="03BB1088"/>
    <w:rsid w:val="04415751"/>
    <w:rsid w:val="0487724F"/>
    <w:rsid w:val="04C968AA"/>
    <w:rsid w:val="06095855"/>
    <w:rsid w:val="0679343B"/>
    <w:rsid w:val="070734AD"/>
    <w:rsid w:val="07702FB3"/>
    <w:rsid w:val="07C97574"/>
    <w:rsid w:val="084C052F"/>
    <w:rsid w:val="08B742DB"/>
    <w:rsid w:val="08E72BF2"/>
    <w:rsid w:val="09930B5E"/>
    <w:rsid w:val="0B970B74"/>
    <w:rsid w:val="0C857F1A"/>
    <w:rsid w:val="0D132E13"/>
    <w:rsid w:val="0DE93732"/>
    <w:rsid w:val="0EC60BFD"/>
    <w:rsid w:val="0FBF6D75"/>
    <w:rsid w:val="12290457"/>
    <w:rsid w:val="152326D2"/>
    <w:rsid w:val="154D349A"/>
    <w:rsid w:val="15A75592"/>
    <w:rsid w:val="15FD766A"/>
    <w:rsid w:val="16171DC4"/>
    <w:rsid w:val="16242420"/>
    <w:rsid w:val="16D44839"/>
    <w:rsid w:val="1A22049C"/>
    <w:rsid w:val="1B0B7FB2"/>
    <w:rsid w:val="1B76583A"/>
    <w:rsid w:val="1C3C207F"/>
    <w:rsid w:val="1C5B04D7"/>
    <w:rsid w:val="1C6755A4"/>
    <w:rsid w:val="1CF53DEE"/>
    <w:rsid w:val="1D2A7A57"/>
    <w:rsid w:val="1D811E3A"/>
    <w:rsid w:val="1DA82487"/>
    <w:rsid w:val="1E0754C8"/>
    <w:rsid w:val="1FFE6C03"/>
    <w:rsid w:val="20E30F4B"/>
    <w:rsid w:val="227F6AD9"/>
    <w:rsid w:val="22C05F87"/>
    <w:rsid w:val="23665AF6"/>
    <w:rsid w:val="2483386B"/>
    <w:rsid w:val="258C7BF0"/>
    <w:rsid w:val="28623A5D"/>
    <w:rsid w:val="29F723C8"/>
    <w:rsid w:val="2A0F04F4"/>
    <w:rsid w:val="2A1575DB"/>
    <w:rsid w:val="2A1A5B8E"/>
    <w:rsid w:val="2BFE66F3"/>
    <w:rsid w:val="2D52282A"/>
    <w:rsid w:val="2E214721"/>
    <w:rsid w:val="30FC2F70"/>
    <w:rsid w:val="31BC56D7"/>
    <w:rsid w:val="32765ECA"/>
    <w:rsid w:val="32822C3E"/>
    <w:rsid w:val="32A050A3"/>
    <w:rsid w:val="32B33566"/>
    <w:rsid w:val="34803FAF"/>
    <w:rsid w:val="34DB35A6"/>
    <w:rsid w:val="35272EB2"/>
    <w:rsid w:val="35DC2F1C"/>
    <w:rsid w:val="367576C2"/>
    <w:rsid w:val="36B3230B"/>
    <w:rsid w:val="37B32E15"/>
    <w:rsid w:val="394D025A"/>
    <w:rsid w:val="3A107AF2"/>
    <w:rsid w:val="3A422B88"/>
    <w:rsid w:val="3A8857BC"/>
    <w:rsid w:val="3ADA59A7"/>
    <w:rsid w:val="3BB84A2D"/>
    <w:rsid w:val="3C5F235B"/>
    <w:rsid w:val="3C6765F9"/>
    <w:rsid w:val="3D9644D3"/>
    <w:rsid w:val="3F2B6D4F"/>
    <w:rsid w:val="3F402B0E"/>
    <w:rsid w:val="41287245"/>
    <w:rsid w:val="41A45C1C"/>
    <w:rsid w:val="42D9330F"/>
    <w:rsid w:val="42F82680"/>
    <w:rsid w:val="460371E1"/>
    <w:rsid w:val="46553297"/>
    <w:rsid w:val="46E10C2F"/>
    <w:rsid w:val="47E84A79"/>
    <w:rsid w:val="483370F8"/>
    <w:rsid w:val="4AA21C44"/>
    <w:rsid w:val="4BFD74E3"/>
    <w:rsid w:val="4D413AF4"/>
    <w:rsid w:val="4D4629DF"/>
    <w:rsid w:val="4F7E515A"/>
    <w:rsid w:val="502E7759"/>
    <w:rsid w:val="50E62259"/>
    <w:rsid w:val="51316647"/>
    <w:rsid w:val="513D5D0F"/>
    <w:rsid w:val="51C324E3"/>
    <w:rsid w:val="532A5B17"/>
    <w:rsid w:val="54272D7E"/>
    <w:rsid w:val="54CE23CB"/>
    <w:rsid w:val="56B81A19"/>
    <w:rsid w:val="56FE1A32"/>
    <w:rsid w:val="586B0E6C"/>
    <w:rsid w:val="592219B0"/>
    <w:rsid w:val="595F3880"/>
    <w:rsid w:val="59841922"/>
    <w:rsid w:val="5AE8017B"/>
    <w:rsid w:val="5B02546D"/>
    <w:rsid w:val="5B297F79"/>
    <w:rsid w:val="5B416D14"/>
    <w:rsid w:val="5B52617F"/>
    <w:rsid w:val="5B802300"/>
    <w:rsid w:val="5E4F2397"/>
    <w:rsid w:val="5EC93775"/>
    <w:rsid w:val="5ECC4DFF"/>
    <w:rsid w:val="5F223CFC"/>
    <w:rsid w:val="5F335A83"/>
    <w:rsid w:val="5F364CB6"/>
    <w:rsid w:val="5F5518F6"/>
    <w:rsid w:val="60312F2E"/>
    <w:rsid w:val="604825A3"/>
    <w:rsid w:val="621C6CE0"/>
    <w:rsid w:val="62980A32"/>
    <w:rsid w:val="629C06EB"/>
    <w:rsid w:val="64042BE3"/>
    <w:rsid w:val="64325971"/>
    <w:rsid w:val="64461C73"/>
    <w:rsid w:val="649A7C31"/>
    <w:rsid w:val="6502220C"/>
    <w:rsid w:val="654E3AAC"/>
    <w:rsid w:val="65593B78"/>
    <w:rsid w:val="658053A4"/>
    <w:rsid w:val="661C22AB"/>
    <w:rsid w:val="665F4615"/>
    <w:rsid w:val="6775016B"/>
    <w:rsid w:val="68A43305"/>
    <w:rsid w:val="68B77AEA"/>
    <w:rsid w:val="696B0160"/>
    <w:rsid w:val="6B5D24C8"/>
    <w:rsid w:val="6B7D2A7C"/>
    <w:rsid w:val="6B9D7C03"/>
    <w:rsid w:val="6C3D31D6"/>
    <w:rsid w:val="6C482EA3"/>
    <w:rsid w:val="6C89351B"/>
    <w:rsid w:val="6D216E55"/>
    <w:rsid w:val="6D2307E5"/>
    <w:rsid w:val="6E787133"/>
    <w:rsid w:val="6F783273"/>
    <w:rsid w:val="71044C03"/>
    <w:rsid w:val="712A03E6"/>
    <w:rsid w:val="7175700B"/>
    <w:rsid w:val="730A6B0A"/>
    <w:rsid w:val="741E3623"/>
    <w:rsid w:val="742D2347"/>
    <w:rsid w:val="756E2633"/>
    <w:rsid w:val="758504BF"/>
    <w:rsid w:val="76746B4D"/>
    <w:rsid w:val="772D7B2E"/>
    <w:rsid w:val="79C110A0"/>
    <w:rsid w:val="79DA520F"/>
    <w:rsid w:val="7A6C2E73"/>
    <w:rsid w:val="7B06680F"/>
    <w:rsid w:val="7B2561F8"/>
    <w:rsid w:val="7C781A7A"/>
    <w:rsid w:val="7C9841E2"/>
    <w:rsid w:val="7D7D3CAE"/>
    <w:rsid w:val="7D937B2C"/>
    <w:rsid w:val="7E350A4F"/>
    <w:rsid w:val="7FC12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4"/>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32">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subject"/>
    <w:basedOn w:val="7"/>
    <w:next w:val="7"/>
    <w:qFormat/>
    <w:uiPriority w:val="0"/>
    <w:rPr>
      <w:b/>
      <w:bCs/>
    </w:rPr>
  </w:style>
  <w:style w:type="paragraph" w:styleId="7">
    <w:name w:val="annotation text"/>
    <w:basedOn w:val="1"/>
    <w:qFormat/>
    <w:uiPriority w:val="0"/>
    <w:pPr>
      <w:jc w:val="left"/>
    </w:pPr>
  </w:style>
  <w:style w:type="paragraph" w:styleId="8">
    <w:name w:val="toc 7"/>
    <w:basedOn w:val="1"/>
    <w:next w:val="1"/>
    <w:qFormat/>
    <w:uiPriority w:val="0"/>
    <w:pPr>
      <w:ind w:left="2520" w:leftChars="1200"/>
    </w:pPr>
  </w:style>
  <w:style w:type="paragraph" w:styleId="9">
    <w:name w:val="Body Text First Indent"/>
    <w:basedOn w:val="10"/>
    <w:qFormat/>
    <w:uiPriority w:val="0"/>
    <w:pPr>
      <w:ind w:firstLine="420" w:firstLineChars="100"/>
    </w:pPr>
  </w:style>
  <w:style w:type="paragraph" w:styleId="10">
    <w:name w:val="Body Text"/>
    <w:basedOn w:val="1"/>
    <w:link w:val="92"/>
    <w:qFormat/>
    <w:uiPriority w:val="0"/>
    <w:pPr>
      <w:spacing w:after="120"/>
    </w:pPr>
  </w:style>
  <w:style w:type="paragraph" w:styleId="11">
    <w:name w:val="Normal Indent"/>
    <w:basedOn w:val="1"/>
    <w:link w:val="58"/>
    <w:qFormat/>
    <w:uiPriority w:val="0"/>
    <w:pPr>
      <w:ind w:firstLine="420"/>
    </w:pPr>
    <w:rPr>
      <w:rFonts w:eastAsia="仿宋_GB2312"/>
      <w:sz w:val="28"/>
    </w:rPr>
  </w:style>
  <w:style w:type="paragraph" w:styleId="12">
    <w:name w:val="Document Map"/>
    <w:basedOn w:val="1"/>
    <w:link w:val="90"/>
    <w:qFormat/>
    <w:uiPriority w:val="0"/>
    <w:rPr>
      <w:rFonts w:ascii="宋体"/>
      <w:sz w:val="18"/>
      <w:szCs w:val="18"/>
    </w:rPr>
  </w:style>
  <w:style w:type="paragraph" w:styleId="13">
    <w:name w:val="Body Text Indent"/>
    <w:basedOn w:val="1"/>
    <w:qFormat/>
    <w:uiPriority w:val="0"/>
    <w:pPr>
      <w:spacing w:line="600" w:lineRule="exact"/>
      <w:ind w:firstLine="675" w:firstLineChars="240"/>
    </w:pPr>
    <w:rPr>
      <w:rFonts w:ascii="仿宋_GB2312" w:hAnsi="宋体" w:eastAsia="仿宋_GB2312"/>
      <w:b/>
      <w:sz w:val="28"/>
    </w:r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link w:val="68"/>
    <w:qFormat/>
    <w:uiPriority w:val="0"/>
    <w:rPr>
      <w:rFonts w:ascii="宋体" w:hAnsi="Courier New"/>
    </w:rPr>
  </w:style>
  <w:style w:type="paragraph" w:styleId="17">
    <w:name w:val="toc 8"/>
    <w:basedOn w:val="1"/>
    <w:next w:val="1"/>
    <w:qFormat/>
    <w:uiPriority w:val="0"/>
    <w:pPr>
      <w:ind w:left="2940" w:leftChars="1400"/>
    </w:pPr>
  </w:style>
  <w:style w:type="paragraph" w:styleId="18">
    <w:name w:val="Date"/>
    <w:basedOn w:val="1"/>
    <w:next w:val="1"/>
    <w:qFormat/>
    <w:uiPriority w:val="0"/>
    <w:pPr>
      <w:ind w:left="100" w:leftChars="2500"/>
    </w:pPr>
  </w:style>
  <w:style w:type="paragraph" w:styleId="19">
    <w:name w:val="Body Text Indent 2"/>
    <w:basedOn w:val="1"/>
    <w:qFormat/>
    <w:uiPriority w:val="0"/>
    <w:pPr>
      <w:autoSpaceDE w:val="0"/>
      <w:autoSpaceDN w:val="0"/>
      <w:adjustRightInd w:val="0"/>
      <w:spacing w:line="360" w:lineRule="atLeast"/>
      <w:ind w:firstLine="480"/>
      <w:textAlignment w:val="center"/>
    </w:pPr>
    <w:rPr>
      <w:rFonts w:ascii="宋体"/>
      <w:color w:val="000000"/>
      <w:kern w:val="0"/>
      <w:sz w:val="28"/>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toc 4"/>
    <w:basedOn w:val="1"/>
    <w:next w:val="1"/>
    <w:qFormat/>
    <w:uiPriority w:val="0"/>
    <w:pPr>
      <w:ind w:left="1260" w:leftChars="600"/>
    </w:pPr>
  </w:style>
  <w:style w:type="paragraph" w:styleId="25">
    <w:name w:val="Subtitle"/>
    <w:basedOn w:val="1"/>
    <w:next w:val="1"/>
    <w:link w:val="91"/>
    <w:qFormat/>
    <w:uiPriority w:val="0"/>
    <w:pPr>
      <w:spacing w:before="240" w:after="60" w:line="312" w:lineRule="auto"/>
      <w:jc w:val="center"/>
      <w:outlineLvl w:val="1"/>
    </w:pPr>
    <w:rPr>
      <w:rFonts w:ascii="Cambria" w:hAnsi="Cambria" w:cs="宋体"/>
      <w:b/>
      <w:bCs/>
      <w:kern w:val="28"/>
      <w:sz w:val="32"/>
      <w:szCs w:val="32"/>
    </w:rPr>
  </w:style>
  <w:style w:type="paragraph" w:styleId="26">
    <w:name w:val="toc 6"/>
    <w:basedOn w:val="1"/>
    <w:next w:val="1"/>
    <w:qFormat/>
    <w:uiPriority w:val="0"/>
    <w:pPr>
      <w:ind w:left="2100" w:leftChars="1000"/>
    </w:pPr>
  </w:style>
  <w:style w:type="paragraph" w:styleId="27">
    <w:name w:val="Body Text Indent 3"/>
    <w:basedOn w:val="1"/>
    <w:qFormat/>
    <w:uiPriority w:val="0"/>
    <w:pPr>
      <w:spacing w:after="120"/>
      <w:ind w:left="420" w:leftChars="200"/>
    </w:pPr>
    <w:rPr>
      <w:sz w:val="16"/>
      <w:szCs w:val="16"/>
    </w:rPr>
  </w:style>
  <w:style w:type="paragraph" w:styleId="28">
    <w:name w:val="toc 2"/>
    <w:basedOn w:val="1"/>
    <w:next w:val="1"/>
    <w:qFormat/>
    <w:uiPriority w:val="39"/>
    <w:pPr>
      <w:ind w:left="420" w:leftChars="200"/>
    </w:pPr>
  </w:style>
  <w:style w:type="paragraph" w:styleId="29">
    <w:name w:val="toc 9"/>
    <w:basedOn w:val="1"/>
    <w:next w:val="1"/>
    <w:qFormat/>
    <w:uiPriority w:val="0"/>
    <w:pPr>
      <w:ind w:left="3360" w:leftChars="1600"/>
    </w:p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1">
    <w:name w:val="Title"/>
    <w:basedOn w:val="1"/>
    <w:next w:val="1"/>
    <w:qFormat/>
    <w:uiPriority w:val="0"/>
    <w:pPr>
      <w:widowControl/>
      <w:spacing w:before="240" w:after="60"/>
      <w:jc w:val="center"/>
      <w:outlineLvl w:val="0"/>
    </w:pPr>
    <w:rPr>
      <w:rFonts w:ascii="Cambria" w:hAnsi="Cambria"/>
      <w:b/>
      <w:bCs/>
      <w:sz w:val="32"/>
      <w:szCs w:val="32"/>
    </w:r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136EC2"/>
      <w:u w:val="single"/>
    </w:rPr>
  </w:style>
  <w:style w:type="character" w:styleId="36">
    <w:name w:val="Emphasis"/>
    <w:qFormat/>
    <w:uiPriority w:val="0"/>
  </w:style>
  <w:style w:type="character" w:styleId="37">
    <w:name w:val="HTML Definition"/>
    <w:qFormat/>
    <w:uiPriority w:val="0"/>
  </w:style>
  <w:style w:type="character" w:styleId="38">
    <w:name w:val="HTML Variable"/>
    <w:qFormat/>
    <w:uiPriority w:val="0"/>
  </w:style>
  <w:style w:type="character" w:styleId="39">
    <w:name w:val="Hyperlink"/>
    <w:qFormat/>
    <w:uiPriority w:val="99"/>
    <w:rPr>
      <w:color w:val="136EC2"/>
      <w:u w:val="single"/>
    </w:rPr>
  </w:style>
  <w:style w:type="character" w:styleId="40">
    <w:name w:val="HTML Code"/>
    <w:qFormat/>
    <w:uiPriority w:val="0"/>
    <w:rPr>
      <w:rFonts w:ascii="Courier New" w:hAnsi="Courier New" w:eastAsia="Courier New" w:cs="Courier New"/>
      <w:sz w:val="20"/>
    </w:rPr>
  </w:style>
  <w:style w:type="character" w:styleId="41">
    <w:name w:val="annotation reference"/>
    <w:qFormat/>
    <w:uiPriority w:val="0"/>
    <w:rPr>
      <w:sz w:val="21"/>
      <w:szCs w:val="21"/>
    </w:rPr>
  </w:style>
  <w:style w:type="character" w:styleId="42">
    <w:name w:val="HTML Cite"/>
    <w:qFormat/>
    <w:uiPriority w:val="0"/>
  </w:style>
  <w:style w:type="character" w:styleId="43">
    <w:name w:val="HTML Keyboard"/>
    <w:qFormat/>
    <w:uiPriority w:val="0"/>
    <w:rPr>
      <w:rFonts w:ascii="Courier New" w:hAnsi="Courier New" w:eastAsia="Courier New" w:cs="Courier New"/>
      <w:sz w:val="20"/>
    </w:rPr>
  </w:style>
  <w:style w:type="character" w:styleId="44">
    <w:name w:val="HTML Sample"/>
    <w:qFormat/>
    <w:uiPriority w:val="0"/>
    <w:rPr>
      <w:rFonts w:ascii="Courier New" w:hAnsi="Courier New" w:eastAsia="Courier New" w:cs="Courier New"/>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bds_more7"/>
    <w:qFormat/>
    <w:uiPriority w:val="0"/>
    <w:rPr>
      <w:rFonts w:hint="eastAsia" w:ascii="宋体" w:hAnsi="宋体" w:eastAsia="宋体" w:cs="宋体"/>
    </w:rPr>
  </w:style>
  <w:style w:type="character" w:customStyle="1" w:styleId="48">
    <w:name w:val="bds_more9"/>
    <w:qFormat/>
    <w:uiPriority w:val="0"/>
  </w:style>
  <w:style w:type="character" w:customStyle="1" w:styleId="49">
    <w:name w:val="sort"/>
    <w:qFormat/>
    <w:uiPriority w:val="0"/>
    <w:rPr>
      <w:color w:val="FFFFFF"/>
      <w:bdr w:val="single" w:color="auto" w:sz="24" w:space="0"/>
    </w:rPr>
  </w:style>
  <w:style w:type="character" w:customStyle="1" w:styleId="50">
    <w:name w:val="bds_more1"/>
    <w:qFormat/>
    <w:uiPriority w:val="0"/>
  </w:style>
  <w:style w:type="character" w:customStyle="1" w:styleId="51">
    <w:name w:val="postbody1"/>
    <w:basedOn w:val="32"/>
    <w:qFormat/>
    <w:uiPriority w:val="0"/>
  </w:style>
  <w:style w:type="character" w:customStyle="1" w:styleId="52">
    <w:name w:val="bds_more4"/>
    <w:qFormat/>
    <w:uiPriority w:val="0"/>
  </w:style>
  <w:style w:type="character" w:customStyle="1" w:styleId="53">
    <w:name w:val="sidecatalog-dot"/>
    <w:basedOn w:val="32"/>
    <w:qFormat/>
    <w:uiPriority w:val="0"/>
  </w:style>
  <w:style w:type="character" w:customStyle="1" w:styleId="54">
    <w:name w:val="sidecatalog-dot1"/>
    <w:basedOn w:val="32"/>
    <w:qFormat/>
    <w:uiPriority w:val="0"/>
  </w:style>
  <w:style w:type="character" w:customStyle="1" w:styleId="55">
    <w:name w:val="bds_nopic1"/>
    <w:basedOn w:val="32"/>
    <w:qFormat/>
    <w:uiPriority w:val="0"/>
  </w:style>
  <w:style w:type="character" w:customStyle="1" w:styleId="56">
    <w:name w:val="bds_more8"/>
    <w:basedOn w:val="32"/>
    <w:qFormat/>
    <w:uiPriority w:val="0"/>
  </w:style>
  <w:style w:type="character" w:customStyle="1" w:styleId="57">
    <w:name w:val="sort1"/>
    <w:qFormat/>
    <w:uiPriority w:val="0"/>
  </w:style>
  <w:style w:type="character" w:customStyle="1" w:styleId="58">
    <w:name w:val="正文缩进 Char"/>
    <w:link w:val="11"/>
    <w:qFormat/>
    <w:uiPriority w:val="0"/>
    <w:rPr>
      <w:rFonts w:eastAsia="仿宋_GB2312"/>
      <w:kern w:val="2"/>
      <w:sz w:val="28"/>
      <w:lang w:val="en-US" w:eastAsia="zh-CN" w:bidi="ar-SA"/>
    </w:rPr>
  </w:style>
  <w:style w:type="character" w:customStyle="1" w:styleId="59">
    <w:name w:val="bds_more2"/>
    <w:basedOn w:val="32"/>
    <w:qFormat/>
    <w:uiPriority w:val="0"/>
  </w:style>
  <w:style w:type="character" w:customStyle="1" w:styleId="60">
    <w:name w:val="polysemyred"/>
    <w:qFormat/>
    <w:uiPriority w:val="0"/>
    <w:rPr>
      <w:color w:val="FF6666"/>
      <w:sz w:val="18"/>
      <w:szCs w:val="18"/>
    </w:rPr>
  </w:style>
  <w:style w:type="character" w:customStyle="1" w:styleId="61">
    <w:name w:val="desc12"/>
    <w:qFormat/>
    <w:uiPriority w:val="0"/>
    <w:rPr>
      <w:color w:val="000000"/>
      <w:sz w:val="18"/>
      <w:szCs w:val="18"/>
    </w:rPr>
  </w:style>
  <w:style w:type="character" w:customStyle="1" w:styleId="62">
    <w:name w:val="desc"/>
    <w:qFormat/>
    <w:uiPriority w:val="0"/>
    <w:rPr>
      <w:color w:val="000000"/>
      <w:sz w:val="18"/>
      <w:szCs w:val="18"/>
    </w:rPr>
  </w:style>
  <w:style w:type="character" w:customStyle="1" w:styleId="63">
    <w:name w:val="bds_more6"/>
    <w:qFormat/>
    <w:uiPriority w:val="0"/>
  </w:style>
  <w:style w:type="character" w:customStyle="1" w:styleId="64">
    <w:name w:val="bds_more"/>
    <w:qFormat/>
    <w:uiPriority w:val="0"/>
    <w:rPr>
      <w:rFonts w:hint="eastAsia" w:ascii="宋体" w:hAnsi="宋体" w:eastAsia="宋体" w:cs="宋体"/>
    </w:rPr>
  </w:style>
  <w:style w:type="character" w:customStyle="1" w:styleId="65">
    <w:name w:val="bds_nopic"/>
    <w:basedOn w:val="32"/>
    <w:qFormat/>
    <w:uiPriority w:val="0"/>
  </w:style>
  <w:style w:type="character" w:customStyle="1" w:styleId="66">
    <w:name w:val="bds_more3"/>
    <w:qFormat/>
    <w:uiPriority w:val="0"/>
  </w:style>
  <w:style w:type="character" w:customStyle="1" w:styleId="67">
    <w:name w:val="polysemyexp"/>
    <w:qFormat/>
    <w:uiPriority w:val="0"/>
    <w:rPr>
      <w:color w:val="AAAAAA"/>
      <w:sz w:val="18"/>
      <w:szCs w:val="18"/>
    </w:rPr>
  </w:style>
  <w:style w:type="character" w:customStyle="1" w:styleId="68">
    <w:name w:val="纯文本 Char"/>
    <w:link w:val="16"/>
    <w:qFormat/>
    <w:uiPriority w:val="0"/>
    <w:rPr>
      <w:rFonts w:ascii="宋体" w:hAnsi="Courier New" w:eastAsia="宋体"/>
      <w:kern w:val="2"/>
      <w:sz w:val="21"/>
      <w:lang w:val="en-US" w:eastAsia="zh-CN" w:bidi="ar-SA"/>
    </w:rPr>
  </w:style>
  <w:style w:type="character" w:customStyle="1" w:styleId="69">
    <w:name w:val="bds_nopic2"/>
    <w:basedOn w:val="32"/>
    <w:qFormat/>
    <w:uiPriority w:val="0"/>
  </w:style>
  <w:style w:type="character" w:customStyle="1" w:styleId="70">
    <w:name w:val="纯文本 Char Char"/>
    <w:qFormat/>
    <w:uiPriority w:val="0"/>
    <w:rPr>
      <w:rFonts w:ascii="宋体" w:hAnsi="Courier New" w:eastAsia="宋体"/>
      <w:kern w:val="2"/>
      <w:sz w:val="21"/>
      <w:lang w:val="en-US" w:eastAsia="zh-CN" w:bidi="ar-SA"/>
    </w:rPr>
  </w:style>
  <w:style w:type="character" w:customStyle="1" w:styleId="71">
    <w:name w:val="lemmatitleh12"/>
    <w:basedOn w:val="32"/>
    <w:qFormat/>
    <w:uiPriority w:val="0"/>
  </w:style>
  <w:style w:type="character" w:customStyle="1" w:styleId="72">
    <w:name w:val="bds_more10"/>
    <w:qFormat/>
    <w:uiPriority w:val="0"/>
  </w:style>
  <w:style w:type="character" w:customStyle="1" w:styleId="73">
    <w:name w:val="plus"/>
    <w:qFormat/>
    <w:uiPriority w:val="0"/>
    <w:rPr>
      <w:b/>
      <w:vanish/>
      <w:color w:val="1F8DEF"/>
      <w:sz w:val="24"/>
      <w:szCs w:val="24"/>
    </w:rPr>
  </w:style>
  <w:style w:type="character" w:customStyle="1" w:styleId="74">
    <w:name w:val="标题 1 Char"/>
    <w:link w:val="3"/>
    <w:qFormat/>
    <w:uiPriority w:val="0"/>
    <w:rPr>
      <w:b/>
      <w:bCs/>
      <w:kern w:val="44"/>
      <w:sz w:val="44"/>
      <w:szCs w:val="44"/>
    </w:rPr>
  </w:style>
  <w:style w:type="character" w:customStyle="1" w:styleId="75">
    <w:name w:val="morelink-item"/>
    <w:qFormat/>
    <w:uiPriority w:val="0"/>
  </w:style>
  <w:style w:type="character" w:customStyle="1" w:styleId="76">
    <w:name w:val="sidecatalog-index2"/>
    <w:qFormat/>
    <w:uiPriority w:val="0"/>
    <w:rPr>
      <w:rFonts w:ascii="Arail" w:hAnsi="Arail" w:eastAsia="Arail" w:cs="Arail"/>
      <w:color w:val="999999"/>
      <w:sz w:val="21"/>
      <w:szCs w:val="21"/>
    </w:rPr>
  </w:style>
  <w:style w:type="character" w:customStyle="1" w:styleId="77">
    <w:name w:val="sidecatalog-index1"/>
    <w:qFormat/>
    <w:uiPriority w:val="0"/>
    <w:rPr>
      <w:rFonts w:ascii="Arial" w:hAnsi="Arial" w:cs="Arial"/>
      <w:b/>
      <w:color w:val="999999"/>
      <w:sz w:val="21"/>
      <w:szCs w:val="21"/>
    </w:rPr>
  </w:style>
  <w:style w:type="paragraph" w:customStyle="1" w:styleId="78">
    <w:name w:val="大标题"/>
    <w:basedOn w:val="10"/>
    <w:qFormat/>
    <w:uiPriority w:val="0"/>
    <w:pPr>
      <w:spacing w:after="0"/>
      <w:jc w:val="left"/>
      <w:outlineLvl w:val="0"/>
    </w:pPr>
    <w:rPr>
      <w:rFonts w:ascii="仿宋_GB2312" w:eastAsia="仿宋_GB2312"/>
      <w:sz w:val="18"/>
    </w:rPr>
  </w:style>
  <w:style w:type="paragraph" w:customStyle="1" w:styleId="79">
    <w:name w:val="名称"/>
    <w:basedOn w:val="1"/>
    <w:qFormat/>
    <w:uiPriority w:val="0"/>
    <w:pPr>
      <w:spacing w:before="60" w:after="60"/>
      <w:ind w:left="454" w:right="454"/>
      <w:jc w:val="center"/>
    </w:pPr>
    <w:rPr>
      <w:rFonts w:ascii="仿宋_GB2312" w:eastAsia="仿宋_GB2312"/>
      <w:b/>
      <w:sz w:val="32"/>
    </w:rPr>
  </w:style>
  <w:style w:type="paragraph" w:customStyle="1" w:styleId="80">
    <w:name w:val="Char Char Char Char Char Char"/>
    <w:basedOn w:val="1"/>
    <w:qFormat/>
    <w:uiPriority w:val="0"/>
    <w:rPr>
      <w:rFonts w:ascii="Tahoma" w:hAnsi="Tahoma"/>
      <w:sz w:val="24"/>
    </w:rPr>
  </w:style>
  <w:style w:type="paragraph" w:customStyle="1" w:styleId="81">
    <w:name w:val="表格文字"/>
    <w:basedOn w:val="1"/>
    <w:qFormat/>
    <w:uiPriority w:val="0"/>
    <w:pPr>
      <w:jc w:val="center"/>
    </w:pPr>
    <w:rPr>
      <w:rFonts w:ascii="仿宋_GB2312" w:eastAsia="仿宋_GB2312"/>
      <w:sz w:val="18"/>
    </w:rPr>
  </w:style>
  <w:style w:type="paragraph" w:customStyle="1" w:styleId="82">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
    <w:name w:val="样式7"/>
    <w:basedOn w:val="1"/>
    <w:qFormat/>
    <w:uiPriority w:val="0"/>
    <w:pPr>
      <w:spacing w:line="360" w:lineRule="auto"/>
      <w:ind w:firstLine="567"/>
    </w:pPr>
    <w:rPr>
      <w:rFonts w:hint="eastAsia" w:ascii="仿宋_GB2312" w:eastAsia="仿宋_GB2312"/>
      <w:sz w:val="28"/>
    </w:rPr>
  </w:style>
  <w:style w:type="paragraph" w:customStyle="1" w:styleId="84">
    <w:name w:val="Char Char Char Char Char Char1"/>
    <w:basedOn w:val="1"/>
    <w:qFormat/>
    <w:uiPriority w:val="0"/>
    <w:rPr>
      <w:rFonts w:ascii="Tahoma" w:hAnsi="Tahoma"/>
      <w:sz w:val="24"/>
    </w:rPr>
  </w:style>
  <w:style w:type="paragraph" w:customStyle="1" w:styleId="85">
    <w:name w:val="_Style 30"/>
    <w:basedOn w:val="1"/>
    <w:qFormat/>
    <w:uiPriority w:val="0"/>
  </w:style>
  <w:style w:type="paragraph" w:customStyle="1" w:styleId="86">
    <w:name w:val="WW-日期"/>
    <w:basedOn w:val="1"/>
    <w:next w:val="1"/>
    <w:qFormat/>
    <w:uiPriority w:val="0"/>
    <w:pPr>
      <w:suppressAutoHyphens/>
      <w:spacing w:line="100" w:lineRule="atLeast"/>
    </w:pPr>
    <w:rPr>
      <w:rFonts w:ascii="黑体" w:hAnsi="黑体" w:eastAsia="黑体"/>
      <w:b/>
      <w:kern w:val="0"/>
      <w:sz w:val="28"/>
      <w:lang w:eastAsia="ar-SA"/>
    </w:rPr>
  </w:style>
  <w:style w:type="paragraph" w:customStyle="1" w:styleId="87">
    <w:name w:val="正文文本缩进 31"/>
    <w:basedOn w:val="1"/>
    <w:qFormat/>
    <w:uiPriority w:val="0"/>
    <w:pPr>
      <w:spacing w:line="500" w:lineRule="exact"/>
      <w:ind w:firstLine="570"/>
    </w:pPr>
    <w:rPr>
      <w:sz w:val="28"/>
    </w:rPr>
  </w:style>
  <w:style w:type="paragraph" w:customStyle="1" w:styleId="88">
    <w:name w:val="_Style 17"/>
    <w:basedOn w:val="1"/>
    <w:qFormat/>
    <w:uiPriority w:val="0"/>
  </w:style>
  <w:style w:type="paragraph" w:customStyle="1" w:styleId="89">
    <w:name w:val="技术报告"/>
    <w:basedOn w:val="79"/>
    <w:qFormat/>
    <w:uiPriority w:val="0"/>
    <w:rPr>
      <w:rFonts w:ascii="华文隶书" w:eastAsia="华文隶书"/>
      <w:w w:val="150"/>
      <w:sz w:val="44"/>
    </w:rPr>
  </w:style>
  <w:style w:type="character" w:customStyle="1" w:styleId="90">
    <w:name w:val="文档结构图 Char"/>
    <w:basedOn w:val="32"/>
    <w:link w:val="12"/>
    <w:qFormat/>
    <w:uiPriority w:val="0"/>
    <w:rPr>
      <w:rFonts w:ascii="宋体"/>
      <w:kern w:val="2"/>
      <w:sz w:val="18"/>
      <w:szCs w:val="18"/>
    </w:rPr>
  </w:style>
  <w:style w:type="character" w:customStyle="1" w:styleId="91">
    <w:name w:val="副标题 Char"/>
    <w:basedOn w:val="32"/>
    <w:link w:val="25"/>
    <w:qFormat/>
    <w:uiPriority w:val="0"/>
    <w:rPr>
      <w:rFonts w:ascii="Cambria" w:hAnsi="Cambria" w:cs="宋体"/>
      <w:b/>
      <w:bCs/>
      <w:kern w:val="28"/>
      <w:sz w:val="32"/>
      <w:szCs w:val="32"/>
    </w:rPr>
  </w:style>
  <w:style w:type="character" w:customStyle="1" w:styleId="92">
    <w:name w:val="正文文本 Char"/>
    <w:basedOn w:val="32"/>
    <w:link w:val="10"/>
    <w:qFormat/>
    <w:uiPriority w:val="0"/>
    <w:rPr>
      <w:kern w:val="2"/>
      <w:sz w:val="21"/>
    </w:rPr>
  </w:style>
  <w:style w:type="paragraph" w:customStyle="1" w:styleId="93">
    <w:name w:val="列出段落2"/>
    <w:basedOn w:val="1"/>
    <w:qFormat/>
    <w:uiPriority w:val="99"/>
    <w:pPr>
      <w:ind w:firstLine="420" w:firstLineChars="200"/>
    </w:pPr>
  </w:style>
  <w:style w:type="character" w:customStyle="1" w:styleId="94">
    <w:name w:val="left3"/>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mcd:customData xmlns="http://www.wps.cn/android/officeDocument/2013/mofficeCustomData" xmlns:mcd="http://www.wps.cn/android/officeDocument/2013/mofficeCustomData" version="1">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cd:customData xmlns="http://www.wps.cn/android/officeDocument/2013/mofficeCustomData" xmlns:mcd="http://www.wps.cn/android/officeDocument/2013/mofficeCustomData" version="1">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4185A-4BDD-4392-8AE8-66B05A122574}">
  <ds:schemaRefs/>
</ds:datastoreItem>
</file>

<file path=customXml/itemProps3.xml><?xml version="1.0" encoding="utf-8"?>
<ds:datastoreItem xmlns:ds="http://schemas.openxmlformats.org/officeDocument/2006/customXml" ds:itemID="{88AE26ED-3428-434C-96AD-56089ECB0A3B}">
  <ds:schemaRefs/>
</ds:datastoreItem>
</file>

<file path=customXml/itemProps4.xml><?xml version="1.0" encoding="utf-8"?>
<ds:datastoreItem xmlns:ds="http://schemas.openxmlformats.org/officeDocument/2006/customXml" ds:itemID="{CD311484-A6E1-41E3-9DE3-C1F8269F3B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2577</Words>
  <Characters>14692</Characters>
  <Lines>122</Lines>
  <Paragraphs>34</Paragraphs>
  <ScaleCrop>false</ScaleCrop>
  <LinksUpToDate>false</LinksUpToDate>
  <CharactersWithSpaces>17235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2018-04-13T06:36:00Z</dcterms:created>
  <dc:creator>微软用户</dc:creator>
  <cp:lastModifiedBy>Administrator</cp:lastModifiedBy>
  <cp:lastPrinted>2019-12-05T07:49:35Z</cp:lastPrinted>
  <dcterms:modified xsi:type="dcterms:W3CDTF">2019-12-05T07:50:49Z</dcterms:modified>
  <dc:title>房地产抵押估价报告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