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000000" w:themeColor="text1"/>
          <w:sz w:val="24"/>
          <w:szCs w:val="24"/>
          <w14:textFill>
            <w14:solidFill>
              <w14:schemeClr w14:val="tx1"/>
            </w14:solidFill>
          </w14:textFill>
        </w:rPr>
      </w:pPr>
    </w:p>
    <w:p>
      <w:pPr>
        <w:spacing w:line="360" w:lineRule="auto"/>
        <w:jc w:val="center"/>
        <w:rPr>
          <w:rFonts w:hint="eastAsia" w:ascii="仿宋" w:hAnsi="仿宋" w:eastAsia="仿宋" w:cs="仿宋"/>
          <w:b/>
          <w:bCs w:val="0"/>
          <w:color w:val="000000" w:themeColor="text1"/>
          <w:sz w:val="32"/>
          <w:szCs w:val="32"/>
          <w:lang w:val="en-US" w:eastAsia="zh-CN"/>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云南银瑞祥房地产土地资产评估有限公司</w:t>
      </w:r>
      <w:r>
        <w:rPr>
          <w:rFonts w:hint="eastAsia" w:ascii="仿宋" w:hAnsi="仿宋" w:eastAsia="仿宋" w:cs="仿宋"/>
          <w:b/>
          <w:bCs w:val="0"/>
          <w:color w:val="000000" w:themeColor="text1"/>
          <w:sz w:val="32"/>
          <w:szCs w:val="32"/>
          <w:lang w:val="en-US" w:eastAsia="zh-CN"/>
          <w14:textFill>
            <w14:solidFill>
              <w14:schemeClr w14:val="tx1"/>
            </w14:solidFill>
          </w14:textFill>
        </w:rPr>
        <w:t>受委托对位于新平县戛洒镇聚宝路大云酒店（房权证号：20100476、土地使用权证号：040015）的房地项目进行市场价值评估，已确定其在</w:t>
      </w:r>
    </w:p>
    <w:p>
      <w:pPr>
        <w:spacing w:line="360" w:lineRule="auto"/>
        <w:jc w:val="center"/>
        <w:rPr>
          <w:rFonts w:hint="eastAsia" w:ascii="仿宋" w:hAnsi="仿宋" w:eastAsia="仿宋" w:cs="仿宋"/>
          <w:b/>
          <w:bCs w:val="0"/>
          <w:sz w:val="32"/>
          <w:szCs w:val="32"/>
        </w:rPr>
      </w:pPr>
      <w:r>
        <w:rPr>
          <w:rFonts w:hint="eastAsia" w:ascii="仿宋" w:hAnsi="仿宋" w:eastAsia="仿宋" w:cs="仿宋"/>
          <w:b/>
          <w:bCs w:val="0"/>
          <w:color w:val="000000" w:themeColor="text1"/>
          <w:sz w:val="32"/>
          <w:szCs w:val="32"/>
          <w:lang w:val="en-US" w:eastAsia="zh-CN"/>
          <w14:textFill>
            <w14:solidFill>
              <w14:schemeClr w14:val="tx1"/>
            </w14:solidFill>
          </w14:textFill>
        </w:rPr>
        <w:t>评估基准日2019年10月30日的</w:t>
      </w:r>
      <w:r>
        <w:rPr>
          <w:rFonts w:hint="eastAsia" w:ascii="仿宋" w:hAnsi="仿宋" w:eastAsia="仿宋" w:cs="仿宋"/>
          <w:b/>
          <w:bCs w:val="0"/>
          <w:sz w:val="32"/>
          <w:szCs w:val="32"/>
        </w:rPr>
        <w:t>市场价值，</w:t>
      </w:r>
    </w:p>
    <w:p>
      <w:pPr>
        <w:spacing w:line="360" w:lineRule="auto"/>
        <w:jc w:val="center"/>
        <w:rPr>
          <w:rFonts w:hint="eastAsia" w:ascii="仿宋" w:hAnsi="仿宋" w:eastAsia="仿宋" w:cs="仿宋"/>
          <w:b/>
          <w:bCs w:val="0"/>
          <w:sz w:val="32"/>
          <w:szCs w:val="32"/>
        </w:rPr>
      </w:pPr>
      <w:r>
        <w:rPr>
          <w:rFonts w:hint="eastAsia" w:ascii="仿宋" w:hAnsi="仿宋" w:eastAsia="仿宋" w:cs="仿宋"/>
          <w:b/>
          <w:bCs w:val="0"/>
          <w:sz w:val="32"/>
          <w:szCs w:val="32"/>
        </w:rPr>
        <w:t>为该经济行为提供价值参考依据。</w:t>
      </w:r>
    </w:p>
    <w:p>
      <w:pPr>
        <w:spacing w:line="360" w:lineRule="auto"/>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银瑞祥资评报字（2019）第</w:t>
      </w:r>
      <w:r>
        <w:rPr>
          <w:rFonts w:hint="eastAsia" w:ascii="仿宋" w:hAnsi="仿宋" w:eastAsia="仿宋" w:cs="仿宋"/>
          <w:b/>
          <w:color w:val="000000" w:themeColor="text1"/>
          <w:sz w:val="21"/>
          <w:szCs w:val="21"/>
          <w:lang w:val="en-US" w:eastAsia="zh-CN"/>
          <w14:textFill>
            <w14:solidFill>
              <w14:schemeClr w14:val="tx1"/>
            </w14:solidFill>
          </w14:textFill>
        </w:rPr>
        <w:t>11</w:t>
      </w:r>
      <w:r>
        <w:rPr>
          <w:rFonts w:hint="eastAsia" w:ascii="仿宋" w:hAnsi="仿宋" w:eastAsia="仿宋" w:cs="仿宋"/>
          <w:b/>
          <w:color w:val="000000" w:themeColor="text1"/>
          <w:sz w:val="21"/>
          <w:szCs w:val="21"/>
          <w14:textFill>
            <w14:solidFill>
              <w14:schemeClr w14:val="tx1"/>
            </w14:solidFill>
          </w14:textFill>
        </w:rPr>
        <w:t>-0</w:t>
      </w:r>
      <w:r>
        <w:rPr>
          <w:rFonts w:hint="eastAsia" w:ascii="仿宋" w:hAnsi="仿宋" w:eastAsia="仿宋" w:cs="仿宋"/>
          <w:b/>
          <w:color w:val="000000" w:themeColor="text1"/>
          <w:sz w:val="21"/>
          <w:szCs w:val="21"/>
          <w:lang w:val="en-US" w:eastAsia="zh-CN"/>
          <w14:textFill>
            <w14:solidFill>
              <w14:schemeClr w14:val="tx1"/>
            </w14:solidFill>
          </w14:textFill>
        </w:rPr>
        <w:t>090</w:t>
      </w:r>
      <w:r>
        <w:rPr>
          <w:rFonts w:hint="eastAsia" w:ascii="仿宋" w:hAnsi="仿宋" w:eastAsia="仿宋" w:cs="仿宋"/>
          <w:b/>
          <w:color w:val="000000" w:themeColor="text1"/>
          <w:sz w:val="21"/>
          <w:szCs w:val="21"/>
          <w14:textFill>
            <w14:solidFill>
              <w14:schemeClr w14:val="tx1"/>
            </w14:solidFill>
          </w14:textFill>
        </w:rPr>
        <w:t>号</w:t>
      </w:r>
    </w:p>
    <w:p>
      <w:pPr>
        <w:spacing w:line="360" w:lineRule="auto"/>
        <w:jc w:val="center"/>
        <w:rPr>
          <w:rFonts w:hint="eastAsia" w:ascii="仿宋" w:hAnsi="仿宋" w:eastAsia="仿宋" w:cs="仿宋"/>
          <w:b/>
          <w:bCs w:val="0"/>
          <w:sz w:val="36"/>
          <w:szCs w:val="36"/>
        </w:rPr>
      </w:pPr>
    </w:p>
    <w:p>
      <w:pPr>
        <w:spacing w:line="360" w:lineRule="auto"/>
        <w:jc w:val="center"/>
        <w:rPr>
          <w:rFonts w:hint="default" w:ascii="仿宋" w:hAnsi="仿宋" w:eastAsia="仿宋" w:cs="仿宋"/>
          <w:b w:val="0"/>
          <w:bCs/>
          <w:color w:val="000000" w:themeColor="text1"/>
          <w:sz w:val="30"/>
          <w:szCs w:val="30"/>
          <w:lang w:val="en-US" w:eastAsia="zh-CN"/>
          <w14:textFill>
            <w14:solidFill>
              <w14:schemeClr w14:val="tx1"/>
            </w14:solidFill>
          </w14:textFill>
        </w:rPr>
      </w:pPr>
    </w:p>
    <w:p>
      <w:pPr>
        <w:spacing w:line="360" w:lineRule="auto"/>
        <w:jc w:val="center"/>
        <w:rPr>
          <w:rFonts w:hint="eastAsia" w:ascii="仿宋" w:hAnsi="仿宋" w:eastAsia="仿宋" w:cs="仿宋"/>
          <w:b/>
          <w:color w:val="000000" w:themeColor="text1"/>
          <w:sz w:val="44"/>
          <w:szCs w:val="44"/>
          <w14:textFill>
            <w14:solidFill>
              <w14:schemeClr w14:val="tx1"/>
            </w14:solidFill>
          </w14:textFill>
        </w:rPr>
      </w:pPr>
    </w:p>
    <w:p>
      <w:pPr>
        <w:spacing w:line="360" w:lineRule="auto"/>
        <w:jc w:val="center"/>
        <w:rPr>
          <w:rFonts w:hint="eastAsia" w:ascii="仿宋" w:hAnsi="仿宋" w:eastAsia="仿宋" w:cs="仿宋"/>
          <w:b/>
          <w:color w:val="000000" w:themeColor="text1"/>
          <w:sz w:val="44"/>
          <w:szCs w:val="44"/>
          <w14:textFill>
            <w14:solidFill>
              <w14:schemeClr w14:val="tx1"/>
            </w14:solidFill>
          </w14:textFill>
        </w:rPr>
      </w:pPr>
    </w:p>
    <w:p>
      <w:pPr>
        <w:spacing w:line="360" w:lineRule="auto"/>
        <w:jc w:val="center"/>
        <w:rPr>
          <w:rFonts w:hint="eastAsia" w:ascii="仿宋" w:hAnsi="仿宋" w:eastAsia="仿宋" w:cs="仿宋"/>
          <w:b/>
          <w:color w:val="000000" w:themeColor="text1"/>
          <w:sz w:val="44"/>
          <w:szCs w:val="44"/>
          <w14:textFill>
            <w14:solidFill>
              <w14:schemeClr w14:val="tx1"/>
            </w14:solidFill>
          </w14:textFill>
        </w:rPr>
      </w:pPr>
    </w:p>
    <w:p>
      <w:pPr>
        <w:spacing w:line="360" w:lineRule="auto"/>
        <w:jc w:val="center"/>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 xml:space="preserve"> </w:t>
      </w:r>
    </w:p>
    <w:p>
      <w:pPr>
        <w:spacing w:line="360" w:lineRule="auto"/>
        <w:jc w:val="center"/>
        <w:rPr>
          <w:rFonts w:hint="eastAsia" w:ascii="仿宋" w:hAnsi="仿宋" w:eastAsia="仿宋" w:cs="仿宋"/>
          <w:b/>
          <w:color w:val="000000" w:themeColor="text1"/>
          <w14:textFill>
            <w14:solidFill>
              <w14:schemeClr w14:val="tx1"/>
            </w14:solidFill>
          </w14:textFill>
        </w:rPr>
      </w:pPr>
    </w:p>
    <w:p>
      <w:pPr>
        <w:spacing w:line="360" w:lineRule="auto"/>
        <w:jc w:val="center"/>
        <w:rPr>
          <w:rFonts w:hint="eastAsia" w:ascii="仿宋" w:hAnsi="仿宋" w:eastAsia="仿宋" w:cs="仿宋"/>
          <w:b/>
          <w:color w:val="000000" w:themeColor="text1"/>
          <w14:textFill>
            <w14:solidFill>
              <w14:schemeClr w14:val="tx1"/>
            </w14:solidFill>
          </w14:textFill>
        </w:rPr>
      </w:pPr>
    </w:p>
    <w:p>
      <w:pPr>
        <w:spacing w:before="600" w:beforeLines="250" w:after="240" w:afterLines="100" w:line="360" w:lineRule="auto"/>
        <w:ind w:firstLine="2409" w:firstLineChars="500"/>
        <w:jc w:val="both"/>
        <w:rPr>
          <w:rFonts w:hint="eastAsia" w:ascii="仿宋" w:hAnsi="仿宋" w:eastAsia="仿宋" w:cs="仿宋"/>
          <w:b/>
          <w:color w:val="000000" w:themeColor="text1"/>
          <w:spacing w:val="20"/>
          <w:sz w:val="44"/>
          <w:szCs w:val="44"/>
          <w14:textFill>
            <w14:solidFill>
              <w14:schemeClr w14:val="tx1"/>
            </w14:solidFill>
          </w14:textFill>
        </w:rPr>
      </w:pPr>
    </w:p>
    <w:p>
      <w:pPr>
        <w:spacing w:line="360" w:lineRule="auto"/>
        <w:jc w:val="center"/>
        <w:rPr>
          <w:rFonts w:hint="eastAsia"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资产评估报告日：2019年11月13日</w:t>
      </w:r>
    </w:p>
    <w:p>
      <w:pPr>
        <w:spacing w:before="600" w:beforeLines="250" w:after="240" w:afterLines="100" w:line="360" w:lineRule="auto"/>
        <w:ind w:firstLine="2409" w:firstLineChars="500"/>
        <w:jc w:val="both"/>
        <w:rPr>
          <w:rFonts w:hint="eastAsia" w:ascii="仿宋" w:hAnsi="仿宋" w:eastAsia="仿宋" w:cs="仿宋"/>
          <w:b/>
          <w:color w:val="000000" w:themeColor="text1"/>
          <w:spacing w:val="20"/>
          <w:sz w:val="44"/>
          <w:szCs w:val="44"/>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lang w:val="en-US" w:eastAsia="zh-CN"/>
          <w14:textFill>
            <w14:solidFill>
              <w14:schemeClr w14:val="tx1"/>
            </w14:solidFill>
          </w14:textFill>
        </w:rPr>
      </w:pPr>
      <w:bookmarkStart w:id="15" w:name="_GoBack"/>
      <w:bookmarkEnd w:id="15"/>
      <w:r>
        <w:rPr>
          <w:rFonts w:hint="eastAsia" w:ascii="仿宋" w:hAnsi="仿宋" w:eastAsia="仿宋" w:cs="仿宋"/>
          <w:b/>
          <w:color w:val="000000" w:themeColor="text1"/>
          <w:sz w:val="32"/>
          <w:szCs w:val="32"/>
          <w14:textFill>
            <w14:solidFill>
              <w14:schemeClr w14:val="tx1"/>
            </w14:solidFill>
          </w14:textFill>
        </w:rPr>
        <w:t>玉溪市中级人民法院</w:t>
      </w:r>
      <w:r>
        <w:rPr>
          <w:rFonts w:hint="eastAsia" w:ascii="仿宋" w:hAnsi="仿宋" w:eastAsia="仿宋" w:cs="仿宋"/>
          <w:b/>
          <w:color w:val="000000" w:themeColor="text1"/>
          <w:sz w:val="32"/>
          <w:szCs w:val="32"/>
          <w:lang w:val="en-US" w:eastAsia="zh-CN"/>
          <w14:textFill>
            <w14:solidFill>
              <w14:schemeClr w14:val="tx1"/>
            </w14:solidFill>
          </w14:textFill>
        </w:rPr>
        <w:t>拟执行中国华融资产管理股份有限公司与</w:t>
      </w:r>
      <w:r>
        <w:rPr>
          <w:rFonts w:hint="eastAsia" w:ascii="仿宋" w:hAnsi="仿宋" w:eastAsia="仿宋" w:cs="仿宋"/>
          <w:b/>
          <w:color w:val="000000" w:themeColor="text1"/>
          <w:sz w:val="32"/>
          <w:szCs w:val="32"/>
          <w14:textFill>
            <w14:solidFill>
              <w14:schemeClr w14:val="tx1"/>
            </w14:solidFill>
          </w14:textFill>
        </w:rPr>
        <w:t>新平九州商贸有限公司</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王春莲、张福合同</w:t>
      </w:r>
      <w:r>
        <w:rPr>
          <w:rFonts w:hint="eastAsia" w:ascii="仿宋" w:hAnsi="仿宋" w:eastAsia="仿宋" w:cs="仿宋"/>
          <w:b/>
          <w:color w:val="000000" w:themeColor="text1"/>
          <w:sz w:val="32"/>
          <w:szCs w:val="32"/>
          <w14:textFill>
            <w14:solidFill>
              <w14:schemeClr w14:val="tx1"/>
            </w14:solidFill>
          </w14:textFill>
        </w:rPr>
        <w:t>借款纠纷一案</w:t>
      </w:r>
      <w:r>
        <w:rPr>
          <w:rFonts w:hint="eastAsia" w:ascii="仿宋" w:hAnsi="仿宋" w:eastAsia="仿宋" w:cs="仿宋"/>
          <w:b/>
          <w:color w:val="000000" w:themeColor="text1"/>
          <w:sz w:val="32"/>
          <w:szCs w:val="32"/>
          <w:lang w:val="en-US" w:eastAsia="zh-CN"/>
          <w14:textFill>
            <w14:solidFill>
              <w14:schemeClr w14:val="tx1"/>
            </w14:solidFill>
          </w14:textFill>
        </w:rPr>
        <w:t>涉及的</w:t>
      </w:r>
    </w:p>
    <w:p>
      <w:pPr>
        <w:spacing w:line="360" w:lineRule="auto"/>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新平县</w:t>
      </w:r>
      <w:r>
        <w:rPr>
          <w:rFonts w:hint="eastAsia" w:ascii="仿宋" w:hAnsi="仿宋" w:eastAsia="仿宋" w:cs="仿宋"/>
          <w:b/>
          <w:bCs/>
          <w:color w:val="000000" w:themeColor="text1"/>
          <w:sz w:val="32"/>
          <w:szCs w:val="32"/>
          <w:lang w:val="en-US" w:eastAsia="zh-CN"/>
          <w14:textFill>
            <w14:solidFill>
              <w14:schemeClr w14:val="tx1"/>
            </w14:solidFill>
          </w14:textFill>
        </w:rPr>
        <w:t>戛洒</w:t>
      </w:r>
      <w:r>
        <w:rPr>
          <w:rFonts w:hint="eastAsia" w:ascii="仿宋" w:hAnsi="仿宋" w:eastAsia="仿宋" w:cs="仿宋"/>
          <w:b/>
          <w:color w:val="000000" w:themeColor="text1"/>
          <w:sz w:val="32"/>
          <w:szCs w:val="32"/>
          <w14:textFill>
            <w14:solidFill>
              <w14:schemeClr w14:val="tx1"/>
            </w14:solidFill>
          </w14:textFill>
        </w:rPr>
        <w:t>镇聚宝路大云酒店</w:t>
      </w:r>
    </w:p>
    <w:p>
      <w:pPr>
        <w:spacing w:line="360" w:lineRule="auto"/>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价值评估项目</w:t>
      </w:r>
    </w:p>
    <w:p>
      <w:pPr>
        <w:pStyle w:val="2"/>
        <w:spacing w:before="0" w:after="0" w:line="360" w:lineRule="auto"/>
        <w:jc w:val="center"/>
        <w:rPr>
          <w:rFonts w:hint="eastAsia" w:ascii="仿宋" w:hAnsi="仿宋" w:eastAsia="仿宋" w:cs="仿宋"/>
          <w:color w:val="000000" w:themeColor="text1"/>
          <w:sz w:val="44"/>
          <w:szCs w:val="44"/>
          <w14:textFill>
            <w14:solidFill>
              <w14:schemeClr w14:val="tx1"/>
            </w14:solidFill>
          </w14:textFill>
        </w:rPr>
      </w:pPr>
      <w:bookmarkStart w:id="0" w:name="_Toc19188"/>
      <w:r>
        <w:rPr>
          <w:rFonts w:hint="eastAsia" w:ascii="仿宋" w:hAnsi="仿宋" w:eastAsia="仿宋" w:cs="仿宋"/>
          <w:color w:val="000000" w:themeColor="text1"/>
          <w:sz w:val="44"/>
          <w:szCs w:val="44"/>
          <w14:textFill>
            <w14:solidFill>
              <w14:schemeClr w14:val="tx1"/>
            </w14:solidFill>
          </w14:textFill>
        </w:rPr>
        <w:t>资产评估报告书</w:t>
      </w:r>
      <w:bookmarkEnd w:id="0"/>
    </w:p>
    <w:p>
      <w:pPr>
        <w:spacing w:after="240" w:afterLines="100" w:line="360" w:lineRule="auto"/>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银瑞祥资评报字（2019）第</w:t>
      </w:r>
      <w:r>
        <w:rPr>
          <w:rFonts w:hint="eastAsia" w:ascii="仿宋" w:hAnsi="仿宋" w:eastAsia="仿宋" w:cs="仿宋"/>
          <w:color w:val="000000" w:themeColor="text1"/>
          <w:sz w:val="24"/>
          <w:lang w:val="en-US" w:eastAsia="zh-CN"/>
          <w14:textFill>
            <w14:solidFill>
              <w14:schemeClr w14:val="tx1"/>
            </w14:solidFill>
          </w14:textFill>
        </w:rPr>
        <w:t>11-0090</w:t>
      </w:r>
      <w:r>
        <w:rPr>
          <w:rFonts w:hint="eastAsia" w:ascii="仿宋" w:hAnsi="仿宋" w:eastAsia="仿宋" w:cs="仿宋"/>
          <w:color w:val="000000" w:themeColor="text1"/>
          <w:sz w:val="24"/>
          <w14:textFill>
            <w14:solidFill>
              <w14:schemeClr w14:val="tx1"/>
            </w14:solidFill>
          </w14:textFill>
        </w:rPr>
        <w:t>号</w:t>
      </w:r>
    </w:p>
    <w:p>
      <w:pPr>
        <w:snapToGrid w:val="0"/>
        <w:spacing w:line="360" w:lineRule="auto"/>
        <w:rPr>
          <w:rFonts w:hint="eastAsia"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玉溪市中级人民法院</w:t>
      </w:r>
      <w:r>
        <w:rPr>
          <w:rFonts w:hint="eastAsia" w:ascii="仿宋" w:hAnsi="仿宋" w:eastAsia="仿宋" w:cs="仿宋"/>
          <w:b/>
          <w:color w:val="000000" w:themeColor="text1"/>
          <w:w w:val="95"/>
          <w:sz w:val="28"/>
          <w:szCs w:val="28"/>
          <w14:textFill>
            <w14:solidFill>
              <w14:schemeClr w14:val="tx1"/>
            </w14:solidFill>
          </w14:textFill>
        </w:rPr>
        <w:t>：</w:t>
      </w:r>
    </w:p>
    <w:p>
      <w:pPr>
        <w:pStyle w:val="32"/>
        <w:snapToGrid w:val="0"/>
        <w:spacing w:line="360" w:lineRule="auto"/>
        <w:ind w:firstLine="539"/>
        <w:rPr>
          <w:rFonts w:hint="eastAsia" w:ascii="仿宋" w:hAnsi="仿宋" w:eastAsia="仿宋" w:cs="仿宋"/>
          <w:kern w:val="2"/>
          <w:szCs w:val="24"/>
        </w:rPr>
      </w:pPr>
      <w:r>
        <w:rPr>
          <w:rFonts w:hint="eastAsia" w:ascii="仿宋" w:hAnsi="仿宋" w:eastAsia="仿宋" w:cs="仿宋"/>
          <w:kern w:val="2"/>
          <w:szCs w:val="24"/>
        </w:rPr>
        <w:t>云南银瑞祥房地产土地资产评估有限公司(以下简称“本资产评估机构”)接受贵单位的委托，按照法律、行政法规和资产评估准则的规定，坚持独立、客观和公正的原则，采用市场法及收益法，按照必要的评估程序，</w:t>
      </w:r>
      <w:r>
        <w:rPr>
          <w:rFonts w:hint="eastAsia" w:ascii="仿宋" w:hAnsi="仿宋" w:eastAsia="仿宋" w:cs="仿宋"/>
          <w:kern w:val="2"/>
          <w:szCs w:val="28"/>
        </w:rPr>
        <w:t>对</w:t>
      </w:r>
      <w:r>
        <w:rPr>
          <w:rFonts w:hint="eastAsia" w:ascii="仿宋" w:hAnsi="仿宋" w:eastAsia="仿宋" w:cs="仿宋"/>
          <w:color w:val="000000" w:themeColor="text1"/>
          <w:szCs w:val="28"/>
          <w14:textFill>
            <w14:solidFill>
              <w14:schemeClr w14:val="tx1"/>
            </w14:solidFill>
          </w14:textFill>
        </w:rPr>
        <w:t>玉溪市中级人民法院</w:t>
      </w:r>
      <w:r>
        <w:rPr>
          <w:rFonts w:hint="eastAsia" w:ascii="仿宋" w:hAnsi="仿宋" w:eastAsia="仿宋" w:cs="仿宋"/>
          <w:kern w:val="2"/>
          <w:szCs w:val="28"/>
        </w:rPr>
        <w:t>拟实施司法鉴定</w:t>
      </w:r>
      <w:r>
        <w:rPr>
          <w:rFonts w:hint="eastAsia" w:ascii="仿宋" w:hAnsi="仿宋" w:eastAsia="仿宋" w:cs="仿宋"/>
          <w:color w:val="000000" w:themeColor="text1"/>
          <w:szCs w:val="28"/>
          <w14:textFill>
            <w14:solidFill>
              <w14:schemeClr w14:val="tx1"/>
            </w14:solidFill>
          </w14:textFill>
        </w:rPr>
        <w:t>新平县</w:t>
      </w:r>
      <w:r>
        <w:rPr>
          <w:rFonts w:hint="eastAsia" w:ascii="仿宋" w:hAnsi="仿宋" w:eastAsia="仿宋" w:cs="仿宋"/>
          <w:color w:val="000000" w:themeColor="text1"/>
          <w:sz w:val="28"/>
          <w:szCs w:val="28"/>
          <w:lang w:val="en-US" w:eastAsia="zh-CN"/>
          <w14:textFill>
            <w14:solidFill>
              <w14:schemeClr w14:val="tx1"/>
            </w14:solidFill>
          </w14:textFill>
        </w:rPr>
        <w:t>戛洒</w:t>
      </w:r>
      <w:r>
        <w:rPr>
          <w:rFonts w:hint="eastAsia" w:ascii="仿宋" w:hAnsi="仿宋" w:eastAsia="仿宋" w:cs="仿宋"/>
          <w:color w:val="000000" w:themeColor="text1"/>
          <w:szCs w:val="28"/>
          <w14:textFill>
            <w14:solidFill>
              <w14:schemeClr w14:val="tx1"/>
            </w14:solidFill>
          </w14:textFill>
        </w:rPr>
        <w:t>镇聚宝路大云酒店</w:t>
      </w:r>
      <w:r>
        <w:rPr>
          <w:rFonts w:hint="eastAsia" w:ascii="仿宋" w:hAnsi="仿宋" w:eastAsia="仿宋" w:cs="仿宋"/>
          <w:kern w:val="2"/>
          <w:szCs w:val="28"/>
        </w:rPr>
        <w:t>房地产在评估基准日2019年10月31日的市场价值进行了评估。现将资</w:t>
      </w:r>
      <w:r>
        <w:rPr>
          <w:rFonts w:hint="eastAsia" w:ascii="仿宋" w:hAnsi="仿宋" w:eastAsia="仿宋" w:cs="仿宋"/>
          <w:kern w:val="2"/>
          <w:szCs w:val="24"/>
        </w:rPr>
        <w:t>产评估情况报告如下：</w:t>
      </w:r>
    </w:p>
    <w:p>
      <w:pPr>
        <w:pStyle w:val="3"/>
        <w:ind w:left="567" w:hanging="567"/>
        <w:rPr>
          <w:rFonts w:hint="eastAsia" w:ascii="仿宋" w:hAnsi="仿宋" w:eastAsia="仿宋" w:cs="仿宋"/>
          <w:color w:val="000000" w:themeColor="text1"/>
          <w:sz w:val="28"/>
          <w:szCs w:val="28"/>
          <w14:textFill>
            <w14:solidFill>
              <w14:schemeClr w14:val="tx1"/>
            </w14:solidFill>
          </w14:textFill>
        </w:rPr>
      </w:pPr>
      <w:bookmarkStart w:id="1" w:name="_Toc31202"/>
      <w:r>
        <w:rPr>
          <w:rFonts w:hint="eastAsia" w:ascii="仿宋" w:hAnsi="仿宋" w:eastAsia="仿宋" w:cs="仿宋"/>
          <w:color w:val="000000" w:themeColor="text1"/>
          <w:sz w:val="28"/>
          <w:szCs w:val="28"/>
          <w14:textFill>
            <w14:solidFill>
              <w14:schemeClr w14:val="tx1"/>
            </w14:solidFill>
          </w14:textFill>
        </w:rPr>
        <w:t>委托人、</w:t>
      </w:r>
      <w:r>
        <w:rPr>
          <w:rFonts w:hint="eastAsia" w:ascii="仿宋" w:hAnsi="仿宋" w:eastAsia="仿宋" w:cs="仿宋"/>
          <w:color w:val="000000" w:themeColor="text1"/>
          <w:sz w:val="28"/>
          <w:lang w:val="en-US" w:eastAsia="zh-CN"/>
          <w14:textFill>
            <w14:solidFill>
              <w14:schemeClr w14:val="tx1"/>
            </w14:solidFill>
          </w14:textFill>
        </w:rPr>
        <w:t>申请人、被申请人及</w:t>
      </w:r>
      <w:r>
        <w:rPr>
          <w:rFonts w:hint="eastAsia" w:ascii="仿宋" w:hAnsi="仿宋" w:eastAsia="仿宋" w:cs="仿宋"/>
          <w:color w:val="000000" w:themeColor="text1"/>
          <w:sz w:val="28"/>
          <w:szCs w:val="28"/>
          <w14:textFill>
            <w14:solidFill>
              <w14:schemeClr w14:val="tx1"/>
            </w14:solidFill>
          </w14:textFill>
        </w:rPr>
        <w:t>产权持有人及其他评估报告使用人</w:t>
      </w:r>
      <w:bookmarkEnd w:id="1"/>
    </w:p>
    <w:p>
      <w:pPr>
        <w:numPr>
          <w:ilvl w:val="0"/>
          <w:numId w:val="2"/>
        </w:numPr>
        <w:adjustRightInd w:val="0"/>
        <w:snapToGrid w:val="0"/>
        <w:spacing w:line="360" w:lineRule="auto"/>
        <w:ind w:left="0" w:firstLine="532"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w w:val="95"/>
          <w:sz w:val="28"/>
          <w14:textFill>
            <w14:solidFill>
              <w14:schemeClr w14:val="tx1"/>
            </w14:solidFill>
          </w14:textFill>
        </w:rPr>
        <w:t>委托人</w:t>
      </w:r>
      <w:r>
        <w:rPr>
          <w:rFonts w:hint="eastAsia" w:ascii="仿宋" w:hAnsi="仿宋" w:eastAsia="仿宋" w:cs="仿宋"/>
          <w:color w:val="000000" w:themeColor="text1"/>
          <w:w w:val="95"/>
          <w:sz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玉溪市中级人民法院</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2"/>
        </w:numPr>
        <w:adjustRightInd w:val="0"/>
        <w:snapToGrid w:val="0"/>
        <w:spacing w:line="360" w:lineRule="auto"/>
        <w:ind w:left="0" w:leftChars="0" w:firstLine="560" w:firstLineChars="200"/>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申请人：</w:t>
      </w:r>
      <w:r>
        <w:rPr>
          <w:rFonts w:hint="eastAsia" w:ascii="仿宋" w:hAnsi="仿宋" w:eastAsia="仿宋" w:cs="仿宋"/>
          <w:b w:val="0"/>
          <w:bCs/>
          <w:color w:val="000000" w:themeColor="text1"/>
          <w:sz w:val="28"/>
          <w:szCs w:val="28"/>
          <w:lang w:val="en-US" w:eastAsia="zh-CN"/>
          <w14:textFill>
            <w14:solidFill>
              <w14:schemeClr w14:val="tx1"/>
            </w14:solidFill>
          </w14:textFill>
        </w:rPr>
        <w:t>中国华融资产管理股份有限公司；</w:t>
      </w:r>
    </w:p>
    <w:p>
      <w:pPr>
        <w:numPr>
          <w:ilvl w:val="0"/>
          <w:numId w:val="2"/>
        </w:numPr>
        <w:adjustRightInd w:val="0"/>
        <w:snapToGrid w:val="0"/>
        <w:spacing w:line="360" w:lineRule="auto"/>
        <w:ind w:left="0" w:leftChars="0" w:firstLine="560" w:firstLineChars="200"/>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被申请人：</w:t>
      </w:r>
      <w:r>
        <w:rPr>
          <w:rFonts w:hint="eastAsia" w:ascii="仿宋" w:hAnsi="仿宋" w:eastAsia="仿宋" w:cs="仿宋"/>
          <w:b w:val="0"/>
          <w:bCs/>
          <w:color w:val="000000" w:themeColor="text1"/>
          <w:sz w:val="28"/>
          <w:szCs w:val="28"/>
          <w14:textFill>
            <w14:solidFill>
              <w14:schemeClr w14:val="tx1"/>
            </w14:solidFill>
          </w14:textFill>
        </w:rPr>
        <w:t>新平九州商贸有限公司</w:t>
      </w:r>
      <w:r>
        <w:rPr>
          <w:rFonts w:hint="eastAsia" w:ascii="仿宋" w:hAnsi="仿宋" w:eastAsia="仿宋" w:cs="仿宋"/>
          <w:b w:val="0"/>
          <w:bCs/>
          <w:color w:val="000000" w:themeColor="text1"/>
          <w:sz w:val="28"/>
          <w:szCs w:val="28"/>
          <w:lang w:eastAsia="zh-CN"/>
          <w14:textFill>
            <w14:solidFill>
              <w14:schemeClr w14:val="tx1"/>
            </w14:solidFill>
          </w14:textFill>
        </w:rPr>
        <w:t>、</w:t>
      </w:r>
      <w:r>
        <w:rPr>
          <w:rFonts w:hint="eastAsia" w:ascii="仿宋" w:hAnsi="仿宋" w:eastAsia="仿宋" w:cs="仿宋"/>
          <w:b w:val="0"/>
          <w:bCs/>
          <w:color w:val="000000" w:themeColor="text1"/>
          <w:sz w:val="28"/>
          <w:szCs w:val="28"/>
          <w:lang w:val="en-US" w:eastAsia="zh-CN"/>
          <w14:textFill>
            <w14:solidFill>
              <w14:schemeClr w14:val="tx1"/>
            </w14:solidFill>
          </w14:textFill>
        </w:rPr>
        <w:t>王春莲、张福；</w:t>
      </w:r>
    </w:p>
    <w:p>
      <w:pPr>
        <w:numPr>
          <w:ilvl w:val="0"/>
          <w:numId w:val="2"/>
        </w:numPr>
        <w:adjustRightInd w:val="0"/>
        <w:snapToGrid w:val="0"/>
        <w:spacing w:line="360" w:lineRule="auto"/>
        <w:ind w:left="0"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产权持有人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14:textFill>
            <w14:solidFill>
              <w14:schemeClr w14:val="tx1"/>
            </w14:solidFill>
          </w14:textFill>
        </w:rPr>
        <w:t>新平</w:t>
      </w:r>
      <w:r>
        <w:rPr>
          <w:rFonts w:hint="eastAsia" w:ascii="仿宋" w:hAnsi="仿宋" w:eastAsia="仿宋" w:cs="仿宋"/>
          <w:bCs/>
          <w:color w:val="000000" w:themeColor="text1"/>
          <w:sz w:val="28"/>
          <w:szCs w:val="28"/>
          <w14:textFill>
            <w14:solidFill>
              <w14:schemeClr w14:val="tx1"/>
            </w14:solidFill>
          </w14:textFill>
        </w:rPr>
        <w:t>九州商贸有限公司</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14:textFill>
            <w14:solidFill>
              <w14:schemeClr w14:val="tx1"/>
            </w14:solidFill>
          </w14:textFill>
        </w:rPr>
        <w:t xml:space="preserve"> </w:t>
      </w:r>
    </w:p>
    <w:p>
      <w:pPr>
        <w:numPr>
          <w:ilvl w:val="0"/>
          <w:numId w:val="2"/>
        </w:numPr>
        <w:adjustRightInd w:val="0"/>
        <w:snapToGrid w:val="0"/>
        <w:spacing w:line="360" w:lineRule="auto"/>
        <w:ind w:left="0"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委托人与</w:t>
      </w:r>
      <w:r>
        <w:rPr>
          <w:rFonts w:hint="eastAsia" w:ascii="仿宋" w:hAnsi="仿宋" w:eastAsia="仿宋" w:cs="仿宋"/>
          <w:color w:val="000000" w:themeColor="text1"/>
          <w:sz w:val="28"/>
          <w:szCs w:val="28"/>
          <w14:textFill>
            <w14:solidFill>
              <w14:schemeClr w14:val="tx1"/>
            </w14:solidFill>
          </w14:textFill>
        </w:rPr>
        <w:t>产权持有人</w:t>
      </w:r>
      <w:r>
        <w:rPr>
          <w:rFonts w:hint="eastAsia" w:ascii="仿宋" w:hAnsi="仿宋" w:eastAsia="仿宋" w:cs="仿宋"/>
          <w:bCs/>
          <w:color w:val="000000" w:themeColor="text1"/>
          <w:sz w:val="28"/>
          <w:szCs w:val="28"/>
          <w14:textFill>
            <w14:solidFill>
              <w14:schemeClr w14:val="tx1"/>
            </w14:solidFill>
          </w14:textFill>
        </w:rPr>
        <w:t>的关系</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32"/>
        <w:snapToGrid w:val="0"/>
        <w:spacing w:line="360" w:lineRule="auto"/>
        <w:ind w:firstLine="539"/>
        <w:rPr>
          <w:rFonts w:hint="eastAsia" w:ascii="仿宋" w:hAnsi="仿宋" w:eastAsia="仿宋" w:cs="仿宋"/>
          <w:kern w:val="2"/>
          <w:szCs w:val="24"/>
        </w:rPr>
      </w:pPr>
      <w:r>
        <w:rPr>
          <w:rFonts w:hint="eastAsia" w:ascii="仿宋" w:hAnsi="仿宋" w:eastAsia="仿宋" w:cs="仿宋"/>
          <w:kern w:val="2"/>
          <w:szCs w:val="24"/>
        </w:rPr>
        <w:t>根据</w:t>
      </w:r>
      <w:r>
        <w:rPr>
          <w:rFonts w:hint="eastAsia" w:ascii="仿宋" w:hAnsi="仿宋" w:eastAsia="仿宋" w:cs="仿宋"/>
          <w:color w:val="000000" w:themeColor="text1"/>
          <w:szCs w:val="28"/>
          <w14:textFill>
            <w14:solidFill>
              <w14:schemeClr w14:val="tx1"/>
            </w14:solidFill>
          </w14:textFill>
        </w:rPr>
        <w:t>玉溪市中级人民法院</w:t>
      </w:r>
      <w:r>
        <w:rPr>
          <w:rFonts w:hint="eastAsia" w:ascii="仿宋" w:hAnsi="仿宋" w:eastAsia="仿宋" w:cs="仿宋"/>
          <w:kern w:val="2"/>
          <w:szCs w:val="24"/>
        </w:rPr>
        <w:t>鉴定委托书，本评估项目委托方为</w:t>
      </w:r>
      <w:r>
        <w:rPr>
          <w:rFonts w:hint="eastAsia" w:ascii="仿宋" w:hAnsi="仿宋" w:eastAsia="仿宋" w:cs="仿宋"/>
          <w:color w:val="000000" w:themeColor="text1"/>
          <w:szCs w:val="28"/>
          <w14:textFill>
            <w14:solidFill>
              <w14:schemeClr w14:val="tx1"/>
            </w14:solidFill>
          </w14:textFill>
        </w:rPr>
        <w:t>玉溪市中级人民法院</w:t>
      </w:r>
      <w:r>
        <w:rPr>
          <w:rFonts w:hint="eastAsia" w:ascii="仿宋" w:hAnsi="仿宋" w:eastAsia="仿宋" w:cs="仿宋"/>
          <w:kern w:val="2"/>
          <w:szCs w:val="24"/>
        </w:rPr>
        <w:t>，申请人</w:t>
      </w:r>
      <w:r>
        <w:rPr>
          <w:rFonts w:hint="eastAsia" w:ascii="仿宋" w:hAnsi="仿宋" w:eastAsia="仿宋" w:cs="仿宋"/>
          <w:kern w:val="2"/>
          <w:szCs w:val="24"/>
          <w:lang w:eastAsia="zh-CN"/>
        </w:rPr>
        <w:t>：</w:t>
      </w:r>
      <w:r>
        <w:rPr>
          <w:rFonts w:hint="eastAsia" w:ascii="仿宋" w:hAnsi="仿宋" w:eastAsia="仿宋" w:cs="仿宋"/>
          <w:kern w:val="2"/>
          <w:szCs w:val="24"/>
          <w:lang w:val="en-US" w:eastAsia="zh-CN"/>
        </w:rPr>
        <w:t>中国华融字长管理股份有限公司云南省分公司，</w:t>
      </w:r>
      <w:r>
        <w:rPr>
          <w:rFonts w:hint="eastAsia" w:ascii="仿宋" w:hAnsi="仿宋" w:eastAsia="仿宋" w:cs="仿宋"/>
          <w:kern w:val="2"/>
          <w:szCs w:val="24"/>
        </w:rPr>
        <w:t>被申请人（被执行人）为新平</w:t>
      </w:r>
      <w:r>
        <w:rPr>
          <w:rFonts w:hint="eastAsia" w:ascii="仿宋" w:hAnsi="仿宋" w:eastAsia="仿宋" w:cs="仿宋"/>
          <w:bCs/>
          <w:color w:val="000000" w:themeColor="text1"/>
          <w:szCs w:val="28"/>
          <w14:textFill>
            <w14:solidFill>
              <w14:schemeClr w14:val="tx1"/>
            </w14:solidFill>
          </w14:textFill>
        </w:rPr>
        <w:t>九州商贸有限公司</w:t>
      </w:r>
      <w:r>
        <w:rPr>
          <w:rFonts w:hint="eastAsia" w:ascii="仿宋" w:hAnsi="仿宋" w:eastAsia="仿宋" w:cs="仿宋"/>
          <w:kern w:val="2"/>
          <w:szCs w:val="24"/>
        </w:rPr>
        <w:t>，委托事项为：对被执行人</w:t>
      </w:r>
      <w:r>
        <w:rPr>
          <w:rFonts w:hint="eastAsia" w:ascii="仿宋" w:hAnsi="仿宋" w:eastAsia="仿宋" w:cs="仿宋"/>
          <w:color w:val="000000" w:themeColor="text1"/>
          <w:szCs w:val="28"/>
          <w14:textFill>
            <w14:solidFill>
              <w14:schemeClr w14:val="tx1"/>
            </w14:solidFill>
          </w14:textFill>
        </w:rPr>
        <w:t>新平县</w:t>
      </w:r>
      <w:r>
        <w:rPr>
          <w:rFonts w:hint="eastAsia" w:ascii="仿宋" w:hAnsi="仿宋" w:eastAsia="仿宋" w:cs="仿宋"/>
          <w:color w:val="000000" w:themeColor="text1"/>
          <w:sz w:val="28"/>
          <w:szCs w:val="28"/>
          <w:lang w:val="en-US" w:eastAsia="zh-CN"/>
          <w14:textFill>
            <w14:solidFill>
              <w14:schemeClr w14:val="tx1"/>
            </w14:solidFill>
          </w14:textFill>
        </w:rPr>
        <w:t>戛洒</w:t>
      </w:r>
      <w:r>
        <w:rPr>
          <w:rFonts w:hint="eastAsia" w:ascii="仿宋" w:hAnsi="仿宋" w:eastAsia="仿宋" w:cs="仿宋"/>
          <w:color w:val="000000" w:themeColor="text1"/>
          <w:szCs w:val="28"/>
          <w14:textFill>
            <w14:solidFill>
              <w14:schemeClr w14:val="tx1"/>
            </w14:solidFill>
          </w14:textFill>
        </w:rPr>
        <w:t>镇聚宝路大云酒店</w:t>
      </w:r>
      <w:r>
        <w:rPr>
          <w:rFonts w:hint="eastAsia" w:ascii="仿宋" w:hAnsi="仿宋" w:eastAsia="仿宋" w:cs="仿宋"/>
          <w:color w:val="000000"/>
          <w:szCs w:val="32"/>
        </w:rPr>
        <w:t>房地产进</w:t>
      </w:r>
      <w:r>
        <w:rPr>
          <w:rFonts w:hint="eastAsia" w:ascii="仿宋" w:hAnsi="仿宋" w:eastAsia="仿宋" w:cs="仿宋"/>
          <w:kern w:val="2"/>
          <w:szCs w:val="24"/>
        </w:rPr>
        <w:t>行价值评估。</w:t>
      </w:r>
    </w:p>
    <w:p>
      <w:pPr>
        <w:pStyle w:val="32"/>
        <w:snapToGrid w:val="0"/>
        <w:spacing w:line="360" w:lineRule="auto"/>
        <w:ind w:firstLine="539"/>
        <w:rPr>
          <w:rFonts w:hint="eastAsia" w:ascii="仿宋" w:hAnsi="仿宋" w:eastAsia="仿宋" w:cs="仿宋"/>
          <w:kern w:val="2"/>
          <w:szCs w:val="24"/>
        </w:rPr>
      </w:pPr>
      <w:r>
        <w:rPr>
          <w:rFonts w:hint="eastAsia" w:ascii="仿宋" w:hAnsi="仿宋" w:eastAsia="仿宋" w:cs="仿宋"/>
          <w:kern w:val="2"/>
          <w:szCs w:val="24"/>
        </w:rPr>
        <w:t>其他评估报告使用人</w:t>
      </w:r>
    </w:p>
    <w:p>
      <w:pPr>
        <w:adjustRightInd w:val="0"/>
        <w:snapToGrid w:val="0"/>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本评估报告仅供委托人和法律、行政法规规定的评估报告使用人者使用。</w:t>
      </w:r>
    </w:p>
    <w:p>
      <w:pPr>
        <w:pStyle w:val="3"/>
        <w:ind w:left="567" w:hanging="567"/>
        <w:rPr>
          <w:rFonts w:hint="eastAsia" w:ascii="仿宋" w:hAnsi="仿宋" w:eastAsia="仿宋" w:cs="仿宋"/>
          <w:color w:val="000000" w:themeColor="text1"/>
          <w:sz w:val="28"/>
          <w:szCs w:val="28"/>
          <w14:textFill>
            <w14:solidFill>
              <w14:schemeClr w14:val="tx1"/>
            </w14:solidFill>
          </w14:textFill>
        </w:rPr>
      </w:pPr>
      <w:bookmarkStart w:id="2" w:name="_Toc29092"/>
      <w:r>
        <w:rPr>
          <w:rFonts w:hint="eastAsia" w:ascii="仿宋" w:hAnsi="仿宋" w:eastAsia="仿宋" w:cs="仿宋"/>
          <w:color w:val="000000" w:themeColor="text1"/>
          <w:sz w:val="28"/>
          <w:szCs w:val="28"/>
          <w14:textFill>
            <w14:solidFill>
              <w14:schemeClr w14:val="tx1"/>
            </w14:solidFill>
          </w14:textFill>
        </w:rPr>
        <w:t>评估目的</w:t>
      </w:r>
      <w:bookmarkEnd w:id="2"/>
    </w:p>
    <w:p>
      <w:pPr>
        <w:snapToGrid w:val="0"/>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因玉溪市中级人民法院</w:t>
      </w:r>
      <w:r>
        <w:rPr>
          <w:rFonts w:hint="eastAsia" w:ascii="仿宋" w:hAnsi="仿宋" w:eastAsia="仿宋" w:cs="仿宋"/>
          <w:bCs/>
          <w:color w:val="000000" w:themeColor="text1"/>
          <w:spacing w:val="30"/>
          <w:sz w:val="28"/>
          <w:szCs w:val="28"/>
          <w14:textFill>
            <w14:solidFill>
              <w14:schemeClr w14:val="tx1"/>
            </w14:solidFill>
          </w14:textFill>
        </w:rPr>
        <w:t>对被执行人新平</w:t>
      </w:r>
      <w:r>
        <w:rPr>
          <w:rFonts w:hint="eastAsia" w:ascii="仿宋" w:hAnsi="仿宋" w:eastAsia="仿宋" w:cs="仿宋"/>
          <w:bCs/>
          <w:color w:val="000000" w:themeColor="text1"/>
          <w:sz w:val="28"/>
          <w:szCs w:val="28"/>
          <w14:textFill>
            <w14:solidFill>
              <w14:schemeClr w14:val="tx1"/>
            </w14:solidFill>
          </w14:textFill>
        </w:rPr>
        <w:t>九州商贸有限公司</w:t>
      </w:r>
      <w:r>
        <w:rPr>
          <w:rFonts w:hint="eastAsia" w:ascii="仿宋" w:hAnsi="仿宋" w:eastAsia="仿宋" w:cs="仿宋"/>
          <w:bCs/>
          <w:color w:val="000000" w:themeColor="text1"/>
          <w:spacing w:val="30"/>
          <w:sz w:val="28"/>
          <w:szCs w:val="28"/>
          <w14:textFill>
            <w14:solidFill>
              <w14:schemeClr w14:val="tx1"/>
            </w14:solidFill>
          </w14:textFill>
        </w:rPr>
        <w:t>所持</w:t>
      </w:r>
      <w:r>
        <w:rPr>
          <w:rFonts w:hint="eastAsia" w:ascii="仿宋" w:hAnsi="仿宋" w:eastAsia="仿宋" w:cs="仿宋"/>
          <w:bCs/>
          <w:color w:val="000000" w:themeColor="text1"/>
          <w:sz w:val="28"/>
          <w:szCs w:val="28"/>
          <w14:textFill>
            <w14:solidFill>
              <w14:schemeClr w14:val="tx1"/>
            </w14:solidFill>
          </w14:textFill>
        </w:rPr>
        <w:t>新平县</w:t>
      </w:r>
      <w:r>
        <w:rPr>
          <w:rFonts w:hint="eastAsia" w:ascii="仿宋" w:hAnsi="仿宋" w:eastAsia="仿宋" w:cs="仿宋"/>
          <w:color w:val="000000" w:themeColor="text1"/>
          <w:sz w:val="28"/>
          <w:szCs w:val="28"/>
          <w:lang w:val="en-US" w:eastAsia="zh-CN"/>
          <w14:textFill>
            <w14:solidFill>
              <w14:schemeClr w14:val="tx1"/>
            </w14:solidFill>
          </w14:textFill>
        </w:rPr>
        <w:t>戛洒</w:t>
      </w:r>
      <w:r>
        <w:rPr>
          <w:rFonts w:hint="eastAsia" w:ascii="仿宋" w:hAnsi="仿宋" w:eastAsia="仿宋" w:cs="仿宋"/>
          <w:bCs/>
          <w:color w:val="000000" w:themeColor="text1"/>
          <w:sz w:val="28"/>
          <w:szCs w:val="28"/>
          <w14:textFill>
            <w14:solidFill>
              <w14:schemeClr w14:val="tx1"/>
            </w14:solidFill>
          </w14:textFill>
        </w:rPr>
        <w:t>镇聚宝路大云酒店</w:t>
      </w:r>
      <w:r>
        <w:rPr>
          <w:rFonts w:hint="eastAsia" w:ascii="仿宋" w:hAnsi="仿宋" w:eastAsia="仿宋" w:cs="仿宋"/>
          <w:bCs/>
          <w:color w:val="000000" w:themeColor="text1"/>
          <w:spacing w:val="30"/>
          <w:sz w:val="28"/>
          <w:szCs w:val="28"/>
          <w14:textFill>
            <w14:solidFill>
              <w14:schemeClr w14:val="tx1"/>
            </w14:solidFill>
          </w14:textFill>
        </w:rPr>
        <w:t>房地产</w:t>
      </w:r>
      <w:r>
        <w:rPr>
          <w:rFonts w:hint="eastAsia" w:ascii="仿宋" w:hAnsi="仿宋" w:eastAsia="仿宋" w:cs="仿宋"/>
          <w:bCs/>
          <w:color w:val="000000" w:themeColor="text1"/>
          <w:spacing w:val="30"/>
          <w:sz w:val="28"/>
          <w:szCs w:val="28"/>
          <w:lang w:val="en-US" w:eastAsia="zh-CN"/>
          <w14:textFill>
            <w14:solidFill>
              <w14:schemeClr w14:val="tx1"/>
            </w14:solidFill>
          </w14:textFill>
        </w:rPr>
        <w:t>市场</w:t>
      </w:r>
      <w:r>
        <w:rPr>
          <w:rFonts w:hint="eastAsia" w:ascii="仿宋" w:hAnsi="仿宋" w:eastAsia="仿宋" w:cs="仿宋"/>
          <w:bCs/>
          <w:color w:val="000000" w:themeColor="text1"/>
          <w:spacing w:val="30"/>
          <w:sz w:val="28"/>
          <w:szCs w:val="28"/>
          <w14:textFill>
            <w14:solidFill>
              <w14:schemeClr w14:val="tx1"/>
            </w14:solidFill>
          </w14:textFill>
        </w:rPr>
        <w:t>价值评估项目，</w:t>
      </w:r>
      <w:r>
        <w:rPr>
          <w:rFonts w:hint="eastAsia" w:ascii="仿宋" w:hAnsi="仿宋" w:eastAsia="仿宋" w:cs="仿宋"/>
          <w:bCs/>
          <w:sz w:val="28"/>
          <w:szCs w:val="28"/>
        </w:rPr>
        <w:t>以确定其在</w:t>
      </w:r>
      <w:r>
        <w:rPr>
          <w:rFonts w:hint="eastAsia" w:ascii="仿宋" w:hAnsi="仿宋" w:eastAsia="仿宋" w:cs="仿宋"/>
          <w:sz w:val="28"/>
          <w:szCs w:val="28"/>
        </w:rPr>
        <w:t>评估基准日2019年10月31日的市场价值，为该经济行为提供价值参考依据。</w:t>
      </w:r>
    </w:p>
    <w:p>
      <w:pPr>
        <w:pStyle w:val="3"/>
        <w:ind w:left="567" w:hanging="567"/>
        <w:rPr>
          <w:rFonts w:hint="eastAsia" w:ascii="仿宋" w:hAnsi="仿宋" w:eastAsia="仿宋" w:cs="仿宋"/>
          <w:color w:val="000000" w:themeColor="text1"/>
          <w:sz w:val="28"/>
          <w:szCs w:val="28"/>
          <w14:textFill>
            <w14:solidFill>
              <w14:schemeClr w14:val="tx1"/>
            </w14:solidFill>
          </w14:textFill>
        </w:rPr>
      </w:pPr>
      <w:bookmarkStart w:id="3" w:name="_Toc9450"/>
      <w:r>
        <w:rPr>
          <w:rFonts w:hint="eastAsia" w:ascii="仿宋" w:hAnsi="仿宋" w:eastAsia="仿宋" w:cs="仿宋"/>
          <w:color w:val="000000" w:themeColor="text1"/>
          <w:sz w:val="28"/>
          <w:szCs w:val="28"/>
          <w14:textFill>
            <w14:solidFill>
              <w14:schemeClr w14:val="tx1"/>
            </w14:solidFill>
          </w14:textFill>
        </w:rPr>
        <w:t>评估对象和评估范围</w:t>
      </w:r>
      <w:bookmarkEnd w:id="3"/>
    </w:p>
    <w:p>
      <w:pPr>
        <w:adjustRightInd w:val="0"/>
        <w:snapToGrid w:val="0"/>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根据本次评估目的，评估对象是</w:t>
      </w:r>
      <w:r>
        <w:rPr>
          <w:rFonts w:hint="eastAsia" w:ascii="仿宋" w:hAnsi="仿宋" w:eastAsia="仿宋" w:cs="仿宋"/>
          <w:sz w:val="28"/>
          <w:szCs w:val="28"/>
        </w:rPr>
        <w:t>新平</w:t>
      </w:r>
      <w:r>
        <w:rPr>
          <w:rFonts w:hint="eastAsia" w:ascii="仿宋" w:hAnsi="仿宋" w:eastAsia="仿宋" w:cs="仿宋"/>
          <w:bCs/>
          <w:color w:val="000000" w:themeColor="text1"/>
          <w:sz w:val="28"/>
          <w:szCs w:val="28"/>
          <w14:textFill>
            <w14:solidFill>
              <w14:schemeClr w14:val="tx1"/>
            </w14:solidFill>
          </w14:textFill>
        </w:rPr>
        <w:t>九州商贸有限公司</w:t>
      </w:r>
      <w:r>
        <w:rPr>
          <w:rFonts w:hint="eastAsia" w:ascii="仿宋" w:hAnsi="仿宋" w:eastAsia="仿宋" w:cs="仿宋"/>
          <w:color w:val="000000" w:themeColor="text1"/>
          <w:sz w:val="28"/>
          <w14:textFill>
            <w14:solidFill>
              <w14:schemeClr w14:val="tx1"/>
            </w14:solidFill>
          </w14:textFill>
        </w:rPr>
        <w:t>所持有</w:t>
      </w:r>
      <w:r>
        <w:rPr>
          <w:rFonts w:hint="eastAsia" w:ascii="仿宋" w:hAnsi="仿宋" w:eastAsia="仿宋" w:cs="仿宋"/>
          <w:color w:val="000000" w:themeColor="text1"/>
          <w:sz w:val="28"/>
          <w:szCs w:val="28"/>
          <w14:textFill>
            <w14:solidFill>
              <w14:schemeClr w14:val="tx1"/>
            </w14:solidFill>
          </w14:textFill>
        </w:rPr>
        <w:t>新平县</w:t>
      </w:r>
      <w:r>
        <w:rPr>
          <w:rFonts w:hint="eastAsia" w:ascii="仿宋" w:hAnsi="仿宋" w:eastAsia="仿宋" w:cs="仿宋"/>
          <w:color w:val="000000" w:themeColor="text1"/>
          <w:sz w:val="28"/>
          <w:szCs w:val="28"/>
          <w:lang w:val="en-US" w:eastAsia="zh-CN"/>
          <w14:textFill>
            <w14:solidFill>
              <w14:schemeClr w14:val="tx1"/>
            </w14:solidFill>
          </w14:textFill>
        </w:rPr>
        <w:t>戛洒</w:t>
      </w:r>
      <w:r>
        <w:rPr>
          <w:rFonts w:hint="eastAsia" w:ascii="仿宋" w:hAnsi="仿宋" w:eastAsia="仿宋" w:cs="仿宋"/>
          <w:color w:val="000000" w:themeColor="text1"/>
          <w:sz w:val="28"/>
          <w:szCs w:val="28"/>
          <w14:textFill>
            <w14:solidFill>
              <w14:schemeClr w14:val="tx1"/>
            </w14:solidFill>
          </w14:textFill>
        </w:rPr>
        <w:t>镇聚宝路大云酒店房地产。</w:t>
      </w:r>
    </w:p>
    <w:p>
      <w:pPr>
        <w:overflowPunct w:val="0"/>
        <w:spacing w:line="360" w:lineRule="auto"/>
        <w:ind w:firstLine="551" w:firstLineChars="196"/>
        <w:rPr>
          <w:rFonts w:hint="eastAsia" w:ascii="仿宋" w:hAnsi="仿宋" w:eastAsia="仿宋" w:cs="仿宋"/>
          <w:b/>
          <w:bCs/>
          <w:color w:val="000000"/>
          <w:sz w:val="28"/>
          <w:szCs w:val="28"/>
        </w:rPr>
      </w:pPr>
      <w:r>
        <w:rPr>
          <w:rFonts w:hint="eastAsia" w:ascii="仿宋" w:hAnsi="仿宋" w:eastAsia="仿宋" w:cs="仿宋"/>
          <w:b/>
          <w:bCs/>
          <w:color w:val="000000"/>
          <w:sz w:val="28"/>
          <w:szCs w:val="28"/>
        </w:rPr>
        <w:t>1、评估对象基本状况</w:t>
      </w:r>
    </w:p>
    <w:p>
      <w:pPr>
        <w:overflowPunct w:val="0"/>
        <w:spacing w:line="360" w:lineRule="auto"/>
        <w:ind w:left="10" w:leftChars="5" w:firstLine="560" w:firstLineChars="200"/>
        <w:rPr>
          <w:rFonts w:hint="eastAsia" w:ascii="仿宋" w:hAnsi="仿宋" w:eastAsia="仿宋" w:cs="仿宋"/>
          <w:sz w:val="28"/>
        </w:rPr>
      </w:pPr>
      <w:r>
        <w:rPr>
          <w:rFonts w:hint="eastAsia" w:ascii="仿宋" w:hAnsi="仿宋" w:eastAsia="仿宋" w:cs="仿宋"/>
          <w:color w:val="000000"/>
          <w:sz w:val="28"/>
          <w:szCs w:val="32"/>
        </w:rPr>
        <w:t>评估对象为</w:t>
      </w:r>
      <w:r>
        <w:rPr>
          <w:rFonts w:hint="eastAsia" w:ascii="仿宋" w:hAnsi="仿宋" w:eastAsia="仿宋" w:cs="仿宋"/>
          <w:color w:val="000000" w:themeColor="text1"/>
          <w:sz w:val="28"/>
          <w:szCs w:val="28"/>
          <w14:textFill>
            <w14:solidFill>
              <w14:schemeClr w14:val="tx1"/>
            </w14:solidFill>
          </w14:textFill>
        </w:rPr>
        <w:t>新平县</w:t>
      </w:r>
      <w:r>
        <w:rPr>
          <w:rFonts w:hint="eastAsia" w:ascii="仿宋" w:hAnsi="仿宋" w:eastAsia="仿宋" w:cs="仿宋"/>
          <w:color w:val="000000" w:themeColor="text1"/>
          <w:sz w:val="28"/>
          <w:szCs w:val="28"/>
          <w:lang w:val="en-US" w:eastAsia="zh-CN"/>
          <w14:textFill>
            <w14:solidFill>
              <w14:schemeClr w14:val="tx1"/>
            </w14:solidFill>
          </w14:textFill>
        </w:rPr>
        <w:t>戛洒</w:t>
      </w:r>
      <w:r>
        <w:rPr>
          <w:rFonts w:hint="eastAsia" w:ascii="仿宋" w:hAnsi="仿宋" w:eastAsia="仿宋" w:cs="仿宋"/>
          <w:color w:val="000000" w:themeColor="text1"/>
          <w:sz w:val="28"/>
          <w:szCs w:val="28"/>
          <w14:textFill>
            <w14:solidFill>
              <w14:schemeClr w14:val="tx1"/>
            </w14:solidFill>
          </w14:textFill>
        </w:rPr>
        <w:t>镇聚宝路大云酒店</w:t>
      </w:r>
      <w:r>
        <w:rPr>
          <w:rFonts w:hint="eastAsia" w:ascii="仿宋" w:hAnsi="仿宋" w:eastAsia="仿宋" w:cs="仿宋"/>
          <w:color w:val="000000"/>
          <w:sz w:val="28"/>
          <w:szCs w:val="32"/>
        </w:rPr>
        <w:t>；产权人为</w:t>
      </w:r>
      <w:r>
        <w:rPr>
          <w:rFonts w:hint="eastAsia" w:ascii="仿宋" w:hAnsi="仿宋" w:eastAsia="仿宋" w:cs="仿宋"/>
          <w:sz w:val="28"/>
          <w:szCs w:val="28"/>
        </w:rPr>
        <w:t>新平</w:t>
      </w:r>
      <w:r>
        <w:rPr>
          <w:rFonts w:hint="eastAsia" w:ascii="仿宋" w:hAnsi="仿宋" w:eastAsia="仿宋" w:cs="仿宋"/>
          <w:bCs/>
          <w:color w:val="000000" w:themeColor="text1"/>
          <w:sz w:val="28"/>
          <w:szCs w:val="28"/>
          <w14:textFill>
            <w14:solidFill>
              <w14:schemeClr w14:val="tx1"/>
            </w14:solidFill>
          </w14:textFill>
        </w:rPr>
        <w:t>九州商贸有限公司</w:t>
      </w:r>
      <w:r>
        <w:rPr>
          <w:rFonts w:hint="eastAsia" w:ascii="仿宋" w:hAnsi="仿宋" w:eastAsia="仿宋" w:cs="仿宋"/>
          <w:color w:val="000000"/>
          <w:sz w:val="28"/>
          <w:szCs w:val="32"/>
        </w:rPr>
        <w:t>，建筑层数12层，评估对象整栋酒店</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sz w:val="28"/>
          <w:szCs w:val="32"/>
        </w:rPr>
        <w:t>建筑结构钢筋混凝土结构，</w:t>
      </w:r>
      <w:r>
        <w:rPr>
          <w:rFonts w:hint="eastAsia" w:ascii="仿宋" w:hAnsi="仿宋" w:eastAsia="仿宋" w:cs="仿宋"/>
          <w:color w:val="000000"/>
          <w:sz w:val="28"/>
          <w:szCs w:val="28"/>
        </w:rPr>
        <w:t>建筑物总面积为11</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478.98</w:t>
      </w:r>
      <w:r>
        <w:rPr>
          <w:rFonts w:hint="eastAsia" w:ascii="仿宋" w:hAnsi="仿宋" w:eastAsia="仿宋" w:cs="仿宋"/>
          <w:sz w:val="28"/>
        </w:rPr>
        <w:t>平方米。</w:t>
      </w:r>
    </w:p>
    <w:p>
      <w:pPr>
        <w:overflowPunct w:val="0"/>
        <w:spacing w:line="360" w:lineRule="auto"/>
        <w:ind w:firstLine="562" w:firstLineChars="200"/>
        <w:rPr>
          <w:rFonts w:hint="eastAsia" w:ascii="仿宋" w:hAnsi="仿宋" w:eastAsia="仿宋" w:cs="仿宋"/>
          <w:b/>
          <w:sz w:val="28"/>
        </w:rPr>
      </w:pPr>
      <w:r>
        <w:rPr>
          <w:rFonts w:hint="eastAsia" w:ascii="仿宋" w:hAnsi="仿宋" w:eastAsia="仿宋" w:cs="仿宋"/>
          <w:b/>
          <w:bCs/>
          <w:color w:val="000000"/>
          <w:sz w:val="28"/>
          <w:szCs w:val="28"/>
        </w:rPr>
        <w:t>2、</w:t>
      </w:r>
      <w:r>
        <w:rPr>
          <w:rFonts w:hint="eastAsia" w:ascii="仿宋" w:hAnsi="仿宋" w:eastAsia="仿宋" w:cs="仿宋"/>
          <w:b/>
          <w:sz w:val="28"/>
        </w:rPr>
        <w:t>建筑物基本状况</w:t>
      </w:r>
    </w:p>
    <w:p>
      <w:pPr>
        <w:overflowPunct w:val="0"/>
        <w:spacing w:line="360" w:lineRule="auto"/>
        <w:ind w:firstLine="562" w:firstLineChars="200"/>
        <w:jc w:val="left"/>
        <w:rPr>
          <w:rFonts w:hint="eastAsia" w:ascii="仿宋" w:hAnsi="仿宋" w:eastAsia="仿宋" w:cs="仿宋"/>
          <w:bCs/>
          <w:sz w:val="28"/>
          <w:szCs w:val="28"/>
        </w:rPr>
      </w:pPr>
      <w:r>
        <w:rPr>
          <w:rFonts w:hint="eastAsia" w:ascii="仿宋" w:hAnsi="仿宋" w:eastAsia="仿宋" w:cs="仿宋"/>
          <w:b/>
          <w:sz w:val="28"/>
          <w:szCs w:val="28"/>
        </w:rPr>
        <w:t>⑴名称：</w:t>
      </w:r>
      <w:r>
        <w:rPr>
          <w:rFonts w:hint="eastAsia" w:ascii="仿宋" w:hAnsi="仿宋" w:eastAsia="仿宋" w:cs="仿宋"/>
          <w:color w:val="000000"/>
          <w:sz w:val="28"/>
          <w:szCs w:val="32"/>
        </w:rPr>
        <w:t>评估对象</w:t>
      </w:r>
      <w:r>
        <w:rPr>
          <w:rFonts w:hint="eastAsia" w:ascii="仿宋" w:hAnsi="仿宋" w:eastAsia="仿宋" w:cs="仿宋"/>
          <w:sz w:val="28"/>
          <w:szCs w:val="28"/>
        </w:rPr>
        <w:t>新平</w:t>
      </w:r>
      <w:r>
        <w:rPr>
          <w:rFonts w:hint="eastAsia" w:ascii="仿宋" w:hAnsi="仿宋" w:eastAsia="仿宋" w:cs="仿宋"/>
          <w:bCs/>
          <w:color w:val="000000" w:themeColor="text1"/>
          <w:sz w:val="28"/>
          <w:szCs w:val="28"/>
          <w14:textFill>
            <w14:solidFill>
              <w14:schemeClr w14:val="tx1"/>
            </w14:solidFill>
          </w14:textFill>
        </w:rPr>
        <w:t>九州商贸有限公司</w:t>
      </w:r>
      <w:r>
        <w:rPr>
          <w:rFonts w:hint="eastAsia" w:ascii="仿宋" w:hAnsi="仿宋" w:eastAsia="仿宋" w:cs="仿宋"/>
          <w:color w:val="000000" w:themeColor="text1"/>
          <w:sz w:val="28"/>
          <w:szCs w:val="28"/>
          <w14:textFill>
            <w14:solidFill>
              <w14:schemeClr w14:val="tx1"/>
            </w14:solidFill>
          </w14:textFill>
        </w:rPr>
        <w:t>新平县</w:t>
      </w:r>
      <w:r>
        <w:rPr>
          <w:rFonts w:hint="eastAsia" w:ascii="仿宋" w:hAnsi="仿宋" w:eastAsia="仿宋" w:cs="仿宋"/>
          <w:color w:val="000000" w:themeColor="text1"/>
          <w:sz w:val="28"/>
          <w:szCs w:val="28"/>
          <w:lang w:val="en-US" w:eastAsia="zh-CN"/>
          <w14:textFill>
            <w14:solidFill>
              <w14:schemeClr w14:val="tx1"/>
            </w14:solidFill>
          </w14:textFill>
        </w:rPr>
        <w:t>戛洒</w:t>
      </w:r>
      <w:r>
        <w:rPr>
          <w:rFonts w:hint="eastAsia" w:ascii="仿宋" w:hAnsi="仿宋" w:eastAsia="仿宋" w:cs="仿宋"/>
          <w:color w:val="000000" w:themeColor="text1"/>
          <w:sz w:val="28"/>
          <w:szCs w:val="28"/>
          <w14:textFill>
            <w14:solidFill>
              <w14:schemeClr w14:val="tx1"/>
            </w14:solidFill>
          </w14:textFill>
        </w:rPr>
        <w:t>镇聚宝路大云酒店房地产</w:t>
      </w:r>
      <w:r>
        <w:rPr>
          <w:rFonts w:hint="eastAsia" w:ascii="仿宋" w:hAnsi="仿宋" w:eastAsia="仿宋" w:cs="仿宋"/>
          <w:bCs/>
          <w:sz w:val="28"/>
          <w:szCs w:val="28"/>
        </w:rPr>
        <w:t>；</w:t>
      </w:r>
    </w:p>
    <w:p>
      <w:pPr>
        <w:overflowPunct w:val="0"/>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⑵建成时间：</w:t>
      </w:r>
      <w:r>
        <w:rPr>
          <w:rFonts w:hint="eastAsia" w:ascii="仿宋" w:hAnsi="仿宋" w:eastAsia="仿宋" w:cs="仿宋"/>
          <w:bCs/>
          <w:sz w:val="28"/>
          <w:szCs w:val="28"/>
        </w:rPr>
        <w:t>2012年建成并正常使用</w:t>
      </w:r>
      <w:r>
        <w:rPr>
          <w:rFonts w:hint="eastAsia" w:ascii="仿宋" w:hAnsi="仿宋" w:eastAsia="仿宋" w:cs="仿宋"/>
          <w:b/>
          <w:sz w:val="28"/>
          <w:szCs w:val="28"/>
        </w:rPr>
        <w:t>；</w:t>
      </w:r>
    </w:p>
    <w:p>
      <w:pPr>
        <w:overflowPunct w:val="0"/>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⑶建筑层数：</w:t>
      </w:r>
      <w:r>
        <w:rPr>
          <w:rFonts w:hint="eastAsia" w:ascii="仿宋" w:hAnsi="仿宋" w:eastAsia="仿宋" w:cs="仿宋"/>
          <w:bCs/>
          <w:sz w:val="28"/>
          <w:szCs w:val="28"/>
        </w:rPr>
        <w:t>该幢建筑物总建筑层数为12层</w:t>
      </w:r>
      <w:r>
        <w:rPr>
          <w:rFonts w:hint="eastAsia" w:ascii="仿宋" w:hAnsi="仿宋" w:eastAsia="仿宋" w:cs="仿宋"/>
          <w:b/>
          <w:sz w:val="28"/>
          <w:szCs w:val="28"/>
        </w:rPr>
        <w:t xml:space="preserve">； </w:t>
      </w:r>
    </w:p>
    <w:p>
      <w:pPr>
        <w:overflowPunct w:val="0"/>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⑷建筑结构：</w:t>
      </w:r>
      <w:r>
        <w:rPr>
          <w:rFonts w:hint="eastAsia" w:ascii="仿宋" w:hAnsi="仿宋" w:eastAsia="仿宋" w:cs="仿宋"/>
          <w:bCs/>
          <w:sz w:val="28"/>
          <w:szCs w:val="28"/>
        </w:rPr>
        <w:t>该建筑物整体为钢筋混凝土结构建筑物</w:t>
      </w:r>
      <w:r>
        <w:rPr>
          <w:rFonts w:hint="eastAsia" w:ascii="仿宋" w:hAnsi="仿宋" w:eastAsia="仿宋" w:cs="仿宋"/>
          <w:b/>
          <w:sz w:val="28"/>
          <w:szCs w:val="28"/>
        </w:rPr>
        <w:t>；</w:t>
      </w:r>
    </w:p>
    <w:p>
      <w:pPr>
        <w:overflowPunct w:val="0"/>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⑸建筑规模：</w:t>
      </w:r>
      <w:r>
        <w:rPr>
          <w:rFonts w:hint="eastAsia" w:ascii="仿宋" w:hAnsi="仿宋" w:eastAsia="仿宋" w:cs="仿宋"/>
          <w:bCs/>
          <w:sz w:val="28"/>
          <w:szCs w:val="28"/>
        </w:rPr>
        <w:t>11</w:t>
      </w:r>
      <w:r>
        <w:rPr>
          <w:rFonts w:hint="eastAsia" w:ascii="仿宋" w:hAnsi="仿宋" w:eastAsia="仿宋" w:cs="仿宋"/>
          <w:bCs/>
          <w:sz w:val="28"/>
          <w:szCs w:val="28"/>
          <w:lang w:val="en-US" w:eastAsia="zh-CN"/>
        </w:rPr>
        <w:t>,</w:t>
      </w:r>
      <w:r>
        <w:rPr>
          <w:rFonts w:hint="eastAsia" w:ascii="仿宋" w:hAnsi="仿宋" w:eastAsia="仿宋" w:cs="仿宋"/>
          <w:bCs/>
          <w:sz w:val="28"/>
          <w:szCs w:val="28"/>
        </w:rPr>
        <w:t>478.98平方米</w:t>
      </w:r>
      <w:r>
        <w:rPr>
          <w:rFonts w:hint="eastAsia" w:ascii="仿宋" w:hAnsi="仿宋" w:eastAsia="仿宋" w:cs="仿宋"/>
          <w:b/>
          <w:sz w:val="28"/>
          <w:szCs w:val="28"/>
        </w:rPr>
        <w:t>；</w:t>
      </w:r>
    </w:p>
    <w:p>
      <w:pPr>
        <w:overflowPunct w:val="0"/>
        <w:spacing w:line="360" w:lineRule="auto"/>
        <w:ind w:firstLine="562" w:firstLineChars="200"/>
        <w:jc w:val="left"/>
        <w:rPr>
          <w:rFonts w:hint="eastAsia" w:ascii="仿宋" w:hAnsi="仿宋" w:eastAsia="仿宋" w:cs="仿宋"/>
          <w:b/>
          <w:sz w:val="28"/>
          <w:szCs w:val="28"/>
          <w:lang w:val="en-US" w:eastAsia="zh-CN"/>
        </w:rPr>
      </w:pPr>
      <w:r>
        <w:rPr>
          <w:rFonts w:hint="eastAsia" w:ascii="仿宋" w:hAnsi="仿宋" w:eastAsia="仿宋" w:cs="仿宋"/>
          <w:b/>
          <w:sz w:val="28"/>
          <w:szCs w:val="28"/>
        </w:rPr>
        <w:t>⑹平面布局：</w:t>
      </w:r>
      <w:r>
        <w:rPr>
          <w:rFonts w:hint="eastAsia" w:ascii="仿宋" w:hAnsi="仿宋" w:eastAsia="仿宋" w:cs="仿宋"/>
          <w:color w:val="000000"/>
          <w:sz w:val="28"/>
          <w:szCs w:val="32"/>
        </w:rPr>
        <w:t>负1层：毛坯未做任何装修，作为仓库在使用。1至2层：酒店大堂，商务中心，厨房，5个小型会议室，1个可最大可容纳300人大会议室，1个宴会厅，1个西餐厅，7个小包间，2个大包间。3至4层：KTV（含35个包间，其中包中包1间，大包房5间，中包房5间，小包房24间）。5至10层：109间客房（含1个总统套房，4个套房，15个大床房，89个标间）。11层：茶室</w:t>
      </w:r>
      <w:r>
        <w:rPr>
          <w:rFonts w:hint="eastAsia" w:ascii="仿宋" w:hAnsi="仿宋" w:eastAsia="仿宋" w:cs="仿宋"/>
          <w:color w:val="000000"/>
          <w:sz w:val="28"/>
          <w:szCs w:val="32"/>
          <w:lang w:eastAsia="zh-CN"/>
        </w:rPr>
        <w:t>；</w:t>
      </w:r>
    </w:p>
    <w:p>
      <w:pPr>
        <w:overflowPunct w:val="0"/>
        <w:spacing w:line="360" w:lineRule="auto"/>
        <w:ind w:firstLine="843" w:firstLineChars="300"/>
        <w:jc w:val="left"/>
        <w:rPr>
          <w:rFonts w:hint="eastAsia" w:ascii="仿宋" w:hAnsi="仿宋" w:eastAsia="仿宋" w:cs="仿宋"/>
          <w:color w:val="000000"/>
          <w:sz w:val="28"/>
          <w:szCs w:val="32"/>
          <w:lang w:eastAsia="zh-CN"/>
        </w:rPr>
      </w:pPr>
      <w:r>
        <w:rPr>
          <w:rFonts w:hint="eastAsia" w:ascii="仿宋" w:hAnsi="仿宋" w:eastAsia="仿宋" w:cs="仿宋"/>
          <w:b/>
          <w:sz w:val="28"/>
          <w:szCs w:val="28"/>
        </w:rPr>
        <w:t>⑺装饰装修：</w:t>
      </w:r>
      <w:r>
        <w:rPr>
          <w:rFonts w:hint="eastAsia" w:ascii="仿宋" w:hAnsi="仿宋" w:eastAsia="仿宋" w:cs="仿宋"/>
          <w:color w:val="000000"/>
          <w:sz w:val="28"/>
          <w:szCs w:val="32"/>
        </w:rPr>
        <w:t>酒店外墙主体为涂料，部分外部可视走廊为玻璃墙封，客房窗子为铝合金窗，内部大堂地板为大理石地板，墙面为墙砖，顶部有石膏装饰，会议室和宴会厅，西餐厅，小包间地板均为地砖，墙面为墙纸，顶部有石膏装饰。大标间地面为地毯，墙面为墙砖，顶部有石膏装饰。KTV大厅铺地砖，墙面为墙砖，有大型水晶吊灯，顶部有石膏装饰。包间铺地砖，墙面为墙砖，厕所铺防滑地砖墙面铺墙砖铝合金吊顶。5至10层客房地板均铺地毯，墙面为墙纸，顶部有石膏装饰，厕所地面均铺防滑地砖，墙面铺墙砖，铝合金吊顶。顶层茶室铺地砖墙面为墙砖顶部有石膏装饰。负一层未装修为毛坯，作为仓库使用</w:t>
      </w:r>
      <w:r>
        <w:rPr>
          <w:rFonts w:hint="eastAsia" w:ascii="仿宋" w:hAnsi="仿宋" w:eastAsia="仿宋" w:cs="仿宋"/>
          <w:color w:val="000000"/>
          <w:sz w:val="28"/>
          <w:szCs w:val="32"/>
          <w:lang w:eastAsia="zh-CN"/>
        </w:rPr>
        <w:t>；</w:t>
      </w:r>
    </w:p>
    <w:p>
      <w:pPr>
        <w:overflowPunct w:val="0"/>
        <w:spacing w:line="360" w:lineRule="auto"/>
        <w:ind w:firstLine="562" w:firstLineChars="200"/>
        <w:jc w:val="left"/>
        <w:rPr>
          <w:rFonts w:hint="eastAsia" w:ascii="仿宋" w:hAnsi="仿宋" w:eastAsia="仿宋" w:cs="仿宋"/>
          <w:bCs/>
          <w:sz w:val="28"/>
          <w:szCs w:val="28"/>
          <w:lang w:eastAsia="zh-CN"/>
        </w:rPr>
      </w:pPr>
      <w:r>
        <w:rPr>
          <w:rFonts w:hint="eastAsia" w:ascii="仿宋" w:hAnsi="仿宋" w:eastAsia="仿宋" w:cs="仿宋"/>
          <w:b/>
          <w:sz w:val="28"/>
          <w:szCs w:val="28"/>
        </w:rPr>
        <w:t>⑻设备设施：供</w:t>
      </w:r>
      <w:r>
        <w:rPr>
          <w:rFonts w:hint="eastAsia" w:ascii="仿宋" w:hAnsi="仿宋" w:eastAsia="仿宋" w:cs="仿宋"/>
          <w:bCs/>
          <w:sz w:val="28"/>
          <w:szCs w:val="28"/>
        </w:rPr>
        <w:t>水：暗装；供电：暗装；通讯：消防设施：灭火器、消防栓</w:t>
      </w:r>
      <w:r>
        <w:rPr>
          <w:rFonts w:hint="eastAsia" w:ascii="仿宋" w:hAnsi="仿宋" w:eastAsia="仿宋" w:cs="仿宋"/>
          <w:bCs/>
          <w:sz w:val="28"/>
          <w:szCs w:val="28"/>
          <w:lang w:eastAsia="zh-CN"/>
        </w:rPr>
        <w:t>；</w:t>
      </w:r>
    </w:p>
    <w:p>
      <w:pPr>
        <w:overflowPunct w:val="0"/>
        <w:spacing w:line="360" w:lineRule="auto"/>
        <w:ind w:firstLine="562" w:firstLineChars="200"/>
        <w:jc w:val="left"/>
        <w:rPr>
          <w:rFonts w:hint="eastAsia" w:ascii="仿宋" w:hAnsi="仿宋" w:eastAsia="仿宋" w:cs="仿宋"/>
          <w:b/>
          <w:sz w:val="28"/>
          <w:szCs w:val="28"/>
          <w:lang w:eastAsia="zh-CN"/>
        </w:rPr>
      </w:pPr>
      <w:r>
        <w:rPr>
          <w:rFonts w:hint="eastAsia" w:ascii="仿宋" w:hAnsi="仿宋" w:eastAsia="仿宋" w:cs="仿宋"/>
          <w:b/>
          <w:sz w:val="28"/>
          <w:szCs w:val="28"/>
        </w:rPr>
        <w:t>⑼维护状况：</w:t>
      </w:r>
      <w:r>
        <w:rPr>
          <w:rFonts w:hint="eastAsia" w:ascii="仿宋" w:hAnsi="仿宋" w:eastAsia="仿宋" w:cs="仿宋"/>
          <w:bCs/>
          <w:sz w:val="28"/>
          <w:szCs w:val="28"/>
        </w:rPr>
        <w:t>施设设备维护状况良好</w:t>
      </w:r>
      <w:r>
        <w:rPr>
          <w:rFonts w:hint="eastAsia" w:ascii="仿宋" w:hAnsi="仿宋" w:eastAsia="仿宋" w:cs="仿宋"/>
          <w:b/>
          <w:sz w:val="28"/>
          <w:szCs w:val="28"/>
          <w:lang w:eastAsia="zh-CN"/>
        </w:rPr>
        <w:t>；</w:t>
      </w:r>
    </w:p>
    <w:p>
      <w:pPr>
        <w:overflowPunct w:val="0"/>
        <w:spacing w:line="360" w:lineRule="auto"/>
        <w:ind w:firstLine="562" w:firstLineChars="200"/>
        <w:jc w:val="left"/>
        <w:rPr>
          <w:rFonts w:hint="eastAsia" w:ascii="仿宋" w:hAnsi="仿宋" w:eastAsia="仿宋" w:cs="仿宋"/>
          <w:b/>
          <w:sz w:val="28"/>
        </w:rPr>
      </w:pPr>
      <w:r>
        <w:rPr>
          <w:rFonts w:hint="eastAsia" w:ascii="仿宋" w:hAnsi="仿宋" w:eastAsia="仿宋" w:cs="仿宋"/>
          <w:b/>
          <w:sz w:val="28"/>
          <w:szCs w:val="28"/>
        </w:rPr>
        <w:t>⑽完损状况：</w:t>
      </w:r>
      <w:r>
        <w:rPr>
          <w:rFonts w:hint="eastAsia" w:ascii="仿宋" w:hAnsi="仿宋" w:eastAsia="仿宋" w:cs="仿宋"/>
          <w:sz w:val="28"/>
        </w:rPr>
        <w:t>根据估价人员现场勘查，外部装修和外部设备均完好，</w:t>
      </w:r>
      <w:r>
        <w:rPr>
          <w:rFonts w:hint="eastAsia" w:ascii="仿宋" w:hAnsi="仿宋" w:eastAsia="仿宋" w:cs="仿宋"/>
          <w:sz w:val="28"/>
          <w:lang w:val="en-US" w:eastAsia="zh-CN"/>
        </w:rPr>
        <w:t>房屋建成于2012年12月，</w:t>
      </w:r>
      <w:r>
        <w:rPr>
          <w:rFonts w:hint="eastAsia" w:ascii="仿宋" w:hAnsi="仿宋" w:eastAsia="仿宋" w:cs="仿宋"/>
          <w:sz w:val="28"/>
        </w:rPr>
        <w:t>管道畅通，现状良好，使用正常，属于完好房，房子为八成新。</w:t>
      </w:r>
    </w:p>
    <w:p>
      <w:pPr>
        <w:pStyle w:val="3"/>
        <w:ind w:left="567" w:hanging="567"/>
        <w:rPr>
          <w:rFonts w:hint="eastAsia" w:ascii="仿宋" w:hAnsi="仿宋" w:eastAsia="仿宋" w:cs="仿宋"/>
          <w:color w:val="000000" w:themeColor="text1"/>
          <w:sz w:val="28"/>
          <w:szCs w:val="28"/>
          <w14:textFill>
            <w14:solidFill>
              <w14:schemeClr w14:val="tx1"/>
            </w14:solidFill>
          </w14:textFill>
        </w:rPr>
      </w:pPr>
      <w:bookmarkStart w:id="4" w:name="_Toc742"/>
      <w:r>
        <w:rPr>
          <w:rFonts w:hint="eastAsia" w:ascii="仿宋" w:hAnsi="仿宋" w:eastAsia="仿宋" w:cs="仿宋"/>
          <w:color w:val="000000" w:themeColor="text1"/>
          <w:sz w:val="28"/>
          <w:szCs w:val="28"/>
          <w14:textFill>
            <w14:solidFill>
              <w14:schemeClr w14:val="tx1"/>
            </w14:solidFill>
          </w14:textFill>
        </w:rPr>
        <w:t>价值类型及其定义</w:t>
      </w:r>
      <w:bookmarkEnd w:id="4"/>
    </w:p>
    <w:p>
      <w:pPr>
        <w:adjustRightInd w:val="0"/>
        <w:snapToGrid w:val="0"/>
        <w:spacing w:line="360" w:lineRule="auto"/>
        <w:ind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根据评估目的和评估对象的特点，确定本次评估结论的价值类型为市场价值。市场价值是指自愿买方和自愿卖方，在各自理性行事且未受任何强迫的情况下，评估对象在评估基准日进行正常公平交易的价值估计数额。</w:t>
      </w:r>
    </w:p>
    <w:p>
      <w:pPr>
        <w:pStyle w:val="3"/>
        <w:ind w:left="567" w:hanging="567"/>
        <w:rPr>
          <w:rFonts w:hint="eastAsia" w:ascii="仿宋" w:hAnsi="仿宋" w:eastAsia="仿宋" w:cs="仿宋"/>
          <w:color w:val="000000" w:themeColor="text1"/>
          <w:sz w:val="28"/>
          <w:szCs w:val="28"/>
          <w14:textFill>
            <w14:solidFill>
              <w14:schemeClr w14:val="tx1"/>
            </w14:solidFill>
          </w14:textFill>
        </w:rPr>
      </w:pPr>
      <w:bookmarkStart w:id="5" w:name="_Toc27448"/>
      <w:r>
        <w:rPr>
          <w:rFonts w:hint="eastAsia" w:ascii="仿宋" w:hAnsi="仿宋" w:eastAsia="仿宋" w:cs="仿宋"/>
          <w:color w:val="000000" w:themeColor="text1"/>
          <w:sz w:val="28"/>
          <w:szCs w:val="28"/>
          <w14:textFill>
            <w14:solidFill>
              <w14:schemeClr w14:val="tx1"/>
            </w14:solidFill>
          </w14:textFill>
        </w:rPr>
        <w:t>评估基准日</w:t>
      </w:r>
      <w:bookmarkEnd w:id="5"/>
    </w:p>
    <w:p>
      <w:pPr>
        <w:adjustRightInd w:val="0"/>
        <w:snapToGrid w:val="0"/>
        <w:spacing w:line="360" w:lineRule="auto"/>
        <w:ind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（一）本评估报告的评估基准日是2019年10月31日。</w:t>
      </w:r>
    </w:p>
    <w:p>
      <w:pPr>
        <w:adjustRightInd w:val="0"/>
        <w:snapToGrid w:val="0"/>
        <w:spacing w:line="360" w:lineRule="auto"/>
        <w:ind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（二）该评估基准日由申请人及被申请人于现勘之日确定。</w:t>
      </w:r>
    </w:p>
    <w:p>
      <w:pPr>
        <w:adjustRightInd w:val="0"/>
        <w:snapToGrid w:val="0"/>
        <w:spacing w:line="360" w:lineRule="auto"/>
        <w:ind w:firstLine="560" w:firstLineChars="200"/>
        <w:rPr>
          <w:rFonts w:hint="eastAsia" w:ascii="仿宋" w:hAnsi="仿宋" w:eastAsia="仿宋" w:cs="仿宋"/>
          <w:b/>
          <w:color w:val="000000" w:themeColor="text1"/>
          <w:sz w:val="30"/>
          <w14:textFill>
            <w14:solidFill>
              <w14:schemeClr w14:val="tx1"/>
            </w14:solidFill>
          </w14:textFill>
        </w:rPr>
      </w:pPr>
      <w:r>
        <w:rPr>
          <w:rFonts w:hint="eastAsia" w:ascii="仿宋" w:hAnsi="仿宋" w:eastAsia="仿宋" w:cs="仿宋"/>
          <w:snapToGrid w:val="0"/>
          <w:color w:val="000000" w:themeColor="text1"/>
          <w:sz w:val="28"/>
          <w14:textFill>
            <w14:solidFill>
              <w14:schemeClr w14:val="tx1"/>
            </w14:solidFill>
          </w14:textFill>
        </w:rPr>
        <w:t>（三）本评估报告的评估</w:t>
      </w:r>
      <w:r>
        <w:rPr>
          <w:rFonts w:hint="eastAsia" w:ascii="仿宋" w:hAnsi="仿宋" w:eastAsia="仿宋" w:cs="仿宋"/>
          <w:color w:val="000000" w:themeColor="text1"/>
          <w:sz w:val="28"/>
          <w14:textFill>
            <w14:solidFill>
              <w14:schemeClr w14:val="tx1"/>
            </w14:solidFill>
          </w14:textFill>
        </w:rPr>
        <w:t>基准</w:t>
      </w:r>
      <w:r>
        <w:rPr>
          <w:rFonts w:hint="eastAsia" w:ascii="仿宋" w:hAnsi="仿宋" w:eastAsia="仿宋" w:cs="仿宋"/>
          <w:snapToGrid w:val="0"/>
          <w:color w:val="000000" w:themeColor="text1"/>
          <w:sz w:val="28"/>
          <w14:textFill>
            <w14:solidFill>
              <w14:schemeClr w14:val="tx1"/>
            </w14:solidFill>
          </w14:textFill>
        </w:rPr>
        <w:t>日与法院的委托书的评估基准日一致。</w:t>
      </w:r>
    </w:p>
    <w:p>
      <w:pPr>
        <w:pStyle w:val="3"/>
        <w:ind w:left="567" w:hanging="567"/>
        <w:rPr>
          <w:rFonts w:hint="eastAsia" w:ascii="仿宋" w:hAnsi="仿宋" w:eastAsia="仿宋" w:cs="仿宋"/>
          <w:color w:val="000000" w:themeColor="text1"/>
          <w:sz w:val="28"/>
          <w:szCs w:val="28"/>
          <w14:textFill>
            <w14:solidFill>
              <w14:schemeClr w14:val="tx1"/>
            </w14:solidFill>
          </w14:textFill>
        </w:rPr>
      </w:pPr>
      <w:bookmarkStart w:id="6" w:name="_Toc11878"/>
      <w:r>
        <w:rPr>
          <w:rFonts w:hint="eastAsia" w:ascii="仿宋" w:hAnsi="仿宋" w:eastAsia="仿宋" w:cs="仿宋"/>
          <w:color w:val="000000" w:themeColor="text1"/>
          <w:sz w:val="28"/>
          <w:szCs w:val="28"/>
          <w14:textFill>
            <w14:solidFill>
              <w14:schemeClr w14:val="tx1"/>
            </w14:solidFill>
          </w14:textFill>
        </w:rPr>
        <w:t>评估依据</w:t>
      </w:r>
      <w:bookmarkEnd w:id="6"/>
    </w:p>
    <w:p>
      <w:pPr>
        <w:adjustRightInd w:val="0"/>
        <w:snapToGrid w:val="0"/>
        <w:spacing w:line="360" w:lineRule="auto"/>
        <w:ind w:firstLine="562" w:firstLineChars="200"/>
        <w:outlineLvl w:val="2"/>
        <w:rPr>
          <w:rFonts w:hint="eastAsia" w:ascii="仿宋" w:hAnsi="仿宋" w:eastAsia="仿宋" w:cs="仿宋"/>
          <w:b/>
          <w:color w:val="000000" w:themeColor="text1"/>
          <w:sz w:val="28"/>
          <w14:textFill>
            <w14:solidFill>
              <w14:schemeClr w14:val="tx1"/>
            </w14:solidFill>
          </w14:textFill>
        </w:rPr>
      </w:pPr>
      <w:r>
        <w:rPr>
          <w:rFonts w:hint="eastAsia" w:ascii="仿宋" w:hAnsi="仿宋" w:eastAsia="仿宋" w:cs="仿宋"/>
          <w:b/>
          <w:color w:val="000000" w:themeColor="text1"/>
          <w:sz w:val="28"/>
          <w14:textFill>
            <w14:solidFill>
              <w14:schemeClr w14:val="tx1"/>
            </w14:solidFill>
          </w14:textFill>
        </w:rPr>
        <w:t>经济行为依据：</w:t>
      </w:r>
    </w:p>
    <w:p>
      <w:pPr>
        <w:pStyle w:val="22"/>
        <w:ind w:firstLine="843" w:firstLineChars="300"/>
        <w:rPr>
          <w:rFonts w:hint="eastAsia" w:ascii="仿宋" w:hAnsi="仿宋" w:eastAsia="仿宋" w:cs="仿宋"/>
          <w:b w:val="0"/>
          <w:color w:val="000000" w:themeColor="text1"/>
          <w14:textFill>
            <w14:solidFill>
              <w14:schemeClr w14:val="tx1"/>
            </w14:solidFill>
          </w14:textFill>
        </w:rPr>
      </w:pPr>
      <w:r>
        <w:rPr>
          <w:rFonts w:hint="eastAsia" w:ascii="仿宋" w:hAnsi="仿宋" w:eastAsia="仿宋" w:cs="仿宋"/>
          <w:bCs/>
          <w:color w:val="000000" w:themeColor="text1"/>
          <w:szCs w:val="28"/>
          <w14:textFill>
            <w14:solidFill>
              <w14:schemeClr w14:val="tx1"/>
            </w14:solidFill>
          </w14:textFill>
        </w:rPr>
        <w:t>玉溪市中级人民法院于2019年10月23日送达的《玉溪市中级人民法院委托书》【（2019）云04评158号】</w:t>
      </w:r>
      <w:r>
        <w:rPr>
          <w:rFonts w:hint="eastAsia" w:ascii="仿宋" w:hAnsi="仿宋" w:eastAsia="仿宋" w:cs="仿宋"/>
          <w:b w:val="0"/>
          <w:color w:val="000000" w:themeColor="text1"/>
          <w14:textFill>
            <w14:solidFill>
              <w14:schemeClr w14:val="tx1"/>
            </w14:solidFill>
          </w14:textFill>
        </w:rPr>
        <w:t>；</w:t>
      </w:r>
    </w:p>
    <w:p>
      <w:pPr>
        <w:rPr>
          <w:rFonts w:hint="eastAsia" w:ascii="仿宋" w:hAnsi="仿宋" w:eastAsia="仿宋" w:cs="仿宋"/>
        </w:rPr>
      </w:pPr>
    </w:p>
    <w:p>
      <w:pPr>
        <w:adjustRightInd w:val="0"/>
        <w:snapToGrid w:val="0"/>
        <w:spacing w:line="360" w:lineRule="auto"/>
        <w:ind w:firstLine="562" w:firstLineChars="200"/>
        <w:outlineLvl w:val="2"/>
        <w:rPr>
          <w:rFonts w:hint="eastAsia" w:ascii="仿宋" w:hAnsi="仿宋" w:eastAsia="仿宋" w:cs="仿宋"/>
          <w:b/>
          <w:color w:val="000000" w:themeColor="text1"/>
          <w:sz w:val="28"/>
          <w14:textFill>
            <w14:solidFill>
              <w14:schemeClr w14:val="tx1"/>
            </w14:solidFill>
          </w14:textFill>
        </w:rPr>
      </w:pPr>
      <w:r>
        <w:rPr>
          <w:rFonts w:hint="eastAsia" w:ascii="仿宋" w:hAnsi="仿宋" w:eastAsia="仿宋" w:cs="仿宋"/>
          <w:b/>
          <w:color w:val="000000" w:themeColor="text1"/>
          <w:sz w:val="28"/>
          <w14:textFill>
            <w14:solidFill>
              <w14:schemeClr w14:val="tx1"/>
            </w14:solidFill>
          </w14:textFill>
        </w:rPr>
        <w:t>法律法规依据：</w:t>
      </w:r>
    </w:p>
    <w:p>
      <w:pPr>
        <w:numPr>
          <w:ilvl w:val="0"/>
          <w:numId w:val="3"/>
        </w:numPr>
        <w:tabs>
          <w:tab w:val="left" w:pos="0"/>
          <w:tab w:val="left" w:pos="1512"/>
        </w:tabs>
        <w:adjustRightInd w:val="0"/>
        <w:snapToGrid w:val="0"/>
        <w:spacing w:line="360" w:lineRule="auto"/>
        <w:ind w:left="0"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《中华人民共和国资产评估法》（2016年7月2日第十二届全国人民代表大会常务委员会第二十一次会议通过）。</w:t>
      </w:r>
    </w:p>
    <w:p>
      <w:pPr>
        <w:numPr>
          <w:ilvl w:val="0"/>
          <w:numId w:val="3"/>
        </w:numPr>
        <w:tabs>
          <w:tab w:val="left" w:pos="0"/>
          <w:tab w:val="left" w:pos="1512"/>
        </w:tabs>
        <w:adjustRightInd w:val="0"/>
        <w:snapToGrid w:val="0"/>
        <w:spacing w:line="360" w:lineRule="auto"/>
        <w:ind w:left="0"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中华人民共和国公司法（2013年12月28日第十二届全国人民代表大会常务委员会第六次会议修订通过）；</w:t>
      </w:r>
    </w:p>
    <w:p>
      <w:pPr>
        <w:numPr>
          <w:ilvl w:val="0"/>
          <w:numId w:val="3"/>
        </w:numPr>
        <w:tabs>
          <w:tab w:val="left" w:pos="0"/>
          <w:tab w:val="left" w:pos="1512"/>
        </w:tabs>
        <w:adjustRightInd w:val="0"/>
        <w:snapToGrid w:val="0"/>
        <w:spacing w:line="360" w:lineRule="auto"/>
        <w:ind w:left="0"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中华人民共和国物权法（2007年3月16日第十届全国人民代表大会第五次会议通过）；</w:t>
      </w:r>
    </w:p>
    <w:p>
      <w:pPr>
        <w:numPr>
          <w:ilvl w:val="0"/>
          <w:numId w:val="3"/>
        </w:numPr>
        <w:tabs>
          <w:tab w:val="left" w:pos="0"/>
          <w:tab w:val="left" w:pos="1512"/>
        </w:tabs>
        <w:adjustRightInd w:val="0"/>
        <w:snapToGrid w:val="0"/>
        <w:spacing w:line="360" w:lineRule="auto"/>
        <w:ind w:left="0"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中华人民共和国土地管理法（2004年8月28日第十届全国人民代表大会常务委员会第十一次会议修订通过）；</w:t>
      </w:r>
    </w:p>
    <w:p>
      <w:pPr>
        <w:numPr>
          <w:ilvl w:val="0"/>
          <w:numId w:val="3"/>
        </w:numPr>
        <w:tabs>
          <w:tab w:val="left" w:pos="0"/>
          <w:tab w:val="left" w:pos="1512"/>
        </w:tabs>
        <w:adjustRightInd w:val="0"/>
        <w:snapToGrid w:val="0"/>
        <w:spacing w:line="360" w:lineRule="auto"/>
        <w:ind w:left="0" w:firstLine="560" w:firstLineChars="200"/>
        <w:rPr>
          <w:rFonts w:hint="eastAsia" w:ascii="仿宋" w:hAnsi="仿宋" w:eastAsia="仿宋" w:cs="仿宋"/>
          <w:sz w:val="28"/>
          <w:szCs w:val="28"/>
        </w:rPr>
      </w:pPr>
      <w:r>
        <w:rPr>
          <w:rFonts w:hint="eastAsia" w:ascii="仿宋" w:hAnsi="仿宋" w:eastAsia="仿宋" w:cs="仿宋"/>
          <w:color w:val="000000" w:themeColor="text1"/>
          <w:sz w:val="28"/>
          <w14:textFill>
            <w14:solidFill>
              <w14:schemeClr w14:val="tx1"/>
            </w14:solidFill>
          </w14:textFill>
        </w:rPr>
        <w:t>中华人民共和国城市房地产管理法（2007年8月30日第十届全国人民代表大会常务委员会第二十九次会议修订通过）；</w:t>
      </w:r>
    </w:p>
    <w:p>
      <w:pPr>
        <w:numPr>
          <w:ilvl w:val="0"/>
          <w:numId w:val="3"/>
        </w:numPr>
        <w:tabs>
          <w:tab w:val="left" w:pos="0"/>
          <w:tab w:val="left" w:pos="1512"/>
        </w:tabs>
        <w:adjustRightInd w:val="0"/>
        <w:snapToGrid w:val="0"/>
        <w:spacing w:line="360" w:lineRule="auto"/>
        <w:ind w:left="0"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《中华人民共和国合同法》；</w:t>
      </w:r>
    </w:p>
    <w:p>
      <w:pPr>
        <w:adjustRightInd w:val="0"/>
        <w:snapToGrid w:val="0"/>
        <w:spacing w:line="360" w:lineRule="auto"/>
        <w:ind w:firstLine="562" w:firstLineChars="200"/>
        <w:outlineLvl w:val="2"/>
        <w:rPr>
          <w:rFonts w:hint="eastAsia" w:ascii="仿宋" w:hAnsi="仿宋" w:eastAsia="仿宋" w:cs="仿宋"/>
          <w:b/>
          <w:color w:val="000000" w:themeColor="text1"/>
          <w:sz w:val="28"/>
          <w14:textFill>
            <w14:solidFill>
              <w14:schemeClr w14:val="tx1"/>
            </w14:solidFill>
          </w14:textFill>
        </w:rPr>
      </w:pPr>
    </w:p>
    <w:p>
      <w:pPr>
        <w:adjustRightInd w:val="0"/>
        <w:snapToGrid w:val="0"/>
        <w:spacing w:line="360" w:lineRule="auto"/>
        <w:ind w:firstLine="562" w:firstLineChars="200"/>
        <w:outlineLvl w:val="2"/>
        <w:rPr>
          <w:rFonts w:hint="eastAsia" w:ascii="仿宋" w:hAnsi="仿宋" w:eastAsia="仿宋" w:cs="仿宋"/>
          <w:b/>
          <w:color w:val="000000" w:themeColor="text1"/>
          <w:sz w:val="28"/>
          <w14:textFill>
            <w14:solidFill>
              <w14:schemeClr w14:val="tx1"/>
            </w14:solidFill>
          </w14:textFill>
        </w:rPr>
      </w:pPr>
      <w:r>
        <w:rPr>
          <w:rFonts w:hint="eastAsia" w:ascii="仿宋" w:hAnsi="仿宋" w:eastAsia="仿宋" w:cs="仿宋"/>
          <w:b/>
          <w:color w:val="000000" w:themeColor="text1"/>
          <w:sz w:val="28"/>
          <w14:textFill>
            <w14:solidFill>
              <w14:schemeClr w14:val="tx1"/>
            </w14:solidFill>
          </w14:textFill>
        </w:rPr>
        <w:t>准则依据：</w:t>
      </w:r>
    </w:p>
    <w:p>
      <w:pPr>
        <w:numPr>
          <w:ilvl w:val="0"/>
          <w:numId w:val="4"/>
        </w:numPr>
        <w:tabs>
          <w:tab w:val="left" w:pos="1418"/>
          <w:tab w:val="clear" w:pos="3015"/>
        </w:tabs>
        <w:adjustRightInd w:val="0"/>
        <w:snapToGrid w:val="0"/>
        <w:spacing w:line="360" w:lineRule="auto"/>
        <w:ind w:left="0"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《资产评估基本准则》（财资［2017］43号）；</w:t>
      </w:r>
    </w:p>
    <w:p>
      <w:pPr>
        <w:numPr>
          <w:ilvl w:val="0"/>
          <w:numId w:val="4"/>
        </w:numPr>
        <w:tabs>
          <w:tab w:val="left" w:pos="1418"/>
          <w:tab w:val="clear" w:pos="3015"/>
        </w:tabs>
        <w:adjustRightInd w:val="0"/>
        <w:snapToGrid w:val="0"/>
        <w:spacing w:line="360" w:lineRule="auto"/>
        <w:ind w:left="0"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《资产评估职业道德准则》（中评协［2017］30号）；</w:t>
      </w:r>
    </w:p>
    <w:p>
      <w:pPr>
        <w:numPr>
          <w:ilvl w:val="0"/>
          <w:numId w:val="4"/>
        </w:numPr>
        <w:tabs>
          <w:tab w:val="left" w:pos="1418"/>
          <w:tab w:val="clear" w:pos="3015"/>
        </w:tabs>
        <w:adjustRightInd w:val="0"/>
        <w:snapToGrid w:val="0"/>
        <w:spacing w:line="360" w:lineRule="auto"/>
        <w:ind w:left="0" w:firstLine="42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rPr>
        <w:fldChar w:fldCharType="begin"/>
      </w:r>
      <w:r>
        <w:rPr>
          <w:rFonts w:hint="eastAsia" w:ascii="仿宋" w:hAnsi="仿宋" w:eastAsia="仿宋" w:cs="仿宋"/>
        </w:rPr>
        <w:instrText xml:space="preserve"> HYPERLINK "http://www.cas.org.cn/pgbz/pgzc/55899.htm" </w:instrText>
      </w:r>
      <w:r>
        <w:rPr>
          <w:rFonts w:hint="eastAsia" w:ascii="仿宋" w:hAnsi="仿宋" w:eastAsia="仿宋" w:cs="仿宋"/>
        </w:rPr>
        <w:fldChar w:fldCharType="separate"/>
      </w:r>
      <w:r>
        <w:rPr>
          <w:rFonts w:hint="eastAsia" w:ascii="仿宋" w:hAnsi="仿宋" w:eastAsia="仿宋" w:cs="仿宋"/>
          <w:color w:val="000000" w:themeColor="text1"/>
          <w:sz w:val="28"/>
          <w14:textFill>
            <w14:solidFill>
              <w14:schemeClr w14:val="tx1"/>
            </w14:solidFill>
          </w14:textFill>
        </w:rPr>
        <w:t>《资产评估执业准则—资产评估程序》</w:t>
      </w:r>
      <w:r>
        <w:rPr>
          <w:rFonts w:hint="eastAsia" w:ascii="仿宋" w:hAnsi="仿宋" w:eastAsia="仿宋" w:cs="仿宋"/>
          <w:color w:val="000000" w:themeColor="text1"/>
          <w:sz w:val="28"/>
          <w14:textFill>
            <w14:solidFill>
              <w14:schemeClr w14:val="tx1"/>
            </w14:solidFill>
          </w14:textFill>
        </w:rPr>
        <w:fldChar w:fldCharType="end"/>
      </w:r>
      <w:r>
        <w:rPr>
          <w:rFonts w:hint="eastAsia" w:ascii="仿宋" w:hAnsi="仿宋" w:eastAsia="仿宋" w:cs="仿宋"/>
          <w:color w:val="000000" w:themeColor="text1"/>
          <w:sz w:val="28"/>
          <w14:textFill>
            <w14:solidFill>
              <w14:schemeClr w14:val="tx1"/>
            </w14:solidFill>
          </w14:textFill>
        </w:rPr>
        <w:t>（中评协［2017］31号）</w:t>
      </w:r>
    </w:p>
    <w:p>
      <w:pPr>
        <w:numPr>
          <w:ilvl w:val="0"/>
          <w:numId w:val="4"/>
        </w:numPr>
        <w:tabs>
          <w:tab w:val="left" w:pos="1418"/>
          <w:tab w:val="clear" w:pos="3015"/>
        </w:tabs>
        <w:adjustRightInd w:val="0"/>
        <w:snapToGrid w:val="0"/>
        <w:spacing w:line="360" w:lineRule="auto"/>
        <w:ind w:left="0" w:firstLine="42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rPr>
        <w:fldChar w:fldCharType="begin"/>
      </w:r>
      <w:r>
        <w:rPr>
          <w:rFonts w:hint="eastAsia" w:ascii="仿宋" w:hAnsi="仿宋" w:eastAsia="仿宋" w:cs="仿宋"/>
        </w:rPr>
        <w:instrText xml:space="preserve"> HYPERLINK "http://www.cas.org.cn/pgbz/pgzc/55899.htm" </w:instrText>
      </w:r>
      <w:r>
        <w:rPr>
          <w:rFonts w:hint="eastAsia" w:ascii="仿宋" w:hAnsi="仿宋" w:eastAsia="仿宋" w:cs="仿宋"/>
        </w:rPr>
        <w:fldChar w:fldCharType="separate"/>
      </w:r>
      <w:r>
        <w:rPr>
          <w:rFonts w:hint="eastAsia" w:ascii="仿宋" w:hAnsi="仿宋" w:eastAsia="仿宋" w:cs="仿宋"/>
          <w:color w:val="000000" w:themeColor="text1"/>
          <w:sz w:val="28"/>
          <w14:textFill>
            <w14:solidFill>
              <w14:schemeClr w14:val="tx1"/>
            </w14:solidFill>
          </w14:textFill>
        </w:rPr>
        <w:t>《资产评估执业准则—资产评估报告》</w:t>
      </w:r>
      <w:r>
        <w:rPr>
          <w:rFonts w:hint="eastAsia" w:ascii="仿宋" w:hAnsi="仿宋" w:eastAsia="仿宋" w:cs="仿宋"/>
          <w:color w:val="000000" w:themeColor="text1"/>
          <w:sz w:val="28"/>
          <w14:textFill>
            <w14:solidFill>
              <w14:schemeClr w14:val="tx1"/>
            </w14:solidFill>
          </w14:textFill>
        </w:rPr>
        <w:fldChar w:fldCharType="end"/>
      </w:r>
      <w:r>
        <w:rPr>
          <w:rFonts w:hint="eastAsia" w:ascii="仿宋" w:hAnsi="仿宋" w:eastAsia="仿宋" w:cs="仿宋"/>
          <w:color w:val="000000" w:themeColor="text1"/>
          <w:sz w:val="28"/>
          <w14:textFill>
            <w14:solidFill>
              <w14:schemeClr w14:val="tx1"/>
            </w14:solidFill>
          </w14:textFill>
        </w:rPr>
        <w:t>（中评协［2017］32号）</w:t>
      </w:r>
    </w:p>
    <w:p>
      <w:pPr>
        <w:numPr>
          <w:ilvl w:val="0"/>
          <w:numId w:val="4"/>
        </w:numPr>
        <w:tabs>
          <w:tab w:val="left" w:pos="1418"/>
          <w:tab w:val="clear" w:pos="3015"/>
        </w:tabs>
        <w:adjustRightInd w:val="0"/>
        <w:snapToGrid w:val="0"/>
        <w:spacing w:line="360" w:lineRule="auto"/>
        <w:ind w:left="0" w:firstLine="42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rPr>
        <w:fldChar w:fldCharType="begin"/>
      </w:r>
      <w:r>
        <w:rPr>
          <w:rFonts w:hint="eastAsia" w:ascii="仿宋" w:hAnsi="仿宋" w:eastAsia="仿宋" w:cs="仿宋"/>
        </w:rPr>
        <w:instrText xml:space="preserve"> HYPERLINK "http://www.cas.org.cn/pgbz/pgzc/55899.htm" </w:instrText>
      </w:r>
      <w:r>
        <w:rPr>
          <w:rFonts w:hint="eastAsia" w:ascii="仿宋" w:hAnsi="仿宋" w:eastAsia="仿宋" w:cs="仿宋"/>
        </w:rPr>
        <w:fldChar w:fldCharType="separate"/>
      </w:r>
      <w:r>
        <w:rPr>
          <w:rFonts w:hint="eastAsia" w:ascii="仿宋" w:hAnsi="仿宋" w:eastAsia="仿宋" w:cs="仿宋"/>
          <w:color w:val="000000" w:themeColor="text1"/>
          <w:sz w:val="28"/>
          <w14:textFill>
            <w14:solidFill>
              <w14:schemeClr w14:val="tx1"/>
            </w14:solidFill>
          </w14:textFill>
        </w:rPr>
        <w:t>《资产评估执业准则—资产评估委托合同》</w:t>
      </w:r>
      <w:r>
        <w:rPr>
          <w:rFonts w:hint="eastAsia" w:ascii="仿宋" w:hAnsi="仿宋" w:eastAsia="仿宋" w:cs="仿宋"/>
          <w:color w:val="000000" w:themeColor="text1"/>
          <w:sz w:val="28"/>
          <w14:textFill>
            <w14:solidFill>
              <w14:schemeClr w14:val="tx1"/>
            </w14:solidFill>
          </w14:textFill>
        </w:rPr>
        <w:fldChar w:fldCharType="end"/>
      </w:r>
      <w:r>
        <w:rPr>
          <w:rFonts w:hint="eastAsia" w:ascii="仿宋" w:hAnsi="仿宋" w:eastAsia="仿宋" w:cs="仿宋"/>
          <w:color w:val="000000" w:themeColor="text1"/>
          <w:sz w:val="28"/>
          <w14:textFill>
            <w14:solidFill>
              <w14:schemeClr w14:val="tx1"/>
            </w14:solidFill>
          </w14:textFill>
        </w:rPr>
        <w:t>（中评协［2017］33号）</w:t>
      </w:r>
    </w:p>
    <w:p>
      <w:pPr>
        <w:numPr>
          <w:ilvl w:val="0"/>
          <w:numId w:val="4"/>
        </w:numPr>
        <w:tabs>
          <w:tab w:val="left" w:pos="1418"/>
          <w:tab w:val="clear" w:pos="3015"/>
        </w:tabs>
        <w:adjustRightInd w:val="0"/>
        <w:snapToGrid w:val="0"/>
        <w:spacing w:line="360" w:lineRule="auto"/>
        <w:ind w:left="0" w:firstLine="42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rPr>
        <w:fldChar w:fldCharType="begin"/>
      </w:r>
      <w:r>
        <w:rPr>
          <w:rFonts w:hint="eastAsia" w:ascii="仿宋" w:hAnsi="仿宋" w:eastAsia="仿宋" w:cs="仿宋"/>
        </w:rPr>
        <w:instrText xml:space="preserve"> HYPERLINK "http://www.cas.org.cn/pgbz/pgzc/55899.htm" </w:instrText>
      </w:r>
      <w:r>
        <w:rPr>
          <w:rFonts w:hint="eastAsia" w:ascii="仿宋" w:hAnsi="仿宋" w:eastAsia="仿宋" w:cs="仿宋"/>
        </w:rPr>
        <w:fldChar w:fldCharType="separate"/>
      </w:r>
      <w:r>
        <w:rPr>
          <w:rFonts w:hint="eastAsia" w:ascii="仿宋" w:hAnsi="仿宋" w:eastAsia="仿宋" w:cs="仿宋"/>
          <w:color w:val="000000" w:themeColor="text1"/>
          <w:sz w:val="28"/>
          <w14:textFill>
            <w14:solidFill>
              <w14:schemeClr w14:val="tx1"/>
            </w14:solidFill>
          </w14:textFill>
        </w:rPr>
        <w:t>《资产评估执业准则—资产评估档案》</w:t>
      </w:r>
      <w:r>
        <w:rPr>
          <w:rFonts w:hint="eastAsia" w:ascii="仿宋" w:hAnsi="仿宋" w:eastAsia="仿宋" w:cs="仿宋"/>
          <w:color w:val="000000" w:themeColor="text1"/>
          <w:sz w:val="28"/>
          <w14:textFill>
            <w14:solidFill>
              <w14:schemeClr w14:val="tx1"/>
            </w14:solidFill>
          </w14:textFill>
        </w:rPr>
        <w:fldChar w:fldCharType="end"/>
      </w:r>
      <w:r>
        <w:rPr>
          <w:rFonts w:hint="eastAsia" w:ascii="仿宋" w:hAnsi="仿宋" w:eastAsia="仿宋" w:cs="仿宋"/>
          <w:color w:val="000000" w:themeColor="text1"/>
          <w:sz w:val="28"/>
          <w14:textFill>
            <w14:solidFill>
              <w14:schemeClr w14:val="tx1"/>
            </w14:solidFill>
          </w14:textFill>
        </w:rPr>
        <w:t>（中评协［2017］34号）</w:t>
      </w:r>
    </w:p>
    <w:p>
      <w:pPr>
        <w:numPr>
          <w:ilvl w:val="0"/>
          <w:numId w:val="4"/>
        </w:numPr>
        <w:tabs>
          <w:tab w:val="left" w:pos="1418"/>
          <w:tab w:val="clear" w:pos="3015"/>
        </w:tabs>
        <w:adjustRightInd w:val="0"/>
        <w:snapToGrid w:val="0"/>
        <w:spacing w:line="360" w:lineRule="auto"/>
        <w:ind w:left="0" w:firstLine="42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rPr>
        <w:fldChar w:fldCharType="begin"/>
      </w:r>
      <w:r>
        <w:rPr>
          <w:rFonts w:hint="eastAsia" w:ascii="仿宋" w:hAnsi="仿宋" w:eastAsia="仿宋" w:cs="仿宋"/>
        </w:rPr>
        <w:instrText xml:space="preserve"> HYPERLINK "http://www.cas.org.cn/pgbz/pgzc/55899.htm" </w:instrText>
      </w:r>
      <w:r>
        <w:rPr>
          <w:rFonts w:hint="eastAsia" w:ascii="仿宋" w:hAnsi="仿宋" w:eastAsia="仿宋" w:cs="仿宋"/>
        </w:rPr>
        <w:fldChar w:fldCharType="separate"/>
      </w:r>
      <w:r>
        <w:rPr>
          <w:rFonts w:hint="eastAsia" w:ascii="仿宋" w:hAnsi="仿宋" w:eastAsia="仿宋" w:cs="仿宋"/>
          <w:color w:val="000000" w:themeColor="text1"/>
          <w:sz w:val="28"/>
          <w14:textFill>
            <w14:solidFill>
              <w14:schemeClr w14:val="tx1"/>
            </w14:solidFill>
          </w14:textFill>
        </w:rPr>
        <w:t>《资产评估执业准则—不动产》</w:t>
      </w:r>
      <w:r>
        <w:rPr>
          <w:rFonts w:hint="eastAsia" w:ascii="仿宋" w:hAnsi="仿宋" w:eastAsia="仿宋" w:cs="仿宋"/>
          <w:color w:val="000000" w:themeColor="text1"/>
          <w:sz w:val="28"/>
          <w14:textFill>
            <w14:solidFill>
              <w14:schemeClr w14:val="tx1"/>
            </w14:solidFill>
          </w14:textFill>
        </w:rPr>
        <w:fldChar w:fldCharType="end"/>
      </w:r>
      <w:r>
        <w:rPr>
          <w:rFonts w:hint="eastAsia" w:ascii="仿宋" w:hAnsi="仿宋" w:eastAsia="仿宋" w:cs="仿宋"/>
          <w:color w:val="000000" w:themeColor="text1"/>
          <w:sz w:val="28"/>
          <w14:textFill>
            <w14:solidFill>
              <w14:schemeClr w14:val="tx1"/>
            </w14:solidFill>
          </w14:textFill>
        </w:rPr>
        <w:t>（中评协［2017］38号）</w:t>
      </w:r>
    </w:p>
    <w:p>
      <w:pPr>
        <w:numPr>
          <w:ilvl w:val="0"/>
          <w:numId w:val="4"/>
        </w:numPr>
        <w:tabs>
          <w:tab w:val="left" w:pos="1418"/>
          <w:tab w:val="left" w:pos="1701"/>
          <w:tab w:val="clear" w:pos="3015"/>
        </w:tabs>
        <w:adjustRightInd w:val="0"/>
        <w:snapToGrid w:val="0"/>
        <w:spacing w:line="360" w:lineRule="auto"/>
        <w:ind w:left="0"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《资产评估机构业务质量控制指南》（中评协［2017］46号）</w:t>
      </w:r>
    </w:p>
    <w:p>
      <w:pPr>
        <w:numPr>
          <w:ilvl w:val="0"/>
          <w:numId w:val="4"/>
        </w:numPr>
        <w:tabs>
          <w:tab w:val="left" w:pos="1418"/>
          <w:tab w:val="left" w:pos="1701"/>
          <w:tab w:val="clear" w:pos="3015"/>
        </w:tabs>
        <w:adjustRightInd w:val="0"/>
        <w:snapToGrid w:val="0"/>
        <w:spacing w:line="360" w:lineRule="auto"/>
        <w:ind w:left="0"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《资产评估价值类型指导意见》（中评协［2017］47号）</w:t>
      </w:r>
    </w:p>
    <w:p>
      <w:pPr>
        <w:numPr>
          <w:ilvl w:val="0"/>
          <w:numId w:val="4"/>
        </w:numPr>
        <w:tabs>
          <w:tab w:val="left" w:pos="1418"/>
          <w:tab w:val="left" w:pos="1701"/>
          <w:tab w:val="clear" w:pos="3015"/>
        </w:tabs>
        <w:adjustRightInd w:val="0"/>
        <w:snapToGrid w:val="0"/>
        <w:spacing w:line="360" w:lineRule="auto"/>
        <w:ind w:left="0"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《资产评估对象法律权属指导意见》（中评协〔2017〕48号）</w:t>
      </w:r>
    </w:p>
    <w:p>
      <w:pPr>
        <w:numPr>
          <w:ilvl w:val="0"/>
          <w:numId w:val="4"/>
        </w:numPr>
        <w:tabs>
          <w:tab w:val="left" w:pos="1418"/>
          <w:tab w:val="left" w:pos="1701"/>
          <w:tab w:val="clear" w:pos="3015"/>
        </w:tabs>
        <w:adjustRightInd w:val="0"/>
        <w:snapToGrid w:val="0"/>
        <w:spacing w:line="360" w:lineRule="auto"/>
        <w:ind w:left="0"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中华人民共和国国家标准《房地产估价规范》（GB/T50291—2015）</w:t>
      </w:r>
    </w:p>
    <w:p>
      <w:pPr>
        <w:numPr>
          <w:ilvl w:val="0"/>
          <w:numId w:val="4"/>
        </w:numPr>
        <w:tabs>
          <w:tab w:val="left" w:pos="1418"/>
          <w:tab w:val="left" w:pos="1701"/>
          <w:tab w:val="clear" w:pos="3015"/>
        </w:tabs>
        <w:adjustRightInd w:val="0"/>
        <w:snapToGrid w:val="0"/>
        <w:spacing w:line="360" w:lineRule="auto"/>
        <w:ind w:left="0"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中华人民共和国国家标准《房地产估价基本术语标准》（GB/T50899—2013）</w:t>
      </w:r>
    </w:p>
    <w:p>
      <w:pPr>
        <w:adjustRightInd w:val="0"/>
        <w:snapToGrid w:val="0"/>
        <w:spacing w:line="360" w:lineRule="auto"/>
        <w:ind w:firstLine="562" w:firstLineChars="200"/>
        <w:outlineLvl w:val="2"/>
        <w:rPr>
          <w:rFonts w:hint="eastAsia" w:ascii="仿宋" w:hAnsi="仿宋" w:eastAsia="仿宋" w:cs="仿宋"/>
          <w:b/>
          <w:color w:val="000000" w:themeColor="text1"/>
          <w:sz w:val="28"/>
          <w14:textFill>
            <w14:solidFill>
              <w14:schemeClr w14:val="tx1"/>
            </w14:solidFill>
          </w14:textFill>
        </w:rPr>
      </w:pPr>
      <w:r>
        <w:rPr>
          <w:rFonts w:hint="eastAsia" w:ascii="仿宋" w:hAnsi="仿宋" w:eastAsia="仿宋" w:cs="仿宋"/>
          <w:b/>
          <w:color w:val="000000" w:themeColor="text1"/>
          <w:sz w:val="28"/>
          <w14:textFill>
            <w14:solidFill>
              <w14:schemeClr w14:val="tx1"/>
            </w14:solidFill>
          </w14:textFill>
        </w:rPr>
        <w:t>产权依据：</w:t>
      </w:r>
    </w:p>
    <w:p>
      <w:pPr>
        <w:numPr>
          <w:ilvl w:val="0"/>
          <w:numId w:val="5"/>
        </w:numPr>
        <w:tabs>
          <w:tab w:val="left" w:pos="1512"/>
        </w:tabs>
        <w:adjustRightInd w:val="0"/>
        <w:snapToGrid w:val="0"/>
        <w:spacing w:line="360" w:lineRule="auto"/>
        <w:ind w:left="0" w:firstLine="560" w:firstLineChars="200"/>
        <w:rPr>
          <w:rFonts w:hint="eastAsia" w:ascii="仿宋" w:hAnsi="仿宋" w:eastAsia="仿宋" w:cs="仿宋"/>
          <w:bCs/>
          <w:color w:val="000000" w:themeColor="text1"/>
          <w:sz w:val="28"/>
          <w14:textFill>
            <w14:solidFill>
              <w14:schemeClr w14:val="tx1"/>
            </w14:solidFill>
          </w14:textFill>
        </w:rPr>
      </w:pPr>
      <w:r>
        <w:rPr>
          <w:rFonts w:hint="eastAsia" w:ascii="仿宋" w:hAnsi="仿宋" w:eastAsia="仿宋" w:cs="仿宋"/>
          <w:bCs/>
          <w:color w:val="000000" w:themeColor="text1"/>
          <w:sz w:val="28"/>
          <w14:textFill>
            <w14:solidFill>
              <w14:schemeClr w14:val="tx1"/>
            </w14:solidFill>
          </w14:textFill>
        </w:rPr>
        <w:t>玉溪市中级人民法院提供的2019年10月23日《评估鉴定机构选定通知书》（</w:t>
      </w:r>
      <w:r>
        <w:rPr>
          <w:rFonts w:hint="eastAsia" w:ascii="仿宋" w:hAnsi="仿宋" w:eastAsia="仿宋" w:cs="仿宋"/>
          <w:bCs/>
          <w:color w:val="000000" w:themeColor="text1"/>
          <w:sz w:val="28"/>
          <w:szCs w:val="28"/>
          <w14:textFill>
            <w14:solidFill>
              <w14:schemeClr w14:val="tx1"/>
            </w14:solidFill>
          </w14:textFill>
        </w:rPr>
        <w:t>2019）云04评158号</w:t>
      </w:r>
      <w:r>
        <w:rPr>
          <w:rFonts w:hint="eastAsia" w:ascii="仿宋" w:hAnsi="仿宋" w:eastAsia="仿宋" w:cs="仿宋"/>
          <w:bCs/>
          <w:color w:val="000000" w:themeColor="text1"/>
          <w:sz w:val="28"/>
          <w14:textFill>
            <w14:solidFill>
              <w14:schemeClr w14:val="tx1"/>
            </w14:solidFill>
          </w14:textFill>
        </w:rPr>
        <w:t>；</w:t>
      </w:r>
    </w:p>
    <w:p>
      <w:pPr>
        <w:numPr>
          <w:ilvl w:val="0"/>
          <w:numId w:val="5"/>
        </w:numPr>
        <w:tabs>
          <w:tab w:val="left" w:pos="1512"/>
        </w:tabs>
        <w:adjustRightInd w:val="0"/>
        <w:snapToGrid w:val="0"/>
        <w:spacing w:line="360" w:lineRule="auto"/>
        <w:ind w:left="0" w:firstLine="560" w:firstLineChars="200"/>
        <w:rPr>
          <w:rFonts w:hint="eastAsia" w:ascii="仿宋" w:hAnsi="仿宋" w:eastAsia="仿宋" w:cs="仿宋"/>
          <w:bCs/>
          <w:color w:val="000000" w:themeColor="text1"/>
          <w:sz w:val="28"/>
          <w14:textFill>
            <w14:solidFill>
              <w14:schemeClr w14:val="tx1"/>
            </w14:solidFill>
          </w14:textFill>
        </w:rPr>
      </w:pPr>
      <w:r>
        <w:rPr>
          <w:rFonts w:hint="eastAsia" w:ascii="仿宋" w:hAnsi="仿宋" w:eastAsia="仿宋" w:cs="仿宋"/>
          <w:bCs/>
          <w:color w:val="000000" w:themeColor="text1"/>
          <w:sz w:val="28"/>
          <w14:textFill>
            <w14:solidFill>
              <w14:schemeClr w14:val="tx1"/>
            </w14:solidFill>
          </w14:textFill>
        </w:rPr>
        <w:t>其他有关产权证明。</w:t>
      </w:r>
    </w:p>
    <w:p>
      <w:pPr>
        <w:adjustRightInd w:val="0"/>
        <w:snapToGrid w:val="0"/>
        <w:spacing w:line="360" w:lineRule="auto"/>
        <w:ind w:firstLine="562" w:firstLineChars="200"/>
        <w:outlineLvl w:val="2"/>
        <w:rPr>
          <w:rFonts w:hint="eastAsia" w:ascii="仿宋" w:hAnsi="仿宋" w:eastAsia="仿宋" w:cs="仿宋"/>
          <w:b/>
          <w:color w:val="000000" w:themeColor="text1"/>
          <w:sz w:val="28"/>
          <w14:textFill>
            <w14:solidFill>
              <w14:schemeClr w14:val="tx1"/>
            </w14:solidFill>
          </w14:textFill>
        </w:rPr>
      </w:pPr>
      <w:r>
        <w:rPr>
          <w:rFonts w:hint="eastAsia" w:ascii="仿宋" w:hAnsi="仿宋" w:eastAsia="仿宋" w:cs="仿宋"/>
          <w:b/>
          <w:color w:val="000000" w:themeColor="text1"/>
          <w:sz w:val="28"/>
          <w14:textFill>
            <w14:solidFill>
              <w14:schemeClr w14:val="tx1"/>
            </w14:solidFill>
          </w14:textFill>
        </w:rPr>
        <w:t>取价依据：</w:t>
      </w:r>
    </w:p>
    <w:p>
      <w:pPr>
        <w:numPr>
          <w:ilvl w:val="0"/>
          <w:numId w:val="6"/>
        </w:numPr>
        <w:tabs>
          <w:tab w:val="left" w:pos="1512"/>
          <w:tab w:val="left" w:pos="1985"/>
        </w:tabs>
        <w:adjustRightInd w:val="0"/>
        <w:snapToGrid w:val="0"/>
        <w:spacing w:line="360" w:lineRule="auto"/>
        <w:ind w:left="0" w:firstLine="560" w:firstLineChars="200"/>
        <w:rPr>
          <w:rFonts w:hint="eastAsia" w:ascii="仿宋" w:hAnsi="仿宋" w:eastAsia="仿宋" w:cs="仿宋"/>
          <w:bCs/>
          <w:color w:val="000000" w:themeColor="text1"/>
          <w:sz w:val="28"/>
          <w14:textFill>
            <w14:solidFill>
              <w14:schemeClr w14:val="tx1"/>
            </w14:solidFill>
          </w14:textFill>
        </w:rPr>
      </w:pPr>
      <w:r>
        <w:rPr>
          <w:rFonts w:hint="eastAsia" w:ascii="仿宋" w:hAnsi="仿宋" w:eastAsia="仿宋" w:cs="仿宋"/>
          <w:bCs/>
          <w:color w:val="000000" w:themeColor="text1"/>
          <w:sz w:val="28"/>
          <w14:textFill>
            <w14:solidFill>
              <w14:schemeClr w14:val="tx1"/>
            </w14:solidFill>
          </w14:textFill>
        </w:rPr>
        <w:t>评估人员对评估对象进行勘查核实的记录；</w:t>
      </w:r>
    </w:p>
    <w:p>
      <w:pPr>
        <w:numPr>
          <w:ilvl w:val="0"/>
          <w:numId w:val="6"/>
        </w:numPr>
        <w:tabs>
          <w:tab w:val="left" w:pos="1512"/>
          <w:tab w:val="left" w:pos="1985"/>
        </w:tabs>
        <w:adjustRightInd w:val="0"/>
        <w:snapToGrid w:val="0"/>
        <w:spacing w:line="360" w:lineRule="auto"/>
        <w:ind w:left="0" w:firstLine="560" w:firstLineChars="200"/>
        <w:rPr>
          <w:rFonts w:hint="eastAsia" w:ascii="仿宋" w:hAnsi="仿宋" w:eastAsia="仿宋" w:cs="仿宋"/>
          <w:bCs/>
          <w:color w:val="000000" w:themeColor="text1"/>
          <w:sz w:val="28"/>
          <w14:textFill>
            <w14:solidFill>
              <w14:schemeClr w14:val="tx1"/>
            </w14:solidFill>
          </w14:textFill>
        </w:rPr>
      </w:pPr>
      <w:r>
        <w:rPr>
          <w:rFonts w:hint="eastAsia" w:ascii="仿宋" w:hAnsi="仿宋" w:eastAsia="仿宋" w:cs="仿宋"/>
          <w:bCs/>
          <w:color w:val="000000" w:themeColor="text1"/>
          <w:sz w:val="28"/>
          <w14:textFill>
            <w14:solidFill>
              <w14:schemeClr w14:val="tx1"/>
            </w14:solidFill>
          </w14:textFill>
        </w:rPr>
        <w:t>评估人员收集的新平县</w:t>
      </w:r>
      <w:r>
        <w:rPr>
          <w:rFonts w:hint="eastAsia" w:ascii="仿宋" w:hAnsi="仿宋" w:eastAsia="仿宋" w:cs="仿宋"/>
          <w:color w:val="000000" w:themeColor="text1"/>
          <w:sz w:val="28"/>
          <w:szCs w:val="28"/>
          <w:lang w:val="en-US" w:eastAsia="zh-CN"/>
          <w14:textFill>
            <w14:solidFill>
              <w14:schemeClr w14:val="tx1"/>
            </w14:solidFill>
          </w14:textFill>
        </w:rPr>
        <w:t>戛洒</w:t>
      </w:r>
      <w:r>
        <w:rPr>
          <w:rFonts w:hint="eastAsia" w:ascii="仿宋" w:hAnsi="仿宋" w:eastAsia="仿宋" w:cs="仿宋"/>
          <w:bCs/>
          <w:color w:val="000000" w:themeColor="text1"/>
          <w:sz w:val="28"/>
          <w14:textFill>
            <w14:solidFill>
              <w14:schemeClr w14:val="tx1"/>
            </w14:solidFill>
          </w14:textFill>
        </w:rPr>
        <w:t>镇市场资料；</w:t>
      </w:r>
    </w:p>
    <w:p>
      <w:pPr>
        <w:numPr>
          <w:ilvl w:val="0"/>
          <w:numId w:val="6"/>
        </w:numPr>
        <w:tabs>
          <w:tab w:val="left" w:pos="1512"/>
          <w:tab w:val="left" w:pos="1985"/>
        </w:tabs>
        <w:adjustRightInd w:val="0"/>
        <w:snapToGrid w:val="0"/>
        <w:spacing w:line="360" w:lineRule="auto"/>
        <w:ind w:left="0" w:firstLine="560" w:firstLineChars="200"/>
        <w:rPr>
          <w:rFonts w:hint="eastAsia" w:ascii="仿宋" w:hAnsi="仿宋" w:eastAsia="仿宋" w:cs="仿宋"/>
          <w:bCs/>
          <w:color w:val="000000" w:themeColor="text1"/>
          <w:sz w:val="28"/>
          <w14:textFill>
            <w14:solidFill>
              <w14:schemeClr w14:val="tx1"/>
            </w14:solidFill>
          </w14:textFill>
        </w:rPr>
      </w:pPr>
      <w:r>
        <w:rPr>
          <w:rFonts w:hint="eastAsia" w:ascii="仿宋" w:hAnsi="仿宋" w:eastAsia="仿宋" w:cs="仿宋"/>
          <w:bCs/>
          <w:color w:val="000000" w:themeColor="text1"/>
          <w:sz w:val="28"/>
          <w14:textFill>
            <w14:solidFill>
              <w14:schemeClr w14:val="tx1"/>
            </w14:solidFill>
          </w14:textFill>
        </w:rPr>
        <w:t>与此次单项资产评估有关的其它资料。</w:t>
      </w:r>
    </w:p>
    <w:p>
      <w:pPr>
        <w:pStyle w:val="3"/>
        <w:ind w:left="567" w:hanging="567"/>
        <w:rPr>
          <w:rFonts w:hint="eastAsia" w:ascii="仿宋" w:hAnsi="仿宋" w:eastAsia="仿宋" w:cs="仿宋"/>
          <w:color w:val="000000" w:themeColor="text1"/>
          <w:sz w:val="28"/>
          <w:szCs w:val="28"/>
          <w14:textFill>
            <w14:solidFill>
              <w14:schemeClr w14:val="tx1"/>
            </w14:solidFill>
          </w14:textFill>
        </w:rPr>
      </w:pPr>
      <w:bookmarkStart w:id="7" w:name="_Toc10142"/>
      <w:r>
        <w:rPr>
          <w:rFonts w:hint="eastAsia" w:ascii="仿宋" w:hAnsi="仿宋" w:eastAsia="仿宋" w:cs="仿宋"/>
          <w:color w:val="000000" w:themeColor="text1"/>
          <w:sz w:val="28"/>
          <w:szCs w:val="28"/>
          <w14:textFill>
            <w14:solidFill>
              <w14:schemeClr w14:val="tx1"/>
            </w14:solidFill>
          </w14:textFill>
        </w:rPr>
        <w:t>评估原则</w:t>
      </w:r>
      <w:bookmarkEnd w:id="7"/>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1、独立、客观、公正原则：要求评估机构和评估师站在中立的立场上评估出对各方当事人来说都是公平合理的价值。</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合法原则：要求房地产评估应以评估对象的合法权益为前提进行。合法权益包括合法产权、合法使用、合法处分等方面。遵循合法原则，具体来说有下列几个方面：①、在合法产权方面，应以房地产权属证书和有关证明文件为依据；②、在合法使用方面，应以城市规划、土地用途管制等为依据；③、在合法处分方面，应以法律、法规或合同（如土地使用权出让合同）等允许的处分方式为依据。</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3、替代原则：要求房地产评估结果不得明显偏离类似房地产在同等条件下的正常价值。在现实房地产交易中，任何理性的买者和卖者，都会将其拟买或拟卖的房地产与类似房地产进行比较，任何买者不会接受比市场上的正常价值过高的价值成交，任何卖者不会接受比市场上的正常价值过低的价值成交，最终是类似的房地产，价值相互牵掣，相互接近。本次评估采用市场比较法就是遵循替代原则。</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4、评估时点原则：评估结果应是评估对象在评估时点的客观合理价格；</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5、最高最佳使用原则：要求房地产评估应以评估对象的最高最佳使用为前提进行。最高最佳使用是指法律上允许、技术上可能、经过充分合理的论证，能使评估对象的价值达到最大的一种最可能的使用。</w:t>
      </w:r>
    </w:p>
    <w:p>
      <w:pPr>
        <w:pStyle w:val="3"/>
        <w:ind w:left="567" w:hanging="567"/>
        <w:rPr>
          <w:rFonts w:hint="eastAsia" w:ascii="仿宋" w:hAnsi="仿宋" w:eastAsia="仿宋" w:cs="仿宋"/>
          <w:color w:val="000000" w:themeColor="text1"/>
          <w:sz w:val="28"/>
          <w:szCs w:val="28"/>
          <w14:textFill>
            <w14:solidFill>
              <w14:schemeClr w14:val="tx1"/>
            </w14:solidFill>
          </w14:textFill>
        </w:rPr>
      </w:pPr>
      <w:bookmarkStart w:id="8" w:name="_Toc3612"/>
      <w:r>
        <w:rPr>
          <w:rFonts w:hint="eastAsia" w:ascii="仿宋" w:hAnsi="仿宋" w:eastAsia="仿宋" w:cs="仿宋"/>
          <w:color w:val="000000" w:themeColor="text1"/>
          <w:sz w:val="28"/>
          <w:szCs w:val="28"/>
          <w14:textFill>
            <w14:solidFill>
              <w14:schemeClr w14:val="tx1"/>
            </w14:solidFill>
          </w14:textFill>
        </w:rPr>
        <w:t>评估方法</w:t>
      </w:r>
      <w:bookmarkEnd w:id="8"/>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1.</w:t>
      </w:r>
      <w:r>
        <w:rPr>
          <w:rFonts w:hint="eastAsia" w:ascii="仿宋" w:hAnsi="仿宋" w:eastAsia="仿宋" w:cs="仿宋"/>
          <w:color w:val="000000" w:themeColor="text1"/>
          <w:sz w:val="28"/>
          <w14:textFill>
            <w14:solidFill>
              <w14:schemeClr w14:val="tx1"/>
            </w14:solidFill>
          </w14:textFill>
        </w:rPr>
        <w:t>资产评估基本方法包括市场法、收益法和成本法。</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市场法，是指将评估对象与可比交易案例进行比较，确定评估对象价值的评估方法。</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收益法，是指将预期收益资本化或者折现，确定评估对象价值的评估方法。</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成本法，成本法是用现时条件下重新购置或建造一个全新状态的被评估资产所需的全部成本，减去被评估资产已经发生的实体性陈旧贬值、功能性陈旧贬值、经济性陈旧贬值，得出被评估资产的评估值的一种资产评估方法。</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由于不能搜集到适量的、与被评估对象可比的交易实例，以及将其与评估对象对比分析所需要的相关资料，因此不具备采用市场法进行评估的操作条件，故本次评估不能够采用市场法。</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2、评估方法的选用</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由</w:t>
      </w:r>
      <w:r>
        <w:rPr>
          <w:rFonts w:hint="eastAsia" w:ascii="仿宋" w:hAnsi="仿宋" w:eastAsia="仿宋" w:cs="仿宋"/>
          <w:color w:val="000000" w:themeColor="text1"/>
          <w:sz w:val="28"/>
          <w14:textFill>
            <w14:solidFill>
              <w14:schemeClr w14:val="tx1"/>
            </w14:solidFill>
          </w14:textFill>
        </w:rPr>
        <w:t>于被评估资产为一</w:t>
      </w:r>
      <w:r>
        <w:rPr>
          <w:rFonts w:hint="eastAsia" w:ascii="仿宋" w:hAnsi="仿宋" w:eastAsia="仿宋" w:cs="仿宋"/>
          <w:color w:val="000000" w:themeColor="text1"/>
          <w:sz w:val="28"/>
          <w:lang w:val="en-US" w:eastAsia="zh-CN"/>
          <w14:textFill>
            <w14:solidFill>
              <w14:schemeClr w14:val="tx1"/>
            </w14:solidFill>
          </w14:textFill>
        </w:rPr>
        <w:t>家</w:t>
      </w:r>
      <w:r>
        <w:rPr>
          <w:rFonts w:hint="eastAsia" w:ascii="仿宋" w:hAnsi="仿宋" w:eastAsia="仿宋" w:cs="仿宋"/>
          <w:color w:val="000000" w:themeColor="text1"/>
          <w:sz w:val="28"/>
          <w14:textFill>
            <w14:solidFill>
              <w14:schemeClr w14:val="tx1"/>
            </w14:solidFill>
          </w14:textFill>
        </w:rPr>
        <w:t>独立</w:t>
      </w:r>
      <w:r>
        <w:rPr>
          <w:rFonts w:hint="eastAsia" w:ascii="仿宋" w:hAnsi="仿宋" w:eastAsia="仿宋" w:cs="仿宋"/>
          <w:color w:val="000000" w:themeColor="text1"/>
          <w:sz w:val="28"/>
          <w:lang w:val="en-US" w:eastAsia="zh-CN"/>
          <w14:textFill>
            <w14:solidFill>
              <w14:schemeClr w14:val="tx1"/>
            </w14:solidFill>
          </w14:textFill>
        </w:rPr>
        <w:t>酒店</w:t>
      </w:r>
      <w:r>
        <w:rPr>
          <w:rFonts w:hint="eastAsia" w:ascii="仿宋" w:hAnsi="仿宋" w:eastAsia="仿宋" w:cs="仿宋"/>
          <w:color w:val="000000" w:themeColor="text1"/>
          <w:sz w:val="28"/>
          <w14:textFill>
            <w14:solidFill>
              <w14:schemeClr w14:val="tx1"/>
            </w14:solidFill>
          </w14:textFill>
        </w:rPr>
        <w:t>，适用于收益法评估，且能够收集到分析被评估对象历史状况、预测其未来收益及风险所需的必要资料，具备采用收益法实施评估的操作条件，故本次评估能采用收益法。</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由于被评估单位各项资产的再取得成本的有关数据和信息来源可以取得，故本报告可以采用成本法进行评估。</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3、评估技术路线</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①收益法是通过估算被评估资产在未来的预期收益，并采用适当的折现率折现成基准日的现值，求得被评估资产在基准日时点的公允价值。</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在采用收益法评估中，要求被评估资产价值内涵和运用的收益类型以及折现率的口径必须是一致的。</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1.营业性资产价值的计算公式为：</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其中：P——评估基准日的营业性资产价值</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Ri——资产组未来第i年预期净收益</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r ——折现率</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i ——收益预测年份</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n——收益预测期</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2.关于折现率</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有关折现率的选取，我们采用资本资产定价模型(“CAPM”)。CAPM模型是普遍应用的估算股权资本成本的办法。CAPM模型可用下列数学公式表示：</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E[Re] = Rf1 +β (E[Rm] - Rf2) + Alpha</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     其中: E[Re] =  权益期望回报率，即权益资本成本</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Rf1    =     长期国债期望回报率</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β   =       贝塔系数</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E[Rm] =     市场期望回报率</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Rf2    =     长期市场预期回报率</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Alpha  =     特别风险溢价</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         (E[Rm] - Rf2)为股权市场超额风险收益率，称ERP</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重置成本法</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被评估房屋建筑物的评估结果按以下公式计算：</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评估值＝重置全价×综合成新率</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重置全价的确定</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重置全价=建筑安装工程综合造价+前期及其他费用+资金成本</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综合成新率=打分法确定的成新率×60%+年限法确定的成新率×40%</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其中：</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年限法成新率=房屋建筑物尚可使用年限÷（房屋建筑物已使用年限+房屋建筑物尚可使用年限）×100%</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尚可使用年限，根据房屋建筑物的经济寿命年限，结合其使用维护状况加以确定。</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打分法成新率，根据房屋建筑物成新率评分标准，结合对被评估房屋建筑物结构、装饰、设备（设施）现场勘查情况加以确定。</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打分法成新率=结构部分成新得分×G+装修部分成新得分×S+设备（设施）部分成新得分×B</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G、S、B，分别是结构、装修和设备（设施）部分的造价权重。</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评估程序实施过程和情况</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评估人员对纳入此次评估范围的资产进行了评估。主要评估过程如下：</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接受委托</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本资产评估机构接受委托前，与玉溪市中级人民法院的有关人员进行了会谈，详细了解了此次评估的目的、评估对象与评估范围、评估基准日等。在此基础上，本资产评估机构遵照国家有关法规接受玉溪市中级人民法院委托签署了《玉溪市中级人民法院委托书》，并拟定了相应的评估计划。</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现场调查、资料收集及核查验证</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根据玉溪市中级人民法院提供的资产评估申报资料，评估人员于2019年10月30日至2019年10月31日对评估对象和纳入评估范围的资产进行了必要的调查。</w:t>
      </w:r>
    </w:p>
    <w:p>
      <w:pPr>
        <w:widowControl/>
        <w:adjustRightInd w:val="0"/>
        <w:snapToGrid w:val="0"/>
        <w:spacing w:line="360" w:lineRule="auto"/>
        <w:ind w:firstLine="560" w:firstLineChars="200"/>
        <w:jc w:val="left"/>
        <w:rPr>
          <w:rFonts w:hint="eastAsia" w:ascii="仿宋" w:hAnsi="仿宋" w:eastAsia="仿宋" w:cs="仿宋"/>
          <w:snapToGrid w:val="0"/>
          <w:color w:val="000000" w:themeColor="text1"/>
          <w:sz w:val="28"/>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评估人员会同申请人及被申请人进行现场勘查，听取申请人及被申请人有关人员的相关介绍，了解评估对象的现状，关注评估对象的法律权属，对玉溪市中级人民法院的申报内容进行了核实。评估人员还根据评估对象特点和评估业务情况，通过委托人、政府部门、相关专业机构、市</w:t>
      </w:r>
      <w:r>
        <w:rPr>
          <w:rFonts w:hint="eastAsia" w:ascii="仿宋" w:hAnsi="仿宋" w:eastAsia="仿宋" w:cs="仿宋"/>
          <w:snapToGrid w:val="0"/>
          <w:color w:val="000000" w:themeColor="text1"/>
          <w:sz w:val="28"/>
          <w14:textFill>
            <w14:solidFill>
              <w14:schemeClr w14:val="tx1"/>
            </w14:solidFill>
          </w14:textFill>
        </w:rPr>
        <w:t>场等渠道收集了涉及评估对象和评估范围，支持评定估算等程序的相关资料。</w:t>
      </w:r>
    </w:p>
    <w:p>
      <w:pPr>
        <w:widowControl/>
        <w:adjustRightInd w:val="0"/>
        <w:snapToGrid w:val="0"/>
        <w:spacing w:line="360" w:lineRule="auto"/>
        <w:ind w:firstLine="560" w:firstLineChars="200"/>
        <w:rPr>
          <w:rFonts w:hint="eastAsia" w:ascii="仿宋" w:hAnsi="仿宋" w:eastAsia="仿宋" w:cs="仿宋"/>
          <w:snapToGrid w:val="0"/>
          <w:color w:val="000000" w:themeColor="text1"/>
          <w:sz w:val="28"/>
          <w14:textFill>
            <w14:solidFill>
              <w14:schemeClr w14:val="tx1"/>
            </w14:solidFill>
          </w14:textFill>
        </w:rPr>
      </w:pPr>
      <w:r>
        <w:rPr>
          <w:rFonts w:hint="eastAsia" w:ascii="仿宋" w:hAnsi="仿宋" w:eastAsia="仿宋" w:cs="仿宋"/>
          <w:snapToGrid w:val="0"/>
          <w:color w:val="000000" w:themeColor="text1"/>
          <w:sz w:val="28"/>
          <w14:textFill>
            <w14:solidFill>
              <w14:schemeClr w14:val="tx1"/>
            </w14:solidFill>
          </w14:textFill>
        </w:rPr>
        <w:t>评估人员已要求委托人或者其他相关当事人对其提供的资产评估申报资料及其他重要资料进行了确认，并对资产评估活动中使用的资料进行了核查验证。</w:t>
      </w:r>
    </w:p>
    <w:p>
      <w:pPr>
        <w:widowControl/>
        <w:numPr>
          <w:ilvl w:val="1"/>
          <w:numId w:val="7"/>
        </w:numPr>
        <w:tabs>
          <w:tab w:val="left" w:pos="993"/>
        </w:tabs>
        <w:adjustRightInd w:val="0"/>
        <w:snapToGrid w:val="0"/>
        <w:spacing w:line="360" w:lineRule="auto"/>
        <w:ind w:left="0" w:firstLine="560" w:firstLineChars="200"/>
        <w:rPr>
          <w:rFonts w:hint="eastAsia" w:ascii="仿宋" w:hAnsi="仿宋" w:eastAsia="仿宋" w:cs="仿宋"/>
          <w:snapToGrid w:val="0"/>
          <w:color w:val="000000" w:themeColor="text1"/>
          <w:sz w:val="28"/>
          <w14:textFill>
            <w14:solidFill>
              <w14:schemeClr w14:val="tx1"/>
            </w14:solidFill>
          </w14:textFill>
        </w:rPr>
      </w:pPr>
      <w:r>
        <w:rPr>
          <w:rFonts w:hint="eastAsia" w:ascii="仿宋" w:hAnsi="仿宋" w:eastAsia="仿宋" w:cs="仿宋"/>
          <w:snapToGrid w:val="0"/>
          <w:color w:val="000000" w:themeColor="text1"/>
          <w:sz w:val="28"/>
          <w14:textFill>
            <w14:solidFill>
              <w14:schemeClr w14:val="tx1"/>
            </w14:solidFill>
          </w14:textFill>
        </w:rPr>
        <w:t>房屋建筑物的清查</w:t>
      </w:r>
    </w:p>
    <w:p>
      <w:pPr>
        <w:pStyle w:val="16"/>
        <w:spacing w:line="360" w:lineRule="auto"/>
        <w:ind w:firstLine="560" w:firstLineChars="200"/>
        <w:rPr>
          <w:rFonts w:hint="eastAsia" w:ascii="仿宋" w:hAnsi="仿宋" w:eastAsia="仿宋" w:cs="仿宋"/>
          <w:color w:val="000000" w:themeColor="text1"/>
          <w:kern w:val="2"/>
          <w:sz w:val="28"/>
          <w:szCs w:val="24"/>
          <w14:textFill>
            <w14:solidFill>
              <w14:schemeClr w14:val="tx1"/>
            </w14:solidFill>
          </w14:textFill>
        </w:rPr>
      </w:pPr>
      <w:r>
        <w:rPr>
          <w:rFonts w:hint="eastAsia" w:ascii="仿宋" w:hAnsi="仿宋" w:eastAsia="仿宋" w:cs="仿宋"/>
          <w:color w:val="000000" w:themeColor="text1"/>
          <w:kern w:val="2"/>
          <w:sz w:val="28"/>
          <w:szCs w:val="24"/>
          <w14:textFill>
            <w14:solidFill>
              <w14:schemeClr w14:val="tx1"/>
            </w14:solidFill>
          </w14:textFill>
        </w:rPr>
        <w:t>于2019年10月31日向玉溪市房产管理所办公室查询，对被评估单位申报的房屋建筑物，评估人员根据申报资料逐项勘查实物，核实建筑面积，查验被评估单位提供的权属证明资料，了解建筑结构、建筑质量、完工日期、平面形状、室内外装修、水暖电等配套设施的安装使用等情况，将所收集资料及相关工作记录作为评估计算的重要依据。</w:t>
      </w:r>
    </w:p>
    <w:p>
      <w:pPr>
        <w:numPr>
          <w:ilvl w:val="0"/>
          <w:numId w:val="7"/>
        </w:numPr>
        <w:adjustRightInd w:val="0"/>
        <w:snapToGrid w:val="0"/>
        <w:spacing w:line="360" w:lineRule="auto"/>
        <w:ind w:left="0" w:firstLine="560" w:firstLineChars="200"/>
        <w:outlineLvl w:val="2"/>
        <w:rPr>
          <w:rFonts w:hint="eastAsia" w:ascii="仿宋" w:hAnsi="仿宋" w:eastAsia="仿宋" w:cs="仿宋"/>
          <w:snapToGrid w:val="0"/>
          <w:color w:val="000000" w:themeColor="text1"/>
          <w:sz w:val="28"/>
          <w14:textFill>
            <w14:solidFill>
              <w14:schemeClr w14:val="tx1"/>
            </w14:solidFill>
          </w14:textFill>
        </w:rPr>
      </w:pPr>
      <w:r>
        <w:rPr>
          <w:rFonts w:hint="eastAsia" w:ascii="仿宋" w:hAnsi="仿宋" w:eastAsia="仿宋" w:cs="仿宋"/>
          <w:snapToGrid w:val="0"/>
          <w:color w:val="000000" w:themeColor="text1"/>
          <w:sz w:val="28"/>
          <w14:textFill>
            <w14:solidFill>
              <w14:schemeClr w14:val="tx1"/>
            </w14:solidFill>
          </w14:textFill>
        </w:rPr>
        <w:t>评定估算</w:t>
      </w:r>
    </w:p>
    <w:p>
      <w:pPr>
        <w:adjustRightInd w:val="0"/>
        <w:snapToGrid w:val="0"/>
        <w:spacing w:line="360" w:lineRule="auto"/>
        <w:ind w:firstLine="560" w:firstLineChars="200"/>
        <w:rPr>
          <w:rFonts w:hint="eastAsia" w:ascii="仿宋" w:hAnsi="仿宋" w:eastAsia="仿宋" w:cs="仿宋"/>
          <w:snapToGrid w:val="0"/>
          <w:color w:val="000000" w:themeColor="text1"/>
          <w:sz w:val="28"/>
          <w14:textFill>
            <w14:solidFill>
              <w14:schemeClr w14:val="tx1"/>
            </w14:solidFill>
          </w14:textFill>
        </w:rPr>
      </w:pPr>
      <w:r>
        <w:rPr>
          <w:rFonts w:hint="eastAsia" w:ascii="仿宋" w:hAnsi="仿宋" w:eastAsia="仿宋" w:cs="仿宋"/>
          <w:snapToGrid w:val="0"/>
          <w:color w:val="000000" w:themeColor="text1"/>
          <w:sz w:val="28"/>
          <w14:textFill>
            <w14:solidFill>
              <w14:schemeClr w14:val="tx1"/>
            </w14:solidFill>
          </w14:textFill>
        </w:rPr>
        <w:t>评估人员在进行必要的市场调查、询价的基础上，对被评估单位的各项资产进行了评估测算，进而确定了被评估单位的资产价值。</w:t>
      </w:r>
    </w:p>
    <w:p>
      <w:pPr>
        <w:numPr>
          <w:ilvl w:val="0"/>
          <w:numId w:val="7"/>
        </w:numPr>
        <w:adjustRightInd w:val="0"/>
        <w:snapToGrid w:val="0"/>
        <w:spacing w:line="360" w:lineRule="auto"/>
        <w:ind w:left="0" w:firstLine="560" w:firstLineChars="200"/>
        <w:outlineLvl w:val="2"/>
        <w:rPr>
          <w:rFonts w:hint="eastAsia" w:ascii="仿宋" w:hAnsi="仿宋" w:eastAsia="仿宋" w:cs="仿宋"/>
          <w:snapToGrid w:val="0"/>
          <w:color w:val="000000" w:themeColor="text1"/>
          <w:sz w:val="28"/>
          <w14:textFill>
            <w14:solidFill>
              <w14:schemeClr w14:val="tx1"/>
            </w14:solidFill>
          </w14:textFill>
        </w:rPr>
      </w:pPr>
      <w:r>
        <w:rPr>
          <w:rFonts w:hint="eastAsia" w:ascii="仿宋" w:hAnsi="仿宋" w:eastAsia="仿宋" w:cs="仿宋"/>
          <w:snapToGrid w:val="0"/>
          <w:color w:val="000000" w:themeColor="text1"/>
          <w:sz w:val="28"/>
          <w14:textFill>
            <w14:solidFill>
              <w14:schemeClr w14:val="tx1"/>
            </w14:solidFill>
          </w14:textFill>
        </w:rPr>
        <w:t>评估汇总及报告</w:t>
      </w:r>
    </w:p>
    <w:p>
      <w:pPr>
        <w:adjustRightInd w:val="0"/>
        <w:snapToGrid w:val="0"/>
        <w:spacing w:line="360" w:lineRule="auto"/>
        <w:ind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按照《资产评估执业准则－资产评估报告》及《房地产估价规范》的要求进行评估汇总、分析、撰写资产评估报告书和资产评估说明。并按照本资产评估机构的内部质量控制制度对评估报告进行了内部审核。</w:t>
      </w:r>
    </w:p>
    <w:p>
      <w:pPr>
        <w:pStyle w:val="3"/>
        <w:ind w:left="567" w:hanging="567"/>
        <w:rPr>
          <w:rFonts w:hint="eastAsia" w:ascii="仿宋" w:hAnsi="仿宋" w:eastAsia="仿宋" w:cs="仿宋"/>
          <w:color w:val="000000" w:themeColor="text1"/>
          <w:sz w:val="28"/>
          <w:szCs w:val="28"/>
          <w14:textFill>
            <w14:solidFill>
              <w14:schemeClr w14:val="tx1"/>
            </w14:solidFill>
          </w14:textFill>
        </w:rPr>
      </w:pPr>
      <w:bookmarkStart w:id="9" w:name="_Toc21733"/>
      <w:r>
        <w:rPr>
          <w:rFonts w:hint="eastAsia" w:ascii="仿宋" w:hAnsi="仿宋" w:eastAsia="仿宋" w:cs="仿宋"/>
          <w:color w:val="000000" w:themeColor="text1"/>
          <w:sz w:val="28"/>
          <w:szCs w:val="28"/>
          <w14:textFill>
            <w14:solidFill>
              <w14:schemeClr w14:val="tx1"/>
            </w14:solidFill>
          </w14:textFill>
        </w:rPr>
        <w:t>评估假设</w:t>
      </w:r>
      <w:bookmarkEnd w:id="9"/>
    </w:p>
    <w:p>
      <w:pPr>
        <w:widowControl/>
        <w:numPr>
          <w:ilvl w:val="0"/>
          <w:numId w:val="8"/>
        </w:numPr>
        <w:tabs>
          <w:tab w:val="left" w:pos="1134"/>
          <w:tab w:val="clear" w:pos="1290"/>
        </w:tabs>
        <w:adjustRightInd w:val="0"/>
        <w:snapToGrid w:val="0"/>
        <w:spacing w:line="360" w:lineRule="auto"/>
        <w:ind w:left="0" w:firstLine="560" w:firstLineChars="200"/>
        <w:textAlignment w:val="bottom"/>
        <w:outlineLvl w:val="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一般性假设</w:t>
      </w:r>
    </w:p>
    <w:p>
      <w:pPr>
        <w:numPr>
          <w:ilvl w:val="0"/>
          <w:numId w:val="9"/>
        </w:numPr>
        <w:tabs>
          <w:tab w:val="left" w:pos="945"/>
          <w:tab w:val="clear" w:pos="1200"/>
        </w:tabs>
        <w:adjustRightInd w:val="0"/>
        <w:snapToGrid w:val="0"/>
        <w:spacing w:line="360" w:lineRule="auto"/>
        <w:ind w:left="0" w:firstLine="560" w:firstLineChars="200"/>
        <w:textAlignment w:val="bottom"/>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国家现行的有关法律法规及政策、国家宏观经济形势无重大变化，本次交易各方所处地区的政治、经济和社会环境无重大变化；</w:t>
      </w:r>
    </w:p>
    <w:p>
      <w:pPr>
        <w:widowControl/>
        <w:adjustRightInd w:val="0"/>
        <w:snapToGrid w:val="0"/>
        <w:spacing w:line="360" w:lineRule="auto"/>
        <w:ind w:firstLine="560" w:firstLineChars="200"/>
        <w:jc w:val="left"/>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有关利率、汇率、赋税基准及税率、政策性征收费用等不发生重大变化；</w:t>
      </w:r>
    </w:p>
    <w:p>
      <w:pPr>
        <w:numPr>
          <w:ilvl w:val="0"/>
          <w:numId w:val="9"/>
        </w:numPr>
        <w:tabs>
          <w:tab w:val="left" w:pos="945"/>
          <w:tab w:val="clear" w:pos="1200"/>
        </w:tabs>
        <w:adjustRightInd w:val="0"/>
        <w:snapToGrid w:val="0"/>
        <w:spacing w:line="360" w:lineRule="auto"/>
        <w:ind w:left="0" w:firstLine="560" w:firstLineChars="200"/>
        <w:textAlignment w:val="bottom"/>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假设被评估资产按现状使用，其管理方式及经营方向和范围，与评估基准日基本一致；</w:t>
      </w:r>
    </w:p>
    <w:p>
      <w:pPr>
        <w:numPr>
          <w:ilvl w:val="0"/>
          <w:numId w:val="9"/>
        </w:numPr>
        <w:tabs>
          <w:tab w:val="left" w:pos="945"/>
          <w:tab w:val="clear" w:pos="1200"/>
        </w:tabs>
        <w:adjustRightInd w:val="0"/>
        <w:snapToGrid w:val="0"/>
        <w:spacing w:line="360" w:lineRule="auto"/>
        <w:ind w:left="0" w:firstLine="560" w:firstLineChars="200"/>
        <w:textAlignment w:val="bottom"/>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除非另有说明，假设被评估单位遵守相关法律法规，经营管理和技术骨干有能力、负责任地担负其职责，并保持相对稳定；</w:t>
      </w:r>
    </w:p>
    <w:p>
      <w:pPr>
        <w:numPr>
          <w:ilvl w:val="0"/>
          <w:numId w:val="9"/>
        </w:numPr>
        <w:tabs>
          <w:tab w:val="left" w:pos="945"/>
          <w:tab w:val="clear" w:pos="1200"/>
        </w:tabs>
        <w:adjustRightInd w:val="0"/>
        <w:snapToGrid w:val="0"/>
        <w:spacing w:line="360" w:lineRule="auto"/>
        <w:ind w:left="0" w:firstLine="565" w:firstLineChars="202"/>
        <w:textAlignment w:val="bottom"/>
        <w:outlineLvl w:val="3"/>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无其他人力不可抗拒因素及不可预见因素对被评估单位造成重大不利影响；</w:t>
      </w:r>
    </w:p>
    <w:p>
      <w:pPr>
        <w:numPr>
          <w:ilvl w:val="0"/>
          <w:numId w:val="9"/>
        </w:numPr>
        <w:tabs>
          <w:tab w:val="left" w:pos="945"/>
          <w:tab w:val="clear" w:pos="1200"/>
        </w:tabs>
        <w:adjustRightInd w:val="0"/>
        <w:snapToGrid w:val="0"/>
        <w:spacing w:line="360" w:lineRule="auto"/>
        <w:ind w:left="0" w:firstLine="565" w:firstLineChars="202"/>
        <w:textAlignment w:val="bottom"/>
        <w:outlineLvl w:val="3"/>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本次评估我们对《商品房买卖合同登记备案表》上所列示的权属、面积、用途进行了检查，无理由怀疑其合法性、真实性、准确性和完整性且未予核实的情况下，对其合法、真实、准确和完整进行假定；</w:t>
      </w:r>
    </w:p>
    <w:p>
      <w:pPr>
        <w:numPr>
          <w:ilvl w:val="0"/>
          <w:numId w:val="9"/>
        </w:numPr>
        <w:tabs>
          <w:tab w:val="left" w:pos="945"/>
          <w:tab w:val="clear" w:pos="1200"/>
        </w:tabs>
        <w:adjustRightInd w:val="0"/>
        <w:snapToGrid w:val="0"/>
        <w:spacing w:line="360" w:lineRule="auto"/>
        <w:ind w:left="0" w:firstLine="565" w:firstLineChars="202"/>
        <w:textAlignment w:val="bottom"/>
        <w:outlineLvl w:val="3"/>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对房屋安全、环境污染等影响评估对象价值或价格的重大因素给予关注，无理由怀疑评估对象存在安全隐患且无相应的专业机构进行鉴定、检测情况下，假定评估对象是安全的；</w:t>
      </w:r>
    </w:p>
    <w:p>
      <w:pPr>
        <w:tabs>
          <w:tab w:val="left" w:pos="945"/>
        </w:tabs>
        <w:adjustRightInd w:val="0"/>
        <w:snapToGrid w:val="0"/>
        <w:spacing w:line="360" w:lineRule="auto"/>
        <w:ind w:firstLine="560" w:firstLineChars="200"/>
        <w:rPr>
          <w:rFonts w:hint="eastAsia" w:ascii="仿宋" w:hAnsi="仿宋" w:eastAsia="仿宋" w:cs="仿宋"/>
          <w:b/>
          <w:color w:val="000000" w:themeColor="text1"/>
          <w:sz w:val="30"/>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若将来实际情况与上述评估假设产生差异，将会对本评估报告的评估结论产生影响。委托人和其他评估报告使用人应在使用本评估报告时充分考虑评估假设可能对评估结论产生的影响。</w:t>
      </w:r>
    </w:p>
    <w:p>
      <w:pPr>
        <w:pStyle w:val="3"/>
        <w:ind w:left="567" w:hanging="567"/>
        <w:rPr>
          <w:rFonts w:hint="eastAsia" w:ascii="仿宋" w:hAnsi="仿宋" w:eastAsia="仿宋" w:cs="仿宋"/>
          <w:color w:val="000000" w:themeColor="text1"/>
          <w:sz w:val="28"/>
          <w:szCs w:val="28"/>
          <w14:textFill>
            <w14:solidFill>
              <w14:schemeClr w14:val="tx1"/>
            </w14:solidFill>
          </w14:textFill>
        </w:rPr>
      </w:pPr>
      <w:bookmarkStart w:id="10" w:name="_Toc32689"/>
      <w:r>
        <w:rPr>
          <w:rFonts w:hint="eastAsia" w:ascii="仿宋" w:hAnsi="仿宋" w:eastAsia="仿宋" w:cs="仿宋"/>
          <w:color w:val="000000" w:themeColor="text1"/>
          <w:sz w:val="28"/>
          <w:szCs w:val="28"/>
          <w14:textFill>
            <w14:solidFill>
              <w14:schemeClr w14:val="tx1"/>
            </w14:solidFill>
          </w14:textFill>
        </w:rPr>
        <w:t>评估结论</w:t>
      </w:r>
      <w:bookmarkEnd w:id="10"/>
    </w:p>
    <w:p>
      <w:pPr>
        <w:snapToGrid w:val="0"/>
        <w:spacing w:line="360" w:lineRule="auto"/>
        <w:ind w:firstLine="560" w:firstLineChars="200"/>
        <w:rPr>
          <w:rFonts w:hint="eastAsia" w:ascii="仿宋" w:hAnsi="仿宋" w:eastAsia="仿宋" w:cs="仿宋"/>
          <w:b/>
          <w:color w:val="000000" w:themeColor="text1"/>
          <w:sz w:val="28"/>
          <w14:textFill>
            <w14:solidFill>
              <w14:schemeClr w14:val="tx1"/>
            </w14:solidFill>
          </w14:textFill>
        </w:rPr>
      </w:pPr>
      <w:r>
        <w:rPr>
          <w:rFonts w:hint="eastAsia" w:ascii="仿宋" w:hAnsi="仿宋" w:eastAsia="仿宋" w:cs="仿宋"/>
          <w:bCs/>
          <w:sz w:val="28"/>
        </w:rPr>
        <w:t>新平县</w:t>
      </w:r>
      <w:r>
        <w:rPr>
          <w:rFonts w:hint="eastAsia" w:ascii="仿宋" w:hAnsi="仿宋" w:eastAsia="仿宋" w:cs="仿宋"/>
          <w:color w:val="000000" w:themeColor="text1"/>
          <w:sz w:val="28"/>
          <w:szCs w:val="28"/>
          <w:lang w:val="en-US" w:eastAsia="zh-CN"/>
          <w14:textFill>
            <w14:solidFill>
              <w14:schemeClr w14:val="tx1"/>
            </w14:solidFill>
          </w14:textFill>
        </w:rPr>
        <w:t>戛洒</w:t>
      </w:r>
      <w:r>
        <w:rPr>
          <w:rFonts w:hint="eastAsia" w:ascii="仿宋" w:hAnsi="仿宋" w:eastAsia="仿宋" w:cs="仿宋"/>
          <w:bCs/>
          <w:sz w:val="28"/>
        </w:rPr>
        <w:t>镇大云酒店</w:t>
      </w:r>
      <w:r>
        <w:rPr>
          <w:rFonts w:hint="eastAsia" w:ascii="仿宋" w:hAnsi="仿宋" w:eastAsia="仿宋" w:cs="仿宋"/>
          <w:sz w:val="28"/>
          <w:szCs w:val="28"/>
        </w:rPr>
        <w:t>房地产</w:t>
      </w:r>
      <w:r>
        <w:rPr>
          <w:rFonts w:hint="eastAsia" w:ascii="仿宋" w:hAnsi="仿宋" w:eastAsia="仿宋" w:cs="仿宋"/>
          <w:bCs/>
          <w:sz w:val="28"/>
        </w:rPr>
        <w:t>于评估基准日</w:t>
      </w:r>
      <w:r>
        <w:rPr>
          <w:rFonts w:hint="eastAsia" w:ascii="仿宋" w:hAnsi="仿宋" w:eastAsia="仿宋" w:cs="仿宋"/>
          <w:kern w:val="0"/>
          <w:sz w:val="28"/>
          <w:szCs w:val="28"/>
        </w:rPr>
        <w:t>评估价值为</w:t>
      </w:r>
      <w:r>
        <w:rPr>
          <w:rFonts w:hint="eastAsia" w:ascii="仿宋" w:hAnsi="仿宋" w:eastAsia="仿宋" w:cs="仿宋"/>
          <w:b/>
          <w:sz w:val="28"/>
          <w:szCs w:val="28"/>
        </w:rPr>
        <w:t xml:space="preserve"> 7,748.3</w:t>
      </w:r>
      <w:r>
        <w:rPr>
          <w:rFonts w:hint="eastAsia" w:ascii="仿宋" w:hAnsi="仿宋" w:eastAsia="仿宋" w:cs="仿宋"/>
          <w:b/>
          <w:sz w:val="28"/>
          <w:szCs w:val="28"/>
          <w:lang w:val="en-US" w:eastAsia="zh-CN"/>
        </w:rPr>
        <w:t>1</w:t>
      </w:r>
      <w:r>
        <w:rPr>
          <w:rFonts w:hint="eastAsia" w:ascii="仿宋" w:hAnsi="仿宋" w:eastAsia="仿宋" w:cs="仿宋"/>
          <w:b/>
          <w:bCs/>
          <w:sz w:val="28"/>
          <w:szCs w:val="28"/>
        </w:rPr>
        <w:t>万</w:t>
      </w:r>
      <w:r>
        <w:rPr>
          <w:rFonts w:hint="eastAsia" w:ascii="仿宋" w:hAnsi="仿宋" w:eastAsia="仿宋" w:cs="仿宋"/>
          <w:b/>
          <w:bCs/>
          <w:kern w:val="0"/>
          <w:sz w:val="28"/>
          <w:szCs w:val="28"/>
        </w:rPr>
        <w:t>元</w:t>
      </w:r>
      <w:r>
        <w:rPr>
          <w:rFonts w:hint="eastAsia" w:ascii="仿宋" w:hAnsi="仿宋" w:eastAsia="仿宋" w:cs="仿宋"/>
          <w:kern w:val="0"/>
          <w:sz w:val="28"/>
          <w:szCs w:val="28"/>
        </w:rPr>
        <w:t>。</w:t>
      </w:r>
      <w:r>
        <w:rPr>
          <w:rFonts w:hint="eastAsia" w:ascii="仿宋" w:hAnsi="仿宋" w:eastAsia="仿宋" w:cs="仿宋"/>
          <w:sz w:val="28"/>
          <w:szCs w:val="28"/>
        </w:rPr>
        <w:t>评估结果详见下列评估结果汇总表</w:t>
      </w:r>
      <w:r>
        <w:rPr>
          <w:rFonts w:hint="eastAsia" w:ascii="仿宋" w:hAnsi="仿宋" w:eastAsia="仿宋" w:cs="仿宋"/>
          <w:color w:val="000000" w:themeColor="text1"/>
          <w:sz w:val="28"/>
          <w:szCs w:val="28"/>
          <w14:textFill>
            <w14:solidFill>
              <w14:schemeClr w14:val="tx1"/>
            </w14:solidFill>
          </w14:textFill>
        </w:rPr>
        <w:t xml:space="preserve">： </w:t>
      </w:r>
    </w:p>
    <w:p>
      <w:pPr>
        <w:adjustRightInd w:val="0"/>
        <w:snapToGrid w:val="0"/>
        <w:spacing w:line="360" w:lineRule="auto"/>
        <w:ind w:firstLine="3373" w:firstLineChars="1200"/>
        <w:rPr>
          <w:rFonts w:hint="eastAsia" w:ascii="仿宋" w:hAnsi="仿宋" w:eastAsia="仿宋" w:cs="仿宋"/>
          <w:b/>
          <w:color w:val="000000" w:themeColor="text1"/>
          <w:sz w:val="28"/>
          <w14:textFill>
            <w14:solidFill>
              <w14:schemeClr w14:val="tx1"/>
            </w14:solidFill>
          </w14:textFill>
        </w:rPr>
      </w:pPr>
      <w:r>
        <w:rPr>
          <w:rFonts w:hint="eastAsia" w:ascii="仿宋" w:hAnsi="仿宋" w:eastAsia="仿宋" w:cs="仿宋"/>
          <w:b/>
          <w:color w:val="000000" w:themeColor="text1"/>
          <w:sz w:val="28"/>
          <w14:textFill>
            <w14:solidFill>
              <w14:schemeClr w14:val="tx1"/>
            </w14:solidFill>
          </w14:textFill>
        </w:rPr>
        <w:t>资产评估结果汇总表</w:t>
      </w:r>
    </w:p>
    <w:p>
      <w:pPr>
        <w:adjustRightInd w:val="0"/>
        <w:snapToGrid w:val="0"/>
        <w:spacing w:line="360" w:lineRule="auto"/>
        <w:jc w:val="center"/>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评估基准日：2019年10月31日</w:t>
      </w:r>
    </w:p>
    <w:p>
      <w:pPr>
        <w:adjustRightInd w:val="0"/>
        <w:snapToGrid w:val="0"/>
        <w:spacing w:line="360" w:lineRule="auto"/>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单位：人民币</w:t>
      </w:r>
    </w:p>
    <w:tbl>
      <w:tblPr>
        <w:tblStyle w:val="27"/>
        <w:tblW w:w="10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159"/>
        <w:gridCol w:w="1337"/>
        <w:gridCol w:w="900"/>
        <w:gridCol w:w="615"/>
        <w:gridCol w:w="701"/>
        <w:gridCol w:w="604"/>
        <w:gridCol w:w="690"/>
        <w:gridCol w:w="1230"/>
        <w:gridCol w:w="1126"/>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38"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房屋产权人</w:t>
            </w:r>
          </w:p>
        </w:tc>
        <w:tc>
          <w:tcPr>
            <w:tcW w:w="1159"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房产编号</w:t>
            </w:r>
          </w:p>
        </w:tc>
        <w:tc>
          <w:tcPr>
            <w:tcW w:w="1337"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房屋坐落</w:t>
            </w:r>
          </w:p>
        </w:tc>
        <w:tc>
          <w:tcPr>
            <w:tcW w:w="900"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房屋</w:t>
            </w:r>
          </w:p>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结构</w:t>
            </w:r>
          </w:p>
        </w:tc>
        <w:tc>
          <w:tcPr>
            <w:tcW w:w="615"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所在</w:t>
            </w:r>
          </w:p>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层数</w:t>
            </w:r>
          </w:p>
        </w:tc>
        <w:tc>
          <w:tcPr>
            <w:tcW w:w="701"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设计用途</w:t>
            </w:r>
          </w:p>
        </w:tc>
        <w:tc>
          <w:tcPr>
            <w:tcW w:w="604"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实际用途</w:t>
            </w:r>
          </w:p>
        </w:tc>
        <w:tc>
          <w:tcPr>
            <w:tcW w:w="690"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建成年代</w:t>
            </w:r>
          </w:p>
        </w:tc>
        <w:tc>
          <w:tcPr>
            <w:tcW w:w="1230"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建筑面积（㎡）</w:t>
            </w:r>
          </w:p>
        </w:tc>
        <w:tc>
          <w:tcPr>
            <w:tcW w:w="1126"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单价</w:t>
            </w:r>
          </w:p>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（元/㎡）</w:t>
            </w:r>
          </w:p>
        </w:tc>
        <w:tc>
          <w:tcPr>
            <w:tcW w:w="1034"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总价</w:t>
            </w:r>
          </w:p>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38" w:type="dxa"/>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新平九州商贸有限公司</w:t>
            </w:r>
          </w:p>
        </w:tc>
        <w:tc>
          <w:tcPr>
            <w:tcW w:w="1159" w:type="dxa"/>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20100476</w:t>
            </w:r>
          </w:p>
        </w:tc>
        <w:tc>
          <w:tcPr>
            <w:tcW w:w="1337" w:type="dxa"/>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新平县</w:t>
            </w:r>
            <w:r>
              <w:rPr>
                <w:rFonts w:hint="eastAsia" w:ascii="仿宋" w:hAnsi="仿宋" w:eastAsia="仿宋" w:cs="仿宋"/>
                <w:color w:val="000000" w:themeColor="text1"/>
                <w:sz w:val="18"/>
                <w:szCs w:val="18"/>
                <w:lang w:val="en-US" w:eastAsia="zh-CN"/>
                <w14:textFill>
                  <w14:solidFill>
                    <w14:schemeClr w14:val="tx1"/>
                  </w14:solidFill>
                </w14:textFill>
              </w:rPr>
              <w:t>戛洒</w:t>
            </w:r>
            <w:r>
              <w:rPr>
                <w:rFonts w:hint="eastAsia" w:ascii="仿宋" w:hAnsi="仿宋" w:eastAsia="仿宋" w:cs="仿宋"/>
                <w:color w:val="000000"/>
                <w:sz w:val="18"/>
                <w:szCs w:val="18"/>
              </w:rPr>
              <w:t>镇聚宝路</w:t>
            </w:r>
          </w:p>
        </w:tc>
        <w:tc>
          <w:tcPr>
            <w:tcW w:w="900" w:type="dxa"/>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钢筋混凝土结构</w:t>
            </w:r>
          </w:p>
        </w:tc>
        <w:tc>
          <w:tcPr>
            <w:tcW w:w="615" w:type="dxa"/>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负1-11</w:t>
            </w:r>
          </w:p>
        </w:tc>
        <w:tc>
          <w:tcPr>
            <w:tcW w:w="701" w:type="dxa"/>
            <w:vAlign w:val="center"/>
          </w:tcPr>
          <w:p>
            <w:pPr>
              <w:jc w:val="both"/>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住宅、综合</w:t>
            </w:r>
          </w:p>
        </w:tc>
        <w:tc>
          <w:tcPr>
            <w:tcW w:w="604" w:type="dxa"/>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酒店</w:t>
            </w:r>
          </w:p>
        </w:tc>
        <w:tc>
          <w:tcPr>
            <w:tcW w:w="690" w:type="dxa"/>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2012</w:t>
            </w:r>
          </w:p>
        </w:tc>
        <w:tc>
          <w:tcPr>
            <w:tcW w:w="1230" w:type="dxa"/>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11478.98</w:t>
            </w:r>
          </w:p>
        </w:tc>
        <w:tc>
          <w:tcPr>
            <w:tcW w:w="1126" w:type="dxa"/>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6750.00</w:t>
            </w:r>
          </w:p>
        </w:tc>
        <w:tc>
          <w:tcPr>
            <w:tcW w:w="1034" w:type="dxa"/>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b w:val="0"/>
                <w:bCs/>
                <w:sz w:val="18"/>
                <w:szCs w:val="18"/>
              </w:rPr>
              <w:t>7,748.3</w:t>
            </w:r>
            <w:r>
              <w:rPr>
                <w:rFonts w:hint="eastAsia" w:ascii="仿宋" w:hAnsi="仿宋" w:eastAsia="仿宋" w:cs="仿宋"/>
                <w:b w:val="0"/>
                <w:bCs/>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44" w:type="dxa"/>
            <w:gridSpan w:val="8"/>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合计</w:t>
            </w:r>
          </w:p>
        </w:tc>
        <w:tc>
          <w:tcPr>
            <w:tcW w:w="1230"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11478.98</w:t>
            </w:r>
          </w:p>
        </w:tc>
        <w:tc>
          <w:tcPr>
            <w:tcW w:w="1126" w:type="dxa"/>
            <w:vAlign w:val="center"/>
          </w:tcPr>
          <w:p>
            <w:pPr>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w:t>
            </w:r>
          </w:p>
        </w:tc>
        <w:tc>
          <w:tcPr>
            <w:tcW w:w="1034" w:type="dxa"/>
            <w:vAlign w:val="center"/>
          </w:tcPr>
          <w:p>
            <w:pPr>
              <w:jc w:val="center"/>
              <w:rPr>
                <w:rFonts w:hint="eastAsia" w:ascii="仿宋" w:hAnsi="仿宋" w:eastAsia="仿宋" w:cs="仿宋"/>
                <w:b/>
                <w:bCs/>
                <w:color w:val="000000"/>
                <w:sz w:val="18"/>
                <w:szCs w:val="18"/>
                <w:lang w:val="en-US" w:eastAsia="zh-CN"/>
              </w:rPr>
            </w:pPr>
            <w:r>
              <w:rPr>
                <w:rFonts w:hint="eastAsia" w:ascii="仿宋" w:hAnsi="仿宋" w:eastAsia="仿宋" w:cs="仿宋"/>
                <w:b/>
                <w:bCs w:val="0"/>
                <w:sz w:val="18"/>
                <w:szCs w:val="18"/>
              </w:rPr>
              <w:t>7,748.3</w:t>
            </w:r>
            <w:r>
              <w:rPr>
                <w:rFonts w:hint="eastAsia" w:ascii="仿宋" w:hAnsi="仿宋" w:eastAsia="仿宋" w:cs="仿宋"/>
                <w:b/>
                <w:bCs w:val="0"/>
                <w:sz w:val="18"/>
                <w:szCs w:val="18"/>
                <w:lang w:val="en-US" w:eastAsia="zh-CN"/>
              </w:rPr>
              <w:t>1</w:t>
            </w:r>
          </w:p>
        </w:tc>
      </w:tr>
    </w:tbl>
    <w:p>
      <w:pPr>
        <w:pStyle w:val="3"/>
        <w:tabs>
          <w:tab w:val="left" w:pos="851"/>
        </w:tabs>
        <w:ind w:left="567" w:hanging="567"/>
        <w:rPr>
          <w:rFonts w:hint="eastAsia" w:ascii="仿宋" w:hAnsi="仿宋" w:eastAsia="仿宋" w:cs="仿宋"/>
          <w:color w:val="000000" w:themeColor="text1"/>
          <w:sz w:val="28"/>
          <w:szCs w:val="28"/>
          <w14:textFill>
            <w14:solidFill>
              <w14:schemeClr w14:val="tx1"/>
            </w14:solidFill>
          </w14:textFill>
        </w:rPr>
      </w:pPr>
      <w:bookmarkStart w:id="11" w:name="_Toc30725"/>
      <w:r>
        <w:rPr>
          <w:rFonts w:hint="eastAsia" w:ascii="仿宋" w:hAnsi="仿宋" w:eastAsia="仿宋" w:cs="仿宋"/>
          <w:color w:val="000000" w:themeColor="text1"/>
          <w:sz w:val="28"/>
          <w:szCs w:val="28"/>
          <w14:textFill>
            <w14:solidFill>
              <w14:schemeClr w14:val="tx1"/>
            </w14:solidFill>
          </w14:textFill>
        </w:rPr>
        <w:t>特别事项说明</w:t>
      </w:r>
      <w:bookmarkEnd w:id="11"/>
    </w:p>
    <w:p>
      <w:pPr>
        <w:pStyle w:val="18"/>
        <w:ind w:firstLine="560" w:firstLineChars="20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本评估报告中陈述的特别事项是指在已确定评估结论的前提下，评估人员已发现的可能影响评估结论，但非评估人员执业水平和能力所能评定的有关事项。</w:t>
      </w:r>
    </w:p>
    <w:p>
      <w:pPr>
        <w:pStyle w:val="18"/>
        <w:numPr>
          <w:ilvl w:val="0"/>
          <w:numId w:val="10"/>
        </w:numPr>
        <w:ind w:firstLine="560" w:firstLineChars="20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评估人员未发现评估基准日后影响评估结论的重大事项。在评估基准日后，且评估结论的使用有效期内，如纳入评估范围的资产数量、状态及作价标准发生变化，并对本评估报告资产评估结论产生明显影响时，委托人应及时聘请资产评估机构重新评估。</w:t>
      </w:r>
    </w:p>
    <w:p>
      <w:pPr>
        <w:pStyle w:val="3"/>
        <w:tabs>
          <w:tab w:val="left" w:pos="851"/>
          <w:tab w:val="left" w:pos="1134"/>
        </w:tabs>
        <w:ind w:left="567" w:hanging="567"/>
        <w:rPr>
          <w:rFonts w:hint="eastAsia" w:ascii="仿宋" w:hAnsi="仿宋" w:eastAsia="仿宋" w:cs="仿宋"/>
          <w:color w:val="000000" w:themeColor="text1"/>
          <w:sz w:val="28"/>
          <w:szCs w:val="28"/>
          <w14:textFill>
            <w14:solidFill>
              <w14:schemeClr w14:val="tx1"/>
            </w14:solidFill>
          </w14:textFill>
        </w:rPr>
      </w:pPr>
      <w:bookmarkStart w:id="12" w:name="_Toc591"/>
      <w:r>
        <w:rPr>
          <w:rFonts w:hint="eastAsia" w:ascii="仿宋" w:hAnsi="仿宋" w:eastAsia="仿宋" w:cs="仿宋"/>
          <w:color w:val="000000" w:themeColor="text1"/>
          <w:sz w:val="28"/>
          <w:szCs w:val="28"/>
          <w14:textFill>
            <w14:solidFill>
              <w14:schemeClr w14:val="tx1"/>
            </w14:solidFill>
          </w14:textFill>
        </w:rPr>
        <w:t>评估报告使用限制说明</w:t>
      </w:r>
      <w:bookmarkEnd w:id="12"/>
    </w:p>
    <w:p>
      <w:pPr>
        <w:pStyle w:val="18"/>
        <w:numPr>
          <w:ilvl w:val="0"/>
          <w:numId w:val="11"/>
        </w:numPr>
        <w:tabs>
          <w:tab w:val="left" w:pos="993"/>
        </w:tabs>
        <w:ind w:left="0" w:firstLine="560" w:firstLineChars="200"/>
        <w:jc w:val="left"/>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本评估报告只能用于评估报告载明的评估目的和用途。</w:t>
      </w:r>
    </w:p>
    <w:p>
      <w:pPr>
        <w:pStyle w:val="18"/>
        <w:numPr>
          <w:ilvl w:val="0"/>
          <w:numId w:val="11"/>
        </w:numPr>
        <w:tabs>
          <w:tab w:val="left" w:pos="993"/>
        </w:tabs>
        <w:ind w:left="0" w:firstLine="560" w:firstLineChars="200"/>
        <w:jc w:val="left"/>
        <w:rPr>
          <w:rFonts w:hint="eastAsia" w:ascii="仿宋" w:hAnsi="仿宋" w:eastAsia="仿宋" w:cs="仿宋"/>
          <w:b/>
          <w:color w:val="000000" w:themeColor="text1"/>
          <w:kern w:val="0"/>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本评估报告只能由本评估报告载明的评估报告使用人使用。除委托人、资产评估委托合同中约定的其他资产评估报告使用人和法律、行政法规规定的资产评估报告使用人之外，其他任何机构和个人不能成为资产评</w:t>
      </w:r>
      <w:r>
        <w:rPr>
          <w:rFonts w:hint="eastAsia" w:ascii="仿宋" w:hAnsi="仿宋" w:eastAsia="仿宋" w:cs="仿宋"/>
          <w:bCs/>
          <w:color w:val="000000" w:themeColor="text1"/>
          <w:kern w:val="0"/>
          <w:szCs w:val="28"/>
          <w14:textFill>
            <w14:solidFill>
              <w14:schemeClr w14:val="tx1"/>
            </w14:solidFill>
          </w14:textFill>
        </w:rPr>
        <w:t>估报告的使用人。</w:t>
      </w:r>
    </w:p>
    <w:p>
      <w:pPr>
        <w:pStyle w:val="18"/>
        <w:numPr>
          <w:ilvl w:val="0"/>
          <w:numId w:val="11"/>
        </w:numPr>
        <w:tabs>
          <w:tab w:val="left" w:pos="993"/>
        </w:tabs>
        <w:ind w:left="0" w:firstLine="560" w:firstLineChars="200"/>
        <w:jc w:val="left"/>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本评估报告的全部或部分内容被摘抄、引用或者披露于公开媒体，需经本评估机构审阅相关内容，法律、行政法规规定以及相关当事人另有约定的除外。</w:t>
      </w:r>
    </w:p>
    <w:p>
      <w:pPr>
        <w:pStyle w:val="18"/>
        <w:numPr>
          <w:ilvl w:val="0"/>
          <w:numId w:val="11"/>
        </w:numPr>
        <w:tabs>
          <w:tab w:val="left" w:pos="993"/>
        </w:tabs>
        <w:ind w:left="0" w:firstLine="560" w:firstLineChars="200"/>
        <w:jc w:val="left"/>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评估结论的使用有效期自评估基准日起一年，即超过2020年10月30日使用本评估报告的评估结论无效。</w:t>
      </w:r>
    </w:p>
    <w:p>
      <w:pPr>
        <w:pStyle w:val="18"/>
        <w:numPr>
          <w:ilvl w:val="0"/>
          <w:numId w:val="11"/>
        </w:numPr>
        <w:tabs>
          <w:tab w:val="left" w:pos="993"/>
        </w:tabs>
        <w:ind w:left="0" w:firstLine="560" w:firstLineChars="200"/>
        <w:jc w:val="left"/>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本评估报告必须完整使用方为有效，对仅使用报告中部分内容所导致的可能的损失，本资产评估机构不承担责任。</w:t>
      </w:r>
    </w:p>
    <w:p>
      <w:pPr>
        <w:pStyle w:val="3"/>
        <w:tabs>
          <w:tab w:val="left" w:pos="851"/>
          <w:tab w:val="left" w:pos="1134"/>
        </w:tabs>
        <w:ind w:left="567" w:hanging="567"/>
        <w:rPr>
          <w:rFonts w:hint="eastAsia" w:ascii="仿宋" w:hAnsi="仿宋" w:eastAsia="仿宋" w:cs="仿宋"/>
          <w:color w:val="000000" w:themeColor="text1"/>
          <w:sz w:val="28"/>
          <w:szCs w:val="28"/>
          <w14:textFill>
            <w14:solidFill>
              <w14:schemeClr w14:val="tx1"/>
            </w14:solidFill>
          </w14:textFill>
        </w:rPr>
      </w:pPr>
      <w:bookmarkStart w:id="13" w:name="_Toc12621"/>
      <w:r>
        <w:rPr>
          <w:rFonts w:hint="eastAsia" w:ascii="仿宋" w:hAnsi="仿宋" w:eastAsia="仿宋" w:cs="仿宋"/>
          <w:color w:val="000000" w:themeColor="text1"/>
          <w:sz w:val="28"/>
          <w:szCs w:val="28"/>
          <w14:textFill>
            <w14:solidFill>
              <w14:schemeClr w14:val="tx1"/>
            </w14:solidFill>
          </w14:textFill>
        </w:rPr>
        <w:t>评估报告日</w:t>
      </w:r>
      <w:bookmarkEnd w:id="13"/>
    </w:p>
    <w:p>
      <w:pPr>
        <w:tabs>
          <w:tab w:val="left" w:pos="4140"/>
        </w:tabs>
        <w:spacing w:before="120" w:after="120" w:line="312" w:lineRule="auto"/>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本评估报告的资产评估报告日：2019年11月13日</w:t>
      </w:r>
    </w:p>
    <w:p>
      <w:pPr>
        <w:tabs>
          <w:tab w:val="left" w:pos="4140"/>
        </w:tabs>
        <w:spacing w:before="120" w:after="120" w:line="312" w:lineRule="auto"/>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云南银瑞祥房地产土地资产评估有限公司</w:t>
      </w:r>
    </w:p>
    <w:p>
      <w:pPr>
        <w:tabs>
          <w:tab w:val="left" w:pos="4140"/>
        </w:tabs>
        <w:spacing w:line="312" w:lineRule="auto"/>
        <w:ind w:firstLine="4200" w:firstLineChars="15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资产评估师：</w:t>
      </w:r>
    </w:p>
    <w:p>
      <w:pPr>
        <w:tabs>
          <w:tab w:val="left" w:pos="4140"/>
        </w:tabs>
        <w:spacing w:line="312" w:lineRule="auto"/>
        <w:ind w:left="359" w:leftChars="171"/>
        <w:rPr>
          <w:rFonts w:hint="eastAsia" w:ascii="仿宋" w:hAnsi="仿宋" w:eastAsia="仿宋" w:cs="仿宋"/>
          <w:color w:val="000000" w:themeColor="text1"/>
          <w:sz w:val="28"/>
          <w14:textFill>
            <w14:solidFill>
              <w14:schemeClr w14:val="tx1"/>
            </w14:solidFill>
          </w14:textFill>
        </w:rPr>
      </w:pPr>
    </w:p>
    <w:p>
      <w:pPr>
        <w:tabs>
          <w:tab w:val="left" w:pos="4140"/>
        </w:tabs>
        <w:spacing w:line="312" w:lineRule="auto"/>
        <w:ind w:left="359" w:leftChars="171"/>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2019年11月13日</w:t>
      </w:r>
    </w:p>
    <w:p>
      <w:pPr>
        <w:tabs>
          <w:tab w:val="left" w:pos="4140"/>
        </w:tabs>
        <w:spacing w:line="312" w:lineRule="auto"/>
        <w:ind w:left="359" w:leftChars="171"/>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ab/>
      </w:r>
      <w:r>
        <w:rPr>
          <w:rFonts w:hint="eastAsia" w:ascii="仿宋" w:hAnsi="仿宋" w:eastAsia="仿宋" w:cs="仿宋"/>
          <w:color w:val="000000" w:themeColor="text1"/>
          <w:sz w:val="28"/>
          <w14:textFill>
            <w14:solidFill>
              <w14:schemeClr w14:val="tx1"/>
            </w14:solidFill>
          </w14:textFill>
        </w:rPr>
        <w:t>资产评估师：</w:t>
      </w:r>
    </w:p>
    <w:p>
      <w:pPr>
        <w:pStyle w:val="2"/>
        <w:spacing w:before="240" w:beforeLines="100" w:after="0" w:line="360" w:lineRule="auto"/>
        <w:ind w:firstLine="2650" w:firstLineChars="600"/>
        <w:rPr>
          <w:rFonts w:hint="eastAsia" w:ascii="仿宋" w:hAnsi="仿宋" w:eastAsia="仿宋" w:cs="仿宋"/>
          <w:color w:val="000000" w:themeColor="text1"/>
          <w:sz w:val="44"/>
          <w:szCs w:val="44"/>
          <w14:textFill>
            <w14:solidFill>
              <w14:schemeClr w14:val="tx1"/>
            </w14:solidFill>
          </w14:textFill>
        </w:rPr>
      </w:pPr>
      <w:bookmarkStart w:id="14" w:name="_Toc939"/>
      <w:r>
        <w:rPr>
          <w:rFonts w:hint="eastAsia" w:ascii="仿宋" w:hAnsi="仿宋" w:eastAsia="仿宋" w:cs="仿宋"/>
          <w:color w:val="000000" w:themeColor="text1"/>
          <w:sz w:val="44"/>
          <w:szCs w:val="44"/>
          <w14:textFill>
            <w14:solidFill>
              <w14:schemeClr w14:val="tx1"/>
            </w14:solidFill>
          </w14:textFill>
        </w:rPr>
        <w:t>资产评估报告书附件</w:t>
      </w:r>
      <w:bookmarkEnd w:id="14"/>
    </w:p>
    <w:p>
      <w:pPr>
        <w:numPr>
          <w:ilvl w:val="0"/>
          <w:numId w:val="12"/>
        </w:numPr>
        <w:tabs>
          <w:tab w:val="left" w:pos="1701"/>
        </w:tabs>
        <w:snapToGrid w:val="0"/>
        <w:spacing w:line="360" w:lineRule="auto"/>
        <w:ind w:left="2" w:firstLine="565" w:firstLineChars="202"/>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资产评估结果汇总表和明细表；</w:t>
      </w:r>
    </w:p>
    <w:p>
      <w:pPr>
        <w:numPr>
          <w:ilvl w:val="0"/>
          <w:numId w:val="12"/>
        </w:numPr>
        <w:tabs>
          <w:tab w:val="left" w:pos="1701"/>
        </w:tabs>
        <w:snapToGrid w:val="0"/>
        <w:spacing w:line="360" w:lineRule="auto"/>
        <w:ind w:left="2" w:firstLine="565" w:firstLineChars="202"/>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委托人提供的《玉溪市中级人民法院委托书》（2019）云04评158号复印件；</w:t>
      </w:r>
    </w:p>
    <w:p>
      <w:pPr>
        <w:numPr>
          <w:ilvl w:val="0"/>
          <w:numId w:val="12"/>
        </w:numPr>
        <w:tabs>
          <w:tab w:val="left" w:pos="1701"/>
        </w:tabs>
        <w:snapToGrid w:val="0"/>
        <w:spacing w:line="360" w:lineRule="auto"/>
        <w:ind w:left="2" w:firstLine="565" w:firstLineChars="202"/>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评估对象涉及的主要权属证明资料；</w:t>
      </w:r>
    </w:p>
    <w:p>
      <w:pPr>
        <w:numPr>
          <w:ilvl w:val="0"/>
          <w:numId w:val="12"/>
        </w:numPr>
        <w:tabs>
          <w:tab w:val="left" w:pos="1701"/>
        </w:tabs>
        <w:snapToGrid w:val="0"/>
        <w:spacing w:line="360" w:lineRule="auto"/>
        <w:ind w:left="2" w:firstLine="565" w:firstLineChars="202"/>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签名资产评估师承诺函；</w:t>
      </w:r>
    </w:p>
    <w:p>
      <w:pPr>
        <w:numPr>
          <w:ilvl w:val="0"/>
          <w:numId w:val="12"/>
        </w:numPr>
        <w:tabs>
          <w:tab w:val="left" w:pos="1701"/>
        </w:tabs>
        <w:snapToGrid w:val="0"/>
        <w:spacing w:line="360" w:lineRule="auto"/>
        <w:ind w:left="2" w:firstLine="565" w:firstLineChars="202"/>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云南银瑞祥房地产土地资产评估有限公司营业执照复印件；</w:t>
      </w:r>
    </w:p>
    <w:p>
      <w:pPr>
        <w:numPr>
          <w:ilvl w:val="0"/>
          <w:numId w:val="12"/>
        </w:numPr>
        <w:tabs>
          <w:tab w:val="left" w:pos="1985"/>
        </w:tabs>
        <w:snapToGrid w:val="0"/>
        <w:spacing w:line="360" w:lineRule="auto"/>
        <w:ind w:left="2" w:firstLine="565" w:firstLineChars="202"/>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云南银瑞祥房地产土地资产评估有限公司资产评估资格证书复印件；</w:t>
      </w:r>
    </w:p>
    <w:p>
      <w:pPr>
        <w:numPr>
          <w:ilvl w:val="0"/>
          <w:numId w:val="12"/>
        </w:numPr>
        <w:tabs>
          <w:tab w:val="left" w:pos="1985"/>
        </w:tabs>
        <w:snapToGrid w:val="0"/>
        <w:spacing w:line="360" w:lineRule="auto"/>
        <w:ind w:left="2" w:firstLine="565" w:firstLineChars="202"/>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签名资产评估师执业资格证书登记卡复印件；</w:t>
      </w:r>
    </w:p>
    <w:p>
      <w:pPr>
        <w:tabs>
          <w:tab w:val="left" w:pos="1985"/>
        </w:tabs>
        <w:snapToGrid w:val="0"/>
        <w:spacing w:line="360" w:lineRule="auto"/>
        <w:ind w:left="424" w:leftChars="202"/>
        <w:rPr>
          <w:rFonts w:hint="eastAsia" w:ascii="仿宋" w:hAnsi="仿宋" w:eastAsia="仿宋" w:cs="仿宋"/>
          <w:color w:val="000000" w:themeColor="text1"/>
          <w:sz w:val="28"/>
          <w14:textFill>
            <w14:solidFill>
              <w14:schemeClr w14:val="tx1"/>
            </w14:solidFill>
          </w14:textFill>
        </w:rPr>
      </w:pPr>
    </w:p>
    <w:p>
      <w:pPr>
        <w:tabs>
          <w:tab w:val="left" w:pos="1985"/>
        </w:tabs>
        <w:snapToGrid w:val="0"/>
        <w:spacing w:line="360" w:lineRule="auto"/>
        <w:ind w:left="424" w:leftChars="202"/>
        <w:rPr>
          <w:rFonts w:hint="eastAsia" w:ascii="仿宋" w:hAnsi="仿宋" w:eastAsia="仿宋" w:cs="仿宋"/>
          <w:color w:val="000000" w:themeColor="text1"/>
          <w:sz w:val="28"/>
          <w14:textFill>
            <w14:solidFill>
              <w14:schemeClr w14:val="tx1"/>
            </w14:solidFill>
          </w14:textFill>
        </w:rPr>
      </w:pPr>
    </w:p>
    <w:sectPr>
      <w:headerReference r:id="rId3" w:type="default"/>
      <w:footerReference r:id="rId4" w:type="default"/>
      <w:pgSz w:w="11907" w:h="16839"/>
      <w:pgMar w:top="1440" w:right="1361" w:bottom="1440" w:left="1469" w:header="624" w:footer="302" w:gutter="0"/>
      <w:pgNumType w:start="1"/>
      <w:cols w:space="425"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昆仑楷体">
    <w:altName w:val="新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隶书">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thinThickSmallGap" w:color="auto" w:sz="24" w:space="1"/>
      </w:pBdr>
      <w:tabs>
        <w:tab w:val="left" w:pos="1800"/>
      </w:tabs>
      <w:spacing w:line="240" w:lineRule="auto"/>
      <w:rPr>
        <w:rFonts w:ascii="仿宋_GB2312" w:eastAsia="仿宋_GB2312"/>
        <w:b/>
        <w:spacing w:val="-6"/>
        <w:sz w:val="22"/>
      </w:rPr>
    </w:pPr>
    <w:r>
      <w:rPr>
        <w:rFonts w:hint="eastAsia" w:ascii="仿宋_GB2312" w:eastAsia="仿宋_GB2312"/>
        <w:b/>
        <w:spacing w:val="-6"/>
        <w:sz w:val="22"/>
      </w:rPr>
      <w:t xml:space="preserve">通信地址:昆明市盘龙区北京路金江小区涵苑B16幢301号                        </w:t>
    </w:r>
    <w:r>
      <w:rPr>
        <w:rFonts w:ascii="仿宋_GB2312" w:eastAsia="仿宋_GB2312"/>
        <w:b/>
        <w:spacing w:val="-6"/>
        <w:sz w:val="22"/>
      </w:rPr>
      <w:fldChar w:fldCharType="begin"/>
    </w:r>
    <w:r>
      <w:rPr>
        <w:rFonts w:ascii="仿宋_GB2312" w:eastAsia="仿宋_GB2312"/>
        <w:b/>
        <w:spacing w:val="-6"/>
        <w:sz w:val="22"/>
      </w:rPr>
      <w:instrText xml:space="preserve"> PAGE   \* MERGEFORMAT </w:instrText>
    </w:r>
    <w:r>
      <w:rPr>
        <w:rFonts w:ascii="仿宋_GB2312" w:eastAsia="仿宋_GB2312"/>
        <w:b/>
        <w:spacing w:val="-6"/>
        <w:sz w:val="22"/>
      </w:rPr>
      <w:fldChar w:fldCharType="separate"/>
    </w:r>
    <w:r>
      <w:rPr>
        <w:rFonts w:ascii="仿宋_GB2312" w:eastAsia="仿宋_GB2312"/>
        <w:b/>
        <w:spacing w:val="-6"/>
        <w:sz w:val="22"/>
        <w:lang w:val="zh-CN"/>
      </w:rPr>
      <w:t>11</w:t>
    </w:r>
    <w:r>
      <w:rPr>
        <w:rFonts w:ascii="仿宋_GB2312" w:eastAsia="仿宋_GB2312"/>
        <w:b/>
        <w:spacing w:val="-6"/>
        <w:sz w:val="22"/>
      </w:rPr>
      <w:fldChar w:fldCharType="end"/>
    </w:r>
  </w:p>
  <w:p>
    <w:pPr>
      <w:pStyle w:val="20"/>
      <w:tabs>
        <w:tab w:val="left" w:pos="1800"/>
      </w:tabs>
      <w:spacing w:after="240" w:afterLines="100" w:line="360" w:lineRule="auto"/>
      <w:ind w:right="6"/>
      <w:rPr>
        <w:rFonts w:ascii="仿宋_GB2312" w:eastAsia="仿宋_GB2312"/>
      </w:rPr>
    </w:pPr>
    <w:r>
      <w:rPr>
        <w:rFonts w:hint="eastAsia" w:ascii="仿宋_GB2312" w:eastAsia="仿宋_GB2312"/>
        <w:b/>
        <w:sz w:val="22"/>
      </w:rPr>
      <w:t>邮政编码:650021         电话:(0871)65131379        传真:(0871)65175726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thinThickSmallGap" w:color="auto" w:sz="24" w:space="1"/>
      </w:pBdr>
      <w:tabs>
        <w:tab w:val="left" w:pos="720"/>
        <w:tab w:val="left" w:pos="900"/>
        <w:tab w:val="left" w:pos="1800"/>
        <w:tab w:val="left" w:pos="7797"/>
        <w:tab w:val="right" w:pos="8505"/>
        <w:tab w:val="clear" w:pos="8640"/>
      </w:tabs>
      <w:spacing w:before="240" w:beforeLines="100" w:line="160" w:lineRule="atLeast"/>
      <w:jc w:val="both"/>
      <w:rPr>
        <w:rFonts w:hint="default" w:eastAsia="隶书"/>
        <w:szCs w:val="18"/>
        <w:lang w:val="en-US" w:eastAsia="zh-CN"/>
      </w:rPr>
    </w:pPr>
    <w:r>
      <w:rPr>
        <w:b/>
      </w:rPr>
      <w:drawing>
        <wp:inline distT="0" distB="0" distL="0" distR="0">
          <wp:extent cx="438150" cy="457200"/>
          <wp:effectExtent l="0" t="0" r="0" b="0"/>
          <wp:docPr id="7" name="图片 1"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132"/>
                  <pic:cNvPicPr>
                    <a:picLocks noChangeAspect="1" noChangeArrowheads="1"/>
                  </pic:cNvPicPr>
                </pic:nvPicPr>
                <pic:blipFill>
                  <a:blip r:embed="rId1"/>
                  <a:srcRect/>
                  <a:stretch>
                    <a:fillRect/>
                  </a:stretch>
                </pic:blipFill>
                <pic:spPr>
                  <a:xfrm>
                    <a:off x="0" y="0"/>
                    <a:ext cx="438150" cy="457200"/>
                  </a:xfrm>
                  <a:prstGeom prst="rect">
                    <a:avLst/>
                  </a:prstGeom>
                  <a:noFill/>
                  <a:ln w="9525">
                    <a:noFill/>
                    <a:miter lim="800000"/>
                    <a:headEnd/>
                    <a:tailEnd/>
                  </a:ln>
                </pic:spPr>
              </pic:pic>
            </a:graphicData>
          </a:graphic>
        </wp:inline>
      </w:drawing>
    </w:r>
    <w:r>
      <w:rPr>
        <w:rFonts w:hint="eastAsia" w:ascii="隶书" w:eastAsia="隶书"/>
        <w:sz w:val="21"/>
        <w:szCs w:val="21"/>
      </w:rPr>
      <w:t xml:space="preserve">云南银瑞祥房地产土地资产评估有限公司         </w:t>
    </w:r>
    <w:r>
      <w:rPr>
        <w:rFonts w:ascii="隶书" w:eastAsia="隶书"/>
        <w:sz w:val="21"/>
        <w:szCs w:val="21"/>
      </w:rPr>
      <w:t xml:space="preserve">     </w:t>
    </w:r>
    <w:r>
      <w:rPr>
        <w:rFonts w:hint="eastAsia" w:ascii="隶书" w:eastAsia="隶书"/>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2FA"/>
    <w:multiLevelType w:val="multilevel"/>
    <w:tmpl w:val="076012FA"/>
    <w:lvl w:ilvl="0" w:tentative="0">
      <w:start w:val="1"/>
      <w:numFmt w:val="japaneseCounting"/>
      <w:lvlText w:val="（%1）"/>
      <w:lvlJc w:val="left"/>
      <w:pPr>
        <w:ind w:left="1424" w:hanging="885"/>
      </w:pPr>
      <w:rPr>
        <w:rFonts w:hint="default"/>
      </w:rPr>
    </w:lvl>
    <w:lvl w:ilvl="1" w:tentative="0">
      <w:start w:val="1"/>
      <w:numFmt w:val="lowerLetter"/>
      <w:lvlText w:val="%2)"/>
      <w:lvlJc w:val="left"/>
      <w:pPr>
        <w:ind w:left="1379" w:hanging="420"/>
      </w:pPr>
    </w:lvl>
    <w:lvl w:ilvl="2" w:tentative="0">
      <w:start w:val="1"/>
      <w:numFmt w:val="lowerRoman"/>
      <w:lvlText w:val="%3."/>
      <w:lvlJc w:val="right"/>
      <w:pPr>
        <w:ind w:left="1799" w:hanging="420"/>
      </w:pPr>
    </w:lvl>
    <w:lvl w:ilvl="3" w:tentative="0">
      <w:start w:val="1"/>
      <w:numFmt w:val="decimal"/>
      <w:lvlText w:val="%4."/>
      <w:lvlJc w:val="left"/>
      <w:pPr>
        <w:ind w:left="2219" w:hanging="420"/>
      </w:pPr>
    </w:lvl>
    <w:lvl w:ilvl="4" w:tentative="0">
      <w:start w:val="1"/>
      <w:numFmt w:val="lowerLetter"/>
      <w:lvlText w:val="%5)"/>
      <w:lvlJc w:val="left"/>
      <w:pPr>
        <w:ind w:left="2639" w:hanging="420"/>
      </w:pPr>
    </w:lvl>
    <w:lvl w:ilvl="5" w:tentative="0">
      <w:start w:val="1"/>
      <w:numFmt w:val="lowerRoman"/>
      <w:lvlText w:val="%6."/>
      <w:lvlJc w:val="right"/>
      <w:pPr>
        <w:ind w:left="3059" w:hanging="420"/>
      </w:pPr>
    </w:lvl>
    <w:lvl w:ilvl="6" w:tentative="0">
      <w:start w:val="1"/>
      <w:numFmt w:val="decimal"/>
      <w:lvlText w:val="%7."/>
      <w:lvlJc w:val="left"/>
      <w:pPr>
        <w:ind w:left="3479" w:hanging="420"/>
      </w:pPr>
    </w:lvl>
    <w:lvl w:ilvl="7" w:tentative="0">
      <w:start w:val="1"/>
      <w:numFmt w:val="lowerLetter"/>
      <w:lvlText w:val="%8)"/>
      <w:lvlJc w:val="left"/>
      <w:pPr>
        <w:ind w:left="3899" w:hanging="420"/>
      </w:pPr>
    </w:lvl>
    <w:lvl w:ilvl="8" w:tentative="0">
      <w:start w:val="1"/>
      <w:numFmt w:val="lowerRoman"/>
      <w:lvlText w:val="%9."/>
      <w:lvlJc w:val="right"/>
      <w:pPr>
        <w:ind w:left="4319" w:hanging="420"/>
      </w:pPr>
    </w:lvl>
  </w:abstractNum>
  <w:abstractNum w:abstractNumId="1">
    <w:nsid w:val="0F8764FB"/>
    <w:multiLevelType w:val="singleLevel"/>
    <w:tmpl w:val="0F8764FB"/>
    <w:lvl w:ilvl="0" w:tentative="0">
      <w:start w:val="1"/>
      <w:numFmt w:val="japaneseCounting"/>
      <w:lvlText w:val="（%1）"/>
      <w:lvlJc w:val="left"/>
      <w:pPr>
        <w:tabs>
          <w:tab w:val="left" w:pos="1500"/>
        </w:tabs>
        <w:ind w:left="1500" w:hanging="960"/>
      </w:pPr>
      <w:rPr>
        <w:rFonts w:hint="eastAsia"/>
      </w:rPr>
    </w:lvl>
  </w:abstractNum>
  <w:abstractNum w:abstractNumId="2">
    <w:nsid w:val="19C083A1"/>
    <w:multiLevelType w:val="singleLevel"/>
    <w:tmpl w:val="19C083A1"/>
    <w:lvl w:ilvl="0" w:tentative="0">
      <w:start w:val="1"/>
      <w:numFmt w:val="decimal"/>
      <w:suff w:val="nothing"/>
      <w:lvlText w:val="%1、"/>
      <w:lvlJc w:val="left"/>
    </w:lvl>
  </w:abstractNum>
  <w:abstractNum w:abstractNumId="3">
    <w:nsid w:val="1D57426D"/>
    <w:multiLevelType w:val="multilevel"/>
    <w:tmpl w:val="1D57426D"/>
    <w:lvl w:ilvl="0" w:tentative="0">
      <w:start w:val="1"/>
      <w:numFmt w:val="decimal"/>
      <w:lvlText w:val="%1."/>
      <w:lvlJc w:val="left"/>
      <w:pPr>
        <w:tabs>
          <w:tab w:val="left" w:pos="1290"/>
        </w:tabs>
        <w:ind w:left="1290" w:hanging="720"/>
      </w:pPr>
      <w:rPr>
        <w:rFonts w:hint="default"/>
      </w:rPr>
    </w:lvl>
    <w:lvl w:ilvl="1" w:tentative="0">
      <w:start w:val="1"/>
      <w:numFmt w:val="decimal"/>
      <w:lvlText w:val="%2."/>
      <w:lvlJc w:val="left"/>
      <w:pPr>
        <w:ind w:left="1710" w:hanging="720"/>
      </w:pPr>
      <w:rPr>
        <w:rFonts w:hint="eastAsia" w:ascii="仿宋_GB2312" w:eastAsia="仿宋_GB2312"/>
      </w:r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4">
    <w:nsid w:val="1F7636BD"/>
    <w:multiLevelType w:val="multilevel"/>
    <w:tmpl w:val="1F7636BD"/>
    <w:lvl w:ilvl="0" w:tentative="0">
      <w:start w:val="1"/>
      <w:numFmt w:val="none"/>
      <w:lvlText w:val="."/>
      <w:legacy w:legacy="1" w:legacySpace="0" w:legacyIndent="425"/>
      <w:lvlJc w:val="left"/>
      <w:pPr>
        <w:ind w:left="425" w:hanging="425"/>
      </w:pPr>
    </w:lvl>
    <w:lvl w:ilvl="1" w:tentative="0">
      <w:start w:val="1"/>
      <w:numFmt w:val="chineseCountingThousand"/>
      <w:pStyle w:val="3"/>
      <w:lvlText w:val="%2、"/>
      <w:lvlJc w:val="left"/>
      <w:pPr>
        <w:ind w:left="850" w:hanging="425"/>
      </w:pPr>
    </w:lvl>
    <w:lvl w:ilvl="2" w:tentative="0">
      <w:start w:val="1"/>
      <w:numFmt w:val="chineseCountingThousand"/>
      <w:lvlText w:val="（%3）"/>
      <w:lvlJc w:val="left"/>
      <w:pPr>
        <w:ind w:left="1275" w:hanging="425"/>
      </w:pPr>
      <w:rPr>
        <w:rFonts w:hint="eastAsia" w:ascii="仿宋_GB2312" w:eastAsia="仿宋_GB2312"/>
        <w:sz w:val="28"/>
      </w:rPr>
    </w:lvl>
    <w:lvl w:ilvl="3" w:tentative="0">
      <w:start w:val="1"/>
      <w:numFmt w:val="decimal"/>
      <w:pStyle w:val="5"/>
      <w:lvlText w:val="%4."/>
      <w:lvlJc w:val="left"/>
      <w:pPr>
        <w:ind w:left="1700" w:hanging="425"/>
      </w:pPr>
    </w:lvl>
    <w:lvl w:ilvl="4" w:tentative="0">
      <w:start w:val="1"/>
      <w:numFmt w:val="decimal"/>
      <w:pStyle w:val="6"/>
      <w:lvlText w:val="(%5)"/>
      <w:legacy w:legacy="1" w:legacySpace="0" w:legacyIndent="425"/>
      <w:lvlJc w:val="left"/>
      <w:pPr>
        <w:ind w:left="2125" w:hanging="425"/>
      </w:pPr>
    </w:lvl>
    <w:lvl w:ilvl="5" w:tentative="0">
      <w:start w:val="1"/>
      <w:numFmt w:val="lowerLetter"/>
      <w:pStyle w:val="7"/>
      <w:lvlText w:val="(%6)"/>
      <w:legacy w:legacy="1" w:legacySpace="0" w:legacyIndent="425"/>
      <w:lvlJc w:val="left"/>
      <w:pPr>
        <w:ind w:left="2550" w:hanging="425"/>
      </w:pPr>
    </w:lvl>
    <w:lvl w:ilvl="6" w:tentative="0">
      <w:start w:val="1"/>
      <w:numFmt w:val="lowerRoman"/>
      <w:pStyle w:val="8"/>
      <w:lvlText w:val="(%7)"/>
      <w:legacy w:legacy="1" w:legacySpace="0" w:legacyIndent="425"/>
      <w:lvlJc w:val="left"/>
      <w:pPr>
        <w:ind w:left="2975" w:hanging="425"/>
      </w:pPr>
    </w:lvl>
    <w:lvl w:ilvl="7" w:tentative="0">
      <w:start w:val="1"/>
      <w:numFmt w:val="lowerLetter"/>
      <w:pStyle w:val="9"/>
      <w:lvlText w:val="(%8)"/>
      <w:legacy w:legacy="1" w:legacySpace="0" w:legacyIndent="425"/>
      <w:lvlJc w:val="left"/>
      <w:pPr>
        <w:ind w:left="3400" w:hanging="425"/>
      </w:pPr>
    </w:lvl>
    <w:lvl w:ilvl="8" w:tentative="0">
      <w:start w:val="1"/>
      <w:numFmt w:val="lowerRoman"/>
      <w:pStyle w:val="10"/>
      <w:lvlText w:val="(%9)"/>
      <w:legacy w:legacy="1" w:legacySpace="0" w:legacyIndent="425"/>
      <w:lvlJc w:val="left"/>
      <w:pPr>
        <w:ind w:left="3825" w:hanging="425"/>
      </w:pPr>
    </w:lvl>
  </w:abstractNum>
  <w:abstractNum w:abstractNumId="5">
    <w:nsid w:val="3EBF5A31"/>
    <w:multiLevelType w:val="multilevel"/>
    <w:tmpl w:val="3EBF5A31"/>
    <w:lvl w:ilvl="0" w:tentative="0">
      <w:start w:val="1"/>
      <w:numFmt w:val="japaneseCounting"/>
      <w:lvlText w:val="（%1）"/>
      <w:lvlJc w:val="left"/>
      <w:pPr>
        <w:tabs>
          <w:tab w:val="left" w:pos="1394"/>
        </w:tabs>
        <w:ind w:left="1394" w:hanging="855"/>
      </w:pPr>
      <w:rPr>
        <w:rFonts w:hint="eastAsia"/>
      </w:rPr>
    </w:lvl>
    <w:lvl w:ilvl="1" w:tentative="0">
      <w:start w:val="1"/>
      <w:numFmt w:val="decimal"/>
      <w:lvlText w:val="%2."/>
      <w:lvlJc w:val="left"/>
      <w:pPr>
        <w:ind w:left="1571" w:hanging="720"/>
      </w:pPr>
      <w:rPr>
        <w:rFonts w:hint="eastAsia" w:ascii="仿宋_GB2312" w:eastAsia="仿宋_GB2312"/>
      </w:r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6">
    <w:nsid w:val="40F96191"/>
    <w:multiLevelType w:val="multilevel"/>
    <w:tmpl w:val="40F96191"/>
    <w:lvl w:ilvl="0" w:tentative="0">
      <w:start w:val="1"/>
      <w:numFmt w:val="japaneseCounting"/>
      <w:lvlText w:val="（%1）"/>
      <w:lvlJc w:val="left"/>
      <w:pPr>
        <w:ind w:left="1424" w:hanging="885"/>
      </w:pPr>
      <w:rPr>
        <w:rFonts w:hint="default"/>
      </w:rPr>
    </w:lvl>
    <w:lvl w:ilvl="1" w:tentative="0">
      <w:start w:val="1"/>
      <w:numFmt w:val="lowerLetter"/>
      <w:lvlText w:val="%2)"/>
      <w:lvlJc w:val="left"/>
      <w:pPr>
        <w:ind w:left="1379" w:hanging="420"/>
      </w:pPr>
    </w:lvl>
    <w:lvl w:ilvl="2" w:tentative="0">
      <w:start w:val="1"/>
      <w:numFmt w:val="lowerRoman"/>
      <w:lvlText w:val="%3."/>
      <w:lvlJc w:val="right"/>
      <w:pPr>
        <w:ind w:left="1799" w:hanging="420"/>
      </w:pPr>
    </w:lvl>
    <w:lvl w:ilvl="3" w:tentative="0">
      <w:start w:val="1"/>
      <w:numFmt w:val="decimal"/>
      <w:lvlText w:val="%4."/>
      <w:lvlJc w:val="left"/>
      <w:pPr>
        <w:ind w:left="2219" w:hanging="420"/>
      </w:pPr>
    </w:lvl>
    <w:lvl w:ilvl="4" w:tentative="0">
      <w:start w:val="1"/>
      <w:numFmt w:val="lowerLetter"/>
      <w:lvlText w:val="%5)"/>
      <w:lvlJc w:val="left"/>
      <w:pPr>
        <w:ind w:left="2639" w:hanging="420"/>
      </w:pPr>
    </w:lvl>
    <w:lvl w:ilvl="5" w:tentative="0">
      <w:start w:val="1"/>
      <w:numFmt w:val="lowerRoman"/>
      <w:lvlText w:val="%6."/>
      <w:lvlJc w:val="right"/>
      <w:pPr>
        <w:ind w:left="3059" w:hanging="420"/>
      </w:pPr>
    </w:lvl>
    <w:lvl w:ilvl="6" w:tentative="0">
      <w:start w:val="1"/>
      <w:numFmt w:val="decimal"/>
      <w:lvlText w:val="%7."/>
      <w:lvlJc w:val="left"/>
      <w:pPr>
        <w:ind w:left="3479" w:hanging="420"/>
      </w:pPr>
    </w:lvl>
    <w:lvl w:ilvl="7" w:tentative="0">
      <w:start w:val="1"/>
      <w:numFmt w:val="lowerLetter"/>
      <w:lvlText w:val="%8)"/>
      <w:lvlJc w:val="left"/>
      <w:pPr>
        <w:ind w:left="3899" w:hanging="420"/>
      </w:pPr>
    </w:lvl>
    <w:lvl w:ilvl="8" w:tentative="0">
      <w:start w:val="1"/>
      <w:numFmt w:val="lowerRoman"/>
      <w:lvlText w:val="%9."/>
      <w:lvlJc w:val="right"/>
      <w:pPr>
        <w:ind w:left="4319" w:hanging="420"/>
      </w:pPr>
    </w:lvl>
  </w:abstractNum>
  <w:abstractNum w:abstractNumId="7">
    <w:nsid w:val="41DC55B9"/>
    <w:multiLevelType w:val="multilevel"/>
    <w:tmpl w:val="41DC55B9"/>
    <w:lvl w:ilvl="0" w:tentative="0">
      <w:start w:val="1"/>
      <w:numFmt w:val="japaneseCounting"/>
      <w:lvlText w:val="（%1）"/>
      <w:lvlJc w:val="left"/>
      <w:pPr>
        <w:tabs>
          <w:tab w:val="left" w:pos="3015"/>
        </w:tabs>
        <w:ind w:left="3015" w:hanging="855"/>
      </w:pPr>
      <w:rPr>
        <w:rFonts w:hint="eastAsia"/>
        <w:b w:val="0"/>
        <w:lang w:val="en-US"/>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48A34B0B"/>
    <w:multiLevelType w:val="multilevel"/>
    <w:tmpl w:val="48A34B0B"/>
    <w:lvl w:ilvl="0" w:tentative="0">
      <w:start w:val="1"/>
      <w:numFmt w:val="japaneseCounting"/>
      <w:lvlText w:val="（%1）"/>
      <w:lvlJc w:val="left"/>
      <w:pPr>
        <w:tabs>
          <w:tab w:val="left" w:pos="2273"/>
        </w:tabs>
        <w:ind w:left="2273" w:hanging="855"/>
      </w:pPr>
      <w:rPr>
        <w:rFonts w:hint="eastAsia"/>
        <w:b w:val="0"/>
        <w:lang w:val="en-US"/>
      </w:rPr>
    </w:lvl>
    <w:lvl w:ilvl="1" w:tentative="0">
      <w:start w:val="1"/>
      <w:numFmt w:val="lowerLetter"/>
      <w:lvlText w:val="%2)"/>
      <w:lvlJc w:val="left"/>
      <w:pPr>
        <w:tabs>
          <w:tab w:val="left" w:pos="638"/>
        </w:tabs>
        <w:ind w:left="638" w:hanging="420"/>
      </w:pPr>
    </w:lvl>
    <w:lvl w:ilvl="2" w:tentative="0">
      <w:start w:val="1"/>
      <w:numFmt w:val="lowerRoman"/>
      <w:lvlText w:val="%3."/>
      <w:lvlJc w:val="right"/>
      <w:pPr>
        <w:tabs>
          <w:tab w:val="left" w:pos="1058"/>
        </w:tabs>
        <w:ind w:left="1058" w:hanging="420"/>
      </w:pPr>
    </w:lvl>
    <w:lvl w:ilvl="3" w:tentative="0">
      <w:start w:val="1"/>
      <w:numFmt w:val="decimal"/>
      <w:lvlText w:val="%4."/>
      <w:lvlJc w:val="left"/>
      <w:pPr>
        <w:tabs>
          <w:tab w:val="left" w:pos="1478"/>
        </w:tabs>
        <w:ind w:left="1478" w:hanging="420"/>
      </w:pPr>
    </w:lvl>
    <w:lvl w:ilvl="4" w:tentative="0">
      <w:start w:val="1"/>
      <w:numFmt w:val="lowerLetter"/>
      <w:lvlText w:val="%5)"/>
      <w:lvlJc w:val="left"/>
      <w:pPr>
        <w:tabs>
          <w:tab w:val="left" w:pos="1898"/>
        </w:tabs>
        <w:ind w:left="1898" w:hanging="420"/>
      </w:pPr>
    </w:lvl>
    <w:lvl w:ilvl="5" w:tentative="0">
      <w:start w:val="1"/>
      <w:numFmt w:val="lowerRoman"/>
      <w:lvlText w:val="%6."/>
      <w:lvlJc w:val="right"/>
      <w:pPr>
        <w:tabs>
          <w:tab w:val="left" w:pos="2318"/>
        </w:tabs>
        <w:ind w:left="2318" w:hanging="420"/>
      </w:pPr>
    </w:lvl>
    <w:lvl w:ilvl="6" w:tentative="0">
      <w:start w:val="1"/>
      <w:numFmt w:val="decimal"/>
      <w:lvlText w:val="%7."/>
      <w:lvlJc w:val="left"/>
      <w:pPr>
        <w:tabs>
          <w:tab w:val="left" w:pos="2738"/>
        </w:tabs>
        <w:ind w:left="2738" w:hanging="420"/>
      </w:pPr>
    </w:lvl>
    <w:lvl w:ilvl="7" w:tentative="0">
      <w:start w:val="1"/>
      <w:numFmt w:val="lowerLetter"/>
      <w:lvlText w:val="%8)"/>
      <w:lvlJc w:val="left"/>
      <w:pPr>
        <w:tabs>
          <w:tab w:val="left" w:pos="3158"/>
        </w:tabs>
        <w:ind w:left="3158" w:hanging="420"/>
      </w:pPr>
    </w:lvl>
    <w:lvl w:ilvl="8" w:tentative="0">
      <w:start w:val="1"/>
      <w:numFmt w:val="lowerRoman"/>
      <w:lvlText w:val="%9."/>
      <w:lvlJc w:val="right"/>
      <w:pPr>
        <w:tabs>
          <w:tab w:val="left" w:pos="3578"/>
        </w:tabs>
        <w:ind w:left="3578" w:hanging="420"/>
      </w:pPr>
    </w:lvl>
  </w:abstractNum>
  <w:abstractNum w:abstractNumId="9">
    <w:nsid w:val="4AC07AA5"/>
    <w:multiLevelType w:val="multilevel"/>
    <w:tmpl w:val="4AC07AA5"/>
    <w:lvl w:ilvl="0" w:tentative="0">
      <w:start w:val="1"/>
      <w:numFmt w:val="chineseCountingThousand"/>
      <w:lvlText w:val="附件%1、"/>
      <w:lvlJc w:val="left"/>
      <w:pPr>
        <w:ind w:left="1697" w:hanging="420"/>
      </w:pPr>
      <w:rPr>
        <w:rFonts w:hint="eastAsia"/>
      </w:rPr>
    </w:lvl>
    <w:lvl w:ilvl="1" w:tentative="0">
      <w:start w:val="1"/>
      <w:numFmt w:val="lowerLetter"/>
      <w:lvlText w:val="%2)"/>
      <w:lvlJc w:val="left"/>
      <w:pPr>
        <w:ind w:left="1379" w:hanging="420"/>
      </w:pPr>
    </w:lvl>
    <w:lvl w:ilvl="2" w:tentative="0">
      <w:start w:val="1"/>
      <w:numFmt w:val="lowerRoman"/>
      <w:lvlText w:val="%3."/>
      <w:lvlJc w:val="right"/>
      <w:pPr>
        <w:ind w:left="1799" w:hanging="420"/>
      </w:pPr>
    </w:lvl>
    <w:lvl w:ilvl="3" w:tentative="0">
      <w:start w:val="1"/>
      <w:numFmt w:val="decimal"/>
      <w:lvlText w:val="%4."/>
      <w:lvlJc w:val="left"/>
      <w:pPr>
        <w:ind w:left="2219" w:hanging="420"/>
      </w:pPr>
    </w:lvl>
    <w:lvl w:ilvl="4" w:tentative="0">
      <w:start w:val="1"/>
      <w:numFmt w:val="lowerLetter"/>
      <w:lvlText w:val="%5)"/>
      <w:lvlJc w:val="left"/>
      <w:pPr>
        <w:ind w:left="2639" w:hanging="420"/>
      </w:pPr>
    </w:lvl>
    <w:lvl w:ilvl="5" w:tentative="0">
      <w:start w:val="1"/>
      <w:numFmt w:val="lowerRoman"/>
      <w:lvlText w:val="%6."/>
      <w:lvlJc w:val="right"/>
      <w:pPr>
        <w:ind w:left="3059" w:hanging="420"/>
      </w:pPr>
    </w:lvl>
    <w:lvl w:ilvl="6" w:tentative="0">
      <w:start w:val="1"/>
      <w:numFmt w:val="decimal"/>
      <w:lvlText w:val="%7."/>
      <w:lvlJc w:val="left"/>
      <w:pPr>
        <w:ind w:left="3479" w:hanging="420"/>
      </w:pPr>
    </w:lvl>
    <w:lvl w:ilvl="7" w:tentative="0">
      <w:start w:val="1"/>
      <w:numFmt w:val="lowerLetter"/>
      <w:lvlText w:val="%8)"/>
      <w:lvlJc w:val="left"/>
      <w:pPr>
        <w:ind w:left="3899" w:hanging="420"/>
      </w:pPr>
    </w:lvl>
    <w:lvl w:ilvl="8" w:tentative="0">
      <w:start w:val="1"/>
      <w:numFmt w:val="lowerRoman"/>
      <w:lvlText w:val="%9."/>
      <w:lvlJc w:val="right"/>
      <w:pPr>
        <w:ind w:left="4319" w:hanging="420"/>
      </w:pPr>
    </w:lvl>
  </w:abstractNum>
  <w:abstractNum w:abstractNumId="10">
    <w:nsid w:val="7A1B4246"/>
    <w:multiLevelType w:val="multilevel"/>
    <w:tmpl w:val="7A1B4246"/>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7DD11B7E"/>
    <w:multiLevelType w:val="multilevel"/>
    <w:tmpl w:val="7DD11B7E"/>
    <w:lvl w:ilvl="0" w:tentative="0">
      <w:start w:val="1"/>
      <w:numFmt w:val="decimalEnclosedCircle"/>
      <w:lvlText w:val="%1"/>
      <w:lvlJc w:val="left"/>
      <w:pPr>
        <w:tabs>
          <w:tab w:val="left" w:pos="1200"/>
        </w:tabs>
        <w:ind w:left="1200" w:hanging="720"/>
      </w:pPr>
      <w:rPr>
        <w:rFonts w:hint="eastAsia"/>
      </w:rPr>
    </w:lvl>
    <w:lvl w:ilvl="1" w:tentative="0">
      <w:start w:val="1"/>
      <w:numFmt w:val="decimalEnclosedCircle"/>
      <w:lvlText w:val="%2"/>
      <w:lvlJc w:val="left"/>
      <w:pPr>
        <w:tabs>
          <w:tab w:val="left" w:pos="1200"/>
        </w:tabs>
        <w:ind w:left="1200" w:hanging="720"/>
      </w:pPr>
      <w:rPr>
        <w:rFonts w:hint="eastAsia"/>
        <w:color w:val="auto"/>
      </w:rPr>
    </w:lvl>
    <w:lvl w:ilvl="2" w:tentative="0">
      <w:start w:val="1"/>
      <w:numFmt w:val="decimal"/>
      <w:lvlText w:val="%3."/>
      <w:lvlJc w:val="left"/>
      <w:pPr>
        <w:tabs>
          <w:tab w:val="left" w:pos="2160"/>
        </w:tabs>
        <w:ind w:left="2160" w:hanging="840"/>
      </w:pPr>
      <w:rPr>
        <w:rFonts w:hint="eastAsia" w:ascii="仿宋_GB2312" w:eastAsia="仿宋_GB2312"/>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4"/>
  </w:num>
  <w:num w:numId="2">
    <w:abstractNumId w:val="1"/>
  </w:num>
  <w:num w:numId="3">
    <w:abstractNumId w:val="8"/>
  </w:num>
  <w:num w:numId="4">
    <w:abstractNumId w:val="7"/>
  </w:num>
  <w:num w:numId="5">
    <w:abstractNumId w:val="6"/>
  </w:num>
  <w:num w:numId="6">
    <w:abstractNumId w:val="0"/>
  </w:num>
  <w:num w:numId="7">
    <w:abstractNumId w:val="5"/>
  </w:num>
  <w:num w:numId="8">
    <w:abstractNumId w:val="3"/>
  </w:num>
  <w:num w:numId="9">
    <w:abstractNumId w:val="11"/>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8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CD"/>
    <w:rsid w:val="00001472"/>
    <w:rsid w:val="00001BB2"/>
    <w:rsid w:val="00006F5B"/>
    <w:rsid w:val="00012403"/>
    <w:rsid w:val="00021214"/>
    <w:rsid w:val="00023530"/>
    <w:rsid w:val="000271CD"/>
    <w:rsid w:val="000310C0"/>
    <w:rsid w:val="00032A14"/>
    <w:rsid w:val="00040C3A"/>
    <w:rsid w:val="000437B6"/>
    <w:rsid w:val="000441C0"/>
    <w:rsid w:val="00046D77"/>
    <w:rsid w:val="00047571"/>
    <w:rsid w:val="00047938"/>
    <w:rsid w:val="00050B59"/>
    <w:rsid w:val="00065BF0"/>
    <w:rsid w:val="0006730A"/>
    <w:rsid w:val="000744F8"/>
    <w:rsid w:val="0007598A"/>
    <w:rsid w:val="00076DF5"/>
    <w:rsid w:val="00080420"/>
    <w:rsid w:val="00082454"/>
    <w:rsid w:val="000876EB"/>
    <w:rsid w:val="000933F5"/>
    <w:rsid w:val="00096DD3"/>
    <w:rsid w:val="000A2176"/>
    <w:rsid w:val="000A4DF0"/>
    <w:rsid w:val="000A6C15"/>
    <w:rsid w:val="000B32EE"/>
    <w:rsid w:val="000B3431"/>
    <w:rsid w:val="000C630A"/>
    <w:rsid w:val="000C7A16"/>
    <w:rsid w:val="000D014D"/>
    <w:rsid w:val="000D2138"/>
    <w:rsid w:val="000F3F9D"/>
    <w:rsid w:val="000F7E0D"/>
    <w:rsid w:val="001034D6"/>
    <w:rsid w:val="00105F3E"/>
    <w:rsid w:val="00111362"/>
    <w:rsid w:val="0011289B"/>
    <w:rsid w:val="001227E9"/>
    <w:rsid w:val="00136DDF"/>
    <w:rsid w:val="00140E1D"/>
    <w:rsid w:val="00141061"/>
    <w:rsid w:val="001453CB"/>
    <w:rsid w:val="001458F7"/>
    <w:rsid w:val="00151A02"/>
    <w:rsid w:val="00152C29"/>
    <w:rsid w:val="00154694"/>
    <w:rsid w:val="00160811"/>
    <w:rsid w:val="00161111"/>
    <w:rsid w:val="001622F5"/>
    <w:rsid w:val="00166B06"/>
    <w:rsid w:val="001708C2"/>
    <w:rsid w:val="00173044"/>
    <w:rsid w:val="001742D9"/>
    <w:rsid w:val="0017491A"/>
    <w:rsid w:val="00183734"/>
    <w:rsid w:val="00184593"/>
    <w:rsid w:val="00192BCE"/>
    <w:rsid w:val="0019413C"/>
    <w:rsid w:val="00195A5D"/>
    <w:rsid w:val="001A1DB1"/>
    <w:rsid w:val="001A645A"/>
    <w:rsid w:val="001B2D53"/>
    <w:rsid w:val="001B5C99"/>
    <w:rsid w:val="001B6368"/>
    <w:rsid w:val="001B67FC"/>
    <w:rsid w:val="001B6BA1"/>
    <w:rsid w:val="001C0426"/>
    <w:rsid w:val="001C045C"/>
    <w:rsid w:val="001C25E8"/>
    <w:rsid w:val="001C39BA"/>
    <w:rsid w:val="001C3C74"/>
    <w:rsid w:val="001C434E"/>
    <w:rsid w:val="001C6A89"/>
    <w:rsid w:val="001C6ED8"/>
    <w:rsid w:val="001D04E4"/>
    <w:rsid w:val="001D14C9"/>
    <w:rsid w:val="001D3A21"/>
    <w:rsid w:val="001D48A0"/>
    <w:rsid w:val="001D4CB2"/>
    <w:rsid w:val="001D55F2"/>
    <w:rsid w:val="001E073B"/>
    <w:rsid w:val="001E12C0"/>
    <w:rsid w:val="001E22E9"/>
    <w:rsid w:val="001F1FE1"/>
    <w:rsid w:val="001F5299"/>
    <w:rsid w:val="0020592F"/>
    <w:rsid w:val="00205953"/>
    <w:rsid w:val="002121DA"/>
    <w:rsid w:val="0021248F"/>
    <w:rsid w:val="00214C42"/>
    <w:rsid w:val="00220B24"/>
    <w:rsid w:val="002262E4"/>
    <w:rsid w:val="00232FC2"/>
    <w:rsid w:val="0023576F"/>
    <w:rsid w:val="00235867"/>
    <w:rsid w:val="00241D5C"/>
    <w:rsid w:val="002459B8"/>
    <w:rsid w:val="00252819"/>
    <w:rsid w:val="00255219"/>
    <w:rsid w:val="0025659F"/>
    <w:rsid w:val="00256E1C"/>
    <w:rsid w:val="002615B5"/>
    <w:rsid w:val="00261B22"/>
    <w:rsid w:val="002701F9"/>
    <w:rsid w:val="00273797"/>
    <w:rsid w:val="002741A9"/>
    <w:rsid w:val="00274C54"/>
    <w:rsid w:val="00284ECA"/>
    <w:rsid w:val="00285056"/>
    <w:rsid w:val="00295069"/>
    <w:rsid w:val="00297316"/>
    <w:rsid w:val="002A40FA"/>
    <w:rsid w:val="002B742C"/>
    <w:rsid w:val="002C2DDD"/>
    <w:rsid w:val="002C54EB"/>
    <w:rsid w:val="002D0D33"/>
    <w:rsid w:val="002D1D2E"/>
    <w:rsid w:val="002D5A25"/>
    <w:rsid w:val="002D64DD"/>
    <w:rsid w:val="002D6F26"/>
    <w:rsid w:val="002E1EB3"/>
    <w:rsid w:val="002E48DD"/>
    <w:rsid w:val="002E7FCD"/>
    <w:rsid w:val="002F115C"/>
    <w:rsid w:val="002F2812"/>
    <w:rsid w:val="002F3382"/>
    <w:rsid w:val="003166A5"/>
    <w:rsid w:val="00317069"/>
    <w:rsid w:val="00317CD7"/>
    <w:rsid w:val="00324982"/>
    <w:rsid w:val="00325129"/>
    <w:rsid w:val="003251A5"/>
    <w:rsid w:val="00333254"/>
    <w:rsid w:val="0033789C"/>
    <w:rsid w:val="0034266C"/>
    <w:rsid w:val="00343622"/>
    <w:rsid w:val="00343A60"/>
    <w:rsid w:val="00346852"/>
    <w:rsid w:val="003471A4"/>
    <w:rsid w:val="003522A5"/>
    <w:rsid w:val="003562DE"/>
    <w:rsid w:val="00357773"/>
    <w:rsid w:val="003631DC"/>
    <w:rsid w:val="0037342D"/>
    <w:rsid w:val="00381BA2"/>
    <w:rsid w:val="00387302"/>
    <w:rsid w:val="0039410B"/>
    <w:rsid w:val="00397878"/>
    <w:rsid w:val="003A0223"/>
    <w:rsid w:val="003A4669"/>
    <w:rsid w:val="003A55B0"/>
    <w:rsid w:val="003B1053"/>
    <w:rsid w:val="003B2490"/>
    <w:rsid w:val="003B3E4F"/>
    <w:rsid w:val="003B5275"/>
    <w:rsid w:val="003C00DD"/>
    <w:rsid w:val="003C282C"/>
    <w:rsid w:val="003C5A64"/>
    <w:rsid w:val="003C7DFC"/>
    <w:rsid w:val="003D1A09"/>
    <w:rsid w:val="003D2D3E"/>
    <w:rsid w:val="003D329E"/>
    <w:rsid w:val="003D6E85"/>
    <w:rsid w:val="003E706A"/>
    <w:rsid w:val="003F4F66"/>
    <w:rsid w:val="00400536"/>
    <w:rsid w:val="00410135"/>
    <w:rsid w:val="004211AC"/>
    <w:rsid w:val="00422776"/>
    <w:rsid w:val="00427335"/>
    <w:rsid w:val="00427F8E"/>
    <w:rsid w:val="00436D59"/>
    <w:rsid w:val="00437186"/>
    <w:rsid w:val="00440A4E"/>
    <w:rsid w:val="00441F15"/>
    <w:rsid w:val="0045603B"/>
    <w:rsid w:val="00463074"/>
    <w:rsid w:val="00471AE7"/>
    <w:rsid w:val="00474121"/>
    <w:rsid w:val="00474D74"/>
    <w:rsid w:val="00477842"/>
    <w:rsid w:val="00477A8B"/>
    <w:rsid w:val="004903E7"/>
    <w:rsid w:val="00493B8F"/>
    <w:rsid w:val="004940A9"/>
    <w:rsid w:val="004952E9"/>
    <w:rsid w:val="00496794"/>
    <w:rsid w:val="004A0EC7"/>
    <w:rsid w:val="004A1552"/>
    <w:rsid w:val="004B54D8"/>
    <w:rsid w:val="004B7E2D"/>
    <w:rsid w:val="004C12B1"/>
    <w:rsid w:val="004C49CB"/>
    <w:rsid w:val="004C4AEF"/>
    <w:rsid w:val="004C6AD5"/>
    <w:rsid w:val="004D3CAB"/>
    <w:rsid w:val="004E5A3D"/>
    <w:rsid w:val="004E69C3"/>
    <w:rsid w:val="004F56DC"/>
    <w:rsid w:val="00500EE7"/>
    <w:rsid w:val="0050179D"/>
    <w:rsid w:val="00507EC6"/>
    <w:rsid w:val="00514EF2"/>
    <w:rsid w:val="00517698"/>
    <w:rsid w:val="005237CB"/>
    <w:rsid w:val="005304F9"/>
    <w:rsid w:val="0053447E"/>
    <w:rsid w:val="00542438"/>
    <w:rsid w:val="00546FE0"/>
    <w:rsid w:val="00547845"/>
    <w:rsid w:val="00557612"/>
    <w:rsid w:val="0056187A"/>
    <w:rsid w:val="0056660D"/>
    <w:rsid w:val="005672F9"/>
    <w:rsid w:val="00572EF4"/>
    <w:rsid w:val="0057640D"/>
    <w:rsid w:val="00576915"/>
    <w:rsid w:val="005801BC"/>
    <w:rsid w:val="00581FC5"/>
    <w:rsid w:val="00583C05"/>
    <w:rsid w:val="00587FBD"/>
    <w:rsid w:val="00590F11"/>
    <w:rsid w:val="00597574"/>
    <w:rsid w:val="005A16BF"/>
    <w:rsid w:val="005A3A82"/>
    <w:rsid w:val="005A4678"/>
    <w:rsid w:val="005A49FF"/>
    <w:rsid w:val="005B100B"/>
    <w:rsid w:val="005B19D6"/>
    <w:rsid w:val="005B397C"/>
    <w:rsid w:val="005C0232"/>
    <w:rsid w:val="005C043D"/>
    <w:rsid w:val="005C1E5A"/>
    <w:rsid w:val="005C433F"/>
    <w:rsid w:val="005C7C56"/>
    <w:rsid w:val="005D1B9E"/>
    <w:rsid w:val="005D1FE6"/>
    <w:rsid w:val="005D46A3"/>
    <w:rsid w:val="005D6A75"/>
    <w:rsid w:val="005D7821"/>
    <w:rsid w:val="005F3B7B"/>
    <w:rsid w:val="005F5139"/>
    <w:rsid w:val="00606550"/>
    <w:rsid w:val="00613E40"/>
    <w:rsid w:val="00614D08"/>
    <w:rsid w:val="00622862"/>
    <w:rsid w:val="00633356"/>
    <w:rsid w:val="0063742D"/>
    <w:rsid w:val="00640A90"/>
    <w:rsid w:val="00640C15"/>
    <w:rsid w:val="006419DE"/>
    <w:rsid w:val="0064477E"/>
    <w:rsid w:val="00646F2C"/>
    <w:rsid w:val="006473FC"/>
    <w:rsid w:val="006474FB"/>
    <w:rsid w:val="006508F0"/>
    <w:rsid w:val="006565AD"/>
    <w:rsid w:val="00657862"/>
    <w:rsid w:val="00661F2D"/>
    <w:rsid w:val="00670105"/>
    <w:rsid w:val="006712BF"/>
    <w:rsid w:val="006762C0"/>
    <w:rsid w:val="00680007"/>
    <w:rsid w:val="00697F0F"/>
    <w:rsid w:val="006A2253"/>
    <w:rsid w:val="006A3509"/>
    <w:rsid w:val="006A365B"/>
    <w:rsid w:val="006A7D75"/>
    <w:rsid w:val="006B79D3"/>
    <w:rsid w:val="006C6209"/>
    <w:rsid w:val="006C64AE"/>
    <w:rsid w:val="006D0789"/>
    <w:rsid w:val="006D24B8"/>
    <w:rsid w:val="006D3F2F"/>
    <w:rsid w:val="006D6F62"/>
    <w:rsid w:val="006E02B5"/>
    <w:rsid w:val="006F2927"/>
    <w:rsid w:val="006F2D68"/>
    <w:rsid w:val="006F336C"/>
    <w:rsid w:val="006F71AB"/>
    <w:rsid w:val="0071289A"/>
    <w:rsid w:val="00714C8F"/>
    <w:rsid w:val="00715A20"/>
    <w:rsid w:val="0072445C"/>
    <w:rsid w:val="007255FF"/>
    <w:rsid w:val="0072647E"/>
    <w:rsid w:val="007264CD"/>
    <w:rsid w:val="00730ED3"/>
    <w:rsid w:val="00734F95"/>
    <w:rsid w:val="007379D3"/>
    <w:rsid w:val="00737A42"/>
    <w:rsid w:val="00740DA1"/>
    <w:rsid w:val="007430E9"/>
    <w:rsid w:val="007438A2"/>
    <w:rsid w:val="00744A81"/>
    <w:rsid w:val="00746259"/>
    <w:rsid w:val="00746E23"/>
    <w:rsid w:val="00747FB9"/>
    <w:rsid w:val="00752C33"/>
    <w:rsid w:val="00753C8D"/>
    <w:rsid w:val="00754EDA"/>
    <w:rsid w:val="00755BE8"/>
    <w:rsid w:val="007613F7"/>
    <w:rsid w:val="00761E1E"/>
    <w:rsid w:val="007665A0"/>
    <w:rsid w:val="00766C63"/>
    <w:rsid w:val="00771864"/>
    <w:rsid w:val="0077235A"/>
    <w:rsid w:val="00772880"/>
    <w:rsid w:val="00780F41"/>
    <w:rsid w:val="00782FF1"/>
    <w:rsid w:val="00785927"/>
    <w:rsid w:val="00791699"/>
    <w:rsid w:val="007922BA"/>
    <w:rsid w:val="00793B52"/>
    <w:rsid w:val="00793E52"/>
    <w:rsid w:val="007A01B8"/>
    <w:rsid w:val="007A16E0"/>
    <w:rsid w:val="007A2D5D"/>
    <w:rsid w:val="007A4525"/>
    <w:rsid w:val="007A756A"/>
    <w:rsid w:val="007C60AC"/>
    <w:rsid w:val="007C62FE"/>
    <w:rsid w:val="007C7BA8"/>
    <w:rsid w:val="007D1E8E"/>
    <w:rsid w:val="007D277B"/>
    <w:rsid w:val="007D2F00"/>
    <w:rsid w:val="007D2F5A"/>
    <w:rsid w:val="007D4144"/>
    <w:rsid w:val="007D6710"/>
    <w:rsid w:val="007D67E7"/>
    <w:rsid w:val="007E01F7"/>
    <w:rsid w:val="007E0430"/>
    <w:rsid w:val="007E1D08"/>
    <w:rsid w:val="007E57EE"/>
    <w:rsid w:val="00806264"/>
    <w:rsid w:val="00810041"/>
    <w:rsid w:val="00816D73"/>
    <w:rsid w:val="00822E3B"/>
    <w:rsid w:val="008233CD"/>
    <w:rsid w:val="00823E38"/>
    <w:rsid w:val="008306CE"/>
    <w:rsid w:val="008364E1"/>
    <w:rsid w:val="0084143B"/>
    <w:rsid w:val="0084286F"/>
    <w:rsid w:val="00853813"/>
    <w:rsid w:val="00853C88"/>
    <w:rsid w:val="00861BAA"/>
    <w:rsid w:val="00870AB6"/>
    <w:rsid w:val="008767E4"/>
    <w:rsid w:val="008778F4"/>
    <w:rsid w:val="008815E6"/>
    <w:rsid w:val="008835E5"/>
    <w:rsid w:val="0088781D"/>
    <w:rsid w:val="00887B8D"/>
    <w:rsid w:val="008A72B0"/>
    <w:rsid w:val="008B0316"/>
    <w:rsid w:val="008B5B61"/>
    <w:rsid w:val="008B799A"/>
    <w:rsid w:val="008C3D76"/>
    <w:rsid w:val="008C42B9"/>
    <w:rsid w:val="008C55B6"/>
    <w:rsid w:val="008D1459"/>
    <w:rsid w:val="008D2B94"/>
    <w:rsid w:val="008D7595"/>
    <w:rsid w:val="008E6A43"/>
    <w:rsid w:val="008F0581"/>
    <w:rsid w:val="008F16A3"/>
    <w:rsid w:val="008F5FFA"/>
    <w:rsid w:val="0091084A"/>
    <w:rsid w:val="0091608F"/>
    <w:rsid w:val="0092074F"/>
    <w:rsid w:val="00920C43"/>
    <w:rsid w:val="009211DD"/>
    <w:rsid w:val="00930506"/>
    <w:rsid w:val="0093100A"/>
    <w:rsid w:val="009341BD"/>
    <w:rsid w:val="0094680D"/>
    <w:rsid w:val="00947E08"/>
    <w:rsid w:val="00952FC6"/>
    <w:rsid w:val="009615B9"/>
    <w:rsid w:val="00965AAC"/>
    <w:rsid w:val="0097040C"/>
    <w:rsid w:val="009721B6"/>
    <w:rsid w:val="00975496"/>
    <w:rsid w:val="00980D15"/>
    <w:rsid w:val="00984B57"/>
    <w:rsid w:val="00990541"/>
    <w:rsid w:val="0099348C"/>
    <w:rsid w:val="00993B76"/>
    <w:rsid w:val="009946C1"/>
    <w:rsid w:val="00995180"/>
    <w:rsid w:val="0099704D"/>
    <w:rsid w:val="009A062C"/>
    <w:rsid w:val="009A132B"/>
    <w:rsid w:val="009A68E5"/>
    <w:rsid w:val="009B0CEA"/>
    <w:rsid w:val="009B5975"/>
    <w:rsid w:val="009B5C9C"/>
    <w:rsid w:val="009D012F"/>
    <w:rsid w:val="009D0C0C"/>
    <w:rsid w:val="009D2AB1"/>
    <w:rsid w:val="009D7111"/>
    <w:rsid w:val="009F0969"/>
    <w:rsid w:val="009F2421"/>
    <w:rsid w:val="009F6C26"/>
    <w:rsid w:val="00A1096A"/>
    <w:rsid w:val="00A14CE3"/>
    <w:rsid w:val="00A218A5"/>
    <w:rsid w:val="00A27235"/>
    <w:rsid w:val="00A30C91"/>
    <w:rsid w:val="00A34E8E"/>
    <w:rsid w:val="00A403AD"/>
    <w:rsid w:val="00A437F6"/>
    <w:rsid w:val="00A4529C"/>
    <w:rsid w:val="00A475B8"/>
    <w:rsid w:val="00A51ACB"/>
    <w:rsid w:val="00A62B28"/>
    <w:rsid w:val="00A763F8"/>
    <w:rsid w:val="00A768E6"/>
    <w:rsid w:val="00A8068F"/>
    <w:rsid w:val="00A83596"/>
    <w:rsid w:val="00A8568D"/>
    <w:rsid w:val="00A867F9"/>
    <w:rsid w:val="00A86E66"/>
    <w:rsid w:val="00A96A38"/>
    <w:rsid w:val="00A97035"/>
    <w:rsid w:val="00AA1F36"/>
    <w:rsid w:val="00AA34CF"/>
    <w:rsid w:val="00AA362E"/>
    <w:rsid w:val="00AA373C"/>
    <w:rsid w:val="00AA500A"/>
    <w:rsid w:val="00AB0E5B"/>
    <w:rsid w:val="00AB25A2"/>
    <w:rsid w:val="00AB357A"/>
    <w:rsid w:val="00AB39DB"/>
    <w:rsid w:val="00AB48A1"/>
    <w:rsid w:val="00AC1145"/>
    <w:rsid w:val="00AC2C1C"/>
    <w:rsid w:val="00AC3C6A"/>
    <w:rsid w:val="00AC48AF"/>
    <w:rsid w:val="00AD085F"/>
    <w:rsid w:val="00AD1EBA"/>
    <w:rsid w:val="00AD3C10"/>
    <w:rsid w:val="00AE2B79"/>
    <w:rsid w:val="00AF2F7A"/>
    <w:rsid w:val="00AF43CF"/>
    <w:rsid w:val="00AF4565"/>
    <w:rsid w:val="00AF755E"/>
    <w:rsid w:val="00B16E82"/>
    <w:rsid w:val="00B16E98"/>
    <w:rsid w:val="00B20C31"/>
    <w:rsid w:val="00B22EB5"/>
    <w:rsid w:val="00B23B07"/>
    <w:rsid w:val="00B246F6"/>
    <w:rsid w:val="00B2666E"/>
    <w:rsid w:val="00B33E6D"/>
    <w:rsid w:val="00B35349"/>
    <w:rsid w:val="00B362E6"/>
    <w:rsid w:val="00B42FF7"/>
    <w:rsid w:val="00B5109C"/>
    <w:rsid w:val="00B54534"/>
    <w:rsid w:val="00B661A9"/>
    <w:rsid w:val="00B7036D"/>
    <w:rsid w:val="00B72F6D"/>
    <w:rsid w:val="00B76709"/>
    <w:rsid w:val="00B87475"/>
    <w:rsid w:val="00B95911"/>
    <w:rsid w:val="00BA004F"/>
    <w:rsid w:val="00BA0DDC"/>
    <w:rsid w:val="00BA2653"/>
    <w:rsid w:val="00BA418A"/>
    <w:rsid w:val="00BA5498"/>
    <w:rsid w:val="00BB07DD"/>
    <w:rsid w:val="00BB0F19"/>
    <w:rsid w:val="00BB49CE"/>
    <w:rsid w:val="00BC6310"/>
    <w:rsid w:val="00BC64FA"/>
    <w:rsid w:val="00BD06F3"/>
    <w:rsid w:val="00BD5F04"/>
    <w:rsid w:val="00BE0EDE"/>
    <w:rsid w:val="00BE65F6"/>
    <w:rsid w:val="00BE7AB4"/>
    <w:rsid w:val="00BF0628"/>
    <w:rsid w:val="00BF1C2B"/>
    <w:rsid w:val="00BF33CF"/>
    <w:rsid w:val="00BF48C3"/>
    <w:rsid w:val="00C12FB4"/>
    <w:rsid w:val="00C142F0"/>
    <w:rsid w:val="00C20886"/>
    <w:rsid w:val="00C31CAE"/>
    <w:rsid w:val="00C32F45"/>
    <w:rsid w:val="00C34C18"/>
    <w:rsid w:val="00C35194"/>
    <w:rsid w:val="00C35F1F"/>
    <w:rsid w:val="00C36C6F"/>
    <w:rsid w:val="00C37F8F"/>
    <w:rsid w:val="00C402E8"/>
    <w:rsid w:val="00C4472E"/>
    <w:rsid w:val="00C45B63"/>
    <w:rsid w:val="00C465D0"/>
    <w:rsid w:val="00C5018F"/>
    <w:rsid w:val="00C54FDF"/>
    <w:rsid w:val="00C57D34"/>
    <w:rsid w:val="00C6342C"/>
    <w:rsid w:val="00C679E0"/>
    <w:rsid w:val="00C8550D"/>
    <w:rsid w:val="00C91F72"/>
    <w:rsid w:val="00C935DB"/>
    <w:rsid w:val="00C95287"/>
    <w:rsid w:val="00CA4F57"/>
    <w:rsid w:val="00CA6364"/>
    <w:rsid w:val="00CB2B54"/>
    <w:rsid w:val="00CB38B3"/>
    <w:rsid w:val="00CB42AB"/>
    <w:rsid w:val="00CC05B3"/>
    <w:rsid w:val="00CC0612"/>
    <w:rsid w:val="00CC066F"/>
    <w:rsid w:val="00CC3F22"/>
    <w:rsid w:val="00CD03BF"/>
    <w:rsid w:val="00CD4E0C"/>
    <w:rsid w:val="00CE257A"/>
    <w:rsid w:val="00CE4DDD"/>
    <w:rsid w:val="00CE67BB"/>
    <w:rsid w:val="00CE715A"/>
    <w:rsid w:val="00CF2505"/>
    <w:rsid w:val="00D01C28"/>
    <w:rsid w:val="00D0304C"/>
    <w:rsid w:val="00D05890"/>
    <w:rsid w:val="00D220CB"/>
    <w:rsid w:val="00D22E39"/>
    <w:rsid w:val="00D247ED"/>
    <w:rsid w:val="00D2754F"/>
    <w:rsid w:val="00D30ABF"/>
    <w:rsid w:val="00D31401"/>
    <w:rsid w:val="00D365D3"/>
    <w:rsid w:val="00D453B3"/>
    <w:rsid w:val="00D5325D"/>
    <w:rsid w:val="00D544A6"/>
    <w:rsid w:val="00D55853"/>
    <w:rsid w:val="00D56490"/>
    <w:rsid w:val="00D605EE"/>
    <w:rsid w:val="00D61BD1"/>
    <w:rsid w:val="00D66D92"/>
    <w:rsid w:val="00D72FF8"/>
    <w:rsid w:val="00D7524A"/>
    <w:rsid w:val="00D76CC7"/>
    <w:rsid w:val="00D770D0"/>
    <w:rsid w:val="00D779F4"/>
    <w:rsid w:val="00D80039"/>
    <w:rsid w:val="00D8326C"/>
    <w:rsid w:val="00D87771"/>
    <w:rsid w:val="00D9291B"/>
    <w:rsid w:val="00D93FB3"/>
    <w:rsid w:val="00D9785D"/>
    <w:rsid w:val="00DA1D67"/>
    <w:rsid w:val="00DA228B"/>
    <w:rsid w:val="00DA6676"/>
    <w:rsid w:val="00DA7579"/>
    <w:rsid w:val="00DB1F71"/>
    <w:rsid w:val="00DB45CF"/>
    <w:rsid w:val="00DC0032"/>
    <w:rsid w:val="00DD0B79"/>
    <w:rsid w:val="00DD5F5A"/>
    <w:rsid w:val="00DE2AFC"/>
    <w:rsid w:val="00DE50D6"/>
    <w:rsid w:val="00DF6918"/>
    <w:rsid w:val="00DF746A"/>
    <w:rsid w:val="00E02558"/>
    <w:rsid w:val="00E028CB"/>
    <w:rsid w:val="00E02D0E"/>
    <w:rsid w:val="00E05211"/>
    <w:rsid w:val="00E10DBC"/>
    <w:rsid w:val="00E16B42"/>
    <w:rsid w:val="00E17612"/>
    <w:rsid w:val="00E239B1"/>
    <w:rsid w:val="00E275D9"/>
    <w:rsid w:val="00E4213C"/>
    <w:rsid w:val="00E4779D"/>
    <w:rsid w:val="00E53BFD"/>
    <w:rsid w:val="00E56EE3"/>
    <w:rsid w:val="00E60380"/>
    <w:rsid w:val="00E62370"/>
    <w:rsid w:val="00E626B6"/>
    <w:rsid w:val="00E62BE8"/>
    <w:rsid w:val="00E62FC6"/>
    <w:rsid w:val="00E72737"/>
    <w:rsid w:val="00E7527C"/>
    <w:rsid w:val="00E75E35"/>
    <w:rsid w:val="00E77B4C"/>
    <w:rsid w:val="00E8372B"/>
    <w:rsid w:val="00E8642A"/>
    <w:rsid w:val="00E86B7F"/>
    <w:rsid w:val="00E920DB"/>
    <w:rsid w:val="00E9230B"/>
    <w:rsid w:val="00E92579"/>
    <w:rsid w:val="00E931A1"/>
    <w:rsid w:val="00E9636E"/>
    <w:rsid w:val="00EA0F80"/>
    <w:rsid w:val="00EA1A10"/>
    <w:rsid w:val="00EA6B4C"/>
    <w:rsid w:val="00EB328B"/>
    <w:rsid w:val="00EB5B5A"/>
    <w:rsid w:val="00EC3CD6"/>
    <w:rsid w:val="00EC46EA"/>
    <w:rsid w:val="00EC4E23"/>
    <w:rsid w:val="00EC5CFC"/>
    <w:rsid w:val="00ED4604"/>
    <w:rsid w:val="00ED738C"/>
    <w:rsid w:val="00ED746D"/>
    <w:rsid w:val="00EE2128"/>
    <w:rsid w:val="00EE59F2"/>
    <w:rsid w:val="00EE68EF"/>
    <w:rsid w:val="00EF0F24"/>
    <w:rsid w:val="00EF2884"/>
    <w:rsid w:val="00EF2B1A"/>
    <w:rsid w:val="00F00AB7"/>
    <w:rsid w:val="00F04F83"/>
    <w:rsid w:val="00F04FC6"/>
    <w:rsid w:val="00F0535F"/>
    <w:rsid w:val="00F06D75"/>
    <w:rsid w:val="00F1437E"/>
    <w:rsid w:val="00F26C01"/>
    <w:rsid w:val="00F32EC7"/>
    <w:rsid w:val="00F334AE"/>
    <w:rsid w:val="00F35381"/>
    <w:rsid w:val="00F37049"/>
    <w:rsid w:val="00F408A0"/>
    <w:rsid w:val="00F515CC"/>
    <w:rsid w:val="00F51AEB"/>
    <w:rsid w:val="00F51BD4"/>
    <w:rsid w:val="00F538CC"/>
    <w:rsid w:val="00F60D82"/>
    <w:rsid w:val="00F670D6"/>
    <w:rsid w:val="00F71CE7"/>
    <w:rsid w:val="00F71DA9"/>
    <w:rsid w:val="00F71FF1"/>
    <w:rsid w:val="00F74108"/>
    <w:rsid w:val="00F86870"/>
    <w:rsid w:val="00F92370"/>
    <w:rsid w:val="00F9306D"/>
    <w:rsid w:val="00F96692"/>
    <w:rsid w:val="00FA1085"/>
    <w:rsid w:val="00FA1CBC"/>
    <w:rsid w:val="00FB0792"/>
    <w:rsid w:val="00FB21C1"/>
    <w:rsid w:val="00FB5EED"/>
    <w:rsid w:val="00FB633C"/>
    <w:rsid w:val="00FC1E6D"/>
    <w:rsid w:val="00FC343C"/>
    <w:rsid w:val="00FC385F"/>
    <w:rsid w:val="00FC6D54"/>
    <w:rsid w:val="00FD6B7C"/>
    <w:rsid w:val="00FD6F6A"/>
    <w:rsid w:val="00FE058C"/>
    <w:rsid w:val="00FE10C4"/>
    <w:rsid w:val="00FE2D7C"/>
    <w:rsid w:val="00FF11E9"/>
    <w:rsid w:val="00FF33B0"/>
    <w:rsid w:val="01ED2882"/>
    <w:rsid w:val="0AE90251"/>
    <w:rsid w:val="0B193B78"/>
    <w:rsid w:val="0EA02EE7"/>
    <w:rsid w:val="0F2E3DE7"/>
    <w:rsid w:val="10743A10"/>
    <w:rsid w:val="148B1667"/>
    <w:rsid w:val="14C207CA"/>
    <w:rsid w:val="14DE3B9F"/>
    <w:rsid w:val="19083985"/>
    <w:rsid w:val="1E197750"/>
    <w:rsid w:val="22EE4D36"/>
    <w:rsid w:val="24854522"/>
    <w:rsid w:val="29AB2647"/>
    <w:rsid w:val="2A0837E8"/>
    <w:rsid w:val="2A61636B"/>
    <w:rsid w:val="2B5349EE"/>
    <w:rsid w:val="33074E93"/>
    <w:rsid w:val="353A71E5"/>
    <w:rsid w:val="36C61DE0"/>
    <w:rsid w:val="37FD28DD"/>
    <w:rsid w:val="3E557640"/>
    <w:rsid w:val="3FCB7260"/>
    <w:rsid w:val="40AE3553"/>
    <w:rsid w:val="44FF1799"/>
    <w:rsid w:val="45BE1C13"/>
    <w:rsid w:val="4ED00C39"/>
    <w:rsid w:val="4F353D4A"/>
    <w:rsid w:val="4FCB553B"/>
    <w:rsid w:val="551B3F5E"/>
    <w:rsid w:val="560C0F18"/>
    <w:rsid w:val="562E6DA3"/>
    <w:rsid w:val="57A9219B"/>
    <w:rsid w:val="59664847"/>
    <w:rsid w:val="62657178"/>
    <w:rsid w:val="647B719C"/>
    <w:rsid w:val="651458C0"/>
    <w:rsid w:val="67BA786C"/>
    <w:rsid w:val="684B196B"/>
    <w:rsid w:val="68AA3814"/>
    <w:rsid w:val="691E5B17"/>
    <w:rsid w:val="6941440B"/>
    <w:rsid w:val="6B507725"/>
    <w:rsid w:val="6D0C5B50"/>
    <w:rsid w:val="6D8A387B"/>
    <w:rsid w:val="6EC57C47"/>
    <w:rsid w:val="70CC50EB"/>
    <w:rsid w:val="7360659F"/>
    <w:rsid w:val="73A6515A"/>
    <w:rsid w:val="74915779"/>
    <w:rsid w:val="749E09FB"/>
    <w:rsid w:val="78EE3750"/>
    <w:rsid w:val="79DC632A"/>
    <w:rsid w:val="7C7B5A1A"/>
    <w:rsid w:val="7C8A6D14"/>
    <w:rsid w:val="7CA22E3D"/>
    <w:rsid w:val="7D5E2AE3"/>
    <w:rsid w:val="7E9C2D85"/>
    <w:rsid w:val="7EA902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kern w:val="44"/>
      <w:sz w:val="32"/>
      <w:szCs w:val="20"/>
    </w:rPr>
  </w:style>
  <w:style w:type="paragraph" w:styleId="3">
    <w:name w:val="heading 2"/>
    <w:basedOn w:val="1"/>
    <w:next w:val="1"/>
    <w:qFormat/>
    <w:uiPriority w:val="0"/>
    <w:pPr>
      <w:keepNext/>
      <w:keepLines/>
      <w:numPr>
        <w:ilvl w:val="1"/>
        <w:numId w:val="1"/>
      </w:numPr>
      <w:adjustRightInd w:val="0"/>
      <w:spacing w:before="260" w:after="260" w:line="416" w:lineRule="atLeast"/>
      <w:outlineLvl w:val="1"/>
    </w:pPr>
    <w:rPr>
      <w:rFonts w:ascii="Arial" w:hAnsi="Arial" w:eastAsia="黑体"/>
      <w:b/>
      <w:kern w:val="0"/>
      <w:sz w:val="32"/>
      <w:szCs w:val="20"/>
    </w:rPr>
  </w:style>
  <w:style w:type="paragraph" w:styleId="4">
    <w:name w:val="heading 3"/>
    <w:basedOn w:val="1"/>
    <w:next w:val="1"/>
    <w:qFormat/>
    <w:uiPriority w:val="0"/>
    <w:pPr>
      <w:keepNext/>
      <w:keepLines/>
      <w:adjustRightInd w:val="0"/>
      <w:spacing w:before="260" w:after="260" w:line="416" w:lineRule="atLeast"/>
      <w:outlineLvl w:val="2"/>
    </w:pPr>
    <w:rPr>
      <w:rFonts w:eastAsia="Arial Unicode MS"/>
      <w:b/>
      <w:kern w:val="0"/>
      <w:sz w:val="32"/>
      <w:szCs w:val="20"/>
    </w:rPr>
  </w:style>
  <w:style w:type="paragraph" w:styleId="5">
    <w:name w:val="heading 4"/>
    <w:basedOn w:val="1"/>
    <w:next w:val="1"/>
    <w:qFormat/>
    <w:uiPriority w:val="0"/>
    <w:pPr>
      <w:keepNext/>
      <w:keepLines/>
      <w:numPr>
        <w:ilvl w:val="3"/>
        <w:numId w:val="1"/>
      </w:numPr>
      <w:adjustRightInd w:val="0"/>
      <w:spacing w:before="280" w:after="290" w:line="376" w:lineRule="atLeast"/>
      <w:outlineLvl w:val="3"/>
    </w:pPr>
    <w:rPr>
      <w:rFonts w:ascii="Arial" w:hAnsi="Arial" w:eastAsia="黑体"/>
      <w:b/>
      <w:kern w:val="0"/>
      <w:sz w:val="28"/>
      <w:szCs w:val="20"/>
    </w:rPr>
  </w:style>
  <w:style w:type="paragraph" w:styleId="6">
    <w:name w:val="heading 5"/>
    <w:basedOn w:val="1"/>
    <w:next w:val="1"/>
    <w:qFormat/>
    <w:uiPriority w:val="0"/>
    <w:pPr>
      <w:keepNext/>
      <w:keepLines/>
      <w:numPr>
        <w:ilvl w:val="4"/>
        <w:numId w:val="1"/>
      </w:numPr>
      <w:adjustRightInd w:val="0"/>
      <w:spacing w:before="280" w:after="290" w:line="376" w:lineRule="atLeast"/>
      <w:outlineLvl w:val="4"/>
    </w:pPr>
    <w:rPr>
      <w:rFonts w:eastAsia="Arial Unicode MS"/>
      <w:b/>
      <w:kern w:val="0"/>
      <w:sz w:val="28"/>
      <w:szCs w:val="20"/>
    </w:rPr>
  </w:style>
  <w:style w:type="paragraph" w:styleId="7">
    <w:name w:val="heading 6"/>
    <w:basedOn w:val="1"/>
    <w:next w:val="1"/>
    <w:qFormat/>
    <w:uiPriority w:val="0"/>
    <w:pPr>
      <w:keepNext/>
      <w:keepLines/>
      <w:numPr>
        <w:ilvl w:val="5"/>
        <w:numId w:val="1"/>
      </w:numPr>
      <w:adjustRightInd w:val="0"/>
      <w:spacing w:before="240" w:after="64" w:line="320" w:lineRule="atLeast"/>
      <w:outlineLvl w:val="5"/>
    </w:pPr>
    <w:rPr>
      <w:rFonts w:ascii="Arial" w:hAnsi="Arial" w:eastAsia="黑体"/>
      <w:b/>
      <w:kern w:val="0"/>
      <w:sz w:val="24"/>
      <w:szCs w:val="20"/>
    </w:rPr>
  </w:style>
  <w:style w:type="paragraph" w:styleId="8">
    <w:name w:val="heading 7"/>
    <w:basedOn w:val="1"/>
    <w:next w:val="1"/>
    <w:qFormat/>
    <w:uiPriority w:val="0"/>
    <w:pPr>
      <w:keepNext/>
      <w:keepLines/>
      <w:numPr>
        <w:ilvl w:val="6"/>
        <w:numId w:val="1"/>
      </w:numPr>
      <w:adjustRightInd w:val="0"/>
      <w:spacing w:before="240" w:after="64" w:line="320" w:lineRule="atLeast"/>
      <w:outlineLvl w:val="6"/>
    </w:pPr>
    <w:rPr>
      <w:b/>
      <w:kern w:val="0"/>
      <w:sz w:val="24"/>
      <w:szCs w:val="20"/>
    </w:rPr>
  </w:style>
  <w:style w:type="paragraph" w:styleId="9">
    <w:name w:val="heading 8"/>
    <w:basedOn w:val="1"/>
    <w:next w:val="1"/>
    <w:qFormat/>
    <w:uiPriority w:val="0"/>
    <w:pPr>
      <w:keepNext/>
      <w:keepLines/>
      <w:numPr>
        <w:ilvl w:val="7"/>
        <w:numId w:val="1"/>
      </w:numPr>
      <w:adjustRightInd w:val="0"/>
      <w:spacing w:before="240" w:after="64" w:line="320" w:lineRule="atLeast"/>
      <w:outlineLvl w:val="7"/>
    </w:pPr>
    <w:rPr>
      <w:rFonts w:ascii="Arial" w:hAnsi="Arial" w:eastAsia="黑体"/>
      <w:kern w:val="0"/>
      <w:sz w:val="24"/>
      <w:szCs w:val="20"/>
    </w:rPr>
  </w:style>
  <w:style w:type="paragraph" w:styleId="10">
    <w:name w:val="heading 9"/>
    <w:basedOn w:val="1"/>
    <w:next w:val="1"/>
    <w:qFormat/>
    <w:uiPriority w:val="0"/>
    <w:pPr>
      <w:keepNext/>
      <w:keepLines/>
      <w:numPr>
        <w:ilvl w:val="8"/>
        <w:numId w:val="1"/>
      </w:numPr>
      <w:adjustRightInd w:val="0"/>
      <w:spacing w:before="240" w:after="64" w:line="320" w:lineRule="atLeast"/>
      <w:outlineLvl w:val="8"/>
    </w:pPr>
    <w:rPr>
      <w:rFonts w:ascii="Arial" w:hAnsi="Arial" w:eastAsia="黑体"/>
      <w:kern w:val="0"/>
      <w:szCs w:val="20"/>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caption"/>
    <w:basedOn w:val="1"/>
    <w:next w:val="1"/>
    <w:qFormat/>
    <w:uiPriority w:val="0"/>
    <w:pPr>
      <w:jc w:val="center"/>
    </w:pPr>
    <w:rPr>
      <w:sz w:val="48"/>
      <w:szCs w:val="20"/>
    </w:rPr>
  </w:style>
  <w:style w:type="paragraph" w:styleId="13">
    <w:name w:val="Document Map"/>
    <w:basedOn w:val="1"/>
    <w:link w:val="41"/>
    <w:qFormat/>
    <w:uiPriority w:val="0"/>
    <w:rPr>
      <w:rFonts w:ascii="宋体"/>
      <w:sz w:val="18"/>
      <w:szCs w:val="18"/>
    </w:rPr>
  </w:style>
  <w:style w:type="paragraph" w:styleId="14">
    <w:name w:val="annotation text"/>
    <w:basedOn w:val="1"/>
    <w:semiHidden/>
    <w:qFormat/>
    <w:uiPriority w:val="0"/>
    <w:pPr>
      <w:jc w:val="left"/>
    </w:pPr>
  </w:style>
  <w:style w:type="paragraph" w:styleId="15">
    <w:name w:val="Body Text"/>
    <w:basedOn w:val="1"/>
    <w:qFormat/>
    <w:uiPriority w:val="0"/>
    <w:pPr>
      <w:spacing w:after="120"/>
    </w:pPr>
  </w:style>
  <w:style w:type="paragraph" w:styleId="16">
    <w:name w:val="Body Text Indent"/>
    <w:basedOn w:val="1"/>
    <w:qFormat/>
    <w:uiPriority w:val="0"/>
    <w:pPr>
      <w:adjustRightInd w:val="0"/>
      <w:spacing w:line="320" w:lineRule="atLeast"/>
      <w:ind w:firstLine="480"/>
      <w:textAlignment w:val="baseline"/>
    </w:pPr>
    <w:rPr>
      <w:rFonts w:ascii="楷体" w:eastAsia="楷体_GB2312"/>
      <w:kern w:val="0"/>
      <w:sz w:val="30"/>
      <w:szCs w:val="20"/>
    </w:rPr>
  </w:style>
  <w:style w:type="paragraph" w:styleId="17">
    <w:name w:val="toc 3"/>
    <w:basedOn w:val="1"/>
    <w:next w:val="1"/>
    <w:qFormat/>
    <w:uiPriority w:val="39"/>
    <w:pPr>
      <w:ind w:left="840" w:leftChars="400"/>
    </w:pPr>
  </w:style>
  <w:style w:type="paragraph" w:styleId="18">
    <w:name w:val="Body Text Indent 2"/>
    <w:basedOn w:val="1"/>
    <w:qFormat/>
    <w:uiPriority w:val="0"/>
    <w:pPr>
      <w:adjustRightInd w:val="0"/>
      <w:snapToGrid w:val="0"/>
      <w:spacing w:line="360" w:lineRule="auto"/>
      <w:ind w:firstLine="502"/>
    </w:pPr>
    <w:rPr>
      <w:rFonts w:ascii="仿宋_GB2312" w:eastAsia="仿宋_GB2312"/>
      <w:sz w:val="28"/>
    </w:rPr>
  </w:style>
  <w:style w:type="paragraph" w:styleId="19">
    <w:name w:val="Balloon Text"/>
    <w:basedOn w:val="1"/>
    <w:semiHidden/>
    <w:qFormat/>
    <w:uiPriority w:val="0"/>
    <w:rPr>
      <w:sz w:val="18"/>
      <w:szCs w:val="18"/>
    </w:rPr>
  </w:style>
  <w:style w:type="paragraph" w:styleId="20">
    <w:name w:val="footer"/>
    <w:basedOn w:val="1"/>
    <w:link w:val="40"/>
    <w:qFormat/>
    <w:uiPriority w:val="99"/>
    <w:pPr>
      <w:tabs>
        <w:tab w:val="center" w:pos="4320"/>
        <w:tab w:val="right" w:pos="8640"/>
      </w:tabs>
      <w:adjustRightInd w:val="0"/>
      <w:spacing w:line="240" w:lineRule="atLeast"/>
      <w:jc w:val="left"/>
      <w:textAlignment w:val="baseline"/>
    </w:pPr>
    <w:rPr>
      <w:rFonts w:ascii="楷体" w:eastAsia="Times New Roman"/>
      <w:kern w:val="0"/>
      <w:sz w:val="18"/>
      <w:szCs w:val="20"/>
    </w:rPr>
  </w:style>
  <w:style w:type="paragraph" w:styleId="21">
    <w:name w:val="header"/>
    <w:basedOn w:val="1"/>
    <w:qFormat/>
    <w:uiPriority w:val="0"/>
    <w:pPr>
      <w:pBdr>
        <w:bottom w:val="single" w:color="auto" w:sz="6" w:space="1"/>
      </w:pBdr>
      <w:tabs>
        <w:tab w:val="center" w:pos="4320"/>
        <w:tab w:val="right" w:pos="8640"/>
      </w:tabs>
      <w:adjustRightInd w:val="0"/>
      <w:spacing w:line="240" w:lineRule="atLeast"/>
      <w:jc w:val="center"/>
      <w:textAlignment w:val="baseline"/>
    </w:pPr>
    <w:rPr>
      <w:rFonts w:ascii="楷体" w:eastAsia="Times New Roman"/>
      <w:kern w:val="0"/>
      <w:sz w:val="18"/>
      <w:szCs w:val="20"/>
    </w:rPr>
  </w:style>
  <w:style w:type="paragraph" w:styleId="22">
    <w:name w:val="toc 1"/>
    <w:basedOn w:val="1"/>
    <w:next w:val="1"/>
    <w:qFormat/>
    <w:uiPriority w:val="39"/>
    <w:pPr>
      <w:adjustRightInd w:val="0"/>
      <w:snapToGrid w:val="0"/>
      <w:spacing w:line="360" w:lineRule="auto"/>
    </w:pPr>
    <w:rPr>
      <w:rFonts w:ascii="仿宋_GB2312" w:eastAsia="仿宋_GB2312"/>
      <w:b/>
      <w:snapToGrid w:val="0"/>
      <w:sz w:val="28"/>
      <w:szCs w:val="20"/>
    </w:rPr>
  </w:style>
  <w:style w:type="paragraph" w:styleId="23">
    <w:name w:val="toc 4"/>
    <w:basedOn w:val="1"/>
    <w:next w:val="1"/>
    <w:qFormat/>
    <w:uiPriority w:val="39"/>
    <w:pPr>
      <w:ind w:left="1260" w:leftChars="600"/>
    </w:pPr>
  </w:style>
  <w:style w:type="paragraph" w:styleId="24">
    <w:name w:val="Body Text Indent 3"/>
    <w:basedOn w:val="1"/>
    <w:qFormat/>
    <w:uiPriority w:val="0"/>
    <w:pPr>
      <w:snapToGrid w:val="0"/>
      <w:spacing w:line="360" w:lineRule="auto"/>
      <w:ind w:firstLine="502"/>
    </w:pPr>
    <w:rPr>
      <w:rFonts w:ascii="仿宋_GB2312" w:eastAsia="仿宋_GB2312"/>
      <w:color w:val="FF0000"/>
      <w:sz w:val="28"/>
    </w:rPr>
  </w:style>
  <w:style w:type="paragraph" w:styleId="25">
    <w:name w:val="toc 2"/>
    <w:basedOn w:val="1"/>
    <w:next w:val="1"/>
    <w:qFormat/>
    <w:uiPriority w:val="39"/>
    <w:pPr>
      <w:tabs>
        <w:tab w:val="left" w:pos="1260"/>
        <w:tab w:val="right" w:leader="dot" w:pos="9072"/>
      </w:tabs>
      <w:spacing w:line="360" w:lineRule="auto"/>
      <w:ind w:left="420" w:leftChars="200"/>
    </w:pPr>
    <w:rPr>
      <w:sz w:val="24"/>
    </w:rPr>
  </w:style>
  <w:style w:type="paragraph" w:styleId="26">
    <w:name w:val="annotation subject"/>
    <w:basedOn w:val="14"/>
    <w:next w:val="14"/>
    <w:semiHidden/>
    <w:qFormat/>
    <w:uiPriority w:val="0"/>
    <w:rPr>
      <w:b/>
      <w:bCs/>
    </w:rPr>
  </w:style>
  <w:style w:type="character" w:styleId="29">
    <w:name w:val="page number"/>
    <w:basedOn w:val="28"/>
    <w:qFormat/>
    <w:uiPriority w:val="0"/>
    <w:rPr>
      <w:rFonts w:ascii="宋体" w:hAnsi="宋体" w:eastAsia="宋体"/>
    </w:rPr>
  </w:style>
  <w:style w:type="character" w:styleId="30">
    <w:name w:val="Hyperlink"/>
    <w:basedOn w:val="28"/>
    <w:unhideWhenUsed/>
    <w:qFormat/>
    <w:uiPriority w:val="99"/>
    <w:rPr>
      <w:color w:val="0000FF"/>
      <w:u w:val="single"/>
    </w:rPr>
  </w:style>
  <w:style w:type="character" w:styleId="31">
    <w:name w:val="annotation reference"/>
    <w:basedOn w:val="28"/>
    <w:semiHidden/>
    <w:qFormat/>
    <w:uiPriority w:val="0"/>
    <w:rPr>
      <w:sz w:val="21"/>
      <w:szCs w:val="21"/>
    </w:rPr>
  </w:style>
  <w:style w:type="paragraph" w:customStyle="1" w:styleId="32">
    <w:name w:val="zw"/>
    <w:basedOn w:val="1"/>
    <w:qFormat/>
    <w:uiPriority w:val="0"/>
    <w:pPr>
      <w:adjustRightInd w:val="0"/>
      <w:spacing w:line="440" w:lineRule="atLeast"/>
      <w:ind w:firstLine="601"/>
      <w:textAlignment w:val="baseline"/>
    </w:pPr>
    <w:rPr>
      <w:rFonts w:ascii="Arial Narrow" w:eastAsia="昆仑楷体"/>
      <w:kern w:val="0"/>
      <w:sz w:val="28"/>
      <w:szCs w:val="20"/>
    </w:rPr>
  </w:style>
  <w:style w:type="paragraph" w:customStyle="1" w:styleId="33">
    <w:name w:val="fig"/>
    <w:basedOn w:val="1"/>
    <w:qFormat/>
    <w:uiPriority w:val="0"/>
    <w:pPr>
      <w:adjustRightInd w:val="0"/>
      <w:snapToGrid w:val="0"/>
      <w:spacing w:line="384" w:lineRule="auto"/>
      <w:ind w:firstLine="630" w:firstLineChars="300"/>
    </w:pPr>
    <w:rPr>
      <w:rFonts w:ascii="宋体" w:hAnsi="宋体"/>
      <w:szCs w:val="20"/>
    </w:rPr>
  </w:style>
  <w:style w:type="paragraph" w:customStyle="1" w:styleId="3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5">
    <w:name w:val="正文5"/>
    <w:basedOn w:val="18"/>
    <w:qFormat/>
    <w:uiPriority w:val="0"/>
    <w:pPr>
      <w:adjustRightInd/>
      <w:snapToGrid/>
      <w:ind w:firstLine="539"/>
    </w:pPr>
    <w:rPr>
      <w:szCs w:val="20"/>
    </w:rPr>
  </w:style>
  <w:style w:type="paragraph" w:customStyle="1" w:styleId="36">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kern w:val="0"/>
      <w:sz w:val="18"/>
      <w:szCs w:val="18"/>
    </w:rPr>
  </w:style>
  <w:style w:type="paragraph" w:customStyle="1" w:styleId="37">
    <w:name w:val="2"/>
    <w:basedOn w:val="1"/>
    <w:qFormat/>
    <w:uiPriority w:val="0"/>
    <w:rPr>
      <w:rFonts w:ascii="Tahoma" w:hAnsi="Tahoma"/>
      <w:sz w:val="24"/>
      <w:szCs w:val="20"/>
    </w:rPr>
  </w:style>
  <w:style w:type="paragraph" w:customStyle="1" w:styleId="38">
    <w:name w:val="1"/>
    <w:basedOn w:val="1"/>
    <w:qFormat/>
    <w:uiPriority w:val="0"/>
    <w:rPr>
      <w:rFonts w:ascii="Tahoma" w:hAnsi="Tahoma"/>
      <w:sz w:val="24"/>
      <w:szCs w:val="20"/>
    </w:rPr>
  </w:style>
  <w:style w:type="paragraph" w:customStyle="1" w:styleId="39">
    <w:name w:val="默认段落字体 Para Char Char Char Char Char Char Char"/>
    <w:basedOn w:val="1"/>
    <w:qFormat/>
    <w:uiPriority w:val="0"/>
    <w:rPr>
      <w:rFonts w:ascii="Tahoma" w:hAnsi="Tahoma"/>
      <w:sz w:val="24"/>
      <w:szCs w:val="20"/>
    </w:rPr>
  </w:style>
  <w:style w:type="character" w:customStyle="1" w:styleId="40">
    <w:name w:val="页脚 字符"/>
    <w:basedOn w:val="28"/>
    <w:link w:val="20"/>
    <w:qFormat/>
    <w:uiPriority w:val="99"/>
    <w:rPr>
      <w:rFonts w:ascii="楷体" w:eastAsia="Times New Roman"/>
      <w:sz w:val="18"/>
    </w:rPr>
  </w:style>
  <w:style w:type="character" w:customStyle="1" w:styleId="41">
    <w:name w:val="文档结构图 字符"/>
    <w:basedOn w:val="28"/>
    <w:link w:val="13"/>
    <w:qFormat/>
    <w:uiPriority w:val="0"/>
    <w:rPr>
      <w:rFonts w:ascii="宋体"/>
      <w:kern w:val="2"/>
      <w:sz w:val="18"/>
      <w:szCs w:val="18"/>
    </w:rPr>
  </w:style>
  <w:style w:type="paragraph" w:styleId="42">
    <w:name w:val="List Paragraph"/>
    <w:basedOn w:val="1"/>
    <w:qFormat/>
    <w:uiPriority w:val="34"/>
    <w:pPr>
      <w:ind w:firstLine="420" w:firstLineChars="200"/>
    </w:pPr>
  </w:style>
  <w:style w:type="paragraph" w:customStyle="1" w:styleId="4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4">
    <w:name w:val="fontstyle01"/>
    <w:basedOn w:val="2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XYZH CPA</Company>
  <Pages>1</Pages>
  <Words>1531</Words>
  <Characters>8728</Characters>
  <Lines>72</Lines>
  <Paragraphs>20</Paragraphs>
  <TotalTime>0</TotalTime>
  <ScaleCrop>false</ScaleCrop>
  <LinksUpToDate>false</LinksUpToDate>
  <CharactersWithSpaces>10239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2017-09-28T10:49:00Z</dcterms:created>
  <dc:creator>张丽娟</dc:creator>
  <cp:lastModifiedBy>雅矢</cp:lastModifiedBy>
  <cp:lastPrinted>2018-11-01T03:37:00Z</cp:lastPrinted>
  <dcterms:modified xsi:type="dcterms:W3CDTF">2019-11-20T05:13:34Z</dcterms:modified>
  <dc:title>资产评估报告书模板</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