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540"/>
        </w:tabs>
        <w:snapToGrid w:val="0"/>
        <w:spacing w:line="800" w:lineRule="exact"/>
        <w:ind w:firstLine="342" w:firstLineChars="142"/>
        <w:jc w:val="center"/>
        <w:rPr>
          <w:rFonts w:ascii="宋体" w:hAnsi="宋体" w:cs="宋体"/>
          <w:b/>
          <w:snapToGrid w:val="0"/>
          <w:kern w:val="0"/>
          <w:sz w:val="24"/>
          <w:szCs w:val="24"/>
        </w:rPr>
      </w:pPr>
      <w:r>
        <w:rPr>
          <w:rFonts w:ascii="宋体" w:hAnsi="宋体" w:cs="宋体"/>
          <w:b/>
          <w:snapToGrid w:val="0"/>
          <w:kern w:val="0"/>
          <w:sz w:val="24"/>
          <w:szCs w:val="24"/>
        </w:rPr>
        <w:tab/>
      </w:r>
    </w:p>
    <w:p>
      <w:pPr>
        <w:tabs>
          <w:tab w:val="left" w:pos="540"/>
        </w:tabs>
        <w:snapToGrid w:val="0"/>
        <w:spacing w:line="800" w:lineRule="exact"/>
        <w:rPr>
          <w:rFonts w:ascii="宋体" w:hAnsi="宋体" w:cs="宋体"/>
          <w:b/>
          <w:snapToGrid w:val="0"/>
          <w:kern w:val="0"/>
          <w:sz w:val="24"/>
          <w:szCs w:val="24"/>
        </w:rPr>
      </w:pPr>
    </w:p>
    <w:p>
      <w:pPr>
        <w:tabs>
          <w:tab w:val="left" w:pos="540"/>
        </w:tabs>
        <w:snapToGrid w:val="0"/>
        <w:spacing w:line="800" w:lineRule="exact"/>
        <w:ind w:firstLine="627" w:firstLineChars="142"/>
        <w:jc w:val="center"/>
        <w:rPr>
          <w:rFonts w:ascii="宋体" w:hAnsi="宋体" w:cs="宋体"/>
          <w:b/>
          <w:snapToGrid w:val="0"/>
          <w:kern w:val="0"/>
          <w:sz w:val="44"/>
          <w:szCs w:val="44"/>
        </w:rPr>
      </w:pPr>
      <w:r>
        <w:rPr>
          <w:rFonts w:hint="eastAsia" w:ascii="宋体" w:hAnsi="宋体" w:cs="宋体"/>
          <w:b/>
          <w:snapToGrid w:val="0"/>
          <w:kern w:val="0"/>
          <w:sz w:val="44"/>
          <w:szCs w:val="44"/>
        </w:rPr>
        <w:t>房地产</w:t>
      </w:r>
      <w:r>
        <w:rPr>
          <w:rFonts w:hint="eastAsia" w:ascii="宋体" w:hAnsi="宋体" w:cs="宋体"/>
          <w:b/>
          <w:snapToGrid w:val="0"/>
          <w:kern w:val="0"/>
          <w:sz w:val="44"/>
          <w:szCs w:val="44"/>
          <w:lang w:eastAsia="zh-CN"/>
        </w:rPr>
        <w:t>咨询性</w:t>
      </w:r>
      <w:r>
        <w:rPr>
          <w:rFonts w:hint="eastAsia" w:ascii="宋体" w:hAnsi="宋体" w:cs="宋体"/>
          <w:b/>
          <w:snapToGrid w:val="0"/>
          <w:kern w:val="0"/>
          <w:sz w:val="44"/>
          <w:szCs w:val="44"/>
        </w:rPr>
        <w:t>估价报告</w:t>
      </w:r>
    </w:p>
    <w:p>
      <w:pPr>
        <w:adjustRightInd w:val="0"/>
        <w:snapToGrid w:val="0"/>
        <w:spacing w:line="420" w:lineRule="exact"/>
        <w:ind w:left="1079" w:leftChars="514" w:right="384" w:rightChars="183"/>
        <w:rPr>
          <w:rFonts w:ascii="宋体" w:hAnsi="宋体" w:cs="宋体"/>
          <w:snapToGrid w:val="0"/>
          <w:kern w:val="0"/>
          <w:sz w:val="24"/>
          <w:szCs w:val="24"/>
        </w:rPr>
      </w:pPr>
    </w:p>
    <w:p>
      <w:pPr>
        <w:adjustRightInd w:val="0"/>
        <w:snapToGrid w:val="0"/>
        <w:spacing w:line="420" w:lineRule="exact"/>
        <w:ind w:left="1079" w:leftChars="514" w:right="384" w:rightChars="183"/>
        <w:rPr>
          <w:rFonts w:ascii="宋体" w:hAnsi="宋体" w:cs="宋体"/>
          <w:snapToGrid w:val="0"/>
          <w:kern w:val="0"/>
          <w:sz w:val="24"/>
          <w:szCs w:val="24"/>
        </w:rPr>
      </w:pPr>
    </w:p>
    <w:p>
      <w:pPr>
        <w:adjustRightInd w:val="0"/>
        <w:snapToGrid w:val="0"/>
        <w:spacing w:line="420" w:lineRule="exact"/>
        <w:ind w:left="1079" w:leftChars="514" w:right="384" w:rightChars="183"/>
        <w:rPr>
          <w:rFonts w:ascii="宋体" w:hAnsi="宋体" w:cs="宋体"/>
          <w:snapToGrid w:val="0"/>
          <w:kern w:val="0"/>
          <w:sz w:val="24"/>
          <w:szCs w:val="24"/>
        </w:rPr>
      </w:pPr>
    </w:p>
    <w:p>
      <w:pPr>
        <w:tabs>
          <w:tab w:val="left" w:pos="2160"/>
        </w:tabs>
        <w:adjustRightInd w:val="0"/>
        <w:spacing w:line="600" w:lineRule="exact"/>
        <w:ind w:left="2523" w:leftChars="171" w:hanging="2164" w:hangingChars="674"/>
        <w:rPr>
          <w:rFonts w:ascii="仿宋" w:hAnsi="仿宋" w:eastAsia="仿宋" w:cs="仿宋"/>
          <w:b/>
          <w:snapToGrid w:val="0"/>
          <w:spacing w:val="20"/>
          <w:kern w:val="0"/>
          <w:sz w:val="28"/>
          <w:szCs w:val="28"/>
        </w:rPr>
      </w:pPr>
      <w:r>
        <w:rPr>
          <w:rFonts w:hint="eastAsia" w:ascii="仿宋" w:hAnsi="仿宋" w:eastAsia="仿宋" w:cs="仿宋"/>
          <w:b/>
          <w:snapToGrid w:val="0"/>
          <w:spacing w:val="20"/>
          <w:kern w:val="0"/>
          <w:sz w:val="28"/>
          <w:szCs w:val="28"/>
        </w:rPr>
        <w:t>估价报告编号</w:t>
      </w:r>
      <w:r>
        <w:rPr>
          <w:rStyle w:val="33"/>
          <w:rFonts w:hint="eastAsia" w:ascii="仿宋" w:hAnsi="仿宋" w:eastAsia="仿宋" w:cs="仿宋"/>
          <w:bCs w:val="0"/>
          <w:sz w:val="28"/>
          <w:szCs w:val="28"/>
        </w:rPr>
        <w:t>:</w:t>
      </w:r>
    </w:p>
    <w:p>
      <w:pPr>
        <w:adjustRightInd w:val="0"/>
        <w:spacing w:line="600" w:lineRule="exact"/>
        <w:ind w:firstLine="960" w:firstLineChars="300"/>
        <w:rPr>
          <w:rFonts w:hint="eastAsia" w:ascii="仿宋" w:hAnsi="仿宋" w:eastAsia="仿宋" w:cs="宋体"/>
          <w:snapToGrid w:val="0"/>
          <w:color w:val="auto"/>
          <w:spacing w:val="20"/>
          <w:kern w:val="0"/>
          <w:sz w:val="28"/>
          <w:szCs w:val="28"/>
        </w:rPr>
      </w:pPr>
      <w:r>
        <w:rPr>
          <w:rFonts w:hint="eastAsia" w:ascii="仿宋" w:hAnsi="仿宋" w:eastAsia="仿宋" w:cs="宋体"/>
          <w:snapToGrid w:val="0"/>
          <w:color w:val="auto"/>
          <w:spacing w:val="20"/>
          <w:kern w:val="0"/>
          <w:sz w:val="28"/>
          <w:szCs w:val="28"/>
        </w:rPr>
        <w:t>川天成房咨(2019)第C196号</w:t>
      </w:r>
    </w:p>
    <w:p>
      <w:pPr>
        <w:adjustRightInd w:val="0"/>
        <w:spacing w:line="600" w:lineRule="exact"/>
        <w:ind w:left="2523" w:leftChars="171" w:hanging="2164" w:hangingChars="674"/>
        <w:rPr>
          <w:rFonts w:hint="eastAsia" w:ascii="仿宋" w:hAnsi="仿宋" w:eastAsia="仿宋" w:cs="仿宋"/>
          <w:b/>
          <w:snapToGrid w:val="0"/>
          <w:spacing w:val="20"/>
          <w:kern w:val="0"/>
          <w:sz w:val="28"/>
          <w:szCs w:val="28"/>
        </w:rPr>
      </w:pPr>
      <w:r>
        <w:rPr>
          <w:rFonts w:hint="eastAsia" w:ascii="仿宋" w:hAnsi="仿宋" w:eastAsia="仿宋" w:cs="仿宋"/>
          <w:b/>
          <w:snapToGrid w:val="0"/>
          <w:spacing w:val="20"/>
          <w:kern w:val="0"/>
          <w:sz w:val="28"/>
          <w:szCs w:val="28"/>
        </w:rPr>
        <w:t>估价项目名称：</w:t>
      </w:r>
    </w:p>
    <w:p>
      <w:pPr>
        <w:adjustRightInd w:val="0"/>
        <w:spacing w:line="600" w:lineRule="exact"/>
        <w:ind w:left="838" w:leftChars="399" w:firstLine="0" w:firstLineChars="0"/>
        <w:rPr>
          <w:rFonts w:hint="eastAsia" w:ascii="仿宋" w:hAnsi="仿宋" w:eastAsia="仿宋" w:cs="宋体"/>
          <w:snapToGrid w:val="0"/>
          <w:color w:val="auto"/>
          <w:spacing w:val="20"/>
          <w:kern w:val="0"/>
          <w:sz w:val="28"/>
          <w:szCs w:val="28"/>
        </w:rPr>
      </w:pPr>
      <w:r>
        <w:rPr>
          <w:rFonts w:hint="eastAsia" w:ascii="仿宋" w:hAnsi="仿宋" w:eastAsia="仿宋" w:cs="宋体"/>
          <w:snapToGrid w:val="0"/>
          <w:color w:val="auto"/>
          <w:spacing w:val="20"/>
          <w:kern w:val="0"/>
          <w:sz w:val="28"/>
          <w:szCs w:val="28"/>
          <w:lang w:eastAsia="zh-CN"/>
        </w:rPr>
        <w:t>毕节市七星关区清水铺镇东山村东山组</w:t>
      </w:r>
      <w:r>
        <w:rPr>
          <w:rFonts w:hint="eastAsia" w:ascii="仿宋" w:hAnsi="仿宋" w:eastAsia="仿宋" w:cs="宋体"/>
          <w:snapToGrid w:val="0"/>
          <w:color w:val="auto"/>
          <w:spacing w:val="20"/>
          <w:kern w:val="0"/>
          <w:sz w:val="28"/>
          <w:szCs w:val="28"/>
          <w:lang w:val="en-US" w:eastAsia="zh-CN"/>
        </w:rPr>
        <w:t>21</w:t>
      </w:r>
      <w:r>
        <w:rPr>
          <w:rFonts w:hint="eastAsia" w:ascii="仿宋" w:hAnsi="仿宋" w:eastAsia="仿宋" w:cs="宋体"/>
          <w:snapToGrid w:val="0"/>
          <w:color w:val="auto"/>
          <w:spacing w:val="20"/>
          <w:kern w:val="0"/>
          <w:sz w:val="28"/>
          <w:szCs w:val="28"/>
          <w:lang w:eastAsia="zh-CN"/>
        </w:rPr>
        <w:t>号农村住宅房地产</w:t>
      </w:r>
      <w:r>
        <w:rPr>
          <w:rFonts w:hint="eastAsia" w:ascii="仿宋" w:hAnsi="仿宋" w:eastAsia="仿宋" w:cs="宋体"/>
          <w:snapToGrid w:val="0"/>
          <w:color w:val="auto"/>
          <w:spacing w:val="20"/>
          <w:kern w:val="0"/>
          <w:sz w:val="28"/>
          <w:szCs w:val="28"/>
        </w:rPr>
        <w:t>市场价值</w:t>
      </w:r>
      <w:r>
        <w:rPr>
          <w:rFonts w:hint="eastAsia" w:ascii="仿宋" w:hAnsi="仿宋" w:eastAsia="仿宋" w:cs="宋体"/>
          <w:snapToGrid w:val="0"/>
          <w:color w:val="auto"/>
          <w:spacing w:val="20"/>
          <w:kern w:val="0"/>
          <w:sz w:val="28"/>
          <w:szCs w:val="28"/>
          <w:lang w:eastAsia="zh-CN"/>
        </w:rPr>
        <w:t>咨询性</w:t>
      </w:r>
      <w:r>
        <w:rPr>
          <w:rFonts w:hint="eastAsia" w:ascii="仿宋" w:hAnsi="仿宋" w:eastAsia="仿宋" w:cs="宋体"/>
          <w:snapToGrid w:val="0"/>
          <w:color w:val="auto"/>
          <w:spacing w:val="20"/>
          <w:kern w:val="0"/>
          <w:sz w:val="28"/>
          <w:szCs w:val="28"/>
        </w:rPr>
        <w:t>估价</w:t>
      </w:r>
    </w:p>
    <w:p>
      <w:pPr>
        <w:adjustRightInd w:val="0"/>
        <w:spacing w:line="600" w:lineRule="exact"/>
        <w:ind w:left="2523" w:leftChars="171" w:hanging="2164" w:hangingChars="674"/>
        <w:rPr>
          <w:rFonts w:hint="eastAsia" w:ascii="仿宋" w:hAnsi="仿宋" w:eastAsia="仿宋" w:cs="仿宋"/>
          <w:b/>
          <w:snapToGrid w:val="0"/>
          <w:spacing w:val="20"/>
          <w:kern w:val="0"/>
          <w:sz w:val="28"/>
          <w:szCs w:val="28"/>
        </w:rPr>
      </w:pPr>
      <w:r>
        <w:rPr>
          <w:rFonts w:hint="eastAsia" w:ascii="仿宋" w:hAnsi="仿宋" w:eastAsia="仿宋" w:cs="仿宋"/>
          <w:b/>
          <w:snapToGrid w:val="0"/>
          <w:spacing w:val="20"/>
          <w:kern w:val="0"/>
          <w:sz w:val="28"/>
          <w:szCs w:val="28"/>
        </w:rPr>
        <w:t>估价委托人：</w:t>
      </w:r>
    </w:p>
    <w:p>
      <w:pPr>
        <w:adjustRightInd w:val="0"/>
        <w:spacing w:line="600" w:lineRule="exact"/>
        <w:ind w:firstLine="960" w:firstLineChars="300"/>
        <w:rPr>
          <w:rFonts w:hint="eastAsia" w:ascii="仿宋" w:hAnsi="仿宋" w:eastAsia="仿宋" w:cs="宋体"/>
          <w:snapToGrid w:val="0"/>
          <w:color w:val="auto"/>
          <w:spacing w:val="20"/>
          <w:kern w:val="0"/>
          <w:sz w:val="28"/>
          <w:szCs w:val="28"/>
        </w:rPr>
      </w:pPr>
      <w:r>
        <w:rPr>
          <w:rFonts w:hint="eastAsia" w:ascii="仿宋" w:hAnsi="仿宋" w:eastAsia="仿宋" w:cs="宋体"/>
          <w:snapToGrid w:val="0"/>
          <w:color w:val="auto"/>
          <w:spacing w:val="20"/>
          <w:kern w:val="0"/>
          <w:sz w:val="28"/>
          <w:szCs w:val="28"/>
        </w:rPr>
        <w:t>毕节市七星关区人民法院</w:t>
      </w:r>
    </w:p>
    <w:p>
      <w:pPr>
        <w:adjustRightInd w:val="0"/>
        <w:spacing w:line="600" w:lineRule="exact"/>
        <w:ind w:left="2523" w:leftChars="171" w:hanging="2164" w:hangingChars="674"/>
        <w:rPr>
          <w:rFonts w:ascii="仿宋" w:hAnsi="仿宋" w:eastAsia="仿宋" w:cs="仿宋"/>
          <w:b/>
          <w:snapToGrid w:val="0"/>
          <w:spacing w:val="20"/>
          <w:kern w:val="0"/>
          <w:sz w:val="28"/>
          <w:szCs w:val="28"/>
        </w:rPr>
      </w:pPr>
      <w:r>
        <w:rPr>
          <w:rFonts w:hint="eastAsia" w:ascii="仿宋" w:hAnsi="仿宋" w:eastAsia="仿宋" w:cs="仿宋"/>
          <w:b/>
          <w:snapToGrid w:val="0"/>
          <w:spacing w:val="20"/>
          <w:kern w:val="0"/>
          <w:sz w:val="28"/>
          <w:szCs w:val="28"/>
        </w:rPr>
        <w:t>房地产估价机构</w:t>
      </w:r>
      <w:r>
        <w:rPr>
          <w:rStyle w:val="33"/>
          <w:rFonts w:hint="eastAsia" w:ascii="仿宋" w:hAnsi="仿宋" w:eastAsia="仿宋" w:cs="仿宋"/>
          <w:sz w:val="28"/>
          <w:szCs w:val="28"/>
        </w:rPr>
        <w:t>：</w:t>
      </w:r>
    </w:p>
    <w:p>
      <w:pPr>
        <w:adjustRightInd w:val="0"/>
        <w:spacing w:line="600" w:lineRule="exact"/>
        <w:ind w:left="2555" w:leftChars="495" w:hanging="1516" w:hangingChars="474"/>
        <w:rPr>
          <w:rFonts w:ascii="仿宋" w:hAnsi="仿宋" w:eastAsia="仿宋" w:cs="仿宋"/>
          <w:snapToGrid w:val="0"/>
          <w:spacing w:val="20"/>
          <w:kern w:val="0"/>
          <w:sz w:val="28"/>
          <w:szCs w:val="28"/>
        </w:rPr>
      </w:pPr>
      <w:r>
        <w:rPr>
          <w:rFonts w:hint="eastAsia" w:ascii="仿宋" w:hAnsi="仿宋" w:eastAsia="仿宋" w:cs="仿宋"/>
          <w:snapToGrid w:val="0"/>
          <w:spacing w:val="20"/>
          <w:kern w:val="0"/>
          <w:sz w:val="28"/>
          <w:szCs w:val="28"/>
        </w:rPr>
        <w:t>四川天成房地产土地估价咨询有限公司 壹级</w:t>
      </w:r>
    </w:p>
    <w:p>
      <w:pPr>
        <w:tabs>
          <w:tab w:val="left" w:pos="2160"/>
        </w:tabs>
        <w:adjustRightInd w:val="0"/>
        <w:spacing w:line="600" w:lineRule="exact"/>
        <w:ind w:left="2523" w:leftChars="171" w:hanging="2164" w:hangingChars="674"/>
        <w:rPr>
          <w:rFonts w:ascii="仿宋" w:hAnsi="仿宋" w:eastAsia="仿宋" w:cs="仿宋"/>
          <w:snapToGrid w:val="0"/>
          <w:spacing w:val="20"/>
          <w:kern w:val="0"/>
          <w:sz w:val="28"/>
          <w:szCs w:val="28"/>
        </w:rPr>
      </w:pPr>
      <w:r>
        <w:rPr>
          <w:rFonts w:hint="eastAsia" w:ascii="仿宋" w:hAnsi="仿宋" w:eastAsia="仿宋" w:cs="仿宋"/>
          <w:b/>
          <w:snapToGrid w:val="0"/>
          <w:spacing w:val="20"/>
          <w:kern w:val="0"/>
          <w:sz w:val="28"/>
          <w:szCs w:val="28"/>
        </w:rPr>
        <w:t>注册房地产估价师</w:t>
      </w:r>
      <w:r>
        <w:rPr>
          <w:rStyle w:val="33"/>
          <w:rFonts w:hint="eastAsia" w:ascii="仿宋" w:hAnsi="仿宋" w:eastAsia="仿宋" w:cs="仿宋"/>
          <w:sz w:val="28"/>
          <w:szCs w:val="28"/>
        </w:rPr>
        <w:t>：</w:t>
      </w:r>
    </w:p>
    <w:p>
      <w:pPr>
        <w:tabs>
          <w:tab w:val="left" w:pos="2160"/>
        </w:tabs>
        <w:adjustRightInd w:val="0"/>
        <w:spacing w:line="600" w:lineRule="exact"/>
        <w:ind w:firstLine="947" w:firstLineChars="296"/>
        <w:rPr>
          <w:rFonts w:ascii="仿宋" w:hAnsi="仿宋" w:eastAsia="仿宋" w:cs="宋体"/>
          <w:snapToGrid w:val="0"/>
          <w:color w:val="auto"/>
          <w:spacing w:val="20"/>
          <w:kern w:val="0"/>
          <w:sz w:val="28"/>
          <w:szCs w:val="28"/>
        </w:rPr>
      </w:pPr>
      <w:r>
        <w:rPr>
          <w:rFonts w:hint="eastAsia" w:ascii="仿宋" w:hAnsi="仿宋" w:eastAsia="仿宋" w:cs="宋体"/>
          <w:snapToGrid w:val="0"/>
          <w:color w:val="auto"/>
          <w:spacing w:val="20"/>
          <w:kern w:val="0"/>
          <w:sz w:val="28"/>
          <w:szCs w:val="28"/>
          <w:lang w:eastAsia="zh-CN"/>
        </w:rPr>
        <w:t>段春兰</w:t>
      </w:r>
      <w:r>
        <w:rPr>
          <w:rFonts w:hint="eastAsia" w:ascii="仿宋" w:hAnsi="仿宋" w:eastAsia="仿宋" w:cs="宋体"/>
          <w:snapToGrid w:val="0"/>
          <w:color w:val="auto"/>
          <w:spacing w:val="20"/>
          <w:kern w:val="0"/>
          <w:sz w:val="28"/>
          <w:szCs w:val="28"/>
        </w:rPr>
        <w:t>[注册号</w:t>
      </w:r>
      <w:r>
        <w:rPr>
          <w:rFonts w:hint="eastAsia" w:ascii="仿宋" w:hAnsi="仿宋" w:eastAsia="仿宋" w:cs="宋体"/>
          <w:snapToGrid w:val="0"/>
          <w:color w:val="auto"/>
          <w:spacing w:val="20"/>
          <w:kern w:val="0"/>
          <w:sz w:val="28"/>
          <w:szCs w:val="28"/>
          <w:lang w:val="en-US" w:eastAsia="zh-CN"/>
        </w:rPr>
        <w:t>5220190048</w:t>
      </w:r>
      <w:r>
        <w:rPr>
          <w:rFonts w:hint="eastAsia" w:ascii="仿宋" w:hAnsi="仿宋" w:eastAsia="仿宋" w:cs="宋体"/>
          <w:snapToGrid w:val="0"/>
          <w:color w:val="auto"/>
          <w:spacing w:val="20"/>
          <w:kern w:val="0"/>
          <w:sz w:val="28"/>
          <w:szCs w:val="28"/>
        </w:rPr>
        <w:t>]</w:t>
      </w:r>
    </w:p>
    <w:p>
      <w:pPr>
        <w:tabs>
          <w:tab w:val="left" w:pos="2160"/>
        </w:tabs>
        <w:adjustRightInd w:val="0"/>
        <w:spacing w:line="600" w:lineRule="exact"/>
        <w:ind w:firstLine="947" w:firstLineChars="296"/>
        <w:rPr>
          <w:rFonts w:hint="eastAsia" w:ascii="仿宋" w:hAnsi="仿宋" w:eastAsia="仿宋" w:cs="宋体"/>
          <w:snapToGrid w:val="0"/>
          <w:color w:val="auto"/>
          <w:spacing w:val="20"/>
          <w:kern w:val="0"/>
          <w:sz w:val="28"/>
          <w:szCs w:val="28"/>
        </w:rPr>
      </w:pPr>
      <w:r>
        <w:rPr>
          <w:rFonts w:hint="eastAsia" w:ascii="仿宋" w:hAnsi="仿宋" w:eastAsia="仿宋" w:cs="宋体"/>
          <w:snapToGrid w:val="0"/>
          <w:color w:val="auto"/>
          <w:spacing w:val="20"/>
          <w:kern w:val="0"/>
          <w:sz w:val="28"/>
          <w:szCs w:val="28"/>
        </w:rPr>
        <w:t>罗泽芳[注册号5120150067]</w:t>
      </w:r>
    </w:p>
    <w:p>
      <w:pPr>
        <w:tabs>
          <w:tab w:val="left" w:pos="2160"/>
        </w:tabs>
        <w:adjustRightInd w:val="0"/>
        <w:spacing w:line="600" w:lineRule="exact"/>
        <w:ind w:left="2523" w:leftChars="171" w:hanging="2164" w:hangingChars="674"/>
        <w:rPr>
          <w:rFonts w:ascii="仿宋" w:hAnsi="仿宋" w:eastAsia="仿宋" w:cs="仿宋"/>
          <w:b/>
          <w:snapToGrid w:val="0"/>
          <w:kern w:val="0"/>
          <w:sz w:val="28"/>
          <w:szCs w:val="28"/>
        </w:rPr>
      </w:pPr>
      <w:r>
        <w:rPr>
          <w:rFonts w:hint="eastAsia" w:ascii="仿宋" w:hAnsi="仿宋" w:eastAsia="仿宋" w:cs="仿宋"/>
          <w:b/>
          <w:snapToGrid w:val="0"/>
          <w:spacing w:val="20"/>
          <w:kern w:val="0"/>
          <w:sz w:val="28"/>
          <w:szCs w:val="28"/>
        </w:rPr>
        <w:t>估价报告出具日期</w:t>
      </w:r>
      <w:r>
        <w:rPr>
          <w:rStyle w:val="33"/>
          <w:rFonts w:hint="eastAsia" w:ascii="仿宋" w:hAnsi="仿宋" w:eastAsia="仿宋" w:cs="仿宋"/>
          <w:sz w:val="28"/>
          <w:szCs w:val="28"/>
        </w:rPr>
        <w:t>：</w:t>
      </w:r>
    </w:p>
    <w:p>
      <w:pPr>
        <w:tabs>
          <w:tab w:val="left" w:pos="2160"/>
        </w:tabs>
        <w:adjustRightInd w:val="0"/>
        <w:spacing w:line="600" w:lineRule="exact"/>
        <w:rPr>
          <w:rFonts w:hint="eastAsia" w:ascii="仿宋" w:hAnsi="仿宋" w:eastAsia="仿宋" w:cs="宋体"/>
          <w:snapToGrid w:val="0"/>
          <w:color w:val="auto"/>
          <w:spacing w:val="20"/>
          <w:kern w:val="0"/>
          <w:sz w:val="28"/>
          <w:szCs w:val="28"/>
          <w:lang w:eastAsia="zh-CN"/>
        </w:rPr>
      </w:pPr>
      <w:bookmarkStart w:id="0" w:name="_Toc385002006"/>
      <w:bookmarkStart w:id="1" w:name="_Toc18328"/>
      <w:bookmarkStart w:id="2" w:name="_Toc248673824"/>
      <w:bookmarkStart w:id="3" w:name="_Toc320276189"/>
      <w:r>
        <w:rPr>
          <w:rFonts w:hint="eastAsia" w:ascii="仿宋" w:hAnsi="仿宋" w:eastAsia="仿宋" w:cs="宋体"/>
          <w:snapToGrid w:val="0"/>
          <w:color w:val="auto"/>
          <w:spacing w:val="20"/>
          <w:kern w:val="0"/>
          <w:sz w:val="28"/>
          <w:szCs w:val="28"/>
        </w:rPr>
        <w:t xml:space="preserve"> </w:t>
      </w:r>
      <w:r>
        <w:rPr>
          <w:rFonts w:hint="eastAsia" w:ascii="仿宋" w:hAnsi="仿宋" w:eastAsia="仿宋" w:cs="宋体"/>
          <w:snapToGrid w:val="0"/>
          <w:color w:val="auto"/>
          <w:spacing w:val="20"/>
          <w:kern w:val="0"/>
          <w:sz w:val="28"/>
          <w:szCs w:val="28"/>
          <w:lang w:val="en-US" w:eastAsia="zh-CN"/>
        </w:rPr>
        <w:t xml:space="preserve">    </w:t>
      </w:r>
      <w:r>
        <w:rPr>
          <w:rFonts w:hint="eastAsia" w:ascii="仿宋" w:hAnsi="仿宋" w:eastAsia="仿宋" w:cs="宋体"/>
          <w:snapToGrid w:val="0"/>
          <w:color w:val="auto"/>
          <w:spacing w:val="20"/>
          <w:kern w:val="0"/>
          <w:sz w:val="28"/>
          <w:szCs w:val="28"/>
          <w:lang w:eastAsia="zh-CN"/>
        </w:rPr>
        <w:t>二〇一九年八月二十八日</w:t>
      </w:r>
    </w:p>
    <w:p>
      <w:pPr>
        <w:jc w:val="center"/>
        <w:rPr>
          <w:rFonts w:ascii="仿宋" w:hAnsi="仿宋" w:eastAsia="仿宋" w:cs="宋体"/>
          <w:b/>
          <w:snapToGrid w:val="0"/>
          <w:kern w:val="0"/>
          <w:sz w:val="24"/>
          <w:szCs w:val="24"/>
        </w:rPr>
      </w:pPr>
    </w:p>
    <w:p>
      <w:pPr>
        <w:jc w:val="center"/>
        <w:rPr>
          <w:rFonts w:ascii="仿宋" w:hAnsi="仿宋" w:eastAsia="仿宋" w:cs="宋体"/>
          <w:b/>
          <w:snapToGrid w:val="0"/>
          <w:kern w:val="0"/>
          <w:sz w:val="24"/>
          <w:szCs w:val="24"/>
        </w:rPr>
      </w:pPr>
    </w:p>
    <w:p>
      <w:pPr>
        <w:jc w:val="center"/>
        <w:rPr>
          <w:rFonts w:ascii="仿宋" w:hAnsi="仿宋" w:eastAsia="仿宋" w:cs="宋体"/>
          <w:b/>
          <w:snapToGrid w:val="0"/>
          <w:kern w:val="0"/>
          <w:sz w:val="24"/>
          <w:szCs w:val="24"/>
        </w:rPr>
      </w:pPr>
    </w:p>
    <w:p>
      <w:pPr>
        <w:jc w:val="center"/>
        <w:rPr>
          <w:rFonts w:ascii="仿宋" w:hAnsi="仿宋" w:eastAsia="仿宋" w:cs="宋体"/>
          <w:b/>
          <w:snapToGrid w:val="0"/>
          <w:kern w:val="0"/>
          <w:sz w:val="24"/>
          <w:szCs w:val="24"/>
        </w:rPr>
      </w:pPr>
    </w:p>
    <w:p>
      <w:pPr>
        <w:jc w:val="center"/>
        <w:rPr>
          <w:rFonts w:ascii="仿宋" w:hAnsi="仿宋" w:eastAsia="仿宋" w:cs="宋体"/>
          <w:b/>
          <w:snapToGrid w:val="0"/>
          <w:kern w:val="0"/>
          <w:sz w:val="24"/>
          <w:szCs w:val="24"/>
        </w:rPr>
      </w:pPr>
    </w:p>
    <w:p>
      <w:pPr>
        <w:jc w:val="center"/>
        <w:rPr>
          <w:rFonts w:ascii="黑体" w:hAnsi="黑体" w:eastAsia="黑体" w:cs="宋体"/>
          <w:b/>
          <w:snapToGrid w:val="0"/>
          <w:kern w:val="0"/>
          <w:sz w:val="24"/>
          <w:szCs w:val="24"/>
        </w:rPr>
      </w:pPr>
    </w:p>
    <w:p>
      <w:pPr>
        <w:rPr>
          <w:rFonts w:ascii="黑体" w:hAnsi="黑体" w:eastAsia="黑体" w:cs="宋体"/>
          <w:b/>
          <w:snapToGrid w:val="0"/>
          <w:kern w:val="0"/>
          <w:sz w:val="24"/>
          <w:szCs w:val="24"/>
        </w:rPr>
      </w:pPr>
    </w:p>
    <w:p>
      <w:pPr>
        <w:jc w:val="center"/>
        <w:rPr>
          <w:rFonts w:ascii="宋体" w:hAnsi="宋体" w:cs="宋体"/>
          <w:b/>
          <w:snapToGrid w:val="0"/>
          <w:kern w:val="0"/>
          <w:sz w:val="32"/>
          <w:szCs w:val="32"/>
        </w:rPr>
      </w:pPr>
      <w:r>
        <w:rPr>
          <w:rFonts w:hint="eastAsia" w:ascii="宋体" w:hAnsi="宋体" w:cs="宋体"/>
          <w:b/>
          <w:snapToGrid w:val="0"/>
          <w:kern w:val="0"/>
          <w:sz w:val="32"/>
          <w:szCs w:val="32"/>
        </w:rPr>
        <w:t>致估价委托人函</w:t>
      </w:r>
      <w:bookmarkEnd w:id="0"/>
      <w:bookmarkEnd w:id="1"/>
    </w:p>
    <w:p>
      <w:pPr>
        <w:jc w:val="center"/>
        <w:rPr>
          <w:rFonts w:ascii="黑体" w:hAnsi="黑体" w:eastAsia="黑体" w:cs="宋体"/>
          <w:b/>
          <w:snapToGrid w:val="0"/>
          <w:kern w:val="0"/>
          <w:sz w:val="24"/>
          <w:szCs w:val="24"/>
        </w:rPr>
      </w:pPr>
    </w:p>
    <w:p>
      <w:pPr>
        <w:adjustRightInd w:val="0"/>
        <w:spacing w:line="480" w:lineRule="exact"/>
        <w:rPr>
          <w:rFonts w:ascii="仿宋" w:hAnsi="仿宋" w:eastAsia="仿宋" w:cs="宋体"/>
          <w:b/>
          <w:bCs/>
          <w:sz w:val="24"/>
          <w:szCs w:val="24"/>
        </w:rPr>
      </w:pPr>
      <w:r>
        <w:rPr>
          <w:rFonts w:hint="eastAsia" w:ascii="仿宋_GB2312" w:hAnsi="仿宋" w:eastAsia="仿宋_GB2312"/>
          <w:b/>
          <w:snapToGrid w:val="0"/>
          <w:color w:val="auto"/>
          <w:spacing w:val="2"/>
          <w:kern w:val="0"/>
          <w:sz w:val="24"/>
          <w:szCs w:val="24"/>
        </w:rPr>
        <w:t>毕节市七星关区</w:t>
      </w:r>
      <w:r>
        <w:rPr>
          <w:rFonts w:hint="eastAsia" w:ascii="仿宋" w:hAnsi="仿宋" w:eastAsia="仿宋" w:cs="宋体"/>
          <w:b/>
          <w:bCs/>
          <w:sz w:val="24"/>
          <w:szCs w:val="24"/>
        </w:rPr>
        <w:t>人民法院</w:t>
      </w:r>
      <w:r>
        <w:rPr>
          <w:rFonts w:hint="eastAsia" w:ascii="仿宋" w:hAnsi="仿宋" w:eastAsia="仿宋" w:cs="宋体"/>
          <w:b/>
          <w:bCs/>
          <w:snapToGrid w:val="0"/>
          <w:kern w:val="0"/>
          <w:sz w:val="24"/>
          <w:szCs w:val="24"/>
        </w:rPr>
        <w:t>：</w:t>
      </w:r>
    </w:p>
    <w:p>
      <w:pPr>
        <w:adjustRightInd w:val="0"/>
        <w:spacing w:line="480" w:lineRule="exact"/>
        <w:ind w:firstLine="480" w:firstLineChars="200"/>
        <w:rPr>
          <w:rFonts w:ascii="仿宋" w:hAnsi="仿宋" w:eastAsia="仿宋"/>
          <w:snapToGrid w:val="0"/>
          <w:kern w:val="0"/>
          <w:sz w:val="24"/>
          <w:szCs w:val="24"/>
        </w:rPr>
      </w:pPr>
      <w:r>
        <w:rPr>
          <w:rFonts w:hint="eastAsia" w:ascii="仿宋" w:hAnsi="仿宋" w:eastAsia="仿宋"/>
          <w:snapToGrid w:val="0"/>
          <w:kern w:val="0"/>
          <w:sz w:val="24"/>
          <w:szCs w:val="24"/>
        </w:rPr>
        <w:t>受贵院委托，我公司成立以注册房地产估价师</w:t>
      </w:r>
      <w:r>
        <w:rPr>
          <w:rFonts w:hint="eastAsia" w:ascii="仿宋" w:hAnsi="仿宋" w:eastAsia="仿宋"/>
          <w:snapToGrid w:val="0"/>
          <w:kern w:val="0"/>
          <w:sz w:val="24"/>
          <w:szCs w:val="24"/>
          <w:lang w:eastAsia="zh-CN"/>
        </w:rPr>
        <w:t>罗泽芳</w:t>
      </w:r>
      <w:r>
        <w:rPr>
          <w:rFonts w:hint="eastAsia" w:ascii="仿宋" w:hAnsi="仿宋" w:eastAsia="仿宋"/>
          <w:snapToGrid w:val="0"/>
          <w:kern w:val="0"/>
          <w:sz w:val="24"/>
          <w:szCs w:val="24"/>
        </w:rPr>
        <w:t>为项目负责人的估价小组，依据</w:t>
      </w:r>
      <w:r>
        <w:rPr>
          <w:rFonts w:hint="eastAsia" w:ascii="仿宋" w:hAnsi="仿宋" w:eastAsia="仿宋" w:cs="宋体"/>
          <w:sz w:val="24"/>
          <w:szCs w:val="24"/>
        </w:rPr>
        <w:t>现行法律、法规、政策、技术标准、估价委托人提供的资料和陈述的有关情况，经过实地查勘和市场调查，根据估价目的，遵循估价原则，按照估价程序，在充分考虑影响农村住宅房地产价值的各项因素的基础上，对</w:t>
      </w:r>
      <w:r>
        <w:rPr>
          <w:rFonts w:hint="eastAsia" w:ascii="仿宋" w:hAnsi="仿宋" w:eastAsia="仿宋" w:cs="宋体"/>
          <w:sz w:val="24"/>
          <w:szCs w:val="24"/>
          <w:lang w:eastAsia="zh-CN"/>
        </w:rPr>
        <w:t>彭金钊</w:t>
      </w:r>
      <w:r>
        <w:rPr>
          <w:rFonts w:hint="eastAsia" w:ascii="仿宋" w:hAnsi="仿宋" w:eastAsia="仿宋" w:cs="宋体"/>
          <w:sz w:val="24"/>
          <w:szCs w:val="24"/>
        </w:rPr>
        <w:t>位于</w:t>
      </w:r>
      <w:r>
        <w:rPr>
          <w:rFonts w:hint="eastAsia" w:ascii="仿宋" w:hAnsi="仿宋" w:eastAsia="仿宋" w:cs="宋体"/>
          <w:color w:val="auto"/>
          <w:sz w:val="24"/>
          <w:szCs w:val="24"/>
          <w:lang w:eastAsia="zh-CN"/>
        </w:rPr>
        <w:t>七星关区清水铺镇东山村东山组</w:t>
      </w:r>
      <w:r>
        <w:rPr>
          <w:rFonts w:hint="eastAsia" w:ascii="仿宋" w:hAnsi="仿宋" w:eastAsia="仿宋" w:cs="宋体"/>
          <w:color w:val="auto"/>
          <w:sz w:val="24"/>
          <w:szCs w:val="24"/>
          <w:lang w:val="en-US" w:eastAsia="zh-CN"/>
        </w:rPr>
        <w:t>21</w:t>
      </w:r>
      <w:r>
        <w:rPr>
          <w:rFonts w:hint="eastAsia" w:ascii="仿宋" w:hAnsi="仿宋" w:eastAsia="仿宋" w:cs="宋体"/>
          <w:sz w:val="24"/>
          <w:szCs w:val="24"/>
        </w:rPr>
        <w:t>号</w:t>
      </w:r>
      <w:r>
        <w:rPr>
          <w:rFonts w:hint="eastAsia" w:ascii="仿宋" w:hAnsi="仿宋" w:eastAsia="仿宋" w:cs="宋体"/>
          <w:sz w:val="24"/>
          <w:szCs w:val="24"/>
          <w:lang w:eastAsia="zh-CN"/>
        </w:rPr>
        <w:t>的</w:t>
      </w:r>
      <w:r>
        <w:rPr>
          <w:rFonts w:hint="eastAsia" w:ascii="仿宋" w:hAnsi="仿宋" w:eastAsia="仿宋" w:cs="宋体"/>
          <w:sz w:val="24"/>
          <w:szCs w:val="24"/>
        </w:rPr>
        <w:t>农村</w:t>
      </w:r>
      <w:r>
        <w:rPr>
          <w:rFonts w:hint="eastAsia" w:ascii="仿宋" w:hAnsi="仿宋" w:eastAsia="仿宋" w:cs="宋体"/>
          <w:sz w:val="24"/>
          <w:szCs w:val="24"/>
          <w:lang w:eastAsia="zh-CN"/>
        </w:rPr>
        <w:t>住宅</w:t>
      </w:r>
      <w:r>
        <w:rPr>
          <w:rFonts w:hint="eastAsia" w:ascii="仿宋" w:hAnsi="仿宋" w:eastAsia="仿宋" w:cs="宋体"/>
          <w:sz w:val="24"/>
          <w:szCs w:val="24"/>
        </w:rPr>
        <w:t>房地产于现状</w:t>
      </w:r>
      <w:r>
        <w:rPr>
          <w:rFonts w:hint="eastAsia" w:ascii="仿宋" w:hAnsi="仿宋" w:eastAsia="仿宋"/>
          <w:snapToGrid w:val="0"/>
          <w:kern w:val="0"/>
          <w:sz w:val="24"/>
          <w:szCs w:val="24"/>
        </w:rPr>
        <w:t>利用条件下的市场价值进行了</w:t>
      </w:r>
      <w:r>
        <w:rPr>
          <w:rFonts w:hint="eastAsia" w:ascii="仿宋" w:hAnsi="仿宋" w:eastAsia="仿宋"/>
          <w:snapToGrid w:val="0"/>
          <w:kern w:val="0"/>
          <w:sz w:val="24"/>
          <w:szCs w:val="24"/>
          <w:lang w:eastAsia="zh-CN"/>
        </w:rPr>
        <w:t>咨询性</w:t>
      </w:r>
      <w:r>
        <w:rPr>
          <w:rFonts w:hint="eastAsia" w:ascii="仿宋" w:hAnsi="仿宋" w:eastAsia="仿宋"/>
          <w:snapToGrid w:val="0"/>
          <w:kern w:val="0"/>
          <w:sz w:val="24"/>
          <w:szCs w:val="24"/>
        </w:rPr>
        <w:t>估价。</w:t>
      </w:r>
    </w:p>
    <w:p>
      <w:pPr>
        <w:adjustRightInd w:val="0"/>
        <w:spacing w:line="480" w:lineRule="exact"/>
        <w:ind w:firstLine="480" w:firstLineChars="200"/>
        <w:rPr>
          <w:rFonts w:ascii="仿宋" w:hAnsi="仿宋" w:eastAsia="仿宋" w:cs="宋体"/>
          <w:sz w:val="24"/>
          <w:szCs w:val="24"/>
        </w:rPr>
      </w:pPr>
      <w:r>
        <w:rPr>
          <w:rFonts w:hint="eastAsia" w:ascii="仿宋" w:hAnsi="仿宋" w:eastAsia="仿宋"/>
          <w:snapToGrid w:val="0"/>
          <w:kern w:val="0"/>
          <w:sz w:val="24"/>
          <w:szCs w:val="24"/>
        </w:rPr>
        <w:t>1、估价对</w:t>
      </w:r>
      <w:r>
        <w:rPr>
          <w:rFonts w:hint="eastAsia" w:ascii="仿宋" w:hAnsi="仿宋" w:eastAsia="仿宋" w:cs="宋体"/>
          <w:sz w:val="24"/>
          <w:szCs w:val="24"/>
        </w:rPr>
        <w:t>象：本次估价对象位于</w:t>
      </w:r>
      <w:r>
        <w:rPr>
          <w:rFonts w:hint="eastAsia" w:ascii="仿宋" w:hAnsi="仿宋" w:eastAsia="仿宋" w:cs="宋体"/>
          <w:color w:val="auto"/>
          <w:sz w:val="24"/>
          <w:szCs w:val="24"/>
          <w:lang w:eastAsia="zh-CN"/>
        </w:rPr>
        <w:t>七星关区清水铺镇东山村东山组</w:t>
      </w:r>
      <w:r>
        <w:rPr>
          <w:rFonts w:hint="eastAsia" w:ascii="仿宋" w:hAnsi="仿宋" w:eastAsia="仿宋" w:cs="宋体"/>
          <w:color w:val="auto"/>
          <w:sz w:val="24"/>
          <w:szCs w:val="24"/>
          <w:lang w:val="en-US" w:eastAsia="zh-CN"/>
        </w:rPr>
        <w:t>21</w:t>
      </w:r>
      <w:r>
        <w:rPr>
          <w:rFonts w:hint="eastAsia" w:ascii="仿宋" w:hAnsi="仿宋" w:eastAsia="仿宋" w:cs="宋体"/>
          <w:sz w:val="24"/>
          <w:szCs w:val="24"/>
        </w:rPr>
        <w:t>号农村</w:t>
      </w:r>
      <w:r>
        <w:rPr>
          <w:rFonts w:hint="eastAsia" w:ascii="仿宋" w:hAnsi="仿宋" w:eastAsia="仿宋" w:cs="宋体"/>
          <w:sz w:val="24"/>
          <w:szCs w:val="24"/>
          <w:lang w:eastAsia="zh-CN"/>
        </w:rPr>
        <w:t>住宅</w:t>
      </w:r>
      <w:r>
        <w:rPr>
          <w:rFonts w:hint="eastAsia" w:ascii="仿宋" w:hAnsi="仿宋" w:eastAsia="仿宋" w:cs="宋体"/>
          <w:sz w:val="24"/>
          <w:szCs w:val="24"/>
        </w:rPr>
        <w:t>房地产，房屋所有权人为</w:t>
      </w:r>
      <w:r>
        <w:rPr>
          <w:rFonts w:hint="eastAsia" w:ascii="仿宋" w:hAnsi="仿宋" w:eastAsia="仿宋" w:cs="宋体"/>
          <w:sz w:val="24"/>
          <w:szCs w:val="24"/>
          <w:lang w:eastAsia="zh-CN"/>
        </w:rPr>
        <w:t>彭金钊</w:t>
      </w:r>
      <w:r>
        <w:rPr>
          <w:rFonts w:hint="eastAsia" w:ascii="仿宋" w:hAnsi="仿宋" w:eastAsia="仿宋" w:cs="宋体"/>
          <w:sz w:val="24"/>
          <w:szCs w:val="24"/>
        </w:rPr>
        <w:t>。估价对象建筑物面积</w:t>
      </w:r>
      <w:r>
        <w:rPr>
          <w:rFonts w:hint="eastAsia" w:ascii="仿宋" w:hAnsi="仿宋" w:eastAsia="仿宋" w:cs="宋体"/>
          <w:sz w:val="24"/>
          <w:szCs w:val="24"/>
          <w:lang w:val="en-US" w:eastAsia="zh-CN"/>
        </w:rPr>
        <w:t>122.22</w:t>
      </w:r>
      <w:r>
        <w:rPr>
          <w:rFonts w:hint="eastAsia" w:ascii="仿宋" w:hAnsi="仿宋" w:eastAsia="仿宋" w:cs="宋体"/>
          <w:sz w:val="24"/>
          <w:szCs w:val="24"/>
        </w:rPr>
        <w:t>㎡，</w:t>
      </w:r>
      <w:r>
        <w:rPr>
          <w:rFonts w:hint="eastAsia" w:ascii="仿宋" w:hAnsi="仿宋" w:eastAsia="仿宋" w:cs="宋体"/>
          <w:sz w:val="24"/>
          <w:szCs w:val="24"/>
          <w:lang w:eastAsia="zh-CN"/>
        </w:rPr>
        <w:t>共</w:t>
      </w:r>
      <w:r>
        <w:rPr>
          <w:rFonts w:hint="eastAsia" w:ascii="仿宋" w:hAnsi="仿宋" w:eastAsia="仿宋" w:cs="宋体"/>
          <w:sz w:val="24"/>
          <w:szCs w:val="24"/>
          <w:lang w:val="en-US" w:eastAsia="zh-CN"/>
        </w:rPr>
        <w:t>1层，</w:t>
      </w:r>
      <w:r>
        <w:rPr>
          <w:rFonts w:hint="eastAsia" w:ascii="仿宋" w:hAnsi="仿宋" w:eastAsia="仿宋" w:cs="宋体"/>
          <w:sz w:val="24"/>
          <w:szCs w:val="24"/>
        </w:rPr>
        <w:t>房屋结构为混合，于</w:t>
      </w:r>
      <w:r>
        <w:rPr>
          <w:rFonts w:hint="eastAsia" w:ascii="仿宋" w:hAnsi="仿宋" w:eastAsia="仿宋" w:cs="宋体"/>
          <w:sz w:val="24"/>
          <w:szCs w:val="24"/>
          <w:lang w:val="en-US" w:eastAsia="zh-CN"/>
        </w:rPr>
        <w:t>2013</w:t>
      </w:r>
      <w:r>
        <w:rPr>
          <w:rFonts w:hint="eastAsia" w:ascii="仿宋" w:hAnsi="仿宋" w:eastAsia="仿宋" w:cs="宋体"/>
          <w:sz w:val="24"/>
          <w:szCs w:val="24"/>
        </w:rPr>
        <w:t>年修建，宅基地面积为17</w:t>
      </w:r>
      <w:r>
        <w:rPr>
          <w:rFonts w:hint="eastAsia" w:ascii="仿宋" w:hAnsi="仿宋" w:eastAsia="仿宋" w:cs="宋体"/>
          <w:sz w:val="24"/>
          <w:szCs w:val="24"/>
          <w:lang w:val="en-US" w:eastAsia="zh-CN"/>
        </w:rPr>
        <w:t>7.32</w:t>
      </w:r>
      <w:r>
        <w:rPr>
          <w:rFonts w:hint="eastAsia" w:ascii="仿宋" w:hAnsi="仿宋" w:eastAsia="仿宋" w:cs="宋体"/>
          <w:sz w:val="24"/>
          <w:szCs w:val="24"/>
        </w:rPr>
        <w:t>㎡。</w:t>
      </w:r>
      <w:r>
        <w:rPr>
          <w:rFonts w:hint="eastAsia" w:ascii="仿宋" w:hAnsi="仿宋" w:eastAsia="仿宋"/>
          <w:snapToGrid w:val="0"/>
          <w:kern w:val="0"/>
          <w:sz w:val="24"/>
          <w:szCs w:val="24"/>
        </w:rPr>
        <w:t>列入本次估价范围的是房屋</w:t>
      </w:r>
      <w:r>
        <w:rPr>
          <w:rFonts w:hint="eastAsia" w:ascii="仿宋" w:hAnsi="仿宋" w:eastAsia="仿宋"/>
          <w:snapToGrid w:val="0"/>
          <w:kern w:val="0"/>
          <w:sz w:val="24"/>
          <w:szCs w:val="24"/>
          <w:lang w:eastAsia="zh-CN"/>
        </w:rPr>
        <w:t>及其</w:t>
      </w:r>
      <w:r>
        <w:rPr>
          <w:rFonts w:hint="eastAsia" w:ascii="仿宋" w:hAnsi="仿宋" w:eastAsia="仿宋"/>
          <w:snapToGrid w:val="0"/>
          <w:kern w:val="0"/>
          <w:sz w:val="24"/>
          <w:szCs w:val="24"/>
        </w:rPr>
        <w:t>宅基地、以及</w:t>
      </w:r>
      <w:r>
        <w:rPr>
          <w:rFonts w:hint="eastAsia" w:ascii="仿宋" w:hAnsi="仿宋" w:eastAsia="仿宋"/>
          <w:snapToGrid w:val="0"/>
          <w:kern w:val="0"/>
          <w:sz w:val="24"/>
          <w:szCs w:val="24"/>
          <w:lang w:eastAsia="zh-CN"/>
        </w:rPr>
        <w:t>按二手房交易时通常包含</w:t>
      </w:r>
      <w:r>
        <w:rPr>
          <w:rFonts w:hint="eastAsia" w:ascii="仿宋" w:hAnsi="仿宋" w:eastAsia="仿宋"/>
          <w:snapToGrid w:val="0"/>
          <w:kern w:val="0"/>
          <w:sz w:val="24"/>
          <w:szCs w:val="24"/>
        </w:rPr>
        <w:t>的装饰装修价值，不包括动产、树木等，以及债权债务、特许经营权等其他财产或权益。</w:t>
      </w:r>
    </w:p>
    <w:p>
      <w:pPr>
        <w:adjustRightInd w:val="0"/>
        <w:spacing w:line="480" w:lineRule="exact"/>
        <w:ind w:firstLine="480" w:firstLineChars="200"/>
        <w:rPr>
          <w:rFonts w:ascii="仿宋" w:hAnsi="仿宋" w:eastAsia="仿宋" w:cs="宋体"/>
          <w:sz w:val="24"/>
          <w:szCs w:val="24"/>
        </w:rPr>
      </w:pPr>
      <w:r>
        <w:rPr>
          <w:rFonts w:hint="eastAsia" w:ascii="仿宋" w:hAnsi="仿宋" w:eastAsia="仿宋" w:cs="宋体"/>
          <w:sz w:val="24"/>
          <w:szCs w:val="24"/>
        </w:rPr>
        <w:t>2、估价目的：为司法诉讼案件</w:t>
      </w:r>
      <w:r>
        <w:rPr>
          <w:rFonts w:hint="eastAsia" w:ascii="仿宋" w:hAnsi="仿宋" w:eastAsia="仿宋" w:cs="宋体"/>
          <w:sz w:val="24"/>
          <w:szCs w:val="24"/>
          <w:lang w:eastAsia="zh-CN"/>
        </w:rPr>
        <w:t>审理</w:t>
      </w:r>
      <w:r>
        <w:rPr>
          <w:rFonts w:hint="eastAsia" w:ascii="仿宋" w:hAnsi="仿宋" w:eastAsia="仿宋" w:cs="宋体"/>
          <w:sz w:val="24"/>
          <w:szCs w:val="24"/>
        </w:rPr>
        <w:t>提供房地产市场价值参考依据。</w:t>
      </w:r>
    </w:p>
    <w:p>
      <w:pPr>
        <w:adjustRightInd w:val="0"/>
        <w:spacing w:line="480" w:lineRule="exact"/>
        <w:ind w:firstLine="480" w:firstLineChars="200"/>
        <w:rPr>
          <w:rFonts w:ascii="仿宋" w:hAnsi="仿宋" w:eastAsia="仿宋" w:cs="宋体"/>
          <w:sz w:val="24"/>
          <w:szCs w:val="24"/>
        </w:rPr>
      </w:pPr>
      <w:r>
        <w:rPr>
          <w:rFonts w:hint="eastAsia" w:ascii="仿宋" w:hAnsi="仿宋" w:eastAsia="仿宋" w:cs="宋体"/>
          <w:sz w:val="24"/>
          <w:szCs w:val="24"/>
        </w:rPr>
        <w:t>3、价值时点：2019年</w:t>
      </w:r>
      <w:r>
        <w:rPr>
          <w:rFonts w:hint="eastAsia" w:ascii="仿宋" w:hAnsi="仿宋" w:eastAsia="仿宋" w:cs="宋体"/>
          <w:sz w:val="24"/>
          <w:szCs w:val="24"/>
          <w:lang w:val="en-US" w:eastAsia="zh-CN"/>
        </w:rPr>
        <w:t>8</w:t>
      </w:r>
      <w:r>
        <w:rPr>
          <w:rFonts w:hint="eastAsia" w:ascii="仿宋" w:hAnsi="仿宋" w:eastAsia="仿宋" w:cs="宋体"/>
          <w:sz w:val="24"/>
          <w:szCs w:val="24"/>
        </w:rPr>
        <w:t>月</w:t>
      </w:r>
      <w:r>
        <w:rPr>
          <w:rFonts w:hint="eastAsia" w:ascii="仿宋" w:hAnsi="仿宋" w:eastAsia="仿宋" w:cs="宋体"/>
          <w:sz w:val="24"/>
          <w:szCs w:val="24"/>
          <w:lang w:val="en-US" w:eastAsia="zh-CN"/>
        </w:rPr>
        <w:t>16</w:t>
      </w:r>
      <w:r>
        <w:rPr>
          <w:rFonts w:hint="eastAsia" w:ascii="仿宋" w:hAnsi="仿宋" w:eastAsia="仿宋" w:cs="宋体"/>
          <w:sz w:val="24"/>
          <w:szCs w:val="24"/>
        </w:rPr>
        <w:t>日。</w:t>
      </w:r>
    </w:p>
    <w:p>
      <w:pPr>
        <w:adjustRightIn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4、价值类型：市场价值，不考虑税费的转移负担。</w:t>
      </w:r>
    </w:p>
    <w:p>
      <w:pPr>
        <w:adjustRightIn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5、估价方法：成本法。</w:t>
      </w:r>
    </w:p>
    <w:p>
      <w:pPr>
        <w:adjustRightIn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6、估价结果：估价人员进行周密的计算、分析、测算和判断，确定估价对象在价值时点满足本报告“估价假设和限制条件”下的估价结果为：</w:t>
      </w:r>
    </w:p>
    <w:p>
      <w:pPr>
        <w:adjustRightInd w:val="0"/>
        <w:spacing w:line="44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总价：</w:t>
      </w:r>
      <w:r>
        <w:rPr>
          <w:rFonts w:hint="eastAsia" w:ascii="仿宋" w:hAnsi="仿宋" w:eastAsia="仿宋" w:cs="仿宋"/>
          <w:b/>
          <w:bCs/>
          <w:sz w:val="24"/>
          <w:szCs w:val="24"/>
          <w:lang w:val="zh-CN"/>
        </w:rPr>
        <w:t>RMB</w:t>
      </w:r>
      <w:r>
        <w:rPr>
          <w:rFonts w:hint="eastAsia" w:ascii="仿宋" w:hAnsi="仿宋" w:eastAsia="仿宋" w:cs="仿宋"/>
          <w:b/>
          <w:bCs/>
          <w:sz w:val="24"/>
          <w:szCs w:val="24"/>
          <w:lang w:val="en-US" w:eastAsia="zh-CN"/>
        </w:rPr>
        <w:t>14.52</w:t>
      </w:r>
      <w:r>
        <w:rPr>
          <w:rFonts w:hint="eastAsia" w:ascii="仿宋" w:hAnsi="仿宋" w:eastAsia="仿宋" w:cs="仿宋"/>
          <w:b/>
          <w:bCs/>
          <w:sz w:val="24"/>
          <w:szCs w:val="24"/>
        </w:rPr>
        <w:t>万元</w:t>
      </w:r>
    </w:p>
    <w:p>
      <w:pPr>
        <w:adjustRightInd w:val="0"/>
        <w:spacing w:line="44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大写：人民币壹拾</w:t>
      </w:r>
      <w:r>
        <w:rPr>
          <w:rFonts w:hint="eastAsia" w:ascii="仿宋" w:hAnsi="仿宋" w:eastAsia="仿宋" w:cs="仿宋"/>
          <w:b/>
          <w:bCs/>
          <w:sz w:val="24"/>
          <w:szCs w:val="24"/>
          <w:lang w:eastAsia="zh-CN"/>
        </w:rPr>
        <w:t>肆</w:t>
      </w:r>
      <w:r>
        <w:rPr>
          <w:rFonts w:hint="eastAsia" w:ascii="仿宋" w:hAnsi="仿宋" w:eastAsia="仿宋" w:cs="仿宋"/>
          <w:b/>
          <w:bCs/>
          <w:sz w:val="24"/>
          <w:szCs w:val="24"/>
        </w:rPr>
        <w:t>万</w:t>
      </w:r>
      <w:r>
        <w:rPr>
          <w:rFonts w:hint="eastAsia" w:ascii="仿宋" w:hAnsi="仿宋" w:eastAsia="仿宋" w:cs="仿宋"/>
          <w:b/>
          <w:bCs/>
          <w:sz w:val="24"/>
          <w:szCs w:val="24"/>
          <w:lang w:eastAsia="zh-CN"/>
        </w:rPr>
        <w:t>伍</w:t>
      </w:r>
      <w:r>
        <w:rPr>
          <w:rFonts w:hint="eastAsia" w:ascii="仿宋" w:hAnsi="仿宋" w:eastAsia="仿宋" w:cs="仿宋"/>
          <w:b/>
          <w:bCs/>
          <w:sz w:val="24"/>
          <w:szCs w:val="24"/>
        </w:rPr>
        <w:t>仟</w:t>
      </w:r>
      <w:r>
        <w:rPr>
          <w:rFonts w:hint="eastAsia" w:ascii="仿宋" w:hAnsi="仿宋" w:eastAsia="仿宋" w:cs="仿宋"/>
          <w:b/>
          <w:bCs/>
          <w:sz w:val="24"/>
          <w:szCs w:val="24"/>
          <w:lang w:eastAsia="zh-CN"/>
        </w:rPr>
        <w:t>贰佰</w:t>
      </w:r>
      <w:r>
        <w:rPr>
          <w:rFonts w:hint="eastAsia" w:ascii="仿宋" w:hAnsi="仿宋" w:eastAsia="仿宋" w:cs="仿宋"/>
          <w:b/>
          <w:bCs/>
          <w:sz w:val="24"/>
          <w:szCs w:val="24"/>
        </w:rPr>
        <w:t>元整</w:t>
      </w:r>
    </w:p>
    <w:p>
      <w:pPr>
        <w:tabs>
          <w:tab w:val="left" w:pos="465"/>
          <w:tab w:val="center" w:pos="4864"/>
        </w:tabs>
        <w:spacing w:line="480" w:lineRule="exact"/>
        <w:ind w:firstLine="2711" w:firstLineChars="1125"/>
        <w:jc w:val="left"/>
        <w:rPr>
          <w:rFonts w:ascii="仿宋" w:hAnsi="仿宋" w:eastAsia="仿宋" w:cs="宋体"/>
          <w:b/>
          <w:sz w:val="24"/>
          <w:szCs w:val="24"/>
        </w:rPr>
      </w:pPr>
      <w:r>
        <w:rPr>
          <w:rFonts w:hint="eastAsia" w:ascii="仿宋" w:hAnsi="仿宋" w:eastAsia="仿宋" w:cs="宋体"/>
          <w:b/>
          <w:bCs/>
          <w:sz w:val="24"/>
          <w:szCs w:val="24"/>
        </w:rPr>
        <w:t xml:space="preserve">  </w:t>
      </w:r>
      <w:r>
        <w:rPr>
          <w:rFonts w:hint="eastAsia" w:ascii="仿宋" w:hAnsi="仿宋" w:eastAsia="仿宋" w:cs="宋体"/>
          <w:b/>
          <w:bCs/>
          <w:sz w:val="24"/>
          <w:szCs w:val="24"/>
          <w:lang w:val="en-US" w:eastAsia="zh-CN"/>
        </w:rPr>
        <w:t xml:space="preserve">      </w:t>
      </w:r>
      <w:r>
        <w:rPr>
          <w:rFonts w:hint="eastAsia" w:ascii="仿宋" w:hAnsi="仿宋" w:eastAsia="仿宋" w:cs="宋体"/>
          <w:b/>
          <w:sz w:val="24"/>
          <w:szCs w:val="24"/>
        </w:rPr>
        <w:t>估价结果一览表                   币种：人民币</w:t>
      </w:r>
    </w:p>
    <w:tbl>
      <w:tblPr>
        <w:tblStyle w:val="43"/>
        <w:tblW w:w="93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2130"/>
        <w:gridCol w:w="1047"/>
        <w:gridCol w:w="1173"/>
        <w:gridCol w:w="1350"/>
        <w:gridCol w:w="1260"/>
        <w:gridCol w:w="1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3" w:hRule="atLeast"/>
          <w:jc w:val="center"/>
        </w:trPr>
        <w:tc>
          <w:tcPr>
            <w:tcW w:w="1233" w:type="dxa"/>
            <w:vAlign w:val="center"/>
          </w:tcPr>
          <w:p>
            <w:pPr>
              <w:spacing w:line="220" w:lineRule="exact"/>
              <w:jc w:val="center"/>
              <w:rPr>
                <w:rFonts w:ascii="仿宋" w:hAnsi="仿宋" w:eastAsia="仿宋"/>
                <w:sz w:val="18"/>
                <w:szCs w:val="18"/>
              </w:rPr>
            </w:pPr>
            <w:r>
              <w:rPr>
                <w:rFonts w:hint="eastAsia" w:ascii="仿宋" w:hAnsi="仿宋" w:eastAsia="仿宋"/>
                <w:sz w:val="18"/>
                <w:szCs w:val="18"/>
              </w:rPr>
              <w:t>项目</w:t>
            </w:r>
          </w:p>
        </w:tc>
        <w:tc>
          <w:tcPr>
            <w:tcW w:w="2130" w:type="dxa"/>
            <w:vAlign w:val="center"/>
          </w:tcPr>
          <w:p>
            <w:pPr>
              <w:spacing w:line="220" w:lineRule="exact"/>
              <w:jc w:val="center"/>
              <w:rPr>
                <w:rFonts w:ascii="仿宋" w:hAnsi="仿宋" w:eastAsia="仿宋"/>
                <w:sz w:val="18"/>
                <w:szCs w:val="18"/>
              </w:rPr>
            </w:pPr>
            <w:r>
              <w:rPr>
                <w:rFonts w:hint="eastAsia" w:ascii="仿宋" w:hAnsi="仿宋" w:eastAsia="仿宋"/>
                <w:sz w:val="18"/>
                <w:szCs w:val="18"/>
              </w:rPr>
              <w:t>房屋坐落</w:t>
            </w:r>
          </w:p>
        </w:tc>
        <w:tc>
          <w:tcPr>
            <w:tcW w:w="1047" w:type="dxa"/>
            <w:vAlign w:val="center"/>
          </w:tcPr>
          <w:p>
            <w:pPr>
              <w:spacing w:line="220" w:lineRule="exact"/>
              <w:jc w:val="center"/>
              <w:rPr>
                <w:rFonts w:ascii="仿宋" w:hAnsi="仿宋" w:eastAsia="仿宋"/>
                <w:sz w:val="18"/>
                <w:szCs w:val="18"/>
              </w:rPr>
            </w:pPr>
            <w:r>
              <w:rPr>
                <w:rFonts w:hint="eastAsia" w:ascii="仿宋" w:hAnsi="仿宋" w:eastAsia="仿宋"/>
                <w:sz w:val="18"/>
                <w:szCs w:val="18"/>
              </w:rPr>
              <w:t>建筑结构</w:t>
            </w:r>
          </w:p>
        </w:tc>
        <w:tc>
          <w:tcPr>
            <w:tcW w:w="1173" w:type="dxa"/>
            <w:vAlign w:val="center"/>
          </w:tcPr>
          <w:p>
            <w:pPr>
              <w:spacing w:line="220" w:lineRule="exact"/>
              <w:jc w:val="center"/>
              <w:rPr>
                <w:rFonts w:ascii="仿宋" w:hAnsi="仿宋" w:eastAsia="仿宋"/>
                <w:sz w:val="18"/>
                <w:szCs w:val="18"/>
              </w:rPr>
            </w:pPr>
            <w:r>
              <w:rPr>
                <w:rFonts w:hint="eastAsia" w:ascii="仿宋" w:hAnsi="仿宋" w:eastAsia="仿宋"/>
                <w:sz w:val="18"/>
                <w:szCs w:val="18"/>
              </w:rPr>
              <w:t>实际用途</w:t>
            </w:r>
          </w:p>
        </w:tc>
        <w:tc>
          <w:tcPr>
            <w:tcW w:w="1350" w:type="dxa"/>
            <w:vAlign w:val="center"/>
          </w:tcPr>
          <w:p>
            <w:pPr>
              <w:spacing w:line="220" w:lineRule="exact"/>
              <w:jc w:val="center"/>
              <w:rPr>
                <w:rFonts w:ascii="仿宋" w:hAnsi="仿宋" w:eastAsia="仿宋"/>
                <w:sz w:val="18"/>
                <w:szCs w:val="18"/>
              </w:rPr>
            </w:pPr>
            <w:r>
              <w:rPr>
                <w:rFonts w:hint="eastAsia" w:ascii="仿宋" w:hAnsi="仿宋" w:eastAsia="仿宋"/>
                <w:sz w:val="18"/>
                <w:szCs w:val="18"/>
              </w:rPr>
              <w:t>面积（㎡）</w:t>
            </w:r>
          </w:p>
        </w:tc>
        <w:tc>
          <w:tcPr>
            <w:tcW w:w="1260" w:type="dxa"/>
            <w:vAlign w:val="center"/>
          </w:tcPr>
          <w:p>
            <w:pPr>
              <w:spacing w:line="220" w:lineRule="exact"/>
              <w:jc w:val="center"/>
              <w:rPr>
                <w:rFonts w:ascii="仿宋" w:hAnsi="仿宋" w:eastAsia="仿宋"/>
                <w:sz w:val="18"/>
                <w:szCs w:val="18"/>
              </w:rPr>
            </w:pPr>
            <w:r>
              <w:rPr>
                <w:rFonts w:hint="eastAsia" w:ascii="仿宋" w:hAnsi="仿宋" w:eastAsia="仿宋"/>
                <w:sz w:val="18"/>
                <w:szCs w:val="18"/>
              </w:rPr>
              <w:t>单价(元/㎡)</w:t>
            </w:r>
          </w:p>
        </w:tc>
        <w:tc>
          <w:tcPr>
            <w:tcW w:w="1138" w:type="dxa"/>
            <w:vAlign w:val="center"/>
          </w:tcPr>
          <w:p>
            <w:pPr>
              <w:spacing w:line="220" w:lineRule="exact"/>
              <w:jc w:val="center"/>
              <w:rPr>
                <w:rFonts w:ascii="仿宋" w:hAnsi="仿宋" w:eastAsia="仿宋"/>
                <w:sz w:val="18"/>
                <w:szCs w:val="18"/>
              </w:rPr>
            </w:pPr>
            <w:r>
              <w:rPr>
                <w:rFonts w:hint="eastAsia" w:ascii="仿宋" w:hAnsi="仿宋" w:eastAsia="仿宋"/>
                <w:sz w:val="18"/>
                <w:szCs w:val="18"/>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3" w:hRule="atLeast"/>
          <w:jc w:val="center"/>
        </w:trPr>
        <w:tc>
          <w:tcPr>
            <w:tcW w:w="1233" w:type="dxa"/>
            <w:vAlign w:val="center"/>
          </w:tcPr>
          <w:p>
            <w:pPr>
              <w:spacing w:line="220" w:lineRule="exact"/>
              <w:jc w:val="center"/>
              <w:rPr>
                <w:rFonts w:ascii="仿宋" w:hAnsi="仿宋" w:eastAsia="仿宋"/>
                <w:sz w:val="18"/>
                <w:szCs w:val="18"/>
              </w:rPr>
            </w:pPr>
            <w:r>
              <w:rPr>
                <w:rFonts w:hint="eastAsia" w:ascii="仿宋" w:hAnsi="仿宋" w:eastAsia="仿宋"/>
                <w:sz w:val="18"/>
                <w:szCs w:val="18"/>
              </w:rPr>
              <w:t>土地使用权</w:t>
            </w:r>
          </w:p>
        </w:tc>
        <w:tc>
          <w:tcPr>
            <w:tcW w:w="2130" w:type="dxa"/>
            <w:vMerge w:val="restart"/>
            <w:vAlign w:val="center"/>
          </w:tcPr>
          <w:p>
            <w:pPr>
              <w:spacing w:line="220" w:lineRule="exact"/>
              <w:jc w:val="center"/>
              <w:rPr>
                <w:rFonts w:hint="eastAsia" w:ascii="仿宋" w:hAnsi="仿宋" w:eastAsia="仿宋"/>
                <w:sz w:val="18"/>
                <w:szCs w:val="18"/>
                <w:lang w:eastAsia="zh-CN"/>
              </w:rPr>
            </w:pPr>
            <w:r>
              <w:rPr>
                <w:rFonts w:hint="eastAsia" w:ascii="仿宋" w:hAnsi="仿宋" w:eastAsia="仿宋" w:cs="宋体"/>
                <w:sz w:val="18"/>
                <w:szCs w:val="18"/>
                <w:lang w:eastAsia="zh-CN"/>
              </w:rPr>
              <w:t>毕节市七星关区清水铺镇东山村东山组</w:t>
            </w:r>
            <w:r>
              <w:rPr>
                <w:rFonts w:hint="eastAsia" w:ascii="仿宋" w:hAnsi="仿宋" w:eastAsia="仿宋" w:cs="宋体"/>
                <w:sz w:val="18"/>
                <w:szCs w:val="18"/>
                <w:lang w:val="en-US" w:eastAsia="zh-CN"/>
              </w:rPr>
              <w:t>21号</w:t>
            </w:r>
          </w:p>
        </w:tc>
        <w:tc>
          <w:tcPr>
            <w:tcW w:w="1047" w:type="dxa"/>
            <w:vAlign w:val="center"/>
          </w:tcPr>
          <w:p>
            <w:pPr>
              <w:spacing w:line="220" w:lineRule="exact"/>
              <w:jc w:val="center"/>
              <w:rPr>
                <w:rFonts w:ascii="仿宋" w:hAnsi="仿宋" w:eastAsia="仿宋"/>
                <w:sz w:val="18"/>
                <w:szCs w:val="18"/>
              </w:rPr>
            </w:pPr>
            <w:r>
              <w:rPr>
                <w:rFonts w:hint="eastAsia" w:ascii="仿宋" w:hAnsi="仿宋" w:eastAsia="仿宋"/>
                <w:sz w:val="18"/>
                <w:szCs w:val="18"/>
              </w:rPr>
              <w:t>/</w:t>
            </w:r>
          </w:p>
        </w:tc>
        <w:tc>
          <w:tcPr>
            <w:tcW w:w="1173" w:type="dxa"/>
            <w:vAlign w:val="center"/>
          </w:tcPr>
          <w:p>
            <w:pPr>
              <w:spacing w:line="220" w:lineRule="exact"/>
              <w:jc w:val="center"/>
              <w:rPr>
                <w:rFonts w:ascii="仿宋" w:hAnsi="仿宋" w:eastAsia="仿宋"/>
                <w:sz w:val="18"/>
                <w:szCs w:val="18"/>
              </w:rPr>
            </w:pPr>
            <w:r>
              <w:rPr>
                <w:rFonts w:hint="eastAsia" w:ascii="仿宋" w:hAnsi="仿宋" w:eastAsia="仿宋"/>
                <w:sz w:val="18"/>
                <w:szCs w:val="18"/>
              </w:rPr>
              <w:t>宅基地</w:t>
            </w:r>
          </w:p>
        </w:tc>
        <w:tc>
          <w:tcPr>
            <w:tcW w:w="1350" w:type="dxa"/>
            <w:vAlign w:val="center"/>
          </w:tcPr>
          <w:p>
            <w:pPr>
              <w:spacing w:line="220" w:lineRule="exact"/>
              <w:jc w:val="center"/>
              <w:rPr>
                <w:rFonts w:hint="eastAsia" w:ascii="仿宋" w:hAnsi="仿宋" w:eastAsia="仿宋" w:cs="宋体"/>
                <w:sz w:val="18"/>
                <w:szCs w:val="18"/>
                <w:lang w:eastAsia="zh-CN"/>
              </w:rPr>
            </w:pPr>
            <w:r>
              <w:rPr>
                <w:rFonts w:hint="eastAsia" w:ascii="仿宋" w:hAnsi="仿宋" w:eastAsia="仿宋" w:cs="宋体"/>
                <w:sz w:val="18"/>
                <w:szCs w:val="18"/>
                <w:lang w:val="en-US" w:eastAsia="zh-CN"/>
              </w:rPr>
              <w:t>177.32</w:t>
            </w:r>
          </w:p>
        </w:tc>
        <w:tc>
          <w:tcPr>
            <w:tcW w:w="1260" w:type="dxa"/>
            <w:vAlign w:val="center"/>
          </w:tcPr>
          <w:p>
            <w:pPr>
              <w:spacing w:line="220" w:lineRule="exact"/>
              <w:jc w:val="center"/>
              <w:rPr>
                <w:rFonts w:hint="eastAsia" w:ascii="仿宋" w:hAnsi="仿宋" w:eastAsia="仿宋" w:cs="宋体"/>
                <w:sz w:val="18"/>
                <w:szCs w:val="18"/>
                <w:lang w:eastAsia="zh-CN"/>
              </w:rPr>
            </w:pPr>
            <w:r>
              <w:rPr>
                <w:rFonts w:hint="eastAsia" w:ascii="仿宋" w:hAnsi="仿宋" w:eastAsia="仿宋" w:cs="宋体"/>
                <w:sz w:val="18"/>
                <w:szCs w:val="18"/>
                <w:lang w:val="en-US" w:eastAsia="zh-CN"/>
              </w:rPr>
              <w:t>113</w:t>
            </w:r>
          </w:p>
        </w:tc>
        <w:tc>
          <w:tcPr>
            <w:tcW w:w="1138" w:type="dxa"/>
            <w:vAlign w:val="center"/>
          </w:tcPr>
          <w:p>
            <w:pPr>
              <w:spacing w:line="220" w:lineRule="exact"/>
              <w:jc w:val="center"/>
              <w:rPr>
                <w:rFonts w:hint="eastAsia" w:ascii="仿宋" w:hAnsi="仿宋" w:eastAsia="仿宋" w:cs="宋体"/>
                <w:sz w:val="18"/>
                <w:szCs w:val="18"/>
                <w:lang w:eastAsia="zh-CN"/>
              </w:rPr>
            </w:pPr>
            <w:r>
              <w:rPr>
                <w:rFonts w:hint="eastAsia" w:ascii="仿宋" w:hAnsi="仿宋" w:eastAsia="仿宋" w:cs="宋体"/>
                <w:sz w:val="18"/>
                <w:szCs w:val="18"/>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233" w:type="dxa"/>
            <w:vAlign w:val="center"/>
          </w:tcPr>
          <w:p>
            <w:pPr>
              <w:spacing w:line="220" w:lineRule="exact"/>
              <w:jc w:val="center"/>
              <w:rPr>
                <w:rFonts w:ascii="仿宋" w:hAnsi="仿宋" w:eastAsia="仿宋"/>
                <w:sz w:val="18"/>
                <w:szCs w:val="18"/>
              </w:rPr>
            </w:pPr>
            <w:r>
              <w:rPr>
                <w:rFonts w:hint="eastAsia" w:ascii="仿宋" w:hAnsi="仿宋" w:eastAsia="仿宋"/>
                <w:sz w:val="18"/>
                <w:szCs w:val="18"/>
              </w:rPr>
              <w:t>建筑物</w:t>
            </w:r>
          </w:p>
        </w:tc>
        <w:tc>
          <w:tcPr>
            <w:tcW w:w="2130" w:type="dxa"/>
            <w:vMerge w:val="continue"/>
            <w:vAlign w:val="center"/>
          </w:tcPr>
          <w:p>
            <w:pPr>
              <w:spacing w:line="220" w:lineRule="exact"/>
              <w:jc w:val="center"/>
              <w:rPr>
                <w:rFonts w:ascii="仿宋" w:hAnsi="仿宋" w:eastAsia="仿宋" w:cs="宋体"/>
                <w:sz w:val="18"/>
                <w:szCs w:val="18"/>
              </w:rPr>
            </w:pPr>
          </w:p>
        </w:tc>
        <w:tc>
          <w:tcPr>
            <w:tcW w:w="1047" w:type="dxa"/>
            <w:vAlign w:val="center"/>
          </w:tcPr>
          <w:p>
            <w:pPr>
              <w:spacing w:line="220" w:lineRule="exact"/>
              <w:jc w:val="center"/>
              <w:rPr>
                <w:rFonts w:ascii="仿宋" w:hAnsi="仿宋" w:eastAsia="仿宋"/>
                <w:sz w:val="18"/>
                <w:szCs w:val="18"/>
              </w:rPr>
            </w:pPr>
            <w:r>
              <w:rPr>
                <w:rFonts w:hint="eastAsia" w:ascii="仿宋" w:hAnsi="仿宋" w:eastAsia="仿宋"/>
                <w:sz w:val="18"/>
                <w:szCs w:val="18"/>
              </w:rPr>
              <w:t>砖混</w:t>
            </w:r>
          </w:p>
        </w:tc>
        <w:tc>
          <w:tcPr>
            <w:tcW w:w="1173" w:type="dxa"/>
            <w:vAlign w:val="center"/>
          </w:tcPr>
          <w:p>
            <w:pPr>
              <w:spacing w:line="220" w:lineRule="exact"/>
              <w:jc w:val="center"/>
              <w:rPr>
                <w:rFonts w:ascii="仿宋" w:hAnsi="仿宋" w:eastAsia="仿宋"/>
                <w:sz w:val="18"/>
                <w:szCs w:val="18"/>
              </w:rPr>
            </w:pPr>
            <w:r>
              <w:rPr>
                <w:rFonts w:hint="eastAsia" w:ascii="仿宋" w:hAnsi="仿宋" w:eastAsia="仿宋"/>
                <w:sz w:val="18"/>
                <w:szCs w:val="18"/>
              </w:rPr>
              <w:t>住宅</w:t>
            </w:r>
          </w:p>
        </w:tc>
        <w:tc>
          <w:tcPr>
            <w:tcW w:w="1350" w:type="dxa"/>
            <w:vAlign w:val="center"/>
          </w:tcPr>
          <w:p>
            <w:pPr>
              <w:spacing w:line="220" w:lineRule="exact"/>
              <w:jc w:val="center"/>
              <w:rPr>
                <w:rFonts w:hint="eastAsia" w:ascii="仿宋" w:hAnsi="仿宋" w:eastAsia="仿宋" w:cs="宋体"/>
                <w:sz w:val="18"/>
                <w:szCs w:val="18"/>
                <w:lang w:eastAsia="zh-CN"/>
              </w:rPr>
            </w:pPr>
            <w:r>
              <w:rPr>
                <w:rFonts w:hint="eastAsia" w:ascii="仿宋" w:hAnsi="仿宋" w:eastAsia="仿宋" w:cs="宋体"/>
                <w:sz w:val="18"/>
                <w:szCs w:val="18"/>
                <w:lang w:val="en-US" w:eastAsia="zh-CN"/>
              </w:rPr>
              <w:t>122.22</w:t>
            </w:r>
          </w:p>
        </w:tc>
        <w:tc>
          <w:tcPr>
            <w:tcW w:w="1260" w:type="dxa"/>
            <w:vAlign w:val="center"/>
          </w:tcPr>
          <w:p>
            <w:pPr>
              <w:spacing w:line="220" w:lineRule="exact"/>
              <w:jc w:val="center"/>
              <w:rPr>
                <w:rFonts w:hint="eastAsia" w:ascii="仿宋" w:hAnsi="仿宋" w:eastAsia="仿宋" w:cs="宋体"/>
                <w:sz w:val="18"/>
                <w:szCs w:val="18"/>
                <w:lang w:eastAsia="zh-CN"/>
              </w:rPr>
            </w:pPr>
            <w:r>
              <w:rPr>
                <w:rFonts w:hint="eastAsia" w:ascii="仿宋" w:hAnsi="仿宋" w:eastAsia="仿宋" w:cs="宋体"/>
                <w:sz w:val="18"/>
                <w:szCs w:val="18"/>
                <w:lang w:val="en-US" w:eastAsia="zh-CN"/>
              </w:rPr>
              <w:t>1024</w:t>
            </w:r>
          </w:p>
        </w:tc>
        <w:tc>
          <w:tcPr>
            <w:tcW w:w="1138" w:type="dxa"/>
            <w:vAlign w:val="center"/>
          </w:tcPr>
          <w:p>
            <w:pPr>
              <w:spacing w:line="220" w:lineRule="exact"/>
              <w:jc w:val="center"/>
              <w:rPr>
                <w:rFonts w:hint="eastAsia" w:ascii="仿宋" w:hAnsi="仿宋" w:eastAsia="仿宋" w:cs="宋体"/>
                <w:sz w:val="18"/>
                <w:szCs w:val="18"/>
                <w:lang w:eastAsia="zh-CN"/>
              </w:rPr>
            </w:pPr>
            <w:r>
              <w:rPr>
                <w:rFonts w:hint="eastAsia" w:ascii="仿宋" w:hAnsi="仿宋" w:eastAsia="仿宋" w:cs="宋体"/>
                <w:sz w:val="18"/>
                <w:szCs w:val="18"/>
                <w:lang w:val="en-US" w:eastAsia="zh-CN"/>
              </w:rPr>
              <w:t>12.52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193" w:type="dxa"/>
            <w:gridSpan w:val="6"/>
            <w:vAlign w:val="center"/>
          </w:tcPr>
          <w:p>
            <w:pPr>
              <w:spacing w:line="220" w:lineRule="exact"/>
              <w:jc w:val="center"/>
              <w:rPr>
                <w:rFonts w:hint="eastAsia" w:ascii="仿宋" w:hAnsi="仿宋" w:eastAsia="仿宋" w:cs="宋体"/>
                <w:sz w:val="18"/>
                <w:szCs w:val="18"/>
                <w:lang w:eastAsia="zh-CN"/>
              </w:rPr>
            </w:pPr>
            <w:r>
              <w:rPr>
                <w:rFonts w:hint="eastAsia" w:ascii="仿宋" w:hAnsi="仿宋" w:eastAsia="仿宋" w:cs="宋体"/>
                <w:sz w:val="18"/>
                <w:szCs w:val="18"/>
                <w:lang w:eastAsia="zh-CN"/>
              </w:rPr>
              <w:t>合计</w:t>
            </w:r>
          </w:p>
        </w:tc>
        <w:tc>
          <w:tcPr>
            <w:tcW w:w="1138" w:type="dxa"/>
            <w:vAlign w:val="center"/>
          </w:tcPr>
          <w:p>
            <w:pPr>
              <w:spacing w:line="220" w:lineRule="exact"/>
              <w:jc w:val="center"/>
              <w:rPr>
                <w:rFonts w:hint="eastAsia" w:ascii="仿宋" w:hAnsi="仿宋" w:eastAsia="仿宋" w:cs="宋体"/>
                <w:sz w:val="18"/>
                <w:szCs w:val="18"/>
                <w:lang w:eastAsia="zh-CN"/>
              </w:rPr>
            </w:pPr>
            <w:r>
              <w:rPr>
                <w:rFonts w:hint="eastAsia" w:ascii="仿宋" w:hAnsi="仿宋" w:eastAsia="仿宋" w:cs="宋体"/>
                <w:sz w:val="18"/>
                <w:szCs w:val="18"/>
                <w:lang w:val="en-US" w:eastAsia="zh-CN"/>
              </w:rPr>
              <w:t>14.52</w:t>
            </w:r>
          </w:p>
        </w:tc>
      </w:tr>
    </w:tbl>
    <w:p>
      <w:pPr>
        <w:tabs>
          <w:tab w:val="left" w:pos="465"/>
          <w:tab w:val="center" w:pos="4864"/>
        </w:tabs>
        <w:spacing w:line="480" w:lineRule="exact"/>
        <w:ind w:firstLine="67" w:firstLineChars="28"/>
        <w:jc w:val="left"/>
        <w:rPr>
          <w:rFonts w:ascii="仿宋" w:hAnsi="仿宋" w:eastAsia="仿宋" w:cs="宋体"/>
          <w:sz w:val="24"/>
          <w:szCs w:val="24"/>
        </w:rPr>
      </w:pPr>
      <w:r>
        <w:rPr>
          <w:rFonts w:ascii="仿宋" w:hAnsi="仿宋" w:eastAsia="仿宋" w:cs="宋体"/>
          <w:sz w:val="24"/>
          <w:szCs w:val="24"/>
        </w:rPr>
        <w:tab/>
      </w:r>
      <w:r>
        <w:rPr>
          <w:rFonts w:hint="eastAsia" w:ascii="仿宋" w:hAnsi="仿宋" w:eastAsia="仿宋" w:cs="宋体"/>
          <w:sz w:val="24"/>
          <w:szCs w:val="24"/>
        </w:rPr>
        <w:t>7、特别提示：</w:t>
      </w:r>
    </w:p>
    <w:p>
      <w:pPr>
        <w:numPr>
          <w:ilvl w:val="0"/>
          <w:numId w:val="1"/>
        </w:numPr>
        <w:tabs>
          <w:tab w:val="left" w:pos="465"/>
          <w:tab w:val="center" w:pos="4864"/>
        </w:tabs>
        <w:spacing w:line="480" w:lineRule="exact"/>
        <w:ind w:firstLine="480" w:firstLineChars="200"/>
        <w:jc w:val="left"/>
        <w:rPr>
          <w:rFonts w:ascii="仿宋" w:hAnsi="仿宋" w:eastAsia="仿宋"/>
          <w:color w:val="auto"/>
          <w:sz w:val="24"/>
          <w:szCs w:val="24"/>
        </w:rPr>
      </w:pPr>
      <w:r>
        <w:rPr>
          <w:rFonts w:hint="eastAsia" w:ascii="仿宋" w:hAnsi="仿宋" w:eastAsia="仿宋"/>
          <w:color w:val="auto"/>
          <w:sz w:val="24"/>
          <w:szCs w:val="24"/>
          <w:lang w:eastAsia="zh-CN"/>
        </w:rPr>
        <w:t>由于估价对象未办理产权证，上述建筑面积与土地面积是经</w:t>
      </w:r>
      <w:r>
        <w:rPr>
          <w:rFonts w:hint="eastAsia" w:ascii="仿宋" w:hAnsi="仿宋" w:eastAsia="仿宋"/>
          <w:color w:val="auto"/>
          <w:sz w:val="24"/>
          <w:szCs w:val="24"/>
          <w:highlight w:val="none"/>
          <w:lang w:val="en-US" w:eastAsia="zh-CN"/>
        </w:rPr>
        <w:t>估价委托人（法官）指界、</w:t>
      </w:r>
      <w:r>
        <w:rPr>
          <w:rFonts w:hint="eastAsia" w:ascii="仿宋" w:hAnsi="仿宋" w:eastAsia="仿宋"/>
          <w:color w:val="auto"/>
          <w:sz w:val="24"/>
          <w:szCs w:val="24"/>
          <w:lang w:eastAsia="zh-CN"/>
        </w:rPr>
        <w:t>估价师现场测量计算而来，且由申请执行人、法官、估价师三方签字确认；若与最终产权不符，应以产权面积为准对结果进行调整。</w:t>
      </w:r>
    </w:p>
    <w:p>
      <w:pPr>
        <w:numPr>
          <w:ilvl w:val="0"/>
          <w:numId w:val="1"/>
        </w:numPr>
        <w:tabs>
          <w:tab w:val="left" w:pos="465"/>
          <w:tab w:val="center" w:pos="4864"/>
        </w:tabs>
        <w:spacing w:line="480" w:lineRule="exact"/>
        <w:ind w:firstLine="480" w:firstLineChars="200"/>
        <w:jc w:val="left"/>
        <w:rPr>
          <w:rFonts w:ascii="仿宋" w:hAnsi="仿宋" w:eastAsia="仿宋"/>
          <w:sz w:val="24"/>
          <w:szCs w:val="24"/>
        </w:rPr>
      </w:pPr>
      <w:r>
        <w:rPr>
          <w:rFonts w:hint="eastAsia" w:ascii="仿宋" w:hAnsi="仿宋" w:eastAsia="仿宋"/>
          <w:sz w:val="24"/>
          <w:szCs w:val="24"/>
        </w:rPr>
        <w:t>报告使用人在使用本估价报告之前须对报告全文，特别是“估价假设和限制条件”认真阅读，以免使用不当，造成损失。</w:t>
      </w:r>
    </w:p>
    <w:p>
      <w:pPr>
        <w:numPr>
          <w:ilvl w:val="0"/>
          <w:numId w:val="1"/>
        </w:numPr>
        <w:tabs>
          <w:tab w:val="left" w:pos="465"/>
          <w:tab w:val="center" w:pos="4864"/>
        </w:tabs>
        <w:spacing w:line="480" w:lineRule="exact"/>
        <w:ind w:firstLine="480" w:firstLineChars="200"/>
        <w:jc w:val="left"/>
        <w:rPr>
          <w:rFonts w:ascii="仿宋" w:hAnsi="仿宋" w:eastAsia="仿宋"/>
          <w:sz w:val="24"/>
          <w:szCs w:val="24"/>
        </w:rPr>
      </w:pPr>
      <w:r>
        <w:rPr>
          <w:rFonts w:hint="eastAsia" w:ascii="仿宋" w:hAnsi="仿宋" w:eastAsia="仿宋"/>
          <w:sz w:val="24"/>
          <w:szCs w:val="24"/>
        </w:rPr>
        <w:t>本估价报告使用期限为壹年，自估价报告出具之日2019年</w:t>
      </w:r>
      <w:r>
        <w:rPr>
          <w:rFonts w:hint="eastAsia" w:ascii="仿宋" w:hAnsi="仿宋" w:eastAsia="仿宋"/>
          <w:sz w:val="24"/>
          <w:szCs w:val="24"/>
          <w:lang w:val="en-US" w:eastAsia="zh-CN"/>
        </w:rPr>
        <w:t>8</w:t>
      </w:r>
      <w:r>
        <w:rPr>
          <w:rFonts w:hint="eastAsia" w:ascii="仿宋" w:hAnsi="仿宋" w:eastAsia="仿宋"/>
          <w:sz w:val="24"/>
          <w:szCs w:val="24"/>
        </w:rPr>
        <w:t>月</w:t>
      </w:r>
      <w:r>
        <w:rPr>
          <w:rFonts w:hint="eastAsia" w:ascii="仿宋" w:hAnsi="仿宋" w:eastAsia="仿宋"/>
          <w:sz w:val="24"/>
          <w:szCs w:val="24"/>
          <w:lang w:val="en-US" w:eastAsia="zh-CN"/>
        </w:rPr>
        <w:t>28</w:t>
      </w:r>
      <w:r>
        <w:rPr>
          <w:rFonts w:hint="eastAsia" w:ascii="仿宋" w:hAnsi="仿宋" w:eastAsia="仿宋"/>
          <w:sz w:val="24"/>
          <w:szCs w:val="24"/>
        </w:rPr>
        <w:t>日至2020年</w:t>
      </w:r>
      <w:r>
        <w:rPr>
          <w:rFonts w:hint="eastAsia" w:ascii="仿宋" w:hAnsi="仿宋" w:eastAsia="仿宋"/>
          <w:sz w:val="24"/>
          <w:szCs w:val="24"/>
          <w:lang w:val="en-US" w:eastAsia="zh-CN"/>
        </w:rPr>
        <w:t>8</w:t>
      </w:r>
      <w:r>
        <w:rPr>
          <w:rFonts w:hint="eastAsia" w:ascii="仿宋" w:hAnsi="仿宋" w:eastAsia="仿宋"/>
          <w:sz w:val="24"/>
          <w:szCs w:val="24"/>
        </w:rPr>
        <w:t>月</w:t>
      </w:r>
      <w:r>
        <w:rPr>
          <w:rFonts w:hint="eastAsia" w:ascii="仿宋" w:hAnsi="仿宋" w:eastAsia="仿宋"/>
          <w:sz w:val="24"/>
          <w:szCs w:val="24"/>
          <w:lang w:val="en-US" w:eastAsia="zh-CN"/>
        </w:rPr>
        <w:t>27</w:t>
      </w:r>
      <w:r>
        <w:rPr>
          <w:rFonts w:hint="eastAsia" w:ascii="仿宋" w:hAnsi="仿宋" w:eastAsia="仿宋"/>
          <w:sz w:val="24"/>
          <w:szCs w:val="24"/>
        </w:rPr>
        <w:t>日止。</w:t>
      </w:r>
    </w:p>
    <w:p>
      <w:pPr>
        <w:tabs>
          <w:tab w:val="left" w:pos="465"/>
          <w:tab w:val="center" w:pos="4864"/>
        </w:tabs>
        <w:spacing w:line="480" w:lineRule="exact"/>
        <w:jc w:val="left"/>
        <w:rPr>
          <w:rFonts w:ascii="仿宋" w:hAnsi="仿宋" w:eastAsia="仿宋"/>
          <w:sz w:val="24"/>
          <w:szCs w:val="24"/>
        </w:rPr>
      </w:pPr>
    </w:p>
    <w:p>
      <w:pPr>
        <w:adjustRightInd w:val="0"/>
        <w:snapToGrid w:val="0"/>
        <w:spacing w:line="480" w:lineRule="exact"/>
        <w:ind w:firstLine="480" w:firstLineChars="200"/>
        <w:rPr>
          <w:rFonts w:ascii="仿宋" w:hAnsi="仿宋" w:eastAsia="仿宋" w:cs="宋体"/>
          <w:sz w:val="24"/>
          <w:szCs w:val="24"/>
        </w:rPr>
      </w:pPr>
      <w:r>
        <w:rPr>
          <w:rFonts w:hint="eastAsia" w:ascii="仿宋" w:hAnsi="仿宋" w:eastAsia="仿宋" w:cs="宋体"/>
          <w:sz w:val="24"/>
          <w:szCs w:val="24"/>
        </w:rPr>
        <w:t>此   函</w:t>
      </w:r>
    </w:p>
    <w:p>
      <w:pPr>
        <w:adjustRightInd w:val="0"/>
        <w:snapToGrid w:val="0"/>
        <w:spacing w:line="480" w:lineRule="exact"/>
        <w:ind w:firstLine="4320" w:firstLineChars="1800"/>
        <w:rPr>
          <w:rFonts w:ascii="仿宋" w:hAnsi="仿宋" w:eastAsia="仿宋" w:cs="宋体"/>
          <w:sz w:val="24"/>
          <w:szCs w:val="24"/>
        </w:rPr>
      </w:pPr>
    </w:p>
    <w:p>
      <w:pPr>
        <w:adjustRightInd w:val="0"/>
        <w:snapToGrid w:val="0"/>
        <w:spacing w:line="480" w:lineRule="auto"/>
        <w:ind w:firstLine="4320" w:firstLineChars="1800"/>
        <w:rPr>
          <w:rFonts w:ascii="仿宋" w:hAnsi="仿宋" w:eastAsia="仿宋" w:cs="宋体"/>
          <w:sz w:val="24"/>
          <w:szCs w:val="24"/>
        </w:rPr>
      </w:pPr>
      <w:r>
        <w:rPr>
          <w:rFonts w:hint="eastAsia" w:ascii="仿宋" w:hAnsi="仿宋" w:eastAsia="仿宋" w:cs="宋体"/>
          <w:sz w:val="24"/>
          <w:szCs w:val="24"/>
        </w:rPr>
        <w:t>四川天成房地产土地估价咨询有限公司</w:t>
      </w:r>
    </w:p>
    <w:p>
      <w:pPr>
        <w:adjustRightInd w:val="0"/>
        <w:snapToGrid w:val="0"/>
        <w:spacing w:line="480" w:lineRule="auto"/>
        <w:ind w:firstLine="3600" w:firstLineChars="1500"/>
        <w:rPr>
          <w:rFonts w:ascii="仿宋" w:hAnsi="仿宋" w:eastAsia="仿宋" w:cs="宋体"/>
          <w:sz w:val="24"/>
          <w:szCs w:val="24"/>
        </w:rPr>
      </w:pPr>
      <w:r>
        <w:rPr>
          <w:rFonts w:hint="eastAsia" w:ascii="仿宋" w:hAnsi="仿宋" w:eastAsia="仿宋" w:cs="宋体"/>
          <w:sz w:val="24"/>
          <w:szCs w:val="24"/>
        </w:rPr>
        <w:t xml:space="preserve">              法定代表人：丁永洪</w:t>
      </w:r>
    </w:p>
    <w:p>
      <w:pPr>
        <w:tabs>
          <w:tab w:val="left" w:pos="5220"/>
        </w:tabs>
        <w:spacing w:line="480" w:lineRule="auto"/>
        <w:ind w:firstLine="5280" w:firstLineChars="2200"/>
        <w:rPr>
          <w:rFonts w:ascii="黑体" w:hAnsi="黑体" w:eastAsia="黑体" w:cs="宋体"/>
          <w:b/>
          <w:snapToGrid w:val="0"/>
          <w:kern w:val="0"/>
          <w:sz w:val="24"/>
          <w:szCs w:val="24"/>
        </w:rPr>
      </w:pPr>
      <w:r>
        <w:rPr>
          <w:rFonts w:hint="eastAsia" w:ascii="仿宋" w:hAnsi="仿宋" w:eastAsia="仿宋" w:cs="宋体"/>
          <w:sz w:val="24"/>
          <w:szCs w:val="24"/>
          <w:lang w:eastAsia="zh-CN"/>
        </w:rPr>
        <w:t>二〇一九年八</w:t>
      </w:r>
      <w:r>
        <w:rPr>
          <w:rFonts w:hint="eastAsia" w:ascii="仿宋" w:hAnsi="仿宋" w:eastAsia="仿宋" w:cs="宋体"/>
          <w:sz w:val="24"/>
          <w:szCs w:val="24"/>
        </w:rPr>
        <w:t>月</w:t>
      </w:r>
      <w:r>
        <w:rPr>
          <w:rFonts w:hint="eastAsia" w:ascii="仿宋" w:hAnsi="仿宋" w:eastAsia="仿宋" w:cs="宋体"/>
          <w:sz w:val="24"/>
          <w:szCs w:val="24"/>
          <w:lang w:eastAsia="zh-CN"/>
        </w:rPr>
        <w:t>二十八</w:t>
      </w:r>
      <w:r>
        <w:rPr>
          <w:rFonts w:hint="eastAsia" w:ascii="仿宋" w:hAnsi="仿宋" w:eastAsia="仿宋" w:cs="宋体"/>
          <w:sz w:val="24"/>
          <w:szCs w:val="24"/>
        </w:rPr>
        <w:t>日</w:t>
      </w:r>
    </w:p>
    <w:p>
      <w:pPr>
        <w:jc w:val="center"/>
        <w:rPr>
          <w:rFonts w:ascii="宋体" w:hAnsi="宋体" w:cs="宋体"/>
          <w:b/>
          <w:snapToGrid w:val="0"/>
          <w:kern w:val="0"/>
          <w:sz w:val="32"/>
          <w:szCs w:val="32"/>
        </w:rPr>
      </w:pPr>
      <w:r>
        <w:rPr>
          <w:rFonts w:hint="eastAsia" w:ascii="黑体" w:hAnsi="黑体" w:eastAsia="黑体" w:cs="宋体"/>
          <w:b/>
          <w:snapToGrid w:val="0"/>
          <w:kern w:val="0"/>
          <w:sz w:val="24"/>
          <w:szCs w:val="24"/>
        </w:rPr>
        <w:br w:type="page"/>
      </w:r>
      <w:r>
        <w:rPr>
          <w:rFonts w:hint="eastAsia" w:ascii="宋体" w:hAnsi="宋体" w:cs="宋体"/>
          <w:b/>
          <w:snapToGrid w:val="0"/>
          <w:kern w:val="0"/>
          <w:sz w:val="32"/>
          <w:szCs w:val="32"/>
        </w:rPr>
        <w:t>估价报告目录</w:t>
      </w:r>
    </w:p>
    <w:p>
      <w:pPr>
        <w:jc w:val="center"/>
        <w:rPr>
          <w:rFonts w:ascii="黑体" w:hAnsi="黑体" w:eastAsia="黑体" w:cs="宋体"/>
          <w:b/>
          <w:snapToGrid w:val="0"/>
          <w:kern w:val="0"/>
          <w:sz w:val="24"/>
          <w:szCs w:val="24"/>
        </w:rPr>
      </w:pPr>
    </w:p>
    <w:bookmarkEnd w:id="2"/>
    <w:bookmarkEnd w:id="3"/>
    <w:p>
      <w:pPr>
        <w:pStyle w:val="23"/>
        <w:tabs>
          <w:tab w:val="right" w:leader="dot" w:pos="9115"/>
          <w:tab w:val="clear" w:pos="8460"/>
        </w:tabs>
        <w:spacing w:line="440" w:lineRule="exact"/>
        <w:rPr>
          <w:rFonts w:ascii="仿宋" w:hAnsi="仿宋" w:eastAsia="仿宋" w:cs="仿宋"/>
        </w:rPr>
      </w:pPr>
      <w:bookmarkStart w:id="4" w:name="_Toc130033715"/>
      <w:r>
        <w:rPr>
          <w:rFonts w:hint="eastAsia" w:ascii="仿宋" w:hAnsi="仿宋" w:eastAsia="仿宋" w:cs="仿宋"/>
          <w:snapToGrid w:val="0"/>
          <w:kern w:val="0"/>
          <w:sz w:val="24"/>
          <w:szCs w:val="24"/>
        </w:rPr>
        <w:fldChar w:fldCharType="begin"/>
      </w:r>
      <w:r>
        <w:rPr>
          <w:rFonts w:hint="eastAsia" w:ascii="仿宋" w:hAnsi="仿宋" w:eastAsia="仿宋" w:cs="仿宋"/>
          <w:snapToGrid w:val="0"/>
          <w:kern w:val="0"/>
          <w:sz w:val="24"/>
          <w:szCs w:val="24"/>
        </w:rPr>
        <w:instrText xml:space="preserve">TOC \o "1-3" \h \u </w:instrText>
      </w:r>
      <w:r>
        <w:rPr>
          <w:rFonts w:hint="eastAsia" w:ascii="仿宋" w:hAnsi="仿宋" w:eastAsia="仿宋" w:cs="仿宋"/>
          <w:snapToGrid w:val="0"/>
          <w:kern w:val="0"/>
          <w:sz w:val="24"/>
          <w:szCs w:val="24"/>
        </w:rPr>
        <w:fldChar w:fldCharType="separate"/>
      </w:r>
      <w:r>
        <w:fldChar w:fldCharType="begin"/>
      </w:r>
      <w:r>
        <w:instrText xml:space="preserve"> HYPERLINK \l "_Toc17324" </w:instrText>
      </w:r>
      <w:r>
        <w:fldChar w:fldCharType="separate"/>
      </w:r>
      <w:r>
        <w:rPr>
          <w:rFonts w:hint="eastAsia" w:ascii="仿宋" w:hAnsi="仿宋" w:eastAsia="仿宋" w:cs="仿宋"/>
          <w:snapToGrid w:val="0"/>
          <w:kern w:val="0"/>
          <w:szCs w:val="32"/>
        </w:rPr>
        <w:t>估价师声明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_Toc17324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fldChar w:fldCharType="end"/>
      </w:r>
    </w:p>
    <w:p>
      <w:pPr>
        <w:pStyle w:val="23"/>
        <w:tabs>
          <w:tab w:val="right" w:leader="dot" w:pos="9115"/>
          <w:tab w:val="clear" w:pos="8460"/>
        </w:tabs>
        <w:spacing w:line="440" w:lineRule="exact"/>
        <w:rPr>
          <w:rFonts w:ascii="仿宋" w:hAnsi="仿宋" w:eastAsia="仿宋" w:cs="仿宋"/>
        </w:rPr>
      </w:pPr>
      <w:r>
        <w:fldChar w:fldCharType="begin"/>
      </w:r>
      <w:r>
        <w:instrText xml:space="preserve"> HYPERLINK \l "_Toc29848" </w:instrText>
      </w:r>
      <w:r>
        <w:fldChar w:fldCharType="separate"/>
      </w:r>
      <w:r>
        <w:rPr>
          <w:rFonts w:hint="eastAsia" w:ascii="仿宋" w:hAnsi="仿宋" w:eastAsia="仿宋" w:cs="仿宋"/>
          <w:szCs w:val="32"/>
        </w:rPr>
        <w:t>估价假设和限制条件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_Toc29848 </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fldChar w:fldCharType="end"/>
      </w:r>
    </w:p>
    <w:p>
      <w:pPr>
        <w:pStyle w:val="23"/>
        <w:tabs>
          <w:tab w:val="right" w:leader="dot" w:pos="9115"/>
          <w:tab w:val="clear" w:pos="8460"/>
        </w:tabs>
        <w:spacing w:line="440" w:lineRule="exact"/>
        <w:rPr>
          <w:rFonts w:ascii="仿宋" w:hAnsi="仿宋" w:eastAsia="仿宋" w:cs="仿宋"/>
        </w:rPr>
      </w:pPr>
      <w:r>
        <w:fldChar w:fldCharType="begin"/>
      </w:r>
      <w:r>
        <w:instrText xml:space="preserve"> HYPERLINK \l "_Toc9776" </w:instrText>
      </w:r>
      <w:r>
        <w:fldChar w:fldCharType="separate"/>
      </w:r>
      <w:r>
        <w:rPr>
          <w:rFonts w:hint="eastAsia" w:ascii="仿宋" w:hAnsi="仿宋" w:eastAsia="仿宋" w:cs="仿宋"/>
          <w:szCs w:val="32"/>
        </w:rPr>
        <w:t>估价结果报告</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_Toc9776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rPr>
        <w:fldChar w:fldCharType="end"/>
      </w:r>
    </w:p>
    <w:p>
      <w:pPr>
        <w:pStyle w:val="28"/>
        <w:tabs>
          <w:tab w:val="right" w:leader="dot" w:pos="9115"/>
          <w:tab w:val="clear" w:pos="8296"/>
        </w:tabs>
        <w:spacing w:line="440" w:lineRule="exact"/>
        <w:ind w:left="420"/>
        <w:rPr>
          <w:rFonts w:ascii="仿宋" w:hAnsi="仿宋" w:eastAsia="仿宋" w:cs="仿宋"/>
        </w:rPr>
      </w:pPr>
      <w:r>
        <w:fldChar w:fldCharType="begin"/>
      </w:r>
      <w:r>
        <w:instrText xml:space="preserve"> HYPERLINK \l "_Toc8066" </w:instrText>
      </w:r>
      <w:r>
        <w:fldChar w:fldCharType="separate"/>
      </w:r>
      <w:r>
        <w:rPr>
          <w:rFonts w:hint="eastAsia" w:ascii="仿宋" w:hAnsi="仿宋" w:eastAsia="仿宋" w:cs="仿宋"/>
          <w:szCs w:val="24"/>
        </w:rPr>
        <w:t>一、估价委托人</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_Toc8066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rPr>
        <w:fldChar w:fldCharType="end"/>
      </w:r>
    </w:p>
    <w:p>
      <w:pPr>
        <w:pStyle w:val="28"/>
        <w:tabs>
          <w:tab w:val="right" w:leader="dot" w:pos="9115"/>
          <w:tab w:val="clear" w:pos="8296"/>
        </w:tabs>
        <w:spacing w:line="440" w:lineRule="exact"/>
        <w:ind w:left="420"/>
        <w:rPr>
          <w:rFonts w:ascii="仿宋" w:hAnsi="仿宋" w:eastAsia="仿宋" w:cs="仿宋"/>
        </w:rPr>
      </w:pPr>
      <w:r>
        <w:fldChar w:fldCharType="begin"/>
      </w:r>
      <w:r>
        <w:instrText xml:space="preserve"> HYPERLINK \l "_Toc14257" </w:instrText>
      </w:r>
      <w:r>
        <w:fldChar w:fldCharType="separate"/>
      </w:r>
      <w:r>
        <w:rPr>
          <w:rFonts w:hint="eastAsia" w:ascii="仿宋" w:hAnsi="仿宋" w:eastAsia="仿宋" w:cs="仿宋"/>
          <w:szCs w:val="24"/>
        </w:rPr>
        <w:t>二、房地产估价机构</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_Toc14257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rPr>
        <w:fldChar w:fldCharType="end"/>
      </w:r>
    </w:p>
    <w:p>
      <w:pPr>
        <w:pStyle w:val="28"/>
        <w:tabs>
          <w:tab w:val="right" w:leader="dot" w:pos="9115"/>
          <w:tab w:val="clear" w:pos="8296"/>
        </w:tabs>
        <w:spacing w:line="440" w:lineRule="exact"/>
        <w:ind w:left="420"/>
        <w:rPr>
          <w:rFonts w:ascii="仿宋" w:hAnsi="仿宋" w:eastAsia="仿宋" w:cs="仿宋"/>
        </w:rPr>
      </w:pPr>
      <w:r>
        <w:fldChar w:fldCharType="begin"/>
      </w:r>
      <w:r>
        <w:instrText xml:space="preserve"> HYPERLINK \l "_Toc5987" </w:instrText>
      </w:r>
      <w:r>
        <w:fldChar w:fldCharType="separate"/>
      </w:r>
      <w:r>
        <w:rPr>
          <w:rFonts w:hint="eastAsia" w:ascii="仿宋" w:hAnsi="仿宋" w:eastAsia="仿宋" w:cs="仿宋"/>
          <w:szCs w:val="24"/>
        </w:rPr>
        <w:t>三、 估价目的</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_Toc5987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rPr>
        <w:fldChar w:fldCharType="end"/>
      </w:r>
    </w:p>
    <w:p>
      <w:pPr>
        <w:pStyle w:val="28"/>
        <w:tabs>
          <w:tab w:val="right" w:leader="dot" w:pos="9115"/>
          <w:tab w:val="clear" w:pos="8296"/>
        </w:tabs>
        <w:spacing w:line="440" w:lineRule="exact"/>
        <w:ind w:left="420"/>
        <w:rPr>
          <w:rFonts w:ascii="仿宋" w:hAnsi="仿宋" w:eastAsia="仿宋" w:cs="仿宋"/>
        </w:rPr>
      </w:pPr>
      <w:r>
        <w:fldChar w:fldCharType="begin"/>
      </w:r>
      <w:r>
        <w:instrText xml:space="preserve"> HYPERLINK \l "_Toc8573" </w:instrText>
      </w:r>
      <w:r>
        <w:fldChar w:fldCharType="separate"/>
      </w:r>
      <w:r>
        <w:rPr>
          <w:rFonts w:hint="eastAsia" w:ascii="仿宋" w:hAnsi="仿宋" w:eastAsia="仿宋" w:cs="仿宋"/>
          <w:szCs w:val="24"/>
        </w:rPr>
        <w:t>四、 估价对象</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_Toc8573 </w:instrText>
      </w:r>
      <w:r>
        <w:rPr>
          <w:rFonts w:hint="eastAsia" w:ascii="仿宋" w:hAnsi="仿宋" w:eastAsia="仿宋" w:cs="仿宋"/>
        </w:rPr>
        <w:fldChar w:fldCharType="separate"/>
      </w:r>
      <w:r>
        <w:rPr>
          <w:rFonts w:hint="eastAsia" w:ascii="仿宋" w:hAnsi="仿宋" w:eastAsia="仿宋" w:cs="仿宋"/>
        </w:rPr>
        <w:t>5</w:t>
      </w:r>
      <w:r>
        <w:rPr>
          <w:rFonts w:hint="eastAsia" w:ascii="仿宋" w:hAnsi="仿宋" w:eastAsia="仿宋" w:cs="仿宋"/>
        </w:rPr>
        <w:fldChar w:fldCharType="end"/>
      </w:r>
      <w:r>
        <w:rPr>
          <w:rFonts w:hint="eastAsia" w:ascii="仿宋" w:hAnsi="仿宋" w:eastAsia="仿宋" w:cs="仿宋"/>
        </w:rPr>
        <w:fldChar w:fldCharType="end"/>
      </w:r>
    </w:p>
    <w:p>
      <w:pPr>
        <w:pStyle w:val="28"/>
        <w:tabs>
          <w:tab w:val="right" w:leader="dot" w:pos="9115"/>
          <w:tab w:val="clear" w:pos="8296"/>
        </w:tabs>
        <w:spacing w:line="440" w:lineRule="exact"/>
        <w:ind w:left="420"/>
        <w:rPr>
          <w:rFonts w:ascii="仿宋" w:hAnsi="仿宋" w:eastAsia="仿宋" w:cs="仿宋"/>
        </w:rPr>
      </w:pPr>
      <w:r>
        <w:fldChar w:fldCharType="begin"/>
      </w:r>
      <w:r>
        <w:instrText xml:space="preserve"> HYPERLINK \l "_Toc25036" </w:instrText>
      </w:r>
      <w:r>
        <w:fldChar w:fldCharType="separate"/>
      </w:r>
      <w:r>
        <w:rPr>
          <w:rFonts w:hint="eastAsia" w:ascii="仿宋" w:hAnsi="仿宋" w:eastAsia="仿宋" w:cs="仿宋"/>
          <w:szCs w:val="24"/>
        </w:rPr>
        <w:t>五、 价值时点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_Toc25036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rPr>
        <w:fldChar w:fldCharType="end"/>
      </w:r>
    </w:p>
    <w:p>
      <w:pPr>
        <w:pStyle w:val="28"/>
        <w:tabs>
          <w:tab w:val="right" w:leader="dot" w:pos="9115"/>
          <w:tab w:val="clear" w:pos="8296"/>
        </w:tabs>
        <w:spacing w:line="440" w:lineRule="exact"/>
        <w:ind w:left="420"/>
        <w:rPr>
          <w:rFonts w:ascii="仿宋" w:hAnsi="仿宋" w:eastAsia="仿宋" w:cs="仿宋"/>
        </w:rPr>
      </w:pPr>
      <w:r>
        <w:fldChar w:fldCharType="begin"/>
      </w:r>
      <w:r>
        <w:instrText xml:space="preserve"> HYPERLINK \l "_Toc13944" </w:instrText>
      </w:r>
      <w:r>
        <w:fldChar w:fldCharType="separate"/>
      </w:r>
      <w:r>
        <w:rPr>
          <w:rFonts w:hint="eastAsia" w:ascii="仿宋" w:hAnsi="仿宋" w:eastAsia="仿宋" w:cs="仿宋"/>
          <w:szCs w:val="24"/>
        </w:rPr>
        <w:t>六、 价值类型</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_Toc13944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rPr>
        <w:fldChar w:fldCharType="end"/>
      </w:r>
    </w:p>
    <w:p>
      <w:pPr>
        <w:pStyle w:val="28"/>
        <w:tabs>
          <w:tab w:val="right" w:leader="dot" w:pos="9115"/>
          <w:tab w:val="clear" w:pos="8296"/>
        </w:tabs>
        <w:spacing w:line="440" w:lineRule="exact"/>
        <w:ind w:left="420"/>
        <w:rPr>
          <w:rFonts w:ascii="仿宋" w:hAnsi="仿宋" w:eastAsia="仿宋" w:cs="仿宋"/>
        </w:rPr>
      </w:pPr>
      <w:r>
        <w:fldChar w:fldCharType="begin"/>
      </w:r>
      <w:r>
        <w:instrText xml:space="preserve"> HYPERLINK \l "_Toc9053" </w:instrText>
      </w:r>
      <w:r>
        <w:fldChar w:fldCharType="separate"/>
      </w:r>
      <w:r>
        <w:rPr>
          <w:rFonts w:hint="eastAsia" w:ascii="仿宋" w:hAnsi="仿宋" w:eastAsia="仿宋" w:cs="仿宋"/>
          <w:szCs w:val="24"/>
        </w:rPr>
        <w:t>七、 估价原则</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_Toc9053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rPr>
        <w:fldChar w:fldCharType="end"/>
      </w:r>
    </w:p>
    <w:p>
      <w:pPr>
        <w:pStyle w:val="28"/>
        <w:tabs>
          <w:tab w:val="right" w:leader="dot" w:pos="9115"/>
          <w:tab w:val="clear" w:pos="8296"/>
        </w:tabs>
        <w:spacing w:line="440" w:lineRule="exact"/>
        <w:ind w:left="420"/>
        <w:rPr>
          <w:rFonts w:ascii="仿宋" w:hAnsi="仿宋" w:eastAsia="仿宋" w:cs="仿宋"/>
        </w:rPr>
      </w:pPr>
      <w:r>
        <w:fldChar w:fldCharType="begin"/>
      </w:r>
      <w:r>
        <w:instrText xml:space="preserve"> HYPERLINK \l "_Toc22750" </w:instrText>
      </w:r>
      <w:r>
        <w:fldChar w:fldCharType="separate"/>
      </w:r>
      <w:r>
        <w:rPr>
          <w:rFonts w:hint="eastAsia" w:ascii="仿宋" w:hAnsi="仿宋" w:eastAsia="仿宋" w:cs="仿宋"/>
          <w:szCs w:val="24"/>
        </w:rPr>
        <w:t>八、 估价依据</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_Toc22750 </w:instrText>
      </w:r>
      <w:r>
        <w:rPr>
          <w:rFonts w:hint="eastAsia" w:ascii="仿宋" w:hAnsi="仿宋" w:eastAsia="仿宋" w:cs="仿宋"/>
        </w:rPr>
        <w:fldChar w:fldCharType="separate"/>
      </w:r>
      <w:r>
        <w:rPr>
          <w:rFonts w:hint="eastAsia" w:ascii="仿宋" w:hAnsi="仿宋" w:eastAsia="仿宋" w:cs="仿宋"/>
        </w:rPr>
        <w:t>9</w:t>
      </w:r>
      <w:r>
        <w:rPr>
          <w:rFonts w:hint="eastAsia" w:ascii="仿宋" w:hAnsi="仿宋" w:eastAsia="仿宋" w:cs="仿宋"/>
        </w:rPr>
        <w:fldChar w:fldCharType="end"/>
      </w:r>
      <w:r>
        <w:rPr>
          <w:rFonts w:hint="eastAsia" w:ascii="仿宋" w:hAnsi="仿宋" w:eastAsia="仿宋" w:cs="仿宋"/>
        </w:rPr>
        <w:fldChar w:fldCharType="end"/>
      </w:r>
    </w:p>
    <w:p>
      <w:pPr>
        <w:pStyle w:val="28"/>
        <w:tabs>
          <w:tab w:val="right" w:leader="dot" w:pos="9115"/>
          <w:tab w:val="clear" w:pos="8296"/>
        </w:tabs>
        <w:spacing w:line="440" w:lineRule="exact"/>
        <w:ind w:left="420"/>
        <w:rPr>
          <w:rFonts w:ascii="仿宋" w:hAnsi="仿宋" w:eastAsia="仿宋" w:cs="仿宋"/>
        </w:rPr>
      </w:pPr>
      <w:r>
        <w:fldChar w:fldCharType="begin"/>
      </w:r>
      <w:r>
        <w:instrText xml:space="preserve"> HYPERLINK \l "_Toc19707" </w:instrText>
      </w:r>
      <w:r>
        <w:fldChar w:fldCharType="separate"/>
      </w:r>
      <w:r>
        <w:rPr>
          <w:rFonts w:hint="eastAsia" w:ascii="仿宋" w:hAnsi="仿宋" w:eastAsia="仿宋" w:cs="仿宋"/>
          <w:szCs w:val="24"/>
        </w:rPr>
        <w:t>九、估价方法</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_Toc19707 </w:instrText>
      </w:r>
      <w:r>
        <w:rPr>
          <w:rFonts w:hint="eastAsia" w:ascii="仿宋" w:hAnsi="仿宋" w:eastAsia="仿宋" w:cs="仿宋"/>
        </w:rPr>
        <w:fldChar w:fldCharType="separate"/>
      </w:r>
      <w:r>
        <w:rPr>
          <w:rFonts w:hint="eastAsia" w:ascii="仿宋" w:hAnsi="仿宋" w:eastAsia="仿宋" w:cs="仿宋"/>
        </w:rPr>
        <w:t>10</w:t>
      </w:r>
      <w:r>
        <w:rPr>
          <w:rFonts w:hint="eastAsia" w:ascii="仿宋" w:hAnsi="仿宋" w:eastAsia="仿宋" w:cs="仿宋"/>
        </w:rPr>
        <w:fldChar w:fldCharType="end"/>
      </w:r>
      <w:r>
        <w:rPr>
          <w:rFonts w:hint="eastAsia" w:ascii="仿宋" w:hAnsi="仿宋" w:eastAsia="仿宋" w:cs="仿宋"/>
        </w:rPr>
        <w:fldChar w:fldCharType="end"/>
      </w:r>
    </w:p>
    <w:p>
      <w:pPr>
        <w:pStyle w:val="28"/>
        <w:tabs>
          <w:tab w:val="right" w:leader="dot" w:pos="9115"/>
          <w:tab w:val="clear" w:pos="8296"/>
        </w:tabs>
        <w:spacing w:line="440" w:lineRule="exact"/>
        <w:ind w:left="420"/>
        <w:rPr>
          <w:rFonts w:ascii="仿宋" w:hAnsi="仿宋" w:eastAsia="仿宋" w:cs="仿宋"/>
        </w:rPr>
      </w:pPr>
      <w:r>
        <w:fldChar w:fldCharType="begin"/>
      </w:r>
      <w:r>
        <w:instrText xml:space="preserve"> HYPERLINK \l "_Toc22329" </w:instrText>
      </w:r>
      <w:r>
        <w:fldChar w:fldCharType="separate"/>
      </w:r>
      <w:r>
        <w:rPr>
          <w:rFonts w:hint="eastAsia" w:ascii="仿宋" w:hAnsi="仿宋" w:eastAsia="仿宋" w:cs="仿宋"/>
          <w:szCs w:val="24"/>
        </w:rPr>
        <w:t>十、估价结果</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_Toc22329 </w:instrText>
      </w:r>
      <w:r>
        <w:rPr>
          <w:rFonts w:hint="eastAsia" w:ascii="仿宋" w:hAnsi="仿宋" w:eastAsia="仿宋" w:cs="仿宋"/>
        </w:rPr>
        <w:fldChar w:fldCharType="separate"/>
      </w:r>
      <w:r>
        <w:rPr>
          <w:rFonts w:hint="eastAsia" w:ascii="仿宋" w:hAnsi="仿宋" w:eastAsia="仿宋" w:cs="仿宋"/>
        </w:rPr>
        <w:t>11</w:t>
      </w:r>
      <w:r>
        <w:rPr>
          <w:rFonts w:hint="eastAsia" w:ascii="仿宋" w:hAnsi="仿宋" w:eastAsia="仿宋" w:cs="仿宋"/>
        </w:rPr>
        <w:fldChar w:fldCharType="end"/>
      </w:r>
      <w:r>
        <w:rPr>
          <w:rFonts w:hint="eastAsia" w:ascii="仿宋" w:hAnsi="仿宋" w:eastAsia="仿宋" w:cs="仿宋"/>
        </w:rPr>
        <w:fldChar w:fldCharType="end"/>
      </w:r>
    </w:p>
    <w:p>
      <w:pPr>
        <w:pStyle w:val="28"/>
        <w:tabs>
          <w:tab w:val="right" w:leader="dot" w:pos="9115"/>
          <w:tab w:val="clear" w:pos="8296"/>
        </w:tabs>
        <w:spacing w:line="440" w:lineRule="exact"/>
        <w:ind w:left="420"/>
        <w:rPr>
          <w:rFonts w:ascii="仿宋" w:hAnsi="仿宋" w:eastAsia="仿宋" w:cs="仿宋"/>
        </w:rPr>
      </w:pPr>
      <w:r>
        <w:fldChar w:fldCharType="begin"/>
      </w:r>
      <w:r>
        <w:instrText xml:space="preserve"> HYPERLINK \l "_Toc22384" </w:instrText>
      </w:r>
      <w:r>
        <w:fldChar w:fldCharType="separate"/>
      </w:r>
      <w:r>
        <w:rPr>
          <w:rFonts w:hint="eastAsia" w:ascii="仿宋" w:hAnsi="仿宋" w:eastAsia="仿宋" w:cs="仿宋"/>
          <w:szCs w:val="24"/>
        </w:rPr>
        <w:t>十一、注册房地产估价师</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_Toc22384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rPr>
        <w:fldChar w:fldCharType="end"/>
      </w:r>
    </w:p>
    <w:p>
      <w:pPr>
        <w:pStyle w:val="28"/>
        <w:tabs>
          <w:tab w:val="right" w:leader="dot" w:pos="9115"/>
          <w:tab w:val="clear" w:pos="8296"/>
        </w:tabs>
        <w:spacing w:line="440" w:lineRule="exact"/>
        <w:ind w:left="420"/>
        <w:rPr>
          <w:rFonts w:ascii="仿宋" w:hAnsi="仿宋" w:eastAsia="仿宋" w:cs="仿宋"/>
        </w:rPr>
      </w:pPr>
      <w:r>
        <w:fldChar w:fldCharType="begin"/>
      </w:r>
      <w:r>
        <w:instrText xml:space="preserve"> HYPERLINK \l "_Toc16872" </w:instrText>
      </w:r>
      <w:r>
        <w:fldChar w:fldCharType="separate"/>
      </w:r>
      <w:r>
        <w:rPr>
          <w:rFonts w:hint="eastAsia" w:ascii="仿宋" w:hAnsi="仿宋" w:eastAsia="仿宋" w:cs="仿宋"/>
          <w:szCs w:val="24"/>
        </w:rPr>
        <w:t>十二、实地查勘期</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_Toc16872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rPr>
        <w:fldChar w:fldCharType="end"/>
      </w:r>
    </w:p>
    <w:p>
      <w:pPr>
        <w:pStyle w:val="28"/>
        <w:tabs>
          <w:tab w:val="right" w:leader="dot" w:pos="9115"/>
          <w:tab w:val="clear" w:pos="8296"/>
        </w:tabs>
        <w:spacing w:line="440" w:lineRule="exact"/>
        <w:ind w:left="420"/>
        <w:rPr>
          <w:rFonts w:ascii="仿宋" w:hAnsi="仿宋" w:eastAsia="仿宋" w:cs="仿宋"/>
        </w:rPr>
      </w:pPr>
      <w:r>
        <w:fldChar w:fldCharType="begin"/>
      </w:r>
      <w:r>
        <w:instrText xml:space="preserve"> HYPERLINK \l "_Toc10586" </w:instrText>
      </w:r>
      <w:r>
        <w:fldChar w:fldCharType="separate"/>
      </w:r>
      <w:r>
        <w:rPr>
          <w:rFonts w:hint="eastAsia" w:ascii="仿宋" w:hAnsi="仿宋" w:eastAsia="仿宋" w:cs="仿宋"/>
          <w:szCs w:val="24"/>
        </w:rPr>
        <w:t>十三、估价作业期</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_Toc10586 </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rPr>
        <w:fldChar w:fldCharType="end"/>
      </w:r>
    </w:p>
    <w:p>
      <w:pPr>
        <w:pStyle w:val="23"/>
        <w:tabs>
          <w:tab w:val="right" w:leader="dot" w:pos="9115"/>
          <w:tab w:val="clear" w:pos="8460"/>
        </w:tabs>
        <w:spacing w:line="440" w:lineRule="exact"/>
      </w:pPr>
      <w:r>
        <w:fldChar w:fldCharType="begin"/>
      </w:r>
      <w:r>
        <w:instrText xml:space="preserve"> HYPERLINK \l "_Toc1507" </w:instrText>
      </w:r>
      <w:r>
        <w:fldChar w:fldCharType="separate"/>
      </w:r>
      <w:r>
        <w:rPr>
          <w:rFonts w:hint="eastAsia" w:ascii="仿宋" w:hAnsi="仿宋" w:eastAsia="仿宋" w:cs="仿宋"/>
          <w:szCs w:val="32"/>
        </w:rPr>
        <w:t>估价报告附件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_Toc1507 </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rPr>
        <w:fldChar w:fldCharType="end"/>
      </w:r>
    </w:p>
    <w:p>
      <w:pPr>
        <w:pStyle w:val="28"/>
        <w:tabs>
          <w:tab w:val="right" w:leader="dot" w:pos="9115"/>
          <w:tab w:val="clear" w:pos="8296"/>
        </w:tabs>
        <w:spacing w:line="440" w:lineRule="exact"/>
        <w:ind w:left="420"/>
      </w:pPr>
      <w:r>
        <w:fldChar w:fldCharType="begin"/>
      </w:r>
      <w:r>
        <w:instrText xml:space="preserve"> HYPERLINK \l "_Toc24924" </w:instrText>
      </w:r>
      <w:r>
        <w:fldChar w:fldCharType="separate"/>
      </w:r>
      <w:r>
        <w:rPr>
          <w:rFonts w:hint="eastAsia" w:ascii="仿宋" w:hAnsi="仿宋" w:eastAsia="仿宋" w:cs="仿宋"/>
          <w:szCs w:val="24"/>
        </w:rPr>
        <w:t>一、《委托</w:t>
      </w:r>
      <w:r>
        <w:rPr>
          <w:rFonts w:hint="eastAsia" w:ascii="仿宋" w:hAnsi="仿宋" w:eastAsia="仿宋" w:cs="仿宋"/>
          <w:szCs w:val="24"/>
          <w:lang w:eastAsia="zh-CN"/>
        </w:rPr>
        <w:t>评估书</w:t>
      </w:r>
      <w:r>
        <w:rPr>
          <w:rFonts w:hint="eastAsia" w:ascii="仿宋" w:hAnsi="仿宋" w:eastAsia="仿宋" w:cs="仿宋"/>
          <w:szCs w:val="24"/>
        </w:rPr>
        <w:t>》</w:t>
      </w:r>
      <w:r>
        <w:rPr>
          <w:rFonts w:hint="eastAsia" w:ascii="仿宋_GB2312" w:hAnsi="仿宋" w:eastAsia="仿宋_GB2312" w:cs="宋体"/>
          <w:szCs w:val="24"/>
        </w:rPr>
        <w:t>复印件</w:t>
      </w:r>
      <w:r>
        <w:tab/>
      </w:r>
      <w:r>
        <w:fldChar w:fldCharType="begin"/>
      </w:r>
      <w:r>
        <w:instrText xml:space="preserve"> PAGEREF _Toc24924 </w:instrText>
      </w:r>
      <w:r>
        <w:fldChar w:fldCharType="separate"/>
      </w:r>
      <w:r>
        <w:t>13</w:t>
      </w:r>
      <w:r>
        <w:fldChar w:fldCharType="end"/>
      </w:r>
      <w:r>
        <w:fldChar w:fldCharType="end"/>
      </w:r>
    </w:p>
    <w:p>
      <w:pPr>
        <w:pStyle w:val="28"/>
        <w:tabs>
          <w:tab w:val="right" w:leader="dot" w:pos="9115"/>
          <w:tab w:val="clear" w:pos="8296"/>
        </w:tabs>
        <w:spacing w:line="440" w:lineRule="exact"/>
        <w:ind w:left="420"/>
      </w:pPr>
      <w:r>
        <w:fldChar w:fldCharType="begin"/>
      </w:r>
      <w:r>
        <w:instrText xml:space="preserve"> HYPERLINK \l "_Toc16036" </w:instrText>
      </w:r>
      <w:r>
        <w:fldChar w:fldCharType="separate"/>
      </w:r>
      <w:r>
        <w:rPr>
          <w:rFonts w:hint="eastAsia" w:ascii="仿宋" w:hAnsi="仿宋" w:eastAsia="仿宋" w:cs="仿宋"/>
          <w:szCs w:val="24"/>
        </w:rPr>
        <w:t>二、估价对象位置图</w:t>
      </w:r>
      <w:r>
        <w:tab/>
      </w:r>
      <w:r>
        <w:fldChar w:fldCharType="begin"/>
      </w:r>
      <w:r>
        <w:instrText xml:space="preserve"> PAGEREF _Toc16036 </w:instrText>
      </w:r>
      <w:r>
        <w:fldChar w:fldCharType="separate"/>
      </w:r>
      <w:r>
        <w:t>13</w:t>
      </w:r>
      <w:r>
        <w:fldChar w:fldCharType="end"/>
      </w:r>
      <w:r>
        <w:fldChar w:fldCharType="end"/>
      </w:r>
    </w:p>
    <w:p>
      <w:pPr>
        <w:pStyle w:val="28"/>
        <w:tabs>
          <w:tab w:val="right" w:leader="dot" w:pos="9115"/>
          <w:tab w:val="clear" w:pos="8296"/>
        </w:tabs>
        <w:spacing w:line="440" w:lineRule="exact"/>
        <w:ind w:left="420"/>
      </w:pPr>
      <w:r>
        <w:fldChar w:fldCharType="begin"/>
      </w:r>
      <w:r>
        <w:instrText xml:space="preserve"> HYPERLINK \l "_Toc20192" </w:instrText>
      </w:r>
      <w:r>
        <w:fldChar w:fldCharType="separate"/>
      </w:r>
      <w:r>
        <w:rPr>
          <w:rFonts w:hint="eastAsia" w:ascii="仿宋" w:hAnsi="仿宋" w:eastAsia="仿宋" w:cs="仿宋"/>
          <w:szCs w:val="24"/>
        </w:rPr>
        <w:t>三、估价对象实地查勘情况和相关照片</w:t>
      </w:r>
      <w:r>
        <w:tab/>
      </w:r>
      <w:r>
        <w:fldChar w:fldCharType="begin"/>
      </w:r>
      <w:r>
        <w:instrText xml:space="preserve"> PAGEREF _Toc20192 </w:instrText>
      </w:r>
      <w:r>
        <w:fldChar w:fldCharType="separate"/>
      </w:r>
      <w:r>
        <w:t>13</w:t>
      </w:r>
      <w:r>
        <w:fldChar w:fldCharType="end"/>
      </w:r>
      <w:r>
        <w:fldChar w:fldCharType="end"/>
      </w:r>
    </w:p>
    <w:p>
      <w:pPr>
        <w:pStyle w:val="28"/>
        <w:tabs>
          <w:tab w:val="right" w:leader="dot" w:pos="9115"/>
          <w:tab w:val="clear" w:pos="8296"/>
        </w:tabs>
        <w:spacing w:line="440" w:lineRule="exact"/>
        <w:ind w:left="420"/>
      </w:pPr>
      <w:r>
        <w:fldChar w:fldCharType="begin"/>
      </w:r>
      <w:r>
        <w:instrText xml:space="preserve"> HYPERLINK \l "_Toc96" </w:instrText>
      </w:r>
      <w:r>
        <w:fldChar w:fldCharType="separate"/>
      </w:r>
      <w:r>
        <w:rPr>
          <w:rFonts w:hint="eastAsia" w:ascii="仿宋" w:hAnsi="仿宋" w:eastAsia="仿宋" w:cs="仿宋"/>
          <w:szCs w:val="24"/>
          <w:lang w:eastAsia="zh-CN"/>
        </w:rPr>
        <w:t>四、估价对象</w:t>
      </w:r>
      <w:r>
        <w:rPr>
          <w:rFonts w:hint="eastAsia" w:ascii="仿宋" w:hAnsi="仿宋" w:eastAsia="仿宋" w:cs="仿宋"/>
          <w:szCs w:val="24"/>
        </w:rPr>
        <w:t>《证明》</w:t>
      </w:r>
      <w:r>
        <w:rPr>
          <w:rFonts w:hint="eastAsia" w:ascii="仿宋" w:hAnsi="仿宋" w:eastAsia="仿宋" w:cs="仿宋"/>
          <w:szCs w:val="24"/>
          <w:lang w:eastAsia="zh-CN"/>
        </w:rPr>
        <w:t>复印件</w:t>
      </w:r>
      <w:r>
        <w:tab/>
      </w:r>
      <w:r>
        <w:fldChar w:fldCharType="begin"/>
      </w:r>
      <w:r>
        <w:instrText xml:space="preserve"> PAGEREF _Toc96 </w:instrText>
      </w:r>
      <w:r>
        <w:fldChar w:fldCharType="separate"/>
      </w:r>
      <w:r>
        <w:t>13</w:t>
      </w:r>
      <w:r>
        <w:fldChar w:fldCharType="end"/>
      </w:r>
      <w:r>
        <w:fldChar w:fldCharType="end"/>
      </w:r>
    </w:p>
    <w:p>
      <w:pPr>
        <w:pStyle w:val="28"/>
        <w:tabs>
          <w:tab w:val="right" w:leader="dot" w:pos="9115"/>
          <w:tab w:val="clear" w:pos="8296"/>
        </w:tabs>
        <w:spacing w:line="440" w:lineRule="exact"/>
        <w:ind w:left="420"/>
      </w:pPr>
      <w:r>
        <w:fldChar w:fldCharType="begin"/>
      </w:r>
      <w:r>
        <w:instrText xml:space="preserve"> HYPERLINK \l "_Toc30196" </w:instrText>
      </w:r>
      <w:r>
        <w:fldChar w:fldCharType="separate"/>
      </w:r>
      <w:r>
        <w:rPr>
          <w:rFonts w:hint="eastAsia" w:ascii="仿宋" w:hAnsi="仿宋" w:eastAsia="仿宋" w:cs="仿宋"/>
          <w:szCs w:val="24"/>
        </w:rPr>
        <w:t>五、专业帮助情况和相关专业意见说明</w:t>
      </w:r>
      <w:r>
        <w:tab/>
      </w:r>
      <w:r>
        <w:fldChar w:fldCharType="begin"/>
      </w:r>
      <w:r>
        <w:instrText xml:space="preserve"> PAGEREF _Toc30196 </w:instrText>
      </w:r>
      <w:r>
        <w:fldChar w:fldCharType="separate"/>
      </w:r>
      <w:r>
        <w:t>13</w:t>
      </w:r>
      <w:r>
        <w:fldChar w:fldCharType="end"/>
      </w:r>
      <w:r>
        <w:fldChar w:fldCharType="end"/>
      </w:r>
    </w:p>
    <w:p>
      <w:pPr>
        <w:pStyle w:val="28"/>
        <w:tabs>
          <w:tab w:val="right" w:leader="dot" w:pos="9115"/>
          <w:tab w:val="clear" w:pos="8296"/>
        </w:tabs>
        <w:spacing w:line="440" w:lineRule="exact"/>
        <w:ind w:left="420"/>
      </w:pPr>
      <w:r>
        <w:fldChar w:fldCharType="begin"/>
      </w:r>
      <w:r>
        <w:instrText xml:space="preserve"> HYPERLINK \l "_Toc9456" </w:instrText>
      </w:r>
      <w:r>
        <w:fldChar w:fldCharType="separate"/>
      </w:r>
      <w:r>
        <w:rPr>
          <w:rFonts w:hint="eastAsia" w:ascii="仿宋" w:hAnsi="仿宋" w:eastAsia="仿宋" w:cs="仿宋"/>
          <w:szCs w:val="24"/>
        </w:rPr>
        <w:t>六、评估机构营业执照和评估机构资格证书复印件</w:t>
      </w:r>
      <w:r>
        <w:tab/>
      </w:r>
      <w:r>
        <w:fldChar w:fldCharType="begin"/>
      </w:r>
      <w:r>
        <w:instrText xml:space="preserve"> PAGEREF _Toc9456 </w:instrText>
      </w:r>
      <w:r>
        <w:fldChar w:fldCharType="separate"/>
      </w:r>
      <w:r>
        <w:t>13</w:t>
      </w:r>
      <w:r>
        <w:fldChar w:fldCharType="end"/>
      </w:r>
      <w:r>
        <w:fldChar w:fldCharType="end"/>
      </w:r>
    </w:p>
    <w:p>
      <w:pPr>
        <w:pStyle w:val="28"/>
        <w:tabs>
          <w:tab w:val="right" w:leader="dot" w:pos="9115"/>
          <w:tab w:val="clear" w:pos="8296"/>
        </w:tabs>
        <w:spacing w:line="440" w:lineRule="exact"/>
        <w:ind w:left="420"/>
      </w:pPr>
      <w:r>
        <w:fldChar w:fldCharType="begin"/>
      </w:r>
      <w:r>
        <w:instrText xml:space="preserve"> HYPERLINK \l "_Toc7941" </w:instrText>
      </w:r>
      <w:r>
        <w:fldChar w:fldCharType="separate"/>
      </w:r>
      <w:r>
        <w:rPr>
          <w:rFonts w:hint="eastAsia" w:ascii="仿宋" w:hAnsi="仿宋" w:eastAsia="仿宋" w:cs="仿宋"/>
          <w:szCs w:val="24"/>
        </w:rPr>
        <w:t>七、注册房地产估价师注册证书复印件</w:t>
      </w:r>
      <w:r>
        <w:tab/>
      </w:r>
      <w:r>
        <w:fldChar w:fldCharType="begin"/>
      </w:r>
      <w:r>
        <w:instrText xml:space="preserve"> PAGEREF _Toc7941 </w:instrText>
      </w:r>
      <w:r>
        <w:fldChar w:fldCharType="separate"/>
      </w:r>
      <w:r>
        <w:t>13</w:t>
      </w:r>
      <w:r>
        <w:fldChar w:fldCharType="end"/>
      </w:r>
      <w:r>
        <w:fldChar w:fldCharType="end"/>
      </w:r>
    </w:p>
    <w:p>
      <w:pPr>
        <w:pStyle w:val="23"/>
        <w:tabs>
          <w:tab w:val="right" w:leader="dot" w:pos="9240"/>
          <w:tab w:val="clear" w:pos="8460"/>
        </w:tabs>
        <w:adjustRightInd w:val="0"/>
        <w:snapToGrid w:val="0"/>
        <w:spacing w:line="440" w:lineRule="exact"/>
        <w:rPr>
          <w:snapToGrid w:val="0"/>
          <w:kern w:val="0"/>
          <w:sz w:val="24"/>
          <w:szCs w:val="24"/>
        </w:rPr>
      </w:pPr>
      <w:r>
        <w:rPr>
          <w:rFonts w:hint="eastAsia" w:ascii="仿宋" w:hAnsi="仿宋" w:eastAsia="仿宋" w:cs="仿宋"/>
          <w:snapToGrid w:val="0"/>
          <w:kern w:val="0"/>
          <w:szCs w:val="24"/>
        </w:rPr>
        <w:fldChar w:fldCharType="end"/>
      </w:r>
    </w:p>
    <w:p>
      <w:pPr>
        <w:jc w:val="center"/>
        <w:rPr>
          <w:snapToGrid w:val="0"/>
          <w:kern w:val="0"/>
          <w:sz w:val="24"/>
          <w:szCs w:val="24"/>
        </w:rPr>
      </w:pPr>
    </w:p>
    <w:p>
      <w:pPr>
        <w:jc w:val="center"/>
        <w:rPr>
          <w:rFonts w:ascii="宋体" w:hAnsi="宋体" w:cs="宋体"/>
          <w:b/>
          <w:snapToGrid w:val="0"/>
          <w:kern w:val="0"/>
          <w:sz w:val="28"/>
          <w:szCs w:val="28"/>
        </w:rPr>
        <w:sectPr>
          <w:headerReference r:id="rId4" w:type="first"/>
          <w:footerReference r:id="rId6" w:type="first"/>
          <w:headerReference r:id="rId3" w:type="default"/>
          <w:footerReference r:id="rId5" w:type="default"/>
          <w:pgSz w:w="11906" w:h="16838"/>
          <w:pgMar w:top="1440" w:right="1111" w:bottom="1440" w:left="1680" w:header="851" w:footer="992" w:gutter="0"/>
          <w:pgNumType w:start="1"/>
          <w:cols w:space="720" w:num="1"/>
          <w:titlePg/>
          <w:docGrid w:type="lines" w:linePitch="312" w:charSpace="0"/>
        </w:sectPr>
      </w:pPr>
    </w:p>
    <w:p>
      <w:pPr>
        <w:jc w:val="center"/>
        <w:outlineLvl w:val="0"/>
        <w:rPr>
          <w:rFonts w:ascii="黑体" w:hAnsi="黑体" w:eastAsia="黑体" w:cs="宋体"/>
          <w:sz w:val="24"/>
          <w:szCs w:val="24"/>
        </w:rPr>
      </w:pPr>
      <w:bookmarkStart w:id="5" w:name="_Toc23273"/>
      <w:bookmarkStart w:id="6" w:name="_Toc17324"/>
      <w:r>
        <w:rPr>
          <w:rFonts w:hint="eastAsia" w:ascii="宋体" w:hAnsi="宋体" w:cs="宋体"/>
          <w:b/>
          <w:snapToGrid w:val="0"/>
          <w:kern w:val="0"/>
          <w:sz w:val="32"/>
          <w:szCs w:val="32"/>
        </w:rPr>
        <w:t>估价师声明</w:t>
      </w:r>
      <w:bookmarkEnd w:id="5"/>
      <w:bookmarkEnd w:id="6"/>
    </w:p>
    <w:p>
      <w:pPr>
        <w:rPr>
          <w:sz w:val="24"/>
          <w:szCs w:val="24"/>
        </w:rPr>
      </w:pPr>
    </w:p>
    <w:p>
      <w:pPr>
        <w:spacing w:line="540" w:lineRule="exact"/>
        <w:rPr>
          <w:rFonts w:ascii="仿宋" w:hAnsi="仿宋" w:eastAsia="仿宋" w:cs="宋体"/>
          <w:snapToGrid w:val="0"/>
          <w:kern w:val="0"/>
          <w:sz w:val="24"/>
          <w:szCs w:val="24"/>
        </w:rPr>
      </w:pPr>
      <w:r>
        <w:rPr>
          <w:rFonts w:hint="eastAsia" w:ascii="仿宋" w:hAnsi="仿宋" w:eastAsia="仿宋" w:cs="宋体"/>
          <w:snapToGrid w:val="0"/>
          <w:kern w:val="0"/>
          <w:sz w:val="24"/>
          <w:szCs w:val="24"/>
        </w:rPr>
        <w:t xml:space="preserve">   我们根据自己的专业知识和职业道德，在此郑重声明：</w:t>
      </w:r>
    </w:p>
    <w:p>
      <w:pPr>
        <w:tabs>
          <w:tab w:val="left" w:pos="2044"/>
        </w:tabs>
        <w:adjustRightInd w:val="0"/>
        <w:spacing w:line="540" w:lineRule="exac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（一）我们在本估价报告中对事实的说明是真实和准确的，没有虚假记载、误导性陈述和重大遗漏。</w:t>
      </w:r>
    </w:p>
    <w:p>
      <w:pPr>
        <w:tabs>
          <w:tab w:val="left" w:pos="2044"/>
        </w:tabs>
        <w:adjustRightInd w:val="0"/>
        <w:spacing w:line="540" w:lineRule="exac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（二）本估价报告中的分析、意见和结论是我们独立、客观、公正的专业分析、意见和结论，但受估价报告中已说明的估价的假设和限制条件的限制。</w:t>
      </w:r>
    </w:p>
    <w:p>
      <w:pPr>
        <w:tabs>
          <w:tab w:val="left" w:pos="2044"/>
        </w:tabs>
        <w:adjustRightInd w:val="0"/>
        <w:spacing w:line="540" w:lineRule="exac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（三）我们与本估价报告中的估价对象没有现实或潜在的利益，与估价委托人和估价利害关系人没有利害关系，也对估价对象、估价委托人及估价利害关系人没有偏见。</w:t>
      </w:r>
    </w:p>
    <w:p>
      <w:pPr>
        <w:tabs>
          <w:tab w:val="left" w:pos="2044"/>
        </w:tabs>
        <w:adjustRightInd w:val="0"/>
        <w:spacing w:line="540" w:lineRule="exact"/>
        <w:ind w:firstLine="480" w:firstLineChars="200"/>
        <w:rPr>
          <w:rFonts w:hint="eastAsia" w:ascii="仿宋" w:hAnsi="仿宋" w:eastAsia="仿宋" w:cs="宋体"/>
          <w:snapToGrid w:val="0"/>
          <w:kern w:val="0"/>
          <w:sz w:val="24"/>
          <w:szCs w:val="24"/>
        </w:rPr>
      </w:pPr>
      <w:r>
        <w:rPr>
          <w:rFonts w:hint="eastAsia" w:ascii="仿宋" w:hAnsi="仿宋" w:eastAsia="仿宋" w:cs="宋体"/>
          <w:snapToGrid w:val="0"/>
          <w:kern w:val="0"/>
          <w:sz w:val="24"/>
          <w:szCs w:val="24"/>
        </w:rPr>
        <w:t>（四）我们是按照《房地产估价规范》GB/T50291-2015、《房地产估价基本术语标准》GB/T50899-2013、</w:t>
      </w:r>
      <w:r>
        <w:rPr>
          <w:rFonts w:hint="eastAsia" w:ascii="仿宋" w:hAnsi="仿宋" w:eastAsia="仿宋" w:cs="宋体"/>
          <w:snapToGrid w:val="0"/>
          <w:kern w:val="0"/>
          <w:sz w:val="24"/>
          <w:szCs w:val="24"/>
          <w:lang w:eastAsia="zh-CN"/>
        </w:rPr>
        <w:t>参照</w:t>
      </w:r>
      <w:r>
        <w:rPr>
          <w:rFonts w:hint="eastAsia" w:ascii="仿宋" w:hAnsi="仿宋" w:eastAsia="仿宋" w:cs="宋体"/>
          <w:snapToGrid w:val="0"/>
          <w:kern w:val="0"/>
          <w:sz w:val="24"/>
          <w:szCs w:val="24"/>
        </w:rPr>
        <w:t>《贵州省涉案财物价格鉴定操作规程》（试行）进行估价工作，撰写本估价报告。</w:t>
      </w:r>
    </w:p>
    <w:p>
      <w:pPr>
        <w:spacing w:line="480" w:lineRule="exact"/>
        <w:ind w:firstLine="480" w:firstLineChars="200"/>
        <w:jc w:val="both"/>
        <w:rPr>
          <w:rFonts w:hint="eastAsia" w:ascii="仿宋" w:hAnsi="仿宋" w:eastAsia="仿宋" w:cs="宋体"/>
          <w:snapToGrid w:val="0"/>
          <w:kern w:val="0"/>
          <w:sz w:val="24"/>
          <w:szCs w:val="24"/>
        </w:rPr>
      </w:pPr>
      <w:r>
        <w:rPr>
          <w:rFonts w:hint="eastAsia" w:ascii="仿宋" w:hAnsi="仿宋" w:eastAsia="仿宋" w:cs="宋体"/>
          <w:snapToGrid w:val="0"/>
          <w:kern w:val="0"/>
          <w:sz w:val="24"/>
          <w:szCs w:val="24"/>
          <w:lang w:eastAsia="zh-CN"/>
        </w:rPr>
        <w:t>（五）</w:t>
      </w:r>
      <w:r>
        <w:rPr>
          <w:rFonts w:hint="eastAsia" w:ascii="仿宋" w:hAnsi="仿宋" w:eastAsia="仿宋" w:cs="宋体"/>
          <w:snapToGrid w:val="0"/>
          <w:kern w:val="0"/>
          <w:sz w:val="24"/>
          <w:szCs w:val="24"/>
        </w:rPr>
        <w:t>参加本次估价的注册房地产估价师承诺对其估价职业道德、专业胜任能力和勤勉尽职尽责。</w:t>
      </w:r>
    </w:p>
    <w:p>
      <w:pPr>
        <w:pStyle w:val="7"/>
        <w:rPr>
          <w:rFonts w:hint="eastAsia" w:eastAsia="宋体"/>
          <w:lang w:eastAsia="zh-CN"/>
        </w:rPr>
      </w:pPr>
    </w:p>
    <w:p>
      <w:pPr>
        <w:pStyle w:val="2"/>
        <w:rPr>
          <w:rFonts w:ascii="仿宋" w:hAnsi="仿宋" w:eastAsia="仿宋" w:cs="宋体"/>
          <w:snapToGrid w:val="0"/>
          <w:kern w:val="0"/>
          <w:sz w:val="24"/>
          <w:szCs w:val="24"/>
        </w:rPr>
      </w:pPr>
      <w:r>
        <w:rPr>
          <w:rFonts w:hint="eastAsia"/>
          <w:lang w:val="en-US" w:eastAsia="zh-CN"/>
        </w:rPr>
        <w:t xml:space="preserve">     </w:t>
      </w:r>
      <w:bookmarkEnd w:id="4"/>
      <w:bookmarkStart w:id="7" w:name="_Toc320276191"/>
      <w:bookmarkStart w:id="8" w:name="_Toc320184502"/>
      <w:bookmarkStart w:id="9" w:name="_Toc231983234"/>
      <w:bookmarkStart w:id="10" w:name="_Toc320173772"/>
      <w:bookmarkStart w:id="11" w:name="_Toc130033716"/>
      <w:r>
        <w:rPr>
          <w:rFonts w:hint="eastAsia" w:ascii="仿宋" w:hAnsi="仿宋" w:eastAsia="仿宋" w:cs="宋体"/>
          <w:snapToGrid w:val="0"/>
          <w:kern w:val="0"/>
          <w:sz w:val="24"/>
          <w:szCs w:val="24"/>
        </w:rPr>
        <w:t xml:space="preserve">                       注册房地产估价师</w:t>
      </w:r>
    </w:p>
    <w:tbl>
      <w:tblPr>
        <w:tblStyle w:val="43"/>
        <w:tblW w:w="9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2341"/>
        <w:gridCol w:w="2341"/>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371" w:type="dxa"/>
          </w:tcPr>
          <w:p>
            <w:pPr>
              <w:autoSpaceDE w:val="0"/>
              <w:autoSpaceDN w:val="0"/>
              <w:adjustRightInd w:val="0"/>
              <w:spacing w:line="440" w:lineRule="exact"/>
              <w:jc w:val="center"/>
              <w:rPr>
                <w:rFonts w:ascii="仿宋" w:hAnsi="仿宋" w:eastAsia="仿宋" w:cs="仿宋"/>
                <w:sz w:val="18"/>
                <w:szCs w:val="18"/>
                <w:lang w:val="zh-CN"/>
              </w:rPr>
            </w:pPr>
            <w:r>
              <w:rPr>
                <w:rFonts w:hint="eastAsia" w:ascii="仿宋" w:hAnsi="仿宋" w:eastAsia="仿宋" w:cs="仿宋"/>
                <w:sz w:val="18"/>
                <w:szCs w:val="18"/>
                <w:lang w:val="zh-CN"/>
              </w:rPr>
              <w:t>姓    名</w:t>
            </w:r>
          </w:p>
        </w:tc>
        <w:tc>
          <w:tcPr>
            <w:tcW w:w="2341" w:type="dxa"/>
          </w:tcPr>
          <w:p>
            <w:pPr>
              <w:autoSpaceDE w:val="0"/>
              <w:autoSpaceDN w:val="0"/>
              <w:adjustRightInd w:val="0"/>
              <w:spacing w:line="440" w:lineRule="exact"/>
              <w:jc w:val="center"/>
              <w:rPr>
                <w:rFonts w:ascii="仿宋" w:hAnsi="仿宋" w:eastAsia="仿宋" w:cs="仿宋"/>
                <w:sz w:val="18"/>
                <w:szCs w:val="18"/>
                <w:lang w:val="zh-CN"/>
              </w:rPr>
            </w:pPr>
            <w:r>
              <w:rPr>
                <w:rFonts w:hint="eastAsia" w:ascii="仿宋" w:hAnsi="仿宋" w:eastAsia="仿宋" w:cs="仿宋"/>
                <w:sz w:val="18"/>
                <w:szCs w:val="18"/>
                <w:lang w:val="zh-CN"/>
              </w:rPr>
              <w:t>注  册  号</w:t>
            </w:r>
          </w:p>
        </w:tc>
        <w:tc>
          <w:tcPr>
            <w:tcW w:w="2341" w:type="dxa"/>
          </w:tcPr>
          <w:p>
            <w:pPr>
              <w:autoSpaceDE w:val="0"/>
              <w:autoSpaceDN w:val="0"/>
              <w:adjustRightInd w:val="0"/>
              <w:spacing w:line="440" w:lineRule="exact"/>
              <w:jc w:val="center"/>
              <w:rPr>
                <w:rFonts w:ascii="仿宋" w:hAnsi="仿宋" w:eastAsia="仿宋" w:cs="仿宋"/>
                <w:sz w:val="18"/>
                <w:szCs w:val="18"/>
                <w:lang w:val="zh-CN"/>
              </w:rPr>
            </w:pPr>
            <w:r>
              <w:rPr>
                <w:rFonts w:hint="eastAsia" w:ascii="仿宋" w:hAnsi="仿宋" w:eastAsia="仿宋" w:cs="仿宋"/>
                <w:sz w:val="18"/>
                <w:szCs w:val="18"/>
                <w:lang w:val="zh-CN"/>
              </w:rPr>
              <w:t xml:space="preserve">签    </w:t>
            </w:r>
            <w:r>
              <w:rPr>
                <w:rFonts w:hint="eastAsia" w:ascii="仿宋" w:hAnsi="仿宋" w:eastAsia="仿宋" w:cs="仿宋"/>
                <w:sz w:val="18"/>
                <w:szCs w:val="18"/>
              </w:rPr>
              <w:t>名</w:t>
            </w:r>
          </w:p>
        </w:tc>
        <w:tc>
          <w:tcPr>
            <w:tcW w:w="2387" w:type="dxa"/>
          </w:tcPr>
          <w:p>
            <w:pPr>
              <w:autoSpaceDE w:val="0"/>
              <w:autoSpaceDN w:val="0"/>
              <w:adjustRightInd w:val="0"/>
              <w:spacing w:line="440" w:lineRule="exact"/>
              <w:jc w:val="center"/>
              <w:rPr>
                <w:rFonts w:ascii="仿宋" w:hAnsi="仿宋" w:eastAsia="仿宋" w:cs="仿宋"/>
                <w:sz w:val="18"/>
                <w:szCs w:val="18"/>
                <w:lang w:val="zh-CN"/>
              </w:rPr>
            </w:pPr>
            <w:r>
              <w:rPr>
                <w:rFonts w:hint="eastAsia" w:ascii="仿宋" w:hAnsi="仿宋" w:eastAsia="仿宋" w:cs="仿宋"/>
                <w:sz w:val="18"/>
                <w:szCs w:val="18"/>
                <w:lang w:val="zh-CN"/>
              </w:rPr>
              <w:t>签</w:t>
            </w:r>
            <w:r>
              <w:rPr>
                <w:rFonts w:hint="eastAsia" w:ascii="仿宋" w:hAnsi="仿宋" w:eastAsia="仿宋" w:cs="仿宋"/>
                <w:sz w:val="18"/>
                <w:szCs w:val="18"/>
              </w:rPr>
              <w:t>名</w:t>
            </w:r>
            <w:r>
              <w:rPr>
                <w:rFonts w:hint="eastAsia" w:ascii="仿宋" w:hAnsi="仿宋" w:eastAsia="仿宋" w:cs="仿宋"/>
                <w:sz w:val="18"/>
                <w:szCs w:val="18"/>
                <w:lang w:val="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2371" w:type="dxa"/>
            <w:vAlign w:val="center"/>
          </w:tcPr>
          <w:p>
            <w:pPr>
              <w:autoSpaceDE w:val="0"/>
              <w:autoSpaceDN w:val="0"/>
              <w:adjustRightInd w:val="0"/>
              <w:spacing w:line="440" w:lineRule="exact"/>
              <w:jc w:val="center"/>
              <w:rPr>
                <w:rFonts w:hint="eastAsia" w:ascii="仿宋" w:hAnsi="仿宋" w:eastAsia="仿宋" w:cs="仿宋"/>
                <w:sz w:val="18"/>
                <w:szCs w:val="18"/>
                <w:lang w:eastAsia="zh-CN"/>
              </w:rPr>
            </w:pPr>
            <w:r>
              <w:rPr>
                <w:rFonts w:hint="eastAsia" w:ascii="仿宋" w:hAnsi="仿宋" w:eastAsia="仿宋" w:cs="仿宋"/>
                <w:sz w:val="18"/>
                <w:szCs w:val="18"/>
                <w:lang w:eastAsia="zh-CN"/>
              </w:rPr>
              <w:t>段春兰</w:t>
            </w:r>
          </w:p>
        </w:tc>
        <w:tc>
          <w:tcPr>
            <w:tcW w:w="2341" w:type="dxa"/>
            <w:vAlign w:val="center"/>
          </w:tcPr>
          <w:p>
            <w:pPr>
              <w:autoSpaceDE w:val="0"/>
              <w:autoSpaceDN w:val="0"/>
              <w:adjustRightInd w:val="0"/>
              <w:spacing w:line="440" w:lineRule="exact"/>
              <w:jc w:val="center"/>
              <w:rPr>
                <w:rFonts w:hint="eastAsia" w:ascii="仿宋" w:hAnsi="仿宋" w:eastAsia="仿宋" w:cs="仿宋"/>
                <w:sz w:val="18"/>
                <w:szCs w:val="18"/>
                <w:lang w:val="zh-CN" w:eastAsia="zh-CN"/>
              </w:rPr>
            </w:pPr>
            <w:r>
              <w:rPr>
                <w:rFonts w:hint="eastAsia" w:ascii="仿宋" w:hAnsi="仿宋" w:eastAsia="仿宋" w:cs="仿宋"/>
                <w:sz w:val="18"/>
                <w:szCs w:val="18"/>
                <w:lang w:val="en-US" w:eastAsia="zh-CN"/>
              </w:rPr>
              <w:t>5220190048</w:t>
            </w:r>
          </w:p>
        </w:tc>
        <w:tc>
          <w:tcPr>
            <w:tcW w:w="2341" w:type="dxa"/>
          </w:tcPr>
          <w:p>
            <w:pPr>
              <w:autoSpaceDE w:val="0"/>
              <w:autoSpaceDN w:val="0"/>
              <w:adjustRightInd w:val="0"/>
              <w:spacing w:line="440" w:lineRule="exact"/>
              <w:jc w:val="center"/>
              <w:rPr>
                <w:rFonts w:ascii="仿宋" w:hAnsi="仿宋" w:eastAsia="仿宋" w:cs="仿宋"/>
                <w:sz w:val="18"/>
                <w:szCs w:val="18"/>
                <w:lang w:val="zh-CN"/>
              </w:rPr>
            </w:pPr>
          </w:p>
        </w:tc>
        <w:tc>
          <w:tcPr>
            <w:tcW w:w="2387" w:type="dxa"/>
            <w:vAlign w:val="center"/>
          </w:tcPr>
          <w:p>
            <w:pPr>
              <w:autoSpaceDE w:val="0"/>
              <w:autoSpaceDN w:val="0"/>
              <w:adjustRightInd w:val="0"/>
              <w:spacing w:line="440" w:lineRule="exact"/>
              <w:jc w:val="center"/>
              <w:rPr>
                <w:rFonts w:ascii="仿宋" w:hAnsi="仿宋" w:eastAsia="仿宋" w:cs="仿宋"/>
                <w:sz w:val="18"/>
                <w:szCs w:val="18"/>
                <w:lang w:val="zh-CN"/>
              </w:rPr>
            </w:pPr>
            <w:r>
              <w:rPr>
                <w:rFonts w:hint="eastAsia" w:ascii="仿宋" w:hAnsi="仿宋" w:eastAsia="仿宋" w:cs="仿宋"/>
                <w:sz w:val="18"/>
                <w:szCs w:val="18"/>
                <w:lang w:val="zh-CN"/>
              </w:rPr>
              <w:t>2019年</w:t>
            </w:r>
            <w:r>
              <w:rPr>
                <w:rFonts w:hint="eastAsia" w:ascii="仿宋" w:hAnsi="仿宋" w:eastAsia="仿宋" w:cs="仿宋"/>
                <w:sz w:val="18"/>
                <w:szCs w:val="18"/>
                <w:lang w:val="en-US" w:eastAsia="zh-CN"/>
              </w:rPr>
              <w:t>8</w:t>
            </w:r>
            <w:r>
              <w:rPr>
                <w:rFonts w:hint="eastAsia" w:ascii="仿宋" w:hAnsi="仿宋" w:eastAsia="仿宋" w:cs="仿宋"/>
                <w:sz w:val="18"/>
                <w:szCs w:val="18"/>
                <w:lang w:val="zh-CN"/>
              </w:rPr>
              <w:t>月</w:t>
            </w:r>
            <w:r>
              <w:rPr>
                <w:rFonts w:hint="eastAsia" w:ascii="仿宋" w:hAnsi="仿宋" w:eastAsia="仿宋" w:cs="仿宋"/>
                <w:sz w:val="18"/>
                <w:szCs w:val="18"/>
                <w:lang w:val="en-US" w:eastAsia="zh-CN"/>
              </w:rPr>
              <w:t>28</w:t>
            </w:r>
            <w:r>
              <w:rPr>
                <w:rFonts w:hint="eastAsia" w:ascii="仿宋" w:hAnsi="仿宋" w:eastAsia="仿宋" w:cs="仿宋"/>
                <w:sz w:val="18"/>
                <w:szCs w:val="18"/>
                <w:lang w:val="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2371" w:type="dxa"/>
            <w:vAlign w:val="center"/>
          </w:tcPr>
          <w:p>
            <w:pPr>
              <w:autoSpaceDE w:val="0"/>
              <w:autoSpaceDN w:val="0"/>
              <w:adjustRightInd w:val="0"/>
              <w:spacing w:line="440" w:lineRule="exact"/>
              <w:jc w:val="center"/>
              <w:rPr>
                <w:rFonts w:ascii="仿宋" w:hAnsi="仿宋" w:eastAsia="仿宋" w:cs="仿宋"/>
                <w:sz w:val="18"/>
                <w:szCs w:val="18"/>
                <w:lang w:val="zh-CN"/>
              </w:rPr>
            </w:pPr>
            <w:r>
              <w:rPr>
                <w:rFonts w:hint="eastAsia" w:ascii="仿宋" w:hAnsi="仿宋" w:eastAsia="仿宋" w:cs="仿宋"/>
                <w:sz w:val="18"/>
                <w:szCs w:val="18"/>
                <w:lang w:val="zh-CN"/>
              </w:rPr>
              <w:t>罗泽芳</w:t>
            </w:r>
          </w:p>
        </w:tc>
        <w:tc>
          <w:tcPr>
            <w:tcW w:w="2341" w:type="dxa"/>
            <w:vAlign w:val="center"/>
          </w:tcPr>
          <w:p>
            <w:pPr>
              <w:autoSpaceDE w:val="0"/>
              <w:autoSpaceDN w:val="0"/>
              <w:adjustRightInd w:val="0"/>
              <w:spacing w:line="440" w:lineRule="exact"/>
              <w:jc w:val="center"/>
              <w:rPr>
                <w:rFonts w:hint="eastAsia" w:ascii="仿宋" w:hAnsi="仿宋" w:eastAsia="仿宋" w:cs="仿宋"/>
                <w:sz w:val="18"/>
                <w:szCs w:val="18"/>
                <w:lang w:val="zh-CN" w:eastAsia="zh-CN"/>
              </w:rPr>
            </w:pPr>
            <w:r>
              <w:rPr>
                <w:rFonts w:hint="eastAsia" w:ascii="仿宋" w:hAnsi="仿宋" w:eastAsia="仿宋" w:cs="仿宋"/>
                <w:sz w:val="18"/>
                <w:szCs w:val="18"/>
                <w:lang w:val="en-US" w:eastAsia="zh-CN"/>
              </w:rPr>
              <w:t>5120150067</w:t>
            </w:r>
          </w:p>
        </w:tc>
        <w:tc>
          <w:tcPr>
            <w:tcW w:w="2341" w:type="dxa"/>
          </w:tcPr>
          <w:p>
            <w:pPr>
              <w:autoSpaceDE w:val="0"/>
              <w:autoSpaceDN w:val="0"/>
              <w:adjustRightInd w:val="0"/>
              <w:spacing w:line="440" w:lineRule="exact"/>
              <w:jc w:val="center"/>
              <w:rPr>
                <w:rFonts w:ascii="仿宋" w:hAnsi="仿宋" w:eastAsia="仿宋" w:cs="仿宋"/>
                <w:sz w:val="18"/>
                <w:szCs w:val="18"/>
                <w:lang w:val="zh-CN"/>
              </w:rPr>
            </w:pPr>
          </w:p>
        </w:tc>
        <w:tc>
          <w:tcPr>
            <w:tcW w:w="2387" w:type="dxa"/>
            <w:vAlign w:val="center"/>
          </w:tcPr>
          <w:p>
            <w:pPr>
              <w:autoSpaceDE w:val="0"/>
              <w:autoSpaceDN w:val="0"/>
              <w:adjustRightInd w:val="0"/>
              <w:spacing w:line="440" w:lineRule="exact"/>
              <w:jc w:val="center"/>
              <w:rPr>
                <w:rFonts w:ascii="仿宋" w:hAnsi="仿宋" w:eastAsia="仿宋" w:cs="仿宋"/>
                <w:sz w:val="18"/>
                <w:szCs w:val="18"/>
                <w:lang w:val="zh-CN"/>
              </w:rPr>
            </w:pPr>
            <w:r>
              <w:rPr>
                <w:rFonts w:hint="eastAsia" w:ascii="仿宋" w:hAnsi="仿宋" w:eastAsia="仿宋" w:cs="仿宋"/>
                <w:sz w:val="18"/>
                <w:szCs w:val="18"/>
                <w:lang w:val="zh-CN"/>
              </w:rPr>
              <w:t>2019年</w:t>
            </w:r>
            <w:r>
              <w:rPr>
                <w:rFonts w:hint="eastAsia" w:ascii="仿宋" w:hAnsi="仿宋" w:eastAsia="仿宋" w:cs="仿宋"/>
                <w:sz w:val="18"/>
                <w:szCs w:val="18"/>
                <w:lang w:val="en-US" w:eastAsia="zh-CN"/>
              </w:rPr>
              <w:t>8</w:t>
            </w:r>
            <w:r>
              <w:rPr>
                <w:rFonts w:hint="eastAsia" w:ascii="仿宋" w:hAnsi="仿宋" w:eastAsia="仿宋" w:cs="仿宋"/>
                <w:sz w:val="18"/>
                <w:szCs w:val="18"/>
                <w:lang w:val="zh-CN"/>
              </w:rPr>
              <w:t>月</w:t>
            </w:r>
            <w:r>
              <w:rPr>
                <w:rFonts w:hint="eastAsia" w:ascii="仿宋" w:hAnsi="仿宋" w:eastAsia="仿宋" w:cs="仿宋"/>
                <w:sz w:val="18"/>
                <w:szCs w:val="18"/>
                <w:lang w:val="en-US" w:eastAsia="zh-CN"/>
              </w:rPr>
              <w:t>28</w:t>
            </w:r>
            <w:r>
              <w:rPr>
                <w:rFonts w:hint="eastAsia" w:ascii="仿宋" w:hAnsi="仿宋" w:eastAsia="仿宋" w:cs="仿宋"/>
                <w:sz w:val="18"/>
                <w:szCs w:val="18"/>
                <w:lang w:val="zh-CN"/>
              </w:rPr>
              <w:t>日</w:t>
            </w:r>
          </w:p>
        </w:tc>
      </w:tr>
    </w:tbl>
    <w:p>
      <w:pPr>
        <w:tabs>
          <w:tab w:val="left" w:pos="2044"/>
        </w:tabs>
        <w:adjustRightInd w:val="0"/>
        <w:spacing w:line="500" w:lineRule="exact"/>
        <w:ind w:firstLine="480" w:firstLineChars="200"/>
        <w:rPr>
          <w:rFonts w:ascii="仿宋" w:hAnsi="仿宋" w:eastAsia="仿宋" w:cs="宋体"/>
          <w:snapToGrid w:val="0"/>
          <w:kern w:val="0"/>
          <w:sz w:val="24"/>
          <w:szCs w:val="24"/>
        </w:rPr>
      </w:pPr>
    </w:p>
    <w:p>
      <w:pPr>
        <w:tabs>
          <w:tab w:val="left" w:pos="2044"/>
        </w:tabs>
        <w:adjustRightInd w:val="0"/>
        <w:spacing w:line="500" w:lineRule="exact"/>
        <w:ind w:firstLine="480" w:firstLineChars="200"/>
        <w:rPr>
          <w:rFonts w:ascii="仿宋" w:hAnsi="仿宋" w:eastAsia="仿宋" w:cs="宋体"/>
          <w:snapToGrid w:val="0"/>
          <w:kern w:val="0"/>
          <w:sz w:val="24"/>
          <w:szCs w:val="24"/>
        </w:rPr>
      </w:pPr>
    </w:p>
    <w:p>
      <w:pPr>
        <w:tabs>
          <w:tab w:val="left" w:pos="2044"/>
        </w:tabs>
        <w:adjustRightInd w:val="0"/>
        <w:spacing w:line="500" w:lineRule="exact"/>
        <w:ind w:firstLine="480" w:firstLineChars="200"/>
        <w:rPr>
          <w:rFonts w:ascii="仿宋" w:hAnsi="仿宋" w:eastAsia="仿宋" w:cs="宋体"/>
          <w:snapToGrid w:val="0"/>
          <w:kern w:val="0"/>
          <w:sz w:val="24"/>
          <w:szCs w:val="24"/>
        </w:rPr>
      </w:pPr>
    </w:p>
    <w:p>
      <w:pPr>
        <w:tabs>
          <w:tab w:val="left" w:pos="2044"/>
        </w:tabs>
        <w:adjustRightInd w:val="0"/>
        <w:spacing w:line="500" w:lineRule="exact"/>
        <w:ind w:firstLine="480" w:firstLineChars="200"/>
        <w:rPr>
          <w:rFonts w:ascii="仿宋" w:hAnsi="仿宋" w:eastAsia="仿宋" w:cs="宋体"/>
          <w:snapToGrid w:val="0"/>
          <w:kern w:val="0"/>
          <w:sz w:val="24"/>
          <w:szCs w:val="24"/>
        </w:rPr>
      </w:pPr>
    </w:p>
    <w:p>
      <w:pPr>
        <w:tabs>
          <w:tab w:val="left" w:pos="2044"/>
        </w:tabs>
        <w:adjustRightInd w:val="0"/>
        <w:spacing w:line="500" w:lineRule="exact"/>
        <w:ind w:firstLine="480" w:firstLineChars="200"/>
        <w:rPr>
          <w:rFonts w:ascii="仿宋" w:hAnsi="仿宋" w:eastAsia="仿宋" w:cs="宋体"/>
          <w:snapToGrid w:val="0"/>
          <w:kern w:val="0"/>
          <w:sz w:val="24"/>
          <w:szCs w:val="24"/>
        </w:rPr>
      </w:pPr>
    </w:p>
    <w:p>
      <w:pPr>
        <w:tabs>
          <w:tab w:val="left" w:pos="2044"/>
        </w:tabs>
        <w:adjustRightInd w:val="0"/>
        <w:spacing w:line="500" w:lineRule="exact"/>
        <w:ind w:firstLine="480" w:firstLineChars="200"/>
        <w:rPr>
          <w:rFonts w:ascii="仿宋" w:hAnsi="仿宋" w:eastAsia="仿宋" w:cs="宋体"/>
          <w:snapToGrid w:val="0"/>
          <w:kern w:val="0"/>
          <w:sz w:val="24"/>
          <w:szCs w:val="24"/>
        </w:rPr>
      </w:pPr>
    </w:p>
    <w:p>
      <w:pPr>
        <w:tabs>
          <w:tab w:val="left" w:pos="2044"/>
        </w:tabs>
        <w:adjustRightInd w:val="0"/>
        <w:spacing w:line="500" w:lineRule="exact"/>
        <w:ind w:firstLine="480" w:firstLineChars="200"/>
        <w:rPr>
          <w:rFonts w:ascii="仿宋" w:hAnsi="仿宋" w:eastAsia="仿宋" w:cs="宋体"/>
          <w:snapToGrid w:val="0"/>
          <w:kern w:val="0"/>
          <w:sz w:val="24"/>
          <w:szCs w:val="24"/>
        </w:rPr>
      </w:pPr>
    </w:p>
    <w:p>
      <w:pPr>
        <w:tabs>
          <w:tab w:val="left" w:pos="2044"/>
        </w:tabs>
        <w:adjustRightInd w:val="0"/>
        <w:spacing w:line="500" w:lineRule="exact"/>
        <w:ind w:firstLine="480" w:firstLineChars="200"/>
        <w:rPr>
          <w:rFonts w:ascii="仿宋" w:hAnsi="仿宋" w:eastAsia="仿宋" w:cs="宋体"/>
          <w:snapToGrid w:val="0"/>
          <w:kern w:val="0"/>
          <w:sz w:val="24"/>
          <w:szCs w:val="24"/>
        </w:rPr>
      </w:pPr>
    </w:p>
    <w:p>
      <w:pPr>
        <w:pStyle w:val="3"/>
        <w:spacing w:line="240" w:lineRule="auto"/>
        <w:jc w:val="center"/>
        <w:rPr>
          <w:rFonts w:ascii="宋体" w:hAnsi="宋体" w:cs="宋体"/>
          <w:sz w:val="24"/>
          <w:szCs w:val="24"/>
        </w:rPr>
      </w:pPr>
      <w:bookmarkStart w:id="12" w:name="_Toc28617"/>
      <w:bookmarkStart w:id="13" w:name="_Toc29848"/>
      <w:r>
        <w:rPr>
          <w:rFonts w:hint="eastAsia" w:ascii="宋体" w:hAnsi="宋体" w:cs="宋体"/>
          <w:sz w:val="32"/>
          <w:szCs w:val="32"/>
        </w:rPr>
        <w:t>估价假设和限制条件</w:t>
      </w:r>
      <w:bookmarkEnd w:id="7"/>
      <w:bookmarkEnd w:id="8"/>
      <w:bookmarkEnd w:id="9"/>
      <w:bookmarkEnd w:id="10"/>
      <w:bookmarkEnd w:id="12"/>
      <w:bookmarkEnd w:id="13"/>
    </w:p>
    <w:p>
      <w:pPr>
        <w:rPr>
          <w:sz w:val="24"/>
          <w:szCs w:val="24"/>
        </w:rPr>
      </w:pPr>
    </w:p>
    <w:bookmarkEnd w:id="11"/>
    <w:p>
      <w:pPr>
        <w:numPr>
          <w:ilvl w:val="0"/>
          <w:numId w:val="2"/>
        </w:numPr>
        <w:tabs>
          <w:tab w:val="left" w:pos="0"/>
        </w:tabs>
        <w:spacing w:line="460" w:lineRule="exact"/>
        <w:rPr>
          <w:rFonts w:ascii="仿宋" w:hAnsi="仿宋" w:eastAsia="仿宋" w:cs="宋体"/>
          <w:b/>
          <w:snapToGrid w:val="0"/>
          <w:kern w:val="0"/>
          <w:sz w:val="24"/>
          <w:szCs w:val="24"/>
        </w:rPr>
      </w:pPr>
      <w:r>
        <w:rPr>
          <w:rFonts w:hint="eastAsia" w:ascii="仿宋" w:hAnsi="仿宋" w:eastAsia="仿宋" w:cs="宋体"/>
          <w:b/>
          <w:snapToGrid w:val="0"/>
          <w:kern w:val="0"/>
          <w:sz w:val="24"/>
          <w:szCs w:val="24"/>
        </w:rPr>
        <w:t>本次估价的一般假设</w:t>
      </w:r>
    </w:p>
    <w:p>
      <w:pPr>
        <w:adjustRightInd w:val="0"/>
        <w:snapToGrid w:val="0"/>
        <w:spacing w:line="460" w:lineRule="exac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1、估价委托人提供了估价对象的《证明》</w:t>
      </w:r>
      <w:r>
        <w:rPr>
          <w:rFonts w:hint="eastAsia" w:ascii="仿宋" w:hAnsi="仿宋" w:eastAsia="仿宋" w:cs="宋体"/>
          <w:snapToGrid w:val="0"/>
          <w:kern w:val="0"/>
          <w:sz w:val="24"/>
          <w:szCs w:val="24"/>
          <w:lang w:eastAsia="zh-CN"/>
        </w:rPr>
        <w:t>原</w:t>
      </w:r>
      <w:r>
        <w:rPr>
          <w:rFonts w:hint="eastAsia" w:ascii="仿宋" w:hAnsi="仿宋" w:eastAsia="仿宋" w:cs="宋体"/>
          <w:snapToGrid w:val="0"/>
          <w:kern w:val="0"/>
          <w:sz w:val="24"/>
          <w:szCs w:val="24"/>
        </w:rPr>
        <w:t>件，我们未向政府有关部门进行核实，在无理由怀疑其合法性、真实性、准确性、完整性的情况下，假定估价委托人提供的资料合法、真实、准确、完整。</w:t>
      </w:r>
    </w:p>
    <w:p>
      <w:pPr>
        <w:adjustRightInd w:val="0"/>
        <w:snapToGrid w:val="0"/>
        <w:spacing w:line="460" w:lineRule="exac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2、注册房地产估价师已对房屋安全环境污染噪音等影响估价对象价值的重大因素给予了关注，在无理由怀疑估价对象存在安全隐患且无相应的专业机构进行鉴定检测的情况，假定估价对象能正常安全使用。</w:t>
      </w:r>
    </w:p>
    <w:p>
      <w:pPr>
        <w:adjustRightInd w:val="0"/>
        <w:snapToGrid w:val="0"/>
        <w:spacing w:line="460" w:lineRule="exac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3、估价对象在价值时点的房地产市场为公开、平等、自愿的交易市场，即满足以下条件：</w:t>
      </w:r>
    </w:p>
    <w:p>
      <w:pPr>
        <w:adjustRightInd w:val="0"/>
        <w:snapToGrid w:val="0"/>
        <w:spacing w:line="460" w:lineRule="exac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（1）交易双方自愿地进行交易；</w:t>
      </w:r>
    </w:p>
    <w:p>
      <w:pPr>
        <w:adjustRightInd w:val="0"/>
        <w:snapToGrid w:val="0"/>
        <w:spacing w:line="460" w:lineRule="exac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（2）交易双方处于利已动机进行交易，交易目的都是追求自身最大经济利益；</w:t>
      </w:r>
    </w:p>
    <w:p>
      <w:pPr>
        <w:adjustRightInd w:val="0"/>
        <w:snapToGrid w:val="0"/>
        <w:spacing w:line="460" w:lineRule="exac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（3）交易双方都具有完全市场信息、知晓市场行情，以及对交易对象具有必要的专业知识、不存在买者因特殊兴趣而给予附加出价;</w:t>
      </w:r>
    </w:p>
    <w:p>
      <w:pPr>
        <w:adjustRightInd w:val="0"/>
        <w:snapToGrid w:val="0"/>
        <w:spacing w:line="460" w:lineRule="exac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（4）交易双方在适当的期间完成谈判和交易，以及在谈判期间物业价值保持稳定；</w:t>
      </w:r>
    </w:p>
    <w:p>
      <w:pPr>
        <w:adjustRightInd w:val="0"/>
        <w:snapToGrid w:val="0"/>
        <w:spacing w:line="460" w:lineRule="exac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rPr>
        <w:t>（5）市场供求关系、市场结构保持稳定、未发生重大变化或实质性改变。</w:t>
      </w:r>
    </w:p>
    <w:p>
      <w:pPr>
        <w:tabs>
          <w:tab w:val="left" w:pos="0"/>
        </w:tabs>
        <w:spacing w:line="460" w:lineRule="exact"/>
        <w:ind w:firstLine="480" w:firstLineChars="200"/>
        <w:rPr>
          <w:rFonts w:ascii="仿宋" w:hAnsi="仿宋" w:eastAsia="仿宋" w:cs="宋体"/>
          <w:snapToGrid w:val="0"/>
          <w:kern w:val="0"/>
          <w:sz w:val="24"/>
          <w:szCs w:val="24"/>
        </w:rPr>
      </w:pPr>
      <w:r>
        <w:rPr>
          <w:rFonts w:hint="eastAsia" w:ascii="仿宋" w:hAnsi="仿宋" w:eastAsia="仿宋" w:cs="宋体"/>
          <w:snapToGrid w:val="0"/>
          <w:kern w:val="0"/>
          <w:sz w:val="24"/>
          <w:szCs w:val="24"/>
          <w:lang w:val="en-US" w:eastAsia="zh-CN"/>
        </w:rPr>
        <w:t>4</w:t>
      </w:r>
      <w:r>
        <w:rPr>
          <w:rFonts w:hint="eastAsia" w:ascii="仿宋" w:hAnsi="仿宋" w:eastAsia="仿宋" w:cs="宋体"/>
          <w:snapToGrid w:val="0"/>
          <w:kern w:val="0"/>
          <w:sz w:val="24"/>
          <w:szCs w:val="24"/>
        </w:rPr>
        <w:t>、估价对象权属完整合法，能够自由地在市场交易，没有司法行政机关禁止交易的情形，出售时不附带任何他项权租赁权优先购买权、售后回租以及其他类似的可能影响其正常交易价值的权利约束和特殊条款，即产权明晰，手续齐全，可在公开市场上自由转让。</w:t>
      </w:r>
    </w:p>
    <w:p>
      <w:pPr>
        <w:tabs>
          <w:tab w:val="left" w:pos="0"/>
        </w:tabs>
        <w:spacing w:line="460" w:lineRule="exact"/>
        <w:ind w:firstLine="480" w:firstLineChars="200"/>
        <w:rPr>
          <w:rFonts w:ascii="仿宋" w:hAnsi="仿宋" w:eastAsia="仿宋" w:cs="宋体"/>
          <w:sz w:val="24"/>
          <w:szCs w:val="24"/>
        </w:rPr>
      </w:pPr>
      <w:r>
        <w:rPr>
          <w:rFonts w:hint="eastAsia" w:ascii="仿宋" w:hAnsi="仿宋" w:eastAsia="仿宋" w:cs="宋体"/>
          <w:snapToGrid w:val="0"/>
          <w:kern w:val="0"/>
          <w:sz w:val="24"/>
          <w:szCs w:val="24"/>
          <w:lang w:val="en-US" w:eastAsia="zh-CN"/>
        </w:rPr>
        <w:t>5</w:t>
      </w:r>
      <w:r>
        <w:rPr>
          <w:rFonts w:hint="eastAsia" w:ascii="仿宋" w:hAnsi="仿宋" w:eastAsia="仿宋" w:cs="宋体"/>
          <w:snapToGrid w:val="0"/>
          <w:kern w:val="0"/>
          <w:sz w:val="24"/>
          <w:szCs w:val="24"/>
        </w:rPr>
        <w:t>、</w:t>
      </w:r>
      <w:r>
        <w:rPr>
          <w:rFonts w:hint="eastAsia" w:ascii="仿宋" w:hAnsi="仿宋" w:eastAsia="仿宋" w:cs="宋体"/>
          <w:sz w:val="24"/>
          <w:szCs w:val="24"/>
        </w:rPr>
        <w:t>估价对象作为</w:t>
      </w:r>
      <w:r>
        <w:rPr>
          <w:rFonts w:hint="eastAsia" w:ascii="仿宋" w:hAnsi="仿宋" w:eastAsia="仿宋" w:cs="宋体"/>
          <w:sz w:val="24"/>
          <w:szCs w:val="24"/>
          <w:lang w:eastAsia="zh-CN"/>
        </w:rPr>
        <w:t>农村</w:t>
      </w:r>
      <w:r>
        <w:rPr>
          <w:rFonts w:hint="eastAsia" w:ascii="仿宋" w:hAnsi="仿宋" w:eastAsia="仿宋" w:cs="宋体"/>
          <w:sz w:val="24"/>
          <w:szCs w:val="24"/>
        </w:rPr>
        <w:t>住宅用途持续有效利用，是合法条件下的最佳用途，得到或将得到最有效运用，并与其他要素相结合，能满足设定使用年限内产生正常的、持续的收益。</w:t>
      </w:r>
    </w:p>
    <w:p>
      <w:pPr>
        <w:tabs>
          <w:tab w:val="left" w:pos="0"/>
        </w:tabs>
        <w:spacing w:line="460" w:lineRule="exact"/>
        <w:ind w:firstLine="480" w:firstLineChars="200"/>
        <w:rPr>
          <w:rFonts w:ascii="仿宋" w:hAnsi="仿宋" w:eastAsia="仿宋" w:cs="宋体"/>
          <w:snapToGrid w:val="0"/>
          <w:kern w:val="0"/>
          <w:sz w:val="24"/>
          <w:szCs w:val="24"/>
        </w:rPr>
      </w:pPr>
      <w:r>
        <w:rPr>
          <w:rFonts w:hint="eastAsia" w:ascii="仿宋" w:hAnsi="仿宋" w:eastAsia="仿宋" w:cs="宋体"/>
          <w:sz w:val="24"/>
          <w:szCs w:val="24"/>
          <w:lang w:val="en-US" w:eastAsia="zh-CN"/>
        </w:rPr>
        <w:t>6</w:t>
      </w:r>
      <w:r>
        <w:rPr>
          <w:rFonts w:hint="eastAsia" w:ascii="仿宋" w:hAnsi="仿宋" w:eastAsia="仿宋" w:cs="宋体"/>
          <w:sz w:val="24"/>
          <w:szCs w:val="24"/>
        </w:rPr>
        <w:t>、</w:t>
      </w:r>
      <w:r>
        <w:rPr>
          <w:rFonts w:hint="eastAsia" w:ascii="仿宋" w:hAnsi="仿宋" w:eastAsia="仿宋" w:cs="宋体"/>
          <w:snapToGrid w:val="0"/>
          <w:kern w:val="0"/>
          <w:sz w:val="24"/>
          <w:szCs w:val="24"/>
        </w:rPr>
        <w:t>由于估价委托人和案件当事人没有提供租赁权和用益物权信息，且注册房地产估价师无法知晓其真实性，故本次估价以估价对象没有租赁权和用益物权限制为假设前提。</w:t>
      </w:r>
    </w:p>
    <w:p>
      <w:pPr>
        <w:tabs>
          <w:tab w:val="left" w:pos="735"/>
        </w:tabs>
        <w:adjustRightInd w:val="0"/>
        <w:snapToGrid w:val="0"/>
        <w:spacing w:line="460" w:lineRule="exact"/>
        <w:rPr>
          <w:rFonts w:ascii="仿宋" w:hAnsi="仿宋" w:eastAsia="仿宋" w:cs="宋体"/>
          <w:b/>
          <w:snapToGrid w:val="0"/>
          <w:kern w:val="0"/>
          <w:sz w:val="24"/>
          <w:szCs w:val="24"/>
        </w:rPr>
      </w:pPr>
      <w:bookmarkStart w:id="14" w:name="_Toc320276192"/>
      <w:bookmarkStart w:id="15" w:name="_Toc183593024"/>
      <w:bookmarkStart w:id="16" w:name="_Toc320184503"/>
      <w:bookmarkStart w:id="17" w:name="_Toc320173773"/>
      <w:r>
        <w:rPr>
          <w:rFonts w:hint="eastAsia" w:ascii="仿宋" w:hAnsi="仿宋" w:eastAsia="仿宋" w:cs="宋体"/>
          <w:b/>
          <w:snapToGrid w:val="0"/>
          <w:kern w:val="0"/>
          <w:sz w:val="24"/>
          <w:szCs w:val="24"/>
        </w:rPr>
        <w:t>二、本次估价未定事项假设</w:t>
      </w:r>
    </w:p>
    <w:p>
      <w:pPr>
        <w:tabs>
          <w:tab w:val="left" w:pos="735"/>
        </w:tabs>
        <w:adjustRightInd w:val="0"/>
        <w:snapToGrid w:val="0"/>
        <w:spacing w:line="460" w:lineRule="exact"/>
        <w:ind w:firstLine="480" w:firstLineChars="200"/>
        <w:rPr>
          <w:rFonts w:hint="eastAsia" w:ascii="仿宋" w:hAnsi="仿宋" w:eastAsia="仿宋" w:cs="宋体"/>
          <w:sz w:val="24"/>
          <w:szCs w:val="24"/>
          <w:lang w:eastAsia="zh-CN"/>
        </w:rPr>
      </w:pPr>
      <w:r>
        <w:rPr>
          <w:rFonts w:hint="eastAsia" w:ascii="仿宋" w:hAnsi="仿宋" w:eastAsia="仿宋" w:cs="宋体"/>
          <w:sz w:val="24"/>
          <w:szCs w:val="24"/>
        </w:rPr>
        <w:t>1、</w:t>
      </w:r>
      <w:r>
        <w:rPr>
          <w:rFonts w:hint="eastAsia" w:ascii="仿宋" w:hAnsi="仿宋" w:eastAsia="仿宋" w:cs="宋体"/>
          <w:sz w:val="24"/>
          <w:szCs w:val="24"/>
          <w:lang w:eastAsia="zh-CN"/>
        </w:rPr>
        <w:t>估价委托人提供的</w:t>
      </w:r>
      <w:r>
        <w:rPr>
          <w:rFonts w:hint="eastAsia" w:ascii="仿宋" w:hAnsi="仿宋" w:eastAsia="仿宋" w:cs="宋体"/>
          <w:sz w:val="24"/>
          <w:szCs w:val="24"/>
        </w:rPr>
        <w:t>估价对象《证明》未记载估价对象房屋的合法用途，经注册房地产估价师实地查勘，估价对象为住宅用房，本次估价设定房屋合法用途为住宅。</w:t>
      </w:r>
      <w:r>
        <w:rPr>
          <w:rFonts w:hint="eastAsia" w:ascii="仿宋" w:hAnsi="仿宋" w:eastAsia="仿宋" w:cs="宋体"/>
          <w:sz w:val="24"/>
          <w:szCs w:val="24"/>
          <w:lang w:eastAsia="zh-CN"/>
        </w:rPr>
        <w:t>估价委托人未提供估价对象的具体建成年份，经估价人员现场勘察，房屋大约建于</w:t>
      </w:r>
      <w:r>
        <w:rPr>
          <w:rFonts w:hint="eastAsia" w:ascii="仿宋" w:hAnsi="仿宋" w:eastAsia="仿宋" w:cs="宋体"/>
          <w:sz w:val="24"/>
          <w:szCs w:val="24"/>
          <w:lang w:val="en-US" w:eastAsia="zh-CN"/>
        </w:rPr>
        <w:t>2013年，本次估价对象按2013年建成。</w:t>
      </w:r>
    </w:p>
    <w:p>
      <w:pPr>
        <w:tabs>
          <w:tab w:val="left" w:pos="735"/>
        </w:tabs>
        <w:adjustRightInd w:val="0"/>
        <w:snapToGrid w:val="0"/>
        <w:spacing w:line="460" w:lineRule="exact"/>
        <w:ind w:firstLine="480" w:firstLineChars="200"/>
        <w:rPr>
          <w:rFonts w:hint="eastAsia" w:ascii="仿宋" w:hAnsi="仿宋" w:eastAsia="仿宋" w:cs="宋体"/>
          <w:sz w:val="24"/>
          <w:szCs w:val="24"/>
          <w:lang w:eastAsia="zh-CN"/>
        </w:rPr>
      </w:pPr>
      <w:r>
        <w:rPr>
          <w:rFonts w:hint="eastAsia" w:ascii="仿宋" w:hAnsi="仿宋" w:eastAsia="仿宋" w:cs="宋体"/>
          <w:sz w:val="24"/>
          <w:szCs w:val="24"/>
          <w:lang w:eastAsia="zh-CN"/>
        </w:rPr>
        <w:t>2、本次估价对象由估价委托人现场指认，假定与产权登记房屋一致，若与实际不符应重新估价。</w:t>
      </w:r>
    </w:p>
    <w:p>
      <w:pPr>
        <w:numPr>
          <w:ilvl w:val="0"/>
          <w:numId w:val="0"/>
        </w:numPr>
        <w:tabs>
          <w:tab w:val="left" w:pos="465"/>
          <w:tab w:val="center" w:pos="4864"/>
        </w:tabs>
        <w:spacing w:line="480" w:lineRule="exact"/>
        <w:ind w:firstLine="480" w:firstLineChars="200"/>
        <w:jc w:val="left"/>
        <w:rPr>
          <w:rFonts w:ascii="仿宋" w:hAnsi="仿宋" w:eastAsia="仿宋"/>
          <w:color w:val="auto"/>
          <w:sz w:val="24"/>
          <w:szCs w:val="24"/>
        </w:rPr>
      </w:pPr>
      <w:r>
        <w:rPr>
          <w:rFonts w:hint="eastAsia" w:ascii="仿宋" w:hAnsi="仿宋" w:eastAsia="仿宋" w:cs="宋体"/>
          <w:color w:val="auto"/>
          <w:sz w:val="24"/>
          <w:szCs w:val="24"/>
          <w:lang w:eastAsia="zh-CN"/>
        </w:rPr>
        <w:t>3、估价对象未办理产权证，房屋权属及用途是依据估价委托人提供东山村委会出具的《证明》为依据，用途为住宅，产权人为彭金钊，土地所有权属于集体，用途为</w:t>
      </w:r>
      <w:r>
        <w:rPr>
          <w:rFonts w:hint="eastAsia" w:ascii="仿宋" w:hAnsi="仿宋" w:eastAsia="仿宋" w:cs="宋体"/>
          <w:color w:val="auto"/>
          <w:sz w:val="24"/>
          <w:szCs w:val="24"/>
        </w:rPr>
        <w:t>宅基地</w:t>
      </w:r>
      <w:r>
        <w:rPr>
          <w:rFonts w:hint="eastAsia" w:ascii="仿宋" w:hAnsi="仿宋" w:eastAsia="仿宋" w:cs="宋体"/>
          <w:color w:val="auto"/>
          <w:sz w:val="24"/>
          <w:szCs w:val="24"/>
          <w:lang w:eastAsia="zh-CN"/>
        </w:rPr>
        <w:t>。</w:t>
      </w:r>
      <w:r>
        <w:rPr>
          <w:rFonts w:hint="eastAsia" w:ascii="仿宋" w:hAnsi="仿宋" w:eastAsia="仿宋"/>
          <w:color w:val="auto"/>
          <w:sz w:val="24"/>
          <w:szCs w:val="24"/>
          <w:lang w:eastAsia="zh-CN"/>
        </w:rPr>
        <w:t>我们不对估价对象的权属及合法性发表意见，仅按《证明》内容进行描述</w:t>
      </w:r>
      <w:r>
        <w:rPr>
          <w:rFonts w:hint="eastAsia" w:ascii="仿宋" w:hAnsi="仿宋" w:eastAsia="仿宋" w:cs="宋体"/>
          <w:color w:val="auto"/>
          <w:sz w:val="24"/>
          <w:szCs w:val="24"/>
          <w:lang w:eastAsia="zh-CN"/>
        </w:rPr>
        <w:t>。</w:t>
      </w:r>
    </w:p>
    <w:p>
      <w:pPr>
        <w:numPr>
          <w:ilvl w:val="0"/>
          <w:numId w:val="0"/>
        </w:numPr>
        <w:tabs>
          <w:tab w:val="left" w:pos="465"/>
          <w:tab w:val="center" w:pos="4864"/>
        </w:tabs>
        <w:spacing w:line="480" w:lineRule="exact"/>
        <w:ind w:firstLine="480" w:firstLineChars="200"/>
        <w:jc w:val="left"/>
        <w:rPr>
          <w:rFonts w:ascii="仿宋" w:hAnsi="仿宋" w:eastAsia="仿宋"/>
          <w:color w:val="auto"/>
          <w:sz w:val="24"/>
          <w:szCs w:val="24"/>
        </w:rPr>
      </w:pPr>
      <w:r>
        <w:rPr>
          <w:rFonts w:hint="eastAsia" w:ascii="仿宋" w:hAnsi="仿宋" w:eastAsia="仿宋" w:cs="宋体"/>
          <w:color w:val="auto"/>
          <w:sz w:val="24"/>
          <w:szCs w:val="24"/>
          <w:lang w:val="en-US" w:eastAsia="zh-CN"/>
        </w:rPr>
        <w:t>4、</w:t>
      </w:r>
      <w:r>
        <w:rPr>
          <w:rFonts w:hint="eastAsia" w:ascii="仿宋" w:hAnsi="仿宋" w:eastAsia="仿宋"/>
          <w:color w:val="auto"/>
          <w:sz w:val="24"/>
          <w:szCs w:val="24"/>
          <w:lang w:eastAsia="zh-CN"/>
        </w:rPr>
        <w:t>本次估价对象建筑面积与土地面积是经</w:t>
      </w:r>
      <w:r>
        <w:rPr>
          <w:rFonts w:hint="eastAsia" w:ascii="仿宋" w:hAnsi="仿宋" w:eastAsia="仿宋"/>
          <w:color w:val="auto"/>
          <w:sz w:val="24"/>
          <w:szCs w:val="24"/>
          <w:highlight w:val="none"/>
          <w:lang w:val="en-US" w:eastAsia="zh-CN"/>
        </w:rPr>
        <w:t>估价委托人（法官）指界、</w:t>
      </w:r>
      <w:r>
        <w:rPr>
          <w:rFonts w:hint="eastAsia" w:ascii="仿宋" w:hAnsi="仿宋" w:eastAsia="仿宋"/>
          <w:color w:val="auto"/>
          <w:sz w:val="24"/>
          <w:szCs w:val="24"/>
          <w:lang w:eastAsia="zh-CN"/>
        </w:rPr>
        <w:t>估价师现场测量计算而来，且由申请执行人、法官、估价师三方签字确认；若与最终产权不符，应以产权面积为准对结果进行调整。</w:t>
      </w:r>
    </w:p>
    <w:p>
      <w:pPr>
        <w:tabs>
          <w:tab w:val="left" w:pos="735"/>
        </w:tabs>
        <w:adjustRightInd w:val="0"/>
        <w:snapToGrid w:val="0"/>
        <w:spacing w:line="460" w:lineRule="exact"/>
        <w:rPr>
          <w:rFonts w:ascii="仿宋" w:hAnsi="仿宋" w:eastAsia="仿宋" w:cs="宋体"/>
          <w:sz w:val="24"/>
          <w:szCs w:val="24"/>
        </w:rPr>
      </w:pPr>
      <w:r>
        <w:rPr>
          <w:rFonts w:hint="eastAsia" w:ascii="仿宋" w:hAnsi="仿宋" w:eastAsia="仿宋" w:cs="宋体"/>
          <w:b/>
          <w:snapToGrid w:val="0"/>
          <w:kern w:val="0"/>
          <w:sz w:val="24"/>
          <w:szCs w:val="24"/>
        </w:rPr>
        <w:t>三、本次估价的背离事实假设</w:t>
      </w:r>
    </w:p>
    <w:p>
      <w:pPr>
        <w:tabs>
          <w:tab w:val="left" w:pos="735"/>
        </w:tabs>
        <w:adjustRightInd w:val="0"/>
        <w:snapToGrid w:val="0"/>
        <w:spacing w:line="460" w:lineRule="exact"/>
        <w:ind w:firstLine="460" w:firstLineChars="192"/>
        <w:rPr>
          <w:rFonts w:ascii="仿宋" w:hAnsi="仿宋" w:eastAsia="仿宋" w:cs="宋体"/>
          <w:sz w:val="24"/>
          <w:szCs w:val="24"/>
        </w:rPr>
      </w:pPr>
      <w:r>
        <w:rPr>
          <w:rFonts w:hint="eastAsia" w:ascii="仿宋" w:hAnsi="仿宋" w:eastAsia="仿宋" w:cs="宋体"/>
          <w:sz w:val="24"/>
          <w:szCs w:val="24"/>
          <w:lang w:val="en-US" w:eastAsia="zh-CN"/>
        </w:rPr>
        <w:t>1、</w:t>
      </w:r>
      <w:r>
        <w:rPr>
          <w:rFonts w:hint="eastAsia" w:ascii="仿宋" w:hAnsi="仿宋" w:eastAsia="仿宋" w:cs="宋体"/>
          <w:sz w:val="24"/>
          <w:szCs w:val="24"/>
        </w:rPr>
        <w:t>本次估价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估价结果的影响。当上述条件发生变化时，估价结果一般会发生变化。</w:t>
      </w:r>
    </w:p>
    <w:p>
      <w:pPr>
        <w:tabs>
          <w:tab w:val="left" w:pos="735"/>
        </w:tabs>
        <w:adjustRightInd w:val="0"/>
        <w:snapToGrid w:val="0"/>
        <w:spacing w:line="460" w:lineRule="exact"/>
        <w:rPr>
          <w:rFonts w:ascii="仿宋" w:hAnsi="仿宋" w:eastAsia="仿宋" w:cs="宋体"/>
          <w:sz w:val="24"/>
          <w:szCs w:val="24"/>
        </w:rPr>
      </w:pPr>
      <w:r>
        <w:rPr>
          <w:rFonts w:hint="eastAsia" w:ascii="仿宋" w:hAnsi="仿宋" w:eastAsia="仿宋" w:cs="宋体"/>
          <w:b/>
          <w:snapToGrid w:val="0"/>
          <w:kern w:val="0"/>
          <w:sz w:val="24"/>
          <w:szCs w:val="24"/>
        </w:rPr>
        <w:t>四、本次估价不相一致假设</w:t>
      </w:r>
    </w:p>
    <w:p>
      <w:pPr>
        <w:tabs>
          <w:tab w:val="left" w:pos="735"/>
        </w:tabs>
        <w:adjustRightInd w:val="0"/>
        <w:snapToGrid w:val="0"/>
        <w:spacing w:line="460" w:lineRule="exact"/>
        <w:ind w:firstLine="460" w:firstLineChars="192"/>
        <w:rPr>
          <w:rFonts w:ascii="仿宋" w:hAnsi="仿宋" w:eastAsia="仿宋" w:cs="宋体"/>
          <w:sz w:val="24"/>
          <w:szCs w:val="24"/>
        </w:rPr>
      </w:pPr>
      <w:r>
        <w:rPr>
          <w:rFonts w:hint="eastAsia" w:ascii="仿宋" w:hAnsi="仿宋" w:eastAsia="仿宋" w:cs="宋体"/>
          <w:sz w:val="24"/>
          <w:szCs w:val="24"/>
          <w:lang w:val="en-US" w:eastAsia="zh-CN"/>
        </w:rPr>
        <w:t>1、</w:t>
      </w:r>
      <w:r>
        <w:rPr>
          <w:rFonts w:hint="eastAsia" w:ascii="仿宋" w:hAnsi="仿宋" w:eastAsia="仿宋" w:cs="宋体"/>
          <w:sz w:val="24"/>
          <w:szCs w:val="24"/>
          <w:lang w:eastAsia="zh-CN"/>
        </w:rPr>
        <w:t>估价委托人提供的</w:t>
      </w:r>
      <w:r>
        <w:rPr>
          <w:rFonts w:hint="eastAsia" w:ascii="仿宋" w:hAnsi="仿宋" w:eastAsia="仿宋" w:cs="宋体"/>
          <w:sz w:val="24"/>
          <w:szCs w:val="24"/>
        </w:rPr>
        <w:t>估价对象《证明》</w:t>
      </w:r>
      <w:r>
        <w:rPr>
          <w:rFonts w:hint="eastAsia" w:ascii="仿宋" w:hAnsi="仿宋" w:eastAsia="仿宋" w:cs="宋体"/>
          <w:sz w:val="24"/>
          <w:szCs w:val="24"/>
          <w:lang w:eastAsia="zh-CN"/>
        </w:rPr>
        <w:t>里</w:t>
      </w:r>
      <w:r>
        <w:rPr>
          <w:rFonts w:hint="eastAsia" w:ascii="仿宋" w:hAnsi="仿宋" w:eastAsia="仿宋" w:cs="宋体"/>
          <w:sz w:val="24"/>
          <w:szCs w:val="24"/>
        </w:rPr>
        <w:t>记载估价对象建筑物面积为</w:t>
      </w:r>
      <w:r>
        <w:rPr>
          <w:rFonts w:hint="eastAsia" w:ascii="仿宋" w:hAnsi="仿宋" w:eastAsia="仿宋" w:cs="宋体"/>
          <w:sz w:val="24"/>
          <w:szCs w:val="24"/>
          <w:lang w:val="en-US" w:eastAsia="zh-CN"/>
        </w:rPr>
        <w:t>100</w:t>
      </w:r>
      <w:r>
        <w:rPr>
          <w:rFonts w:hint="eastAsia" w:ascii="仿宋" w:hAnsi="仿宋" w:eastAsia="仿宋" w:cs="宋体"/>
          <w:sz w:val="24"/>
          <w:szCs w:val="24"/>
        </w:rPr>
        <w:t>㎡</w:t>
      </w:r>
      <w:r>
        <w:rPr>
          <w:rFonts w:hint="eastAsia" w:ascii="仿宋" w:hAnsi="仿宋" w:eastAsia="仿宋" w:cs="宋体"/>
          <w:sz w:val="24"/>
          <w:szCs w:val="24"/>
          <w:lang w:eastAsia="zh-CN"/>
        </w:rPr>
        <w:t>左右</w:t>
      </w:r>
      <w:r>
        <w:rPr>
          <w:rFonts w:hint="eastAsia" w:ascii="仿宋" w:hAnsi="仿宋" w:eastAsia="仿宋" w:cs="宋体"/>
          <w:sz w:val="24"/>
          <w:szCs w:val="24"/>
        </w:rPr>
        <w:t>，经估价人员实地查勘及</w:t>
      </w:r>
      <w:r>
        <w:rPr>
          <w:rFonts w:hint="eastAsia" w:ascii="仿宋" w:hAnsi="仿宋" w:eastAsia="仿宋" w:cs="宋体"/>
          <w:sz w:val="24"/>
          <w:szCs w:val="24"/>
          <w:lang w:eastAsia="zh-CN"/>
        </w:rPr>
        <w:t>现场测量</w:t>
      </w:r>
      <w:r>
        <w:rPr>
          <w:rFonts w:hint="eastAsia" w:ascii="仿宋" w:hAnsi="仿宋" w:eastAsia="仿宋" w:cs="宋体"/>
          <w:sz w:val="24"/>
          <w:szCs w:val="24"/>
        </w:rPr>
        <w:t>估价对象建筑物面积为</w:t>
      </w:r>
      <w:r>
        <w:rPr>
          <w:rFonts w:hint="eastAsia" w:ascii="仿宋" w:hAnsi="仿宋" w:eastAsia="仿宋" w:cs="宋体"/>
          <w:sz w:val="24"/>
          <w:szCs w:val="24"/>
          <w:lang w:val="en-US" w:eastAsia="zh-CN"/>
        </w:rPr>
        <w:t>122.22</w:t>
      </w:r>
      <w:r>
        <w:rPr>
          <w:rFonts w:hint="eastAsia" w:ascii="仿宋" w:hAnsi="仿宋" w:eastAsia="仿宋" w:cs="宋体"/>
          <w:sz w:val="24"/>
          <w:szCs w:val="24"/>
        </w:rPr>
        <w:t>㎡，本次估价以</w:t>
      </w:r>
      <w:r>
        <w:rPr>
          <w:rFonts w:hint="eastAsia" w:ascii="仿宋" w:hAnsi="仿宋" w:eastAsia="仿宋" w:cs="宋体"/>
          <w:sz w:val="24"/>
          <w:szCs w:val="24"/>
          <w:lang w:eastAsia="zh-CN"/>
        </w:rPr>
        <w:t>现场测量的</w:t>
      </w:r>
      <w:r>
        <w:rPr>
          <w:rFonts w:hint="eastAsia" w:ascii="仿宋" w:hAnsi="仿宋" w:eastAsia="仿宋" w:cs="宋体"/>
          <w:sz w:val="24"/>
          <w:szCs w:val="24"/>
        </w:rPr>
        <w:t>建筑面积</w:t>
      </w:r>
      <w:r>
        <w:rPr>
          <w:rFonts w:hint="eastAsia" w:ascii="仿宋" w:hAnsi="仿宋" w:eastAsia="仿宋" w:cs="宋体"/>
          <w:sz w:val="24"/>
          <w:szCs w:val="24"/>
          <w:lang w:val="en-US" w:eastAsia="zh-CN"/>
        </w:rPr>
        <w:t>122.22</w:t>
      </w:r>
      <w:r>
        <w:rPr>
          <w:rFonts w:hint="eastAsia" w:ascii="仿宋" w:hAnsi="仿宋" w:eastAsia="仿宋" w:cs="宋体"/>
          <w:sz w:val="24"/>
          <w:szCs w:val="24"/>
        </w:rPr>
        <w:t>㎡为准。</w:t>
      </w:r>
    </w:p>
    <w:p>
      <w:pPr>
        <w:tabs>
          <w:tab w:val="left" w:pos="735"/>
        </w:tabs>
        <w:adjustRightInd w:val="0"/>
        <w:snapToGrid w:val="0"/>
        <w:spacing w:line="460" w:lineRule="exact"/>
        <w:rPr>
          <w:rStyle w:val="33"/>
          <w:bCs w:val="0"/>
          <w:kern w:val="44"/>
          <w:sz w:val="24"/>
          <w:szCs w:val="24"/>
        </w:rPr>
      </w:pPr>
      <w:r>
        <w:rPr>
          <w:rFonts w:hint="eastAsia" w:ascii="仿宋" w:hAnsi="仿宋" w:eastAsia="仿宋" w:cs="宋体"/>
          <w:b/>
          <w:bCs/>
          <w:sz w:val="24"/>
          <w:szCs w:val="24"/>
        </w:rPr>
        <w:t>五、本次</w:t>
      </w:r>
      <w:r>
        <w:rPr>
          <w:rFonts w:hint="eastAsia" w:ascii="仿宋" w:hAnsi="仿宋" w:eastAsia="仿宋" w:cs="宋体"/>
          <w:b/>
          <w:snapToGrid w:val="0"/>
          <w:kern w:val="0"/>
          <w:sz w:val="24"/>
          <w:szCs w:val="24"/>
        </w:rPr>
        <w:t>估</w:t>
      </w:r>
      <w:r>
        <w:rPr>
          <w:rFonts w:hint="eastAsia" w:ascii="仿宋" w:hAnsi="仿宋" w:eastAsia="仿宋" w:cs="宋体"/>
          <w:b/>
          <w:bCs/>
          <w:sz w:val="24"/>
          <w:szCs w:val="24"/>
        </w:rPr>
        <w:t>价的依据不足假设</w:t>
      </w:r>
    </w:p>
    <w:p>
      <w:pPr>
        <w:tabs>
          <w:tab w:val="left" w:pos="735"/>
        </w:tabs>
        <w:adjustRightInd w:val="0"/>
        <w:snapToGrid w:val="0"/>
        <w:spacing w:line="460" w:lineRule="exact"/>
        <w:ind w:firstLine="480"/>
        <w:rPr>
          <w:rFonts w:hint="eastAsia" w:ascii="仿宋" w:hAnsi="仿宋" w:eastAsia="仿宋" w:cs="宋体"/>
          <w:sz w:val="24"/>
          <w:szCs w:val="24"/>
          <w:lang w:eastAsia="zh-CN"/>
        </w:rPr>
      </w:pPr>
      <w:r>
        <w:rPr>
          <w:rFonts w:hint="eastAsia" w:ascii="仿宋" w:hAnsi="仿宋" w:eastAsia="仿宋" w:cs="宋体"/>
          <w:sz w:val="24"/>
          <w:szCs w:val="24"/>
          <w:lang w:eastAsia="zh-CN"/>
        </w:rPr>
        <w:t>本次估价委托人没有提供的估价对象的产权证，假定估价委托人提供的估价对象的《证明》就是估价对象的产权证明假点估价人员现场测量的面积就是估价对象的面积，存在依据不足事项。</w:t>
      </w:r>
    </w:p>
    <w:p>
      <w:pPr>
        <w:numPr>
          <w:ilvl w:val="0"/>
          <w:numId w:val="3"/>
        </w:numPr>
        <w:spacing w:line="460" w:lineRule="exact"/>
        <w:rPr>
          <w:rFonts w:ascii="仿宋" w:hAnsi="仿宋" w:eastAsia="仿宋" w:cs="宋体"/>
          <w:b/>
          <w:snapToGrid w:val="0"/>
          <w:kern w:val="0"/>
          <w:sz w:val="24"/>
          <w:szCs w:val="24"/>
        </w:rPr>
      </w:pPr>
      <w:r>
        <w:rPr>
          <w:rFonts w:hint="eastAsia" w:ascii="仿宋" w:hAnsi="仿宋" w:eastAsia="仿宋" w:cs="宋体"/>
          <w:b/>
          <w:snapToGrid w:val="0"/>
          <w:kern w:val="0"/>
          <w:sz w:val="24"/>
          <w:szCs w:val="24"/>
        </w:rPr>
        <w:t>估价报告使用限制</w:t>
      </w:r>
    </w:p>
    <w:p>
      <w:pPr>
        <w:spacing w:line="460" w:lineRule="exact"/>
        <w:rPr>
          <w:rFonts w:ascii="仿宋" w:hAnsi="仿宋" w:eastAsia="仿宋" w:cs="宋体"/>
          <w:snapToGrid w:val="0"/>
          <w:kern w:val="0"/>
          <w:sz w:val="24"/>
          <w:szCs w:val="24"/>
        </w:rPr>
      </w:pPr>
      <w:r>
        <w:rPr>
          <w:rFonts w:hint="eastAsia" w:ascii="仿宋" w:hAnsi="仿宋" w:eastAsia="仿宋" w:cs="宋体"/>
          <w:sz w:val="24"/>
          <w:szCs w:val="24"/>
        </w:rPr>
        <w:t xml:space="preserve">    1、本估价报告使用期限自估价报告出具之日起壹年，即2019年</w:t>
      </w:r>
      <w:r>
        <w:rPr>
          <w:rFonts w:hint="eastAsia" w:ascii="仿宋" w:hAnsi="仿宋" w:eastAsia="仿宋" w:cs="宋体"/>
          <w:sz w:val="24"/>
          <w:szCs w:val="24"/>
          <w:lang w:val="en-US" w:eastAsia="zh-CN"/>
        </w:rPr>
        <w:t>8</w:t>
      </w:r>
      <w:r>
        <w:rPr>
          <w:rFonts w:hint="eastAsia" w:ascii="仿宋" w:hAnsi="仿宋" w:eastAsia="仿宋" w:cs="宋体"/>
          <w:sz w:val="24"/>
          <w:szCs w:val="24"/>
        </w:rPr>
        <w:t>月</w:t>
      </w:r>
      <w:r>
        <w:rPr>
          <w:rFonts w:hint="eastAsia" w:ascii="仿宋" w:hAnsi="仿宋" w:eastAsia="仿宋" w:cs="宋体"/>
          <w:sz w:val="24"/>
          <w:szCs w:val="24"/>
          <w:lang w:val="en-US" w:eastAsia="zh-CN"/>
        </w:rPr>
        <w:t>28</w:t>
      </w:r>
      <w:r>
        <w:rPr>
          <w:rFonts w:hint="eastAsia" w:ascii="仿宋" w:hAnsi="仿宋" w:eastAsia="仿宋" w:cs="宋体"/>
          <w:sz w:val="24"/>
          <w:szCs w:val="24"/>
        </w:rPr>
        <w:t>日至2020年</w:t>
      </w:r>
      <w:r>
        <w:rPr>
          <w:rFonts w:hint="eastAsia" w:ascii="仿宋" w:hAnsi="仿宋" w:eastAsia="仿宋" w:cs="宋体"/>
          <w:sz w:val="24"/>
          <w:szCs w:val="24"/>
          <w:lang w:val="en-US" w:eastAsia="zh-CN"/>
        </w:rPr>
        <w:t>8</w:t>
      </w:r>
      <w:r>
        <w:rPr>
          <w:rFonts w:hint="eastAsia" w:ascii="仿宋" w:hAnsi="仿宋" w:eastAsia="仿宋" w:cs="宋体"/>
          <w:sz w:val="24"/>
          <w:szCs w:val="24"/>
        </w:rPr>
        <w:t>月</w:t>
      </w:r>
      <w:r>
        <w:rPr>
          <w:rFonts w:hint="eastAsia" w:ascii="仿宋" w:hAnsi="仿宋" w:eastAsia="仿宋" w:cs="宋体"/>
          <w:sz w:val="24"/>
          <w:szCs w:val="24"/>
          <w:lang w:val="en-US" w:eastAsia="zh-CN"/>
        </w:rPr>
        <w:t>27</w:t>
      </w:r>
      <w:r>
        <w:rPr>
          <w:rFonts w:hint="eastAsia" w:ascii="仿宋" w:hAnsi="仿宋" w:eastAsia="仿宋" w:cs="宋体"/>
          <w:sz w:val="24"/>
          <w:szCs w:val="24"/>
        </w:rPr>
        <w:t>日止</w:t>
      </w:r>
      <w:r>
        <w:rPr>
          <w:rFonts w:hint="eastAsia" w:ascii="仿宋" w:hAnsi="仿宋" w:eastAsia="仿宋" w:cs="宋体"/>
          <w:snapToGrid w:val="0"/>
          <w:kern w:val="0"/>
          <w:sz w:val="24"/>
          <w:szCs w:val="24"/>
        </w:rPr>
        <w:t>。若报告使用期限内，房地产市场或估价对象状况发生重大变化，估价结果需做相应调整或委托估价机构重新估价。</w:t>
      </w:r>
    </w:p>
    <w:p>
      <w:pPr>
        <w:spacing w:line="460" w:lineRule="exact"/>
        <w:ind w:firstLine="480" w:firstLineChars="200"/>
        <w:rPr>
          <w:rFonts w:ascii="仿宋" w:hAnsi="仿宋" w:eastAsia="仿宋"/>
          <w:snapToGrid w:val="0"/>
          <w:kern w:val="0"/>
          <w:sz w:val="24"/>
          <w:szCs w:val="24"/>
        </w:rPr>
      </w:pPr>
      <w:r>
        <w:rPr>
          <w:rFonts w:hint="eastAsia" w:ascii="仿宋" w:hAnsi="仿宋" w:eastAsia="仿宋" w:cs="宋体"/>
          <w:sz w:val="24"/>
          <w:szCs w:val="24"/>
        </w:rPr>
        <w:t>2</w:t>
      </w:r>
      <w:r>
        <w:rPr>
          <w:rFonts w:hint="eastAsia" w:ascii="仿宋" w:hAnsi="仿宋" w:eastAsia="仿宋" w:cs="宋体"/>
          <w:snapToGrid w:val="0"/>
          <w:kern w:val="0"/>
          <w:sz w:val="24"/>
          <w:szCs w:val="24"/>
        </w:rPr>
        <w:t>、</w:t>
      </w:r>
      <w:r>
        <w:rPr>
          <w:rFonts w:hint="eastAsia" w:ascii="仿宋" w:hAnsi="仿宋" w:eastAsia="仿宋" w:cs="宋体"/>
          <w:sz w:val="24"/>
          <w:szCs w:val="24"/>
        </w:rPr>
        <w:t>估价结果为房地产市场价值，包括</w:t>
      </w:r>
      <w:r>
        <w:rPr>
          <w:rFonts w:hint="eastAsia" w:ascii="仿宋" w:hAnsi="仿宋" w:eastAsia="仿宋"/>
          <w:snapToGrid w:val="0"/>
          <w:kern w:val="0"/>
          <w:sz w:val="24"/>
          <w:szCs w:val="24"/>
        </w:rPr>
        <w:t>房屋</w:t>
      </w:r>
      <w:r>
        <w:rPr>
          <w:rFonts w:hint="eastAsia" w:ascii="仿宋" w:hAnsi="仿宋" w:eastAsia="仿宋"/>
          <w:snapToGrid w:val="0"/>
          <w:kern w:val="0"/>
          <w:sz w:val="24"/>
          <w:szCs w:val="24"/>
          <w:lang w:eastAsia="zh-CN"/>
        </w:rPr>
        <w:t>及其</w:t>
      </w:r>
      <w:r>
        <w:rPr>
          <w:rFonts w:hint="eastAsia" w:ascii="仿宋" w:hAnsi="仿宋" w:eastAsia="仿宋"/>
          <w:snapToGrid w:val="0"/>
          <w:kern w:val="0"/>
          <w:sz w:val="24"/>
          <w:szCs w:val="24"/>
        </w:rPr>
        <w:t>宅基地、以及</w:t>
      </w:r>
      <w:r>
        <w:rPr>
          <w:rFonts w:hint="eastAsia" w:ascii="仿宋" w:hAnsi="仿宋" w:eastAsia="仿宋"/>
          <w:snapToGrid w:val="0"/>
          <w:kern w:val="0"/>
          <w:sz w:val="24"/>
          <w:szCs w:val="24"/>
          <w:lang w:eastAsia="zh-CN"/>
        </w:rPr>
        <w:t>按二手房交易时通常包含</w:t>
      </w:r>
      <w:r>
        <w:rPr>
          <w:rFonts w:hint="eastAsia" w:ascii="仿宋" w:hAnsi="仿宋" w:eastAsia="仿宋"/>
          <w:snapToGrid w:val="0"/>
          <w:kern w:val="0"/>
          <w:sz w:val="24"/>
          <w:szCs w:val="24"/>
        </w:rPr>
        <w:t>的装饰装修价值，不包括动产、树木等，以及债权债务、特许经营权等其他财产或权益</w:t>
      </w:r>
      <w:r>
        <w:rPr>
          <w:rFonts w:hint="eastAsia" w:ascii="仿宋" w:hAnsi="仿宋" w:eastAsia="仿宋" w:cs="宋体"/>
          <w:sz w:val="24"/>
          <w:szCs w:val="24"/>
        </w:rPr>
        <w:t>。</w:t>
      </w:r>
      <w:r>
        <w:rPr>
          <w:rFonts w:hint="eastAsia" w:ascii="仿宋" w:hAnsi="仿宋" w:eastAsia="仿宋"/>
          <w:snapToGrid w:val="0"/>
          <w:kern w:val="0"/>
          <w:sz w:val="24"/>
          <w:szCs w:val="24"/>
        </w:rPr>
        <w:t>遵循权利主体一致原则，分割处置该估价结果无效。</w:t>
      </w:r>
    </w:p>
    <w:p>
      <w:pPr>
        <w:spacing w:line="460" w:lineRule="exact"/>
        <w:ind w:firstLine="480" w:firstLineChars="200"/>
        <w:rPr>
          <w:rFonts w:ascii="仿宋" w:hAnsi="仿宋" w:eastAsia="仿宋" w:cs="宋体"/>
          <w:snapToGrid w:val="0"/>
          <w:kern w:val="0"/>
          <w:sz w:val="24"/>
          <w:szCs w:val="24"/>
        </w:rPr>
      </w:pPr>
      <w:r>
        <w:rPr>
          <w:rFonts w:hint="eastAsia" w:ascii="仿宋" w:hAnsi="仿宋" w:eastAsia="仿宋" w:cs="宋体"/>
          <w:sz w:val="24"/>
          <w:szCs w:val="24"/>
        </w:rPr>
        <w:t>3</w:t>
      </w:r>
      <w:r>
        <w:rPr>
          <w:rFonts w:hint="eastAsia" w:ascii="仿宋" w:hAnsi="仿宋" w:eastAsia="仿宋" w:cs="宋体"/>
          <w:snapToGrid w:val="0"/>
          <w:kern w:val="0"/>
          <w:sz w:val="24"/>
          <w:szCs w:val="24"/>
        </w:rPr>
        <w:t>、</w:t>
      </w:r>
      <w:r>
        <w:rPr>
          <w:rFonts w:hint="eastAsia" w:ascii="仿宋" w:hAnsi="仿宋" w:eastAsia="仿宋" w:cs="宋体"/>
          <w:sz w:val="24"/>
          <w:szCs w:val="24"/>
        </w:rPr>
        <w:t>本估价报告估价结果</w:t>
      </w:r>
      <w:r>
        <w:rPr>
          <w:rFonts w:hint="eastAsia" w:ascii="仿宋" w:hAnsi="仿宋" w:eastAsia="仿宋" w:cs="宋体"/>
          <w:snapToGrid w:val="0"/>
          <w:kern w:val="0"/>
          <w:sz w:val="24"/>
          <w:szCs w:val="24"/>
        </w:rPr>
        <w:t>仅</w:t>
      </w:r>
      <w:r>
        <w:rPr>
          <w:rFonts w:ascii="仿宋" w:hAnsi="仿宋" w:eastAsia="仿宋" w:cs="宋体"/>
          <w:sz w:val="24"/>
          <w:szCs w:val="24"/>
        </w:rPr>
        <w:t>为</w:t>
      </w:r>
      <w:r>
        <w:rPr>
          <w:rFonts w:hint="eastAsia" w:ascii="仿宋" w:hAnsi="仿宋" w:eastAsia="仿宋" w:cs="宋体"/>
          <w:sz w:val="24"/>
          <w:szCs w:val="24"/>
        </w:rPr>
        <w:t>司法诉讼案件</w:t>
      </w:r>
      <w:r>
        <w:rPr>
          <w:rFonts w:hint="eastAsia" w:ascii="仿宋" w:hAnsi="仿宋" w:eastAsia="仿宋" w:cs="宋体"/>
          <w:sz w:val="24"/>
          <w:szCs w:val="24"/>
          <w:lang w:eastAsia="zh-CN"/>
        </w:rPr>
        <w:t>审理</w:t>
      </w:r>
      <w:r>
        <w:rPr>
          <w:rFonts w:ascii="仿宋" w:hAnsi="仿宋" w:eastAsia="仿宋" w:cs="宋体"/>
          <w:sz w:val="24"/>
          <w:szCs w:val="24"/>
        </w:rPr>
        <w:t>提供房地产市场价值参考依据</w:t>
      </w:r>
      <w:r>
        <w:rPr>
          <w:rFonts w:hint="eastAsia" w:ascii="仿宋" w:hAnsi="仿宋" w:eastAsia="仿宋" w:cs="宋体"/>
          <w:snapToGrid w:val="0"/>
          <w:kern w:val="0"/>
          <w:sz w:val="24"/>
          <w:szCs w:val="24"/>
        </w:rPr>
        <w:t>，按照既定目的提供给估价委托人使用，若改变估价目的及使用条件，需向本公司咨询后作必要调整甚至重新估价。</w:t>
      </w:r>
    </w:p>
    <w:p>
      <w:pPr>
        <w:spacing w:line="460" w:lineRule="exact"/>
        <w:ind w:firstLine="480" w:firstLineChars="200"/>
        <w:rPr>
          <w:rFonts w:ascii="仿宋" w:hAnsi="仿宋" w:eastAsia="仿宋" w:cs="宋体"/>
          <w:sz w:val="24"/>
          <w:szCs w:val="24"/>
        </w:rPr>
      </w:pPr>
      <w:r>
        <w:rPr>
          <w:rFonts w:hint="eastAsia" w:ascii="仿宋" w:hAnsi="仿宋" w:eastAsia="仿宋" w:cs="宋体"/>
          <w:sz w:val="24"/>
          <w:szCs w:val="24"/>
        </w:rPr>
        <w:t>4</w:t>
      </w:r>
      <w:r>
        <w:rPr>
          <w:rFonts w:hint="eastAsia" w:ascii="仿宋" w:hAnsi="仿宋" w:eastAsia="仿宋" w:cs="宋体"/>
          <w:snapToGrid w:val="0"/>
          <w:kern w:val="0"/>
          <w:sz w:val="24"/>
          <w:szCs w:val="24"/>
        </w:rPr>
        <w:t>、</w:t>
      </w:r>
      <w:r>
        <w:rPr>
          <w:rFonts w:hint="eastAsia" w:ascii="仿宋" w:hAnsi="仿宋" w:eastAsia="仿宋" w:cs="宋体"/>
          <w:sz w:val="24"/>
          <w:szCs w:val="24"/>
        </w:rPr>
        <w:t>本估价报告分为估价结果报告和估价技术报告两部分，估价结果报告提供给估价委托人，估价技术报告根据有关规定由估价机构存档并在必要时提供给相关主管部门审查使用。</w:t>
      </w:r>
    </w:p>
    <w:p>
      <w:pPr>
        <w:spacing w:line="460" w:lineRule="exact"/>
        <w:ind w:firstLine="480" w:firstLineChars="200"/>
        <w:rPr>
          <w:rFonts w:ascii="仿宋" w:hAnsi="仿宋" w:eastAsia="仿宋" w:cs="宋体"/>
          <w:sz w:val="24"/>
          <w:szCs w:val="24"/>
        </w:rPr>
      </w:pPr>
      <w:r>
        <w:rPr>
          <w:rFonts w:hint="eastAsia" w:ascii="仿宋" w:hAnsi="仿宋" w:eastAsia="仿宋" w:cs="宋体"/>
          <w:sz w:val="24"/>
          <w:szCs w:val="24"/>
        </w:rPr>
        <w:t>5</w:t>
      </w:r>
      <w:r>
        <w:rPr>
          <w:rFonts w:hint="eastAsia" w:ascii="仿宋" w:hAnsi="仿宋" w:eastAsia="仿宋" w:cs="宋体"/>
          <w:snapToGrid w:val="0"/>
          <w:kern w:val="0"/>
          <w:sz w:val="24"/>
          <w:szCs w:val="24"/>
        </w:rPr>
        <w:t>、</w:t>
      </w:r>
      <w:r>
        <w:rPr>
          <w:rFonts w:hint="eastAsia" w:ascii="仿宋" w:hAnsi="仿宋" w:eastAsia="仿宋" w:cs="宋体"/>
          <w:sz w:val="24"/>
          <w:szCs w:val="24"/>
        </w:rPr>
        <w:t>未经估价机构书面同意，本估价报告的全部和部分及任何参考资料均不允许在任何公开发表的文件、通知或声明中引用，亦不得以其他任何方式公开发表。</w:t>
      </w:r>
    </w:p>
    <w:p>
      <w:pPr>
        <w:pStyle w:val="10"/>
        <w:spacing w:line="460" w:lineRule="exact"/>
        <w:ind w:firstLine="480" w:firstLineChars="200"/>
        <w:rPr>
          <w:rFonts w:ascii="仿宋" w:hAnsi="仿宋" w:eastAsia="仿宋" w:cs="宋体"/>
          <w:sz w:val="24"/>
          <w:szCs w:val="24"/>
        </w:rPr>
      </w:pPr>
      <w:r>
        <w:rPr>
          <w:rFonts w:hint="eastAsia" w:ascii="仿宋" w:hAnsi="仿宋" w:eastAsia="仿宋" w:cs="宋体"/>
          <w:snapToGrid w:val="0"/>
          <w:kern w:val="0"/>
          <w:sz w:val="24"/>
          <w:szCs w:val="24"/>
        </w:rPr>
        <w:t>6、</w:t>
      </w:r>
      <w:r>
        <w:rPr>
          <w:rFonts w:hint="eastAsia" w:ascii="仿宋" w:hAnsi="仿宋" w:eastAsia="仿宋" w:cs="宋体"/>
          <w:sz w:val="24"/>
          <w:szCs w:val="24"/>
        </w:rPr>
        <w:t>本报告必须完整使用方为有效，对仅使用报告中的部份内容或者违规使用本估价报告和估价结果，所导致的有关损失或者法律后果由有关责任方自行承担，本估价机构及本估价报告签字估价师不承担任何责任。本公司保留对违规使用本估价报告和估价结果的有关责任方追究相关法律责任的权利。</w:t>
      </w:r>
    </w:p>
    <w:p>
      <w:pPr>
        <w:spacing w:line="460" w:lineRule="exact"/>
        <w:ind w:firstLine="480" w:firstLineChars="200"/>
        <w:rPr>
          <w:rFonts w:ascii="仿宋" w:hAnsi="仿宋" w:eastAsia="仿宋" w:cs="宋体"/>
          <w:sz w:val="24"/>
          <w:szCs w:val="24"/>
        </w:rPr>
      </w:pPr>
      <w:r>
        <w:rPr>
          <w:rFonts w:hint="eastAsia" w:ascii="仿宋" w:hAnsi="仿宋" w:eastAsia="仿宋" w:cs="宋体"/>
          <w:sz w:val="24"/>
          <w:szCs w:val="24"/>
        </w:rPr>
        <w:t>7、估价过程中遇到非估价人员执业水平和能力所能评定估算的不确定性因素、或有事项等，估价人员和估价机构对此类事项不承担任何责任。</w:t>
      </w:r>
      <w:r>
        <w:rPr>
          <w:rFonts w:hint="eastAsia" w:ascii="仿宋" w:hAnsi="仿宋" w:eastAsia="仿宋" w:cs="宋体"/>
          <w:snapToGrid w:val="0"/>
          <w:kern w:val="0"/>
          <w:sz w:val="24"/>
          <w:szCs w:val="24"/>
        </w:rPr>
        <w:t>本况的披露不能作为对其权属确认的依据，估价对象权属界定以有权管理部门认定估价报告仅是在报告中说明的假设条件下对估价对象正常市场价值进行的合理估算，报告中对估价对象权属情为准。</w:t>
      </w:r>
    </w:p>
    <w:p>
      <w:pPr>
        <w:spacing w:line="460" w:lineRule="exact"/>
        <w:ind w:firstLine="480" w:firstLineChars="200"/>
        <w:rPr>
          <w:rFonts w:ascii="仿宋" w:hAnsi="仿宋" w:eastAsia="仿宋" w:cs="宋体"/>
          <w:sz w:val="24"/>
          <w:szCs w:val="24"/>
        </w:rPr>
      </w:pPr>
      <w:r>
        <w:rPr>
          <w:rFonts w:hint="eastAsia" w:ascii="仿宋" w:hAnsi="仿宋" w:eastAsia="仿宋" w:cs="宋体"/>
          <w:sz w:val="24"/>
          <w:szCs w:val="24"/>
        </w:rPr>
        <w:t>8、本次估价所涉权属资料为</w:t>
      </w:r>
      <w:r>
        <w:rPr>
          <w:rFonts w:ascii="仿宋" w:hAnsi="仿宋" w:eastAsia="仿宋" w:cs="宋体"/>
          <w:sz w:val="24"/>
          <w:szCs w:val="24"/>
        </w:rPr>
        <w:t>经当事人质证人民法院认定的评估资料，</w:t>
      </w:r>
      <w:r>
        <w:rPr>
          <w:rFonts w:hint="eastAsia" w:ascii="仿宋" w:hAnsi="仿宋" w:eastAsia="仿宋" w:cs="宋体"/>
          <w:sz w:val="24"/>
          <w:szCs w:val="24"/>
        </w:rPr>
        <w:t>估价依据及相关参数资料为</w:t>
      </w:r>
      <w:r>
        <w:rPr>
          <w:rFonts w:ascii="仿宋" w:hAnsi="仿宋" w:eastAsia="仿宋" w:cs="宋体"/>
          <w:sz w:val="24"/>
          <w:szCs w:val="24"/>
        </w:rPr>
        <w:t>注册房地产估价师调查核实的资料</w:t>
      </w:r>
      <w:r>
        <w:rPr>
          <w:rFonts w:hint="eastAsia" w:ascii="仿宋" w:hAnsi="仿宋" w:eastAsia="仿宋" w:cs="宋体"/>
          <w:sz w:val="24"/>
          <w:szCs w:val="24"/>
        </w:rPr>
        <w:t>。</w:t>
      </w:r>
    </w:p>
    <w:p>
      <w:pPr>
        <w:spacing w:line="460" w:lineRule="exact"/>
        <w:ind w:firstLine="480" w:firstLineChars="200"/>
        <w:rPr>
          <w:rFonts w:ascii="仿宋" w:hAnsi="仿宋" w:eastAsia="仿宋" w:cs="宋体"/>
          <w:sz w:val="24"/>
          <w:szCs w:val="24"/>
        </w:rPr>
      </w:pPr>
      <w:r>
        <w:rPr>
          <w:rFonts w:hint="eastAsia" w:ascii="仿宋" w:hAnsi="仿宋" w:eastAsia="仿宋" w:cs="宋体"/>
          <w:sz w:val="24"/>
          <w:szCs w:val="24"/>
        </w:rPr>
        <w:t>9、其他事项说明：</w:t>
      </w:r>
    </w:p>
    <w:p>
      <w:pPr>
        <w:spacing w:line="460" w:lineRule="exact"/>
        <w:ind w:firstLine="480" w:firstLineChars="200"/>
        <w:rPr>
          <w:rFonts w:ascii="仿宋" w:hAnsi="仿宋" w:eastAsia="仿宋" w:cs="宋体"/>
          <w:sz w:val="24"/>
          <w:szCs w:val="24"/>
        </w:rPr>
      </w:pPr>
      <w:r>
        <w:rPr>
          <w:rFonts w:hint="eastAsia" w:ascii="仿宋" w:hAnsi="仿宋" w:eastAsia="仿宋" w:cs="宋体"/>
          <w:sz w:val="24"/>
          <w:szCs w:val="24"/>
        </w:rPr>
        <w:t>（1）本次估价估价委托人和案件当事人没有提供估价对象的租赁情况，若存在租赁，依据《合同法》第229条和《民通意见》119条有关规定，遵循“买卖不破租赁”，买受人应当对租约，以及履约情况进行判断和予以关注。</w:t>
      </w:r>
    </w:p>
    <w:p>
      <w:pPr>
        <w:spacing w:line="460" w:lineRule="exact"/>
        <w:ind w:firstLine="480" w:firstLineChars="200"/>
        <w:rPr>
          <w:rFonts w:ascii="仿宋" w:hAnsi="仿宋" w:eastAsia="仿宋" w:cs="宋体"/>
          <w:sz w:val="24"/>
          <w:szCs w:val="24"/>
          <w:lang w:val="en-US"/>
        </w:rPr>
      </w:pPr>
      <w:r>
        <w:rPr>
          <w:rFonts w:hint="eastAsia" w:ascii="仿宋" w:hAnsi="仿宋" w:eastAsia="仿宋" w:cs="宋体"/>
          <w:sz w:val="24"/>
          <w:szCs w:val="24"/>
        </w:rPr>
        <w:t>（2）</w:t>
      </w:r>
      <w:r>
        <w:rPr>
          <w:rFonts w:hint="eastAsia" w:ascii="仿宋" w:hAnsi="仿宋" w:eastAsia="仿宋" w:cs="宋体"/>
          <w:sz w:val="24"/>
          <w:szCs w:val="24"/>
          <w:lang w:eastAsia="zh-CN"/>
        </w:rPr>
        <w:t>根据相关法律规定，农村宅基地不能公开买卖，只能在村内流转，特提请报告使用人予以关注。</w:t>
      </w:r>
    </w:p>
    <w:p>
      <w:pPr>
        <w:spacing w:line="460" w:lineRule="exact"/>
        <w:ind w:firstLine="480" w:firstLineChars="200"/>
        <w:rPr>
          <w:rFonts w:ascii="仿宋" w:hAnsi="仿宋" w:eastAsia="仿宋" w:cs="宋体"/>
          <w:sz w:val="24"/>
          <w:szCs w:val="24"/>
        </w:rPr>
      </w:pPr>
      <w:r>
        <w:rPr>
          <w:rFonts w:hint="eastAsia" w:ascii="仿宋" w:hAnsi="仿宋" w:eastAsia="仿宋" w:cs="宋体"/>
          <w:sz w:val="24"/>
          <w:szCs w:val="24"/>
        </w:rPr>
        <w:t>（3）案件当事人对</w:t>
      </w:r>
      <w:r>
        <w:rPr>
          <w:rFonts w:hint="eastAsia" w:ascii="仿宋" w:hAnsi="仿宋" w:eastAsia="仿宋" w:cs="宋体"/>
          <w:sz w:val="24"/>
          <w:szCs w:val="24"/>
          <w:lang w:eastAsia="zh-CN"/>
        </w:rPr>
        <w:t>咨询性</w:t>
      </w:r>
      <w:r>
        <w:rPr>
          <w:rFonts w:hint="eastAsia" w:ascii="仿宋" w:hAnsi="仿宋" w:eastAsia="仿宋" w:cs="宋体"/>
          <w:sz w:val="24"/>
          <w:szCs w:val="24"/>
        </w:rPr>
        <w:t>估价报告有异议的，可以自收到报告起10日内提出异议，超过该期间即丧失对报告提出异议的权利。</w:t>
      </w:r>
      <w:bookmarkEnd w:id="14"/>
      <w:bookmarkEnd w:id="15"/>
      <w:bookmarkEnd w:id="16"/>
      <w:bookmarkEnd w:id="17"/>
      <w:bookmarkStart w:id="18" w:name="_Toc30715"/>
    </w:p>
    <w:p>
      <w:pPr>
        <w:pStyle w:val="2"/>
        <w:rPr>
          <w:rFonts w:ascii="仿宋" w:hAnsi="仿宋" w:eastAsia="仿宋"/>
          <w:color w:val="auto"/>
        </w:rPr>
      </w:pPr>
    </w:p>
    <w:p>
      <w:pPr>
        <w:pStyle w:val="3"/>
        <w:spacing w:line="240" w:lineRule="auto"/>
        <w:jc w:val="center"/>
        <w:rPr>
          <w:rFonts w:hint="eastAsia" w:ascii="宋体" w:hAnsi="宋体" w:cs="宋体"/>
          <w:sz w:val="32"/>
          <w:szCs w:val="32"/>
        </w:rPr>
      </w:pPr>
      <w:bookmarkStart w:id="19" w:name="_Toc9776"/>
    </w:p>
    <w:p>
      <w:pPr>
        <w:pStyle w:val="3"/>
        <w:spacing w:line="240" w:lineRule="auto"/>
        <w:jc w:val="center"/>
        <w:rPr>
          <w:rFonts w:ascii="黑体" w:hAnsi="黑体" w:eastAsia="黑体" w:cs="宋体"/>
          <w:sz w:val="24"/>
          <w:szCs w:val="24"/>
        </w:rPr>
      </w:pPr>
      <w:r>
        <w:rPr>
          <w:rFonts w:hint="eastAsia" w:ascii="宋体" w:hAnsi="宋体" w:cs="宋体"/>
          <w:sz w:val="32"/>
          <w:szCs w:val="32"/>
        </w:rPr>
        <w:br w:type="page"/>
      </w:r>
      <w:r>
        <w:rPr>
          <w:rFonts w:hint="eastAsia" w:ascii="宋体" w:hAnsi="宋体" w:cs="宋体"/>
          <w:sz w:val="32"/>
          <w:szCs w:val="32"/>
        </w:rPr>
        <w:t>估价结果报告</w:t>
      </w:r>
      <w:bookmarkEnd w:id="18"/>
      <w:bookmarkEnd w:id="19"/>
    </w:p>
    <w:p>
      <w:pPr>
        <w:pStyle w:val="4"/>
        <w:spacing w:line="460" w:lineRule="exact"/>
        <w:rPr>
          <w:rStyle w:val="33"/>
          <w:rFonts w:ascii="Times New Roman" w:hAnsi="Times New Roman" w:eastAsia="宋体"/>
          <w:b/>
          <w:bCs w:val="0"/>
          <w:kern w:val="44"/>
          <w:sz w:val="24"/>
          <w:szCs w:val="24"/>
        </w:rPr>
      </w:pPr>
      <w:bookmarkStart w:id="20" w:name="_Toc8066"/>
      <w:bookmarkStart w:id="21" w:name="_Toc19875"/>
      <w:bookmarkStart w:id="22" w:name="_Toc320184504"/>
      <w:bookmarkStart w:id="23" w:name="_Toc320276193"/>
      <w:bookmarkStart w:id="24" w:name="_Toc320173774"/>
      <w:bookmarkStart w:id="25" w:name="_Toc321996042"/>
      <w:bookmarkStart w:id="26" w:name="_Toc385002024"/>
      <w:r>
        <w:rPr>
          <w:rFonts w:hint="eastAsia" w:ascii="仿宋" w:hAnsi="仿宋" w:eastAsia="仿宋" w:cs="宋体"/>
          <w:sz w:val="24"/>
          <w:szCs w:val="24"/>
        </w:rPr>
        <w:t>一、估价委托人</w:t>
      </w:r>
      <w:bookmarkEnd w:id="20"/>
      <w:bookmarkEnd w:id="21"/>
      <w:bookmarkEnd w:id="22"/>
      <w:bookmarkEnd w:id="23"/>
      <w:bookmarkEnd w:id="24"/>
    </w:p>
    <w:p>
      <w:pPr>
        <w:autoSpaceDE w:val="0"/>
        <w:autoSpaceDN w:val="0"/>
        <w:adjustRightInd w:val="0"/>
        <w:spacing w:line="500" w:lineRule="exact"/>
        <w:ind w:firstLine="468" w:firstLineChars="195"/>
        <w:jc w:val="left"/>
        <w:textAlignment w:val="center"/>
        <w:rPr>
          <w:rFonts w:ascii="仿宋" w:hAnsi="仿宋" w:eastAsia="仿宋" w:cs="宋体"/>
          <w:sz w:val="24"/>
          <w:szCs w:val="24"/>
        </w:rPr>
      </w:pPr>
      <w:r>
        <w:rPr>
          <w:rFonts w:hint="eastAsia" w:ascii="仿宋" w:hAnsi="仿宋" w:eastAsia="仿宋" w:cs="宋体"/>
          <w:sz w:val="24"/>
          <w:szCs w:val="24"/>
        </w:rPr>
        <w:t>单位名称:</w:t>
      </w:r>
      <w:r>
        <w:rPr>
          <w:rFonts w:hint="eastAsia" w:ascii="仿宋" w:hAnsi="仿宋" w:eastAsia="仿宋" w:cs="宋体"/>
          <w:sz w:val="24"/>
          <w:szCs w:val="24"/>
          <w:lang w:eastAsia="zh-CN"/>
        </w:rPr>
        <w:t>七星关区</w:t>
      </w:r>
      <w:r>
        <w:rPr>
          <w:rFonts w:hint="eastAsia" w:ascii="仿宋" w:hAnsi="仿宋" w:eastAsia="仿宋" w:cs="宋体"/>
          <w:sz w:val="24"/>
          <w:szCs w:val="24"/>
        </w:rPr>
        <w:t>人民法院</w:t>
      </w:r>
    </w:p>
    <w:p>
      <w:pPr>
        <w:autoSpaceDE w:val="0"/>
        <w:autoSpaceDN w:val="0"/>
        <w:adjustRightInd w:val="0"/>
        <w:spacing w:line="500" w:lineRule="exact"/>
        <w:ind w:firstLine="468" w:firstLineChars="195"/>
        <w:jc w:val="left"/>
        <w:textAlignment w:val="center"/>
        <w:rPr>
          <w:rFonts w:ascii="仿宋" w:hAnsi="仿宋" w:eastAsia="仿宋" w:cs="宋体"/>
          <w:sz w:val="24"/>
          <w:szCs w:val="24"/>
        </w:rPr>
      </w:pPr>
      <w:bookmarkStart w:id="27" w:name="_Toc320276194"/>
      <w:bookmarkStart w:id="28" w:name="_Toc320173775"/>
      <w:bookmarkStart w:id="29" w:name="_Toc320184505"/>
      <w:r>
        <w:rPr>
          <w:rFonts w:hint="eastAsia" w:ascii="仿宋" w:hAnsi="仿宋" w:eastAsia="仿宋" w:cs="宋体"/>
          <w:sz w:val="24"/>
          <w:szCs w:val="24"/>
        </w:rPr>
        <w:t>联 系 人：</w:t>
      </w:r>
      <w:r>
        <w:rPr>
          <w:rFonts w:hint="eastAsia" w:ascii="仿宋" w:hAnsi="仿宋" w:eastAsia="仿宋" w:cs="宋体"/>
          <w:sz w:val="24"/>
          <w:szCs w:val="24"/>
          <w:lang w:eastAsia="zh-CN"/>
        </w:rPr>
        <w:t>宋莎</w:t>
      </w:r>
      <w:r>
        <w:rPr>
          <w:rFonts w:hint="eastAsia" w:ascii="仿宋" w:hAnsi="仿宋" w:eastAsia="仿宋" w:cs="宋体"/>
          <w:sz w:val="24"/>
          <w:szCs w:val="24"/>
          <w:lang w:val="en-US" w:eastAsia="zh-CN"/>
        </w:rPr>
        <w:t xml:space="preserve">  </w:t>
      </w:r>
      <w:r>
        <w:rPr>
          <w:rFonts w:hint="eastAsia" w:ascii="仿宋" w:hAnsi="仿宋" w:eastAsia="仿宋" w:cs="宋体"/>
          <w:sz w:val="24"/>
          <w:szCs w:val="24"/>
        </w:rPr>
        <w:t>联系电话：</w:t>
      </w:r>
      <w:r>
        <w:rPr>
          <w:rFonts w:hint="eastAsia" w:ascii="仿宋" w:hAnsi="仿宋" w:eastAsia="仿宋" w:cs="宋体"/>
          <w:sz w:val="24"/>
          <w:szCs w:val="24"/>
          <w:lang w:val="en-US" w:eastAsia="zh-CN"/>
        </w:rPr>
        <w:t>0857-8985275</w:t>
      </w:r>
    </w:p>
    <w:p>
      <w:pPr>
        <w:pStyle w:val="4"/>
        <w:spacing w:line="460" w:lineRule="exact"/>
        <w:rPr>
          <w:rFonts w:ascii="仿宋" w:hAnsi="仿宋" w:eastAsia="仿宋" w:cs="宋体"/>
          <w:sz w:val="24"/>
          <w:szCs w:val="24"/>
        </w:rPr>
      </w:pPr>
      <w:bookmarkStart w:id="30" w:name="_Toc31202"/>
      <w:bookmarkStart w:id="31" w:name="_Toc14257"/>
      <w:r>
        <w:rPr>
          <w:rFonts w:hint="eastAsia" w:ascii="仿宋" w:hAnsi="仿宋" w:eastAsia="仿宋" w:cs="宋体"/>
          <w:sz w:val="24"/>
          <w:szCs w:val="24"/>
        </w:rPr>
        <w:t>二、房地产估价机构</w:t>
      </w:r>
      <w:bookmarkEnd w:id="27"/>
      <w:bookmarkEnd w:id="28"/>
      <w:bookmarkEnd w:id="29"/>
      <w:bookmarkEnd w:id="30"/>
      <w:bookmarkEnd w:id="31"/>
    </w:p>
    <w:p>
      <w:pPr>
        <w:autoSpaceDE w:val="0"/>
        <w:autoSpaceDN w:val="0"/>
        <w:adjustRightInd w:val="0"/>
        <w:spacing w:line="460" w:lineRule="exact"/>
        <w:ind w:firstLine="468" w:firstLineChars="195"/>
        <w:jc w:val="left"/>
        <w:textAlignment w:val="center"/>
        <w:rPr>
          <w:rFonts w:ascii="仿宋" w:hAnsi="仿宋" w:eastAsia="仿宋" w:cs="宋体"/>
          <w:sz w:val="24"/>
          <w:szCs w:val="24"/>
        </w:rPr>
      </w:pPr>
      <w:bookmarkStart w:id="32" w:name="_Toc320276195"/>
      <w:bookmarkStart w:id="33" w:name="_Toc320173776"/>
      <w:bookmarkStart w:id="34" w:name="_Toc320184506"/>
      <w:r>
        <w:rPr>
          <w:rFonts w:hint="eastAsia" w:ascii="仿宋" w:hAnsi="仿宋" w:eastAsia="仿宋" w:cs="宋体"/>
          <w:sz w:val="24"/>
          <w:szCs w:val="24"/>
        </w:rPr>
        <w:t xml:space="preserve">机构名称：四川天成房地产土地估价咨询有限公司 </w:t>
      </w:r>
    </w:p>
    <w:p>
      <w:pPr>
        <w:autoSpaceDE w:val="0"/>
        <w:autoSpaceDN w:val="0"/>
        <w:adjustRightInd w:val="0"/>
        <w:spacing w:line="460" w:lineRule="exact"/>
        <w:ind w:firstLine="468" w:firstLineChars="195"/>
        <w:jc w:val="left"/>
        <w:textAlignment w:val="center"/>
        <w:rPr>
          <w:rFonts w:ascii="仿宋" w:hAnsi="仿宋" w:eastAsia="仿宋" w:cs="宋体"/>
          <w:sz w:val="24"/>
          <w:szCs w:val="24"/>
        </w:rPr>
      </w:pPr>
      <w:r>
        <w:rPr>
          <w:rFonts w:hint="eastAsia" w:ascii="仿宋" w:hAnsi="仿宋" w:eastAsia="仿宋" w:cs="宋体"/>
          <w:sz w:val="24"/>
          <w:szCs w:val="24"/>
        </w:rPr>
        <w:t xml:space="preserve">法定代表人：丁永洪 </w:t>
      </w:r>
    </w:p>
    <w:p>
      <w:pPr>
        <w:autoSpaceDE w:val="0"/>
        <w:autoSpaceDN w:val="0"/>
        <w:adjustRightInd w:val="0"/>
        <w:spacing w:line="460" w:lineRule="exact"/>
        <w:ind w:firstLine="468" w:firstLineChars="195"/>
        <w:jc w:val="left"/>
        <w:textAlignment w:val="center"/>
        <w:rPr>
          <w:rFonts w:ascii="仿宋" w:hAnsi="仿宋" w:eastAsia="仿宋" w:cs="宋体"/>
          <w:sz w:val="24"/>
          <w:szCs w:val="24"/>
        </w:rPr>
      </w:pPr>
      <w:r>
        <w:rPr>
          <w:rFonts w:hint="eastAsia" w:ascii="仿宋" w:hAnsi="仿宋" w:eastAsia="仿宋" w:cs="宋体"/>
          <w:sz w:val="24"/>
          <w:szCs w:val="24"/>
        </w:rPr>
        <w:t>机构地址：成都市</w:t>
      </w:r>
      <w:r>
        <w:rPr>
          <w:rFonts w:hint="eastAsia" w:ascii="仿宋" w:hAnsi="仿宋" w:eastAsia="仿宋" w:cs="宋体"/>
          <w:sz w:val="24"/>
          <w:szCs w:val="24"/>
          <w:lang w:eastAsia="zh-CN"/>
        </w:rPr>
        <w:t>青羊区王家塘</w:t>
      </w:r>
      <w:r>
        <w:rPr>
          <w:rFonts w:hint="eastAsia" w:ascii="仿宋" w:hAnsi="仿宋" w:eastAsia="仿宋" w:cs="宋体"/>
          <w:sz w:val="24"/>
          <w:szCs w:val="24"/>
          <w:lang w:val="en-US" w:eastAsia="zh-CN"/>
        </w:rPr>
        <w:t>93号</w:t>
      </w:r>
    </w:p>
    <w:p>
      <w:pPr>
        <w:autoSpaceDE w:val="0"/>
        <w:autoSpaceDN w:val="0"/>
        <w:adjustRightInd w:val="0"/>
        <w:spacing w:line="460" w:lineRule="exact"/>
        <w:ind w:firstLine="468" w:firstLineChars="195"/>
        <w:jc w:val="left"/>
        <w:textAlignment w:val="center"/>
        <w:rPr>
          <w:rFonts w:ascii="仿宋" w:hAnsi="仿宋" w:eastAsia="仿宋" w:cs="宋体"/>
          <w:sz w:val="24"/>
          <w:szCs w:val="24"/>
        </w:rPr>
      </w:pPr>
      <w:r>
        <w:rPr>
          <w:rFonts w:hint="eastAsia" w:ascii="仿宋" w:hAnsi="仿宋" w:eastAsia="仿宋" w:cs="宋体"/>
          <w:sz w:val="24"/>
          <w:szCs w:val="24"/>
        </w:rPr>
        <w:t>统一社会信用代码：91510105771677693P</w:t>
      </w:r>
    </w:p>
    <w:p>
      <w:pPr>
        <w:autoSpaceDE w:val="0"/>
        <w:autoSpaceDN w:val="0"/>
        <w:adjustRightInd w:val="0"/>
        <w:spacing w:line="460" w:lineRule="exact"/>
        <w:ind w:firstLine="468" w:firstLineChars="195"/>
        <w:jc w:val="left"/>
        <w:textAlignment w:val="center"/>
        <w:rPr>
          <w:rFonts w:hint="eastAsia" w:ascii="仿宋" w:hAnsi="仿宋" w:eastAsia="仿宋" w:cs="宋体"/>
          <w:sz w:val="24"/>
          <w:szCs w:val="24"/>
        </w:rPr>
      </w:pPr>
      <w:r>
        <w:rPr>
          <w:rFonts w:hint="eastAsia" w:ascii="仿宋" w:hAnsi="仿宋" w:eastAsia="仿宋" w:cs="宋体"/>
          <w:sz w:val="24"/>
          <w:szCs w:val="24"/>
        </w:rPr>
        <w:t>备案等级：壹级</w:t>
      </w:r>
    </w:p>
    <w:p>
      <w:pPr>
        <w:autoSpaceDE w:val="0"/>
        <w:autoSpaceDN w:val="0"/>
        <w:adjustRightInd w:val="0"/>
        <w:spacing w:line="460" w:lineRule="exact"/>
        <w:ind w:firstLine="468" w:firstLineChars="195"/>
        <w:jc w:val="left"/>
        <w:textAlignment w:val="center"/>
        <w:rPr>
          <w:rFonts w:hint="eastAsia" w:ascii="仿宋" w:hAnsi="仿宋" w:eastAsia="仿宋" w:cs="宋体"/>
          <w:sz w:val="24"/>
          <w:szCs w:val="24"/>
        </w:rPr>
      </w:pPr>
      <w:r>
        <w:rPr>
          <w:rFonts w:hint="eastAsia" w:ascii="仿宋" w:hAnsi="仿宋" w:eastAsia="仿宋" w:cs="宋体"/>
          <w:sz w:val="24"/>
          <w:szCs w:val="24"/>
        </w:rPr>
        <w:t>证书编号：川建房估备字[2017]0008号</w:t>
      </w:r>
    </w:p>
    <w:p>
      <w:pPr>
        <w:autoSpaceDE w:val="0"/>
        <w:autoSpaceDN w:val="0"/>
        <w:adjustRightInd w:val="0"/>
        <w:spacing w:line="460" w:lineRule="exact"/>
        <w:ind w:firstLine="468" w:firstLineChars="195"/>
        <w:jc w:val="left"/>
        <w:textAlignment w:val="center"/>
        <w:rPr>
          <w:rFonts w:ascii="仿宋" w:hAnsi="仿宋" w:eastAsia="仿宋" w:cs="宋体"/>
          <w:sz w:val="24"/>
          <w:szCs w:val="24"/>
          <w:lang w:val="en-US"/>
        </w:rPr>
      </w:pPr>
      <w:r>
        <w:rPr>
          <w:rFonts w:hint="eastAsia" w:ascii="仿宋" w:hAnsi="仿宋" w:eastAsia="仿宋" w:cs="宋体"/>
          <w:sz w:val="24"/>
          <w:szCs w:val="24"/>
        </w:rPr>
        <w:t>资质有效期:20</w:t>
      </w:r>
      <w:r>
        <w:rPr>
          <w:rFonts w:hint="eastAsia" w:ascii="仿宋" w:hAnsi="仿宋" w:eastAsia="仿宋" w:cs="宋体"/>
          <w:sz w:val="24"/>
          <w:szCs w:val="24"/>
          <w:lang w:val="en-US" w:eastAsia="zh-CN"/>
        </w:rPr>
        <w:t>05年10月11日至永久</w:t>
      </w:r>
    </w:p>
    <w:p>
      <w:pPr>
        <w:pStyle w:val="4"/>
        <w:numPr>
          <w:ilvl w:val="0"/>
          <w:numId w:val="4"/>
        </w:numPr>
        <w:spacing w:line="480" w:lineRule="exact"/>
        <w:rPr>
          <w:rFonts w:ascii="仿宋" w:hAnsi="仿宋" w:eastAsia="仿宋" w:cs="宋体"/>
          <w:sz w:val="24"/>
          <w:szCs w:val="24"/>
        </w:rPr>
      </w:pPr>
      <w:bookmarkStart w:id="35" w:name="_Toc17837"/>
      <w:bookmarkStart w:id="36" w:name="_Toc5987"/>
      <w:r>
        <w:rPr>
          <w:rFonts w:hint="eastAsia" w:ascii="仿宋" w:hAnsi="仿宋" w:eastAsia="仿宋" w:cs="宋体"/>
          <w:sz w:val="24"/>
          <w:szCs w:val="24"/>
        </w:rPr>
        <w:t>估价目的</w:t>
      </w:r>
      <w:bookmarkEnd w:id="35"/>
      <w:bookmarkEnd w:id="36"/>
    </w:p>
    <w:p>
      <w:pPr>
        <w:spacing w:line="480" w:lineRule="exact"/>
        <w:ind w:firstLine="480" w:firstLineChars="200"/>
        <w:rPr>
          <w:rFonts w:ascii="仿宋" w:hAnsi="仿宋" w:eastAsia="仿宋" w:cs="宋体"/>
          <w:sz w:val="24"/>
          <w:szCs w:val="24"/>
        </w:rPr>
      </w:pPr>
      <w:r>
        <w:rPr>
          <w:rFonts w:hint="eastAsia" w:ascii="仿宋" w:hAnsi="仿宋" w:eastAsia="仿宋" w:cs="宋体"/>
          <w:sz w:val="24"/>
          <w:szCs w:val="24"/>
        </w:rPr>
        <w:t>为司法诉讼案件</w:t>
      </w:r>
      <w:r>
        <w:rPr>
          <w:rFonts w:hint="eastAsia" w:ascii="仿宋" w:hAnsi="仿宋" w:eastAsia="仿宋" w:cs="宋体"/>
          <w:sz w:val="24"/>
          <w:szCs w:val="24"/>
          <w:lang w:eastAsia="zh-CN"/>
        </w:rPr>
        <w:t>审理</w:t>
      </w:r>
      <w:r>
        <w:rPr>
          <w:rFonts w:hint="eastAsia" w:ascii="仿宋" w:hAnsi="仿宋" w:eastAsia="仿宋" w:cs="宋体"/>
          <w:sz w:val="24"/>
          <w:szCs w:val="24"/>
        </w:rPr>
        <w:t>提供房地产市场价值参考依据。</w:t>
      </w:r>
    </w:p>
    <w:p>
      <w:pPr>
        <w:pStyle w:val="4"/>
        <w:numPr>
          <w:ilvl w:val="0"/>
          <w:numId w:val="4"/>
        </w:numPr>
        <w:spacing w:line="480" w:lineRule="exact"/>
        <w:rPr>
          <w:rFonts w:ascii="仿宋" w:hAnsi="仿宋" w:eastAsia="仿宋" w:cs="宋体"/>
          <w:sz w:val="24"/>
          <w:szCs w:val="24"/>
        </w:rPr>
      </w:pPr>
      <w:bookmarkStart w:id="37" w:name="_Toc10280"/>
      <w:bookmarkStart w:id="38" w:name="_Toc8573"/>
      <w:r>
        <w:rPr>
          <w:rFonts w:hint="eastAsia" w:ascii="仿宋" w:hAnsi="仿宋" w:eastAsia="仿宋" w:cs="宋体"/>
          <w:sz w:val="24"/>
          <w:szCs w:val="24"/>
        </w:rPr>
        <w:t>估价对象</w:t>
      </w:r>
      <w:bookmarkEnd w:id="32"/>
      <w:bookmarkEnd w:id="33"/>
      <w:bookmarkEnd w:id="34"/>
      <w:bookmarkEnd w:id="37"/>
      <w:bookmarkEnd w:id="38"/>
    </w:p>
    <w:p>
      <w:pPr>
        <w:spacing w:line="460" w:lineRule="exact"/>
        <w:rPr>
          <w:rFonts w:ascii="仿宋" w:hAnsi="仿宋" w:eastAsia="仿宋" w:cs="宋体"/>
          <w:b/>
          <w:sz w:val="24"/>
          <w:szCs w:val="24"/>
        </w:rPr>
      </w:pPr>
      <w:r>
        <w:rPr>
          <w:rFonts w:hint="eastAsia" w:ascii="仿宋" w:hAnsi="仿宋" w:eastAsia="仿宋" w:cs="宋体"/>
          <w:b/>
          <w:sz w:val="24"/>
          <w:szCs w:val="24"/>
        </w:rPr>
        <w:t xml:space="preserve">   （一）估价对象界定</w:t>
      </w:r>
    </w:p>
    <w:p>
      <w:pPr>
        <w:spacing w:line="500" w:lineRule="exact"/>
        <w:ind w:firstLine="480" w:firstLineChars="200"/>
        <w:rPr>
          <w:rFonts w:ascii="仿宋" w:hAnsi="仿宋" w:eastAsia="仿宋" w:cs="宋体"/>
          <w:sz w:val="24"/>
          <w:szCs w:val="24"/>
        </w:rPr>
      </w:pPr>
      <w:r>
        <w:rPr>
          <w:rFonts w:hint="eastAsia" w:ascii="仿宋" w:hAnsi="仿宋" w:eastAsia="仿宋" w:cs="宋体"/>
          <w:sz w:val="24"/>
          <w:szCs w:val="24"/>
        </w:rPr>
        <w:t>受</w:t>
      </w:r>
      <w:r>
        <w:rPr>
          <w:rFonts w:hint="eastAsia" w:ascii="仿宋" w:hAnsi="仿宋" w:eastAsia="仿宋" w:cs="宋体"/>
          <w:sz w:val="24"/>
          <w:szCs w:val="24"/>
          <w:lang w:eastAsia="zh-CN"/>
        </w:rPr>
        <w:t>七星关区</w:t>
      </w:r>
      <w:r>
        <w:rPr>
          <w:rFonts w:hint="eastAsia" w:ascii="仿宋" w:hAnsi="仿宋" w:eastAsia="仿宋" w:cs="宋体"/>
          <w:sz w:val="24"/>
          <w:szCs w:val="24"/>
        </w:rPr>
        <w:t>人民法院《委托</w:t>
      </w:r>
      <w:r>
        <w:rPr>
          <w:rFonts w:hint="eastAsia" w:ascii="仿宋" w:hAnsi="仿宋" w:eastAsia="仿宋" w:cs="宋体"/>
          <w:sz w:val="24"/>
          <w:szCs w:val="24"/>
          <w:lang w:eastAsia="zh-CN"/>
        </w:rPr>
        <w:t>评估书</w:t>
      </w:r>
      <w:r>
        <w:rPr>
          <w:rFonts w:hint="eastAsia" w:ascii="仿宋" w:hAnsi="仿宋" w:eastAsia="仿宋" w:cs="宋体"/>
          <w:sz w:val="24"/>
          <w:szCs w:val="24"/>
        </w:rPr>
        <w:t>》的委托，对</w:t>
      </w:r>
      <w:r>
        <w:rPr>
          <w:rFonts w:hint="eastAsia" w:ascii="仿宋" w:hAnsi="仿宋" w:eastAsia="仿宋" w:cs="宋体"/>
          <w:sz w:val="24"/>
          <w:szCs w:val="24"/>
          <w:lang w:eastAsia="zh-CN"/>
        </w:rPr>
        <w:t>薛芳申请执行彭金钊民间借贷</w:t>
      </w:r>
      <w:r>
        <w:rPr>
          <w:rFonts w:hint="eastAsia" w:ascii="仿宋" w:hAnsi="仿宋" w:eastAsia="仿宋" w:cs="宋体"/>
          <w:sz w:val="24"/>
          <w:szCs w:val="24"/>
        </w:rPr>
        <w:t>纠纷一案，因案件审理需要涉及</w:t>
      </w:r>
      <w:r>
        <w:rPr>
          <w:rFonts w:hint="eastAsia" w:ascii="仿宋" w:hAnsi="仿宋" w:eastAsia="仿宋" w:cs="宋体"/>
          <w:sz w:val="24"/>
          <w:szCs w:val="24"/>
          <w:lang w:eastAsia="zh-CN"/>
        </w:rPr>
        <w:t>彭金钊</w:t>
      </w:r>
      <w:r>
        <w:rPr>
          <w:rFonts w:hint="eastAsia" w:ascii="仿宋" w:hAnsi="仿宋" w:eastAsia="仿宋" w:cs="宋体"/>
          <w:sz w:val="24"/>
          <w:szCs w:val="24"/>
        </w:rPr>
        <w:t>位于</w:t>
      </w:r>
      <w:r>
        <w:rPr>
          <w:rFonts w:hint="eastAsia" w:ascii="仿宋" w:hAnsi="仿宋" w:eastAsia="仿宋" w:cs="宋体"/>
          <w:sz w:val="24"/>
          <w:szCs w:val="24"/>
          <w:lang w:eastAsia="zh-CN"/>
        </w:rPr>
        <w:t>七星关区清水铺镇东山村东山组</w:t>
      </w:r>
      <w:r>
        <w:rPr>
          <w:rFonts w:hint="eastAsia" w:ascii="仿宋" w:hAnsi="仿宋" w:eastAsia="仿宋" w:cs="宋体"/>
          <w:sz w:val="24"/>
          <w:szCs w:val="24"/>
          <w:lang w:val="en-US" w:eastAsia="zh-CN"/>
        </w:rPr>
        <w:t>21号</w:t>
      </w:r>
      <w:r>
        <w:rPr>
          <w:rFonts w:hint="eastAsia" w:ascii="仿宋" w:hAnsi="仿宋" w:eastAsia="仿宋" w:cs="宋体"/>
          <w:sz w:val="24"/>
          <w:szCs w:val="24"/>
        </w:rPr>
        <w:t>农村房地产进行估价。房屋建筑物面积</w:t>
      </w:r>
      <w:r>
        <w:rPr>
          <w:rFonts w:hint="eastAsia" w:ascii="仿宋" w:hAnsi="仿宋" w:eastAsia="仿宋" w:cs="宋体"/>
          <w:sz w:val="24"/>
          <w:szCs w:val="24"/>
          <w:lang w:val="en-US" w:eastAsia="zh-CN"/>
        </w:rPr>
        <w:t>122.22</w:t>
      </w:r>
      <w:r>
        <w:rPr>
          <w:rFonts w:hint="eastAsia" w:ascii="仿宋" w:hAnsi="仿宋" w:eastAsia="仿宋" w:cs="宋体"/>
          <w:sz w:val="24"/>
          <w:szCs w:val="24"/>
        </w:rPr>
        <w:t>㎡，房屋结构为混合，于</w:t>
      </w:r>
      <w:r>
        <w:rPr>
          <w:rFonts w:hint="eastAsia" w:ascii="仿宋" w:hAnsi="仿宋" w:eastAsia="仿宋" w:cs="宋体"/>
          <w:sz w:val="24"/>
          <w:szCs w:val="24"/>
          <w:lang w:val="en-US" w:eastAsia="zh-CN"/>
        </w:rPr>
        <w:t>2013</w:t>
      </w:r>
      <w:r>
        <w:rPr>
          <w:rFonts w:hint="eastAsia" w:ascii="仿宋" w:hAnsi="仿宋" w:eastAsia="仿宋" w:cs="宋体"/>
          <w:sz w:val="24"/>
          <w:szCs w:val="24"/>
        </w:rPr>
        <w:t>年修建；宅基地面积为17</w:t>
      </w:r>
      <w:r>
        <w:rPr>
          <w:rFonts w:hint="eastAsia" w:ascii="仿宋" w:hAnsi="仿宋" w:eastAsia="仿宋" w:cs="宋体"/>
          <w:sz w:val="24"/>
          <w:szCs w:val="24"/>
          <w:lang w:val="en-US" w:eastAsia="zh-CN"/>
        </w:rPr>
        <w:t>7.32</w:t>
      </w:r>
      <w:r>
        <w:rPr>
          <w:rFonts w:hint="eastAsia" w:ascii="仿宋" w:hAnsi="仿宋" w:eastAsia="仿宋" w:cs="宋体"/>
          <w:sz w:val="24"/>
          <w:szCs w:val="24"/>
        </w:rPr>
        <w:t>㎡。</w:t>
      </w:r>
      <w:r>
        <w:rPr>
          <w:rFonts w:hint="eastAsia" w:ascii="仿宋" w:hAnsi="仿宋" w:eastAsia="仿宋"/>
          <w:snapToGrid w:val="0"/>
          <w:kern w:val="0"/>
          <w:sz w:val="24"/>
          <w:szCs w:val="24"/>
        </w:rPr>
        <w:t>列入本次估价范围的是</w:t>
      </w:r>
      <w:r>
        <w:rPr>
          <w:rFonts w:hint="eastAsia" w:ascii="仿宋" w:hAnsi="仿宋" w:eastAsia="仿宋" w:cs="宋体"/>
          <w:sz w:val="24"/>
          <w:szCs w:val="24"/>
        </w:rPr>
        <w:t>范围的是房屋</w:t>
      </w:r>
      <w:r>
        <w:rPr>
          <w:rFonts w:hint="eastAsia" w:ascii="仿宋" w:hAnsi="仿宋" w:eastAsia="仿宋" w:cs="宋体"/>
          <w:sz w:val="24"/>
          <w:szCs w:val="24"/>
          <w:lang w:eastAsia="zh-CN"/>
        </w:rPr>
        <w:t>、</w:t>
      </w:r>
      <w:r>
        <w:rPr>
          <w:rFonts w:hint="eastAsia" w:ascii="仿宋" w:hAnsi="仿宋" w:eastAsia="仿宋" w:cs="宋体"/>
          <w:sz w:val="24"/>
          <w:szCs w:val="24"/>
        </w:rPr>
        <w:t>宅基地、以及</w:t>
      </w:r>
      <w:r>
        <w:rPr>
          <w:rFonts w:hint="eastAsia" w:ascii="仿宋" w:hAnsi="仿宋" w:eastAsia="仿宋" w:cs="宋体"/>
          <w:sz w:val="24"/>
          <w:szCs w:val="24"/>
          <w:lang w:eastAsia="zh-CN"/>
        </w:rPr>
        <w:t>按二手房交易时通常包含</w:t>
      </w:r>
      <w:r>
        <w:rPr>
          <w:rFonts w:hint="eastAsia" w:ascii="仿宋" w:hAnsi="仿宋" w:eastAsia="仿宋" w:cs="宋体"/>
          <w:sz w:val="24"/>
          <w:szCs w:val="24"/>
        </w:rPr>
        <w:t>的装饰装修价值，不包括动产、树木等，以及债权债务、特许经营权等其他财产或权益。估价对象用地</w:t>
      </w:r>
      <w:r>
        <w:rPr>
          <w:rFonts w:hint="eastAsia" w:ascii="仿宋" w:hAnsi="仿宋" w:eastAsia="仿宋"/>
          <w:snapToGrid w:val="0"/>
          <w:kern w:val="0"/>
          <w:sz w:val="24"/>
          <w:szCs w:val="24"/>
        </w:rPr>
        <w:t>东至</w:t>
      </w:r>
      <w:r>
        <w:rPr>
          <w:rFonts w:hint="eastAsia" w:ascii="仿宋" w:hAnsi="仿宋" w:eastAsia="仿宋"/>
          <w:snapToGrid w:val="0"/>
          <w:kern w:val="0"/>
          <w:sz w:val="24"/>
          <w:szCs w:val="24"/>
          <w:lang w:eastAsia="zh-CN"/>
        </w:rPr>
        <w:t>农用地</w:t>
      </w:r>
      <w:r>
        <w:rPr>
          <w:rFonts w:hint="eastAsia" w:ascii="仿宋" w:hAnsi="仿宋" w:eastAsia="仿宋" w:cs="宋体"/>
          <w:sz w:val="24"/>
          <w:szCs w:val="24"/>
        </w:rPr>
        <w:t>、南至乡村道路、西至</w:t>
      </w:r>
      <w:r>
        <w:rPr>
          <w:rFonts w:hint="eastAsia" w:ascii="仿宋" w:hAnsi="仿宋" w:eastAsia="仿宋" w:cs="宋体"/>
          <w:sz w:val="24"/>
          <w:szCs w:val="24"/>
          <w:lang w:eastAsia="zh-CN"/>
        </w:rPr>
        <w:t>农用地</w:t>
      </w:r>
      <w:r>
        <w:rPr>
          <w:rFonts w:hint="eastAsia" w:ascii="仿宋" w:hAnsi="仿宋" w:eastAsia="仿宋" w:cs="宋体"/>
          <w:sz w:val="24"/>
          <w:szCs w:val="24"/>
        </w:rPr>
        <w:t>、北至</w:t>
      </w:r>
      <w:r>
        <w:rPr>
          <w:rFonts w:hint="eastAsia" w:ascii="仿宋" w:hAnsi="仿宋" w:eastAsia="仿宋" w:cs="宋体"/>
          <w:sz w:val="24"/>
          <w:szCs w:val="24"/>
          <w:lang w:eastAsia="zh-CN"/>
        </w:rPr>
        <w:t>农用地</w:t>
      </w:r>
      <w:r>
        <w:rPr>
          <w:rFonts w:hint="eastAsia" w:ascii="仿宋" w:hAnsi="仿宋" w:eastAsia="仿宋" w:cs="宋体"/>
          <w:sz w:val="24"/>
          <w:szCs w:val="24"/>
        </w:rPr>
        <w:t>。</w:t>
      </w:r>
    </w:p>
    <w:p>
      <w:pPr>
        <w:spacing w:line="460" w:lineRule="exact"/>
        <w:rPr>
          <w:rFonts w:ascii="仿宋" w:hAnsi="仿宋" w:eastAsia="仿宋" w:cs="宋体"/>
          <w:b/>
          <w:sz w:val="24"/>
          <w:szCs w:val="24"/>
        </w:rPr>
      </w:pPr>
      <w:r>
        <w:rPr>
          <w:rFonts w:hint="eastAsia" w:ascii="仿宋" w:hAnsi="仿宋" w:eastAsia="仿宋" w:cs="宋体"/>
          <w:b/>
          <w:sz w:val="24"/>
          <w:szCs w:val="24"/>
        </w:rPr>
        <w:t xml:space="preserve">   （二）估价对象权属权益状况</w:t>
      </w:r>
    </w:p>
    <w:p>
      <w:pPr>
        <w:spacing w:line="460" w:lineRule="exact"/>
        <w:ind w:right="560" w:firstLine="470" w:firstLineChars="196"/>
        <w:rPr>
          <w:rFonts w:ascii="仿宋" w:hAnsi="仿宋" w:eastAsia="仿宋" w:cs="宋体"/>
          <w:sz w:val="24"/>
          <w:szCs w:val="24"/>
        </w:rPr>
      </w:pPr>
      <w:r>
        <w:rPr>
          <w:rFonts w:hint="eastAsia" w:ascii="仿宋" w:hAnsi="仿宋" w:eastAsia="仿宋" w:cs="宋体"/>
          <w:sz w:val="24"/>
          <w:szCs w:val="24"/>
        </w:rPr>
        <w:t>1、估价对象产权状况</w:t>
      </w:r>
    </w:p>
    <w:p>
      <w:pPr>
        <w:spacing w:line="460" w:lineRule="exact"/>
        <w:ind w:firstLine="480" w:firstLineChars="200"/>
        <w:rPr>
          <w:rFonts w:ascii="仿宋" w:hAnsi="仿宋" w:eastAsia="仿宋" w:cs="宋体"/>
          <w:sz w:val="24"/>
          <w:szCs w:val="24"/>
        </w:rPr>
      </w:pPr>
      <w:r>
        <w:rPr>
          <w:rFonts w:hint="eastAsia" w:ascii="仿宋" w:hAnsi="仿宋" w:eastAsia="仿宋" w:cs="宋体"/>
          <w:sz w:val="24"/>
          <w:szCs w:val="24"/>
          <w:lang w:eastAsia="zh-CN"/>
        </w:rPr>
        <w:t>估价对象未办理产权证，</w:t>
      </w:r>
      <w:r>
        <w:rPr>
          <w:rFonts w:hint="eastAsia" w:ascii="仿宋" w:hAnsi="仿宋" w:eastAsia="仿宋" w:cs="宋体"/>
          <w:sz w:val="24"/>
          <w:szCs w:val="24"/>
        </w:rPr>
        <w:t>根据估价委托人提供</w:t>
      </w:r>
      <w:r>
        <w:rPr>
          <w:rFonts w:hint="eastAsia" w:ascii="仿宋" w:hAnsi="仿宋" w:eastAsia="仿宋" w:cs="宋体"/>
          <w:sz w:val="24"/>
          <w:szCs w:val="24"/>
          <w:lang w:eastAsia="zh-CN"/>
        </w:rPr>
        <w:t>东山村委会出具的</w:t>
      </w:r>
      <w:r>
        <w:rPr>
          <w:rFonts w:hint="eastAsia" w:ascii="仿宋" w:hAnsi="仿宋" w:eastAsia="仿宋" w:cs="宋体"/>
          <w:sz w:val="24"/>
          <w:szCs w:val="24"/>
        </w:rPr>
        <w:t>《</w:t>
      </w:r>
      <w:r>
        <w:rPr>
          <w:rFonts w:hint="eastAsia" w:ascii="仿宋" w:hAnsi="仿宋" w:eastAsia="仿宋" w:cs="宋体"/>
          <w:sz w:val="24"/>
          <w:szCs w:val="24"/>
          <w:lang w:eastAsia="zh-CN"/>
        </w:rPr>
        <w:t>证明</w:t>
      </w:r>
      <w:r>
        <w:rPr>
          <w:rFonts w:hint="eastAsia" w:ascii="仿宋" w:hAnsi="仿宋" w:eastAsia="仿宋" w:cs="宋体"/>
          <w:sz w:val="24"/>
          <w:szCs w:val="24"/>
        </w:rPr>
        <w:t>》</w:t>
      </w:r>
      <w:r>
        <w:rPr>
          <w:rFonts w:hint="eastAsia" w:ascii="仿宋" w:hAnsi="仿宋" w:eastAsia="仿宋" w:cs="宋体"/>
          <w:sz w:val="24"/>
          <w:szCs w:val="24"/>
          <w:lang w:eastAsia="zh-CN"/>
        </w:rPr>
        <w:t>及现场测量，</w:t>
      </w:r>
      <w:r>
        <w:rPr>
          <w:rFonts w:hint="eastAsia" w:ascii="仿宋" w:hAnsi="仿宋" w:eastAsia="仿宋" w:cs="宋体"/>
          <w:sz w:val="24"/>
          <w:szCs w:val="24"/>
        </w:rPr>
        <w:t>其权属、用途等基本情况详见下表：</w:t>
      </w:r>
    </w:p>
    <w:p>
      <w:pPr>
        <w:autoSpaceDE w:val="0"/>
        <w:autoSpaceDN w:val="0"/>
        <w:adjustRightInd w:val="0"/>
        <w:spacing w:line="460" w:lineRule="exact"/>
        <w:ind w:firstLine="420" w:firstLineChars="200"/>
        <w:textAlignment w:val="center"/>
        <w:rPr>
          <w:rFonts w:ascii="仿宋" w:hAnsi="仿宋" w:eastAsia="仿宋" w:cs="宋体"/>
          <w:sz w:val="24"/>
          <w:szCs w:val="24"/>
        </w:rPr>
      </w:pPr>
      <w:r>
        <w:rPr>
          <w:rFonts w:hint="eastAsia" w:ascii="仿宋" w:hAnsi="仿宋" w:eastAsia="仿宋" w:cs="宋体"/>
          <w:szCs w:val="21"/>
        </w:rPr>
        <w:t xml:space="preserve">表4-1           </w:t>
      </w:r>
      <w:r>
        <w:rPr>
          <w:rFonts w:hint="eastAsia" w:ascii="仿宋" w:hAnsi="仿宋" w:eastAsia="仿宋" w:cs="宋体"/>
          <w:szCs w:val="21"/>
          <w:lang w:val="en-US" w:eastAsia="zh-CN"/>
        </w:rPr>
        <w:t xml:space="preserve">                 </w:t>
      </w:r>
      <w:r>
        <w:rPr>
          <w:rFonts w:hint="eastAsia" w:ascii="仿宋" w:hAnsi="仿宋" w:eastAsia="仿宋" w:cs="宋体"/>
          <w:sz w:val="24"/>
          <w:szCs w:val="24"/>
        </w:rPr>
        <w:t>《证明》登记情况一览表</w:t>
      </w:r>
    </w:p>
    <w:tbl>
      <w:tblPr>
        <w:tblStyle w:val="43"/>
        <w:tblW w:w="89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1"/>
        <w:gridCol w:w="1785"/>
        <w:gridCol w:w="2250"/>
        <w:gridCol w:w="2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11" w:type="dxa"/>
            <w:vAlign w:val="center"/>
          </w:tcPr>
          <w:p>
            <w:pPr>
              <w:autoSpaceDE w:val="0"/>
              <w:autoSpaceDN w:val="0"/>
              <w:adjustRightInd w:val="0"/>
              <w:spacing w:line="240" w:lineRule="atLeast"/>
              <w:jc w:val="center"/>
              <w:textAlignment w:val="center"/>
              <w:rPr>
                <w:rFonts w:ascii="仿宋" w:hAnsi="仿宋" w:eastAsia="仿宋" w:cs="宋体"/>
                <w:sz w:val="18"/>
                <w:szCs w:val="18"/>
              </w:rPr>
            </w:pPr>
            <w:r>
              <w:rPr>
                <w:rFonts w:hint="eastAsia" w:ascii="仿宋" w:hAnsi="仿宋" w:eastAsia="仿宋" w:cs="宋体"/>
                <w:sz w:val="18"/>
                <w:szCs w:val="18"/>
              </w:rPr>
              <w:t>编号</w:t>
            </w:r>
          </w:p>
        </w:tc>
        <w:tc>
          <w:tcPr>
            <w:tcW w:w="1785" w:type="dxa"/>
            <w:vAlign w:val="center"/>
          </w:tcPr>
          <w:p>
            <w:pPr>
              <w:autoSpaceDE w:val="0"/>
              <w:autoSpaceDN w:val="0"/>
              <w:adjustRightInd w:val="0"/>
              <w:spacing w:line="240" w:lineRule="atLeast"/>
              <w:jc w:val="center"/>
              <w:textAlignment w:val="center"/>
              <w:rPr>
                <w:rFonts w:hint="eastAsia" w:ascii="仿宋" w:hAnsi="仿宋" w:eastAsia="仿宋" w:cs="宋体"/>
                <w:sz w:val="18"/>
                <w:szCs w:val="18"/>
                <w:lang w:val="en-US" w:eastAsia="zh-CN"/>
              </w:rPr>
            </w:pPr>
            <w:r>
              <w:rPr>
                <w:rFonts w:hint="eastAsia" w:ascii="仿宋" w:hAnsi="仿宋" w:eastAsia="仿宋" w:cs="宋体"/>
                <w:sz w:val="18"/>
                <w:szCs w:val="18"/>
                <w:lang w:val="en-US" w:eastAsia="zh-CN"/>
              </w:rPr>
              <w:t>/</w:t>
            </w:r>
          </w:p>
        </w:tc>
        <w:tc>
          <w:tcPr>
            <w:tcW w:w="2250" w:type="dxa"/>
            <w:vAlign w:val="center"/>
          </w:tcPr>
          <w:p>
            <w:pPr>
              <w:autoSpaceDE w:val="0"/>
              <w:autoSpaceDN w:val="0"/>
              <w:adjustRightInd w:val="0"/>
              <w:spacing w:line="240" w:lineRule="atLeast"/>
              <w:jc w:val="center"/>
              <w:textAlignment w:val="center"/>
              <w:rPr>
                <w:rFonts w:ascii="仿宋" w:hAnsi="仿宋" w:eastAsia="仿宋" w:cs="宋体"/>
                <w:sz w:val="18"/>
                <w:szCs w:val="18"/>
              </w:rPr>
            </w:pPr>
            <w:r>
              <w:rPr>
                <w:rFonts w:hint="eastAsia" w:ascii="仿宋" w:hAnsi="仿宋" w:eastAsia="仿宋" w:cs="宋体"/>
                <w:sz w:val="18"/>
                <w:szCs w:val="18"/>
              </w:rPr>
              <w:t>建设项目名称</w:t>
            </w:r>
          </w:p>
        </w:tc>
        <w:tc>
          <w:tcPr>
            <w:tcW w:w="2845" w:type="dxa"/>
            <w:vAlign w:val="center"/>
          </w:tcPr>
          <w:p>
            <w:pPr>
              <w:autoSpaceDE w:val="0"/>
              <w:autoSpaceDN w:val="0"/>
              <w:adjustRightInd w:val="0"/>
              <w:spacing w:line="240" w:lineRule="atLeast"/>
              <w:jc w:val="center"/>
              <w:textAlignment w:val="center"/>
              <w:rPr>
                <w:rFonts w:hint="eastAsia" w:ascii="仿宋" w:hAnsi="仿宋" w:eastAsia="仿宋" w:cs="宋体"/>
                <w:sz w:val="18"/>
                <w:szCs w:val="18"/>
                <w:lang w:eastAsia="zh-CN"/>
              </w:rPr>
            </w:pPr>
            <w:r>
              <w:rPr>
                <w:rFonts w:hint="eastAsia" w:ascii="仿宋" w:hAnsi="仿宋" w:eastAsia="仿宋" w:cs="宋体"/>
                <w:sz w:val="18"/>
                <w:szCs w:val="18"/>
                <w:lang w:eastAsia="zh-CN"/>
              </w:rPr>
              <w:t>自建房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11" w:type="dxa"/>
            <w:vAlign w:val="center"/>
          </w:tcPr>
          <w:p>
            <w:pPr>
              <w:autoSpaceDE w:val="0"/>
              <w:autoSpaceDN w:val="0"/>
              <w:adjustRightInd w:val="0"/>
              <w:spacing w:line="240" w:lineRule="atLeast"/>
              <w:jc w:val="center"/>
              <w:textAlignment w:val="center"/>
              <w:rPr>
                <w:rFonts w:ascii="仿宋" w:hAnsi="仿宋" w:eastAsia="仿宋" w:cs="宋体"/>
                <w:sz w:val="18"/>
                <w:szCs w:val="18"/>
                <w:lang w:val="zh-CN"/>
              </w:rPr>
            </w:pPr>
            <w:r>
              <w:rPr>
                <w:rFonts w:hint="eastAsia" w:ascii="仿宋" w:hAnsi="仿宋" w:eastAsia="仿宋" w:cs="宋体"/>
                <w:sz w:val="18"/>
                <w:szCs w:val="18"/>
                <w:lang w:val="zh-CN"/>
              </w:rPr>
              <w:t>建设单位（个人）名称</w:t>
            </w:r>
          </w:p>
        </w:tc>
        <w:tc>
          <w:tcPr>
            <w:tcW w:w="1785" w:type="dxa"/>
            <w:vAlign w:val="center"/>
          </w:tcPr>
          <w:p>
            <w:pPr>
              <w:autoSpaceDE w:val="0"/>
              <w:autoSpaceDN w:val="0"/>
              <w:adjustRightInd w:val="0"/>
              <w:spacing w:line="240" w:lineRule="atLeast"/>
              <w:jc w:val="center"/>
              <w:textAlignment w:val="center"/>
              <w:rPr>
                <w:rFonts w:hint="eastAsia" w:ascii="仿宋" w:hAnsi="仿宋" w:eastAsia="仿宋" w:cs="宋体"/>
                <w:sz w:val="18"/>
                <w:szCs w:val="18"/>
                <w:lang w:eastAsia="zh-CN"/>
              </w:rPr>
            </w:pPr>
            <w:r>
              <w:rPr>
                <w:rFonts w:hint="eastAsia" w:ascii="仿宋" w:hAnsi="仿宋" w:eastAsia="仿宋" w:cs="宋体"/>
                <w:sz w:val="18"/>
                <w:szCs w:val="18"/>
                <w:lang w:eastAsia="zh-CN"/>
              </w:rPr>
              <w:t>彭金钊</w:t>
            </w:r>
          </w:p>
        </w:tc>
        <w:tc>
          <w:tcPr>
            <w:tcW w:w="2250" w:type="dxa"/>
            <w:vAlign w:val="center"/>
          </w:tcPr>
          <w:p>
            <w:pPr>
              <w:autoSpaceDE w:val="0"/>
              <w:autoSpaceDN w:val="0"/>
              <w:adjustRightInd w:val="0"/>
              <w:spacing w:line="240" w:lineRule="atLeast"/>
              <w:jc w:val="center"/>
              <w:textAlignment w:val="center"/>
              <w:rPr>
                <w:rFonts w:ascii="仿宋" w:hAnsi="仿宋" w:eastAsia="仿宋" w:cs="宋体"/>
                <w:sz w:val="18"/>
                <w:szCs w:val="18"/>
              </w:rPr>
            </w:pPr>
            <w:r>
              <w:rPr>
                <w:rFonts w:hint="eastAsia" w:ascii="仿宋" w:hAnsi="仿宋" w:eastAsia="仿宋" w:cs="宋体"/>
                <w:sz w:val="18"/>
                <w:szCs w:val="18"/>
                <w:lang w:val="zh-CN"/>
              </w:rPr>
              <w:t>建设位置</w:t>
            </w:r>
          </w:p>
        </w:tc>
        <w:tc>
          <w:tcPr>
            <w:tcW w:w="2845" w:type="dxa"/>
            <w:vAlign w:val="center"/>
          </w:tcPr>
          <w:p>
            <w:pPr>
              <w:autoSpaceDE w:val="0"/>
              <w:autoSpaceDN w:val="0"/>
              <w:adjustRightInd w:val="0"/>
              <w:spacing w:line="240" w:lineRule="atLeast"/>
              <w:jc w:val="center"/>
              <w:textAlignment w:val="center"/>
              <w:rPr>
                <w:rFonts w:hint="eastAsia" w:ascii="仿宋" w:hAnsi="仿宋" w:eastAsia="仿宋" w:cs="宋体"/>
                <w:sz w:val="18"/>
                <w:szCs w:val="18"/>
                <w:lang w:eastAsia="zh-CN"/>
              </w:rPr>
            </w:pPr>
            <w:r>
              <w:rPr>
                <w:rFonts w:hint="eastAsia" w:ascii="仿宋" w:hAnsi="仿宋" w:eastAsia="仿宋" w:cs="宋体"/>
                <w:sz w:val="18"/>
                <w:szCs w:val="18"/>
                <w:lang w:eastAsia="zh-CN"/>
              </w:rPr>
              <w:t>清水铺镇东山村东山组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896" w:type="dxa"/>
            <w:gridSpan w:val="2"/>
            <w:vAlign w:val="center"/>
          </w:tcPr>
          <w:p>
            <w:pPr>
              <w:autoSpaceDE w:val="0"/>
              <w:autoSpaceDN w:val="0"/>
              <w:adjustRightInd w:val="0"/>
              <w:spacing w:line="240" w:lineRule="atLeast"/>
              <w:jc w:val="center"/>
              <w:textAlignment w:val="center"/>
              <w:rPr>
                <w:rFonts w:ascii="仿宋" w:hAnsi="仿宋" w:eastAsia="仿宋" w:cs="宋体"/>
                <w:sz w:val="18"/>
                <w:szCs w:val="18"/>
              </w:rPr>
            </w:pPr>
            <w:r>
              <w:rPr>
                <w:rFonts w:hint="eastAsia" w:ascii="仿宋" w:hAnsi="仿宋" w:eastAsia="仿宋" w:cs="宋体"/>
                <w:sz w:val="18"/>
                <w:szCs w:val="18"/>
              </w:rPr>
              <w:t>建设规模</w:t>
            </w:r>
          </w:p>
        </w:tc>
        <w:tc>
          <w:tcPr>
            <w:tcW w:w="5095" w:type="dxa"/>
            <w:gridSpan w:val="2"/>
            <w:vAlign w:val="center"/>
          </w:tcPr>
          <w:p>
            <w:pPr>
              <w:autoSpaceDE w:val="0"/>
              <w:autoSpaceDN w:val="0"/>
              <w:adjustRightInd w:val="0"/>
              <w:spacing w:line="240" w:lineRule="atLeast"/>
              <w:jc w:val="center"/>
              <w:textAlignment w:val="center"/>
              <w:rPr>
                <w:rFonts w:ascii="仿宋" w:hAnsi="仿宋" w:eastAsia="仿宋" w:cs="宋体"/>
                <w:sz w:val="18"/>
                <w:szCs w:val="18"/>
              </w:rPr>
            </w:pPr>
            <w:r>
              <w:rPr>
                <w:rFonts w:hint="eastAsia" w:ascii="仿宋" w:hAnsi="仿宋" w:eastAsia="仿宋" w:cs="宋体"/>
                <w:sz w:val="18"/>
                <w:szCs w:val="18"/>
                <w:lang w:val="en-US" w:eastAsia="zh-CN"/>
              </w:rPr>
              <w:t>122.22</w:t>
            </w:r>
            <w:r>
              <w:rPr>
                <w:rFonts w:hint="eastAsia" w:ascii="仿宋" w:hAnsi="仿宋" w:eastAsia="仿宋"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111" w:type="dxa"/>
            <w:vAlign w:val="center"/>
          </w:tcPr>
          <w:p>
            <w:pPr>
              <w:autoSpaceDE w:val="0"/>
              <w:autoSpaceDN w:val="0"/>
              <w:adjustRightInd w:val="0"/>
              <w:spacing w:line="240" w:lineRule="atLeast"/>
              <w:jc w:val="center"/>
              <w:textAlignment w:val="center"/>
              <w:rPr>
                <w:rFonts w:ascii="仿宋" w:hAnsi="仿宋" w:eastAsia="仿宋" w:cs="宋体"/>
                <w:sz w:val="18"/>
                <w:szCs w:val="18"/>
                <w:lang w:val="zh-CN"/>
              </w:rPr>
            </w:pPr>
            <w:r>
              <w:rPr>
                <w:rFonts w:hint="eastAsia" w:ascii="仿宋" w:hAnsi="仿宋" w:eastAsia="仿宋" w:cs="宋体"/>
                <w:sz w:val="18"/>
                <w:szCs w:val="18"/>
                <w:lang w:val="zh-CN"/>
              </w:rPr>
              <w:t>用地面积（㎡）</w:t>
            </w:r>
          </w:p>
        </w:tc>
        <w:tc>
          <w:tcPr>
            <w:tcW w:w="1785" w:type="dxa"/>
            <w:vAlign w:val="center"/>
          </w:tcPr>
          <w:p>
            <w:pPr>
              <w:autoSpaceDE w:val="0"/>
              <w:autoSpaceDN w:val="0"/>
              <w:adjustRightInd w:val="0"/>
              <w:spacing w:line="240" w:lineRule="atLeast"/>
              <w:jc w:val="center"/>
              <w:textAlignment w:val="center"/>
              <w:rPr>
                <w:rFonts w:ascii="仿宋" w:hAnsi="仿宋" w:eastAsia="仿宋" w:cs="宋体"/>
                <w:sz w:val="18"/>
                <w:szCs w:val="18"/>
              </w:rPr>
            </w:pPr>
            <w:r>
              <w:rPr>
                <w:rFonts w:hint="eastAsia" w:ascii="仿宋" w:hAnsi="仿宋" w:eastAsia="仿宋" w:cs="宋体"/>
                <w:sz w:val="18"/>
                <w:szCs w:val="18"/>
              </w:rPr>
              <w:t>17</w:t>
            </w:r>
            <w:r>
              <w:rPr>
                <w:rFonts w:hint="eastAsia" w:ascii="仿宋" w:hAnsi="仿宋" w:eastAsia="仿宋" w:cs="宋体"/>
                <w:sz w:val="18"/>
                <w:szCs w:val="18"/>
                <w:lang w:val="en-US" w:eastAsia="zh-CN"/>
              </w:rPr>
              <w:t>7.32</w:t>
            </w:r>
          </w:p>
        </w:tc>
        <w:tc>
          <w:tcPr>
            <w:tcW w:w="2250" w:type="dxa"/>
            <w:vAlign w:val="center"/>
          </w:tcPr>
          <w:p>
            <w:pPr>
              <w:autoSpaceDE w:val="0"/>
              <w:autoSpaceDN w:val="0"/>
              <w:adjustRightInd w:val="0"/>
              <w:spacing w:line="240" w:lineRule="atLeast"/>
              <w:jc w:val="center"/>
              <w:textAlignment w:val="center"/>
              <w:rPr>
                <w:rFonts w:ascii="仿宋" w:hAnsi="仿宋" w:eastAsia="仿宋" w:cs="宋体"/>
                <w:sz w:val="18"/>
                <w:szCs w:val="18"/>
                <w:lang w:val="zh-CN"/>
              </w:rPr>
            </w:pPr>
            <w:r>
              <w:rPr>
                <w:rFonts w:hint="eastAsia" w:ascii="仿宋" w:hAnsi="仿宋" w:eastAsia="仿宋" w:cs="宋体"/>
                <w:sz w:val="18"/>
                <w:szCs w:val="18"/>
                <w:lang w:val="zh-CN"/>
              </w:rPr>
              <w:t>项目选定的地点和位置</w:t>
            </w:r>
          </w:p>
        </w:tc>
        <w:tc>
          <w:tcPr>
            <w:tcW w:w="2845" w:type="dxa"/>
            <w:vAlign w:val="center"/>
          </w:tcPr>
          <w:p>
            <w:pPr>
              <w:autoSpaceDE w:val="0"/>
              <w:autoSpaceDN w:val="0"/>
              <w:adjustRightInd w:val="0"/>
              <w:spacing w:line="240" w:lineRule="atLeast"/>
              <w:jc w:val="center"/>
              <w:textAlignment w:val="center"/>
              <w:rPr>
                <w:rFonts w:hint="eastAsia" w:ascii="仿宋" w:hAnsi="仿宋" w:eastAsia="仿宋" w:cs="宋体"/>
                <w:sz w:val="18"/>
                <w:szCs w:val="18"/>
                <w:lang w:eastAsia="zh-CN"/>
              </w:rPr>
            </w:pPr>
            <w:r>
              <w:rPr>
                <w:rFonts w:hint="eastAsia" w:ascii="仿宋" w:hAnsi="仿宋" w:eastAsia="仿宋" w:cs="宋体"/>
                <w:sz w:val="18"/>
                <w:szCs w:val="18"/>
                <w:lang w:eastAsia="zh-CN"/>
              </w:rPr>
              <w:t>马家田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991" w:type="dxa"/>
            <w:gridSpan w:val="4"/>
            <w:vAlign w:val="center"/>
          </w:tcPr>
          <w:p>
            <w:pPr>
              <w:autoSpaceDE w:val="0"/>
              <w:autoSpaceDN w:val="0"/>
              <w:adjustRightInd w:val="0"/>
              <w:spacing w:line="240" w:lineRule="atLeast"/>
              <w:jc w:val="center"/>
              <w:textAlignment w:val="center"/>
              <w:rPr>
                <w:rFonts w:hint="eastAsia" w:ascii="仿宋" w:hAnsi="仿宋" w:eastAsia="仿宋" w:cs="宋体"/>
                <w:sz w:val="18"/>
                <w:szCs w:val="18"/>
                <w:lang w:eastAsia="zh-CN"/>
              </w:rPr>
            </w:pPr>
            <w:r>
              <w:rPr>
                <w:rFonts w:hint="eastAsia" w:ascii="仿宋" w:hAnsi="仿宋" w:eastAsia="仿宋" w:cs="宋体"/>
                <w:sz w:val="18"/>
                <w:szCs w:val="18"/>
              </w:rPr>
              <w:t>兹有</w:t>
            </w:r>
            <w:r>
              <w:rPr>
                <w:rFonts w:hint="eastAsia" w:ascii="仿宋" w:hAnsi="仿宋" w:eastAsia="仿宋" w:cs="宋体"/>
                <w:sz w:val="18"/>
                <w:szCs w:val="18"/>
                <w:lang w:eastAsia="zh-CN"/>
              </w:rPr>
              <w:t>东山村东山组彭金钊，</w:t>
            </w:r>
            <w:r>
              <w:rPr>
                <w:rFonts w:hint="eastAsia" w:ascii="仿宋" w:hAnsi="仿宋" w:eastAsia="仿宋" w:cs="宋体"/>
                <w:sz w:val="18"/>
                <w:szCs w:val="18"/>
              </w:rPr>
              <w:t>有一栋住房</w:t>
            </w:r>
            <w:r>
              <w:rPr>
                <w:rFonts w:hint="eastAsia" w:ascii="仿宋" w:hAnsi="仿宋" w:eastAsia="仿宋" w:cs="宋体"/>
                <w:sz w:val="18"/>
                <w:szCs w:val="18"/>
                <w:lang w:val="en-US" w:eastAsia="zh-CN"/>
              </w:rPr>
              <w:t>100</w:t>
            </w:r>
            <w:r>
              <w:rPr>
                <w:rFonts w:hint="eastAsia" w:ascii="仿宋" w:hAnsi="仿宋" w:eastAsia="仿宋" w:cs="宋体"/>
                <w:sz w:val="18"/>
                <w:szCs w:val="18"/>
              </w:rPr>
              <w:t>平米</w:t>
            </w:r>
            <w:r>
              <w:rPr>
                <w:rFonts w:hint="eastAsia" w:ascii="仿宋" w:hAnsi="仿宋" w:eastAsia="仿宋" w:cs="宋体"/>
                <w:sz w:val="18"/>
                <w:szCs w:val="18"/>
                <w:lang w:eastAsia="zh-CN"/>
              </w:rPr>
              <w:t>左右，</w:t>
            </w:r>
            <w:r>
              <w:rPr>
                <w:rFonts w:hint="eastAsia" w:ascii="仿宋" w:hAnsi="仿宋" w:eastAsia="仿宋" w:cs="宋体"/>
                <w:sz w:val="18"/>
                <w:szCs w:val="18"/>
              </w:rPr>
              <w:t>砖混，该组村民</w:t>
            </w:r>
            <w:r>
              <w:rPr>
                <w:rFonts w:hint="eastAsia" w:ascii="仿宋" w:hAnsi="仿宋" w:eastAsia="仿宋" w:cs="宋体"/>
                <w:sz w:val="18"/>
                <w:szCs w:val="18"/>
                <w:lang w:eastAsia="zh-CN"/>
              </w:rPr>
              <w:t>彭金钊</w:t>
            </w:r>
            <w:r>
              <w:rPr>
                <w:rFonts w:hint="eastAsia" w:ascii="仿宋" w:hAnsi="仿宋" w:eastAsia="仿宋" w:cs="宋体"/>
                <w:sz w:val="18"/>
                <w:szCs w:val="18"/>
              </w:rPr>
              <w:t>所有，身份证编码：522</w:t>
            </w:r>
            <w:r>
              <w:rPr>
                <w:rFonts w:hint="eastAsia" w:ascii="仿宋" w:hAnsi="仿宋" w:eastAsia="仿宋" w:cs="宋体"/>
                <w:sz w:val="18"/>
                <w:szCs w:val="18"/>
                <w:lang w:val="en-US" w:eastAsia="zh-CN"/>
              </w:rPr>
              <w:t>401197902066417</w:t>
            </w:r>
            <w:r>
              <w:rPr>
                <w:rFonts w:hint="eastAsia" w:ascii="仿宋" w:hAnsi="仿宋" w:eastAsia="仿宋" w:cs="宋体"/>
                <w:sz w:val="18"/>
                <w:szCs w:val="18"/>
              </w:rPr>
              <w:t>）</w:t>
            </w:r>
            <w:r>
              <w:rPr>
                <w:rFonts w:hint="eastAsia" w:ascii="仿宋" w:hAnsi="仿宋" w:eastAsia="仿宋" w:cs="宋体"/>
                <w:sz w:val="18"/>
                <w:szCs w:val="18"/>
                <w:lang w:eastAsia="zh-CN"/>
              </w:rPr>
              <w:t>特此证明</w:t>
            </w:r>
            <w:r>
              <w:rPr>
                <w:rFonts w:hint="eastAsia" w:ascii="仿宋" w:hAnsi="仿宋" w:eastAsia="仿宋" w:cs="宋体"/>
                <w:sz w:val="18"/>
                <w:szCs w:val="18"/>
              </w:rPr>
              <w:t>。</w:t>
            </w:r>
          </w:p>
        </w:tc>
      </w:tr>
    </w:tbl>
    <w:p>
      <w:pPr>
        <w:autoSpaceDE w:val="0"/>
        <w:autoSpaceDN w:val="0"/>
        <w:adjustRightInd w:val="0"/>
        <w:spacing w:line="460" w:lineRule="exact"/>
        <w:ind w:firstLine="480" w:firstLineChars="200"/>
        <w:textAlignment w:val="center"/>
        <w:rPr>
          <w:rFonts w:ascii="仿宋" w:hAnsi="仿宋" w:eastAsia="仿宋" w:cs="宋体"/>
          <w:sz w:val="24"/>
          <w:szCs w:val="24"/>
        </w:rPr>
      </w:pPr>
      <w:r>
        <w:rPr>
          <w:rFonts w:hint="eastAsia" w:ascii="仿宋" w:hAnsi="仿宋" w:eastAsia="仿宋" w:cs="宋体"/>
          <w:sz w:val="24"/>
          <w:szCs w:val="24"/>
        </w:rPr>
        <w:t>2、估价对象权益状况</w:t>
      </w:r>
    </w:p>
    <w:p>
      <w:pPr>
        <w:spacing w:line="480" w:lineRule="exact"/>
        <w:ind w:firstLine="480" w:firstLineChars="200"/>
        <w:jc w:val="left"/>
        <w:rPr>
          <w:rFonts w:hint="eastAsia" w:ascii="仿宋" w:hAnsi="仿宋" w:eastAsia="仿宋" w:cs="宋体"/>
          <w:color w:val="auto"/>
          <w:sz w:val="24"/>
          <w:szCs w:val="24"/>
        </w:rPr>
      </w:pPr>
      <w:r>
        <w:rPr>
          <w:rFonts w:hint="eastAsia" w:ascii="仿宋" w:hAnsi="仿宋" w:eastAsia="仿宋" w:cs="宋体"/>
          <w:color w:val="auto"/>
          <w:sz w:val="24"/>
          <w:szCs w:val="24"/>
          <w:lang w:eastAsia="zh-CN"/>
        </w:rPr>
        <w:t>估价对象未办理产权证，按照</w:t>
      </w:r>
      <w:r>
        <w:rPr>
          <w:rFonts w:hint="eastAsia" w:ascii="仿宋" w:hAnsi="仿宋" w:eastAsia="仿宋" w:cs="宋体"/>
          <w:color w:val="auto"/>
          <w:sz w:val="24"/>
          <w:szCs w:val="24"/>
        </w:rPr>
        <w:t>估价委托人提供</w:t>
      </w:r>
      <w:r>
        <w:rPr>
          <w:rFonts w:hint="eastAsia" w:ascii="仿宋" w:hAnsi="仿宋" w:eastAsia="仿宋" w:cs="宋体"/>
          <w:color w:val="auto"/>
          <w:sz w:val="24"/>
          <w:szCs w:val="24"/>
          <w:lang w:eastAsia="zh-CN"/>
        </w:rPr>
        <w:t>东山村委会出具的</w:t>
      </w:r>
      <w:r>
        <w:rPr>
          <w:rFonts w:hint="eastAsia" w:ascii="仿宋" w:hAnsi="仿宋" w:eastAsia="仿宋" w:cs="宋体"/>
          <w:color w:val="auto"/>
          <w:sz w:val="24"/>
          <w:szCs w:val="24"/>
        </w:rPr>
        <w:t>《</w:t>
      </w:r>
      <w:r>
        <w:rPr>
          <w:rFonts w:hint="eastAsia" w:ascii="仿宋" w:hAnsi="仿宋" w:eastAsia="仿宋" w:cs="宋体"/>
          <w:color w:val="auto"/>
          <w:sz w:val="24"/>
          <w:szCs w:val="24"/>
          <w:lang w:eastAsia="zh-CN"/>
        </w:rPr>
        <w:t>证明</w:t>
      </w:r>
      <w:r>
        <w:rPr>
          <w:rFonts w:hint="eastAsia" w:ascii="仿宋" w:hAnsi="仿宋" w:eastAsia="仿宋" w:cs="宋体"/>
          <w:color w:val="auto"/>
          <w:sz w:val="24"/>
          <w:szCs w:val="24"/>
        </w:rPr>
        <w:t>》</w:t>
      </w:r>
      <w:r>
        <w:rPr>
          <w:rFonts w:hint="eastAsia" w:ascii="仿宋" w:hAnsi="仿宋" w:eastAsia="仿宋" w:cs="宋体"/>
          <w:color w:val="auto"/>
          <w:sz w:val="24"/>
          <w:szCs w:val="24"/>
          <w:lang w:eastAsia="zh-CN"/>
        </w:rPr>
        <w:t>，</w:t>
      </w:r>
      <w:r>
        <w:rPr>
          <w:rFonts w:hint="eastAsia" w:ascii="仿宋" w:hAnsi="仿宋" w:eastAsia="仿宋" w:cs="宋体"/>
          <w:color w:val="auto"/>
          <w:sz w:val="24"/>
          <w:szCs w:val="24"/>
        </w:rPr>
        <w:t>估价对象房屋所有权人为</w:t>
      </w:r>
      <w:r>
        <w:rPr>
          <w:rFonts w:hint="eastAsia" w:ascii="仿宋" w:hAnsi="仿宋" w:eastAsia="仿宋" w:cs="宋体"/>
          <w:color w:val="auto"/>
          <w:sz w:val="24"/>
          <w:szCs w:val="24"/>
          <w:lang w:eastAsia="zh-CN"/>
        </w:rPr>
        <w:t>彭金钊</w:t>
      </w:r>
      <w:r>
        <w:rPr>
          <w:rFonts w:hint="eastAsia" w:ascii="仿宋" w:hAnsi="仿宋" w:eastAsia="仿宋" w:cs="宋体"/>
          <w:color w:val="auto"/>
          <w:sz w:val="24"/>
          <w:szCs w:val="24"/>
        </w:rPr>
        <w:t>，共有情况</w:t>
      </w:r>
      <w:r>
        <w:rPr>
          <w:rFonts w:hint="eastAsia" w:ascii="仿宋" w:hAnsi="仿宋" w:eastAsia="仿宋" w:cs="宋体"/>
          <w:color w:val="auto"/>
          <w:sz w:val="24"/>
          <w:szCs w:val="24"/>
          <w:lang w:eastAsia="zh-CN"/>
        </w:rPr>
        <w:t>不详</w:t>
      </w:r>
      <w:r>
        <w:rPr>
          <w:rFonts w:hint="eastAsia" w:ascii="仿宋" w:hAnsi="仿宋" w:eastAsia="仿宋" w:cs="宋体"/>
          <w:color w:val="auto"/>
          <w:sz w:val="24"/>
          <w:szCs w:val="24"/>
        </w:rPr>
        <w:t>，估价对象用途为住宅，土地所有权</w:t>
      </w:r>
      <w:r>
        <w:rPr>
          <w:rFonts w:hint="eastAsia" w:ascii="仿宋" w:hAnsi="仿宋" w:eastAsia="仿宋" w:cs="宋体"/>
          <w:color w:val="auto"/>
          <w:sz w:val="24"/>
          <w:szCs w:val="24"/>
          <w:lang w:eastAsia="zh-CN"/>
        </w:rPr>
        <w:t>属于</w:t>
      </w:r>
      <w:r>
        <w:rPr>
          <w:rFonts w:hint="eastAsia" w:ascii="仿宋" w:hAnsi="仿宋" w:eastAsia="仿宋" w:cs="宋体"/>
          <w:color w:val="auto"/>
          <w:sz w:val="24"/>
          <w:szCs w:val="24"/>
        </w:rPr>
        <w:t>集体，</w:t>
      </w:r>
      <w:r>
        <w:rPr>
          <w:rFonts w:hint="eastAsia" w:ascii="仿宋" w:hAnsi="仿宋" w:eastAsia="仿宋" w:cs="宋体"/>
          <w:color w:val="auto"/>
          <w:sz w:val="24"/>
          <w:szCs w:val="24"/>
          <w:lang w:eastAsia="zh-CN"/>
        </w:rPr>
        <w:t>用途为宅基地</w:t>
      </w:r>
      <w:r>
        <w:rPr>
          <w:rFonts w:hint="eastAsia" w:ascii="仿宋" w:hAnsi="仿宋" w:eastAsia="仿宋" w:cs="宋体"/>
          <w:color w:val="auto"/>
          <w:sz w:val="24"/>
          <w:szCs w:val="24"/>
        </w:rPr>
        <w:t>。</w:t>
      </w:r>
    </w:p>
    <w:p>
      <w:pPr>
        <w:spacing w:line="480" w:lineRule="exact"/>
        <w:ind w:firstLine="480" w:firstLineChars="200"/>
        <w:jc w:val="left"/>
        <w:rPr>
          <w:rFonts w:hint="default" w:ascii="仿宋" w:hAnsi="仿宋" w:eastAsia="仿宋" w:cs="宋体"/>
          <w:color w:val="auto"/>
          <w:sz w:val="24"/>
          <w:szCs w:val="24"/>
          <w:lang w:val="en-US" w:eastAsia="zh-CN"/>
        </w:rPr>
      </w:pPr>
      <w:r>
        <w:rPr>
          <w:rFonts w:hint="eastAsia" w:ascii="仿宋" w:hAnsi="仿宋" w:eastAsia="仿宋" w:cs="宋体"/>
          <w:color w:val="auto"/>
          <w:sz w:val="24"/>
          <w:szCs w:val="24"/>
          <w:lang w:val="en-US" w:eastAsia="zh-CN"/>
        </w:rPr>
        <w:t>截止价值时点，估价对象存在抵押权，抵押权人清水铺镇信用社，抵押金额15万。</w:t>
      </w:r>
    </w:p>
    <w:p>
      <w:pPr>
        <w:spacing w:line="480" w:lineRule="exact"/>
        <w:ind w:firstLine="480" w:firstLineChars="200"/>
        <w:jc w:val="left"/>
        <w:rPr>
          <w:rFonts w:hint="eastAsia" w:ascii="仿宋" w:hAnsi="仿宋" w:eastAsia="仿宋" w:cs="宋体"/>
          <w:color w:val="auto"/>
          <w:sz w:val="24"/>
          <w:szCs w:val="24"/>
        </w:rPr>
      </w:pPr>
      <w:r>
        <w:rPr>
          <w:rFonts w:hint="eastAsia" w:ascii="仿宋" w:hAnsi="仿宋" w:eastAsia="仿宋" w:cs="宋体"/>
          <w:color w:val="auto"/>
          <w:sz w:val="24"/>
          <w:szCs w:val="24"/>
        </w:rPr>
        <w:t>总体说来，估价对象房屋所有权及土地使用权均为</w:t>
      </w:r>
      <w:r>
        <w:rPr>
          <w:rFonts w:hint="eastAsia" w:ascii="仿宋" w:hAnsi="仿宋" w:eastAsia="仿宋" w:cs="宋体"/>
          <w:color w:val="auto"/>
          <w:sz w:val="24"/>
          <w:szCs w:val="24"/>
          <w:lang w:eastAsia="zh-CN"/>
        </w:rPr>
        <w:t>彭金钊</w:t>
      </w:r>
      <w:r>
        <w:rPr>
          <w:rFonts w:hint="eastAsia" w:ascii="仿宋" w:hAnsi="仿宋" w:eastAsia="仿宋" w:cs="宋体"/>
          <w:color w:val="auto"/>
          <w:sz w:val="24"/>
          <w:szCs w:val="24"/>
        </w:rPr>
        <w:t>所有，权利主体一致，</w:t>
      </w:r>
      <w:r>
        <w:rPr>
          <w:rFonts w:hint="eastAsia" w:ascii="仿宋" w:hAnsi="仿宋" w:eastAsia="仿宋" w:cs="宋体"/>
          <w:color w:val="auto"/>
          <w:sz w:val="24"/>
          <w:szCs w:val="24"/>
          <w:lang w:eastAsia="zh-CN"/>
        </w:rPr>
        <w:t>除设定抵押权限制外，</w:t>
      </w:r>
      <w:r>
        <w:rPr>
          <w:rFonts w:hint="eastAsia" w:ascii="仿宋" w:hAnsi="仿宋" w:eastAsia="仿宋" w:cs="宋体"/>
          <w:color w:val="auto"/>
          <w:sz w:val="24"/>
          <w:szCs w:val="24"/>
        </w:rPr>
        <w:t>权属无争议。</w:t>
      </w:r>
    </w:p>
    <w:p>
      <w:pPr>
        <w:spacing w:line="460" w:lineRule="exact"/>
        <w:ind w:firstLine="472" w:firstLineChars="196"/>
        <w:rPr>
          <w:rFonts w:ascii="仿宋" w:hAnsi="仿宋" w:eastAsia="仿宋" w:cs="宋体"/>
          <w:b/>
          <w:kern w:val="0"/>
          <w:sz w:val="24"/>
          <w:szCs w:val="24"/>
        </w:rPr>
      </w:pPr>
      <w:r>
        <w:rPr>
          <w:rFonts w:hint="eastAsia" w:ascii="仿宋" w:hAnsi="仿宋" w:eastAsia="仿宋" w:cs="宋体"/>
          <w:b/>
          <w:kern w:val="0"/>
          <w:sz w:val="24"/>
          <w:szCs w:val="24"/>
        </w:rPr>
        <w:t xml:space="preserve"> (三)</w:t>
      </w:r>
      <w:r>
        <w:rPr>
          <w:rFonts w:hint="eastAsia" w:ascii="仿宋" w:hAnsi="仿宋" w:eastAsia="仿宋" w:cs="宋体"/>
          <w:b/>
          <w:sz w:val="24"/>
          <w:szCs w:val="24"/>
        </w:rPr>
        <w:t>估</w:t>
      </w:r>
      <w:r>
        <w:rPr>
          <w:rFonts w:hint="eastAsia" w:ascii="仿宋" w:hAnsi="仿宋" w:eastAsia="仿宋" w:cs="宋体"/>
          <w:b/>
          <w:kern w:val="0"/>
          <w:sz w:val="24"/>
          <w:szCs w:val="24"/>
        </w:rPr>
        <w:t>价对象实物状况</w:t>
      </w:r>
      <w:bookmarkStart w:id="98" w:name="_GoBack"/>
      <w:bookmarkEnd w:id="98"/>
    </w:p>
    <w:p>
      <w:pPr>
        <w:spacing w:line="460" w:lineRule="exact"/>
        <w:ind w:firstLine="480" w:firstLineChars="200"/>
        <w:rPr>
          <w:rFonts w:ascii="仿宋" w:hAnsi="仿宋" w:eastAsia="仿宋" w:cs="宋体"/>
          <w:sz w:val="24"/>
          <w:szCs w:val="24"/>
        </w:rPr>
      </w:pPr>
      <w:r>
        <w:rPr>
          <w:rFonts w:hint="eastAsia" w:ascii="仿宋" w:hAnsi="仿宋" w:eastAsia="仿宋" w:cs="宋体"/>
          <w:sz w:val="24"/>
          <w:szCs w:val="24"/>
        </w:rPr>
        <w:t>如据估价委托人提供的《证明》记载及估价人员实地查勘，估价对象房屋实物状况下表：</w:t>
      </w:r>
    </w:p>
    <w:p>
      <w:pPr>
        <w:spacing w:line="460" w:lineRule="exact"/>
        <w:ind w:firstLine="420"/>
        <w:rPr>
          <w:rFonts w:ascii="仿宋" w:hAnsi="仿宋" w:eastAsia="仿宋" w:cs="宋体"/>
          <w:sz w:val="24"/>
          <w:szCs w:val="24"/>
        </w:rPr>
      </w:pPr>
      <w:r>
        <w:rPr>
          <w:rFonts w:hint="eastAsia" w:ascii="仿宋" w:hAnsi="仿宋" w:eastAsia="仿宋" w:cs="宋体"/>
          <w:szCs w:val="21"/>
        </w:rPr>
        <w:t>表4-</w:t>
      </w:r>
      <w:r>
        <w:rPr>
          <w:rFonts w:hint="eastAsia" w:ascii="仿宋" w:hAnsi="仿宋" w:eastAsia="仿宋" w:cs="宋体"/>
          <w:szCs w:val="21"/>
          <w:lang w:val="en-US" w:eastAsia="zh-CN"/>
        </w:rPr>
        <w:t>2</w:t>
      </w:r>
      <w:r>
        <w:rPr>
          <w:rFonts w:hint="eastAsia" w:ascii="仿宋" w:hAnsi="仿宋" w:eastAsia="仿宋" w:cs="宋体"/>
          <w:sz w:val="24"/>
          <w:szCs w:val="24"/>
        </w:rPr>
        <w:t xml:space="preserve">                   估价对象实物状况一览表 </w:t>
      </w:r>
    </w:p>
    <w:tbl>
      <w:tblPr>
        <w:tblStyle w:val="4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
        <w:gridCol w:w="949"/>
        <w:gridCol w:w="263"/>
        <w:gridCol w:w="1788"/>
        <w:gridCol w:w="520"/>
        <w:gridCol w:w="492"/>
        <w:gridCol w:w="531"/>
        <w:gridCol w:w="1507"/>
        <w:gridCol w:w="1066"/>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245" w:type="dxa"/>
            <w:gridSpan w:val="10"/>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土地实物状况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98" w:type="dxa"/>
            <w:gridSpan w:val="2"/>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土地使用者</w:t>
            </w:r>
          </w:p>
        </w:tc>
        <w:tc>
          <w:tcPr>
            <w:tcW w:w="2571" w:type="dxa"/>
            <w:gridSpan w:val="3"/>
            <w:vAlign w:val="center"/>
          </w:tcPr>
          <w:p>
            <w:pPr>
              <w:spacing w:line="240" w:lineRule="exact"/>
              <w:jc w:val="center"/>
              <w:rPr>
                <w:rFonts w:hint="eastAsia" w:ascii="仿宋" w:hAnsi="仿宋" w:eastAsia="仿宋" w:cs="宋体"/>
                <w:bCs/>
                <w:sz w:val="18"/>
                <w:szCs w:val="18"/>
                <w:lang w:eastAsia="zh-CN"/>
              </w:rPr>
            </w:pPr>
            <w:r>
              <w:rPr>
                <w:rFonts w:hint="eastAsia" w:ascii="仿宋" w:hAnsi="仿宋" w:eastAsia="仿宋" w:cs="宋体"/>
                <w:sz w:val="18"/>
                <w:szCs w:val="18"/>
                <w:lang w:eastAsia="zh-CN"/>
              </w:rPr>
              <w:t>彭金钊</w:t>
            </w:r>
          </w:p>
        </w:tc>
        <w:tc>
          <w:tcPr>
            <w:tcW w:w="1023" w:type="dxa"/>
            <w:gridSpan w:val="2"/>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座    落</w:t>
            </w:r>
          </w:p>
        </w:tc>
        <w:tc>
          <w:tcPr>
            <w:tcW w:w="4253" w:type="dxa"/>
            <w:gridSpan w:val="3"/>
            <w:vAlign w:val="center"/>
          </w:tcPr>
          <w:p>
            <w:pPr>
              <w:spacing w:line="240" w:lineRule="exact"/>
              <w:jc w:val="center"/>
              <w:rPr>
                <w:rFonts w:hint="eastAsia" w:ascii="仿宋" w:hAnsi="仿宋" w:eastAsia="仿宋" w:cs="宋体"/>
                <w:bCs/>
                <w:sz w:val="18"/>
                <w:szCs w:val="18"/>
                <w:lang w:eastAsia="zh-CN"/>
              </w:rPr>
            </w:pPr>
            <w:r>
              <w:rPr>
                <w:rFonts w:hint="eastAsia" w:ascii="仿宋" w:hAnsi="仿宋" w:eastAsia="仿宋" w:cs="宋体"/>
                <w:sz w:val="18"/>
                <w:szCs w:val="18"/>
                <w:lang w:eastAsia="zh-CN"/>
              </w:rPr>
              <w:t>毕节市清水铺镇东山村东山组</w:t>
            </w:r>
            <w:r>
              <w:rPr>
                <w:rFonts w:hint="eastAsia" w:ascii="仿宋" w:hAnsi="仿宋" w:eastAsia="仿宋" w:cs="宋体"/>
                <w:sz w:val="18"/>
                <w:szCs w:val="18"/>
                <w:lang w:val="en-US" w:eastAsia="zh-CN"/>
              </w:rPr>
              <w:t>21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98" w:type="dxa"/>
            <w:gridSpan w:val="2"/>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用地面积（m</w:t>
            </w:r>
            <w:r>
              <w:rPr>
                <w:rFonts w:hint="eastAsia" w:ascii="仿宋" w:hAnsi="仿宋" w:eastAsia="仿宋" w:cs="宋体"/>
                <w:bCs/>
                <w:sz w:val="18"/>
                <w:szCs w:val="18"/>
                <w:vertAlign w:val="superscript"/>
              </w:rPr>
              <w:t>2</w:t>
            </w:r>
            <w:r>
              <w:rPr>
                <w:rFonts w:hint="eastAsia" w:ascii="仿宋" w:hAnsi="仿宋" w:eastAsia="仿宋" w:cs="宋体"/>
                <w:bCs/>
                <w:sz w:val="18"/>
                <w:szCs w:val="18"/>
              </w:rPr>
              <w:t>）</w:t>
            </w:r>
          </w:p>
        </w:tc>
        <w:tc>
          <w:tcPr>
            <w:tcW w:w="2571" w:type="dxa"/>
            <w:gridSpan w:val="3"/>
            <w:vAlign w:val="center"/>
          </w:tcPr>
          <w:p>
            <w:pPr>
              <w:spacing w:line="240" w:lineRule="exact"/>
              <w:jc w:val="center"/>
              <w:rPr>
                <w:rFonts w:hint="eastAsia" w:ascii="仿宋" w:hAnsi="仿宋" w:eastAsia="仿宋" w:cs="宋体"/>
                <w:sz w:val="18"/>
                <w:szCs w:val="18"/>
                <w:lang w:eastAsia="zh-CN"/>
              </w:rPr>
            </w:pPr>
            <w:r>
              <w:rPr>
                <w:rFonts w:hint="eastAsia" w:ascii="仿宋" w:hAnsi="仿宋" w:eastAsia="仿宋" w:cs="宋体"/>
                <w:sz w:val="18"/>
                <w:szCs w:val="18"/>
                <w:lang w:val="en-US" w:eastAsia="zh-CN"/>
              </w:rPr>
              <w:t>177.32</w:t>
            </w:r>
          </w:p>
        </w:tc>
        <w:tc>
          <w:tcPr>
            <w:tcW w:w="1023" w:type="dxa"/>
            <w:gridSpan w:val="2"/>
            <w:vAlign w:val="center"/>
          </w:tcPr>
          <w:p>
            <w:pPr>
              <w:spacing w:line="240" w:lineRule="exact"/>
              <w:jc w:val="center"/>
              <w:rPr>
                <w:rFonts w:ascii="仿宋" w:hAnsi="仿宋" w:eastAsia="仿宋" w:cs="宋体"/>
                <w:sz w:val="18"/>
                <w:szCs w:val="18"/>
              </w:rPr>
            </w:pPr>
            <w:r>
              <w:rPr>
                <w:rFonts w:hint="eastAsia" w:ascii="仿宋" w:hAnsi="仿宋" w:eastAsia="仿宋" w:cs="宋体"/>
                <w:sz w:val="18"/>
                <w:szCs w:val="18"/>
              </w:rPr>
              <w:t>用    途</w:t>
            </w:r>
          </w:p>
        </w:tc>
        <w:tc>
          <w:tcPr>
            <w:tcW w:w="4253" w:type="dxa"/>
            <w:gridSpan w:val="3"/>
            <w:vAlign w:val="center"/>
          </w:tcPr>
          <w:p>
            <w:pPr>
              <w:spacing w:line="240" w:lineRule="exact"/>
              <w:jc w:val="center"/>
              <w:rPr>
                <w:rFonts w:ascii="仿宋" w:hAnsi="仿宋" w:eastAsia="仿宋" w:cs="宋体"/>
                <w:sz w:val="18"/>
                <w:szCs w:val="18"/>
              </w:rPr>
            </w:pPr>
            <w:r>
              <w:rPr>
                <w:rFonts w:hint="eastAsia" w:ascii="仿宋" w:hAnsi="仿宋" w:eastAsia="仿宋" w:cs="宋体"/>
                <w:sz w:val="18"/>
                <w:szCs w:val="18"/>
              </w:rPr>
              <w:t>宅基地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98" w:type="dxa"/>
            <w:gridSpan w:val="2"/>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四     至</w:t>
            </w:r>
          </w:p>
        </w:tc>
        <w:tc>
          <w:tcPr>
            <w:tcW w:w="7847" w:type="dxa"/>
            <w:gridSpan w:val="8"/>
            <w:vAlign w:val="center"/>
          </w:tcPr>
          <w:p>
            <w:pPr>
              <w:spacing w:line="240" w:lineRule="exact"/>
              <w:jc w:val="center"/>
              <w:rPr>
                <w:rFonts w:ascii="仿宋" w:hAnsi="仿宋" w:eastAsia="仿宋" w:cs="宋体"/>
                <w:sz w:val="18"/>
                <w:szCs w:val="18"/>
              </w:rPr>
            </w:pPr>
            <w:r>
              <w:rPr>
                <w:rFonts w:hint="eastAsia" w:ascii="仿宋" w:hAnsi="仿宋" w:eastAsia="仿宋" w:cs="宋体"/>
                <w:bCs/>
                <w:sz w:val="18"/>
                <w:szCs w:val="18"/>
              </w:rPr>
              <w:t>东至</w:t>
            </w:r>
            <w:r>
              <w:rPr>
                <w:rFonts w:hint="eastAsia" w:ascii="仿宋" w:hAnsi="仿宋" w:eastAsia="仿宋" w:cs="宋体"/>
                <w:bCs/>
                <w:sz w:val="18"/>
                <w:szCs w:val="18"/>
                <w:lang w:eastAsia="zh-CN"/>
              </w:rPr>
              <w:t>农用地</w:t>
            </w:r>
            <w:r>
              <w:rPr>
                <w:rFonts w:hint="eastAsia" w:ascii="仿宋" w:hAnsi="仿宋" w:eastAsia="仿宋" w:cs="宋体"/>
                <w:bCs/>
                <w:sz w:val="18"/>
                <w:szCs w:val="18"/>
              </w:rPr>
              <w:t>、南至乡村道路、西至</w:t>
            </w:r>
            <w:r>
              <w:rPr>
                <w:rFonts w:hint="eastAsia" w:ascii="仿宋" w:hAnsi="仿宋" w:eastAsia="仿宋" w:cs="宋体"/>
                <w:bCs/>
                <w:sz w:val="18"/>
                <w:szCs w:val="18"/>
                <w:lang w:eastAsia="zh-CN"/>
              </w:rPr>
              <w:t>农用地</w:t>
            </w:r>
            <w:r>
              <w:rPr>
                <w:rFonts w:hint="eastAsia" w:ascii="仿宋" w:hAnsi="仿宋" w:eastAsia="仿宋" w:cs="宋体"/>
                <w:bCs/>
                <w:sz w:val="18"/>
                <w:szCs w:val="18"/>
              </w:rPr>
              <w:t>、北至</w:t>
            </w:r>
            <w:r>
              <w:rPr>
                <w:rFonts w:hint="eastAsia" w:ascii="仿宋" w:hAnsi="仿宋" w:eastAsia="仿宋" w:cs="宋体"/>
                <w:bCs/>
                <w:sz w:val="18"/>
                <w:szCs w:val="18"/>
                <w:lang w:eastAsia="zh-CN"/>
              </w:rPr>
              <w:t>农用地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98" w:type="dxa"/>
            <w:gridSpan w:val="2"/>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形     状</w:t>
            </w:r>
          </w:p>
        </w:tc>
        <w:tc>
          <w:tcPr>
            <w:tcW w:w="2571" w:type="dxa"/>
            <w:gridSpan w:val="3"/>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较规则</w:t>
            </w:r>
          </w:p>
        </w:tc>
        <w:tc>
          <w:tcPr>
            <w:tcW w:w="1023" w:type="dxa"/>
            <w:gridSpan w:val="2"/>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地形地势</w:t>
            </w:r>
          </w:p>
        </w:tc>
        <w:tc>
          <w:tcPr>
            <w:tcW w:w="4253" w:type="dxa"/>
            <w:gridSpan w:val="3"/>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较平坦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98" w:type="dxa"/>
            <w:gridSpan w:val="2"/>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土     壤</w:t>
            </w:r>
          </w:p>
        </w:tc>
        <w:tc>
          <w:tcPr>
            <w:tcW w:w="2571" w:type="dxa"/>
            <w:gridSpan w:val="3"/>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未受过污染</w:t>
            </w:r>
          </w:p>
        </w:tc>
        <w:tc>
          <w:tcPr>
            <w:tcW w:w="1023" w:type="dxa"/>
            <w:gridSpan w:val="2"/>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开发程度</w:t>
            </w:r>
          </w:p>
        </w:tc>
        <w:tc>
          <w:tcPr>
            <w:tcW w:w="4253" w:type="dxa"/>
            <w:gridSpan w:val="3"/>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lang w:eastAsia="zh-CN"/>
              </w:rPr>
              <w:t>三</w:t>
            </w:r>
            <w:r>
              <w:rPr>
                <w:rFonts w:hint="eastAsia" w:ascii="仿宋" w:hAnsi="仿宋" w:eastAsia="仿宋" w:cs="宋体"/>
                <w:bCs/>
                <w:sz w:val="18"/>
                <w:szCs w:val="18"/>
              </w:rPr>
              <w:t>通一平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398" w:type="dxa"/>
            <w:gridSpan w:val="2"/>
            <w:vAlign w:val="center"/>
          </w:tcPr>
          <w:p>
            <w:pPr>
              <w:spacing w:line="240" w:lineRule="exact"/>
              <w:jc w:val="left"/>
              <w:rPr>
                <w:rFonts w:ascii="仿宋" w:hAnsi="仿宋" w:eastAsia="仿宋" w:cs="宋体"/>
                <w:bCs/>
                <w:sz w:val="18"/>
                <w:szCs w:val="18"/>
              </w:rPr>
            </w:pPr>
            <w:r>
              <w:rPr>
                <w:rFonts w:hint="eastAsia" w:ascii="仿宋" w:hAnsi="仿宋" w:eastAsia="仿宋" w:cs="宋体"/>
                <w:bCs/>
                <w:sz w:val="18"/>
                <w:szCs w:val="18"/>
              </w:rPr>
              <w:t xml:space="preserve">  地质条件</w:t>
            </w:r>
          </w:p>
        </w:tc>
        <w:tc>
          <w:tcPr>
            <w:tcW w:w="7847" w:type="dxa"/>
            <w:gridSpan w:val="8"/>
            <w:vAlign w:val="center"/>
          </w:tcPr>
          <w:p>
            <w:pPr>
              <w:spacing w:line="240" w:lineRule="exact"/>
              <w:rPr>
                <w:rFonts w:ascii="仿宋" w:hAnsi="仿宋" w:eastAsia="仿宋" w:cs="宋体"/>
                <w:bCs/>
                <w:sz w:val="18"/>
                <w:szCs w:val="18"/>
              </w:rPr>
            </w:pPr>
            <w:r>
              <w:rPr>
                <w:rFonts w:hint="eastAsia" w:ascii="仿宋" w:hAnsi="仿宋" w:eastAsia="仿宋" w:cs="宋体"/>
                <w:bCs/>
                <w:sz w:val="18"/>
                <w:szCs w:val="18"/>
              </w:rPr>
              <w:t>地下水对钢筋无侵蚀作用，无不良地质现象，地基承载力和稳定性好，适合建筑。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245" w:type="dxa"/>
            <w:gridSpan w:val="10"/>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建筑物实物状况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61" w:type="dxa"/>
            <w:gridSpan w:val="3"/>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坐    落</w:t>
            </w:r>
          </w:p>
        </w:tc>
        <w:tc>
          <w:tcPr>
            <w:tcW w:w="7584" w:type="dxa"/>
            <w:gridSpan w:val="7"/>
            <w:vAlign w:val="center"/>
          </w:tcPr>
          <w:p>
            <w:pPr>
              <w:spacing w:line="240" w:lineRule="exact"/>
              <w:jc w:val="center"/>
              <w:rPr>
                <w:rFonts w:ascii="仿宋" w:hAnsi="仿宋" w:eastAsia="仿宋" w:cs="宋体"/>
                <w:bCs/>
                <w:sz w:val="18"/>
                <w:szCs w:val="18"/>
              </w:rPr>
            </w:pPr>
            <w:r>
              <w:rPr>
                <w:rFonts w:hint="eastAsia" w:ascii="仿宋" w:hAnsi="仿宋" w:eastAsia="仿宋" w:cs="宋体"/>
                <w:sz w:val="18"/>
                <w:szCs w:val="18"/>
                <w:lang w:eastAsia="zh-CN"/>
              </w:rPr>
              <w:t>毕节市清水铺镇东山村东山组</w:t>
            </w:r>
            <w:r>
              <w:rPr>
                <w:rFonts w:hint="eastAsia" w:ascii="仿宋" w:hAnsi="仿宋" w:eastAsia="仿宋" w:cs="宋体"/>
                <w:sz w:val="18"/>
                <w:szCs w:val="18"/>
                <w:lang w:val="en-US" w:eastAsia="zh-CN"/>
              </w:rPr>
              <w:t>21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61" w:type="dxa"/>
            <w:gridSpan w:val="3"/>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建筑结构</w:t>
            </w:r>
          </w:p>
        </w:tc>
        <w:tc>
          <w:tcPr>
            <w:tcW w:w="1788" w:type="dxa"/>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砖混</w:t>
            </w:r>
          </w:p>
        </w:tc>
        <w:tc>
          <w:tcPr>
            <w:tcW w:w="1012" w:type="dxa"/>
            <w:gridSpan w:val="2"/>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建成年代</w:t>
            </w:r>
          </w:p>
        </w:tc>
        <w:tc>
          <w:tcPr>
            <w:tcW w:w="2038" w:type="dxa"/>
            <w:gridSpan w:val="2"/>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lang w:val="en-US" w:eastAsia="zh-CN"/>
              </w:rPr>
              <w:t>2013</w:t>
            </w:r>
            <w:r>
              <w:rPr>
                <w:rFonts w:hint="eastAsia" w:ascii="仿宋" w:hAnsi="仿宋" w:eastAsia="仿宋" w:cs="宋体"/>
                <w:bCs/>
                <w:sz w:val="18"/>
                <w:szCs w:val="18"/>
              </w:rPr>
              <w:t>年</w:t>
            </w:r>
          </w:p>
        </w:tc>
        <w:tc>
          <w:tcPr>
            <w:tcW w:w="1066" w:type="dxa"/>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面积</w:t>
            </w:r>
          </w:p>
        </w:tc>
        <w:tc>
          <w:tcPr>
            <w:tcW w:w="1680" w:type="dxa"/>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建筑物</w:t>
            </w:r>
            <w:r>
              <w:rPr>
                <w:rFonts w:hint="eastAsia" w:ascii="仿宋" w:hAnsi="仿宋" w:eastAsia="仿宋" w:cs="宋体"/>
                <w:bCs/>
                <w:sz w:val="18"/>
                <w:szCs w:val="18"/>
                <w:lang w:val="en-US" w:eastAsia="zh-CN"/>
              </w:rPr>
              <w:t>122.22</w:t>
            </w:r>
            <w:r>
              <w:rPr>
                <w:rFonts w:hint="eastAsia" w:ascii="仿宋" w:hAnsi="仿宋" w:eastAsia="仿宋"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61" w:type="dxa"/>
            <w:gridSpan w:val="3"/>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总楼层</w:t>
            </w:r>
          </w:p>
        </w:tc>
        <w:tc>
          <w:tcPr>
            <w:tcW w:w="1788" w:type="dxa"/>
            <w:vAlign w:val="center"/>
          </w:tcPr>
          <w:p>
            <w:pPr>
              <w:spacing w:line="240" w:lineRule="exact"/>
              <w:jc w:val="center"/>
              <w:rPr>
                <w:rFonts w:hint="eastAsia" w:ascii="仿宋" w:hAnsi="仿宋" w:eastAsia="仿宋" w:cs="宋体"/>
                <w:bCs/>
                <w:sz w:val="18"/>
                <w:szCs w:val="18"/>
                <w:lang w:eastAsia="zh-CN"/>
              </w:rPr>
            </w:pPr>
            <w:r>
              <w:rPr>
                <w:rFonts w:hint="eastAsia" w:ascii="仿宋" w:hAnsi="仿宋" w:eastAsia="仿宋" w:cs="宋体"/>
                <w:bCs/>
                <w:sz w:val="18"/>
                <w:szCs w:val="18"/>
                <w:lang w:val="en-US" w:eastAsia="zh-CN"/>
              </w:rPr>
              <w:t>1</w:t>
            </w:r>
          </w:p>
        </w:tc>
        <w:tc>
          <w:tcPr>
            <w:tcW w:w="1012" w:type="dxa"/>
            <w:gridSpan w:val="2"/>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层  高</w:t>
            </w:r>
          </w:p>
        </w:tc>
        <w:tc>
          <w:tcPr>
            <w:tcW w:w="2038" w:type="dxa"/>
            <w:gridSpan w:val="2"/>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3</w:t>
            </w:r>
            <w:r>
              <w:rPr>
                <w:rFonts w:hint="eastAsia" w:ascii="仿宋" w:hAnsi="仿宋" w:eastAsia="仿宋" w:cs="宋体"/>
                <w:bCs/>
                <w:sz w:val="18"/>
                <w:szCs w:val="18"/>
                <w:lang w:val="en-US" w:eastAsia="zh-CN"/>
              </w:rPr>
              <w:t>.4</w:t>
            </w:r>
            <w:r>
              <w:rPr>
                <w:rFonts w:hint="eastAsia" w:ascii="仿宋" w:hAnsi="仿宋" w:eastAsia="仿宋" w:cs="宋体"/>
                <w:bCs/>
                <w:sz w:val="18"/>
                <w:szCs w:val="18"/>
              </w:rPr>
              <w:t>m</w:t>
            </w:r>
          </w:p>
        </w:tc>
        <w:tc>
          <w:tcPr>
            <w:tcW w:w="1066" w:type="dxa"/>
            <w:vAlign w:val="center"/>
          </w:tcPr>
          <w:p>
            <w:pPr>
              <w:spacing w:line="240" w:lineRule="exact"/>
              <w:rPr>
                <w:rFonts w:ascii="仿宋" w:hAnsi="仿宋" w:eastAsia="仿宋" w:cs="宋体"/>
                <w:bCs/>
                <w:sz w:val="18"/>
                <w:szCs w:val="18"/>
              </w:rPr>
            </w:pPr>
            <w:r>
              <w:rPr>
                <w:rFonts w:hint="eastAsia" w:ascii="仿宋" w:hAnsi="仿宋" w:eastAsia="仿宋" w:cs="宋体"/>
                <w:bCs/>
                <w:sz w:val="18"/>
                <w:szCs w:val="18"/>
              </w:rPr>
              <w:t>装修档次</w:t>
            </w:r>
          </w:p>
        </w:tc>
        <w:tc>
          <w:tcPr>
            <w:tcW w:w="1680" w:type="dxa"/>
            <w:vAlign w:val="center"/>
          </w:tcPr>
          <w:p>
            <w:pPr>
              <w:spacing w:line="240" w:lineRule="exact"/>
              <w:jc w:val="center"/>
              <w:rPr>
                <w:rFonts w:hint="eastAsia" w:ascii="仿宋" w:hAnsi="仿宋" w:eastAsia="仿宋" w:cs="宋体"/>
                <w:bCs/>
                <w:sz w:val="18"/>
                <w:szCs w:val="18"/>
                <w:lang w:eastAsia="zh-CN"/>
              </w:rPr>
            </w:pPr>
            <w:r>
              <w:rPr>
                <w:rFonts w:hint="eastAsia" w:ascii="仿宋" w:hAnsi="仿宋" w:eastAsia="仿宋" w:cs="宋体"/>
                <w:bCs/>
                <w:sz w:val="18"/>
                <w:szCs w:val="18"/>
                <w:lang w:eastAsia="zh-CN"/>
              </w:rPr>
              <w:t>简装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61" w:type="dxa"/>
            <w:gridSpan w:val="3"/>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临街状况</w:t>
            </w:r>
          </w:p>
        </w:tc>
        <w:tc>
          <w:tcPr>
            <w:tcW w:w="1788" w:type="dxa"/>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不临街</w:t>
            </w:r>
          </w:p>
        </w:tc>
        <w:tc>
          <w:tcPr>
            <w:tcW w:w="1012" w:type="dxa"/>
            <w:gridSpan w:val="2"/>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平面布置</w:t>
            </w:r>
          </w:p>
        </w:tc>
        <w:tc>
          <w:tcPr>
            <w:tcW w:w="2038" w:type="dxa"/>
            <w:gridSpan w:val="2"/>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自建住宅、布置一般</w:t>
            </w:r>
          </w:p>
        </w:tc>
        <w:tc>
          <w:tcPr>
            <w:tcW w:w="1066" w:type="dxa"/>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维护保养</w:t>
            </w:r>
          </w:p>
        </w:tc>
        <w:tc>
          <w:tcPr>
            <w:tcW w:w="1680" w:type="dxa"/>
            <w:vAlign w:val="center"/>
          </w:tcPr>
          <w:p>
            <w:pPr>
              <w:spacing w:line="240" w:lineRule="exact"/>
              <w:jc w:val="center"/>
              <w:rPr>
                <w:rFonts w:hint="eastAsia" w:ascii="仿宋" w:hAnsi="仿宋" w:eastAsia="仿宋" w:cs="宋体"/>
                <w:bCs/>
                <w:sz w:val="18"/>
                <w:szCs w:val="18"/>
                <w:lang w:eastAsia="zh-CN"/>
              </w:rPr>
            </w:pPr>
            <w:r>
              <w:rPr>
                <w:rFonts w:hint="eastAsia" w:ascii="仿宋" w:hAnsi="仿宋" w:eastAsia="仿宋" w:cs="宋体"/>
                <w:bCs/>
                <w:sz w:val="18"/>
                <w:szCs w:val="18"/>
                <w:lang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61" w:type="dxa"/>
            <w:gridSpan w:val="3"/>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套型</w:t>
            </w:r>
          </w:p>
        </w:tc>
        <w:tc>
          <w:tcPr>
            <w:tcW w:w="1788" w:type="dxa"/>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自建农房，非成套</w:t>
            </w:r>
          </w:p>
        </w:tc>
        <w:tc>
          <w:tcPr>
            <w:tcW w:w="1012" w:type="dxa"/>
            <w:gridSpan w:val="2"/>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通风采光</w:t>
            </w:r>
          </w:p>
        </w:tc>
        <w:tc>
          <w:tcPr>
            <w:tcW w:w="2038" w:type="dxa"/>
            <w:gridSpan w:val="2"/>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较好</w:t>
            </w:r>
          </w:p>
        </w:tc>
        <w:tc>
          <w:tcPr>
            <w:tcW w:w="1066" w:type="dxa"/>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朝向</w:t>
            </w:r>
          </w:p>
        </w:tc>
        <w:tc>
          <w:tcPr>
            <w:tcW w:w="1680" w:type="dxa"/>
            <w:vAlign w:val="center"/>
          </w:tcPr>
          <w:p>
            <w:pPr>
              <w:spacing w:line="240" w:lineRule="exact"/>
              <w:jc w:val="center"/>
              <w:rPr>
                <w:rFonts w:hint="eastAsia" w:ascii="仿宋" w:hAnsi="仿宋" w:eastAsia="仿宋" w:cs="宋体"/>
                <w:bCs/>
                <w:sz w:val="18"/>
                <w:szCs w:val="18"/>
                <w:lang w:eastAsia="zh-CN"/>
              </w:rPr>
            </w:pPr>
            <w:r>
              <w:rPr>
                <w:rFonts w:hint="eastAsia" w:ascii="仿宋" w:hAnsi="仿宋" w:eastAsia="仿宋" w:cs="宋体"/>
                <w:bCs/>
                <w:sz w:val="18"/>
                <w:szCs w:val="18"/>
                <w:lang w:eastAsia="zh-CN"/>
              </w:rPr>
              <w:t>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61" w:type="dxa"/>
            <w:gridSpan w:val="3"/>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利用状况</w:t>
            </w:r>
          </w:p>
        </w:tc>
        <w:tc>
          <w:tcPr>
            <w:tcW w:w="7584" w:type="dxa"/>
            <w:gridSpan w:val="7"/>
            <w:vAlign w:val="center"/>
          </w:tcPr>
          <w:p>
            <w:pPr>
              <w:spacing w:line="240" w:lineRule="exact"/>
              <w:rPr>
                <w:rFonts w:hint="eastAsia" w:ascii="仿宋" w:hAnsi="仿宋" w:eastAsia="仿宋" w:cs="宋体"/>
                <w:bCs/>
                <w:sz w:val="18"/>
                <w:szCs w:val="18"/>
                <w:lang w:eastAsia="zh-CN"/>
              </w:rPr>
            </w:pPr>
            <w:r>
              <w:rPr>
                <w:rFonts w:hint="eastAsia" w:ascii="仿宋" w:hAnsi="仿宋" w:eastAsia="仿宋" w:cs="宋体"/>
                <w:bCs/>
                <w:sz w:val="18"/>
                <w:szCs w:val="18"/>
                <w:lang w:eastAsia="zh-CN"/>
              </w:rPr>
              <w:t>自住房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9" w:type="dxa"/>
            <w:vMerge w:val="restart"/>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设备设施</w:t>
            </w:r>
          </w:p>
        </w:tc>
        <w:tc>
          <w:tcPr>
            <w:tcW w:w="1212" w:type="dxa"/>
            <w:gridSpan w:val="2"/>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垂直交通</w:t>
            </w:r>
          </w:p>
        </w:tc>
        <w:tc>
          <w:tcPr>
            <w:tcW w:w="7584" w:type="dxa"/>
            <w:gridSpan w:val="7"/>
            <w:tcBorders>
              <w:top w:val="nil"/>
            </w:tcBorders>
            <w:vAlign w:val="center"/>
          </w:tcPr>
          <w:p>
            <w:pPr>
              <w:spacing w:line="240" w:lineRule="exact"/>
              <w:rPr>
                <w:rFonts w:hint="eastAsia" w:ascii="仿宋" w:hAnsi="仿宋" w:eastAsia="仿宋" w:cs="宋体"/>
                <w:bCs/>
                <w:sz w:val="18"/>
                <w:szCs w:val="18"/>
                <w:lang w:eastAsia="zh-CN"/>
              </w:rPr>
            </w:pPr>
            <w:r>
              <w:rPr>
                <w:rFonts w:hint="eastAsia" w:ascii="仿宋" w:hAnsi="仿宋" w:eastAsia="仿宋" w:cs="宋体"/>
                <w:bCs/>
                <w:sz w:val="18"/>
                <w:szCs w:val="18"/>
                <w:lang w:eastAsia="zh-CN"/>
              </w:rPr>
              <w:t>室外步梯（供上屋顶用）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9" w:type="dxa"/>
            <w:vMerge w:val="continue"/>
            <w:vAlign w:val="center"/>
          </w:tcPr>
          <w:p>
            <w:pPr>
              <w:spacing w:line="240" w:lineRule="exact"/>
              <w:jc w:val="center"/>
              <w:rPr>
                <w:rFonts w:ascii="仿宋" w:hAnsi="仿宋" w:eastAsia="仿宋" w:cs="宋体"/>
                <w:bCs/>
                <w:sz w:val="18"/>
                <w:szCs w:val="18"/>
              </w:rPr>
            </w:pPr>
          </w:p>
        </w:tc>
        <w:tc>
          <w:tcPr>
            <w:tcW w:w="1212" w:type="dxa"/>
            <w:gridSpan w:val="2"/>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安防系统</w:t>
            </w:r>
          </w:p>
        </w:tc>
        <w:tc>
          <w:tcPr>
            <w:tcW w:w="7584" w:type="dxa"/>
            <w:gridSpan w:val="7"/>
            <w:vAlign w:val="center"/>
          </w:tcPr>
          <w:p>
            <w:pPr>
              <w:spacing w:line="240" w:lineRule="exact"/>
              <w:rPr>
                <w:rFonts w:ascii="仿宋" w:hAnsi="仿宋" w:eastAsia="仿宋" w:cs="宋体"/>
                <w:bCs/>
                <w:sz w:val="18"/>
                <w:szCs w:val="18"/>
              </w:rPr>
            </w:pPr>
            <w:r>
              <w:rPr>
                <w:rFonts w:hint="eastAsia" w:ascii="仿宋" w:hAnsi="仿宋" w:eastAsia="仿宋" w:cs="宋体"/>
                <w:bCs/>
                <w:sz w:val="18"/>
                <w:szCs w:val="18"/>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9" w:type="dxa"/>
            <w:vMerge w:val="continue"/>
            <w:vAlign w:val="center"/>
          </w:tcPr>
          <w:p>
            <w:pPr>
              <w:spacing w:line="240" w:lineRule="exact"/>
              <w:jc w:val="center"/>
              <w:rPr>
                <w:rFonts w:ascii="仿宋" w:hAnsi="仿宋" w:eastAsia="仿宋" w:cs="宋体"/>
                <w:bCs/>
                <w:sz w:val="18"/>
                <w:szCs w:val="18"/>
              </w:rPr>
            </w:pPr>
          </w:p>
        </w:tc>
        <w:tc>
          <w:tcPr>
            <w:tcW w:w="1212" w:type="dxa"/>
            <w:gridSpan w:val="2"/>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管    线</w:t>
            </w:r>
          </w:p>
        </w:tc>
        <w:tc>
          <w:tcPr>
            <w:tcW w:w="7584" w:type="dxa"/>
            <w:gridSpan w:val="7"/>
            <w:vAlign w:val="center"/>
          </w:tcPr>
          <w:p>
            <w:pPr>
              <w:spacing w:line="240" w:lineRule="exact"/>
              <w:rPr>
                <w:rFonts w:ascii="仿宋" w:hAnsi="仿宋" w:eastAsia="仿宋" w:cs="宋体"/>
                <w:bCs/>
                <w:sz w:val="18"/>
                <w:szCs w:val="18"/>
                <w:lang w:val="eu-ES"/>
              </w:rPr>
            </w:pPr>
            <w:r>
              <w:rPr>
                <w:rFonts w:hint="eastAsia" w:ascii="仿宋" w:hAnsi="仿宋" w:eastAsia="仿宋" w:cs="宋体"/>
                <w:bCs/>
                <w:sz w:val="18"/>
                <w:szCs w:val="18"/>
                <w:lang w:val="eu-E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9" w:type="dxa"/>
            <w:vMerge w:val="continue"/>
            <w:vAlign w:val="center"/>
          </w:tcPr>
          <w:p>
            <w:pPr>
              <w:spacing w:line="240" w:lineRule="exact"/>
              <w:jc w:val="center"/>
              <w:rPr>
                <w:rFonts w:ascii="仿宋" w:hAnsi="仿宋" w:eastAsia="仿宋" w:cs="宋体"/>
                <w:bCs/>
                <w:sz w:val="18"/>
                <w:szCs w:val="18"/>
              </w:rPr>
            </w:pPr>
          </w:p>
        </w:tc>
        <w:tc>
          <w:tcPr>
            <w:tcW w:w="1212" w:type="dxa"/>
            <w:gridSpan w:val="2"/>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基础设施</w:t>
            </w:r>
          </w:p>
        </w:tc>
        <w:tc>
          <w:tcPr>
            <w:tcW w:w="7584" w:type="dxa"/>
            <w:gridSpan w:val="7"/>
            <w:vAlign w:val="center"/>
          </w:tcPr>
          <w:p>
            <w:pPr>
              <w:spacing w:line="240" w:lineRule="exact"/>
              <w:rPr>
                <w:rFonts w:hint="eastAsia" w:ascii="仿宋" w:hAnsi="仿宋" w:eastAsia="仿宋" w:cs="宋体"/>
                <w:bCs/>
                <w:sz w:val="18"/>
                <w:szCs w:val="18"/>
                <w:lang w:eastAsia="zh-CN"/>
              </w:rPr>
            </w:pPr>
            <w:r>
              <w:rPr>
                <w:rFonts w:hint="eastAsia" w:ascii="仿宋" w:hAnsi="仿宋" w:eastAsia="仿宋" w:cs="宋体"/>
                <w:bCs/>
                <w:sz w:val="18"/>
                <w:szCs w:val="18"/>
                <w:lang w:eastAsia="zh-CN"/>
              </w:rPr>
              <w:t>三通一平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9" w:type="dxa"/>
            <w:vMerge w:val="restart"/>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装修</w:t>
            </w:r>
          </w:p>
          <w:p>
            <w:pPr>
              <w:spacing w:line="240" w:lineRule="exact"/>
              <w:jc w:val="center"/>
              <w:rPr>
                <w:rFonts w:ascii="仿宋" w:hAnsi="仿宋" w:eastAsia="仿宋" w:cs="宋体"/>
                <w:bCs/>
                <w:sz w:val="18"/>
                <w:szCs w:val="18"/>
              </w:rPr>
            </w:pPr>
            <w:r>
              <w:rPr>
                <w:rFonts w:hint="eastAsia" w:ascii="仿宋" w:hAnsi="仿宋" w:eastAsia="仿宋" w:cs="宋体"/>
                <w:bCs/>
                <w:sz w:val="18"/>
                <w:szCs w:val="18"/>
              </w:rPr>
              <w:t>状况</w:t>
            </w:r>
          </w:p>
        </w:tc>
        <w:tc>
          <w:tcPr>
            <w:tcW w:w="1212" w:type="dxa"/>
            <w:gridSpan w:val="2"/>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外    墙</w:t>
            </w:r>
          </w:p>
        </w:tc>
        <w:tc>
          <w:tcPr>
            <w:tcW w:w="7584" w:type="dxa"/>
            <w:gridSpan w:val="7"/>
            <w:vAlign w:val="center"/>
          </w:tcPr>
          <w:p>
            <w:pPr>
              <w:spacing w:line="240" w:lineRule="exact"/>
              <w:rPr>
                <w:rFonts w:hint="eastAsia" w:ascii="仿宋" w:hAnsi="仿宋" w:eastAsia="仿宋" w:cs="宋体"/>
                <w:bCs/>
                <w:sz w:val="18"/>
                <w:szCs w:val="18"/>
                <w:lang w:eastAsia="zh-CN"/>
              </w:rPr>
            </w:pPr>
            <w:r>
              <w:rPr>
                <w:rFonts w:hint="eastAsia" w:ascii="仿宋" w:hAnsi="仿宋" w:eastAsia="仿宋" w:cs="宋体"/>
                <w:bCs/>
                <w:sz w:val="18"/>
                <w:szCs w:val="18"/>
                <w:lang w:eastAsia="zh-CN"/>
              </w:rPr>
              <w:t>房屋正立面墙贴磁砖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9" w:type="dxa"/>
            <w:vMerge w:val="continue"/>
            <w:vAlign w:val="center"/>
          </w:tcPr>
          <w:p>
            <w:pPr>
              <w:spacing w:line="240" w:lineRule="exact"/>
              <w:jc w:val="center"/>
              <w:rPr>
                <w:rFonts w:ascii="仿宋" w:hAnsi="仿宋" w:eastAsia="仿宋" w:cs="宋体"/>
                <w:bCs/>
                <w:spacing w:val="-20"/>
                <w:sz w:val="18"/>
                <w:szCs w:val="18"/>
              </w:rPr>
            </w:pPr>
          </w:p>
        </w:tc>
        <w:tc>
          <w:tcPr>
            <w:tcW w:w="1212" w:type="dxa"/>
            <w:gridSpan w:val="2"/>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公共通道</w:t>
            </w:r>
          </w:p>
        </w:tc>
        <w:tc>
          <w:tcPr>
            <w:tcW w:w="7584" w:type="dxa"/>
            <w:gridSpan w:val="7"/>
            <w:vAlign w:val="center"/>
          </w:tcPr>
          <w:p>
            <w:pPr>
              <w:spacing w:line="240" w:lineRule="exact"/>
              <w:rPr>
                <w:rFonts w:hint="eastAsia" w:ascii="仿宋" w:hAnsi="仿宋" w:eastAsia="仿宋" w:cs="宋体"/>
                <w:bCs/>
                <w:sz w:val="18"/>
                <w:szCs w:val="18"/>
                <w:lang w:eastAsia="zh-CN"/>
              </w:rPr>
            </w:pPr>
            <w:r>
              <w:rPr>
                <w:rFonts w:hint="eastAsia" w:ascii="仿宋" w:hAnsi="仿宋" w:eastAsia="仿宋" w:cs="宋体"/>
                <w:bCs/>
                <w:sz w:val="18"/>
                <w:szCs w:val="18"/>
                <w:lang w:eastAsia="zh-CN"/>
              </w:rPr>
              <w:t>刷白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9" w:type="dxa"/>
            <w:vMerge w:val="continue"/>
            <w:vAlign w:val="center"/>
          </w:tcPr>
          <w:p>
            <w:pPr>
              <w:spacing w:line="240" w:lineRule="exact"/>
              <w:jc w:val="center"/>
              <w:rPr>
                <w:rFonts w:ascii="仿宋" w:hAnsi="仿宋" w:eastAsia="仿宋" w:cs="宋体"/>
                <w:bCs/>
                <w:spacing w:val="-20"/>
                <w:sz w:val="18"/>
                <w:szCs w:val="18"/>
              </w:rPr>
            </w:pPr>
          </w:p>
        </w:tc>
        <w:tc>
          <w:tcPr>
            <w:tcW w:w="1212" w:type="dxa"/>
            <w:gridSpan w:val="2"/>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内    墙</w:t>
            </w:r>
          </w:p>
        </w:tc>
        <w:tc>
          <w:tcPr>
            <w:tcW w:w="7584" w:type="dxa"/>
            <w:gridSpan w:val="7"/>
            <w:vAlign w:val="center"/>
          </w:tcPr>
          <w:p>
            <w:pPr>
              <w:spacing w:line="240" w:lineRule="exact"/>
              <w:rPr>
                <w:rFonts w:ascii="仿宋" w:hAnsi="仿宋" w:eastAsia="仿宋" w:cs="宋体"/>
                <w:bCs/>
                <w:sz w:val="18"/>
                <w:szCs w:val="18"/>
              </w:rPr>
            </w:pPr>
            <w:r>
              <w:rPr>
                <w:rFonts w:hint="eastAsia" w:ascii="仿宋" w:hAnsi="仿宋" w:eastAsia="仿宋" w:cs="宋体"/>
                <w:bCs/>
                <w:sz w:val="18"/>
                <w:szCs w:val="18"/>
              </w:rPr>
              <w:t>建筑物瓷粉刷白（部分已发霉脱落）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9" w:type="dxa"/>
            <w:vMerge w:val="continue"/>
            <w:vAlign w:val="center"/>
          </w:tcPr>
          <w:p>
            <w:pPr>
              <w:spacing w:line="240" w:lineRule="exact"/>
              <w:jc w:val="center"/>
              <w:rPr>
                <w:rFonts w:ascii="仿宋" w:hAnsi="仿宋" w:eastAsia="仿宋" w:cs="宋体"/>
                <w:bCs/>
                <w:spacing w:val="-20"/>
                <w:sz w:val="18"/>
                <w:szCs w:val="18"/>
              </w:rPr>
            </w:pPr>
          </w:p>
        </w:tc>
        <w:tc>
          <w:tcPr>
            <w:tcW w:w="1212" w:type="dxa"/>
            <w:gridSpan w:val="2"/>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屋    顶</w:t>
            </w:r>
          </w:p>
        </w:tc>
        <w:tc>
          <w:tcPr>
            <w:tcW w:w="7584" w:type="dxa"/>
            <w:gridSpan w:val="7"/>
            <w:vAlign w:val="center"/>
          </w:tcPr>
          <w:p>
            <w:pPr>
              <w:spacing w:line="240" w:lineRule="exact"/>
              <w:rPr>
                <w:rFonts w:ascii="仿宋" w:hAnsi="仿宋" w:eastAsia="仿宋" w:cs="宋体"/>
                <w:bCs/>
                <w:sz w:val="18"/>
                <w:szCs w:val="18"/>
              </w:rPr>
            </w:pPr>
            <w:r>
              <w:rPr>
                <w:rFonts w:hint="eastAsia" w:ascii="仿宋" w:hAnsi="仿宋" w:eastAsia="仿宋" w:cs="宋体"/>
                <w:bCs/>
                <w:sz w:val="18"/>
                <w:szCs w:val="18"/>
              </w:rPr>
              <w:t>建筑物瓷粉刷白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9" w:type="dxa"/>
            <w:vMerge w:val="continue"/>
            <w:vAlign w:val="center"/>
          </w:tcPr>
          <w:p>
            <w:pPr>
              <w:spacing w:line="240" w:lineRule="exact"/>
              <w:jc w:val="center"/>
              <w:rPr>
                <w:rFonts w:ascii="仿宋" w:hAnsi="仿宋" w:eastAsia="仿宋" w:cs="宋体"/>
                <w:bCs/>
                <w:spacing w:val="-20"/>
                <w:sz w:val="18"/>
                <w:szCs w:val="18"/>
              </w:rPr>
            </w:pPr>
          </w:p>
        </w:tc>
        <w:tc>
          <w:tcPr>
            <w:tcW w:w="1212" w:type="dxa"/>
            <w:gridSpan w:val="2"/>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地    面</w:t>
            </w:r>
          </w:p>
        </w:tc>
        <w:tc>
          <w:tcPr>
            <w:tcW w:w="7584" w:type="dxa"/>
            <w:gridSpan w:val="7"/>
            <w:vAlign w:val="center"/>
          </w:tcPr>
          <w:p>
            <w:pPr>
              <w:spacing w:line="240" w:lineRule="exact"/>
              <w:rPr>
                <w:rFonts w:ascii="仿宋" w:hAnsi="仿宋" w:eastAsia="仿宋" w:cs="宋体"/>
                <w:bCs/>
                <w:sz w:val="18"/>
                <w:szCs w:val="18"/>
              </w:rPr>
            </w:pPr>
            <w:r>
              <w:rPr>
                <w:rFonts w:hint="eastAsia" w:ascii="仿宋" w:hAnsi="仿宋" w:eastAsia="仿宋" w:cs="宋体"/>
                <w:bCs/>
                <w:sz w:val="18"/>
                <w:szCs w:val="18"/>
              </w:rPr>
              <w:t>水泥抹平、水泥抹平、三合土夯实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9" w:type="dxa"/>
            <w:vMerge w:val="continue"/>
            <w:vAlign w:val="center"/>
          </w:tcPr>
          <w:p>
            <w:pPr>
              <w:spacing w:line="240" w:lineRule="exact"/>
              <w:jc w:val="center"/>
              <w:rPr>
                <w:rFonts w:ascii="仿宋" w:hAnsi="仿宋" w:eastAsia="仿宋" w:cs="宋体"/>
                <w:bCs/>
                <w:spacing w:val="-20"/>
                <w:sz w:val="18"/>
                <w:szCs w:val="18"/>
              </w:rPr>
            </w:pPr>
          </w:p>
        </w:tc>
        <w:tc>
          <w:tcPr>
            <w:tcW w:w="1212" w:type="dxa"/>
            <w:gridSpan w:val="2"/>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门    窗</w:t>
            </w:r>
          </w:p>
        </w:tc>
        <w:tc>
          <w:tcPr>
            <w:tcW w:w="7584" w:type="dxa"/>
            <w:gridSpan w:val="7"/>
            <w:vAlign w:val="center"/>
          </w:tcPr>
          <w:p>
            <w:pPr>
              <w:spacing w:line="240" w:lineRule="exact"/>
              <w:rPr>
                <w:rFonts w:ascii="仿宋" w:hAnsi="仿宋" w:eastAsia="仿宋" w:cs="宋体"/>
                <w:bCs/>
                <w:sz w:val="18"/>
                <w:szCs w:val="18"/>
              </w:rPr>
            </w:pPr>
            <w:r>
              <w:rPr>
                <w:rFonts w:hint="eastAsia" w:ascii="仿宋" w:hAnsi="仿宋" w:eastAsia="仿宋" w:cs="宋体"/>
                <w:bCs/>
                <w:sz w:val="18"/>
                <w:szCs w:val="18"/>
              </w:rPr>
              <w:t>木门、</w:t>
            </w:r>
            <w:r>
              <w:rPr>
                <w:rFonts w:hint="eastAsia" w:ascii="仿宋" w:hAnsi="仿宋" w:eastAsia="仿宋" w:cs="宋体"/>
                <w:bCs/>
                <w:sz w:val="18"/>
                <w:szCs w:val="18"/>
                <w:lang w:eastAsia="zh-CN"/>
              </w:rPr>
              <w:t>窗有铁栏杆</w:t>
            </w:r>
            <w:r>
              <w:rPr>
                <w:rFonts w:hint="eastAsia" w:ascii="仿宋" w:hAnsi="仿宋" w:eastAsia="仿宋" w:cs="宋体"/>
                <w:bCs/>
                <w:sz w:val="18"/>
                <w:szCs w:val="18"/>
              </w:rPr>
              <w:t>、</w:t>
            </w:r>
            <w:r>
              <w:rPr>
                <w:rFonts w:hint="eastAsia" w:ascii="仿宋" w:hAnsi="仿宋" w:eastAsia="仿宋" w:cs="宋体"/>
                <w:bCs/>
                <w:sz w:val="18"/>
                <w:szCs w:val="18"/>
                <w:lang w:eastAsia="zh-CN"/>
              </w:rPr>
              <w:t>玻璃</w:t>
            </w:r>
            <w:r>
              <w:rPr>
                <w:rFonts w:hint="eastAsia" w:ascii="仿宋" w:hAnsi="仿宋" w:eastAsia="仿宋" w:cs="宋体"/>
                <w:bCs/>
                <w:sz w:val="18"/>
                <w:szCs w:val="18"/>
              </w:rPr>
              <w:t>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9" w:type="dxa"/>
            <w:vMerge w:val="restart"/>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建筑完损情况</w:t>
            </w:r>
          </w:p>
        </w:tc>
        <w:tc>
          <w:tcPr>
            <w:tcW w:w="1212" w:type="dxa"/>
            <w:gridSpan w:val="2"/>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结   构</w:t>
            </w:r>
          </w:p>
        </w:tc>
        <w:tc>
          <w:tcPr>
            <w:tcW w:w="7584" w:type="dxa"/>
            <w:gridSpan w:val="7"/>
            <w:vAlign w:val="center"/>
          </w:tcPr>
          <w:p>
            <w:pPr>
              <w:spacing w:line="240" w:lineRule="exact"/>
              <w:rPr>
                <w:rFonts w:ascii="仿宋" w:hAnsi="仿宋" w:eastAsia="仿宋" w:cs="宋体"/>
                <w:sz w:val="18"/>
                <w:szCs w:val="18"/>
              </w:rPr>
            </w:pPr>
            <w:r>
              <w:rPr>
                <w:rFonts w:hint="eastAsia" w:ascii="仿宋" w:hAnsi="仿宋" w:eastAsia="仿宋" w:cs="宋体"/>
                <w:sz w:val="18"/>
                <w:szCs w:val="18"/>
              </w:rPr>
              <w:t>房屋整体</w:t>
            </w:r>
            <w:r>
              <w:rPr>
                <w:rFonts w:hint="eastAsia" w:ascii="仿宋" w:hAnsi="仿宋" w:eastAsia="仿宋" w:cs="宋体"/>
                <w:sz w:val="18"/>
                <w:szCs w:val="18"/>
                <w:lang w:eastAsia="zh-CN"/>
              </w:rPr>
              <w:t>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9" w:type="dxa"/>
            <w:vMerge w:val="continue"/>
            <w:vAlign w:val="center"/>
          </w:tcPr>
          <w:p>
            <w:pPr>
              <w:widowControl/>
              <w:spacing w:line="240" w:lineRule="exact"/>
              <w:jc w:val="center"/>
              <w:rPr>
                <w:rFonts w:ascii="仿宋" w:hAnsi="仿宋" w:eastAsia="仿宋" w:cs="宋体"/>
                <w:bCs/>
                <w:spacing w:val="-20"/>
                <w:sz w:val="18"/>
                <w:szCs w:val="18"/>
              </w:rPr>
            </w:pPr>
          </w:p>
        </w:tc>
        <w:tc>
          <w:tcPr>
            <w:tcW w:w="1212" w:type="dxa"/>
            <w:gridSpan w:val="2"/>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装饰装修</w:t>
            </w:r>
          </w:p>
        </w:tc>
        <w:tc>
          <w:tcPr>
            <w:tcW w:w="7584" w:type="dxa"/>
            <w:gridSpan w:val="7"/>
            <w:vAlign w:val="center"/>
          </w:tcPr>
          <w:p>
            <w:pPr>
              <w:spacing w:line="240" w:lineRule="exact"/>
              <w:rPr>
                <w:rFonts w:ascii="仿宋" w:hAnsi="仿宋" w:eastAsia="仿宋" w:cs="宋体"/>
                <w:sz w:val="18"/>
                <w:szCs w:val="18"/>
              </w:rPr>
            </w:pPr>
            <w:r>
              <w:rPr>
                <w:rFonts w:hint="eastAsia" w:ascii="仿宋" w:hAnsi="仿宋" w:eastAsia="仿宋" w:cs="宋体"/>
                <w:sz w:val="18"/>
                <w:szCs w:val="18"/>
              </w:rPr>
              <w:t>装饰装修维护保养情况</w:t>
            </w:r>
            <w:r>
              <w:rPr>
                <w:rFonts w:hint="eastAsia" w:ascii="仿宋" w:hAnsi="仿宋" w:eastAsia="仿宋" w:cs="宋体"/>
                <w:sz w:val="18"/>
                <w:szCs w:val="18"/>
                <w:lang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9" w:type="dxa"/>
            <w:vMerge w:val="continue"/>
            <w:vAlign w:val="center"/>
          </w:tcPr>
          <w:p>
            <w:pPr>
              <w:widowControl/>
              <w:spacing w:line="240" w:lineRule="exact"/>
              <w:jc w:val="center"/>
              <w:rPr>
                <w:rFonts w:ascii="仿宋" w:hAnsi="仿宋" w:eastAsia="仿宋" w:cs="宋体"/>
                <w:bCs/>
                <w:spacing w:val="-20"/>
                <w:sz w:val="18"/>
                <w:szCs w:val="18"/>
              </w:rPr>
            </w:pPr>
          </w:p>
        </w:tc>
        <w:tc>
          <w:tcPr>
            <w:tcW w:w="1212" w:type="dxa"/>
            <w:gridSpan w:val="2"/>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设   备</w:t>
            </w:r>
          </w:p>
        </w:tc>
        <w:tc>
          <w:tcPr>
            <w:tcW w:w="7584" w:type="dxa"/>
            <w:gridSpan w:val="7"/>
            <w:vAlign w:val="center"/>
          </w:tcPr>
          <w:p>
            <w:pPr>
              <w:spacing w:line="240" w:lineRule="exact"/>
              <w:rPr>
                <w:rFonts w:ascii="仿宋" w:hAnsi="仿宋" w:eastAsia="仿宋" w:cs="宋体"/>
                <w:sz w:val="18"/>
                <w:szCs w:val="18"/>
              </w:rPr>
            </w:pPr>
            <w:r>
              <w:rPr>
                <w:rFonts w:hint="eastAsia" w:ascii="仿宋" w:hAnsi="仿宋" w:eastAsia="仿宋" w:cs="宋体"/>
                <w:sz w:val="18"/>
                <w:szCs w:val="18"/>
              </w:rPr>
              <w:t>正常利用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9" w:type="dxa"/>
            <w:vMerge w:val="continue"/>
            <w:vAlign w:val="center"/>
          </w:tcPr>
          <w:p>
            <w:pPr>
              <w:widowControl/>
              <w:spacing w:line="240" w:lineRule="exact"/>
              <w:jc w:val="center"/>
              <w:rPr>
                <w:rFonts w:ascii="仿宋" w:hAnsi="仿宋" w:eastAsia="仿宋" w:cs="宋体"/>
                <w:bCs/>
                <w:spacing w:val="-20"/>
                <w:sz w:val="18"/>
                <w:szCs w:val="18"/>
              </w:rPr>
            </w:pPr>
          </w:p>
        </w:tc>
        <w:tc>
          <w:tcPr>
            <w:tcW w:w="1212" w:type="dxa"/>
            <w:gridSpan w:val="2"/>
            <w:vAlign w:val="center"/>
          </w:tcPr>
          <w:p>
            <w:pPr>
              <w:spacing w:line="240" w:lineRule="exact"/>
              <w:jc w:val="center"/>
              <w:rPr>
                <w:rFonts w:ascii="仿宋" w:hAnsi="仿宋" w:eastAsia="仿宋" w:cs="宋体"/>
                <w:bCs/>
                <w:sz w:val="18"/>
                <w:szCs w:val="18"/>
              </w:rPr>
            </w:pPr>
            <w:r>
              <w:rPr>
                <w:rFonts w:hint="eastAsia" w:ascii="仿宋" w:hAnsi="仿宋" w:eastAsia="仿宋" w:cs="宋体"/>
                <w:bCs/>
                <w:sz w:val="18"/>
                <w:szCs w:val="18"/>
              </w:rPr>
              <w:t>建筑综合</w:t>
            </w:r>
          </w:p>
          <w:p>
            <w:pPr>
              <w:spacing w:line="240" w:lineRule="exact"/>
              <w:jc w:val="center"/>
              <w:rPr>
                <w:rFonts w:ascii="仿宋" w:hAnsi="仿宋" w:eastAsia="仿宋" w:cs="宋体"/>
                <w:bCs/>
                <w:sz w:val="18"/>
                <w:szCs w:val="18"/>
              </w:rPr>
            </w:pPr>
            <w:r>
              <w:rPr>
                <w:rFonts w:hint="eastAsia" w:ascii="仿宋" w:hAnsi="仿宋" w:eastAsia="仿宋" w:cs="宋体"/>
                <w:bCs/>
                <w:sz w:val="18"/>
                <w:szCs w:val="18"/>
              </w:rPr>
              <w:t>成新率</w:t>
            </w:r>
          </w:p>
        </w:tc>
        <w:tc>
          <w:tcPr>
            <w:tcW w:w="7584" w:type="dxa"/>
            <w:gridSpan w:val="7"/>
            <w:vAlign w:val="center"/>
          </w:tcPr>
          <w:p>
            <w:pPr>
              <w:spacing w:line="240" w:lineRule="exact"/>
              <w:rPr>
                <w:rFonts w:ascii="仿宋" w:hAnsi="仿宋" w:eastAsia="仿宋" w:cs="宋体"/>
                <w:sz w:val="18"/>
                <w:szCs w:val="18"/>
              </w:rPr>
            </w:pPr>
            <w:r>
              <w:rPr>
                <w:rFonts w:hint="eastAsia" w:ascii="仿宋" w:hAnsi="仿宋" w:eastAsia="仿宋" w:cs="宋体"/>
                <w:sz w:val="18"/>
                <w:szCs w:val="18"/>
              </w:rPr>
              <w:t>综合建筑物的设计使用年限、地基与墙面、主体结构、配套设施设备、维护保养状况等因素，房屋整体</w:t>
            </w:r>
            <w:r>
              <w:rPr>
                <w:rFonts w:hint="eastAsia" w:ascii="仿宋" w:hAnsi="仿宋" w:eastAsia="仿宋" w:cs="宋体"/>
                <w:sz w:val="18"/>
                <w:szCs w:val="18"/>
                <w:lang w:eastAsia="zh-CN"/>
              </w:rPr>
              <w:t>成新率超过</w:t>
            </w:r>
            <w:r>
              <w:rPr>
                <w:rFonts w:hint="eastAsia" w:ascii="仿宋" w:hAnsi="仿宋" w:eastAsia="仿宋" w:cs="宋体"/>
                <w:sz w:val="18"/>
                <w:szCs w:val="18"/>
                <w:lang w:val="en-US" w:eastAsia="zh-CN"/>
              </w:rPr>
              <w:t>8成新</w:t>
            </w:r>
            <w:r>
              <w:rPr>
                <w:rFonts w:hint="eastAsia" w:ascii="仿宋" w:hAnsi="仿宋" w:eastAsia="仿宋" w:cs="宋体"/>
                <w:sz w:val="18"/>
                <w:szCs w:val="18"/>
              </w:rPr>
              <w:t>。</w:t>
            </w:r>
          </w:p>
        </w:tc>
      </w:tr>
    </w:tbl>
    <w:p>
      <w:pPr>
        <w:spacing w:line="440" w:lineRule="exact"/>
        <w:ind w:firstLine="472" w:firstLineChars="196"/>
        <w:rPr>
          <w:rFonts w:ascii="仿宋" w:hAnsi="仿宋" w:eastAsia="仿宋" w:cs="宋体"/>
          <w:b/>
          <w:kern w:val="0"/>
          <w:sz w:val="24"/>
          <w:szCs w:val="24"/>
        </w:rPr>
      </w:pPr>
      <w:r>
        <w:rPr>
          <w:rFonts w:hint="eastAsia" w:ascii="仿宋" w:hAnsi="仿宋" w:eastAsia="仿宋" w:cs="宋体"/>
          <w:b/>
          <w:sz w:val="24"/>
          <w:szCs w:val="24"/>
        </w:rPr>
        <w:t>(四)估价对象区位状况</w:t>
      </w:r>
    </w:p>
    <w:p>
      <w:pPr>
        <w:spacing w:line="440" w:lineRule="exact"/>
        <w:ind w:firstLine="470" w:firstLineChars="196"/>
        <w:rPr>
          <w:rFonts w:ascii="仿宋" w:hAnsi="仿宋" w:eastAsia="仿宋" w:cs="宋体"/>
          <w:b/>
          <w:kern w:val="0"/>
          <w:sz w:val="24"/>
          <w:szCs w:val="24"/>
          <w:lang w:val="eu-ES"/>
        </w:rPr>
      </w:pPr>
      <w:r>
        <w:rPr>
          <w:rFonts w:hint="eastAsia" w:ascii="仿宋" w:hAnsi="仿宋" w:eastAsia="仿宋" w:cs="宋体"/>
          <w:sz w:val="24"/>
          <w:szCs w:val="24"/>
        </w:rPr>
        <w:t>估价对象位于</w:t>
      </w:r>
      <w:r>
        <w:rPr>
          <w:rFonts w:hint="eastAsia" w:ascii="仿宋" w:hAnsi="仿宋" w:eastAsia="仿宋" w:cs="宋体"/>
          <w:sz w:val="24"/>
          <w:szCs w:val="24"/>
          <w:lang w:eastAsia="zh-CN"/>
        </w:rPr>
        <w:t>毕节市清水铺镇东山村东山组</w:t>
      </w:r>
      <w:r>
        <w:rPr>
          <w:rFonts w:hint="eastAsia" w:ascii="仿宋" w:hAnsi="仿宋" w:eastAsia="仿宋" w:cs="宋体"/>
          <w:sz w:val="24"/>
          <w:szCs w:val="24"/>
          <w:lang w:val="en-US" w:eastAsia="zh-CN"/>
        </w:rPr>
        <w:t xml:space="preserve">21 </w:t>
      </w:r>
      <w:r>
        <w:rPr>
          <w:rFonts w:hint="eastAsia" w:ascii="仿宋" w:hAnsi="仿宋" w:eastAsia="仿宋" w:cs="宋体"/>
          <w:sz w:val="24"/>
          <w:szCs w:val="24"/>
        </w:rPr>
        <w:t>号，根据估价人员实地查勘,估价对象的主要区位状况详见下表：</w:t>
      </w:r>
      <w:bookmarkStart w:id="39" w:name="_Toc320276196"/>
      <w:bookmarkStart w:id="40" w:name="_Toc320184507"/>
      <w:bookmarkStart w:id="41" w:name="_Toc320173777"/>
    </w:p>
    <w:p>
      <w:pPr>
        <w:tabs>
          <w:tab w:val="left" w:pos="430"/>
        </w:tabs>
        <w:spacing w:line="440" w:lineRule="exact"/>
        <w:rPr>
          <w:rFonts w:ascii="仿宋" w:hAnsi="仿宋" w:eastAsia="仿宋" w:cs="宋体"/>
          <w:sz w:val="24"/>
          <w:szCs w:val="24"/>
        </w:rPr>
      </w:pPr>
      <w:r>
        <w:rPr>
          <w:rFonts w:hint="eastAsia" w:ascii="仿宋" w:hAnsi="仿宋" w:eastAsia="仿宋" w:cs="宋体"/>
          <w:szCs w:val="21"/>
        </w:rPr>
        <w:t>表4-</w:t>
      </w:r>
      <w:r>
        <w:rPr>
          <w:rFonts w:hint="eastAsia" w:ascii="仿宋" w:hAnsi="仿宋" w:eastAsia="仿宋" w:cs="宋体"/>
          <w:szCs w:val="21"/>
          <w:lang w:val="en-US" w:eastAsia="zh-CN"/>
        </w:rPr>
        <w:t>3</w:t>
      </w:r>
      <w:r>
        <w:rPr>
          <w:rFonts w:hint="eastAsia" w:ascii="仿宋" w:hAnsi="仿宋" w:eastAsia="仿宋" w:cs="宋体"/>
          <w:sz w:val="24"/>
          <w:szCs w:val="24"/>
        </w:rPr>
        <w:t xml:space="preserve">                     估价对象区位状况一览表</w:t>
      </w:r>
    </w:p>
    <w:tbl>
      <w:tblPr>
        <w:tblStyle w:val="43"/>
        <w:tblW w:w="90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60"/>
        <w:gridCol w:w="6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6" w:type="dxa"/>
            <w:vMerge w:val="restart"/>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位置</w:t>
            </w:r>
          </w:p>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状况</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坐   落</w:t>
            </w:r>
          </w:p>
        </w:tc>
        <w:tc>
          <w:tcPr>
            <w:tcW w:w="680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仿宋" w:hAnsi="仿宋" w:eastAsia="仿宋" w:cs="宋体"/>
                <w:bCs/>
                <w:sz w:val="18"/>
                <w:szCs w:val="18"/>
              </w:rPr>
            </w:pPr>
            <w:r>
              <w:rPr>
                <w:rFonts w:hint="eastAsia" w:ascii="仿宋" w:hAnsi="仿宋" w:eastAsia="仿宋" w:cs="宋体"/>
                <w:bCs/>
                <w:sz w:val="18"/>
                <w:szCs w:val="18"/>
                <w:lang w:eastAsia="zh-CN"/>
              </w:rPr>
              <w:t>毕节市清水铺镇东山村东山组</w:t>
            </w:r>
            <w:r>
              <w:rPr>
                <w:rFonts w:hint="eastAsia" w:ascii="仿宋" w:hAnsi="仿宋" w:eastAsia="仿宋" w:cs="宋体"/>
                <w:bCs/>
                <w:sz w:val="18"/>
                <w:szCs w:val="18"/>
                <w:lang w:val="en-US" w:eastAsia="zh-CN"/>
              </w:rPr>
              <w:t xml:space="preserve">21 </w:t>
            </w:r>
            <w:r>
              <w:rPr>
                <w:rFonts w:hint="eastAsia" w:ascii="仿宋" w:hAnsi="仿宋" w:eastAsia="仿宋" w:cs="宋体"/>
                <w:bCs/>
                <w:sz w:val="18"/>
                <w:szCs w:val="1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676" w:type="dxa"/>
            <w:vMerge w:val="continue"/>
            <w:tcBorders>
              <w:left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方   位</w:t>
            </w:r>
          </w:p>
        </w:tc>
        <w:tc>
          <w:tcPr>
            <w:tcW w:w="680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cs="宋体"/>
                <w:bCs/>
                <w:sz w:val="18"/>
                <w:szCs w:val="18"/>
              </w:rPr>
            </w:pPr>
            <w:r>
              <w:rPr>
                <w:rFonts w:hint="eastAsia" w:ascii="仿宋" w:hAnsi="仿宋" w:eastAsia="仿宋" w:cs="宋体"/>
                <w:bCs/>
                <w:sz w:val="18"/>
                <w:szCs w:val="18"/>
              </w:rPr>
              <w:t>位于</w:t>
            </w:r>
            <w:r>
              <w:rPr>
                <w:rFonts w:hint="eastAsia" w:ascii="仿宋" w:hAnsi="仿宋" w:eastAsia="仿宋" w:cs="宋体"/>
                <w:bCs/>
                <w:sz w:val="18"/>
                <w:szCs w:val="18"/>
                <w:lang w:eastAsia="zh-CN"/>
              </w:rPr>
              <w:t>清水铺镇马家田附近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6" w:type="dxa"/>
            <w:vMerge w:val="continue"/>
            <w:tcBorders>
              <w:left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距县中心</w:t>
            </w:r>
          </w:p>
        </w:tc>
        <w:tc>
          <w:tcPr>
            <w:tcW w:w="680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cs="宋体"/>
                <w:bCs/>
                <w:sz w:val="18"/>
                <w:szCs w:val="18"/>
              </w:rPr>
            </w:pPr>
            <w:r>
              <w:rPr>
                <w:rFonts w:hint="eastAsia" w:ascii="仿宋" w:hAnsi="仿宋" w:eastAsia="仿宋" w:cs="宋体"/>
                <w:bCs/>
                <w:sz w:val="18"/>
                <w:szCs w:val="18"/>
              </w:rPr>
              <w:t>位于</w:t>
            </w:r>
            <w:r>
              <w:rPr>
                <w:rFonts w:hint="eastAsia" w:ascii="仿宋" w:hAnsi="仿宋" w:eastAsia="仿宋" w:cs="宋体"/>
                <w:bCs/>
                <w:sz w:val="18"/>
                <w:szCs w:val="18"/>
                <w:lang w:eastAsia="zh-CN"/>
              </w:rPr>
              <w:t>毕节市</w:t>
            </w:r>
            <w:r>
              <w:rPr>
                <w:rFonts w:hint="eastAsia" w:ascii="仿宋" w:hAnsi="仿宋" w:eastAsia="仿宋" w:cs="宋体"/>
                <w:bCs/>
                <w:sz w:val="18"/>
                <w:szCs w:val="18"/>
              </w:rPr>
              <w:t>中心</w:t>
            </w:r>
            <w:r>
              <w:rPr>
                <w:rFonts w:hint="eastAsia" w:ascii="仿宋" w:hAnsi="仿宋" w:eastAsia="仿宋" w:cs="宋体"/>
                <w:bCs/>
                <w:sz w:val="18"/>
                <w:szCs w:val="18"/>
                <w:lang w:eastAsia="zh-CN"/>
              </w:rPr>
              <w:t>约</w:t>
            </w:r>
            <w:r>
              <w:rPr>
                <w:rFonts w:hint="eastAsia" w:ascii="仿宋" w:hAnsi="仿宋" w:eastAsia="仿宋" w:cs="宋体"/>
                <w:bCs/>
                <w:sz w:val="18"/>
                <w:szCs w:val="18"/>
                <w:lang w:val="en-US" w:eastAsia="zh-CN"/>
              </w:rPr>
              <w:t>100</w:t>
            </w:r>
            <w:r>
              <w:rPr>
                <w:rFonts w:hint="eastAsia" w:ascii="仿宋" w:hAnsi="仿宋" w:eastAsia="仿宋" w:cs="宋体"/>
                <w:bCs/>
                <w:sz w:val="18"/>
                <w:szCs w:val="18"/>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6" w:type="dxa"/>
            <w:vMerge w:val="continue"/>
            <w:tcBorders>
              <w:left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距政务中心</w:t>
            </w:r>
          </w:p>
        </w:tc>
        <w:tc>
          <w:tcPr>
            <w:tcW w:w="680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cs="宋体"/>
                <w:bCs/>
                <w:sz w:val="18"/>
                <w:szCs w:val="18"/>
              </w:rPr>
            </w:pPr>
            <w:r>
              <w:rPr>
                <w:rFonts w:hint="eastAsia" w:ascii="仿宋" w:hAnsi="仿宋" w:eastAsia="仿宋" w:cs="宋体"/>
                <w:bCs/>
                <w:sz w:val="18"/>
                <w:szCs w:val="18"/>
              </w:rPr>
              <w:t>距</w:t>
            </w:r>
            <w:r>
              <w:rPr>
                <w:rFonts w:hint="eastAsia" w:ascii="仿宋" w:hAnsi="仿宋" w:eastAsia="仿宋" w:cs="宋体"/>
                <w:bCs/>
                <w:sz w:val="18"/>
                <w:szCs w:val="18"/>
                <w:lang w:eastAsia="zh-CN"/>
              </w:rPr>
              <w:t>毕节节市政府</w:t>
            </w:r>
            <w:r>
              <w:rPr>
                <w:rFonts w:hint="eastAsia" w:ascii="仿宋" w:hAnsi="仿宋" w:eastAsia="仿宋" w:cs="宋体"/>
                <w:bCs/>
                <w:sz w:val="18"/>
                <w:szCs w:val="18"/>
              </w:rPr>
              <w:t>政府约</w:t>
            </w:r>
            <w:r>
              <w:rPr>
                <w:rFonts w:hint="eastAsia" w:ascii="仿宋" w:hAnsi="仿宋" w:eastAsia="仿宋" w:cs="宋体"/>
                <w:bCs/>
                <w:sz w:val="18"/>
                <w:szCs w:val="18"/>
                <w:lang w:val="en-US" w:eastAsia="zh-CN"/>
              </w:rPr>
              <w:t>100</w:t>
            </w:r>
            <w:r>
              <w:rPr>
                <w:rFonts w:hint="eastAsia" w:ascii="仿宋" w:hAnsi="仿宋" w:eastAsia="仿宋" w:cs="宋体"/>
                <w:bCs/>
                <w:sz w:val="18"/>
                <w:szCs w:val="18"/>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6" w:type="dxa"/>
            <w:vMerge w:val="continue"/>
            <w:tcBorders>
              <w:left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土地级别</w:t>
            </w:r>
          </w:p>
        </w:tc>
        <w:tc>
          <w:tcPr>
            <w:tcW w:w="680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cs="宋体"/>
                <w:bCs/>
                <w:sz w:val="18"/>
                <w:szCs w:val="18"/>
              </w:rPr>
            </w:pPr>
            <w:r>
              <w:rPr>
                <w:rFonts w:hint="eastAsia" w:ascii="仿宋" w:hAnsi="仿宋" w:eastAsia="仿宋"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6" w:type="dxa"/>
            <w:vMerge w:val="continue"/>
            <w:tcBorders>
              <w:left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临街状况</w:t>
            </w:r>
          </w:p>
        </w:tc>
        <w:tc>
          <w:tcPr>
            <w:tcW w:w="680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cs="宋体"/>
                <w:bCs/>
                <w:sz w:val="18"/>
                <w:szCs w:val="18"/>
              </w:rPr>
            </w:pPr>
            <w:r>
              <w:rPr>
                <w:rFonts w:hint="eastAsia" w:ascii="仿宋" w:hAnsi="仿宋" w:eastAsia="仿宋" w:cs="宋体"/>
                <w:bCs/>
                <w:sz w:val="18"/>
                <w:szCs w:val="18"/>
              </w:rPr>
              <w:t>不临街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6" w:type="dxa"/>
            <w:vMerge w:val="continue"/>
            <w:tcBorders>
              <w:left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城市规划</w:t>
            </w:r>
          </w:p>
        </w:tc>
        <w:tc>
          <w:tcPr>
            <w:tcW w:w="680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cs="宋体"/>
                <w:bCs/>
                <w:sz w:val="18"/>
                <w:szCs w:val="18"/>
              </w:rPr>
            </w:pPr>
            <w:r>
              <w:rPr>
                <w:rFonts w:hint="eastAsia" w:ascii="仿宋" w:hAnsi="仿宋" w:eastAsia="仿宋" w:cs="宋体"/>
                <w:bCs/>
                <w:sz w:val="18"/>
                <w:szCs w:val="18"/>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6" w:type="dxa"/>
            <w:vMerge w:val="restart"/>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交通</w:t>
            </w:r>
          </w:p>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状况</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道路状况</w:t>
            </w:r>
          </w:p>
        </w:tc>
        <w:tc>
          <w:tcPr>
            <w:tcW w:w="680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cs="宋体"/>
                <w:kern w:val="0"/>
                <w:sz w:val="18"/>
                <w:szCs w:val="18"/>
              </w:rPr>
            </w:pPr>
            <w:r>
              <w:rPr>
                <w:rFonts w:hint="eastAsia" w:ascii="仿宋" w:hAnsi="仿宋" w:eastAsia="仿宋" w:cs="宋体"/>
                <w:kern w:val="0"/>
                <w:sz w:val="18"/>
                <w:szCs w:val="18"/>
              </w:rPr>
              <w:t>临乡村道路，道路通达度一般。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6" w:type="dxa"/>
            <w:vMerge w:val="continue"/>
            <w:tcBorders>
              <w:left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公共交通</w:t>
            </w:r>
          </w:p>
        </w:tc>
        <w:tc>
          <w:tcPr>
            <w:tcW w:w="680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cs="宋体"/>
                <w:bCs/>
                <w:sz w:val="18"/>
                <w:szCs w:val="18"/>
              </w:rPr>
            </w:pPr>
            <w:r>
              <w:rPr>
                <w:rFonts w:hint="eastAsia" w:ascii="仿宋" w:hAnsi="仿宋" w:eastAsia="仿宋" w:cs="宋体"/>
                <w:bCs/>
                <w:sz w:val="18"/>
                <w:szCs w:val="18"/>
              </w:rPr>
              <w:t>无公交车经过，便捷度差。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6" w:type="dxa"/>
            <w:vMerge w:val="continue"/>
            <w:tcBorders>
              <w:left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距客运站</w:t>
            </w:r>
          </w:p>
        </w:tc>
        <w:tc>
          <w:tcPr>
            <w:tcW w:w="680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cs="宋体"/>
                <w:bCs/>
                <w:sz w:val="18"/>
                <w:szCs w:val="18"/>
              </w:rPr>
            </w:pPr>
            <w:r>
              <w:rPr>
                <w:rFonts w:hint="eastAsia" w:ascii="仿宋" w:hAnsi="仿宋" w:eastAsia="仿宋" w:cs="宋体"/>
                <w:bCs/>
                <w:sz w:val="18"/>
                <w:szCs w:val="18"/>
              </w:rPr>
              <w:t>距</w:t>
            </w:r>
            <w:r>
              <w:rPr>
                <w:rFonts w:hint="eastAsia" w:ascii="仿宋" w:hAnsi="仿宋" w:eastAsia="仿宋" w:cs="宋体"/>
                <w:bCs/>
                <w:sz w:val="18"/>
                <w:szCs w:val="18"/>
                <w:lang w:eastAsia="zh-CN"/>
              </w:rPr>
              <w:t>清水铺镇</w:t>
            </w:r>
            <w:r>
              <w:rPr>
                <w:rFonts w:hint="eastAsia" w:ascii="仿宋" w:hAnsi="仿宋" w:eastAsia="仿宋" w:cs="宋体"/>
                <w:bCs/>
                <w:sz w:val="18"/>
                <w:szCs w:val="18"/>
              </w:rPr>
              <w:t>客运站约</w:t>
            </w:r>
            <w:r>
              <w:rPr>
                <w:rFonts w:hint="eastAsia" w:ascii="仿宋" w:hAnsi="仿宋" w:eastAsia="仿宋" w:cs="宋体"/>
                <w:bCs/>
                <w:sz w:val="18"/>
                <w:szCs w:val="18"/>
                <w:lang w:val="en-US" w:eastAsia="zh-CN"/>
              </w:rPr>
              <w:t>5</w:t>
            </w:r>
            <w:r>
              <w:rPr>
                <w:rFonts w:hint="eastAsia" w:ascii="仿宋" w:hAnsi="仿宋" w:eastAsia="仿宋" w:cs="宋体"/>
                <w:bCs/>
                <w:sz w:val="18"/>
                <w:szCs w:val="18"/>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6" w:type="dxa"/>
            <w:vMerge w:val="continue"/>
            <w:tcBorders>
              <w:left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距机场</w:t>
            </w:r>
          </w:p>
        </w:tc>
        <w:tc>
          <w:tcPr>
            <w:tcW w:w="680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cs="宋体"/>
                <w:bCs/>
                <w:sz w:val="18"/>
                <w:szCs w:val="18"/>
              </w:rPr>
            </w:pPr>
            <w:r>
              <w:rPr>
                <w:rFonts w:hint="eastAsia" w:ascii="仿宋" w:hAnsi="仿宋" w:eastAsia="仿宋"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6" w:type="dxa"/>
            <w:vMerge w:val="continue"/>
            <w:tcBorders>
              <w:left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交通管制</w:t>
            </w:r>
          </w:p>
        </w:tc>
        <w:tc>
          <w:tcPr>
            <w:tcW w:w="680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cs="宋体"/>
                <w:bCs/>
                <w:sz w:val="18"/>
                <w:szCs w:val="18"/>
              </w:rPr>
            </w:pPr>
            <w:r>
              <w:rPr>
                <w:rFonts w:hint="eastAsia" w:ascii="仿宋" w:hAnsi="仿宋" w:eastAsia="仿宋"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6" w:type="dxa"/>
            <w:vMerge w:val="continue"/>
            <w:tcBorders>
              <w:left w:val="single" w:color="auto" w:sz="4" w:space="0"/>
              <w:bottom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停车便利度</w:t>
            </w:r>
          </w:p>
        </w:tc>
        <w:tc>
          <w:tcPr>
            <w:tcW w:w="680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cs="宋体"/>
                <w:bCs/>
                <w:sz w:val="18"/>
                <w:szCs w:val="18"/>
              </w:rPr>
            </w:pPr>
            <w:r>
              <w:rPr>
                <w:rFonts w:hint="eastAsia" w:ascii="仿宋" w:hAnsi="仿宋" w:eastAsia="仿宋" w:cs="宋体"/>
                <w:bCs/>
                <w:sz w:val="18"/>
                <w:szCs w:val="18"/>
              </w:rPr>
              <w:t>无固定车位，门口可停车，停车</w:t>
            </w:r>
            <w:r>
              <w:rPr>
                <w:rFonts w:hint="eastAsia" w:ascii="仿宋" w:hAnsi="仿宋" w:eastAsia="仿宋" w:cs="宋体"/>
                <w:kern w:val="0"/>
                <w:sz w:val="18"/>
                <w:szCs w:val="18"/>
              </w:rPr>
              <w:t>便利度一般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6" w:type="dxa"/>
            <w:vMerge w:val="restart"/>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环境状况</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自然环境</w:t>
            </w:r>
          </w:p>
        </w:tc>
        <w:tc>
          <w:tcPr>
            <w:tcW w:w="680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cs="宋体"/>
                <w:bCs/>
                <w:sz w:val="18"/>
                <w:szCs w:val="18"/>
              </w:rPr>
            </w:pPr>
            <w:r>
              <w:rPr>
                <w:rFonts w:hint="eastAsia" w:ascii="仿宋" w:hAnsi="仿宋" w:eastAsia="仿宋" w:cs="宋体"/>
                <w:bCs/>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6" w:type="dxa"/>
            <w:vMerge w:val="continue"/>
            <w:tcBorders>
              <w:left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人文环境</w:t>
            </w:r>
          </w:p>
        </w:tc>
        <w:tc>
          <w:tcPr>
            <w:tcW w:w="680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cs="宋体"/>
                <w:bCs/>
                <w:sz w:val="18"/>
                <w:szCs w:val="18"/>
              </w:rPr>
            </w:pPr>
            <w:r>
              <w:rPr>
                <w:rFonts w:hint="eastAsia" w:ascii="仿宋" w:hAnsi="仿宋" w:eastAsia="仿宋" w:cs="宋体"/>
                <w:bCs/>
                <w:sz w:val="18"/>
                <w:szCs w:val="18"/>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6" w:type="dxa"/>
            <w:vMerge w:val="continue"/>
            <w:tcBorders>
              <w:left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噪音治安</w:t>
            </w:r>
          </w:p>
        </w:tc>
        <w:tc>
          <w:tcPr>
            <w:tcW w:w="680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仿宋" w:hAnsi="仿宋" w:eastAsia="仿宋" w:cs="宋体"/>
                <w:bCs/>
                <w:sz w:val="18"/>
                <w:szCs w:val="18"/>
                <w:lang w:eastAsia="zh-CN"/>
              </w:rPr>
            </w:pPr>
            <w:r>
              <w:rPr>
                <w:rFonts w:hint="eastAsia" w:ascii="仿宋" w:hAnsi="仿宋" w:eastAsia="仿宋" w:cs="宋体"/>
                <w:bCs/>
                <w:sz w:val="18"/>
                <w:szCs w:val="18"/>
                <w:lang w:eastAsia="zh-CN"/>
              </w:rPr>
              <w:t>噪音小，治安较好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6" w:type="dxa"/>
            <w:vMerge w:val="continue"/>
            <w:tcBorders>
              <w:left w:val="single" w:color="auto" w:sz="4" w:space="0"/>
              <w:bottom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空气质量</w:t>
            </w:r>
          </w:p>
        </w:tc>
        <w:tc>
          <w:tcPr>
            <w:tcW w:w="680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cs="宋体"/>
                <w:bCs/>
                <w:sz w:val="18"/>
                <w:szCs w:val="18"/>
              </w:rPr>
            </w:pPr>
            <w:r>
              <w:rPr>
                <w:rFonts w:hint="eastAsia" w:ascii="仿宋" w:hAnsi="仿宋" w:eastAsia="仿宋" w:cs="宋体"/>
                <w:bCs/>
                <w:sz w:val="18"/>
                <w:szCs w:val="18"/>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6" w:type="dxa"/>
            <w:vMerge w:val="restart"/>
            <w:tcBorders>
              <w:top w:val="single" w:color="auto" w:sz="4" w:space="0"/>
              <w:left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外部配套设施</w:t>
            </w: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基础设施</w:t>
            </w:r>
          </w:p>
        </w:tc>
        <w:tc>
          <w:tcPr>
            <w:tcW w:w="680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hint="eastAsia" w:ascii="仿宋" w:hAnsi="仿宋" w:eastAsia="仿宋" w:cs="宋体"/>
                <w:kern w:val="0"/>
                <w:sz w:val="18"/>
                <w:szCs w:val="18"/>
                <w:lang w:eastAsia="zh-CN"/>
              </w:rPr>
            </w:pPr>
            <w:r>
              <w:rPr>
                <w:rFonts w:hint="eastAsia" w:ascii="仿宋" w:hAnsi="仿宋" w:eastAsia="仿宋" w:cs="宋体"/>
                <w:bCs/>
                <w:sz w:val="18"/>
                <w:szCs w:val="18"/>
                <w:lang w:eastAsia="zh-CN"/>
              </w:rPr>
              <w:t>三通一平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6" w:type="dxa"/>
            <w:vMerge w:val="continue"/>
            <w:tcBorders>
              <w:left w:val="single" w:color="auto" w:sz="4" w:space="0"/>
              <w:bottom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line="240" w:lineRule="atLeast"/>
              <w:jc w:val="center"/>
              <w:rPr>
                <w:rFonts w:ascii="仿宋" w:hAnsi="仿宋" w:eastAsia="仿宋" w:cs="宋体"/>
                <w:kern w:val="0"/>
                <w:sz w:val="18"/>
                <w:szCs w:val="18"/>
              </w:rPr>
            </w:pPr>
            <w:r>
              <w:rPr>
                <w:rFonts w:hint="eastAsia" w:ascii="仿宋" w:hAnsi="仿宋" w:eastAsia="仿宋" w:cs="宋体"/>
                <w:kern w:val="0"/>
                <w:sz w:val="18"/>
                <w:szCs w:val="18"/>
              </w:rPr>
              <w:t>公共服务设施</w:t>
            </w:r>
          </w:p>
        </w:tc>
        <w:tc>
          <w:tcPr>
            <w:tcW w:w="6800" w:type="dxa"/>
            <w:tcBorders>
              <w:top w:val="single" w:color="auto" w:sz="4" w:space="0"/>
              <w:left w:val="single" w:color="auto" w:sz="4" w:space="0"/>
              <w:bottom w:val="single" w:color="auto" w:sz="4" w:space="0"/>
              <w:right w:val="single" w:color="auto" w:sz="4" w:space="0"/>
            </w:tcBorders>
            <w:vAlign w:val="center"/>
          </w:tcPr>
          <w:p>
            <w:pPr>
              <w:spacing w:line="240" w:lineRule="atLeast"/>
              <w:rPr>
                <w:rFonts w:ascii="仿宋" w:hAnsi="仿宋" w:eastAsia="仿宋" w:cs="宋体"/>
                <w:kern w:val="0"/>
                <w:sz w:val="18"/>
                <w:szCs w:val="18"/>
              </w:rPr>
            </w:pPr>
            <w:r>
              <w:rPr>
                <w:rFonts w:hint="eastAsia" w:ascii="仿宋" w:hAnsi="仿宋" w:eastAsia="仿宋" w:cs="宋体"/>
                <w:bCs/>
                <w:sz w:val="18"/>
                <w:szCs w:val="18"/>
              </w:rPr>
              <w:t>/</w:t>
            </w:r>
          </w:p>
        </w:tc>
      </w:tr>
      <w:bookmarkEnd w:id="39"/>
      <w:bookmarkEnd w:id="40"/>
      <w:bookmarkEnd w:id="41"/>
    </w:tbl>
    <w:p>
      <w:pPr>
        <w:pStyle w:val="4"/>
        <w:numPr>
          <w:ilvl w:val="0"/>
          <w:numId w:val="4"/>
        </w:numPr>
        <w:spacing w:line="480" w:lineRule="exact"/>
        <w:rPr>
          <w:rFonts w:ascii="仿宋" w:hAnsi="仿宋" w:eastAsia="仿宋" w:cs="宋体"/>
          <w:sz w:val="24"/>
          <w:szCs w:val="24"/>
        </w:rPr>
      </w:pPr>
      <w:bookmarkStart w:id="42" w:name="_Toc18646"/>
      <w:bookmarkStart w:id="43" w:name="_Toc25036"/>
      <w:r>
        <w:rPr>
          <w:rFonts w:hint="eastAsia" w:ascii="仿宋" w:hAnsi="仿宋" w:eastAsia="仿宋" w:cs="宋体"/>
          <w:sz w:val="24"/>
          <w:szCs w:val="24"/>
        </w:rPr>
        <w:t>价值时点</w:t>
      </w:r>
      <w:bookmarkEnd w:id="42"/>
      <w:bookmarkEnd w:id="43"/>
    </w:p>
    <w:p>
      <w:pPr>
        <w:spacing w:line="480" w:lineRule="exact"/>
        <w:ind w:firstLine="480"/>
        <w:rPr>
          <w:rFonts w:ascii="仿宋" w:hAnsi="仿宋" w:eastAsia="仿宋" w:cs="宋体"/>
          <w:sz w:val="24"/>
          <w:szCs w:val="24"/>
        </w:rPr>
      </w:pPr>
      <w:r>
        <w:rPr>
          <w:rFonts w:hint="eastAsia" w:ascii="仿宋" w:hAnsi="仿宋" w:eastAsia="仿宋" w:cs="宋体"/>
          <w:sz w:val="24"/>
          <w:szCs w:val="24"/>
        </w:rPr>
        <w:t>本次估价的价值时点确定为2019年</w:t>
      </w:r>
      <w:r>
        <w:rPr>
          <w:rFonts w:hint="eastAsia" w:ascii="仿宋" w:hAnsi="仿宋" w:eastAsia="仿宋" w:cs="宋体"/>
          <w:sz w:val="24"/>
          <w:szCs w:val="24"/>
          <w:lang w:val="en-US" w:eastAsia="zh-CN"/>
        </w:rPr>
        <w:t>8</w:t>
      </w:r>
      <w:r>
        <w:rPr>
          <w:rFonts w:hint="eastAsia" w:ascii="仿宋" w:hAnsi="仿宋" w:eastAsia="仿宋" w:cs="宋体"/>
          <w:sz w:val="24"/>
          <w:szCs w:val="24"/>
        </w:rPr>
        <w:t>月</w:t>
      </w:r>
      <w:r>
        <w:rPr>
          <w:rFonts w:hint="eastAsia" w:ascii="仿宋" w:hAnsi="仿宋" w:eastAsia="仿宋" w:cs="宋体"/>
          <w:sz w:val="24"/>
          <w:szCs w:val="24"/>
          <w:lang w:val="en-US" w:eastAsia="zh-CN"/>
        </w:rPr>
        <w:t>16</w:t>
      </w:r>
      <w:r>
        <w:rPr>
          <w:rFonts w:hint="eastAsia" w:ascii="仿宋" w:hAnsi="仿宋" w:eastAsia="仿宋" w:cs="宋体"/>
          <w:sz w:val="24"/>
          <w:szCs w:val="24"/>
        </w:rPr>
        <w:t>日，为注册房地产估价师实地查勘之日。</w:t>
      </w:r>
    </w:p>
    <w:p>
      <w:pPr>
        <w:pStyle w:val="4"/>
        <w:numPr>
          <w:ilvl w:val="0"/>
          <w:numId w:val="4"/>
        </w:numPr>
        <w:spacing w:line="480" w:lineRule="exact"/>
        <w:rPr>
          <w:rFonts w:ascii="仿宋" w:hAnsi="仿宋" w:eastAsia="仿宋" w:cs="宋体"/>
          <w:sz w:val="24"/>
          <w:szCs w:val="24"/>
        </w:rPr>
      </w:pPr>
      <w:bookmarkStart w:id="44" w:name="_Toc320184509"/>
      <w:bookmarkStart w:id="45" w:name="_Toc320173779"/>
      <w:bookmarkStart w:id="46" w:name="_Toc320276198"/>
      <w:bookmarkStart w:id="47" w:name="_Toc347"/>
      <w:bookmarkStart w:id="48" w:name="_Toc13944"/>
      <w:bookmarkStart w:id="49" w:name="_Toc320184510"/>
      <w:bookmarkStart w:id="50" w:name="_Toc320173780"/>
      <w:bookmarkStart w:id="51" w:name="_Toc320276199"/>
      <w:bookmarkStart w:id="52" w:name="_Toc320276202"/>
      <w:bookmarkStart w:id="53" w:name="_Toc320173783"/>
      <w:bookmarkStart w:id="54" w:name="_Toc320184513"/>
      <w:r>
        <w:rPr>
          <w:rFonts w:hint="eastAsia" w:ascii="仿宋" w:hAnsi="仿宋" w:eastAsia="仿宋" w:cs="宋体"/>
          <w:sz w:val="24"/>
          <w:szCs w:val="24"/>
        </w:rPr>
        <w:t>价值</w:t>
      </w:r>
      <w:bookmarkEnd w:id="44"/>
      <w:bookmarkEnd w:id="45"/>
      <w:bookmarkEnd w:id="46"/>
      <w:r>
        <w:rPr>
          <w:rFonts w:hint="eastAsia" w:ascii="仿宋" w:hAnsi="仿宋" w:eastAsia="仿宋" w:cs="宋体"/>
          <w:sz w:val="24"/>
          <w:szCs w:val="24"/>
        </w:rPr>
        <w:t>类型</w:t>
      </w:r>
      <w:bookmarkEnd w:id="47"/>
      <w:bookmarkEnd w:id="48"/>
    </w:p>
    <w:p>
      <w:pPr>
        <w:spacing w:line="480" w:lineRule="exact"/>
        <w:ind w:firstLine="480" w:firstLineChars="200"/>
        <w:rPr>
          <w:rFonts w:ascii="仿宋" w:hAnsi="仿宋" w:eastAsia="仿宋" w:cs="宋体"/>
          <w:sz w:val="24"/>
          <w:szCs w:val="24"/>
        </w:rPr>
      </w:pPr>
      <w:r>
        <w:rPr>
          <w:rFonts w:hint="eastAsia" w:ascii="仿宋" w:hAnsi="仿宋" w:eastAsia="仿宋" w:cs="宋体"/>
          <w:sz w:val="24"/>
          <w:szCs w:val="24"/>
        </w:rPr>
        <w:t>（一)价值标准：市场价值，不考虑税费的转移负担。</w:t>
      </w:r>
    </w:p>
    <w:p>
      <w:pPr>
        <w:spacing w:line="480" w:lineRule="exact"/>
        <w:ind w:firstLine="480"/>
        <w:rPr>
          <w:rFonts w:ascii="仿宋" w:hAnsi="仿宋" w:eastAsia="仿宋" w:cs="宋体"/>
          <w:sz w:val="24"/>
          <w:szCs w:val="24"/>
        </w:rPr>
      </w:pPr>
      <w:r>
        <w:rPr>
          <w:rFonts w:hint="eastAsia" w:ascii="仿宋" w:hAnsi="仿宋" w:eastAsia="仿宋" w:cs="宋体"/>
          <w:sz w:val="24"/>
          <w:szCs w:val="24"/>
        </w:rPr>
        <w:t>(二）价值内涵：本报告价值内涵为满足本估价报告“估价假设与限制条件”，遵循客观、独立、公开、合法原则</w:t>
      </w:r>
      <w:r>
        <w:rPr>
          <w:rFonts w:hint="eastAsia" w:ascii="仿宋" w:hAnsi="仿宋" w:eastAsia="仿宋" w:cs="宋体"/>
          <w:sz w:val="24"/>
          <w:szCs w:val="24"/>
          <w:lang w:eastAsia="zh-CN"/>
        </w:rPr>
        <w:t>，</w:t>
      </w:r>
      <w:r>
        <w:rPr>
          <w:rFonts w:hint="eastAsia" w:ascii="仿宋" w:hAnsi="仿宋" w:eastAsia="仿宋" w:cs="宋体"/>
          <w:sz w:val="24"/>
          <w:szCs w:val="24"/>
        </w:rPr>
        <w:t>住宅用途，在价值时点2019年</w:t>
      </w:r>
      <w:r>
        <w:rPr>
          <w:rFonts w:hint="eastAsia" w:ascii="仿宋" w:hAnsi="仿宋" w:eastAsia="仿宋" w:cs="宋体"/>
          <w:sz w:val="24"/>
          <w:szCs w:val="24"/>
          <w:lang w:val="en-US" w:eastAsia="zh-CN"/>
        </w:rPr>
        <w:t>8</w:t>
      </w:r>
      <w:r>
        <w:rPr>
          <w:rFonts w:hint="eastAsia" w:ascii="仿宋" w:hAnsi="仿宋" w:eastAsia="仿宋" w:cs="宋体"/>
          <w:sz w:val="24"/>
          <w:szCs w:val="24"/>
        </w:rPr>
        <w:t>月</w:t>
      </w:r>
      <w:r>
        <w:rPr>
          <w:rFonts w:hint="eastAsia" w:ascii="仿宋" w:hAnsi="仿宋" w:eastAsia="仿宋" w:cs="宋体"/>
          <w:sz w:val="24"/>
          <w:szCs w:val="24"/>
          <w:lang w:val="en-US" w:eastAsia="zh-CN"/>
        </w:rPr>
        <w:t>16</w:t>
      </w:r>
      <w:r>
        <w:rPr>
          <w:rFonts w:hint="eastAsia" w:ascii="仿宋" w:hAnsi="仿宋" w:eastAsia="仿宋" w:cs="宋体"/>
          <w:sz w:val="24"/>
          <w:szCs w:val="24"/>
        </w:rPr>
        <w:t>日于现状条件下的市场价值，该价值内涵还包括：</w:t>
      </w:r>
    </w:p>
    <w:p>
      <w:pPr>
        <w:spacing w:line="480" w:lineRule="exact"/>
        <w:rPr>
          <w:rFonts w:ascii="仿宋" w:hAnsi="仿宋" w:eastAsia="仿宋" w:cs="宋体"/>
          <w:sz w:val="24"/>
          <w:szCs w:val="24"/>
        </w:rPr>
      </w:pPr>
      <w:r>
        <w:rPr>
          <w:rFonts w:hint="eastAsia" w:ascii="仿宋" w:hAnsi="仿宋" w:eastAsia="仿宋" w:cs="宋体"/>
          <w:sz w:val="24"/>
          <w:szCs w:val="24"/>
        </w:rPr>
        <w:t xml:space="preserve">    1、本次估价财产范围为估价对象的</w:t>
      </w:r>
      <w:r>
        <w:rPr>
          <w:rFonts w:hint="eastAsia" w:ascii="仿宋" w:hAnsi="仿宋" w:eastAsia="仿宋"/>
          <w:snapToGrid w:val="0"/>
          <w:kern w:val="0"/>
          <w:sz w:val="24"/>
          <w:szCs w:val="24"/>
        </w:rPr>
        <w:t>房屋</w:t>
      </w:r>
      <w:r>
        <w:rPr>
          <w:rFonts w:hint="eastAsia" w:ascii="仿宋" w:hAnsi="仿宋" w:eastAsia="仿宋"/>
          <w:snapToGrid w:val="0"/>
          <w:kern w:val="0"/>
          <w:sz w:val="24"/>
          <w:szCs w:val="24"/>
          <w:lang w:eastAsia="zh-CN"/>
        </w:rPr>
        <w:t>及其</w:t>
      </w:r>
      <w:r>
        <w:rPr>
          <w:rFonts w:hint="eastAsia" w:ascii="仿宋" w:hAnsi="仿宋" w:eastAsia="仿宋"/>
          <w:snapToGrid w:val="0"/>
          <w:kern w:val="0"/>
          <w:sz w:val="24"/>
          <w:szCs w:val="24"/>
        </w:rPr>
        <w:t>宅基地、以及</w:t>
      </w:r>
      <w:r>
        <w:rPr>
          <w:rFonts w:hint="eastAsia" w:ascii="仿宋" w:hAnsi="仿宋" w:eastAsia="仿宋"/>
          <w:snapToGrid w:val="0"/>
          <w:kern w:val="0"/>
          <w:sz w:val="24"/>
          <w:szCs w:val="24"/>
          <w:lang w:eastAsia="zh-CN"/>
        </w:rPr>
        <w:t>按二手房交易时通常包含</w:t>
      </w:r>
      <w:r>
        <w:rPr>
          <w:rFonts w:hint="eastAsia" w:ascii="仿宋" w:hAnsi="仿宋" w:eastAsia="仿宋"/>
          <w:snapToGrid w:val="0"/>
          <w:kern w:val="0"/>
          <w:sz w:val="24"/>
          <w:szCs w:val="24"/>
        </w:rPr>
        <w:t>的装饰装修价值，不包括动产、树木等，以及债权债务、特许经营权等其他财产或权益。</w:t>
      </w:r>
    </w:p>
    <w:p>
      <w:pPr>
        <w:spacing w:line="480" w:lineRule="exact"/>
        <w:rPr>
          <w:rFonts w:ascii="仿宋" w:hAnsi="仿宋" w:eastAsia="仿宋" w:cs="宋体"/>
          <w:sz w:val="24"/>
          <w:szCs w:val="24"/>
        </w:rPr>
      </w:pPr>
      <w:r>
        <w:rPr>
          <w:rFonts w:hint="eastAsia" w:ascii="仿宋" w:hAnsi="仿宋" w:eastAsia="仿宋" w:cs="宋体"/>
          <w:sz w:val="24"/>
          <w:szCs w:val="24"/>
        </w:rPr>
        <w:t xml:space="preserve">    2、本次估价未考虑</w:t>
      </w:r>
      <w:r>
        <w:rPr>
          <w:rFonts w:hint="eastAsia" w:ascii="仿宋" w:hAnsi="仿宋" w:eastAsia="仿宋" w:cs="仿宋"/>
          <w:sz w:val="24"/>
          <w:szCs w:val="24"/>
        </w:rPr>
        <w:t>他项</w:t>
      </w:r>
      <w:r>
        <w:rPr>
          <w:rFonts w:hint="eastAsia" w:ascii="仿宋" w:hAnsi="仿宋" w:eastAsia="仿宋" w:cs="宋体"/>
          <w:sz w:val="24"/>
          <w:szCs w:val="24"/>
        </w:rPr>
        <w:t>权利限制、未来市场价值变化风险、特殊交易方式、不可抗力、短期强制处分等因素影响。</w:t>
      </w:r>
    </w:p>
    <w:p>
      <w:pPr>
        <w:spacing w:line="480" w:lineRule="exact"/>
        <w:rPr>
          <w:rFonts w:ascii="仿宋" w:hAnsi="仿宋" w:eastAsia="仿宋" w:cs="宋体"/>
          <w:sz w:val="24"/>
          <w:szCs w:val="24"/>
        </w:rPr>
      </w:pPr>
      <w:r>
        <w:rPr>
          <w:rFonts w:hint="eastAsia" w:ascii="仿宋" w:hAnsi="仿宋" w:eastAsia="仿宋" w:cs="宋体"/>
          <w:sz w:val="24"/>
          <w:szCs w:val="24"/>
        </w:rPr>
        <w:t xml:space="preserve">    3、币种：人民币</w:t>
      </w:r>
    </w:p>
    <w:p>
      <w:pPr>
        <w:pStyle w:val="4"/>
        <w:numPr>
          <w:ilvl w:val="0"/>
          <w:numId w:val="4"/>
        </w:numPr>
        <w:spacing w:line="480" w:lineRule="exact"/>
        <w:rPr>
          <w:rFonts w:ascii="仿宋" w:hAnsi="仿宋" w:eastAsia="仿宋" w:cs="宋体"/>
          <w:sz w:val="24"/>
          <w:szCs w:val="24"/>
        </w:rPr>
      </w:pPr>
      <w:bookmarkStart w:id="55" w:name="_Toc28493"/>
      <w:bookmarkStart w:id="56" w:name="_Toc9053"/>
      <w:r>
        <w:rPr>
          <w:rFonts w:hint="eastAsia" w:ascii="仿宋" w:hAnsi="仿宋" w:eastAsia="仿宋" w:cs="宋体"/>
          <w:sz w:val="24"/>
          <w:szCs w:val="24"/>
        </w:rPr>
        <w:t>估价原则</w:t>
      </w:r>
      <w:bookmarkEnd w:id="55"/>
      <w:bookmarkEnd w:id="56"/>
    </w:p>
    <w:p>
      <w:pPr>
        <w:spacing w:line="46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1、独立、客观、公正原则</w:t>
      </w:r>
    </w:p>
    <w:p>
      <w:pPr>
        <w:spacing w:line="46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独立、客观、公正原则要求注册房地产估价师站在中立的立场上评估出对各方当事人来说均是公平合理的价值。“独立”就是要求注册房地产估价师和房地产估价机构与估价委托人及估价利害关系人没有利害关系，在估价中不受包括估价委托人在内的任何单位和个人的影响，应凭自己的专业知识、实践经验和职业道德进行估价；客观就是要求注册房地产估价师和房地产估价机构在估价中不带着自己的情感、好恶和偏见，应按照事物的本来面目、实事求是地进行估价；公正就是要求注册房地产估价师和房地产估价机构在估价中不偏袒估价利害关系人中的任何一方，应坚持原则、公平正直的估价。本次估价注册房地产估价师和房地产估价机构与估价委托人及估价利害关系人没有利害关系，估价中没有受到任何单位任何人的影响，没有带着自己的情感、好恶和偏见，没有偏袒，实事求是，客观公正。</w:t>
      </w:r>
    </w:p>
    <w:p>
      <w:pPr>
        <w:spacing w:line="46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2、合法原则</w:t>
      </w:r>
    </w:p>
    <w:p>
      <w:pPr>
        <w:spacing w:line="460" w:lineRule="exact"/>
        <w:ind w:firstLine="480" w:firstLineChars="200"/>
        <w:jc w:val="left"/>
        <w:rPr>
          <w:rFonts w:ascii="仿宋" w:hAnsi="仿宋" w:eastAsia="仿宋" w:cs="宋体"/>
          <w:sz w:val="24"/>
          <w:szCs w:val="24"/>
          <w:u w:val="wave"/>
        </w:rPr>
      </w:pPr>
      <w:r>
        <w:rPr>
          <w:rFonts w:hint="eastAsia" w:ascii="仿宋" w:hAnsi="仿宋" w:eastAsia="仿宋" w:cs="宋体"/>
          <w:sz w:val="24"/>
          <w:szCs w:val="24"/>
        </w:rPr>
        <w:t>估价结果应是依法判定的估价对象状况下的价值或价格。依据是依据有关法律、行政法规、最高人民法院和最高人民检察院发布的有关司法解释、估价对象所在地的有关地方法规（民族自治地方有关自治条例和单行条例），国务院所属部门颁发的有关部门规章和政策，估价对象所在地人民政府颁发的有关地方政策和规章，以及不动产登记簿（房屋登记薄、土地登记薄）、权属证书、有关批文和合同等（如规划意见书、国有建设用地使用出让招标文件、国有建设用地使用权出让合同、房地产转让合同、房屋租赁合同等）；本次估价按法院《委托</w:t>
      </w:r>
      <w:r>
        <w:rPr>
          <w:rFonts w:hint="eastAsia" w:ascii="仿宋" w:hAnsi="仿宋" w:eastAsia="仿宋" w:cs="宋体"/>
          <w:sz w:val="24"/>
          <w:szCs w:val="24"/>
          <w:lang w:eastAsia="zh-CN"/>
        </w:rPr>
        <w:t>评估书</w:t>
      </w:r>
      <w:r>
        <w:rPr>
          <w:rFonts w:hint="eastAsia" w:ascii="仿宋" w:hAnsi="仿宋" w:eastAsia="仿宋" w:cs="宋体"/>
          <w:sz w:val="24"/>
          <w:szCs w:val="24"/>
        </w:rPr>
        <w:t>》</w:t>
      </w:r>
      <w:r>
        <w:rPr>
          <w:rFonts w:hint="eastAsia"/>
          <w:lang w:eastAsia="zh-CN"/>
        </w:rPr>
        <w:t>及</w:t>
      </w:r>
      <w:r>
        <w:rPr>
          <w:rFonts w:hint="eastAsia" w:ascii="仿宋" w:hAnsi="仿宋" w:eastAsia="仿宋" w:cs="宋体"/>
          <w:sz w:val="24"/>
          <w:szCs w:val="24"/>
        </w:rPr>
        <w:t>《</w:t>
      </w:r>
      <w:r>
        <w:rPr>
          <w:rFonts w:hint="eastAsia" w:ascii="仿宋" w:hAnsi="仿宋" w:eastAsia="仿宋" w:cs="宋体"/>
          <w:sz w:val="24"/>
          <w:szCs w:val="24"/>
          <w:lang w:eastAsia="zh-CN"/>
        </w:rPr>
        <w:t>证明</w:t>
      </w:r>
      <w:r>
        <w:rPr>
          <w:rFonts w:hint="eastAsia" w:ascii="仿宋" w:hAnsi="仿宋" w:eastAsia="仿宋" w:cs="宋体"/>
          <w:sz w:val="24"/>
          <w:szCs w:val="24"/>
        </w:rPr>
        <w:t>》估价就是合法原则的体现。</w:t>
      </w:r>
    </w:p>
    <w:p>
      <w:pPr>
        <w:spacing w:line="46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3、价值时点原则</w:t>
      </w:r>
    </w:p>
    <w:p>
      <w:pPr>
        <w:spacing w:line="46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估价结果应当是在根据估价目的的确定的某一特定时间的价值或价格。随着时间的推移，影响房地产价格的区位、实物、权益以及有关房地产法律法规、政策因素是不断变化的，房地产市场也是不断变化的，因此，不同房地产在不同的时间通常会有不同的价值，通常根据估价目的确定。</w:t>
      </w:r>
    </w:p>
    <w:p>
      <w:pPr>
        <w:spacing w:line="46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4、替代原则</w:t>
      </w:r>
    </w:p>
    <w:p>
      <w:pPr>
        <w:spacing w:line="460" w:lineRule="exact"/>
        <w:ind w:firstLine="480" w:firstLineChars="200"/>
        <w:jc w:val="left"/>
        <w:rPr>
          <w:rFonts w:ascii="仿宋" w:hAnsi="仿宋" w:eastAsia="仿宋" w:cs="宋体"/>
          <w:sz w:val="24"/>
          <w:szCs w:val="24"/>
          <w:u w:val="wave"/>
        </w:rPr>
      </w:pPr>
      <w:r>
        <w:rPr>
          <w:rFonts w:hint="eastAsia" w:ascii="仿宋" w:hAnsi="仿宋" w:eastAsia="仿宋" w:cs="宋体"/>
          <w:sz w:val="24"/>
          <w:szCs w:val="24"/>
        </w:rPr>
        <w:t>估价结果应与估价对象的类似房地产在同等条件下的价值或价格偏差应在合理范围内。根据经济学原理，在同一市场上相同的商品有相同的价格。房地产价格的形成一般也是如此，只是由于房地产的独一无二特性，使得完全相同的房地产几乎没有，但在同一房地产市场上，相似在房地产会有相近的价格。在估价时不能孤立地思考估价对象的价值或价格，而要考虑相似房地产之间的价格比较，特别是同一估价机构，在同一城市，同一时期，同一估价目的，对不同区位、不同档次的房地产的评估价值应有合理的差价。</w:t>
      </w:r>
    </w:p>
    <w:p>
      <w:pPr>
        <w:spacing w:line="460" w:lineRule="exact"/>
        <w:ind w:firstLine="480" w:firstLineChars="200"/>
        <w:jc w:val="left"/>
        <w:rPr>
          <w:rFonts w:ascii="仿宋" w:hAnsi="仿宋" w:eastAsia="仿宋" w:cs="宋体"/>
          <w:sz w:val="24"/>
          <w:szCs w:val="24"/>
        </w:rPr>
      </w:pPr>
      <w:r>
        <w:rPr>
          <w:rFonts w:hint="eastAsia" w:ascii="仿宋" w:hAnsi="仿宋" w:eastAsia="仿宋" w:cs="宋体"/>
          <w:sz w:val="24"/>
          <w:szCs w:val="24"/>
        </w:rPr>
        <w:t>5、最高最佳利用原则</w:t>
      </w:r>
    </w:p>
    <w:p>
      <w:pPr>
        <w:spacing w:line="460" w:lineRule="exact"/>
        <w:ind w:firstLine="480" w:firstLineChars="200"/>
        <w:rPr>
          <w:rFonts w:ascii="仿宋" w:hAnsi="仿宋" w:eastAsia="仿宋" w:cs="宋体"/>
          <w:sz w:val="24"/>
          <w:szCs w:val="24"/>
        </w:rPr>
      </w:pPr>
      <w:r>
        <w:rPr>
          <w:rFonts w:hint="eastAsia" w:ascii="仿宋" w:hAnsi="仿宋" w:eastAsia="仿宋" w:cs="宋体"/>
          <w:sz w:val="24"/>
          <w:szCs w:val="24"/>
        </w:rPr>
        <w:t>最高最佳利用原则要求估价结果是在估价对象最高最佳利用状况下的价值或价格。最高最佳利用是指法律上允许、技术上可能、财务上可行并使价值最大的合理、可能的利用。估价对象最高最佳利用状况的确定，应了解、分析估价对象的权利人或意向取得者对估价对象依法享有的开发利用权利。当两者的开发利用权利不相同时，应根据估价目的判定从权利人角度或意向取得者角度进行估价，并相应确定估价对象的最高最佳利用状况。最高最佳利用是在法律法规、政策和出让合同等允许范围内，估价对象达到最佳集约度、最佳规模、最佳用途、最佳档次，在所有具有经济可行性的利用中，能够使估价对象的价值达到最大的利用。本次估价依据合法原则确定实际用途为最高最佳利用。</w:t>
      </w:r>
    </w:p>
    <w:p>
      <w:pPr>
        <w:pStyle w:val="4"/>
        <w:numPr>
          <w:ilvl w:val="0"/>
          <w:numId w:val="4"/>
        </w:numPr>
        <w:spacing w:line="440" w:lineRule="exact"/>
        <w:rPr>
          <w:rFonts w:ascii="仿宋" w:hAnsi="仿宋" w:eastAsia="仿宋" w:cs="宋体"/>
          <w:sz w:val="24"/>
          <w:szCs w:val="24"/>
        </w:rPr>
      </w:pPr>
      <w:bookmarkStart w:id="57" w:name="_Toc22750"/>
      <w:bookmarkStart w:id="58" w:name="_Toc26984"/>
      <w:r>
        <w:rPr>
          <w:rFonts w:hint="eastAsia" w:ascii="仿宋" w:hAnsi="仿宋" w:eastAsia="仿宋" w:cs="宋体"/>
          <w:sz w:val="24"/>
          <w:szCs w:val="24"/>
        </w:rPr>
        <w:t>估价依据</w:t>
      </w:r>
      <w:bookmarkEnd w:id="49"/>
      <w:bookmarkEnd w:id="50"/>
      <w:bookmarkEnd w:id="51"/>
      <w:bookmarkEnd w:id="57"/>
      <w:bookmarkEnd w:id="58"/>
    </w:p>
    <w:p>
      <w:pPr>
        <w:spacing w:line="460" w:lineRule="exact"/>
        <w:ind w:firstLine="480" w:firstLineChars="200"/>
        <w:rPr>
          <w:rFonts w:ascii="仿宋" w:hAnsi="仿宋" w:eastAsia="仿宋" w:cs="宋体"/>
          <w:sz w:val="24"/>
          <w:szCs w:val="24"/>
        </w:rPr>
      </w:pPr>
      <w:r>
        <w:rPr>
          <w:rFonts w:hint="eastAsia" w:ascii="仿宋" w:hAnsi="仿宋" w:eastAsia="仿宋" w:cs="宋体"/>
          <w:sz w:val="24"/>
          <w:szCs w:val="24"/>
        </w:rPr>
        <w:t>1、本次估价主要依据的法律、法规和政策性文件</w:t>
      </w:r>
    </w:p>
    <w:p>
      <w:pPr>
        <w:pStyle w:val="10"/>
        <w:spacing w:line="460" w:lineRule="exact"/>
        <w:ind w:firstLine="480" w:firstLineChars="200"/>
        <w:rPr>
          <w:rFonts w:ascii="仿宋" w:hAnsi="仿宋" w:eastAsia="仿宋" w:cs="宋体"/>
          <w:sz w:val="24"/>
          <w:szCs w:val="24"/>
        </w:rPr>
      </w:pPr>
      <w:r>
        <w:rPr>
          <w:rFonts w:hint="eastAsia" w:ascii="仿宋" w:hAnsi="仿宋" w:eastAsia="仿宋" w:cs="宋体"/>
          <w:sz w:val="24"/>
          <w:szCs w:val="24"/>
        </w:rPr>
        <w:t>（1）《中华人民共和国物权法》（2007年3月16日中华人民共和国主席令第62号，2007年10月1日起施行）；</w:t>
      </w:r>
    </w:p>
    <w:p>
      <w:pPr>
        <w:pStyle w:val="10"/>
        <w:spacing w:line="460" w:lineRule="exact"/>
        <w:ind w:firstLine="480" w:firstLineChars="200"/>
        <w:rPr>
          <w:rFonts w:ascii="仿宋" w:hAnsi="仿宋" w:eastAsia="仿宋" w:cs="宋体"/>
          <w:sz w:val="24"/>
          <w:szCs w:val="24"/>
        </w:rPr>
      </w:pPr>
      <w:r>
        <w:rPr>
          <w:rFonts w:hint="eastAsia" w:ascii="仿宋" w:hAnsi="仿宋" w:eastAsia="仿宋" w:cs="宋体"/>
          <w:sz w:val="24"/>
          <w:szCs w:val="24"/>
        </w:rPr>
        <w:t>（2）《中华人民共和国土地管理法》（2004年8月28日中华人民共和国主席令第28号公布）；</w:t>
      </w:r>
    </w:p>
    <w:p>
      <w:pPr>
        <w:spacing w:line="460" w:lineRule="exact"/>
        <w:ind w:firstLine="480" w:firstLineChars="200"/>
        <w:rPr>
          <w:rFonts w:hint="eastAsia" w:ascii="仿宋" w:hAnsi="仿宋" w:eastAsia="仿宋" w:cs="宋体"/>
          <w:sz w:val="24"/>
          <w:szCs w:val="24"/>
        </w:rPr>
      </w:pPr>
      <w:r>
        <w:rPr>
          <w:rFonts w:hint="eastAsia" w:ascii="仿宋" w:hAnsi="仿宋" w:eastAsia="仿宋" w:cs="宋体"/>
          <w:sz w:val="24"/>
          <w:szCs w:val="24"/>
        </w:rPr>
        <w:t>4、《中华人民共和国拍卖法》；</w:t>
      </w:r>
    </w:p>
    <w:p>
      <w:pPr>
        <w:spacing w:line="460" w:lineRule="exact"/>
        <w:ind w:firstLine="480" w:firstLineChars="200"/>
        <w:rPr>
          <w:rFonts w:hint="eastAsia" w:ascii="仿宋" w:hAnsi="仿宋" w:eastAsia="仿宋" w:cs="宋体"/>
          <w:sz w:val="24"/>
          <w:szCs w:val="24"/>
        </w:rPr>
      </w:pPr>
      <w:r>
        <w:rPr>
          <w:rFonts w:hint="eastAsia" w:ascii="仿宋" w:hAnsi="仿宋" w:eastAsia="仿宋" w:cs="宋体"/>
          <w:sz w:val="24"/>
          <w:szCs w:val="24"/>
        </w:rPr>
        <w:t>5、《中华人民共和国资产评估法》（中华人民共和国主席令第46号，2016年12月1日起实施）；</w:t>
      </w:r>
    </w:p>
    <w:p>
      <w:pPr>
        <w:spacing w:line="460" w:lineRule="exact"/>
        <w:ind w:firstLine="480" w:firstLineChars="200"/>
        <w:rPr>
          <w:rFonts w:hint="eastAsia" w:ascii="仿宋" w:hAnsi="仿宋" w:eastAsia="仿宋" w:cs="宋体"/>
          <w:sz w:val="24"/>
          <w:szCs w:val="24"/>
        </w:rPr>
      </w:pPr>
      <w:r>
        <w:rPr>
          <w:rFonts w:hint="eastAsia" w:ascii="仿宋" w:hAnsi="仿宋" w:eastAsia="仿宋" w:cs="宋体"/>
          <w:sz w:val="24"/>
          <w:szCs w:val="24"/>
        </w:rPr>
        <w:t>6、《城市房地产转让管理规定》（建设部令第96号）等相关法律法规；</w:t>
      </w:r>
    </w:p>
    <w:p>
      <w:pPr>
        <w:spacing w:line="460" w:lineRule="exact"/>
        <w:ind w:firstLine="480" w:firstLineChars="200"/>
        <w:rPr>
          <w:rFonts w:hint="eastAsia" w:ascii="仿宋" w:hAnsi="仿宋" w:eastAsia="仿宋" w:cs="宋体"/>
          <w:sz w:val="24"/>
          <w:szCs w:val="24"/>
        </w:rPr>
      </w:pPr>
      <w:r>
        <w:rPr>
          <w:rFonts w:hint="eastAsia" w:ascii="仿宋" w:hAnsi="仿宋" w:eastAsia="仿宋" w:cs="宋体"/>
          <w:sz w:val="24"/>
          <w:szCs w:val="24"/>
        </w:rPr>
        <w:t>7、《司法鉴定程序通则》(司法部令第132号）；</w:t>
      </w:r>
    </w:p>
    <w:p>
      <w:pPr>
        <w:spacing w:line="460" w:lineRule="exact"/>
        <w:ind w:firstLine="480" w:firstLineChars="200"/>
        <w:rPr>
          <w:rFonts w:hint="eastAsia" w:ascii="仿宋" w:hAnsi="仿宋" w:eastAsia="仿宋" w:cs="宋体"/>
          <w:sz w:val="24"/>
          <w:szCs w:val="24"/>
        </w:rPr>
      </w:pPr>
      <w:r>
        <w:rPr>
          <w:rFonts w:hint="eastAsia" w:ascii="仿宋" w:hAnsi="仿宋" w:eastAsia="仿宋" w:cs="宋体"/>
          <w:sz w:val="24"/>
          <w:szCs w:val="24"/>
        </w:rPr>
        <w:t>8、《最高人民法院关于人民法院委托评估拍卖工作的若干规定》法释〔2011〕21号；</w:t>
      </w:r>
    </w:p>
    <w:p>
      <w:pPr>
        <w:spacing w:line="460" w:lineRule="exact"/>
        <w:ind w:firstLine="480" w:firstLineChars="200"/>
        <w:rPr>
          <w:rFonts w:hint="eastAsia" w:ascii="仿宋" w:hAnsi="仿宋" w:eastAsia="仿宋" w:cs="宋体"/>
          <w:sz w:val="24"/>
          <w:szCs w:val="24"/>
        </w:rPr>
      </w:pPr>
      <w:r>
        <w:rPr>
          <w:rFonts w:hint="eastAsia" w:ascii="仿宋" w:hAnsi="仿宋" w:eastAsia="仿宋" w:cs="宋体"/>
          <w:sz w:val="24"/>
          <w:szCs w:val="24"/>
        </w:rPr>
        <w:t>9、《最高人民法院关于人民法院网络司法拍卖若干问题的规定》法释〔2016〕18号；</w:t>
      </w:r>
    </w:p>
    <w:p>
      <w:pPr>
        <w:spacing w:line="460" w:lineRule="exact"/>
        <w:ind w:firstLine="480" w:firstLineChars="200"/>
        <w:rPr>
          <w:rFonts w:hint="eastAsia" w:ascii="仿宋" w:hAnsi="仿宋" w:eastAsia="仿宋" w:cs="宋体"/>
          <w:sz w:val="24"/>
          <w:szCs w:val="24"/>
        </w:rPr>
      </w:pPr>
      <w:r>
        <w:rPr>
          <w:rFonts w:hint="eastAsia" w:ascii="仿宋" w:hAnsi="仿宋" w:eastAsia="仿宋" w:cs="宋体"/>
          <w:sz w:val="24"/>
          <w:szCs w:val="24"/>
        </w:rPr>
        <w:t>10、《最高人民法院关于人民法院民事执行中拍卖变卖财产的规定》法释〔2004〕16号；</w:t>
      </w:r>
    </w:p>
    <w:p>
      <w:pPr>
        <w:spacing w:line="460" w:lineRule="exact"/>
        <w:ind w:firstLine="480" w:firstLineChars="200"/>
        <w:rPr>
          <w:rFonts w:hint="eastAsia" w:ascii="仿宋" w:hAnsi="仿宋" w:eastAsia="仿宋" w:cs="宋体"/>
          <w:sz w:val="24"/>
          <w:szCs w:val="24"/>
          <w:lang w:eastAsia="zh-CN"/>
        </w:rPr>
      </w:pPr>
      <w:r>
        <w:rPr>
          <w:rFonts w:hint="eastAsia" w:ascii="仿宋" w:hAnsi="仿宋" w:eastAsia="仿宋" w:cs="宋体"/>
          <w:sz w:val="24"/>
          <w:szCs w:val="24"/>
        </w:rPr>
        <w:t>11、《最高人民法院关于人民法院委托评估、拍卖和变卖工作的若干规定》法释〔2009〕16号</w:t>
      </w:r>
      <w:r>
        <w:rPr>
          <w:rFonts w:hint="eastAsia" w:ascii="仿宋" w:hAnsi="仿宋" w:eastAsia="仿宋" w:cs="宋体"/>
          <w:sz w:val="24"/>
          <w:szCs w:val="24"/>
          <w:lang w:eastAsia="zh-CN"/>
        </w:rPr>
        <w:t>；</w:t>
      </w:r>
    </w:p>
    <w:p>
      <w:pPr>
        <w:spacing w:line="460" w:lineRule="exact"/>
        <w:ind w:firstLine="480" w:firstLineChars="200"/>
        <w:rPr>
          <w:rFonts w:hint="eastAsia" w:ascii="仿宋" w:hAnsi="仿宋" w:eastAsia="仿宋" w:cs="宋体"/>
          <w:sz w:val="24"/>
          <w:szCs w:val="24"/>
          <w:lang w:eastAsia="zh-CN"/>
        </w:rPr>
      </w:pPr>
      <w:r>
        <w:rPr>
          <w:rFonts w:hint="eastAsia" w:ascii="仿宋" w:hAnsi="仿宋" w:eastAsia="仿宋" w:cs="宋体"/>
          <w:sz w:val="24"/>
          <w:szCs w:val="24"/>
        </w:rPr>
        <w:t>12、《最高人民法院关于人民法院确定财产处置参考价若干问题的规定》（法释〔2018〕15号）</w:t>
      </w:r>
      <w:r>
        <w:rPr>
          <w:rFonts w:hint="eastAsia" w:ascii="仿宋" w:hAnsi="仿宋" w:eastAsia="仿宋" w:cs="宋体"/>
          <w:sz w:val="24"/>
          <w:szCs w:val="24"/>
          <w:lang w:eastAsia="zh-CN"/>
        </w:rPr>
        <w:t>。</w:t>
      </w:r>
    </w:p>
    <w:p>
      <w:pPr>
        <w:spacing w:line="460" w:lineRule="exact"/>
        <w:ind w:firstLine="480" w:firstLineChars="200"/>
        <w:rPr>
          <w:rFonts w:ascii="仿宋" w:hAnsi="仿宋" w:eastAsia="仿宋" w:cs="宋体"/>
          <w:sz w:val="24"/>
          <w:szCs w:val="24"/>
        </w:rPr>
      </w:pPr>
      <w:r>
        <w:rPr>
          <w:rFonts w:hint="eastAsia" w:ascii="仿宋" w:hAnsi="仿宋" w:eastAsia="仿宋" w:cs="宋体"/>
          <w:sz w:val="24"/>
          <w:szCs w:val="24"/>
        </w:rPr>
        <w:t>2、本次估价主要依据的估价技术标准</w:t>
      </w:r>
    </w:p>
    <w:p>
      <w:pPr>
        <w:pStyle w:val="10"/>
        <w:spacing w:line="460" w:lineRule="exact"/>
        <w:ind w:firstLine="480" w:firstLineChars="200"/>
        <w:rPr>
          <w:rFonts w:ascii="仿宋" w:hAnsi="仿宋" w:eastAsia="仿宋" w:cs="宋体"/>
          <w:sz w:val="24"/>
          <w:szCs w:val="24"/>
        </w:rPr>
      </w:pPr>
      <w:r>
        <w:rPr>
          <w:rFonts w:hint="eastAsia" w:ascii="仿宋" w:hAnsi="仿宋" w:eastAsia="仿宋" w:cs="宋体"/>
          <w:sz w:val="24"/>
          <w:szCs w:val="24"/>
        </w:rPr>
        <w:t>（1）《房地产估价规范》（GB/T50291-2015）；</w:t>
      </w:r>
    </w:p>
    <w:p>
      <w:pPr>
        <w:pStyle w:val="10"/>
        <w:spacing w:line="460" w:lineRule="exact"/>
        <w:ind w:firstLine="480" w:firstLineChars="200"/>
        <w:rPr>
          <w:rFonts w:ascii="仿宋" w:hAnsi="仿宋" w:eastAsia="仿宋" w:cs="宋体"/>
          <w:sz w:val="24"/>
          <w:szCs w:val="24"/>
        </w:rPr>
      </w:pPr>
      <w:r>
        <w:rPr>
          <w:rFonts w:hint="eastAsia" w:ascii="仿宋" w:hAnsi="仿宋" w:eastAsia="仿宋" w:cs="宋体"/>
          <w:sz w:val="24"/>
          <w:szCs w:val="24"/>
        </w:rPr>
        <w:t>（2）《房地产估价基本术语标准》（GB/T50899-2013）；</w:t>
      </w:r>
    </w:p>
    <w:p>
      <w:pPr>
        <w:pStyle w:val="10"/>
        <w:spacing w:line="460" w:lineRule="exact"/>
        <w:ind w:firstLine="480" w:firstLineChars="200"/>
        <w:rPr>
          <w:rFonts w:ascii="仿宋" w:hAnsi="仿宋" w:eastAsia="仿宋" w:cs="宋体"/>
          <w:sz w:val="24"/>
          <w:szCs w:val="24"/>
        </w:rPr>
      </w:pPr>
      <w:r>
        <w:rPr>
          <w:rFonts w:hint="eastAsia" w:ascii="仿宋" w:hAnsi="仿宋" w:eastAsia="仿宋" w:cs="宋体"/>
          <w:sz w:val="24"/>
          <w:szCs w:val="24"/>
        </w:rPr>
        <w:t>（3）《贵州省建筑工程计价定额》（2016年）;</w:t>
      </w:r>
    </w:p>
    <w:p>
      <w:pPr>
        <w:pStyle w:val="10"/>
        <w:spacing w:line="460" w:lineRule="exact"/>
        <w:ind w:firstLine="480" w:firstLineChars="200"/>
        <w:rPr>
          <w:rFonts w:ascii="仿宋" w:hAnsi="仿宋" w:eastAsia="仿宋" w:cs="宋体"/>
          <w:sz w:val="24"/>
          <w:szCs w:val="24"/>
        </w:rPr>
      </w:pPr>
      <w:r>
        <w:rPr>
          <w:rFonts w:hint="eastAsia" w:ascii="仿宋" w:hAnsi="仿宋" w:eastAsia="仿宋" w:cs="宋体"/>
          <w:sz w:val="24"/>
          <w:szCs w:val="24"/>
        </w:rPr>
        <w:t>（4）</w:t>
      </w:r>
      <w:r>
        <w:rPr>
          <w:rFonts w:hint="eastAsia" w:ascii="仿宋" w:hAnsi="仿宋" w:eastAsia="仿宋" w:cs="宋体"/>
          <w:sz w:val="24"/>
          <w:szCs w:val="24"/>
          <w:lang w:eastAsia="zh-CN"/>
        </w:rPr>
        <w:t>参照</w:t>
      </w:r>
      <w:r>
        <w:rPr>
          <w:rFonts w:hint="eastAsia" w:ascii="仿宋" w:hAnsi="仿宋" w:eastAsia="仿宋" w:cs="宋体"/>
          <w:sz w:val="24"/>
          <w:szCs w:val="24"/>
        </w:rPr>
        <w:t>《贵州省涉案财物价格鉴定操作规程》（试行）。</w:t>
      </w:r>
    </w:p>
    <w:p>
      <w:pPr>
        <w:pStyle w:val="10"/>
        <w:spacing w:line="460" w:lineRule="exact"/>
        <w:ind w:firstLine="480" w:firstLineChars="200"/>
        <w:rPr>
          <w:rFonts w:ascii="仿宋" w:hAnsi="仿宋" w:eastAsia="仿宋" w:cs="宋体"/>
          <w:sz w:val="24"/>
          <w:szCs w:val="24"/>
        </w:rPr>
      </w:pPr>
      <w:r>
        <w:rPr>
          <w:rFonts w:hint="eastAsia" w:ascii="仿宋" w:hAnsi="仿宋" w:eastAsia="仿宋" w:cs="宋体"/>
          <w:sz w:val="24"/>
          <w:szCs w:val="24"/>
        </w:rPr>
        <w:t>3、估价委托人提供的估价所需资料</w:t>
      </w:r>
    </w:p>
    <w:p>
      <w:pPr>
        <w:pStyle w:val="10"/>
        <w:spacing w:line="460" w:lineRule="exact"/>
        <w:ind w:firstLine="480" w:firstLineChars="200"/>
        <w:rPr>
          <w:rFonts w:ascii="仿宋" w:hAnsi="仿宋" w:eastAsia="仿宋" w:cs="宋体"/>
          <w:sz w:val="24"/>
          <w:szCs w:val="24"/>
        </w:rPr>
      </w:pPr>
      <w:r>
        <w:rPr>
          <w:rFonts w:hint="eastAsia" w:ascii="仿宋" w:hAnsi="仿宋" w:eastAsia="仿宋" w:cs="宋体"/>
          <w:sz w:val="24"/>
          <w:szCs w:val="24"/>
        </w:rPr>
        <w:t>（1</w:t>
      </w:r>
      <w:r>
        <w:rPr>
          <w:rFonts w:ascii="仿宋" w:hAnsi="仿宋" w:eastAsia="仿宋" w:cs="宋体"/>
          <w:sz w:val="24"/>
          <w:szCs w:val="24"/>
        </w:rPr>
        <w:t>）</w:t>
      </w:r>
      <w:r>
        <w:rPr>
          <w:rFonts w:hint="eastAsia" w:ascii="仿宋" w:hAnsi="仿宋" w:eastAsia="仿宋" w:cs="宋体"/>
          <w:sz w:val="24"/>
          <w:szCs w:val="24"/>
        </w:rPr>
        <w:t>《委托</w:t>
      </w:r>
      <w:r>
        <w:rPr>
          <w:rFonts w:hint="eastAsia" w:ascii="仿宋" w:hAnsi="仿宋" w:eastAsia="仿宋" w:cs="宋体"/>
          <w:sz w:val="24"/>
          <w:szCs w:val="24"/>
          <w:lang w:eastAsia="zh-CN"/>
        </w:rPr>
        <w:t>评估书</w:t>
      </w:r>
      <w:r>
        <w:rPr>
          <w:rFonts w:hint="eastAsia" w:ascii="仿宋" w:hAnsi="仿宋" w:eastAsia="仿宋" w:cs="宋体"/>
          <w:sz w:val="24"/>
          <w:szCs w:val="24"/>
        </w:rPr>
        <w:t>》；</w:t>
      </w:r>
    </w:p>
    <w:p>
      <w:pPr>
        <w:pStyle w:val="10"/>
        <w:spacing w:line="460" w:lineRule="exact"/>
        <w:ind w:firstLine="480" w:firstLineChars="200"/>
        <w:rPr>
          <w:rFonts w:ascii="仿宋" w:hAnsi="仿宋" w:eastAsia="仿宋" w:cs="宋体"/>
          <w:sz w:val="24"/>
          <w:szCs w:val="24"/>
        </w:rPr>
      </w:pPr>
      <w:r>
        <w:rPr>
          <w:rFonts w:hint="eastAsia" w:ascii="仿宋" w:hAnsi="仿宋" w:eastAsia="仿宋" w:cs="宋体"/>
          <w:sz w:val="24"/>
          <w:szCs w:val="24"/>
        </w:rPr>
        <w:t>（2）</w:t>
      </w:r>
      <w:r>
        <w:rPr>
          <w:rFonts w:hint="eastAsia" w:ascii="仿宋" w:hAnsi="仿宋" w:eastAsia="仿宋" w:cs="宋体"/>
          <w:sz w:val="24"/>
          <w:szCs w:val="24"/>
          <w:lang w:eastAsia="zh-CN"/>
        </w:rPr>
        <w:t>估价对象</w:t>
      </w:r>
      <w:r>
        <w:rPr>
          <w:rFonts w:hint="eastAsia" w:ascii="仿宋" w:hAnsi="仿宋" w:eastAsia="仿宋" w:cs="宋体"/>
          <w:sz w:val="24"/>
          <w:szCs w:val="24"/>
        </w:rPr>
        <w:t>《证明》。</w:t>
      </w:r>
    </w:p>
    <w:p>
      <w:pPr>
        <w:pStyle w:val="10"/>
        <w:spacing w:line="460" w:lineRule="exact"/>
        <w:ind w:firstLine="480" w:firstLineChars="200"/>
        <w:rPr>
          <w:rFonts w:ascii="仿宋" w:hAnsi="仿宋" w:eastAsia="仿宋" w:cs="宋体"/>
          <w:sz w:val="24"/>
          <w:szCs w:val="24"/>
        </w:rPr>
      </w:pPr>
      <w:r>
        <w:rPr>
          <w:rFonts w:hint="eastAsia" w:ascii="仿宋" w:hAnsi="仿宋" w:eastAsia="仿宋" w:cs="宋体"/>
          <w:sz w:val="24"/>
          <w:szCs w:val="24"/>
        </w:rPr>
        <w:t>4、估价机构和注册房地产估价师掌握和搜集的估价所需资料</w:t>
      </w:r>
    </w:p>
    <w:p>
      <w:pPr>
        <w:pStyle w:val="10"/>
        <w:spacing w:line="460" w:lineRule="exact"/>
        <w:ind w:firstLine="480" w:firstLineChars="200"/>
        <w:rPr>
          <w:rFonts w:ascii="仿宋" w:hAnsi="仿宋" w:eastAsia="仿宋" w:cs="宋体"/>
          <w:sz w:val="24"/>
          <w:szCs w:val="24"/>
        </w:rPr>
      </w:pPr>
      <w:r>
        <w:rPr>
          <w:rFonts w:hint="eastAsia" w:ascii="仿宋" w:hAnsi="仿宋" w:eastAsia="仿宋" w:cs="宋体"/>
          <w:sz w:val="24"/>
          <w:szCs w:val="24"/>
        </w:rPr>
        <w:t>（1）估价人员实地查勘及估价机构和估价人员掌握的相关信息资料；</w:t>
      </w:r>
    </w:p>
    <w:p>
      <w:pPr>
        <w:pStyle w:val="10"/>
        <w:spacing w:line="460" w:lineRule="exact"/>
        <w:ind w:firstLine="480" w:firstLineChars="200"/>
        <w:rPr>
          <w:rFonts w:ascii="仿宋" w:hAnsi="仿宋" w:eastAsia="仿宋" w:cs="宋体"/>
          <w:sz w:val="24"/>
          <w:szCs w:val="24"/>
        </w:rPr>
      </w:pPr>
      <w:r>
        <w:rPr>
          <w:rFonts w:hint="eastAsia" w:ascii="仿宋" w:hAnsi="仿宋" w:eastAsia="仿宋" w:cs="宋体"/>
          <w:sz w:val="24"/>
          <w:szCs w:val="24"/>
        </w:rPr>
        <w:t>（2）估价对象所在区位的房地产市场状况、同类房地产市场交易等数据资料。</w:t>
      </w:r>
    </w:p>
    <w:p>
      <w:pPr>
        <w:pStyle w:val="4"/>
        <w:spacing w:line="460" w:lineRule="exact"/>
        <w:rPr>
          <w:rFonts w:ascii="仿宋" w:hAnsi="仿宋" w:eastAsia="仿宋" w:cs="宋体"/>
          <w:sz w:val="24"/>
          <w:szCs w:val="24"/>
        </w:rPr>
      </w:pPr>
      <w:bookmarkStart w:id="59" w:name="_Toc320276201"/>
      <w:bookmarkStart w:id="60" w:name="_Toc320173782"/>
      <w:bookmarkStart w:id="61" w:name="_Toc19707"/>
      <w:bookmarkStart w:id="62" w:name="_Toc320184512"/>
      <w:bookmarkStart w:id="63" w:name="_Toc20468"/>
      <w:r>
        <w:rPr>
          <w:rFonts w:hint="eastAsia" w:ascii="仿宋" w:hAnsi="仿宋" w:eastAsia="仿宋" w:cs="宋体"/>
          <w:sz w:val="24"/>
          <w:szCs w:val="24"/>
        </w:rPr>
        <w:t>九、估价方法</w:t>
      </w:r>
      <w:bookmarkEnd w:id="59"/>
      <w:bookmarkEnd w:id="60"/>
      <w:bookmarkEnd w:id="61"/>
      <w:bookmarkEnd w:id="62"/>
      <w:bookmarkEnd w:id="63"/>
    </w:p>
    <w:p>
      <w:pPr>
        <w:adjustRightInd w:val="0"/>
        <w:spacing w:line="440" w:lineRule="exact"/>
        <w:ind w:firstLine="480" w:firstLineChars="200"/>
        <w:rPr>
          <w:rFonts w:ascii="仿宋" w:hAnsi="仿宋" w:eastAsia="仿宋" w:cs="宋体"/>
          <w:sz w:val="24"/>
          <w:szCs w:val="24"/>
        </w:rPr>
      </w:pPr>
      <w:bookmarkStart w:id="64" w:name="_Toc31654"/>
      <w:r>
        <w:rPr>
          <w:rFonts w:hint="eastAsia" w:ascii="仿宋" w:hAnsi="仿宋" w:eastAsia="仿宋" w:cs="宋体"/>
          <w:sz w:val="24"/>
          <w:szCs w:val="24"/>
        </w:rPr>
        <w:t>1、估价方法选择</w:t>
      </w:r>
    </w:p>
    <w:p>
      <w:pPr>
        <w:adjustRightIn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根据GB/T50291-2015《房地产估价规范》，估价方法通常有比较法、成本法、收益法、假设开发法以及基准地价修正法等其他估价方法。根据估价委托人提供的资料、估价目的和估价对象特点，估价人员在认真分析所掌握的资料并进行了实地查勘，针对本次估价对象为自建住宅农房，结合对房地产估价的方法进行适应性分析后，最终确定采用成本法作为本次估价方法，其理由为：</w:t>
      </w:r>
    </w:p>
    <w:p>
      <w:pPr>
        <w:pStyle w:val="70"/>
        <w:autoSpaceDE w:val="0"/>
        <w:autoSpaceDN w:val="0"/>
        <w:adjustRightInd w:val="0"/>
        <w:spacing w:line="460" w:lineRule="exact"/>
        <w:ind w:left="1" w:firstLine="480"/>
        <w:rPr>
          <w:rFonts w:ascii="仿宋" w:hAnsi="仿宋" w:eastAsia="仿宋" w:cs="宋体"/>
          <w:sz w:val="24"/>
          <w:szCs w:val="24"/>
        </w:rPr>
      </w:pPr>
      <w:r>
        <w:rPr>
          <w:rFonts w:hint="eastAsia" w:ascii="仿宋" w:hAnsi="仿宋" w:eastAsia="仿宋" w:cs="宋体"/>
          <w:sz w:val="24"/>
          <w:szCs w:val="24"/>
        </w:rPr>
        <w:t>估价对象为</w:t>
      </w:r>
      <w:r>
        <w:rPr>
          <w:rFonts w:hint="eastAsia" w:ascii="仿宋" w:hAnsi="仿宋" w:eastAsia="仿宋" w:cs="宋体"/>
          <w:sz w:val="24"/>
          <w:szCs w:val="24"/>
          <w:lang w:eastAsia="zh-CN"/>
        </w:rPr>
        <w:t>毕节市清水铺镇东山村东山组的</w:t>
      </w:r>
      <w:r>
        <w:rPr>
          <w:rFonts w:hint="eastAsia" w:ascii="仿宋" w:hAnsi="仿宋" w:eastAsia="仿宋" w:cs="宋体"/>
          <w:sz w:val="24"/>
          <w:szCs w:val="24"/>
        </w:rPr>
        <w:t>农村自建房，位置比较偏远，所在区域没有类似房地产交易案例，故不宜选择比较法。</w:t>
      </w:r>
    </w:p>
    <w:p>
      <w:pPr>
        <w:adjustRightIn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估价对象所处区域与估价对象类似的自建房屋租赁信息较少，主要以自用为主，租赁市场不发达，同一供需圈同类型房地产租赁成交记录极少，不具备采用收益法进行评估测算的条件，故不宜选择收益法。</w:t>
      </w:r>
    </w:p>
    <w:p>
      <w:pPr>
        <w:pStyle w:val="70"/>
        <w:autoSpaceDE w:val="0"/>
        <w:autoSpaceDN w:val="0"/>
        <w:adjustRightInd w:val="0"/>
        <w:spacing w:line="460" w:lineRule="exact"/>
        <w:ind w:firstLine="480"/>
        <w:rPr>
          <w:rFonts w:ascii="仿宋" w:hAnsi="仿宋" w:eastAsia="仿宋" w:cs="宋体"/>
          <w:sz w:val="24"/>
          <w:szCs w:val="24"/>
        </w:rPr>
      </w:pPr>
      <w:r>
        <w:rPr>
          <w:rFonts w:hint="eastAsia" w:ascii="仿宋" w:hAnsi="仿宋" w:eastAsia="仿宋" w:cs="宋体"/>
          <w:sz w:val="24"/>
          <w:szCs w:val="24"/>
        </w:rPr>
        <w:t>估价对象用地位于</w:t>
      </w:r>
      <w:r>
        <w:rPr>
          <w:rFonts w:hint="eastAsia" w:ascii="仿宋" w:hAnsi="仿宋" w:eastAsia="仿宋" w:cs="宋体"/>
          <w:sz w:val="24"/>
          <w:szCs w:val="24"/>
          <w:lang w:eastAsia="zh-CN"/>
        </w:rPr>
        <w:t>毕节市清水铺镇东山村东山</w:t>
      </w:r>
      <w:r>
        <w:rPr>
          <w:rFonts w:hint="eastAsia" w:ascii="仿宋" w:hAnsi="仿宋" w:eastAsia="仿宋" w:cs="宋体"/>
          <w:sz w:val="24"/>
          <w:szCs w:val="24"/>
        </w:rPr>
        <w:t>组，估价对象所在地</w:t>
      </w:r>
      <w:r>
        <w:rPr>
          <w:rFonts w:hint="eastAsia" w:ascii="仿宋" w:hAnsi="仿宋" w:eastAsia="仿宋" w:cs="宋体"/>
          <w:sz w:val="24"/>
          <w:szCs w:val="24"/>
          <w:lang w:eastAsia="zh-CN"/>
        </w:rPr>
        <w:t>毕节</w:t>
      </w:r>
      <w:r>
        <w:rPr>
          <w:rFonts w:hint="eastAsia" w:ascii="仿宋" w:hAnsi="仿宋" w:eastAsia="仿宋" w:cs="宋体"/>
          <w:sz w:val="24"/>
          <w:szCs w:val="24"/>
        </w:rPr>
        <w:t>市人民政府已出台的</w:t>
      </w:r>
      <w:r>
        <w:rPr>
          <w:rFonts w:hint="eastAsia" w:ascii="仿宋" w:hAnsi="仿宋" w:eastAsia="仿宋" w:cs="宋体"/>
          <w:sz w:val="24"/>
          <w:szCs w:val="24"/>
          <w:lang w:eastAsia="zh-CN"/>
        </w:rPr>
        <w:t>毕节</w:t>
      </w:r>
      <w:r>
        <w:rPr>
          <w:rFonts w:hint="eastAsia" w:ascii="仿宋" w:hAnsi="仿宋" w:eastAsia="仿宋" w:cs="宋体"/>
          <w:sz w:val="24"/>
          <w:szCs w:val="24"/>
        </w:rPr>
        <w:t>市201</w:t>
      </w:r>
      <w:r>
        <w:rPr>
          <w:rFonts w:hint="eastAsia" w:ascii="仿宋" w:hAnsi="仿宋" w:eastAsia="仿宋" w:cs="宋体"/>
          <w:sz w:val="24"/>
          <w:szCs w:val="24"/>
          <w:lang w:val="en-US" w:eastAsia="zh-CN"/>
        </w:rPr>
        <w:t>8</w:t>
      </w:r>
      <w:r>
        <w:rPr>
          <w:rFonts w:hint="eastAsia" w:ascii="仿宋" w:hAnsi="仿宋" w:eastAsia="仿宋" w:cs="宋体"/>
          <w:sz w:val="24"/>
          <w:szCs w:val="24"/>
        </w:rPr>
        <w:t>年征地统一年产值标准，有相关的征地补偿标准，房屋建造成本和相关税费也容易搜集，适宜选用成本法进行测算。</w:t>
      </w:r>
    </w:p>
    <w:p>
      <w:pPr>
        <w:adjustRightInd w:val="0"/>
        <w:spacing w:line="440" w:lineRule="exact"/>
        <w:ind w:firstLine="480" w:firstLineChars="200"/>
        <w:rPr>
          <w:rFonts w:ascii="仿宋" w:hAnsi="仿宋" w:eastAsia="仿宋" w:cs="宋体"/>
          <w:sz w:val="24"/>
          <w:szCs w:val="24"/>
        </w:rPr>
      </w:pPr>
      <w:r>
        <w:rPr>
          <w:rFonts w:hint="eastAsia" w:ascii="仿宋" w:hAnsi="仿宋" w:eastAsia="仿宋" w:cs="仿宋"/>
          <w:sz w:val="24"/>
          <w:szCs w:val="24"/>
        </w:rPr>
        <w:t>估价对象属于建成并投入使用的物业，非待开发建设物业，不产生后续开发成本，故不适宜采用假设开发法进行估价。</w:t>
      </w:r>
    </w:p>
    <w:p>
      <w:pPr>
        <w:adjustRightInd w:val="0"/>
        <w:spacing w:line="440" w:lineRule="exact"/>
        <w:ind w:firstLine="480" w:firstLineChars="200"/>
        <w:rPr>
          <w:rFonts w:ascii="仿宋" w:hAnsi="仿宋" w:eastAsia="仿宋" w:cs="宋体"/>
          <w:sz w:val="24"/>
          <w:szCs w:val="24"/>
        </w:rPr>
      </w:pPr>
      <w:r>
        <w:rPr>
          <w:rFonts w:hint="eastAsia" w:ascii="仿宋" w:hAnsi="仿宋" w:eastAsia="仿宋" w:cs="仿宋"/>
          <w:sz w:val="24"/>
          <w:szCs w:val="24"/>
        </w:rPr>
        <w:t>估价对象为已建成房地产而非宗地地价估价，故不宜采用基准地价修正法进行估价。</w:t>
      </w:r>
    </w:p>
    <w:p>
      <w:pPr>
        <w:adjustRightInd w:val="0"/>
        <w:spacing w:line="440" w:lineRule="exact"/>
        <w:ind w:firstLine="480" w:firstLineChars="200"/>
        <w:rPr>
          <w:rFonts w:ascii="仿宋" w:hAnsi="仿宋" w:eastAsia="仿宋" w:cs="宋体"/>
          <w:sz w:val="24"/>
          <w:szCs w:val="24"/>
        </w:rPr>
      </w:pPr>
      <w:r>
        <w:rPr>
          <w:rFonts w:hint="eastAsia" w:ascii="仿宋" w:hAnsi="仿宋" w:eastAsia="仿宋" w:cs="宋体"/>
          <w:sz w:val="24"/>
          <w:szCs w:val="24"/>
        </w:rPr>
        <w:t>2、估价方法介绍</w:t>
      </w:r>
    </w:p>
    <w:p>
      <w:pPr>
        <w:pStyle w:val="70"/>
        <w:autoSpaceDE w:val="0"/>
        <w:autoSpaceDN w:val="0"/>
        <w:adjustRightInd w:val="0"/>
        <w:spacing w:line="460" w:lineRule="exact"/>
        <w:ind w:left="1" w:firstLine="720" w:firstLineChars="300"/>
        <w:rPr>
          <w:rFonts w:ascii="仿宋" w:hAnsi="仿宋" w:eastAsia="仿宋" w:cs="宋体"/>
          <w:sz w:val="24"/>
          <w:szCs w:val="24"/>
        </w:rPr>
      </w:pPr>
      <w:r>
        <w:rPr>
          <w:rFonts w:hint="eastAsia" w:ascii="仿宋" w:hAnsi="仿宋" w:eastAsia="仿宋" w:cs="宋体"/>
          <w:sz w:val="24"/>
          <w:szCs w:val="24"/>
        </w:rPr>
        <w:t>本次采用房地分估，把土地使用权和建筑物当作各自独立的物，根据</w:t>
      </w:r>
      <w:r>
        <w:rPr>
          <w:rFonts w:hint="eastAsia" w:ascii="仿宋" w:hAnsi="仿宋" w:eastAsia="仿宋" w:cs="宋体"/>
          <w:sz w:val="24"/>
          <w:szCs w:val="24"/>
          <w:lang w:eastAsia="zh-CN"/>
        </w:rPr>
        <w:t>毕街</w:t>
      </w:r>
      <w:r>
        <w:rPr>
          <w:rFonts w:hint="eastAsia" w:ascii="仿宋" w:hAnsi="仿宋" w:eastAsia="仿宋" w:cs="宋体"/>
          <w:sz w:val="24"/>
          <w:szCs w:val="24"/>
        </w:rPr>
        <w:t>地区人民政府公布执行</w:t>
      </w:r>
      <w:r>
        <w:rPr>
          <w:rFonts w:hint="eastAsia" w:ascii="仿宋" w:hAnsi="仿宋" w:eastAsia="仿宋" w:cs="宋体"/>
          <w:sz w:val="24"/>
          <w:szCs w:val="24"/>
          <w:lang w:eastAsia="zh-CN"/>
        </w:rPr>
        <w:t>毕节节</w:t>
      </w:r>
      <w:r>
        <w:rPr>
          <w:rFonts w:hint="eastAsia" w:ascii="仿宋" w:hAnsi="仿宋" w:eastAsia="仿宋" w:cs="宋体"/>
          <w:sz w:val="24"/>
          <w:szCs w:val="24"/>
        </w:rPr>
        <w:t>市201</w:t>
      </w:r>
      <w:r>
        <w:rPr>
          <w:rFonts w:hint="eastAsia" w:ascii="仿宋" w:hAnsi="仿宋" w:eastAsia="仿宋" w:cs="宋体"/>
          <w:sz w:val="24"/>
          <w:szCs w:val="24"/>
          <w:lang w:val="en-US" w:eastAsia="zh-CN"/>
        </w:rPr>
        <w:t>8</w:t>
      </w:r>
      <w:r>
        <w:rPr>
          <w:rFonts w:hint="eastAsia" w:ascii="仿宋" w:hAnsi="仿宋" w:eastAsia="仿宋" w:cs="宋体"/>
          <w:sz w:val="24"/>
          <w:szCs w:val="24"/>
        </w:rPr>
        <w:t>年征地统一年产值标准，及收集了解的取得土地的相关费税的资料可测算得集体建设用地地价；参照估价对象建筑物在价值时点实际状况和</w:t>
      </w:r>
      <w:r>
        <w:rPr>
          <w:rFonts w:hint="eastAsia" w:ascii="仿宋" w:hAnsi="仿宋" w:eastAsia="仿宋" w:cs="宋体"/>
          <w:sz w:val="24"/>
          <w:szCs w:val="24"/>
          <w:lang w:eastAsia="zh-CN"/>
        </w:rPr>
        <w:t>毕节</w:t>
      </w:r>
      <w:r>
        <w:rPr>
          <w:rFonts w:hint="eastAsia" w:ascii="仿宋" w:hAnsi="仿宋" w:eastAsia="仿宋" w:cs="宋体"/>
          <w:sz w:val="24"/>
          <w:szCs w:val="24"/>
        </w:rPr>
        <w:t>市类似建筑建造的一般水平，结合《贵州省建筑工程计价定额》（2016年）测算出建筑安装工程费，以及测算出建筑物建设发生的建筑物建设发生的建设成本、基础设施建设费、管理费用、投资利息，加总建筑物重置单价，再乘以建筑物成新率，测算得出地上建筑物价格，最后将土地价格和房产价格加总即得到房地产总价。</w:t>
      </w:r>
    </w:p>
    <w:p>
      <w:pPr>
        <w:adjustRightInd w:val="0"/>
        <w:snapToGrid w:val="0"/>
        <w:spacing w:line="460" w:lineRule="exact"/>
        <w:ind w:firstLine="480" w:firstLineChars="200"/>
        <w:rPr>
          <w:rFonts w:ascii="仿宋" w:hAnsi="仿宋" w:eastAsia="仿宋" w:cs="宋体"/>
          <w:sz w:val="24"/>
          <w:szCs w:val="24"/>
        </w:rPr>
      </w:pPr>
      <w:r>
        <w:rPr>
          <w:rFonts w:hint="eastAsia" w:ascii="仿宋" w:hAnsi="仿宋" w:eastAsia="仿宋" w:cs="宋体"/>
          <w:sz w:val="24"/>
          <w:szCs w:val="24"/>
        </w:rPr>
        <w:t>3、估价参数及测算过程</w:t>
      </w:r>
    </w:p>
    <w:p>
      <w:pPr>
        <w:pStyle w:val="7"/>
        <w:snapToGrid w:val="0"/>
        <w:spacing w:line="460" w:lineRule="exact"/>
        <w:ind w:firstLine="480" w:firstLineChars="200"/>
        <w:rPr>
          <w:rFonts w:ascii="仿宋" w:hAnsi="仿宋" w:eastAsia="仿宋" w:cs="宋体"/>
          <w:sz w:val="24"/>
          <w:szCs w:val="24"/>
        </w:rPr>
      </w:pPr>
      <w:r>
        <w:rPr>
          <w:rFonts w:hint="eastAsia" w:ascii="仿宋" w:hAnsi="仿宋" w:eastAsia="仿宋" w:cs="宋体"/>
          <w:sz w:val="24"/>
          <w:szCs w:val="24"/>
        </w:rPr>
        <w:t>根据本次估价目的以及估价对象的特殊情况，参照《物权法》和《土地管理法》相关规定，综合确定房屋成新率以及土地取得成本。</w:t>
      </w:r>
    </w:p>
    <w:p>
      <w:pPr>
        <w:pStyle w:val="70"/>
        <w:autoSpaceDE w:val="0"/>
        <w:autoSpaceDN w:val="0"/>
        <w:adjustRightInd w:val="0"/>
        <w:snapToGrid w:val="0"/>
        <w:spacing w:line="460" w:lineRule="exact"/>
        <w:ind w:left="1" w:firstLine="480"/>
        <w:rPr>
          <w:rFonts w:ascii="仿宋" w:hAnsi="仿宋" w:eastAsia="仿宋" w:cs="宋体"/>
          <w:sz w:val="24"/>
          <w:szCs w:val="24"/>
        </w:rPr>
      </w:pPr>
      <w:r>
        <w:rPr>
          <w:rFonts w:hint="eastAsia" w:ascii="仿宋" w:hAnsi="仿宋" w:eastAsia="仿宋" w:cs="宋体"/>
          <w:sz w:val="24"/>
          <w:szCs w:val="24"/>
        </w:rPr>
        <w:t>（1）房屋：成本法是求取估价对象在价值时点的重置价值或重建价值基础上，扣除折旧，以此估算估价对象的客观合理价值或价值的方法。 应用公式如下：</w:t>
      </w:r>
    </w:p>
    <w:p>
      <w:pPr>
        <w:pStyle w:val="70"/>
        <w:autoSpaceDE w:val="0"/>
        <w:autoSpaceDN w:val="0"/>
        <w:adjustRightInd w:val="0"/>
        <w:snapToGrid w:val="0"/>
        <w:spacing w:line="460" w:lineRule="exact"/>
        <w:ind w:left="1" w:firstLine="480"/>
        <w:rPr>
          <w:rFonts w:ascii="仿宋" w:hAnsi="仿宋" w:eastAsia="仿宋" w:cs="宋体"/>
          <w:sz w:val="24"/>
          <w:szCs w:val="24"/>
        </w:rPr>
      </w:pPr>
      <w:r>
        <w:rPr>
          <w:rFonts w:hint="eastAsia" w:ascii="仿宋" w:hAnsi="仿宋" w:eastAsia="仿宋" w:cs="宋体"/>
          <w:sz w:val="24"/>
          <w:szCs w:val="24"/>
        </w:rPr>
        <w:t>房地总价值=土地重置成本+建筑物重置成本-房屋折旧</w:t>
      </w:r>
    </w:p>
    <w:p>
      <w:pPr>
        <w:pStyle w:val="4"/>
        <w:spacing w:line="480" w:lineRule="exact"/>
        <w:rPr>
          <w:rFonts w:ascii="仿宋" w:hAnsi="仿宋" w:eastAsia="仿宋" w:cs="宋体"/>
          <w:sz w:val="24"/>
          <w:szCs w:val="24"/>
        </w:rPr>
      </w:pPr>
      <w:bookmarkStart w:id="65" w:name="_Toc22329"/>
      <w:r>
        <w:rPr>
          <w:rFonts w:hint="eastAsia" w:ascii="仿宋" w:hAnsi="仿宋" w:eastAsia="仿宋" w:cs="宋体"/>
          <w:sz w:val="24"/>
          <w:szCs w:val="24"/>
        </w:rPr>
        <w:t>十、估价结</w:t>
      </w:r>
      <w:bookmarkEnd w:id="52"/>
      <w:bookmarkEnd w:id="53"/>
      <w:bookmarkEnd w:id="54"/>
      <w:r>
        <w:rPr>
          <w:rFonts w:hint="eastAsia" w:ascii="仿宋" w:hAnsi="仿宋" w:eastAsia="仿宋" w:cs="宋体"/>
          <w:sz w:val="24"/>
          <w:szCs w:val="24"/>
        </w:rPr>
        <w:t>果</w:t>
      </w:r>
      <w:bookmarkEnd w:id="64"/>
      <w:bookmarkEnd w:id="65"/>
      <w:bookmarkStart w:id="66" w:name="_Toc320184515"/>
      <w:bookmarkStart w:id="67" w:name="_Toc320276204"/>
      <w:bookmarkStart w:id="68" w:name="_Toc320173785"/>
    </w:p>
    <w:p>
      <w:pPr>
        <w:adjustRightInd w:val="0"/>
        <w:spacing w:line="440" w:lineRule="exact"/>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估价人员在认真分析估价委托人提供的资料，以及注册</w:t>
      </w:r>
      <w:r>
        <w:rPr>
          <w:rFonts w:hint="eastAsia" w:ascii="仿宋" w:hAnsi="仿宋" w:eastAsia="仿宋" w:cs="宋体"/>
          <w:sz w:val="24"/>
          <w:szCs w:val="24"/>
        </w:rPr>
        <w:t>房地产</w:t>
      </w:r>
      <w:r>
        <w:rPr>
          <w:rFonts w:hint="eastAsia" w:ascii="仿宋" w:hAnsi="仿宋" w:eastAsia="仿宋" w:cs="宋体"/>
          <w:sz w:val="24"/>
          <w:szCs w:val="24"/>
          <w:lang w:val="zh-CN"/>
        </w:rPr>
        <w:t>估价师实地查勘和市场调查取得资料的基础上，对影响估价对象房地产价值的因素进行了综合分析，采用成本法测算，确定估价对象在价值</w:t>
      </w:r>
      <w:r>
        <w:rPr>
          <w:rFonts w:hint="eastAsia" w:ascii="仿宋" w:hAnsi="仿宋" w:eastAsia="仿宋" w:cs="宋体"/>
          <w:sz w:val="24"/>
          <w:szCs w:val="24"/>
        </w:rPr>
        <w:t>时点</w:t>
      </w:r>
      <w:r>
        <w:rPr>
          <w:rFonts w:hint="eastAsia" w:ascii="仿宋" w:hAnsi="仿宋" w:eastAsia="仿宋" w:cs="宋体"/>
          <w:sz w:val="24"/>
          <w:szCs w:val="24"/>
          <w:lang w:val="zh-CN"/>
        </w:rPr>
        <w:t>的市场价值为为</w:t>
      </w:r>
      <w:r>
        <w:rPr>
          <w:rFonts w:hint="eastAsia" w:ascii="仿宋" w:hAnsi="仿宋" w:eastAsia="仿宋" w:cs="宋体"/>
          <w:b/>
          <w:bCs/>
          <w:sz w:val="24"/>
          <w:szCs w:val="24"/>
        </w:rPr>
        <w:t>RMB</w:t>
      </w:r>
      <w:r>
        <w:rPr>
          <w:rFonts w:hint="eastAsia" w:ascii="仿宋" w:hAnsi="仿宋" w:eastAsia="仿宋" w:cs="宋体"/>
          <w:b/>
          <w:bCs/>
          <w:sz w:val="24"/>
          <w:szCs w:val="24"/>
          <w:lang w:val="en-US" w:eastAsia="zh-CN"/>
        </w:rPr>
        <w:t>14.52</w:t>
      </w:r>
      <w:r>
        <w:rPr>
          <w:rFonts w:hint="eastAsia" w:ascii="仿宋" w:hAnsi="仿宋" w:eastAsia="仿宋" w:cs="宋体"/>
          <w:b/>
          <w:bCs/>
          <w:sz w:val="24"/>
          <w:szCs w:val="24"/>
        </w:rPr>
        <w:t>万</w:t>
      </w:r>
      <w:r>
        <w:rPr>
          <w:rFonts w:hint="eastAsia" w:ascii="仿宋" w:hAnsi="仿宋" w:eastAsia="仿宋" w:cs="宋体"/>
          <w:b/>
          <w:bCs/>
          <w:sz w:val="24"/>
          <w:szCs w:val="24"/>
          <w:lang w:val="zh-CN"/>
        </w:rPr>
        <w:t>元</w:t>
      </w:r>
      <w:r>
        <w:rPr>
          <w:rFonts w:hint="eastAsia" w:ascii="仿宋" w:hAnsi="仿宋" w:eastAsia="仿宋" w:cs="宋体"/>
          <w:sz w:val="24"/>
          <w:szCs w:val="24"/>
          <w:lang w:val="zh-CN"/>
        </w:rPr>
        <w:t>，大写</w:t>
      </w:r>
      <w:r>
        <w:rPr>
          <w:rFonts w:hint="eastAsia" w:ascii="仿宋" w:hAnsi="仿宋" w:eastAsia="仿宋" w:cs="仿宋"/>
          <w:b/>
          <w:bCs/>
          <w:sz w:val="24"/>
          <w:szCs w:val="24"/>
        </w:rPr>
        <w:t>人民币壹拾</w:t>
      </w:r>
      <w:r>
        <w:rPr>
          <w:rFonts w:hint="eastAsia" w:ascii="仿宋" w:hAnsi="仿宋" w:eastAsia="仿宋" w:cs="仿宋"/>
          <w:b/>
          <w:bCs/>
          <w:sz w:val="24"/>
          <w:szCs w:val="24"/>
          <w:lang w:eastAsia="zh-CN"/>
        </w:rPr>
        <w:t>肆</w:t>
      </w:r>
      <w:r>
        <w:rPr>
          <w:rFonts w:hint="eastAsia" w:ascii="仿宋" w:hAnsi="仿宋" w:eastAsia="仿宋" w:cs="仿宋"/>
          <w:b/>
          <w:bCs/>
          <w:sz w:val="24"/>
          <w:szCs w:val="24"/>
        </w:rPr>
        <w:t>万</w:t>
      </w:r>
      <w:r>
        <w:rPr>
          <w:rFonts w:hint="eastAsia" w:ascii="仿宋" w:hAnsi="仿宋" w:eastAsia="仿宋" w:cs="仿宋"/>
          <w:b/>
          <w:bCs/>
          <w:sz w:val="24"/>
          <w:szCs w:val="24"/>
          <w:lang w:eastAsia="zh-CN"/>
        </w:rPr>
        <w:t>伍</w:t>
      </w:r>
      <w:r>
        <w:rPr>
          <w:rFonts w:hint="eastAsia" w:ascii="仿宋" w:hAnsi="仿宋" w:eastAsia="仿宋" w:cs="仿宋"/>
          <w:b/>
          <w:bCs/>
          <w:sz w:val="24"/>
          <w:szCs w:val="24"/>
        </w:rPr>
        <w:t>仟</w:t>
      </w:r>
      <w:r>
        <w:rPr>
          <w:rFonts w:hint="eastAsia" w:ascii="仿宋" w:hAnsi="仿宋" w:eastAsia="仿宋" w:cs="仿宋"/>
          <w:b/>
          <w:bCs/>
          <w:sz w:val="24"/>
          <w:szCs w:val="24"/>
          <w:lang w:eastAsia="zh-CN"/>
        </w:rPr>
        <w:t>贰佰</w:t>
      </w:r>
      <w:r>
        <w:rPr>
          <w:rFonts w:hint="eastAsia" w:ascii="仿宋" w:hAnsi="仿宋" w:eastAsia="仿宋" w:cs="仿宋"/>
          <w:b/>
          <w:bCs/>
          <w:sz w:val="24"/>
          <w:szCs w:val="24"/>
        </w:rPr>
        <w:t>元整。</w:t>
      </w:r>
    </w:p>
    <w:p>
      <w:pPr>
        <w:autoSpaceDE w:val="0"/>
        <w:autoSpaceDN w:val="0"/>
        <w:adjustRightInd w:val="0"/>
        <w:spacing w:line="440" w:lineRule="exact"/>
        <w:ind w:firstLine="482"/>
        <w:rPr>
          <w:rFonts w:ascii="仿宋" w:hAnsi="仿宋" w:eastAsia="仿宋" w:cs="宋体"/>
          <w:sz w:val="18"/>
          <w:szCs w:val="18"/>
        </w:rPr>
      </w:pPr>
      <w:r>
        <w:rPr>
          <w:rFonts w:hint="eastAsia" w:ascii="仿宋" w:hAnsi="仿宋" w:eastAsia="仿宋" w:cs="宋体"/>
          <w:sz w:val="18"/>
          <w:szCs w:val="18"/>
        </w:rPr>
        <w:t>表</w:t>
      </w:r>
      <w:r>
        <w:rPr>
          <w:rFonts w:hint="eastAsia" w:ascii="仿宋" w:hAnsi="仿宋" w:eastAsia="仿宋" w:cs="宋体"/>
          <w:sz w:val="18"/>
          <w:szCs w:val="18"/>
          <w:lang w:val="en-US" w:eastAsia="zh-CN"/>
        </w:rPr>
        <w:t>4-4</w:t>
      </w:r>
      <w:r>
        <w:rPr>
          <w:rFonts w:hint="eastAsia" w:ascii="仿宋" w:hAnsi="仿宋" w:eastAsia="仿宋" w:cs="宋体"/>
          <w:sz w:val="24"/>
          <w:szCs w:val="24"/>
        </w:rPr>
        <w:t xml:space="preserve">                   </w:t>
      </w:r>
      <w:r>
        <w:rPr>
          <w:rFonts w:hint="eastAsia" w:ascii="仿宋" w:hAnsi="仿宋" w:eastAsia="仿宋" w:cs="宋体"/>
          <w:sz w:val="24"/>
          <w:szCs w:val="24"/>
          <w:lang w:val="zh-CN"/>
        </w:rPr>
        <w:t>估价结果汇总表</w:t>
      </w:r>
      <w:r>
        <w:rPr>
          <w:rFonts w:hint="eastAsia" w:ascii="仿宋" w:hAnsi="仿宋" w:eastAsia="仿宋" w:cs="宋体"/>
          <w:sz w:val="24"/>
          <w:szCs w:val="24"/>
        </w:rPr>
        <w:t xml:space="preserve">                </w:t>
      </w:r>
      <w:r>
        <w:rPr>
          <w:rFonts w:hint="eastAsia" w:ascii="仿宋" w:hAnsi="仿宋" w:eastAsia="仿宋" w:cs="宋体"/>
          <w:sz w:val="18"/>
          <w:szCs w:val="18"/>
        </w:rPr>
        <w:t xml:space="preserve"> 币种：人民币</w:t>
      </w:r>
    </w:p>
    <w:tbl>
      <w:tblPr>
        <w:tblStyle w:val="43"/>
        <w:tblW w:w="93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3"/>
        <w:gridCol w:w="1710"/>
        <w:gridCol w:w="1095"/>
        <w:gridCol w:w="1170"/>
        <w:gridCol w:w="1365"/>
        <w:gridCol w:w="1481"/>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2943" w:type="dxa"/>
            <w:gridSpan w:val="2"/>
            <w:tcBorders>
              <w:tl2br w:val="single" w:color="auto" w:sz="4" w:space="0"/>
            </w:tcBorders>
          </w:tcPr>
          <w:p>
            <w:pPr>
              <w:autoSpaceDE w:val="0"/>
              <w:autoSpaceDN w:val="0"/>
              <w:adjustRightInd w:val="0"/>
              <w:snapToGrid w:val="0"/>
              <w:rPr>
                <w:rFonts w:ascii="仿宋" w:hAnsi="仿宋" w:eastAsia="仿宋" w:cs="宋体"/>
                <w:sz w:val="18"/>
                <w:szCs w:val="18"/>
                <w:lang w:val="zh-CN"/>
              </w:rPr>
            </w:pPr>
          </w:p>
          <w:p>
            <w:pPr>
              <w:autoSpaceDE w:val="0"/>
              <w:autoSpaceDN w:val="0"/>
              <w:adjustRightInd w:val="0"/>
              <w:snapToGrid w:val="0"/>
              <w:rPr>
                <w:rFonts w:ascii="仿宋" w:hAnsi="仿宋" w:eastAsia="仿宋" w:cs="宋体"/>
                <w:sz w:val="18"/>
                <w:szCs w:val="18"/>
                <w:lang w:val="zh-CN"/>
              </w:rPr>
            </w:pPr>
            <w:r>
              <w:rPr>
                <w:rFonts w:hint="eastAsia" w:ascii="仿宋" w:hAnsi="仿宋" w:eastAsia="仿宋" w:cs="宋体"/>
                <w:sz w:val="18"/>
                <w:szCs w:val="18"/>
                <w:lang w:val="zh-CN"/>
              </w:rPr>
              <w:t xml:space="preserve">相关结果          </w:t>
            </w:r>
            <w:r>
              <w:rPr>
                <w:rFonts w:hint="eastAsia" w:ascii="仿宋" w:hAnsi="仿宋" w:eastAsia="仿宋" w:cs="宋体"/>
                <w:sz w:val="18"/>
                <w:szCs w:val="18"/>
              </w:rPr>
              <w:t xml:space="preserve"> </w:t>
            </w:r>
            <w:r>
              <w:rPr>
                <w:rFonts w:hint="eastAsia" w:ascii="仿宋" w:hAnsi="仿宋" w:eastAsia="仿宋" w:cs="宋体"/>
                <w:sz w:val="18"/>
                <w:szCs w:val="18"/>
                <w:lang w:val="zh-CN"/>
              </w:rPr>
              <w:t>估价方法</w:t>
            </w:r>
            <w:r>
              <w:rPr>
                <w:rFonts w:hint="eastAsia" w:ascii="仿宋" w:hAnsi="仿宋" w:eastAsia="仿宋" w:cs="宋体"/>
                <w:sz w:val="18"/>
                <w:szCs w:val="18"/>
              </w:rPr>
              <w:t xml:space="preserve">  </w:t>
            </w:r>
            <w:r>
              <w:rPr>
                <w:rFonts w:hint="eastAsia" w:ascii="仿宋" w:hAnsi="仿宋" w:eastAsia="仿宋" w:cs="宋体"/>
                <w:sz w:val="18"/>
                <w:szCs w:val="18"/>
                <w:lang w:val="zh-CN"/>
              </w:rPr>
              <w:t xml:space="preserve"> </w:t>
            </w:r>
          </w:p>
          <w:p>
            <w:pPr>
              <w:autoSpaceDE w:val="0"/>
              <w:autoSpaceDN w:val="0"/>
              <w:adjustRightInd w:val="0"/>
              <w:snapToGrid w:val="0"/>
              <w:rPr>
                <w:rFonts w:ascii="仿宋" w:hAnsi="仿宋" w:eastAsia="仿宋"/>
                <w:sz w:val="18"/>
                <w:szCs w:val="18"/>
              </w:rPr>
            </w:pPr>
          </w:p>
        </w:tc>
        <w:tc>
          <w:tcPr>
            <w:tcW w:w="6388" w:type="dxa"/>
            <w:gridSpan w:val="5"/>
            <w:vAlign w:val="center"/>
          </w:tcPr>
          <w:p>
            <w:pPr>
              <w:spacing w:line="220" w:lineRule="exact"/>
              <w:jc w:val="center"/>
              <w:rPr>
                <w:rFonts w:ascii="仿宋" w:hAnsi="仿宋" w:eastAsia="仿宋"/>
                <w:sz w:val="18"/>
                <w:szCs w:val="18"/>
              </w:rPr>
            </w:pPr>
            <w:r>
              <w:rPr>
                <w:rFonts w:hint="eastAsia" w:ascii="仿宋" w:hAnsi="仿宋" w:eastAsia="仿宋"/>
                <w:sz w:val="18"/>
                <w:szCs w:val="18"/>
              </w:rPr>
              <w:t>成本法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233" w:type="dxa"/>
            <w:vAlign w:val="center"/>
          </w:tcPr>
          <w:p>
            <w:pPr>
              <w:spacing w:line="220" w:lineRule="exact"/>
              <w:jc w:val="center"/>
              <w:rPr>
                <w:rFonts w:ascii="仿宋" w:hAnsi="仿宋" w:eastAsia="仿宋"/>
                <w:sz w:val="18"/>
                <w:szCs w:val="18"/>
              </w:rPr>
            </w:pPr>
            <w:r>
              <w:rPr>
                <w:rFonts w:hint="eastAsia" w:ascii="仿宋" w:hAnsi="仿宋" w:eastAsia="仿宋"/>
                <w:sz w:val="18"/>
                <w:szCs w:val="18"/>
              </w:rPr>
              <w:t>项目</w:t>
            </w:r>
          </w:p>
        </w:tc>
        <w:tc>
          <w:tcPr>
            <w:tcW w:w="1710" w:type="dxa"/>
            <w:vAlign w:val="center"/>
          </w:tcPr>
          <w:p>
            <w:pPr>
              <w:spacing w:line="220" w:lineRule="exact"/>
              <w:jc w:val="center"/>
              <w:rPr>
                <w:rFonts w:ascii="仿宋" w:hAnsi="仿宋" w:eastAsia="仿宋"/>
                <w:sz w:val="18"/>
                <w:szCs w:val="18"/>
              </w:rPr>
            </w:pPr>
            <w:r>
              <w:rPr>
                <w:rFonts w:hint="eastAsia" w:ascii="仿宋" w:hAnsi="仿宋" w:eastAsia="仿宋"/>
                <w:sz w:val="18"/>
                <w:szCs w:val="18"/>
              </w:rPr>
              <w:t>房屋坐落</w:t>
            </w:r>
          </w:p>
        </w:tc>
        <w:tc>
          <w:tcPr>
            <w:tcW w:w="1095" w:type="dxa"/>
            <w:vAlign w:val="center"/>
          </w:tcPr>
          <w:p>
            <w:pPr>
              <w:spacing w:line="220" w:lineRule="exact"/>
              <w:jc w:val="center"/>
              <w:rPr>
                <w:rFonts w:ascii="仿宋" w:hAnsi="仿宋" w:eastAsia="仿宋"/>
                <w:sz w:val="18"/>
                <w:szCs w:val="18"/>
              </w:rPr>
            </w:pPr>
            <w:r>
              <w:rPr>
                <w:rFonts w:hint="eastAsia" w:ascii="仿宋" w:hAnsi="仿宋" w:eastAsia="仿宋"/>
                <w:sz w:val="18"/>
                <w:szCs w:val="18"/>
              </w:rPr>
              <w:t>建筑结构</w:t>
            </w:r>
          </w:p>
        </w:tc>
        <w:tc>
          <w:tcPr>
            <w:tcW w:w="1170" w:type="dxa"/>
            <w:vAlign w:val="center"/>
          </w:tcPr>
          <w:p>
            <w:pPr>
              <w:spacing w:line="220" w:lineRule="exact"/>
              <w:jc w:val="center"/>
              <w:rPr>
                <w:rFonts w:ascii="仿宋" w:hAnsi="仿宋" w:eastAsia="仿宋"/>
                <w:sz w:val="18"/>
                <w:szCs w:val="18"/>
              </w:rPr>
            </w:pPr>
            <w:r>
              <w:rPr>
                <w:rFonts w:hint="eastAsia" w:ascii="仿宋" w:hAnsi="仿宋" w:eastAsia="仿宋"/>
                <w:sz w:val="18"/>
                <w:szCs w:val="18"/>
              </w:rPr>
              <w:t>实际用途</w:t>
            </w:r>
          </w:p>
        </w:tc>
        <w:tc>
          <w:tcPr>
            <w:tcW w:w="1365" w:type="dxa"/>
            <w:vAlign w:val="center"/>
          </w:tcPr>
          <w:p>
            <w:pPr>
              <w:spacing w:line="220" w:lineRule="exact"/>
              <w:jc w:val="center"/>
              <w:rPr>
                <w:rFonts w:ascii="仿宋" w:hAnsi="仿宋" w:eastAsia="仿宋"/>
                <w:sz w:val="18"/>
                <w:szCs w:val="18"/>
              </w:rPr>
            </w:pPr>
            <w:r>
              <w:rPr>
                <w:rFonts w:hint="eastAsia" w:ascii="仿宋" w:hAnsi="仿宋" w:eastAsia="仿宋"/>
                <w:sz w:val="18"/>
                <w:szCs w:val="18"/>
              </w:rPr>
              <w:t>面积（㎡）</w:t>
            </w:r>
          </w:p>
        </w:tc>
        <w:tc>
          <w:tcPr>
            <w:tcW w:w="1481" w:type="dxa"/>
            <w:vAlign w:val="center"/>
          </w:tcPr>
          <w:p>
            <w:pPr>
              <w:spacing w:line="220" w:lineRule="exact"/>
              <w:jc w:val="center"/>
              <w:rPr>
                <w:rFonts w:ascii="仿宋" w:hAnsi="仿宋" w:eastAsia="仿宋"/>
                <w:sz w:val="18"/>
                <w:szCs w:val="18"/>
              </w:rPr>
            </w:pPr>
            <w:r>
              <w:rPr>
                <w:rFonts w:hint="eastAsia" w:ascii="仿宋" w:hAnsi="仿宋" w:eastAsia="仿宋"/>
                <w:sz w:val="18"/>
                <w:szCs w:val="18"/>
              </w:rPr>
              <w:t>单价(元/㎡)</w:t>
            </w:r>
          </w:p>
        </w:tc>
        <w:tc>
          <w:tcPr>
            <w:tcW w:w="1277" w:type="dxa"/>
            <w:vAlign w:val="center"/>
          </w:tcPr>
          <w:p>
            <w:pPr>
              <w:spacing w:line="220" w:lineRule="exact"/>
              <w:jc w:val="center"/>
              <w:rPr>
                <w:rFonts w:ascii="仿宋" w:hAnsi="仿宋" w:eastAsia="仿宋"/>
                <w:sz w:val="18"/>
                <w:szCs w:val="18"/>
              </w:rPr>
            </w:pPr>
            <w:r>
              <w:rPr>
                <w:rFonts w:hint="eastAsia" w:ascii="仿宋" w:hAnsi="仿宋" w:eastAsia="仿宋"/>
                <w:sz w:val="18"/>
                <w:szCs w:val="18"/>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233" w:type="dxa"/>
            <w:vAlign w:val="center"/>
          </w:tcPr>
          <w:p>
            <w:pPr>
              <w:spacing w:line="220" w:lineRule="exact"/>
              <w:jc w:val="center"/>
              <w:rPr>
                <w:rFonts w:ascii="仿宋" w:hAnsi="仿宋" w:eastAsia="仿宋"/>
                <w:sz w:val="18"/>
                <w:szCs w:val="18"/>
              </w:rPr>
            </w:pPr>
            <w:bookmarkStart w:id="69" w:name="_Toc196"/>
            <w:r>
              <w:rPr>
                <w:rFonts w:hint="eastAsia" w:ascii="仿宋" w:hAnsi="仿宋" w:eastAsia="仿宋"/>
                <w:sz w:val="18"/>
                <w:szCs w:val="18"/>
              </w:rPr>
              <w:t>土地使用权</w:t>
            </w:r>
          </w:p>
        </w:tc>
        <w:tc>
          <w:tcPr>
            <w:tcW w:w="1710" w:type="dxa"/>
            <w:vMerge w:val="restart"/>
            <w:vAlign w:val="center"/>
          </w:tcPr>
          <w:p>
            <w:pPr>
              <w:spacing w:line="220" w:lineRule="exact"/>
              <w:jc w:val="center"/>
              <w:rPr>
                <w:rFonts w:hint="eastAsia" w:ascii="仿宋" w:hAnsi="仿宋" w:eastAsia="仿宋"/>
                <w:sz w:val="18"/>
                <w:szCs w:val="18"/>
                <w:lang w:eastAsia="zh-CN"/>
              </w:rPr>
            </w:pPr>
            <w:r>
              <w:rPr>
                <w:rFonts w:hint="eastAsia" w:ascii="仿宋" w:hAnsi="仿宋" w:eastAsia="仿宋" w:cs="宋体"/>
                <w:sz w:val="18"/>
                <w:szCs w:val="18"/>
                <w:lang w:eastAsia="zh-CN"/>
              </w:rPr>
              <w:t>毕节市清水铺镇东山村东山组</w:t>
            </w:r>
            <w:r>
              <w:rPr>
                <w:rFonts w:hint="eastAsia" w:ascii="仿宋" w:hAnsi="仿宋" w:eastAsia="仿宋" w:cs="宋体"/>
                <w:sz w:val="18"/>
                <w:szCs w:val="18"/>
                <w:lang w:val="en-US" w:eastAsia="zh-CN"/>
              </w:rPr>
              <w:t>21号</w:t>
            </w:r>
          </w:p>
        </w:tc>
        <w:tc>
          <w:tcPr>
            <w:tcW w:w="1095" w:type="dxa"/>
            <w:vAlign w:val="center"/>
          </w:tcPr>
          <w:p>
            <w:pPr>
              <w:spacing w:line="220" w:lineRule="exact"/>
              <w:jc w:val="center"/>
              <w:rPr>
                <w:rFonts w:ascii="仿宋" w:hAnsi="仿宋" w:eastAsia="仿宋"/>
                <w:sz w:val="18"/>
                <w:szCs w:val="18"/>
              </w:rPr>
            </w:pPr>
            <w:r>
              <w:rPr>
                <w:rFonts w:hint="eastAsia" w:ascii="仿宋" w:hAnsi="仿宋" w:eastAsia="仿宋"/>
                <w:sz w:val="18"/>
                <w:szCs w:val="18"/>
              </w:rPr>
              <w:t>/</w:t>
            </w:r>
          </w:p>
        </w:tc>
        <w:tc>
          <w:tcPr>
            <w:tcW w:w="1170" w:type="dxa"/>
            <w:vAlign w:val="center"/>
          </w:tcPr>
          <w:p>
            <w:pPr>
              <w:spacing w:line="220" w:lineRule="exact"/>
              <w:jc w:val="center"/>
              <w:rPr>
                <w:rFonts w:ascii="仿宋" w:hAnsi="仿宋" w:eastAsia="仿宋"/>
                <w:sz w:val="18"/>
                <w:szCs w:val="18"/>
              </w:rPr>
            </w:pPr>
            <w:r>
              <w:rPr>
                <w:rFonts w:hint="eastAsia" w:ascii="仿宋" w:hAnsi="仿宋" w:eastAsia="仿宋"/>
                <w:sz w:val="18"/>
                <w:szCs w:val="18"/>
              </w:rPr>
              <w:t>宅基地</w:t>
            </w:r>
          </w:p>
        </w:tc>
        <w:tc>
          <w:tcPr>
            <w:tcW w:w="1365" w:type="dxa"/>
            <w:vAlign w:val="center"/>
          </w:tcPr>
          <w:p>
            <w:pPr>
              <w:spacing w:line="220" w:lineRule="exact"/>
              <w:jc w:val="center"/>
              <w:rPr>
                <w:rFonts w:hint="eastAsia" w:ascii="仿宋" w:hAnsi="仿宋" w:eastAsia="仿宋"/>
                <w:sz w:val="18"/>
                <w:szCs w:val="18"/>
                <w:lang w:eastAsia="zh-CN"/>
              </w:rPr>
            </w:pPr>
            <w:r>
              <w:rPr>
                <w:rFonts w:hint="eastAsia" w:ascii="仿宋" w:hAnsi="仿宋" w:eastAsia="仿宋"/>
                <w:sz w:val="18"/>
                <w:szCs w:val="18"/>
                <w:lang w:val="en-US" w:eastAsia="zh-CN"/>
              </w:rPr>
              <w:t>177.32</w:t>
            </w:r>
          </w:p>
        </w:tc>
        <w:tc>
          <w:tcPr>
            <w:tcW w:w="1481" w:type="dxa"/>
            <w:vAlign w:val="center"/>
          </w:tcPr>
          <w:p>
            <w:pPr>
              <w:spacing w:line="220" w:lineRule="exact"/>
              <w:jc w:val="center"/>
              <w:rPr>
                <w:rFonts w:hint="eastAsia" w:ascii="仿宋" w:hAnsi="仿宋" w:eastAsia="仿宋"/>
                <w:sz w:val="18"/>
                <w:szCs w:val="18"/>
                <w:lang w:eastAsia="zh-CN"/>
              </w:rPr>
            </w:pPr>
            <w:r>
              <w:rPr>
                <w:rFonts w:hint="eastAsia" w:ascii="仿宋" w:hAnsi="仿宋" w:eastAsia="仿宋"/>
                <w:sz w:val="18"/>
                <w:szCs w:val="18"/>
                <w:lang w:val="en-US" w:eastAsia="zh-CN"/>
              </w:rPr>
              <w:t>113</w:t>
            </w:r>
          </w:p>
        </w:tc>
        <w:tc>
          <w:tcPr>
            <w:tcW w:w="1277" w:type="dxa"/>
            <w:vAlign w:val="center"/>
          </w:tcPr>
          <w:p>
            <w:pPr>
              <w:spacing w:line="220" w:lineRule="exact"/>
              <w:jc w:val="center"/>
              <w:rPr>
                <w:rFonts w:hint="eastAsia" w:ascii="仿宋" w:hAnsi="仿宋" w:eastAsia="仿宋"/>
                <w:sz w:val="18"/>
                <w:szCs w:val="18"/>
                <w:lang w:eastAsia="zh-CN"/>
              </w:rPr>
            </w:pPr>
            <w:r>
              <w:rPr>
                <w:rFonts w:hint="eastAsia" w:ascii="仿宋" w:hAnsi="仿宋" w:eastAsia="仿宋"/>
                <w:sz w:val="18"/>
                <w:szCs w:val="18"/>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233" w:type="dxa"/>
            <w:vAlign w:val="center"/>
          </w:tcPr>
          <w:p>
            <w:pPr>
              <w:spacing w:line="220" w:lineRule="exact"/>
              <w:jc w:val="center"/>
              <w:rPr>
                <w:rFonts w:ascii="仿宋" w:hAnsi="仿宋" w:eastAsia="仿宋"/>
                <w:sz w:val="18"/>
                <w:szCs w:val="18"/>
              </w:rPr>
            </w:pPr>
            <w:r>
              <w:rPr>
                <w:rFonts w:hint="eastAsia" w:ascii="仿宋" w:hAnsi="仿宋" w:eastAsia="仿宋"/>
                <w:sz w:val="18"/>
                <w:szCs w:val="18"/>
              </w:rPr>
              <w:t>建筑物</w:t>
            </w:r>
          </w:p>
        </w:tc>
        <w:tc>
          <w:tcPr>
            <w:tcW w:w="1710" w:type="dxa"/>
            <w:vMerge w:val="continue"/>
            <w:vAlign w:val="center"/>
          </w:tcPr>
          <w:p>
            <w:pPr>
              <w:spacing w:line="220" w:lineRule="exact"/>
              <w:jc w:val="center"/>
              <w:rPr>
                <w:rFonts w:ascii="仿宋" w:hAnsi="仿宋" w:eastAsia="仿宋" w:cs="宋体"/>
                <w:sz w:val="18"/>
                <w:szCs w:val="18"/>
              </w:rPr>
            </w:pPr>
          </w:p>
        </w:tc>
        <w:tc>
          <w:tcPr>
            <w:tcW w:w="1095" w:type="dxa"/>
            <w:vAlign w:val="center"/>
          </w:tcPr>
          <w:p>
            <w:pPr>
              <w:spacing w:line="220" w:lineRule="exact"/>
              <w:jc w:val="center"/>
              <w:rPr>
                <w:rFonts w:ascii="仿宋" w:hAnsi="仿宋" w:eastAsia="仿宋"/>
                <w:sz w:val="18"/>
                <w:szCs w:val="18"/>
              </w:rPr>
            </w:pPr>
            <w:r>
              <w:rPr>
                <w:rFonts w:hint="eastAsia" w:ascii="仿宋" w:hAnsi="仿宋" w:eastAsia="仿宋"/>
                <w:sz w:val="18"/>
                <w:szCs w:val="18"/>
              </w:rPr>
              <w:t>砖混</w:t>
            </w:r>
          </w:p>
        </w:tc>
        <w:tc>
          <w:tcPr>
            <w:tcW w:w="1170" w:type="dxa"/>
            <w:vAlign w:val="center"/>
          </w:tcPr>
          <w:p>
            <w:pPr>
              <w:spacing w:line="220" w:lineRule="exact"/>
              <w:jc w:val="center"/>
              <w:rPr>
                <w:rFonts w:ascii="仿宋" w:hAnsi="仿宋" w:eastAsia="仿宋"/>
                <w:sz w:val="18"/>
                <w:szCs w:val="18"/>
              </w:rPr>
            </w:pPr>
            <w:r>
              <w:rPr>
                <w:rFonts w:hint="eastAsia" w:ascii="仿宋" w:hAnsi="仿宋" w:eastAsia="仿宋"/>
                <w:sz w:val="18"/>
                <w:szCs w:val="18"/>
              </w:rPr>
              <w:t>住宅</w:t>
            </w:r>
          </w:p>
        </w:tc>
        <w:tc>
          <w:tcPr>
            <w:tcW w:w="1365" w:type="dxa"/>
            <w:vAlign w:val="center"/>
          </w:tcPr>
          <w:p>
            <w:pPr>
              <w:spacing w:line="220" w:lineRule="exact"/>
              <w:jc w:val="center"/>
              <w:rPr>
                <w:rFonts w:hint="eastAsia" w:ascii="仿宋" w:hAnsi="仿宋" w:eastAsia="仿宋"/>
                <w:sz w:val="18"/>
                <w:szCs w:val="18"/>
                <w:lang w:eastAsia="zh-CN"/>
              </w:rPr>
            </w:pPr>
            <w:r>
              <w:rPr>
                <w:rFonts w:hint="eastAsia" w:ascii="仿宋" w:hAnsi="仿宋" w:eastAsia="仿宋"/>
                <w:sz w:val="18"/>
                <w:szCs w:val="18"/>
                <w:lang w:val="en-US" w:eastAsia="zh-CN"/>
              </w:rPr>
              <w:t>122.22</w:t>
            </w:r>
          </w:p>
        </w:tc>
        <w:tc>
          <w:tcPr>
            <w:tcW w:w="1481" w:type="dxa"/>
            <w:vAlign w:val="center"/>
          </w:tcPr>
          <w:p>
            <w:pPr>
              <w:spacing w:line="220" w:lineRule="exact"/>
              <w:jc w:val="center"/>
              <w:rPr>
                <w:rFonts w:hint="eastAsia" w:ascii="仿宋" w:hAnsi="仿宋" w:eastAsia="仿宋"/>
                <w:sz w:val="18"/>
                <w:szCs w:val="18"/>
                <w:lang w:eastAsia="zh-CN"/>
              </w:rPr>
            </w:pPr>
            <w:r>
              <w:rPr>
                <w:rFonts w:hint="eastAsia" w:ascii="仿宋" w:hAnsi="仿宋" w:eastAsia="仿宋"/>
                <w:sz w:val="18"/>
                <w:szCs w:val="18"/>
                <w:lang w:val="en-US" w:eastAsia="zh-CN"/>
              </w:rPr>
              <w:t>1024</w:t>
            </w:r>
          </w:p>
        </w:tc>
        <w:tc>
          <w:tcPr>
            <w:tcW w:w="1277" w:type="dxa"/>
            <w:vAlign w:val="center"/>
          </w:tcPr>
          <w:p>
            <w:pPr>
              <w:spacing w:line="220" w:lineRule="exact"/>
              <w:jc w:val="center"/>
              <w:rPr>
                <w:rFonts w:hint="eastAsia" w:ascii="仿宋" w:hAnsi="仿宋" w:eastAsia="仿宋"/>
                <w:sz w:val="18"/>
                <w:szCs w:val="18"/>
                <w:lang w:eastAsia="zh-CN"/>
              </w:rPr>
            </w:pPr>
            <w:r>
              <w:rPr>
                <w:rFonts w:hint="eastAsia" w:ascii="仿宋" w:hAnsi="仿宋" w:eastAsia="仿宋"/>
                <w:sz w:val="18"/>
                <w:szCs w:val="18"/>
                <w:lang w:val="en-US" w:eastAsia="zh-CN"/>
              </w:rPr>
              <w:t>12.52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8054" w:type="dxa"/>
            <w:gridSpan w:val="6"/>
            <w:vAlign w:val="center"/>
          </w:tcPr>
          <w:p>
            <w:pPr>
              <w:spacing w:line="220" w:lineRule="exact"/>
              <w:jc w:val="center"/>
              <w:rPr>
                <w:rFonts w:ascii="仿宋" w:hAnsi="仿宋" w:eastAsia="仿宋"/>
                <w:sz w:val="18"/>
                <w:szCs w:val="18"/>
              </w:rPr>
            </w:pPr>
            <w:r>
              <w:rPr>
                <w:rFonts w:hint="eastAsia" w:ascii="仿宋" w:hAnsi="仿宋" w:eastAsia="仿宋"/>
                <w:sz w:val="18"/>
                <w:szCs w:val="18"/>
                <w:lang w:eastAsia="zh-CN"/>
              </w:rPr>
              <w:t>合计</w:t>
            </w:r>
          </w:p>
        </w:tc>
        <w:tc>
          <w:tcPr>
            <w:tcW w:w="1277" w:type="dxa"/>
            <w:vAlign w:val="center"/>
          </w:tcPr>
          <w:p>
            <w:pPr>
              <w:spacing w:line="220" w:lineRule="exact"/>
              <w:jc w:val="center"/>
              <w:rPr>
                <w:rFonts w:hint="eastAsia" w:ascii="仿宋" w:hAnsi="仿宋" w:eastAsia="仿宋"/>
                <w:sz w:val="18"/>
                <w:szCs w:val="18"/>
                <w:lang w:eastAsia="zh-CN"/>
              </w:rPr>
            </w:pPr>
            <w:r>
              <w:rPr>
                <w:rFonts w:hint="eastAsia" w:ascii="仿宋" w:hAnsi="仿宋" w:eastAsia="仿宋"/>
                <w:sz w:val="18"/>
                <w:szCs w:val="18"/>
                <w:lang w:val="en-US" w:eastAsia="zh-CN"/>
              </w:rPr>
              <w:t>14.52</w:t>
            </w:r>
          </w:p>
        </w:tc>
      </w:tr>
    </w:tbl>
    <w:p>
      <w:pPr>
        <w:pStyle w:val="4"/>
        <w:spacing w:line="460" w:lineRule="exact"/>
        <w:rPr>
          <w:rFonts w:ascii="仿宋" w:hAnsi="仿宋" w:eastAsia="仿宋" w:cs="宋体"/>
          <w:sz w:val="24"/>
          <w:szCs w:val="24"/>
        </w:rPr>
      </w:pPr>
      <w:bookmarkStart w:id="70" w:name="_Toc22384"/>
      <w:r>
        <w:rPr>
          <w:rFonts w:hint="eastAsia" w:ascii="仿宋" w:hAnsi="仿宋" w:eastAsia="仿宋" w:cs="宋体"/>
          <w:sz w:val="24"/>
          <w:szCs w:val="24"/>
        </w:rPr>
        <w:t>十一、注册房地产估价师</w:t>
      </w:r>
      <w:bookmarkEnd w:id="69"/>
      <w:bookmarkEnd w:id="70"/>
    </w:p>
    <w:p>
      <w:pPr>
        <w:spacing w:line="460" w:lineRule="exact"/>
        <w:rPr>
          <w:rFonts w:ascii="仿宋" w:hAnsi="仿宋" w:eastAsia="仿宋" w:cs="宋体"/>
          <w:spacing w:val="4"/>
          <w:sz w:val="24"/>
          <w:szCs w:val="24"/>
        </w:rPr>
      </w:pPr>
      <w:r>
        <w:rPr>
          <w:rFonts w:hint="eastAsia" w:ascii="仿宋" w:hAnsi="仿宋" w:eastAsia="仿宋" w:cs="宋体"/>
          <w:spacing w:val="4"/>
          <w:sz w:val="24"/>
          <w:szCs w:val="24"/>
        </w:rPr>
        <w:t xml:space="preserve">   参加本次估价的注册房地产估价师见下表：</w:t>
      </w:r>
    </w:p>
    <w:bookmarkEnd w:id="66"/>
    <w:bookmarkEnd w:id="67"/>
    <w:bookmarkEnd w:id="68"/>
    <w:tbl>
      <w:tblPr>
        <w:tblStyle w:val="43"/>
        <w:tblW w:w="93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4"/>
        <w:gridCol w:w="2314"/>
        <w:gridCol w:w="2314"/>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44" w:type="dxa"/>
          </w:tcPr>
          <w:p>
            <w:pPr>
              <w:autoSpaceDE w:val="0"/>
              <w:autoSpaceDN w:val="0"/>
              <w:adjustRightInd w:val="0"/>
              <w:spacing w:line="440" w:lineRule="exact"/>
              <w:jc w:val="center"/>
              <w:rPr>
                <w:rFonts w:ascii="仿宋" w:hAnsi="仿宋" w:eastAsia="仿宋" w:cs="仿宋"/>
                <w:sz w:val="18"/>
                <w:szCs w:val="18"/>
                <w:lang w:val="zh-CN"/>
              </w:rPr>
            </w:pPr>
            <w:r>
              <w:rPr>
                <w:rFonts w:hint="eastAsia" w:ascii="仿宋" w:hAnsi="仿宋" w:eastAsia="仿宋" w:cs="仿宋"/>
                <w:sz w:val="18"/>
                <w:szCs w:val="18"/>
                <w:lang w:val="zh-CN"/>
              </w:rPr>
              <w:t>姓    名</w:t>
            </w:r>
          </w:p>
        </w:tc>
        <w:tc>
          <w:tcPr>
            <w:tcW w:w="2314" w:type="dxa"/>
          </w:tcPr>
          <w:p>
            <w:pPr>
              <w:autoSpaceDE w:val="0"/>
              <w:autoSpaceDN w:val="0"/>
              <w:adjustRightInd w:val="0"/>
              <w:spacing w:line="440" w:lineRule="exact"/>
              <w:jc w:val="center"/>
              <w:rPr>
                <w:rFonts w:ascii="仿宋" w:hAnsi="仿宋" w:eastAsia="仿宋" w:cs="仿宋"/>
                <w:sz w:val="18"/>
                <w:szCs w:val="18"/>
                <w:lang w:val="zh-CN"/>
              </w:rPr>
            </w:pPr>
            <w:r>
              <w:rPr>
                <w:rFonts w:hint="eastAsia" w:ascii="仿宋" w:hAnsi="仿宋" w:eastAsia="仿宋" w:cs="仿宋"/>
                <w:sz w:val="18"/>
                <w:szCs w:val="18"/>
                <w:lang w:val="zh-CN"/>
              </w:rPr>
              <w:t>注  册  号</w:t>
            </w:r>
          </w:p>
        </w:tc>
        <w:tc>
          <w:tcPr>
            <w:tcW w:w="2314" w:type="dxa"/>
          </w:tcPr>
          <w:p>
            <w:pPr>
              <w:autoSpaceDE w:val="0"/>
              <w:autoSpaceDN w:val="0"/>
              <w:adjustRightInd w:val="0"/>
              <w:spacing w:line="440" w:lineRule="exact"/>
              <w:jc w:val="center"/>
              <w:rPr>
                <w:rFonts w:ascii="仿宋" w:hAnsi="仿宋" w:eastAsia="仿宋" w:cs="仿宋"/>
                <w:sz w:val="18"/>
                <w:szCs w:val="18"/>
                <w:lang w:val="zh-CN"/>
              </w:rPr>
            </w:pPr>
            <w:r>
              <w:rPr>
                <w:rFonts w:hint="eastAsia" w:ascii="仿宋" w:hAnsi="仿宋" w:eastAsia="仿宋" w:cs="仿宋"/>
                <w:sz w:val="18"/>
                <w:szCs w:val="18"/>
                <w:lang w:val="zh-CN"/>
              </w:rPr>
              <w:t>签    名</w:t>
            </w:r>
          </w:p>
        </w:tc>
        <w:tc>
          <w:tcPr>
            <w:tcW w:w="2359" w:type="dxa"/>
          </w:tcPr>
          <w:p>
            <w:pPr>
              <w:autoSpaceDE w:val="0"/>
              <w:autoSpaceDN w:val="0"/>
              <w:adjustRightInd w:val="0"/>
              <w:spacing w:line="440" w:lineRule="exact"/>
              <w:jc w:val="center"/>
              <w:rPr>
                <w:rFonts w:ascii="仿宋" w:hAnsi="仿宋" w:eastAsia="仿宋" w:cs="仿宋"/>
                <w:sz w:val="18"/>
                <w:szCs w:val="18"/>
                <w:lang w:val="zh-CN"/>
              </w:rPr>
            </w:pPr>
            <w:r>
              <w:rPr>
                <w:rFonts w:hint="eastAsia" w:ascii="仿宋" w:hAnsi="仿宋" w:eastAsia="仿宋" w:cs="仿宋"/>
                <w:sz w:val="18"/>
                <w:szCs w:val="18"/>
                <w:lang w:val="zh-CN"/>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trPr>
        <w:tc>
          <w:tcPr>
            <w:tcW w:w="2344" w:type="dxa"/>
            <w:vAlign w:val="center"/>
          </w:tcPr>
          <w:p>
            <w:pPr>
              <w:adjustRightInd w:val="0"/>
              <w:spacing w:line="460" w:lineRule="exact"/>
              <w:jc w:val="center"/>
              <w:rPr>
                <w:rFonts w:ascii="仿宋" w:hAnsi="仿宋" w:eastAsia="仿宋" w:cs="仿宋"/>
                <w:sz w:val="18"/>
                <w:szCs w:val="18"/>
                <w:lang w:val="zh-CN"/>
              </w:rPr>
            </w:pPr>
            <w:r>
              <w:rPr>
                <w:rFonts w:hint="eastAsia" w:ascii="仿宋" w:hAnsi="仿宋" w:eastAsia="仿宋" w:cs="仿宋"/>
                <w:snapToGrid w:val="0"/>
                <w:color w:val="auto"/>
                <w:kern w:val="0"/>
                <w:sz w:val="18"/>
                <w:szCs w:val="18"/>
                <w:lang w:eastAsia="zh-CN"/>
              </w:rPr>
              <w:t>段春兰</w:t>
            </w:r>
          </w:p>
        </w:tc>
        <w:tc>
          <w:tcPr>
            <w:tcW w:w="2314" w:type="dxa"/>
            <w:vAlign w:val="center"/>
          </w:tcPr>
          <w:p>
            <w:pPr>
              <w:adjustRightInd w:val="0"/>
              <w:spacing w:line="460" w:lineRule="exact"/>
              <w:jc w:val="center"/>
              <w:rPr>
                <w:rFonts w:ascii="仿宋" w:hAnsi="仿宋" w:eastAsia="仿宋" w:cs="仿宋"/>
                <w:sz w:val="18"/>
                <w:szCs w:val="18"/>
                <w:lang w:val="zh-CN"/>
              </w:rPr>
            </w:pPr>
            <w:r>
              <w:rPr>
                <w:rFonts w:hint="eastAsia" w:ascii="仿宋" w:hAnsi="仿宋" w:eastAsia="仿宋" w:cs="仿宋"/>
                <w:snapToGrid w:val="0"/>
                <w:color w:val="auto"/>
                <w:kern w:val="0"/>
                <w:sz w:val="18"/>
                <w:szCs w:val="18"/>
                <w:lang w:val="en-US" w:eastAsia="zh-CN"/>
              </w:rPr>
              <w:t>5220190048</w:t>
            </w:r>
          </w:p>
        </w:tc>
        <w:tc>
          <w:tcPr>
            <w:tcW w:w="2314" w:type="dxa"/>
            <w:vAlign w:val="center"/>
          </w:tcPr>
          <w:p>
            <w:pPr>
              <w:adjustRightInd w:val="0"/>
              <w:spacing w:line="460" w:lineRule="exact"/>
              <w:jc w:val="center"/>
              <w:rPr>
                <w:rFonts w:ascii="仿宋" w:hAnsi="仿宋" w:eastAsia="仿宋" w:cs="仿宋"/>
                <w:sz w:val="18"/>
                <w:szCs w:val="18"/>
                <w:lang w:val="zh-CN"/>
              </w:rPr>
            </w:pPr>
          </w:p>
        </w:tc>
        <w:tc>
          <w:tcPr>
            <w:tcW w:w="2359" w:type="dxa"/>
            <w:vAlign w:val="center"/>
          </w:tcPr>
          <w:p>
            <w:pPr>
              <w:adjustRightInd w:val="0"/>
              <w:spacing w:line="460" w:lineRule="exact"/>
              <w:jc w:val="center"/>
              <w:rPr>
                <w:rFonts w:ascii="仿宋" w:hAnsi="仿宋" w:eastAsia="仿宋" w:cs="仿宋"/>
                <w:sz w:val="18"/>
                <w:szCs w:val="18"/>
                <w:lang w:val="zh-CN"/>
              </w:rPr>
            </w:pPr>
            <w:r>
              <w:rPr>
                <w:rFonts w:hint="eastAsia" w:ascii="仿宋" w:hAnsi="仿宋" w:eastAsia="仿宋" w:cs="仿宋"/>
                <w:snapToGrid w:val="0"/>
                <w:color w:val="auto"/>
                <w:kern w:val="0"/>
                <w:sz w:val="18"/>
                <w:szCs w:val="18"/>
                <w:lang w:eastAsia="zh-CN"/>
              </w:rPr>
              <w:t xml:space="preserve">  2019年</w:t>
            </w:r>
            <w:r>
              <w:rPr>
                <w:rFonts w:hint="eastAsia" w:ascii="仿宋" w:hAnsi="仿宋" w:eastAsia="仿宋" w:cs="仿宋"/>
                <w:snapToGrid w:val="0"/>
                <w:color w:val="auto"/>
                <w:kern w:val="0"/>
                <w:sz w:val="18"/>
                <w:szCs w:val="18"/>
                <w:lang w:val="en-US" w:eastAsia="zh-CN"/>
              </w:rPr>
              <w:t>8</w:t>
            </w:r>
            <w:r>
              <w:rPr>
                <w:rFonts w:hint="eastAsia" w:ascii="仿宋" w:hAnsi="仿宋" w:eastAsia="仿宋" w:cs="仿宋"/>
                <w:snapToGrid w:val="0"/>
                <w:color w:val="auto"/>
                <w:kern w:val="0"/>
                <w:sz w:val="18"/>
                <w:szCs w:val="18"/>
                <w:lang w:eastAsia="zh-CN"/>
              </w:rPr>
              <w:t>月</w:t>
            </w:r>
            <w:r>
              <w:rPr>
                <w:rFonts w:hint="eastAsia" w:ascii="仿宋" w:hAnsi="仿宋" w:eastAsia="仿宋" w:cs="仿宋"/>
                <w:snapToGrid w:val="0"/>
                <w:color w:val="auto"/>
                <w:kern w:val="0"/>
                <w:sz w:val="18"/>
                <w:szCs w:val="18"/>
                <w:lang w:val="en-US" w:eastAsia="zh-CN"/>
              </w:rPr>
              <w:t>28</w:t>
            </w:r>
            <w:r>
              <w:rPr>
                <w:rFonts w:hint="eastAsia" w:ascii="仿宋" w:hAnsi="仿宋" w:eastAsia="仿宋" w:cs="仿宋"/>
                <w:snapToGrid w:val="0"/>
                <w:color w:val="auto"/>
                <w:kern w:val="0"/>
                <w:sz w:val="18"/>
                <w:szCs w:val="18"/>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2344" w:type="dxa"/>
            <w:vAlign w:val="center"/>
          </w:tcPr>
          <w:p>
            <w:pPr>
              <w:adjustRightInd w:val="0"/>
              <w:spacing w:line="460" w:lineRule="exact"/>
              <w:jc w:val="center"/>
              <w:rPr>
                <w:rFonts w:ascii="仿宋" w:hAnsi="仿宋" w:eastAsia="仿宋" w:cs="仿宋"/>
                <w:sz w:val="18"/>
                <w:szCs w:val="18"/>
                <w:lang w:val="zh-CN"/>
              </w:rPr>
            </w:pPr>
            <w:r>
              <w:rPr>
                <w:rFonts w:hint="eastAsia" w:ascii="仿宋" w:hAnsi="仿宋" w:eastAsia="仿宋" w:cs="仿宋"/>
                <w:snapToGrid w:val="0"/>
                <w:color w:val="auto"/>
                <w:kern w:val="0"/>
                <w:sz w:val="18"/>
                <w:szCs w:val="18"/>
              </w:rPr>
              <w:t>罗泽芳</w:t>
            </w:r>
          </w:p>
        </w:tc>
        <w:tc>
          <w:tcPr>
            <w:tcW w:w="2314" w:type="dxa"/>
            <w:vAlign w:val="center"/>
          </w:tcPr>
          <w:p>
            <w:pPr>
              <w:adjustRightInd w:val="0"/>
              <w:spacing w:line="460" w:lineRule="exact"/>
              <w:jc w:val="center"/>
              <w:rPr>
                <w:rFonts w:ascii="仿宋" w:hAnsi="仿宋" w:eastAsia="仿宋" w:cs="仿宋"/>
                <w:sz w:val="18"/>
                <w:szCs w:val="18"/>
                <w:lang w:val="zh-CN"/>
              </w:rPr>
            </w:pPr>
            <w:r>
              <w:rPr>
                <w:rFonts w:hint="eastAsia" w:ascii="仿宋" w:hAnsi="仿宋" w:eastAsia="仿宋" w:cs="仿宋"/>
                <w:snapToGrid w:val="0"/>
                <w:color w:val="auto"/>
                <w:kern w:val="0"/>
                <w:sz w:val="18"/>
                <w:szCs w:val="18"/>
              </w:rPr>
              <w:t>5120150067</w:t>
            </w:r>
          </w:p>
        </w:tc>
        <w:tc>
          <w:tcPr>
            <w:tcW w:w="2314" w:type="dxa"/>
            <w:vAlign w:val="center"/>
          </w:tcPr>
          <w:p>
            <w:pPr>
              <w:adjustRightInd w:val="0"/>
              <w:spacing w:line="460" w:lineRule="exact"/>
              <w:jc w:val="center"/>
              <w:rPr>
                <w:rFonts w:ascii="仿宋" w:hAnsi="仿宋" w:eastAsia="仿宋" w:cs="仿宋"/>
                <w:sz w:val="18"/>
                <w:szCs w:val="18"/>
                <w:lang w:val="zh-CN"/>
              </w:rPr>
            </w:pPr>
          </w:p>
        </w:tc>
        <w:tc>
          <w:tcPr>
            <w:tcW w:w="2359" w:type="dxa"/>
            <w:vAlign w:val="center"/>
          </w:tcPr>
          <w:p>
            <w:pPr>
              <w:adjustRightInd w:val="0"/>
              <w:spacing w:line="460" w:lineRule="exact"/>
              <w:jc w:val="center"/>
              <w:rPr>
                <w:rFonts w:ascii="仿宋" w:hAnsi="仿宋" w:eastAsia="仿宋" w:cs="仿宋"/>
                <w:sz w:val="18"/>
                <w:szCs w:val="18"/>
                <w:lang w:val="zh-CN"/>
              </w:rPr>
            </w:pPr>
            <w:r>
              <w:rPr>
                <w:rFonts w:hint="eastAsia" w:ascii="仿宋" w:hAnsi="仿宋" w:eastAsia="仿宋" w:cs="仿宋"/>
                <w:snapToGrid w:val="0"/>
                <w:color w:val="auto"/>
                <w:kern w:val="0"/>
                <w:sz w:val="18"/>
                <w:szCs w:val="18"/>
                <w:lang w:eastAsia="zh-CN"/>
              </w:rPr>
              <w:t xml:space="preserve">  2019年</w:t>
            </w:r>
            <w:r>
              <w:rPr>
                <w:rFonts w:hint="eastAsia" w:ascii="仿宋" w:hAnsi="仿宋" w:eastAsia="仿宋" w:cs="仿宋"/>
                <w:snapToGrid w:val="0"/>
                <w:color w:val="auto"/>
                <w:kern w:val="0"/>
                <w:sz w:val="18"/>
                <w:szCs w:val="18"/>
                <w:lang w:val="en-US" w:eastAsia="zh-CN"/>
              </w:rPr>
              <w:t>8</w:t>
            </w:r>
            <w:r>
              <w:rPr>
                <w:rFonts w:hint="eastAsia" w:ascii="仿宋" w:hAnsi="仿宋" w:eastAsia="仿宋" w:cs="仿宋"/>
                <w:snapToGrid w:val="0"/>
                <w:color w:val="auto"/>
                <w:kern w:val="0"/>
                <w:sz w:val="18"/>
                <w:szCs w:val="18"/>
                <w:lang w:eastAsia="zh-CN"/>
              </w:rPr>
              <w:t>月</w:t>
            </w:r>
            <w:r>
              <w:rPr>
                <w:rFonts w:hint="eastAsia" w:ascii="仿宋" w:hAnsi="仿宋" w:eastAsia="仿宋" w:cs="仿宋"/>
                <w:snapToGrid w:val="0"/>
                <w:color w:val="auto"/>
                <w:kern w:val="0"/>
                <w:sz w:val="18"/>
                <w:szCs w:val="18"/>
                <w:lang w:val="en-US" w:eastAsia="zh-CN"/>
              </w:rPr>
              <w:t>28</w:t>
            </w:r>
            <w:r>
              <w:rPr>
                <w:rFonts w:hint="eastAsia" w:ascii="仿宋" w:hAnsi="仿宋" w:eastAsia="仿宋" w:cs="仿宋"/>
                <w:snapToGrid w:val="0"/>
                <w:color w:val="auto"/>
                <w:kern w:val="0"/>
                <w:sz w:val="18"/>
                <w:szCs w:val="18"/>
                <w:lang w:eastAsia="zh-CN"/>
              </w:rPr>
              <w:t>日</w:t>
            </w:r>
          </w:p>
        </w:tc>
      </w:tr>
    </w:tbl>
    <w:p>
      <w:pPr>
        <w:pStyle w:val="4"/>
        <w:spacing w:line="460" w:lineRule="exact"/>
        <w:rPr>
          <w:rFonts w:ascii="仿宋" w:hAnsi="仿宋" w:eastAsia="仿宋" w:cs="宋体"/>
          <w:sz w:val="24"/>
          <w:szCs w:val="24"/>
        </w:rPr>
      </w:pPr>
      <w:bookmarkStart w:id="71" w:name="_Toc9786"/>
      <w:bookmarkStart w:id="72" w:name="_Toc16872"/>
      <w:r>
        <w:rPr>
          <w:rFonts w:hint="eastAsia" w:ascii="仿宋" w:hAnsi="仿宋" w:eastAsia="仿宋" w:cs="宋体"/>
          <w:sz w:val="24"/>
          <w:szCs w:val="24"/>
        </w:rPr>
        <w:t>十二、实地查勘期</w:t>
      </w:r>
      <w:bookmarkEnd w:id="71"/>
      <w:bookmarkEnd w:id="72"/>
    </w:p>
    <w:p>
      <w:pPr>
        <w:spacing w:line="460" w:lineRule="exact"/>
        <w:ind w:firstLine="434" w:firstLineChars="175"/>
        <w:rPr>
          <w:rFonts w:ascii="仿宋" w:hAnsi="仿宋" w:eastAsia="仿宋" w:cs="宋体"/>
          <w:spacing w:val="4"/>
          <w:sz w:val="24"/>
          <w:szCs w:val="24"/>
        </w:rPr>
      </w:pPr>
      <w:r>
        <w:rPr>
          <w:rFonts w:hint="eastAsia" w:ascii="仿宋" w:hAnsi="仿宋" w:eastAsia="仿宋" w:cs="宋体"/>
          <w:spacing w:val="4"/>
          <w:sz w:val="24"/>
          <w:szCs w:val="24"/>
        </w:rPr>
        <w:t>本次估价对估价对象的实地查勘期为2019年</w:t>
      </w:r>
      <w:r>
        <w:rPr>
          <w:rFonts w:hint="eastAsia" w:ascii="仿宋" w:hAnsi="仿宋" w:eastAsia="仿宋" w:cs="宋体"/>
          <w:spacing w:val="4"/>
          <w:sz w:val="24"/>
          <w:szCs w:val="24"/>
          <w:lang w:val="en-US" w:eastAsia="zh-CN"/>
        </w:rPr>
        <w:t>8</w:t>
      </w:r>
      <w:r>
        <w:rPr>
          <w:rFonts w:hint="eastAsia" w:ascii="仿宋" w:hAnsi="仿宋" w:eastAsia="仿宋" w:cs="宋体"/>
          <w:spacing w:val="4"/>
          <w:sz w:val="24"/>
          <w:szCs w:val="24"/>
        </w:rPr>
        <w:t>月</w:t>
      </w:r>
      <w:r>
        <w:rPr>
          <w:rFonts w:hint="eastAsia" w:ascii="仿宋" w:hAnsi="仿宋" w:eastAsia="仿宋" w:cs="宋体"/>
          <w:spacing w:val="4"/>
          <w:sz w:val="24"/>
          <w:szCs w:val="24"/>
          <w:lang w:val="en-US" w:eastAsia="zh-CN"/>
        </w:rPr>
        <w:t>16</w:t>
      </w:r>
      <w:r>
        <w:rPr>
          <w:rFonts w:hint="eastAsia" w:ascii="仿宋" w:hAnsi="仿宋" w:eastAsia="仿宋" w:cs="宋体"/>
          <w:spacing w:val="4"/>
          <w:sz w:val="24"/>
          <w:szCs w:val="24"/>
        </w:rPr>
        <w:t>日。</w:t>
      </w:r>
    </w:p>
    <w:p>
      <w:pPr>
        <w:pStyle w:val="4"/>
        <w:spacing w:line="460" w:lineRule="exact"/>
        <w:rPr>
          <w:rFonts w:ascii="仿宋" w:hAnsi="仿宋" w:eastAsia="仿宋" w:cs="宋体"/>
          <w:sz w:val="24"/>
          <w:szCs w:val="24"/>
        </w:rPr>
      </w:pPr>
      <w:bookmarkStart w:id="73" w:name="_Toc28435"/>
      <w:bookmarkStart w:id="74" w:name="_Toc10586"/>
      <w:r>
        <w:rPr>
          <w:rFonts w:hint="eastAsia" w:ascii="仿宋" w:hAnsi="仿宋" w:eastAsia="仿宋" w:cs="宋体"/>
          <w:sz w:val="24"/>
          <w:szCs w:val="24"/>
        </w:rPr>
        <w:t>十三、估价作业期</w:t>
      </w:r>
      <w:bookmarkEnd w:id="73"/>
      <w:bookmarkEnd w:id="74"/>
    </w:p>
    <w:p>
      <w:pPr>
        <w:spacing w:line="460" w:lineRule="exact"/>
        <w:ind w:firstLine="434" w:firstLineChars="175"/>
        <w:rPr>
          <w:rFonts w:ascii="仿宋" w:hAnsi="仿宋" w:eastAsia="仿宋" w:cs="宋体"/>
          <w:spacing w:val="4"/>
          <w:sz w:val="24"/>
          <w:szCs w:val="24"/>
        </w:rPr>
      </w:pPr>
      <w:r>
        <w:rPr>
          <w:rFonts w:hint="eastAsia" w:ascii="仿宋" w:hAnsi="仿宋" w:eastAsia="仿宋" w:cs="宋体"/>
          <w:spacing w:val="4"/>
          <w:sz w:val="24"/>
          <w:szCs w:val="24"/>
        </w:rPr>
        <w:t>本次估价作业期为自受理估价委托之日2019年</w:t>
      </w:r>
      <w:r>
        <w:rPr>
          <w:rFonts w:hint="eastAsia" w:ascii="仿宋" w:hAnsi="仿宋" w:eastAsia="仿宋" w:cs="宋体"/>
          <w:spacing w:val="4"/>
          <w:sz w:val="24"/>
          <w:szCs w:val="24"/>
          <w:lang w:val="en-US" w:eastAsia="zh-CN"/>
        </w:rPr>
        <w:t>8</w:t>
      </w:r>
      <w:r>
        <w:rPr>
          <w:rFonts w:hint="eastAsia" w:ascii="仿宋" w:hAnsi="仿宋" w:eastAsia="仿宋" w:cs="宋体"/>
          <w:spacing w:val="4"/>
          <w:sz w:val="24"/>
          <w:szCs w:val="24"/>
        </w:rPr>
        <w:t>月</w:t>
      </w:r>
      <w:r>
        <w:rPr>
          <w:rFonts w:hint="eastAsia" w:ascii="仿宋" w:hAnsi="仿宋" w:eastAsia="仿宋" w:cs="宋体"/>
          <w:spacing w:val="4"/>
          <w:sz w:val="24"/>
          <w:szCs w:val="24"/>
          <w:lang w:val="en-US" w:eastAsia="zh-CN"/>
        </w:rPr>
        <w:t>16</w:t>
      </w:r>
      <w:r>
        <w:rPr>
          <w:rFonts w:hint="eastAsia" w:ascii="仿宋" w:hAnsi="仿宋" w:eastAsia="仿宋" w:cs="宋体"/>
          <w:spacing w:val="4"/>
          <w:sz w:val="24"/>
          <w:szCs w:val="24"/>
        </w:rPr>
        <w:t>日至估价报告出具之日2019年</w:t>
      </w:r>
      <w:r>
        <w:rPr>
          <w:rFonts w:hint="eastAsia" w:ascii="仿宋" w:hAnsi="仿宋" w:eastAsia="仿宋" w:cs="宋体"/>
          <w:spacing w:val="4"/>
          <w:sz w:val="24"/>
          <w:szCs w:val="24"/>
          <w:lang w:val="en-US" w:eastAsia="zh-CN"/>
        </w:rPr>
        <w:t>8</w:t>
      </w:r>
      <w:r>
        <w:rPr>
          <w:rFonts w:hint="eastAsia" w:ascii="仿宋" w:hAnsi="仿宋" w:eastAsia="仿宋" w:cs="宋体"/>
          <w:spacing w:val="4"/>
          <w:sz w:val="24"/>
          <w:szCs w:val="24"/>
        </w:rPr>
        <w:t>月</w:t>
      </w:r>
      <w:r>
        <w:rPr>
          <w:rFonts w:hint="eastAsia" w:ascii="仿宋" w:hAnsi="仿宋" w:eastAsia="仿宋" w:cs="宋体"/>
          <w:spacing w:val="4"/>
          <w:sz w:val="24"/>
          <w:szCs w:val="24"/>
          <w:lang w:val="en-US" w:eastAsia="zh-CN"/>
        </w:rPr>
        <w:t>28</w:t>
      </w:r>
      <w:r>
        <w:rPr>
          <w:rFonts w:hint="eastAsia" w:ascii="仿宋" w:hAnsi="仿宋" w:eastAsia="仿宋" w:cs="宋体"/>
          <w:spacing w:val="4"/>
          <w:sz w:val="24"/>
          <w:szCs w:val="24"/>
        </w:rPr>
        <w:t>日止。</w:t>
      </w:r>
    </w:p>
    <w:p>
      <w:pPr>
        <w:pStyle w:val="3"/>
        <w:spacing w:line="240" w:lineRule="auto"/>
        <w:jc w:val="center"/>
        <w:rPr>
          <w:rFonts w:ascii="黑体" w:hAnsi="黑体" w:eastAsia="黑体" w:cs="宋体"/>
          <w:sz w:val="24"/>
          <w:szCs w:val="24"/>
        </w:rPr>
      </w:pPr>
      <w:bookmarkStart w:id="75" w:name="_Toc8653"/>
      <w:r>
        <w:rPr>
          <w:rFonts w:hint="eastAsia" w:ascii="宋体" w:hAnsi="宋体" w:cs="宋体"/>
          <w:sz w:val="32"/>
          <w:szCs w:val="32"/>
        </w:rPr>
        <w:br w:type="page"/>
      </w:r>
      <w:bookmarkStart w:id="76" w:name="_Toc1507"/>
      <w:r>
        <w:rPr>
          <w:rFonts w:hint="eastAsia" w:ascii="宋体" w:hAnsi="宋体" w:cs="宋体"/>
          <w:sz w:val="32"/>
          <w:szCs w:val="32"/>
        </w:rPr>
        <w:t>估价报告附件</w:t>
      </w:r>
      <w:bookmarkEnd w:id="75"/>
      <w:bookmarkEnd w:id="76"/>
    </w:p>
    <w:p>
      <w:pPr>
        <w:rPr>
          <w:sz w:val="24"/>
          <w:szCs w:val="24"/>
        </w:rPr>
      </w:pPr>
    </w:p>
    <w:p>
      <w:pPr>
        <w:pStyle w:val="4"/>
        <w:spacing w:line="460" w:lineRule="exact"/>
        <w:rPr>
          <w:rFonts w:hint="eastAsia" w:ascii="仿宋" w:hAnsi="仿宋" w:eastAsia="仿宋" w:cs="仿宋"/>
          <w:b w:val="0"/>
          <w:sz w:val="24"/>
          <w:szCs w:val="24"/>
        </w:rPr>
      </w:pPr>
      <w:bookmarkStart w:id="77" w:name="_Toc30468"/>
      <w:bookmarkStart w:id="78" w:name="_Toc29563"/>
      <w:bookmarkStart w:id="79" w:name="_Toc24924"/>
      <w:r>
        <w:rPr>
          <w:rFonts w:hint="eastAsia" w:ascii="仿宋" w:hAnsi="仿宋" w:eastAsia="仿宋" w:cs="仿宋"/>
          <w:b w:val="0"/>
          <w:sz w:val="24"/>
          <w:szCs w:val="24"/>
        </w:rPr>
        <w:t>一、《委托</w:t>
      </w:r>
      <w:r>
        <w:rPr>
          <w:rFonts w:hint="eastAsia" w:ascii="仿宋" w:hAnsi="仿宋" w:eastAsia="仿宋" w:cs="仿宋"/>
          <w:b w:val="0"/>
          <w:sz w:val="24"/>
          <w:szCs w:val="24"/>
          <w:lang w:eastAsia="zh-CN"/>
        </w:rPr>
        <w:t>评估书</w:t>
      </w:r>
      <w:r>
        <w:rPr>
          <w:rFonts w:hint="eastAsia" w:ascii="仿宋" w:hAnsi="仿宋" w:eastAsia="仿宋" w:cs="仿宋"/>
          <w:b w:val="0"/>
          <w:sz w:val="24"/>
          <w:szCs w:val="24"/>
        </w:rPr>
        <w:t>》</w:t>
      </w:r>
      <w:bookmarkEnd w:id="77"/>
      <w:bookmarkEnd w:id="78"/>
      <w:r>
        <w:rPr>
          <w:rFonts w:hint="eastAsia" w:ascii="仿宋" w:hAnsi="仿宋" w:eastAsia="仿宋" w:cs="仿宋"/>
          <w:b w:val="0"/>
          <w:sz w:val="24"/>
          <w:szCs w:val="24"/>
        </w:rPr>
        <w:t>复印件</w:t>
      </w:r>
      <w:bookmarkEnd w:id="79"/>
    </w:p>
    <w:p>
      <w:pPr>
        <w:pStyle w:val="4"/>
        <w:spacing w:line="460" w:lineRule="exact"/>
        <w:rPr>
          <w:rFonts w:ascii="仿宋" w:hAnsi="仿宋" w:eastAsia="仿宋" w:cs="仿宋"/>
          <w:b w:val="0"/>
          <w:sz w:val="24"/>
          <w:szCs w:val="24"/>
        </w:rPr>
      </w:pPr>
      <w:bookmarkStart w:id="80" w:name="_Toc12190"/>
      <w:bookmarkStart w:id="81" w:name="_Toc28981"/>
      <w:bookmarkStart w:id="82" w:name="_Toc16036"/>
      <w:r>
        <w:rPr>
          <w:rFonts w:hint="eastAsia" w:ascii="仿宋" w:hAnsi="仿宋" w:eastAsia="仿宋" w:cs="仿宋"/>
          <w:b w:val="0"/>
          <w:sz w:val="24"/>
          <w:szCs w:val="24"/>
        </w:rPr>
        <w:t>二、估价对象位置图</w:t>
      </w:r>
      <w:bookmarkEnd w:id="80"/>
      <w:bookmarkEnd w:id="81"/>
      <w:bookmarkEnd w:id="82"/>
    </w:p>
    <w:p>
      <w:pPr>
        <w:pStyle w:val="4"/>
        <w:spacing w:line="460" w:lineRule="exact"/>
        <w:rPr>
          <w:rFonts w:ascii="仿宋" w:hAnsi="仿宋" w:eastAsia="仿宋" w:cs="仿宋"/>
          <w:b w:val="0"/>
          <w:sz w:val="24"/>
          <w:szCs w:val="24"/>
        </w:rPr>
      </w:pPr>
      <w:bookmarkStart w:id="83" w:name="_Toc7104"/>
      <w:bookmarkStart w:id="84" w:name="_Toc20192"/>
      <w:bookmarkStart w:id="85" w:name="_Toc3353"/>
      <w:r>
        <w:rPr>
          <w:rFonts w:hint="eastAsia" w:ascii="仿宋" w:hAnsi="仿宋" w:eastAsia="仿宋" w:cs="仿宋"/>
          <w:b w:val="0"/>
          <w:sz w:val="24"/>
          <w:szCs w:val="24"/>
        </w:rPr>
        <w:t>三、估价对象实地查勘情况和相关照片</w:t>
      </w:r>
      <w:bookmarkEnd w:id="83"/>
      <w:bookmarkEnd w:id="84"/>
      <w:bookmarkEnd w:id="85"/>
    </w:p>
    <w:p>
      <w:pPr>
        <w:pStyle w:val="4"/>
        <w:spacing w:line="460" w:lineRule="exact"/>
      </w:pPr>
      <w:bookmarkStart w:id="86" w:name="_Toc20965"/>
      <w:bookmarkStart w:id="87" w:name="_Toc96"/>
      <w:bookmarkStart w:id="88" w:name="_Toc6520"/>
      <w:r>
        <w:rPr>
          <w:rFonts w:hint="eastAsia" w:ascii="仿宋" w:hAnsi="仿宋" w:eastAsia="仿宋" w:cs="仿宋"/>
          <w:b w:val="0"/>
          <w:sz w:val="24"/>
          <w:szCs w:val="24"/>
        </w:rPr>
        <w:t>四、</w:t>
      </w:r>
      <w:bookmarkEnd w:id="86"/>
      <w:r>
        <w:rPr>
          <w:rFonts w:hint="eastAsia" w:ascii="仿宋" w:hAnsi="仿宋" w:eastAsia="仿宋" w:cs="仿宋"/>
          <w:b w:val="0"/>
          <w:sz w:val="24"/>
          <w:szCs w:val="24"/>
          <w:lang w:eastAsia="zh-CN"/>
        </w:rPr>
        <w:t>估价对象</w:t>
      </w:r>
      <w:r>
        <w:rPr>
          <w:rFonts w:hint="eastAsia" w:ascii="仿宋" w:hAnsi="仿宋" w:eastAsia="仿宋" w:cs="仿宋"/>
          <w:b w:val="0"/>
          <w:sz w:val="24"/>
          <w:szCs w:val="24"/>
        </w:rPr>
        <w:t>《证明》复印件</w:t>
      </w:r>
      <w:bookmarkEnd w:id="87"/>
      <w:bookmarkEnd w:id="88"/>
    </w:p>
    <w:p>
      <w:pPr>
        <w:pStyle w:val="4"/>
        <w:spacing w:line="460" w:lineRule="exact"/>
        <w:rPr>
          <w:rFonts w:ascii="仿宋" w:hAnsi="仿宋" w:eastAsia="仿宋" w:cs="仿宋"/>
          <w:b w:val="0"/>
          <w:sz w:val="24"/>
          <w:szCs w:val="24"/>
        </w:rPr>
      </w:pPr>
      <w:bookmarkStart w:id="89" w:name="_Toc22092"/>
      <w:bookmarkStart w:id="90" w:name="_Toc30196"/>
      <w:bookmarkStart w:id="91" w:name="_Toc2588"/>
      <w:r>
        <w:rPr>
          <w:rFonts w:hint="eastAsia" w:ascii="仿宋" w:hAnsi="仿宋" w:eastAsia="仿宋" w:cs="仿宋"/>
          <w:b w:val="0"/>
          <w:sz w:val="24"/>
          <w:szCs w:val="24"/>
        </w:rPr>
        <w:t>五、</w:t>
      </w:r>
      <w:bookmarkEnd w:id="89"/>
      <w:r>
        <w:rPr>
          <w:rFonts w:hint="eastAsia" w:ascii="仿宋" w:hAnsi="仿宋" w:eastAsia="仿宋" w:cs="仿宋"/>
          <w:b w:val="0"/>
          <w:bCs w:val="0"/>
          <w:sz w:val="24"/>
          <w:szCs w:val="24"/>
        </w:rPr>
        <w:t>专业帮助情况和相关专业意见说明</w:t>
      </w:r>
      <w:bookmarkEnd w:id="90"/>
      <w:bookmarkEnd w:id="91"/>
    </w:p>
    <w:p>
      <w:pPr>
        <w:pStyle w:val="4"/>
        <w:spacing w:line="460" w:lineRule="exact"/>
        <w:rPr>
          <w:rFonts w:ascii="仿宋" w:hAnsi="仿宋" w:eastAsia="仿宋" w:cs="仿宋"/>
          <w:sz w:val="24"/>
          <w:szCs w:val="24"/>
        </w:rPr>
      </w:pPr>
      <w:bookmarkStart w:id="92" w:name="_Toc22774"/>
      <w:bookmarkStart w:id="93" w:name="_Toc9456"/>
      <w:bookmarkStart w:id="94" w:name="_Toc24053"/>
      <w:r>
        <w:rPr>
          <w:rFonts w:hint="eastAsia" w:ascii="仿宋" w:hAnsi="仿宋" w:eastAsia="仿宋" w:cs="仿宋"/>
          <w:b w:val="0"/>
          <w:sz w:val="24"/>
          <w:szCs w:val="24"/>
        </w:rPr>
        <w:t>六、</w:t>
      </w:r>
      <w:bookmarkEnd w:id="92"/>
      <w:bookmarkStart w:id="95" w:name="_Toc2601"/>
      <w:r>
        <w:rPr>
          <w:rFonts w:hint="eastAsia" w:ascii="仿宋" w:hAnsi="仿宋" w:eastAsia="仿宋" w:cs="仿宋"/>
          <w:b w:val="0"/>
          <w:sz w:val="24"/>
          <w:szCs w:val="24"/>
        </w:rPr>
        <w:t>评估机构营业执照和评估机构</w:t>
      </w:r>
      <w:r>
        <w:rPr>
          <w:rFonts w:hint="eastAsia" w:ascii="仿宋" w:hAnsi="仿宋" w:eastAsia="仿宋" w:cs="仿宋"/>
          <w:b w:val="0"/>
          <w:sz w:val="24"/>
          <w:szCs w:val="24"/>
          <w:lang w:eastAsia="zh-CN"/>
        </w:rPr>
        <w:t>备案</w:t>
      </w:r>
      <w:r>
        <w:rPr>
          <w:rFonts w:hint="eastAsia" w:ascii="仿宋" w:hAnsi="仿宋" w:eastAsia="仿宋" w:cs="仿宋"/>
          <w:b w:val="0"/>
          <w:sz w:val="24"/>
          <w:szCs w:val="24"/>
        </w:rPr>
        <w:t>证书复印件</w:t>
      </w:r>
      <w:bookmarkEnd w:id="93"/>
      <w:bookmarkEnd w:id="94"/>
    </w:p>
    <w:p>
      <w:pPr>
        <w:pStyle w:val="4"/>
        <w:spacing w:line="460" w:lineRule="exact"/>
        <w:rPr>
          <w:rFonts w:ascii="仿宋" w:hAnsi="仿宋" w:eastAsia="仿宋" w:cs="仿宋"/>
          <w:b w:val="0"/>
          <w:sz w:val="24"/>
          <w:szCs w:val="24"/>
        </w:rPr>
      </w:pPr>
      <w:bookmarkStart w:id="96" w:name="_Toc18961"/>
      <w:bookmarkStart w:id="97" w:name="_Toc7941"/>
      <w:r>
        <w:rPr>
          <w:rFonts w:hint="eastAsia" w:ascii="仿宋" w:hAnsi="仿宋" w:eastAsia="仿宋" w:cs="仿宋"/>
          <w:b w:val="0"/>
          <w:sz w:val="24"/>
          <w:szCs w:val="24"/>
        </w:rPr>
        <w:t>七、</w:t>
      </w:r>
      <w:bookmarkEnd w:id="95"/>
      <w:r>
        <w:rPr>
          <w:rFonts w:hint="eastAsia" w:ascii="仿宋" w:hAnsi="仿宋" w:eastAsia="仿宋" w:cs="仿宋"/>
          <w:b w:val="0"/>
          <w:sz w:val="24"/>
          <w:szCs w:val="24"/>
        </w:rPr>
        <w:t>注册房地产估价师注册证书复印件</w:t>
      </w:r>
      <w:bookmarkEnd w:id="96"/>
      <w:bookmarkEnd w:id="97"/>
    </w:p>
    <w:p>
      <w:pPr>
        <w:rPr>
          <w:rFonts w:ascii="仿宋" w:hAnsi="仿宋" w:eastAsia="仿宋" w:cs="宋体"/>
          <w:sz w:val="24"/>
          <w:szCs w:val="24"/>
        </w:rPr>
      </w:pPr>
    </w:p>
    <w:p>
      <w:pPr>
        <w:tabs>
          <w:tab w:val="left" w:pos="1065"/>
        </w:tabs>
        <w:rPr>
          <w:rFonts w:ascii="仿宋" w:hAnsi="仿宋" w:eastAsia="仿宋" w:cs="宋体"/>
          <w:sz w:val="24"/>
          <w:szCs w:val="24"/>
        </w:rPr>
      </w:pPr>
      <w:r>
        <w:rPr>
          <w:rFonts w:ascii="仿宋" w:hAnsi="仿宋" w:eastAsia="仿宋" w:cs="宋体"/>
          <w:sz w:val="24"/>
          <w:szCs w:val="24"/>
        </w:rPr>
        <w:tab/>
      </w:r>
    </w:p>
    <w:p>
      <w:pPr>
        <w:rPr>
          <w:rFonts w:ascii="仿宋" w:hAnsi="仿宋" w:eastAsia="仿宋" w:cs="宋体"/>
          <w:sz w:val="24"/>
          <w:szCs w:val="24"/>
        </w:rPr>
      </w:pPr>
    </w:p>
    <w:p>
      <w:pPr>
        <w:rPr>
          <w:rFonts w:ascii="仿宋" w:hAnsi="仿宋" w:eastAsia="仿宋" w:cs="宋体"/>
          <w:sz w:val="24"/>
          <w:szCs w:val="24"/>
        </w:rPr>
      </w:pPr>
    </w:p>
    <w:p>
      <w:pPr>
        <w:rPr>
          <w:sz w:val="24"/>
          <w:szCs w:val="24"/>
        </w:rPr>
      </w:pPr>
    </w:p>
    <w:p>
      <w:pPr>
        <w:rPr>
          <w:rFonts w:ascii="仿宋" w:hAnsi="仿宋" w:eastAsia="仿宋" w:cs="宋体"/>
          <w:sz w:val="24"/>
          <w:szCs w:val="24"/>
        </w:rPr>
      </w:pPr>
    </w:p>
    <w:p>
      <w:pPr>
        <w:rPr>
          <w:rFonts w:ascii="仿宋" w:hAnsi="仿宋" w:eastAsia="仿宋" w:cs="宋体"/>
          <w:sz w:val="24"/>
          <w:szCs w:val="24"/>
        </w:rPr>
      </w:pPr>
    </w:p>
    <w:p>
      <w:pPr>
        <w:rPr>
          <w:rFonts w:ascii="仿宋" w:hAnsi="仿宋" w:eastAsia="仿宋" w:cs="宋体"/>
          <w:sz w:val="24"/>
          <w:szCs w:val="24"/>
        </w:rPr>
      </w:pPr>
    </w:p>
    <w:p>
      <w:pPr>
        <w:rPr>
          <w:rFonts w:ascii="仿宋" w:hAnsi="仿宋" w:eastAsia="仿宋" w:cs="宋体"/>
          <w:sz w:val="24"/>
          <w:szCs w:val="24"/>
        </w:rPr>
      </w:pPr>
    </w:p>
    <w:bookmarkEnd w:id="25"/>
    <w:bookmarkEnd w:id="26"/>
    <w:p>
      <w:pPr>
        <w:rPr>
          <w:rFonts w:ascii="仿宋" w:hAnsi="仿宋" w:eastAsia="仿宋" w:cs="宋体"/>
          <w:sz w:val="24"/>
          <w:szCs w:val="24"/>
        </w:rPr>
      </w:pPr>
    </w:p>
    <w:sectPr>
      <w:headerReference r:id="rId7" w:type="first"/>
      <w:footerReference r:id="rId9" w:type="first"/>
      <w:footerReference r:id="rId8" w:type="default"/>
      <w:pgSz w:w="11906" w:h="16838"/>
      <w:pgMar w:top="1440" w:right="1111" w:bottom="1440" w:left="168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隶书">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left" w:pos="9040"/>
      </w:tabs>
      <w:ind w:right="75"/>
      <w:rPr>
        <w:u w:val="single"/>
      </w:rPr>
    </w:pPr>
  </w:p>
  <w:p>
    <w:pPr>
      <w:pStyle w:val="21"/>
      <w:pBdr>
        <w:top w:val="single" w:color="A5A5A5" w:sz="4" w:space="1"/>
      </w:pBdr>
    </w:pPr>
    <w:r>
      <w:rPr>
        <w:rFonts w:hint="eastAsia"/>
      </w:rPr>
      <w:t>公司地址：</w:t>
    </w:r>
    <w:r>
      <w:rPr>
        <w:rFonts w:hint="eastAsia" w:asciiTheme="majorEastAsia" w:hAnsiTheme="majorEastAsia" w:eastAsiaTheme="majorEastAsia"/>
      </w:rPr>
      <w:t>贵阳市观山湖区长岭北路8号美的·财智中心C座3A-415号</w:t>
    </w:r>
    <w:r>
      <w:rPr>
        <w:rFonts w:hint="eastAsia"/>
      </w:rPr>
      <w:t xml:space="preserve">          联系电话：0851</w:t>
    </w:r>
    <w:r>
      <w:t>- 8</w:t>
    </w:r>
    <w:r>
      <w:rPr>
        <w:rFonts w:hint="eastAsia"/>
      </w:rPr>
      <w:t xml:space="preserve">5811907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left" w:pos="9040"/>
      </w:tabs>
      <w:ind w:right="75"/>
      <w:rPr>
        <w:u w:val="single"/>
      </w:rPr>
    </w:pPr>
  </w:p>
  <w:p>
    <w:pPr>
      <w:pStyle w:val="21"/>
      <w:pBdr>
        <w:top w:val="single" w:color="A5A5A5" w:sz="4" w:space="1"/>
      </w:pBdr>
    </w:pPr>
    <w:r>
      <w:rPr>
        <w:rFonts w:hint="eastAsia"/>
      </w:rPr>
      <w:t>公司地址：</w:t>
    </w:r>
    <w:r>
      <w:rPr>
        <w:rFonts w:hint="eastAsia" w:asciiTheme="majorEastAsia" w:hAnsiTheme="majorEastAsia" w:eastAsiaTheme="majorEastAsia"/>
      </w:rPr>
      <w:t>贵阳市观山湖区长岭北路8号美的·财智中心C座3A-415号</w:t>
    </w:r>
    <w:r>
      <w:rPr>
        <w:rFonts w:hint="eastAsia"/>
      </w:rPr>
      <w:t xml:space="preserve">                联系电话：0851</w:t>
    </w:r>
    <w:r>
      <w:t>- 8</w:t>
    </w:r>
    <w:r>
      <w:rPr>
        <w:rFonts w:hint="eastAsia"/>
      </w:rPr>
      <w:t xml:space="preserve">5811907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left" w:pos="9040"/>
      </w:tabs>
      <w:ind w:right="75"/>
      <w:rPr>
        <w:u w:val="single"/>
      </w:rPr>
    </w:pPr>
  </w:p>
  <w:p>
    <w:pPr>
      <w:pStyle w:val="21"/>
      <w:pBdr>
        <w:top w:val="single" w:color="A5A5A5" w:sz="4" w:space="1"/>
      </w:pBdr>
    </w:pPr>
    <w:r>
      <mc:AlternateContent>
        <mc:Choice Requires="wps">
          <w:drawing>
            <wp:anchor distT="0" distB="0" distL="114300" distR="114300" simplePos="0" relativeHeight="1024" behindDoc="0" locked="0" layoutInCell="1" allowOverlap="1">
              <wp:simplePos x="0" y="0"/>
              <wp:positionH relativeFrom="margin">
                <wp:posOffset>5659120</wp:posOffset>
              </wp:positionH>
              <wp:positionV relativeFrom="paragraph">
                <wp:posOffset>8890</wp:posOffset>
              </wp:positionV>
              <wp:extent cx="1828800" cy="1828800"/>
              <wp:effectExtent l="0" t="0" r="0" b="0"/>
              <wp:wrapNone/>
              <wp:docPr id="5"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13</w:t>
                          </w:r>
                          <w:r>
                            <w:rPr>
                              <w:rFonts w:hint="eastAsia"/>
                              <w:sz w:val="18"/>
                            </w:rPr>
                            <w:fldChar w:fldCharType="end"/>
                          </w:r>
                        </w:p>
                      </w:txbxContent>
                    </wps:txbx>
                    <wps:bodyPr wrap="none" lIns="0" tIns="0" rIns="0" bIns="0" upright="0">
                      <a:spAutoFit/>
                    </wps:bodyPr>
                  </wps:wsp>
                </a:graphicData>
              </a:graphic>
            </wp:anchor>
          </w:drawing>
        </mc:Choice>
        <mc:Fallback>
          <w:pict>
            <v:shape id="文本框 11" o:spid="_x0000_s1026" o:spt="202" type="#_x0000_t202" style="position:absolute;left:0pt;margin-left:445.6pt;margin-top:0.7pt;height:144pt;width:144pt;mso-position-horizontal-relative:margin;mso-wrap-style:none;z-index:1024;mso-width-relative:page;mso-height-relative:page;" filled="f" stroked="f" coordsize="21600,21600" o:gfxdata="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AXPE4HVAAAACgEAAA8AAAAAAAAAAQAgAAAAIgAAAGRycy9kb3ducmV2LnhtbFBLAQIU&#10;ABQAAAAIAIdO4kBet4OqvQEAAGMDAAAOAAAAAAAAAAEAIAAAACQBAABkcnMvZTJvRG9jLnhtbFBL&#10;BQYAAAAABgAGAFkBAABT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13</w:t>
                    </w:r>
                    <w:r>
                      <w:rPr>
                        <w:rFonts w:hint="eastAsia"/>
                        <w:sz w:val="18"/>
                      </w:rPr>
                      <w:fldChar w:fldCharType="end"/>
                    </w:r>
                  </w:p>
                </w:txbxContent>
              </v:textbox>
            </v:shape>
          </w:pict>
        </mc:Fallback>
      </mc:AlternateContent>
    </w:r>
    <w:r>
      <w:rPr>
        <w:rFonts w:hint="eastAsia"/>
      </w:rPr>
      <w:t>公司地址：</w:t>
    </w:r>
    <w:r>
      <w:rPr>
        <w:rFonts w:hint="eastAsia" w:asciiTheme="majorEastAsia" w:hAnsiTheme="majorEastAsia" w:eastAsiaTheme="majorEastAsia"/>
      </w:rPr>
      <w:t>贵阳市观山湖区长岭北路8号美的·财智中心C座3A-415号</w:t>
    </w:r>
    <w:r>
      <w:rPr>
        <w:rFonts w:hint="eastAsia"/>
      </w:rPr>
      <w:t xml:space="preserve">       联系电话：0851</w:t>
    </w:r>
    <w:r>
      <w:t>- 8</w:t>
    </w:r>
    <w:r>
      <w:rPr>
        <w:rFonts w:hint="eastAsia"/>
      </w:rPr>
      <w:t xml:space="preserve">5811907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left" w:pos="9040"/>
      </w:tabs>
      <w:ind w:right="75"/>
      <w:rPr>
        <w:u w:val="single"/>
      </w:rPr>
    </w:pPr>
    <w:r>
      <mc:AlternateContent>
        <mc:Choice Requires="wps">
          <w:drawing>
            <wp:anchor distT="0" distB="0" distL="114300" distR="114300" simplePos="0" relativeHeight="102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right;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ClcMUL4BAABjAwAADgAAAAAAAAABACAAAAAeAQAAZHJzL2Uyb0RvYy54bWxQSwUGAAAA&#10;AAYABgBZAQAATg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p>
    <w:pPr>
      <w:pStyle w:val="21"/>
      <w:pBdr>
        <w:top w:val="single" w:color="A5A5A5" w:sz="4" w:space="1"/>
      </w:pBdr>
    </w:pPr>
    <w:r>
      <w:rPr>
        <w:rFonts w:hint="eastAsia"/>
      </w:rPr>
      <w:t>公司地址：</w:t>
    </w:r>
    <w:r>
      <w:rPr>
        <w:rFonts w:hint="eastAsia" w:asciiTheme="majorEastAsia" w:hAnsiTheme="majorEastAsia" w:eastAsiaTheme="majorEastAsia"/>
      </w:rPr>
      <w:t>贵阳市观山湖区长岭北路8号美的·财智中心C座3A-415号</w:t>
    </w:r>
    <w:r>
      <w:rPr>
        <w:rFonts w:hint="eastAsia"/>
      </w:rPr>
      <w:t xml:space="preserve">          联系电话：0851</w:t>
    </w:r>
    <w:r>
      <w:t>- 8</w:t>
    </w:r>
    <w:r>
      <w:rPr>
        <w:rFonts w:hint="eastAsia"/>
      </w:rPr>
      <w:t xml:space="preserve">5811907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ckThinMediumGap" w:color="auto" w:sz="18" w:space="0"/>
      </w:pBdr>
      <w:adjustRightInd w:val="0"/>
      <w:snapToGrid w:val="0"/>
      <w:spacing w:line="420" w:lineRule="exact"/>
      <w:ind w:firstLine="420" w:firstLineChars="200"/>
    </w:pPr>
    <w:r>
      <w:drawing>
        <wp:anchor distT="0" distB="0" distL="114300" distR="114300" simplePos="0" relativeHeight="1024" behindDoc="0" locked="0" layoutInCell="1" allowOverlap="1">
          <wp:simplePos x="0" y="0"/>
          <wp:positionH relativeFrom="column">
            <wp:posOffset>5080</wp:posOffset>
          </wp:positionH>
          <wp:positionV relativeFrom="paragraph">
            <wp:posOffset>-635</wp:posOffset>
          </wp:positionV>
          <wp:extent cx="266700" cy="260350"/>
          <wp:effectExtent l="0" t="0" r="0" b="6350"/>
          <wp:wrapNone/>
          <wp:docPr id="2" name="Picture 6" descr="天成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天成封面"/>
                  <pic:cNvPicPr>
                    <a:picLocks noChangeAspect="1"/>
                  </pic:cNvPicPr>
                </pic:nvPicPr>
                <pic:blipFill>
                  <a:blip r:embed="rId1"/>
                  <a:srcRect t="68477" r="71970"/>
                  <a:stretch>
                    <a:fillRect/>
                  </a:stretch>
                </pic:blipFill>
                <pic:spPr>
                  <a:xfrm>
                    <a:off x="0" y="0"/>
                    <a:ext cx="266700" cy="260350"/>
                  </a:xfrm>
                  <a:prstGeom prst="rect">
                    <a:avLst/>
                  </a:prstGeom>
                  <a:noFill/>
                  <a:ln>
                    <a:noFill/>
                  </a:ln>
                </pic:spPr>
              </pic:pic>
            </a:graphicData>
          </a:graphic>
        </wp:anchor>
      </w:drawing>
    </w:r>
    <w:r>
      <w:rPr>
        <w:rStyle w:val="33"/>
        <w:rFonts w:hint="eastAsia" w:ascii="仿宋" w:hAnsi="仿宋" w:eastAsia="仿宋" w:cs="仿宋"/>
      </w:rPr>
      <w:t>天成估价</w:t>
    </w:r>
    <w:r>
      <w:rPr>
        <w:rStyle w:val="33"/>
        <w:rFonts w:hint="eastAsia"/>
      </w:rPr>
      <w:t xml:space="preserve">Tiancheng real estate appraisal                   </w:t>
    </w:r>
    <w:r>
      <w:rPr>
        <w:rStyle w:val="33"/>
        <w:rFonts w:hint="eastAsia" w:ascii="仿宋" w:hAnsi="仿宋" w:eastAsia="仿宋" w:cs="仿宋"/>
      </w:rPr>
      <w:t>估价报告</w:t>
    </w:r>
    <w:r>
      <w:rPr>
        <w:rStyle w:val="33"/>
      </w:rPr>
      <w:t>appraisal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ckThinMediumGap" w:color="auto" w:sz="18" w:space="0"/>
      </w:pBdr>
      <w:adjustRightInd w:val="0"/>
      <w:snapToGrid w:val="0"/>
      <w:spacing w:line="420" w:lineRule="exact"/>
      <w:ind w:right="73" w:rightChars="35" w:firstLine="420" w:firstLineChars="200"/>
    </w:pPr>
    <w:r>
      <w:drawing>
        <wp:anchor distT="0" distB="0" distL="114300" distR="114300" simplePos="0" relativeHeight="1024" behindDoc="0" locked="0" layoutInCell="1" allowOverlap="1">
          <wp:simplePos x="0" y="0"/>
          <wp:positionH relativeFrom="column">
            <wp:posOffset>5080</wp:posOffset>
          </wp:positionH>
          <wp:positionV relativeFrom="paragraph">
            <wp:posOffset>-635</wp:posOffset>
          </wp:positionV>
          <wp:extent cx="266700" cy="260350"/>
          <wp:effectExtent l="0" t="0" r="0" b="6350"/>
          <wp:wrapNone/>
          <wp:docPr id="1" name="图片 2" descr="天成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天成封面"/>
                  <pic:cNvPicPr>
                    <a:picLocks noChangeAspect="1"/>
                  </pic:cNvPicPr>
                </pic:nvPicPr>
                <pic:blipFill>
                  <a:blip r:embed="rId1"/>
                  <a:srcRect t="68477" r="71970"/>
                  <a:stretch>
                    <a:fillRect/>
                  </a:stretch>
                </pic:blipFill>
                <pic:spPr>
                  <a:xfrm>
                    <a:off x="0" y="0"/>
                    <a:ext cx="266700" cy="260350"/>
                  </a:xfrm>
                  <a:prstGeom prst="rect">
                    <a:avLst/>
                  </a:prstGeom>
                  <a:noFill/>
                  <a:ln>
                    <a:noFill/>
                  </a:ln>
                </pic:spPr>
              </pic:pic>
            </a:graphicData>
          </a:graphic>
        </wp:anchor>
      </w:drawing>
    </w:r>
    <w:r>
      <w:rPr>
        <w:rStyle w:val="33"/>
        <w:rFonts w:hint="eastAsia" w:ascii="仿宋" w:hAnsi="仿宋" w:eastAsia="仿宋" w:cs="仿宋"/>
      </w:rPr>
      <w:t>天成估价</w:t>
    </w:r>
    <w:r>
      <w:rPr>
        <w:rStyle w:val="33"/>
        <w:rFonts w:hint="eastAsia"/>
      </w:rPr>
      <w:t xml:space="preserve">Tiancheng real estate appraisal                  </w:t>
    </w:r>
    <w:r>
      <w:rPr>
        <w:rStyle w:val="33"/>
        <w:rFonts w:hint="eastAsia" w:ascii="仿宋" w:hAnsi="仿宋" w:eastAsia="仿宋" w:cs="仿宋"/>
      </w:rPr>
      <w:t>估价报告</w:t>
    </w:r>
    <w:r>
      <w:rPr>
        <w:rStyle w:val="33"/>
      </w:rPr>
      <w:t>appraisal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ckThinMediumGap" w:color="auto" w:sz="18" w:space="0"/>
      </w:pBdr>
      <w:adjustRightInd w:val="0"/>
      <w:snapToGrid w:val="0"/>
      <w:spacing w:line="420" w:lineRule="exact"/>
      <w:ind w:right="73" w:rightChars="35"/>
    </w:pPr>
    <w:r>
      <w:drawing>
        <wp:anchor distT="0" distB="0" distL="114300" distR="114300" simplePos="0" relativeHeight="1024" behindDoc="0" locked="0" layoutInCell="1" allowOverlap="1">
          <wp:simplePos x="0" y="0"/>
          <wp:positionH relativeFrom="column">
            <wp:posOffset>5080</wp:posOffset>
          </wp:positionH>
          <wp:positionV relativeFrom="paragraph">
            <wp:posOffset>-635</wp:posOffset>
          </wp:positionV>
          <wp:extent cx="266700" cy="260350"/>
          <wp:effectExtent l="0" t="0" r="0" b="6350"/>
          <wp:wrapNone/>
          <wp:docPr id="3" name="图片 3" descr="天成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天成封面"/>
                  <pic:cNvPicPr>
                    <a:picLocks noChangeAspect="1"/>
                  </pic:cNvPicPr>
                </pic:nvPicPr>
                <pic:blipFill>
                  <a:blip r:embed="rId1"/>
                  <a:srcRect t="68477" r="71970"/>
                  <a:stretch>
                    <a:fillRect/>
                  </a:stretch>
                </pic:blipFill>
                <pic:spPr>
                  <a:xfrm>
                    <a:off x="0" y="0"/>
                    <a:ext cx="266700" cy="260350"/>
                  </a:xfrm>
                  <a:prstGeom prst="rect">
                    <a:avLst/>
                  </a:prstGeom>
                  <a:noFill/>
                  <a:ln>
                    <a:noFill/>
                  </a:ln>
                </pic:spPr>
              </pic:pic>
            </a:graphicData>
          </a:graphic>
        </wp:anchor>
      </w:drawing>
    </w:r>
    <w:r>
      <w:rPr>
        <w:rStyle w:val="33"/>
        <w:rFonts w:hint="eastAsia" w:ascii="仿宋" w:hAnsi="仿宋" w:eastAsia="仿宋" w:cs="仿宋"/>
      </w:rPr>
      <w:t>天成估价</w:t>
    </w:r>
    <w:r>
      <w:rPr>
        <w:rStyle w:val="33"/>
        <w:rFonts w:hint="eastAsia"/>
      </w:rPr>
      <w:t xml:space="preserve">Tiancheng real estate appraisal   </w:t>
    </w:r>
    <w:r>
      <w:rPr>
        <w:rStyle w:val="33"/>
        <w:rFonts w:hint="eastAsia" w:ascii="仿宋" w:hAnsi="仿宋" w:eastAsia="仿宋" w:cs="仿宋"/>
      </w:rPr>
      <w:t>估价报告</w:t>
    </w:r>
    <w:r>
      <w:rPr>
        <w:rStyle w:val="33"/>
      </w:rPr>
      <w:t>appraisal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6DCAE"/>
    <w:multiLevelType w:val="singleLevel"/>
    <w:tmpl w:val="55D6DCAE"/>
    <w:lvl w:ilvl="0" w:tentative="0">
      <w:start w:val="6"/>
      <w:numFmt w:val="chineseCounting"/>
      <w:suff w:val="nothing"/>
      <w:lvlText w:val="%1、"/>
      <w:lvlJc w:val="left"/>
    </w:lvl>
  </w:abstractNum>
  <w:abstractNum w:abstractNumId="1">
    <w:nsid w:val="55E643E1"/>
    <w:multiLevelType w:val="singleLevel"/>
    <w:tmpl w:val="55E643E1"/>
    <w:lvl w:ilvl="0" w:tentative="0">
      <w:start w:val="1"/>
      <w:numFmt w:val="chineseCounting"/>
      <w:suff w:val="nothing"/>
      <w:lvlText w:val="%1、"/>
      <w:lvlJc w:val="left"/>
    </w:lvl>
  </w:abstractNum>
  <w:abstractNum w:abstractNumId="2">
    <w:nsid w:val="55E64C02"/>
    <w:multiLevelType w:val="singleLevel"/>
    <w:tmpl w:val="55E64C02"/>
    <w:lvl w:ilvl="0" w:tentative="0">
      <w:start w:val="3"/>
      <w:numFmt w:val="chineseCounting"/>
      <w:suff w:val="nothing"/>
      <w:lvlText w:val="%1、"/>
      <w:lvlJc w:val="left"/>
    </w:lvl>
  </w:abstractNum>
  <w:abstractNum w:abstractNumId="3">
    <w:nsid w:val="59F14938"/>
    <w:multiLevelType w:val="singleLevel"/>
    <w:tmpl w:val="59F14938"/>
    <w:lvl w:ilvl="0" w:tentative="0">
      <w:start w:val="1"/>
      <w:numFmt w:val="decimal"/>
      <w:suff w:val="nothing"/>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D01"/>
    <w:rsid w:val="000020C8"/>
    <w:rsid w:val="00002692"/>
    <w:rsid w:val="000035C0"/>
    <w:rsid w:val="000051DE"/>
    <w:rsid w:val="000072B5"/>
    <w:rsid w:val="00011B86"/>
    <w:rsid w:val="00011EA8"/>
    <w:rsid w:val="000161E2"/>
    <w:rsid w:val="00022DF8"/>
    <w:rsid w:val="0002318D"/>
    <w:rsid w:val="000253B3"/>
    <w:rsid w:val="00025E34"/>
    <w:rsid w:val="00031701"/>
    <w:rsid w:val="0003187C"/>
    <w:rsid w:val="00031979"/>
    <w:rsid w:val="00031AEC"/>
    <w:rsid w:val="00031E35"/>
    <w:rsid w:val="00033AA6"/>
    <w:rsid w:val="00034014"/>
    <w:rsid w:val="00034CF7"/>
    <w:rsid w:val="000359AD"/>
    <w:rsid w:val="00036E66"/>
    <w:rsid w:val="000401C9"/>
    <w:rsid w:val="00041FF8"/>
    <w:rsid w:val="0004583C"/>
    <w:rsid w:val="00045D39"/>
    <w:rsid w:val="00046155"/>
    <w:rsid w:val="00046C0C"/>
    <w:rsid w:val="000504CD"/>
    <w:rsid w:val="0005324A"/>
    <w:rsid w:val="00054CD2"/>
    <w:rsid w:val="0005565B"/>
    <w:rsid w:val="00061A6B"/>
    <w:rsid w:val="00062B5C"/>
    <w:rsid w:val="00062FD8"/>
    <w:rsid w:val="0006368B"/>
    <w:rsid w:val="000647E8"/>
    <w:rsid w:val="00064E15"/>
    <w:rsid w:val="00065175"/>
    <w:rsid w:val="000654A2"/>
    <w:rsid w:val="00072BBA"/>
    <w:rsid w:val="00073EE4"/>
    <w:rsid w:val="00077236"/>
    <w:rsid w:val="0008426B"/>
    <w:rsid w:val="0008456C"/>
    <w:rsid w:val="00095ECE"/>
    <w:rsid w:val="00097B82"/>
    <w:rsid w:val="000A0493"/>
    <w:rsid w:val="000A5379"/>
    <w:rsid w:val="000A6680"/>
    <w:rsid w:val="000B185C"/>
    <w:rsid w:val="000B26C9"/>
    <w:rsid w:val="000C3C22"/>
    <w:rsid w:val="000C57F9"/>
    <w:rsid w:val="000C60BB"/>
    <w:rsid w:val="000C6F11"/>
    <w:rsid w:val="000C7702"/>
    <w:rsid w:val="000C7EA3"/>
    <w:rsid w:val="000D00AE"/>
    <w:rsid w:val="000D0A4A"/>
    <w:rsid w:val="000D1464"/>
    <w:rsid w:val="000D20E4"/>
    <w:rsid w:val="000D4E49"/>
    <w:rsid w:val="000E034D"/>
    <w:rsid w:val="000E20D1"/>
    <w:rsid w:val="000E33B9"/>
    <w:rsid w:val="000E48C6"/>
    <w:rsid w:val="000E7BBB"/>
    <w:rsid w:val="000F07E0"/>
    <w:rsid w:val="000F0950"/>
    <w:rsid w:val="000F1483"/>
    <w:rsid w:val="000F7FBA"/>
    <w:rsid w:val="000F7FE8"/>
    <w:rsid w:val="00102902"/>
    <w:rsid w:val="00102A4A"/>
    <w:rsid w:val="001045EA"/>
    <w:rsid w:val="00104D8D"/>
    <w:rsid w:val="00107D4C"/>
    <w:rsid w:val="001132E8"/>
    <w:rsid w:val="0011336F"/>
    <w:rsid w:val="001160D7"/>
    <w:rsid w:val="00122B89"/>
    <w:rsid w:val="00122E7D"/>
    <w:rsid w:val="001230AF"/>
    <w:rsid w:val="00123700"/>
    <w:rsid w:val="001237E4"/>
    <w:rsid w:val="00123FD5"/>
    <w:rsid w:val="001412A7"/>
    <w:rsid w:val="00143890"/>
    <w:rsid w:val="00146DDB"/>
    <w:rsid w:val="00154F2A"/>
    <w:rsid w:val="00156FEA"/>
    <w:rsid w:val="00157679"/>
    <w:rsid w:val="001578A3"/>
    <w:rsid w:val="0016161E"/>
    <w:rsid w:val="001617CB"/>
    <w:rsid w:val="001621C8"/>
    <w:rsid w:val="0016465A"/>
    <w:rsid w:val="001662AA"/>
    <w:rsid w:val="00172A27"/>
    <w:rsid w:val="001746B0"/>
    <w:rsid w:val="001837A0"/>
    <w:rsid w:val="0018466B"/>
    <w:rsid w:val="0018620B"/>
    <w:rsid w:val="001867AF"/>
    <w:rsid w:val="0019069E"/>
    <w:rsid w:val="00190EE3"/>
    <w:rsid w:val="00193555"/>
    <w:rsid w:val="0019355A"/>
    <w:rsid w:val="00193B50"/>
    <w:rsid w:val="001940C4"/>
    <w:rsid w:val="0019452C"/>
    <w:rsid w:val="00196368"/>
    <w:rsid w:val="00196F4E"/>
    <w:rsid w:val="00197728"/>
    <w:rsid w:val="001A15B1"/>
    <w:rsid w:val="001A1E07"/>
    <w:rsid w:val="001A3910"/>
    <w:rsid w:val="001A6EC6"/>
    <w:rsid w:val="001A77AB"/>
    <w:rsid w:val="001A7F3E"/>
    <w:rsid w:val="001B10F3"/>
    <w:rsid w:val="001B1F06"/>
    <w:rsid w:val="001B2452"/>
    <w:rsid w:val="001B28D6"/>
    <w:rsid w:val="001B3D89"/>
    <w:rsid w:val="001B4AE1"/>
    <w:rsid w:val="001B5053"/>
    <w:rsid w:val="001B5979"/>
    <w:rsid w:val="001C02FA"/>
    <w:rsid w:val="001C0902"/>
    <w:rsid w:val="001C12A8"/>
    <w:rsid w:val="001D4F5F"/>
    <w:rsid w:val="001D4F78"/>
    <w:rsid w:val="001D5B8E"/>
    <w:rsid w:val="001E0BF8"/>
    <w:rsid w:val="001E2EBB"/>
    <w:rsid w:val="001E37D7"/>
    <w:rsid w:val="001E3DD6"/>
    <w:rsid w:val="001F04D4"/>
    <w:rsid w:val="001F2313"/>
    <w:rsid w:val="001F4139"/>
    <w:rsid w:val="001F4C1F"/>
    <w:rsid w:val="001F5E8C"/>
    <w:rsid w:val="001F6E76"/>
    <w:rsid w:val="001F6EA3"/>
    <w:rsid w:val="0020134D"/>
    <w:rsid w:val="00201E52"/>
    <w:rsid w:val="00202A83"/>
    <w:rsid w:val="00206ED9"/>
    <w:rsid w:val="00207B7D"/>
    <w:rsid w:val="00207CBA"/>
    <w:rsid w:val="0021256D"/>
    <w:rsid w:val="00213171"/>
    <w:rsid w:val="002131A5"/>
    <w:rsid w:val="00221DDA"/>
    <w:rsid w:val="00222D0E"/>
    <w:rsid w:val="002269B5"/>
    <w:rsid w:val="002308B1"/>
    <w:rsid w:val="00230C6B"/>
    <w:rsid w:val="002365E4"/>
    <w:rsid w:val="002414FF"/>
    <w:rsid w:val="00245657"/>
    <w:rsid w:val="002478B6"/>
    <w:rsid w:val="00247B9D"/>
    <w:rsid w:val="00247D17"/>
    <w:rsid w:val="00251F9E"/>
    <w:rsid w:val="00254591"/>
    <w:rsid w:val="002564C8"/>
    <w:rsid w:val="00257029"/>
    <w:rsid w:val="002630E5"/>
    <w:rsid w:val="00264287"/>
    <w:rsid w:val="002710D2"/>
    <w:rsid w:val="002718A7"/>
    <w:rsid w:val="00271C3D"/>
    <w:rsid w:val="002722F1"/>
    <w:rsid w:val="002731ED"/>
    <w:rsid w:val="00274269"/>
    <w:rsid w:val="00274EDD"/>
    <w:rsid w:val="00277FCB"/>
    <w:rsid w:val="0028059F"/>
    <w:rsid w:val="00282D05"/>
    <w:rsid w:val="002835BF"/>
    <w:rsid w:val="002862E0"/>
    <w:rsid w:val="00286645"/>
    <w:rsid w:val="00293605"/>
    <w:rsid w:val="00295BF2"/>
    <w:rsid w:val="002A0B45"/>
    <w:rsid w:val="002A67EE"/>
    <w:rsid w:val="002A7538"/>
    <w:rsid w:val="002A79E8"/>
    <w:rsid w:val="002B4BDE"/>
    <w:rsid w:val="002C2258"/>
    <w:rsid w:val="002C5952"/>
    <w:rsid w:val="002C5F34"/>
    <w:rsid w:val="002C708E"/>
    <w:rsid w:val="002C713E"/>
    <w:rsid w:val="002D0B0C"/>
    <w:rsid w:val="002D0BE4"/>
    <w:rsid w:val="002D1E29"/>
    <w:rsid w:val="002D1F63"/>
    <w:rsid w:val="002D524D"/>
    <w:rsid w:val="002D5D76"/>
    <w:rsid w:val="002D5DE3"/>
    <w:rsid w:val="002D6826"/>
    <w:rsid w:val="002E01CE"/>
    <w:rsid w:val="002E07C5"/>
    <w:rsid w:val="002E3194"/>
    <w:rsid w:val="002E57B2"/>
    <w:rsid w:val="002E7842"/>
    <w:rsid w:val="002F1295"/>
    <w:rsid w:val="002F26AF"/>
    <w:rsid w:val="002F4AE6"/>
    <w:rsid w:val="002F5071"/>
    <w:rsid w:val="003033F3"/>
    <w:rsid w:val="00303504"/>
    <w:rsid w:val="00307D4D"/>
    <w:rsid w:val="00311AC3"/>
    <w:rsid w:val="003131E8"/>
    <w:rsid w:val="003173C2"/>
    <w:rsid w:val="00323515"/>
    <w:rsid w:val="0032790A"/>
    <w:rsid w:val="00332A47"/>
    <w:rsid w:val="00337ED7"/>
    <w:rsid w:val="0034215C"/>
    <w:rsid w:val="003427C3"/>
    <w:rsid w:val="00343C6E"/>
    <w:rsid w:val="00344916"/>
    <w:rsid w:val="003508E3"/>
    <w:rsid w:val="00351D08"/>
    <w:rsid w:val="003554CB"/>
    <w:rsid w:val="003557A8"/>
    <w:rsid w:val="003567E3"/>
    <w:rsid w:val="0035797F"/>
    <w:rsid w:val="00361F08"/>
    <w:rsid w:val="003621AE"/>
    <w:rsid w:val="0036344F"/>
    <w:rsid w:val="00367CD6"/>
    <w:rsid w:val="00370103"/>
    <w:rsid w:val="0037128F"/>
    <w:rsid w:val="00374654"/>
    <w:rsid w:val="0037480F"/>
    <w:rsid w:val="00376656"/>
    <w:rsid w:val="00383F8E"/>
    <w:rsid w:val="00386C8B"/>
    <w:rsid w:val="00395909"/>
    <w:rsid w:val="003A19E0"/>
    <w:rsid w:val="003A1E87"/>
    <w:rsid w:val="003A494D"/>
    <w:rsid w:val="003A5676"/>
    <w:rsid w:val="003B41E7"/>
    <w:rsid w:val="003B50C0"/>
    <w:rsid w:val="003B561D"/>
    <w:rsid w:val="003B57C4"/>
    <w:rsid w:val="003B649A"/>
    <w:rsid w:val="003B6AA5"/>
    <w:rsid w:val="003C0AB0"/>
    <w:rsid w:val="003C1CC1"/>
    <w:rsid w:val="003C4BEE"/>
    <w:rsid w:val="003D178C"/>
    <w:rsid w:val="003D2655"/>
    <w:rsid w:val="003D4E48"/>
    <w:rsid w:val="003E002E"/>
    <w:rsid w:val="003E0675"/>
    <w:rsid w:val="003E2A07"/>
    <w:rsid w:val="003E30C9"/>
    <w:rsid w:val="003E3DEF"/>
    <w:rsid w:val="003F069B"/>
    <w:rsid w:val="003F0D32"/>
    <w:rsid w:val="003F16C6"/>
    <w:rsid w:val="003F6F5E"/>
    <w:rsid w:val="004007B0"/>
    <w:rsid w:val="00400C83"/>
    <w:rsid w:val="00400CC9"/>
    <w:rsid w:val="00401D2D"/>
    <w:rsid w:val="0040243C"/>
    <w:rsid w:val="00402E6B"/>
    <w:rsid w:val="004040C1"/>
    <w:rsid w:val="00407381"/>
    <w:rsid w:val="0041175D"/>
    <w:rsid w:val="004119CD"/>
    <w:rsid w:val="004131ED"/>
    <w:rsid w:val="0041490A"/>
    <w:rsid w:val="00415515"/>
    <w:rsid w:val="00415E4B"/>
    <w:rsid w:val="0041671C"/>
    <w:rsid w:val="00417D45"/>
    <w:rsid w:val="004209B2"/>
    <w:rsid w:val="00421134"/>
    <w:rsid w:val="0042265B"/>
    <w:rsid w:val="00423D3D"/>
    <w:rsid w:val="00424B13"/>
    <w:rsid w:val="004250BD"/>
    <w:rsid w:val="00427FDB"/>
    <w:rsid w:val="004345B4"/>
    <w:rsid w:val="004352DA"/>
    <w:rsid w:val="00436521"/>
    <w:rsid w:val="00436F07"/>
    <w:rsid w:val="004407C6"/>
    <w:rsid w:val="00441B95"/>
    <w:rsid w:val="0045097B"/>
    <w:rsid w:val="0045428A"/>
    <w:rsid w:val="004604B0"/>
    <w:rsid w:val="00464090"/>
    <w:rsid w:val="00464D18"/>
    <w:rsid w:val="00465133"/>
    <w:rsid w:val="0046642A"/>
    <w:rsid w:val="00467124"/>
    <w:rsid w:val="00477248"/>
    <w:rsid w:val="004774AB"/>
    <w:rsid w:val="00483A7B"/>
    <w:rsid w:val="004856B2"/>
    <w:rsid w:val="00486E68"/>
    <w:rsid w:val="00486FB8"/>
    <w:rsid w:val="004961B8"/>
    <w:rsid w:val="00497D77"/>
    <w:rsid w:val="004A2EC7"/>
    <w:rsid w:val="004A5865"/>
    <w:rsid w:val="004A6D09"/>
    <w:rsid w:val="004A6EF4"/>
    <w:rsid w:val="004B3972"/>
    <w:rsid w:val="004B4897"/>
    <w:rsid w:val="004B5252"/>
    <w:rsid w:val="004B6A08"/>
    <w:rsid w:val="004C04BE"/>
    <w:rsid w:val="004C0A19"/>
    <w:rsid w:val="004C1F6A"/>
    <w:rsid w:val="004C470C"/>
    <w:rsid w:val="004C660E"/>
    <w:rsid w:val="004C7BA2"/>
    <w:rsid w:val="004D001C"/>
    <w:rsid w:val="004D20ED"/>
    <w:rsid w:val="004D4575"/>
    <w:rsid w:val="004D6A17"/>
    <w:rsid w:val="004D6C3C"/>
    <w:rsid w:val="004D6C82"/>
    <w:rsid w:val="004D6F5D"/>
    <w:rsid w:val="004E6B9D"/>
    <w:rsid w:val="004E6DF7"/>
    <w:rsid w:val="004F0E50"/>
    <w:rsid w:val="004F1E7D"/>
    <w:rsid w:val="004F2C5F"/>
    <w:rsid w:val="004F2C6B"/>
    <w:rsid w:val="004F4D8C"/>
    <w:rsid w:val="004F5B2F"/>
    <w:rsid w:val="004F744C"/>
    <w:rsid w:val="00504344"/>
    <w:rsid w:val="00504D5B"/>
    <w:rsid w:val="0050658B"/>
    <w:rsid w:val="00511AE0"/>
    <w:rsid w:val="005122C0"/>
    <w:rsid w:val="005128E9"/>
    <w:rsid w:val="00514791"/>
    <w:rsid w:val="00514B4A"/>
    <w:rsid w:val="00515160"/>
    <w:rsid w:val="0051535A"/>
    <w:rsid w:val="00515A7E"/>
    <w:rsid w:val="00517E42"/>
    <w:rsid w:val="00521404"/>
    <w:rsid w:val="005234F6"/>
    <w:rsid w:val="00523FE5"/>
    <w:rsid w:val="00524C7E"/>
    <w:rsid w:val="005260FB"/>
    <w:rsid w:val="00531204"/>
    <w:rsid w:val="00531287"/>
    <w:rsid w:val="00531972"/>
    <w:rsid w:val="00536346"/>
    <w:rsid w:val="00536E95"/>
    <w:rsid w:val="00540C59"/>
    <w:rsid w:val="00542E57"/>
    <w:rsid w:val="005448AA"/>
    <w:rsid w:val="00547475"/>
    <w:rsid w:val="00554813"/>
    <w:rsid w:val="005554B6"/>
    <w:rsid w:val="00555E6D"/>
    <w:rsid w:val="00556618"/>
    <w:rsid w:val="005601EB"/>
    <w:rsid w:val="00560E79"/>
    <w:rsid w:val="00562058"/>
    <w:rsid w:val="00562B87"/>
    <w:rsid w:val="00563086"/>
    <w:rsid w:val="005643A8"/>
    <w:rsid w:val="00566143"/>
    <w:rsid w:val="00567631"/>
    <w:rsid w:val="0056787F"/>
    <w:rsid w:val="00570C64"/>
    <w:rsid w:val="00570F6E"/>
    <w:rsid w:val="00571011"/>
    <w:rsid w:val="00573586"/>
    <w:rsid w:val="00573C96"/>
    <w:rsid w:val="00577D58"/>
    <w:rsid w:val="00583A36"/>
    <w:rsid w:val="0058439D"/>
    <w:rsid w:val="005859A5"/>
    <w:rsid w:val="005874A8"/>
    <w:rsid w:val="005957A5"/>
    <w:rsid w:val="005B3935"/>
    <w:rsid w:val="005B4954"/>
    <w:rsid w:val="005B4A62"/>
    <w:rsid w:val="005B7C57"/>
    <w:rsid w:val="005C3481"/>
    <w:rsid w:val="005C3657"/>
    <w:rsid w:val="005D1849"/>
    <w:rsid w:val="005D1E98"/>
    <w:rsid w:val="005D1F9D"/>
    <w:rsid w:val="005D4701"/>
    <w:rsid w:val="005E0902"/>
    <w:rsid w:val="005E36F9"/>
    <w:rsid w:val="005E549D"/>
    <w:rsid w:val="005E6DB8"/>
    <w:rsid w:val="005E6EA7"/>
    <w:rsid w:val="005E7BEC"/>
    <w:rsid w:val="005F032F"/>
    <w:rsid w:val="005F0B6F"/>
    <w:rsid w:val="005F2D02"/>
    <w:rsid w:val="005F3C60"/>
    <w:rsid w:val="005F6C08"/>
    <w:rsid w:val="00600270"/>
    <w:rsid w:val="00602E4F"/>
    <w:rsid w:val="00607614"/>
    <w:rsid w:val="0061112E"/>
    <w:rsid w:val="00611CEC"/>
    <w:rsid w:val="00612746"/>
    <w:rsid w:val="00615C4F"/>
    <w:rsid w:val="00617EA9"/>
    <w:rsid w:val="00621A93"/>
    <w:rsid w:val="0062435B"/>
    <w:rsid w:val="0062439A"/>
    <w:rsid w:val="00624947"/>
    <w:rsid w:val="006263B5"/>
    <w:rsid w:val="006278F5"/>
    <w:rsid w:val="00627A5B"/>
    <w:rsid w:val="00632E52"/>
    <w:rsid w:val="006335CC"/>
    <w:rsid w:val="00635309"/>
    <w:rsid w:val="00636D55"/>
    <w:rsid w:val="00637E5C"/>
    <w:rsid w:val="00642AC3"/>
    <w:rsid w:val="00644174"/>
    <w:rsid w:val="0065097E"/>
    <w:rsid w:val="006535E9"/>
    <w:rsid w:val="00654179"/>
    <w:rsid w:val="0065572E"/>
    <w:rsid w:val="00657439"/>
    <w:rsid w:val="00660DA3"/>
    <w:rsid w:val="006618A9"/>
    <w:rsid w:val="00661CA0"/>
    <w:rsid w:val="006639C3"/>
    <w:rsid w:val="00663A05"/>
    <w:rsid w:val="00670915"/>
    <w:rsid w:val="00670FAB"/>
    <w:rsid w:val="00672C2F"/>
    <w:rsid w:val="0067507F"/>
    <w:rsid w:val="00675D4A"/>
    <w:rsid w:val="00675E14"/>
    <w:rsid w:val="00681DA4"/>
    <w:rsid w:val="006827A9"/>
    <w:rsid w:val="00683A63"/>
    <w:rsid w:val="0068585B"/>
    <w:rsid w:val="006900CB"/>
    <w:rsid w:val="00690D9A"/>
    <w:rsid w:val="0069389B"/>
    <w:rsid w:val="00694707"/>
    <w:rsid w:val="006A0E52"/>
    <w:rsid w:val="006A6583"/>
    <w:rsid w:val="006A6A53"/>
    <w:rsid w:val="006B2392"/>
    <w:rsid w:val="006B2E60"/>
    <w:rsid w:val="006B3079"/>
    <w:rsid w:val="006B7735"/>
    <w:rsid w:val="006B791F"/>
    <w:rsid w:val="006C3ED3"/>
    <w:rsid w:val="006C4254"/>
    <w:rsid w:val="006C5FFC"/>
    <w:rsid w:val="006D40B4"/>
    <w:rsid w:val="006D420D"/>
    <w:rsid w:val="006D6F8E"/>
    <w:rsid w:val="006D7C9B"/>
    <w:rsid w:val="006E3C22"/>
    <w:rsid w:val="006E456C"/>
    <w:rsid w:val="006E4611"/>
    <w:rsid w:val="006E4715"/>
    <w:rsid w:val="006E497E"/>
    <w:rsid w:val="006E7115"/>
    <w:rsid w:val="006F3C0F"/>
    <w:rsid w:val="006F4161"/>
    <w:rsid w:val="006F4B4B"/>
    <w:rsid w:val="006F4E41"/>
    <w:rsid w:val="006F5360"/>
    <w:rsid w:val="006F5674"/>
    <w:rsid w:val="006F58BD"/>
    <w:rsid w:val="006F58F6"/>
    <w:rsid w:val="006F5E31"/>
    <w:rsid w:val="00700FC6"/>
    <w:rsid w:val="007100DF"/>
    <w:rsid w:val="007104E0"/>
    <w:rsid w:val="00710962"/>
    <w:rsid w:val="00712D18"/>
    <w:rsid w:val="007136D4"/>
    <w:rsid w:val="007138FF"/>
    <w:rsid w:val="007156C0"/>
    <w:rsid w:val="00721221"/>
    <w:rsid w:val="00723B68"/>
    <w:rsid w:val="00724402"/>
    <w:rsid w:val="00725378"/>
    <w:rsid w:val="00726043"/>
    <w:rsid w:val="0073126D"/>
    <w:rsid w:val="00731BE8"/>
    <w:rsid w:val="007353D1"/>
    <w:rsid w:val="00736EC1"/>
    <w:rsid w:val="007400CA"/>
    <w:rsid w:val="00746DDC"/>
    <w:rsid w:val="007524D0"/>
    <w:rsid w:val="00752CEC"/>
    <w:rsid w:val="007532EE"/>
    <w:rsid w:val="0075540E"/>
    <w:rsid w:val="007558FF"/>
    <w:rsid w:val="00756E73"/>
    <w:rsid w:val="00760519"/>
    <w:rsid w:val="00760778"/>
    <w:rsid w:val="007629DD"/>
    <w:rsid w:val="00762C0D"/>
    <w:rsid w:val="00764DF6"/>
    <w:rsid w:val="00773BA6"/>
    <w:rsid w:val="00776602"/>
    <w:rsid w:val="0077687B"/>
    <w:rsid w:val="00784B57"/>
    <w:rsid w:val="00787211"/>
    <w:rsid w:val="00794BB9"/>
    <w:rsid w:val="007A03DA"/>
    <w:rsid w:val="007A1181"/>
    <w:rsid w:val="007A1E2B"/>
    <w:rsid w:val="007A24F6"/>
    <w:rsid w:val="007A51C1"/>
    <w:rsid w:val="007A7E06"/>
    <w:rsid w:val="007B0696"/>
    <w:rsid w:val="007B077E"/>
    <w:rsid w:val="007B0D66"/>
    <w:rsid w:val="007B1C27"/>
    <w:rsid w:val="007B289C"/>
    <w:rsid w:val="007B480E"/>
    <w:rsid w:val="007B58FF"/>
    <w:rsid w:val="007C04BB"/>
    <w:rsid w:val="007C1379"/>
    <w:rsid w:val="007C31C4"/>
    <w:rsid w:val="007C39B1"/>
    <w:rsid w:val="007C5F40"/>
    <w:rsid w:val="007C5FE1"/>
    <w:rsid w:val="007C6D08"/>
    <w:rsid w:val="007C720F"/>
    <w:rsid w:val="007D20DF"/>
    <w:rsid w:val="007D43AF"/>
    <w:rsid w:val="007D57C6"/>
    <w:rsid w:val="007D6541"/>
    <w:rsid w:val="007D6CC2"/>
    <w:rsid w:val="007E0191"/>
    <w:rsid w:val="007E2C3D"/>
    <w:rsid w:val="007E39BA"/>
    <w:rsid w:val="007E479E"/>
    <w:rsid w:val="007E4BEE"/>
    <w:rsid w:val="007E60FC"/>
    <w:rsid w:val="007F4227"/>
    <w:rsid w:val="007F4CFE"/>
    <w:rsid w:val="007F5841"/>
    <w:rsid w:val="007F6298"/>
    <w:rsid w:val="007F6D46"/>
    <w:rsid w:val="007F74FE"/>
    <w:rsid w:val="008026E1"/>
    <w:rsid w:val="00802EEE"/>
    <w:rsid w:val="0081685C"/>
    <w:rsid w:val="00816963"/>
    <w:rsid w:val="008209E5"/>
    <w:rsid w:val="00822F7E"/>
    <w:rsid w:val="008231B9"/>
    <w:rsid w:val="00823204"/>
    <w:rsid w:val="00826217"/>
    <w:rsid w:val="00827EF3"/>
    <w:rsid w:val="00831470"/>
    <w:rsid w:val="00834408"/>
    <w:rsid w:val="0083564B"/>
    <w:rsid w:val="00836206"/>
    <w:rsid w:val="008368F5"/>
    <w:rsid w:val="00837223"/>
    <w:rsid w:val="00841578"/>
    <w:rsid w:val="00842696"/>
    <w:rsid w:val="00843F93"/>
    <w:rsid w:val="008465C4"/>
    <w:rsid w:val="00847B0A"/>
    <w:rsid w:val="008502F6"/>
    <w:rsid w:val="00850C16"/>
    <w:rsid w:val="00851309"/>
    <w:rsid w:val="008517BD"/>
    <w:rsid w:val="00851B82"/>
    <w:rsid w:val="008527E5"/>
    <w:rsid w:val="008544AB"/>
    <w:rsid w:val="00857521"/>
    <w:rsid w:val="00864B38"/>
    <w:rsid w:val="00867532"/>
    <w:rsid w:val="00867866"/>
    <w:rsid w:val="00867D4E"/>
    <w:rsid w:val="00874EAB"/>
    <w:rsid w:val="00874F30"/>
    <w:rsid w:val="00874FC3"/>
    <w:rsid w:val="0087528B"/>
    <w:rsid w:val="00881553"/>
    <w:rsid w:val="008816D2"/>
    <w:rsid w:val="0088313A"/>
    <w:rsid w:val="008863E8"/>
    <w:rsid w:val="008873D4"/>
    <w:rsid w:val="00891198"/>
    <w:rsid w:val="008960EB"/>
    <w:rsid w:val="008976B0"/>
    <w:rsid w:val="008A0A7C"/>
    <w:rsid w:val="008A350F"/>
    <w:rsid w:val="008A3EFD"/>
    <w:rsid w:val="008A6756"/>
    <w:rsid w:val="008B0B2B"/>
    <w:rsid w:val="008B175E"/>
    <w:rsid w:val="008B3F59"/>
    <w:rsid w:val="008B4304"/>
    <w:rsid w:val="008B5D41"/>
    <w:rsid w:val="008B6E7D"/>
    <w:rsid w:val="008D0724"/>
    <w:rsid w:val="008D2B12"/>
    <w:rsid w:val="008D3D34"/>
    <w:rsid w:val="008D53D4"/>
    <w:rsid w:val="008D76A8"/>
    <w:rsid w:val="008E28AD"/>
    <w:rsid w:val="008E2D8B"/>
    <w:rsid w:val="008E62BB"/>
    <w:rsid w:val="008E6E2A"/>
    <w:rsid w:val="008F3EBC"/>
    <w:rsid w:val="008F6496"/>
    <w:rsid w:val="008F6DD1"/>
    <w:rsid w:val="00906428"/>
    <w:rsid w:val="00907202"/>
    <w:rsid w:val="00907206"/>
    <w:rsid w:val="00910AE5"/>
    <w:rsid w:val="00912907"/>
    <w:rsid w:val="00916332"/>
    <w:rsid w:val="0091688C"/>
    <w:rsid w:val="0092015A"/>
    <w:rsid w:val="00920326"/>
    <w:rsid w:val="009207B2"/>
    <w:rsid w:val="0092161F"/>
    <w:rsid w:val="00924338"/>
    <w:rsid w:val="00926C7E"/>
    <w:rsid w:val="00927D89"/>
    <w:rsid w:val="00930CE4"/>
    <w:rsid w:val="00932CFE"/>
    <w:rsid w:val="00935100"/>
    <w:rsid w:val="0094031D"/>
    <w:rsid w:val="0094087E"/>
    <w:rsid w:val="0094094F"/>
    <w:rsid w:val="00941AED"/>
    <w:rsid w:val="00943BF7"/>
    <w:rsid w:val="00944639"/>
    <w:rsid w:val="00944D34"/>
    <w:rsid w:val="00945922"/>
    <w:rsid w:val="00945AFB"/>
    <w:rsid w:val="009624B2"/>
    <w:rsid w:val="009628DE"/>
    <w:rsid w:val="009648F7"/>
    <w:rsid w:val="009656B9"/>
    <w:rsid w:val="009664DE"/>
    <w:rsid w:val="0096723B"/>
    <w:rsid w:val="009678A6"/>
    <w:rsid w:val="00967A27"/>
    <w:rsid w:val="009717B1"/>
    <w:rsid w:val="00972267"/>
    <w:rsid w:val="0097252F"/>
    <w:rsid w:val="00976CE4"/>
    <w:rsid w:val="00980217"/>
    <w:rsid w:val="009802A1"/>
    <w:rsid w:val="0098048C"/>
    <w:rsid w:val="00981A08"/>
    <w:rsid w:val="00983F30"/>
    <w:rsid w:val="00984342"/>
    <w:rsid w:val="0098717D"/>
    <w:rsid w:val="00987C7F"/>
    <w:rsid w:val="0099122C"/>
    <w:rsid w:val="00993AF3"/>
    <w:rsid w:val="0099433A"/>
    <w:rsid w:val="00994867"/>
    <w:rsid w:val="009952C5"/>
    <w:rsid w:val="0099570E"/>
    <w:rsid w:val="0099620A"/>
    <w:rsid w:val="009A0763"/>
    <w:rsid w:val="009A1F7C"/>
    <w:rsid w:val="009A4255"/>
    <w:rsid w:val="009A7C7D"/>
    <w:rsid w:val="009B0337"/>
    <w:rsid w:val="009B034F"/>
    <w:rsid w:val="009B10DE"/>
    <w:rsid w:val="009B60A3"/>
    <w:rsid w:val="009B639D"/>
    <w:rsid w:val="009B718A"/>
    <w:rsid w:val="009C1161"/>
    <w:rsid w:val="009D0A54"/>
    <w:rsid w:val="009D2084"/>
    <w:rsid w:val="009D3763"/>
    <w:rsid w:val="009D4933"/>
    <w:rsid w:val="009E0FB8"/>
    <w:rsid w:val="009E2003"/>
    <w:rsid w:val="009E35E1"/>
    <w:rsid w:val="009E6B8C"/>
    <w:rsid w:val="009E7BD5"/>
    <w:rsid w:val="009F004D"/>
    <w:rsid w:val="009F09E0"/>
    <w:rsid w:val="009F0C52"/>
    <w:rsid w:val="009F24EB"/>
    <w:rsid w:val="009F3F49"/>
    <w:rsid w:val="009F488F"/>
    <w:rsid w:val="009F5CC6"/>
    <w:rsid w:val="009F6634"/>
    <w:rsid w:val="00A01906"/>
    <w:rsid w:val="00A047AB"/>
    <w:rsid w:val="00A05E02"/>
    <w:rsid w:val="00A06EA2"/>
    <w:rsid w:val="00A073DE"/>
    <w:rsid w:val="00A1107C"/>
    <w:rsid w:val="00A116C7"/>
    <w:rsid w:val="00A119E2"/>
    <w:rsid w:val="00A12485"/>
    <w:rsid w:val="00A160B4"/>
    <w:rsid w:val="00A202EF"/>
    <w:rsid w:val="00A233FB"/>
    <w:rsid w:val="00A236D2"/>
    <w:rsid w:val="00A24DEA"/>
    <w:rsid w:val="00A24E4C"/>
    <w:rsid w:val="00A25C4A"/>
    <w:rsid w:val="00A27413"/>
    <w:rsid w:val="00A31DED"/>
    <w:rsid w:val="00A44260"/>
    <w:rsid w:val="00A46D9F"/>
    <w:rsid w:val="00A471B9"/>
    <w:rsid w:val="00A50CF3"/>
    <w:rsid w:val="00A50D89"/>
    <w:rsid w:val="00A51506"/>
    <w:rsid w:val="00A51C4B"/>
    <w:rsid w:val="00A56764"/>
    <w:rsid w:val="00A579BC"/>
    <w:rsid w:val="00A6033B"/>
    <w:rsid w:val="00A619A8"/>
    <w:rsid w:val="00A667EB"/>
    <w:rsid w:val="00A67B58"/>
    <w:rsid w:val="00A73127"/>
    <w:rsid w:val="00A73504"/>
    <w:rsid w:val="00A743D5"/>
    <w:rsid w:val="00A763B6"/>
    <w:rsid w:val="00A76B9A"/>
    <w:rsid w:val="00A76F72"/>
    <w:rsid w:val="00A77A81"/>
    <w:rsid w:val="00A77BF8"/>
    <w:rsid w:val="00A81A27"/>
    <w:rsid w:val="00A8236C"/>
    <w:rsid w:val="00A82A43"/>
    <w:rsid w:val="00A8383B"/>
    <w:rsid w:val="00A87A56"/>
    <w:rsid w:val="00A91299"/>
    <w:rsid w:val="00A91F3B"/>
    <w:rsid w:val="00A93697"/>
    <w:rsid w:val="00A9399E"/>
    <w:rsid w:val="00A93BA1"/>
    <w:rsid w:val="00A940AE"/>
    <w:rsid w:val="00AA18FF"/>
    <w:rsid w:val="00AA243B"/>
    <w:rsid w:val="00AB1243"/>
    <w:rsid w:val="00AB19E7"/>
    <w:rsid w:val="00AB3EB8"/>
    <w:rsid w:val="00AB53B0"/>
    <w:rsid w:val="00AB72E9"/>
    <w:rsid w:val="00AC02B1"/>
    <w:rsid w:val="00AC16FE"/>
    <w:rsid w:val="00AC3780"/>
    <w:rsid w:val="00AC3DDA"/>
    <w:rsid w:val="00AC55DC"/>
    <w:rsid w:val="00AC59E8"/>
    <w:rsid w:val="00AD201B"/>
    <w:rsid w:val="00AD3898"/>
    <w:rsid w:val="00AD44DE"/>
    <w:rsid w:val="00AD6B32"/>
    <w:rsid w:val="00AD70ED"/>
    <w:rsid w:val="00AD7D1D"/>
    <w:rsid w:val="00AE1AD7"/>
    <w:rsid w:val="00AE2FD0"/>
    <w:rsid w:val="00AE3780"/>
    <w:rsid w:val="00AE3BF3"/>
    <w:rsid w:val="00AE3E1F"/>
    <w:rsid w:val="00AE4167"/>
    <w:rsid w:val="00AE59B9"/>
    <w:rsid w:val="00AE5D7B"/>
    <w:rsid w:val="00AE7F6C"/>
    <w:rsid w:val="00AF0537"/>
    <w:rsid w:val="00AF12FD"/>
    <w:rsid w:val="00AF3C24"/>
    <w:rsid w:val="00AF471E"/>
    <w:rsid w:val="00AF7C45"/>
    <w:rsid w:val="00AF7DFB"/>
    <w:rsid w:val="00B00044"/>
    <w:rsid w:val="00B016DB"/>
    <w:rsid w:val="00B034A3"/>
    <w:rsid w:val="00B054A4"/>
    <w:rsid w:val="00B079BD"/>
    <w:rsid w:val="00B10AD4"/>
    <w:rsid w:val="00B11E4A"/>
    <w:rsid w:val="00B138F7"/>
    <w:rsid w:val="00B165F2"/>
    <w:rsid w:val="00B171FC"/>
    <w:rsid w:val="00B24192"/>
    <w:rsid w:val="00B253E1"/>
    <w:rsid w:val="00B26251"/>
    <w:rsid w:val="00B3777C"/>
    <w:rsid w:val="00B40076"/>
    <w:rsid w:val="00B415F6"/>
    <w:rsid w:val="00B41A07"/>
    <w:rsid w:val="00B44985"/>
    <w:rsid w:val="00B52972"/>
    <w:rsid w:val="00B539B4"/>
    <w:rsid w:val="00B54909"/>
    <w:rsid w:val="00B555DB"/>
    <w:rsid w:val="00B56A88"/>
    <w:rsid w:val="00B643FB"/>
    <w:rsid w:val="00B653EE"/>
    <w:rsid w:val="00B65AC5"/>
    <w:rsid w:val="00B660BD"/>
    <w:rsid w:val="00B66AC6"/>
    <w:rsid w:val="00B67759"/>
    <w:rsid w:val="00B678C7"/>
    <w:rsid w:val="00B73916"/>
    <w:rsid w:val="00B75A68"/>
    <w:rsid w:val="00B76235"/>
    <w:rsid w:val="00B7668D"/>
    <w:rsid w:val="00B801D1"/>
    <w:rsid w:val="00B8246D"/>
    <w:rsid w:val="00B82B7E"/>
    <w:rsid w:val="00B838B9"/>
    <w:rsid w:val="00B85B6B"/>
    <w:rsid w:val="00B86C56"/>
    <w:rsid w:val="00B8711C"/>
    <w:rsid w:val="00B87D43"/>
    <w:rsid w:val="00B90339"/>
    <w:rsid w:val="00B90360"/>
    <w:rsid w:val="00B91DE2"/>
    <w:rsid w:val="00B9367D"/>
    <w:rsid w:val="00B95191"/>
    <w:rsid w:val="00B95AFB"/>
    <w:rsid w:val="00B96845"/>
    <w:rsid w:val="00B96B2C"/>
    <w:rsid w:val="00BA3056"/>
    <w:rsid w:val="00BA6791"/>
    <w:rsid w:val="00BA70B3"/>
    <w:rsid w:val="00BB31CE"/>
    <w:rsid w:val="00BB373E"/>
    <w:rsid w:val="00BB4BD9"/>
    <w:rsid w:val="00BB5180"/>
    <w:rsid w:val="00BB5625"/>
    <w:rsid w:val="00BB5B34"/>
    <w:rsid w:val="00BB5BEB"/>
    <w:rsid w:val="00BC0FA9"/>
    <w:rsid w:val="00BC19AA"/>
    <w:rsid w:val="00BC2699"/>
    <w:rsid w:val="00BC5949"/>
    <w:rsid w:val="00BC64C0"/>
    <w:rsid w:val="00BD0FD3"/>
    <w:rsid w:val="00BD2884"/>
    <w:rsid w:val="00BD61EC"/>
    <w:rsid w:val="00BD74FD"/>
    <w:rsid w:val="00BE1344"/>
    <w:rsid w:val="00BE24AB"/>
    <w:rsid w:val="00BE2EEC"/>
    <w:rsid w:val="00BE6168"/>
    <w:rsid w:val="00BF0498"/>
    <w:rsid w:val="00BF3470"/>
    <w:rsid w:val="00BF4D0B"/>
    <w:rsid w:val="00C01A6D"/>
    <w:rsid w:val="00C02EB2"/>
    <w:rsid w:val="00C042BB"/>
    <w:rsid w:val="00C05633"/>
    <w:rsid w:val="00C05736"/>
    <w:rsid w:val="00C0576D"/>
    <w:rsid w:val="00C07BC2"/>
    <w:rsid w:val="00C11C8B"/>
    <w:rsid w:val="00C11EF2"/>
    <w:rsid w:val="00C20062"/>
    <w:rsid w:val="00C212CA"/>
    <w:rsid w:val="00C23C93"/>
    <w:rsid w:val="00C240FA"/>
    <w:rsid w:val="00C246FA"/>
    <w:rsid w:val="00C26979"/>
    <w:rsid w:val="00C26A69"/>
    <w:rsid w:val="00C275D3"/>
    <w:rsid w:val="00C316E5"/>
    <w:rsid w:val="00C31B9F"/>
    <w:rsid w:val="00C34C1E"/>
    <w:rsid w:val="00C351F6"/>
    <w:rsid w:val="00C36061"/>
    <w:rsid w:val="00C37A2E"/>
    <w:rsid w:val="00C37DED"/>
    <w:rsid w:val="00C40D0B"/>
    <w:rsid w:val="00C427F2"/>
    <w:rsid w:val="00C4448F"/>
    <w:rsid w:val="00C5161A"/>
    <w:rsid w:val="00C51A8B"/>
    <w:rsid w:val="00C52A1C"/>
    <w:rsid w:val="00C5745A"/>
    <w:rsid w:val="00C62304"/>
    <w:rsid w:val="00C64803"/>
    <w:rsid w:val="00C67655"/>
    <w:rsid w:val="00C70C84"/>
    <w:rsid w:val="00C70FC4"/>
    <w:rsid w:val="00C72DBF"/>
    <w:rsid w:val="00C7400C"/>
    <w:rsid w:val="00C75A45"/>
    <w:rsid w:val="00C83CF7"/>
    <w:rsid w:val="00C84062"/>
    <w:rsid w:val="00C86BB4"/>
    <w:rsid w:val="00C878B8"/>
    <w:rsid w:val="00C908E1"/>
    <w:rsid w:val="00C93432"/>
    <w:rsid w:val="00C9436A"/>
    <w:rsid w:val="00C94E62"/>
    <w:rsid w:val="00C95447"/>
    <w:rsid w:val="00C956AA"/>
    <w:rsid w:val="00C957A3"/>
    <w:rsid w:val="00CA750E"/>
    <w:rsid w:val="00CB24FC"/>
    <w:rsid w:val="00CB434D"/>
    <w:rsid w:val="00CB4E2E"/>
    <w:rsid w:val="00CB634A"/>
    <w:rsid w:val="00CB7F80"/>
    <w:rsid w:val="00CB7FC1"/>
    <w:rsid w:val="00CD0E74"/>
    <w:rsid w:val="00CD16B0"/>
    <w:rsid w:val="00CD2830"/>
    <w:rsid w:val="00CD3F46"/>
    <w:rsid w:val="00CD6CAF"/>
    <w:rsid w:val="00CD7982"/>
    <w:rsid w:val="00CE1E16"/>
    <w:rsid w:val="00CE2F87"/>
    <w:rsid w:val="00CE4E4D"/>
    <w:rsid w:val="00CE7395"/>
    <w:rsid w:val="00CF0BF0"/>
    <w:rsid w:val="00CF5891"/>
    <w:rsid w:val="00CF6826"/>
    <w:rsid w:val="00D00D75"/>
    <w:rsid w:val="00D05573"/>
    <w:rsid w:val="00D0581D"/>
    <w:rsid w:val="00D0620E"/>
    <w:rsid w:val="00D067BF"/>
    <w:rsid w:val="00D13B68"/>
    <w:rsid w:val="00D14890"/>
    <w:rsid w:val="00D1532A"/>
    <w:rsid w:val="00D175F7"/>
    <w:rsid w:val="00D20639"/>
    <w:rsid w:val="00D22CB2"/>
    <w:rsid w:val="00D26A9D"/>
    <w:rsid w:val="00D3116E"/>
    <w:rsid w:val="00D32E00"/>
    <w:rsid w:val="00D333D8"/>
    <w:rsid w:val="00D33FF8"/>
    <w:rsid w:val="00D36A2C"/>
    <w:rsid w:val="00D36EB4"/>
    <w:rsid w:val="00D404F0"/>
    <w:rsid w:val="00D40585"/>
    <w:rsid w:val="00D40728"/>
    <w:rsid w:val="00D41E54"/>
    <w:rsid w:val="00D43777"/>
    <w:rsid w:val="00D43D49"/>
    <w:rsid w:val="00D45DC2"/>
    <w:rsid w:val="00D46BEE"/>
    <w:rsid w:val="00D508F0"/>
    <w:rsid w:val="00D548C6"/>
    <w:rsid w:val="00D61C69"/>
    <w:rsid w:val="00D63493"/>
    <w:rsid w:val="00D64421"/>
    <w:rsid w:val="00D65861"/>
    <w:rsid w:val="00D7490A"/>
    <w:rsid w:val="00D74AAD"/>
    <w:rsid w:val="00D76500"/>
    <w:rsid w:val="00D77B3F"/>
    <w:rsid w:val="00D81CF2"/>
    <w:rsid w:val="00D827F0"/>
    <w:rsid w:val="00D83904"/>
    <w:rsid w:val="00D8583A"/>
    <w:rsid w:val="00D90343"/>
    <w:rsid w:val="00D915CF"/>
    <w:rsid w:val="00D925C8"/>
    <w:rsid w:val="00D927FA"/>
    <w:rsid w:val="00D932CF"/>
    <w:rsid w:val="00D94671"/>
    <w:rsid w:val="00D96DD4"/>
    <w:rsid w:val="00DA110D"/>
    <w:rsid w:val="00DA2B60"/>
    <w:rsid w:val="00DA2C36"/>
    <w:rsid w:val="00DA4C31"/>
    <w:rsid w:val="00DA6E7E"/>
    <w:rsid w:val="00DB0F9D"/>
    <w:rsid w:val="00DB23B7"/>
    <w:rsid w:val="00DB6E66"/>
    <w:rsid w:val="00DC0A41"/>
    <w:rsid w:val="00DC3EAB"/>
    <w:rsid w:val="00DC46D1"/>
    <w:rsid w:val="00DC7839"/>
    <w:rsid w:val="00DD31A7"/>
    <w:rsid w:val="00DE0087"/>
    <w:rsid w:val="00DE020D"/>
    <w:rsid w:val="00DE311C"/>
    <w:rsid w:val="00DE3BBF"/>
    <w:rsid w:val="00DE3E75"/>
    <w:rsid w:val="00DE4B3A"/>
    <w:rsid w:val="00DF0644"/>
    <w:rsid w:val="00DF0CD0"/>
    <w:rsid w:val="00DF2076"/>
    <w:rsid w:val="00DF2FD7"/>
    <w:rsid w:val="00DF3017"/>
    <w:rsid w:val="00DF4F88"/>
    <w:rsid w:val="00E004A3"/>
    <w:rsid w:val="00E004DD"/>
    <w:rsid w:val="00E07B98"/>
    <w:rsid w:val="00E100CB"/>
    <w:rsid w:val="00E11C0D"/>
    <w:rsid w:val="00E12BEA"/>
    <w:rsid w:val="00E1421D"/>
    <w:rsid w:val="00E1687A"/>
    <w:rsid w:val="00E16CA0"/>
    <w:rsid w:val="00E17B54"/>
    <w:rsid w:val="00E21AC1"/>
    <w:rsid w:val="00E224CF"/>
    <w:rsid w:val="00E229C1"/>
    <w:rsid w:val="00E24E70"/>
    <w:rsid w:val="00E309E3"/>
    <w:rsid w:val="00E3240D"/>
    <w:rsid w:val="00E342EB"/>
    <w:rsid w:val="00E36D6C"/>
    <w:rsid w:val="00E379E0"/>
    <w:rsid w:val="00E37AFC"/>
    <w:rsid w:val="00E41F0F"/>
    <w:rsid w:val="00E42811"/>
    <w:rsid w:val="00E450CB"/>
    <w:rsid w:val="00E46170"/>
    <w:rsid w:val="00E52630"/>
    <w:rsid w:val="00E52AE9"/>
    <w:rsid w:val="00E538E4"/>
    <w:rsid w:val="00E54C90"/>
    <w:rsid w:val="00E55AB9"/>
    <w:rsid w:val="00E637BA"/>
    <w:rsid w:val="00E66B64"/>
    <w:rsid w:val="00E66CF6"/>
    <w:rsid w:val="00E66F41"/>
    <w:rsid w:val="00E7066C"/>
    <w:rsid w:val="00E7564A"/>
    <w:rsid w:val="00E8066A"/>
    <w:rsid w:val="00E82E13"/>
    <w:rsid w:val="00E91DB1"/>
    <w:rsid w:val="00E92DF7"/>
    <w:rsid w:val="00E93C46"/>
    <w:rsid w:val="00E95124"/>
    <w:rsid w:val="00E96EE2"/>
    <w:rsid w:val="00EA0F46"/>
    <w:rsid w:val="00EA3175"/>
    <w:rsid w:val="00EA3745"/>
    <w:rsid w:val="00EA5C53"/>
    <w:rsid w:val="00EB1BF1"/>
    <w:rsid w:val="00EB2607"/>
    <w:rsid w:val="00EB2BB1"/>
    <w:rsid w:val="00EB36C3"/>
    <w:rsid w:val="00EB3897"/>
    <w:rsid w:val="00EB4D50"/>
    <w:rsid w:val="00EB6565"/>
    <w:rsid w:val="00EB726D"/>
    <w:rsid w:val="00EC2D65"/>
    <w:rsid w:val="00EC2DF3"/>
    <w:rsid w:val="00EC55C1"/>
    <w:rsid w:val="00EC67CD"/>
    <w:rsid w:val="00ED048F"/>
    <w:rsid w:val="00ED1661"/>
    <w:rsid w:val="00ED1C25"/>
    <w:rsid w:val="00ED3368"/>
    <w:rsid w:val="00ED4503"/>
    <w:rsid w:val="00ED4888"/>
    <w:rsid w:val="00ED4A47"/>
    <w:rsid w:val="00ED768B"/>
    <w:rsid w:val="00EE3BF1"/>
    <w:rsid w:val="00EE579C"/>
    <w:rsid w:val="00EF0860"/>
    <w:rsid w:val="00EF468F"/>
    <w:rsid w:val="00F00965"/>
    <w:rsid w:val="00F02A46"/>
    <w:rsid w:val="00F05514"/>
    <w:rsid w:val="00F05EA2"/>
    <w:rsid w:val="00F07BE4"/>
    <w:rsid w:val="00F16C6D"/>
    <w:rsid w:val="00F2076E"/>
    <w:rsid w:val="00F23CEB"/>
    <w:rsid w:val="00F249AE"/>
    <w:rsid w:val="00F32DAA"/>
    <w:rsid w:val="00F33787"/>
    <w:rsid w:val="00F35061"/>
    <w:rsid w:val="00F37353"/>
    <w:rsid w:val="00F37C99"/>
    <w:rsid w:val="00F40B84"/>
    <w:rsid w:val="00F427AE"/>
    <w:rsid w:val="00F43E47"/>
    <w:rsid w:val="00F44150"/>
    <w:rsid w:val="00F52F67"/>
    <w:rsid w:val="00F53D9A"/>
    <w:rsid w:val="00F54899"/>
    <w:rsid w:val="00F55851"/>
    <w:rsid w:val="00F601C7"/>
    <w:rsid w:val="00F623DE"/>
    <w:rsid w:val="00F6335F"/>
    <w:rsid w:val="00F637BC"/>
    <w:rsid w:val="00F673CC"/>
    <w:rsid w:val="00F74292"/>
    <w:rsid w:val="00F76F72"/>
    <w:rsid w:val="00F82D51"/>
    <w:rsid w:val="00F83B27"/>
    <w:rsid w:val="00F8561C"/>
    <w:rsid w:val="00F8766B"/>
    <w:rsid w:val="00F935F1"/>
    <w:rsid w:val="00F93A94"/>
    <w:rsid w:val="00F9536B"/>
    <w:rsid w:val="00F96C02"/>
    <w:rsid w:val="00F96EFD"/>
    <w:rsid w:val="00FA1970"/>
    <w:rsid w:val="00FA1FFC"/>
    <w:rsid w:val="00FA22C4"/>
    <w:rsid w:val="00FA31C7"/>
    <w:rsid w:val="00FA342C"/>
    <w:rsid w:val="00FA38FF"/>
    <w:rsid w:val="00FA5E77"/>
    <w:rsid w:val="00FB36FB"/>
    <w:rsid w:val="00FB3D8A"/>
    <w:rsid w:val="00FB45C0"/>
    <w:rsid w:val="00FB484C"/>
    <w:rsid w:val="00FB7F32"/>
    <w:rsid w:val="00FC2A6B"/>
    <w:rsid w:val="00FC4128"/>
    <w:rsid w:val="00FC76AC"/>
    <w:rsid w:val="00FD4FA0"/>
    <w:rsid w:val="00FD6523"/>
    <w:rsid w:val="00FE0218"/>
    <w:rsid w:val="00FE0DC9"/>
    <w:rsid w:val="00FE0F77"/>
    <w:rsid w:val="00FE2593"/>
    <w:rsid w:val="00FE25C3"/>
    <w:rsid w:val="00FE26FF"/>
    <w:rsid w:val="00FE3F94"/>
    <w:rsid w:val="00FE5549"/>
    <w:rsid w:val="00FE6033"/>
    <w:rsid w:val="00FE7264"/>
    <w:rsid w:val="00FE72A1"/>
    <w:rsid w:val="00FF0685"/>
    <w:rsid w:val="00FF1920"/>
    <w:rsid w:val="00FF58A6"/>
    <w:rsid w:val="00FF58E7"/>
    <w:rsid w:val="00FF6EED"/>
    <w:rsid w:val="00FF7060"/>
    <w:rsid w:val="01687AA3"/>
    <w:rsid w:val="016957F0"/>
    <w:rsid w:val="01780EF9"/>
    <w:rsid w:val="01880FD7"/>
    <w:rsid w:val="01924189"/>
    <w:rsid w:val="02025CDC"/>
    <w:rsid w:val="023A585F"/>
    <w:rsid w:val="026826CF"/>
    <w:rsid w:val="02687272"/>
    <w:rsid w:val="02766EE5"/>
    <w:rsid w:val="02B62AFF"/>
    <w:rsid w:val="02FA371D"/>
    <w:rsid w:val="03166818"/>
    <w:rsid w:val="033C1A5E"/>
    <w:rsid w:val="03530516"/>
    <w:rsid w:val="0362665D"/>
    <w:rsid w:val="036C10BA"/>
    <w:rsid w:val="03A15A22"/>
    <w:rsid w:val="03AD31A4"/>
    <w:rsid w:val="03C3782D"/>
    <w:rsid w:val="03D51A5A"/>
    <w:rsid w:val="03E203E0"/>
    <w:rsid w:val="041F236A"/>
    <w:rsid w:val="04252458"/>
    <w:rsid w:val="04CD0D9B"/>
    <w:rsid w:val="0513411F"/>
    <w:rsid w:val="052715E6"/>
    <w:rsid w:val="05341390"/>
    <w:rsid w:val="058B5AB2"/>
    <w:rsid w:val="05C759B9"/>
    <w:rsid w:val="05D954C4"/>
    <w:rsid w:val="05E21FF4"/>
    <w:rsid w:val="05E77B9F"/>
    <w:rsid w:val="06186F31"/>
    <w:rsid w:val="06191786"/>
    <w:rsid w:val="061D7998"/>
    <w:rsid w:val="061F569B"/>
    <w:rsid w:val="06293E7C"/>
    <w:rsid w:val="0644195F"/>
    <w:rsid w:val="065C7104"/>
    <w:rsid w:val="0696055B"/>
    <w:rsid w:val="06AF3314"/>
    <w:rsid w:val="06DC5C71"/>
    <w:rsid w:val="06F72D8C"/>
    <w:rsid w:val="06FF5D04"/>
    <w:rsid w:val="073D1FEE"/>
    <w:rsid w:val="076276B8"/>
    <w:rsid w:val="07811155"/>
    <w:rsid w:val="07C6237F"/>
    <w:rsid w:val="081C03B6"/>
    <w:rsid w:val="084A6CA8"/>
    <w:rsid w:val="08612B74"/>
    <w:rsid w:val="087A532A"/>
    <w:rsid w:val="087A5400"/>
    <w:rsid w:val="088E486C"/>
    <w:rsid w:val="08A17FD3"/>
    <w:rsid w:val="09315D3F"/>
    <w:rsid w:val="094C1D9F"/>
    <w:rsid w:val="0951450D"/>
    <w:rsid w:val="09641C0E"/>
    <w:rsid w:val="0A4C4687"/>
    <w:rsid w:val="0ABE08CD"/>
    <w:rsid w:val="0B001CF1"/>
    <w:rsid w:val="0B0F1BD3"/>
    <w:rsid w:val="0B434407"/>
    <w:rsid w:val="0B5E56ED"/>
    <w:rsid w:val="0B8A52B8"/>
    <w:rsid w:val="0BC4602A"/>
    <w:rsid w:val="0C07544A"/>
    <w:rsid w:val="0C5252B7"/>
    <w:rsid w:val="0C5F240C"/>
    <w:rsid w:val="0C86552C"/>
    <w:rsid w:val="0CDB2461"/>
    <w:rsid w:val="0CDF2B68"/>
    <w:rsid w:val="0D3470AA"/>
    <w:rsid w:val="0D6D35EE"/>
    <w:rsid w:val="0D8A00C2"/>
    <w:rsid w:val="0DC61A35"/>
    <w:rsid w:val="0DC61E5B"/>
    <w:rsid w:val="0DEE3675"/>
    <w:rsid w:val="0E570FD3"/>
    <w:rsid w:val="0EC169ED"/>
    <w:rsid w:val="0EDE2BA5"/>
    <w:rsid w:val="0FF72887"/>
    <w:rsid w:val="0FF91629"/>
    <w:rsid w:val="100451A4"/>
    <w:rsid w:val="1010697D"/>
    <w:rsid w:val="101737E9"/>
    <w:rsid w:val="103E67C1"/>
    <w:rsid w:val="10986649"/>
    <w:rsid w:val="109E0A40"/>
    <w:rsid w:val="10AC3B3A"/>
    <w:rsid w:val="10BE59B9"/>
    <w:rsid w:val="10C74116"/>
    <w:rsid w:val="10EF326C"/>
    <w:rsid w:val="10FA0A16"/>
    <w:rsid w:val="113644D7"/>
    <w:rsid w:val="114D20DA"/>
    <w:rsid w:val="115B01F7"/>
    <w:rsid w:val="115C388F"/>
    <w:rsid w:val="116D06E4"/>
    <w:rsid w:val="11B47F1F"/>
    <w:rsid w:val="124A245F"/>
    <w:rsid w:val="12AC0466"/>
    <w:rsid w:val="12B260E7"/>
    <w:rsid w:val="12B61DAF"/>
    <w:rsid w:val="12C209CA"/>
    <w:rsid w:val="12D30DB4"/>
    <w:rsid w:val="12E11417"/>
    <w:rsid w:val="131B29AE"/>
    <w:rsid w:val="13506850"/>
    <w:rsid w:val="13530945"/>
    <w:rsid w:val="1377173F"/>
    <w:rsid w:val="13797365"/>
    <w:rsid w:val="137A7B50"/>
    <w:rsid w:val="139F69D5"/>
    <w:rsid w:val="13A534C4"/>
    <w:rsid w:val="13A563D9"/>
    <w:rsid w:val="14047849"/>
    <w:rsid w:val="142E5C4C"/>
    <w:rsid w:val="14660EB1"/>
    <w:rsid w:val="1469268B"/>
    <w:rsid w:val="146A3AD3"/>
    <w:rsid w:val="148E29B7"/>
    <w:rsid w:val="14B2094D"/>
    <w:rsid w:val="14D278EB"/>
    <w:rsid w:val="14FC4A61"/>
    <w:rsid w:val="155A2519"/>
    <w:rsid w:val="158430DD"/>
    <w:rsid w:val="158A385A"/>
    <w:rsid w:val="15B256D7"/>
    <w:rsid w:val="15D44F68"/>
    <w:rsid w:val="15D65C6D"/>
    <w:rsid w:val="15DD476B"/>
    <w:rsid w:val="15FA3EFC"/>
    <w:rsid w:val="1621551D"/>
    <w:rsid w:val="16490DAA"/>
    <w:rsid w:val="167964AD"/>
    <w:rsid w:val="16816489"/>
    <w:rsid w:val="168548AE"/>
    <w:rsid w:val="168F74DE"/>
    <w:rsid w:val="1697255F"/>
    <w:rsid w:val="169A03A1"/>
    <w:rsid w:val="16DF2471"/>
    <w:rsid w:val="16F07D57"/>
    <w:rsid w:val="17461631"/>
    <w:rsid w:val="17635D5B"/>
    <w:rsid w:val="177847F5"/>
    <w:rsid w:val="17B22955"/>
    <w:rsid w:val="17D271A5"/>
    <w:rsid w:val="17E41342"/>
    <w:rsid w:val="18440270"/>
    <w:rsid w:val="185E2043"/>
    <w:rsid w:val="186F4C5A"/>
    <w:rsid w:val="188522E8"/>
    <w:rsid w:val="1925772C"/>
    <w:rsid w:val="194F4A1A"/>
    <w:rsid w:val="19767C32"/>
    <w:rsid w:val="1A0449E2"/>
    <w:rsid w:val="1A592B45"/>
    <w:rsid w:val="1A5D1DF4"/>
    <w:rsid w:val="1A642864"/>
    <w:rsid w:val="1A7F5CDA"/>
    <w:rsid w:val="1AD978CA"/>
    <w:rsid w:val="1AFE63D7"/>
    <w:rsid w:val="1B0F3DAA"/>
    <w:rsid w:val="1B16769D"/>
    <w:rsid w:val="1B296CE2"/>
    <w:rsid w:val="1B9B68DE"/>
    <w:rsid w:val="1BBA1897"/>
    <w:rsid w:val="1C1C4C59"/>
    <w:rsid w:val="1CC81F01"/>
    <w:rsid w:val="1CD4096C"/>
    <w:rsid w:val="1CD949E4"/>
    <w:rsid w:val="1CFE68F2"/>
    <w:rsid w:val="1D240F76"/>
    <w:rsid w:val="1D3A5B45"/>
    <w:rsid w:val="1D461B2A"/>
    <w:rsid w:val="1D597F30"/>
    <w:rsid w:val="1D625841"/>
    <w:rsid w:val="1D6B678F"/>
    <w:rsid w:val="1D9379EC"/>
    <w:rsid w:val="1DEA160C"/>
    <w:rsid w:val="1E3A7C62"/>
    <w:rsid w:val="1E732B6A"/>
    <w:rsid w:val="1E9E1F92"/>
    <w:rsid w:val="1ECD4E1A"/>
    <w:rsid w:val="1F352A5D"/>
    <w:rsid w:val="1FB732E0"/>
    <w:rsid w:val="1FE97614"/>
    <w:rsid w:val="200B3E80"/>
    <w:rsid w:val="20577CC0"/>
    <w:rsid w:val="20992D7A"/>
    <w:rsid w:val="20AA1E26"/>
    <w:rsid w:val="20C90A4A"/>
    <w:rsid w:val="20E5499E"/>
    <w:rsid w:val="20EF3A3D"/>
    <w:rsid w:val="212113CA"/>
    <w:rsid w:val="2128767F"/>
    <w:rsid w:val="21850A0E"/>
    <w:rsid w:val="218B5B23"/>
    <w:rsid w:val="219C7A1C"/>
    <w:rsid w:val="219E3EDB"/>
    <w:rsid w:val="21C27070"/>
    <w:rsid w:val="2208509B"/>
    <w:rsid w:val="22511BA9"/>
    <w:rsid w:val="22690F20"/>
    <w:rsid w:val="22D55DD8"/>
    <w:rsid w:val="22DB3A46"/>
    <w:rsid w:val="22EF5E35"/>
    <w:rsid w:val="23364798"/>
    <w:rsid w:val="23547DF9"/>
    <w:rsid w:val="23581D4A"/>
    <w:rsid w:val="23E533BB"/>
    <w:rsid w:val="242C424F"/>
    <w:rsid w:val="243B0E9C"/>
    <w:rsid w:val="24951163"/>
    <w:rsid w:val="24AD3A6F"/>
    <w:rsid w:val="24DF4818"/>
    <w:rsid w:val="24F86D4E"/>
    <w:rsid w:val="251E34F0"/>
    <w:rsid w:val="252E1ED8"/>
    <w:rsid w:val="25A14C7E"/>
    <w:rsid w:val="25AB3C60"/>
    <w:rsid w:val="25F04251"/>
    <w:rsid w:val="25F3425A"/>
    <w:rsid w:val="26541D21"/>
    <w:rsid w:val="26C61D59"/>
    <w:rsid w:val="26D1346E"/>
    <w:rsid w:val="274D435F"/>
    <w:rsid w:val="275067C7"/>
    <w:rsid w:val="27561FDA"/>
    <w:rsid w:val="27CF6F04"/>
    <w:rsid w:val="284377A8"/>
    <w:rsid w:val="2888035A"/>
    <w:rsid w:val="288E3526"/>
    <w:rsid w:val="28A95C61"/>
    <w:rsid w:val="28B1501F"/>
    <w:rsid w:val="290D716A"/>
    <w:rsid w:val="294F2A94"/>
    <w:rsid w:val="2A230846"/>
    <w:rsid w:val="2B6B264D"/>
    <w:rsid w:val="2B890516"/>
    <w:rsid w:val="2BAF2FA0"/>
    <w:rsid w:val="2BBE3A6C"/>
    <w:rsid w:val="2BC507B3"/>
    <w:rsid w:val="2BF61454"/>
    <w:rsid w:val="2C0B2733"/>
    <w:rsid w:val="2C111993"/>
    <w:rsid w:val="2C1E6852"/>
    <w:rsid w:val="2CB05722"/>
    <w:rsid w:val="2CCF3716"/>
    <w:rsid w:val="2CD25B7F"/>
    <w:rsid w:val="2D1371DC"/>
    <w:rsid w:val="2D2526A4"/>
    <w:rsid w:val="2D807101"/>
    <w:rsid w:val="2DC878E7"/>
    <w:rsid w:val="2DF75211"/>
    <w:rsid w:val="2E6456BF"/>
    <w:rsid w:val="2ECC4EE0"/>
    <w:rsid w:val="2F265C32"/>
    <w:rsid w:val="2F457EE7"/>
    <w:rsid w:val="2F9377BF"/>
    <w:rsid w:val="2FAD5AD6"/>
    <w:rsid w:val="2FC919A6"/>
    <w:rsid w:val="2FFD3695"/>
    <w:rsid w:val="303648CD"/>
    <w:rsid w:val="30660887"/>
    <w:rsid w:val="306B247C"/>
    <w:rsid w:val="30CB7CB6"/>
    <w:rsid w:val="30E242E4"/>
    <w:rsid w:val="314B3A02"/>
    <w:rsid w:val="31715816"/>
    <w:rsid w:val="31A40258"/>
    <w:rsid w:val="31EC1EE7"/>
    <w:rsid w:val="321C7EA4"/>
    <w:rsid w:val="325B1831"/>
    <w:rsid w:val="327648E2"/>
    <w:rsid w:val="328C4630"/>
    <w:rsid w:val="332127FD"/>
    <w:rsid w:val="33701E11"/>
    <w:rsid w:val="33A40B0D"/>
    <w:rsid w:val="33B679E6"/>
    <w:rsid w:val="33F57AC4"/>
    <w:rsid w:val="34720AB9"/>
    <w:rsid w:val="34980E90"/>
    <w:rsid w:val="34DA2148"/>
    <w:rsid w:val="34F2196C"/>
    <w:rsid w:val="35206787"/>
    <w:rsid w:val="354436E1"/>
    <w:rsid w:val="354B15D6"/>
    <w:rsid w:val="354D2F7F"/>
    <w:rsid w:val="35B148A6"/>
    <w:rsid w:val="35D81FD4"/>
    <w:rsid w:val="35FC2824"/>
    <w:rsid w:val="3681448E"/>
    <w:rsid w:val="36D1230C"/>
    <w:rsid w:val="36D27CA5"/>
    <w:rsid w:val="36D57153"/>
    <w:rsid w:val="36DF524F"/>
    <w:rsid w:val="370401D9"/>
    <w:rsid w:val="37521505"/>
    <w:rsid w:val="38881D72"/>
    <w:rsid w:val="388A06F5"/>
    <w:rsid w:val="38954592"/>
    <w:rsid w:val="38B02533"/>
    <w:rsid w:val="38BE74F5"/>
    <w:rsid w:val="38ED2171"/>
    <w:rsid w:val="391546B8"/>
    <w:rsid w:val="39177822"/>
    <w:rsid w:val="391B2931"/>
    <w:rsid w:val="391E714D"/>
    <w:rsid w:val="394403CB"/>
    <w:rsid w:val="394C73F4"/>
    <w:rsid w:val="396E2DF7"/>
    <w:rsid w:val="396F22AF"/>
    <w:rsid w:val="398B77C8"/>
    <w:rsid w:val="3A1B3E18"/>
    <w:rsid w:val="3A4526D5"/>
    <w:rsid w:val="3A4F6F61"/>
    <w:rsid w:val="3A774265"/>
    <w:rsid w:val="3AC364AC"/>
    <w:rsid w:val="3AE468CC"/>
    <w:rsid w:val="3B1E42EA"/>
    <w:rsid w:val="3B241725"/>
    <w:rsid w:val="3B2C156C"/>
    <w:rsid w:val="3B3D12BA"/>
    <w:rsid w:val="3B3D1F6C"/>
    <w:rsid w:val="3B4F6E6C"/>
    <w:rsid w:val="3B5C638B"/>
    <w:rsid w:val="3BA05333"/>
    <w:rsid w:val="3BAD014F"/>
    <w:rsid w:val="3BBC5597"/>
    <w:rsid w:val="3C7608AF"/>
    <w:rsid w:val="3D024284"/>
    <w:rsid w:val="3D8864AD"/>
    <w:rsid w:val="3DDC0F28"/>
    <w:rsid w:val="3E1366DC"/>
    <w:rsid w:val="3E250698"/>
    <w:rsid w:val="3E263CA5"/>
    <w:rsid w:val="3E496916"/>
    <w:rsid w:val="3E8F0940"/>
    <w:rsid w:val="3EB77A11"/>
    <w:rsid w:val="3EBE1EA7"/>
    <w:rsid w:val="3EE518D3"/>
    <w:rsid w:val="3F5354F2"/>
    <w:rsid w:val="3F592DDE"/>
    <w:rsid w:val="400019F7"/>
    <w:rsid w:val="407A4242"/>
    <w:rsid w:val="40882B22"/>
    <w:rsid w:val="40E6578E"/>
    <w:rsid w:val="41632549"/>
    <w:rsid w:val="416B0BA1"/>
    <w:rsid w:val="417732C4"/>
    <w:rsid w:val="41D81894"/>
    <w:rsid w:val="42210EA3"/>
    <w:rsid w:val="423701A8"/>
    <w:rsid w:val="42954794"/>
    <w:rsid w:val="42C67BB8"/>
    <w:rsid w:val="43027B71"/>
    <w:rsid w:val="43833610"/>
    <w:rsid w:val="438F155D"/>
    <w:rsid w:val="43A62980"/>
    <w:rsid w:val="43F07991"/>
    <w:rsid w:val="4427468E"/>
    <w:rsid w:val="44410BBD"/>
    <w:rsid w:val="44544380"/>
    <w:rsid w:val="44790859"/>
    <w:rsid w:val="44A14858"/>
    <w:rsid w:val="44C2225C"/>
    <w:rsid w:val="4509107E"/>
    <w:rsid w:val="451A7EF8"/>
    <w:rsid w:val="45564738"/>
    <w:rsid w:val="45711EA0"/>
    <w:rsid w:val="4587329F"/>
    <w:rsid w:val="45D90086"/>
    <w:rsid w:val="460619A0"/>
    <w:rsid w:val="46266206"/>
    <w:rsid w:val="463267CA"/>
    <w:rsid w:val="46513005"/>
    <w:rsid w:val="46554133"/>
    <w:rsid w:val="46711A38"/>
    <w:rsid w:val="46B23C39"/>
    <w:rsid w:val="47146B6B"/>
    <w:rsid w:val="471E7EBD"/>
    <w:rsid w:val="472B71D3"/>
    <w:rsid w:val="476B326B"/>
    <w:rsid w:val="476B45C8"/>
    <w:rsid w:val="481F677C"/>
    <w:rsid w:val="495E49FE"/>
    <w:rsid w:val="49C558AA"/>
    <w:rsid w:val="4A2430FC"/>
    <w:rsid w:val="4AAA225B"/>
    <w:rsid w:val="4AB96C0E"/>
    <w:rsid w:val="4C0464E6"/>
    <w:rsid w:val="4C3A1995"/>
    <w:rsid w:val="4C7310FC"/>
    <w:rsid w:val="4CA52C10"/>
    <w:rsid w:val="4CAF23DE"/>
    <w:rsid w:val="4CBE5943"/>
    <w:rsid w:val="4D302045"/>
    <w:rsid w:val="4D9B0F56"/>
    <w:rsid w:val="4D9E0296"/>
    <w:rsid w:val="4DA453F4"/>
    <w:rsid w:val="4E2F7075"/>
    <w:rsid w:val="4E3E2E84"/>
    <w:rsid w:val="4E4B0D8C"/>
    <w:rsid w:val="4E681461"/>
    <w:rsid w:val="4E830509"/>
    <w:rsid w:val="4E847213"/>
    <w:rsid w:val="4E8925E8"/>
    <w:rsid w:val="4E9130E8"/>
    <w:rsid w:val="4ECF77C6"/>
    <w:rsid w:val="4F1634D1"/>
    <w:rsid w:val="4F194D71"/>
    <w:rsid w:val="4F4360B1"/>
    <w:rsid w:val="4F651428"/>
    <w:rsid w:val="4FCE2C36"/>
    <w:rsid w:val="4FD25E02"/>
    <w:rsid w:val="4FD72EF7"/>
    <w:rsid w:val="503636D9"/>
    <w:rsid w:val="50A47312"/>
    <w:rsid w:val="50AB3567"/>
    <w:rsid w:val="50AF405F"/>
    <w:rsid w:val="50BF4786"/>
    <w:rsid w:val="512F7541"/>
    <w:rsid w:val="5130178F"/>
    <w:rsid w:val="514F5282"/>
    <w:rsid w:val="51691BA8"/>
    <w:rsid w:val="51850CCC"/>
    <w:rsid w:val="51D74788"/>
    <w:rsid w:val="51F22C4F"/>
    <w:rsid w:val="51FD368B"/>
    <w:rsid w:val="523807A7"/>
    <w:rsid w:val="52407269"/>
    <w:rsid w:val="5252299E"/>
    <w:rsid w:val="525E6E94"/>
    <w:rsid w:val="526306BA"/>
    <w:rsid w:val="528419B8"/>
    <w:rsid w:val="52C459A9"/>
    <w:rsid w:val="52EF78B1"/>
    <w:rsid w:val="53463559"/>
    <w:rsid w:val="536D7F6B"/>
    <w:rsid w:val="54474B4F"/>
    <w:rsid w:val="54AD4D7C"/>
    <w:rsid w:val="54F6658C"/>
    <w:rsid w:val="551443C9"/>
    <w:rsid w:val="55234A16"/>
    <w:rsid w:val="5537365B"/>
    <w:rsid w:val="55517A88"/>
    <w:rsid w:val="55855472"/>
    <w:rsid w:val="55B00076"/>
    <w:rsid w:val="563B7347"/>
    <w:rsid w:val="563C2F09"/>
    <w:rsid w:val="56471519"/>
    <w:rsid w:val="569F452E"/>
    <w:rsid w:val="56AC6EBA"/>
    <w:rsid w:val="56B95394"/>
    <w:rsid w:val="56CF5E69"/>
    <w:rsid w:val="56EF4FC6"/>
    <w:rsid w:val="573B58DD"/>
    <w:rsid w:val="57F416E4"/>
    <w:rsid w:val="58030153"/>
    <w:rsid w:val="580D200E"/>
    <w:rsid w:val="582A6F74"/>
    <w:rsid w:val="584C37A7"/>
    <w:rsid w:val="586C6DA9"/>
    <w:rsid w:val="58B65B9B"/>
    <w:rsid w:val="5905624B"/>
    <w:rsid w:val="591C6331"/>
    <w:rsid w:val="5A0E2BC6"/>
    <w:rsid w:val="5A3C7FA9"/>
    <w:rsid w:val="5A875388"/>
    <w:rsid w:val="5AA55234"/>
    <w:rsid w:val="5AC800B6"/>
    <w:rsid w:val="5AD03C8C"/>
    <w:rsid w:val="5AE520CB"/>
    <w:rsid w:val="5AEC4103"/>
    <w:rsid w:val="5B0225A0"/>
    <w:rsid w:val="5B4E455A"/>
    <w:rsid w:val="5BB33AD9"/>
    <w:rsid w:val="5BC84D34"/>
    <w:rsid w:val="5BE4376B"/>
    <w:rsid w:val="5BF66C41"/>
    <w:rsid w:val="5C424960"/>
    <w:rsid w:val="5C893F80"/>
    <w:rsid w:val="5CA16106"/>
    <w:rsid w:val="5CAD799A"/>
    <w:rsid w:val="5CD14616"/>
    <w:rsid w:val="5CEF2275"/>
    <w:rsid w:val="5D0B73C0"/>
    <w:rsid w:val="5D140C54"/>
    <w:rsid w:val="5D1918E5"/>
    <w:rsid w:val="5D3A3632"/>
    <w:rsid w:val="5D713762"/>
    <w:rsid w:val="5D715C73"/>
    <w:rsid w:val="5DA87ECF"/>
    <w:rsid w:val="5DB35AC6"/>
    <w:rsid w:val="5DD554BC"/>
    <w:rsid w:val="5DDD666F"/>
    <w:rsid w:val="5E6E091D"/>
    <w:rsid w:val="5E875685"/>
    <w:rsid w:val="5E8C11FA"/>
    <w:rsid w:val="5EC069C3"/>
    <w:rsid w:val="5ECC4CA3"/>
    <w:rsid w:val="5F046321"/>
    <w:rsid w:val="5F510232"/>
    <w:rsid w:val="5F665459"/>
    <w:rsid w:val="5FAC76D9"/>
    <w:rsid w:val="5FCB67AB"/>
    <w:rsid w:val="5FD95AF9"/>
    <w:rsid w:val="5FF134AA"/>
    <w:rsid w:val="6049698B"/>
    <w:rsid w:val="60682112"/>
    <w:rsid w:val="610E4F96"/>
    <w:rsid w:val="61232F8E"/>
    <w:rsid w:val="61365399"/>
    <w:rsid w:val="616F05DB"/>
    <w:rsid w:val="61DD77BE"/>
    <w:rsid w:val="61E84BBE"/>
    <w:rsid w:val="61FC4E8F"/>
    <w:rsid w:val="622B08B1"/>
    <w:rsid w:val="62767F1F"/>
    <w:rsid w:val="62855CA2"/>
    <w:rsid w:val="62E5554B"/>
    <w:rsid w:val="63085F9D"/>
    <w:rsid w:val="63156775"/>
    <w:rsid w:val="63226C4E"/>
    <w:rsid w:val="637F20BC"/>
    <w:rsid w:val="638D2F8A"/>
    <w:rsid w:val="641E78FE"/>
    <w:rsid w:val="641F3C26"/>
    <w:rsid w:val="643432E9"/>
    <w:rsid w:val="64645908"/>
    <w:rsid w:val="64C94CF1"/>
    <w:rsid w:val="65660A33"/>
    <w:rsid w:val="657213FC"/>
    <w:rsid w:val="657849FD"/>
    <w:rsid w:val="659110FC"/>
    <w:rsid w:val="65D8220D"/>
    <w:rsid w:val="65F11A4A"/>
    <w:rsid w:val="66081319"/>
    <w:rsid w:val="663E6EE2"/>
    <w:rsid w:val="668A117E"/>
    <w:rsid w:val="66A4578D"/>
    <w:rsid w:val="66C0793A"/>
    <w:rsid w:val="670308A4"/>
    <w:rsid w:val="677164C0"/>
    <w:rsid w:val="67783DF7"/>
    <w:rsid w:val="67824AF0"/>
    <w:rsid w:val="67AF147A"/>
    <w:rsid w:val="67C60935"/>
    <w:rsid w:val="68865FF3"/>
    <w:rsid w:val="68A061FA"/>
    <w:rsid w:val="68A55800"/>
    <w:rsid w:val="68CC4F6D"/>
    <w:rsid w:val="68F9053A"/>
    <w:rsid w:val="68F91E71"/>
    <w:rsid w:val="68FD25F4"/>
    <w:rsid w:val="696A5BB8"/>
    <w:rsid w:val="6A4B3691"/>
    <w:rsid w:val="6A4B57BF"/>
    <w:rsid w:val="6A6B197C"/>
    <w:rsid w:val="6A785E50"/>
    <w:rsid w:val="6A8B7B42"/>
    <w:rsid w:val="6B902AD8"/>
    <w:rsid w:val="6BC673A8"/>
    <w:rsid w:val="6BFC2D1A"/>
    <w:rsid w:val="6C2A0129"/>
    <w:rsid w:val="6C3321A4"/>
    <w:rsid w:val="6CA66158"/>
    <w:rsid w:val="6CAE16FE"/>
    <w:rsid w:val="6CC94151"/>
    <w:rsid w:val="6CDA7DE0"/>
    <w:rsid w:val="6D1B5B8B"/>
    <w:rsid w:val="6D9D6A59"/>
    <w:rsid w:val="6E241398"/>
    <w:rsid w:val="6E4111F0"/>
    <w:rsid w:val="6E4D287E"/>
    <w:rsid w:val="6E695BF4"/>
    <w:rsid w:val="6EC47B1A"/>
    <w:rsid w:val="6EFC63E1"/>
    <w:rsid w:val="6F082F9A"/>
    <w:rsid w:val="6F1F6C8E"/>
    <w:rsid w:val="6F4E7FF2"/>
    <w:rsid w:val="6F5071FB"/>
    <w:rsid w:val="6F5D6239"/>
    <w:rsid w:val="6F9476CF"/>
    <w:rsid w:val="6FC84E07"/>
    <w:rsid w:val="6FF75C84"/>
    <w:rsid w:val="70406CF9"/>
    <w:rsid w:val="70613371"/>
    <w:rsid w:val="708304A5"/>
    <w:rsid w:val="709B5B4C"/>
    <w:rsid w:val="70AC2A7C"/>
    <w:rsid w:val="71436829"/>
    <w:rsid w:val="715F7E96"/>
    <w:rsid w:val="71A809B4"/>
    <w:rsid w:val="71E85E68"/>
    <w:rsid w:val="71F24FC1"/>
    <w:rsid w:val="72712715"/>
    <w:rsid w:val="72A250E5"/>
    <w:rsid w:val="73716EAD"/>
    <w:rsid w:val="73BD7EEE"/>
    <w:rsid w:val="747F1FAF"/>
    <w:rsid w:val="74AF312A"/>
    <w:rsid w:val="74CB2DAF"/>
    <w:rsid w:val="74D56B72"/>
    <w:rsid w:val="75075149"/>
    <w:rsid w:val="75077408"/>
    <w:rsid w:val="751706C6"/>
    <w:rsid w:val="75657D2F"/>
    <w:rsid w:val="756E4394"/>
    <w:rsid w:val="75745D39"/>
    <w:rsid w:val="75A740E6"/>
    <w:rsid w:val="75C174B1"/>
    <w:rsid w:val="75DD05D9"/>
    <w:rsid w:val="75F71EB1"/>
    <w:rsid w:val="75F91233"/>
    <w:rsid w:val="761B625E"/>
    <w:rsid w:val="7650222A"/>
    <w:rsid w:val="76C26BA2"/>
    <w:rsid w:val="76D61426"/>
    <w:rsid w:val="77342EDD"/>
    <w:rsid w:val="77707A2D"/>
    <w:rsid w:val="77A05C12"/>
    <w:rsid w:val="77C93CC8"/>
    <w:rsid w:val="77EF1AB1"/>
    <w:rsid w:val="78173A3A"/>
    <w:rsid w:val="782530AA"/>
    <w:rsid w:val="78296180"/>
    <w:rsid w:val="79630533"/>
    <w:rsid w:val="79A21BB3"/>
    <w:rsid w:val="7ABB643C"/>
    <w:rsid w:val="7AC121B6"/>
    <w:rsid w:val="7B3B7D6D"/>
    <w:rsid w:val="7B773B5E"/>
    <w:rsid w:val="7BAB16C9"/>
    <w:rsid w:val="7BBB7590"/>
    <w:rsid w:val="7C0F706E"/>
    <w:rsid w:val="7C153320"/>
    <w:rsid w:val="7C277B4D"/>
    <w:rsid w:val="7C461FD7"/>
    <w:rsid w:val="7C4E005A"/>
    <w:rsid w:val="7C76300D"/>
    <w:rsid w:val="7CE16348"/>
    <w:rsid w:val="7D233A44"/>
    <w:rsid w:val="7D7979BB"/>
    <w:rsid w:val="7D8E0B10"/>
    <w:rsid w:val="7DBC4E54"/>
    <w:rsid w:val="7E0D08FB"/>
    <w:rsid w:val="7E1441EB"/>
    <w:rsid w:val="7E261E06"/>
    <w:rsid w:val="7E473EFA"/>
    <w:rsid w:val="7E79332C"/>
    <w:rsid w:val="7EC34E7D"/>
    <w:rsid w:val="7EF20DB3"/>
    <w:rsid w:val="7F402191"/>
    <w:rsid w:val="7F731AA8"/>
    <w:rsid w:val="7FB0771B"/>
    <w:rsid w:val="7FD101A0"/>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64"/>
    <w:qFormat/>
    <w:uiPriority w:val="0"/>
    <w:pPr>
      <w:keepNext/>
      <w:keepLines/>
      <w:spacing w:line="576" w:lineRule="auto"/>
      <w:outlineLvl w:val="0"/>
    </w:pPr>
    <w:rPr>
      <w:b/>
      <w:bCs/>
      <w:kern w:val="44"/>
      <w:sz w:val="44"/>
      <w:szCs w:val="44"/>
    </w:rPr>
  </w:style>
  <w:style w:type="paragraph" w:styleId="4">
    <w:name w:val="heading 2"/>
    <w:basedOn w:val="1"/>
    <w:next w:val="1"/>
    <w:qFormat/>
    <w:uiPriority w:val="0"/>
    <w:pPr>
      <w:keepNext/>
      <w:keepLines/>
      <w:spacing w:line="413" w:lineRule="auto"/>
      <w:outlineLvl w:val="1"/>
    </w:pPr>
    <w:rPr>
      <w:rFonts w:ascii="Arial" w:hAnsi="Arial" w:eastAsia="黑体"/>
      <w:b/>
      <w:bCs/>
      <w:sz w:val="32"/>
      <w:szCs w:val="32"/>
    </w:rPr>
  </w:style>
  <w:style w:type="paragraph" w:styleId="5">
    <w:name w:val="heading 3"/>
    <w:basedOn w:val="1"/>
    <w:next w:val="1"/>
    <w:qFormat/>
    <w:uiPriority w:val="0"/>
    <w:pPr>
      <w:keepNext/>
      <w:keepLines/>
      <w:spacing w:line="413" w:lineRule="auto"/>
      <w:outlineLvl w:val="2"/>
    </w:pPr>
    <w:rPr>
      <w:b/>
      <w:sz w:val="32"/>
    </w:rPr>
  </w:style>
  <w:style w:type="character" w:default="1" w:styleId="32">
    <w:name w:val="Default Paragraph Font"/>
    <w:semiHidden/>
    <w:unhideWhenUsed/>
    <w:qFormat/>
    <w:uiPriority w:val="1"/>
  </w:style>
  <w:style w:type="table" w:default="1" w:styleId="4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annotation subject"/>
    <w:basedOn w:val="7"/>
    <w:next w:val="7"/>
    <w:qFormat/>
    <w:uiPriority w:val="0"/>
    <w:rPr>
      <w:b/>
      <w:bCs/>
    </w:rPr>
  </w:style>
  <w:style w:type="paragraph" w:styleId="7">
    <w:name w:val="annotation text"/>
    <w:basedOn w:val="1"/>
    <w:qFormat/>
    <w:uiPriority w:val="0"/>
    <w:pPr>
      <w:jc w:val="left"/>
    </w:pPr>
  </w:style>
  <w:style w:type="paragraph" w:styleId="8">
    <w:name w:val="toc 7"/>
    <w:basedOn w:val="1"/>
    <w:next w:val="1"/>
    <w:qFormat/>
    <w:uiPriority w:val="0"/>
    <w:pPr>
      <w:jc w:val="left"/>
    </w:pPr>
  </w:style>
  <w:style w:type="paragraph" w:styleId="9">
    <w:name w:val="Body Text First Indent"/>
    <w:basedOn w:val="10"/>
    <w:qFormat/>
    <w:uiPriority w:val="0"/>
    <w:pPr>
      <w:ind w:firstLine="420" w:firstLineChars="100"/>
    </w:pPr>
  </w:style>
  <w:style w:type="paragraph" w:styleId="10">
    <w:name w:val="Body Text"/>
    <w:basedOn w:val="1"/>
    <w:qFormat/>
    <w:uiPriority w:val="0"/>
  </w:style>
  <w:style w:type="paragraph" w:styleId="11">
    <w:name w:val="Normal Indent"/>
    <w:basedOn w:val="1"/>
    <w:link w:val="68"/>
    <w:qFormat/>
    <w:uiPriority w:val="0"/>
    <w:pPr>
      <w:ind w:firstLine="420"/>
    </w:pPr>
    <w:rPr>
      <w:rFonts w:eastAsia="仿宋_GB2312"/>
      <w:sz w:val="28"/>
    </w:rPr>
  </w:style>
  <w:style w:type="paragraph" w:styleId="12">
    <w:name w:val="Document Map"/>
    <w:basedOn w:val="1"/>
    <w:link w:val="69"/>
    <w:qFormat/>
    <w:uiPriority w:val="0"/>
    <w:rPr>
      <w:rFonts w:ascii="宋体"/>
      <w:sz w:val="18"/>
      <w:szCs w:val="18"/>
    </w:rPr>
  </w:style>
  <w:style w:type="paragraph" w:styleId="13">
    <w:name w:val="Body Text Indent"/>
    <w:basedOn w:val="1"/>
    <w:qFormat/>
    <w:uiPriority w:val="0"/>
    <w:pPr>
      <w:spacing w:line="600" w:lineRule="exact"/>
      <w:ind w:firstLine="675" w:firstLineChars="240"/>
    </w:pPr>
    <w:rPr>
      <w:rFonts w:ascii="仿宋_GB2312" w:hAnsi="宋体" w:eastAsia="仿宋_GB2312"/>
      <w:b/>
      <w:sz w:val="28"/>
    </w:rPr>
  </w:style>
  <w:style w:type="paragraph" w:styleId="14">
    <w:name w:val="toc 5"/>
    <w:basedOn w:val="1"/>
    <w:next w:val="1"/>
    <w:qFormat/>
    <w:uiPriority w:val="0"/>
    <w:pPr>
      <w:jc w:val="left"/>
    </w:pPr>
  </w:style>
  <w:style w:type="paragraph" w:styleId="15">
    <w:name w:val="toc 3"/>
    <w:basedOn w:val="1"/>
    <w:next w:val="1"/>
    <w:qFormat/>
    <w:uiPriority w:val="0"/>
    <w:pPr>
      <w:jc w:val="left"/>
    </w:pPr>
    <w:rPr>
      <w:smallCaps/>
    </w:rPr>
  </w:style>
  <w:style w:type="paragraph" w:styleId="16">
    <w:name w:val="Plain Text"/>
    <w:basedOn w:val="1"/>
    <w:link w:val="60"/>
    <w:qFormat/>
    <w:uiPriority w:val="0"/>
    <w:rPr>
      <w:rFonts w:ascii="宋体" w:hAnsi="Courier New"/>
    </w:rPr>
  </w:style>
  <w:style w:type="paragraph" w:styleId="17">
    <w:name w:val="toc 8"/>
    <w:basedOn w:val="1"/>
    <w:next w:val="1"/>
    <w:qFormat/>
    <w:uiPriority w:val="0"/>
    <w:pPr>
      <w:jc w:val="left"/>
    </w:pPr>
  </w:style>
  <w:style w:type="paragraph" w:styleId="18">
    <w:name w:val="Date"/>
    <w:basedOn w:val="1"/>
    <w:next w:val="1"/>
    <w:qFormat/>
    <w:uiPriority w:val="0"/>
    <w:pPr>
      <w:ind w:left="100" w:leftChars="2500"/>
    </w:pPr>
  </w:style>
  <w:style w:type="paragraph" w:styleId="19">
    <w:name w:val="Body Text Indent 2"/>
    <w:basedOn w:val="1"/>
    <w:qFormat/>
    <w:uiPriority w:val="0"/>
    <w:pPr>
      <w:autoSpaceDE w:val="0"/>
      <w:autoSpaceDN w:val="0"/>
      <w:adjustRightInd w:val="0"/>
      <w:spacing w:line="360" w:lineRule="atLeast"/>
      <w:ind w:firstLine="480"/>
      <w:textAlignment w:val="center"/>
    </w:pPr>
    <w:rPr>
      <w:rFonts w:ascii="宋体"/>
      <w:color w:val="000000"/>
      <w:kern w:val="0"/>
      <w:sz w:val="28"/>
    </w:rPr>
  </w:style>
  <w:style w:type="paragraph" w:styleId="20">
    <w:name w:val="Balloon Text"/>
    <w:basedOn w:val="1"/>
    <w:qFormat/>
    <w:uiPriority w:val="0"/>
    <w:rPr>
      <w:sz w:val="18"/>
      <w:szCs w:val="18"/>
    </w:r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tabs>
        <w:tab w:val="left" w:leader="middleDot" w:pos="8460"/>
      </w:tabs>
      <w:spacing w:line="600" w:lineRule="exact"/>
    </w:pPr>
  </w:style>
  <w:style w:type="paragraph" w:styleId="24">
    <w:name w:val="toc 4"/>
    <w:basedOn w:val="1"/>
    <w:next w:val="1"/>
    <w:qFormat/>
    <w:uiPriority w:val="0"/>
    <w:pPr>
      <w:jc w:val="left"/>
    </w:pPr>
  </w:style>
  <w:style w:type="paragraph" w:styleId="25">
    <w:name w:val="Subtitle"/>
    <w:basedOn w:val="1"/>
    <w:next w:val="1"/>
    <w:link w:val="59"/>
    <w:qFormat/>
    <w:uiPriority w:val="0"/>
    <w:pPr>
      <w:spacing w:before="240" w:after="60" w:line="312" w:lineRule="auto"/>
      <w:jc w:val="center"/>
      <w:outlineLvl w:val="1"/>
    </w:pPr>
    <w:rPr>
      <w:rFonts w:ascii="Cambria" w:hAnsi="Cambria"/>
      <w:b/>
      <w:bCs/>
      <w:kern w:val="28"/>
      <w:sz w:val="32"/>
      <w:szCs w:val="32"/>
    </w:rPr>
  </w:style>
  <w:style w:type="paragraph" w:styleId="26">
    <w:name w:val="toc 6"/>
    <w:basedOn w:val="1"/>
    <w:next w:val="1"/>
    <w:qFormat/>
    <w:uiPriority w:val="0"/>
    <w:pPr>
      <w:jc w:val="left"/>
    </w:pPr>
  </w:style>
  <w:style w:type="paragraph" w:styleId="27">
    <w:name w:val="Body Text Indent 3"/>
    <w:basedOn w:val="1"/>
    <w:qFormat/>
    <w:uiPriority w:val="0"/>
    <w:pPr>
      <w:ind w:left="420" w:leftChars="200"/>
    </w:pPr>
    <w:rPr>
      <w:sz w:val="16"/>
      <w:szCs w:val="16"/>
    </w:rPr>
  </w:style>
  <w:style w:type="paragraph" w:styleId="28">
    <w:name w:val="toc 2"/>
    <w:basedOn w:val="1"/>
    <w:next w:val="1"/>
    <w:qFormat/>
    <w:uiPriority w:val="39"/>
    <w:pPr>
      <w:tabs>
        <w:tab w:val="right" w:leader="middleDot" w:pos="8296"/>
      </w:tabs>
      <w:spacing w:line="600" w:lineRule="exact"/>
      <w:ind w:left="200" w:leftChars="200"/>
      <w:jc w:val="left"/>
    </w:pPr>
  </w:style>
  <w:style w:type="paragraph" w:styleId="29">
    <w:name w:val="toc 9"/>
    <w:basedOn w:val="1"/>
    <w:next w:val="1"/>
    <w:qFormat/>
    <w:uiPriority w:val="0"/>
    <w:pPr>
      <w:jc w:val="left"/>
    </w:pPr>
  </w:style>
  <w:style w:type="paragraph" w:styleId="30">
    <w:name w:val="Normal (Web)"/>
    <w:basedOn w:val="1"/>
    <w:qFormat/>
    <w:uiPriority w:val="99"/>
    <w:pPr>
      <w:widowControl/>
      <w:spacing w:beforeAutospacing="1" w:afterAutospacing="1"/>
      <w:jc w:val="left"/>
    </w:pPr>
    <w:rPr>
      <w:rFonts w:ascii="宋体" w:hAnsi="宋体" w:cs="宋体"/>
      <w:kern w:val="0"/>
      <w:sz w:val="24"/>
      <w:szCs w:val="24"/>
    </w:rPr>
  </w:style>
  <w:style w:type="paragraph" w:styleId="31">
    <w:name w:val="Title"/>
    <w:basedOn w:val="1"/>
    <w:next w:val="1"/>
    <w:qFormat/>
    <w:uiPriority w:val="0"/>
    <w:pPr>
      <w:widowControl/>
      <w:spacing w:before="240" w:after="60"/>
      <w:jc w:val="center"/>
      <w:outlineLvl w:val="0"/>
    </w:pPr>
    <w:rPr>
      <w:rFonts w:ascii="Cambria" w:hAnsi="Cambria"/>
      <w:b/>
      <w:bCs/>
      <w:sz w:val="32"/>
      <w:szCs w:val="32"/>
    </w:rPr>
  </w:style>
  <w:style w:type="character" w:styleId="33">
    <w:name w:val="Strong"/>
    <w:qFormat/>
    <w:uiPriority w:val="22"/>
    <w:rPr>
      <w:b/>
      <w:bCs/>
    </w:rPr>
  </w:style>
  <w:style w:type="character" w:styleId="34">
    <w:name w:val="page number"/>
    <w:basedOn w:val="32"/>
    <w:qFormat/>
    <w:uiPriority w:val="0"/>
  </w:style>
  <w:style w:type="character" w:styleId="35">
    <w:name w:val="FollowedHyperlink"/>
    <w:qFormat/>
    <w:uiPriority w:val="0"/>
    <w:rPr>
      <w:rFonts w:hint="eastAsia" w:ascii="微软雅黑" w:hAnsi="微软雅黑" w:eastAsia="微软雅黑" w:cs="微软雅黑"/>
      <w:color w:val="800080"/>
      <w:u w:val="none"/>
    </w:rPr>
  </w:style>
  <w:style w:type="character" w:styleId="36">
    <w:name w:val="Emphasis"/>
    <w:qFormat/>
    <w:uiPriority w:val="0"/>
  </w:style>
  <w:style w:type="character" w:styleId="37">
    <w:name w:val="HTML Definition"/>
    <w:qFormat/>
    <w:uiPriority w:val="0"/>
  </w:style>
  <w:style w:type="character" w:styleId="38">
    <w:name w:val="HTML Variable"/>
    <w:qFormat/>
    <w:uiPriority w:val="0"/>
  </w:style>
  <w:style w:type="character" w:styleId="39">
    <w:name w:val="Hyperlink"/>
    <w:qFormat/>
    <w:uiPriority w:val="99"/>
    <w:rPr>
      <w:rFonts w:ascii="微软雅黑" w:hAnsi="微软雅黑" w:eastAsia="微软雅黑" w:cs="微软雅黑"/>
      <w:color w:val="0000FF"/>
      <w:u w:val="none"/>
    </w:rPr>
  </w:style>
  <w:style w:type="character" w:styleId="40">
    <w:name w:val="HTML Code"/>
    <w:qFormat/>
    <w:uiPriority w:val="0"/>
    <w:rPr>
      <w:rFonts w:ascii="Courier New" w:hAnsi="Courier New"/>
      <w:sz w:val="20"/>
    </w:rPr>
  </w:style>
  <w:style w:type="character" w:styleId="41">
    <w:name w:val="annotation reference"/>
    <w:basedOn w:val="32"/>
    <w:qFormat/>
    <w:uiPriority w:val="0"/>
    <w:rPr>
      <w:sz w:val="21"/>
      <w:szCs w:val="21"/>
    </w:rPr>
  </w:style>
  <w:style w:type="character" w:styleId="42">
    <w:name w:val="HTML Cite"/>
    <w:qFormat/>
    <w:uiPriority w:val="0"/>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45">
    <w:name w:val="pic-info"/>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6">
    <w:name w:val="Char"/>
    <w:basedOn w:val="1"/>
    <w:qFormat/>
    <w:uiPriority w:val="0"/>
  </w:style>
  <w:style w:type="paragraph" w:customStyle="1" w:styleId="47">
    <w:name w:val="样式8"/>
    <w:basedOn w:val="1"/>
    <w:qFormat/>
    <w:uiPriority w:val="0"/>
    <w:pPr>
      <w:adjustRightInd w:val="0"/>
      <w:snapToGrid w:val="0"/>
      <w:spacing w:line="440" w:lineRule="exact"/>
    </w:pPr>
  </w:style>
  <w:style w:type="paragraph" w:customStyle="1" w:styleId="48">
    <w:name w:val="正文文本缩进 31"/>
    <w:basedOn w:val="1"/>
    <w:qFormat/>
    <w:uiPriority w:val="0"/>
    <w:pPr>
      <w:spacing w:line="500" w:lineRule="exact"/>
      <w:ind w:firstLine="570"/>
    </w:pPr>
    <w:rPr>
      <w:sz w:val="28"/>
    </w:rPr>
  </w:style>
  <w:style w:type="paragraph" w:customStyle="1" w:styleId="49">
    <w:name w:val="desc"/>
    <w:basedOn w:val="1"/>
    <w:qFormat/>
    <w:uiPriority w:val="0"/>
    <w:pPr>
      <w:ind w:firstLine="100"/>
      <w:jc w:val="left"/>
    </w:pPr>
    <w:rPr>
      <w:color w:val="D0D0D0"/>
      <w:kern w:val="0"/>
      <w:sz w:val="13"/>
      <w:szCs w:val="13"/>
    </w:rPr>
  </w:style>
  <w:style w:type="paragraph" w:customStyle="1" w:styleId="50">
    <w:name w:val="WW-日期"/>
    <w:basedOn w:val="1"/>
    <w:next w:val="1"/>
    <w:qFormat/>
    <w:uiPriority w:val="0"/>
    <w:pPr>
      <w:suppressAutoHyphens/>
      <w:spacing w:line="100" w:lineRule="atLeast"/>
    </w:pPr>
    <w:rPr>
      <w:rFonts w:ascii="黑体" w:hAnsi="黑体" w:eastAsia="黑体"/>
      <w:b/>
      <w:kern w:val="0"/>
      <w:sz w:val="28"/>
      <w:lang w:eastAsia="ar-SA"/>
    </w:rPr>
  </w:style>
  <w:style w:type="paragraph" w:customStyle="1" w:styleId="51">
    <w:name w:val="样式7"/>
    <w:basedOn w:val="1"/>
    <w:qFormat/>
    <w:uiPriority w:val="0"/>
    <w:pPr>
      <w:spacing w:line="360" w:lineRule="auto"/>
      <w:ind w:firstLine="567"/>
    </w:pPr>
    <w:rPr>
      <w:rFonts w:hint="eastAsia" w:ascii="仿宋_GB2312" w:eastAsia="仿宋_GB2312"/>
      <w:sz w:val="28"/>
    </w:rPr>
  </w:style>
  <w:style w:type="paragraph" w:styleId="52">
    <w:name w:val="List Paragraph"/>
    <w:basedOn w:val="1"/>
    <w:qFormat/>
    <w:uiPriority w:val="34"/>
    <w:pPr>
      <w:ind w:firstLine="420" w:firstLineChars="200"/>
    </w:pPr>
    <w:rPr>
      <w:rFonts w:ascii="Calibri" w:hAnsi="Calibri"/>
      <w:szCs w:val="22"/>
    </w:rPr>
  </w:style>
  <w:style w:type="paragraph" w:customStyle="1" w:styleId="53">
    <w:name w:val="名称"/>
    <w:basedOn w:val="1"/>
    <w:qFormat/>
    <w:uiPriority w:val="0"/>
    <w:pPr>
      <w:spacing w:before="60" w:after="60"/>
      <w:ind w:left="454" w:right="454"/>
      <w:jc w:val="center"/>
    </w:pPr>
    <w:rPr>
      <w:rFonts w:ascii="仿宋_GB2312" w:eastAsia="仿宋_GB2312"/>
      <w:b/>
      <w:sz w:val="32"/>
    </w:rPr>
  </w:style>
  <w:style w:type="paragraph" w:customStyle="1" w:styleId="54">
    <w:name w:val="Char Char Char Char Char Char"/>
    <w:basedOn w:val="1"/>
    <w:qFormat/>
    <w:uiPriority w:val="0"/>
    <w:rPr>
      <w:rFonts w:ascii="Tahoma" w:hAnsi="Tahoma"/>
      <w:sz w:val="24"/>
    </w:rPr>
  </w:style>
  <w:style w:type="paragraph" w:customStyle="1" w:styleId="55">
    <w:name w:val="技术报告"/>
    <w:basedOn w:val="53"/>
    <w:qFormat/>
    <w:uiPriority w:val="0"/>
    <w:rPr>
      <w:rFonts w:ascii="华文隶书" w:eastAsia="华文隶书"/>
      <w:w w:val="150"/>
      <w:sz w:val="44"/>
    </w:rPr>
  </w:style>
  <w:style w:type="paragraph" w:customStyle="1" w:styleId="56">
    <w:name w:val="表格文字"/>
    <w:basedOn w:val="1"/>
    <w:qFormat/>
    <w:uiPriority w:val="0"/>
    <w:pPr>
      <w:jc w:val="center"/>
    </w:pPr>
    <w:rPr>
      <w:rFonts w:ascii="仿宋_GB2312" w:eastAsia="仿宋_GB2312"/>
      <w:sz w:val="18"/>
    </w:rPr>
  </w:style>
  <w:style w:type="paragraph" w:customStyle="1" w:styleId="57">
    <w:name w:val="Char Char Char Char Char Char1"/>
    <w:basedOn w:val="1"/>
    <w:qFormat/>
    <w:uiPriority w:val="0"/>
    <w:rPr>
      <w:rFonts w:ascii="Tahoma" w:hAnsi="Tahoma"/>
      <w:sz w:val="24"/>
    </w:rPr>
  </w:style>
  <w:style w:type="paragraph" w:customStyle="1" w:styleId="58">
    <w:name w:val="大标题"/>
    <w:basedOn w:val="10"/>
    <w:qFormat/>
    <w:uiPriority w:val="0"/>
    <w:pPr>
      <w:jc w:val="left"/>
      <w:outlineLvl w:val="0"/>
    </w:pPr>
    <w:rPr>
      <w:rFonts w:ascii="仿宋_GB2312" w:eastAsia="仿宋_GB2312"/>
      <w:sz w:val="18"/>
    </w:rPr>
  </w:style>
  <w:style w:type="character" w:customStyle="1" w:styleId="59">
    <w:name w:val="副标题 Char"/>
    <w:link w:val="25"/>
    <w:qFormat/>
    <w:uiPriority w:val="0"/>
    <w:rPr>
      <w:rFonts w:ascii="Cambria" w:hAnsi="Cambria" w:cs="Times New Roman"/>
      <w:b/>
      <w:bCs/>
      <w:kern w:val="28"/>
      <w:sz w:val="32"/>
      <w:szCs w:val="32"/>
    </w:rPr>
  </w:style>
  <w:style w:type="character" w:customStyle="1" w:styleId="60">
    <w:name w:val="纯文本 Char"/>
    <w:link w:val="16"/>
    <w:qFormat/>
    <w:uiPriority w:val="0"/>
    <w:rPr>
      <w:rFonts w:ascii="宋体" w:hAnsi="Courier New" w:eastAsia="宋体"/>
      <w:kern w:val="2"/>
      <w:sz w:val="21"/>
      <w:lang w:val="en-US" w:eastAsia="zh-CN" w:bidi="ar-SA"/>
    </w:rPr>
  </w:style>
  <w:style w:type="character" w:customStyle="1" w:styleId="61">
    <w:name w:val="postbody1"/>
    <w:basedOn w:val="32"/>
    <w:qFormat/>
    <w:uiPriority w:val="0"/>
  </w:style>
  <w:style w:type="character" w:customStyle="1" w:styleId="62">
    <w:name w:val="text1"/>
    <w:qFormat/>
    <w:uiPriority w:val="0"/>
    <w:rPr>
      <w:b/>
      <w:color w:val="353333"/>
      <w:sz w:val="14"/>
      <w:szCs w:val="14"/>
    </w:rPr>
  </w:style>
  <w:style w:type="character" w:customStyle="1" w:styleId="63">
    <w:name w:val="title-dian"/>
    <w:basedOn w:val="32"/>
    <w:qFormat/>
    <w:uiPriority w:val="0"/>
  </w:style>
  <w:style w:type="character" w:customStyle="1" w:styleId="64">
    <w:name w:val="标题 1 Char"/>
    <w:link w:val="3"/>
    <w:qFormat/>
    <w:uiPriority w:val="0"/>
    <w:rPr>
      <w:b/>
      <w:bCs/>
      <w:kern w:val="44"/>
      <w:sz w:val="44"/>
      <w:szCs w:val="44"/>
    </w:rPr>
  </w:style>
  <w:style w:type="character" w:customStyle="1" w:styleId="65">
    <w:name w:val="纯文本 Char Char"/>
    <w:qFormat/>
    <w:uiPriority w:val="0"/>
    <w:rPr>
      <w:rFonts w:ascii="宋体" w:hAnsi="Courier New" w:eastAsia="宋体"/>
      <w:kern w:val="2"/>
      <w:sz w:val="21"/>
      <w:lang w:val="en-US" w:eastAsia="zh-CN" w:bidi="ar-SA"/>
    </w:rPr>
  </w:style>
  <w:style w:type="character" w:customStyle="1" w:styleId="66">
    <w:name w:val="apple-converted-space"/>
    <w:basedOn w:val="32"/>
    <w:qFormat/>
    <w:uiPriority w:val="0"/>
  </w:style>
  <w:style w:type="character" w:customStyle="1" w:styleId="67">
    <w:name w:val="text"/>
    <w:basedOn w:val="32"/>
    <w:qFormat/>
    <w:uiPriority w:val="0"/>
  </w:style>
  <w:style w:type="character" w:customStyle="1" w:styleId="68">
    <w:name w:val="正文缩进 Char"/>
    <w:link w:val="11"/>
    <w:qFormat/>
    <w:uiPriority w:val="0"/>
    <w:rPr>
      <w:rFonts w:eastAsia="仿宋_GB2312"/>
      <w:kern w:val="2"/>
      <w:sz w:val="28"/>
      <w:lang w:val="en-US" w:eastAsia="zh-CN" w:bidi="ar-SA"/>
    </w:rPr>
  </w:style>
  <w:style w:type="character" w:customStyle="1" w:styleId="69">
    <w:name w:val="文档结构图 Char"/>
    <w:basedOn w:val="32"/>
    <w:link w:val="12"/>
    <w:qFormat/>
    <w:uiPriority w:val="0"/>
    <w:rPr>
      <w:rFonts w:ascii="宋体"/>
      <w:kern w:val="2"/>
      <w:sz w:val="18"/>
      <w:szCs w:val="18"/>
    </w:rPr>
  </w:style>
  <w:style w:type="paragraph" w:customStyle="1" w:styleId="70">
    <w:name w:val="列出段落2"/>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60317A-C055-47FB-B9FB-6D426DDC9C0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1850</Words>
  <Characters>10549</Characters>
  <Lines>87</Lines>
  <Paragraphs>24</Paragraphs>
  <TotalTime>0</TotalTime>
  <ScaleCrop>false</ScaleCrop>
  <LinksUpToDate>false</LinksUpToDate>
  <CharactersWithSpaces>12375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2016-10-25T07:37:00Z</dcterms:created>
  <dc:creator>微软用户</dc:creator>
  <cp:lastModifiedBy>Administrator</cp:lastModifiedBy>
  <cp:lastPrinted>2019-09-16T01:57:48Z</cp:lastPrinted>
  <dcterms:modified xsi:type="dcterms:W3CDTF">2019-09-16T01:58:04Z</dcterms:modified>
  <dc:title>房地产抵押估价报告</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