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6" w:rsidRDefault="00F957E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957E6" w:rsidRDefault="00F957E6">
      <w:pPr>
        <w:rPr>
          <w:b/>
          <w:sz w:val="36"/>
          <w:szCs w:val="36"/>
        </w:rPr>
      </w:pPr>
    </w:p>
    <w:p w:rsidR="00F957E6" w:rsidRDefault="00F957E6">
      <w:pPr>
        <w:jc w:val="center"/>
        <w:rPr>
          <w:b/>
          <w:sz w:val="36"/>
          <w:szCs w:val="36"/>
        </w:rPr>
      </w:pP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司法拍卖房屋</w:t>
      </w:r>
    </w:p>
    <w:p w:rsidR="00F957E6" w:rsidRDefault="00983AC8">
      <w:pPr>
        <w:jc w:val="center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（</w:t>
      </w:r>
      <w:r>
        <w:rPr>
          <w:rFonts w:ascii="仿宋_GB2312" w:eastAsia="仿宋_GB2312" w:hint="eastAsia"/>
          <w:sz w:val="22"/>
          <w:szCs w:val="22"/>
        </w:rPr>
        <w:t>2019</w:t>
      </w:r>
      <w:r>
        <w:rPr>
          <w:rFonts w:ascii="仿宋_GB2312" w:eastAsia="仿宋_GB2312" w:hint="eastAsia"/>
          <w:sz w:val="22"/>
          <w:szCs w:val="22"/>
        </w:rPr>
        <w:t>）云</w:t>
      </w:r>
      <w:r>
        <w:rPr>
          <w:rFonts w:ascii="仿宋_GB2312" w:eastAsia="仿宋_GB2312" w:hint="eastAsia"/>
          <w:sz w:val="22"/>
          <w:szCs w:val="22"/>
        </w:rPr>
        <w:t>0112</w:t>
      </w:r>
      <w:r>
        <w:rPr>
          <w:rFonts w:ascii="仿宋_GB2312" w:eastAsia="仿宋_GB2312" w:hint="eastAsia"/>
          <w:sz w:val="22"/>
          <w:szCs w:val="22"/>
        </w:rPr>
        <w:t>执</w:t>
      </w:r>
      <w:r>
        <w:rPr>
          <w:rFonts w:ascii="仿宋_GB2312" w:eastAsia="仿宋_GB2312" w:hint="eastAsia"/>
          <w:sz w:val="22"/>
          <w:szCs w:val="22"/>
        </w:rPr>
        <w:t>4854</w:t>
      </w:r>
      <w:r>
        <w:rPr>
          <w:rFonts w:ascii="仿宋_GB2312" w:eastAsia="仿宋_GB2312" w:hint="eastAsia"/>
          <w:sz w:val="22"/>
          <w:szCs w:val="22"/>
        </w:rPr>
        <w:t>号</w:t>
      </w:r>
    </w:p>
    <w:p w:rsidR="00F957E6" w:rsidRDefault="00F957E6">
      <w:pPr>
        <w:jc w:val="center"/>
        <w:rPr>
          <w:rFonts w:ascii="仿宋_GB2312" w:eastAsia="仿宋_GB2312"/>
          <w:sz w:val="64"/>
          <w:szCs w:val="64"/>
        </w:rPr>
      </w:pP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尽</w:t>
      </w: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职</w:t>
      </w: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调</w:t>
      </w: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查</w:t>
      </w: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报</w:t>
      </w:r>
    </w:p>
    <w:p w:rsidR="00F957E6" w:rsidRDefault="00983AC8">
      <w:pPr>
        <w:jc w:val="center"/>
        <w:rPr>
          <w:rFonts w:ascii="仿宋_GB2312" w:eastAsia="仿宋_GB2312"/>
          <w:sz w:val="64"/>
          <w:szCs w:val="64"/>
        </w:rPr>
      </w:pPr>
      <w:r>
        <w:rPr>
          <w:rFonts w:ascii="仿宋_GB2312" w:eastAsia="仿宋_GB2312" w:hint="eastAsia"/>
          <w:sz w:val="64"/>
          <w:szCs w:val="64"/>
        </w:rPr>
        <w:t>告</w:t>
      </w:r>
    </w:p>
    <w:p w:rsidR="00F957E6" w:rsidRDefault="00F957E6">
      <w:pPr>
        <w:jc w:val="center"/>
        <w:rPr>
          <w:b/>
          <w:sz w:val="36"/>
          <w:szCs w:val="36"/>
        </w:rPr>
      </w:pPr>
    </w:p>
    <w:p w:rsidR="00F957E6" w:rsidRDefault="00F957E6">
      <w:pPr>
        <w:jc w:val="center"/>
        <w:rPr>
          <w:b/>
          <w:sz w:val="32"/>
          <w:szCs w:val="32"/>
        </w:rPr>
      </w:pPr>
    </w:p>
    <w:p w:rsidR="00F957E6" w:rsidRDefault="00983A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云南省昆明市国信公证处司法辅助业务部</w:t>
      </w:r>
    </w:p>
    <w:p w:rsidR="00F957E6" w:rsidRDefault="00983A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25</w:t>
      </w:r>
      <w:r>
        <w:rPr>
          <w:rFonts w:hint="eastAsia"/>
          <w:b/>
          <w:sz w:val="32"/>
          <w:szCs w:val="32"/>
        </w:rPr>
        <w:t>日</w:t>
      </w:r>
    </w:p>
    <w:p w:rsidR="00F957E6" w:rsidRDefault="00F957E6">
      <w:pPr>
        <w:rPr>
          <w:b/>
          <w:sz w:val="36"/>
          <w:szCs w:val="36"/>
        </w:rPr>
      </w:pPr>
    </w:p>
    <w:p w:rsidR="00F957E6" w:rsidRDefault="00983AC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尽职调查报告</w:t>
      </w:r>
    </w:p>
    <w:p w:rsidR="00F957E6" w:rsidRDefault="00983AC8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调查标的物：</w:t>
      </w:r>
      <w:r>
        <w:rPr>
          <w:rFonts w:hint="eastAsia"/>
          <w:b/>
          <w:sz w:val="28"/>
          <w:szCs w:val="28"/>
        </w:rPr>
        <w:t>昆明市金河小区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幢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单元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层</w:t>
      </w:r>
      <w:r>
        <w:rPr>
          <w:rFonts w:hint="eastAsia"/>
          <w:b/>
          <w:sz w:val="28"/>
          <w:szCs w:val="28"/>
        </w:rPr>
        <w:t>102</w:t>
      </w:r>
    </w:p>
    <w:p w:rsidR="00F957E6" w:rsidRDefault="00983AC8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送拍机构：云南省昆明市西山区人民法院</w:t>
      </w:r>
    </w:p>
    <w:p w:rsidR="00F957E6" w:rsidRDefault="00983AC8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拍卖时间：</w:t>
      </w:r>
      <w:r>
        <w:rPr>
          <w:rFonts w:hint="eastAsia"/>
          <w:b/>
          <w:sz w:val="28"/>
          <w:szCs w:val="28"/>
        </w:rPr>
        <w:t>以公告</w:t>
      </w:r>
      <w:r>
        <w:rPr>
          <w:rFonts w:hint="eastAsia"/>
          <w:b/>
          <w:sz w:val="28"/>
          <w:szCs w:val="28"/>
        </w:rPr>
        <w:t>时间为准</w:t>
      </w:r>
    </w:p>
    <w:p w:rsidR="00F957E6" w:rsidRDefault="00983AC8">
      <w:pPr>
        <w:numPr>
          <w:ilvl w:val="0"/>
          <w:numId w:val="1"/>
        </w:num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房产信息和价值估算</w:t>
      </w:r>
      <w:permStart w:id="0" w:edGrp="everyone"/>
      <w:permEnd w:id="0"/>
    </w:p>
    <w:p w:rsidR="00F957E6" w:rsidRDefault="00983AC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（一）房产现状表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095"/>
        <w:gridCol w:w="876"/>
        <w:gridCol w:w="1422"/>
        <w:gridCol w:w="1048"/>
        <w:gridCol w:w="1046"/>
        <w:gridCol w:w="1512"/>
        <w:gridCol w:w="1508"/>
      </w:tblGrid>
      <w:tr w:rsidR="00F957E6">
        <w:trPr>
          <w:trHeight w:val="777"/>
        </w:trPr>
        <w:tc>
          <w:tcPr>
            <w:tcW w:w="7861" w:type="dxa"/>
            <w:gridSpan w:val="7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房产情况表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57E6">
        <w:trPr>
          <w:trHeight w:val="760"/>
        </w:trPr>
        <w:tc>
          <w:tcPr>
            <w:tcW w:w="1957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房产坐落</w:t>
            </w:r>
          </w:p>
        </w:tc>
        <w:tc>
          <w:tcPr>
            <w:tcW w:w="5904" w:type="dxa"/>
            <w:gridSpan w:val="5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Style w:val="a7"/>
                <w:sz w:val="24"/>
              </w:rPr>
            </w:pPr>
            <w:r>
              <w:rPr>
                <w:rStyle w:val="a7"/>
                <w:rFonts w:hint="eastAsia"/>
                <w:sz w:val="24"/>
              </w:rPr>
              <w:t>昆明市金河小区</w:t>
            </w:r>
            <w:r>
              <w:rPr>
                <w:rStyle w:val="a7"/>
                <w:rFonts w:hint="eastAsia"/>
                <w:sz w:val="24"/>
              </w:rPr>
              <w:t>5</w:t>
            </w:r>
            <w:r>
              <w:rPr>
                <w:rStyle w:val="a7"/>
                <w:rFonts w:hint="eastAsia"/>
                <w:sz w:val="24"/>
              </w:rPr>
              <w:t>幢</w:t>
            </w:r>
            <w:r>
              <w:rPr>
                <w:rStyle w:val="a7"/>
                <w:rFonts w:hint="eastAsia"/>
                <w:sz w:val="24"/>
              </w:rPr>
              <w:t>4</w:t>
            </w:r>
            <w:r>
              <w:rPr>
                <w:rStyle w:val="a7"/>
                <w:rFonts w:hint="eastAsia"/>
                <w:sz w:val="24"/>
              </w:rPr>
              <w:t>单元</w:t>
            </w:r>
            <w:r>
              <w:rPr>
                <w:rStyle w:val="a7"/>
                <w:rFonts w:hint="eastAsia"/>
                <w:sz w:val="24"/>
              </w:rPr>
              <w:t>1</w:t>
            </w:r>
            <w:r>
              <w:rPr>
                <w:rStyle w:val="a7"/>
                <w:rFonts w:hint="eastAsia"/>
                <w:sz w:val="24"/>
              </w:rPr>
              <w:t>层</w:t>
            </w:r>
            <w:r>
              <w:rPr>
                <w:rStyle w:val="a7"/>
                <w:rFonts w:hint="eastAsia"/>
                <w:sz w:val="24"/>
              </w:rPr>
              <w:t>102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Style w:val="a7"/>
                <w:sz w:val="24"/>
              </w:rPr>
            </w:pPr>
          </w:p>
        </w:tc>
      </w:tr>
      <w:tr w:rsidR="00F957E6">
        <w:trPr>
          <w:trHeight w:val="777"/>
        </w:trPr>
        <w:tc>
          <w:tcPr>
            <w:tcW w:w="863" w:type="dxa"/>
            <w:vMerge w:val="restart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权证情况</w:t>
            </w:r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24"/>
              </w:rPr>
              <w:t>所有权证号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登记时间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设计用途</w:t>
            </w:r>
          </w:p>
        </w:tc>
        <w:tc>
          <w:tcPr>
            <w:tcW w:w="104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建筑面积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被执行人性质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F957E6">
        <w:trPr>
          <w:trHeight w:val="764"/>
        </w:trPr>
        <w:tc>
          <w:tcPr>
            <w:tcW w:w="863" w:type="dxa"/>
            <w:vMerge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201137951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04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80.60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957E6">
        <w:trPr>
          <w:trHeight w:val="795"/>
        </w:trPr>
        <w:tc>
          <w:tcPr>
            <w:tcW w:w="863" w:type="dxa"/>
            <w:vMerge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土地使用权证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  <w:szCs w:val="18"/>
              </w:rPr>
            </w:pPr>
            <w:r>
              <w:rPr>
                <w:rFonts w:ascii="黑体" w:eastAsia="黑体" w:hint="eastAsia"/>
                <w:sz w:val="24"/>
              </w:rPr>
              <w:t>土地分摊面积</w:t>
            </w:r>
          </w:p>
        </w:tc>
        <w:tc>
          <w:tcPr>
            <w:tcW w:w="2094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土地性质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土地证用途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F957E6">
        <w:trPr>
          <w:trHeight w:val="952"/>
        </w:trPr>
        <w:tc>
          <w:tcPr>
            <w:tcW w:w="863" w:type="dxa"/>
            <w:vMerge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94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划拨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957E6">
        <w:trPr>
          <w:trHeight w:val="1537"/>
        </w:trPr>
        <w:tc>
          <w:tcPr>
            <w:tcW w:w="863" w:type="dxa"/>
            <w:vMerge w:val="restart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标的</w:t>
            </w:r>
            <w:proofErr w:type="gramStart"/>
            <w:r>
              <w:rPr>
                <w:rFonts w:ascii="黑体" w:eastAsia="黑体" w:hint="eastAsia"/>
                <w:sz w:val="24"/>
              </w:rPr>
              <w:t>物介绍</w:t>
            </w:r>
            <w:proofErr w:type="gramEnd"/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物业费用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优先购买权人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房产总层高</w:t>
            </w:r>
          </w:p>
        </w:tc>
        <w:tc>
          <w:tcPr>
            <w:tcW w:w="104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房屋所在楼层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产权取得方式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F957E6">
        <w:trPr>
          <w:trHeight w:val="1537"/>
        </w:trPr>
        <w:tc>
          <w:tcPr>
            <w:tcW w:w="863" w:type="dxa"/>
            <w:vMerge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71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欠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proofErr w:type="gramStart"/>
            <w:r>
              <w:rPr>
                <w:rFonts w:hint="eastAsia"/>
                <w:sz w:val="24"/>
              </w:rPr>
              <w:t>物业费</w:t>
            </w:r>
            <w:proofErr w:type="gramEnd"/>
            <w:r>
              <w:rPr>
                <w:rFonts w:hint="eastAsia"/>
                <w:sz w:val="24"/>
              </w:rPr>
              <w:t>192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层</w:t>
            </w:r>
          </w:p>
        </w:tc>
        <w:tc>
          <w:tcPr>
            <w:tcW w:w="104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层</w:t>
            </w:r>
          </w:p>
        </w:tc>
        <w:tc>
          <w:tcPr>
            <w:tcW w:w="151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买卖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957E6">
        <w:trPr>
          <w:trHeight w:val="1537"/>
        </w:trPr>
        <w:tc>
          <w:tcPr>
            <w:tcW w:w="863" w:type="dxa"/>
            <w:vMerge w:val="restart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标的物现状</w:t>
            </w:r>
          </w:p>
        </w:tc>
        <w:tc>
          <w:tcPr>
            <w:tcW w:w="109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是否已腾空</w:t>
            </w:r>
          </w:p>
        </w:tc>
        <w:tc>
          <w:tcPr>
            <w:tcW w:w="87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租赁情况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租赁人情况及租期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钥匙</w:t>
            </w:r>
          </w:p>
        </w:tc>
        <w:tc>
          <w:tcPr>
            <w:tcW w:w="2557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F957E6">
        <w:trPr>
          <w:trHeight w:val="534"/>
        </w:trPr>
        <w:tc>
          <w:tcPr>
            <w:tcW w:w="863" w:type="dxa"/>
            <w:vMerge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腾空</w:t>
            </w:r>
          </w:p>
        </w:tc>
        <w:tc>
          <w:tcPr>
            <w:tcW w:w="876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22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04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557" w:type="dxa"/>
            <w:gridSpan w:val="2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508" w:type="dxa"/>
            <w:noWrap/>
            <w:vAlign w:val="center"/>
          </w:tcPr>
          <w:p w:rsidR="00F957E6" w:rsidRDefault="00F957E6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F957E6" w:rsidRDefault="00983AC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（二）周边配套信息表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411"/>
        <w:gridCol w:w="6980"/>
      </w:tblGrid>
      <w:tr w:rsidR="00F957E6">
        <w:trPr>
          <w:trHeight w:val="744"/>
        </w:trPr>
        <w:tc>
          <w:tcPr>
            <w:tcW w:w="2364" w:type="dxa"/>
            <w:gridSpan w:val="2"/>
            <w:noWrap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F957E6">
        <w:trPr>
          <w:trHeight w:val="476"/>
        </w:trPr>
        <w:tc>
          <w:tcPr>
            <w:tcW w:w="953" w:type="dxa"/>
            <w:vMerge w:val="restart"/>
            <w:noWrap/>
          </w:tcPr>
          <w:p w:rsidR="00F957E6" w:rsidRDefault="00F957E6">
            <w:pPr>
              <w:spacing w:line="560" w:lineRule="exact"/>
              <w:rPr>
                <w:b/>
                <w:sz w:val="24"/>
              </w:rPr>
            </w:pPr>
          </w:p>
          <w:p w:rsidR="00F957E6" w:rsidRDefault="00F957E6">
            <w:pPr>
              <w:spacing w:line="560" w:lineRule="exact"/>
              <w:rPr>
                <w:b/>
                <w:sz w:val="24"/>
              </w:rPr>
            </w:pPr>
          </w:p>
          <w:p w:rsidR="00F957E6" w:rsidRDefault="00983AC8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位置状</w:t>
            </w:r>
          </w:p>
          <w:p w:rsidR="00F957E6" w:rsidRDefault="00983AC8">
            <w:pPr>
              <w:spacing w:line="560" w:lineRule="exac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  <w:r>
              <w:rPr>
                <w:rFonts w:hint="eastAsia"/>
                <w:b/>
                <w:sz w:val="24"/>
              </w:rPr>
              <w:t>描述</w:t>
            </w:r>
          </w:p>
          <w:p w:rsidR="00F957E6" w:rsidRDefault="00F957E6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坐落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昆明市金河小区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幢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单元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>102</w:t>
            </w:r>
          </w:p>
        </w:tc>
      </w:tr>
      <w:tr w:rsidR="00F957E6">
        <w:trPr>
          <w:trHeight w:val="409"/>
        </w:trPr>
        <w:tc>
          <w:tcPr>
            <w:tcW w:w="953" w:type="dxa"/>
            <w:vMerge/>
            <w:noWrap/>
          </w:tcPr>
          <w:p w:rsidR="00F957E6" w:rsidRDefault="00F957E6">
            <w:pPr>
              <w:spacing w:line="560" w:lineRule="exact"/>
              <w:rPr>
                <w:sz w:val="24"/>
              </w:rPr>
            </w:pP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方位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曙光小区片区</w:t>
            </w:r>
          </w:p>
        </w:tc>
      </w:tr>
      <w:tr w:rsidR="00F957E6">
        <w:trPr>
          <w:trHeight w:val="719"/>
        </w:trPr>
        <w:tc>
          <w:tcPr>
            <w:tcW w:w="953" w:type="dxa"/>
            <w:vMerge/>
            <w:noWrap/>
          </w:tcPr>
          <w:p w:rsidR="00F957E6" w:rsidRDefault="00F957E6">
            <w:pPr>
              <w:spacing w:line="560" w:lineRule="exact"/>
              <w:rPr>
                <w:sz w:val="24"/>
              </w:rPr>
            </w:pP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交通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主干道有</w:t>
            </w:r>
            <w:r>
              <w:rPr>
                <w:rFonts w:hint="eastAsia"/>
                <w:sz w:val="24"/>
              </w:rPr>
              <w:t>二环东路、东郊路、金马路</w:t>
            </w:r>
            <w:r>
              <w:rPr>
                <w:rFonts w:hint="eastAsia"/>
                <w:sz w:val="24"/>
              </w:rPr>
              <w:t>；次干道有</w:t>
            </w:r>
            <w:r>
              <w:rPr>
                <w:rFonts w:hint="eastAsia"/>
                <w:sz w:val="24"/>
              </w:rPr>
              <w:t>黎明路、黎华路、曙光路、归十路</w:t>
            </w:r>
          </w:p>
        </w:tc>
      </w:tr>
      <w:tr w:rsidR="00F957E6">
        <w:trPr>
          <w:trHeight w:val="499"/>
        </w:trPr>
        <w:tc>
          <w:tcPr>
            <w:tcW w:w="953" w:type="dxa"/>
            <w:vMerge/>
            <w:noWrap/>
          </w:tcPr>
          <w:p w:rsidR="00F957E6" w:rsidRDefault="00F957E6">
            <w:pPr>
              <w:spacing w:line="560" w:lineRule="exact"/>
              <w:rPr>
                <w:sz w:val="24"/>
              </w:rPr>
            </w:pP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所在层数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总层数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7</w:t>
            </w:r>
          </w:p>
        </w:tc>
      </w:tr>
      <w:tr w:rsidR="00F957E6">
        <w:trPr>
          <w:trHeight w:val="471"/>
        </w:trPr>
        <w:tc>
          <w:tcPr>
            <w:tcW w:w="953" w:type="dxa"/>
            <w:vMerge w:val="restart"/>
            <w:noWrap/>
          </w:tcPr>
          <w:p w:rsidR="00F957E6" w:rsidRDefault="00983AC8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交通状</w:t>
            </w:r>
          </w:p>
          <w:p w:rsidR="00F957E6" w:rsidRDefault="00983AC8">
            <w:pPr>
              <w:spacing w:line="560" w:lineRule="exact"/>
              <w:rPr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  <w:r>
              <w:rPr>
                <w:rFonts w:hint="eastAsia"/>
                <w:b/>
                <w:sz w:val="24"/>
              </w:rPr>
              <w:t>描述</w:t>
            </w: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交通管制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957E6">
        <w:trPr>
          <w:trHeight w:val="863"/>
        </w:trPr>
        <w:tc>
          <w:tcPr>
            <w:tcW w:w="953" w:type="dxa"/>
            <w:vMerge/>
            <w:noWrap/>
          </w:tcPr>
          <w:p w:rsidR="00F957E6" w:rsidRDefault="00F957E6">
            <w:pPr>
              <w:spacing w:line="560" w:lineRule="exact"/>
              <w:rPr>
                <w:sz w:val="24"/>
              </w:rPr>
            </w:pPr>
          </w:p>
        </w:tc>
        <w:tc>
          <w:tcPr>
            <w:tcW w:w="141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停车便捷度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停车位紧张，建有地面</w:t>
            </w:r>
            <w:r>
              <w:rPr>
                <w:rFonts w:hint="eastAsia"/>
                <w:sz w:val="24"/>
              </w:rPr>
              <w:t>停车位</w:t>
            </w:r>
          </w:p>
        </w:tc>
      </w:tr>
      <w:tr w:rsidR="00F957E6">
        <w:trPr>
          <w:trHeight w:val="3789"/>
        </w:trPr>
        <w:tc>
          <w:tcPr>
            <w:tcW w:w="953" w:type="dxa"/>
            <w:noWrap/>
          </w:tcPr>
          <w:p w:rsidR="00F957E6" w:rsidRDefault="00983AC8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外部配套设施状况</w:t>
            </w:r>
          </w:p>
        </w:tc>
        <w:tc>
          <w:tcPr>
            <w:tcW w:w="1411" w:type="dxa"/>
            <w:noWrap/>
          </w:tcPr>
          <w:p w:rsidR="00F957E6" w:rsidRDefault="00F957E6">
            <w:pPr>
              <w:spacing w:line="560" w:lineRule="exact"/>
              <w:rPr>
                <w:b/>
                <w:sz w:val="24"/>
              </w:rPr>
            </w:pPr>
          </w:p>
          <w:p w:rsidR="00F957E6" w:rsidRDefault="00983AC8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公共设施</w:t>
            </w:r>
          </w:p>
        </w:tc>
        <w:tc>
          <w:tcPr>
            <w:tcW w:w="6980" w:type="dxa"/>
            <w:noWrap/>
          </w:tcPr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</w:rPr>
              <w:t>昆明市官渡区金马中学、昆明市官渡区五里小学、昆明市官渡区曙光小学、民航路第二小学、昆明市第十七中学、云南民族幼儿园</w:t>
            </w:r>
            <w:r>
              <w:rPr>
                <w:rFonts w:hint="eastAsia"/>
                <w:sz w:val="24"/>
              </w:rPr>
              <w:t>等，及本人满足周边就学要求</w:t>
            </w:r>
          </w:p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银行：</w:t>
            </w:r>
            <w:r>
              <w:rPr>
                <w:rFonts w:hint="eastAsia"/>
                <w:sz w:val="24"/>
              </w:rPr>
              <w:t>云南农村信用社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中国信合、建设银行、农业银行、工商银行红塔银行、兴业银行</w:t>
            </w:r>
            <w:r>
              <w:rPr>
                <w:rFonts w:hint="eastAsia"/>
                <w:sz w:val="24"/>
              </w:rPr>
              <w:t>等网点及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小时自助银行服务</w:t>
            </w:r>
            <w:r>
              <w:rPr>
                <w:rFonts w:hint="eastAsia"/>
                <w:sz w:val="24"/>
              </w:rPr>
              <w:t>ATM</w:t>
            </w:r>
          </w:p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医疗：</w:t>
            </w:r>
            <w:r>
              <w:rPr>
                <w:rFonts w:hint="eastAsia"/>
                <w:sz w:val="24"/>
              </w:rPr>
              <w:t>昆明明珠医院、云南中医学院第二附属医院、官渡区东站社区卫生服务中心及</w:t>
            </w:r>
            <w:r>
              <w:rPr>
                <w:rFonts w:hint="eastAsia"/>
                <w:sz w:val="24"/>
              </w:rPr>
              <w:t>各社区卫生院</w:t>
            </w:r>
          </w:p>
          <w:p w:rsidR="00F957E6" w:rsidRDefault="00983AC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交通：</w:t>
            </w:r>
            <w:r>
              <w:rPr>
                <w:rFonts w:hint="eastAsia"/>
                <w:sz w:val="24"/>
              </w:rPr>
              <w:t>Z112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A13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108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117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D27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111</w:t>
            </w:r>
            <w:r>
              <w:rPr>
                <w:rFonts w:hint="eastAsia"/>
                <w:sz w:val="24"/>
              </w:rPr>
              <w:t>路甲、</w:t>
            </w:r>
            <w:r>
              <w:rPr>
                <w:rFonts w:hint="eastAsia"/>
                <w:sz w:val="24"/>
              </w:rPr>
              <w:t>K17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63</w:t>
            </w:r>
            <w:r>
              <w:rPr>
                <w:rFonts w:hint="eastAsia"/>
                <w:sz w:val="24"/>
              </w:rPr>
              <w:t>等多路公交可达</w:t>
            </w:r>
          </w:p>
        </w:tc>
      </w:tr>
    </w:tbl>
    <w:p w:rsidR="00F957E6" w:rsidRDefault="00983AC8" w:rsidP="00983AC8">
      <w:pPr>
        <w:numPr>
          <w:ilvl w:val="0"/>
          <w:numId w:val="1"/>
        </w:numPr>
        <w:spacing w:beforeLines="100"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房产的权利限制情况</w:t>
      </w:r>
    </w:p>
    <w:p w:rsidR="00F957E6" w:rsidRDefault="00983AC8">
      <w:pPr>
        <w:spacing w:line="560" w:lineRule="exact"/>
        <w:ind w:firstLineChars="128" w:firstLine="35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、查封情况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5061"/>
      </w:tblGrid>
      <w:tr w:rsidR="00F957E6">
        <w:tc>
          <w:tcPr>
            <w:tcW w:w="42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处置法院</w:t>
            </w:r>
          </w:p>
        </w:tc>
        <w:tc>
          <w:tcPr>
            <w:tcW w:w="50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云南省昆明市西山区人民法院</w:t>
            </w:r>
          </w:p>
        </w:tc>
      </w:tr>
      <w:tr w:rsidR="00F957E6">
        <w:trPr>
          <w:trHeight w:val="963"/>
        </w:trPr>
        <w:tc>
          <w:tcPr>
            <w:tcW w:w="42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查封法院</w:t>
            </w:r>
          </w:p>
        </w:tc>
        <w:tc>
          <w:tcPr>
            <w:tcW w:w="5061" w:type="dxa"/>
            <w:noWrap/>
            <w:vAlign w:val="center"/>
          </w:tcPr>
          <w:p w:rsidR="00F957E6" w:rsidRDefault="00983AC8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依次为：</w:t>
            </w:r>
          </w:p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云南省昆明市西山区人民法院</w:t>
            </w:r>
          </w:p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</w:t>
            </w:r>
            <w:r>
              <w:rPr>
                <w:rFonts w:hint="eastAsia"/>
                <w:sz w:val="24"/>
              </w:rPr>
              <w:t>昆明市盘龙区人民法院</w:t>
            </w:r>
          </w:p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云南省昆明市西山区人民法院</w:t>
            </w:r>
          </w:p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云南省昆明市官渡区人民法院</w:t>
            </w:r>
          </w:p>
          <w:p w:rsidR="00F957E6" w:rsidRDefault="00F957E6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F957E6" w:rsidRDefault="00983AC8">
      <w:pPr>
        <w:spacing w:line="560" w:lineRule="exact"/>
        <w:ind w:firstLineChars="128" w:firstLine="35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、抵押情况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5061"/>
      </w:tblGrid>
      <w:tr w:rsidR="00F957E6">
        <w:trPr>
          <w:trHeight w:val="397"/>
        </w:trPr>
        <w:tc>
          <w:tcPr>
            <w:tcW w:w="42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有无抵押</w:t>
            </w:r>
          </w:p>
        </w:tc>
        <w:tc>
          <w:tcPr>
            <w:tcW w:w="50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</w:tr>
      <w:tr w:rsidR="00F957E6">
        <w:trPr>
          <w:trHeight w:val="397"/>
        </w:trPr>
        <w:tc>
          <w:tcPr>
            <w:tcW w:w="42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抵押权人</w:t>
            </w:r>
          </w:p>
        </w:tc>
        <w:tc>
          <w:tcPr>
            <w:tcW w:w="50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中国农业银行股份有限公司昆明滇池国家旅游度假区支行</w:t>
            </w:r>
          </w:p>
        </w:tc>
      </w:tr>
    </w:tbl>
    <w:p w:rsidR="00F957E6" w:rsidRDefault="00983AC8">
      <w:pPr>
        <w:spacing w:line="560" w:lineRule="exact"/>
        <w:ind w:firstLineChars="128" w:firstLine="35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、本标的物处置是否</w:t>
      </w:r>
      <w:proofErr w:type="gramStart"/>
      <w:r>
        <w:rPr>
          <w:rFonts w:hint="eastAsia"/>
          <w:sz w:val="28"/>
          <w:szCs w:val="28"/>
        </w:rPr>
        <w:t>依托他案处理</w:t>
      </w:r>
      <w:proofErr w:type="gramEnd"/>
      <w:r>
        <w:rPr>
          <w:rFonts w:hint="eastAsia"/>
          <w:sz w:val="28"/>
          <w:szCs w:val="28"/>
        </w:rPr>
        <w:t>结果。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5061"/>
      </w:tblGrid>
      <w:tr w:rsidR="00F957E6">
        <w:tc>
          <w:tcPr>
            <w:tcW w:w="42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黑体" w:eastAsia="黑体" w:hint="eastAsia"/>
                <w:sz w:val="26"/>
                <w:szCs w:val="26"/>
              </w:rPr>
              <w:t>依托他案处理</w:t>
            </w:r>
            <w:proofErr w:type="gramEnd"/>
            <w:r>
              <w:rPr>
                <w:rFonts w:ascii="黑体" w:eastAsia="黑体" w:hint="eastAsia"/>
                <w:sz w:val="26"/>
                <w:szCs w:val="26"/>
              </w:rPr>
              <w:t>结果</w:t>
            </w:r>
          </w:p>
        </w:tc>
        <w:tc>
          <w:tcPr>
            <w:tcW w:w="50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</w:tbl>
    <w:p w:rsidR="00F957E6" w:rsidRDefault="00983AC8" w:rsidP="00983AC8">
      <w:pPr>
        <w:spacing w:beforeLines="100" w:line="56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三、税、费信息</w:t>
      </w:r>
    </w:p>
    <w:p w:rsidR="00F957E6" w:rsidRDefault="00983AC8">
      <w:pPr>
        <w:numPr>
          <w:ilvl w:val="0"/>
          <w:numId w:val="2"/>
        </w:numPr>
        <w:tabs>
          <w:tab w:val="left" w:pos="180"/>
        </w:tabs>
        <w:spacing w:line="560" w:lineRule="exact"/>
        <w:ind w:hanging="675"/>
        <w:rPr>
          <w:sz w:val="28"/>
          <w:szCs w:val="28"/>
        </w:rPr>
      </w:pPr>
      <w:r>
        <w:rPr>
          <w:rFonts w:hint="eastAsia"/>
          <w:sz w:val="28"/>
          <w:szCs w:val="28"/>
        </w:rPr>
        <w:t>竞买综合费用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8"/>
        <w:gridCol w:w="2575"/>
        <w:gridCol w:w="3161"/>
      </w:tblGrid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司法拍卖涉及款项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缴纳时间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是否由竞买承担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竞拍保证金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开拍前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尾款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以公告时间为准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卖方税费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办理过户交割时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买方税费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办理过户交割时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土地出让金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办理过户交割时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F957E6">
        <w:trPr>
          <w:trHeight w:val="1338"/>
        </w:trPr>
        <w:tc>
          <w:tcPr>
            <w:tcW w:w="3788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水电、煤气、物业欠费</w:t>
            </w:r>
          </w:p>
        </w:tc>
        <w:tc>
          <w:tcPr>
            <w:tcW w:w="2575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办理过户交割时</w:t>
            </w:r>
          </w:p>
        </w:tc>
        <w:tc>
          <w:tcPr>
            <w:tcW w:w="316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F957E6" w:rsidRDefault="00983AC8" w:rsidP="00983AC8">
      <w:pPr>
        <w:spacing w:beforeLines="50" w:line="560" w:lineRule="exact"/>
        <w:ind w:firstLineChars="64" w:firstLine="179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（二）拍卖房产过户涉及的税种、税率和其他费用</w:t>
      </w:r>
    </w:p>
    <w:p w:rsidR="00F957E6" w:rsidRDefault="00983AC8" w:rsidP="00983AC8">
      <w:pPr>
        <w:spacing w:beforeLines="50" w:line="5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上述拍卖房屋为原权利人买卖取得，但该</w:t>
      </w:r>
      <w:proofErr w:type="gramStart"/>
      <w:r>
        <w:rPr>
          <w:rFonts w:hint="eastAsia"/>
          <w:b/>
          <w:sz w:val="28"/>
          <w:szCs w:val="28"/>
        </w:rPr>
        <w:t>套房产非原</w:t>
      </w:r>
      <w:proofErr w:type="gramEnd"/>
      <w:r>
        <w:rPr>
          <w:rFonts w:hint="eastAsia"/>
          <w:b/>
          <w:sz w:val="28"/>
          <w:szCs w:val="28"/>
        </w:rPr>
        <w:t>权利人家庭唯一住房，</w:t>
      </w:r>
      <w:r>
        <w:rPr>
          <w:rFonts w:hint="eastAsia"/>
          <w:b/>
          <w:sz w:val="28"/>
          <w:szCs w:val="28"/>
        </w:rPr>
        <w:t>该套房土地性质为划拨，</w:t>
      </w:r>
      <w:r>
        <w:rPr>
          <w:rFonts w:hint="eastAsia"/>
          <w:b/>
          <w:sz w:val="28"/>
          <w:szCs w:val="28"/>
        </w:rPr>
        <w:t>因此需要缴纳</w:t>
      </w:r>
      <w:r>
        <w:rPr>
          <w:rFonts w:hint="eastAsia"/>
          <w:b/>
          <w:sz w:val="28"/>
          <w:szCs w:val="28"/>
        </w:rPr>
        <w:t>3%</w:t>
      </w:r>
      <w:r>
        <w:rPr>
          <w:rFonts w:hint="eastAsia"/>
          <w:b/>
          <w:sz w:val="28"/>
          <w:szCs w:val="28"/>
        </w:rPr>
        <w:t>的个人所得税；</w:t>
      </w:r>
      <w:r>
        <w:rPr>
          <w:rFonts w:hint="eastAsia"/>
          <w:b/>
          <w:sz w:val="28"/>
          <w:szCs w:val="28"/>
        </w:rPr>
        <w:t>需缴纳</w:t>
      </w:r>
      <w:r>
        <w:rPr>
          <w:rFonts w:hint="eastAsia"/>
          <w:b/>
          <w:sz w:val="28"/>
          <w:szCs w:val="28"/>
        </w:rPr>
        <w:t>1%</w:t>
      </w:r>
      <w:r>
        <w:rPr>
          <w:rFonts w:hint="eastAsia"/>
          <w:b/>
          <w:sz w:val="28"/>
          <w:szCs w:val="28"/>
        </w:rPr>
        <w:t>的土地出让金；因该套房建筑面积不足</w:t>
      </w:r>
      <w:r>
        <w:rPr>
          <w:rFonts w:hint="eastAsia"/>
          <w:b/>
          <w:sz w:val="28"/>
          <w:szCs w:val="28"/>
        </w:rPr>
        <w:t>90</w:t>
      </w:r>
      <w:r>
        <w:rPr>
          <w:rFonts w:hint="eastAsia"/>
          <w:b/>
          <w:sz w:val="28"/>
          <w:szCs w:val="28"/>
        </w:rPr>
        <w:t>平米，</w:t>
      </w:r>
      <w:r>
        <w:rPr>
          <w:rFonts w:hint="eastAsia"/>
          <w:b/>
          <w:sz w:val="28"/>
          <w:szCs w:val="28"/>
        </w:rPr>
        <w:t>购</w:t>
      </w:r>
      <w:proofErr w:type="gramStart"/>
      <w:r>
        <w:rPr>
          <w:rFonts w:hint="eastAsia"/>
          <w:b/>
          <w:sz w:val="28"/>
          <w:szCs w:val="28"/>
        </w:rPr>
        <w:t>房契税</w:t>
      </w:r>
      <w:proofErr w:type="gramEnd"/>
      <w:r>
        <w:rPr>
          <w:rFonts w:hint="eastAsia"/>
          <w:b/>
          <w:sz w:val="28"/>
          <w:szCs w:val="28"/>
        </w:rPr>
        <w:t>根据购房人已有住房情况确定：首套房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%</w:t>
      </w:r>
      <w:r>
        <w:rPr>
          <w:rFonts w:hint="eastAsia"/>
          <w:b/>
          <w:sz w:val="28"/>
          <w:szCs w:val="28"/>
        </w:rPr>
        <w:t>，二套房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%</w:t>
      </w:r>
      <w:r>
        <w:rPr>
          <w:rFonts w:hint="eastAsia"/>
          <w:b/>
          <w:sz w:val="28"/>
          <w:szCs w:val="28"/>
        </w:rPr>
        <w:t>，三套及以上</w:t>
      </w:r>
      <w:r>
        <w:rPr>
          <w:rFonts w:hint="eastAsia"/>
          <w:b/>
          <w:sz w:val="28"/>
          <w:szCs w:val="28"/>
        </w:rPr>
        <w:t>3%</w:t>
      </w:r>
      <w:r>
        <w:rPr>
          <w:rFonts w:hint="eastAsia"/>
          <w:b/>
          <w:sz w:val="28"/>
          <w:szCs w:val="28"/>
        </w:rPr>
        <w:t>。</w:t>
      </w:r>
    </w:p>
    <w:p w:rsidR="00F957E6" w:rsidRDefault="00983AC8" w:rsidP="00983AC8">
      <w:pPr>
        <w:spacing w:beforeLines="50" w:line="5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预计税费：</w:t>
      </w:r>
    </w:p>
    <w:p w:rsidR="00F957E6" w:rsidRDefault="00983AC8" w:rsidP="00983AC8">
      <w:pPr>
        <w:spacing w:beforeLines="50" w:line="560" w:lineRule="exact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以起拍价</w:t>
      </w:r>
      <w:r>
        <w:rPr>
          <w:rFonts w:hint="eastAsia"/>
          <w:b/>
          <w:sz w:val="28"/>
          <w:szCs w:val="28"/>
        </w:rPr>
        <w:t>624880</w:t>
      </w:r>
      <w:r>
        <w:rPr>
          <w:rFonts w:hint="eastAsia"/>
          <w:b/>
          <w:sz w:val="28"/>
          <w:szCs w:val="28"/>
        </w:rPr>
        <w:t>元计算，个人所得税：</w:t>
      </w:r>
      <w:r>
        <w:rPr>
          <w:rFonts w:hint="eastAsia"/>
          <w:b/>
          <w:sz w:val="28"/>
          <w:szCs w:val="28"/>
        </w:rPr>
        <w:t>18746.40</w:t>
      </w:r>
      <w:r>
        <w:rPr>
          <w:rFonts w:hint="eastAsia"/>
          <w:b/>
          <w:sz w:val="28"/>
          <w:szCs w:val="28"/>
        </w:rPr>
        <w:t>元；</w:t>
      </w:r>
      <w:r>
        <w:rPr>
          <w:rFonts w:hint="eastAsia"/>
          <w:b/>
          <w:sz w:val="28"/>
          <w:szCs w:val="28"/>
        </w:rPr>
        <w:t>土地出让金：</w:t>
      </w:r>
      <w:r>
        <w:rPr>
          <w:rFonts w:hint="eastAsia"/>
          <w:b/>
          <w:sz w:val="28"/>
          <w:szCs w:val="28"/>
        </w:rPr>
        <w:t>6248.8</w:t>
      </w:r>
      <w:r>
        <w:rPr>
          <w:rFonts w:hint="eastAsia"/>
          <w:b/>
          <w:sz w:val="28"/>
          <w:szCs w:val="28"/>
        </w:rPr>
        <w:t>元；</w:t>
      </w:r>
      <w:r>
        <w:rPr>
          <w:rFonts w:hint="eastAsia"/>
          <w:b/>
          <w:sz w:val="28"/>
          <w:szCs w:val="28"/>
        </w:rPr>
        <w:t>购房契税：首套房</w:t>
      </w:r>
      <w:r>
        <w:rPr>
          <w:rFonts w:hint="eastAsia"/>
          <w:b/>
          <w:sz w:val="28"/>
          <w:szCs w:val="28"/>
        </w:rPr>
        <w:t>6248.80</w:t>
      </w:r>
      <w:r>
        <w:rPr>
          <w:rFonts w:hint="eastAsia"/>
          <w:b/>
          <w:sz w:val="28"/>
          <w:szCs w:val="28"/>
        </w:rPr>
        <w:t>元、二套房</w:t>
      </w:r>
      <w:r>
        <w:rPr>
          <w:rFonts w:hint="eastAsia"/>
          <w:b/>
          <w:sz w:val="28"/>
          <w:szCs w:val="28"/>
        </w:rPr>
        <w:t>6248.80</w:t>
      </w:r>
      <w:r>
        <w:rPr>
          <w:rFonts w:hint="eastAsia"/>
          <w:b/>
          <w:sz w:val="28"/>
          <w:szCs w:val="28"/>
        </w:rPr>
        <w:t>元、三套及以上</w:t>
      </w:r>
      <w:r>
        <w:rPr>
          <w:rFonts w:hint="eastAsia"/>
          <w:b/>
          <w:sz w:val="28"/>
          <w:szCs w:val="28"/>
        </w:rPr>
        <w:t>18746.40</w:t>
      </w:r>
      <w:r>
        <w:rPr>
          <w:rFonts w:hint="eastAsia"/>
          <w:b/>
          <w:sz w:val="28"/>
          <w:szCs w:val="28"/>
        </w:rPr>
        <w:t>元。共计税费：</w:t>
      </w:r>
      <w:r>
        <w:rPr>
          <w:rFonts w:hint="eastAsia"/>
          <w:b/>
          <w:sz w:val="28"/>
          <w:szCs w:val="28"/>
        </w:rPr>
        <w:t>31244.00</w:t>
      </w:r>
      <w:r>
        <w:rPr>
          <w:rFonts w:hint="eastAsia"/>
          <w:b/>
          <w:sz w:val="28"/>
          <w:szCs w:val="28"/>
        </w:rPr>
        <w:t>元至</w:t>
      </w:r>
      <w:r>
        <w:rPr>
          <w:rFonts w:hint="eastAsia"/>
          <w:b/>
          <w:sz w:val="28"/>
          <w:szCs w:val="28"/>
        </w:rPr>
        <w:t>43741.60</w:t>
      </w:r>
      <w:r>
        <w:rPr>
          <w:rFonts w:hint="eastAsia"/>
          <w:b/>
          <w:sz w:val="28"/>
          <w:szCs w:val="28"/>
        </w:rPr>
        <w:t>元（最终税费以税局核算为准）</w:t>
      </w:r>
    </w:p>
    <w:p w:rsidR="00F957E6" w:rsidRDefault="00983AC8" w:rsidP="00983AC8">
      <w:pPr>
        <w:spacing w:beforeLines="5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、预测其他费用。根据本报告所涉及的拍卖标的物情况，竞拍房产预计产生的其他费用如下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3499"/>
      </w:tblGrid>
      <w:tr w:rsidR="00F957E6">
        <w:tc>
          <w:tcPr>
            <w:tcW w:w="2840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费用名目</w:t>
            </w:r>
          </w:p>
        </w:tc>
        <w:tc>
          <w:tcPr>
            <w:tcW w:w="2841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金额</w:t>
            </w:r>
          </w:p>
        </w:tc>
        <w:tc>
          <w:tcPr>
            <w:tcW w:w="3499" w:type="dxa"/>
            <w:noWrap/>
            <w:vAlign w:val="center"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物管费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192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已向该小区物</w:t>
            </w:r>
            <w:proofErr w:type="gramStart"/>
            <w:r>
              <w:rPr>
                <w:rFonts w:hint="eastAsia"/>
                <w:sz w:val="20"/>
                <w:szCs w:val="20"/>
              </w:rPr>
              <w:t>管咨询</w:t>
            </w:r>
            <w:proofErr w:type="gramEnd"/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水费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未查到</w:t>
            </w:r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电费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未查到</w:t>
            </w:r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燃气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未查到</w:t>
            </w:r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产权证工本费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F957E6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</w:tr>
      <w:tr w:rsidR="00F957E6">
        <w:tc>
          <w:tcPr>
            <w:tcW w:w="2840" w:type="dxa"/>
            <w:noWrap/>
          </w:tcPr>
          <w:p w:rsidR="00F957E6" w:rsidRDefault="00983AC8">
            <w:pPr>
              <w:spacing w:line="5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合计</w:t>
            </w:r>
          </w:p>
        </w:tc>
        <w:tc>
          <w:tcPr>
            <w:tcW w:w="2841" w:type="dxa"/>
            <w:noWrap/>
          </w:tcPr>
          <w:p w:rsidR="00F957E6" w:rsidRDefault="00983AC8"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272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499" w:type="dxa"/>
            <w:noWrap/>
          </w:tcPr>
          <w:p w:rsidR="00F957E6" w:rsidRDefault="00F957E6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957E6" w:rsidRDefault="00983AC8" w:rsidP="00983AC8">
      <w:pPr>
        <w:spacing w:beforeLines="100" w:line="56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四、特别提示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（一）该拍卖房产的权利限制包括：云南省昆明市西山区人民法院，抵押权人</w:t>
      </w:r>
      <w:r>
        <w:rPr>
          <w:rFonts w:hint="eastAsia"/>
          <w:sz w:val="28"/>
          <w:szCs w:val="28"/>
        </w:rPr>
        <w:t>中国农业银行股份有限公司昆明滇池国家旅游度假区支行</w:t>
      </w:r>
      <w:r>
        <w:rPr>
          <w:rFonts w:hint="eastAsia"/>
          <w:sz w:val="28"/>
          <w:szCs w:val="28"/>
        </w:rPr>
        <w:t>的抵押登记，此外无其他权利限制情形。竞拍人需先解除人民法院的查封，再解除抵押权人的抵押登记后才可办理产权转移登记事宜。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（二）拍卖</w:t>
      </w:r>
      <w:proofErr w:type="gramStart"/>
      <w:r>
        <w:rPr>
          <w:rFonts w:hint="eastAsia"/>
          <w:sz w:val="28"/>
          <w:szCs w:val="28"/>
        </w:rPr>
        <w:t>房转移</w:t>
      </w:r>
      <w:proofErr w:type="gramEnd"/>
      <w:r>
        <w:rPr>
          <w:rFonts w:hint="eastAsia"/>
          <w:sz w:val="28"/>
          <w:szCs w:val="28"/>
        </w:rPr>
        <w:t>登记流程。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拍卖</w:t>
      </w:r>
      <w:proofErr w:type="gramStart"/>
      <w:r>
        <w:rPr>
          <w:rFonts w:hint="eastAsia"/>
          <w:sz w:val="28"/>
          <w:szCs w:val="28"/>
        </w:rPr>
        <w:t>房转移</w:t>
      </w:r>
      <w:proofErr w:type="gramEnd"/>
      <w:r>
        <w:rPr>
          <w:rFonts w:hint="eastAsia"/>
          <w:sz w:val="28"/>
          <w:szCs w:val="28"/>
        </w:rPr>
        <w:t>登记流程环节较多且耗时较长，办理流程涉及到多个行政管理部门，自行办理可能会因为不熟悉流程导致时间上的浪费，致使拍卖总成本的增加。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（三）该拍卖房产经过了拍卖前腾房公示流程与公告拍卖流程，未出现租赁人主张权利。</w:t>
      </w:r>
    </w:p>
    <w:p w:rsidR="00F957E6" w:rsidRDefault="00983AC8">
      <w:pPr>
        <w:spacing w:line="5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五、结论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根据云南省、昆明市现有的不动产流转相关税收政策的规定，本《尽职调查报告》仅对涉及的拍卖标的物在办理转移登记时所需要交纳的税、费、土地出让金等费用进行初步预算，最终纳税结果以税务部门确定为准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（二）本报告涉及的拍卖房产符合我处合作贷款银行、担保机</w:t>
      </w:r>
      <w:r>
        <w:rPr>
          <w:rFonts w:hint="eastAsia"/>
          <w:sz w:val="28"/>
          <w:szCs w:val="28"/>
        </w:rPr>
        <w:t>构对于抵押担保物的要求，可被接纳为抵押担保物。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经我处详尽调查，本报告涉及的房产已申请房屋权属登记，并已取得房屋权属证书，根据土地查档表显示，该房产占用范围内的土地使用权尚在有效期内，是出让土地，在拍卖成功后依照程序即可正常办理转移登记手续。</w:t>
      </w:r>
    </w:p>
    <w:p w:rsidR="00F957E6" w:rsidRDefault="00983AC8">
      <w:pPr>
        <w:spacing w:line="5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六、免责声明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《尽职调查报告》是昆明市国信公证处司法辅助业务部根据《民事诉讼法》、《拍卖法》、《最高人民法院关于人民法院网络司法拍卖的规定》及《淘宝拍卖网络司法拍卖平台竞拍服务协议》等相关法律规定，结合我处实地勘验、调查走访、档案查询等多种调查方式，对拍卖标的物的关联信息进行收集和整理，并基于我处司法辅助团队的专业能力与实践经验做出的风险提示。</w:t>
      </w:r>
    </w:p>
    <w:p w:rsidR="00F957E6" w:rsidRDefault="00983AC8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本报告提及的拍卖标的物的房屋状况、权属状况、租赁状况、使用状况等，以及不动产、税收、金融机构等相关政策均以《尽职调查报告》出具之日为止，上述情形或政策若在本报告出具日之后发生变</w:t>
      </w:r>
      <w:r>
        <w:rPr>
          <w:rFonts w:hint="eastAsia"/>
          <w:sz w:val="28"/>
          <w:szCs w:val="28"/>
        </w:rPr>
        <w:t>化的，请竞拍人结合具体情形自行斟酌、判断。</w:t>
      </w:r>
    </w:p>
    <w:p w:rsidR="00F957E6" w:rsidRDefault="00983AC8" w:rsidP="00983AC8">
      <w:pPr>
        <w:spacing w:line="560" w:lineRule="exact"/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本报告载明的信息及观点，是根据拍卖标的物特殊情况在穷尽我处可能的调查方式后作出，仅供竞拍人对上述标的物进行竞买参考。本报告内容不能够避免可能出现的偏差或遗漏，对此我处不做任何的瑕疵担保。</w:t>
      </w:r>
    </w:p>
    <w:p w:rsidR="00F957E6" w:rsidRDefault="00983AC8">
      <w:pPr>
        <w:spacing w:line="560" w:lineRule="exact"/>
        <w:ind w:rightChars="-255" w:right="-535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89535</wp:posOffset>
            </wp:positionV>
            <wp:extent cx="1724025" cy="1724025"/>
            <wp:effectExtent l="0" t="0" r="0" b="0"/>
            <wp:wrapNone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7E6" w:rsidRDefault="00983AC8">
      <w:pPr>
        <w:spacing w:line="560" w:lineRule="exact"/>
        <w:ind w:leftChars="479" w:left="1006" w:rightChars="-255" w:right="-535" w:firstLineChars="900" w:firstLine="25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云南省昆明市国信公证处司法辅助业务部</w:t>
      </w:r>
    </w:p>
    <w:p w:rsidR="00F957E6" w:rsidRDefault="00983AC8">
      <w:pPr>
        <w:spacing w:line="560" w:lineRule="exact"/>
        <w:ind w:leftChars="479" w:left="1006" w:rightChars="-255" w:right="-535" w:firstLineChars="1300" w:firstLine="36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二〇一九年十二月</w:t>
      </w:r>
      <w:r>
        <w:rPr>
          <w:rFonts w:hint="eastAsia"/>
          <w:sz w:val="28"/>
          <w:szCs w:val="28"/>
        </w:rPr>
        <w:t>二十五</w:t>
      </w:r>
      <w:r>
        <w:rPr>
          <w:rFonts w:hint="eastAsia"/>
          <w:sz w:val="28"/>
          <w:szCs w:val="28"/>
        </w:rPr>
        <w:t>日</w:t>
      </w:r>
    </w:p>
    <w:sectPr w:rsidR="00F957E6" w:rsidSect="00F95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287" w:bottom="1440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E6" w:rsidRDefault="00F957E6" w:rsidP="00F957E6">
      <w:r>
        <w:separator/>
      </w:r>
    </w:p>
  </w:endnote>
  <w:endnote w:type="continuationSeparator" w:id="1">
    <w:p w:rsidR="00F957E6" w:rsidRDefault="00F957E6" w:rsidP="00F9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6" w:rsidRDefault="00F957E6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3AC8">
      <w:rPr>
        <w:rStyle w:val="a8"/>
      </w:rPr>
      <w:instrText xml:space="preserve">PAGE  </w:instrText>
    </w:r>
    <w:r>
      <w:fldChar w:fldCharType="end"/>
    </w:r>
  </w:p>
  <w:p w:rsidR="00F957E6" w:rsidRDefault="00F957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6" w:rsidRDefault="00F957E6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3AC8">
      <w:rPr>
        <w:rStyle w:val="a8"/>
      </w:rPr>
      <w:instrText xml:space="preserve">PAGE  </w:instrText>
    </w:r>
    <w:r>
      <w:fldChar w:fldCharType="separate"/>
    </w:r>
    <w:r w:rsidR="00983AC8">
      <w:rPr>
        <w:rStyle w:val="a8"/>
        <w:noProof/>
      </w:rPr>
      <w:t>2</w:t>
    </w:r>
    <w:r>
      <w:fldChar w:fldCharType="end"/>
    </w:r>
  </w:p>
  <w:p w:rsidR="00F957E6" w:rsidRDefault="00F957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E6" w:rsidRDefault="00F957E6" w:rsidP="00F957E6">
      <w:r>
        <w:separator/>
      </w:r>
    </w:p>
  </w:footnote>
  <w:footnote w:type="continuationSeparator" w:id="1">
    <w:p w:rsidR="00F957E6" w:rsidRDefault="00F957E6" w:rsidP="00F95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6" w:rsidRDefault="00F957E6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786907" o:spid="_x0000_s2061" type="#_x0000_t136" style="position:absolute;left:0;text-align:left;margin-left:0;margin-top:0;width:575.15pt;height:71.85pt;rotation:315;z-index:-251657216;mso-position-horizontal:center;mso-position-horizontal-relative:margin;mso-position-vertical:center;mso-position-vertical-relative:margin;mso-width-relative:page;mso-height-relative:page" o:allowincell="f" fillcolor="red" stroked="f">
          <v:textpath style="font-family:&quot;宋体&quot;;font-size:8pt" fitpath="t" string="昆明市国信公证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6" w:rsidRDefault="00F957E6">
    <w:pPr>
      <w:pStyle w:val="a5"/>
      <w:jc w:val="right"/>
      <w:rPr>
        <w:b/>
      </w:rPr>
    </w:pPr>
    <w:r w:rsidRPr="00F957E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left:0;text-align:left;margin-left:189.45pt;margin-top:589.8pt;width:318.3pt;height:50.15pt;rotation:315;z-index:-251651072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Pr="00F957E6">
      <w:pict>
        <v:shape id="_x0000_s2076" type="#_x0000_t136" style="position:absolute;left:0;text-align:left;margin-left:189.45pt;margin-top:301.85pt;width:318.3pt;height:50.15pt;rotation:315;z-index:-251652096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Pr="00F957E6">
      <w:pict>
        <v:shape id="_x0000_s2075" type="#_x0000_t136" style="position:absolute;left:0;text-align:left;margin-left:-77.9pt;margin-top:552.25pt;width:318.3pt;height:50.15pt;rotation:315;z-index:-251653120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Pr="00F957E6">
      <w:pict>
        <v:shape id="_x0000_s2074" type="#_x0000_t136" style="position:absolute;left:0;text-align:left;margin-left:-77.9pt;margin-top:313.1pt;width:318.3pt;height:50.15pt;rotation:315;z-index:-251654144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Pr="00F957E6">
      <w:pict>
        <v:shape id="PowerPlusWaterMarkObject517786908" o:spid="_x0000_s2072" type="#_x0000_t136" style="position:absolute;left:0;text-align:left;margin-left:170.7pt;margin-top:68.3pt;width:318.3pt;height:50.15pt;rotation:315;z-index:-251656192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Pr="00F957E6">
      <w:pict>
        <v:shape id="_x0000_s2073" type="#_x0000_t136" style="position:absolute;left:0;text-align:left;margin-left:-89.6pt;margin-top:68.3pt;width:318.3pt;height:50.15pt;rotation:315;z-index:-251655168;mso-position-horizontal-relative:margin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="00983AC8">
      <w:rPr>
        <w:rFonts w:hint="eastAsia"/>
        <w:b/>
      </w:rPr>
      <w:t>本报告仅供参考！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6" w:rsidRDefault="00F957E6">
    <w:pPr>
      <w:pStyle w:val="a5"/>
      <w:pBdr>
        <w:bottom w:val="single" w:sz="6" w:space="0" w:color="auto"/>
      </w:pBdr>
      <w:jc w:val="right"/>
      <w:rPr>
        <w:b/>
      </w:rPr>
    </w:pPr>
    <w:r w:rsidRPr="00F957E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786906" o:spid="_x0000_s2060" type="#_x0000_t136" style="position:absolute;left:0;text-align:left;margin-left:0;margin-top:0;width:575.15pt;height:71.85pt;rotation:315;z-index:-251658240;mso-position-horizontal:center;mso-position-horizontal-relative:margin;mso-position-vertical:center;mso-position-vertical-relative:margin;mso-width-relative:page;mso-height-relative:page" o:allowincell="f" fillcolor="#7f7f7f" stroked="f">
          <v:textpath style="font-family:&quot;宋体&quot;;font-size:8pt" fitpath="t" string="昆明市国信公证处"/>
          <w10:wrap anchorx="margin" anchory="margin"/>
        </v:shape>
      </w:pict>
    </w:r>
    <w:r w:rsidR="00983AC8">
      <w:rPr>
        <w:rFonts w:hint="eastAsia"/>
        <w:b/>
      </w:rPr>
      <w:t>本报告仅供参考！</w:t>
    </w:r>
  </w:p>
  <w:p w:rsidR="00F957E6" w:rsidRDefault="00F957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D81"/>
    <w:multiLevelType w:val="multilevel"/>
    <w:tmpl w:val="0CC34D81"/>
    <w:lvl w:ilvl="0">
      <w:start w:val="1"/>
      <w:numFmt w:val="japaneseCounting"/>
      <w:lvlText w:val="（%1）"/>
      <w:lvlJc w:val="left"/>
      <w:pPr>
        <w:tabs>
          <w:tab w:val="left" w:pos="1423"/>
        </w:tabs>
        <w:ind w:left="1423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75C2E0D"/>
    <w:multiLevelType w:val="multilevel"/>
    <w:tmpl w:val="575C2E0D"/>
    <w:lvl w:ilvl="0">
      <w:start w:val="1"/>
      <w:numFmt w:val="japaneseCounting"/>
      <w:lvlText w:val="%1、"/>
      <w:lvlJc w:val="left"/>
      <w:pPr>
        <w:tabs>
          <w:tab w:val="left" w:pos="1271"/>
        </w:tabs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left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E5+UWhpAcZpaSTR4evYI/wuwKb0=" w:salt="xIV8LHWGMbA/DWyuEeO9B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3D8"/>
    <w:rsid w:val="000010AB"/>
    <w:rsid w:val="00006AC4"/>
    <w:rsid w:val="00014AC0"/>
    <w:rsid w:val="0003191D"/>
    <w:rsid w:val="00033474"/>
    <w:rsid w:val="00036241"/>
    <w:rsid w:val="00037ECF"/>
    <w:rsid w:val="00040C48"/>
    <w:rsid w:val="00044886"/>
    <w:rsid w:val="000509E3"/>
    <w:rsid w:val="00052DD6"/>
    <w:rsid w:val="00053659"/>
    <w:rsid w:val="000613A3"/>
    <w:rsid w:val="000657BF"/>
    <w:rsid w:val="00070681"/>
    <w:rsid w:val="0008748E"/>
    <w:rsid w:val="00093AEC"/>
    <w:rsid w:val="00096ED7"/>
    <w:rsid w:val="000A030A"/>
    <w:rsid w:val="000A6102"/>
    <w:rsid w:val="000B22DB"/>
    <w:rsid w:val="000B587D"/>
    <w:rsid w:val="000C2D15"/>
    <w:rsid w:val="000C58C0"/>
    <w:rsid w:val="000C6198"/>
    <w:rsid w:val="000C6B0A"/>
    <w:rsid w:val="000D2504"/>
    <w:rsid w:val="000D440A"/>
    <w:rsid w:val="000D54A9"/>
    <w:rsid w:val="000E1BF4"/>
    <w:rsid w:val="000E3A91"/>
    <w:rsid w:val="000F4565"/>
    <w:rsid w:val="000F740F"/>
    <w:rsid w:val="00100842"/>
    <w:rsid w:val="00100D4B"/>
    <w:rsid w:val="00103710"/>
    <w:rsid w:val="001060DB"/>
    <w:rsid w:val="00116131"/>
    <w:rsid w:val="0011701D"/>
    <w:rsid w:val="00122CDD"/>
    <w:rsid w:val="00131A03"/>
    <w:rsid w:val="0013699D"/>
    <w:rsid w:val="0014455F"/>
    <w:rsid w:val="00157E81"/>
    <w:rsid w:val="0016154B"/>
    <w:rsid w:val="00163CB6"/>
    <w:rsid w:val="0017154F"/>
    <w:rsid w:val="001747F5"/>
    <w:rsid w:val="00180926"/>
    <w:rsid w:val="00181F95"/>
    <w:rsid w:val="00182E48"/>
    <w:rsid w:val="00187D76"/>
    <w:rsid w:val="00190E80"/>
    <w:rsid w:val="00194FE7"/>
    <w:rsid w:val="001A139E"/>
    <w:rsid w:val="001B1AE1"/>
    <w:rsid w:val="001B4F64"/>
    <w:rsid w:val="001C383C"/>
    <w:rsid w:val="001C3952"/>
    <w:rsid w:val="001C4760"/>
    <w:rsid w:val="001D22B0"/>
    <w:rsid w:val="001D4ACB"/>
    <w:rsid w:val="001E1839"/>
    <w:rsid w:val="001F6386"/>
    <w:rsid w:val="001F6D5F"/>
    <w:rsid w:val="001F6F44"/>
    <w:rsid w:val="001F71DE"/>
    <w:rsid w:val="0020244C"/>
    <w:rsid w:val="00204432"/>
    <w:rsid w:val="0020589E"/>
    <w:rsid w:val="002104BE"/>
    <w:rsid w:val="002113DD"/>
    <w:rsid w:val="00211D71"/>
    <w:rsid w:val="00212533"/>
    <w:rsid w:val="002125E7"/>
    <w:rsid w:val="002127C8"/>
    <w:rsid w:val="0021297B"/>
    <w:rsid w:val="0022046C"/>
    <w:rsid w:val="00231383"/>
    <w:rsid w:val="002335D7"/>
    <w:rsid w:val="0023688D"/>
    <w:rsid w:val="00237E91"/>
    <w:rsid w:val="00242CD7"/>
    <w:rsid w:val="00244E52"/>
    <w:rsid w:val="00251466"/>
    <w:rsid w:val="0025211E"/>
    <w:rsid w:val="0026583F"/>
    <w:rsid w:val="00274D0F"/>
    <w:rsid w:val="00295681"/>
    <w:rsid w:val="002A3859"/>
    <w:rsid w:val="002B2D16"/>
    <w:rsid w:val="002D31E3"/>
    <w:rsid w:val="002D4912"/>
    <w:rsid w:val="002F0064"/>
    <w:rsid w:val="002F343C"/>
    <w:rsid w:val="002F450D"/>
    <w:rsid w:val="002F5ED4"/>
    <w:rsid w:val="002F69B1"/>
    <w:rsid w:val="003018C3"/>
    <w:rsid w:val="00302176"/>
    <w:rsid w:val="00316B37"/>
    <w:rsid w:val="00324CFA"/>
    <w:rsid w:val="003313D8"/>
    <w:rsid w:val="003359CB"/>
    <w:rsid w:val="003429E8"/>
    <w:rsid w:val="003432AA"/>
    <w:rsid w:val="00343DFC"/>
    <w:rsid w:val="0034513E"/>
    <w:rsid w:val="00346F3E"/>
    <w:rsid w:val="003607BB"/>
    <w:rsid w:val="0037096E"/>
    <w:rsid w:val="00380D49"/>
    <w:rsid w:val="003873AA"/>
    <w:rsid w:val="00392715"/>
    <w:rsid w:val="0039333F"/>
    <w:rsid w:val="00396099"/>
    <w:rsid w:val="003B226F"/>
    <w:rsid w:val="003B6CBC"/>
    <w:rsid w:val="003C2990"/>
    <w:rsid w:val="003C360F"/>
    <w:rsid w:val="003C62F3"/>
    <w:rsid w:val="003C6C07"/>
    <w:rsid w:val="003C7A75"/>
    <w:rsid w:val="003D1105"/>
    <w:rsid w:val="003D1EDB"/>
    <w:rsid w:val="003D4CEB"/>
    <w:rsid w:val="003D69B6"/>
    <w:rsid w:val="003E5BC1"/>
    <w:rsid w:val="003E6C43"/>
    <w:rsid w:val="003E7418"/>
    <w:rsid w:val="003F15C3"/>
    <w:rsid w:val="003F42F4"/>
    <w:rsid w:val="00404531"/>
    <w:rsid w:val="004048F9"/>
    <w:rsid w:val="004059EE"/>
    <w:rsid w:val="00405E4F"/>
    <w:rsid w:val="004113CB"/>
    <w:rsid w:val="004173AC"/>
    <w:rsid w:val="004206A5"/>
    <w:rsid w:val="0042461E"/>
    <w:rsid w:val="00426088"/>
    <w:rsid w:val="00426CE9"/>
    <w:rsid w:val="004337F2"/>
    <w:rsid w:val="00434099"/>
    <w:rsid w:val="00440960"/>
    <w:rsid w:val="00442C51"/>
    <w:rsid w:val="004477BF"/>
    <w:rsid w:val="0045209E"/>
    <w:rsid w:val="00453D64"/>
    <w:rsid w:val="004718E4"/>
    <w:rsid w:val="00480678"/>
    <w:rsid w:val="00480EEB"/>
    <w:rsid w:val="00483E9E"/>
    <w:rsid w:val="00483F41"/>
    <w:rsid w:val="00485380"/>
    <w:rsid w:val="0049178A"/>
    <w:rsid w:val="0049320C"/>
    <w:rsid w:val="0049751B"/>
    <w:rsid w:val="004A4022"/>
    <w:rsid w:val="004A403D"/>
    <w:rsid w:val="004A5859"/>
    <w:rsid w:val="004A6478"/>
    <w:rsid w:val="004B2307"/>
    <w:rsid w:val="004B3063"/>
    <w:rsid w:val="004B765D"/>
    <w:rsid w:val="004C29D5"/>
    <w:rsid w:val="004C376D"/>
    <w:rsid w:val="004D0572"/>
    <w:rsid w:val="004D116F"/>
    <w:rsid w:val="004E0350"/>
    <w:rsid w:val="004F18C0"/>
    <w:rsid w:val="004F523E"/>
    <w:rsid w:val="00502246"/>
    <w:rsid w:val="00503C07"/>
    <w:rsid w:val="00505D5D"/>
    <w:rsid w:val="00513430"/>
    <w:rsid w:val="00513792"/>
    <w:rsid w:val="00514536"/>
    <w:rsid w:val="00514A20"/>
    <w:rsid w:val="0052035C"/>
    <w:rsid w:val="00521E8F"/>
    <w:rsid w:val="00530F00"/>
    <w:rsid w:val="00531243"/>
    <w:rsid w:val="00533190"/>
    <w:rsid w:val="00535997"/>
    <w:rsid w:val="00536451"/>
    <w:rsid w:val="0054709B"/>
    <w:rsid w:val="00553770"/>
    <w:rsid w:val="00560E0F"/>
    <w:rsid w:val="00562490"/>
    <w:rsid w:val="00562C81"/>
    <w:rsid w:val="00563408"/>
    <w:rsid w:val="005640FD"/>
    <w:rsid w:val="005742F3"/>
    <w:rsid w:val="00575519"/>
    <w:rsid w:val="00575540"/>
    <w:rsid w:val="00575891"/>
    <w:rsid w:val="0057595D"/>
    <w:rsid w:val="00582899"/>
    <w:rsid w:val="00583778"/>
    <w:rsid w:val="00585FFA"/>
    <w:rsid w:val="00592A77"/>
    <w:rsid w:val="00592DA9"/>
    <w:rsid w:val="00597DDB"/>
    <w:rsid w:val="005A5051"/>
    <w:rsid w:val="005A6960"/>
    <w:rsid w:val="005A7504"/>
    <w:rsid w:val="005B1D9E"/>
    <w:rsid w:val="005B2085"/>
    <w:rsid w:val="005C41AC"/>
    <w:rsid w:val="005C53F5"/>
    <w:rsid w:val="005C6E59"/>
    <w:rsid w:val="005C7CF1"/>
    <w:rsid w:val="005D00C8"/>
    <w:rsid w:val="005D17BF"/>
    <w:rsid w:val="005E66C4"/>
    <w:rsid w:val="005F0E89"/>
    <w:rsid w:val="005F0FAB"/>
    <w:rsid w:val="005F2440"/>
    <w:rsid w:val="005F5949"/>
    <w:rsid w:val="00605AB2"/>
    <w:rsid w:val="00606721"/>
    <w:rsid w:val="006140F7"/>
    <w:rsid w:val="00614108"/>
    <w:rsid w:val="00624885"/>
    <w:rsid w:val="00624950"/>
    <w:rsid w:val="00625634"/>
    <w:rsid w:val="00625F83"/>
    <w:rsid w:val="006327BB"/>
    <w:rsid w:val="006337CE"/>
    <w:rsid w:val="00636954"/>
    <w:rsid w:val="00641137"/>
    <w:rsid w:val="00656E39"/>
    <w:rsid w:val="00660BF3"/>
    <w:rsid w:val="0066107F"/>
    <w:rsid w:val="00662502"/>
    <w:rsid w:val="00667B1E"/>
    <w:rsid w:val="00674D9D"/>
    <w:rsid w:val="0067584C"/>
    <w:rsid w:val="00680C02"/>
    <w:rsid w:val="0069018C"/>
    <w:rsid w:val="006931D7"/>
    <w:rsid w:val="006952CB"/>
    <w:rsid w:val="00696896"/>
    <w:rsid w:val="006A3C75"/>
    <w:rsid w:val="006C0F2C"/>
    <w:rsid w:val="006C2329"/>
    <w:rsid w:val="006C290F"/>
    <w:rsid w:val="006C306F"/>
    <w:rsid w:val="006C3684"/>
    <w:rsid w:val="006C702D"/>
    <w:rsid w:val="006D062D"/>
    <w:rsid w:val="006D3B48"/>
    <w:rsid w:val="006E620F"/>
    <w:rsid w:val="006E7529"/>
    <w:rsid w:val="006E7D1F"/>
    <w:rsid w:val="006F3D44"/>
    <w:rsid w:val="00703BB4"/>
    <w:rsid w:val="00704F2A"/>
    <w:rsid w:val="007061A6"/>
    <w:rsid w:val="007119AE"/>
    <w:rsid w:val="00742A60"/>
    <w:rsid w:val="00745263"/>
    <w:rsid w:val="007453EB"/>
    <w:rsid w:val="007505BC"/>
    <w:rsid w:val="00754674"/>
    <w:rsid w:val="0076242E"/>
    <w:rsid w:val="00764276"/>
    <w:rsid w:val="007659B1"/>
    <w:rsid w:val="007679AE"/>
    <w:rsid w:val="00770C34"/>
    <w:rsid w:val="00777117"/>
    <w:rsid w:val="00784A06"/>
    <w:rsid w:val="00792CB5"/>
    <w:rsid w:val="00794EA5"/>
    <w:rsid w:val="00796C67"/>
    <w:rsid w:val="007A1410"/>
    <w:rsid w:val="007B2A65"/>
    <w:rsid w:val="007B2B26"/>
    <w:rsid w:val="007B482D"/>
    <w:rsid w:val="007B5DB8"/>
    <w:rsid w:val="007C06A8"/>
    <w:rsid w:val="007C0BCD"/>
    <w:rsid w:val="007C5783"/>
    <w:rsid w:val="007C5F05"/>
    <w:rsid w:val="007C6A61"/>
    <w:rsid w:val="007C75BA"/>
    <w:rsid w:val="007D251A"/>
    <w:rsid w:val="007D4233"/>
    <w:rsid w:val="007D70CA"/>
    <w:rsid w:val="007E0935"/>
    <w:rsid w:val="007E49C8"/>
    <w:rsid w:val="007F21E2"/>
    <w:rsid w:val="007F3647"/>
    <w:rsid w:val="007F44CE"/>
    <w:rsid w:val="008162F9"/>
    <w:rsid w:val="00821855"/>
    <w:rsid w:val="008237BF"/>
    <w:rsid w:val="008241E0"/>
    <w:rsid w:val="008360AC"/>
    <w:rsid w:val="00843CD7"/>
    <w:rsid w:val="008462A8"/>
    <w:rsid w:val="00846EF1"/>
    <w:rsid w:val="00851979"/>
    <w:rsid w:val="00872EDF"/>
    <w:rsid w:val="008849D7"/>
    <w:rsid w:val="008869D8"/>
    <w:rsid w:val="00897556"/>
    <w:rsid w:val="008A135E"/>
    <w:rsid w:val="008A1502"/>
    <w:rsid w:val="008A3B00"/>
    <w:rsid w:val="008A7667"/>
    <w:rsid w:val="008B6F5C"/>
    <w:rsid w:val="008C298F"/>
    <w:rsid w:val="008F0521"/>
    <w:rsid w:val="008F26AA"/>
    <w:rsid w:val="009066AE"/>
    <w:rsid w:val="00912624"/>
    <w:rsid w:val="009133FC"/>
    <w:rsid w:val="00915EAD"/>
    <w:rsid w:val="0092487A"/>
    <w:rsid w:val="00926C52"/>
    <w:rsid w:val="009316F5"/>
    <w:rsid w:val="00932E1C"/>
    <w:rsid w:val="0093440C"/>
    <w:rsid w:val="00935DC8"/>
    <w:rsid w:val="00937A4A"/>
    <w:rsid w:val="00945289"/>
    <w:rsid w:val="00957BD5"/>
    <w:rsid w:val="00963898"/>
    <w:rsid w:val="009723BA"/>
    <w:rsid w:val="00983AC8"/>
    <w:rsid w:val="00987125"/>
    <w:rsid w:val="009A1142"/>
    <w:rsid w:val="009A2669"/>
    <w:rsid w:val="009A3E3A"/>
    <w:rsid w:val="009B0752"/>
    <w:rsid w:val="009B3315"/>
    <w:rsid w:val="009D71F2"/>
    <w:rsid w:val="009D793C"/>
    <w:rsid w:val="009E5149"/>
    <w:rsid w:val="009E6D62"/>
    <w:rsid w:val="00A011B1"/>
    <w:rsid w:val="00A025BB"/>
    <w:rsid w:val="00A044BE"/>
    <w:rsid w:val="00A05D0C"/>
    <w:rsid w:val="00A12E15"/>
    <w:rsid w:val="00A30A97"/>
    <w:rsid w:val="00A31A5B"/>
    <w:rsid w:val="00A4166E"/>
    <w:rsid w:val="00A452A5"/>
    <w:rsid w:val="00A52441"/>
    <w:rsid w:val="00A537CD"/>
    <w:rsid w:val="00A562A2"/>
    <w:rsid w:val="00A61787"/>
    <w:rsid w:val="00A622EF"/>
    <w:rsid w:val="00A62826"/>
    <w:rsid w:val="00A745E2"/>
    <w:rsid w:val="00AA3847"/>
    <w:rsid w:val="00AB0524"/>
    <w:rsid w:val="00AB3B28"/>
    <w:rsid w:val="00AB4241"/>
    <w:rsid w:val="00AB6886"/>
    <w:rsid w:val="00AB7D40"/>
    <w:rsid w:val="00AC11D8"/>
    <w:rsid w:val="00AC2AE6"/>
    <w:rsid w:val="00AE1A15"/>
    <w:rsid w:val="00AE2CD3"/>
    <w:rsid w:val="00AF555F"/>
    <w:rsid w:val="00AF7106"/>
    <w:rsid w:val="00AF735B"/>
    <w:rsid w:val="00B06A0C"/>
    <w:rsid w:val="00B115CD"/>
    <w:rsid w:val="00B119C6"/>
    <w:rsid w:val="00B276E1"/>
    <w:rsid w:val="00B33EA9"/>
    <w:rsid w:val="00B36E20"/>
    <w:rsid w:val="00B4165F"/>
    <w:rsid w:val="00B5066D"/>
    <w:rsid w:val="00B507AB"/>
    <w:rsid w:val="00B51504"/>
    <w:rsid w:val="00B54D65"/>
    <w:rsid w:val="00B64666"/>
    <w:rsid w:val="00B65369"/>
    <w:rsid w:val="00B763E5"/>
    <w:rsid w:val="00B76DB8"/>
    <w:rsid w:val="00B866D4"/>
    <w:rsid w:val="00B8681E"/>
    <w:rsid w:val="00B9264F"/>
    <w:rsid w:val="00B9364F"/>
    <w:rsid w:val="00B966ED"/>
    <w:rsid w:val="00BA2078"/>
    <w:rsid w:val="00BB0AFE"/>
    <w:rsid w:val="00BB7B1C"/>
    <w:rsid w:val="00BC2ADC"/>
    <w:rsid w:val="00BC2E33"/>
    <w:rsid w:val="00BC3ED4"/>
    <w:rsid w:val="00BD1844"/>
    <w:rsid w:val="00BD3708"/>
    <w:rsid w:val="00BD7642"/>
    <w:rsid w:val="00BD7A6A"/>
    <w:rsid w:val="00BE0E21"/>
    <w:rsid w:val="00BF442D"/>
    <w:rsid w:val="00BF71D3"/>
    <w:rsid w:val="00C159AD"/>
    <w:rsid w:val="00C26935"/>
    <w:rsid w:val="00C35132"/>
    <w:rsid w:val="00C42CA7"/>
    <w:rsid w:val="00C46F02"/>
    <w:rsid w:val="00C50860"/>
    <w:rsid w:val="00C53BFE"/>
    <w:rsid w:val="00C56D22"/>
    <w:rsid w:val="00C60BF3"/>
    <w:rsid w:val="00C66E2A"/>
    <w:rsid w:val="00C67DEC"/>
    <w:rsid w:val="00C71BA8"/>
    <w:rsid w:val="00C71C64"/>
    <w:rsid w:val="00C731C4"/>
    <w:rsid w:val="00C74BE8"/>
    <w:rsid w:val="00C7698B"/>
    <w:rsid w:val="00C844BF"/>
    <w:rsid w:val="00C9387E"/>
    <w:rsid w:val="00C9447A"/>
    <w:rsid w:val="00C96E20"/>
    <w:rsid w:val="00C97622"/>
    <w:rsid w:val="00CA7710"/>
    <w:rsid w:val="00CB17C5"/>
    <w:rsid w:val="00CC1BD2"/>
    <w:rsid w:val="00CC2B37"/>
    <w:rsid w:val="00CC4752"/>
    <w:rsid w:val="00CC4CA9"/>
    <w:rsid w:val="00CD140E"/>
    <w:rsid w:val="00CD73A4"/>
    <w:rsid w:val="00CF3652"/>
    <w:rsid w:val="00CF71EE"/>
    <w:rsid w:val="00D01E2F"/>
    <w:rsid w:val="00D0259D"/>
    <w:rsid w:val="00D12AEE"/>
    <w:rsid w:val="00D15FBE"/>
    <w:rsid w:val="00D160C8"/>
    <w:rsid w:val="00D22352"/>
    <w:rsid w:val="00D266C7"/>
    <w:rsid w:val="00D26CB1"/>
    <w:rsid w:val="00D31DDB"/>
    <w:rsid w:val="00D36EBD"/>
    <w:rsid w:val="00D46287"/>
    <w:rsid w:val="00D51537"/>
    <w:rsid w:val="00D54213"/>
    <w:rsid w:val="00D54C32"/>
    <w:rsid w:val="00D563AC"/>
    <w:rsid w:val="00D575AF"/>
    <w:rsid w:val="00D6300E"/>
    <w:rsid w:val="00D711A8"/>
    <w:rsid w:val="00D76795"/>
    <w:rsid w:val="00D82E62"/>
    <w:rsid w:val="00D86560"/>
    <w:rsid w:val="00D87832"/>
    <w:rsid w:val="00DA29D1"/>
    <w:rsid w:val="00DA2E74"/>
    <w:rsid w:val="00DA7A76"/>
    <w:rsid w:val="00DB037F"/>
    <w:rsid w:val="00DB11F2"/>
    <w:rsid w:val="00DC0748"/>
    <w:rsid w:val="00DC24E5"/>
    <w:rsid w:val="00DC5AFC"/>
    <w:rsid w:val="00DD1623"/>
    <w:rsid w:val="00DD7761"/>
    <w:rsid w:val="00DE404F"/>
    <w:rsid w:val="00DE52AF"/>
    <w:rsid w:val="00DE7772"/>
    <w:rsid w:val="00DF0461"/>
    <w:rsid w:val="00DF0CE8"/>
    <w:rsid w:val="00DF3853"/>
    <w:rsid w:val="00DF508E"/>
    <w:rsid w:val="00DF5772"/>
    <w:rsid w:val="00DF662F"/>
    <w:rsid w:val="00E12FDA"/>
    <w:rsid w:val="00E20FD5"/>
    <w:rsid w:val="00E22811"/>
    <w:rsid w:val="00E2418C"/>
    <w:rsid w:val="00E26374"/>
    <w:rsid w:val="00E305A0"/>
    <w:rsid w:val="00E36E7D"/>
    <w:rsid w:val="00E44C7A"/>
    <w:rsid w:val="00E558C1"/>
    <w:rsid w:val="00E55CFD"/>
    <w:rsid w:val="00E564BD"/>
    <w:rsid w:val="00E631E9"/>
    <w:rsid w:val="00E7163E"/>
    <w:rsid w:val="00E77C14"/>
    <w:rsid w:val="00E83E30"/>
    <w:rsid w:val="00E851B5"/>
    <w:rsid w:val="00E945EE"/>
    <w:rsid w:val="00E95A03"/>
    <w:rsid w:val="00E96CF7"/>
    <w:rsid w:val="00EA3C6E"/>
    <w:rsid w:val="00EA6B3F"/>
    <w:rsid w:val="00EC3FAB"/>
    <w:rsid w:val="00ED481D"/>
    <w:rsid w:val="00EE7498"/>
    <w:rsid w:val="00EF1F9B"/>
    <w:rsid w:val="00EF6BFB"/>
    <w:rsid w:val="00F0336A"/>
    <w:rsid w:val="00F0737E"/>
    <w:rsid w:val="00F13116"/>
    <w:rsid w:val="00F14F0D"/>
    <w:rsid w:val="00F15EDF"/>
    <w:rsid w:val="00F16124"/>
    <w:rsid w:val="00F177C3"/>
    <w:rsid w:val="00F269F5"/>
    <w:rsid w:val="00F26A8C"/>
    <w:rsid w:val="00F3659A"/>
    <w:rsid w:val="00F36E91"/>
    <w:rsid w:val="00F55BE4"/>
    <w:rsid w:val="00F60838"/>
    <w:rsid w:val="00F60D4B"/>
    <w:rsid w:val="00F624FF"/>
    <w:rsid w:val="00F62C8B"/>
    <w:rsid w:val="00F65FF5"/>
    <w:rsid w:val="00F706C0"/>
    <w:rsid w:val="00F813F3"/>
    <w:rsid w:val="00F927F2"/>
    <w:rsid w:val="00F957E6"/>
    <w:rsid w:val="00FA3BB5"/>
    <w:rsid w:val="00FA6D51"/>
    <w:rsid w:val="00FA76FB"/>
    <w:rsid w:val="00FB2C9E"/>
    <w:rsid w:val="00FB7B5A"/>
    <w:rsid w:val="00FC010C"/>
    <w:rsid w:val="00FE1529"/>
    <w:rsid w:val="00FF3DC0"/>
    <w:rsid w:val="00FF47D3"/>
    <w:rsid w:val="255A6741"/>
    <w:rsid w:val="28781A6F"/>
    <w:rsid w:val="2C94793D"/>
    <w:rsid w:val="2ECC0E3B"/>
    <w:rsid w:val="32462116"/>
    <w:rsid w:val="38646F20"/>
    <w:rsid w:val="3E483AD8"/>
    <w:rsid w:val="4FD94A5F"/>
    <w:rsid w:val="643E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57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957E6"/>
    <w:pPr>
      <w:widowControl/>
      <w:jc w:val="left"/>
      <w:outlineLvl w:val="1"/>
    </w:pPr>
    <w:rPr>
      <w:rFonts w:ascii="宋体" w:hAnsi="宋体" w:cs="宋体"/>
      <w:b/>
      <w:bCs/>
      <w:kern w:val="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57E6"/>
    <w:rPr>
      <w:sz w:val="18"/>
      <w:szCs w:val="18"/>
    </w:rPr>
  </w:style>
  <w:style w:type="paragraph" w:styleId="a4">
    <w:name w:val="footer"/>
    <w:basedOn w:val="a"/>
    <w:rsid w:val="00F9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9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957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F957E6"/>
    <w:rPr>
      <w:b/>
      <w:bCs/>
    </w:rPr>
  </w:style>
  <w:style w:type="character" w:styleId="a8">
    <w:name w:val="page number"/>
    <w:basedOn w:val="a0"/>
    <w:rsid w:val="00F957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7"/>
    <customShpInfo spid="_x0000_s2076"/>
    <customShpInfo spid="_x0000_s2075"/>
    <customShpInfo spid="_x0000_s2074"/>
    <customShpInfo spid="_x0000_s2072"/>
    <customShpInfo spid="_x0000_s2073"/>
    <customShpInfo spid="_x0000_s2061"/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83239-FF40-422B-8AAE-4B1CCEF1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2109</Words>
  <Characters>357</Characters>
  <Application>Microsoft Office Word</Application>
  <DocSecurity>8</DocSecurity>
  <Lines>2</Lines>
  <Paragraphs>4</Paragraphs>
  <ScaleCrop>false</ScaleCrop>
  <Company>China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尽职调查报告</dc:title>
  <dc:creator>谭睿</dc:creator>
  <cp:lastModifiedBy>毛涛</cp:lastModifiedBy>
  <cp:revision>3</cp:revision>
  <cp:lastPrinted>2018-07-05T01:45:00Z</cp:lastPrinted>
  <dcterms:created xsi:type="dcterms:W3CDTF">2019-12-17T08:12:00Z</dcterms:created>
  <dcterms:modified xsi:type="dcterms:W3CDTF">2019-12-25T08:42:00Z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