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line="500" w:lineRule="exact"/>
        <w:ind w:left="24" w:leftChars="10" w:right="-50" w:rightChars="-21" w:firstLine="0"/>
        <w:rPr>
          <w:rFonts w:eastAsia="楷体_GB2312"/>
          <w:b/>
          <w:color w:val="auto"/>
          <w:sz w:val="24"/>
          <w:highlight w:val="none"/>
        </w:rPr>
      </w:pPr>
      <w:bookmarkStart w:id="0" w:name="_Toc665"/>
      <w:bookmarkStart w:id="1" w:name="_Toc17885"/>
      <w:bookmarkStart w:id="2" w:name="_Toc30104"/>
      <w:bookmarkStart w:id="3" w:name="_Toc23476"/>
      <w:bookmarkStart w:id="4" w:name="_Toc25834"/>
      <w:bookmarkStart w:id="5" w:name="_Toc1538"/>
      <w:bookmarkStart w:id="6" w:name="_Toc898"/>
      <w:r>
        <w:rPr>
          <w:rFonts w:hint="eastAsia" w:eastAsia="楷体_GB2312"/>
          <w:b/>
          <w:color w:val="auto"/>
          <w:sz w:val="24"/>
          <w:highlight w:val="none"/>
          <w:lang w:eastAsia="zh-CN"/>
        </w:rPr>
        <w:t>施秉县人民法院</w:t>
      </w:r>
      <w:r>
        <w:rPr>
          <w:rFonts w:hint="eastAsia" w:eastAsia="楷体_GB2312"/>
          <w:b/>
          <w:color w:val="auto"/>
          <w:sz w:val="24"/>
          <w:highlight w:val="none"/>
        </w:rPr>
        <w:t>委托的</w:t>
      </w:r>
      <w:r>
        <w:rPr>
          <w:rFonts w:hint="eastAsia" w:eastAsia="楷体_GB2312"/>
          <w:b/>
          <w:color w:val="auto"/>
          <w:sz w:val="24"/>
          <w:highlight w:val="none"/>
          <w:lang w:eastAsia="zh-CN"/>
        </w:rPr>
        <w:t>徐建军</w:t>
      </w:r>
      <w:r>
        <w:rPr>
          <w:rFonts w:hint="eastAsia" w:eastAsia="楷体_GB2312"/>
          <w:b/>
          <w:color w:val="auto"/>
          <w:sz w:val="24"/>
          <w:highlight w:val="none"/>
        </w:rPr>
        <w:t>位于</w:t>
      </w:r>
      <w:r>
        <w:rPr>
          <w:rFonts w:hint="eastAsia" w:eastAsia="楷体_GB2312"/>
          <w:b/>
          <w:color w:val="auto"/>
          <w:sz w:val="24"/>
          <w:highlight w:val="none"/>
          <w:lang w:eastAsia="zh-CN"/>
        </w:rPr>
        <w:t>贵州省施秉县城关镇云台北路9号402号</w:t>
      </w:r>
      <w:r>
        <w:rPr>
          <w:rFonts w:hint="eastAsia" w:eastAsia="楷体_GB2312"/>
          <w:b/>
          <w:color w:val="auto"/>
          <w:sz w:val="24"/>
          <w:highlight w:val="none"/>
        </w:rPr>
        <w:t>住宅房地产市场价值评估</w:t>
      </w:r>
    </w:p>
    <w:p>
      <w:pPr>
        <w:pStyle w:val="5"/>
        <w:spacing w:line="500" w:lineRule="exact"/>
        <w:ind w:left="24" w:leftChars="10" w:right="-50" w:rightChars="-21" w:firstLine="0"/>
        <w:rPr>
          <w:rFonts w:eastAsia="楷体_GB2312"/>
          <w:b/>
          <w:color w:val="auto"/>
          <w:sz w:val="24"/>
          <w:highlight w:val="none"/>
        </w:rPr>
      </w:pPr>
      <w:r>
        <w:rPr>
          <w:rFonts w:eastAsia="楷体_GB2312"/>
          <w:b/>
          <w:color w:val="auto"/>
          <w:sz w:val="24"/>
          <w:highlight w:val="none"/>
        </w:rPr>
        <w:t>%BGNO_</w:t>
      </w:r>
      <w:r>
        <w:rPr>
          <w:rFonts w:hint="eastAsia" w:eastAsia="楷体_GB2312"/>
          <w:b/>
          <w:color w:val="auto"/>
          <w:sz w:val="24"/>
          <w:highlight w:val="none"/>
        </w:rPr>
        <w:t>F</w:t>
      </w:r>
      <w:r>
        <w:rPr>
          <w:rFonts w:eastAsia="楷体_GB2312"/>
          <w:b/>
          <w:color w:val="auto"/>
          <w:sz w:val="24"/>
          <w:highlight w:val="none"/>
        </w:rPr>
        <w:t>%</w:t>
      </w:r>
    </w:p>
    <w:p>
      <w:pPr>
        <w:ind w:right="240" w:rightChars="100"/>
        <w:jc w:val="both"/>
        <w:rPr>
          <w:rFonts w:eastAsia="仿宋"/>
          <w:b/>
          <w:bCs/>
          <w:color w:val="auto"/>
          <w:sz w:val="28"/>
          <w:szCs w:val="28"/>
          <w:highlight w:val="none"/>
        </w:rPr>
      </w:pPr>
    </w:p>
    <w:p>
      <w:pPr>
        <w:ind w:right="240" w:rightChars="100"/>
        <w:jc w:val="center"/>
        <w:rPr>
          <w:rFonts w:eastAsia="仿宋"/>
          <w:b/>
          <w:bCs/>
          <w:color w:val="auto"/>
          <w:sz w:val="28"/>
          <w:szCs w:val="28"/>
          <w:highlight w:val="none"/>
        </w:rPr>
      </w:pPr>
    </w:p>
    <w:p>
      <w:pPr>
        <w:ind w:right="240" w:rightChars="100"/>
        <w:jc w:val="center"/>
        <w:rPr>
          <w:rFonts w:eastAsia="仿宋"/>
          <w:b/>
          <w:bCs/>
          <w:color w:val="auto"/>
          <w:sz w:val="28"/>
          <w:szCs w:val="28"/>
          <w:highlight w:val="none"/>
        </w:rPr>
      </w:pPr>
    </w:p>
    <w:p>
      <w:pPr>
        <w:ind w:right="240" w:rightChars="100"/>
        <w:jc w:val="center"/>
        <w:rPr>
          <w:rFonts w:eastAsia="仿宋"/>
          <w:b/>
          <w:bCs/>
          <w:color w:val="auto"/>
          <w:sz w:val="28"/>
          <w:szCs w:val="28"/>
          <w:highlight w:val="none"/>
        </w:rPr>
      </w:pPr>
    </w:p>
    <w:p>
      <w:pPr>
        <w:ind w:right="240" w:rightChars="100"/>
        <w:jc w:val="center"/>
        <w:rPr>
          <w:rFonts w:eastAsia="仿宋"/>
          <w:b/>
          <w:bCs/>
          <w:color w:val="auto"/>
          <w:sz w:val="28"/>
          <w:szCs w:val="28"/>
          <w:highlight w:val="none"/>
        </w:rPr>
      </w:pPr>
    </w:p>
    <w:p>
      <w:pPr>
        <w:tabs>
          <w:tab w:val="left" w:pos="3863"/>
        </w:tabs>
        <w:ind w:right="240" w:rightChars="100"/>
        <w:rPr>
          <w:rFonts w:eastAsia="仿宋"/>
          <w:b/>
          <w:bCs/>
          <w:color w:val="auto"/>
          <w:sz w:val="28"/>
          <w:szCs w:val="28"/>
          <w:highlight w:val="none"/>
        </w:rPr>
      </w:pPr>
      <w:r>
        <w:rPr>
          <w:rFonts w:hint="eastAsia" w:eastAsia="仿宋"/>
          <w:b/>
          <w:bCs/>
          <w:color w:val="auto"/>
          <w:sz w:val="28"/>
          <w:szCs w:val="28"/>
          <w:highlight w:val="none"/>
        </w:rPr>
        <w:tab/>
      </w:r>
    </w:p>
    <w:p>
      <w:pPr>
        <w:ind w:right="240" w:rightChars="100"/>
        <w:jc w:val="center"/>
        <w:rPr>
          <w:rFonts w:eastAsia="仿宋"/>
          <w:b/>
          <w:bCs/>
          <w:color w:val="auto"/>
          <w:sz w:val="28"/>
          <w:szCs w:val="28"/>
          <w:highlight w:val="none"/>
        </w:rPr>
      </w:pPr>
    </w:p>
    <w:p>
      <w:pPr>
        <w:ind w:right="240" w:rightChars="100"/>
        <w:jc w:val="center"/>
        <w:rPr>
          <w:rFonts w:eastAsia="仿宋"/>
          <w:b/>
          <w:bCs/>
          <w:color w:val="auto"/>
          <w:sz w:val="28"/>
          <w:szCs w:val="28"/>
          <w:highlight w:val="none"/>
        </w:rPr>
      </w:pPr>
    </w:p>
    <w:p>
      <w:pPr>
        <w:ind w:right="240" w:rightChars="100"/>
        <w:jc w:val="center"/>
        <w:rPr>
          <w:rFonts w:eastAsia="仿宋"/>
          <w:b/>
          <w:bCs/>
          <w:color w:val="auto"/>
          <w:sz w:val="28"/>
          <w:szCs w:val="28"/>
          <w:highlight w:val="none"/>
        </w:rPr>
      </w:pPr>
    </w:p>
    <w:p>
      <w:pPr>
        <w:ind w:right="240" w:rightChars="100"/>
        <w:jc w:val="center"/>
        <w:rPr>
          <w:rFonts w:eastAsia="仿宋"/>
          <w:b/>
          <w:bCs/>
          <w:color w:val="auto"/>
          <w:sz w:val="28"/>
          <w:szCs w:val="28"/>
          <w:highlight w:val="none"/>
        </w:rPr>
      </w:pPr>
    </w:p>
    <w:p>
      <w:pPr>
        <w:ind w:right="240" w:rightChars="100"/>
        <w:jc w:val="center"/>
        <w:rPr>
          <w:rFonts w:eastAsia="仿宋"/>
          <w:b/>
          <w:bCs/>
          <w:color w:val="auto"/>
          <w:sz w:val="28"/>
          <w:szCs w:val="28"/>
          <w:highlight w:val="none"/>
        </w:rPr>
      </w:pPr>
      <w:r>
        <w:rPr>
          <w:rFonts w:hint="eastAsia" w:ascii="Times New Roman" w:hAnsi="Times New Roman" w:eastAsia="楷体_GB2312" w:cs="Times New Roman"/>
          <w:b/>
          <w:color w:val="auto"/>
          <w:spacing w:val="40"/>
          <w:kern w:val="44"/>
          <w:sz w:val="52"/>
          <w:szCs w:val="52"/>
          <w:highlight w:val="none"/>
        </w:rPr>
        <w:t>房地产司法鉴定估价报告</w:t>
      </w:r>
    </w:p>
    <w:p>
      <w:pPr>
        <w:ind w:right="240" w:rightChars="100"/>
        <w:jc w:val="center"/>
        <w:rPr>
          <w:rFonts w:eastAsia="仿宋"/>
          <w:b/>
          <w:bCs/>
          <w:color w:val="auto"/>
          <w:sz w:val="28"/>
          <w:szCs w:val="28"/>
          <w:highlight w:val="none"/>
        </w:rPr>
      </w:pPr>
    </w:p>
    <w:p>
      <w:pPr>
        <w:ind w:right="240" w:rightChars="100"/>
        <w:jc w:val="center"/>
        <w:rPr>
          <w:rFonts w:eastAsia="仿宋"/>
          <w:b/>
          <w:bCs/>
          <w:color w:val="auto"/>
          <w:sz w:val="28"/>
          <w:szCs w:val="28"/>
          <w:highlight w:val="none"/>
        </w:rPr>
      </w:pPr>
    </w:p>
    <w:p>
      <w:pPr>
        <w:ind w:right="240" w:rightChars="100"/>
        <w:jc w:val="center"/>
        <w:rPr>
          <w:rFonts w:eastAsia="仿宋"/>
          <w:b/>
          <w:bCs/>
          <w:color w:val="auto"/>
          <w:sz w:val="28"/>
          <w:szCs w:val="28"/>
          <w:highlight w:val="none"/>
        </w:rPr>
      </w:pPr>
    </w:p>
    <w:p>
      <w:pPr>
        <w:ind w:right="240" w:rightChars="100"/>
        <w:jc w:val="center"/>
        <w:rPr>
          <w:rFonts w:eastAsia="仿宋"/>
          <w:b/>
          <w:bCs/>
          <w:color w:val="auto"/>
          <w:sz w:val="28"/>
          <w:szCs w:val="28"/>
          <w:highlight w:val="none"/>
        </w:rPr>
      </w:pPr>
    </w:p>
    <w:p>
      <w:pPr>
        <w:ind w:right="240" w:rightChars="100"/>
        <w:jc w:val="center"/>
        <w:rPr>
          <w:rFonts w:eastAsia="仿宋"/>
          <w:b/>
          <w:bCs/>
          <w:color w:val="auto"/>
          <w:sz w:val="28"/>
          <w:szCs w:val="28"/>
          <w:highlight w:val="none"/>
        </w:rPr>
      </w:pPr>
    </w:p>
    <w:p>
      <w:pPr>
        <w:ind w:right="240" w:rightChars="100"/>
        <w:jc w:val="center"/>
        <w:rPr>
          <w:rFonts w:eastAsia="仿宋"/>
          <w:b/>
          <w:bCs/>
          <w:color w:val="auto"/>
          <w:sz w:val="28"/>
          <w:szCs w:val="28"/>
          <w:highlight w:val="none"/>
        </w:rPr>
      </w:pPr>
    </w:p>
    <w:p>
      <w:pPr>
        <w:pStyle w:val="2"/>
        <w:rPr>
          <w:color w:val="auto"/>
          <w:highlight w:val="none"/>
        </w:rPr>
      </w:pPr>
    </w:p>
    <w:p>
      <w:pPr>
        <w:ind w:right="240" w:rightChars="100"/>
        <w:jc w:val="center"/>
        <w:rPr>
          <w:rFonts w:eastAsia="仿宋"/>
          <w:b/>
          <w:bCs/>
          <w:color w:val="auto"/>
          <w:sz w:val="28"/>
          <w:szCs w:val="28"/>
          <w:highlight w:val="none"/>
        </w:rPr>
      </w:pPr>
    </w:p>
    <w:p>
      <w:pPr>
        <w:ind w:right="240" w:rightChars="100"/>
        <w:jc w:val="center"/>
        <w:rPr>
          <w:rFonts w:eastAsia="仿宋"/>
          <w:b/>
          <w:bCs/>
          <w:color w:val="auto"/>
          <w:sz w:val="28"/>
          <w:szCs w:val="28"/>
          <w:highlight w:val="none"/>
        </w:rPr>
      </w:pPr>
    </w:p>
    <w:p>
      <w:pPr>
        <w:ind w:right="240" w:rightChars="100"/>
        <w:jc w:val="both"/>
        <w:rPr>
          <w:rFonts w:eastAsia="仿宋"/>
          <w:b/>
          <w:bCs/>
          <w:color w:val="auto"/>
          <w:sz w:val="28"/>
          <w:szCs w:val="28"/>
          <w:highlight w:val="none"/>
        </w:rPr>
      </w:pPr>
    </w:p>
    <w:p>
      <w:pPr>
        <w:pStyle w:val="5"/>
        <w:spacing w:line="500" w:lineRule="exact"/>
        <w:ind w:left="1210" w:leftChars="17" w:right="-566" w:rightChars="-236" w:hanging="1169" w:hangingChars="485"/>
        <w:rPr>
          <w:rFonts w:eastAsia="楷体_GB2312"/>
          <w:b/>
          <w:color w:val="auto"/>
          <w:sz w:val="24"/>
          <w:highlight w:val="none"/>
        </w:rPr>
      </w:pPr>
    </w:p>
    <w:p>
      <w:pPr>
        <w:pStyle w:val="5"/>
        <w:spacing w:line="500" w:lineRule="exact"/>
        <w:ind w:left="1210" w:leftChars="17" w:right="-566" w:rightChars="-236" w:hanging="1169" w:hangingChars="485"/>
        <w:rPr>
          <w:rFonts w:eastAsia="楷体_GB2312"/>
          <w:b/>
          <w:color w:val="auto"/>
          <w:sz w:val="24"/>
          <w:highlight w:val="none"/>
        </w:rPr>
      </w:pPr>
      <w:r>
        <w:rPr>
          <w:rFonts w:eastAsia="楷体_GB2312"/>
          <w:b/>
          <w:color w:val="auto"/>
          <w:sz w:val="24"/>
          <w:highlight w:val="none"/>
        </w:rPr>
        <w:t>博文房地产</w:t>
      </w:r>
      <w:r>
        <w:rPr>
          <w:rFonts w:hint="eastAsia" w:eastAsia="楷体_GB2312"/>
          <w:b/>
          <w:color w:val="auto"/>
          <w:sz w:val="24"/>
          <w:highlight w:val="none"/>
        </w:rPr>
        <w:t>评估</w:t>
      </w:r>
      <w:r>
        <w:rPr>
          <w:rFonts w:eastAsia="楷体_GB2312"/>
          <w:b/>
          <w:color w:val="auto"/>
          <w:sz w:val="24"/>
          <w:highlight w:val="none"/>
        </w:rPr>
        <w:t>造</w:t>
      </w:r>
      <w:r>
        <w:rPr>
          <w:rFonts w:hint="eastAsia" w:eastAsia="楷体_GB2312"/>
          <w:b/>
          <w:color w:val="auto"/>
          <w:sz w:val="24"/>
          <w:highlight w:val="none"/>
        </w:rPr>
        <w:t>价集团</w:t>
      </w:r>
      <w:r>
        <w:rPr>
          <w:rFonts w:eastAsia="楷体_GB2312"/>
          <w:b/>
          <w:color w:val="auto"/>
          <w:sz w:val="24"/>
          <w:highlight w:val="none"/>
        </w:rPr>
        <w:t>有限公司</w:t>
      </w:r>
    </w:p>
    <w:p>
      <w:pPr>
        <w:pStyle w:val="5"/>
        <w:spacing w:line="500" w:lineRule="exact"/>
        <w:ind w:left="1210" w:leftChars="17" w:right="-566" w:rightChars="-236" w:hanging="1169" w:hangingChars="485"/>
        <w:rPr>
          <w:rFonts w:eastAsia="楷体_GB2312"/>
          <w:b/>
          <w:color w:val="auto"/>
          <w:sz w:val="24"/>
          <w:highlight w:val="none"/>
        </w:rPr>
      </w:pPr>
      <w:r>
        <w:rPr>
          <w:rFonts w:hint="eastAsia" w:eastAsia="楷体_GB2312"/>
          <w:b/>
          <w:color w:val="auto"/>
          <w:sz w:val="24"/>
          <w:highlight w:val="none"/>
        </w:rPr>
        <w:drawing>
          <wp:anchor distT="0" distB="0" distL="114300" distR="114300" simplePos="0" relativeHeight="251637760" behindDoc="0" locked="0" layoutInCell="1" allowOverlap="1">
            <wp:simplePos x="0" y="0"/>
            <wp:positionH relativeFrom="column">
              <wp:posOffset>5012690</wp:posOffset>
            </wp:positionH>
            <wp:positionV relativeFrom="paragraph">
              <wp:posOffset>237490</wp:posOffset>
            </wp:positionV>
            <wp:extent cx="760095" cy="762000"/>
            <wp:effectExtent l="0" t="0" r="1905" b="0"/>
            <wp:wrapNone/>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noChangeArrowheads="1"/>
                    </pic:cNvPicPr>
                  </pic:nvPicPr>
                  <pic:blipFill>
                    <a:blip r:embed="rId9" cstate="email"/>
                    <a:srcRect/>
                    <a:stretch>
                      <a:fillRect/>
                    </a:stretch>
                  </pic:blipFill>
                  <pic:spPr>
                    <a:xfrm>
                      <a:off x="0" y="0"/>
                      <a:ext cx="760095" cy="762000"/>
                    </a:xfrm>
                    <a:prstGeom prst="rect">
                      <a:avLst/>
                    </a:prstGeom>
                    <a:noFill/>
                  </pic:spPr>
                </pic:pic>
              </a:graphicData>
            </a:graphic>
          </wp:anchor>
        </w:drawing>
      </w:r>
      <w:r>
        <w:rPr>
          <w:rFonts w:hint="eastAsia" w:eastAsia="楷体_GB2312"/>
          <w:b/>
          <w:color w:val="auto"/>
          <w:sz w:val="24"/>
          <w:highlight w:val="none"/>
          <w:lang w:eastAsia="zh-CN"/>
        </w:rPr>
        <w:t>杨再成</w:t>
      </w:r>
      <w:r>
        <w:rPr>
          <w:rFonts w:hint="eastAsia" w:eastAsia="楷体_GB2312"/>
          <w:b/>
          <w:color w:val="auto"/>
          <w:sz w:val="24"/>
          <w:highlight w:val="none"/>
        </w:rPr>
        <w:t>（注册号</w:t>
      </w:r>
      <w:r>
        <w:rPr>
          <w:rFonts w:hint="eastAsia" w:eastAsia="楷体_GB2312"/>
          <w:b/>
          <w:color w:val="auto"/>
          <w:sz w:val="24"/>
          <w:highlight w:val="none"/>
          <w:lang w:eastAsia="zh-CN"/>
        </w:rPr>
        <w:t>5220190057</w:t>
      </w:r>
      <w:r>
        <w:rPr>
          <w:rFonts w:hint="eastAsia" w:eastAsia="楷体_GB2312"/>
          <w:b/>
          <w:color w:val="auto"/>
          <w:sz w:val="24"/>
          <w:highlight w:val="none"/>
        </w:rPr>
        <w:t>）</w:t>
      </w:r>
    </w:p>
    <w:p>
      <w:pPr>
        <w:pStyle w:val="5"/>
        <w:spacing w:line="500" w:lineRule="exact"/>
        <w:ind w:left="1210" w:leftChars="17" w:right="-566" w:rightChars="-236" w:hanging="1169" w:hangingChars="485"/>
        <w:rPr>
          <w:rFonts w:eastAsia="楷体_GB2312"/>
          <w:b/>
          <w:color w:val="auto"/>
          <w:sz w:val="24"/>
          <w:highlight w:val="none"/>
        </w:rPr>
      </w:pPr>
      <w:r>
        <w:rPr>
          <w:rFonts w:hint="eastAsia" w:eastAsia="楷体_GB2312"/>
          <w:b/>
          <w:color w:val="auto"/>
          <w:sz w:val="24"/>
          <w:highlight w:val="none"/>
          <w:lang w:eastAsia="zh-CN"/>
        </w:rPr>
        <w:t>王  飞</w:t>
      </w:r>
      <w:r>
        <w:rPr>
          <w:rFonts w:hint="eastAsia" w:eastAsia="楷体_GB2312"/>
          <w:b/>
          <w:color w:val="auto"/>
          <w:sz w:val="24"/>
          <w:highlight w:val="none"/>
        </w:rPr>
        <w:t>（注册号</w:t>
      </w:r>
      <w:r>
        <w:rPr>
          <w:rFonts w:hint="eastAsia" w:eastAsia="楷体_GB2312"/>
          <w:b/>
          <w:color w:val="auto"/>
          <w:sz w:val="24"/>
          <w:highlight w:val="none"/>
          <w:lang w:eastAsia="zh-CN"/>
        </w:rPr>
        <w:t>5220190022</w:t>
      </w:r>
      <w:r>
        <w:rPr>
          <w:rFonts w:hint="eastAsia" w:eastAsia="楷体_GB2312"/>
          <w:b/>
          <w:color w:val="auto"/>
          <w:sz w:val="24"/>
          <w:highlight w:val="none"/>
        </w:rPr>
        <w:t>）</w:t>
      </w:r>
    </w:p>
    <w:p>
      <w:pPr>
        <w:pStyle w:val="5"/>
        <w:spacing w:line="500" w:lineRule="exact"/>
        <w:ind w:left="1210" w:leftChars="17" w:right="-566" w:rightChars="-236" w:hanging="1169" w:hangingChars="485"/>
        <w:jc w:val="left"/>
        <w:rPr>
          <w:rFonts w:hint="eastAsia" w:eastAsia="楷体_GB2312"/>
          <w:b/>
          <w:color w:val="auto"/>
          <w:sz w:val="24"/>
          <w:highlight w:val="none"/>
          <w:lang w:eastAsia="zh-CN"/>
        </w:rPr>
      </w:pPr>
      <w:r>
        <w:rPr>
          <w:rFonts w:hint="eastAsia" w:eastAsia="楷体_GB2312"/>
          <w:b/>
          <w:color w:val="auto"/>
          <w:sz w:val="24"/>
          <w:highlight w:val="none"/>
          <w:lang w:eastAsia="zh-CN"/>
        </w:rPr>
        <w:t>2019年8月30日</w:t>
      </w:r>
    </w:p>
    <w:p>
      <w:pPr>
        <w:jc w:val="right"/>
        <w:rPr>
          <w:b/>
          <w:snapToGrid w:val="0"/>
          <w:color w:val="auto"/>
          <w:sz w:val="32"/>
          <w:szCs w:val="32"/>
          <w:highlight w:val="none"/>
        </w:rPr>
      </w:pPr>
    </w:p>
    <w:p>
      <w:pPr>
        <w:jc w:val="center"/>
        <w:rPr>
          <w:b/>
          <w:snapToGrid w:val="0"/>
          <w:color w:val="auto"/>
          <w:sz w:val="32"/>
          <w:szCs w:val="32"/>
          <w:highlight w:val="none"/>
        </w:rPr>
      </w:pPr>
      <w:r>
        <w:rPr>
          <w:rFonts w:hint="eastAsia"/>
          <w:b/>
          <w:color w:val="auto"/>
          <w:sz w:val="32"/>
          <w:szCs w:val="32"/>
          <w:highlight w:val="none"/>
        </w:rPr>
        <w:drawing>
          <wp:anchor distT="0" distB="0" distL="114300" distR="114300" simplePos="0" relativeHeight="251664384" behindDoc="0" locked="0" layoutInCell="1" allowOverlap="1">
            <wp:simplePos x="0" y="0"/>
            <wp:positionH relativeFrom="column">
              <wp:posOffset>5029200</wp:posOffset>
            </wp:positionH>
            <wp:positionV relativeFrom="paragraph">
              <wp:posOffset>20320</wp:posOffset>
            </wp:positionV>
            <wp:extent cx="762635" cy="758825"/>
            <wp:effectExtent l="0" t="0" r="18415" b="3175"/>
            <wp:wrapNone/>
            <wp:docPr id="3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二维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62779" cy="759125"/>
                    </a:xfrm>
                    <a:prstGeom prst="rect">
                      <a:avLst/>
                    </a:prstGeom>
                    <a:noFill/>
                    <a:ln>
                      <a:noFill/>
                    </a:ln>
                  </pic:spPr>
                </pic:pic>
              </a:graphicData>
            </a:graphic>
          </wp:anchor>
        </w:drawing>
      </w:r>
      <w:r>
        <w:rPr>
          <w:rFonts w:hint="eastAsia"/>
          <w:b/>
          <w:snapToGrid w:val="0"/>
          <w:color w:val="auto"/>
          <w:sz w:val="32"/>
          <w:szCs w:val="32"/>
          <w:highlight w:val="none"/>
        </w:rPr>
        <w:t>致估价委托人函</w:t>
      </w:r>
    </w:p>
    <w:p>
      <w:pPr>
        <w:jc w:val="center"/>
        <w:rPr>
          <w:b/>
          <w:snapToGrid w:val="0"/>
          <w:color w:val="auto"/>
          <w:sz w:val="32"/>
          <w:szCs w:val="32"/>
          <w:highlight w:val="none"/>
        </w:rPr>
      </w:pPr>
    </w:p>
    <w:p>
      <w:pPr>
        <w:adjustRightInd w:val="0"/>
        <w:spacing w:line="480" w:lineRule="exact"/>
        <w:rPr>
          <w:rFonts w:ascii="仿宋" w:hAnsi="仿宋" w:eastAsia="仿宋"/>
          <w:b/>
          <w:bCs/>
          <w:color w:val="auto"/>
          <w:highlight w:val="none"/>
        </w:rPr>
      </w:pPr>
      <w:r>
        <w:rPr>
          <w:rFonts w:hint="eastAsia" w:ascii="仿宋" w:hAnsi="仿宋" w:eastAsia="仿宋"/>
          <w:b/>
          <w:bCs/>
          <w:color w:val="auto"/>
          <w:highlight w:val="none"/>
          <w:lang w:eastAsia="zh-CN"/>
        </w:rPr>
        <w:t>施秉县人民法院</w:t>
      </w:r>
      <w:r>
        <w:rPr>
          <w:rFonts w:hint="eastAsia" w:ascii="仿宋" w:hAnsi="仿宋" w:eastAsia="仿宋"/>
          <w:b/>
          <w:bCs/>
          <w:color w:val="auto"/>
          <w:highlight w:val="none"/>
        </w:rPr>
        <w:t>：</w:t>
      </w:r>
    </w:p>
    <w:p>
      <w:pPr>
        <w:snapToGrid w:val="0"/>
        <w:spacing w:line="440" w:lineRule="exact"/>
        <w:ind w:right="50" w:rightChars="21" w:firstLine="600" w:firstLineChars="250"/>
        <w:jc w:val="both"/>
        <w:rPr>
          <w:rFonts w:ascii="仿宋" w:hAnsi="仿宋" w:eastAsia="仿宋"/>
          <w:snapToGrid w:val="0"/>
          <w:color w:val="auto"/>
          <w:highlight w:val="none"/>
        </w:rPr>
      </w:pPr>
      <w:r>
        <w:rPr>
          <w:rFonts w:hint="eastAsia" w:ascii="仿宋" w:hAnsi="仿宋" w:eastAsia="仿宋"/>
          <w:snapToGrid w:val="0"/>
          <w:color w:val="auto"/>
          <w:highlight w:val="none"/>
        </w:rPr>
        <w:t>受贵院委托，我公司成立以注册房地产估价师</w:t>
      </w:r>
      <w:r>
        <w:rPr>
          <w:rFonts w:hint="eastAsia" w:ascii="仿宋" w:hAnsi="仿宋" w:eastAsia="仿宋"/>
          <w:snapToGrid w:val="0"/>
          <w:color w:val="auto"/>
          <w:highlight w:val="none"/>
          <w:lang w:eastAsia="zh-CN"/>
        </w:rPr>
        <w:t>杨再成</w:t>
      </w:r>
      <w:r>
        <w:rPr>
          <w:rFonts w:hint="eastAsia" w:ascii="仿宋" w:hAnsi="仿宋" w:eastAsia="仿宋"/>
          <w:snapToGrid w:val="0"/>
          <w:color w:val="auto"/>
          <w:highlight w:val="none"/>
        </w:rPr>
        <w:t>为项目负责人的估价小组，依据现行法律、法规、政策、技术标准、估价委托人提供的资料和陈述的有关情况，经过实地查勘和市场调查，在充分考虑影响住宅</w:t>
      </w:r>
      <w:r>
        <w:rPr>
          <w:rFonts w:hint="eastAsia" w:ascii="仿宋" w:hAnsi="仿宋" w:eastAsia="仿宋"/>
          <w:color w:val="auto"/>
          <w:highlight w:val="none"/>
        </w:rPr>
        <w:t>用房</w:t>
      </w:r>
      <w:r>
        <w:rPr>
          <w:rFonts w:hint="eastAsia" w:ascii="仿宋" w:hAnsi="仿宋" w:eastAsia="仿宋"/>
          <w:snapToGrid w:val="0"/>
          <w:color w:val="auto"/>
          <w:highlight w:val="none"/>
        </w:rPr>
        <w:t>价值的各项因素的基础上，</w:t>
      </w:r>
      <w:r>
        <w:rPr>
          <w:rFonts w:hint="eastAsia" w:ascii="仿宋" w:hAnsi="仿宋" w:eastAsia="仿宋"/>
          <w:color w:val="auto"/>
          <w:highlight w:val="none"/>
        </w:rPr>
        <w:t>对</w:t>
      </w:r>
      <w:r>
        <w:rPr>
          <w:rFonts w:hint="eastAsia" w:ascii="仿宋" w:hAnsi="仿宋" w:eastAsia="仿宋"/>
          <w:color w:val="auto"/>
          <w:highlight w:val="none"/>
          <w:lang w:eastAsia="zh-CN"/>
        </w:rPr>
        <w:t>徐建军</w:t>
      </w:r>
      <w:r>
        <w:rPr>
          <w:rFonts w:hint="eastAsia" w:ascii="仿宋" w:hAnsi="仿宋" w:eastAsia="仿宋"/>
          <w:snapToGrid w:val="0"/>
          <w:color w:val="auto"/>
          <w:highlight w:val="none"/>
        </w:rPr>
        <w:t>位于</w:t>
      </w:r>
      <w:r>
        <w:rPr>
          <w:rFonts w:hint="eastAsia" w:ascii="仿宋" w:hAnsi="仿宋" w:eastAsia="仿宋"/>
          <w:snapToGrid w:val="0"/>
          <w:color w:val="auto"/>
          <w:highlight w:val="none"/>
          <w:lang w:eastAsia="zh-CN"/>
        </w:rPr>
        <w:t>贵州省施秉县城关镇云台北路9号402号</w:t>
      </w:r>
      <w:r>
        <w:rPr>
          <w:rFonts w:hint="eastAsia" w:ascii="仿宋" w:hAnsi="仿宋" w:eastAsia="仿宋"/>
          <w:snapToGrid w:val="0"/>
          <w:color w:val="auto"/>
          <w:highlight w:val="none"/>
        </w:rPr>
        <w:t>住宅房地产市场价值进行了评估。</w:t>
      </w:r>
    </w:p>
    <w:p>
      <w:pPr>
        <w:numPr>
          <w:ilvl w:val="0"/>
          <w:numId w:val="1"/>
        </w:numPr>
        <w:adjustRightInd w:val="0"/>
        <w:spacing w:line="480" w:lineRule="exact"/>
        <w:ind w:right="50" w:rightChars="21" w:firstLine="480" w:firstLineChars="200"/>
        <w:jc w:val="both"/>
        <w:rPr>
          <w:rFonts w:ascii="仿宋" w:hAnsi="仿宋" w:eastAsia="仿宋"/>
          <w:color w:val="auto"/>
          <w:highlight w:val="none"/>
        </w:rPr>
      </w:pPr>
      <w:r>
        <w:rPr>
          <w:rFonts w:hint="eastAsia" w:ascii="仿宋" w:hAnsi="仿宋" w:eastAsia="仿宋"/>
          <w:snapToGrid w:val="0"/>
          <w:color w:val="auto"/>
          <w:highlight w:val="none"/>
        </w:rPr>
        <w:t>估价对象：本次估价对象位于</w:t>
      </w:r>
      <w:r>
        <w:rPr>
          <w:rFonts w:hint="eastAsia" w:ascii="仿宋" w:hAnsi="仿宋" w:eastAsia="仿宋"/>
          <w:snapToGrid w:val="0"/>
          <w:color w:val="auto"/>
          <w:highlight w:val="none"/>
          <w:lang w:eastAsia="zh-CN"/>
        </w:rPr>
        <w:t>贵州省施秉县城关镇云台北路9号402号</w:t>
      </w:r>
      <w:r>
        <w:rPr>
          <w:rFonts w:hint="eastAsia" w:ascii="仿宋" w:hAnsi="仿宋" w:eastAsia="仿宋"/>
          <w:snapToGrid w:val="0"/>
          <w:color w:val="auto"/>
          <w:highlight w:val="none"/>
        </w:rPr>
        <w:t>住宅房地产，房屋所有权为</w:t>
      </w:r>
      <w:r>
        <w:rPr>
          <w:rFonts w:hint="eastAsia" w:ascii="仿宋" w:hAnsi="仿宋" w:eastAsia="仿宋"/>
          <w:color w:val="auto"/>
          <w:highlight w:val="none"/>
          <w:lang w:eastAsia="zh-CN"/>
        </w:rPr>
        <w:t>徐建军</w:t>
      </w:r>
      <w:r>
        <w:rPr>
          <w:rFonts w:hint="eastAsia" w:ascii="仿宋" w:hAnsi="仿宋" w:eastAsia="仿宋"/>
          <w:color w:val="auto"/>
          <w:highlight w:val="none"/>
        </w:rPr>
        <w:t>所有</w:t>
      </w:r>
      <w:r>
        <w:rPr>
          <w:rFonts w:hint="eastAsia" w:ascii="仿宋" w:hAnsi="仿宋" w:eastAsia="仿宋"/>
          <w:snapToGrid w:val="0"/>
          <w:color w:val="auto"/>
          <w:highlight w:val="none"/>
        </w:rPr>
        <w:t>，</w:t>
      </w:r>
      <w:r>
        <w:rPr>
          <w:rFonts w:hint="eastAsia" w:ascii="仿宋" w:hAnsi="仿宋" w:eastAsia="仿宋"/>
          <w:color w:val="auto"/>
          <w:highlight w:val="none"/>
        </w:rPr>
        <w:t>根据委托人提供的</w:t>
      </w:r>
      <w:r>
        <w:rPr>
          <w:rFonts w:hint="eastAsia" w:ascii="仿宋" w:hAnsi="仿宋" w:eastAsia="仿宋"/>
          <w:snapToGrid w:val="0"/>
          <w:color w:val="auto"/>
          <w:highlight w:val="none"/>
        </w:rPr>
        <w:t>《</w:t>
      </w:r>
      <w:r>
        <w:rPr>
          <w:rFonts w:hint="eastAsia" w:ascii="仿宋" w:hAnsi="仿宋" w:eastAsia="仿宋"/>
          <w:snapToGrid w:val="0"/>
          <w:color w:val="auto"/>
          <w:highlight w:val="none"/>
          <w:lang w:eastAsia="zh-CN"/>
        </w:rPr>
        <w:t>个人不动产信息情况证明</w:t>
      </w:r>
      <w:r>
        <w:rPr>
          <w:rFonts w:hint="eastAsia" w:ascii="仿宋" w:hAnsi="仿宋" w:eastAsia="仿宋"/>
          <w:snapToGrid w:val="0"/>
          <w:color w:val="auto"/>
          <w:highlight w:val="none"/>
        </w:rPr>
        <w:t>》，</w:t>
      </w:r>
      <w:r>
        <w:rPr>
          <w:rFonts w:hint="eastAsia" w:ascii="仿宋" w:hAnsi="仿宋" w:eastAsia="仿宋"/>
          <w:snapToGrid w:val="0"/>
          <w:color w:val="auto"/>
          <w:highlight w:val="none"/>
          <w:lang w:eastAsia="zh-CN"/>
        </w:rPr>
        <w:t>房屋用途为成套住宅，</w:t>
      </w:r>
      <w:r>
        <w:rPr>
          <w:rFonts w:hint="eastAsia" w:ascii="仿宋" w:hAnsi="仿宋" w:eastAsia="仿宋"/>
          <w:snapToGrid w:val="0"/>
          <w:color w:val="auto"/>
          <w:highlight w:val="none"/>
        </w:rPr>
        <w:t>建筑面积</w:t>
      </w:r>
      <w:r>
        <w:rPr>
          <w:rFonts w:hint="eastAsia" w:ascii="仿宋" w:hAnsi="仿宋" w:eastAsia="仿宋"/>
          <w:snapToGrid w:val="0"/>
          <w:color w:val="auto"/>
          <w:highlight w:val="none"/>
          <w:lang w:eastAsia="zh-CN"/>
        </w:rPr>
        <w:t>为230.28</w:t>
      </w:r>
      <w:r>
        <w:rPr>
          <w:rFonts w:hint="eastAsia" w:ascii="仿宋" w:hAnsi="仿宋" w:eastAsia="仿宋"/>
          <w:snapToGrid w:val="0"/>
          <w:color w:val="auto"/>
          <w:highlight w:val="none"/>
        </w:rPr>
        <w:t>㎡（楼中楼）</w:t>
      </w:r>
      <w:r>
        <w:rPr>
          <w:rFonts w:hint="eastAsia" w:ascii="仿宋" w:hAnsi="仿宋" w:eastAsia="仿宋"/>
          <w:snapToGrid w:val="0"/>
          <w:color w:val="auto"/>
          <w:highlight w:val="none"/>
          <w:lang w:eastAsia="zh-CN"/>
        </w:rPr>
        <w:t>，</w:t>
      </w:r>
      <w:r>
        <w:rPr>
          <w:rFonts w:hint="eastAsia" w:ascii="仿宋" w:hAnsi="仿宋" w:eastAsia="仿宋"/>
          <w:color w:val="auto"/>
          <w:highlight w:val="none"/>
          <w:lang w:eastAsia="zh-CN"/>
        </w:rPr>
        <w:t>砖混结构，建于</w:t>
      </w:r>
      <w:r>
        <w:rPr>
          <w:rFonts w:hint="eastAsia" w:ascii="仿宋" w:hAnsi="仿宋" w:eastAsia="仿宋"/>
          <w:color w:val="auto"/>
          <w:highlight w:val="none"/>
          <w:lang w:val="en-US" w:eastAsia="zh-CN"/>
        </w:rPr>
        <w:t>2008</w:t>
      </w:r>
      <w:r>
        <w:rPr>
          <w:rFonts w:hint="eastAsia" w:ascii="仿宋" w:hAnsi="仿宋" w:eastAsia="仿宋"/>
          <w:color w:val="auto"/>
          <w:highlight w:val="none"/>
          <w:lang w:eastAsia="zh-CN"/>
        </w:rPr>
        <w:t>年。</w:t>
      </w:r>
      <w:r>
        <w:rPr>
          <w:rFonts w:hint="eastAsia" w:ascii="仿宋" w:hAnsi="仿宋" w:eastAsia="仿宋"/>
          <w:color w:val="auto"/>
          <w:highlight w:val="none"/>
        </w:rPr>
        <w:t>列入本次估价范围的是房屋及所分摊的建设用地使用权</w:t>
      </w:r>
      <w:r>
        <w:rPr>
          <w:rFonts w:hint="eastAsia" w:ascii="仿宋" w:hAnsi="仿宋" w:eastAsia="仿宋"/>
          <w:snapToGrid w:val="0"/>
          <w:color w:val="auto"/>
          <w:highlight w:val="none"/>
        </w:rPr>
        <w:t>、以及按二手房交易市场通常应当包含的装饰装修价值，不包括动产、构筑物、树木等，以及债权债务、特许经营权等其他财产或权益。</w:t>
      </w:r>
    </w:p>
    <w:p>
      <w:pPr>
        <w:snapToGrid w:val="0"/>
        <w:spacing w:line="440" w:lineRule="exact"/>
        <w:ind w:right="50" w:rightChars="21" w:firstLine="480" w:firstLineChars="200"/>
        <w:jc w:val="both"/>
        <w:rPr>
          <w:rFonts w:ascii="仿宋" w:hAnsi="仿宋" w:eastAsia="仿宋"/>
          <w:snapToGrid w:val="0"/>
          <w:color w:val="auto"/>
          <w:highlight w:val="none"/>
        </w:rPr>
      </w:pPr>
      <w:r>
        <w:rPr>
          <w:rFonts w:hint="eastAsia" w:ascii="仿宋" w:hAnsi="仿宋" w:eastAsia="仿宋"/>
          <w:snapToGrid w:val="0"/>
          <w:color w:val="auto"/>
          <w:highlight w:val="none"/>
        </w:rPr>
        <w:t>2、估价目的：</w:t>
      </w:r>
      <w:r>
        <w:rPr>
          <w:rFonts w:hint="eastAsia" w:ascii="仿宋" w:hAnsi="仿宋" w:eastAsia="仿宋"/>
          <w:snapToGrid w:val="0"/>
          <w:color w:val="auto"/>
          <w:highlight w:val="none"/>
          <w:lang w:eastAsia="zh-CN"/>
        </w:rPr>
        <w:t>为司法拍卖（变卖）提供房地产市场价值参考依据</w:t>
      </w:r>
      <w:r>
        <w:rPr>
          <w:rFonts w:hint="eastAsia" w:ascii="仿宋" w:hAnsi="仿宋" w:eastAsia="仿宋"/>
          <w:snapToGrid w:val="0"/>
          <w:color w:val="auto"/>
          <w:highlight w:val="none"/>
        </w:rPr>
        <w:t>。</w:t>
      </w:r>
    </w:p>
    <w:p>
      <w:pPr>
        <w:snapToGrid w:val="0"/>
        <w:spacing w:line="440" w:lineRule="exact"/>
        <w:ind w:right="50" w:rightChars="21" w:firstLine="480" w:firstLineChars="200"/>
        <w:jc w:val="both"/>
        <w:rPr>
          <w:rFonts w:ascii="仿宋" w:hAnsi="仿宋" w:eastAsia="仿宋"/>
          <w:snapToGrid w:val="0"/>
          <w:color w:val="auto"/>
          <w:highlight w:val="none"/>
        </w:rPr>
      </w:pPr>
      <w:r>
        <w:rPr>
          <w:rFonts w:hint="eastAsia" w:ascii="仿宋" w:hAnsi="仿宋" w:eastAsia="仿宋"/>
          <w:snapToGrid w:val="0"/>
          <w:color w:val="auto"/>
          <w:highlight w:val="none"/>
        </w:rPr>
        <w:t>3、价值时点：</w:t>
      </w:r>
      <w:r>
        <w:rPr>
          <w:rFonts w:hint="eastAsia" w:ascii="仿宋" w:hAnsi="仿宋" w:eastAsia="仿宋"/>
          <w:snapToGrid w:val="0"/>
          <w:color w:val="auto"/>
          <w:highlight w:val="none"/>
          <w:lang w:eastAsia="zh-CN"/>
        </w:rPr>
        <w:t>2019年8月26日</w:t>
      </w:r>
      <w:r>
        <w:rPr>
          <w:rFonts w:hint="eastAsia" w:ascii="仿宋" w:hAnsi="仿宋" w:eastAsia="仿宋"/>
          <w:snapToGrid w:val="0"/>
          <w:color w:val="auto"/>
          <w:highlight w:val="none"/>
        </w:rPr>
        <w:t>。</w:t>
      </w:r>
    </w:p>
    <w:p>
      <w:pPr>
        <w:snapToGrid w:val="0"/>
        <w:spacing w:line="440" w:lineRule="exact"/>
        <w:ind w:right="50" w:rightChars="21" w:firstLine="480" w:firstLineChars="200"/>
        <w:jc w:val="both"/>
        <w:rPr>
          <w:rFonts w:ascii="仿宋" w:hAnsi="仿宋" w:eastAsia="仿宋"/>
          <w:snapToGrid w:val="0"/>
          <w:color w:val="auto"/>
          <w:highlight w:val="none"/>
        </w:rPr>
      </w:pPr>
      <w:r>
        <w:rPr>
          <w:rFonts w:hint="eastAsia" w:ascii="仿宋" w:hAnsi="仿宋" w:eastAsia="仿宋"/>
          <w:snapToGrid w:val="0"/>
          <w:color w:val="auto"/>
          <w:highlight w:val="none"/>
        </w:rPr>
        <w:t>4、估价依据：《中华人民共和国资产评估法》、《物权法》、《房地产估价规范》（GB/T 50291-2015）、《房地产估价基本术语标准》（GB/T 50899-2013）、《贵州省涉案财物价格鉴定操作规程》（试行）等有关法律法规政策规定。</w:t>
      </w:r>
    </w:p>
    <w:p>
      <w:pPr>
        <w:snapToGrid w:val="0"/>
        <w:spacing w:line="440" w:lineRule="exact"/>
        <w:ind w:right="50" w:rightChars="21" w:firstLine="480" w:firstLineChars="200"/>
        <w:jc w:val="both"/>
        <w:rPr>
          <w:rFonts w:ascii="仿宋" w:hAnsi="仿宋" w:eastAsia="仿宋"/>
          <w:snapToGrid w:val="0"/>
          <w:color w:val="auto"/>
          <w:highlight w:val="none"/>
        </w:rPr>
      </w:pPr>
      <w:r>
        <w:rPr>
          <w:rFonts w:hint="eastAsia" w:ascii="仿宋" w:hAnsi="仿宋" w:eastAsia="仿宋"/>
          <w:snapToGrid w:val="0"/>
          <w:color w:val="auto"/>
          <w:highlight w:val="none"/>
        </w:rPr>
        <w:t>5、价值类型：本次评估采用的价值类型为房地产的市场价值，由熟悉情况的交易双方以公平交易方式在价值时点自愿进行交易的金额，且未考虑租赁、抵押、查封等因素对其价值的影响。</w:t>
      </w:r>
    </w:p>
    <w:p>
      <w:pPr>
        <w:snapToGrid w:val="0"/>
        <w:spacing w:line="440" w:lineRule="exact"/>
        <w:ind w:right="50" w:rightChars="21" w:firstLine="480" w:firstLineChars="200"/>
        <w:jc w:val="both"/>
        <w:rPr>
          <w:rFonts w:ascii="仿宋" w:hAnsi="仿宋" w:eastAsia="仿宋"/>
          <w:color w:val="auto"/>
          <w:highlight w:val="none"/>
        </w:rPr>
      </w:pPr>
      <w:r>
        <w:rPr>
          <w:rFonts w:hint="eastAsia" w:ascii="仿宋" w:hAnsi="仿宋" w:eastAsia="仿宋"/>
          <w:color w:val="auto"/>
          <w:highlight w:val="none"/>
        </w:rPr>
        <w:t>6、估价方法：比较法。</w:t>
      </w:r>
    </w:p>
    <w:p>
      <w:pPr>
        <w:snapToGrid w:val="0"/>
        <w:spacing w:line="440" w:lineRule="exact"/>
        <w:ind w:right="50" w:rightChars="21" w:firstLine="480" w:firstLineChars="200"/>
        <w:jc w:val="both"/>
        <w:rPr>
          <w:rFonts w:ascii="仿宋" w:hAnsi="仿宋" w:eastAsia="仿宋"/>
          <w:b/>
          <w:bCs/>
          <w:color w:val="auto"/>
          <w:highlight w:val="none"/>
        </w:rPr>
      </w:pPr>
      <w:r>
        <w:rPr>
          <w:rFonts w:hint="eastAsia" w:ascii="仿宋" w:hAnsi="仿宋" w:eastAsia="仿宋"/>
          <w:color w:val="auto"/>
          <w:highlight w:val="none"/>
        </w:rPr>
        <w:t>7、估价结果：注册房地产估价师进行周密的计算、分析、测算和判断，确定估价对象在价值时点满足本报告“估价假设和限制条件”下的估价结果为：</w:t>
      </w:r>
    </w:p>
    <w:p>
      <w:pPr>
        <w:adjustRightInd w:val="0"/>
        <w:spacing w:line="480" w:lineRule="exact"/>
        <w:ind w:firstLine="482" w:firstLineChars="200"/>
        <w:rPr>
          <w:rFonts w:ascii="仿宋" w:hAnsi="仿宋" w:eastAsia="仿宋"/>
          <w:b/>
          <w:bCs/>
          <w:color w:val="auto"/>
          <w:highlight w:val="none"/>
        </w:rPr>
      </w:pPr>
      <w:r>
        <w:rPr>
          <w:rFonts w:hint="eastAsia" w:ascii="仿宋" w:hAnsi="仿宋" w:eastAsia="仿宋"/>
          <w:b/>
          <w:bCs/>
          <w:color w:val="auto"/>
          <w:highlight w:val="none"/>
        </w:rPr>
        <w:t>单价：</w:t>
      </w:r>
      <w:r>
        <w:rPr>
          <w:rFonts w:hint="eastAsia" w:ascii="仿宋" w:hAnsi="仿宋" w:eastAsia="仿宋"/>
          <w:b/>
          <w:bCs/>
          <w:color w:val="auto"/>
          <w:highlight w:val="none"/>
          <w:lang w:eastAsia="zh-CN"/>
        </w:rPr>
        <w:t>3950</w:t>
      </w:r>
      <w:r>
        <w:rPr>
          <w:rFonts w:hint="eastAsia" w:ascii="仿宋" w:hAnsi="仿宋" w:eastAsia="仿宋"/>
          <w:b/>
          <w:bCs/>
          <w:color w:val="auto"/>
          <w:highlight w:val="none"/>
          <w:lang w:val="zh-CN"/>
        </w:rPr>
        <w:t>元/m</w:t>
      </w:r>
      <w:r>
        <w:rPr>
          <w:rFonts w:hint="eastAsia" w:ascii="仿宋" w:hAnsi="仿宋" w:eastAsia="仿宋"/>
          <w:b/>
          <w:bCs/>
          <w:color w:val="auto"/>
          <w:highlight w:val="none"/>
          <w:vertAlign w:val="superscript"/>
          <w:lang w:val="zh-CN"/>
        </w:rPr>
        <w:t>2</w:t>
      </w:r>
    </w:p>
    <w:p>
      <w:pPr>
        <w:snapToGrid w:val="0"/>
        <w:spacing w:line="440" w:lineRule="exact"/>
        <w:ind w:right="50" w:rightChars="21" w:firstLine="482" w:firstLineChars="200"/>
        <w:jc w:val="both"/>
        <w:rPr>
          <w:rFonts w:ascii="仿宋" w:hAnsi="仿宋" w:eastAsia="仿宋"/>
          <w:b/>
          <w:bCs/>
          <w:color w:val="auto"/>
          <w:highlight w:val="none"/>
        </w:rPr>
      </w:pPr>
      <w:r>
        <w:rPr>
          <w:rFonts w:hint="eastAsia" w:ascii="仿宋" w:hAnsi="仿宋" w:eastAsia="仿宋"/>
          <w:b/>
          <w:bCs/>
          <w:color w:val="auto"/>
          <w:highlight w:val="none"/>
        </w:rPr>
        <w:t>总价：</w:t>
      </w:r>
      <w:r>
        <w:rPr>
          <w:rFonts w:hint="eastAsia" w:ascii="仿宋" w:hAnsi="仿宋" w:eastAsia="仿宋"/>
          <w:b/>
          <w:bCs/>
          <w:color w:val="auto"/>
          <w:highlight w:val="none"/>
          <w:lang w:eastAsia="zh-CN"/>
        </w:rPr>
        <w:t>91.01万</w:t>
      </w:r>
      <w:r>
        <w:rPr>
          <w:rFonts w:hint="eastAsia" w:ascii="仿宋" w:hAnsi="仿宋" w:eastAsia="仿宋"/>
          <w:b/>
          <w:bCs/>
          <w:color w:val="auto"/>
          <w:highlight w:val="none"/>
        </w:rPr>
        <w:t>元</w:t>
      </w:r>
    </w:p>
    <w:p>
      <w:pPr>
        <w:snapToGrid w:val="0"/>
        <w:spacing w:line="440" w:lineRule="exact"/>
        <w:ind w:right="50" w:rightChars="21" w:firstLine="482" w:firstLineChars="200"/>
        <w:jc w:val="both"/>
        <w:rPr>
          <w:rFonts w:ascii="仿宋" w:hAnsi="仿宋" w:eastAsia="仿宋"/>
          <w:bCs/>
          <w:color w:val="auto"/>
          <w:highlight w:val="none"/>
        </w:rPr>
      </w:pPr>
      <w:r>
        <w:rPr>
          <w:rFonts w:hint="eastAsia" w:ascii="仿宋" w:hAnsi="仿宋" w:eastAsia="仿宋"/>
          <w:b/>
          <w:bCs/>
          <w:color w:val="auto"/>
          <w:highlight w:val="none"/>
        </w:rPr>
        <w:t>大写：人民币</w:t>
      </w:r>
      <w:r>
        <w:rPr>
          <w:rFonts w:hint="eastAsia" w:ascii="仿宋" w:hAnsi="仿宋" w:eastAsia="仿宋"/>
          <w:b/>
          <w:bCs/>
          <w:color w:val="auto"/>
          <w:highlight w:val="none"/>
          <w:lang w:eastAsia="zh-CN"/>
        </w:rPr>
        <w:t>玖拾壹万零壹佰</w:t>
      </w:r>
      <w:r>
        <w:rPr>
          <w:rFonts w:hint="eastAsia" w:ascii="仿宋" w:hAnsi="仿宋" w:eastAsia="仿宋"/>
          <w:b/>
          <w:bCs/>
          <w:color w:val="auto"/>
          <w:highlight w:val="none"/>
        </w:rPr>
        <w:t>元整</w:t>
      </w:r>
    </w:p>
    <w:p>
      <w:pPr>
        <w:snapToGrid w:val="0"/>
        <w:spacing w:line="540" w:lineRule="exact"/>
        <w:ind w:right="50" w:rightChars="21" w:firstLine="480" w:firstLineChars="200"/>
        <w:jc w:val="both"/>
        <w:rPr>
          <w:rFonts w:ascii="仿宋" w:hAnsi="仿宋" w:eastAsia="仿宋" w:cs="仿宋_GB2312"/>
          <w:color w:val="auto"/>
          <w:highlight w:val="none"/>
        </w:rPr>
      </w:pPr>
      <w:r>
        <w:rPr>
          <w:rFonts w:hint="eastAsia" w:ascii="仿宋" w:hAnsi="仿宋" w:eastAsia="仿宋" w:cs="仿宋_GB2312"/>
          <w:color w:val="auto"/>
          <w:highlight w:val="none"/>
        </w:rPr>
        <w:t>8、特别提示：</w:t>
      </w:r>
    </w:p>
    <w:p>
      <w:pPr>
        <w:snapToGrid w:val="0"/>
        <w:spacing w:line="540" w:lineRule="exact"/>
        <w:ind w:right="50" w:rightChars="21" w:firstLine="480" w:firstLineChars="200"/>
        <w:jc w:val="both"/>
        <w:rPr>
          <w:rFonts w:ascii="仿宋" w:hAnsi="仿宋" w:eastAsia="仿宋" w:cs="仿宋_GB2312"/>
          <w:color w:val="auto"/>
          <w:highlight w:val="none"/>
        </w:rPr>
      </w:pPr>
      <w:r>
        <w:rPr>
          <w:rFonts w:hint="eastAsia" w:ascii="仿宋" w:hAnsi="仿宋" w:eastAsia="仿宋" w:cs="仿宋_GB2312"/>
          <w:color w:val="auto"/>
          <w:highlight w:val="none"/>
        </w:rPr>
        <w:t>（1）报告使用人在使用本估价报告之前须对报告全文，特别是“估价假设和限制条件”认真阅读，以免使用不当，造成损失。</w:t>
      </w:r>
    </w:p>
    <w:p>
      <w:pPr>
        <w:snapToGrid w:val="0"/>
        <w:spacing w:line="540" w:lineRule="exact"/>
        <w:ind w:right="50" w:rightChars="21" w:firstLine="480" w:firstLineChars="200"/>
        <w:jc w:val="both"/>
        <w:rPr>
          <w:rFonts w:ascii="仿宋" w:hAnsi="仿宋" w:eastAsia="仿宋" w:cs="仿宋_GB2312"/>
          <w:color w:val="auto"/>
          <w:highlight w:val="none"/>
        </w:rPr>
      </w:pPr>
      <w:r>
        <w:rPr>
          <w:rFonts w:hint="eastAsia" w:ascii="仿宋" w:hAnsi="仿宋" w:eastAsia="仿宋" w:cs="仿宋_GB2312"/>
          <w:color w:val="auto"/>
          <w:highlight w:val="none"/>
        </w:rPr>
        <w:t>（2）本估价报告使用期限为壹年，自估价报告出具之日</w:t>
      </w:r>
      <w:r>
        <w:rPr>
          <w:rFonts w:hint="eastAsia" w:ascii="仿宋" w:hAnsi="仿宋" w:eastAsia="仿宋" w:cs="仿宋_GB2312"/>
          <w:color w:val="auto"/>
          <w:highlight w:val="none"/>
          <w:lang w:eastAsia="zh-CN"/>
        </w:rPr>
        <w:t>2019年8月30日至2020年8月29日</w:t>
      </w:r>
      <w:r>
        <w:rPr>
          <w:rFonts w:hint="eastAsia" w:ascii="仿宋" w:hAnsi="仿宋" w:eastAsia="仿宋" w:cs="仿宋_GB2312"/>
          <w:color w:val="auto"/>
          <w:highlight w:val="none"/>
        </w:rPr>
        <w:t>止。</w:t>
      </w:r>
    </w:p>
    <w:p>
      <w:pPr>
        <w:snapToGrid w:val="0"/>
        <w:spacing w:line="500" w:lineRule="exact"/>
        <w:ind w:right="50" w:rightChars="21" w:firstLine="480" w:firstLineChars="200"/>
        <w:jc w:val="both"/>
        <w:rPr>
          <w:rFonts w:ascii="仿宋" w:hAnsi="仿宋" w:eastAsia="仿宋"/>
          <w:color w:val="auto"/>
          <w:highlight w:val="none"/>
        </w:rPr>
      </w:pPr>
      <w:r>
        <w:rPr>
          <w:rFonts w:hint="eastAsia" w:ascii="仿宋" w:hAnsi="仿宋" w:eastAsia="仿宋" w:cs="仿宋_GB2312"/>
          <w:color w:val="auto"/>
          <w:highlight w:val="none"/>
        </w:rPr>
        <w:t>此函</w:t>
      </w:r>
    </w:p>
    <w:p>
      <w:pPr>
        <w:snapToGrid w:val="0"/>
        <w:spacing w:line="500" w:lineRule="exact"/>
        <w:ind w:right="480" w:rightChars="200"/>
        <w:rPr>
          <w:rFonts w:ascii="仿宋" w:hAnsi="仿宋" w:eastAsia="仿宋"/>
          <w:color w:val="auto"/>
          <w:highlight w:val="none"/>
        </w:rPr>
      </w:pPr>
    </w:p>
    <w:p>
      <w:pPr>
        <w:spacing w:line="312" w:lineRule="auto"/>
        <w:ind w:right="240" w:rightChars="100" w:firstLine="6105" w:firstLineChars="2544"/>
        <w:rPr>
          <w:rFonts w:ascii="仿宋" w:hAnsi="仿宋" w:eastAsia="仿宋"/>
          <w:color w:val="auto"/>
          <w:highlight w:val="none"/>
        </w:rPr>
      </w:pPr>
    </w:p>
    <w:p>
      <w:pPr>
        <w:spacing w:line="312" w:lineRule="auto"/>
        <w:ind w:right="240" w:rightChars="100" w:firstLine="3600" w:firstLineChars="1500"/>
        <w:rPr>
          <w:rFonts w:ascii="仿宋" w:hAnsi="仿宋" w:eastAsia="仿宋"/>
          <w:color w:val="auto"/>
          <w:highlight w:val="none"/>
        </w:rPr>
      </w:pPr>
      <w:r>
        <w:rPr>
          <w:rFonts w:hint="eastAsia" w:ascii="仿宋" w:hAnsi="仿宋" w:eastAsia="仿宋"/>
          <w:color w:val="auto"/>
          <w:highlight w:val="none"/>
        </w:rPr>
        <w:t>法人代表：</w:t>
      </w:r>
    </w:p>
    <w:p>
      <w:pPr>
        <w:spacing w:line="312" w:lineRule="auto"/>
        <w:ind w:right="240" w:rightChars="100" w:firstLine="6480" w:firstLineChars="2700"/>
        <w:rPr>
          <w:rFonts w:hint="eastAsia" w:ascii="仿宋" w:hAnsi="仿宋" w:eastAsia="仿宋"/>
          <w:color w:val="auto"/>
          <w:sz w:val="28"/>
          <w:szCs w:val="28"/>
          <w:highlight w:val="none"/>
          <w:lang w:eastAsia="zh-CN"/>
        </w:rPr>
      </w:pPr>
      <w:r>
        <w:rPr>
          <w:rFonts w:hint="eastAsia" w:ascii="仿宋" w:hAnsi="仿宋" w:eastAsia="仿宋"/>
          <w:color w:val="auto"/>
          <w:highlight w:val="none"/>
          <w:lang w:eastAsia="zh-CN"/>
        </w:rPr>
        <w:t>二〇一九年八月三十日</w:t>
      </w:r>
    </w:p>
    <w:p>
      <w:pPr>
        <w:ind w:right="240" w:rightChars="100" w:firstLine="5880" w:firstLineChars="2100"/>
        <w:rPr>
          <w:rFonts w:ascii="仿宋" w:hAnsi="仿宋" w:eastAsia="仿宋"/>
          <w:color w:val="auto"/>
          <w:sz w:val="28"/>
          <w:szCs w:val="28"/>
          <w:highlight w:val="none"/>
        </w:rPr>
      </w:pPr>
    </w:p>
    <w:p>
      <w:pPr>
        <w:ind w:right="240" w:rightChars="100" w:firstLine="5880" w:firstLineChars="2100"/>
        <w:rPr>
          <w:rFonts w:ascii="仿宋" w:hAnsi="仿宋" w:eastAsia="仿宋"/>
          <w:color w:val="auto"/>
          <w:sz w:val="28"/>
          <w:szCs w:val="28"/>
          <w:highlight w:val="none"/>
        </w:rPr>
      </w:pPr>
    </w:p>
    <w:p>
      <w:pPr>
        <w:ind w:right="240" w:rightChars="100" w:firstLine="5880" w:firstLineChars="2100"/>
        <w:rPr>
          <w:rFonts w:ascii="仿宋" w:hAnsi="仿宋" w:eastAsia="仿宋"/>
          <w:color w:val="auto"/>
          <w:sz w:val="28"/>
          <w:szCs w:val="28"/>
          <w:highlight w:val="none"/>
        </w:rPr>
      </w:pPr>
    </w:p>
    <w:p>
      <w:pPr>
        <w:ind w:right="240" w:rightChars="100" w:firstLine="5880" w:firstLineChars="2100"/>
        <w:rPr>
          <w:rFonts w:ascii="仿宋" w:hAnsi="仿宋" w:eastAsia="仿宋"/>
          <w:color w:val="auto"/>
          <w:sz w:val="28"/>
          <w:szCs w:val="28"/>
          <w:highlight w:val="none"/>
        </w:rPr>
      </w:pPr>
    </w:p>
    <w:p>
      <w:pPr>
        <w:ind w:right="240" w:rightChars="100" w:firstLine="5880" w:firstLineChars="2100"/>
        <w:rPr>
          <w:rFonts w:ascii="仿宋" w:hAnsi="仿宋" w:eastAsia="仿宋"/>
          <w:color w:val="auto"/>
          <w:sz w:val="28"/>
          <w:szCs w:val="28"/>
          <w:highlight w:val="none"/>
        </w:rPr>
      </w:pPr>
    </w:p>
    <w:p>
      <w:pPr>
        <w:ind w:right="240" w:rightChars="100" w:firstLine="5880" w:firstLineChars="2100"/>
        <w:rPr>
          <w:rFonts w:ascii="仿宋" w:hAnsi="仿宋" w:eastAsia="仿宋"/>
          <w:color w:val="auto"/>
          <w:sz w:val="28"/>
          <w:szCs w:val="28"/>
          <w:highlight w:val="none"/>
        </w:rPr>
      </w:pPr>
    </w:p>
    <w:p>
      <w:pPr>
        <w:ind w:right="240" w:rightChars="100" w:firstLine="5880" w:firstLineChars="2100"/>
        <w:rPr>
          <w:rFonts w:ascii="仿宋" w:hAnsi="仿宋" w:eastAsia="仿宋"/>
          <w:color w:val="auto"/>
          <w:sz w:val="28"/>
          <w:szCs w:val="28"/>
          <w:highlight w:val="none"/>
        </w:rPr>
      </w:pPr>
    </w:p>
    <w:p>
      <w:pPr>
        <w:ind w:right="240" w:rightChars="100" w:firstLine="5880" w:firstLineChars="2100"/>
        <w:rPr>
          <w:rFonts w:ascii="仿宋" w:hAnsi="仿宋" w:eastAsia="仿宋"/>
          <w:color w:val="auto"/>
          <w:sz w:val="28"/>
          <w:szCs w:val="28"/>
          <w:highlight w:val="none"/>
        </w:rPr>
      </w:pPr>
    </w:p>
    <w:p>
      <w:pPr>
        <w:rPr>
          <w:b/>
          <w:snapToGrid w:val="0"/>
          <w:color w:val="auto"/>
          <w:sz w:val="32"/>
          <w:szCs w:val="32"/>
          <w:highlight w:val="none"/>
        </w:rPr>
      </w:pPr>
      <w:bookmarkStart w:id="7" w:name="_Toc435876668"/>
      <w:bookmarkStart w:id="8" w:name="_Toc30047"/>
      <w:bookmarkStart w:id="9" w:name="_Toc477862943"/>
      <w:bookmarkStart w:id="10" w:name="_Toc14816"/>
      <w:bookmarkStart w:id="11" w:name="_Toc438484393"/>
      <w:bookmarkStart w:id="12" w:name="_Toc15585"/>
      <w:r>
        <w:rPr>
          <w:b/>
          <w:snapToGrid w:val="0"/>
          <w:color w:val="auto"/>
          <w:sz w:val="32"/>
          <w:szCs w:val="32"/>
          <w:highlight w:val="none"/>
        </w:rPr>
        <w:br w:type="page"/>
      </w:r>
    </w:p>
    <w:p>
      <w:pPr>
        <w:spacing w:line="400" w:lineRule="exact"/>
        <w:jc w:val="center"/>
        <w:rPr>
          <w:b/>
          <w:snapToGrid w:val="0"/>
          <w:color w:val="auto"/>
          <w:sz w:val="32"/>
          <w:szCs w:val="32"/>
          <w:highlight w:val="none"/>
        </w:rPr>
      </w:pPr>
      <w:r>
        <w:rPr>
          <w:rFonts w:hint="eastAsia"/>
          <w:b/>
          <w:snapToGrid w:val="0"/>
          <w:color w:val="auto"/>
          <w:sz w:val="32"/>
          <w:szCs w:val="32"/>
          <w:highlight w:val="none"/>
        </w:rPr>
        <w:t>目  录</w:t>
      </w:r>
      <w:bookmarkEnd w:id="7"/>
      <w:bookmarkEnd w:id="8"/>
      <w:bookmarkEnd w:id="9"/>
      <w:bookmarkEnd w:id="10"/>
      <w:bookmarkEnd w:id="11"/>
      <w:bookmarkEnd w:id="12"/>
    </w:p>
    <w:p>
      <w:pPr>
        <w:pStyle w:val="8"/>
        <w:tabs>
          <w:tab w:val="right" w:leader="dot" w:pos="9412"/>
        </w:tabs>
        <w:rPr>
          <w:color w:val="auto"/>
          <w:highlight w:val="none"/>
        </w:rPr>
      </w:pPr>
      <w:r>
        <w:rPr>
          <w:rFonts w:hint="eastAsia" w:ascii="仿宋" w:hAnsi="仿宋" w:eastAsia="仿宋"/>
          <w:b/>
          <w:color w:val="auto"/>
          <w:highlight w:val="none"/>
        </w:rPr>
        <w:fldChar w:fldCharType="begin"/>
      </w:r>
      <w:r>
        <w:rPr>
          <w:rFonts w:hint="eastAsia" w:ascii="仿宋" w:hAnsi="仿宋" w:eastAsia="仿宋"/>
          <w:b/>
          <w:color w:val="auto"/>
          <w:highlight w:val="none"/>
        </w:rPr>
        <w:instrText xml:space="preserve"> TOC \o \h \z </w:instrText>
      </w:r>
      <w:r>
        <w:rPr>
          <w:rFonts w:hint="eastAsia" w:ascii="仿宋" w:hAnsi="仿宋" w:eastAsia="仿宋"/>
          <w:b/>
          <w:color w:val="auto"/>
          <w:highlight w:val="none"/>
        </w:rPr>
        <w:fldChar w:fldCharType="separate"/>
      </w: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_Toc11179 </w:instrText>
      </w:r>
      <w:r>
        <w:rPr>
          <w:rFonts w:hint="eastAsia" w:ascii="仿宋" w:hAnsi="仿宋" w:eastAsia="仿宋"/>
          <w:color w:val="auto"/>
          <w:highlight w:val="none"/>
        </w:rPr>
        <w:fldChar w:fldCharType="separate"/>
      </w:r>
      <w:r>
        <w:rPr>
          <w:rFonts w:hint="eastAsia" w:ascii="宋体" w:hAnsi="宋体" w:eastAsia="宋体"/>
          <w:color w:val="auto"/>
          <w:szCs w:val="32"/>
          <w:highlight w:val="none"/>
        </w:rPr>
        <w:t>注册房地产估价师声明</w:t>
      </w:r>
      <w:r>
        <w:rPr>
          <w:color w:val="auto"/>
          <w:highlight w:val="none"/>
        </w:rPr>
        <w:tab/>
      </w:r>
      <w:r>
        <w:rPr>
          <w:color w:val="auto"/>
          <w:highlight w:val="none"/>
        </w:rPr>
        <w:fldChar w:fldCharType="begin"/>
      </w:r>
      <w:r>
        <w:rPr>
          <w:color w:val="auto"/>
          <w:highlight w:val="none"/>
        </w:rPr>
        <w:instrText xml:space="preserve"> PAGEREF _Toc11179 </w:instrText>
      </w:r>
      <w:r>
        <w:rPr>
          <w:color w:val="auto"/>
          <w:highlight w:val="none"/>
        </w:rPr>
        <w:fldChar w:fldCharType="separate"/>
      </w:r>
      <w:r>
        <w:rPr>
          <w:color w:val="auto"/>
          <w:highlight w:val="none"/>
        </w:rPr>
        <w:t>1</w:t>
      </w:r>
      <w:r>
        <w:rPr>
          <w:color w:val="auto"/>
          <w:highlight w:val="none"/>
        </w:rPr>
        <w:fldChar w:fldCharType="end"/>
      </w:r>
      <w:r>
        <w:rPr>
          <w:rFonts w:hint="eastAsia" w:ascii="仿宋" w:hAnsi="仿宋" w:eastAsia="仿宋"/>
          <w:color w:val="auto"/>
          <w:highlight w:val="none"/>
        </w:rPr>
        <w:fldChar w:fldCharType="end"/>
      </w:r>
    </w:p>
    <w:p>
      <w:pPr>
        <w:pStyle w:val="8"/>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_Toc25786 </w:instrText>
      </w:r>
      <w:r>
        <w:rPr>
          <w:rFonts w:hint="eastAsia" w:ascii="仿宋" w:hAnsi="仿宋" w:eastAsia="仿宋"/>
          <w:color w:val="auto"/>
          <w:highlight w:val="none"/>
        </w:rPr>
        <w:fldChar w:fldCharType="separate"/>
      </w:r>
      <w:r>
        <w:rPr>
          <w:rFonts w:hint="eastAsia" w:ascii="宋体" w:hAnsi="宋体" w:eastAsia="宋体"/>
          <w:color w:val="auto"/>
          <w:szCs w:val="32"/>
          <w:highlight w:val="none"/>
        </w:rPr>
        <w:t>估价的假设和限制条件</w:t>
      </w:r>
      <w:r>
        <w:rPr>
          <w:color w:val="auto"/>
          <w:highlight w:val="none"/>
        </w:rPr>
        <w:tab/>
      </w:r>
      <w:r>
        <w:rPr>
          <w:color w:val="auto"/>
          <w:highlight w:val="none"/>
        </w:rPr>
        <w:fldChar w:fldCharType="begin"/>
      </w:r>
      <w:r>
        <w:rPr>
          <w:color w:val="auto"/>
          <w:highlight w:val="none"/>
        </w:rPr>
        <w:instrText xml:space="preserve"> PAGEREF _Toc25786 </w:instrText>
      </w:r>
      <w:r>
        <w:rPr>
          <w:color w:val="auto"/>
          <w:highlight w:val="none"/>
        </w:rPr>
        <w:fldChar w:fldCharType="separate"/>
      </w:r>
      <w:r>
        <w:rPr>
          <w:color w:val="auto"/>
          <w:highlight w:val="none"/>
        </w:rPr>
        <w:t>2</w:t>
      </w:r>
      <w:r>
        <w:rPr>
          <w:color w:val="auto"/>
          <w:highlight w:val="none"/>
        </w:rPr>
        <w:fldChar w:fldCharType="end"/>
      </w:r>
      <w:r>
        <w:rPr>
          <w:rFonts w:hint="eastAsia" w:ascii="仿宋" w:hAnsi="仿宋" w:eastAsia="仿宋"/>
          <w:color w:val="auto"/>
          <w:highlight w:val="none"/>
        </w:rPr>
        <w:fldChar w:fldCharType="end"/>
      </w:r>
    </w:p>
    <w:p>
      <w:pPr>
        <w:pStyle w:val="8"/>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_Toc1835 </w:instrText>
      </w:r>
      <w:r>
        <w:rPr>
          <w:rFonts w:hint="eastAsia" w:ascii="仿宋" w:hAnsi="仿宋" w:eastAsia="仿宋"/>
          <w:color w:val="auto"/>
          <w:highlight w:val="none"/>
        </w:rPr>
        <w:fldChar w:fldCharType="separate"/>
      </w:r>
      <w:r>
        <w:rPr>
          <w:rFonts w:hint="eastAsia" w:ascii="宋体" w:hAnsi="宋体" w:eastAsia="宋体"/>
          <w:color w:val="auto"/>
          <w:szCs w:val="32"/>
          <w:highlight w:val="none"/>
        </w:rPr>
        <w:t>估价结果报告</w:t>
      </w:r>
      <w:r>
        <w:rPr>
          <w:color w:val="auto"/>
          <w:highlight w:val="none"/>
        </w:rPr>
        <w:tab/>
      </w:r>
      <w:r>
        <w:rPr>
          <w:color w:val="auto"/>
          <w:highlight w:val="none"/>
        </w:rPr>
        <w:fldChar w:fldCharType="begin"/>
      </w:r>
      <w:r>
        <w:rPr>
          <w:color w:val="auto"/>
          <w:highlight w:val="none"/>
        </w:rPr>
        <w:instrText xml:space="preserve"> PAGEREF _Toc1835 </w:instrText>
      </w:r>
      <w:r>
        <w:rPr>
          <w:color w:val="auto"/>
          <w:highlight w:val="none"/>
        </w:rPr>
        <w:fldChar w:fldCharType="separate"/>
      </w:r>
      <w:r>
        <w:rPr>
          <w:color w:val="auto"/>
          <w:highlight w:val="none"/>
        </w:rPr>
        <w:t>5</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_Toc27434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一、估价委托人</w:t>
      </w:r>
      <w:r>
        <w:rPr>
          <w:color w:val="auto"/>
          <w:highlight w:val="none"/>
        </w:rPr>
        <w:tab/>
      </w:r>
      <w:r>
        <w:rPr>
          <w:color w:val="auto"/>
          <w:highlight w:val="none"/>
        </w:rPr>
        <w:fldChar w:fldCharType="begin"/>
      </w:r>
      <w:r>
        <w:rPr>
          <w:color w:val="auto"/>
          <w:highlight w:val="none"/>
        </w:rPr>
        <w:instrText xml:space="preserve"> PAGEREF _Toc27434 </w:instrText>
      </w:r>
      <w:r>
        <w:rPr>
          <w:color w:val="auto"/>
          <w:highlight w:val="none"/>
        </w:rPr>
        <w:fldChar w:fldCharType="separate"/>
      </w:r>
      <w:r>
        <w:rPr>
          <w:color w:val="auto"/>
          <w:highlight w:val="none"/>
        </w:rPr>
        <w:t>5</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_Toc167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二、估价机构</w:t>
      </w:r>
      <w:r>
        <w:rPr>
          <w:color w:val="auto"/>
          <w:highlight w:val="none"/>
        </w:rPr>
        <w:tab/>
      </w:r>
      <w:r>
        <w:rPr>
          <w:color w:val="auto"/>
          <w:highlight w:val="none"/>
        </w:rPr>
        <w:fldChar w:fldCharType="begin"/>
      </w:r>
      <w:r>
        <w:rPr>
          <w:color w:val="auto"/>
          <w:highlight w:val="none"/>
        </w:rPr>
        <w:instrText xml:space="preserve"> PAGEREF _Toc167 </w:instrText>
      </w:r>
      <w:r>
        <w:rPr>
          <w:color w:val="auto"/>
          <w:highlight w:val="none"/>
        </w:rPr>
        <w:fldChar w:fldCharType="separate"/>
      </w:r>
      <w:r>
        <w:rPr>
          <w:color w:val="auto"/>
          <w:highlight w:val="none"/>
        </w:rPr>
        <w:t>5</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_Toc20851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三、估价目的</w:t>
      </w:r>
      <w:r>
        <w:rPr>
          <w:color w:val="auto"/>
          <w:highlight w:val="none"/>
        </w:rPr>
        <w:tab/>
      </w:r>
      <w:r>
        <w:rPr>
          <w:color w:val="auto"/>
          <w:highlight w:val="none"/>
        </w:rPr>
        <w:fldChar w:fldCharType="begin"/>
      </w:r>
      <w:r>
        <w:rPr>
          <w:color w:val="auto"/>
          <w:highlight w:val="none"/>
        </w:rPr>
        <w:instrText xml:space="preserve"> PAGEREF _Toc20851 </w:instrText>
      </w:r>
      <w:r>
        <w:rPr>
          <w:color w:val="auto"/>
          <w:highlight w:val="none"/>
        </w:rPr>
        <w:fldChar w:fldCharType="separate"/>
      </w:r>
      <w:r>
        <w:rPr>
          <w:color w:val="auto"/>
          <w:highlight w:val="none"/>
        </w:rPr>
        <w:t>5</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_Toc27191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四、估价对象</w:t>
      </w:r>
      <w:r>
        <w:rPr>
          <w:color w:val="auto"/>
          <w:highlight w:val="none"/>
        </w:rPr>
        <w:tab/>
      </w:r>
      <w:r>
        <w:rPr>
          <w:color w:val="auto"/>
          <w:highlight w:val="none"/>
        </w:rPr>
        <w:fldChar w:fldCharType="begin"/>
      </w:r>
      <w:r>
        <w:rPr>
          <w:color w:val="auto"/>
          <w:highlight w:val="none"/>
        </w:rPr>
        <w:instrText xml:space="preserve"> PAGEREF _Toc27191 </w:instrText>
      </w:r>
      <w:r>
        <w:rPr>
          <w:color w:val="auto"/>
          <w:highlight w:val="none"/>
        </w:rPr>
        <w:fldChar w:fldCharType="separate"/>
      </w:r>
      <w:r>
        <w:rPr>
          <w:color w:val="auto"/>
          <w:highlight w:val="none"/>
        </w:rPr>
        <w:t>5</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_Toc421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五、价值时点</w:t>
      </w:r>
      <w:r>
        <w:rPr>
          <w:color w:val="auto"/>
          <w:highlight w:val="none"/>
        </w:rPr>
        <w:tab/>
      </w:r>
      <w:r>
        <w:rPr>
          <w:color w:val="auto"/>
          <w:highlight w:val="none"/>
        </w:rPr>
        <w:fldChar w:fldCharType="begin"/>
      </w:r>
      <w:r>
        <w:rPr>
          <w:color w:val="auto"/>
          <w:highlight w:val="none"/>
        </w:rPr>
        <w:instrText xml:space="preserve"> PAGEREF _Toc421 </w:instrText>
      </w:r>
      <w:r>
        <w:rPr>
          <w:color w:val="auto"/>
          <w:highlight w:val="none"/>
        </w:rPr>
        <w:fldChar w:fldCharType="separate"/>
      </w:r>
      <w:r>
        <w:rPr>
          <w:color w:val="auto"/>
          <w:highlight w:val="none"/>
        </w:rPr>
        <w:t>8</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_Toc19609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六、价值类型</w:t>
      </w:r>
      <w:r>
        <w:rPr>
          <w:color w:val="auto"/>
          <w:highlight w:val="none"/>
        </w:rPr>
        <w:tab/>
      </w:r>
      <w:r>
        <w:rPr>
          <w:color w:val="auto"/>
          <w:highlight w:val="none"/>
        </w:rPr>
        <w:fldChar w:fldCharType="begin"/>
      </w:r>
      <w:r>
        <w:rPr>
          <w:color w:val="auto"/>
          <w:highlight w:val="none"/>
        </w:rPr>
        <w:instrText xml:space="preserve"> PAGEREF _Toc19609 </w:instrText>
      </w:r>
      <w:r>
        <w:rPr>
          <w:color w:val="auto"/>
          <w:highlight w:val="none"/>
        </w:rPr>
        <w:fldChar w:fldCharType="separate"/>
      </w:r>
      <w:r>
        <w:rPr>
          <w:color w:val="auto"/>
          <w:highlight w:val="none"/>
        </w:rPr>
        <w:t>8</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_Toc21680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七、估价原则</w:t>
      </w:r>
      <w:r>
        <w:rPr>
          <w:color w:val="auto"/>
          <w:highlight w:val="none"/>
        </w:rPr>
        <w:tab/>
      </w:r>
      <w:r>
        <w:rPr>
          <w:color w:val="auto"/>
          <w:highlight w:val="none"/>
        </w:rPr>
        <w:fldChar w:fldCharType="begin"/>
      </w:r>
      <w:r>
        <w:rPr>
          <w:color w:val="auto"/>
          <w:highlight w:val="none"/>
        </w:rPr>
        <w:instrText xml:space="preserve"> PAGEREF _Toc21680 </w:instrText>
      </w:r>
      <w:r>
        <w:rPr>
          <w:color w:val="auto"/>
          <w:highlight w:val="none"/>
        </w:rPr>
        <w:fldChar w:fldCharType="separate"/>
      </w:r>
      <w:r>
        <w:rPr>
          <w:color w:val="auto"/>
          <w:highlight w:val="none"/>
        </w:rPr>
        <w:t>8</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_Toc27527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八、估价依据</w:t>
      </w:r>
      <w:r>
        <w:rPr>
          <w:color w:val="auto"/>
          <w:highlight w:val="none"/>
        </w:rPr>
        <w:tab/>
      </w:r>
      <w:r>
        <w:rPr>
          <w:color w:val="auto"/>
          <w:highlight w:val="none"/>
        </w:rPr>
        <w:fldChar w:fldCharType="begin"/>
      </w:r>
      <w:r>
        <w:rPr>
          <w:color w:val="auto"/>
          <w:highlight w:val="none"/>
        </w:rPr>
        <w:instrText xml:space="preserve"> PAGEREF _Toc27527 </w:instrText>
      </w:r>
      <w:r>
        <w:rPr>
          <w:color w:val="auto"/>
          <w:highlight w:val="none"/>
        </w:rPr>
        <w:fldChar w:fldCharType="separate"/>
      </w:r>
      <w:r>
        <w:rPr>
          <w:color w:val="auto"/>
          <w:highlight w:val="none"/>
        </w:rPr>
        <w:t>10</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_Toc7137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九、估价方法</w:t>
      </w:r>
      <w:r>
        <w:rPr>
          <w:color w:val="auto"/>
          <w:highlight w:val="none"/>
        </w:rPr>
        <w:tab/>
      </w:r>
      <w:r>
        <w:rPr>
          <w:color w:val="auto"/>
          <w:highlight w:val="none"/>
        </w:rPr>
        <w:fldChar w:fldCharType="begin"/>
      </w:r>
      <w:r>
        <w:rPr>
          <w:color w:val="auto"/>
          <w:highlight w:val="none"/>
        </w:rPr>
        <w:instrText xml:space="preserve"> PAGEREF _Toc7137 </w:instrText>
      </w:r>
      <w:r>
        <w:rPr>
          <w:color w:val="auto"/>
          <w:highlight w:val="none"/>
        </w:rPr>
        <w:fldChar w:fldCharType="separate"/>
      </w:r>
      <w:r>
        <w:rPr>
          <w:color w:val="auto"/>
          <w:highlight w:val="none"/>
        </w:rPr>
        <w:t>11</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_Toc26019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十、估价结果</w:t>
      </w:r>
      <w:r>
        <w:rPr>
          <w:color w:val="auto"/>
          <w:highlight w:val="none"/>
        </w:rPr>
        <w:tab/>
      </w:r>
      <w:r>
        <w:rPr>
          <w:color w:val="auto"/>
          <w:highlight w:val="none"/>
        </w:rPr>
        <w:fldChar w:fldCharType="begin"/>
      </w:r>
      <w:r>
        <w:rPr>
          <w:color w:val="auto"/>
          <w:highlight w:val="none"/>
        </w:rPr>
        <w:instrText xml:space="preserve"> PAGEREF _Toc26019 </w:instrText>
      </w:r>
      <w:r>
        <w:rPr>
          <w:color w:val="auto"/>
          <w:highlight w:val="none"/>
        </w:rPr>
        <w:fldChar w:fldCharType="separate"/>
      </w:r>
      <w:r>
        <w:rPr>
          <w:color w:val="auto"/>
          <w:highlight w:val="none"/>
        </w:rPr>
        <w:t>11</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_Toc2969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十一、 注册房地产估价师</w:t>
      </w:r>
      <w:r>
        <w:rPr>
          <w:color w:val="auto"/>
          <w:highlight w:val="none"/>
        </w:rPr>
        <w:tab/>
      </w:r>
      <w:r>
        <w:rPr>
          <w:color w:val="auto"/>
          <w:highlight w:val="none"/>
        </w:rPr>
        <w:fldChar w:fldCharType="begin"/>
      </w:r>
      <w:r>
        <w:rPr>
          <w:color w:val="auto"/>
          <w:highlight w:val="none"/>
        </w:rPr>
        <w:instrText xml:space="preserve"> PAGEREF _Toc2969 </w:instrText>
      </w:r>
      <w:r>
        <w:rPr>
          <w:color w:val="auto"/>
          <w:highlight w:val="none"/>
        </w:rPr>
        <w:fldChar w:fldCharType="separate"/>
      </w:r>
      <w:r>
        <w:rPr>
          <w:color w:val="auto"/>
          <w:highlight w:val="none"/>
        </w:rPr>
        <w:t>12</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_Toc5363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十二、估价作业期</w:t>
      </w:r>
      <w:r>
        <w:rPr>
          <w:color w:val="auto"/>
          <w:highlight w:val="none"/>
        </w:rPr>
        <w:tab/>
      </w:r>
      <w:r>
        <w:rPr>
          <w:color w:val="auto"/>
          <w:highlight w:val="none"/>
        </w:rPr>
        <w:fldChar w:fldCharType="begin"/>
      </w:r>
      <w:r>
        <w:rPr>
          <w:color w:val="auto"/>
          <w:highlight w:val="none"/>
        </w:rPr>
        <w:instrText xml:space="preserve"> PAGEREF _Toc5363 </w:instrText>
      </w:r>
      <w:r>
        <w:rPr>
          <w:color w:val="auto"/>
          <w:highlight w:val="none"/>
        </w:rPr>
        <w:fldChar w:fldCharType="separate"/>
      </w:r>
      <w:r>
        <w:rPr>
          <w:color w:val="auto"/>
          <w:highlight w:val="none"/>
        </w:rPr>
        <w:t>12</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_Toc14438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十三、实地查勘期</w:t>
      </w:r>
      <w:r>
        <w:rPr>
          <w:color w:val="auto"/>
          <w:highlight w:val="none"/>
        </w:rPr>
        <w:tab/>
      </w:r>
      <w:r>
        <w:rPr>
          <w:color w:val="auto"/>
          <w:highlight w:val="none"/>
        </w:rPr>
        <w:fldChar w:fldCharType="begin"/>
      </w:r>
      <w:r>
        <w:rPr>
          <w:color w:val="auto"/>
          <w:highlight w:val="none"/>
        </w:rPr>
        <w:instrText xml:space="preserve"> PAGEREF _Toc14438 </w:instrText>
      </w:r>
      <w:r>
        <w:rPr>
          <w:color w:val="auto"/>
          <w:highlight w:val="none"/>
        </w:rPr>
        <w:fldChar w:fldCharType="separate"/>
      </w:r>
      <w:r>
        <w:rPr>
          <w:color w:val="auto"/>
          <w:highlight w:val="none"/>
        </w:rPr>
        <w:t>12</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_Toc15356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十四、估价报告使用期限</w:t>
      </w:r>
      <w:r>
        <w:rPr>
          <w:color w:val="auto"/>
          <w:highlight w:val="none"/>
        </w:rPr>
        <w:tab/>
      </w:r>
      <w:r>
        <w:rPr>
          <w:color w:val="auto"/>
          <w:highlight w:val="none"/>
        </w:rPr>
        <w:fldChar w:fldCharType="begin"/>
      </w:r>
      <w:r>
        <w:rPr>
          <w:color w:val="auto"/>
          <w:highlight w:val="none"/>
        </w:rPr>
        <w:instrText xml:space="preserve"> PAGEREF _Toc15356 </w:instrText>
      </w:r>
      <w:r>
        <w:rPr>
          <w:color w:val="auto"/>
          <w:highlight w:val="none"/>
        </w:rPr>
        <w:fldChar w:fldCharType="separate"/>
      </w:r>
      <w:r>
        <w:rPr>
          <w:color w:val="auto"/>
          <w:highlight w:val="none"/>
        </w:rPr>
        <w:t>12</w:t>
      </w:r>
      <w:r>
        <w:rPr>
          <w:color w:val="auto"/>
          <w:highlight w:val="none"/>
        </w:rPr>
        <w:fldChar w:fldCharType="end"/>
      </w:r>
      <w:r>
        <w:rPr>
          <w:rFonts w:hint="eastAsia" w:ascii="仿宋" w:hAnsi="仿宋" w:eastAsia="仿宋"/>
          <w:color w:val="auto"/>
          <w:highlight w:val="none"/>
        </w:rPr>
        <w:fldChar w:fldCharType="end"/>
      </w:r>
    </w:p>
    <w:p>
      <w:pPr>
        <w:pStyle w:val="8"/>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_Toc8733 </w:instrText>
      </w:r>
      <w:r>
        <w:rPr>
          <w:rFonts w:hint="eastAsia" w:ascii="仿宋" w:hAnsi="仿宋" w:eastAsia="仿宋"/>
          <w:color w:val="auto"/>
          <w:highlight w:val="none"/>
        </w:rPr>
        <w:fldChar w:fldCharType="separate"/>
      </w:r>
      <w:r>
        <w:rPr>
          <w:rFonts w:hint="eastAsia" w:ascii="宋体" w:hAnsi="宋体" w:eastAsia="宋体" w:cs="宋体"/>
          <w:color w:val="auto"/>
          <w:kern w:val="0"/>
          <w:szCs w:val="32"/>
          <w:highlight w:val="none"/>
        </w:rPr>
        <w:t>附   件</w:t>
      </w:r>
      <w:r>
        <w:rPr>
          <w:color w:val="auto"/>
          <w:highlight w:val="none"/>
        </w:rPr>
        <w:tab/>
      </w:r>
      <w:r>
        <w:rPr>
          <w:color w:val="auto"/>
          <w:highlight w:val="none"/>
        </w:rPr>
        <w:fldChar w:fldCharType="begin"/>
      </w:r>
      <w:r>
        <w:rPr>
          <w:color w:val="auto"/>
          <w:highlight w:val="none"/>
        </w:rPr>
        <w:instrText xml:space="preserve"> PAGEREF _Toc8733 </w:instrText>
      </w:r>
      <w:r>
        <w:rPr>
          <w:color w:val="auto"/>
          <w:highlight w:val="none"/>
        </w:rPr>
        <w:fldChar w:fldCharType="separate"/>
      </w:r>
      <w:r>
        <w:rPr>
          <w:color w:val="auto"/>
          <w:highlight w:val="none"/>
        </w:rPr>
        <w:t>13</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_Toc11520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一、评估委托书</w:t>
      </w:r>
      <w:r>
        <w:rPr>
          <w:color w:val="auto"/>
          <w:highlight w:val="none"/>
        </w:rPr>
        <w:tab/>
      </w:r>
      <w:r>
        <w:rPr>
          <w:color w:val="auto"/>
          <w:highlight w:val="none"/>
        </w:rPr>
        <w:fldChar w:fldCharType="begin"/>
      </w:r>
      <w:r>
        <w:rPr>
          <w:color w:val="auto"/>
          <w:highlight w:val="none"/>
        </w:rPr>
        <w:instrText xml:space="preserve"> PAGEREF _Toc11520 </w:instrText>
      </w:r>
      <w:r>
        <w:rPr>
          <w:color w:val="auto"/>
          <w:highlight w:val="none"/>
        </w:rPr>
        <w:fldChar w:fldCharType="separate"/>
      </w:r>
      <w:r>
        <w:rPr>
          <w:color w:val="auto"/>
          <w:highlight w:val="none"/>
        </w:rPr>
        <w:t>14</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_Toc25780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二、估价对象《</w:t>
      </w:r>
      <w:r>
        <w:rPr>
          <w:rFonts w:hint="eastAsia" w:ascii="仿宋" w:hAnsi="仿宋" w:eastAsia="仿宋" w:cs="宋体"/>
          <w:color w:val="auto"/>
          <w:szCs w:val="24"/>
          <w:highlight w:val="none"/>
          <w:lang w:eastAsia="zh-CN"/>
        </w:rPr>
        <w:t>个人不动产信息情况证明</w:t>
      </w:r>
      <w:r>
        <w:rPr>
          <w:rFonts w:hint="eastAsia" w:ascii="仿宋" w:hAnsi="仿宋" w:eastAsia="仿宋" w:cs="宋体"/>
          <w:color w:val="auto"/>
          <w:szCs w:val="24"/>
          <w:highlight w:val="none"/>
        </w:rPr>
        <w:t>》复印件</w:t>
      </w:r>
      <w:r>
        <w:rPr>
          <w:color w:val="auto"/>
          <w:highlight w:val="none"/>
        </w:rPr>
        <w:tab/>
      </w:r>
      <w:r>
        <w:rPr>
          <w:color w:val="auto"/>
          <w:highlight w:val="none"/>
        </w:rPr>
        <w:fldChar w:fldCharType="begin"/>
      </w:r>
      <w:r>
        <w:rPr>
          <w:color w:val="auto"/>
          <w:highlight w:val="none"/>
        </w:rPr>
        <w:instrText xml:space="preserve"> PAGEREF _Toc25780 </w:instrText>
      </w:r>
      <w:r>
        <w:rPr>
          <w:color w:val="auto"/>
          <w:highlight w:val="none"/>
        </w:rPr>
        <w:fldChar w:fldCharType="separate"/>
      </w:r>
      <w:r>
        <w:rPr>
          <w:color w:val="auto"/>
          <w:highlight w:val="none"/>
        </w:rPr>
        <w:t>15</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_Toc17391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lang w:val="en-US" w:eastAsia="zh-CN"/>
        </w:rPr>
        <w:t>三、</w:t>
      </w:r>
      <w:r>
        <w:rPr>
          <w:rFonts w:hint="eastAsia" w:ascii="仿宋" w:hAnsi="仿宋" w:eastAsia="仿宋" w:cs="宋体"/>
          <w:color w:val="auto"/>
          <w:szCs w:val="24"/>
          <w:highlight w:val="none"/>
        </w:rPr>
        <w:t>估价对象《</w:t>
      </w:r>
      <w:r>
        <w:rPr>
          <w:rFonts w:hint="eastAsia" w:ascii="仿宋" w:hAnsi="仿宋" w:eastAsia="仿宋" w:cs="宋体"/>
          <w:color w:val="auto"/>
          <w:szCs w:val="24"/>
          <w:highlight w:val="none"/>
          <w:lang w:eastAsia="zh-CN"/>
        </w:rPr>
        <w:t>房屋他项权证</w:t>
      </w:r>
      <w:r>
        <w:rPr>
          <w:rFonts w:hint="eastAsia" w:ascii="仿宋" w:hAnsi="仿宋" w:eastAsia="仿宋" w:cs="宋体"/>
          <w:color w:val="auto"/>
          <w:szCs w:val="24"/>
          <w:highlight w:val="none"/>
        </w:rPr>
        <w:t>》复印件</w:t>
      </w:r>
      <w:r>
        <w:rPr>
          <w:color w:val="auto"/>
          <w:highlight w:val="none"/>
        </w:rPr>
        <w:tab/>
      </w:r>
      <w:r>
        <w:rPr>
          <w:color w:val="auto"/>
          <w:highlight w:val="none"/>
        </w:rPr>
        <w:fldChar w:fldCharType="begin"/>
      </w:r>
      <w:r>
        <w:rPr>
          <w:color w:val="auto"/>
          <w:highlight w:val="none"/>
        </w:rPr>
        <w:instrText xml:space="preserve"> PAGEREF _Toc17391 </w:instrText>
      </w:r>
      <w:r>
        <w:rPr>
          <w:color w:val="auto"/>
          <w:highlight w:val="none"/>
        </w:rPr>
        <w:fldChar w:fldCharType="separate"/>
      </w:r>
      <w:r>
        <w:rPr>
          <w:color w:val="auto"/>
          <w:highlight w:val="none"/>
        </w:rPr>
        <w:t>16</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_Toc9444 </w:instrText>
      </w:r>
      <w:r>
        <w:rPr>
          <w:rFonts w:hint="eastAsia" w:ascii="仿宋" w:hAnsi="仿宋" w:eastAsia="仿宋"/>
          <w:color w:val="auto"/>
          <w:highlight w:val="none"/>
        </w:rPr>
        <w:fldChar w:fldCharType="separate"/>
      </w:r>
      <w:r>
        <w:rPr>
          <w:rFonts w:hint="eastAsia" w:ascii="仿宋" w:hAnsi="仿宋" w:eastAsia="仿宋"/>
          <w:color w:val="auto"/>
          <w:highlight w:val="none"/>
          <w:lang w:val="en-US" w:eastAsia="zh-CN"/>
        </w:rPr>
        <w:t>四、估价对象《贵州省施秉县人民法院民事判决书》复印件</w:t>
      </w:r>
      <w:r>
        <w:rPr>
          <w:color w:val="auto"/>
          <w:highlight w:val="none"/>
        </w:rPr>
        <w:tab/>
      </w:r>
      <w:r>
        <w:rPr>
          <w:color w:val="auto"/>
          <w:highlight w:val="none"/>
        </w:rPr>
        <w:fldChar w:fldCharType="begin"/>
      </w:r>
      <w:r>
        <w:rPr>
          <w:color w:val="auto"/>
          <w:highlight w:val="none"/>
        </w:rPr>
        <w:instrText xml:space="preserve"> PAGEREF _Toc9444 </w:instrText>
      </w:r>
      <w:r>
        <w:rPr>
          <w:color w:val="auto"/>
          <w:highlight w:val="none"/>
        </w:rPr>
        <w:fldChar w:fldCharType="separate"/>
      </w:r>
      <w:r>
        <w:rPr>
          <w:color w:val="auto"/>
          <w:highlight w:val="none"/>
        </w:rPr>
        <w:t>17</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_Toc4356 </w:instrText>
      </w:r>
      <w:r>
        <w:rPr>
          <w:rFonts w:hint="eastAsia" w:ascii="仿宋" w:hAnsi="仿宋" w:eastAsia="仿宋"/>
          <w:color w:val="auto"/>
          <w:highlight w:val="none"/>
        </w:rPr>
        <w:fldChar w:fldCharType="separate"/>
      </w:r>
      <w:r>
        <w:rPr>
          <w:rFonts w:hint="eastAsia" w:ascii="仿宋" w:hAnsi="仿宋" w:eastAsia="仿宋"/>
          <w:color w:val="auto"/>
          <w:highlight w:val="none"/>
          <w:lang w:val="en-US" w:eastAsia="zh-CN"/>
        </w:rPr>
        <w:t>五、估价对象《贵州省施秉县人民法院执行裁定书》复印件</w:t>
      </w:r>
      <w:r>
        <w:rPr>
          <w:color w:val="auto"/>
          <w:highlight w:val="none"/>
        </w:rPr>
        <w:tab/>
      </w:r>
      <w:r>
        <w:rPr>
          <w:color w:val="auto"/>
          <w:highlight w:val="none"/>
        </w:rPr>
        <w:fldChar w:fldCharType="begin"/>
      </w:r>
      <w:r>
        <w:rPr>
          <w:color w:val="auto"/>
          <w:highlight w:val="none"/>
        </w:rPr>
        <w:instrText xml:space="preserve"> PAGEREF _Toc4356 </w:instrText>
      </w:r>
      <w:r>
        <w:rPr>
          <w:color w:val="auto"/>
          <w:highlight w:val="none"/>
        </w:rPr>
        <w:fldChar w:fldCharType="separate"/>
      </w:r>
      <w:r>
        <w:rPr>
          <w:color w:val="auto"/>
          <w:highlight w:val="none"/>
        </w:rPr>
        <w:t>22</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_Toc16090 </w:instrText>
      </w:r>
      <w:r>
        <w:rPr>
          <w:rFonts w:hint="eastAsia" w:ascii="仿宋" w:hAnsi="仿宋" w:eastAsia="仿宋"/>
          <w:color w:val="auto"/>
          <w:highlight w:val="none"/>
        </w:rPr>
        <w:fldChar w:fldCharType="separate"/>
      </w:r>
      <w:r>
        <w:rPr>
          <w:rFonts w:hint="eastAsia" w:ascii="仿宋" w:hAnsi="仿宋" w:eastAsia="仿宋"/>
          <w:color w:val="auto"/>
          <w:highlight w:val="none"/>
          <w:lang w:val="en-US" w:eastAsia="zh-CN"/>
        </w:rPr>
        <w:t>六、估价对象区域位置图</w:t>
      </w:r>
      <w:r>
        <w:rPr>
          <w:color w:val="auto"/>
          <w:highlight w:val="none"/>
        </w:rPr>
        <w:tab/>
      </w:r>
      <w:r>
        <w:rPr>
          <w:color w:val="auto"/>
          <w:highlight w:val="none"/>
        </w:rPr>
        <w:fldChar w:fldCharType="begin"/>
      </w:r>
      <w:r>
        <w:rPr>
          <w:color w:val="auto"/>
          <w:highlight w:val="none"/>
        </w:rPr>
        <w:instrText xml:space="preserve"> PAGEREF _Toc16090 </w:instrText>
      </w:r>
      <w:r>
        <w:rPr>
          <w:color w:val="auto"/>
          <w:highlight w:val="none"/>
        </w:rPr>
        <w:fldChar w:fldCharType="separate"/>
      </w:r>
      <w:r>
        <w:rPr>
          <w:color w:val="auto"/>
          <w:highlight w:val="none"/>
        </w:rPr>
        <w:t>24</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_Toc16679 </w:instrText>
      </w:r>
      <w:r>
        <w:rPr>
          <w:rFonts w:hint="eastAsia" w:ascii="仿宋" w:hAnsi="仿宋" w:eastAsia="仿宋"/>
          <w:color w:val="auto"/>
          <w:highlight w:val="none"/>
        </w:rPr>
        <w:fldChar w:fldCharType="separate"/>
      </w:r>
      <w:r>
        <w:rPr>
          <w:rFonts w:hint="eastAsia" w:ascii="仿宋" w:hAnsi="仿宋" w:eastAsia="仿宋" w:cs="宋体"/>
          <w:bCs/>
          <w:color w:val="auto"/>
          <w:kern w:val="2"/>
          <w:szCs w:val="24"/>
          <w:highlight w:val="none"/>
          <w:lang w:val="en-US" w:eastAsia="zh-CN" w:bidi="ar-SA"/>
        </w:rPr>
        <w:t>七、估价对象状况照片</w:t>
      </w:r>
      <w:r>
        <w:rPr>
          <w:color w:val="auto"/>
          <w:highlight w:val="none"/>
        </w:rPr>
        <w:tab/>
      </w:r>
      <w:r>
        <w:rPr>
          <w:color w:val="auto"/>
          <w:highlight w:val="none"/>
        </w:rPr>
        <w:fldChar w:fldCharType="begin"/>
      </w:r>
      <w:r>
        <w:rPr>
          <w:color w:val="auto"/>
          <w:highlight w:val="none"/>
        </w:rPr>
        <w:instrText xml:space="preserve"> PAGEREF _Toc16679 </w:instrText>
      </w:r>
      <w:r>
        <w:rPr>
          <w:color w:val="auto"/>
          <w:highlight w:val="none"/>
        </w:rPr>
        <w:fldChar w:fldCharType="separate"/>
      </w:r>
      <w:r>
        <w:rPr>
          <w:color w:val="auto"/>
          <w:highlight w:val="none"/>
        </w:rPr>
        <w:t>25</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_Toc12165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lang w:eastAsia="zh-CN"/>
        </w:rPr>
        <w:t>八</w:t>
      </w:r>
      <w:r>
        <w:rPr>
          <w:rFonts w:hint="eastAsia" w:ascii="仿宋" w:hAnsi="仿宋" w:eastAsia="仿宋" w:cs="宋体"/>
          <w:color w:val="auto"/>
          <w:szCs w:val="24"/>
          <w:highlight w:val="none"/>
        </w:rPr>
        <w:t>、</w:t>
      </w:r>
      <w:r>
        <w:rPr>
          <w:rFonts w:hint="eastAsia" w:ascii="仿宋" w:hAnsi="仿宋" w:eastAsia="仿宋" w:cs="仿宋"/>
          <w:color w:val="auto"/>
          <w:kern w:val="44"/>
          <w:szCs w:val="24"/>
          <w:highlight w:val="none"/>
        </w:rPr>
        <w:t>总公司营业执照</w:t>
      </w:r>
      <w:r>
        <w:rPr>
          <w:color w:val="auto"/>
          <w:highlight w:val="none"/>
        </w:rPr>
        <w:tab/>
      </w:r>
      <w:r>
        <w:rPr>
          <w:color w:val="auto"/>
          <w:highlight w:val="none"/>
        </w:rPr>
        <w:fldChar w:fldCharType="begin"/>
      </w:r>
      <w:r>
        <w:rPr>
          <w:color w:val="auto"/>
          <w:highlight w:val="none"/>
        </w:rPr>
        <w:instrText xml:space="preserve"> PAGEREF _Toc12165 </w:instrText>
      </w:r>
      <w:r>
        <w:rPr>
          <w:color w:val="auto"/>
          <w:highlight w:val="none"/>
        </w:rPr>
        <w:fldChar w:fldCharType="separate"/>
      </w:r>
      <w:r>
        <w:rPr>
          <w:color w:val="auto"/>
          <w:highlight w:val="none"/>
        </w:rPr>
        <w:t>26</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_Toc31371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lang w:eastAsia="zh-CN"/>
        </w:rPr>
        <w:t>九</w:t>
      </w:r>
      <w:r>
        <w:rPr>
          <w:rFonts w:hint="eastAsia" w:ascii="仿宋" w:hAnsi="仿宋" w:eastAsia="仿宋" w:cs="宋体"/>
          <w:color w:val="auto"/>
          <w:szCs w:val="24"/>
          <w:highlight w:val="none"/>
        </w:rPr>
        <w:t>、分公司营业执照</w:t>
      </w:r>
      <w:r>
        <w:rPr>
          <w:color w:val="auto"/>
          <w:highlight w:val="none"/>
        </w:rPr>
        <w:tab/>
      </w:r>
      <w:r>
        <w:rPr>
          <w:color w:val="auto"/>
          <w:highlight w:val="none"/>
        </w:rPr>
        <w:fldChar w:fldCharType="begin"/>
      </w:r>
      <w:r>
        <w:rPr>
          <w:color w:val="auto"/>
          <w:highlight w:val="none"/>
        </w:rPr>
        <w:instrText xml:space="preserve"> PAGEREF _Toc31371 </w:instrText>
      </w:r>
      <w:r>
        <w:rPr>
          <w:color w:val="auto"/>
          <w:highlight w:val="none"/>
        </w:rPr>
        <w:fldChar w:fldCharType="separate"/>
      </w:r>
      <w:r>
        <w:rPr>
          <w:color w:val="auto"/>
          <w:highlight w:val="none"/>
        </w:rPr>
        <w:t>27</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_Toc13636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lang w:eastAsia="zh-CN"/>
        </w:rPr>
        <w:t>十</w:t>
      </w:r>
      <w:r>
        <w:rPr>
          <w:rFonts w:hint="eastAsia" w:ascii="仿宋" w:hAnsi="仿宋" w:eastAsia="仿宋" w:cs="宋体"/>
          <w:color w:val="auto"/>
          <w:szCs w:val="24"/>
          <w:highlight w:val="none"/>
        </w:rPr>
        <w:t>、估价机构资质证书</w:t>
      </w:r>
      <w:r>
        <w:rPr>
          <w:color w:val="auto"/>
          <w:highlight w:val="none"/>
        </w:rPr>
        <w:tab/>
      </w:r>
      <w:r>
        <w:rPr>
          <w:color w:val="auto"/>
          <w:highlight w:val="none"/>
        </w:rPr>
        <w:fldChar w:fldCharType="begin"/>
      </w:r>
      <w:r>
        <w:rPr>
          <w:color w:val="auto"/>
          <w:highlight w:val="none"/>
        </w:rPr>
        <w:instrText xml:space="preserve"> PAGEREF _Toc13636 </w:instrText>
      </w:r>
      <w:r>
        <w:rPr>
          <w:color w:val="auto"/>
          <w:highlight w:val="none"/>
        </w:rPr>
        <w:fldChar w:fldCharType="separate"/>
      </w:r>
      <w:r>
        <w:rPr>
          <w:color w:val="auto"/>
          <w:highlight w:val="none"/>
        </w:rPr>
        <w:t>28</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12"/>
        </w:tabs>
        <w:rPr>
          <w:color w:val="auto"/>
          <w:highlight w:val="none"/>
        </w:rPr>
      </w:pPr>
      <w:r>
        <w:rPr>
          <w:rFonts w:hint="eastAsia" w:ascii="仿宋" w:hAnsi="仿宋" w:eastAsia="仿宋"/>
          <w:color w:val="auto"/>
          <w:highlight w:val="none"/>
        </w:rPr>
        <w:fldChar w:fldCharType="begin"/>
      </w:r>
      <w:r>
        <w:rPr>
          <w:rFonts w:hint="eastAsia" w:ascii="仿宋" w:hAnsi="仿宋" w:eastAsia="仿宋"/>
          <w:color w:val="auto"/>
          <w:highlight w:val="none"/>
        </w:rPr>
        <w:instrText xml:space="preserve"> HYPERLINK \l _Toc22313 </w:instrText>
      </w:r>
      <w:r>
        <w:rPr>
          <w:rFonts w:hint="eastAsia" w:ascii="仿宋" w:hAnsi="仿宋" w:eastAsia="仿宋"/>
          <w:color w:val="auto"/>
          <w:highlight w:val="none"/>
        </w:rPr>
        <w:fldChar w:fldCharType="separate"/>
      </w:r>
      <w:r>
        <w:rPr>
          <w:rFonts w:hint="eastAsia" w:ascii="仿宋" w:hAnsi="仿宋" w:eastAsia="仿宋" w:cs="宋体"/>
          <w:color w:val="auto"/>
          <w:szCs w:val="24"/>
          <w:highlight w:val="none"/>
        </w:rPr>
        <w:t>十</w:t>
      </w:r>
      <w:r>
        <w:rPr>
          <w:rFonts w:hint="eastAsia" w:ascii="仿宋" w:hAnsi="仿宋" w:eastAsia="仿宋" w:cs="宋体"/>
          <w:color w:val="auto"/>
          <w:szCs w:val="24"/>
          <w:highlight w:val="none"/>
          <w:lang w:eastAsia="zh-CN"/>
        </w:rPr>
        <w:t>一</w:t>
      </w:r>
      <w:r>
        <w:rPr>
          <w:rFonts w:hint="eastAsia" w:ascii="仿宋" w:hAnsi="仿宋" w:eastAsia="仿宋" w:cs="宋体"/>
          <w:color w:val="auto"/>
          <w:szCs w:val="24"/>
          <w:highlight w:val="none"/>
        </w:rPr>
        <w:t>、注册估价师资格证书</w:t>
      </w:r>
      <w:r>
        <w:rPr>
          <w:color w:val="auto"/>
          <w:highlight w:val="none"/>
        </w:rPr>
        <w:tab/>
      </w:r>
      <w:r>
        <w:rPr>
          <w:color w:val="auto"/>
          <w:highlight w:val="none"/>
        </w:rPr>
        <w:fldChar w:fldCharType="begin"/>
      </w:r>
      <w:r>
        <w:rPr>
          <w:color w:val="auto"/>
          <w:highlight w:val="none"/>
        </w:rPr>
        <w:instrText xml:space="preserve"> PAGEREF _Toc22313 </w:instrText>
      </w:r>
      <w:r>
        <w:rPr>
          <w:color w:val="auto"/>
          <w:highlight w:val="none"/>
        </w:rPr>
        <w:fldChar w:fldCharType="separate"/>
      </w:r>
      <w:r>
        <w:rPr>
          <w:color w:val="auto"/>
          <w:highlight w:val="none"/>
        </w:rPr>
        <w:t>30</w:t>
      </w:r>
      <w:r>
        <w:rPr>
          <w:color w:val="auto"/>
          <w:highlight w:val="none"/>
        </w:rPr>
        <w:fldChar w:fldCharType="end"/>
      </w:r>
      <w:r>
        <w:rPr>
          <w:rFonts w:hint="eastAsia" w:ascii="仿宋" w:hAnsi="仿宋" w:eastAsia="仿宋"/>
          <w:color w:val="auto"/>
          <w:highlight w:val="none"/>
        </w:rPr>
        <w:fldChar w:fldCharType="end"/>
      </w:r>
    </w:p>
    <w:p>
      <w:pPr>
        <w:pStyle w:val="9"/>
        <w:tabs>
          <w:tab w:val="right" w:leader="dot" w:pos="9402"/>
        </w:tabs>
        <w:spacing w:line="400" w:lineRule="exact"/>
        <w:ind w:left="480"/>
        <w:rPr>
          <w:rFonts w:ascii="仿宋" w:hAnsi="仿宋" w:eastAsia="仿宋" w:cstheme="minorBidi"/>
          <w:color w:val="auto"/>
          <w:kern w:val="2"/>
          <w:sz w:val="21"/>
          <w:szCs w:val="22"/>
          <w:highlight w:val="none"/>
        </w:rPr>
        <w:sectPr>
          <w:headerReference r:id="rId3" w:type="default"/>
          <w:footerReference r:id="rId4" w:type="default"/>
          <w:pgSz w:w="11907" w:h="16840"/>
          <w:pgMar w:top="1531" w:right="1134" w:bottom="1418" w:left="1361" w:header="851" w:footer="992" w:gutter="0"/>
          <w:pgBorders>
            <w:top w:val="none" w:sz="0" w:space="0"/>
            <w:left w:val="none" w:sz="0" w:space="0"/>
            <w:bottom w:val="none" w:sz="0" w:space="0"/>
            <w:right w:val="none" w:sz="0" w:space="0"/>
          </w:pgBorders>
          <w:pgNumType w:start="1"/>
          <w:cols w:space="720" w:num="1"/>
          <w:titlePg/>
          <w:docGrid w:type="lines" w:linePitch="435" w:charSpace="0"/>
        </w:sectPr>
      </w:pPr>
      <w:r>
        <w:rPr>
          <w:rFonts w:hint="eastAsia" w:ascii="仿宋" w:hAnsi="仿宋" w:eastAsia="仿宋"/>
          <w:color w:val="auto"/>
          <w:highlight w:val="none"/>
        </w:rPr>
        <w:fldChar w:fldCharType="end"/>
      </w:r>
      <w:bookmarkEnd w:id="0"/>
      <w:bookmarkEnd w:id="1"/>
      <w:bookmarkEnd w:id="2"/>
      <w:bookmarkEnd w:id="3"/>
      <w:bookmarkEnd w:id="4"/>
      <w:bookmarkEnd w:id="5"/>
      <w:bookmarkEnd w:id="6"/>
      <w:bookmarkStart w:id="13" w:name="_Toc29483"/>
      <w:bookmarkStart w:id="14" w:name="_Toc29639"/>
      <w:bookmarkStart w:id="15" w:name="_Toc10749"/>
      <w:bookmarkStart w:id="16" w:name="_Toc6342"/>
      <w:bookmarkStart w:id="17" w:name="_Toc4209"/>
      <w:bookmarkStart w:id="18" w:name="_Toc13521"/>
      <w:bookmarkStart w:id="19" w:name="_Toc14771"/>
      <w:bookmarkStart w:id="20" w:name="_Toc383001804"/>
    </w:p>
    <w:p>
      <w:pPr>
        <w:pStyle w:val="3"/>
        <w:spacing w:before="0" w:after="0" w:line="420" w:lineRule="auto"/>
        <w:jc w:val="center"/>
        <w:rPr>
          <w:rFonts w:ascii="宋体" w:hAnsi="宋体" w:eastAsia="宋体"/>
          <w:color w:val="auto"/>
          <w:sz w:val="32"/>
          <w:szCs w:val="32"/>
          <w:highlight w:val="none"/>
        </w:rPr>
      </w:pPr>
      <w:bookmarkStart w:id="21" w:name="_Toc11179"/>
      <w:r>
        <w:rPr>
          <w:rFonts w:hint="eastAsia" w:ascii="宋体" w:hAnsi="宋体" w:eastAsia="宋体"/>
          <w:color w:val="auto"/>
          <w:sz w:val="32"/>
          <w:szCs w:val="32"/>
          <w:highlight w:val="none"/>
        </w:rPr>
        <w:t>注册房地产估价师声明</w:t>
      </w:r>
      <w:bookmarkEnd w:id="13"/>
      <w:bookmarkEnd w:id="14"/>
      <w:bookmarkEnd w:id="15"/>
      <w:bookmarkEnd w:id="16"/>
      <w:bookmarkEnd w:id="17"/>
      <w:bookmarkEnd w:id="18"/>
      <w:bookmarkEnd w:id="19"/>
      <w:bookmarkEnd w:id="20"/>
      <w:bookmarkEnd w:id="21"/>
    </w:p>
    <w:p>
      <w:pPr>
        <w:spacing w:line="480" w:lineRule="exact"/>
        <w:ind w:right="211" w:rightChars="88" w:firstLine="482" w:firstLineChars="200"/>
        <w:rPr>
          <w:rFonts w:ascii="仿宋" w:hAnsi="仿宋" w:eastAsia="仿宋"/>
          <w:b/>
          <w:color w:val="auto"/>
          <w:highlight w:val="none"/>
        </w:rPr>
      </w:pPr>
      <w:bookmarkStart w:id="22" w:name="_Toc9937"/>
      <w:bookmarkEnd w:id="22"/>
      <w:bookmarkStart w:id="23" w:name="_Toc24297"/>
      <w:bookmarkEnd w:id="23"/>
      <w:bookmarkStart w:id="24" w:name="_Toc16322"/>
      <w:bookmarkEnd w:id="24"/>
      <w:bookmarkStart w:id="25" w:name="_Toc17945"/>
      <w:bookmarkEnd w:id="25"/>
      <w:bookmarkStart w:id="26" w:name="_Toc383001805"/>
      <w:bookmarkEnd w:id="26"/>
      <w:bookmarkStart w:id="27" w:name="_Toc29558"/>
      <w:bookmarkEnd w:id="27"/>
      <w:bookmarkStart w:id="28" w:name="_Toc5746"/>
      <w:bookmarkEnd w:id="28"/>
      <w:bookmarkStart w:id="29" w:name="_Toc17780"/>
      <w:bookmarkEnd w:id="29"/>
      <w:bookmarkStart w:id="30" w:name="_Toc16680"/>
      <w:bookmarkEnd w:id="30"/>
      <w:bookmarkStart w:id="31" w:name="_Toc13737"/>
      <w:bookmarkEnd w:id="31"/>
      <w:bookmarkStart w:id="32" w:name="_Toc14089"/>
      <w:bookmarkStart w:id="33" w:name="_Toc383001809"/>
      <w:bookmarkStart w:id="34" w:name="_Toc11147"/>
      <w:r>
        <w:rPr>
          <w:rFonts w:ascii="仿宋" w:hAnsi="仿宋" w:eastAsia="仿宋"/>
          <w:b/>
          <w:color w:val="auto"/>
          <w:highlight w:val="none"/>
        </w:rPr>
        <w:t>我们郑重声明</w:t>
      </w:r>
      <w:r>
        <w:rPr>
          <w:rFonts w:hint="eastAsia" w:ascii="仿宋" w:hAnsi="仿宋" w:eastAsia="仿宋"/>
          <w:b/>
          <w:color w:val="auto"/>
          <w:highlight w:val="none"/>
        </w:rPr>
        <w:t>：</w:t>
      </w:r>
    </w:p>
    <w:p>
      <w:pPr>
        <w:spacing w:line="480" w:lineRule="exact"/>
        <w:ind w:right="211" w:rightChars="88" w:firstLine="480" w:firstLineChars="200"/>
        <w:jc w:val="both"/>
        <w:rPr>
          <w:rFonts w:ascii="仿宋" w:hAnsi="仿宋" w:eastAsia="仿宋"/>
          <w:color w:val="auto"/>
          <w:highlight w:val="none"/>
        </w:rPr>
      </w:pPr>
      <w:r>
        <w:rPr>
          <w:rFonts w:ascii="仿宋" w:hAnsi="仿宋" w:eastAsia="仿宋"/>
          <w:color w:val="auto"/>
          <w:highlight w:val="none"/>
        </w:rPr>
        <w:t>1、</w:t>
      </w:r>
      <w:r>
        <w:rPr>
          <w:rFonts w:hint="eastAsia" w:ascii="仿宋" w:hAnsi="仿宋" w:eastAsia="仿宋"/>
          <w:color w:val="auto"/>
          <w:highlight w:val="none"/>
        </w:rPr>
        <w:t>我们在</w:t>
      </w:r>
      <w:r>
        <w:rPr>
          <w:rFonts w:ascii="仿宋" w:hAnsi="仿宋" w:eastAsia="仿宋"/>
          <w:color w:val="auto"/>
          <w:highlight w:val="none"/>
        </w:rPr>
        <w:t>估价报告中</w:t>
      </w:r>
      <w:r>
        <w:rPr>
          <w:rFonts w:hint="eastAsia" w:ascii="仿宋" w:hAnsi="仿宋" w:eastAsia="仿宋"/>
          <w:color w:val="auto"/>
          <w:highlight w:val="none"/>
        </w:rPr>
        <w:t>对</w:t>
      </w:r>
      <w:r>
        <w:rPr>
          <w:rFonts w:ascii="仿宋" w:hAnsi="仿宋" w:eastAsia="仿宋"/>
          <w:color w:val="auto"/>
          <w:highlight w:val="none"/>
        </w:rPr>
        <w:t>事实</w:t>
      </w:r>
      <w:r>
        <w:rPr>
          <w:rFonts w:hint="eastAsia" w:ascii="仿宋" w:hAnsi="仿宋" w:eastAsia="仿宋"/>
          <w:color w:val="auto"/>
          <w:highlight w:val="none"/>
        </w:rPr>
        <w:t>的说明</w:t>
      </w:r>
      <w:r>
        <w:rPr>
          <w:rFonts w:ascii="仿宋" w:hAnsi="仿宋" w:eastAsia="仿宋"/>
          <w:color w:val="auto"/>
          <w:highlight w:val="none"/>
        </w:rPr>
        <w:t>是真实和准确的</w:t>
      </w:r>
      <w:r>
        <w:rPr>
          <w:rFonts w:hint="eastAsia" w:ascii="仿宋" w:hAnsi="仿宋" w:eastAsia="仿宋"/>
          <w:color w:val="auto"/>
          <w:highlight w:val="none"/>
        </w:rPr>
        <w:t>，没有虚假记载、误导性陈述和重大遗漏</w:t>
      </w:r>
      <w:r>
        <w:rPr>
          <w:rFonts w:ascii="仿宋" w:hAnsi="仿宋" w:eastAsia="仿宋"/>
          <w:color w:val="auto"/>
          <w:highlight w:val="none"/>
        </w:rPr>
        <w:t>。</w:t>
      </w:r>
    </w:p>
    <w:p>
      <w:pPr>
        <w:spacing w:line="480" w:lineRule="exact"/>
        <w:ind w:right="211" w:rightChars="88" w:firstLine="480" w:firstLineChars="200"/>
        <w:jc w:val="both"/>
        <w:rPr>
          <w:rFonts w:ascii="仿宋" w:hAnsi="仿宋" w:eastAsia="仿宋"/>
          <w:color w:val="auto"/>
          <w:highlight w:val="none"/>
        </w:rPr>
      </w:pPr>
      <w:r>
        <w:rPr>
          <w:rFonts w:ascii="仿宋" w:hAnsi="仿宋" w:eastAsia="仿宋"/>
          <w:color w:val="auto"/>
          <w:highlight w:val="none"/>
        </w:rPr>
        <w:t>2、估价报告中的分析、意见和结论是</w:t>
      </w:r>
      <w:r>
        <w:rPr>
          <w:rFonts w:hint="eastAsia" w:ascii="仿宋" w:hAnsi="仿宋" w:eastAsia="仿宋"/>
          <w:color w:val="auto"/>
          <w:highlight w:val="none"/>
        </w:rPr>
        <w:t>我们</w:t>
      </w:r>
      <w:r>
        <w:rPr>
          <w:rFonts w:ascii="仿宋" w:hAnsi="仿宋" w:eastAsia="仿宋"/>
          <w:color w:val="auto"/>
          <w:highlight w:val="none"/>
        </w:rPr>
        <w:t>独立、客观、公正的专业分析、意见和结论，但受到估价报告中已说明的</w:t>
      </w:r>
      <w:r>
        <w:rPr>
          <w:rFonts w:hint="eastAsia" w:ascii="仿宋" w:hAnsi="仿宋" w:eastAsia="仿宋"/>
          <w:color w:val="auto"/>
          <w:highlight w:val="none"/>
        </w:rPr>
        <w:t>估价</w:t>
      </w:r>
      <w:r>
        <w:rPr>
          <w:rFonts w:ascii="仿宋" w:hAnsi="仿宋" w:eastAsia="仿宋"/>
          <w:color w:val="auto"/>
          <w:highlight w:val="none"/>
        </w:rPr>
        <w:t>假设和限制条件的限制。</w:t>
      </w:r>
    </w:p>
    <w:p>
      <w:pPr>
        <w:spacing w:line="480" w:lineRule="exact"/>
        <w:ind w:right="211" w:rightChars="88" w:firstLine="480" w:firstLineChars="200"/>
        <w:jc w:val="both"/>
        <w:rPr>
          <w:rFonts w:ascii="仿宋" w:hAnsi="仿宋" w:eastAsia="仿宋"/>
          <w:color w:val="auto"/>
          <w:highlight w:val="none"/>
        </w:rPr>
      </w:pPr>
      <w:r>
        <w:rPr>
          <w:rFonts w:hint="eastAsia" w:ascii="仿宋" w:hAnsi="仿宋" w:eastAsia="仿宋"/>
          <w:color w:val="auto"/>
          <w:highlight w:val="none"/>
        </w:rPr>
        <w:t>3、我们</w:t>
      </w:r>
      <w:r>
        <w:rPr>
          <w:rFonts w:ascii="仿宋" w:hAnsi="仿宋" w:eastAsia="仿宋"/>
          <w:color w:val="auto"/>
          <w:highlight w:val="none"/>
        </w:rPr>
        <w:t>与估价报告中的估价对象没有</w:t>
      </w:r>
      <w:r>
        <w:rPr>
          <w:rFonts w:hint="eastAsia" w:ascii="仿宋" w:hAnsi="仿宋" w:eastAsia="仿宋"/>
          <w:color w:val="auto"/>
          <w:highlight w:val="none"/>
        </w:rPr>
        <w:t>现实或潜在的利益，与估价委托人及估价</w:t>
      </w:r>
      <w:r>
        <w:rPr>
          <w:rFonts w:ascii="仿宋" w:hAnsi="仿宋" w:eastAsia="仿宋"/>
          <w:color w:val="auto"/>
          <w:highlight w:val="none"/>
        </w:rPr>
        <w:t>利害关系</w:t>
      </w:r>
      <w:r>
        <w:rPr>
          <w:rFonts w:hint="eastAsia" w:ascii="仿宋" w:hAnsi="仿宋" w:eastAsia="仿宋"/>
          <w:color w:val="auto"/>
          <w:highlight w:val="none"/>
        </w:rPr>
        <w:t>人没有利害关系</w:t>
      </w:r>
      <w:r>
        <w:rPr>
          <w:rFonts w:ascii="仿宋" w:hAnsi="仿宋" w:eastAsia="仿宋"/>
          <w:color w:val="auto"/>
          <w:highlight w:val="none"/>
        </w:rPr>
        <w:t>，也</w:t>
      </w:r>
      <w:r>
        <w:rPr>
          <w:rFonts w:hint="eastAsia" w:ascii="仿宋" w:hAnsi="仿宋" w:eastAsia="仿宋"/>
          <w:color w:val="auto"/>
          <w:highlight w:val="none"/>
        </w:rPr>
        <w:t>对估价对象、估价委托人及估价</w:t>
      </w:r>
      <w:r>
        <w:rPr>
          <w:rFonts w:ascii="仿宋" w:hAnsi="仿宋" w:eastAsia="仿宋"/>
          <w:color w:val="auto"/>
          <w:highlight w:val="none"/>
        </w:rPr>
        <w:t>利害关系</w:t>
      </w:r>
      <w:r>
        <w:rPr>
          <w:rFonts w:hint="eastAsia" w:ascii="仿宋" w:hAnsi="仿宋" w:eastAsia="仿宋"/>
          <w:color w:val="auto"/>
          <w:highlight w:val="none"/>
        </w:rPr>
        <w:t>人没有偏见。</w:t>
      </w:r>
    </w:p>
    <w:p>
      <w:pPr>
        <w:spacing w:line="480" w:lineRule="exact"/>
        <w:ind w:right="211" w:rightChars="88" w:firstLine="480" w:firstLineChars="200"/>
        <w:jc w:val="both"/>
        <w:rPr>
          <w:rFonts w:ascii="仿宋" w:hAnsi="仿宋" w:eastAsia="仿宋"/>
          <w:color w:val="auto"/>
          <w:highlight w:val="none"/>
        </w:rPr>
      </w:pPr>
      <w:r>
        <w:rPr>
          <w:rFonts w:hint="eastAsia" w:ascii="仿宋" w:hAnsi="仿宋" w:eastAsia="仿宋"/>
          <w:color w:val="auto"/>
          <w:highlight w:val="none"/>
        </w:rPr>
        <w:t>4、我们是按照</w:t>
      </w:r>
      <w:r>
        <w:rPr>
          <w:rFonts w:hint="eastAsia" w:hAnsi="仿宋" w:eastAsia="仿宋"/>
          <w:color w:val="auto"/>
          <w:highlight w:val="none"/>
        </w:rPr>
        <w:t>《中华人民共和国资产评估法》、</w:t>
      </w:r>
      <w:r>
        <w:rPr>
          <w:rFonts w:ascii="仿宋" w:hAnsi="仿宋" w:eastAsia="仿宋"/>
          <w:color w:val="auto"/>
          <w:highlight w:val="none"/>
        </w:rPr>
        <w:t>《房地产估价规范》</w:t>
      </w:r>
      <w:r>
        <w:rPr>
          <w:rFonts w:hint="eastAsia" w:ascii="仿宋" w:hAnsi="仿宋" w:eastAsia="仿宋"/>
          <w:color w:val="auto"/>
          <w:highlight w:val="none"/>
        </w:rPr>
        <w:t>（</w:t>
      </w:r>
      <w:r>
        <w:rPr>
          <w:rFonts w:ascii="仿宋" w:hAnsi="仿宋" w:eastAsia="仿宋"/>
          <w:color w:val="auto"/>
          <w:highlight w:val="none"/>
        </w:rPr>
        <w:t>GB/T 50291</w:t>
      </w:r>
      <w:r>
        <w:rPr>
          <w:rFonts w:hint="eastAsia" w:ascii="仿宋" w:hAnsi="仿宋" w:eastAsia="仿宋"/>
          <w:color w:val="auto"/>
          <w:highlight w:val="none"/>
        </w:rPr>
        <w:t>-</w:t>
      </w:r>
      <w:r>
        <w:rPr>
          <w:rFonts w:ascii="仿宋" w:hAnsi="仿宋" w:eastAsia="仿宋"/>
          <w:color w:val="auto"/>
          <w:highlight w:val="none"/>
        </w:rPr>
        <w:t>2015</w:t>
      </w:r>
      <w:r>
        <w:rPr>
          <w:rFonts w:hint="eastAsia" w:ascii="仿宋" w:hAnsi="仿宋" w:eastAsia="仿宋"/>
          <w:color w:val="auto"/>
          <w:highlight w:val="none"/>
        </w:rPr>
        <w:t>）、《房地产估价基本术语标准》（</w:t>
      </w:r>
      <w:r>
        <w:rPr>
          <w:rFonts w:ascii="仿宋" w:hAnsi="仿宋" w:eastAsia="仿宋"/>
          <w:color w:val="auto"/>
          <w:highlight w:val="none"/>
        </w:rPr>
        <w:t>GB/T 50</w:t>
      </w:r>
      <w:r>
        <w:rPr>
          <w:rFonts w:hint="eastAsia" w:ascii="仿宋" w:hAnsi="仿宋" w:eastAsia="仿宋"/>
          <w:color w:val="auto"/>
          <w:highlight w:val="none"/>
        </w:rPr>
        <w:t>899-</w:t>
      </w:r>
      <w:r>
        <w:rPr>
          <w:rFonts w:ascii="仿宋" w:hAnsi="仿宋" w:eastAsia="仿宋"/>
          <w:color w:val="auto"/>
          <w:highlight w:val="none"/>
        </w:rPr>
        <w:t>201</w:t>
      </w:r>
      <w:r>
        <w:rPr>
          <w:rFonts w:hint="eastAsia" w:ascii="仿宋" w:hAnsi="仿宋" w:eastAsia="仿宋"/>
          <w:color w:val="auto"/>
          <w:highlight w:val="none"/>
        </w:rPr>
        <w:t>3）等有关房地产估价标准的规定</w:t>
      </w:r>
      <w:r>
        <w:rPr>
          <w:rFonts w:ascii="仿宋" w:hAnsi="仿宋" w:eastAsia="仿宋"/>
          <w:color w:val="auto"/>
          <w:highlight w:val="none"/>
        </w:rPr>
        <w:t>进行</w:t>
      </w:r>
      <w:r>
        <w:rPr>
          <w:rFonts w:hint="eastAsia" w:ascii="仿宋" w:hAnsi="仿宋" w:eastAsia="仿宋"/>
          <w:color w:val="auto"/>
          <w:highlight w:val="none"/>
        </w:rPr>
        <w:t>估价工作，撰写估价报告。</w:t>
      </w:r>
    </w:p>
    <w:p>
      <w:pPr>
        <w:spacing w:line="480" w:lineRule="exact"/>
        <w:ind w:right="211" w:rightChars="88" w:firstLine="480" w:firstLineChars="200"/>
        <w:jc w:val="both"/>
        <w:rPr>
          <w:rFonts w:ascii="仿宋" w:hAnsi="仿宋" w:eastAsia="仿宋"/>
          <w:color w:val="auto"/>
          <w:highlight w:val="none"/>
        </w:rPr>
      </w:pPr>
      <w:r>
        <w:rPr>
          <w:rFonts w:hint="eastAsia" w:ascii="仿宋" w:hAnsi="仿宋" w:eastAsia="仿宋"/>
          <w:color w:val="auto"/>
          <w:highlight w:val="none"/>
        </w:rPr>
        <w:t>5、</w:t>
      </w:r>
      <w:r>
        <w:rPr>
          <w:rFonts w:ascii="仿宋" w:hAnsi="仿宋" w:eastAsia="仿宋"/>
          <w:color w:val="auto"/>
          <w:highlight w:val="none"/>
        </w:rPr>
        <w:t>我公司估价师对本估价报告中的估价对象</w:t>
      </w:r>
      <w:r>
        <w:rPr>
          <w:rFonts w:hint="eastAsia" w:ascii="仿宋" w:hAnsi="仿宋" w:eastAsia="仿宋"/>
          <w:color w:val="auto"/>
          <w:highlight w:val="none"/>
        </w:rPr>
        <w:t>于</w:t>
      </w:r>
      <w:r>
        <w:rPr>
          <w:rFonts w:hint="eastAsia" w:ascii="仿宋" w:hAnsi="仿宋" w:eastAsia="仿宋"/>
          <w:color w:val="auto"/>
          <w:highlight w:val="none"/>
          <w:lang w:eastAsia="zh-CN"/>
        </w:rPr>
        <w:t>2019年8月26日</w:t>
      </w:r>
      <w:r>
        <w:rPr>
          <w:rFonts w:ascii="仿宋" w:hAnsi="仿宋" w:eastAsia="仿宋"/>
          <w:color w:val="auto"/>
          <w:highlight w:val="none"/>
        </w:rPr>
        <w:t>进行了实地</w:t>
      </w:r>
      <w:r>
        <w:rPr>
          <w:rFonts w:hint="eastAsia" w:ascii="仿宋" w:hAnsi="仿宋" w:eastAsia="仿宋"/>
          <w:color w:val="auto"/>
          <w:highlight w:val="none"/>
        </w:rPr>
        <w:t>查勘</w:t>
      </w:r>
      <w:r>
        <w:rPr>
          <w:rFonts w:ascii="仿宋" w:hAnsi="仿宋" w:eastAsia="仿宋"/>
          <w:color w:val="auto"/>
          <w:highlight w:val="none"/>
        </w:rPr>
        <w:t>，但对估价对象的</w:t>
      </w:r>
      <w:r>
        <w:rPr>
          <w:rFonts w:hint="eastAsia" w:ascii="仿宋" w:hAnsi="仿宋" w:eastAsia="仿宋"/>
          <w:color w:val="auto"/>
          <w:highlight w:val="none"/>
        </w:rPr>
        <w:t>查勘</w:t>
      </w:r>
      <w:r>
        <w:rPr>
          <w:rFonts w:ascii="仿宋" w:hAnsi="仿宋" w:eastAsia="仿宋"/>
          <w:color w:val="auto"/>
          <w:highlight w:val="none"/>
        </w:rPr>
        <w:t>，仅限于估价对象的外观和使用状况。</w:t>
      </w:r>
      <w:r>
        <w:rPr>
          <w:rFonts w:hint="eastAsia" w:ascii="仿宋" w:hAnsi="仿宋" w:eastAsia="仿宋"/>
          <w:color w:val="auto"/>
          <w:highlight w:val="none"/>
        </w:rPr>
        <w:t>我们不承担对估价对象的建筑结构、质量和其它被遮盖、未暴露及难于接触到的部分进行检测的责任。</w:t>
      </w:r>
    </w:p>
    <w:p>
      <w:pPr>
        <w:spacing w:line="480" w:lineRule="exact"/>
        <w:ind w:right="211" w:rightChars="88" w:firstLine="480" w:firstLineChars="200"/>
        <w:jc w:val="both"/>
        <w:rPr>
          <w:rFonts w:ascii="仿宋" w:hAnsi="仿宋" w:eastAsia="仿宋"/>
          <w:color w:val="auto"/>
          <w:highlight w:val="none"/>
        </w:rPr>
      </w:pPr>
      <w:r>
        <w:rPr>
          <w:rFonts w:hint="eastAsia" w:ascii="仿宋" w:hAnsi="仿宋" w:eastAsia="仿宋"/>
          <w:color w:val="auto"/>
          <w:highlight w:val="none"/>
        </w:rPr>
        <w:t>6、没有人对本估价报告提供重要专业帮助。</w:t>
      </w:r>
    </w:p>
    <w:p>
      <w:pPr>
        <w:spacing w:line="480" w:lineRule="exact"/>
        <w:ind w:firstLine="480" w:firstLineChars="200"/>
        <w:jc w:val="both"/>
        <w:rPr>
          <w:rFonts w:ascii="仿宋" w:hAnsi="仿宋" w:eastAsia="仿宋"/>
          <w:color w:val="auto"/>
          <w:highlight w:val="none"/>
        </w:rPr>
      </w:pPr>
      <w:r>
        <w:rPr>
          <w:rFonts w:hint="eastAsia" w:ascii="仿宋" w:hAnsi="仿宋" w:eastAsia="仿宋"/>
          <w:color w:val="auto"/>
          <w:highlight w:val="none"/>
        </w:rPr>
        <w:t>7、本报告的使用权由估价委托人所有，未经估价委托人同意，不以任何方式向与本次估价目的无关的第三方提供报告全文或者内容，国家法律法规及相关部门有规定的除外。</w:t>
      </w:r>
    </w:p>
    <w:p>
      <w:pPr>
        <w:spacing w:line="480" w:lineRule="exact"/>
        <w:ind w:firstLine="480" w:firstLineChars="200"/>
        <w:jc w:val="both"/>
        <w:rPr>
          <w:rFonts w:ascii="仿宋" w:hAnsi="仿宋" w:eastAsia="仿宋"/>
          <w:color w:val="auto"/>
          <w:highlight w:val="none"/>
        </w:rPr>
      </w:pPr>
      <w:r>
        <w:rPr>
          <w:rFonts w:hint="eastAsia" w:ascii="仿宋" w:hAnsi="仿宋" w:eastAsia="仿宋"/>
          <w:color w:val="auto"/>
          <w:highlight w:val="none"/>
        </w:rPr>
        <w:t>8、</w:t>
      </w:r>
      <w:r>
        <w:rPr>
          <w:rFonts w:hint="eastAsia" w:eastAsia="仿宋_GB2312"/>
          <w:color w:val="auto"/>
          <w:szCs w:val="28"/>
          <w:highlight w:val="none"/>
        </w:rPr>
        <w:t>参加本次估价的注册房地产估价师承诺对其估价职业道德、专业胜任能力和勤勉尽职尽责。</w:t>
      </w:r>
    </w:p>
    <w:tbl>
      <w:tblPr>
        <w:tblStyle w:val="14"/>
        <w:tblW w:w="9628" w:type="dxa"/>
        <w:jc w:val="center"/>
        <w:tblInd w:w="0" w:type="dxa"/>
        <w:tblLayout w:type="fixed"/>
        <w:tblCellMar>
          <w:top w:w="0" w:type="dxa"/>
          <w:left w:w="108" w:type="dxa"/>
          <w:bottom w:w="0" w:type="dxa"/>
          <w:right w:w="108" w:type="dxa"/>
        </w:tblCellMar>
      </w:tblPr>
      <w:tblGrid>
        <w:gridCol w:w="2017"/>
        <w:gridCol w:w="2176"/>
        <w:gridCol w:w="2704"/>
        <w:gridCol w:w="2731"/>
      </w:tblGrid>
      <w:tr>
        <w:tblPrEx>
          <w:tblLayout w:type="fixed"/>
          <w:tblCellMar>
            <w:top w:w="0" w:type="dxa"/>
            <w:left w:w="108" w:type="dxa"/>
            <w:bottom w:w="0" w:type="dxa"/>
            <w:right w:w="108" w:type="dxa"/>
          </w:tblCellMar>
        </w:tblPrEx>
        <w:trPr>
          <w:trHeight w:val="925" w:hRule="atLeast"/>
          <w:jc w:val="center"/>
        </w:trPr>
        <w:tc>
          <w:tcPr>
            <w:tcW w:w="2017" w:type="dxa"/>
            <w:tcBorders>
              <w:top w:val="single" w:color="auto" w:sz="4" w:space="0"/>
              <w:left w:val="single" w:color="auto" w:sz="4" w:space="0"/>
              <w:bottom w:val="single" w:color="auto" w:sz="4" w:space="0"/>
              <w:right w:val="single" w:color="auto" w:sz="4" w:space="0"/>
            </w:tcBorders>
            <w:vAlign w:val="center"/>
          </w:tcPr>
          <w:p>
            <w:pPr>
              <w:adjustRightInd w:val="0"/>
              <w:spacing w:line="460" w:lineRule="exact"/>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姓   名</w:t>
            </w:r>
          </w:p>
        </w:tc>
        <w:tc>
          <w:tcPr>
            <w:tcW w:w="2176"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注  册  号</w:t>
            </w:r>
          </w:p>
        </w:tc>
        <w:tc>
          <w:tcPr>
            <w:tcW w:w="2704"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签   名</w:t>
            </w:r>
          </w:p>
        </w:tc>
        <w:tc>
          <w:tcPr>
            <w:tcW w:w="2731"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签名日期</w:t>
            </w:r>
          </w:p>
        </w:tc>
      </w:tr>
      <w:tr>
        <w:tblPrEx>
          <w:tblLayout w:type="fixed"/>
          <w:tblCellMar>
            <w:top w:w="0" w:type="dxa"/>
            <w:left w:w="108" w:type="dxa"/>
            <w:bottom w:w="0" w:type="dxa"/>
            <w:right w:w="108" w:type="dxa"/>
          </w:tblCellMar>
        </w:tblPrEx>
        <w:trPr>
          <w:trHeight w:val="1278" w:hRule="atLeast"/>
          <w:jc w:val="center"/>
        </w:trPr>
        <w:tc>
          <w:tcPr>
            <w:tcW w:w="2017" w:type="dxa"/>
            <w:tcBorders>
              <w:top w:val="single" w:color="auto" w:sz="4" w:space="0"/>
              <w:left w:val="single" w:color="auto" w:sz="4" w:space="0"/>
              <w:bottom w:val="single" w:color="auto" w:sz="4" w:space="0"/>
              <w:right w:val="single" w:color="auto" w:sz="4" w:space="0"/>
            </w:tcBorders>
            <w:vAlign w:val="center"/>
          </w:tcPr>
          <w:p>
            <w:pPr>
              <w:adjustRightInd w:val="0"/>
              <w:spacing w:line="460" w:lineRule="exact"/>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杨再成</w:t>
            </w:r>
          </w:p>
        </w:tc>
        <w:tc>
          <w:tcPr>
            <w:tcW w:w="2176"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5220190057</w:t>
            </w:r>
          </w:p>
        </w:tc>
        <w:tc>
          <w:tcPr>
            <w:tcW w:w="2704"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ascii="仿宋" w:hAnsi="仿宋" w:eastAsia="仿宋"/>
                <w:color w:val="auto"/>
                <w:sz w:val="21"/>
                <w:szCs w:val="21"/>
                <w:highlight w:val="none"/>
              </w:rPr>
            </w:pPr>
          </w:p>
        </w:tc>
        <w:tc>
          <w:tcPr>
            <w:tcW w:w="2731"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2019年8月30日</w:t>
            </w:r>
          </w:p>
        </w:tc>
      </w:tr>
      <w:tr>
        <w:tblPrEx>
          <w:tblLayout w:type="fixed"/>
          <w:tblCellMar>
            <w:top w:w="0" w:type="dxa"/>
            <w:left w:w="108" w:type="dxa"/>
            <w:bottom w:w="0" w:type="dxa"/>
            <w:right w:w="108" w:type="dxa"/>
          </w:tblCellMar>
        </w:tblPrEx>
        <w:trPr>
          <w:trHeight w:val="1268" w:hRule="atLeast"/>
          <w:jc w:val="center"/>
        </w:trPr>
        <w:tc>
          <w:tcPr>
            <w:tcW w:w="2017" w:type="dxa"/>
            <w:tcBorders>
              <w:top w:val="single" w:color="auto" w:sz="4" w:space="0"/>
              <w:left w:val="single" w:color="auto" w:sz="4" w:space="0"/>
              <w:bottom w:val="single" w:color="auto" w:sz="4" w:space="0"/>
              <w:right w:val="single" w:color="auto" w:sz="4" w:space="0"/>
            </w:tcBorders>
            <w:vAlign w:val="center"/>
          </w:tcPr>
          <w:p>
            <w:pPr>
              <w:adjustRightInd w:val="0"/>
              <w:spacing w:line="460" w:lineRule="exact"/>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王  飞</w:t>
            </w:r>
          </w:p>
        </w:tc>
        <w:tc>
          <w:tcPr>
            <w:tcW w:w="2176"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5220190022</w:t>
            </w:r>
          </w:p>
        </w:tc>
        <w:tc>
          <w:tcPr>
            <w:tcW w:w="2704"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ascii="仿宋" w:hAnsi="仿宋" w:eastAsia="仿宋"/>
                <w:color w:val="auto"/>
                <w:sz w:val="21"/>
                <w:szCs w:val="21"/>
                <w:highlight w:val="none"/>
              </w:rPr>
            </w:pPr>
          </w:p>
        </w:tc>
        <w:tc>
          <w:tcPr>
            <w:tcW w:w="2731"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2019年8月30日</w:t>
            </w:r>
          </w:p>
        </w:tc>
      </w:tr>
    </w:tbl>
    <w:p>
      <w:pPr>
        <w:rPr>
          <w:color w:val="auto"/>
          <w:highlight w:val="none"/>
        </w:rPr>
      </w:pPr>
    </w:p>
    <w:p>
      <w:pPr>
        <w:spacing w:line="480" w:lineRule="exact"/>
        <w:rPr>
          <w:rFonts w:ascii="仿宋" w:hAnsi="仿宋" w:eastAsia="仿宋"/>
          <w:color w:val="auto"/>
          <w:sz w:val="28"/>
          <w:szCs w:val="28"/>
          <w:highlight w:val="none"/>
        </w:rPr>
      </w:pPr>
    </w:p>
    <w:p>
      <w:pPr>
        <w:pStyle w:val="3"/>
        <w:spacing w:before="0" w:after="0" w:line="420" w:lineRule="auto"/>
        <w:jc w:val="center"/>
        <w:rPr>
          <w:rFonts w:ascii="宋体" w:hAnsi="宋体" w:eastAsia="宋体"/>
          <w:color w:val="auto"/>
          <w:sz w:val="32"/>
          <w:szCs w:val="32"/>
          <w:highlight w:val="none"/>
        </w:rPr>
      </w:pPr>
      <w:bookmarkStart w:id="35" w:name="_Toc25786"/>
      <w:r>
        <w:rPr>
          <w:rFonts w:hint="eastAsia" w:ascii="宋体" w:hAnsi="宋体" w:eastAsia="宋体"/>
          <w:color w:val="auto"/>
          <w:sz w:val="32"/>
          <w:szCs w:val="32"/>
          <w:highlight w:val="none"/>
        </w:rPr>
        <w:t>估价的假设和限制条件</w:t>
      </w:r>
      <w:bookmarkEnd w:id="35"/>
      <w:bookmarkStart w:id="36" w:name="_Toc383001806"/>
      <w:bookmarkStart w:id="37" w:name="_Toc11043"/>
      <w:bookmarkStart w:id="38" w:name="_Toc25903"/>
      <w:bookmarkStart w:id="39" w:name="_Toc19196"/>
      <w:bookmarkStart w:id="40" w:name="_Toc438"/>
      <w:bookmarkStart w:id="41" w:name="_Toc2864"/>
    </w:p>
    <w:bookmarkEnd w:id="36"/>
    <w:bookmarkEnd w:id="37"/>
    <w:bookmarkEnd w:id="38"/>
    <w:bookmarkEnd w:id="39"/>
    <w:bookmarkEnd w:id="40"/>
    <w:bookmarkEnd w:id="41"/>
    <w:p>
      <w:pPr>
        <w:spacing w:line="480" w:lineRule="exact"/>
        <w:ind w:firstLine="482" w:firstLineChars="200"/>
        <w:rPr>
          <w:rFonts w:ascii="仿宋" w:hAnsi="仿宋" w:eastAsia="仿宋"/>
          <w:b/>
          <w:color w:val="auto"/>
          <w:highlight w:val="none"/>
        </w:rPr>
      </w:pPr>
      <w:bookmarkStart w:id="42" w:name="_Toc471978236"/>
      <w:bookmarkStart w:id="43" w:name="_Toc4125"/>
      <w:r>
        <w:rPr>
          <w:rFonts w:hint="eastAsia" w:ascii="仿宋" w:hAnsi="仿宋" w:eastAsia="仿宋"/>
          <w:b/>
          <w:color w:val="auto"/>
          <w:highlight w:val="none"/>
        </w:rPr>
        <w:t>一、本次估价的一般假设</w:t>
      </w:r>
      <w:bookmarkEnd w:id="42"/>
      <w:bookmarkEnd w:id="43"/>
    </w:p>
    <w:p>
      <w:pPr>
        <w:pStyle w:val="6"/>
        <w:ind w:firstLine="480" w:firstLineChars="200"/>
        <w:jc w:val="both"/>
        <w:rPr>
          <w:rFonts w:ascii="仿宋" w:hAnsi="仿宋" w:eastAsia="仿宋" w:cs="仿宋"/>
          <w:snapToGrid w:val="0"/>
          <w:color w:val="auto"/>
          <w:kern w:val="0"/>
          <w:sz w:val="24"/>
          <w:highlight w:val="none"/>
        </w:rPr>
      </w:pPr>
      <w:r>
        <w:rPr>
          <w:rFonts w:hint="eastAsia" w:ascii="仿宋" w:hAnsi="仿宋" w:eastAsia="仿宋" w:cs="仿宋"/>
          <w:snapToGrid w:val="0"/>
          <w:color w:val="auto"/>
          <w:sz w:val="24"/>
          <w:highlight w:val="none"/>
        </w:rPr>
        <w:t>1</w:t>
      </w:r>
      <w:r>
        <w:rPr>
          <w:rFonts w:hint="eastAsia" w:ascii="仿宋" w:hAnsi="仿宋" w:eastAsia="仿宋" w:cs="仿宋"/>
          <w:snapToGrid w:val="0"/>
          <w:color w:val="auto"/>
          <w:kern w:val="0"/>
          <w:sz w:val="24"/>
          <w:highlight w:val="none"/>
        </w:rPr>
        <w:t>、估价委托人只提供了估价对象的</w:t>
      </w:r>
      <w:r>
        <w:rPr>
          <w:rFonts w:hint="eastAsia" w:ascii="仿宋" w:hAnsi="仿宋" w:eastAsia="仿宋" w:cs="宋体"/>
          <w:snapToGrid w:val="0"/>
          <w:color w:val="auto"/>
          <w:kern w:val="0"/>
          <w:sz w:val="24"/>
          <w:highlight w:val="none"/>
        </w:rPr>
        <w:t>《</w:t>
      </w:r>
      <w:r>
        <w:rPr>
          <w:rFonts w:hint="eastAsia" w:ascii="仿宋" w:hAnsi="仿宋" w:eastAsia="仿宋" w:cs="宋体"/>
          <w:snapToGrid w:val="0"/>
          <w:color w:val="auto"/>
          <w:kern w:val="0"/>
          <w:sz w:val="24"/>
          <w:highlight w:val="none"/>
          <w:lang w:eastAsia="zh-CN"/>
        </w:rPr>
        <w:t>个人不动产信息情况证明</w:t>
      </w:r>
      <w:r>
        <w:rPr>
          <w:rFonts w:hint="eastAsia" w:ascii="仿宋" w:hAnsi="仿宋" w:eastAsia="仿宋" w:cs="宋体"/>
          <w:snapToGrid w:val="0"/>
          <w:color w:val="auto"/>
          <w:kern w:val="0"/>
          <w:sz w:val="24"/>
          <w:highlight w:val="none"/>
        </w:rPr>
        <w:t>》</w:t>
      </w:r>
      <w:r>
        <w:rPr>
          <w:rFonts w:hint="eastAsia" w:ascii="仿宋" w:hAnsi="仿宋" w:eastAsia="仿宋" w:cs="宋体"/>
          <w:snapToGrid w:val="0"/>
          <w:color w:val="auto"/>
          <w:kern w:val="0"/>
          <w:sz w:val="24"/>
          <w:highlight w:val="none"/>
          <w:lang w:eastAsia="zh-CN"/>
        </w:rPr>
        <w:t>、</w:t>
      </w:r>
      <w:r>
        <w:rPr>
          <w:rFonts w:hint="eastAsia" w:ascii="仿宋" w:hAnsi="仿宋" w:eastAsia="仿宋"/>
          <w:snapToGrid w:val="0"/>
          <w:color w:val="auto"/>
          <w:kern w:val="0"/>
          <w:sz w:val="24"/>
          <w:highlight w:val="none"/>
        </w:rPr>
        <w:t>《房屋他项权证》</w:t>
      </w:r>
      <w:r>
        <w:rPr>
          <w:rFonts w:hint="eastAsia" w:ascii="仿宋" w:hAnsi="仿宋" w:eastAsia="仿宋" w:cs="仿宋"/>
          <w:snapToGrid w:val="0"/>
          <w:color w:val="auto"/>
          <w:kern w:val="0"/>
          <w:sz w:val="24"/>
          <w:highlight w:val="none"/>
        </w:rPr>
        <w:t>复印件，我们未向政府有关部门进行核实，在无理由怀疑其合法性、真实性、准确性、完整性的情况下，假定估价委托人提供的资料合法、真实、准确、完整。</w:t>
      </w:r>
    </w:p>
    <w:p>
      <w:pPr>
        <w:pStyle w:val="6"/>
        <w:ind w:firstLine="480" w:firstLineChars="200"/>
        <w:jc w:val="both"/>
        <w:rPr>
          <w:rFonts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2、注册房地产估价师已对房屋安全环境污染噪音等影响估价对象价值的重大因素给予了关注，在无理由怀疑估价对象存在安全隐患且无相应的专业机构进行鉴定检测的情况，假定估价对象能正常安全使用。</w:t>
      </w:r>
    </w:p>
    <w:p>
      <w:pPr>
        <w:ind w:firstLine="480" w:firstLineChars="200"/>
        <w:jc w:val="both"/>
        <w:rPr>
          <w:rFonts w:ascii="仿宋" w:hAnsi="仿宋" w:eastAsia="仿宋"/>
          <w:snapToGrid w:val="0"/>
          <w:color w:val="auto"/>
          <w:highlight w:val="none"/>
        </w:rPr>
      </w:pPr>
      <w:r>
        <w:rPr>
          <w:rFonts w:hint="eastAsia" w:ascii="仿宋" w:hAnsi="仿宋" w:eastAsia="仿宋"/>
          <w:snapToGrid w:val="0"/>
          <w:color w:val="auto"/>
          <w:highlight w:val="none"/>
        </w:rPr>
        <w:t>3、注册房地产估价师未对房屋建筑面积进行专业测量，经实地查勘，估价对象房屋建筑面积与</w:t>
      </w:r>
      <w:r>
        <w:rPr>
          <w:rFonts w:hint="eastAsia" w:ascii="仿宋" w:hAnsi="仿宋" w:eastAsia="仿宋"/>
          <w:color w:val="auto"/>
          <w:highlight w:val="none"/>
        </w:rPr>
        <w:t>《</w:t>
      </w:r>
      <w:r>
        <w:rPr>
          <w:rFonts w:hint="eastAsia" w:ascii="仿宋" w:hAnsi="仿宋" w:eastAsia="仿宋"/>
          <w:color w:val="auto"/>
          <w:highlight w:val="none"/>
          <w:lang w:eastAsia="zh-CN"/>
        </w:rPr>
        <w:t>个人不动产信息情况证明</w:t>
      </w:r>
      <w:r>
        <w:rPr>
          <w:rFonts w:hint="eastAsia" w:ascii="仿宋" w:hAnsi="仿宋" w:eastAsia="仿宋"/>
          <w:color w:val="auto"/>
          <w:highlight w:val="none"/>
        </w:rPr>
        <w:t>》</w:t>
      </w:r>
      <w:r>
        <w:rPr>
          <w:rFonts w:hint="eastAsia" w:ascii="仿宋" w:hAnsi="仿宋" w:eastAsia="仿宋"/>
          <w:snapToGrid w:val="0"/>
          <w:color w:val="auto"/>
          <w:highlight w:val="none"/>
        </w:rPr>
        <w:t>记载建筑面积大体相当。</w:t>
      </w:r>
    </w:p>
    <w:p>
      <w:pPr>
        <w:ind w:firstLine="480" w:firstLineChars="200"/>
        <w:jc w:val="both"/>
        <w:rPr>
          <w:rFonts w:ascii="仿宋" w:hAnsi="仿宋" w:eastAsia="仿宋"/>
          <w:snapToGrid w:val="0"/>
          <w:color w:val="auto"/>
          <w:highlight w:val="none"/>
        </w:rPr>
      </w:pPr>
      <w:r>
        <w:rPr>
          <w:rFonts w:hint="eastAsia" w:ascii="仿宋" w:hAnsi="仿宋" w:eastAsia="仿宋"/>
          <w:snapToGrid w:val="0"/>
          <w:color w:val="auto"/>
          <w:highlight w:val="none"/>
        </w:rPr>
        <w:t>4、估价对象在价值时点的房地产市场为公开、平等、自愿的交易市场，即满足以下条件：</w:t>
      </w:r>
    </w:p>
    <w:p>
      <w:pPr>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（1）交易双方自愿地进行交易；</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（2）交易双方处于利已动机进行交易，交易目的都是追求自身最大经济利益；</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（3）交易双方都具有完全市场信息、知晓市场行情，以及对交易对象具有必要的专业知识、不存在买者因特殊兴趣而给予附加出价;</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（4）交易双方在适当的期间完成谈判和交易，以及在谈判期间物业价值保持稳定；</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（5）市场供求关系、市场结构保持稳定、未发生重大变化或实质性改变。</w:t>
      </w:r>
    </w:p>
    <w:p>
      <w:pPr>
        <w:tabs>
          <w:tab w:val="left" w:pos="0"/>
        </w:tabs>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5、估价对象权属完整合法，能够自由地在市场交易，没有司法行政机关禁止交易的情形，出售时不附带任何他项权租赁权优先购买权、售后回租以及其他类似的可能影响其正常交易价值的权利约束和特殊条款，即产权明晰，手续齐全，可在公开市场上自由转让。</w:t>
      </w:r>
    </w:p>
    <w:p>
      <w:pPr>
        <w:tabs>
          <w:tab w:val="left" w:pos="0"/>
        </w:tabs>
        <w:spacing w:line="460" w:lineRule="exact"/>
        <w:ind w:firstLine="480" w:firstLineChars="200"/>
        <w:rPr>
          <w:rFonts w:ascii="仿宋" w:hAnsi="仿宋" w:eastAsia="仿宋"/>
          <w:color w:val="auto"/>
          <w:highlight w:val="none"/>
        </w:rPr>
      </w:pPr>
      <w:r>
        <w:rPr>
          <w:rFonts w:ascii="仿宋" w:hAnsi="仿宋" w:eastAsia="仿宋"/>
          <w:snapToGrid w:val="0"/>
          <w:color w:val="auto"/>
          <w:highlight w:val="none"/>
        </w:rPr>
        <w:t>6</w:t>
      </w:r>
      <w:r>
        <w:rPr>
          <w:rFonts w:hint="eastAsia" w:ascii="仿宋" w:hAnsi="仿宋" w:eastAsia="仿宋"/>
          <w:snapToGrid w:val="0"/>
          <w:color w:val="auto"/>
          <w:highlight w:val="none"/>
        </w:rPr>
        <w:t>、</w:t>
      </w:r>
      <w:r>
        <w:rPr>
          <w:rFonts w:hint="eastAsia" w:ascii="仿宋" w:hAnsi="仿宋" w:eastAsia="仿宋"/>
          <w:color w:val="auto"/>
          <w:highlight w:val="none"/>
        </w:rPr>
        <w:t>估价对象作为住宅用房持续有效利用，是合法条件下的最佳用途，得到或将得到最有效运用，并与其他要素相结合，能满足设定使用年限内产生正常的、持续的收益。</w:t>
      </w:r>
    </w:p>
    <w:p>
      <w:pPr>
        <w:spacing w:line="480" w:lineRule="exact"/>
        <w:ind w:firstLine="480" w:firstLineChars="200"/>
        <w:rPr>
          <w:rFonts w:ascii="仿宋" w:hAnsi="仿宋" w:eastAsia="仿宋"/>
          <w:color w:val="auto"/>
          <w:highlight w:val="none"/>
        </w:rPr>
      </w:pPr>
      <w:r>
        <w:rPr>
          <w:rFonts w:ascii="仿宋" w:hAnsi="仿宋" w:eastAsia="仿宋"/>
          <w:color w:val="auto"/>
          <w:highlight w:val="none"/>
        </w:rPr>
        <w:t>7</w:t>
      </w:r>
      <w:r>
        <w:rPr>
          <w:rFonts w:hint="eastAsia" w:ascii="仿宋" w:hAnsi="仿宋" w:eastAsia="仿宋"/>
          <w:color w:val="auto"/>
          <w:highlight w:val="none"/>
        </w:rPr>
        <w:t>、</w:t>
      </w:r>
      <w:r>
        <w:rPr>
          <w:rFonts w:hint="eastAsia" w:ascii="仿宋" w:hAnsi="仿宋" w:eastAsia="仿宋"/>
          <w:snapToGrid w:val="0"/>
          <w:color w:val="auto"/>
          <w:highlight w:val="none"/>
        </w:rPr>
        <w:t>由于估价委托人和案件当事人没有提供租赁权和用益物权信息，且注册房地产估价师无法知晓其真实性，故本次估价以估价对象没有租赁权和用益物权限制为假设前提</w:t>
      </w:r>
      <w:r>
        <w:rPr>
          <w:rFonts w:hint="eastAsia" w:ascii="仿宋" w:hAnsi="仿宋" w:eastAsia="仿宋"/>
          <w:color w:val="auto"/>
          <w:highlight w:val="none"/>
        </w:rPr>
        <w:t>。</w:t>
      </w:r>
    </w:p>
    <w:p>
      <w:pPr>
        <w:spacing w:line="480" w:lineRule="exact"/>
        <w:ind w:firstLine="482" w:firstLineChars="200"/>
        <w:rPr>
          <w:rFonts w:ascii="仿宋" w:hAnsi="仿宋" w:eastAsia="仿宋"/>
          <w:b/>
          <w:color w:val="auto"/>
          <w:highlight w:val="none"/>
        </w:rPr>
      </w:pPr>
      <w:bookmarkStart w:id="44" w:name="_Toc29596"/>
      <w:bookmarkStart w:id="45" w:name="_Toc471978237"/>
      <w:r>
        <w:rPr>
          <w:rFonts w:hint="eastAsia" w:ascii="仿宋" w:hAnsi="仿宋" w:eastAsia="仿宋"/>
          <w:b/>
          <w:color w:val="auto"/>
          <w:highlight w:val="none"/>
        </w:rPr>
        <w:t>二、本次估价未定事项假设</w:t>
      </w:r>
      <w:bookmarkEnd w:id="44"/>
      <w:bookmarkEnd w:id="45"/>
    </w:p>
    <w:p>
      <w:pPr>
        <w:tabs>
          <w:tab w:val="left" w:pos="735"/>
        </w:tabs>
        <w:adjustRightInd w:val="0"/>
        <w:snapToGrid w:val="0"/>
        <w:spacing w:line="460" w:lineRule="exact"/>
        <w:ind w:firstLine="480" w:firstLineChars="200"/>
        <w:rPr>
          <w:rFonts w:ascii="仿宋" w:hAnsi="仿宋" w:eastAsia="仿宋"/>
          <w:color w:val="auto"/>
          <w:highlight w:val="none"/>
        </w:rPr>
      </w:pPr>
      <w:r>
        <w:rPr>
          <w:rFonts w:hint="eastAsia" w:ascii="仿宋" w:hAnsi="仿宋" w:eastAsia="仿宋"/>
          <w:color w:val="auto"/>
          <w:highlight w:val="none"/>
        </w:rPr>
        <w:t>1、估价对象《</w:t>
      </w:r>
      <w:r>
        <w:rPr>
          <w:rFonts w:hint="eastAsia" w:ascii="仿宋" w:hAnsi="仿宋" w:eastAsia="仿宋"/>
          <w:color w:val="auto"/>
          <w:highlight w:val="none"/>
          <w:lang w:eastAsia="zh-CN"/>
        </w:rPr>
        <w:t>个人不动产信息情况证明</w:t>
      </w:r>
      <w:r>
        <w:rPr>
          <w:rFonts w:hint="eastAsia" w:ascii="仿宋" w:hAnsi="仿宋" w:eastAsia="仿宋"/>
          <w:color w:val="auto"/>
          <w:highlight w:val="none"/>
        </w:rPr>
        <w:t>》未记载估价对象房屋的建成年份，经注册房地产估价师实地调查，房屋建成年份为2008年，本次估价房屋建成年份以实际调查为准。</w:t>
      </w:r>
    </w:p>
    <w:p>
      <w:pPr>
        <w:tabs>
          <w:tab w:val="left" w:pos="735"/>
        </w:tabs>
        <w:adjustRightInd w:val="0"/>
        <w:snapToGrid w:val="0"/>
        <w:spacing w:line="460" w:lineRule="exact"/>
        <w:ind w:firstLine="480" w:firstLineChars="200"/>
        <w:rPr>
          <w:rFonts w:hint="eastAsia" w:ascii="仿宋" w:hAnsi="仿宋" w:eastAsia="仿宋"/>
          <w:snapToGrid w:val="0"/>
          <w:color w:val="auto"/>
          <w:highlight w:val="none"/>
          <w:lang w:val="en-US" w:eastAsia="zh-CN"/>
        </w:rPr>
      </w:pPr>
    </w:p>
    <w:p>
      <w:pPr>
        <w:tabs>
          <w:tab w:val="left" w:pos="735"/>
        </w:tabs>
        <w:adjustRightInd w:val="0"/>
        <w:snapToGrid w:val="0"/>
        <w:spacing w:line="460" w:lineRule="exact"/>
        <w:ind w:firstLine="480" w:firstLineChars="200"/>
        <w:rPr>
          <w:rFonts w:hint="eastAsia" w:ascii="仿宋" w:hAnsi="仿宋" w:eastAsia="仿宋"/>
          <w:snapToGrid w:val="0"/>
          <w:color w:val="auto"/>
          <w:highlight w:val="none"/>
          <w:lang w:val="en-US" w:eastAsia="zh-CN"/>
        </w:rPr>
      </w:pPr>
      <w:r>
        <w:rPr>
          <w:rFonts w:hint="eastAsia" w:ascii="仿宋" w:hAnsi="仿宋" w:eastAsia="仿宋"/>
          <w:color w:val="auto"/>
          <w:highlight w:val="none"/>
          <w:lang w:val="en-US" w:eastAsia="zh-CN"/>
        </w:rPr>
        <w:t>2、</w:t>
      </w:r>
      <w:r>
        <w:rPr>
          <w:rFonts w:hint="eastAsia" w:ascii="仿宋" w:hAnsi="仿宋" w:eastAsia="仿宋"/>
          <w:color w:val="auto"/>
          <w:highlight w:val="none"/>
        </w:rPr>
        <w:t>估价对象《</w:t>
      </w:r>
      <w:r>
        <w:rPr>
          <w:rFonts w:hint="eastAsia" w:ascii="仿宋" w:hAnsi="仿宋" w:eastAsia="仿宋"/>
          <w:color w:val="auto"/>
          <w:highlight w:val="none"/>
          <w:lang w:eastAsia="zh-CN"/>
        </w:rPr>
        <w:t>个人不动产信息情况证明</w:t>
      </w:r>
      <w:r>
        <w:rPr>
          <w:rFonts w:hint="eastAsia" w:ascii="仿宋" w:hAnsi="仿宋" w:eastAsia="仿宋"/>
          <w:color w:val="auto"/>
          <w:highlight w:val="none"/>
        </w:rPr>
        <w:t>》未记载估价对象</w:t>
      </w:r>
      <w:r>
        <w:rPr>
          <w:rFonts w:hint="eastAsia" w:ascii="仿宋" w:hAnsi="仿宋" w:eastAsia="仿宋"/>
          <w:color w:val="auto"/>
          <w:highlight w:val="none"/>
          <w:lang w:eastAsia="zh-CN"/>
        </w:rPr>
        <w:t>房屋结构</w:t>
      </w:r>
      <w:r>
        <w:rPr>
          <w:rFonts w:hint="eastAsia" w:ascii="仿宋" w:hAnsi="仿宋" w:eastAsia="仿宋"/>
          <w:color w:val="auto"/>
          <w:highlight w:val="none"/>
        </w:rPr>
        <w:t>，经注册房地产估价师实地调查，</w:t>
      </w:r>
      <w:r>
        <w:rPr>
          <w:rFonts w:hint="eastAsia" w:ascii="仿宋" w:hAnsi="仿宋" w:eastAsia="仿宋"/>
          <w:color w:val="auto"/>
          <w:highlight w:val="none"/>
          <w:lang w:eastAsia="zh-CN"/>
        </w:rPr>
        <w:t>房屋结构</w:t>
      </w:r>
      <w:r>
        <w:rPr>
          <w:rFonts w:hint="eastAsia" w:ascii="仿宋" w:hAnsi="仿宋" w:eastAsia="仿宋"/>
          <w:color w:val="auto"/>
          <w:highlight w:val="none"/>
        </w:rPr>
        <w:t>为</w:t>
      </w:r>
      <w:r>
        <w:rPr>
          <w:rFonts w:hint="eastAsia" w:ascii="仿宋" w:hAnsi="仿宋" w:eastAsia="仿宋"/>
          <w:color w:val="auto"/>
          <w:highlight w:val="none"/>
          <w:lang w:eastAsia="zh-CN"/>
        </w:rPr>
        <w:t>砖混</w:t>
      </w:r>
      <w:r>
        <w:rPr>
          <w:rFonts w:hint="eastAsia" w:ascii="仿宋" w:hAnsi="仿宋" w:eastAsia="仿宋"/>
          <w:color w:val="auto"/>
          <w:highlight w:val="none"/>
        </w:rPr>
        <w:t>，本次估价</w:t>
      </w:r>
      <w:r>
        <w:rPr>
          <w:rFonts w:hint="eastAsia" w:ascii="仿宋" w:hAnsi="仿宋" w:eastAsia="仿宋"/>
          <w:color w:val="auto"/>
          <w:highlight w:val="none"/>
          <w:lang w:eastAsia="zh-CN"/>
        </w:rPr>
        <w:t>房屋结构</w:t>
      </w:r>
      <w:r>
        <w:rPr>
          <w:rFonts w:hint="eastAsia" w:ascii="仿宋" w:hAnsi="仿宋" w:eastAsia="仿宋"/>
          <w:color w:val="auto"/>
          <w:highlight w:val="none"/>
        </w:rPr>
        <w:t>以实际调查为准。</w:t>
      </w:r>
    </w:p>
    <w:p>
      <w:pPr>
        <w:tabs>
          <w:tab w:val="left" w:pos="735"/>
        </w:tabs>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lang w:val="en-US" w:eastAsia="zh-CN"/>
        </w:rPr>
        <w:t>3</w:t>
      </w:r>
      <w:r>
        <w:rPr>
          <w:rFonts w:hint="eastAsia" w:ascii="仿宋" w:hAnsi="仿宋" w:eastAsia="仿宋"/>
          <w:snapToGrid w:val="0"/>
          <w:color w:val="auto"/>
          <w:highlight w:val="none"/>
        </w:rPr>
        <w:t>、</w:t>
      </w:r>
      <w:r>
        <w:rPr>
          <w:rFonts w:hint="eastAsia" w:ascii="仿宋" w:hAnsi="仿宋" w:eastAsia="仿宋" w:cs="仿宋"/>
          <w:b w:val="0"/>
          <w:bCs/>
          <w:snapToGrid w:val="0"/>
          <w:color w:val="auto"/>
          <w:kern w:val="0"/>
          <w:sz w:val="24"/>
          <w:szCs w:val="24"/>
          <w:highlight w:val="none"/>
        </w:rPr>
        <w:t>估价委托人未提供《国有土地使用证》，根据房屋与土地相一致原则，本次假定房屋用途与土地用途一致。</w:t>
      </w:r>
    </w:p>
    <w:p>
      <w:pPr>
        <w:tabs>
          <w:tab w:val="left" w:pos="0"/>
        </w:tabs>
        <w:spacing w:line="460" w:lineRule="exact"/>
        <w:ind w:firstLine="480" w:firstLineChars="200"/>
        <w:rPr>
          <w:rFonts w:ascii="仿宋" w:hAnsi="仿宋" w:eastAsia="仿宋"/>
          <w:color w:val="auto"/>
          <w:highlight w:val="none"/>
        </w:rPr>
      </w:pPr>
      <w:r>
        <w:rPr>
          <w:rFonts w:hint="eastAsia" w:ascii="仿宋" w:hAnsi="仿宋" w:eastAsia="仿宋"/>
          <w:color w:val="auto"/>
          <w:highlight w:val="none"/>
          <w:lang w:val="en-US" w:eastAsia="zh-CN"/>
        </w:rPr>
        <w:t>4</w:t>
      </w:r>
      <w:r>
        <w:rPr>
          <w:rFonts w:hint="eastAsia" w:ascii="仿宋" w:hAnsi="仿宋" w:eastAsia="仿宋"/>
          <w:color w:val="auto"/>
          <w:highlight w:val="none"/>
        </w:rPr>
        <w:t>、本次估价对象由指定相关人员现场指认，假定与产权登记房屋一致，若与实际不符应重新估价。</w:t>
      </w:r>
    </w:p>
    <w:p>
      <w:pPr>
        <w:spacing w:line="480" w:lineRule="exact"/>
        <w:ind w:firstLine="482" w:firstLineChars="200"/>
        <w:rPr>
          <w:rFonts w:ascii="仿宋" w:hAnsi="仿宋" w:eastAsia="仿宋"/>
          <w:b/>
          <w:color w:val="auto"/>
          <w:highlight w:val="none"/>
        </w:rPr>
      </w:pPr>
      <w:bookmarkStart w:id="46" w:name="_Toc471978238"/>
      <w:bookmarkStart w:id="47" w:name="_Toc19565"/>
      <w:r>
        <w:rPr>
          <w:rFonts w:hint="eastAsia" w:ascii="仿宋" w:hAnsi="仿宋" w:eastAsia="仿宋"/>
          <w:b/>
          <w:color w:val="auto"/>
          <w:highlight w:val="none"/>
        </w:rPr>
        <w:t>三、本次估价的背离事实假设</w:t>
      </w:r>
      <w:bookmarkEnd w:id="46"/>
      <w:bookmarkEnd w:id="47"/>
    </w:p>
    <w:p>
      <w:pPr>
        <w:spacing w:line="480" w:lineRule="exact"/>
        <w:ind w:firstLine="480" w:firstLineChars="200"/>
        <w:rPr>
          <w:rFonts w:ascii="仿宋" w:hAnsi="仿宋" w:eastAsia="仿宋"/>
          <w:snapToGrid w:val="0"/>
          <w:color w:val="auto"/>
          <w:highlight w:val="none"/>
        </w:rPr>
      </w:pPr>
      <w:r>
        <w:rPr>
          <w:rFonts w:ascii="仿宋" w:hAnsi="仿宋" w:eastAsia="仿宋"/>
          <w:snapToGrid w:val="0"/>
          <w:color w:val="auto"/>
          <w:highlight w:val="none"/>
        </w:rPr>
        <w:t>1、本次估价目的是</w:t>
      </w:r>
      <w:r>
        <w:rPr>
          <w:rFonts w:hint="eastAsia" w:ascii="仿宋" w:hAnsi="仿宋" w:eastAsia="仿宋"/>
          <w:snapToGrid w:val="0"/>
          <w:color w:val="auto"/>
          <w:highlight w:val="none"/>
          <w:lang w:eastAsia="zh-CN"/>
        </w:rPr>
        <w:t>为司法拍卖（变卖）提供房地产市场价值参考依据</w:t>
      </w:r>
      <w:r>
        <w:rPr>
          <w:rFonts w:ascii="仿宋" w:hAnsi="仿宋" w:eastAsia="仿宋"/>
          <w:snapToGrid w:val="0"/>
          <w:color w:val="auto"/>
          <w:highlight w:val="none"/>
        </w:rPr>
        <w:t>，在房地产司法拍卖估价中，不考虑拍卖财产上原有的担保物权、其他优先受偿权及查封因素，因原有的担保物权及其他优先受偿权因拍卖而消灭，查封因拍卖而解除，本次估价不考虑估价对象的他项权利状况对其价值的影响。</w:t>
      </w:r>
    </w:p>
    <w:p>
      <w:pPr>
        <w:tabs>
          <w:tab w:val="left" w:pos="735"/>
        </w:tabs>
        <w:adjustRightInd w:val="0"/>
        <w:snapToGrid w:val="0"/>
        <w:spacing w:line="460" w:lineRule="exact"/>
        <w:ind w:firstLine="460" w:firstLineChars="192"/>
        <w:rPr>
          <w:rFonts w:hint="eastAsia" w:ascii="仿宋" w:hAnsi="仿宋" w:eastAsia="仿宋"/>
          <w:snapToGrid w:val="0"/>
          <w:color w:val="auto"/>
          <w:highlight w:val="none"/>
        </w:rPr>
      </w:pPr>
      <w:r>
        <w:rPr>
          <w:rFonts w:hint="eastAsia" w:ascii="仿宋" w:hAnsi="仿宋" w:eastAsia="仿宋"/>
          <w:snapToGrid w:val="0"/>
          <w:color w:val="auto"/>
          <w:highlight w:val="none"/>
          <w:lang w:val="en-US" w:eastAsia="zh-CN"/>
        </w:rPr>
        <w:t>2、</w:t>
      </w:r>
      <w:r>
        <w:rPr>
          <w:rFonts w:hint="eastAsia" w:ascii="仿宋" w:hAnsi="仿宋" w:eastAsia="仿宋" w:cs="宋体"/>
          <w:color w:val="auto"/>
          <w:sz w:val="24"/>
          <w:szCs w:val="24"/>
          <w:highlight w:val="none"/>
        </w:rPr>
        <w:t>在价值时点，估价对象</w:t>
      </w:r>
      <w:r>
        <w:rPr>
          <w:rFonts w:hint="eastAsia" w:ascii="仿宋" w:hAnsi="仿宋" w:eastAsia="仿宋"/>
          <w:snapToGrid w:val="0"/>
          <w:color w:val="auto"/>
          <w:highlight w:val="none"/>
        </w:rPr>
        <w:t>已被</w:t>
      </w:r>
      <w:r>
        <w:rPr>
          <w:rFonts w:hint="eastAsia" w:ascii="仿宋" w:hAnsi="仿宋" w:eastAsia="仿宋"/>
          <w:snapToGrid w:val="0"/>
          <w:color w:val="auto"/>
          <w:highlight w:val="none"/>
          <w:lang w:eastAsia="zh-CN"/>
        </w:rPr>
        <w:t>施秉县</w:t>
      </w:r>
      <w:r>
        <w:rPr>
          <w:rFonts w:hint="eastAsia" w:ascii="仿宋" w:hAnsi="仿宋" w:eastAsia="仿宋"/>
          <w:snapToGrid w:val="0"/>
          <w:color w:val="auto"/>
          <w:highlight w:val="none"/>
        </w:rPr>
        <w:t>人民法院查封，本次估价不考虑估价对象已被查封因素的影响。</w:t>
      </w:r>
    </w:p>
    <w:p>
      <w:pPr>
        <w:spacing w:line="480" w:lineRule="exact"/>
        <w:ind w:firstLine="480" w:firstLineChars="200"/>
        <w:rPr>
          <w:rFonts w:ascii="仿宋" w:hAnsi="仿宋" w:eastAsia="仿宋"/>
          <w:color w:val="auto"/>
          <w:highlight w:val="none"/>
        </w:rPr>
      </w:pPr>
      <w:r>
        <w:rPr>
          <w:rFonts w:hint="eastAsia" w:ascii="仿宋" w:hAnsi="仿宋" w:eastAsia="仿宋"/>
          <w:snapToGrid w:val="0"/>
          <w:color w:val="auto"/>
          <w:highlight w:val="none"/>
          <w:lang w:val="en-US" w:eastAsia="zh-CN"/>
        </w:rPr>
        <w:t>3</w:t>
      </w:r>
      <w:r>
        <w:rPr>
          <w:rFonts w:ascii="仿宋" w:hAnsi="仿宋" w:eastAsia="仿宋"/>
          <w:snapToGrid w:val="0"/>
          <w:color w:val="auto"/>
          <w:highlight w:val="none"/>
        </w:rPr>
        <w:t>、本次估价没有考虑国家宏观经济政策发生变化、市场供应关系变化、市场结构转变、遇有自然力和其他不可抗力等因素对房地产价值的影响，也没有考虑估价对象将来可能承担违约责任的事宜，以及特殊交易方式下的特殊交易价格等对估价结果的影响。当上述条件发生变化时，估价结果一般会发生变化</w:t>
      </w:r>
      <w:r>
        <w:rPr>
          <w:rFonts w:hint="eastAsia" w:ascii="仿宋" w:hAnsi="仿宋" w:eastAsia="仿宋"/>
          <w:snapToGrid w:val="0"/>
          <w:color w:val="auto"/>
          <w:highlight w:val="none"/>
        </w:rPr>
        <w:t>。</w:t>
      </w:r>
    </w:p>
    <w:p>
      <w:pPr>
        <w:spacing w:line="480" w:lineRule="exact"/>
        <w:ind w:firstLine="482" w:firstLineChars="200"/>
        <w:rPr>
          <w:rFonts w:ascii="仿宋" w:hAnsi="仿宋" w:eastAsia="仿宋"/>
          <w:snapToGrid w:val="0"/>
          <w:color w:val="auto"/>
          <w:highlight w:val="none"/>
        </w:rPr>
      </w:pPr>
      <w:bookmarkStart w:id="48" w:name="_Toc471978239"/>
      <w:bookmarkStart w:id="49" w:name="_Toc4607"/>
      <w:r>
        <w:rPr>
          <w:rFonts w:hint="eastAsia" w:ascii="仿宋" w:hAnsi="仿宋" w:eastAsia="仿宋"/>
          <w:b/>
          <w:color w:val="auto"/>
          <w:highlight w:val="none"/>
        </w:rPr>
        <w:t>四、本次估价不相一致假设</w:t>
      </w:r>
      <w:bookmarkEnd w:id="48"/>
      <w:bookmarkEnd w:id="49"/>
      <w:bookmarkStart w:id="50" w:name="_Toc471978240"/>
      <w:bookmarkStart w:id="51" w:name="_Toc871"/>
    </w:p>
    <w:p>
      <w:pPr>
        <w:tabs>
          <w:tab w:val="left" w:pos="735"/>
        </w:tabs>
        <w:adjustRightInd w:val="0"/>
        <w:snapToGrid w:val="0"/>
        <w:spacing w:line="460" w:lineRule="exact"/>
        <w:ind w:firstLine="460" w:firstLineChars="192"/>
        <w:rPr>
          <w:rFonts w:ascii="仿宋" w:hAnsi="仿宋" w:eastAsia="仿宋"/>
          <w:snapToGrid w:val="0"/>
          <w:color w:val="auto"/>
          <w:highlight w:val="none"/>
        </w:rPr>
      </w:pPr>
      <w:r>
        <w:rPr>
          <w:rFonts w:hint="eastAsia" w:ascii="仿宋" w:hAnsi="仿宋" w:eastAsia="仿宋"/>
          <w:color w:val="auto"/>
          <w:highlight w:val="none"/>
        </w:rPr>
        <w:t>估价对象《</w:t>
      </w:r>
      <w:r>
        <w:rPr>
          <w:rFonts w:hint="eastAsia" w:ascii="仿宋" w:hAnsi="仿宋" w:eastAsia="仿宋"/>
          <w:snapToGrid w:val="0"/>
          <w:color w:val="auto"/>
          <w:kern w:val="0"/>
          <w:sz w:val="24"/>
          <w:highlight w:val="none"/>
        </w:rPr>
        <w:t>房屋他项权证</w:t>
      </w:r>
      <w:r>
        <w:rPr>
          <w:rFonts w:hint="eastAsia" w:ascii="仿宋" w:hAnsi="仿宋" w:eastAsia="仿宋"/>
          <w:color w:val="auto"/>
          <w:highlight w:val="none"/>
        </w:rPr>
        <w:t>》证载地址为</w:t>
      </w:r>
      <w:r>
        <w:rPr>
          <w:rFonts w:hint="eastAsia" w:ascii="仿宋" w:hAnsi="仿宋" w:eastAsia="仿宋"/>
          <w:color w:val="auto"/>
          <w:highlight w:val="none"/>
          <w:lang w:eastAsia="zh-CN"/>
        </w:rPr>
        <w:t>城关镇南沙</w:t>
      </w:r>
      <w:r>
        <w:rPr>
          <w:rFonts w:hint="eastAsia" w:ascii="仿宋" w:hAnsi="仿宋" w:eastAsia="仿宋"/>
          <w:color w:val="auto"/>
          <w:highlight w:val="none"/>
        </w:rPr>
        <w:t>，实际查勘地址为</w:t>
      </w:r>
      <w:r>
        <w:rPr>
          <w:rFonts w:hint="eastAsia" w:ascii="仿宋" w:hAnsi="仿宋" w:eastAsia="仿宋"/>
          <w:snapToGrid w:val="0"/>
          <w:color w:val="auto"/>
          <w:highlight w:val="none"/>
          <w:lang w:eastAsia="zh-CN"/>
        </w:rPr>
        <w:t>贵州省施秉县城关镇云台北路9号402号</w:t>
      </w:r>
      <w:r>
        <w:rPr>
          <w:rFonts w:hint="eastAsia" w:ascii="仿宋" w:hAnsi="仿宋" w:eastAsia="仿宋"/>
          <w:color w:val="auto"/>
          <w:highlight w:val="none"/>
        </w:rPr>
        <w:t>，估价委托人没有提供两者为同一地址的证明资料，本次估价假定证载地址与实际查勘地址为同一地址，即所指的均为同一标的物。</w:t>
      </w:r>
    </w:p>
    <w:p>
      <w:pPr>
        <w:numPr>
          <w:ilvl w:val="0"/>
          <w:numId w:val="0"/>
        </w:numPr>
        <w:spacing w:line="480" w:lineRule="exact"/>
        <w:ind w:firstLine="482" w:firstLineChars="200"/>
        <w:rPr>
          <w:rFonts w:ascii="仿宋" w:hAnsi="仿宋" w:eastAsia="仿宋"/>
          <w:b/>
          <w:color w:val="auto"/>
          <w:highlight w:val="none"/>
        </w:rPr>
      </w:pPr>
      <w:r>
        <w:rPr>
          <w:rFonts w:hint="eastAsia" w:ascii="仿宋" w:hAnsi="仿宋" w:eastAsia="仿宋"/>
          <w:b/>
          <w:color w:val="auto"/>
          <w:highlight w:val="none"/>
          <w:lang w:eastAsia="zh-CN"/>
        </w:rPr>
        <w:t>五、</w:t>
      </w:r>
      <w:r>
        <w:rPr>
          <w:rFonts w:hint="eastAsia" w:ascii="仿宋" w:hAnsi="仿宋" w:eastAsia="仿宋"/>
          <w:b/>
          <w:color w:val="auto"/>
          <w:highlight w:val="none"/>
        </w:rPr>
        <w:t>本次估价的依据不足假设</w:t>
      </w:r>
      <w:bookmarkEnd w:id="50"/>
      <w:bookmarkEnd w:id="51"/>
    </w:p>
    <w:p>
      <w:pPr>
        <w:spacing w:line="480" w:lineRule="exact"/>
        <w:ind w:firstLine="480" w:firstLineChars="200"/>
        <w:rPr>
          <w:rFonts w:hint="eastAsia" w:ascii="仿宋" w:hAnsi="仿宋" w:eastAsia="仿宋" w:cs="宋体"/>
          <w:color w:val="auto"/>
          <w:sz w:val="24"/>
          <w:szCs w:val="24"/>
          <w:highlight w:val="none"/>
        </w:rPr>
      </w:pPr>
      <w:bookmarkStart w:id="52" w:name="_Toc471978241"/>
      <w:bookmarkStart w:id="53" w:name="_Toc4684"/>
      <w:r>
        <w:rPr>
          <w:rFonts w:hint="eastAsia" w:ascii="仿宋" w:hAnsi="仿宋" w:eastAsia="仿宋" w:cs="宋体"/>
          <w:color w:val="auto"/>
          <w:sz w:val="24"/>
          <w:szCs w:val="24"/>
          <w:highlight w:val="none"/>
        </w:rPr>
        <w:t>本次估价的估价对象不存在依据不足事项，故本次估价无依据不足假设。</w:t>
      </w:r>
    </w:p>
    <w:p>
      <w:pPr>
        <w:spacing w:line="480" w:lineRule="exact"/>
        <w:ind w:firstLine="482" w:firstLineChars="200"/>
        <w:rPr>
          <w:rFonts w:ascii="仿宋" w:hAnsi="仿宋" w:eastAsia="仿宋"/>
          <w:b/>
          <w:color w:val="auto"/>
          <w:highlight w:val="none"/>
        </w:rPr>
      </w:pPr>
      <w:r>
        <w:rPr>
          <w:rFonts w:hint="eastAsia" w:ascii="仿宋" w:hAnsi="仿宋" w:eastAsia="仿宋"/>
          <w:b/>
          <w:color w:val="auto"/>
          <w:highlight w:val="none"/>
        </w:rPr>
        <w:t>六、本报告使用的限制条件</w:t>
      </w:r>
      <w:bookmarkEnd w:id="52"/>
      <w:bookmarkEnd w:id="53"/>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1、本估价报告使用期限自估价报告出具之日起壹年，即</w:t>
      </w:r>
      <w:r>
        <w:rPr>
          <w:rFonts w:hint="eastAsia" w:ascii="仿宋" w:hAnsi="仿宋" w:eastAsia="仿宋"/>
          <w:snapToGrid w:val="0"/>
          <w:color w:val="auto"/>
          <w:highlight w:val="none"/>
          <w:lang w:eastAsia="zh-CN"/>
        </w:rPr>
        <w:t>2019年8月30日至2020年8月29日</w:t>
      </w:r>
      <w:r>
        <w:rPr>
          <w:rFonts w:hint="eastAsia" w:ascii="仿宋" w:hAnsi="仿宋" w:eastAsia="仿宋"/>
          <w:snapToGrid w:val="0"/>
          <w:color w:val="auto"/>
          <w:highlight w:val="none"/>
        </w:rPr>
        <w:t>止。若报告使用期限内，房地产市场或估价对象状况发生重大变化，估价结果需做相应调整或委托估价机构重新估价。</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2、</w:t>
      </w:r>
      <w:r>
        <w:rPr>
          <w:rFonts w:hint="eastAsia" w:ascii="仿宋" w:hAnsi="仿宋" w:eastAsia="仿宋"/>
          <w:color w:val="auto"/>
          <w:highlight w:val="none"/>
        </w:rPr>
        <w:t>估价结果为房地产市场价值，包括房屋及所分摊的建设用地使用权</w:t>
      </w:r>
      <w:r>
        <w:rPr>
          <w:rFonts w:hint="eastAsia" w:ascii="仿宋" w:hAnsi="仿宋" w:eastAsia="仿宋"/>
          <w:snapToGrid w:val="0"/>
          <w:color w:val="auto"/>
          <w:highlight w:val="none"/>
        </w:rPr>
        <w:t>、以及按二手房交易市场通常应当包含的装饰装修价值，不包括动产、构筑物、树木等，以及债权债务、特许经营权等其他财产或权益。遵循权利主体一致原则，分割处置该估价结果无效。</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3、本估价报告估价结果拟</w:t>
      </w:r>
      <w:r>
        <w:rPr>
          <w:rFonts w:hint="eastAsia" w:ascii="仿宋" w:hAnsi="仿宋" w:eastAsia="仿宋"/>
          <w:color w:val="auto"/>
          <w:highlight w:val="none"/>
          <w:lang w:eastAsia="zh-CN"/>
        </w:rPr>
        <w:t>为司法拍卖（变卖）提供房地产市场价值参考依据</w:t>
      </w:r>
      <w:r>
        <w:rPr>
          <w:rFonts w:hint="eastAsia" w:ascii="仿宋" w:hAnsi="仿宋" w:eastAsia="仿宋"/>
          <w:snapToGrid w:val="0"/>
          <w:color w:val="auto"/>
          <w:highlight w:val="none"/>
        </w:rPr>
        <w:t>，按照既定目的提供给估价委托人使用，若改变估价目的及使用条件，需向本公司咨询后作必要调整甚至重新估价。</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4、本估价报告分为估价结果报告和估价技术报告两部分，估价结果报告提供给估价委托人，估价技术报告根据有关规定由估价机构存档并在必要时提供给相关主管部门审查使用。</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5、未经估价机构书面同意，本估价报告的全部和部分及任何参考资料均不允许在任何公开发表的文件、通知或声明中引用，亦不得以其他任何方式公开发表。</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6、本报告必须完整使用方为有效，对仅使用报告中的部份内容或者违规使用本估价报告和估价结果，所导致的有关损失或者法律后果由有关责任方自行承担，本估价机构及本估价报告签字注册房地产估价师不承担任何责任。本公司保留对违规使用本估价报告和估价结果的有关责任方追究相关法律责任的权利。</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7、估价过程中遇到非注册房地产估价师执业水平和能力所能评定估算的不确定性因素、或有关事项等，注册房地产估价师和估价机构对此类事项不承担任何责任。本估价报告仅是在报告中说明的假设条件下对估价对象正常市场价值进行的合理估算，报告中对估价对象权属情况的披露不能作为对其权属确认的依据，估价对象权属界定以有权管理部门认定为准。</w:t>
      </w:r>
    </w:p>
    <w:p>
      <w:pPr>
        <w:ind w:firstLine="480" w:firstLineChars="200"/>
        <w:rPr>
          <w:rFonts w:ascii="仿宋" w:hAnsi="仿宋" w:eastAsia="仿宋"/>
          <w:snapToGrid w:val="0"/>
          <w:color w:val="auto"/>
          <w:highlight w:val="none"/>
        </w:rPr>
      </w:pPr>
      <w:r>
        <w:rPr>
          <w:rFonts w:ascii="仿宋" w:hAnsi="仿宋" w:eastAsia="仿宋"/>
          <w:snapToGrid w:val="0"/>
          <w:color w:val="auto"/>
          <w:highlight w:val="none"/>
        </w:rPr>
        <w:t>8、本次估价所涉权属资料</w:t>
      </w:r>
      <w:r>
        <w:rPr>
          <w:rFonts w:hint="eastAsia" w:ascii="仿宋" w:hAnsi="仿宋" w:eastAsia="仿宋"/>
          <w:snapToGrid w:val="0"/>
          <w:color w:val="auto"/>
          <w:highlight w:val="none"/>
        </w:rPr>
        <w:t>《</w:t>
      </w:r>
      <w:r>
        <w:rPr>
          <w:rFonts w:hint="eastAsia" w:ascii="仿宋" w:hAnsi="仿宋" w:eastAsia="仿宋"/>
          <w:snapToGrid w:val="0"/>
          <w:color w:val="auto"/>
          <w:highlight w:val="none"/>
          <w:lang w:eastAsia="zh-CN"/>
        </w:rPr>
        <w:t>个人不动产信息情况证明</w:t>
      </w:r>
      <w:r>
        <w:rPr>
          <w:rFonts w:hint="eastAsia" w:ascii="仿宋" w:hAnsi="仿宋" w:eastAsia="仿宋"/>
          <w:snapToGrid w:val="0"/>
          <w:color w:val="auto"/>
          <w:highlight w:val="none"/>
        </w:rPr>
        <w:t>》</w:t>
      </w:r>
      <w:r>
        <w:rPr>
          <w:rFonts w:ascii="仿宋" w:hAnsi="仿宋" w:eastAsia="仿宋"/>
          <w:snapToGrid w:val="0"/>
          <w:color w:val="auto"/>
          <w:highlight w:val="none"/>
        </w:rPr>
        <w:t>为经当事人质证</w:t>
      </w:r>
      <w:r>
        <w:rPr>
          <w:rFonts w:hint="eastAsia" w:ascii="仿宋" w:hAnsi="仿宋" w:eastAsia="仿宋"/>
          <w:snapToGrid w:val="0"/>
          <w:color w:val="auto"/>
          <w:highlight w:val="none"/>
        </w:rPr>
        <w:t>人民法院</w:t>
      </w:r>
      <w:r>
        <w:rPr>
          <w:rFonts w:ascii="仿宋" w:hAnsi="仿宋" w:eastAsia="仿宋"/>
          <w:snapToGrid w:val="0"/>
          <w:color w:val="auto"/>
          <w:highlight w:val="none"/>
        </w:rPr>
        <w:t>认定的鉴定评估资料，估价依据及相关参数资料为注册房地产估价师调查核实的资料。</w:t>
      </w:r>
    </w:p>
    <w:p>
      <w:pPr>
        <w:adjustRightInd w:val="0"/>
        <w:snapToGrid w:val="0"/>
        <w:spacing w:line="460" w:lineRule="exact"/>
        <w:ind w:firstLine="480" w:firstLineChars="200"/>
        <w:rPr>
          <w:rFonts w:ascii="仿宋" w:hAnsi="仿宋" w:eastAsia="仿宋"/>
          <w:snapToGrid w:val="0"/>
          <w:color w:val="auto"/>
          <w:highlight w:val="none"/>
        </w:rPr>
      </w:pPr>
      <w:r>
        <w:rPr>
          <w:rFonts w:ascii="仿宋" w:hAnsi="仿宋" w:eastAsia="仿宋"/>
          <w:snapToGrid w:val="0"/>
          <w:color w:val="auto"/>
          <w:highlight w:val="none"/>
        </w:rPr>
        <w:t>9、其他事项说明：</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w:t>
      </w:r>
      <w:r>
        <w:rPr>
          <w:rFonts w:ascii="仿宋" w:hAnsi="仿宋" w:eastAsia="仿宋"/>
          <w:snapToGrid w:val="0"/>
          <w:color w:val="auto"/>
          <w:highlight w:val="none"/>
        </w:rPr>
        <w:t>1）本次估价估价委托人和案件当事人没有提供估价对象的租赁情况，若存在租赁，依据《合同法》第229条和《民通意见》119条有关规定，遵循“买卖不破租赁”，买受人应当对租约及履约情况进行判断和予以关注。</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w:t>
      </w:r>
      <w:r>
        <w:rPr>
          <w:rFonts w:ascii="仿宋" w:hAnsi="仿宋" w:eastAsia="仿宋"/>
          <w:snapToGrid w:val="0"/>
          <w:color w:val="auto"/>
          <w:highlight w:val="none"/>
        </w:rPr>
        <w:t>2）案件当事人对鉴定估价报告有异议的，可以自收到鉴定估价报告起</w:t>
      </w:r>
      <w:r>
        <w:rPr>
          <w:rFonts w:hint="eastAsia" w:ascii="仿宋" w:hAnsi="仿宋" w:eastAsia="仿宋"/>
          <w:snapToGrid w:val="0"/>
          <w:color w:val="auto"/>
          <w:highlight w:val="none"/>
          <w:lang w:val="en-US" w:eastAsia="zh-CN"/>
        </w:rPr>
        <w:t>5</w:t>
      </w:r>
      <w:r>
        <w:rPr>
          <w:rFonts w:ascii="仿宋" w:hAnsi="仿宋" w:eastAsia="仿宋"/>
          <w:snapToGrid w:val="0"/>
          <w:color w:val="auto"/>
          <w:highlight w:val="none"/>
        </w:rPr>
        <w:t>日内提出异议，超过该期间即丧失对鉴定估价报告提出异议的权利</w:t>
      </w:r>
      <w:r>
        <w:rPr>
          <w:rFonts w:hint="eastAsia" w:ascii="仿宋" w:hAnsi="仿宋" w:eastAsia="仿宋"/>
          <w:snapToGrid w:val="0"/>
          <w:color w:val="auto"/>
          <w:highlight w:val="none"/>
        </w:rPr>
        <w:t>。</w:t>
      </w:r>
    </w:p>
    <w:p>
      <w:pPr>
        <w:adjustRightInd w:val="0"/>
        <w:snapToGrid w:val="0"/>
        <w:spacing w:line="460" w:lineRule="exact"/>
        <w:ind w:firstLine="480" w:firstLineChars="200"/>
        <w:rPr>
          <w:rFonts w:ascii="仿宋" w:hAnsi="仿宋" w:eastAsia="仿宋"/>
          <w:snapToGrid w:val="0"/>
          <w:color w:val="auto"/>
          <w:highlight w:val="none"/>
        </w:rPr>
      </w:pPr>
    </w:p>
    <w:p>
      <w:pPr>
        <w:spacing w:line="420" w:lineRule="auto"/>
        <w:jc w:val="center"/>
        <w:rPr>
          <w:color w:val="auto"/>
          <w:sz w:val="32"/>
          <w:szCs w:val="32"/>
          <w:highlight w:val="none"/>
        </w:rPr>
      </w:pPr>
      <w:r>
        <w:rPr>
          <w:rFonts w:hint="eastAsia"/>
          <w:color w:val="auto"/>
          <w:sz w:val="32"/>
          <w:szCs w:val="32"/>
          <w:highlight w:val="none"/>
        </w:rPr>
        <w:br w:type="page"/>
      </w:r>
    </w:p>
    <w:p>
      <w:pPr>
        <w:pStyle w:val="3"/>
        <w:spacing w:before="0" w:after="0" w:line="420" w:lineRule="auto"/>
        <w:jc w:val="center"/>
        <w:rPr>
          <w:rFonts w:ascii="宋体" w:hAnsi="宋体" w:eastAsia="宋体"/>
          <w:color w:val="auto"/>
          <w:sz w:val="32"/>
          <w:szCs w:val="32"/>
          <w:highlight w:val="none"/>
        </w:rPr>
      </w:pPr>
      <w:bookmarkStart w:id="54" w:name="_Toc1835"/>
      <w:r>
        <w:rPr>
          <w:rFonts w:hint="eastAsia" w:ascii="宋体" w:hAnsi="宋体" w:eastAsia="宋体"/>
          <w:color w:val="auto"/>
          <w:sz w:val="32"/>
          <w:szCs w:val="32"/>
          <w:highlight w:val="none"/>
        </w:rPr>
        <w:t>估价结果报告</w:t>
      </w:r>
      <w:bookmarkEnd w:id="32"/>
      <w:bookmarkEnd w:id="33"/>
      <w:bookmarkEnd w:id="34"/>
      <w:bookmarkEnd w:id="54"/>
    </w:p>
    <w:p>
      <w:pPr>
        <w:pStyle w:val="5"/>
        <w:ind w:firstLine="0"/>
        <w:jc w:val="center"/>
        <w:rPr>
          <w:rFonts w:eastAsia="仿宋_GB2312"/>
          <w:color w:val="auto"/>
          <w:sz w:val="24"/>
          <w:highlight w:val="none"/>
        </w:rPr>
      </w:pPr>
      <w:r>
        <w:rPr>
          <w:rFonts w:eastAsia="仿宋_GB2312"/>
          <w:color w:val="auto"/>
          <w:sz w:val="24"/>
          <w:highlight w:val="none"/>
        </w:rPr>
        <w:t>%BGNO_F%</w:t>
      </w:r>
    </w:p>
    <w:p>
      <w:pPr>
        <w:pStyle w:val="4"/>
        <w:widowControl w:val="0"/>
        <w:spacing w:before="0" w:after="0" w:line="460" w:lineRule="exact"/>
        <w:jc w:val="both"/>
        <w:rPr>
          <w:rFonts w:ascii="仿宋" w:hAnsi="仿宋" w:eastAsia="仿宋" w:cs="宋体"/>
          <w:color w:val="auto"/>
          <w:sz w:val="24"/>
          <w:szCs w:val="24"/>
          <w:highlight w:val="none"/>
        </w:rPr>
      </w:pPr>
      <w:bookmarkStart w:id="55" w:name="_Toc12217"/>
      <w:bookmarkStart w:id="56" w:name="_Toc1610"/>
      <w:bookmarkStart w:id="57" w:name="_Toc20191"/>
      <w:bookmarkStart w:id="58" w:name="_Toc383001810"/>
      <w:bookmarkStart w:id="59" w:name="_Toc4747"/>
      <w:bookmarkStart w:id="60" w:name="_Toc21513"/>
      <w:bookmarkStart w:id="61" w:name="_Toc11087"/>
      <w:bookmarkStart w:id="62" w:name="_Toc22217"/>
      <w:bookmarkStart w:id="63" w:name="_Toc27434"/>
      <w:r>
        <w:rPr>
          <w:rFonts w:hint="eastAsia" w:ascii="仿宋" w:hAnsi="仿宋" w:eastAsia="仿宋" w:cs="宋体"/>
          <w:color w:val="auto"/>
          <w:sz w:val="24"/>
          <w:szCs w:val="24"/>
          <w:highlight w:val="none"/>
        </w:rPr>
        <w:t>一、估价委托人</w:t>
      </w:r>
      <w:bookmarkEnd w:id="55"/>
      <w:bookmarkEnd w:id="56"/>
      <w:bookmarkEnd w:id="57"/>
      <w:bookmarkEnd w:id="58"/>
      <w:bookmarkEnd w:id="59"/>
      <w:bookmarkEnd w:id="60"/>
      <w:bookmarkEnd w:id="61"/>
      <w:bookmarkEnd w:id="62"/>
      <w:bookmarkEnd w:id="63"/>
    </w:p>
    <w:p>
      <w:pPr>
        <w:adjustRightInd w:val="0"/>
        <w:snapToGrid w:val="0"/>
        <w:spacing w:line="460" w:lineRule="exact"/>
        <w:ind w:firstLine="480" w:firstLineChars="200"/>
        <w:rPr>
          <w:rFonts w:hint="eastAsia" w:ascii="仿宋" w:hAnsi="仿宋" w:eastAsia="仿宋"/>
          <w:snapToGrid w:val="0"/>
          <w:color w:val="auto"/>
          <w:highlight w:val="none"/>
          <w:lang w:eastAsia="zh-CN"/>
        </w:rPr>
      </w:pPr>
      <w:r>
        <w:rPr>
          <w:rFonts w:hint="eastAsia" w:ascii="仿宋" w:hAnsi="仿宋" w:eastAsia="仿宋"/>
          <w:snapToGrid w:val="0"/>
          <w:color w:val="auto"/>
          <w:highlight w:val="none"/>
        </w:rPr>
        <w:t>单位名称：</w:t>
      </w:r>
      <w:r>
        <w:rPr>
          <w:rFonts w:hint="eastAsia" w:ascii="仿宋" w:hAnsi="仿宋" w:eastAsia="仿宋"/>
          <w:snapToGrid w:val="0"/>
          <w:color w:val="auto"/>
          <w:highlight w:val="none"/>
          <w:lang w:eastAsia="zh-CN"/>
        </w:rPr>
        <w:t>施秉县人民法院</w:t>
      </w:r>
    </w:p>
    <w:p>
      <w:pPr>
        <w:spacing w:line="520" w:lineRule="exact"/>
        <w:ind w:right="211" w:rightChars="88" w:firstLine="480" w:firstLineChars="200"/>
        <w:rPr>
          <w:rFonts w:hint="eastAsia" w:ascii="仿宋" w:hAnsi="仿宋" w:eastAsia="仿宋"/>
          <w:snapToGrid w:val="0"/>
          <w:color w:val="auto"/>
          <w:highlight w:val="none"/>
          <w:lang w:eastAsia="zh-CN"/>
        </w:rPr>
      </w:pPr>
      <w:r>
        <w:rPr>
          <w:rFonts w:hint="eastAsia" w:ascii="仿宋" w:hAnsi="仿宋" w:eastAsia="仿宋"/>
          <w:snapToGrid w:val="0"/>
          <w:color w:val="auto"/>
          <w:highlight w:val="none"/>
        </w:rPr>
        <w:t>联 系 人：</w:t>
      </w:r>
      <w:r>
        <w:rPr>
          <w:rFonts w:hint="eastAsia" w:ascii="仿宋" w:hAnsi="仿宋" w:eastAsia="仿宋"/>
          <w:snapToGrid w:val="0"/>
          <w:color w:val="auto"/>
          <w:highlight w:val="none"/>
          <w:lang w:eastAsia="zh-CN"/>
        </w:rPr>
        <w:t>龙建伍</w:t>
      </w:r>
    </w:p>
    <w:p>
      <w:pPr>
        <w:spacing w:line="520" w:lineRule="exact"/>
        <w:ind w:right="211" w:rightChars="88" w:firstLine="480" w:firstLineChars="200"/>
        <w:rPr>
          <w:rFonts w:hint="default" w:ascii="仿宋" w:hAnsi="仿宋" w:eastAsia="仿宋"/>
          <w:color w:val="auto"/>
          <w:sz w:val="28"/>
          <w:szCs w:val="28"/>
          <w:highlight w:val="none"/>
          <w:lang w:val="en-US" w:eastAsia="zh-CN"/>
        </w:rPr>
      </w:pPr>
      <w:r>
        <w:rPr>
          <w:rFonts w:hint="eastAsia" w:ascii="仿宋" w:hAnsi="仿宋" w:eastAsia="仿宋"/>
          <w:snapToGrid w:val="0"/>
          <w:color w:val="auto"/>
          <w:highlight w:val="none"/>
        </w:rPr>
        <w:t>联系电话：</w:t>
      </w:r>
      <w:r>
        <w:rPr>
          <w:rFonts w:hint="eastAsia" w:ascii="仿宋" w:hAnsi="仿宋" w:eastAsia="仿宋"/>
          <w:snapToGrid w:val="0"/>
          <w:color w:val="auto"/>
          <w:highlight w:val="none"/>
          <w:lang w:val="en-US" w:eastAsia="zh-CN"/>
        </w:rPr>
        <w:t>18008558387</w:t>
      </w:r>
    </w:p>
    <w:p>
      <w:pPr>
        <w:pStyle w:val="4"/>
        <w:widowControl w:val="0"/>
        <w:spacing w:before="0" w:after="0" w:line="460" w:lineRule="exact"/>
        <w:jc w:val="both"/>
        <w:rPr>
          <w:rFonts w:ascii="仿宋" w:hAnsi="仿宋" w:eastAsia="仿宋" w:cs="宋体"/>
          <w:color w:val="auto"/>
          <w:sz w:val="24"/>
          <w:szCs w:val="24"/>
          <w:highlight w:val="none"/>
        </w:rPr>
      </w:pPr>
      <w:bookmarkStart w:id="64" w:name="_Toc167"/>
      <w:bookmarkStart w:id="65" w:name="_Toc20867"/>
      <w:bookmarkStart w:id="66" w:name="_Toc383001811"/>
      <w:bookmarkStart w:id="67" w:name="_Toc10481"/>
      <w:r>
        <w:rPr>
          <w:rFonts w:hint="eastAsia" w:ascii="仿宋" w:hAnsi="仿宋" w:eastAsia="仿宋" w:cs="宋体"/>
          <w:color w:val="auto"/>
          <w:sz w:val="24"/>
          <w:szCs w:val="24"/>
          <w:highlight w:val="none"/>
        </w:rPr>
        <w:t>二、估价机构</w:t>
      </w:r>
      <w:bookmarkEnd w:id="64"/>
    </w:p>
    <w:bookmarkEnd w:id="65"/>
    <w:bookmarkEnd w:id="66"/>
    <w:bookmarkEnd w:id="67"/>
    <w:p>
      <w:pPr>
        <w:spacing w:line="480" w:lineRule="atLeast"/>
        <w:ind w:left="31" w:firstLine="480" w:firstLineChars="200"/>
        <w:rPr>
          <w:rFonts w:ascii="仿宋" w:hAnsi="仿宋" w:eastAsia="仿宋"/>
          <w:snapToGrid w:val="0"/>
          <w:color w:val="auto"/>
          <w:highlight w:val="none"/>
        </w:rPr>
      </w:pPr>
      <w:bookmarkStart w:id="68" w:name="_Toc14082"/>
      <w:bookmarkStart w:id="69" w:name="_Toc383001812"/>
      <w:bookmarkStart w:id="70" w:name="_Toc30108"/>
      <w:bookmarkStart w:id="71" w:name="_Toc21079"/>
      <w:bookmarkStart w:id="72" w:name="_Toc24022"/>
      <w:bookmarkStart w:id="73" w:name="_Toc9981"/>
      <w:bookmarkStart w:id="74" w:name="_Toc22981"/>
      <w:bookmarkStart w:id="75" w:name="_Toc25385"/>
      <w:bookmarkStart w:id="76" w:name="_三、估价对象概况："/>
      <w:r>
        <w:rPr>
          <w:rFonts w:hint="eastAsia" w:ascii="仿宋" w:hAnsi="仿宋" w:eastAsia="仿宋"/>
          <w:snapToGrid w:val="0"/>
          <w:color w:val="auto"/>
          <w:highlight w:val="none"/>
        </w:rPr>
        <w:t>机构名称：博文房地产评估造价集团有限公司</w:t>
      </w:r>
    </w:p>
    <w:p>
      <w:pPr>
        <w:spacing w:line="480" w:lineRule="atLeast"/>
        <w:ind w:left="31"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法定代表人：徐文井</w:t>
      </w:r>
    </w:p>
    <w:p>
      <w:pPr>
        <w:spacing w:line="480" w:lineRule="atLeast"/>
        <w:ind w:left="31"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住所：北京市西城区宣武门外大街6、8、10、12、16、18号6号楼8层804</w:t>
      </w:r>
    </w:p>
    <w:p>
      <w:pPr>
        <w:spacing w:line="480" w:lineRule="atLeast"/>
        <w:ind w:left="31"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 xml:space="preserve">联系电话：025-84699006      传真：025-84715108  </w:t>
      </w:r>
    </w:p>
    <w:p>
      <w:pPr>
        <w:spacing w:line="480" w:lineRule="atLeast"/>
        <w:ind w:left="31"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网址：</w:t>
      </w:r>
      <w:r>
        <w:rPr>
          <w:color w:val="auto"/>
          <w:highlight w:val="none"/>
        </w:rPr>
        <w:fldChar w:fldCharType="begin"/>
      </w:r>
      <w:r>
        <w:rPr>
          <w:color w:val="auto"/>
          <w:highlight w:val="none"/>
        </w:rPr>
        <w:instrText xml:space="preserve"> HYPERLINK "http://www.bwjt-cn.cn" </w:instrText>
      </w:r>
      <w:r>
        <w:rPr>
          <w:color w:val="auto"/>
          <w:highlight w:val="none"/>
        </w:rPr>
        <w:fldChar w:fldCharType="separate"/>
      </w:r>
      <w:r>
        <w:rPr>
          <w:rFonts w:hint="eastAsia" w:ascii="仿宋" w:hAnsi="仿宋" w:eastAsia="仿宋"/>
          <w:snapToGrid w:val="0"/>
          <w:color w:val="auto"/>
          <w:highlight w:val="none"/>
        </w:rPr>
        <w:t>http://www.bwjt-cn.cn</w:t>
      </w:r>
      <w:r>
        <w:rPr>
          <w:rFonts w:hint="eastAsia" w:ascii="仿宋" w:hAnsi="仿宋" w:eastAsia="仿宋"/>
          <w:snapToGrid w:val="0"/>
          <w:color w:val="auto"/>
          <w:highlight w:val="none"/>
        </w:rPr>
        <w:fldChar w:fldCharType="end"/>
      </w:r>
    </w:p>
    <w:p>
      <w:pPr>
        <w:spacing w:line="480" w:lineRule="atLeast"/>
        <w:ind w:left="31"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资质等级：一级         证书编号：建房估证字[2015]025号</w:t>
      </w:r>
    </w:p>
    <w:p>
      <w:pPr>
        <w:spacing w:line="480" w:lineRule="atLeast"/>
        <w:ind w:left="31"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有效期限：2018年9月26日至2021年9月25日</w:t>
      </w:r>
    </w:p>
    <w:p>
      <w:pPr>
        <w:spacing w:line="480" w:lineRule="atLeast"/>
        <w:ind w:left="31"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统一社会信用代码：911100007394033502</w:t>
      </w:r>
    </w:p>
    <w:p>
      <w:pPr>
        <w:spacing w:line="480" w:lineRule="atLeast"/>
        <w:ind w:left="31"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经营范围：房地产评估、土地评估、房地产咨询、工程监理、工程造价咨询、工程招标代理、地理信息系统工程设计、工程测量、不动产测绘、不动产权属登记代理</w:t>
      </w:r>
    </w:p>
    <w:p>
      <w:pPr>
        <w:spacing w:line="480" w:lineRule="atLeast"/>
        <w:ind w:left="31"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分公司地址：贵阳市观山湖区长岭北路8号美的·财智中心C座3A-423号</w:t>
      </w:r>
    </w:p>
    <w:p>
      <w:pPr>
        <w:spacing w:line="480" w:lineRule="atLeast"/>
        <w:ind w:left="31"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邮编：550000</w:t>
      </w:r>
    </w:p>
    <w:p>
      <w:pPr>
        <w:spacing w:line="480" w:lineRule="atLeast"/>
        <w:ind w:left="31"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联系人：吴刚</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联系电话：0851-86684367    17785964961</w:t>
      </w:r>
    </w:p>
    <w:p>
      <w:pPr>
        <w:pStyle w:val="4"/>
        <w:widowControl w:val="0"/>
        <w:spacing w:before="0" w:after="0" w:line="460" w:lineRule="exact"/>
        <w:jc w:val="both"/>
        <w:rPr>
          <w:rFonts w:ascii="仿宋" w:hAnsi="仿宋" w:eastAsia="仿宋" w:cs="宋体"/>
          <w:color w:val="auto"/>
          <w:sz w:val="24"/>
          <w:szCs w:val="24"/>
          <w:highlight w:val="none"/>
        </w:rPr>
      </w:pPr>
      <w:bookmarkStart w:id="77" w:name="_Toc20851"/>
      <w:r>
        <w:rPr>
          <w:rFonts w:hint="eastAsia" w:ascii="仿宋" w:hAnsi="仿宋" w:eastAsia="仿宋" w:cs="宋体"/>
          <w:color w:val="auto"/>
          <w:sz w:val="24"/>
          <w:szCs w:val="24"/>
          <w:highlight w:val="none"/>
        </w:rPr>
        <w:t>三、估价目的</w:t>
      </w:r>
      <w:bookmarkEnd w:id="68"/>
      <w:bookmarkEnd w:id="69"/>
      <w:bookmarkEnd w:id="70"/>
      <w:bookmarkEnd w:id="71"/>
      <w:bookmarkEnd w:id="72"/>
      <w:bookmarkEnd w:id="73"/>
      <w:bookmarkEnd w:id="74"/>
      <w:bookmarkEnd w:id="75"/>
      <w:bookmarkEnd w:id="77"/>
    </w:p>
    <w:p>
      <w:pPr>
        <w:spacing w:line="480" w:lineRule="atLeast"/>
        <w:ind w:firstLine="480" w:firstLineChars="200"/>
        <w:rPr>
          <w:rFonts w:ascii="仿宋" w:hAnsi="仿宋" w:eastAsia="仿宋"/>
          <w:color w:val="auto"/>
          <w:sz w:val="28"/>
          <w:szCs w:val="28"/>
          <w:highlight w:val="none"/>
        </w:rPr>
      </w:pPr>
      <w:r>
        <w:rPr>
          <w:rFonts w:hint="eastAsia" w:ascii="仿宋" w:hAnsi="仿宋" w:eastAsia="仿宋"/>
          <w:color w:val="auto"/>
          <w:highlight w:val="none"/>
          <w:lang w:eastAsia="zh-CN"/>
        </w:rPr>
        <w:t>为司法拍卖（变卖）提供房地产市场价值参考依据</w:t>
      </w:r>
      <w:r>
        <w:rPr>
          <w:rFonts w:hint="eastAsia" w:ascii="仿宋" w:hAnsi="仿宋" w:eastAsia="仿宋"/>
          <w:snapToGrid w:val="0"/>
          <w:color w:val="auto"/>
          <w:highlight w:val="none"/>
        </w:rPr>
        <w:t>。</w:t>
      </w:r>
    </w:p>
    <w:bookmarkEnd w:id="76"/>
    <w:p>
      <w:pPr>
        <w:pStyle w:val="4"/>
        <w:widowControl w:val="0"/>
        <w:spacing w:before="0" w:after="0" w:line="460" w:lineRule="exact"/>
        <w:jc w:val="both"/>
        <w:rPr>
          <w:rFonts w:ascii="仿宋" w:hAnsi="仿宋" w:eastAsia="仿宋" w:cs="宋体"/>
          <w:color w:val="auto"/>
          <w:sz w:val="24"/>
          <w:szCs w:val="24"/>
          <w:highlight w:val="none"/>
        </w:rPr>
      </w:pPr>
      <w:bookmarkStart w:id="78" w:name="_Toc16035"/>
      <w:bookmarkStart w:id="79" w:name="_Toc383001813"/>
      <w:bookmarkStart w:id="80" w:name="_Toc25614"/>
      <w:bookmarkStart w:id="81" w:name="_Toc27191"/>
      <w:r>
        <w:rPr>
          <w:rFonts w:hint="eastAsia" w:ascii="仿宋" w:hAnsi="仿宋" w:eastAsia="仿宋" w:cs="宋体"/>
          <w:color w:val="auto"/>
          <w:sz w:val="24"/>
          <w:szCs w:val="24"/>
          <w:highlight w:val="none"/>
        </w:rPr>
        <w:t>四、估价对象</w:t>
      </w:r>
      <w:bookmarkEnd w:id="78"/>
      <w:bookmarkEnd w:id="79"/>
      <w:bookmarkEnd w:id="80"/>
      <w:bookmarkEnd w:id="81"/>
    </w:p>
    <w:p>
      <w:pPr>
        <w:spacing w:line="460" w:lineRule="exact"/>
        <w:ind w:firstLine="482" w:firstLineChars="200"/>
        <w:rPr>
          <w:rFonts w:ascii="仿宋" w:hAnsi="仿宋" w:eastAsia="仿宋"/>
          <w:b/>
          <w:color w:val="auto"/>
          <w:highlight w:val="none"/>
        </w:rPr>
      </w:pPr>
      <w:bookmarkStart w:id="82" w:name="_Toc5106"/>
      <w:bookmarkStart w:id="83" w:name="_Toc25473"/>
      <w:bookmarkStart w:id="84" w:name="_Toc383001814"/>
      <w:r>
        <w:rPr>
          <w:rFonts w:hint="eastAsia" w:ascii="仿宋" w:hAnsi="仿宋" w:eastAsia="仿宋"/>
          <w:b/>
          <w:color w:val="auto"/>
          <w:highlight w:val="none"/>
        </w:rPr>
        <w:t>（一）估价对象界定</w:t>
      </w:r>
    </w:p>
    <w:p>
      <w:pPr>
        <w:ind w:firstLine="480" w:firstLineChars="200"/>
        <w:jc w:val="both"/>
        <w:rPr>
          <w:color w:val="auto"/>
          <w:highlight w:val="none"/>
        </w:rPr>
      </w:pPr>
      <w:r>
        <w:rPr>
          <w:rFonts w:hint="eastAsia" w:ascii="仿宋" w:hAnsi="仿宋" w:eastAsia="仿宋"/>
          <w:color w:val="auto"/>
          <w:highlight w:val="none"/>
        </w:rPr>
        <w:t>受</w:t>
      </w:r>
      <w:r>
        <w:rPr>
          <w:rFonts w:hint="eastAsia" w:ascii="仿宋" w:hAnsi="仿宋" w:eastAsia="仿宋"/>
          <w:color w:val="auto"/>
          <w:highlight w:val="none"/>
          <w:lang w:eastAsia="zh-CN"/>
        </w:rPr>
        <w:t>施秉县人民法院（2019）施外委（鉴）字第11号</w:t>
      </w:r>
      <w:r>
        <w:rPr>
          <w:rFonts w:hint="eastAsia" w:ascii="仿宋" w:hAnsi="仿宋" w:eastAsia="仿宋"/>
          <w:color w:val="auto"/>
          <w:highlight w:val="none"/>
        </w:rPr>
        <w:t>《</w:t>
      </w:r>
      <w:r>
        <w:rPr>
          <w:rFonts w:hint="eastAsia" w:ascii="仿宋" w:hAnsi="仿宋" w:eastAsia="仿宋"/>
          <w:color w:val="auto"/>
          <w:highlight w:val="none"/>
          <w:lang w:eastAsia="zh-CN"/>
        </w:rPr>
        <w:t>贵州省施秉县人民法院司法鉴定委托书</w:t>
      </w:r>
      <w:r>
        <w:rPr>
          <w:rFonts w:hint="eastAsia" w:ascii="仿宋" w:hAnsi="仿宋" w:eastAsia="仿宋"/>
          <w:color w:val="auto"/>
          <w:highlight w:val="none"/>
        </w:rPr>
        <w:t>》的委托，</w:t>
      </w:r>
      <w:r>
        <w:rPr>
          <w:rFonts w:hint="eastAsia" w:ascii="仿宋" w:hAnsi="仿宋" w:eastAsia="仿宋"/>
          <w:snapToGrid w:val="0"/>
          <w:color w:val="auto"/>
          <w:highlight w:val="none"/>
          <w:lang w:eastAsia="zh-CN"/>
        </w:rPr>
        <w:t>对施秉金鼎村镇银行有限责任公司申请执行徐建军、龙新荣金融借款合同纠纷一案，因案件执行需</w:t>
      </w:r>
      <w:r>
        <w:rPr>
          <w:rFonts w:hint="eastAsia" w:ascii="仿宋" w:hAnsi="仿宋" w:eastAsia="仿宋" w:cs="宋体"/>
          <w:color w:val="auto"/>
          <w:sz w:val="24"/>
          <w:szCs w:val="24"/>
          <w:highlight w:val="none"/>
        </w:rPr>
        <w:t>要涉及位于</w:t>
      </w:r>
      <w:r>
        <w:rPr>
          <w:rFonts w:hint="eastAsia" w:ascii="仿宋" w:hAnsi="仿宋" w:eastAsia="仿宋"/>
          <w:snapToGrid w:val="0"/>
          <w:color w:val="auto"/>
          <w:highlight w:val="none"/>
          <w:lang w:eastAsia="zh-CN"/>
        </w:rPr>
        <w:t>贵州省施秉县城关镇云台北路9号402号</w:t>
      </w:r>
      <w:r>
        <w:rPr>
          <w:rFonts w:hint="eastAsia" w:ascii="仿宋" w:hAnsi="仿宋" w:eastAsia="仿宋"/>
          <w:color w:val="auto"/>
          <w:highlight w:val="none"/>
        </w:rPr>
        <w:t>住宅用房，房屋建筑面积</w:t>
      </w:r>
      <w:r>
        <w:rPr>
          <w:rFonts w:hint="eastAsia" w:ascii="仿宋" w:hAnsi="仿宋" w:eastAsia="仿宋"/>
          <w:color w:val="auto"/>
          <w:highlight w:val="none"/>
          <w:lang w:eastAsia="zh-CN"/>
        </w:rPr>
        <w:t>230.28</w:t>
      </w:r>
      <w:r>
        <w:rPr>
          <w:rFonts w:hint="eastAsia"/>
          <w:color w:val="auto"/>
          <w:highlight w:val="none"/>
        </w:rPr>
        <w:t>㎡</w:t>
      </w:r>
      <w:r>
        <w:rPr>
          <w:rFonts w:hint="eastAsia" w:ascii="仿宋" w:hAnsi="仿宋" w:eastAsia="仿宋"/>
          <w:color w:val="auto"/>
          <w:highlight w:val="none"/>
        </w:rPr>
        <w:t>；列入本次估价范围的是房屋及所分摊的建设用地使用权</w:t>
      </w:r>
      <w:r>
        <w:rPr>
          <w:rFonts w:hint="eastAsia" w:ascii="仿宋" w:hAnsi="仿宋" w:eastAsia="仿宋"/>
          <w:snapToGrid w:val="0"/>
          <w:color w:val="auto"/>
          <w:highlight w:val="none"/>
        </w:rPr>
        <w:t>、以及按二手房交易市场通常应当包含的装饰装修价值，不包括动产、构筑物、树木等，以及债权债务、特许经营权等其他财产或权益</w:t>
      </w:r>
      <w:r>
        <w:rPr>
          <w:rFonts w:hint="eastAsia" w:ascii="仿宋" w:hAnsi="仿宋" w:eastAsia="仿宋"/>
          <w:color w:val="auto"/>
          <w:highlight w:val="none"/>
        </w:rPr>
        <w:t>。估价对象用地</w:t>
      </w:r>
      <w:r>
        <w:rPr>
          <w:rFonts w:hint="eastAsia" w:ascii="仿宋" w:hAnsi="仿宋" w:eastAsia="仿宋"/>
          <w:color w:val="auto"/>
          <w:highlight w:val="none"/>
          <w:lang w:eastAsia="zh-CN"/>
        </w:rPr>
        <w:t>东至云台北路、南临住宅、西临住宅、北临住宅</w:t>
      </w:r>
      <w:r>
        <w:rPr>
          <w:rFonts w:hint="eastAsia" w:ascii="仿宋" w:hAnsi="仿宋" w:eastAsia="仿宋"/>
          <w:color w:val="auto"/>
          <w:highlight w:val="none"/>
        </w:rPr>
        <w:t>。</w:t>
      </w:r>
    </w:p>
    <w:p>
      <w:pPr>
        <w:spacing w:line="500" w:lineRule="exact"/>
        <w:ind w:firstLine="482" w:firstLineChars="200"/>
        <w:rPr>
          <w:rFonts w:ascii="仿宋" w:hAnsi="仿宋" w:eastAsia="仿宋"/>
          <w:color w:val="auto"/>
          <w:highlight w:val="none"/>
        </w:rPr>
      </w:pPr>
      <w:r>
        <w:rPr>
          <w:rFonts w:hint="eastAsia" w:ascii="仿宋" w:hAnsi="仿宋" w:eastAsia="仿宋"/>
          <w:b/>
          <w:color w:val="auto"/>
          <w:highlight w:val="none"/>
        </w:rPr>
        <w:t>（二）估价对象权属权益状况</w:t>
      </w:r>
    </w:p>
    <w:p>
      <w:pPr>
        <w:spacing w:line="460" w:lineRule="exact"/>
        <w:ind w:right="560" w:firstLine="470" w:firstLineChars="196"/>
        <w:rPr>
          <w:rFonts w:ascii="仿宋" w:hAnsi="仿宋" w:eastAsia="仿宋"/>
          <w:color w:val="auto"/>
          <w:highlight w:val="none"/>
        </w:rPr>
      </w:pPr>
      <w:r>
        <w:rPr>
          <w:rFonts w:hint="eastAsia" w:ascii="仿宋" w:hAnsi="仿宋" w:eastAsia="仿宋"/>
          <w:color w:val="auto"/>
          <w:highlight w:val="none"/>
        </w:rPr>
        <w:t>1、估价对象产权状况</w:t>
      </w:r>
    </w:p>
    <w:p>
      <w:pPr>
        <w:ind w:firstLine="480" w:firstLineChars="200"/>
        <w:rPr>
          <w:color w:val="auto"/>
          <w:highlight w:val="none"/>
        </w:rPr>
      </w:pPr>
      <w:bookmarkStart w:id="85" w:name="_Hlk513749475"/>
      <w:r>
        <w:rPr>
          <w:rFonts w:hint="eastAsia" w:ascii="仿宋" w:hAnsi="仿宋" w:eastAsia="仿宋"/>
          <w:color w:val="auto"/>
          <w:highlight w:val="none"/>
        </w:rPr>
        <w:t>根据估价委托人提供的《</w:t>
      </w:r>
      <w:r>
        <w:rPr>
          <w:rFonts w:hint="eastAsia" w:ascii="仿宋" w:hAnsi="仿宋" w:eastAsia="仿宋"/>
          <w:color w:val="auto"/>
          <w:highlight w:val="none"/>
          <w:lang w:eastAsia="zh-CN"/>
        </w:rPr>
        <w:t>个人不动产信息情况证明</w:t>
      </w:r>
      <w:r>
        <w:rPr>
          <w:rFonts w:hint="eastAsia" w:ascii="仿宋" w:hAnsi="仿宋" w:eastAsia="仿宋"/>
          <w:color w:val="auto"/>
          <w:highlight w:val="none"/>
        </w:rPr>
        <w:t>》记载</w:t>
      </w:r>
      <w:r>
        <w:rPr>
          <w:rFonts w:hint="eastAsia" w:ascii="仿宋" w:hAnsi="仿宋" w:eastAsia="仿宋"/>
          <w:color w:val="auto"/>
          <w:highlight w:val="none"/>
          <w:lang w:eastAsia="zh-CN"/>
        </w:rPr>
        <w:t>，</w:t>
      </w:r>
      <w:r>
        <w:rPr>
          <w:rFonts w:hint="eastAsia" w:ascii="仿宋" w:hAnsi="仿宋" w:eastAsia="仿宋"/>
          <w:color w:val="auto"/>
          <w:highlight w:val="none"/>
        </w:rPr>
        <w:t>其权属、用途等基本情况详见下表：</w:t>
      </w:r>
    </w:p>
    <w:p>
      <w:pPr>
        <w:autoSpaceDE w:val="0"/>
        <w:autoSpaceDN w:val="0"/>
        <w:adjustRightInd w:val="0"/>
        <w:spacing w:line="460" w:lineRule="exact"/>
        <w:ind w:firstLine="480" w:firstLineChars="200"/>
        <w:textAlignment w:val="center"/>
        <w:rPr>
          <w:rFonts w:ascii="仿宋" w:hAnsi="仿宋" w:eastAsia="仿宋" w:cs="仿宋"/>
          <w:bCs/>
          <w:color w:val="auto"/>
          <w:highlight w:val="none"/>
        </w:rPr>
      </w:pPr>
      <w:r>
        <w:rPr>
          <w:rFonts w:hint="eastAsia" w:ascii="仿宋" w:hAnsi="仿宋" w:eastAsia="仿宋" w:cs="仿宋"/>
          <w:bCs/>
          <w:color w:val="auto"/>
          <w:highlight w:val="none"/>
        </w:rPr>
        <w:t>表4-1          《</w:t>
      </w:r>
      <w:r>
        <w:rPr>
          <w:rFonts w:hint="eastAsia" w:ascii="仿宋" w:hAnsi="仿宋" w:eastAsia="仿宋" w:cs="仿宋"/>
          <w:bCs/>
          <w:color w:val="auto"/>
          <w:highlight w:val="none"/>
          <w:lang w:eastAsia="zh-CN"/>
        </w:rPr>
        <w:t>个人不动产信息情况证明</w:t>
      </w:r>
      <w:r>
        <w:rPr>
          <w:rFonts w:hint="eastAsia" w:ascii="仿宋" w:hAnsi="仿宋" w:eastAsia="仿宋" w:cs="仿宋"/>
          <w:bCs/>
          <w:color w:val="auto"/>
          <w:highlight w:val="none"/>
        </w:rPr>
        <w:t>》登记情况一览表</w:t>
      </w:r>
    </w:p>
    <w:tbl>
      <w:tblPr>
        <w:tblStyle w:val="14"/>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1016"/>
        <w:gridCol w:w="996"/>
        <w:gridCol w:w="940"/>
        <w:gridCol w:w="1010"/>
        <w:gridCol w:w="1281"/>
        <w:gridCol w:w="955"/>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8" w:type="dxa"/>
            <w:vAlign w:val="center"/>
          </w:tcPr>
          <w:p>
            <w:pPr>
              <w:autoSpaceDE w:val="0"/>
              <w:autoSpaceDN w:val="0"/>
              <w:adjustRightInd w:val="0"/>
              <w:spacing w:line="360" w:lineRule="exact"/>
              <w:jc w:val="center"/>
              <w:textAlignment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姓名</w:t>
            </w:r>
          </w:p>
        </w:tc>
        <w:tc>
          <w:tcPr>
            <w:tcW w:w="1016" w:type="dxa"/>
            <w:vAlign w:val="center"/>
          </w:tcPr>
          <w:p>
            <w:pPr>
              <w:autoSpaceDE w:val="0"/>
              <w:autoSpaceDN w:val="0"/>
              <w:adjustRightInd w:val="0"/>
              <w:spacing w:line="360" w:lineRule="exact"/>
              <w:jc w:val="center"/>
              <w:textAlignment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登记日期</w:t>
            </w:r>
          </w:p>
        </w:tc>
        <w:tc>
          <w:tcPr>
            <w:tcW w:w="996" w:type="dxa"/>
            <w:vAlign w:val="center"/>
          </w:tcPr>
          <w:p>
            <w:pPr>
              <w:autoSpaceDE w:val="0"/>
              <w:autoSpaceDN w:val="0"/>
              <w:adjustRightInd w:val="0"/>
              <w:spacing w:line="360" w:lineRule="exact"/>
              <w:jc w:val="center"/>
              <w:textAlignment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登记类型</w:t>
            </w:r>
          </w:p>
        </w:tc>
        <w:tc>
          <w:tcPr>
            <w:tcW w:w="940" w:type="dxa"/>
            <w:vAlign w:val="center"/>
          </w:tcPr>
          <w:p>
            <w:pPr>
              <w:autoSpaceDE w:val="0"/>
              <w:autoSpaceDN w:val="0"/>
              <w:adjustRightInd w:val="0"/>
              <w:spacing w:line="360" w:lineRule="exact"/>
              <w:jc w:val="center"/>
              <w:textAlignment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产权证号</w:t>
            </w:r>
          </w:p>
        </w:tc>
        <w:tc>
          <w:tcPr>
            <w:tcW w:w="1010" w:type="dxa"/>
            <w:vAlign w:val="center"/>
          </w:tcPr>
          <w:p>
            <w:pPr>
              <w:autoSpaceDE w:val="0"/>
              <w:autoSpaceDN w:val="0"/>
              <w:adjustRightInd w:val="0"/>
              <w:spacing w:line="360" w:lineRule="exact"/>
              <w:jc w:val="center"/>
              <w:textAlignment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建筑面积</w:t>
            </w:r>
          </w:p>
        </w:tc>
        <w:tc>
          <w:tcPr>
            <w:tcW w:w="1281" w:type="dxa"/>
            <w:vAlign w:val="center"/>
          </w:tcPr>
          <w:p>
            <w:pPr>
              <w:autoSpaceDE w:val="0"/>
              <w:autoSpaceDN w:val="0"/>
              <w:adjustRightInd w:val="0"/>
              <w:spacing w:line="360" w:lineRule="exact"/>
              <w:jc w:val="center"/>
              <w:textAlignment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房屋用途</w:t>
            </w:r>
          </w:p>
        </w:tc>
        <w:tc>
          <w:tcPr>
            <w:tcW w:w="955" w:type="dxa"/>
            <w:vAlign w:val="center"/>
          </w:tcPr>
          <w:p>
            <w:pPr>
              <w:autoSpaceDE w:val="0"/>
              <w:autoSpaceDN w:val="0"/>
              <w:adjustRightInd w:val="0"/>
              <w:spacing w:line="360" w:lineRule="exact"/>
              <w:jc w:val="center"/>
              <w:textAlignment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房屋坐落</w:t>
            </w:r>
          </w:p>
        </w:tc>
        <w:tc>
          <w:tcPr>
            <w:tcW w:w="1982" w:type="dxa"/>
            <w:vAlign w:val="center"/>
          </w:tcPr>
          <w:p>
            <w:pPr>
              <w:autoSpaceDE w:val="0"/>
              <w:autoSpaceDN w:val="0"/>
              <w:adjustRightInd w:val="0"/>
              <w:spacing w:line="360" w:lineRule="exact"/>
              <w:jc w:val="center"/>
              <w:textAlignment w:val="center"/>
              <w:rPr>
                <w:rFonts w:hint="default"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eastAsia="zh-CN"/>
              </w:rPr>
              <w:t>抵押</w:t>
            </w:r>
            <w:r>
              <w:rPr>
                <w:rFonts w:hint="eastAsia" w:ascii="仿宋" w:hAnsi="仿宋" w:eastAsia="仿宋" w:cs="仿宋"/>
                <w:color w:val="auto"/>
                <w:sz w:val="18"/>
                <w:szCs w:val="18"/>
                <w:highlight w:val="none"/>
                <w:lang w:val="en-US" w:eastAsia="zh-CN"/>
              </w:rPr>
              <w:t>/查封/异议/限制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48" w:type="dxa"/>
            <w:vAlign w:val="center"/>
          </w:tcPr>
          <w:p>
            <w:pPr>
              <w:autoSpaceDE w:val="0"/>
              <w:autoSpaceDN w:val="0"/>
              <w:adjustRightInd w:val="0"/>
              <w:spacing w:line="360" w:lineRule="exact"/>
              <w:jc w:val="center"/>
              <w:textAlignment w:val="center"/>
              <w:rPr>
                <w:rFonts w:ascii="仿宋" w:hAnsi="仿宋" w:eastAsia="仿宋" w:cs="仿宋"/>
                <w:color w:val="auto"/>
                <w:sz w:val="18"/>
                <w:szCs w:val="18"/>
                <w:highlight w:val="none"/>
                <w:lang w:val="zh-CN"/>
              </w:rPr>
            </w:pPr>
            <w:r>
              <w:rPr>
                <w:rFonts w:hint="eastAsia" w:ascii="仿宋" w:hAnsi="仿宋" w:eastAsia="仿宋" w:cs="仿宋"/>
                <w:color w:val="auto"/>
                <w:sz w:val="18"/>
                <w:szCs w:val="18"/>
                <w:highlight w:val="none"/>
                <w:lang w:val="zh-CN"/>
              </w:rPr>
              <w:t>徐建军</w:t>
            </w:r>
          </w:p>
        </w:tc>
        <w:tc>
          <w:tcPr>
            <w:tcW w:w="1016" w:type="dxa"/>
            <w:vAlign w:val="center"/>
          </w:tcPr>
          <w:p>
            <w:pPr>
              <w:autoSpaceDE w:val="0"/>
              <w:autoSpaceDN w:val="0"/>
              <w:adjustRightInd w:val="0"/>
              <w:spacing w:line="360" w:lineRule="exact"/>
              <w:jc w:val="center"/>
              <w:textAlignment w:val="center"/>
              <w:rPr>
                <w:rFonts w:ascii="仿宋" w:hAnsi="仿宋" w:eastAsia="仿宋" w:cs="仿宋"/>
                <w:color w:val="auto"/>
                <w:sz w:val="18"/>
                <w:szCs w:val="18"/>
                <w:highlight w:val="none"/>
              </w:rPr>
            </w:pPr>
          </w:p>
        </w:tc>
        <w:tc>
          <w:tcPr>
            <w:tcW w:w="996" w:type="dxa"/>
            <w:vAlign w:val="center"/>
          </w:tcPr>
          <w:p>
            <w:pPr>
              <w:autoSpaceDE w:val="0"/>
              <w:autoSpaceDN w:val="0"/>
              <w:adjustRightInd w:val="0"/>
              <w:spacing w:line="360" w:lineRule="exact"/>
              <w:jc w:val="center"/>
              <w:textAlignment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首次登记</w:t>
            </w:r>
          </w:p>
        </w:tc>
        <w:tc>
          <w:tcPr>
            <w:tcW w:w="940" w:type="dxa"/>
            <w:vAlign w:val="center"/>
          </w:tcPr>
          <w:p>
            <w:pPr>
              <w:autoSpaceDE w:val="0"/>
              <w:autoSpaceDN w:val="0"/>
              <w:adjustRightInd w:val="0"/>
              <w:spacing w:line="360" w:lineRule="exact"/>
              <w:jc w:val="center"/>
              <w:textAlignment w:val="center"/>
              <w:rPr>
                <w:rFonts w:hint="default"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00005916</w:t>
            </w:r>
          </w:p>
        </w:tc>
        <w:tc>
          <w:tcPr>
            <w:tcW w:w="1010" w:type="dxa"/>
            <w:vAlign w:val="center"/>
          </w:tcPr>
          <w:p>
            <w:pPr>
              <w:autoSpaceDE w:val="0"/>
              <w:autoSpaceDN w:val="0"/>
              <w:adjustRightInd w:val="0"/>
              <w:spacing w:line="360" w:lineRule="exact"/>
              <w:jc w:val="center"/>
              <w:textAlignment w:val="center"/>
              <w:rPr>
                <w:rFonts w:hint="default"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230.28</w:t>
            </w:r>
          </w:p>
        </w:tc>
        <w:tc>
          <w:tcPr>
            <w:tcW w:w="1281" w:type="dxa"/>
            <w:vAlign w:val="center"/>
          </w:tcPr>
          <w:p>
            <w:pPr>
              <w:autoSpaceDE w:val="0"/>
              <w:autoSpaceDN w:val="0"/>
              <w:adjustRightInd w:val="0"/>
              <w:spacing w:line="360" w:lineRule="exact"/>
              <w:jc w:val="center"/>
              <w:textAlignment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成套住宅</w:t>
            </w:r>
          </w:p>
        </w:tc>
        <w:tc>
          <w:tcPr>
            <w:tcW w:w="955" w:type="dxa"/>
            <w:vAlign w:val="center"/>
          </w:tcPr>
          <w:p>
            <w:pPr>
              <w:autoSpaceDE w:val="0"/>
              <w:autoSpaceDN w:val="0"/>
              <w:adjustRightInd w:val="0"/>
              <w:spacing w:line="360" w:lineRule="exact"/>
              <w:jc w:val="center"/>
              <w:textAlignment w:val="center"/>
              <w:rPr>
                <w:rFonts w:ascii="仿宋" w:hAnsi="仿宋" w:eastAsia="仿宋" w:cs="仿宋"/>
                <w:color w:val="auto"/>
                <w:sz w:val="18"/>
                <w:szCs w:val="18"/>
                <w:highlight w:val="none"/>
              </w:rPr>
            </w:pPr>
          </w:p>
        </w:tc>
        <w:tc>
          <w:tcPr>
            <w:tcW w:w="1982" w:type="dxa"/>
            <w:vAlign w:val="center"/>
          </w:tcPr>
          <w:p>
            <w:pPr>
              <w:autoSpaceDE w:val="0"/>
              <w:autoSpaceDN w:val="0"/>
              <w:adjustRightInd w:val="0"/>
              <w:spacing w:line="360" w:lineRule="exact"/>
              <w:jc w:val="center"/>
              <w:textAlignment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eastAsia="zh-CN"/>
              </w:rPr>
              <w:t>抵押</w:t>
            </w:r>
          </w:p>
        </w:tc>
      </w:tr>
    </w:tbl>
    <w:p>
      <w:pPr>
        <w:spacing w:line="460" w:lineRule="exact"/>
        <w:ind w:right="560" w:firstLine="480" w:firstLineChars="200"/>
        <w:rPr>
          <w:rFonts w:ascii="仿宋" w:hAnsi="仿宋" w:eastAsia="仿宋"/>
          <w:color w:val="auto"/>
          <w:highlight w:val="none"/>
        </w:rPr>
      </w:pPr>
      <w:r>
        <w:rPr>
          <w:rFonts w:hint="eastAsia" w:ascii="仿宋" w:hAnsi="仿宋" w:eastAsia="仿宋"/>
          <w:color w:val="auto"/>
          <w:highlight w:val="none"/>
        </w:rPr>
        <w:t>2、估价对象权益状况</w:t>
      </w:r>
    </w:p>
    <w:p>
      <w:pPr>
        <w:spacing w:line="460" w:lineRule="exact"/>
        <w:ind w:firstLine="470" w:firstLineChars="196"/>
        <w:rPr>
          <w:rFonts w:hint="eastAsia" w:ascii="仿宋" w:hAnsi="仿宋" w:eastAsia="仿宋"/>
          <w:color w:val="auto"/>
          <w:highlight w:val="none"/>
        </w:rPr>
      </w:pPr>
      <w:r>
        <w:rPr>
          <w:rFonts w:hint="eastAsia" w:ascii="仿宋" w:hAnsi="仿宋" w:eastAsia="仿宋"/>
          <w:color w:val="auto"/>
          <w:highlight w:val="none"/>
        </w:rPr>
        <w:t>估价对象房屋所有权为</w:t>
      </w:r>
      <w:r>
        <w:rPr>
          <w:rFonts w:hint="eastAsia" w:ascii="仿宋" w:hAnsi="仿宋" w:eastAsia="仿宋"/>
          <w:color w:val="auto"/>
          <w:highlight w:val="none"/>
          <w:lang w:eastAsia="zh-CN"/>
        </w:rPr>
        <w:t>徐建军单独</w:t>
      </w:r>
      <w:r>
        <w:rPr>
          <w:rFonts w:hint="eastAsia" w:ascii="仿宋" w:hAnsi="仿宋" w:eastAsia="仿宋"/>
          <w:color w:val="auto"/>
          <w:highlight w:val="none"/>
        </w:rPr>
        <w:t>所有。</w:t>
      </w:r>
      <w:bookmarkStart w:id="86" w:name="OLE_LINK3"/>
      <w:r>
        <w:rPr>
          <w:rFonts w:hint="eastAsia" w:ascii="仿宋" w:hAnsi="仿宋" w:eastAsia="仿宋"/>
          <w:color w:val="auto"/>
          <w:highlight w:val="none"/>
        </w:rPr>
        <w:t>估价委托人未提供估价对象《国有土地使用证》，根据估价委托人提供的《</w:t>
      </w:r>
      <w:r>
        <w:rPr>
          <w:rFonts w:hint="eastAsia" w:ascii="仿宋" w:hAnsi="仿宋" w:eastAsia="仿宋"/>
          <w:color w:val="auto"/>
          <w:highlight w:val="none"/>
          <w:lang w:eastAsia="zh-CN"/>
        </w:rPr>
        <w:t>个人不动产信息情况证明</w:t>
      </w:r>
      <w:r>
        <w:rPr>
          <w:rFonts w:hint="eastAsia" w:ascii="仿宋" w:hAnsi="仿宋" w:eastAsia="仿宋"/>
          <w:color w:val="auto"/>
          <w:highlight w:val="none"/>
        </w:rPr>
        <w:t>》，估价对象用途为</w:t>
      </w:r>
      <w:r>
        <w:rPr>
          <w:rFonts w:hint="eastAsia" w:ascii="仿宋" w:hAnsi="仿宋" w:eastAsia="仿宋"/>
          <w:color w:val="auto"/>
          <w:highlight w:val="none"/>
          <w:lang w:eastAsia="zh-CN"/>
        </w:rPr>
        <w:t>成套</w:t>
      </w:r>
      <w:r>
        <w:rPr>
          <w:rFonts w:hint="eastAsia" w:ascii="仿宋" w:hAnsi="仿宋" w:eastAsia="仿宋"/>
          <w:color w:val="auto"/>
          <w:highlight w:val="none"/>
        </w:rPr>
        <w:t>住宅，根据房地合一原则，其所分摊的土地应为出让建设用地使用权，土地用途应为住宅，</w:t>
      </w:r>
      <w:bookmarkEnd w:id="86"/>
      <w:r>
        <w:rPr>
          <w:rFonts w:hint="eastAsia" w:ascii="仿宋" w:hAnsi="仿宋" w:eastAsia="仿宋"/>
          <w:color w:val="auto"/>
          <w:highlight w:val="none"/>
        </w:rPr>
        <w:t>估价对象于2008年建成投入使用，至价值时点建筑物已使用1</w:t>
      </w:r>
      <w:r>
        <w:rPr>
          <w:rFonts w:hint="eastAsia" w:ascii="仿宋" w:hAnsi="仿宋" w:eastAsia="仿宋"/>
          <w:color w:val="auto"/>
          <w:highlight w:val="none"/>
          <w:lang w:val="en-US" w:eastAsia="zh-CN"/>
        </w:rPr>
        <w:t>1</w:t>
      </w:r>
      <w:r>
        <w:rPr>
          <w:rFonts w:hint="eastAsia" w:ascii="仿宋" w:hAnsi="仿宋" w:eastAsia="仿宋"/>
          <w:color w:val="auto"/>
          <w:highlight w:val="none"/>
        </w:rPr>
        <w:t>年。</w:t>
      </w:r>
    </w:p>
    <w:p>
      <w:pPr>
        <w:spacing w:line="460" w:lineRule="exact"/>
        <w:ind w:firstLine="470" w:firstLineChars="196"/>
        <w:rPr>
          <w:rFonts w:hint="eastAsia" w:ascii="仿宋" w:hAnsi="仿宋" w:eastAsia="仿宋"/>
          <w:color w:val="auto"/>
          <w:highlight w:val="none"/>
        </w:rPr>
      </w:pPr>
      <w:r>
        <w:rPr>
          <w:rFonts w:hint="eastAsia" w:ascii="仿宋" w:hAnsi="仿宋" w:eastAsia="仿宋"/>
          <w:color w:val="auto"/>
          <w:highlight w:val="none"/>
        </w:rPr>
        <w:t>根据估价委托人提供的《</w:t>
      </w:r>
      <w:r>
        <w:rPr>
          <w:rFonts w:hint="eastAsia" w:ascii="仿宋" w:hAnsi="仿宋" w:eastAsia="仿宋" w:cs="仿宋"/>
          <w:color w:val="auto"/>
          <w:highlight w:val="none"/>
        </w:rPr>
        <w:t>房屋</w:t>
      </w:r>
      <w:r>
        <w:rPr>
          <w:rFonts w:hint="eastAsia" w:ascii="仿宋" w:hAnsi="仿宋" w:eastAsia="仿宋"/>
          <w:color w:val="auto"/>
          <w:highlight w:val="none"/>
        </w:rPr>
        <w:t>他项权证》证号为</w:t>
      </w:r>
      <w:r>
        <w:rPr>
          <w:rFonts w:hint="eastAsia" w:ascii="仿宋" w:hAnsi="仿宋" w:eastAsia="仿宋"/>
          <w:color w:val="auto"/>
          <w:highlight w:val="none"/>
          <w:lang w:eastAsia="zh-CN"/>
        </w:rPr>
        <w:t>施房他证施秉字第</w:t>
      </w:r>
      <w:r>
        <w:rPr>
          <w:rFonts w:hint="eastAsia" w:ascii="仿宋" w:hAnsi="仿宋" w:eastAsia="仿宋"/>
          <w:color w:val="auto"/>
          <w:highlight w:val="none"/>
          <w:lang w:val="en-US" w:eastAsia="zh-CN"/>
        </w:rPr>
        <w:t>00005032号</w:t>
      </w:r>
      <w:r>
        <w:rPr>
          <w:rFonts w:hint="eastAsia" w:ascii="仿宋" w:hAnsi="仿宋" w:eastAsia="仿宋"/>
          <w:color w:val="auto"/>
          <w:highlight w:val="none"/>
        </w:rPr>
        <w:t>，</w:t>
      </w:r>
      <w:r>
        <w:rPr>
          <w:rFonts w:hint="eastAsia" w:ascii="仿宋" w:hAnsi="仿宋" w:eastAsia="仿宋"/>
          <w:color w:val="auto"/>
          <w:highlight w:val="none"/>
          <w:lang w:val="zh-CN"/>
        </w:rPr>
        <w:t>房屋所有权证号为</w:t>
      </w:r>
      <w:r>
        <w:rPr>
          <w:rFonts w:hint="eastAsia" w:ascii="仿宋" w:hAnsi="仿宋" w:eastAsia="仿宋"/>
          <w:color w:val="auto"/>
          <w:highlight w:val="none"/>
          <w:lang w:val="en-US" w:eastAsia="zh-CN"/>
        </w:rPr>
        <w:t>00005916，</w:t>
      </w:r>
      <w:r>
        <w:rPr>
          <w:rFonts w:hint="eastAsia" w:ascii="仿宋" w:hAnsi="仿宋" w:eastAsia="仿宋"/>
          <w:color w:val="auto"/>
          <w:highlight w:val="none"/>
        </w:rPr>
        <w:t>房屋他项权利人为</w:t>
      </w:r>
      <w:r>
        <w:rPr>
          <w:rFonts w:hint="eastAsia" w:ascii="仿宋" w:hAnsi="仿宋" w:eastAsia="仿宋"/>
          <w:color w:val="auto"/>
          <w:highlight w:val="none"/>
          <w:lang w:eastAsia="zh-CN"/>
        </w:rPr>
        <w:t>施秉金鼎村镇银行有限责任公司</w:t>
      </w:r>
      <w:r>
        <w:rPr>
          <w:rFonts w:hint="eastAsia" w:ascii="仿宋" w:hAnsi="仿宋" w:eastAsia="仿宋"/>
          <w:color w:val="auto"/>
          <w:highlight w:val="none"/>
        </w:rPr>
        <w:t>，他项权利种类为</w:t>
      </w:r>
      <w:r>
        <w:rPr>
          <w:rFonts w:hint="eastAsia" w:ascii="仿宋" w:hAnsi="仿宋" w:eastAsia="仿宋"/>
          <w:color w:val="auto"/>
          <w:highlight w:val="none"/>
          <w:lang w:eastAsia="zh-CN"/>
        </w:rPr>
        <w:t>最高额</w:t>
      </w:r>
      <w:r>
        <w:rPr>
          <w:rFonts w:hint="eastAsia" w:ascii="仿宋" w:hAnsi="仿宋" w:eastAsia="仿宋"/>
          <w:color w:val="auto"/>
          <w:highlight w:val="none"/>
        </w:rPr>
        <w:t>抵押，债权数额为</w:t>
      </w:r>
      <w:r>
        <w:rPr>
          <w:rFonts w:hint="eastAsia" w:ascii="仿宋" w:hAnsi="仿宋" w:eastAsia="仿宋"/>
          <w:color w:val="auto"/>
          <w:highlight w:val="none"/>
          <w:lang w:val="en-US" w:eastAsia="zh-CN"/>
        </w:rPr>
        <w:t>叁拾万元整</w:t>
      </w:r>
      <w:r>
        <w:rPr>
          <w:rFonts w:hint="eastAsia" w:ascii="仿宋" w:hAnsi="仿宋" w:eastAsia="仿宋"/>
          <w:color w:val="auto"/>
          <w:highlight w:val="none"/>
        </w:rPr>
        <w:t>，</w:t>
      </w:r>
      <w:r>
        <w:rPr>
          <w:rFonts w:hint="eastAsia" w:ascii="仿宋" w:hAnsi="仿宋" w:eastAsia="仿宋"/>
          <w:color w:val="auto"/>
          <w:highlight w:val="none"/>
          <w:lang w:val="zh-CN"/>
        </w:rPr>
        <w:t>抵押约定期限为</w:t>
      </w:r>
      <w:r>
        <w:rPr>
          <w:rFonts w:hint="eastAsia" w:ascii="仿宋" w:hAnsi="仿宋" w:eastAsia="仿宋"/>
          <w:color w:val="auto"/>
          <w:highlight w:val="none"/>
          <w:lang w:val="en-US" w:eastAsia="zh-CN"/>
        </w:rPr>
        <w:t>2012-11-08至2022-11-08，</w:t>
      </w:r>
      <w:r>
        <w:rPr>
          <w:rFonts w:hint="eastAsia" w:ascii="仿宋" w:hAnsi="仿宋" w:eastAsia="仿宋"/>
          <w:color w:val="auto"/>
          <w:highlight w:val="none"/>
        </w:rPr>
        <w:t>登记时间为</w:t>
      </w:r>
      <w:r>
        <w:rPr>
          <w:rFonts w:hint="eastAsia" w:ascii="仿宋" w:hAnsi="仿宋" w:eastAsia="仿宋"/>
          <w:color w:val="auto"/>
          <w:highlight w:val="none"/>
          <w:lang w:val="en-US" w:eastAsia="zh-CN"/>
        </w:rPr>
        <w:t>2012年11月8日</w:t>
      </w:r>
      <w:r>
        <w:rPr>
          <w:rFonts w:hint="eastAsia" w:ascii="仿宋" w:hAnsi="仿宋" w:eastAsia="仿宋"/>
          <w:color w:val="auto"/>
          <w:highlight w:val="none"/>
        </w:rPr>
        <w:t>。</w:t>
      </w:r>
    </w:p>
    <w:p>
      <w:pPr>
        <w:spacing w:line="460" w:lineRule="exact"/>
        <w:ind w:firstLine="470" w:firstLineChars="196"/>
        <w:rPr>
          <w:rFonts w:hint="eastAsia" w:ascii="仿宋" w:hAnsi="仿宋" w:eastAsia="仿宋"/>
          <w:color w:val="auto"/>
          <w:highlight w:val="none"/>
        </w:rPr>
      </w:pPr>
      <w:r>
        <w:rPr>
          <w:rFonts w:hint="eastAsia" w:ascii="仿宋" w:hAnsi="仿宋" w:eastAsia="仿宋"/>
          <w:color w:val="auto"/>
          <w:highlight w:val="none"/>
        </w:rPr>
        <w:t>估价对象截至价值时点，由</w:t>
      </w:r>
      <w:r>
        <w:rPr>
          <w:rFonts w:hint="eastAsia" w:ascii="仿宋" w:hAnsi="仿宋" w:eastAsia="仿宋"/>
          <w:color w:val="auto"/>
          <w:highlight w:val="none"/>
          <w:lang w:eastAsia="zh-CN"/>
        </w:rPr>
        <w:t>施秉县人民</w:t>
      </w:r>
      <w:r>
        <w:rPr>
          <w:rFonts w:hint="eastAsia" w:ascii="仿宋" w:hAnsi="仿宋" w:eastAsia="仿宋"/>
          <w:color w:val="auto"/>
          <w:highlight w:val="none"/>
        </w:rPr>
        <w:t>法院予以查封，查封期限为</w:t>
      </w:r>
      <w:r>
        <w:rPr>
          <w:rFonts w:hint="eastAsia" w:ascii="仿宋" w:hAnsi="仿宋" w:eastAsia="仿宋"/>
          <w:color w:val="auto"/>
          <w:highlight w:val="none"/>
          <w:lang w:val="en-US" w:eastAsia="zh-CN"/>
        </w:rPr>
        <w:t>2019年6月5日</w:t>
      </w:r>
      <w:r>
        <w:rPr>
          <w:rFonts w:hint="eastAsia" w:ascii="仿宋" w:hAnsi="仿宋" w:eastAsia="仿宋"/>
          <w:color w:val="auto"/>
          <w:highlight w:val="none"/>
        </w:rPr>
        <w:t>至</w:t>
      </w:r>
      <w:r>
        <w:rPr>
          <w:rFonts w:hint="eastAsia" w:ascii="仿宋" w:hAnsi="仿宋" w:eastAsia="仿宋"/>
          <w:color w:val="auto"/>
          <w:highlight w:val="none"/>
          <w:lang w:val="en-US" w:eastAsia="zh-CN"/>
        </w:rPr>
        <w:t>2022年6月4日止</w:t>
      </w:r>
      <w:r>
        <w:rPr>
          <w:rFonts w:hint="eastAsia" w:ascii="仿宋" w:hAnsi="仿宋" w:eastAsia="仿宋"/>
          <w:color w:val="auto"/>
          <w:highlight w:val="none"/>
        </w:rPr>
        <w:t>。</w:t>
      </w:r>
    </w:p>
    <w:p>
      <w:pPr>
        <w:spacing w:line="460" w:lineRule="exact"/>
        <w:ind w:firstLine="470" w:firstLineChars="196"/>
        <w:rPr>
          <w:rFonts w:ascii="仿宋" w:hAnsi="仿宋" w:eastAsia="仿宋"/>
          <w:color w:val="auto"/>
          <w:highlight w:val="none"/>
        </w:rPr>
      </w:pPr>
      <w:r>
        <w:rPr>
          <w:rFonts w:hint="eastAsia" w:ascii="仿宋" w:hAnsi="仿宋" w:eastAsia="仿宋"/>
          <w:color w:val="auto"/>
          <w:highlight w:val="none"/>
        </w:rPr>
        <w:t>总体说来，估价对象房屋所有权与土地使用权均为</w:t>
      </w:r>
      <w:r>
        <w:rPr>
          <w:rFonts w:hint="eastAsia" w:ascii="仿宋" w:hAnsi="仿宋" w:eastAsia="仿宋"/>
          <w:color w:val="auto"/>
          <w:highlight w:val="none"/>
          <w:lang w:eastAsia="zh-CN"/>
        </w:rPr>
        <w:t>徐建军独有</w:t>
      </w:r>
      <w:r>
        <w:rPr>
          <w:rFonts w:hint="eastAsia" w:ascii="仿宋" w:hAnsi="仿宋" w:eastAsia="仿宋"/>
          <w:color w:val="auto"/>
          <w:highlight w:val="none"/>
        </w:rPr>
        <w:t>，权利主体一致，权属无争议。</w:t>
      </w:r>
    </w:p>
    <w:p>
      <w:pPr>
        <w:spacing w:line="460" w:lineRule="exact"/>
        <w:ind w:firstLine="472" w:firstLineChars="196"/>
        <w:rPr>
          <w:rFonts w:ascii="仿宋" w:hAnsi="仿宋" w:eastAsia="仿宋"/>
          <w:b/>
          <w:color w:val="auto"/>
          <w:highlight w:val="none"/>
        </w:rPr>
      </w:pPr>
      <w:r>
        <w:rPr>
          <w:rFonts w:hint="eastAsia" w:ascii="仿宋" w:hAnsi="仿宋" w:eastAsia="仿宋"/>
          <w:b/>
          <w:color w:val="auto"/>
          <w:highlight w:val="none"/>
        </w:rPr>
        <w:t xml:space="preserve"> (三)估价对象实物状况</w:t>
      </w:r>
    </w:p>
    <w:p>
      <w:pPr>
        <w:spacing w:line="460" w:lineRule="exact"/>
        <w:ind w:firstLine="480" w:firstLineChars="200"/>
        <w:rPr>
          <w:rFonts w:ascii="仿宋" w:hAnsi="仿宋" w:eastAsia="仿宋"/>
          <w:color w:val="auto"/>
          <w:highlight w:val="none"/>
        </w:rPr>
      </w:pPr>
      <w:r>
        <w:rPr>
          <w:rFonts w:hint="eastAsia" w:ascii="仿宋" w:hAnsi="仿宋" w:eastAsia="仿宋"/>
          <w:color w:val="auto"/>
          <w:highlight w:val="none"/>
        </w:rPr>
        <w:t>据估价委托人提供的《</w:t>
      </w:r>
      <w:r>
        <w:rPr>
          <w:rFonts w:hint="eastAsia" w:ascii="仿宋" w:hAnsi="仿宋" w:eastAsia="仿宋"/>
          <w:color w:val="auto"/>
          <w:highlight w:val="none"/>
          <w:lang w:eastAsia="zh-CN"/>
        </w:rPr>
        <w:t>个人不动产信息情况证明</w:t>
      </w:r>
      <w:r>
        <w:rPr>
          <w:rFonts w:hint="eastAsia" w:ascii="仿宋" w:hAnsi="仿宋" w:eastAsia="仿宋"/>
          <w:color w:val="auto"/>
          <w:highlight w:val="none"/>
        </w:rPr>
        <w:t>》记载及估价人员实地查勘，估价对象房屋实物状况如下表：</w:t>
      </w:r>
    </w:p>
    <w:p>
      <w:pPr>
        <w:spacing w:line="460" w:lineRule="exact"/>
        <w:ind w:firstLine="420"/>
        <w:rPr>
          <w:rFonts w:ascii="仿宋" w:hAnsi="仿宋" w:eastAsia="仿宋"/>
          <w:color w:val="auto"/>
          <w:highlight w:val="none"/>
        </w:rPr>
      </w:pPr>
      <w:r>
        <w:rPr>
          <w:rFonts w:hint="eastAsia" w:ascii="仿宋" w:hAnsi="仿宋" w:eastAsia="仿宋"/>
          <w:color w:val="auto"/>
          <w:szCs w:val="21"/>
          <w:highlight w:val="none"/>
        </w:rPr>
        <w:t xml:space="preserve">表4-2               </w:t>
      </w:r>
      <w:r>
        <w:rPr>
          <w:rFonts w:hint="eastAsia" w:ascii="仿宋" w:hAnsi="仿宋" w:eastAsia="仿宋"/>
          <w:color w:val="auto"/>
          <w:highlight w:val="none"/>
        </w:rPr>
        <w:t>估价对象实物状况一览表</w:t>
      </w:r>
    </w:p>
    <w:tbl>
      <w:tblPr>
        <w:tblStyle w:val="14"/>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233"/>
        <w:gridCol w:w="901"/>
        <w:gridCol w:w="739"/>
        <w:gridCol w:w="679"/>
        <w:gridCol w:w="753"/>
        <w:gridCol w:w="408"/>
        <w:gridCol w:w="2224"/>
        <w:gridCol w:w="1309"/>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628" w:type="dxa"/>
            <w:gridSpan w:val="10"/>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bookmarkStart w:id="87" w:name="_Hlk507924003"/>
            <w:r>
              <w:rPr>
                <w:rFonts w:hint="eastAsia" w:ascii="仿宋" w:hAnsi="仿宋" w:eastAsia="仿宋"/>
                <w:bCs/>
                <w:color w:val="auto"/>
                <w:sz w:val="18"/>
                <w:szCs w:val="18"/>
                <w:highlight w:val="none"/>
              </w:rPr>
              <w:t>土地实物状况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23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土地使用者</w:t>
            </w:r>
          </w:p>
        </w:tc>
        <w:tc>
          <w:tcPr>
            <w:tcW w:w="1640"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w:t>
            </w:r>
          </w:p>
        </w:tc>
        <w:tc>
          <w:tcPr>
            <w:tcW w:w="143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座    落</w:t>
            </w:r>
          </w:p>
        </w:tc>
        <w:tc>
          <w:tcPr>
            <w:tcW w:w="5325"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lang w:eastAsia="zh-CN"/>
              </w:rPr>
              <w:t>贵州省施秉县城关镇云台北路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23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面积（m</w:t>
            </w:r>
            <w:r>
              <w:rPr>
                <w:rFonts w:hint="eastAsia" w:ascii="仿宋" w:hAnsi="仿宋" w:eastAsia="仿宋"/>
                <w:bCs/>
                <w:color w:val="auto"/>
                <w:sz w:val="18"/>
                <w:szCs w:val="18"/>
                <w:highlight w:val="none"/>
                <w:vertAlign w:val="superscript"/>
              </w:rPr>
              <w:t>2</w:t>
            </w:r>
            <w:r>
              <w:rPr>
                <w:rFonts w:hint="eastAsia" w:ascii="仿宋" w:hAnsi="仿宋" w:eastAsia="仿宋"/>
                <w:bCs/>
                <w:color w:val="auto"/>
                <w:sz w:val="18"/>
                <w:szCs w:val="18"/>
                <w:highlight w:val="none"/>
              </w:rPr>
              <w:t>）</w:t>
            </w:r>
          </w:p>
        </w:tc>
        <w:tc>
          <w:tcPr>
            <w:tcW w:w="1640"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w:t>
            </w:r>
          </w:p>
        </w:tc>
        <w:tc>
          <w:tcPr>
            <w:tcW w:w="143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用    途</w:t>
            </w:r>
          </w:p>
        </w:tc>
        <w:tc>
          <w:tcPr>
            <w:tcW w:w="5325"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23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四     至</w:t>
            </w:r>
          </w:p>
        </w:tc>
        <w:tc>
          <w:tcPr>
            <w:tcW w:w="8397" w:type="dxa"/>
            <w:gridSpan w:val="8"/>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bCs/>
                <w:color w:val="auto"/>
                <w:sz w:val="18"/>
                <w:szCs w:val="18"/>
                <w:highlight w:val="none"/>
                <w:lang w:eastAsia="zh-CN"/>
              </w:rPr>
            </w:pPr>
            <w:r>
              <w:rPr>
                <w:rFonts w:hint="eastAsia" w:ascii="仿宋" w:hAnsi="仿宋" w:eastAsia="仿宋"/>
                <w:bCs/>
                <w:color w:val="auto"/>
                <w:sz w:val="18"/>
                <w:szCs w:val="18"/>
                <w:highlight w:val="none"/>
                <w:lang w:eastAsia="zh-CN"/>
              </w:rPr>
              <w:t>东至云台北路、南临住宅、西临住宅、北临住宅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23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形     状</w:t>
            </w:r>
          </w:p>
        </w:tc>
        <w:tc>
          <w:tcPr>
            <w:tcW w:w="2319"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较规则</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地形地势</w:t>
            </w:r>
          </w:p>
        </w:tc>
        <w:tc>
          <w:tcPr>
            <w:tcW w:w="4917"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地势平坦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23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土     壤</w:t>
            </w:r>
          </w:p>
        </w:tc>
        <w:tc>
          <w:tcPr>
            <w:tcW w:w="2319"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未受过污染</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开发程度</w:t>
            </w:r>
          </w:p>
        </w:tc>
        <w:tc>
          <w:tcPr>
            <w:tcW w:w="4917"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lang w:val="en-US" w:eastAsia="zh-CN"/>
              </w:rPr>
              <w:t>五</w:t>
            </w:r>
            <w:r>
              <w:rPr>
                <w:rFonts w:hint="eastAsia" w:ascii="仿宋" w:hAnsi="仿宋" w:eastAsia="仿宋"/>
                <w:bCs/>
                <w:color w:val="auto"/>
                <w:sz w:val="18"/>
                <w:szCs w:val="18"/>
                <w:highlight w:val="none"/>
              </w:rPr>
              <w:t>通一平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23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z w:val="18"/>
                <w:szCs w:val="18"/>
                <w:highlight w:val="none"/>
              </w:rPr>
            </w:pPr>
            <w:r>
              <w:rPr>
                <w:rFonts w:hint="eastAsia" w:ascii="仿宋" w:hAnsi="仿宋" w:eastAsia="仿宋"/>
                <w:bCs/>
                <w:color w:val="auto"/>
                <w:sz w:val="18"/>
                <w:szCs w:val="18"/>
                <w:highlight w:val="none"/>
              </w:rPr>
              <w:t xml:space="preserve">  地质条件</w:t>
            </w:r>
          </w:p>
        </w:tc>
        <w:tc>
          <w:tcPr>
            <w:tcW w:w="8397" w:type="dxa"/>
            <w:gridSpan w:val="8"/>
            <w:tcBorders>
              <w:top w:val="single" w:color="auto" w:sz="4" w:space="0"/>
              <w:left w:val="single" w:color="auto" w:sz="4" w:space="0"/>
              <w:bottom w:val="single" w:color="auto" w:sz="4" w:space="0"/>
              <w:right w:val="single" w:color="auto" w:sz="4" w:space="0"/>
            </w:tcBorders>
            <w:vAlign w:val="center"/>
          </w:tcPr>
          <w:p>
            <w:pPr>
              <w:spacing w:line="240" w:lineRule="exact"/>
              <w:ind w:firstLine="540" w:firstLineChars="300"/>
              <w:rPr>
                <w:rFonts w:ascii="仿宋" w:hAnsi="仿宋" w:eastAsia="仿宋"/>
                <w:bCs/>
                <w:color w:val="auto"/>
                <w:sz w:val="18"/>
                <w:szCs w:val="18"/>
                <w:highlight w:val="none"/>
              </w:rPr>
            </w:pPr>
            <w:r>
              <w:rPr>
                <w:rFonts w:hint="eastAsia" w:ascii="仿宋" w:hAnsi="仿宋" w:eastAsia="仿宋"/>
                <w:bCs/>
                <w:color w:val="auto"/>
                <w:sz w:val="18"/>
                <w:szCs w:val="18"/>
                <w:highlight w:val="none"/>
              </w:rPr>
              <w:t>地下水对钢筋无侵蚀作用，无不良地质现象，地基承载力和稳定性好，适合建筑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628" w:type="dxa"/>
            <w:gridSpan w:val="10"/>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建筑物实物状况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楼盘名称</w:t>
            </w:r>
          </w:p>
        </w:tc>
        <w:tc>
          <w:tcPr>
            <w:tcW w:w="2552"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lang w:eastAsia="zh-CN"/>
              </w:rPr>
              <w:t>城关镇云台北路</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坐   落</w:t>
            </w:r>
          </w:p>
        </w:tc>
        <w:tc>
          <w:tcPr>
            <w:tcW w:w="4917"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bCs/>
                <w:color w:val="auto"/>
                <w:sz w:val="18"/>
                <w:szCs w:val="18"/>
                <w:highlight w:val="none"/>
                <w:lang w:eastAsia="zh-CN"/>
              </w:rPr>
            </w:pPr>
            <w:r>
              <w:rPr>
                <w:rFonts w:hint="eastAsia" w:ascii="仿宋" w:hAnsi="仿宋" w:eastAsia="仿宋"/>
                <w:bCs/>
                <w:color w:val="auto"/>
                <w:sz w:val="18"/>
                <w:szCs w:val="18"/>
                <w:highlight w:val="none"/>
                <w:lang w:eastAsia="zh-CN"/>
              </w:rPr>
              <w:t>贵州省施秉县城关镇云台北路9号402号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建筑结构</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bCs/>
                <w:color w:val="auto"/>
                <w:sz w:val="18"/>
                <w:szCs w:val="18"/>
                <w:highlight w:val="none"/>
                <w:lang w:eastAsia="zh-CN"/>
              </w:rPr>
            </w:pPr>
            <w:r>
              <w:rPr>
                <w:rFonts w:hint="eastAsia" w:ascii="仿宋" w:hAnsi="仿宋" w:eastAsia="仿宋"/>
                <w:bCs/>
                <w:color w:val="auto"/>
                <w:sz w:val="18"/>
                <w:szCs w:val="18"/>
                <w:highlight w:val="none"/>
                <w:lang w:eastAsia="zh-CN"/>
              </w:rPr>
              <w:t>砖混</w:t>
            </w: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建成年代</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2008年</w:t>
            </w:r>
          </w:p>
        </w:tc>
        <w:tc>
          <w:tcPr>
            <w:tcW w:w="222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建筑面积</w:t>
            </w:r>
          </w:p>
        </w:tc>
        <w:tc>
          <w:tcPr>
            <w:tcW w:w="2693"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cs="仿宋"/>
                <w:color w:val="auto"/>
                <w:sz w:val="18"/>
                <w:szCs w:val="18"/>
                <w:highlight w:val="none"/>
                <w:lang w:eastAsia="zh-CN"/>
              </w:rPr>
              <w:t>230.28</w:t>
            </w:r>
            <w:r>
              <w:rPr>
                <w:rFonts w:hint="eastAsia" w:ascii="仿宋" w:hAnsi="仿宋" w:eastAsia="仿宋"/>
                <w:bCs/>
                <w:color w:val="auto"/>
                <w:sz w:val="18"/>
                <w:szCs w:val="18"/>
                <w:highlight w:val="none"/>
              </w:rPr>
              <w:t>m</w:t>
            </w:r>
            <w:r>
              <w:rPr>
                <w:rFonts w:hint="eastAsia" w:ascii="仿宋" w:hAnsi="仿宋" w:eastAsia="仿宋"/>
                <w:bCs/>
                <w:color w:val="auto"/>
                <w:sz w:val="18"/>
                <w:szCs w:val="18"/>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临街状况</w:t>
            </w:r>
          </w:p>
        </w:tc>
        <w:tc>
          <w:tcPr>
            <w:tcW w:w="2552"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临街</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朝    向</w:t>
            </w:r>
          </w:p>
        </w:tc>
        <w:tc>
          <w:tcPr>
            <w:tcW w:w="222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南（楼幢朝向）</w:t>
            </w:r>
          </w:p>
        </w:tc>
        <w:tc>
          <w:tcPr>
            <w:tcW w:w="13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基    础</w:t>
            </w:r>
          </w:p>
        </w:tc>
        <w:tc>
          <w:tcPr>
            <w:tcW w:w="13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所在单元</w:t>
            </w:r>
          </w:p>
        </w:tc>
        <w:tc>
          <w:tcPr>
            <w:tcW w:w="2552"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lang w:val="en-US" w:eastAsia="zh-CN"/>
              </w:rPr>
              <w:t>/</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总 楼 层</w:t>
            </w:r>
          </w:p>
        </w:tc>
        <w:tc>
          <w:tcPr>
            <w:tcW w:w="222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lang w:val="en-US" w:eastAsia="zh-CN"/>
              </w:rPr>
              <w:t>4</w:t>
            </w:r>
            <w:r>
              <w:rPr>
                <w:rFonts w:hint="eastAsia" w:ascii="仿宋" w:hAnsi="仿宋" w:eastAsia="仿宋"/>
                <w:bCs/>
                <w:color w:val="auto"/>
                <w:sz w:val="18"/>
                <w:szCs w:val="18"/>
                <w:highlight w:val="none"/>
              </w:rPr>
              <w:t>层</w:t>
            </w:r>
          </w:p>
        </w:tc>
        <w:tc>
          <w:tcPr>
            <w:tcW w:w="13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所在楼层</w:t>
            </w:r>
          </w:p>
        </w:tc>
        <w:tc>
          <w:tcPr>
            <w:tcW w:w="13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lang w:val="en-US" w:eastAsia="zh-CN"/>
              </w:rPr>
              <w:t>4</w:t>
            </w:r>
            <w:r>
              <w:rPr>
                <w:rFonts w:hint="eastAsia" w:ascii="仿宋" w:hAnsi="仿宋" w:eastAsia="仿宋"/>
                <w:bCs/>
                <w:color w:val="auto"/>
                <w:sz w:val="18"/>
                <w:szCs w:val="18"/>
                <w:highlight w:val="none"/>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户    型</w:t>
            </w:r>
          </w:p>
        </w:tc>
        <w:tc>
          <w:tcPr>
            <w:tcW w:w="2552"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hint="eastAsia" w:ascii="仿宋" w:hAnsi="仿宋" w:eastAsia="仿宋"/>
                <w:bCs/>
                <w:color w:val="auto"/>
                <w:sz w:val="18"/>
                <w:szCs w:val="18"/>
                <w:highlight w:val="none"/>
                <w:lang w:val="en-US" w:eastAsia="zh-CN"/>
              </w:rPr>
            </w:pPr>
            <w:r>
              <w:rPr>
                <w:rFonts w:hint="eastAsia" w:ascii="仿宋" w:hAnsi="仿宋" w:eastAsia="仿宋"/>
                <w:bCs/>
                <w:color w:val="auto"/>
                <w:sz w:val="18"/>
                <w:szCs w:val="18"/>
                <w:highlight w:val="none"/>
                <w:lang w:val="en-US" w:eastAsia="zh-CN"/>
              </w:rPr>
              <w:t>1楼：2室1厅1厨2卫1阳</w:t>
            </w:r>
          </w:p>
          <w:p>
            <w:pPr>
              <w:spacing w:line="240" w:lineRule="exact"/>
              <w:jc w:val="left"/>
              <w:rPr>
                <w:rFonts w:hint="default" w:ascii="仿宋" w:hAnsi="仿宋" w:eastAsia="仿宋"/>
                <w:bCs/>
                <w:color w:val="auto"/>
                <w:sz w:val="18"/>
                <w:szCs w:val="18"/>
                <w:highlight w:val="none"/>
                <w:lang w:val="en-US" w:eastAsia="zh-CN"/>
              </w:rPr>
            </w:pPr>
            <w:r>
              <w:rPr>
                <w:rFonts w:hint="eastAsia" w:ascii="仿宋" w:hAnsi="仿宋" w:eastAsia="仿宋"/>
                <w:bCs/>
                <w:color w:val="auto"/>
                <w:sz w:val="18"/>
                <w:szCs w:val="18"/>
                <w:highlight w:val="none"/>
                <w:lang w:val="en-US" w:eastAsia="zh-CN"/>
              </w:rPr>
              <w:t>2楼：4室1卫1阳</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层高</w:t>
            </w:r>
          </w:p>
        </w:tc>
        <w:tc>
          <w:tcPr>
            <w:tcW w:w="222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仿宋" w:hAnsi="仿宋" w:eastAsia="仿宋"/>
                <w:bCs/>
                <w:color w:val="auto"/>
                <w:sz w:val="18"/>
                <w:szCs w:val="18"/>
                <w:highlight w:val="none"/>
                <w:lang w:eastAsia="zh-CN"/>
              </w:rPr>
            </w:pPr>
            <w:r>
              <w:rPr>
                <w:rFonts w:hint="eastAsia" w:ascii="仿宋" w:hAnsi="仿宋" w:eastAsia="仿宋"/>
                <w:bCs/>
                <w:color w:val="auto"/>
                <w:sz w:val="18"/>
                <w:szCs w:val="18"/>
                <w:highlight w:val="none"/>
                <w:lang w:eastAsia="zh-CN"/>
              </w:rPr>
              <w:t>总层高（</w:t>
            </w:r>
            <w:r>
              <w:rPr>
                <w:rFonts w:hint="eastAsia" w:ascii="仿宋" w:hAnsi="仿宋" w:eastAsia="仿宋"/>
                <w:bCs/>
                <w:color w:val="auto"/>
                <w:sz w:val="18"/>
                <w:szCs w:val="18"/>
                <w:highlight w:val="none"/>
                <w:lang w:val="en-US" w:eastAsia="zh-CN"/>
              </w:rPr>
              <w:t>6.7m</w:t>
            </w:r>
            <w:r>
              <w:rPr>
                <w:rFonts w:hint="eastAsia" w:ascii="仿宋" w:hAnsi="仿宋" w:eastAsia="仿宋"/>
                <w:bCs/>
                <w:color w:val="auto"/>
                <w:sz w:val="18"/>
                <w:szCs w:val="18"/>
                <w:highlight w:val="none"/>
                <w:lang w:eastAsia="zh-CN"/>
              </w:rPr>
              <w:t>）；</w:t>
            </w:r>
            <w:r>
              <w:rPr>
                <w:rFonts w:hint="eastAsia" w:ascii="仿宋" w:hAnsi="仿宋" w:eastAsia="仿宋"/>
                <w:bCs/>
                <w:color w:val="auto"/>
                <w:sz w:val="18"/>
                <w:szCs w:val="18"/>
                <w:highlight w:val="none"/>
              </w:rPr>
              <w:t>1层</w:t>
            </w:r>
            <w:r>
              <w:rPr>
                <w:rFonts w:hint="eastAsia" w:ascii="仿宋" w:hAnsi="仿宋" w:eastAsia="仿宋"/>
                <w:bCs/>
                <w:color w:val="auto"/>
                <w:sz w:val="18"/>
                <w:szCs w:val="18"/>
                <w:highlight w:val="none"/>
                <w:lang w:eastAsia="zh-CN"/>
              </w:rPr>
              <w:t>（</w:t>
            </w:r>
            <w:r>
              <w:rPr>
                <w:rFonts w:hint="eastAsia" w:ascii="仿宋" w:hAnsi="仿宋" w:eastAsia="仿宋"/>
                <w:bCs/>
                <w:color w:val="auto"/>
                <w:sz w:val="18"/>
                <w:szCs w:val="18"/>
                <w:highlight w:val="none"/>
                <w:lang w:val="en-US" w:eastAsia="zh-CN"/>
              </w:rPr>
              <w:t>3m</w:t>
            </w:r>
            <w:r>
              <w:rPr>
                <w:rFonts w:hint="eastAsia" w:ascii="仿宋" w:hAnsi="仿宋" w:eastAsia="仿宋"/>
                <w:bCs/>
                <w:color w:val="auto"/>
                <w:sz w:val="18"/>
                <w:szCs w:val="18"/>
                <w:highlight w:val="none"/>
                <w:lang w:eastAsia="zh-CN"/>
              </w:rPr>
              <w:t>）；</w:t>
            </w:r>
            <w:r>
              <w:rPr>
                <w:rFonts w:hint="eastAsia" w:ascii="仿宋" w:hAnsi="仿宋" w:eastAsia="仿宋"/>
                <w:bCs/>
                <w:color w:val="auto"/>
                <w:sz w:val="18"/>
                <w:szCs w:val="18"/>
                <w:highlight w:val="none"/>
              </w:rPr>
              <w:t>2层</w:t>
            </w:r>
            <w:r>
              <w:rPr>
                <w:rFonts w:hint="eastAsia" w:ascii="仿宋" w:hAnsi="仿宋" w:eastAsia="仿宋"/>
                <w:bCs/>
                <w:color w:val="auto"/>
                <w:sz w:val="18"/>
                <w:szCs w:val="18"/>
                <w:highlight w:val="none"/>
                <w:lang w:eastAsia="zh-CN"/>
              </w:rPr>
              <w:t>（</w:t>
            </w:r>
            <w:r>
              <w:rPr>
                <w:rFonts w:hint="eastAsia" w:ascii="仿宋" w:hAnsi="仿宋" w:eastAsia="仿宋"/>
                <w:bCs/>
                <w:color w:val="auto"/>
                <w:sz w:val="18"/>
                <w:szCs w:val="18"/>
                <w:highlight w:val="none"/>
                <w:lang w:val="en-US" w:eastAsia="zh-CN"/>
              </w:rPr>
              <w:t>3.5m</w:t>
            </w:r>
            <w:r>
              <w:rPr>
                <w:rFonts w:hint="eastAsia" w:ascii="仿宋" w:hAnsi="仿宋" w:eastAsia="仿宋"/>
                <w:bCs/>
                <w:color w:val="auto"/>
                <w:sz w:val="18"/>
                <w:szCs w:val="18"/>
                <w:highlight w:val="none"/>
                <w:lang w:eastAsia="zh-CN"/>
              </w:rPr>
              <w:t>）</w:t>
            </w:r>
          </w:p>
        </w:tc>
        <w:tc>
          <w:tcPr>
            <w:tcW w:w="13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利用状况</w:t>
            </w:r>
          </w:p>
        </w:tc>
        <w:tc>
          <w:tcPr>
            <w:tcW w:w="13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居住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平面布置</w:t>
            </w:r>
          </w:p>
        </w:tc>
        <w:tc>
          <w:tcPr>
            <w:tcW w:w="2552"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合理</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装修档次</w:t>
            </w:r>
          </w:p>
        </w:tc>
        <w:tc>
          <w:tcPr>
            <w:tcW w:w="222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中装</w:t>
            </w:r>
          </w:p>
        </w:tc>
        <w:tc>
          <w:tcPr>
            <w:tcW w:w="13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物业类别</w:t>
            </w:r>
          </w:p>
        </w:tc>
        <w:tc>
          <w:tcPr>
            <w:tcW w:w="13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套    型</w:t>
            </w:r>
          </w:p>
        </w:tc>
        <w:tc>
          <w:tcPr>
            <w:tcW w:w="2552"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成套住宅</w:t>
            </w:r>
          </w:p>
        </w:tc>
        <w:tc>
          <w:tcPr>
            <w:tcW w:w="116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通风采光</w:t>
            </w:r>
          </w:p>
        </w:tc>
        <w:tc>
          <w:tcPr>
            <w:tcW w:w="222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较好</w:t>
            </w:r>
          </w:p>
        </w:tc>
        <w:tc>
          <w:tcPr>
            <w:tcW w:w="13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梯户比</w:t>
            </w:r>
          </w:p>
        </w:tc>
        <w:tc>
          <w:tcPr>
            <w:tcW w:w="13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1梯2户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设备设施</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垂直交通</w:t>
            </w:r>
          </w:p>
        </w:tc>
        <w:tc>
          <w:tcPr>
            <w:tcW w:w="7496"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z w:val="18"/>
                <w:szCs w:val="18"/>
                <w:highlight w:val="none"/>
              </w:rPr>
            </w:pPr>
            <w:r>
              <w:rPr>
                <w:rFonts w:hint="eastAsia" w:ascii="仿宋" w:hAnsi="仿宋" w:eastAsia="仿宋"/>
                <w:bCs/>
                <w:color w:val="auto"/>
                <w:sz w:val="18"/>
                <w:szCs w:val="18"/>
                <w:highlight w:val="none"/>
              </w:rPr>
              <w:t>设有步梯1部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z w:val="18"/>
                <w:szCs w:val="18"/>
                <w:highlight w:val="none"/>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安防系统</w:t>
            </w:r>
          </w:p>
        </w:tc>
        <w:tc>
          <w:tcPr>
            <w:tcW w:w="7496"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z w:val="18"/>
                <w:szCs w:val="18"/>
                <w:highlight w:val="none"/>
              </w:rPr>
            </w:pPr>
            <w:r>
              <w:rPr>
                <w:rFonts w:hint="eastAsia" w:ascii="仿宋" w:hAnsi="仿宋" w:eastAsia="仿宋"/>
                <w:bCs/>
                <w:color w:val="auto"/>
                <w:sz w:val="18"/>
                <w:szCs w:val="18"/>
                <w:highlight w:val="none"/>
              </w:rPr>
              <w:t>单元门禁系统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z w:val="18"/>
                <w:szCs w:val="18"/>
                <w:highlight w:val="none"/>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管    线</w:t>
            </w:r>
          </w:p>
        </w:tc>
        <w:tc>
          <w:tcPr>
            <w:tcW w:w="7496"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z w:val="18"/>
                <w:szCs w:val="18"/>
                <w:highlight w:val="none"/>
                <w:lang w:val="eu-ES"/>
              </w:rPr>
            </w:pPr>
            <w:r>
              <w:rPr>
                <w:rFonts w:hint="eastAsia" w:ascii="仿宋" w:hAnsi="仿宋" w:eastAsia="仿宋"/>
                <w:bCs/>
                <w:color w:val="auto"/>
                <w:sz w:val="18"/>
                <w:szCs w:val="18"/>
                <w:highlight w:val="none"/>
                <w:lang w:val="eu-ES"/>
              </w:rPr>
              <w:t>室外水电光纤通讯管线明设；室内水电光纤通讯管线暗敷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z w:val="18"/>
                <w:szCs w:val="18"/>
                <w:highlight w:val="none"/>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基础设施</w:t>
            </w:r>
          </w:p>
        </w:tc>
        <w:tc>
          <w:tcPr>
            <w:tcW w:w="7496"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z w:val="18"/>
                <w:szCs w:val="18"/>
                <w:highlight w:val="none"/>
              </w:rPr>
            </w:pPr>
            <w:r>
              <w:rPr>
                <w:rFonts w:hint="eastAsia" w:ascii="仿宋" w:hAnsi="仿宋" w:eastAsia="仿宋"/>
                <w:bCs/>
                <w:color w:val="auto"/>
                <w:sz w:val="18"/>
                <w:szCs w:val="18"/>
                <w:highlight w:val="none"/>
              </w:rPr>
              <w:t>区域通路、通电、通讯、供水、排水</w:t>
            </w:r>
            <w:r>
              <w:rPr>
                <w:rFonts w:hint="eastAsia" w:ascii="仿宋" w:hAnsi="仿宋" w:eastAsia="仿宋"/>
                <w:bCs/>
                <w:color w:val="auto"/>
                <w:sz w:val="18"/>
                <w:szCs w:val="18"/>
                <w:highlight w:val="none"/>
                <w:lang w:eastAsia="zh-CN"/>
              </w:rPr>
              <w:t>五</w:t>
            </w:r>
            <w:r>
              <w:rPr>
                <w:rFonts w:hint="eastAsia" w:ascii="仿宋" w:hAnsi="仿宋" w:eastAsia="仿宋"/>
                <w:bCs/>
                <w:color w:val="auto"/>
                <w:sz w:val="18"/>
                <w:szCs w:val="18"/>
                <w:highlight w:val="none"/>
              </w:rPr>
              <w:t>通，基础设施完善，保证程度高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pacing w:val="-20"/>
                <w:sz w:val="18"/>
                <w:szCs w:val="18"/>
                <w:highlight w:val="none"/>
              </w:rPr>
            </w:pPr>
            <w:r>
              <w:rPr>
                <w:rFonts w:hint="eastAsia" w:ascii="仿宋" w:hAnsi="仿宋" w:eastAsia="仿宋"/>
                <w:bCs/>
                <w:color w:val="auto"/>
                <w:spacing w:val="-20"/>
                <w:sz w:val="18"/>
                <w:szCs w:val="18"/>
                <w:highlight w:val="none"/>
              </w:rPr>
              <w:t>装修</w:t>
            </w:r>
          </w:p>
          <w:p>
            <w:pPr>
              <w:spacing w:line="240" w:lineRule="exact"/>
              <w:jc w:val="center"/>
              <w:rPr>
                <w:rFonts w:ascii="仿宋" w:hAnsi="仿宋" w:eastAsia="仿宋"/>
                <w:bCs/>
                <w:color w:val="auto"/>
                <w:spacing w:val="-20"/>
                <w:sz w:val="18"/>
                <w:szCs w:val="18"/>
                <w:highlight w:val="none"/>
              </w:rPr>
            </w:pPr>
            <w:r>
              <w:rPr>
                <w:rFonts w:hint="eastAsia" w:ascii="仿宋" w:hAnsi="仿宋" w:eastAsia="仿宋"/>
                <w:bCs/>
                <w:color w:val="auto"/>
                <w:spacing w:val="-20"/>
                <w:sz w:val="18"/>
                <w:szCs w:val="18"/>
                <w:highlight w:val="none"/>
              </w:rPr>
              <w:t>状况</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外    墙</w:t>
            </w:r>
          </w:p>
        </w:tc>
        <w:tc>
          <w:tcPr>
            <w:tcW w:w="7496"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z w:val="18"/>
                <w:szCs w:val="18"/>
                <w:highlight w:val="none"/>
              </w:rPr>
            </w:pPr>
            <w:r>
              <w:rPr>
                <w:rFonts w:hint="eastAsia" w:ascii="仿宋" w:hAnsi="仿宋" w:eastAsia="仿宋"/>
                <w:bCs/>
                <w:color w:val="auto"/>
                <w:sz w:val="18"/>
                <w:szCs w:val="18"/>
                <w:highlight w:val="none"/>
              </w:rPr>
              <w:t>墙砖装饰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pacing w:val="-20"/>
                <w:sz w:val="18"/>
                <w:szCs w:val="18"/>
                <w:highlight w:val="none"/>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公共通道</w:t>
            </w:r>
          </w:p>
        </w:tc>
        <w:tc>
          <w:tcPr>
            <w:tcW w:w="7496"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z w:val="18"/>
                <w:szCs w:val="18"/>
                <w:highlight w:val="none"/>
              </w:rPr>
            </w:pPr>
            <w:r>
              <w:rPr>
                <w:rFonts w:hint="eastAsia" w:ascii="仿宋" w:hAnsi="仿宋" w:eastAsia="仿宋"/>
                <w:bCs/>
                <w:color w:val="auto"/>
                <w:sz w:val="18"/>
                <w:szCs w:val="18"/>
                <w:highlight w:val="none"/>
              </w:rPr>
              <w:t>楼梯间：地面水泥清光；</w:t>
            </w:r>
            <w:r>
              <w:rPr>
                <w:rFonts w:hint="eastAsia" w:ascii="仿宋" w:hAnsi="仿宋" w:eastAsia="仿宋" w:cs="仿宋"/>
                <w:bCs/>
                <w:color w:val="auto"/>
                <w:sz w:val="18"/>
                <w:szCs w:val="18"/>
                <w:highlight w:val="none"/>
              </w:rPr>
              <w:t>墙面瓷粉刷白；屋顶瓷粉刷白；铁质扶手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pacing w:val="-20"/>
                <w:sz w:val="18"/>
                <w:szCs w:val="18"/>
                <w:highlight w:val="none"/>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屋    顶</w:t>
            </w:r>
          </w:p>
        </w:tc>
        <w:tc>
          <w:tcPr>
            <w:tcW w:w="7496"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z w:val="18"/>
                <w:szCs w:val="18"/>
                <w:highlight w:val="none"/>
              </w:rPr>
            </w:pPr>
            <w:r>
              <w:rPr>
                <w:rFonts w:hint="eastAsia" w:ascii="仿宋" w:hAnsi="仿宋" w:eastAsia="仿宋"/>
                <w:bCs/>
                <w:color w:val="auto"/>
                <w:sz w:val="18"/>
                <w:szCs w:val="18"/>
                <w:highlight w:val="none"/>
              </w:rPr>
              <w:t>客厅：</w:t>
            </w:r>
            <w:r>
              <w:rPr>
                <w:rFonts w:hint="eastAsia" w:ascii="仿宋" w:hAnsi="仿宋" w:eastAsia="仿宋"/>
                <w:bCs/>
                <w:color w:val="auto"/>
                <w:sz w:val="18"/>
                <w:szCs w:val="18"/>
                <w:highlight w:val="none"/>
                <w:lang w:eastAsia="zh-CN"/>
              </w:rPr>
              <w:t>石膏</w:t>
            </w:r>
            <w:r>
              <w:rPr>
                <w:rFonts w:hint="eastAsia" w:ascii="仿宋" w:hAnsi="仿宋" w:eastAsia="仿宋"/>
                <w:bCs/>
                <w:color w:val="auto"/>
                <w:sz w:val="18"/>
                <w:szCs w:val="18"/>
                <w:highlight w:val="none"/>
              </w:rPr>
              <w:t>吊顶</w:t>
            </w:r>
            <w:r>
              <w:rPr>
                <w:rFonts w:hint="eastAsia" w:ascii="仿宋" w:hAnsi="仿宋" w:eastAsia="仿宋"/>
                <w:bCs/>
                <w:color w:val="auto"/>
                <w:sz w:val="18"/>
                <w:szCs w:val="18"/>
                <w:highlight w:val="none"/>
                <w:lang w:eastAsia="zh-CN"/>
              </w:rPr>
              <w:t>、石膏线贴边</w:t>
            </w:r>
            <w:r>
              <w:rPr>
                <w:rFonts w:hint="eastAsia" w:ascii="仿宋" w:hAnsi="仿宋" w:eastAsia="仿宋"/>
                <w:bCs/>
                <w:color w:val="auto"/>
                <w:sz w:val="18"/>
                <w:szCs w:val="18"/>
                <w:highlight w:val="none"/>
              </w:rPr>
              <w:t>；卧室：乳胶漆刷白</w:t>
            </w:r>
            <w:r>
              <w:rPr>
                <w:rFonts w:hint="eastAsia" w:ascii="仿宋" w:hAnsi="仿宋" w:eastAsia="仿宋"/>
                <w:bCs/>
                <w:color w:val="auto"/>
                <w:sz w:val="18"/>
                <w:szCs w:val="18"/>
                <w:highlight w:val="none"/>
                <w:lang w:eastAsia="zh-CN"/>
              </w:rPr>
              <w:t>、石膏线贴边</w:t>
            </w:r>
            <w:r>
              <w:rPr>
                <w:rFonts w:hint="eastAsia" w:ascii="仿宋" w:hAnsi="仿宋" w:eastAsia="仿宋"/>
                <w:bCs/>
                <w:color w:val="auto"/>
                <w:sz w:val="18"/>
                <w:szCs w:val="18"/>
                <w:highlight w:val="none"/>
              </w:rPr>
              <w:t>；卫生间及厨房：铝扣板吊顶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pacing w:val="-20"/>
                <w:sz w:val="18"/>
                <w:szCs w:val="18"/>
                <w:highlight w:val="none"/>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内    墙</w:t>
            </w:r>
          </w:p>
        </w:tc>
        <w:tc>
          <w:tcPr>
            <w:tcW w:w="7496"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z w:val="18"/>
                <w:szCs w:val="18"/>
                <w:highlight w:val="none"/>
              </w:rPr>
            </w:pPr>
            <w:r>
              <w:rPr>
                <w:rFonts w:hint="eastAsia" w:ascii="仿宋" w:hAnsi="仿宋" w:eastAsia="仿宋"/>
                <w:bCs/>
                <w:color w:val="auto"/>
                <w:sz w:val="18"/>
                <w:szCs w:val="18"/>
                <w:highlight w:val="none"/>
              </w:rPr>
              <w:t>客厅：电视背景墙为</w:t>
            </w:r>
            <w:r>
              <w:rPr>
                <w:rFonts w:hint="eastAsia" w:ascii="仿宋" w:hAnsi="仿宋" w:eastAsia="仿宋"/>
                <w:bCs/>
                <w:color w:val="auto"/>
                <w:sz w:val="18"/>
                <w:szCs w:val="18"/>
                <w:highlight w:val="none"/>
                <w:lang w:eastAsia="zh-CN"/>
              </w:rPr>
              <w:t>石膏板</w:t>
            </w:r>
            <w:r>
              <w:rPr>
                <w:rFonts w:hint="eastAsia" w:ascii="仿宋" w:hAnsi="仿宋" w:eastAsia="仿宋"/>
                <w:bCs/>
                <w:color w:val="auto"/>
                <w:sz w:val="18"/>
                <w:szCs w:val="18"/>
                <w:highlight w:val="none"/>
              </w:rPr>
              <w:t>，其他为乳胶漆刷白；卧室：乳胶漆刷白；卫生间及厨房：墙砖装饰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pacing w:val="-20"/>
                <w:sz w:val="18"/>
                <w:szCs w:val="18"/>
                <w:highlight w:val="none"/>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地    面</w:t>
            </w:r>
          </w:p>
        </w:tc>
        <w:tc>
          <w:tcPr>
            <w:tcW w:w="7496"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z w:val="18"/>
                <w:szCs w:val="18"/>
                <w:highlight w:val="none"/>
              </w:rPr>
            </w:pPr>
            <w:r>
              <w:rPr>
                <w:rFonts w:hint="eastAsia" w:ascii="仿宋" w:hAnsi="仿宋" w:eastAsia="仿宋"/>
                <w:bCs/>
                <w:color w:val="auto"/>
                <w:sz w:val="18"/>
                <w:szCs w:val="18"/>
                <w:highlight w:val="none"/>
              </w:rPr>
              <w:t>部分为地砖装饰，部分为木地板装饰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pacing w:val="-20"/>
                <w:sz w:val="18"/>
                <w:szCs w:val="18"/>
                <w:highlight w:val="none"/>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门    窗</w:t>
            </w:r>
          </w:p>
        </w:tc>
        <w:tc>
          <w:tcPr>
            <w:tcW w:w="7496"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z w:val="18"/>
                <w:szCs w:val="18"/>
                <w:highlight w:val="none"/>
              </w:rPr>
            </w:pPr>
            <w:r>
              <w:rPr>
                <w:rFonts w:hint="eastAsia" w:ascii="仿宋" w:hAnsi="仿宋" w:eastAsia="仿宋" w:cs="仿宋"/>
                <w:bCs/>
                <w:color w:val="auto"/>
                <w:sz w:val="18"/>
                <w:szCs w:val="18"/>
                <w:highlight w:val="none"/>
              </w:rPr>
              <w:t>入户防盗门，客厅、卧室、卫生间及厨房木门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pacing w:val="-20"/>
                <w:sz w:val="18"/>
                <w:szCs w:val="18"/>
                <w:highlight w:val="none"/>
              </w:rPr>
            </w:pPr>
            <w:r>
              <w:rPr>
                <w:rFonts w:hint="eastAsia" w:ascii="仿宋" w:hAnsi="仿宋" w:eastAsia="仿宋"/>
                <w:bCs/>
                <w:color w:val="auto"/>
                <w:spacing w:val="-20"/>
                <w:sz w:val="18"/>
                <w:szCs w:val="18"/>
                <w:highlight w:val="none"/>
              </w:rPr>
              <w:t>建筑完损情况</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结   构</w:t>
            </w:r>
          </w:p>
        </w:tc>
        <w:tc>
          <w:tcPr>
            <w:tcW w:w="7496"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auto"/>
                <w:sz w:val="18"/>
                <w:szCs w:val="18"/>
                <w:highlight w:val="none"/>
              </w:rPr>
            </w:pPr>
            <w:r>
              <w:rPr>
                <w:rFonts w:hint="eastAsia" w:ascii="仿宋" w:hAnsi="仿宋" w:eastAsia="仿宋"/>
                <w:color w:val="auto"/>
                <w:sz w:val="18"/>
                <w:szCs w:val="18"/>
                <w:highlight w:val="none"/>
              </w:rPr>
              <w:t>地基无不均匀沉降，墙面无裂缝现象，尚未发现主体结构受损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pacing w:val="-20"/>
                <w:sz w:val="18"/>
                <w:szCs w:val="18"/>
                <w:highlight w:val="none"/>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装饰装修</w:t>
            </w:r>
          </w:p>
        </w:tc>
        <w:tc>
          <w:tcPr>
            <w:tcW w:w="7496"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auto"/>
                <w:sz w:val="18"/>
                <w:szCs w:val="18"/>
                <w:highlight w:val="none"/>
              </w:rPr>
            </w:pPr>
            <w:r>
              <w:rPr>
                <w:rFonts w:hint="eastAsia" w:ascii="仿宋" w:hAnsi="仿宋" w:eastAsia="仿宋"/>
                <w:bCs/>
                <w:color w:val="auto"/>
                <w:sz w:val="18"/>
                <w:szCs w:val="18"/>
                <w:highlight w:val="none"/>
              </w:rPr>
              <w:t>中装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pacing w:val="-20"/>
                <w:sz w:val="18"/>
                <w:szCs w:val="18"/>
                <w:highlight w:val="none"/>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设   备</w:t>
            </w:r>
          </w:p>
        </w:tc>
        <w:tc>
          <w:tcPr>
            <w:tcW w:w="7496"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auto"/>
                <w:sz w:val="18"/>
                <w:szCs w:val="18"/>
                <w:highlight w:val="none"/>
              </w:rPr>
            </w:pPr>
            <w:r>
              <w:rPr>
                <w:rFonts w:hint="eastAsia" w:ascii="仿宋" w:hAnsi="仿宋" w:eastAsia="仿宋"/>
                <w:color w:val="auto"/>
                <w:sz w:val="18"/>
                <w:szCs w:val="18"/>
                <w:highlight w:val="none"/>
              </w:rPr>
              <w:t>正常利用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bCs/>
                <w:color w:val="auto"/>
                <w:spacing w:val="-20"/>
                <w:sz w:val="18"/>
                <w:szCs w:val="18"/>
                <w:highlight w:val="none"/>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建筑综合成新率</w:t>
            </w:r>
          </w:p>
        </w:tc>
        <w:tc>
          <w:tcPr>
            <w:tcW w:w="7496" w:type="dxa"/>
            <w:gridSpan w:val="7"/>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auto"/>
                <w:sz w:val="18"/>
                <w:szCs w:val="18"/>
                <w:highlight w:val="none"/>
              </w:rPr>
            </w:pPr>
            <w:r>
              <w:rPr>
                <w:rFonts w:hint="eastAsia" w:ascii="仿宋" w:hAnsi="仿宋" w:eastAsia="仿宋"/>
                <w:color w:val="auto"/>
                <w:sz w:val="18"/>
                <w:szCs w:val="18"/>
                <w:highlight w:val="none"/>
              </w:rPr>
              <w:t>综合建筑物的设计使用年限、地基与墙面、主体结构、配套设施设备、维护保养状况等因素，判断建筑物的综合成新率为八成新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9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bCs/>
                <w:color w:val="auto"/>
                <w:sz w:val="18"/>
                <w:szCs w:val="18"/>
                <w:highlight w:val="none"/>
              </w:rPr>
            </w:pPr>
            <w:r>
              <w:rPr>
                <w:rFonts w:hint="eastAsia" w:ascii="仿宋" w:hAnsi="仿宋" w:eastAsia="仿宋"/>
                <w:bCs/>
                <w:color w:val="auto"/>
                <w:sz w:val="18"/>
                <w:szCs w:val="18"/>
                <w:highlight w:val="none"/>
              </w:rPr>
              <w:t>物业管理</w:t>
            </w:r>
          </w:p>
        </w:tc>
        <w:tc>
          <w:tcPr>
            <w:tcW w:w="8630" w:type="dxa"/>
            <w:gridSpan w:val="9"/>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auto"/>
                <w:sz w:val="18"/>
                <w:szCs w:val="18"/>
                <w:highlight w:val="none"/>
              </w:rPr>
            </w:pPr>
            <w:r>
              <w:rPr>
                <w:rFonts w:hint="eastAsia" w:ascii="仿宋" w:hAnsi="仿宋" w:eastAsia="仿宋"/>
                <w:color w:val="auto"/>
                <w:sz w:val="18"/>
                <w:szCs w:val="18"/>
                <w:highlight w:val="none"/>
              </w:rPr>
              <w:t>有物业管理有限公司承管</w:t>
            </w:r>
          </w:p>
        </w:tc>
      </w:tr>
      <w:bookmarkEnd w:id="87"/>
    </w:tbl>
    <w:p>
      <w:pPr>
        <w:spacing w:line="440" w:lineRule="exact"/>
        <w:ind w:firstLine="472" w:firstLineChars="196"/>
        <w:rPr>
          <w:rFonts w:ascii="仿宋" w:hAnsi="仿宋" w:eastAsia="仿宋"/>
          <w:b/>
          <w:color w:val="auto"/>
          <w:highlight w:val="none"/>
        </w:rPr>
      </w:pPr>
      <w:r>
        <w:rPr>
          <w:rFonts w:hint="eastAsia" w:ascii="仿宋" w:hAnsi="仿宋" w:eastAsia="仿宋"/>
          <w:b/>
          <w:color w:val="auto"/>
          <w:highlight w:val="none"/>
        </w:rPr>
        <w:t>(四)估价对象区位状况</w:t>
      </w:r>
    </w:p>
    <w:p>
      <w:pPr>
        <w:spacing w:line="440" w:lineRule="exact"/>
        <w:ind w:firstLine="470" w:firstLineChars="196"/>
        <w:rPr>
          <w:rFonts w:ascii="仿宋" w:hAnsi="仿宋" w:eastAsia="仿宋"/>
          <w:b/>
          <w:color w:val="auto"/>
          <w:highlight w:val="none"/>
          <w:lang w:val="eu-ES"/>
        </w:rPr>
      </w:pPr>
      <w:r>
        <w:rPr>
          <w:rFonts w:hint="eastAsia" w:ascii="仿宋" w:hAnsi="仿宋" w:eastAsia="仿宋"/>
          <w:color w:val="auto"/>
          <w:highlight w:val="none"/>
        </w:rPr>
        <w:t>估价对象位于</w:t>
      </w:r>
      <w:r>
        <w:rPr>
          <w:rFonts w:hint="eastAsia" w:ascii="仿宋" w:hAnsi="仿宋" w:eastAsia="仿宋"/>
          <w:color w:val="auto"/>
          <w:highlight w:val="none"/>
          <w:lang w:eastAsia="zh-CN"/>
        </w:rPr>
        <w:t>贵州省施秉县城关镇云台北路9号402号</w:t>
      </w:r>
      <w:r>
        <w:rPr>
          <w:rFonts w:hint="eastAsia" w:ascii="仿宋" w:hAnsi="仿宋" w:eastAsia="仿宋"/>
          <w:color w:val="auto"/>
          <w:highlight w:val="none"/>
        </w:rPr>
        <w:t>，根据估价人员实地查勘,估价对象的主要区位状况详见下表：</w:t>
      </w:r>
      <w:bookmarkStart w:id="88" w:name="_Toc320276196"/>
      <w:bookmarkStart w:id="89" w:name="_Toc320184507"/>
      <w:bookmarkStart w:id="90" w:name="_Toc320173777"/>
    </w:p>
    <w:bookmarkEnd w:id="88"/>
    <w:bookmarkEnd w:id="89"/>
    <w:bookmarkEnd w:id="90"/>
    <w:p>
      <w:pPr>
        <w:tabs>
          <w:tab w:val="left" w:pos="430"/>
        </w:tabs>
        <w:spacing w:line="440" w:lineRule="exact"/>
        <w:ind w:firstLine="360" w:firstLineChars="150"/>
        <w:rPr>
          <w:rFonts w:ascii="仿宋" w:hAnsi="仿宋" w:eastAsia="仿宋"/>
          <w:color w:val="auto"/>
          <w:highlight w:val="none"/>
        </w:rPr>
      </w:pPr>
      <w:r>
        <w:rPr>
          <w:rFonts w:hint="eastAsia" w:ascii="仿宋" w:hAnsi="仿宋" w:eastAsia="仿宋"/>
          <w:color w:val="auto"/>
          <w:szCs w:val="21"/>
          <w:highlight w:val="none"/>
        </w:rPr>
        <w:t>表4-4</w:t>
      </w:r>
      <w:r>
        <w:rPr>
          <w:rFonts w:hint="eastAsia" w:ascii="仿宋" w:hAnsi="仿宋" w:eastAsia="仿宋"/>
          <w:color w:val="auto"/>
          <w:highlight w:val="none"/>
        </w:rPr>
        <w:t xml:space="preserve">                   估价对象区位状况一览表</w:t>
      </w:r>
    </w:p>
    <w:tbl>
      <w:tblPr>
        <w:tblStyle w:val="14"/>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539"/>
        <w:gridCol w:w="7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restart"/>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位置</w:t>
            </w:r>
          </w:p>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状况</w:t>
            </w: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坐   落</w:t>
            </w:r>
          </w:p>
        </w:tc>
        <w:tc>
          <w:tcPr>
            <w:tcW w:w="7489" w:type="dxa"/>
            <w:vAlign w:val="center"/>
          </w:tcPr>
          <w:p>
            <w:pPr>
              <w:spacing w:line="240" w:lineRule="exact"/>
              <w:rPr>
                <w:rFonts w:hint="eastAsia" w:ascii="仿宋" w:hAnsi="仿宋" w:eastAsia="仿宋" w:cs="仿宋"/>
                <w:color w:val="auto"/>
                <w:sz w:val="18"/>
                <w:szCs w:val="18"/>
                <w:highlight w:val="none"/>
                <w:lang w:eastAsia="zh-CN"/>
              </w:rPr>
            </w:pPr>
            <w:r>
              <w:rPr>
                <w:rFonts w:hint="eastAsia" w:ascii="仿宋" w:hAnsi="仿宋" w:eastAsia="仿宋"/>
                <w:color w:val="auto"/>
                <w:sz w:val="18"/>
                <w:szCs w:val="18"/>
                <w:highlight w:val="none"/>
                <w:lang w:eastAsia="zh-CN"/>
              </w:rPr>
              <w:t>贵州省施秉县城关镇云台北路9号402号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continue"/>
            <w:vAlign w:val="center"/>
          </w:tcPr>
          <w:p>
            <w:pPr>
              <w:spacing w:line="240" w:lineRule="exact"/>
              <w:jc w:val="center"/>
              <w:rPr>
                <w:rFonts w:ascii="仿宋" w:hAnsi="仿宋" w:eastAsia="仿宋" w:cs="仿宋"/>
                <w:color w:val="auto"/>
                <w:sz w:val="18"/>
                <w:szCs w:val="18"/>
                <w:highlight w:val="none"/>
              </w:rPr>
            </w:pP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方   位</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olor w:val="auto"/>
                <w:sz w:val="18"/>
                <w:szCs w:val="18"/>
                <w:highlight w:val="none"/>
              </w:rPr>
              <w:t>位于云台北路以南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continue"/>
            <w:vAlign w:val="center"/>
          </w:tcPr>
          <w:p>
            <w:pPr>
              <w:spacing w:line="240" w:lineRule="exact"/>
              <w:jc w:val="center"/>
              <w:rPr>
                <w:rFonts w:ascii="仿宋" w:hAnsi="仿宋" w:eastAsia="仿宋" w:cs="仿宋"/>
                <w:color w:val="auto"/>
                <w:sz w:val="18"/>
                <w:szCs w:val="18"/>
                <w:highlight w:val="none"/>
              </w:rPr>
            </w:pP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距</w:t>
            </w:r>
            <w:r>
              <w:rPr>
                <w:rFonts w:hint="eastAsia" w:ascii="仿宋" w:hAnsi="仿宋" w:eastAsia="仿宋" w:cs="仿宋"/>
                <w:color w:val="auto"/>
                <w:sz w:val="18"/>
                <w:szCs w:val="18"/>
                <w:highlight w:val="none"/>
                <w:lang w:eastAsia="zh-CN"/>
              </w:rPr>
              <w:t>县</w:t>
            </w:r>
            <w:r>
              <w:rPr>
                <w:rFonts w:hint="eastAsia" w:ascii="仿宋" w:hAnsi="仿宋" w:eastAsia="仿宋" w:cs="仿宋"/>
                <w:color w:val="auto"/>
                <w:sz w:val="18"/>
                <w:szCs w:val="18"/>
                <w:highlight w:val="none"/>
              </w:rPr>
              <w:t>中心</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位于县中心约</w:t>
            </w:r>
            <w:r>
              <w:rPr>
                <w:rFonts w:hint="eastAsia" w:ascii="仿宋" w:hAnsi="仿宋" w:eastAsia="仿宋" w:cs="仿宋"/>
                <w:color w:val="auto"/>
                <w:sz w:val="18"/>
                <w:szCs w:val="18"/>
                <w:highlight w:val="none"/>
                <w:lang w:val="en-US" w:eastAsia="zh-CN"/>
              </w:rPr>
              <w:t>700米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continue"/>
            <w:vAlign w:val="center"/>
          </w:tcPr>
          <w:p>
            <w:pPr>
              <w:spacing w:line="240" w:lineRule="exact"/>
              <w:jc w:val="center"/>
              <w:rPr>
                <w:rFonts w:ascii="仿宋" w:hAnsi="仿宋" w:eastAsia="仿宋" w:cs="仿宋"/>
                <w:color w:val="auto"/>
                <w:sz w:val="18"/>
                <w:szCs w:val="18"/>
                <w:highlight w:val="none"/>
              </w:rPr>
            </w:pP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距政务中心</w:t>
            </w:r>
          </w:p>
        </w:tc>
        <w:tc>
          <w:tcPr>
            <w:tcW w:w="7489" w:type="dxa"/>
            <w:vAlign w:val="center"/>
          </w:tcPr>
          <w:p>
            <w:pPr>
              <w:spacing w:line="240" w:lineRule="exact"/>
              <w:textAlignment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距施秉县人民政府约1.3公里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continue"/>
            <w:vAlign w:val="center"/>
          </w:tcPr>
          <w:p>
            <w:pPr>
              <w:spacing w:line="240" w:lineRule="exact"/>
              <w:jc w:val="center"/>
              <w:rPr>
                <w:rFonts w:ascii="仿宋" w:hAnsi="仿宋" w:eastAsia="仿宋" w:cs="仿宋"/>
                <w:color w:val="auto"/>
                <w:sz w:val="18"/>
                <w:szCs w:val="18"/>
                <w:highlight w:val="none"/>
              </w:rPr>
            </w:pP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土地级别</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continue"/>
            <w:vAlign w:val="center"/>
          </w:tcPr>
          <w:p>
            <w:pPr>
              <w:spacing w:line="240" w:lineRule="exact"/>
              <w:jc w:val="center"/>
              <w:rPr>
                <w:rFonts w:ascii="仿宋" w:hAnsi="仿宋" w:eastAsia="仿宋" w:cs="仿宋"/>
                <w:color w:val="auto"/>
                <w:sz w:val="18"/>
                <w:szCs w:val="18"/>
                <w:highlight w:val="none"/>
              </w:rPr>
            </w:pP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临街状况</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bCs/>
                <w:color w:val="auto"/>
                <w:sz w:val="18"/>
                <w:szCs w:val="18"/>
                <w:highlight w:val="none"/>
              </w:rPr>
              <w:t>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continue"/>
            <w:vAlign w:val="center"/>
          </w:tcPr>
          <w:p>
            <w:pPr>
              <w:spacing w:line="240" w:lineRule="exact"/>
              <w:jc w:val="center"/>
              <w:rPr>
                <w:rFonts w:ascii="仿宋" w:hAnsi="仿宋" w:eastAsia="仿宋" w:cs="仿宋"/>
                <w:color w:val="auto"/>
                <w:sz w:val="18"/>
                <w:szCs w:val="18"/>
                <w:highlight w:val="none"/>
              </w:rPr>
            </w:pP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城市规划</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住宅、商业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continue"/>
            <w:vAlign w:val="center"/>
          </w:tcPr>
          <w:p>
            <w:pPr>
              <w:spacing w:line="240" w:lineRule="exact"/>
              <w:jc w:val="center"/>
              <w:rPr>
                <w:rFonts w:ascii="仿宋" w:hAnsi="仿宋" w:eastAsia="仿宋" w:cs="仿宋"/>
                <w:color w:val="auto"/>
                <w:sz w:val="18"/>
                <w:szCs w:val="18"/>
                <w:highlight w:val="none"/>
              </w:rPr>
            </w:pP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楼层</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olor w:val="auto"/>
                <w:sz w:val="18"/>
                <w:szCs w:val="18"/>
                <w:highlight w:val="none"/>
                <w:lang w:val="en-US" w:eastAsia="zh-CN"/>
              </w:rPr>
              <w:t>4</w:t>
            </w:r>
            <w:r>
              <w:rPr>
                <w:rFonts w:hint="eastAsia" w:ascii="仿宋" w:hAnsi="仿宋" w:eastAsia="仿宋"/>
                <w:color w:val="auto"/>
                <w:sz w:val="18"/>
                <w:szCs w:val="18"/>
                <w:highlight w:val="none"/>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continue"/>
            <w:vAlign w:val="center"/>
          </w:tcPr>
          <w:p>
            <w:pPr>
              <w:spacing w:line="240" w:lineRule="exact"/>
              <w:jc w:val="center"/>
              <w:rPr>
                <w:rFonts w:ascii="仿宋" w:hAnsi="仿宋" w:eastAsia="仿宋" w:cs="仿宋"/>
                <w:color w:val="auto"/>
                <w:sz w:val="18"/>
                <w:szCs w:val="18"/>
                <w:highlight w:val="none"/>
              </w:rPr>
            </w:pP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朝    向</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 xml:space="preserve">楼栋朝向为南方向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restart"/>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交通</w:t>
            </w:r>
          </w:p>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状况</w:t>
            </w: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道路状况</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olor w:val="auto"/>
                <w:sz w:val="18"/>
                <w:szCs w:val="18"/>
                <w:highlight w:val="none"/>
              </w:rPr>
              <w:t>云台北路、</w:t>
            </w:r>
            <w:r>
              <w:rPr>
                <w:rFonts w:hint="eastAsia" w:ascii="仿宋" w:hAnsi="仿宋" w:eastAsia="仿宋"/>
                <w:color w:val="auto"/>
                <w:sz w:val="18"/>
                <w:szCs w:val="18"/>
                <w:highlight w:val="none"/>
                <w:lang w:eastAsia="zh-CN"/>
              </w:rPr>
              <w:t>中沙路</w:t>
            </w:r>
            <w:r>
              <w:rPr>
                <w:rFonts w:hint="eastAsia" w:ascii="仿宋" w:hAnsi="仿宋" w:eastAsia="仿宋"/>
                <w:color w:val="auto"/>
                <w:sz w:val="18"/>
                <w:szCs w:val="18"/>
                <w:highlight w:val="none"/>
              </w:rPr>
              <w:t>、</w:t>
            </w:r>
            <w:r>
              <w:rPr>
                <w:rFonts w:hint="eastAsia" w:ascii="仿宋" w:hAnsi="仿宋" w:eastAsia="仿宋"/>
                <w:color w:val="auto"/>
                <w:sz w:val="18"/>
                <w:szCs w:val="18"/>
                <w:highlight w:val="none"/>
                <w:lang w:eastAsia="zh-CN"/>
              </w:rPr>
              <w:t>柳塘堡</w:t>
            </w:r>
            <w:r>
              <w:rPr>
                <w:rFonts w:hint="eastAsia" w:ascii="仿宋" w:hAnsi="仿宋" w:eastAsia="仿宋"/>
                <w:color w:val="auto"/>
                <w:sz w:val="18"/>
                <w:szCs w:val="18"/>
                <w:highlight w:val="none"/>
              </w:rPr>
              <w:t>路</w:t>
            </w:r>
            <w:r>
              <w:rPr>
                <w:rFonts w:hint="eastAsia" w:ascii="仿宋" w:hAnsi="仿宋" w:eastAsia="仿宋" w:cs="仿宋"/>
                <w:color w:val="auto"/>
                <w:sz w:val="18"/>
                <w:szCs w:val="18"/>
                <w:highlight w:val="none"/>
              </w:rPr>
              <w:t>等构成主要交通路网，网密集程度和道路条件较好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600" w:type="dxa"/>
            <w:vMerge w:val="continue"/>
            <w:vAlign w:val="center"/>
          </w:tcPr>
          <w:p>
            <w:pPr>
              <w:spacing w:line="240" w:lineRule="exact"/>
              <w:jc w:val="center"/>
              <w:rPr>
                <w:rFonts w:ascii="仿宋" w:hAnsi="仿宋" w:eastAsia="仿宋" w:cs="仿宋"/>
                <w:b/>
                <w:color w:val="auto"/>
                <w:sz w:val="18"/>
                <w:szCs w:val="18"/>
                <w:highlight w:val="none"/>
              </w:rPr>
            </w:pP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公共交通</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公交线路有</w:t>
            </w:r>
            <w:r>
              <w:rPr>
                <w:rFonts w:hint="eastAsia" w:ascii="仿宋" w:hAnsi="仿宋" w:eastAsia="仿宋" w:cs="仿宋"/>
                <w:color w:val="auto"/>
                <w:sz w:val="18"/>
                <w:szCs w:val="18"/>
                <w:highlight w:val="none"/>
                <w:lang w:val="en-US" w:eastAsia="zh-CN"/>
              </w:rPr>
              <w:t>1、2</w:t>
            </w:r>
            <w:r>
              <w:rPr>
                <w:rFonts w:hint="eastAsia" w:ascii="仿宋" w:hAnsi="仿宋" w:eastAsia="仿宋" w:cs="仿宋"/>
                <w:color w:val="auto"/>
                <w:sz w:val="18"/>
                <w:szCs w:val="18"/>
                <w:highlight w:val="none"/>
              </w:rPr>
              <w:t>路等公交车经过，便捷性</w:t>
            </w:r>
            <w:r>
              <w:rPr>
                <w:rFonts w:hint="eastAsia" w:ascii="仿宋" w:hAnsi="仿宋" w:eastAsia="仿宋" w:cs="仿宋"/>
                <w:color w:val="auto"/>
                <w:sz w:val="18"/>
                <w:szCs w:val="18"/>
                <w:highlight w:val="none"/>
                <w:lang w:eastAsia="zh-CN"/>
              </w:rPr>
              <w:t>较</w:t>
            </w:r>
            <w:r>
              <w:rPr>
                <w:rFonts w:hint="eastAsia" w:ascii="仿宋" w:hAnsi="仿宋" w:eastAsia="仿宋" w:cs="仿宋"/>
                <w:color w:val="auto"/>
                <w:sz w:val="18"/>
                <w:szCs w:val="18"/>
                <w:highlight w:val="none"/>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continue"/>
            <w:vAlign w:val="center"/>
          </w:tcPr>
          <w:p>
            <w:pPr>
              <w:spacing w:line="240" w:lineRule="exact"/>
              <w:jc w:val="center"/>
              <w:rPr>
                <w:rFonts w:ascii="仿宋" w:hAnsi="仿宋" w:eastAsia="仿宋" w:cs="仿宋"/>
                <w:b/>
                <w:color w:val="auto"/>
                <w:sz w:val="18"/>
                <w:szCs w:val="18"/>
                <w:highlight w:val="none"/>
              </w:rPr>
            </w:pP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距客运站</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距施秉旅游车站约2公里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continue"/>
            <w:vAlign w:val="center"/>
          </w:tcPr>
          <w:p>
            <w:pPr>
              <w:spacing w:line="240" w:lineRule="exact"/>
              <w:jc w:val="center"/>
              <w:rPr>
                <w:rFonts w:ascii="仿宋" w:hAnsi="仿宋" w:eastAsia="仿宋" w:cs="仿宋"/>
                <w:b/>
                <w:color w:val="auto"/>
                <w:sz w:val="18"/>
                <w:szCs w:val="18"/>
                <w:highlight w:val="none"/>
              </w:rPr>
            </w:pPr>
          </w:p>
        </w:tc>
        <w:tc>
          <w:tcPr>
            <w:tcW w:w="1539" w:type="dxa"/>
            <w:shd w:val="clear" w:color="auto" w:fill="auto"/>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距高速路出入口</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距高速路出入口约</w:t>
            </w:r>
            <w:r>
              <w:rPr>
                <w:rFonts w:hint="eastAsia" w:ascii="仿宋" w:hAnsi="仿宋" w:eastAsia="仿宋" w:cs="仿宋"/>
                <w:color w:val="auto"/>
                <w:sz w:val="18"/>
                <w:szCs w:val="18"/>
                <w:highlight w:val="none"/>
                <w:lang w:val="en-US" w:eastAsia="zh-CN"/>
              </w:rPr>
              <w:t>9</w:t>
            </w:r>
            <w:r>
              <w:rPr>
                <w:rFonts w:hint="eastAsia" w:ascii="仿宋" w:hAnsi="仿宋" w:eastAsia="仿宋" w:cs="仿宋"/>
                <w:color w:val="auto"/>
                <w:sz w:val="18"/>
                <w:szCs w:val="18"/>
                <w:highlight w:val="none"/>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continue"/>
            <w:vAlign w:val="center"/>
          </w:tcPr>
          <w:p>
            <w:pPr>
              <w:spacing w:line="240" w:lineRule="exact"/>
              <w:jc w:val="center"/>
              <w:rPr>
                <w:rFonts w:ascii="仿宋" w:hAnsi="仿宋" w:eastAsia="仿宋" w:cs="仿宋"/>
                <w:b/>
                <w:color w:val="auto"/>
                <w:sz w:val="18"/>
                <w:szCs w:val="18"/>
                <w:highlight w:val="none"/>
              </w:rPr>
            </w:pP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交通管制</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continue"/>
            <w:vAlign w:val="center"/>
          </w:tcPr>
          <w:p>
            <w:pPr>
              <w:spacing w:line="240" w:lineRule="exact"/>
              <w:jc w:val="center"/>
              <w:rPr>
                <w:rFonts w:ascii="仿宋" w:hAnsi="仿宋" w:eastAsia="仿宋" w:cs="仿宋"/>
                <w:b/>
                <w:color w:val="auto"/>
                <w:sz w:val="18"/>
                <w:szCs w:val="18"/>
                <w:highlight w:val="none"/>
              </w:rPr>
            </w:pP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停车便利度</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无下停车场，路面停车，停车方便程度一般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restart"/>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环境状况</w:t>
            </w: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自然环境</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continue"/>
            <w:vAlign w:val="center"/>
          </w:tcPr>
          <w:p>
            <w:pPr>
              <w:spacing w:line="240" w:lineRule="exact"/>
              <w:jc w:val="center"/>
              <w:rPr>
                <w:rFonts w:ascii="仿宋" w:hAnsi="仿宋" w:eastAsia="仿宋" w:cs="仿宋"/>
                <w:color w:val="auto"/>
                <w:sz w:val="18"/>
                <w:szCs w:val="18"/>
                <w:highlight w:val="none"/>
              </w:rPr>
            </w:pP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人文环境</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continue"/>
            <w:vAlign w:val="center"/>
          </w:tcPr>
          <w:p>
            <w:pPr>
              <w:spacing w:line="240" w:lineRule="exact"/>
              <w:jc w:val="center"/>
              <w:rPr>
                <w:rFonts w:ascii="仿宋" w:hAnsi="仿宋" w:eastAsia="仿宋" w:cs="仿宋"/>
                <w:color w:val="auto"/>
                <w:sz w:val="18"/>
                <w:szCs w:val="18"/>
                <w:highlight w:val="none"/>
              </w:rPr>
            </w:pP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噪音治安</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附近交通主干道，汽车噪音一般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continue"/>
            <w:vAlign w:val="center"/>
          </w:tcPr>
          <w:p>
            <w:pPr>
              <w:spacing w:line="240" w:lineRule="exact"/>
              <w:jc w:val="center"/>
              <w:rPr>
                <w:rFonts w:ascii="仿宋" w:hAnsi="仿宋" w:eastAsia="仿宋" w:cs="仿宋"/>
                <w:color w:val="auto"/>
                <w:sz w:val="18"/>
                <w:szCs w:val="18"/>
                <w:highlight w:val="none"/>
              </w:rPr>
            </w:pP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空气质量</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restart"/>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外部配套设施</w:t>
            </w: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基础设施</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olor w:val="auto"/>
                <w:sz w:val="18"/>
                <w:szCs w:val="18"/>
                <w:highlight w:val="none"/>
              </w:rPr>
              <w:t>区域通路、通电、通讯、供水、排水</w:t>
            </w:r>
            <w:r>
              <w:rPr>
                <w:rFonts w:hint="eastAsia" w:ascii="仿宋" w:hAnsi="仿宋" w:eastAsia="仿宋"/>
                <w:color w:val="auto"/>
                <w:sz w:val="18"/>
                <w:szCs w:val="18"/>
                <w:highlight w:val="none"/>
                <w:lang w:eastAsia="zh-CN"/>
              </w:rPr>
              <w:t>五</w:t>
            </w:r>
            <w:r>
              <w:rPr>
                <w:rFonts w:hint="eastAsia" w:ascii="仿宋" w:hAnsi="仿宋" w:eastAsia="仿宋"/>
                <w:color w:val="auto"/>
                <w:sz w:val="18"/>
                <w:szCs w:val="18"/>
                <w:highlight w:val="none"/>
              </w:rPr>
              <w:t>通，基础设施较完善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00" w:type="dxa"/>
            <w:vMerge w:val="continue"/>
            <w:vAlign w:val="center"/>
          </w:tcPr>
          <w:p>
            <w:pPr>
              <w:spacing w:line="240" w:lineRule="exact"/>
              <w:jc w:val="center"/>
              <w:rPr>
                <w:rFonts w:ascii="仿宋" w:hAnsi="仿宋" w:eastAsia="仿宋" w:cs="仿宋"/>
                <w:b/>
                <w:color w:val="auto"/>
                <w:sz w:val="18"/>
                <w:szCs w:val="18"/>
                <w:highlight w:val="none"/>
              </w:rPr>
            </w:pPr>
          </w:p>
        </w:tc>
        <w:tc>
          <w:tcPr>
            <w:tcW w:w="1539" w:type="dxa"/>
            <w:vAlign w:val="center"/>
          </w:tcPr>
          <w:p>
            <w:pPr>
              <w:spacing w:line="240" w:lineRule="exact"/>
              <w:jc w:val="center"/>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公共服务设施</w:t>
            </w:r>
          </w:p>
        </w:tc>
        <w:tc>
          <w:tcPr>
            <w:tcW w:w="7489" w:type="dxa"/>
            <w:vAlign w:val="center"/>
          </w:tcPr>
          <w:p>
            <w:pPr>
              <w:spacing w:line="240" w:lineRule="exac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区域内</w:t>
            </w:r>
            <w:r>
              <w:rPr>
                <w:rFonts w:hint="eastAsia" w:ascii="仿宋" w:hAnsi="仿宋" w:eastAsia="仿宋" w:cs="仿宋"/>
                <w:color w:val="auto"/>
                <w:sz w:val="18"/>
                <w:szCs w:val="18"/>
                <w:highlight w:val="none"/>
                <w:lang w:eastAsia="zh-CN"/>
              </w:rPr>
              <w:t>施秉县</w:t>
            </w:r>
            <w:r>
              <w:rPr>
                <w:rFonts w:hint="eastAsia" w:ascii="仿宋" w:hAnsi="仿宋" w:eastAsia="仿宋" w:cs="仿宋"/>
                <w:color w:val="auto"/>
                <w:sz w:val="18"/>
                <w:szCs w:val="18"/>
                <w:highlight w:val="none"/>
              </w:rPr>
              <w:t>人民政府、</w:t>
            </w:r>
            <w:r>
              <w:rPr>
                <w:rFonts w:hint="eastAsia" w:ascii="仿宋" w:hAnsi="仿宋" w:eastAsia="仿宋" w:cs="仿宋"/>
                <w:color w:val="auto"/>
                <w:sz w:val="18"/>
                <w:szCs w:val="18"/>
                <w:highlight w:val="none"/>
                <w:lang w:eastAsia="zh-CN"/>
              </w:rPr>
              <w:t>施秉县</w:t>
            </w:r>
            <w:r>
              <w:rPr>
                <w:rFonts w:hint="eastAsia" w:ascii="仿宋" w:hAnsi="仿宋" w:eastAsia="仿宋" w:cs="仿宋"/>
                <w:color w:val="auto"/>
                <w:sz w:val="18"/>
                <w:szCs w:val="18"/>
                <w:highlight w:val="none"/>
              </w:rPr>
              <w:t>人民法院、</w:t>
            </w:r>
            <w:r>
              <w:rPr>
                <w:rFonts w:hint="eastAsia" w:ascii="仿宋" w:hAnsi="仿宋" w:eastAsia="仿宋" w:cs="仿宋"/>
                <w:color w:val="auto"/>
                <w:sz w:val="18"/>
                <w:szCs w:val="18"/>
                <w:highlight w:val="none"/>
                <w:lang w:eastAsia="zh-CN"/>
              </w:rPr>
              <w:t>施秉县粮食局</w:t>
            </w:r>
            <w:r>
              <w:rPr>
                <w:rFonts w:hint="eastAsia" w:ascii="仿宋" w:hAnsi="仿宋" w:eastAsia="仿宋" w:cs="仿宋"/>
                <w:color w:val="auto"/>
                <w:sz w:val="18"/>
                <w:szCs w:val="18"/>
                <w:highlight w:val="none"/>
              </w:rPr>
              <w:t>、</w:t>
            </w:r>
            <w:r>
              <w:rPr>
                <w:rFonts w:hint="eastAsia" w:ascii="仿宋" w:hAnsi="仿宋" w:eastAsia="仿宋" w:cs="仿宋"/>
                <w:color w:val="auto"/>
                <w:sz w:val="18"/>
                <w:szCs w:val="18"/>
                <w:highlight w:val="none"/>
                <w:lang w:eastAsia="zh-CN"/>
              </w:rPr>
              <w:t>施秉县人民检察院</w:t>
            </w:r>
            <w:r>
              <w:rPr>
                <w:rFonts w:hint="eastAsia" w:ascii="仿宋" w:hAnsi="仿宋" w:eastAsia="仿宋" w:cs="仿宋"/>
                <w:color w:val="auto"/>
                <w:sz w:val="18"/>
                <w:szCs w:val="18"/>
                <w:highlight w:val="none"/>
              </w:rPr>
              <w:t>、</w:t>
            </w:r>
            <w:r>
              <w:rPr>
                <w:rFonts w:hint="eastAsia" w:ascii="仿宋" w:hAnsi="仿宋" w:eastAsia="仿宋" w:cs="仿宋"/>
                <w:color w:val="auto"/>
                <w:sz w:val="18"/>
                <w:szCs w:val="18"/>
                <w:highlight w:val="none"/>
                <w:lang w:eastAsia="zh-CN"/>
              </w:rPr>
              <w:t>施秉县第二小学</w:t>
            </w:r>
            <w:r>
              <w:rPr>
                <w:rFonts w:hint="eastAsia" w:ascii="仿宋" w:hAnsi="仿宋" w:eastAsia="仿宋" w:cs="仿宋"/>
                <w:color w:val="auto"/>
                <w:sz w:val="18"/>
                <w:szCs w:val="18"/>
                <w:highlight w:val="none"/>
              </w:rPr>
              <w:t>、</w:t>
            </w:r>
            <w:r>
              <w:rPr>
                <w:rFonts w:hint="eastAsia" w:ascii="仿宋" w:hAnsi="仿宋" w:eastAsia="仿宋" w:cs="仿宋"/>
                <w:color w:val="auto"/>
                <w:sz w:val="18"/>
                <w:szCs w:val="18"/>
                <w:highlight w:val="none"/>
                <w:lang w:eastAsia="zh-CN"/>
              </w:rPr>
              <w:t>施秉县民族中学、金贝贝幼儿园</w:t>
            </w:r>
            <w:r>
              <w:rPr>
                <w:rFonts w:hint="eastAsia" w:ascii="仿宋" w:hAnsi="仿宋" w:eastAsia="仿宋" w:cs="仿宋"/>
                <w:color w:val="auto"/>
                <w:sz w:val="18"/>
                <w:szCs w:val="18"/>
                <w:highlight w:val="none"/>
              </w:rPr>
              <w:t>、</w:t>
            </w:r>
            <w:r>
              <w:rPr>
                <w:rFonts w:hint="eastAsia" w:ascii="仿宋" w:hAnsi="仿宋" w:eastAsia="仿宋" w:cs="仿宋"/>
                <w:color w:val="auto"/>
                <w:sz w:val="18"/>
                <w:szCs w:val="18"/>
                <w:highlight w:val="none"/>
                <w:lang w:eastAsia="zh-CN"/>
              </w:rPr>
              <w:t>施秉县人民医院</w:t>
            </w:r>
            <w:r>
              <w:rPr>
                <w:rFonts w:hint="eastAsia" w:ascii="仿宋" w:hAnsi="仿宋" w:eastAsia="仿宋" w:cs="仿宋"/>
                <w:color w:val="auto"/>
                <w:sz w:val="18"/>
                <w:szCs w:val="18"/>
                <w:highlight w:val="none"/>
              </w:rPr>
              <w:t>、</w:t>
            </w:r>
            <w:r>
              <w:rPr>
                <w:rFonts w:hint="eastAsia" w:ascii="仿宋" w:hAnsi="仿宋" w:eastAsia="仿宋" w:cs="仿宋"/>
                <w:color w:val="auto"/>
                <w:sz w:val="18"/>
                <w:szCs w:val="18"/>
                <w:highlight w:val="none"/>
                <w:lang w:eastAsia="zh-CN"/>
              </w:rPr>
              <w:t>安康药房</w:t>
            </w:r>
            <w:r>
              <w:rPr>
                <w:rFonts w:hint="eastAsia" w:ascii="仿宋" w:hAnsi="仿宋" w:eastAsia="仿宋" w:cs="仿宋"/>
                <w:color w:val="auto"/>
                <w:sz w:val="18"/>
                <w:szCs w:val="18"/>
                <w:highlight w:val="none"/>
              </w:rPr>
              <w:t>、工商银行、建设银行、</w:t>
            </w:r>
            <w:r>
              <w:rPr>
                <w:rFonts w:hint="eastAsia" w:ascii="仿宋" w:hAnsi="仿宋" w:eastAsia="仿宋" w:cs="仿宋"/>
                <w:color w:val="auto"/>
                <w:sz w:val="18"/>
                <w:szCs w:val="18"/>
                <w:highlight w:val="none"/>
                <w:lang w:eastAsia="zh-CN"/>
              </w:rPr>
              <w:t>农村信用社</w:t>
            </w:r>
            <w:r>
              <w:rPr>
                <w:rFonts w:hint="eastAsia" w:ascii="仿宋" w:hAnsi="仿宋" w:eastAsia="仿宋" w:cs="仿宋"/>
                <w:color w:val="auto"/>
                <w:sz w:val="18"/>
                <w:szCs w:val="18"/>
                <w:highlight w:val="none"/>
              </w:rPr>
              <w:t>、</w:t>
            </w:r>
            <w:r>
              <w:rPr>
                <w:rFonts w:hint="eastAsia" w:ascii="仿宋" w:hAnsi="仿宋" w:eastAsia="仿宋" w:cs="仿宋"/>
                <w:color w:val="auto"/>
                <w:sz w:val="18"/>
                <w:szCs w:val="18"/>
                <w:highlight w:val="none"/>
                <w:lang w:eastAsia="zh-CN"/>
              </w:rPr>
              <w:t>新东方假日</w:t>
            </w:r>
            <w:r>
              <w:rPr>
                <w:rFonts w:hint="eastAsia" w:ascii="仿宋" w:hAnsi="仿宋" w:eastAsia="仿宋" w:cs="仿宋"/>
                <w:color w:val="auto"/>
                <w:sz w:val="18"/>
                <w:szCs w:val="18"/>
                <w:highlight w:val="none"/>
              </w:rPr>
              <w:t>酒店、</w:t>
            </w:r>
            <w:r>
              <w:rPr>
                <w:rFonts w:hint="eastAsia" w:ascii="仿宋" w:hAnsi="仿宋" w:eastAsia="仿宋" w:cs="仿宋"/>
                <w:color w:val="auto"/>
                <w:sz w:val="18"/>
                <w:szCs w:val="18"/>
                <w:highlight w:val="none"/>
                <w:lang w:eastAsia="zh-CN"/>
              </w:rPr>
              <w:t>富丽豪时酒店、南沙集贸市场</w:t>
            </w:r>
            <w:r>
              <w:rPr>
                <w:rFonts w:hint="eastAsia" w:ascii="仿宋" w:hAnsi="仿宋" w:eastAsia="仿宋" w:cs="仿宋"/>
                <w:color w:val="auto"/>
                <w:sz w:val="18"/>
                <w:szCs w:val="18"/>
                <w:highlight w:val="none"/>
              </w:rPr>
              <w:t>等配套设施，能满足生活或生产或经营需要。</w:t>
            </w:r>
          </w:p>
        </w:tc>
      </w:tr>
    </w:tbl>
    <w:p>
      <w:pPr>
        <w:pStyle w:val="4"/>
        <w:widowControl w:val="0"/>
        <w:spacing w:before="0" w:after="0" w:line="460" w:lineRule="exact"/>
        <w:jc w:val="both"/>
        <w:rPr>
          <w:rFonts w:ascii="仿宋" w:hAnsi="仿宋" w:eastAsia="仿宋" w:cs="宋体"/>
          <w:color w:val="auto"/>
          <w:sz w:val="24"/>
          <w:szCs w:val="24"/>
          <w:highlight w:val="none"/>
        </w:rPr>
      </w:pPr>
      <w:bookmarkStart w:id="91" w:name="_Toc421"/>
      <w:r>
        <w:rPr>
          <w:rFonts w:hint="eastAsia" w:ascii="仿宋" w:hAnsi="仿宋" w:eastAsia="仿宋" w:cs="宋体"/>
          <w:color w:val="auto"/>
          <w:sz w:val="24"/>
          <w:szCs w:val="24"/>
          <w:highlight w:val="none"/>
        </w:rPr>
        <w:t>五、价值时点</w:t>
      </w:r>
      <w:bookmarkEnd w:id="91"/>
    </w:p>
    <w:p>
      <w:pPr>
        <w:adjustRightInd w:val="0"/>
        <w:snapToGrid w:val="0"/>
        <w:spacing w:line="460" w:lineRule="exact"/>
        <w:ind w:firstLine="480" w:firstLineChars="200"/>
        <w:jc w:val="both"/>
        <w:rPr>
          <w:rFonts w:ascii="仿宋" w:hAnsi="仿宋" w:eastAsia="仿宋"/>
          <w:snapToGrid w:val="0"/>
          <w:color w:val="auto"/>
          <w:highlight w:val="none"/>
        </w:rPr>
      </w:pPr>
      <w:r>
        <w:rPr>
          <w:rFonts w:hint="eastAsia" w:ascii="仿宋" w:hAnsi="仿宋" w:eastAsia="仿宋"/>
          <w:snapToGrid w:val="0"/>
          <w:color w:val="auto"/>
          <w:highlight w:val="none"/>
        </w:rPr>
        <w:t>本次评估的价值时点为现场查勘之日</w:t>
      </w:r>
      <w:r>
        <w:rPr>
          <w:rFonts w:hint="eastAsia" w:ascii="仿宋" w:hAnsi="仿宋" w:eastAsia="仿宋"/>
          <w:snapToGrid w:val="0"/>
          <w:color w:val="auto"/>
          <w:highlight w:val="none"/>
          <w:lang w:eastAsia="zh-CN"/>
        </w:rPr>
        <w:t>2019年8月26日</w:t>
      </w:r>
      <w:r>
        <w:rPr>
          <w:rFonts w:hint="eastAsia" w:ascii="仿宋" w:hAnsi="仿宋" w:eastAsia="仿宋"/>
          <w:snapToGrid w:val="0"/>
          <w:color w:val="auto"/>
          <w:highlight w:val="none"/>
        </w:rPr>
        <w:t>。</w:t>
      </w:r>
    </w:p>
    <w:bookmarkEnd w:id="82"/>
    <w:bookmarkEnd w:id="83"/>
    <w:bookmarkEnd w:id="84"/>
    <w:p>
      <w:pPr>
        <w:pStyle w:val="4"/>
        <w:widowControl w:val="0"/>
        <w:spacing w:before="0" w:after="0" w:line="460" w:lineRule="exact"/>
        <w:jc w:val="both"/>
        <w:rPr>
          <w:rFonts w:ascii="仿宋" w:hAnsi="仿宋" w:eastAsia="仿宋" w:cs="宋体"/>
          <w:color w:val="auto"/>
          <w:sz w:val="24"/>
          <w:szCs w:val="24"/>
          <w:highlight w:val="none"/>
        </w:rPr>
      </w:pPr>
      <w:bookmarkStart w:id="92" w:name="_Toc19609"/>
      <w:bookmarkStart w:id="93" w:name="_Toc13251"/>
      <w:bookmarkStart w:id="94" w:name="_Toc2655"/>
      <w:bookmarkStart w:id="95" w:name="_Toc383001815"/>
      <w:r>
        <w:rPr>
          <w:rFonts w:hint="eastAsia" w:ascii="仿宋" w:hAnsi="仿宋" w:eastAsia="仿宋" w:cs="宋体"/>
          <w:color w:val="auto"/>
          <w:sz w:val="24"/>
          <w:szCs w:val="24"/>
          <w:highlight w:val="none"/>
        </w:rPr>
        <w:t>六、价值类型</w:t>
      </w:r>
      <w:bookmarkEnd w:id="92"/>
    </w:p>
    <w:bookmarkEnd w:id="93"/>
    <w:bookmarkEnd w:id="94"/>
    <w:bookmarkEnd w:id="95"/>
    <w:p>
      <w:pPr>
        <w:adjustRightInd w:val="0"/>
        <w:snapToGrid w:val="0"/>
        <w:spacing w:line="460" w:lineRule="exact"/>
        <w:ind w:firstLine="480" w:firstLineChars="200"/>
        <w:jc w:val="both"/>
        <w:rPr>
          <w:rFonts w:ascii="仿宋" w:hAnsi="仿宋" w:eastAsia="仿宋"/>
          <w:snapToGrid w:val="0"/>
          <w:color w:val="auto"/>
          <w:highlight w:val="none"/>
        </w:rPr>
      </w:pPr>
      <w:bookmarkStart w:id="96" w:name="_Toc21305"/>
      <w:bookmarkStart w:id="97" w:name="_Toc13117"/>
      <w:bookmarkStart w:id="98" w:name="_Toc15298"/>
      <w:bookmarkStart w:id="99" w:name="_Toc21601"/>
      <w:bookmarkStart w:id="100" w:name="_Toc21539"/>
      <w:bookmarkStart w:id="101" w:name="_Toc9046"/>
      <w:bookmarkStart w:id="102" w:name="_Toc383001816"/>
      <w:bookmarkStart w:id="103" w:name="_Toc2142"/>
      <w:r>
        <w:rPr>
          <w:rFonts w:hint="eastAsia" w:ascii="仿宋" w:hAnsi="仿宋" w:eastAsia="仿宋"/>
          <w:snapToGrid w:val="0"/>
          <w:color w:val="auto"/>
          <w:highlight w:val="none"/>
        </w:rPr>
        <w:t>（一</w:t>
      </w:r>
      <w:r>
        <w:rPr>
          <w:rFonts w:ascii="仿宋" w:hAnsi="仿宋" w:eastAsia="仿宋"/>
          <w:snapToGrid w:val="0"/>
          <w:color w:val="auto"/>
          <w:highlight w:val="none"/>
        </w:rPr>
        <w:t>)价值标准：市场价值，不考虑房地产成交后的税费及税费的转移负担。</w:t>
      </w:r>
    </w:p>
    <w:p>
      <w:pPr>
        <w:adjustRightInd w:val="0"/>
        <w:snapToGrid w:val="0"/>
        <w:spacing w:line="460" w:lineRule="exact"/>
        <w:ind w:firstLine="480" w:firstLineChars="200"/>
        <w:jc w:val="both"/>
        <w:rPr>
          <w:rFonts w:ascii="仿宋" w:hAnsi="仿宋" w:eastAsia="仿宋"/>
          <w:snapToGrid w:val="0"/>
          <w:color w:val="auto"/>
          <w:highlight w:val="none"/>
        </w:rPr>
      </w:pPr>
      <w:r>
        <w:rPr>
          <w:rFonts w:hint="eastAsia" w:ascii="仿宋" w:hAnsi="仿宋" w:eastAsia="仿宋"/>
          <w:snapToGrid w:val="0"/>
          <w:color w:val="auto"/>
          <w:highlight w:val="none"/>
        </w:rPr>
        <w:t>（二）</w:t>
      </w:r>
      <w:r>
        <w:rPr>
          <w:rFonts w:ascii="仿宋" w:hAnsi="仿宋" w:eastAsia="仿宋"/>
          <w:snapToGrid w:val="0"/>
          <w:color w:val="auto"/>
          <w:highlight w:val="none"/>
        </w:rPr>
        <w:t>价值内涵：本报告价值内涵为满足本估价报告“估价假设与限制条件”，遵循客观、独立、公开、合法原则，以证载</w:t>
      </w:r>
      <w:r>
        <w:rPr>
          <w:rFonts w:hint="eastAsia" w:ascii="仿宋" w:hAnsi="仿宋" w:eastAsia="仿宋"/>
          <w:snapToGrid w:val="0"/>
          <w:color w:val="auto"/>
          <w:highlight w:val="none"/>
        </w:rPr>
        <w:t>成套住宅</w:t>
      </w:r>
      <w:r>
        <w:rPr>
          <w:rFonts w:hint="eastAsia" w:ascii="仿宋" w:hAnsi="仿宋" w:eastAsia="仿宋"/>
          <w:color w:val="auto"/>
          <w:highlight w:val="none"/>
        </w:rPr>
        <w:t>用途</w:t>
      </w:r>
      <w:r>
        <w:rPr>
          <w:rFonts w:hint="eastAsia" w:ascii="仿宋" w:hAnsi="仿宋" w:eastAsia="仿宋"/>
          <w:snapToGrid w:val="0"/>
          <w:color w:val="auto"/>
          <w:highlight w:val="none"/>
        </w:rPr>
        <w:t>，</w:t>
      </w:r>
      <w:r>
        <w:rPr>
          <w:rFonts w:ascii="仿宋" w:hAnsi="仿宋" w:eastAsia="仿宋"/>
          <w:snapToGrid w:val="0"/>
          <w:color w:val="auto"/>
          <w:highlight w:val="none"/>
        </w:rPr>
        <w:t>在价值时点</w:t>
      </w:r>
      <w:r>
        <w:rPr>
          <w:rFonts w:hint="eastAsia" w:ascii="仿宋" w:hAnsi="仿宋" w:eastAsia="仿宋"/>
          <w:snapToGrid w:val="0"/>
          <w:color w:val="auto"/>
          <w:highlight w:val="none"/>
          <w:lang w:eastAsia="zh-CN"/>
        </w:rPr>
        <w:t>2019年8月26日</w:t>
      </w:r>
      <w:r>
        <w:rPr>
          <w:rFonts w:ascii="仿宋" w:hAnsi="仿宋" w:eastAsia="仿宋"/>
          <w:snapToGrid w:val="0"/>
          <w:color w:val="auto"/>
          <w:highlight w:val="none"/>
        </w:rPr>
        <w:t>于现状条件下的市场价值，该价值内涵还包括：</w:t>
      </w:r>
    </w:p>
    <w:p>
      <w:pPr>
        <w:adjustRightInd w:val="0"/>
        <w:snapToGrid w:val="0"/>
        <w:spacing w:line="460" w:lineRule="exact"/>
        <w:ind w:firstLine="480" w:firstLineChars="200"/>
        <w:jc w:val="both"/>
        <w:rPr>
          <w:rFonts w:ascii="仿宋" w:hAnsi="仿宋" w:eastAsia="仿宋"/>
          <w:snapToGrid w:val="0"/>
          <w:color w:val="auto"/>
          <w:highlight w:val="none"/>
        </w:rPr>
      </w:pPr>
      <w:r>
        <w:rPr>
          <w:rFonts w:ascii="仿宋" w:hAnsi="仿宋" w:eastAsia="仿宋"/>
          <w:snapToGrid w:val="0"/>
          <w:color w:val="auto"/>
          <w:highlight w:val="none"/>
        </w:rPr>
        <w:t>1、本次估价财产范围为估价对象的</w:t>
      </w:r>
      <w:r>
        <w:rPr>
          <w:rFonts w:hint="eastAsia" w:ascii="仿宋" w:hAnsi="仿宋" w:eastAsia="仿宋"/>
          <w:color w:val="auto"/>
          <w:highlight w:val="none"/>
        </w:rPr>
        <w:t>房屋及所分摊的建设用地使用权</w:t>
      </w:r>
      <w:r>
        <w:rPr>
          <w:rFonts w:hint="eastAsia" w:ascii="仿宋" w:hAnsi="仿宋" w:eastAsia="仿宋"/>
          <w:snapToGrid w:val="0"/>
          <w:color w:val="auto"/>
          <w:highlight w:val="none"/>
        </w:rPr>
        <w:t>、以及按二手房交易市场通常应当包含的装饰装修价值，不包括动产、构筑物、树木等，以及债权债务、特许经营权等其他财产或权益。</w:t>
      </w:r>
    </w:p>
    <w:p>
      <w:pPr>
        <w:adjustRightInd w:val="0"/>
        <w:snapToGrid w:val="0"/>
        <w:spacing w:line="460" w:lineRule="exact"/>
        <w:ind w:firstLine="480" w:firstLineChars="200"/>
        <w:jc w:val="both"/>
        <w:rPr>
          <w:rFonts w:ascii="仿宋" w:hAnsi="仿宋" w:eastAsia="仿宋"/>
          <w:snapToGrid w:val="0"/>
          <w:color w:val="auto"/>
          <w:highlight w:val="none"/>
        </w:rPr>
      </w:pPr>
      <w:r>
        <w:rPr>
          <w:rFonts w:ascii="仿宋" w:hAnsi="仿宋" w:eastAsia="仿宋"/>
          <w:snapToGrid w:val="0"/>
          <w:color w:val="auto"/>
          <w:highlight w:val="none"/>
        </w:rPr>
        <w:t>2、本次估价未考虑查封权利限制、未来市场价值变化风险、特殊交易方式、不可抗力、短期强制处分等因素影响。</w:t>
      </w:r>
    </w:p>
    <w:p>
      <w:pPr>
        <w:adjustRightInd w:val="0"/>
        <w:snapToGrid w:val="0"/>
        <w:spacing w:line="460" w:lineRule="exact"/>
        <w:ind w:firstLine="480" w:firstLineChars="200"/>
        <w:jc w:val="both"/>
        <w:rPr>
          <w:rFonts w:ascii="仿宋" w:hAnsi="仿宋" w:eastAsia="仿宋"/>
          <w:snapToGrid w:val="0"/>
          <w:color w:val="auto"/>
          <w:highlight w:val="none"/>
        </w:rPr>
      </w:pPr>
      <w:r>
        <w:rPr>
          <w:rFonts w:ascii="仿宋" w:hAnsi="仿宋" w:eastAsia="仿宋"/>
          <w:snapToGrid w:val="0"/>
          <w:color w:val="auto"/>
          <w:highlight w:val="none"/>
        </w:rPr>
        <w:t>3、币种：人民币</w:t>
      </w:r>
      <w:r>
        <w:rPr>
          <w:rFonts w:hint="eastAsia" w:ascii="仿宋" w:hAnsi="仿宋" w:eastAsia="仿宋"/>
          <w:snapToGrid w:val="0"/>
          <w:color w:val="auto"/>
          <w:highlight w:val="none"/>
        </w:rPr>
        <w:t>。</w:t>
      </w:r>
    </w:p>
    <w:p>
      <w:pPr>
        <w:pStyle w:val="4"/>
        <w:widowControl w:val="0"/>
        <w:spacing w:before="0" w:after="0" w:line="460" w:lineRule="exact"/>
        <w:jc w:val="both"/>
        <w:rPr>
          <w:rFonts w:ascii="仿宋" w:hAnsi="仿宋" w:eastAsia="仿宋" w:cs="宋体"/>
          <w:color w:val="auto"/>
          <w:sz w:val="24"/>
          <w:szCs w:val="24"/>
          <w:highlight w:val="none"/>
        </w:rPr>
      </w:pPr>
      <w:bookmarkStart w:id="104" w:name="_Toc21680"/>
      <w:r>
        <w:rPr>
          <w:rFonts w:hint="eastAsia" w:ascii="仿宋" w:hAnsi="仿宋" w:eastAsia="仿宋" w:cs="宋体"/>
          <w:color w:val="auto"/>
          <w:sz w:val="24"/>
          <w:szCs w:val="24"/>
          <w:highlight w:val="none"/>
        </w:rPr>
        <w:t>七、估价原则</w:t>
      </w:r>
      <w:bookmarkEnd w:id="96"/>
      <w:bookmarkEnd w:id="97"/>
      <w:bookmarkEnd w:id="98"/>
      <w:bookmarkEnd w:id="99"/>
      <w:bookmarkEnd w:id="100"/>
      <w:bookmarkEnd w:id="101"/>
      <w:bookmarkEnd w:id="102"/>
      <w:bookmarkEnd w:id="103"/>
      <w:bookmarkEnd w:id="104"/>
    </w:p>
    <w:p>
      <w:pPr>
        <w:adjustRightInd w:val="0"/>
        <w:snapToGrid w:val="0"/>
        <w:spacing w:line="460" w:lineRule="exact"/>
        <w:ind w:firstLine="480" w:firstLineChars="200"/>
        <w:rPr>
          <w:rFonts w:ascii="仿宋" w:hAnsi="仿宋" w:eastAsia="仿宋"/>
          <w:snapToGrid w:val="0"/>
          <w:color w:val="auto"/>
          <w:highlight w:val="none"/>
        </w:rPr>
      </w:pPr>
      <w:r>
        <w:rPr>
          <w:rFonts w:ascii="仿宋" w:hAnsi="仿宋" w:eastAsia="仿宋"/>
          <w:snapToGrid w:val="0"/>
          <w:color w:val="auto"/>
          <w:highlight w:val="none"/>
        </w:rPr>
        <w:t>1、独立、客观、公正原则</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独立、客观、公正原则要求注册房地产估价师站在中立的立场上评估出对各方当事人来说均是公平合理的价值。“独立”就是要求注册房地产估价师和房地产估价机构与估价委托人及估价利害关系人没有利害关系，在估价中不受包括估价委托人在内的任何单位和个人的影响，应凭自己的专业知识、实践经验和职业道德进行估价；客观就是要求注册房地产估价师和房地产估价机构在估价中不带着自己的情感、好恶和偏见，应按照事物的本来面目、实事求是地进行估价；公正就是要求注册房地产估价师和房地产估价机构在估价中不偏袒估价利害关系人中的任何一方，应坚持原则、公平正直的估价。本次估价注册房地产估价师和房地产估价机构与估价委托人及估价利害关系人没有利害关系，估价中没有受到任何单位任何人的影响，没有带着自己的情感、好恶和偏见，没有偏袒，实事求是，客观公正。</w:t>
      </w:r>
    </w:p>
    <w:p>
      <w:pPr>
        <w:adjustRightInd w:val="0"/>
        <w:snapToGrid w:val="0"/>
        <w:spacing w:line="460" w:lineRule="exact"/>
        <w:ind w:firstLine="480" w:firstLineChars="200"/>
        <w:rPr>
          <w:rFonts w:ascii="仿宋" w:hAnsi="仿宋" w:eastAsia="仿宋"/>
          <w:snapToGrid w:val="0"/>
          <w:color w:val="auto"/>
          <w:highlight w:val="none"/>
        </w:rPr>
      </w:pPr>
      <w:r>
        <w:rPr>
          <w:rFonts w:ascii="仿宋" w:hAnsi="仿宋" w:eastAsia="仿宋"/>
          <w:snapToGrid w:val="0"/>
          <w:color w:val="auto"/>
          <w:highlight w:val="none"/>
        </w:rPr>
        <w:t>2、合法原则</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估价结果应是依法判定的估价对象状况下的价值或价格。依据是依据有关法律、行政法规、最高人民法院和最高人民检察院发布的有关司法解释、估价对象所在地的有关地方法规（民族自治地方有关自治条例和单行条例），国务院所属部门颁发的有关部门规章和政策，估价对象所在地人民政府颁发的有关地方政策和规章，以及不动产登记簿（房屋登记薄、土地登记薄）、权属证书、有关批文和合同等（如规划意见书、国有建设用地使用出让招标文件、国有建设用地使用权出让合同、房地产转让合同、房屋租赁合同等）；本次估价按估价对象《</w:t>
      </w:r>
      <w:r>
        <w:rPr>
          <w:rFonts w:hint="eastAsia" w:ascii="仿宋" w:hAnsi="仿宋" w:eastAsia="仿宋"/>
          <w:snapToGrid w:val="0"/>
          <w:color w:val="auto"/>
          <w:highlight w:val="none"/>
          <w:lang w:eastAsia="zh-CN"/>
        </w:rPr>
        <w:t>个人不动产信息情况证明</w:t>
      </w:r>
      <w:r>
        <w:rPr>
          <w:rFonts w:hint="eastAsia" w:ascii="仿宋" w:hAnsi="仿宋" w:eastAsia="仿宋"/>
          <w:snapToGrid w:val="0"/>
          <w:color w:val="auto"/>
          <w:highlight w:val="none"/>
        </w:rPr>
        <w:t>》记载的住宅用途就是合法原则的体现。</w:t>
      </w:r>
    </w:p>
    <w:p>
      <w:pPr>
        <w:adjustRightInd w:val="0"/>
        <w:snapToGrid w:val="0"/>
        <w:spacing w:line="460" w:lineRule="exact"/>
        <w:ind w:firstLine="480" w:firstLineChars="200"/>
        <w:rPr>
          <w:rFonts w:ascii="仿宋" w:hAnsi="仿宋" w:eastAsia="仿宋"/>
          <w:snapToGrid w:val="0"/>
          <w:color w:val="auto"/>
          <w:highlight w:val="none"/>
        </w:rPr>
      </w:pPr>
      <w:r>
        <w:rPr>
          <w:rFonts w:ascii="仿宋" w:hAnsi="仿宋" w:eastAsia="仿宋"/>
          <w:snapToGrid w:val="0"/>
          <w:color w:val="auto"/>
          <w:highlight w:val="none"/>
        </w:rPr>
        <w:t>3、价值时点原则</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估价结果应当是在根据估价目的的确定的某一特定时间的价值或价格。随着时间的推移，影响房地产价格的区位、实物、权益以及有关房地产法律法规、政策因素是不断变化的，房地产市场也是不断变化的，因此，不同房地产在不同的时间通常会有不同的价值，通常根据估价目的确定。</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4、替代原则</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估价结果应与估价对象的类似房地产在同等条件下的价值或价格偏差应在合理范围内。根据经济学原理，在同一市场上相同的商品有相同的价格。房地产价格的形成一般也是如此，只是由于房地产的独一无二特性，使得完全相同的房地产几乎没有，但在同一房地产市场上，相似在房地产会有相近的价格。在估价时不能孤立地思考估价对象的价值或价格，而要考虑相似房地产之间的价格比较，特别是同一估价机构，在同一城市，同一时期，同一估价目的，对不同区位、不同档次的房地产的评估价值应有合理的差</w:t>
      </w:r>
      <w:bookmarkEnd w:id="85"/>
      <w:r>
        <w:rPr>
          <w:rFonts w:hint="eastAsia" w:ascii="仿宋" w:hAnsi="仿宋" w:eastAsia="仿宋"/>
          <w:snapToGrid w:val="0"/>
          <w:color w:val="auto"/>
          <w:highlight w:val="none"/>
        </w:rPr>
        <w:t>价。本次估价比较法的选用就是替代原则的具体体现。</w:t>
      </w:r>
    </w:p>
    <w:p>
      <w:pPr>
        <w:adjustRightInd w:val="0"/>
        <w:snapToGrid w:val="0"/>
        <w:spacing w:line="460" w:lineRule="exact"/>
        <w:ind w:firstLine="480" w:firstLineChars="200"/>
        <w:rPr>
          <w:rFonts w:ascii="仿宋" w:hAnsi="仿宋" w:eastAsia="仿宋"/>
          <w:snapToGrid w:val="0"/>
          <w:color w:val="auto"/>
          <w:highlight w:val="none"/>
        </w:rPr>
      </w:pPr>
      <w:r>
        <w:rPr>
          <w:rFonts w:ascii="仿宋" w:hAnsi="仿宋" w:eastAsia="仿宋"/>
          <w:snapToGrid w:val="0"/>
          <w:color w:val="auto"/>
          <w:highlight w:val="none"/>
        </w:rPr>
        <w:t>5、最高最佳利用原则</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最高最佳利用原则要求估价结果是在估价对象最高最佳利用状况下的价值或价格。最高最佳利用是指法律上允许、技术上可能、财务上可行并使价值最大的合理、可能的利用。估价对象最高最佳利用状况的确定，应了解、分析估价对象的权利人或意向取得者对估价对象依法享有的开发利用权利。当两者的开发利用权利不相同时，应根据估价目的判定从权利人角度或意向取得者角度进行估价，并相应确定估价对象的最高最佳利用状况。最高最佳利用是在法律法规、政策和出让合同等允许范围内，估价对象达到最佳集约度、最佳规模、最佳用途、最佳档次，在所有具有经济可行性的利用中，能够使估价对象的价值达到最大的利用。本次估价依据合法原则确定《</w:t>
      </w:r>
      <w:r>
        <w:rPr>
          <w:rFonts w:hint="eastAsia" w:ascii="仿宋" w:hAnsi="仿宋" w:eastAsia="仿宋"/>
          <w:snapToGrid w:val="0"/>
          <w:color w:val="auto"/>
          <w:highlight w:val="none"/>
          <w:lang w:eastAsia="zh-CN"/>
        </w:rPr>
        <w:t>个人不动产信息情况证明</w:t>
      </w:r>
      <w:r>
        <w:rPr>
          <w:rFonts w:hint="eastAsia" w:ascii="仿宋" w:hAnsi="仿宋" w:eastAsia="仿宋"/>
          <w:snapToGrid w:val="0"/>
          <w:color w:val="auto"/>
          <w:highlight w:val="none"/>
        </w:rPr>
        <w:t>》记载的</w:t>
      </w:r>
      <w:r>
        <w:rPr>
          <w:rFonts w:hint="eastAsia" w:ascii="仿宋" w:hAnsi="仿宋" w:eastAsia="仿宋"/>
          <w:snapToGrid w:val="0"/>
          <w:color w:val="auto"/>
          <w:highlight w:val="none"/>
          <w:lang w:eastAsia="zh-CN"/>
        </w:rPr>
        <w:t>成套</w:t>
      </w:r>
      <w:r>
        <w:rPr>
          <w:rFonts w:hint="eastAsia" w:ascii="仿宋" w:hAnsi="仿宋" w:eastAsia="仿宋"/>
          <w:snapToGrid w:val="0"/>
          <w:color w:val="auto"/>
          <w:highlight w:val="none"/>
        </w:rPr>
        <w:t>住宅用途为最高最佳利用。</w:t>
      </w:r>
    </w:p>
    <w:p>
      <w:pPr>
        <w:pStyle w:val="4"/>
        <w:widowControl w:val="0"/>
        <w:spacing w:before="0" w:after="0" w:line="460" w:lineRule="exact"/>
        <w:jc w:val="both"/>
        <w:rPr>
          <w:rFonts w:ascii="仿宋" w:hAnsi="仿宋" w:eastAsia="仿宋" w:cs="宋体"/>
          <w:color w:val="auto"/>
          <w:sz w:val="24"/>
          <w:szCs w:val="24"/>
          <w:highlight w:val="none"/>
        </w:rPr>
      </w:pPr>
      <w:bookmarkStart w:id="105" w:name="_Toc14716"/>
      <w:bookmarkStart w:id="106" w:name="_Toc26332"/>
      <w:bookmarkStart w:id="107" w:name="_Toc2336"/>
      <w:bookmarkStart w:id="108" w:name="_Toc24572"/>
      <w:bookmarkStart w:id="109" w:name="_Toc221"/>
      <w:bookmarkStart w:id="110" w:name="_Toc1719"/>
      <w:bookmarkStart w:id="111" w:name="_Toc383001817"/>
      <w:bookmarkStart w:id="112" w:name="_Toc8257"/>
      <w:bookmarkStart w:id="113" w:name="_Toc27527"/>
      <w:r>
        <w:rPr>
          <w:rFonts w:hint="eastAsia" w:ascii="仿宋" w:hAnsi="仿宋" w:eastAsia="仿宋" w:cs="宋体"/>
          <w:color w:val="auto"/>
          <w:sz w:val="24"/>
          <w:szCs w:val="24"/>
          <w:highlight w:val="none"/>
        </w:rPr>
        <w:t>八、估价依据</w:t>
      </w:r>
      <w:bookmarkEnd w:id="105"/>
      <w:bookmarkEnd w:id="106"/>
      <w:bookmarkEnd w:id="107"/>
      <w:bookmarkEnd w:id="108"/>
      <w:bookmarkEnd w:id="109"/>
      <w:bookmarkEnd w:id="110"/>
      <w:bookmarkEnd w:id="111"/>
      <w:bookmarkEnd w:id="112"/>
      <w:bookmarkEnd w:id="113"/>
    </w:p>
    <w:p>
      <w:pPr>
        <w:adjustRightInd w:val="0"/>
        <w:snapToGrid w:val="0"/>
        <w:spacing w:line="460" w:lineRule="exact"/>
        <w:ind w:firstLine="480" w:firstLineChars="200"/>
        <w:rPr>
          <w:rFonts w:ascii="仿宋" w:hAnsi="仿宋" w:eastAsia="仿宋"/>
          <w:snapToGrid w:val="0"/>
          <w:color w:val="auto"/>
          <w:highlight w:val="none"/>
        </w:rPr>
      </w:pPr>
      <w:bookmarkStart w:id="114" w:name="_Toc29997"/>
      <w:bookmarkStart w:id="115" w:name="_Toc300"/>
      <w:bookmarkStart w:id="116" w:name="_Toc9412"/>
      <w:bookmarkStart w:id="117" w:name="_Toc28966"/>
      <w:bookmarkStart w:id="118" w:name="_Toc383001818"/>
      <w:bookmarkStart w:id="119" w:name="_Toc23452"/>
      <w:bookmarkStart w:id="120" w:name="_Toc19148"/>
      <w:bookmarkStart w:id="121" w:name="_Toc4649"/>
      <w:r>
        <w:rPr>
          <w:rFonts w:hint="eastAsia" w:ascii="仿宋" w:hAnsi="仿宋" w:eastAsia="仿宋"/>
          <w:snapToGrid w:val="0"/>
          <w:color w:val="auto"/>
          <w:highlight w:val="none"/>
        </w:rPr>
        <w:t>(一)国家有关部门颁布的法律法规及相关文件</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1、</w:t>
      </w:r>
      <w:r>
        <w:rPr>
          <w:rFonts w:ascii="仿宋" w:hAnsi="仿宋" w:eastAsia="仿宋"/>
          <w:snapToGrid w:val="0"/>
          <w:color w:val="auto"/>
          <w:highlight w:val="none"/>
        </w:rPr>
        <w:t>《中华人民共和国物权法》（2007年3月16日中华人民共和国主席令第62号，2007年10月1日起施行）；</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2、</w:t>
      </w:r>
      <w:r>
        <w:rPr>
          <w:rFonts w:ascii="仿宋" w:hAnsi="仿宋" w:eastAsia="仿宋"/>
          <w:snapToGrid w:val="0"/>
          <w:color w:val="auto"/>
          <w:highlight w:val="none"/>
        </w:rPr>
        <w:t>《中华人民共和国城市房地产管理法》（2007年8月30日中华人民共和国主席令第72号公布）；</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3、</w:t>
      </w:r>
      <w:r>
        <w:rPr>
          <w:rFonts w:ascii="仿宋" w:hAnsi="仿宋" w:eastAsia="仿宋"/>
          <w:snapToGrid w:val="0"/>
          <w:color w:val="auto"/>
          <w:highlight w:val="none"/>
        </w:rPr>
        <w:t>《中华人民共和国土地管理法》（2004年8月28日中华人民共和国主席令第28号公布）；</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4、</w:t>
      </w:r>
      <w:r>
        <w:rPr>
          <w:rFonts w:ascii="仿宋" w:hAnsi="仿宋" w:eastAsia="仿宋"/>
          <w:snapToGrid w:val="0"/>
          <w:color w:val="auto"/>
          <w:highlight w:val="none"/>
        </w:rPr>
        <w:t>《中华人民共和国拍卖法》</w:t>
      </w:r>
      <w:r>
        <w:rPr>
          <w:rFonts w:hint="eastAsia" w:ascii="仿宋" w:hAnsi="仿宋" w:eastAsia="仿宋"/>
          <w:snapToGrid w:val="0"/>
          <w:color w:val="auto"/>
          <w:highlight w:val="none"/>
        </w:rPr>
        <w:t>（2015年4月24日第十二届全国人民代表大会常务委员会第十四次会议修正）</w:t>
      </w:r>
      <w:r>
        <w:rPr>
          <w:rFonts w:ascii="仿宋" w:hAnsi="仿宋" w:eastAsia="仿宋"/>
          <w:snapToGrid w:val="0"/>
          <w:color w:val="auto"/>
          <w:highlight w:val="none"/>
        </w:rPr>
        <w:t>；</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5、</w:t>
      </w:r>
      <w:r>
        <w:rPr>
          <w:rFonts w:ascii="仿宋" w:hAnsi="仿宋" w:eastAsia="仿宋"/>
          <w:snapToGrid w:val="0"/>
          <w:color w:val="auto"/>
          <w:highlight w:val="none"/>
        </w:rPr>
        <w:t>《中华人民共和国资产评估法》（中华人民共和国主席令第46号，2016年12月1日起实施）；</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6、</w:t>
      </w:r>
      <w:r>
        <w:rPr>
          <w:rFonts w:ascii="仿宋" w:hAnsi="仿宋" w:eastAsia="仿宋"/>
          <w:snapToGrid w:val="0"/>
          <w:color w:val="auto"/>
          <w:highlight w:val="none"/>
        </w:rPr>
        <w:t>《城市房地产转让管理规定》（建设部令第96号）等相关法律法规；</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7、</w:t>
      </w:r>
      <w:r>
        <w:rPr>
          <w:rFonts w:ascii="仿宋" w:hAnsi="仿宋" w:eastAsia="仿宋"/>
          <w:snapToGrid w:val="0"/>
          <w:color w:val="auto"/>
          <w:highlight w:val="none"/>
        </w:rPr>
        <w:t>《司法鉴定程序通则》(司法部令第132号）；</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8、</w:t>
      </w:r>
      <w:r>
        <w:rPr>
          <w:rFonts w:ascii="仿宋" w:hAnsi="仿宋" w:eastAsia="仿宋"/>
          <w:snapToGrid w:val="0"/>
          <w:color w:val="auto"/>
          <w:highlight w:val="none"/>
        </w:rPr>
        <w:t>《最高人民法院关于人民法院委托评估拍卖工作的若干规定》法释〔2011〕21号；</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9、</w:t>
      </w:r>
      <w:r>
        <w:rPr>
          <w:rFonts w:ascii="仿宋" w:hAnsi="仿宋" w:eastAsia="仿宋"/>
          <w:snapToGrid w:val="0"/>
          <w:color w:val="auto"/>
          <w:highlight w:val="none"/>
        </w:rPr>
        <w:t>《最高人民法院关于人民法院网络司法拍卖若干问题的规定》法释〔2016〕18号；</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10、</w:t>
      </w:r>
      <w:r>
        <w:rPr>
          <w:rFonts w:ascii="仿宋" w:hAnsi="仿宋" w:eastAsia="仿宋"/>
          <w:snapToGrid w:val="0"/>
          <w:color w:val="auto"/>
          <w:highlight w:val="none"/>
        </w:rPr>
        <w:t>《最高人民法院关于人民法院民事执行中拍卖变卖财产的规定》法释〔2004〕16号；</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11、</w:t>
      </w:r>
      <w:r>
        <w:rPr>
          <w:rFonts w:ascii="仿宋" w:hAnsi="仿宋" w:eastAsia="仿宋"/>
          <w:snapToGrid w:val="0"/>
          <w:color w:val="auto"/>
          <w:highlight w:val="none"/>
        </w:rPr>
        <w:t>《最高人民法院关于人民法院委托评估、拍卖和变卖工作的若干规定》法释〔2009〕16号</w:t>
      </w:r>
      <w:r>
        <w:rPr>
          <w:rFonts w:hint="eastAsia" w:ascii="仿宋" w:hAnsi="仿宋" w:eastAsia="仿宋"/>
          <w:snapToGrid w:val="0"/>
          <w:color w:val="auto"/>
          <w:highlight w:val="none"/>
        </w:rPr>
        <w:t>；</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12、《最高人民法院关于人民法院确定财产处置参考价若干问题的规定》（法释〔2018〕15号）。</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(二)估价依据的技术标准及地方性有关文件</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1、《房地产估价规范》（GB/T 50291-2015）；</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2、《房地产估价基本术语标准》（GB/T50899-2013）；</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3、</w:t>
      </w:r>
      <w:r>
        <w:rPr>
          <w:rFonts w:hint="eastAsia" w:ascii="仿宋" w:hAnsi="仿宋" w:eastAsia="仿宋"/>
          <w:color w:val="auto"/>
          <w:highlight w:val="none"/>
        </w:rPr>
        <w:t>《贵州省涉案财物价格鉴定操作规程》（试行）</w:t>
      </w:r>
      <w:r>
        <w:rPr>
          <w:rFonts w:hint="eastAsia" w:ascii="仿宋" w:hAnsi="仿宋" w:eastAsia="仿宋"/>
          <w:snapToGrid w:val="0"/>
          <w:color w:val="auto"/>
          <w:highlight w:val="none"/>
        </w:rPr>
        <w:t>。</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（三）委托方提供及估价机构所掌握的资料</w:t>
      </w:r>
    </w:p>
    <w:p>
      <w:pPr>
        <w:adjustRightInd w:val="0"/>
        <w:snapToGrid w:val="0"/>
        <w:spacing w:line="460" w:lineRule="exact"/>
        <w:ind w:firstLine="480" w:firstLineChars="200"/>
        <w:rPr>
          <w:rFonts w:ascii="仿宋" w:hAnsi="仿宋" w:eastAsia="仿宋"/>
          <w:snapToGrid w:val="0"/>
          <w:color w:val="auto"/>
          <w:highlight w:val="none"/>
        </w:rPr>
      </w:pPr>
      <w:bookmarkStart w:id="122" w:name="_Hlk513747421"/>
      <w:r>
        <w:rPr>
          <w:rFonts w:hint="eastAsia" w:ascii="仿宋" w:hAnsi="仿宋" w:eastAsia="仿宋"/>
          <w:snapToGrid w:val="0"/>
          <w:color w:val="auto"/>
          <w:highlight w:val="none"/>
        </w:rPr>
        <w:t>1、</w:t>
      </w:r>
      <w:r>
        <w:rPr>
          <w:rFonts w:hint="eastAsia" w:ascii="仿宋" w:hAnsi="仿宋" w:eastAsia="仿宋"/>
          <w:color w:val="auto"/>
          <w:highlight w:val="none"/>
        </w:rPr>
        <w:t>《</w:t>
      </w:r>
      <w:r>
        <w:rPr>
          <w:rFonts w:hint="eastAsia" w:ascii="仿宋" w:hAnsi="仿宋" w:eastAsia="仿宋"/>
          <w:color w:val="auto"/>
          <w:highlight w:val="none"/>
          <w:lang w:eastAsia="zh-CN"/>
        </w:rPr>
        <w:t>贵州省施秉县人民法院司法鉴定委托书</w:t>
      </w:r>
      <w:r>
        <w:rPr>
          <w:rFonts w:hint="eastAsia" w:ascii="仿宋" w:hAnsi="仿宋" w:eastAsia="仿宋"/>
          <w:color w:val="auto"/>
          <w:highlight w:val="none"/>
        </w:rPr>
        <w:t>》</w:t>
      </w:r>
      <w:r>
        <w:rPr>
          <w:rFonts w:hint="eastAsia" w:ascii="仿宋" w:hAnsi="仿宋" w:eastAsia="仿宋"/>
          <w:color w:val="auto"/>
          <w:highlight w:val="none"/>
          <w:lang w:eastAsia="zh-CN"/>
        </w:rPr>
        <w:t>（2019）施外委（鉴）字第11号</w:t>
      </w:r>
      <w:r>
        <w:rPr>
          <w:rFonts w:hint="eastAsia" w:ascii="仿宋" w:hAnsi="仿宋" w:eastAsia="仿宋"/>
          <w:snapToGrid w:val="0"/>
          <w:color w:val="auto"/>
          <w:highlight w:val="none"/>
        </w:rPr>
        <w:t>；</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2、《</w:t>
      </w:r>
      <w:r>
        <w:rPr>
          <w:rFonts w:hint="eastAsia" w:ascii="仿宋" w:hAnsi="仿宋" w:eastAsia="仿宋"/>
          <w:snapToGrid w:val="0"/>
          <w:color w:val="auto"/>
          <w:highlight w:val="none"/>
          <w:lang w:eastAsia="zh-CN"/>
        </w:rPr>
        <w:t>个人不动产信息情况证明</w:t>
      </w:r>
      <w:r>
        <w:rPr>
          <w:rFonts w:hint="eastAsia" w:ascii="仿宋" w:hAnsi="仿宋" w:eastAsia="仿宋"/>
          <w:snapToGrid w:val="0"/>
          <w:color w:val="auto"/>
          <w:highlight w:val="none"/>
        </w:rPr>
        <w:t>》复印件；</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3、《</w:t>
      </w:r>
      <w:r>
        <w:rPr>
          <w:rFonts w:hint="eastAsia" w:ascii="仿宋" w:hAnsi="仿宋" w:eastAsia="仿宋" w:cs="仿宋"/>
          <w:color w:val="auto"/>
          <w:highlight w:val="none"/>
        </w:rPr>
        <w:t>房屋</w:t>
      </w:r>
      <w:r>
        <w:rPr>
          <w:rFonts w:hint="eastAsia" w:ascii="仿宋" w:hAnsi="仿宋" w:eastAsia="仿宋"/>
          <w:color w:val="auto"/>
          <w:highlight w:val="none"/>
        </w:rPr>
        <w:t>他项权证</w:t>
      </w:r>
      <w:r>
        <w:rPr>
          <w:rFonts w:hint="eastAsia" w:ascii="仿宋" w:hAnsi="仿宋" w:eastAsia="仿宋"/>
          <w:snapToGrid w:val="0"/>
          <w:color w:val="auto"/>
          <w:highlight w:val="none"/>
        </w:rPr>
        <w:t>》复印件；</w:t>
      </w:r>
    </w:p>
    <w:p>
      <w:pPr>
        <w:adjustRightInd w:val="0"/>
        <w:snapToGrid w:val="0"/>
        <w:spacing w:line="460" w:lineRule="exact"/>
        <w:ind w:firstLine="480" w:firstLineChars="200"/>
        <w:rPr>
          <w:rFonts w:hint="eastAsia" w:ascii="仿宋" w:hAnsi="仿宋" w:eastAsia="仿宋"/>
          <w:snapToGrid w:val="0"/>
          <w:color w:val="auto"/>
          <w:highlight w:val="none"/>
          <w:lang w:eastAsia="zh-CN"/>
        </w:rPr>
      </w:pPr>
      <w:r>
        <w:rPr>
          <w:rFonts w:hint="eastAsia" w:ascii="仿宋" w:hAnsi="仿宋" w:eastAsia="仿宋"/>
          <w:snapToGrid w:val="0"/>
          <w:color w:val="auto"/>
          <w:highlight w:val="none"/>
        </w:rPr>
        <w:t>4、《</w:t>
      </w:r>
      <w:r>
        <w:rPr>
          <w:rFonts w:hint="eastAsia" w:ascii="仿宋" w:hAnsi="仿宋" w:eastAsia="仿宋"/>
          <w:snapToGrid w:val="0"/>
          <w:color w:val="auto"/>
          <w:highlight w:val="none"/>
          <w:lang w:eastAsia="zh-CN"/>
        </w:rPr>
        <w:t>贵州省施秉县人民法院民事判决书</w:t>
      </w:r>
      <w:r>
        <w:rPr>
          <w:rFonts w:hint="eastAsia" w:ascii="仿宋" w:hAnsi="仿宋" w:eastAsia="仿宋"/>
          <w:snapToGrid w:val="0"/>
          <w:color w:val="auto"/>
          <w:highlight w:val="none"/>
        </w:rPr>
        <w:t>》复印件</w:t>
      </w:r>
      <w:r>
        <w:rPr>
          <w:rFonts w:hint="eastAsia" w:ascii="仿宋" w:hAnsi="仿宋" w:eastAsia="仿宋"/>
          <w:snapToGrid w:val="0"/>
          <w:color w:val="auto"/>
          <w:highlight w:val="none"/>
          <w:lang w:eastAsia="zh-CN"/>
        </w:rPr>
        <w:t>；</w:t>
      </w:r>
    </w:p>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lang w:val="en-US" w:eastAsia="zh-CN"/>
        </w:rPr>
        <w:t>5、《</w:t>
      </w:r>
      <w:r>
        <w:rPr>
          <w:rFonts w:hint="eastAsia" w:ascii="仿宋" w:hAnsi="仿宋" w:eastAsia="仿宋"/>
          <w:snapToGrid w:val="0"/>
          <w:color w:val="auto"/>
          <w:highlight w:val="none"/>
          <w:lang w:eastAsia="zh-CN"/>
        </w:rPr>
        <w:t>贵州省施秉县人民法院执行裁定书</w:t>
      </w:r>
      <w:r>
        <w:rPr>
          <w:rFonts w:hint="eastAsia" w:ascii="仿宋" w:hAnsi="仿宋" w:eastAsia="仿宋"/>
          <w:snapToGrid w:val="0"/>
          <w:color w:val="auto"/>
          <w:highlight w:val="none"/>
          <w:lang w:val="en-US" w:eastAsia="zh-CN"/>
        </w:rPr>
        <w:t>》</w:t>
      </w:r>
      <w:r>
        <w:rPr>
          <w:rFonts w:hint="eastAsia" w:ascii="仿宋" w:hAnsi="仿宋" w:eastAsia="仿宋"/>
          <w:snapToGrid w:val="0"/>
          <w:color w:val="auto"/>
          <w:highlight w:val="none"/>
        </w:rPr>
        <w:t>复印件。</w:t>
      </w:r>
    </w:p>
    <w:bookmarkEnd w:id="122"/>
    <w:p>
      <w:pPr>
        <w:adjustRightInd w:val="0"/>
        <w:spacing w:line="460" w:lineRule="exact"/>
        <w:ind w:firstLine="480" w:firstLineChars="200"/>
        <w:rPr>
          <w:rFonts w:ascii="仿宋" w:hAnsi="仿宋" w:eastAsia="仿宋"/>
          <w:color w:val="auto"/>
          <w:highlight w:val="none"/>
        </w:rPr>
      </w:pPr>
      <w:r>
        <w:rPr>
          <w:rFonts w:hint="eastAsia" w:ascii="仿宋" w:hAnsi="仿宋" w:eastAsia="仿宋"/>
          <w:color w:val="auto"/>
          <w:highlight w:val="none"/>
        </w:rPr>
        <w:t>（四）估价机构和注册房地产估价师掌握和搜集的估价所需资料</w:t>
      </w:r>
    </w:p>
    <w:p>
      <w:pPr>
        <w:adjustRightInd w:val="0"/>
        <w:spacing w:line="460" w:lineRule="exact"/>
        <w:ind w:firstLine="480" w:firstLineChars="200"/>
        <w:rPr>
          <w:rFonts w:ascii="仿宋" w:hAnsi="仿宋" w:eastAsia="仿宋"/>
          <w:color w:val="auto"/>
          <w:highlight w:val="none"/>
        </w:rPr>
      </w:pPr>
      <w:r>
        <w:rPr>
          <w:rFonts w:hint="eastAsia" w:ascii="仿宋" w:hAnsi="仿宋" w:eastAsia="仿宋"/>
          <w:color w:val="auto"/>
          <w:highlight w:val="none"/>
        </w:rPr>
        <w:t>1、估价人员实地查勘及估价机构和估价人员掌握的相关信息资料；</w:t>
      </w:r>
    </w:p>
    <w:p>
      <w:pPr>
        <w:adjustRightInd w:val="0"/>
        <w:spacing w:line="460" w:lineRule="exact"/>
        <w:ind w:firstLine="480" w:firstLineChars="200"/>
        <w:rPr>
          <w:rFonts w:ascii="仿宋" w:hAnsi="仿宋" w:eastAsia="仿宋"/>
          <w:color w:val="auto"/>
          <w:highlight w:val="none"/>
        </w:rPr>
      </w:pPr>
      <w:r>
        <w:rPr>
          <w:rFonts w:hint="eastAsia" w:ascii="仿宋" w:hAnsi="仿宋" w:eastAsia="仿宋"/>
          <w:color w:val="auto"/>
          <w:highlight w:val="none"/>
        </w:rPr>
        <w:t>2、估价对象所在区位的房地产市场状况、同类房地产市场交易等数据资料。</w:t>
      </w:r>
    </w:p>
    <w:p>
      <w:pPr>
        <w:pStyle w:val="4"/>
        <w:widowControl w:val="0"/>
        <w:spacing w:before="0" w:after="0" w:line="460" w:lineRule="exact"/>
        <w:jc w:val="both"/>
        <w:rPr>
          <w:rFonts w:ascii="仿宋" w:hAnsi="仿宋" w:eastAsia="仿宋" w:cs="宋体"/>
          <w:color w:val="auto"/>
          <w:sz w:val="24"/>
          <w:szCs w:val="24"/>
          <w:highlight w:val="none"/>
        </w:rPr>
      </w:pPr>
      <w:bookmarkStart w:id="123" w:name="_Toc7137"/>
      <w:r>
        <w:rPr>
          <w:rFonts w:hint="eastAsia" w:ascii="仿宋" w:hAnsi="仿宋" w:eastAsia="仿宋" w:cs="宋体"/>
          <w:color w:val="auto"/>
          <w:sz w:val="24"/>
          <w:szCs w:val="24"/>
          <w:highlight w:val="none"/>
        </w:rPr>
        <w:t>九、估价方法</w:t>
      </w:r>
      <w:bookmarkEnd w:id="114"/>
      <w:bookmarkEnd w:id="115"/>
      <w:bookmarkEnd w:id="116"/>
      <w:bookmarkEnd w:id="117"/>
      <w:bookmarkEnd w:id="118"/>
      <w:bookmarkEnd w:id="119"/>
      <w:bookmarkEnd w:id="120"/>
      <w:bookmarkEnd w:id="121"/>
      <w:bookmarkEnd w:id="123"/>
    </w:p>
    <w:p>
      <w:pPr>
        <w:spacing w:line="460" w:lineRule="exact"/>
        <w:ind w:firstLine="482" w:firstLineChars="200"/>
        <w:rPr>
          <w:rFonts w:ascii="仿宋" w:hAnsi="仿宋" w:eastAsia="仿宋"/>
          <w:b/>
          <w:color w:val="auto"/>
          <w:highlight w:val="none"/>
        </w:rPr>
      </w:pPr>
      <w:bookmarkStart w:id="124" w:name="_Toc2251"/>
      <w:bookmarkStart w:id="125" w:name="_Toc28727"/>
      <w:bookmarkStart w:id="126" w:name="_Toc14702"/>
      <w:bookmarkStart w:id="127" w:name="_Toc28335"/>
      <w:bookmarkStart w:id="128" w:name="_Toc383001819"/>
      <w:bookmarkStart w:id="129" w:name="_Toc28910"/>
      <w:bookmarkStart w:id="130" w:name="_Toc21291"/>
      <w:bookmarkStart w:id="131" w:name="_Toc27392"/>
      <w:r>
        <w:rPr>
          <w:rFonts w:hint="eastAsia" w:ascii="仿宋" w:hAnsi="仿宋" w:eastAsia="仿宋"/>
          <w:b/>
          <w:color w:val="auto"/>
          <w:highlight w:val="none"/>
        </w:rPr>
        <w:t>（一）估价方法选择</w:t>
      </w:r>
    </w:p>
    <w:p>
      <w:pPr>
        <w:autoSpaceDE w:val="0"/>
        <w:autoSpaceDN w:val="0"/>
        <w:adjustRightInd w:val="0"/>
        <w:spacing w:line="460" w:lineRule="exact"/>
        <w:ind w:firstLine="480"/>
        <w:rPr>
          <w:rFonts w:ascii="仿宋" w:hAnsi="仿宋" w:eastAsia="仿宋" w:cs="仿宋"/>
          <w:color w:val="auto"/>
          <w:highlight w:val="none"/>
        </w:rPr>
      </w:pPr>
      <w:r>
        <w:rPr>
          <w:rFonts w:hint="eastAsia" w:ascii="仿宋" w:hAnsi="仿宋" w:eastAsia="仿宋"/>
          <w:color w:val="auto"/>
          <w:highlight w:val="none"/>
        </w:rPr>
        <w:t>根据GB/T50291-2015《房地产估价规范》，估价方法通常有比较法、成本法、收益法、假设开发法、以及基准地价修正法等其他估价方法。根据估价委托人提供的资料、估价目的和估价对象特点，估价人员在认真分析所掌握的资料并进行了实地查勘，针对本次估价对象为住宅</w:t>
      </w:r>
      <w:r>
        <w:rPr>
          <w:rFonts w:hint="eastAsia" w:ascii="仿宋" w:hAnsi="仿宋" w:eastAsia="仿宋" w:cs="仿宋"/>
          <w:color w:val="auto"/>
          <w:highlight w:val="none"/>
        </w:rPr>
        <w:t>用途房地产，结合对房地产估价的方法进行适应性分析后，确定采用比较法作为本次估价方法。</w:t>
      </w:r>
    </w:p>
    <w:p>
      <w:pPr>
        <w:widowControl w:val="0"/>
        <w:autoSpaceDE w:val="0"/>
        <w:autoSpaceDN w:val="0"/>
        <w:adjustRightInd w:val="0"/>
        <w:spacing w:line="460" w:lineRule="exact"/>
        <w:ind w:left="480"/>
        <w:jc w:val="both"/>
        <w:rPr>
          <w:rFonts w:ascii="仿宋" w:hAnsi="仿宋" w:eastAsia="仿宋" w:cs="仿宋"/>
          <w:color w:val="auto"/>
          <w:highlight w:val="none"/>
        </w:rPr>
      </w:pPr>
      <w:r>
        <w:rPr>
          <w:rFonts w:hint="eastAsia" w:ascii="仿宋" w:hAnsi="仿宋" w:eastAsia="仿宋" w:cs="仿宋"/>
          <w:color w:val="auto"/>
          <w:highlight w:val="none"/>
        </w:rPr>
        <w:t>（二）估价方法定义</w:t>
      </w:r>
    </w:p>
    <w:p>
      <w:pPr>
        <w:adjustRightInd w:val="0"/>
        <w:spacing w:line="440" w:lineRule="exact"/>
        <w:ind w:firstLine="480" w:firstLineChars="200"/>
        <w:rPr>
          <w:rFonts w:ascii="仿宋" w:hAnsi="仿宋" w:eastAsia="仿宋"/>
          <w:color w:val="auto"/>
          <w:highlight w:val="none"/>
        </w:rPr>
      </w:pPr>
      <w:r>
        <w:rPr>
          <w:rFonts w:hint="eastAsia" w:ascii="仿宋" w:hAnsi="仿宋" w:eastAsia="仿宋"/>
          <w:color w:val="auto"/>
          <w:highlight w:val="none"/>
        </w:rPr>
        <w:t>比较法是依据替代原则，将估价对象与在价值时点近期交易的类似房地产进行比较，并对这些房地产的成交价值进行交易情况、交易日期、区域个别等因素进行比较修正，以此估算估价对象的客观合理价值或价值的方法。</w:t>
      </w:r>
    </w:p>
    <w:p>
      <w:pPr>
        <w:autoSpaceDE w:val="0"/>
        <w:autoSpaceDN w:val="0"/>
        <w:adjustRightInd w:val="0"/>
        <w:spacing w:line="460" w:lineRule="exact"/>
        <w:ind w:firstLine="480"/>
        <w:rPr>
          <w:rFonts w:ascii="仿宋" w:hAnsi="仿宋" w:eastAsia="仿宋" w:cs="仿宋"/>
          <w:color w:val="auto"/>
          <w:highlight w:val="none"/>
        </w:rPr>
      </w:pPr>
      <w:r>
        <w:rPr>
          <w:rFonts w:hint="eastAsia" w:ascii="仿宋" w:hAnsi="仿宋" w:eastAsia="仿宋" w:cs="仿宋"/>
          <w:color w:val="auto"/>
          <w:highlight w:val="none"/>
        </w:rPr>
        <w:t>（三）估价参数及测算过程</w:t>
      </w:r>
    </w:p>
    <w:p>
      <w:pPr>
        <w:autoSpaceDE w:val="0"/>
        <w:autoSpaceDN w:val="0"/>
        <w:adjustRightInd w:val="0"/>
        <w:spacing w:line="460" w:lineRule="exact"/>
        <w:ind w:firstLine="480"/>
        <w:rPr>
          <w:rFonts w:ascii="仿宋" w:hAnsi="仿宋" w:eastAsia="仿宋"/>
          <w:color w:val="auto"/>
          <w:highlight w:val="none"/>
        </w:rPr>
      </w:pPr>
      <w:r>
        <w:rPr>
          <w:rFonts w:hint="eastAsia" w:ascii="仿宋" w:hAnsi="仿宋" w:eastAsia="仿宋"/>
          <w:color w:val="auto"/>
          <w:highlight w:val="none"/>
        </w:rPr>
        <w:t>比较法：在估价对象的同一供需圈内根据估价目的，选择与估价对象房地产相似、交易方式适合、成交日期与价值时点相近、成交价格尽量为正常价格的三个相类似的房地产作为可比实例，各可比实例的成交价格分别为</w:t>
      </w:r>
      <w:r>
        <w:rPr>
          <w:rFonts w:hint="eastAsia" w:ascii="仿宋" w:hAnsi="仿宋" w:eastAsia="仿宋"/>
          <w:color w:val="auto"/>
          <w:highlight w:val="none"/>
          <w:lang w:eastAsia="zh-CN"/>
        </w:rPr>
        <w:t>3546</w:t>
      </w:r>
      <w:r>
        <w:rPr>
          <w:rFonts w:hint="eastAsia" w:ascii="仿宋" w:hAnsi="仿宋" w:eastAsia="仿宋"/>
          <w:color w:val="auto"/>
          <w:highlight w:val="none"/>
        </w:rPr>
        <w:t>元/㎡、</w:t>
      </w:r>
      <w:r>
        <w:rPr>
          <w:rFonts w:hint="eastAsia" w:ascii="仿宋" w:hAnsi="仿宋" w:eastAsia="仿宋"/>
          <w:color w:val="auto"/>
          <w:highlight w:val="none"/>
          <w:lang w:eastAsia="zh-CN"/>
        </w:rPr>
        <w:t>3941</w:t>
      </w:r>
      <w:r>
        <w:rPr>
          <w:rFonts w:hint="eastAsia" w:ascii="仿宋" w:hAnsi="仿宋" w:eastAsia="仿宋"/>
          <w:color w:val="auto"/>
          <w:highlight w:val="none"/>
        </w:rPr>
        <w:t>元/㎡、</w:t>
      </w:r>
      <w:r>
        <w:rPr>
          <w:rFonts w:hint="eastAsia" w:ascii="仿宋" w:hAnsi="仿宋" w:eastAsia="仿宋"/>
          <w:color w:val="auto"/>
          <w:highlight w:val="none"/>
          <w:lang w:eastAsia="zh-CN"/>
        </w:rPr>
        <w:t>3679</w:t>
      </w:r>
      <w:r>
        <w:rPr>
          <w:rFonts w:hint="eastAsia" w:ascii="仿宋" w:hAnsi="仿宋" w:eastAsia="仿宋"/>
          <w:color w:val="auto"/>
          <w:highlight w:val="none"/>
        </w:rPr>
        <w:t>元/㎡，在建立比较基础后价格的基础上，进行了交易情况修正、市场状况和房地产状况调整后采用算术平均值得出估价对象的比较价值为</w:t>
      </w:r>
      <w:r>
        <w:rPr>
          <w:rFonts w:hint="eastAsia" w:ascii="仿宋" w:hAnsi="仿宋" w:eastAsia="仿宋"/>
          <w:color w:val="auto"/>
          <w:highlight w:val="none"/>
          <w:lang w:eastAsia="zh-CN"/>
        </w:rPr>
        <w:t>3950</w:t>
      </w:r>
      <w:r>
        <w:rPr>
          <w:rFonts w:hint="eastAsia" w:ascii="仿宋" w:hAnsi="仿宋" w:eastAsia="仿宋"/>
          <w:color w:val="auto"/>
          <w:highlight w:val="none"/>
        </w:rPr>
        <w:t>元/㎡。</w:t>
      </w:r>
    </w:p>
    <w:p>
      <w:pPr>
        <w:pStyle w:val="4"/>
        <w:widowControl w:val="0"/>
        <w:spacing w:before="0" w:after="0" w:line="460" w:lineRule="exact"/>
        <w:jc w:val="both"/>
        <w:rPr>
          <w:rFonts w:ascii="仿宋" w:hAnsi="仿宋" w:eastAsia="仿宋" w:cs="宋体"/>
          <w:color w:val="auto"/>
          <w:sz w:val="24"/>
          <w:szCs w:val="24"/>
          <w:highlight w:val="none"/>
        </w:rPr>
      </w:pPr>
      <w:bookmarkStart w:id="132" w:name="_Toc26019"/>
      <w:r>
        <w:rPr>
          <w:rFonts w:hint="eastAsia" w:ascii="仿宋" w:hAnsi="仿宋" w:eastAsia="仿宋" w:cs="宋体"/>
          <w:color w:val="auto"/>
          <w:sz w:val="24"/>
          <w:szCs w:val="24"/>
          <w:highlight w:val="none"/>
        </w:rPr>
        <w:t>十、估价结果</w:t>
      </w:r>
      <w:bookmarkEnd w:id="124"/>
      <w:bookmarkEnd w:id="125"/>
      <w:bookmarkEnd w:id="126"/>
      <w:bookmarkEnd w:id="127"/>
      <w:bookmarkEnd w:id="128"/>
      <w:bookmarkEnd w:id="129"/>
      <w:bookmarkEnd w:id="130"/>
      <w:bookmarkEnd w:id="131"/>
      <w:bookmarkEnd w:id="132"/>
    </w:p>
    <w:p>
      <w:pPr>
        <w:adjustRightInd w:val="0"/>
        <w:snapToGrid w:val="0"/>
        <w:spacing w:line="460" w:lineRule="exact"/>
        <w:ind w:firstLine="480" w:firstLineChars="200"/>
        <w:rPr>
          <w:rFonts w:ascii="仿宋" w:hAnsi="仿宋" w:eastAsia="仿宋"/>
          <w:snapToGrid w:val="0"/>
          <w:color w:val="auto"/>
          <w:highlight w:val="none"/>
        </w:rPr>
      </w:pPr>
      <w:bookmarkStart w:id="133" w:name="_Toc734"/>
      <w:bookmarkStart w:id="134" w:name="_Toc3139"/>
      <w:bookmarkStart w:id="135" w:name="_Toc9682"/>
      <w:bookmarkStart w:id="136" w:name="_Toc383001820"/>
      <w:bookmarkStart w:id="137" w:name="_Toc7884"/>
      <w:bookmarkStart w:id="138" w:name="_Toc16249"/>
      <w:bookmarkStart w:id="139" w:name="_Toc13198"/>
      <w:bookmarkStart w:id="140" w:name="_Toc32325"/>
      <w:r>
        <w:rPr>
          <w:rFonts w:hint="eastAsia" w:ascii="仿宋" w:hAnsi="仿宋" w:eastAsia="仿宋"/>
          <w:color w:val="auto"/>
          <w:highlight w:val="none"/>
        </w:rPr>
        <w:t>估价人员在认真分析估价委托人提供的资料，以及注册房地产估价师实地查勘和市场调查取得资料的基础上，对影响估价对象房地产价值的因素进行了综合分析，采用比较法测算，确定估价对象于价值时点</w:t>
      </w:r>
      <w:r>
        <w:rPr>
          <w:rFonts w:hint="eastAsia" w:ascii="仿宋" w:hAnsi="仿宋" w:eastAsia="仿宋"/>
          <w:color w:val="auto"/>
          <w:highlight w:val="none"/>
          <w:lang w:eastAsia="zh-CN"/>
        </w:rPr>
        <w:t>2019年8月26日</w:t>
      </w:r>
      <w:r>
        <w:rPr>
          <w:rFonts w:hint="eastAsia" w:ascii="仿宋" w:hAnsi="仿宋" w:eastAsia="仿宋"/>
          <w:color w:val="auto"/>
          <w:highlight w:val="none"/>
        </w:rPr>
        <w:t>的市场价值为</w:t>
      </w:r>
      <w:r>
        <w:rPr>
          <w:rFonts w:hint="eastAsia" w:ascii="仿宋" w:hAnsi="仿宋" w:eastAsia="仿宋" w:cs="仿宋"/>
          <w:b/>
          <w:color w:val="auto"/>
          <w:highlight w:val="none"/>
          <w:lang w:val="zh-CN"/>
        </w:rPr>
        <w:t>RMB</w:t>
      </w:r>
      <w:r>
        <w:rPr>
          <w:rFonts w:hint="eastAsia" w:ascii="仿宋" w:hAnsi="仿宋" w:eastAsia="仿宋"/>
          <w:color w:val="auto"/>
          <w:highlight w:val="none"/>
        </w:rPr>
        <w:t>：</w:t>
      </w:r>
      <w:r>
        <w:rPr>
          <w:rFonts w:hint="eastAsia" w:ascii="仿宋" w:hAnsi="仿宋" w:eastAsia="仿宋" w:cs="仿宋"/>
          <w:b/>
          <w:color w:val="auto"/>
          <w:highlight w:val="none"/>
          <w:lang w:eastAsia="zh-CN"/>
        </w:rPr>
        <w:t>91.01万</w:t>
      </w:r>
      <w:r>
        <w:rPr>
          <w:rFonts w:hint="eastAsia" w:ascii="仿宋" w:hAnsi="仿宋" w:eastAsia="仿宋" w:cs="仿宋"/>
          <w:b/>
          <w:color w:val="auto"/>
          <w:highlight w:val="none"/>
        </w:rPr>
        <w:t>元</w:t>
      </w:r>
      <w:r>
        <w:rPr>
          <w:rFonts w:hint="eastAsia" w:ascii="仿宋" w:hAnsi="仿宋" w:eastAsia="仿宋" w:cs="仿宋"/>
          <w:color w:val="auto"/>
          <w:highlight w:val="none"/>
        </w:rPr>
        <w:t>（大写：人民币</w:t>
      </w:r>
      <w:r>
        <w:rPr>
          <w:rFonts w:hint="eastAsia" w:ascii="仿宋" w:hAnsi="仿宋" w:eastAsia="仿宋" w:cs="仿宋"/>
          <w:b/>
          <w:color w:val="auto"/>
          <w:highlight w:val="none"/>
          <w:lang w:eastAsia="zh-CN"/>
        </w:rPr>
        <w:t>玖拾壹万零壹佰</w:t>
      </w:r>
      <w:r>
        <w:rPr>
          <w:rFonts w:hint="eastAsia" w:ascii="仿宋" w:hAnsi="仿宋" w:eastAsia="仿宋" w:cs="仿宋"/>
          <w:bCs/>
          <w:color w:val="auto"/>
          <w:highlight w:val="none"/>
        </w:rPr>
        <w:t>元整）</w:t>
      </w:r>
      <w:r>
        <w:rPr>
          <w:rFonts w:hint="eastAsia" w:ascii="仿宋" w:hAnsi="仿宋" w:eastAsia="仿宋"/>
          <w:snapToGrid w:val="0"/>
          <w:color w:val="auto"/>
          <w:highlight w:val="none"/>
        </w:rPr>
        <w:t>。具体结果详见下表：</w:t>
      </w:r>
    </w:p>
    <w:p>
      <w:pPr>
        <w:autoSpaceDE w:val="0"/>
        <w:autoSpaceDN w:val="0"/>
        <w:adjustRightInd w:val="0"/>
        <w:spacing w:line="440" w:lineRule="exact"/>
        <w:ind w:firstLine="482"/>
        <w:jc w:val="center"/>
        <w:rPr>
          <w:rFonts w:ascii="仿宋" w:hAnsi="仿宋" w:eastAsia="仿宋"/>
          <w:bCs/>
          <w:color w:val="auto"/>
          <w:szCs w:val="21"/>
          <w:highlight w:val="none"/>
        </w:rPr>
      </w:pPr>
      <w:r>
        <w:rPr>
          <w:rFonts w:hint="eastAsia" w:ascii="仿宋" w:hAnsi="仿宋" w:eastAsia="仿宋"/>
          <w:bCs/>
          <w:color w:val="auto"/>
          <w:szCs w:val="21"/>
          <w:highlight w:val="none"/>
          <w:lang w:val="zh-CN"/>
        </w:rPr>
        <w:t xml:space="preserve">                      估价结果汇总表</w:t>
      </w:r>
      <w:r>
        <w:rPr>
          <w:rFonts w:hint="eastAsia" w:ascii="仿宋" w:hAnsi="仿宋" w:eastAsia="仿宋"/>
          <w:bCs/>
          <w:color w:val="auto"/>
          <w:szCs w:val="21"/>
          <w:highlight w:val="none"/>
        </w:rPr>
        <w:t xml:space="preserve">                     币种：人民币</w:t>
      </w:r>
    </w:p>
    <w:tbl>
      <w:tblPr>
        <w:tblStyle w:val="14"/>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6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exact"/>
        </w:trPr>
        <w:tc>
          <w:tcPr>
            <w:tcW w:w="3085" w:type="dxa"/>
            <w:tcBorders>
              <w:tl2br w:val="single" w:color="auto" w:sz="4" w:space="0"/>
            </w:tcBorders>
          </w:tcPr>
          <w:p>
            <w:pPr>
              <w:autoSpaceDE w:val="0"/>
              <w:autoSpaceDN w:val="0"/>
              <w:adjustRightInd w:val="0"/>
              <w:snapToGrid w:val="0"/>
              <w:spacing w:line="240" w:lineRule="atLeast"/>
              <w:ind w:firstLine="1620" w:firstLineChars="900"/>
              <w:rPr>
                <w:rFonts w:ascii="仿宋" w:hAnsi="仿宋" w:eastAsia="仿宋"/>
                <w:color w:val="auto"/>
                <w:sz w:val="18"/>
                <w:szCs w:val="18"/>
                <w:highlight w:val="none"/>
                <w:lang w:val="zh-CN"/>
              </w:rPr>
            </w:pPr>
            <w:r>
              <w:rPr>
                <w:rFonts w:hint="eastAsia" w:ascii="仿宋" w:hAnsi="仿宋" w:eastAsia="仿宋"/>
                <w:color w:val="auto"/>
                <w:sz w:val="18"/>
                <w:szCs w:val="18"/>
                <w:highlight w:val="none"/>
                <w:lang w:val="zh-CN"/>
              </w:rPr>
              <w:t>估价方法</w:t>
            </w:r>
          </w:p>
          <w:p>
            <w:pPr>
              <w:autoSpaceDE w:val="0"/>
              <w:autoSpaceDN w:val="0"/>
              <w:adjustRightInd w:val="0"/>
              <w:snapToGrid w:val="0"/>
              <w:spacing w:line="240" w:lineRule="atLeast"/>
              <w:rPr>
                <w:rFonts w:ascii="仿宋" w:hAnsi="仿宋" w:eastAsia="仿宋"/>
                <w:color w:val="auto"/>
                <w:sz w:val="18"/>
                <w:szCs w:val="18"/>
                <w:highlight w:val="none"/>
                <w:lang w:val="zh-CN"/>
              </w:rPr>
            </w:pPr>
            <w:r>
              <w:rPr>
                <w:rFonts w:hint="eastAsia" w:ascii="仿宋" w:hAnsi="仿宋" w:eastAsia="仿宋"/>
                <w:color w:val="auto"/>
                <w:sz w:val="18"/>
                <w:szCs w:val="18"/>
                <w:highlight w:val="none"/>
                <w:lang w:val="zh-CN"/>
              </w:rPr>
              <w:t>相关结果</w:t>
            </w:r>
          </w:p>
        </w:tc>
        <w:tc>
          <w:tcPr>
            <w:tcW w:w="6543" w:type="dxa"/>
            <w:vAlign w:val="center"/>
          </w:tcPr>
          <w:p>
            <w:pPr>
              <w:autoSpaceDE w:val="0"/>
              <w:autoSpaceDN w:val="0"/>
              <w:adjustRightInd w:val="0"/>
              <w:snapToGrid w:val="0"/>
              <w:spacing w:line="240" w:lineRule="atLeast"/>
              <w:jc w:val="center"/>
              <w:rPr>
                <w:rFonts w:ascii="仿宋" w:hAnsi="仿宋" w:eastAsia="仿宋"/>
                <w:color w:val="auto"/>
                <w:sz w:val="18"/>
                <w:szCs w:val="18"/>
                <w:highlight w:val="none"/>
                <w:lang w:val="zh-CN"/>
              </w:rPr>
            </w:pPr>
            <w:r>
              <w:rPr>
                <w:rFonts w:hint="eastAsia" w:ascii="仿宋" w:hAnsi="仿宋" w:eastAsia="仿宋"/>
                <w:color w:val="auto"/>
                <w:sz w:val="18"/>
                <w:szCs w:val="18"/>
                <w:highlight w:val="none"/>
              </w:rPr>
              <w:t>比较法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085" w:type="dxa"/>
            <w:vAlign w:val="center"/>
          </w:tcPr>
          <w:p>
            <w:pPr>
              <w:autoSpaceDE w:val="0"/>
              <w:autoSpaceDN w:val="0"/>
              <w:adjustRightInd w:val="0"/>
              <w:snapToGrid w:val="0"/>
              <w:spacing w:line="240" w:lineRule="atLeast"/>
              <w:jc w:val="center"/>
              <w:rPr>
                <w:rFonts w:ascii="仿宋" w:hAnsi="仿宋" w:eastAsia="仿宋"/>
                <w:color w:val="auto"/>
                <w:sz w:val="18"/>
                <w:szCs w:val="18"/>
                <w:highlight w:val="none"/>
                <w:lang w:val="zh-CN"/>
              </w:rPr>
            </w:pPr>
            <w:r>
              <w:rPr>
                <w:rFonts w:hint="eastAsia" w:ascii="仿宋" w:hAnsi="仿宋" w:eastAsia="仿宋"/>
                <w:color w:val="auto"/>
                <w:sz w:val="18"/>
                <w:szCs w:val="18"/>
                <w:highlight w:val="none"/>
                <w:lang w:val="zh-CN"/>
              </w:rPr>
              <w:t>市场单价（元</w:t>
            </w:r>
            <w:r>
              <w:rPr>
                <w:rFonts w:hint="eastAsia" w:ascii="仿宋" w:hAnsi="仿宋" w:eastAsia="仿宋"/>
                <w:color w:val="auto"/>
                <w:sz w:val="18"/>
                <w:szCs w:val="18"/>
                <w:highlight w:val="none"/>
              </w:rPr>
              <w:t>/</w:t>
            </w:r>
            <w:r>
              <w:rPr>
                <w:rFonts w:hint="eastAsia" w:ascii="仿宋" w:hAnsi="仿宋" w:eastAsia="仿宋"/>
                <w:color w:val="auto"/>
                <w:sz w:val="18"/>
                <w:szCs w:val="18"/>
                <w:highlight w:val="none"/>
                <w:lang w:val="zh-CN"/>
              </w:rPr>
              <w:t>㎡）</w:t>
            </w:r>
          </w:p>
        </w:tc>
        <w:tc>
          <w:tcPr>
            <w:tcW w:w="6543" w:type="dxa"/>
            <w:vAlign w:val="center"/>
          </w:tcPr>
          <w:p>
            <w:pPr>
              <w:autoSpaceDE w:val="0"/>
              <w:autoSpaceDN w:val="0"/>
              <w:adjustRightInd w:val="0"/>
              <w:snapToGrid w:val="0"/>
              <w:spacing w:line="240" w:lineRule="atLeast"/>
              <w:jc w:val="center"/>
              <w:rPr>
                <w:rFonts w:ascii="仿宋" w:hAnsi="仿宋" w:eastAsia="仿宋"/>
                <w:color w:val="auto"/>
                <w:sz w:val="18"/>
                <w:szCs w:val="18"/>
                <w:highlight w:val="none"/>
              </w:rPr>
            </w:pPr>
            <w:bookmarkStart w:id="187" w:name="_GoBack"/>
            <w:r>
              <w:rPr>
                <w:rFonts w:hint="eastAsia" w:ascii="仿宋" w:hAnsi="仿宋" w:eastAsia="仿宋"/>
                <w:color w:val="auto"/>
                <w:sz w:val="18"/>
                <w:szCs w:val="18"/>
                <w:highlight w:val="none"/>
                <w:lang w:eastAsia="zh-CN"/>
              </w:rPr>
              <w:t>3950</w:t>
            </w:r>
            <w:bookmarkEnd w:id="18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085" w:type="dxa"/>
            <w:vAlign w:val="center"/>
          </w:tcPr>
          <w:p>
            <w:pPr>
              <w:autoSpaceDE w:val="0"/>
              <w:autoSpaceDN w:val="0"/>
              <w:adjustRightInd w:val="0"/>
              <w:snapToGrid w:val="0"/>
              <w:spacing w:line="240" w:lineRule="atLeast"/>
              <w:jc w:val="center"/>
              <w:rPr>
                <w:rFonts w:ascii="仿宋" w:hAnsi="仿宋" w:eastAsia="仿宋"/>
                <w:color w:val="auto"/>
                <w:sz w:val="18"/>
                <w:szCs w:val="18"/>
                <w:highlight w:val="none"/>
                <w:lang w:val="zh-CN"/>
              </w:rPr>
            </w:pPr>
            <w:r>
              <w:rPr>
                <w:rFonts w:hint="eastAsia" w:ascii="仿宋" w:hAnsi="仿宋" w:eastAsia="仿宋"/>
                <w:color w:val="auto"/>
                <w:sz w:val="18"/>
                <w:szCs w:val="18"/>
                <w:highlight w:val="none"/>
                <w:lang w:val="zh-CN"/>
              </w:rPr>
              <w:t>建筑面积（㎡）</w:t>
            </w:r>
          </w:p>
        </w:tc>
        <w:tc>
          <w:tcPr>
            <w:tcW w:w="6543" w:type="dxa"/>
            <w:vAlign w:val="center"/>
          </w:tcPr>
          <w:p>
            <w:pPr>
              <w:autoSpaceDE w:val="0"/>
              <w:autoSpaceDN w:val="0"/>
              <w:adjustRightInd w:val="0"/>
              <w:snapToGrid w:val="0"/>
              <w:spacing w:line="240" w:lineRule="atLeast"/>
              <w:jc w:val="center"/>
              <w:rPr>
                <w:rFonts w:hint="eastAsia" w:ascii="仿宋" w:hAnsi="仿宋" w:eastAsia="仿宋"/>
                <w:color w:val="auto"/>
                <w:sz w:val="18"/>
                <w:szCs w:val="18"/>
                <w:highlight w:val="none"/>
                <w:lang w:eastAsia="zh-CN"/>
              </w:rPr>
            </w:pPr>
            <w:r>
              <w:rPr>
                <w:rFonts w:hint="eastAsia" w:ascii="仿宋" w:hAnsi="仿宋" w:eastAsia="仿宋"/>
                <w:color w:val="auto"/>
                <w:sz w:val="18"/>
                <w:szCs w:val="18"/>
                <w:highlight w:val="none"/>
                <w:lang w:eastAsia="zh-CN"/>
              </w:rPr>
              <w:t>230.28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085" w:type="dxa"/>
            <w:vAlign w:val="center"/>
          </w:tcPr>
          <w:p>
            <w:pPr>
              <w:autoSpaceDE w:val="0"/>
              <w:autoSpaceDN w:val="0"/>
              <w:adjustRightInd w:val="0"/>
              <w:snapToGrid w:val="0"/>
              <w:spacing w:line="240" w:lineRule="atLeast"/>
              <w:jc w:val="center"/>
              <w:rPr>
                <w:rFonts w:ascii="仿宋" w:hAnsi="仿宋" w:eastAsia="仿宋"/>
                <w:b/>
                <w:color w:val="auto"/>
                <w:sz w:val="18"/>
                <w:szCs w:val="18"/>
                <w:highlight w:val="none"/>
                <w:lang w:val="zh-CN"/>
              </w:rPr>
            </w:pPr>
            <w:r>
              <w:rPr>
                <w:rFonts w:hint="eastAsia" w:ascii="仿宋" w:hAnsi="仿宋" w:eastAsia="仿宋"/>
                <w:b/>
                <w:color w:val="auto"/>
                <w:sz w:val="18"/>
                <w:szCs w:val="18"/>
                <w:highlight w:val="none"/>
                <w:lang w:val="zh-CN"/>
              </w:rPr>
              <w:t>市场价值（</w:t>
            </w:r>
            <w:r>
              <w:rPr>
                <w:rFonts w:hint="eastAsia" w:ascii="仿宋" w:hAnsi="仿宋" w:eastAsia="仿宋"/>
                <w:b/>
                <w:color w:val="auto"/>
                <w:sz w:val="18"/>
                <w:szCs w:val="18"/>
                <w:highlight w:val="none"/>
              </w:rPr>
              <w:t>元</w:t>
            </w:r>
            <w:r>
              <w:rPr>
                <w:rFonts w:hint="eastAsia" w:ascii="仿宋" w:hAnsi="仿宋" w:eastAsia="仿宋"/>
                <w:b/>
                <w:color w:val="auto"/>
                <w:sz w:val="18"/>
                <w:szCs w:val="18"/>
                <w:highlight w:val="none"/>
                <w:lang w:val="zh-CN"/>
              </w:rPr>
              <w:t>）</w:t>
            </w:r>
          </w:p>
        </w:tc>
        <w:tc>
          <w:tcPr>
            <w:tcW w:w="6543" w:type="dxa"/>
            <w:vAlign w:val="center"/>
          </w:tcPr>
          <w:p>
            <w:pPr>
              <w:autoSpaceDE w:val="0"/>
              <w:autoSpaceDN w:val="0"/>
              <w:adjustRightInd w:val="0"/>
              <w:snapToGrid w:val="0"/>
              <w:spacing w:line="240" w:lineRule="atLeast"/>
              <w:jc w:val="center"/>
              <w:rPr>
                <w:rFonts w:ascii="仿宋" w:hAnsi="仿宋" w:eastAsia="仿宋"/>
                <w:b/>
                <w:color w:val="auto"/>
                <w:sz w:val="18"/>
                <w:szCs w:val="18"/>
                <w:highlight w:val="none"/>
              </w:rPr>
            </w:pPr>
            <w:r>
              <w:rPr>
                <w:rFonts w:hint="eastAsia" w:ascii="仿宋" w:hAnsi="仿宋" w:eastAsia="仿宋"/>
                <w:b/>
                <w:color w:val="auto"/>
                <w:sz w:val="18"/>
                <w:szCs w:val="18"/>
                <w:highlight w:val="none"/>
                <w:lang w:eastAsia="zh-CN"/>
              </w:rPr>
              <w:t>91.01万</w:t>
            </w:r>
          </w:p>
        </w:tc>
      </w:tr>
    </w:tbl>
    <w:p>
      <w:pPr>
        <w:pStyle w:val="4"/>
        <w:widowControl w:val="0"/>
        <w:numPr>
          <w:ilvl w:val="0"/>
          <w:numId w:val="2"/>
        </w:numPr>
        <w:spacing w:before="0" w:after="0" w:line="460" w:lineRule="exact"/>
        <w:jc w:val="both"/>
        <w:rPr>
          <w:rFonts w:ascii="仿宋" w:hAnsi="仿宋" w:eastAsia="仿宋" w:cs="宋体"/>
          <w:color w:val="auto"/>
          <w:sz w:val="24"/>
          <w:szCs w:val="24"/>
          <w:highlight w:val="none"/>
        </w:rPr>
      </w:pPr>
      <w:bookmarkStart w:id="141" w:name="_Toc2969"/>
      <w:r>
        <w:rPr>
          <w:rFonts w:hint="eastAsia" w:ascii="仿宋" w:hAnsi="仿宋" w:eastAsia="仿宋" w:cs="宋体"/>
          <w:color w:val="auto"/>
          <w:sz w:val="24"/>
          <w:szCs w:val="24"/>
          <w:highlight w:val="none"/>
        </w:rPr>
        <w:t>注册房地产估价师</w:t>
      </w:r>
      <w:bookmarkEnd w:id="133"/>
      <w:bookmarkEnd w:id="134"/>
      <w:bookmarkEnd w:id="135"/>
      <w:bookmarkEnd w:id="136"/>
      <w:bookmarkEnd w:id="137"/>
      <w:bookmarkEnd w:id="138"/>
      <w:bookmarkEnd w:id="139"/>
      <w:bookmarkEnd w:id="140"/>
      <w:bookmarkEnd w:id="141"/>
    </w:p>
    <w:tbl>
      <w:tblPr>
        <w:tblStyle w:val="14"/>
        <w:tblW w:w="9628" w:type="dxa"/>
        <w:jc w:val="center"/>
        <w:tblInd w:w="0" w:type="dxa"/>
        <w:tblLayout w:type="fixed"/>
        <w:tblCellMar>
          <w:top w:w="0" w:type="dxa"/>
          <w:left w:w="108" w:type="dxa"/>
          <w:bottom w:w="0" w:type="dxa"/>
          <w:right w:w="108" w:type="dxa"/>
        </w:tblCellMar>
      </w:tblPr>
      <w:tblGrid>
        <w:gridCol w:w="2017"/>
        <w:gridCol w:w="2176"/>
        <w:gridCol w:w="2704"/>
        <w:gridCol w:w="2731"/>
      </w:tblGrid>
      <w:tr>
        <w:tblPrEx>
          <w:tblLayout w:type="fixed"/>
          <w:tblCellMar>
            <w:top w:w="0" w:type="dxa"/>
            <w:left w:w="108" w:type="dxa"/>
            <w:bottom w:w="0" w:type="dxa"/>
            <w:right w:w="108" w:type="dxa"/>
          </w:tblCellMar>
        </w:tblPrEx>
        <w:trPr>
          <w:trHeight w:val="791" w:hRule="atLeast"/>
          <w:jc w:val="center"/>
        </w:trPr>
        <w:tc>
          <w:tcPr>
            <w:tcW w:w="2017" w:type="dxa"/>
            <w:tcBorders>
              <w:top w:val="single" w:color="auto" w:sz="4" w:space="0"/>
              <w:left w:val="single" w:color="auto" w:sz="4" w:space="0"/>
              <w:bottom w:val="single" w:color="auto" w:sz="4" w:space="0"/>
              <w:right w:val="single" w:color="auto" w:sz="4" w:space="0"/>
            </w:tcBorders>
            <w:vAlign w:val="center"/>
          </w:tcPr>
          <w:p>
            <w:pPr>
              <w:adjustRightInd w:val="0"/>
              <w:spacing w:line="460" w:lineRule="exact"/>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姓   名</w:t>
            </w:r>
          </w:p>
        </w:tc>
        <w:tc>
          <w:tcPr>
            <w:tcW w:w="2176"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注  册  号</w:t>
            </w:r>
          </w:p>
        </w:tc>
        <w:tc>
          <w:tcPr>
            <w:tcW w:w="2704"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签   名</w:t>
            </w:r>
          </w:p>
        </w:tc>
        <w:tc>
          <w:tcPr>
            <w:tcW w:w="2731"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签名日期</w:t>
            </w:r>
          </w:p>
        </w:tc>
      </w:tr>
      <w:tr>
        <w:tblPrEx>
          <w:tblLayout w:type="fixed"/>
          <w:tblCellMar>
            <w:top w:w="0" w:type="dxa"/>
            <w:left w:w="108" w:type="dxa"/>
            <w:bottom w:w="0" w:type="dxa"/>
            <w:right w:w="108" w:type="dxa"/>
          </w:tblCellMar>
        </w:tblPrEx>
        <w:trPr>
          <w:trHeight w:val="1080" w:hRule="atLeast"/>
          <w:jc w:val="center"/>
        </w:trPr>
        <w:tc>
          <w:tcPr>
            <w:tcW w:w="2017" w:type="dxa"/>
            <w:tcBorders>
              <w:top w:val="single" w:color="auto" w:sz="4" w:space="0"/>
              <w:left w:val="single" w:color="auto" w:sz="4" w:space="0"/>
              <w:bottom w:val="single" w:color="auto" w:sz="4" w:space="0"/>
              <w:right w:val="single" w:color="auto" w:sz="4" w:space="0"/>
            </w:tcBorders>
            <w:vAlign w:val="center"/>
          </w:tcPr>
          <w:p>
            <w:pPr>
              <w:adjustRightInd w:val="0"/>
              <w:spacing w:line="460" w:lineRule="exact"/>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杨再成</w:t>
            </w:r>
          </w:p>
        </w:tc>
        <w:tc>
          <w:tcPr>
            <w:tcW w:w="2176"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5220190057</w:t>
            </w:r>
          </w:p>
        </w:tc>
        <w:tc>
          <w:tcPr>
            <w:tcW w:w="2704"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ascii="仿宋" w:hAnsi="仿宋" w:eastAsia="仿宋"/>
                <w:color w:val="auto"/>
                <w:sz w:val="21"/>
                <w:szCs w:val="21"/>
                <w:highlight w:val="none"/>
              </w:rPr>
            </w:pPr>
          </w:p>
        </w:tc>
        <w:tc>
          <w:tcPr>
            <w:tcW w:w="2731"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2019年8月30日</w:t>
            </w:r>
          </w:p>
        </w:tc>
      </w:tr>
      <w:tr>
        <w:tblPrEx>
          <w:tblLayout w:type="fixed"/>
          <w:tblCellMar>
            <w:top w:w="0" w:type="dxa"/>
            <w:left w:w="108" w:type="dxa"/>
            <w:bottom w:w="0" w:type="dxa"/>
            <w:right w:w="108" w:type="dxa"/>
          </w:tblCellMar>
        </w:tblPrEx>
        <w:trPr>
          <w:trHeight w:val="1169" w:hRule="atLeast"/>
          <w:jc w:val="center"/>
        </w:trPr>
        <w:tc>
          <w:tcPr>
            <w:tcW w:w="2017" w:type="dxa"/>
            <w:tcBorders>
              <w:top w:val="single" w:color="auto" w:sz="4" w:space="0"/>
              <w:left w:val="single" w:color="auto" w:sz="4" w:space="0"/>
              <w:bottom w:val="single" w:color="auto" w:sz="4" w:space="0"/>
              <w:right w:val="single" w:color="auto" w:sz="4" w:space="0"/>
            </w:tcBorders>
            <w:vAlign w:val="center"/>
          </w:tcPr>
          <w:p>
            <w:pPr>
              <w:adjustRightInd w:val="0"/>
              <w:spacing w:line="460" w:lineRule="exact"/>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王  飞</w:t>
            </w:r>
          </w:p>
        </w:tc>
        <w:tc>
          <w:tcPr>
            <w:tcW w:w="2176"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5220190022</w:t>
            </w:r>
          </w:p>
        </w:tc>
        <w:tc>
          <w:tcPr>
            <w:tcW w:w="2704"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ascii="仿宋" w:hAnsi="仿宋" w:eastAsia="仿宋"/>
                <w:color w:val="auto"/>
                <w:sz w:val="21"/>
                <w:szCs w:val="21"/>
                <w:highlight w:val="none"/>
              </w:rPr>
            </w:pPr>
          </w:p>
        </w:tc>
        <w:tc>
          <w:tcPr>
            <w:tcW w:w="2731" w:type="dxa"/>
            <w:tcBorders>
              <w:top w:val="single" w:color="auto" w:sz="4" w:space="0"/>
              <w:left w:val="nil"/>
              <w:bottom w:val="single" w:color="auto" w:sz="4" w:space="0"/>
              <w:right w:val="single" w:color="auto" w:sz="4" w:space="0"/>
            </w:tcBorders>
            <w:vAlign w:val="center"/>
          </w:tcPr>
          <w:p>
            <w:pPr>
              <w:adjustRightInd w:val="0"/>
              <w:spacing w:line="460" w:lineRule="exact"/>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2019年8月30日</w:t>
            </w:r>
          </w:p>
        </w:tc>
      </w:tr>
    </w:tbl>
    <w:p>
      <w:pPr>
        <w:pStyle w:val="4"/>
        <w:widowControl w:val="0"/>
        <w:spacing w:before="0" w:after="0" w:line="460" w:lineRule="exact"/>
        <w:jc w:val="both"/>
        <w:rPr>
          <w:rFonts w:ascii="仿宋" w:hAnsi="仿宋" w:eastAsia="仿宋" w:cs="宋体"/>
          <w:color w:val="auto"/>
          <w:sz w:val="24"/>
          <w:szCs w:val="24"/>
          <w:highlight w:val="none"/>
        </w:rPr>
      </w:pPr>
      <w:bookmarkStart w:id="142" w:name="_Toc5363"/>
      <w:bookmarkStart w:id="143" w:name="_Toc383001821"/>
      <w:r>
        <w:rPr>
          <w:rFonts w:hint="eastAsia" w:ascii="仿宋" w:hAnsi="仿宋" w:eastAsia="仿宋" w:cs="宋体"/>
          <w:color w:val="auto"/>
          <w:sz w:val="24"/>
          <w:szCs w:val="24"/>
          <w:highlight w:val="none"/>
        </w:rPr>
        <w:t>十二、估价作业期</w:t>
      </w:r>
      <w:bookmarkEnd w:id="142"/>
    </w:p>
    <w:p>
      <w:pPr>
        <w:adjustRightInd w:val="0"/>
        <w:snapToGrid w:val="0"/>
        <w:spacing w:line="460" w:lineRule="exact"/>
        <w:ind w:firstLine="480" w:firstLineChars="200"/>
        <w:rPr>
          <w:rFonts w:hint="eastAsia"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2019年8月</w:t>
      </w:r>
      <w:r>
        <w:rPr>
          <w:rFonts w:hint="eastAsia" w:ascii="仿宋" w:hAnsi="仿宋" w:eastAsia="仿宋"/>
          <w:snapToGrid w:val="0"/>
          <w:color w:val="auto"/>
          <w:highlight w:val="none"/>
          <w:lang w:val="en-US" w:eastAsia="zh-CN"/>
        </w:rPr>
        <w:t>9</w:t>
      </w:r>
      <w:r>
        <w:rPr>
          <w:rFonts w:hint="eastAsia" w:ascii="仿宋" w:hAnsi="仿宋" w:eastAsia="仿宋"/>
          <w:snapToGrid w:val="0"/>
          <w:color w:val="auto"/>
          <w:highlight w:val="none"/>
          <w:lang w:eastAsia="zh-CN"/>
        </w:rPr>
        <w:t>日</w:t>
      </w:r>
      <w:r>
        <w:rPr>
          <w:rFonts w:hint="eastAsia" w:ascii="仿宋" w:hAnsi="仿宋" w:eastAsia="仿宋"/>
          <w:snapToGrid w:val="0"/>
          <w:color w:val="auto"/>
          <w:highlight w:val="none"/>
        </w:rPr>
        <w:t>至</w:t>
      </w:r>
      <w:r>
        <w:rPr>
          <w:rFonts w:hint="eastAsia" w:ascii="仿宋" w:hAnsi="仿宋" w:eastAsia="仿宋"/>
          <w:snapToGrid w:val="0"/>
          <w:color w:val="auto"/>
          <w:highlight w:val="none"/>
          <w:lang w:eastAsia="zh-CN"/>
        </w:rPr>
        <w:t>2019年8月30日</w:t>
      </w:r>
    </w:p>
    <w:bookmarkEnd w:id="143"/>
    <w:p>
      <w:pPr>
        <w:pStyle w:val="4"/>
        <w:widowControl w:val="0"/>
        <w:spacing w:before="0" w:after="0" w:line="460" w:lineRule="exact"/>
        <w:jc w:val="both"/>
        <w:rPr>
          <w:rFonts w:ascii="仿宋" w:hAnsi="仿宋" w:eastAsia="仿宋" w:cs="宋体"/>
          <w:color w:val="auto"/>
          <w:sz w:val="24"/>
          <w:szCs w:val="24"/>
          <w:highlight w:val="none"/>
        </w:rPr>
      </w:pPr>
      <w:bookmarkStart w:id="144" w:name="_Toc12752"/>
      <w:bookmarkStart w:id="145" w:name="_Toc14438"/>
      <w:r>
        <w:rPr>
          <w:rFonts w:hint="eastAsia" w:ascii="仿宋" w:hAnsi="仿宋" w:eastAsia="仿宋" w:cs="宋体"/>
          <w:color w:val="auto"/>
          <w:sz w:val="24"/>
          <w:szCs w:val="24"/>
          <w:highlight w:val="none"/>
        </w:rPr>
        <w:t>十三、实地查勘期</w:t>
      </w:r>
      <w:bookmarkEnd w:id="144"/>
      <w:bookmarkEnd w:id="145"/>
    </w:p>
    <w:p>
      <w:pPr>
        <w:adjustRightInd w:val="0"/>
        <w:snapToGrid w:val="0"/>
        <w:spacing w:line="460" w:lineRule="exact"/>
        <w:ind w:firstLine="480" w:firstLineChars="200"/>
        <w:rPr>
          <w:rFonts w:hint="eastAsia"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2019年8月26日</w:t>
      </w:r>
    </w:p>
    <w:p>
      <w:pPr>
        <w:pStyle w:val="4"/>
        <w:widowControl w:val="0"/>
        <w:spacing w:before="0" w:after="0" w:line="460" w:lineRule="exact"/>
        <w:jc w:val="both"/>
        <w:rPr>
          <w:rFonts w:ascii="仿宋" w:hAnsi="仿宋" w:eastAsia="仿宋" w:cs="宋体"/>
          <w:color w:val="auto"/>
          <w:sz w:val="24"/>
          <w:szCs w:val="24"/>
          <w:highlight w:val="none"/>
        </w:rPr>
      </w:pPr>
      <w:bookmarkStart w:id="146" w:name="_Toc7661"/>
      <w:bookmarkStart w:id="147" w:name="_Toc7805"/>
      <w:bookmarkStart w:id="148" w:name="_Toc15356"/>
      <w:bookmarkStart w:id="149" w:name="_Toc383001822"/>
      <w:r>
        <w:rPr>
          <w:rFonts w:hint="eastAsia" w:ascii="仿宋" w:hAnsi="仿宋" w:eastAsia="仿宋" w:cs="宋体"/>
          <w:color w:val="auto"/>
          <w:sz w:val="24"/>
          <w:szCs w:val="24"/>
          <w:highlight w:val="none"/>
        </w:rPr>
        <w:t>十四、估价报告使用期限</w:t>
      </w:r>
      <w:bookmarkEnd w:id="146"/>
      <w:bookmarkEnd w:id="147"/>
      <w:bookmarkEnd w:id="148"/>
    </w:p>
    <w:bookmarkEnd w:id="149"/>
    <w:p>
      <w:pPr>
        <w:adjustRightInd w:val="0"/>
        <w:snapToGrid w:val="0"/>
        <w:spacing w:line="460" w:lineRule="exact"/>
        <w:ind w:firstLine="480" w:firstLineChars="200"/>
        <w:rPr>
          <w:rFonts w:ascii="仿宋" w:hAnsi="仿宋" w:eastAsia="仿宋"/>
          <w:snapToGrid w:val="0"/>
          <w:color w:val="auto"/>
          <w:highlight w:val="none"/>
        </w:rPr>
      </w:pPr>
      <w:r>
        <w:rPr>
          <w:rFonts w:hint="eastAsia" w:ascii="仿宋" w:hAnsi="仿宋" w:eastAsia="仿宋"/>
          <w:snapToGrid w:val="0"/>
          <w:color w:val="auto"/>
          <w:highlight w:val="none"/>
        </w:rPr>
        <w:t>估价报告使用期限，从估价报告出具之日起计，不得超过1年；注册房地产估价师预计估价对象的市场价格将有较大变化的，可以适当缩短估价报告使用期限。本次估价自估价报告出具之日起有效期为壹年。</w:t>
      </w:r>
    </w:p>
    <w:p>
      <w:pPr>
        <w:adjustRightInd w:val="0"/>
        <w:snapToGrid w:val="0"/>
        <w:spacing w:line="460" w:lineRule="exact"/>
        <w:ind w:firstLine="480" w:firstLineChars="200"/>
        <w:rPr>
          <w:rFonts w:ascii="仿宋" w:hAnsi="仿宋" w:eastAsia="仿宋"/>
          <w:snapToGrid w:val="0"/>
          <w:color w:val="auto"/>
          <w:highlight w:val="none"/>
        </w:rPr>
      </w:pPr>
    </w:p>
    <w:p>
      <w:pPr>
        <w:adjustRightInd w:val="0"/>
        <w:snapToGrid w:val="0"/>
        <w:spacing w:line="460" w:lineRule="exact"/>
        <w:ind w:firstLine="6480" w:firstLineChars="2700"/>
        <w:rPr>
          <w:rFonts w:hint="eastAsia" w:ascii="仿宋" w:hAnsi="仿宋" w:eastAsia="仿宋"/>
          <w:snapToGrid w:val="0"/>
          <w:color w:val="auto"/>
          <w:highlight w:val="none"/>
          <w:lang w:eastAsia="zh-CN"/>
        </w:rPr>
      </w:pPr>
      <w:r>
        <w:rPr>
          <w:rFonts w:hint="eastAsia" w:ascii="仿宋" w:hAnsi="仿宋" w:eastAsia="仿宋"/>
          <w:snapToGrid w:val="0"/>
          <w:color w:val="auto"/>
          <w:highlight w:val="none"/>
          <w:lang w:eastAsia="zh-CN"/>
        </w:rPr>
        <w:t>二〇一九年八月三十日</w:t>
      </w:r>
    </w:p>
    <w:p>
      <w:pPr>
        <w:rPr>
          <w:b/>
          <w:bCs/>
          <w:color w:val="auto"/>
          <w:sz w:val="32"/>
          <w:szCs w:val="32"/>
          <w:highlight w:val="none"/>
        </w:rPr>
      </w:pPr>
      <w:bookmarkStart w:id="150" w:name="_Toc383001831"/>
      <w:bookmarkStart w:id="151" w:name="_Toc32727"/>
      <w:bookmarkStart w:id="152" w:name="_Toc11408"/>
      <w:bookmarkStart w:id="153" w:name="_Toc467"/>
      <w:bookmarkStart w:id="154" w:name="_Toc2436"/>
      <w:bookmarkStart w:id="155" w:name="_Toc647"/>
      <w:bookmarkStart w:id="156" w:name="_Toc23140"/>
      <w:bookmarkStart w:id="157" w:name="_Toc12521"/>
      <w:bookmarkStart w:id="158" w:name="_Toc28148"/>
      <w:r>
        <w:rPr>
          <w:color w:val="auto"/>
          <w:sz w:val="32"/>
          <w:szCs w:val="32"/>
          <w:highlight w:val="none"/>
        </w:rPr>
        <w:br w:type="page"/>
      </w:r>
    </w:p>
    <w:p>
      <w:pPr>
        <w:pStyle w:val="3"/>
        <w:spacing w:before="0" w:after="0" w:line="420" w:lineRule="auto"/>
        <w:jc w:val="center"/>
        <w:rPr>
          <w:rFonts w:ascii="宋体" w:hAnsi="宋体" w:eastAsia="宋体" w:cs="宋体"/>
          <w:color w:val="auto"/>
          <w:kern w:val="0"/>
          <w:sz w:val="32"/>
          <w:szCs w:val="32"/>
          <w:highlight w:val="none"/>
        </w:rPr>
      </w:pPr>
      <w:bookmarkStart w:id="159" w:name="_Toc8733"/>
      <w:r>
        <w:rPr>
          <w:rFonts w:hint="eastAsia" w:ascii="宋体" w:hAnsi="宋体" w:eastAsia="宋体" w:cs="宋体"/>
          <w:color w:val="auto"/>
          <w:kern w:val="0"/>
          <w:sz w:val="32"/>
          <w:szCs w:val="32"/>
          <w:highlight w:val="none"/>
        </w:rPr>
        <w:t>附   件</w:t>
      </w:r>
      <w:bookmarkEnd w:id="150"/>
      <w:bookmarkEnd w:id="151"/>
      <w:bookmarkEnd w:id="152"/>
      <w:bookmarkEnd w:id="153"/>
      <w:bookmarkEnd w:id="154"/>
      <w:bookmarkEnd w:id="155"/>
      <w:bookmarkEnd w:id="156"/>
      <w:bookmarkEnd w:id="157"/>
      <w:bookmarkEnd w:id="158"/>
      <w:bookmarkEnd w:id="159"/>
    </w:p>
    <w:p>
      <w:pPr>
        <w:pStyle w:val="9"/>
        <w:tabs>
          <w:tab w:val="right" w:leader="dot" w:pos="9402"/>
        </w:tabs>
        <w:spacing w:line="360" w:lineRule="auto"/>
        <w:ind w:left="1440" w:leftChars="600"/>
        <w:rPr>
          <w:rFonts w:hint="eastAsia" w:ascii="仿宋" w:hAnsi="仿宋" w:eastAsia="仿宋" w:cs="仿宋"/>
          <w:color w:val="auto"/>
          <w:kern w:val="2"/>
          <w:highlight w:val="none"/>
        </w:rPr>
      </w:pPr>
      <w:bookmarkStart w:id="160" w:name="_Hlk513747777"/>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"_Toc435630639"</w:instrText>
      </w:r>
      <w:r>
        <w:rPr>
          <w:rFonts w:hint="eastAsia" w:ascii="仿宋" w:hAnsi="仿宋" w:eastAsia="仿宋" w:cs="仿宋"/>
          <w:color w:val="auto"/>
          <w:highlight w:val="none"/>
        </w:rPr>
        <w:fldChar w:fldCharType="separate"/>
      </w:r>
      <w:r>
        <w:rPr>
          <w:rStyle w:val="13"/>
          <w:rFonts w:hint="eastAsia" w:ascii="仿宋" w:hAnsi="仿宋" w:eastAsia="仿宋" w:cs="仿宋"/>
          <w:color w:val="auto"/>
          <w:kern w:val="44"/>
          <w:highlight w:val="none"/>
          <w:u w:val="none"/>
        </w:rPr>
        <w:t>一、</w:t>
      </w:r>
      <w:r>
        <w:rPr>
          <w:rStyle w:val="13"/>
          <w:rFonts w:hint="eastAsia" w:ascii="仿宋" w:hAnsi="仿宋" w:eastAsia="仿宋" w:cs="仿宋"/>
          <w:color w:val="auto"/>
          <w:kern w:val="44"/>
          <w:highlight w:val="none"/>
          <w:u w:val="none"/>
        </w:rPr>
        <w:fldChar w:fldCharType="end"/>
      </w:r>
      <w:r>
        <w:rPr>
          <w:rFonts w:hint="eastAsia" w:ascii="仿宋" w:hAnsi="仿宋" w:eastAsia="仿宋" w:cs="仿宋"/>
          <w:color w:val="auto"/>
          <w:highlight w:val="none"/>
        </w:rPr>
        <w:t>评估委托书</w:t>
      </w:r>
    </w:p>
    <w:p>
      <w:pPr>
        <w:pStyle w:val="9"/>
        <w:tabs>
          <w:tab w:val="right" w:leader="dot" w:pos="9402"/>
        </w:tabs>
        <w:spacing w:line="360" w:lineRule="auto"/>
        <w:ind w:left="1440" w:leftChars="600"/>
        <w:rPr>
          <w:rFonts w:hint="eastAsia" w:ascii="仿宋" w:hAnsi="仿宋" w:eastAsia="仿宋" w:cs="仿宋"/>
          <w:snapToGrid w:val="0"/>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"_Toc435630640" </w:instrText>
      </w:r>
      <w:r>
        <w:rPr>
          <w:rFonts w:hint="eastAsia" w:ascii="仿宋" w:hAnsi="仿宋" w:eastAsia="仿宋" w:cs="仿宋"/>
          <w:color w:val="auto"/>
          <w:highlight w:val="none"/>
        </w:rPr>
        <w:fldChar w:fldCharType="separate"/>
      </w:r>
      <w:r>
        <w:rPr>
          <w:rStyle w:val="13"/>
          <w:rFonts w:hint="eastAsia" w:ascii="仿宋" w:hAnsi="仿宋" w:eastAsia="仿宋" w:cs="仿宋"/>
          <w:color w:val="auto"/>
          <w:highlight w:val="none"/>
          <w:u w:val="none"/>
        </w:rPr>
        <w:t>二、</w:t>
      </w:r>
      <w:r>
        <w:rPr>
          <w:rStyle w:val="13"/>
          <w:rFonts w:hint="eastAsia" w:ascii="仿宋" w:hAnsi="仿宋" w:eastAsia="仿宋" w:cs="仿宋"/>
          <w:color w:val="auto"/>
          <w:highlight w:val="none"/>
          <w:u w:val="none"/>
        </w:rPr>
        <w:fldChar w:fldCharType="end"/>
      </w:r>
      <w:r>
        <w:rPr>
          <w:rFonts w:hint="eastAsia" w:ascii="仿宋" w:hAnsi="仿宋" w:eastAsia="仿宋" w:cs="仿宋"/>
          <w:color w:val="auto"/>
          <w:highlight w:val="none"/>
        </w:rPr>
        <w:t>估价对象《</w:t>
      </w:r>
      <w:r>
        <w:rPr>
          <w:rFonts w:hint="eastAsia" w:ascii="仿宋" w:hAnsi="仿宋" w:eastAsia="仿宋" w:cs="仿宋"/>
          <w:color w:val="auto"/>
          <w:highlight w:val="none"/>
          <w:lang w:eastAsia="zh-CN"/>
        </w:rPr>
        <w:t>个人不动产信息情况证明</w:t>
      </w:r>
      <w:r>
        <w:rPr>
          <w:rFonts w:hint="eastAsia" w:ascii="仿宋" w:hAnsi="仿宋" w:eastAsia="仿宋" w:cs="仿宋"/>
          <w:color w:val="auto"/>
          <w:highlight w:val="none"/>
        </w:rPr>
        <w:t>》复印件</w:t>
      </w:r>
    </w:p>
    <w:p>
      <w:pPr>
        <w:pStyle w:val="9"/>
        <w:numPr>
          <w:ilvl w:val="0"/>
          <w:numId w:val="3"/>
        </w:numPr>
        <w:tabs>
          <w:tab w:val="right" w:leader="dot" w:pos="9402"/>
        </w:tabs>
        <w:spacing w:line="360" w:lineRule="auto"/>
        <w:ind w:left="1440" w:leftChars="600"/>
        <w:rPr>
          <w:rFonts w:hint="eastAsia" w:ascii="仿宋" w:hAnsi="仿宋" w:eastAsia="仿宋" w:cs="仿宋"/>
          <w:color w:val="auto"/>
          <w:highlight w:val="none"/>
        </w:rPr>
      </w:pPr>
      <w:r>
        <w:rPr>
          <w:rFonts w:hint="eastAsia" w:ascii="仿宋" w:hAnsi="仿宋" w:eastAsia="仿宋" w:cs="仿宋"/>
          <w:color w:val="auto"/>
          <w:highlight w:val="none"/>
        </w:rPr>
        <w:t>估价对象《</w:t>
      </w:r>
      <w:r>
        <w:rPr>
          <w:rFonts w:hint="eastAsia" w:ascii="仿宋" w:hAnsi="仿宋" w:eastAsia="仿宋" w:cs="仿宋"/>
          <w:snapToGrid w:val="0"/>
          <w:color w:val="auto"/>
          <w:highlight w:val="none"/>
          <w:lang w:eastAsia="zh-CN"/>
        </w:rPr>
        <w:t>房屋他项权证</w:t>
      </w:r>
      <w:r>
        <w:rPr>
          <w:rFonts w:hint="eastAsia" w:ascii="仿宋" w:hAnsi="仿宋" w:eastAsia="仿宋" w:cs="仿宋"/>
          <w:color w:val="auto"/>
          <w:highlight w:val="none"/>
        </w:rPr>
        <w:t>》复印件</w:t>
      </w:r>
    </w:p>
    <w:p>
      <w:pPr>
        <w:numPr>
          <w:ilvl w:val="0"/>
          <w:numId w:val="3"/>
        </w:numPr>
        <w:spacing w:line="360" w:lineRule="auto"/>
        <w:ind w:left="1440" w:leftChars="60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估价对象《</w:t>
      </w:r>
      <w:r>
        <w:rPr>
          <w:rFonts w:hint="eastAsia" w:ascii="仿宋" w:hAnsi="仿宋" w:eastAsia="仿宋" w:cs="仿宋"/>
          <w:snapToGrid w:val="0"/>
          <w:color w:val="auto"/>
          <w:highlight w:val="none"/>
          <w:lang w:eastAsia="zh-CN"/>
        </w:rPr>
        <w:t>贵州省施秉县人民法院民事判决书</w:t>
      </w:r>
      <w:r>
        <w:rPr>
          <w:rFonts w:hint="eastAsia" w:ascii="仿宋" w:hAnsi="仿宋" w:eastAsia="仿宋" w:cs="仿宋"/>
          <w:color w:val="auto"/>
          <w:highlight w:val="none"/>
        </w:rPr>
        <w:t>》复印件</w:t>
      </w:r>
    </w:p>
    <w:p>
      <w:pPr>
        <w:numPr>
          <w:ilvl w:val="0"/>
          <w:numId w:val="3"/>
        </w:numPr>
        <w:spacing w:line="360" w:lineRule="auto"/>
        <w:ind w:left="1440" w:leftChars="60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估价对象《</w:t>
      </w:r>
      <w:r>
        <w:rPr>
          <w:rFonts w:hint="eastAsia" w:ascii="仿宋" w:hAnsi="仿宋" w:eastAsia="仿宋" w:cs="仿宋"/>
          <w:snapToGrid w:val="0"/>
          <w:color w:val="auto"/>
          <w:highlight w:val="none"/>
          <w:lang w:eastAsia="zh-CN"/>
        </w:rPr>
        <w:t>贵州省施秉县人民法院执行裁定书</w:t>
      </w:r>
      <w:r>
        <w:rPr>
          <w:rFonts w:hint="eastAsia" w:ascii="仿宋" w:hAnsi="仿宋" w:eastAsia="仿宋" w:cs="仿宋"/>
          <w:color w:val="auto"/>
          <w:highlight w:val="none"/>
        </w:rPr>
        <w:t>》复印件</w:t>
      </w:r>
    </w:p>
    <w:p>
      <w:pPr>
        <w:numPr>
          <w:ilvl w:val="0"/>
          <w:numId w:val="3"/>
        </w:numPr>
        <w:spacing w:line="360" w:lineRule="auto"/>
        <w:ind w:left="1440" w:leftChars="60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估价对象区域位置图</w:t>
      </w:r>
    </w:p>
    <w:p>
      <w:pPr>
        <w:numPr>
          <w:ilvl w:val="0"/>
          <w:numId w:val="3"/>
        </w:numPr>
        <w:spacing w:line="360" w:lineRule="auto"/>
        <w:ind w:left="1440" w:leftChars="60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估价对象现状照片</w:t>
      </w:r>
    </w:p>
    <w:p>
      <w:pPr>
        <w:numPr>
          <w:ilvl w:val="0"/>
          <w:numId w:val="3"/>
        </w:numPr>
        <w:spacing w:line="360" w:lineRule="auto"/>
        <w:ind w:left="1440" w:leftChars="60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估价机构总公司营业执照复印件</w:t>
      </w:r>
    </w:p>
    <w:p>
      <w:pPr>
        <w:numPr>
          <w:ilvl w:val="0"/>
          <w:numId w:val="3"/>
        </w:numPr>
        <w:spacing w:line="360" w:lineRule="auto"/>
        <w:ind w:left="1440" w:leftChars="60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估价机构分公司营业执照复印件</w:t>
      </w:r>
    </w:p>
    <w:p>
      <w:pPr>
        <w:numPr>
          <w:ilvl w:val="0"/>
          <w:numId w:val="3"/>
        </w:numPr>
        <w:spacing w:line="360" w:lineRule="auto"/>
        <w:ind w:left="1440" w:leftChars="60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估价机构资质证书复印件</w:t>
      </w:r>
    </w:p>
    <w:p>
      <w:pPr>
        <w:numPr>
          <w:ilvl w:val="0"/>
          <w:numId w:val="3"/>
        </w:numPr>
        <w:spacing w:line="360" w:lineRule="auto"/>
        <w:ind w:left="1440" w:leftChars="60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注册估价师资格证书复印件</w:t>
      </w:r>
    </w:p>
    <w:p>
      <w:pPr>
        <w:numPr>
          <w:ilvl w:val="0"/>
          <w:numId w:val="0"/>
        </w:numPr>
        <w:spacing w:line="360" w:lineRule="auto"/>
        <w:ind w:leftChars="600"/>
        <w:rPr>
          <w:rStyle w:val="13"/>
          <w:rFonts w:ascii="仿宋" w:hAnsi="仿宋" w:eastAsia="仿宋"/>
          <w:color w:val="auto"/>
          <w:sz w:val="28"/>
          <w:szCs w:val="28"/>
          <w:highlight w:val="none"/>
          <w:u w:val="none"/>
        </w:rPr>
      </w:pPr>
    </w:p>
    <w:bookmarkEnd w:id="160"/>
    <w:p>
      <w:pPr>
        <w:spacing w:line="360" w:lineRule="auto"/>
        <w:rPr>
          <w:rStyle w:val="13"/>
          <w:rFonts w:ascii="仿宋" w:hAnsi="仿宋" w:eastAsia="仿宋"/>
          <w:color w:val="auto"/>
          <w:sz w:val="28"/>
          <w:szCs w:val="28"/>
          <w:highlight w:val="none"/>
          <w:u w:val="none"/>
        </w:rPr>
      </w:pPr>
    </w:p>
    <w:p>
      <w:pPr>
        <w:rPr>
          <w:rStyle w:val="13"/>
          <w:rFonts w:ascii="仿宋" w:hAnsi="仿宋" w:eastAsia="仿宋"/>
          <w:color w:val="auto"/>
          <w:sz w:val="28"/>
          <w:szCs w:val="28"/>
          <w:highlight w:val="none"/>
          <w:u w:val="none"/>
        </w:rPr>
      </w:pPr>
    </w:p>
    <w:p>
      <w:pPr>
        <w:ind w:firstLine="1960" w:firstLineChars="700"/>
        <w:rPr>
          <w:rFonts w:ascii="仿宋" w:hAnsi="仿宋" w:eastAsia="仿宋"/>
          <w:color w:val="auto"/>
          <w:sz w:val="28"/>
          <w:szCs w:val="28"/>
          <w:highlight w:val="none"/>
        </w:rPr>
      </w:pPr>
    </w:p>
    <w:p>
      <w:pPr>
        <w:ind w:firstLine="1960" w:firstLineChars="700"/>
        <w:rPr>
          <w:rFonts w:ascii="仿宋" w:hAnsi="仿宋" w:eastAsia="仿宋"/>
          <w:color w:val="auto"/>
          <w:sz w:val="28"/>
          <w:szCs w:val="28"/>
          <w:highlight w:val="none"/>
        </w:rPr>
      </w:pPr>
    </w:p>
    <w:p>
      <w:pPr>
        <w:ind w:firstLine="1960" w:firstLineChars="700"/>
        <w:rPr>
          <w:rFonts w:ascii="仿宋" w:hAnsi="仿宋" w:eastAsia="仿宋"/>
          <w:color w:val="auto"/>
          <w:sz w:val="28"/>
          <w:szCs w:val="28"/>
          <w:highlight w:val="none"/>
        </w:rPr>
      </w:pPr>
    </w:p>
    <w:p>
      <w:pPr>
        <w:ind w:firstLine="1960" w:firstLineChars="700"/>
        <w:rPr>
          <w:rFonts w:ascii="仿宋" w:hAnsi="仿宋" w:eastAsia="仿宋"/>
          <w:color w:val="auto"/>
          <w:sz w:val="28"/>
          <w:szCs w:val="28"/>
          <w:highlight w:val="none"/>
        </w:rPr>
      </w:pPr>
    </w:p>
    <w:p>
      <w:pPr>
        <w:ind w:firstLine="1960" w:firstLineChars="700"/>
        <w:rPr>
          <w:rFonts w:ascii="仿宋" w:hAnsi="仿宋" w:eastAsia="仿宋"/>
          <w:color w:val="auto"/>
          <w:sz w:val="28"/>
          <w:szCs w:val="28"/>
          <w:highlight w:val="none"/>
        </w:rPr>
      </w:pPr>
    </w:p>
    <w:p>
      <w:pPr>
        <w:ind w:firstLine="1960" w:firstLineChars="700"/>
        <w:rPr>
          <w:rFonts w:ascii="仿宋" w:hAnsi="仿宋" w:eastAsia="仿宋"/>
          <w:color w:val="auto"/>
          <w:sz w:val="28"/>
          <w:szCs w:val="28"/>
          <w:highlight w:val="none"/>
        </w:rPr>
      </w:pPr>
    </w:p>
    <w:p>
      <w:pPr>
        <w:ind w:firstLine="1960" w:firstLineChars="700"/>
        <w:rPr>
          <w:rFonts w:ascii="仿宋" w:hAnsi="仿宋" w:eastAsia="仿宋"/>
          <w:color w:val="auto"/>
          <w:sz w:val="28"/>
          <w:szCs w:val="28"/>
          <w:highlight w:val="none"/>
        </w:rPr>
      </w:pPr>
    </w:p>
    <w:p>
      <w:pPr>
        <w:ind w:firstLine="1960" w:firstLineChars="700"/>
        <w:rPr>
          <w:rFonts w:ascii="仿宋" w:hAnsi="仿宋" w:eastAsia="仿宋"/>
          <w:color w:val="auto"/>
          <w:sz w:val="28"/>
          <w:szCs w:val="28"/>
          <w:highlight w:val="none"/>
        </w:rPr>
      </w:pPr>
    </w:p>
    <w:p>
      <w:pPr>
        <w:ind w:firstLine="1960" w:firstLineChars="700"/>
        <w:rPr>
          <w:rFonts w:ascii="仿宋" w:hAnsi="仿宋" w:eastAsia="仿宋"/>
          <w:color w:val="auto"/>
          <w:sz w:val="28"/>
          <w:szCs w:val="28"/>
          <w:highlight w:val="none"/>
        </w:rPr>
      </w:pPr>
    </w:p>
    <w:p>
      <w:pPr>
        <w:widowControl w:val="0"/>
        <w:spacing w:line="460" w:lineRule="exact"/>
        <w:jc w:val="center"/>
        <w:rPr>
          <w:rFonts w:ascii="仿宋" w:hAnsi="仿宋" w:eastAsia="仿宋"/>
          <w:color w:val="auto"/>
          <w:highlight w:val="none"/>
        </w:rPr>
      </w:pPr>
      <w:r>
        <w:rPr>
          <w:rFonts w:hint="eastAsia" w:ascii="仿宋" w:hAnsi="仿宋" w:eastAsia="仿宋"/>
          <w:color w:val="auto"/>
          <w:highlight w:val="none"/>
        </w:rPr>
        <w:br w:type="page"/>
      </w:r>
    </w:p>
    <w:p>
      <w:pPr>
        <w:pStyle w:val="4"/>
        <w:widowControl w:val="0"/>
        <w:spacing w:before="0" w:after="0" w:line="460" w:lineRule="exact"/>
        <w:jc w:val="center"/>
        <w:rPr>
          <w:color w:val="auto"/>
          <w:highlight w:val="none"/>
        </w:rPr>
      </w:pPr>
      <w:bookmarkStart w:id="161" w:name="_Toc11520"/>
      <w:r>
        <w:rPr>
          <w:rFonts w:hint="eastAsia" w:ascii="仿宋" w:hAnsi="仿宋" w:eastAsia="仿宋" w:cs="宋体"/>
          <w:color w:val="auto"/>
          <w:sz w:val="24"/>
          <w:szCs w:val="24"/>
          <w:highlight w:val="none"/>
        </w:rPr>
        <w:t>一、评估委托书</w:t>
      </w:r>
      <w:bookmarkEnd w:id="161"/>
    </w:p>
    <w:p>
      <w:pPr>
        <w:rPr>
          <w:color w:val="auto"/>
          <w:highlight w:val="none"/>
        </w:rPr>
      </w:pPr>
      <w:bookmarkStart w:id="162" w:name="_Toc1567"/>
      <w:bookmarkStart w:id="163" w:name="_Toc471978266"/>
    </w:p>
    <w:p>
      <w:pPr>
        <w:rPr>
          <w:color w:val="auto"/>
          <w:highlight w:val="none"/>
        </w:rPr>
      </w:pPr>
      <w:r>
        <w:rPr>
          <w:rFonts w:hint="eastAsia"/>
          <w:color w:val="auto"/>
          <w:highlight w:val="none"/>
        </w:rPr>
        <w:drawing>
          <wp:inline distT="0" distB="0" distL="114300" distR="114300">
            <wp:extent cx="5524500" cy="7786370"/>
            <wp:effectExtent l="0" t="0" r="0" b="5080"/>
            <wp:docPr id="5" name="图片 5"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委托书"/>
                    <pic:cNvPicPr>
                      <a:picLocks noChangeAspect="1"/>
                    </pic:cNvPicPr>
                  </pic:nvPicPr>
                  <pic:blipFill>
                    <a:blip r:embed="rId10"/>
                    <a:stretch>
                      <a:fillRect/>
                    </a:stretch>
                  </pic:blipFill>
                  <pic:spPr>
                    <a:xfrm>
                      <a:off x="0" y="0"/>
                      <a:ext cx="5524500" cy="7786370"/>
                    </a:xfrm>
                    <a:prstGeom prst="rect">
                      <a:avLst/>
                    </a:prstGeom>
                  </pic:spPr>
                </pic:pic>
              </a:graphicData>
            </a:graphic>
          </wp:inline>
        </w:drawing>
      </w:r>
      <w:r>
        <w:rPr>
          <w:rFonts w:hint="eastAsia"/>
          <w:color w:val="auto"/>
          <w:highlight w:val="none"/>
        </w:rPr>
        <w:br w:type="page"/>
      </w:r>
    </w:p>
    <w:p>
      <w:pPr>
        <w:pStyle w:val="4"/>
        <w:widowControl w:val="0"/>
        <w:spacing w:before="0" w:after="0" w:line="460" w:lineRule="exact"/>
        <w:jc w:val="center"/>
        <w:rPr>
          <w:rFonts w:hint="eastAsia" w:ascii="仿宋" w:hAnsi="仿宋" w:eastAsia="仿宋" w:cs="宋体"/>
          <w:color w:val="auto"/>
          <w:sz w:val="24"/>
          <w:szCs w:val="24"/>
          <w:highlight w:val="none"/>
        </w:rPr>
      </w:pPr>
      <w:bookmarkStart w:id="164" w:name="_Toc25780"/>
      <w:r>
        <w:rPr>
          <w:rFonts w:hint="eastAsia" w:ascii="仿宋" w:hAnsi="仿宋" w:eastAsia="仿宋" w:cs="宋体"/>
          <w:color w:val="auto"/>
          <w:sz w:val="24"/>
          <w:szCs w:val="24"/>
          <w:highlight w:val="none"/>
        </w:rPr>
        <w:t>二、估价对象《</w:t>
      </w:r>
      <w:r>
        <w:rPr>
          <w:rFonts w:hint="eastAsia" w:ascii="仿宋" w:hAnsi="仿宋" w:eastAsia="仿宋" w:cs="宋体"/>
          <w:color w:val="auto"/>
          <w:sz w:val="24"/>
          <w:szCs w:val="24"/>
          <w:highlight w:val="none"/>
          <w:lang w:eastAsia="zh-CN"/>
        </w:rPr>
        <w:t>个人不动产信息情况证明</w:t>
      </w:r>
      <w:r>
        <w:rPr>
          <w:rFonts w:hint="eastAsia" w:ascii="仿宋" w:hAnsi="仿宋" w:eastAsia="仿宋" w:cs="宋体"/>
          <w:color w:val="auto"/>
          <w:sz w:val="24"/>
          <w:szCs w:val="24"/>
          <w:highlight w:val="none"/>
        </w:rPr>
        <w:t>》复印件</w:t>
      </w:r>
      <w:bookmarkEnd w:id="164"/>
    </w:p>
    <w:p>
      <w:pPr>
        <w:tabs>
          <w:tab w:val="left" w:pos="3813"/>
        </w:tabs>
        <w:rPr>
          <w:rFonts w:ascii="仿宋" w:hAnsi="仿宋" w:eastAsia="仿宋"/>
          <w:b/>
          <w:bCs/>
          <w:color w:val="auto"/>
          <w:kern w:val="2"/>
          <w:highlight w:val="none"/>
        </w:rPr>
      </w:pPr>
      <w:r>
        <w:rPr>
          <w:rFonts w:hint="eastAsia" w:ascii="仿宋" w:hAnsi="仿宋" w:eastAsia="仿宋"/>
          <w:b/>
          <w:bCs/>
          <w:color w:val="auto"/>
          <w:kern w:val="2"/>
          <w:highlight w:val="none"/>
        </w:rPr>
        <w:drawing>
          <wp:inline distT="0" distB="0" distL="114300" distR="114300">
            <wp:extent cx="5861685" cy="7985125"/>
            <wp:effectExtent l="0" t="0" r="5715" b="15875"/>
            <wp:docPr id="6" name="图片 6" descr="情况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情况证明"/>
                    <pic:cNvPicPr>
                      <a:picLocks noChangeAspect="1"/>
                    </pic:cNvPicPr>
                  </pic:nvPicPr>
                  <pic:blipFill>
                    <a:blip r:embed="rId11"/>
                    <a:stretch>
                      <a:fillRect/>
                    </a:stretch>
                  </pic:blipFill>
                  <pic:spPr>
                    <a:xfrm>
                      <a:off x="0" y="0"/>
                      <a:ext cx="5861685" cy="7985125"/>
                    </a:xfrm>
                    <a:prstGeom prst="rect">
                      <a:avLst/>
                    </a:prstGeom>
                  </pic:spPr>
                </pic:pic>
              </a:graphicData>
            </a:graphic>
          </wp:inline>
        </w:drawing>
      </w:r>
      <w:r>
        <w:rPr>
          <w:rFonts w:hint="eastAsia" w:ascii="仿宋" w:hAnsi="仿宋" w:eastAsia="仿宋"/>
          <w:b/>
          <w:bCs/>
          <w:color w:val="auto"/>
          <w:kern w:val="2"/>
          <w:highlight w:val="none"/>
        </w:rPr>
        <w:br w:type="page"/>
      </w:r>
    </w:p>
    <w:p>
      <w:pPr>
        <w:pStyle w:val="4"/>
        <w:widowControl w:val="0"/>
        <w:spacing w:before="0" w:after="0" w:line="460" w:lineRule="exact"/>
        <w:jc w:val="center"/>
        <w:rPr>
          <w:rFonts w:hint="eastAsia" w:ascii="仿宋" w:hAnsi="仿宋" w:eastAsia="仿宋" w:cs="宋体"/>
          <w:color w:val="auto"/>
          <w:sz w:val="24"/>
          <w:szCs w:val="24"/>
          <w:highlight w:val="none"/>
        </w:rPr>
      </w:pPr>
      <w:bookmarkStart w:id="165" w:name="_Toc17391"/>
      <w:r>
        <w:rPr>
          <w:rFonts w:hint="eastAsia" w:ascii="仿宋" w:hAnsi="仿宋" w:eastAsia="仿宋" w:cs="宋体"/>
          <w:color w:val="auto"/>
          <w:sz w:val="24"/>
          <w:szCs w:val="24"/>
          <w:highlight w:val="none"/>
          <w:lang w:val="en-US" w:eastAsia="zh-CN"/>
        </w:rPr>
        <w:t>三、</w:t>
      </w:r>
      <w:r>
        <w:rPr>
          <w:rFonts w:hint="eastAsia" w:ascii="仿宋" w:hAnsi="仿宋" w:eastAsia="仿宋" w:cs="宋体"/>
          <w:color w:val="auto"/>
          <w:sz w:val="24"/>
          <w:szCs w:val="24"/>
          <w:highlight w:val="none"/>
        </w:rPr>
        <w:t>估价对象《</w:t>
      </w:r>
      <w:r>
        <w:rPr>
          <w:rFonts w:hint="eastAsia" w:ascii="仿宋" w:hAnsi="仿宋" w:eastAsia="仿宋" w:cs="宋体"/>
          <w:color w:val="auto"/>
          <w:sz w:val="24"/>
          <w:szCs w:val="24"/>
          <w:highlight w:val="none"/>
          <w:lang w:eastAsia="zh-CN"/>
        </w:rPr>
        <w:t>房屋他项权证</w:t>
      </w:r>
      <w:r>
        <w:rPr>
          <w:rFonts w:hint="eastAsia" w:ascii="仿宋" w:hAnsi="仿宋" w:eastAsia="仿宋" w:cs="宋体"/>
          <w:color w:val="auto"/>
          <w:sz w:val="24"/>
          <w:szCs w:val="24"/>
          <w:highlight w:val="none"/>
        </w:rPr>
        <w:t>》复印件</w:t>
      </w:r>
      <w:bookmarkEnd w:id="165"/>
    </w:p>
    <w:p>
      <w:pPr>
        <w:rPr>
          <w:rFonts w:hint="eastAsia" w:ascii="仿宋" w:hAnsi="仿宋" w:eastAsia="仿宋"/>
          <w:color w:val="auto"/>
          <w:highlight w:val="none"/>
          <w:lang w:eastAsia="zh-CN"/>
        </w:rPr>
      </w:pPr>
      <w:r>
        <w:rPr>
          <w:rFonts w:hint="eastAsia" w:ascii="仿宋" w:hAnsi="仿宋" w:eastAsia="仿宋"/>
          <w:color w:val="auto"/>
          <w:highlight w:val="none"/>
          <w:lang w:eastAsia="zh-CN"/>
        </w:rPr>
        <w:drawing>
          <wp:inline distT="0" distB="0" distL="114300" distR="114300">
            <wp:extent cx="5974080" cy="7880350"/>
            <wp:effectExtent l="0" t="0" r="7620" b="6350"/>
            <wp:docPr id="11" name="图片 11" descr="他项权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他项权利"/>
                    <pic:cNvPicPr>
                      <a:picLocks noChangeAspect="1"/>
                    </pic:cNvPicPr>
                  </pic:nvPicPr>
                  <pic:blipFill>
                    <a:blip r:embed="rId12"/>
                    <a:stretch>
                      <a:fillRect/>
                    </a:stretch>
                  </pic:blipFill>
                  <pic:spPr>
                    <a:xfrm>
                      <a:off x="0" y="0"/>
                      <a:ext cx="5974080" cy="7880350"/>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br w:type="page"/>
      </w:r>
    </w:p>
    <w:p>
      <w:pPr>
        <w:pStyle w:val="4"/>
        <w:widowControl w:val="0"/>
        <w:spacing w:before="0" w:after="0" w:line="460" w:lineRule="exact"/>
        <w:jc w:val="center"/>
        <w:rPr>
          <w:rFonts w:hint="eastAsia" w:ascii="仿宋" w:hAnsi="仿宋" w:eastAsia="仿宋"/>
          <w:color w:val="auto"/>
          <w:sz w:val="24"/>
          <w:szCs w:val="24"/>
          <w:highlight w:val="none"/>
          <w:lang w:val="en-US" w:eastAsia="zh-CN"/>
        </w:rPr>
      </w:pPr>
      <w:bookmarkStart w:id="166" w:name="_Toc9444"/>
      <w:r>
        <w:rPr>
          <w:rFonts w:hint="eastAsia" w:ascii="仿宋" w:hAnsi="仿宋" w:eastAsia="仿宋"/>
          <w:color w:val="auto"/>
          <w:sz w:val="24"/>
          <w:szCs w:val="24"/>
          <w:highlight w:val="none"/>
          <w:lang w:val="en-US" w:eastAsia="zh-CN"/>
        </w:rPr>
        <w:t>四、估价对象《贵州省施秉县人民法院民事判决书》复印件</w:t>
      </w:r>
      <w:bookmarkEnd w:id="166"/>
    </w:p>
    <w:p>
      <w:pPr>
        <w:widowControl w:val="0"/>
        <w:jc w:val="both"/>
        <w:rPr>
          <w:rFonts w:ascii="仿宋" w:hAnsi="仿宋" w:eastAsia="仿宋"/>
          <w:color w:val="auto"/>
          <w:highlight w:val="none"/>
        </w:rPr>
      </w:pPr>
      <w:r>
        <w:rPr>
          <w:rFonts w:hint="eastAsia" w:ascii="仿宋" w:hAnsi="仿宋" w:eastAsia="仿宋"/>
          <w:color w:val="auto"/>
          <w:highlight w:val="none"/>
        </w:rPr>
        <w:drawing>
          <wp:inline distT="0" distB="0" distL="114300" distR="114300">
            <wp:extent cx="5784215" cy="8192135"/>
            <wp:effectExtent l="0" t="0" r="6985" b="18415"/>
            <wp:docPr id="20" name="图片 20" descr="民事判决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民事判决书1"/>
                    <pic:cNvPicPr>
                      <a:picLocks noChangeAspect="1"/>
                    </pic:cNvPicPr>
                  </pic:nvPicPr>
                  <pic:blipFill>
                    <a:blip r:embed="rId13"/>
                    <a:stretch>
                      <a:fillRect/>
                    </a:stretch>
                  </pic:blipFill>
                  <pic:spPr>
                    <a:xfrm>
                      <a:off x="0" y="0"/>
                      <a:ext cx="5784215" cy="8192135"/>
                    </a:xfrm>
                    <a:prstGeom prst="rect">
                      <a:avLst/>
                    </a:prstGeom>
                  </pic:spPr>
                </pic:pic>
              </a:graphicData>
            </a:graphic>
          </wp:inline>
        </w:drawing>
      </w:r>
      <w:r>
        <w:rPr>
          <w:rFonts w:hint="eastAsia" w:ascii="仿宋" w:hAnsi="仿宋" w:eastAsia="仿宋"/>
          <w:color w:val="auto"/>
          <w:highlight w:val="none"/>
        </w:rPr>
        <w:drawing>
          <wp:inline distT="0" distB="0" distL="114300" distR="114300">
            <wp:extent cx="5974080" cy="8451850"/>
            <wp:effectExtent l="0" t="0" r="7620" b="6350"/>
            <wp:docPr id="17" name="图片 17" descr="民事判决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民事判决书2"/>
                    <pic:cNvPicPr>
                      <a:picLocks noChangeAspect="1"/>
                    </pic:cNvPicPr>
                  </pic:nvPicPr>
                  <pic:blipFill>
                    <a:blip r:embed="rId14"/>
                    <a:stretch>
                      <a:fillRect/>
                    </a:stretch>
                  </pic:blipFill>
                  <pic:spPr>
                    <a:xfrm>
                      <a:off x="0" y="0"/>
                      <a:ext cx="5974080" cy="8451850"/>
                    </a:xfrm>
                    <a:prstGeom prst="rect">
                      <a:avLst/>
                    </a:prstGeom>
                  </pic:spPr>
                </pic:pic>
              </a:graphicData>
            </a:graphic>
          </wp:inline>
        </w:drawing>
      </w:r>
      <w:r>
        <w:rPr>
          <w:rFonts w:hint="eastAsia" w:ascii="仿宋" w:hAnsi="仿宋" w:eastAsia="仿宋"/>
          <w:color w:val="auto"/>
          <w:highlight w:val="none"/>
        </w:rPr>
        <w:drawing>
          <wp:inline distT="0" distB="0" distL="114300" distR="114300">
            <wp:extent cx="5974080" cy="8451850"/>
            <wp:effectExtent l="0" t="0" r="7620" b="6350"/>
            <wp:docPr id="16" name="图片 16" descr="民事判决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民事判决书3"/>
                    <pic:cNvPicPr>
                      <a:picLocks noChangeAspect="1"/>
                    </pic:cNvPicPr>
                  </pic:nvPicPr>
                  <pic:blipFill>
                    <a:blip r:embed="rId15"/>
                    <a:stretch>
                      <a:fillRect/>
                    </a:stretch>
                  </pic:blipFill>
                  <pic:spPr>
                    <a:xfrm>
                      <a:off x="0" y="0"/>
                      <a:ext cx="5974080" cy="8451850"/>
                    </a:xfrm>
                    <a:prstGeom prst="rect">
                      <a:avLst/>
                    </a:prstGeom>
                  </pic:spPr>
                </pic:pic>
              </a:graphicData>
            </a:graphic>
          </wp:inline>
        </w:drawing>
      </w:r>
      <w:r>
        <w:rPr>
          <w:rFonts w:hint="eastAsia" w:ascii="仿宋" w:hAnsi="仿宋" w:eastAsia="仿宋"/>
          <w:color w:val="auto"/>
          <w:highlight w:val="none"/>
        </w:rPr>
        <w:drawing>
          <wp:inline distT="0" distB="0" distL="114300" distR="114300">
            <wp:extent cx="5974080" cy="8451850"/>
            <wp:effectExtent l="0" t="0" r="7620" b="6350"/>
            <wp:docPr id="15" name="图片 15" descr="民事判决书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民事判决书4"/>
                    <pic:cNvPicPr>
                      <a:picLocks noChangeAspect="1"/>
                    </pic:cNvPicPr>
                  </pic:nvPicPr>
                  <pic:blipFill>
                    <a:blip r:embed="rId16"/>
                    <a:stretch>
                      <a:fillRect/>
                    </a:stretch>
                  </pic:blipFill>
                  <pic:spPr>
                    <a:xfrm>
                      <a:off x="0" y="0"/>
                      <a:ext cx="5974080" cy="8451850"/>
                    </a:xfrm>
                    <a:prstGeom prst="rect">
                      <a:avLst/>
                    </a:prstGeom>
                  </pic:spPr>
                </pic:pic>
              </a:graphicData>
            </a:graphic>
          </wp:inline>
        </w:drawing>
      </w:r>
      <w:r>
        <w:rPr>
          <w:rFonts w:hint="eastAsia" w:ascii="仿宋" w:hAnsi="仿宋" w:eastAsia="仿宋"/>
          <w:color w:val="auto"/>
          <w:highlight w:val="none"/>
        </w:rPr>
        <w:drawing>
          <wp:inline distT="0" distB="0" distL="114300" distR="114300">
            <wp:extent cx="5974080" cy="8451850"/>
            <wp:effectExtent l="0" t="0" r="7620" b="6350"/>
            <wp:docPr id="13" name="图片 13" descr="民事判决书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民事判决书5"/>
                    <pic:cNvPicPr>
                      <a:picLocks noChangeAspect="1"/>
                    </pic:cNvPicPr>
                  </pic:nvPicPr>
                  <pic:blipFill>
                    <a:blip r:embed="rId17"/>
                    <a:stretch>
                      <a:fillRect/>
                    </a:stretch>
                  </pic:blipFill>
                  <pic:spPr>
                    <a:xfrm>
                      <a:off x="0" y="0"/>
                      <a:ext cx="5974080" cy="8451850"/>
                    </a:xfrm>
                    <a:prstGeom prst="rect">
                      <a:avLst/>
                    </a:prstGeom>
                  </pic:spPr>
                </pic:pic>
              </a:graphicData>
            </a:graphic>
          </wp:inline>
        </w:drawing>
      </w:r>
      <w:r>
        <w:rPr>
          <w:rFonts w:hint="eastAsia" w:ascii="仿宋" w:hAnsi="仿宋" w:eastAsia="仿宋"/>
          <w:color w:val="auto"/>
          <w:highlight w:val="none"/>
        </w:rPr>
        <w:br w:type="page"/>
      </w:r>
    </w:p>
    <w:p>
      <w:pPr>
        <w:pStyle w:val="4"/>
        <w:widowControl w:val="0"/>
        <w:spacing w:before="0" w:after="0" w:line="460" w:lineRule="exact"/>
        <w:jc w:val="center"/>
        <w:rPr>
          <w:rFonts w:hint="eastAsia" w:ascii="仿宋" w:hAnsi="仿宋" w:eastAsia="仿宋"/>
          <w:color w:val="auto"/>
          <w:sz w:val="24"/>
          <w:szCs w:val="24"/>
          <w:highlight w:val="none"/>
          <w:lang w:val="en-US" w:eastAsia="zh-CN"/>
        </w:rPr>
      </w:pPr>
      <w:bookmarkStart w:id="167" w:name="_Toc4356"/>
      <w:r>
        <w:rPr>
          <w:rFonts w:hint="eastAsia" w:ascii="仿宋" w:hAnsi="仿宋" w:eastAsia="仿宋"/>
          <w:color w:val="auto"/>
          <w:sz w:val="24"/>
          <w:szCs w:val="24"/>
          <w:highlight w:val="none"/>
          <w:lang w:val="en-US" w:eastAsia="zh-CN"/>
        </w:rPr>
        <w:t>五、估价对象《贵州省施秉县人民法院执行裁定书》复印件</w:t>
      </w:r>
      <w:bookmarkEnd w:id="167"/>
    </w:p>
    <w:p>
      <w:pPr>
        <w:tabs>
          <w:tab w:val="left" w:pos="1988"/>
        </w:tabs>
        <w:bidi w:val="0"/>
        <w:jc w:val="left"/>
        <w:rPr>
          <w:rFonts w:hint="eastAsia"/>
          <w:color w:val="auto"/>
          <w:highlight w:val="none"/>
          <w:lang w:val="en-US" w:eastAsia="zh-CN"/>
        </w:rPr>
      </w:pPr>
      <w:r>
        <w:rPr>
          <w:rFonts w:hint="eastAsia" w:ascii="仿宋" w:hAnsi="仿宋" w:eastAsia="仿宋" w:cs="宋体"/>
          <w:color w:val="auto"/>
          <w:sz w:val="24"/>
          <w:szCs w:val="24"/>
          <w:highlight w:val="none"/>
          <w:lang w:eastAsia="zh-CN"/>
        </w:rPr>
        <w:drawing>
          <wp:inline distT="0" distB="0" distL="114300" distR="114300">
            <wp:extent cx="5879465" cy="6322060"/>
            <wp:effectExtent l="0" t="0" r="6985" b="2540"/>
            <wp:docPr id="25" name="图片 25" descr="执行裁定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执行裁定书1"/>
                    <pic:cNvPicPr>
                      <a:picLocks noChangeAspect="1"/>
                    </pic:cNvPicPr>
                  </pic:nvPicPr>
                  <pic:blipFill>
                    <a:blip r:embed="rId18"/>
                    <a:stretch>
                      <a:fillRect/>
                    </a:stretch>
                  </pic:blipFill>
                  <pic:spPr>
                    <a:xfrm>
                      <a:off x="0" y="0"/>
                      <a:ext cx="5879465" cy="6322060"/>
                    </a:xfrm>
                    <a:prstGeom prst="rect">
                      <a:avLst/>
                    </a:prstGeom>
                  </pic:spPr>
                </pic:pic>
              </a:graphicData>
            </a:graphic>
          </wp:inline>
        </w:drawing>
      </w:r>
    </w:p>
    <w:p>
      <w:pPr>
        <w:rPr>
          <w:rFonts w:hint="eastAsia" w:ascii="仿宋" w:hAnsi="仿宋" w:eastAsia="仿宋" w:cs="宋体"/>
          <w:color w:val="auto"/>
          <w:sz w:val="24"/>
          <w:szCs w:val="24"/>
          <w:highlight w:val="none"/>
          <w:lang w:eastAsia="zh-CN"/>
        </w:rPr>
      </w:pPr>
      <w:r>
        <w:rPr>
          <w:rFonts w:hint="eastAsia" w:ascii="仿宋" w:hAnsi="仿宋" w:eastAsia="仿宋" w:cs="宋体"/>
          <w:color w:val="auto"/>
          <w:sz w:val="24"/>
          <w:szCs w:val="24"/>
          <w:highlight w:val="none"/>
          <w:lang w:eastAsia="zh-CN"/>
        </w:rPr>
        <w:drawing>
          <wp:inline distT="0" distB="0" distL="114300" distR="114300">
            <wp:extent cx="5974080" cy="8451850"/>
            <wp:effectExtent l="0" t="0" r="7620" b="6350"/>
            <wp:docPr id="23" name="图片 23" descr="执行裁定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执行裁定书2"/>
                    <pic:cNvPicPr>
                      <a:picLocks noChangeAspect="1"/>
                    </pic:cNvPicPr>
                  </pic:nvPicPr>
                  <pic:blipFill>
                    <a:blip r:embed="rId19"/>
                    <a:stretch>
                      <a:fillRect/>
                    </a:stretch>
                  </pic:blipFill>
                  <pic:spPr>
                    <a:xfrm>
                      <a:off x="0" y="0"/>
                      <a:ext cx="5974080" cy="8451850"/>
                    </a:xfrm>
                    <a:prstGeom prst="rect">
                      <a:avLst/>
                    </a:prstGeom>
                  </pic:spPr>
                </pic:pic>
              </a:graphicData>
            </a:graphic>
          </wp:inline>
        </w:drawing>
      </w:r>
    </w:p>
    <w:p>
      <w:pPr>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br w:type="page"/>
      </w:r>
    </w:p>
    <w:bookmarkEnd w:id="162"/>
    <w:bookmarkEnd w:id="163"/>
    <w:p>
      <w:pPr>
        <w:pStyle w:val="4"/>
        <w:widowControl w:val="0"/>
        <w:spacing w:before="0" w:after="0" w:line="460" w:lineRule="exact"/>
        <w:jc w:val="center"/>
        <w:rPr>
          <w:rFonts w:hint="eastAsia" w:ascii="仿宋" w:hAnsi="仿宋" w:eastAsia="仿宋"/>
          <w:color w:val="auto"/>
          <w:sz w:val="24"/>
          <w:szCs w:val="24"/>
          <w:highlight w:val="none"/>
          <w:lang w:val="en-US" w:eastAsia="zh-CN"/>
        </w:rPr>
      </w:pPr>
      <w:bookmarkStart w:id="168" w:name="_Toc16090"/>
      <w:r>
        <w:rPr>
          <w:rFonts w:hint="eastAsia" w:ascii="仿宋" w:hAnsi="仿宋" w:eastAsia="仿宋"/>
          <w:color w:val="auto"/>
          <w:sz w:val="24"/>
          <w:szCs w:val="24"/>
          <w:highlight w:val="none"/>
          <w:lang w:val="en-US" w:eastAsia="zh-CN"/>
        </w:rPr>
        <w:t>六、估价对象区域位置图</w:t>
      </w:r>
      <w:bookmarkEnd w:id="168"/>
    </w:p>
    <w:p>
      <w:pPr>
        <w:rPr>
          <w:rFonts w:hint="eastAsia" w:ascii="仿宋" w:hAnsi="仿宋" w:eastAsia="仿宋" w:cs="仿宋"/>
          <w:color w:val="auto"/>
          <w:highlight w:val="none"/>
          <w:lang w:eastAsia="zh-CN"/>
        </w:rPr>
      </w:pPr>
      <w:r>
        <w:rPr>
          <w:rFonts w:hint="eastAsia" w:ascii="仿宋" w:hAnsi="仿宋" w:eastAsia="仿宋" w:cs="仿宋"/>
          <w:b/>
          <w:bCs/>
          <w:color w:val="auto"/>
          <w:highlight w:val="none"/>
        </w:rPr>
        <w:t>坐落：</w:t>
      </w:r>
      <w:r>
        <w:rPr>
          <w:rFonts w:hint="eastAsia" w:ascii="仿宋" w:hAnsi="仿宋" w:eastAsia="仿宋"/>
          <w:snapToGrid w:val="0"/>
          <w:color w:val="auto"/>
          <w:highlight w:val="none"/>
          <w:lang w:eastAsia="zh-CN"/>
        </w:rPr>
        <w:t>贵州省施秉县城关镇云台北路9号402号</w:t>
      </w:r>
    </w:p>
    <w:tbl>
      <w:tblPr>
        <w:tblStyle w:val="14"/>
        <w:tblW w:w="92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21" w:hRule="atLeast"/>
        </w:trPr>
        <w:tc>
          <w:tcPr>
            <w:tcW w:w="9260" w:type="dxa"/>
            <w:tcBorders>
              <w:bottom w:val="single" w:color="auto" w:sz="4" w:space="0"/>
            </w:tcBorders>
          </w:tcPr>
          <w:p>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738495" cy="3529965"/>
                  <wp:effectExtent l="0" t="0" r="14605" b="13335"/>
                  <wp:docPr id="26" name="图片 26" descr="估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估大"/>
                          <pic:cNvPicPr>
                            <a:picLocks noChangeAspect="1"/>
                          </pic:cNvPicPr>
                        </pic:nvPicPr>
                        <pic:blipFill>
                          <a:blip r:embed="rId20"/>
                          <a:stretch>
                            <a:fillRect/>
                          </a:stretch>
                        </pic:blipFill>
                        <pic:spPr>
                          <a:xfrm>
                            <a:off x="0" y="0"/>
                            <a:ext cx="5738495" cy="352996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60" w:hRule="atLeast"/>
        </w:trPr>
        <w:tc>
          <w:tcPr>
            <w:tcW w:w="9260" w:type="dxa"/>
            <w:tcBorders>
              <w:bottom w:val="single" w:color="auto" w:sz="4" w:space="0"/>
            </w:tcBorders>
          </w:tcPr>
          <w:p>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741670" cy="3311525"/>
                  <wp:effectExtent l="0" t="0" r="11430" b="3175"/>
                  <wp:docPr id="27" name="图片 27" descr="估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估小"/>
                          <pic:cNvPicPr>
                            <a:picLocks noChangeAspect="1"/>
                          </pic:cNvPicPr>
                        </pic:nvPicPr>
                        <pic:blipFill>
                          <a:blip r:embed="rId21"/>
                          <a:stretch>
                            <a:fillRect/>
                          </a:stretch>
                        </pic:blipFill>
                        <pic:spPr>
                          <a:xfrm>
                            <a:off x="0" y="0"/>
                            <a:ext cx="5741670" cy="3311525"/>
                          </a:xfrm>
                          <a:prstGeom prst="rect">
                            <a:avLst/>
                          </a:prstGeom>
                        </pic:spPr>
                      </pic:pic>
                    </a:graphicData>
                  </a:graphic>
                </wp:inline>
              </w:drawing>
            </w:r>
          </w:p>
        </w:tc>
      </w:tr>
    </w:tbl>
    <w:p>
      <w:pPr>
        <w:rPr>
          <w:rFonts w:ascii="仿宋" w:hAnsi="仿宋" w:eastAsia="仿宋"/>
          <w:color w:val="auto"/>
          <w:highlight w:val="none"/>
        </w:rPr>
      </w:pPr>
      <w:bookmarkStart w:id="169" w:name="_Toc471978265"/>
      <w:bookmarkStart w:id="170" w:name="_Toc19004"/>
    </w:p>
    <w:p>
      <w:pPr>
        <w:rPr>
          <w:rFonts w:ascii="仿宋" w:hAnsi="仿宋" w:eastAsia="仿宋"/>
          <w:color w:val="auto"/>
          <w:highlight w:val="none"/>
        </w:rPr>
      </w:pPr>
    </w:p>
    <w:p>
      <w:pPr>
        <w:pStyle w:val="4"/>
        <w:widowControl w:val="0"/>
        <w:spacing w:before="0" w:after="0" w:line="460" w:lineRule="exact"/>
        <w:jc w:val="center"/>
        <w:rPr>
          <w:rFonts w:hint="eastAsia" w:ascii="仿宋" w:hAnsi="仿宋" w:eastAsia="仿宋" w:cs="宋体"/>
          <w:b/>
          <w:bCs/>
          <w:color w:val="auto"/>
          <w:kern w:val="2"/>
          <w:sz w:val="24"/>
          <w:szCs w:val="24"/>
          <w:highlight w:val="none"/>
          <w:lang w:val="en-US" w:eastAsia="zh-CN" w:bidi="ar-SA"/>
        </w:rPr>
      </w:pPr>
      <w:bookmarkStart w:id="171" w:name="_Toc16679"/>
      <w:r>
        <w:rPr>
          <w:rFonts w:hint="eastAsia" w:ascii="仿宋" w:hAnsi="仿宋" w:eastAsia="仿宋" w:cs="宋体"/>
          <w:b/>
          <w:bCs/>
          <w:color w:val="auto"/>
          <w:kern w:val="2"/>
          <w:sz w:val="24"/>
          <w:szCs w:val="24"/>
          <w:highlight w:val="none"/>
          <w:lang w:val="en-US" w:eastAsia="zh-CN" w:bidi="ar-SA"/>
        </w:rPr>
        <w:t>七、估价对象状况照片</w:t>
      </w:r>
      <w:bookmarkEnd w:id="171"/>
    </w:p>
    <w:bookmarkEnd w:id="169"/>
    <w:bookmarkEnd w:id="170"/>
    <w:p>
      <w:pPr>
        <w:rPr>
          <w:rFonts w:hint="eastAsia" w:ascii="仿宋" w:hAnsi="仿宋" w:eastAsia="仿宋"/>
          <w:color w:val="auto"/>
          <w:highlight w:val="none"/>
          <w:lang w:eastAsia="zh-CN"/>
        </w:rPr>
      </w:pPr>
      <w:r>
        <w:rPr>
          <w:rFonts w:hint="eastAsia" w:ascii="仿宋" w:hAnsi="仿宋" w:eastAsia="仿宋"/>
          <w:b/>
          <w:color w:val="auto"/>
          <w:highlight w:val="none"/>
        </w:rPr>
        <w:t>项目名称：</w:t>
      </w:r>
      <w:r>
        <w:rPr>
          <w:rFonts w:hint="eastAsia" w:ascii="仿宋" w:hAnsi="仿宋" w:eastAsia="仿宋" w:cs="仿宋"/>
          <w:bCs/>
          <w:color w:val="auto"/>
          <w:highlight w:val="none"/>
          <w:lang w:eastAsia="zh-CN"/>
        </w:rPr>
        <w:t>贵州省施秉县城关镇云台北路9号402号</w:t>
      </w:r>
    </w:p>
    <w:tbl>
      <w:tblPr>
        <w:tblStyle w:val="14"/>
        <w:tblW w:w="96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30"/>
        <w:gridCol w:w="3214"/>
        <w:gridCol w:w="31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73" w:hRule="exact"/>
          <w:jc w:val="center"/>
        </w:trPr>
        <w:tc>
          <w:tcPr>
            <w:tcW w:w="3230" w:type="dxa"/>
            <w:vAlign w:val="center"/>
          </w:tcPr>
          <w:p>
            <w:pPr>
              <w:rPr>
                <w:rFonts w:hint="eastAsia" w:eastAsia="宋体"/>
                <w:color w:val="auto"/>
                <w:sz w:val="21"/>
                <w:szCs w:val="21"/>
                <w:highlight w:val="none"/>
                <w:lang w:eastAsia="zh-CN"/>
              </w:rPr>
            </w:pPr>
            <w:bookmarkStart w:id="172" w:name="_Toc18677"/>
            <w:r>
              <w:rPr>
                <w:rFonts w:hint="eastAsia" w:eastAsia="宋体"/>
                <w:color w:val="auto"/>
                <w:sz w:val="21"/>
                <w:szCs w:val="21"/>
                <w:highlight w:val="none"/>
                <w:lang w:eastAsia="zh-CN"/>
              </w:rPr>
              <w:drawing>
                <wp:inline distT="0" distB="0" distL="114300" distR="114300">
                  <wp:extent cx="1864360" cy="1286510"/>
                  <wp:effectExtent l="0" t="0" r="2540" b="8890"/>
                  <wp:docPr id="29" name="图片 29" descr="IMG_20190826_15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190826_152240"/>
                          <pic:cNvPicPr>
                            <a:picLocks noChangeAspect="1"/>
                          </pic:cNvPicPr>
                        </pic:nvPicPr>
                        <pic:blipFill>
                          <a:blip r:embed="rId22"/>
                          <a:stretch>
                            <a:fillRect/>
                          </a:stretch>
                        </pic:blipFill>
                        <pic:spPr>
                          <a:xfrm>
                            <a:off x="0" y="0"/>
                            <a:ext cx="1864360" cy="1286510"/>
                          </a:xfrm>
                          <a:prstGeom prst="rect">
                            <a:avLst/>
                          </a:prstGeom>
                        </pic:spPr>
                      </pic:pic>
                    </a:graphicData>
                  </a:graphic>
                </wp:inline>
              </w:drawing>
            </w:r>
          </w:p>
        </w:tc>
        <w:tc>
          <w:tcPr>
            <w:tcW w:w="3214" w:type="dxa"/>
            <w:vAlign w:val="center"/>
          </w:tcPr>
          <w:p>
            <w:pPr>
              <w:rPr>
                <w:rFonts w:hint="eastAsia" w:eastAsia="宋体"/>
                <w:color w:val="auto"/>
                <w:sz w:val="21"/>
                <w:szCs w:val="21"/>
                <w:highlight w:val="none"/>
                <w:lang w:eastAsia="zh-CN"/>
              </w:rPr>
            </w:pPr>
            <w:r>
              <w:rPr>
                <w:rFonts w:hint="eastAsia" w:eastAsia="宋体"/>
                <w:color w:val="auto"/>
                <w:sz w:val="21"/>
                <w:szCs w:val="21"/>
                <w:highlight w:val="none"/>
                <w:lang w:eastAsia="zh-CN"/>
              </w:rPr>
              <w:drawing>
                <wp:inline distT="0" distB="0" distL="114300" distR="114300">
                  <wp:extent cx="1882140" cy="1290320"/>
                  <wp:effectExtent l="0" t="0" r="3810" b="5080"/>
                  <wp:docPr id="30" name="图片 30" descr="AE614655152959EF90D048DEB3F8E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E614655152959EF90D048DEB3F8EAF5"/>
                          <pic:cNvPicPr>
                            <a:picLocks noChangeAspect="1"/>
                          </pic:cNvPicPr>
                        </pic:nvPicPr>
                        <pic:blipFill>
                          <a:blip r:embed="rId23"/>
                          <a:stretch>
                            <a:fillRect/>
                          </a:stretch>
                        </pic:blipFill>
                        <pic:spPr>
                          <a:xfrm>
                            <a:off x="0" y="0"/>
                            <a:ext cx="1882140" cy="1290320"/>
                          </a:xfrm>
                          <a:prstGeom prst="rect">
                            <a:avLst/>
                          </a:prstGeom>
                        </pic:spPr>
                      </pic:pic>
                    </a:graphicData>
                  </a:graphic>
                </wp:inline>
              </w:drawing>
            </w:r>
          </w:p>
        </w:tc>
        <w:tc>
          <w:tcPr>
            <w:tcW w:w="3184" w:type="dxa"/>
            <w:vAlign w:val="center"/>
          </w:tcPr>
          <w:p>
            <w:pPr>
              <w:rPr>
                <w:rFonts w:hint="eastAsia" w:eastAsia="宋体"/>
                <w:color w:val="auto"/>
                <w:sz w:val="21"/>
                <w:szCs w:val="21"/>
                <w:highlight w:val="none"/>
                <w:lang w:eastAsia="zh-CN"/>
              </w:rPr>
            </w:pPr>
            <w:r>
              <w:rPr>
                <w:rFonts w:hint="eastAsia" w:eastAsia="宋体"/>
                <w:color w:val="auto"/>
                <w:sz w:val="21"/>
                <w:szCs w:val="21"/>
                <w:highlight w:val="none"/>
                <w:lang w:eastAsia="zh-CN"/>
              </w:rPr>
              <w:drawing>
                <wp:inline distT="0" distB="0" distL="114300" distR="114300">
                  <wp:extent cx="1864360" cy="1329055"/>
                  <wp:effectExtent l="0" t="0" r="2540" b="4445"/>
                  <wp:docPr id="37" name="图片 37" descr="IMG_20190826_15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190826_152248"/>
                          <pic:cNvPicPr>
                            <a:picLocks noChangeAspect="1"/>
                          </pic:cNvPicPr>
                        </pic:nvPicPr>
                        <pic:blipFill>
                          <a:blip r:embed="rId24"/>
                          <a:stretch>
                            <a:fillRect/>
                          </a:stretch>
                        </pic:blipFill>
                        <pic:spPr>
                          <a:xfrm>
                            <a:off x="0" y="0"/>
                            <a:ext cx="1864360" cy="132905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jc w:val="center"/>
        </w:trPr>
        <w:tc>
          <w:tcPr>
            <w:tcW w:w="3230" w:type="dxa"/>
            <w:vAlign w:val="center"/>
          </w:tcPr>
          <w:p>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◆估价对象</w:t>
            </w:r>
            <w:r>
              <w:rPr>
                <w:rFonts w:hint="eastAsia" w:ascii="仿宋" w:hAnsi="仿宋" w:eastAsia="仿宋" w:cs="仿宋"/>
                <w:color w:val="auto"/>
                <w:sz w:val="21"/>
                <w:szCs w:val="21"/>
                <w:highlight w:val="none"/>
                <w:lang w:eastAsia="zh-CN"/>
              </w:rPr>
              <w:t>周边</w:t>
            </w:r>
            <w:r>
              <w:rPr>
                <w:rFonts w:hint="eastAsia" w:ascii="仿宋" w:hAnsi="仿宋" w:eastAsia="仿宋" w:cs="仿宋"/>
                <w:color w:val="auto"/>
                <w:sz w:val="21"/>
                <w:szCs w:val="21"/>
                <w:highlight w:val="none"/>
              </w:rPr>
              <w:t>情况</w:t>
            </w:r>
          </w:p>
        </w:tc>
        <w:tc>
          <w:tcPr>
            <w:tcW w:w="3214" w:type="dxa"/>
            <w:vAlign w:val="center"/>
          </w:tcPr>
          <w:p>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◆估价</w:t>
            </w:r>
            <w:r>
              <w:rPr>
                <w:rFonts w:hint="eastAsia" w:ascii="仿宋" w:hAnsi="仿宋" w:eastAsia="仿宋" w:cs="仿宋"/>
                <w:color w:val="auto"/>
                <w:sz w:val="21"/>
                <w:szCs w:val="21"/>
                <w:highlight w:val="none"/>
                <w:lang w:eastAsia="zh-CN"/>
              </w:rPr>
              <w:t>周边</w:t>
            </w:r>
            <w:r>
              <w:rPr>
                <w:rFonts w:hint="eastAsia" w:ascii="仿宋" w:hAnsi="仿宋" w:eastAsia="仿宋" w:cs="仿宋"/>
                <w:color w:val="auto"/>
                <w:sz w:val="21"/>
                <w:szCs w:val="21"/>
                <w:highlight w:val="none"/>
              </w:rPr>
              <w:t>情况</w:t>
            </w:r>
          </w:p>
        </w:tc>
        <w:tc>
          <w:tcPr>
            <w:tcW w:w="3184" w:type="dxa"/>
            <w:vAlign w:val="center"/>
          </w:tcPr>
          <w:p>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◆估价对象栋外观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54" w:hRule="exact"/>
          <w:jc w:val="center"/>
        </w:trPr>
        <w:tc>
          <w:tcPr>
            <w:tcW w:w="3230" w:type="dxa"/>
            <w:vAlign w:val="center"/>
          </w:tcPr>
          <w:p>
            <w:pPr>
              <w:rPr>
                <w:rFonts w:hint="eastAsia" w:eastAsia="宋体"/>
                <w:color w:val="auto"/>
                <w:sz w:val="21"/>
                <w:szCs w:val="21"/>
                <w:highlight w:val="none"/>
                <w:lang w:eastAsia="zh-CN"/>
              </w:rPr>
            </w:pPr>
            <w:r>
              <w:rPr>
                <w:rFonts w:hint="eastAsia" w:eastAsia="宋体"/>
                <w:color w:val="auto"/>
                <w:sz w:val="21"/>
                <w:szCs w:val="21"/>
                <w:highlight w:val="none"/>
                <w:lang w:eastAsia="zh-CN"/>
              </w:rPr>
              <w:drawing>
                <wp:inline distT="0" distB="0" distL="114300" distR="114300">
                  <wp:extent cx="1904365" cy="1344295"/>
                  <wp:effectExtent l="0" t="0" r="635" b="8255"/>
                  <wp:docPr id="36" name="图片 36" descr="QQ截图2019082811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Q截图20190828112817"/>
                          <pic:cNvPicPr>
                            <a:picLocks noChangeAspect="1"/>
                          </pic:cNvPicPr>
                        </pic:nvPicPr>
                        <pic:blipFill>
                          <a:blip r:embed="rId25"/>
                          <a:stretch>
                            <a:fillRect/>
                          </a:stretch>
                        </pic:blipFill>
                        <pic:spPr>
                          <a:xfrm>
                            <a:off x="0" y="0"/>
                            <a:ext cx="1904365" cy="1344295"/>
                          </a:xfrm>
                          <a:prstGeom prst="rect">
                            <a:avLst/>
                          </a:prstGeom>
                        </pic:spPr>
                      </pic:pic>
                    </a:graphicData>
                  </a:graphic>
                </wp:inline>
              </w:drawing>
            </w:r>
          </w:p>
        </w:tc>
        <w:tc>
          <w:tcPr>
            <w:tcW w:w="3214" w:type="dxa"/>
            <w:vAlign w:val="center"/>
          </w:tcPr>
          <w:p>
            <w:pPr>
              <w:rPr>
                <w:rFonts w:hint="eastAsia" w:eastAsia="宋体"/>
                <w:color w:val="auto"/>
                <w:sz w:val="21"/>
                <w:szCs w:val="21"/>
                <w:highlight w:val="none"/>
                <w:lang w:eastAsia="zh-CN"/>
              </w:rPr>
            </w:pPr>
            <w:r>
              <w:rPr>
                <w:rFonts w:hint="eastAsia" w:eastAsia="宋体"/>
                <w:color w:val="auto"/>
                <w:sz w:val="21"/>
                <w:szCs w:val="21"/>
                <w:highlight w:val="none"/>
                <w:lang w:eastAsia="zh-CN"/>
              </w:rPr>
              <w:drawing>
                <wp:inline distT="0" distB="0" distL="114300" distR="114300">
                  <wp:extent cx="1864360" cy="1295400"/>
                  <wp:effectExtent l="0" t="0" r="2540" b="0"/>
                  <wp:docPr id="38" name="图片 38" descr="IMG_20190826_15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190826_150140"/>
                          <pic:cNvPicPr>
                            <a:picLocks noChangeAspect="1"/>
                          </pic:cNvPicPr>
                        </pic:nvPicPr>
                        <pic:blipFill>
                          <a:blip r:embed="rId26"/>
                          <a:stretch>
                            <a:fillRect/>
                          </a:stretch>
                        </pic:blipFill>
                        <pic:spPr>
                          <a:xfrm>
                            <a:off x="0" y="0"/>
                            <a:ext cx="1864360" cy="1295400"/>
                          </a:xfrm>
                          <a:prstGeom prst="rect">
                            <a:avLst/>
                          </a:prstGeom>
                        </pic:spPr>
                      </pic:pic>
                    </a:graphicData>
                  </a:graphic>
                </wp:inline>
              </w:drawing>
            </w:r>
          </w:p>
        </w:tc>
        <w:tc>
          <w:tcPr>
            <w:tcW w:w="3184" w:type="dxa"/>
            <w:vAlign w:val="center"/>
          </w:tcPr>
          <w:p>
            <w:pPr>
              <w:rPr>
                <w:rFonts w:hint="eastAsia" w:eastAsia="宋体"/>
                <w:color w:val="auto"/>
                <w:sz w:val="21"/>
                <w:szCs w:val="21"/>
                <w:highlight w:val="none"/>
                <w:lang w:eastAsia="zh-CN"/>
              </w:rPr>
            </w:pPr>
            <w:r>
              <w:rPr>
                <w:rFonts w:hint="eastAsia" w:eastAsia="宋体"/>
                <w:color w:val="auto"/>
                <w:sz w:val="21"/>
                <w:szCs w:val="21"/>
                <w:highlight w:val="none"/>
                <w:lang w:eastAsia="zh-CN"/>
              </w:rPr>
              <w:drawing>
                <wp:inline distT="0" distB="0" distL="114300" distR="114300">
                  <wp:extent cx="1851660" cy="1309370"/>
                  <wp:effectExtent l="0" t="0" r="15240" b="5080"/>
                  <wp:docPr id="33" name="图片 33" descr="IMG_20190826_15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190826_150111"/>
                          <pic:cNvPicPr>
                            <a:picLocks noChangeAspect="1"/>
                          </pic:cNvPicPr>
                        </pic:nvPicPr>
                        <pic:blipFill>
                          <a:blip r:embed="rId27"/>
                          <a:stretch>
                            <a:fillRect/>
                          </a:stretch>
                        </pic:blipFill>
                        <pic:spPr>
                          <a:xfrm>
                            <a:off x="0" y="0"/>
                            <a:ext cx="1851660" cy="130937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3230" w:type="dxa"/>
            <w:tcBorders>
              <w:bottom w:val="single" w:color="auto" w:sz="4" w:space="0"/>
            </w:tcBorders>
            <w:vAlign w:val="center"/>
          </w:tcPr>
          <w:p>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◆估价对象单元</w:t>
            </w:r>
            <w:r>
              <w:rPr>
                <w:rFonts w:hint="eastAsia" w:ascii="仿宋" w:hAnsi="仿宋" w:eastAsia="仿宋" w:cs="仿宋"/>
                <w:color w:val="auto"/>
                <w:sz w:val="21"/>
                <w:szCs w:val="21"/>
                <w:highlight w:val="none"/>
                <w:lang w:eastAsia="zh-CN"/>
              </w:rPr>
              <w:t>号</w:t>
            </w:r>
          </w:p>
        </w:tc>
        <w:tc>
          <w:tcPr>
            <w:tcW w:w="3214" w:type="dxa"/>
            <w:tcBorders>
              <w:bottom w:val="single" w:color="auto" w:sz="4" w:space="0"/>
            </w:tcBorders>
            <w:vAlign w:val="center"/>
          </w:tcPr>
          <w:p>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◆估价对象</w:t>
            </w:r>
            <w:r>
              <w:rPr>
                <w:rFonts w:hint="eastAsia" w:ascii="仿宋" w:hAnsi="仿宋" w:eastAsia="仿宋" w:cs="仿宋"/>
                <w:color w:val="auto"/>
                <w:sz w:val="21"/>
                <w:szCs w:val="21"/>
                <w:highlight w:val="none"/>
                <w:lang w:eastAsia="zh-CN"/>
              </w:rPr>
              <w:t>楼栋入口</w:t>
            </w:r>
          </w:p>
        </w:tc>
        <w:tc>
          <w:tcPr>
            <w:tcW w:w="3184" w:type="dxa"/>
            <w:tcBorders>
              <w:bottom w:val="single" w:color="auto" w:sz="4" w:space="0"/>
            </w:tcBorders>
            <w:vAlign w:val="center"/>
          </w:tcPr>
          <w:p>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◆估价对象</w:t>
            </w:r>
            <w:r>
              <w:rPr>
                <w:rFonts w:hint="eastAsia" w:ascii="仿宋" w:hAnsi="仿宋" w:eastAsia="仿宋" w:cs="仿宋"/>
                <w:color w:val="auto"/>
                <w:sz w:val="21"/>
                <w:szCs w:val="21"/>
                <w:highlight w:val="none"/>
                <w:lang w:eastAsia="zh-CN"/>
              </w:rPr>
              <w:t>梯间状况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21" w:hRule="exact"/>
          <w:jc w:val="center"/>
        </w:trPr>
        <w:tc>
          <w:tcPr>
            <w:tcW w:w="3230" w:type="dxa"/>
            <w:tcBorders>
              <w:top w:val="single" w:color="auto" w:sz="4" w:space="0"/>
              <w:bottom w:val="single" w:color="auto" w:sz="4" w:space="0"/>
            </w:tcBorders>
            <w:vAlign w:val="center"/>
          </w:tcPr>
          <w:p>
            <w:pPr>
              <w:rPr>
                <w:rFonts w:hint="eastAsia" w:eastAsia="宋体"/>
                <w:color w:val="auto"/>
                <w:sz w:val="21"/>
                <w:szCs w:val="21"/>
                <w:highlight w:val="none"/>
                <w:lang w:eastAsia="zh-CN"/>
              </w:rPr>
            </w:pPr>
            <w:r>
              <w:rPr>
                <w:rFonts w:hint="eastAsia" w:eastAsia="宋体"/>
                <w:color w:val="auto"/>
                <w:sz w:val="21"/>
                <w:szCs w:val="21"/>
                <w:highlight w:val="none"/>
                <w:lang w:eastAsia="zh-CN"/>
              </w:rPr>
              <w:drawing>
                <wp:inline distT="0" distB="0" distL="114300" distR="114300">
                  <wp:extent cx="1864360" cy="1398270"/>
                  <wp:effectExtent l="0" t="0" r="2540" b="11430"/>
                  <wp:docPr id="39" name="图片 39" descr="IMG_20190826_15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190826_150231"/>
                          <pic:cNvPicPr>
                            <a:picLocks noChangeAspect="1"/>
                          </pic:cNvPicPr>
                        </pic:nvPicPr>
                        <pic:blipFill>
                          <a:blip r:embed="rId28"/>
                          <a:stretch>
                            <a:fillRect/>
                          </a:stretch>
                        </pic:blipFill>
                        <pic:spPr>
                          <a:xfrm>
                            <a:off x="0" y="0"/>
                            <a:ext cx="1864360" cy="1398270"/>
                          </a:xfrm>
                          <a:prstGeom prst="rect">
                            <a:avLst/>
                          </a:prstGeom>
                        </pic:spPr>
                      </pic:pic>
                    </a:graphicData>
                  </a:graphic>
                </wp:inline>
              </w:drawing>
            </w:r>
          </w:p>
        </w:tc>
        <w:tc>
          <w:tcPr>
            <w:tcW w:w="3214" w:type="dxa"/>
            <w:tcBorders>
              <w:top w:val="single" w:color="auto" w:sz="4" w:space="0"/>
              <w:bottom w:val="single" w:color="auto" w:sz="4" w:space="0"/>
            </w:tcBorders>
            <w:vAlign w:val="center"/>
          </w:tcPr>
          <w:p>
            <w:pPr>
              <w:rPr>
                <w:rFonts w:hint="eastAsia" w:eastAsia="宋体"/>
                <w:color w:val="auto"/>
                <w:sz w:val="21"/>
                <w:szCs w:val="21"/>
                <w:highlight w:val="none"/>
                <w:lang w:eastAsia="zh-CN"/>
              </w:rPr>
            </w:pPr>
            <w:r>
              <w:rPr>
                <w:rFonts w:hint="eastAsia" w:eastAsia="宋体"/>
                <w:color w:val="auto"/>
                <w:sz w:val="21"/>
                <w:szCs w:val="21"/>
                <w:highlight w:val="none"/>
                <w:lang w:eastAsia="zh-CN"/>
              </w:rPr>
              <w:drawing>
                <wp:inline distT="0" distB="0" distL="114300" distR="114300">
                  <wp:extent cx="1864360" cy="1398270"/>
                  <wp:effectExtent l="0" t="0" r="2540" b="11430"/>
                  <wp:docPr id="40" name="图片 40" descr="IMG_20190826_15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190826_150241"/>
                          <pic:cNvPicPr>
                            <a:picLocks noChangeAspect="1"/>
                          </pic:cNvPicPr>
                        </pic:nvPicPr>
                        <pic:blipFill>
                          <a:blip r:embed="rId29"/>
                          <a:stretch>
                            <a:fillRect/>
                          </a:stretch>
                        </pic:blipFill>
                        <pic:spPr>
                          <a:xfrm>
                            <a:off x="0" y="0"/>
                            <a:ext cx="1864360" cy="1398270"/>
                          </a:xfrm>
                          <a:prstGeom prst="rect">
                            <a:avLst/>
                          </a:prstGeom>
                        </pic:spPr>
                      </pic:pic>
                    </a:graphicData>
                  </a:graphic>
                </wp:inline>
              </w:drawing>
            </w:r>
          </w:p>
        </w:tc>
        <w:tc>
          <w:tcPr>
            <w:tcW w:w="3184" w:type="dxa"/>
            <w:tcBorders>
              <w:top w:val="single" w:color="auto" w:sz="4" w:space="0"/>
              <w:bottom w:val="single" w:color="auto" w:sz="4" w:space="0"/>
            </w:tcBorders>
            <w:vAlign w:val="center"/>
          </w:tcPr>
          <w:p>
            <w:pPr>
              <w:rPr>
                <w:rFonts w:hint="eastAsia" w:eastAsia="宋体"/>
                <w:color w:val="auto"/>
                <w:sz w:val="21"/>
                <w:szCs w:val="21"/>
                <w:highlight w:val="none"/>
                <w:lang w:eastAsia="zh-CN"/>
              </w:rPr>
            </w:pPr>
            <w:r>
              <w:rPr>
                <w:rFonts w:hint="eastAsia" w:eastAsia="宋体"/>
                <w:color w:val="auto"/>
                <w:sz w:val="21"/>
                <w:szCs w:val="21"/>
                <w:highlight w:val="none"/>
                <w:lang w:eastAsia="zh-CN"/>
              </w:rPr>
              <w:drawing>
                <wp:inline distT="0" distB="0" distL="114300" distR="114300">
                  <wp:extent cx="1864360" cy="1398270"/>
                  <wp:effectExtent l="0" t="0" r="2540" b="11430"/>
                  <wp:docPr id="41" name="图片 41" descr="IMG_20190826_15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0190826_150251"/>
                          <pic:cNvPicPr>
                            <a:picLocks noChangeAspect="1"/>
                          </pic:cNvPicPr>
                        </pic:nvPicPr>
                        <pic:blipFill>
                          <a:blip r:embed="rId30"/>
                          <a:stretch>
                            <a:fillRect/>
                          </a:stretch>
                        </pic:blipFill>
                        <pic:spPr>
                          <a:xfrm>
                            <a:off x="0" y="0"/>
                            <a:ext cx="1864360" cy="139827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3" w:hRule="exact"/>
          <w:jc w:val="center"/>
        </w:trPr>
        <w:tc>
          <w:tcPr>
            <w:tcW w:w="3230" w:type="dxa"/>
            <w:tcBorders>
              <w:top w:val="single" w:color="auto" w:sz="4" w:space="0"/>
            </w:tcBorders>
          </w:tcPr>
          <w:p>
            <w:pPr>
              <w:jc w:val="center"/>
              <w:rPr>
                <w:rFonts w:eastAsia="仿宋"/>
                <w:color w:val="auto"/>
                <w:sz w:val="21"/>
                <w:szCs w:val="21"/>
                <w:highlight w:val="none"/>
              </w:rPr>
            </w:pPr>
            <w:r>
              <w:rPr>
                <w:rFonts w:hint="eastAsia"/>
                <w:color w:val="auto"/>
                <w:sz w:val="21"/>
                <w:szCs w:val="21"/>
                <w:highlight w:val="none"/>
              </w:rPr>
              <w:t>◆</w:t>
            </w:r>
            <w:r>
              <w:rPr>
                <w:rFonts w:hint="eastAsia" w:ascii="仿宋" w:hAnsi="仿宋" w:eastAsia="仿宋" w:cs="仿宋"/>
                <w:color w:val="auto"/>
                <w:sz w:val="21"/>
                <w:szCs w:val="21"/>
                <w:highlight w:val="none"/>
              </w:rPr>
              <w:t>估价对象内部情况</w:t>
            </w:r>
          </w:p>
        </w:tc>
        <w:tc>
          <w:tcPr>
            <w:tcW w:w="3214" w:type="dxa"/>
            <w:tcBorders>
              <w:top w:val="single" w:color="auto" w:sz="4" w:space="0"/>
            </w:tcBorders>
          </w:tcPr>
          <w:p>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◆估价对象内部情况</w:t>
            </w:r>
          </w:p>
        </w:tc>
        <w:tc>
          <w:tcPr>
            <w:tcW w:w="3184" w:type="dxa"/>
            <w:tcBorders>
              <w:top w:val="single" w:color="auto" w:sz="4" w:space="0"/>
            </w:tcBorders>
            <w:vAlign w:val="center"/>
          </w:tcPr>
          <w:p>
            <w:pPr>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◆估价对象内部情况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2" w:hRule="exact"/>
          <w:jc w:val="center"/>
        </w:trPr>
        <w:tc>
          <w:tcPr>
            <w:tcW w:w="3230" w:type="dxa"/>
            <w:vAlign w:val="center"/>
          </w:tcPr>
          <w:p>
            <w:pPr>
              <w:rPr>
                <w:rFonts w:hint="eastAsia" w:eastAsia="宋体"/>
                <w:color w:val="auto"/>
                <w:sz w:val="21"/>
                <w:szCs w:val="21"/>
                <w:highlight w:val="none"/>
                <w:lang w:eastAsia="zh-CN"/>
              </w:rPr>
            </w:pPr>
            <w:r>
              <w:rPr>
                <w:rFonts w:hint="eastAsia" w:eastAsia="宋体"/>
                <w:color w:val="auto"/>
                <w:sz w:val="21"/>
                <w:szCs w:val="21"/>
                <w:highlight w:val="none"/>
                <w:lang w:eastAsia="zh-CN"/>
              </w:rPr>
              <w:drawing>
                <wp:inline distT="0" distB="0" distL="114300" distR="114300">
                  <wp:extent cx="1864360" cy="1398270"/>
                  <wp:effectExtent l="0" t="0" r="2540" b="11430"/>
                  <wp:docPr id="42" name="图片 42" descr="IMG_20190826_15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0190826_150337"/>
                          <pic:cNvPicPr>
                            <a:picLocks noChangeAspect="1"/>
                          </pic:cNvPicPr>
                        </pic:nvPicPr>
                        <pic:blipFill>
                          <a:blip r:embed="rId31"/>
                          <a:stretch>
                            <a:fillRect/>
                          </a:stretch>
                        </pic:blipFill>
                        <pic:spPr>
                          <a:xfrm>
                            <a:off x="0" y="0"/>
                            <a:ext cx="1864360" cy="1398270"/>
                          </a:xfrm>
                          <a:prstGeom prst="rect">
                            <a:avLst/>
                          </a:prstGeom>
                        </pic:spPr>
                      </pic:pic>
                    </a:graphicData>
                  </a:graphic>
                </wp:inline>
              </w:drawing>
            </w:r>
          </w:p>
        </w:tc>
        <w:tc>
          <w:tcPr>
            <w:tcW w:w="3214" w:type="dxa"/>
            <w:vAlign w:val="center"/>
          </w:tcPr>
          <w:p>
            <w:pPr>
              <w:rPr>
                <w:rFonts w:hint="eastAsia" w:eastAsia="宋体"/>
                <w:color w:val="auto"/>
                <w:sz w:val="21"/>
                <w:szCs w:val="21"/>
                <w:highlight w:val="none"/>
                <w:lang w:eastAsia="zh-CN"/>
              </w:rPr>
            </w:pPr>
            <w:r>
              <w:rPr>
                <w:rFonts w:hint="eastAsia" w:eastAsia="宋体"/>
                <w:color w:val="auto"/>
                <w:sz w:val="21"/>
                <w:szCs w:val="21"/>
                <w:highlight w:val="none"/>
                <w:lang w:eastAsia="zh-CN"/>
              </w:rPr>
              <w:drawing>
                <wp:inline distT="0" distB="0" distL="114300" distR="114300">
                  <wp:extent cx="1864360" cy="1398270"/>
                  <wp:effectExtent l="0" t="0" r="2540" b="11430"/>
                  <wp:docPr id="43" name="图片 43" descr="IMG_20190826_15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0190826_150324"/>
                          <pic:cNvPicPr>
                            <a:picLocks noChangeAspect="1"/>
                          </pic:cNvPicPr>
                        </pic:nvPicPr>
                        <pic:blipFill>
                          <a:blip r:embed="rId32"/>
                          <a:stretch>
                            <a:fillRect/>
                          </a:stretch>
                        </pic:blipFill>
                        <pic:spPr>
                          <a:xfrm>
                            <a:off x="0" y="0"/>
                            <a:ext cx="1864360" cy="1398270"/>
                          </a:xfrm>
                          <a:prstGeom prst="rect">
                            <a:avLst/>
                          </a:prstGeom>
                        </pic:spPr>
                      </pic:pic>
                    </a:graphicData>
                  </a:graphic>
                </wp:inline>
              </w:drawing>
            </w:r>
          </w:p>
        </w:tc>
        <w:tc>
          <w:tcPr>
            <w:tcW w:w="3184" w:type="dxa"/>
            <w:vAlign w:val="center"/>
          </w:tcPr>
          <w:p>
            <w:pPr>
              <w:rPr>
                <w:rFonts w:hint="eastAsia" w:eastAsia="宋体"/>
                <w:color w:val="auto"/>
                <w:sz w:val="21"/>
                <w:szCs w:val="21"/>
                <w:highlight w:val="none"/>
                <w:lang w:eastAsia="zh-CN"/>
              </w:rPr>
            </w:pPr>
            <w:r>
              <w:rPr>
                <w:rFonts w:hint="eastAsia" w:eastAsia="宋体"/>
                <w:color w:val="auto"/>
                <w:sz w:val="21"/>
                <w:szCs w:val="21"/>
                <w:highlight w:val="none"/>
                <w:lang w:eastAsia="zh-CN"/>
              </w:rPr>
              <w:drawing>
                <wp:inline distT="0" distB="0" distL="114300" distR="114300">
                  <wp:extent cx="1864360" cy="1398270"/>
                  <wp:effectExtent l="0" t="0" r="2540" b="11430"/>
                  <wp:docPr id="44" name="图片 44" descr="IMG_20190826_15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0190826_150257"/>
                          <pic:cNvPicPr>
                            <a:picLocks noChangeAspect="1"/>
                          </pic:cNvPicPr>
                        </pic:nvPicPr>
                        <pic:blipFill>
                          <a:blip r:embed="rId33"/>
                          <a:stretch>
                            <a:fillRect/>
                          </a:stretch>
                        </pic:blipFill>
                        <pic:spPr>
                          <a:xfrm>
                            <a:off x="0" y="0"/>
                            <a:ext cx="1864360" cy="139827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jc w:val="center"/>
        </w:trPr>
        <w:tc>
          <w:tcPr>
            <w:tcW w:w="3230" w:type="dxa"/>
            <w:vAlign w:val="center"/>
          </w:tcPr>
          <w:p>
            <w:pPr>
              <w:jc w:val="center"/>
              <w:rPr>
                <w:color w:val="auto"/>
                <w:sz w:val="21"/>
                <w:szCs w:val="21"/>
                <w:highlight w:val="none"/>
              </w:rPr>
            </w:pPr>
            <w:r>
              <w:rPr>
                <w:rFonts w:hint="eastAsia"/>
                <w:color w:val="auto"/>
                <w:sz w:val="21"/>
                <w:szCs w:val="21"/>
                <w:highlight w:val="none"/>
              </w:rPr>
              <w:t>◆</w:t>
            </w:r>
            <w:r>
              <w:rPr>
                <w:rFonts w:hint="eastAsia" w:ascii="仿宋" w:hAnsi="仿宋" w:eastAsia="仿宋" w:cs="仿宋"/>
                <w:color w:val="auto"/>
                <w:sz w:val="21"/>
                <w:szCs w:val="21"/>
                <w:highlight w:val="none"/>
              </w:rPr>
              <w:t>估价对内部情况</w:t>
            </w:r>
          </w:p>
        </w:tc>
        <w:tc>
          <w:tcPr>
            <w:tcW w:w="3214" w:type="dxa"/>
          </w:tcPr>
          <w:p>
            <w:pPr>
              <w:jc w:val="center"/>
              <w:rPr>
                <w:color w:val="auto"/>
                <w:sz w:val="21"/>
                <w:szCs w:val="21"/>
                <w:highlight w:val="none"/>
              </w:rPr>
            </w:pPr>
            <w:r>
              <w:rPr>
                <w:rFonts w:hint="eastAsia" w:ascii="仿宋" w:hAnsi="仿宋" w:eastAsia="仿宋" w:cs="仿宋"/>
                <w:color w:val="auto"/>
                <w:sz w:val="21"/>
                <w:szCs w:val="21"/>
                <w:highlight w:val="none"/>
              </w:rPr>
              <w:t>◆估价对象内部情况</w:t>
            </w:r>
          </w:p>
        </w:tc>
        <w:tc>
          <w:tcPr>
            <w:tcW w:w="3184" w:type="dxa"/>
          </w:tcPr>
          <w:p>
            <w:pPr>
              <w:jc w:val="center"/>
              <w:rPr>
                <w:color w:val="auto"/>
                <w:sz w:val="21"/>
                <w:szCs w:val="21"/>
                <w:highlight w:val="none"/>
              </w:rPr>
            </w:pPr>
            <w:r>
              <w:rPr>
                <w:rFonts w:hint="eastAsia" w:ascii="仿宋" w:hAnsi="仿宋" w:eastAsia="仿宋" w:cs="仿宋"/>
                <w:color w:val="auto"/>
                <w:sz w:val="21"/>
                <w:szCs w:val="21"/>
                <w:highlight w:val="none"/>
              </w:rPr>
              <w:t>◆估价对象内部情况</w:t>
            </w:r>
          </w:p>
        </w:tc>
      </w:tr>
    </w:tbl>
    <w:p>
      <w:pPr>
        <w:jc w:val="right"/>
        <w:rPr>
          <w:rFonts w:hint="eastAsia" w:ascii="仿宋" w:hAnsi="仿宋" w:eastAsia="仿宋" w:cs="仿宋"/>
          <w:color w:val="auto"/>
          <w:highlight w:val="none"/>
          <w:lang w:eastAsia="zh-CN"/>
        </w:rPr>
      </w:pPr>
      <w:r>
        <w:rPr>
          <w:rFonts w:hint="eastAsia" w:ascii="仿宋" w:hAnsi="仿宋" w:eastAsia="仿宋" w:cs="仿宋"/>
          <w:color w:val="auto"/>
          <w:highlight w:val="none"/>
        </w:rPr>
        <w:t>拍摄日期：</w:t>
      </w:r>
      <w:r>
        <w:rPr>
          <w:rFonts w:hint="eastAsia" w:ascii="仿宋" w:hAnsi="仿宋" w:eastAsia="仿宋" w:cs="仿宋"/>
          <w:color w:val="auto"/>
          <w:highlight w:val="none"/>
          <w:lang w:eastAsia="zh-CN"/>
        </w:rPr>
        <w:t>2019年8月26日</w:t>
      </w:r>
    </w:p>
    <w:p>
      <w:pPr>
        <w:rPr>
          <w:color w:val="auto"/>
          <w:highlight w:val="none"/>
        </w:rPr>
      </w:pPr>
    </w:p>
    <w:bookmarkEnd w:id="172"/>
    <w:p>
      <w:pPr>
        <w:pStyle w:val="4"/>
        <w:widowControl w:val="0"/>
        <w:spacing w:before="0" w:after="0" w:line="460" w:lineRule="exact"/>
        <w:jc w:val="center"/>
        <w:rPr>
          <w:rFonts w:ascii="仿宋" w:hAnsi="仿宋" w:eastAsia="仿宋" w:cs="宋体"/>
          <w:color w:val="auto"/>
          <w:sz w:val="24"/>
          <w:szCs w:val="24"/>
          <w:highlight w:val="none"/>
        </w:rPr>
      </w:pPr>
      <w:bookmarkStart w:id="173" w:name="_Toc32113"/>
      <w:bookmarkStart w:id="174" w:name="_Toc471978274"/>
      <w:bookmarkStart w:id="175" w:name="_Toc361"/>
      <w:bookmarkStart w:id="176" w:name="_Toc12165"/>
      <w:r>
        <w:rPr>
          <w:rFonts w:hint="eastAsia" w:ascii="仿宋" w:hAnsi="仿宋" w:eastAsia="仿宋" w:cs="宋体"/>
          <w:color w:val="auto"/>
          <w:sz w:val="24"/>
          <w:szCs w:val="24"/>
          <w:highlight w:val="none"/>
          <w:lang w:eastAsia="zh-CN"/>
        </w:rPr>
        <w:t>八</w:t>
      </w:r>
      <w:r>
        <w:rPr>
          <w:rFonts w:hint="eastAsia" w:ascii="仿宋" w:hAnsi="仿宋" w:eastAsia="仿宋" w:cs="宋体"/>
          <w:color w:val="auto"/>
          <w:sz w:val="24"/>
          <w:szCs w:val="24"/>
          <w:highlight w:val="none"/>
        </w:rPr>
        <w:t>、</w:t>
      </w:r>
      <w:bookmarkEnd w:id="173"/>
      <w:bookmarkEnd w:id="174"/>
      <w:r>
        <w:rPr>
          <w:rFonts w:hint="eastAsia" w:ascii="仿宋" w:hAnsi="仿宋" w:eastAsia="仿宋" w:cs="仿宋"/>
          <w:color w:val="auto"/>
          <w:kern w:val="44"/>
          <w:sz w:val="24"/>
          <w:szCs w:val="24"/>
          <w:highlight w:val="none"/>
        </w:rPr>
        <w:t>总公司营业执照</w:t>
      </w:r>
      <w:bookmarkEnd w:id="175"/>
      <w:bookmarkEnd w:id="176"/>
    </w:p>
    <w:p>
      <w:pPr>
        <w:rPr>
          <w:color w:val="auto"/>
          <w:highlight w:val="none"/>
        </w:rPr>
      </w:pPr>
      <w:r>
        <w:rPr>
          <w:rFonts w:ascii="仿宋" w:hAnsi="仿宋" w:cs="仿宋_GB2312"/>
          <w:color w:val="auto"/>
          <w:szCs w:val="28"/>
          <w:highlight w:val="none"/>
        </w:rPr>
        <w:drawing>
          <wp:anchor distT="0" distB="0" distL="114300" distR="114300" simplePos="0" relativeHeight="251678720" behindDoc="0" locked="0" layoutInCell="1" allowOverlap="1">
            <wp:simplePos x="0" y="0"/>
            <wp:positionH relativeFrom="column">
              <wp:posOffset>536575</wp:posOffset>
            </wp:positionH>
            <wp:positionV relativeFrom="paragraph">
              <wp:posOffset>50165</wp:posOffset>
            </wp:positionV>
            <wp:extent cx="5043170" cy="7124065"/>
            <wp:effectExtent l="0" t="0" r="5080" b="635"/>
            <wp:wrapTopAndBottom/>
            <wp:docPr id="45" name="图片 63" descr="C:\Users\Administrator\Desktop\博文总公司最新营业执照.jpg博文总公司最新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3" descr="C:\Users\Administrator\Desktop\博文总公司最新营业执照.jpg博文总公司最新营业执照"/>
                    <pic:cNvPicPr>
                      <a:picLocks noChangeAspect="1"/>
                    </pic:cNvPicPr>
                  </pic:nvPicPr>
                  <pic:blipFill>
                    <a:blip r:embed="rId34"/>
                    <a:srcRect/>
                    <a:stretch>
                      <a:fillRect/>
                    </a:stretch>
                  </pic:blipFill>
                  <pic:spPr>
                    <a:xfrm>
                      <a:off x="0" y="0"/>
                      <a:ext cx="5043170" cy="7124065"/>
                    </a:xfrm>
                    <a:prstGeom prst="rect">
                      <a:avLst/>
                    </a:prstGeom>
                    <a:noFill/>
                    <a:ln w="9525">
                      <a:noFill/>
                      <a:miter/>
                    </a:ln>
                  </pic:spPr>
                </pic:pic>
              </a:graphicData>
            </a:graphic>
          </wp:anchor>
        </w:drawing>
      </w:r>
    </w:p>
    <w:p>
      <w:pPr>
        <w:widowControl w:val="0"/>
        <w:spacing w:line="460" w:lineRule="exact"/>
        <w:jc w:val="center"/>
        <w:rPr>
          <w:rFonts w:ascii="仿宋" w:hAnsi="仿宋" w:eastAsia="仿宋"/>
          <w:color w:val="auto"/>
          <w:highlight w:val="none"/>
        </w:rPr>
      </w:pPr>
      <w:bookmarkStart w:id="177" w:name="_Toc471978275"/>
      <w:bookmarkStart w:id="178" w:name="_Toc458"/>
    </w:p>
    <w:p>
      <w:pPr>
        <w:widowControl w:val="0"/>
        <w:spacing w:line="460" w:lineRule="exact"/>
        <w:jc w:val="center"/>
        <w:rPr>
          <w:rFonts w:ascii="仿宋" w:hAnsi="仿宋" w:eastAsia="仿宋"/>
          <w:color w:val="auto"/>
          <w:highlight w:val="none"/>
        </w:rPr>
      </w:pPr>
    </w:p>
    <w:p>
      <w:pPr>
        <w:pStyle w:val="2"/>
        <w:rPr>
          <w:rFonts w:ascii="仿宋" w:hAnsi="仿宋" w:eastAsia="仿宋"/>
          <w:color w:val="auto"/>
          <w:highlight w:val="none"/>
        </w:rPr>
      </w:pPr>
    </w:p>
    <w:p>
      <w:pPr>
        <w:pStyle w:val="4"/>
        <w:widowControl w:val="0"/>
        <w:spacing w:before="0" w:after="0" w:line="460" w:lineRule="exact"/>
        <w:jc w:val="center"/>
        <w:rPr>
          <w:rFonts w:ascii="仿宋" w:hAnsi="仿宋" w:eastAsia="仿宋" w:cs="宋体"/>
          <w:color w:val="auto"/>
          <w:sz w:val="24"/>
          <w:szCs w:val="24"/>
          <w:highlight w:val="none"/>
        </w:rPr>
      </w:pPr>
      <w:bookmarkStart w:id="179" w:name="_Toc27619"/>
      <w:bookmarkStart w:id="180" w:name="_Toc31371"/>
      <w:r>
        <w:rPr>
          <w:rFonts w:hint="eastAsia" w:ascii="仿宋" w:hAnsi="仿宋" w:eastAsia="仿宋" w:cs="宋体"/>
          <w:color w:val="auto"/>
          <w:sz w:val="24"/>
          <w:szCs w:val="24"/>
          <w:highlight w:val="none"/>
          <w:lang w:eastAsia="zh-CN"/>
        </w:rPr>
        <w:t>九</w:t>
      </w:r>
      <w:r>
        <w:rPr>
          <w:rFonts w:hint="eastAsia" w:ascii="仿宋" w:hAnsi="仿宋" w:eastAsia="仿宋" w:cs="宋体"/>
          <w:color w:val="auto"/>
          <w:sz w:val="24"/>
          <w:szCs w:val="24"/>
          <w:highlight w:val="none"/>
        </w:rPr>
        <w:t>、分公司营业执照</w:t>
      </w:r>
      <w:bookmarkEnd w:id="179"/>
      <w:bookmarkEnd w:id="180"/>
    </w:p>
    <w:p>
      <w:pPr>
        <w:pStyle w:val="2"/>
        <w:jc w:val="center"/>
        <w:rPr>
          <w:rFonts w:ascii="仿宋" w:hAnsi="仿宋" w:eastAsia="仿宋"/>
          <w:color w:val="auto"/>
          <w:highlight w:val="none"/>
        </w:rPr>
      </w:pPr>
      <w:r>
        <w:rPr>
          <w:rFonts w:hint="eastAsia"/>
          <w:color w:val="auto"/>
          <w:highlight w:val="none"/>
        </w:rPr>
        <w:drawing>
          <wp:inline distT="0" distB="0" distL="114300" distR="114300">
            <wp:extent cx="5532755" cy="6617335"/>
            <wp:effectExtent l="0" t="0" r="10795" b="12065"/>
            <wp:docPr id="47" name="图片 47" descr="C:\Users\Administrator\Desktop\QQ图片20181115163554.jpgQQ图片2018111516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QQ图片20181115163554.jpgQQ图片20181115163554"/>
                    <pic:cNvPicPr>
                      <a:picLocks noChangeAspect="1"/>
                    </pic:cNvPicPr>
                  </pic:nvPicPr>
                  <pic:blipFill>
                    <a:blip r:embed="rId35"/>
                    <a:srcRect/>
                    <a:stretch>
                      <a:fillRect/>
                    </a:stretch>
                  </pic:blipFill>
                  <pic:spPr>
                    <a:xfrm>
                      <a:off x="0" y="0"/>
                      <a:ext cx="5532755" cy="6617335"/>
                    </a:xfrm>
                    <a:prstGeom prst="rect">
                      <a:avLst/>
                    </a:prstGeom>
                  </pic:spPr>
                </pic:pic>
              </a:graphicData>
            </a:graphic>
          </wp:inline>
        </w:drawing>
      </w:r>
    </w:p>
    <w:p>
      <w:pPr>
        <w:pStyle w:val="2"/>
        <w:rPr>
          <w:rFonts w:ascii="仿宋" w:hAnsi="仿宋" w:eastAsia="仿宋"/>
          <w:color w:val="auto"/>
          <w:highlight w:val="none"/>
        </w:rPr>
      </w:pPr>
    </w:p>
    <w:p>
      <w:pPr>
        <w:pStyle w:val="2"/>
        <w:rPr>
          <w:rFonts w:ascii="仿宋" w:hAnsi="仿宋" w:eastAsia="仿宋"/>
          <w:color w:val="auto"/>
          <w:highlight w:val="none"/>
        </w:rPr>
      </w:pPr>
    </w:p>
    <w:p>
      <w:pPr>
        <w:pStyle w:val="2"/>
        <w:rPr>
          <w:rFonts w:ascii="仿宋" w:hAnsi="仿宋" w:eastAsia="仿宋"/>
          <w:color w:val="auto"/>
          <w:highlight w:val="none"/>
        </w:rPr>
      </w:pPr>
    </w:p>
    <w:p>
      <w:pPr>
        <w:pStyle w:val="4"/>
        <w:widowControl w:val="0"/>
        <w:spacing w:before="0" w:after="0" w:line="460" w:lineRule="exact"/>
        <w:jc w:val="center"/>
        <w:rPr>
          <w:rFonts w:ascii="仿宋" w:hAnsi="仿宋" w:eastAsia="仿宋" w:cs="宋体"/>
          <w:color w:val="auto"/>
          <w:sz w:val="24"/>
          <w:szCs w:val="24"/>
          <w:highlight w:val="none"/>
        </w:rPr>
      </w:pPr>
      <w:bookmarkStart w:id="181" w:name="_Toc8693"/>
      <w:bookmarkStart w:id="182" w:name="_Toc13636"/>
      <w:r>
        <w:rPr>
          <w:rFonts w:hint="eastAsia" w:ascii="仿宋" w:hAnsi="仿宋" w:eastAsia="仿宋" w:cs="宋体"/>
          <w:color w:val="auto"/>
          <w:sz w:val="24"/>
          <w:szCs w:val="24"/>
          <w:highlight w:val="none"/>
          <w:lang w:eastAsia="zh-CN"/>
        </w:rPr>
        <w:t>十</w:t>
      </w:r>
      <w:r>
        <w:rPr>
          <w:rFonts w:hint="eastAsia" w:ascii="仿宋" w:hAnsi="仿宋" w:eastAsia="仿宋" w:cs="宋体"/>
          <w:color w:val="auto"/>
          <w:sz w:val="24"/>
          <w:szCs w:val="24"/>
          <w:highlight w:val="none"/>
        </w:rPr>
        <w:t>、估价机构资质证书</w:t>
      </w:r>
      <w:bookmarkEnd w:id="177"/>
      <w:bookmarkEnd w:id="178"/>
      <w:bookmarkEnd w:id="181"/>
      <w:bookmarkEnd w:id="182"/>
    </w:p>
    <w:p>
      <w:pPr>
        <w:jc w:val="center"/>
        <w:rPr>
          <w:color w:val="auto"/>
          <w:highlight w:val="none"/>
        </w:rPr>
      </w:pPr>
      <w:r>
        <w:rPr>
          <w:rFonts w:ascii="仿宋" w:hAnsi="仿宋" w:cs="仿宋_GB2312"/>
          <w:color w:val="auto"/>
          <w:szCs w:val="28"/>
          <w:highlight w:val="none"/>
        </w:rPr>
        <w:drawing>
          <wp:inline distT="0" distB="0" distL="114300" distR="114300">
            <wp:extent cx="4835525" cy="6915785"/>
            <wp:effectExtent l="0" t="0" r="3175" b="18415"/>
            <wp:docPr id="101" name="图片 68" descr="C:\Users\Administrator\Desktop\QQ图片20181107164341.jpgQQ图片2018110716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8" descr="C:\Users\Administrator\Desktop\QQ图片20181107164341.jpgQQ图片20181107164341"/>
                    <pic:cNvPicPr>
                      <a:picLocks noChangeAspect="1"/>
                    </pic:cNvPicPr>
                  </pic:nvPicPr>
                  <pic:blipFill>
                    <a:blip r:embed="rId36">
                      <a:lum/>
                    </a:blip>
                    <a:srcRect/>
                    <a:stretch>
                      <a:fillRect/>
                    </a:stretch>
                  </pic:blipFill>
                  <pic:spPr>
                    <a:xfrm>
                      <a:off x="0" y="0"/>
                      <a:ext cx="4835525" cy="6915785"/>
                    </a:xfrm>
                    <a:prstGeom prst="rect">
                      <a:avLst/>
                    </a:prstGeom>
                    <a:noFill/>
                    <a:ln w="9525">
                      <a:noFill/>
                      <a:miter/>
                    </a:ln>
                  </pic:spPr>
                </pic:pic>
              </a:graphicData>
            </a:graphic>
          </wp:inline>
        </w:drawing>
      </w:r>
    </w:p>
    <w:p>
      <w:pPr>
        <w:rPr>
          <w:color w:val="auto"/>
          <w:highlight w:val="none"/>
        </w:rPr>
      </w:pPr>
      <w:bookmarkStart w:id="183" w:name="_Toc21620"/>
      <w:bookmarkStart w:id="184" w:name="_Toc471978277"/>
    </w:p>
    <w:p>
      <w:pPr>
        <w:jc w:val="center"/>
        <w:rPr>
          <w:rFonts w:hint="eastAsia" w:ascii="仿宋" w:hAnsi="仿宋" w:eastAsia="仿宋"/>
          <w:color w:val="auto"/>
          <w:highlight w:val="none"/>
        </w:rPr>
      </w:pPr>
      <w:r>
        <w:rPr>
          <w:rFonts w:hint="eastAsia" w:ascii="仿宋" w:hAnsi="仿宋" w:eastAsia="仿宋"/>
          <w:color w:val="auto"/>
          <w:highlight w:val="none"/>
        </w:rPr>
        <w:br w:type="page"/>
      </w:r>
      <w:r>
        <w:rPr>
          <w:rFonts w:hint="eastAsia"/>
          <w:color w:val="auto"/>
          <w:highlight w:val="none"/>
        </w:rPr>
        <w:drawing>
          <wp:inline distT="0" distB="0" distL="114300" distR="114300">
            <wp:extent cx="5020310" cy="7110095"/>
            <wp:effectExtent l="0" t="0" r="8890" b="14605"/>
            <wp:docPr id="46" name="图片 46" descr="QQ图片2018110716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Q图片20181107164352"/>
                    <pic:cNvPicPr>
                      <a:picLocks noChangeAspect="1"/>
                    </pic:cNvPicPr>
                  </pic:nvPicPr>
                  <pic:blipFill>
                    <a:blip r:embed="rId37"/>
                    <a:stretch>
                      <a:fillRect/>
                    </a:stretch>
                  </pic:blipFill>
                  <pic:spPr>
                    <a:xfrm>
                      <a:off x="0" y="0"/>
                      <a:ext cx="5020310" cy="7110095"/>
                    </a:xfrm>
                    <a:prstGeom prst="rect">
                      <a:avLst/>
                    </a:prstGeom>
                  </pic:spPr>
                </pic:pic>
              </a:graphicData>
            </a:graphic>
          </wp:inline>
        </w:drawing>
      </w:r>
    </w:p>
    <w:p>
      <w:pPr>
        <w:pStyle w:val="2"/>
        <w:rPr>
          <w:color w:val="auto"/>
          <w:highlight w:val="none"/>
        </w:rPr>
      </w:pPr>
    </w:p>
    <w:p>
      <w:pPr>
        <w:rPr>
          <w:rFonts w:hint="eastAsia" w:ascii="仿宋" w:hAnsi="仿宋" w:eastAsia="仿宋" w:cs="宋体"/>
          <w:color w:val="auto"/>
          <w:sz w:val="24"/>
          <w:szCs w:val="24"/>
          <w:highlight w:val="none"/>
        </w:rPr>
      </w:pPr>
      <w:bookmarkStart w:id="185" w:name="_Toc28077"/>
      <w:bookmarkStart w:id="186" w:name="_Toc22313"/>
      <w:r>
        <w:rPr>
          <w:rFonts w:hint="eastAsia" w:ascii="仿宋" w:hAnsi="仿宋" w:eastAsia="仿宋" w:cs="宋体"/>
          <w:color w:val="auto"/>
          <w:sz w:val="24"/>
          <w:szCs w:val="24"/>
          <w:highlight w:val="none"/>
        </w:rPr>
        <w:br w:type="page"/>
      </w:r>
    </w:p>
    <w:p>
      <w:pPr>
        <w:pStyle w:val="4"/>
        <w:widowControl w:val="0"/>
        <w:spacing w:before="0" w:after="0" w:line="460" w:lineRule="exact"/>
        <w:jc w:val="center"/>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十</w:t>
      </w:r>
      <w:r>
        <w:rPr>
          <w:rFonts w:hint="eastAsia" w:ascii="仿宋" w:hAnsi="仿宋" w:eastAsia="仿宋" w:cs="宋体"/>
          <w:color w:val="auto"/>
          <w:sz w:val="24"/>
          <w:szCs w:val="24"/>
          <w:highlight w:val="none"/>
          <w:lang w:eastAsia="zh-CN"/>
        </w:rPr>
        <w:t>一</w:t>
      </w:r>
      <w:r>
        <w:rPr>
          <w:rFonts w:hint="eastAsia" w:ascii="仿宋" w:hAnsi="仿宋" w:eastAsia="仿宋" w:cs="宋体"/>
          <w:color w:val="auto"/>
          <w:sz w:val="24"/>
          <w:szCs w:val="24"/>
          <w:highlight w:val="none"/>
        </w:rPr>
        <w:t>、注册估价师资格证书</w:t>
      </w:r>
      <w:bookmarkEnd w:id="183"/>
      <w:bookmarkEnd w:id="184"/>
      <w:bookmarkEnd w:id="185"/>
      <w:bookmarkEnd w:id="186"/>
    </w:p>
    <w:p>
      <w:pPr>
        <w:jc w:val="center"/>
        <w:rPr>
          <w:color w:val="auto"/>
          <w:highlight w:val="none"/>
        </w:rPr>
      </w:pPr>
    </w:p>
    <w:p>
      <w:pPr>
        <w:jc w:val="center"/>
        <w:rPr>
          <w:color w:val="auto"/>
          <w:highlight w:val="none"/>
        </w:rPr>
      </w:pPr>
      <w:r>
        <w:rPr>
          <w:rFonts w:hint="eastAsia"/>
          <w:color w:val="auto"/>
          <w:highlight w:val="none"/>
        </w:rPr>
        <w:drawing>
          <wp:inline distT="0" distB="0" distL="114300" distR="114300">
            <wp:extent cx="5540375" cy="3550920"/>
            <wp:effectExtent l="0" t="0" r="3175" b="11430"/>
            <wp:docPr id="48" name="图片 48" descr="杨再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杨再成"/>
                    <pic:cNvPicPr>
                      <a:picLocks noChangeAspect="1"/>
                    </pic:cNvPicPr>
                  </pic:nvPicPr>
                  <pic:blipFill>
                    <a:blip r:embed="rId38"/>
                    <a:stretch>
                      <a:fillRect/>
                    </a:stretch>
                  </pic:blipFill>
                  <pic:spPr>
                    <a:xfrm>
                      <a:off x="0" y="0"/>
                      <a:ext cx="5540375" cy="3550920"/>
                    </a:xfrm>
                    <a:prstGeom prst="rect">
                      <a:avLst/>
                    </a:prstGeom>
                  </pic:spPr>
                </pic:pic>
              </a:graphicData>
            </a:graphic>
          </wp:inline>
        </w:drawing>
      </w:r>
    </w:p>
    <w:p>
      <w:pPr>
        <w:ind w:left="425" w:leftChars="177" w:firstLine="1"/>
        <w:rPr>
          <w:color w:val="auto"/>
          <w:highlight w:val="none"/>
        </w:rPr>
      </w:pPr>
    </w:p>
    <w:p>
      <w:pPr>
        <w:ind w:left="425" w:leftChars="177" w:firstLine="1"/>
        <w:rPr>
          <w:color w:val="auto"/>
          <w:highlight w:val="none"/>
        </w:rPr>
      </w:pPr>
      <w:r>
        <w:rPr>
          <w:rFonts w:hint="eastAsia"/>
          <w:color w:val="auto"/>
          <w:highlight w:val="none"/>
        </w:rPr>
        <w:drawing>
          <wp:inline distT="0" distB="0" distL="114300" distR="114300">
            <wp:extent cx="5534025" cy="3629025"/>
            <wp:effectExtent l="0" t="0" r="9525" b="9525"/>
            <wp:docPr id="49" name="图片 49" descr="王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王飞"/>
                    <pic:cNvPicPr>
                      <a:picLocks noChangeAspect="1"/>
                    </pic:cNvPicPr>
                  </pic:nvPicPr>
                  <pic:blipFill>
                    <a:blip r:embed="rId39"/>
                    <a:stretch>
                      <a:fillRect/>
                    </a:stretch>
                  </pic:blipFill>
                  <pic:spPr>
                    <a:xfrm>
                      <a:off x="0" y="0"/>
                      <a:ext cx="5534025" cy="3629025"/>
                    </a:xfrm>
                    <a:prstGeom prst="rect">
                      <a:avLst/>
                    </a:prstGeom>
                  </pic:spPr>
                </pic:pic>
              </a:graphicData>
            </a:graphic>
          </wp:inline>
        </w:drawing>
      </w:r>
    </w:p>
    <w:p>
      <w:pPr>
        <w:spacing w:line="420" w:lineRule="auto"/>
        <w:jc w:val="both"/>
        <w:rPr>
          <w:color w:val="auto"/>
          <w:sz w:val="32"/>
          <w:szCs w:val="32"/>
          <w:highlight w:val="none"/>
        </w:rPr>
      </w:pPr>
    </w:p>
    <w:sectPr>
      <w:headerReference r:id="rId5" w:type="first"/>
      <w:footerReference r:id="rId7" w:type="first"/>
      <w:footerReference r:id="rId6" w:type="default"/>
      <w:pgSz w:w="11907" w:h="16840"/>
      <w:pgMar w:top="1531" w:right="1134" w:bottom="1418" w:left="1361" w:header="851" w:footer="992" w:gutter="0"/>
      <w:pgBorders>
        <w:top w:val="none" w:sz="0" w:space="0"/>
        <w:left w:val="none" w:sz="0" w:space="0"/>
        <w:bottom w:val="none" w:sz="0" w:space="0"/>
        <w:right w:val="none" w:sz="0" w:space="0"/>
      </w:pgBorders>
      <w:pgNumType w:start="1"/>
      <w:cols w:space="720" w:num="1"/>
      <w:titlePg/>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rPr>
        <w:rStyle w:val="12"/>
      </w:rPr>
    </w:pPr>
  </w:p>
  <w:p>
    <w:pPr>
      <w:pStyle w:val="7"/>
      <w:ind w:right="360" w:rightChars="150" w:firstLine="180" w:firstLineChars="100"/>
      <w:rPr>
        <w:bCs/>
        <w:color w:val="FF0000"/>
      </w:rPr>
    </w:pPr>
    <w:r>
      <w:rPr>
        <w:rFonts w:asciiTheme="majorEastAsia" w:hAnsiTheme="majorEastAsia" w:eastAsiaTheme="majorEastAsia"/>
        <w:bCs/>
      </w:rPr>
      <mc:AlternateContent>
        <mc:Choice Requires="wps">
          <w:drawing>
            <wp:anchor distT="0" distB="0" distL="114300" distR="114300" simplePos="0" relativeHeight="251656192" behindDoc="0" locked="0" layoutInCell="1" allowOverlap="1">
              <wp:simplePos x="0" y="0"/>
              <wp:positionH relativeFrom="column">
                <wp:posOffset>-26670</wp:posOffset>
              </wp:positionH>
              <wp:positionV relativeFrom="paragraph">
                <wp:posOffset>-55245</wp:posOffset>
              </wp:positionV>
              <wp:extent cx="6090920" cy="3175"/>
              <wp:effectExtent l="0" t="0" r="0" b="0"/>
              <wp:wrapNone/>
              <wp:docPr id="2" name="直接连接符 56"/>
              <wp:cNvGraphicFramePr/>
              <a:graphic xmlns:a="http://schemas.openxmlformats.org/drawingml/2006/main">
                <a:graphicData uri="http://schemas.microsoft.com/office/word/2010/wordprocessingShape">
                  <wps:wsp>
                    <wps:cNvCnPr/>
                    <wps:spPr>
                      <a:xfrm>
                        <a:off x="0" y="0"/>
                        <a:ext cx="6090920" cy="31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56" o:spid="_x0000_s1026" o:spt="20" style="position:absolute;left:0pt;margin-left:-2.1pt;margin-top:-4.35pt;height:0.25pt;width:479.6pt;z-index:251656192;mso-width-relative:page;mso-height-relative:page;" filled="f" stroked="t" coordsize="21600,21600" o:gfxdata="UEsDBAoAAAAAAIdO4kAAAAAAAAAAAAAAAAAEAAAAZHJzL1BLAwQUAAAACACHTuJAdx02ENYAAAAI&#10;AQAADwAAAGRycy9kb3ducmV2LnhtbE2PT0/DMAzF70h8h8hIXKYtWWEwStMdgN64MEBcvca0FY3T&#10;Ndkf+PR4JzhZ9nt6/r1idfS92tMYu8AW5jMDirgOruPGwttrNV2CignZYR+YLHxThFV5flZg7sKB&#10;X2i/To2SEI45WmhTGnKtY92SxzgLA7Fon2H0mGQdG+1GPEi473VmzI322LF8aHGgh5bqr/XOW4jV&#10;O22rn0k9MR9XTaBs+/j8hNZeXszNPahEx/RnhhO+oEMpTJuwYxdVb2F6nYlT5vIWlOh3i4V025wO&#10;Geiy0P8LlL9QSwMEFAAAAAgAh07iQIkkaWjiAQAAqAMAAA4AAABkcnMvZTJvRG9jLnhtbK1TS44T&#10;MRDdI3EHy3vSnaAE0kpnFhOGDYJIwAEq/nRb8k+2J51cggsgsYMVS/bcZoZjUHZ6MgNsEKIX1WVX&#10;+XW959eri4PRZC9CVM62dDqpKRGWOa5s19L3766ePKckJrActLOipUcR6cX68aPV4Bsxc73TXASC&#10;IDY2g29pn5JvqiqyXhiIE+eFxaJ0wUDCZegqHmBAdKOrWV0vqsEF7oNjIkbc3ZyKdF3wpRQsvZEy&#10;ikR0S3G2VGIocZdjtV5B0wXwvWLjGPAPUxhQFj96htpAAnId1B9QRrHgopNpwpypnJSKicIB2Uzr&#10;39i87cGLwgXFif4sU/x/sOz1fhuI4i2dUWLB4BXdfvx28+Hzj++fMN5+/ULmi6zS4GODzZd2G8ZV&#10;9NuQKR9kMPmNZMihKHs8KysOiTDcXNTLejnDC2BYezp9Ns+Q1f1ZH2J6KZwhOWmpVjbzhgb2r2I6&#10;td615G1tydDS5Xw2R0RA20gNCVPjkUi0XTkbnVb8SmmdT8TQ7S51IHvIRijPOMIvbfkjG4j9qa+U&#10;chs0vQD+wnKSjh4lsuhlmkcwglOiBVo/Z6UzgdJ/04nstc3Qoth05JllPgmbs53jR7yeax9U16Mu&#10;0zJzrqAdioCjdbPfHq4xf/iDrX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x02ENYAAAAIAQAA&#10;DwAAAAAAAAABACAAAAAiAAAAZHJzL2Rvd25yZXYueG1sUEsBAhQAFAAAAAgAh07iQIkkaWjiAQAA&#10;qAMAAA4AAAAAAAAAAQAgAAAAJQEAAGRycy9lMm9Eb2MueG1sUEsFBgAAAAAGAAYAWQEAAHkFAAAA&#10;AA==&#10;">
              <v:fill on="f" focussize="0,0"/>
              <v:stroke color="#000000" joinstyle="round"/>
              <v:imagedata o:title=""/>
              <o:lock v:ext="edit" aspectratio="f"/>
            </v:line>
          </w:pict>
        </mc:Fallback>
      </mc:AlternateContent>
    </w:r>
    <w:r>
      <w:rPr>
        <w:rFonts w:hint="eastAsia" w:asciiTheme="majorEastAsia" w:hAnsiTheme="majorEastAsia" w:eastAsiaTheme="majorEastAsia"/>
        <w:bCs/>
      </w:rPr>
      <w:t>地址</w:t>
    </w:r>
    <w:r>
      <w:rPr>
        <w:rFonts w:hint="eastAsia" w:asciiTheme="minorEastAsia" w:hAnsiTheme="minorEastAsia" w:eastAsiaTheme="minorEastAsia"/>
        <w:bCs/>
      </w:rPr>
      <w:t>：</w:t>
    </w:r>
    <w:r>
      <w:rPr>
        <w:rFonts w:hint="eastAsia" w:asciiTheme="minorEastAsia" w:hAnsiTheme="minorEastAsia" w:eastAsiaTheme="minorEastAsia"/>
        <w:snapToGrid w:val="0"/>
      </w:rPr>
      <w:t>贵阳市观山湖区长岭北路8号美的·财智中心C座3A-423号</w:t>
    </w:r>
    <w:r>
      <w:rPr>
        <w:rFonts w:hint="eastAsia"/>
        <w:bCs/>
      </w:rPr>
      <w:t xml:space="preserve"> 电话：0851-86684367  17785964961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asciiTheme="minorEastAsia" w:hAnsiTheme="minorEastAsia" w:eastAsiaTheme="minorEastAsia"/>
        <w:sz w:val="18"/>
        <w:szCs w:val="18"/>
      </w:rPr>
    </w:pPr>
    <w:r>
      <w:rPr>
        <w:rFonts w:asciiTheme="minorEastAsia" w:hAnsiTheme="minorEastAsia" w:eastAsiaTheme="minorEastAsia"/>
        <w:sz w:val="18"/>
        <w:szCs w:val="18"/>
      </w:rPr>
      <mc:AlternateContent>
        <mc:Choice Requires="wps">
          <w:drawing>
            <wp:anchor distT="0" distB="0" distL="114300" distR="114300" simplePos="0" relativeHeight="251658240" behindDoc="0" locked="0" layoutInCell="1" allowOverlap="1">
              <wp:simplePos x="0" y="0"/>
              <wp:positionH relativeFrom="margin">
                <wp:posOffset>5774055</wp:posOffset>
              </wp:positionH>
              <wp:positionV relativeFrom="paragraph">
                <wp:posOffset>-15875</wp:posOffset>
              </wp:positionV>
              <wp:extent cx="213360" cy="147955"/>
              <wp:effectExtent l="0" t="0" r="0" b="0"/>
              <wp:wrapNone/>
              <wp:docPr id="14" name="文本框 12"/>
              <wp:cNvGraphicFramePr/>
              <a:graphic xmlns:a="http://schemas.openxmlformats.org/drawingml/2006/main">
                <a:graphicData uri="http://schemas.microsoft.com/office/word/2010/wordprocessingShape">
                  <wps:wsp>
                    <wps:cNvSpPr txBox="1"/>
                    <wps:spPr>
                      <a:xfrm flipH="1">
                        <a:off x="0" y="0"/>
                        <a:ext cx="213360" cy="147955"/>
                      </a:xfrm>
                      <a:prstGeom prst="rect">
                        <a:avLst/>
                      </a:prstGeom>
                      <a:noFill/>
                      <a:ln w="15875">
                        <a:noFill/>
                      </a:ln>
                    </wps:spPr>
                    <wps:txbx>
                      <w:txbxContent>
                        <w:p>
                          <w:pPr>
                            <w:pStyle w:val="7"/>
                          </w:pPr>
                          <w:r>
                            <w:fldChar w:fldCharType="begin"/>
                          </w:r>
                          <w:r>
                            <w:instrText xml:space="preserve"> PAGE  \* MERGEFORMAT </w:instrText>
                          </w:r>
                          <w:r>
                            <w:fldChar w:fldCharType="separate"/>
                          </w:r>
                          <w:r>
                            <w:t>47</w:t>
                          </w:r>
                          <w:r>
                            <w:fldChar w:fldCharType="end"/>
                          </w:r>
                        </w:p>
                      </w:txbxContent>
                    </wps:txbx>
                    <wps:bodyPr lIns="0" tIns="0" rIns="0" bIns="0" upright="1"/>
                  </wps:wsp>
                </a:graphicData>
              </a:graphic>
            </wp:anchor>
          </w:drawing>
        </mc:Choice>
        <mc:Fallback>
          <w:pict>
            <v:shape id="文本框 12" o:spid="_x0000_s1026" o:spt="202" type="#_x0000_t202" style="position:absolute;left:0pt;flip:x;margin-left:454.65pt;margin-top:-1.25pt;height:11.65pt;width:16.8pt;mso-position-horizontal-relative:margin;z-index:251658240;mso-width-relative:page;mso-height-relative:page;" filled="f" stroked="f" coordsize="21600,21600" o:gfxdata="UEsDBAoAAAAAAIdO4kAAAAAAAAAAAAAAAAAEAAAAZHJzL1BLAwQUAAAACACHTuJAa+WpwdcAAAAJ&#10;AQAADwAAAGRycy9kb3ducmV2LnhtbE2Py07DMBBF90j9B2sqsWvtpC1qQpwuKrFGhKoSOycZ8vQ4&#10;xO6Dv2dYwXJ0j+49kx3udhRXnH3nSEO0ViCQKld31Gg4vb+s9iB8MFSb0RFq+EYPh3zxkJm0djd6&#10;w2sRGsEl5FOjoQ1hSqX0VYvW+LWbkDj7dLM1gc+5kfVsblxuRxkr9SSt6YgXWjPhscVqKC6Wd8vN&#10;x7HYvkb9ib7OxbDrbTn0Wj8uI/UMIuA9/MHwq8/qkLNT6S5UezFqSFSyYVTDKt6BYCDZxgmIUkOs&#10;9iDzTP7/IP8BUEsDBBQAAAAIAIdO4kC1MPt5rwEAADkDAAAOAAAAZHJzL2Uyb0RvYy54bWytUsFu&#10;EzEQvSPxD5bvZLNp05ZVNpVQVUBCgFT4AMdrZy3ZHmvsZjc/AH/AiQt3vivf0bGTDQhuiIs1nnl+&#10;nvdmVrejs2ynMBrwLa9nc86Ul9AZv23550/3L244i0n4TljwquV7Ffnt+vmz1RAatYAebKeQEYmP&#10;zRBa3qcUmqqKsldOxBkE5amoAZ1IdMVt1aEYiN3ZajGfX1UDYBcQpIqRsnfHIl8Xfq2VTB+0jiox&#10;23LqLZUTy7nJZ7VeiWaLIvRGntoQ/9CFE8bTp2eqO5EEe0TzF5UzEiGCTjMJrgKtjVRFA6mp53+o&#10;eehFUEULmRPD2ab4/2jl+91HZKaj2V1y5oWjGR2+fT18/3n48YXVi2zQEGJDuIdAyDS+gpHAUz5S&#10;MuseNTqmrQlvcjFnSBsjJJm+PxutxsQkJRf1xcUVVSSV6svrl8tl5quONPlxwJheK3AsBy1HmmMh&#10;Fbt3MR2hEyTDPdwba8ssrWcDkS5vrpflxblE7NbTJ1nNsescpXEzniRuoNuTQvvWk795V6YAp2Az&#10;BY8BzbanxooPhZLmUxScdikvwO/38vGvjV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vlqcHX&#10;AAAACQEAAA8AAAAAAAAAAQAgAAAAIgAAAGRycy9kb3ducmV2LnhtbFBLAQIUABQAAAAIAIdO4kC1&#10;MPt5rwEAADkDAAAOAAAAAAAAAAEAIAAAACYBAABkcnMvZTJvRG9jLnhtbFBLBQYAAAAABgAGAFkB&#10;AABHBQAAAAA=&#10;">
              <v:fill on="f" focussize="0,0"/>
              <v:stroke on="f" weight="1.25pt"/>
              <v:imagedata o:title=""/>
              <o:lock v:ext="edit" aspectratio="f"/>
              <v:textbox inset="0mm,0mm,0mm,0mm">
                <w:txbxContent>
                  <w:p>
                    <w:pPr>
                      <w:pStyle w:val="7"/>
                    </w:pPr>
                    <w:r>
                      <w:fldChar w:fldCharType="begin"/>
                    </w:r>
                    <w:r>
                      <w:instrText xml:space="preserve"> PAGE  \* MERGEFORMAT </w:instrText>
                    </w:r>
                    <w:r>
                      <w:fldChar w:fldCharType="separate"/>
                    </w:r>
                    <w:r>
                      <w:t>47</w:t>
                    </w:r>
                    <w:r>
                      <w:fldChar w:fldCharType="end"/>
                    </w:r>
                  </w:p>
                </w:txbxContent>
              </v:textbox>
            </v:shape>
          </w:pict>
        </mc:Fallback>
      </mc:AlternateContent>
    </w:r>
    <w:r>
      <w:rPr>
        <w:rFonts w:asciiTheme="minorEastAsia" w:hAnsiTheme="minorEastAsia" w:eastAsiaTheme="minorEastAsia"/>
        <w:bCs/>
        <w:sz w:val="18"/>
        <w:szCs w:val="18"/>
      </w:rPr>
      <mc:AlternateContent>
        <mc:Choice Requires="wps">
          <w:drawing>
            <wp:anchor distT="0" distB="0" distL="114300" distR="114300" simplePos="0" relativeHeight="251659264" behindDoc="0" locked="0" layoutInCell="1" allowOverlap="1">
              <wp:simplePos x="0" y="0"/>
              <wp:positionH relativeFrom="column">
                <wp:posOffset>-26670</wp:posOffset>
              </wp:positionH>
              <wp:positionV relativeFrom="paragraph">
                <wp:posOffset>-55245</wp:posOffset>
              </wp:positionV>
              <wp:extent cx="6090920" cy="3175"/>
              <wp:effectExtent l="0" t="0" r="0" b="0"/>
              <wp:wrapNone/>
              <wp:docPr id="18" name="直接连接符 56"/>
              <wp:cNvGraphicFramePr/>
              <a:graphic xmlns:a="http://schemas.openxmlformats.org/drawingml/2006/main">
                <a:graphicData uri="http://schemas.microsoft.com/office/word/2010/wordprocessingShape">
                  <wps:wsp>
                    <wps:cNvCnPr/>
                    <wps:spPr>
                      <a:xfrm>
                        <a:off x="0" y="0"/>
                        <a:ext cx="6090920" cy="31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56" o:spid="_x0000_s1026" o:spt="20" style="position:absolute;left:0pt;margin-left:-2.1pt;margin-top:-4.35pt;height:0.25pt;width:479.6pt;z-index:251659264;mso-width-relative:page;mso-height-relative:page;" filled="f" stroked="t" coordsize="21600,21600" o:gfxdata="UEsDBAoAAAAAAIdO4kAAAAAAAAAAAAAAAAAEAAAAZHJzL1BLAwQUAAAACACHTuJAdx02ENYAAAAI&#10;AQAADwAAAGRycy9kb3ducmV2LnhtbE2PT0/DMAzF70h8h8hIXKYtWWEwStMdgN64MEBcvca0FY3T&#10;Ndkf+PR4JzhZ9nt6/r1idfS92tMYu8AW5jMDirgOruPGwttrNV2CignZYR+YLHxThFV5flZg7sKB&#10;X2i/To2SEI45WmhTGnKtY92SxzgLA7Fon2H0mGQdG+1GPEi473VmzI322LF8aHGgh5bqr/XOW4jV&#10;O22rn0k9MR9XTaBs+/j8hNZeXszNPahEx/RnhhO+oEMpTJuwYxdVb2F6nYlT5vIWlOh3i4V025wO&#10;Geiy0P8LlL9QSwMEFAAAAAgAh07iQBmomQfiAQAAqQMAAA4AAABkcnMvZTJvRG9jLnhtbK1TS44T&#10;MRDdI3EHy3vSnaAE0kpnFhOGDYJIwAEq/nRb8k+2J51cggsgsYMVS/bcZoZjUHZ6MgNsEKIX7rKr&#10;/Lreq9eri4PRZC9CVM62dDqpKRGWOa5s19L3766ePKckJrActLOipUcR6cX68aPV4Bsxc73TXASC&#10;IDY2g29pn5JvqiqyXhiIE+eFxaR0wUDCbegqHmBAdKOrWV0vqsEF7oNjIkY83ZySdF3wpRQsvZEy&#10;ikR0S7G3VNZQ1l1eq/UKmi6A7xUb24B/6MKAsvjRM9QGEpDroP6AMooFF51ME+ZM5aRUTBQOyGZa&#10;/8bmbQ9eFC4oTvRnmeL/g2Wv99tAFMfZ4aQsGJzR7cdvNx8+//j+Cdfbr1/IfJFlGnxssPrSbsO4&#10;i34bMueDDCa/kQ05FGmPZ2nFIRGGh4t6WS9nOAGGuafTZ/MMWd3f9SGml8IZkoOWamUzcWhg/yqm&#10;U+ldST7WlgwtXc5nc0QE9I3UkDA0HplE25W70WnFr5TW+UYM3e5SB7KH7ITyjC38UpY/soHYn+pK&#10;KpdB0wvgLywn6ehRIotmprkFIzglWqD3c1QqEyj9N5XIXtsMLYpPR55Z5pOwOdo5fsT5XPuguh51&#10;mZaecwb9UAQcvZsN93CP8cM/bP0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x02ENYAAAAIAQAA&#10;DwAAAAAAAAABACAAAAAiAAAAZHJzL2Rvd25yZXYueG1sUEsBAhQAFAAAAAgAh07iQBmomQfiAQAA&#10;qQMAAA4AAAAAAAAAAQAgAAAAJQEAAGRycy9lMm9Eb2MueG1sUEsFBgAAAAAGAAYAWQEAAHkFAAAA&#10;AA==&#10;">
              <v:fill on="f" focussize="0,0"/>
              <v:stroke color="#000000" joinstyle="round"/>
              <v:imagedata o:title=""/>
              <o:lock v:ext="edit" aspectratio="f"/>
            </v:line>
          </w:pict>
        </mc:Fallback>
      </mc:AlternateContent>
    </w:r>
    <w:r>
      <w:rPr>
        <w:rFonts w:hint="eastAsia" w:asciiTheme="minorEastAsia" w:hAnsiTheme="minorEastAsia" w:eastAsiaTheme="minorEastAsia"/>
        <w:bCs/>
        <w:sz w:val="18"/>
        <w:szCs w:val="18"/>
      </w:rPr>
      <w:t>地址：</w:t>
    </w:r>
    <w:r>
      <w:rPr>
        <w:rFonts w:hint="eastAsia" w:asciiTheme="minorEastAsia" w:hAnsiTheme="minorEastAsia" w:eastAsiaTheme="minorEastAsia"/>
        <w:snapToGrid w:val="0"/>
        <w:sz w:val="18"/>
        <w:szCs w:val="18"/>
      </w:rPr>
      <w:t>贵阳市观山湖区长岭北路8号美的·财智中心C座3A-423号</w:t>
    </w:r>
    <w:r>
      <w:rPr>
        <w:rFonts w:hint="eastAsia" w:asciiTheme="minorEastAsia" w:hAnsiTheme="minorEastAsia" w:eastAsiaTheme="minorEastAsia"/>
        <w:bCs/>
        <w:sz w:val="18"/>
        <w:szCs w:val="18"/>
      </w:rPr>
      <w:t xml:space="preserve">    电话：</w:t>
    </w:r>
    <w:r>
      <w:rPr>
        <w:rFonts w:hint="eastAsia" w:asciiTheme="minorEastAsia" w:hAnsiTheme="minorEastAsia" w:eastAsiaTheme="minorEastAsia"/>
        <w:sz w:val="18"/>
        <w:szCs w:val="18"/>
      </w:rPr>
      <w:t xml:space="preserve">0851-86684367  </w:t>
    </w:r>
    <w:r>
      <w:rPr>
        <w:rFonts w:hint="eastAsia" w:asciiTheme="minorEastAsia" w:hAnsiTheme="minorEastAsia" w:eastAsiaTheme="minorEastAsia"/>
        <w:bCs/>
        <w:sz w:val="18"/>
        <w:szCs w:val="18"/>
      </w:rPr>
      <w:t>17785964961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rightChars="150" w:firstLine="180" w:firstLineChars="100"/>
      <w:rPr>
        <w:bCs/>
        <w:color w:val="FF0000"/>
      </w:rPr>
    </w:pPr>
    <w:r>
      <mc:AlternateContent>
        <mc:Choice Requires="wps">
          <w:drawing>
            <wp:anchor distT="0" distB="0" distL="114300" distR="114300" simplePos="0" relativeHeight="251658240" behindDoc="0" locked="0" layoutInCell="1" allowOverlap="1">
              <wp:simplePos x="0" y="0"/>
              <wp:positionH relativeFrom="margin">
                <wp:posOffset>5849620</wp:posOffset>
              </wp:positionH>
              <wp:positionV relativeFrom="paragraph">
                <wp:posOffset>0</wp:posOffset>
              </wp:positionV>
              <wp:extent cx="1828800" cy="1828800"/>
              <wp:effectExtent l="0" t="0" r="0" b="0"/>
              <wp:wrapNone/>
              <wp:docPr id="9"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7"/>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3" o:spid="_x0000_s1026" o:spt="202" type="#_x0000_t202" style="position:absolute;left:0pt;margin-left:460.6pt;margin-top:0pt;height:144pt;width:144pt;mso-position-horizontal-relative:margin;mso-wrap-style:none;z-index:251658240;mso-width-relative:page;mso-height-relative:page;" filled="f" stroked="f" coordsize="21600,21600" o:gfxdata="UEsDBAoAAAAAAIdO4kAAAAAAAAAAAAAAAAAEAAAAZHJzL1BLAwQUAAAACACHTuJAC9X2hNcAAAAJ&#10;AQAADwAAAGRycy9kb3ducmV2LnhtbE2PQUvDQBSE74L/YXmCl2J3s4gkMZuCQm8KthW8brPPJDX7&#10;NmS3afXX+3rS4zDDzDfV6uwHMeMU+0AGsqUCgdQE11Nr4H23vstBxGTJ2SEQGvjGCKv6+qqypQsn&#10;2uC8Ta3gEoqlNdClNJZSxqZDb+MyjEjsfYbJ28RyaqWb7InL/SC1Ug/S2554obMjPnfYfG2P3sDH&#10;yw/iJn9aLOb7w2FS6+Ktka/G3N5k6hFEwnP6C8MFn9GhZqZ9OJKLYjBQ6Exz1AA/uthaFaz3BnSe&#10;K5B1Jf8/qH8BUEsDBBQAAAAIAIdO4kDYNKcPuQEAAFYDAAAOAAAAZHJzL2Uyb0RvYy54bWytU0tu&#10;2zAQ3RfoHQjuY8kOkqiC5aBFkCJAkBRIewCaIi0C/IFDW/IF0ht01U33OZfPkSFtOUWyC7KhZjjD&#10;N+/NjOaXg9FkIwIoZxs6nZSUCMtdq+yqob9+Xp9UlEBktmXaWdHQrQB6ufj8ad77Wsxc53QrAkEQ&#10;C3XvG9rF6OuiAN4Jw2DivLAYlC4YFtENq6INrEd0o4tZWZ4XvQutD44LALy92gfpIuNLKXi8lxJE&#10;JLqhyC3mM+Rzmc5iMWf1KjDfKX6gwd7BwjBlsegR6opFRtZBvYEyigcHTsYJd6ZwUiousgZUMy1f&#10;qXnomBdZCzYH/LFN8HGw/G7zIxDVNvQLJZYZHNHuz+/d36fdv0cyPU396T3UmPbgMTEO39yAcx7v&#10;AS+T7EEGk74oiGAcO709dlcMkfD0qJpVVYkhjrHRQfzi5bkPEL8LZ0gyGhpwfLmrbHMLcZ86pqRq&#10;1l0rrfMItSU9op5VF2f5xTGE6NpikaRizzZZcVgOB2lL125RWY870FCLS0qJvrHY4rQuoxFGYzka&#10;ax/UqkOS01wP/Nd1RDqZZaqwhz0UxuFlnYdFS9vxv5+zXn6HxT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L1faE1wAAAAkBAAAPAAAAAAAAAAEAIAAAACIAAABkcnMvZG93bnJldi54bWxQSwECFAAU&#10;AAAACACHTuJA2DSnD7kBAABWAwAADgAAAAAAAAABACAAAAAmAQAAZHJzL2Uyb0RvYy54bWxQSwUG&#10;AAAAAAYABgBZAQAAUQUAAAAA&#10;">
              <v:fill on="f" focussize="0,0"/>
              <v:stroke on="f" weight="1.2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bCs/>
      </w:rPr>
      <mc:AlternateContent>
        <mc:Choice Requires="wps">
          <w:drawing>
            <wp:anchor distT="0" distB="0" distL="114300" distR="114300" simplePos="0" relativeHeight="251657216" behindDoc="0" locked="0" layoutInCell="1" allowOverlap="1">
              <wp:simplePos x="0" y="0"/>
              <wp:positionH relativeFrom="column">
                <wp:posOffset>-26670</wp:posOffset>
              </wp:positionH>
              <wp:positionV relativeFrom="paragraph">
                <wp:posOffset>-55245</wp:posOffset>
              </wp:positionV>
              <wp:extent cx="6090920" cy="3175"/>
              <wp:effectExtent l="0" t="0" r="0" b="0"/>
              <wp:wrapNone/>
              <wp:docPr id="3" name="直接连接符 56"/>
              <wp:cNvGraphicFramePr/>
              <a:graphic xmlns:a="http://schemas.openxmlformats.org/drawingml/2006/main">
                <a:graphicData uri="http://schemas.microsoft.com/office/word/2010/wordprocessingShape">
                  <wps:wsp>
                    <wps:cNvCnPr/>
                    <wps:spPr>
                      <a:xfrm>
                        <a:off x="0" y="0"/>
                        <a:ext cx="6090920" cy="31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56" o:spid="_x0000_s1026" o:spt="20" style="position:absolute;left:0pt;margin-left:-2.1pt;margin-top:-4.35pt;height:0.25pt;width:479.6pt;z-index:251657216;mso-width-relative:page;mso-height-relative:page;" filled="f" stroked="t" coordsize="21600,21600" o:gfxdata="UEsDBAoAAAAAAIdO4kAAAAAAAAAAAAAAAAAEAAAAZHJzL1BLAwQUAAAACACHTuJAdx02ENYAAAAI&#10;AQAADwAAAGRycy9kb3ducmV2LnhtbE2PT0/DMAzF70h8h8hIXKYtWWEwStMdgN64MEBcvca0FY3T&#10;Ndkf+PR4JzhZ9nt6/r1idfS92tMYu8AW5jMDirgOruPGwttrNV2CignZYR+YLHxThFV5flZg7sKB&#10;X2i/To2SEI45WmhTGnKtY92SxzgLA7Fon2H0mGQdG+1GPEi473VmzI322LF8aHGgh5bqr/XOW4jV&#10;O22rn0k9MR9XTaBs+/j8hNZeXszNPahEx/RnhhO+oEMpTJuwYxdVb2F6nYlT5vIWlOh3i4V025wO&#10;Geiy0P8LlL9QSwMEFAAAAAgAh07iQIP1HaLiAQAAqAMAAA4AAABkcnMvZTJvRG9jLnhtbK1TS44T&#10;MRDdI3EHy3vSnYwSSCudWUwYNggiAQeo+NNtyT/ZnnRyCS6AxA5WLNlzG4ZjUHaazAxsEKIX1WVX&#10;+XW959ery4PRZC9CVM62dDqpKRGWOa5s19J3b6+fPKMkJrActLOipUcR6eX68aPV4Bsxc73TXASC&#10;IDY2g29pn5JvqiqyXhiIE+eFxaJ0wUDCZegqHmBAdKOrWV0vqsEF7oNjIkbc3ZyKdF3wpRQsvZYy&#10;ikR0S3G2VGIocZdjtV5B0wXwvWLjGPAPUxhQFj96htpAAnIT1B9QRrHgopNpwpypnJSKicIB2Uzr&#10;39i86cGLwgXFif4sU/x/sOzVfhuI4i29oMSCwSu6/fD1+/tPP759xHj75TOZL7JKg48NNl/ZbRhX&#10;0W9DpnyQweQ3kiGHouzxrKw4JMJwc1Ev6+UML4Bh7WL6dJ4hq7uzPsT0QjhDctJSrWzmDQ3sX8Z0&#10;av3Vkre1JUNLl/PZHBEBbSM1JEyNRyLRduVsdFrxa6V1PhFDt7vSgewhG6E84wgP2vJHNhD7U18p&#10;5TZoegH8ueUkHT1KZNHLNI9gBKdEC7R+zkpnAqX/phPZa5uhRbHpyDPLfBI2ZzvHj3g9Nz6orkdd&#10;pmXmXEE7FAFH62a/3V9jfv8HW/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x02ENYAAAAIAQAA&#10;DwAAAAAAAAABACAAAAAiAAAAZHJzL2Rvd25yZXYueG1sUEsBAhQAFAAAAAgAh07iQIP1HaLiAQAA&#10;qAMAAA4AAAAAAAAAAQAgAAAAJQEAAGRycy9lMm9Eb2MueG1sUEsFBgAAAAAGAAYAWQEAAHkFAAAA&#10;AA==&#10;">
              <v:fill on="f" focussize="0,0"/>
              <v:stroke color="#000000" joinstyle="round"/>
              <v:imagedata o:title=""/>
              <o:lock v:ext="edit" aspectratio="f"/>
            </v:line>
          </w:pict>
        </mc:Fallback>
      </mc:AlternateContent>
    </w:r>
    <w:r>
      <w:rPr>
        <w:rFonts w:hint="eastAsia"/>
        <w:bCs/>
      </w:rPr>
      <w:t>地址：</w:t>
    </w:r>
    <w:r>
      <w:rPr>
        <w:rFonts w:hint="eastAsia" w:asciiTheme="minorEastAsia" w:hAnsiTheme="minorEastAsia" w:eastAsiaTheme="minorEastAsia"/>
        <w:snapToGrid w:val="0"/>
      </w:rPr>
      <w:t>贵阳市观山湖区长岭北路8号美的·财智中心C座3A-423号</w:t>
    </w:r>
    <w:r>
      <w:rPr>
        <w:rFonts w:hint="eastAsia"/>
        <w:bCs/>
      </w:rPr>
      <w:t xml:space="preserve">     电话： 0851-85811907  17785964961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0"/>
      </w:pBdr>
      <w:ind w:right="360"/>
      <w:rPr>
        <w:bCs/>
        <w:u w:val="single"/>
      </w:rPr>
    </w:pPr>
    <w:r>
      <w:drawing>
        <wp:inline distT="0" distB="0" distL="0" distR="0">
          <wp:extent cx="381000" cy="371475"/>
          <wp:effectExtent l="0" t="0" r="0" b="9525"/>
          <wp:docPr id="1" name="图片 2"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QQ截图未命名"/>
                  <pic:cNvPicPr>
                    <a:picLocks noChangeAspect="1" noChangeArrowheads="1"/>
                  </pic:cNvPicPr>
                </pic:nvPicPr>
                <pic:blipFill>
                  <a:blip r:embed="rId1"/>
                  <a:srcRect/>
                  <a:stretch>
                    <a:fillRect/>
                  </a:stretch>
                </pic:blipFill>
                <pic:spPr>
                  <a:xfrm>
                    <a:off x="0" y="0"/>
                    <a:ext cx="381000" cy="371475"/>
                  </a:xfrm>
                  <a:prstGeom prst="rect">
                    <a:avLst/>
                  </a:prstGeom>
                  <a:noFill/>
                  <a:ln w="9525">
                    <a:noFill/>
                    <a:miter lim="800000"/>
                    <a:headEnd/>
                    <a:tailEnd/>
                  </a:ln>
                </pic:spPr>
              </pic:pic>
            </a:graphicData>
          </a:graphic>
        </wp:inline>
      </w:drawing>
    </w:r>
    <w:r>
      <w:rPr>
        <w:rFonts w:hint="eastAsia"/>
        <w:color w:val="000000"/>
        <w:position w:val="12"/>
      </w:rPr>
      <w:t>博文房地产评估造价集团有限公司贵州分公司估价报告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0"/>
      </w:pBdr>
      <w:ind w:right="360"/>
      <w:rPr>
        <w:bCs/>
        <w:u w:val="single"/>
      </w:rPr>
    </w:pPr>
    <w:r>
      <w:drawing>
        <wp:inline distT="0" distB="0" distL="0" distR="0">
          <wp:extent cx="381000" cy="371475"/>
          <wp:effectExtent l="0" t="0" r="0" b="9525"/>
          <wp:docPr id="8" name="图片 2"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QQ截图未命名"/>
                  <pic:cNvPicPr>
                    <a:picLocks noChangeAspect="1" noChangeArrowheads="1"/>
                  </pic:cNvPicPr>
                </pic:nvPicPr>
                <pic:blipFill>
                  <a:blip r:embed="rId1"/>
                  <a:srcRect/>
                  <a:stretch>
                    <a:fillRect/>
                  </a:stretch>
                </pic:blipFill>
                <pic:spPr>
                  <a:xfrm>
                    <a:off x="0" y="0"/>
                    <a:ext cx="381000" cy="371475"/>
                  </a:xfrm>
                  <a:prstGeom prst="rect">
                    <a:avLst/>
                  </a:prstGeom>
                  <a:noFill/>
                  <a:ln w="9525">
                    <a:noFill/>
                    <a:miter lim="800000"/>
                    <a:headEnd/>
                    <a:tailEnd/>
                  </a:ln>
                </pic:spPr>
              </pic:pic>
            </a:graphicData>
          </a:graphic>
        </wp:inline>
      </w:drawing>
    </w:r>
    <w:r>
      <w:rPr>
        <w:rFonts w:hint="eastAsia"/>
        <w:color w:val="000000"/>
        <w:position w:val="12"/>
      </w:rPr>
      <w:t>博文房地产评估造价集团有限公司贵州分公司估价报告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B283C2"/>
    <w:multiLevelType w:val="singleLevel"/>
    <w:tmpl w:val="A1B283C2"/>
    <w:lvl w:ilvl="0" w:tentative="0">
      <w:start w:val="3"/>
      <w:numFmt w:val="chineseCounting"/>
      <w:suff w:val="nothing"/>
      <w:lvlText w:val="%1、"/>
      <w:lvlJc w:val="left"/>
      <w:rPr>
        <w:rFonts w:hint="eastAsia"/>
      </w:rPr>
    </w:lvl>
  </w:abstractNum>
  <w:abstractNum w:abstractNumId="1">
    <w:nsid w:val="16ABD776"/>
    <w:multiLevelType w:val="singleLevel"/>
    <w:tmpl w:val="16ABD776"/>
    <w:lvl w:ilvl="0" w:tentative="0">
      <w:start w:val="1"/>
      <w:numFmt w:val="decimal"/>
      <w:suff w:val="nothing"/>
      <w:lvlText w:val="%1、"/>
      <w:lvlJc w:val="left"/>
    </w:lvl>
  </w:abstractNum>
  <w:abstractNum w:abstractNumId="2">
    <w:nsid w:val="65427ED9"/>
    <w:multiLevelType w:val="singleLevel"/>
    <w:tmpl w:val="65427ED9"/>
    <w:lvl w:ilvl="0" w:tentative="0">
      <w:start w:val="1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323DED"/>
    <w:rsid w:val="5B703793"/>
    <w:rsid w:val="74323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qFormat/>
    <w:uiPriority w:val="0"/>
    <w:pPr>
      <w:keepNext/>
      <w:keepLines/>
      <w:spacing w:before="340" w:after="330" w:line="578" w:lineRule="auto"/>
      <w:outlineLvl w:val="0"/>
    </w:pPr>
    <w:rPr>
      <w:rFonts w:ascii="Times New Roman" w:hAnsi="Times New Roman" w:eastAsia="仿宋_GB2312" w:cs="Times New Roman"/>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cs="Times New Roman"/>
      <w:b/>
      <w:bCs/>
      <w:kern w:val="2"/>
      <w:sz w:val="32"/>
      <w:szCs w:val="32"/>
    </w:rPr>
  </w:style>
  <w:style w:type="character" w:default="1" w:styleId="11">
    <w:name w:val="Default Paragraph Font"/>
    <w:semiHidden/>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
    <w:name w:val="Normal Indent"/>
    <w:basedOn w:val="1"/>
    <w:qFormat/>
    <w:uiPriority w:val="0"/>
    <w:pPr>
      <w:widowControl w:val="0"/>
      <w:snapToGrid w:val="0"/>
      <w:spacing w:line="360" w:lineRule="auto"/>
      <w:ind w:firstLine="567"/>
      <w:jc w:val="both"/>
    </w:pPr>
    <w:rPr>
      <w:rFonts w:ascii="Times New Roman" w:hAnsi="Times New Roman" w:cs="Times New Roman"/>
      <w:kern w:val="2"/>
      <w:sz w:val="28"/>
    </w:rPr>
  </w:style>
  <w:style w:type="paragraph" w:styleId="6">
    <w:name w:val="annotation text"/>
    <w:basedOn w:val="1"/>
    <w:qFormat/>
    <w:uiPriority w:val="0"/>
    <w:pPr>
      <w:widowControl w:val="0"/>
    </w:pPr>
    <w:rPr>
      <w:rFonts w:ascii="Times New Roman" w:hAnsi="Times New Roman" w:cs="Times New Roman"/>
      <w:kern w:val="2"/>
      <w:sz w:val="21"/>
    </w:rPr>
  </w:style>
  <w:style w:type="paragraph" w:styleId="7">
    <w:name w:val="footer"/>
    <w:basedOn w:val="1"/>
    <w:qFormat/>
    <w:uiPriority w:val="0"/>
    <w:pPr>
      <w:tabs>
        <w:tab w:val="center" w:pos="4153"/>
        <w:tab w:val="right" w:pos="8306"/>
      </w:tabs>
      <w:snapToGrid w:val="0"/>
    </w:pPr>
    <w:rPr>
      <w:sz w:val="18"/>
      <w:szCs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paragraph" w:styleId="10">
    <w:name w:val="Normal (Web)"/>
    <w:basedOn w:val="1"/>
    <w:qFormat/>
    <w:uiPriority w:val="99"/>
    <w:pPr>
      <w:spacing w:before="240" w:after="240"/>
    </w:pPr>
  </w:style>
  <w:style w:type="character" w:styleId="12">
    <w:name w:val="page number"/>
    <w:basedOn w:val="11"/>
    <w:qFormat/>
    <w:uiPriority w:val="0"/>
  </w:style>
  <w:style w:type="character" w:styleId="13">
    <w:name w:val="Hyperlink"/>
    <w:basedOn w:val="11"/>
    <w:qFormat/>
    <w:uiPriority w:val="99"/>
    <w:rPr>
      <w:color w:val="0000FF"/>
      <w:u w:val="single"/>
    </w:rPr>
  </w:style>
  <w:style w:type="table" w:styleId="15">
    <w:name w:val="Table Grid"/>
    <w:basedOn w:val="14"/>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paragraph" w:customStyle="1" w:styleId="16">
    <w:name w:val="正文2"/>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2019-10-16T02:28:00Z</dcterms:created>
  <dc:creator>Viny</dc:creator>
  <cp:lastModifiedBy>Administrator</cp:lastModifiedBy>
  <dcterms:modified xsi:type="dcterms:W3CDTF">2019-10-22T03:59:26Z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