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80"/>
        </w:tabs>
        <w:rPr>
          <w:rFonts w:hint="eastAsia"/>
          <w:bCs/>
          <w:color w:val="000000"/>
          <w:sz w:val="36"/>
        </w:rPr>
      </w:pPr>
      <w:r>
        <w:rPr>
          <w:bCs/>
          <w:color w:val="000000"/>
          <w:sz w:val="36"/>
        </w:rPr>
        <w:tab/>
      </w:r>
    </w:p>
    <w:p>
      <w:pPr>
        <w:tabs>
          <w:tab w:val="left" w:pos="3480"/>
        </w:tabs>
        <w:rPr>
          <w:rFonts w:hint="eastAsia" w:ascii="仿宋_GB2312" w:eastAsia="仿宋_GB2312"/>
          <w:w w:val="90"/>
          <w:sz w:val="48"/>
        </w:rPr>
      </w:pPr>
    </w:p>
    <w:p>
      <w:pPr>
        <w:tabs>
          <w:tab w:val="left" w:pos="3480"/>
        </w:tabs>
        <w:jc w:val="center"/>
        <w:rPr>
          <w:rFonts w:hint="eastAsia" w:ascii="仿宋_GB2312" w:hAnsi="宋体" w:eastAsia="仿宋_GB2312"/>
          <w:b/>
          <w:bCs/>
          <w:color w:val="000000"/>
          <w:sz w:val="52"/>
          <w:szCs w:val="52"/>
        </w:rPr>
      </w:pPr>
      <w:r>
        <w:rPr>
          <w:rFonts w:hint="eastAsia" w:ascii="仿宋_GB2312" w:eastAsia="仿宋_GB2312"/>
          <w:b/>
          <w:bCs/>
          <w:sz w:val="52"/>
          <w:szCs w:val="52"/>
        </w:rPr>
        <w:t xml:space="preserve">房  地  </w:t>
      </w:r>
      <w:r>
        <w:rPr>
          <w:rFonts w:hint="eastAsia" w:ascii="仿宋_GB2312" w:eastAsia="仿宋_GB2312"/>
          <w:b/>
          <w:bCs/>
          <w:color w:val="000000"/>
          <w:sz w:val="52"/>
          <w:szCs w:val="52"/>
        </w:rPr>
        <w:t xml:space="preserve">产  估  </w:t>
      </w:r>
      <w:r>
        <w:rPr>
          <w:rFonts w:hint="eastAsia" w:ascii="仿宋_GB2312" w:eastAsia="仿宋_GB2312"/>
          <w:b/>
          <w:bCs/>
          <w:sz w:val="52"/>
          <w:szCs w:val="52"/>
        </w:rPr>
        <w:t>价  报  告</w:t>
      </w: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spacing w:line="640" w:lineRule="exact"/>
        <w:ind w:firstLine="472" w:firstLineChars="147"/>
        <w:rPr>
          <w:rFonts w:hint="eastAsia" w:ascii="仿宋_GB2312" w:eastAsia="仿宋_GB2312"/>
          <w:color w:val="000000"/>
        </w:rPr>
      </w:pPr>
      <w:r>
        <w:rPr>
          <w:rFonts w:hint="eastAsia" w:ascii="仿宋_GB2312" w:eastAsia="仿宋_GB2312"/>
          <w:b/>
          <w:bCs/>
          <w:sz w:val="32"/>
        </w:rPr>
        <w:t>估价报告编号：沧房【2019】房估字第09033号</w:t>
      </w:r>
    </w:p>
    <w:p>
      <w:pPr>
        <w:spacing w:line="640" w:lineRule="exact"/>
        <w:ind w:left="2681" w:leftChars="160" w:hanging="2233" w:hangingChars="695"/>
        <w:rPr>
          <w:rFonts w:hint="eastAsia" w:ascii="仿宋_GB2312" w:eastAsia="仿宋_GB2312"/>
          <w:b/>
          <w:bCs/>
          <w:sz w:val="32"/>
        </w:rPr>
      </w:pPr>
      <w:r>
        <w:rPr>
          <w:rFonts w:hint="eastAsia" w:ascii="仿宋_GB2312" w:eastAsia="仿宋_GB2312"/>
          <w:b/>
          <w:bCs/>
          <w:sz w:val="32"/>
        </w:rPr>
        <w:t>估价项目名称：任丘市人民法院受理的申请人张明伟申请执行高青青民间借贷纠纷一案所涉及的被执行人高青青名下的任丘市梅园新村住宅小区8栋5单元1702室住宅房地产市场价值评估项目</w:t>
      </w:r>
    </w:p>
    <w:p>
      <w:pPr>
        <w:spacing w:line="640" w:lineRule="exact"/>
        <w:ind w:firstLine="472" w:firstLineChars="147"/>
        <w:rPr>
          <w:rFonts w:hint="eastAsia" w:ascii="仿宋_GB2312" w:eastAsia="仿宋_GB2312"/>
          <w:b/>
          <w:bCs/>
          <w:sz w:val="32"/>
        </w:rPr>
      </w:pPr>
      <w:r>
        <w:rPr>
          <w:rFonts w:hint="eastAsia" w:ascii="仿宋_GB2312" w:eastAsia="仿宋_GB2312"/>
          <w:b/>
          <w:bCs/>
          <w:sz w:val="32"/>
        </w:rPr>
        <w:t>估价委托人：任丘市人民法院</w:t>
      </w:r>
    </w:p>
    <w:p>
      <w:pPr>
        <w:spacing w:line="640" w:lineRule="exact"/>
        <w:ind w:firstLine="472" w:firstLineChars="147"/>
        <w:rPr>
          <w:rFonts w:hint="eastAsia" w:ascii="仿宋_GB2312" w:eastAsia="仿宋_GB2312"/>
          <w:b/>
          <w:bCs/>
          <w:color w:val="000000"/>
          <w:sz w:val="32"/>
        </w:rPr>
      </w:pPr>
      <w:r>
        <w:rPr>
          <w:rFonts w:hint="eastAsia" w:ascii="仿宋_GB2312" w:eastAsia="仿宋_GB2312"/>
          <w:b/>
          <w:bCs/>
          <w:sz w:val="32"/>
        </w:rPr>
        <w:t>房地产估价机构</w:t>
      </w:r>
      <w:r>
        <w:rPr>
          <w:rFonts w:hint="eastAsia" w:ascii="仿宋_GB2312" w:eastAsia="仿宋_GB2312"/>
          <w:b/>
          <w:bCs/>
          <w:color w:val="000000"/>
          <w:sz w:val="32"/>
        </w:rPr>
        <w:t>：沧州市沧房房地产评估有限公司</w:t>
      </w:r>
    </w:p>
    <w:p>
      <w:pPr>
        <w:spacing w:line="640" w:lineRule="exact"/>
        <w:ind w:right="269" w:rightChars="96" w:firstLine="472" w:firstLineChars="147"/>
        <w:rPr>
          <w:rFonts w:hint="eastAsia" w:ascii="仿宋_GB2312" w:eastAsia="仿宋_GB2312"/>
          <w:b/>
          <w:bCs/>
          <w:sz w:val="32"/>
        </w:rPr>
      </w:pPr>
      <w:r>
        <w:rPr>
          <w:rFonts w:hint="eastAsia" w:ascii="仿宋_GB2312" w:eastAsia="仿宋_GB2312"/>
          <w:b/>
          <w:bCs/>
          <w:color w:val="000000"/>
          <w:sz w:val="32"/>
        </w:rPr>
        <w:t>注册房地产估价师：</w:t>
      </w:r>
      <w:r>
        <w:rPr>
          <w:rFonts w:hint="eastAsia" w:ascii="仿宋_GB2312" w:eastAsia="仿宋_GB2312"/>
          <w:b/>
          <w:bCs/>
          <w:sz w:val="32"/>
        </w:rPr>
        <w:t xml:space="preserve">郭彦彬  （注册号：1320180019） </w:t>
      </w:r>
    </w:p>
    <w:p>
      <w:pPr>
        <w:spacing w:line="640" w:lineRule="exact"/>
        <w:ind w:right="269" w:rightChars="96" w:firstLine="472" w:firstLineChars="147"/>
        <w:rPr>
          <w:rFonts w:hint="eastAsia" w:ascii="仿宋_GB2312" w:eastAsia="仿宋_GB2312"/>
          <w:b/>
          <w:bCs/>
          <w:color w:val="000000"/>
          <w:sz w:val="32"/>
        </w:rPr>
      </w:pPr>
      <w:r>
        <w:rPr>
          <w:rFonts w:hint="eastAsia" w:ascii="仿宋_GB2312" w:eastAsia="仿宋_GB2312"/>
          <w:b/>
          <w:bCs/>
          <w:sz w:val="32"/>
        </w:rPr>
        <w:t xml:space="preserve">                  </w:t>
      </w:r>
      <w:r>
        <w:rPr>
          <w:rFonts w:hint="eastAsia" w:ascii="仿宋_GB2312" w:eastAsia="仿宋_GB2312"/>
          <w:b/>
          <w:bCs/>
          <w:color w:val="000000"/>
          <w:sz w:val="32"/>
        </w:rPr>
        <w:t>庞  利</w:t>
      </w:r>
      <w:r>
        <w:rPr>
          <w:rFonts w:hint="eastAsia" w:ascii="仿宋_GB2312" w:eastAsia="仿宋_GB2312"/>
          <w:b/>
          <w:bCs/>
          <w:sz w:val="32"/>
        </w:rPr>
        <w:t xml:space="preserve">  （注册号：1320150111）</w:t>
      </w:r>
    </w:p>
    <w:p>
      <w:pPr>
        <w:spacing w:line="640" w:lineRule="exact"/>
        <w:ind w:right="269" w:rightChars="96" w:firstLine="472" w:firstLineChars="147"/>
        <w:rPr>
          <w:rFonts w:hint="eastAsia" w:ascii="仿宋_GB2312" w:eastAsia="仿宋_GB2312"/>
          <w:b/>
          <w:bCs/>
          <w:sz w:val="32"/>
        </w:rPr>
      </w:pPr>
      <w:r>
        <w:rPr>
          <w:rFonts w:hint="eastAsia" w:ascii="仿宋_GB2312" w:eastAsia="仿宋_GB2312"/>
          <w:b/>
          <w:bCs/>
          <w:color w:val="000000"/>
          <w:sz w:val="32"/>
        </w:rPr>
        <w:t>估价报告出具日期:2019年9月3日</w:t>
      </w:r>
    </w:p>
    <w:p>
      <w:pPr>
        <w:spacing w:line="600" w:lineRule="exact"/>
        <w:jc w:val="center"/>
        <w:sectPr>
          <w:headerReference r:id="rId3" w:type="first"/>
          <w:footerReference r:id="rId4" w:type="even"/>
          <w:pgSz w:w="11906" w:h="16838"/>
          <w:pgMar w:top="1588" w:right="1418" w:bottom="1440" w:left="1418" w:header="851" w:footer="851" w:gutter="0"/>
          <w:pgNumType w:start="0"/>
          <w:cols w:space="720" w:num="1"/>
          <w:titlePg/>
          <w:docGrid w:type="lines" w:linePitch="493" w:charSpace="0"/>
        </w:sectPr>
      </w:pPr>
    </w:p>
    <w:p>
      <w:pPr>
        <w:pStyle w:val="9"/>
        <w:spacing w:line="360" w:lineRule="auto"/>
        <w:jc w:val="center"/>
        <w:rPr>
          <w:rFonts w:hint="eastAsia" w:ascii="仿宋_GB2312" w:eastAsia="仿宋_GB2312"/>
          <w:b/>
          <w:bCs/>
          <w:color w:val="000000"/>
          <w:sz w:val="36"/>
          <w:szCs w:val="36"/>
        </w:rPr>
      </w:pPr>
      <w:r>
        <w:rPr>
          <w:rFonts w:hint="eastAsia" w:ascii="仿宋_GB2312" w:eastAsia="仿宋_GB2312"/>
          <w:b/>
          <w:bCs/>
          <w:color w:val="000000"/>
          <w:sz w:val="36"/>
          <w:szCs w:val="36"/>
        </w:rPr>
        <w:t>致估价委托人函</w:t>
      </w:r>
    </w:p>
    <w:p>
      <w:pPr>
        <w:spacing w:line="360" w:lineRule="auto"/>
        <w:ind w:right="571" w:rightChars="204"/>
        <w:rPr>
          <w:rFonts w:hint="eastAsia" w:ascii="仿宋_GB2312" w:eastAsia="仿宋_GB2312"/>
          <w:bCs/>
          <w:color w:val="000000"/>
        </w:rPr>
      </w:pPr>
      <w:r>
        <w:rPr>
          <w:rFonts w:hint="eastAsia" w:ascii="仿宋_GB2312" w:eastAsia="仿宋_GB2312"/>
          <w:bCs/>
          <w:color w:val="000000"/>
        </w:rPr>
        <w:t>任丘市人民法院：</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接受贵院委托，我公司对</w:t>
      </w:r>
      <w:r>
        <w:rPr>
          <w:rFonts w:hint="eastAsia" w:ascii="仿宋_GB2312" w:eastAsia="仿宋_GB2312"/>
          <w:bCs/>
          <w:color w:val="000000"/>
        </w:rPr>
        <w:t>任丘市人民法院受理的申请人张明伟申请执行高青青民间借贷纠纷一案所涉及的被执行人高青青名下的任丘市梅园新村住宅小区8栋5单元1702室住宅</w:t>
      </w:r>
      <w:r>
        <w:rPr>
          <w:rFonts w:hint="eastAsia" w:ascii="仿宋_GB2312" w:eastAsia="仿宋_GB2312"/>
          <w:color w:val="000000"/>
        </w:rPr>
        <w:t>房地产在价值时点的市场价值进行了评估。</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一、估价目的：为估价委托人执行司法案件的需要提供房地产市场价值参考依据。</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二、估价对象：任丘市人民法院受理的申请人张明伟申请执行高青青民间借贷纠纷一案所涉及的被执行人高青青名下的任丘市梅园新村住宅小区8栋5单元1702室住宅房地产，建筑面积为92.73平方米。</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color w:val="000000"/>
        </w:rPr>
        <w:t>三、价值时点：2019年8月9日。</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color w:val="000000"/>
        </w:rPr>
        <w:t>四、价值类型：公开市场价值。</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color w:val="000000"/>
        </w:rPr>
        <w:t>五、估价方法：市场比较法。</w:t>
      </w:r>
      <w:r>
        <w:rPr>
          <w:rFonts w:hint="eastAsia" w:ascii="仿宋_GB2312" w:eastAsia="仿宋_GB2312"/>
          <w:color w:val="000000"/>
        </w:rPr>
        <w:tab/>
      </w:r>
    </w:p>
    <w:p>
      <w:pPr>
        <w:spacing w:line="360" w:lineRule="auto"/>
        <w:ind w:left="560"/>
        <w:rPr>
          <w:rFonts w:hint="eastAsia" w:ascii="仿宋_GB2312" w:eastAsia="仿宋_GB2312"/>
          <w:color w:val="000000"/>
        </w:rPr>
      </w:pPr>
      <w:r>
        <w:rPr>
          <w:rFonts w:hint="eastAsia" w:ascii="仿宋_GB2312" w:eastAsia="仿宋_GB2312"/>
          <w:color w:val="000000"/>
        </w:rPr>
        <w:t>六、估价结果：估价人员根据估价目的，遵循估价原则，按照估价程</w:t>
      </w:r>
    </w:p>
    <w:p>
      <w:pPr>
        <w:spacing w:line="360" w:lineRule="auto"/>
        <w:rPr>
          <w:rFonts w:hint="eastAsia" w:ascii="仿宋_GB2312" w:eastAsia="仿宋_GB2312"/>
        </w:rPr>
      </w:pPr>
      <w:r>
        <w:rPr>
          <w:rFonts w:hint="eastAsia" w:ascii="仿宋_GB2312" w:eastAsia="仿宋_GB2312"/>
          <w:color w:val="000000"/>
        </w:rPr>
        <w:t>序，选用适宜的估价方法，在认真分析现有资料的基础上，经过测算，结合估价经验和对影响房地产价值因素的综合分析，确认</w:t>
      </w:r>
      <w:r>
        <w:rPr>
          <w:rFonts w:hint="eastAsia" w:ascii="仿宋_GB2312" w:eastAsia="仿宋_GB2312"/>
          <w:bCs/>
          <w:color w:val="000000"/>
        </w:rPr>
        <w:t>任丘市人民法院受理的申请人张明伟申请执行高青青民间借贷纠纷一案所涉及的被执行人高青青名下的任丘市梅园新村住宅小区8栋5单元1702室住宅</w:t>
      </w:r>
      <w:r>
        <w:rPr>
          <w:rFonts w:hint="eastAsia" w:ascii="仿宋_GB2312" w:eastAsia="仿宋_GB2312"/>
          <w:color w:val="000000"/>
        </w:rPr>
        <w:t>房地产在价值时点的市场价值为RMB96.62万元</w:t>
      </w:r>
      <w:r>
        <w:rPr>
          <w:rFonts w:hint="eastAsia" w:ascii="仿宋_GB2312" w:eastAsia="仿宋_GB2312"/>
        </w:rPr>
        <w:t>，大写人民币：玖拾陆万陆仟贰佰元整，单价为10419元/平方米。</w:t>
      </w:r>
    </w:p>
    <w:p>
      <w:pPr>
        <w:spacing w:line="360" w:lineRule="auto"/>
        <w:ind w:firstLine="555"/>
        <w:rPr>
          <w:rFonts w:hint="eastAsia" w:ascii="仿宋_GB2312" w:eastAsia="仿宋_GB2312"/>
          <w:color w:val="000000"/>
        </w:rPr>
      </w:pPr>
      <w:r>
        <w:rPr>
          <w:rFonts w:hint="eastAsia" w:ascii="仿宋_GB2312" w:eastAsia="仿宋_GB2312"/>
          <w:color w:val="000000"/>
        </w:rPr>
        <w:t>七、特别提示</w:t>
      </w:r>
    </w:p>
    <w:p>
      <w:pPr>
        <w:spacing w:line="360" w:lineRule="auto"/>
        <w:ind w:firstLine="555"/>
        <w:rPr>
          <w:rFonts w:hint="eastAsia" w:ascii="仿宋_GB2312" w:eastAsia="仿宋_GB2312"/>
          <w:color w:val="000000"/>
        </w:rPr>
      </w:pPr>
      <w:r>
        <w:rPr>
          <w:rFonts w:hint="eastAsia" w:ascii="仿宋_GB2312" w:eastAsia="仿宋_GB2312"/>
          <w:color w:val="000000"/>
        </w:rPr>
        <w:t>1、本次评估交付估价委托人评估报告原件</w:t>
      </w:r>
      <w:r>
        <w:rPr>
          <w:rFonts w:hint="eastAsia" w:ascii="仿宋_GB2312" w:eastAsia="仿宋_GB2312"/>
        </w:rPr>
        <w:t>五</w:t>
      </w:r>
      <w:r>
        <w:rPr>
          <w:rFonts w:hint="eastAsia" w:ascii="仿宋_GB2312" w:eastAsia="仿宋_GB2312"/>
          <w:color w:val="000000"/>
        </w:rPr>
        <w:t>份，报告复印件无效。</w:t>
      </w:r>
    </w:p>
    <w:p>
      <w:pPr>
        <w:spacing w:line="360" w:lineRule="auto"/>
        <w:ind w:firstLine="555"/>
        <w:rPr>
          <w:rFonts w:hint="eastAsia" w:ascii="仿宋_GB2312" w:eastAsia="仿宋_GB2312"/>
          <w:color w:val="000000"/>
        </w:rPr>
      </w:pPr>
      <w:r>
        <w:rPr>
          <w:rFonts w:hint="eastAsia" w:ascii="仿宋_GB2312" w:eastAsia="仿宋_GB2312"/>
          <w:color w:val="000000"/>
        </w:rPr>
        <w:t>2、报告使用人在使用本报告之前须对报告全文，特别是“估价的假设和限制条件”认真阅读，以免使用不当，造成损失。</w:t>
      </w:r>
    </w:p>
    <w:p>
      <w:pPr>
        <w:spacing w:line="360" w:lineRule="auto"/>
        <w:ind w:firstLine="555"/>
        <w:rPr>
          <w:rFonts w:hint="eastAsia" w:ascii="仿宋_GB2312" w:eastAsia="仿宋_GB2312"/>
          <w:color w:val="000000"/>
        </w:rPr>
      </w:pPr>
      <w:r>
        <w:rPr>
          <w:rFonts w:hint="eastAsia" w:ascii="仿宋_GB2312" w:eastAsia="仿宋_GB2312"/>
          <w:color w:val="000000"/>
        </w:rPr>
        <w:t xml:space="preserve">3、本估价报告应用的有效期：自2019年9月3日至2020年9月2日。                            </w:t>
      </w:r>
    </w:p>
    <w:p>
      <w:pPr>
        <w:spacing w:line="360" w:lineRule="auto"/>
        <w:ind w:firstLine="280" w:firstLineChars="100"/>
        <w:rPr>
          <w:rFonts w:hint="eastAsia" w:ascii="仿宋_GB2312" w:eastAsia="仿宋_GB2312"/>
          <w:color w:val="000000"/>
        </w:rPr>
      </w:pPr>
      <w:r>
        <w:rPr>
          <w:rFonts w:hint="eastAsia" w:ascii="仿宋_GB2312" w:eastAsia="仿宋_GB2312"/>
          <w:color w:val="000000"/>
        </w:rPr>
        <w:t xml:space="preserve">                               </w:t>
      </w:r>
    </w:p>
    <w:p>
      <w:pPr>
        <w:spacing w:line="360" w:lineRule="auto"/>
        <w:ind w:firstLine="4620" w:firstLineChars="1650"/>
        <w:rPr>
          <w:rFonts w:hint="eastAsia" w:ascii="仿宋_GB2312" w:eastAsia="仿宋_GB2312"/>
          <w:color w:val="000000"/>
        </w:rPr>
      </w:pPr>
      <w:r>
        <w:rPr>
          <w:rFonts w:hint="eastAsia" w:ascii="仿宋_GB2312" w:eastAsia="仿宋_GB2312"/>
          <w:color w:val="000000"/>
        </w:rPr>
        <w:t>沧州市沧房房地产评估有限公司</w:t>
      </w:r>
    </w:p>
    <w:p>
      <w:pPr>
        <w:spacing w:line="360" w:lineRule="auto"/>
        <w:ind w:firstLine="5040" w:firstLineChars="1800"/>
        <w:rPr>
          <w:rFonts w:hint="eastAsia" w:ascii="仿宋_GB2312" w:eastAsia="仿宋_GB2312"/>
          <w:color w:val="000000"/>
        </w:rPr>
      </w:pPr>
      <w:r>
        <w:rPr>
          <w:rFonts w:hint="eastAsia" w:ascii="仿宋_GB2312" w:eastAsia="仿宋_GB2312"/>
          <w:color w:val="000000"/>
        </w:rPr>
        <w:t>法定代表人：</w:t>
      </w:r>
    </w:p>
    <w:p>
      <w:pPr>
        <w:spacing w:line="360" w:lineRule="auto"/>
        <w:ind w:firstLine="3920" w:firstLineChars="1400"/>
        <w:rPr>
          <w:rFonts w:hint="eastAsia" w:ascii="仿宋_GB2312" w:eastAsia="仿宋_GB2312"/>
          <w:color w:val="000000"/>
        </w:rPr>
      </w:pPr>
      <w:r>
        <w:rPr>
          <w:rFonts w:hint="eastAsia" w:ascii="仿宋_GB2312" w:eastAsia="仿宋_GB2312"/>
          <w:color w:val="000000"/>
        </w:rPr>
        <w:t xml:space="preserve">          二○一九年九月三日</w:t>
      </w: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rPr>
          <w:rFonts w:hint="eastAsia" w:ascii="仿宋_GB2312" w:eastAsia="仿宋_GB2312"/>
          <w:b/>
          <w:bCs/>
          <w:sz w:val="44"/>
          <w:szCs w:val="44"/>
        </w:rPr>
      </w:pPr>
    </w:p>
    <w:p>
      <w:pPr>
        <w:spacing w:line="640" w:lineRule="exact"/>
        <w:jc w:val="center"/>
        <w:rPr>
          <w:rFonts w:hint="eastAsia" w:ascii="仿宋_GB2312" w:eastAsia="仿宋_GB2312"/>
          <w:b/>
          <w:bCs/>
          <w:sz w:val="36"/>
          <w:szCs w:val="36"/>
        </w:rPr>
      </w:pPr>
      <w:r>
        <w:rPr>
          <w:rFonts w:hint="eastAsia" w:ascii="仿宋_GB2312" w:eastAsia="仿宋_GB2312"/>
          <w:b/>
          <w:bCs/>
          <w:sz w:val="36"/>
          <w:szCs w:val="36"/>
        </w:rPr>
        <w:t>目    录</w:t>
      </w:r>
    </w:p>
    <w:p>
      <w:pPr>
        <w:pStyle w:val="15"/>
        <w:tabs>
          <w:tab w:val="right" w:leader="dot" w:pos="9060"/>
        </w:tabs>
        <w:spacing w:line="360" w:lineRule="auto"/>
        <w:rPr>
          <w:rFonts w:hint="eastAsia" w:ascii="仿宋_GB2312" w:eastAsia="仿宋_GB2312"/>
          <w:sz w:val="21"/>
          <w:szCs w:val="24"/>
          <w:lang/>
        </w:rPr>
      </w:pPr>
      <w:r>
        <w:rPr>
          <w:rFonts w:hint="eastAsia" w:ascii="仿宋_GB2312" w:eastAsia="仿宋_GB2312"/>
          <w:b/>
          <w:color w:val="000000"/>
          <w:spacing w:val="-20"/>
          <w:sz w:val="36"/>
        </w:rPr>
        <w:t>·</w:t>
      </w:r>
      <w:r>
        <w:rPr>
          <w:rFonts w:hint="eastAsia" w:ascii="仿宋_GB2312" w:eastAsia="仿宋_GB2312"/>
          <w:b/>
          <w:color w:val="000000"/>
          <w:spacing w:val="-20"/>
          <w:sz w:val="36"/>
        </w:rPr>
        <w:fldChar w:fldCharType="begin"/>
      </w:r>
      <w:r>
        <w:rPr>
          <w:rFonts w:hint="eastAsia" w:ascii="仿宋_GB2312" w:eastAsia="仿宋_GB2312"/>
          <w:b/>
          <w:color w:val="000000"/>
          <w:spacing w:val="-20"/>
          <w:sz w:val="36"/>
        </w:rPr>
        <w:instrText xml:space="preserve">TOC \o "1-3" \h \u </w:instrText>
      </w:r>
      <w:r>
        <w:rPr>
          <w:rFonts w:hint="eastAsia" w:ascii="仿宋_GB2312" w:eastAsia="仿宋_GB2312"/>
          <w:b/>
          <w:color w:val="000000"/>
          <w:spacing w:val="-20"/>
          <w:sz w:val="36"/>
        </w:rPr>
        <w:fldChar w:fldCharType="separate"/>
      </w: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"_Toc508115275"</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估价师声明</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_Toc508115275 \h </w:instrText>
      </w:r>
      <w:r>
        <w:rPr>
          <w:rFonts w:hint="eastAsia" w:ascii="仿宋_GB2312" w:eastAsia="仿宋_GB2312"/>
          <w:lang/>
        </w:rPr>
        <w:fldChar w:fldCharType="separate"/>
      </w:r>
      <w:r>
        <w:rPr>
          <w:rFonts w:ascii="仿宋_GB2312" w:eastAsia="仿宋_GB2312"/>
          <w:lang/>
        </w:rPr>
        <w:t>1</w:t>
      </w:r>
      <w:r>
        <w:rPr>
          <w:rFonts w:hint="eastAsia" w:ascii="仿宋_GB2312" w:eastAsia="仿宋_GB2312"/>
          <w:lang/>
        </w:rPr>
        <w:fldChar w:fldCharType="end"/>
      </w:r>
      <w:r>
        <w:rPr>
          <w:rStyle w:val="25"/>
          <w:rFonts w:hint="eastAsia" w:ascii="仿宋_GB2312" w:eastAsia="仿宋_GB2312"/>
          <w:lang/>
        </w:rPr>
        <w:fldChar w:fldCharType="end"/>
      </w:r>
    </w:p>
    <w:p>
      <w:pPr>
        <w:pStyle w:val="15"/>
        <w:tabs>
          <w:tab w:val="right" w:leader="dot" w:pos="9060"/>
        </w:tabs>
        <w:spacing w:line="360" w:lineRule="auto"/>
        <w:rPr>
          <w:rFonts w:hint="eastAsia" w:ascii="仿宋_GB2312" w:eastAsia="仿宋_GB2312"/>
          <w:sz w:val="21"/>
          <w:szCs w:val="24"/>
          <w:lang/>
        </w:rPr>
      </w:pPr>
      <w:r>
        <w:rPr>
          <w:rFonts w:hint="eastAsia" w:ascii="仿宋_GB2312" w:eastAsia="仿宋_GB2312"/>
          <w:b/>
          <w:color w:val="000000"/>
          <w:spacing w:val="-20"/>
          <w:sz w:val="36"/>
          <w:lang/>
        </w:rPr>
        <w:t>·</w:t>
      </w: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"_Toc508115276"</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估价的假设和限制条件</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_Toc508115276 \h </w:instrText>
      </w:r>
      <w:r>
        <w:rPr>
          <w:rFonts w:hint="eastAsia" w:ascii="仿宋_GB2312" w:eastAsia="仿宋_GB2312"/>
          <w:lang/>
        </w:rPr>
        <w:fldChar w:fldCharType="separate"/>
      </w:r>
      <w:r>
        <w:rPr>
          <w:rFonts w:ascii="仿宋_GB2312" w:eastAsia="仿宋_GB2312"/>
          <w:lang/>
        </w:rPr>
        <w:t>3</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"_Toc508115277"</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一、 本次估价的一般假设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_Toc508115277 \h </w:instrText>
      </w:r>
      <w:r>
        <w:rPr>
          <w:rFonts w:hint="eastAsia" w:ascii="仿宋_GB2312" w:eastAsia="仿宋_GB2312"/>
          <w:lang/>
        </w:rPr>
        <w:fldChar w:fldCharType="separate"/>
      </w:r>
      <w:r>
        <w:rPr>
          <w:rFonts w:ascii="仿宋_GB2312" w:eastAsia="仿宋_GB2312"/>
          <w:lang/>
        </w:rPr>
        <w:t>3</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"_Toc508115278"</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二、不确定事项假设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_Toc508115278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"_Toc508115279"</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三、背离实际情况假设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_Toc508115279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"_Toc508115280"</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四、不相一致假设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_Toc508115280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"_Toc508115281"</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五、依据不足假设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_Toc508115281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"_Toc508115282"</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六、估价报告限制条件</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_Toc508115282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5"/>
        <w:tabs>
          <w:tab w:val="right" w:leader="dot" w:pos="9060"/>
        </w:tabs>
        <w:spacing w:line="360" w:lineRule="auto"/>
        <w:rPr>
          <w:rFonts w:hint="eastAsia" w:ascii="仿宋_GB2312" w:eastAsia="仿宋_GB2312"/>
          <w:sz w:val="21"/>
          <w:szCs w:val="24"/>
          <w:lang/>
        </w:rPr>
      </w:pPr>
      <w:r>
        <w:rPr>
          <w:rFonts w:hint="eastAsia" w:ascii="仿宋_GB2312" w:eastAsia="仿宋_GB2312"/>
          <w:b/>
          <w:color w:val="000000"/>
          <w:spacing w:val="-20"/>
          <w:sz w:val="36"/>
          <w:lang/>
        </w:rPr>
        <w:t>·</w:t>
      </w: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"_Toc508115283"</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估价结果报告</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_Toc508115283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"_Toc508115284"</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一、估价委托人</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_Toc508115284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"_Toc508115285"</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二、房地产估价机构</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_Toc508115285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"_Toc508115286"</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三、估价目的</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_Toc508115286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"_Toc508115287"</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四、估价对象</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_Toc508115287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"_Toc508115288"</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五、价值时点</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_Toc508115288 \h </w:instrText>
      </w:r>
      <w:r>
        <w:rPr>
          <w:rFonts w:hint="eastAsia" w:ascii="仿宋_GB2312" w:eastAsia="仿宋_GB2312"/>
          <w:lang/>
        </w:rPr>
        <w:fldChar w:fldCharType="separate"/>
      </w:r>
      <w:r>
        <w:rPr>
          <w:rFonts w:ascii="仿宋_GB2312" w:eastAsia="仿宋_GB2312"/>
          <w:lang/>
        </w:rPr>
        <w:t>7</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"_Toc508115289"</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六、价值类型</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_Toc508115289 \h </w:instrText>
      </w:r>
      <w:r>
        <w:rPr>
          <w:rFonts w:hint="eastAsia" w:ascii="仿宋_GB2312" w:eastAsia="仿宋_GB2312"/>
          <w:lang/>
        </w:rPr>
        <w:fldChar w:fldCharType="separate"/>
      </w:r>
      <w:r>
        <w:rPr>
          <w:rFonts w:ascii="仿宋_GB2312" w:eastAsia="仿宋_GB2312"/>
          <w:lang/>
        </w:rPr>
        <w:t>7</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"_Toc508115290"</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七、估价依据</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_Toc508115290 \h </w:instrText>
      </w:r>
      <w:r>
        <w:rPr>
          <w:rFonts w:hint="eastAsia" w:ascii="仿宋_GB2312" w:eastAsia="仿宋_GB2312"/>
          <w:lang/>
        </w:rPr>
        <w:fldChar w:fldCharType="separate"/>
      </w:r>
      <w:r>
        <w:rPr>
          <w:rFonts w:ascii="仿宋_GB2312" w:eastAsia="仿宋_GB2312"/>
          <w:lang/>
        </w:rPr>
        <w:t>7</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"_Toc508115291"</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八、估价原则</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_Toc508115291 \h </w:instrText>
      </w:r>
      <w:r>
        <w:rPr>
          <w:rFonts w:hint="eastAsia" w:ascii="仿宋_GB2312" w:eastAsia="仿宋_GB2312"/>
          <w:lang/>
        </w:rPr>
        <w:fldChar w:fldCharType="separate"/>
      </w:r>
      <w:r>
        <w:rPr>
          <w:rFonts w:ascii="仿宋_GB2312" w:eastAsia="仿宋_GB2312"/>
          <w:lang/>
        </w:rPr>
        <w:t>8</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"_Toc508115292"</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九、估价方法</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_Toc508115292 \h </w:instrText>
      </w:r>
      <w:r>
        <w:rPr>
          <w:rFonts w:hint="eastAsia" w:ascii="仿宋_GB2312" w:eastAsia="仿宋_GB2312"/>
          <w:lang/>
        </w:rPr>
        <w:fldChar w:fldCharType="separate"/>
      </w:r>
      <w:r>
        <w:rPr>
          <w:rFonts w:ascii="仿宋_GB2312" w:eastAsia="仿宋_GB2312"/>
          <w:lang/>
        </w:rPr>
        <w:t>8</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"_Toc508115293"</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十、估价结果</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_Toc508115293 \h </w:instrText>
      </w:r>
      <w:r>
        <w:rPr>
          <w:rFonts w:hint="eastAsia" w:ascii="仿宋_GB2312" w:eastAsia="仿宋_GB2312"/>
          <w:lang/>
        </w:rPr>
        <w:fldChar w:fldCharType="separate"/>
      </w:r>
      <w:r>
        <w:rPr>
          <w:rFonts w:ascii="仿宋_GB2312" w:eastAsia="仿宋_GB2312"/>
          <w:lang/>
        </w:rPr>
        <w:t>9</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"_Toc508115294"</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十一、注册房地产估价师</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_Toc508115294 \h </w:instrText>
      </w:r>
      <w:r>
        <w:rPr>
          <w:rFonts w:hint="eastAsia" w:ascii="仿宋_GB2312" w:eastAsia="仿宋_GB2312"/>
          <w:lang/>
        </w:rPr>
        <w:fldChar w:fldCharType="separate"/>
      </w:r>
      <w:r>
        <w:rPr>
          <w:rFonts w:ascii="仿宋_GB2312" w:eastAsia="仿宋_GB2312"/>
          <w:lang/>
        </w:rPr>
        <w:t>9</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"_Toc508115295"</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十二、估价作业日期</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_Toc508115295 \h </w:instrText>
      </w:r>
      <w:r>
        <w:rPr>
          <w:rFonts w:hint="eastAsia" w:ascii="仿宋_GB2312" w:eastAsia="仿宋_GB2312"/>
          <w:lang/>
        </w:rPr>
        <w:fldChar w:fldCharType="separate"/>
      </w:r>
      <w:r>
        <w:rPr>
          <w:rFonts w:ascii="仿宋_GB2312" w:eastAsia="仿宋_GB2312"/>
          <w:lang/>
        </w:rPr>
        <w:t>9</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"_Toc508115296"</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十三、估价报告应用的有效期</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_Toc508115296 \h </w:instrText>
      </w:r>
      <w:r>
        <w:rPr>
          <w:rFonts w:hint="eastAsia" w:ascii="仿宋_GB2312" w:eastAsia="仿宋_GB2312"/>
          <w:lang/>
        </w:rPr>
        <w:fldChar w:fldCharType="separate"/>
      </w:r>
      <w:r>
        <w:rPr>
          <w:rFonts w:ascii="仿宋_GB2312" w:eastAsia="仿宋_GB2312"/>
          <w:lang/>
        </w:rPr>
        <w:t>9</w:t>
      </w:r>
      <w:r>
        <w:rPr>
          <w:rFonts w:hint="eastAsia" w:ascii="仿宋_GB2312" w:eastAsia="仿宋_GB2312"/>
          <w:lang/>
        </w:rPr>
        <w:fldChar w:fldCharType="end"/>
      </w:r>
      <w:r>
        <w:rPr>
          <w:rStyle w:val="25"/>
          <w:rFonts w:hint="eastAsia" w:ascii="仿宋_GB2312" w:eastAsia="仿宋_GB2312"/>
          <w:lang/>
        </w:rPr>
        <w:fldChar w:fldCharType="end"/>
      </w:r>
    </w:p>
    <w:p>
      <w:pPr>
        <w:pStyle w:val="15"/>
        <w:tabs>
          <w:tab w:val="right" w:leader="dot" w:pos="9060"/>
        </w:tabs>
        <w:spacing w:line="360" w:lineRule="auto"/>
        <w:rPr>
          <w:rFonts w:hint="eastAsia" w:ascii="仿宋_GB2312" w:eastAsia="仿宋_GB2312"/>
          <w:sz w:val="21"/>
          <w:szCs w:val="24"/>
          <w:lang/>
        </w:rPr>
      </w:pPr>
      <w:r>
        <w:rPr>
          <w:rFonts w:hint="eastAsia" w:ascii="仿宋_GB2312" w:eastAsia="仿宋_GB2312"/>
          <w:b/>
          <w:color w:val="000000"/>
          <w:spacing w:val="-20"/>
          <w:sz w:val="36"/>
          <w:lang/>
        </w:rPr>
        <w:t>·</w:t>
      </w: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"_Toc508115297"</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附  件</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_Toc508115297 \h </w:instrText>
      </w:r>
      <w:r>
        <w:rPr>
          <w:rFonts w:hint="eastAsia" w:ascii="仿宋_GB2312" w:eastAsia="仿宋_GB2312"/>
          <w:lang/>
        </w:rPr>
        <w:fldChar w:fldCharType="separate"/>
      </w:r>
      <w:r>
        <w:rPr>
          <w:rFonts w:ascii="仿宋_GB2312" w:eastAsia="仿宋_GB2312"/>
          <w:lang/>
        </w:rPr>
        <w:t>10</w:t>
      </w:r>
      <w:r>
        <w:rPr>
          <w:rFonts w:hint="eastAsia" w:ascii="仿宋_GB2312" w:eastAsia="仿宋_GB2312"/>
          <w:lang/>
        </w:rPr>
        <w:fldChar w:fldCharType="end"/>
      </w:r>
      <w:r>
        <w:rPr>
          <w:rStyle w:val="25"/>
          <w:rFonts w:hint="eastAsia" w:ascii="仿宋_GB2312" w:eastAsia="仿宋_GB2312"/>
          <w:lang/>
        </w:rPr>
        <w:fldChar w:fldCharType="end"/>
      </w:r>
    </w:p>
    <w:p>
      <w:pPr>
        <w:pStyle w:val="9"/>
        <w:spacing w:line="360" w:lineRule="auto"/>
        <w:rPr>
          <w:rFonts w:hint="eastAsia" w:ascii="仿宋_GB2312" w:eastAsia="仿宋_GB2312"/>
          <w:b/>
          <w:sz w:val="36"/>
          <w:szCs w:val="36"/>
        </w:rPr>
        <w:sectPr>
          <w:headerReference r:id="rId6" w:type="first"/>
          <w:footerReference r:id="rId8" w:type="first"/>
          <w:headerReference r:id="rId5" w:type="default"/>
          <w:footerReference r:id="rId7" w:type="default"/>
          <w:pgSz w:w="11906" w:h="16838"/>
          <w:pgMar w:top="1588" w:right="1418" w:bottom="1440" w:left="1418" w:header="851" w:footer="851" w:gutter="0"/>
          <w:pgNumType w:start="0"/>
          <w:cols w:space="720" w:num="1"/>
          <w:titlePg/>
          <w:docGrid w:linePitch="493" w:charSpace="0"/>
        </w:sectPr>
      </w:pPr>
      <w:r>
        <w:rPr>
          <w:rFonts w:hint="eastAsia" w:ascii="仿宋_GB2312" w:eastAsia="仿宋_GB2312"/>
          <w:color w:val="000000"/>
          <w:spacing w:val="-20"/>
        </w:rPr>
        <w:fldChar w:fldCharType="end"/>
      </w:r>
    </w:p>
    <w:p>
      <w:pPr>
        <w:pStyle w:val="2"/>
        <w:rPr>
          <w:rFonts w:hint="eastAsia"/>
        </w:rPr>
      </w:pPr>
      <w:bookmarkStart w:id="0" w:name="_Toc508115275"/>
      <w:r>
        <w:rPr>
          <w:rFonts w:hint="eastAsia"/>
        </w:rPr>
        <w:t>估价师声明</w:t>
      </w:r>
      <w:bookmarkEnd w:id="0"/>
    </w:p>
    <w:p>
      <w:pPr>
        <w:spacing w:line="360" w:lineRule="auto"/>
        <w:rPr>
          <w:rFonts w:hint="eastAsia" w:ascii="仿宋_GB2312" w:eastAsia="仿宋_GB2312"/>
          <w:color w:val="000000"/>
        </w:rPr>
      </w:pPr>
      <w:r>
        <w:rPr>
          <w:rFonts w:hint="eastAsia" w:ascii="仿宋_GB2312" w:eastAsia="仿宋_GB2312"/>
          <w:color w:val="000000"/>
        </w:rPr>
        <w:t>我们郑重声明：</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1、我们在本估价报告中陈述的事实是真实和准确的，没有虚假记载、误导性陈述和重大遗漏。</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2、本估价报告中的分析、意见和结论是我们自己独立、客观、公正的专业分析、意见和结论，但受到估价报告中已说明的假设和限制条件的限制。</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3、我们与本估价报告中的估价对象没有现实或潜在的利益，与估价委托人及估价利害关系人没有利害关系，也对估价对象、估价委托人及估价利害关系人没有偏见。</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4、我们依照中华人民共和国国家标准《房地产估价规范》（GB/T50291-2015）、《房地产估价基本术语标准》（GB/T50899-2013）等有关房地产估价标准的规定进行估价工作，撰写本估价报告。</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5、我们已于2019年8月9日对本估价报告中的估价对象进行实地查勘。评估人员对评估标的物的查勘仅限于标的物的外观和使用状况，不承担对评估标的物建筑结构、质量进行调查的责任和其他被遮盖、未暴露及难于接触到的部分进行检视的责任。</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6、本次评估所依据的不动产权证复印件、任丘市人民法院委托鉴定书（2019）任法委评字第40号等资料由估价委托人提供，估价委托人对所提供资料的真实性负责。</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7、本项评估仅对委估对象的价值做出合理估价，不作为其权属方面确认的依据，有关权属确定以有关部门认定为准。</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8、本次估价由我公司房地产估价师独立完成，没有人对本估价报告提供重要专业帮助。</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 xml:space="preserve">                                                                                                                                                                                                                                                                                                                                                                                                                                                                                                                                                                                                                                                                                                                                                                                                                                                                          </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9、本估价报告由沧州市沧房房地产评估有限公司负责解释。</w:t>
      </w:r>
    </w:p>
    <w:p>
      <w:pPr>
        <w:spacing w:line="288" w:lineRule="auto"/>
        <w:ind w:firstLine="540" w:firstLineChars="192"/>
        <w:rPr>
          <w:rFonts w:hint="eastAsia" w:ascii="仿宋_GB2312" w:eastAsia="仿宋_GB2312"/>
          <w:b/>
        </w:rPr>
      </w:pPr>
      <w:r>
        <w:rPr>
          <w:rFonts w:hint="eastAsia" w:ascii="仿宋_GB2312" w:eastAsia="仿宋_GB2312"/>
          <w:b/>
        </w:rPr>
        <w:t>注册房地产估价师：</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1796"/>
        <w:gridCol w:w="215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注册房地产估价师姓名</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注册号</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签名</w:t>
            </w: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r>
              <w:rPr>
                <w:rFonts w:hint="eastAsia" w:ascii="仿宋_GB2312" w:eastAsia="仿宋_GB2312"/>
                <w:bCs/>
              </w:rPr>
              <w:t>郭彦彬</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hint="eastAsia" w:ascii="仿宋_GB2312" w:eastAsia="仿宋_GB2312" w:cs="仿宋_GB2312"/>
                <w:bCs/>
                <w:sz w:val="28"/>
              </w:rPr>
            </w:pPr>
            <w:r>
              <w:rPr>
                <w:rFonts w:hint="eastAsia" w:ascii="仿宋_GB2312" w:eastAsia="仿宋_GB2312"/>
                <w:bCs/>
                <w:sz w:val="28"/>
              </w:rPr>
              <w:t>1320180019</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rPr>
            </w:pPr>
            <w:r>
              <w:rPr>
                <w:rFonts w:hint="eastAsia" w:ascii="仿宋_GB2312" w:eastAsia="仿宋_GB2312"/>
                <w:bCs/>
              </w:rPr>
              <w:t>庞  利</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rPr>
            </w:pPr>
            <w:r>
              <w:rPr>
                <w:rFonts w:hint="eastAsia" w:ascii="仿宋_GB2312" w:eastAsia="仿宋_GB2312"/>
                <w:bCs/>
              </w:rPr>
              <w:t>1320150111</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r>
    </w:tbl>
    <w:p>
      <w:pPr>
        <w:spacing w:line="288" w:lineRule="auto"/>
        <w:ind w:firstLine="540" w:firstLineChars="192"/>
        <w:rPr>
          <w:rFonts w:hint="eastAsia" w:ascii="仿宋_GB2312" w:eastAsia="仿宋_GB2312"/>
          <w:b/>
        </w:rPr>
      </w:pPr>
    </w:p>
    <w:p>
      <w:pPr>
        <w:pStyle w:val="2"/>
        <w:rPr>
          <w:rFonts w:hint="eastAsia"/>
        </w:rPr>
      </w:pPr>
      <w:r>
        <w:rPr>
          <w:color w:val="000000"/>
        </w:rPr>
        <w:br w:type="page"/>
      </w:r>
      <w:r>
        <w:rPr>
          <w:rFonts w:hint="eastAsia"/>
          <w:color w:val="000000"/>
        </w:rPr>
        <w:t xml:space="preserve"> </w:t>
      </w:r>
      <w:bookmarkStart w:id="1" w:name="_Toc508115276"/>
      <w:r>
        <w:rPr>
          <w:rFonts w:hint="eastAsia"/>
        </w:rPr>
        <w:t>估价的假设和限制条件</w:t>
      </w:r>
      <w:bookmarkEnd w:id="1"/>
    </w:p>
    <w:p>
      <w:pPr>
        <w:pStyle w:val="3"/>
        <w:numPr>
          <w:ilvl w:val="0"/>
          <w:numId w:val="1"/>
        </w:numPr>
        <w:ind w:left="560"/>
        <w:rPr>
          <w:rFonts w:hint="eastAsia"/>
        </w:rPr>
      </w:pPr>
      <w:bookmarkStart w:id="2" w:name="_Toc508115277"/>
      <w:r>
        <w:rPr>
          <w:rFonts w:hint="eastAsia"/>
        </w:rPr>
        <w:t>本次估价的一般假设</w:t>
      </w:r>
      <w:bookmarkEnd w:id="2"/>
    </w:p>
    <w:p>
      <w:pPr>
        <w:spacing w:line="360" w:lineRule="auto"/>
        <w:ind w:firstLine="560" w:firstLineChars="200"/>
        <w:rPr>
          <w:rFonts w:hint="eastAsia" w:ascii="仿宋_GB2312" w:eastAsia="仿宋_GB2312"/>
          <w:color w:val="000000"/>
        </w:rPr>
      </w:pPr>
      <w:r>
        <w:rPr>
          <w:rFonts w:hint="eastAsia" w:ascii="仿宋_GB2312" w:eastAsia="仿宋_GB2312"/>
          <w:color w:val="000000"/>
        </w:rPr>
        <w:t>1.本报告依据的不动产权证复印件、任丘市人民法院委托鉴定书（2019）任法委评字第40号等资料由估价委托人提供，估价委托人对资料的合法性、真实性、准确性和完整性负责并承担法律责任。注册房地产估价师对估价所依据的资料进行了审慎检查，本估价报告以估价所依据的资料合法、真实、准确和完整为假设前提。</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2.估价委托人提供的资料真实可靠，估价对象的权益没有争议。不考虑委估房地产的连带负债及评估范围以外的法律问题。</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3.本次评估是以估价对象能够按照现状用途持续有效使用为假设前提。</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4.我们已于2019年8月9日对本估价报告中的估价对象进行实地查勘。评估人员对评估标的物的查勘仅限于标的物的外观和使用状况，不承担对评估标的物建筑结构、质量进行调查的责任和其他被遮盖、未暴露及难于接触到部分进行检视的责任。本次评估以其建筑质量符合设计规范要求和有关质量标准为假设前提。</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5.在价值时点的房地产市场为公开、平等、自愿的交易市场。</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6.交易双方的交易目的都是追逐自身最大经济利益，在适当的期间完成谈判和交易，洽谈交易期间物价值将保持稳定。</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7.交易双方都具有完全市场信息，对交易对象具有必要的专业知识，不考虑特殊买家的附加出价。</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8.市场供应关系、市场结构保持稳定、未发生重大变化或实质性改变。</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9.本次评估所依据的面积以不动产权证复印件证载建筑面积为准，即建筑面积为92.73平方米。</w:t>
      </w:r>
    </w:p>
    <w:p>
      <w:pPr>
        <w:pStyle w:val="3"/>
        <w:ind w:left="560"/>
        <w:rPr>
          <w:rFonts w:hint="eastAsia"/>
        </w:rPr>
      </w:pPr>
      <w:bookmarkStart w:id="3" w:name="_Toc508115278"/>
      <w:r>
        <w:rPr>
          <w:rFonts w:hint="eastAsia"/>
        </w:rPr>
        <w:t>二、不确定事项假设</w:t>
      </w:r>
      <w:bookmarkEnd w:id="3"/>
    </w:p>
    <w:p>
      <w:pPr>
        <w:spacing w:line="360" w:lineRule="auto"/>
        <w:ind w:firstLine="560" w:firstLineChars="200"/>
        <w:rPr>
          <w:rFonts w:hint="eastAsia" w:ascii="仿宋_GB2312" w:eastAsia="仿宋_GB2312"/>
          <w:color w:val="000000"/>
        </w:rPr>
      </w:pPr>
      <w:r>
        <w:rPr>
          <w:rFonts w:hint="eastAsia" w:ascii="仿宋_GB2312" w:eastAsia="仿宋_GB2312"/>
          <w:color w:val="000000"/>
        </w:rPr>
        <w:t>1.本次估价结果未考虑国家宏观政策发生重大变化以及偶有自然力和其他不可抗力对估价结果的影响。</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2.本报告估价结果是根据公开、公平的市场原则确定的，未考虑将来可能承担的抵押、担保事宜，以及特殊的交易方式的影响。</w:t>
      </w:r>
    </w:p>
    <w:p>
      <w:pPr>
        <w:pStyle w:val="3"/>
        <w:ind w:left="560"/>
        <w:rPr>
          <w:rFonts w:hint="eastAsia"/>
        </w:rPr>
      </w:pPr>
      <w:bookmarkStart w:id="4" w:name="_Toc508115279"/>
      <w:r>
        <w:rPr>
          <w:rFonts w:hint="eastAsia"/>
        </w:rPr>
        <w:t>三、背离实际情况假设</w:t>
      </w:r>
      <w:bookmarkEnd w:id="4"/>
    </w:p>
    <w:p>
      <w:pPr>
        <w:spacing w:line="360" w:lineRule="auto"/>
        <w:ind w:firstLine="560" w:firstLineChars="200"/>
        <w:rPr>
          <w:rFonts w:hint="eastAsia" w:ascii="仿宋_GB2312" w:eastAsia="仿宋_GB2312"/>
          <w:color w:val="000000"/>
        </w:rPr>
      </w:pPr>
      <w:r>
        <w:rPr>
          <w:rFonts w:hint="eastAsia" w:ascii="仿宋_GB2312" w:eastAsia="仿宋_GB2312"/>
          <w:color w:val="000000"/>
        </w:rPr>
        <w:t>本次评估未考虑抵押、查封、租赁、纠纷等因素的影响。</w:t>
      </w:r>
    </w:p>
    <w:p>
      <w:pPr>
        <w:pStyle w:val="3"/>
        <w:ind w:left="560"/>
        <w:rPr>
          <w:rFonts w:hint="eastAsia"/>
        </w:rPr>
      </w:pPr>
      <w:bookmarkStart w:id="5" w:name="_Toc508115280"/>
      <w:r>
        <w:rPr>
          <w:rFonts w:hint="eastAsia"/>
        </w:rPr>
        <w:t>四、不相一致假设</w:t>
      </w:r>
      <w:bookmarkEnd w:id="5"/>
    </w:p>
    <w:p>
      <w:pPr>
        <w:spacing w:line="360" w:lineRule="auto"/>
        <w:ind w:firstLine="560" w:firstLineChars="200"/>
        <w:rPr>
          <w:rFonts w:hint="eastAsia" w:ascii="仿宋_GB2312" w:eastAsia="仿宋_GB2312"/>
          <w:color w:val="000000"/>
        </w:rPr>
      </w:pPr>
      <w:r>
        <w:rPr>
          <w:rFonts w:hint="eastAsia" w:ascii="仿宋_GB2312" w:eastAsia="仿宋_GB2312"/>
          <w:color w:val="000000"/>
        </w:rPr>
        <w:t>无。</w:t>
      </w:r>
    </w:p>
    <w:p>
      <w:pPr>
        <w:pStyle w:val="3"/>
        <w:ind w:left="560"/>
        <w:rPr>
          <w:rFonts w:hint="eastAsia"/>
        </w:rPr>
      </w:pPr>
      <w:bookmarkStart w:id="6" w:name="_Toc508115281"/>
      <w:r>
        <w:rPr>
          <w:rFonts w:hint="eastAsia"/>
        </w:rPr>
        <w:t>五、依据不足假设</w:t>
      </w:r>
      <w:bookmarkEnd w:id="6"/>
    </w:p>
    <w:p>
      <w:pPr>
        <w:spacing w:line="360" w:lineRule="auto"/>
        <w:ind w:firstLine="560" w:firstLineChars="200"/>
        <w:rPr>
          <w:rFonts w:hint="eastAsia" w:ascii="仿宋_GB2312" w:eastAsia="仿宋_GB2312"/>
          <w:color w:val="000000"/>
        </w:rPr>
      </w:pPr>
      <w:r>
        <w:rPr>
          <w:rFonts w:hint="eastAsia" w:ascii="Arial" w:hAnsi="Arial" w:eastAsia="仿宋_GB2312"/>
        </w:rPr>
        <w:t>无。</w:t>
      </w:r>
    </w:p>
    <w:p>
      <w:pPr>
        <w:pStyle w:val="3"/>
        <w:ind w:left="560"/>
        <w:rPr>
          <w:rFonts w:hint="eastAsia"/>
        </w:rPr>
      </w:pPr>
      <w:bookmarkStart w:id="7" w:name="_Toc508115282"/>
      <w:r>
        <w:rPr>
          <w:rFonts w:hint="eastAsia"/>
        </w:rPr>
        <w:t>六、估价报告限制条件</w:t>
      </w:r>
      <w:bookmarkEnd w:id="7"/>
    </w:p>
    <w:p>
      <w:pPr>
        <w:spacing w:line="360" w:lineRule="auto"/>
        <w:ind w:firstLine="560" w:firstLineChars="200"/>
        <w:rPr>
          <w:rFonts w:hint="eastAsia" w:ascii="仿宋_GB2312" w:eastAsia="仿宋_GB2312"/>
          <w:color w:val="000000"/>
        </w:rPr>
      </w:pPr>
      <w:r>
        <w:rPr>
          <w:rFonts w:hint="eastAsia" w:ascii="仿宋_GB2312" w:eastAsia="仿宋_GB2312"/>
          <w:color w:val="000000"/>
        </w:rPr>
        <w:t>1．本次评估仅对估价对象价值做出合理估价，不做其权属方面确认的依据，有关权属确定以相关部门认定为准。</w:t>
      </w:r>
    </w:p>
    <w:p>
      <w:pPr>
        <w:spacing w:line="360" w:lineRule="auto"/>
        <w:ind w:firstLine="570"/>
        <w:rPr>
          <w:rFonts w:hint="eastAsia" w:ascii="仿宋_GB2312" w:eastAsia="仿宋_GB2312"/>
        </w:rPr>
      </w:pPr>
      <w:r>
        <w:rPr>
          <w:rFonts w:hint="eastAsia" w:ascii="仿宋_GB2312" w:eastAsia="仿宋_GB2312"/>
          <w:color w:val="000000"/>
        </w:rPr>
        <w:t>2. 本次评估按既定目的提供给估价委托人使用，即为估价委托人执行司法案件的需要提供房地产市场价值参考依据。若改变评估目的及使用条件需重新评估。</w:t>
      </w:r>
    </w:p>
    <w:p>
      <w:pPr>
        <w:spacing w:line="360" w:lineRule="auto"/>
        <w:ind w:firstLine="560" w:firstLineChars="200"/>
        <w:rPr>
          <w:rFonts w:hint="eastAsia" w:ascii="仿宋_GB2312" w:eastAsia="仿宋_GB2312"/>
        </w:rPr>
      </w:pPr>
      <w:r>
        <w:rPr>
          <w:rFonts w:hint="eastAsia" w:ascii="仿宋_GB2312" w:eastAsia="仿宋_GB2312"/>
          <w:color w:val="000000"/>
        </w:rPr>
        <w:t>3.按有关规定本评估报告结果有效期自估价报告出具之日起一年内有效。随着时间推移，房地产市场状况和估价对象自身情况发生变化，评估对象的市场价值将发生相应变化，评估结果也需做相应调整。</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bCs/>
          <w:color w:val="000000"/>
        </w:rPr>
        <w:t>4.</w:t>
      </w:r>
      <w:r>
        <w:rPr>
          <w:rFonts w:hint="eastAsia" w:ascii="仿宋_GB2312" w:eastAsia="仿宋_GB2312"/>
          <w:color w:val="000000"/>
        </w:rPr>
        <w:t>未经评估机构同意，本报告不得向估价委托人、相关方和评估报告审查部门之外的单位和个人提供，报告的全部或部分内容不得在任何公开媒体上发表。</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bCs/>
          <w:color w:val="000000"/>
        </w:rPr>
        <w:t>5.</w:t>
      </w:r>
      <w:r>
        <w:rPr>
          <w:rFonts w:hint="eastAsia" w:ascii="仿宋_GB2312" w:eastAsia="仿宋_GB2312"/>
          <w:color w:val="000000"/>
        </w:rPr>
        <w:t>我公司仅对本报告的原件承担责任，对任何形式的复制件概不认可且不承担责任。</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bCs/>
          <w:color w:val="000000"/>
        </w:rPr>
        <w:t>6.</w:t>
      </w:r>
      <w:r>
        <w:rPr>
          <w:rFonts w:hint="eastAsia" w:ascii="仿宋_GB2312" w:eastAsia="仿宋_GB2312"/>
          <w:color w:val="000000"/>
        </w:rPr>
        <w:t>本估价报告分《估价结果报告》和《估价技术报告》。《估价结果报告》提供给估价委托人，《估价技术报告》根据有关规定存档备查。</w:t>
      </w:r>
    </w:p>
    <w:p>
      <w:pPr>
        <w:tabs>
          <w:tab w:val="left" w:pos="3240"/>
        </w:tabs>
        <w:spacing w:line="360" w:lineRule="auto"/>
        <w:ind w:firstLine="560" w:firstLineChars="200"/>
        <w:rPr>
          <w:rFonts w:hint="eastAsia" w:ascii="仿宋_GB2312" w:eastAsia="仿宋_GB2312"/>
          <w:bCs/>
          <w:color w:val="000000"/>
        </w:rPr>
      </w:pPr>
      <w:r>
        <w:rPr>
          <w:rFonts w:hint="eastAsia" w:ascii="仿宋_GB2312" w:eastAsia="仿宋_GB2312"/>
          <w:color w:val="000000"/>
        </w:rPr>
        <w:t>7.本报告书的附件，为本报告书的有机组成部分，与本报告正文具有同等法律效力。</w:t>
      </w: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ascii="仿宋_GB2312" w:eastAsia="仿宋_GB2312"/>
          <w:b/>
          <w:color w:val="000000"/>
          <w:sz w:val="36"/>
          <w:szCs w:val="36"/>
        </w:rPr>
      </w:pPr>
    </w:p>
    <w:p>
      <w:pPr>
        <w:pStyle w:val="2"/>
        <w:rPr>
          <w:rFonts w:hint="eastAsia"/>
        </w:rPr>
      </w:pPr>
      <w:bookmarkStart w:id="8" w:name="_Toc508115283"/>
      <w:r>
        <w:rPr>
          <w:rFonts w:hint="eastAsia"/>
        </w:rPr>
        <w:t>估价结果报告</w:t>
      </w:r>
      <w:bookmarkEnd w:id="8"/>
    </w:p>
    <w:p>
      <w:pPr>
        <w:pStyle w:val="3"/>
        <w:ind w:left="560"/>
        <w:rPr>
          <w:rFonts w:hint="eastAsia"/>
        </w:rPr>
      </w:pPr>
      <w:bookmarkStart w:id="9" w:name="_Toc508115284"/>
      <w:r>
        <w:rPr>
          <w:rFonts w:hint="eastAsia"/>
        </w:rPr>
        <w:t>一、估价委托人</w:t>
      </w:r>
      <w:bookmarkEnd w:id="9"/>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委托人：任丘市人民法院</w:t>
      </w:r>
    </w:p>
    <w:p>
      <w:pPr>
        <w:pStyle w:val="3"/>
        <w:ind w:left="560"/>
        <w:rPr>
          <w:rFonts w:hint="eastAsia"/>
        </w:rPr>
      </w:pPr>
      <w:bookmarkStart w:id="10" w:name="_Toc508115285"/>
      <w:r>
        <w:rPr>
          <w:rFonts w:hint="eastAsia"/>
        </w:rPr>
        <w:t>二、房地产估价机构</w:t>
      </w:r>
      <w:bookmarkEnd w:id="10"/>
    </w:p>
    <w:p>
      <w:pPr>
        <w:pStyle w:val="9"/>
        <w:spacing w:line="360" w:lineRule="auto"/>
        <w:rPr>
          <w:rFonts w:hint="eastAsia" w:ascii="仿宋_GB2312" w:eastAsia="仿宋_GB2312"/>
          <w:bCs/>
          <w:color w:val="000000"/>
        </w:rPr>
      </w:pPr>
      <w:r>
        <w:rPr>
          <w:rFonts w:hint="eastAsia" w:ascii="仿宋_GB2312" w:eastAsia="仿宋_GB2312"/>
          <w:bCs/>
          <w:color w:val="000000"/>
        </w:rPr>
        <w:t xml:space="preserve">    估价机构：沧州市沧房房地产评估有限公司</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机构地址：沧州市运河区解放中路南新村4号楼</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资质等级：贰级</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资质证书编号：冀建房估（沧）22号</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法人代表：杨桂林</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联系电话：0317-2010507</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邮政编码：061000</w:t>
      </w:r>
    </w:p>
    <w:p>
      <w:pPr>
        <w:spacing w:line="360" w:lineRule="auto"/>
        <w:ind w:firstLine="560" w:firstLineChars="200"/>
        <w:rPr>
          <w:rFonts w:hint="eastAsia" w:ascii="仿宋_GB2312" w:eastAsia="仿宋_GB2312"/>
          <w:bCs/>
          <w:color w:val="000000"/>
        </w:rPr>
      </w:pPr>
      <w:bookmarkStart w:id="11" w:name="_Toc508115286"/>
      <w:r>
        <w:rPr>
          <w:rStyle w:val="71"/>
          <w:rFonts w:hint="eastAsia"/>
        </w:rPr>
        <w:t>三、估价目的</w:t>
      </w:r>
      <w:bookmarkEnd w:id="11"/>
      <w:r>
        <w:rPr>
          <w:rFonts w:hint="eastAsia" w:ascii="仿宋_GB2312" w:eastAsia="仿宋_GB2312"/>
          <w:color w:val="000000"/>
        </w:rPr>
        <w:t>：为估价委托人执行司法案件的需要提供房地产市场价值参考依据。</w:t>
      </w:r>
    </w:p>
    <w:p>
      <w:pPr>
        <w:spacing w:line="360" w:lineRule="auto"/>
        <w:ind w:firstLine="560" w:firstLineChars="200"/>
        <w:rPr>
          <w:rFonts w:hint="eastAsia" w:ascii="仿宋_GB2312" w:eastAsia="仿宋_GB2312"/>
          <w:color w:val="000000"/>
        </w:rPr>
      </w:pPr>
      <w:bookmarkStart w:id="12" w:name="_Toc508115287"/>
      <w:r>
        <w:rPr>
          <w:rStyle w:val="71"/>
          <w:rFonts w:hint="eastAsia"/>
        </w:rPr>
        <w:t>四、估价对象</w:t>
      </w:r>
      <w:bookmarkEnd w:id="12"/>
      <w:r>
        <w:rPr>
          <w:rFonts w:hint="eastAsia" w:ascii="仿宋_GB2312" w:eastAsia="仿宋_GB2312"/>
          <w:bCs/>
          <w:color w:val="000000"/>
        </w:rPr>
        <w:t>：</w:t>
      </w:r>
      <w:r>
        <w:rPr>
          <w:rFonts w:hint="eastAsia" w:ascii="仿宋_GB2312" w:eastAsia="仿宋_GB2312"/>
          <w:color w:val="000000"/>
        </w:rPr>
        <w:t>任丘市人民法院受理的申请人张明伟申请执行高青青民间借贷纠纷一案所涉及的被执行人高青青名下的任丘市梅园新村住宅小区8栋5单元1702室住宅房地产，建筑面积为92.73平方米。</w:t>
      </w:r>
    </w:p>
    <w:p>
      <w:pPr>
        <w:numPr>
          <w:ilvl w:val="0"/>
          <w:numId w:val="2"/>
        </w:numPr>
        <w:spacing w:line="360" w:lineRule="auto"/>
        <w:rPr>
          <w:rFonts w:hint="eastAsia" w:ascii="仿宋_GB2312" w:eastAsia="仿宋_GB2312"/>
          <w:color w:val="000000"/>
        </w:rPr>
      </w:pPr>
      <w:r>
        <w:rPr>
          <w:rFonts w:hint="eastAsia" w:ascii="仿宋_GB2312" w:eastAsia="仿宋_GB2312"/>
          <w:color w:val="000000"/>
        </w:rPr>
        <w:t>实物状况</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经估价人员现场查勘，估价对象位于任丘市梅园新村住宅小区8栋5单元1702室，楼体</w:t>
      </w:r>
      <w:r>
        <w:rPr>
          <w:rFonts w:hint="eastAsia" w:eastAsia="仿宋_GB2312"/>
          <w:bCs/>
          <w:color w:val="000000"/>
        </w:rPr>
        <w:t>外墙面贴墙砖或刷涂料</w:t>
      </w:r>
      <w:r>
        <w:rPr>
          <w:rFonts w:hint="eastAsia" w:ascii="仿宋_GB2312" w:eastAsia="仿宋_GB2312"/>
          <w:color w:val="000000"/>
        </w:rPr>
        <w:t>，共5个单元，所在5单元，2电梯4户，地上总层数为22层，地下2层，估价对象所在层数为17层，户型为二室一厅一厨一卫，设单元门禁系统，设入户防盗门，室内木地板地面，内墙面刷乳胶漆或贴壁纸，造型吊顶，电视背景墙，成套木门，木塑踢脚线、断桥铝窗；卫生间、厨房内墙面贴砖，地砖地面，集成吊顶。</w:t>
      </w:r>
      <w:r>
        <w:rPr>
          <w:rFonts w:hint="eastAsia" w:eastAsia="仿宋_GB2312"/>
          <w:bCs/>
          <w:color w:val="000000"/>
        </w:rPr>
        <w:t>设给排水、照明、暖气、通讯、天然气等设施</w:t>
      </w:r>
      <w:r>
        <w:rPr>
          <w:rFonts w:hint="eastAsia" w:ascii="仿宋_GB2312" w:eastAsia="仿宋_GB2312"/>
          <w:color w:val="000000"/>
        </w:rPr>
        <w:t>。</w:t>
      </w:r>
    </w:p>
    <w:p>
      <w:pPr>
        <w:numPr>
          <w:ilvl w:val="0"/>
          <w:numId w:val="3"/>
        </w:numPr>
        <w:spacing w:line="360" w:lineRule="auto"/>
        <w:ind w:firstLine="560" w:firstLineChars="200"/>
        <w:rPr>
          <w:rFonts w:hint="eastAsia" w:ascii="仿宋_GB2312" w:eastAsia="仿宋_GB2312"/>
          <w:color w:val="000000"/>
        </w:rPr>
      </w:pPr>
      <w:r>
        <w:rPr>
          <w:rFonts w:hint="eastAsia" w:ascii="仿宋_GB2312" w:eastAsia="仿宋_GB2312"/>
          <w:color w:val="000000"/>
        </w:rPr>
        <w:t>权益状况</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根据估价委托人提供的</w:t>
      </w:r>
      <w:r>
        <w:rPr>
          <w:rFonts w:hint="eastAsia" w:eastAsia="仿宋_GB2312"/>
          <w:bCs/>
          <w:color w:val="000000"/>
        </w:rPr>
        <w:t>不动产权证复印件</w:t>
      </w:r>
      <w:r>
        <w:rPr>
          <w:rFonts w:hint="eastAsia" w:ascii="仿宋_GB2312" w:eastAsia="仿宋_GB2312"/>
          <w:color w:val="000000"/>
        </w:rPr>
        <w:t>记载，房屋坐落为文化道东侧梅园新村住宅小区8-5-1702，</w:t>
      </w:r>
      <w:r>
        <w:rPr>
          <w:rFonts w:hint="eastAsia" w:eastAsia="仿宋_GB2312"/>
          <w:bCs/>
          <w:color w:val="000000"/>
        </w:rPr>
        <w:t>不动产权证</w:t>
      </w:r>
      <w:r>
        <w:rPr>
          <w:rFonts w:hint="eastAsia" w:ascii="仿宋_GB2312" w:eastAsia="仿宋_GB2312"/>
          <w:color w:val="000000"/>
        </w:rPr>
        <w:t>号为冀（2017）任丘市不动产权第63362号，</w:t>
      </w:r>
      <w:r>
        <w:rPr>
          <w:rFonts w:hint="eastAsia" w:eastAsia="仿宋_GB2312"/>
          <w:bCs/>
          <w:color w:val="000000"/>
        </w:rPr>
        <w:t>权利人为高青青</w:t>
      </w:r>
      <w:r>
        <w:rPr>
          <w:rFonts w:hint="eastAsia" w:ascii="仿宋_GB2312" w:eastAsia="仿宋_GB2312"/>
          <w:color w:val="000000"/>
        </w:rPr>
        <w:t>，共有情况为共同共有，共有人为温双燕，权利类型为房屋所有权，权利性质为普通商品房，用途为住宅，房屋结构为钢筋混凝土，房屋总层数为24层，所在层数为17层，建筑面积为92.73平方米。</w:t>
      </w:r>
    </w:p>
    <w:p>
      <w:pPr>
        <w:spacing w:line="360" w:lineRule="auto"/>
        <w:ind w:firstLine="560"/>
        <w:rPr>
          <w:rFonts w:hint="eastAsia" w:ascii="仿宋_GB2312" w:eastAsia="仿宋_GB2312"/>
          <w:color w:val="000000"/>
        </w:rPr>
      </w:pPr>
      <w:r>
        <w:rPr>
          <w:rFonts w:hint="eastAsia" w:ascii="仿宋_GB2312" w:eastAsia="仿宋_GB2312"/>
          <w:color w:val="000000"/>
        </w:rPr>
        <w:t>本次评估不考虑抵押、查封、租赁、纠纷等因素的影响。</w:t>
      </w:r>
    </w:p>
    <w:p>
      <w:pPr>
        <w:numPr>
          <w:ilvl w:val="0"/>
          <w:numId w:val="3"/>
        </w:numPr>
        <w:spacing w:line="360" w:lineRule="auto"/>
        <w:ind w:firstLine="560" w:firstLineChars="200"/>
        <w:rPr>
          <w:rFonts w:hint="eastAsia" w:ascii="仿宋_GB2312" w:eastAsia="仿宋_GB2312"/>
          <w:color w:val="000000"/>
        </w:rPr>
      </w:pPr>
      <w:r>
        <w:rPr>
          <w:rFonts w:hint="eastAsia" w:ascii="仿宋_GB2312" w:eastAsia="仿宋_GB2312"/>
          <w:color w:val="000000"/>
        </w:rPr>
        <w:t>区位状况</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估价对象位于文化道东侧梅园新村住宅小区8-5-1702，西临文化道，区域内有梅园温泉小区、远景小区、碧桂园首府、鹏启爱心幼儿园等。估价对象所在区域内繁华程度较高，区域内生活设施、公用设施较完善，生活购物方便，交通较便捷，公交便捷度较便捷。估价对象所在区域内房地产类型以住宅、商业、办公等为主，绿化程度较好，自然环境较优，人文环境条件好。估价对象所在区域的开发程度已达到“七通一平”即：通上水、通下水、通电、通暖、通讯、通路、通天然气和场地平整，基础设施完善。</w:t>
      </w:r>
    </w:p>
    <w:p>
      <w:pPr>
        <w:spacing w:line="360" w:lineRule="auto"/>
        <w:rPr>
          <w:rFonts w:hint="eastAsia" w:ascii="仿宋_GB2312" w:eastAsia="仿宋_GB2312"/>
          <w:bCs/>
          <w:color w:val="000000"/>
        </w:rPr>
      </w:pPr>
      <w:r>
        <w:rPr>
          <w:rFonts w:hint="eastAsia" w:ascii="仿宋_GB2312" w:eastAsia="仿宋_GB2312"/>
          <w:color w:val="000000"/>
        </w:rPr>
        <w:t xml:space="preserve">  </w:t>
      </w:r>
      <w:r>
        <w:rPr>
          <w:rStyle w:val="71"/>
          <w:rFonts w:hint="eastAsia"/>
        </w:rPr>
        <w:t xml:space="preserve">  </w:t>
      </w:r>
      <w:bookmarkStart w:id="13" w:name="_Toc508115288"/>
      <w:r>
        <w:rPr>
          <w:rStyle w:val="71"/>
          <w:rFonts w:hint="eastAsia"/>
        </w:rPr>
        <w:t>五、价值时点</w:t>
      </w:r>
      <w:bookmarkEnd w:id="13"/>
      <w:r>
        <w:rPr>
          <w:rFonts w:hint="eastAsia" w:ascii="仿宋_GB2312" w:eastAsia="仿宋_GB2312"/>
          <w:bCs/>
          <w:color w:val="000000"/>
        </w:rPr>
        <w:t>：2019年8月9日</w:t>
      </w:r>
      <w:r>
        <w:rPr>
          <w:rFonts w:hint="eastAsia" w:ascii="仿宋_GB2312" w:eastAsia="仿宋_GB2312"/>
          <w:color w:val="000000"/>
        </w:rPr>
        <w:t>。</w:t>
      </w:r>
    </w:p>
    <w:p>
      <w:pPr>
        <w:spacing w:line="360" w:lineRule="auto"/>
        <w:ind w:right="28" w:rightChars="10" w:firstLine="560" w:firstLineChars="200"/>
        <w:rPr>
          <w:rFonts w:hint="eastAsia" w:ascii="仿宋_GB2312" w:eastAsia="仿宋_GB2312"/>
          <w:bCs/>
          <w:color w:val="000000"/>
        </w:rPr>
      </w:pPr>
      <w:bookmarkStart w:id="14" w:name="_Toc508115289"/>
      <w:r>
        <w:rPr>
          <w:rStyle w:val="71"/>
          <w:rFonts w:hint="eastAsia"/>
        </w:rPr>
        <w:t>六、价值类型</w:t>
      </w:r>
      <w:bookmarkEnd w:id="14"/>
      <w:r>
        <w:rPr>
          <w:rFonts w:hint="eastAsia" w:ascii="仿宋_GB2312" w:eastAsia="仿宋_GB2312"/>
          <w:bCs/>
          <w:color w:val="000000"/>
        </w:rPr>
        <w:t>：公开市场价值。</w:t>
      </w:r>
    </w:p>
    <w:p>
      <w:pPr>
        <w:tabs>
          <w:tab w:val="left" w:pos="3240"/>
        </w:tabs>
        <w:spacing w:line="360" w:lineRule="auto"/>
        <w:ind w:firstLine="560" w:firstLineChars="200"/>
        <w:rPr>
          <w:rFonts w:hint="eastAsia" w:ascii="仿宋_GB2312" w:eastAsia="仿宋_GB2312"/>
          <w:bCs/>
          <w:color w:val="000000"/>
        </w:rPr>
      </w:pPr>
      <w:bookmarkStart w:id="15" w:name="_Toc508115290"/>
      <w:r>
        <w:rPr>
          <w:rStyle w:val="71"/>
          <w:rFonts w:hint="eastAsia"/>
        </w:rPr>
        <w:t>七、估价依据</w:t>
      </w:r>
      <w:bookmarkEnd w:id="15"/>
      <w:r>
        <w:rPr>
          <w:rFonts w:hint="eastAsia" w:ascii="仿宋_GB2312" w:eastAsia="仿宋_GB2312"/>
          <w:bCs/>
          <w:color w:val="000000"/>
        </w:rPr>
        <w:t xml:space="preserve">： </w:t>
      </w:r>
    </w:p>
    <w:p>
      <w:pPr>
        <w:tabs>
          <w:tab w:val="left" w:pos="324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 xml:space="preserve">1、《中华人民共和国资产评估法》；                                                              </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2、《中华人民共和国城市房地产管理法》；</w:t>
      </w:r>
      <w:r>
        <w:rPr>
          <w:rFonts w:hint="eastAsia" w:ascii="仿宋_GB2312" w:eastAsia="仿宋_GB2312"/>
          <w:bCs/>
          <w:color w:val="000000"/>
        </w:rPr>
        <w:tab/>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3、《中华人民共和国土地管理法》；</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4、中华人民共和国国家标准GB/T50291-2015《房地产估价规范》；</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5、中华人民共和国国家标准GB/T50899-2013《房地产估价基本术语标准》；</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6、《中华人民共和国物权法》；</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7、《河北省建筑工程消耗量定额》；</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8、国家、省、市的其他有关规定；</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9、估价委托人提供的有关资料；</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10、评估人员现场查勘搜集的有关资料。</w:t>
      </w:r>
    </w:p>
    <w:p>
      <w:pPr>
        <w:tabs>
          <w:tab w:val="left" w:pos="0"/>
        </w:tabs>
        <w:spacing w:line="360" w:lineRule="auto"/>
        <w:ind w:firstLine="560" w:firstLineChars="200"/>
        <w:rPr>
          <w:rFonts w:hint="eastAsia" w:ascii="仿宋_GB2312" w:eastAsia="仿宋_GB2312"/>
          <w:bCs/>
          <w:color w:val="000000"/>
        </w:rPr>
      </w:pPr>
      <w:bookmarkStart w:id="16" w:name="_Toc508115291"/>
      <w:r>
        <w:rPr>
          <w:rStyle w:val="71"/>
          <w:rFonts w:hint="eastAsia"/>
        </w:rPr>
        <w:t>八、估价原则</w:t>
      </w:r>
      <w:bookmarkEnd w:id="16"/>
      <w:r>
        <w:rPr>
          <w:rFonts w:hint="eastAsia" w:ascii="仿宋_GB2312" w:eastAsia="仿宋_GB2312"/>
          <w:bCs/>
          <w:color w:val="000000"/>
        </w:rPr>
        <w:t>：本评估报告在遵循公正、公平、公开原则的前提下，结合评估目的对委估房屋的价格进行评估。具体依据如下原则：</w:t>
      </w:r>
    </w:p>
    <w:p>
      <w:pPr>
        <w:spacing w:line="360" w:lineRule="auto"/>
        <w:ind w:firstLine="560" w:firstLineChars="200"/>
        <w:rPr>
          <w:rFonts w:hint="eastAsia" w:ascii="仿宋_GB2312" w:eastAsia="仿宋_GB2312"/>
          <w:bCs/>
          <w:color w:val="000000"/>
        </w:rPr>
      </w:pPr>
      <w:r>
        <w:rPr>
          <w:rFonts w:hint="eastAsia" w:ascii="仿宋_GB2312" w:eastAsia="仿宋_GB2312"/>
          <w:bCs/>
          <w:color w:val="000000"/>
        </w:rPr>
        <w:t xml:space="preserve">1、独立、客观、公正原则。要求站在中立的立场上，实事求是、公平正直地评估出对各方估价利害关系人均是公平合理的价值或价格的原则。 </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2、合法原则。房地产估价以估价对象的合法产权、合法使用、合法处分等为前提进行估价。</w:t>
      </w:r>
    </w:p>
    <w:p>
      <w:pPr>
        <w:spacing w:line="360" w:lineRule="auto"/>
        <w:ind w:firstLine="560" w:firstLineChars="200"/>
        <w:rPr>
          <w:rFonts w:hint="eastAsia" w:ascii="仿宋_GB2312" w:eastAsia="仿宋_GB2312"/>
          <w:bCs/>
          <w:color w:val="000000"/>
        </w:rPr>
      </w:pPr>
      <w:r>
        <w:rPr>
          <w:rFonts w:hint="eastAsia" w:ascii="仿宋_GB2312" w:eastAsia="仿宋_GB2312"/>
          <w:bCs/>
          <w:color w:val="000000"/>
        </w:rPr>
        <w:t>3、价值时点原则。要求估价结果是在根据估价目的确定的某一特定时间的价值或价格的原则。</w:t>
      </w:r>
    </w:p>
    <w:p>
      <w:pPr>
        <w:spacing w:line="360" w:lineRule="auto"/>
        <w:ind w:firstLine="560" w:firstLineChars="200"/>
        <w:rPr>
          <w:rFonts w:hint="eastAsia" w:ascii="仿宋_GB2312" w:eastAsia="仿宋_GB2312"/>
          <w:bCs/>
          <w:color w:val="000000"/>
        </w:rPr>
      </w:pPr>
      <w:r>
        <w:rPr>
          <w:rFonts w:hint="eastAsia" w:ascii="仿宋_GB2312" w:eastAsia="仿宋_GB2312"/>
          <w:bCs/>
          <w:color w:val="000000"/>
        </w:rPr>
        <w:t>4、替代原则。要求估价结果与估价对象类似房地产在同等条件下的价值或价格偏差在合理范围内的原则。</w:t>
      </w:r>
    </w:p>
    <w:p>
      <w:pPr>
        <w:spacing w:line="360" w:lineRule="auto"/>
        <w:ind w:firstLine="560" w:firstLineChars="200"/>
        <w:rPr>
          <w:rFonts w:hint="eastAsia" w:ascii="仿宋_GB2312" w:eastAsia="仿宋_GB2312"/>
          <w:bCs/>
          <w:color w:val="000000"/>
        </w:rPr>
      </w:pPr>
      <w:r>
        <w:rPr>
          <w:rFonts w:hint="eastAsia" w:ascii="仿宋_GB2312" w:eastAsia="仿宋_GB2312"/>
          <w:bCs/>
          <w:color w:val="000000"/>
        </w:rPr>
        <w:t>5、最高最佳利用原则。是指法律上允许，技术上可行，财务上可行，能使估价对象价值最大化的合理、可能的利用。</w:t>
      </w:r>
    </w:p>
    <w:p>
      <w:pPr>
        <w:spacing w:line="360" w:lineRule="auto"/>
        <w:ind w:firstLine="560" w:firstLineChars="200"/>
      </w:pPr>
      <w:bookmarkStart w:id="17" w:name="_Toc508115292"/>
      <w:r>
        <w:rPr>
          <w:rStyle w:val="71"/>
          <w:rFonts w:hint="eastAsia"/>
        </w:rPr>
        <w:t>九、估价方法</w:t>
      </w:r>
      <w:bookmarkEnd w:id="17"/>
      <w:r>
        <w:rPr>
          <w:rFonts w:hint="eastAsia" w:ascii="仿宋_GB2312" w:eastAsia="仿宋_GB2312"/>
          <w:bCs/>
          <w:color w:val="000000"/>
        </w:rPr>
        <w:t>：</w:t>
      </w:r>
      <w:bookmarkStart w:id="18" w:name="OLE_LINK2"/>
      <w:bookmarkStart w:id="19" w:name="OLE_LINK5"/>
      <w:r>
        <w:rPr>
          <w:rFonts w:hint="eastAsia" w:ascii="仿宋_GB2312" w:eastAsia="仿宋_GB2312"/>
          <w:bCs/>
        </w:rPr>
        <w:t>根据估价目的及估价对象的实际状况，根据《房地产估价规范》估价方法通常有比较法、成本法、收益法、假设开发法等方法。估价对象为住宅房地产，虽然也有出租获得收益的情况，但是其客观租金及报酬率等数据难以把握，故不宜采用收益法；估价对象为已建成房产且近两年房价上涨较快，故不宜采用假设开发法和成本法。估价对象用途为住宅，存在交易案例可参考，因此可采用比较法进行估价。综上所述，</w:t>
      </w:r>
      <w:r>
        <w:rPr>
          <w:rFonts w:hint="eastAsia" w:ascii="仿宋_GB2312" w:hAnsi="仿宋_GB2312" w:eastAsia="仿宋_GB2312" w:cs="仿宋_GB2312"/>
          <w:bCs/>
          <w:color w:val="000000"/>
        </w:rPr>
        <w:t>根据当地房地产市场发育情况并结合估价对象的具体特点及估价目的等，</w:t>
      </w:r>
      <w:r>
        <w:rPr>
          <w:rFonts w:hint="eastAsia" w:ascii="仿宋_GB2312" w:eastAsia="仿宋_GB2312"/>
          <w:bCs/>
        </w:rPr>
        <w:t>此次估价采用比较法进行评估。</w:t>
      </w:r>
    </w:p>
    <w:bookmarkEnd w:id="18"/>
    <w:bookmarkEnd w:id="19"/>
    <w:p>
      <w:pPr>
        <w:spacing w:line="360" w:lineRule="auto"/>
        <w:ind w:firstLine="565" w:firstLineChars="202"/>
      </w:pPr>
      <w:r>
        <w:rPr>
          <w:rFonts w:hint="eastAsia" w:ascii="仿宋_GB2312" w:eastAsia="仿宋_GB2312"/>
          <w:bCs/>
        </w:rPr>
        <w:t>比较法是选取一定数量的可比实例，将它们与估价对象进行比较，根据其间的差异对可比实例成交价格进行处理后得到估价对象价值或价格的方法。</w:t>
      </w:r>
    </w:p>
    <w:p>
      <w:pPr>
        <w:spacing w:line="360" w:lineRule="auto"/>
        <w:ind w:firstLine="565" w:firstLineChars="202"/>
      </w:pPr>
      <w:r>
        <w:rPr>
          <w:rFonts w:hint="eastAsia" w:ascii="仿宋_GB2312" w:eastAsia="仿宋_GB2312"/>
          <w:bCs/>
        </w:rPr>
        <w:t>运用比较法求取估价对象的比较价值，基本公式如下：</w:t>
      </w:r>
    </w:p>
    <w:p>
      <w:pPr>
        <w:spacing w:line="360" w:lineRule="auto"/>
        <w:ind w:firstLine="565" w:firstLineChars="202"/>
        <w:rPr>
          <w:rFonts w:hint="eastAsia"/>
        </w:rPr>
      </w:pPr>
      <w:r>
        <w:rPr>
          <w:rFonts w:hint="eastAsia" w:ascii="仿宋_GB2312" w:eastAsia="仿宋_GB2312"/>
          <w:bCs/>
        </w:rPr>
        <w:t>比较价值＝可比实例成交价格</w:t>
      </w:r>
      <w:r>
        <w:rPr>
          <w:rFonts w:ascii="仿宋_GB2312" w:eastAsia="仿宋_GB2312"/>
          <w:bCs/>
        </w:rPr>
        <w:t>×</w:t>
      </w:r>
      <w:r>
        <w:rPr>
          <w:rFonts w:hint="eastAsia" w:ascii="仿宋_GB2312" w:eastAsia="仿宋_GB2312"/>
          <w:bCs/>
        </w:rPr>
        <w:t>交易情况修正系数</w:t>
      </w:r>
      <w:r>
        <w:rPr>
          <w:rFonts w:ascii="仿宋_GB2312" w:eastAsia="仿宋_GB2312"/>
          <w:bCs/>
        </w:rPr>
        <w:t>×</w:t>
      </w:r>
      <w:r>
        <w:rPr>
          <w:rFonts w:hint="eastAsia" w:ascii="仿宋_GB2312" w:eastAsia="仿宋_GB2312"/>
          <w:bCs/>
        </w:rPr>
        <w:t>市场状况调整系数</w:t>
      </w:r>
      <w:r>
        <w:rPr>
          <w:rFonts w:ascii="仿宋_GB2312" w:eastAsia="仿宋_GB2312"/>
          <w:bCs/>
        </w:rPr>
        <w:t>×</w:t>
      </w:r>
      <w:r>
        <w:rPr>
          <w:rFonts w:hint="eastAsia" w:ascii="仿宋_GB2312" w:eastAsia="仿宋_GB2312"/>
          <w:bCs/>
        </w:rPr>
        <w:t>房地产状况调整系数</w:t>
      </w:r>
    </w:p>
    <w:p>
      <w:pPr>
        <w:spacing w:line="360" w:lineRule="auto"/>
        <w:ind w:left="560"/>
        <w:rPr>
          <w:rFonts w:hint="eastAsia" w:ascii="仿宋_GB2312" w:eastAsia="仿宋_GB2312"/>
          <w:color w:val="000000"/>
        </w:rPr>
      </w:pPr>
      <w:bookmarkStart w:id="20" w:name="_Toc508115293"/>
      <w:r>
        <w:rPr>
          <w:rStyle w:val="71"/>
          <w:rFonts w:hint="eastAsia"/>
        </w:rPr>
        <w:t>十、估价结果</w:t>
      </w:r>
      <w:bookmarkEnd w:id="20"/>
      <w:r>
        <w:rPr>
          <w:rFonts w:hint="eastAsia" w:ascii="仿宋_GB2312" w:eastAsia="仿宋_GB2312"/>
          <w:bCs/>
          <w:color w:val="000000"/>
        </w:rPr>
        <w:t>：</w:t>
      </w:r>
      <w:r>
        <w:rPr>
          <w:rFonts w:hint="eastAsia" w:ascii="仿宋_GB2312" w:eastAsia="仿宋_GB2312"/>
          <w:color w:val="000000"/>
        </w:rPr>
        <w:t>估价人员根据估价目的，遵循估价原则，按照估价</w:t>
      </w:r>
    </w:p>
    <w:p>
      <w:pPr>
        <w:spacing w:line="360" w:lineRule="auto"/>
        <w:rPr>
          <w:rFonts w:hint="eastAsia" w:ascii="仿宋_GB2312" w:eastAsia="仿宋_GB2312"/>
        </w:rPr>
      </w:pPr>
      <w:r>
        <w:rPr>
          <w:rFonts w:hint="eastAsia" w:ascii="仿宋_GB2312" w:eastAsia="仿宋_GB2312"/>
          <w:color w:val="000000"/>
        </w:rPr>
        <w:t>程序，选用适宜的估价方法，在认真分析现有资料的基础上，经过测算，结合估价经验和对影响房屋价值因素的综合分析，确认</w:t>
      </w:r>
      <w:r>
        <w:rPr>
          <w:rFonts w:hint="eastAsia" w:ascii="仿宋_GB2312" w:eastAsia="仿宋_GB2312"/>
          <w:bCs/>
          <w:color w:val="000000"/>
        </w:rPr>
        <w:t>任丘市人民法院受理的申请人张明伟申请执行高青青民间借贷纠纷一案所涉及的被执行人高青青名下的任丘市梅园新村住宅小区8栋5单元1702室住宅</w:t>
      </w:r>
      <w:r>
        <w:rPr>
          <w:rFonts w:hint="eastAsia" w:ascii="仿宋_GB2312" w:eastAsia="仿宋_GB2312"/>
          <w:color w:val="000000"/>
        </w:rPr>
        <w:t>房地产在价值时点的市场价值为RMB96.62万元</w:t>
      </w:r>
      <w:r>
        <w:rPr>
          <w:rFonts w:hint="eastAsia" w:ascii="仿宋_GB2312" w:eastAsia="仿宋_GB2312"/>
        </w:rPr>
        <w:t>，大写人民币：玖拾陆万陆仟贰佰元整，单价为10419元/平方米。</w:t>
      </w:r>
    </w:p>
    <w:p>
      <w:pPr>
        <w:pStyle w:val="3"/>
        <w:ind w:left="560"/>
        <w:rPr>
          <w:rFonts w:hint="eastAsia"/>
        </w:rPr>
      </w:pPr>
      <w:bookmarkStart w:id="21" w:name="_Toc508115294"/>
      <w:r>
        <w:rPr>
          <w:rFonts w:hint="eastAsia"/>
        </w:rPr>
        <w:t>十一、注册房地产估价师</w:t>
      </w:r>
      <w:bookmarkEnd w:id="21"/>
    </w:p>
    <w:tbl>
      <w:tblPr>
        <w:tblStyle w:val="20"/>
        <w:tblW w:w="0" w:type="auto"/>
        <w:tblInd w:w="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1796"/>
        <w:gridCol w:w="215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40" w:hRule="atLeast"/>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注册房地产估价师姓名</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注册号</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签名</w:t>
            </w: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r>
              <w:rPr>
                <w:rFonts w:hint="eastAsia" w:ascii="仿宋_GB2312" w:eastAsia="仿宋_GB2312"/>
                <w:bCs/>
              </w:rPr>
              <w:t>郭彦彬</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hint="eastAsia" w:ascii="仿宋_GB2312" w:eastAsia="仿宋_GB2312" w:cs="仿宋_GB2312"/>
                <w:bCs/>
                <w:sz w:val="28"/>
              </w:rPr>
            </w:pPr>
            <w:r>
              <w:rPr>
                <w:rFonts w:hint="eastAsia" w:ascii="仿宋_GB2312" w:eastAsia="仿宋_GB2312"/>
                <w:bCs/>
                <w:sz w:val="28"/>
              </w:rPr>
              <w:t>1320180019</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rPr>
            </w:pPr>
            <w:r>
              <w:rPr>
                <w:rFonts w:hint="eastAsia" w:ascii="仿宋_GB2312" w:eastAsia="仿宋_GB2312"/>
                <w:bCs/>
              </w:rPr>
              <w:t>庞  利</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rPr>
            </w:pPr>
            <w:r>
              <w:rPr>
                <w:rFonts w:hint="eastAsia" w:ascii="仿宋_GB2312" w:eastAsia="仿宋_GB2312"/>
                <w:bCs/>
              </w:rPr>
              <w:t>1320150111</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r>
    </w:tbl>
    <w:p>
      <w:pPr>
        <w:spacing w:line="360" w:lineRule="auto"/>
        <w:ind w:firstLine="560" w:firstLineChars="200"/>
        <w:rPr>
          <w:rStyle w:val="71"/>
          <w:rFonts w:hint="eastAsia"/>
        </w:rPr>
      </w:pPr>
      <w:bookmarkStart w:id="22" w:name="_Toc508115295"/>
    </w:p>
    <w:p>
      <w:pPr>
        <w:spacing w:line="360" w:lineRule="auto"/>
        <w:ind w:firstLine="560" w:firstLineChars="200"/>
        <w:rPr>
          <w:rFonts w:hint="eastAsia" w:ascii="仿宋_GB2312" w:eastAsia="仿宋_GB2312"/>
          <w:bCs/>
        </w:rPr>
      </w:pPr>
      <w:r>
        <w:rPr>
          <w:rStyle w:val="71"/>
          <w:rFonts w:hint="eastAsia"/>
        </w:rPr>
        <w:t>十二、估价作业日期</w:t>
      </w:r>
      <w:bookmarkEnd w:id="22"/>
      <w:r>
        <w:rPr>
          <w:rFonts w:hint="eastAsia" w:ascii="仿宋_GB2312" w:eastAsia="仿宋_GB2312"/>
          <w:bCs/>
          <w:color w:val="000000"/>
        </w:rPr>
        <w:t>：2019年8月9日至2019年9月3日</w:t>
      </w:r>
      <w:r>
        <w:rPr>
          <w:rFonts w:hint="eastAsia" w:ascii="仿宋_GB2312" w:eastAsia="仿宋_GB2312"/>
          <w:bCs/>
        </w:rPr>
        <w:t>。</w:t>
      </w:r>
    </w:p>
    <w:p>
      <w:pPr>
        <w:spacing w:line="360" w:lineRule="auto"/>
        <w:rPr>
          <w:rFonts w:hint="eastAsia" w:ascii="仿宋_GB2312" w:eastAsia="仿宋_GB2312"/>
          <w:color w:val="000000"/>
        </w:rPr>
      </w:pPr>
      <w:r>
        <w:rPr>
          <w:rFonts w:hint="eastAsia" w:ascii="仿宋_GB2312" w:eastAsia="仿宋_GB2312"/>
          <w:color w:val="000000"/>
        </w:rPr>
        <w:t xml:space="preserve">    </w:t>
      </w:r>
      <w:bookmarkStart w:id="23" w:name="_Toc508115296"/>
      <w:r>
        <w:rPr>
          <w:rStyle w:val="71"/>
          <w:rFonts w:hint="eastAsia"/>
        </w:rPr>
        <w:t>十三、估价报告应用的有效期</w:t>
      </w:r>
      <w:bookmarkEnd w:id="23"/>
      <w:r>
        <w:rPr>
          <w:rFonts w:hint="eastAsia" w:ascii="仿宋_GB2312" w:eastAsia="仿宋_GB2312"/>
          <w:color w:val="000000"/>
        </w:rPr>
        <w:t>:自2019年9月3日至2020年9月2日。</w:t>
      </w:r>
    </w:p>
    <w:p>
      <w:pPr>
        <w:spacing w:line="360" w:lineRule="auto"/>
        <w:rPr>
          <w:rFonts w:hint="eastAsia" w:ascii="仿宋_GB2312" w:eastAsia="仿宋_GB2312"/>
          <w:color w:val="000000"/>
        </w:rPr>
      </w:pPr>
      <w:r>
        <w:rPr>
          <w:rFonts w:hint="eastAsia" w:ascii="仿宋_GB2312" w:eastAsia="仿宋_GB2312"/>
          <w:color w:val="000000"/>
        </w:rPr>
        <w:t xml:space="preserve">   </w:t>
      </w:r>
    </w:p>
    <w:p>
      <w:pPr>
        <w:spacing w:line="360" w:lineRule="auto"/>
        <w:rPr>
          <w:rFonts w:hint="eastAsia" w:ascii="仿宋_GB2312" w:eastAsia="仿宋_GB2312"/>
          <w:color w:val="000000"/>
        </w:rPr>
      </w:pPr>
    </w:p>
    <w:p>
      <w:pPr>
        <w:spacing w:line="360" w:lineRule="auto"/>
        <w:rPr>
          <w:rFonts w:hint="eastAsia" w:ascii="仿宋_GB2312" w:eastAsia="仿宋_GB2312"/>
          <w:color w:val="000000"/>
        </w:rPr>
      </w:pPr>
    </w:p>
    <w:p>
      <w:pPr>
        <w:spacing w:line="360" w:lineRule="auto"/>
        <w:rPr>
          <w:rFonts w:hint="eastAsia" w:ascii="仿宋_GB2312" w:eastAsia="仿宋_GB2312"/>
          <w:color w:val="000000"/>
        </w:rPr>
      </w:pPr>
    </w:p>
    <w:p>
      <w:pPr>
        <w:pStyle w:val="2"/>
        <w:rPr>
          <w:rFonts w:hint="eastAsia"/>
        </w:rPr>
      </w:pPr>
      <w:bookmarkStart w:id="24" w:name="_Toc508115297"/>
      <w:r>
        <w:rPr>
          <w:rFonts w:hint="eastAsia"/>
        </w:rPr>
        <w:t>附  件</w:t>
      </w:r>
      <w:bookmarkEnd w:id="24"/>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附件一 估价对象市区坐落示意图</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附件二 估价对象部分图片</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附件三 不动产权证复印件</w:t>
      </w:r>
    </w:p>
    <w:p>
      <w:pPr>
        <w:tabs>
          <w:tab w:val="left" w:pos="900"/>
          <w:tab w:val="left" w:pos="1080"/>
          <w:tab w:val="left" w:pos="9000"/>
        </w:tabs>
        <w:spacing w:line="360" w:lineRule="auto"/>
        <w:ind w:left="980" w:right="-143" w:rightChars="-51" w:hanging="980" w:hangingChars="350"/>
        <w:rPr>
          <w:rFonts w:hint="eastAsia" w:ascii="仿宋_GB2312" w:eastAsia="仿宋_GB2312"/>
          <w:bCs/>
          <w:color w:val="000000"/>
        </w:rPr>
      </w:pPr>
      <w:r>
        <w:rPr>
          <w:rFonts w:hint="eastAsia" w:ascii="仿宋_GB2312" w:eastAsia="仿宋_GB2312"/>
          <w:bCs/>
          <w:color w:val="000000"/>
        </w:rPr>
        <w:t>附件四 任丘市人民法院委托鉴定书（2019）任法委评字第40号复印件</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color w:val="000000"/>
        </w:rPr>
        <w:t xml:space="preserve">附件五 </w:t>
      </w:r>
      <w:r>
        <w:rPr>
          <w:rFonts w:hint="eastAsia" w:ascii="仿宋_GB2312" w:eastAsia="仿宋_GB2312"/>
          <w:bCs/>
          <w:color w:val="000000"/>
        </w:rPr>
        <w:t>房地产估价师注册证书复印件</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附件六 房地产估价机构资质证书复印件</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附件七 房地产估价机构营业执照复印件</w:t>
      </w: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rPr>
          <w:rFonts w:hint="eastAsia" w:ascii="仿宋_GB2312" w:eastAsia="仿宋_GB2312"/>
          <w:b/>
          <w:color w:val="000000"/>
          <w:sz w:val="36"/>
          <w:szCs w:val="36"/>
        </w:rPr>
      </w:pPr>
    </w:p>
    <w:p>
      <w:pPr>
        <w:tabs>
          <w:tab w:val="left" w:pos="7671"/>
        </w:tabs>
        <w:spacing w:line="480" w:lineRule="auto"/>
        <w:rPr>
          <w:rFonts w:hint="eastAsia" w:ascii="仿宋_GB2312" w:eastAsia="仿宋_GB2312"/>
          <w:b/>
          <w:color w:val="000000"/>
          <w:sz w:val="36"/>
          <w:szCs w:val="36"/>
        </w:rPr>
      </w:pPr>
    </w:p>
    <w:p>
      <w:pPr>
        <w:tabs>
          <w:tab w:val="left" w:pos="7671"/>
        </w:tabs>
        <w:spacing w:line="480" w:lineRule="auto"/>
        <w:rPr>
          <w:rFonts w:hint="eastAsia" w:ascii="仿宋_GB2312" w:eastAsia="仿宋_GB2312"/>
          <w:b/>
          <w:color w:val="000000"/>
          <w:sz w:val="36"/>
          <w:szCs w:val="36"/>
        </w:rPr>
      </w:pPr>
    </w:p>
    <w:p>
      <w:pPr>
        <w:tabs>
          <w:tab w:val="left" w:pos="7671"/>
        </w:tabs>
        <w:spacing w:line="480" w:lineRule="auto"/>
        <w:rPr>
          <w:rFonts w:hint="eastAsia" w:ascii="仿宋_GB2312" w:eastAsia="仿宋_GB2312"/>
          <w:b/>
          <w:color w:val="000000"/>
          <w:sz w:val="36"/>
          <w:szCs w:val="36"/>
        </w:rPr>
      </w:pPr>
    </w:p>
    <w:p>
      <w:pPr>
        <w:jc w:val="center"/>
        <w:rPr>
          <w:rFonts w:hint="eastAsia" w:ascii="仿宋_GB2312" w:eastAsia="仿宋_GB2312"/>
          <w:b/>
          <w:sz w:val="36"/>
          <w:szCs w:val="36"/>
        </w:rPr>
      </w:pPr>
      <w:r>
        <w:rPr>
          <w:rFonts w:hint="eastAsia" w:ascii="仿宋_GB2312" w:eastAsia="仿宋_GB2312"/>
          <w:b/>
          <w:sz w:val="36"/>
          <w:szCs w:val="36"/>
        </w:rPr>
        <w:t>估价对象市区坐落示意图（任丘市）</w:t>
      </w:r>
    </w:p>
    <w:p>
      <w:pPr>
        <w:tabs>
          <w:tab w:val="left" w:pos="3285"/>
        </w:tabs>
        <w:jc w:val="left"/>
        <w:rPr>
          <w:rFonts w:hint="eastAsia"/>
        </w:rPr>
      </w:pPr>
      <w:r>
        <w:rPr>
          <w:lang/>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66040</wp:posOffset>
            </wp:positionV>
            <wp:extent cx="666750" cy="819150"/>
            <wp:effectExtent l="0" t="0" r="0" b="0"/>
            <wp:wrapSquare wrapText="left"/>
            <wp:docPr id="1"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2"/>
                    <pic:cNvPicPr>
                      <a:picLocks noChangeAspect="1"/>
                    </pic:cNvPicPr>
                  </pic:nvPicPr>
                  <pic:blipFill>
                    <a:blip r:embed="rId14"/>
                    <a:stretch>
                      <a:fillRect/>
                    </a:stretch>
                  </pic:blipFill>
                  <pic:spPr>
                    <a:xfrm>
                      <a:off x="0" y="0"/>
                      <a:ext cx="666750" cy="819150"/>
                    </a:xfrm>
                    <a:prstGeom prst="rect">
                      <a:avLst/>
                    </a:prstGeom>
                    <a:noFill/>
                    <a:ln>
                      <a:noFill/>
                    </a:ln>
                  </pic:spPr>
                </pic:pic>
              </a:graphicData>
            </a:graphic>
          </wp:anchor>
        </w:drawing>
      </w:r>
      <w:r>
        <w:tab/>
      </w:r>
      <w:r>
        <w:rPr/>
        <w:br w:type="textWrapping" w:clear="all"/>
      </w:r>
    </w:p>
    <w:p>
      <w:pPr>
        <w:ind w:right="420"/>
        <w:rPr>
          <w:rFonts w:hint="eastAsia" w:ascii="宋体" w:hAnsi="宋体"/>
          <w:b/>
          <w:sz w:val="32"/>
          <w:szCs w:val="32"/>
        </w:rPr>
      </w:pPr>
      <w:r>
        <w:rPr>
          <w:rFonts w:hint="eastAsia" w:ascii="宋体" w:hAnsi="宋体"/>
        </w:rPr>
        <w:t xml:space="preserve">                                                                          </w:t>
      </w:r>
    </w:p>
    <w:p>
      <w:pPr>
        <w:widowControl/>
        <w:jc w:val="left"/>
        <w:rPr>
          <w:rFonts w:hint="eastAsia" w:ascii="宋体" w:hAnsi="宋体" w:cs="宋体"/>
          <w:b/>
          <w:kern w:val="0"/>
          <w:sz w:val="24"/>
          <w:szCs w:val="24"/>
        </w:rPr>
      </w:pPr>
      <w:r>
        <w:rPr>
          <w:rFonts w:ascii="宋体" w:hAnsi="宋体"/>
          <w:lang/>
        </w:rPr>
        <mc:AlternateContent>
          <mc:Choice Requires="wps">
            <w:drawing>
              <wp:anchor distT="0" distB="0" distL="114300" distR="114300" simplePos="0" relativeHeight="251659264" behindDoc="0" locked="0" layoutInCell="1" allowOverlap="1">
                <wp:simplePos x="0" y="0"/>
                <wp:positionH relativeFrom="column">
                  <wp:posOffset>2314575</wp:posOffset>
                </wp:positionH>
                <wp:positionV relativeFrom="paragraph">
                  <wp:posOffset>2168525</wp:posOffset>
                </wp:positionV>
                <wp:extent cx="213360" cy="182880"/>
                <wp:effectExtent l="15875" t="13970" r="18415" b="12700"/>
                <wp:wrapNone/>
                <wp:docPr id="2" name="自选图形 83"/>
                <wp:cNvGraphicFramePr/>
                <a:graphic xmlns:a="http://schemas.openxmlformats.org/drawingml/2006/main">
                  <a:graphicData uri="http://schemas.microsoft.com/office/word/2010/wordprocessingShape">
                    <wps:wsp>
                      <wps:cNvSpPr/>
                      <wps:spPr>
                        <a:xfrm>
                          <a:off x="0" y="0"/>
                          <a:ext cx="213360" cy="182880"/>
                        </a:xfrm>
                        <a:prstGeom prst="star5">
                          <a:avLst/>
                        </a:prstGeom>
                        <a:solidFill>
                          <a:srgbClr val="0000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83" o:spid="_x0000_s1026" style="position:absolute;left:0pt;margin-left:182.25pt;margin-top:170.75pt;height:14.4pt;width:16.8pt;z-index:251659264;mso-width-relative:page;mso-height-relative:page;" fillcolor="#000000" filled="t" stroked="t" coordsize="213360,182880" o:gfxdata="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8K162QAAAAsBAAAPAAAAAAAAAAEAIAAAACIAAABkcnMvZG93bnJldi54bWxQSwEC&#10;FAAUAAAACACHTuJAkWqN5fMBAADlAwAADgAAAAAAAAABACAAAAAoAQAAZHJzL2Uyb0RvYy54bWxQ&#10;SwUGAAAAAAYABgBZAQAAjQUAAAAA&#10;" path="m0,69853l81496,69854,106680,0,131863,69854,213359,69853,147427,113025,172611,182879,106680,139706,40748,182879,65932,113025xe">
                <v:path o:connectlocs="106680,0;0,69853;40748,182879;172611,182879;213359,69853" o:connectangles="247,164,82,82,0"/>
                <v:fill on="t" focussize="0,0"/>
                <v:stroke color="#000000" joinstyle="miter"/>
                <v:imagedata o:title=""/>
                <o:lock v:ext="edit" aspectratio="f"/>
              </v:shape>
            </w:pict>
          </mc:Fallback>
        </mc:AlternateContent>
      </w:r>
      <w:r>
        <w:rPr>
          <w:rFonts w:ascii="宋体" w:hAnsi="宋体" w:cs="宋体"/>
          <w:kern w:val="0"/>
          <w:sz w:val="24"/>
          <w:szCs w:val="24"/>
        </w:rPr>
        <w:t xml:space="preserve"> </w:t>
      </w:r>
      <w:r>
        <w:rPr>
          <w:rFonts w:ascii="宋体" w:hAnsi="宋体" w:cs="宋体"/>
          <w:kern w:val="0"/>
          <w:sz w:val="24"/>
          <w:szCs w:val="24"/>
        </w:rPr>
        <w:drawing>
          <wp:inline distT="0" distB="0" distL="114300" distR="114300">
            <wp:extent cx="5758815" cy="4307840"/>
            <wp:effectExtent l="0" t="0" r="13335" b="165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5758815" cy="4307840"/>
                    </a:xfrm>
                    <a:prstGeom prst="rect">
                      <a:avLst/>
                    </a:prstGeom>
                    <a:noFill/>
                    <a:ln>
                      <a:noFill/>
                    </a:ln>
                  </pic:spPr>
                </pic:pic>
              </a:graphicData>
            </a:graphic>
          </wp:inline>
        </w:drawing>
      </w:r>
    </w:p>
    <w:p>
      <w:pPr>
        <w:tabs>
          <w:tab w:val="left" w:pos="900"/>
          <w:tab w:val="left" w:pos="1080"/>
          <w:tab w:val="left" w:pos="9000"/>
        </w:tabs>
        <w:spacing w:line="360" w:lineRule="auto"/>
        <w:ind w:right="-143" w:rightChars="-51" w:firstLine="7420" w:firstLineChars="2650"/>
        <w:rPr>
          <w:rFonts w:hint="eastAsia" w:ascii="仿宋_GB2312" w:eastAsia="仿宋_GB2312"/>
          <w:bCs/>
          <w:color w:val="000000"/>
        </w:rPr>
      </w:pPr>
      <w:r>
        <w:rPr>
          <w:rFonts w:hint="eastAsia" w:ascii="仿宋_GB2312" w:eastAsia="仿宋_GB2312"/>
          <w:bCs/>
          <w:color w:val="000000"/>
          <w:lang/>
        </w:rPr>
        <mc:AlternateContent>
          <mc:Choice Requires="wps">
            <w:drawing>
              <wp:anchor distT="0" distB="0" distL="114300" distR="114300" simplePos="0" relativeHeight="251660288" behindDoc="0" locked="0" layoutInCell="1" allowOverlap="1">
                <wp:simplePos x="0" y="0"/>
                <wp:positionH relativeFrom="column">
                  <wp:posOffset>4381500</wp:posOffset>
                </wp:positionH>
                <wp:positionV relativeFrom="paragraph">
                  <wp:posOffset>296545</wp:posOffset>
                </wp:positionV>
                <wp:extent cx="228600" cy="297180"/>
                <wp:effectExtent l="11430" t="20320" r="26670" b="25400"/>
                <wp:wrapNone/>
                <wp:docPr id="3" name="自选图形 84"/>
                <wp:cNvGraphicFramePr/>
                <a:graphic xmlns:a="http://schemas.openxmlformats.org/drawingml/2006/main">
                  <a:graphicData uri="http://schemas.microsoft.com/office/word/2010/wordprocessingShape">
                    <wps:wsp>
                      <wps:cNvSpPr/>
                      <wps:spPr>
                        <a:xfrm>
                          <a:off x="0" y="0"/>
                          <a:ext cx="228600" cy="297180"/>
                        </a:xfrm>
                        <a:prstGeom prst="star5">
                          <a:avLst/>
                        </a:prstGeom>
                        <a:solidFill>
                          <a:srgbClr val="0000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84" o:spid="_x0000_s1026" style="position:absolute;left:0pt;margin-left:345pt;margin-top:23.35pt;height:23.4pt;width:18pt;z-index:251660288;mso-width-relative:page;mso-height-relative:page;" fillcolor="#000000" filled="t" stroked="t" coordsize="228600,297180" o:gfxdata="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nh5wtcAAAAJAQAADwAAAAAAAAABACAAAAAiAAAAZHJzL2Rvd25yZXYueG1sUEsBAhQA&#10;FAAAAAgAh07iQGbNqQfzAQAA5QMAAA4AAAAAAAAAAQAgAAAAJgEAAGRycy9lMm9Eb2MueG1sUEsF&#10;BgAAAAAGAAYAWQEAAIsFAAAAAA==&#10;" path="m0,113512l87317,113513,114300,0,141282,113513,228599,113512,157957,183666,184941,297179,114300,227023,43658,297179,70642,183666xe">
                <v:path o:connectlocs="114300,0;0,113512;43658,297179;184941,297179;228599,113512" o:connectangles="247,164,82,82,0"/>
                <v:fill on="t" focussize="0,0"/>
                <v:stroke color="#000000" joinstyle="miter"/>
                <v:imagedata o:title=""/>
                <o:lock v:ext="edit" aspectratio="f"/>
              </v:shape>
            </w:pict>
          </mc:Fallback>
        </mc:AlternateContent>
      </w:r>
    </w:p>
    <w:p>
      <w:pPr>
        <w:tabs>
          <w:tab w:val="left" w:pos="900"/>
          <w:tab w:val="left" w:pos="1080"/>
          <w:tab w:val="left" w:pos="9000"/>
        </w:tabs>
        <w:spacing w:line="360" w:lineRule="auto"/>
        <w:ind w:right="-143" w:rightChars="-51" w:firstLine="7420" w:firstLineChars="2650"/>
        <w:rPr>
          <w:rFonts w:hint="eastAsia"/>
          <w:bCs/>
          <w:color w:val="000000"/>
          <w:sz w:val="10"/>
          <w:szCs w:val="10"/>
        </w:rPr>
      </w:pPr>
      <w:r>
        <w:rPr>
          <w:rFonts w:hint="eastAsia" w:ascii="仿宋_GB2312" w:eastAsia="仿宋_GB2312"/>
          <w:bCs/>
          <w:color w:val="000000"/>
        </w:rPr>
        <w:t>估价对象</w:t>
      </w: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bookmarkStart w:id="25" w:name="_GoBack"/>
      <w:bookmarkEnd w:id="25"/>
    </w:p>
    <w:sectPr>
      <w:headerReference r:id="rId10" w:type="first"/>
      <w:footerReference r:id="rId12" w:type="first"/>
      <w:headerReference r:id="rId9" w:type="default"/>
      <w:footerReference r:id="rId11" w:type="default"/>
      <w:pgSz w:w="11906" w:h="16838"/>
      <w:pgMar w:top="1588" w:right="1418" w:bottom="1440" w:left="1418" w:header="851" w:footer="851" w:gutter="0"/>
      <w:pgNumType w:start="1"/>
      <w:cols w:space="720" w:num="1"/>
      <w:titlePg/>
      <w:docGrid w:linePitch="4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i/>
        <w:iCs/>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7</w:t>
                    </w:r>
                    <w:r>
                      <w:rPr>
                        <w:rFonts w:hint="eastAsia"/>
                      </w:rPr>
                      <w:fldChar w:fldCharType="end"/>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5829300" cy="0"/>
              <wp:effectExtent l="0" t="0" r="0" b="0"/>
              <wp:wrapNone/>
              <wp:docPr id="5" name="直线 3"/>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75pt;height:0pt;width:459pt;z-index:251658240;mso-width-relative:page;mso-height-relative:page;" filled="f" stroked="t" coordsize="21600,21600" o:gfxdata="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vRJUzRAAAABAEAAA8AAAAAAAAAAQAgAAAAIgAAAGRycy9kb3du&#10;cmV2LnhtbFBLAQIUABQAAAAIAIdO4kB0JOPIzQEAAI0DAAAOAAAAAAAAAAEAIAAAACABAABkcnMv&#10;ZTJvRG9jLnhtbFBLBQYAAAAABgAGAFkBAABfBQAAAAA=&#10;">
              <v:fill on="f" focussize="0,0"/>
              <v:stroke color="#000000" joinstyle="round"/>
              <v:imagedata o:title=""/>
              <o:lock v:ext="edit" aspectratio="f"/>
            </v:line>
          </w:pict>
        </mc:Fallback>
      </mc:AlternateContent>
    </w:r>
    <w:r>
      <w:rPr>
        <w:rFonts w:hint="eastAsia"/>
        <w:i/>
        <w:iCs/>
      </w:rPr>
      <w:t>地址：沧州市运河区解放路南新村4号楼                                           电话：0317-2010507</w:t>
    </w:r>
  </w:p>
  <w:p>
    <w:pPr>
      <w:pStyle w:val="13"/>
      <w:rPr>
        <w:i/>
        <w:i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jc w:val="left"/>
      <w:rPr>
        <w:rFonts w:hint="eastAsia"/>
        <w:i/>
      </w:rPr>
    </w:pPr>
  </w:p>
  <w:p>
    <w:pPr>
      <w:pStyle w:val="13"/>
    </w:pPr>
    <w:r>
      <w:rPr>
        <w:rFonts w:hint="eastAsia"/>
        <w:i/>
        <w:iCs/>
      </w:rPr>
      <w:t>地址：沧州市运河区解放路南新村4号楼</w: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r>
      <w:rPr>
        <w:rFonts w:hint="eastAsia"/>
        <w:i/>
        <w:iCs/>
      </w:rPr>
      <w:t xml:space="preserve">                                            电话：0317-2010507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left="6300" w:hanging="6300" w:hangingChars="3500"/>
      <w:jc w:val="left"/>
      <w:rPr>
        <w:rFonts w:hint="eastAsia"/>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rPr>
        <w:rFonts w:hint="eastAsia"/>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left="6300" w:hanging="6300" w:hangingChars="3500"/>
      <w:jc w:val="left"/>
      <w:rPr>
        <w:rFonts w:hint="eastAsia"/>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ind w:left="7350" w:hanging="7350" w:hangingChars="3500"/>
      <w:jc w:val="left"/>
      <w:rPr>
        <w:rFonts w:hint="eastAsia"/>
        <w:i/>
      </w:rPr>
    </w:pPr>
    <w:r>
      <w:rPr>
        <w:rFonts w:hint="eastAsia"/>
        <w:i/>
        <w:sz w:val="21"/>
      </w:rPr>
      <w:t>沧州市沧房房地产评估有限公司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ind w:left="7350" w:hanging="7350" w:hangingChars="3500"/>
      <w:jc w:val="left"/>
      <w:rPr>
        <w:rFonts w:hint="eastAsia"/>
        <w:i/>
      </w:rPr>
    </w:pPr>
    <w:r>
      <w:rPr>
        <w:rFonts w:hint="eastAsia"/>
        <w:i/>
        <w:sz w:val="21"/>
      </w:rPr>
      <w:t>沧州市沧房房地产评估有限公司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41F8"/>
    <w:multiLevelType w:val="singleLevel"/>
    <w:tmpl w:val="57A841F8"/>
    <w:lvl w:ilvl="0" w:tentative="0">
      <w:start w:val="2"/>
      <w:numFmt w:val="chineseCounting"/>
      <w:suff w:val="nothing"/>
      <w:lvlText w:val="（%1）"/>
      <w:lvlJc w:val="left"/>
    </w:lvl>
  </w:abstractNum>
  <w:abstractNum w:abstractNumId="1">
    <w:nsid w:val="58B90ECD"/>
    <w:multiLevelType w:val="singleLevel"/>
    <w:tmpl w:val="58B90ECD"/>
    <w:lvl w:ilvl="0" w:tentative="0">
      <w:start w:val="1"/>
      <w:numFmt w:val="chineseCounting"/>
      <w:suff w:val="nothing"/>
      <w:lvlText w:val="%1、"/>
      <w:lvlJc w:val="left"/>
    </w:lvl>
  </w:abstractNum>
  <w:abstractNum w:abstractNumId="2">
    <w:nsid w:val="618D1D43"/>
    <w:multiLevelType w:val="multilevel"/>
    <w:tmpl w:val="618D1D43"/>
    <w:lvl w:ilvl="0" w:tentative="0">
      <w:start w:val="1"/>
      <w:numFmt w:val="japaneseCounting"/>
      <w:lvlText w:val="（%1）"/>
      <w:lvlJc w:val="left"/>
      <w:pPr>
        <w:tabs>
          <w:tab w:val="left" w:pos="1415"/>
        </w:tabs>
        <w:ind w:left="1415" w:hanging="855"/>
      </w:pPr>
      <w:rPr>
        <w:rFonts w:hint="default"/>
      </w:rPr>
    </w:lvl>
    <w:lvl w:ilvl="1" w:tentative="0">
      <w:start w:val="1"/>
      <w:numFmt w:val="japaneseCounting"/>
      <w:lvlText w:val="%2、"/>
      <w:lvlJc w:val="left"/>
      <w:pPr>
        <w:tabs>
          <w:tab w:val="left" w:pos="885"/>
        </w:tabs>
        <w:ind w:left="885" w:hanging="72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
  <w:drawingGridVerticalSpacing w:val="2"/>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D5"/>
    <w:rsid w:val="0000045E"/>
    <w:rsid w:val="00000785"/>
    <w:rsid w:val="00005B52"/>
    <w:rsid w:val="00005F30"/>
    <w:rsid w:val="00011EE9"/>
    <w:rsid w:val="00015A07"/>
    <w:rsid w:val="00016E7C"/>
    <w:rsid w:val="00016EE3"/>
    <w:rsid w:val="00016F6C"/>
    <w:rsid w:val="00017642"/>
    <w:rsid w:val="00017AA0"/>
    <w:rsid w:val="00022207"/>
    <w:rsid w:val="00025AB6"/>
    <w:rsid w:val="000265D3"/>
    <w:rsid w:val="0002691D"/>
    <w:rsid w:val="0002724C"/>
    <w:rsid w:val="00027DA4"/>
    <w:rsid w:val="000303AE"/>
    <w:rsid w:val="00030847"/>
    <w:rsid w:val="000308E1"/>
    <w:rsid w:val="00031EF6"/>
    <w:rsid w:val="00034C92"/>
    <w:rsid w:val="000356A2"/>
    <w:rsid w:val="000374ED"/>
    <w:rsid w:val="000377F3"/>
    <w:rsid w:val="00040781"/>
    <w:rsid w:val="00042B11"/>
    <w:rsid w:val="000433B1"/>
    <w:rsid w:val="0004423E"/>
    <w:rsid w:val="00045958"/>
    <w:rsid w:val="00050A24"/>
    <w:rsid w:val="000512E1"/>
    <w:rsid w:val="000540B5"/>
    <w:rsid w:val="00054CAE"/>
    <w:rsid w:val="00054EB3"/>
    <w:rsid w:val="0005586A"/>
    <w:rsid w:val="0006084C"/>
    <w:rsid w:val="000611E3"/>
    <w:rsid w:val="00062717"/>
    <w:rsid w:val="00062C6C"/>
    <w:rsid w:val="00063234"/>
    <w:rsid w:val="00063CCF"/>
    <w:rsid w:val="00065FDC"/>
    <w:rsid w:val="00067E61"/>
    <w:rsid w:val="00067F04"/>
    <w:rsid w:val="00071667"/>
    <w:rsid w:val="00072EFF"/>
    <w:rsid w:val="0007429F"/>
    <w:rsid w:val="00074416"/>
    <w:rsid w:val="00077DC5"/>
    <w:rsid w:val="00081004"/>
    <w:rsid w:val="00082DDD"/>
    <w:rsid w:val="0008318F"/>
    <w:rsid w:val="00084BC7"/>
    <w:rsid w:val="00084CFE"/>
    <w:rsid w:val="00087B59"/>
    <w:rsid w:val="000908CB"/>
    <w:rsid w:val="00090F62"/>
    <w:rsid w:val="00092F11"/>
    <w:rsid w:val="00093098"/>
    <w:rsid w:val="00093C33"/>
    <w:rsid w:val="0009564D"/>
    <w:rsid w:val="0009661E"/>
    <w:rsid w:val="000A0DA1"/>
    <w:rsid w:val="000A3D74"/>
    <w:rsid w:val="000A5124"/>
    <w:rsid w:val="000A5CB3"/>
    <w:rsid w:val="000A7A4E"/>
    <w:rsid w:val="000B0D35"/>
    <w:rsid w:val="000B360F"/>
    <w:rsid w:val="000B3B73"/>
    <w:rsid w:val="000B5D60"/>
    <w:rsid w:val="000C08B5"/>
    <w:rsid w:val="000C53D0"/>
    <w:rsid w:val="000C669D"/>
    <w:rsid w:val="000C7034"/>
    <w:rsid w:val="000C7818"/>
    <w:rsid w:val="000C7FE6"/>
    <w:rsid w:val="000D06F6"/>
    <w:rsid w:val="000D092F"/>
    <w:rsid w:val="000D0E0C"/>
    <w:rsid w:val="000D1E25"/>
    <w:rsid w:val="000D213F"/>
    <w:rsid w:val="000D409F"/>
    <w:rsid w:val="000D4289"/>
    <w:rsid w:val="000D5249"/>
    <w:rsid w:val="000D52BD"/>
    <w:rsid w:val="000D5F67"/>
    <w:rsid w:val="000D6120"/>
    <w:rsid w:val="000E18EE"/>
    <w:rsid w:val="000E209E"/>
    <w:rsid w:val="000E2771"/>
    <w:rsid w:val="000E37BE"/>
    <w:rsid w:val="000E38A3"/>
    <w:rsid w:val="000E71E2"/>
    <w:rsid w:val="000F01B1"/>
    <w:rsid w:val="000F0555"/>
    <w:rsid w:val="000F2E51"/>
    <w:rsid w:val="000F40B6"/>
    <w:rsid w:val="000F5C74"/>
    <w:rsid w:val="000F6288"/>
    <w:rsid w:val="000F7A9C"/>
    <w:rsid w:val="00100048"/>
    <w:rsid w:val="001001E7"/>
    <w:rsid w:val="0010054B"/>
    <w:rsid w:val="0010079F"/>
    <w:rsid w:val="00100AA0"/>
    <w:rsid w:val="001017B6"/>
    <w:rsid w:val="00101B60"/>
    <w:rsid w:val="001025FB"/>
    <w:rsid w:val="001043F4"/>
    <w:rsid w:val="00105941"/>
    <w:rsid w:val="0010594B"/>
    <w:rsid w:val="00105A05"/>
    <w:rsid w:val="001061AA"/>
    <w:rsid w:val="00106BD3"/>
    <w:rsid w:val="001076A0"/>
    <w:rsid w:val="00110B89"/>
    <w:rsid w:val="00112D08"/>
    <w:rsid w:val="00112E71"/>
    <w:rsid w:val="00116985"/>
    <w:rsid w:val="00117D32"/>
    <w:rsid w:val="00120018"/>
    <w:rsid w:val="00120FB9"/>
    <w:rsid w:val="00122115"/>
    <w:rsid w:val="001226DF"/>
    <w:rsid w:val="00124C45"/>
    <w:rsid w:val="00124ED9"/>
    <w:rsid w:val="00126BE4"/>
    <w:rsid w:val="00127F6E"/>
    <w:rsid w:val="0013013B"/>
    <w:rsid w:val="00130873"/>
    <w:rsid w:val="001333DC"/>
    <w:rsid w:val="00134A10"/>
    <w:rsid w:val="00135F59"/>
    <w:rsid w:val="00136820"/>
    <w:rsid w:val="00136CA2"/>
    <w:rsid w:val="0013794D"/>
    <w:rsid w:val="00140D76"/>
    <w:rsid w:val="0014174F"/>
    <w:rsid w:val="00142A38"/>
    <w:rsid w:val="00143003"/>
    <w:rsid w:val="001434FB"/>
    <w:rsid w:val="0014537E"/>
    <w:rsid w:val="0014632B"/>
    <w:rsid w:val="00147FC9"/>
    <w:rsid w:val="00152A3A"/>
    <w:rsid w:val="00153C47"/>
    <w:rsid w:val="00154E9D"/>
    <w:rsid w:val="00155A53"/>
    <w:rsid w:val="00156D5D"/>
    <w:rsid w:val="001611FC"/>
    <w:rsid w:val="00162DB5"/>
    <w:rsid w:val="0016371C"/>
    <w:rsid w:val="00163B56"/>
    <w:rsid w:val="0016413E"/>
    <w:rsid w:val="0016466E"/>
    <w:rsid w:val="00165ED0"/>
    <w:rsid w:val="00165F31"/>
    <w:rsid w:val="00167060"/>
    <w:rsid w:val="001675E8"/>
    <w:rsid w:val="00167866"/>
    <w:rsid w:val="001702FE"/>
    <w:rsid w:val="00171D64"/>
    <w:rsid w:val="00172DE9"/>
    <w:rsid w:val="00173540"/>
    <w:rsid w:val="001748B7"/>
    <w:rsid w:val="001749C3"/>
    <w:rsid w:val="001764A8"/>
    <w:rsid w:val="0018052E"/>
    <w:rsid w:val="00180CF6"/>
    <w:rsid w:val="00181DC1"/>
    <w:rsid w:val="0018300A"/>
    <w:rsid w:val="00184D09"/>
    <w:rsid w:val="00186B85"/>
    <w:rsid w:val="00190442"/>
    <w:rsid w:val="001931F2"/>
    <w:rsid w:val="00194496"/>
    <w:rsid w:val="00194966"/>
    <w:rsid w:val="001964B4"/>
    <w:rsid w:val="00196F1B"/>
    <w:rsid w:val="001A34B0"/>
    <w:rsid w:val="001A35BB"/>
    <w:rsid w:val="001A4F3A"/>
    <w:rsid w:val="001A629B"/>
    <w:rsid w:val="001A696C"/>
    <w:rsid w:val="001A6EF6"/>
    <w:rsid w:val="001A7089"/>
    <w:rsid w:val="001A76AD"/>
    <w:rsid w:val="001B052B"/>
    <w:rsid w:val="001B2EAE"/>
    <w:rsid w:val="001B324A"/>
    <w:rsid w:val="001B4DE0"/>
    <w:rsid w:val="001B60EF"/>
    <w:rsid w:val="001B6553"/>
    <w:rsid w:val="001C111B"/>
    <w:rsid w:val="001C1EED"/>
    <w:rsid w:val="001C3296"/>
    <w:rsid w:val="001C32D5"/>
    <w:rsid w:val="001C429B"/>
    <w:rsid w:val="001D0C42"/>
    <w:rsid w:val="001D0D90"/>
    <w:rsid w:val="001D43E6"/>
    <w:rsid w:val="001E079C"/>
    <w:rsid w:val="001E1070"/>
    <w:rsid w:val="001E26D9"/>
    <w:rsid w:val="001E2C7B"/>
    <w:rsid w:val="001E4149"/>
    <w:rsid w:val="001E63B7"/>
    <w:rsid w:val="001E6D85"/>
    <w:rsid w:val="001E6EF9"/>
    <w:rsid w:val="001F091A"/>
    <w:rsid w:val="001F3D4E"/>
    <w:rsid w:val="001F6430"/>
    <w:rsid w:val="002033D5"/>
    <w:rsid w:val="00203AB3"/>
    <w:rsid w:val="00204019"/>
    <w:rsid w:val="00204996"/>
    <w:rsid w:val="002049F3"/>
    <w:rsid w:val="00205C52"/>
    <w:rsid w:val="00205EBA"/>
    <w:rsid w:val="0020623A"/>
    <w:rsid w:val="0020624A"/>
    <w:rsid w:val="002103D3"/>
    <w:rsid w:val="002110C1"/>
    <w:rsid w:val="00211C68"/>
    <w:rsid w:val="0021249D"/>
    <w:rsid w:val="00212FB7"/>
    <w:rsid w:val="00214388"/>
    <w:rsid w:val="0021688C"/>
    <w:rsid w:val="00217E26"/>
    <w:rsid w:val="0022060C"/>
    <w:rsid w:val="00221C73"/>
    <w:rsid w:val="002244D7"/>
    <w:rsid w:val="00224842"/>
    <w:rsid w:val="0022511C"/>
    <w:rsid w:val="002272D5"/>
    <w:rsid w:val="002277DF"/>
    <w:rsid w:val="00230E5B"/>
    <w:rsid w:val="00232691"/>
    <w:rsid w:val="002327C2"/>
    <w:rsid w:val="00232BB7"/>
    <w:rsid w:val="0023421F"/>
    <w:rsid w:val="00234F20"/>
    <w:rsid w:val="00236DF8"/>
    <w:rsid w:val="002371AA"/>
    <w:rsid w:val="00237846"/>
    <w:rsid w:val="00240856"/>
    <w:rsid w:val="00241326"/>
    <w:rsid w:val="0024139D"/>
    <w:rsid w:val="002449BB"/>
    <w:rsid w:val="0024617A"/>
    <w:rsid w:val="00247C91"/>
    <w:rsid w:val="0025013C"/>
    <w:rsid w:val="00253C57"/>
    <w:rsid w:val="00255690"/>
    <w:rsid w:val="002568BD"/>
    <w:rsid w:val="002600E6"/>
    <w:rsid w:val="00260FE3"/>
    <w:rsid w:val="00261519"/>
    <w:rsid w:val="00261F44"/>
    <w:rsid w:val="00262419"/>
    <w:rsid w:val="00262F19"/>
    <w:rsid w:val="00265276"/>
    <w:rsid w:val="0026642F"/>
    <w:rsid w:val="002666F6"/>
    <w:rsid w:val="002740D1"/>
    <w:rsid w:val="00275693"/>
    <w:rsid w:val="00275E18"/>
    <w:rsid w:val="00277BA2"/>
    <w:rsid w:val="00280396"/>
    <w:rsid w:val="00282589"/>
    <w:rsid w:val="00282C9F"/>
    <w:rsid w:val="00283A7C"/>
    <w:rsid w:val="00284DB0"/>
    <w:rsid w:val="002859E6"/>
    <w:rsid w:val="0029098E"/>
    <w:rsid w:val="00290B32"/>
    <w:rsid w:val="002929EC"/>
    <w:rsid w:val="002944CF"/>
    <w:rsid w:val="00295ACD"/>
    <w:rsid w:val="00297272"/>
    <w:rsid w:val="00297CD6"/>
    <w:rsid w:val="002A2CDF"/>
    <w:rsid w:val="002A34AD"/>
    <w:rsid w:val="002A3A84"/>
    <w:rsid w:val="002A4889"/>
    <w:rsid w:val="002A548C"/>
    <w:rsid w:val="002A6834"/>
    <w:rsid w:val="002A7A50"/>
    <w:rsid w:val="002B06BB"/>
    <w:rsid w:val="002B0D4E"/>
    <w:rsid w:val="002B311F"/>
    <w:rsid w:val="002B3C5D"/>
    <w:rsid w:val="002B5813"/>
    <w:rsid w:val="002B5814"/>
    <w:rsid w:val="002B5E12"/>
    <w:rsid w:val="002B62E0"/>
    <w:rsid w:val="002B6679"/>
    <w:rsid w:val="002C0D68"/>
    <w:rsid w:val="002C1CA4"/>
    <w:rsid w:val="002C214B"/>
    <w:rsid w:val="002C328D"/>
    <w:rsid w:val="002C3725"/>
    <w:rsid w:val="002C41C7"/>
    <w:rsid w:val="002C47B4"/>
    <w:rsid w:val="002C766E"/>
    <w:rsid w:val="002D1065"/>
    <w:rsid w:val="002D23D2"/>
    <w:rsid w:val="002D3182"/>
    <w:rsid w:val="002D6343"/>
    <w:rsid w:val="002D6FA1"/>
    <w:rsid w:val="002E2D24"/>
    <w:rsid w:val="002E4493"/>
    <w:rsid w:val="002E641E"/>
    <w:rsid w:val="002F0B31"/>
    <w:rsid w:val="002F4AEE"/>
    <w:rsid w:val="002F4B36"/>
    <w:rsid w:val="002F4CAA"/>
    <w:rsid w:val="002F4D4A"/>
    <w:rsid w:val="002F537B"/>
    <w:rsid w:val="002F5BB7"/>
    <w:rsid w:val="002F760E"/>
    <w:rsid w:val="0030057D"/>
    <w:rsid w:val="00300AEE"/>
    <w:rsid w:val="00300F55"/>
    <w:rsid w:val="00301D6A"/>
    <w:rsid w:val="00302480"/>
    <w:rsid w:val="003055B7"/>
    <w:rsid w:val="00306B25"/>
    <w:rsid w:val="00307028"/>
    <w:rsid w:val="00307D33"/>
    <w:rsid w:val="00310E31"/>
    <w:rsid w:val="00311DBB"/>
    <w:rsid w:val="00313317"/>
    <w:rsid w:val="00314821"/>
    <w:rsid w:val="003152E3"/>
    <w:rsid w:val="003155E9"/>
    <w:rsid w:val="0031679F"/>
    <w:rsid w:val="003177CF"/>
    <w:rsid w:val="00320A09"/>
    <w:rsid w:val="00321A2D"/>
    <w:rsid w:val="00321B9E"/>
    <w:rsid w:val="003223BE"/>
    <w:rsid w:val="003235F2"/>
    <w:rsid w:val="00323AC0"/>
    <w:rsid w:val="00325D59"/>
    <w:rsid w:val="003274AC"/>
    <w:rsid w:val="00327EB5"/>
    <w:rsid w:val="003301A5"/>
    <w:rsid w:val="003314DF"/>
    <w:rsid w:val="00331AFC"/>
    <w:rsid w:val="0033473C"/>
    <w:rsid w:val="003356FA"/>
    <w:rsid w:val="003368FE"/>
    <w:rsid w:val="003374F6"/>
    <w:rsid w:val="003377F2"/>
    <w:rsid w:val="00337886"/>
    <w:rsid w:val="00337DAE"/>
    <w:rsid w:val="00341AF7"/>
    <w:rsid w:val="00342301"/>
    <w:rsid w:val="00342E71"/>
    <w:rsid w:val="00344540"/>
    <w:rsid w:val="00344BBC"/>
    <w:rsid w:val="00345064"/>
    <w:rsid w:val="00346F55"/>
    <w:rsid w:val="00347136"/>
    <w:rsid w:val="0034778D"/>
    <w:rsid w:val="00350562"/>
    <w:rsid w:val="00350BB0"/>
    <w:rsid w:val="00351F57"/>
    <w:rsid w:val="00351FC5"/>
    <w:rsid w:val="00355309"/>
    <w:rsid w:val="0035639A"/>
    <w:rsid w:val="0035688C"/>
    <w:rsid w:val="00357F82"/>
    <w:rsid w:val="00360696"/>
    <w:rsid w:val="00360E34"/>
    <w:rsid w:val="00360F19"/>
    <w:rsid w:val="00363ED7"/>
    <w:rsid w:val="00364923"/>
    <w:rsid w:val="00364F68"/>
    <w:rsid w:val="003676C4"/>
    <w:rsid w:val="00367A7C"/>
    <w:rsid w:val="003700D8"/>
    <w:rsid w:val="00371CDB"/>
    <w:rsid w:val="003744E4"/>
    <w:rsid w:val="003749E6"/>
    <w:rsid w:val="00375466"/>
    <w:rsid w:val="0038028E"/>
    <w:rsid w:val="00381DBB"/>
    <w:rsid w:val="00384FCE"/>
    <w:rsid w:val="003860DF"/>
    <w:rsid w:val="00387527"/>
    <w:rsid w:val="003877FD"/>
    <w:rsid w:val="00390397"/>
    <w:rsid w:val="00390517"/>
    <w:rsid w:val="00391D8C"/>
    <w:rsid w:val="00392ABD"/>
    <w:rsid w:val="00393471"/>
    <w:rsid w:val="00393CAA"/>
    <w:rsid w:val="00393CF3"/>
    <w:rsid w:val="00395514"/>
    <w:rsid w:val="00396294"/>
    <w:rsid w:val="003A018D"/>
    <w:rsid w:val="003A1972"/>
    <w:rsid w:val="003A1A3C"/>
    <w:rsid w:val="003A2B36"/>
    <w:rsid w:val="003A2B42"/>
    <w:rsid w:val="003A4FE3"/>
    <w:rsid w:val="003A505D"/>
    <w:rsid w:val="003A67C7"/>
    <w:rsid w:val="003A69FE"/>
    <w:rsid w:val="003A76A1"/>
    <w:rsid w:val="003B2361"/>
    <w:rsid w:val="003B23EE"/>
    <w:rsid w:val="003B3975"/>
    <w:rsid w:val="003B4525"/>
    <w:rsid w:val="003C104B"/>
    <w:rsid w:val="003C214D"/>
    <w:rsid w:val="003C2C27"/>
    <w:rsid w:val="003C398F"/>
    <w:rsid w:val="003C62A1"/>
    <w:rsid w:val="003C6C41"/>
    <w:rsid w:val="003C7933"/>
    <w:rsid w:val="003C7B98"/>
    <w:rsid w:val="003C7F44"/>
    <w:rsid w:val="003D0235"/>
    <w:rsid w:val="003D0401"/>
    <w:rsid w:val="003D062D"/>
    <w:rsid w:val="003D12C1"/>
    <w:rsid w:val="003D1859"/>
    <w:rsid w:val="003D27E6"/>
    <w:rsid w:val="003D2E0E"/>
    <w:rsid w:val="003D5BE4"/>
    <w:rsid w:val="003E2261"/>
    <w:rsid w:val="003E3222"/>
    <w:rsid w:val="003E4447"/>
    <w:rsid w:val="003E4B35"/>
    <w:rsid w:val="003E5EAE"/>
    <w:rsid w:val="003E717B"/>
    <w:rsid w:val="003F1F43"/>
    <w:rsid w:val="003F3C04"/>
    <w:rsid w:val="003F4BE4"/>
    <w:rsid w:val="003F4FB5"/>
    <w:rsid w:val="00401992"/>
    <w:rsid w:val="00402296"/>
    <w:rsid w:val="00403014"/>
    <w:rsid w:val="00404744"/>
    <w:rsid w:val="00406998"/>
    <w:rsid w:val="00410077"/>
    <w:rsid w:val="00411C3B"/>
    <w:rsid w:val="00412D78"/>
    <w:rsid w:val="004139D5"/>
    <w:rsid w:val="00414463"/>
    <w:rsid w:val="00416DB1"/>
    <w:rsid w:val="00417231"/>
    <w:rsid w:val="00417354"/>
    <w:rsid w:val="00417B2F"/>
    <w:rsid w:val="00421FAD"/>
    <w:rsid w:val="00423C49"/>
    <w:rsid w:val="004273E1"/>
    <w:rsid w:val="00430F33"/>
    <w:rsid w:val="00431B1E"/>
    <w:rsid w:val="004325F6"/>
    <w:rsid w:val="004332E9"/>
    <w:rsid w:val="00434E37"/>
    <w:rsid w:val="00440119"/>
    <w:rsid w:val="004421A4"/>
    <w:rsid w:val="0044565B"/>
    <w:rsid w:val="00446C11"/>
    <w:rsid w:val="004511BC"/>
    <w:rsid w:val="004513A1"/>
    <w:rsid w:val="00451434"/>
    <w:rsid w:val="00451C00"/>
    <w:rsid w:val="00451CF7"/>
    <w:rsid w:val="00452F77"/>
    <w:rsid w:val="004552E7"/>
    <w:rsid w:val="00456C2A"/>
    <w:rsid w:val="00456F20"/>
    <w:rsid w:val="00457CBF"/>
    <w:rsid w:val="00460BF8"/>
    <w:rsid w:val="00461A5A"/>
    <w:rsid w:val="00462942"/>
    <w:rsid w:val="00462A3D"/>
    <w:rsid w:val="0046447D"/>
    <w:rsid w:val="004674E8"/>
    <w:rsid w:val="0047037B"/>
    <w:rsid w:val="0047079F"/>
    <w:rsid w:val="00471573"/>
    <w:rsid w:val="00471DBF"/>
    <w:rsid w:val="00473350"/>
    <w:rsid w:val="00473397"/>
    <w:rsid w:val="004743ED"/>
    <w:rsid w:val="004752E9"/>
    <w:rsid w:val="00476350"/>
    <w:rsid w:val="00480579"/>
    <w:rsid w:val="00482493"/>
    <w:rsid w:val="0048415E"/>
    <w:rsid w:val="00484CA9"/>
    <w:rsid w:val="00484E31"/>
    <w:rsid w:val="00485069"/>
    <w:rsid w:val="004857F9"/>
    <w:rsid w:val="004861DD"/>
    <w:rsid w:val="0048694B"/>
    <w:rsid w:val="0048772A"/>
    <w:rsid w:val="00487D87"/>
    <w:rsid w:val="0049027C"/>
    <w:rsid w:val="004931A2"/>
    <w:rsid w:val="00493DF1"/>
    <w:rsid w:val="0049496A"/>
    <w:rsid w:val="00496825"/>
    <w:rsid w:val="004A0C10"/>
    <w:rsid w:val="004A0C85"/>
    <w:rsid w:val="004A1906"/>
    <w:rsid w:val="004A3C8E"/>
    <w:rsid w:val="004A512F"/>
    <w:rsid w:val="004A51A6"/>
    <w:rsid w:val="004A53EE"/>
    <w:rsid w:val="004A590A"/>
    <w:rsid w:val="004A638F"/>
    <w:rsid w:val="004B0B1E"/>
    <w:rsid w:val="004B178D"/>
    <w:rsid w:val="004B4FA0"/>
    <w:rsid w:val="004C0634"/>
    <w:rsid w:val="004C16FA"/>
    <w:rsid w:val="004C41A2"/>
    <w:rsid w:val="004C78CA"/>
    <w:rsid w:val="004C7B36"/>
    <w:rsid w:val="004D1F47"/>
    <w:rsid w:val="004D24DF"/>
    <w:rsid w:val="004D2B5C"/>
    <w:rsid w:val="004D7292"/>
    <w:rsid w:val="004D7A35"/>
    <w:rsid w:val="004E0668"/>
    <w:rsid w:val="004E08F2"/>
    <w:rsid w:val="004E15FF"/>
    <w:rsid w:val="004E1EA2"/>
    <w:rsid w:val="004E2285"/>
    <w:rsid w:val="004E37D0"/>
    <w:rsid w:val="004E4CF8"/>
    <w:rsid w:val="004E6629"/>
    <w:rsid w:val="004F28AF"/>
    <w:rsid w:val="004F28FE"/>
    <w:rsid w:val="004F56BA"/>
    <w:rsid w:val="004F5A88"/>
    <w:rsid w:val="004F6FB4"/>
    <w:rsid w:val="004F7DAF"/>
    <w:rsid w:val="0050333B"/>
    <w:rsid w:val="005037FC"/>
    <w:rsid w:val="005039EF"/>
    <w:rsid w:val="00507098"/>
    <w:rsid w:val="0051033A"/>
    <w:rsid w:val="00516D12"/>
    <w:rsid w:val="00516F9A"/>
    <w:rsid w:val="00517E53"/>
    <w:rsid w:val="005203BB"/>
    <w:rsid w:val="005234BD"/>
    <w:rsid w:val="00525ACB"/>
    <w:rsid w:val="005276D5"/>
    <w:rsid w:val="005300A9"/>
    <w:rsid w:val="00531478"/>
    <w:rsid w:val="00531CB2"/>
    <w:rsid w:val="0053303A"/>
    <w:rsid w:val="005340E5"/>
    <w:rsid w:val="00534D2A"/>
    <w:rsid w:val="00534EAA"/>
    <w:rsid w:val="00535F2A"/>
    <w:rsid w:val="00536179"/>
    <w:rsid w:val="00540BFA"/>
    <w:rsid w:val="00541FFC"/>
    <w:rsid w:val="0054764F"/>
    <w:rsid w:val="0055201E"/>
    <w:rsid w:val="00552ED7"/>
    <w:rsid w:val="0055481F"/>
    <w:rsid w:val="00554A50"/>
    <w:rsid w:val="00554DC9"/>
    <w:rsid w:val="00555802"/>
    <w:rsid w:val="00557036"/>
    <w:rsid w:val="00560AB1"/>
    <w:rsid w:val="005620AA"/>
    <w:rsid w:val="005623BC"/>
    <w:rsid w:val="005664C5"/>
    <w:rsid w:val="00566AE7"/>
    <w:rsid w:val="005670A9"/>
    <w:rsid w:val="00567F7C"/>
    <w:rsid w:val="00572847"/>
    <w:rsid w:val="0057298B"/>
    <w:rsid w:val="00572B7D"/>
    <w:rsid w:val="0057527F"/>
    <w:rsid w:val="00580A13"/>
    <w:rsid w:val="005812CD"/>
    <w:rsid w:val="00581523"/>
    <w:rsid w:val="00581548"/>
    <w:rsid w:val="00587F0B"/>
    <w:rsid w:val="005922FD"/>
    <w:rsid w:val="00594300"/>
    <w:rsid w:val="00594418"/>
    <w:rsid w:val="005944A1"/>
    <w:rsid w:val="0059552D"/>
    <w:rsid w:val="00596096"/>
    <w:rsid w:val="0059752E"/>
    <w:rsid w:val="00597B7A"/>
    <w:rsid w:val="00597C58"/>
    <w:rsid w:val="005A0C28"/>
    <w:rsid w:val="005A0F0C"/>
    <w:rsid w:val="005A115D"/>
    <w:rsid w:val="005A206D"/>
    <w:rsid w:val="005A22D5"/>
    <w:rsid w:val="005A36F7"/>
    <w:rsid w:val="005A488D"/>
    <w:rsid w:val="005A55AA"/>
    <w:rsid w:val="005A5D84"/>
    <w:rsid w:val="005A6199"/>
    <w:rsid w:val="005B2875"/>
    <w:rsid w:val="005B29E3"/>
    <w:rsid w:val="005B2F89"/>
    <w:rsid w:val="005B3995"/>
    <w:rsid w:val="005B4568"/>
    <w:rsid w:val="005B4592"/>
    <w:rsid w:val="005C1603"/>
    <w:rsid w:val="005C209C"/>
    <w:rsid w:val="005C2EA4"/>
    <w:rsid w:val="005C3265"/>
    <w:rsid w:val="005C38D8"/>
    <w:rsid w:val="005C420A"/>
    <w:rsid w:val="005C54C7"/>
    <w:rsid w:val="005C6E1C"/>
    <w:rsid w:val="005D00D2"/>
    <w:rsid w:val="005D1027"/>
    <w:rsid w:val="005D1466"/>
    <w:rsid w:val="005D1901"/>
    <w:rsid w:val="005D1C05"/>
    <w:rsid w:val="005D25AE"/>
    <w:rsid w:val="005D26A5"/>
    <w:rsid w:val="005D339A"/>
    <w:rsid w:val="005D427A"/>
    <w:rsid w:val="005D7FC1"/>
    <w:rsid w:val="005E107D"/>
    <w:rsid w:val="005E13F3"/>
    <w:rsid w:val="005E36DC"/>
    <w:rsid w:val="005E3802"/>
    <w:rsid w:val="005E56FC"/>
    <w:rsid w:val="005E5D6A"/>
    <w:rsid w:val="005E7E05"/>
    <w:rsid w:val="005F21C5"/>
    <w:rsid w:val="005F22AD"/>
    <w:rsid w:val="005F27A0"/>
    <w:rsid w:val="005F2A1F"/>
    <w:rsid w:val="005F396B"/>
    <w:rsid w:val="00600D04"/>
    <w:rsid w:val="006047DC"/>
    <w:rsid w:val="006059DB"/>
    <w:rsid w:val="00605C3B"/>
    <w:rsid w:val="00605F2B"/>
    <w:rsid w:val="006066A8"/>
    <w:rsid w:val="00607831"/>
    <w:rsid w:val="006078D9"/>
    <w:rsid w:val="006103AB"/>
    <w:rsid w:val="006112F0"/>
    <w:rsid w:val="00611416"/>
    <w:rsid w:val="00612BB7"/>
    <w:rsid w:val="00621FB4"/>
    <w:rsid w:val="00622FD8"/>
    <w:rsid w:val="0062400F"/>
    <w:rsid w:val="006250AF"/>
    <w:rsid w:val="006250B2"/>
    <w:rsid w:val="00625A9E"/>
    <w:rsid w:val="00627005"/>
    <w:rsid w:val="006305EE"/>
    <w:rsid w:val="00631E7D"/>
    <w:rsid w:val="0063281F"/>
    <w:rsid w:val="006328F2"/>
    <w:rsid w:val="0063499E"/>
    <w:rsid w:val="00635BFD"/>
    <w:rsid w:val="006379AB"/>
    <w:rsid w:val="0064114D"/>
    <w:rsid w:val="00643D9F"/>
    <w:rsid w:val="0064431C"/>
    <w:rsid w:val="00645C93"/>
    <w:rsid w:val="00646315"/>
    <w:rsid w:val="00646894"/>
    <w:rsid w:val="00646E94"/>
    <w:rsid w:val="006474D9"/>
    <w:rsid w:val="00651840"/>
    <w:rsid w:val="006519B7"/>
    <w:rsid w:val="0065296F"/>
    <w:rsid w:val="00652FEE"/>
    <w:rsid w:val="006536A0"/>
    <w:rsid w:val="00653BC7"/>
    <w:rsid w:val="00654105"/>
    <w:rsid w:val="00655C8D"/>
    <w:rsid w:val="00656A3E"/>
    <w:rsid w:val="0066002A"/>
    <w:rsid w:val="006606DC"/>
    <w:rsid w:val="006608C8"/>
    <w:rsid w:val="00660EAA"/>
    <w:rsid w:val="006648AB"/>
    <w:rsid w:val="00666B22"/>
    <w:rsid w:val="00666FCB"/>
    <w:rsid w:val="00672AEA"/>
    <w:rsid w:val="00673D3D"/>
    <w:rsid w:val="006765F7"/>
    <w:rsid w:val="006773E0"/>
    <w:rsid w:val="00682993"/>
    <w:rsid w:val="00683983"/>
    <w:rsid w:val="00684B86"/>
    <w:rsid w:val="00684E73"/>
    <w:rsid w:val="00684F3A"/>
    <w:rsid w:val="006850CF"/>
    <w:rsid w:val="00692B2D"/>
    <w:rsid w:val="006939D0"/>
    <w:rsid w:val="0069612E"/>
    <w:rsid w:val="00696CAB"/>
    <w:rsid w:val="006A1EE5"/>
    <w:rsid w:val="006A3346"/>
    <w:rsid w:val="006A45C0"/>
    <w:rsid w:val="006A52D7"/>
    <w:rsid w:val="006A646E"/>
    <w:rsid w:val="006A7347"/>
    <w:rsid w:val="006A7870"/>
    <w:rsid w:val="006B42E8"/>
    <w:rsid w:val="006B509D"/>
    <w:rsid w:val="006B56E7"/>
    <w:rsid w:val="006B6047"/>
    <w:rsid w:val="006B6766"/>
    <w:rsid w:val="006B701E"/>
    <w:rsid w:val="006B7577"/>
    <w:rsid w:val="006C12A7"/>
    <w:rsid w:val="006C29DB"/>
    <w:rsid w:val="006C34A1"/>
    <w:rsid w:val="006C3D39"/>
    <w:rsid w:val="006C5CD4"/>
    <w:rsid w:val="006C5CDD"/>
    <w:rsid w:val="006C647C"/>
    <w:rsid w:val="006C7702"/>
    <w:rsid w:val="006D189C"/>
    <w:rsid w:val="006D1FCC"/>
    <w:rsid w:val="006D2413"/>
    <w:rsid w:val="006D2457"/>
    <w:rsid w:val="006D2835"/>
    <w:rsid w:val="006D3238"/>
    <w:rsid w:val="006D530E"/>
    <w:rsid w:val="006D5317"/>
    <w:rsid w:val="006D6056"/>
    <w:rsid w:val="006D649A"/>
    <w:rsid w:val="006D64FB"/>
    <w:rsid w:val="006E2023"/>
    <w:rsid w:val="006E56E7"/>
    <w:rsid w:val="006E6F83"/>
    <w:rsid w:val="006E7DA4"/>
    <w:rsid w:val="006F2B06"/>
    <w:rsid w:val="006F4383"/>
    <w:rsid w:val="006F70D3"/>
    <w:rsid w:val="006F76F5"/>
    <w:rsid w:val="006F7AC9"/>
    <w:rsid w:val="00701CB7"/>
    <w:rsid w:val="00702C2D"/>
    <w:rsid w:val="00705E99"/>
    <w:rsid w:val="00707467"/>
    <w:rsid w:val="0071167F"/>
    <w:rsid w:val="00711BC4"/>
    <w:rsid w:val="0071284F"/>
    <w:rsid w:val="007134C1"/>
    <w:rsid w:val="00713552"/>
    <w:rsid w:val="00715779"/>
    <w:rsid w:val="00715FE6"/>
    <w:rsid w:val="0072450B"/>
    <w:rsid w:val="00725A1C"/>
    <w:rsid w:val="00725ACE"/>
    <w:rsid w:val="00725B1F"/>
    <w:rsid w:val="0073018C"/>
    <w:rsid w:val="007313DC"/>
    <w:rsid w:val="00733632"/>
    <w:rsid w:val="00735297"/>
    <w:rsid w:val="00735FA0"/>
    <w:rsid w:val="00737D3A"/>
    <w:rsid w:val="00740E98"/>
    <w:rsid w:val="00743CA7"/>
    <w:rsid w:val="00743CEB"/>
    <w:rsid w:val="00750D8B"/>
    <w:rsid w:val="00750F32"/>
    <w:rsid w:val="0075123E"/>
    <w:rsid w:val="00753526"/>
    <w:rsid w:val="007536AE"/>
    <w:rsid w:val="00754CCD"/>
    <w:rsid w:val="0075539A"/>
    <w:rsid w:val="007610B2"/>
    <w:rsid w:val="00762069"/>
    <w:rsid w:val="00762C9D"/>
    <w:rsid w:val="0076381A"/>
    <w:rsid w:val="0076492C"/>
    <w:rsid w:val="00765B7F"/>
    <w:rsid w:val="00766A69"/>
    <w:rsid w:val="00767E5F"/>
    <w:rsid w:val="007705EC"/>
    <w:rsid w:val="0077297E"/>
    <w:rsid w:val="007731B4"/>
    <w:rsid w:val="00773F78"/>
    <w:rsid w:val="0077508D"/>
    <w:rsid w:val="00775FEB"/>
    <w:rsid w:val="007778AF"/>
    <w:rsid w:val="00777D5C"/>
    <w:rsid w:val="00781A53"/>
    <w:rsid w:val="0078219A"/>
    <w:rsid w:val="0078255D"/>
    <w:rsid w:val="00783067"/>
    <w:rsid w:val="00783902"/>
    <w:rsid w:val="007843BD"/>
    <w:rsid w:val="00784C79"/>
    <w:rsid w:val="007852DC"/>
    <w:rsid w:val="00785F47"/>
    <w:rsid w:val="00785FA2"/>
    <w:rsid w:val="00786415"/>
    <w:rsid w:val="007867FB"/>
    <w:rsid w:val="00786BC6"/>
    <w:rsid w:val="007916F9"/>
    <w:rsid w:val="00791BA4"/>
    <w:rsid w:val="007924CC"/>
    <w:rsid w:val="00794320"/>
    <w:rsid w:val="0079499D"/>
    <w:rsid w:val="0079553B"/>
    <w:rsid w:val="00797119"/>
    <w:rsid w:val="007A0166"/>
    <w:rsid w:val="007A146D"/>
    <w:rsid w:val="007A1815"/>
    <w:rsid w:val="007A352B"/>
    <w:rsid w:val="007A3982"/>
    <w:rsid w:val="007A5987"/>
    <w:rsid w:val="007A6F27"/>
    <w:rsid w:val="007A7E36"/>
    <w:rsid w:val="007B187F"/>
    <w:rsid w:val="007B3531"/>
    <w:rsid w:val="007B3BA2"/>
    <w:rsid w:val="007B3F36"/>
    <w:rsid w:val="007C0611"/>
    <w:rsid w:val="007C10BE"/>
    <w:rsid w:val="007C6B9B"/>
    <w:rsid w:val="007C6F80"/>
    <w:rsid w:val="007C7A94"/>
    <w:rsid w:val="007D0009"/>
    <w:rsid w:val="007D0408"/>
    <w:rsid w:val="007D144D"/>
    <w:rsid w:val="007D21AD"/>
    <w:rsid w:val="007D31FB"/>
    <w:rsid w:val="007D39A7"/>
    <w:rsid w:val="007D61E1"/>
    <w:rsid w:val="007E1894"/>
    <w:rsid w:val="007E1897"/>
    <w:rsid w:val="007E4043"/>
    <w:rsid w:val="007E4A89"/>
    <w:rsid w:val="007E4EEB"/>
    <w:rsid w:val="007E5BE6"/>
    <w:rsid w:val="007E7753"/>
    <w:rsid w:val="007E7B16"/>
    <w:rsid w:val="007F1301"/>
    <w:rsid w:val="007F3E11"/>
    <w:rsid w:val="007F7AD7"/>
    <w:rsid w:val="007F7F8E"/>
    <w:rsid w:val="0080028A"/>
    <w:rsid w:val="00801104"/>
    <w:rsid w:val="00801682"/>
    <w:rsid w:val="00801B80"/>
    <w:rsid w:val="00802613"/>
    <w:rsid w:val="00802B9A"/>
    <w:rsid w:val="00803130"/>
    <w:rsid w:val="00806E2D"/>
    <w:rsid w:val="00807396"/>
    <w:rsid w:val="008114B1"/>
    <w:rsid w:val="0081179E"/>
    <w:rsid w:val="00814511"/>
    <w:rsid w:val="00814A7F"/>
    <w:rsid w:val="008159BC"/>
    <w:rsid w:val="008159F4"/>
    <w:rsid w:val="00816B38"/>
    <w:rsid w:val="00816C91"/>
    <w:rsid w:val="00817227"/>
    <w:rsid w:val="00820695"/>
    <w:rsid w:val="00820845"/>
    <w:rsid w:val="00820D27"/>
    <w:rsid w:val="00821897"/>
    <w:rsid w:val="00826CCE"/>
    <w:rsid w:val="008303DF"/>
    <w:rsid w:val="00831360"/>
    <w:rsid w:val="00831DF5"/>
    <w:rsid w:val="0083272B"/>
    <w:rsid w:val="00832C28"/>
    <w:rsid w:val="008344AF"/>
    <w:rsid w:val="0083485C"/>
    <w:rsid w:val="0083491A"/>
    <w:rsid w:val="00834B3D"/>
    <w:rsid w:val="00835026"/>
    <w:rsid w:val="008363C4"/>
    <w:rsid w:val="00837C02"/>
    <w:rsid w:val="008402E7"/>
    <w:rsid w:val="00840585"/>
    <w:rsid w:val="0084064D"/>
    <w:rsid w:val="00841377"/>
    <w:rsid w:val="0084381D"/>
    <w:rsid w:val="00843BF9"/>
    <w:rsid w:val="00843CAB"/>
    <w:rsid w:val="00843FC2"/>
    <w:rsid w:val="0084462A"/>
    <w:rsid w:val="00844730"/>
    <w:rsid w:val="00844B78"/>
    <w:rsid w:val="008450A3"/>
    <w:rsid w:val="00847AD1"/>
    <w:rsid w:val="0085192D"/>
    <w:rsid w:val="008522A1"/>
    <w:rsid w:val="00852F61"/>
    <w:rsid w:val="0085494E"/>
    <w:rsid w:val="008555FD"/>
    <w:rsid w:val="00855D77"/>
    <w:rsid w:val="00861F00"/>
    <w:rsid w:val="00863FBB"/>
    <w:rsid w:val="00864EBE"/>
    <w:rsid w:val="00867276"/>
    <w:rsid w:val="008701A6"/>
    <w:rsid w:val="00870366"/>
    <w:rsid w:val="00871BA0"/>
    <w:rsid w:val="008721AB"/>
    <w:rsid w:val="008722DD"/>
    <w:rsid w:val="0087278B"/>
    <w:rsid w:val="00875669"/>
    <w:rsid w:val="00875E50"/>
    <w:rsid w:val="008775A9"/>
    <w:rsid w:val="0088164B"/>
    <w:rsid w:val="00881882"/>
    <w:rsid w:val="00882E0D"/>
    <w:rsid w:val="00882F90"/>
    <w:rsid w:val="008852E3"/>
    <w:rsid w:val="00885735"/>
    <w:rsid w:val="0088576D"/>
    <w:rsid w:val="00885E04"/>
    <w:rsid w:val="008876B1"/>
    <w:rsid w:val="00893AFC"/>
    <w:rsid w:val="00895372"/>
    <w:rsid w:val="00895FE3"/>
    <w:rsid w:val="008A09FB"/>
    <w:rsid w:val="008A5047"/>
    <w:rsid w:val="008A5830"/>
    <w:rsid w:val="008B1ECA"/>
    <w:rsid w:val="008B3839"/>
    <w:rsid w:val="008B44D2"/>
    <w:rsid w:val="008B5003"/>
    <w:rsid w:val="008B60A1"/>
    <w:rsid w:val="008B7C93"/>
    <w:rsid w:val="008B7EC1"/>
    <w:rsid w:val="008C0ECC"/>
    <w:rsid w:val="008C0F86"/>
    <w:rsid w:val="008C3BC6"/>
    <w:rsid w:val="008C5CBF"/>
    <w:rsid w:val="008C6E64"/>
    <w:rsid w:val="008D1FB1"/>
    <w:rsid w:val="008D20BF"/>
    <w:rsid w:val="008D25F1"/>
    <w:rsid w:val="008D4707"/>
    <w:rsid w:val="008D4ED9"/>
    <w:rsid w:val="008D7609"/>
    <w:rsid w:val="008D764C"/>
    <w:rsid w:val="008D7F39"/>
    <w:rsid w:val="008E094C"/>
    <w:rsid w:val="008E2082"/>
    <w:rsid w:val="008E2791"/>
    <w:rsid w:val="008E2D59"/>
    <w:rsid w:val="008E4D2D"/>
    <w:rsid w:val="008E6ADE"/>
    <w:rsid w:val="008E79DD"/>
    <w:rsid w:val="008E7CDB"/>
    <w:rsid w:val="008F0BA0"/>
    <w:rsid w:val="008F3080"/>
    <w:rsid w:val="008F4736"/>
    <w:rsid w:val="008F50DB"/>
    <w:rsid w:val="008F5248"/>
    <w:rsid w:val="008F7022"/>
    <w:rsid w:val="008F72CA"/>
    <w:rsid w:val="008F7C7A"/>
    <w:rsid w:val="0090207B"/>
    <w:rsid w:val="00902D17"/>
    <w:rsid w:val="009048D5"/>
    <w:rsid w:val="0090501F"/>
    <w:rsid w:val="0091082C"/>
    <w:rsid w:val="009109DC"/>
    <w:rsid w:val="00911258"/>
    <w:rsid w:val="0091145C"/>
    <w:rsid w:val="009114A9"/>
    <w:rsid w:val="009135FD"/>
    <w:rsid w:val="00916494"/>
    <w:rsid w:val="00920A8A"/>
    <w:rsid w:val="00921573"/>
    <w:rsid w:val="00922129"/>
    <w:rsid w:val="00922AFD"/>
    <w:rsid w:val="00922CF6"/>
    <w:rsid w:val="00924C94"/>
    <w:rsid w:val="00930F73"/>
    <w:rsid w:val="00932208"/>
    <w:rsid w:val="0093259B"/>
    <w:rsid w:val="00932D7D"/>
    <w:rsid w:val="00933AB6"/>
    <w:rsid w:val="00933C37"/>
    <w:rsid w:val="00935206"/>
    <w:rsid w:val="00936BC6"/>
    <w:rsid w:val="0094197D"/>
    <w:rsid w:val="009430EA"/>
    <w:rsid w:val="00944763"/>
    <w:rsid w:val="00946DEB"/>
    <w:rsid w:val="0095078D"/>
    <w:rsid w:val="0095116A"/>
    <w:rsid w:val="00953DD0"/>
    <w:rsid w:val="00955587"/>
    <w:rsid w:val="009559E9"/>
    <w:rsid w:val="009560DD"/>
    <w:rsid w:val="00960C0A"/>
    <w:rsid w:val="009640AD"/>
    <w:rsid w:val="00964476"/>
    <w:rsid w:val="00964673"/>
    <w:rsid w:val="00965B7D"/>
    <w:rsid w:val="00965E5B"/>
    <w:rsid w:val="00965E8E"/>
    <w:rsid w:val="009675C0"/>
    <w:rsid w:val="00970BF6"/>
    <w:rsid w:val="00970EC6"/>
    <w:rsid w:val="009718AD"/>
    <w:rsid w:val="009721A2"/>
    <w:rsid w:val="00972862"/>
    <w:rsid w:val="009736EA"/>
    <w:rsid w:val="009774E9"/>
    <w:rsid w:val="00977FD0"/>
    <w:rsid w:val="009807E6"/>
    <w:rsid w:val="00980CCF"/>
    <w:rsid w:val="009826A6"/>
    <w:rsid w:val="00984152"/>
    <w:rsid w:val="00985194"/>
    <w:rsid w:val="00990842"/>
    <w:rsid w:val="00990EC5"/>
    <w:rsid w:val="0099674F"/>
    <w:rsid w:val="00997CF0"/>
    <w:rsid w:val="009A001A"/>
    <w:rsid w:val="009A15F5"/>
    <w:rsid w:val="009A3C4F"/>
    <w:rsid w:val="009A7EA5"/>
    <w:rsid w:val="009B3D9C"/>
    <w:rsid w:val="009B5E30"/>
    <w:rsid w:val="009B6087"/>
    <w:rsid w:val="009B7EB1"/>
    <w:rsid w:val="009C0730"/>
    <w:rsid w:val="009C191D"/>
    <w:rsid w:val="009C2EC6"/>
    <w:rsid w:val="009C6876"/>
    <w:rsid w:val="009D0141"/>
    <w:rsid w:val="009D2107"/>
    <w:rsid w:val="009D2E0B"/>
    <w:rsid w:val="009D3CA6"/>
    <w:rsid w:val="009D499F"/>
    <w:rsid w:val="009D6BB4"/>
    <w:rsid w:val="009D7BCE"/>
    <w:rsid w:val="009E013D"/>
    <w:rsid w:val="009E3549"/>
    <w:rsid w:val="009E5030"/>
    <w:rsid w:val="009E5C8F"/>
    <w:rsid w:val="009E6944"/>
    <w:rsid w:val="009E7D0C"/>
    <w:rsid w:val="009E7D79"/>
    <w:rsid w:val="009F021D"/>
    <w:rsid w:val="009F02F1"/>
    <w:rsid w:val="009F089C"/>
    <w:rsid w:val="009F2FD4"/>
    <w:rsid w:val="009F7E8A"/>
    <w:rsid w:val="00A01ABB"/>
    <w:rsid w:val="00A0480A"/>
    <w:rsid w:val="00A05557"/>
    <w:rsid w:val="00A06F1E"/>
    <w:rsid w:val="00A10C50"/>
    <w:rsid w:val="00A11F4A"/>
    <w:rsid w:val="00A1413B"/>
    <w:rsid w:val="00A17121"/>
    <w:rsid w:val="00A20189"/>
    <w:rsid w:val="00A20CB4"/>
    <w:rsid w:val="00A23BBF"/>
    <w:rsid w:val="00A2650D"/>
    <w:rsid w:val="00A26890"/>
    <w:rsid w:val="00A30946"/>
    <w:rsid w:val="00A3373D"/>
    <w:rsid w:val="00A352EC"/>
    <w:rsid w:val="00A35CD0"/>
    <w:rsid w:val="00A37577"/>
    <w:rsid w:val="00A4045B"/>
    <w:rsid w:val="00A41924"/>
    <w:rsid w:val="00A434B5"/>
    <w:rsid w:val="00A43681"/>
    <w:rsid w:val="00A4755C"/>
    <w:rsid w:val="00A5037B"/>
    <w:rsid w:val="00A516F4"/>
    <w:rsid w:val="00A52878"/>
    <w:rsid w:val="00A538F1"/>
    <w:rsid w:val="00A55A07"/>
    <w:rsid w:val="00A561E1"/>
    <w:rsid w:val="00A5689B"/>
    <w:rsid w:val="00A57AE6"/>
    <w:rsid w:val="00A60FBD"/>
    <w:rsid w:val="00A626A4"/>
    <w:rsid w:val="00A64A46"/>
    <w:rsid w:val="00A67EAF"/>
    <w:rsid w:val="00A732E2"/>
    <w:rsid w:val="00A74CA1"/>
    <w:rsid w:val="00A765C0"/>
    <w:rsid w:val="00A76A24"/>
    <w:rsid w:val="00A776B2"/>
    <w:rsid w:val="00A809D1"/>
    <w:rsid w:val="00A80A5C"/>
    <w:rsid w:val="00A81B0E"/>
    <w:rsid w:val="00A82AD4"/>
    <w:rsid w:val="00A861EE"/>
    <w:rsid w:val="00A87EDC"/>
    <w:rsid w:val="00A90865"/>
    <w:rsid w:val="00A9092B"/>
    <w:rsid w:val="00A9145D"/>
    <w:rsid w:val="00A93F31"/>
    <w:rsid w:val="00A93FC3"/>
    <w:rsid w:val="00A94B00"/>
    <w:rsid w:val="00A94DBC"/>
    <w:rsid w:val="00A95510"/>
    <w:rsid w:val="00A96D21"/>
    <w:rsid w:val="00AA1190"/>
    <w:rsid w:val="00AA186A"/>
    <w:rsid w:val="00AA280A"/>
    <w:rsid w:val="00AA3F9D"/>
    <w:rsid w:val="00AA4098"/>
    <w:rsid w:val="00AA4D29"/>
    <w:rsid w:val="00AA764E"/>
    <w:rsid w:val="00AB3950"/>
    <w:rsid w:val="00AB459A"/>
    <w:rsid w:val="00AB5044"/>
    <w:rsid w:val="00AB5416"/>
    <w:rsid w:val="00AB5A33"/>
    <w:rsid w:val="00AB7FA8"/>
    <w:rsid w:val="00AC0BE8"/>
    <w:rsid w:val="00AC1B71"/>
    <w:rsid w:val="00AC576D"/>
    <w:rsid w:val="00AC57A0"/>
    <w:rsid w:val="00AC72B3"/>
    <w:rsid w:val="00AC734E"/>
    <w:rsid w:val="00AD09E3"/>
    <w:rsid w:val="00AD1D57"/>
    <w:rsid w:val="00AD236C"/>
    <w:rsid w:val="00AD2BEC"/>
    <w:rsid w:val="00AD4C60"/>
    <w:rsid w:val="00AD5191"/>
    <w:rsid w:val="00AD5A0D"/>
    <w:rsid w:val="00AE29CB"/>
    <w:rsid w:val="00AE38A3"/>
    <w:rsid w:val="00AE391E"/>
    <w:rsid w:val="00AE5B50"/>
    <w:rsid w:val="00AE5EC2"/>
    <w:rsid w:val="00AE7126"/>
    <w:rsid w:val="00AE7184"/>
    <w:rsid w:val="00AF16FE"/>
    <w:rsid w:val="00AF1C74"/>
    <w:rsid w:val="00AF1FF6"/>
    <w:rsid w:val="00AF21C9"/>
    <w:rsid w:val="00AF33A5"/>
    <w:rsid w:val="00AF3EA4"/>
    <w:rsid w:val="00B02249"/>
    <w:rsid w:val="00B03079"/>
    <w:rsid w:val="00B04231"/>
    <w:rsid w:val="00B0454E"/>
    <w:rsid w:val="00B04A5D"/>
    <w:rsid w:val="00B04DDC"/>
    <w:rsid w:val="00B105D3"/>
    <w:rsid w:val="00B11D2A"/>
    <w:rsid w:val="00B12E96"/>
    <w:rsid w:val="00B13A19"/>
    <w:rsid w:val="00B13C33"/>
    <w:rsid w:val="00B13F8C"/>
    <w:rsid w:val="00B14034"/>
    <w:rsid w:val="00B1438E"/>
    <w:rsid w:val="00B149B4"/>
    <w:rsid w:val="00B16098"/>
    <w:rsid w:val="00B16F4B"/>
    <w:rsid w:val="00B20433"/>
    <w:rsid w:val="00B208C9"/>
    <w:rsid w:val="00B20EB0"/>
    <w:rsid w:val="00B21AB6"/>
    <w:rsid w:val="00B21B97"/>
    <w:rsid w:val="00B21C8D"/>
    <w:rsid w:val="00B233C0"/>
    <w:rsid w:val="00B237C1"/>
    <w:rsid w:val="00B23B66"/>
    <w:rsid w:val="00B258F5"/>
    <w:rsid w:val="00B25A93"/>
    <w:rsid w:val="00B2645C"/>
    <w:rsid w:val="00B270E0"/>
    <w:rsid w:val="00B309BF"/>
    <w:rsid w:val="00B30AF4"/>
    <w:rsid w:val="00B30F9B"/>
    <w:rsid w:val="00B31482"/>
    <w:rsid w:val="00B344BB"/>
    <w:rsid w:val="00B35849"/>
    <w:rsid w:val="00B3633E"/>
    <w:rsid w:val="00B36E86"/>
    <w:rsid w:val="00B40CB9"/>
    <w:rsid w:val="00B40F74"/>
    <w:rsid w:val="00B41339"/>
    <w:rsid w:val="00B4260E"/>
    <w:rsid w:val="00B42EE5"/>
    <w:rsid w:val="00B45A91"/>
    <w:rsid w:val="00B47AB4"/>
    <w:rsid w:val="00B506ED"/>
    <w:rsid w:val="00B51A13"/>
    <w:rsid w:val="00B529E1"/>
    <w:rsid w:val="00B52B2F"/>
    <w:rsid w:val="00B55465"/>
    <w:rsid w:val="00B55A11"/>
    <w:rsid w:val="00B5737F"/>
    <w:rsid w:val="00B602F2"/>
    <w:rsid w:val="00B61287"/>
    <w:rsid w:val="00B61A2D"/>
    <w:rsid w:val="00B623BF"/>
    <w:rsid w:val="00B63EFC"/>
    <w:rsid w:val="00B65B7E"/>
    <w:rsid w:val="00B67361"/>
    <w:rsid w:val="00B70B79"/>
    <w:rsid w:val="00B70D8F"/>
    <w:rsid w:val="00B7242C"/>
    <w:rsid w:val="00B757EC"/>
    <w:rsid w:val="00B76A79"/>
    <w:rsid w:val="00B76E9E"/>
    <w:rsid w:val="00B87412"/>
    <w:rsid w:val="00B90134"/>
    <w:rsid w:val="00B910D9"/>
    <w:rsid w:val="00B921C3"/>
    <w:rsid w:val="00B92C4E"/>
    <w:rsid w:val="00B9414C"/>
    <w:rsid w:val="00B966B5"/>
    <w:rsid w:val="00B97FFE"/>
    <w:rsid w:val="00BA007B"/>
    <w:rsid w:val="00BA1DAC"/>
    <w:rsid w:val="00BA2189"/>
    <w:rsid w:val="00BA39A2"/>
    <w:rsid w:val="00BA5176"/>
    <w:rsid w:val="00BA6C7F"/>
    <w:rsid w:val="00BA6D5E"/>
    <w:rsid w:val="00BA7398"/>
    <w:rsid w:val="00BA76A8"/>
    <w:rsid w:val="00BA7FEB"/>
    <w:rsid w:val="00BB2BC5"/>
    <w:rsid w:val="00BB2FD7"/>
    <w:rsid w:val="00BB51F1"/>
    <w:rsid w:val="00BB6CD0"/>
    <w:rsid w:val="00BC0FF7"/>
    <w:rsid w:val="00BC1C59"/>
    <w:rsid w:val="00BC2F2D"/>
    <w:rsid w:val="00BC3D02"/>
    <w:rsid w:val="00BD2DD0"/>
    <w:rsid w:val="00BD34A5"/>
    <w:rsid w:val="00BD4962"/>
    <w:rsid w:val="00BD66C1"/>
    <w:rsid w:val="00BD6E09"/>
    <w:rsid w:val="00BE031B"/>
    <w:rsid w:val="00BE2B16"/>
    <w:rsid w:val="00BE40DB"/>
    <w:rsid w:val="00BF3690"/>
    <w:rsid w:val="00BF4D33"/>
    <w:rsid w:val="00BF612C"/>
    <w:rsid w:val="00BF6B7B"/>
    <w:rsid w:val="00C00769"/>
    <w:rsid w:val="00C03FDE"/>
    <w:rsid w:val="00C05BBC"/>
    <w:rsid w:val="00C0726D"/>
    <w:rsid w:val="00C07319"/>
    <w:rsid w:val="00C1081E"/>
    <w:rsid w:val="00C10978"/>
    <w:rsid w:val="00C11AD7"/>
    <w:rsid w:val="00C11FAF"/>
    <w:rsid w:val="00C12C85"/>
    <w:rsid w:val="00C141DE"/>
    <w:rsid w:val="00C159E8"/>
    <w:rsid w:val="00C17200"/>
    <w:rsid w:val="00C17F63"/>
    <w:rsid w:val="00C20477"/>
    <w:rsid w:val="00C230BD"/>
    <w:rsid w:val="00C23AFE"/>
    <w:rsid w:val="00C267C6"/>
    <w:rsid w:val="00C268B5"/>
    <w:rsid w:val="00C27743"/>
    <w:rsid w:val="00C30068"/>
    <w:rsid w:val="00C316AD"/>
    <w:rsid w:val="00C32FC9"/>
    <w:rsid w:val="00C330EA"/>
    <w:rsid w:val="00C33295"/>
    <w:rsid w:val="00C33B9F"/>
    <w:rsid w:val="00C33C7C"/>
    <w:rsid w:val="00C40513"/>
    <w:rsid w:val="00C406AF"/>
    <w:rsid w:val="00C410FC"/>
    <w:rsid w:val="00C41F73"/>
    <w:rsid w:val="00C45F4F"/>
    <w:rsid w:val="00C46616"/>
    <w:rsid w:val="00C468D9"/>
    <w:rsid w:val="00C46968"/>
    <w:rsid w:val="00C46D31"/>
    <w:rsid w:val="00C47213"/>
    <w:rsid w:val="00C5047C"/>
    <w:rsid w:val="00C513EA"/>
    <w:rsid w:val="00C51996"/>
    <w:rsid w:val="00C52FAA"/>
    <w:rsid w:val="00C54271"/>
    <w:rsid w:val="00C57DCF"/>
    <w:rsid w:val="00C6038F"/>
    <w:rsid w:val="00C60E8D"/>
    <w:rsid w:val="00C61633"/>
    <w:rsid w:val="00C6163C"/>
    <w:rsid w:val="00C6183E"/>
    <w:rsid w:val="00C62FF9"/>
    <w:rsid w:val="00C65FA2"/>
    <w:rsid w:val="00C6761A"/>
    <w:rsid w:val="00C71040"/>
    <w:rsid w:val="00C715F8"/>
    <w:rsid w:val="00C73A48"/>
    <w:rsid w:val="00C73B79"/>
    <w:rsid w:val="00C75FF1"/>
    <w:rsid w:val="00C76C49"/>
    <w:rsid w:val="00C778FC"/>
    <w:rsid w:val="00C77DA3"/>
    <w:rsid w:val="00C82D46"/>
    <w:rsid w:val="00C83896"/>
    <w:rsid w:val="00C84308"/>
    <w:rsid w:val="00C843ED"/>
    <w:rsid w:val="00C866D8"/>
    <w:rsid w:val="00C86B07"/>
    <w:rsid w:val="00C87B5D"/>
    <w:rsid w:val="00C952A4"/>
    <w:rsid w:val="00C95C97"/>
    <w:rsid w:val="00C9682B"/>
    <w:rsid w:val="00C970A6"/>
    <w:rsid w:val="00C975A0"/>
    <w:rsid w:val="00C97E86"/>
    <w:rsid w:val="00CA0B2D"/>
    <w:rsid w:val="00CA1366"/>
    <w:rsid w:val="00CA51C6"/>
    <w:rsid w:val="00CA57A2"/>
    <w:rsid w:val="00CA5960"/>
    <w:rsid w:val="00CA5C6B"/>
    <w:rsid w:val="00CB0068"/>
    <w:rsid w:val="00CB0513"/>
    <w:rsid w:val="00CB260A"/>
    <w:rsid w:val="00CB503E"/>
    <w:rsid w:val="00CB5475"/>
    <w:rsid w:val="00CB760B"/>
    <w:rsid w:val="00CB7DD0"/>
    <w:rsid w:val="00CC0ECC"/>
    <w:rsid w:val="00CC300B"/>
    <w:rsid w:val="00CC3F78"/>
    <w:rsid w:val="00CC5FFA"/>
    <w:rsid w:val="00CD18BE"/>
    <w:rsid w:val="00CD268B"/>
    <w:rsid w:val="00CD5696"/>
    <w:rsid w:val="00CD5B4A"/>
    <w:rsid w:val="00CD6D4C"/>
    <w:rsid w:val="00CD7039"/>
    <w:rsid w:val="00CD7A95"/>
    <w:rsid w:val="00CD7DA2"/>
    <w:rsid w:val="00CE1591"/>
    <w:rsid w:val="00CE1662"/>
    <w:rsid w:val="00CE201C"/>
    <w:rsid w:val="00CE257B"/>
    <w:rsid w:val="00CF2406"/>
    <w:rsid w:val="00CF39BC"/>
    <w:rsid w:val="00CF451F"/>
    <w:rsid w:val="00CF4660"/>
    <w:rsid w:val="00CF5EF6"/>
    <w:rsid w:val="00CF61F8"/>
    <w:rsid w:val="00CF644A"/>
    <w:rsid w:val="00CF77E8"/>
    <w:rsid w:val="00D0019D"/>
    <w:rsid w:val="00D00530"/>
    <w:rsid w:val="00D01C56"/>
    <w:rsid w:val="00D020D4"/>
    <w:rsid w:val="00D02299"/>
    <w:rsid w:val="00D02C2F"/>
    <w:rsid w:val="00D03651"/>
    <w:rsid w:val="00D03D8A"/>
    <w:rsid w:val="00D03D95"/>
    <w:rsid w:val="00D07FDB"/>
    <w:rsid w:val="00D10D8A"/>
    <w:rsid w:val="00D11E75"/>
    <w:rsid w:val="00D128B4"/>
    <w:rsid w:val="00D13BA9"/>
    <w:rsid w:val="00D14045"/>
    <w:rsid w:val="00D15194"/>
    <w:rsid w:val="00D1657B"/>
    <w:rsid w:val="00D174E9"/>
    <w:rsid w:val="00D17EE8"/>
    <w:rsid w:val="00D209B2"/>
    <w:rsid w:val="00D211D0"/>
    <w:rsid w:val="00D21D29"/>
    <w:rsid w:val="00D23D9A"/>
    <w:rsid w:val="00D2422E"/>
    <w:rsid w:val="00D2545E"/>
    <w:rsid w:val="00D27BB5"/>
    <w:rsid w:val="00D323CC"/>
    <w:rsid w:val="00D32686"/>
    <w:rsid w:val="00D3378D"/>
    <w:rsid w:val="00D35C86"/>
    <w:rsid w:val="00D35CC3"/>
    <w:rsid w:val="00D36E24"/>
    <w:rsid w:val="00D40304"/>
    <w:rsid w:val="00D41410"/>
    <w:rsid w:val="00D42145"/>
    <w:rsid w:val="00D42A60"/>
    <w:rsid w:val="00D45466"/>
    <w:rsid w:val="00D4562C"/>
    <w:rsid w:val="00D466F8"/>
    <w:rsid w:val="00D479C9"/>
    <w:rsid w:val="00D50B0C"/>
    <w:rsid w:val="00D536A3"/>
    <w:rsid w:val="00D53ACF"/>
    <w:rsid w:val="00D54F47"/>
    <w:rsid w:val="00D55A55"/>
    <w:rsid w:val="00D55B82"/>
    <w:rsid w:val="00D5648C"/>
    <w:rsid w:val="00D57AF9"/>
    <w:rsid w:val="00D60AD6"/>
    <w:rsid w:val="00D61829"/>
    <w:rsid w:val="00D61901"/>
    <w:rsid w:val="00D6353B"/>
    <w:rsid w:val="00D65554"/>
    <w:rsid w:val="00D67196"/>
    <w:rsid w:val="00D732C1"/>
    <w:rsid w:val="00D73CAD"/>
    <w:rsid w:val="00D73D7A"/>
    <w:rsid w:val="00D741EB"/>
    <w:rsid w:val="00D75BCF"/>
    <w:rsid w:val="00D76FAE"/>
    <w:rsid w:val="00D8287A"/>
    <w:rsid w:val="00D83471"/>
    <w:rsid w:val="00D840B0"/>
    <w:rsid w:val="00D8460D"/>
    <w:rsid w:val="00D84AAA"/>
    <w:rsid w:val="00D86856"/>
    <w:rsid w:val="00D9333F"/>
    <w:rsid w:val="00D93355"/>
    <w:rsid w:val="00D95A57"/>
    <w:rsid w:val="00D967CC"/>
    <w:rsid w:val="00DA1410"/>
    <w:rsid w:val="00DA16C5"/>
    <w:rsid w:val="00DA215B"/>
    <w:rsid w:val="00DA21AB"/>
    <w:rsid w:val="00DA3595"/>
    <w:rsid w:val="00DA64CF"/>
    <w:rsid w:val="00DA668A"/>
    <w:rsid w:val="00DA6A89"/>
    <w:rsid w:val="00DB11D6"/>
    <w:rsid w:val="00DB1219"/>
    <w:rsid w:val="00DB1F73"/>
    <w:rsid w:val="00DB3AC3"/>
    <w:rsid w:val="00DB445A"/>
    <w:rsid w:val="00DB5C7D"/>
    <w:rsid w:val="00DB75B2"/>
    <w:rsid w:val="00DC022F"/>
    <w:rsid w:val="00DC2787"/>
    <w:rsid w:val="00DC28CE"/>
    <w:rsid w:val="00DC4668"/>
    <w:rsid w:val="00DC512C"/>
    <w:rsid w:val="00DC57B9"/>
    <w:rsid w:val="00DC584D"/>
    <w:rsid w:val="00DC5A9D"/>
    <w:rsid w:val="00DC65BD"/>
    <w:rsid w:val="00DC7665"/>
    <w:rsid w:val="00DD11A0"/>
    <w:rsid w:val="00DD14D9"/>
    <w:rsid w:val="00DD173E"/>
    <w:rsid w:val="00DD1E7C"/>
    <w:rsid w:val="00DD3100"/>
    <w:rsid w:val="00DD64F1"/>
    <w:rsid w:val="00DD6E60"/>
    <w:rsid w:val="00DD6F71"/>
    <w:rsid w:val="00DE0592"/>
    <w:rsid w:val="00DE0BCA"/>
    <w:rsid w:val="00DE13B8"/>
    <w:rsid w:val="00DE194F"/>
    <w:rsid w:val="00DE1AA1"/>
    <w:rsid w:val="00DE30F6"/>
    <w:rsid w:val="00DE4374"/>
    <w:rsid w:val="00DE510F"/>
    <w:rsid w:val="00DE51E3"/>
    <w:rsid w:val="00DE60B0"/>
    <w:rsid w:val="00DE652F"/>
    <w:rsid w:val="00DE661E"/>
    <w:rsid w:val="00DE7FE8"/>
    <w:rsid w:val="00DF0B3C"/>
    <w:rsid w:val="00DF0EB7"/>
    <w:rsid w:val="00DF2376"/>
    <w:rsid w:val="00DF3492"/>
    <w:rsid w:val="00DF4A34"/>
    <w:rsid w:val="00DF5339"/>
    <w:rsid w:val="00DF6E54"/>
    <w:rsid w:val="00DF70F1"/>
    <w:rsid w:val="00DF763E"/>
    <w:rsid w:val="00DF7863"/>
    <w:rsid w:val="00DF7B2E"/>
    <w:rsid w:val="00E019B6"/>
    <w:rsid w:val="00E038D4"/>
    <w:rsid w:val="00E03B2A"/>
    <w:rsid w:val="00E03EBC"/>
    <w:rsid w:val="00E1611E"/>
    <w:rsid w:val="00E1615B"/>
    <w:rsid w:val="00E2072D"/>
    <w:rsid w:val="00E23D2C"/>
    <w:rsid w:val="00E23EE9"/>
    <w:rsid w:val="00E246AF"/>
    <w:rsid w:val="00E24E32"/>
    <w:rsid w:val="00E24F8A"/>
    <w:rsid w:val="00E27282"/>
    <w:rsid w:val="00E27C59"/>
    <w:rsid w:val="00E32DFE"/>
    <w:rsid w:val="00E36140"/>
    <w:rsid w:val="00E36E05"/>
    <w:rsid w:val="00E37CA3"/>
    <w:rsid w:val="00E37FEA"/>
    <w:rsid w:val="00E40358"/>
    <w:rsid w:val="00E40492"/>
    <w:rsid w:val="00E40ACB"/>
    <w:rsid w:val="00E410C5"/>
    <w:rsid w:val="00E43B6B"/>
    <w:rsid w:val="00E43DB0"/>
    <w:rsid w:val="00E44329"/>
    <w:rsid w:val="00E45CCE"/>
    <w:rsid w:val="00E52013"/>
    <w:rsid w:val="00E52217"/>
    <w:rsid w:val="00E53154"/>
    <w:rsid w:val="00E5315C"/>
    <w:rsid w:val="00E53FE1"/>
    <w:rsid w:val="00E553DE"/>
    <w:rsid w:val="00E554DA"/>
    <w:rsid w:val="00E56559"/>
    <w:rsid w:val="00E56AEF"/>
    <w:rsid w:val="00E56D95"/>
    <w:rsid w:val="00E57C99"/>
    <w:rsid w:val="00E61760"/>
    <w:rsid w:val="00E61806"/>
    <w:rsid w:val="00E63643"/>
    <w:rsid w:val="00E64C64"/>
    <w:rsid w:val="00E66960"/>
    <w:rsid w:val="00E66D68"/>
    <w:rsid w:val="00E67A85"/>
    <w:rsid w:val="00E711B4"/>
    <w:rsid w:val="00E720D4"/>
    <w:rsid w:val="00E72203"/>
    <w:rsid w:val="00E7256C"/>
    <w:rsid w:val="00E73D74"/>
    <w:rsid w:val="00E74DB6"/>
    <w:rsid w:val="00E74DC4"/>
    <w:rsid w:val="00E74EB2"/>
    <w:rsid w:val="00E75550"/>
    <w:rsid w:val="00E76D5A"/>
    <w:rsid w:val="00E777BD"/>
    <w:rsid w:val="00E82135"/>
    <w:rsid w:val="00E82BA2"/>
    <w:rsid w:val="00E947FB"/>
    <w:rsid w:val="00E9550F"/>
    <w:rsid w:val="00E95DA6"/>
    <w:rsid w:val="00E96845"/>
    <w:rsid w:val="00EA3586"/>
    <w:rsid w:val="00EA40EB"/>
    <w:rsid w:val="00EA4A87"/>
    <w:rsid w:val="00EA5DEF"/>
    <w:rsid w:val="00EA716C"/>
    <w:rsid w:val="00EB074E"/>
    <w:rsid w:val="00EB1924"/>
    <w:rsid w:val="00EB4D3A"/>
    <w:rsid w:val="00EB5359"/>
    <w:rsid w:val="00EB6D7A"/>
    <w:rsid w:val="00EB7051"/>
    <w:rsid w:val="00EB7A3E"/>
    <w:rsid w:val="00EC57B0"/>
    <w:rsid w:val="00EC618E"/>
    <w:rsid w:val="00EC6D3D"/>
    <w:rsid w:val="00EC7783"/>
    <w:rsid w:val="00EC781B"/>
    <w:rsid w:val="00EC7A49"/>
    <w:rsid w:val="00ED1A3C"/>
    <w:rsid w:val="00ED20AF"/>
    <w:rsid w:val="00ED31E6"/>
    <w:rsid w:val="00ED3CC6"/>
    <w:rsid w:val="00ED7A91"/>
    <w:rsid w:val="00EE14A1"/>
    <w:rsid w:val="00EE1AE0"/>
    <w:rsid w:val="00EE2788"/>
    <w:rsid w:val="00EE360F"/>
    <w:rsid w:val="00EE3A88"/>
    <w:rsid w:val="00EE3BC1"/>
    <w:rsid w:val="00EE3BEB"/>
    <w:rsid w:val="00EE3D28"/>
    <w:rsid w:val="00EE4408"/>
    <w:rsid w:val="00EE50FC"/>
    <w:rsid w:val="00EE7CF3"/>
    <w:rsid w:val="00EE7FBE"/>
    <w:rsid w:val="00EF1C5F"/>
    <w:rsid w:val="00EF3C9C"/>
    <w:rsid w:val="00EF4784"/>
    <w:rsid w:val="00EF5148"/>
    <w:rsid w:val="00EF619D"/>
    <w:rsid w:val="00EF6EB0"/>
    <w:rsid w:val="00EF7052"/>
    <w:rsid w:val="00EF7AED"/>
    <w:rsid w:val="00F03835"/>
    <w:rsid w:val="00F041B3"/>
    <w:rsid w:val="00F04230"/>
    <w:rsid w:val="00F04555"/>
    <w:rsid w:val="00F04E38"/>
    <w:rsid w:val="00F05752"/>
    <w:rsid w:val="00F05B61"/>
    <w:rsid w:val="00F06074"/>
    <w:rsid w:val="00F0683C"/>
    <w:rsid w:val="00F06E89"/>
    <w:rsid w:val="00F07133"/>
    <w:rsid w:val="00F076F3"/>
    <w:rsid w:val="00F07CDB"/>
    <w:rsid w:val="00F112D0"/>
    <w:rsid w:val="00F12F1B"/>
    <w:rsid w:val="00F132D4"/>
    <w:rsid w:val="00F146A2"/>
    <w:rsid w:val="00F15D69"/>
    <w:rsid w:val="00F165B1"/>
    <w:rsid w:val="00F17CFB"/>
    <w:rsid w:val="00F20D9D"/>
    <w:rsid w:val="00F2272B"/>
    <w:rsid w:val="00F2450A"/>
    <w:rsid w:val="00F25AA3"/>
    <w:rsid w:val="00F25C5E"/>
    <w:rsid w:val="00F2602A"/>
    <w:rsid w:val="00F303CB"/>
    <w:rsid w:val="00F3136E"/>
    <w:rsid w:val="00F326A3"/>
    <w:rsid w:val="00F33AF5"/>
    <w:rsid w:val="00F34805"/>
    <w:rsid w:val="00F34A1F"/>
    <w:rsid w:val="00F35363"/>
    <w:rsid w:val="00F36D1E"/>
    <w:rsid w:val="00F40A2F"/>
    <w:rsid w:val="00F40CBC"/>
    <w:rsid w:val="00F40D83"/>
    <w:rsid w:val="00F40D99"/>
    <w:rsid w:val="00F40FE3"/>
    <w:rsid w:val="00F41C67"/>
    <w:rsid w:val="00F42109"/>
    <w:rsid w:val="00F433CD"/>
    <w:rsid w:val="00F439F3"/>
    <w:rsid w:val="00F43FFC"/>
    <w:rsid w:val="00F52DEE"/>
    <w:rsid w:val="00F52FED"/>
    <w:rsid w:val="00F57E95"/>
    <w:rsid w:val="00F601B9"/>
    <w:rsid w:val="00F60687"/>
    <w:rsid w:val="00F61114"/>
    <w:rsid w:val="00F62180"/>
    <w:rsid w:val="00F62940"/>
    <w:rsid w:val="00F6441B"/>
    <w:rsid w:val="00F64897"/>
    <w:rsid w:val="00F65B68"/>
    <w:rsid w:val="00F67DC7"/>
    <w:rsid w:val="00F720AD"/>
    <w:rsid w:val="00F72162"/>
    <w:rsid w:val="00F741A5"/>
    <w:rsid w:val="00F748B3"/>
    <w:rsid w:val="00F75B9A"/>
    <w:rsid w:val="00F81BCC"/>
    <w:rsid w:val="00F82935"/>
    <w:rsid w:val="00F82F07"/>
    <w:rsid w:val="00F84636"/>
    <w:rsid w:val="00F84A87"/>
    <w:rsid w:val="00F84D9D"/>
    <w:rsid w:val="00F85030"/>
    <w:rsid w:val="00F85803"/>
    <w:rsid w:val="00F86FFC"/>
    <w:rsid w:val="00F87986"/>
    <w:rsid w:val="00F9246B"/>
    <w:rsid w:val="00F92FE6"/>
    <w:rsid w:val="00F931A1"/>
    <w:rsid w:val="00F94C6A"/>
    <w:rsid w:val="00F94D8D"/>
    <w:rsid w:val="00F96679"/>
    <w:rsid w:val="00FA0DB9"/>
    <w:rsid w:val="00FA1330"/>
    <w:rsid w:val="00FA2149"/>
    <w:rsid w:val="00FA2655"/>
    <w:rsid w:val="00FA2E31"/>
    <w:rsid w:val="00FB1847"/>
    <w:rsid w:val="00FB3C15"/>
    <w:rsid w:val="00FB4579"/>
    <w:rsid w:val="00FB4D4C"/>
    <w:rsid w:val="00FB6D0D"/>
    <w:rsid w:val="00FC0185"/>
    <w:rsid w:val="00FC3267"/>
    <w:rsid w:val="00FC3761"/>
    <w:rsid w:val="00FC4308"/>
    <w:rsid w:val="00FC4586"/>
    <w:rsid w:val="00FC51A4"/>
    <w:rsid w:val="00FC59CF"/>
    <w:rsid w:val="00FD17E0"/>
    <w:rsid w:val="00FD1D61"/>
    <w:rsid w:val="00FD25FF"/>
    <w:rsid w:val="00FD3884"/>
    <w:rsid w:val="00FD6117"/>
    <w:rsid w:val="00FE3711"/>
    <w:rsid w:val="00FE4FB6"/>
    <w:rsid w:val="00FE6566"/>
    <w:rsid w:val="00FE7A75"/>
    <w:rsid w:val="00FF03C3"/>
    <w:rsid w:val="00FF070D"/>
    <w:rsid w:val="00FF1166"/>
    <w:rsid w:val="00FF1BBB"/>
    <w:rsid w:val="00FF1EFF"/>
    <w:rsid w:val="00FF21DE"/>
    <w:rsid w:val="00FF41FA"/>
    <w:rsid w:val="00FF7F9C"/>
    <w:rsid w:val="053E7763"/>
    <w:rsid w:val="076E4CEA"/>
    <w:rsid w:val="09F83035"/>
    <w:rsid w:val="0CFF11AA"/>
    <w:rsid w:val="0E6A2853"/>
    <w:rsid w:val="0E89444D"/>
    <w:rsid w:val="0F8B5C8B"/>
    <w:rsid w:val="10F21446"/>
    <w:rsid w:val="11FE100C"/>
    <w:rsid w:val="14101AD4"/>
    <w:rsid w:val="156A1A33"/>
    <w:rsid w:val="185210AA"/>
    <w:rsid w:val="1AA47F3E"/>
    <w:rsid w:val="1AE03725"/>
    <w:rsid w:val="1B29533C"/>
    <w:rsid w:val="1BCE16F3"/>
    <w:rsid w:val="205E247A"/>
    <w:rsid w:val="21185827"/>
    <w:rsid w:val="23F01E95"/>
    <w:rsid w:val="248D34D9"/>
    <w:rsid w:val="25354619"/>
    <w:rsid w:val="25DF0C1E"/>
    <w:rsid w:val="2B0D5177"/>
    <w:rsid w:val="2E7313E9"/>
    <w:rsid w:val="2FE54A16"/>
    <w:rsid w:val="30DD5B96"/>
    <w:rsid w:val="30E86BA7"/>
    <w:rsid w:val="30F15085"/>
    <w:rsid w:val="31545AFE"/>
    <w:rsid w:val="34AF304A"/>
    <w:rsid w:val="34F67AB1"/>
    <w:rsid w:val="34F75BEC"/>
    <w:rsid w:val="361D04AE"/>
    <w:rsid w:val="37576431"/>
    <w:rsid w:val="395C1445"/>
    <w:rsid w:val="396233BD"/>
    <w:rsid w:val="3A213A45"/>
    <w:rsid w:val="3E564924"/>
    <w:rsid w:val="3E7808B5"/>
    <w:rsid w:val="3F3714C1"/>
    <w:rsid w:val="4113458B"/>
    <w:rsid w:val="422E2806"/>
    <w:rsid w:val="4400106E"/>
    <w:rsid w:val="453E6285"/>
    <w:rsid w:val="45965494"/>
    <w:rsid w:val="45D83EE8"/>
    <w:rsid w:val="4960662B"/>
    <w:rsid w:val="497346FA"/>
    <w:rsid w:val="4BCB3298"/>
    <w:rsid w:val="4C0E5D4C"/>
    <w:rsid w:val="4D7F7627"/>
    <w:rsid w:val="4F1A4CC7"/>
    <w:rsid w:val="50B43DCB"/>
    <w:rsid w:val="51E52771"/>
    <w:rsid w:val="52645CF5"/>
    <w:rsid w:val="52F207C5"/>
    <w:rsid w:val="532D0EE5"/>
    <w:rsid w:val="542D7CC7"/>
    <w:rsid w:val="54933FCC"/>
    <w:rsid w:val="57FE6C35"/>
    <w:rsid w:val="580C5F2F"/>
    <w:rsid w:val="58427594"/>
    <w:rsid w:val="59551245"/>
    <w:rsid w:val="59A0327E"/>
    <w:rsid w:val="5A3E3CA4"/>
    <w:rsid w:val="5B236AF1"/>
    <w:rsid w:val="5BF05C0F"/>
    <w:rsid w:val="5D154619"/>
    <w:rsid w:val="5D16209B"/>
    <w:rsid w:val="5D883034"/>
    <w:rsid w:val="5ED529B5"/>
    <w:rsid w:val="5EFF15E9"/>
    <w:rsid w:val="60215516"/>
    <w:rsid w:val="606603E8"/>
    <w:rsid w:val="62DA031C"/>
    <w:rsid w:val="638B680D"/>
    <w:rsid w:val="63C62756"/>
    <w:rsid w:val="651653B7"/>
    <w:rsid w:val="657F41F1"/>
    <w:rsid w:val="65D0765F"/>
    <w:rsid w:val="6A3D529A"/>
    <w:rsid w:val="6D53582E"/>
    <w:rsid w:val="6ED548E4"/>
    <w:rsid w:val="6F8F33C3"/>
    <w:rsid w:val="6FE37500"/>
    <w:rsid w:val="7009584B"/>
    <w:rsid w:val="70291211"/>
    <w:rsid w:val="70781505"/>
    <w:rsid w:val="741330EF"/>
    <w:rsid w:val="76EF14F2"/>
    <w:rsid w:val="787B2A89"/>
    <w:rsid w:val="7BE2503C"/>
    <w:rsid w:val="7CF84672"/>
    <w:rsid w:val="7E687C06"/>
    <w:rsid w:val="7F434B24"/>
    <w:rsid w:val="7FFA1C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8"/>
      <w:szCs w:val="28"/>
      <w:lang w:val="en-US" w:eastAsia="zh-CN" w:bidi="ar-SA"/>
    </w:rPr>
  </w:style>
  <w:style w:type="paragraph" w:styleId="2">
    <w:name w:val="heading 1"/>
    <w:basedOn w:val="1"/>
    <w:next w:val="1"/>
    <w:link w:val="70"/>
    <w:qFormat/>
    <w:uiPriority w:val="0"/>
    <w:pPr>
      <w:keepNext/>
      <w:spacing w:line="360" w:lineRule="auto"/>
      <w:jc w:val="center"/>
      <w:outlineLvl w:val="0"/>
    </w:pPr>
    <w:rPr>
      <w:rFonts w:eastAsia="仿宋_GB2312"/>
      <w:b/>
      <w:sz w:val="36"/>
    </w:rPr>
  </w:style>
  <w:style w:type="paragraph" w:styleId="3">
    <w:name w:val="heading 2"/>
    <w:basedOn w:val="1"/>
    <w:next w:val="1"/>
    <w:link w:val="71"/>
    <w:unhideWhenUsed/>
    <w:qFormat/>
    <w:uiPriority w:val="0"/>
    <w:pPr>
      <w:keepNext/>
      <w:keepLines/>
      <w:spacing w:before="120" w:beforeLines="0" w:beforeAutospacing="0" w:after="120" w:afterLines="0" w:afterAutospacing="0" w:line="240" w:lineRule="auto"/>
      <w:ind w:leftChars="200"/>
      <w:outlineLvl w:val="1"/>
    </w:pPr>
    <w:rPr>
      <w:rFonts w:ascii="Arial" w:hAnsi="Arial" w:eastAsia="仿宋_GB2312"/>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22">
    <w:name w:val="Default Paragraph Font"/>
    <w:semiHidden/>
    <w:uiPriority w:val="0"/>
  </w:style>
  <w:style w:type="table" w:default="1" w:styleId="20">
    <w:name w:val="Normal Table"/>
    <w:semiHidden/>
    <w:uiPriority w:val="0"/>
    <w:tblPr>
      <w:tblStyle w:val="20"/>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paragraph" w:styleId="6">
    <w:name w:val="Body Text 3"/>
    <w:basedOn w:val="1"/>
    <w:uiPriority w:val="0"/>
    <w:pPr>
      <w:ind w:right="69" w:rightChars="33"/>
    </w:pPr>
    <w:rPr>
      <w:rFonts w:ascii="仿宋_GB2312" w:eastAsia="仿宋_GB2312"/>
      <w:bCs/>
      <w:sz w:val="28"/>
    </w:rPr>
  </w:style>
  <w:style w:type="paragraph" w:styleId="7">
    <w:name w:val="Body Text"/>
    <w:basedOn w:val="1"/>
    <w:uiPriority w:val="0"/>
    <w:rPr>
      <w:bCs/>
      <w:color w:val="0000FF"/>
      <w:sz w:val="28"/>
    </w:rPr>
  </w:style>
  <w:style w:type="paragraph" w:styleId="8">
    <w:name w:val="Body Text Indent"/>
    <w:basedOn w:val="1"/>
    <w:uiPriority w:val="0"/>
    <w:pPr>
      <w:ind w:firstLine="280" w:firstLineChars="100"/>
    </w:pPr>
    <w:rPr>
      <w:sz w:val="28"/>
    </w:rPr>
  </w:style>
  <w:style w:type="paragraph" w:styleId="9">
    <w:name w:val="Plain Text"/>
    <w:basedOn w:val="1"/>
    <w:uiPriority w:val="0"/>
    <w:rPr>
      <w:rFonts w:ascii="宋体" w:hAnsi="Courier New"/>
      <w:sz w:val="28"/>
      <w:szCs w:val="20"/>
    </w:rPr>
  </w:style>
  <w:style w:type="paragraph" w:styleId="10">
    <w:name w:val="Date"/>
    <w:basedOn w:val="1"/>
    <w:next w:val="1"/>
    <w:uiPriority w:val="0"/>
    <w:rPr>
      <w:rFonts w:ascii="宋体"/>
      <w:sz w:val="28"/>
      <w:szCs w:val="20"/>
    </w:rPr>
  </w:style>
  <w:style w:type="paragraph" w:styleId="11">
    <w:name w:val="Body Text Indent 2"/>
    <w:basedOn w:val="1"/>
    <w:uiPriority w:val="0"/>
    <w:pPr>
      <w:ind w:right="-109" w:rightChars="-52" w:firstLine="560" w:firstLineChars="200"/>
    </w:pPr>
    <w:rPr>
      <w:bCs/>
      <w:color w:val="000000"/>
      <w:sz w:val="28"/>
    </w:rPr>
  </w:style>
  <w:style w:type="paragraph" w:styleId="12">
    <w:name w:val="Balloon Text"/>
    <w:basedOn w:val="1"/>
    <w:semiHidden/>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0"/>
  </w:style>
  <w:style w:type="paragraph" w:styleId="16">
    <w:name w:val="Body Text Indent 3"/>
    <w:basedOn w:val="1"/>
    <w:uiPriority w:val="0"/>
    <w:pPr>
      <w:ind w:leftChars="-85" w:firstLine="535" w:firstLineChars="255"/>
    </w:pPr>
  </w:style>
  <w:style w:type="paragraph" w:styleId="17">
    <w:name w:val="toc 2"/>
    <w:basedOn w:val="1"/>
    <w:next w:val="1"/>
    <w:uiPriority w:val="0"/>
    <w:pPr>
      <w:ind w:left="420" w:leftChars="200"/>
    </w:pPr>
  </w:style>
  <w:style w:type="paragraph" w:styleId="18">
    <w:name w:val="Body Text 2"/>
    <w:basedOn w:val="1"/>
    <w:uiPriority w:val="0"/>
    <w:rPr>
      <w:bCs/>
      <w:color w:val="000000"/>
      <w:sz w:val="28"/>
    </w:rPr>
  </w:style>
  <w:style w:type="paragraph" w:styleId="19">
    <w:name w:val="Normal (Web)"/>
    <w:basedOn w:val="1"/>
    <w:uiPriority w:val="0"/>
    <w:pPr>
      <w:spacing w:before="100" w:beforeAutospacing="1" w:after="100" w:afterAutospacing="1"/>
      <w:ind w:left="0" w:right="0"/>
      <w:jc w:val="left"/>
    </w:pPr>
    <w:rPr>
      <w:kern w:val="0"/>
      <w:sz w:val="24"/>
      <w:lang w:val="en-US" w:eastAsia="zh-CN" w:bidi="ar"/>
    </w:rPr>
  </w:style>
  <w:style w:type="table" w:styleId="21">
    <w:name w:val="Table Grid"/>
    <w:basedOn w:val="20"/>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uiPriority w:val="0"/>
  </w:style>
  <w:style w:type="character" w:styleId="25">
    <w:name w:val="Hyperlink"/>
    <w:basedOn w:val="22"/>
    <w:uiPriority w:val="0"/>
    <w:rPr>
      <w:color w:val="0000FF"/>
      <w:u w:val="single"/>
    </w:rPr>
  </w:style>
  <w:style w:type="paragraph" w:customStyle="1" w:styleId="26">
    <w:name w:val="font10"/>
    <w:basedOn w:val="1"/>
    <w:uiPriority w:val="0"/>
    <w:pPr>
      <w:widowControl/>
      <w:spacing w:before="100" w:beforeAutospacing="1" w:after="100" w:afterAutospacing="1"/>
      <w:jc w:val="left"/>
    </w:pPr>
    <w:rPr>
      <w:kern w:val="0"/>
      <w:sz w:val="20"/>
      <w:szCs w:val="20"/>
    </w:rPr>
  </w:style>
  <w:style w:type="paragraph" w:customStyle="1" w:styleId="27">
    <w:name w:val=" Char"/>
    <w:basedOn w:val="1"/>
    <w:uiPriority w:val="0"/>
    <w:rPr>
      <w:rFonts w:ascii="Tahoma" w:hAnsi="Tahoma"/>
      <w:sz w:val="24"/>
      <w:szCs w:val="20"/>
    </w:rPr>
  </w:style>
  <w:style w:type="paragraph" w:customStyle="1" w:styleId="28">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0">
    <w:name w:val="font7"/>
    <w:basedOn w:val="1"/>
    <w:uiPriority w:val="0"/>
    <w:pPr>
      <w:widowControl/>
      <w:spacing w:before="100" w:beforeAutospacing="1" w:after="100" w:afterAutospacing="1"/>
      <w:jc w:val="left"/>
    </w:pPr>
    <w:rPr>
      <w:kern w:val="0"/>
      <w:sz w:val="24"/>
    </w:rPr>
  </w:style>
  <w:style w:type="paragraph" w:customStyle="1" w:styleId="31">
    <w:name w:val="font8"/>
    <w:basedOn w:val="1"/>
    <w:uiPriority w:val="0"/>
    <w:pPr>
      <w:widowControl/>
      <w:spacing w:before="100" w:beforeAutospacing="1" w:after="100" w:afterAutospacing="1"/>
      <w:jc w:val="left"/>
    </w:pPr>
    <w:rPr>
      <w:rFonts w:hint="eastAsia" w:ascii="宋体" w:hAnsi="宋体"/>
      <w:kern w:val="0"/>
      <w:sz w:val="28"/>
      <w:szCs w:val="28"/>
    </w:rPr>
  </w:style>
  <w:style w:type="paragraph" w:customStyle="1" w:styleId="32">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33">
    <w:name w:val="样式1"/>
    <w:basedOn w:val="1"/>
    <w:uiPriority w:val="0"/>
  </w:style>
  <w:style w:type="paragraph" w:customStyle="1" w:styleId="34">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35">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6">
    <w:name w:val="font9"/>
    <w:basedOn w:val="1"/>
    <w:uiPriority w:val="0"/>
    <w:pPr>
      <w:widowControl/>
      <w:spacing w:before="100" w:beforeAutospacing="1" w:after="100" w:afterAutospacing="1"/>
      <w:jc w:val="left"/>
    </w:pPr>
    <w:rPr>
      <w:kern w:val="0"/>
      <w:sz w:val="28"/>
      <w:szCs w:val="28"/>
    </w:rPr>
  </w:style>
  <w:style w:type="paragraph" w:customStyle="1" w:styleId="37">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8">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39">
    <w:name w:val="xl45"/>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0">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41">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4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4"/>
    </w:rPr>
  </w:style>
  <w:style w:type="paragraph" w:customStyle="1" w:styleId="43">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0"/>
      <w:szCs w:val="20"/>
    </w:rPr>
  </w:style>
  <w:style w:type="paragraph" w:customStyle="1" w:styleId="4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24"/>
    </w:rPr>
  </w:style>
  <w:style w:type="paragraph" w:customStyle="1" w:styleId="45">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6">
    <w:name w:val="xl47"/>
    <w:basedOn w:val="1"/>
    <w:uiPriority w:val="0"/>
    <w:pPr>
      <w:widowControl/>
      <w:spacing w:before="100" w:beforeAutospacing="1" w:after="100" w:afterAutospacing="1"/>
      <w:jc w:val="center"/>
    </w:pPr>
    <w:rPr>
      <w:rFonts w:ascii="宋体" w:hAnsi="宋体"/>
      <w:kern w:val="0"/>
      <w:sz w:val="24"/>
    </w:rPr>
  </w:style>
  <w:style w:type="paragraph" w:customStyle="1" w:styleId="47">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8">
    <w:name w:val="xl4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9">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0">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51">
    <w:name w:val="xl4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52">
    <w:name w:val="xl4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3">
    <w:name w:val="xl40"/>
    <w:basedOn w:val="1"/>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54">
    <w:name w:val="font5"/>
    <w:basedOn w:val="1"/>
    <w:uiPriority w:val="0"/>
    <w:pPr>
      <w:widowControl/>
      <w:spacing w:before="100" w:beforeAutospacing="1" w:after="100" w:afterAutospacing="1"/>
      <w:jc w:val="left"/>
    </w:pPr>
    <w:rPr>
      <w:rFonts w:hint="eastAsia" w:ascii="宋体" w:hAnsi="宋体"/>
      <w:kern w:val="0"/>
      <w:sz w:val="24"/>
    </w:rPr>
  </w:style>
  <w:style w:type="paragraph" w:customStyle="1" w:styleId="55">
    <w:name w:val="xl33"/>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6">
    <w:name w:val="xl39"/>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57">
    <w:name w:val="xl4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8">
    <w:name w:val="_Style 12"/>
    <w:basedOn w:val="1"/>
    <w:next w:val="9"/>
    <w:uiPriority w:val="0"/>
    <w:rPr>
      <w:rFonts w:ascii="宋体" w:hAnsi="Courier New"/>
      <w:sz w:val="28"/>
      <w:szCs w:val="20"/>
    </w:rPr>
  </w:style>
  <w:style w:type="paragraph" w:customStyle="1" w:styleId="59">
    <w:name w:val="xl48"/>
    <w:basedOn w:val="1"/>
    <w:uiPriority w:val="0"/>
    <w:pPr>
      <w:widowControl/>
      <w:spacing w:before="100" w:beforeAutospacing="1" w:after="100" w:afterAutospacing="1"/>
      <w:jc w:val="center"/>
    </w:pPr>
    <w:rPr>
      <w:rFonts w:ascii="宋体" w:hAnsi="宋体"/>
      <w:kern w:val="0"/>
      <w:sz w:val="24"/>
    </w:rPr>
  </w:style>
  <w:style w:type="paragraph" w:customStyle="1" w:styleId="60">
    <w:name w:val="font11"/>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61">
    <w:name w:val="font0"/>
    <w:basedOn w:val="1"/>
    <w:uiPriority w:val="0"/>
    <w:pPr>
      <w:widowControl/>
      <w:spacing w:before="100" w:beforeAutospacing="1" w:after="100" w:afterAutospacing="1"/>
      <w:jc w:val="left"/>
    </w:pPr>
    <w:rPr>
      <w:rFonts w:hint="eastAsia" w:ascii="宋体" w:hAnsi="宋体"/>
      <w:kern w:val="0"/>
      <w:sz w:val="24"/>
    </w:rPr>
  </w:style>
  <w:style w:type="paragraph" w:customStyle="1" w:styleId="62">
    <w:name w:val="xl41"/>
    <w:basedOn w:val="1"/>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63">
    <w:name w:val="xl3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character" w:customStyle="1" w:styleId="64">
    <w:name w:val="font51"/>
    <w:basedOn w:val="22"/>
    <w:uiPriority w:val="0"/>
    <w:rPr>
      <w:rFonts w:hint="eastAsia" w:ascii="宋体" w:hAnsi="宋体" w:eastAsia="宋体" w:cs="宋体"/>
      <w:color w:val="000000"/>
      <w:sz w:val="20"/>
      <w:szCs w:val="20"/>
      <w:u w:val="none"/>
    </w:rPr>
  </w:style>
  <w:style w:type="character" w:customStyle="1" w:styleId="65">
    <w:name w:val="font61"/>
    <w:basedOn w:val="22"/>
    <w:uiPriority w:val="0"/>
    <w:rPr>
      <w:rFonts w:hint="eastAsia" w:ascii="宋体" w:hAnsi="宋体" w:eastAsia="宋体" w:cs="宋体"/>
      <w:color w:val="000000"/>
      <w:sz w:val="20"/>
      <w:szCs w:val="20"/>
      <w:u w:val="none"/>
    </w:rPr>
  </w:style>
  <w:style w:type="character" w:customStyle="1" w:styleId="66">
    <w:name w:val="font01"/>
    <w:basedOn w:val="22"/>
    <w:uiPriority w:val="0"/>
    <w:rPr>
      <w:rFonts w:hint="eastAsia" w:ascii="宋体" w:hAnsi="宋体" w:eastAsia="宋体" w:cs="宋体"/>
      <w:color w:val="auto"/>
      <w:sz w:val="24"/>
      <w:szCs w:val="24"/>
      <w:u w:val="none"/>
    </w:rPr>
  </w:style>
  <w:style w:type="character" w:customStyle="1" w:styleId="67">
    <w:name w:val="font81"/>
    <w:basedOn w:val="22"/>
    <w:uiPriority w:val="0"/>
    <w:rPr>
      <w:rFonts w:hint="eastAsia" w:ascii="宋体" w:hAnsi="宋体" w:eastAsia="宋体" w:cs="宋体"/>
      <w:color w:val="000000"/>
      <w:sz w:val="20"/>
      <w:szCs w:val="20"/>
      <w:u w:val="none"/>
    </w:rPr>
  </w:style>
  <w:style w:type="character" w:customStyle="1" w:styleId="68">
    <w:name w:val="apple-converted-space"/>
    <w:basedOn w:val="22"/>
    <w:uiPriority w:val="0"/>
  </w:style>
  <w:style w:type="character" w:customStyle="1" w:styleId="69">
    <w:name w:val="description"/>
    <w:basedOn w:val="22"/>
    <w:uiPriority w:val="0"/>
  </w:style>
  <w:style w:type="character" w:customStyle="1" w:styleId="70">
    <w:name w:val="标题 1 Char"/>
    <w:link w:val="2"/>
    <w:uiPriority w:val="0"/>
    <w:rPr>
      <w:rFonts w:eastAsia="仿宋_GB2312"/>
      <w:b/>
      <w:kern w:val="2"/>
      <w:sz w:val="36"/>
      <w:szCs w:val="28"/>
      <w:lang w:val="en-US" w:eastAsia="zh-CN" w:bidi="ar-SA"/>
    </w:rPr>
  </w:style>
  <w:style w:type="character" w:customStyle="1" w:styleId="71">
    <w:name w:val="标题 2 Char"/>
    <w:link w:val="3"/>
    <w:uiPriority w:val="0"/>
    <w:rPr>
      <w:rFonts w:ascii="Arial" w:hAnsi="Arial" w:eastAsia="仿宋_GB2312"/>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mhy</Company>
  <Pages>1</Pages>
  <Words>1231</Words>
  <Characters>7021</Characters>
  <Lines>58</Lines>
  <Paragraphs>16</Paragraphs>
  <TotalTime>1</TotalTime>
  <ScaleCrop>false</ScaleCrop>
  <LinksUpToDate>false</LinksUpToDate>
  <CharactersWithSpaces>8236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2015-12-23T03:17:00Z</dcterms:created>
  <dc:creator>www</dc:creator>
  <cp:lastModifiedBy>admin</cp:lastModifiedBy>
  <cp:lastPrinted>2019-09-05T08:49:00Z</cp:lastPrinted>
  <dcterms:modified xsi:type="dcterms:W3CDTF">2019-11-21T03:53:05Z</dcterms:modified>
  <dc:title>河北正达房地产评估事务所有限责任公司</dc:title>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