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default" w:ascii="Times New Roman" w:hAnsi="Times New Roman" w:eastAsia="仿宋" w:cs="Times New Roman"/>
          <w:b/>
          <w:bCs/>
          <w:color w:val="auto"/>
          <w:sz w:val="52"/>
        </w:rPr>
      </w:pPr>
      <w:r>
        <w:rPr>
          <w:rFonts w:hint="default" w:ascii="Times New Roman" w:hAnsi="Times New Roman" w:eastAsia="仿宋" w:cs="Times New Roman"/>
          <w:b/>
          <w:bCs/>
          <w:color w:val="auto"/>
          <w:sz w:val="52"/>
        </w:rPr>
        <w:t>房地产估价报告</w:t>
      </w:r>
    </w:p>
    <w:p>
      <w:pPr>
        <w:spacing w:line="720" w:lineRule="auto"/>
        <w:jc w:val="both"/>
        <w:rPr>
          <w:rFonts w:hint="default" w:ascii="Times New Roman" w:hAnsi="Times New Roman" w:eastAsia="仿宋" w:cs="Times New Roman"/>
          <w:b/>
          <w:bCs/>
          <w:color w:val="auto"/>
          <w:sz w:val="52"/>
        </w:rPr>
      </w:pPr>
    </w:p>
    <w:p>
      <w:pPr>
        <w:spacing w:line="360" w:lineRule="auto"/>
        <w:rPr>
          <w:rFonts w:hint="default" w:ascii="Times New Roman" w:hAnsi="Times New Roman" w:eastAsia="仿宋" w:cs="Times New Roman"/>
          <w:color w:val="auto"/>
          <w:sz w:val="28"/>
        </w:rPr>
      </w:pPr>
    </w:p>
    <w:tbl>
      <w:tblPr>
        <w:tblStyle w:val="7"/>
        <w:tblW w:w="7588" w:type="dxa"/>
        <w:jc w:val="center"/>
        <w:tblLayout w:type="fixed"/>
        <w:tblCellMar>
          <w:top w:w="0" w:type="dxa"/>
          <w:left w:w="108" w:type="dxa"/>
          <w:bottom w:w="0" w:type="dxa"/>
          <w:right w:w="108" w:type="dxa"/>
        </w:tblCellMar>
      </w:tblPr>
      <w:tblGrid>
        <w:gridCol w:w="2641"/>
        <w:gridCol w:w="4947"/>
      </w:tblGrid>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项目名称</w:t>
            </w:r>
            <w:r>
              <w:rPr>
                <w:rFonts w:eastAsia="仿宋"/>
                <w:color w:val="auto"/>
                <w:kern w:val="0"/>
                <w:sz w:val="28"/>
                <w:szCs w:val="28"/>
              </w:rPr>
              <w:t>：</w:t>
            </w: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r>
              <w:rPr>
                <w:rFonts w:hint="eastAsia" w:eastAsia="仿宋"/>
                <w:color w:val="auto"/>
                <w:kern w:val="0"/>
                <w:sz w:val="28"/>
                <w:szCs w:val="28"/>
                <w:lang w:eastAsia="zh-CN"/>
              </w:rPr>
              <w:t>贵州省水城县双水新区钟山东路北侧，高林路以东世纪雅苑2幢3单元9层909号</w:t>
            </w:r>
            <w:r>
              <w:rPr>
                <w:rFonts w:hint="eastAsia" w:eastAsia="仿宋"/>
                <w:color w:val="auto"/>
                <w:kern w:val="0"/>
                <w:sz w:val="28"/>
                <w:szCs w:val="28"/>
                <w:lang w:val="en-US" w:eastAsia="zh-CN"/>
              </w:rPr>
              <w:t>姚雪宝所有的住宅</w:t>
            </w:r>
            <w:r>
              <w:rPr>
                <w:rFonts w:hint="eastAsia" w:eastAsia="仿宋"/>
                <w:color w:val="auto"/>
                <w:kern w:val="0"/>
                <w:sz w:val="28"/>
                <w:szCs w:val="28"/>
              </w:rPr>
              <w:t>用房</w:t>
            </w:r>
            <w:r>
              <w:rPr>
                <w:rFonts w:eastAsia="仿宋"/>
                <w:color w:val="auto"/>
                <w:kern w:val="0"/>
                <w:sz w:val="28"/>
                <w:szCs w:val="28"/>
              </w:rPr>
              <w:t>市场价值评估</w:t>
            </w:r>
          </w:p>
        </w:tc>
      </w:tr>
      <w:tr>
        <w:tblPrEx>
          <w:tblCellMar>
            <w:top w:w="0" w:type="dxa"/>
            <w:left w:w="108" w:type="dxa"/>
            <w:bottom w:w="0" w:type="dxa"/>
            <w:right w:w="108" w:type="dxa"/>
          </w:tblCellMar>
        </w:tblPrEx>
        <w:trPr>
          <w:trHeight w:val="343"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委托方</w:t>
            </w:r>
            <w:r>
              <w:rPr>
                <w:rFonts w:eastAsia="仿宋"/>
                <w:color w:val="auto"/>
                <w:kern w:val="0"/>
                <w:sz w:val="28"/>
                <w:szCs w:val="28"/>
              </w:rPr>
              <w:t>：</w:t>
            </w:r>
          </w:p>
        </w:tc>
        <w:tc>
          <w:tcPr>
            <w:tcW w:w="4947" w:type="dxa"/>
            <w:tcBorders>
              <w:top w:val="nil"/>
              <w:left w:val="nil"/>
              <w:bottom w:val="nil"/>
              <w:right w:val="nil"/>
            </w:tcBorders>
            <w:vAlign w:val="top"/>
          </w:tcPr>
          <w:p>
            <w:pPr>
              <w:widowControl/>
              <w:overflowPunct w:val="0"/>
              <w:topLinePunct/>
              <w:jc w:val="left"/>
              <w:rPr>
                <w:rFonts w:hint="eastAsia" w:eastAsia="仿宋"/>
                <w:color w:val="auto"/>
                <w:kern w:val="0"/>
                <w:sz w:val="28"/>
                <w:szCs w:val="28"/>
                <w:lang w:eastAsia="zh-CN"/>
              </w:rPr>
            </w:pPr>
            <w:r>
              <w:rPr>
                <w:rFonts w:hint="eastAsia" w:eastAsia="仿宋"/>
                <w:color w:val="auto"/>
                <w:kern w:val="0"/>
                <w:sz w:val="28"/>
                <w:szCs w:val="28"/>
                <w:lang w:eastAsia="zh-CN"/>
              </w:rPr>
              <w:t>贵州省六盘水市钟山区人民法院</w:t>
            </w:r>
          </w:p>
        </w:tc>
      </w:tr>
      <w:tr>
        <w:tblPrEx>
          <w:tblCellMar>
            <w:top w:w="0" w:type="dxa"/>
            <w:left w:w="108" w:type="dxa"/>
            <w:bottom w:w="0" w:type="dxa"/>
            <w:right w:w="108" w:type="dxa"/>
          </w:tblCellMar>
        </w:tblPrEx>
        <w:trPr>
          <w:trHeight w:val="358"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auto"/>
                <w:kern w:val="0"/>
                <w:sz w:val="28"/>
                <w:szCs w:val="28"/>
              </w:rPr>
            </w:pP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估价方</w:t>
            </w:r>
            <w:r>
              <w:rPr>
                <w:rFonts w:eastAsia="仿宋"/>
                <w:color w:val="auto"/>
                <w:kern w:val="0"/>
                <w:sz w:val="28"/>
                <w:szCs w:val="28"/>
              </w:rPr>
              <w:t>：</w:t>
            </w: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r>
              <w:rPr>
                <w:rFonts w:eastAsia="仿宋"/>
                <w:color w:val="auto"/>
                <w:kern w:val="0"/>
                <w:sz w:val="28"/>
                <w:szCs w:val="28"/>
              </w:rPr>
              <w:t>贵州</w:t>
            </w:r>
            <w:r>
              <w:rPr>
                <w:rFonts w:hint="eastAsia" w:eastAsia="仿宋"/>
                <w:color w:val="auto"/>
                <w:kern w:val="0"/>
                <w:sz w:val="28"/>
                <w:szCs w:val="28"/>
                <w:lang w:eastAsia="zh-CN"/>
              </w:rPr>
              <w:t>昊远</w:t>
            </w:r>
            <w:r>
              <w:rPr>
                <w:rFonts w:eastAsia="仿宋"/>
                <w:color w:val="auto"/>
                <w:kern w:val="0"/>
                <w:sz w:val="28"/>
                <w:szCs w:val="28"/>
              </w:rPr>
              <w:t>房地产</w:t>
            </w:r>
            <w:r>
              <w:rPr>
                <w:rFonts w:hint="eastAsia" w:eastAsia="仿宋"/>
                <w:color w:val="auto"/>
                <w:kern w:val="0"/>
                <w:sz w:val="28"/>
                <w:szCs w:val="28"/>
                <w:lang w:eastAsia="zh-CN"/>
              </w:rPr>
              <w:t>土地评估</w:t>
            </w:r>
            <w:r>
              <w:rPr>
                <w:rFonts w:eastAsia="仿宋"/>
                <w:color w:val="auto"/>
                <w:kern w:val="0"/>
                <w:sz w:val="28"/>
                <w:szCs w:val="28"/>
              </w:rPr>
              <w:t>有限公司</w:t>
            </w:r>
          </w:p>
        </w:tc>
      </w:tr>
      <w:tr>
        <w:tblPrEx>
          <w:tblCellMar>
            <w:top w:w="0" w:type="dxa"/>
            <w:left w:w="108" w:type="dxa"/>
            <w:bottom w:w="0" w:type="dxa"/>
            <w:right w:w="108" w:type="dxa"/>
          </w:tblCellMar>
        </w:tblPrEx>
        <w:trPr>
          <w:trHeight w:val="403"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auto"/>
                <w:kern w:val="0"/>
                <w:sz w:val="28"/>
                <w:szCs w:val="28"/>
              </w:rPr>
            </w:pP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估价人员</w:t>
            </w:r>
            <w:r>
              <w:rPr>
                <w:rFonts w:eastAsia="仿宋"/>
                <w:color w:val="auto"/>
                <w:kern w:val="0"/>
                <w:sz w:val="28"/>
                <w:szCs w:val="28"/>
              </w:rPr>
              <w:t>：</w:t>
            </w:r>
          </w:p>
        </w:tc>
        <w:tc>
          <w:tcPr>
            <w:tcW w:w="4947" w:type="dxa"/>
            <w:tcBorders>
              <w:top w:val="nil"/>
              <w:left w:val="nil"/>
              <w:bottom w:val="nil"/>
              <w:right w:val="nil"/>
            </w:tcBorders>
            <w:vAlign w:val="top"/>
          </w:tcPr>
          <w:p>
            <w:pPr>
              <w:rPr>
                <w:rFonts w:hint="eastAsia" w:eastAsia="仿宋"/>
                <w:color w:val="auto"/>
                <w:lang w:eastAsia="zh-CN"/>
              </w:rPr>
            </w:pPr>
            <w:r>
              <w:rPr>
                <w:rFonts w:hint="eastAsia" w:eastAsia="仿宋"/>
                <w:color w:val="auto"/>
                <w:kern w:val="0"/>
                <w:sz w:val="28"/>
                <w:szCs w:val="28"/>
                <w:lang w:eastAsia="zh-CN"/>
              </w:rPr>
              <w:t>覃剑、谭万场</w:t>
            </w:r>
          </w:p>
        </w:tc>
      </w:tr>
      <w:tr>
        <w:tblPrEx>
          <w:tblCellMar>
            <w:top w:w="0" w:type="dxa"/>
            <w:left w:w="108" w:type="dxa"/>
            <w:bottom w:w="0" w:type="dxa"/>
            <w:right w:w="108" w:type="dxa"/>
          </w:tblCellMar>
        </w:tblPrEx>
        <w:trPr>
          <w:trHeight w:val="263"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auto"/>
                <w:kern w:val="0"/>
                <w:sz w:val="28"/>
                <w:szCs w:val="28"/>
              </w:rPr>
            </w:pP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估价</w:t>
            </w:r>
            <w:r>
              <w:rPr>
                <w:rFonts w:hint="eastAsia" w:eastAsia="仿宋"/>
                <w:b/>
                <w:bCs/>
                <w:color w:val="auto"/>
                <w:kern w:val="0"/>
                <w:sz w:val="28"/>
                <w:szCs w:val="28"/>
                <w:lang w:eastAsia="zh-CN"/>
              </w:rPr>
              <w:t>报告出具</w:t>
            </w:r>
            <w:r>
              <w:rPr>
                <w:rFonts w:eastAsia="仿宋"/>
                <w:b/>
                <w:bCs/>
                <w:color w:val="auto"/>
                <w:kern w:val="0"/>
                <w:sz w:val="28"/>
                <w:szCs w:val="28"/>
              </w:rPr>
              <w:t>日期</w:t>
            </w:r>
            <w:r>
              <w:rPr>
                <w:rFonts w:eastAsia="仿宋"/>
                <w:color w:val="auto"/>
                <w:kern w:val="0"/>
                <w:sz w:val="28"/>
                <w:szCs w:val="28"/>
              </w:rPr>
              <w:t>：</w:t>
            </w:r>
          </w:p>
        </w:tc>
        <w:tc>
          <w:tcPr>
            <w:tcW w:w="4947" w:type="dxa"/>
            <w:tcBorders>
              <w:top w:val="nil"/>
              <w:left w:val="nil"/>
              <w:bottom w:val="nil"/>
              <w:right w:val="nil"/>
            </w:tcBorders>
            <w:vAlign w:val="top"/>
          </w:tcPr>
          <w:p>
            <w:pPr>
              <w:widowControl/>
              <w:overflowPunct w:val="0"/>
              <w:topLinePunct/>
              <w:jc w:val="left"/>
              <w:rPr>
                <w:rFonts w:hint="eastAsia" w:eastAsia="仿宋"/>
                <w:color w:val="auto"/>
                <w:kern w:val="0"/>
                <w:sz w:val="28"/>
                <w:szCs w:val="28"/>
                <w:lang w:eastAsia="zh-CN"/>
              </w:rPr>
            </w:pPr>
            <w:r>
              <w:rPr>
                <w:rFonts w:hint="eastAsia" w:ascii="Times New Roman" w:hAnsi="Times New Roman" w:eastAsia="仿宋" w:cs="Times New Roman"/>
                <w:color w:val="auto"/>
                <w:sz w:val="28"/>
                <w:szCs w:val="28"/>
                <w:lang w:eastAsia="zh-CN"/>
              </w:rPr>
              <w:t>2019年10月22日</w:t>
            </w:r>
          </w:p>
        </w:tc>
      </w:tr>
      <w:tr>
        <w:tblPrEx>
          <w:tblCellMar>
            <w:top w:w="0" w:type="dxa"/>
            <w:left w:w="108" w:type="dxa"/>
            <w:bottom w:w="0" w:type="dxa"/>
            <w:right w:w="108" w:type="dxa"/>
          </w:tblCellMar>
        </w:tblPrEx>
        <w:trPr>
          <w:trHeight w:val="321" w:hRule="atLeast"/>
          <w:jc w:val="center"/>
        </w:trPr>
        <w:tc>
          <w:tcPr>
            <w:tcW w:w="2641" w:type="dxa"/>
            <w:tcBorders>
              <w:top w:val="nil"/>
              <w:left w:val="nil"/>
              <w:bottom w:val="nil"/>
              <w:right w:val="nil"/>
            </w:tcBorders>
            <w:vAlign w:val="top"/>
          </w:tcPr>
          <w:p>
            <w:pPr>
              <w:widowControl/>
              <w:overflowPunct w:val="0"/>
              <w:topLinePunct/>
              <w:jc w:val="distribute"/>
              <w:rPr>
                <w:rFonts w:eastAsia="仿宋"/>
                <w:color w:val="auto"/>
                <w:kern w:val="0"/>
                <w:sz w:val="28"/>
                <w:szCs w:val="28"/>
              </w:rPr>
            </w:pP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p>
        </w:tc>
      </w:tr>
      <w:tr>
        <w:tblPrEx>
          <w:tblCellMar>
            <w:top w:w="0" w:type="dxa"/>
            <w:left w:w="108" w:type="dxa"/>
            <w:bottom w:w="0" w:type="dxa"/>
            <w:right w:w="108" w:type="dxa"/>
          </w:tblCellMar>
        </w:tblPrEx>
        <w:trPr>
          <w:trHeight w:val="825" w:hRule="atLeast"/>
          <w:jc w:val="center"/>
        </w:trPr>
        <w:tc>
          <w:tcPr>
            <w:tcW w:w="2641" w:type="dxa"/>
            <w:tcBorders>
              <w:top w:val="nil"/>
              <w:left w:val="nil"/>
              <w:bottom w:val="nil"/>
              <w:right w:val="nil"/>
            </w:tcBorders>
            <w:vAlign w:val="top"/>
          </w:tcPr>
          <w:p>
            <w:pPr>
              <w:widowControl/>
              <w:overflowPunct w:val="0"/>
              <w:topLinePunct/>
              <w:jc w:val="distribute"/>
              <w:rPr>
                <w:rFonts w:eastAsia="仿宋"/>
                <w:b/>
                <w:bCs/>
                <w:color w:val="auto"/>
                <w:kern w:val="0"/>
                <w:sz w:val="28"/>
                <w:szCs w:val="28"/>
              </w:rPr>
            </w:pPr>
            <w:r>
              <w:rPr>
                <w:rFonts w:eastAsia="仿宋"/>
                <w:b/>
                <w:bCs/>
                <w:color w:val="auto"/>
                <w:kern w:val="0"/>
                <w:sz w:val="28"/>
                <w:szCs w:val="28"/>
              </w:rPr>
              <w:t>估价报告编号</w:t>
            </w:r>
            <w:r>
              <w:rPr>
                <w:rFonts w:eastAsia="仿宋"/>
                <w:color w:val="auto"/>
                <w:kern w:val="0"/>
                <w:sz w:val="28"/>
                <w:szCs w:val="28"/>
              </w:rPr>
              <w:t>：</w:t>
            </w:r>
          </w:p>
        </w:tc>
        <w:tc>
          <w:tcPr>
            <w:tcW w:w="4947" w:type="dxa"/>
            <w:tcBorders>
              <w:top w:val="nil"/>
              <w:left w:val="nil"/>
              <w:bottom w:val="nil"/>
              <w:right w:val="nil"/>
            </w:tcBorders>
            <w:vAlign w:val="top"/>
          </w:tcPr>
          <w:p>
            <w:pPr>
              <w:widowControl/>
              <w:overflowPunct w:val="0"/>
              <w:topLinePunct/>
              <w:jc w:val="left"/>
              <w:rPr>
                <w:rFonts w:eastAsia="仿宋"/>
                <w:color w:val="auto"/>
                <w:kern w:val="0"/>
                <w:sz w:val="28"/>
                <w:szCs w:val="28"/>
              </w:rPr>
            </w:pPr>
            <w:r>
              <w:rPr>
                <w:rFonts w:hint="eastAsia" w:ascii="Times New Roman" w:hAnsi="Times New Roman" w:eastAsia="仿宋" w:cs="Times New Roman"/>
                <w:color w:val="auto"/>
                <w:sz w:val="28"/>
                <w:szCs w:val="28"/>
                <w:lang w:eastAsia="zh-CN"/>
              </w:rPr>
              <w:t>黔昊远房估字（2019）10031号</w:t>
            </w:r>
            <w:r>
              <w:rPr>
                <w:rFonts w:hint="default" w:ascii="Times New Roman" w:hAnsi="Times New Roman" w:eastAsia="仿宋" w:cs="Times New Roman"/>
                <w:color w:val="auto"/>
              </w:rPr>
              <w:t xml:space="preserve"> </w:t>
            </w:r>
          </w:p>
        </w:tc>
      </w:tr>
    </w:tbl>
    <w:p>
      <w:pPr>
        <w:widowControl/>
        <w:jc w:val="left"/>
        <w:rPr>
          <w:rFonts w:hint="default" w:ascii="Times New Roman" w:hAnsi="Times New Roman" w:eastAsia="仿宋" w:cs="Times New Roman"/>
          <w:color w:val="auto"/>
        </w:rPr>
      </w:pPr>
    </w:p>
    <w:p>
      <w:pPr>
        <w:jc w:val="both"/>
        <w:rPr>
          <w:rFonts w:hint="default" w:ascii="Times New Roman" w:hAnsi="Times New Roman" w:eastAsia="仿宋" w:cs="Times New Roman"/>
          <w:color w:val="auto"/>
          <w:sz w:val="28"/>
          <w:lang w:val="zh-CN"/>
        </w:rPr>
      </w:pPr>
      <w:r>
        <w:rPr>
          <w:rFonts w:hint="default" w:ascii="Times New Roman" w:hAnsi="Times New Roman" w:eastAsia="仿宋" w:cs="Times New Roman"/>
          <w:color w:val="auto"/>
        </w:rPr>
        <mc:AlternateContent>
          <mc:Choice Requires="wps">
            <w:drawing>
              <wp:anchor distT="0" distB="0" distL="114300" distR="114300" simplePos="0" relativeHeight="251659264" behindDoc="0" locked="0" layoutInCell="1" allowOverlap="1">
                <wp:simplePos x="0" y="0"/>
                <wp:positionH relativeFrom="column">
                  <wp:posOffset>3983355</wp:posOffset>
                </wp:positionH>
                <wp:positionV relativeFrom="paragraph">
                  <wp:posOffset>8117840</wp:posOffset>
                </wp:positionV>
                <wp:extent cx="2493645" cy="393065"/>
                <wp:effectExtent l="4445" t="4445" r="16510" b="21590"/>
                <wp:wrapNone/>
                <wp:docPr id="4" name="Text Box 14"/>
                <wp:cNvGraphicFramePr/>
                <a:graphic xmlns:a="http://schemas.openxmlformats.org/drawingml/2006/main">
                  <a:graphicData uri="http://schemas.microsoft.com/office/word/2010/wordprocessingShape">
                    <wps:wsp>
                      <wps:cNvSpPr txBox="1"/>
                      <wps:spPr>
                        <a:xfrm>
                          <a:off x="0" y="0"/>
                          <a:ext cx="2493645" cy="393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wps:txbx>
                      <wps:bodyPr upright="1"/>
                    </wps:wsp>
                  </a:graphicData>
                </a:graphic>
              </wp:anchor>
            </w:drawing>
          </mc:Choice>
          <mc:Fallback>
            <w:pict>
              <v:shape id="Text Box 14" o:spid="_x0000_s1026" o:spt="202" type="#_x0000_t202" style="position:absolute;left:0pt;margin-left:313.65pt;margin-top:639.2pt;height:30.95pt;width:196.35pt;z-index:251659264;mso-width-relative:page;mso-height-relative:page;" fillcolor="#FFFFFF" filled="t" stroked="t" coordsize="21600,21600" o:gfxdata="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YgSVNoAAAAO&#10;AQAADwAAAAAAAAABACAAAAAiAAAAZHJzL2Rvd25yZXYueG1sUEsBAhQAFAAAAAgAh07iQFmcVRDh&#10;AQAA6AMAAA4AAAAAAAAAAQAgAAAAKQEAAGRycy9lMm9Eb2MueG1sUEsFBgAAAAAGAAYAWQEAAHwF&#10;AAAAAA==&#10;">
                <v:fill on="t" focussize="0,0"/>
                <v:stroke color="#000000" joinstyle="miter"/>
                <v:imagedata o:title=""/>
                <o:lock v:ext="edit" aspectratio="f"/>
                <v:textbo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v:textbox>
              </v:shape>
            </w:pict>
          </mc:Fallback>
        </mc:AlternateContent>
      </w:r>
      <w:r>
        <w:rPr>
          <w:rFonts w:hint="default" w:ascii="Times New Roman" w:hAnsi="Times New Roman" w:eastAsia="仿宋" w:cs="Times New Roman"/>
          <w:color w:val="auto"/>
          <w:sz w:val="28"/>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8117840</wp:posOffset>
                </wp:positionV>
                <wp:extent cx="2466975" cy="393700"/>
                <wp:effectExtent l="5080" t="5080" r="4445" b="20320"/>
                <wp:wrapNone/>
                <wp:docPr id="7" name="Text Box 7"/>
                <wp:cNvGraphicFramePr/>
                <a:graphic xmlns:a="http://schemas.openxmlformats.org/drawingml/2006/main">
                  <a:graphicData uri="http://schemas.microsoft.com/office/word/2010/wordprocessingShape">
                    <wps:wsp>
                      <wps:cNvSpPr txBox="1"/>
                      <wps:spPr>
                        <a:xfrm>
                          <a:off x="0" y="0"/>
                          <a:ext cx="2466975" cy="393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wps:txbx>
                      <wps:bodyPr upright="1"/>
                    </wps:wsp>
                  </a:graphicData>
                </a:graphic>
              </wp:anchor>
            </w:drawing>
          </mc:Choice>
          <mc:Fallback>
            <w:pict>
              <v:shape id="Text Box 7" o:spid="_x0000_s1026" o:spt="202" type="#_x0000_t202" style="position:absolute;left:0pt;margin-left:1.55pt;margin-top:639.2pt;height:31pt;width:194.25pt;z-index:251658240;mso-width-relative:page;mso-height-relative:page;" fillcolor="#FFFFFF" filled="t" stroked="t" coordsize="21600,21600" o:gfxdata="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dapX2QAA&#10;AAsBAAAPAAAAAAAAAAEAIAAAACIAAABkcnMvZG93bnJldi54bWxQSwECFAAUAAAACACHTuJAPYtY&#10;qeQBAADnAwAADgAAAAAAAAABACAAAAAoAQAAZHJzL2Uyb0RvYy54bWxQSwUGAAAAAAYABgBZAQAA&#10;fgUAAAAA&#10;">
                <v:fill on="t" focussize="0,0"/>
                <v:stroke color="#000000" joinstyle="miter"/>
                <v:imagedata o:title=""/>
                <o:lock v:ext="edit" aspectratio="f"/>
                <v:textbox>
                  <w:txbxContent>
                    <w:p>
                      <w:pPr>
                        <w:jc w:val="center"/>
                        <w:rPr>
                          <w:rFonts w:hint="eastAsia" w:ascii="仿宋_GB2312" w:eastAsia="仿宋_GB2312"/>
                          <w:sz w:val="28"/>
                          <w:szCs w:val="28"/>
                        </w:rPr>
                      </w:pPr>
                      <w:r>
                        <w:rPr>
                          <w:rFonts w:hint="eastAsia" w:ascii="仿宋_GB2312" w:eastAsia="仿宋_GB2312"/>
                          <w:sz w:val="28"/>
                          <w:szCs w:val="28"/>
                        </w:rPr>
                        <w:t>估价对象图片</w:t>
                      </w:r>
                    </w:p>
                    <w:p>
                      <w:pPr>
                        <w:jc w:val="center"/>
                        <w:rPr>
                          <w:rFonts w:hint="eastAsia" w:ascii="仿宋_GB2312" w:eastAsia="仿宋_GB2312"/>
                          <w:sz w:val="28"/>
                          <w:szCs w:val="28"/>
                        </w:rPr>
                      </w:pPr>
                    </w:p>
                  </w:txbxContent>
                </v:textbox>
              </v:shape>
            </w:pict>
          </mc:Fallback>
        </mc:AlternateContent>
      </w:r>
      <w:r>
        <w:rPr>
          <w:rFonts w:hint="default" w:ascii="Times New Roman" w:hAnsi="Times New Roman" w:eastAsia="仿宋" w:cs="Times New Roman"/>
          <w:color w:val="auto"/>
          <w:sz w:val="28"/>
          <w:lang w:val="zh-CN"/>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8039735</wp:posOffset>
                </wp:positionV>
                <wp:extent cx="2582545" cy="416560"/>
                <wp:effectExtent l="4445" t="4445" r="22860" b="17145"/>
                <wp:wrapNone/>
                <wp:docPr id="1" name="Text Box 6"/>
                <wp:cNvGraphicFramePr/>
                <a:graphic xmlns:a="http://schemas.openxmlformats.org/drawingml/2006/main">
                  <a:graphicData uri="http://schemas.microsoft.com/office/word/2010/wordprocessingShape">
                    <wps:wsp>
                      <wps:cNvSpPr txBox="1"/>
                      <wps:spPr>
                        <a:xfrm>
                          <a:off x="0" y="0"/>
                          <a:ext cx="2582545" cy="416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right="84" w:rightChars="40"/>
                              <w:jc w:val="center"/>
                              <w:rPr>
                                <w:rFonts w:hint="eastAsia" w:ascii="仿宋_GB2312" w:eastAsia="仿宋_GB2312"/>
                                <w:sz w:val="28"/>
                                <w:szCs w:val="28"/>
                              </w:rPr>
                            </w:pPr>
                            <w:r>
                              <w:rPr>
                                <w:rFonts w:hint="eastAsia" w:ascii="仿宋_GB2312" w:eastAsia="仿宋_GB2312"/>
                                <w:sz w:val="28"/>
                                <w:szCs w:val="28"/>
                              </w:rPr>
                              <w:t>估价对象Ⅳ照片</w:t>
                            </w:r>
                          </w:p>
                        </w:txbxContent>
                      </wps:txbx>
                      <wps:bodyPr upright="1"/>
                    </wps:wsp>
                  </a:graphicData>
                </a:graphic>
              </wp:anchor>
            </w:drawing>
          </mc:Choice>
          <mc:Fallback>
            <w:pict>
              <v:shape id="Text Box 6" o:spid="_x0000_s1026" o:spt="202" type="#_x0000_t202" style="position:absolute;left:0pt;margin-left:157.9pt;margin-top:633.05pt;height:32.8pt;width:203.35pt;z-index:251662336;mso-width-relative:page;mso-height-relative:page;" fillcolor="#FFFFFF" filled="t" stroked="t" coordsize="21600,21600" o:gfxdata="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FN212wAA&#10;AA0BAAAPAAAAAAAAAAEAIAAAACIAAABkcnMvZG93bnJldi54bWxQSwECFAAUAAAACACHTuJA7K7h&#10;kuIBAADnAwAADgAAAAAAAAABACAAAAAqAQAAZHJzL2Uyb0RvYy54bWxQSwUGAAAAAAYABgBZAQAA&#10;fgUAAAAA&#10;">
                <v:fill on="t" focussize="0,0"/>
                <v:stroke color="#000000" joinstyle="miter"/>
                <v:imagedata o:title=""/>
                <o:lock v:ext="edit" aspectratio="f"/>
                <v:textbox>
                  <w:txbxContent>
                    <w:p>
                      <w:pPr>
                        <w:ind w:right="84" w:rightChars="40"/>
                        <w:jc w:val="center"/>
                        <w:rPr>
                          <w:rFonts w:hint="eastAsia" w:ascii="仿宋_GB2312" w:eastAsia="仿宋_GB2312"/>
                          <w:sz w:val="28"/>
                          <w:szCs w:val="28"/>
                        </w:rPr>
                      </w:pPr>
                      <w:r>
                        <w:rPr>
                          <w:rFonts w:hint="eastAsia" w:ascii="仿宋_GB2312" w:eastAsia="仿宋_GB2312"/>
                          <w:sz w:val="28"/>
                          <w:szCs w:val="28"/>
                        </w:rPr>
                        <w:t>估价对象Ⅳ照片</w:t>
                      </w:r>
                    </w:p>
                  </w:txbxContent>
                </v:textbox>
              </v:shape>
            </w:pict>
          </mc:Fallback>
        </mc:AlternateContent>
      </w:r>
    </w:p>
    <w:p>
      <w:pPr>
        <w:spacing w:before="725" w:beforeLines="250" w:line="360" w:lineRule="auto"/>
        <w:jc w:val="center"/>
        <w:rPr>
          <w:rFonts w:hint="eastAsia" w:eastAsia="仿宋_GB2312"/>
          <w:b w:val="0"/>
          <w:bCs/>
          <w:color w:val="auto"/>
          <w:sz w:val="52"/>
        </w:rPr>
      </w:pPr>
      <w:r>
        <w:rPr>
          <w:rFonts w:hint="eastAsia" w:eastAsia="仿宋_GB2312"/>
          <w:b w:val="0"/>
          <w:bCs/>
          <w:color w:val="auto"/>
          <w:sz w:val="52"/>
        </w:rPr>
        <w:t>目       录</w:t>
      </w:r>
    </w:p>
    <w:p>
      <w:pPr>
        <w:spacing w:line="360" w:lineRule="auto"/>
        <w:jc w:val="left"/>
        <w:rPr>
          <w:rFonts w:hint="eastAsia" w:eastAsia="仿宋_GB2312"/>
          <w:b w:val="0"/>
          <w:bCs/>
          <w:color w:val="auto"/>
          <w:sz w:val="28"/>
          <w:szCs w:val="28"/>
        </w:rPr>
      </w:pPr>
    </w:p>
    <w:p>
      <w:pPr>
        <w:tabs>
          <w:tab w:val="left" w:pos="9345"/>
        </w:tabs>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一、致委托方函</w:t>
      </w:r>
      <w:r>
        <w:rPr>
          <w:rFonts w:hint="eastAsia" w:ascii="仿宋_GB2312" w:eastAsia="仿宋_GB2312"/>
          <w:b w:val="0"/>
          <w:bCs/>
          <w:color w:val="auto"/>
          <w:sz w:val="28"/>
          <w:szCs w:val="28"/>
          <w:lang w:val="en-US" w:eastAsia="zh-CN"/>
        </w:rPr>
        <w:t>................................................1</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二、估价师声明</w:t>
      </w:r>
      <w:r>
        <w:rPr>
          <w:rFonts w:hint="eastAsia" w:ascii="仿宋_GB2312" w:eastAsia="仿宋_GB2312"/>
          <w:b w:val="0"/>
          <w:bCs/>
          <w:color w:val="auto"/>
          <w:sz w:val="28"/>
          <w:szCs w:val="28"/>
          <w:lang w:val="en-US" w:eastAsia="zh-CN"/>
        </w:rPr>
        <w:t>................................................2</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三、估价假设和限制条件</w:t>
      </w:r>
      <w:r>
        <w:rPr>
          <w:rFonts w:hint="eastAsia" w:ascii="仿宋_GB2312" w:eastAsia="仿宋_GB2312"/>
          <w:b w:val="0"/>
          <w:bCs/>
          <w:color w:val="auto"/>
          <w:sz w:val="28"/>
          <w:szCs w:val="28"/>
          <w:lang w:val="en-US" w:eastAsia="zh-CN"/>
        </w:rPr>
        <w:t>........................................3</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四、</w:t>
      </w:r>
      <w:r>
        <w:rPr>
          <w:rFonts w:hint="eastAsia" w:eastAsia="仿宋_GB2312"/>
          <w:b w:val="0"/>
          <w:bCs/>
          <w:color w:val="auto"/>
          <w:sz w:val="28"/>
          <w:szCs w:val="28"/>
          <w:lang w:eastAsia="zh-CN"/>
        </w:rPr>
        <w:t>房地产估价结果报告</w:t>
      </w:r>
      <w:r>
        <w:rPr>
          <w:rFonts w:hint="eastAsia" w:ascii="仿宋_GB2312" w:eastAsia="仿宋_GB2312"/>
          <w:b w:val="0"/>
          <w:bCs/>
          <w:color w:val="auto"/>
          <w:sz w:val="28"/>
          <w:szCs w:val="28"/>
          <w:lang w:val="en-US" w:eastAsia="zh-CN"/>
        </w:rPr>
        <w:t>........................................6</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五、附件（均为复印件）</w:t>
      </w:r>
      <w:r>
        <w:rPr>
          <w:rFonts w:hint="eastAsia" w:ascii="仿宋_GB2312" w:eastAsia="仿宋_GB2312"/>
          <w:b w:val="0"/>
          <w:bCs/>
          <w:color w:val="auto"/>
          <w:sz w:val="28"/>
          <w:szCs w:val="28"/>
          <w:lang w:val="en-US" w:eastAsia="zh-CN"/>
        </w:rPr>
        <w:t>........................................12</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(一)</w:t>
      </w:r>
      <w:r>
        <w:rPr>
          <w:rFonts w:hint="eastAsia" w:eastAsia="仿宋_GB2312"/>
          <w:b w:val="0"/>
          <w:bCs/>
          <w:color w:val="auto"/>
          <w:sz w:val="28"/>
          <w:szCs w:val="28"/>
          <w:lang w:eastAsia="zh-CN"/>
        </w:rPr>
        <w:t>估价对象图片资料</w:t>
      </w:r>
    </w:p>
    <w:p>
      <w:pPr>
        <w:spacing w:line="480" w:lineRule="auto"/>
        <w:jc w:val="left"/>
        <w:rPr>
          <w:rFonts w:hint="eastAsia" w:eastAsia="仿宋_GB2312"/>
          <w:b w:val="0"/>
          <w:bCs/>
          <w:color w:val="auto"/>
          <w:sz w:val="28"/>
          <w:szCs w:val="28"/>
          <w:lang w:eastAsia="zh-CN"/>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(二)</w:t>
      </w:r>
      <w:r>
        <w:rPr>
          <w:rFonts w:hint="eastAsia" w:eastAsia="仿宋_GB2312"/>
          <w:b w:val="0"/>
          <w:bCs/>
          <w:color w:val="auto"/>
          <w:sz w:val="28"/>
          <w:szCs w:val="28"/>
          <w:lang w:eastAsia="zh-CN"/>
        </w:rPr>
        <w:t>《贵州省六盘水市钟山区人民法院评估委托书》（2019）黔钟委评字第123号；</w:t>
      </w:r>
    </w:p>
    <w:p>
      <w:pPr>
        <w:spacing w:line="480" w:lineRule="auto"/>
        <w:ind w:firstLine="560"/>
        <w:jc w:val="left"/>
        <w:rPr>
          <w:rFonts w:hint="eastAsia" w:eastAsia="仿宋_GB2312"/>
          <w:b w:val="0"/>
          <w:bCs/>
          <w:color w:val="auto"/>
          <w:sz w:val="28"/>
          <w:szCs w:val="28"/>
          <w:lang w:val="en-US" w:eastAsia="zh-CN"/>
        </w:rPr>
      </w:pPr>
      <w:r>
        <w:rPr>
          <w:rFonts w:hint="eastAsia" w:eastAsia="仿宋_GB2312"/>
          <w:b w:val="0"/>
          <w:bCs/>
          <w:color w:val="auto"/>
          <w:sz w:val="28"/>
          <w:szCs w:val="28"/>
        </w:rPr>
        <w:t>(三</w:t>
      </w:r>
      <w:r>
        <w:rPr>
          <w:rFonts w:hint="eastAsia" w:eastAsia="仿宋_GB2312"/>
          <w:b w:val="0"/>
          <w:bCs/>
          <w:color w:val="auto"/>
          <w:sz w:val="28"/>
          <w:szCs w:val="28"/>
          <w:lang w:eastAsia="zh-CN"/>
        </w:rPr>
        <w:t>)《房屋记载表》不动产单元号：520221001007GB00025F00010123；</w:t>
      </w:r>
    </w:p>
    <w:p>
      <w:pPr>
        <w:spacing w:line="480" w:lineRule="auto"/>
        <w:jc w:val="left"/>
        <w:rPr>
          <w:rFonts w:hint="eastAsia" w:eastAsia="仿宋_GB2312"/>
          <w:b w:val="0"/>
          <w:bCs/>
          <w:color w:val="auto"/>
          <w:sz w:val="28"/>
          <w:szCs w:val="28"/>
        </w:rPr>
      </w:pPr>
      <w:r>
        <w:rPr>
          <w:rFonts w:hint="eastAsia" w:eastAsia="仿宋_GB2312"/>
          <w:b w:val="0"/>
          <w:bCs/>
          <w:color w:val="auto"/>
          <w:sz w:val="28"/>
          <w:szCs w:val="28"/>
          <w:lang w:val="en-US" w:eastAsia="zh-CN"/>
        </w:rPr>
        <w:t xml:space="preserve">    </w:t>
      </w:r>
      <w:r>
        <w:rPr>
          <w:rFonts w:hint="eastAsia" w:eastAsia="仿宋_GB2312"/>
          <w:b w:val="0"/>
          <w:bCs/>
          <w:color w:val="auto"/>
          <w:sz w:val="28"/>
          <w:szCs w:val="28"/>
        </w:rPr>
        <w:t>(</w:t>
      </w:r>
      <w:r>
        <w:rPr>
          <w:rFonts w:hint="eastAsia" w:eastAsia="仿宋_GB2312"/>
          <w:b w:val="0"/>
          <w:bCs/>
          <w:color w:val="auto"/>
          <w:sz w:val="28"/>
          <w:szCs w:val="28"/>
          <w:lang w:eastAsia="zh-CN"/>
        </w:rPr>
        <w:t>四</w:t>
      </w:r>
      <w:r>
        <w:rPr>
          <w:rFonts w:hint="eastAsia" w:eastAsia="仿宋_GB2312"/>
          <w:b w:val="0"/>
          <w:bCs/>
          <w:color w:val="auto"/>
          <w:sz w:val="28"/>
          <w:szCs w:val="28"/>
        </w:rPr>
        <w:t>)估价机构房地产估价资质证书</w:t>
      </w:r>
      <w:r>
        <w:rPr>
          <w:rFonts w:hint="eastAsia" w:eastAsia="仿宋_GB2312"/>
          <w:b w:val="0"/>
          <w:bCs/>
          <w:color w:val="auto"/>
          <w:sz w:val="28"/>
          <w:szCs w:val="28"/>
          <w:lang w:eastAsia="zh-CN"/>
        </w:rPr>
        <w:t>；</w:t>
      </w:r>
    </w:p>
    <w:p>
      <w:pPr>
        <w:spacing w:line="480" w:lineRule="auto"/>
        <w:ind w:firstLine="560"/>
        <w:jc w:val="left"/>
        <w:rPr>
          <w:rFonts w:hint="eastAsia" w:eastAsia="仿宋_GB2312"/>
          <w:b w:val="0"/>
          <w:bCs/>
          <w:color w:val="auto"/>
          <w:sz w:val="28"/>
          <w:szCs w:val="28"/>
        </w:rPr>
      </w:pPr>
      <w:r>
        <w:rPr>
          <w:rFonts w:hint="eastAsia" w:eastAsia="仿宋_GB2312"/>
          <w:b w:val="0"/>
          <w:bCs/>
          <w:color w:val="auto"/>
          <w:sz w:val="28"/>
          <w:szCs w:val="28"/>
        </w:rPr>
        <w:t>(</w:t>
      </w:r>
      <w:r>
        <w:rPr>
          <w:rFonts w:hint="eastAsia" w:eastAsia="仿宋_GB2312"/>
          <w:b w:val="0"/>
          <w:bCs/>
          <w:color w:val="auto"/>
          <w:sz w:val="28"/>
          <w:szCs w:val="28"/>
          <w:lang w:eastAsia="zh-CN"/>
        </w:rPr>
        <w:t>五</w:t>
      </w:r>
      <w:r>
        <w:rPr>
          <w:rFonts w:hint="eastAsia" w:eastAsia="仿宋_GB2312"/>
          <w:b w:val="0"/>
          <w:bCs/>
          <w:color w:val="auto"/>
          <w:sz w:val="28"/>
          <w:szCs w:val="28"/>
        </w:rPr>
        <w:t>)估价机构营业执照</w:t>
      </w:r>
      <w:r>
        <w:rPr>
          <w:rFonts w:hint="eastAsia" w:eastAsia="仿宋_GB2312"/>
          <w:b w:val="0"/>
          <w:bCs/>
          <w:color w:val="auto"/>
          <w:sz w:val="28"/>
          <w:szCs w:val="28"/>
          <w:lang w:eastAsia="zh-CN"/>
        </w:rPr>
        <w:t>；</w:t>
      </w:r>
    </w:p>
    <w:p>
      <w:pPr>
        <w:spacing w:line="480" w:lineRule="auto"/>
        <w:ind w:firstLine="560"/>
        <w:jc w:val="left"/>
        <w:rPr>
          <w:rFonts w:hint="eastAsia" w:eastAsia="仿宋_GB2312"/>
          <w:b w:val="0"/>
          <w:bCs/>
          <w:color w:val="auto"/>
          <w:sz w:val="28"/>
          <w:szCs w:val="28"/>
        </w:rPr>
      </w:pPr>
      <w:r>
        <w:rPr>
          <w:rFonts w:hint="eastAsia" w:eastAsia="仿宋_GB2312"/>
          <w:b w:val="0"/>
          <w:bCs/>
          <w:color w:val="auto"/>
          <w:sz w:val="28"/>
          <w:szCs w:val="28"/>
        </w:rPr>
        <w:t>(</w:t>
      </w:r>
      <w:r>
        <w:rPr>
          <w:rFonts w:hint="eastAsia" w:eastAsia="仿宋_GB2312"/>
          <w:b w:val="0"/>
          <w:bCs/>
          <w:color w:val="auto"/>
          <w:sz w:val="28"/>
          <w:szCs w:val="28"/>
          <w:lang w:eastAsia="zh-CN"/>
        </w:rPr>
        <w:t>六</w:t>
      </w:r>
      <w:r>
        <w:rPr>
          <w:rFonts w:hint="eastAsia" w:eastAsia="仿宋_GB2312"/>
          <w:b w:val="0"/>
          <w:bCs/>
          <w:color w:val="auto"/>
          <w:sz w:val="28"/>
          <w:szCs w:val="28"/>
        </w:rPr>
        <w:t>)估价人员注册证书</w:t>
      </w:r>
      <w:r>
        <w:rPr>
          <w:rFonts w:hint="eastAsia" w:eastAsia="仿宋_GB2312"/>
          <w:b w:val="0"/>
          <w:bCs/>
          <w:color w:val="auto"/>
          <w:sz w:val="28"/>
          <w:szCs w:val="28"/>
          <w:lang w:eastAsia="zh-CN"/>
        </w:rPr>
        <w:t>；</w:t>
      </w: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spacing w:line="480" w:lineRule="auto"/>
        <w:rPr>
          <w:rFonts w:hint="default" w:ascii="Times New Roman" w:hAnsi="Times New Roman" w:eastAsia="仿宋" w:cs="Times New Roman"/>
          <w:color w:val="auto"/>
        </w:rPr>
      </w:pPr>
    </w:p>
    <w:p>
      <w:pPr>
        <w:spacing w:line="480" w:lineRule="auto"/>
        <w:rPr>
          <w:rFonts w:hint="default" w:ascii="Times New Roman" w:hAnsi="Times New Roman" w:eastAsia="仿宋" w:cs="Times New Roman"/>
          <w:color w:val="auto"/>
        </w:rPr>
      </w:pPr>
    </w:p>
    <w:p>
      <w:pPr>
        <w:jc w:val="both"/>
        <w:rPr>
          <w:rFonts w:hint="default" w:ascii="Times New Roman" w:hAnsi="Times New Roman" w:eastAsia="仿宋" w:cs="Times New Roman"/>
          <w:color w:val="auto"/>
          <w:sz w:val="28"/>
          <w:lang w:val="zh-CN"/>
        </w:r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left"/>
        <w:textAlignment w:val="auto"/>
        <w:rPr>
          <w:rFonts w:hint="default" w:ascii="Times New Roman" w:hAnsi="Times New Roman" w:eastAsia="仿宋" w:cs="Times New Roman"/>
          <w:color w:val="auto"/>
          <w:sz w:val="52"/>
        </w:rPr>
        <w:sectPr>
          <w:headerReference r:id="rId3" w:type="default"/>
          <w:footerReference r:id="rId4" w:type="default"/>
          <w:pgSz w:w="11906" w:h="16838"/>
          <w:pgMar w:top="1440" w:right="748" w:bottom="1440" w:left="964" w:header="851" w:footer="992" w:gutter="0"/>
          <w:cols w:space="720" w:num="1"/>
          <w:docGrid w:type="lines" w:linePitch="310" w:charSpace="0"/>
        </w:sect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left"/>
        <w:textAlignment w:val="auto"/>
        <w:rPr>
          <w:rFonts w:hint="default" w:ascii="Times New Roman" w:hAnsi="Times New Roman" w:eastAsia="仿宋" w:cs="Times New Roman"/>
          <w:color w:val="auto"/>
          <w:sz w:val="52"/>
        </w:rPr>
        <w:sectPr>
          <w:footerReference r:id="rId5" w:type="default"/>
          <w:type w:val="continuous"/>
          <w:pgSz w:w="11906" w:h="16838"/>
          <w:pgMar w:top="1440" w:right="748" w:bottom="1440" w:left="964" w:header="851" w:footer="992" w:gutter="0"/>
          <w:pgNumType w:fmt="numberInDash" w:start="1"/>
          <w:cols w:space="720" w:num="1"/>
          <w:docGrid w:type="lines" w:linePitch="310" w:charSpace="0"/>
        </w:sectPr>
      </w:pPr>
    </w:p>
    <w:p>
      <w:pPr>
        <w:keepNext w:val="0"/>
        <w:keepLines w:val="0"/>
        <w:pageBreakBefore w:val="0"/>
        <w:widowControl w:val="0"/>
        <w:tabs>
          <w:tab w:val="center" w:pos="4649"/>
          <w:tab w:val="left" w:pos="7215"/>
        </w:tabs>
        <w:kinsoku/>
        <w:wordWrap/>
        <w:autoSpaceDE/>
        <w:autoSpaceDN/>
        <w:bidi w:val="0"/>
        <w:spacing w:line="360" w:lineRule="auto"/>
        <w:ind w:left="0" w:leftChars="0" w:right="0" w:rightChars="0"/>
        <w:jc w:val="center"/>
        <w:textAlignment w:val="auto"/>
        <w:rPr>
          <w:rFonts w:hint="default" w:ascii="Times New Roman" w:hAnsi="Times New Roman" w:eastAsia="仿宋" w:cs="Times New Roman"/>
          <w:color w:val="auto"/>
          <w:sz w:val="52"/>
        </w:rPr>
      </w:pPr>
      <w:r>
        <w:rPr>
          <w:rFonts w:hint="default" w:ascii="Times New Roman" w:hAnsi="Times New Roman" w:eastAsia="仿宋" w:cs="Times New Roman"/>
          <w:color w:val="auto"/>
          <w:sz w:val="52"/>
        </w:rPr>
        <w:t>致委托方函</w:t>
      </w:r>
    </w:p>
    <w:p>
      <w:pPr>
        <w:pStyle w:val="3"/>
        <w:overflowPunct w:val="0"/>
        <w:topLinePunct/>
        <w:adjustRightInd w:val="0"/>
        <w:snapToGrid w:val="0"/>
        <w:spacing w:before="156" w:beforeLines="50" w:after="156" w:afterLines="50"/>
        <w:ind w:right="0" w:rightChars="0" w:firstLine="0" w:firstLineChars="0"/>
        <w:rPr>
          <w:rFonts w:ascii="Times New Roman" w:hAnsi="Times New Roman" w:eastAsia="仿宋"/>
          <w:b/>
          <w:snapToGrid w:val="0"/>
          <w:color w:val="auto"/>
          <w:kern w:val="0"/>
          <w:sz w:val="28"/>
          <w:szCs w:val="28"/>
        </w:rPr>
      </w:pPr>
      <w:r>
        <w:rPr>
          <w:rFonts w:hint="eastAsia" w:ascii="Times New Roman" w:hAnsi="Times New Roman" w:eastAsia="仿宋"/>
          <w:b/>
          <w:snapToGrid w:val="0"/>
          <w:color w:val="auto"/>
          <w:kern w:val="0"/>
          <w:sz w:val="28"/>
          <w:szCs w:val="28"/>
          <w:lang w:eastAsia="zh-CN"/>
        </w:rPr>
        <w:t>贵州省六盘水市钟山区人民法院</w:t>
      </w:r>
      <w:r>
        <w:rPr>
          <w:rFonts w:ascii="Times New Roman" w:hAnsi="Times New Roman" w:eastAsia="仿宋"/>
          <w:b/>
          <w:snapToGrid w:val="0"/>
          <w:color w:val="auto"/>
          <w:kern w:val="0"/>
          <w:sz w:val="28"/>
          <w:szCs w:val="28"/>
        </w:rPr>
        <w:t>：</w:t>
      </w:r>
    </w:p>
    <w:p>
      <w:pPr>
        <w:pStyle w:val="3"/>
        <w:overflowPunct w:val="0"/>
        <w:topLinePunct/>
        <w:adjustRightInd w:val="0"/>
        <w:snapToGrid w:val="0"/>
        <w:spacing w:before="156" w:beforeLines="50" w:after="156" w:afterLines="50"/>
        <w:ind w:right="0" w:rightChars="0" w:firstLine="560" w:firstLineChars="200"/>
        <w:rPr>
          <w:rFonts w:ascii="Times New Roman" w:hAnsi="Times New Roman" w:eastAsia="仿宋"/>
          <w:bCs/>
          <w:snapToGrid w:val="0"/>
          <w:color w:val="auto"/>
          <w:kern w:val="0"/>
          <w:sz w:val="28"/>
        </w:rPr>
      </w:pPr>
      <w:r>
        <w:rPr>
          <w:rFonts w:ascii="Times New Roman" w:hAnsi="Times New Roman" w:eastAsia="仿宋"/>
          <w:bCs/>
          <w:snapToGrid w:val="0"/>
          <w:color w:val="auto"/>
          <w:kern w:val="0"/>
          <w:sz w:val="28"/>
        </w:rPr>
        <w:t>因受理案件的需要，贵院委托我公司对</w:t>
      </w:r>
      <w:r>
        <w:rPr>
          <w:rFonts w:hint="eastAsia" w:ascii="Times New Roman" w:hAnsi="Times New Roman" w:eastAsia="仿宋"/>
          <w:bCs/>
          <w:snapToGrid w:val="0"/>
          <w:color w:val="auto"/>
          <w:kern w:val="0"/>
          <w:sz w:val="28"/>
        </w:rPr>
        <w:t>位于</w:t>
      </w:r>
      <w:r>
        <w:rPr>
          <w:rFonts w:hint="eastAsia" w:eastAsia="仿宋"/>
          <w:color w:val="auto"/>
          <w:kern w:val="0"/>
          <w:sz w:val="28"/>
          <w:szCs w:val="28"/>
          <w:lang w:eastAsia="zh-CN"/>
        </w:rPr>
        <w:t>贵州省水城县双水新区钟山东路北侧，高林路以东世纪雅苑2幢3单元9层909号姚雪宝所有的住宅用房</w:t>
      </w:r>
      <w:r>
        <w:rPr>
          <w:rFonts w:hint="eastAsia" w:ascii="Times New Roman" w:hAnsi="Times New Roman" w:eastAsia="仿宋"/>
          <w:bCs/>
          <w:snapToGrid w:val="0"/>
          <w:color w:val="auto"/>
          <w:kern w:val="0"/>
          <w:sz w:val="28"/>
        </w:rPr>
        <w:t>（建筑面积</w:t>
      </w:r>
      <w:r>
        <w:rPr>
          <w:rFonts w:ascii="Times New Roman" w:hAnsi="Times New Roman" w:eastAsia="仿宋"/>
          <w:bCs/>
          <w:snapToGrid w:val="0"/>
          <w:color w:val="auto"/>
          <w:kern w:val="0"/>
          <w:sz w:val="28"/>
        </w:rPr>
        <w:t>：</w:t>
      </w:r>
      <w:r>
        <w:rPr>
          <w:rFonts w:hint="eastAsia" w:ascii="Times New Roman" w:hAnsi="Times New Roman" w:eastAsia="仿宋"/>
          <w:bCs/>
          <w:snapToGrid w:val="0"/>
          <w:color w:val="auto"/>
          <w:kern w:val="0"/>
          <w:sz w:val="28"/>
          <w:lang w:val="en-US" w:eastAsia="zh-CN"/>
        </w:rPr>
        <w:t>129.76</w:t>
      </w:r>
      <w:r>
        <w:rPr>
          <w:rFonts w:hint="eastAsia" w:ascii="Times New Roman" w:hAnsi="Times New Roman" w:eastAsia="仿宋"/>
          <w:bCs/>
          <w:snapToGrid w:val="0"/>
          <w:color w:val="auto"/>
          <w:kern w:val="0"/>
          <w:sz w:val="28"/>
        </w:rPr>
        <w:t>平方米）</w:t>
      </w:r>
      <w:r>
        <w:rPr>
          <w:rFonts w:ascii="Times New Roman" w:hAnsi="Times New Roman" w:eastAsia="仿宋"/>
          <w:bCs/>
          <w:snapToGrid w:val="0"/>
          <w:color w:val="auto"/>
          <w:kern w:val="0"/>
          <w:sz w:val="28"/>
        </w:rPr>
        <w:t>市场价值进行评估，经估价人员现场勘查、市场调查及采用适当的估价方法评定、估算等程序，得到估价结果如下：</w:t>
      </w:r>
    </w:p>
    <w:p>
      <w:pPr>
        <w:overflowPunct w:val="0"/>
        <w:topLinePunct/>
        <w:adjustRightInd w:val="0"/>
        <w:snapToGrid w:val="0"/>
        <w:spacing w:before="156" w:beforeLines="50" w:after="156" w:afterLines="50" w:line="360" w:lineRule="auto"/>
        <w:ind w:firstLine="562" w:firstLineChars="200"/>
        <w:jc w:val="left"/>
        <w:rPr>
          <w:rFonts w:eastAsia="仿宋"/>
          <w:bCs/>
          <w:color w:val="auto"/>
          <w:sz w:val="28"/>
          <w:szCs w:val="28"/>
        </w:rPr>
      </w:pPr>
      <w:r>
        <w:rPr>
          <w:rFonts w:hint="eastAsia" w:eastAsia="仿宋"/>
          <w:b/>
          <w:bCs w:val="0"/>
          <w:color w:val="auto"/>
          <w:sz w:val="28"/>
          <w:szCs w:val="28"/>
          <w:lang w:val="en-US" w:eastAsia="zh-CN"/>
        </w:rPr>
        <w:t>贵州省水城县双水新区钟山东路北侧，高林路以东世纪雅苑2幢3单元9层909号姚雪宝所有的住宅用房</w:t>
      </w:r>
      <w:r>
        <w:rPr>
          <w:rFonts w:eastAsia="仿宋"/>
          <w:bCs/>
          <w:color w:val="auto"/>
          <w:sz w:val="28"/>
          <w:szCs w:val="28"/>
        </w:rPr>
        <w:t>在本报告假设及限制条件下于</w:t>
      </w:r>
      <w:r>
        <w:rPr>
          <w:rFonts w:hint="eastAsia" w:eastAsia="仿宋"/>
          <w:b/>
          <w:bCs/>
          <w:color w:val="auto"/>
          <w:sz w:val="28"/>
          <w:szCs w:val="28"/>
          <w:lang w:eastAsia="zh-CN"/>
        </w:rPr>
        <w:t>2019年9月23日</w:t>
      </w:r>
      <w:r>
        <w:rPr>
          <w:rFonts w:eastAsia="仿宋"/>
          <w:bCs/>
          <w:color w:val="auto"/>
          <w:sz w:val="28"/>
          <w:szCs w:val="28"/>
        </w:rPr>
        <w:t>的市场价值为</w:t>
      </w:r>
      <w:r>
        <w:rPr>
          <w:rFonts w:hint="eastAsia" w:eastAsia="仿宋"/>
          <w:b/>
          <w:color w:val="auto"/>
          <w:sz w:val="28"/>
          <w:lang w:eastAsia="zh-CN"/>
        </w:rPr>
        <w:t>人民币肆拾伍万肆仟捌佰肆拾伍元整</w:t>
      </w:r>
      <w:r>
        <w:rPr>
          <w:rFonts w:eastAsia="仿宋"/>
          <w:b/>
          <w:color w:val="auto"/>
          <w:sz w:val="28"/>
        </w:rPr>
        <w:t>（RMB</w:t>
      </w:r>
      <w:r>
        <w:rPr>
          <w:rFonts w:hint="eastAsia" w:eastAsia="仿宋"/>
          <w:b/>
          <w:color w:val="auto"/>
          <w:sz w:val="28"/>
          <w:lang w:val="en-US" w:eastAsia="zh-CN"/>
        </w:rPr>
        <w:t>454,845.00</w:t>
      </w:r>
      <w:r>
        <w:rPr>
          <w:rFonts w:eastAsia="仿宋"/>
          <w:b/>
          <w:color w:val="auto"/>
          <w:sz w:val="28"/>
        </w:rPr>
        <w:t>元）</w:t>
      </w:r>
      <w:r>
        <w:rPr>
          <w:rFonts w:eastAsia="仿宋"/>
          <w:bCs/>
          <w:color w:val="auto"/>
          <w:sz w:val="28"/>
          <w:szCs w:val="28"/>
        </w:rPr>
        <w:t>，按建筑面积折合成单价为</w:t>
      </w:r>
      <w:r>
        <w:rPr>
          <w:rFonts w:hint="eastAsia" w:eastAsia="仿宋"/>
          <w:bCs/>
          <w:color w:val="auto"/>
          <w:sz w:val="28"/>
          <w:szCs w:val="28"/>
          <w:lang w:val="en-US" w:eastAsia="zh-CN"/>
        </w:rPr>
        <w:t>3505.28</w:t>
      </w:r>
      <w:r>
        <w:rPr>
          <w:rFonts w:eastAsia="仿宋"/>
          <w:bCs/>
          <w:color w:val="auto"/>
          <w:sz w:val="28"/>
          <w:szCs w:val="28"/>
        </w:rPr>
        <w:t>元/ m</w:t>
      </w:r>
      <w:r>
        <w:rPr>
          <w:rFonts w:eastAsia="仿宋"/>
          <w:bCs/>
          <w:color w:val="auto"/>
          <w:sz w:val="28"/>
          <w:szCs w:val="28"/>
          <w:vertAlign w:val="superscript"/>
        </w:rPr>
        <w:t>2</w:t>
      </w:r>
      <w:r>
        <w:rPr>
          <w:rFonts w:hint="eastAsia" w:eastAsia="仿宋"/>
          <w:bCs/>
          <w:color w:val="auto"/>
          <w:sz w:val="28"/>
          <w:szCs w:val="28"/>
          <w:lang w:eastAsia="zh-CN"/>
        </w:rPr>
        <w:t>。</w:t>
      </w:r>
    </w:p>
    <w:p>
      <w:pPr>
        <w:pStyle w:val="3"/>
        <w:shd w:val="clear" w:color="auto" w:fill="F3F3F3"/>
        <w:overflowPunct w:val="0"/>
        <w:topLinePunct/>
        <w:adjustRightInd w:val="0"/>
        <w:snapToGrid w:val="0"/>
        <w:ind w:right="0" w:rightChars="0" w:firstLine="562" w:firstLineChars="200"/>
        <w:rPr>
          <w:rFonts w:ascii="Times New Roman" w:hAnsi="Times New Roman" w:eastAsia="仿宋"/>
          <w:b/>
          <w:bCs/>
          <w:snapToGrid w:val="0"/>
          <w:color w:val="auto"/>
          <w:kern w:val="0"/>
          <w:sz w:val="28"/>
        </w:rPr>
      </w:pPr>
      <w:r>
        <w:rPr>
          <w:rFonts w:hint="eastAsia" w:ascii="Times New Roman" w:hAnsi="Times New Roman" w:eastAsia="仿宋"/>
          <w:b/>
          <w:bCs/>
          <w:snapToGrid w:val="0"/>
          <w:color w:val="auto"/>
          <w:kern w:val="0"/>
          <w:sz w:val="28"/>
          <w:lang w:val="en-US" w:eastAsia="zh-CN"/>
        </w:rPr>
        <w:t xml:space="preserve">  </w:t>
      </w:r>
      <w:r>
        <w:rPr>
          <w:rFonts w:ascii="Times New Roman" w:hAnsi="Times New Roman" w:eastAsia="仿宋"/>
          <w:b/>
          <w:bCs/>
          <w:snapToGrid w:val="0"/>
          <w:color w:val="auto"/>
          <w:kern w:val="0"/>
          <w:sz w:val="28"/>
        </w:rPr>
        <w:t>特别提示：</w:t>
      </w:r>
    </w:p>
    <w:p>
      <w:pPr>
        <w:pStyle w:val="3"/>
        <w:shd w:val="clear" w:color="auto" w:fill="F3F3F3"/>
        <w:overflowPunct w:val="0"/>
        <w:topLinePunct/>
        <w:adjustRightInd w:val="0"/>
        <w:snapToGrid w:val="0"/>
        <w:ind w:right="0" w:rightChars="0" w:firstLine="560" w:firstLineChars="200"/>
        <w:rPr>
          <w:rFonts w:ascii="Times New Roman" w:hAnsi="Times New Roman" w:eastAsia="仿宋"/>
          <w:bCs/>
          <w:snapToGrid w:val="0"/>
          <w:color w:val="auto"/>
          <w:kern w:val="0"/>
          <w:sz w:val="28"/>
        </w:rPr>
      </w:pPr>
      <w:r>
        <w:rPr>
          <w:rFonts w:ascii="Times New Roman" w:hAnsi="Times New Roman" w:eastAsia="仿宋"/>
          <w:bCs/>
          <w:snapToGrid w:val="0"/>
          <w:color w:val="auto"/>
          <w:kern w:val="0"/>
          <w:sz w:val="28"/>
        </w:rPr>
        <w:t>1、上述评估结果中包含应分摊的土地使用权价值。</w:t>
      </w:r>
    </w:p>
    <w:p>
      <w:pPr>
        <w:pStyle w:val="3"/>
        <w:shd w:val="clear" w:color="auto" w:fill="F3F3F3"/>
        <w:overflowPunct w:val="0"/>
        <w:topLinePunct/>
        <w:adjustRightInd w:val="0"/>
        <w:snapToGrid w:val="0"/>
        <w:ind w:right="0" w:rightChars="0" w:firstLine="560" w:firstLineChars="200"/>
        <w:rPr>
          <w:rFonts w:ascii="Times New Roman" w:hAnsi="Times New Roman" w:eastAsia="仿宋"/>
          <w:bCs/>
          <w:snapToGrid w:val="0"/>
          <w:color w:val="auto"/>
          <w:kern w:val="0"/>
          <w:sz w:val="28"/>
        </w:rPr>
      </w:pPr>
      <w:r>
        <w:rPr>
          <w:rFonts w:ascii="Times New Roman" w:hAnsi="Times New Roman" w:eastAsia="仿宋"/>
          <w:bCs/>
          <w:snapToGrid w:val="0"/>
          <w:color w:val="auto"/>
          <w:kern w:val="0"/>
          <w:sz w:val="28"/>
        </w:rPr>
        <w:t>2、本报告报告使用人在使用本估价结论时，应认真阅读本报告书全文；本报告各附件与报告书具有同等效力，不可分割对待。</w:t>
      </w:r>
    </w:p>
    <w:p>
      <w:pPr>
        <w:pStyle w:val="3"/>
        <w:shd w:val="clear" w:color="auto" w:fill="F3F3F3"/>
        <w:overflowPunct w:val="0"/>
        <w:topLinePunct/>
        <w:adjustRightInd w:val="0"/>
        <w:snapToGrid w:val="0"/>
        <w:ind w:right="0" w:rightChars="0" w:firstLine="560" w:firstLineChars="200"/>
        <w:rPr>
          <w:rFonts w:ascii="Times New Roman" w:hAnsi="Times New Roman" w:eastAsia="仿宋"/>
          <w:b/>
          <w:bCs/>
          <w:snapToGrid w:val="0"/>
          <w:color w:val="auto"/>
          <w:kern w:val="0"/>
          <w:sz w:val="28"/>
        </w:rPr>
      </w:pPr>
      <w:r>
        <w:rPr>
          <w:rFonts w:ascii="Times New Roman" w:hAnsi="Times New Roman" w:eastAsia="仿宋"/>
          <w:bCs/>
          <w:snapToGrid w:val="0"/>
          <w:color w:val="auto"/>
          <w:kern w:val="0"/>
          <w:sz w:val="28"/>
        </w:rPr>
        <w:t>3、根据《中华人民共和国</w:t>
      </w:r>
      <w:r>
        <w:rPr>
          <w:rFonts w:hint="eastAsia" w:ascii="Times New Roman" w:hAnsi="Times New Roman" w:eastAsia="仿宋"/>
          <w:bCs/>
          <w:snapToGrid w:val="0"/>
          <w:color w:val="auto"/>
          <w:kern w:val="0"/>
          <w:sz w:val="28"/>
          <w:lang w:eastAsia="zh-CN"/>
        </w:rPr>
        <w:t>资产</w:t>
      </w:r>
      <w:r>
        <w:rPr>
          <w:rFonts w:ascii="Times New Roman" w:hAnsi="Times New Roman" w:eastAsia="仿宋"/>
          <w:bCs/>
          <w:snapToGrid w:val="0"/>
          <w:color w:val="auto"/>
          <w:kern w:val="0"/>
          <w:sz w:val="28"/>
        </w:rPr>
        <w:t>评估法》，委托人应当对其提供的权属证明、财务会计信息和其他资料的真实性、完整性和合法性负责。</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此   致</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贵州昊远房地产土地评估有限公司</w:t>
      </w:r>
    </w:p>
    <w:p>
      <w:pPr>
        <w:keepNext w:val="0"/>
        <w:keepLines w:val="0"/>
        <w:pageBreakBefore w:val="0"/>
        <w:widowControl w:val="0"/>
        <w:kinsoku/>
        <w:wordWrap/>
        <w:autoSpaceDE/>
        <w:autoSpaceDN/>
        <w:bidi w:val="0"/>
        <w:spacing w:line="360" w:lineRule="auto"/>
        <w:ind w:left="0" w:leftChars="0" w:right="0" w:rightChars="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法定代表人：</w:t>
      </w:r>
    </w:p>
    <w:p>
      <w:pPr>
        <w:keepNext w:val="0"/>
        <w:keepLines w:val="0"/>
        <w:pageBreakBefore w:val="0"/>
        <w:widowControl w:val="0"/>
        <w:tabs>
          <w:tab w:val="right" w:pos="9298"/>
        </w:tabs>
        <w:kinsoku/>
        <w:wordWrap/>
        <w:autoSpaceDE/>
        <w:autoSpaceDN/>
        <w:bidi w:val="0"/>
        <w:spacing w:line="360" w:lineRule="auto"/>
        <w:ind w:left="0" w:leftChars="0" w:right="0" w:rightChars="0" w:firstLine="570"/>
        <w:textAlignment w:val="auto"/>
        <w:rPr>
          <w:rFonts w:hint="default" w:ascii="Times New Roman" w:hAnsi="Times New Roman" w:eastAsia="仿宋" w:cs="Times New Roman"/>
          <w:color w:val="auto"/>
          <w:sz w:val="52"/>
        </w:rPr>
      </w:pPr>
      <w:r>
        <w:rPr>
          <w:rFonts w:hint="default" w:ascii="Times New Roman" w:hAnsi="Times New Roman" w:eastAsia="仿宋" w:cs="Times New Roman"/>
          <w:color w:val="auto"/>
          <w:sz w:val="28"/>
          <w:szCs w:val="28"/>
        </w:rPr>
        <w:t xml:space="preserve">                                             </w:t>
      </w:r>
      <w:r>
        <w:rPr>
          <w:rFonts w:hint="eastAsia" w:ascii="Times New Roman" w:hAnsi="Times New Roman" w:eastAsia="仿宋" w:cs="Times New Roman"/>
          <w:color w:val="auto"/>
          <w:spacing w:val="10"/>
          <w:sz w:val="28"/>
          <w:szCs w:val="28"/>
          <w:lang w:val="en-US" w:eastAsia="zh-CN"/>
        </w:rPr>
        <w:t>2019年10月22日</w:t>
      </w:r>
      <w:r>
        <w:rPr>
          <w:rFonts w:hint="default" w:ascii="Times New Roman" w:hAnsi="Times New Roman" w:eastAsia="仿宋" w:cs="Times New Roman"/>
          <w:color w:val="auto"/>
          <w:sz w:val="28"/>
          <w:szCs w:val="28"/>
        </w:rPr>
        <w:tab/>
      </w:r>
    </w:p>
    <w:p>
      <w:pPr>
        <w:spacing w:line="360" w:lineRule="auto"/>
        <w:jc w:val="center"/>
        <w:rPr>
          <w:rFonts w:hint="default" w:ascii="Times New Roman" w:hAnsi="Times New Roman" w:eastAsia="仿宋" w:cs="Times New Roman"/>
          <w:color w:val="auto"/>
          <w:sz w:val="52"/>
        </w:rPr>
      </w:pPr>
    </w:p>
    <w:p>
      <w:pPr>
        <w:spacing w:line="360" w:lineRule="auto"/>
        <w:jc w:val="both"/>
        <w:rPr>
          <w:rFonts w:hint="default" w:ascii="Times New Roman" w:hAnsi="Times New Roman" w:eastAsia="仿宋" w:cs="Times New Roman"/>
          <w:color w:val="auto"/>
          <w:sz w:val="52"/>
        </w:rPr>
      </w:pPr>
    </w:p>
    <w:p>
      <w:pPr>
        <w:spacing w:line="360" w:lineRule="auto"/>
        <w:jc w:val="center"/>
        <w:rPr>
          <w:rFonts w:hint="default" w:ascii="Times New Roman" w:hAnsi="Times New Roman" w:eastAsia="仿宋" w:cs="Times New Roman"/>
          <w:color w:val="auto"/>
          <w:sz w:val="52"/>
        </w:rPr>
      </w:pPr>
    </w:p>
    <w:p>
      <w:pPr>
        <w:spacing w:line="360" w:lineRule="auto"/>
        <w:jc w:val="center"/>
        <w:rPr>
          <w:rFonts w:hint="default" w:ascii="Times New Roman" w:hAnsi="Times New Roman" w:eastAsia="仿宋" w:cs="Times New Roman"/>
          <w:color w:val="auto"/>
          <w:sz w:val="52"/>
        </w:rPr>
      </w:pPr>
      <w:r>
        <w:rPr>
          <w:rFonts w:hint="default" w:ascii="Times New Roman" w:hAnsi="Times New Roman" w:eastAsia="仿宋" w:cs="Times New Roman"/>
          <w:color w:val="auto"/>
          <w:sz w:val="52"/>
        </w:rPr>
        <w:t>估价师声明</w:t>
      </w:r>
    </w:p>
    <w:p>
      <w:pPr>
        <w:spacing w:line="360" w:lineRule="auto"/>
        <w:rPr>
          <w:rFonts w:hint="default" w:ascii="Times New Roman" w:hAnsi="Times New Roman" w:eastAsia="仿宋" w:cs="Times New Roman"/>
          <w:color w:val="auto"/>
        </w:rPr>
      </w:pPr>
    </w:p>
    <w:p>
      <w:pPr>
        <w:spacing w:line="360" w:lineRule="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我们郑重声明：</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1、我们在估价报告中对事实的说明是真实和准确的，没有虚假记载、误导性陈述和重大遗漏。</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2、本估价报告中的分析、意见和结论是我们自己公正的专业分析、意见和结论，但受到本估价报告中已说明的假设和限制条件的限制，估价报告使用人应充分关注这些假设和限制条件对报告结果的影响。</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3、我们与估价报告中的估价对象没有利害关系，也与有关当事人没有个人利害关系或偏见。</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4、我们依照中华人民共和国国家标准《房地产估价规范》进行分析，形成意见和结论，撰写本估价报告。</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5、我们已对本估价报告中的估价对象进行了实地查勘，同时已对估价对象的法律权属状况给予了必要的关注，对估价对象的法律权属资料进行了查验，但无法对估价对象的法律权属真实性做任何形式的保证</w:t>
      </w:r>
      <w:r>
        <w:rPr>
          <w:rFonts w:hint="eastAsia" w:ascii="Times New Roman" w:hAnsi="Times New Roman" w:eastAsia="仿宋" w:cs="Times New Roman"/>
          <w:bCs/>
          <w:color w:val="auto"/>
          <w:sz w:val="28"/>
          <w:szCs w:val="28"/>
          <w:lang w:eastAsia="zh-CN"/>
        </w:rPr>
        <w:t>。</w:t>
      </w:r>
    </w:p>
    <w:p>
      <w:pPr>
        <w:pStyle w:val="3"/>
        <w:overflowPunct w:val="0"/>
        <w:topLinePunct/>
        <w:adjustRightInd w:val="0"/>
        <w:snapToGrid w:val="0"/>
        <w:ind w:right="0" w:rightChars="0" w:firstLine="560" w:firstLineChars="200"/>
        <w:rPr>
          <w:rFonts w:hint="default" w:ascii="Times New Roman" w:hAnsi="Times New Roman" w:eastAsia="仿宋" w:cs="Times New Roman"/>
          <w:bCs/>
          <w:color w:val="auto"/>
          <w:sz w:val="28"/>
          <w:szCs w:val="28"/>
        </w:rPr>
      </w:pPr>
      <w:r>
        <w:rPr>
          <w:rFonts w:hint="default" w:ascii="Times New Roman" w:hAnsi="Times New Roman" w:eastAsia="仿宋" w:cs="Times New Roman"/>
          <w:bCs/>
          <w:color w:val="auto"/>
          <w:sz w:val="28"/>
          <w:szCs w:val="28"/>
        </w:rPr>
        <w:t>6、我们对估价对象的价值进行估算并发表的专业意见是经济行为实现的参考依据，我们出具的估价报告仅限用于估价报告载明的估价目的，仅在载明的估价报告应用有效期内使用，因使用不当造成的后果与我们无关。</w:t>
      </w:r>
    </w:p>
    <w:p>
      <w:pPr>
        <w:spacing w:line="360" w:lineRule="auto"/>
        <w:ind w:firstLine="570"/>
        <w:rPr>
          <w:rFonts w:hint="default" w:ascii="Times New Roman" w:hAnsi="Times New Roman" w:eastAsia="仿宋" w:cs="Times New Roman"/>
          <w:color w:val="auto"/>
          <w:sz w:val="28"/>
          <w:szCs w:val="28"/>
        </w:rPr>
      </w:pPr>
      <w:r>
        <w:rPr>
          <w:rFonts w:hint="default" w:ascii="Times New Roman" w:hAnsi="Times New Roman" w:eastAsia="仿宋" w:cs="Times New Roman"/>
          <w:bCs/>
          <w:color w:val="auto"/>
          <w:sz w:val="28"/>
          <w:szCs w:val="28"/>
        </w:rPr>
        <w:t>7、没有人对本估价报告提供了重要专业帮助</w:t>
      </w:r>
      <w:r>
        <w:rPr>
          <w:rFonts w:hint="default" w:ascii="Times New Roman" w:hAnsi="Times New Roman" w:eastAsia="仿宋" w:cs="Times New Roman"/>
          <w:color w:val="auto"/>
          <w:sz w:val="28"/>
          <w:szCs w:val="28"/>
        </w:rPr>
        <w:t>。</w:t>
      </w:r>
    </w:p>
    <w:p>
      <w:pPr>
        <w:spacing w:line="360" w:lineRule="auto"/>
        <w:jc w:val="lef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中国注册房地产估价师  覃  剑（注册号：5220040052）</w:t>
      </w:r>
    </w:p>
    <w:p>
      <w:pPr>
        <w:spacing w:line="360" w:lineRule="auto"/>
        <w:ind w:firstLine="570"/>
        <w:jc w:val="lef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谭万场（注册号：5220080005）</w:t>
      </w:r>
    </w:p>
    <w:p>
      <w:pPr>
        <w:spacing w:line="360" w:lineRule="auto"/>
        <w:ind w:firstLine="570"/>
        <w:jc w:val="right"/>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w:t>
      </w:r>
    </w:p>
    <w:p>
      <w:pPr>
        <w:spacing w:line="360" w:lineRule="auto"/>
        <w:ind w:firstLine="570"/>
        <w:jc w:val="right"/>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lang w:val="en-US" w:eastAsia="zh-CN"/>
        </w:rPr>
        <w:t xml:space="preserve"> </w:t>
      </w:r>
      <w:r>
        <w:rPr>
          <w:rFonts w:hint="eastAsia" w:ascii="Times New Roman" w:hAnsi="Times New Roman" w:eastAsia="仿宋" w:cs="Times New Roman"/>
          <w:color w:val="auto"/>
          <w:spacing w:val="10"/>
          <w:sz w:val="28"/>
          <w:szCs w:val="28"/>
          <w:lang w:val="en-US" w:eastAsia="zh-CN"/>
        </w:rPr>
        <w:t>2019年10月22日</w:t>
      </w:r>
    </w:p>
    <w:p>
      <w:pPr>
        <w:jc w:val="right"/>
        <w:rPr>
          <w:rFonts w:hint="default" w:ascii="Times New Roman" w:hAnsi="Times New Roman" w:eastAsia="仿宋" w:cs="Times New Roman"/>
          <w:color w:val="auto"/>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color w:val="auto"/>
          <w:sz w:val="52"/>
        </w:rPr>
      </w:pPr>
      <w:r>
        <w:rPr>
          <w:rFonts w:hint="default" w:ascii="Times New Roman" w:hAnsi="Times New Roman" w:eastAsia="仿宋" w:cs="Times New Roman"/>
          <w:color w:val="auto"/>
          <w:sz w:val="52"/>
        </w:rPr>
        <w:t>估价假设和限制条件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仿宋" w:cs="Times New Roman"/>
          <w:bCs/>
          <w:color w:val="auto"/>
        </w:rPr>
      </w:pP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一、一般假设</w:t>
      </w:r>
    </w:p>
    <w:p>
      <w:pPr>
        <w:tabs>
          <w:tab w:val="left" w:leader="dot" w:pos="8190"/>
        </w:tabs>
        <w:overflowPunct w:val="0"/>
        <w:topLinePunct/>
        <w:adjustRightInd w:val="0"/>
        <w:snapToGrid w:val="0"/>
        <w:spacing w:line="360" w:lineRule="auto"/>
        <w:ind w:firstLine="560" w:firstLineChars="200"/>
        <w:jc w:val="left"/>
        <w:rPr>
          <w:rFonts w:eastAsia="仿宋"/>
          <w:bCs/>
          <w:color w:val="auto"/>
          <w:sz w:val="24"/>
        </w:rPr>
      </w:pPr>
      <w:r>
        <w:rPr>
          <w:rFonts w:eastAsia="仿宋"/>
          <w:bCs/>
          <w:color w:val="auto"/>
          <w:sz w:val="28"/>
        </w:rPr>
        <w:t>1、估价对象的权属、建筑面积、用途等，是根据委托方提供的</w:t>
      </w:r>
      <w:r>
        <w:rPr>
          <w:rFonts w:hint="eastAsia" w:eastAsia="仿宋_GB2312"/>
          <w:b w:val="0"/>
          <w:bCs/>
          <w:color w:val="auto"/>
          <w:sz w:val="28"/>
          <w:szCs w:val="28"/>
          <w:lang w:eastAsia="zh-CN"/>
        </w:rPr>
        <w:t>《贵州省六盘水市钟山区人民法院评估委托书》（2019）黔钟委评字第123号</w:t>
      </w:r>
      <w:r>
        <w:rPr>
          <w:rFonts w:hint="eastAsia" w:eastAsia="仿宋"/>
          <w:bCs/>
          <w:color w:val="auto"/>
          <w:sz w:val="28"/>
        </w:rPr>
        <w:t>、</w:t>
      </w:r>
      <w:r>
        <w:rPr>
          <w:rFonts w:hint="eastAsia" w:eastAsia="仿宋_GB2312"/>
          <w:b w:val="0"/>
          <w:bCs/>
          <w:color w:val="auto"/>
          <w:sz w:val="28"/>
          <w:szCs w:val="28"/>
          <w:lang w:eastAsia="zh-CN"/>
        </w:rPr>
        <w:t>《房屋记载表》不动产单元号：520221001007GB00025F00010123</w:t>
      </w:r>
      <w:r>
        <w:rPr>
          <w:rFonts w:eastAsia="仿宋"/>
          <w:bCs/>
          <w:color w:val="auto"/>
          <w:sz w:val="28"/>
        </w:rPr>
        <w:t>资料上取得的，估价人员对这些资料进行了必要的核查和验证，在无理由怀疑这些资料合法性、真实性、准确性和完整性的情况下，我们在报告中假定这些资料是合法、真实、准确和完整的。</w:t>
      </w:r>
    </w:p>
    <w:p>
      <w:pPr>
        <w:tabs>
          <w:tab w:val="left" w:leader="dot" w:pos="8190"/>
        </w:tabs>
        <w:overflowPunct w:val="0"/>
        <w:topLinePunct/>
        <w:adjustRightInd w:val="0"/>
        <w:snapToGrid w:val="0"/>
        <w:spacing w:line="360" w:lineRule="auto"/>
        <w:ind w:firstLine="560" w:firstLineChars="200"/>
        <w:rPr>
          <w:rFonts w:eastAsia="仿宋"/>
          <w:bCs/>
          <w:color w:val="auto"/>
          <w:sz w:val="28"/>
        </w:rPr>
      </w:pPr>
      <w:r>
        <w:rPr>
          <w:rFonts w:eastAsia="仿宋"/>
          <w:bCs/>
          <w:color w:val="auto"/>
          <w:sz w:val="28"/>
        </w:rPr>
        <w:t>2、估价人员对估价对象进行了实地查勘，但现场查勘仅限于估价对象的外观和使用状况、内部布局、装修及设施设备情况，并未对估价对象做建筑物基础、房屋结构上的测量和实验，因此无法确认其内部有无缺损、是否存在结构性损坏等。我们在报告中对被遮盖、未暴露及难以接触到的房屋结构部分及其内部设施、设备假定其无重大质量问题，符合国家有关技术、质量、验收规范，且符合国家有关安全使用标准。</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二、未定事项假设</w:t>
      </w:r>
    </w:p>
    <w:p>
      <w:pPr>
        <w:pStyle w:val="3"/>
        <w:overflowPunct w:val="0"/>
        <w:topLinePunct/>
        <w:adjustRightInd w:val="0"/>
        <w:snapToGrid w:val="0"/>
        <w:spacing w:before="312" w:beforeLines="100" w:after="312" w:afterLines="100"/>
        <w:ind w:right="0" w:rightChars="0" w:firstLine="560" w:firstLineChars="200"/>
        <w:rPr>
          <w:rFonts w:ascii="仿宋" w:hAnsi="仿宋" w:eastAsia="仿宋"/>
          <w:bCs/>
          <w:color w:val="auto"/>
          <w:sz w:val="28"/>
        </w:rPr>
      </w:pPr>
      <w:r>
        <w:rPr>
          <w:rFonts w:ascii="Times New Roman" w:hAnsi="Times New Roman" w:eastAsia="仿宋"/>
          <w:color w:val="auto"/>
          <w:sz w:val="28"/>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auto"/>
          <w:sz w:val="28"/>
          <w:lang w:eastAsia="zh-CN"/>
        </w:rPr>
        <w:t>（2019）黔钟委评字第123号</w:t>
      </w:r>
      <w:r>
        <w:rPr>
          <w:rFonts w:ascii="Times New Roman" w:hAnsi="Times New Roman" w:eastAsia="仿宋"/>
          <w:color w:val="auto"/>
          <w:sz w:val="28"/>
        </w:rPr>
        <w:t>）、</w:t>
      </w:r>
      <w:r>
        <w:rPr>
          <w:rFonts w:hint="eastAsia" w:eastAsia="仿宋_GB2312"/>
          <w:b w:val="0"/>
          <w:bCs/>
          <w:color w:val="auto"/>
          <w:sz w:val="28"/>
          <w:szCs w:val="28"/>
          <w:lang w:eastAsia="zh-CN"/>
        </w:rPr>
        <w:t>《房屋记载表》不动产单元号：520221001007GB00025F00010123</w:t>
      </w:r>
      <w:r>
        <w:rPr>
          <w:rFonts w:ascii="Times New Roman" w:hAnsi="Times New Roman" w:eastAsia="仿宋"/>
          <w:color w:val="auto"/>
          <w:sz w:val="28"/>
        </w:rPr>
        <w:t>资料上取得的</w:t>
      </w:r>
      <w:r>
        <w:rPr>
          <w:rFonts w:hint="eastAsia" w:ascii="仿宋" w:hAnsi="仿宋" w:eastAsia="仿宋"/>
          <w:bCs/>
          <w:color w:val="auto"/>
          <w:sz w:val="28"/>
        </w:rPr>
        <w:t>。</w:t>
      </w:r>
      <w:r>
        <w:rPr>
          <w:rFonts w:ascii="仿宋" w:hAnsi="仿宋" w:eastAsia="仿宋"/>
          <w:color w:val="auto"/>
          <w:sz w:val="28"/>
        </w:rPr>
        <w:t>估价对象用途为</w:t>
      </w:r>
      <w:r>
        <w:rPr>
          <w:rFonts w:hint="eastAsia" w:ascii="仿宋" w:hAnsi="仿宋" w:eastAsia="仿宋"/>
          <w:color w:val="auto"/>
          <w:sz w:val="28"/>
          <w:lang w:eastAsia="zh-CN"/>
        </w:rPr>
        <w:t>住宅</w:t>
      </w:r>
      <w:r>
        <w:rPr>
          <w:rFonts w:ascii="仿宋" w:hAnsi="仿宋" w:eastAsia="仿宋"/>
          <w:color w:val="auto"/>
          <w:sz w:val="28"/>
        </w:rPr>
        <w:t>，本次估价设定估价对象所占用的土地用途为</w:t>
      </w:r>
      <w:r>
        <w:rPr>
          <w:rFonts w:hint="eastAsia" w:ascii="仿宋" w:hAnsi="仿宋" w:eastAsia="仿宋"/>
          <w:color w:val="auto"/>
          <w:sz w:val="28"/>
          <w:lang w:eastAsia="zh-CN"/>
        </w:rPr>
        <w:t>住宅</w:t>
      </w:r>
      <w:r>
        <w:rPr>
          <w:rFonts w:ascii="仿宋" w:hAnsi="仿宋" w:eastAsia="仿宋"/>
          <w:color w:val="auto"/>
          <w:sz w:val="28"/>
        </w:rPr>
        <w:t>用地、土地使用权取得方式设定为出让，且已缴纳相关税费。若与相关部门出具的权属资料显示的信息不一致，估价报告需做相应调整</w:t>
      </w:r>
      <w:r>
        <w:rPr>
          <w:rFonts w:ascii="仿宋" w:hAnsi="仿宋" w:eastAsia="仿宋"/>
          <w:bCs/>
          <w:color w:val="auto"/>
          <w:sz w:val="28"/>
        </w:rPr>
        <w:t>。</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三、背离事实假设</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无。</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四、不相一致假设</w:t>
      </w:r>
    </w:p>
    <w:p>
      <w:pPr>
        <w:pStyle w:val="3"/>
        <w:overflowPunct w:val="0"/>
        <w:topLinePunct/>
        <w:adjustRightInd w:val="0"/>
        <w:snapToGrid w:val="0"/>
        <w:spacing w:before="312" w:beforeLines="100" w:after="312" w:afterLines="100"/>
        <w:ind w:right="0" w:rightChars="0" w:firstLine="560" w:firstLineChars="200"/>
        <w:rPr>
          <w:rFonts w:hint="eastAsia" w:eastAsia="仿宋"/>
          <w:color w:val="auto"/>
          <w:kern w:val="0"/>
          <w:sz w:val="28"/>
          <w:szCs w:val="28"/>
          <w:lang w:eastAsia="zh-CN"/>
        </w:rPr>
      </w:pPr>
      <w:r>
        <w:rPr>
          <w:rFonts w:hint="eastAsia" w:eastAsia="仿宋"/>
          <w:color w:val="auto"/>
          <w:kern w:val="0"/>
          <w:sz w:val="28"/>
          <w:szCs w:val="28"/>
          <w:lang w:eastAsia="zh-CN"/>
        </w:rPr>
        <w:t>无</w:t>
      </w:r>
      <w:r>
        <w:rPr>
          <w:rFonts w:hint="eastAsia" w:ascii="Times New Roman" w:hAnsi="Times New Roman" w:eastAsia="仿宋"/>
          <w:color w:val="auto"/>
          <w:sz w:val="28"/>
          <w:lang w:eastAsia="zh-CN"/>
        </w:rPr>
        <w:t>。</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五、依据不足假设</w:t>
      </w:r>
    </w:p>
    <w:p>
      <w:pPr>
        <w:pStyle w:val="3"/>
        <w:overflowPunct w:val="0"/>
        <w:topLinePunct/>
        <w:adjustRightInd w:val="0"/>
        <w:snapToGrid w:val="0"/>
        <w:spacing w:before="312" w:beforeLines="100" w:after="312" w:afterLines="100"/>
        <w:ind w:right="0" w:rightChars="0" w:firstLine="560" w:firstLineChars="200"/>
        <w:rPr>
          <w:rFonts w:ascii="仿宋" w:hAnsi="仿宋" w:eastAsia="仿宋"/>
          <w:bCs/>
          <w:color w:val="auto"/>
          <w:sz w:val="28"/>
        </w:rPr>
      </w:pPr>
      <w:r>
        <w:rPr>
          <w:rFonts w:ascii="Times New Roman" w:hAnsi="Times New Roman" w:eastAsia="仿宋"/>
          <w:color w:val="auto"/>
          <w:sz w:val="28"/>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auto"/>
          <w:sz w:val="28"/>
          <w:lang w:eastAsia="zh-CN"/>
        </w:rPr>
        <w:t>（2019）黔钟委评字第123号</w:t>
      </w:r>
      <w:r>
        <w:rPr>
          <w:rFonts w:ascii="Times New Roman" w:hAnsi="Times New Roman" w:eastAsia="仿宋"/>
          <w:color w:val="auto"/>
          <w:sz w:val="28"/>
        </w:rPr>
        <w:t>）、</w:t>
      </w:r>
      <w:r>
        <w:rPr>
          <w:rFonts w:hint="eastAsia" w:eastAsia="仿宋_GB2312"/>
          <w:b w:val="0"/>
          <w:bCs/>
          <w:color w:val="auto"/>
          <w:sz w:val="28"/>
          <w:szCs w:val="28"/>
          <w:lang w:eastAsia="zh-CN"/>
        </w:rPr>
        <w:t>《房屋记载表》不动产单元号：520221001007GB00025F00010123</w:t>
      </w:r>
      <w:r>
        <w:rPr>
          <w:rFonts w:ascii="Times New Roman" w:hAnsi="Times New Roman" w:eastAsia="仿宋"/>
          <w:color w:val="auto"/>
          <w:sz w:val="28"/>
        </w:rPr>
        <w:t>资料上取得的</w:t>
      </w:r>
      <w:r>
        <w:rPr>
          <w:rFonts w:hint="eastAsia" w:ascii="仿宋" w:hAnsi="仿宋" w:eastAsia="仿宋"/>
          <w:bCs/>
          <w:color w:val="auto"/>
          <w:sz w:val="28"/>
        </w:rPr>
        <w:t>。</w:t>
      </w:r>
      <w:r>
        <w:rPr>
          <w:rFonts w:ascii="仿宋" w:hAnsi="仿宋" w:eastAsia="仿宋"/>
          <w:color w:val="auto"/>
          <w:sz w:val="28"/>
        </w:rPr>
        <w:t>估价对象用途为</w:t>
      </w:r>
      <w:r>
        <w:rPr>
          <w:rFonts w:hint="eastAsia" w:ascii="仿宋" w:hAnsi="仿宋" w:eastAsia="仿宋"/>
          <w:color w:val="auto"/>
          <w:sz w:val="28"/>
          <w:lang w:eastAsia="zh-CN"/>
        </w:rPr>
        <w:t>住宅</w:t>
      </w:r>
      <w:r>
        <w:rPr>
          <w:rFonts w:ascii="仿宋" w:hAnsi="仿宋" w:eastAsia="仿宋"/>
          <w:color w:val="auto"/>
          <w:sz w:val="28"/>
        </w:rPr>
        <w:t>，本次估价设定估价对象所占用的土地用途为</w:t>
      </w:r>
      <w:r>
        <w:rPr>
          <w:rFonts w:hint="eastAsia" w:ascii="仿宋" w:hAnsi="仿宋" w:eastAsia="仿宋"/>
          <w:color w:val="auto"/>
          <w:sz w:val="28"/>
          <w:lang w:eastAsia="zh-CN"/>
        </w:rPr>
        <w:t>住宅</w:t>
      </w:r>
      <w:r>
        <w:rPr>
          <w:rFonts w:ascii="仿宋" w:hAnsi="仿宋" w:eastAsia="仿宋"/>
          <w:color w:val="auto"/>
          <w:sz w:val="28"/>
        </w:rPr>
        <w:t>用地、土地使用权取得方式设定为出让，且已缴纳相关税费。若与相关部门出具的权属资料显示的信息不一致，估价报告需做相应调整</w:t>
      </w:r>
      <w:r>
        <w:rPr>
          <w:rFonts w:ascii="仿宋" w:hAnsi="仿宋" w:eastAsia="仿宋"/>
          <w:bCs/>
          <w:color w:val="auto"/>
          <w:sz w:val="28"/>
        </w:rPr>
        <w:t>。</w:t>
      </w:r>
    </w:p>
    <w:p>
      <w:pPr>
        <w:pStyle w:val="3"/>
        <w:overflowPunct w:val="0"/>
        <w:topLinePunct/>
        <w:adjustRightInd w:val="0"/>
        <w:snapToGrid w:val="0"/>
        <w:spacing w:before="312" w:beforeLines="100" w:after="312" w:afterLines="100"/>
        <w:ind w:right="0" w:rightChars="0" w:firstLine="562" w:firstLineChars="200"/>
        <w:rPr>
          <w:rFonts w:ascii="Times New Roman" w:hAnsi="Times New Roman" w:eastAsia="仿宋"/>
          <w:b/>
          <w:bCs/>
          <w:color w:val="auto"/>
          <w:sz w:val="28"/>
        </w:rPr>
      </w:pPr>
      <w:r>
        <w:rPr>
          <w:rFonts w:ascii="Times New Roman" w:hAnsi="Times New Roman" w:eastAsia="仿宋"/>
          <w:b/>
          <w:bCs/>
          <w:color w:val="auto"/>
          <w:sz w:val="28"/>
        </w:rPr>
        <w:t>六、估价报告的使用限制</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1、本报告结果及附件仅供委托方用于估价目的所载明的用途，不对其它用途负责，不能作为估价对象权属界定的依据；非为法律、法规规定的需要，报告及附件的全部或部分内容不得向委托方、评估审查部门以外的单位和个人提供，未经估价机构许可，不得见诸于公开媒体。</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2、估价对象状况和房地产市场状况因时间变化对房地产价值可能产生影响。若估价对象状况和房地产市场价格变化较大，应对房地产价值进行调整或者重新评估。</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3、估价报告的有效期为12个月，即从</w:t>
      </w:r>
      <w:r>
        <w:rPr>
          <w:rFonts w:hint="eastAsia" w:ascii="Times New Roman" w:hAnsi="Times New Roman" w:eastAsia="仿宋"/>
          <w:bCs/>
          <w:color w:val="auto"/>
          <w:sz w:val="28"/>
          <w:lang w:eastAsia="zh-CN"/>
        </w:rPr>
        <w:t>2019年10月22日至2020年10月21日止</w:t>
      </w:r>
      <w:r>
        <w:rPr>
          <w:rFonts w:ascii="Times New Roman" w:hAnsi="Times New Roman" w:eastAsia="仿宋"/>
          <w:bCs/>
          <w:color w:val="auto"/>
          <w:sz w:val="28"/>
        </w:rPr>
        <w:t>。如果超过上述有效期使用本报告及估价结果，我们对所造成的后果及影响不负任何责任。</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4、委托方提供的资料直接影响我们的估价分析和结论，</w:t>
      </w:r>
      <w:r>
        <w:rPr>
          <w:rFonts w:ascii="Times New Roman" w:hAnsi="Times New Roman" w:eastAsia="仿宋"/>
          <w:bCs/>
          <w:snapToGrid w:val="0"/>
          <w:color w:val="auto"/>
          <w:kern w:val="0"/>
          <w:sz w:val="28"/>
        </w:rPr>
        <w:t>根据《中华人民共和国资产评估法》，</w:t>
      </w:r>
      <w:r>
        <w:rPr>
          <w:rFonts w:ascii="Times New Roman" w:hAnsi="Times New Roman" w:eastAsia="仿宋"/>
          <w:b/>
          <w:bCs/>
          <w:snapToGrid w:val="0"/>
          <w:color w:val="auto"/>
          <w:kern w:val="0"/>
          <w:sz w:val="28"/>
        </w:rPr>
        <w:t>委托人应当对其提供的权属证明、财务会计信息和其他资料的真实性、完整性和合法性负责</w:t>
      </w:r>
      <w:r>
        <w:rPr>
          <w:rFonts w:ascii="Times New Roman" w:hAnsi="Times New Roman" w:eastAsia="仿宋"/>
          <w:bCs/>
          <w:color w:val="auto"/>
          <w:sz w:val="28"/>
        </w:rPr>
        <w:t>；因资料失实造成评估结果有误的，评估机构和评估人员不承担相应责任。</w:t>
      </w:r>
    </w:p>
    <w:p>
      <w:pPr>
        <w:pStyle w:val="3"/>
        <w:overflowPunct w:val="0"/>
        <w:topLinePunct/>
        <w:adjustRightInd w:val="0"/>
        <w:snapToGrid w:val="0"/>
        <w:ind w:right="0" w:rightChars="0" w:firstLine="560" w:firstLineChars="200"/>
        <w:rPr>
          <w:rFonts w:ascii="Times New Roman" w:hAnsi="Times New Roman" w:eastAsia="仿宋"/>
          <w:bCs/>
          <w:color w:val="auto"/>
          <w:sz w:val="28"/>
        </w:rPr>
      </w:pPr>
      <w:r>
        <w:rPr>
          <w:rFonts w:ascii="Times New Roman" w:hAnsi="Times New Roman" w:eastAsia="仿宋"/>
          <w:bCs/>
          <w:color w:val="auto"/>
          <w:sz w:val="28"/>
        </w:rPr>
        <w:t>5、我们已对本估价报告中的估价对象进行了实地查勘，同时对估价对象的法律权属状况给予了必要的关注，对估价对象的法律权属资料进行了查验，但无法对估价对象的法律权属真实性做任何形式的保证。</w:t>
      </w: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ind w:firstLine="392" w:firstLineChars="187"/>
        <w:rPr>
          <w:rFonts w:hint="default" w:ascii="Times New Roman" w:hAnsi="Times New Roman" w:eastAsia="仿宋" w:cs="Times New Roman"/>
          <w:bCs/>
          <w:color w:val="auto"/>
        </w:rPr>
      </w:pPr>
    </w:p>
    <w:p>
      <w:pPr>
        <w:spacing w:line="360" w:lineRule="auto"/>
        <w:rPr>
          <w:rFonts w:hint="default" w:ascii="Times New Roman" w:hAnsi="Times New Roman" w:eastAsia="仿宋" w:cs="Times New Roman"/>
          <w:bCs/>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rPr>
          <w:rFonts w:hint="default" w:ascii="Times New Roman" w:hAnsi="Times New Roman" w:eastAsia="仿宋" w:cs="Times New Roman"/>
          <w:color w:val="auto"/>
        </w:rPr>
      </w:pP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color w:val="auto"/>
          <w:sz w:val="52"/>
        </w:rPr>
      </w:pP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color w:val="auto"/>
          <w:sz w:val="52"/>
        </w:rPr>
      </w:pPr>
      <w:r>
        <w:rPr>
          <w:rFonts w:hint="default" w:ascii="Times New Roman" w:hAnsi="Times New Roman" w:eastAsia="仿宋" w:cs="Times New Roman"/>
          <w:color w:val="auto"/>
          <w:sz w:val="52"/>
        </w:rPr>
        <w:t>房地产估价结果报告</w:t>
      </w: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bCs/>
          <w:color w:val="auto"/>
          <w:sz w:val="21"/>
          <w:szCs w:val="21"/>
        </w:rPr>
      </w:pP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eastAsia" w:ascii="Times New Roman" w:hAnsi="Times New Roman" w:eastAsia="仿宋" w:cs="Times New Roman"/>
          <w:bCs/>
          <w:color w:val="auto"/>
          <w:sz w:val="21"/>
          <w:szCs w:val="21"/>
          <w:lang w:eastAsia="zh-CN"/>
        </w:rPr>
      </w:pPr>
      <w:r>
        <w:rPr>
          <w:rFonts w:hint="eastAsia" w:ascii="Times New Roman" w:hAnsi="Times New Roman" w:eastAsia="仿宋" w:cs="Times New Roman"/>
          <w:bCs/>
          <w:color w:val="auto"/>
          <w:sz w:val="24"/>
          <w:szCs w:val="24"/>
          <w:lang w:eastAsia="zh-CN"/>
        </w:rPr>
        <w:t>黔昊远房估字（2019）10031号</w:t>
      </w:r>
    </w:p>
    <w:p>
      <w:pPr>
        <w:keepNext w:val="0"/>
        <w:keepLines w:val="0"/>
        <w:pageBreakBefore w:val="0"/>
        <w:widowControl w:val="0"/>
        <w:kinsoku/>
        <w:wordWrap/>
        <w:autoSpaceDE/>
        <w:autoSpaceDN/>
        <w:bidi w:val="0"/>
        <w:spacing w:line="360" w:lineRule="auto"/>
        <w:ind w:right="0" w:rightChars="0" w:firstLine="0" w:firstLineChars="0"/>
        <w:jc w:val="center"/>
        <w:textAlignment w:val="auto"/>
        <w:outlineLvl w:val="9"/>
        <w:rPr>
          <w:rFonts w:hint="default" w:ascii="Times New Roman" w:hAnsi="Times New Roman" w:eastAsia="仿宋" w:cs="Times New Roman"/>
          <w:color w:val="auto"/>
          <w:sz w:val="21"/>
          <w:szCs w:val="21"/>
        </w:rPr>
      </w:pPr>
    </w:p>
    <w:p>
      <w:pPr>
        <w:keepNext w:val="0"/>
        <w:keepLines w:val="0"/>
        <w:pageBreakBefore w:val="0"/>
        <w:widowControl w:val="0"/>
        <w:numPr>
          <w:ilvl w:val="0"/>
          <w:numId w:val="0"/>
        </w:numPr>
        <w:tabs>
          <w:tab w:val="left" w:pos="1050"/>
        </w:tabs>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lang w:eastAsia="zh-CN"/>
        </w:rPr>
        <w:t>一、</w:t>
      </w:r>
      <w:r>
        <w:rPr>
          <w:rFonts w:hint="default" w:ascii="Times New Roman" w:hAnsi="Times New Roman" w:eastAsia="仿宋" w:cs="Times New Roman"/>
          <w:b/>
          <w:color w:val="auto"/>
          <w:sz w:val="28"/>
          <w:szCs w:val="28"/>
        </w:rPr>
        <w:t>委托估价方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名称</w:t>
      </w:r>
      <w:r>
        <w:rPr>
          <w:rFonts w:hint="default" w:ascii="Times New Roman" w:hAnsi="Times New Roman" w:eastAsia="仿宋" w:cs="Times New Roman"/>
          <w:color w:val="auto"/>
          <w:sz w:val="28"/>
          <w:szCs w:val="28"/>
        </w:rPr>
        <w:t>：</w:t>
      </w:r>
      <w:r>
        <w:rPr>
          <w:rFonts w:hint="eastAsia" w:ascii="Times New Roman" w:hAnsi="Times New Roman" w:eastAsia="仿宋" w:cs="Times New Roman"/>
          <w:color w:val="auto"/>
          <w:sz w:val="28"/>
          <w:szCs w:val="28"/>
          <w:lang w:eastAsia="zh-CN"/>
        </w:rPr>
        <w:t>贵州省六盘水市钟山区人民法院</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二、受托估价方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名      称：贵州昊远房地产土地评估有限公司</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住     所</w:t>
      </w:r>
      <w:r>
        <w:rPr>
          <w:rFonts w:hint="eastAsia" w:ascii="Times New Roman" w:hAnsi="Times New Roman" w:eastAsia="仿宋" w:cs="Times New Roman"/>
          <w:color w:val="auto"/>
          <w:sz w:val="28"/>
          <w:szCs w:val="28"/>
          <w:lang w:eastAsia="zh-CN"/>
        </w:rPr>
        <w:t>：贵州省贵阳市云岩区新添大道南段金耀华庭商住楼</w:t>
      </w:r>
      <w:r>
        <w:rPr>
          <w:rFonts w:hint="eastAsia" w:ascii="Times New Roman" w:hAnsi="Times New Roman" w:eastAsia="仿宋" w:cs="Times New Roman"/>
          <w:color w:val="auto"/>
          <w:sz w:val="28"/>
          <w:szCs w:val="28"/>
          <w:lang w:val="en-US" w:eastAsia="zh-CN"/>
        </w:rPr>
        <w:t>1单元7层6号</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法定代表人：覃剑</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注  册  号：</w:t>
      </w:r>
      <w:r>
        <w:rPr>
          <w:rFonts w:hint="eastAsia" w:ascii="Times New Roman" w:hAnsi="Times New Roman" w:eastAsia="仿宋" w:cs="Times New Roman"/>
          <w:color w:val="auto"/>
          <w:sz w:val="28"/>
          <w:szCs w:val="28"/>
          <w:lang w:val="en-US" w:eastAsia="zh-CN"/>
        </w:rPr>
        <w:t>915201030590702657</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经 营 范 围：房地产评估，宗地地价评估，地价咨询(涉及许可证的凭证经营)</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房地产估计机构资质等级：</w:t>
      </w:r>
      <w:r>
        <w:rPr>
          <w:rFonts w:hint="eastAsia" w:ascii="Times New Roman" w:hAnsi="Times New Roman" w:eastAsia="仿宋" w:cs="Times New Roman"/>
          <w:color w:val="auto"/>
          <w:sz w:val="28"/>
          <w:szCs w:val="28"/>
          <w:lang w:eastAsia="zh-CN"/>
        </w:rPr>
        <w:t>贰</w:t>
      </w:r>
      <w:r>
        <w:rPr>
          <w:rFonts w:hint="default" w:ascii="Times New Roman" w:hAnsi="Times New Roman" w:eastAsia="仿宋" w:cs="Times New Roman"/>
          <w:color w:val="auto"/>
          <w:sz w:val="28"/>
          <w:szCs w:val="28"/>
        </w:rPr>
        <w:t>级</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房地产估计机构资质证书编号：筑房评估字：A2013013</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三、估价对象</w:t>
      </w:r>
    </w:p>
    <w:p>
      <w:pPr>
        <w:overflowPunct w:val="0"/>
        <w:topLinePunct/>
        <w:adjustRightInd w:val="0"/>
        <w:snapToGrid w:val="0"/>
        <w:spacing w:line="360" w:lineRule="auto"/>
        <w:ind w:firstLine="560" w:firstLineChars="200"/>
        <w:jc w:val="left"/>
        <w:rPr>
          <w:rFonts w:eastAsia="仿宋"/>
          <w:bCs/>
          <w:color w:val="auto"/>
          <w:sz w:val="28"/>
        </w:rPr>
      </w:pPr>
      <w:bookmarkStart w:id="0" w:name="OLE_LINK5"/>
      <w:r>
        <w:rPr>
          <w:rFonts w:hint="eastAsia" w:eastAsia="仿宋"/>
          <w:color w:val="auto"/>
          <w:sz w:val="28"/>
          <w:szCs w:val="28"/>
          <w:lang w:val="en-US" w:eastAsia="zh-CN"/>
        </w:rPr>
        <w:t>1、</w:t>
      </w:r>
      <w:r>
        <w:rPr>
          <w:rFonts w:eastAsia="仿宋"/>
          <w:bCs/>
          <w:color w:val="auto"/>
          <w:sz w:val="28"/>
        </w:rPr>
        <w:t>估价对象范围及用途</w:t>
      </w:r>
    </w:p>
    <w:p>
      <w:pPr>
        <w:overflowPunct w:val="0"/>
        <w:topLinePunct/>
        <w:adjustRightInd w:val="0"/>
        <w:snapToGrid w:val="0"/>
        <w:spacing w:line="360" w:lineRule="auto"/>
        <w:ind w:firstLine="560" w:firstLineChars="200"/>
        <w:jc w:val="left"/>
        <w:rPr>
          <w:rFonts w:eastAsia="仿宋"/>
          <w:bCs/>
          <w:color w:val="auto"/>
          <w:sz w:val="28"/>
        </w:rPr>
      </w:pPr>
      <w:r>
        <w:rPr>
          <w:rFonts w:eastAsia="仿宋"/>
          <w:color w:val="auto"/>
          <w:sz w:val="28"/>
          <w:szCs w:val="28"/>
        </w:rPr>
        <w:t>估价对象为位于</w:t>
      </w:r>
      <w:r>
        <w:rPr>
          <w:rFonts w:hint="eastAsia" w:eastAsia="仿宋"/>
          <w:color w:val="auto"/>
          <w:kern w:val="0"/>
          <w:sz w:val="28"/>
          <w:szCs w:val="28"/>
          <w:lang w:eastAsia="zh-CN"/>
        </w:rPr>
        <w:t>贵州省水城县双水新区钟山东路北侧，高林路以东世纪雅苑2幢3单元9层909号姚雪宝所有的住宅用房</w:t>
      </w:r>
      <w:r>
        <w:rPr>
          <w:rFonts w:hint="eastAsia" w:ascii="Times New Roman" w:hAnsi="Times New Roman" w:eastAsia="仿宋"/>
          <w:bCs/>
          <w:snapToGrid w:val="0"/>
          <w:color w:val="auto"/>
          <w:kern w:val="0"/>
          <w:sz w:val="28"/>
        </w:rPr>
        <w:t>（建筑面积</w:t>
      </w:r>
      <w:r>
        <w:rPr>
          <w:rFonts w:ascii="Times New Roman" w:hAnsi="Times New Roman" w:eastAsia="仿宋"/>
          <w:bCs/>
          <w:snapToGrid w:val="0"/>
          <w:color w:val="auto"/>
          <w:kern w:val="0"/>
          <w:sz w:val="28"/>
        </w:rPr>
        <w:t>：</w:t>
      </w:r>
      <w:r>
        <w:rPr>
          <w:rFonts w:hint="eastAsia" w:ascii="Times New Roman" w:hAnsi="Times New Roman" w:eastAsia="仿宋"/>
          <w:bCs/>
          <w:snapToGrid w:val="0"/>
          <w:color w:val="auto"/>
          <w:kern w:val="0"/>
          <w:sz w:val="28"/>
          <w:lang w:val="en-US" w:eastAsia="zh-CN"/>
        </w:rPr>
        <w:t>129.76平方米</w:t>
      </w:r>
      <w:r>
        <w:rPr>
          <w:rFonts w:eastAsia="仿宋"/>
          <w:color w:val="auto"/>
          <w:sz w:val="28"/>
          <w:szCs w:val="28"/>
        </w:rPr>
        <w:t>含所分摊的土地使用权）</w:t>
      </w:r>
      <w:r>
        <w:rPr>
          <w:rFonts w:hint="eastAsia" w:eastAsia="仿宋"/>
          <w:color w:val="auto"/>
          <w:sz w:val="28"/>
          <w:szCs w:val="28"/>
          <w:lang w:eastAsia="zh-CN"/>
        </w:rPr>
        <w:t>。</w:t>
      </w:r>
    </w:p>
    <w:p>
      <w:pPr>
        <w:keepNext w:val="0"/>
        <w:keepLines w:val="0"/>
        <w:pageBreakBefore w:val="0"/>
        <w:widowControl w:val="0"/>
        <w:numPr>
          <w:ilvl w:val="0"/>
          <w:numId w:val="0"/>
        </w:numPr>
        <w:kinsoku/>
        <w:wordWrap/>
        <w:overflowPunct w:val="0"/>
        <w:topLinePunct/>
        <w:autoSpaceDE/>
        <w:autoSpaceDN/>
        <w:bidi w:val="0"/>
        <w:adjustRightInd w:val="0"/>
        <w:snapToGrid w:val="0"/>
        <w:spacing w:before="156" w:beforeLines="50" w:after="156" w:afterLines="50" w:line="360" w:lineRule="auto"/>
        <w:ind w:right="0" w:rightChars="0" w:firstLine="560" w:firstLineChars="200"/>
        <w:jc w:val="left"/>
        <w:textAlignment w:val="auto"/>
        <w:outlineLvl w:val="9"/>
        <w:rPr>
          <w:rFonts w:eastAsia="仿宋"/>
          <w:bCs/>
          <w:color w:val="auto"/>
          <w:sz w:val="28"/>
        </w:rPr>
      </w:pPr>
      <w:r>
        <w:rPr>
          <w:rFonts w:hint="eastAsia" w:eastAsia="仿宋"/>
          <w:bCs/>
          <w:color w:val="auto"/>
          <w:sz w:val="28"/>
          <w:lang w:val="en-US" w:eastAsia="zh-CN"/>
        </w:rPr>
        <w:t>2、</w:t>
      </w:r>
      <w:r>
        <w:rPr>
          <w:rFonts w:eastAsia="仿宋"/>
          <w:bCs/>
          <w:color w:val="auto"/>
          <w:sz w:val="28"/>
        </w:rPr>
        <w:t>估价对象</w:t>
      </w:r>
      <w:r>
        <w:rPr>
          <w:rFonts w:hint="eastAsia" w:eastAsia="仿宋"/>
          <w:bCs/>
          <w:color w:val="auto"/>
          <w:sz w:val="28"/>
        </w:rPr>
        <w:t>权益</w:t>
      </w:r>
      <w:r>
        <w:rPr>
          <w:rFonts w:eastAsia="仿宋"/>
          <w:bCs/>
          <w:color w:val="auto"/>
          <w:sz w:val="28"/>
        </w:rPr>
        <w:t>状况</w:t>
      </w:r>
    </w:p>
    <w:bookmarkEnd w:id="0"/>
    <w:p>
      <w:pPr>
        <w:overflowPunct w:val="0"/>
        <w:topLinePunct/>
        <w:adjustRightInd w:val="0"/>
        <w:snapToGrid w:val="0"/>
        <w:spacing w:line="360" w:lineRule="auto"/>
        <w:ind w:firstLine="560" w:firstLineChars="200"/>
        <w:rPr>
          <w:rFonts w:eastAsia="仿宋"/>
          <w:color w:val="auto"/>
          <w:sz w:val="28"/>
          <w:szCs w:val="28"/>
        </w:rPr>
      </w:pPr>
      <w:r>
        <w:rPr>
          <w:rFonts w:hint="eastAsia" w:ascii="微软雅黑" w:hAnsi="微软雅黑" w:eastAsia="微软雅黑" w:cs="微软雅黑"/>
          <w:color w:val="auto"/>
          <w:sz w:val="28"/>
          <w:szCs w:val="28"/>
        </w:rPr>
        <w:t>①</w:t>
      </w:r>
      <w:r>
        <w:rPr>
          <w:rFonts w:hint="eastAsia" w:eastAsia="仿宋"/>
          <w:color w:val="auto"/>
          <w:sz w:val="28"/>
          <w:szCs w:val="28"/>
        </w:rPr>
        <w:t>、建筑物</w:t>
      </w:r>
      <w:r>
        <w:rPr>
          <w:rFonts w:eastAsia="仿宋"/>
          <w:color w:val="auto"/>
          <w:sz w:val="28"/>
          <w:szCs w:val="28"/>
        </w:rPr>
        <w:t>权益状况</w:t>
      </w:r>
    </w:p>
    <w:p>
      <w:pPr>
        <w:jc w:val="left"/>
        <w:rPr>
          <w:rFonts w:hint="eastAsia" w:eastAsia="仿宋"/>
          <w:color w:val="auto"/>
          <w:sz w:val="28"/>
          <w:szCs w:val="28"/>
          <w:lang w:eastAsia="zh-CN"/>
        </w:rPr>
      </w:pPr>
      <w:r>
        <w:rPr>
          <w:rFonts w:eastAsia="仿宋"/>
          <w:color w:val="auto"/>
          <w:sz w:val="28"/>
          <w:szCs w:val="28"/>
        </w:rPr>
        <w:t>根据委托方提供的</w:t>
      </w:r>
      <w:r>
        <w:rPr>
          <w:rFonts w:hint="eastAsia" w:eastAsia="仿宋_GB2312"/>
          <w:b w:val="0"/>
          <w:bCs/>
          <w:color w:val="auto"/>
          <w:sz w:val="28"/>
          <w:szCs w:val="28"/>
          <w:lang w:eastAsia="zh-CN"/>
        </w:rPr>
        <w:t>《房屋记载表》不动产单元号：520221001007GB00025F00010123</w:t>
      </w:r>
      <w:r>
        <w:rPr>
          <w:rFonts w:eastAsia="仿宋"/>
          <w:bCs/>
          <w:color w:val="auto"/>
          <w:sz w:val="28"/>
        </w:rPr>
        <w:t>，</w:t>
      </w:r>
      <w:r>
        <w:rPr>
          <w:rFonts w:eastAsia="仿宋"/>
          <w:color w:val="auto"/>
          <w:sz w:val="28"/>
          <w:szCs w:val="28"/>
        </w:rPr>
        <w:t>其权属登记信息如下</w:t>
      </w:r>
      <w:r>
        <w:rPr>
          <w:rFonts w:hint="eastAsia" w:eastAsia="仿宋"/>
          <w:color w:val="auto"/>
          <w:sz w:val="28"/>
          <w:szCs w:val="28"/>
          <w:lang w:eastAsia="zh-CN"/>
        </w:rPr>
        <w:t>：</w:t>
      </w:r>
    </w:p>
    <w:tbl>
      <w:tblPr>
        <w:tblStyle w:val="7"/>
        <w:tblW w:w="10260" w:type="dxa"/>
        <w:tblInd w:w="0" w:type="dxa"/>
        <w:shd w:val="clear" w:color="auto" w:fill="auto"/>
        <w:tblLayout w:type="fixed"/>
        <w:tblCellMar>
          <w:top w:w="0" w:type="dxa"/>
          <w:left w:w="0" w:type="dxa"/>
          <w:bottom w:w="0" w:type="dxa"/>
          <w:right w:w="0" w:type="dxa"/>
        </w:tblCellMar>
      </w:tblPr>
      <w:tblGrid>
        <w:gridCol w:w="1912"/>
        <w:gridCol w:w="2215"/>
        <w:gridCol w:w="767"/>
        <w:gridCol w:w="533"/>
        <w:gridCol w:w="898"/>
        <w:gridCol w:w="1357"/>
        <w:gridCol w:w="1154"/>
        <w:gridCol w:w="1424"/>
      </w:tblGrid>
      <w:tr>
        <w:tblPrEx>
          <w:shd w:val="clear" w:color="auto" w:fill="auto"/>
          <w:tblCellMar>
            <w:top w:w="0" w:type="dxa"/>
            <w:left w:w="0" w:type="dxa"/>
            <w:bottom w:w="0" w:type="dxa"/>
            <w:right w:w="0" w:type="dxa"/>
          </w:tblCellMar>
        </w:tblPrEx>
        <w:trPr>
          <w:trHeight w:val="705" w:hRule="atLeast"/>
        </w:trPr>
        <w:tc>
          <w:tcPr>
            <w:tcW w:w="10260" w:type="dxa"/>
            <w:gridSpan w:val="8"/>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房屋记载表</w:t>
            </w:r>
          </w:p>
        </w:tc>
      </w:tr>
      <w:tr>
        <w:tblPrEx>
          <w:tblCellMar>
            <w:top w:w="0" w:type="dxa"/>
            <w:left w:w="0" w:type="dxa"/>
            <w:bottom w:w="0" w:type="dxa"/>
            <w:right w:w="0" w:type="dxa"/>
          </w:tblCellMar>
        </w:tblPrEx>
        <w:trPr>
          <w:trHeight w:val="448" w:hRule="atLeast"/>
        </w:trPr>
        <w:tc>
          <w:tcPr>
            <w:tcW w:w="4127" w:type="dxa"/>
            <w:gridSpan w:val="2"/>
            <w:tcBorders>
              <w:top w:val="nil"/>
              <w:left w:val="single" w:color="000000" w:sz="4" w:space="0"/>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6133" w:type="dxa"/>
            <w:gridSpan w:val="6"/>
            <w:tcBorders>
              <w:top w:val="nil"/>
              <w:left w:val="nil"/>
              <w:bottom w:val="nil"/>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4"/>
                <w:szCs w:val="24"/>
                <w:u w:val="none"/>
              </w:rPr>
            </w:pPr>
            <w:r>
              <w:rPr>
                <w:rFonts w:hint="eastAsia" w:ascii="宋体" w:hAnsi="宋体" w:eastAsia="宋体" w:cs="宋体"/>
                <w:i w:val="0"/>
                <w:color w:val="auto"/>
                <w:kern w:val="0"/>
                <w:sz w:val="18"/>
                <w:szCs w:val="18"/>
                <w:u w:val="none"/>
                <w:lang w:val="en-US" w:eastAsia="zh-CN" w:bidi="ar"/>
              </w:rPr>
              <w:t>不动产单元号：</w:t>
            </w:r>
            <w:r>
              <w:rPr>
                <w:rStyle w:val="21"/>
                <w:color w:val="auto"/>
                <w:sz w:val="18"/>
                <w:szCs w:val="18"/>
                <w:lang w:val="en-US" w:eastAsia="zh-CN" w:bidi="ar"/>
              </w:rPr>
              <w:t>520221001007GB00025F00010123</w:t>
            </w:r>
          </w:p>
        </w:tc>
      </w:tr>
      <w:tr>
        <w:tblPrEx>
          <w:tblCellMar>
            <w:top w:w="0" w:type="dxa"/>
            <w:left w:w="0" w:type="dxa"/>
            <w:bottom w:w="0" w:type="dxa"/>
            <w:right w:w="0" w:type="dxa"/>
          </w:tblCellMar>
        </w:tblPrEx>
        <w:trPr>
          <w:trHeight w:val="469" w:hRule="atLeast"/>
        </w:trPr>
        <w:tc>
          <w:tcPr>
            <w:tcW w:w="4127" w:type="dxa"/>
            <w:gridSpan w:val="2"/>
            <w:tcBorders>
              <w:top w:val="nil"/>
              <w:left w:val="single" w:color="000000" w:sz="4" w:space="0"/>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房号：3-9-09</w:t>
            </w:r>
          </w:p>
        </w:tc>
        <w:tc>
          <w:tcPr>
            <w:tcW w:w="6133" w:type="dxa"/>
            <w:gridSpan w:val="6"/>
            <w:tcBorders>
              <w:top w:val="nil"/>
              <w:left w:val="nil"/>
              <w:bottom w:val="nil"/>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打印时间：2019年7月10号</w:t>
            </w:r>
          </w:p>
        </w:tc>
      </w:tr>
      <w:tr>
        <w:tblPrEx>
          <w:tblCellMar>
            <w:top w:w="0" w:type="dxa"/>
            <w:left w:w="0" w:type="dxa"/>
            <w:bottom w:w="0" w:type="dxa"/>
            <w:right w:w="0" w:type="dxa"/>
          </w:tblCellMar>
        </w:tblPrEx>
        <w:trPr>
          <w:trHeight w:val="528" w:hRule="atLeast"/>
        </w:trPr>
        <w:tc>
          <w:tcPr>
            <w:tcW w:w="1912"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坐落</w:t>
            </w:r>
          </w:p>
        </w:tc>
        <w:tc>
          <w:tcPr>
            <w:tcW w:w="83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双水新区钟山东路北侧，高林路以东世纪雅苑2幢3单元9层909号</w:t>
            </w:r>
          </w:p>
        </w:tc>
      </w:tr>
      <w:tr>
        <w:tblPrEx>
          <w:tblCellMar>
            <w:top w:w="0" w:type="dxa"/>
            <w:left w:w="0" w:type="dxa"/>
            <w:bottom w:w="0" w:type="dxa"/>
            <w:right w:w="0" w:type="dxa"/>
          </w:tblCellMar>
        </w:tblPrEx>
        <w:trPr>
          <w:trHeight w:val="387"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项目名称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c>
          <w:tcPr>
            <w:tcW w:w="1300" w:type="dxa"/>
            <w:gridSpan w:val="2"/>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房屋性质</w:t>
            </w:r>
          </w:p>
        </w:tc>
        <w:tc>
          <w:tcPr>
            <w:tcW w:w="4833" w:type="dxa"/>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市场化商品房</w:t>
            </w:r>
          </w:p>
        </w:tc>
      </w:tr>
      <w:tr>
        <w:tblPrEx>
          <w:tblCellMar>
            <w:top w:w="0" w:type="dxa"/>
            <w:left w:w="0" w:type="dxa"/>
            <w:bottom w:w="0" w:type="dxa"/>
            <w:right w:w="0" w:type="dxa"/>
          </w:tblCellMar>
        </w:tblPrEx>
        <w:trPr>
          <w:trHeight w:val="293"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所在层</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9</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房号</w:t>
            </w:r>
          </w:p>
        </w:tc>
        <w:tc>
          <w:tcPr>
            <w:tcW w:w="4833" w:type="dxa"/>
            <w:gridSpan w:val="4"/>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3-9-09</w:t>
            </w:r>
          </w:p>
        </w:tc>
      </w:tr>
      <w:tr>
        <w:tblPrEx>
          <w:tblCellMar>
            <w:top w:w="0" w:type="dxa"/>
            <w:left w:w="0" w:type="dxa"/>
            <w:bottom w:w="0" w:type="dxa"/>
            <w:right w:w="0" w:type="dxa"/>
          </w:tblCellMar>
        </w:tblPrEx>
        <w:trPr>
          <w:trHeight w:val="353"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交易价格（万元）</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0</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竣工时间</w:t>
            </w:r>
          </w:p>
        </w:tc>
        <w:tc>
          <w:tcPr>
            <w:tcW w:w="4833" w:type="dxa"/>
            <w:gridSpan w:val="4"/>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r>
      <w:tr>
        <w:tblPrEx>
          <w:tblCellMar>
            <w:top w:w="0" w:type="dxa"/>
            <w:left w:w="0" w:type="dxa"/>
            <w:bottom w:w="0" w:type="dxa"/>
            <w:right w:w="0" w:type="dxa"/>
          </w:tblCellMar>
        </w:tblPrEx>
        <w:trPr>
          <w:trHeight w:val="469"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规划用途</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建筑结构</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建筑面积</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套内面积</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分摊面积</w:t>
            </w:r>
          </w:p>
        </w:tc>
      </w:tr>
      <w:tr>
        <w:tblPrEx>
          <w:tblCellMar>
            <w:top w:w="0" w:type="dxa"/>
            <w:left w:w="0" w:type="dxa"/>
            <w:bottom w:w="0" w:type="dxa"/>
            <w:right w:w="0" w:type="dxa"/>
          </w:tblCellMar>
        </w:tblPrEx>
        <w:trPr>
          <w:trHeight w:val="365"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住宅</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混合结构</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129.76（㎡）</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116.33（㎡）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13.43（㎡）</w:t>
            </w:r>
          </w:p>
        </w:tc>
      </w:tr>
      <w:tr>
        <w:tblPrEx>
          <w:tblCellMar>
            <w:top w:w="0" w:type="dxa"/>
            <w:left w:w="0" w:type="dxa"/>
            <w:bottom w:w="0" w:type="dxa"/>
            <w:right w:w="0" w:type="dxa"/>
          </w:tblCellMar>
        </w:tblPrEx>
        <w:trPr>
          <w:trHeight w:val="673" w:hRule="atLeast"/>
        </w:trPr>
        <w:tc>
          <w:tcPr>
            <w:tcW w:w="1026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抵押信息</w:t>
            </w:r>
          </w:p>
        </w:tc>
      </w:tr>
      <w:tr>
        <w:tblPrEx>
          <w:tblCellMar>
            <w:top w:w="0" w:type="dxa"/>
            <w:left w:w="0" w:type="dxa"/>
            <w:bottom w:w="0" w:type="dxa"/>
            <w:right w:w="0" w:type="dxa"/>
          </w:tblCellMar>
        </w:tblPrEx>
        <w:trPr>
          <w:trHeight w:val="380" w:hRule="atLeast"/>
        </w:trPr>
        <w:tc>
          <w:tcPr>
            <w:tcW w:w="1026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32"/>
                <w:szCs w:val="32"/>
                <w:u w:val="none"/>
              </w:rPr>
            </w:pPr>
          </w:p>
        </w:tc>
      </w:tr>
      <w:tr>
        <w:tblPrEx>
          <w:tblCellMar>
            <w:top w:w="0" w:type="dxa"/>
            <w:left w:w="0" w:type="dxa"/>
            <w:bottom w:w="0" w:type="dxa"/>
            <w:right w:w="0" w:type="dxa"/>
          </w:tblCellMar>
        </w:tblPrEx>
        <w:trPr>
          <w:trHeight w:val="414"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抵押期限</w:t>
            </w:r>
          </w:p>
        </w:tc>
        <w:tc>
          <w:tcPr>
            <w:tcW w:w="35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2008-01-17至2018-01-16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抵押权人</w:t>
            </w:r>
          </w:p>
        </w:tc>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中国工商银行股份有限公司六盘水广场支行</w:t>
            </w:r>
          </w:p>
        </w:tc>
      </w:tr>
      <w:tr>
        <w:tblPrEx>
          <w:tblCellMar>
            <w:top w:w="0" w:type="dxa"/>
            <w:left w:w="0" w:type="dxa"/>
            <w:bottom w:w="0" w:type="dxa"/>
            <w:right w:w="0" w:type="dxa"/>
          </w:tblCellMar>
        </w:tblPrEx>
        <w:trPr>
          <w:trHeight w:val="275"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抵押人</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姚雪宝   </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债务人</w:t>
            </w:r>
          </w:p>
        </w:tc>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r>
      <w:tr>
        <w:tblPrEx>
          <w:tblCellMar>
            <w:top w:w="0" w:type="dxa"/>
            <w:left w:w="0" w:type="dxa"/>
            <w:bottom w:w="0" w:type="dxa"/>
            <w:right w:w="0" w:type="dxa"/>
          </w:tblCellMar>
        </w:tblPrEx>
        <w:trPr>
          <w:trHeight w:val="385"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不动产证明号</w:t>
            </w:r>
          </w:p>
        </w:tc>
        <w:tc>
          <w:tcPr>
            <w:tcW w:w="29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T0800042</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登记时间</w:t>
            </w:r>
          </w:p>
        </w:tc>
        <w:tc>
          <w:tcPr>
            <w:tcW w:w="13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2008-1-17</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6"/>
                <w:szCs w:val="16"/>
                <w:u w:val="none"/>
                <w:lang w:val="en-US" w:eastAsia="zh-CN" w:bidi="ar"/>
              </w:rPr>
              <w:t>抵押金额（万元）</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16</w:t>
            </w:r>
          </w:p>
        </w:tc>
      </w:tr>
      <w:tr>
        <w:tblPrEx>
          <w:tblCellMar>
            <w:top w:w="0" w:type="dxa"/>
            <w:left w:w="0" w:type="dxa"/>
            <w:bottom w:w="0" w:type="dxa"/>
            <w:right w:w="0" w:type="dxa"/>
          </w:tblCellMar>
        </w:tblPrEx>
        <w:trPr>
          <w:trHeight w:val="673" w:hRule="atLeast"/>
        </w:trPr>
        <w:tc>
          <w:tcPr>
            <w:tcW w:w="1026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查封信息</w:t>
            </w:r>
          </w:p>
        </w:tc>
      </w:tr>
      <w:tr>
        <w:tblPrEx>
          <w:tblCellMar>
            <w:top w:w="0" w:type="dxa"/>
            <w:left w:w="0" w:type="dxa"/>
            <w:bottom w:w="0" w:type="dxa"/>
            <w:right w:w="0" w:type="dxa"/>
          </w:tblCellMar>
        </w:tblPrEx>
        <w:trPr>
          <w:trHeight w:val="673" w:hRule="atLeast"/>
        </w:trPr>
        <w:tc>
          <w:tcPr>
            <w:tcW w:w="1026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32"/>
                <w:szCs w:val="32"/>
                <w:u w:val="none"/>
              </w:rPr>
            </w:pPr>
          </w:p>
        </w:tc>
      </w:tr>
      <w:tr>
        <w:tblPrEx>
          <w:tblCellMar>
            <w:top w:w="0" w:type="dxa"/>
            <w:left w:w="0" w:type="dxa"/>
            <w:bottom w:w="0" w:type="dxa"/>
            <w:right w:w="0" w:type="dxa"/>
          </w:tblCellMar>
        </w:tblPrEx>
        <w:trPr>
          <w:trHeight w:val="822"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办件名称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贵州省六盘水市钟山区人民法院-土地/房屋查封登记</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查封期限</w:t>
            </w:r>
          </w:p>
        </w:tc>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2019-06-21至2022-06-21</w:t>
            </w:r>
          </w:p>
        </w:tc>
      </w:tr>
      <w:tr>
        <w:tblPrEx>
          <w:tblCellMar>
            <w:top w:w="0" w:type="dxa"/>
            <w:left w:w="0" w:type="dxa"/>
            <w:bottom w:w="0" w:type="dxa"/>
            <w:right w:w="0" w:type="dxa"/>
          </w:tblCellMar>
        </w:tblPrEx>
        <w:trPr>
          <w:trHeight w:val="437"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查封文件</w:t>
            </w:r>
          </w:p>
        </w:tc>
        <w:tc>
          <w:tcPr>
            <w:tcW w:w="83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（2019）黔0201执22号；(2019)黔0201执22号；（2019）黔0201执保232号</w:t>
            </w:r>
          </w:p>
        </w:tc>
      </w:tr>
      <w:tr>
        <w:tblPrEx>
          <w:tblCellMar>
            <w:top w:w="0" w:type="dxa"/>
            <w:left w:w="0" w:type="dxa"/>
            <w:bottom w:w="0" w:type="dxa"/>
            <w:right w:w="0" w:type="dxa"/>
          </w:tblCellMar>
        </w:tblPrEx>
        <w:trPr>
          <w:trHeight w:val="437"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查封原因</w:t>
            </w:r>
          </w:p>
        </w:tc>
        <w:tc>
          <w:tcPr>
            <w:tcW w:w="8348"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r>
      <w:tr>
        <w:tblPrEx>
          <w:tblCellMar>
            <w:top w:w="0" w:type="dxa"/>
            <w:left w:w="0" w:type="dxa"/>
            <w:bottom w:w="0" w:type="dxa"/>
            <w:right w:w="0" w:type="dxa"/>
          </w:tblCellMar>
        </w:tblPrEx>
        <w:trPr>
          <w:trHeight w:val="437" w:hRule="atLeast"/>
        </w:trPr>
        <w:tc>
          <w:tcPr>
            <w:tcW w:w="1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查封机构</w:t>
            </w:r>
          </w:p>
        </w:tc>
        <w:tc>
          <w:tcPr>
            <w:tcW w:w="22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贵</w:t>
            </w:r>
            <w:r>
              <w:rPr>
                <w:rFonts w:hint="eastAsia" w:ascii="宋体" w:hAnsi="宋体" w:eastAsia="宋体" w:cs="宋体"/>
                <w:i w:val="0"/>
                <w:color w:val="auto"/>
                <w:kern w:val="0"/>
                <w:sz w:val="15"/>
                <w:szCs w:val="15"/>
                <w:u w:val="none"/>
                <w:lang w:val="en-US" w:eastAsia="zh-CN" w:bidi="ar"/>
              </w:rPr>
              <w:t>州省六盘水市钟山区人民法院</w:t>
            </w:r>
          </w:p>
        </w:tc>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查封日期</w:t>
            </w:r>
          </w:p>
        </w:tc>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r>
      <w:tr>
        <w:tblPrEx>
          <w:tblCellMar>
            <w:top w:w="0" w:type="dxa"/>
            <w:left w:w="0" w:type="dxa"/>
            <w:bottom w:w="0" w:type="dxa"/>
            <w:right w:w="0" w:type="dxa"/>
          </w:tblCellMar>
        </w:tblPrEx>
        <w:trPr>
          <w:trHeight w:val="437" w:hRule="atLeast"/>
        </w:trPr>
        <w:tc>
          <w:tcPr>
            <w:tcW w:w="1912"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c>
          <w:tcPr>
            <w:tcW w:w="2982"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c>
          <w:tcPr>
            <w:tcW w:w="1431"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c>
          <w:tcPr>
            <w:tcW w:w="2511" w:type="dxa"/>
            <w:gridSpan w:val="2"/>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0"/>
                <w:sz w:val="18"/>
                <w:szCs w:val="18"/>
                <w:u w:val="none"/>
                <w:lang w:val="en-US" w:eastAsia="zh-CN" w:bidi="ar"/>
              </w:rPr>
            </w:pPr>
          </w:p>
        </w:tc>
        <w:tc>
          <w:tcPr>
            <w:tcW w:w="142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r>
    </w:tbl>
    <w:p>
      <w:pPr>
        <w:jc w:val="left"/>
        <w:rPr>
          <w:rFonts w:hint="default" w:ascii="Times New Roman" w:hAnsi="Times New Roman" w:eastAsia="仿宋" w:cs="Times New Roman"/>
          <w:color w:val="auto"/>
          <w:spacing w:val="-4"/>
          <w:sz w:val="28"/>
          <w:szCs w:val="28"/>
        </w:rPr>
      </w:pP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eastAsia="仿宋"/>
          <w:color w:val="auto"/>
          <w:sz w:val="28"/>
        </w:rPr>
      </w:pPr>
      <w:r>
        <w:rPr>
          <w:rFonts w:hint="eastAsia" w:ascii="微软雅黑" w:hAnsi="微软雅黑" w:eastAsia="微软雅黑" w:cs="微软雅黑"/>
          <w:b w:val="0"/>
          <w:bCs/>
          <w:color w:val="auto"/>
          <w:sz w:val="28"/>
          <w:szCs w:val="28"/>
        </w:rPr>
        <w:t>②</w:t>
      </w:r>
      <w:r>
        <w:rPr>
          <w:rFonts w:hint="eastAsia" w:ascii="仿宋" w:hAnsi="仿宋" w:eastAsia="仿宋" w:cs="仿宋"/>
          <w:b w:val="0"/>
          <w:bCs/>
          <w:color w:val="auto"/>
          <w:sz w:val="28"/>
          <w:szCs w:val="28"/>
          <w:lang w:eastAsia="zh-CN"/>
        </w:rPr>
        <w:t>、</w:t>
      </w:r>
      <w:r>
        <w:rPr>
          <w:rFonts w:eastAsia="仿宋"/>
          <w:color w:val="auto"/>
          <w:sz w:val="28"/>
        </w:rPr>
        <w:t>土地使用权</w:t>
      </w:r>
      <w:r>
        <w:rPr>
          <w:rFonts w:hint="eastAsia" w:eastAsia="仿宋"/>
          <w:color w:val="auto"/>
          <w:sz w:val="28"/>
        </w:rPr>
        <w:t>权益</w:t>
      </w:r>
      <w:r>
        <w:rPr>
          <w:rFonts w:eastAsia="仿宋"/>
          <w:color w:val="auto"/>
          <w:sz w:val="28"/>
        </w:rPr>
        <w:t>状况</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eastAsia="仿宋"/>
          <w:color w:val="auto"/>
          <w:sz w:val="28"/>
        </w:rPr>
      </w:pPr>
      <w:r>
        <w:rPr>
          <w:rFonts w:ascii="Times New Roman" w:hAnsi="Times New Roman" w:eastAsia="仿宋"/>
          <w:color w:val="auto"/>
          <w:sz w:val="28"/>
        </w:rPr>
        <w:t>因无法获取估价对象的《房屋所有权证》、《国有土地使用证》，估价对象的权属、建筑面积、用途等，是根据委托方提供的《贵州省六盘水市钟山区人民法院评估委托书》（</w:t>
      </w:r>
      <w:r>
        <w:rPr>
          <w:rFonts w:hint="eastAsia" w:ascii="Times New Roman" w:hAnsi="Times New Roman" w:eastAsia="仿宋"/>
          <w:color w:val="auto"/>
          <w:sz w:val="28"/>
          <w:lang w:eastAsia="zh-CN"/>
        </w:rPr>
        <w:t>（2019）黔钟委评字第123号</w:t>
      </w:r>
      <w:r>
        <w:rPr>
          <w:rFonts w:ascii="Times New Roman" w:hAnsi="Times New Roman" w:eastAsia="仿宋"/>
          <w:color w:val="auto"/>
          <w:sz w:val="28"/>
        </w:rPr>
        <w:t>）、</w:t>
      </w:r>
      <w:r>
        <w:rPr>
          <w:rFonts w:hint="eastAsia" w:eastAsia="仿宋_GB2312"/>
          <w:b w:val="0"/>
          <w:bCs/>
          <w:color w:val="auto"/>
          <w:sz w:val="28"/>
          <w:szCs w:val="28"/>
          <w:lang w:eastAsia="zh-CN"/>
        </w:rPr>
        <w:t>《房屋记载表》不动产单元号：520221001007GB00025F00010123</w:t>
      </w:r>
      <w:r>
        <w:rPr>
          <w:rFonts w:ascii="Times New Roman" w:hAnsi="Times New Roman" w:eastAsia="仿宋"/>
          <w:color w:val="auto"/>
          <w:sz w:val="28"/>
        </w:rPr>
        <w:t>资料上取得的</w:t>
      </w:r>
      <w:r>
        <w:rPr>
          <w:rFonts w:hint="eastAsia" w:ascii="仿宋" w:hAnsi="仿宋" w:eastAsia="仿宋"/>
          <w:bCs/>
          <w:color w:val="auto"/>
          <w:sz w:val="28"/>
        </w:rPr>
        <w:t>。</w:t>
      </w:r>
      <w:r>
        <w:rPr>
          <w:rFonts w:ascii="仿宋" w:hAnsi="仿宋" w:eastAsia="仿宋"/>
          <w:color w:val="auto"/>
          <w:sz w:val="28"/>
        </w:rPr>
        <w:t>估价对象用途为</w:t>
      </w:r>
      <w:r>
        <w:rPr>
          <w:rFonts w:hint="eastAsia" w:ascii="仿宋" w:hAnsi="仿宋" w:eastAsia="仿宋"/>
          <w:color w:val="auto"/>
          <w:sz w:val="28"/>
          <w:lang w:eastAsia="zh-CN"/>
        </w:rPr>
        <w:t>住宅</w:t>
      </w:r>
      <w:r>
        <w:rPr>
          <w:rFonts w:ascii="仿宋" w:hAnsi="仿宋" w:eastAsia="仿宋"/>
          <w:color w:val="auto"/>
          <w:sz w:val="28"/>
        </w:rPr>
        <w:t>，本次估价设定估价对象所占用的土地用途为</w:t>
      </w:r>
      <w:r>
        <w:rPr>
          <w:rFonts w:hint="eastAsia" w:ascii="仿宋" w:hAnsi="仿宋" w:eastAsia="仿宋"/>
          <w:color w:val="auto"/>
          <w:sz w:val="28"/>
          <w:lang w:eastAsia="zh-CN"/>
        </w:rPr>
        <w:t>住宅</w:t>
      </w:r>
      <w:r>
        <w:rPr>
          <w:rFonts w:ascii="仿宋" w:hAnsi="仿宋" w:eastAsia="仿宋"/>
          <w:color w:val="auto"/>
          <w:sz w:val="28"/>
        </w:rPr>
        <w:t>用地、土地使用权取得方式设定为出让，且已缴纳相关税费。</w:t>
      </w:r>
    </w:p>
    <w:p>
      <w:pPr>
        <w:overflowPunct w:val="0"/>
        <w:topLinePunct/>
        <w:adjustRightInd w:val="0"/>
        <w:snapToGrid w:val="0"/>
        <w:spacing w:before="156" w:beforeLines="50" w:after="156" w:afterLines="50" w:line="360" w:lineRule="auto"/>
        <w:ind w:firstLine="560" w:firstLineChars="200"/>
        <w:rPr>
          <w:rFonts w:eastAsia="仿宋"/>
          <w:bCs/>
          <w:color w:val="auto"/>
          <w:sz w:val="28"/>
        </w:rPr>
      </w:pPr>
      <w:r>
        <w:rPr>
          <w:rFonts w:hint="eastAsia" w:eastAsia="仿宋"/>
          <w:bCs/>
          <w:color w:val="auto"/>
          <w:sz w:val="28"/>
          <w:lang w:eastAsia="zh-CN"/>
        </w:rPr>
        <w:t>另</w:t>
      </w:r>
      <w:r>
        <w:rPr>
          <w:rFonts w:eastAsia="仿宋"/>
          <w:bCs/>
          <w:color w:val="auto"/>
          <w:sz w:val="28"/>
        </w:rPr>
        <w:t>根据估价目的，</w:t>
      </w:r>
      <w:r>
        <w:rPr>
          <w:rFonts w:hint="eastAsia" w:eastAsia="仿宋"/>
          <w:bCs/>
          <w:color w:val="auto"/>
          <w:sz w:val="28"/>
        </w:rPr>
        <w:t>本次</w:t>
      </w:r>
      <w:r>
        <w:rPr>
          <w:rFonts w:eastAsia="仿宋"/>
          <w:bCs/>
          <w:color w:val="auto"/>
          <w:sz w:val="28"/>
        </w:rPr>
        <w:t>估价仅是为委托方受理案件提供估价对象在估价时点的公开市场价值参考依据。因此本次评估</w:t>
      </w:r>
      <w:r>
        <w:rPr>
          <w:rFonts w:hint="eastAsia" w:eastAsia="仿宋"/>
          <w:bCs/>
          <w:color w:val="auto"/>
          <w:sz w:val="28"/>
        </w:rPr>
        <w:t>未</w:t>
      </w:r>
      <w:r>
        <w:rPr>
          <w:rFonts w:eastAsia="仿宋"/>
          <w:bCs/>
          <w:color w:val="auto"/>
          <w:sz w:val="28"/>
        </w:rPr>
        <w:t>考虑估价对象存在的法定优先受偿款情况，但是在处置该房地产时，会涉及到法定优先受偿款，会影响到房产受让方收益价值，在此提请估价报告使用方注意。</w:t>
      </w:r>
    </w:p>
    <w:p>
      <w:pPr>
        <w:overflowPunct w:val="0"/>
        <w:topLinePunct/>
        <w:adjustRightInd w:val="0"/>
        <w:snapToGrid w:val="0"/>
        <w:spacing w:line="360" w:lineRule="auto"/>
        <w:ind w:firstLine="560" w:firstLineChars="200"/>
        <w:jc w:val="left"/>
        <w:rPr>
          <w:rFonts w:eastAsia="仿宋"/>
          <w:color w:val="auto"/>
          <w:sz w:val="28"/>
          <w:szCs w:val="28"/>
        </w:rPr>
      </w:pPr>
      <w:r>
        <w:rPr>
          <w:rFonts w:hint="eastAsia" w:eastAsia="仿宋"/>
          <w:color w:val="auto"/>
          <w:sz w:val="28"/>
          <w:szCs w:val="28"/>
          <w:lang w:val="en-US" w:eastAsia="zh-CN"/>
        </w:rPr>
        <w:t>3、</w:t>
      </w:r>
      <w:r>
        <w:rPr>
          <w:rFonts w:eastAsia="仿宋"/>
          <w:color w:val="auto"/>
          <w:sz w:val="28"/>
          <w:szCs w:val="28"/>
        </w:rPr>
        <w:t xml:space="preserve">估价对象实物状况 </w:t>
      </w:r>
    </w:p>
    <w:p>
      <w:pPr>
        <w:overflowPunct w:val="0"/>
        <w:topLinePunct/>
        <w:adjustRightInd w:val="0"/>
        <w:snapToGrid w:val="0"/>
        <w:spacing w:before="156" w:beforeLines="50" w:after="156" w:afterLines="50" w:line="360" w:lineRule="auto"/>
        <w:ind w:firstLine="560" w:firstLineChars="200"/>
        <w:jc w:val="left"/>
        <w:rPr>
          <w:rFonts w:eastAsia="仿宋"/>
          <w:color w:val="auto"/>
          <w:kern w:val="0"/>
          <w:sz w:val="28"/>
          <w:szCs w:val="28"/>
        </w:rPr>
      </w:pPr>
      <w:r>
        <w:rPr>
          <w:rFonts w:eastAsia="仿宋"/>
          <w:color w:val="auto"/>
          <w:sz w:val="28"/>
          <w:szCs w:val="28"/>
        </w:rPr>
        <w:t>估价对象位于</w:t>
      </w:r>
      <w:r>
        <w:rPr>
          <w:rFonts w:hint="eastAsia" w:eastAsia="仿宋"/>
          <w:color w:val="auto"/>
          <w:sz w:val="28"/>
          <w:szCs w:val="28"/>
        </w:rPr>
        <w:t>贵州省</w:t>
      </w:r>
      <w:r>
        <w:rPr>
          <w:rFonts w:hint="eastAsia" w:eastAsia="仿宋"/>
          <w:color w:val="auto"/>
          <w:kern w:val="0"/>
          <w:sz w:val="28"/>
          <w:szCs w:val="28"/>
          <w:lang w:eastAsia="zh-CN"/>
        </w:rPr>
        <w:t>贵州省水城县双水新区钟山东路北侧，高林路以东世纪雅苑2幢3单元9层909号</w:t>
      </w:r>
      <w:r>
        <w:rPr>
          <w:rFonts w:eastAsia="仿宋"/>
          <w:bCs/>
          <w:color w:val="auto"/>
          <w:sz w:val="28"/>
        </w:rPr>
        <w:t>，建筑面积为</w:t>
      </w:r>
      <w:r>
        <w:rPr>
          <w:rFonts w:hint="eastAsia" w:ascii="Times New Roman" w:hAnsi="Times New Roman" w:eastAsia="仿宋"/>
          <w:bCs/>
          <w:snapToGrid w:val="0"/>
          <w:color w:val="auto"/>
          <w:kern w:val="0"/>
          <w:sz w:val="28"/>
          <w:lang w:val="en-US" w:eastAsia="zh-CN"/>
        </w:rPr>
        <w:t>129.76</w:t>
      </w:r>
      <w:r>
        <w:rPr>
          <w:rFonts w:eastAsia="仿宋"/>
          <w:bCs/>
          <w:color w:val="auto"/>
          <w:sz w:val="28"/>
        </w:rPr>
        <w:t>平方米。</w:t>
      </w:r>
      <w:r>
        <w:rPr>
          <w:rFonts w:eastAsia="仿宋"/>
          <w:color w:val="auto"/>
          <w:kern w:val="0"/>
          <w:sz w:val="28"/>
          <w:szCs w:val="28"/>
        </w:rPr>
        <w:t>建筑结构为</w:t>
      </w:r>
      <w:r>
        <w:rPr>
          <w:rFonts w:hint="eastAsia" w:eastAsia="仿宋"/>
          <w:color w:val="auto"/>
          <w:kern w:val="0"/>
          <w:sz w:val="28"/>
          <w:szCs w:val="28"/>
          <w:lang w:eastAsia="zh-CN"/>
        </w:rPr>
        <w:t>框架</w:t>
      </w:r>
      <w:r>
        <w:rPr>
          <w:rFonts w:eastAsia="仿宋"/>
          <w:color w:val="auto"/>
          <w:kern w:val="0"/>
          <w:sz w:val="28"/>
          <w:szCs w:val="28"/>
        </w:rPr>
        <w:t>，总层数为</w:t>
      </w:r>
      <w:r>
        <w:rPr>
          <w:rFonts w:hint="eastAsia" w:eastAsia="仿宋"/>
          <w:color w:val="auto"/>
          <w:kern w:val="0"/>
          <w:sz w:val="28"/>
          <w:szCs w:val="28"/>
          <w:lang w:val="en-US" w:eastAsia="zh-CN"/>
        </w:rPr>
        <w:t>14</w:t>
      </w:r>
      <w:r>
        <w:rPr>
          <w:rFonts w:eastAsia="仿宋"/>
          <w:color w:val="auto"/>
          <w:kern w:val="0"/>
          <w:sz w:val="28"/>
          <w:szCs w:val="28"/>
        </w:rPr>
        <w:t>层，所在层数为第</w:t>
      </w:r>
      <w:r>
        <w:rPr>
          <w:rFonts w:hint="eastAsia" w:eastAsia="仿宋"/>
          <w:color w:val="auto"/>
          <w:kern w:val="0"/>
          <w:sz w:val="28"/>
          <w:szCs w:val="28"/>
          <w:lang w:val="en-US" w:eastAsia="zh-CN"/>
        </w:rPr>
        <w:t>9</w:t>
      </w:r>
      <w:r>
        <w:rPr>
          <w:rFonts w:eastAsia="仿宋"/>
          <w:color w:val="auto"/>
          <w:kern w:val="0"/>
          <w:sz w:val="28"/>
          <w:szCs w:val="28"/>
        </w:rPr>
        <w:t>层，房屋外墙为</w:t>
      </w:r>
      <w:r>
        <w:rPr>
          <w:rFonts w:hint="eastAsia" w:eastAsia="仿宋"/>
          <w:color w:val="auto"/>
          <w:kern w:val="0"/>
          <w:sz w:val="28"/>
          <w:szCs w:val="28"/>
          <w:lang w:eastAsia="zh-CN"/>
        </w:rPr>
        <w:t>外墙砖铺贴</w:t>
      </w:r>
      <w:r>
        <w:rPr>
          <w:rFonts w:eastAsia="仿宋"/>
          <w:color w:val="auto"/>
          <w:kern w:val="0"/>
          <w:sz w:val="28"/>
          <w:szCs w:val="28"/>
        </w:rPr>
        <w:t>；户型为</w:t>
      </w:r>
      <w:r>
        <w:rPr>
          <w:rFonts w:hint="eastAsia" w:eastAsia="仿宋"/>
          <w:color w:val="auto"/>
          <w:kern w:val="0"/>
          <w:sz w:val="28"/>
          <w:szCs w:val="28"/>
          <w:lang w:eastAsia="zh-CN"/>
        </w:rPr>
        <w:t>三</w:t>
      </w:r>
      <w:r>
        <w:rPr>
          <w:rFonts w:eastAsia="仿宋"/>
          <w:color w:val="auto"/>
          <w:kern w:val="0"/>
          <w:sz w:val="28"/>
          <w:szCs w:val="28"/>
        </w:rPr>
        <w:t>室</w:t>
      </w:r>
      <w:r>
        <w:rPr>
          <w:rFonts w:hint="eastAsia" w:eastAsia="仿宋"/>
          <w:color w:val="auto"/>
          <w:kern w:val="0"/>
          <w:sz w:val="28"/>
          <w:szCs w:val="28"/>
        </w:rPr>
        <w:t>一</w:t>
      </w:r>
      <w:r>
        <w:rPr>
          <w:rFonts w:eastAsia="仿宋"/>
          <w:color w:val="auto"/>
          <w:kern w:val="0"/>
          <w:sz w:val="28"/>
          <w:szCs w:val="28"/>
        </w:rPr>
        <w:t>厅一厨</w:t>
      </w:r>
      <w:r>
        <w:rPr>
          <w:rFonts w:hint="eastAsia" w:eastAsia="仿宋"/>
          <w:color w:val="auto"/>
          <w:kern w:val="0"/>
          <w:sz w:val="28"/>
          <w:szCs w:val="28"/>
          <w:lang w:eastAsia="zh-CN"/>
        </w:rPr>
        <w:t>两</w:t>
      </w:r>
      <w:r>
        <w:rPr>
          <w:rFonts w:eastAsia="仿宋"/>
          <w:color w:val="auto"/>
          <w:kern w:val="0"/>
          <w:sz w:val="28"/>
          <w:szCs w:val="28"/>
        </w:rPr>
        <w:t>卫</w:t>
      </w:r>
      <w:r>
        <w:rPr>
          <w:rFonts w:hint="eastAsia" w:eastAsia="仿宋"/>
          <w:color w:val="auto"/>
          <w:kern w:val="0"/>
          <w:sz w:val="28"/>
          <w:szCs w:val="28"/>
          <w:lang w:eastAsia="zh-CN"/>
        </w:rPr>
        <w:t>一阳</w:t>
      </w:r>
      <w:r>
        <w:rPr>
          <w:rFonts w:eastAsia="仿宋"/>
          <w:color w:val="auto"/>
          <w:kern w:val="0"/>
          <w:sz w:val="28"/>
          <w:szCs w:val="28"/>
        </w:rPr>
        <w:t>型，入户防盗门，水、电独立入户；楼梯间：地面水泥清光</w:t>
      </w:r>
      <w:r>
        <w:rPr>
          <w:rFonts w:hint="eastAsia" w:eastAsia="仿宋"/>
          <w:color w:val="auto"/>
          <w:kern w:val="0"/>
          <w:sz w:val="28"/>
          <w:szCs w:val="28"/>
        </w:rPr>
        <w:t>，</w:t>
      </w:r>
      <w:r>
        <w:rPr>
          <w:rFonts w:eastAsia="仿宋"/>
          <w:color w:val="auto"/>
          <w:kern w:val="0"/>
          <w:sz w:val="28"/>
          <w:szCs w:val="28"/>
        </w:rPr>
        <w:t>墙面</w:t>
      </w:r>
      <w:r>
        <w:rPr>
          <w:rFonts w:hint="eastAsia" w:eastAsia="仿宋"/>
          <w:color w:val="auto"/>
          <w:kern w:val="0"/>
          <w:sz w:val="28"/>
          <w:szCs w:val="28"/>
        </w:rPr>
        <w:t>、</w:t>
      </w:r>
      <w:r>
        <w:rPr>
          <w:rFonts w:eastAsia="仿宋"/>
          <w:color w:val="auto"/>
          <w:kern w:val="0"/>
          <w:sz w:val="28"/>
          <w:szCs w:val="28"/>
        </w:rPr>
        <w:t>顶面为</w:t>
      </w:r>
      <w:r>
        <w:rPr>
          <w:rFonts w:eastAsia="仿宋"/>
          <w:color w:val="auto"/>
          <w:sz w:val="28"/>
          <w:szCs w:val="28"/>
        </w:rPr>
        <w:t>瓷粉粉刷</w:t>
      </w:r>
      <w:r>
        <w:rPr>
          <w:rFonts w:eastAsia="仿宋"/>
          <w:color w:val="auto"/>
          <w:kern w:val="0"/>
          <w:sz w:val="28"/>
          <w:szCs w:val="28"/>
        </w:rPr>
        <w:t>。</w:t>
      </w:r>
    </w:p>
    <w:p>
      <w:pPr>
        <w:overflowPunct w:val="0"/>
        <w:topLinePunct/>
        <w:adjustRightInd w:val="0"/>
        <w:snapToGrid w:val="0"/>
        <w:spacing w:line="360" w:lineRule="auto"/>
        <w:ind w:firstLine="560" w:firstLineChars="200"/>
        <w:jc w:val="left"/>
        <w:rPr>
          <w:rFonts w:eastAsia="仿宋"/>
          <w:bCs/>
          <w:color w:val="auto"/>
          <w:sz w:val="28"/>
        </w:rPr>
      </w:pPr>
      <w:r>
        <w:rPr>
          <w:rFonts w:eastAsia="仿宋"/>
          <w:color w:val="auto"/>
          <w:sz w:val="28"/>
          <w:szCs w:val="28"/>
        </w:rPr>
        <w:t>室内装修情况：客厅地面</w:t>
      </w:r>
      <w:r>
        <w:rPr>
          <w:rFonts w:hint="eastAsia" w:eastAsia="仿宋"/>
          <w:color w:val="auto"/>
          <w:sz w:val="28"/>
          <w:szCs w:val="28"/>
          <w:lang w:eastAsia="zh-CN"/>
        </w:rPr>
        <w:t>复合木地板</w:t>
      </w:r>
      <w:r>
        <w:rPr>
          <w:rFonts w:eastAsia="仿宋"/>
          <w:color w:val="auto"/>
          <w:sz w:val="28"/>
          <w:szCs w:val="28"/>
        </w:rPr>
        <w:t>铺贴，客厅墙面</w:t>
      </w:r>
      <w:r>
        <w:rPr>
          <w:rFonts w:hint="eastAsia" w:eastAsia="仿宋"/>
          <w:color w:val="auto"/>
          <w:sz w:val="28"/>
          <w:szCs w:val="28"/>
          <w:lang w:eastAsia="zh-CN"/>
        </w:rPr>
        <w:t>均为瓷粉粉刷乳胶漆涂饰</w:t>
      </w:r>
      <w:r>
        <w:rPr>
          <w:rFonts w:hint="eastAsia" w:eastAsia="仿宋"/>
          <w:color w:val="auto"/>
          <w:sz w:val="28"/>
          <w:szCs w:val="28"/>
        </w:rPr>
        <w:t>，</w:t>
      </w:r>
      <w:r>
        <w:rPr>
          <w:rFonts w:eastAsia="仿宋"/>
          <w:color w:val="auto"/>
          <w:sz w:val="28"/>
          <w:szCs w:val="28"/>
        </w:rPr>
        <w:t>天花</w:t>
      </w:r>
      <w:r>
        <w:rPr>
          <w:rFonts w:hint="eastAsia" w:eastAsia="仿宋"/>
          <w:color w:val="auto"/>
          <w:sz w:val="28"/>
          <w:szCs w:val="28"/>
        </w:rPr>
        <w:t>板</w:t>
      </w:r>
      <w:r>
        <w:rPr>
          <w:rFonts w:eastAsia="仿宋"/>
          <w:color w:val="auto"/>
          <w:sz w:val="28"/>
          <w:szCs w:val="28"/>
        </w:rPr>
        <w:t>为石膏</w:t>
      </w:r>
      <w:r>
        <w:rPr>
          <w:rFonts w:hint="eastAsia" w:eastAsia="仿宋"/>
          <w:color w:val="auto"/>
          <w:sz w:val="28"/>
          <w:szCs w:val="28"/>
        </w:rPr>
        <w:t>板装饰</w:t>
      </w:r>
      <w:r>
        <w:rPr>
          <w:rFonts w:eastAsia="仿宋"/>
          <w:color w:val="auto"/>
          <w:sz w:val="28"/>
          <w:szCs w:val="28"/>
        </w:rPr>
        <w:t>吊顶</w:t>
      </w:r>
      <w:r>
        <w:rPr>
          <w:rFonts w:hint="eastAsia" w:eastAsia="仿宋"/>
          <w:color w:val="auto"/>
          <w:sz w:val="28"/>
          <w:szCs w:val="28"/>
        </w:rPr>
        <w:t>；</w:t>
      </w:r>
      <w:r>
        <w:rPr>
          <w:rFonts w:hint="eastAsia" w:eastAsia="仿宋"/>
          <w:color w:val="auto"/>
          <w:sz w:val="28"/>
          <w:szCs w:val="28"/>
          <w:lang w:eastAsia="zh-CN"/>
        </w:rPr>
        <w:t>主</w:t>
      </w:r>
      <w:r>
        <w:rPr>
          <w:rFonts w:eastAsia="仿宋"/>
          <w:color w:val="auto"/>
          <w:sz w:val="28"/>
          <w:szCs w:val="28"/>
        </w:rPr>
        <w:t>卧室</w:t>
      </w:r>
      <w:r>
        <w:rPr>
          <w:rFonts w:hint="eastAsia" w:eastAsia="仿宋"/>
          <w:color w:val="auto"/>
          <w:sz w:val="28"/>
          <w:szCs w:val="28"/>
        </w:rPr>
        <w:t>地面</w:t>
      </w:r>
      <w:r>
        <w:rPr>
          <w:rFonts w:hint="eastAsia" w:eastAsia="仿宋"/>
          <w:color w:val="auto"/>
          <w:sz w:val="28"/>
          <w:szCs w:val="28"/>
          <w:lang w:eastAsia="zh-CN"/>
        </w:rPr>
        <w:t>复合木地板</w:t>
      </w:r>
      <w:r>
        <w:rPr>
          <w:rFonts w:eastAsia="仿宋"/>
          <w:color w:val="auto"/>
          <w:sz w:val="28"/>
          <w:szCs w:val="28"/>
        </w:rPr>
        <w:t>铺贴，墙面</w:t>
      </w:r>
      <w:r>
        <w:rPr>
          <w:rFonts w:hint="eastAsia" w:eastAsia="仿宋"/>
          <w:color w:val="auto"/>
          <w:sz w:val="28"/>
          <w:szCs w:val="28"/>
          <w:lang w:eastAsia="zh-CN"/>
        </w:rPr>
        <w:t>为瓷粉粉刷乳胶漆涂饰、</w:t>
      </w:r>
      <w:r>
        <w:rPr>
          <w:rFonts w:eastAsia="仿宋"/>
          <w:color w:val="auto"/>
          <w:sz w:val="28"/>
          <w:szCs w:val="28"/>
        </w:rPr>
        <w:t>天花</w:t>
      </w:r>
      <w:r>
        <w:rPr>
          <w:rFonts w:hint="eastAsia" w:eastAsia="仿宋"/>
          <w:color w:val="auto"/>
          <w:sz w:val="28"/>
          <w:szCs w:val="28"/>
        </w:rPr>
        <w:t>板</w:t>
      </w:r>
      <w:r>
        <w:rPr>
          <w:rFonts w:eastAsia="仿宋"/>
          <w:color w:val="auto"/>
          <w:sz w:val="28"/>
          <w:szCs w:val="28"/>
        </w:rPr>
        <w:t>为</w:t>
      </w:r>
      <w:r>
        <w:rPr>
          <w:rFonts w:hint="eastAsia" w:eastAsia="仿宋"/>
          <w:color w:val="auto"/>
          <w:sz w:val="28"/>
          <w:szCs w:val="28"/>
          <w:lang w:eastAsia="zh-CN"/>
        </w:rPr>
        <w:t>瓷粉粉刷乳胶漆涂饰</w:t>
      </w:r>
      <w:r>
        <w:rPr>
          <w:rFonts w:eastAsia="仿宋"/>
          <w:color w:val="auto"/>
          <w:sz w:val="28"/>
          <w:szCs w:val="28"/>
        </w:rPr>
        <w:t>；</w:t>
      </w:r>
      <w:r>
        <w:rPr>
          <w:rFonts w:hint="eastAsia" w:eastAsia="仿宋"/>
          <w:color w:val="auto"/>
          <w:sz w:val="28"/>
          <w:szCs w:val="28"/>
          <w:lang w:eastAsia="zh-CN"/>
        </w:rPr>
        <w:t>次卧复合木地板</w:t>
      </w:r>
      <w:r>
        <w:rPr>
          <w:rFonts w:eastAsia="仿宋"/>
          <w:color w:val="auto"/>
          <w:sz w:val="28"/>
          <w:szCs w:val="28"/>
        </w:rPr>
        <w:t>铺贴、墙面</w:t>
      </w:r>
      <w:r>
        <w:rPr>
          <w:rFonts w:hint="eastAsia" w:eastAsia="仿宋"/>
          <w:color w:val="auto"/>
          <w:sz w:val="28"/>
          <w:szCs w:val="28"/>
          <w:lang w:eastAsia="zh-CN"/>
        </w:rPr>
        <w:t>瓷粉粉刷乳胶漆涂饰</w:t>
      </w:r>
      <w:r>
        <w:rPr>
          <w:rFonts w:eastAsia="仿宋"/>
          <w:color w:val="auto"/>
          <w:sz w:val="28"/>
          <w:szCs w:val="28"/>
        </w:rPr>
        <w:t>、</w:t>
      </w:r>
      <w:r>
        <w:rPr>
          <w:rFonts w:eastAsia="仿宋"/>
          <w:color w:val="auto"/>
          <w:kern w:val="0"/>
          <w:sz w:val="28"/>
          <w:szCs w:val="28"/>
        </w:rPr>
        <w:t>顶面为</w:t>
      </w:r>
      <w:r>
        <w:rPr>
          <w:rFonts w:hint="eastAsia" w:eastAsia="仿宋"/>
          <w:color w:val="auto"/>
          <w:sz w:val="28"/>
          <w:szCs w:val="28"/>
          <w:lang w:eastAsia="zh-CN"/>
        </w:rPr>
        <w:t>瓷粉粉刷乳胶漆涂饰</w:t>
      </w:r>
      <w:r>
        <w:rPr>
          <w:rFonts w:eastAsia="仿宋"/>
          <w:color w:val="auto"/>
          <w:sz w:val="28"/>
          <w:szCs w:val="28"/>
        </w:rPr>
        <w:t>；</w:t>
      </w:r>
      <w:r>
        <w:rPr>
          <w:rFonts w:hint="eastAsia" w:eastAsia="仿宋"/>
          <w:color w:val="auto"/>
          <w:sz w:val="28"/>
          <w:szCs w:val="28"/>
          <w:lang w:eastAsia="zh-CN"/>
        </w:rPr>
        <w:t>厨房</w:t>
      </w:r>
      <w:r>
        <w:rPr>
          <w:rFonts w:eastAsia="仿宋"/>
          <w:color w:val="auto"/>
          <w:sz w:val="28"/>
          <w:szCs w:val="28"/>
        </w:rPr>
        <w:t>地面普通瓷砖铺贴</w:t>
      </w:r>
      <w:r>
        <w:rPr>
          <w:rFonts w:hint="eastAsia" w:eastAsia="仿宋"/>
          <w:color w:val="auto"/>
          <w:sz w:val="28"/>
          <w:szCs w:val="28"/>
          <w:lang w:eastAsia="zh-CN"/>
        </w:rPr>
        <w:t>、</w:t>
      </w:r>
      <w:r>
        <w:rPr>
          <w:rFonts w:eastAsia="仿宋"/>
          <w:color w:val="auto"/>
          <w:sz w:val="28"/>
          <w:szCs w:val="28"/>
        </w:rPr>
        <w:t>墙面</w:t>
      </w:r>
      <w:r>
        <w:rPr>
          <w:rFonts w:hint="eastAsia" w:eastAsia="仿宋"/>
          <w:color w:val="auto"/>
          <w:sz w:val="28"/>
          <w:szCs w:val="28"/>
          <w:lang w:eastAsia="zh-CN"/>
        </w:rPr>
        <w:t>普通墙砖</w:t>
      </w:r>
      <w:r>
        <w:rPr>
          <w:rFonts w:eastAsia="仿宋"/>
          <w:color w:val="auto"/>
          <w:sz w:val="28"/>
          <w:szCs w:val="28"/>
        </w:rPr>
        <w:t>到顶</w:t>
      </w:r>
      <w:r>
        <w:rPr>
          <w:rFonts w:hint="eastAsia" w:eastAsia="仿宋"/>
          <w:color w:val="auto"/>
          <w:sz w:val="28"/>
          <w:szCs w:val="28"/>
          <w:lang w:eastAsia="zh-CN"/>
        </w:rPr>
        <w:t>，顶面铝塑扣板吊顶；卫生间</w:t>
      </w:r>
      <w:r>
        <w:rPr>
          <w:rFonts w:eastAsia="仿宋"/>
          <w:color w:val="auto"/>
          <w:sz w:val="28"/>
          <w:szCs w:val="28"/>
        </w:rPr>
        <w:t>地面普通瓷砖铺贴</w:t>
      </w:r>
      <w:r>
        <w:rPr>
          <w:rFonts w:hint="eastAsia" w:eastAsia="仿宋"/>
          <w:color w:val="auto"/>
          <w:sz w:val="28"/>
          <w:szCs w:val="28"/>
          <w:lang w:eastAsia="zh-CN"/>
        </w:rPr>
        <w:t>、</w:t>
      </w:r>
      <w:r>
        <w:rPr>
          <w:rFonts w:eastAsia="仿宋"/>
          <w:color w:val="auto"/>
          <w:sz w:val="28"/>
          <w:szCs w:val="28"/>
        </w:rPr>
        <w:t>墙面</w:t>
      </w:r>
      <w:r>
        <w:rPr>
          <w:rFonts w:hint="eastAsia" w:eastAsia="仿宋"/>
          <w:color w:val="auto"/>
          <w:sz w:val="28"/>
          <w:szCs w:val="28"/>
          <w:lang w:eastAsia="zh-CN"/>
        </w:rPr>
        <w:t>普通墙砖</w:t>
      </w:r>
      <w:r>
        <w:rPr>
          <w:rFonts w:eastAsia="仿宋"/>
          <w:color w:val="auto"/>
          <w:sz w:val="28"/>
          <w:szCs w:val="28"/>
        </w:rPr>
        <w:t>到顶</w:t>
      </w:r>
      <w:r>
        <w:rPr>
          <w:rFonts w:hint="eastAsia" w:eastAsia="仿宋"/>
          <w:color w:val="auto"/>
          <w:sz w:val="28"/>
          <w:szCs w:val="28"/>
          <w:lang w:eastAsia="zh-CN"/>
        </w:rPr>
        <w:t>，顶面铝塑扣板吊顶；</w:t>
      </w:r>
      <w:r>
        <w:rPr>
          <w:rFonts w:eastAsia="仿宋"/>
          <w:color w:val="auto"/>
          <w:sz w:val="28"/>
          <w:szCs w:val="28"/>
        </w:rPr>
        <w:t>室</w:t>
      </w:r>
      <w:r>
        <w:rPr>
          <w:rFonts w:hint="eastAsia" w:eastAsia="仿宋"/>
          <w:color w:val="auto"/>
          <w:sz w:val="28"/>
          <w:szCs w:val="28"/>
        </w:rPr>
        <w:t>内均</w:t>
      </w:r>
      <w:r>
        <w:rPr>
          <w:rFonts w:eastAsia="仿宋"/>
          <w:color w:val="auto"/>
          <w:sz w:val="28"/>
          <w:szCs w:val="28"/>
        </w:rPr>
        <w:t>安装实</w:t>
      </w:r>
      <w:r>
        <w:rPr>
          <w:rFonts w:hint="eastAsia" w:eastAsia="仿宋"/>
          <w:color w:val="auto"/>
          <w:sz w:val="28"/>
          <w:szCs w:val="28"/>
          <w:lang w:eastAsia="zh-CN"/>
        </w:rPr>
        <w:t>木套装门</w:t>
      </w:r>
      <w:r>
        <w:rPr>
          <w:rFonts w:eastAsia="仿宋"/>
          <w:color w:val="auto"/>
          <w:sz w:val="28"/>
          <w:szCs w:val="28"/>
        </w:rPr>
        <w:t>，</w:t>
      </w:r>
      <w:r>
        <w:rPr>
          <w:rFonts w:hint="eastAsia" w:eastAsia="仿宋"/>
          <w:color w:val="auto"/>
          <w:sz w:val="28"/>
          <w:szCs w:val="28"/>
          <w:lang w:eastAsia="zh-CN"/>
        </w:rPr>
        <w:t>推拉单层玻璃</w:t>
      </w:r>
      <w:r>
        <w:rPr>
          <w:rFonts w:eastAsia="仿宋"/>
          <w:color w:val="auto"/>
          <w:sz w:val="28"/>
          <w:szCs w:val="28"/>
        </w:rPr>
        <w:t>窗户，各间采光</w:t>
      </w:r>
      <w:r>
        <w:rPr>
          <w:rFonts w:hint="eastAsia" w:eastAsia="仿宋"/>
          <w:color w:val="auto"/>
          <w:sz w:val="28"/>
          <w:szCs w:val="28"/>
          <w:lang w:eastAsia="zh-CN"/>
        </w:rPr>
        <w:t>较好</w:t>
      </w:r>
      <w:r>
        <w:rPr>
          <w:rFonts w:eastAsia="仿宋"/>
          <w:color w:val="auto"/>
          <w:sz w:val="28"/>
          <w:szCs w:val="28"/>
        </w:rPr>
        <w:t>。</w:t>
      </w:r>
    </w:p>
    <w:p>
      <w:pPr>
        <w:overflowPunct w:val="0"/>
        <w:topLinePunct/>
        <w:adjustRightInd w:val="0"/>
        <w:snapToGrid w:val="0"/>
        <w:spacing w:line="360" w:lineRule="auto"/>
        <w:ind w:firstLine="560" w:firstLineChars="200"/>
        <w:jc w:val="left"/>
        <w:rPr>
          <w:rFonts w:eastAsia="仿宋"/>
          <w:bCs/>
          <w:color w:val="auto"/>
          <w:sz w:val="28"/>
        </w:rPr>
      </w:pPr>
      <w:r>
        <w:rPr>
          <w:rFonts w:hint="eastAsia" w:eastAsia="仿宋"/>
          <w:bCs/>
          <w:color w:val="auto"/>
          <w:sz w:val="28"/>
          <w:lang w:val="en-US" w:eastAsia="zh-CN"/>
        </w:rPr>
        <w:t>4</w:t>
      </w:r>
      <w:r>
        <w:rPr>
          <w:rFonts w:eastAsia="仿宋"/>
          <w:bCs/>
          <w:color w:val="auto"/>
          <w:sz w:val="28"/>
        </w:rPr>
        <w:t>、估价对象区位状况</w:t>
      </w:r>
    </w:p>
    <w:p>
      <w:pPr>
        <w:ind w:firstLine="560" w:firstLineChars="200"/>
        <w:rPr>
          <w:color w:val="auto"/>
        </w:rPr>
      </w:pPr>
      <w:r>
        <w:rPr>
          <w:rFonts w:eastAsia="仿宋"/>
          <w:color w:val="auto"/>
          <w:sz w:val="28"/>
          <w:szCs w:val="28"/>
        </w:rPr>
        <w:fldChar w:fldCharType="begin"/>
      </w:r>
      <w:r>
        <w:rPr>
          <w:rFonts w:eastAsia="仿宋"/>
          <w:color w:val="auto"/>
          <w:sz w:val="28"/>
          <w:szCs w:val="28"/>
        </w:rPr>
        <w:instrText xml:space="preserve"> = 1 \* GB3 </w:instrText>
      </w:r>
      <w:r>
        <w:rPr>
          <w:rFonts w:eastAsia="仿宋"/>
          <w:color w:val="auto"/>
          <w:sz w:val="28"/>
          <w:szCs w:val="28"/>
        </w:rPr>
        <w:fldChar w:fldCharType="separate"/>
      </w:r>
      <w:r>
        <w:rPr>
          <w:rFonts w:hint="eastAsia" w:ascii="宋体" w:hAnsi="宋体" w:cs="宋体"/>
          <w:color w:val="auto"/>
          <w:sz w:val="28"/>
          <w:szCs w:val="28"/>
          <w:lang w:val="zh-CN"/>
        </w:rPr>
        <w:t>①</w:t>
      </w:r>
      <w:r>
        <w:rPr>
          <w:rFonts w:eastAsia="仿宋"/>
          <w:color w:val="auto"/>
          <w:sz w:val="28"/>
          <w:szCs w:val="28"/>
        </w:rPr>
        <w:fldChar w:fldCharType="end"/>
      </w:r>
      <w:r>
        <w:rPr>
          <w:rFonts w:eastAsia="仿宋"/>
          <w:color w:val="auto"/>
          <w:sz w:val="28"/>
          <w:szCs w:val="28"/>
        </w:rPr>
        <w:t>估价对象位于</w:t>
      </w:r>
      <w:r>
        <w:rPr>
          <w:rFonts w:hint="eastAsia" w:eastAsia="仿宋"/>
          <w:color w:val="auto"/>
          <w:sz w:val="28"/>
          <w:szCs w:val="28"/>
        </w:rPr>
        <w:t>贵州省</w:t>
      </w:r>
      <w:r>
        <w:rPr>
          <w:rFonts w:hint="eastAsia" w:eastAsia="仿宋"/>
          <w:color w:val="auto"/>
          <w:kern w:val="0"/>
          <w:sz w:val="28"/>
          <w:szCs w:val="28"/>
          <w:lang w:eastAsia="zh-CN"/>
        </w:rPr>
        <w:t>贵州省水城县双水新区钟山东路北侧，高林路以东世纪雅苑2幢3单元9层909号</w:t>
      </w:r>
      <w:r>
        <w:rPr>
          <w:rFonts w:eastAsia="仿宋"/>
          <w:color w:val="auto"/>
          <w:sz w:val="28"/>
          <w:szCs w:val="28"/>
        </w:rPr>
        <w:t>，人流量</w:t>
      </w:r>
      <w:r>
        <w:rPr>
          <w:rFonts w:hint="eastAsia" w:eastAsia="仿宋"/>
          <w:color w:val="auto"/>
          <w:sz w:val="28"/>
          <w:szCs w:val="28"/>
          <w:lang w:eastAsia="zh-CN"/>
        </w:rPr>
        <w:t>一般</w:t>
      </w:r>
      <w:r>
        <w:rPr>
          <w:rFonts w:eastAsia="仿宋"/>
          <w:color w:val="auto"/>
          <w:sz w:val="28"/>
          <w:szCs w:val="28"/>
        </w:rPr>
        <w:t>，繁华程度和商业氛围一般。</w:t>
      </w:r>
      <w:r>
        <w:rPr>
          <w:rFonts w:eastAsia="仿宋"/>
          <w:color w:val="auto"/>
          <w:sz w:val="28"/>
          <w:szCs w:val="28"/>
        </w:rPr>
        <w:fldChar w:fldCharType="begin"/>
      </w:r>
      <w:r>
        <w:rPr>
          <w:rFonts w:eastAsia="仿宋"/>
          <w:color w:val="auto"/>
          <w:sz w:val="28"/>
          <w:szCs w:val="28"/>
        </w:rPr>
        <w:instrText xml:space="preserve"> = 2 \* GB3 </w:instrText>
      </w:r>
      <w:r>
        <w:rPr>
          <w:rFonts w:eastAsia="仿宋"/>
          <w:color w:val="auto"/>
          <w:sz w:val="28"/>
          <w:szCs w:val="28"/>
        </w:rPr>
        <w:fldChar w:fldCharType="separate"/>
      </w:r>
      <w:r>
        <w:rPr>
          <w:rFonts w:hint="eastAsia" w:ascii="宋体" w:hAnsi="宋体" w:cs="宋体"/>
          <w:color w:val="auto"/>
          <w:sz w:val="28"/>
          <w:szCs w:val="28"/>
          <w:lang w:val="zh-CN"/>
        </w:rPr>
        <w:t>②</w:t>
      </w:r>
      <w:r>
        <w:rPr>
          <w:rFonts w:eastAsia="仿宋"/>
          <w:color w:val="auto"/>
          <w:sz w:val="28"/>
          <w:szCs w:val="28"/>
        </w:rPr>
        <w:fldChar w:fldCharType="end"/>
      </w:r>
      <w:r>
        <w:rPr>
          <w:rFonts w:eastAsia="仿宋"/>
          <w:color w:val="auto"/>
          <w:sz w:val="28"/>
          <w:szCs w:val="28"/>
        </w:rPr>
        <w:t>土地四至：</w:t>
      </w:r>
      <w:r>
        <w:rPr>
          <w:rFonts w:hint="eastAsia" w:eastAsia="仿宋"/>
          <w:color w:val="auto"/>
          <w:sz w:val="28"/>
          <w:szCs w:val="28"/>
          <w:lang w:eastAsia="zh-CN"/>
        </w:rPr>
        <w:t>前</w:t>
      </w:r>
      <w:r>
        <w:rPr>
          <w:rFonts w:hint="eastAsia" w:eastAsia="仿宋"/>
          <w:color w:val="auto"/>
          <w:sz w:val="28"/>
          <w:szCs w:val="28"/>
        </w:rPr>
        <w:t>临</w:t>
      </w:r>
      <w:r>
        <w:rPr>
          <w:rFonts w:hint="eastAsia" w:eastAsia="仿宋"/>
          <w:color w:val="auto"/>
          <w:sz w:val="28"/>
          <w:szCs w:val="28"/>
          <w:lang w:eastAsia="zh-CN"/>
        </w:rPr>
        <w:t>钟山大道</w:t>
      </w:r>
      <w:r>
        <w:rPr>
          <w:rFonts w:eastAsia="仿宋"/>
          <w:color w:val="auto"/>
          <w:sz w:val="28"/>
          <w:szCs w:val="28"/>
        </w:rPr>
        <w:t>，</w:t>
      </w:r>
      <w:r>
        <w:rPr>
          <w:rFonts w:hint="eastAsia" w:eastAsia="仿宋"/>
          <w:color w:val="auto"/>
          <w:sz w:val="28"/>
          <w:szCs w:val="28"/>
          <w:lang w:eastAsia="zh-CN"/>
        </w:rPr>
        <w:t>后、左、右均临居民住宅</w:t>
      </w:r>
      <w:r>
        <w:rPr>
          <w:rFonts w:eastAsia="仿宋"/>
          <w:color w:val="auto"/>
          <w:sz w:val="28"/>
          <w:szCs w:val="28"/>
        </w:rPr>
        <w:t>。</w:t>
      </w:r>
      <w:r>
        <w:rPr>
          <w:rFonts w:eastAsia="仿宋"/>
          <w:color w:val="auto"/>
          <w:sz w:val="28"/>
          <w:szCs w:val="28"/>
        </w:rPr>
        <w:fldChar w:fldCharType="begin"/>
      </w:r>
      <w:r>
        <w:rPr>
          <w:rFonts w:eastAsia="仿宋"/>
          <w:color w:val="auto"/>
          <w:sz w:val="28"/>
          <w:szCs w:val="28"/>
        </w:rPr>
        <w:instrText xml:space="preserve"> = 3 \* GB3 </w:instrText>
      </w:r>
      <w:r>
        <w:rPr>
          <w:rFonts w:eastAsia="仿宋"/>
          <w:color w:val="auto"/>
          <w:sz w:val="28"/>
          <w:szCs w:val="28"/>
        </w:rPr>
        <w:fldChar w:fldCharType="separate"/>
      </w:r>
      <w:r>
        <w:rPr>
          <w:rFonts w:hint="eastAsia" w:ascii="宋体" w:hAnsi="宋体" w:cs="宋体"/>
          <w:color w:val="auto"/>
          <w:sz w:val="28"/>
          <w:szCs w:val="28"/>
          <w:lang w:val="zh-CN"/>
        </w:rPr>
        <w:t>③</w:t>
      </w:r>
      <w:r>
        <w:rPr>
          <w:rFonts w:eastAsia="仿宋"/>
          <w:color w:val="auto"/>
          <w:sz w:val="28"/>
          <w:szCs w:val="28"/>
        </w:rPr>
        <w:fldChar w:fldCharType="end"/>
      </w:r>
      <w:r>
        <w:rPr>
          <w:rFonts w:eastAsia="仿宋"/>
          <w:color w:val="auto"/>
          <w:sz w:val="28"/>
          <w:szCs w:val="28"/>
        </w:rPr>
        <w:t>估价对象</w:t>
      </w:r>
      <w:r>
        <w:rPr>
          <w:rFonts w:eastAsia="仿宋"/>
          <w:bCs/>
          <w:color w:val="auto"/>
          <w:sz w:val="28"/>
          <w:szCs w:val="28"/>
        </w:rPr>
        <w:t>周边金融机构：</w:t>
      </w:r>
      <w:r>
        <w:rPr>
          <w:rFonts w:hint="eastAsia" w:eastAsia="仿宋"/>
          <w:bCs/>
          <w:color w:val="auto"/>
          <w:sz w:val="28"/>
          <w:szCs w:val="28"/>
          <w:lang w:eastAsia="zh-CN"/>
        </w:rPr>
        <w:t>工商</w:t>
      </w:r>
      <w:r>
        <w:rPr>
          <w:rFonts w:eastAsia="仿宋"/>
          <w:color w:val="auto"/>
          <w:sz w:val="28"/>
          <w:szCs w:val="28"/>
        </w:rPr>
        <w:t>银行；教育机构：</w:t>
      </w:r>
      <w:r>
        <w:rPr>
          <w:rFonts w:hint="eastAsia" w:eastAsia="仿宋"/>
          <w:color w:val="auto"/>
          <w:sz w:val="28"/>
          <w:szCs w:val="28"/>
          <w:lang w:eastAsia="zh-CN"/>
        </w:rPr>
        <w:t>水城县第二幼儿园</w:t>
      </w:r>
      <w:r>
        <w:rPr>
          <w:rFonts w:hint="eastAsia" w:eastAsia="仿宋"/>
          <w:color w:val="auto"/>
          <w:sz w:val="28"/>
          <w:szCs w:val="28"/>
        </w:rPr>
        <w:t>、</w:t>
      </w:r>
      <w:r>
        <w:rPr>
          <w:rFonts w:hint="eastAsia" w:eastAsia="仿宋"/>
          <w:color w:val="auto"/>
          <w:sz w:val="28"/>
          <w:szCs w:val="28"/>
          <w:lang w:eastAsia="zh-CN"/>
        </w:rPr>
        <w:t>金苹果幼儿园</w:t>
      </w:r>
      <w:r>
        <w:rPr>
          <w:rFonts w:eastAsia="仿宋"/>
          <w:color w:val="auto"/>
          <w:sz w:val="28"/>
          <w:szCs w:val="28"/>
        </w:rPr>
        <w:t>等</w:t>
      </w:r>
      <w:r>
        <w:rPr>
          <w:rFonts w:eastAsia="仿宋"/>
          <w:color w:val="auto"/>
          <w:sz w:val="28"/>
        </w:rPr>
        <w:t>。</w:t>
      </w:r>
      <w:r>
        <w:rPr>
          <w:rFonts w:eastAsia="仿宋"/>
          <w:color w:val="auto"/>
          <w:sz w:val="28"/>
          <w:szCs w:val="28"/>
        </w:rPr>
        <w:t>区域内医疗机构、行政事业机构、教育机构、购物中心等设施设备较为完善；目前估价对象</w:t>
      </w:r>
      <w:r>
        <w:rPr>
          <w:rFonts w:hint="eastAsia" w:eastAsia="仿宋"/>
          <w:color w:val="auto"/>
          <w:sz w:val="28"/>
          <w:szCs w:val="28"/>
        </w:rPr>
        <w:t>保养</w:t>
      </w:r>
      <w:r>
        <w:rPr>
          <w:rFonts w:eastAsia="仿宋"/>
          <w:color w:val="auto"/>
          <w:sz w:val="28"/>
          <w:szCs w:val="28"/>
        </w:rPr>
        <w:t>维护</w:t>
      </w:r>
      <w:r>
        <w:rPr>
          <w:rFonts w:hint="eastAsia" w:eastAsia="仿宋"/>
          <w:color w:val="auto"/>
          <w:sz w:val="28"/>
          <w:szCs w:val="28"/>
        </w:rPr>
        <w:t>情况较好</w:t>
      </w:r>
      <w:r>
        <w:rPr>
          <w:rFonts w:eastAsia="仿宋"/>
          <w:color w:val="auto"/>
          <w:sz w:val="28"/>
          <w:szCs w:val="28"/>
        </w:rPr>
        <w:t>，处于</w:t>
      </w:r>
      <w:r>
        <w:rPr>
          <w:rFonts w:hint="eastAsia" w:eastAsia="仿宋"/>
          <w:color w:val="auto"/>
          <w:sz w:val="28"/>
          <w:szCs w:val="28"/>
        </w:rPr>
        <w:t>正常</w:t>
      </w:r>
      <w:r>
        <w:rPr>
          <w:rFonts w:eastAsia="仿宋"/>
          <w:color w:val="auto"/>
          <w:sz w:val="28"/>
          <w:szCs w:val="28"/>
        </w:rPr>
        <w:t>使用状态。</w:t>
      </w:r>
      <w:r>
        <w:rPr>
          <w:rFonts w:eastAsia="仿宋"/>
          <w:bCs/>
          <w:color w:val="auto"/>
          <w:sz w:val="28"/>
          <w:szCs w:val="28"/>
        </w:rPr>
        <w:t>区域基础设施建设已达到“五通一平”开发程度（即通上水、通下水、通电、通讯、通路、场地平整），公</w:t>
      </w:r>
      <w:r>
        <w:rPr>
          <w:rFonts w:hint="eastAsia" w:eastAsia="仿宋"/>
          <w:bCs/>
          <w:color w:val="auto"/>
          <w:sz w:val="28"/>
          <w:szCs w:val="28"/>
        </w:rPr>
        <w:t>共</w:t>
      </w:r>
      <w:r>
        <w:rPr>
          <w:rFonts w:eastAsia="仿宋"/>
          <w:bCs/>
          <w:color w:val="auto"/>
          <w:sz w:val="28"/>
          <w:szCs w:val="28"/>
        </w:rPr>
        <w:t>基础设施配套较齐全。</w:t>
      </w:r>
      <w:r>
        <w:rPr>
          <w:rFonts w:eastAsia="仿宋"/>
          <w:color w:val="auto"/>
          <w:sz w:val="28"/>
          <w:szCs w:val="28"/>
        </w:rPr>
        <w:fldChar w:fldCharType="begin"/>
      </w:r>
      <w:r>
        <w:rPr>
          <w:rFonts w:eastAsia="仿宋"/>
          <w:color w:val="auto"/>
          <w:sz w:val="28"/>
          <w:szCs w:val="28"/>
        </w:rPr>
        <w:instrText xml:space="preserve"> = 4 \* GB3 </w:instrText>
      </w:r>
      <w:r>
        <w:rPr>
          <w:rFonts w:eastAsia="仿宋"/>
          <w:color w:val="auto"/>
          <w:sz w:val="28"/>
          <w:szCs w:val="28"/>
        </w:rPr>
        <w:fldChar w:fldCharType="separate"/>
      </w:r>
      <w:r>
        <w:rPr>
          <w:rFonts w:hint="eastAsia" w:ascii="宋体" w:hAnsi="宋体" w:cs="宋体"/>
          <w:color w:val="auto"/>
          <w:sz w:val="28"/>
          <w:szCs w:val="28"/>
          <w:lang w:val="zh-CN"/>
        </w:rPr>
        <w:t>④</w:t>
      </w:r>
      <w:r>
        <w:rPr>
          <w:rFonts w:eastAsia="仿宋"/>
          <w:color w:val="auto"/>
          <w:sz w:val="28"/>
          <w:szCs w:val="28"/>
        </w:rPr>
        <w:fldChar w:fldCharType="end"/>
      </w:r>
      <w:r>
        <w:rPr>
          <w:rFonts w:eastAsia="仿宋"/>
          <w:color w:val="auto"/>
          <w:sz w:val="28"/>
          <w:szCs w:val="28"/>
        </w:rPr>
        <w:t>交通较便捷：</w:t>
      </w:r>
      <w:r>
        <w:rPr>
          <w:rFonts w:hint="eastAsia" w:eastAsia="仿宋"/>
          <w:color w:val="auto"/>
          <w:sz w:val="28"/>
          <w:szCs w:val="28"/>
          <w:lang w:eastAsia="zh-CN"/>
        </w:rPr>
        <w:t>周边有</w:t>
      </w:r>
      <w:r>
        <w:rPr>
          <w:rFonts w:hint="eastAsia" w:eastAsia="仿宋"/>
          <w:color w:val="auto"/>
          <w:sz w:val="28"/>
          <w:szCs w:val="28"/>
          <w:lang w:val="en-US" w:eastAsia="zh-CN"/>
        </w:rPr>
        <w:t>1</w:t>
      </w:r>
      <w:r>
        <w:rPr>
          <w:rFonts w:eastAsia="仿宋"/>
          <w:color w:val="auto"/>
          <w:sz w:val="28"/>
          <w:szCs w:val="28"/>
        </w:rPr>
        <w:t>路、</w:t>
      </w:r>
      <w:r>
        <w:rPr>
          <w:rFonts w:hint="eastAsia" w:eastAsia="仿宋"/>
          <w:color w:val="auto"/>
          <w:sz w:val="28"/>
          <w:szCs w:val="28"/>
          <w:lang w:val="en-US" w:eastAsia="zh-CN"/>
        </w:rPr>
        <w:t>2</w:t>
      </w:r>
      <w:r>
        <w:rPr>
          <w:rFonts w:hint="eastAsia" w:eastAsia="仿宋"/>
          <w:color w:val="auto"/>
          <w:sz w:val="28"/>
          <w:szCs w:val="28"/>
        </w:rPr>
        <w:t>路</w:t>
      </w:r>
      <w:r>
        <w:rPr>
          <w:rFonts w:eastAsia="仿宋"/>
          <w:color w:val="auto"/>
          <w:sz w:val="28"/>
          <w:szCs w:val="28"/>
        </w:rPr>
        <w:t>、</w:t>
      </w:r>
      <w:r>
        <w:rPr>
          <w:rFonts w:hint="eastAsia" w:eastAsia="仿宋"/>
          <w:color w:val="auto"/>
          <w:sz w:val="28"/>
          <w:szCs w:val="28"/>
          <w:lang w:val="en-US" w:eastAsia="zh-CN"/>
        </w:rPr>
        <w:t>3</w:t>
      </w:r>
      <w:r>
        <w:rPr>
          <w:rFonts w:hint="eastAsia" w:eastAsia="仿宋"/>
          <w:color w:val="auto"/>
          <w:sz w:val="28"/>
          <w:szCs w:val="28"/>
        </w:rPr>
        <w:t>路</w:t>
      </w:r>
      <w:r>
        <w:rPr>
          <w:rFonts w:eastAsia="仿宋"/>
          <w:color w:val="auto"/>
          <w:sz w:val="28"/>
          <w:szCs w:val="28"/>
        </w:rPr>
        <w:t>、</w:t>
      </w:r>
      <w:r>
        <w:rPr>
          <w:rFonts w:hint="eastAsia" w:eastAsia="仿宋"/>
          <w:color w:val="auto"/>
          <w:sz w:val="28"/>
          <w:szCs w:val="28"/>
          <w:lang w:val="en-US" w:eastAsia="zh-CN"/>
        </w:rPr>
        <w:t>21路</w:t>
      </w:r>
      <w:r>
        <w:rPr>
          <w:rFonts w:eastAsia="仿宋"/>
          <w:color w:val="auto"/>
          <w:sz w:val="28"/>
          <w:szCs w:val="28"/>
        </w:rPr>
        <w:t>等多条公交线及</w:t>
      </w:r>
      <w:r>
        <w:rPr>
          <w:rFonts w:hint="eastAsia" w:eastAsia="仿宋"/>
          <w:color w:val="auto"/>
          <w:sz w:val="28"/>
          <w:szCs w:val="28"/>
        </w:rPr>
        <w:t>城市</w:t>
      </w:r>
      <w:r>
        <w:rPr>
          <w:rFonts w:eastAsia="仿宋"/>
          <w:color w:val="auto"/>
          <w:sz w:val="28"/>
          <w:szCs w:val="28"/>
        </w:rPr>
        <w:t>出租车</w:t>
      </w:r>
      <w:r>
        <w:rPr>
          <w:rFonts w:hint="eastAsia" w:eastAsia="仿宋"/>
          <w:color w:val="auto"/>
          <w:sz w:val="28"/>
          <w:szCs w:val="28"/>
        </w:rPr>
        <w:t>途经</w:t>
      </w:r>
      <w:r>
        <w:rPr>
          <w:rFonts w:eastAsia="仿宋"/>
          <w:color w:val="auto"/>
          <w:sz w:val="28"/>
          <w:szCs w:val="28"/>
        </w:rPr>
        <w:t>周边区域。</w:t>
      </w:r>
    </w:p>
    <w:p>
      <w:pPr>
        <w:ind w:firstLine="482" w:firstLineChars="200"/>
        <w:rPr>
          <w:rFonts w:eastAsia="仿宋"/>
          <w:color w:val="auto"/>
          <w:sz w:val="28"/>
          <w:szCs w:val="28"/>
        </w:rPr>
      </w:pPr>
      <w:r>
        <w:rPr>
          <w:rFonts w:hint="eastAsia" w:ascii="仿宋" w:hAnsi="仿宋" w:eastAsia="仿宋" w:cs="仿宋"/>
          <w:b/>
          <w:color w:val="auto"/>
          <w:sz w:val="24"/>
          <w:szCs w:val="24"/>
          <w:lang w:val="en-US" w:eastAsia="zh-CN"/>
        </w:rPr>
        <w:t>5、</w:t>
      </w:r>
      <w:r>
        <w:rPr>
          <w:rFonts w:eastAsia="仿宋"/>
          <w:color w:val="auto"/>
          <w:sz w:val="28"/>
          <w:szCs w:val="28"/>
        </w:rPr>
        <w:t>他项权利设立状况</w:t>
      </w:r>
    </w:p>
    <w:p>
      <w:pPr>
        <w:ind w:firstLine="560" w:firstLineChars="200"/>
        <w:rPr>
          <w:rFonts w:eastAsia="仿宋"/>
          <w:color w:val="auto"/>
          <w:sz w:val="28"/>
          <w:szCs w:val="28"/>
        </w:rPr>
      </w:pPr>
      <w:r>
        <w:rPr>
          <w:rFonts w:eastAsia="仿宋"/>
          <w:color w:val="auto"/>
          <w:sz w:val="28"/>
          <w:szCs w:val="28"/>
        </w:rPr>
        <w:t>根据上述委托方提供的</w:t>
      </w:r>
      <w:r>
        <w:rPr>
          <w:rFonts w:hint="eastAsia" w:eastAsia="仿宋_GB2312"/>
          <w:b w:val="0"/>
          <w:bCs/>
          <w:color w:val="auto"/>
          <w:sz w:val="28"/>
          <w:szCs w:val="28"/>
          <w:lang w:eastAsia="zh-CN"/>
        </w:rPr>
        <w:t>《房屋记载表》不动产单元号：520221001007GB00025F00010123</w:t>
      </w:r>
      <w:r>
        <w:rPr>
          <w:rFonts w:hint="eastAsia" w:eastAsia="仿宋"/>
          <w:color w:val="auto"/>
          <w:sz w:val="28"/>
          <w:szCs w:val="28"/>
        </w:rPr>
        <w:t>，</w:t>
      </w:r>
      <w:r>
        <w:rPr>
          <w:rFonts w:eastAsia="仿宋"/>
          <w:color w:val="auto"/>
          <w:sz w:val="28"/>
          <w:szCs w:val="28"/>
        </w:rPr>
        <w:t>截至价值时点</w:t>
      </w:r>
      <w:r>
        <w:rPr>
          <w:rFonts w:hint="eastAsia" w:eastAsia="仿宋"/>
          <w:color w:val="auto"/>
          <w:sz w:val="28"/>
          <w:szCs w:val="28"/>
          <w:lang w:eastAsia="zh-CN"/>
        </w:rPr>
        <w:t>2019年9月23日</w:t>
      </w:r>
      <w:r>
        <w:rPr>
          <w:rFonts w:eastAsia="仿宋"/>
          <w:color w:val="auto"/>
          <w:sz w:val="28"/>
          <w:szCs w:val="28"/>
        </w:rPr>
        <w:t>，估价对象存在抵押他项权利状况</w:t>
      </w:r>
      <w:r>
        <w:rPr>
          <w:rFonts w:hint="eastAsia" w:eastAsia="仿宋"/>
          <w:bCs/>
          <w:color w:val="auto"/>
          <w:sz w:val="28"/>
        </w:rPr>
        <w:t>且已处于查封状况</w:t>
      </w:r>
      <w:r>
        <w:rPr>
          <w:rFonts w:hint="eastAsia" w:eastAsia="仿宋"/>
          <w:color w:val="auto"/>
          <w:sz w:val="28"/>
          <w:szCs w:val="28"/>
        </w:rPr>
        <w:t>。另</w:t>
      </w:r>
      <w:r>
        <w:rPr>
          <w:rFonts w:eastAsia="仿宋"/>
          <w:color w:val="auto"/>
          <w:sz w:val="28"/>
          <w:szCs w:val="28"/>
        </w:rPr>
        <w:t>根据估价目的，仅是为委托方受理案件提供估价对象在估价时点的公开市场价值参考依据。因此本次评估不考虑估价对象存在的法定优先受偿款情况，但是在处置该房地产时，会涉及到法定优先受偿款，会影响到房产受让方收益价值，在此提请估价报告使用方注意。</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四、估价目的</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eastAsia="仿宋"/>
          <w:bCs/>
          <w:color w:val="auto"/>
          <w:sz w:val="28"/>
        </w:rPr>
        <w:t>为委托方受理案件提供估价对象在估价时点的公开市场价值参考依据</w:t>
      </w:r>
      <w:r>
        <w:rPr>
          <w:rFonts w:hint="default" w:ascii="Times New Roman" w:hAnsi="Times New Roman" w:eastAsia="仿宋" w:cs="Times New Roman"/>
          <w:color w:val="auto"/>
          <w:sz w:val="28"/>
          <w:szCs w:val="28"/>
        </w:rPr>
        <w:t>。</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五、估价时点</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ascii="Times New Roman" w:hAnsi="Times New Roman" w:eastAsia="仿宋"/>
          <w:bCs/>
          <w:color w:val="auto"/>
          <w:sz w:val="28"/>
        </w:rPr>
        <w:t>根据估价目的，本次价值时点确定为委托估价方委托的时间</w:t>
      </w:r>
      <w:r>
        <w:rPr>
          <w:rFonts w:hint="eastAsia" w:ascii="Times New Roman" w:hAnsi="Times New Roman" w:eastAsia="仿宋"/>
          <w:bCs/>
          <w:color w:val="auto"/>
          <w:sz w:val="28"/>
          <w:lang w:eastAsia="zh-CN"/>
        </w:rPr>
        <w:t>2019年9月23日</w:t>
      </w:r>
      <w:r>
        <w:rPr>
          <w:rFonts w:hint="default" w:ascii="Times New Roman" w:hAnsi="Times New Roman" w:eastAsia="仿宋" w:cs="Times New Roman"/>
          <w:color w:val="auto"/>
          <w:sz w:val="28"/>
          <w:szCs w:val="28"/>
        </w:rPr>
        <w:t>。</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六、价值定义</w:t>
      </w:r>
    </w:p>
    <w:p>
      <w:pPr>
        <w:overflowPunct w:val="0"/>
        <w:topLinePunct/>
        <w:adjustRightInd w:val="0"/>
        <w:snapToGrid w:val="0"/>
        <w:spacing w:line="600" w:lineRule="exact"/>
        <w:ind w:firstLine="560" w:firstLineChars="200"/>
        <w:jc w:val="left"/>
        <w:rPr>
          <w:rFonts w:eastAsia="仿宋"/>
          <w:bCs/>
          <w:color w:val="auto"/>
          <w:sz w:val="28"/>
        </w:rPr>
      </w:pPr>
      <w:r>
        <w:rPr>
          <w:rFonts w:eastAsia="仿宋"/>
          <w:bCs/>
          <w:color w:val="auto"/>
          <w:sz w:val="28"/>
        </w:rPr>
        <w:t>本报告估价结果是反映估价对象在价值时点的公开</w:t>
      </w:r>
      <w:bookmarkStart w:id="1" w:name="OLE_LINK6"/>
      <w:r>
        <w:rPr>
          <w:rFonts w:eastAsia="仿宋"/>
          <w:bCs/>
          <w:color w:val="auto"/>
          <w:sz w:val="28"/>
        </w:rPr>
        <w:t>市场价值</w:t>
      </w:r>
      <w:bookmarkEnd w:id="1"/>
      <w:r>
        <w:rPr>
          <w:rFonts w:eastAsia="仿宋"/>
          <w:bCs/>
          <w:color w:val="auto"/>
          <w:sz w:val="28"/>
        </w:rPr>
        <w:t>（包含</w:t>
      </w:r>
      <w:r>
        <w:rPr>
          <w:rFonts w:hint="eastAsia" w:eastAsia="仿宋"/>
          <w:bCs/>
          <w:color w:val="auto"/>
          <w:sz w:val="28"/>
        </w:rPr>
        <w:t>应</w:t>
      </w:r>
      <w:r>
        <w:rPr>
          <w:rFonts w:eastAsia="仿宋"/>
          <w:bCs/>
          <w:color w:val="auto"/>
          <w:sz w:val="28"/>
        </w:rPr>
        <w:t>分摊的土地使用权价格）。</w:t>
      </w:r>
    </w:p>
    <w:p>
      <w:pPr>
        <w:overflowPunct w:val="0"/>
        <w:topLinePunct/>
        <w:adjustRightInd w:val="0"/>
        <w:snapToGrid w:val="0"/>
        <w:spacing w:before="156" w:beforeLines="50" w:after="156" w:afterLines="50" w:line="360" w:lineRule="auto"/>
        <w:ind w:firstLine="560" w:firstLineChars="200"/>
        <w:jc w:val="left"/>
        <w:rPr>
          <w:rFonts w:hint="default" w:ascii="Times New Roman" w:hAnsi="Times New Roman" w:eastAsia="仿宋" w:cs="Times New Roman"/>
          <w:color w:val="auto"/>
          <w:sz w:val="28"/>
          <w:szCs w:val="28"/>
        </w:rPr>
      </w:pPr>
      <w:r>
        <w:rPr>
          <w:rFonts w:eastAsia="仿宋"/>
          <w:bCs/>
          <w:color w:val="auto"/>
          <w:sz w:val="28"/>
        </w:rPr>
        <w:t>公开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他性。</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七、估价依据</w:t>
      </w:r>
    </w:p>
    <w:p>
      <w:pPr>
        <w:keepNext w:val="0"/>
        <w:keepLines w:val="0"/>
        <w:pageBreakBefore w:val="0"/>
        <w:widowControl w:val="0"/>
        <w:kinsoku/>
        <w:wordWrap/>
        <w:autoSpaceDE/>
        <w:autoSpaceDN/>
        <w:bidi w:val="0"/>
        <w:spacing w:line="360" w:lineRule="auto"/>
        <w:ind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（一）、</w:t>
      </w:r>
      <w:r>
        <w:rPr>
          <w:rFonts w:hint="default" w:ascii="Times New Roman" w:hAnsi="Times New Roman" w:eastAsia="仿宋" w:cs="Times New Roman"/>
          <w:color w:val="auto"/>
          <w:sz w:val="28"/>
          <w:szCs w:val="28"/>
        </w:rPr>
        <w:t>《中华人民共和国物权法》；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（二）</w:t>
      </w:r>
      <w:r>
        <w:rPr>
          <w:rFonts w:hint="default" w:ascii="Times New Roman" w:hAnsi="Times New Roman" w:eastAsia="仿宋" w:cs="Times New Roman"/>
          <w:color w:val="auto"/>
          <w:sz w:val="28"/>
          <w:szCs w:val="28"/>
        </w:rPr>
        <w:t>、《中华人民共和国城市房地产管理法》；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（三）</w:t>
      </w:r>
      <w:r>
        <w:rPr>
          <w:rFonts w:hint="default" w:ascii="Times New Roman" w:hAnsi="Times New Roman" w:eastAsia="仿宋" w:cs="Times New Roman"/>
          <w:color w:val="auto"/>
          <w:sz w:val="28"/>
          <w:szCs w:val="28"/>
        </w:rPr>
        <w:t>、《中华人民共和国资产评估法》；</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（四）</w:t>
      </w:r>
      <w:r>
        <w:rPr>
          <w:rFonts w:hint="default" w:ascii="Times New Roman" w:hAnsi="Times New Roman" w:eastAsia="仿宋" w:cs="Times New Roman"/>
          <w:color w:val="auto"/>
          <w:sz w:val="28"/>
          <w:szCs w:val="28"/>
        </w:rPr>
        <w:t>、《房地产估价规范》（GB/T50291-2015）；</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（五）</w:t>
      </w:r>
      <w:r>
        <w:rPr>
          <w:rFonts w:hint="default" w:ascii="Times New Roman" w:hAnsi="Times New Roman" w:eastAsia="仿宋" w:cs="Times New Roman"/>
          <w:color w:val="auto"/>
          <w:sz w:val="28"/>
          <w:szCs w:val="28"/>
        </w:rPr>
        <w:t>、《房地产估价基本术语标准》（GB/T50899－2013）；</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（六）</w:t>
      </w:r>
      <w:r>
        <w:rPr>
          <w:rFonts w:hint="default" w:ascii="Times New Roman" w:hAnsi="Times New Roman" w:eastAsia="仿宋" w:cs="Times New Roman"/>
          <w:color w:val="auto"/>
          <w:sz w:val="28"/>
          <w:szCs w:val="28"/>
        </w:rPr>
        <w:t>、</w:t>
      </w:r>
      <w:r>
        <w:rPr>
          <w:rFonts w:hint="eastAsia" w:eastAsia="仿宋_GB2312"/>
          <w:b w:val="0"/>
          <w:bCs/>
          <w:color w:val="auto"/>
          <w:sz w:val="28"/>
          <w:szCs w:val="28"/>
          <w:lang w:eastAsia="zh-CN"/>
        </w:rPr>
        <w:t>《贵州省六盘水市钟山区人民法院评估委托书》（2019）黔钟委评字第123号</w:t>
      </w:r>
      <w:r>
        <w:rPr>
          <w:rFonts w:hint="default" w:ascii="Times New Roman" w:hAnsi="Times New Roman" w:eastAsia="仿宋" w:cs="Times New Roman"/>
          <w:color w:val="auto"/>
          <w:sz w:val="28"/>
          <w:szCs w:val="28"/>
        </w:rPr>
        <w:t>；</w:t>
      </w:r>
    </w:p>
    <w:p>
      <w:pPr>
        <w:ind w:firstLine="560" w:firstLineChars="200"/>
        <w:rPr>
          <w:rFonts w:hint="default" w:ascii="Times New Roman" w:hAnsi="Times New Roman" w:eastAsia="仿宋" w:cs="Times New Roman"/>
          <w:color w:val="auto"/>
          <w:sz w:val="28"/>
          <w:szCs w:val="28"/>
          <w:lang w:val="en-US"/>
        </w:rPr>
      </w:pPr>
      <w:r>
        <w:rPr>
          <w:rFonts w:hint="eastAsia" w:ascii="Times New Roman" w:hAnsi="Times New Roman" w:eastAsia="仿宋" w:cs="Times New Roman"/>
          <w:color w:val="auto"/>
          <w:sz w:val="28"/>
          <w:szCs w:val="28"/>
          <w:lang w:eastAsia="zh-CN"/>
        </w:rPr>
        <w:t>（七）</w:t>
      </w:r>
      <w:r>
        <w:rPr>
          <w:rFonts w:hint="default" w:ascii="Times New Roman" w:hAnsi="Times New Roman" w:eastAsia="仿宋" w:cs="Times New Roman"/>
          <w:color w:val="auto"/>
          <w:sz w:val="28"/>
          <w:szCs w:val="28"/>
        </w:rPr>
        <w:t>、</w:t>
      </w:r>
      <w:r>
        <w:rPr>
          <w:rFonts w:hint="eastAsia" w:eastAsia="仿宋_GB2312"/>
          <w:b w:val="0"/>
          <w:bCs/>
          <w:color w:val="auto"/>
          <w:sz w:val="28"/>
          <w:szCs w:val="28"/>
          <w:lang w:eastAsia="zh-CN"/>
        </w:rPr>
        <w:t>《房屋记载表》不动产单元号：520221001007GB00025F00010123</w:t>
      </w:r>
      <w:r>
        <w:rPr>
          <w:rFonts w:hint="eastAsia" w:ascii="Times New Roman" w:hAnsi="Times New Roman" w:eastAsia="仿宋" w:cs="Times New Roman"/>
          <w:color w:val="auto"/>
          <w:sz w:val="28"/>
          <w:szCs w:val="28"/>
          <w:lang w:val="en-US" w:eastAsia="zh-CN"/>
        </w:rPr>
        <w:t>;</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（八）</w:t>
      </w:r>
      <w:r>
        <w:rPr>
          <w:rFonts w:hint="default" w:ascii="Times New Roman" w:hAnsi="Times New Roman" w:eastAsia="仿宋" w:cs="Times New Roman"/>
          <w:color w:val="auto"/>
          <w:sz w:val="28"/>
          <w:szCs w:val="28"/>
        </w:rPr>
        <w:t>、国家有关房地产评估的法律、法规和政策；</w:t>
      </w:r>
    </w:p>
    <w:p>
      <w:pPr>
        <w:keepNext w:val="0"/>
        <w:keepLines w:val="0"/>
        <w:pageBreakBefore w:val="0"/>
        <w:widowControl w:val="0"/>
        <w:kinsoku/>
        <w:wordWrap/>
        <w:autoSpaceDE/>
        <w:autoSpaceDN/>
        <w:bidi w:val="0"/>
        <w:spacing w:line="360" w:lineRule="auto"/>
        <w:ind w:left="0" w:leftChars="0" w:right="0" w:rightChars="0" w:firstLine="560" w:firstLineChars="200"/>
        <w:textAlignment w:val="auto"/>
        <w:outlineLvl w:val="9"/>
        <w:rPr>
          <w:rFonts w:hint="default" w:ascii="Times New Roman" w:hAnsi="Times New Roman" w:eastAsia="仿宋" w:cs="Times New Roman"/>
          <w:color w:val="auto"/>
          <w:sz w:val="28"/>
          <w:szCs w:val="28"/>
        </w:rPr>
      </w:pPr>
      <w:r>
        <w:rPr>
          <w:rFonts w:hint="eastAsia" w:ascii="Times New Roman" w:hAnsi="Times New Roman" w:eastAsia="仿宋" w:cs="Times New Roman"/>
          <w:color w:val="auto"/>
          <w:sz w:val="28"/>
          <w:szCs w:val="28"/>
          <w:lang w:eastAsia="zh-CN"/>
        </w:rPr>
        <w:t>（九）</w:t>
      </w:r>
      <w:r>
        <w:rPr>
          <w:rFonts w:hint="default" w:ascii="Times New Roman" w:hAnsi="Times New Roman" w:eastAsia="仿宋" w:cs="Times New Roman"/>
          <w:color w:val="auto"/>
          <w:sz w:val="28"/>
          <w:szCs w:val="28"/>
        </w:rPr>
        <w:t>、估价人员现场勘察调查获得的资料。</w:t>
      </w:r>
    </w:p>
    <w:p>
      <w:pPr>
        <w:keepNext w:val="0"/>
        <w:keepLines w:val="0"/>
        <w:pageBreakBefore w:val="0"/>
        <w:widowControl w:val="0"/>
        <w:kinsoku/>
        <w:wordWrap/>
        <w:autoSpaceDE/>
        <w:autoSpaceDN/>
        <w:bidi w:val="0"/>
        <w:spacing w:line="360" w:lineRule="auto"/>
        <w:ind w:left="0" w:leftChars="0" w:right="0" w:rightChars="0" w:firstLine="562" w:firstLineChars="200"/>
        <w:textAlignment w:val="auto"/>
        <w:outlineLvl w:val="9"/>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八、估价原则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(一)</w:t>
      </w:r>
      <w:r>
        <w:rPr>
          <w:rFonts w:hint="default" w:ascii="Times New Roman" w:hAnsi="Times New Roman" w:eastAsia="仿宋" w:cs="Times New Roman"/>
          <w:color w:val="auto"/>
          <w:spacing w:val="-4"/>
          <w:sz w:val="28"/>
          <w:szCs w:val="28"/>
        </w:rPr>
        <w:t>合法原则：以估价对象的合法产权、合法使用、合法处分为前提估价</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(二)最高最佳使用原则：以估价对象的最高最佳使用为前提估价。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(三)</w:t>
      </w:r>
      <w:r>
        <w:rPr>
          <w:rFonts w:hint="default" w:ascii="Times New Roman" w:hAnsi="Times New Roman" w:eastAsia="仿宋" w:cs="Times New Roman"/>
          <w:color w:val="auto"/>
          <w:spacing w:val="-4"/>
          <w:sz w:val="28"/>
          <w:szCs w:val="28"/>
        </w:rPr>
        <w:t>替代原则：估价结果不明显偏离类似房地产在同等条件下的正常价格</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(四)</w:t>
      </w:r>
      <w:r>
        <w:rPr>
          <w:rFonts w:hint="default" w:ascii="Times New Roman" w:hAnsi="Times New Roman" w:eastAsia="仿宋" w:cs="Times New Roman"/>
          <w:color w:val="auto"/>
          <w:spacing w:val="-4"/>
          <w:w w:val="95"/>
          <w:sz w:val="28"/>
          <w:szCs w:val="28"/>
        </w:rPr>
        <w:t>估价时点原则:估价结果为估价对象在估价时点的客观合理价格或价值</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(五)公平原则:房地产估价人员应站在中立的立场上，求出一个对各方当事人来说都是公平合理的价值。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(六)谨慎原则：</w:t>
      </w:r>
      <w:r>
        <w:rPr>
          <w:rFonts w:eastAsia="仿宋"/>
          <w:bCs/>
          <w:color w:val="auto"/>
          <w:sz w:val="28"/>
        </w:rPr>
        <w:t>在存在不确定因素的情况下作出估价相关判断时，应当保持必要的谨慎</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b/>
          <w:color w:val="auto"/>
          <w:sz w:val="28"/>
          <w:szCs w:val="28"/>
        </w:rPr>
        <w:t>九、估价方法</w:t>
      </w:r>
    </w:p>
    <w:p>
      <w:pPr>
        <w:pStyle w:val="4"/>
        <w:tabs>
          <w:tab w:val="center" w:pos="360"/>
          <w:tab w:val="center" w:pos="8820"/>
        </w:tabs>
        <w:overflowPunct w:val="0"/>
        <w:topLinePunct/>
        <w:adjustRightInd w:val="0"/>
        <w:snapToGrid w:val="0"/>
        <w:spacing w:before="156" w:beforeLines="50" w:after="156" w:afterLines="50"/>
        <w:ind w:firstLine="560" w:firstLineChars="200"/>
        <w:rPr>
          <w:rFonts w:ascii="Times New Roman" w:hAnsi="Times New Roman" w:eastAsia="仿宋"/>
          <w:color w:val="auto"/>
          <w:sz w:val="28"/>
          <w:szCs w:val="28"/>
        </w:rPr>
      </w:pPr>
      <w:r>
        <w:rPr>
          <w:rFonts w:ascii="Times New Roman" w:hAnsi="Times New Roman" w:eastAsia="仿宋"/>
          <w:color w:val="auto"/>
          <w:sz w:val="28"/>
          <w:szCs w:val="28"/>
        </w:rPr>
        <w:t>房地产常用的估价方法有市场比较法、收益法、成本法及假设开发法四种。市场比较法适用于房地产市场成熟，同类房地产交易案例较多的估价；收益法适用于有收益或潜在收益的房地产估价；成本法适用于房地产市场不成熟或市场依据不充分而不适宜采用市场比较法、收益法及假设开发法的房地产估价；假设开发法适用于具有投资开发或再开发潜力的房地产的估价。</w:t>
      </w:r>
    </w:p>
    <w:p>
      <w:pPr>
        <w:pStyle w:val="4"/>
        <w:tabs>
          <w:tab w:val="center" w:pos="360"/>
          <w:tab w:val="center" w:pos="8820"/>
        </w:tabs>
        <w:overflowPunct w:val="0"/>
        <w:topLinePunct/>
        <w:adjustRightInd w:val="0"/>
        <w:snapToGrid w:val="0"/>
        <w:spacing w:before="156" w:beforeLines="50" w:after="156" w:afterLines="50"/>
        <w:ind w:firstLine="560" w:firstLineChars="200"/>
        <w:rPr>
          <w:rFonts w:hint="eastAsia" w:ascii="Times New Roman" w:hAnsi="Times New Roman" w:eastAsia="仿宋"/>
          <w:color w:val="auto"/>
          <w:sz w:val="28"/>
          <w:szCs w:val="28"/>
          <w:lang w:eastAsia="zh-CN"/>
        </w:rPr>
      </w:pPr>
      <w:r>
        <w:rPr>
          <w:rFonts w:ascii="Times New Roman" w:hAnsi="Times New Roman" w:eastAsia="仿宋"/>
          <w:color w:val="auto"/>
          <w:sz w:val="28"/>
          <w:szCs w:val="28"/>
        </w:rPr>
        <w:t>根据估价目的，参照中华人民共和国国家标准《房地产估价规范》的要求，经过估价人员认真分析、综合考虑，</w:t>
      </w:r>
      <w:r>
        <w:rPr>
          <w:rFonts w:hint="eastAsia" w:ascii="Times New Roman" w:hAnsi="Times New Roman" w:eastAsia="仿宋"/>
          <w:color w:val="auto"/>
          <w:sz w:val="28"/>
          <w:szCs w:val="28"/>
          <w:lang w:eastAsia="zh-CN"/>
        </w:rPr>
        <w:t>本次采用市场比较法进行估价。</w:t>
      </w:r>
    </w:p>
    <w:p>
      <w:pPr>
        <w:pStyle w:val="4"/>
        <w:tabs>
          <w:tab w:val="center" w:pos="360"/>
          <w:tab w:val="center" w:pos="8820"/>
        </w:tabs>
        <w:overflowPunct w:val="0"/>
        <w:topLinePunct/>
        <w:adjustRightInd w:val="0"/>
        <w:snapToGrid w:val="0"/>
        <w:ind w:firstLine="560" w:firstLineChars="200"/>
        <w:rPr>
          <w:rFonts w:eastAsia="仿宋"/>
          <w:bCs/>
          <w:color w:val="auto"/>
          <w:sz w:val="28"/>
        </w:rPr>
      </w:pPr>
      <w:r>
        <w:rPr>
          <w:rFonts w:hint="eastAsia" w:ascii="仿宋" w:hAnsi="仿宋" w:eastAsia="仿宋"/>
          <w:color w:val="auto"/>
          <w:sz w:val="28"/>
          <w:szCs w:val="28"/>
          <w:lang w:eastAsia="zh-CN"/>
        </w:rPr>
        <w:t>市场</w:t>
      </w:r>
      <w:r>
        <w:rPr>
          <w:rFonts w:ascii="仿宋" w:hAnsi="仿宋" w:eastAsia="仿宋"/>
          <w:color w:val="auto"/>
          <w:sz w:val="28"/>
          <w:szCs w:val="28"/>
        </w:rPr>
        <w:t>比较法是选取一定数量的可比实例，将它们与估价对象进行比较，根据其间的差异对可比实例成交价格进行处理后得到估价对象价值或价格的方法</w:t>
      </w:r>
      <w:r>
        <w:rPr>
          <w:rFonts w:eastAsia="仿宋"/>
          <w:bCs/>
          <w:color w:val="auto"/>
          <w:sz w:val="28"/>
        </w:rPr>
        <w:t>。</w:t>
      </w:r>
    </w:p>
    <w:p>
      <w:pPr>
        <w:pStyle w:val="4"/>
        <w:tabs>
          <w:tab w:val="center" w:pos="360"/>
          <w:tab w:val="center" w:pos="8820"/>
        </w:tabs>
        <w:adjustRightInd w:val="0"/>
        <w:snapToGrid w:val="0"/>
        <w:ind w:firstLine="560" w:firstLineChars="200"/>
        <w:rPr>
          <w:rFonts w:ascii="仿宋" w:hAnsi="仿宋" w:eastAsia="仿宋"/>
          <w:color w:val="auto"/>
          <w:sz w:val="28"/>
          <w:szCs w:val="28"/>
        </w:rPr>
      </w:pPr>
      <w:r>
        <w:rPr>
          <w:rFonts w:eastAsia="仿宋"/>
          <w:bCs/>
          <w:color w:val="auto"/>
          <w:sz w:val="28"/>
        </w:rPr>
        <w:t>本次采用</w:t>
      </w:r>
      <w:r>
        <w:rPr>
          <w:rFonts w:hint="eastAsia" w:eastAsia="仿宋"/>
          <w:bCs/>
          <w:color w:val="auto"/>
          <w:sz w:val="28"/>
        </w:rPr>
        <w:t>的</w:t>
      </w:r>
      <w:r>
        <w:rPr>
          <w:rFonts w:ascii="仿宋" w:hAnsi="仿宋" w:eastAsia="仿宋"/>
          <w:color w:val="auto"/>
          <w:sz w:val="28"/>
          <w:szCs w:val="28"/>
        </w:rPr>
        <w:t>比较法的计算公式：</w:t>
      </w:r>
    </w:p>
    <w:p>
      <w:pPr>
        <w:adjustRightInd w:val="0"/>
        <w:snapToGrid w:val="0"/>
        <w:spacing w:line="480" w:lineRule="auto"/>
        <w:ind w:firstLine="560" w:firstLineChars="200"/>
        <w:rPr>
          <w:rFonts w:eastAsia="仿宋"/>
          <w:bCs/>
          <w:color w:val="auto"/>
          <w:sz w:val="28"/>
        </w:rPr>
      </w:pPr>
      <w:r>
        <w:rPr>
          <w:rFonts w:ascii="仿宋" w:hAnsi="仿宋" w:eastAsia="仿宋"/>
          <w:color w:val="auto"/>
          <w:sz w:val="28"/>
          <w:szCs w:val="28"/>
        </w:rPr>
        <w:t>估价对象价值 = 可比实例价格×交易情况修正系数×市场状况修正系数×房地产状况修正系数。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bCs/>
          <w:color w:val="auto"/>
          <w:sz w:val="28"/>
          <w:szCs w:val="28"/>
        </w:rPr>
      </w:pPr>
      <w:r>
        <w:rPr>
          <w:rFonts w:hint="default" w:ascii="Times New Roman" w:hAnsi="Times New Roman" w:eastAsia="仿宋" w:cs="Times New Roman"/>
          <w:b/>
          <w:bCs/>
          <w:color w:val="auto"/>
          <w:sz w:val="28"/>
          <w:szCs w:val="28"/>
        </w:rPr>
        <w:t>十、估价结果</w:t>
      </w:r>
    </w:p>
    <w:p>
      <w:pPr>
        <w:keepNext w:val="0"/>
        <w:keepLines w:val="0"/>
        <w:pageBreakBefore w:val="0"/>
        <w:widowControl w:val="0"/>
        <w:kinsoku/>
        <w:wordWrap/>
        <w:overflowPunct w:val="0"/>
        <w:topLinePunct/>
        <w:autoSpaceDE/>
        <w:autoSpaceDN/>
        <w:bidi w:val="0"/>
        <w:adjustRightInd w:val="0"/>
        <w:snapToGrid w:val="0"/>
        <w:spacing w:before="157" w:beforeLines="50" w:after="157" w:afterLines="50" w:line="360" w:lineRule="auto"/>
        <w:ind w:left="0" w:leftChars="0" w:right="0" w:rightChars="0" w:firstLine="560" w:firstLineChars="200"/>
        <w:jc w:val="left"/>
        <w:textAlignment w:val="auto"/>
        <w:outlineLvl w:val="9"/>
        <w:rPr>
          <w:rFonts w:hint="default" w:ascii="Times New Roman" w:hAnsi="Times New Roman" w:eastAsia="仿宋" w:cs="Times New Roman"/>
          <w:bCs/>
          <w:color w:val="auto"/>
          <w:sz w:val="28"/>
          <w:szCs w:val="28"/>
        </w:rPr>
      </w:pPr>
      <w:bookmarkStart w:id="2" w:name="_GoBack"/>
      <w:bookmarkEnd w:id="2"/>
      <w:r>
        <w:rPr>
          <w:rFonts w:hint="default" w:ascii="Times New Roman" w:hAnsi="Times New Roman" w:eastAsia="仿宋" w:cs="Times New Roman"/>
          <w:color w:val="auto"/>
          <w:sz w:val="28"/>
          <w:szCs w:val="28"/>
        </w:rPr>
        <w:t>通过对委估房地产的位置、环境、用途、现状、市场供求等价值影响因素进行综合考虑后，结合市场调查及评估人员经验，采用市场比较法评定、估算位于</w:t>
      </w:r>
      <w:r>
        <w:rPr>
          <w:rFonts w:hint="eastAsia" w:eastAsia="仿宋"/>
          <w:b/>
          <w:bCs w:val="0"/>
          <w:color w:val="auto"/>
          <w:sz w:val="28"/>
          <w:szCs w:val="28"/>
          <w:lang w:val="en-US" w:eastAsia="zh-CN"/>
        </w:rPr>
        <w:t>贵州省水城县双水新区钟山东路北侧，高林路以东世纪雅苑2幢3单元9层909号姚雪宝所有的住宅用房</w:t>
      </w:r>
      <w:r>
        <w:rPr>
          <w:rFonts w:eastAsia="仿宋"/>
          <w:bCs/>
          <w:color w:val="auto"/>
          <w:sz w:val="28"/>
          <w:szCs w:val="28"/>
        </w:rPr>
        <w:t>在本报告假设及限制条件下于</w:t>
      </w:r>
      <w:r>
        <w:rPr>
          <w:rFonts w:hint="eastAsia" w:eastAsia="仿宋"/>
          <w:b/>
          <w:bCs/>
          <w:color w:val="auto"/>
          <w:sz w:val="28"/>
          <w:szCs w:val="28"/>
          <w:lang w:eastAsia="zh-CN"/>
        </w:rPr>
        <w:t>2019年9月23日</w:t>
      </w:r>
      <w:r>
        <w:rPr>
          <w:rFonts w:eastAsia="仿宋"/>
          <w:bCs/>
          <w:color w:val="auto"/>
          <w:sz w:val="28"/>
          <w:szCs w:val="28"/>
        </w:rPr>
        <w:t>的市场价值为</w:t>
      </w:r>
      <w:r>
        <w:rPr>
          <w:rFonts w:hint="eastAsia" w:eastAsia="仿宋"/>
          <w:b/>
          <w:color w:val="auto"/>
          <w:sz w:val="28"/>
          <w:lang w:eastAsia="zh-CN"/>
        </w:rPr>
        <w:t>人民币肆拾伍万肆仟捌佰肆拾伍元整</w:t>
      </w:r>
      <w:r>
        <w:rPr>
          <w:rFonts w:eastAsia="仿宋"/>
          <w:b/>
          <w:color w:val="auto"/>
          <w:sz w:val="28"/>
        </w:rPr>
        <w:t>（RMB</w:t>
      </w:r>
      <w:r>
        <w:rPr>
          <w:rFonts w:hint="eastAsia" w:eastAsia="仿宋"/>
          <w:b/>
          <w:color w:val="auto"/>
          <w:sz w:val="28"/>
          <w:lang w:val="en-US" w:eastAsia="zh-CN"/>
        </w:rPr>
        <w:t>454,845.00</w:t>
      </w:r>
      <w:r>
        <w:rPr>
          <w:rFonts w:eastAsia="仿宋"/>
          <w:b/>
          <w:color w:val="auto"/>
          <w:sz w:val="28"/>
        </w:rPr>
        <w:t>元）</w:t>
      </w:r>
      <w:r>
        <w:rPr>
          <w:rFonts w:eastAsia="仿宋"/>
          <w:bCs/>
          <w:color w:val="auto"/>
          <w:sz w:val="28"/>
          <w:szCs w:val="28"/>
        </w:rPr>
        <w:t>，按建筑面积折合成单价为</w:t>
      </w:r>
      <w:r>
        <w:rPr>
          <w:rFonts w:hint="eastAsia" w:eastAsia="仿宋"/>
          <w:bCs/>
          <w:color w:val="auto"/>
          <w:sz w:val="28"/>
          <w:szCs w:val="28"/>
          <w:lang w:val="en-US" w:eastAsia="zh-CN"/>
        </w:rPr>
        <w:t>3505.28</w:t>
      </w:r>
      <w:r>
        <w:rPr>
          <w:rFonts w:eastAsia="仿宋"/>
          <w:bCs/>
          <w:color w:val="auto"/>
          <w:sz w:val="28"/>
          <w:szCs w:val="28"/>
        </w:rPr>
        <w:t>元/ m</w:t>
      </w:r>
      <w:r>
        <w:rPr>
          <w:rFonts w:eastAsia="仿宋"/>
          <w:bCs/>
          <w:color w:val="auto"/>
          <w:sz w:val="28"/>
          <w:szCs w:val="28"/>
          <w:vertAlign w:val="superscript"/>
        </w:rPr>
        <w:t>2</w:t>
      </w:r>
      <w:r>
        <w:rPr>
          <w:rFonts w:eastAsia="仿宋"/>
          <w:bCs/>
          <w:color w:val="auto"/>
          <w:sz w:val="28"/>
          <w:szCs w:val="28"/>
        </w:rPr>
        <w:t>（估价结果中包含应分摊的土地使用权价值）</w:t>
      </w:r>
      <w:r>
        <w:rPr>
          <w:rFonts w:hint="eastAsia" w:eastAsia="仿宋"/>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textAlignment w:val="auto"/>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十</w:t>
      </w:r>
      <w:r>
        <w:rPr>
          <w:rFonts w:hint="eastAsia" w:ascii="Times New Roman" w:hAnsi="Times New Roman" w:eastAsia="仿宋" w:cs="Times New Roman"/>
          <w:b/>
          <w:color w:val="auto"/>
          <w:sz w:val="28"/>
          <w:szCs w:val="28"/>
          <w:lang w:eastAsia="zh-CN"/>
        </w:rPr>
        <w:t>一</w:t>
      </w:r>
      <w:r>
        <w:rPr>
          <w:rFonts w:hint="default" w:ascii="Times New Roman" w:hAnsi="Times New Roman" w:eastAsia="仿宋" w:cs="Times New Roman"/>
          <w:b/>
          <w:color w:val="auto"/>
          <w:sz w:val="28"/>
          <w:szCs w:val="28"/>
        </w:rPr>
        <w:t>、估价作业日期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ascii="Times New Roman" w:hAnsi="Times New Roman" w:eastAsia="仿宋"/>
          <w:bCs/>
          <w:color w:val="auto"/>
          <w:sz w:val="28"/>
          <w:szCs w:val="28"/>
        </w:rPr>
        <w:t>本次估价的作业日期是</w:t>
      </w:r>
      <w:r>
        <w:rPr>
          <w:rFonts w:hint="eastAsia" w:ascii="Times New Roman" w:hAnsi="Times New Roman" w:eastAsia="仿宋"/>
          <w:color w:val="auto"/>
          <w:sz w:val="28"/>
          <w:szCs w:val="28"/>
          <w:lang w:eastAsia="zh-CN"/>
        </w:rPr>
        <w:t>2019年9月23日至2019年10月22日</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十</w:t>
      </w:r>
      <w:r>
        <w:rPr>
          <w:rFonts w:hint="eastAsia" w:ascii="Times New Roman" w:hAnsi="Times New Roman" w:eastAsia="仿宋" w:cs="Times New Roman"/>
          <w:b/>
          <w:color w:val="auto"/>
          <w:sz w:val="28"/>
          <w:szCs w:val="28"/>
          <w:lang w:eastAsia="zh-CN"/>
        </w:rPr>
        <w:t>二</w:t>
      </w:r>
      <w:r>
        <w:rPr>
          <w:rFonts w:hint="default" w:ascii="Times New Roman" w:hAnsi="Times New Roman" w:eastAsia="仿宋" w:cs="Times New Roman"/>
          <w:b/>
          <w:color w:val="auto"/>
          <w:sz w:val="28"/>
          <w:szCs w:val="28"/>
        </w:rPr>
        <w:t>、估价人员</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项目负责人：中国注册房地产估价师：覃  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pacing w:val="-14"/>
          <w:sz w:val="28"/>
          <w:szCs w:val="28"/>
        </w:rPr>
        <w:t>评 估 人 员</w:t>
      </w:r>
      <w:r>
        <w:rPr>
          <w:rFonts w:hint="default" w:ascii="Times New Roman" w:hAnsi="Times New Roman" w:eastAsia="仿宋" w:cs="Times New Roman"/>
          <w:color w:val="auto"/>
          <w:sz w:val="28"/>
          <w:szCs w:val="28"/>
        </w:rPr>
        <w:t>：中国注册房地产估价师：覃  剑</w:t>
      </w:r>
      <w:r>
        <w:rPr>
          <w:rFonts w:hint="eastAsia"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（注册号：5220040052）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仿宋"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审  核  人：中国注册房地产估价师：谭万场（注册号：5220080005）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十</w:t>
      </w:r>
      <w:r>
        <w:rPr>
          <w:rFonts w:hint="eastAsia" w:ascii="Times New Roman" w:hAnsi="Times New Roman" w:eastAsia="仿宋" w:cs="Times New Roman"/>
          <w:b/>
          <w:color w:val="auto"/>
          <w:sz w:val="28"/>
          <w:szCs w:val="28"/>
          <w:lang w:eastAsia="zh-CN"/>
        </w:rPr>
        <w:t>三</w:t>
      </w:r>
      <w:r>
        <w:rPr>
          <w:rFonts w:hint="default" w:ascii="Times New Roman" w:hAnsi="Times New Roman" w:eastAsia="仿宋" w:cs="Times New Roman"/>
          <w:b/>
          <w:color w:val="auto"/>
          <w:sz w:val="28"/>
          <w:szCs w:val="28"/>
        </w:rPr>
        <w:t>、估价报告应用的有效期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报告有效期：</w:t>
      </w:r>
      <w:r>
        <w:rPr>
          <w:rFonts w:hint="default" w:ascii="Times New Roman" w:hAnsi="Times New Roman" w:eastAsia="仿宋" w:cs="Times New Roman"/>
          <w:color w:val="auto"/>
          <w:sz w:val="28"/>
          <w:szCs w:val="28"/>
          <w:lang w:eastAsia="zh-CN"/>
        </w:rPr>
        <w:t>壹年，</w:t>
      </w:r>
      <w:r>
        <w:rPr>
          <w:rFonts w:hint="default" w:ascii="Times New Roman" w:hAnsi="Times New Roman" w:eastAsia="仿宋" w:cs="Times New Roman"/>
          <w:bCs/>
          <w:color w:val="auto"/>
          <w:sz w:val="28"/>
          <w:szCs w:val="28"/>
        </w:rPr>
        <w:t>即从</w:t>
      </w:r>
      <w:r>
        <w:rPr>
          <w:rFonts w:hint="eastAsia" w:ascii="Times New Roman" w:hAnsi="Times New Roman" w:eastAsia="仿宋" w:cs="Times New Roman"/>
          <w:bCs/>
          <w:color w:val="auto"/>
          <w:sz w:val="28"/>
          <w:szCs w:val="28"/>
          <w:lang w:eastAsia="zh-CN"/>
        </w:rPr>
        <w:t>2019年10月22日至2020年10月21日止</w:t>
      </w:r>
      <w:r>
        <w:rPr>
          <w:rFonts w:hint="default" w:ascii="Times New Roman" w:hAnsi="Times New Roman" w:eastAsia="仿宋" w:cs="Times New Roman"/>
          <w:color w:val="auto"/>
          <w:sz w:val="28"/>
          <w:szCs w:val="28"/>
        </w:rPr>
        <w:t>。</w:t>
      </w:r>
    </w:p>
    <w:p>
      <w:pPr>
        <w:spacing w:line="360" w:lineRule="auto"/>
        <w:ind w:firstLine="480"/>
        <w:rPr>
          <w:rFonts w:hint="default" w:ascii="Times New Roman" w:hAnsi="Times New Roman" w:eastAsia="仿宋" w:cs="Times New Roman"/>
          <w:color w:val="auto"/>
        </w:rPr>
      </w:pPr>
    </w:p>
    <w:p>
      <w:pPr>
        <w:keepNext w:val="0"/>
        <w:keepLines w:val="0"/>
        <w:pageBreakBefore w:val="0"/>
        <w:widowControl w:val="0"/>
        <w:tabs>
          <w:tab w:val="left" w:pos="1680"/>
        </w:tabs>
        <w:kinsoku/>
        <w:wordWrap/>
        <w:overflowPunct/>
        <w:topLinePunct w:val="0"/>
        <w:autoSpaceDE/>
        <w:autoSpaceDN/>
        <w:bidi w:val="0"/>
        <w:adjustRightInd/>
        <w:snapToGrid/>
        <w:spacing w:line="0" w:lineRule="atLeast"/>
        <w:ind w:left="315" w:leftChars="150" w:right="0" w:rightChars="0" w:firstLine="1155" w:firstLineChars="550"/>
        <w:jc w:val="righ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rPr>
        <w:t xml:space="preserve">     </w:t>
      </w:r>
      <w:r>
        <w:rPr>
          <w:rFonts w:hint="default" w:ascii="Times New Roman" w:hAnsi="Times New Roman" w:eastAsia="仿宋" w:cs="Times New Roman"/>
          <w:color w:val="auto"/>
          <w:sz w:val="28"/>
          <w:szCs w:val="28"/>
        </w:rPr>
        <w:t>贵州昊远房地产土地评估有限公司</w:t>
      </w:r>
    </w:p>
    <w:p>
      <w:pPr>
        <w:keepNext w:val="0"/>
        <w:keepLines w:val="0"/>
        <w:pageBreakBefore w:val="0"/>
        <w:widowControl w:val="0"/>
        <w:tabs>
          <w:tab w:val="left" w:pos="1680"/>
        </w:tabs>
        <w:kinsoku/>
        <w:wordWrap/>
        <w:overflowPunct/>
        <w:topLinePunct w:val="0"/>
        <w:autoSpaceDE/>
        <w:autoSpaceDN/>
        <w:bidi w:val="0"/>
        <w:adjustRightInd/>
        <w:snapToGrid/>
        <w:spacing w:line="0" w:lineRule="atLeast"/>
        <w:ind w:left="315" w:leftChars="150" w:right="0" w:rightChars="0" w:firstLine="1540" w:firstLineChars="550"/>
        <w:jc w:val="right"/>
        <w:textAlignment w:val="auto"/>
        <w:outlineLvl w:val="9"/>
        <w:rPr>
          <w:rFonts w:hint="default" w:ascii="Times New Roman" w:hAnsi="Times New Roman" w:eastAsia="仿宋"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0" w:lineRule="atLeast"/>
        <w:ind w:right="0" w:rightChars="0"/>
        <w:jc w:val="right"/>
        <w:textAlignment w:val="auto"/>
        <w:outlineLvl w:val="9"/>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 xml:space="preserve">                                          </w:t>
      </w:r>
      <w:r>
        <w:rPr>
          <w:rFonts w:hint="eastAsia" w:ascii="Times New Roman" w:hAnsi="Times New Roman" w:eastAsia="仿宋" w:cs="Times New Roman"/>
          <w:color w:val="auto"/>
          <w:spacing w:val="10"/>
          <w:sz w:val="28"/>
          <w:szCs w:val="28"/>
          <w:lang w:val="en-US" w:eastAsia="zh-CN"/>
        </w:rPr>
        <w:t>2019年10月22日</w:t>
      </w:r>
    </w:p>
    <w:p>
      <w:pPr>
        <w:jc w:val="both"/>
        <w:rPr>
          <w:rFonts w:hint="default" w:ascii="Times New Roman" w:hAnsi="Times New Roman" w:eastAsia="仿宋" w:cs="Times New Roman"/>
          <w:color w:val="auto"/>
          <w:lang w:val="zh-CN" w:eastAsia="zh-CN"/>
        </w:rPr>
      </w:pPr>
    </w:p>
    <w:sectPr>
      <w:footerReference r:id="rId6" w:type="default"/>
      <w:pgSz w:w="11906" w:h="16838"/>
      <w:pgMar w:top="1440" w:right="748" w:bottom="1440" w:left="964" w:header="851" w:footer="992" w:gutter="0"/>
      <w:pgNumType w:fmt="numberInDash" w:start="1"/>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fldChar w:fldCharType="begin"/>
                    </w:r>
                    <w:r>
                      <w:rPr>
                        <w:rFonts w:hint="eastAsia" w:ascii="华文楷体" w:hAnsi="华文楷体" w:eastAsia="华文楷体" w:cs="华文楷体"/>
                        <w:sz w:val="24"/>
                        <w:szCs w:val="24"/>
                        <w:lang w:eastAsia="zh-CN"/>
                      </w:rPr>
                      <w:instrText xml:space="preserve"> PAGE  \* MERGEFORMAT </w:instrText>
                    </w:r>
                    <w:r>
                      <w:rPr>
                        <w:rFonts w:hint="eastAsia" w:ascii="华文楷体" w:hAnsi="华文楷体" w:eastAsia="华文楷体" w:cs="华文楷体"/>
                        <w:sz w:val="24"/>
                        <w:szCs w:val="24"/>
                        <w:lang w:eastAsia="zh-CN"/>
                      </w:rPr>
                      <w:fldChar w:fldCharType="separate"/>
                    </w:r>
                    <w:r>
                      <w:rPr>
                        <w:rFonts w:hint="eastAsia" w:ascii="华文楷体" w:hAnsi="华文楷体" w:eastAsia="华文楷体" w:cs="华文楷体"/>
                        <w:sz w:val="24"/>
                        <w:szCs w:val="24"/>
                      </w:rPr>
                      <w:t>1</w:t>
                    </w:r>
                    <w:r>
                      <w:rPr>
                        <w:rFonts w:hint="eastAsia" w:ascii="华文楷体" w:hAnsi="华文楷体" w:eastAsia="华文楷体" w:cs="华文楷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rPr>
    </w:pPr>
    <w:r>
      <w:rPr>
        <w:rFonts w:hint="eastAsia" w:ascii="宋体" w:hAnsi="宋体" w:cs="宋体"/>
        <w:b/>
        <w:bCs/>
        <w:color w:val="071214"/>
        <w:kern w:val="0"/>
        <w:sz w:val="20"/>
        <w:szCs w:val="20"/>
      </w:rPr>
      <w:t>贵州昊远房地产土地评估有限公司</w:t>
    </w:r>
    <w:r>
      <w:rPr>
        <w:rFonts w:hint="eastAsia" w:ascii="仿宋_GB2312" w:eastAsia="仿宋_GB2312"/>
      </w:rPr>
      <w:t xml:space="preserve">                                                                </w:t>
    </w:r>
    <w:r>
      <w:rPr>
        <w:rFonts w:hint="eastAsia" w:ascii="仿宋_GB2312" w:eastAsia="仿宋_GB2312"/>
        <w:outline/>
        <w:sz w:val="21"/>
        <w:szCs w:val="20"/>
        <w14:textOutline w14:w="9525" w14:cap="flat" w14:cmpd="sng" w14:algn="ctr">
          <w14:solidFill>
            <w14:srgbClr w14:val="000000"/>
          </w14:solidFill>
          <w14:prstDash w14:val="solid"/>
          <w14:round/>
        </w14:textOutline>
        <w14:textFill>
          <w14:noFill/>
        </w14:textFill>
      </w:rPr>
      <w:t xml:space="preserve">  [</w:t>
    </w:r>
    <w:r>
      <w:rPr>
        <w:rFonts w:hint="eastAsia" w:ascii="仿宋_GB2312" w:eastAsia="仿宋_GB2312"/>
        <w:sz w:val="20"/>
        <w:szCs w:val="20"/>
      </w:rPr>
      <w:t>估价报告</w:t>
    </w:r>
    <w:r>
      <w:rPr>
        <w:rFonts w:hint="eastAsia" w:ascii="仿宋_GB2312" w:eastAsia="仿宋_GB2312"/>
        <w:outline/>
        <w:sz w:val="21"/>
        <w:szCs w:val="20"/>
        <w14:textOutline w14:w="9525" w14:cap="flat" w14:cmpd="sng" w14:algn="ctr">
          <w14:solidFill>
            <w14:srgbClr w14:val="000000"/>
          </w14:solidFill>
          <w14:prstDash w14:val="solid"/>
          <w14:round/>
        </w14:textOutline>
        <w14:textFill>
          <w14:noFill/>
        </w14:textFil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872E6"/>
    <w:rsid w:val="00192DB1"/>
    <w:rsid w:val="00385B4E"/>
    <w:rsid w:val="026D027E"/>
    <w:rsid w:val="026E7776"/>
    <w:rsid w:val="02725B9A"/>
    <w:rsid w:val="02AB23BF"/>
    <w:rsid w:val="0306333F"/>
    <w:rsid w:val="04854EB2"/>
    <w:rsid w:val="04926221"/>
    <w:rsid w:val="052F7824"/>
    <w:rsid w:val="05AB49D0"/>
    <w:rsid w:val="05E9359A"/>
    <w:rsid w:val="06023CDB"/>
    <w:rsid w:val="06223665"/>
    <w:rsid w:val="066A4AAD"/>
    <w:rsid w:val="06D36162"/>
    <w:rsid w:val="06E41AE8"/>
    <w:rsid w:val="06FF2B6F"/>
    <w:rsid w:val="073E6227"/>
    <w:rsid w:val="07D54B8E"/>
    <w:rsid w:val="08423CCF"/>
    <w:rsid w:val="08697907"/>
    <w:rsid w:val="087D7FBF"/>
    <w:rsid w:val="09B212F7"/>
    <w:rsid w:val="09D54081"/>
    <w:rsid w:val="0AA10C32"/>
    <w:rsid w:val="0AA27F51"/>
    <w:rsid w:val="0BA0036B"/>
    <w:rsid w:val="0CA03FED"/>
    <w:rsid w:val="0CC50835"/>
    <w:rsid w:val="0DD83B3D"/>
    <w:rsid w:val="0E61342E"/>
    <w:rsid w:val="0EED73E5"/>
    <w:rsid w:val="0F6348D6"/>
    <w:rsid w:val="1134066F"/>
    <w:rsid w:val="11AD24B7"/>
    <w:rsid w:val="120D78BB"/>
    <w:rsid w:val="12337EED"/>
    <w:rsid w:val="124A0210"/>
    <w:rsid w:val="12E020DE"/>
    <w:rsid w:val="133141D1"/>
    <w:rsid w:val="137B3277"/>
    <w:rsid w:val="13984C31"/>
    <w:rsid w:val="13BE083F"/>
    <w:rsid w:val="13DD6FEA"/>
    <w:rsid w:val="14381085"/>
    <w:rsid w:val="148464C2"/>
    <w:rsid w:val="149A1802"/>
    <w:rsid w:val="14C509F7"/>
    <w:rsid w:val="161D3159"/>
    <w:rsid w:val="16871928"/>
    <w:rsid w:val="16C94CBC"/>
    <w:rsid w:val="16D47857"/>
    <w:rsid w:val="179E5306"/>
    <w:rsid w:val="181309BA"/>
    <w:rsid w:val="18BD6428"/>
    <w:rsid w:val="18D00F66"/>
    <w:rsid w:val="18FB7D5C"/>
    <w:rsid w:val="19B1070F"/>
    <w:rsid w:val="1AF16119"/>
    <w:rsid w:val="1B3835B9"/>
    <w:rsid w:val="1B9215D5"/>
    <w:rsid w:val="1C9159D3"/>
    <w:rsid w:val="1D0820F2"/>
    <w:rsid w:val="1D583E01"/>
    <w:rsid w:val="1DCF1353"/>
    <w:rsid w:val="1E0E0E6C"/>
    <w:rsid w:val="1E3F0A8D"/>
    <w:rsid w:val="1EAF2A29"/>
    <w:rsid w:val="1F17245A"/>
    <w:rsid w:val="1F204116"/>
    <w:rsid w:val="1FBE158E"/>
    <w:rsid w:val="1FC955D7"/>
    <w:rsid w:val="208F2722"/>
    <w:rsid w:val="21464187"/>
    <w:rsid w:val="2184745B"/>
    <w:rsid w:val="22DB1AAE"/>
    <w:rsid w:val="22E30E33"/>
    <w:rsid w:val="2396693F"/>
    <w:rsid w:val="239A23A3"/>
    <w:rsid w:val="23B17206"/>
    <w:rsid w:val="23EA16A3"/>
    <w:rsid w:val="24034617"/>
    <w:rsid w:val="24132AA1"/>
    <w:rsid w:val="24525F8D"/>
    <w:rsid w:val="245E4E48"/>
    <w:rsid w:val="253E7ADB"/>
    <w:rsid w:val="26871589"/>
    <w:rsid w:val="2711339F"/>
    <w:rsid w:val="274A5026"/>
    <w:rsid w:val="27D75390"/>
    <w:rsid w:val="281B1B23"/>
    <w:rsid w:val="28AC6545"/>
    <w:rsid w:val="296A6FD1"/>
    <w:rsid w:val="2A3C5B55"/>
    <w:rsid w:val="2AD01B31"/>
    <w:rsid w:val="2AED21BA"/>
    <w:rsid w:val="2B4B3B00"/>
    <w:rsid w:val="2B580FFC"/>
    <w:rsid w:val="2BA86EFD"/>
    <w:rsid w:val="2BCB105C"/>
    <w:rsid w:val="2CA238A9"/>
    <w:rsid w:val="2CB55519"/>
    <w:rsid w:val="2D275C53"/>
    <w:rsid w:val="2DC9507A"/>
    <w:rsid w:val="2E38266B"/>
    <w:rsid w:val="2E444D8D"/>
    <w:rsid w:val="2EAC0B5B"/>
    <w:rsid w:val="2FB95CCF"/>
    <w:rsid w:val="300D3246"/>
    <w:rsid w:val="30143C05"/>
    <w:rsid w:val="30B6471B"/>
    <w:rsid w:val="30C57B47"/>
    <w:rsid w:val="30CA7D60"/>
    <w:rsid w:val="31172CD5"/>
    <w:rsid w:val="314908AD"/>
    <w:rsid w:val="32096579"/>
    <w:rsid w:val="320A7433"/>
    <w:rsid w:val="32580894"/>
    <w:rsid w:val="325A0F0E"/>
    <w:rsid w:val="32D168FC"/>
    <w:rsid w:val="32F753C5"/>
    <w:rsid w:val="33856586"/>
    <w:rsid w:val="33BD4896"/>
    <w:rsid w:val="33D2704C"/>
    <w:rsid w:val="33E872E6"/>
    <w:rsid w:val="340A7EDA"/>
    <w:rsid w:val="341D70AD"/>
    <w:rsid w:val="34410F8D"/>
    <w:rsid w:val="34E263E6"/>
    <w:rsid w:val="34ED4858"/>
    <w:rsid w:val="35107E72"/>
    <w:rsid w:val="35230F42"/>
    <w:rsid w:val="356E6F4E"/>
    <w:rsid w:val="35933A0A"/>
    <w:rsid w:val="35ED10C2"/>
    <w:rsid w:val="367A499E"/>
    <w:rsid w:val="372867FA"/>
    <w:rsid w:val="37634497"/>
    <w:rsid w:val="37853589"/>
    <w:rsid w:val="37861091"/>
    <w:rsid w:val="37B01D81"/>
    <w:rsid w:val="37DA78DB"/>
    <w:rsid w:val="38B65191"/>
    <w:rsid w:val="38C26F9B"/>
    <w:rsid w:val="394949E0"/>
    <w:rsid w:val="39747FBC"/>
    <w:rsid w:val="3A980FE9"/>
    <w:rsid w:val="3C210B12"/>
    <w:rsid w:val="3C7625F3"/>
    <w:rsid w:val="3CCC4721"/>
    <w:rsid w:val="3CE60294"/>
    <w:rsid w:val="3D423FD3"/>
    <w:rsid w:val="3DD34B8D"/>
    <w:rsid w:val="3DDE4836"/>
    <w:rsid w:val="3E92482B"/>
    <w:rsid w:val="3EA70BA9"/>
    <w:rsid w:val="3EC524B0"/>
    <w:rsid w:val="3F2966CA"/>
    <w:rsid w:val="3FA4452D"/>
    <w:rsid w:val="3FD220DA"/>
    <w:rsid w:val="407B0606"/>
    <w:rsid w:val="40A22321"/>
    <w:rsid w:val="41274732"/>
    <w:rsid w:val="41D16D80"/>
    <w:rsid w:val="420A3DEC"/>
    <w:rsid w:val="431F41CC"/>
    <w:rsid w:val="440C168E"/>
    <w:rsid w:val="45D3641C"/>
    <w:rsid w:val="46141BD1"/>
    <w:rsid w:val="46293934"/>
    <w:rsid w:val="478B4863"/>
    <w:rsid w:val="48317C1A"/>
    <w:rsid w:val="487606A8"/>
    <w:rsid w:val="49152413"/>
    <w:rsid w:val="498D2C48"/>
    <w:rsid w:val="4A10237B"/>
    <w:rsid w:val="4A9B0D09"/>
    <w:rsid w:val="4B621303"/>
    <w:rsid w:val="4B661C96"/>
    <w:rsid w:val="4B7E158F"/>
    <w:rsid w:val="4BB41763"/>
    <w:rsid w:val="4CF93BAE"/>
    <w:rsid w:val="4D2826E4"/>
    <w:rsid w:val="4D796D56"/>
    <w:rsid w:val="4DBD7E00"/>
    <w:rsid w:val="4F0B3889"/>
    <w:rsid w:val="4F476FAB"/>
    <w:rsid w:val="4F9C78BB"/>
    <w:rsid w:val="4FB86E3F"/>
    <w:rsid w:val="5088116D"/>
    <w:rsid w:val="50A2594A"/>
    <w:rsid w:val="51043D77"/>
    <w:rsid w:val="51996A1A"/>
    <w:rsid w:val="5213766E"/>
    <w:rsid w:val="52213FE7"/>
    <w:rsid w:val="531C76A6"/>
    <w:rsid w:val="53487788"/>
    <w:rsid w:val="54664457"/>
    <w:rsid w:val="54B76B0F"/>
    <w:rsid w:val="55780CC1"/>
    <w:rsid w:val="562C58A3"/>
    <w:rsid w:val="566E59AA"/>
    <w:rsid w:val="56DD2D7B"/>
    <w:rsid w:val="573749D1"/>
    <w:rsid w:val="57A75775"/>
    <w:rsid w:val="585031A1"/>
    <w:rsid w:val="59284710"/>
    <w:rsid w:val="59374542"/>
    <w:rsid w:val="594B1AFD"/>
    <w:rsid w:val="5A8A246E"/>
    <w:rsid w:val="5AAE0FEE"/>
    <w:rsid w:val="5AC941E6"/>
    <w:rsid w:val="5B2752CC"/>
    <w:rsid w:val="5B7E5FF5"/>
    <w:rsid w:val="5BBD10DE"/>
    <w:rsid w:val="5C2D4926"/>
    <w:rsid w:val="5C3867AA"/>
    <w:rsid w:val="5C8545D3"/>
    <w:rsid w:val="5D3C4F20"/>
    <w:rsid w:val="5E421522"/>
    <w:rsid w:val="5F20122C"/>
    <w:rsid w:val="5F7F32F4"/>
    <w:rsid w:val="60B95822"/>
    <w:rsid w:val="60ED42F9"/>
    <w:rsid w:val="61130CB8"/>
    <w:rsid w:val="61803B5E"/>
    <w:rsid w:val="623116B3"/>
    <w:rsid w:val="634E144C"/>
    <w:rsid w:val="638F5C5A"/>
    <w:rsid w:val="63CA03F9"/>
    <w:rsid w:val="642F78A6"/>
    <w:rsid w:val="64DF77B6"/>
    <w:rsid w:val="657F6E4D"/>
    <w:rsid w:val="661C2D6A"/>
    <w:rsid w:val="66716DC1"/>
    <w:rsid w:val="66D56A77"/>
    <w:rsid w:val="67F323E5"/>
    <w:rsid w:val="682A4EB5"/>
    <w:rsid w:val="686F323B"/>
    <w:rsid w:val="69EE22A9"/>
    <w:rsid w:val="6A5C29DF"/>
    <w:rsid w:val="6A9778CE"/>
    <w:rsid w:val="6AA336FB"/>
    <w:rsid w:val="6AE67A72"/>
    <w:rsid w:val="6AF66344"/>
    <w:rsid w:val="6B3D1184"/>
    <w:rsid w:val="6BE30EE0"/>
    <w:rsid w:val="6BFB4E8E"/>
    <w:rsid w:val="6C450AE7"/>
    <w:rsid w:val="6CD72F1C"/>
    <w:rsid w:val="6D186B69"/>
    <w:rsid w:val="6D4D0039"/>
    <w:rsid w:val="6E0A0B18"/>
    <w:rsid w:val="6E98408C"/>
    <w:rsid w:val="6F184B47"/>
    <w:rsid w:val="6F281381"/>
    <w:rsid w:val="6F37584A"/>
    <w:rsid w:val="6F7E1CEB"/>
    <w:rsid w:val="6FE406F9"/>
    <w:rsid w:val="70476868"/>
    <w:rsid w:val="71343F7C"/>
    <w:rsid w:val="718E4F00"/>
    <w:rsid w:val="73466717"/>
    <w:rsid w:val="73A61C16"/>
    <w:rsid w:val="74CE7DF8"/>
    <w:rsid w:val="756D4CDF"/>
    <w:rsid w:val="75A5715D"/>
    <w:rsid w:val="764B27BA"/>
    <w:rsid w:val="765A4B80"/>
    <w:rsid w:val="77722A20"/>
    <w:rsid w:val="77CC004C"/>
    <w:rsid w:val="78A34135"/>
    <w:rsid w:val="7A331859"/>
    <w:rsid w:val="7A940673"/>
    <w:rsid w:val="7B4A6222"/>
    <w:rsid w:val="7C256916"/>
    <w:rsid w:val="7C43509B"/>
    <w:rsid w:val="7CA91465"/>
    <w:rsid w:val="7D180AB5"/>
    <w:rsid w:val="7DE50BEB"/>
    <w:rsid w:val="7E086D8C"/>
    <w:rsid w:val="7E3037DE"/>
    <w:rsid w:val="7EA761F8"/>
    <w:rsid w:val="7EDF27A0"/>
    <w:rsid w:val="7F295050"/>
    <w:rsid w:val="7F4B4B00"/>
    <w:rsid w:val="7F5861C0"/>
    <w:rsid w:val="7F9C38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Indent"/>
    <w:basedOn w:val="1"/>
    <w:qFormat/>
    <w:uiPriority w:val="0"/>
    <w:pPr>
      <w:spacing w:line="360" w:lineRule="auto"/>
      <w:ind w:firstLine="426"/>
    </w:pPr>
    <w:rPr>
      <w:rFonts w:eastAsia="楷体_GB2312"/>
      <w:sz w:val="28"/>
    </w:rPr>
  </w:style>
  <w:style w:type="paragraph" w:styleId="4">
    <w:name w:val="Body Text Indent 2"/>
    <w:basedOn w:val="1"/>
    <w:qFormat/>
    <w:uiPriority w:val="0"/>
    <w:pPr>
      <w:spacing w:line="360" w:lineRule="auto"/>
      <w:ind w:firstLine="540" w:firstLineChars="225"/>
      <w:jc w:val="left"/>
    </w:pPr>
    <w:rPr>
      <w:rFonts w:ascii="宋体" w:hAnsi="宋体"/>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font21"/>
    <w:basedOn w:val="9"/>
    <w:qFormat/>
    <w:uiPriority w:val="0"/>
    <w:rPr>
      <w:rFonts w:hint="default" w:ascii="仿宋_GB2312" w:eastAsia="仿宋_GB2312" w:cs="仿宋_GB2312"/>
      <w:color w:val="000000"/>
      <w:sz w:val="28"/>
      <w:szCs w:val="28"/>
      <w:u w:val="none"/>
    </w:rPr>
  </w:style>
  <w:style w:type="character" w:customStyle="1" w:styleId="13">
    <w:name w:val="font01"/>
    <w:basedOn w:val="9"/>
    <w:qFormat/>
    <w:uiPriority w:val="0"/>
    <w:rPr>
      <w:rFonts w:hint="default" w:ascii="Times New Roman" w:hAnsi="Times New Roman" w:cs="Times New Roman"/>
      <w:color w:val="000000"/>
      <w:sz w:val="20"/>
      <w:szCs w:val="20"/>
      <w:u w:val="none"/>
    </w:rPr>
  </w:style>
  <w:style w:type="character" w:customStyle="1" w:styleId="14">
    <w:name w:val="font81"/>
    <w:basedOn w:val="9"/>
    <w:qFormat/>
    <w:uiPriority w:val="0"/>
    <w:rPr>
      <w:rFonts w:hint="eastAsia" w:ascii="宋体" w:hAnsi="宋体" w:eastAsia="宋体" w:cs="宋体"/>
      <w:b/>
      <w:color w:val="000000"/>
      <w:sz w:val="20"/>
      <w:szCs w:val="20"/>
      <w:u w:val="none"/>
    </w:rPr>
  </w:style>
  <w:style w:type="character" w:customStyle="1" w:styleId="15">
    <w:name w:val="font61"/>
    <w:basedOn w:val="9"/>
    <w:qFormat/>
    <w:uiPriority w:val="0"/>
    <w:rPr>
      <w:rFonts w:hint="eastAsia" w:ascii="宋体" w:hAnsi="宋体" w:eastAsia="宋体" w:cs="宋体"/>
      <w:color w:val="0000FF"/>
      <w:sz w:val="20"/>
      <w:szCs w:val="20"/>
      <w:u w:val="none"/>
    </w:rPr>
  </w:style>
  <w:style w:type="character" w:customStyle="1" w:styleId="16">
    <w:name w:val="font71"/>
    <w:basedOn w:val="9"/>
    <w:qFormat/>
    <w:uiPriority w:val="0"/>
    <w:rPr>
      <w:rFonts w:hint="default" w:ascii="Times New Roman" w:hAnsi="Times New Roman" w:cs="Times New Roman"/>
      <w:color w:val="000000"/>
      <w:sz w:val="20"/>
      <w:szCs w:val="20"/>
      <w:u w:val="none"/>
      <w:vertAlign w:val="superscript"/>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31"/>
    <w:basedOn w:val="9"/>
    <w:qFormat/>
    <w:uiPriority w:val="0"/>
    <w:rPr>
      <w:rFonts w:hint="default" w:ascii="Times New Roman" w:hAnsi="Times New Roman" w:cs="Times New Roman"/>
      <w:color w:val="000000"/>
      <w:sz w:val="20"/>
      <w:szCs w:val="20"/>
      <w:u w:val="none"/>
    </w:rPr>
  </w:style>
  <w:style w:type="character" w:customStyle="1" w:styleId="19">
    <w:name w:val="font91"/>
    <w:basedOn w:val="9"/>
    <w:qFormat/>
    <w:uiPriority w:val="0"/>
    <w:rPr>
      <w:rFonts w:hint="default" w:ascii="Times New Roman" w:hAnsi="Times New Roman" w:cs="Times New Roman"/>
      <w:b/>
      <w:color w:val="000000"/>
      <w:sz w:val="20"/>
      <w:szCs w:val="20"/>
      <w:u w:val="none"/>
    </w:rPr>
  </w:style>
  <w:style w:type="character" w:customStyle="1" w:styleId="20">
    <w:name w:val="font41"/>
    <w:basedOn w:val="9"/>
    <w:qFormat/>
    <w:uiPriority w:val="0"/>
    <w:rPr>
      <w:rFonts w:hint="eastAsia" w:ascii="宋体" w:hAnsi="宋体" w:eastAsia="宋体" w:cs="宋体"/>
      <w:color w:val="000000"/>
      <w:sz w:val="20"/>
      <w:szCs w:val="20"/>
      <w:u w:val="none"/>
    </w:rPr>
  </w:style>
  <w:style w:type="character" w:customStyle="1" w:styleId="21">
    <w:name w:val="font51"/>
    <w:basedOn w:val="9"/>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10294</Words>
  <Characters>11112</Characters>
  <Lines>0</Lines>
  <Paragraphs>0</Paragraphs>
  <TotalTime>17</TotalTime>
  <ScaleCrop>false</ScaleCrop>
  <LinksUpToDate>false</LinksUpToDate>
  <CharactersWithSpaces>11813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2017-05-04T01:16:00Z</dcterms:created>
  <dc:creator>Administrator</dc:creator>
  <cp:lastModifiedBy>asus</cp:lastModifiedBy>
  <cp:lastPrinted>2017-06-19T08:24:00Z</cp:lastPrinted>
  <dcterms:modified xsi:type="dcterms:W3CDTF">2019-11-25T07:02:21Z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