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Pr>
        <w:autoSpaceDE w:val="0"/>
        <w:autoSpaceDN w:val="0"/>
        <w:adjustRightInd w:val="0"/>
        <w:spacing w:line="360" w:lineRule="auto"/>
        <w:jc w:val="center"/>
        <w:rPr>
          <w:rFonts w:hint="eastAsia"/>
          <w:lang w:val="en-US" w:eastAsia="zh-CN"/>
        </w:rPr>
      </w:pPr>
    </w:p>
    <w:p>
      <w:pPr>
        <w:autoSpaceDE w:val="0"/>
        <w:autoSpaceDN w:val="0"/>
        <w:adjustRightInd w:val="0"/>
        <w:spacing w:line="360" w:lineRule="auto"/>
        <w:jc w:val="center"/>
        <w:rPr>
          <w:rFonts w:hint="eastAsia"/>
          <w:lang w:val="en-US" w:eastAsia="zh-CN"/>
        </w:rPr>
      </w:pPr>
    </w:p>
    <w:p>
      <w:pPr>
        <w:autoSpaceDE w:val="0"/>
        <w:autoSpaceDN w:val="0"/>
        <w:adjustRightInd w:val="0"/>
        <w:spacing w:line="360" w:lineRule="auto"/>
        <w:jc w:val="center"/>
        <w:rPr>
          <w:rFonts w:hint="eastAsia"/>
          <w:lang w:val="en-US" w:eastAsia="zh-CN"/>
        </w:rPr>
      </w:pPr>
    </w:p>
    <w:p>
      <w:pPr>
        <w:autoSpaceDE w:val="0"/>
        <w:autoSpaceDN w:val="0"/>
        <w:adjustRightInd w:val="0"/>
        <w:spacing w:line="360" w:lineRule="auto"/>
        <w:jc w:val="center"/>
        <w:rPr>
          <w:rFonts w:hint="eastAsia"/>
          <w:lang w:val="en-US" w:eastAsia="zh-CN"/>
        </w:rPr>
      </w:pPr>
    </w:p>
    <w:p>
      <w:pPr>
        <w:autoSpaceDE w:val="0"/>
        <w:autoSpaceDN w:val="0"/>
        <w:adjustRightInd w:val="0"/>
        <w:spacing w:line="360" w:lineRule="auto"/>
        <w:jc w:val="center"/>
        <w:rPr>
          <w:rFonts w:ascii="宋体" w:cs="宋体"/>
          <w:b/>
          <w:bCs/>
          <w:spacing w:val="20"/>
          <w:sz w:val="36"/>
          <w:szCs w:val="36"/>
          <w:lang w:val="zh-CN"/>
        </w:rPr>
      </w:pPr>
      <w:r>
        <w:rPr>
          <w:rFonts w:hint="eastAsia"/>
          <w:lang w:val="en-US" w:eastAsia="zh-CN"/>
        </w:rPr>
        <w:t xml:space="preserve"> </w:t>
      </w:r>
      <w:r>
        <w:rPr>
          <w:rFonts w:hint="eastAsia" w:ascii="宋体" w:cs="宋体"/>
          <w:b/>
          <w:bCs/>
          <w:spacing w:val="20"/>
          <w:sz w:val="36"/>
          <w:szCs w:val="36"/>
          <w:lang w:val="zh-CN"/>
        </w:rPr>
        <w:t>房地产估价报告</w:t>
      </w:r>
    </w:p>
    <w:p>
      <w:pPr>
        <w:autoSpaceDE w:val="0"/>
        <w:autoSpaceDN w:val="0"/>
        <w:adjustRightInd w:val="0"/>
        <w:spacing w:line="640" w:lineRule="exact"/>
        <w:jc w:val="center"/>
        <w:rPr>
          <w:rFonts w:hint="eastAsia" w:ascii="宋体" w:cs="宋体" w:eastAsiaTheme="minorEastAsia"/>
          <w:sz w:val="30"/>
          <w:szCs w:val="30"/>
          <w:lang w:val="en-US" w:eastAsia="zh-CN"/>
        </w:rPr>
      </w:pPr>
      <w:r>
        <w:rPr>
          <w:rFonts w:hint="eastAsia" w:ascii="宋体" w:cs="宋体"/>
          <w:sz w:val="30"/>
          <w:szCs w:val="30"/>
          <w:lang w:val="en-US" w:eastAsia="zh-CN"/>
        </w:rPr>
        <w:t>(副本）</w:t>
      </w:r>
    </w:p>
    <w:p>
      <w:pPr>
        <w:autoSpaceDE w:val="0"/>
        <w:autoSpaceDN w:val="0"/>
        <w:adjustRightInd w:val="0"/>
        <w:spacing w:line="640" w:lineRule="exact"/>
        <w:ind w:left="2584" w:leftChars="302" w:hanging="1950" w:hangingChars="650"/>
        <w:rPr>
          <w:rFonts w:hint="eastAsia" w:ascii="宋体" w:cs="宋体"/>
          <w:sz w:val="30"/>
          <w:szCs w:val="30"/>
          <w:lang w:val="zh-CN"/>
        </w:rPr>
      </w:pPr>
    </w:p>
    <w:p>
      <w:pPr>
        <w:autoSpaceDE w:val="0"/>
        <w:autoSpaceDN w:val="0"/>
        <w:adjustRightInd w:val="0"/>
        <w:spacing w:line="640" w:lineRule="exact"/>
        <w:ind w:left="2584" w:leftChars="302" w:hanging="1950" w:hangingChars="650"/>
        <w:rPr>
          <w:rFonts w:hint="eastAsia" w:ascii="宋体" w:cs="宋体"/>
          <w:sz w:val="30"/>
          <w:szCs w:val="30"/>
          <w:lang w:val="zh-CN"/>
        </w:rPr>
      </w:pPr>
    </w:p>
    <w:p>
      <w:pPr>
        <w:autoSpaceDE w:val="0"/>
        <w:autoSpaceDN w:val="0"/>
        <w:adjustRightInd w:val="0"/>
        <w:spacing w:line="640" w:lineRule="exact"/>
        <w:ind w:left="2584" w:leftChars="302" w:hanging="1950" w:hangingChars="650"/>
        <w:rPr>
          <w:rFonts w:hint="eastAsia" w:ascii="宋体" w:cs="宋体"/>
          <w:sz w:val="30"/>
          <w:szCs w:val="30"/>
          <w:lang w:val="zh-CN"/>
        </w:rPr>
      </w:pPr>
    </w:p>
    <w:p>
      <w:pPr>
        <w:autoSpaceDE w:val="0"/>
        <w:autoSpaceDN w:val="0"/>
        <w:adjustRightInd w:val="0"/>
        <w:spacing w:line="640" w:lineRule="exact"/>
        <w:ind w:left="2740" w:leftChars="305" w:hanging="2100" w:hangingChars="700"/>
        <w:rPr>
          <w:rFonts w:hint="eastAsia" w:ascii="宋体" w:cs="宋体"/>
          <w:sz w:val="30"/>
          <w:szCs w:val="30"/>
          <w:lang w:val="zh-CN"/>
        </w:rPr>
      </w:pPr>
    </w:p>
    <w:p>
      <w:pPr>
        <w:autoSpaceDE w:val="0"/>
        <w:autoSpaceDN w:val="0"/>
        <w:adjustRightInd w:val="0"/>
        <w:spacing w:line="640" w:lineRule="exact"/>
        <w:ind w:left="2740" w:leftChars="305" w:hanging="2100" w:hangingChars="700"/>
        <w:rPr>
          <w:rFonts w:hint="eastAsia" w:ascii="宋体" w:cs="宋体"/>
          <w:sz w:val="30"/>
          <w:szCs w:val="30"/>
          <w:lang w:val="zh-CN"/>
        </w:rPr>
      </w:pPr>
    </w:p>
    <w:p>
      <w:pPr>
        <w:autoSpaceDE w:val="0"/>
        <w:autoSpaceDN w:val="0"/>
        <w:adjustRightInd w:val="0"/>
        <w:spacing w:line="640" w:lineRule="exact"/>
        <w:rPr>
          <w:rFonts w:hint="eastAsia" w:ascii="宋体" w:cs="宋体"/>
          <w:sz w:val="30"/>
          <w:szCs w:val="30"/>
          <w:lang w:val="zh-CN"/>
        </w:rPr>
      </w:pPr>
    </w:p>
    <w:p>
      <w:pPr>
        <w:autoSpaceDE w:val="0"/>
        <w:autoSpaceDN w:val="0"/>
        <w:adjustRightInd w:val="0"/>
        <w:spacing w:line="640" w:lineRule="exact"/>
        <w:ind w:left="2740" w:leftChars="305" w:hanging="2100" w:hangingChars="700"/>
        <w:rPr>
          <w:rFonts w:hint="eastAsia" w:ascii="宋体" w:cs="宋体"/>
          <w:sz w:val="30"/>
          <w:szCs w:val="30"/>
          <w:lang w:val="zh-CN"/>
        </w:rPr>
      </w:pPr>
    </w:p>
    <w:p>
      <w:pPr>
        <w:autoSpaceDE w:val="0"/>
        <w:autoSpaceDN w:val="0"/>
        <w:adjustRightInd w:val="0"/>
        <w:spacing w:line="480" w:lineRule="auto"/>
        <w:ind w:firstLine="600" w:firstLineChars="200"/>
        <w:rPr>
          <w:rFonts w:hint="eastAsia" w:ascii="宋体" w:cs="宋体"/>
          <w:sz w:val="30"/>
          <w:szCs w:val="30"/>
          <w:lang w:val="zh-CN"/>
        </w:rPr>
      </w:pPr>
      <w:r>
        <w:rPr>
          <w:rFonts w:hint="eastAsia" w:ascii="宋体" w:cs="宋体"/>
          <w:sz w:val="30"/>
          <w:szCs w:val="30"/>
          <w:lang w:val="zh-CN"/>
        </w:rPr>
        <w:t>估价项目名称：景德镇五德酒店有限公司名下位于景德镇市城</w:t>
      </w:r>
    </w:p>
    <w:p>
      <w:pPr>
        <w:autoSpaceDE w:val="0"/>
        <w:autoSpaceDN w:val="0"/>
        <w:adjustRightInd w:val="0"/>
        <w:spacing w:line="480" w:lineRule="auto"/>
        <w:ind w:firstLine="2700" w:firstLineChars="900"/>
        <w:rPr>
          <w:rFonts w:hint="eastAsia" w:ascii="宋体" w:cs="宋体"/>
          <w:sz w:val="30"/>
          <w:szCs w:val="30"/>
          <w:lang w:val="zh-CN"/>
        </w:rPr>
      </w:pPr>
      <w:r>
        <w:rPr>
          <w:rFonts w:hint="eastAsia" w:ascii="宋体" w:cs="宋体"/>
          <w:sz w:val="30"/>
          <w:szCs w:val="30"/>
          <w:lang w:val="zh-CN"/>
        </w:rPr>
        <w:t>区古城路名人苑42栋101</w:t>
      </w:r>
      <w:r>
        <w:rPr>
          <w:rFonts w:hint="eastAsia" w:ascii="宋体" w:cs="宋体"/>
          <w:sz w:val="30"/>
          <w:szCs w:val="30"/>
          <w:lang w:val="en-US" w:eastAsia="zh-CN"/>
        </w:rPr>
        <w:t>-</w:t>
      </w:r>
      <w:r>
        <w:rPr>
          <w:rFonts w:hint="eastAsia" w:ascii="宋体" w:cs="宋体"/>
          <w:sz w:val="30"/>
          <w:szCs w:val="30"/>
          <w:lang w:val="zh-CN"/>
        </w:rPr>
        <w:t>201复式和43栋</w:t>
      </w:r>
    </w:p>
    <w:p>
      <w:pPr>
        <w:autoSpaceDE w:val="0"/>
        <w:autoSpaceDN w:val="0"/>
        <w:adjustRightInd w:val="0"/>
        <w:spacing w:line="480" w:lineRule="auto"/>
        <w:ind w:firstLine="2700" w:firstLineChars="900"/>
        <w:rPr>
          <w:rFonts w:hint="eastAsia" w:ascii="宋体" w:cs="宋体"/>
          <w:sz w:val="30"/>
          <w:szCs w:val="30"/>
          <w:lang w:val="zh-CN"/>
        </w:rPr>
      </w:pPr>
      <w:r>
        <w:rPr>
          <w:rFonts w:hint="eastAsia" w:ascii="宋体" w:cs="宋体"/>
          <w:sz w:val="30"/>
          <w:szCs w:val="30"/>
          <w:lang w:val="zh-CN"/>
        </w:rPr>
        <w:t>101</w:t>
      </w:r>
      <w:r>
        <w:rPr>
          <w:rFonts w:hint="eastAsia" w:ascii="宋体" w:cs="宋体"/>
          <w:sz w:val="30"/>
          <w:szCs w:val="30"/>
          <w:lang w:val="en-US" w:eastAsia="zh-CN"/>
        </w:rPr>
        <w:t>-</w:t>
      </w:r>
      <w:r>
        <w:rPr>
          <w:rFonts w:hint="eastAsia" w:ascii="宋体" w:cs="宋体"/>
          <w:sz w:val="30"/>
          <w:szCs w:val="30"/>
          <w:lang w:val="zh-CN"/>
        </w:rPr>
        <w:t>201复式共计二套住宅用途房地产市场价</w:t>
      </w:r>
    </w:p>
    <w:p>
      <w:pPr>
        <w:autoSpaceDE w:val="0"/>
        <w:autoSpaceDN w:val="0"/>
        <w:adjustRightInd w:val="0"/>
        <w:spacing w:line="480" w:lineRule="auto"/>
        <w:ind w:firstLine="2700" w:firstLineChars="900"/>
        <w:rPr>
          <w:rFonts w:ascii="宋体" w:cs="宋体"/>
          <w:sz w:val="30"/>
          <w:szCs w:val="30"/>
          <w:lang w:val="zh-CN"/>
        </w:rPr>
      </w:pPr>
      <w:r>
        <w:rPr>
          <w:rFonts w:hint="eastAsia" w:ascii="宋体" w:cs="宋体"/>
          <w:sz w:val="30"/>
          <w:szCs w:val="30"/>
          <w:lang w:val="zh-CN"/>
        </w:rPr>
        <w:t>值评估</w:t>
      </w:r>
    </w:p>
    <w:p>
      <w:pPr>
        <w:autoSpaceDE w:val="0"/>
        <w:autoSpaceDN w:val="0"/>
        <w:adjustRightInd w:val="0"/>
        <w:spacing w:line="480" w:lineRule="auto"/>
        <w:ind w:firstLine="640"/>
        <w:rPr>
          <w:rFonts w:ascii="宋体" w:cs="宋体"/>
          <w:sz w:val="30"/>
          <w:szCs w:val="30"/>
          <w:lang w:val="zh-CN"/>
        </w:rPr>
      </w:pPr>
      <w:r>
        <w:rPr>
          <w:rFonts w:hint="eastAsia" w:ascii="宋体" w:cs="宋体"/>
          <w:sz w:val="30"/>
          <w:szCs w:val="30"/>
          <w:lang w:val="zh-CN"/>
        </w:rPr>
        <w:t>估价报告出具日期：</w:t>
      </w:r>
      <w:r>
        <w:rPr>
          <w:rFonts w:hint="eastAsia" w:ascii="宋体" w:cs="宋体"/>
          <w:sz w:val="30"/>
          <w:szCs w:val="30"/>
          <w:lang w:val="zh-CN" w:eastAsia="zh-CN"/>
        </w:rPr>
        <w:t>二〇一九年十月二十六日</w:t>
      </w:r>
    </w:p>
    <w:p>
      <w:pPr>
        <w:autoSpaceDE w:val="0"/>
        <w:autoSpaceDN w:val="0"/>
        <w:adjustRightInd w:val="0"/>
        <w:spacing w:line="360" w:lineRule="auto"/>
        <w:rPr>
          <w:rFonts w:hint="eastAsia" w:ascii="宋体" w:cs="宋体"/>
          <w:sz w:val="32"/>
          <w:szCs w:val="32"/>
          <w:lang w:val="zh-CN"/>
        </w:rPr>
      </w:pPr>
    </w:p>
    <w:p>
      <w:pPr>
        <w:autoSpaceDE w:val="0"/>
        <w:autoSpaceDN w:val="0"/>
        <w:adjustRightInd w:val="0"/>
        <w:spacing w:line="360" w:lineRule="auto"/>
        <w:rPr>
          <w:rFonts w:hint="eastAsia" w:ascii="宋体" w:cs="宋体"/>
          <w:sz w:val="32"/>
          <w:szCs w:val="32"/>
          <w:lang w:val="zh-CN"/>
        </w:rPr>
      </w:pPr>
    </w:p>
    <w:p>
      <w:pPr>
        <w:autoSpaceDE w:val="0"/>
        <w:autoSpaceDN w:val="0"/>
        <w:adjustRightInd w:val="0"/>
        <w:spacing w:before="120" w:beforeLines="50" w:after="120" w:afterLines="50" w:line="500" w:lineRule="exact"/>
        <w:jc w:val="both"/>
        <w:rPr>
          <w:rFonts w:hint="eastAsia" w:ascii="宋体" w:cs="宋体"/>
          <w:b/>
          <w:bCs/>
          <w:spacing w:val="20"/>
          <w:sz w:val="36"/>
          <w:szCs w:val="36"/>
          <w:lang w:val="zh-CN"/>
        </w:rPr>
        <w:sectPr>
          <w:headerReference r:id="rId4" w:type="first"/>
          <w:footerReference r:id="rId6" w:type="first"/>
          <w:headerReference r:id="rId3" w:type="default"/>
          <w:footerReference r:id="rId5" w:type="default"/>
          <w:pgSz w:w="12240" w:h="15840"/>
          <w:pgMar w:top="1247" w:right="1701" w:bottom="1247" w:left="1758" w:header="340" w:footer="794" w:gutter="0"/>
          <w:cols w:space="720" w:num="1"/>
          <w:titlePg/>
          <w:docGrid w:linePitch="286" w:charSpace="0"/>
        </w:sectPr>
      </w:pPr>
    </w:p>
    <w:p>
      <w:pPr>
        <w:autoSpaceDE w:val="0"/>
        <w:autoSpaceDN w:val="0"/>
        <w:adjustRightInd w:val="0"/>
        <w:spacing w:before="120" w:beforeLines="50" w:after="120" w:afterLines="50" w:line="500" w:lineRule="exact"/>
        <w:jc w:val="center"/>
        <w:rPr>
          <w:rFonts w:ascii="宋体" w:cs="宋体"/>
          <w:b/>
          <w:bCs/>
          <w:spacing w:val="20"/>
          <w:sz w:val="36"/>
          <w:szCs w:val="36"/>
          <w:lang w:val="zh-CN"/>
        </w:rPr>
      </w:pPr>
      <w:r>
        <w:rPr>
          <w:rFonts w:hint="eastAsia" w:ascii="宋体" w:cs="宋体"/>
          <w:b/>
          <w:bCs/>
          <w:spacing w:val="20"/>
          <w:sz w:val="36"/>
          <w:szCs w:val="36"/>
          <w:lang w:val="zh-CN"/>
        </w:rPr>
        <w:t>致估价委托人函</w:t>
      </w:r>
    </w:p>
    <w:p>
      <w:pPr>
        <w:autoSpaceDE w:val="0"/>
        <w:autoSpaceDN w:val="0"/>
        <w:adjustRightInd w:val="0"/>
        <w:spacing w:line="240" w:lineRule="auto"/>
        <w:rPr>
          <w:rFonts w:hint="eastAsia" w:ascii="仿宋" w:hAnsi="仿宋" w:eastAsia="仿宋" w:cs="仿宋"/>
          <w:kern w:val="28"/>
          <w:sz w:val="28"/>
          <w:szCs w:val="28"/>
        </w:rPr>
      </w:pPr>
      <w:r>
        <w:rPr>
          <w:rFonts w:hint="eastAsia" w:ascii="仿宋" w:hAnsi="仿宋" w:eastAsia="仿宋" w:cs="仿宋"/>
          <w:kern w:val="28"/>
          <w:sz w:val="28"/>
          <w:szCs w:val="28"/>
          <w:lang w:val="zh-CN"/>
        </w:rPr>
        <w:t>浮梁县人民法院</w:t>
      </w:r>
      <w:r>
        <w:rPr>
          <w:rFonts w:hint="eastAsia" w:ascii="仿宋" w:hAnsi="仿宋" w:eastAsia="仿宋" w:cs="仿宋"/>
          <w:kern w:val="28"/>
          <w:sz w:val="28"/>
          <w:szCs w:val="28"/>
        </w:rPr>
        <w:t>：</w:t>
      </w:r>
    </w:p>
    <w:p>
      <w:pPr>
        <w:autoSpaceDE w:val="0"/>
        <w:autoSpaceDN w:val="0"/>
        <w:adjustRightInd w:val="0"/>
        <w:spacing w:line="240" w:lineRule="auto"/>
        <w:ind w:firstLine="561"/>
        <w:rPr>
          <w:rFonts w:hint="eastAsia" w:ascii="仿宋" w:hAnsi="仿宋" w:eastAsia="仿宋" w:cs="仿宋"/>
          <w:sz w:val="28"/>
          <w:szCs w:val="28"/>
          <w:lang w:eastAsia="zh-CN"/>
        </w:rPr>
      </w:pPr>
      <w:r>
        <w:rPr>
          <w:rFonts w:hint="eastAsia" w:ascii="仿宋" w:hAnsi="仿宋" w:eastAsia="仿宋" w:cs="仿宋"/>
          <w:sz w:val="28"/>
          <w:szCs w:val="28"/>
          <w:lang w:val="zh-CN"/>
        </w:rPr>
        <w:t>承</w:t>
      </w:r>
      <w:r>
        <w:rPr>
          <w:rFonts w:hint="eastAsia" w:ascii="仿宋" w:hAnsi="仿宋" w:eastAsia="仿宋" w:cs="仿宋"/>
          <w:sz w:val="28"/>
          <w:szCs w:val="28"/>
        </w:rPr>
        <w:t>蒙委托，我们对位于</w:t>
      </w:r>
      <w:r>
        <w:rPr>
          <w:rFonts w:hint="eastAsia" w:ascii="仿宋" w:hAnsi="仿宋" w:eastAsia="仿宋" w:cs="仿宋"/>
          <w:sz w:val="28"/>
          <w:szCs w:val="28"/>
          <w:lang w:eastAsia="zh-CN"/>
        </w:rPr>
        <w:t>景德镇市城区古城路名人苑42栋101-201复式房产和43栋101-201复式房产合计二套住宅用途房地产</w:t>
      </w:r>
      <w:r>
        <w:rPr>
          <w:rFonts w:hint="eastAsia" w:ascii="仿宋" w:hAnsi="仿宋" w:eastAsia="仿宋" w:cs="仿宋"/>
          <w:sz w:val="28"/>
          <w:szCs w:val="28"/>
        </w:rPr>
        <w:t>的市场价值进行了评估</w:t>
      </w:r>
      <w:r>
        <w:rPr>
          <w:rFonts w:hint="eastAsia" w:ascii="仿宋" w:hAnsi="仿宋" w:eastAsia="仿宋" w:cs="仿宋"/>
          <w:sz w:val="28"/>
          <w:szCs w:val="28"/>
          <w:lang w:eastAsia="zh-CN"/>
        </w:rPr>
        <w:t>。</w:t>
      </w:r>
    </w:p>
    <w:p>
      <w:pPr>
        <w:autoSpaceDE w:val="0"/>
        <w:autoSpaceDN w:val="0"/>
        <w:adjustRightInd w:val="0"/>
        <w:spacing w:line="240" w:lineRule="auto"/>
        <w:ind w:firstLine="561"/>
        <w:rPr>
          <w:rFonts w:hint="eastAsia" w:ascii="仿宋" w:hAnsi="仿宋" w:eastAsia="仿宋" w:cs="仿宋"/>
          <w:sz w:val="28"/>
          <w:szCs w:val="28"/>
        </w:rPr>
      </w:pPr>
      <w:r>
        <w:rPr>
          <w:rFonts w:hint="eastAsia" w:ascii="仿宋" w:hAnsi="仿宋" w:eastAsia="仿宋" w:cs="仿宋"/>
          <w:sz w:val="28"/>
          <w:szCs w:val="28"/>
        </w:rPr>
        <w:t>估价目的</w:t>
      </w:r>
      <w:r>
        <w:rPr>
          <w:rFonts w:hint="eastAsia" w:ascii="仿宋" w:hAnsi="仿宋" w:eastAsia="仿宋" w:cs="仿宋"/>
          <w:sz w:val="28"/>
          <w:szCs w:val="28"/>
          <w:lang w:eastAsia="zh-CN"/>
        </w:rPr>
        <w:t>：兹有原告浮梁农商村镇银行有限责任公司与被告景德镇五德酒店有限公司、鲍龙镇、庄玉梅、浮梁县瑶里镇建筑工程公司金融借款合同纠纷一案，委托方浮梁县人民法院</w:t>
      </w:r>
      <w:r>
        <w:rPr>
          <w:rFonts w:hint="eastAsia" w:ascii="仿宋" w:hAnsi="仿宋" w:eastAsia="仿宋" w:cs="仿宋"/>
          <w:sz w:val="28"/>
          <w:szCs w:val="28"/>
        </w:rPr>
        <w:t>为确定房地产司法拍卖底价提供参考依据而评估房地产市场价值。</w:t>
      </w:r>
    </w:p>
    <w:p>
      <w:pPr>
        <w:autoSpaceDE w:val="0"/>
        <w:autoSpaceDN w:val="0"/>
        <w:adjustRightInd w:val="0"/>
        <w:spacing w:line="240" w:lineRule="auto"/>
        <w:ind w:firstLine="561"/>
        <w:rPr>
          <w:rFonts w:hint="eastAsia" w:ascii="仿宋" w:hAnsi="仿宋" w:eastAsia="仿宋" w:cs="仿宋"/>
          <w:b/>
          <w:color w:val="000000"/>
          <w:sz w:val="28"/>
          <w:szCs w:val="28"/>
          <w:lang w:eastAsia="zh-CN"/>
        </w:rPr>
      </w:pPr>
      <w:r>
        <w:rPr>
          <w:rFonts w:hint="eastAsia" w:ascii="仿宋" w:hAnsi="仿宋" w:eastAsia="仿宋" w:cs="仿宋"/>
          <w:sz w:val="28"/>
          <w:szCs w:val="28"/>
          <w:lang w:eastAsia="zh-CN"/>
        </w:rPr>
        <w:t>价值时点：</w:t>
      </w:r>
      <w:r>
        <w:rPr>
          <w:rFonts w:hint="eastAsia" w:ascii="仿宋" w:hAnsi="仿宋" w:eastAsia="仿宋" w:cs="仿宋"/>
          <w:b w:val="0"/>
          <w:bCs/>
          <w:color w:val="000000"/>
          <w:sz w:val="28"/>
          <w:szCs w:val="28"/>
          <w:lang w:eastAsia="zh-CN"/>
        </w:rPr>
        <w:t>201</w:t>
      </w:r>
      <w:r>
        <w:rPr>
          <w:rFonts w:hint="eastAsia" w:ascii="仿宋" w:hAnsi="仿宋" w:eastAsia="仿宋" w:cs="仿宋"/>
          <w:b w:val="0"/>
          <w:bCs/>
          <w:color w:val="000000"/>
          <w:sz w:val="28"/>
          <w:szCs w:val="28"/>
          <w:lang w:val="en-US" w:eastAsia="zh-CN"/>
        </w:rPr>
        <w:t>9</w:t>
      </w:r>
      <w:r>
        <w:rPr>
          <w:rFonts w:hint="eastAsia" w:ascii="仿宋" w:hAnsi="仿宋" w:eastAsia="仿宋" w:cs="仿宋"/>
          <w:b w:val="0"/>
          <w:bCs/>
          <w:color w:val="000000"/>
          <w:sz w:val="28"/>
          <w:szCs w:val="28"/>
          <w:lang w:eastAsia="zh-CN"/>
        </w:rPr>
        <w:t>年</w:t>
      </w:r>
      <w:r>
        <w:rPr>
          <w:rFonts w:hint="eastAsia" w:ascii="仿宋" w:hAnsi="仿宋" w:eastAsia="仿宋" w:cs="仿宋"/>
          <w:b w:val="0"/>
          <w:bCs/>
          <w:color w:val="000000"/>
          <w:sz w:val="28"/>
          <w:szCs w:val="28"/>
          <w:lang w:val="en-US" w:eastAsia="zh-CN"/>
        </w:rPr>
        <w:t>09月26日</w:t>
      </w:r>
      <w:r>
        <w:rPr>
          <w:rFonts w:hint="eastAsia" w:ascii="仿宋" w:hAnsi="仿宋" w:eastAsia="仿宋" w:cs="仿宋"/>
          <w:b/>
          <w:color w:val="000000"/>
          <w:sz w:val="28"/>
          <w:szCs w:val="28"/>
          <w:lang w:eastAsia="zh-CN"/>
        </w:rPr>
        <w:t>。</w:t>
      </w:r>
    </w:p>
    <w:p>
      <w:pPr>
        <w:autoSpaceDE w:val="0"/>
        <w:autoSpaceDN w:val="0"/>
        <w:adjustRightInd w:val="0"/>
        <w:spacing w:line="240" w:lineRule="auto"/>
        <w:ind w:firstLine="561"/>
        <w:rPr>
          <w:rFonts w:hint="eastAsia" w:ascii="仿宋" w:hAnsi="仿宋" w:eastAsia="仿宋" w:cs="仿宋"/>
          <w:b w:val="0"/>
          <w:bCs w:val="0"/>
          <w:color w:val="000000"/>
          <w:sz w:val="28"/>
          <w:szCs w:val="28"/>
          <w:lang w:eastAsia="zh-CN"/>
        </w:rPr>
      </w:pPr>
      <w:r>
        <w:rPr>
          <w:rFonts w:hint="eastAsia" w:ascii="仿宋" w:hAnsi="仿宋" w:eastAsia="仿宋" w:cs="仿宋"/>
          <w:sz w:val="28"/>
          <w:szCs w:val="28"/>
        </w:rPr>
        <w:t>经过市场调查和实地查勘，结合平时估价实践中积累的经验，我公司评估专业人员遵照《中华人民共和国资产评估法》</w:t>
      </w:r>
      <w:r>
        <w:rPr>
          <w:rFonts w:hint="eastAsia" w:ascii="仿宋" w:hAnsi="仿宋" w:eastAsia="仿宋" w:cs="仿宋"/>
          <w:bCs/>
          <w:sz w:val="28"/>
          <w:szCs w:val="28"/>
        </w:rPr>
        <w:t>《中华人民共和国房地产管理法》、国家标准</w:t>
      </w:r>
      <w:r>
        <w:rPr>
          <w:rFonts w:hint="eastAsia" w:ascii="仿宋" w:hAnsi="仿宋" w:eastAsia="仿宋" w:cs="仿宋"/>
          <w:sz w:val="28"/>
          <w:szCs w:val="28"/>
        </w:rPr>
        <w:t>《房地产估价规范》（GB/T 50291-2015）、《房地产估价基本术语标准》（GB/T 50899-2013）</w:t>
      </w:r>
      <w:r>
        <w:rPr>
          <w:rFonts w:hint="eastAsia" w:ascii="仿宋" w:hAnsi="仿宋" w:eastAsia="仿宋" w:cs="仿宋"/>
          <w:bCs/>
          <w:sz w:val="28"/>
          <w:szCs w:val="28"/>
        </w:rPr>
        <w:t>等法律法规和技术标准</w:t>
      </w:r>
      <w:r>
        <w:rPr>
          <w:rFonts w:hint="eastAsia" w:ascii="仿宋" w:hAnsi="仿宋" w:eastAsia="仿宋" w:cs="仿宋"/>
          <w:sz w:val="28"/>
          <w:szCs w:val="28"/>
        </w:rPr>
        <w:t>，遵循估价原则，按照估价程序，根据估价目的，选用</w:t>
      </w:r>
      <w:r>
        <w:rPr>
          <w:rFonts w:hint="eastAsia" w:ascii="仿宋" w:hAnsi="仿宋" w:eastAsia="仿宋" w:cs="仿宋"/>
          <w:sz w:val="28"/>
          <w:szCs w:val="28"/>
          <w:lang w:eastAsia="zh-CN"/>
        </w:rPr>
        <w:t>比较</w:t>
      </w:r>
      <w:r>
        <w:rPr>
          <w:rFonts w:hint="eastAsia" w:ascii="仿宋" w:hAnsi="仿宋" w:eastAsia="仿宋" w:cs="仿宋"/>
          <w:sz w:val="28"/>
          <w:szCs w:val="28"/>
        </w:rPr>
        <w:t>法，并在综合分析影响估价对象房地产价格因素的基础上，测算出估价对象在价值时点</w:t>
      </w:r>
      <w:r>
        <w:rPr>
          <w:rFonts w:hint="eastAsia" w:ascii="仿宋" w:hAnsi="仿宋" w:eastAsia="仿宋" w:cs="仿宋"/>
          <w:color w:val="000000"/>
          <w:sz w:val="28"/>
          <w:szCs w:val="28"/>
        </w:rPr>
        <w:t>的市场价值</w:t>
      </w:r>
      <w:r>
        <w:rPr>
          <w:rFonts w:hint="eastAsia" w:ascii="仿宋" w:hAnsi="仿宋" w:eastAsia="仿宋" w:cs="仿宋"/>
          <w:color w:val="000000"/>
          <w:sz w:val="28"/>
          <w:szCs w:val="28"/>
          <w:lang w:eastAsia="zh-CN"/>
        </w:rPr>
        <w:t>评估总价</w:t>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eastAsia="zh-CN"/>
        </w:rPr>
        <w:t>（</w:t>
      </w:r>
      <w:r>
        <w:rPr>
          <w:rFonts w:hint="eastAsia" w:ascii="仿宋" w:hAnsi="仿宋" w:eastAsia="仿宋" w:cs="仿宋"/>
          <w:b/>
          <w:color w:val="000000"/>
          <w:sz w:val="28"/>
          <w:szCs w:val="28"/>
        </w:rPr>
        <w:t>￥</w:t>
      </w:r>
      <w:r>
        <w:rPr>
          <w:rFonts w:hint="eastAsia" w:ascii="仿宋" w:hAnsi="仿宋" w:eastAsia="仿宋" w:cs="仿宋"/>
          <w:b/>
          <w:color w:val="000000"/>
          <w:sz w:val="28"/>
          <w:szCs w:val="28"/>
          <w:lang w:val="en-US" w:eastAsia="zh-CN"/>
        </w:rPr>
        <w:t>4717684</w:t>
      </w:r>
      <w:r>
        <w:rPr>
          <w:rFonts w:hint="eastAsia" w:ascii="仿宋" w:hAnsi="仿宋" w:eastAsia="仿宋" w:cs="仿宋"/>
          <w:b/>
          <w:color w:val="000000"/>
          <w:sz w:val="28"/>
          <w:szCs w:val="28"/>
          <w:lang w:eastAsia="zh-CN"/>
        </w:rPr>
        <w:t>元</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大写人民币</w:t>
      </w:r>
      <w:r>
        <w:rPr>
          <w:rFonts w:hint="eastAsia" w:ascii="仿宋" w:hAnsi="仿宋" w:eastAsia="仿宋" w:cs="仿宋"/>
          <w:b/>
          <w:bCs/>
          <w:color w:val="000000"/>
          <w:sz w:val="28"/>
          <w:szCs w:val="28"/>
        </w:rPr>
        <w:fldChar w:fldCharType="begin"/>
      </w:r>
      <w:r>
        <w:rPr>
          <w:rFonts w:hint="eastAsia" w:ascii="仿宋" w:hAnsi="仿宋" w:eastAsia="仿宋" w:cs="仿宋"/>
          <w:b/>
          <w:bCs/>
          <w:color w:val="000000"/>
          <w:sz w:val="28"/>
          <w:szCs w:val="28"/>
        </w:rPr>
        <w:instrText xml:space="preserve"> = 4717684 \* CHINESENUM4 \* MERGEFORMAT </w:instrText>
      </w:r>
      <w:r>
        <w:rPr>
          <w:rFonts w:hint="eastAsia" w:ascii="仿宋" w:hAnsi="仿宋" w:eastAsia="仿宋" w:cs="仿宋"/>
          <w:b/>
          <w:bCs/>
          <w:color w:val="000000"/>
          <w:sz w:val="28"/>
          <w:szCs w:val="28"/>
        </w:rPr>
        <w:fldChar w:fldCharType="separate"/>
      </w:r>
      <w:r>
        <w:rPr>
          <w:rFonts w:hint="eastAsia" w:ascii="仿宋" w:hAnsi="仿宋" w:eastAsia="仿宋" w:cs="仿宋"/>
          <w:b/>
          <w:bCs/>
          <w:sz w:val="28"/>
          <w:szCs w:val="28"/>
        </w:rPr>
        <w:t>肆佰柒拾壹万柒仟陆佰捌拾肆元整</w:t>
      </w:r>
      <w:r>
        <w:rPr>
          <w:rFonts w:hint="eastAsia" w:ascii="仿宋" w:hAnsi="仿宋" w:eastAsia="仿宋" w:cs="仿宋"/>
          <w:b/>
          <w:bCs/>
          <w:color w:val="000000"/>
          <w:sz w:val="28"/>
          <w:szCs w:val="28"/>
        </w:rPr>
        <w:fldChar w:fldCharType="end"/>
      </w:r>
      <w:r>
        <w:rPr>
          <w:rFonts w:hint="eastAsia" w:ascii="仿宋" w:hAnsi="仿宋" w:eastAsia="仿宋" w:cs="仿宋"/>
          <w:b/>
          <w:bCs/>
          <w:color w:val="000000"/>
          <w:sz w:val="28"/>
          <w:szCs w:val="28"/>
          <w:lang w:eastAsia="zh-CN"/>
        </w:rPr>
        <w:t>。</w:t>
      </w:r>
      <w:r>
        <w:rPr>
          <w:rFonts w:hint="eastAsia" w:ascii="仿宋" w:hAnsi="仿宋" w:eastAsia="仿宋" w:cs="仿宋"/>
          <w:b w:val="0"/>
          <w:bCs w:val="0"/>
          <w:spacing w:val="-20"/>
          <w:sz w:val="28"/>
          <w:szCs w:val="28"/>
          <w:lang w:val="zh-CN"/>
        </w:rPr>
        <w:t>（</w:t>
      </w:r>
      <w:r>
        <w:rPr>
          <w:rFonts w:hint="eastAsia" w:ascii="仿宋" w:hAnsi="仿宋" w:eastAsia="仿宋" w:cs="仿宋"/>
          <w:b w:val="0"/>
          <w:bCs w:val="0"/>
          <w:sz w:val="28"/>
          <w:szCs w:val="28"/>
          <w:lang w:val="zh-CN"/>
        </w:rPr>
        <w:t>详见</w:t>
      </w:r>
      <w:r>
        <w:rPr>
          <w:rFonts w:hint="eastAsia" w:ascii="仿宋" w:hAnsi="仿宋" w:eastAsia="仿宋" w:cs="仿宋"/>
          <w:b w:val="0"/>
          <w:bCs w:val="0"/>
          <w:color w:val="000000"/>
          <w:sz w:val="28"/>
          <w:szCs w:val="28"/>
          <w:lang w:val="zh-CN"/>
        </w:rPr>
        <w:t>估价结果明细汇总一览表</w:t>
      </w:r>
      <w:r>
        <w:rPr>
          <w:rFonts w:hint="eastAsia" w:ascii="仿宋" w:hAnsi="仿宋" w:eastAsia="仿宋" w:cs="仿宋"/>
          <w:b w:val="0"/>
          <w:bCs w:val="0"/>
          <w:spacing w:val="-20"/>
          <w:sz w:val="28"/>
          <w:szCs w:val="28"/>
          <w:lang w:val="zh-CN"/>
        </w:rPr>
        <w:t>）</w:t>
      </w:r>
    </w:p>
    <w:p>
      <w:pPr>
        <w:spacing w:line="420" w:lineRule="exact"/>
        <w:ind w:right="34"/>
        <w:rPr>
          <w:rFonts w:hint="eastAsia" w:ascii="仿宋" w:hAnsi="仿宋" w:eastAsia="仿宋" w:cs="仿宋"/>
          <w:b w:val="0"/>
          <w:bCs w:val="0"/>
          <w:color w:val="000000"/>
          <w:sz w:val="24"/>
          <w:szCs w:val="24"/>
        </w:rPr>
      </w:pPr>
    </w:p>
    <w:p>
      <w:pPr>
        <w:spacing w:line="420" w:lineRule="exact"/>
        <w:ind w:right="34"/>
        <w:rPr>
          <w:rFonts w:hint="eastAsia" w:ascii="仿宋" w:hAnsi="仿宋" w:eastAsia="仿宋" w:cs="仿宋"/>
          <w:b w:val="0"/>
          <w:bCs w:val="0"/>
          <w:color w:val="000000"/>
          <w:sz w:val="24"/>
          <w:szCs w:val="24"/>
        </w:rPr>
      </w:pPr>
    </w:p>
    <w:p>
      <w:pPr>
        <w:spacing w:line="420" w:lineRule="exact"/>
        <w:ind w:right="34"/>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特别提示</w:t>
      </w:r>
      <w:r>
        <w:rPr>
          <w:rFonts w:hint="eastAsia" w:ascii="仿宋" w:hAnsi="仿宋" w:eastAsia="仿宋" w:cs="仿宋"/>
          <w:color w:val="000000"/>
          <w:sz w:val="24"/>
          <w:szCs w:val="24"/>
        </w:rPr>
        <w:t>：</w:t>
      </w:r>
    </w:p>
    <w:p>
      <w:pPr>
        <w:spacing w:line="420" w:lineRule="exact"/>
        <w:ind w:right="34"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1、本估价报告自201</w:t>
      </w:r>
      <w:r>
        <w:rPr>
          <w:rFonts w:hint="eastAsia" w:ascii="仿宋" w:hAnsi="仿宋" w:eastAsia="仿宋" w:cs="仿宋"/>
          <w:color w:val="000000"/>
          <w:sz w:val="24"/>
          <w:szCs w:val="24"/>
          <w:lang w:val="en-US" w:eastAsia="zh-CN"/>
        </w:rPr>
        <w:t>9</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09</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26</w:t>
      </w:r>
      <w:r>
        <w:rPr>
          <w:rFonts w:hint="eastAsia" w:ascii="仿宋" w:hAnsi="仿宋" w:eastAsia="仿宋" w:cs="仿宋"/>
          <w:color w:val="000000"/>
          <w:sz w:val="24"/>
          <w:szCs w:val="24"/>
        </w:rPr>
        <w:t>日起壹年内有效。</w:t>
      </w:r>
    </w:p>
    <w:p>
      <w:pPr>
        <w:spacing w:line="420" w:lineRule="exact"/>
        <w:ind w:right="34" w:firstLine="480" w:firstLineChars="200"/>
        <w:rPr>
          <w:rFonts w:hint="eastAsia" w:ascii="仿宋" w:hAnsi="仿宋" w:eastAsia="仿宋" w:cs="仿宋"/>
          <w:sz w:val="24"/>
          <w:szCs w:val="24"/>
        </w:rPr>
      </w:pPr>
      <w:r>
        <w:rPr>
          <w:rFonts w:hint="eastAsia" w:ascii="仿宋" w:hAnsi="仿宋" w:eastAsia="仿宋" w:cs="仿宋"/>
          <w:sz w:val="24"/>
          <w:szCs w:val="24"/>
        </w:rPr>
        <w:t>2、本估价报告仅用于</w:t>
      </w:r>
      <w:r>
        <w:rPr>
          <w:rFonts w:hint="eastAsia" w:ascii="仿宋" w:hAnsi="仿宋" w:eastAsia="仿宋" w:cs="仿宋"/>
          <w:sz w:val="24"/>
          <w:szCs w:val="24"/>
          <w:lang w:eastAsia="zh-CN"/>
        </w:rPr>
        <w:t>浮梁县人民法院</w:t>
      </w:r>
      <w:r>
        <w:rPr>
          <w:rFonts w:hint="eastAsia" w:ascii="仿宋" w:hAnsi="仿宋" w:eastAsia="仿宋" w:cs="仿宋"/>
          <w:sz w:val="24"/>
          <w:szCs w:val="24"/>
        </w:rPr>
        <w:t>确定房地产司法拍卖底价提供参考依据，其他单位使用无效。</w:t>
      </w:r>
    </w:p>
    <w:p>
      <w:pPr>
        <w:spacing w:line="420" w:lineRule="exact"/>
        <w:ind w:right="34" w:firstLine="480" w:firstLineChars="200"/>
        <w:rPr>
          <w:rFonts w:hint="eastAsia" w:ascii="仿宋" w:hAnsi="仿宋" w:eastAsia="仿宋" w:cs="仿宋"/>
          <w:snapToGrid w:val="0"/>
          <w:kern w:val="0"/>
          <w:sz w:val="24"/>
          <w:szCs w:val="24"/>
          <w:lang w:eastAsia="zh-CN"/>
        </w:rPr>
      </w:pPr>
      <w:r>
        <w:rPr>
          <w:rFonts w:hint="eastAsia" w:ascii="仿宋" w:hAnsi="仿宋" w:eastAsia="仿宋" w:cs="仿宋"/>
          <w:sz w:val="24"/>
          <w:szCs w:val="24"/>
        </w:rPr>
        <w:t>3、</w:t>
      </w:r>
      <w:r>
        <w:rPr>
          <w:rFonts w:hint="eastAsia" w:ascii="仿宋" w:hAnsi="仿宋" w:eastAsia="仿宋" w:cs="仿宋"/>
          <w:snapToGrid w:val="0"/>
          <w:kern w:val="0"/>
          <w:sz w:val="24"/>
          <w:szCs w:val="24"/>
        </w:rPr>
        <w:t>本估价报告的全文为一个不可分割的整体，报告使用者请详细查阅本报告的估价师声明、估价的假设与限制条件、房地产估价结果报告，以对本报告有一个全面正确的</w:t>
      </w:r>
      <w:r>
        <w:rPr>
          <w:rFonts w:hint="eastAsia" w:ascii="仿宋" w:hAnsi="仿宋" w:eastAsia="仿宋" w:cs="仿宋"/>
          <w:snapToGrid w:val="0"/>
          <w:kern w:val="0"/>
          <w:sz w:val="24"/>
          <w:szCs w:val="24"/>
          <w:lang w:eastAsia="zh-CN"/>
        </w:rPr>
        <w:t>了解。</w:t>
      </w:r>
    </w:p>
    <w:p>
      <w:pPr>
        <w:spacing w:line="420" w:lineRule="exact"/>
        <w:ind w:right="34" w:firstLine="480" w:firstLineChars="200"/>
        <w:rPr>
          <w:rFonts w:hint="eastAsia" w:ascii="仿宋" w:hAnsi="仿宋" w:eastAsia="仿宋" w:cs="仿宋"/>
          <w:snapToGrid w:val="0"/>
          <w:kern w:val="0"/>
          <w:sz w:val="24"/>
          <w:szCs w:val="24"/>
          <w:lang w:eastAsia="zh-CN"/>
        </w:rPr>
      </w:pPr>
    </w:p>
    <w:p>
      <w:pPr>
        <w:spacing w:line="360" w:lineRule="auto"/>
        <w:jc w:val="center"/>
        <w:rPr>
          <w:rFonts w:hint="eastAsia" w:ascii="仿宋" w:hAnsi="仿宋" w:eastAsia="仿宋" w:cs="仿宋"/>
          <w:b w:val="0"/>
          <w:bCs w:val="0"/>
          <w:color w:val="000000"/>
          <w:spacing w:val="14"/>
          <w:sz w:val="28"/>
          <w:szCs w:val="28"/>
          <w:lang w:val="en-US" w:eastAsia="zh-CN"/>
        </w:rPr>
      </w:pPr>
      <w:r>
        <w:rPr>
          <w:rFonts w:hint="eastAsia" w:ascii="仿宋" w:hAnsi="仿宋" w:eastAsia="仿宋" w:cs="仿宋"/>
          <w:b w:val="0"/>
          <w:bCs w:val="0"/>
          <w:color w:val="000000"/>
          <w:spacing w:val="14"/>
          <w:sz w:val="28"/>
          <w:szCs w:val="28"/>
          <w:lang w:val="en-US" w:eastAsia="zh-CN"/>
        </w:rPr>
        <w:t xml:space="preserve">  </w:t>
      </w:r>
    </w:p>
    <w:p>
      <w:pPr>
        <w:autoSpaceDE w:val="0"/>
        <w:autoSpaceDN w:val="0"/>
        <w:adjustRightInd w:val="0"/>
        <w:spacing w:line="360" w:lineRule="auto"/>
        <w:ind w:firstLine="640"/>
        <w:rPr>
          <w:rFonts w:hint="eastAsia" w:ascii="仿宋" w:hAnsi="仿宋" w:eastAsia="仿宋" w:cs="仿宋"/>
          <w:b w:val="0"/>
          <w:bCs w:val="0"/>
          <w:sz w:val="28"/>
          <w:szCs w:val="28"/>
          <w:lang w:val="zh-CN"/>
        </w:rPr>
      </w:pPr>
      <w:r>
        <w:rPr>
          <w:rFonts w:hint="eastAsia" w:ascii="仿宋" w:hAnsi="仿宋" w:eastAsia="仿宋" w:cs="仿宋"/>
          <w:b w:val="0"/>
          <w:bCs w:val="0"/>
          <w:color w:val="000000"/>
          <w:spacing w:val="14"/>
          <w:sz w:val="28"/>
          <w:szCs w:val="28"/>
          <w:lang w:val="en-US" w:eastAsia="zh-CN"/>
        </w:rPr>
        <w:t xml:space="preserve">                     </w:t>
      </w:r>
      <w:r>
        <w:rPr>
          <w:rFonts w:hint="eastAsia" w:ascii="仿宋" w:hAnsi="仿宋" w:eastAsia="仿宋" w:cs="仿宋"/>
          <w:b w:val="0"/>
          <w:bCs w:val="0"/>
          <w:sz w:val="28"/>
          <w:szCs w:val="28"/>
          <w:lang w:val="zh-CN" w:eastAsia="zh-CN"/>
        </w:rPr>
        <w:t>二〇一九年十月二十六日</w:t>
      </w:r>
    </w:p>
    <w:p>
      <w:pPr>
        <w:spacing w:line="420" w:lineRule="exact"/>
        <w:ind w:right="34" w:firstLine="924" w:firstLineChars="300"/>
        <w:rPr>
          <w:rFonts w:hint="eastAsia" w:ascii="仿宋" w:hAnsi="仿宋" w:eastAsia="仿宋" w:cs="仿宋"/>
          <w:color w:val="000000"/>
          <w:spacing w:val="14"/>
          <w:sz w:val="28"/>
          <w:szCs w:val="28"/>
        </w:rPr>
        <w:sectPr>
          <w:footerReference r:id="rId8" w:type="first"/>
          <w:footerReference r:id="rId7" w:type="default"/>
          <w:pgSz w:w="12240" w:h="15840"/>
          <w:pgMar w:top="1247" w:right="1701" w:bottom="1247" w:left="1758" w:header="340" w:footer="794" w:gutter="0"/>
          <w:pgNumType w:fmt="decimal" w:start="1"/>
          <w:cols w:space="720" w:num="1"/>
          <w:titlePg/>
          <w:docGrid w:linePitch="286" w:charSpace="0"/>
        </w:sectPr>
      </w:pPr>
    </w:p>
    <w:p>
      <w:pPr>
        <w:autoSpaceDE w:val="0"/>
        <w:autoSpaceDN w:val="0"/>
        <w:adjustRightInd w:val="0"/>
        <w:spacing w:line="460" w:lineRule="exact"/>
        <w:jc w:val="center"/>
        <w:rPr>
          <w:rFonts w:hint="eastAsia" w:ascii="仿宋_GB2312" w:eastAsia="仿宋_GB2312" w:cs="宋体"/>
          <w:b/>
          <w:bCs/>
          <w:color w:val="000000"/>
          <w:sz w:val="28"/>
          <w:szCs w:val="28"/>
          <w:lang w:val="zh-CN"/>
        </w:rPr>
      </w:pPr>
      <w:r>
        <w:rPr>
          <w:rFonts w:hint="eastAsia" w:ascii="仿宋_GB2312" w:eastAsia="仿宋_GB2312" w:cs="宋体"/>
          <w:b/>
          <w:bCs/>
          <w:color w:val="000000"/>
          <w:sz w:val="36"/>
          <w:szCs w:val="36"/>
          <w:lang w:val="zh-CN"/>
        </w:rPr>
        <w:t>估价结果明细汇总一览表</w:t>
      </w:r>
    </w:p>
    <w:tbl>
      <w:tblPr>
        <w:tblStyle w:val="8"/>
        <w:tblpPr w:leftFromText="180" w:rightFromText="180" w:vertAnchor="text" w:horzAnchor="page" w:tblpX="1039" w:tblpY="276"/>
        <w:tblOverlap w:val="never"/>
        <w:tblW w:w="1049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5"/>
        <w:gridCol w:w="1510"/>
        <w:gridCol w:w="860"/>
        <w:gridCol w:w="1180"/>
        <w:gridCol w:w="720"/>
        <w:gridCol w:w="840"/>
        <w:gridCol w:w="650"/>
        <w:gridCol w:w="930"/>
        <w:gridCol w:w="1090"/>
        <w:gridCol w:w="10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5" w:hRule="atLeast"/>
        </w:trPr>
        <w:tc>
          <w:tcPr>
            <w:tcW w:w="1625" w:type="dxa"/>
            <w:vAlign w:val="center"/>
          </w:tcPr>
          <w:p>
            <w:pPr>
              <w:spacing w:line="240" w:lineRule="exact"/>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估价对象</w:t>
            </w:r>
          </w:p>
        </w:tc>
        <w:tc>
          <w:tcPr>
            <w:tcW w:w="1510" w:type="dxa"/>
            <w:vAlign w:val="center"/>
          </w:tcPr>
          <w:p>
            <w:pPr>
              <w:spacing w:line="240" w:lineRule="exact"/>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《房屋所有权证》证号</w:t>
            </w:r>
          </w:p>
        </w:tc>
        <w:tc>
          <w:tcPr>
            <w:tcW w:w="860" w:type="dxa"/>
            <w:vAlign w:val="center"/>
          </w:tcPr>
          <w:p>
            <w:pPr>
              <w:spacing w:line="240" w:lineRule="exact"/>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房屋所有权人</w:t>
            </w:r>
          </w:p>
        </w:tc>
        <w:tc>
          <w:tcPr>
            <w:tcW w:w="1180" w:type="dxa"/>
            <w:vAlign w:val="center"/>
          </w:tcPr>
          <w:p>
            <w:pPr>
              <w:spacing w:line="240" w:lineRule="exact"/>
              <w:jc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rPr>
              <w:t>评估楼层/总层数</w:t>
            </w:r>
          </w:p>
        </w:tc>
        <w:tc>
          <w:tcPr>
            <w:tcW w:w="720" w:type="dxa"/>
            <w:vAlign w:val="center"/>
          </w:tcPr>
          <w:p>
            <w:pPr>
              <w:spacing w:line="240" w:lineRule="exact"/>
              <w:jc w:val="center"/>
              <w:rPr>
                <w:rFonts w:hint="eastAsia" w:ascii="仿宋" w:hAnsi="仿宋" w:eastAsia="仿宋" w:cs="仿宋"/>
                <w:b/>
                <w:color w:val="000000"/>
                <w:sz w:val="21"/>
                <w:szCs w:val="21"/>
              </w:rPr>
            </w:pPr>
            <w:r>
              <w:rPr>
                <w:rFonts w:hint="eastAsia" w:ascii="仿宋" w:hAnsi="仿宋" w:eastAsia="仿宋" w:cs="仿宋"/>
                <w:b/>
                <w:color w:val="000000"/>
                <w:sz w:val="21"/>
                <w:szCs w:val="21"/>
                <w:lang w:eastAsia="zh-CN"/>
              </w:rPr>
              <w:t>规划</w:t>
            </w:r>
            <w:r>
              <w:rPr>
                <w:rFonts w:hint="eastAsia" w:ascii="仿宋" w:hAnsi="仿宋" w:eastAsia="仿宋" w:cs="仿宋"/>
                <w:b/>
                <w:color w:val="000000"/>
                <w:sz w:val="21"/>
                <w:szCs w:val="21"/>
              </w:rPr>
              <w:t>用途</w:t>
            </w:r>
          </w:p>
        </w:tc>
        <w:tc>
          <w:tcPr>
            <w:tcW w:w="840" w:type="dxa"/>
            <w:vAlign w:val="center"/>
          </w:tcPr>
          <w:p>
            <w:pPr>
              <w:spacing w:line="240" w:lineRule="exact"/>
              <w:jc w:val="center"/>
              <w:rPr>
                <w:rFonts w:hint="eastAsia" w:ascii="仿宋" w:hAnsi="仿宋" w:eastAsia="仿宋" w:cs="仿宋"/>
                <w:b/>
                <w:color w:val="000000"/>
                <w:sz w:val="21"/>
                <w:szCs w:val="21"/>
                <w:lang w:eastAsia="zh-CN"/>
              </w:rPr>
            </w:pPr>
            <w:r>
              <w:rPr>
                <w:rFonts w:hint="eastAsia" w:ascii="仿宋" w:hAnsi="仿宋" w:eastAsia="仿宋" w:cs="仿宋"/>
                <w:b/>
                <w:color w:val="000000"/>
                <w:sz w:val="21"/>
                <w:szCs w:val="21"/>
              </w:rPr>
              <w:t>建成时间</w:t>
            </w:r>
            <w:r>
              <w:rPr>
                <w:rFonts w:hint="eastAsia" w:ascii="仿宋" w:hAnsi="仿宋" w:eastAsia="仿宋" w:cs="仿宋"/>
                <w:b/>
                <w:color w:val="000000"/>
                <w:sz w:val="21"/>
                <w:szCs w:val="21"/>
                <w:lang w:eastAsia="zh-CN"/>
              </w:rPr>
              <w:t>（年）</w:t>
            </w:r>
          </w:p>
        </w:tc>
        <w:tc>
          <w:tcPr>
            <w:tcW w:w="650" w:type="dxa"/>
            <w:vAlign w:val="center"/>
          </w:tcPr>
          <w:p>
            <w:pPr>
              <w:spacing w:line="240" w:lineRule="exact"/>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建筑结构</w:t>
            </w:r>
          </w:p>
        </w:tc>
        <w:tc>
          <w:tcPr>
            <w:tcW w:w="930" w:type="dxa"/>
            <w:vAlign w:val="center"/>
          </w:tcPr>
          <w:p>
            <w:pPr>
              <w:spacing w:line="240" w:lineRule="exact"/>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建筑面积（㎡）</w:t>
            </w:r>
          </w:p>
        </w:tc>
        <w:tc>
          <w:tcPr>
            <w:tcW w:w="1090" w:type="dxa"/>
            <w:vAlign w:val="center"/>
          </w:tcPr>
          <w:p>
            <w:pPr>
              <w:spacing w:line="240" w:lineRule="exact"/>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评估单价</w:t>
            </w:r>
          </w:p>
          <w:p>
            <w:pPr>
              <w:spacing w:line="240" w:lineRule="exact"/>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（元/㎡）</w:t>
            </w:r>
          </w:p>
        </w:tc>
        <w:tc>
          <w:tcPr>
            <w:tcW w:w="1085" w:type="dxa"/>
            <w:vAlign w:val="center"/>
          </w:tcPr>
          <w:p>
            <w:pPr>
              <w:spacing w:line="240" w:lineRule="exact"/>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评估总价</w:t>
            </w:r>
          </w:p>
          <w:p>
            <w:pPr>
              <w:spacing w:line="240" w:lineRule="exact"/>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2" w:hRule="atLeast"/>
        </w:trPr>
        <w:tc>
          <w:tcPr>
            <w:tcW w:w="1625" w:type="dxa"/>
            <w:vAlign w:val="center"/>
          </w:tcPr>
          <w:p>
            <w:pPr>
              <w:spacing w:line="240" w:lineRule="exact"/>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古城路名人苑42栋101-201复式</w:t>
            </w:r>
          </w:p>
        </w:tc>
        <w:tc>
          <w:tcPr>
            <w:tcW w:w="1510" w:type="dxa"/>
            <w:vAlign w:val="center"/>
          </w:tcPr>
          <w:p>
            <w:pPr>
              <w:autoSpaceDE w:val="0"/>
              <w:autoSpaceDN w:val="0"/>
              <w:adjustRightInd w:val="0"/>
              <w:spacing w:line="240" w:lineRule="exact"/>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eastAsia="zh-CN"/>
              </w:rPr>
              <w:t>景房权证字第0942001号</w:t>
            </w:r>
          </w:p>
        </w:tc>
        <w:tc>
          <w:tcPr>
            <w:tcW w:w="860" w:type="dxa"/>
            <w:vMerge w:val="restart"/>
            <w:vAlign w:val="center"/>
          </w:tcPr>
          <w:p>
            <w:pPr>
              <w:autoSpaceDE w:val="0"/>
              <w:autoSpaceDN w:val="0"/>
              <w:adjustRightInd w:val="0"/>
              <w:spacing w:line="240" w:lineRule="exact"/>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景德镇五德酒店有限公司</w:t>
            </w:r>
          </w:p>
        </w:tc>
        <w:tc>
          <w:tcPr>
            <w:tcW w:w="1180" w:type="dxa"/>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rPr>
              <w:t>F/</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rPr>
              <w:t>F</w:t>
            </w:r>
          </w:p>
        </w:tc>
        <w:tc>
          <w:tcPr>
            <w:tcW w:w="720" w:type="dxa"/>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住宅</w:t>
            </w:r>
          </w:p>
        </w:tc>
        <w:tc>
          <w:tcPr>
            <w:tcW w:w="840" w:type="dxa"/>
            <w:vAlign w:val="center"/>
          </w:tcPr>
          <w:p>
            <w:pPr>
              <w:spacing w:line="240" w:lineRule="exact"/>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rPr>
              <w:t>20</w:t>
            </w:r>
            <w:r>
              <w:rPr>
                <w:rFonts w:hint="eastAsia" w:ascii="仿宋" w:hAnsi="仿宋" w:eastAsia="仿宋" w:cs="仿宋"/>
                <w:color w:val="000000"/>
                <w:sz w:val="21"/>
                <w:szCs w:val="21"/>
                <w:lang w:val="en-US" w:eastAsia="zh-CN"/>
              </w:rPr>
              <w:t>12</w:t>
            </w:r>
          </w:p>
        </w:tc>
        <w:tc>
          <w:tcPr>
            <w:tcW w:w="650" w:type="dxa"/>
            <w:vAlign w:val="center"/>
          </w:tcPr>
          <w:p>
            <w:pPr>
              <w:spacing w:line="240" w:lineRule="exact"/>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混合</w:t>
            </w:r>
          </w:p>
        </w:tc>
        <w:tc>
          <w:tcPr>
            <w:tcW w:w="930" w:type="dxa"/>
            <w:vAlign w:val="center"/>
          </w:tcPr>
          <w:p>
            <w:pPr>
              <w:spacing w:line="240" w:lineRule="exact"/>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468.21</w:t>
            </w:r>
          </w:p>
        </w:tc>
        <w:tc>
          <w:tcPr>
            <w:tcW w:w="1090" w:type="dxa"/>
            <w:vAlign w:val="center"/>
          </w:tcPr>
          <w:p>
            <w:pPr>
              <w:spacing w:line="240" w:lineRule="exact"/>
              <w:jc w:val="center"/>
              <w:rPr>
                <w:rFonts w:hint="eastAsia" w:ascii="仿宋" w:hAnsi="仿宋" w:eastAsia="仿宋" w:cs="仿宋"/>
                <w:color w:val="000000"/>
                <w:sz w:val="21"/>
                <w:szCs w:val="21"/>
                <w:lang w:val="en-US"/>
              </w:rPr>
            </w:pPr>
            <w:r>
              <w:rPr>
                <w:rFonts w:hint="eastAsia" w:ascii="仿宋" w:hAnsi="仿宋" w:eastAsia="仿宋" w:cs="仿宋"/>
                <w:color w:val="000000"/>
                <w:sz w:val="21"/>
                <w:szCs w:val="21"/>
                <w:lang w:val="en-US" w:eastAsia="zh-CN"/>
              </w:rPr>
              <w:t>5038</w:t>
            </w:r>
          </w:p>
        </w:tc>
        <w:tc>
          <w:tcPr>
            <w:tcW w:w="1085" w:type="dxa"/>
            <w:vAlign w:val="center"/>
          </w:tcPr>
          <w:p>
            <w:pPr>
              <w:spacing w:line="240" w:lineRule="exact"/>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2358842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6" w:hRule="atLeast"/>
        </w:trPr>
        <w:tc>
          <w:tcPr>
            <w:tcW w:w="1625" w:type="dxa"/>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古城路名人苑43栋101-201复式</w:t>
            </w:r>
          </w:p>
        </w:tc>
        <w:tc>
          <w:tcPr>
            <w:tcW w:w="1510" w:type="dxa"/>
            <w:vAlign w:val="center"/>
          </w:tcPr>
          <w:p>
            <w:pPr>
              <w:autoSpaceDE w:val="0"/>
              <w:autoSpaceDN w:val="0"/>
              <w:adjustRightInd w:val="0"/>
              <w:spacing w:line="240" w:lineRule="exact"/>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景房权证字第0942002号</w:t>
            </w:r>
          </w:p>
        </w:tc>
        <w:tc>
          <w:tcPr>
            <w:tcW w:w="860" w:type="dxa"/>
            <w:vMerge w:val="continue"/>
            <w:vAlign w:val="center"/>
          </w:tcPr>
          <w:p>
            <w:pPr>
              <w:autoSpaceDE w:val="0"/>
              <w:autoSpaceDN w:val="0"/>
              <w:adjustRightInd w:val="0"/>
              <w:spacing w:line="240" w:lineRule="exact"/>
              <w:jc w:val="center"/>
              <w:rPr>
                <w:rFonts w:hint="eastAsia" w:ascii="仿宋" w:hAnsi="仿宋" w:eastAsia="仿宋" w:cs="仿宋"/>
                <w:color w:val="000000"/>
                <w:sz w:val="21"/>
                <w:szCs w:val="21"/>
                <w:lang w:eastAsia="zh-CN"/>
              </w:rPr>
            </w:pPr>
          </w:p>
        </w:tc>
        <w:tc>
          <w:tcPr>
            <w:tcW w:w="1180" w:type="dxa"/>
            <w:vAlign w:val="center"/>
          </w:tcPr>
          <w:p>
            <w:pPr>
              <w:spacing w:line="240" w:lineRule="exact"/>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rPr>
              <w:t>1</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rPr>
              <w:t>F/</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rPr>
              <w:t>F</w:t>
            </w:r>
          </w:p>
        </w:tc>
        <w:tc>
          <w:tcPr>
            <w:tcW w:w="720" w:type="dxa"/>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住宅</w:t>
            </w:r>
          </w:p>
        </w:tc>
        <w:tc>
          <w:tcPr>
            <w:tcW w:w="840" w:type="dxa"/>
            <w:vAlign w:val="center"/>
          </w:tcPr>
          <w:p>
            <w:pPr>
              <w:spacing w:line="240" w:lineRule="exact"/>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rPr>
              <w:t>20</w:t>
            </w:r>
            <w:r>
              <w:rPr>
                <w:rFonts w:hint="eastAsia" w:ascii="仿宋" w:hAnsi="仿宋" w:eastAsia="仿宋" w:cs="仿宋"/>
                <w:color w:val="000000"/>
                <w:sz w:val="21"/>
                <w:szCs w:val="21"/>
                <w:lang w:val="en-US" w:eastAsia="zh-CN"/>
              </w:rPr>
              <w:t>12</w:t>
            </w:r>
          </w:p>
        </w:tc>
        <w:tc>
          <w:tcPr>
            <w:tcW w:w="650" w:type="dxa"/>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混合</w:t>
            </w:r>
          </w:p>
        </w:tc>
        <w:tc>
          <w:tcPr>
            <w:tcW w:w="930" w:type="dxa"/>
            <w:vAlign w:val="center"/>
          </w:tcPr>
          <w:p>
            <w:pPr>
              <w:spacing w:line="240" w:lineRule="exact"/>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468.21</w:t>
            </w:r>
          </w:p>
        </w:tc>
        <w:tc>
          <w:tcPr>
            <w:tcW w:w="1090" w:type="dxa"/>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5038</w:t>
            </w:r>
          </w:p>
        </w:tc>
        <w:tc>
          <w:tcPr>
            <w:tcW w:w="1085" w:type="dxa"/>
            <w:vAlign w:val="center"/>
          </w:tcPr>
          <w:p>
            <w:pPr>
              <w:spacing w:line="240" w:lineRule="exact"/>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2358842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7" w:hRule="atLeast"/>
        </w:trPr>
        <w:tc>
          <w:tcPr>
            <w:tcW w:w="7385" w:type="dxa"/>
            <w:gridSpan w:val="7"/>
            <w:vAlign w:val="center"/>
          </w:tcPr>
          <w:p>
            <w:pPr>
              <w:spacing w:line="240" w:lineRule="exact"/>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合计</w:t>
            </w:r>
          </w:p>
        </w:tc>
        <w:tc>
          <w:tcPr>
            <w:tcW w:w="930" w:type="dxa"/>
            <w:vAlign w:val="center"/>
          </w:tcPr>
          <w:p>
            <w:pPr>
              <w:spacing w:line="240" w:lineRule="exact"/>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936.42</w:t>
            </w:r>
          </w:p>
        </w:tc>
        <w:tc>
          <w:tcPr>
            <w:tcW w:w="1090" w:type="dxa"/>
            <w:vAlign w:val="center"/>
          </w:tcPr>
          <w:p>
            <w:pPr>
              <w:spacing w:line="240" w:lineRule="exact"/>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5038</w:t>
            </w:r>
          </w:p>
        </w:tc>
        <w:tc>
          <w:tcPr>
            <w:tcW w:w="1085" w:type="dxa"/>
            <w:vAlign w:val="center"/>
          </w:tcPr>
          <w:p>
            <w:pPr>
              <w:spacing w:line="240" w:lineRule="exact"/>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fldChar w:fldCharType="begin"/>
            </w:r>
            <w:r>
              <w:rPr>
                <w:rFonts w:hint="eastAsia" w:ascii="仿宋" w:hAnsi="仿宋" w:eastAsia="仿宋" w:cs="仿宋"/>
                <w:color w:val="000000"/>
                <w:sz w:val="21"/>
                <w:szCs w:val="21"/>
                <w:lang w:val="en-US" w:eastAsia="zh-CN"/>
              </w:rPr>
              <w:instrText xml:space="preserve"> = sum(J2:J3) \* MERGEFORMAT </w:instrText>
            </w:r>
            <w:r>
              <w:rPr>
                <w:rFonts w:hint="eastAsia" w:ascii="仿宋" w:hAnsi="仿宋" w:eastAsia="仿宋" w:cs="仿宋"/>
                <w:color w:val="000000"/>
                <w:sz w:val="21"/>
                <w:szCs w:val="21"/>
                <w:lang w:val="en-US" w:eastAsia="zh-CN"/>
              </w:rPr>
              <w:fldChar w:fldCharType="separate"/>
            </w:r>
            <w:r>
              <w:rPr>
                <w:rFonts w:hint="eastAsia" w:ascii="仿宋" w:hAnsi="仿宋" w:eastAsia="仿宋" w:cs="仿宋"/>
                <w:color w:val="000000"/>
                <w:sz w:val="21"/>
                <w:szCs w:val="21"/>
                <w:lang w:val="en-US" w:eastAsia="zh-CN"/>
              </w:rPr>
              <w:t>4717684</w:t>
            </w:r>
            <w:r>
              <w:rPr>
                <w:rFonts w:hint="eastAsia" w:ascii="仿宋" w:hAnsi="仿宋" w:eastAsia="仿宋" w:cs="仿宋"/>
                <w:color w:val="000000"/>
                <w:sz w:val="21"/>
                <w:szCs w:val="21"/>
                <w:lang w:val="en-US" w:eastAsia="zh-CN"/>
              </w:rPr>
              <w:fldChar w:fldCharType="end"/>
            </w:r>
          </w:p>
        </w:tc>
      </w:tr>
    </w:tbl>
    <w:p>
      <w:pPr>
        <w:spacing w:line="560" w:lineRule="exact"/>
        <w:ind w:right="34"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备注：</w:t>
      </w:r>
    </w:p>
    <w:p>
      <w:pPr>
        <w:spacing w:line="560" w:lineRule="exact"/>
        <w:ind w:right="34"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1、估价对象价值未考虑估价对象原有的担保物权和其他法定优先受偿款，也不包括原有的租赁权和用益物权。估价结果没有扣除拍卖过程发生的处置费用和税金。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2、相关当事人如对本估价报告有异议，应于接到本报告书次日起十日内，向委托方</w:t>
      </w:r>
      <w:r>
        <w:rPr>
          <w:rFonts w:hint="eastAsia" w:ascii="仿宋" w:hAnsi="仿宋" w:eastAsia="仿宋" w:cs="仿宋"/>
          <w:color w:val="auto"/>
          <w:sz w:val="24"/>
          <w:highlight w:val="none"/>
          <w:lang w:eastAsia="zh-CN"/>
        </w:rPr>
        <w:t>南昌市东湖区人民法院</w:t>
      </w:r>
      <w:r>
        <w:rPr>
          <w:rFonts w:hint="eastAsia" w:ascii="仿宋" w:hAnsi="仿宋" w:eastAsia="仿宋" w:cs="仿宋"/>
          <w:color w:val="auto"/>
          <w:sz w:val="24"/>
          <w:highlight w:val="none"/>
        </w:rPr>
        <w:t>以书面形式提出异议书，并提交相应依据资料及补充材料，我公司在收到委托方转交的异议书后，于十五日内进行书面答复。</w:t>
      </w:r>
    </w:p>
    <w:p>
      <w:pPr>
        <w:spacing w:line="560" w:lineRule="exact"/>
        <w:ind w:right="34"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、本报告估价结果仅为司法拍卖房地产确定拍卖价格提供参考依据</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而估价结果</w:t>
      </w:r>
      <w:r>
        <w:rPr>
          <w:rFonts w:hint="eastAsia" w:ascii="仿宋" w:hAnsi="仿宋" w:eastAsia="仿宋" w:cs="仿宋"/>
          <w:color w:val="auto"/>
          <w:sz w:val="24"/>
          <w:highlight w:val="none"/>
          <w:lang w:eastAsia="zh-CN"/>
        </w:rPr>
        <w:t>并</w:t>
      </w:r>
      <w:r>
        <w:rPr>
          <w:rFonts w:hint="eastAsia" w:ascii="仿宋" w:hAnsi="仿宋" w:eastAsia="仿宋" w:cs="仿宋"/>
          <w:color w:val="auto"/>
          <w:sz w:val="24"/>
          <w:highlight w:val="none"/>
        </w:rPr>
        <w:t>不应</w:t>
      </w:r>
      <w:r>
        <w:rPr>
          <w:rFonts w:hint="eastAsia" w:ascii="仿宋" w:hAnsi="仿宋" w:eastAsia="仿宋" w:cs="仿宋"/>
          <w:color w:val="auto"/>
          <w:sz w:val="24"/>
          <w:highlight w:val="none"/>
          <w:lang w:eastAsia="zh-CN"/>
        </w:rPr>
        <w:t>视</w:t>
      </w:r>
      <w:r>
        <w:rPr>
          <w:rFonts w:hint="eastAsia" w:ascii="仿宋" w:hAnsi="仿宋" w:eastAsia="仿宋" w:cs="仿宋"/>
          <w:color w:val="auto"/>
          <w:sz w:val="24"/>
          <w:highlight w:val="none"/>
        </w:rPr>
        <w:t>作为</w:t>
      </w:r>
      <w:r>
        <w:rPr>
          <w:rFonts w:hint="eastAsia" w:ascii="仿宋" w:hAnsi="仿宋" w:eastAsia="仿宋" w:cs="仿宋"/>
          <w:color w:val="auto"/>
          <w:sz w:val="24"/>
          <w:highlight w:val="none"/>
          <w:lang w:eastAsia="zh-CN"/>
        </w:rPr>
        <w:t>估价对象</w:t>
      </w:r>
      <w:r>
        <w:rPr>
          <w:rFonts w:hint="eastAsia" w:ascii="仿宋" w:hAnsi="仿宋" w:eastAsia="仿宋" w:cs="仿宋"/>
          <w:color w:val="auto"/>
          <w:sz w:val="24"/>
          <w:highlight w:val="none"/>
        </w:rPr>
        <w:t>价格实现的保证。</w:t>
      </w:r>
      <w:r>
        <w:rPr>
          <w:rFonts w:ascii="仿宋_GB2312" w:hAnsi="宋体" w:eastAsia="仿宋_GB2312"/>
          <w:sz w:val="28"/>
        </w:rPr>
        <w:drawing>
          <wp:anchor distT="0" distB="0" distL="114300" distR="114300" simplePos="0" relativeHeight="251686912" behindDoc="1" locked="0" layoutInCell="1" allowOverlap="1">
            <wp:simplePos x="0" y="0"/>
            <wp:positionH relativeFrom="column">
              <wp:posOffset>5108575</wp:posOffset>
            </wp:positionH>
            <wp:positionV relativeFrom="paragraph">
              <wp:posOffset>7029450</wp:posOffset>
            </wp:positionV>
            <wp:extent cx="1054100" cy="982980"/>
            <wp:effectExtent l="0" t="0" r="0" b="7620"/>
            <wp:wrapNone/>
            <wp:docPr id="14" name="Picture 29" descr="法人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9" descr="法人章"/>
                    <pic:cNvPicPr>
                      <a:picLocks noChangeAspect="1"/>
                    </pic:cNvPicPr>
                  </pic:nvPicPr>
                  <pic:blipFill>
                    <a:blip r:embed="rId10"/>
                    <a:stretch>
                      <a:fillRect/>
                    </a:stretch>
                  </pic:blipFill>
                  <pic:spPr>
                    <a:xfrm>
                      <a:off x="0" y="0"/>
                      <a:ext cx="1054100" cy="982980"/>
                    </a:xfrm>
                    <a:prstGeom prst="rect">
                      <a:avLst/>
                    </a:prstGeom>
                    <a:noFill/>
                    <a:ln>
                      <a:noFill/>
                    </a:ln>
                  </pic:spPr>
                </pic:pic>
              </a:graphicData>
            </a:graphic>
          </wp:anchor>
        </w:drawing>
      </w:r>
    </w:p>
    <w:p>
      <w:pPr>
        <w:spacing w:line="560" w:lineRule="exact"/>
        <w:ind w:right="34"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、欲知详情，请阅读本估价报告全文。</w:t>
      </w:r>
    </w:p>
    <w:p>
      <w:pPr>
        <w:spacing w:line="420" w:lineRule="exact"/>
        <w:ind w:right="34"/>
        <w:rPr>
          <w:rFonts w:hint="eastAsia" w:ascii="仿宋_GB2312" w:hAnsi="宋体" w:eastAsia="仿宋_GB2312"/>
          <w:color w:val="000000"/>
          <w:spacing w:val="14"/>
          <w:sz w:val="28"/>
          <w:szCs w:val="28"/>
          <w:lang w:val="zh-CN" w:eastAsia="zh-CN"/>
        </w:rPr>
        <w:sectPr>
          <w:pgSz w:w="12240" w:h="15840"/>
          <w:pgMar w:top="1247" w:right="1701" w:bottom="1247" w:left="1758" w:header="340" w:footer="794" w:gutter="0"/>
          <w:pgNumType w:fmt="decimal"/>
          <w:cols w:space="720" w:num="1"/>
          <w:titlePg/>
          <w:docGrid w:linePitch="286" w:charSpace="0"/>
        </w:sectPr>
      </w:pPr>
      <w:r>
        <w:rPr>
          <w:rFonts w:ascii="仿宋_GB2312" w:hAnsi="宋体" w:eastAsia="仿宋_GB2312"/>
          <w:sz w:val="28"/>
        </w:rPr>
        <w:drawing>
          <wp:anchor distT="0" distB="0" distL="114300" distR="114300" simplePos="0" relativeHeight="251681792" behindDoc="1" locked="0" layoutInCell="1" allowOverlap="1">
            <wp:simplePos x="0" y="0"/>
            <wp:positionH relativeFrom="column">
              <wp:posOffset>5108575</wp:posOffset>
            </wp:positionH>
            <wp:positionV relativeFrom="paragraph">
              <wp:posOffset>7029450</wp:posOffset>
            </wp:positionV>
            <wp:extent cx="1054100" cy="982980"/>
            <wp:effectExtent l="0" t="0" r="0" b="7620"/>
            <wp:wrapNone/>
            <wp:docPr id="13" name="Picture 29" descr="法人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9" descr="法人章"/>
                    <pic:cNvPicPr>
                      <a:picLocks noChangeAspect="1"/>
                    </pic:cNvPicPr>
                  </pic:nvPicPr>
                  <pic:blipFill>
                    <a:blip r:embed="rId10"/>
                    <a:stretch>
                      <a:fillRect/>
                    </a:stretch>
                  </pic:blipFill>
                  <pic:spPr>
                    <a:xfrm>
                      <a:off x="0" y="0"/>
                      <a:ext cx="1054100" cy="982980"/>
                    </a:xfrm>
                    <a:prstGeom prst="rect">
                      <a:avLst/>
                    </a:prstGeom>
                    <a:noFill/>
                    <a:ln>
                      <a:noFill/>
                    </a:ln>
                  </pic:spPr>
                </pic:pic>
              </a:graphicData>
            </a:graphic>
          </wp:anchor>
        </w:drawing>
      </w:r>
    </w:p>
    <w:p>
      <w:pPr>
        <w:autoSpaceDE w:val="0"/>
        <w:autoSpaceDN w:val="0"/>
        <w:adjustRightInd w:val="0"/>
        <w:spacing w:line="360" w:lineRule="auto"/>
        <w:jc w:val="center"/>
        <w:rPr>
          <w:rFonts w:hint="eastAsia" w:ascii="仿宋" w:hAnsi="仿宋" w:eastAsia="仿宋" w:cs="仿宋"/>
          <w:b/>
          <w:bCs/>
          <w:sz w:val="36"/>
          <w:szCs w:val="36"/>
          <w:lang w:val="zh-CN"/>
        </w:rPr>
      </w:pPr>
      <w:r>
        <w:rPr>
          <w:rFonts w:hint="eastAsia" w:ascii="仿宋" w:hAnsi="仿宋" w:eastAsia="仿宋" w:cs="仿宋"/>
          <w:b/>
          <w:bCs/>
          <w:sz w:val="36"/>
          <w:szCs w:val="36"/>
          <w:lang w:val="zh-CN"/>
        </w:rPr>
        <w:t>目  录</w:t>
      </w:r>
    </w:p>
    <w:p>
      <w:pPr>
        <w:pStyle w:val="7"/>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TOC \o </w:instrText>
      </w:r>
      <w:r>
        <w:rPr>
          <w:rFonts w:hint="eastAsia" w:ascii="仿宋" w:hAnsi="仿宋" w:eastAsia="仿宋" w:cs="仿宋"/>
          <w:sz w:val="30"/>
          <w:szCs w:val="30"/>
        </w:rPr>
        <w:fldChar w:fldCharType="separate"/>
      </w:r>
      <w:r>
        <w:rPr>
          <w:rFonts w:hint="eastAsia" w:ascii="仿宋" w:hAnsi="仿宋" w:eastAsia="仿宋" w:cs="仿宋"/>
          <w:sz w:val="30"/>
          <w:szCs w:val="30"/>
          <w:lang w:val="zh-CN"/>
        </w:rPr>
        <w:t>一、估价师声明</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_Toc14699 </w:instrText>
      </w:r>
      <w:r>
        <w:rPr>
          <w:rFonts w:hint="eastAsia" w:ascii="仿宋" w:hAnsi="仿宋" w:eastAsia="仿宋" w:cs="仿宋"/>
          <w:sz w:val="30"/>
          <w:szCs w:val="30"/>
        </w:rPr>
        <w:fldChar w:fldCharType="separate"/>
      </w:r>
      <w:r>
        <w:rPr>
          <w:rFonts w:hint="eastAsia" w:ascii="仿宋" w:hAnsi="仿宋" w:eastAsia="仿宋" w:cs="仿宋"/>
          <w:sz w:val="30"/>
          <w:szCs w:val="30"/>
        </w:rPr>
        <w:t>4</w:t>
      </w:r>
      <w:r>
        <w:rPr>
          <w:rFonts w:hint="eastAsia" w:ascii="仿宋" w:hAnsi="仿宋" w:eastAsia="仿宋" w:cs="仿宋"/>
          <w:sz w:val="30"/>
          <w:szCs w:val="30"/>
        </w:rPr>
        <w:fldChar w:fldCharType="end"/>
      </w:r>
    </w:p>
    <w:p>
      <w:pPr>
        <w:pStyle w:val="7"/>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lang w:val="zh-CN"/>
        </w:rPr>
        <w:t>二、估价假设和限制条件</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_Toc21190 </w:instrText>
      </w:r>
      <w:r>
        <w:rPr>
          <w:rFonts w:hint="eastAsia" w:ascii="仿宋" w:hAnsi="仿宋" w:eastAsia="仿宋" w:cs="仿宋"/>
          <w:sz w:val="30"/>
          <w:szCs w:val="30"/>
        </w:rPr>
        <w:fldChar w:fldCharType="separate"/>
      </w:r>
      <w:r>
        <w:rPr>
          <w:rFonts w:hint="eastAsia" w:ascii="仿宋" w:hAnsi="仿宋" w:eastAsia="仿宋" w:cs="仿宋"/>
          <w:sz w:val="30"/>
          <w:szCs w:val="30"/>
        </w:rPr>
        <w:t>4</w:t>
      </w:r>
      <w:r>
        <w:rPr>
          <w:rFonts w:hint="eastAsia" w:ascii="仿宋" w:hAnsi="仿宋" w:eastAsia="仿宋" w:cs="仿宋"/>
          <w:sz w:val="30"/>
          <w:szCs w:val="30"/>
        </w:rPr>
        <w:fldChar w:fldCharType="end"/>
      </w:r>
    </w:p>
    <w:p>
      <w:pPr>
        <w:pStyle w:val="7"/>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lang w:val="zh-CN"/>
        </w:rPr>
        <w:t>三、估价结果报告</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_Toc30097 </w:instrText>
      </w:r>
      <w:r>
        <w:rPr>
          <w:rFonts w:hint="eastAsia" w:ascii="仿宋" w:hAnsi="仿宋" w:eastAsia="仿宋" w:cs="仿宋"/>
          <w:sz w:val="30"/>
          <w:szCs w:val="30"/>
        </w:rPr>
        <w:fldChar w:fldCharType="separate"/>
      </w:r>
      <w:r>
        <w:rPr>
          <w:rFonts w:hint="eastAsia" w:ascii="仿宋" w:hAnsi="仿宋" w:eastAsia="仿宋" w:cs="仿宋"/>
          <w:sz w:val="30"/>
          <w:szCs w:val="30"/>
        </w:rPr>
        <w:t>8</w:t>
      </w:r>
      <w:r>
        <w:rPr>
          <w:rFonts w:hint="eastAsia" w:ascii="仿宋" w:hAnsi="仿宋" w:eastAsia="仿宋" w:cs="仿宋"/>
          <w:sz w:val="30"/>
          <w:szCs w:val="30"/>
        </w:rPr>
        <w:fldChar w:fldCharType="end"/>
      </w:r>
    </w:p>
    <w:p>
      <w:pPr>
        <w:pStyle w:val="4"/>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rPr>
        <w:t>（一）估价委托人</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_Toc15116 </w:instrText>
      </w:r>
      <w:r>
        <w:rPr>
          <w:rFonts w:hint="eastAsia" w:ascii="仿宋" w:hAnsi="仿宋" w:eastAsia="仿宋" w:cs="仿宋"/>
          <w:sz w:val="30"/>
          <w:szCs w:val="30"/>
        </w:rPr>
        <w:fldChar w:fldCharType="separate"/>
      </w:r>
      <w:r>
        <w:rPr>
          <w:rFonts w:hint="eastAsia" w:ascii="仿宋" w:hAnsi="仿宋" w:eastAsia="仿宋" w:cs="仿宋"/>
          <w:sz w:val="30"/>
          <w:szCs w:val="30"/>
        </w:rPr>
        <w:t>8</w:t>
      </w:r>
      <w:r>
        <w:rPr>
          <w:rFonts w:hint="eastAsia" w:ascii="仿宋" w:hAnsi="仿宋" w:eastAsia="仿宋" w:cs="仿宋"/>
          <w:sz w:val="30"/>
          <w:szCs w:val="30"/>
        </w:rPr>
        <w:fldChar w:fldCharType="end"/>
      </w:r>
    </w:p>
    <w:p>
      <w:pPr>
        <w:pStyle w:val="4"/>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rPr>
        <w:t>（二）房地产估价机构</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_Toc12725 </w:instrText>
      </w:r>
      <w:r>
        <w:rPr>
          <w:rFonts w:hint="eastAsia" w:ascii="仿宋" w:hAnsi="仿宋" w:eastAsia="仿宋" w:cs="仿宋"/>
          <w:sz w:val="30"/>
          <w:szCs w:val="30"/>
        </w:rPr>
        <w:fldChar w:fldCharType="separate"/>
      </w:r>
      <w:r>
        <w:rPr>
          <w:rFonts w:hint="eastAsia" w:ascii="仿宋" w:hAnsi="仿宋" w:eastAsia="仿宋" w:cs="仿宋"/>
          <w:sz w:val="30"/>
          <w:szCs w:val="30"/>
        </w:rPr>
        <w:t>8</w:t>
      </w:r>
      <w:r>
        <w:rPr>
          <w:rFonts w:hint="eastAsia" w:ascii="仿宋" w:hAnsi="仿宋" w:eastAsia="仿宋" w:cs="仿宋"/>
          <w:sz w:val="30"/>
          <w:szCs w:val="30"/>
        </w:rPr>
        <w:fldChar w:fldCharType="end"/>
      </w:r>
    </w:p>
    <w:p>
      <w:pPr>
        <w:pStyle w:val="4"/>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rPr>
        <w:t>（三）估价目的</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_Toc18010 </w:instrText>
      </w:r>
      <w:r>
        <w:rPr>
          <w:rFonts w:hint="eastAsia" w:ascii="仿宋" w:hAnsi="仿宋" w:eastAsia="仿宋" w:cs="仿宋"/>
          <w:sz w:val="30"/>
          <w:szCs w:val="30"/>
        </w:rPr>
        <w:fldChar w:fldCharType="separate"/>
      </w:r>
      <w:r>
        <w:rPr>
          <w:rFonts w:hint="eastAsia" w:ascii="仿宋" w:hAnsi="仿宋" w:eastAsia="仿宋" w:cs="仿宋"/>
          <w:sz w:val="30"/>
          <w:szCs w:val="30"/>
        </w:rPr>
        <w:t>8</w:t>
      </w:r>
      <w:r>
        <w:rPr>
          <w:rFonts w:hint="eastAsia" w:ascii="仿宋" w:hAnsi="仿宋" w:eastAsia="仿宋" w:cs="仿宋"/>
          <w:sz w:val="30"/>
          <w:szCs w:val="30"/>
        </w:rPr>
        <w:fldChar w:fldCharType="end"/>
      </w:r>
    </w:p>
    <w:p>
      <w:pPr>
        <w:pStyle w:val="4"/>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rPr>
        <w:t>（四）估价对象</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_Toc29885 </w:instrText>
      </w:r>
      <w:r>
        <w:rPr>
          <w:rFonts w:hint="eastAsia" w:ascii="仿宋" w:hAnsi="仿宋" w:eastAsia="仿宋" w:cs="仿宋"/>
          <w:sz w:val="30"/>
          <w:szCs w:val="30"/>
        </w:rPr>
        <w:fldChar w:fldCharType="separate"/>
      </w:r>
      <w:r>
        <w:rPr>
          <w:rFonts w:hint="eastAsia" w:ascii="仿宋" w:hAnsi="仿宋" w:eastAsia="仿宋" w:cs="仿宋"/>
          <w:sz w:val="30"/>
          <w:szCs w:val="30"/>
        </w:rPr>
        <w:t>8</w:t>
      </w:r>
      <w:r>
        <w:rPr>
          <w:rFonts w:hint="eastAsia" w:ascii="仿宋" w:hAnsi="仿宋" w:eastAsia="仿宋" w:cs="仿宋"/>
          <w:sz w:val="30"/>
          <w:szCs w:val="30"/>
        </w:rPr>
        <w:fldChar w:fldCharType="end"/>
      </w:r>
    </w:p>
    <w:p>
      <w:pPr>
        <w:pStyle w:val="4"/>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rPr>
        <w:t>（五）价值时点</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_Toc25104 </w:instrText>
      </w:r>
      <w:r>
        <w:rPr>
          <w:rFonts w:hint="eastAsia" w:ascii="仿宋" w:hAnsi="仿宋" w:eastAsia="仿宋" w:cs="仿宋"/>
          <w:sz w:val="30"/>
          <w:szCs w:val="30"/>
        </w:rPr>
        <w:fldChar w:fldCharType="separate"/>
      </w:r>
      <w:r>
        <w:rPr>
          <w:rFonts w:hint="eastAsia" w:ascii="仿宋" w:hAnsi="仿宋" w:eastAsia="仿宋" w:cs="仿宋"/>
          <w:sz w:val="30"/>
          <w:szCs w:val="30"/>
        </w:rPr>
        <w:t>10</w:t>
      </w:r>
      <w:r>
        <w:rPr>
          <w:rFonts w:hint="eastAsia" w:ascii="仿宋" w:hAnsi="仿宋" w:eastAsia="仿宋" w:cs="仿宋"/>
          <w:sz w:val="30"/>
          <w:szCs w:val="30"/>
        </w:rPr>
        <w:fldChar w:fldCharType="end"/>
      </w:r>
    </w:p>
    <w:p>
      <w:pPr>
        <w:pStyle w:val="4"/>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rPr>
        <w:t>（六）价值类型</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_Toc14413 </w:instrText>
      </w:r>
      <w:r>
        <w:rPr>
          <w:rFonts w:hint="eastAsia" w:ascii="仿宋" w:hAnsi="仿宋" w:eastAsia="仿宋" w:cs="仿宋"/>
          <w:sz w:val="30"/>
          <w:szCs w:val="30"/>
        </w:rPr>
        <w:fldChar w:fldCharType="separate"/>
      </w:r>
      <w:r>
        <w:rPr>
          <w:rFonts w:hint="eastAsia" w:ascii="仿宋" w:hAnsi="仿宋" w:eastAsia="仿宋" w:cs="仿宋"/>
          <w:sz w:val="30"/>
          <w:szCs w:val="30"/>
        </w:rPr>
        <w:t>10</w:t>
      </w:r>
      <w:r>
        <w:rPr>
          <w:rFonts w:hint="eastAsia" w:ascii="仿宋" w:hAnsi="仿宋" w:eastAsia="仿宋" w:cs="仿宋"/>
          <w:sz w:val="30"/>
          <w:szCs w:val="30"/>
        </w:rPr>
        <w:fldChar w:fldCharType="end"/>
      </w:r>
    </w:p>
    <w:p>
      <w:pPr>
        <w:pStyle w:val="4"/>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rPr>
        <w:t>（七）估价原则</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_Toc997 </w:instrText>
      </w:r>
      <w:r>
        <w:rPr>
          <w:rFonts w:hint="eastAsia" w:ascii="仿宋" w:hAnsi="仿宋" w:eastAsia="仿宋" w:cs="仿宋"/>
          <w:sz w:val="30"/>
          <w:szCs w:val="30"/>
        </w:rPr>
        <w:fldChar w:fldCharType="separate"/>
      </w:r>
      <w:r>
        <w:rPr>
          <w:rFonts w:hint="eastAsia" w:ascii="仿宋" w:hAnsi="仿宋" w:eastAsia="仿宋" w:cs="仿宋"/>
          <w:sz w:val="30"/>
          <w:szCs w:val="30"/>
        </w:rPr>
        <w:t>10</w:t>
      </w:r>
      <w:r>
        <w:rPr>
          <w:rFonts w:hint="eastAsia" w:ascii="仿宋" w:hAnsi="仿宋" w:eastAsia="仿宋" w:cs="仿宋"/>
          <w:sz w:val="30"/>
          <w:szCs w:val="30"/>
        </w:rPr>
        <w:fldChar w:fldCharType="end"/>
      </w:r>
    </w:p>
    <w:p>
      <w:pPr>
        <w:pStyle w:val="4"/>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rPr>
        <w:t>（八）估价依据</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_Toc31584 </w:instrText>
      </w:r>
      <w:r>
        <w:rPr>
          <w:rFonts w:hint="eastAsia" w:ascii="仿宋" w:hAnsi="仿宋" w:eastAsia="仿宋" w:cs="仿宋"/>
          <w:sz w:val="30"/>
          <w:szCs w:val="30"/>
        </w:rPr>
        <w:fldChar w:fldCharType="separate"/>
      </w:r>
      <w:r>
        <w:rPr>
          <w:rFonts w:hint="eastAsia" w:ascii="仿宋" w:hAnsi="仿宋" w:eastAsia="仿宋" w:cs="仿宋"/>
          <w:sz w:val="30"/>
          <w:szCs w:val="30"/>
        </w:rPr>
        <w:t>11</w:t>
      </w:r>
      <w:r>
        <w:rPr>
          <w:rFonts w:hint="eastAsia" w:ascii="仿宋" w:hAnsi="仿宋" w:eastAsia="仿宋" w:cs="仿宋"/>
          <w:sz w:val="30"/>
          <w:szCs w:val="30"/>
        </w:rPr>
        <w:fldChar w:fldCharType="end"/>
      </w:r>
    </w:p>
    <w:p>
      <w:pPr>
        <w:pStyle w:val="4"/>
        <w:tabs>
          <w:tab w:val="right" w:leader="dot" w:pos="8781"/>
          <w:tab w:val="clear" w:pos="8636"/>
        </w:tabs>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rPr>
        <w:t>（九）估价方法</w:t>
      </w:r>
      <w:r>
        <w:rPr>
          <w:rFonts w:hint="eastAsia" w:ascii="仿宋" w:hAnsi="仿宋" w:eastAsia="仿宋" w:cs="仿宋"/>
          <w:sz w:val="30"/>
          <w:szCs w:val="30"/>
        </w:rPr>
        <w:tab/>
      </w:r>
      <w:r>
        <w:rPr>
          <w:rFonts w:hint="eastAsia" w:ascii="仿宋" w:hAnsi="仿宋" w:eastAsia="仿宋" w:cs="仿宋"/>
          <w:sz w:val="30"/>
          <w:szCs w:val="30"/>
          <w:lang w:val="en-US" w:eastAsia="zh-CN"/>
        </w:rPr>
        <w:t>12</w:t>
      </w:r>
    </w:p>
    <w:p>
      <w:pPr>
        <w:pStyle w:val="4"/>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rPr>
        <w:t>（十）估价结果</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_Toc23956 </w:instrText>
      </w:r>
      <w:r>
        <w:rPr>
          <w:rFonts w:hint="eastAsia" w:ascii="仿宋" w:hAnsi="仿宋" w:eastAsia="仿宋" w:cs="仿宋"/>
          <w:sz w:val="30"/>
          <w:szCs w:val="30"/>
        </w:rPr>
        <w:fldChar w:fldCharType="separate"/>
      </w:r>
      <w:r>
        <w:rPr>
          <w:rFonts w:hint="eastAsia" w:ascii="仿宋" w:hAnsi="仿宋" w:eastAsia="仿宋" w:cs="仿宋"/>
          <w:sz w:val="30"/>
          <w:szCs w:val="30"/>
        </w:rPr>
        <w:t>13</w:t>
      </w:r>
      <w:r>
        <w:rPr>
          <w:rFonts w:hint="eastAsia" w:ascii="仿宋" w:hAnsi="仿宋" w:eastAsia="仿宋" w:cs="仿宋"/>
          <w:sz w:val="30"/>
          <w:szCs w:val="30"/>
        </w:rPr>
        <w:fldChar w:fldCharType="end"/>
      </w:r>
    </w:p>
    <w:p>
      <w:pPr>
        <w:pStyle w:val="4"/>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rPr>
        <w:t>（十一）注册房地产估价师</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_Toc20484 </w:instrText>
      </w:r>
      <w:r>
        <w:rPr>
          <w:rFonts w:hint="eastAsia" w:ascii="仿宋" w:hAnsi="仿宋" w:eastAsia="仿宋" w:cs="仿宋"/>
          <w:sz w:val="30"/>
          <w:szCs w:val="30"/>
        </w:rPr>
        <w:fldChar w:fldCharType="separate"/>
      </w:r>
      <w:r>
        <w:rPr>
          <w:rFonts w:hint="eastAsia" w:ascii="仿宋" w:hAnsi="仿宋" w:eastAsia="仿宋" w:cs="仿宋"/>
          <w:sz w:val="30"/>
          <w:szCs w:val="30"/>
        </w:rPr>
        <w:t>15</w:t>
      </w:r>
      <w:r>
        <w:rPr>
          <w:rFonts w:hint="eastAsia" w:ascii="仿宋" w:hAnsi="仿宋" w:eastAsia="仿宋" w:cs="仿宋"/>
          <w:sz w:val="30"/>
          <w:szCs w:val="30"/>
        </w:rPr>
        <w:fldChar w:fldCharType="end"/>
      </w:r>
    </w:p>
    <w:p>
      <w:pPr>
        <w:pStyle w:val="4"/>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rPr>
        <w:t>（十二）实地查勘期</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_Toc11738 </w:instrText>
      </w:r>
      <w:r>
        <w:rPr>
          <w:rFonts w:hint="eastAsia" w:ascii="仿宋" w:hAnsi="仿宋" w:eastAsia="仿宋" w:cs="仿宋"/>
          <w:sz w:val="30"/>
          <w:szCs w:val="30"/>
        </w:rPr>
        <w:fldChar w:fldCharType="separate"/>
      </w:r>
      <w:r>
        <w:rPr>
          <w:rFonts w:hint="eastAsia" w:ascii="仿宋" w:hAnsi="仿宋" w:eastAsia="仿宋" w:cs="仿宋"/>
          <w:sz w:val="30"/>
          <w:szCs w:val="30"/>
        </w:rPr>
        <w:t>15</w:t>
      </w:r>
      <w:r>
        <w:rPr>
          <w:rFonts w:hint="eastAsia" w:ascii="仿宋" w:hAnsi="仿宋" w:eastAsia="仿宋" w:cs="仿宋"/>
          <w:sz w:val="30"/>
          <w:szCs w:val="30"/>
        </w:rPr>
        <w:fldChar w:fldCharType="end"/>
      </w:r>
    </w:p>
    <w:p>
      <w:pPr>
        <w:pStyle w:val="4"/>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rPr>
        <w:t>（十三）估价作业期</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_Toc31383 </w:instrText>
      </w:r>
      <w:r>
        <w:rPr>
          <w:rFonts w:hint="eastAsia" w:ascii="仿宋" w:hAnsi="仿宋" w:eastAsia="仿宋" w:cs="仿宋"/>
          <w:sz w:val="30"/>
          <w:szCs w:val="30"/>
        </w:rPr>
        <w:fldChar w:fldCharType="separate"/>
      </w:r>
      <w:r>
        <w:rPr>
          <w:rFonts w:hint="eastAsia" w:ascii="仿宋" w:hAnsi="仿宋" w:eastAsia="仿宋" w:cs="仿宋"/>
          <w:sz w:val="30"/>
          <w:szCs w:val="30"/>
        </w:rPr>
        <w:t>15</w:t>
      </w:r>
      <w:r>
        <w:rPr>
          <w:rFonts w:hint="eastAsia" w:ascii="仿宋" w:hAnsi="仿宋" w:eastAsia="仿宋" w:cs="仿宋"/>
          <w:sz w:val="30"/>
          <w:szCs w:val="30"/>
        </w:rPr>
        <w:fldChar w:fldCharType="end"/>
      </w:r>
    </w:p>
    <w:p>
      <w:pPr>
        <w:pStyle w:val="7"/>
        <w:tabs>
          <w:tab w:val="right" w:leader="dot" w:pos="8781"/>
          <w:tab w:val="clear" w:pos="8636"/>
        </w:tabs>
        <w:spacing w:line="360" w:lineRule="auto"/>
        <w:rPr>
          <w:rFonts w:hint="eastAsia" w:ascii="仿宋" w:hAnsi="仿宋" w:eastAsia="仿宋" w:cs="仿宋"/>
          <w:sz w:val="30"/>
          <w:szCs w:val="30"/>
        </w:rPr>
      </w:pPr>
      <w:r>
        <w:rPr>
          <w:rFonts w:hint="eastAsia" w:ascii="仿宋" w:hAnsi="仿宋" w:eastAsia="仿宋" w:cs="仿宋"/>
          <w:sz w:val="30"/>
          <w:szCs w:val="30"/>
          <w:lang w:val="zh-CN"/>
        </w:rPr>
        <w:t>四、附  件</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_Toc4244 </w:instrText>
      </w:r>
      <w:r>
        <w:rPr>
          <w:rFonts w:hint="eastAsia" w:ascii="仿宋" w:hAnsi="仿宋" w:eastAsia="仿宋" w:cs="仿宋"/>
          <w:sz w:val="30"/>
          <w:szCs w:val="30"/>
        </w:rPr>
        <w:fldChar w:fldCharType="separate"/>
      </w:r>
      <w:r>
        <w:rPr>
          <w:rFonts w:hint="eastAsia" w:ascii="仿宋" w:hAnsi="仿宋" w:eastAsia="仿宋" w:cs="仿宋"/>
          <w:sz w:val="30"/>
          <w:szCs w:val="30"/>
        </w:rPr>
        <w:t>16</w:t>
      </w:r>
      <w:r>
        <w:rPr>
          <w:rFonts w:hint="eastAsia" w:ascii="仿宋" w:hAnsi="仿宋" w:eastAsia="仿宋" w:cs="仿宋"/>
          <w:sz w:val="30"/>
          <w:szCs w:val="30"/>
        </w:rPr>
        <w:fldChar w:fldCharType="end"/>
      </w:r>
    </w:p>
    <w:p>
      <w:pPr>
        <w:autoSpaceDE w:val="0"/>
        <w:autoSpaceDN w:val="0"/>
        <w:adjustRightInd w:val="0"/>
        <w:spacing w:line="400" w:lineRule="exact"/>
        <w:ind w:firstLine="636"/>
        <w:rPr>
          <w:rFonts w:hint="eastAsia" w:ascii="宋体" w:cs="宋体"/>
          <w:b/>
          <w:bCs/>
          <w:sz w:val="40"/>
          <w:szCs w:val="40"/>
        </w:rPr>
        <w:sectPr>
          <w:pgSz w:w="12240" w:h="15840"/>
          <w:pgMar w:top="1247" w:right="1701" w:bottom="1247" w:left="1758" w:header="284" w:footer="794" w:gutter="0"/>
          <w:pgNumType w:fmt="decimal"/>
          <w:cols w:space="720" w:num="1"/>
          <w:titlePg/>
        </w:sectPr>
      </w:pPr>
      <w:r>
        <w:rPr>
          <w:rFonts w:hint="eastAsia" w:ascii="仿宋" w:hAnsi="仿宋" w:eastAsia="仿宋" w:cs="仿宋"/>
          <w:sz w:val="30"/>
          <w:szCs w:val="30"/>
        </w:rPr>
        <w:fldChar w:fldCharType="end"/>
      </w:r>
    </w:p>
    <w:p>
      <w:pPr>
        <w:pStyle w:val="2"/>
        <w:tabs>
          <w:tab w:val="left" w:pos="6300"/>
        </w:tabs>
        <w:spacing w:before="120" w:beforeLines="50" w:after="120" w:afterLines="50" w:line="500" w:lineRule="exact"/>
        <w:jc w:val="center"/>
        <w:rPr>
          <w:rFonts w:ascii="宋体" w:hAnsi="宋体" w:eastAsia="宋体"/>
          <w:sz w:val="36"/>
          <w:szCs w:val="36"/>
          <w:lang w:val="zh-CN"/>
        </w:rPr>
      </w:pPr>
      <w:bookmarkStart w:id="0" w:name="_Toc487812240"/>
      <w:bookmarkStart w:id="1" w:name="_Toc14699"/>
      <w:r>
        <w:rPr>
          <w:rFonts w:hint="eastAsia" w:ascii="宋体" w:hAnsi="宋体" w:eastAsia="宋体"/>
          <w:sz w:val="36"/>
          <w:szCs w:val="36"/>
          <w:lang w:val="zh-CN"/>
        </w:rPr>
        <w:t>一、估价师声明</w:t>
      </w:r>
      <w:bookmarkEnd w:id="0"/>
      <w:bookmarkEnd w:id="1"/>
    </w:p>
    <w:p>
      <w:pPr>
        <w:spacing w:line="44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我们承诺，在我们知识和能力的最佳范围内：</w:t>
      </w:r>
    </w:p>
    <w:p>
      <w:pPr>
        <w:spacing w:line="44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1、我们在本估价报告中对事实的说明是真实和准确的，没有虚假记载、误导性陈述和重大遗漏。</w:t>
      </w:r>
    </w:p>
    <w:p>
      <w:pPr>
        <w:spacing w:line="44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2、本估价报告中的分析、意见和结论是我们自己公正的专业分析、意见和结论，但受到本估价报告中已说明的假设和限制条件的限制。</w:t>
      </w:r>
    </w:p>
    <w:p>
      <w:pPr>
        <w:spacing w:line="44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3、我们与本估价报告中的估价对象没有现实或潜在的利益，与估价委托人及估价利害关系人没有利害关系，也对估价对象、估价委托人及估价利害关系人没有偏见。</w:t>
      </w:r>
    </w:p>
    <w:p>
      <w:pPr>
        <w:spacing w:line="44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4、我们依照《中华人民共和国资产评估法》、国家标准《房地产估价规范》（GB/T50291-2015）、《房地产估价基本术语标准》（GB/T50899-2013）进行估价工作，撰写本估价报告。</w:t>
      </w:r>
    </w:p>
    <w:p>
      <w:pPr>
        <w:spacing w:line="44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5、我公司评估专业</w:t>
      </w:r>
      <w:r>
        <w:rPr>
          <w:rFonts w:hint="eastAsia" w:ascii="仿宋_GB2312" w:hAnsi="宋体" w:eastAsia="仿宋_GB2312"/>
          <w:sz w:val="28"/>
          <w:szCs w:val="28"/>
          <w:lang w:eastAsia="zh-CN"/>
        </w:rPr>
        <w:t>评估</w:t>
      </w:r>
      <w:r>
        <w:rPr>
          <w:rFonts w:hint="eastAsia" w:ascii="仿宋_GB2312" w:hAnsi="宋体" w:eastAsia="仿宋_GB2312"/>
          <w:sz w:val="28"/>
          <w:szCs w:val="28"/>
        </w:rPr>
        <w:t>人员已于201</w:t>
      </w:r>
      <w:r>
        <w:rPr>
          <w:rFonts w:hint="eastAsia" w:ascii="仿宋_GB2312" w:hAnsi="宋体" w:eastAsia="仿宋_GB2312"/>
          <w:sz w:val="28"/>
          <w:szCs w:val="28"/>
          <w:lang w:val="en-US" w:eastAsia="zh-CN"/>
        </w:rPr>
        <w:t>9</w:t>
      </w:r>
      <w:r>
        <w:rPr>
          <w:rFonts w:hint="eastAsia" w:ascii="仿宋_GB2312" w:hAnsi="宋体" w:eastAsia="仿宋_GB2312"/>
          <w:sz w:val="28"/>
          <w:szCs w:val="28"/>
        </w:rPr>
        <w:t>年</w:t>
      </w:r>
      <w:r>
        <w:rPr>
          <w:rFonts w:hint="eastAsia" w:ascii="仿宋_GB2312" w:hAnsi="宋体" w:eastAsia="仿宋_GB2312"/>
          <w:sz w:val="28"/>
          <w:szCs w:val="28"/>
          <w:lang w:val="en-US" w:eastAsia="zh-CN"/>
        </w:rPr>
        <w:t>09月26日</w:t>
      </w:r>
      <w:r>
        <w:rPr>
          <w:rFonts w:hint="eastAsia" w:ascii="仿宋_GB2312" w:hAnsi="宋体" w:eastAsia="仿宋_GB2312"/>
          <w:sz w:val="28"/>
          <w:szCs w:val="28"/>
        </w:rPr>
        <w:t>对本估价报告中的估价对象的建筑结构、室内外状况进行了实地查勘并进行记录，但仅限于估价对象的外观与目前维护管理状况。我们不承担对估价对象的建筑结构、质量进行调查的责任和其他被遮盖、未暴露及难于触及的部分进行检视的责任。</w:t>
      </w:r>
    </w:p>
    <w:p>
      <w:pPr>
        <w:spacing w:line="44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6、本估价报告中所依据的有关资料由估价委托人提供，估价委托人应对资料的真实性、合法性、准确性和完整性负责。</w:t>
      </w:r>
    </w:p>
    <w:p>
      <w:pPr>
        <w:spacing w:line="44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7、本估价报告仅是在报告中说明的假设条件下对估价对象正常市场价格进行的合理估算，报告中对估价对象权属情况的披露不能作为对其权属确认的依据，估价对象权属界定以有权管理部门认定为准。</w:t>
      </w:r>
    </w:p>
    <w:p>
      <w:pPr>
        <w:spacing w:line="44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8、没有人对本估价报告提供重要的专业帮助。</w:t>
      </w:r>
    </w:p>
    <w:p>
      <w:pPr>
        <w:spacing w:line="460" w:lineRule="exact"/>
        <w:ind w:firstLine="280" w:firstLineChars="100"/>
        <w:rPr>
          <w:rFonts w:hint="eastAsia" w:ascii="仿宋_GB2312" w:eastAsia="仿宋_GB2312" w:cs="宋体"/>
          <w:sz w:val="28"/>
          <w:szCs w:val="28"/>
          <w:lang w:val="zh-CN"/>
        </w:rPr>
      </w:pPr>
      <w:r>
        <w:rPr>
          <w:rFonts w:hint="eastAsia" w:ascii="仿宋_GB2312" w:eastAsia="仿宋_GB2312" w:cs="宋体"/>
          <w:sz w:val="28"/>
          <w:szCs w:val="28"/>
          <w:lang w:val="zh-CN"/>
        </w:rPr>
        <w:t>参加估价的注册房地产估价师签名：</w:t>
      </w:r>
    </w:p>
    <w:p>
      <w:pPr>
        <w:pStyle w:val="2"/>
        <w:tabs>
          <w:tab w:val="left" w:pos="6300"/>
        </w:tabs>
        <w:spacing w:before="120" w:beforeLines="50" w:after="120" w:afterLines="50" w:line="500" w:lineRule="exact"/>
        <w:jc w:val="both"/>
        <w:rPr>
          <w:rFonts w:hint="eastAsia" w:ascii="宋体" w:hAnsi="宋体" w:eastAsia="宋体"/>
          <w:sz w:val="36"/>
          <w:szCs w:val="36"/>
          <w:lang w:val="zh-CN"/>
        </w:rPr>
      </w:pPr>
      <w:bookmarkStart w:id="2" w:name="_Toc21190"/>
      <w:bookmarkStart w:id="3" w:name="_Toc487812241"/>
    </w:p>
    <w:p>
      <w:pPr>
        <w:rPr>
          <w:rFonts w:hint="eastAsia" w:ascii="宋体" w:hAnsi="宋体" w:eastAsia="宋体"/>
          <w:sz w:val="36"/>
          <w:szCs w:val="36"/>
          <w:lang w:val="zh-CN"/>
        </w:rPr>
      </w:pPr>
      <w:r>
        <w:rPr>
          <w:rFonts w:hint="eastAsia" w:ascii="宋体" w:hAnsi="宋体" w:eastAsia="宋体"/>
          <w:sz w:val="36"/>
          <w:szCs w:val="36"/>
          <w:lang w:val="zh-CN"/>
        </w:rPr>
        <w:br w:type="page"/>
      </w:r>
    </w:p>
    <w:p>
      <w:pPr>
        <w:pStyle w:val="2"/>
        <w:tabs>
          <w:tab w:val="left" w:pos="6300"/>
        </w:tabs>
        <w:spacing w:before="120" w:beforeLines="50" w:after="120" w:afterLines="50" w:line="500" w:lineRule="exact"/>
        <w:jc w:val="center"/>
        <w:rPr>
          <w:rFonts w:ascii="宋体" w:hAnsi="宋体" w:eastAsia="宋体"/>
          <w:sz w:val="36"/>
          <w:szCs w:val="36"/>
          <w:lang w:val="zh-CN"/>
        </w:rPr>
      </w:pPr>
      <w:r>
        <w:rPr>
          <w:rFonts w:hint="eastAsia" w:ascii="宋体" w:hAnsi="宋体" w:eastAsia="宋体"/>
          <w:sz w:val="36"/>
          <w:szCs w:val="36"/>
          <w:lang w:val="zh-CN"/>
        </w:rPr>
        <w:t>二、估价假设和限制条件</w:t>
      </w:r>
      <w:bookmarkEnd w:id="2"/>
      <w:bookmarkEnd w:id="3"/>
    </w:p>
    <w:p>
      <w:pPr>
        <w:spacing w:line="240" w:lineRule="auto"/>
        <w:ind w:firstLine="420" w:firstLineChars="150"/>
        <w:rPr>
          <w:rFonts w:hint="eastAsia" w:ascii="仿宋" w:hAnsi="仿宋" w:eastAsia="仿宋" w:cs="仿宋"/>
          <w:sz w:val="28"/>
          <w:szCs w:val="28"/>
        </w:rPr>
      </w:pPr>
      <w:r>
        <w:rPr>
          <w:rFonts w:hint="eastAsia" w:ascii="仿宋" w:hAnsi="仿宋" w:eastAsia="仿宋" w:cs="仿宋"/>
          <w:sz w:val="28"/>
          <w:szCs w:val="28"/>
        </w:rPr>
        <w:t>（一）一般假设</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1、估价对象产权清晰，手续齐全，估价对象可持续使用，可在公开市场自由转让。</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2、领勘人指认的物业位置与产权证所载物业位置一致，界址清晰。</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3、本估价报告的价值时点为《</w:t>
      </w:r>
      <w:r>
        <w:rPr>
          <w:rFonts w:hint="eastAsia" w:ascii="仿宋" w:hAnsi="仿宋" w:eastAsia="仿宋" w:cs="仿宋"/>
          <w:sz w:val="28"/>
          <w:szCs w:val="28"/>
          <w:lang w:eastAsia="zh-CN"/>
        </w:rPr>
        <w:t>浮梁县人民法院价格评估委托书</w:t>
      </w:r>
      <w:r>
        <w:rPr>
          <w:rFonts w:hint="eastAsia" w:ascii="仿宋" w:hAnsi="仿宋" w:eastAsia="仿宋" w:cs="仿宋"/>
          <w:sz w:val="28"/>
          <w:szCs w:val="28"/>
        </w:rPr>
        <w:t>》（编号：</w:t>
      </w:r>
      <w:r>
        <w:rPr>
          <w:rFonts w:hint="eastAsia" w:ascii="仿宋" w:hAnsi="仿宋" w:eastAsia="仿宋" w:cs="仿宋"/>
          <w:sz w:val="28"/>
          <w:szCs w:val="28"/>
          <w:lang w:eastAsia="zh-CN"/>
        </w:rPr>
        <w:t>（2019）赣0222执153号</w:t>
      </w:r>
      <w:r>
        <w:rPr>
          <w:rFonts w:hint="eastAsia" w:ascii="仿宋" w:hAnsi="仿宋" w:eastAsia="仿宋" w:cs="仿宋"/>
          <w:sz w:val="28"/>
          <w:szCs w:val="28"/>
        </w:rPr>
        <w:t>）中的委托日期，即</w:t>
      </w:r>
      <w:r>
        <w:rPr>
          <w:rFonts w:hint="eastAsia" w:ascii="仿宋" w:hAnsi="仿宋" w:eastAsia="仿宋" w:cs="仿宋"/>
          <w:sz w:val="28"/>
          <w:szCs w:val="28"/>
          <w:lang w:eastAsia="zh-CN"/>
        </w:rPr>
        <w:t>201</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年09月26日</w:t>
      </w:r>
      <w:r>
        <w:rPr>
          <w:rFonts w:hint="eastAsia" w:ascii="仿宋" w:hAnsi="仿宋" w:eastAsia="仿宋" w:cs="仿宋"/>
          <w:sz w:val="28"/>
          <w:szCs w:val="28"/>
        </w:rPr>
        <w:t>。本次估价以估价对象于价值时点的权益状况和实物状况为估价前提。</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4、本估价报告提供的市场价值，是估价对象于价值时点的公开市场价格。所谓公开市场价格是指估价对象于价值时点在市场上公开出售并按以下条件进行交易最可能实现的价格：</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eq \o\ac(○,</w:instrText>
      </w:r>
      <w:r>
        <w:rPr>
          <w:rFonts w:hint="eastAsia" w:ascii="仿宋" w:hAnsi="仿宋" w:eastAsia="仿宋" w:cs="仿宋"/>
          <w:position w:val="3"/>
          <w:sz w:val="19"/>
          <w:szCs w:val="28"/>
        </w:rPr>
        <w:instrText xml:space="preserve">1</w:instrText>
      </w:r>
      <w:r>
        <w:rPr>
          <w:rFonts w:hint="eastAsia" w:ascii="仿宋" w:hAnsi="仿宋" w:eastAsia="仿宋" w:cs="仿宋"/>
          <w:sz w:val="28"/>
          <w:szCs w:val="28"/>
        </w:rPr>
        <w:instrText xml:space="preserve">)</w:instrText>
      </w:r>
      <w:r>
        <w:rPr>
          <w:rFonts w:hint="eastAsia" w:ascii="仿宋" w:hAnsi="仿宋" w:eastAsia="仿宋" w:cs="仿宋"/>
          <w:sz w:val="28"/>
          <w:szCs w:val="28"/>
        </w:rPr>
        <w:fldChar w:fldCharType="end"/>
      </w:r>
      <w:r>
        <w:rPr>
          <w:rFonts w:hint="eastAsia" w:ascii="仿宋" w:hAnsi="仿宋" w:eastAsia="仿宋" w:cs="仿宋"/>
          <w:sz w:val="28"/>
          <w:szCs w:val="28"/>
        </w:rPr>
        <w:t>交易双方是自愿地进行交易的；</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eq \o\ac(○,</w:instrText>
      </w:r>
      <w:r>
        <w:rPr>
          <w:rFonts w:hint="eastAsia" w:ascii="仿宋" w:hAnsi="仿宋" w:eastAsia="仿宋" w:cs="仿宋"/>
          <w:position w:val="3"/>
          <w:sz w:val="19"/>
          <w:szCs w:val="28"/>
        </w:rPr>
        <w:instrText xml:space="preserve">2</w:instrText>
      </w:r>
      <w:r>
        <w:rPr>
          <w:rFonts w:hint="eastAsia" w:ascii="仿宋" w:hAnsi="仿宋" w:eastAsia="仿宋" w:cs="仿宋"/>
          <w:sz w:val="28"/>
          <w:szCs w:val="28"/>
        </w:rPr>
        <w:instrText xml:space="preserve">)</w:instrText>
      </w:r>
      <w:r>
        <w:rPr>
          <w:rFonts w:hint="eastAsia" w:ascii="仿宋" w:hAnsi="仿宋" w:eastAsia="仿宋" w:cs="仿宋"/>
          <w:sz w:val="28"/>
          <w:szCs w:val="28"/>
        </w:rPr>
        <w:fldChar w:fldCharType="end"/>
      </w:r>
      <w:r>
        <w:rPr>
          <w:rFonts w:hint="eastAsia" w:ascii="仿宋" w:hAnsi="仿宋" w:eastAsia="仿宋" w:cs="仿宋"/>
          <w:sz w:val="28"/>
          <w:szCs w:val="28"/>
        </w:rPr>
        <w:t>交易双方是出于利己动机进行交易的；</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eq \o\ac(○,</w:instrText>
      </w:r>
      <w:r>
        <w:rPr>
          <w:rFonts w:hint="eastAsia" w:ascii="仿宋" w:hAnsi="仿宋" w:eastAsia="仿宋" w:cs="仿宋"/>
          <w:position w:val="3"/>
          <w:sz w:val="19"/>
          <w:szCs w:val="28"/>
        </w:rPr>
        <w:instrText xml:space="preserve">3</w:instrText>
      </w:r>
      <w:r>
        <w:rPr>
          <w:rFonts w:hint="eastAsia" w:ascii="仿宋" w:hAnsi="仿宋" w:eastAsia="仿宋" w:cs="仿宋"/>
          <w:sz w:val="28"/>
          <w:szCs w:val="28"/>
        </w:rPr>
        <w:instrText xml:space="preserve">)</w:instrText>
      </w:r>
      <w:r>
        <w:rPr>
          <w:rFonts w:hint="eastAsia" w:ascii="仿宋" w:hAnsi="仿宋" w:eastAsia="仿宋" w:cs="仿宋"/>
          <w:sz w:val="28"/>
          <w:szCs w:val="28"/>
        </w:rPr>
        <w:fldChar w:fldCharType="end"/>
      </w:r>
      <w:r>
        <w:rPr>
          <w:rFonts w:hint="eastAsia" w:ascii="仿宋" w:hAnsi="仿宋" w:eastAsia="仿宋" w:cs="仿宋"/>
          <w:sz w:val="28"/>
          <w:szCs w:val="28"/>
        </w:rPr>
        <w:t>交易双方是理性而谨慎的，并且了解交易对象、知晓市场行情；</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eq \o\ac(○,</w:instrText>
      </w:r>
      <w:r>
        <w:rPr>
          <w:rFonts w:hint="eastAsia" w:ascii="仿宋" w:hAnsi="仿宋" w:eastAsia="仿宋" w:cs="仿宋"/>
          <w:position w:val="3"/>
          <w:sz w:val="19"/>
          <w:szCs w:val="28"/>
        </w:rPr>
        <w:instrText xml:space="preserve">4</w:instrText>
      </w:r>
      <w:r>
        <w:rPr>
          <w:rFonts w:hint="eastAsia" w:ascii="仿宋" w:hAnsi="仿宋" w:eastAsia="仿宋" w:cs="仿宋"/>
          <w:sz w:val="28"/>
          <w:szCs w:val="28"/>
        </w:rPr>
        <w:instrText xml:space="preserve">)</w:instrText>
      </w:r>
      <w:r>
        <w:rPr>
          <w:rFonts w:hint="eastAsia" w:ascii="仿宋" w:hAnsi="仿宋" w:eastAsia="仿宋" w:cs="仿宋"/>
          <w:sz w:val="28"/>
          <w:szCs w:val="28"/>
        </w:rPr>
        <w:fldChar w:fldCharType="end"/>
      </w:r>
      <w:r>
        <w:rPr>
          <w:rFonts w:hint="eastAsia" w:ascii="仿宋" w:hAnsi="仿宋" w:eastAsia="仿宋" w:cs="仿宋"/>
          <w:sz w:val="28"/>
          <w:szCs w:val="28"/>
        </w:rPr>
        <w:t>交易双方有较充裕的时间进行交易；</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eq \o\ac(○,</w:instrText>
      </w:r>
      <w:r>
        <w:rPr>
          <w:rFonts w:hint="eastAsia" w:ascii="仿宋" w:hAnsi="仿宋" w:eastAsia="仿宋" w:cs="仿宋"/>
          <w:position w:val="3"/>
          <w:sz w:val="19"/>
          <w:szCs w:val="28"/>
        </w:rPr>
        <w:instrText xml:space="preserve">5</w:instrText>
      </w:r>
      <w:r>
        <w:rPr>
          <w:rFonts w:hint="eastAsia" w:ascii="仿宋" w:hAnsi="仿宋" w:eastAsia="仿宋" w:cs="仿宋"/>
          <w:sz w:val="28"/>
          <w:szCs w:val="28"/>
        </w:rPr>
        <w:instrText xml:space="preserve">)</w:instrText>
      </w:r>
      <w:r>
        <w:rPr>
          <w:rFonts w:hint="eastAsia" w:ascii="仿宋" w:hAnsi="仿宋" w:eastAsia="仿宋" w:cs="仿宋"/>
          <w:sz w:val="28"/>
          <w:szCs w:val="28"/>
        </w:rPr>
        <w:fldChar w:fldCharType="end"/>
      </w:r>
      <w:r>
        <w:rPr>
          <w:rFonts w:hint="eastAsia" w:ascii="仿宋" w:hAnsi="仿宋" w:eastAsia="仿宋" w:cs="仿宋"/>
          <w:sz w:val="28"/>
          <w:szCs w:val="28"/>
        </w:rPr>
        <w:t>不存在买者因特殊兴趣而给予附加出价。</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5、估价委托人提供了估价对象的《</w:t>
      </w:r>
      <w:r>
        <w:rPr>
          <w:rFonts w:hint="eastAsia" w:ascii="仿宋" w:hAnsi="仿宋" w:eastAsia="仿宋" w:cs="仿宋"/>
          <w:sz w:val="28"/>
          <w:szCs w:val="28"/>
          <w:lang w:eastAsia="zh-CN"/>
        </w:rPr>
        <w:t>价格评估委托书</w:t>
      </w:r>
      <w:r>
        <w:rPr>
          <w:rFonts w:hint="eastAsia" w:ascii="仿宋" w:hAnsi="仿宋" w:eastAsia="仿宋" w:cs="仿宋"/>
          <w:sz w:val="28"/>
          <w:szCs w:val="28"/>
        </w:rPr>
        <w:t>》、《</w:t>
      </w:r>
      <w:r>
        <w:rPr>
          <w:rFonts w:hint="eastAsia" w:ascii="仿宋" w:hAnsi="仿宋" w:eastAsia="仿宋" w:cs="仿宋"/>
          <w:sz w:val="28"/>
          <w:szCs w:val="28"/>
          <w:lang w:eastAsia="zh-CN"/>
        </w:rPr>
        <w:t>房屋所有权证</w:t>
      </w:r>
      <w:r>
        <w:rPr>
          <w:rFonts w:hint="eastAsia" w:ascii="仿宋" w:hAnsi="仿宋" w:eastAsia="仿宋" w:cs="仿宋"/>
          <w:sz w:val="28"/>
          <w:szCs w:val="28"/>
        </w:rPr>
        <w:t>》、《</w:t>
      </w:r>
      <w:r>
        <w:rPr>
          <w:rFonts w:hint="eastAsia" w:ascii="仿宋" w:hAnsi="仿宋" w:eastAsia="仿宋" w:cs="仿宋"/>
          <w:sz w:val="28"/>
          <w:szCs w:val="28"/>
          <w:lang w:eastAsia="zh-CN"/>
        </w:rPr>
        <w:t>委托评估财产清单</w:t>
      </w:r>
      <w:r>
        <w:rPr>
          <w:rFonts w:hint="eastAsia" w:ascii="仿宋" w:hAnsi="仿宋" w:eastAsia="仿宋" w:cs="仿宋"/>
          <w:sz w:val="28"/>
          <w:szCs w:val="28"/>
        </w:rPr>
        <w:t>》</w:t>
      </w:r>
      <w:r>
        <w:rPr>
          <w:rFonts w:hint="eastAsia" w:ascii="仿宋" w:hAnsi="仿宋" w:eastAsia="仿宋" w:cs="仿宋"/>
          <w:sz w:val="28"/>
          <w:szCs w:val="28"/>
          <w:lang w:eastAsia="zh-CN"/>
        </w:rPr>
        <w:t>资料</w:t>
      </w:r>
      <w:r>
        <w:rPr>
          <w:rFonts w:hint="eastAsia" w:ascii="仿宋" w:hAnsi="仿宋" w:eastAsia="仿宋" w:cs="仿宋"/>
          <w:sz w:val="28"/>
          <w:szCs w:val="28"/>
        </w:rPr>
        <w:t>，我们对《</w:t>
      </w:r>
      <w:r>
        <w:rPr>
          <w:rFonts w:hint="eastAsia" w:ascii="仿宋" w:hAnsi="仿宋" w:eastAsia="仿宋" w:cs="仿宋"/>
          <w:sz w:val="28"/>
          <w:szCs w:val="28"/>
          <w:lang w:eastAsia="zh-CN"/>
        </w:rPr>
        <w:t>价格评估委托书</w:t>
      </w:r>
      <w:r>
        <w:rPr>
          <w:rFonts w:hint="eastAsia" w:ascii="仿宋" w:hAnsi="仿宋" w:eastAsia="仿宋" w:cs="仿宋"/>
          <w:sz w:val="28"/>
          <w:szCs w:val="28"/>
        </w:rPr>
        <w:t>》、《</w:t>
      </w:r>
      <w:r>
        <w:rPr>
          <w:rFonts w:hint="eastAsia" w:ascii="仿宋" w:hAnsi="仿宋" w:eastAsia="仿宋" w:cs="仿宋"/>
          <w:sz w:val="28"/>
          <w:szCs w:val="28"/>
          <w:lang w:eastAsia="zh-CN"/>
        </w:rPr>
        <w:t>房屋所有权证</w:t>
      </w:r>
      <w:r>
        <w:rPr>
          <w:rFonts w:hint="eastAsia" w:ascii="仿宋" w:hAnsi="仿宋" w:eastAsia="仿宋" w:cs="仿宋"/>
          <w:sz w:val="28"/>
          <w:szCs w:val="28"/>
        </w:rPr>
        <w:t>》、《</w:t>
      </w:r>
      <w:r>
        <w:rPr>
          <w:rFonts w:hint="eastAsia" w:ascii="仿宋" w:hAnsi="仿宋" w:eastAsia="仿宋" w:cs="仿宋"/>
          <w:sz w:val="28"/>
          <w:szCs w:val="28"/>
          <w:lang w:eastAsia="zh-CN"/>
        </w:rPr>
        <w:t>委托评估财产清单</w:t>
      </w:r>
      <w:r>
        <w:rPr>
          <w:rFonts w:hint="eastAsia" w:ascii="仿宋" w:hAnsi="仿宋" w:eastAsia="仿宋" w:cs="仿宋"/>
          <w:sz w:val="28"/>
          <w:szCs w:val="28"/>
        </w:rPr>
        <w:t>》上登记的权属、面积、用途等资料进行了审慎检查，但未予以核实，在无理由怀疑其合法性、真实性、准确性和完整性的情况下，假定估价委托人提供的资料合法、真实、准确、完整。</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6、评估专业人员已对房屋安全、环境污染等影响估价对象价值的重大因素给予了关注，在无理由怀疑估价对象存在隐患且无相应的专业机构进行鉴定、检测的情况下，假定估价对象能正常安全使用。</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7、评估专业人员查勘了估价对象视力可及的部分，在可能的情况下亦查勘了估价对象的内部装修，但并未进行结构测试，未能确定估价对象有无结构性损坏，本次评估假设其无基础、结构等方面的重大质量问题。</w:t>
      </w:r>
    </w:p>
    <w:p>
      <w:pPr>
        <w:spacing w:line="240" w:lineRule="auto"/>
        <w:ind w:firstLine="420" w:firstLineChars="150"/>
        <w:rPr>
          <w:rFonts w:hint="eastAsia" w:ascii="仿宋" w:hAnsi="仿宋" w:eastAsia="仿宋" w:cs="仿宋"/>
          <w:sz w:val="28"/>
          <w:szCs w:val="28"/>
        </w:rPr>
      </w:pPr>
      <w:r>
        <w:rPr>
          <w:rFonts w:hint="eastAsia" w:ascii="仿宋" w:hAnsi="仿宋" w:eastAsia="仿宋" w:cs="仿宋"/>
          <w:sz w:val="28"/>
          <w:szCs w:val="28"/>
        </w:rPr>
        <w:t>（二）未定事项假设</w:t>
      </w:r>
    </w:p>
    <w:p>
      <w:pPr>
        <w:adjustRightInd w:val="0"/>
        <w:snapToGrid w:val="0"/>
        <w:spacing w:line="360" w:lineRule="auto"/>
        <w:ind w:firstLine="620"/>
        <w:jc w:val="left"/>
        <w:rPr>
          <w:rFonts w:hint="eastAsia" w:ascii="仿宋" w:hAnsi="仿宋" w:eastAsia="仿宋" w:cs="仿宋"/>
          <w:color w:val="000000"/>
          <w:sz w:val="28"/>
          <w:szCs w:val="28"/>
        </w:rPr>
      </w:pPr>
      <w:r>
        <w:rPr>
          <w:rFonts w:hint="eastAsia" w:ascii="仿宋_GB2312" w:hAnsi="Bookman Old Style" w:eastAsia="仿宋_GB2312"/>
          <w:snapToGrid w:val="0"/>
          <w:color w:val="000000"/>
          <w:kern w:val="0"/>
          <w:sz w:val="28"/>
          <w:szCs w:val="28"/>
        </w:rPr>
        <w:t>由于</w:t>
      </w:r>
      <w:r>
        <w:rPr>
          <w:rFonts w:hint="eastAsia" w:eastAsia="仿宋_GB2312"/>
          <w:snapToGrid w:val="0"/>
          <w:color w:val="000000"/>
          <w:kern w:val="0"/>
          <w:sz w:val="28"/>
          <w:szCs w:val="28"/>
        </w:rPr>
        <w:t>委托方未能提供估价对象</w:t>
      </w:r>
      <w:r>
        <w:rPr>
          <w:rFonts w:hint="eastAsia" w:ascii="仿宋_GB2312" w:eastAsia="仿宋_GB2312"/>
          <w:snapToGrid w:val="0"/>
          <w:color w:val="000000"/>
          <w:kern w:val="0"/>
          <w:sz w:val="28"/>
          <w:szCs w:val="28"/>
        </w:rPr>
        <w:t>的</w:t>
      </w:r>
      <w:r>
        <w:rPr>
          <w:rFonts w:hint="eastAsia" w:eastAsia="仿宋_GB2312"/>
          <w:snapToGrid w:val="0"/>
          <w:color w:val="000000"/>
          <w:kern w:val="0"/>
          <w:sz w:val="28"/>
          <w:szCs w:val="28"/>
        </w:rPr>
        <w:t>《国有土地使用证》</w:t>
      </w:r>
      <w:r>
        <w:rPr>
          <w:rFonts w:hint="eastAsia" w:ascii="仿宋_GB2312" w:hAnsi="Bookman Old Style" w:eastAsia="仿宋_GB2312"/>
          <w:snapToGrid w:val="0"/>
          <w:color w:val="000000"/>
          <w:kern w:val="0"/>
          <w:sz w:val="28"/>
          <w:szCs w:val="28"/>
        </w:rPr>
        <w:t>，</w:t>
      </w:r>
      <w:r>
        <w:rPr>
          <w:rFonts w:hint="eastAsia" w:ascii="仿宋_GB2312" w:hAnsi="宋体" w:eastAsia="仿宋_GB2312"/>
          <w:snapToGrid w:val="0"/>
          <w:color w:val="000000"/>
          <w:kern w:val="0"/>
          <w:sz w:val="28"/>
          <w:szCs w:val="28"/>
        </w:rPr>
        <w:t>由于此次估价对象</w:t>
      </w:r>
      <w:r>
        <w:rPr>
          <w:rFonts w:hint="eastAsia" w:ascii="仿宋_GB2312" w:hAnsi="宋体" w:eastAsia="仿宋_GB2312"/>
          <w:snapToGrid w:val="0"/>
          <w:color w:val="000000"/>
          <w:kern w:val="0"/>
          <w:sz w:val="28"/>
          <w:szCs w:val="28"/>
          <w:lang w:eastAsia="zh-CN"/>
        </w:rPr>
        <w:t>规划用途</w:t>
      </w:r>
      <w:r>
        <w:rPr>
          <w:rFonts w:hint="eastAsia" w:ascii="仿宋_GB2312" w:hAnsi="宋体" w:eastAsia="仿宋_GB2312"/>
          <w:snapToGrid w:val="0"/>
          <w:color w:val="000000"/>
          <w:kern w:val="0"/>
          <w:sz w:val="28"/>
          <w:szCs w:val="28"/>
        </w:rPr>
        <w:t>为</w:t>
      </w:r>
      <w:r>
        <w:rPr>
          <w:rFonts w:hint="eastAsia" w:ascii="仿宋_GB2312" w:hAnsi="宋体" w:eastAsia="仿宋_GB2312"/>
          <w:snapToGrid w:val="0"/>
          <w:color w:val="000000"/>
          <w:kern w:val="0"/>
          <w:sz w:val="28"/>
          <w:szCs w:val="28"/>
          <w:lang w:eastAsia="zh-CN"/>
        </w:rPr>
        <w:t>住宅，现状实际用途为餐饮酒店</w:t>
      </w:r>
      <w:r>
        <w:rPr>
          <w:rFonts w:hint="eastAsia" w:ascii="仿宋_GB2312" w:hAnsi="宋体" w:eastAsia="仿宋_GB2312"/>
          <w:snapToGrid w:val="0"/>
          <w:color w:val="000000"/>
          <w:kern w:val="0"/>
          <w:sz w:val="28"/>
          <w:szCs w:val="28"/>
        </w:rPr>
        <w:t>，</w:t>
      </w:r>
      <w:r>
        <w:rPr>
          <w:rFonts w:hint="eastAsia" w:ascii="仿宋_GB2312" w:hAnsi="宋体" w:eastAsia="仿宋_GB2312"/>
          <w:snapToGrid w:val="0"/>
          <w:color w:val="000000"/>
          <w:kern w:val="0"/>
          <w:sz w:val="28"/>
          <w:szCs w:val="28"/>
          <w:lang w:eastAsia="zh-CN"/>
        </w:rPr>
        <w:t>此次评估过程</w:t>
      </w:r>
      <w:r>
        <w:rPr>
          <w:rFonts w:hint="eastAsia" w:ascii="仿宋_GB2312" w:hAnsi="宋体" w:eastAsia="仿宋_GB2312"/>
          <w:snapToGrid w:val="0"/>
          <w:color w:val="000000"/>
          <w:kern w:val="0"/>
          <w:sz w:val="28"/>
          <w:szCs w:val="28"/>
        </w:rPr>
        <w:t>设定土地用途为</w:t>
      </w:r>
      <w:r>
        <w:rPr>
          <w:rFonts w:hint="eastAsia" w:ascii="仿宋_GB2312" w:hAnsi="宋体" w:eastAsia="仿宋_GB2312"/>
          <w:snapToGrid w:val="0"/>
          <w:color w:val="000000"/>
          <w:kern w:val="0"/>
          <w:sz w:val="28"/>
          <w:szCs w:val="28"/>
          <w:lang w:eastAsia="zh-CN"/>
        </w:rPr>
        <w:t>住宅</w:t>
      </w:r>
      <w:r>
        <w:rPr>
          <w:rFonts w:hint="eastAsia" w:ascii="仿宋_GB2312" w:hAnsi="宋体" w:eastAsia="仿宋_GB2312"/>
          <w:snapToGrid w:val="0"/>
          <w:color w:val="000000"/>
          <w:kern w:val="0"/>
          <w:sz w:val="28"/>
          <w:szCs w:val="28"/>
        </w:rPr>
        <w:t>用地，土地使用年期按</w:t>
      </w:r>
      <w:r>
        <w:rPr>
          <w:rFonts w:hint="eastAsia" w:ascii="仿宋_GB2312" w:hAnsi="宋体" w:eastAsia="仿宋_GB2312"/>
          <w:snapToGrid w:val="0"/>
          <w:color w:val="000000"/>
          <w:kern w:val="0"/>
          <w:sz w:val="28"/>
          <w:szCs w:val="28"/>
          <w:lang w:eastAsia="zh-CN"/>
        </w:rPr>
        <w:t>住宅</w:t>
      </w:r>
      <w:r>
        <w:rPr>
          <w:rFonts w:hint="eastAsia" w:ascii="仿宋_GB2312" w:hAnsi="宋体" w:eastAsia="仿宋_GB2312"/>
          <w:snapToGrid w:val="0"/>
          <w:color w:val="000000"/>
          <w:kern w:val="0"/>
          <w:sz w:val="28"/>
          <w:szCs w:val="28"/>
        </w:rPr>
        <w:t>用地法定最高出让年限设定为</w:t>
      </w:r>
      <w:r>
        <w:rPr>
          <w:rFonts w:hint="eastAsia" w:ascii="仿宋_GB2312" w:hAnsi="宋体" w:eastAsia="仿宋_GB2312"/>
          <w:snapToGrid w:val="0"/>
          <w:color w:val="000000"/>
          <w:kern w:val="0"/>
          <w:sz w:val="28"/>
          <w:szCs w:val="28"/>
          <w:lang w:val="en-US" w:eastAsia="zh-CN"/>
        </w:rPr>
        <w:t>70</w:t>
      </w:r>
      <w:r>
        <w:rPr>
          <w:rFonts w:hint="eastAsia" w:ascii="仿宋_GB2312" w:hAnsi="宋体" w:eastAsia="仿宋_GB2312"/>
          <w:snapToGrid w:val="0"/>
          <w:color w:val="000000"/>
          <w:kern w:val="0"/>
          <w:sz w:val="28"/>
          <w:szCs w:val="28"/>
        </w:rPr>
        <w:t>年。</w:t>
      </w:r>
    </w:p>
    <w:p>
      <w:pPr>
        <w:spacing w:line="240" w:lineRule="auto"/>
        <w:ind w:firstLine="420" w:firstLineChars="150"/>
        <w:rPr>
          <w:rFonts w:hint="eastAsia" w:ascii="仿宋" w:hAnsi="仿宋" w:eastAsia="仿宋" w:cs="仿宋"/>
          <w:sz w:val="28"/>
          <w:szCs w:val="28"/>
        </w:rPr>
      </w:pPr>
      <w:r>
        <w:rPr>
          <w:rFonts w:hint="eastAsia" w:ascii="仿宋" w:hAnsi="仿宋" w:eastAsia="仿宋" w:cs="仿宋"/>
          <w:sz w:val="28"/>
          <w:szCs w:val="28"/>
        </w:rPr>
        <w:t>（三）背离事实假设</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估价结果是为确定房地产司法拍卖底价提供参考依据，估价时没有考虑国家宏观经济政策发生变化、市场供应发生变化、市场结构转变、遇有自然力和其他不可抗力等因素对房地产价值的影响，也没有考虑估价对象将来可能承担违约责任的事宜，以及特殊交易方式下的特殊交易价格等对拟评估价值的影响。当上述条件发生变化时，评估结果一般亦会发生变化。</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2、估价结果未考虑估价对象及其所有权人已承担的债务、或有债务及经营决策失误或市场运作失当对其价值的影响。</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napToGrid w:val="0"/>
          <w:kern w:val="0"/>
          <w:sz w:val="28"/>
          <w:szCs w:val="28"/>
        </w:rPr>
        <w:t>估价对象于价值时点均已办理抵押登记，本次评估未考虑估价对象抵押、租赁、查封等对评估价格的影响。</w:t>
      </w:r>
    </w:p>
    <w:p>
      <w:pPr>
        <w:spacing w:line="360" w:lineRule="auto"/>
        <w:ind w:firstLine="280" w:firstLineChars="100"/>
        <w:rPr>
          <w:rFonts w:hint="eastAsia" w:ascii="仿宋" w:hAnsi="仿宋" w:eastAsia="仿宋" w:cs="仿宋"/>
          <w:b w:val="0"/>
          <w:bCs w:val="0"/>
          <w:sz w:val="28"/>
          <w:szCs w:val="28"/>
        </w:rPr>
      </w:pPr>
      <w:r>
        <w:rPr>
          <w:rFonts w:hint="eastAsia" w:ascii="仿宋" w:hAnsi="仿宋" w:eastAsia="仿宋" w:cs="仿宋"/>
          <w:b w:val="0"/>
          <w:bCs w:val="0"/>
          <w:sz w:val="28"/>
          <w:szCs w:val="28"/>
        </w:rPr>
        <w:t>（四）不相一致假设</w:t>
      </w:r>
    </w:p>
    <w:p>
      <w:pPr>
        <w:adjustRightInd w:val="0"/>
        <w:snapToGrid w:val="0"/>
        <w:spacing w:line="360" w:lineRule="auto"/>
        <w:ind w:firstLine="620"/>
        <w:jc w:val="left"/>
        <w:rPr>
          <w:rFonts w:hint="eastAsia" w:ascii="仿宋" w:hAnsi="仿宋" w:eastAsia="仿宋" w:cs="仿宋"/>
          <w:b w:val="0"/>
          <w:bCs w:val="0"/>
          <w:snapToGrid w:val="0"/>
          <w:kern w:val="0"/>
          <w:sz w:val="28"/>
          <w:szCs w:val="28"/>
        </w:rPr>
      </w:pPr>
      <w:r>
        <w:rPr>
          <w:rFonts w:hint="eastAsia" w:ascii="仿宋" w:hAnsi="仿宋" w:eastAsia="仿宋" w:cs="仿宋"/>
          <w:b w:val="0"/>
          <w:bCs w:val="0"/>
          <w:snapToGrid w:val="0"/>
          <w:kern w:val="0"/>
          <w:sz w:val="28"/>
          <w:szCs w:val="28"/>
        </w:rPr>
        <w:t>本次估价对象无不相一致事项，无不相一致假设。</w:t>
      </w:r>
    </w:p>
    <w:p>
      <w:pPr>
        <w:adjustRightInd w:val="0"/>
        <w:snapToGrid w:val="0"/>
        <w:spacing w:line="360" w:lineRule="auto"/>
        <w:ind w:firstLine="620"/>
        <w:jc w:val="left"/>
        <w:rPr>
          <w:rFonts w:hint="eastAsia" w:ascii="仿宋" w:hAnsi="仿宋" w:eastAsia="仿宋" w:cs="仿宋"/>
          <w:b w:val="0"/>
          <w:bCs w:val="0"/>
          <w:snapToGrid w:val="0"/>
          <w:kern w:val="0"/>
          <w:sz w:val="28"/>
          <w:szCs w:val="28"/>
        </w:rPr>
      </w:pPr>
      <w:r>
        <w:rPr>
          <w:rFonts w:hint="eastAsia" w:ascii="仿宋" w:hAnsi="仿宋" w:eastAsia="仿宋" w:cs="仿宋"/>
          <w:b w:val="0"/>
          <w:bCs w:val="0"/>
          <w:snapToGrid w:val="0"/>
          <w:kern w:val="0"/>
          <w:sz w:val="28"/>
          <w:szCs w:val="28"/>
        </w:rPr>
        <w:t>五、依据不足假设</w:t>
      </w:r>
    </w:p>
    <w:p>
      <w:pPr>
        <w:adjustRightInd w:val="0"/>
        <w:snapToGrid w:val="0"/>
        <w:spacing w:line="360" w:lineRule="auto"/>
        <w:ind w:firstLine="620"/>
        <w:jc w:val="left"/>
        <w:rPr>
          <w:rFonts w:hint="eastAsia" w:ascii="仿宋" w:hAnsi="仿宋" w:eastAsia="仿宋" w:cs="仿宋"/>
          <w:snapToGrid w:val="0"/>
          <w:kern w:val="0"/>
          <w:sz w:val="28"/>
          <w:szCs w:val="28"/>
        </w:rPr>
      </w:pPr>
      <w:r>
        <w:rPr>
          <w:rFonts w:hint="eastAsia" w:ascii="仿宋" w:hAnsi="仿宋" w:eastAsia="仿宋" w:cs="仿宋"/>
          <w:b w:val="0"/>
          <w:bCs w:val="0"/>
          <w:snapToGrid w:val="0"/>
          <w:kern w:val="0"/>
          <w:sz w:val="28"/>
          <w:szCs w:val="28"/>
        </w:rPr>
        <w:t>本次估价对象无依据不足事项，无依据不足假设</w:t>
      </w:r>
      <w:r>
        <w:rPr>
          <w:rFonts w:hint="eastAsia" w:ascii="仿宋" w:hAnsi="仿宋" w:eastAsia="仿宋" w:cs="仿宋"/>
          <w:snapToGrid w:val="0"/>
          <w:kern w:val="0"/>
          <w:sz w:val="28"/>
          <w:szCs w:val="28"/>
        </w:rPr>
        <w:t>。</w:t>
      </w:r>
    </w:p>
    <w:p>
      <w:pPr>
        <w:spacing w:line="360" w:lineRule="auto"/>
        <w:ind w:firstLine="420" w:firstLineChars="150"/>
        <w:rPr>
          <w:rFonts w:hint="eastAsia" w:ascii="仿宋" w:hAnsi="仿宋" w:eastAsia="仿宋" w:cs="仿宋"/>
          <w:sz w:val="28"/>
          <w:szCs w:val="28"/>
        </w:rPr>
      </w:pPr>
      <w:r>
        <w:rPr>
          <w:rFonts w:hint="eastAsia" w:ascii="仿宋" w:hAnsi="仿宋" w:eastAsia="仿宋" w:cs="仿宋"/>
          <w:sz w:val="28"/>
          <w:szCs w:val="28"/>
        </w:rPr>
        <w:t>（六）估价报告使用限制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1、本估价报告仅为估价委托人确定估价对象司法拍卖底价提供参考依据，作其他用途不具任何法律效力。</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2、本估价报告自出具之日起一年内有效；超过一年，需重新进行评估。</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本估价报告专为估价委托人所使用，未经本公司同意，不得向估价委托人、估价利害关系人和估价报告审查部门之外的单位和个人提供。本估价报告的全部或部分及任何参考资料均不允许在任何公开发表的文件、通告或声明中引用，亦不得以其他任何方式公开发表。</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4、本估价报告经本公司加盖公章、注册房地产估价师签字后才能有效，本公司仅对本估价报告的原件承担责任，对任何形式的复制件及未加盖公章、注册房地产估价师未签字的报告不承担责任。</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5、本估价报告由</w:t>
      </w:r>
      <w:r>
        <w:rPr>
          <w:rFonts w:hint="eastAsia" w:ascii="仿宋" w:hAnsi="仿宋" w:eastAsia="仿宋" w:cs="仿宋"/>
          <w:sz w:val="28"/>
          <w:szCs w:val="28"/>
          <w:lang w:eastAsia="zh-CN"/>
        </w:rPr>
        <w:t>本公司</w:t>
      </w:r>
      <w:r>
        <w:rPr>
          <w:rFonts w:hint="eastAsia" w:ascii="仿宋" w:hAnsi="仿宋" w:eastAsia="仿宋" w:cs="仿宋"/>
          <w:sz w:val="28"/>
          <w:szCs w:val="28"/>
        </w:rPr>
        <w:t>负责解释。</w:t>
      </w:r>
    </w:p>
    <w:p>
      <w:pPr>
        <w:spacing w:line="24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w:t>
      </w:r>
      <w:r>
        <w:rPr>
          <w:rFonts w:hint="eastAsia" w:ascii="仿宋" w:hAnsi="仿宋" w:eastAsia="仿宋" w:cs="仿宋"/>
          <w:color w:val="auto"/>
          <w:sz w:val="28"/>
          <w:szCs w:val="28"/>
          <w:highlight w:val="none"/>
        </w:rPr>
        <w:t>本报告中数据全部采用计算机连续运算得出，由于在技术报告中的计算方式数据均按四舍五入保留两位小数或取整，因此可能出现个别等式左右两边不完全相等的情况。此为正常情况，不影响计算结果及最终评估结论的准确性</w:t>
      </w:r>
      <w:r>
        <w:rPr>
          <w:rFonts w:hint="eastAsia" w:ascii="宋体" w:hAnsi="宋体"/>
          <w:color w:val="auto"/>
          <w:sz w:val="24"/>
          <w:highlight w:val="none"/>
        </w:rPr>
        <w:t>。</w:t>
      </w:r>
    </w:p>
    <w:p>
      <w:pPr>
        <w:pStyle w:val="2"/>
        <w:tabs>
          <w:tab w:val="left" w:pos="6300"/>
        </w:tabs>
        <w:spacing w:before="120" w:beforeLines="50" w:after="120" w:afterLines="50" w:line="240" w:lineRule="auto"/>
        <w:jc w:val="center"/>
        <w:rPr>
          <w:rFonts w:hint="eastAsia" w:ascii="仿宋" w:hAnsi="仿宋" w:eastAsia="仿宋" w:cs="仿宋"/>
          <w:sz w:val="36"/>
          <w:szCs w:val="36"/>
          <w:lang w:val="zh-CN"/>
        </w:rPr>
      </w:pPr>
      <w:bookmarkStart w:id="4" w:name="_Toc30097"/>
      <w:bookmarkStart w:id="5" w:name="_Toc487812242"/>
      <w:r>
        <w:rPr>
          <w:rFonts w:hint="eastAsia" w:ascii="仿宋" w:hAnsi="仿宋" w:eastAsia="仿宋" w:cs="仿宋"/>
          <w:sz w:val="36"/>
          <w:szCs w:val="36"/>
          <w:lang w:val="zh-CN"/>
        </w:rPr>
        <w:t>三、估价结果报告</w:t>
      </w:r>
      <w:bookmarkEnd w:id="4"/>
      <w:bookmarkEnd w:id="5"/>
    </w:p>
    <w:p>
      <w:pPr>
        <w:pStyle w:val="3"/>
        <w:spacing w:before="120" w:beforeLines="50" w:after="120" w:afterLines="50" w:line="240" w:lineRule="auto"/>
        <w:ind w:firstLine="281" w:firstLineChars="100"/>
        <w:rPr>
          <w:rFonts w:hint="eastAsia" w:ascii="仿宋" w:hAnsi="仿宋" w:eastAsia="仿宋" w:cs="仿宋"/>
          <w:sz w:val="28"/>
          <w:szCs w:val="28"/>
        </w:rPr>
      </w:pPr>
      <w:bookmarkStart w:id="6" w:name="_Toc487812243"/>
      <w:bookmarkStart w:id="7" w:name="_Toc15116"/>
      <w:r>
        <w:rPr>
          <w:rFonts w:hint="eastAsia" w:ascii="仿宋" w:hAnsi="仿宋" w:eastAsia="仿宋" w:cs="仿宋"/>
          <w:sz w:val="28"/>
          <w:szCs w:val="28"/>
        </w:rPr>
        <w:t>（一）估价委托人</w:t>
      </w:r>
      <w:bookmarkEnd w:id="6"/>
      <w:bookmarkEnd w:id="7"/>
    </w:p>
    <w:p>
      <w:pPr>
        <w:spacing w:line="24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浮梁县人民法院</w:t>
      </w:r>
    </w:p>
    <w:p>
      <w:pPr>
        <w:pStyle w:val="3"/>
        <w:spacing w:before="120" w:beforeLines="50" w:after="120" w:afterLines="50" w:line="240" w:lineRule="auto"/>
        <w:ind w:firstLine="281" w:firstLineChars="100"/>
        <w:rPr>
          <w:rFonts w:hint="eastAsia" w:ascii="仿宋" w:hAnsi="仿宋" w:eastAsia="仿宋" w:cs="仿宋"/>
          <w:sz w:val="28"/>
          <w:szCs w:val="28"/>
        </w:rPr>
      </w:pPr>
      <w:bookmarkStart w:id="8" w:name="_Toc487812245"/>
      <w:bookmarkStart w:id="9" w:name="_Toc18010"/>
      <w:r>
        <w:rPr>
          <w:rFonts w:hint="eastAsia" w:ascii="仿宋" w:hAnsi="仿宋" w:eastAsia="仿宋" w:cs="仿宋"/>
          <w:sz w:val="28"/>
          <w:szCs w:val="28"/>
        </w:rPr>
        <w:t>（</w:t>
      </w:r>
      <w:r>
        <w:rPr>
          <w:rFonts w:hint="eastAsia" w:ascii="仿宋" w:hAnsi="仿宋" w:eastAsia="仿宋" w:cs="仿宋"/>
          <w:sz w:val="28"/>
          <w:szCs w:val="28"/>
          <w:lang w:eastAsia="zh-CN"/>
        </w:rPr>
        <w:t>二</w:t>
      </w:r>
      <w:r>
        <w:rPr>
          <w:rFonts w:hint="eastAsia" w:ascii="仿宋" w:hAnsi="仿宋" w:eastAsia="仿宋" w:cs="仿宋"/>
          <w:sz w:val="28"/>
          <w:szCs w:val="28"/>
        </w:rPr>
        <w:t>）估价目的</w:t>
      </w:r>
      <w:bookmarkEnd w:id="8"/>
      <w:bookmarkEnd w:id="9"/>
      <w:r>
        <w:rPr>
          <w:rFonts w:hint="eastAsia" w:ascii="仿宋" w:hAnsi="仿宋" w:eastAsia="仿宋" w:cs="仿宋"/>
          <w:sz w:val="28"/>
          <w:szCs w:val="28"/>
        </w:rPr>
        <w:t xml:space="preserve"> </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为确定房地产司法拍卖底价提供参考而评估房地产市场价值。</w:t>
      </w:r>
    </w:p>
    <w:p>
      <w:pPr>
        <w:pStyle w:val="3"/>
        <w:spacing w:before="120" w:beforeLines="50" w:after="120" w:afterLines="50" w:line="240" w:lineRule="auto"/>
        <w:ind w:firstLine="281" w:firstLineChars="100"/>
        <w:rPr>
          <w:rFonts w:hint="eastAsia" w:ascii="仿宋" w:hAnsi="仿宋" w:eastAsia="仿宋" w:cs="仿宋"/>
          <w:sz w:val="28"/>
          <w:szCs w:val="28"/>
        </w:rPr>
      </w:pPr>
      <w:bookmarkStart w:id="10" w:name="_Toc487812246"/>
      <w:bookmarkStart w:id="11" w:name="_Toc29885"/>
      <w:r>
        <w:rPr>
          <w:rFonts w:hint="eastAsia" w:ascii="仿宋" w:hAnsi="仿宋" w:eastAsia="仿宋" w:cs="仿宋"/>
          <w:sz w:val="28"/>
          <w:szCs w:val="28"/>
        </w:rPr>
        <w:t>（</w:t>
      </w:r>
      <w:r>
        <w:rPr>
          <w:rFonts w:hint="eastAsia" w:ascii="仿宋" w:hAnsi="仿宋" w:eastAsia="仿宋" w:cs="仿宋"/>
          <w:sz w:val="28"/>
          <w:szCs w:val="28"/>
          <w:lang w:eastAsia="zh-CN"/>
        </w:rPr>
        <w:t>三</w:t>
      </w:r>
      <w:r>
        <w:rPr>
          <w:rFonts w:hint="eastAsia" w:ascii="仿宋" w:hAnsi="仿宋" w:eastAsia="仿宋" w:cs="仿宋"/>
          <w:sz w:val="28"/>
          <w:szCs w:val="28"/>
        </w:rPr>
        <w:t>）估价对象</w:t>
      </w:r>
      <w:bookmarkEnd w:id="10"/>
      <w:bookmarkEnd w:id="11"/>
    </w:p>
    <w:p>
      <w:pPr>
        <w:spacing w:line="24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1、估价对象范围</w:t>
      </w:r>
      <w:r>
        <w:rPr>
          <w:rFonts w:hint="eastAsia" w:ascii="仿宋" w:hAnsi="仿宋" w:eastAsia="仿宋" w:cs="仿宋"/>
          <w:sz w:val="28"/>
          <w:szCs w:val="28"/>
          <w:lang w:eastAsia="zh-CN"/>
        </w:rPr>
        <w:t>和权属状况</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根据估价委托人提供的产权资料，纳入评估范围的房地产为</w:t>
      </w:r>
      <w:r>
        <w:rPr>
          <w:rFonts w:hint="eastAsia" w:ascii="仿宋" w:hAnsi="仿宋" w:eastAsia="仿宋" w:cs="仿宋"/>
          <w:sz w:val="28"/>
          <w:szCs w:val="28"/>
          <w:lang w:eastAsia="zh-CN"/>
        </w:rPr>
        <w:t>景德镇市城区古城路名人苑42栋101-201复式和43栋101-201复式共两栋房地产</w:t>
      </w:r>
      <w:r>
        <w:rPr>
          <w:rFonts w:hint="eastAsia" w:ascii="仿宋" w:hAnsi="仿宋" w:eastAsia="仿宋" w:cs="仿宋"/>
          <w:sz w:val="28"/>
          <w:szCs w:val="28"/>
        </w:rPr>
        <w:t>，</w:t>
      </w:r>
      <w:r>
        <w:rPr>
          <w:rFonts w:hint="eastAsia" w:ascii="仿宋" w:hAnsi="仿宋" w:eastAsia="仿宋" w:cs="仿宋"/>
          <w:sz w:val="28"/>
          <w:szCs w:val="28"/>
          <w:lang w:eastAsia="zh-CN"/>
        </w:rPr>
        <w:t>房产的总</w:t>
      </w:r>
      <w:r>
        <w:rPr>
          <w:rFonts w:hint="eastAsia" w:ascii="仿宋" w:hAnsi="仿宋" w:eastAsia="仿宋" w:cs="仿宋"/>
          <w:sz w:val="28"/>
          <w:szCs w:val="28"/>
        </w:rPr>
        <w:t>建筑面积为</w:t>
      </w:r>
      <w:r>
        <w:rPr>
          <w:rFonts w:hint="eastAsia" w:ascii="仿宋" w:hAnsi="仿宋" w:eastAsia="仿宋" w:cs="仿宋"/>
          <w:sz w:val="28"/>
          <w:szCs w:val="28"/>
          <w:lang w:val="en-US" w:eastAsia="zh-CN"/>
        </w:rPr>
        <w:t>936.42</w:t>
      </w:r>
      <w:r>
        <w:rPr>
          <w:rFonts w:hint="eastAsia" w:ascii="仿宋" w:hAnsi="仿宋" w:eastAsia="仿宋" w:cs="仿宋"/>
          <w:sz w:val="28"/>
          <w:szCs w:val="28"/>
        </w:rPr>
        <w:t>㎡</w:t>
      </w:r>
      <w:r>
        <w:rPr>
          <w:rFonts w:hint="eastAsia" w:ascii="仿宋" w:hAnsi="仿宋" w:eastAsia="仿宋" w:cs="仿宋"/>
          <w:sz w:val="28"/>
          <w:szCs w:val="28"/>
          <w:lang w:eastAsia="zh-CN"/>
        </w:rPr>
        <w:t>；此次估价对象的评估价值</w:t>
      </w:r>
      <w:r>
        <w:rPr>
          <w:rFonts w:hint="eastAsia" w:ascii="仿宋" w:hAnsi="仿宋" w:eastAsia="仿宋" w:cs="仿宋"/>
          <w:color w:val="auto"/>
          <w:sz w:val="28"/>
          <w:szCs w:val="28"/>
          <w:highlight w:val="none"/>
        </w:rPr>
        <w:t>包括房屋的所有权</w:t>
      </w:r>
      <w:r>
        <w:rPr>
          <w:rFonts w:hint="eastAsia" w:ascii="仿宋" w:hAnsi="仿宋" w:eastAsia="仿宋" w:cs="仿宋"/>
          <w:color w:val="auto"/>
          <w:sz w:val="28"/>
          <w:szCs w:val="28"/>
          <w:highlight w:val="none"/>
          <w:lang w:eastAsia="zh-CN"/>
        </w:rPr>
        <w:t>价值</w:t>
      </w:r>
      <w:r>
        <w:rPr>
          <w:rFonts w:hint="eastAsia" w:ascii="仿宋" w:hAnsi="仿宋" w:eastAsia="仿宋" w:cs="仿宋"/>
          <w:color w:val="auto"/>
          <w:sz w:val="28"/>
          <w:szCs w:val="28"/>
          <w:highlight w:val="none"/>
        </w:rPr>
        <w:t>及房屋内部装修</w:t>
      </w:r>
      <w:r>
        <w:rPr>
          <w:rFonts w:hint="eastAsia" w:ascii="仿宋" w:hAnsi="仿宋" w:eastAsia="仿宋" w:cs="仿宋"/>
          <w:color w:val="auto"/>
          <w:sz w:val="28"/>
          <w:szCs w:val="28"/>
          <w:highlight w:val="none"/>
          <w:lang w:eastAsia="zh-CN"/>
        </w:rPr>
        <w:t>价值</w:t>
      </w:r>
      <w:r>
        <w:rPr>
          <w:rFonts w:hint="eastAsia" w:ascii="仿宋" w:hAnsi="仿宋" w:eastAsia="仿宋" w:cs="仿宋"/>
          <w:color w:val="auto"/>
          <w:sz w:val="28"/>
          <w:szCs w:val="28"/>
          <w:highlight w:val="none"/>
        </w:rPr>
        <w:t>和所</w:t>
      </w:r>
      <w:r>
        <w:rPr>
          <w:rFonts w:hint="eastAsia" w:ascii="仿宋" w:hAnsi="仿宋" w:eastAsia="仿宋" w:cs="仿宋"/>
          <w:color w:val="auto"/>
          <w:sz w:val="28"/>
          <w:szCs w:val="28"/>
          <w:highlight w:val="none"/>
          <w:lang w:eastAsia="zh-CN"/>
        </w:rPr>
        <w:t>房屋</w:t>
      </w:r>
      <w:r>
        <w:rPr>
          <w:rFonts w:hint="eastAsia" w:ascii="仿宋" w:hAnsi="仿宋" w:eastAsia="仿宋" w:cs="仿宋"/>
          <w:color w:val="auto"/>
          <w:sz w:val="28"/>
          <w:szCs w:val="28"/>
          <w:highlight w:val="none"/>
        </w:rPr>
        <w:t>分摊的土地在剩余使用年期的使用权</w:t>
      </w:r>
      <w:r>
        <w:rPr>
          <w:rFonts w:hint="eastAsia" w:ascii="仿宋" w:hAnsi="仿宋" w:eastAsia="仿宋" w:cs="仿宋"/>
          <w:color w:val="auto"/>
          <w:sz w:val="28"/>
          <w:szCs w:val="28"/>
          <w:highlight w:val="none"/>
          <w:lang w:eastAsia="zh-CN"/>
        </w:rPr>
        <w:t>价值（不包含房屋</w:t>
      </w:r>
      <w:r>
        <w:rPr>
          <w:rFonts w:hint="eastAsia" w:ascii="仿宋" w:hAnsi="仿宋" w:eastAsia="仿宋" w:cs="仿宋"/>
          <w:color w:val="auto"/>
          <w:sz w:val="28"/>
          <w:szCs w:val="28"/>
          <w:highlight w:val="none"/>
        </w:rPr>
        <w:t>内部</w:t>
      </w:r>
      <w:r>
        <w:rPr>
          <w:rFonts w:hint="eastAsia" w:ascii="仿宋" w:hAnsi="仿宋" w:eastAsia="仿宋" w:cs="仿宋"/>
          <w:color w:val="auto"/>
          <w:sz w:val="28"/>
          <w:szCs w:val="28"/>
          <w:highlight w:val="none"/>
          <w:lang w:eastAsia="zh-CN"/>
        </w:rPr>
        <w:t>家具及可移动物品）</w:t>
      </w:r>
      <w:r>
        <w:rPr>
          <w:rFonts w:hint="eastAsia" w:ascii="仿宋" w:hAnsi="仿宋" w:eastAsia="仿宋" w:cs="仿宋"/>
          <w:sz w:val="28"/>
          <w:szCs w:val="28"/>
        </w:rPr>
        <w:t>。</w:t>
      </w:r>
    </w:p>
    <w:p>
      <w:pPr>
        <w:numPr>
          <w:ilvl w:val="0"/>
          <w:numId w:val="1"/>
        </w:numPr>
        <w:spacing w:line="24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估价对象</w:t>
      </w:r>
      <w:r>
        <w:rPr>
          <w:rFonts w:hint="eastAsia" w:ascii="仿宋" w:hAnsi="仿宋" w:eastAsia="仿宋" w:cs="仿宋"/>
          <w:sz w:val="28"/>
          <w:szCs w:val="28"/>
          <w:lang w:eastAsia="zh-CN"/>
        </w:rPr>
        <w:t>权属状况</w:t>
      </w:r>
    </w:p>
    <w:p>
      <w:pPr>
        <w:numPr>
          <w:ilvl w:val="0"/>
          <w:numId w:val="0"/>
        </w:numPr>
        <w:spacing w:line="240" w:lineRule="auto"/>
        <w:ind w:firstLine="560" w:firstLineChars="200"/>
        <w:rPr>
          <w:rFonts w:hint="eastAsia" w:ascii="仿宋" w:hAnsi="仿宋" w:eastAsia="仿宋" w:cs="仿宋"/>
          <w:sz w:val="28"/>
          <w:szCs w:val="28"/>
          <w:lang w:eastAsia="zh-CN"/>
        </w:rPr>
      </w:pPr>
      <w:r>
        <w:rPr>
          <w:rFonts w:hint="eastAsia" w:ascii="仿宋_GB2312" w:hAnsi="Bookman Old Style" w:eastAsia="仿宋_GB2312"/>
          <w:snapToGrid w:val="0"/>
          <w:kern w:val="0"/>
          <w:sz w:val="28"/>
          <w:szCs w:val="28"/>
        </w:rPr>
        <w:t>根据委托方提供的《房屋所有权证》</w:t>
      </w:r>
      <w:r>
        <w:rPr>
          <w:rFonts w:hint="eastAsia" w:ascii="仿宋_GB2312" w:hAnsi="Bookman Old Style" w:eastAsia="仿宋_GB2312"/>
          <w:snapToGrid w:val="0"/>
          <w:kern w:val="0"/>
          <w:sz w:val="28"/>
          <w:szCs w:val="28"/>
          <w:lang w:eastAsia="zh-CN"/>
        </w:rPr>
        <w:t>等资料记载，估价对象</w:t>
      </w:r>
      <w:r>
        <w:rPr>
          <w:rFonts w:hint="eastAsia" w:ascii="仿宋" w:hAnsi="仿宋" w:eastAsia="仿宋" w:cs="仿宋"/>
          <w:sz w:val="28"/>
          <w:szCs w:val="28"/>
          <w:lang w:eastAsia="zh-CN"/>
        </w:rPr>
        <w:t>房产权属状况详见下表：</w:t>
      </w:r>
    </w:p>
    <w:tbl>
      <w:tblPr>
        <w:tblStyle w:val="8"/>
        <w:tblpPr w:leftFromText="180" w:rightFromText="180" w:vertAnchor="text" w:horzAnchor="page" w:tblpX="1117" w:tblpY="402"/>
        <w:tblOverlap w:val="never"/>
        <w:tblW w:w="968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0"/>
        <w:gridCol w:w="1440"/>
        <w:gridCol w:w="875"/>
        <w:gridCol w:w="1073"/>
        <w:gridCol w:w="793"/>
        <w:gridCol w:w="1049"/>
        <w:gridCol w:w="841"/>
        <w:gridCol w:w="744"/>
        <w:gridCol w:w="10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34" w:hRule="atLeast"/>
        </w:trPr>
        <w:tc>
          <w:tcPr>
            <w:tcW w:w="1770" w:type="dxa"/>
            <w:vAlign w:val="center"/>
          </w:tcPr>
          <w:p>
            <w:pPr>
              <w:spacing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估价对象</w:t>
            </w:r>
          </w:p>
        </w:tc>
        <w:tc>
          <w:tcPr>
            <w:tcW w:w="1440" w:type="dxa"/>
            <w:vAlign w:val="center"/>
          </w:tcPr>
          <w:p>
            <w:pPr>
              <w:spacing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《房屋所有权证》证号</w:t>
            </w:r>
          </w:p>
        </w:tc>
        <w:tc>
          <w:tcPr>
            <w:tcW w:w="875" w:type="dxa"/>
            <w:vAlign w:val="center"/>
          </w:tcPr>
          <w:p>
            <w:pPr>
              <w:spacing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房屋所有权人</w:t>
            </w:r>
          </w:p>
        </w:tc>
        <w:tc>
          <w:tcPr>
            <w:tcW w:w="1073" w:type="dxa"/>
            <w:vAlign w:val="center"/>
          </w:tcPr>
          <w:p>
            <w:pPr>
              <w:spacing w:line="240" w:lineRule="auto"/>
              <w:jc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rPr>
              <w:t>评估楼层/总层数</w:t>
            </w:r>
          </w:p>
        </w:tc>
        <w:tc>
          <w:tcPr>
            <w:tcW w:w="793" w:type="dxa"/>
            <w:vAlign w:val="center"/>
          </w:tcPr>
          <w:p>
            <w:pPr>
              <w:spacing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设计</w:t>
            </w:r>
          </w:p>
          <w:p>
            <w:pPr>
              <w:spacing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用途</w:t>
            </w:r>
          </w:p>
        </w:tc>
        <w:tc>
          <w:tcPr>
            <w:tcW w:w="1049" w:type="dxa"/>
            <w:vAlign w:val="center"/>
          </w:tcPr>
          <w:p>
            <w:pPr>
              <w:spacing w:line="240" w:lineRule="auto"/>
              <w:jc w:val="center"/>
              <w:rPr>
                <w:rFonts w:hint="eastAsia" w:ascii="仿宋" w:hAnsi="仿宋" w:eastAsia="仿宋" w:cs="仿宋"/>
                <w:b/>
                <w:color w:val="000000"/>
                <w:sz w:val="21"/>
                <w:szCs w:val="21"/>
                <w:lang w:eastAsia="zh-CN"/>
              </w:rPr>
            </w:pPr>
            <w:r>
              <w:rPr>
                <w:rFonts w:hint="eastAsia" w:ascii="仿宋" w:hAnsi="仿宋" w:eastAsia="仿宋" w:cs="仿宋"/>
                <w:b/>
                <w:color w:val="000000"/>
                <w:sz w:val="21"/>
                <w:szCs w:val="21"/>
              </w:rPr>
              <w:t>建成时间</w:t>
            </w:r>
            <w:r>
              <w:rPr>
                <w:rFonts w:hint="eastAsia" w:ascii="仿宋" w:hAnsi="仿宋" w:eastAsia="仿宋" w:cs="仿宋"/>
                <w:b/>
                <w:color w:val="000000"/>
                <w:sz w:val="21"/>
                <w:szCs w:val="21"/>
                <w:lang w:eastAsia="zh-CN"/>
              </w:rPr>
              <w:t>（年）</w:t>
            </w:r>
          </w:p>
        </w:tc>
        <w:tc>
          <w:tcPr>
            <w:tcW w:w="841" w:type="dxa"/>
            <w:vAlign w:val="center"/>
          </w:tcPr>
          <w:p>
            <w:pPr>
              <w:spacing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建筑结构</w:t>
            </w:r>
          </w:p>
        </w:tc>
        <w:tc>
          <w:tcPr>
            <w:tcW w:w="744" w:type="dxa"/>
            <w:vAlign w:val="center"/>
          </w:tcPr>
          <w:p>
            <w:pPr>
              <w:spacing w:line="240" w:lineRule="auto"/>
              <w:jc w:val="center"/>
              <w:rPr>
                <w:rFonts w:hint="eastAsia" w:ascii="仿宋" w:hAnsi="仿宋" w:eastAsia="仿宋" w:cs="仿宋"/>
                <w:b/>
                <w:color w:val="000000"/>
                <w:sz w:val="21"/>
                <w:szCs w:val="21"/>
                <w:lang w:eastAsia="zh-CN"/>
              </w:rPr>
            </w:pPr>
            <w:r>
              <w:rPr>
                <w:rFonts w:hint="eastAsia" w:ascii="仿宋" w:hAnsi="仿宋" w:eastAsia="仿宋" w:cs="仿宋"/>
                <w:b/>
                <w:color w:val="000000"/>
                <w:sz w:val="21"/>
                <w:szCs w:val="21"/>
                <w:lang w:eastAsia="zh-CN"/>
              </w:rPr>
              <w:t>装修情况</w:t>
            </w:r>
          </w:p>
        </w:tc>
        <w:tc>
          <w:tcPr>
            <w:tcW w:w="1098" w:type="dxa"/>
            <w:vAlign w:val="center"/>
          </w:tcPr>
          <w:p>
            <w:pPr>
              <w:spacing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建筑面积（㎡）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1770" w:type="dxa"/>
            <w:vAlign w:val="center"/>
          </w:tcPr>
          <w:p>
            <w:pPr>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古城路名人苑42栋101-201复式</w:t>
            </w:r>
          </w:p>
        </w:tc>
        <w:tc>
          <w:tcPr>
            <w:tcW w:w="1440" w:type="dxa"/>
            <w:vAlign w:val="center"/>
          </w:tcPr>
          <w:p>
            <w:pPr>
              <w:autoSpaceDE w:val="0"/>
              <w:autoSpaceDN w:val="0"/>
              <w:adjustRightInd w:val="0"/>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eastAsia="zh-CN"/>
              </w:rPr>
              <w:t>景房权证字第0942001号</w:t>
            </w:r>
          </w:p>
        </w:tc>
        <w:tc>
          <w:tcPr>
            <w:tcW w:w="875" w:type="dxa"/>
            <w:vMerge w:val="restart"/>
            <w:vAlign w:val="center"/>
          </w:tcPr>
          <w:p>
            <w:pPr>
              <w:autoSpaceDE w:val="0"/>
              <w:autoSpaceDN w:val="0"/>
              <w:adjustRightInd w:val="0"/>
              <w:spacing w:line="240" w:lineRule="auto"/>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景德镇五德酒店有限公司</w:t>
            </w:r>
          </w:p>
        </w:tc>
        <w:tc>
          <w:tcPr>
            <w:tcW w:w="1073" w:type="dxa"/>
            <w:vAlign w:val="center"/>
          </w:tcPr>
          <w:p>
            <w:pPr>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rPr>
              <w:t>F/</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rPr>
              <w:t>F</w:t>
            </w:r>
          </w:p>
        </w:tc>
        <w:tc>
          <w:tcPr>
            <w:tcW w:w="793" w:type="dxa"/>
            <w:vAlign w:val="center"/>
          </w:tcPr>
          <w:p>
            <w:pPr>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住宅</w:t>
            </w:r>
          </w:p>
        </w:tc>
        <w:tc>
          <w:tcPr>
            <w:tcW w:w="1049" w:type="dxa"/>
            <w:vAlign w:val="center"/>
          </w:tcPr>
          <w:p>
            <w:pPr>
              <w:spacing w:line="240" w:lineRule="auto"/>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rPr>
              <w:t>20</w:t>
            </w:r>
            <w:r>
              <w:rPr>
                <w:rFonts w:hint="eastAsia" w:ascii="仿宋" w:hAnsi="仿宋" w:eastAsia="仿宋" w:cs="仿宋"/>
                <w:color w:val="000000"/>
                <w:sz w:val="21"/>
                <w:szCs w:val="21"/>
                <w:lang w:val="en-US" w:eastAsia="zh-CN"/>
              </w:rPr>
              <w:t>12</w:t>
            </w:r>
          </w:p>
        </w:tc>
        <w:tc>
          <w:tcPr>
            <w:tcW w:w="841" w:type="dxa"/>
            <w:vAlign w:val="center"/>
          </w:tcPr>
          <w:p>
            <w:pPr>
              <w:spacing w:line="240" w:lineRule="auto"/>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混合</w:t>
            </w:r>
          </w:p>
        </w:tc>
        <w:tc>
          <w:tcPr>
            <w:tcW w:w="744" w:type="dxa"/>
            <w:vAlign w:val="center"/>
          </w:tcPr>
          <w:p>
            <w:pPr>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精装</w:t>
            </w:r>
          </w:p>
        </w:tc>
        <w:tc>
          <w:tcPr>
            <w:tcW w:w="1098" w:type="dxa"/>
            <w:vAlign w:val="center"/>
          </w:tcPr>
          <w:p>
            <w:pPr>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468.21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41" w:hRule="atLeast"/>
        </w:trPr>
        <w:tc>
          <w:tcPr>
            <w:tcW w:w="1770" w:type="dxa"/>
            <w:vAlign w:val="center"/>
          </w:tcPr>
          <w:p>
            <w:pPr>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古城路名人苑43栋101-201复式</w:t>
            </w:r>
          </w:p>
        </w:tc>
        <w:tc>
          <w:tcPr>
            <w:tcW w:w="1440" w:type="dxa"/>
            <w:vAlign w:val="center"/>
          </w:tcPr>
          <w:p>
            <w:pPr>
              <w:autoSpaceDE w:val="0"/>
              <w:autoSpaceDN w:val="0"/>
              <w:adjustRightInd w:val="0"/>
              <w:spacing w:line="240" w:lineRule="auto"/>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景房权证字第0942002号</w:t>
            </w:r>
          </w:p>
        </w:tc>
        <w:tc>
          <w:tcPr>
            <w:tcW w:w="875" w:type="dxa"/>
            <w:vMerge w:val="continue"/>
            <w:vAlign w:val="center"/>
          </w:tcPr>
          <w:p>
            <w:pPr>
              <w:autoSpaceDE w:val="0"/>
              <w:autoSpaceDN w:val="0"/>
              <w:adjustRightInd w:val="0"/>
              <w:spacing w:line="240" w:lineRule="auto"/>
              <w:jc w:val="center"/>
              <w:rPr>
                <w:rFonts w:hint="eastAsia" w:ascii="仿宋" w:hAnsi="仿宋" w:eastAsia="仿宋" w:cs="仿宋"/>
                <w:color w:val="000000"/>
                <w:sz w:val="21"/>
                <w:szCs w:val="21"/>
                <w:lang w:eastAsia="zh-CN"/>
              </w:rPr>
            </w:pPr>
          </w:p>
        </w:tc>
        <w:tc>
          <w:tcPr>
            <w:tcW w:w="1073" w:type="dxa"/>
            <w:vAlign w:val="center"/>
          </w:tcPr>
          <w:p>
            <w:pPr>
              <w:spacing w:line="240" w:lineRule="auto"/>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1</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rPr>
              <w:t>F/</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rPr>
              <w:t>F</w:t>
            </w:r>
          </w:p>
        </w:tc>
        <w:tc>
          <w:tcPr>
            <w:tcW w:w="793" w:type="dxa"/>
            <w:vAlign w:val="center"/>
          </w:tcPr>
          <w:p>
            <w:pPr>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住宅</w:t>
            </w:r>
          </w:p>
        </w:tc>
        <w:tc>
          <w:tcPr>
            <w:tcW w:w="1049" w:type="dxa"/>
            <w:vAlign w:val="center"/>
          </w:tcPr>
          <w:p>
            <w:pPr>
              <w:spacing w:line="240" w:lineRule="auto"/>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rPr>
              <w:t>20</w:t>
            </w:r>
            <w:r>
              <w:rPr>
                <w:rFonts w:hint="eastAsia" w:ascii="仿宋" w:hAnsi="仿宋" w:eastAsia="仿宋" w:cs="仿宋"/>
                <w:color w:val="000000"/>
                <w:sz w:val="21"/>
                <w:szCs w:val="21"/>
                <w:lang w:val="en-US" w:eastAsia="zh-CN"/>
              </w:rPr>
              <w:t>12</w:t>
            </w:r>
          </w:p>
        </w:tc>
        <w:tc>
          <w:tcPr>
            <w:tcW w:w="841" w:type="dxa"/>
            <w:vAlign w:val="center"/>
          </w:tcPr>
          <w:p>
            <w:pPr>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混合</w:t>
            </w:r>
          </w:p>
        </w:tc>
        <w:tc>
          <w:tcPr>
            <w:tcW w:w="744" w:type="dxa"/>
            <w:vAlign w:val="center"/>
          </w:tcPr>
          <w:p>
            <w:pPr>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精装</w:t>
            </w:r>
          </w:p>
        </w:tc>
        <w:tc>
          <w:tcPr>
            <w:tcW w:w="1098" w:type="dxa"/>
            <w:vAlign w:val="center"/>
          </w:tcPr>
          <w:p>
            <w:pPr>
              <w:spacing w:line="240" w:lineRule="auto"/>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468.21</w:t>
            </w:r>
          </w:p>
        </w:tc>
      </w:tr>
    </w:tbl>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、估价对象实物</w:t>
      </w:r>
      <w:r>
        <w:rPr>
          <w:rFonts w:hint="eastAsia" w:ascii="仿宋" w:hAnsi="仿宋" w:eastAsia="仿宋" w:cs="仿宋"/>
          <w:sz w:val="28"/>
          <w:szCs w:val="28"/>
          <w:lang w:eastAsia="zh-CN"/>
        </w:rPr>
        <w:t>基本</w:t>
      </w:r>
      <w:r>
        <w:rPr>
          <w:rFonts w:hint="eastAsia" w:ascii="仿宋" w:hAnsi="仿宋" w:eastAsia="仿宋" w:cs="仿宋"/>
          <w:sz w:val="28"/>
          <w:szCs w:val="28"/>
        </w:rPr>
        <w:t>状况</w:t>
      </w:r>
    </w:p>
    <w:p>
      <w:pPr>
        <w:tabs>
          <w:tab w:val="left" w:pos="267"/>
        </w:tabs>
        <w:adjustRightInd w:val="0"/>
        <w:snapToGrid w:val="0"/>
        <w:spacing w:line="360" w:lineRule="auto"/>
        <w:ind w:firstLine="570"/>
        <w:rPr>
          <w:rFonts w:hint="eastAsia" w:ascii="仿宋" w:hAnsi="仿宋" w:eastAsia="仿宋" w:cs="仿宋"/>
          <w:snapToGrid w:val="0"/>
          <w:sz w:val="28"/>
          <w:szCs w:val="28"/>
        </w:rPr>
      </w:pPr>
      <w:r>
        <w:rPr>
          <w:rFonts w:hint="eastAsia" w:ascii="仿宋" w:hAnsi="仿宋" w:eastAsia="仿宋" w:cs="仿宋"/>
          <w:snapToGrid w:val="0"/>
          <w:kern w:val="0"/>
          <w:sz w:val="28"/>
          <w:szCs w:val="28"/>
        </w:rPr>
        <w:t>根据委托方提供的《房屋所有权证》</w:t>
      </w:r>
      <w:r>
        <w:rPr>
          <w:rFonts w:hint="eastAsia" w:ascii="仿宋" w:hAnsi="仿宋" w:eastAsia="仿宋" w:cs="仿宋"/>
          <w:snapToGrid w:val="0"/>
          <w:kern w:val="0"/>
          <w:sz w:val="28"/>
          <w:szCs w:val="28"/>
          <w:lang w:eastAsia="zh-CN"/>
        </w:rPr>
        <w:t>（</w:t>
      </w:r>
      <w:r>
        <w:rPr>
          <w:rFonts w:hint="eastAsia" w:ascii="仿宋" w:hAnsi="仿宋" w:eastAsia="仿宋" w:cs="仿宋"/>
          <w:snapToGrid w:val="0"/>
          <w:sz w:val="28"/>
          <w:szCs w:val="28"/>
        </w:rPr>
        <w:t>证号为</w:t>
      </w:r>
      <w:r>
        <w:rPr>
          <w:rFonts w:hint="eastAsia" w:ascii="仿宋" w:hAnsi="仿宋" w:eastAsia="仿宋" w:cs="仿宋"/>
          <w:snapToGrid w:val="0"/>
          <w:sz w:val="28"/>
          <w:szCs w:val="28"/>
          <w:lang w:eastAsia="zh-CN"/>
        </w:rPr>
        <w:t>：</w:t>
      </w:r>
      <w:r>
        <w:rPr>
          <w:rFonts w:hint="eastAsia" w:ascii="仿宋" w:hAnsi="仿宋" w:eastAsia="仿宋" w:cs="仿宋"/>
          <w:color w:val="000000"/>
          <w:sz w:val="28"/>
          <w:szCs w:val="28"/>
          <w:lang w:eastAsia="zh-CN"/>
        </w:rPr>
        <w:t>景房权证字第0942001号、景房权证字第094200</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lang w:eastAsia="zh-CN"/>
        </w:rPr>
        <w:t>号</w:t>
      </w:r>
      <w:r>
        <w:rPr>
          <w:rFonts w:hint="eastAsia" w:ascii="仿宋" w:hAnsi="仿宋" w:eastAsia="仿宋" w:cs="仿宋"/>
          <w:snapToGrid w:val="0"/>
          <w:kern w:val="0"/>
          <w:sz w:val="28"/>
          <w:szCs w:val="28"/>
          <w:lang w:eastAsia="zh-CN"/>
        </w:rPr>
        <w:t>）</w:t>
      </w:r>
      <w:r>
        <w:rPr>
          <w:rFonts w:hint="eastAsia" w:ascii="仿宋" w:hAnsi="仿宋" w:eastAsia="仿宋" w:cs="仿宋"/>
          <w:snapToGrid w:val="0"/>
          <w:kern w:val="0"/>
          <w:sz w:val="28"/>
          <w:szCs w:val="28"/>
        </w:rPr>
        <w:t>，房屋所有权人为</w:t>
      </w:r>
      <w:r>
        <w:rPr>
          <w:rFonts w:hint="eastAsia" w:ascii="仿宋" w:hAnsi="仿宋" w:eastAsia="仿宋" w:cs="仿宋"/>
          <w:snapToGrid w:val="0"/>
          <w:kern w:val="0"/>
          <w:sz w:val="28"/>
          <w:szCs w:val="28"/>
          <w:lang w:eastAsia="zh-CN"/>
        </w:rPr>
        <w:t>景德镇五德酒店有限公司</w:t>
      </w:r>
      <w:r>
        <w:rPr>
          <w:rFonts w:hint="eastAsia" w:ascii="仿宋" w:hAnsi="仿宋" w:eastAsia="仿宋" w:cs="仿宋"/>
          <w:snapToGrid w:val="0"/>
          <w:kern w:val="0"/>
          <w:sz w:val="28"/>
          <w:szCs w:val="28"/>
        </w:rPr>
        <w:t>，</w:t>
      </w:r>
      <w:r>
        <w:rPr>
          <w:rFonts w:hint="eastAsia" w:ascii="仿宋" w:hAnsi="仿宋" w:eastAsia="仿宋" w:cs="仿宋"/>
          <w:snapToGrid w:val="0"/>
          <w:sz w:val="28"/>
          <w:szCs w:val="28"/>
        </w:rPr>
        <w:t>；房屋共有情况为单独所有，房屋坐落</w:t>
      </w:r>
      <w:r>
        <w:rPr>
          <w:rFonts w:hint="eastAsia" w:ascii="仿宋" w:hAnsi="仿宋" w:eastAsia="仿宋" w:cs="仿宋"/>
          <w:sz w:val="28"/>
          <w:szCs w:val="28"/>
          <w:lang w:eastAsia="zh-CN"/>
        </w:rPr>
        <w:t>景德镇市城区古城路名人苑42栋101-201复式和43栋101-201复式</w:t>
      </w:r>
      <w:r>
        <w:rPr>
          <w:rFonts w:hint="eastAsia" w:ascii="仿宋" w:hAnsi="仿宋" w:eastAsia="仿宋" w:cs="仿宋"/>
          <w:snapToGrid w:val="0"/>
          <w:sz w:val="28"/>
          <w:szCs w:val="28"/>
        </w:rPr>
        <w:t>，登记时间为201</w:t>
      </w:r>
      <w:r>
        <w:rPr>
          <w:rFonts w:hint="eastAsia" w:ascii="仿宋" w:hAnsi="仿宋" w:eastAsia="仿宋" w:cs="仿宋"/>
          <w:snapToGrid w:val="0"/>
          <w:sz w:val="28"/>
          <w:szCs w:val="28"/>
          <w:lang w:val="en-US" w:eastAsia="zh-CN"/>
        </w:rPr>
        <w:t>3</w:t>
      </w:r>
      <w:r>
        <w:rPr>
          <w:rFonts w:hint="eastAsia" w:ascii="仿宋" w:hAnsi="仿宋" w:eastAsia="仿宋" w:cs="仿宋"/>
          <w:snapToGrid w:val="0"/>
          <w:sz w:val="28"/>
          <w:szCs w:val="28"/>
        </w:rPr>
        <w:t>年0</w:t>
      </w:r>
      <w:r>
        <w:rPr>
          <w:rFonts w:hint="eastAsia" w:ascii="仿宋" w:hAnsi="仿宋" w:eastAsia="仿宋" w:cs="仿宋"/>
          <w:snapToGrid w:val="0"/>
          <w:sz w:val="28"/>
          <w:szCs w:val="28"/>
          <w:lang w:val="en-US" w:eastAsia="zh-CN"/>
        </w:rPr>
        <w:t>1</w:t>
      </w:r>
      <w:r>
        <w:rPr>
          <w:rFonts w:hint="eastAsia" w:ascii="仿宋" w:hAnsi="仿宋" w:eastAsia="仿宋" w:cs="仿宋"/>
          <w:snapToGrid w:val="0"/>
          <w:sz w:val="28"/>
          <w:szCs w:val="28"/>
        </w:rPr>
        <w:t>月2</w:t>
      </w:r>
      <w:r>
        <w:rPr>
          <w:rFonts w:hint="eastAsia" w:ascii="仿宋" w:hAnsi="仿宋" w:eastAsia="仿宋" w:cs="仿宋"/>
          <w:snapToGrid w:val="0"/>
          <w:sz w:val="28"/>
          <w:szCs w:val="28"/>
          <w:lang w:val="en-US" w:eastAsia="zh-CN"/>
        </w:rPr>
        <w:t>4</w:t>
      </w:r>
      <w:r>
        <w:rPr>
          <w:rFonts w:hint="eastAsia" w:ascii="仿宋" w:hAnsi="仿宋" w:eastAsia="仿宋" w:cs="仿宋"/>
          <w:snapToGrid w:val="0"/>
          <w:sz w:val="28"/>
          <w:szCs w:val="28"/>
        </w:rPr>
        <w:t>日，房屋性质为商品房，规划用途为</w:t>
      </w:r>
      <w:r>
        <w:rPr>
          <w:rFonts w:hint="eastAsia" w:ascii="仿宋" w:hAnsi="仿宋" w:eastAsia="仿宋" w:cs="仿宋"/>
          <w:snapToGrid w:val="0"/>
          <w:sz w:val="28"/>
          <w:szCs w:val="28"/>
          <w:lang w:eastAsia="zh-CN"/>
        </w:rPr>
        <w:t>住宅</w:t>
      </w:r>
      <w:r>
        <w:rPr>
          <w:rFonts w:hint="eastAsia" w:ascii="仿宋" w:hAnsi="仿宋" w:eastAsia="仿宋" w:cs="仿宋"/>
          <w:snapToGrid w:val="0"/>
          <w:sz w:val="28"/>
          <w:szCs w:val="28"/>
        </w:rPr>
        <w:t>用房，房屋</w:t>
      </w:r>
      <w:r>
        <w:rPr>
          <w:rFonts w:hint="eastAsia" w:ascii="仿宋" w:hAnsi="仿宋" w:eastAsia="仿宋" w:cs="仿宋"/>
          <w:snapToGrid w:val="0"/>
          <w:kern w:val="0"/>
          <w:sz w:val="28"/>
          <w:szCs w:val="28"/>
        </w:rPr>
        <w:t>总层数为</w:t>
      </w:r>
      <w:r>
        <w:rPr>
          <w:rFonts w:hint="eastAsia" w:ascii="仿宋" w:hAnsi="仿宋" w:eastAsia="仿宋" w:cs="仿宋"/>
          <w:snapToGrid w:val="0"/>
          <w:kern w:val="0"/>
          <w:sz w:val="28"/>
          <w:szCs w:val="28"/>
          <w:lang w:val="en-US" w:eastAsia="zh-CN"/>
        </w:rPr>
        <w:t>2</w:t>
      </w:r>
      <w:r>
        <w:rPr>
          <w:rFonts w:hint="eastAsia" w:ascii="仿宋" w:hAnsi="仿宋" w:eastAsia="仿宋" w:cs="仿宋"/>
          <w:snapToGrid w:val="0"/>
          <w:kern w:val="0"/>
          <w:sz w:val="28"/>
          <w:szCs w:val="28"/>
        </w:rPr>
        <w:t>层，所在层数为1-</w:t>
      </w:r>
      <w:r>
        <w:rPr>
          <w:rFonts w:hint="eastAsia" w:ascii="仿宋" w:hAnsi="仿宋" w:eastAsia="仿宋" w:cs="仿宋"/>
          <w:snapToGrid w:val="0"/>
          <w:kern w:val="0"/>
          <w:sz w:val="28"/>
          <w:szCs w:val="28"/>
          <w:lang w:val="en-US" w:eastAsia="zh-CN"/>
        </w:rPr>
        <w:t>2</w:t>
      </w:r>
      <w:r>
        <w:rPr>
          <w:rFonts w:hint="eastAsia" w:ascii="仿宋" w:hAnsi="仿宋" w:eastAsia="仿宋" w:cs="仿宋"/>
          <w:snapToGrid w:val="0"/>
          <w:kern w:val="0"/>
          <w:sz w:val="28"/>
          <w:szCs w:val="28"/>
        </w:rPr>
        <w:t>层，</w:t>
      </w:r>
      <w:r>
        <w:rPr>
          <w:rFonts w:hint="eastAsia" w:ascii="仿宋" w:hAnsi="仿宋" w:eastAsia="仿宋" w:cs="仿宋"/>
          <w:snapToGrid w:val="0"/>
          <w:kern w:val="0"/>
          <w:sz w:val="28"/>
          <w:szCs w:val="28"/>
          <w:lang w:eastAsia="zh-CN"/>
        </w:rPr>
        <w:t>两处</w:t>
      </w:r>
      <w:r>
        <w:rPr>
          <w:rFonts w:hint="eastAsia" w:ascii="仿宋" w:hAnsi="仿宋" w:eastAsia="仿宋" w:cs="仿宋"/>
          <w:snapToGrid w:val="0"/>
          <w:sz w:val="28"/>
          <w:szCs w:val="28"/>
        </w:rPr>
        <w:t>房屋建筑面积</w:t>
      </w:r>
      <w:r>
        <w:rPr>
          <w:rFonts w:hint="eastAsia" w:ascii="仿宋" w:hAnsi="仿宋" w:eastAsia="仿宋" w:cs="仿宋"/>
          <w:snapToGrid w:val="0"/>
          <w:sz w:val="28"/>
          <w:szCs w:val="28"/>
          <w:lang w:eastAsia="zh-CN"/>
        </w:rPr>
        <w:t>均</w:t>
      </w:r>
      <w:r>
        <w:rPr>
          <w:rFonts w:hint="eastAsia" w:ascii="仿宋" w:hAnsi="仿宋" w:eastAsia="仿宋" w:cs="仿宋"/>
          <w:snapToGrid w:val="0"/>
          <w:sz w:val="28"/>
          <w:szCs w:val="28"/>
        </w:rPr>
        <w:t>为</w:t>
      </w:r>
      <w:r>
        <w:rPr>
          <w:rFonts w:hint="eastAsia" w:ascii="仿宋" w:hAnsi="仿宋" w:eastAsia="仿宋" w:cs="仿宋"/>
          <w:snapToGrid w:val="0"/>
          <w:sz w:val="28"/>
          <w:szCs w:val="28"/>
          <w:lang w:val="en-US" w:eastAsia="zh-CN"/>
        </w:rPr>
        <w:t>468.21</w:t>
      </w:r>
      <w:r>
        <w:rPr>
          <w:rFonts w:hint="eastAsia" w:ascii="仿宋" w:hAnsi="仿宋" w:eastAsia="仿宋" w:cs="仿宋"/>
          <w:snapToGrid w:val="0"/>
          <w:sz w:val="28"/>
          <w:szCs w:val="28"/>
        </w:rPr>
        <w:t>平方米</w:t>
      </w:r>
      <w:r>
        <w:rPr>
          <w:rFonts w:hint="eastAsia" w:ascii="仿宋" w:hAnsi="仿宋" w:eastAsia="仿宋" w:cs="仿宋"/>
          <w:snapToGrid w:val="0"/>
          <w:kern w:val="0"/>
          <w:sz w:val="28"/>
          <w:szCs w:val="28"/>
        </w:rPr>
        <w:t>，建筑年代2012年</w:t>
      </w:r>
      <w:r>
        <w:rPr>
          <w:rFonts w:hint="eastAsia" w:ascii="仿宋" w:hAnsi="仿宋" w:eastAsia="仿宋" w:cs="仿宋"/>
          <w:snapToGrid w:val="0"/>
          <w:sz w:val="28"/>
          <w:szCs w:val="28"/>
        </w:rPr>
        <w:t>。</w:t>
      </w:r>
    </w:p>
    <w:p>
      <w:pPr>
        <w:tabs>
          <w:tab w:val="left" w:pos="267"/>
        </w:tabs>
        <w:adjustRightInd w:val="0"/>
        <w:snapToGrid w:val="0"/>
        <w:spacing w:line="360" w:lineRule="auto"/>
        <w:ind w:firstLine="570"/>
        <w:rPr>
          <w:rFonts w:hint="eastAsia" w:ascii="仿宋" w:hAnsi="仿宋" w:eastAsia="仿宋" w:cs="仿宋"/>
          <w:snapToGrid w:val="0"/>
          <w:sz w:val="28"/>
          <w:szCs w:val="28"/>
        </w:rPr>
      </w:pPr>
      <w:r>
        <w:rPr>
          <w:rFonts w:hint="eastAsia" w:ascii="仿宋" w:hAnsi="仿宋" w:eastAsia="仿宋" w:cs="仿宋"/>
          <w:snapToGrid w:val="0"/>
          <w:sz w:val="28"/>
          <w:szCs w:val="28"/>
        </w:rPr>
        <w:t>根据估价人员的现场勘查，</w:t>
      </w:r>
      <w:r>
        <w:rPr>
          <w:rFonts w:hint="eastAsia" w:ascii="仿宋" w:hAnsi="仿宋" w:eastAsia="仿宋" w:cs="仿宋"/>
          <w:snapToGrid w:val="0"/>
          <w:sz w:val="28"/>
          <w:szCs w:val="28"/>
          <w:lang w:eastAsia="zh-CN"/>
        </w:rPr>
        <w:t>房产</w:t>
      </w:r>
      <w:r>
        <w:rPr>
          <w:rFonts w:hint="eastAsia" w:ascii="仿宋" w:hAnsi="仿宋" w:eastAsia="仿宋" w:cs="仿宋"/>
          <w:b w:val="0"/>
          <w:bCs/>
          <w:snapToGrid w:val="0"/>
          <w:sz w:val="28"/>
          <w:szCs w:val="28"/>
        </w:rPr>
        <w:t>现状为</w:t>
      </w:r>
      <w:r>
        <w:rPr>
          <w:rFonts w:hint="eastAsia" w:ascii="仿宋" w:hAnsi="仿宋" w:eastAsia="仿宋" w:cs="仿宋"/>
          <w:b w:val="0"/>
          <w:bCs/>
          <w:snapToGrid w:val="0"/>
          <w:sz w:val="28"/>
          <w:szCs w:val="28"/>
          <w:lang w:eastAsia="zh-CN"/>
        </w:rPr>
        <w:t>正</w:t>
      </w:r>
      <w:r>
        <w:rPr>
          <w:rFonts w:hint="eastAsia" w:ascii="仿宋" w:hAnsi="仿宋" w:eastAsia="仿宋" w:cs="仿宋"/>
          <w:b w:val="0"/>
          <w:bCs/>
          <w:snapToGrid w:val="0"/>
          <w:sz w:val="28"/>
          <w:szCs w:val="28"/>
        </w:rPr>
        <w:t>在营业星级豪华酒店，内部装修</w:t>
      </w:r>
      <w:r>
        <w:rPr>
          <w:rFonts w:hint="eastAsia" w:ascii="仿宋" w:hAnsi="仿宋" w:eastAsia="仿宋" w:cs="仿宋"/>
          <w:b w:val="0"/>
          <w:bCs/>
          <w:snapToGrid w:val="0"/>
          <w:sz w:val="28"/>
          <w:szCs w:val="28"/>
          <w:lang w:eastAsia="zh-CN"/>
        </w:rPr>
        <w:t>较为</w:t>
      </w:r>
      <w:r>
        <w:rPr>
          <w:rFonts w:hint="eastAsia" w:ascii="仿宋" w:hAnsi="仿宋" w:eastAsia="仿宋" w:cs="仿宋"/>
          <w:b w:val="0"/>
          <w:bCs/>
          <w:snapToGrid w:val="0"/>
          <w:sz w:val="28"/>
          <w:szCs w:val="28"/>
        </w:rPr>
        <w:t>奢华</w:t>
      </w:r>
      <w:r>
        <w:rPr>
          <w:rFonts w:hint="eastAsia" w:ascii="仿宋" w:hAnsi="仿宋" w:eastAsia="仿宋" w:cs="仿宋"/>
          <w:b w:val="0"/>
          <w:bCs/>
          <w:snapToGrid w:val="0"/>
          <w:sz w:val="28"/>
          <w:szCs w:val="28"/>
          <w:lang w:eastAsia="zh-CN"/>
        </w:rPr>
        <w:t>，</w:t>
      </w:r>
      <w:r>
        <w:rPr>
          <w:rFonts w:hint="eastAsia" w:ascii="仿宋" w:hAnsi="仿宋" w:eastAsia="仿宋" w:cs="仿宋"/>
          <w:bCs/>
          <w:snapToGrid w:val="0"/>
          <w:kern w:val="0"/>
          <w:sz w:val="28"/>
          <w:szCs w:val="28"/>
        </w:rPr>
        <w:t>房屋外墙</w:t>
      </w:r>
      <w:r>
        <w:rPr>
          <w:rFonts w:hint="eastAsia" w:ascii="仿宋" w:hAnsi="仿宋" w:eastAsia="仿宋" w:cs="仿宋"/>
          <w:bCs/>
          <w:snapToGrid w:val="0"/>
          <w:kern w:val="0"/>
          <w:sz w:val="28"/>
          <w:szCs w:val="28"/>
          <w:lang w:eastAsia="zh-CN"/>
        </w:rPr>
        <w:t>涂料</w:t>
      </w:r>
      <w:r>
        <w:rPr>
          <w:rFonts w:hint="eastAsia" w:ascii="仿宋" w:hAnsi="仿宋" w:eastAsia="仿宋" w:cs="仿宋"/>
          <w:bCs/>
          <w:snapToGrid w:val="0"/>
          <w:kern w:val="0"/>
          <w:sz w:val="28"/>
          <w:szCs w:val="28"/>
        </w:rPr>
        <w:t>，外门为玻璃拉门，房屋内部一、二层</w:t>
      </w:r>
      <w:r>
        <w:rPr>
          <w:rFonts w:hint="eastAsia" w:ascii="仿宋" w:hAnsi="仿宋" w:eastAsia="仿宋" w:cs="仿宋"/>
          <w:bCs/>
          <w:snapToGrid w:val="0"/>
          <w:kern w:val="0"/>
          <w:sz w:val="28"/>
          <w:szCs w:val="28"/>
          <w:lang w:eastAsia="zh-CN"/>
        </w:rPr>
        <w:t>精</w:t>
      </w:r>
      <w:r>
        <w:rPr>
          <w:rFonts w:hint="eastAsia" w:ascii="仿宋" w:hAnsi="仿宋" w:eastAsia="仿宋" w:cs="仿宋"/>
          <w:bCs/>
          <w:snapToGrid w:val="0"/>
          <w:kern w:val="0"/>
          <w:sz w:val="28"/>
          <w:szCs w:val="28"/>
        </w:rPr>
        <w:t>装修，房屋一层地面贴瓷砖，内墙刮白，二层</w:t>
      </w:r>
      <w:r>
        <w:rPr>
          <w:rFonts w:hint="eastAsia" w:ascii="仿宋" w:hAnsi="仿宋" w:eastAsia="仿宋" w:cs="仿宋"/>
          <w:bCs/>
          <w:snapToGrid w:val="0"/>
          <w:kern w:val="0"/>
          <w:sz w:val="28"/>
          <w:szCs w:val="28"/>
          <w:lang w:eastAsia="zh-CN"/>
        </w:rPr>
        <w:t>过道</w:t>
      </w:r>
      <w:r>
        <w:rPr>
          <w:rFonts w:hint="eastAsia" w:ascii="仿宋" w:hAnsi="仿宋" w:eastAsia="仿宋" w:cs="仿宋"/>
          <w:bCs/>
          <w:snapToGrid w:val="0"/>
          <w:kern w:val="0"/>
          <w:sz w:val="28"/>
          <w:szCs w:val="28"/>
        </w:rPr>
        <w:t>地面为瓷砖，</w:t>
      </w:r>
      <w:r>
        <w:rPr>
          <w:rFonts w:hint="eastAsia" w:ascii="仿宋" w:hAnsi="仿宋" w:eastAsia="仿宋" w:cs="仿宋"/>
          <w:bCs/>
          <w:snapToGrid w:val="0"/>
          <w:kern w:val="0"/>
          <w:sz w:val="28"/>
          <w:szCs w:val="28"/>
          <w:lang w:eastAsia="zh-CN"/>
        </w:rPr>
        <w:t>房间</w:t>
      </w:r>
      <w:r>
        <w:rPr>
          <w:rFonts w:hint="eastAsia" w:ascii="仿宋" w:hAnsi="仿宋" w:eastAsia="仿宋" w:cs="仿宋"/>
          <w:bCs/>
          <w:snapToGrid w:val="0"/>
          <w:kern w:val="0"/>
          <w:sz w:val="28"/>
          <w:szCs w:val="28"/>
        </w:rPr>
        <w:t>内</w:t>
      </w:r>
      <w:r>
        <w:rPr>
          <w:rFonts w:hint="eastAsia" w:ascii="仿宋" w:hAnsi="仿宋" w:eastAsia="仿宋" w:cs="仿宋"/>
          <w:bCs/>
          <w:snapToGrid w:val="0"/>
          <w:kern w:val="0"/>
          <w:sz w:val="28"/>
          <w:szCs w:val="28"/>
          <w:lang w:eastAsia="zh-CN"/>
        </w:rPr>
        <w:t>地面为复合木板及地毯、</w:t>
      </w:r>
      <w:r>
        <w:rPr>
          <w:rFonts w:hint="eastAsia" w:ascii="仿宋" w:hAnsi="仿宋" w:eastAsia="仿宋" w:cs="仿宋"/>
          <w:bCs/>
          <w:snapToGrid w:val="0"/>
          <w:kern w:val="0"/>
          <w:sz w:val="28"/>
          <w:szCs w:val="28"/>
        </w:rPr>
        <w:t>内墙刮白</w:t>
      </w:r>
      <w:r>
        <w:rPr>
          <w:rFonts w:hint="eastAsia" w:ascii="仿宋" w:hAnsi="仿宋" w:eastAsia="仿宋" w:cs="仿宋"/>
          <w:b w:val="0"/>
          <w:bCs/>
          <w:snapToGrid w:val="0"/>
          <w:sz w:val="28"/>
          <w:szCs w:val="28"/>
        </w:rPr>
        <w:t>。估价对象通风、采光较好，维护保养较好</w:t>
      </w:r>
      <w:r>
        <w:rPr>
          <w:rFonts w:hint="eastAsia" w:ascii="仿宋" w:hAnsi="仿宋" w:eastAsia="仿宋" w:cs="仿宋"/>
          <w:b w:val="0"/>
          <w:bCs/>
          <w:snapToGrid w:val="0"/>
          <w:sz w:val="28"/>
          <w:szCs w:val="28"/>
          <w:lang w:eastAsia="zh-CN"/>
        </w:rPr>
        <w:t>，</w:t>
      </w:r>
      <w:r>
        <w:rPr>
          <w:rFonts w:hint="eastAsia" w:ascii="仿宋" w:hAnsi="仿宋" w:eastAsia="仿宋" w:cs="仿宋"/>
          <w:snapToGrid w:val="0"/>
          <w:sz w:val="28"/>
          <w:szCs w:val="28"/>
        </w:rPr>
        <w:t>外部观察建筑物新旧程度较优，</w:t>
      </w:r>
      <w:r>
        <w:rPr>
          <w:rFonts w:hint="eastAsia" w:ascii="仿宋" w:hAnsi="仿宋" w:eastAsia="仿宋" w:cs="仿宋"/>
          <w:snapToGrid w:val="0"/>
          <w:sz w:val="28"/>
          <w:szCs w:val="28"/>
          <w:lang w:eastAsia="zh-CN"/>
        </w:rPr>
        <w:t>对房产的保值</w:t>
      </w:r>
      <w:r>
        <w:rPr>
          <w:rFonts w:hint="eastAsia" w:ascii="仿宋" w:hAnsi="仿宋" w:eastAsia="仿宋" w:cs="仿宋"/>
          <w:snapToGrid w:val="0"/>
          <w:sz w:val="28"/>
          <w:szCs w:val="28"/>
        </w:rPr>
        <w:t>较</w:t>
      </w:r>
      <w:r>
        <w:rPr>
          <w:rFonts w:hint="eastAsia" w:ascii="仿宋" w:hAnsi="仿宋" w:eastAsia="仿宋" w:cs="仿宋"/>
          <w:snapToGrid w:val="0"/>
          <w:sz w:val="28"/>
          <w:szCs w:val="28"/>
          <w:lang w:eastAsia="zh-CN"/>
        </w:rPr>
        <w:t>有利</w:t>
      </w:r>
      <w:r>
        <w:rPr>
          <w:rFonts w:hint="eastAsia" w:ascii="仿宋" w:hAnsi="仿宋" w:eastAsia="仿宋" w:cs="仿宋"/>
          <w:snapToGrid w:val="0"/>
          <w:sz w:val="28"/>
          <w:szCs w:val="28"/>
        </w:rPr>
        <w:t>。</w:t>
      </w:r>
    </w:p>
    <w:p>
      <w:pPr>
        <w:tabs>
          <w:tab w:val="left" w:pos="267"/>
        </w:tabs>
        <w:adjustRightInd w:val="0"/>
        <w:snapToGrid w:val="0"/>
        <w:spacing w:line="360" w:lineRule="auto"/>
        <w:ind w:firstLine="57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、估价对象权益状况</w:t>
      </w:r>
    </w:p>
    <w:p>
      <w:pPr>
        <w:spacing w:line="360" w:lineRule="auto"/>
        <w:ind w:firstLine="560"/>
        <w:outlineLvl w:val="0"/>
        <w:rPr>
          <w:rFonts w:hint="eastAsia" w:ascii="仿宋" w:hAnsi="仿宋" w:eastAsia="仿宋" w:cs="仿宋"/>
          <w:snapToGrid w:val="0"/>
          <w:sz w:val="28"/>
          <w:szCs w:val="28"/>
        </w:rPr>
      </w:pPr>
      <w:r>
        <w:rPr>
          <w:rFonts w:hint="eastAsia" w:ascii="仿宋" w:hAnsi="仿宋" w:eastAsia="仿宋" w:cs="仿宋"/>
          <w:snapToGrid w:val="0"/>
          <w:kern w:val="0"/>
          <w:sz w:val="28"/>
          <w:szCs w:val="28"/>
        </w:rPr>
        <w:t>根据估价委托人提供的资料及注册房地产估价师现场调查，至价值时点，估价对象房屋所有权清晰合法，估价对象</w:t>
      </w:r>
      <w:r>
        <w:rPr>
          <w:rFonts w:hint="eastAsia" w:ascii="仿宋" w:hAnsi="仿宋" w:eastAsia="仿宋" w:cs="仿宋"/>
          <w:snapToGrid w:val="0"/>
          <w:kern w:val="0"/>
          <w:sz w:val="28"/>
          <w:szCs w:val="28"/>
          <w:lang w:eastAsia="zh-CN"/>
        </w:rPr>
        <w:t>除</w:t>
      </w:r>
      <w:r>
        <w:rPr>
          <w:rFonts w:hint="eastAsia" w:ascii="仿宋" w:hAnsi="仿宋" w:eastAsia="仿宋" w:cs="仿宋"/>
          <w:snapToGrid w:val="0"/>
          <w:kern w:val="0"/>
          <w:sz w:val="28"/>
          <w:szCs w:val="28"/>
        </w:rPr>
        <w:t>存</w:t>
      </w:r>
      <w:r>
        <w:rPr>
          <w:rFonts w:hint="eastAsia" w:ascii="仿宋" w:hAnsi="仿宋" w:eastAsia="仿宋" w:cs="仿宋"/>
          <w:snapToGrid w:val="0"/>
          <w:kern w:val="0"/>
          <w:sz w:val="28"/>
          <w:szCs w:val="28"/>
          <w:lang w:eastAsia="zh-CN"/>
        </w:rPr>
        <w:t>在抵押</w:t>
      </w:r>
      <w:r>
        <w:rPr>
          <w:rFonts w:hint="eastAsia" w:ascii="仿宋" w:hAnsi="仿宋" w:eastAsia="仿宋" w:cs="仿宋"/>
          <w:snapToGrid w:val="0"/>
          <w:kern w:val="0"/>
          <w:sz w:val="28"/>
          <w:szCs w:val="28"/>
        </w:rPr>
        <w:t>权，</w:t>
      </w:r>
      <w:r>
        <w:rPr>
          <w:rFonts w:hint="eastAsia" w:ascii="仿宋" w:hAnsi="仿宋" w:eastAsia="仿宋" w:cs="仿宋"/>
          <w:snapToGrid w:val="0"/>
          <w:kern w:val="0"/>
          <w:sz w:val="28"/>
          <w:szCs w:val="28"/>
          <w:lang w:eastAsia="zh-CN"/>
        </w:rPr>
        <w:t>未发现其他相关产权限制，</w:t>
      </w:r>
      <w:r>
        <w:rPr>
          <w:rFonts w:hint="eastAsia" w:ascii="仿宋" w:hAnsi="仿宋" w:eastAsia="仿宋" w:cs="仿宋"/>
          <w:snapToGrid w:val="0"/>
          <w:kern w:val="0"/>
          <w:sz w:val="28"/>
          <w:szCs w:val="28"/>
        </w:rPr>
        <w:t>本次评估</w:t>
      </w:r>
      <w:r>
        <w:rPr>
          <w:rFonts w:hint="eastAsia" w:ascii="仿宋" w:hAnsi="仿宋" w:eastAsia="仿宋" w:cs="仿宋"/>
          <w:snapToGrid w:val="0"/>
          <w:kern w:val="0"/>
          <w:sz w:val="28"/>
          <w:szCs w:val="28"/>
          <w:lang w:eastAsia="zh-CN"/>
        </w:rPr>
        <w:t>目的是司法拍卖评估故</w:t>
      </w:r>
      <w:r>
        <w:rPr>
          <w:rFonts w:hint="eastAsia" w:ascii="仿宋" w:hAnsi="仿宋" w:eastAsia="仿宋" w:cs="仿宋"/>
          <w:snapToGrid w:val="0"/>
          <w:kern w:val="0"/>
          <w:sz w:val="28"/>
          <w:szCs w:val="28"/>
        </w:rPr>
        <w:t>未考虑抵押权对估价对象价值的影响。</w:t>
      </w:r>
    </w:p>
    <w:p>
      <w:pPr>
        <w:spacing w:line="360" w:lineRule="auto"/>
        <w:ind w:firstLine="281" w:firstLineChars="100"/>
        <w:rPr>
          <w:rFonts w:hint="eastAsia" w:ascii="仿宋" w:hAnsi="仿宋" w:eastAsia="仿宋" w:cs="仿宋"/>
          <w:b/>
          <w:bCs/>
          <w:sz w:val="28"/>
          <w:szCs w:val="28"/>
        </w:rPr>
      </w:pPr>
      <w:bookmarkStart w:id="12" w:name="_Toc487812247"/>
      <w:bookmarkStart w:id="13" w:name="_Toc25104"/>
    </w:p>
    <w:p>
      <w:pPr>
        <w:spacing w:line="360" w:lineRule="auto"/>
        <w:ind w:firstLine="281" w:firstLineChars="100"/>
        <w:rPr>
          <w:rFonts w:hint="eastAsia" w:ascii="仿宋" w:hAnsi="仿宋" w:eastAsia="仿宋" w:cs="仿宋"/>
          <w:b/>
          <w:bCs/>
          <w:sz w:val="28"/>
          <w:szCs w:val="28"/>
        </w:rPr>
      </w:pPr>
      <w:r>
        <w:rPr>
          <w:rFonts w:hint="eastAsia" w:ascii="仿宋" w:hAnsi="仿宋" w:eastAsia="仿宋" w:cs="仿宋"/>
          <w:b/>
          <w:bCs/>
          <w:sz w:val="28"/>
          <w:szCs w:val="28"/>
        </w:rPr>
        <w:t>（</w:t>
      </w:r>
      <w:r>
        <w:rPr>
          <w:rFonts w:hint="eastAsia" w:ascii="仿宋" w:hAnsi="仿宋" w:eastAsia="仿宋" w:cs="仿宋"/>
          <w:b/>
          <w:bCs/>
          <w:sz w:val="28"/>
          <w:szCs w:val="28"/>
          <w:lang w:eastAsia="zh-CN"/>
        </w:rPr>
        <w:t>四</w:t>
      </w:r>
      <w:r>
        <w:rPr>
          <w:rFonts w:hint="eastAsia" w:ascii="仿宋" w:hAnsi="仿宋" w:eastAsia="仿宋" w:cs="仿宋"/>
          <w:b/>
          <w:bCs/>
          <w:sz w:val="28"/>
          <w:szCs w:val="28"/>
        </w:rPr>
        <w:t>）价值时点</w:t>
      </w:r>
      <w:bookmarkEnd w:id="12"/>
      <w:bookmarkEnd w:id="13"/>
    </w:p>
    <w:p>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本次评估</w:t>
      </w:r>
      <w:r>
        <w:rPr>
          <w:rFonts w:hint="eastAsia" w:ascii="仿宋" w:hAnsi="仿宋" w:eastAsia="仿宋" w:cs="仿宋"/>
          <w:sz w:val="28"/>
          <w:szCs w:val="28"/>
        </w:rPr>
        <w:t>价值时点为《</w:t>
      </w:r>
      <w:r>
        <w:rPr>
          <w:rFonts w:hint="eastAsia" w:ascii="仿宋" w:hAnsi="仿宋" w:eastAsia="仿宋" w:cs="仿宋"/>
          <w:sz w:val="28"/>
          <w:szCs w:val="28"/>
          <w:lang w:eastAsia="zh-CN"/>
        </w:rPr>
        <w:t>浮梁县人民法院价格评估委托书</w:t>
      </w:r>
      <w:r>
        <w:rPr>
          <w:rFonts w:hint="eastAsia" w:ascii="仿宋" w:hAnsi="仿宋" w:eastAsia="仿宋" w:cs="仿宋"/>
          <w:sz w:val="28"/>
          <w:szCs w:val="28"/>
        </w:rPr>
        <w:t>》（编号：</w:t>
      </w:r>
      <w:r>
        <w:rPr>
          <w:rFonts w:hint="eastAsia" w:ascii="仿宋" w:hAnsi="仿宋" w:eastAsia="仿宋" w:cs="仿宋"/>
          <w:sz w:val="28"/>
          <w:szCs w:val="28"/>
          <w:lang w:eastAsia="zh-CN"/>
        </w:rPr>
        <w:t>（2019）赣0222执153号</w:t>
      </w:r>
      <w:r>
        <w:rPr>
          <w:rFonts w:hint="eastAsia" w:ascii="仿宋" w:hAnsi="仿宋" w:eastAsia="仿宋" w:cs="仿宋"/>
          <w:sz w:val="28"/>
          <w:szCs w:val="28"/>
        </w:rPr>
        <w:t>）中的委托日期，即</w:t>
      </w:r>
      <w:r>
        <w:rPr>
          <w:rFonts w:hint="eastAsia" w:ascii="仿宋" w:hAnsi="仿宋" w:eastAsia="仿宋" w:cs="仿宋"/>
          <w:sz w:val="28"/>
          <w:szCs w:val="28"/>
          <w:lang w:eastAsia="zh-CN"/>
        </w:rPr>
        <w:t>201</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年09月26日</w:t>
      </w:r>
      <w:r>
        <w:rPr>
          <w:rFonts w:hint="eastAsia" w:ascii="仿宋" w:hAnsi="仿宋" w:eastAsia="仿宋" w:cs="仿宋"/>
          <w:sz w:val="28"/>
          <w:szCs w:val="28"/>
        </w:rPr>
        <w:t>。</w:t>
      </w:r>
    </w:p>
    <w:p>
      <w:pPr>
        <w:pStyle w:val="3"/>
        <w:spacing w:before="120" w:beforeLines="50" w:after="120" w:afterLines="50" w:line="360" w:lineRule="auto"/>
        <w:ind w:firstLine="281" w:firstLineChars="100"/>
        <w:rPr>
          <w:rFonts w:hint="eastAsia" w:ascii="仿宋" w:hAnsi="仿宋" w:eastAsia="仿宋" w:cs="仿宋"/>
          <w:sz w:val="28"/>
          <w:szCs w:val="28"/>
        </w:rPr>
      </w:pPr>
      <w:bookmarkStart w:id="14" w:name="_Toc487812248"/>
      <w:bookmarkStart w:id="15" w:name="_Toc14413"/>
      <w:r>
        <w:rPr>
          <w:rFonts w:hint="eastAsia" w:ascii="仿宋" w:hAnsi="仿宋" w:eastAsia="仿宋" w:cs="仿宋"/>
          <w:sz w:val="28"/>
          <w:szCs w:val="28"/>
        </w:rPr>
        <w:t>（</w:t>
      </w:r>
      <w:r>
        <w:rPr>
          <w:rFonts w:hint="eastAsia" w:ascii="仿宋" w:hAnsi="仿宋" w:eastAsia="仿宋" w:cs="仿宋"/>
          <w:sz w:val="28"/>
          <w:szCs w:val="28"/>
          <w:lang w:eastAsia="zh-CN"/>
        </w:rPr>
        <w:t>五</w:t>
      </w:r>
      <w:r>
        <w:rPr>
          <w:rFonts w:hint="eastAsia" w:ascii="仿宋" w:hAnsi="仿宋" w:eastAsia="仿宋" w:cs="仿宋"/>
          <w:sz w:val="28"/>
          <w:szCs w:val="28"/>
        </w:rPr>
        <w:t>）价值类型</w:t>
      </w:r>
      <w:bookmarkEnd w:id="14"/>
      <w:bookmarkEnd w:id="15"/>
    </w:p>
    <w:p>
      <w:pPr>
        <w:spacing w:line="360" w:lineRule="auto"/>
        <w:ind w:firstLine="560" w:firstLineChars="200"/>
        <w:rPr>
          <w:rFonts w:hint="eastAsia" w:ascii="仿宋" w:hAnsi="仿宋" w:eastAsia="仿宋" w:cs="仿宋"/>
          <w:sz w:val="28"/>
          <w:szCs w:val="28"/>
        </w:rPr>
      </w:pPr>
      <w:bookmarkStart w:id="16" w:name="_Toc438733813"/>
      <w:bookmarkStart w:id="17" w:name="_Toc439325460"/>
      <w:bookmarkStart w:id="18" w:name="_Toc439338205"/>
      <w:r>
        <w:rPr>
          <w:rFonts w:hint="eastAsia" w:ascii="仿宋" w:hAnsi="仿宋" w:eastAsia="仿宋" w:cs="仿宋"/>
          <w:sz w:val="28"/>
          <w:szCs w:val="28"/>
        </w:rPr>
        <w:t>本次价值类型</w:t>
      </w:r>
      <w:r>
        <w:rPr>
          <w:rFonts w:hint="eastAsia" w:ascii="仿宋" w:hAnsi="仿宋" w:eastAsia="仿宋" w:cs="仿宋"/>
          <w:sz w:val="28"/>
          <w:szCs w:val="28"/>
          <w:lang w:eastAsia="zh-CN"/>
        </w:rPr>
        <w:t>为</w:t>
      </w:r>
      <w:r>
        <w:rPr>
          <w:rFonts w:hint="eastAsia" w:ascii="仿宋" w:hAnsi="仿宋" w:eastAsia="仿宋" w:cs="仿宋"/>
          <w:sz w:val="28"/>
          <w:szCs w:val="28"/>
        </w:rPr>
        <w:t>满足估价假设和限制条件下的房地产市场价值。</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房地产市场价值是指理性而谨慎的交易双方，处于利己动机，目的是最大限度地追求经济效益，有较充裕的时间，在了解交易对象、掌握必要的专业知识、知晓市场行情下自愿进行交易最可能的价格。</w:t>
      </w:r>
    </w:p>
    <w:p>
      <w:pPr>
        <w:pStyle w:val="3"/>
        <w:spacing w:before="120" w:beforeLines="50" w:after="120" w:afterLines="50" w:line="360" w:lineRule="auto"/>
        <w:ind w:firstLine="281" w:firstLineChars="100"/>
        <w:rPr>
          <w:rFonts w:hint="eastAsia" w:ascii="仿宋" w:hAnsi="仿宋" w:eastAsia="仿宋" w:cs="仿宋"/>
          <w:sz w:val="28"/>
          <w:szCs w:val="28"/>
        </w:rPr>
      </w:pPr>
      <w:bookmarkStart w:id="19" w:name="_Toc997"/>
      <w:bookmarkStart w:id="20" w:name="_Toc487812249"/>
      <w:r>
        <w:rPr>
          <w:rFonts w:hint="eastAsia" w:ascii="仿宋" w:hAnsi="仿宋" w:eastAsia="仿宋" w:cs="仿宋"/>
          <w:sz w:val="28"/>
          <w:szCs w:val="28"/>
        </w:rPr>
        <w:t>（</w:t>
      </w:r>
      <w:r>
        <w:rPr>
          <w:rFonts w:hint="eastAsia" w:ascii="仿宋" w:hAnsi="仿宋" w:eastAsia="仿宋" w:cs="仿宋"/>
          <w:sz w:val="28"/>
          <w:szCs w:val="28"/>
          <w:lang w:eastAsia="zh-CN"/>
        </w:rPr>
        <w:t>六</w:t>
      </w:r>
      <w:r>
        <w:rPr>
          <w:rFonts w:hint="eastAsia" w:ascii="仿宋" w:hAnsi="仿宋" w:eastAsia="仿宋" w:cs="仿宋"/>
          <w:sz w:val="28"/>
          <w:szCs w:val="28"/>
        </w:rPr>
        <w:t>）估价原则</w:t>
      </w:r>
      <w:bookmarkEnd w:id="16"/>
      <w:bookmarkEnd w:id="17"/>
      <w:bookmarkEnd w:id="18"/>
      <w:bookmarkEnd w:id="19"/>
      <w:bookmarkEnd w:id="20"/>
    </w:p>
    <w:p>
      <w:pPr>
        <w:spacing w:line="360" w:lineRule="auto"/>
        <w:ind w:firstLine="560" w:firstLineChars="200"/>
        <w:rPr>
          <w:rFonts w:hint="eastAsia" w:ascii="仿宋" w:hAnsi="仿宋" w:eastAsia="仿宋" w:cs="仿宋"/>
          <w:sz w:val="28"/>
          <w:szCs w:val="28"/>
        </w:rPr>
      </w:pPr>
      <w:bookmarkStart w:id="21" w:name="_Toc439338206"/>
      <w:bookmarkStart w:id="22" w:name="_Toc439325461"/>
      <w:r>
        <w:rPr>
          <w:rFonts w:hint="eastAsia" w:ascii="仿宋" w:hAnsi="仿宋" w:eastAsia="仿宋" w:cs="仿宋"/>
          <w:sz w:val="28"/>
          <w:szCs w:val="28"/>
        </w:rPr>
        <w:t>本次评估主要遵循的估价原则是独立、客观、公正原则、合法原则、价值时点原则、替代原则、最高最佳利用原则等。</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1、独立、客观、公正原则</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遵循独立、客观、公正原则，要求估价机构有完全独立性，估价机构和估价人员与估价对象及相关当事人没有利害关系，不受外部干扰因素影响，从实际出发，公平合理地进行估价。</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2、合法原则</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遵循合法原则，要求评估价值应为在依法判定的估价对象状况下的价值或价格。</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3、价值时点</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遵循价值时点原则，要求评估价值应为在根据估价目的确定的某一特定时间的价值或价格。</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4、替代原则</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遵循替代原则，要求评估价值与估价对象的类似房地产在同等条件下的价值或价格偏差应在合理范围内。</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5、最高最佳利用原则</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遵循最高最佳利用原则，要求评估价值应为在估价对象最高最佳利用状况下的价值或价格的原则。</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最高最佳利用指法律上允许、技术上可能、财务上可行并使价值最大的合理、可能的利用，包括最佳的用途、规模、档次等。</w:t>
      </w:r>
    </w:p>
    <w:p>
      <w:pPr>
        <w:pStyle w:val="3"/>
        <w:spacing w:before="120" w:beforeLines="50" w:after="120" w:afterLines="50" w:line="360" w:lineRule="auto"/>
        <w:ind w:firstLine="281" w:firstLineChars="100"/>
        <w:rPr>
          <w:rFonts w:hint="eastAsia" w:ascii="仿宋" w:hAnsi="仿宋" w:eastAsia="仿宋" w:cs="仿宋"/>
          <w:sz w:val="28"/>
          <w:szCs w:val="28"/>
        </w:rPr>
      </w:pPr>
      <w:bookmarkStart w:id="23" w:name="_Toc487812250"/>
      <w:bookmarkStart w:id="24" w:name="_Toc31584"/>
      <w:r>
        <w:rPr>
          <w:rFonts w:hint="eastAsia" w:ascii="仿宋" w:hAnsi="仿宋" w:eastAsia="仿宋" w:cs="仿宋"/>
          <w:sz w:val="28"/>
          <w:szCs w:val="28"/>
        </w:rPr>
        <w:t>（八）估价依据</w:t>
      </w:r>
      <w:bookmarkEnd w:id="21"/>
      <w:bookmarkEnd w:id="22"/>
      <w:bookmarkEnd w:id="23"/>
      <w:bookmarkEnd w:id="24"/>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1、法律、法规和政策性文件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（1）《中华人民共和国资产评估法》（中华人民共和国主席令第四十六号，2016年12月1日起施行）；</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（2）《中华人民共和国城市房地产管理法》（中华人民共和国主席令第72号，2009年8月27日）；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（3）《中华人民共和国土地管理法》（中华人民共和国主席令第28号，2004年8月28日）；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（4）《中华人民共和国物权法》（中华人民共和国主席令第62号，2007年3月16日）；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（5）《中华人民共和国担保法》（中华人民共和国主席令第50号公布）；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（6）《中华人民共和国房产税暂行条例》（国务院文件国发[1986]90号，1986年9月15日）；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（7）《中华人民共和国土地管理法实施条例》（1998年12月27日中华人民共和国国务院令第256号发布）（2011年1月8日修订）；</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（8）《中华人民共和国土地增值税暂行条例》（1993年12月13日中华人民共和国国务院令第138号发布）；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（9）《中华人民共和国契税暂行条例》（1997年7月7日中华人民共和国国务院令第224号发布）；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（10）《关于全面推开营业税改征增值税试点的通知》（财税〔2016〕36号）；</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（11）《中华人民共和国民事诉讼法》（2012年8月31日，全国人大常委会十一届第二十八次会议表决通过了全国人大常委会关于修改民事诉讼法的决定，自2013年1月1日起施行）；</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（12）《最高人民法院关于人民法院民事执行中拍卖、变卖财产的规定》（法释[2004]16号）[2005年1月1日起实施]；</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（13）《最高人民法院关于适用《中华人民共和国物权法》若干问题的解释（一）》（中华人民共和国最高人民法院法释[2016]5号）。</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2、技术标准、规程、规范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（1）《房地产估价规范》（GB/T50291-2015）；</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（2）《房地产估价基本术语标准》（GB/T50899-2013）；</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（3）《房地产估价报告评审标准》（试行）。</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3、估价委托人提供的相关资料</w:t>
      </w:r>
    </w:p>
    <w:p>
      <w:pPr>
        <w:spacing w:line="360" w:lineRule="auto"/>
        <w:ind w:firstLine="560" w:firstLineChars="200"/>
        <w:rPr>
          <w:rFonts w:hint="eastAsia" w:ascii="仿宋" w:hAnsi="仿宋" w:eastAsia="仿宋" w:cs="仿宋"/>
          <w:color w:val="FF0000"/>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浮梁县人民法院价格评估委托书</w:t>
      </w:r>
      <w:r>
        <w:rPr>
          <w:rFonts w:hint="eastAsia" w:ascii="仿宋" w:hAnsi="仿宋" w:eastAsia="仿宋" w:cs="仿宋"/>
          <w:sz w:val="28"/>
          <w:szCs w:val="28"/>
        </w:rPr>
        <w:t>》（编号：</w:t>
      </w:r>
      <w:r>
        <w:rPr>
          <w:rFonts w:hint="eastAsia" w:ascii="仿宋" w:hAnsi="仿宋" w:eastAsia="仿宋" w:cs="仿宋"/>
          <w:sz w:val="28"/>
          <w:szCs w:val="28"/>
          <w:lang w:eastAsia="zh-CN"/>
        </w:rPr>
        <w:t>（2019）赣0222执153号</w:t>
      </w:r>
      <w:r>
        <w:rPr>
          <w:rFonts w:hint="eastAsia" w:ascii="仿宋" w:hAnsi="仿宋" w:eastAsia="仿宋" w:cs="仿宋"/>
          <w:sz w:val="28"/>
          <w:szCs w:val="28"/>
        </w:rPr>
        <w:t>）</w:t>
      </w:r>
      <w:r>
        <w:rPr>
          <w:rFonts w:hint="eastAsia" w:ascii="仿宋" w:hAnsi="仿宋" w:eastAsia="仿宋" w:cs="仿宋"/>
          <w:sz w:val="28"/>
          <w:szCs w:val="28"/>
          <w:lang w:eastAsia="zh-CN"/>
        </w:rPr>
        <w:t>及</w:t>
      </w:r>
      <w:r>
        <w:rPr>
          <w:rFonts w:hint="eastAsia" w:ascii="仿宋" w:hAnsi="仿宋" w:eastAsia="仿宋" w:cs="仿宋"/>
          <w:sz w:val="28"/>
          <w:szCs w:val="28"/>
        </w:rPr>
        <w:t>《</w:t>
      </w:r>
      <w:r>
        <w:rPr>
          <w:rFonts w:hint="eastAsia" w:ascii="仿宋" w:hAnsi="仿宋" w:eastAsia="仿宋" w:cs="仿宋"/>
          <w:sz w:val="28"/>
          <w:szCs w:val="28"/>
          <w:lang w:eastAsia="zh-CN"/>
        </w:rPr>
        <w:t>委托评估财产清单</w:t>
      </w:r>
      <w:r>
        <w:rPr>
          <w:rFonts w:hint="eastAsia" w:ascii="仿宋" w:hAnsi="仿宋" w:eastAsia="仿宋" w:cs="仿宋"/>
          <w:sz w:val="28"/>
          <w:szCs w:val="28"/>
        </w:rPr>
        <w:t>》</w:t>
      </w:r>
      <w:r>
        <w:rPr>
          <w:rFonts w:hint="eastAsia" w:ascii="仿宋" w:hAnsi="仿宋" w:eastAsia="仿宋" w:cs="仿宋"/>
          <w:sz w:val="28"/>
          <w:szCs w:val="28"/>
          <w:lang w:eastAsia="zh-CN"/>
        </w:rPr>
        <w:t>原件</w:t>
      </w:r>
      <w:r>
        <w:rPr>
          <w:rFonts w:hint="eastAsia" w:ascii="仿宋" w:hAnsi="仿宋" w:eastAsia="仿宋" w:cs="仿宋"/>
          <w:sz w:val="28"/>
          <w:szCs w:val="28"/>
        </w:rPr>
        <w:t>；</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eastAsia="zh-CN"/>
        </w:rPr>
        <w:t>房屋所有权证</w:t>
      </w:r>
      <w:r>
        <w:rPr>
          <w:rFonts w:hint="eastAsia" w:ascii="仿宋" w:hAnsi="仿宋" w:eastAsia="仿宋" w:cs="仿宋"/>
          <w:sz w:val="28"/>
          <w:szCs w:val="28"/>
        </w:rPr>
        <w:t>》复印件；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eastAsia="zh-CN"/>
        </w:rPr>
        <w:t>民事裁定书</w:t>
      </w:r>
      <w:r>
        <w:rPr>
          <w:rFonts w:hint="eastAsia" w:ascii="仿宋" w:hAnsi="仿宋" w:eastAsia="仿宋" w:cs="仿宋"/>
          <w:sz w:val="28"/>
          <w:szCs w:val="28"/>
        </w:rPr>
        <w:t>》</w:t>
      </w:r>
      <w:r>
        <w:rPr>
          <w:rFonts w:hint="eastAsia" w:ascii="仿宋" w:hAnsi="仿宋" w:eastAsia="仿宋" w:cs="仿宋"/>
          <w:sz w:val="28"/>
          <w:szCs w:val="28"/>
          <w:lang w:eastAsia="zh-CN"/>
        </w:rPr>
        <w:t>复印</w:t>
      </w:r>
      <w:r>
        <w:rPr>
          <w:rFonts w:hint="eastAsia" w:ascii="仿宋" w:hAnsi="仿宋" w:eastAsia="仿宋" w:cs="仿宋"/>
          <w:sz w:val="28"/>
          <w:szCs w:val="28"/>
        </w:rPr>
        <w:t>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4、评估专业人员调查收集的相关资料</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（1）评估专业人员实地查勘和估价机构掌握的其他相关资料；</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（2）估价对象所在区域房地产市场状况、同类房地产市场交易等数据资料。</w:t>
      </w:r>
      <w:bookmarkStart w:id="25" w:name="_Toc521080968"/>
      <w:bookmarkStart w:id="26" w:name="_Toc487812253"/>
      <w:bookmarkStart w:id="27" w:name="_Toc23956"/>
    </w:p>
    <w:p>
      <w:pPr>
        <w:spacing w:line="360" w:lineRule="auto"/>
        <w:ind w:firstLine="562" w:firstLineChars="200"/>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（九）估价方法</w:t>
      </w:r>
      <w:bookmarkEnd w:id="25"/>
    </w:p>
    <w:p>
      <w:pPr>
        <w:adjustRightInd w:val="0"/>
        <w:snapToGrid w:val="0"/>
        <w:spacing w:line="360" w:lineRule="auto"/>
        <w:ind w:firstLine="560"/>
        <w:rPr>
          <w:rFonts w:hint="eastAsia" w:ascii="仿宋" w:hAnsi="仿宋" w:eastAsia="仿宋" w:cs="仿宋"/>
          <w:snapToGrid w:val="0"/>
          <w:kern w:val="0"/>
          <w:sz w:val="28"/>
          <w:szCs w:val="28"/>
        </w:rPr>
      </w:pPr>
      <w:r>
        <w:rPr>
          <w:rFonts w:hint="eastAsia" w:ascii="仿宋" w:hAnsi="仿宋" w:eastAsia="仿宋" w:cs="仿宋"/>
          <w:snapToGrid w:val="0"/>
          <w:kern w:val="0"/>
          <w:sz w:val="28"/>
          <w:szCs w:val="28"/>
        </w:rPr>
        <w:t>本次估价的估价目的是为</w:t>
      </w:r>
      <w:r>
        <w:rPr>
          <w:rFonts w:hint="eastAsia" w:ascii="仿宋" w:hAnsi="仿宋" w:eastAsia="仿宋" w:cs="仿宋"/>
          <w:snapToGrid w:val="0"/>
          <w:kern w:val="0"/>
          <w:sz w:val="28"/>
          <w:szCs w:val="28"/>
          <w:lang w:eastAsia="zh-CN"/>
        </w:rPr>
        <w:t>浮梁县</w:t>
      </w:r>
      <w:r>
        <w:rPr>
          <w:rFonts w:hint="eastAsia" w:ascii="仿宋" w:hAnsi="仿宋" w:eastAsia="仿宋" w:cs="仿宋"/>
          <w:snapToGrid w:val="0"/>
          <w:kern w:val="0"/>
          <w:sz w:val="28"/>
          <w:szCs w:val="28"/>
        </w:rPr>
        <w:t>人民法院执行申请执行人</w:t>
      </w:r>
      <w:r>
        <w:rPr>
          <w:rFonts w:hint="eastAsia" w:ascii="仿宋" w:hAnsi="仿宋" w:eastAsia="仿宋" w:cs="仿宋"/>
          <w:sz w:val="28"/>
          <w:szCs w:val="28"/>
          <w:lang w:eastAsia="zh-CN"/>
        </w:rPr>
        <w:t>浮梁农商村镇银行有限责任公司</w:t>
      </w:r>
      <w:r>
        <w:rPr>
          <w:rFonts w:hint="eastAsia" w:ascii="仿宋" w:hAnsi="仿宋" w:eastAsia="仿宋" w:cs="仿宋"/>
          <w:snapToGrid w:val="0"/>
          <w:kern w:val="0"/>
          <w:sz w:val="28"/>
          <w:szCs w:val="28"/>
        </w:rPr>
        <w:t>与被执行人</w:t>
      </w:r>
      <w:r>
        <w:rPr>
          <w:rFonts w:hint="eastAsia" w:ascii="仿宋" w:hAnsi="仿宋" w:eastAsia="仿宋" w:cs="仿宋"/>
          <w:sz w:val="28"/>
          <w:szCs w:val="28"/>
          <w:lang w:eastAsia="zh-CN"/>
        </w:rPr>
        <w:t>景德镇五德酒店有限公司、鲍龙镇、庄玉梅、浮梁县瑶里镇建筑工程公司金融</w:t>
      </w:r>
      <w:r>
        <w:rPr>
          <w:rFonts w:hint="eastAsia" w:ascii="仿宋" w:hAnsi="仿宋" w:eastAsia="仿宋" w:cs="仿宋"/>
          <w:snapToGrid w:val="0"/>
          <w:kern w:val="0"/>
          <w:sz w:val="28"/>
          <w:szCs w:val="28"/>
        </w:rPr>
        <w:t>借款合同纠纷一案涉及</w:t>
      </w:r>
      <w:r>
        <w:rPr>
          <w:rFonts w:hint="eastAsia" w:ascii="仿宋" w:hAnsi="仿宋" w:eastAsia="仿宋" w:cs="仿宋"/>
          <w:snapToGrid w:val="0"/>
          <w:kern w:val="0"/>
          <w:sz w:val="28"/>
          <w:szCs w:val="28"/>
          <w:lang w:eastAsia="zh-CN"/>
        </w:rPr>
        <w:t>司法处置</w:t>
      </w:r>
      <w:r>
        <w:rPr>
          <w:rFonts w:hint="eastAsia" w:ascii="仿宋" w:hAnsi="仿宋" w:eastAsia="仿宋" w:cs="仿宋"/>
          <w:snapToGrid w:val="0"/>
          <w:kern w:val="0"/>
          <w:sz w:val="28"/>
          <w:szCs w:val="28"/>
        </w:rPr>
        <w:t>房地产提供价值参考，根据估价委托人确定的估价目的，以及可能收集到的资料，采用适宜的估价方法进行估价。</w:t>
      </w:r>
    </w:p>
    <w:p>
      <w:pPr>
        <w:numPr>
          <w:ilvl w:val="0"/>
          <w:numId w:val="2"/>
        </w:numPr>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方法选用分析</w:t>
      </w:r>
    </w:p>
    <w:p>
      <w:pPr>
        <w:numPr>
          <w:ilvl w:val="0"/>
          <w:numId w:val="0"/>
        </w:numPr>
        <w:adjustRightInd w:val="0"/>
        <w:snapToGrid w:val="0"/>
        <w:spacing w:line="36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根据国家质量技术监督局、中华人民共和国建设部联合颁布的《房地产估价规范》，房地产评估通常有比较法</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rPr>
        <w:t>收益法、成本法、假设开发法。比较法适用于市场发达、交易活跃、有充足的具有替代性房地产的评估；收益法适用于有现实收益或潜在收益的房地产评估；假设开发法适用于具有投资开发或有开发潜力的房地产评估</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rPr>
        <w:t>成本法适用于无市场依据或市场依据不充分而不易采用比较法、收益法、假设开发法进行评估情况下的房地产评估。</w:t>
      </w:r>
    </w:p>
    <w:p>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2、估价方法的选用</w:t>
      </w:r>
    </w:p>
    <w:p>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本次估价根据当地房地产市场情况并结合估价对象的具体特点及估价目的等，采用比较法求取估价对象的市场价值。</w:t>
      </w:r>
    </w:p>
    <w:p>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（1）选用方法的理由</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000000"/>
          <w:sz w:val="28"/>
          <w:szCs w:val="28"/>
        </w:rPr>
        <w:t>比较法：</w:t>
      </w:r>
      <w:r>
        <w:rPr>
          <w:rFonts w:hint="eastAsia" w:ascii="仿宋" w:hAnsi="仿宋" w:eastAsia="仿宋" w:cs="仿宋"/>
          <w:bCs/>
          <w:color w:val="auto"/>
          <w:sz w:val="28"/>
          <w:szCs w:val="28"/>
          <w:highlight w:val="none"/>
        </w:rPr>
        <w:t>根据委托人提供的相关资料和我公司估价人员的实地查勘，估价对象位于</w:t>
      </w:r>
      <w:r>
        <w:rPr>
          <w:rFonts w:hint="eastAsia" w:ascii="仿宋" w:hAnsi="仿宋" w:eastAsia="仿宋" w:cs="仿宋"/>
          <w:bCs/>
          <w:color w:val="auto"/>
          <w:sz w:val="28"/>
          <w:szCs w:val="28"/>
          <w:highlight w:val="none"/>
          <w:lang w:eastAsia="zh-CN"/>
        </w:rPr>
        <w:t>景德镇市城区古城路名人苑</w:t>
      </w:r>
      <w:r>
        <w:rPr>
          <w:rFonts w:hint="eastAsia" w:ascii="仿宋" w:hAnsi="仿宋" w:eastAsia="仿宋" w:cs="仿宋"/>
          <w:bCs/>
          <w:color w:val="auto"/>
          <w:sz w:val="28"/>
          <w:szCs w:val="28"/>
          <w:highlight w:val="none"/>
        </w:rPr>
        <w:t>，物业证载用途为住宅，因此本次评估按住宅用途对物业进行测算。估价人员细致地分析了评估物业的特点和实际状况，并研究了委托人提供及估价方所掌握的资料后认为，该同类同地段物业的相关案例较充裕，所以采用比较法作为评估方法</w:t>
      </w:r>
      <w:r>
        <w:rPr>
          <w:rFonts w:hint="eastAsia" w:ascii="仿宋" w:hAnsi="仿宋" w:eastAsia="仿宋" w:cs="仿宋"/>
          <w:color w:val="auto"/>
          <w:sz w:val="28"/>
          <w:szCs w:val="28"/>
          <w:highlight w:val="none"/>
        </w:rPr>
        <w:t>求取估价对象市场价值。</w:t>
      </w:r>
    </w:p>
    <w:p>
      <w:pPr>
        <w:numPr>
          <w:ins w:id="0" w:author="番茄花园" w:date=""/>
        </w:num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（2）未选用方法的理由</w:t>
      </w:r>
    </w:p>
    <w:p>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fldChar w:fldCharType="begin"/>
      </w:r>
      <w:r>
        <w:rPr>
          <w:rFonts w:hint="eastAsia" w:ascii="仿宋" w:hAnsi="仿宋" w:eastAsia="仿宋" w:cs="仿宋"/>
          <w:color w:val="000000"/>
          <w:sz w:val="28"/>
          <w:szCs w:val="28"/>
        </w:rPr>
        <w:instrText xml:space="preserve"> eq \o\ac(</w:instrText>
      </w:r>
      <w:r>
        <w:rPr>
          <w:rFonts w:hint="eastAsia" w:ascii="仿宋" w:hAnsi="仿宋" w:eastAsia="仿宋" w:cs="仿宋"/>
          <w:color w:val="000000"/>
          <w:position w:val="-5"/>
          <w:sz w:val="42"/>
          <w:szCs w:val="28"/>
        </w:rPr>
        <w:instrText xml:space="preserve">○</w:instrText>
      </w:r>
      <w:r>
        <w:rPr>
          <w:rFonts w:hint="eastAsia" w:ascii="仿宋" w:hAnsi="仿宋" w:eastAsia="仿宋" w:cs="仿宋"/>
          <w:color w:val="000000"/>
          <w:position w:val="0"/>
          <w:sz w:val="28"/>
          <w:szCs w:val="28"/>
        </w:rPr>
        <w:instrText xml:space="preserve">,1)</w:instrText>
      </w:r>
      <w:r>
        <w:rPr>
          <w:rFonts w:hint="eastAsia" w:ascii="仿宋" w:hAnsi="仿宋" w:eastAsia="仿宋" w:cs="仿宋"/>
          <w:color w:val="000000"/>
          <w:sz w:val="28"/>
          <w:szCs w:val="28"/>
        </w:rPr>
        <w:fldChar w:fldCharType="end"/>
      </w:r>
      <w:r>
        <w:rPr>
          <w:rFonts w:hint="eastAsia" w:ascii="仿宋" w:hAnsi="仿宋" w:eastAsia="仿宋" w:cs="仿宋"/>
          <w:color w:val="000000"/>
          <w:sz w:val="28"/>
          <w:szCs w:val="28"/>
        </w:rPr>
        <w:t>收益法：虽然估价对象或其同类房地产有稳定的租金收入，但租金收入较低，运用租金收入进行评估会一定程度上低估房地产价值，因此不适宜选用收益法进行评估。</w:t>
      </w:r>
    </w:p>
    <w:p>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fldChar w:fldCharType="begin"/>
      </w:r>
      <w:r>
        <w:rPr>
          <w:rFonts w:hint="eastAsia" w:ascii="仿宋" w:hAnsi="仿宋" w:eastAsia="仿宋" w:cs="仿宋"/>
          <w:color w:val="000000"/>
          <w:sz w:val="28"/>
          <w:szCs w:val="28"/>
        </w:rPr>
        <w:instrText xml:space="preserve"> eq \o\ac(</w:instrText>
      </w:r>
      <w:r>
        <w:rPr>
          <w:rFonts w:hint="eastAsia" w:ascii="仿宋" w:hAnsi="仿宋" w:eastAsia="仿宋" w:cs="仿宋"/>
          <w:color w:val="000000"/>
          <w:position w:val="-5"/>
          <w:sz w:val="42"/>
          <w:szCs w:val="28"/>
        </w:rPr>
        <w:instrText xml:space="preserve">○</w:instrText>
      </w:r>
      <w:r>
        <w:rPr>
          <w:rFonts w:hint="eastAsia" w:ascii="仿宋" w:hAnsi="仿宋" w:eastAsia="仿宋" w:cs="仿宋"/>
          <w:color w:val="000000"/>
          <w:position w:val="0"/>
          <w:sz w:val="28"/>
          <w:szCs w:val="28"/>
        </w:rPr>
        <w:instrText xml:space="preserve">,2)</w:instrText>
      </w:r>
      <w:r>
        <w:rPr>
          <w:rFonts w:hint="eastAsia" w:ascii="仿宋" w:hAnsi="仿宋" w:eastAsia="仿宋" w:cs="仿宋"/>
          <w:color w:val="000000"/>
          <w:sz w:val="28"/>
          <w:szCs w:val="28"/>
        </w:rPr>
        <w:fldChar w:fldCharType="end"/>
      </w:r>
      <w:r>
        <w:rPr>
          <w:rFonts w:hint="eastAsia" w:ascii="仿宋" w:hAnsi="仿宋" w:eastAsia="仿宋" w:cs="仿宋"/>
          <w:color w:val="000000"/>
          <w:sz w:val="28"/>
          <w:szCs w:val="28"/>
        </w:rPr>
        <w:t>成本法：由于成本法是求取估价对象在价值时点的重置价格，测算过程未考虑估价对象所在区域周边环境、市场状况、房地产收益状况、房屋用途等因素对房地产价值的影响，若采用成本法进行评估会一定程度上低估房地产价值，因此不适宜选用成本法进行评估。</w:t>
      </w:r>
    </w:p>
    <w:p>
      <w:pPr>
        <w:numPr>
          <w:ins w:id="1" w:author="番茄花园" w:date=""/>
        </w:num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fldChar w:fldCharType="begin"/>
      </w:r>
      <w:r>
        <w:rPr>
          <w:rFonts w:hint="eastAsia" w:ascii="仿宋" w:hAnsi="仿宋" w:eastAsia="仿宋" w:cs="仿宋"/>
          <w:color w:val="000000"/>
          <w:sz w:val="28"/>
          <w:szCs w:val="28"/>
        </w:rPr>
        <w:instrText xml:space="preserve"> eq \o\ac(</w:instrText>
      </w:r>
      <w:r>
        <w:rPr>
          <w:rFonts w:hint="eastAsia" w:ascii="仿宋" w:hAnsi="仿宋" w:eastAsia="仿宋" w:cs="仿宋"/>
          <w:color w:val="000000"/>
          <w:position w:val="-5"/>
          <w:sz w:val="42"/>
          <w:szCs w:val="28"/>
        </w:rPr>
        <w:instrText xml:space="preserve">○</w:instrText>
      </w:r>
      <w:r>
        <w:rPr>
          <w:rFonts w:hint="eastAsia" w:ascii="仿宋" w:hAnsi="仿宋" w:eastAsia="仿宋" w:cs="仿宋"/>
          <w:color w:val="000000"/>
          <w:position w:val="0"/>
          <w:sz w:val="28"/>
          <w:szCs w:val="28"/>
        </w:rPr>
        <w:instrText xml:space="preserve">,3)</w:instrText>
      </w:r>
      <w:r>
        <w:rPr>
          <w:rFonts w:hint="eastAsia" w:ascii="仿宋" w:hAnsi="仿宋" w:eastAsia="仿宋" w:cs="仿宋"/>
          <w:color w:val="000000"/>
          <w:sz w:val="28"/>
          <w:szCs w:val="28"/>
        </w:rPr>
        <w:fldChar w:fldCharType="end"/>
      </w:r>
      <w:r>
        <w:rPr>
          <w:rFonts w:hint="eastAsia" w:ascii="仿宋" w:hAnsi="仿宋" w:eastAsia="仿宋" w:cs="仿宋"/>
          <w:color w:val="000000"/>
          <w:sz w:val="28"/>
          <w:szCs w:val="28"/>
        </w:rPr>
        <w:t>假设开发法：由于估价对象为已开发完成房地产，再投资开发潜力不大，因此不适宜选用假设开发法进行评估。</w:t>
      </w:r>
    </w:p>
    <w:p>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3、估价方法的定义</w:t>
      </w:r>
    </w:p>
    <w:p>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（1）比较法</w:t>
      </w:r>
    </w:p>
    <w:p>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比较法是指选取一定数量的可比实例，将它们与估价对象进行比较，根据其间的差异对可比实例成交价格进行处理后得到估价对象价值或价格的方法。</w:t>
      </w:r>
    </w:p>
    <w:p>
      <w:pPr>
        <w:spacing w:line="24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比较法的计算公式：</w:t>
      </w:r>
    </w:p>
    <w:p>
      <w:pPr>
        <w:spacing w:line="24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估价对象价格=可比实例价格×交易情况修正系数×市场状况调整修正系数×房地产状况调整系数</w:t>
      </w:r>
    </w:p>
    <w:p>
      <w:pPr>
        <w:pStyle w:val="3"/>
        <w:spacing w:before="120" w:beforeLines="50" w:after="120" w:afterLines="50" w:line="240" w:lineRule="auto"/>
        <w:ind w:firstLine="281" w:firstLineChars="100"/>
        <w:rPr>
          <w:rFonts w:hint="eastAsia" w:ascii="仿宋" w:hAnsi="仿宋" w:eastAsia="仿宋" w:cs="仿宋"/>
          <w:sz w:val="28"/>
          <w:szCs w:val="28"/>
        </w:rPr>
      </w:pPr>
      <w:r>
        <w:rPr>
          <w:rFonts w:hint="eastAsia" w:ascii="仿宋" w:hAnsi="仿宋" w:eastAsia="仿宋" w:cs="仿宋"/>
          <w:sz w:val="28"/>
          <w:szCs w:val="28"/>
        </w:rPr>
        <w:t>（十）估价结果</w:t>
      </w:r>
      <w:bookmarkEnd w:id="26"/>
      <w:bookmarkEnd w:id="27"/>
    </w:p>
    <w:p>
      <w:pPr>
        <w:autoSpaceDE w:val="0"/>
        <w:autoSpaceDN w:val="0"/>
        <w:adjustRightInd w:val="0"/>
        <w:spacing w:line="240" w:lineRule="auto"/>
        <w:ind w:firstLine="561"/>
        <w:jc w:val="center"/>
        <w:rPr>
          <w:rFonts w:hint="eastAsia" w:ascii="仿宋" w:hAnsi="仿宋" w:eastAsia="仿宋" w:cs="仿宋"/>
          <w:b/>
          <w:color w:val="000000"/>
          <w:sz w:val="28"/>
          <w:szCs w:val="28"/>
          <w:lang w:val="en-US" w:eastAsia="zh-CN"/>
        </w:rPr>
      </w:pPr>
      <w:bookmarkStart w:id="28" w:name="_Toc439338209"/>
      <w:bookmarkStart w:id="29" w:name="_Toc384127509"/>
      <w:r>
        <w:rPr>
          <w:rFonts w:hint="eastAsia" w:ascii="仿宋" w:hAnsi="仿宋" w:eastAsia="仿宋" w:cs="仿宋"/>
          <w:sz w:val="28"/>
          <w:szCs w:val="28"/>
        </w:rPr>
        <w:t>评估专业人员根据估价目的，遵循估价原则，根据市场调查，在认真分析所掌握资料与影响估价对象价值诸因素的基础上，结合估价对象的个别因素和使用现状，采用科学的估价方法进行分析、测算判断，最终确定估价对象在</w:t>
      </w:r>
      <w:r>
        <w:rPr>
          <w:rFonts w:hint="eastAsia" w:ascii="仿宋" w:hAnsi="仿宋" w:eastAsia="仿宋" w:cs="仿宋"/>
          <w:b/>
          <w:sz w:val="28"/>
          <w:szCs w:val="28"/>
          <w:lang w:eastAsia="zh-CN"/>
        </w:rPr>
        <w:t>201</w:t>
      </w:r>
      <w:r>
        <w:rPr>
          <w:rFonts w:hint="eastAsia" w:ascii="仿宋" w:hAnsi="仿宋" w:eastAsia="仿宋" w:cs="仿宋"/>
          <w:b/>
          <w:sz w:val="28"/>
          <w:szCs w:val="28"/>
          <w:lang w:val="en-US" w:eastAsia="zh-CN"/>
        </w:rPr>
        <w:t>9</w:t>
      </w:r>
      <w:r>
        <w:rPr>
          <w:rFonts w:hint="eastAsia" w:ascii="仿宋" w:hAnsi="仿宋" w:eastAsia="仿宋" w:cs="仿宋"/>
          <w:b/>
          <w:sz w:val="28"/>
          <w:szCs w:val="28"/>
          <w:lang w:eastAsia="zh-CN"/>
        </w:rPr>
        <w:t>年09月26日</w:t>
      </w:r>
      <w:r>
        <w:rPr>
          <w:rFonts w:hint="eastAsia" w:ascii="仿宋" w:hAnsi="仿宋" w:eastAsia="仿宋" w:cs="仿宋"/>
          <w:sz w:val="28"/>
          <w:szCs w:val="28"/>
        </w:rPr>
        <w:t>的市场价值为：</w:t>
      </w:r>
      <w:r>
        <w:rPr>
          <w:rFonts w:hint="eastAsia" w:ascii="仿宋" w:hAnsi="仿宋" w:eastAsia="仿宋" w:cs="仿宋"/>
          <w:b/>
          <w:bCs/>
          <w:color w:val="000000"/>
          <w:sz w:val="28"/>
          <w:szCs w:val="28"/>
          <w:lang w:eastAsia="zh-CN"/>
        </w:rPr>
        <w:t>（</w:t>
      </w:r>
      <w:r>
        <w:rPr>
          <w:rFonts w:hint="eastAsia" w:ascii="仿宋" w:hAnsi="仿宋" w:eastAsia="仿宋" w:cs="仿宋"/>
          <w:b/>
          <w:color w:val="000000"/>
          <w:sz w:val="28"/>
          <w:szCs w:val="28"/>
        </w:rPr>
        <w:t>￥</w:t>
      </w:r>
      <w:r>
        <w:rPr>
          <w:rFonts w:hint="eastAsia" w:ascii="仿宋" w:hAnsi="仿宋" w:eastAsia="仿宋" w:cs="仿宋"/>
          <w:b/>
          <w:color w:val="000000"/>
          <w:sz w:val="28"/>
          <w:szCs w:val="28"/>
          <w:lang w:val="en-US" w:eastAsia="zh-CN"/>
        </w:rPr>
        <w:t>4717684</w:t>
      </w:r>
    </w:p>
    <w:p>
      <w:pPr>
        <w:autoSpaceDE w:val="0"/>
        <w:autoSpaceDN w:val="0"/>
        <w:adjustRightInd w:val="0"/>
        <w:spacing w:line="240" w:lineRule="auto"/>
        <w:jc w:val="both"/>
        <w:rPr>
          <w:rFonts w:hint="eastAsia" w:ascii="仿宋" w:hAnsi="仿宋" w:eastAsia="仿宋" w:cs="仿宋"/>
          <w:b/>
          <w:bCs/>
          <w:spacing w:val="-20"/>
          <w:sz w:val="28"/>
          <w:szCs w:val="28"/>
          <w:lang w:val="en-US" w:eastAsia="zh-CN"/>
        </w:rPr>
      </w:pPr>
      <w:r>
        <w:rPr>
          <w:rFonts w:hint="eastAsia" w:ascii="仿宋" w:hAnsi="仿宋" w:eastAsia="仿宋" w:cs="仿宋"/>
          <w:b/>
          <w:color w:val="000000"/>
          <w:sz w:val="28"/>
          <w:szCs w:val="28"/>
          <w:lang w:eastAsia="zh-CN"/>
        </w:rPr>
        <w:t>元</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大写人民币</w:t>
      </w:r>
      <w:r>
        <w:rPr>
          <w:rFonts w:hint="eastAsia" w:ascii="仿宋" w:hAnsi="仿宋" w:eastAsia="仿宋" w:cs="仿宋"/>
          <w:b/>
          <w:bCs/>
          <w:color w:val="000000"/>
          <w:sz w:val="28"/>
          <w:szCs w:val="28"/>
        </w:rPr>
        <w:fldChar w:fldCharType="begin"/>
      </w:r>
      <w:r>
        <w:rPr>
          <w:rFonts w:hint="eastAsia" w:ascii="仿宋" w:hAnsi="仿宋" w:eastAsia="仿宋" w:cs="仿宋"/>
          <w:b/>
          <w:bCs/>
          <w:color w:val="000000"/>
          <w:sz w:val="28"/>
          <w:szCs w:val="28"/>
        </w:rPr>
        <w:instrText xml:space="preserve"> = 4717684 \* CHINESENUM4 \* MERGEFORMAT </w:instrText>
      </w:r>
      <w:r>
        <w:rPr>
          <w:rFonts w:hint="eastAsia" w:ascii="仿宋" w:hAnsi="仿宋" w:eastAsia="仿宋" w:cs="仿宋"/>
          <w:b/>
          <w:bCs/>
          <w:color w:val="000000"/>
          <w:sz w:val="28"/>
          <w:szCs w:val="28"/>
        </w:rPr>
        <w:fldChar w:fldCharType="separate"/>
      </w:r>
      <w:r>
        <w:rPr>
          <w:rFonts w:hint="eastAsia" w:ascii="仿宋" w:hAnsi="仿宋" w:eastAsia="仿宋" w:cs="仿宋"/>
          <w:b/>
          <w:bCs/>
          <w:sz w:val="28"/>
          <w:szCs w:val="28"/>
        </w:rPr>
        <w:t>肆佰柒拾壹万柒仟陆佰捌拾肆元整</w:t>
      </w:r>
      <w:r>
        <w:rPr>
          <w:rFonts w:hint="eastAsia" w:ascii="仿宋" w:hAnsi="仿宋" w:eastAsia="仿宋" w:cs="仿宋"/>
          <w:b/>
          <w:bCs/>
          <w:color w:val="000000"/>
          <w:sz w:val="28"/>
          <w:szCs w:val="28"/>
        </w:rPr>
        <w:fldChar w:fldCharType="end"/>
      </w:r>
      <w:r>
        <w:rPr>
          <w:rFonts w:hint="eastAsia" w:ascii="仿宋" w:hAnsi="仿宋" w:eastAsia="仿宋" w:cs="仿宋"/>
          <w:b/>
          <w:bCs/>
          <w:color w:val="000000"/>
          <w:sz w:val="28"/>
          <w:szCs w:val="28"/>
          <w:lang w:eastAsia="zh-CN"/>
        </w:rPr>
        <w:t>。</w:t>
      </w:r>
    </w:p>
    <w:p>
      <w:pPr>
        <w:autoSpaceDE w:val="0"/>
        <w:autoSpaceDN w:val="0"/>
        <w:adjustRightInd w:val="0"/>
        <w:spacing w:line="240" w:lineRule="auto"/>
        <w:ind w:firstLine="3280" w:firstLineChars="1167"/>
        <w:jc w:val="both"/>
        <w:rPr>
          <w:rFonts w:hint="eastAsia" w:ascii="仿宋" w:hAnsi="仿宋" w:eastAsia="仿宋" w:cs="仿宋"/>
          <w:b/>
          <w:sz w:val="28"/>
          <w:szCs w:val="28"/>
        </w:rPr>
      </w:pPr>
      <w:r>
        <w:rPr>
          <w:rFonts w:hint="eastAsia" w:ascii="仿宋" w:hAnsi="仿宋" w:eastAsia="仿宋" w:cs="仿宋"/>
          <w:b/>
          <w:sz w:val="28"/>
          <w:szCs w:val="28"/>
        </w:rPr>
        <w:t>估价结果汇总表</w:t>
      </w:r>
    </w:p>
    <w:tbl>
      <w:tblPr>
        <w:tblStyle w:val="8"/>
        <w:tblW w:w="738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35"/>
        <w:gridCol w:w="2257"/>
        <w:gridCol w:w="28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9" w:hRule="atLeast"/>
          <w:jc w:val="center"/>
        </w:trPr>
        <w:tc>
          <w:tcPr>
            <w:tcW w:w="4492" w:type="dxa"/>
            <w:gridSpan w:val="2"/>
            <w:tcBorders>
              <w:tl2br w:val="single" w:color="auto" w:sz="6" w:space="0"/>
            </w:tcBorders>
            <w:vAlign w:val="center"/>
          </w:tcPr>
          <w:p>
            <w:pPr>
              <w:widowControl/>
              <w:spacing w:line="240" w:lineRule="auto"/>
              <w:jc w:val="center"/>
              <w:rPr>
                <w:rFonts w:hint="eastAsia" w:ascii="仿宋" w:hAnsi="仿宋" w:eastAsia="仿宋" w:cs="仿宋"/>
                <w:b/>
                <w:kern w:val="0"/>
                <w:szCs w:val="21"/>
              </w:rPr>
            </w:pPr>
            <w:r>
              <w:rPr>
                <w:rFonts w:hint="eastAsia" w:ascii="仿宋" w:hAnsi="仿宋" w:eastAsia="仿宋" w:cs="仿宋"/>
                <w:b/>
                <w:kern w:val="0"/>
                <w:szCs w:val="21"/>
                <w:lang w:val="en-US" w:eastAsia="zh-CN"/>
              </w:rPr>
              <w:t xml:space="preserve">                                </w:t>
            </w:r>
            <w:r>
              <w:rPr>
                <w:rFonts w:hint="eastAsia" w:ascii="仿宋" w:hAnsi="仿宋" w:eastAsia="仿宋" w:cs="仿宋"/>
                <w:b/>
                <w:kern w:val="0"/>
                <w:szCs w:val="21"/>
              </w:rPr>
              <w:t>估价方法</w:t>
            </w:r>
          </w:p>
          <w:p>
            <w:pPr>
              <w:widowControl/>
              <w:spacing w:line="240" w:lineRule="auto"/>
              <w:jc w:val="both"/>
              <w:rPr>
                <w:rFonts w:hint="eastAsia" w:ascii="仿宋" w:hAnsi="仿宋" w:eastAsia="仿宋" w:cs="仿宋"/>
                <w:b/>
                <w:kern w:val="0"/>
                <w:szCs w:val="21"/>
              </w:rPr>
            </w:pPr>
            <w:r>
              <w:rPr>
                <w:rFonts w:hint="eastAsia" w:ascii="仿宋" w:hAnsi="仿宋" w:eastAsia="仿宋" w:cs="仿宋"/>
                <w:b/>
                <w:kern w:val="0"/>
                <w:szCs w:val="21"/>
              </w:rPr>
              <w:t>相关结果</w:t>
            </w:r>
          </w:p>
        </w:tc>
        <w:tc>
          <w:tcPr>
            <w:tcW w:w="2894" w:type="dxa"/>
            <w:vAlign w:val="center"/>
          </w:tcPr>
          <w:p>
            <w:pPr>
              <w:spacing w:line="240" w:lineRule="auto"/>
              <w:jc w:val="center"/>
              <w:rPr>
                <w:rFonts w:hint="eastAsia" w:ascii="仿宋" w:hAnsi="仿宋" w:eastAsia="仿宋" w:cs="仿宋"/>
                <w:b/>
                <w:color w:val="FF0000"/>
                <w:kern w:val="0"/>
                <w:szCs w:val="21"/>
              </w:rPr>
            </w:pPr>
            <w:r>
              <w:rPr>
                <w:rFonts w:hint="eastAsia" w:ascii="仿宋" w:hAnsi="仿宋" w:eastAsia="仿宋" w:cs="仿宋"/>
                <w:szCs w:val="21"/>
                <w:lang w:eastAsia="zh-CN"/>
              </w:rPr>
              <w:t>比较</w:t>
            </w:r>
            <w:r>
              <w:rPr>
                <w:rFonts w:hint="eastAsia" w:ascii="仿宋" w:hAnsi="仿宋" w:eastAsia="仿宋" w:cs="仿宋"/>
                <w:szCs w:val="21"/>
              </w:rPr>
              <w:t>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2235" w:type="dxa"/>
            <w:vMerge w:val="restart"/>
            <w:vAlign w:val="center"/>
          </w:tcPr>
          <w:p>
            <w:pPr>
              <w:spacing w:line="240" w:lineRule="auto"/>
              <w:jc w:val="center"/>
              <w:rPr>
                <w:rFonts w:hint="eastAsia" w:ascii="仿宋" w:hAnsi="仿宋" w:eastAsia="仿宋" w:cs="仿宋"/>
                <w:sz w:val="21"/>
                <w:szCs w:val="21"/>
              </w:rPr>
            </w:pPr>
            <w:r>
              <w:rPr>
                <w:rFonts w:hint="eastAsia" w:ascii="仿宋" w:hAnsi="仿宋" w:eastAsia="仿宋" w:cs="仿宋"/>
                <w:color w:val="000000"/>
                <w:sz w:val="21"/>
                <w:szCs w:val="21"/>
                <w:lang w:val="en-US" w:eastAsia="zh-CN"/>
              </w:rPr>
              <w:t>古城路名人苑42栋101-201复式</w:t>
            </w:r>
          </w:p>
        </w:tc>
        <w:tc>
          <w:tcPr>
            <w:tcW w:w="2257" w:type="dxa"/>
            <w:vAlign w:val="center"/>
          </w:tcPr>
          <w:p>
            <w:pPr>
              <w:spacing w:line="240" w:lineRule="auto"/>
              <w:jc w:val="center"/>
              <w:rPr>
                <w:rFonts w:hint="eastAsia" w:ascii="仿宋" w:hAnsi="仿宋" w:eastAsia="仿宋" w:cs="仿宋"/>
                <w:szCs w:val="21"/>
              </w:rPr>
            </w:pPr>
            <w:r>
              <w:rPr>
                <w:rFonts w:hint="eastAsia" w:ascii="仿宋" w:hAnsi="仿宋" w:eastAsia="仿宋" w:cs="仿宋"/>
                <w:szCs w:val="21"/>
              </w:rPr>
              <w:t>单价（元/㎡）</w:t>
            </w:r>
          </w:p>
        </w:tc>
        <w:tc>
          <w:tcPr>
            <w:tcW w:w="2894" w:type="dxa"/>
            <w:vAlign w:val="center"/>
          </w:tcPr>
          <w:p>
            <w:pPr>
              <w:spacing w:line="240" w:lineRule="exact"/>
              <w:jc w:val="center"/>
              <w:rPr>
                <w:rFonts w:hint="eastAsia" w:ascii="仿宋" w:hAnsi="仿宋" w:eastAsia="仿宋" w:cs="仿宋"/>
                <w:sz w:val="24"/>
                <w:szCs w:val="24"/>
                <w:lang w:val="en-US" w:eastAsia="zh-CN"/>
              </w:rPr>
            </w:pPr>
            <w:r>
              <w:rPr>
                <w:rFonts w:hint="eastAsia" w:ascii="仿宋" w:hAnsi="仿宋" w:eastAsia="仿宋" w:cs="仿宋"/>
                <w:color w:val="000000"/>
                <w:sz w:val="21"/>
                <w:szCs w:val="21"/>
                <w:lang w:val="en-US" w:eastAsia="zh-CN"/>
              </w:rPr>
              <w:t>5038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7" w:hRule="atLeast"/>
          <w:jc w:val="center"/>
        </w:trPr>
        <w:tc>
          <w:tcPr>
            <w:tcW w:w="2235" w:type="dxa"/>
            <w:vMerge w:val="continue"/>
            <w:vAlign w:val="center"/>
          </w:tcPr>
          <w:p>
            <w:pPr>
              <w:spacing w:line="240" w:lineRule="auto"/>
              <w:jc w:val="center"/>
              <w:rPr>
                <w:rFonts w:hint="eastAsia" w:ascii="仿宋" w:hAnsi="仿宋" w:eastAsia="仿宋" w:cs="仿宋"/>
                <w:sz w:val="21"/>
                <w:szCs w:val="21"/>
              </w:rPr>
            </w:pPr>
          </w:p>
        </w:tc>
        <w:tc>
          <w:tcPr>
            <w:tcW w:w="2257" w:type="dxa"/>
            <w:vAlign w:val="center"/>
          </w:tcPr>
          <w:p>
            <w:pPr>
              <w:spacing w:line="240" w:lineRule="auto"/>
              <w:jc w:val="center"/>
              <w:rPr>
                <w:rFonts w:hint="eastAsia" w:ascii="仿宋" w:hAnsi="仿宋" w:eastAsia="仿宋" w:cs="仿宋"/>
                <w:szCs w:val="21"/>
              </w:rPr>
            </w:pPr>
            <w:r>
              <w:rPr>
                <w:rFonts w:hint="eastAsia" w:ascii="仿宋" w:hAnsi="仿宋" w:eastAsia="仿宋" w:cs="仿宋"/>
                <w:szCs w:val="21"/>
              </w:rPr>
              <w:t>总价（万元）</w:t>
            </w:r>
          </w:p>
        </w:tc>
        <w:tc>
          <w:tcPr>
            <w:tcW w:w="2894" w:type="dxa"/>
            <w:vAlign w:val="center"/>
          </w:tcPr>
          <w:p>
            <w:pPr>
              <w:spacing w:line="240" w:lineRule="exact"/>
              <w:jc w:val="center"/>
              <w:rPr>
                <w:rFonts w:hint="eastAsia" w:ascii="仿宋" w:hAnsi="仿宋" w:eastAsia="仿宋" w:cs="仿宋"/>
                <w:sz w:val="24"/>
                <w:szCs w:val="24"/>
                <w:lang w:val="en-US" w:eastAsia="zh-CN"/>
              </w:rPr>
            </w:pPr>
            <w:r>
              <w:rPr>
                <w:rFonts w:hint="eastAsia" w:ascii="仿宋" w:hAnsi="仿宋" w:eastAsia="仿宋" w:cs="仿宋"/>
                <w:color w:val="000000"/>
                <w:sz w:val="21"/>
                <w:szCs w:val="21"/>
                <w:lang w:val="en-US" w:eastAsia="zh-CN"/>
              </w:rPr>
              <w:t>2358842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2235" w:type="dxa"/>
            <w:vMerge w:val="restart"/>
            <w:vAlign w:val="center"/>
          </w:tcPr>
          <w:p>
            <w:pPr>
              <w:spacing w:line="240" w:lineRule="auto"/>
              <w:jc w:val="center"/>
              <w:rPr>
                <w:rFonts w:hint="eastAsia" w:ascii="仿宋" w:hAnsi="仿宋" w:eastAsia="仿宋" w:cs="仿宋"/>
                <w:sz w:val="21"/>
                <w:szCs w:val="21"/>
              </w:rPr>
            </w:pPr>
            <w:r>
              <w:rPr>
                <w:rFonts w:hint="eastAsia" w:ascii="仿宋" w:hAnsi="仿宋" w:eastAsia="仿宋" w:cs="仿宋"/>
                <w:color w:val="000000"/>
                <w:sz w:val="21"/>
                <w:szCs w:val="21"/>
                <w:lang w:val="en-US" w:eastAsia="zh-CN"/>
              </w:rPr>
              <w:t>古城路名人苑43栋101-201复式</w:t>
            </w:r>
          </w:p>
        </w:tc>
        <w:tc>
          <w:tcPr>
            <w:tcW w:w="2257" w:type="dxa"/>
            <w:vAlign w:val="center"/>
          </w:tcPr>
          <w:p>
            <w:pPr>
              <w:spacing w:line="240" w:lineRule="auto"/>
              <w:jc w:val="center"/>
              <w:rPr>
                <w:rFonts w:hint="eastAsia" w:ascii="仿宋" w:hAnsi="仿宋" w:eastAsia="仿宋" w:cs="仿宋"/>
                <w:szCs w:val="21"/>
              </w:rPr>
            </w:pPr>
            <w:r>
              <w:rPr>
                <w:rFonts w:hint="eastAsia" w:ascii="仿宋" w:hAnsi="仿宋" w:eastAsia="仿宋" w:cs="仿宋"/>
                <w:szCs w:val="21"/>
              </w:rPr>
              <w:t>单价（元/㎡）</w:t>
            </w:r>
          </w:p>
        </w:tc>
        <w:tc>
          <w:tcPr>
            <w:tcW w:w="2894" w:type="dxa"/>
            <w:vAlign w:val="center"/>
          </w:tcPr>
          <w:p>
            <w:pPr>
              <w:spacing w:line="240" w:lineRule="auto"/>
              <w:jc w:val="center"/>
              <w:rPr>
                <w:rFonts w:hint="eastAsia" w:ascii="仿宋" w:hAnsi="仿宋" w:eastAsia="仿宋" w:cs="仿宋"/>
                <w:sz w:val="24"/>
                <w:szCs w:val="24"/>
                <w:lang w:val="en-US" w:eastAsia="zh-CN"/>
              </w:rPr>
            </w:pPr>
            <w:r>
              <w:rPr>
                <w:rFonts w:hint="eastAsia" w:ascii="仿宋" w:hAnsi="仿宋" w:eastAsia="仿宋" w:cs="仿宋"/>
                <w:color w:val="000000"/>
                <w:sz w:val="21"/>
                <w:szCs w:val="21"/>
                <w:lang w:val="en-US" w:eastAsia="zh-CN"/>
              </w:rPr>
              <w:t>5038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2235" w:type="dxa"/>
            <w:vMerge w:val="continue"/>
            <w:vAlign w:val="center"/>
          </w:tcPr>
          <w:p>
            <w:pPr>
              <w:spacing w:line="240" w:lineRule="auto"/>
              <w:jc w:val="center"/>
              <w:rPr>
                <w:rFonts w:hint="eastAsia" w:ascii="仿宋" w:hAnsi="仿宋" w:eastAsia="仿宋" w:cs="仿宋"/>
                <w:sz w:val="21"/>
                <w:szCs w:val="21"/>
              </w:rPr>
            </w:pPr>
          </w:p>
        </w:tc>
        <w:tc>
          <w:tcPr>
            <w:tcW w:w="2257" w:type="dxa"/>
            <w:vAlign w:val="center"/>
          </w:tcPr>
          <w:p>
            <w:pPr>
              <w:spacing w:line="240" w:lineRule="auto"/>
              <w:jc w:val="center"/>
              <w:rPr>
                <w:rFonts w:hint="eastAsia" w:ascii="仿宋" w:hAnsi="仿宋" w:eastAsia="仿宋" w:cs="仿宋"/>
                <w:szCs w:val="21"/>
              </w:rPr>
            </w:pPr>
            <w:r>
              <w:rPr>
                <w:rFonts w:hint="eastAsia" w:ascii="仿宋" w:hAnsi="仿宋" w:eastAsia="仿宋" w:cs="仿宋"/>
                <w:szCs w:val="21"/>
              </w:rPr>
              <w:t>总价（万元）</w:t>
            </w:r>
          </w:p>
        </w:tc>
        <w:tc>
          <w:tcPr>
            <w:tcW w:w="2894" w:type="dxa"/>
            <w:vAlign w:val="center"/>
          </w:tcPr>
          <w:p>
            <w:pPr>
              <w:spacing w:line="240" w:lineRule="auto"/>
              <w:jc w:val="center"/>
              <w:rPr>
                <w:rFonts w:hint="eastAsia" w:ascii="仿宋" w:hAnsi="仿宋" w:eastAsia="仿宋" w:cs="仿宋"/>
                <w:sz w:val="24"/>
                <w:szCs w:val="24"/>
                <w:lang w:val="en-US" w:eastAsia="zh-CN"/>
              </w:rPr>
            </w:pPr>
            <w:r>
              <w:rPr>
                <w:rFonts w:hint="eastAsia" w:ascii="仿宋" w:hAnsi="仿宋" w:eastAsia="仿宋" w:cs="仿宋"/>
                <w:color w:val="000000"/>
                <w:sz w:val="21"/>
                <w:szCs w:val="21"/>
                <w:lang w:val="en-US" w:eastAsia="zh-CN"/>
              </w:rPr>
              <w:t>2358842</w:t>
            </w:r>
          </w:p>
        </w:tc>
      </w:tr>
      <w:bookmarkEnd w:id="28"/>
      <w:bookmarkEnd w:id="29"/>
    </w:tbl>
    <w:p>
      <w:pPr>
        <w:pStyle w:val="3"/>
        <w:spacing w:before="120" w:beforeLines="50" w:after="120" w:afterLines="50" w:line="240" w:lineRule="auto"/>
        <w:ind w:firstLine="281" w:firstLineChars="100"/>
        <w:rPr>
          <w:rFonts w:hint="eastAsia" w:ascii="仿宋" w:hAnsi="仿宋" w:eastAsia="仿宋" w:cs="仿宋"/>
        </w:rPr>
      </w:pPr>
      <w:bookmarkStart w:id="30" w:name="_Toc20484"/>
      <w:bookmarkStart w:id="31" w:name="_Toc487812254"/>
      <w:bookmarkStart w:id="32" w:name="_Toc471396307"/>
      <w:r>
        <w:rPr>
          <w:rFonts w:hint="eastAsia" w:ascii="仿宋" w:hAnsi="仿宋" w:eastAsia="仿宋" w:cs="仿宋"/>
        </w:rPr>
        <w:t>（十一）</w:t>
      </w:r>
      <w:bookmarkEnd w:id="30"/>
      <w:bookmarkEnd w:id="31"/>
      <w:bookmarkEnd w:id="32"/>
      <w:bookmarkStart w:id="33" w:name="_Toc11738"/>
      <w:bookmarkStart w:id="34" w:name="_Toc471396308"/>
      <w:bookmarkStart w:id="35" w:name="_Toc487812255"/>
      <w:r>
        <w:rPr>
          <w:rFonts w:hint="eastAsia" w:ascii="仿宋" w:hAnsi="仿宋" w:eastAsia="仿宋" w:cs="仿宋"/>
        </w:rPr>
        <w:t>实地查勘期</w:t>
      </w:r>
      <w:bookmarkEnd w:id="33"/>
      <w:bookmarkEnd w:id="34"/>
      <w:bookmarkEnd w:id="35"/>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201</w:t>
      </w:r>
      <w:r>
        <w:rPr>
          <w:rFonts w:hint="eastAsia" w:ascii="仿宋" w:hAnsi="仿宋" w:eastAsia="仿宋" w:cs="仿宋"/>
          <w:sz w:val="28"/>
          <w:szCs w:val="28"/>
          <w:lang w:val="en-US" w:eastAsia="zh-CN"/>
        </w:rPr>
        <w:t>9</w:t>
      </w:r>
      <w:r>
        <w:rPr>
          <w:rFonts w:hint="eastAsia" w:ascii="仿宋" w:hAnsi="仿宋" w:eastAsia="仿宋" w:cs="仿宋"/>
          <w:sz w:val="28"/>
          <w:szCs w:val="28"/>
        </w:rPr>
        <w:t>年</w:t>
      </w:r>
      <w:r>
        <w:rPr>
          <w:rFonts w:hint="eastAsia" w:ascii="仿宋" w:hAnsi="仿宋" w:eastAsia="仿宋" w:cs="仿宋"/>
          <w:sz w:val="28"/>
          <w:szCs w:val="28"/>
          <w:lang w:val="en-US" w:eastAsia="zh-CN"/>
        </w:rPr>
        <w:t>09月26日</w:t>
      </w:r>
      <w:bookmarkStart w:id="36" w:name="_Toc471396309"/>
      <w:bookmarkStart w:id="37" w:name="_Toc487812256"/>
      <w:bookmarkStart w:id="38" w:name="_Toc31383"/>
    </w:p>
    <w:p>
      <w:pPr>
        <w:spacing w:line="240" w:lineRule="auto"/>
        <w:ind w:firstLine="280" w:firstLineChars="100"/>
        <w:rPr>
          <w:rFonts w:hint="eastAsia" w:ascii="仿宋" w:hAnsi="仿宋" w:eastAsia="仿宋" w:cs="仿宋"/>
          <w:b/>
          <w:bCs/>
          <w:sz w:val="28"/>
          <w:szCs w:val="28"/>
        </w:rPr>
      </w:pPr>
      <w:r>
        <w:rPr>
          <w:rFonts w:hint="eastAsia" w:ascii="仿宋" w:hAnsi="仿宋" w:eastAsia="仿宋" w:cs="仿宋"/>
          <w:sz w:val="28"/>
          <w:szCs w:val="28"/>
        </w:rPr>
        <w:t>（十二）</w:t>
      </w:r>
      <w:r>
        <w:rPr>
          <w:rFonts w:hint="eastAsia" w:ascii="仿宋" w:hAnsi="仿宋" w:eastAsia="仿宋" w:cs="仿宋"/>
          <w:b/>
          <w:bCs/>
          <w:sz w:val="28"/>
          <w:szCs w:val="28"/>
        </w:rPr>
        <w:t>估价作业期</w:t>
      </w:r>
      <w:bookmarkEnd w:id="36"/>
      <w:bookmarkEnd w:id="37"/>
      <w:bookmarkEnd w:id="38"/>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201</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年</w:t>
      </w:r>
      <w:r>
        <w:rPr>
          <w:rFonts w:hint="eastAsia" w:ascii="仿宋" w:hAnsi="仿宋" w:eastAsia="仿宋" w:cs="仿宋"/>
          <w:sz w:val="28"/>
          <w:szCs w:val="28"/>
          <w:lang w:val="en-US" w:eastAsia="zh-CN"/>
        </w:rPr>
        <w:t>09</w:t>
      </w:r>
      <w:r>
        <w:rPr>
          <w:rFonts w:hint="eastAsia" w:ascii="仿宋" w:hAnsi="仿宋" w:eastAsia="仿宋" w:cs="仿宋"/>
          <w:sz w:val="28"/>
          <w:szCs w:val="28"/>
          <w:lang w:eastAsia="zh-CN"/>
        </w:rPr>
        <w:t>月</w:t>
      </w:r>
      <w:r>
        <w:rPr>
          <w:rFonts w:hint="eastAsia" w:ascii="仿宋" w:hAnsi="仿宋" w:eastAsia="仿宋" w:cs="仿宋"/>
          <w:sz w:val="28"/>
          <w:szCs w:val="28"/>
          <w:lang w:val="en-US" w:eastAsia="zh-CN"/>
        </w:rPr>
        <w:t>26</w:t>
      </w:r>
      <w:r>
        <w:rPr>
          <w:rFonts w:hint="eastAsia" w:ascii="仿宋" w:hAnsi="仿宋" w:eastAsia="仿宋" w:cs="仿宋"/>
          <w:sz w:val="28"/>
          <w:szCs w:val="28"/>
          <w:lang w:eastAsia="zh-CN"/>
        </w:rPr>
        <w:t>日</w:t>
      </w:r>
      <w:r>
        <w:rPr>
          <w:rFonts w:hint="eastAsia" w:ascii="仿宋" w:hAnsi="仿宋" w:eastAsia="仿宋" w:cs="仿宋"/>
          <w:sz w:val="28"/>
          <w:szCs w:val="28"/>
        </w:rPr>
        <w:t>至201</w:t>
      </w:r>
      <w:r>
        <w:rPr>
          <w:rFonts w:hint="eastAsia" w:ascii="仿宋" w:hAnsi="仿宋" w:eastAsia="仿宋" w:cs="仿宋"/>
          <w:sz w:val="28"/>
          <w:szCs w:val="28"/>
          <w:lang w:val="en-US" w:eastAsia="zh-CN"/>
        </w:rPr>
        <w:t>9</w:t>
      </w:r>
      <w:r>
        <w:rPr>
          <w:rFonts w:hint="eastAsia" w:ascii="仿宋" w:hAnsi="仿宋" w:eastAsia="仿宋" w:cs="仿宋"/>
          <w:sz w:val="28"/>
          <w:szCs w:val="28"/>
        </w:rPr>
        <w:t>年</w:t>
      </w:r>
      <w:r>
        <w:rPr>
          <w:rFonts w:hint="eastAsia" w:ascii="仿宋" w:hAnsi="仿宋" w:eastAsia="仿宋" w:cs="仿宋"/>
          <w:sz w:val="28"/>
          <w:szCs w:val="28"/>
          <w:lang w:val="en-US" w:eastAsia="zh-CN"/>
        </w:rPr>
        <w:t>10</w:t>
      </w:r>
      <w:r>
        <w:rPr>
          <w:rFonts w:hint="eastAsia" w:ascii="仿宋" w:hAnsi="仿宋" w:eastAsia="仿宋" w:cs="仿宋"/>
          <w:sz w:val="28"/>
          <w:szCs w:val="28"/>
        </w:rPr>
        <w:t>月</w:t>
      </w:r>
      <w:r>
        <w:rPr>
          <w:rFonts w:hint="eastAsia" w:ascii="仿宋" w:hAnsi="仿宋" w:eastAsia="仿宋" w:cs="仿宋"/>
          <w:sz w:val="28"/>
          <w:szCs w:val="28"/>
          <w:lang w:val="en-US" w:eastAsia="zh-CN"/>
        </w:rPr>
        <w:t>26</w:t>
      </w:r>
      <w:r>
        <w:rPr>
          <w:rFonts w:hint="eastAsia" w:ascii="仿宋" w:hAnsi="仿宋" w:eastAsia="仿宋" w:cs="仿宋"/>
          <w:sz w:val="28"/>
          <w:szCs w:val="28"/>
        </w:rPr>
        <w:t>日</w:t>
      </w:r>
    </w:p>
    <w:p>
      <w:pPr>
        <w:rPr>
          <w:rFonts w:hint="eastAsia" w:ascii="仿宋" w:hAnsi="仿宋" w:eastAsia="仿宋" w:cs="仿宋"/>
          <w:sz w:val="36"/>
          <w:szCs w:val="36"/>
          <w:lang w:val="zh-CN"/>
        </w:rPr>
      </w:pPr>
      <w:bookmarkStart w:id="39" w:name="_Toc4244"/>
      <w:bookmarkStart w:id="40" w:name="_Toc488670939"/>
      <w:r>
        <w:rPr>
          <w:rFonts w:hint="eastAsia" w:ascii="仿宋" w:hAnsi="仿宋" w:eastAsia="仿宋" w:cs="仿宋"/>
          <w:sz w:val="36"/>
          <w:szCs w:val="36"/>
          <w:lang w:val="zh-CN"/>
        </w:rPr>
        <w:br w:type="page"/>
      </w:r>
    </w:p>
    <w:p>
      <w:pPr>
        <w:pStyle w:val="2"/>
        <w:tabs>
          <w:tab w:val="left" w:pos="6300"/>
        </w:tabs>
        <w:spacing w:before="120" w:beforeLines="50" w:after="120" w:afterLines="50" w:line="240" w:lineRule="auto"/>
        <w:jc w:val="center"/>
        <w:rPr>
          <w:rFonts w:hint="eastAsia" w:ascii="仿宋" w:hAnsi="仿宋" w:eastAsia="仿宋" w:cs="仿宋"/>
          <w:sz w:val="36"/>
          <w:szCs w:val="36"/>
          <w:lang w:val="zh-CN"/>
        </w:rPr>
      </w:pPr>
      <w:r>
        <w:rPr>
          <w:rFonts w:hint="eastAsia" w:ascii="仿宋" w:hAnsi="仿宋" w:eastAsia="仿宋" w:cs="仿宋"/>
          <w:sz w:val="36"/>
          <w:szCs w:val="36"/>
          <w:lang w:val="zh-CN"/>
        </w:rPr>
        <w:t>四、附  件</w:t>
      </w:r>
      <w:bookmarkEnd w:id="39"/>
      <w:bookmarkEnd w:id="40"/>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浮梁县</w:t>
      </w:r>
      <w:r>
        <w:rPr>
          <w:rFonts w:hint="eastAsia" w:ascii="仿宋" w:hAnsi="仿宋" w:eastAsia="仿宋" w:cs="仿宋"/>
          <w:sz w:val="28"/>
          <w:szCs w:val="28"/>
        </w:rPr>
        <w:t>人民法院</w:t>
      </w:r>
      <w:r>
        <w:rPr>
          <w:rFonts w:hint="eastAsia" w:ascii="仿宋" w:hAnsi="仿宋" w:eastAsia="仿宋" w:cs="仿宋"/>
          <w:sz w:val="28"/>
          <w:szCs w:val="28"/>
          <w:lang w:eastAsia="zh-CN"/>
        </w:rPr>
        <w:t>价格评估委托书</w:t>
      </w:r>
      <w:r>
        <w:rPr>
          <w:rFonts w:hint="eastAsia" w:ascii="仿宋" w:hAnsi="仿宋" w:eastAsia="仿宋" w:cs="仿宋"/>
          <w:sz w:val="28"/>
          <w:szCs w:val="28"/>
        </w:rPr>
        <w:t>》（编号：</w:t>
      </w:r>
      <w:r>
        <w:rPr>
          <w:rFonts w:hint="eastAsia" w:ascii="仿宋" w:hAnsi="仿宋" w:eastAsia="仿宋" w:cs="仿宋"/>
          <w:sz w:val="28"/>
          <w:szCs w:val="28"/>
          <w:lang w:eastAsia="zh-CN"/>
        </w:rPr>
        <w:t>（2019）赣0222执153号</w:t>
      </w:r>
      <w:r>
        <w:rPr>
          <w:rFonts w:hint="eastAsia" w:ascii="仿宋" w:hAnsi="仿宋" w:eastAsia="仿宋" w:cs="仿宋"/>
          <w:sz w:val="28"/>
          <w:szCs w:val="28"/>
        </w:rPr>
        <w:t>）</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2、估价对象位置图</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3、估价对象现状照片</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eastAsia="zh-CN"/>
        </w:rPr>
        <w:t>房屋所有权证</w:t>
      </w:r>
      <w:r>
        <w:rPr>
          <w:rFonts w:hint="eastAsia" w:ascii="仿宋" w:hAnsi="仿宋" w:eastAsia="仿宋" w:cs="仿宋"/>
          <w:sz w:val="28"/>
          <w:szCs w:val="28"/>
        </w:rPr>
        <w:t>》复印件</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w:t>
      </w:r>
      <w:r>
        <w:rPr>
          <w:rFonts w:hint="eastAsia" w:ascii="仿宋" w:hAnsi="仿宋" w:eastAsia="仿宋" w:cs="仿宋"/>
          <w:sz w:val="28"/>
          <w:szCs w:val="28"/>
          <w:lang w:eastAsia="zh-CN"/>
        </w:rPr>
        <w:t>浮梁县人民法院委托评估财产清单</w:t>
      </w:r>
      <w:r>
        <w:rPr>
          <w:rFonts w:hint="eastAsia" w:ascii="仿宋" w:hAnsi="仿宋" w:eastAsia="仿宋" w:cs="仿宋"/>
          <w:sz w:val="28"/>
          <w:szCs w:val="28"/>
        </w:rPr>
        <w:t>》复印件</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、房地产估价机构营业执照（副本）复印件</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、房地产估价机构资质证书复印件</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、注册房地产估价师资格证书复印件</w:t>
      </w:r>
    </w:p>
    <w:p>
      <w:pPr>
        <w:spacing w:line="240" w:lineRule="auto"/>
        <w:rPr>
          <w:rFonts w:hint="eastAsia" w:ascii="仿宋" w:hAnsi="仿宋" w:eastAsia="仿宋" w:cs="仿宋"/>
          <w:lang w:val="en-US" w:eastAsia="zh-CN"/>
        </w:rPr>
        <w:sectPr>
          <w:pgSz w:w="11906" w:h="16838"/>
          <w:pgMar w:top="1440" w:right="1800" w:bottom="1440" w:left="1800" w:header="851" w:footer="992" w:gutter="0"/>
          <w:pgNumType w:fmt="decimal"/>
          <w:cols w:space="425" w:num="1"/>
          <w:docGrid w:type="lines" w:linePitch="312" w:charSpace="0"/>
        </w:sectPr>
      </w:pPr>
    </w:p>
    <w:p>
      <w:pPr>
        <w:jc w:val="center"/>
        <w:rPr>
          <w:rFonts w:hint="eastAsia"/>
        </w:rPr>
      </w:pPr>
      <w:r>
        <w:rPr>
          <w:rFonts w:hint="eastAsia"/>
          <w:b/>
          <w:sz w:val="32"/>
          <w:szCs w:val="32"/>
        </w:rPr>
        <w:t>估价对象位置示意图</w:t>
      </w:r>
    </w:p>
    <w:p>
      <w:pPr>
        <w:rPr>
          <w:rFonts w:hint="eastAsia"/>
        </w:rPr>
      </w:pPr>
      <w:r>
        <mc:AlternateContent>
          <mc:Choice Requires="wps">
            <w:drawing>
              <wp:anchor distT="0" distB="0" distL="114300" distR="114300" simplePos="0" relativeHeight="251687936" behindDoc="0" locked="0" layoutInCell="1" allowOverlap="1">
                <wp:simplePos x="0" y="0"/>
                <wp:positionH relativeFrom="column">
                  <wp:posOffset>958215</wp:posOffset>
                </wp:positionH>
                <wp:positionV relativeFrom="paragraph">
                  <wp:posOffset>137160</wp:posOffset>
                </wp:positionV>
                <wp:extent cx="7523480" cy="3828415"/>
                <wp:effectExtent l="19050" t="19050" r="26670" b="26035"/>
                <wp:wrapNone/>
                <wp:docPr id="1" name="文本框 1"/>
                <wp:cNvGraphicFramePr/>
                <a:graphic xmlns:a="http://schemas.openxmlformats.org/drawingml/2006/main">
                  <a:graphicData uri="http://schemas.microsoft.com/office/word/2010/wordprocessingShape">
                    <wps:wsp>
                      <wps:cNvSpPr txBox="1"/>
                      <wps:spPr>
                        <a:xfrm>
                          <a:off x="0" y="0"/>
                          <a:ext cx="7523480" cy="3828415"/>
                        </a:xfrm>
                        <a:prstGeom prst="rect">
                          <a:avLst/>
                        </a:prstGeom>
                        <a:noFill/>
                        <a:ln w="38100" cap="flat" cmpd="dbl">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635" cy="0"/>
                                  <wp:effectExtent l="0" t="0" r="0" b="0"/>
                                  <wp:docPr id="7" name="图片 1" descr="360截图2019102519315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360截图20191025193154954"/>
                                          <pic:cNvPicPr>
                                            <a:picLocks noChangeAspect="1"/>
                                          </pic:cNvPicPr>
                                        </pic:nvPicPr>
                                        <pic:blipFill>
                                          <a:blip r:embed="rId11"/>
                                          <a:stretch>
                                            <a:fillRect/>
                                          </a:stretch>
                                        </pic:blipFill>
                                        <pic:spPr>
                                          <a:xfrm>
                                            <a:off x="0" y="0"/>
                                            <a:ext cx="635" cy="0"/>
                                          </a:xfrm>
                                          <a:prstGeom prst="rect">
                                            <a:avLst/>
                                          </a:prstGeom>
                                          <a:noFill/>
                                          <a:ln>
                                            <a:noFill/>
                                          </a:ln>
                                        </pic:spPr>
                                      </pic:pic>
                                    </a:graphicData>
                                  </a:graphic>
                                </wp:inline>
                              </w:drawing>
                            </w:r>
                            <w:r>
                              <w:rPr>
                                <w:rFonts w:hint="eastAsia" w:eastAsia="宋体"/>
                                <w:lang w:eastAsia="zh-CN"/>
                              </w:rPr>
                              <w:drawing>
                                <wp:inline distT="0" distB="0" distL="114300" distR="114300">
                                  <wp:extent cx="635" cy="0"/>
                                  <wp:effectExtent l="0" t="0" r="0" b="0"/>
                                  <wp:docPr id="2" name="图片 2" descr="360截图2019102519315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0截图20191025193154954"/>
                                          <pic:cNvPicPr>
                                            <a:picLocks noChangeAspect="1"/>
                                          </pic:cNvPicPr>
                                        </pic:nvPicPr>
                                        <pic:blipFill>
                                          <a:blip r:embed="rId11"/>
                                          <a:stretch>
                                            <a:fillRect/>
                                          </a:stretch>
                                        </pic:blipFill>
                                        <pic:spPr>
                                          <a:xfrm>
                                            <a:off x="0" y="0"/>
                                            <a:ext cx="635" cy="0"/>
                                          </a:xfrm>
                                          <a:prstGeom prst="rect">
                                            <a:avLst/>
                                          </a:prstGeom>
                                          <a:noFill/>
                                          <a:ln>
                                            <a:noFill/>
                                          </a:ln>
                                        </pic:spPr>
                                      </pic:pic>
                                    </a:graphicData>
                                  </a:graphic>
                                </wp:inline>
                              </w:drawing>
                            </w:r>
                            <w:r>
                              <w:rPr>
                                <w:rFonts w:hint="eastAsia" w:eastAsia="宋体"/>
                                <w:lang w:eastAsia="zh-CN"/>
                              </w:rPr>
                              <w:drawing>
                                <wp:inline distT="0" distB="0" distL="114300" distR="114300">
                                  <wp:extent cx="635" cy="0"/>
                                  <wp:effectExtent l="0" t="0" r="0" b="0"/>
                                  <wp:docPr id="8" name="图片 3" descr="360截图2019102519315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360截图20191025193154954"/>
                                          <pic:cNvPicPr>
                                            <a:picLocks noChangeAspect="1"/>
                                          </pic:cNvPicPr>
                                        </pic:nvPicPr>
                                        <pic:blipFill>
                                          <a:blip r:embed="rId11"/>
                                          <a:stretch>
                                            <a:fillRect/>
                                          </a:stretch>
                                        </pic:blipFill>
                                        <pic:spPr>
                                          <a:xfrm>
                                            <a:off x="0" y="0"/>
                                            <a:ext cx="635" cy="0"/>
                                          </a:xfrm>
                                          <a:prstGeom prst="rect">
                                            <a:avLst/>
                                          </a:prstGeom>
                                          <a:noFill/>
                                          <a:ln>
                                            <a:noFill/>
                                          </a:ln>
                                        </pic:spPr>
                                      </pic:pic>
                                    </a:graphicData>
                                  </a:graphic>
                                </wp:inline>
                              </w:drawing>
                            </w:r>
                            <w:r>
                              <w:rPr>
                                <w:rFonts w:hint="eastAsia" w:eastAsia="宋体"/>
                                <w:lang w:eastAsia="zh-CN"/>
                              </w:rPr>
                              <w:drawing>
                                <wp:inline distT="0" distB="0" distL="114300" distR="114300">
                                  <wp:extent cx="7280275" cy="3432810"/>
                                  <wp:effectExtent l="0" t="0" r="9525" b="8890"/>
                                  <wp:docPr id="9" name="图片 4" descr="360截图2019102519315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360截图20191025193154954"/>
                                          <pic:cNvPicPr>
                                            <a:picLocks noChangeAspect="1"/>
                                          </pic:cNvPicPr>
                                        </pic:nvPicPr>
                                        <pic:blipFill>
                                          <a:blip r:embed="rId11"/>
                                          <a:stretch>
                                            <a:fillRect/>
                                          </a:stretch>
                                        </pic:blipFill>
                                        <pic:spPr>
                                          <a:xfrm>
                                            <a:off x="0" y="0"/>
                                            <a:ext cx="7280275" cy="3432810"/>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75.45pt;margin-top:10.8pt;height:301.45pt;width:592.4pt;z-index:251687936;mso-width-relative:page;mso-height-relative:page;" filled="f" stroked="t" coordsize="21600,21600" o:gfxdata="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3PEUdoAAAALAQAADwAAAAAAAAABACAAAAAiAAAAZHJzL2Rvd25yZXYueG1sUEsBAhQAFAAAAAgA&#10;h07iQIV0pKvqAQAAwQMAAA4AAAAAAAAAAQAgAAAAKQEAAGRycy9lMm9Eb2MueG1sUEsFBgAAAAAG&#10;AAYAWQEAAIUFAAAAAA==&#10;">
                <v:path/>
                <v:fill on="f" focussize="0,0"/>
                <v:stroke weight="3pt" linestyle="thinThin"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635" cy="0"/>
                            <wp:effectExtent l="0" t="0" r="0" b="0"/>
                            <wp:docPr id="7" name="图片 1" descr="360截图2019102519315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360截图20191025193154954"/>
                                    <pic:cNvPicPr>
                                      <a:picLocks noChangeAspect="1"/>
                                    </pic:cNvPicPr>
                                  </pic:nvPicPr>
                                  <pic:blipFill>
                                    <a:blip r:embed="rId11"/>
                                    <a:stretch>
                                      <a:fillRect/>
                                    </a:stretch>
                                  </pic:blipFill>
                                  <pic:spPr>
                                    <a:xfrm>
                                      <a:off x="0" y="0"/>
                                      <a:ext cx="635" cy="0"/>
                                    </a:xfrm>
                                    <a:prstGeom prst="rect">
                                      <a:avLst/>
                                    </a:prstGeom>
                                    <a:noFill/>
                                    <a:ln>
                                      <a:noFill/>
                                    </a:ln>
                                  </pic:spPr>
                                </pic:pic>
                              </a:graphicData>
                            </a:graphic>
                          </wp:inline>
                        </w:drawing>
                      </w:r>
                      <w:r>
                        <w:rPr>
                          <w:rFonts w:hint="eastAsia" w:eastAsia="宋体"/>
                          <w:lang w:eastAsia="zh-CN"/>
                        </w:rPr>
                        <w:drawing>
                          <wp:inline distT="0" distB="0" distL="114300" distR="114300">
                            <wp:extent cx="635" cy="0"/>
                            <wp:effectExtent l="0" t="0" r="0" b="0"/>
                            <wp:docPr id="2" name="图片 2" descr="360截图2019102519315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0截图20191025193154954"/>
                                    <pic:cNvPicPr>
                                      <a:picLocks noChangeAspect="1"/>
                                    </pic:cNvPicPr>
                                  </pic:nvPicPr>
                                  <pic:blipFill>
                                    <a:blip r:embed="rId11"/>
                                    <a:stretch>
                                      <a:fillRect/>
                                    </a:stretch>
                                  </pic:blipFill>
                                  <pic:spPr>
                                    <a:xfrm>
                                      <a:off x="0" y="0"/>
                                      <a:ext cx="635" cy="0"/>
                                    </a:xfrm>
                                    <a:prstGeom prst="rect">
                                      <a:avLst/>
                                    </a:prstGeom>
                                    <a:noFill/>
                                    <a:ln>
                                      <a:noFill/>
                                    </a:ln>
                                  </pic:spPr>
                                </pic:pic>
                              </a:graphicData>
                            </a:graphic>
                          </wp:inline>
                        </w:drawing>
                      </w:r>
                      <w:r>
                        <w:rPr>
                          <w:rFonts w:hint="eastAsia" w:eastAsia="宋体"/>
                          <w:lang w:eastAsia="zh-CN"/>
                        </w:rPr>
                        <w:drawing>
                          <wp:inline distT="0" distB="0" distL="114300" distR="114300">
                            <wp:extent cx="635" cy="0"/>
                            <wp:effectExtent l="0" t="0" r="0" b="0"/>
                            <wp:docPr id="8" name="图片 3" descr="360截图2019102519315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360截图20191025193154954"/>
                                    <pic:cNvPicPr>
                                      <a:picLocks noChangeAspect="1"/>
                                    </pic:cNvPicPr>
                                  </pic:nvPicPr>
                                  <pic:blipFill>
                                    <a:blip r:embed="rId11"/>
                                    <a:stretch>
                                      <a:fillRect/>
                                    </a:stretch>
                                  </pic:blipFill>
                                  <pic:spPr>
                                    <a:xfrm>
                                      <a:off x="0" y="0"/>
                                      <a:ext cx="635" cy="0"/>
                                    </a:xfrm>
                                    <a:prstGeom prst="rect">
                                      <a:avLst/>
                                    </a:prstGeom>
                                    <a:noFill/>
                                    <a:ln>
                                      <a:noFill/>
                                    </a:ln>
                                  </pic:spPr>
                                </pic:pic>
                              </a:graphicData>
                            </a:graphic>
                          </wp:inline>
                        </w:drawing>
                      </w:r>
                      <w:r>
                        <w:rPr>
                          <w:rFonts w:hint="eastAsia" w:eastAsia="宋体"/>
                          <w:lang w:eastAsia="zh-CN"/>
                        </w:rPr>
                        <w:drawing>
                          <wp:inline distT="0" distB="0" distL="114300" distR="114300">
                            <wp:extent cx="7280275" cy="3432810"/>
                            <wp:effectExtent l="0" t="0" r="9525" b="8890"/>
                            <wp:docPr id="9" name="图片 4" descr="360截图2019102519315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360截图20191025193154954"/>
                                    <pic:cNvPicPr>
                                      <a:picLocks noChangeAspect="1"/>
                                    </pic:cNvPicPr>
                                  </pic:nvPicPr>
                                  <pic:blipFill>
                                    <a:blip r:embed="rId11"/>
                                    <a:stretch>
                                      <a:fillRect/>
                                    </a:stretch>
                                  </pic:blipFill>
                                  <pic:spPr>
                                    <a:xfrm>
                                      <a:off x="0" y="0"/>
                                      <a:ext cx="7280275" cy="3432810"/>
                                    </a:xfrm>
                                    <a:prstGeom prst="rect">
                                      <a:avLst/>
                                    </a:prstGeom>
                                    <a:noFill/>
                                    <a:ln>
                                      <a:noFill/>
                                    </a:ln>
                                  </pic:spPr>
                                </pic:pic>
                              </a:graphicData>
                            </a:graphic>
                          </wp:inline>
                        </w:drawing>
                      </w:r>
                    </w:p>
                  </w:txbxContent>
                </v:textbox>
              </v:shape>
            </w:pict>
          </mc:Fallback>
        </mc:AlternateContent>
      </w: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spacing w:line="240" w:lineRule="auto"/>
        <w:rPr>
          <w:rFonts w:hint="eastAsia" w:ascii="仿宋" w:hAnsi="仿宋" w:eastAsia="仿宋" w:cs="仿宋"/>
          <w:lang w:val="en-US" w:eastAsia="zh-CN"/>
        </w:rPr>
        <w:sectPr>
          <w:pgSz w:w="16838" w:h="11906" w:orient="landscape"/>
          <w:pgMar w:top="1361" w:right="1247" w:bottom="1304" w:left="1247" w:header="851" w:footer="992" w:gutter="0"/>
          <w:cols w:space="720" w:num="1"/>
          <w:docGrid w:type="lines" w:linePitch="312" w:charSpace="0"/>
        </w:sectPr>
      </w:pPr>
      <w:r>
        <w:rPr>
          <w:rFonts w:hint="eastAsia" w:ascii="仿宋" w:hAnsi="仿宋" w:eastAsia="仿宋" w:cs="仿宋"/>
          <w:lang w:val="en-US" w:eastAsia="zh-CN"/>
        </w:rPr>
        <w:t xml:space="preserve">                         </w:t>
      </w:r>
      <w:bookmarkStart w:id="41" w:name="_GoBack"/>
      <w:bookmarkEnd w:id="41"/>
    </w:p>
    <w:p>
      <w:pPr>
        <w:ind w:firstLine="2715" w:firstLineChars="845"/>
        <w:rPr>
          <w:rFonts w:hint="eastAsia"/>
          <w:b/>
          <w:sz w:val="32"/>
          <w:szCs w:val="32"/>
        </w:rPr>
      </w:pPr>
      <w:r>
        <w:rPr>
          <w:rFonts w:hint="eastAsia"/>
          <w:b/>
          <w:sz w:val="32"/>
          <w:szCs w:val="32"/>
        </w:rPr>
        <w:t>估价对象现状照片</w:t>
      </w:r>
    </w:p>
    <w:p>
      <w:pPr>
        <w:rPr>
          <w:rFonts w:hint="eastAsia"/>
          <w:b/>
          <w:sz w:val="32"/>
          <w:szCs w:val="32"/>
        </w:rPr>
      </w:pPr>
      <w:r>
        <w:rPr>
          <w:b/>
          <w:sz w:val="32"/>
          <w:szCs w:val="32"/>
        </w:rPr>
        <w:drawing>
          <wp:anchor distT="0" distB="0" distL="114300" distR="114300" simplePos="0" relativeHeight="251694080" behindDoc="0" locked="0" layoutInCell="1" allowOverlap="1">
            <wp:simplePos x="0" y="0"/>
            <wp:positionH relativeFrom="column">
              <wp:posOffset>2583180</wp:posOffset>
            </wp:positionH>
            <wp:positionV relativeFrom="paragraph">
              <wp:posOffset>61595</wp:posOffset>
            </wp:positionV>
            <wp:extent cx="2835910" cy="2215515"/>
            <wp:effectExtent l="0" t="0" r="8890" b="6985"/>
            <wp:wrapNone/>
            <wp:docPr id="10" name="图片 3" descr="E:\文档\2019年\法院评估\浮梁县法院\五德酒店\照片\外观.jpg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E:\文档\2019年\法院评估\浮梁县法院\五德酒店\照片\外观.jpg外观"/>
                    <pic:cNvPicPr>
                      <a:picLocks noChangeAspect="1"/>
                    </pic:cNvPicPr>
                  </pic:nvPicPr>
                  <pic:blipFill>
                    <a:blip r:embed="rId12"/>
                    <a:stretch>
                      <a:fillRect/>
                    </a:stretch>
                  </pic:blipFill>
                  <pic:spPr>
                    <a:xfrm>
                      <a:off x="0" y="0"/>
                      <a:ext cx="2835910" cy="2215515"/>
                    </a:xfrm>
                    <a:prstGeom prst="rect">
                      <a:avLst/>
                    </a:prstGeom>
                    <a:noFill/>
                    <a:ln>
                      <a:noFill/>
                    </a:ln>
                  </pic:spPr>
                </pic:pic>
              </a:graphicData>
            </a:graphic>
          </wp:anchor>
        </w:drawing>
      </w:r>
      <w:r>
        <w:rPr>
          <w:b/>
          <w:sz w:val="32"/>
          <w:szCs w:val="32"/>
        </w:rPr>
        <w:drawing>
          <wp:anchor distT="0" distB="0" distL="114300" distR="114300" simplePos="0" relativeHeight="251688960" behindDoc="0" locked="0" layoutInCell="1" allowOverlap="1">
            <wp:simplePos x="0" y="0"/>
            <wp:positionH relativeFrom="column">
              <wp:posOffset>-139700</wp:posOffset>
            </wp:positionH>
            <wp:positionV relativeFrom="paragraph">
              <wp:posOffset>57785</wp:posOffset>
            </wp:positionV>
            <wp:extent cx="2630805" cy="2237105"/>
            <wp:effectExtent l="0" t="0" r="10795" b="10795"/>
            <wp:wrapNone/>
            <wp:docPr id="11" name="图片 4" descr="E:\文档\2019年\法院评估\浮梁县法院\五德酒店\照片\微信图片_20191025171753.jpg微信图片_2019102517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E:\文档\2019年\法院评估\浮梁县法院\五德酒店\照片\微信图片_20191025171753.jpg微信图片_20191025171753"/>
                    <pic:cNvPicPr>
                      <a:picLocks noChangeAspect="1"/>
                    </pic:cNvPicPr>
                  </pic:nvPicPr>
                  <pic:blipFill>
                    <a:blip r:embed="rId13"/>
                    <a:stretch>
                      <a:fillRect/>
                    </a:stretch>
                  </pic:blipFill>
                  <pic:spPr>
                    <a:xfrm>
                      <a:off x="0" y="0"/>
                      <a:ext cx="2630805" cy="2237105"/>
                    </a:xfrm>
                    <a:prstGeom prst="rect">
                      <a:avLst/>
                    </a:prstGeom>
                    <a:noFill/>
                    <a:ln>
                      <a:noFill/>
                    </a:ln>
                  </pic:spPr>
                </pic:pic>
              </a:graphicData>
            </a:graphic>
          </wp:anchor>
        </w:drawing>
      </w:r>
    </w:p>
    <w:p>
      <w:pPr>
        <w:rPr>
          <w:rFonts w:hint="eastAsia"/>
          <w:b/>
          <w:sz w:val="32"/>
          <w:szCs w:val="32"/>
        </w:rPr>
      </w:pPr>
    </w:p>
    <w:p>
      <w:pPr>
        <w:rPr>
          <w:rFonts w:hint="eastAsia"/>
          <w:b/>
          <w:sz w:val="32"/>
          <w:szCs w:val="32"/>
        </w:rPr>
      </w:pPr>
    </w:p>
    <w:p>
      <w:pPr>
        <w:rPr>
          <w:rFonts w:hint="eastAsia"/>
          <w:b/>
          <w:sz w:val="32"/>
          <w:szCs w:val="32"/>
        </w:rPr>
      </w:pPr>
    </w:p>
    <w:p>
      <w:pPr>
        <w:rPr>
          <w:rFonts w:hint="eastAsia"/>
          <w:b/>
          <w:sz w:val="32"/>
          <w:szCs w:val="32"/>
        </w:rPr>
      </w:pPr>
    </w:p>
    <w:p>
      <w:pPr>
        <w:rPr>
          <w:rFonts w:hint="eastAsia"/>
          <w:b/>
          <w:sz w:val="32"/>
          <w:szCs w:val="32"/>
        </w:rPr>
      </w:pPr>
    </w:p>
    <w:p>
      <w:pPr>
        <w:ind w:firstLine="1269" w:firstLineChars="395"/>
        <w:rPr>
          <w:rFonts w:hint="eastAsia"/>
          <w:b/>
          <w:sz w:val="32"/>
          <w:szCs w:val="32"/>
        </w:rPr>
      </w:pPr>
      <w:r>
        <w:rPr>
          <w:b/>
          <w:sz w:val="32"/>
          <w:szCs w:val="32"/>
        </w:rPr>
        <w:drawing>
          <wp:anchor distT="0" distB="0" distL="114300" distR="114300" simplePos="0" relativeHeight="251692032" behindDoc="0" locked="0" layoutInCell="1" allowOverlap="1">
            <wp:simplePos x="0" y="0"/>
            <wp:positionH relativeFrom="column">
              <wp:posOffset>2623820</wp:posOffset>
            </wp:positionH>
            <wp:positionV relativeFrom="paragraph">
              <wp:posOffset>373380</wp:posOffset>
            </wp:positionV>
            <wp:extent cx="2756535" cy="2148205"/>
            <wp:effectExtent l="0" t="0" r="12065" b="10795"/>
            <wp:wrapNone/>
            <wp:docPr id="12" name="图片 5" descr="E:\文档\2019年\法院评估\浮梁县法院\五德酒店\照片\微信图片_20191025171652.jpg微信图片_2019102517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E:\文档\2019年\法院评估\浮梁县法院\五德酒店\照片\微信图片_20191025171652.jpg微信图片_20191025171652"/>
                    <pic:cNvPicPr>
                      <a:picLocks noChangeAspect="1"/>
                    </pic:cNvPicPr>
                  </pic:nvPicPr>
                  <pic:blipFill>
                    <a:blip r:embed="rId14"/>
                    <a:stretch>
                      <a:fillRect/>
                    </a:stretch>
                  </pic:blipFill>
                  <pic:spPr>
                    <a:xfrm>
                      <a:off x="0" y="0"/>
                      <a:ext cx="2756535" cy="2148205"/>
                    </a:xfrm>
                    <a:prstGeom prst="rect">
                      <a:avLst/>
                    </a:prstGeom>
                    <a:noFill/>
                    <a:ln>
                      <a:noFill/>
                    </a:ln>
                  </pic:spPr>
                </pic:pic>
              </a:graphicData>
            </a:graphic>
          </wp:anchor>
        </w:drawing>
      </w:r>
      <w:r>
        <w:rPr>
          <w:b/>
          <w:sz w:val="32"/>
          <w:szCs w:val="32"/>
        </w:rPr>
        <w:drawing>
          <wp:anchor distT="0" distB="0" distL="114300" distR="114300" simplePos="0" relativeHeight="251691008" behindDoc="0" locked="0" layoutInCell="1" allowOverlap="1">
            <wp:simplePos x="0" y="0"/>
            <wp:positionH relativeFrom="column">
              <wp:posOffset>-164465</wp:posOffset>
            </wp:positionH>
            <wp:positionV relativeFrom="paragraph">
              <wp:posOffset>389890</wp:posOffset>
            </wp:positionV>
            <wp:extent cx="2642235" cy="2114550"/>
            <wp:effectExtent l="0" t="0" r="12065" b="6350"/>
            <wp:wrapNone/>
            <wp:docPr id="15" name="图片 6" descr="E:\文档\2019年\法院评估\浮梁县法院\五德酒店\照片\微信图片_20191025171704.jpg微信图片_2019102517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E:\文档\2019年\法院评估\浮梁县法院\五德酒店\照片\微信图片_20191025171704.jpg微信图片_20191025171704"/>
                    <pic:cNvPicPr>
                      <a:picLocks noChangeAspect="1"/>
                    </pic:cNvPicPr>
                  </pic:nvPicPr>
                  <pic:blipFill>
                    <a:blip r:embed="rId15"/>
                    <a:stretch>
                      <a:fillRect/>
                    </a:stretch>
                  </pic:blipFill>
                  <pic:spPr>
                    <a:xfrm>
                      <a:off x="0" y="0"/>
                      <a:ext cx="2642235" cy="2114550"/>
                    </a:xfrm>
                    <a:prstGeom prst="rect">
                      <a:avLst/>
                    </a:prstGeom>
                    <a:noFill/>
                    <a:ln>
                      <a:noFill/>
                    </a:ln>
                  </pic:spPr>
                </pic:pic>
              </a:graphicData>
            </a:graphic>
          </wp:anchor>
        </w:drawing>
      </w:r>
      <w:r>
        <w:rPr>
          <w:rFonts w:hint="eastAsia"/>
          <w:b/>
          <w:sz w:val="32"/>
          <w:szCs w:val="32"/>
        </w:rPr>
        <w:t xml:space="preserve">                   </w:t>
      </w:r>
    </w:p>
    <w:p>
      <w:pPr>
        <w:rPr>
          <w:rFonts w:hint="eastAsia"/>
          <w:b/>
          <w:sz w:val="32"/>
          <w:szCs w:val="32"/>
        </w:rPr>
      </w:pPr>
    </w:p>
    <w:p>
      <w:pPr>
        <w:rPr>
          <w:rFonts w:hint="eastAsia"/>
          <w:b/>
          <w:sz w:val="32"/>
          <w:szCs w:val="32"/>
        </w:rPr>
      </w:pPr>
    </w:p>
    <w:p>
      <w:pPr>
        <w:rPr>
          <w:rFonts w:hint="eastAsia"/>
          <w:b/>
          <w:sz w:val="32"/>
          <w:szCs w:val="32"/>
        </w:rPr>
      </w:pPr>
    </w:p>
    <w:p>
      <w:pPr>
        <w:rPr>
          <w:rFonts w:hint="eastAsia"/>
          <w:b/>
          <w:sz w:val="32"/>
          <w:szCs w:val="32"/>
        </w:rPr>
      </w:pPr>
    </w:p>
    <w:p>
      <w:pPr>
        <w:rPr>
          <w:rFonts w:hint="eastAsia"/>
          <w:b/>
          <w:sz w:val="32"/>
          <w:szCs w:val="32"/>
        </w:rPr>
      </w:pPr>
    </w:p>
    <w:p>
      <w:pPr>
        <w:rPr>
          <w:rFonts w:hint="eastAsia"/>
          <w:b/>
          <w:sz w:val="32"/>
          <w:szCs w:val="32"/>
        </w:rPr>
      </w:pPr>
    </w:p>
    <w:p>
      <w:pPr>
        <w:ind w:firstLine="1430" w:firstLineChars="445"/>
        <w:rPr>
          <w:rFonts w:hint="eastAsia"/>
          <w:b/>
          <w:sz w:val="32"/>
          <w:szCs w:val="32"/>
        </w:rPr>
      </w:pPr>
      <w:r>
        <w:rPr>
          <w:b/>
          <w:sz w:val="32"/>
          <w:szCs w:val="32"/>
        </w:rPr>
        <w:drawing>
          <wp:anchor distT="0" distB="0" distL="114300" distR="114300" simplePos="0" relativeHeight="251693056" behindDoc="0" locked="0" layoutInCell="1" allowOverlap="1">
            <wp:simplePos x="0" y="0"/>
            <wp:positionH relativeFrom="column">
              <wp:posOffset>-235585</wp:posOffset>
            </wp:positionH>
            <wp:positionV relativeFrom="paragraph">
              <wp:posOffset>250190</wp:posOffset>
            </wp:positionV>
            <wp:extent cx="2751455" cy="2228850"/>
            <wp:effectExtent l="0" t="0" r="4445" b="6350"/>
            <wp:wrapNone/>
            <wp:docPr id="16" name="图片 7" descr="E:\文档\2019年\法院评估\浮梁县法院\五德酒店\照片\微信图片_20191025171646.jpg微信图片_2019102517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E:\文档\2019年\法院评估\浮梁县法院\五德酒店\照片\微信图片_20191025171646.jpg微信图片_20191025171646"/>
                    <pic:cNvPicPr>
                      <a:picLocks noChangeAspect="1"/>
                    </pic:cNvPicPr>
                  </pic:nvPicPr>
                  <pic:blipFill>
                    <a:blip r:embed="rId16"/>
                    <a:stretch>
                      <a:fillRect/>
                    </a:stretch>
                  </pic:blipFill>
                  <pic:spPr>
                    <a:xfrm>
                      <a:off x="0" y="0"/>
                      <a:ext cx="2751455" cy="2228850"/>
                    </a:xfrm>
                    <a:prstGeom prst="rect">
                      <a:avLst/>
                    </a:prstGeom>
                    <a:noFill/>
                    <a:ln>
                      <a:noFill/>
                    </a:ln>
                  </pic:spPr>
                </pic:pic>
              </a:graphicData>
            </a:graphic>
          </wp:anchor>
        </w:drawing>
      </w:r>
      <w:r>
        <w:rPr>
          <w:b/>
          <w:sz w:val="32"/>
          <w:szCs w:val="32"/>
        </w:rPr>
        <w:drawing>
          <wp:anchor distT="0" distB="0" distL="114300" distR="114300" simplePos="0" relativeHeight="251689984" behindDoc="0" locked="0" layoutInCell="1" allowOverlap="1">
            <wp:simplePos x="0" y="0"/>
            <wp:positionH relativeFrom="column">
              <wp:posOffset>2708275</wp:posOffset>
            </wp:positionH>
            <wp:positionV relativeFrom="paragraph">
              <wp:posOffset>237490</wp:posOffset>
            </wp:positionV>
            <wp:extent cx="2689860" cy="2242185"/>
            <wp:effectExtent l="0" t="0" r="2540" b="5715"/>
            <wp:wrapNone/>
            <wp:docPr id="17" name="图片 8" descr="E:\文档\2019年\法院评估\浮梁县法院\五德酒店\照片\微信图片_20191025171737.jpg微信图片_2019102517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E:\文档\2019年\法院评估\浮梁县法院\五德酒店\照片\微信图片_20191025171737.jpg微信图片_20191025171737"/>
                    <pic:cNvPicPr>
                      <a:picLocks noChangeAspect="1"/>
                    </pic:cNvPicPr>
                  </pic:nvPicPr>
                  <pic:blipFill>
                    <a:blip r:embed="rId17"/>
                    <a:stretch>
                      <a:fillRect/>
                    </a:stretch>
                  </pic:blipFill>
                  <pic:spPr>
                    <a:xfrm>
                      <a:off x="0" y="0"/>
                      <a:ext cx="2689860" cy="2242185"/>
                    </a:xfrm>
                    <a:prstGeom prst="rect">
                      <a:avLst/>
                    </a:prstGeom>
                    <a:noFill/>
                    <a:ln>
                      <a:noFill/>
                    </a:ln>
                  </pic:spPr>
                </pic:pic>
              </a:graphicData>
            </a:graphic>
          </wp:anchor>
        </w:drawing>
      </w:r>
      <w:r>
        <w:rPr>
          <w:rFonts w:hint="eastAsia"/>
          <w:b/>
          <w:sz w:val="32"/>
          <w:szCs w:val="32"/>
        </w:rPr>
        <w:t xml:space="preserve">                 </w:t>
      </w:r>
    </w:p>
    <w:p>
      <w:pPr>
        <w:ind w:firstLine="2072" w:firstLineChars="645"/>
        <w:rPr>
          <w:rFonts w:hint="eastAsia"/>
          <w:b/>
          <w:sz w:val="32"/>
          <w:szCs w:val="32"/>
        </w:rPr>
      </w:pPr>
    </w:p>
    <w:p>
      <w:pPr>
        <w:ind w:firstLine="2072" w:firstLineChars="645"/>
        <w:rPr>
          <w:rFonts w:hint="eastAsia"/>
          <w:b/>
          <w:sz w:val="32"/>
          <w:szCs w:val="32"/>
        </w:rPr>
      </w:pPr>
    </w:p>
    <w:p/>
    <w:p/>
    <w:p/>
    <w:p/>
    <w:p/>
    <w:p/>
    <w:p/>
    <w:p/>
    <w:p/>
    <w:p/>
    <w:p>
      <w:pPr>
        <w:jc w:val="center"/>
        <w:rPr>
          <w:rFonts w:hint="eastAsia"/>
          <w:b/>
          <w:sz w:val="32"/>
          <w:szCs w:val="32"/>
        </w:rPr>
      </w:pPr>
      <w:r>
        <w:rPr>
          <w:rFonts w:hint="eastAsia"/>
          <w:b/>
          <w:sz w:val="32"/>
          <w:szCs w:val="32"/>
        </w:rPr>
        <w:t>估价对象现状照片</w:t>
      </w:r>
    </w:p>
    <w:p>
      <w:pPr>
        <w:rPr>
          <w:rFonts w:hint="eastAsia"/>
          <w:b/>
          <w:sz w:val="32"/>
          <w:szCs w:val="32"/>
        </w:rPr>
      </w:pPr>
      <w:r>
        <w:rPr>
          <w:b/>
          <w:sz w:val="32"/>
          <w:szCs w:val="32"/>
        </w:rPr>
        <w:drawing>
          <wp:anchor distT="0" distB="0" distL="114300" distR="114300" simplePos="0" relativeHeight="251696128" behindDoc="0" locked="0" layoutInCell="1" allowOverlap="1">
            <wp:simplePos x="0" y="0"/>
            <wp:positionH relativeFrom="column">
              <wp:posOffset>2663825</wp:posOffset>
            </wp:positionH>
            <wp:positionV relativeFrom="paragraph">
              <wp:posOffset>280670</wp:posOffset>
            </wp:positionV>
            <wp:extent cx="2709545" cy="2224405"/>
            <wp:effectExtent l="0" t="0" r="8255" b="10795"/>
            <wp:wrapNone/>
            <wp:docPr id="18" name="图片 9" descr="E:\文档\2019年\法院评估\浮梁县法院\五德酒店\照片\微信图片_20191025171726.jpg微信图片_2019102517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E:\文档\2019年\法院评估\浮梁县法院\五德酒店\照片\微信图片_20191025171726.jpg微信图片_20191025171726"/>
                    <pic:cNvPicPr>
                      <a:picLocks noChangeAspect="1"/>
                    </pic:cNvPicPr>
                  </pic:nvPicPr>
                  <pic:blipFill>
                    <a:blip r:embed="rId18"/>
                    <a:stretch>
                      <a:fillRect/>
                    </a:stretch>
                  </pic:blipFill>
                  <pic:spPr>
                    <a:xfrm>
                      <a:off x="0" y="0"/>
                      <a:ext cx="2709545" cy="2224405"/>
                    </a:xfrm>
                    <a:prstGeom prst="rect">
                      <a:avLst/>
                    </a:prstGeom>
                    <a:noFill/>
                    <a:ln>
                      <a:noFill/>
                    </a:ln>
                  </pic:spPr>
                </pic:pic>
              </a:graphicData>
            </a:graphic>
          </wp:anchor>
        </w:drawing>
      </w:r>
      <w:r>
        <w:rPr>
          <w:b/>
          <w:sz w:val="32"/>
          <w:szCs w:val="32"/>
        </w:rPr>
        <w:drawing>
          <wp:anchor distT="0" distB="0" distL="114300" distR="114300" simplePos="0" relativeHeight="251700224" behindDoc="0" locked="0" layoutInCell="1" allowOverlap="1">
            <wp:simplePos x="0" y="0"/>
            <wp:positionH relativeFrom="column">
              <wp:posOffset>-59055</wp:posOffset>
            </wp:positionH>
            <wp:positionV relativeFrom="paragraph">
              <wp:posOffset>281305</wp:posOffset>
            </wp:positionV>
            <wp:extent cx="2641600" cy="2263140"/>
            <wp:effectExtent l="0" t="0" r="0" b="10160"/>
            <wp:wrapNone/>
            <wp:docPr id="19" name="图片 10" descr="E:\文档\2019年\法院评估\浮梁县法院\五德酒店\照片\微信图片_20191025171621.jpg微信图片_2019102517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E:\文档\2019年\法院评估\浮梁县法院\五德酒店\照片\微信图片_20191025171621.jpg微信图片_20191025171621"/>
                    <pic:cNvPicPr>
                      <a:picLocks noChangeAspect="1"/>
                    </pic:cNvPicPr>
                  </pic:nvPicPr>
                  <pic:blipFill>
                    <a:blip r:embed="rId19"/>
                    <a:stretch>
                      <a:fillRect/>
                    </a:stretch>
                  </pic:blipFill>
                  <pic:spPr>
                    <a:xfrm>
                      <a:off x="0" y="0"/>
                      <a:ext cx="2641600" cy="2263140"/>
                    </a:xfrm>
                    <a:prstGeom prst="rect">
                      <a:avLst/>
                    </a:prstGeom>
                    <a:noFill/>
                    <a:ln>
                      <a:noFill/>
                    </a:ln>
                  </pic:spPr>
                </pic:pic>
              </a:graphicData>
            </a:graphic>
          </wp:anchor>
        </w:drawing>
      </w:r>
    </w:p>
    <w:p>
      <w:pPr>
        <w:rPr>
          <w:rFonts w:hint="eastAsia"/>
          <w:b/>
          <w:sz w:val="32"/>
          <w:szCs w:val="32"/>
        </w:rPr>
      </w:pPr>
    </w:p>
    <w:p>
      <w:pPr>
        <w:rPr>
          <w:rFonts w:hint="eastAsia"/>
          <w:b/>
          <w:sz w:val="32"/>
          <w:szCs w:val="32"/>
        </w:rPr>
      </w:pPr>
    </w:p>
    <w:p>
      <w:pPr>
        <w:rPr>
          <w:rFonts w:hint="eastAsia"/>
          <w:b/>
          <w:sz w:val="32"/>
          <w:szCs w:val="32"/>
        </w:rPr>
      </w:pPr>
    </w:p>
    <w:p>
      <w:pPr>
        <w:rPr>
          <w:rFonts w:hint="eastAsia"/>
          <w:b/>
          <w:sz w:val="32"/>
          <w:szCs w:val="32"/>
        </w:rPr>
      </w:pPr>
    </w:p>
    <w:p>
      <w:pPr>
        <w:ind w:firstLine="1269" w:firstLineChars="395"/>
        <w:rPr>
          <w:rFonts w:hint="eastAsia"/>
          <w:b/>
          <w:sz w:val="32"/>
          <w:szCs w:val="32"/>
        </w:rPr>
      </w:pPr>
      <w:r>
        <w:rPr>
          <w:rFonts w:hint="eastAsia"/>
          <w:b/>
          <w:sz w:val="32"/>
          <w:szCs w:val="32"/>
        </w:rPr>
        <w:t xml:space="preserve">                   </w:t>
      </w:r>
    </w:p>
    <w:p>
      <w:pPr>
        <w:rPr>
          <w:rFonts w:hint="eastAsia"/>
          <w:b/>
          <w:sz w:val="32"/>
          <w:szCs w:val="32"/>
        </w:rPr>
      </w:pPr>
    </w:p>
    <w:p>
      <w:pPr>
        <w:rPr>
          <w:rFonts w:hint="eastAsia"/>
          <w:b/>
          <w:sz w:val="32"/>
          <w:szCs w:val="32"/>
        </w:rPr>
      </w:pPr>
      <w:r>
        <w:rPr>
          <w:b/>
          <w:sz w:val="32"/>
          <w:szCs w:val="32"/>
        </w:rPr>
        <w:drawing>
          <wp:anchor distT="0" distB="0" distL="114300" distR="114300" simplePos="0" relativeHeight="251698176" behindDoc="0" locked="0" layoutInCell="1" allowOverlap="1">
            <wp:simplePos x="0" y="0"/>
            <wp:positionH relativeFrom="column">
              <wp:posOffset>2668905</wp:posOffset>
            </wp:positionH>
            <wp:positionV relativeFrom="paragraph">
              <wp:posOffset>152400</wp:posOffset>
            </wp:positionV>
            <wp:extent cx="2762885" cy="2241550"/>
            <wp:effectExtent l="0" t="0" r="5715" b="6350"/>
            <wp:wrapNone/>
            <wp:docPr id="20" name="图片 11" descr="E:\文档\2019年\法院评估\浮梁县法院\五德酒店\照片\微信图片_20191025171718.jpg微信图片_2019102517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E:\文档\2019年\法院评估\浮梁县法院\五德酒店\照片\微信图片_20191025171718.jpg微信图片_20191025171718"/>
                    <pic:cNvPicPr>
                      <a:picLocks noChangeAspect="1"/>
                    </pic:cNvPicPr>
                  </pic:nvPicPr>
                  <pic:blipFill>
                    <a:blip r:embed="rId20"/>
                    <a:stretch>
                      <a:fillRect/>
                    </a:stretch>
                  </pic:blipFill>
                  <pic:spPr>
                    <a:xfrm>
                      <a:off x="0" y="0"/>
                      <a:ext cx="2762885" cy="2241550"/>
                    </a:xfrm>
                    <a:prstGeom prst="rect">
                      <a:avLst/>
                    </a:prstGeom>
                    <a:noFill/>
                    <a:ln>
                      <a:noFill/>
                    </a:ln>
                  </pic:spPr>
                </pic:pic>
              </a:graphicData>
            </a:graphic>
          </wp:anchor>
        </w:drawing>
      </w:r>
      <w:r>
        <w:rPr>
          <w:b/>
          <w:sz w:val="32"/>
          <w:szCs w:val="32"/>
        </w:rPr>
        <w:drawing>
          <wp:anchor distT="0" distB="0" distL="114300" distR="114300" simplePos="0" relativeHeight="251697152" behindDoc="0" locked="0" layoutInCell="1" allowOverlap="1">
            <wp:simplePos x="0" y="0"/>
            <wp:positionH relativeFrom="column">
              <wp:posOffset>-83185</wp:posOffset>
            </wp:positionH>
            <wp:positionV relativeFrom="paragraph">
              <wp:posOffset>161925</wp:posOffset>
            </wp:positionV>
            <wp:extent cx="2681605" cy="2270125"/>
            <wp:effectExtent l="0" t="0" r="10795" b="3175"/>
            <wp:wrapNone/>
            <wp:docPr id="21" name="图片 12" descr="E:\文档\2019年\法院评估\浮梁县法院\五德酒店\照片\微信图片_20191025171722.jpg微信图片_2019102517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E:\文档\2019年\法院评估\浮梁县法院\五德酒店\照片\微信图片_20191025171722.jpg微信图片_20191025171722"/>
                    <pic:cNvPicPr>
                      <a:picLocks noChangeAspect="1"/>
                    </pic:cNvPicPr>
                  </pic:nvPicPr>
                  <pic:blipFill>
                    <a:blip r:embed="rId21"/>
                    <a:stretch>
                      <a:fillRect/>
                    </a:stretch>
                  </pic:blipFill>
                  <pic:spPr>
                    <a:xfrm>
                      <a:off x="0" y="0"/>
                      <a:ext cx="2681605" cy="2270125"/>
                    </a:xfrm>
                    <a:prstGeom prst="rect">
                      <a:avLst/>
                    </a:prstGeom>
                    <a:noFill/>
                    <a:ln>
                      <a:noFill/>
                    </a:ln>
                  </pic:spPr>
                </pic:pic>
              </a:graphicData>
            </a:graphic>
          </wp:anchor>
        </w:drawing>
      </w:r>
    </w:p>
    <w:p>
      <w:pPr>
        <w:rPr>
          <w:rFonts w:hint="eastAsia"/>
          <w:b/>
          <w:sz w:val="32"/>
          <w:szCs w:val="32"/>
        </w:rPr>
      </w:pPr>
    </w:p>
    <w:p>
      <w:pPr>
        <w:rPr>
          <w:rFonts w:hint="eastAsia"/>
          <w:b/>
          <w:sz w:val="32"/>
          <w:szCs w:val="32"/>
        </w:rPr>
      </w:pPr>
    </w:p>
    <w:p>
      <w:pPr>
        <w:rPr>
          <w:rFonts w:hint="eastAsia"/>
          <w:b/>
          <w:sz w:val="32"/>
          <w:szCs w:val="32"/>
        </w:rPr>
      </w:pPr>
    </w:p>
    <w:p>
      <w:pPr>
        <w:rPr>
          <w:rFonts w:hint="eastAsia"/>
          <w:b/>
          <w:sz w:val="32"/>
          <w:szCs w:val="32"/>
        </w:rPr>
      </w:pPr>
    </w:p>
    <w:p>
      <w:pPr>
        <w:ind w:firstLine="1430" w:firstLineChars="445"/>
        <w:rPr>
          <w:rFonts w:hint="eastAsia"/>
          <w:b/>
          <w:sz w:val="32"/>
          <w:szCs w:val="32"/>
        </w:rPr>
      </w:pPr>
      <w:r>
        <w:rPr>
          <w:rFonts w:hint="eastAsia"/>
          <w:b/>
          <w:sz w:val="32"/>
          <w:szCs w:val="32"/>
        </w:rPr>
        <w:t xml:space="preserve">                 </w:t>
      </w:r>
    </w:p>
    <w:p>
      <w:pPr>
        <w:ind w:firstLine="2072" w:firstLineChars="645"/>
        <w:rPr>
          <w:rFonts w:hint="eastAsia"/>
          <w:b/>
          <w:sz w:val="32"/>
          <w:szCs w:val="32"/>
        </w:rPr>
      </w:pPr>
      <w:r>
        <w:rPr>
          <w:b/>
          <w:sz w:val="32"/>
          <w:szCs w:val="32"/>
        </w:rPr>
        <w:drawing>
          <wp:anchor distT="0" distB="0" distL="114300" distR="114300" simplePos="0" relativeHeight="251699200" behindDoc="0" locked="0" layoutInCell="1" allowOverlap="1">
            <wp:simplePos x="0" y="0"/>
            <wp:positionH relativeFrom="column">
              <wp:posOffset>-114300</wp:posOffset>
            </wp:positionH>
            <wp:positionV relativeFrom="paragraph">
              <wp:posOffset>389890</wp:posOffset>
            </wp:positionV>
            <wp:extent cx="2745105" cy="2300605"/>
            <wp:effectExtent l="0" t="0" r="10795" b="10795"/>
            <wp:wrapNone/>
            <wp:docPr id="22" name="图片 13" descr="E:\文档\2019年\法院评估\浮梁县法院\五德酒店\照片\微信图片_20191025171701.jpg微信图片_2019102517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E:\文档\2019年\法院评估\浮梁县法院\五德酒店\照片\微信图片_20191025171701.jpg微信图片_20191025171701"/>
                    <pic:cNvPicPr>
                      <a:picLocks noChangeAspect="1"/>
                    </pic:cNvPicPr>
                  </pic:nvPicPr>
                  <pic:blipFill>
                    <a:blip r:embed="rId22"/>
                    <a:stretch>
                      <a:fillRect/>
                    </a:stretch>
                  </pic:blipFill>
                  <pic:spPr>
                    <a:xfrm>
                      <a:off x="0" y="0"/>
                      <a:ext cx="2745105" cy="2300605"/>
                    </a:xfrm>
                    <a:prstGeom prst="rect">
                      <a:avLst/>
                    </a:prstGeom>
                    <a:noFill/>
                    <a:ln>
                      <a:noFill/>
                    </a:ln>
                  </pic:spPr>
                </pic:pic>
              </a:graphicData>
            </a:graphic>
          </wp:anchor>
        </w:drawing>
      </w:r>
      <w:r>
        <w:rPr>
          <w:b/>
          <w:sz w:val="32"/>
          <w:szCs w:val="32"/>
        </w:rPr>
        <w:drawing>
          <wp:anchor distT="0" distB="0" distL="114300" distR="114300" simplePos="0" relativeHeight="251695104" behindDoc="0" locked="0" layoutInCell="1" allowOverlap="1">
            <wp:simplePos x="0" y="0"/>
            <wp:positionH relativeFrom="column">
              <wp:posOffset>2707005</wp:posOffset>
            </wp:positionH>
            <wp:positionV relativeFrom="paragraph">
              <wp:posOffset>360680</wp:posOffset>
            </wp:positionV>
            <wp:extent cx="2715895" cy="2301875"/>
            <wp:effectExtent l="0" t="0" r="1905" b="9525"/>
            <wp:wrapNone/>
            <wp:docPr id="23" name="图片 14" descr="E:\文档\2019年\法院评估\浮梁县法院\五德酒店\照片\微信图片_20191025171730.jpg微信图片_2019102517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E:\文档\2019年\法院评估\浮梁县法院\五德酒店\照片\微信图片_20191025171730.jpg微信图片_20191025171730"/>
                    <pic:cNvPicPr>
                      <a:picLocks noChangeAspect="1"/>
                    </pic:cNvPicPr>
                  </pic:nvPicPr>
                  <pic:blipFill>
                    <a:blip r:embed="rId23"/>
                    <a:stretch>
                      <a:fillRect/>
                    </a:stretch>
                  </pic:blipFill>
                  <pic:spPr>
                    <a:xfrm>
                      <a:off x="0" y="0"/>
                      <a:ext cx="2715895" cy="2301875"/>
                    </a:xfrm>
                    <a:prstGeom prst="rect">
                      <a:avLst/>
                    </a:prstGeom>
                    <a:noFill/>
                    <a:ln>
                      <a:noFill/>
                    </a:ln>
                  </pic:spPr>
                </pic:pic>
              </a:graphicData>
            </a:graphic>
          </wp:anchor>
        </w:drawing>
      </w:r>
    </w:p>
    <w:p>
      <w:pPr>
        <w:ind w:firstLine="2072" w:firstLineChars="645"/>
        <w:rPr>
          <w:rFonts w:hint="eastAsia"/>
          <w:b/>
          <w:sz w:val="32"/>
          <w:szCs w:val="32"/>
        </w:rPr>
      </w:pPr>
    </w:p>
    <w:p/>
    <w:p/>
    <w:p>
      <w:pPr>
        <w:spacing w:line="240" w:lineRule="auto"/>
        <w:rPr>
          <w:rFonts w:hint="default" w:ascii="仿宋" w:hAnsi="仿宋" w:eastAsia="仿宋" w:cs="仿宋"/>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Bookman Old Style">
    <w:altName w:val="Segoe Print"/>
    <w:panose1 w:val="02050604050505020204"/>
    <w:charset w:val="00"/>
    <w:family w:val="roman"/>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notBeside" w:vAnchor="text" w:hAnchor="text"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2868AA"/>
    <w:multiLevelType w:val="singleLevel"/>
    <w:tmpl w:val="F42868AA"/>
    <w:lvl w:ilvl="0" w:tentative="0">
      <w:start w:val="2"/>
      <w:numFmt w:val="decimal"/>
      <w:suff w:val="nothing"/>
      <w:lvlText w:val="%1、"/>
      <w:lvlJc w:val="left"/>
    </w:lvl>
  </w:abstractNum>
  <w:abstractNum w:abstractNumId="1">
    <w:nsid w:val="F936C216"/>
    <w:multiLevelType w:val="singleLevel"/>
    <w:tmpl w:val="F936C216"/>
    <w:lvl w:ilvl="0" w:tentative="0">
      <w:start w:val="1"/>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番茄花园">
    <w15:presenceInfo w15:providerId="None" w15:userId="番茄花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614F3D"/>
    <w:rsid w:val="008A1DA1"/>
    <w:rsid w:val="09EC320C"/>
    <w:rsid w:val="11614F3D"/>
    <w:rsid w:val="1A551176"/>
    <w:rsid w:val="1F74462A"/>
    <w:rsid w:val="3AFE5375"/>
    <w:rsid w:val="52D41EB6"/>
    <w:rsid w:val="54160032"/>
    <w:rsid w:val="6D535020"/>
    <w:rsid w:val="701720DB"/>
    <w:rsid w:val="703100D7"/>
    <w:rsid w:val="762F4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qFormat/>
    <w:uiPriority w:val="0"/>
    <w:pPr>
      <w:keepNext/>
      <w:keepLines/>
      <w:spacing w:before="280" w:beforeLines="0" w:after="290" w:afterLines="0" w:line="372" w:lineRule="auto"/>
      <w:outlineLvl w:val="3"/>
    </w:pPr>
    <w:rPr>
      <w:rFonts w:ascii="Arial" w:hAnsi="Arial" w:eastAsia="黑体"/>
      <w:b/>
      <w:bCs/>
      <w:sz w:val="28"/>
      <w:szCs w:val="28"/>
    </w:rPr>
  </w:style>
  <w:style w:type="paragraph" w:styleId="3">
    <w:name w:val="heading 5"/>
    <w:basedOn w:val="1"/>
    <w:next w:val="1"/>
    <w:qFormat/>
    <w:uiPriority w:val="0"/>
    <w:pPr>
      <w:keepNext/>
      <w:keepLines/>
      <w:spacing w:before="280" w:beforeLines="0" w:after="290" w:afterLines="0" w:line="372" w:lineRule="auto"/>
      <w:outlineLvl w:val="4"/>
    </w:pPr>
    <w:rPr>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toc 5"/>
    <w:basedOn w:val="1"/>
    <w:next w:val="1"/>
    <w:qFormat/>
    <w:uiPriority w:val="39"/>
    <w:pPr>
      <w:tabs>
        <w:tab w:val="right" w:leader="dot" w:pos="8636"/>
      </w:tabs>
      <w:spacing w:before="120" w:beforeLines="0" w:after="120" w:afterLines="0"/>
      <w:ind w:left="210" w:leftChars="100" w:right="210" w:rightChars="100"/>
      <w:jc w:val="center"/>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99"/>
    <w:pPr>
      <w:tabs>
        <w:tab w:val="center" w:pos="4153"/>
        <w:tab w:val="right" w:pos="8306"/>
      </w:tabs>
      <w:snapToGrid w:val="0"/>
      <w:jc w:val="center"/>
    </w:pPr>
    <w:rPr>
      <w:sz w:val="18"/>
      <w:szCs w:val="18"/>
    </w:rPr>
  </w:style>
  <w:style w:type="paragraph" w:styleId="7">
    <w:name w:val="toc 4"/>
    <w:basedOn w:val="1"/>
    <w:next w:val="1"/>
    <w:qFormat/>
    <w:uiPriority w:val="39"/>
    <w:pPr>
      <w:tabs>
        <w:tab w:val="right" w:leader="dot" w:pos="8636"/>
      </w:tabs>
      <w:spacing w:before="120" w:beforeLines="0" w:after="120" w:afterLines="0" w:line="520" w:lineRule="exact"/>
      <w:ind w:left="210" w:leftChars="100" w:right="210" w:rightChars="100"/>
      <w:jc w:val="center"/>
    </w:pPr>
    <w:rPr>
      <w:rFonts w:ascii="宋体" w:hAnsi="宋体"/>
      <w:sz w:val="28"/>
      <w:lang w:val="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2018-10-13T11:33:00Z</dcterms:created>
  <dc:creator>森博评估</dc:creator>
  <cp:lastModifiedBy>森博评估</cp:lastModifiedBy>
  <cp:lastPrinted>2018-10-15T04:50:00Z</cp:lastPrinted>
  <dcterms:modified xsi:type="dcterms:W3CDTF">2019-10-28T07:40:12Z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