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line="360" w:lineRule="auto"/>
        <w:jc w:val="center"/>
        <w:rPr>
          <w:rFonts w:hint="eastAsia" w:hAnsi="宋体"/>
          <w:b/>
          <w:sz w:val="36"/>
          <w:szCs w:val="36"/>
        </w:rPr>
      </w:pPr>
    </w:p>
    <w:p>
      <w:pPr>
        <w:pStyle w:val="3"/>
        <w:adjustRightInd w:val="0"/>
        <w:snapToGrid w:val="0"/>
        <w:spacing w:line="360" w:lineRule="auto"/>
        <w:jc w:val="center"/>
        <w:rPr>
          <w:rFonts w:hint="eastAsia" w:hAnsi="宋体"/>
          <w:b/>
          <w:sz w:val="36"/>
          <w:szCs w:val="36"/>
        </w:rPr>
      </w:pPr>
    </w:p>
    <w:p>
      <w:pPr>
        <w:pStyle w:val="3"/>
        <w:adjustRightInd w:val="0"/>
        <w:snapToGrid w:val="0"/>
        <w:spacing w:line="360" w:lineRule="auto"/>
        <w:jc w:val="center"/>
        <w:rPr>
          <w:rFonts w:hint="eastAsia" w:hAnsi="宋体"/>
          <w:b/>
          <w:sz w:val="36"/>
          <w:szCs w:val="36"/>
        </w:rPr>
      </w:pPr>
    </w:p>
    <w:p>
      <w:pPr>
        <w:pStyle w:val="3"/>
        <w:adjustRightInd w:val="0"/>
        <w:snapToGrid w:val="0"/>
        <w:spacing w:line="360" w:lineRule="auto"/>
        <w:jc w:val="center"/>
        <w:rPr>
          <w:rFonts w:hint="eastAsia" w:hAnsi="宋体"/>
          <w:b/>
          <w:sz w:val="36"/>
          <w:szCs w:val="36"/>
        </w:rPr>
      </w:pPr>
    </w:p>
    <w:p>
      <w:pPr>
        <w:pStyle w:val="3"/>
        <w:adjustRightInd w:val="0"/>
        <w:snapToGrid w:val="0"/>
        <w:spacing w:line="360" w:lineRule="auto"/>
        <w:ind w:left="-420" w:leftChars="-200" w:firstLine="199" w:firstLineChars="45"/>
        <w:jc w:val="center"/>
        <w:rPr>
          <w:rFonts w:hint="eastAsia" w:hAnsi="宋体"/>
          <w:b/>
          <w:sz w:val="44"/>
          <w:szCs w:val="44"/>
        </w:rPr>
      </w:pPr>
      <w:r>
        <w:rPr>
          <w:rFonts w:hint="eastAsia" w:hAnsi="宋体"/>
          <w:b/>
          <w:sz w:val="44"/>
          <w:szCs w:val="44"/>
          <w:lang w:eastAsia="zh-CN"/>
        </w:rPr>
        <w:t>涉</w:t>
      </w:r>
      <w:r>
        <w:rPr>
          <w:rFonts w:hint="eastAsia" w:hAnsi="宋体"/>
          <w:b/>
          <w:sz w:val="44"/>
          <w:szCs w:val="44"/>
          <w:lang w:val="en-US" w:eastAsia="zh-CN"/>
        </w:rPr>
        <w:t xml:space="preserve"> </w:t>
      </w:r>
      <w:r>
        <w:rPr>
          <w:rFonts w:hint="eastAsia" w:hAnsi="宋体"/>
          <w:b/>
          <w:sz w:val="44"/>
          <w:szCs w:val="44"/>
          <w:lang w:eastAsia="zh-CN"/>
        </w:rPr>
        <w:t>执</w:t>
      </w:r>
      <w:r>
        <w:rPr>
          <w:rFonts w:hint="eastAsia" w:hAnsi="宋体"/>
          <w:b/>
          <w:sz w:val="44"/>
          <w:szCs w:val="44"/>
          <w:lang w:val="en-US" w:eastAsia="zh-CN"/>
        </w:rPr>
        <w:t xml:space="preserve"> </w:t>
      </w:r>
      <w:r>
        <w:rPr>
          <w:rFonts w:hint="eastAsia" w:hAnsi="宋体"/>
          <w:b/>
          <w:sz w:val="44"/>
          <w:szCs w:val="44"/>
          <w:lang w:eastAsia="zh-CN"/>
        </w:rPr>
        <w:t>房</w:t>
      </w:r>
      <w:r>
        <w:rPr>
          <w:rFonts w:hint="eastAsia" w:hAnsi="宋体"/>
          <w:b/>
          <w:sz w:val="44"/>
          <w:szCs w:val="44"/>
          <w:lang w:val="en-US" w:eastAsia="zh-CN"/>
        </w:rPr>
        <w:t xml:space="preserve"> </w:t>
      </w:r>
      <w:r>
        <w:rPr>
          <w:rFonts w:hint="eastAsia" w:hAnsi="宋体"/>
          <w:b/>
          <w:sz w:val="44"/>
          <w:szCs w:val="44"/>
          <w:lang w:eastAsia="zh-CN"/>
        </w:rPr>
        <w:t>地</w:t>
      </w:r>
      <w:r>
        <w:rPr>
          <w:rFonts w:hint="eastAsia" w:hAnsi="宋体"/>
          <w:b/>
          <w:sz w:val="44"/>
          <w:szCs w:val="44"/>
          <w:lang w:val="en-US" w:eastAsia="zh-CN"/>
        </w:rPr>
        <w:t xml:space="preserve"> </w:t>
      </w:r>
      <w:r>
        <w:rPr>
          <w:rFonts w:hint="eastAsia" w:hAnsi="宋体"/>
          <w:b/>
          <w:sz w:val="44"/>
          <w:szCs w:val="44"/>
          <w:lang w:eastAsia="zh-CN"/>
        </w:rPr>
        <w:t>产</w:t>
      </w:r>
      <w:r>
        <w:rPr>
          <w:rFonts w:hint="eastAsia" w:hAnsi="宋体"/>
          <w:b/>
          <w:sz w:val="44"/>
          <w:szCs w:val="44"/>
        </w:rPr>
        <w:t xml:space="preserve"> </w:t>
      </w:r>
      <w:r>
        <w:rPr>
          <w:rFonts w:hint="eastAsia" w:hAnsi="宋体"/>
          <w:b/>
          <w:sz w:val="44"/>
          <w:szCs w:val="44"/>
          <w:lang w:eastAsia="zh-CN"/>
        </w:rPr>
        <w:t>处</w:t>
      </w:r>
      <w:r>
        <w:rPr>
          <w:rFonts w:hint="eastAsia" w:hAnsi="宋体"/>
          <w:b/>
          <w:sz w:val="44"/>
          <w:szCs w:val="44"/>
          <w:lang w:val="en-US" w:eastAsia="zh-CN"/>
        </w:rPr>
        <w:t xml:space="preserve"> </w:t>
      </w:r>
      <w:r>
        <w:rPr>
          <w:rFonts w:hint="eastAsia" w:hAnsi="宋体"/>
          <w:b/>
          <w:sz w:val="44"/>
          <w:szCs w:val="44"/>
          <w:lang w:eastAsia="zh-CN"/>
        </w:rPr>
        <w:t>置</w:t>
      </w:r>
      <w:r>
        <w:rPr>
          <w:rFonts w:hint="eastAsia" w:hAnsi="宋体"/>
          <w:b/>
          <w:sz w:val="44"/>
          <w:szCs w:val="44"/>
          <w:lang w:val="en-US" w:eastAsia="zh-CN"/>
        </w:rPr>
        <w:t xml:space="preserve"> </w:t>
      </w:r>
      <w:r>
        <w:rPr>
          <w:rFonts w:hint="eastAsia" w:hAnsi="宋体"/>
          <w:b/>
          <w:sz w:val="44"/>
          <w:szCs w:val="44"/>
          <w:lang w:eastAsia="zh-CN"/>
        </w:rPr>
        <w:t>司</w:t>
      </w:r>
      <w:r>
        <w:rPr>
          <w:rFonts w:hint="eastAsia" w:hAnsi="宋体"/>
          <w:b/>
          <w:sz w:val="44"/>
          <w:szCs w:val="44"/>
          <w:lang w:val="en-US" w:eastAsia="zh-CN"/>
        </w:rPr>
        <w:t xml:space="preserve"> </w:t>
      </w:r>
      <w:r>
        <w:rPr>
          <w:rFonts w:hint="eastAsia" w:hAnsi="宋体"/>
          <w:b/>
          <w:sz w:val="44"/>
          <w:szCs w:val="44"/>
          <w:lang w:eastAsia="zh-CN"/>
        </w:rPr>
        <w:t>法</w:t>
      </w:r>
      <w:r>
        <w:rPr>
          <w:rFonts w:hint="eastAsia" w:hAnsi="宋体"/>
          <w:b/>
          <w:sz w:val="44"/>
          <w:szCs w:val="44"/>
          <w:lang w:val="en-US" w:eastAsia="zh-CN"/>
        </w:rPr>
        <w:t xml:space="preserve"> </w:t>
      </w:r>
      <w:r>
        <w:rPr>
          <w:rFonts w:hint="eastAsia" w:hAnsi="宋体"/>
          <w:b/>
          <w:sz w:val="44"/>
          <w:szCs w:val="44"/>
          <w:lang w:eastAsia="zh-CN"/>
        </w:rPr>
        <w:t>评</w:t>
      </w:r>
      <w:r>
        <w:rPr>
          <w:rFonts w:hint="eastAsia" w:hAnsi="宋体"/>
          <w:b/>
          <w:sz w:val="44"/>
          <w:szCs w:val="44"/>
          <w:lang w:val="en-US" w:eastAsia="zh-CN"/>
        </w:rPr>
        <w:t xml:space="preserve"> </w:t>
      </w:r>
      <w:r>
        <w:rPr>
          <w:rFonts w:hint="eastAsia" w:hAnsi="宋体"/>
          <w:b/>
          <w:sz w:val="44"/>
          <w:szCs w:val="44"/>
          <w:lang w:eastAsia="zh-CN"/>
        </w:rPr>
        <w:t>估</w:t>
      </w:r>
      <w:r>
        <w:rPr>
          <w:rFonts w:hint="eastAsia" w:hAnsi="宋体"/>
          <w:b/>
          <w:sz w:val="44"/>
          <w:szCs w:val="44"/>
          <w:lang w:val="en-US" w:eastAsia="zh-CN"/>
        </w:rPr>
        <w:t xml:space="preserve"> </w:t>
      </w:r>
      <w:r>
        <w:rPr>
          <w:rFonts w:hint="eastAsia" w:hAnsi="宋体"/>
          <w:b/>
          <w:sz w:val="44"/>
          <w:szCs w:val="44"/>
        </w:rPr>
        <w:t>报 告</w:t>
      </w:r>
    </w:p>
    <w:p>
      <w:pPr>
        <w:pStyle w:val="3"/>
        <w:adjustRightInd w:val="0"/>
        <w:snapToGrid w:val="0"/>
        <w:spacing w:line="360" w:lineRule="auto"/>
        <w:jc w:val="center"/>
        <w:rPr>
          <w:rFonts w:hint="eastAsia" w:hAnsi="宋体"/>
          <w:b/>
          <w:sz w:val="44"/>
          <w:szCs w:val="44"/>
        </w:rPr>
      </w:pPr>
    </w:p>
    <w:p>
      <w:pPr>
        <w:ind w:left="2100" w:hanging="2100" w:hangingChars="750"/>
        <w:rPr>
          <w:rFonts w:hint="eastAsia" w:ascii="宋体" w:hAnsi="宋体"/>
          <w:sz w:val="28"/>
          <w:szCs w:val="28"/>
        </w:rPr>
      </w:pPr>
    </w:p>
    <w:p>
      <w:pPr>
        <w:ind w:left="2100" w:hanging="2100" w:hangingChars="750"/>
        <w:rPr>
          <w:rFonts w:hint="eastAsia" w:ascii="宋体" w:hAnsi="宋体"/>
          <w:sz w:val="28"/>
          <w:szCs w:val="28"/>
        </w:rPr>
      </w:pPr>
      <w:r>
        <w:rPr>
          <w:rFonts w:hint="eastAsia" w:hAnsi="宋体"/>
          <w:sz w:val="28"/>
          <w:szCs w:val="28"/>
        </w:rPr>
        <w:t>估价报告编号：中浩估价字</w:t>
      </w:r>
      <w:r>
        <w:rPr>
          <w:rFonts w:hint="eastAsia" w:hAnsi="宋体"/>
          <w:sz w:val="28"/>
          <w:szCs w:val="28"/>
          <w:highlight w:val="none"/>
          <w:lang w:val="en-US" w:eastAsia="zh-CN"/>
        </w:rPr>
        <w:t>20191013</w:t>
      </w:r>
      <w:r>
        <w:rPr>
          <w:rFonts w:hint="eastAsia" w:hAnsi="宋体"/>
          <w:sz w:val="28"/>
        </w:rPr>
        <w:t>号</w:t>
      </w:r>
    </w:p>
    <w:p>
      <w:pPr>
        <w:ind w:left="2100" w:hanging="2100" w:hangingChars="750"/>
        <w:rPr>
          <w:rFonts w:hint="eastAsia" w:ascii="宋体" w:hAnsi="宋体"/>
          <w:sz w:val="28"/>
          <w:szCs w:val="28"/>
        </w:rPr>
      </w:pPr>
    </w:p>
    <w:p>
      <w:pPr>
        <w:ind w:left="1960" w:hanging="1960"/>
        <w:rPr>
          <w:rFonts w:hint="eastAsia" w:ascii="宋体" w:hAnsi="宋体" w:eastAsia="宋体" w:cs="Times New Roman"/>
          <w:sz w:val="28"/>
          <w:szCs w:val="28"/>
        </w:rPr>
      </w:pPr>
      <w:r>
        <w:rPr>
          <w:rFonts w:hint="eastAsia" w:ascii="宋体" w:hAnsi="宋体"/>
          <w:sz w:val="28"/>
          <w:szCs w:val="28"/>
        </w:rPr>
        <w:t>估价项目名称：</w:t>
      </w:r>
      <w:r>
        <w:rPr>
          <w:rFonts w:hint="eastAsia" w:ascii="宋体" w:hAnsi="宋体" w:cs="Times New Roman"/>
          <w:sz w:val="28"/>
          <w:szCs w:val="28"/>
          <w:lang w:val="en-US" w:eastAsia="zh-CN"/>
        </w:rPr>
        <w:t>张开放</w:t>
      </w:r>
      <w:r>
        <w:rPr>
          <w:rFonts w:hint="eastAsia" w:ascii="宋体" w:hAnsi="宋体" w:eastAsia="宋体" w:cs="Times New Roman"/>
          <w:sz w:val="28"/>
          <w:szCs w:val="28"/>
        </w:rPr>
        <w:t>位于乌苏市哈图布呼镇北京路</w:t>
      </w:r>
      <w:r>
        <w:rPr>
          <w:rFonts w:hint="eastAsia" w:ascii="宋体" w:hAnsi="宋体" w:cs="Times New Roman"/>
          <w:sz w:val="28"/>
          <w:szCs w:val="28"/>
          <w:lang w:val="en-US" w:eastAsia="zh-CN"/>
        </w:rPr>
        <w:t>1514</w:t>
      </w:r>
      <w:r>
        <w:rPr>
          <w:rFonts w:hint="eastAsia" w:ascii="宋体" w:hAnsi="宋体" w:eastAsia="宋体" w:cs="Times New Roman"/>
          <w:sz w:val="28"/>
          <w:szCs w:val="28"/>
        </w:rPr>
        <w:t>号的涉案住宅房地产市场价值评估报告</w:t>
      </w:r>
    </w:p>
    <w:p>
      <w:pPr>
        <w:ind w:left="2100" w:hanging="2100" w:hangingChars="750"/>
        <w:rPr>
          <w:rFonts w:hint="eastAsia" w:ascii="宋体" w:hAnsi="宋体"/>
          <w:sz w:val="28"/>
          <w:szCs w:val="28"/>
          <w:lang w:eastAsia="zh-CN"/>
        </w:rPr>
      </w:pPr>
    </w:p>
    <w:p>
      <w:pPr>
        <w:pStyle w:val="3"/>
        <w:adjustRightInd w:val="0"/>
        <w:snapToGrid w:val="0"/>
        <w:spacing w:line="560" w:lineRule="exact"/>
        <w:rPr>
          <w:rFonts w:hint="eastAsia" w:hAnsi="宋体"/>
          <w:sz w:val="28"/>
          <w:szCs w:val="28"/>
        </w:rPr>
      </w:pPr>
      <w:r>
        <w:rPr>
          <w:rFonts w:hint="eastAsia" w:hAnsi="宋体"/>
          <w:sz w:val="28"/>
          <w:szCs w:val="28"/>
        </w:rPr>
        <w:t>估价委托人：</w:t>
      </w:r>
      <w:r>
        <w:rPr>
          <w:rFonts w:hint="eastAsia" w:hAnsi="宋体"/>
          <w:sz w:val="28"/>
          <w:szCs w:val="28"/>
          <w:lang w:val="en-US" w:eastAsia="zh-CN"/>
        </w:rPr>
        <w:t>乌苏市人民法院</w:t>
      </w:r>
      <w:r>
        <w:rPr>
          <w:rFonts w:hint="eastAsia" w:hAnsi="宋体"/>
          <w:sz w:val="28"/>
          <w:szCs w:val="28"/>
        </w:rPr>
        <w:t xml:space="preserve">   </w:t>
      </w:r>
    </w:p>
    <w:p>
      <w:pPr>
        <w:pStyle w:val="3"/>
        <w:adjustRightInd w:val="0"/>
        <w:snapToGrid w:val="0"/>
        <w:spacing w:line="560" w:lineRule="exact"/>
        <w:rPr>
          <w:rFonts w:hint="default" w:hAnsi="宋体"/>
          <w:sz w:val="28"/>
          <w:szCs w:val="28"/>
          <w:lang w:val="en-US" w:eastAsia="zh-CN"/>
        </w:rPr>
      </w:pPr>
      <w:r>
        <w:rPr>
          <w:rFonts w:hint="eastAsia" w:hAnsi="宋体"/>
          <w:sz w:val="28"/>
          <w:szCs w:val="28"/>
        </w:rPr>
        <w:t xml:space="preserve">     </w:t>
      </w:r>
      <w:r>
        <w:rPr>
          <w:rFonts w:hint="eastAsia" w:hAnsi="宋体"/>
          <w:sz w:val="28"/>
          <w:szCs w:val="28"/>
          <w:lang w:val="en-US" w:eastAsia="zh-CN"/>
        </w:rPr>
        <w:t xml:space="preserve">  </w:t>
      </w:r>
    </w:p>
    <w:p>
      <w:pPr>
        <w:pStyle w:val="3"/>
        <w:adjustRightInd w:val="0"/>
        <w:snapToGrid w:val="0"/>
        <w:spacing w:line="560" w:lineRule="exact"/>
        <w:rPr>
          <w:rFonts w:hint="eastAsia" w:hAnsi="宋体"/>
          <w:sz w:val="28"/>
          <w:szCs w:val="28"/>
        </w:rPr>
      </w:pPr>
      <w:r>
        <w:rPr>
          <w:rFonts w:hint="eastAsia" w:hAnsi="宋体"/>
          <w:sz w:val="28"/>
          <w:szCs w:val="28"/>
        </w:rPr>
        <w:t>房地产估价机构：新疆中浩房地产评估有限公司</w:t>
      </w:r>
    </w:p>
    <w:p>
      <w:pPr>
        <w:pStyle w:val="3"/>
        <w:adjustRightInd w:val="0"/>
        <w:snapToGrid w:val="0"/>
        <w:spacing w:line="560" w:lineRule="exact"/>
        <w:rPr>
          <w:rFonts w:hint="eastAsia" w:hAnsi="宋体"/>
          <w:sz w:val="28"/>
          <w:szCs w:val="28"/>
        </w:rPr>
      </w:pPr>
    </w:p>
    <w:p>
      <w:pPr>
        <w:pStyle w:val="3"/>
        <w:adjustRightInd w:val="0"/>
        <w:snapToGrid w:val="0"/>
        <w:spacing w:line="560" w:lineRule="exact"/>
        <w:rPr>
          <w:rFonts w:hint="eastAsia" w:hAnsi="宋体"/>
          <w:sz w:val="28"/>
          <w:szCs w:val="28"/>
        </w:rPr>
      </w:pPr>
      <w:r>
        <w:rPr>
          <w:rFonts w:hint="eastAsia" w:hAnsi="宋体"/>
          <w:sz w:val="28"/>
          <w:szCs w:val="28"/>
        </w:rPr>
        <w:t>注册房地产估价师：贾俊丽（注册证号：6520060041）</w:t>
      </w:r>
    </w:p>
    <w:p>
      <w:pPr>
        <w:pStyle w:val="3"/>
        <w:adjustRightInd w:val="0"/>
        <w:snapToGrid w:val="0"/>
        <w:spacing w:line="560" w:lineRule="exact"/>
        <w:rPr>
          <w:rFonts w:hint="eastAsia" w:hAnsi="宋体"/>
          <w:sz w:val="28"/>
          <w:szCs w:val="28"/>
        </w:rPr>
      </w:pPr>
      <w:r>
        <w:rPr>
          <w:rFonts w:hint="eastAsia" w:hAnsi="宋体"/>
          <w:sz w:val="28"/>
          <w:szCs w:val="28"/>
        </w:rPr>
        <w:t xml:space="preserve">                  </w:t>
      </w:r>
      <w:r>
        <w:rPr>
          <w:rFonts w:hint="eastAsia" w:hAnsi="宋体"/>
          <w:sz w:val="28"/>
          <w:szCs w:val="28"/>
          <w:lang w:eastAsia="zh-CN"/>
        </w:rPr>
        <w:t>文春滠</w:t>
      </w:r>
      <w:r>
        <w:rPr>
          <w:rFonts w:hint="eastAsia" w:hAnsi="宋体"/>
          <w:sz w:val="28"/>
          <w:szCs w:val="28"/>
        </w:rPr>
        <w:t>（注册证号：</w:t>
      </w:r>
      <w:r>
        <w:rPr>
          <w:rFonts w:hint="eastAsia" w:hAnsi="宋体"/>
          <w:sz w:val="28"/>
          <w:szCs w:val="28"/>
          <w:lang w:val="en-US" w:eastAsia="zh-CN"/>
        </w:rPr>
        <w:t>6520190007</w:t>
      </w:r>
      <w:r>
        <w:rPr>
          <w:rFonts w:hint="eastAsia" w:hAnsi="宋体"/>
          <w:sz w:val="28"/>
          <w:szCs w:val="28"/>
        </w:rPr>
        <w:t>）</w:t>
      </w:r>
    </w:p>
    <w:p>
      <w:pPr>
        <w:pStyle w:val="3"/>
        <w:adjustRightInd w:val="0"/>
        <w:snapToGrid w:val="0"/>
        <w:spacing w:line="360" w:lineRule="auto"/>
        <w:rPr>
          <w:rFonts w:hint="eastAsia" w:hAnsi="宋体"/>
          <w:sz w:val="28"/>
          <w:szCs w:val="28"/>
        </w:rPr>
      </w:pPr>
    </w:p>
    <w:p>
      <w:pPr>
        <w:pStyle w:val="3"/>
        <w:adjustRightInd w:val="0"/>
        <w:snapToGrid w:val="0"/>
        <w:spacing w:line="360" w:lineRule="auto"/>
        <w:rPr>
          <w:rFonts w:hint="eastAsia" w:hAnsi="宋体"/>
          <w:sz w:val="28"/>
          <w:szCs w:val="28"/>
          <w:lang w:eastAsia="zh-CN"/>
        </w:rPr>
      </w:pPr>
      <w:r>
        <w:rPr>
          <w:rFonts w:hint="eastAsia" w:hAnsi="宋体"/>
          <w:sz w:val="28"/>
          <w:szCs w:val="28"/>
        </w:rPr>
        <w:t>估价报告出具日期：</w:t>
      </w:r>
      <w:r>
        <w:rPr>
          <w:rFonts w:hint="eastAsia" w:hAnsi="宋体"/>
          <w:sz w:val="28"/>
          <w:szCs w:val="28"/>
          <w:lang w:eastAsia="zh-CN"/>
        </w:rPr>
        <w:t>二〇一九年</w:t>
      </w:r>
      <w:r>
        <w:rPr>
          <w:rFonts w:hint="eastAsia" w:hAnsi="宋体"/>
          <w:sz w:val="28"/>
          <w:szCs w:val="28"/>
          <w:lang w:val="en-US" w:eastAsia="zh-CN"/>
        </w:rPr>
        <w:t>十</w:t>
      </w:r>
      <w:r>
        <w:rPr>
          <w:rFonts w:hint="eastAsia" w:hAnsi="宋体"/>
          <w:sz w:val="28"/>
          <w:szCs w:val="28"/>
          <w:lang w:eastAsia="zh-CN"/>
        </w:rPr>
        <w:t>月二十</w:t>
      </w:r>
      <w:r>
        <w:rPr>
          <w:rFonts w:hint="eastAsia" w:hAnsi="宋体"/>
          <w:sz w:val="28"/>
          <w:szCs w:val="28"/>
          <w:lang w:val="en-US" w:eastAsia="zh-CN"/>
        </w:rPr>
        <w:t>三</w:t>
      </w:r>
      <w:r>
        <w:rPr>
          <w:rFonts w:hint="eastAsia" w:hAnsi="宋体"/>
          <w:sz w:val="28"/>
          <w:szCs w:val="28"/>
          <w:lang w:eastAsia="zh-CN"/>
        </w:rPr>
        <w:t>日</w:t>
      </w:r>
    </w:p>
    <w:p>
      <w:pPr>
        <w:pStyle w:val="3"/>
        <w:adjustRightInd w:val="0"/>
        <w:snapToGrid w:val="0"/>
        <w:spacing w:line="360" w:lineRule="auto"/>
        <w:rPr>
          <w:rFonts w:hint="eastAsia" w:hAnsi="宋体"/>
          <w:sz w:val="28"/>
          <w:szCs w:val="28"/>
          <w:lang w:eastAsia="zh-CN"/>
        </w:rPr>
      </w:pPr>
    </w:p>
    <w:p>
      <w:pPr>
        <w:pStyle w:val="3"/>
        <w:adjustRightInd w:val="0"/>
        <w:snapToGrid w:val="0"/>
        <w:spacing w:line="560" w:lineRule="exact"/>
        <w:rPr>
          <w:rFonts w:hint="eastAsia" w:hAnsi="宋体"/>
          <w:sz w:val="28"/>
          <w:szCs w:val="28"/>
        </w:rPr>
      </w:pPr>
    </w:p>
    <w:p>
      <w:pPr>
        <w:pStyle w:val="3"/>
        <w:adjustRightInd w:val="0"/>
        <w:snapToGrid w:val="0"/>
        <w:spacing w:line="560" w:lineRule="exact"/>
        <w:rPr>
          <w:rFonts w:hint="eastAsia" w:hAnsi="宋体"/>
          <w:sz w:val="28"/>
          <w:szCs w:val="28"/>
        </w:rPr>
      </w:pPr>
    </w:p>
    <w:p>
      <w:pPr>
        <w:pStyle w:val="3"/>
        <w:adjustRightInd w:val="0"/>
        <w:snapToGrid w:val="0"/>
        <w:spacing w:line="360" w:lineRule="exact"/>
        <w:jc w:val="center"/>
        <w:rPr>
          <w:rFonts w:hint="eastAsia" w:hAnsi="宋体"/>
          <w:b/>
          <w:sz w:val="32"/>
          <w:szCs w:val="32"/>
        </w:rPr>
      </w:pPr>
    </w:p>
    <w:p>
      <w:pPr>
        <w:pStyle w:val="3"/>
        <w:adjustRightInd w:val="0"/>
        <w:snapToGrid w:val="0"/>
        <w:spacing w:line="360" w:lineRule="exact"/>
        <w:jc w:val="center"/>
        <w:rPr>
          <w:rFonts w:hint="eastAsia" w:hAnsi="宋体"/>
          <w:b/>
          <w:sz w:val="32"/>
          <w:szCs w:val="32"/>
        </w:rPr>
        <w:sectPr>
          <w:headerReference r:id="rId3" w:type="default"/>
          <w:footerReference r:id="rId4" w:type="default"/>
          <w:footerReference r:id="rId5" w:type="even"/>
          <w:pgSz w:w="11907" w:h="16840"/>
          <w:pgMar w:top="1418" w:right="1701" w:bottom="1418" w:left="1805" w:header="851" w:footer="992" w:gutter="0"/>
          <w:cols w:space="720" w:num="1"/>
          <w:titlePg/>
          <w:docGrid w:type="lines" w:linePitch="476" w:charSpace="0"/>
        </w:sectPr>
      </w:pPr>
    </w:p>
    <w:p>
      <w:pPr>
        <w:pStyle w:val="3"/>
        <w:adjustRightInd w:val="0"/>
        <w:snapToGrid w:val="0"/>
        <w:spacing w:line="360" w:lineRule="exact"/>
        <w:jc w:val="center"/>
        <w:rPr>
          <w:rFonts w:hint="eastAsia" w:hAnsi="宋体"/>
          <w:b/>
          <w:sz w:val="32"/>
          <w:szCs w:val="32"/>
        </w:rPr>
      </w:pPr>
      <w:r>
        <w:rPr>
          <w:rFonts w:hint="eastAsia" w:hAnsi="宋体"/>
          <w:b/>
          <w:sz w:val="32"/>
          <w:szCs w:val="32"/>
        </w:rPr>
        <w:t>致估价委托人函</w:t>
      </w:r>
    </w:p>
    <w:p>
      <w:pPr>
        <w:pStyle w:val="3"/>
        <w:snapToGrid w:val="0"/>
        <w:spacing w:line="440" w:lineRule="exact"/>
        <w:ind w:left="0" w:leftChars="0" w:firstLine="0" w:firstLineChars="0"/>
        <w:rPr>
          <w:rFonts w:hint="default" w:ascii="Times New Roman" w:hAnsi="Times New Roman" w:cs="Times New Roman"/>
          <w:b/>
          <w:sz w:val="24"/>
          <w:szCs w:val="24"/>
        </w:rPr>
      </w:pPr>
      <w:r>
        <w:rPr>
          <w:rFonts w:hint="eastAsia" w:hAnsi="宋体"/>
          <w:b/>
          <w:sz w:val="24"/>
          <w:szCs w:val="24"/>
          <w:lang w:val="en-US" w:eastAsia="zh-CN"/>
        </w:rPr>
        <w:t>乌苏市人民法院</w:t>
      </w:r>
      <w:r>
        <w:rPr>
          <w:rFonts w:hint="default" w:ascii="Times New Roman" w:hAnsi="Times New Roman" w:cs="Times New Roman"/>
          <w:b/>
          <w:sz w:val="24"/>
          <w:szCs w:val="24"/>
        </w:rPr>
        <w:t>:</w:t>
      </w:r>
    </w:p>
    <w:p>
      <w:pPr>
        <w:pStyle w:val="3"/>
        <w:snapToGrid w:val="0"/>
        <w:spacing w:line="440" w:lineRule="exact"/>
        <w:ind w:left="0" w:leftChars="0" w:firstLine="480" w:firstLineChars="200"/>
        <w:rPr>
          <w:rFonts w:hint="eastAsia" w:hAnsi="宋体"/>
          <w:sz w:val="24"/>
          <w:szCs w:val="24"/>
        </w:rPr>
      </w:pPr>
      <w:r>
        <w:rPr>
          <w:rFonts w:hint="default" w:ascii="Times New Roman" w:hAnsi="Times New Roman" w:cs="Times New Roman"/>
          <w:sz w:val="24"/>
          <w:szCs w:val="24"/>
        </w:rPr>
        <w:t>接受</w:t>
      </w:r>
      <w:r>
        <w:rPr>
          <w:rFonts w:hint="eastAsia" w:ascii="Times New Roman" w:hAnsi="Times New Roman" w:cs="Times New Roman"/>
          <w:sz w:val="24"/>
          <w:szCs w:val="24"/>
          <w:lang w:eastAsia="zh-CN"/>
        </w:rPr>
        <w:t>贵院</w:t>
      </w:r>
      <w:r>
        <w:rPr>
          <w:rFonts w:hint="default" w:ascii="Times New Roman" w:hAnsi="Times New Roman" w:cs="Times New Roman"/>
          <w:sz w:val="24"/>
          <w:szCs w:val="24"/>
        </w:rPr>
        <w:t>的委托，我公司对</w:t>
      </w:r>
      <w:r>
        <w:rPr>
          <w:rFonts w:hint="eastAsia" w:ascii="Times New Roman" w:hAnsi="Times New Roman" w:cs="Times New Roman"/>
          <w:sz w:val="24"/>
          <w:szCs w:val="24"/>
          <w:lang w:val="en-US" w:eastAsia="zh-CN"/>
        </w:rPr>
        <w:t>张开放</w:t>
      </w:r>
      <w:r>
        <w:rPr>
          <w:rFonts w:hint="eastAsia" w:ascii="Times New Roman" w:hAnsi="Times New Roman" w:cs="Times New Roman"/>
          <w:sz w:val="24"/>
          <w:szCs w:val="24"/>
          <w:lang w:eastAsia="zh-CN"/>
        </w:rPr>
        <w:t>位于乌苏市哈图布呼镇北京路</w:t>
      </w:r>
      <w:r>
        <w:rPr>
          <w:rFonts w:hint="eastAsia" w:ascii="Times New Roman" w:hAnsi="Times New Roman" w:cs="Times New Roman"/>
          <w:sz w:val="24"/>
          <w:szCs w:val="24"/>
          <w:lang w:val="en-US" w:eastAsia="zh-CN"/>
        </w:rPr>
        <w:t>1514号住宅</w:t>
      </w:r>
      <w:r>
        <w:rPr>
          <w:rFonts w:hint="eastAsia" w:ascii="Times New Roman" w:hAnsi="Times New Roman" w:cs="Times New Roman"/>
          <w:sz w:val="24"/>
          <w:szCs w:val="24"/>
          <w:lang w:eastAsia="zh-CN"/>
        </w:rPr>
        <w:t>房地产</w:t>
      </w:r>
      <w:r>
        <w:rPr>
          <w:rFonts w:hint="default" w:ascii="Times New Roman" w:hAnsi="Times New Roman" w:cs="Times New Roman"/>
          <w:sz w:val="24"/>
          <w:szCs w:val="24"/>
        </w:rPr>
        <w:t>进行了评估，我公司根据国家有关房地产估价的相关规定，本着独立、客观、公正的原则，采用科学的估价方法，对估价对象进行了实地查勘、市场调查、估价测算，并据此撰写了房地产估价报告。估价结果如下：</w:t>
      </w:r>
    </w:p>
    <w:p>
      <w:pPr>
        <w:pStyle w:val="3"/>
        <w:snapToGrid w:val="0"/>
        <w:spacing w:line="440" w:lineRule="exact"/>
        <w:ind w:left="0" w:leftChars="0" w:firstLine="0" w:firstLineChars="0"/>
        <w:rPr>
          <w:rFonts w:hint="eastAsia" w:hAnsi="宋体"/>
          <w:b/>
          <w:sz w:val="24"/>
          <w:szCs w:val="24"/>
        </w:rPr>
      </w:pPr>
      <w:r>
        <w:rPr>
          <w:rFonts w:hint="eastAsia" w:hAnsi="宋体"/>
          <w:b/>
          <w:sz w:val="24"/>
          <w:szCs w:val="24"/>
        </w:rPr>
        <w:t>一、估价目的</w:t>
      </w:r>
    </w:p>
    <w:p>
      <w:pPr>
        <w:pStyle w:val="3"/>
        <w:snapToGrid w:val="0"/>
        <w:spacing w:line="440" w:lineRule="exact"/>
        <w:ind w:left="0" w:leftChars="0" w:firstLine="456" w:firstLineChars="200"/>
        <w:rPr>
          <w:rFonts w:hint="eastAsia" w:hAnsi="宋体"/>
          <w:bCs/>
          <w:spacing w:val="-6"/>
          <w:sz w:val="24"/>
          <w:szCs w:val="24"/>
          <w:lang w:eastAsia="zh-CN"/>
        </w:rPr>
      </w:pPr>
      <w:r>
        <w:rPr>
          <w:rFonts w:hint="eastAsia" w:hAnsi="宋体"/>
          <w:bCs/>
          <w:spacing w:val="-6"/>
          <w:sz w:val="24"/>
          <w:szCs w:val="24"/>
          <w:lang w:eastAsia="zh-CN"/>
        </w:rPr>
        <w:t>为乌苏市人民法院确定财产处置参考价提供参考依据。</w:t>
      </w:r>
    </w:p>
    <w:p>
      <w:pPr>
        <w:pStyle w:val="3"/>
        <w:snapToGrid w:val="0"/>
        <w:spacing w:line="440" w:lineRule="exact"/>
        <w:ind w:left="0" w:leftChars="0" w:firstLine="0" w:firstLineChars="0"/>
        <w:rPr>
          <w:rFonts w:hint="eastAsia" w:hAnsi="宋体"/>
          <w:b/>
          <w:sz w:val="24"/>
          <w:szCs w:val="24"/>
        </w:rPr>
      </w:pPr>
      <w:r>
        <w:rPr>
          <w:rFonts w:hint="eastAsia" w:hAnsi="宋体"/>
          <w:b/>
          <w:sz w:val="24"/>
          <w:szCs w:val="24"/>
        </w:rPr>
        <w:t>二、估价对象</w:t>
      </w:r>
    </w:p>
    <w:p>
      <w:pPr>
        <w:pStyle w:val="3"/>
        <w:adjustRightInd w:val="0"/>
        <w:snapToGrid w:val="0"/>
        <w:spacing w:line="440" w:lineRule="exact"/>
        <w:ind w:left="0" w:leftChars="0" w:firstLine="482" w:firstLineChars="200"/>
        <w:rPr>
          <w:rFonts w:hint="eastAsia" w:hAnsi="宋体" w:eastAsia="宋体"/>
          <w:sz w:val="24"/>
          <w:szCs w:val="24"/>
          <w:shd w:val="clear" w:color="auto" w:fill="FFFFFF"/>
          <w:lang w:eastAsia="zh-CN"/>
        </w:rPr>
      </w:pPr>
      <w:r>
        <w:rPr>
          <w:rFonts w:hint="eastAsia" w:hAnsi="宋体"/>
          <w:b/>
          <w:sz w:val="24"/>
          <w:szCs w:val="24"/>
        </w:rPr>
        <w:t>估价对象范围</w:t>
      </w:r>
      <w:r>
        <w:rPr>
          <w:rFonts w:hint="eastAsia" w:hAnsi="宋体"/>
          <w:b/>
          <w:sz w:val="24"/>
          <w:szCs w:val="24"/>
          <w:lang w:eastAsia="zh-CN"/>
        </w:rPr>
        <w:t>：</w:t>
      </w:r>
      <w:r>
        <w:rPr>
          <w:rFonts w:hint="eastAsia" w:hAnsi="宋体"/>
          <w:b w:val="0"/>
          <w:bCs/>
          <w:sz w:val="24"/>
          <w:szCs w:val="24"/>
          <w:lang w:eastAsia="zh-CN"/>
        </w:rPr>
        <w:t>张</w:t>
      </w:r>
      <w:r>
        <w:rPr>
          <w:rFonts w:hint="eastAsia" w:hAnsi="宋体"/>
          <w:b w:val="0"/>
          <w:bCs/>
          <w:sz w:val="24"/>
          <w:szCs w:val="24"/>
          <w:lang w:val="en-US" w:eastAsia="zh-CN"/>
        </w:rPr>
        <w:t>开放</w:t>
      </w:r>
      <w:r>
        <w:rPr>
          <w:rFonts w:hint="eastAsia" w:hAnsi="宋体"/>
          <w:b w:val="0"/>
          <w:bCs/>
          <w:sz w:val="24"/>
          <w:szCs w:val="24"/>
          <w:lang w:eastAsia="zh-CN"/>
        </w:rPr>
        <w:t>位于乌苏市哈图布呼镇北京路151</w:t>
      </w:r>
      <w:r>
        <w:rPr>
          <w:rFonts w:hint="eastAsia" w:hAnsi="宋体"/>
          <w:b w:val="0"/>
          <w:bCs/>
          <w:sz w:val="24"/>
          <w:szCs w:val="24"/>
          <w:lang w:val="en-US" w:eastAsia="zh-CN"/>
        </w:rPr>
        <w:t>4</w:t>
      </w:r>
      <w:r>
        <w:rPr>
          <w:rFonts w:hint="eastAsia" w:hAnsi="宋体"/>
          <w:b w:val="0"/>
          <w:bCs/>
          <w:sz w:val="24"/>
          <w:szCs w:val="24"/>
          <w:lang w:eastAsia="zh-CN"/>
        </w:rPr>
        <w:t>号</w:t>
      </w:r>
      <w:r>
        <w:rPr>
          <w:rFonts w:hint="eastAsia" w:hAnsi="宋体"/>
          <w:b w:val="0"/>
          <w:bCs/>
          <w:sz w:val="24"/>
          <w:szCs w:val="24"/>
          <w:lang w:val="en-US" w:eastAsia="zh-CN"/>
        </w:rPr>
        <w:t>住宅</w:t>
      </w:r>
      <w:r>
        <w:rPr>
          <w:rFonts w:hint="eastAsia" w:hAnsi="宋体"/>
          <w:b w:val="0"/>
          <w:bCs/>
          <w:sz w:val="24"/>
          <w:szCs w:val="24"/>
          <w:lang w:eastAsia="zh-CN"/>
        </w:rPr>
        <w:t>房地产</w:t>
      </w:r>
      <w:r>
        <w:rPr>
          <w:rFonts w:hint="eastAsia" w:hAnsi="宋体"/>
          <w:sz w:val="24"/>
          <w:szCs w:val="24"/>
          <w:shd w:val="clear" w:color="auto" w:fill="FFFFFF"/>
        </w:rPr>
        <w:t>。本次估价对象为该套</w:t>
      </w:r>
      <w:r>
        <w:rPr>
          <w:rFonts w:hint="eastAsia" w:hAnsi="宋体"/>
          <w:sz w:val="24"/>
          <w:szCs w:val="24"/>
          <w:shd w:val="clear" w:color="auto" w:fill="FFFFFF"/>
          <w:lang w:val="en-US" w:eastAsia="zh-CN"/>
        </w:rPr>
        <w:t>住宅</w:t>
      </w:r>
      <w:r>
        <w:rPr>
          <w:rFonts w:hint="eastAsia" w:hAnsi="宋体"/>
          <w:sz w:val="24"/>
          <w:szCs w:val="24"/>
          <w:shd w:val="clear" w:color="auto" w:fill="FFFFFF"/>
          <w:lang w:eastAsia="zh-CN"/>
        </w:rPr>
        <w:t>房地产、</w:t>
      </w:r>
      <w:r>
        <w:rPr>
          <w:rFonts w:hint="eastAsia" w:hAnsi="宋体"/>
          <w:sz w:val="24"/>
          <w:szCs w:val="24"/>
          <w:shd w:val="clear" w:color="auto" w:fill="FFFFFF"/>
        </w:rPr>
        <w:t>二次装修及土地使用权价值，不包含室内的动产</w:t>
      </w:r>
      <w:r>
        <w:rPr>
          <w:rFonts w:hint="eastAsia" w:hAnsi="宋体"/>
          <w:sz w:val="24"/>
          <w:szCs w:val="24"/>
          <w:shd w:val="clear" w:color="auto" w:fill="FFFFFF"/>
          <w:lang w:eastAsia="zh-CN"/>
        </w:rPr>
        <w:t>、债权债务等其他财产权利。</w:t>
      </w:r>
    </w:p>
    <w:p>
      <w:pPr>
        <w:pStyle w:val="3"/>
        <w:adjustRightInd w:val="0"/>
        <w:snapToGrid w:val="0"/>
        <w:spacing w:line="440" w:lineRule="exact"/>
        <w:ind w:left="0" w:leftChars="0" w:firstLine="482" w:firstLineChars="200"/>
        <w:rPr>
          <w:rFonts w:hint="eastAsia" w:hAnsi="宋体"/>
          <w:sz w:val="24"/>
          <w:szCs w:val="24"/>
          <w:lang w:eastAsia="zh-CN"/>
        </w:rPr>
      </w:pPr>
      <w:r>
        <w:rPr>
          <w:rFonts w:hint="eastAsia" w:hAnsi="宋体"/>
          <w:b/>
          <w:sz w:val="24"/>
          <w:szCs w:val="24"/>
        </w:rPr>
        <w:t>估价对象规模：</w:t>
      </w:r>
      <w:r>
        <w:rPr>
          <w:rFonts w:hint="eastAsia" w:hAnsi="宋体"/>
          <w:sz w:val="24"/>
          <w:szCs w:val="24"/>
        </w:rPr>
        <w:t>证载建筑面积</w:t>
      </w:r>
      <w:r>
        <w:rPr>
          <w:rFonts w:hint="eastAsia" w:hAnsi="宋体"/>
          <w:sz w:val="24"/>
          <w:szCs w:val="24"/>
          <w:lang w:val="en-US" w:eastAsia="zh-CN"/>
        </w:rPr>
        <w:t>243平方米、土地使用权面积814平方米（根据《乌苏市房屋登记中心查询结果》）</w:t>
      </w:r>
      <w:r>
        <w:rPr>
          <w:rFonts w:hint="eastAsia" w:hAnsi="宋体"/>
          <w:sz w:val="24"/>
          <w:szCs w:val="24"/>
          <w:lang w:eastAsia="zh-CN"/>
        </w:rPr>
        <w:t>。</w:t>
      </w:r>
    </w:p>
    <w:p>
      <w:pPr>
        <w:pStyle w:val="3"/>
        <w:adjustRightInd w:val="0"/>
        <w:snapToGrid w:val="0"/>
        <w:spacing w:line="440" w:lineRule="exact"/>
        <w:ind w:left="0" w:leftChars="0" w:firstLine="482" w:firstLineChars="200"/>
        <w:rPr>
          <w:rFonts w:hint="eastAsia" w:hAnsi="宋体"/>
          <w:sz w:val="24"/>
          <w:szCs w:val="24"/>
        </w:rPr>
      </w:pPr>
      <w:r>
        <w:rPr>
          <w:rFonts w:hint="eastAsia" w:hAnsi="宋体"/>
          <w:b/>
          <w:sz w:val="24"/>
          <w:szCs w:val="24"/>
        </w:rPr>
        <w:t>用途：</w:t>
      </w:r>
      <w:r>
        <w:rPr>
          <w:rFonts w:hint="eastAsia" w:hAnsi="宋体"/>
          <w:sz w:val="24"/>
          <w:szCs w:val="24"/>
          <w:lang w:val="en-US" w:eastAsia="zh-CN"/>
        </w:rPr>
        <w:t>住宅</w:t>
      </w:r>
      <w:r>
        <w:rPr>
          <w:rFonts w:hint="eastAsia" w:hAnsi="宋体"/>
          <w:sz w:val="24"/>
          <w:szCs w:val="24"/>
          <w:lang w:eastAsia="zh-CN"/>
        </w:rPr>
        <w:t>。</w:t>
      </w:r>
    </w:p>
    <w:p>
      <w:pPr>
        <w:pStyle w:val="3"/>
        <w:adjustRightInd w:val="0"/>
        <w:snapToGrid w:val="0"/>
        <w:spacing w:line="440" w:lineRule="exact"/>
        <w:ind w:left="0" w:leftChars="0" w:firstLine="482" w:firstLineChars="200"/>
        <w:rPr>
          <w:rFonts w:hint="eastAsia" w:hAnsi="宋体"/>
          <w:sz w:val="24"/>
          <w:szCs w:val="24"/>
        </w:rPr>
      </w:pPr>
      <w:r>
        <w:rPr>
          <w:rFonts w:hint="eastAsia" w:hAnsi="宋体"/>
          <w:b/>
          <w:sz w:val="24"/>
          <w:szCs w:val="24"/>
        </w:rPr>
        <w:t>权属：</w:t>
      </w:r>
      <w:r>
        <w:rPr>
          <w:rFonts w:hint="eastAsia" w:hAnsi="宋体"/>
          <w:sz w:val="24"/>
          <w:szCs w:val="24"/>
        </w:rPr>
        <w:t>依据委托方提供的权属资料证明，估价对象已办理产权登记，权属人为</w:t>
      </w:r>
      <w:r>
        <w:rPr>
          <w:rFonts w:hint="eastAsia" w:hAnsi="宋体"/>
          <w:sz w:val="24"/>
          <w:szCs w:val="24"/>
          <w:lang w:val="en-US" w:eastAsia="zh-CN"/>
        </w:rPr>
        <w:t>张开放</w:t>
      </w:r>
      <w:r>
        <w:rPr>
          <w:rFonts w:hint="eastAsia" w:hAnsi="宋体"/>
          <w:sz w:val="24"/>
          <w:szCs w:val="24"/>
        </w:rPr>
        <w:t>，已取得</w:t>
      </w:r>
      <w:r>
        <w:rPr>
          <w:rFonts w:hint="eastAsia" w:hAnsi="宋体"/>
          <w:sz w:val="24"/>
          <w:szCs w:val="24"/>
          <w:lang w:val="en-US" w:eastAsia="zh-CN"/>
        </w:rPr>
        <w:t>00040990号《房屋所有权证》，2014000002657号《土地使用权证》</w:t>
      </w:r>
      <w:r>
        <w:rPr>
          <w:rFonts w:hint="eastAsia" w:hAnsi="宋体"/>
          <w:sz w:val="24"/>
          <w:szCs w:val="24"/>
        </w:rPr>
        <w:t>。</w:t>
      </w:r>
    </w:p>
    <w:p>
      <w:pPr>
        <w:pStyle w:val="3"/>
        <w:adjustRightInd w:val="0"/>
        <w:snapToGrid w:val="0"/>
        <w:spacing w:line="440" w:lineRule="exact"/>
        <w:ind w:left="0" w:leftChars="0" w:firstLine="0" w:firstLineChars="0"/>
        <w:rPr>
          <w:rFonts w:hint="eastAsia" w:hAnsi="宋体"/>
          <w:b/>
          <w:sz w:val="24"/>
          <w:szCs w:val="24"/>
        </w:rPr>
      </w:pPr>
      <w:r>
        <w:rPr>
          <w:rFonts w:hint="eastAsia" w:hAnsi="宋体"/>
          <w:b/>
          <w:sz w:val="24"/>
          <w:szCs w:val="24"/>
        </w:rPr>
        <w:t xml:space="preserve"> 三、价值时点</w:t>
      </w:r>
    </w:p>
    <w:p>
      <w:pPr>
        <w:pStyle w:val="3"/>
        <w:snapToGrid w:val="0"/>
        <w:spacing w:line="440" w:lineRule="exact"/>
        <w:ind w:left="0" w:leftChars="0" w:firstLine="480" w:firstLineChars="200"/>
        <w:rPr>
          <w:rFonts w:hint="eastAsia" w:hAnsi="宋体"/>
          <w:sz w:val="24"/>
          <w:szCs w:val="24"/>
        </w:rPr>
      </w:pPr>
      <w:r>
        <w:rPr>
          <w:rFonts w:hint="eastAsia" w:hAnsi="宋体"/>
          <w:sz w:val="24"/>
          <w:szCs w:val="24"/>
          <w:lang w:eastAsia="zh-CN"/>
        </w:rPr>
        <w:t>根据本次估价目的，结合委托方要求，综合确定本次评价值时点为</w:t>
      </w:r>
      <w:r>
        <w:rPr>
          <w:rFonts w:hint="eastAsia" w:hAnsi="宋体"/>
          <w:sz w:val="24"/>
          <w:szCs w:val="24"/>
          <w:lang w:val="en-US" w:eastAsia="zh-CN"/>
        </w:rPr>
        <w:t>2019年10月17日（实地查勘之日）</w:t>
      </w:r>
      <w:r>
        <w:rPr>
          <w:rFonts w:hint="eastAsia" w:hAnsi="宋体"/>
          <w:sz w:val="24"/>
          <w:szCs w:val="24"/>
        </w:rPr>
        <w:t>。</w:t>
      </w:r>
    </w:p>
    <w:p>
      <w:pPr>
        <w:pStyle w:val="3"/>
        <w:snapToGrid w:val="0"/>
        <w:spacing w:line="440" w:lineRule="exact"/>
        <w:ind w:left="0" w:leftChars="0" w:firstLine="0" w:firstLineChars="0"/>
        <w:rPr>
          <w:rFonts w:hint="eastAsia" w:hAnsi="宋体"/>
          <w:b/>
          <w:sz w:val="24"/>
          <w:szCs w:val="24"/>
        </w:rPr>
      </w:pPr>
      <w:r>
        <w:rPr>
          <w:rFonts w:hint="eastAsia" w:hAnsi="宋体"/>
          <w:b/>
          <w:sz w:val="24"/>
          <w:szCs w:val="24"/>
        </w:rPr>
        <w:t>四、价值类型</w:t>
      </w:r>
    </w:p>
    <w:p>
      <w:pPr>
        <w:pStyle w:val="3"/>
        <w:numPr>
          <w:ilvl w:val="0"/>
          <w:numId w:val="0"/>
        </w:numPr>
        <w:snapToGrid w:val="0"/>
        <w:spacing w:line="440" w:lineRule="exact"/>
        <w:ind w:left="0" w:leftChars="0" w:firstLine="480" w:firstLineChars="200"/>
        <w:rPr>
          <w:rFonts w:hint="eastAsia" w:hAnsi="宋体"/>
          <w:sz w:val="24"/>
          <w:szCs w:val="24"/>
          <w:lang w:eastAsia="zh-CN"/>
        </w:rPr>
      </w:pPr>
      <w:r>
        <w:rPr>
          <w:rFonts w:hint="eastAsia" w:hAnsi="宋体"/>
          <w:sz w:val="24"/>
          <w:szCs w:val="24"/>
          <w:lang w:eastAsia="zh-CN"/>
        </w:rPr>
        <w:t>本次估价采用的价值类型为市场价值，是指估价对象经适当营销后，由熟悉情况、谨慎行事且不受强迫的交易双方，以公平交易方式在价值时点自愿进行交易的金额。</w:t>
      </w:r>
    </w:p>
    <w:p>
      <w:pPr>
        <w:pStyle w:val="3"/>
        <w:numPr>
          <w:ilvl w:val="0"/>
          <w:numId w:val="0"/>
        </w:numPr>
        <w:snapToGrid w:val="0"/>
        <w:spacing w:line="440" w:lineRule="exact"/>
        <w:ind w:left="0" w:leftChars="0" w:firstLine="0" w:firstLineChars="0"/>
        <w:rPr>
          <w:rFonts w:hint="eastAsia" w:hAnsi="宋体"/>
          <w:b/>
          <w:sz w:val="24"/>
          <w:szCs w:val="24"/>
        </w:rPr>
      </w:pPr>
      <w:r>
        <w:rPr>
          <w:rFonts w:hint="eastAsia" w:hAnsi="宋体"/>
          <w:b/>
          <w:bCs/>
          <w:sz w:val="24"/>
          <w:szCs w:val="24"/>
          <w:lang w:eastAsia="zh-CN"/>
        </w:rPr>
        <w:t>五</w:t>
      </w:r>
      <w:r>
        <w:rPr>
          <w:rFonts w:hint="eastAsia" w:hAnsi="宋体"/>
          <w:sz w:val="24"/>
          <w:szCs w:val="24"/>
          <w:lang w:eastAsia="zh-CN"/>
        </w:rPr>
        <w:t>、</w:t>
      </w:r>
      <w:r>
        <w:rPr>
          <w:rFonts w:hint="eastAsia" w:hAnsi="宋体"/>
          <w:b/>
          <w:sz w:val="24"/>
          <w:szCs w:val="24"/>
        </w:rPr>
        <w:t>估价方法</w:t>
      </w:r>
    </w:p>
    <w:p>
      <w:pPr>
        <w:pStyle w:val="3"/>
        <w:snapToGrid w:val="0"/>
        <w:spacing w:line="440" w:lineRule="exact"/>
        <w:ind w:left="0" w:leftChars="0" w:firstLine="480" w:firstLineChars="200"/>
        <w:rPr>
          <w:rFonts w:hint="eastAsia" w:hAnsi="宋体"/>
          <w:sz w:val="24"/>
          <w:szCs w:val="24"/>
        </w:rPr>
      </w:pPr>
      <w:r>
        <w:rPr>
          <w:rFonts w:hint="eastAsia" w:hAnsi="宋体"/>
          <w:sz w:val="24"/>
          <w:szCs w:val="24"/>
          <w:lang w:val="en-US" w:eastAsia="zh-CN"/>
        </w:rPr>
        <w:t>成本法</w:t>
      </w:r>
      <w:r>
        <w:rPr>
          <w:rFonts w:hint="eastAsia" w:hAnsi="宋体"/>
          <w:sz w:val="24"/>
          <w:szCs w:val="24"/>
        </w:rPr>
        <w:t>。</w:t>
      </w:r>
    </w:p>
    <w:p>
      <w:pPr>
        <w:pStyle w:val="3"/>
        <w:snapToGrid w:val="0"/>
        <w:spacing w:line="440" w:lineRule="exact"/>
        <w:ind w:left="0" w:leftChars="0" w:firstLine="0" w:firstLineChars="0"/>
        <w:rPr>
          <w:rFonts w:hint="eastAsia" w:hAnsi="宋体"/>
          <w:b/>
          <w:sz w:val="24"/>
          <w:szCs w:val="24"/>
        </w:rPr>
      </w:pPr>
      <w:r>
        <w:rPr>
          <w:rFonts w:hint="eastAsia" w:hAnsi="宋体"/>
          <w:b/>
          <w:sz w:val="24"/>
          <w:szCs w:val="24"/>
        </w:rPr>
        <w:t>六、估价结果</w:t>
      </w:r>
    </w:p>
    <w:p>
      <w:pPr>
        <w:pStyle w:val="3"/>
        <w:snapToGrid w:val="0"/>
        <w:spacing w:line="440" w:lineRule="exact"/>
        <w:ind w:firstLine="480"/>
        <w:jc w:val="left"/>
        <w:rPr>
          <w:rFonts w:hint="eastAsia" w:hAnsi="宋体"/>
          <w:sz w:val="24"/>
          <w:szCs w:val="24"/>
          <w:lang w:eastAsia="zh-CN"/>
        </w:rPr>
      </w:pPr>
      <w:r>
        <w:rPr>
          <w:rFonts w:hint="eastAsia" w:hAnsi="宋体"/>
          <w:sz w:val="24"/>
          <w:szCs w:val="24"/>
          <w:lang w:eastAsia="zh-CN"/>
        </w:rPr>
        <w:t>估价人员根据估价目的，遵照《中华人民共和国城市房地产管理法》、国家标准《房地产估价规范》等法律法规和技术标准，遵循独立、客观、公正、合法等估价原则，按照法定的估价工作程序，运用科学的估价方法，在对估价对象实地查勘以后，认真分析现有文件、资料的基础上，评估得出估价对象在价值时点（</w:t>
      </w:r>
      <w:r>
        <w:rPr>
          <w:rFonts w:hint="eastAsia" w:hAnsi="宋体"/>
          <w:sz w:val="24"/>
          <w:szCs w:val="24"/>
          <w:lang w:val="en-US" w:eastAsia="zh-CN"/>
        </w:rPr>
        <w:t>2019年10月17日</w:t>
      </w:r>
      <w:r>
        <w:rPr>
          <w:rFonts w:hint="eastAsia" w:hAnsi="宋体"/>
          <w:sz w:val="24"/>
          <w:szCs w:val="24"/>
          <w:lang w:eastAsia="zh-CN"/>
        </w:rPr>
        <w:t>）满足本次估价的全部假设和限制条件下的估价结果。估价结果如下：</w:t>
      </w:r>
    </w:p>
    <w:p>
      <w:pPr>
        <w:pStyle w:val="3"/>
        <w:snapToGrid w:val="0"/>
        <w:spacing w:line="440" w:lineRule="exact"/>
        <w:ind w:firstLine="480"/>
        <w:jc w:val="center"/>
        <w:rPr>
          <w:rFonts w:hint="eastAsia" w:hAnsi="宋体"/>
          <w:b/>
          <w:color w:val="auto"/>
          <w:sz w:val="28"/>
          <w:szCs w:val="28"/>
          <w:highlight w:val="none"/>
        </w:rPr>
      </w:pPr>
      <w:r>
        <w:rPr>
          <w:rFonts w:hint="eastAsia" w:hAnsi="宋体"/>
          <w:b/>
          <w:color w:val="auto"/>
          <w:sz w:val="28"/>
          <w:szCs w:val="28"/>
          <w:highlight w:val="none"/>
        </w:rPr>
        <w:t>估价结果汇总表</w:t>
      </w:r>
    </w:p>
    <w:p>
      <w:pPr>
        <w:pStyle w:val="3"/>
        <w:snapToGrid w:val="0"/>
        <w:spacing w:line="440" w:lineRule="exact"/>
        <w:jc w:val="both"/>
        <w:rPr>
          <w:rFonts w:hint="eastAsia" w:hAnsi="宋体"/>
          <w:sz w:val="24"/>
          <w:szCs w:val="24"/>
          <w:lang w:val="en-US" w:eastAsia="zh-CN"/>
        </w:rPr>
      </w:pPr>
      <w:r>
        <w:rPr>
          <w:rFonts w:hint="eastAsia" w:hAnsi="宋体"/>
          <w:sz w:val="24"/>
          <w:szCs w:val="24"/>
          <w:lang w:val="en-US" w:eastAsia="zh-CN"/>
        </w:rPr>
        <w:t xml:space="preserve">                                                   （币种：人民币）  </w:t>
      </w:r>
    </w:p>
    <w:p>
      <w:pPr>
        <w:pStyle w:val="3"/>
        <w:snapToGrid w:val="0"/>
        <w:spacing w:line="440" w:lineRule="exact"/>
        <w:jc w:val="both"/>
        <w:rPr>
          <w:rFonts w:hint="eastAsia" w:hAnsi="宋体"/>
          <w:sz w:val="24"/>
          <w:szCs w:val="24"/>
          <w:lang w:val="en-US" w:eastAsia="zh-CN"/>
        </w:rPr>
      </w:pPr>
      <w:r>
        <w:rPr>
          <w:rFonts w:hint="eastAsia" w:hAnsi="宋体"/>
          <w:sz w:val="24"/>
          <w:szCs w:val="24"/>
          <w:lang w:val="en-US" w:eastAsia="zh-CN"/>
        </w:rPr>
        <w:t xml:space="preserve">       </w:t>
      </w:r>
    </w:p>
    <w:tbl>
      <w:tblPr>
        <w:tblStyle w:val="7"/>
        <w:tblpPr w:leftFromText="180" w:rightFromText="180" w:vertAnchor="text" w:horzAnchor="page" w:tblpX="1785" w:tblpY="313"/>
        <w:tblOverlap w:val="never"/>
        <w:tblW w:w="84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49"/>
        <w:gridCol w:w="2591"/>
        <w:gridCol w:w="2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0" w:hRule="atLeast"/>
        </w:trPr>
        <w:tc>
          <w:tcPr>
            <w:tcW w:w="3249"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项目</w:t>
            </w:r>
          </w:p>
          <w:p>
            <w:pPr>
              <w:keepNext w:val="0"/>
              <w:keepLines w:val="0"/>
              <w:widowControl/>
              <w:suppressLineNumbers w:val="0"/>
              <w:ind w:firstLine="720" w:firstLineChars="300"/>
              <w:jc w:val="both"/>
              <w:textAlignment w:val="bottom"/>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结果</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32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单价(元/平方米)</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1009</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32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面积(平方米)</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32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245187</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65120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91" w:hRule="atLeast"/>
        </w:trPr>
        <w:tc>
          <w:tcPr>
            <w:tcW w:w="32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合计(元)</w:t>
            </w:r>
          </w:p>
        </w:tc>
        <w:tc>
          <w:tcPr>
            <w:tcW w:w="518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310307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32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大写(元)</w:t>
            </w:r>
          </w:p>
        </w:tc>
        <w:tc>
          <w:tcPr>
            <w:tcW w:w="518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dotted"/>
                <w:lang w:val="en-US" w:eastAsia="zh-CN" w:bidi="ar"/>
              </w:rPr>
              <w:t>叁拾壹万零叁佰零柒</w:t>
            </w:r>
          </w:p>
        </w:tc>
      </w:tr>
    </w:tbl>
    <w:p>
      <w:pPr>
        <w:pStyle w:val="3"/>
        <w:snapToGrid w:val="0"/>
        <w:spacing w:line="440" w:lineRule="exact"/>
        <w:jc w:val="both"/>
        <w:rPr>
          <w:rFonts w:hint="eastAsia" w:hAnsi="宋体"/>
          <w:sz w:val="24"/>
          <w:szCs w:val="24"/>
        </w:rPr>
      </w:pPr>
      <w:r>
        <w:rPr>
          <w:rFonts w:hint="eastAsia" w:hAnsi="宋体"/>
          <w:sz w:val="24"/>
          <w:szCs w:val="24"/>
          <w:lang w:val="en-US" w:eastAsia="zh-CN"/>
        </w:rPr>
        <w:t xml:space="preserve"> </w:t>
      </w:r>
    </w:p>
    <w:p>
      <w:pPr>
        <w:pStyle w:val="3"/>
        <w:snapToGrid w:val="0"/>
        <w:spacing w:line="440" w:lineRule="exact"/>
        <w:ind w:left="0" w:leftChars="0" w:firstLine="422" w:firstLineChars="175"/>
        <w:rPr>
          <w:rFonts w:hint="eastAsia" w:hAnsi="宋体"/>
          <w:sz w:val="24"/>
          <w:szCs w:val="24"/>
        </w:rPr>
      </w:pPr>
      <w:r>
        <w:rPr>
          <w:rFonts w:hint="eastAsia" w:hAnsi="宋体"/>
          <w:b/>
          <w:sz w:val="24"/>
          <w:szCs w:val="24"/>
        </w:rPr>
        <w:t>七、关于估价结果使用的特别说明</w:t>
      </w:r>
    </w:p>
    <w:p>
      <w:pPr>
        <w:pStyle w:val="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175"/>
        <w:textAlignment w:val="auto"/>
        <w:rPr>
          <w:rFonts w:hint="eastAsia" w:hAnsi="宋体"/>
          <w:sz w:val="24"/>
          <w:szCs w:val="24"/>
          <w:lang w:eastAsia="zh-CN"/>
        </w:rPr>
      </w:pPr>
      <w:r>
        <w:rPr>
          <w:rFonts w:hint="eastAsia" w:hAnsi="宋体"/>
          <w:sz w:val="24"/>
          <w:szCs w:val="24"/>
          <w:lang w:eastAsia="zh-CN"/>
        </w:rPr>
        <w:t>（一）财产拍卖（或者变卖）日期与评估报告载明的价值时点不一致的，评估对象状况或者房地产市场状况的变化会对评估结果产生影响；</w:t>
      </w:r>
    </w:p>
    <w:p>
      <w:pPr>
        <w:pStyle w:val="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175"/>
        <w:textAlignment w:val="auto"/>
        <w:rPr>
          <w:rFonts w:hint="eastAsia" w:hAnsi="宋体"/>
          <w:sz w:val="24"/>
          <w:szCs w:val="24"/>
          <w:lang w:eastAsia="zh-CN"/>
        </w:rPr>
      </w:pPr>
      <w:r>
        <w:rPr>
          <w:rFonts w:hint="eastAsia" w:hAnsi="宋体"/>
          <w:sz w:val="24"/>
          <w:szCs w:val="24"/>
          <w:lang w:eastAsia="zh-CN"/>
        </w:rPr>
        <w:t>（二）在评估结果有效期内，评估对象状况或房地产市场发生明显变化的，评估结果应当进行相应调整；</w:t>
      </w:r>
    </w:p>
    <w:p>
      <w:pPr>
        <w:pStyle w:val="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175"/>
        <w:textAlignment w:val="auto"/>
        <w:rPr>
          <w:rFonts w:hint="eastAsia" w:hAnsi="宋体"/>
          <w:sz w:val="24"/>
          <w:szCs w:val="24"/>
          <w:lang w:eastAsia="zh-CN"/>
        </w:rPr>
      </w:pPr>
      <w:r>
        <w:rPr>
          <w:rFonts w:hint="eastAsia" w:hAnsi="宋体"/>
          <w:sz w:val="24"/>
          <w:szCs w:val="24"/>
          <w:lang w:eastAsia="zh-CN"/>
        </w:rPr>
        <w:t>（三）委托人或者评估报告使用人应当按照法律规定和评估报告载明的使用范围使用评估报告，违反该规定使用评估报告的，房地产估价机构和注册房地产估价师依法不承担责任；</w:t>
      </w:r>
    </w:p>
    <w:p>
      <w:pPr>
        <w:pStyle w:val="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175"/>
        <w:textAlignment w:val="auto"/>
        <w:rPr>
          <w:rFonts w:hint="eastAsia" w:hAnsi="宋体"/>
          <w:sz w:val="24"/>
          <w:szCs w:val="24"/>
          <w:lang w:eastAsia="zh-CN"/>
        </w:rPr>
      </w:pPr>
      <w:r>
        <w:rPr>
          <w:rFonts w:hint="eastAsia" w:hAnsi="宋体"/>
          <w:sz w:val="24"/>
          <w:szCs w:val="24"/>
          <w:lang w:eastAsia="zh-CN"/>
        </w:rPr>
        <w:t>（四）评估结果不等于评估对象处置可实现的成交价，不应被认为是对评估对象处置成交价的保证。</w:t>
      </w:r>
    </w:p>
    <w:p>
      <w:pPr>
        <w:pStyle w:val="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175"/>
        <w:textAlignment w:val="auto"/>
        <w:rPr>
          <w:rFonts w:hint="eastAsia" w:hAnsi="宋体"/>
          <w:sz w:val="24"/>
          <w:szCs w:val="24"/>
          <w:lang w:eastAsia="zh-CN"/>
        </w:rPr>
      </w:pPr>
      <w:r>
        <w:rPr>
          <w:rFonts w:hint="eastAsia" w:hAnsi="宋体"/>
          <w:sz w:val="24"/>
          <w:szCs w:val="24"/>
          <w:lang w:eastAsia="zh-CN"/>
        </w:rPr>
        <w:t>（五）经与乌苏市人民法院执行法官沟通，本次估价对象交易税费负担按照以往涉执房地产处置惯例负担。</w:t>
      </w:r>
    </w:p>
    <w:p>
      <w:pPr>
        <w:pStyle w:val="3"/>
        <w:keepNext w:val="0"/>
        <w:keepLines w:val="0"/>
        <w:pageBreakBefore w:val="0"/>
        <w:widowControl w:val="0"/>
        <w:kinsoku/>
        <w:wordWrap/>
        <w:overflowPunct/>
        <w:topLinePunct w:val="0"/>
        <w:autoSpaceDE/>
        <w:autoSpaceDN/>
        <w:bidi w:val="0"/>
        <w:adjustRightInd/>
        <w:snapToGrid w:val="0"/>
        <w:spacing w:line="400" w:lineRule="exact"/>
        <w:ind w:left="0" w:leftChars="0" w:firstLine="420" w:firstLineChars="175"/>
        <w:textAlignment w:val="auto"/>
        <w:rPr>
          <w:rFonts w:hint="eastAsia" w:hAnsi="宋体"/>
          <w:sz w:val="24"/>
          <w:szCs w:val="24"/>
          <w:lang w:eastAsia="zh-CN"/>
        </w:rPr>
      </w:pPr>
      <w:r>
        <w:rPr>
          <w:rFonts w:hint="eastAsia" w:hAnsi="宋体"/>
          <w:sz w:val="24"/>
          <w:szCs w:val="24"/>
          <w:lang w:eastAsia="zh-CN"/>
        </w:rPr>
        <w:t>（六）涉执房地产处置司法评估不考虑评估费、拍卖费、诉讼费、律师费等财产处置费用对评估结果的影响。</w:t>
      </w:r>
    </w:p>
    <w:p>
      <w:pPr>
        <w:pStyle w:val="3"/>
        <w:keepNext w:val="0"/>
        <w:keepLines w:val="0"/>
        <w:pageBreakBefore w:val="0"/>
        <w:widowControl w:val="0"/>
        <w:kinsoku/>
        <w:wordWrap/>
        <w:overflowPunct/>
        <w:topLinePunct w:val="0"/>
        <w:autoSpaceDE/>
        <w:autoSpaceDN/>
        <w:bidi w:val="0"/>
        <w:adjustRightInd/>
        <w:snapToGrid w:val="0"/>
        <w:spacing w:line="400" w:lineRule="exact"/>
        <w:ind w:firstLine="5040" w:firstLineChars="2100"/>
        <w:textAlignment w:val="auto"/>
        <w:rPr>
          <w:rFonts w:hint="eastAsia" w:hAnsi="宋体"/>
          <w:sz w:val="24"/>
          <w:szCs w:val="24"/>
        </w:rPr>
      </w:pPr>
      <w:r>
        <w:rPr>
          <w:rFonts w:hint="eastAsia" w:hAnsi="宋体"/>
          <w:sz w:val="24"/>
          <w:szCs w:val="24"/>
        </w:rPr>
        <w:t>新疆中浩房地产评估有限公司</w:t>
      </w:r>
    </w:p>
    <w:p>
      <w:pPr>
        <w:pStyle w:val="3"/>
        <w:adjustRightInd w:val="0"/>
        <w:snapToGrid w:val="0"/>
        <w:spacing w:line="320" w:lineRule="exact"/>
        <w:ind w:right="480" w:firstLine="1680" w:firstLineChars="700"/>
        <w:jc w:val="center"/>
        <w:rPr>
          <w:rFonts w:hint="eastAsia" w:hAnsi="宋体"/>
          <w:sz w:val="24"/>
          <w:szCs w:val="24"/>
        </w:rPr>
      </w:pPr>
      <w:r>
        <w:rPr>
          <w:rFonts w:hint="eastAsia" w:hAnsi="宋体"/>
          <w:sz w:val="24"/>
          <w:szCs w:val="24"/>
        </w:rPr>
        <w:t xml:space="preserve">                         </w:t>
      </w:r>
    </w:p>
    <w:p>
      <w:pPr>
        <w:pStyle w:val="3"/>
        <w:adjustRightInd w:val="0"/>
        <w:snapToGrid w:val="0"/>
        <w:spacing w:line="320" w:lineRule="exact"/>
        <w:ind w:right="480" w:firstLine="1680" w:firstLineChars="700"/>
        <w:jc w:val="center"/>
        <w:rPr>
          <w:rFonts w:hint="eastAsia" w:hAnsi="宋体" w:eastAsia="宋体"/>
          <w:sz w:val="24"/>
          <w:szCs w:val="24"/>
          <w:lang w:eastAsia="zh-CN"/>
        </w:rPr>
      </w:pPr>
      <w:r>
        <w:rPr>
          <w:rFonts w:hint="eastAsia" w:hAnsi="宋体"/>
          <w:sz w:val="24"/>
          <w:szCs w:val="24"/>
          <w:lang w:val="en-US" w:eastAsia="zh-CN"/>
        </w:rPr>
        <w:t xml:space="preserve">                     </w:t>
      </w:r>
      <w:r>
        <w:rPr>
          <w:rFonts w:hint="eastAsia" w:hAnsi="宋体"/>
          <w:sz w:val="24"/>
          <w:szCs w:val="24"/>
        </w:rPr>
        <w:t xml:space="preserve">  法定代表人：</w:t>
      </w:r>
      <w:r>
        <w:rPr>
          <w:rFonts w:hint="eastAsia" w:hAnsi="宋体"/>
          <w:sz w:val="24"/>
          <w:szCs w:val="24"/>
          <w:lang w:eastAsia="zh-CN"/>
        </w:rPr>
        <w:t>贾俊丽</w:t>
      </w:r>
    </w:p>
    <w:p>
      <w:pPr>
        <w:pStyle w:val="3"/>
        <w:adjustRightInd w:val="0"/>
        <w:snapToGrid w:val="0"/>
        <w:spacing w:line="360" w:lineRule="auto"/>
        <w:rPr>
          <w:rFonts w:hint="eastAsia" w:hAnsi="宋体"/>
          <w:sz w:val="24"/>
          <w:szCs w:val="24"/>
          <w:lang w:val="en-US" w:eastAsia="zh-CN"/>
        </w:rPr>
      </w:pPr>
      <w:r>
        <w:rPr>
          <w:rFonts w:hint="eastAsia" w:hAnsi="宋体"/>
          <w:sz w:val="24"/>
          <w:szCs w:val="24"/>
        </w:rPr>
        <w:t xml:space="preserve">          </w:t>
      </w:r>
      <w:r>
        <w:rPr>
          <w:rFonts w:hint="eastAsia" w:hAnsi="宋体"/>
          <w:sz w:val="24"/>
          <w:szCs w:val="24"/>
          <w:lang w:val="en-US" w:eastAsia="zh-CN"/>
        </w:rPr>
        <w:t xml:space="preserve">              </w:t>
      </w:r>
    </w:p>
    <w:p>
      <w:pPr>
        <w:pStyle w:val="3"/>
        <w:adjustRightInd w:val="0"/>
        <w:snapToGrid w:val="0"/>
        <w:spacing w:line="360" w:lineRule="auto"/>
        <w:ind w:firstLine="4080" w:firstLineChars="1700"/>
        <w:rPr>
          <w:rFonts w:hint="eastAsia" w:hAnsi="宋体"/>
          <w:sz w:val="24"/>
          <w:szCs w:val="24"/>
          <w:lang w:eastAsia="zh-CN"/>
        </w:rPr>
      </w:pPr>
      <w:r>
        <w:rPr>
          <w:rFonts w:hint="eastAsia" w:hAnsi="宋体"/>
          <w:sz w:val="24"/>
          <w:szCs w:val="24"/>
          <w:lang w:val="en-US" w:eastAsia="zh-CN"/>
        </w:rPr>
        <w:t xml:space="preserve">        </w:t>
      </w:r>
      <w:r>
        <w:rPr>
          <w:rFonts w:hint="eastAsia" w:hAnsi="宋体"/>
          <w:sz w:val="24"/>
          <w:szCs w:val="24"/>
          <w:lang w:eastAsia="zh-CN"/>
        </w:rPr>
        <w:t>二〇一九年</w:t>
      </w:r>
      <w:r>
        <w:rPr>
          <w:rFonts w:hint="eastAsia" w:hAnsi="宋体"/>
          <w:sz w:val="24"/>
          <w:szCs w:val="24"/>
          <w:lang w:val="en-US" w:eastAsia="zh-CN"/>
        </w:rPr>
        <w:t>十</w:t>
      </w:r>
      <w:r>
        <w:rPr>
          <w:rFonts w:hint="eastAsia" w:hAnsi="宋体"/>
          <w:sz w:val="24"/>
          <w:szCs w:val="24"/>
          <w:lang w:eastAsia="zh-CN"/>
        </w:rPr>
        <w:t>月二十</w:t>
      </w:r>
      <w:r>
        <w:rPr>
          <w:rFonts w:hint="eastAsia" w:hAnsi="宋体"/>
          <w:sz w:val="24"/>
          <w:szCs w:val="24"/>
          <w:lang w:val="en-US" w:eastAsia="zh-CN"/>
        </w:rPr>
        <w:t>三</w:t>
      </w:r>
      <w:r>
        <w:rPr>
          <w:rFonts w:hint="eastAsia" w:hAnsi="宋体"/>
          <w:sz w:val="24"/>
          <w:szCs w:val="24"/>
          <w:lang w:eastAsia="zh-CN"/>
        </w:rPr>
        <w:t>日</w:t>
      </w:r>
    </w:p>
    <w:sdt>
      <w:sdtPr>
        <w:rPr>
          <w:rFonts w:ascii="宋体" w:hAnsi="宋体" w:eastAsia="宋体" w:cs="Times New Roman"/>
          <w:kern w:val="2"/>
          <w:sz w:val="21"/>
          <w:lang w:val="en-US" w:eastAsia="zh-CN" w:bidi="ar-SA"/>
        </w:rPr>
        <w:id w:val="147460138"/>
        <w15:color w:val="DBDBDB"/>
        <w:docPartObj>
          <w:docPartGallery w:val="Table of Contents"/>
          <w:docPartUnique/>
        </w:docPartObj>
      </w:sdtPr>
      <w:sdtEndPr>
        <w:rPr>
          <w:rFonts w:hint="eastAsia" w:asciiTheme="minorEastAsia" w:hAnsiTheme="minorEastAsia" w:eastAsiaTheme="minorEastAsia" w:cstheme="minorEastAsia"/>
          <w:kern w:val="2"/>
          <w:sz w:val="24"/>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420" w:lineRule="exact"/>
            <w:ind w:left="0" w:leftChars="0" w:right="0" w:rightChars="0" w:firstLine="0" w:firstLineChars="0"/>
            <w:jc w:val="center"/>
            <w:textAlignment w:val="auto"/>
            <w:rPr>
              <w:rFonts w:hint="eastAsia" w:asciiTheme="minorEastAsia" w:hAnsiTheme="minorEastAsia" w:eastAsiaTheme="minorEastAsia" w:cstheme="minorEastAsia"/>
              <w:b/>
              <w:bCs/>
              <w:sz w:val="32"/>
              <w:szCs w:val="32"/>
            </w:rPr>
          </w:pPr>
          <w:bookmarkStart w:id="0" w:name="_Toc24105_WPSOffice_Type1"/>
          <w:r>
            <w:rPr>
              <w:rFonts w:hint="eastAsia" w:asciiTheme="minorEastAsia" w:hAnsiTheme="minorEastAsia" w:eastAsiaTheme="minorEastAsia" w:cstheme="minorEastAsia"/>
              <w:b/>
              <w:bCs/>
              <w:sz w:val="32"/>
              <w:szCs w:val="32"/>
            </w:rPr>
            <w:t>目</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录</w:t>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_Toc19887_WPSOffice_Level1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8b33dc68-a237-4c2f-97fb-459f24ce959c}"/>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估价师声明</w:t>
              </w:r>
            </w:sdtContent>
          </w:sdt>
          <w:r>
            <w:rPr>
              <w:rFonts w:hint="eastAsia" w:asciiTheme="minorEastAsia" w:hAnsiTheme="minorEastAsia" w:eastAsiaTheme="minorEastAsia" w:cstheme="minorEastAsia"/>
              <w:sz w:val="24"/>
              <w:szCs w:val="24"/>
            </w:rPr>
            <w:tab/>
          </w:r>
          <w:bookmarkStart w:id="1" w:name="_Toc19887_WPSOffice_Level1Page"/>
          <w:r>
            <w:rPr>
              <w:rFonts w:hint="eastAsia" w:asciiTheme="minorEastAsia" w:hAnsiTheme="minorEastAsia" w:eastAsiaTheme="minorEastAsia" w:cstheme="minorEastAsia"/>
              <w:sz w:val="24"/>
              <w:szCs w:val="24"/>
            </w:rPr>
            <w:t>4</w:t>
          </w:r>
          <w:bookmarkEnd w:id="1"/>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_Toc13356_WPSOffice_Level1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4dec4339-f82a-437e-b58c-e3177e115b7a}"/>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估价的假设和限制条件</w:t>
              </w:r>
            </w:sdtContent>
          </w:sdt>
          <w:r>
            <w:rPr>
              <w:rFonts w:hint="eastAsia" w:asciiTheme="minorEastAsia" w:hAnsiTheme="minorEastAsia" w:eastAsiaTheme="minorEastAsia" w:cstheme="minorEastAsia"/>
              <w:sz w:val="24"/>
              <w:szCs w:val="24"/>
            </w:rPr>
            <w:tab/>
          </w:r>
          <w:bookmarkStart w:id="2" w:name="_Toc13356_WPSOffice_Level1Page"/>
          <w:r>
            <w:rPr>
              <w:rFonts w:hint="eastAsia" w:asciiTheme="minorEastAsia" w:hAnsiTheme="minorEastAsia" w:eastAsiaTheme="minorEastAsia" w:cstheme="minorEastAsia"/>
              <w:sz w:val="24"/>
              <w:szCs w:val="24"/>
            </w:rPr>
            <w:t>5</w:t>
          </w:r>
          <w:bookmarkEnd w:id="2"/>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_Toc16446_WPSOffice_Level1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faf37306-c587-4ccb-8161-99360577373e}"/>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一、一般假设</w:t>
              </w:r>
            </w:sdtContent>
          </w:sdt>
          <w:r>
            <w:rPr>
              <w:rFonts w:hint="eastAsia" w:asciiTheme="minorEastAsia" w:hAnsiTheme="minorEastAsia" w:eastAsiaTheme="minorEastAsia" w:cstheme="minorEastAsia"/>
              <w:sz w:val="24"/>
              <w:szCs w:val="24"/>
            </w:rPr>
            <w:tab/>
          </w:r>
          <w:bookmarkStart w:id="3" w:name="_Toc16446_WPSOffice_Level1Page"/>
          <w:r>
            <w:rPr>
              <w:rFonts w:hint="eastAsia" w:asciiTheme="minorEastAsia" w:hAnsiTheme="minorEastAsia" w:eastAsiaTheme="minorEastAsia" w:cstheme="minorEastAsia"/>
              <w:sz w:val="24"/>
              <w:szCs w:val="24"/>
            </w:rPr>
            <w:t>5</w:t>
          </w:r>
          <w:bookmarkEnd w:id="3"/>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_Toc29777_WPSOffice_Level1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ff4638bb-e9e6-44c8-951f-f40bbdd47910}"/>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二、未定事项假设</w:t>
              </w:r>
            </w:sdtContent>
          </w:sdt>
          <w:r>
            <w:rPr>
              <w:rFonts w:hint="eastAsia" w:asciiTheme="minorEastAsia" w:hAnsiTheme="minorEastAsia" w:eastAsiaTheme="minorEastAsia" w:cstheme="minorEastAsia"/>
              <w:sz w:val="24"/>
              <w:szCs w:val="24"/>
            </w:rPr>
            <w:tab/>
          </w:r>
          <w:bookmarkStart w:id="4" w:name="_Toc29777_WPSOffice_Level1Page"/>
          <w:r>
            <w:rPr>
              <w:rFonts w:hint="eastAsia" w:asciiTheme="minorEastAsia" w:hAnsiTheme="minorEastAsia" w:eastAsiaTheme="minorEastAsia" w:cstheme="minorEastAsia"/>
              <w:sz w:val="24"/>
              <w:szCs w:val="24"/>
            </w:rPr>
            <w:t>5</w:t>
          </w:r>
          <w:bookmarkEnd w:id="4"/>
          <w:r>
            <w:rPr>
              <w:rFonts w:hint="eastAsia" w:asciiTheme="minorEastAsia" w:hAnsiTheme="minorEastAsia" w:eastAsiaTheme="minorEastAsia" w:cstheme="minorEastAsia"/>
              <w:sz w:val="24"/>
              <w:szCs w:val="24"/>
            </w:rPr>
            <w:fldChar w:fldCharType="end"/>
          </w:r>
          <w:bookmarkStart w:id="46" w:name="_GoBack"/>
          <w:bookmarkEnd w:id="46"/>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_Toc18476_WPSOffice_Level1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3212448e-46d9-45b0-9f50-f9ec6ab6bd9c}"/>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三、 背离事实假设</w:t>
              </w:r>
            </w:sdtContent>
          </w:sdt>
          <w:r>
            <w:rPr>
              <w:rFonts w:hint="eastAsia" w:asciiTheme="minorEastAsia" w:hAnsiTheme="minorEastAsia" w:eastAsiaTheme="minorEastAsia" w:cstheme="minorEastAsia"/>
              <w:sz w:val="24"/>
              <w:szCs w:val="24"/>
            </w:rPr>
            <w:tab/>
          </w:r>
          <w:bookmarkStart w:id="5" w:name="_Toc18476_WPSOffice_Level1Page"/>
          <w:r>
            <w:rPr>
              <w:rFonts w:hint="eastAsia" w:asciiTheme="minorEastAsia" w:hAnsiTheme="minorEastAsia" w:eastAsiaTheme="minorEastAsia" w:cstheme="minorEastAsia"/>
              <w:sz w:val="24"/>
              <w:szCs w:val="24"/>
            </w:rPr>
            <w:t>5</w:t>
          </w:r>
          <w:bookmarkEnd w:id="5"/>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_Toc20882_WPSOffice_Level1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2ae5b365-9c3c-40ae-8619-8ecca7e572eb}"/>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四、不相一致假设</w:t>
              </w:r>
            </w:sdtContent>
          </w:sdt>
          <w:r>
            <w:rPr>
              <w:rFonts w:hint="eastAsia" w:asciiTheme="minorEastAsia" w:hAnsiTheme="minorEastAsia" w:eastAsiaTheme="minorEastAsia" w:cstheme="minorEastAsia"/>
              <w:sz w:val="24"/>
              <w:szCs w:val="24"/>
            </w:rPr>
            <w:tab/>
          </w:r>
          <w:bookmarkStart w:id="6" w:name="_Toc20882_WPSOffice_Level1Page"/>
          <w:r>
            <w:rPr>
              <w:rFonts w:hint="eastAsia" w:asciiTheme="minorEastAsia" w:hAnsiTheme="minorEastAsia" w:eastAsiaTheme="minorEastAsia" w:cstheme="minorEastAsia"/>
              <w:sz w:val="24"/>
              <w:szCs w:val="24"/>
            </w:rPr>
            <w:t>6</w:t>
          </w:r>
          <w:bookmarkEnd w:id="6"/>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_Toc26353_WPSOffice_Level1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fc922628-bb85-4310-8fe7-71fc9acc9f56}"/>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四、 依据不足假设</w:t>
              </w:r>
            </w:sdtContent>
          </w:sdt>
          <w:r>
            <w:rPr>
              <w:rFonts w:hint="eastAsia" w:asciiTheme="minorEastAsia" w:hAnsiTheme="minorEastAsia" w:eastAsiaTheme="minorEastAsia" w:cstheme="minorEastAsia"/>
              <w:sz w:val="24"/>
              <w:szCs w:val="24"/>
            </w:rPr>
            <w:tab/>
          </w:r>
          <w:bookmarkStart w:id="7" w:name="_Toc26353_WPSOffice_Level1Page"/>
          <w:r>
            <w:rPr>
              <w:rFonts w:hint="eastAsia" w:asciiTheme="minorEastAsia" w:hAnsiTheme="minorEastAsia" w:eastAsiaTheme="minorEastAsia" w:cstheme="minorEastAsia"/>
              <w:sz w:val="24"/>
              <w:szCs w:val="24"/>
            </w:rPr>
            <w:t>6</w:t>
          </w:r>
          <w:bookmarkEnd w:id="7"/>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_Toc4306_WPSOffice_Level1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1d484a83-be55-4464-bd99-2a18e2cc5b2a}"/>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六、估价报告使用限制</w:t>
              </w:r>
            </w:sdtContent>
          </w:sdt>
          <w:r>
            <w:rPr>
              <w:rFonts w:hint="eastAsia" w:asciiTheme="minorEastAsia" w:hAnsiTheme="minorEastAsia" w:eastAsiaTheme="minorEastAsia" w:cstheme="minorEastAsia"/>
              <w:sz w:val="24"/>
              <w:szCs w:val="24"/>
            </w:rPr>
            <w:tab/>
          </w:r>
          <w:bookmarkStart w:id="8" w:name="_Toc4306_WPSOffice_Level1Page"/>
          <w:r>
            <w:rPr>
              <w:rFonts w:hint="eastAsia" w:asciiTheme="minorEastAsia" w:hAnsiTheme="minorEastAsia" w:eastAsiaTheme="minorEastAsia" w:cstheme="minorEastAsia"/>
              <w:sz w:val="24"/>
              <w:szCs w:val="24"/>
            </w:rPr>
            <w:t>6</w:t>
          </w:r>
          <w:bookmarkEnd w:id="8"/>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_Toc6430_WPSOffice_Level1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ff2f171e-af47-4613-9c5e-e398a27b6be3}"/>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房地产估价结果报告</w:t>
              </w:r>
            </w:sdtContent>
          </w:sdt>
          <w:r>
            <w:rPr>
              <w:rFonts w:hint="eastAsia" w:asciiTheme="minorEastAsia" w:hAnsiTheme="minorEastAsia" w:eastAsiaTheme="minorEastAsia" w:cstheme="minorEastAsia"/>
              <w:sz w:val="24"/>
              <w:szCs w:val="24"/>
            </w:rPr>
            <w:tab/>
          </w:r>
          <w:bookmarkStart w:id="9" w:name="_Toc6430_WPSOffice_Level1Page"/>
          <w:r>
            <w:rPr>
              <w:rFonts w:hint="eastAsia" w:asciiTheme="minorEastAsia" w:hAnsiTheme="minorEastAsia" w:eastAsiaTheme="minorEastAsia" w:cstheme="minorEastAsia"/>
              <w:sz w:val="24"/>
              <w:szCs w:val="24"/>
            </w:rPr>
            <w:t>7</w:t>
          </w:r>
          <w:bookmarkEnd w:id="9"/>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_Toc25245_WPSOffice_Level1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8fe78898-32db-4075-b70d-5a3e1593f77a}"/>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一、估价委托人</w:t>
              </w:r>
            </w:sdtContent>
          </w:sdt>
          <w:r>
            <w:rPr>
              <w:rFonts w:hint="eastAsia" w:asciiTheme="minorEastAsia" w:hAnsiTheme="minorEastAsia" w:eastAsiaTheme="minorEastAsia" w:cstheme="minorEastAsia"/>
              <w:sz w:val="24"/>
              <w:szCs w:val="24"/>
            </w:rPr>
            <w:tab/>
          </w:r>
          <w:bookmarkStart w:id="10" w:name="_Toc25245_WPSOffice_Level1Page"/>
          <w:r>
            <w:rPr>
              <w:rFonts w:hint="eastAsia" w:asciiTheme="minorEastAsia" w:hAnsiTheme="minorEastAsia" w:eastAsiaTheme="minorEastAsia" w:cstheme="minorEastAsia"/>
              <w:sz w:val="24"/>
              <w:szCs w:val="24"/>
            </w:rPr>
            <w:t>7</w:t>
          </w:r>
          <w:bookmarkEnd w:id="10"/>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_Toc17001_WPSOffice_Level1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7e387220-4122-44d1-803b-9c0978003dc2}"/>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二、房地产估价机构</w:t>
              </w:r>
            </w:sdtContent>
          </w:sdt>
          <w:r>
            <w:rPr>
              <w:rFonts w:hint="eastAsia" w:asciiTheme="minorEastAsia" w:hAnsiTheme="minorEastAsia" w:eastAsiaTheme="minorEastAsia" w:cstheme="minorEastAsia"/>
              <w:sz w:val="24"/>
              <w:szCs w:val="24"/>
            </w:rPr>
            <w:tab/>
          </w:r>
          <w:bookmarkStart w:id="11" w:name="_Toc17001_WPSOffice_Level1Page"/>
          <w:r>
            <w:rPr>
              <w:rFonts w:hint="eastAsia" w:asciiTheme="minorEastAsia" w:hAnsiTheme="minorEastAsia" w:eastAsiaTheme="minorEastAsia" w:cstheme="minorEastAsia"/>
              <w:sz w:val="24"/>
              <w:szCs w:val="24"/>
            </w:rPr>
            <w:t>7</w:t>
          </w:r>
          <w:bookmarkEnd w:id="11"/>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_Toc985_WPSOffice_Level1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47c3b73a-09d0-45b2-8981-35c688d5dab6}"/>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三、估价目的</w:t>
              </w:r>
            </w:sdtContent>
          </w:sdt>
          <w:r>
            <w:rPr>
              <w:rFonts w:hint="eastAsia" w:asciiTheme="minorEastAsia" w:hAnsiTheme="minorEastAsia" w:eastAsiaTheme="minorEastAsia" w:cstheme="minorEastAsia"/>
              <w:sz w:val="24"/>
              <w:szCs w:val="24"/>
            </w:rPr>
            <w:tab/>
          </w:r>
          <w:bookmarkStart w:id="12" w:name="_Toc985_WPSOffice_Level1Page"/>
          <w:r>
            <w:rPr>
              <w:rFonts w:hint="eastAsia" w:asciiTheme="minorEastAsia" w:hAnsiTheme="minorEastAsia" w:eastAsiaTheme="minorEastAsia" w:cstheme="minorEastAsia"/>
              <w:sz w:val="24"/>
              <w:szCs w:val="24"/>
            </w:rPr>
            <w:t>7</w:t>
          </w:r>
          <w:bookmarkEnd w:id="12"/>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_Toc7169_WPSOffice_Level1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d81b6fb4-f096-4953-98e5-89f0f1dc6cee}"/>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四、估价对象</w:t>
              </w:r>
            </w:sdtContent>
          </w:sdt>
          <w:r>
            <w:rPr>
              <w:rFonts w:hint="eastAsia" w:asciiTheme="minorEastAsia" w:hAnsiTheme="minorEastAsia" w:eastAsiaTheme="minorEastAsia" w:cstheme="minorEastAsia"/>
              <w:sz w:val="24"/>
              <w:szCs w:val="24"/>
            </w:rPr>
            <w:tab/>
          </w:r>
          <w:bookmarkStart w:id="13" w:name="_Toc7169_WPSOffice_Level1Page"/>
          <w:r>
            <w:rPr>
              <w:rFonts w:hint="eastAsia" w:asciiTheme="minorEastAsia" w:hAnsiTheme="minorEastAsia" w:eastAsiaTheme="minorEastAsia" w:cstheme="minorEastAsia"/>
              <w:sz w:val="24"/>
              <w:szCs w:val="24"/>
            </w:rPr>
            <w:t>7</w:t>
          </w:r>
          <w:bookmarkEnd w:id="13"/>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_Toc340_WPSOffice_Level1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03d5acdf-2901-4a2e-ab6a-6e0fc3248bb0}"/>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五、价值时点</w:t>
              </w:r>
            </w:sdtContent>
          </w:sdt>
          <w:r>
            <w:rPr>
              <w:rFonts w:hint="eastAsia" w:asciiTheme="minorEastAsia" w:hAnsiTheme="minorEastAsia" w:eastAsiaTheme="minorEastAsia" w:cstheme="minorEastAsia"/>
              <w:sz w:val="24"/>
              <w:szCs w:val="24"/>
            </w:rPr>
            <w:tab/>
          </w:r>
          <w:bookmarkStart w:id="14" w:name="_Toc340_WPSOffice_Level1Page"/>
          <w:r>
            <w:rPr>
              <w:rFonts w:hint="eastAsia" w:asciiTheme="minorEastAsia" w:hAnsiTheme="minorEastAsia" w:eastAsiaTheme="minorEastAsia" w:cstheme="minorEastAsia"/>
              <w:sz w:val="24"/>
              <w:szCs w:val="24"/>
            </w:rPr>
            <w:t>9</w:t>
          </w:r>
          <w:bookmarkEnd w:id="14"/>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_Toc15978_WPSOffice_Level1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41"/>
              <w:placeholder>
                <w:docPart w:val="{8d414608-5a7d-4a54-b79b-f01d84328420}"/>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六、价值类型</w:t>
              </w:r>
            </w:sdtContent>
          </w:sdt>
          <w:r>
            <w:rPr>
              <w:rFonts w:hint="eastAsia" w:asciiTheme="minorEastAsia" w:hAnsiTheme="minorEastAsia" w:eastAsiaTheme="minorEastAsia" w:cstheme="minorEastAsia"/>
              <w:sz w:val="24"/>
              <w:szCs w:val="24"/>
            </w:rPr>
            <w:tab/>
          </w:r>
          <w:bookmarkStart w:id="15" w:name="_Toc15978_WPSOffice_Level1Page"/>
          <w:r>
            <w:rPr>
              <w:rFonts w:hint="eastAsia" w:asciiTheme="minorEastAsia" w:hAnsiTheme="minorEastAsia" w:eastAsiaTheme="minorEastAsia" w:cstheme="minorEastAsia"/>
              <w:sz w:val="24"/>
              <w:szCs w:val="24"/>
            </w:rPr>
            <w:t>9</w:t>
          </w:r>
          <w:bookmarkEnd w:id="15"/>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_Toc7338_WPSOffice_Level1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38"/>
              <w:placeholder>
                <w:docPart w:val="{c7d3a193-6f2a-45b1-beb2-58cdce9d22b6}"/>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七、估价原则</w:t>
              </w:r>
            </w:sdtContent>
          </w:sdt>
          <w:r>
            <w:rPr>
              <w:rFonts w:hint="eastAsia" w:asciiTheme="minorEastAsia" w:hAnsiTheme="minorEastAsia" w:eastAsiaTheme="minorEastAsia" w:cstheme="minorEastAsia"/>
              <w:sz w:val="24"/>
              <w:szCs w:val="24"/>
            </w:rPr>
            <w:tab/>
          </w:r>
          <w:bookmarkStart w:id="16" w:name="_Toc7338_WPSOffice_Level1Page"/>
          <w:r>
            <w:rPr>
              <w:rFonts w:hint="eastAsia" w:asciiTheme="minorEastAsia" w:hAnsiTheme="minorEastAsia" w:eastAsiaTheme="minorEastAsia" w:cstheme="minorEastAsia"/>
              <w:sz w:val="24"/>
              <w:szCs w:val="24"/>
            </w:rPr>
            <w:t>10</w:t>
          </w:r>
          <w:bookmarkEnd w:id="16"/>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_Toc24105_WPSOffice_Level1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38"/>
              <w:placeholder>
                <w:docPart w:val="{867a5b32-2505-4947-ac14-a6c349892c98}"/>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八、估价依据</w:t>
              </w:r>
            </w:sdtContent>
          </w:sdt>
          <w:r>
            <w:rPr>
              <w:rFonts w:hint="eastAsia" w:asciiTheme="minorEastAsia" w:hAnsiTheme="minorEastAsia" w:eastAsiaTheme="minorEastAsia" w:cstheme="minorEastAsia"/>
              <w:sz w:val="24"/>
              <w:szCs w:val="24"/>
            </w:rPr>
            <w:tab/>
          </w:r>
          <w:bookmarkStart w:id="17" w:name="_Toc24105_WPSOffice_Level1Page"/>
          <w:r>
            <w:rPr>
              <w:rFonts w:hint="eastAsia" w:asciiTheme="minorEastAsia" w:hAnsiTheme="minorEastAsia" w:eastAsiaTheme="minorEastAsia" w:cstheme="minorEastAsia"/>
              <w:sz w:val="24"/>
              <w:szCs w:val="24"/>
            </w:rPr>
            <w:t>10</w:t>
          </w:r>
          <w:bookmarkEnd w:id="17"/>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_Toc1543_WPSOffice_Level1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38"/>
              <w:placeholder>
                <w:docPart w:val="{3b637d93-00a4-4c35-9d0f-943e0ccc8035}"/>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九、 估价方法</w:t>
              </w:r>
            </w:sdtContent>
          </w:sdt>
          <w:r>
            <w:rPr>
              <w:rFonts w:hint="eastAsia" w:asciiTheme="minorEastAsia" w:hAnsiTheme="minorEastAsia" w:eastAsiaTheme="minorEastAsia" w:cstheme="minorEastAsia"/>
              <w:sz w:val="24"/>
              <w:szCs w:val="24"/>
            </w:rPr>
            <w:tab/>
          </w:r>
          <w:bookmarkStart w:id="18" w:name="_Toc1543_WPSOffice_Level1Page"/>
          <w:r>
            <w:rPr>
              <w:rFonts w:hint="eastAsia" w:asciiTheme="minorEastAsia" w:hAnsiTheme="minorEastAsia" w:eastAsiaTheme="minorEastAsia" w:cstheme="minorEastAsia"/>
              <w:sz w:val="24"/>
              <w:szCs w:val="24"/>
            </w:rPr>
            <w:t>11</w:t>
          </w:r>
          <w:bookmarkEnd w:id="18"/>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_Toc21073_WPSOffice_Level1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38"/>
              <w:placeholder>
                <w:docPart w:val="{15fa45c3-c14f-4619-87b9-d032fe5a10a6}"/>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十、估价结果</w:t>
              </w:r>
            </w:sdtContent>
          </w:sdt>
          <w:r>
            <w:rPr>
              <w:rFonts w:hint="eastAsia" w:asciiTheme="minorEastAsia" w:hAnsiTheme="minorEastAsia" w:eastAsiaTheme="minorEastAsia" w:cstheme="minorEastAsia"/>
              <w:sz w:val="24"/>
              <w:szCs w:val="24"/>
            </w:rPr>
            <w:tab/>
          </w:r>
          <w:bookmarkStart w:id="19" w:name="_Toc21073_WPSOffice_Level1Page"/>
          <w:r>
            <w:rPr>
              <w:rFonts w:hint="eastAsia" w:asciiTheme="minorEastAsia" w:hAnsiTheme="minorEastAsia" w:eastAsiaTheme="minorEastAsia" w:cstheme="minorEastAsia"/>
              <w:sz w:val="24"/>
              <w:szCs w:val="24"/>
            </w:rPr>
            <w:t>11</w:t>
          </w:r>
          <w:bookmarkEnd w:id="19"/>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_Toc28791_WPSOffice_Level1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38"/>
              <w:placeholder>
                <w:docPart w:val="{e76c1654-01dd-42fd-b038-6fa59fd19225}"/>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十一、注册房地产估价师</w:t>
              </w:r>
            </w:sdtContent>
          </w:sdt>
          <w:r>
            <w:rPr>
              <w:rFonts w:hint="eastAsia" w:asciiTheme="minorEastAsia" w:hAnsiTheme="minorEastAsia" w:eastAsiaTheme="minorEastAsia" w:cstheme="minorEastAsia"/>
              <w:sz w:val="24"/>
              <w:szCs w:val="24"/>
            </w:rPr>
            <w:tab/>
          </w:r>
          <w:bookmarkStart w:id="20" w:name="_Toc28791_WPSOffice_Level1Page"/>
          <w:r>
            <w:rPr>
              <w:rFonts w:hint="eastAsia" w:asciiTheme="minorEastAsia" w:hAnsiTheme="minorEastAsia" w:eastAsiaTheme="minorEastAsia" w:cstheme="minorEastAsia"/>
              <w:sz w:val="24"/>
              <w:szCs w:val="24"/>
            </w:rPr>
            <w:t>12</w:t>
          </w:r>
          <w:bookmarkEnd w:id="20"/>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_Toc24808_WPSOffice_Level1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38"/>
              <w:placeholder>
                <w:docPart w:val="{56b897b4-94dc-4de4-b316-7863342add4a}"/>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十二、实地查勘日期</w:t>
              </w:r>
            </w:sdtContent>
          </w:sdt>
          <w:r>
            <w:rPr>
              <w:rFonts w:hint="eastAsia" w:asciiTheme="minorEastAsia" w:hAnsiTheme="minorEastAsia" w:eastAsiaTheme="minorEastAsia" w:cstheme="minorEastAsia"/>
              <w:sz w:val="24"/>
              <w:szCs w:val="24"/>
            </w:rPr>
            <w:tab/>
          </w:r>
          <w:bookmarkStart w:id="21" w:name="_Toc24808_WPSOffice_Level1Page"/>
          <w:r>
            <w:rPr>
              <w:rFonts w:hint="eastAsia" w:asciiTheme="minorEastAsia" w:hAnsiTheme="minorEastAsia" w:eastAsiaTheme="minorEastAsia" w:cstheme="minorEastAsia"/>
              <w:sz w:val="24"/>
              <w:szCs w:val="24"/>
            </w:rPr>
            <w:t>12</w:t>
          </w:r>
          <w:bookmarkEnd w:id="21"/>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_Toc29466_WPSOffice_Level1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38"/>
              <w:placeholder>
                <w:docPart w:val="{89be484b-cd24-4a0b-8483-d44f92c30ef6}"/>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十三、估价作业日期</w:t>
              </w:r>
            </w:sdtContent>
          </w:sdt>
          <w:r>
            <w:rPr>
              <w:rFonts w:hint="eastAsia" w:asciiTheme="minorEastAsia" w:hAnsiTheme="minorEastAsia" w:eastAsiaTheme="minorEastAsia" w:cstheme="minorEastAsia"/>
              <w:sz w:val="24"/>
              <w:szCs w:val="24"/>
            </w:rPr>
            <w:tab/>
          </w:r>
          <w:bookmarkStart w:id="22" w:name="_Toc29466_WPSOffice_Level1Page"/>
          <w:r>
            <w:rPr>
              <w:rFonts w:hint="eastAsia" w:asciiTheme="minorEastAsia" w:hAnsiTheme="minorEastAsia" w:eastAsiaTheme="minorEastAsia" w:cstheme="minorEastAsia"/>
              <w:sz w:val="24"/>
              <w:szCs w:val="24"/>
            </w:rPr>
            <w:t>12</w:t>
          </w:r>
          <w:bookmarkEnd w:id="22"/>
          <w:r>
            <w:rPr>
              <w:rFonts w:hint="eastAsia" w:asciiTheme="minorEastAsia" w:hAnsiTheme="minorEastAsia" w:eastAsiaTheme="minorEastAsia" w:cstheme="minorEastAsia"/>
              <w:sz w:val="24"/>
              <w:szCs w:val="24"/>
            </w:rPr>
            <w:fldChar w:fldCharType="end"/>
          </w:r>
        </w:p>
        <w:p>
          <w:pPr>
            <w:pStyle w:val="12"/>
            <w:keepNext w:val="0"/>
            <w:keepLines w:val="0"/>
            <w:pageBreakBefore w:val="0"/>
            <w:tabs>
              <w:tab w:val="right" w:leader="dot" w:pos="8401"/>
            </w:tabs>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\l _Toc5402_WPSOffice_Level1 </w:instrText>
          </w:r>
          <w:r>
            <w:rPr>
              <w:rFonts w:hint="eastAsia" w:asciiTheme="minorEastAsia" w:hAnsiTheme="minorEastAsia" w:eastAsiaTheme="minorEastAsia" w:cstheme="minorEastAsia"/>
              <w:sz w:val="24"/>
              <w:szCs w:val="24"/>
            </w:rPr>
            <w:fldChar w:fldCharType="separate"/>
          </w:r>
          <w:sdt>
            <w:sdtPr>
              <w:rPr>
                <w:rFonts w:hint="eastAsia" w:asciiTheme="minorEastAsia" w:hAnsiTheme="minorEastAsia" w:eastAsiaTheme="minorEastAsia" w:cstheme="minorEastAsia"/>
                <w:kern w:val="2"/>
                <w:sz w:val="24"/>
                <w:szCs w:val="24"/>
                <w:lang w:val="en-US" w:eastAsia="zh-CN" w:bidi="ar-SA"/>
              </w:rPr>
              <w:id w:val="147460138"/>
              <w:placeholder>
                <w:docPart w:val="{e3e4fe8e-80ee-4bbb-8cf8-92cbd268708a}"/>
              </w:placeholder>
              <w15:color w:val="509DF3"/>
            </w:sdtPr>
            <w:sdtEndPr>
              <w:rPr>
                <w:rFonts w:hint="eastAsia" w:asciiTheme="minorEastAsia" w:hAnsiTheme="minorEastAsia" w:eastAsiaTheme="minorEastAsia" w:cstheme="minorEastAsia"/>
                <w:kern w:val="2"/>
                <w:sz w:val="24"/>
                <w:szCs w:val="24"/>
                <w:lang w:val="en-US" w:eastAsia="zh-CN" w:bidi="ar-SA"/>
              </w:rPr>
            </w:sdtEndPr>
            <w:sdtContent>
              <w:r>
                <w:rPr>
                  <w:rFonts w:hint="eastAsia" w:asciiTheme="minorEastAsia" w:hAnsiTheme="minorEastAsia" w:eastAsiaTheme="minorEastAsia" w:cstheme="minorEastAsia"/>
                  <w:sz w:val="24"/>
                  <w:szCs w:val="24"/>
                </w:rPr>
                <w:t>附件</w:t>
              </w:r>
            </w:sdtContent>
          </w:sdt>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fldChar w:fldCharType="end"/>
          </w:r>
          <w:bookmarkEnd w:id="0"/>
          <w:r>
            <w:rPr>
              <w:rFonts w:hint="eastAsia" w:asciiTheme="minorEastAsia" w:hAnsiTheme="minorEastAsia" w:eastAsiaTheme="minorEastAsia" w:cstheme="minorEastAsia"/>
              <w:sz w:val="24"/>
              <w:szCs w:val="24"/>
              <w:lang w:val="en-US" w:eastAsia="zh-CN"/>
            </w:rPr>
            <w:t>3</w:t>
          </w:r>
        </w:p>
      </w:sdtContent>
    </w:sdt>
    <w:p>
      <w:pPr>
        <w:pStyle w:val="3"/>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hAnsi="宋体"/>
          <w:b/>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420" w:lineRule="exact"/>
        <w:ind w:left="0" w:leftChars="0" w:firstLine="0" w:firstLineChars="0"/>
        <w:jc w:val="center"/>
        <w:textAlignment w:val="auto"/>
        <w:rPr>
          <w:rFonts w:hint="eastAsia" w:hAnsi="宋体"/>
          <w:b/>
          <w:sz w:val="32"/>
          <w:szCs w:val="32"/>
        </w:rPr>
      </w:pPr>
      <w:bookmarkStart w:id="23" w:name="_Toc19887_WPSOffice_Level1"/>
    </w:p>
    <w:p>
      <w:pPr>
        <w:pStyle w:val="3"/>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hAnsi="宋体"/>
          <w:b/>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hAnsi="宋体"/>
          <w:b/>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hAnsi="宋体"/>
          <w:b/>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hAnsi="宋体"/>
          <w:b/>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hAnsi="宋体"/>
          <w:b/>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hAnsi="宋体"/>
          <w:b/>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hAnsi="宋体"/>
          <w:b/>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hAnsi="宋体"/>
          <w:b/>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hAnsi="宋体"/>
          <w:b/>
          <w:sz w:val="32"/>
          <w:szCs w:val="32"/>
        </w:rPr>
      </w:pPr>
      <w:r>
        <w:rPr>
          <w:rFonts w:hint="eastAsia" w:hAnsi="宋体"/>
          <w:b/>
          <w:sz w:val="32"/>
          <w:szCs w:val="32"/>
        </w:rPr>
        <w:t>估价师声明</w:t>
      </w:r>
      <w:bookmarkEnd w:id="23"/>
    </w:p>
    <w:p>
      <w:pPr>
        <w:pStyle w:val="3"/>
        <w:keepNext w:val="0"/>
        <w:keepLines w:val="0"/>
        <w:pageBreakBefore w:val="0"/>
        <w:widowControl w:val="0"/>
        <w:kinsoku/>
        <w:wordWrap/>
        <w:overflowPunct/>
        <w:topLinePunct w:val="0"/>
        <w:autoSpaceDE/>
        <w:autoSpaceDN/>
        <w:bidi w:val="0"/>
        <w:adjustRightInd w:val="0"/>
        <w:snapToGrid w:val="0"/>
        <w:spacing w:line="360" w:lineRule="exact"/>
        <w:ind w:firstLine="2891" w:firstLineChars="900"/>
        <w:textAlignment w:val="auto"/>
        <w:rPr>
          <w:rFonts w:hint="eastAsia" w:hAnsi="宋体"/>
          <w:b/>
          <w:sz w:val="32"/>
          <w:szCs w:val="32"/>
        </w:rPr>
      </w:pPr>
    </w:p>
    <w:p>
      <w:pPr>
        <w:pStyle w:val="3"/>
        <w:keepNext w:val="0"/>
        <w:keepLines w:val="0"/>
        <w:pageBreakBefore w:val="0"/>
        <w:kinsoku/>
        <w:wordWrap/>
        <w:overflowPunct/>
        <w:topLinePunct w:val="0"/>
        <w:autoSpaceDE/>
        <w:autoSpaceDN/>
        <w:bidi w:val="0"/>
        <w:spacing w:line="500" w:lineRule="exact"/>
        <w:ind w:left="0" w:leftChars="0" w:firstLine="0" w:firstLineChars="0"/>
        <w:textAlignment w:val="auto"/>
        <w:rPr>
          <w:rFonts w:hint="eastAsia" w:hAnsi="宋体"/>
          <w:sz w:val="24"/>
          <w:szCs w:val="24"/>
        </w:rPr>
      </w:pPr>
      <w:r>
        <w:rPr>
          <w:rFonts w:hint="eastAsia" w:hAnsi="宋体"/>
          <w:sz w:val="24"/>
          <w:szCs w:val="24"/>
        </w:rPr>
        <w:t>我们郑重声明：</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left="0" w:leftChars="0" w:firstLine="480" w:firstLineChars="200"/>
        <w:textAlignment w:val="auto"/>
        <w:rPr>
          <w:rFonts w:hint="eastAsia" w:cs="Times New Roman"/>
          <w:kern w:val="2"/>
        </w:rPr>
      </w:pPr>
      <w:r>
        <w:rPr>
          <w:rFonts w:hint="eastAsia" w:cs="Times New Roman"/>
          <w:kern w:val="2"/>
        </w:rPr>
        <w:t>1. 我们在本估价报告中对事实的说明是真实和准确的，没有虚假记载、误导性陈述和重大遗漏。</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left="0" w:leftChars="0" w:firstLine="480" w:firstLineChars="200"/>
        <w:textAlignment w:val="auto"/>
        <w:rPr>
          <w:rFonts w:hint="eastAsia" w:cs="Times New Roman"/>
          <w:kern w:val="2"/>
        </w:rPr>
      </w:pPr>
      <w:r>
        <w:rPr>
          <w:rFonts w:hint="eastAsia" w:cs="Times New Roman"/>
          <w:kern w:val="2"/>
        </w:rPr>
        <w:t>2. 本估价报告中的分析、意见和结论是我们独立、客观、公正的专业分析、意见和结论，但受到本估价报告中已经说明的估价假设和限制条件的限制。</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left="0" w:leftChars="0" w:firstLine="480" w:firstLineChars="200"/>
        <w:textAlignment w:val="auto"/>
        <w:rPr>
          <w:rFonts w:hint="eastAsia" w:cs="Times New Roman"/>
          <w:kern w:val="2"/>
        </w:rPr>
      </w:pPr>
      <w:r>
        <w:rPr>
          <w:rFonts w:hint="eastAsia" w:cs="Times New Roman"/>
          <w:kern w:val="2"/>
        </w:rPr>
        <w:t>3. 我们与本估价报告中的估价对象没有现实或潜在的利益，与估价委托人及估价利害关系人没有利害关系，也对本估价报告中的估价对象、估价委托人及估价利害关系人没有偏见。</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left="0" w:leftChars="0" w:firstLine="0" w:firstLineChars="0"/>
        <w:textAlignment w:val="auto"/>
        <w:rPr>
          <w:rFonts w:hint="eastAsia" w:cs="Times New Roman"/>
          <w:kern w:val="2"/>
        </w:rPr>
      </w:pPr>
      <w:r>
        <w:rPr>
          <w:rFonts w:hint="eastAsia" w:cs="Times New Roman"/>
          <w:kern w:val="2"/>
        </w:rPr>
        <w:t xml:space="preserve"> </w:t>
      </w:r>
      <w:r>
        <w:rPr>
          <w:rFonts w:hint="eastAsia" w:cs="Times New Roman"/>
          <w:kern w:val="2"/>
          <w:lang w:val="en-US" w:eastAsia="zh-CN"/>
        </w:rPr>
        <w:t xml:space="preserve">   </w:t>
      </w:r>
      <w:r>
        <w:rPr>
          <w:rFonts w:hint="eastAsia" w:cs="Times New Roman"/>
          <w:kern w:val="2"/>
        </w:rPr>
        <w:t>4. 我们依照中华人民共和国国家标准《房地产估价规范》、《房地产估价基本术语标准》进行分析，形成意见和结论，撰写估价报告。</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left="0" w:leftChars="0" w:firstLine="480" w:firstLineChars="200"/>
        <w:textAlignment w:val="auto"/>
        <w:rPr>
          <w:rFonts w:hint="eastAsia" w:cs="Times New Roman"/>
          <w:kern w:val="2"/>
        </w:rPr>
      </w:pPr>
      <w:r>
        <w:rPr>
          <w:rFonts w:hint="eastAsia" w:cs="Times New Roman"/>
          <w:kern w:val="2"/>
        </w:rPr>
        <w:t>5、</w:t>
      </w:r>
      <w:r>
        <w:rPr>
          <w:rFonts w:hint="eastAsia"/>
        </w:rPr>
        <w:t>作为一名称职的估价师，我们将熟练地运用专业技术，仔细、勤奋地编制估价报告，</w:t>
      </w:r>
      <w:r>
        <w:rPr>
          <w:rFonts w:hint="eastAsia" w:cs="Times New Roman"/>
          <w:kern w:val="2"/>
        </w:rPr>
        <w:t>严格遵守估价师职业道德，勤勉尽责的完成估价业务。</w:t>
      </w:r>
    </w:p>
    <w:p>
      <w:pPr>
        <w:pStyle w:val="6"/>
        <w:keepNext w:val="0"/>
        <w:keepLines w:val="0"/>
        <w:pageBreakBefore w:val="0"/>
        <w:kinsoku/>
        <w:wordWrap/>
        <w:overflowPunct/>
        <w:topLinePunct w:val="0"/>
        <w:autoSpaceDE/>
        <w:autoSpaceDN/>
        <w:bidi w:val="0"/>
        <w:adjustRightInd w:val="0"/>
        <w:snapToGrid w:val="0"/>
        <w:spacing w:before="0" w:beforeAutospacing="0" w:after="0" w:afterAutospacing="0" w:line="500" w:lineRule="exact"/>
        <w:ind w:left="0" w:leftChars="0" w:firstLine="480" w:firstLineChars="200"/>
        <w:textAlignment w:val="auto"/>
        <w:rPr>
          <w:rFonts w:hint="eastAsia" w:cs="Times New Roman"/>
          <w:kern w:val="2"/>
        </w:rPr>
      </w:pPr>
      <w:r>
        <w:rPr>
          <w:rFonts w:hint="eastAsia" w:cs="Times New Roman"/>
          <w:kern w:val="2"/>
        </w:rPr>
        <w:t>6.</w:t>
      </w:r>
      <w:r>
        <w:rPr>
          <w:rFonts w:hint="eastAsia"/>
        </w:rPr>
        <w:t xml:space="preserve"> 没有人对本估价报告提供重要专业帮助</w:t>
      </w:r>
      <w:r>
        <w:rPr>
          <w:rFonts w:hint="eastAsia" w:cs="Times New Roman"/>
          <w:kern w:val="2"/>
        </w:rPr>
        <w:t>。</w:t>
      </w:r>
    </w:p>
    <w:p>
      <w:pPr>
        <w:pStyle w:val="6"/>
        <w:snapToGrid w:val="0"/>
        <w:spacing w:before="0" w:beforeAutospacing="0" w:after="0" w:afterAutospacing="0" w:line="440" w:lineRule="exact"/>
        <w:ind w:left="0" w:leftChars="0" w:firstLine="0" w:firstLineChars="0"/>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center"/>
        <w:rPr>
          <w:rFonts w:hint="eastAsia"/>
          <w:b/>
          <w:sz w:val="32"/>
          <w:szCs w:val="32"/>
        </w:rPr>
      </w:pPr>
    </w:p>
    <w:p>
      <w:pPr>
        <w:pStyle w:val="6"/>
        <w:snapToGrid w:val="0"/>
        <w:spacing w:before="0" w:beforeAutospacing="0" w:after="0" w:afterAutospacing="0" w:line="440" w:lineRule="exact"/>
        <w:jc w:val="both"/>
        <w:rPr>
          <w:rFonts w:hint="eastAsia"/>
          <w:b/>
          <w:sz w:val="32"/>
          <w:szCs w:val="32"/>
        </w:rPr>
      </w:pPr>
    </w:p>
    <w:p>
      <w:pPr>
        <w:pStyle w:val="6"/>
        <w:snapToGrid w:val="0"/>
        <w:spacing w:before="0" w:beforeAutospacing="0" w:after="0" w:afterAutospacing="0" w:line="440" w:lineRule="exact"/>
        <w:jc w:val="both"/>
        <w:rPr>
          <w:rFonts w:hint="eastAsia"/>
          <w:b/>
          <w:sz w:val="32"/>
          <w:szCs w:val="32"/>
        </w:rPr>
      </w:pPr>
    </w:p>
    <w:p>
      <w:pPr>
        <w:pStyle w:val="6"/>
        <w:snapToGrid w:val="0"/>
        <w:spacing w:before="0" w:beforeAutospacing="0" w:after="0" w:afterAutospacing="0" w:line="440" w:lineRule="exact"/>
        <w:ind w:left="-199" w:leftChars="-95" w:firstLine="0" w:firstLineChars="0"/>
        <w:jc w:val="center"/>
        <w:rPr>
          <w:rFonts w:hint="eastAsia"/>
          <w:b/>
          <w:sz w:val="32"/>
          <w:szCs w:val="32"/>
        </w:rPr>
      </w:pPr>
      <w:bookmarkStart w:id="24" w:name="_Toc13356_WPSOffice_Level1"/>
      <w:r>
        <w:rPr>
          <w:rFonts w:hint="eastAsia"/>
          <w:b/>
          <w:sz w:val="32"/>
          <w:szCs w:val="32"/>
        </w:rPr>
        <w:t>估价的假设和限制条件</w:t>
      </w:r>
      <w:bookmarkEnd w:id="24"/>
    </w:p>
    <w:p>
      <w:pPr>
        <w:pStyle w:val="3"/>
        <w:adjustRightInd w:val="0"/>
        <w:snapToGrid w:val="0"/>
        <w:spacing w:line="440" w:lineRule="exact"/>
        <w:ind w:left="0" w:leftChars="0" w:firstLine="482" w:firstLineChars="200"/>
        <w:rPr>
          <w:rFonts w:hint="eastAsia" w:hAnsi="宋体"/>
          <w:b/>
          <w:bCs/>
          <w:sz w:val="24"/>
          <w:szCs w:val="24"/>
        </w:rPr>
      </w:pPr>
      <w:bookmarkStart w:id="25" w:name="_Toc16446_WPSOffice_Level1"/>
      <w:r>
        <w:rPr>
          <w:rFonts w:hint="eastAsia" w:hAnsi="宋体"/>
          <w:b/>
          <w:bCs/>
          <w:sz w:val="24"/>
          <w:szCs w:val="24"/>
        </w:rPr>
        <w:t>一、一般假设</w:t>
      </w:r>
      <w:bookmarkEnd w:id="25"/>
    </w:p>
    <w:p>
      <w:pPr>
        <w:pStyle w:val="3"/>
        <w:adjustRightInd w:val="0"/>
        <w:snapToGrid w:val="0"/>
        <w:spacing w:line="440" w:lineRule="exact"/>
        <w:ind w:left="0" w:leftChars="0" w:firstLine="480" w:firstLineChars="200"/>
        <w:rPr>
          <w:rFonts w:hint="eastAsia" w:hAnsi="宋体"/>
          <w:bCs/>
          <w:sz w:val="24"/>
          <w:szCs w:val="24"/>
        </w:rPr>
      </w:pPr>
      <w:r>
        <w:rPr>
          <w:rFonts w:hint="eastAsia" w:hAnsi="宋体"/>
          <w:bCs/>
          <w:sz w:val="24"/>
          <w:szCs w:val="24"/>
        </w:rPr>
        <w:t>（一）估价委托人提供了估价对象的《</w:t>
      </w:r>
      <w:r>
        <w:rPr>
          <w:rFonts w:hint="eastAsia" w:hAnsi="宋体"/>
          <w:bCs/>
          <w:sz w:val="24"/>
          <w:szCs w:val="24"/>
          <w:lang w:val="en-US" w:eastAsia="zh-CN"/>
        </w:rPr>
        <w:t>乌苏市房屋登记信息查询结果</w:t>
      </w:r>
      <w:r>
        <w:rPr>
          <w:rFonts w:hint="eastAsia" w:hAnsi="宋体"/>
          <w:bCs/>
          <w:sz w:val="24"/>
          <w:szCs w:val="24"/>
        </w:rPr>
        <w:t>》，我们对其进行了检查，并向产权登记部门进行了查询，在无理由怀疑其合法性、真实性、准确性和完整性的情况下，假定估价委托人提供的资料合法、真实、准确、完整。</w:t>
      </w:r>
    </w:p>
    <w:p>
      <w:pPr>
        <w:pStyle w:val="3"/>
        <w:adjustRightInd w:val="0"/>
        <w:snapToGrid w:val="0"/>
        <w:spacing w:line="440" w:lineRule="exact"/>
        <w:ind w:left="0" w:leftChars="0" w:firstLine="480" w:firstLineChars="200"/>
        <w:rPr>
          <w:rFonts w:hint="eastAsia" w:hAnsi="宋体"/>
          <w:bCs/>
          <w:sz w:val="24"/>
          <w:szCs w:val="24"/>
        </w:rPr>
      </w:pPr>
      <w:r>
        <w:rPr>
          <w:rFonts w:hint="eastAsia" w:hAnsi="宋体"/>
          <w:bCs/>
          <w:sz w:val="24"/>
          <w:szCs w:val="24"/>
        </w:rPr>
        <w:t>（二）注册房地产估价师已对房屋安全、环境污染等影响估价对象价值的重大因素给予了关注，在无理由怀疑估价对象存在安全隐患且无相应的专业机构进行鉴定、检测的情况下，假定估价对象能正常安全使用。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3"/>
        <w:adjustRightInd w:val="0"/>
        <w:snapToGrid w:val="0"/>
        <w:spacing w:line="440" w:lineRule="exact"/>
        <w:ind w:left="0" w:leftChars="0" w:firstLine="480" w:firstLineChars="200"/>
        <w:rPr>
          <w:rFonts w:hint="eastAsia" w:hAnsi="宋体"/>
          <w:bCs/>
          <w:sz w:val="24"/>
          <w:szCs w:val="24"/>
        </w:rPr>
      </w:pPr>
      <w:r>
        <w:rPr>
          <w:rFonts w:hint="eastAsia" w:hAnsi="宋体"/>
          <w:bCs/>
          <w:sz w:val="24"/>
          <w:szCs w:val="24"/>
        </w:rPr>
        <w:t>（三）注册房地产估价师未对房屋建筑面积进行专业测量，经现场查勘观察，估价对象房屋建筑面积与《</w:t>
      </w:r>
      <w:r>
        <w:rPr>
          <w:rFonts w:hint="eastAsia" w:hAnsi="宋体"/>
          <w:bCs/>
          <w:sz w:val="24"/>
          <w:szCs w:val="24"/>
          <w:lang w:val="en-US" w:eastAsia="zh-CN"/>
        </w:rPr>
        <w:t>乌苏市房屋登记信息查询结果</w:t>
      </w:r>
      <w:r>
        <w:rPr>
          <w:rFonts w:hint="eastAsia" w:hAnsi="宋体"/>
          <w:bCs/>
          <w:sz w:val="24"/>
          <w:szCs w:val="24"/>
        </w:rPr>
        <w:t>》记载建筑面积大体相当。</w:t>
      </w:r>
    </w:p>
    <w:p>
      <w:pPr>
        <w:pStyle w:val="3"/>
        <w:adjustRightInd w:val="0"/>
        <w:snapToGrid w:val="0"/>
        <w:spacing w:line="440" w:lineRule="exact"/>
        <w:ind w:left="0" w:leftChars="0" w:firstLine="480" w:firstLineChars="200"/>
        <w:rPr>
          <w:rFonts w:hint="eastAsia" w:hAnsi="宋体"/>
          <w:bCs/>
          <w:sz w:val="24"/>
          <w:szCs w:val="24"/>
        </w:rPr>
      </w:pPr>
      <w:r>
        <w:rPr>
          <w:rFonts w:hint="eastAsia" w:hAnsi="宋体"/>
          <w:sz w:val="24"/>
          <w:szCs w:val="24"/>
        </w:rPr>
        <w:t>（四）市场供应关系、市场结构保持稳定、未发生重大变化或实质性改变。</w:t>
      </w:r>
    </w:p>
    <w:p>
      <w:pPr>
        <w:pStyle w:val="3"/>
        <w:adjustRightInd w:val="0"/>
        <w:snapToGrid w:val="0"/>
        <w:spacing w:line="440" w:lineRule="exact"/>
        <w:ind w:left="0" w:leftChars="0" w:firstLine="480" w:firstLineChars="200"/>
        <w:rPr>
          <w:rFonts w:hint="eastAsia" w:hAnsi="宋体"/>
          <w:bCs/>
          <w:sz w:val="24"/>
          <w:szCs w:val="24"/>
        </w:rPr>
      </w:pPr>
      <w:r>
        <w:rPr>
          <w:rFonts w:hint="eastAsia" w:hAnsi="宋体"/>
          <w:bCs/>
          <w:sz w:val="24"/>
          <w:szCs w:val="24"/>
        </w:rPr>
        <w:t>（五）估价对象在价值时点的房地产市场为公开、平等、自愿的交易市场，即能满足以下条件：</w:t>
      </w:r>
    </w:p>
    <w:p>
      <w:pPr>
        <w:pStyle w:val="3"/>
        <w:adjustRightInd w:val="0"/>
        <w:snapToGrid w:val="0"/>
        <w:spacing w:line="440" w:lineRule="exact"/>
        <w:ind w:left="0" w:leftChars="0" w:firstLine="480" w:firstLineChars="200"/>
        <w:rPr>
          <w:rFonts w:hint="eastAsia" w:hAnsi="宋体"/>
          <w:bCs/>
          <w:sz w:val="24"/>
          <w:szCs w:val="24"/>
        </w:rPr>
      </w:pPr>
      <w:r>
        <w:rPr>
          <w:rFonts w:hint="eastAsia" w:hAnsi="宋体"/>
          <w:bCs/>
          <w:sz w:val="24"/>
          <w:szCs w:val="24"/>
        </w:rPr>
        <w:t>（1）交易双方自愿地进行交易；</w:t>
      </w:r>
    </w:p>
    <w:p>
      <w:pPr>
        <w:pStyle w:val="3"/>
        <w:adjustRightInd w:val="0"/>
        <w:snapToGrid w:val="0"/>
        <w:spacing w:line="440" w:lineRule="exact"/>
        <w:ind w:left="0" w:leftChars="0" w:firstLine="480" w:firstLineChars="200"/>
        <w:rPr>
          <w:rFonts w:hint="eastAsia" w:hAnsi="宋体"/>
          <w:bCs/>
          <w:sz w:val="24"/>
          <w:szCs w:val="24"/>
        </w:rPr>
      </w:pPr>
      <w:r>
        <w:rPr>
          <w:rFonts w:hint="eastAsia" w:hAnsi="宋体"/>
          <w:bCs/>
          <w:sz w:val="24"/>
          <w:szCs w:val="24"/>
        </w:rPr>
        <w:t>（2）交易双方处于利己动机进行交易；</w:t>
      </w:r>
    </w:p>
    <w:p>
      <w:pPr>
        <w:pStyle w:val="3"/>
        <w:adjustRightInd w:val="0"/>
        <w:snapToGrid w:val="0"/>
        <w:spacing w:line="440" w:lineRule="exact"/>
        <w:ind w:left="0" w:leftChars="0" w:firstLine="480" w:firstLineChars="200"/>
        <w:rPr>
          <w:rFonts w:hint="eastAsia" w:hAnsi="宋体"/>
          <w:bCs/>
          <w:sz w:val="24"/>
          <w:szCs w:val="24"/>
        </w:rPr>
      </w:pPr>
      <w:r>
        <w:rPr>
          <w:rFonts w:hint="eastAsia" w:hAnsi="宋体"/>
          <w:bCs/>
          <w:sz w:val="24"/>
          <w:szCs w:val="24"/>
        </w:rPr>
        <w:t>（3）交易双方精明、谨慎行事，并了解交易对象、知晓市场行情；</w:t>
      </w:r>
    </w:p>
    <w:p>
      <w:pPr>
        <w:pStyle w:val="3"/>
        <w:adjustRightInd w:val="0"/>
        <w:snapToGrid w:val="0"/>
        <w:spacing w:line="440" w:lineRule="exact"/>
        <w:ind w:left="0" w:leftChars="0" w:firstLine="480" w:firstLineChars="200"/>
        <w:rPr>
          <w:rFonts w:hint="eastAsia" w:hAnsi="宋体"/>
          <w:bCs/>
          <w:sz w:val="24"/>
          <w:szCs w:val="24"/>
        </w:rPr>
      </w:pPr>
      <w:r>
        <w:rPr>
          <w:rFonts w:hint="eastAsia" w:hAnsi="宋体"/>
          <w:bCs/>
          <w:sz w:val="24"/>
          <w:szCs w:val="24"/>
        </w:rPr>
        <w:t>（4）交易双方有较充裕的时间进行交易；</w:t>
      </w:r>
    </w:p>
    <w:p>
      <w:pPr>
        <w:pStyle w:val="3"/>
        <w:adjustRightInd w:val="0"/>
        <w:snapToGrid w:val="0"/>
        <w:spacing w:line="440" w:lineRule="exact"/>
        <w:ind w:left="0" w:leftChars="0" w:firstLine="480" w:firstLineChars="200"/>
        <w:rPr>
          <w:rFonts w:hint="eastAsia" w:hAnsi="宋体"/>
          <w:bCs/>
          <w:sz w:val="24"/>
          <w:szCs w:val="24"/>
        </w:rPr>
      </w:pPr>
      <w:r>
        <w:rPr>
          <w:rFonts w:hint="eastAsia" w:hAnsi="宋体"/>
          <w:bCs/>
          <w:sz w:val="24"/>
          <w:szCs w:val="24"/>
        </w:rPr>
        <w:t>（5）不存在买者因特殊兴趣而给予附加出价；</w:t>
      </w:r>
    </w:p>
    <w:p>
      <w:pPr>
        <w:pStyle w:val="3"/>
        <w:adjustRightInd w:val="0"/>
        <w:snapToGrid w:val="0"/>
        <w:spacing w:line="440" w:lineRule="exact"/>
        <w:ind w:left="0" w:leftChars="0" w:firstLine="480" w:firstLineChars="200"/>
        <w:rPr>
          <w:rFonts w:hint="eastAsia" w:hAnsi="宋体"/>
          <w:bCs/>
          <w:sz w:val="24"/>
          <w:szCs w:val="24"/>
        </w:rPr>
      </w:pPr>
      <w:r>
        <w:rPr>
          <w:rFonts w:hint="eastAsia" w:hAnsi="宋体"/>
          <w:bCs/>
          <w:sz w:val="24"/>
          <w:szCs w:val="24"/>
        </w:rPr>
        <w:t>（六）估价对象应享有公共部位的通行权及水电等共用设施的使用权。</w:t>
      </w:r>
    </w:p>
    <w:p>
      <w:pPr>
        <w:pStyle w:val="3"/>
        <w:adjustRightInd w:val="0"/>
        <w:snapToGrid w:val="0"/>
        <w:spacing w:line="440" w:lineRule="exact"/>
        <w:ind w:left="0" w:leftChars="0" w:firstLine="480" w:firstLineChars="200"/>
        <w:rPr>
          <w:rFonts w:hint="eastAsia" w:hAnsi="宋体" w:eastAsia="宋体"/>
          <w:bCs/>
          <w:sz w:val="24"/>
          <w:szCs w:val="24"/>
          <w:lang w:eastAsia="zh-CN"/>
        </w:rPr>
      </w:pPr>
      <w:r>
        <w:rPr>
          <w:rFonts w:hint="eastAsia" w:hAnsi="宋体"/>
          <w:bCs/>
          <w:sz w:val="24"/>
          <w:szCs w:val="24"/>
          <w:lang w:eastAsia="zh-CN"/>
        </w:rPr>
        <w:t>（七）根据《乌苏市不动产登记中心查询结果》，土地使用权来源为划拨，划拨土地出让需补缴土地出让金。本次估价设定估价对象土地价值为扣除土地出让金后的价值。</w:t>
      </w:r>
    </w:p>
    <w:p>
      <w:pPr>
        <w:pStyle w:val="3"/>
        <w:adjustRightInd w:val="0"/>
        <w:snapToGrid w:val="0"/>
        <w:spacing w:line="440" w:lineRule="exact"/>
        <w:ind w:left="0" w:leftChars="0" w:firstLine="482" w:firstLineChars="200"/>
        <w:rPr>
          <w:rFonts w:hint="eastAsia" w:hAnsi="宋体"/>
          <w:bCs/>
          <w:color w:val="FF0000"/>
          <w:sz w:val="24"/>
          <w:szCs w:val="24"/>
        </w:rPr>
      </w:pPr>
      <w:bookmarkStart w:id="26" w:name="_Toc29777_WPSOffice_Level1"/>
      <w:r>
        <w:rPr>
          <w:rFonts w:hint="eastAsia" w:hAnsi="宋体"/>
          <w:b/>
          <w:bCs/>
          <w:sz w:val="24"/>
          <w:szCs w:val="24"/>
        </w:rPr>
        <w:t>二、未定事项假设</w:t>
      </w:r>
      <w:bookmarkEnd w:id="26"/>
    </w:p>
    <w:p>
      <w:pPr>
        <w:pStyle w:val="3"/>
        <w:adjustRightInd w:val="0"/>
        <w:snapToGrid w:val="0"/>
        <w:spacing w:line="440" w:lineRule="exact"/>
        <w:ind w:left="0" w:leftChars="0" w:firstLine="480" w:firstLineChars="200"/>
        <w:rPr>
          <w:rFonts w:hint="eastAsia" w:hAnsi="宋体"/>
          <w:bCs/>
          <w:color w:val="000000"/>
          <w:sz w:val="24"/>
          <w:szCs w:val="24"/>
        </w:rPr>
      </w:pPr>
      <w:r>
        <w:rPr>
          <w:rFonts w:hint="eastAsia" w:hAnsi="宋体"/>
          <w:bCs/>
          <w:color w:val="000000"/>
          <w:sz w:val="24"/>
          <w:szCs w:val="24"/>
        </w:rPr>
        <w:t>本次估价无未定事项假设。</w:t>
      </w:r>
    </w:p>
    <w:p>
      <w:pPr>
        <w:pStyle w:val="3"/>
        <w:numPr>
          <w:ilvl w:val="0"/>
          <w:numId w:val="1"/>
        </w:numPr>
        <w:adjustRightInd w:val="0"/>
        <w:snapToGrid w:val="0"/>
        <w:spacing w:line="440" w:lineRule="exact"/>
        <w:ind w:left="0" w:leftChars="0" w:firstLine="482" w:firstLineChars="200"/>
        <w:rPr>
          <w:rFonts w:hint="eastAsia" w:hAnsi="宋体"/>
          <w:b/>
          <w:bCs/>
          <w:sz w:val="24"/>
          <w:szCs w:val="24"/>
        </w:rPr>
      </w:pPr>
      <w:r>
        <w:rPr>
          <w:rFonts w:hint="eastAsia" w:hAnsi="宋体"/>
          <w:b/>
          <w:bCs/>
          <w:sz w:val="24"/>
          <w:szCs w:val="24"/>
          <w:lang w:val="en-US" w:eastAsia="zh-CN"/>
        </w:rPr>
        <w:t xml:space="preserve"> </w:t>
      </w:r>
      <w:bookmarkStart w:id="27" w:name="_Toc18476_WPSOffice_Level1"/>
      <w:r>
        <w:rPr>
          <w:rFonts w:hint="eastAsia" w:hAnsi="宋体"/>
          <w:b/>
          <w:bCs/>
          <w:sz w:val="24"/>
          <w:szCs w:val="24"/>
        </w:rPr>
        <w:t>背离事实假设</w:t>
      </w:r>
      <w:bookmarkEnd w:id="27"/>
    </w:p>
    <w:p>
      <w:pPr>
        <w:pStyle w:val="3"/>
        <w:numPr>
          <w:ilvl w:val="0"/>
          <w:numId w:val="0"/>
        </w:numPr>
        <w:adjustRightInd w:val="0"/>
        <w:snapToGrid w:val="0"/>
        <w:spacing w:line="440" w:lineRule="exact"/>
        <w:ind w:left="0" w:leftChars="0" w:firstLine="480" w:firstLineChars="200"/>
        <w:rPr>
          <w:rFonts w:hint="eastAsia" w:hAnsi="宋体"/>
          <w:bCs/>
          <w:sz w:val="24"/>
          <w:szCs w:val="24"/>
          <w:lang w:eastAsia="zh-CN"/>
        </w:rPr>
      </w:pPr>
      <w:r>
        <w:rPr>
          <w:rFonts w:hint="eastAsia" w:hAnsi="宋体"/>
          <w:bCs/>
          <w:sz w:val="24"/>
          <w:szCs w:val="24"/>
          <w:lang w:eastAsia="zh-CN"/>
        </w:rPr>
        <w:t>涉执房地产处置司法评估不应考虑评估对象被查封以及原有的</w:t>
      </w:r>
      <w:r>
        <w:rPr>
          <w:rFonts w:hint="eastAsia" w:hAnsi="宋体"/>
          <w:bCs/>
          <w:sz w:val="24"/>
          <w:szCs w:val="24"/>
          <w:lang w:val="en-US" w:eastAsia="zh-CN"/>
        </w:rPr>
        <w:t>抵押权、</w:t>
      </w:r>
      <w:r>
        <w:rPr>
          <w:rFonts w:hint="eastAsia" w:hAnsi="宋体"/>
          <w:bCs/>
          <w:sz w:val="24"/>
          <w:szCs w:val="24"/>
          <w:lang w:eastAsia="zh-CN"/>
        </w:rPr>
        <w:t>担保物权和其他优先受偿权情况，因此在本次估价中，估价对象视为没有被查封、未设立担保物权、</w:t>
      </w:r>
      <w:r>
        <w:rPr>
          <w:rFonts w:hint="eastAsia" w:hAnsi="宋体"/>
          <w:bCs/>
          <w:sz w:val="24"/>
          <w:szCs w:val="24"/>
          <w:lang w:val="en-US" w:eastAsia="zh-CN"/>
        </w:rPr>
        <w:t>抵押权</w:t>
      </w:r>
      <w:r>
        <w:rPr>
          <w:rFonts w:hint="eastAsia" w:hAnsi="宋体"/>
          <w:bCs/>
          <w:sz w:val="24"/>
          <w:szCs w:val="24"/>
          <w:lang w:eastAsia="zh-CN"/>
        </w:rPr>
        <w:t>及无其他优先受偿权。</w:t>
      </w:r>
    </w:p>
    <w:p>
      <w:pPr>
        <w:pStyle w:val="3"/>
        <w:adjustRightInd w:val="0"/>
        <w:snapToGrid w:val="0"/>
        <w:spacing w:line="440" w:lineRule="exact"/>
        <w:ind w:left="0" w:leftChars="0" w:firstLine="482" w:firstLineChars="200"/>
        <w:rPr>
          <w:rFonts w:hint="eastAsia" w:hAnsi="宋体"/>
          <w:b/>
          <w:bCs/>
          <w:sz w:val="24"/>
          <w:szCs w:val="24"/>
        </w:rPr>
      </w:pPr>
      <w:bookmarkStart w:id="28" w:name="_Toc20882_WPSOffice_Level1"/>
      <w:r>
        <w:rPr>
          <w:rFonts w:hint="eastAsia" w:hAnsi="宋体"/>
          <w:b/>
          <w:bCs/>
          <w:sz w:val="24"/>
          <w:szCs w:val="24"/>
        </w:rPr>
        <w:t>四、不相一致假设</w:t>
      </w:r>
      <w:bookmarkEnd w:id="28"/>
    </w:p>
    <w:p>
      <w:pPr>
        <w:pStyle w:val="3"/>
        <w:numPr>
          <w:ilvl w:val="0"/>
          <w:numId w:val="0"/>
        </w:numPr>
        <w:adjustRightInd w:val="0"/>
        <w:snapToGrid w:val="0"/>
        <w:spacing w:line="440" w:lineRule="exact"/>
        <w:ind w:left="0" w:leftChars="0" w:firstLine="480" w:firstLineChars="200"/>
        <w:rPr>
          <w:rFonts w:hint="default" w:hAnsi="宋体"/>
          <w:b/>
          <w:sz w:val="24"/>
          <w:szCs w:val="24"/>
          <w:highlight w:val="none"/>
          <w:lang w:val="en-US"/>
        </w:rPr>
      </w:pPr>
      <w:r>
        <w:rPr>
          <w:rFonts w:hint="eastAsia" w:hAnsi="宋体"/>
          <w:sz w:val="24"/>
          <w:szCs w:val="24"/>
          <w:highlight w:val="none"/>
          <w:lang w:eastAsia="zh-CN"/>
        </w:rPr>
        <w:t>根据房地产估价师实地查勘，估价对象门牌号为青年巷</w:t>
      </w:r>
      <w:r>
        <w:rPr>
          <w:rFonts w:hint="eastAsia" w:hAnsi="宋体"/>
          <w:sz w:val="24"/>
          <w:szCs w:val="24"/>
          <w:highlight w:val="none"/>
          <w:lang w:val="en-US" w:eastAsia="zh-CN"/>
        </w:rPr>
        <w:t>017号。《乌苏市房屋登记信息查询结果》记载估价对象位于哈图布呼镇北京路1514号。根据《乌苏市人民法院委托书》，估价对象位于乌苏市哈图布呼镇北京路1514号。估价对象实际门牌号与委托人提供的资料不一致。本次估价以《乌苏市房屋登记信息查询结果》为准，设定估价对象位于哈图布呼镇北京路1514号。</w:t>
      </w:r>
    </w:p>
    <w:p>
      <w:pPr>
        <w:pStyle w:val="3"/>
        <w:numPr>
          <w:ilvl w:val="0"/>
          <w:numId w:val="1"/>
        </w:numPr>
        <w:adjustRightInd w:val="0"/>
        <w:snapToGrid w:val="0"/>
        <w:spacing w:line="440" w:lineRule="exact"/>
        <w:ind w:left="0" w:leftChars="0" w:firstLine="482" w:firstLineChars="200"/>
        <w:rPr>
          <w:rFonts w:hint="eastAsia" w:hAnsi="宋体"/>
          <w:b/>
          <w:sz w:val="24"/>
          <w:szCs w:val="24"/>
        </w:rPr>
      </w:pPr>
      <w:bookmarkStart w:id="29" w:name="_Toc26353_WPSOffice_Level1"/>
      <w:r>
        <w:rPr>
          <w:rFonts w:hint="eastAsia" w:hAnsi="宋体"/>
          <w:b/>
          <w:sz w:val="24"/>
          <w:szCs w:val="24"/>
        </w:rPr>
        <w:t>依据不足假设</w:t>
      </w:r>
      <w:bookmarkEnd w:id="29"/>
    </w:p>
    <w:p>
      <w:pPr>
        <w:pStyle w:val="3"/>
        <w:numPr>
          <w:ilvl w:val="0"/>
          <w:numId w:val="2"/>
        </w:numPr>
        <w:adjustRightInd w:val="0"/>
        <w:snapToGrid w:val="0"/>
        <w:spacing w:line="440" w:lineRule="exact"/>
        <w:ind w:left="0" w:leftChars="0" w:firstLine="420" w:firstLineChars="175"/>
        <w:rPr>
          <w:rFonts w:hint="eastAsia" w:hAnsi="宋体"/>
          <w:b w:val="0"/>
          <w:bCs/>
          <w:sz w:val="24"/>
          <w:szCs w:val="24"/>
          <w:lang w:val="en-US" w:eastAsia="zh-CN"/>
        </w:rPr>
      </w:pPr>
      <w:r>
        <w:rPr>
          <w:rFonts w:hint="eastAsia" w:hAnsi="宋体"/>
          <w:b w:val="0"/>
          <w:bCs/>
          <w:sz w:val="24"/>
          <w:szCs w:val="24"/>
          <w:lang w:eastAsia="zh-CN"/>
        </w:rPr>
        <w:t>根据委托方提供的资料，无法获取估价对象的修建年代。经房地产估价师实地查勘调查，估价对象修建年代为</w:t>
      </w:r>
      <w:r>
        <w:rPr>
          <w:rFonts w:hint="eastAsia" w:hAnsi="宋体"/>
          <w:b w:val="0"/>
          <w:bCs/>
          <w:sz w:val="24"/>
          <w:szCs w:val="24"/>
          <w:lang w:val="en-US" w:eastAsia="zh-CN"/>
        </w:rPr>
        <w:t>2013年。根据实地查勘调查结果，本次估价设定估价对象修建年代为2013年。</w:t>
      </w:r>
    </w:p>
    <w:p>
      <w:pPr>
        <w:pStyle w:val="3"/>
        <w:numPr>
          <w:ilvl w:val="0"/>
          <w:numId w:val="2"/>
        </w:numPr>
        <w:adjustRightInd w:val="0"/>
        <w:snapToGrid w:val="0"/>
        <w:spacing w:line="440" w:lineRule="exact"/>
        <w:ind w:left="0" w:leftChars="0" w:firstLine="420" w:firstLineChars="175"/>
        <w:rPr>
          <w:rFonts w:hint="default" w:hAnsi="宋体"/>
          <w:b w:val="0"/>
          <w:bCs/>
          <w:sz w:val="24"/>
          <w:szCs w:val="24"/>
          <w:lang w:val="en-US" w:eastAsia="zh-CN"/>
        </w:rPr>
      </w:pPr>
      <w:r>
        <w:rPr>
          <w:rFonts w:hint="eastAsia" w:hAnsi="宋体"/>
          <w:b w:val="0"/>
          <w:bCs/>
          <w:sz w:val="24"/>
          <w:szCs w:val="24"/>
          <w:lang w:val="en-US" w:eastAsia="zh-CN"/>
        </w:rPr>
        <w:t>根据委托人提供的资料，土地调档信息上面无土地使用权人。本次估价设定土地使用权人为张开放。</w:t>
      </w:r>
    </w:p>
    <w:p>
      <w:pPr>
        <w:pStyle w:val="3"/>
        <w:adjustRightInd w:val="0"/>
        <w:snapToGrid w:val="0"/>
        <w:spacing w:line="440" w:lineRule="exact"/>
        <w:ind w:firstLine="482" w:firstLineChars="200"/>
        <w:rPr>
          <w:rFonts w:hAnsi="宋体"/>
          <w:sz w:val="24"/>
          <w:szCs w:val="24"/>
        </w:rPr>
      </w:pPr>
      <w:bookmarkStart w:id="30" w:name="_Toc4306_WPSOffice_Level1"/>
      <w:r>
        <w:rPr>
          <w:rFonts w:hint="eastAsia" w:hAnsi="宋体"/>
          <w:b/>
          <w:sz w:val="24"/>
          <w:szCs w:val="24"/>
        </w:rPr>
        <w:t>六、估价报告使用限制</w:t>
      </w:r>
      <w:bookmarkEnd w:id="30"/>
    </w:p>
    <w:p>
      <w:pPr>
        <w:pStyle w:val="3"/>
        <w:adjustRightInd w:val="0"/>
        <w:snapToGrid w:val="0"/>
        <w:spacing w:line="440" w:lineRule="exact"/>
        <w:ind w:left="0" w:leftChars="0" w:firstLine="420" w:firstLineChars="175"/>
        <w:rPr>
          <w:rFonts w:hint="eastAsia" w:hAnsi="宋体"/>
          <w:sz w:val="24"/>
          <w:szCs w:val="24"/>
        </w:rPr>
      </w:pPr>
      <w:r>
        <w:rPr>
          <w:rFonts w:hint="eastAsia" w:hAnsi="宋体"/>
          <w:sz w:val="24"/>
          <w:szCs w:val="24"/>
        </w:rPr>
        <w:t>（一）本估价报告仅用于为</w:t>
      </w:r>
      <w:r>
        <w:rPr>
          <w:rFonts w:hint="eastAsia" w:hAnsi="宋体"/>
          <w:sz w:val="24"/>
          <w:szCs w:val="24"/>
          <w:lang w:eastAsia="zh-CN"/>
        </w:rPr>
        <w:t>乌苏市人民法院确定财产处置参考价提供参考依据</w:t>
      </w:r>
      <w:r>
        <w:rPr>
          <w:rFonts w:hint="eastAsia" w:hAnsi="宋体"/>
          <w:sz w:val="24"/>
          <w:szCs w:val="24"/>
        </w:rPr>
        <w:t>，不得用于其他用途。</w:t>
      </w:r>
    </w:p>
    <w:p>
      <w:pPr>
        <w:pStyle w:val="3"/>
        <w:adjustRightInd w:val="0"/>
        <w:snapToGrid w:val="0"/>
        <w:spacing w:line="440" w:lineRule="exact"/>
        <w:ind w:left="0" w:leftChars="0" w:firstLine="420" w:firstLineChars="175"/>
        <w:rPr>
          <w:rFonts w:hint="eastAsia" w:hAnsi="宋体"/>
          <w:sz w:val="24"/>
          <w:szCs w:val="24"/>
        </w:rPr>
      </w:pPr>
      <w:r>
        <w:rPr>
          <w:rFonts w:hint="eastAsia" w:hAnsi="宋体"/>
          <w:sz w:val="24"/>
          <w:szCs w:val="24"/>
        </w:rPr>
        <w:t>（二）本房地产估价报告经估价机构加盖公章、注册房地产估价师签字后方可使用，估价机构仅对本报告的原件承担责任，对任何形式的复印件概不认可且不承担责任。</w:t>
      </w:r>
    </w:p>
    <w:p>
      <w:pPr>
        <w:pStyle w:val="3"/>
        <w:adjustRightInd w:val="0"/>
        <w:snapToGrid w:val="0"/>
        <w:spacing w:line="440" w:lineRule="exact"/>
        <w:ind w:left="0" w:leftChars="0" w:firstLine="420" w:firstLineChars="175"/>
        <w:rPr>
          <w:rFonts w:hint="eastAsia" w:hAnsi="宋体"/>
          <w:sz w:val="24"/>
          <w:szCs w:val="24"/>
        </w:rPr>
      </w:pPr>
      <w:r>
        <w:rPr>
          <w:rFonts w:hint="eastAsia" w:hAnsi="宋体"/>
          <w:sz w:val="24"/>
          <w:szCs w:val="24"/>
        </w:rPr>
        <w:t>（三）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pPr>
        <w:pStyle w:val="3"/>
        <w:adjustRightInd w:val="0"/>
        <w:snapToGrid w:val="0"/>
        <w:spacing w:line="440" w:lineRule="exact"/>
        <w:ind w:left="0" w:leftChars="0" w:firstLine="420" w:firstLineChars="175"/>
        <w:rPr>
          <w:rFonts w:hint="eastAsia" w:hAnsi="宋体"/>
          <w:sz w:val="24"/>
          <w:szCs w:val="24"/>
        </w:rPr>
      </w:pPr>
      <w:r>
        <w:rPr>
          <w:rFonts w:hint="eastAsia" w:hAnsi="宋体"/>
          <w:sz w:val="24"/>
          <w:szCs w:val="24"/>
        </w:rPr>
        <w:t>（四）按有关规定本估价报告自出具日期起一年内有效，超过估价报告应用有效期使用估价报告的，相关责任由使用者承担。但价值时点后，在报告有效期内估价对象的质量及价格标准发生变化，并对估价对象价值产生明显影响时，不能直接使用本估价结果。</w:t>
      </w:r>
    </w:p>
    <w:p>
      <w:pPr>
        <w:pStyle w:val="3"/>
        <w:adjustRightInd w:val="0"/>
        <w:snapToGrid w:val="0"/>
        <w:spacing w:line="440" w:lineRule="exact"/>
        <w:ind w:left="0" w:leftChars="0" w:firstLine="420" w:firstLineChars="175"/>
        <w:rPr>
          <w:rFonts w:hint="eastAsia" w:hAnsi="宋体"/>
          <w:sz w:val="24"/>
          <w:szCs w:val="24"/>
        </w:rPr>
      </w:pPr>
      <w:r>
        <w:rPr>
          <w:rFonts w:hint="eastAsia" w:hAnsi="宋体"/>
          <w:sz w:val="24"/>
          <w:szCs w:val="24"/>
        </w:rPr>
        <w:t>（五）本报告由新疆中浩房地产评估有限公司负责解释。</w:t>
      </w:r>
    </w:p>
    <w:p>
      <w:pPr>
        <w:pStyle w:val="3"/>
        <w:adjustRightInd w:val="0"/>
        <w:snapToGrid w:val="0"/>
        <w:spacing w:line="440" w:lineRule="exact"/>
        <w:ind w:left="0" w:leftChars="0" w:firstLine="420" w:firstLineChars="175"/>
        <w:rPr>
          <w:rFonts w:hint="eastAsia" w:hAnsi="宋体"/>
          <w:sz w:val="24"/>
          <w:szCs w:val="24"/>
        </w:rPr>
      </w:pPr>
      <w:r>
        <w:rPr>
          <w:rFonts w:hint="eastAsia" w:hAnsi="宋体"/>
          <w:sz w:val="24"/>
          <w:szCs w:val="24"/>
        </w:rPr>
        <w:t>（六）本估价报告中所使用的</w:t>
      </w:r>
      <w:r>
        <w:rPr>
          <w:rFonts w:hint="eastAsia" w:hAnsi="宋体"/>
          <w:sz w:val="24"/>
          <w:szCs w:val="24"/>
          <w:lang w:eastAsia="zh-CN"/>
        </w:rPr>
        <w:t>币种</w:t>
      </w:r>
      <w:r>
        <w:rPr>
          <w:rFonts w:hint="eastAsia" w:hAnsi="宋体"/>
          <w:sz w:val="24"/>
          <w:szCs w:val="24"/>
        </w:rPr>
        <w:t>均为</w:t>
      </w:r>
      <w:r>
        <w:rPr>
          <w:rFonts w:hint="eastAsia" w:hAnsi="宋体"/>
          <w:sz w:val="24"/>
          <w:szCs w:val="24"/>
          <w:lang w:eastAsia="zh-CN"/>
        </w:rPr>
        <w:t>人民币</w:t>
      </w:r>
      <w:r>
        <w:rPr>
          <w:rFonts w:hint="eastAsia" w:hAnsi="宋体"/>
          <w:sz w:val="24"/>
          <w:szCs w:val="24"/>
        </w:rPr>
        <w:t>。</w:t>
      </w:r>
    </w:p>
    <w:p>
      <w:pPr>
        <w:pStyle w:val="3"/>
        <w:adjustRightInd w:val="0"/>
        <w:snapToGrid w:val="0"/>
        <w:spacing w:line="440" w:lineRule="exact"/>
        <w:ind w:left="0" w:leftChars="0" w:firstLine="420" w:firstLineChars="175"/>
        <w:rPr>
          <w:rFonts w:hint="eastAsia" w:hAnsi="宋体"/>
          <w:color w:val="000000"/>
          <w:sz w:val="24"/>
          <w:highlight w:val="none"/>
        </w:rPr>
      </w:pPr>
      <w:r>
        <w:rPr>
          <w:rFonts w:hint="eastAsia" w:hAnsi="宋体"/>
          <w:sz w:val="24"/>
          <w:szCs w:val="24"/>
        </w:rPr>
        <w:t>（七）</w:t>
      </w:r>
      <w:r>
        <w:rPr>
          <w:rFonts w:hint="eastAsia" w:hAnsi="宋体"/>
          <w:color w:val="000000"/>
          <w:sz w:val="24"/>
          <w:szCs w:val="24"/>
          <w:highlight w:val="none"/>
        </w:rPr>
        <w:t>本估价报告书一式</w:t>
      </w:r>
      <w:r>
        <w:rPr>
          <w:rFonts w:hint="eastAsia" w:hAnsi="宋体"/>
          <w:color w:val="000000"/>
          <w:sz w:val="24"/>
          <w:szCs w:val="24"/>
          <w:highlight w:val="none"/>
          <w:lang w:eastAsia="zh-CN"/>
        </w:rPr>
        <w:t>六</w:t>
      </w:r>
      <w:r>
        <w:rPr>
          <w:rFonts w:hint="eastAsia" w:hAnsi="宋体"/>
          <w:color w:val="000000"/>
          <w:sz w:val="24"/>
          <w:szCs w:val="24"/>
          <w:highlight w:val="none"/>
        </w:rPr>
        <w:t>份，委托方</w:t>
      </w:r>
      <w:r>
        <w:rPr>
          <w:rFonts w:hint="eastAsia" w:hAnsi="宋体"/>
          <w:color w:val="000000"/>
          <w:sz w:val="24"/>
          <w:szCs w:val="24"/>
          <w:highlight w:val="none"/>
          <w:lang w:eastAsia="zh-CN"/>
        </w:rPr>
        <w:t>五</w:t>
      </w:r>
      <w:r>
        <w:rPr>
          <w:rFonts w:hint="eastAsia" w:hAnsi="宋体"/>
          <w:color w:val="000000"/>
          <w:sz w:val="24"/>
          <w:szCs w:val="24"/>
          <w:highlight w:val="none"/>
        </w:rPr>
        <w:t>份，本机构存档一份。</w:t>
      </w:r>
    </w:p>
    <w:p>
      <w:pPr>
        <w:pStyle w:val="3"/>
        <w:snapToGrid w:val="0"/>
        <w:spacing w:line="360" w:lineRule="auto"/>
        <w:ind w:left="0" w:leftChars="0" w:firstLine="422" w:firstLineChars="175"/>
        <w:rPr>
          <w:rFonts w:hint="eastAsia" w:hAnsi="宋体"/>
          <w:b/>
          <w:color w:val="000000"/>
          <w:sz w:val="24"/>
          <w:szCs w:val="24"/>
          <w:highlight w:val="none"/>
        </w:rPr>
      </w:pPr>
    </w:p>
    <w:p>
      <w:pPr>
        <w:pStyle w:val="3"/>
        <w:snapToGrid w:val="0"/>
        <w:spacing w:line="360" w:lineRule="auto"/>
        <w:rPr>
          <w:rFonts w:hint="eastAsia" w:hAnsi="宋体"/>
          <w:b/>
          <w:sz w:val="24"/>
          <w:szCs w:val="24"/>
        </w:rPr>
      </w:pPr>
      <w:r>
        <w:rPr>
          <w:rFonts w:hint="eastAsia" w:hAnsi="宋体"/>
          <w:b/>
          <w:sz w:val="24"/>
          <w:szCs w:val="24"/>
        </w:rPr>
        <w:t xml:space="preserve">     </w:t>
      </w:r>
    </w:p>
    <w:p>
      <w:pPr>
        <w:pStyle w:val="3"/>
        <w:snapToGrid w:val="0"/>
        <w:spacing w:line="360" w:lineRule="auto"/>
        <w:rPr>
          <w:rFonts w:hint="eastAsia" w:hAnsi="宋体"/>
          <w:b/>
          <w:sz w:val="24"/>
          <w:szCs w:val="24"/>
        </w:rPr>
      </w:pPr>
    </w:p>
    <w:p>
      <w:pPr>
        <w:pStyle w:val="3"/>
        <w:keepNext w:val="0"/>
        <w:keepLines w:val="0"/>
        <w:pageBreakBefore w:val="0"/>
        <w:widowControl w:val="0"/>
        <w:kinsoku/>
        <w:wordWrap/>
        <w:overflowPunct/>
        <w:topLinePunct w:val="0"/>
        <w:autoSpaceDE/>
        <w:autoSpaceDN/>
        <w:bidi w:val="0"/>
        <w:adjustRightInd/>
        <w:snapToGrid w:val="0"/>
        <w:spacing w:line="360" w:lineRule="auto"/>
        <w:ind w:firstLine="2570" w:firstLineChars="800"/>
        <w:textAlignment w:val="auto"/>
        <w:rPr>
          <w:rFonts w:hint="eastAsia" w:hAnsi="宋体"/>
          <w:b/>
          <w:sz w:val="32"/>
          <w:szCs w:val="32"/>
        </w:rPr>
      </w:pPr>
      <w:bookmarkStart w:id="31" w:name="_Toc6430_WPSOffice_Level1"/>
      <w:r>
        <w:rPr>
          <w:rFonts w:hint="eastAsia" w:hAnsi="宋体"/>
          <w:b/>
          <w:sz w:val="32"/>
          <w:szCs w:val="32"/>
        </w:rPr>
        <w:t>房地产估价结果报告</w:t>
      </w:r>
      <w:bookmarkEnd w:id="31"/>
    </w:p>
    <w:p>
      <w:pPr>
        <w:pStyle w:val="3"/>
        <w:keepNext w:val="0"/>
        <w:keepLines w:val="0"/>
        <w:pageBreakBefore w:val="0"/>
        <w:widowControl w:val="0"/>
        <w:kinsoku/>
        <w:wordWrap/>
        <w:overflowPunct/>
        <w:topLinePunct w:val="0"/>
        <w:autoSpaceDE/>
        <w:autoSpaceDN/>
        <w:bidi w:val="0"/>
        <w:adjustRightInd/>
        <w:snapToGrid w:val="0"/>
        <w:spacing w:line="300" w:lineRule="exact"/>
        <w:ind w:firstLine="2570" w:firstLineChars="800"/>
        <w:textAlignment w:val="auto"/>
        <w:rPr>
          <w:rFonts w:hint="eastAsia" w:hAnsi="宋体"/>
          <w:b/>
          <w:sz w:val="32"/>
          <w:szCs w:val="32"/>
        </w:rPr>
      </w:pP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受托对</w:t>
      </w:r>
      <w:r>
        <w:rPr>
          <w:rFonts w:hint="eastAsia" w:hAnsi="宋体"/>
          <w:sz w:val="24"/>
          <w:szCs w:val="24"/>
          <w:lang w:eastAsia="zh-CN"/>
        </w:rPr>
        <w:t>张</w:t>
      </w:r>
      <w:r>
        <w:rPr>
          <w:rFonts w:hint="eastAsia" w:hAnsi="宋体"/>
          <w:sz w:val="24"/>
          <w:szCs w:val="24"/>
          <w:lang w:val="en-US" w:eastAsia="zh-CN"/>
        </w:rPr>
        <w:t>开放</w:t>
      </w:r>
      <w:r>
        <w:rPr>
          <w:rFonts w:hint="eastAsia" w:hAnsi="宋体"/>
          <w:sz w:val="24"/>
          <w:szCs w:val="24"/>
          <w:lang w:eastAsia="zh-CN"/>
        </w:rPr>
        <w:t>位于乌苏市哈图布呼镇北京路151</w:t>
      </w:r>
      <w:r>
        <w:rPr>
          <w:rFonts w:hint="eastAsia" w:hAnsi="宋体"/>
          <w:sz w:val="24"/>
          <w:szCs w:val="24"/>
          <w:lang w:val="en-US" w:eastAsia="zh-CN"/>
        </w:rPr>
        <w:t>4</w:t>
      </w:r>
      <w:r>
        <w:rPr>
          <w:rFonts w:hint="eastAsia" w:hAnsi="宋体"/>
          <w:sz w:val="24"/>
          <w:szCs w:val="24"/>
          <w:lang w:eastAsia="zh-CN"/>
        </w:rPr>
        <w:t>号</w:t>
      </w:r>
      <w:r>
        <w:rPr>
          <w:rFonts w:hint="eastAsia" w:hAnsi="宋体"/>
          <w:sz w:val="24"/>
          <w:szCs w:val="24"/>
        </w:rPr>
        <w:t>，以“</w:t>
      </w:r>
      <w:r>
        <w:rPr>
          <w:rFonts w:hint="eastAsia" w:hAnsi="宋体"/>
          <w:bCs/>
          <w:sz w:val="24"/>
          <w:szCs w:val="24"/>
        </w:rPr>
        <w:t>为</w:t>
      </w:r>
      <w:r>
        <w:rPr>
          <w:rFonts w:hint="eastAsia" w:hAnsi="宋体"/>
          <w:bCs/>
          <w:sz w:val="24"/>
          <w:szCs w:val="24"/>
          <w:lang w:eastAsia="zh-CN"/>
        </w:rPr>
        <w:t>乌苏市人民法院确定财产处置参考价提供依据</w:t>
      </w:r>
      <w:r>
        <w:rPr>
          <w:rFonts w:hint="eastAsia" w:hAnsi="宋体"/>
          <w:sz w:val="24"/>
          <w:szCs w:val="24"/>
        </w:rPr>
        <w:t>”的</w:t>
      </w:r>
      <w:r>
        <w:rPr>
          <w:rFonts w:hint="eastAsia" w:hAnsi="宋体"/>
          <w:sz w:val="24"/>
          <w:szCs w:val="24"/>
          <w:lang w:eastAsia="zh-CN"/>
        </w:rPr>
        <w:t>估价</w:t>
      </w:r>
      <w:r>
        <w:rPr>
          <w:rFonts w:hint="eastAsia" w:hAnsi="宋体"/>
          <w:sz w:val="24"/>
          <w:szCs w:val="24"/>
        </w:rPr>
        <w:t>工作已完成，</w:t>
      </w:r>
      <w:r>
        <w:rPr>
          <w:rFonts w:hint="eastAsia" w:hAnsi="宋体"/>
          <w:sz w:val="24"/>
          <w:szCs w:val="24"/>
          <w:lang w:eastAsia="zh-CN"/>
        </w:rPr>
        <w:t>估价</w:t>
      </w:r>
      <w:r>
        <w:rPr>
          <w:rFonts w:hint="eastAsia" w:hAnsi="宋体"/>
          <w:sz w:val="24"/>
          <w:szCs w:val="24"/>
        </w:rPr>
        <w:t>结果如下：</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Chars="0" w:firstLine="482" w:firstLineChars="200"/>
        <w:textAlignment w:val="auto"/>
        <w:rPr>
          <w:rFonts w:hint="eastAsia" w:hAnsi="宋体"/>
          <w:b/>
          <w:sz w:val="24"/>
          <w:szCs w:val="24"/>
        </w:rPr>
      </w:pPr>
      <w:bookmarkStart w:id="32" w:name="_Toc25245_WPSOffice_Level1"/>
      <w:r>
        <w:rPr>
          <w:rFonts w:hint="eastAsia" w:hAnsi="宋体"/>
          <w:b/>
          <w:sz w:val="24"/>
          <w:szCs w:val="24"/>
          <w:lang w:eastAsia="zh-CN"/>
        </w:rPr>
        <w:t>一、</w:t>
      </w:r>
      <w:r>
        <w:rPr>
          <w:rFonts w:hint="eastAsia" w:hAnsi="宋体"/>
          <w:b/>
          <w:sz w:val="24"/>
          <w:szCs w:val="24"/>
        </w:rPr>
        <w:t>估价委托人</w:t>
      </w:r>
      <w:bookmarkEnd w:id="32"/>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b w:val="0"/>
          <w:bCs/>
          <w:sz w:val="24"/>
          <w:szCs w:val="24"/>
          <w:lang w:eastAsia="zh-CN"/>
        </w:rPr>
      </w:pPr>
      <w:r>
        <w:rPr>
          <w:rFonts w:hint="eastAsia" w:hAnsi="宋体"/>
          <w:b w:val="0"/>
          <w:bCs/>
          <w:sz w:val="24"/>
          <w:szCs w:val="24"/>
          <w:lang w:eastAsia="zh-CN"/>
        </w:rPr>
        <w:t>单</w:t>
      </w:r>
      <w:r>
        <w:rPr>
          <w:rFonts w:hint="eastAsia" w:hAnsi="宋体"/>
          <w:b w:val="0"/>
          <w:bCs/>
          <w:sz w:val="24"/>
          <w:szCs w:val="24"/>
          <w:lang w:val="en-US" w:eastAsia="zh-CN"/>
        </w:rPr>
        <w:t xml:space="preserve"> </w:t>
      </w:r>
      <w:r>
        <w:rPr>
          <w:rFonts w:hint="eastAsia" w:hAnsi="宋体"/>
          <w:b w:val="0"/>
          <w:bCs/>
          <w:sz w:val="24"/>
          <w:szCs w:val="24"/>
          <w:lang w:eastAsia="zh-CN"/>
        </w:rPr>
        <w:t>位</w:t>
      </w:r>
      <w:r>
        <w:rPr>
          <w:rFonts w:hint="eastAsia" w:hAnsi="宋体"/>
          <w:b w:val="0"/>
          <w:bCs/>
          <w:sz w:val="24"/>
          <w:szCs w:val="24"/>
          <w:lang w:val="en-US" w:eastAsia="zh-CN"/>
        </w:rPr>
        <w:t xml:space="preserve"> </w:t>
      </w:r>
      <w:r>
        <w:rPr>
          <w:rFonts w:hint="eastAsia" w:hAnsi="宋体"/>
          <w:b w:val="0"/>
          <w:bCs/>
          <w:sz w:val="24"/>
          <w:szCs w:val="24"/>
          <w:lang w:eastAsia="zh-CN"/>
        </w:rPr>
        <w:t>名</w:t>
      </w:r>
      <w:r>
        <w:rPr>
          <w:rFonts w:hint="eastAsia" w:hAnsi="宋体"/>
          <w:b w:val="0"/>
          <w:bCs/>
          <w:sz w:val="24"/>
          <w:szCs w:val="24"/>
          <w:lang w:val="en-US" w:eastAsia="zh-CN"/>
        </w:rPr>
        <w:t xml:space="preserve"> </w:t>
      </w:r>
      <w:r>
        <w:rPr>
          <w:rFonts w:hint="eastAsia" w:hAnsi="宋体"/>
          <w:b w:val="0"/>
          <w:bCs/>
          <w:sz w:val="24"/>
          <w:szCs w:val="24"/>
          <w:lang w:eastAsia="zh-CN"/>
        </w:rPr>
        <w:t>称：乌苏市人民法院</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b w:val="0"/>
          <w:bCs/>
          <w:sz w:val="24"/>
          <w:szCs w:val="24"/>
          <w:lang w:eastAsia="zh-CN"/>
        </w:rPr>
      </w:pPr>
      <w:r>
        <w:rPr>
          <w:rFonts w:hint="eastAsia" w:hAnsi="宋体"/>
          <w:b w:val="0"/>
          <w:bCs/>
          <w:sz w:val="24"/>
          <w:szCs w:val="24"/>
          <w:lang w:eastAsia="zh-CN"/>
        </w:rPr>
        <w:t>机</w:t>
      </w:r>
      <w:r>
        <w:rPr>
          <w:rFonts w:hint="eastAsia" w:hAnsi="宋体"/>
          <w:b w:val="0"/>
          <w:bCs/>
          <w:sz w:val="24"/>
          <w:szCs w:val="24"/>
          <w:lang w:val="en-US" w:eastAsia="zh-CN"/>
        </w:rPr>
        <w:t xml:space="preserve"> </w:t>
      </w:r>
      <w:r>
        <w:rPr>
          <w:rFonts w:hint="eastAsia" w:hAnsi="宋体"/>
          <w:b w:val="0"/>
          <w:bCs/>
          <w:sz w:val="24"/>
          <w:szCs w:val="24"/>
          <w:lang w:eastAsia="zh-CN"/>
        </w:rPr>
        <w:t>构</w:t>
      </w:r>
      <w:r>
        <w:rPr>
          <w:rFonts w:hint="eastAsia" w:hAnsi="宋体"/>
          <w:b w:val="0"/>
          <w:bCs/>
          <w:sz w:val="24"/>
          <w:szCs w:val="24"/>
          <w:lang w:val="en-US" w:eastAsia="zh-CN"/>
        </w:rPr>
        <w:t xml:space="preserve"> </w:t>
      </w:r>
      <w:r>
        <w:rPr>
          <w:rFonts w:hint="eastAsia" w:hAnsi="宋体"/>
          <w:b w:val="0"/>
          <w:bCs/>
          <w:sz w:val="24"/>
          <w:szCs w:val="24"/>
          <w:lang w:eastAsia="zh-CN"/>
        </w:rPr>
        <w:t>地</w:t>
      </w:r>
      <w:r>
        <w:rPr>
          <w:rFonts w:hint="eastAsia" w:hAnsi="宋体"/>
          <w:b w:val="0"/>
          <w:bCs/>
          <w:sz w:val="24"/>
          <w:szCs w:val="24"/>
          <w:lang w:val="en-US" w:eastAsia="zh-CN"/>
        </w:rPr>
        <w:t xml:space="preserve"> </w:t>
      </w:r>
      <w:r>
        <w:rPr>
          <w:rFonts w:hint="eastAsia" w:hAnsi="宋体"/>
          <w:b w:val="0"/>
          <w:bCs/>
          <w:sz w:val="24"/>
          <w:szCs w:val="24"/>
          <w:lang w:eastAsia="zh-CN"/>
        </w:rPr>
        <w:t>址：塔城地区乌苏市乌伊路059号</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b w:val="0"/>
          <w:bCs/>
          <w:color w:val="000000"/>
          <w:sz w:val="24"/>
          <w:szCs w:val="24"/>
          <w:lang w:val="en-US" w:eastAsia="zh-CN"/>
        </w:rPr>
      </w:pPr>
      <w:r>
        <w:rPr>
          <w:rFonts w:hint="eastAsia" w:hAnsi="宋体"/>
          <w:b w:val="0"/>
          <w:bCs/>
          <w:color w:val="000000"/>
          <w:sz w:val="24"/>
          <w:szCs w:val="24"/>
          <w:lang w:val="en-US" w:eastAsia="zh-CN"/>
        </w:rPr>
        <w:t>联    系   人：李新星</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480" w:firstLineChars="200"/>
        <w:textAlignment w:val="auto"/>
        <w:rPr>
          <w:rFonts w:hint="default" w:hAnsi="宋体"/>
          <w:b w:val="0"/>
          <w:bCs/>
          <w:color w:val="000000"/>
          <w:sz w:val="24"/>
          <w:szCs w:val="24"/>
          <w:highlight w:val="none"/>
          <w:lang w:val="en-US" w:eastAsia="zh-CN"/>
        </w:rPr>
      </w:pPr>
      <w:r>
        <w:rPr>
          <w:rFonts w:hint="eastAsia" w:hAnsi="宋体"/>
          <w:b w:val="0"/>
          <w:bCs/>
          <w:color w:val="000000"/>
          <w:sz w:val="24"/>
          <w:szCs w:val="24"/>
          <w:lang w:val="en-US" w:eastAsia="zh-CN"/>
        </w:rPr>
        <w:t>联系方式：</w:t>
      </w:r>
      <w:r>
        <w:rPr>
          <w:rFonts w:hint="eastAsia" w:hAnsi="宋体"/>
          <w:b w:val="0"/>
          <w:bCs/>
          <w:color w:val="000000"/>
          <w:sz w:val="24"/>
          <w:szCs w:val="24"/>
          <w:highlight w:val="none"/>
          <w:lang w:val="en-US" w:eastAsia="zh-CN"/>
        </w:rPr>
        <w:t>15022961303</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textAlignment w:val="auto"/>
        <w:rPr>
          <w:rFonts w:hint="default" w:hAnsi="宋体"/>
          <w:b w:val="0"/>
          <w:bCs/>
          <w:sz w:val="24"/>
          <w:szCs w:val="24"/>
          <w:lang w:val="en-US" w:eastAsia="zh-CN"/>
        </w:rPr>
      </w:pP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2" w:firstLineChars="200"/>
        <w:textAlignment w:val="auto"/>
        <w:rPr>
          <w:rFonts w:hint="eastAsia" w:hAnsi="宋体"/>
          <w:b/>
          <w:sz w:val="24"/>
          <w:szCs w:val="24"/>
        </w:rPr>
      </w:pPr>
      <w:bookmarkStart w:id="33" w:name="_Toc17001_WPSOffice_Level1"/>
      <w:r>
        <w:rPr>
          <w:rFonts w:hint="eastAsia" w:hAnsi="宋体"/>
          <w:b/>
          <w:sz w:val="24"/>
          <w:szCs w:val="24"/>
        </w:rPr>
        <w:t>二、房地产估价机构</w:t>
      </w:r>
      <w:bookmarkEnd w:id="33"/>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单 位 名 称：新疆中浩房地产评估有限公司</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pacing w:val="-11"/>
          <w:sz w:val="24"/>
          <w:szCs w:val="24"/>
        </w:rPr>
      </w:pPr>
      <w:r>
        <w:rPr>
          <w:rFonts w:hint="eastAsia" w:hAnsi="宋体"/>
          <w:sz w:val="24"/>
          <w:szCs w:val="24"/>
        </w:rPr>
        <w:t>机 构 地 址：</w:t>
      </w:r>
      <w:r>
        <w:rPr>
          <w:rFonts w:hint="eastAsia" w:hAnsi="宋体"/>
          <w:spacing w:val="-11"/>
          <w:sz w:val="24"/>
          <w:szCs w:val="24"/>
        </w:rPr>
        <w:t>新疆乌鲁木齐市水磨沟区会展大道1119号大成尔雅A座908室</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eastAsia="宋体"/>
          <w:sz w:val="24"/>
          <w:szCs w:val="24"/>
          <w:lang w:eastAsia="zh-CN"/>
        </w:rPr>
      </w:pPr>
      <w:r>
        <w:rPr>
          <w:rFonts w:hint="eastAsia" w:hAnsi="宋体"/>
          <w:sz w:val="24"/>
          <w:szCs w:val="24"/>
        </w:rPr>
        <w:t>法定代表人：</w:t>
      </w:r>
      <w:r>
        <w:rPr>
          <w:rFonts w:hint="eastAsia" w:hAnsi="宋体"/>
          <w:sz w:val="24"/>
          <w:szCs w:val="24"/>
          <w:lang w:eastAsia="zh-CN"/>
        </w:rPr>
        <w:t>贾俊丽</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资 格 等 级：国家贰级</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证 书 编 号：新建估证2-033</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联 系 电 话：0991-4665222</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textAlignment w:val="auto"/>
        <w:rPr>
          <w:rFonts w:hint="eastAsia" w:hAnsi="宋体"/>
          <w:sz w:val="24"/>
          <w:szCs w:val="24"/>
        </w:rPr>
      </w:pP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2" w:firstLineChars="200"/>
        <w:textAlignment w:val="auto"/>
        <w:rPr>
          <w:rFonts w:hint="eastAsia" w:hAnsi="宋体"/>
          <w:b/>
          <w:sz w:val="24"/>
          <w:szCs w:val="24"/>
        </w:rPr>
      </w:pPr>
      <w:bookmarkStart w:id="34" w:name="_Toc985_WPSOffice_Level1"/>
      <w:r>
        <w:rPr>
          <w:rFonts w:hint="eastAsia" w:hAnsi="宋体"/>
          <w:b/>
          <w:sz w:val="24"/>
          <w:szCs w:val="24"/>
        </w:rPr>
        <w:t>三、估价目的</w:t>
      </w:r>
      <w:bookmarkEnd w:id="34"/>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bCs/>
          <w:sz w:val="24"/>
          <w:szCs w:val="24"/>
          <w:lang w:eastAsia="zh-CN"/>
        </w:rPr>
      </w:pPr>
      <w:r>
        <w:rPr>
          <w:rFonts w:hint="eastAsia" w:hAnsi="宋体"/>
          <w:bCs/>
          <w:sz w:val="24"/>
          <w:szCs w:val="24"/>
          <w:lang w:eastAsia="zh-CN"/>
        </w:rPr>
        <w:t>为乌苏市人民法院确定财产处置参考价提供参考依据。</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textAlignment w:val="auto"/>
        <w:rPr>
          <w:rFonts w:hint="eastAsia" w:hAnsi="宋体"/>
          <w:bCs/>
          <w:sz w:val="24"/>
          <w:szCs w:val="24"/>
          <w:lang w:eastAsia="zh-CN"/>
        </w:rPr>
      </w:pP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2" w:firstLineChars="200"/>
        <w:textAlignment w:val="auto"/>
        <w:rPr>
          <w:rFonts w:hint="eastAsia" w:hAnsi="宋体"/>
          <w:b/>
          <w:sz w:val="24"/>
          <w:szCs w:val="24"/>
        </w:rPr>
      </w:pPr>
      <w:bookmarkStart w:id="35" w:name="_Toc7169_WPSOffice_Level1"/>
      <w:r>
        <w:rPr>
          <w:rFonts w:hint="eastAsia" w:hAnsi="宋体"/>
          <w:b/>
          <w:sz w:val="24"/>
          <w:szCs w:val="24"/>
        </w:rPr>
        <w:t>四、估价对象</w:t>
      </w:r>
      <w:bookmarkEnd w:id="35"/>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422" w:firstLineChars="175"/>
        <w:textAlignment w:val="auto"/>
        <w:rPr>
          <w:rFonts w:hint="eastAsia" w:hAnsi="宋体"/>
          <w:b/>
          <w:sz w:val="24"/>
          <w:szCs w:val="24"/>
        </w:rPr>
      </w:pPr>
      <w:r>
        <w:rPr>
          <w:rFonts w:hint="eastAsia" w:hAnsi="宋体"/>
          <w:b/>
          <w:sz w:val="24"/>
          <w:szCs w:val="24"/>
          <w:lang w:val="en-US" w:eastAsia="zh-CN"/>
        </w:rPr>
        <w:t>（一）</w:t>
      </w:r>
      <w:r>
        <w:rPr>
          <w:rFonts w:hint="eastAsia" w:hAnsi="宋体"/>
          <w:b/>
          <w:sz w:val="24"/>
          <w:szCs w:val="24"/>
        </w:rPr>
        <w:t>估价对象范围</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shd w:val="clear" w:color="auto" w:fill="FFFFFF"/>
          <w:lang w:eastAsia="zh-CN"/>
        </w:rPr>
      </w:pPr>
      <w:r>
        <w:rPr>
          <w:rFonts w:hint="eastAsia" w:hAnsi="宋体"/>
          <w:b w:val="0"/>
          <w:bCs/>
          <w:sz w:val="24"/>
          <w:szCs w:val="24"/>
          <w:lang w:eastAsia="zh-CN"/>
        </w:rPr>
        <w:t>估价对象位于乌苏市哈图布呼镇北京路151</w:t>
      </w:r>
      <w:r>
        <w:rPr>
          <w:rFonts w:hint="eastAsia" w:hAnsi="宋体"/>
          <w:b w:val="0"/>
          <w:bCs/>
          <w:sz w:val="24"/>
          <w:szCs w:val="24"/>
          <w:lang w:val="en-US" w:eastAsia="zh-CN"/>
        </w:rPr>
        <w:t>4</w:t>
      </w:r>
      <w:r>
        <w:rPr>
          <w:rFonts w:hint="eastAsia" w:hAnsi="宋体"/>
          <w:b w:val="0"/>
          <w:bCs/>
          <w:sz w:val="24"/>
          <w:szCs w:val="24"/>
          <w:lang w:eastAsia="zh-CN"/>
        </w:rPr>
        <w:t>号</w:t>
      </w:r>
      <w:r>
        <w:rPr>
          <w:rFonts w:hint="eastAsia" w:hAnsi="宋体"/>
          <w:sz w:val="24"/>
          <w:szCs w:val="24"/>
          <w:shd w:val="clear" w:color="auto" w:fill="FFFFFF"/>
        </w:rPr>
        <w:t>，为</w:t>
      </w:r>
      <w:r>
        <w:rPr>
          <w:rFonts w:hint="eastAsia" w:hAnsi="宋体"/>
          <w:sz w:val="24"/>
          <w:szCs w:val="24"/>
          <w:shd w:val="clear" w:color="auto" w:fill="FFFFFF"/>
          <w:lang w:val="en-US" w:eastAsia="zh-CN"/>
        </w:rPr>
        <w:t>乌苏市哈图布呼镇北京路的一套自建民宅</w:t>
      </w:r>
      <w:r>
        <w:rPr>
          <w:rFonts w:hint="eastAsia" w:hAnsi="宋体"/>
          <w:sz w:val="24"/>
          <w:szCs w:val="24"/>
          <w:shd w:val="clear" w:color="auto" w:fill="FFFFFF"/>
        </w:rPr>
        <w:t>。本次估价对象为该套</w:t>
      </w:r>
      <w:r>
        <w:rPr>
          <w:rFonts w:hint="eastAsia" w:hAnsi="宋体"/>
          <w:sz w:val="24"/>
          <w:szCs w:val="24"/>
          <w:shd w:val="clear" w:color="auto" w:fill="FFFFFF"/>
          <w:lang w:val="en-US" w:eastAsia="zh-CN"/>
        </w:rPr>
        <w:t>住宅</w:t>
      </w:r>
      <w:r>
        <w:rPr>
          <w:rFonts w:hint="eastAsia" w:hAnsi="宋体"/>
          <w:sz w:val="24"/>
          <w:szCs w:val="24"/>
          <w:shd w:val="clear" w:color="auto" w:fill="FFFFFF"/>
          <w:lang w:eastAsia="zh-CN"/>
        </w:rPr>
        <w:t>房地产、</w:t>
      </w:r>
      <w:r>
        <w:rPr>
          <w:rFonts w:hint="eastAsia" w:hAnsi="宋体"/>
          <w:sz w:val="24"/>
          <w:szCs w:val="24"/>
          <w:shd w:val="clear" w:color="auto" w:fill="FFFFFF"/>
        </w:rPr>
        <w:t>二次装修及土地使用权价值，不包含室内的动产</w:t>
      </w:r>
      <w:r>
        <w:rPr>
          <w:rFonts w:hint="eastAsia" w:hAnsi="宋体"/>
          <w:sz w:val="24"/>
          <w:szCs w:val="24"/>
          <w:shd w:val="clear" w:color="auto" w:fill="FFFFFF"/>
          <w:lang w:eastAsia="zh-CN"/>
        </w:rPr>
        <w:t>、债权债务等其他财产权利。</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textAlignment w:val="auto"/>
        <w:rPr>
          <w:rFonts w:hint="eastAsia" w:hAnsi="宋体"/>
          <w:sz w:val="24"/>
          <w:szCs w:val="24"/>
          <w:shd w:val="clear" w:color="auto" w:fill="FFFFFF"/>
          <w:lang w:eastAsia="zh-CN"/>
        </w:rPr>
      </w:pP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422" w:firstLineChars="175"/>
        <w:textAlignment w:val="auto"/>
        <w:rPr>
          <w:rFonts w:hint="eastAsia" w:hAnsi="宋体"/>
          <w:b/>
          <w:sz w:val="24"/>
          <w:szCs w:val="24"/>
        </w:rPr>
      </w:pPr>
      <w:r>
        <w:rPr>
          <w:rFonts w:hint="eastAsia" w:hAnsi="宋体"/>
          <w:b/>
          <w:sz w:val="24"/>
          <w:szCs w:val="24"/>
          <w:lang w:val="en-US" w:eastAsia="zh-CN"/>
        </w:rPr>
        <w:t>（二）</w:t>
      </w:r>
      <w:r>
        <w:rPr>
          <w:rFonts w:hint="eastAsia" w:hAnsi="宋体"/>
          <w:b/>
          <w:sz w:val="24"/>
          <w:szCs w:val="24"/>
        </w:rPr>
        <w:t>估价对象基本状况</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b w:val="0"/>
          <w:bCs/>
          <w:sz w:val="24"/>
          <w:szCs w:val="24"/>
        </w:rPr>
      </w:pPr>
      <w:r>
        <w:rPr>
          <w:rFonts w:hint="eastAsia" w:hAnsi="宋体"/>
          <w:sz w:val="24"/>
          <w:szCs w:val="24"/>
        </w:rPr>
        <w:t>根据估价委托人提供的资料及估价人员实地查勘情况，估价对象基本状况见下表</w:t>
      </w:r>
      <w:r>
        <w:rPr>
          <w:rFonts w:hint="eastAsia" w:hAnsi="宋体"/>
          <w:sz w:val="28"/>
          <w:szCs w:val="28"/>
        </w:rPr>
        <w:t>：</w:t>
      </w:r>
    </w:p>
    <w:p>
      <w:pPr>
        <w:pStyle w:val="3"/>
        <w:adjustRightInd w:val="0"/>
        <w:snapToGrid w:val="0"/>
        <w:spacing w:line="336" w:lineRule="auto"/>
        <w:ind w:firstLine="480" w:firstLineChars="200"/>
        <w:jc w:val="center"/>
        <w:rPr>
          <w:rFonts w:hint="eastAsia" w:hAnsi="宋体"/>
          <w:b/>
          <w:sz w:val="24"/>
          <w:szCs w:val="24"/>
        </w:rPr>
      </w:pPr>
      <w:r>
        <w:rPr>
          <w:rFonts w:hint="eastAsia" w:hAnsi="宋体"/>
          <w:b w:val="0"/>
          <w:bCs/>
          <w:sz w:val="24"/>
          <w:szCs w:val="24"/>
        </w:rPr>
        <w:t>估价对象基本状况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695"/>
        <w:gridCol w:w="902"/>
        <w:gridCol w:w="1506"/>
        <w:gridCol w:w="1089"/>
        <w:gridCol w:w="12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77" w:type="dxa"/>
            <w:vMerge w:val="restart"/>
            <w:noWrap w:val="0"/>
            <w:textDirection w:val="tbRlV"/>
            <w:vAlign w:val="center"/>
          </w:tcPr>
          <w:p>
            <w:pPr>
              <w:ind w:left="113" w:right="113"/>
              <w:jc w:val="center"/>
              <w:rPr>
                <w:rFonts w:hint="default" w:ascii="Times New Roman" w:hAnsi="Times New Roman" w:cs="Times New Roman"/>
                <w:szCs w:val="21"/>
              </w:rPr>
            </w:pPr>
            <w:r>
              <w:rPr>
                <w:rFonts w:hint="default" w:ascii="Times New Roman" w:hAnsi="Times New Roman" w:cs="Times New Roman"/>
                <w:szCs w:val="21"/>
              </w:rPr>
              <w:t>基本状况</w:t>
            </w:r>
          </w:p>
        </w:tc>
        <w:tc>
          <w:tcPr>
            <w:tcW w:w="169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项目名称</w:t>
            </w:r>
          </w:p>
          <w:p>
            <w:pPr>
              <w:jc w:val="center"/>
              <w:rPr>
                <w:rFonts w:hint="default" w:ascii="Times New Roman" w:hAnsi="Times New Roman" w:cs="Times New Roman"/>
                <w:szCs w:val="21"/>
              </w:rPr>
            </w:pPr>
          </w:p>
        </w:tc>
        <w:tc>
          <w:tcPr>
            <w:tcW w:w="6150" w:type="dxa"/>
            <w:gridSpan w:val="5"/>
            <w:noWrap w:val="0"/>
            <w:vAlign w:val="center"/>
          </w:tcPr>
          <w:p>
            <w:pPr>
              <w:ind w:left="2100" w:hanging="1575" w:hangingChars="750"/>
              <w:rPr>
                <w:rFonts w:hint="default" w:ascii="Times New Roman" w:hAnsi="Times New Roman" w:cs="Times New Roman"/>
                <w:szCs w:val="21"/>
              </w:rPr>
            </w:pPr>
            <w:r>
              <w:rPr>
                <w:rFonts w:hint="eastAsia" w:cs="Times New Roman"/>
                <w:szCs w:val="21"/>
                <w:lang w:eastAsia="zh-CN"/>
              </w:rPr>
              <w:t>张</w:t>
            </w:r>
            <w:r>
              <w:rPr>
                <w:rFonts w:hint="eastAsia" w:cs="Times New Roman"/>
                <w:szCs w:val="21"/>
                <w:lang w:val="en-US" w:eastAsia="zh-CN"/>
              </w:rPr>
              <w:t>开放</w:t>
            </w:r>
            <w:r>
              <w:rPr>
                <w:rFonts w:hint="eastAsia" w:cs="Times New Roman"/>
                <w:szCs w:val="21"/>
                <w:lang w:eastAsia="zh-CN"/>
              </w:rPr>
              <w:t>位于乌苏市哈图布呼镇北京路151</w:t>
            </w:r>
            <w:r>
              <w:rPr>
                <w:rFonts w:hint="eastAsia" w:cs="Times New Roman"/>
                <w:szCs w:val="21"/>
                <w:lang w:val="en-US" w:eastAsia="zh-CN"/>
              </w:rPr>
              <w:t>4</w:t>
            </w:r>
            <w:r>
              <w:rPr>
                <w:rFonts w:hint="eastAsia" w:cs="Times New Roman"/>
                <w:szCs w:val="21"/>
                <w:lang w:eastAsia="zh-CN"/>
              </w:rPr>
              <w:t>号</w:t>
            </w:r>
            <w:r>
              <w:rPr>
                <w:rFonts w:hint="eastAsia" w:ascii="Times New Roman" w:hAnsi="Times New Roman" w:cs="Times New Roman"/>
                <w:szCs w:val="21"/>
                <w:lang w:eastAsia="zh-CN"/>
              </w:rPr>
              <w:t>的涉案</w:t>
            </w:r>
            <w:r>
              <w:rPr>
                <w:rFonts w:hint="eastAsia" w:cs="Times New Roman"/>
                <w:szCs w:val="21"/>
                <w:lang w:val="en-US" w:eastAsia="zh-CN"/>
              </w:rPr>
              <w:t>住宅</w:t>
            </w:r>
            <w:r>
              <w:rPr>
                <w:rFonts w:hint="eastAsia" w:ascii="Times New Roman" w:hAnsi="Times New Roman" w:cs="Times New Roman"/>
                <w:szCs w:val="21"/>
                <w:lang w:eastAsia="zh-CN"/>
              </w:rPr>
              <w:t>房地产市场价值评估报告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7" w:type="dxa"/>
            <w:vMerge w:val="continue"/>
            <w:noWrap w:val="0"/>
            <w:vAlign w:val="center"/>
          </w:tcPr>
          <w:p>
            <w:pPr>
              <w:jc w:val="center"/>
              <w:rPr>
                <w:rFonts w:hint="default" w:ascii="Times New Roman" w:hAnsi="Times New Roman" w:cs="Times New Roman"/>
                <w:szCs w:val="21"/>
              </w:rPr>
            </w:pPr>
          </w:p>
        </w:tc>
        <w:tc>
          <w:tcPr>
            <w:tcW w:w="169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坐落</w:t>
            </w:r>
          </w:p>
        </w:tc>
        <w:tc>
          <w:tcPr>
            <w:tcW w:w="6150" w:type="dxa"/>
            <w:gridSpan w:val="5"/>
            <w:noWrap w:val="0"/>
            <w:vAlign w:val="center"/>
          </w:tcPr>
          <w:p>
            <w:pPr>
              <w:jc w:val="center"/>
              <w:rPr>
                <w:rFonts w:hint="default" w:ascii="Times New Roman" w:hAnsi="Times New Roman" w:cs="Times New Roman"/>
                <w:szCs w:val="21"/>
              </w:rPr>
            </w:pPr>
            <w:r>
              <w:rPr>
                <w:rFonts w:hint="eastAsia" w:cs="Times New Roman"/>
                <w:szCs w:val="21"/>
                <w:lang w:eastAsia="zh-CN"/>
              </w:rPr>
              <w:t>乌苏市哈图布呼镇北京路151</w:t>
            </w:r>
            <w:r>
              <w:rPr>
                <w:rFonts w:hint="eastAsia" w:cs="Times New Roman"/>
                <w:szCs w:val="21"/>
                <w:lang w:val="en-US" w:eastAsia="zh-CN"/>
              </w:rPr>
              <w:t>4</w:t>
            </w:r>
            <w:r>
              <w:rPr>
                <w:rFonts w:hint="eastAsia" w:cs="Times New Roman"/>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677" w:type="dxa"/>
            <w:vMerge w:val="continue"/>
            <w:noWrap w:val="0"/>
            <w:vAlign w:val="center"/>
          </w:tcPr>
          <w:p>
            <w:pPr>
              <w:jc w:val="center"/>
              <w:rPr>
                <w:rFonts w:hint="default" w:ascii="Times New Roman" w:hAnsi="Times New Roman" w:cs="Times New Roman"/>
                <w:szCs w:val="21"/>
              </w:rPr>
            </w:pPr>
          </w:p>
        </w:tc>
        <w:tc>
          <w:tcPr>
            <w:tcW w:w="169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规模</w:t>
            </w:r>
          </w:p>
        </w:tc>
        <w:tc>
          <w:tcPr>
            <w:tcW w:w="6150" w:type="dxa"/>
            <w:gridSpan w:val="5"/>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证载建筑面积为</w:t>
            </w:r>
            <w:r>
              <w:rPr>
                <w:rFonts w:hint="eastAsia" w:cs="Times New Roman"/>
                <w:szCs w:val="21"/>
                <w:lang w:val="en-US" w:eastAsia="zh-CN"/>
              </w:rPr>
              <w:t>243</w:t>
            </w:r>
            <w:r>
              <w:rPr>
                <w:rFonts w:hint="eastAsia" w:ascii="Times New Roman" w:hAnsi="Times New Roman" w:cs="Times New Roman"/>
                <w:szCs w:val="21"/>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77" w:type="dxa"/>
            <w:vMerge w:val="continue"/>
            <w:noWrap w:val="0"/>
            <w:vAlign w:val="center"/>
          </w:tcPr>
          <w:p>
            <w:pPr>
              <w:jc w:val="center"/>
              <w:rPr>
                <w:rFonts w:hint="default" w:ascii="Times New Roman" w:hAnsi="Times New Roman" w:cs="Times New Roman"/>
                <w:szCs w:val="21"/>
              </w:rPr>
            </w:pPr>
          </w:p>
        </w:tc>
        <w:tc>
          <w:tcPr>
            <w:tcW w:w="1695"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用途</w:t>
            </w:r>
          </w:p>
        </w:tc>
        <w:tc>
          <w:tcPr>
            <w:tcW w:w="2408" w:type="dxa"/>
            <w:gridSpan w:val="2"/>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规划用途</w:t>
            </w:r>
          </w:p>
        </w:tc>
        <w:tc>
          <w:tcPr>
            <w:tcW w:w="1089" w:type="dxa"/>
            <w:noWrap w:val="0"/>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住宅</w:t>
            </w:r>
          </w:p>
        </w:tc>
        <w:tc>
          <w:tcPr>
            <w:tcW w:w="1275"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登记用途</w:t>
            </w:r>
          </w:p>
        </w:tc>
        <w:tc>
          <w:tcPr>
            <w:tcW w:w="1378" w:type="dxa"/>
            <w:noWrap w:val="0"/>
            <w:vAlign w:val="center"/>
          </w:tcPr>
          <w:p>
            <w:pPr>
              <w:jc w:val="center"/>
              <w:rPr>
                <w:rFonts w:hint="default" w:ascii="Times New Roman" w:hAnsi="Times New Roman" w:eastAsia="宋体" w:cs="Times New Roman"/>
                <w:szCs w:val="21"/>
                <w:lang w:eastAsia="zh-CN"/>
              </w:rPr>
            </w:pPr>
            <w:r>
              <w:rPr>
                <w:rFonts w:hint="eastAsia" w:cs="Times New Roman"/>
                <w:szCs w:val="21"/>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677" w:type="dxa"/>
            <w:vMerge w:val="continue"/>
            <w:noWrap w:val="0"/>
            <w:vAlign w:val="center"/>
          </w:tcPr>
          <w:p>
            <w:pPr>
              <w:jc w:val="center"/>
              <w:rPr>
                <w:rFonts w:hint="default" w:ascii="Times New Roman" w:hAnsi="Times New Roman" w:cs="Times New Roman"/>
                <w:szCs w:val="21"/>
              </w:rPr>
            </w:pPr>
          </w:p>
        </w:tc>
        <w:tc>
          <w:tcPr>
            <w:tcW w:w="1695" w:type="dxa"/>
            <w:vMerge w:val="continue"/>
            <w:noWrap w:val="0"/>
            <w:vAlign w:val="center"/>
          </w:tcPr>
          <w:p>
            <w:pPr>
              <w:jc w:val="center"/>
              <w:rPr>
                <w:rFonts w:hint="default" w:ascii="Times New Roman" w:hAnsi="Times New Roman" w:cs="Times New Roman"/>
                <w:szCs w:val="21"/>
              </w:rPr>
            </w:pPr>
          </w:p>
        </w:tc>
        <w:tc>
          <w:tcPr>
            <w:tcW w:w="2408" w:type="dxa"/>
            <w:gridSpan w:val="2"/>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实际用途</w:t>
            </w:r>
          </w:p>
        </w:tc>
        <w:tc>
          <w:tcPr>
            <w:tcW w:w="3742" w:type="dxa"/>
            <w:gridSpan w:val="3"/>
            <w:noWrap w:val="0"/>
            <w:vAlign w:val="center"/>
          </w:tcPr>
          <w:p>
            <w:pPr>
              <w:jc w:val="center"/>
              <w:rPr>
                <w:rFonts w:hint="default" w:ascii="Times New Roman" w:hAnsi="Times New Roman" w:eastAsia="宋体" w:cs="Times New Roman"/>
                <w:szCs w:val="21"/>
                <w:lang w:eastAsia="zh-CN"/>
              </w:rPr>
            </w:pPr>
            <w:r>
              <w:rPr>
                <w:rFonts w:hint="eastAsia" w:cs="Times New Roman"/>
                <w:szCs w:val="21"/>
                <w:lang w:val="en-US" w:eastAsia="zh-CN"/>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77" w:type="dxa"/>
            <w:vMerge w:val="continue"/>
            <w:noWrap w:val="0"/>
            <w:vAlign w:val="center"/>
          </w:tcPr>
          <w:p>
            <w:pPr>
              <w:jc w:val="center"/>
              <w:rPr>
                <w:rFonts w:hint="default" w:ascii="Times New Roman" w:hAnsi="Times New Roman" w:cs="Times New Roman"/>
                <w:szCs w:val="21"/>
              </w:rPr>
            </w:pPr>
          </w:p>
        </w:tc>
        <w:tc>
          <w:tcPr>
            <w:tcW w:w="1695"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权属</w:t>
            </w:r>
          </w:p>
        </w:tc>
        <w:tc>
          <w:tcPr>
            <w:tcW w:w="2408" w:type="dxa"/>
            <w:gridSpan w:val="2"/>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土地所有权</w:t>
            </w:r>
          </w:p>
        </w:tc>
        <w:tc>
          <w:tcPr>
            <w:tcW w:w="3742" w:type="dxa"/>
            <w:gridSpan w:val="3"/>
            <w:noWrap w:val="0"/>
            <w:vAlign w:val="center"/>
          </w:tcPr>
          <w:p>
            <w:pPr>
              <w:jc w:val="center"/>
              <w:rPr>
                <w:rFonts w:hint="default" w:ascii="Times New Roman" w:hAnsi="Times New Roman" w:eastAsia="宋体" w:cs="Times New Roman"/>
                <w:szCs w:val="21"/>
                <w:lang w:eastAsia="zh-CN"/>
              </w:rPr>
            </w:pPr>
            <w:r>
              <w:rPr>
                <w:rFonts w:hint="eastAsia" w:ascii="Times New Roman" w:hAnsi="Times New Roman" w:eastAsia="宋体" w:cs="Times New Roman"/>
                <w:szCs w:val="21"/>
                <w:lang w:eastAsia="zh-CN"/>
              </w:rPr>
              <w:t>国家所有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677" w:type="dxa"/>
            <w:vMerge w:val="continue"/>
            <w:noWrap w:val="0"/>
            <w:vAlign w:val="center"/>
          </w:tcPr>
          <w:p>
            <w:pPr>
              <w:jc w:val="center"/>
              <w:rPr>
                <w:rFonts w:hint="default" w:ascii="Times New Roman" w:hAnsi="Times New Roman" w:cs="Times New Roman"/>
                <w:szCs w:val="21"/>
              </w:rPr>
            </w:pPr>
          </w:p>
        </w:tc>
        <w:tc>
          <w:tcPr>
            <w:tcW w:w="1695" w:type="dxa"/>
            <w:vMerge w:val="continue"/>
            <w:noWrap w:val="0"/>
            <w:vAlign w:val="center"/>
          </w:tcPr>
          <w:p>
            <w:pPr>
              <w:jc w:val="center"/>
              <w:rPr>
                <w:rFonts w:hint="default" w:ascii="Times New Roman" w:hAnsi="Times New Roman" w:cs="Times New Roman"/>
                <w:szCs w:val="21"/>
              </w:rPr>
            </w:pPr>
          </w:p>
        </w:tc>
        <w:tc>
          <w:tcPr>
            <w:tcW w:w="902"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土地使用权</w:t>
            </w:r>
          </w:p>
        </w:tc>
        <w:tc>
          <w:tcPr>
            <w:tcW w:w="1506"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权利种类</w:t>
            </w:r>
          </w:p>
        </w:tc>
        <w:tc>
          <w:tcPr>
            <w:tcW w:w="3742" w:type="dxa"/>
            <w:gridSpan w:val="3"/>
            <w:noWrap w:val="0"/>
            <w:vAlign w:val="center"/>
          </w:tcPr>
          <w:p>
            <w:pPr>
              <w:jc w:val="center"/>
              <w:rPr>
                <w:rFonts w:hint="eastAsia" w:ascii="Times New Roman" w:hAnsi="Times New Roman" w:eastAsia="宋体" w:cs="Times New Roman"/>
                <w:szCs w:val="21"/>
                <w:highlight w:val="yellow"/>
                <w:lang w:eastAsia="zh-CN"/>
              </w:rPr>
            </w:pPr>
            <w:r>
              <w:rPr>
                <w:rFonts w:hint="eastAsia" w:ascii="Times New Roman" w:hAnsi="Times New Roman" w:cs="Times New Roman"/>
                <w:szCs w:val="21"/>
                <w:highlight w:val="none"/>
                <w:lang w:eastAsia="zh-CN"/>
              </w:rPr>
              <w:t>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 w:hRule="atLeast"/>
        </w:trPr>
        <w:tc>
          <w:tcPr>
            <w:tcW w:w="677" w:type="dxa"/>
            <w:vMerge w:val="continue"/>
            <w:noWrap w:val="0"/>
            <w:vAlign w:val="center"/>
          </w:tcPr>
          <w:p>
            <w:pPr>
              <w:jc w:val="center"/>
              <w:rPr>
                <w:rFonts w:hint="default" w:ascii="Times New Roman" w:hAnsi="Times New Roman" w:cs="Times New Roman"/>
                <w:szCs w:val="21"/>
              </w:rPr>
            </w:pPr>
          </w:p>
        </w:tc>
        <w:tc>
          <w:tcPr>
            <w:tcW w:w="1695" w:type="dxa"/>
            <w:vMerge w:val="continue"/>
            <w:noWrap w:val="0"/>
            <w:vAlign w:val="center"/>
          </w:tcPr>
          <w:p>
            <w:pPr>
              <w:jc w:val="center"/>
              <w:rPr>
                <w:rFonts w:hint="default" w:ascii="Times New Roman" w:hAnsi="Times New Roman" w:cs="Times New Roman"/>
                <w:szCs w:val="21"/>
              </w:rPr>
            </w:pPr>
          </w:p>
        </w:tc>
        <w:tc>
          <w:tcPr>
            <w:tcW w:w="902" w:type="dxa"/>
            <w:vMerge w:val="continue"/>
            <w:noWrap w:val="0"/>
            <w:vAlign w:val="center"/>
          </w:tcPr>
          <w:p>
            <w:pPr>
              <w:jc w:val="center"/>
              <w:rPr>
                <w:rFonts w:hint="default" w:ascii="Times New Roman" w:hAnsi="Times New Roman" w:cs="Times New Roman"/>
                <w:szCs w:val="21"/>
              </w:rPr>
            </w:pPr>
          </w:p>
        </w:tc>
        <w:tc>
          <w:tcPr>
            <w:tcW w:w="1506" w:type="dxa"/>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土地使用权人</w:t>
            </w:r>
          </w:p>
        </w:tc>
        <w:tc>
          <w:tcPr>
            <w:tcW w:w="3742" w:type="dxa"/>
            <w:gridSpan w:val="3"/>
            <w:noWrap w:val="0"/>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张开放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677" w:type="dxa"/>
            <w:vMerge w:val="continue"/>
            <w:noWrap w:val="0"/>
            <w:vAlign w:val="center"/>
          </w:tcPr>
          <w:p>
            <w:pPr>
              <w:jc w:val="center"/>
              <w:rPr>
                <w:rFonts w:hint="default" w:ascii="Times New Roman" w:hAnsi="Times New Roman" w:cs="Times New Roman"/>
                <w:szCs w:val="21"/>
              </w:rPr>
            </w:pPr>
          </w:p>
        </w:tc>
        <w:tc>
          <w:tcPr>
            <w:tcW w:w="1695" w:type="dxa"/>
            <w:vMerge w:val="continue"/>
            <w:noWrap w:val="0"/>
            <w:vAlign w:val="center"/>
          </w:tcPr>
          <w:p>
            <w:pPr>
              <w:jc w:val="center"/>
              <w:rPr>
                <w:rFonts w:hint="default" w:ascii="Times New Roman" w:hAnsi="Times New Roman" w:cs="Times New Roman"/>
                <w:szCs w:val="21"/>
              </w:rPr>
            </w:pPr>
          </w:p>
        </w:tc>
        <w:tc>
          <w:tcPr>
            <w:tcW w:w="902" w:type="dxa"/>
            <w:vMerge w:val="restart"/>
            <w:noWrap w:val="0"/>
            <w:vAlign w:val="center"/>
          </w:tcPr>
          <w:p>
            <w:pPr>
              <w:jc w:val="center"/>
              <w:rPr>
                <w:rFonts w:hint="default" w:ascii="Times New Roman" w:hAnsi="Times New Roman" w:cs="Times New Roman"/>
                <w:szCs w:val="21"/>
              </w:rPr>
            </w:pPr>
            <w:r>
              <w:rPr>
                <w:rFonts w:hint="default" w:ascii="Times New Roman" w:hAnsi="Times New Roman" w:cs="Times New Roman"/>
                <w:szCs w:val="21"/>
              </w:rPr>
              <w:t>房屋所有权</w:t>
            </w:r>
          </w:p>
        </w:tc>
        <w:tc>
          <w:tcPr>
            <w:tcW w:w="1506" w:type="dxa"/>
            <w:noWrap w:val="0"/>
            <w:vAlign w:val="center"/>
          </w:tcPr>
          <w:p>
            <w:pPr>
              <w:jc w:val="center"/>
              <w:rPr>
                <w:rFonts w:hint="default" w:ascii="Times New Roman" w:hAnsi="Times New Roman" w:eastAsia="宋体" w:cs="Times New Roman"/>
                <w:szCs w:val="21"/>
                <w:lang w:eastAsia="zh-CN"/>
              </w:rPr>
            </w:pPr>
            <w:r>
              <w:rPr>
                <w:rFonts w:hint="default" w:ascii="Times New Roman" w:hAnsi="Times New Roman" w:cs="Times New Roman"/>
                <w:szCs w:val="21"/>
                <w:lang w:eastAsia="zh-CN"/>
              </w:rPr>
              <w:t>所有权人</w:t>
            </w:r>
          </w:p>
        </w:tc>
        <w:tc>
          <w:tcPr>
            <w:tcW w:w="3742" w:type="dxa"/>
            <w:gridSpan w:val="3"/>
            <w:noWrap w:val="0"/>
            <w:vAlign w:val="center"/>
          </w:tcPr>
          <w:p>
            <w:pPr>
              <w:jc w:val="center"/>
              <w:rPr>
                <w:rFonts w:hint="default" w:ascii="Times New Roman" w:hAnsi="Times New Roman" w:eastAsia="宋体" w:cs="Times New Roman"/>
                <w:szCs w:val="21"/>
                <w:lang w:val="en-US" w:eastAsia="zh-CN"/>
              </w:rPr>
            </w:pPr>
            <w:r>
              <w:rPr>
                <w:rFonts w:hint="eastAsia" w:cs="Times New Roman"/>
                <w:szCs w:val="21"/>
                <w:lang w:val="en-US" w:eastAsia="zh-CN"/>
              </w:rPr>
              <w:t>张开放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7" w:type="dxa"/>
            <w:vMerge w:val="continue"/>
            <w:noWrap w:val="0"/>
            <w:vAlign w:val="center"/>
          </w:tcPr>
          <w:p>
            <w:pPr>
              <w:jc w:val="center"/>
              <w:rPr>
                <w:rFonts w:hint="default" w:ascii="Times New Roman" w:hAnsi="Times New Roman" w:cs="Times New Roman"/>
                <w:szCs w:val="21"/>
              </w:rPr>
            </w:pPr>
          </w:p>
        </w:tc>
        <w:tc>
          <w:tcPr>
            <w:tcW w:w="1695" w:type="dxa"/>
            <w:vMerge w:val="continue"/>
            <w:noWrap w:val="0"/>
            <w:vAlign w:val="center"/>
          </w:tcPr>
          <w:p>
            <w:pPr>
              <w:jc w:val="center"/>
              <w:rPr>
                <w:rFonts w:hint="default" w:ascii="Times New Roman" w:hAnsi="Times New Roman" w:cs="Times New Roman"/>
                <w:szCs w:val="21"/>
              </w:rPr>
            </w:pPr>
          </w:p>
        </w:tc>
        <w:tc>
          <w:tcPr>
            <w:tcW w:w="902" w:type="dxa"/>
            <w:vMerge w:val="continue"/>
            <w:noWrap w:val="0"/>
            <w:vAlign w:val="center"/>
          </w:tcPr>
          <w:p>
            <w:pPr>
              <w:jc w:val="center"/>
              <w:rPr>
                <w:rFonts w:hint="default" w:ascii="Times New Roman" w:hAnsi="Times New Roman" w:cs="Times New Roman"/>
                <w:szCs w:val="21"/>
              </w:rPr>
            </w:pPr>
          </w:p>
        </w:tc>
        <w:tc>
          <w:tcPr>
            <w:tcW w:w="1506" w:type="dxa"/>
            <w:noWrap w:val="0"/>
            <w:vAlign w:val="center"/>
          </w:tcPr>
          <w:p>
            <w:pPr>
              <w:jc w:val="center"/>
              <w:rPr>
                <w:rFonts w:hint="eastAsia" w:ascii="Times New Roman" w:hAnsi="Times New Roman" w:eastAsia="宋体" w:cs="Times New Roman"/>
                <w:szCs w:val="21"/>
                <w:lang w:val="en-US" w:eastAsia="zh-CN"/>
              </w:rPr>
            </w:pPr>
            <w:r>
              <w:rPr>
                <w:rFonts w:hint="eastAsia" w:cs="Times New Roman"/>
                <w:szCs w:val="21"/>
                <w:lang w:val="en-US" w:eastAsia="zh-CN"/>
              </w:rPr>
              <w:t>所有权证号</w:t>
            </w:r>
          </w:p>
        </w:tc>
        <w:tc>
          <w:tcPr>
            <w:tcW w:w="3742" w:type="dxa"/>
            <w:gridSpan w:val="3"/>
            <w:noWrap w:val="0"/>
            <w:vAlign w:val="center"/>
          </w:tcPr>
          <w:p>
            <w:pPr>
              <w:jc w:val="center"/>
              <w:rPr>
                <w:rFonts w:hint="default" w:ascii="Times New Roman" w:hAnsi="Times New Roman" w:cs="Times New Roman"/>
                <w:szCs w:val="21"/>
                <w:lang w:val="en-US" w:eastAsia="zh-CN"/>
              </w:rPr>
            </w:pPr>
            <w:r>
              <w:rPr>
                <w:rFonts w:hint="eastAsia" w:cs="Times New Roman"/>
                <w:szCs w:val="21"/>
                <w:lang w:val="en-US" w:eastAsia="zh-CN"/>
              </w:rPr>
              <w:t>00040990</w:t>
            </w:r>
          </w:p>
        </w:tc>
      </w:tr>
    </w:tbl>
    <w:p>
      <w:pPr>
        <w:pStyle w:val="3"/>
        <w:adjustRightInd w:val="0"/>
        <w:snapToGrid w:val="0"/>
        <w:spacing w:line="440" w:lineRule="exact"/>
        <w:ind w:firstLine="241" w:firstLineChars="100"/>
        <w:rPr>
          <w:rFonts w:hint="eastAsia" w:hAnsi="宋体"/>
          <w:b/>
          <w:sz w:val="24"/>
          <w:szCs w:val="24"/>
        </w:rPr>
      </w:pPr>
    </w:p>
    <w:p>
      <w:pPr>
        <w:pStyle w:val="3"/>
        <w:adjustRightInd w:val="0"/>
        <w:snapToGrid w:val="0"/>
        <w:spacing w:line="440" w:lineRule="exact"/>
        <w:ind w:firstLine="241" w:firstLineChars="100"/>
        <w:rPr>
          <w:rFonts w:hint="eastAsia" w:hAnsi="宋体"/>
          <w:b/>
          <w:sz w:val="24"/>
          <w:szCs w:val="24"/>
        </w:rPr>
      </w:pPr>
      <w:r>
        <w:rPr>
          <w:rFonts w:hint="eastAsia" w:hAnsi="宋体"/>
          <w:b/>
          <w:sz w:val="24"/>
          <w:szCs w:val="24"/>
        </w:rPr>
        <w:t>（三）土地基本状况</w:t>
      </w:r>
    </w:p>
    <w:p>
      <w:pPr>
        <w:pStyle w:val="3"/>
        <w:adjustRightInd w:val="0"/>
        <w:snapToGrid w:val="0"/>
        <w:spacing w:line="336" w:lineRule="auto"/>
        <w:ind w:left="0" w:leftChars="0" w:firstLine="420" w:firstLineChars="175"/>
        <w:jc w:val="left"/>
        <w:rPr>
          <w:rFonts w:hint="eastAsia" w:hAnsi="宋体"/>
          <w:sz w:val="24"/>
          <w:szCs w:val="24"/>
        </w:rPr>
      </w:pPr>
      <w:r>
        <w:rPr>
          <w:rFonts w:hint="eastAsia" w:hAnsi="宋体"/>
          <w:sz w:val="24"/>
          <w:szCs w:val="24"/>
        </w:rPr>
        <w:t>根据估价委托人提供的资料及估价人员实地查勘情况，估价对象土地基本状况见下表：</w:t>
      </w:r>
    </w:p>
    <w:p>
      <w:pPr>
        <w:pStyle w:val="3"/>
        <w:adjustRightInd w:val="0"/>
        <w:snapToGrid w:val="0"/>
        <w:spacing w:line="336" w:lineRule="auto"/>
        <w:jc w:val="center"/>
        <w:rPr>
          <w:rFonts w:hint="eastAsia" w:hAnsi="宋体"/>
          <w:b/>
          <w:sz w:val="24"/>
          <w:szCs w:val="24"/>
        </w:rPr>
      </w:pPr>
      <w:r>
        <w:rPr>
          <w:rFonts w:hint="eastAsia" w:hAnsi="宋体"/>
          <w:b/>
          <w:sz w:val="24"/>
          <w:szCs w:val="24"/>
        </w:rPr>
        <w:t>估价对象土地基本状况</w:t>
      </w:r>
    </w:p>
    <w:tbl>
      <w:tblPr>
        <w:tblStyle w:val="7"/>
        <w:tblpPr w:leftFromText="180" w:rightFromText="180" w:vertAnchor="text" w:horzAnchor="page" w:tblpX="1778" w:tblpY="305"/>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6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2186" w:type="dxa"/>
            <w:noWrap w:val="0"/>
            <w:vAlign w:val="center"/>
          </w:tcPr>
          <w:p>
            <w:pPr>
              <w:jc w:val="center"/>
              <w:rPr>
                <w:szCs w:val="21"/>
              </w:rPr>
            </w:pPr>
            <w:r>
              <w:rPr>
                <w:szCs w:val="21"/>
              </w:rPr>
              <w:t>项目</w:t>
            </w:r>
          </w:p>
        </w:tc>
        <w:tc>
          <w:tcPr>
            <w:tcW w:w="6336" w:type="dxa"/>
            <w:noWrap w:val="0"/>
            <w:vAlign w:val="center"/>
          </w:tcPr>
          <w:p>
            <w:pPr>
              <w:jc w:val="center"/>
              <w:rPr>
                <w:szCs w:val="21"/>
              </w:rPr>
            </w:pPr>
            <w:r>
              <w:rPr>
                <w:szCs w:val="21"/>
              </w:rPr>
              <w:t>基本状况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186" w:type="dxa"/>
            <w:noWrap w:val="0"/>
            <w:vAlign w:val="center"/>
          </w:tcPr>
          <w:p>
            <w:pPr>
              <w:jc w:val="center"/>
              <w:rPr>
                <w:szCs w:val="21"/>
              </w:rPr>
            </w:pPr>
            <w:r>
              <w:rPr>
                <w:szCs w:val="21"/>
              </w:rPr>
              <w:t>项目名称</w:t>
            </w:r>
          </w:p>
        </w:tc>
        <w:tc>
          <w:tcPr>
            <w:tcW w:w="6336" w:type="dxa"/>
            <w:noWrap w:val="0"/>
            <w:vAlign w:val="center"/>
          </w:tcPr>
          <w:p>
            <w:pPr>
              <w:ind w:left="2835" w:hanging="2835" w:hangingChars="1350"/>
              <w:jc w:val="left"/>
              <w:rPr>
                <w:rFonts w:hint="default" w:ascii="Times New Roman" w:hAnsi="Times New Roman" w:cs="Times New Roman"/>
                <w:szCs w:val="21"/>
              </w:rPr>
            </w:pPr>
            <w:r>
              <w:rPr>
                <w:rFonts w:hint="eastAsia" w:cs="Times New Roman"/>
                <w:szCs w:val="21"/>
                <w:lang w:eastAsia="zh-CN"/>
              </w:rPr>
              <w:t>张</w:t>
            </w:r>
            <w:r>
              <w:rPr>
                <w:rFonts w:hint="eastAsia" w:cs="Times New Roman"/>
                <w:szCs w:val="21"/>
                <w:lang w:val="en-US" w:eastAsia="zh-CN"/>
              </w:rPr>
              <w:t>开放</w:t>
            </w:r>
            <w:r>
              <w:rPr>
                <w:rFonts w:hint="eastAsia" w:cs="Times New Roman"/>
                <w:szCs w:val="21"/>
                <w:lang w:eastAsia="zh-CN"/>
              </w:rPr>
              <w:t>位于乌苏市哈图布呼镇北京路15</w:t>
            </w:r>
            <w:r>
              <w:rPr>
                <w:rFonts w:hint="eastAsia" w:cs="Times New Roman"/>
                <w:szCs w:val="21"/>
                <w:lang w:val="en-US" w:eastAsia="zh-CN"/>
              </w:rPr>
              <w:t>14</w:t>
            </w:r>
            <w:r>
              <w:rPr>
                <w:rFonts w:hint="eastAsia" w:cs="Times New Roman"/>
                <w:szCs w:val="21"/>
                <w:lang w:eastAsia="zh-CN"/>
              </w:rPr>
              <w:t>号</w:t>
            </w:r>
            <w:r>
              <w:rPr>
                <w:rFonts w:hint="default" w:ascii="Times New Roman" w:hAnsi="Times New Roman" w:cs="Times New Roman"/>
                <w:szCs w:val="21"/>
                <w:lang w:eastAsia="zh-CN"/>
              </w:rPr>
              <w:t>的涉案</w:t>
            </w:r>
            <w:r>
              <w:rPr>
                <w:rFonts w:hint="eastAsia" w:cs="Times New Roman"/>
                <w:szCs w:val="21"/>
                <w:lang w:val="en-US" w:eastAsia="zh-CN"/>
              </w:rPr>
              <w:t>住宅</w:t>
            </w:r>
            <w:r>
              <w:rPr>
                <w:rFonts w:hint="default" w:ascii="Times New Roman" w:hAnsi="Times New Roman" w:cs="Times New Roman"/>
                <w:szCs w:val="21"/>
                <w:lang w:eastAsia="zh-CN"/>
              </w:rPr>
              <w:t>房地产市场价值评估报告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186" w:type="dxa"/>
            <w:noWrap w:val="0"/>
            <w:vAlign w:val="center"/>
          </w:tcPr>
          <w:p>
            <w:pPr>
              <w:jc w:val="center"/>
              <w:rPr>
                <w:szCs w:val="21"/>
              </w:rPr>
            </w:pPr>
            <w:r>
              <w:rPr>
                <w:szCs w:val="21"/>
              </w:rPr>
              <w:t>坐落</w:t>
            </w:r>
          </w:p>
        </w:tc>
        <w:tc>
          <w:tcPr>
            <w:tcW w:w="6336" w:type="dxa"/>
            <w:noWrap w:val="0"/>
            <w:vAlign w:val="center"/>
          </w:tcPr>
          <w:p>
            <w:pPr>
              <w:jc w:val="center"/>
              <w:rPr>
                <w:rFonts w:hint="default" w:ascii="Times New Roman" w:hAnsi="Times New Roman" w:cs="Times New Roman"/>
                <w:szCs w:val="21"/>
                <w:highlight w:val="none"/>
                <w:shd w:val="clear" w:color="auto" w:fill="FFFFFF"/>
                <w:lang w:val="en-US" w:eastAsia="zh-CN"/>
              </w:rPr>
            </w:pPr>
            <w:r>
              <w:rPr>
                <w:rFonts w:hint="eastAsia" w:cs="Times New Roman"/>
                <w:szCs w:val="21"/>
                <w:lang w:eastAsia="zh-CN"/>
              </w:rPr>
              <w:t>乌苏市哈图布呼镇北京路15</w:t>
            </w:r>
            <w:r>
              <w:rPr>
                <w:rFonts w:hint="eastAsia" w:cs="Times New Roman"/>
                <w:szCs w:val="21"/>
                <w:lang w:val="en-US" w:eastAsia="zh-CN"/>
              </w:rPr>
              <w:t>14</w:t>
            </w:r>
            <w:r>
              <w:rPr>
                <w:rFonts w:hint="eastAsia" w:cs="Times New Roman"/>
                <w:szCs w:val="21"/>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186" w:type="dxa"/>
            <w:noWrap w:val="0"/>
            <w:vAlign w:val="center"/>
          </w:tcPr>
          <w:p>
            <w:pPr>
              <w:jc w:val="center"/>
              <w:rPr>
                <w:rFonts w:hint="eastAsia" w:eastAsia="宋体"/>
                <w:szCs w:val="21"/>
                <w:lang w:val="en-US" w:eastAsia="zh-CN"/>
              </w:rPr>
            </w:pPr>
            <w:r>
              <w:rPr>
                <w:rFonts w:hint="eastAsia"/>
                <w:szCs w:val="21"/>
                <w:lang w:val="en-US" w:eastAsia="zh-CN"/>
              </w:rPr>
              <w:t>土地使用权证号</w:t>
            </w:r>
          </w:p>
        </w:tc>
        <w:tc>
          <w:tcPr>
            <w:tcW w:w="6336" w:type="dxa"/>
            <w:noWrap w:val="0"/>
            <w:vAlign w:val="center"/>
          </w:tcPr>
          <w:p>
            <w:pPr>
              <w:jc w:val="center"/>
              <w:rPr>
                <w:rFonts w:hint="default" w:ascii="Times New Roman" w:hAnsi="Times New Roman" w:cs="Times New Roman"/>
                <w:szCs w:val="21"/>
                <w:highlight w:val="none"/>
                <w:shd w:val="clear" w:color="auto" w:fill="FFFFFF"/>
                <w:lang w:val="en-US" w:eastAsia="zh-CN"/>
              </w:rPr>
            </w:pPr>
            <w:r>
              <w:rPr>
                <w:rFonts w:hint="eastAsia" w:cs="Times New Roman"/>
                <w:szCs w:val="21"/>
                <w:highlight w:val="none"/>
                <w:shd w:val="clear" w:color="auto" w:fill="FFFFFF"/>
                <w:lang w:val="en-US" w:eastAsia="zh-CN"/>
              </w:rPr>
              <w:t>2014000002657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186" w:type="dxa"/>
            <w:shd w:val="clear" w:color="auto" w:fill="auto"/>
            <w:noWrap w:val="0"/>
            <w:vAlign w:val="center"/>
          </w:tcPr>
          <w:p>
            <w:pPr>
              <w:jc w:val="center"/>
              <w:rPr>
                <w:szCs w:val="21"/>
                <w:highlight w:val="none"/>
              </w:rPr>
            </w:pPr>
            <w:r>
              <w:rPr>
                <w:rFonts w:hint="eastAsia"/>
                <w:szCs w:val="21"/>
                <w:highlight w:val="none"/>
              </w:rPr>
              <w:t>土地使用期限</w:t>
            </w:r>
          </w:p>
        </w:tc>
        <w:tc>
          <w:tcPr>
            <w:tcW w:w="6336" w:type="dxa"/>
            <w:shd w:val="clear" w:color="auto" w:fill="auto"/>
            <w:noWrap w:val="0"/>
            <w:vAlign w:val="center"/>
          </w:tcPr>
          <w:p>
            <w:pPr>
              <w:jc w:val="center"/>
              <w:rPr>
                <w:rFonts w:hint="default" w:ascii="Times New Roman" w:hAnsi="Times New Roman" w:cs="Times New Roman"/>
                <w:szCs w:val="21"/>
                <w:highlight w:val="none"/>
                <w:shd w:val="clear" w:color="auto" w:fill="FFFFFF"/>
                <w:lang w:val="en-US" w:eastAsia="zh-CN"/>
              </w:rPr>
            </w:pPr>
            <w:r>
              <w:rPr>
                <w:rFonts w:hint="eastAsia" w:cs="Times New Roman"/>
                <w:szCs w:val="21"/>
                <w:highlight w:val="none"/>
                <w:shd w:val="clear" w:color="auto" w:fill="FFFFFF"/>
                <w:lang w:val="en-US" w:eastAsia="zh-CN"/>
              </w:rPr>
              <w:t>估价对象土地为划拨，划拨土地使用权没有使用年限的限制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186" w:type="dxa"/>
            <w:noWrap w:val="0"/>
            <w:vAlign w:val="center"/>
          </w:tcPr>
          <w:p>
            <w:pPr>
              <w:tabs>
                <w:tab w:val="left" w:pos="516"/>
              </w:tabs>
              <w:jc w:val="center"/>
              <w:rPr>
                <w:rFonts w:hint="eastAsia" w:eastAsia="宋体"/>
                <w:szCs w:val="21"/>
                <w:lang w:eastAsia="zh-CN"/>
              </w:rPr>
            </w:pPr>
            <w:r>
              <w:rPr>
                <w:rFonts w:hint="eastAsia"/>
                <w:szCs w:val="21"/>
              </w:rPr>
              <w:t>土地使用权面</w:t>
            </w:r>
            <w:r>
              <w:rPr>
                <w:rFonts w:hint="eastAsia"/>
                <w:szCs w:val="21"/>
                <w:lang w:eastAsia="zh-CN"/>
              </w:rPr>
              <w:t>积（㎡）</w:t>
            </w:r>
          </w:p>
        </w:tc>
        <w:tc>
          <w:tcPr>
            <w:tcW w:w="6336" w:type="dxa"/>
            <w:noWrap w:val="0"/>
            <w:vAlign w:val="center"/>
          </w:tcPr>
          <w:p>
            <w:pPr>
              <w:jc w:val="center"/>
              <w:rPr>
                <w:rFonts w:hint="default" w:ascii="Times New Roman" w:hAnsi="Times New Roman" w:cs="Times New Roman"/>
                <w:szCs w:val="21"/>
                <w:highlight w:val="yellow"/>
                <w:shd w:val="clear" w:color="auto" w:fill="FFFFFF"/>
                <w:lang w:val="en-US" w:eastAsia="zh-CN"/>
              </w:rPr>
            </w:pPr>
            <w:r>
              <w:rPr>
                <w:rFonts w:hint="eastAsia" w:cs="Times New Roman"/>
                <w:szCs w:val="21"/>
                <w:highlight w:val="none"/>
                <w:shd w:val="clear" w:color="auto" w:fill="FFFFFF"/>
                <w:lang w:val="en-US" w:eastAsia="zh-CN"/>
              </w:rPr>
              <w:t>814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noWrap w:val="0"/>
            <w:vAlign w:val="center"/>
          </w:tcPr>
          <w:p>
            <w:pPr>
              <w:jc w:val="center"/>
              <w:rPr>
                <w:szCs w:val="21"/>
              </w:rPr>
            </w:pPr>
            <w:r>
              <w:rPr>
                <w:szCs w:val="21"/>
              </w:rPr>
              <w:t>四至</w:t>
            </w:r>
          </w:p>
        </w:tc>
        <w:tc>
          <w:tcPr>
            <w:tcW w:w="6336" w:type="dxa"/>
            <w:noWrap w:val="0"/>
            <w:vAlign w:val="center"/>
          </w:tcPr>
          <w:p>
            <w:pPr>
              <w:jc w:val="center"/>
              <w:rPr>
                <w:rFonts w:hint="eastAsia" w:eastAsia="宋体"/>
                <w:szCs w:val="21"/>
                <w:highlight w:val="yellow"/>
                <w:lang w:val="en-US" w:eastAsia="zh-CN"/>
              </w:rPr>
            </w:pPr>
            <w:r>
              <w:rPr>
                <w:rFonts w:hint="eastAsia"/>
                <w:szCs w:val="21"/>
                <w:highlight w:val="none"/>
                <w:lang w:eastAsia="zh-CN"/>
              </w:rPr>
              <w:t>估价对象</w:t>
            </w:r>
            <w:r>
              <w:rPr>
                <w:rFonts w:hint="eastAsia"/>
                <w:szCs w:val="21"/>
                <w:highlight w:val="none"/>
              </w:rPr>
              <w:t>北至</w:t>
            </w:r>
            <w:r>
              <w:rPr>
                <w:rFonts w:hint="eastAsia"/>
                <w:szCs w:val="21"/>
                <w:highlight w:val="none"/>
                <w:lang w:eastAsia="zh-CN"/>
              </w:rPr>
              <w:t>四棵树站</w:t>
            </w:r>
            <w:r>
              <w:rPr>
                <w:rFonts w:hint="eastAsia"/>
                <w:szCs w:val="21"/>
                <w:highlight w:val="none"/>
              </w:rPr>
              <w:t>，南至</w:t>
            </w:r>
            <w:r>
              <w:rPr>
                <w:rFonts w:hint="eastAsia"/>
                <w:szCs w:val="21"/>
                <w:highlight w:val="none"/>
                <w:lang w:eastAsia="zh-CN"/>
              </w:rPr>
              <w:t>乌苏市锦辉棉业有限责任公司</w:t>
            </w:r>
            <w:r>
              <w:rPr>
                <w:rFonts w:hint="eastAsia"/>
                <w:szCs w:val="21"/>
                <w:highlight w:val="none"/>
              </w:rPr>
              <w:t>，西至</w:t>
            </w:r>
            <w:r>
              <w:rPr>
                <w:rFonts w:hint="eastAsia"/>
                <w:szCs w:val="21"/>
                <w:highlight w:val="none"/>
                <w:lang w:eastAsia="zh-CN"/>
              </w:rPr>
              <w:t>喇叭布愣村</w:t>
            </w:r>
            <w:r>
              <w:rPr>
                <w:rFonts w:hint="eastAsia"/>
                <w:szCs w:val="21"/>
                <w:highlight w:val="none"/>
              </w:rPr>
              <w:t>，东至</w:t>
            </w:r>
            <w:r>
              <w:rPr>
                <w:rFonts w:hint="eastAsia"/>
                <w:szCs w:val="21"/>
                <w:highlight w:val="none"/>
                <w:lang w:eastAsia="zh-CN"/>
              </w:rPr>
              <w:t>普尔塔五队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86" w:type="dxa"/>
            <w:noWrap w:val="0"/>
            <w:vAlign w:val="center"/>
          </w:tcPr>
          <w:p>
            <w:pPr>
              <w:jc w:val="center"/>
              <w:rPr>
                <w:szCs w:val="21"/>
              </w:rPr>
            </w:pPr>
            <w:r>
              <w:rPr>
                <w:szCs w:val="21"/>
              </w:rPr>
              <w:t>开发程度</w:t>
            </w:r>
          </w:p>
        </w:tc>
        <w:tc>
          <w:tcPr>
            <w:tcW w:w="6336" w:type="dxa"/>
            <w:noWrap w:val="0"/>
            <w:vAlign w:val="center"/>
          </w:tcPr>
          <w:p>
            <w:pPr>
              <w:jc w:val="center"/>
              <w:rPr>
                <w:rFonts w:hint="eastAsia" w:eastAsia="宋体"/>
                <w:szCs w:val="21"/>
                <w:lang w:val="en-US" w:eastAsia="zh-CN"/>
              </w:rPr>
            </w:pPr>
            <w:r>
              <w:rPr>
                <w:color w:val="000000" w:themeColor="text1"/>
                <w:szCs w:val="21"/>
                <w:highlight w:val="none"/>
                <w:shd w:val="clear"/>
                <w14:textFill>
                  <w14:solidFill>
                    <w14:schemeClr w14:val="tx1"/>
                  </w14:solidFill>
                </w14:textFill>
              </w:rPr>
              <w:t>宗地内</w:t>
            </w:r>
            <w:r>
              <w:rPr>
                <w:rFonts w:hint="eastAsia"/>
                <w:color w:val="000000" w:themeColor="text1"/>
                <w:szCs w:val="21"/>
                <w:highlight w:val="none"/>
                <w:shd w:val="clear"/>
                <w:lang w:eastAsia="zh-CN"/>
                <w14:textFill>
                  <w14:solidFill>
                    <w14:schemeClr w14:val="tx1"/>
                  </w14:solidFill>
                </w14:textFill>
              </w:rPr>
              <w:t>外达</w:t>
            </w:r>
            <w:r>
              <w:rPr>
                <w:color w:val="000000" w:themeColor="text1"/>
                <w:szCs w:val="21"/>
                <w:highlight w:val="none"/>
                <w:shd w:val="clear"/>
                <w14:textFill>
                  <w14:solidFill>
                    <w14:schemeClr w14:val="tx1"/>
                  </w14:solidFill>
                </w14:textFill>
              </w:rPr>
              <w:t>到“</w:t>
            </w:r>
            <w:r>
              <w:rPr>
                <w:rFonts w:hint="eastAsia"/>
                <w:color w:val="000000" w:themeColor="text1"/>
                <w:szCs w:val="21"/>
                <w:highlight w:val="none"/>
                <w:shd w:val="clear"/>
                <w:lang w:eastAsia="zh-CN"/>
                <w14:textFill>
                  <w14:solidFill>
                    <w14:schemeClr w14:val="tx1"/>
                  </w14:solidFill>
                </w14:textFill>
              </w:rPr>
              <w:t>五</w:t>
            </w:r>
            <w:r>
              <w:rPr>
                <w:color w:val="000000" w:themeColor="text1"/>
                <w:szCs w:val="21"/>
                <w:highlight w:val="none"/>
                <w:shd w:val="clear"/>
                <w14:textFill>
                  <w14:solidFill>
                    <w14:schemeClr w14:val="tx1"/>
                  </w14:solidFill>
                </w14:textFill>
              </w:rPr>
              <w:t>通”（即通电、通路、通上水、通下水、通讯</w:t>
            </w:r>
            <w:r>
              <w:rPr>
                <w:rFonts w:hint="eastAsia"/>
                <w:color w:val="000000" w:themeColor="text1"/>
                <w:szCs w:val="21"/>
                <w:highlight w:val="none"/>
                <w:shd w:val="clear"/>
                <w:lang w:eastAsia="zh-CN"/>
                <w14:textFill>
                  <w14:solidFill>
                    <w14:schemeClr w14:val="tx1"/>
                  </w14:solidFill>
                </w14:textFill>
              </w:rPr>
              <w:t>）</w:t>
            </w:r>
            <w:r>
              <w:rPr>
                <w:rFonts w:hint="eastAsia"/>
                <w:color w:val="000000" w:themeColor="text1"/>
                <w:szCs w:val="21"/>
                <w:highlight w:val="none"/>
                <w:shd w:val="clear"/>
                <w:lang w:val="en-US" w:eastAsia="zh-CN"/>
                <w14:textFill>
                  <w14:solidFill>
                    <w14:schemeClr w14:val="tx1"/>
                  </w14:solidFill>
                </w14:textFill>
              </w:rPr>
              <w:t>和场地平整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186" w:type="dxa"/>
            <w:noWrap w:val="0"/>
            <w:vAlign w:val="center"/>
          </w:tcPr>
          <w:p>
            <w:pPr>
              <w:jc w:val="center"/>
              <w:rPr>
                <w:szCs w:val="21"/>
              </w:rPr>
            </w:pPr>
            <w:r>
              <w:rPr>
                <w:rFonts w:hint="eastAsia"/>
                <w:szCs w:val="21"/>
              </w:rPr>
              <w:t>形状</w:t>
            </w:r>
          </w:p>
        </w:tc>
        <w:tc>
          <w:tcPr>
            <w:tcW w:w="6336" w:type="dxa"/>
            <w:noWrap w:val="0"/>
            <w:vAlign w:val="center"/>
          </w:tcPr>
          <w:p>
            <w:pPr>
              <w:jc w:val="center"/>
              <w:rPr>
                <w:szCs w:val="21"/>
              </w:rPr>
            </w:pPr>
            <w:r>
              <w:rPr>
                <w:szCs w:val="21"/>
              </w:rPr>
              <w:t>估价对象所在</w:t>
            </w:r>
            <w:r>
              <w:rPr>
                <w:rFonts w:hint="eastAsia"/>
                <w:szCs w:val="21"/>
                <w:lang w:val="en-US" w:eastAsia="zh-CN"/>
              </w:rPr>
              <w:t>住宅</w:t>
            </w:r>
            <w:r>
              <w:rPr>
                <w:szCs w:val="21"/>
              </w:rPr>
              <w:t>土地形状为较规则四边形，对土地利用较为有利</w:t>
            </w:r>
          </w:p>
        </w:tc>
      </w:tr>
    </w:tbl>
    <w:p>
      <w:pPr>
        <w:pStyle w:val="3"/>
        <w:adjustRightInd w:val="0"/>
        <w:snapToGrid w:val="0"/>
        <w:spacing w:line="440" w:lineRule="exact"/>
        <w:ind w:left="0" w:leftChars="0" w:firstLine="0" w:firstLineChars="0"/>
        <w:rPr>
          <w:rFonts w:hint="eastAsia" w:hAnsi="宋体"/>
          <w:b/>
          <w:sz w:val="24"/>
          <w:szCs w:val="24"/>
        </w:rPr>
      </w:pPr>
      <w:r>
        <w:rPr>
          <w:rFonts w:hint="eastAsia" w:hAnsi="宋体"/>
          <w:b/>
          <w:color w:val="000000"/>
          <w:sz w:val="24"/>
          <w:szCs w:val="24"/>
        </w:rPr>
        <w:t>（四）建</w:t>
      </w:r>
      <w:r>
        <w:rPr>
          <w:rFonts w:hint="eastAsia" w:hAnsi="宋体"/>
          <w:b/>
          <w:sz w:val="24"/>
          <w:szCs w:val="24"/>
        </w:rPr>
        <w:t>筑物基本状况</w:t>
      </w:r>
    </w:p>
    <w:p>
      <w:pPr>
        <w:pStyle w:val="3"/>
        <w:adjustRightInd w:val="0"/>
        <w:snapToGrid w:val="0"/>
        <w:spacing w:line="336" w:lineRule="auto"/>
        <w:ind w:left="0" w:leftChars="0" w:firstLine="458" w:firstLineChars="191"/>
        <w:rPr>
          <w:rFonts w:hint="eastAsia" w:hAnsi="宋体"/>
          <w:sz w:val="24"/>
          <w:szCs w:val="24"/>
        </w:rPr>
      </w:pPr>
      <w:r>
        <w:rPr>
          <w:rFonts w:hint="eastAsia" w:hAnsi="宋体"/>
          <w:sz w:val="24"/>
          <w:szCs w:val="24"/>
        </w:rPr>
        <w:t>根据估价委托人提供的资料及估价人员实地查勘情况，估价对象建筑物基本状况见下表：</w:t>
      </w:r>
    </w:p>
    <w:p>
      <w:pPr>
        <w:pStyle w:val="3"/>
        <w:adjustRightInd w:val="0"/>
        <w:snapToGrid w:val="0"/>
        <w:spacing w:line="336" w:lineRule="auto"/>
        <w:rPr>
          <w:rFonts w:hint="eastAsia" w:hAnsi="宋体"/>
          <w:sz w:val="24"/>
          <w:szCs w:val="24"/>
        </w:rPr>
      </w:pPr>
    </w:p>
    <w:tbl>
      <w:tblPr>
        <w:tblStyle w:val="7"/>
        <w:tblW w:w="8431" w:type="dxa"/>
        <w:tblInd w:w="0" w:type="dxa"/>
        <w:tblLayout w:type="fixed"/>
        <w:tblCellMar>
          <w:top w:w="0" w:type="dxa"/>
          <w:left w:w="0" w:type="dxa"/>
          <w:bottom w:w="0" w:type="dxa"/>
          <w:right w:w="0" w:type="dxa"/>
        </w:tblCellMar>
      </w:tblPr>
      <w:tblGrid>
        <w:gridCol w:w="1696"/>
        <w:gridCol w:w="6735"/>
      </w:tblGrid>
      <w:tr>
        <w:tblPrEx>
          <w:tblLayout w:type="fixed"/>
          <w:tblCellMar>
            <w:top w:w="0" w:type="dxa"/>
            <w:left w:w="0" w:type="dxa"/>
            <w:bottom w:w="0" w:type="dxa"/>
            <w:right w:w="0" w:type="dxa"/>
          </w:tblCellMar>
        </w:tblPrEx>
        <w:trPr>
          <w:trHeight w:val="300" w:hRule="atLeast"/>
        </w:trPr>
        <w:tc>
          <w:tcPr>
            <w:tcW w:w="8431"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估价对象建筑物基本状况</w:t>
            </w:r>
          </w:p>
        </w:tc>
      </w:tr>
      <w:tr>
        <w:tblPrEx>
          <w:tblLayout w:type="fixed"/>
          <w:tblCellMar>
            <w:top w:w="0" w:type="dxa"/>
            <w:left w:w="0" w:type="dxa"/>
            <w:bottom w:w="0" w:type="dxa"/>
            <w:right w:w="0" w:type="dxa"/>
          </w:tblCellMar>
        </w:tblPrEx>
        <w:trPr>
          <w:trHeight w:val="300" w:hRule="atLeast"/>
        </w:trPr>
        <w:tc>
          <w:tcPr>
            <w:tcW w:w="1696"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建筑结构</w:t>
            </w:r>
          </w:p>
        </w:tc>
        <w:tc>
          <w:tcPr>
            <w:tcW w:w="6735"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砖混</w:t>
            </w:r>
          </w:p>
        </w:tc>
      </w:tr>
      <w:tr>
        <w:tblPrEx>
          <w:tblLayout w:type="fixed"/>
          <w:tblCellMar>
            <w:top w:w="0" w:type="dxa"/>
            <w:left w:w="0" w:type="dxa"/>
            <w:bottom w:w="0" w:type="dxa"/>
            <w:right w:w="0" w:type="dxa"/>
          </w:tblCellMar>
        </w:tblPrEx>
        <w:trPr>
          <w:trHeight w:val="645" w:hRule="atLeast"/>
        </w:trPr>
        <w:tc>
          <w:tcPr>
            <w:tcW w:w="1696"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设施设备</w:t>
            </w:r>
          </w:p>
        </w:tc>
        <w:tc>
          <w:tcPr>
            <w:tcW w:w="67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Style w:val="11"/>
                <w:highlight w:val="none"/>
                <w:lang w:val="en-US" w:eastAsia="zh-CN" w:bidi="ar"/>
              </w:rPr>
              <w:t>估价对象为毛坯房，房内无门、窗、水、电、暖等。</w:t>
            </w:r>
          </w:p>
        </w:tc>
      </w:tr>
      <w:tr>
        <w:tblPrEx>
          <w:tblLayout w:type="fixed"/>
          <w:tblCellMar>
            <w:top w:w="0" w:type="dxa"/>
            <w:left w:w="0" w:type="dxa"/>
            <w:bottom w:w="0" w:type="dxa"/>
            <w:right w:w="0" w:type="dxa"/>
          </w:tblCellMar>
        </w:tblPrEx>
        <w:trPr>
          <w:trHeight w:val="465" w:hRule="atLeast"/>
        </w:trPr>
        <w:tc>
          <w:tcPr>
            <w:tcW w:w="1696"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建成时间</w:t>
            </w:r>
          </w:p>
        </w:tc>
        <w:tc>
          <w:tcPr>
            <w:tcW w:w="67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Times New Roman" w:hAnsi="Times New Roman"/>
                <w:szCs w:val="21"/>
                <w:highlight w:val="none"/>
                <w:lang w:eastAsia="zh-CN"/>
              </w:rPr>
              <w:t>本次估价设定</w:t>
            </w:r>
            <w:r>
              <w:rPr>
                <w:rFonts w:ascii="Times New Roman" w:hAnsi="Times New Roman"/>
                <w:szCs w:val="21"/>
                <w:highlight w:val="none"/>
              </w:rPr>
              <w:t>估价对象修建年代为</w:t>
            </w:r>
            <w:r>
              <w:rPr>
                <w:rFonts w:hint="eastAsia" w:ascii="Times New Roman" w:hAnsi="Times New Roman"/>
                <w:szCs w:val="21"/>
                <w:highlight w:val="none"/>
                <w:lang w:val="en-US" w:eastAsia="zh-CN"/>
              </w:rPr>
              <w:t>201</w:t>
            </w:r>
            <w:r>
              <w:rPr>
                <w:rFonts w:hint="eastAsia"/>
                <w:szCs w:val="21"/>
                <w:highlight w:val="none"/>
                <w:lang w:val="en-US" w:eastAsia="zh-CN"/>
              </w:rPr>
              <w:t>3</w:t>
            </w:r>
            <w:r>
              <w:rPr>
                <w:rFonts w:ascii="Times New Roman" w:hAnsi="Times New Roman"/>
                <w:szCs w:val="21"/>
                <w:highlight w:val="none"/>
              </w:rPr>
              <w:t>年</w:t>
            </w:r>
          </w:p>
        </w:tc>
      </w:tr>
      <w:tr>
        <w:tblPrEx>
          <w:tblLayout w:type="fixed"/>
          <w:tblCellMar>
            <w:top w:w="0" w:type="dxa"/>
            <w:left w:w="0" w:type="dxa"/>
            <w:bottom w:w="0" w:type="dxa"/>
            <w:right w:w="0" w:type="dxa"/>
          </w:tblCellMar>
        </w:tblPrEx>
        <w:trPr>
          <w:trHeight w:val="480" w:hRule="atLeast"/>
        </w:trPr>
        <w:tc>
          <w:tcPr>
            <w:tcW w:w="1696"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使用及维护状况</w:t>
            </w:r>
          </w:p>
        </w:tc>
        <w:tc>
          <w:tcPr>
            <w:tcW w:w="6735"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21"/>
                <w:szCs w:val="21"/>
                <w:u w:val="none"/>
                <w:lang w:val="en-US" w:eastAsia="zh-CN" w:bidi="ar"/>
              </w:rPr>
              <w:t>现状良好，使用正常</w:t>
            </w:r>
          </w:p>
        </w:tc>
      </w:tr>
      <w:tr>
        <w:tblPrEx>
          <w:tblLayout w:type="fixed"/>
          <w:tblCellMar>
            <w:top w:w="0" w:type="dxa"/>
            <w:left w:w="0" w:type="dxa"/>
            <w:bottom w:w="0" w:type="dxa"/>
            <w:right w:w="0" w:type="dxa"/>
          </w:tblCellMar>
        </w:tblPrEx>
        <w:trPr>
          <w:trHeight w:val="1013" w:hRule="atLeast"/>
        </w:trPr>
        <w:tc>
          <w:tcPr>
            <w:tcW w:w="1696"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装饰装修</w:t>
            </w:r>
          </w:p>
        </w:tc>
        <w:tc>
          <w:tcPr>
            <w:tcW w:w="6735" w:type="dxa"/>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估价对象为一套</w:t>
            </w:r>
            <w:r>
              <w:rPr>
                <w:rFonts w:hint="eastAsia" w:ascii="宋体" w:hAnsi="宋体" w:cs="宋体"/>
                <w:i w:val="0"/>
                <w:color w:val="000000"/>
                <w:kern w:val="0"/>
                <w:sz w:val="21"/>
                <w:szCs w:val="21"/>
                <w:u w:val="none"/>
                <w:lang w:val="en-US" w:eastAsia="zh-CN" w:bidi="ar"/>
              </w:rPr>
              <w:t>地上一层的住宅</w:t>
            </w:r>
            <w:r>
              <w:rPr>
                <w:rFonts w:hint="eastAsia" w:ascii="宋体" w:hAnsi="宋体" w:eastAsia="宋体" w:cs="宋体"/>
                <w:i w:val="0"/>
                <w:color w:val="000000"/>
                <w:kern w:val="0"/>
                <w:sz w:val="21"/>
                <w:szCs w:val="21"/>
                <w:u w:val="none"/>
                <w:lang w:val="en-US" w:eastAsia="zh-CN" w:bidi="ar"/>
              </w:rPr>
              <w:t>，其附属设施指室内二次装修。估价对象入户门:</w:t>
            </w:r>
            <w:r>
              <w:rPr>
                <w:rFonts w:hint="eastAsia" w:ascii="宋体" w:hAnsi="宋体" w:eastAsia="宋体" w:cs="宋体"/>
                <w:i w:val="0"/>
                <w:color w:val="000000"/>
                <w:kern w:val="0"/>
                <w:sz w:val="21"/>
                <w:szCs w:val="21"/>
                <w:highlight w:val="none"/>
                <w:u w:val="none"/>
                <w:lang w:val="en-US" w:eastAsia="zh-CN" w:bidi="ar"/>
              </w:rPr>
              <w:t>防盗门</w:t>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外墙一面贴砖、抹灰墙及顶。</w:t>
            </w:r>
          </w:p>
        </w:tc>
      </w:tr>
    </w:tbl>
    <w:p>
      <w:pPr>
        <w:pStyle w:val="3"/>
        <w:keepNext w:val="0"/>
        <w:keepLines w:val="0"/>
        <w:pageBreakBefore w:val="0"/>
        <w:widowControl w:val="0"/>
        <w:kinsoku/>
        <w:wordWrap/>
        <w:overflowPunct/>
        <w:topLinePunct w:val="0"/>
        <w:autoSpaceDE/>
        <w:autoSpaceDN/>
        <w:bidi w:val="0"/>
        <w:adjustRightInd w:val="0"/>
        <w:snapToGrid w:val="0"/>
        <w:spacing w:line="500" w:lineRule="exact"/>
        <w:ind w:left="61" w:leftChars="29" w:firstLine="301" w:firstLineChars="125"/>
        <w:textAlignment w:val="auto"/>
        <w:rPr>
          <w:rFonts w:hint="eastAsia" w:hAnsi="宋体"/>
          <w:b/>
          <w:sz w:val="24"/>
          <w:szCs w:val="24"/>
        </w:rPr>
      </w:pPr>
      <w:bookmarkStart w:id="36" w:name="_Toc340_WPSOffice_Level1"/>
      <w:r>
        <w:rPr>
          <w:rFonts w:hint="eastAsia" w:hAnsi="宋体"/>
          <w:b/>
          <w:sz w:val="24"/>
          <w:szCs w:val="24"/>
        </w:rPr>
        <w:t>五、价值时点</w:t>
      </w:r>
      <w:bookmarkEnd w:id="36"/>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175"/>
        <w:textAlignment w:val="auto"/>
        <w:rPr>
          <w:rFonts w:hint="eastAsia" w:hAnsi="宋体"/>
          <w:sz w:val="24"/>
          <w:szCs w:val="24"/>
        </w:rPr>
      </w:pPr>
      <w:r>
        <w:rPr>
          <w:rFonts w:hint="eastAsia" w:hAnsi="宋体"/>
          <w:sz w:val="24"/>
          <w:szCs w:val="24"/>
          <w:lang w:eastAsia="zh-CN"/>
        </w:rPr>
        <w:t>根据本次估价目的，结合委托方要求，综合确定本次评估价值时点为</w:t>
      </w:r>
      <w:r>
        <w:rPr>
          <w:rFonts w:hint="eastAsia" w:hAnsi="宋体"/>
          <w:sz w:val="24"/>
          <w:szCs w:val="24"/>
          <w:lang w:val="en-US" w:eastAsia="zh-CN"/>
        </w:rPr>
        <w:t>2019年10月17日（实地查勘之日）</w:t>
      </w:r>
      <w:r>
        <w:rPr>
          <w:rFonts w:hint="eastAsia" w:hAnsi="宋体"/>
          <w:sz w:val="24"/>
          <w:szCs w:val="24"/>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422" w:firstLineChars="175"/>
        <w:textAlignment w:val="auto"/>
        <w:rPr>
          <w:rFonts w:hint="eastAsia"/>
        </w:rPr>
      </w:pPr>
      <w:bookmarkStart w:id="37" w:name="_Toc15978_WPSOffice_Level1"/>
      <w:r>
        <w:rPr>
          <w:rFonts w:hint="eastAsia"/>
          <w:b/>
          <w:bCs/>
          <w:sz w:val="24"/>
          <w:szCs w:val="24"/>
        </w:rPr>
        <w:t>六、价值类型</w:t>
      </w:r>
      <w:bookmarkEnd w:id="37"/>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175"/>
        <w:textAlignment w:val="auto"/>
        <w:rPr>
          <w:rFonts w:hint="eastAsia"/>
          <w:sz w:val="24"/>
          <w:szCs w:val="24"/>
        </w:rPr>
      </w:pPr>
      <w:r>
        <w:rPr>
          <w:rFonts w:hint="eastAsia"/>
          <w:sz w:val="24"/>
          <w:szCs w:val="24"/>
        </w:rPr>
        <w:t xml:space="preserve">1、价值类型及定义 </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420" w:firstLineChars="175"/>
        <w:textAlignment w:val="auto"/>
        <w:rPr>
          <w:rFonts w:hint="eastAsia" w:hAnsi="宋体"/>
          <w:sz w:val="24"/>
          <w:szCs w:val="24"/>
          <w:lang w:eastAsia="zh-CN"/>
        </w:rPr>
      </w:pPr>
      <w:r>
        <w:rPr>
          <w:rFonts w:hint="eastAsia" w:hAnsi="宋体"/>
          <w:sz w:val="24"/>
          <w:szCs w:val="24"/>
          <w:lang w:eastAsia="zh-CN"/>
        </w:rPr>
        <w:t>本次估价采用的价值类型为市场价值，是指估价对象经适当营销后，由熟悉情况、谨慎行事且不受强迫的交易双方，以公平交易方式在价值时点自愿进行交易的金额。</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175"/>
        <w:textAlignment w:val="auto"/>
        <w:rPr>
          <w:rFonts w:hint="eastAsia"/>
          <w:sz w:val="24"/>
          <w:szCs w:val="24"/>
        </w:rPr>
      </w:pPr>
      <w:r>
        <w:rPr>
          <w:rFonts w:hint="eastAsia"/>
          <w:sz w:val="24"/>
          <w:szCs w:val="24"/>
        </w:rPr>
        <w:t>2、价值内涵</w:t>
      </w:r>
    </w:p>
    <w:p>
      <w:pPr>
        <w:keepNext w:val="0"/>
        <w:keepLines w:val="0"/>
        <w:pageBreakBefore w:val="0"/>
        <w:widowControl w:val="0"/>
        <w:shd w:val="clear" w:color="auto" w:fill="FFFFFF"/>
        <w:kinsoku/>
        <w:wordWrap/>
        <w:overflowPunct/>
        <w:topLinePunct w:val="0"/>
        <w:autoSpaceDE/>
        <w:autoSpaceDN/>
        <w:bidi w:val="0"/>
        <w:adjustRightInd w:val="0"/>
        <w:snapToGrid w:val="0"/>
        <w:spacing w:line="500" w:lineRule="exact"/>
        <w:ind w:left="0" w:leftChars="0" w:firstLine="420" w:firstLineChars="175"/>
        <w:textAlignment w:val="auto"/>
        <w:rPr>
          <w:rFonts w:hint="eastAsia"/>
          <w:sz w:val="24"/>
          <w:szCs w:val="24"/>
        </w:rPr>
      </w:pPr>
      <w:r>
        <w:rPr>
          <w:rFonts w:hint="eastAsia"/>
          <w:sz w:val="24"/>
          <w:szCs w:val="24"/>
        </w:rPr>
        <w:t>本次估价结果包含了估价对象房产</w:t>
      </w:r>
      <w:r>
        <w:rPr>
          <w:rFonts w:hint="eastAsia"/>
          <w:sz w:val="24"/>
          <w:szCs w:val="24"/>
          <w:lang w:eastAsia="zh-CN"/>
        </w:rPr>
        <w:t>、</w:t>
      </w:r>
      <w:r>
        <w:rPr>
          <w:rFonts w:hint="eastAsia"/>
          <w:sz w:val="24"/>
          <w:szCs w:val="24"/>
        </w:rPr>
        <w:t>二次装修及其土地使用权价值，不包含室内的动产</w:t>
      </w:r>
      <w:r>
        <w:rPr>
          <w:rFonts w:hint="eastAsia"/>
          <w:sz w:val="24"/>
          <w:szCs w:val="24"/>
          <w:lang w:eastAsia="zh-CN"/>
        </w:rPr>
        <w:t>、债权债务等其他财产权利</w:t>
      </w:r>
      <w:r>
        <w:rPr>
          <w:rFonts w:hint="eastAsia"/>
          <w:sz w:val="24"/>
          <w:szCs w:val="24"/>
        </w:rPr>
        <w:t>。</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22" w:firstLineChars="175"/>
        <w:textAlignment w:val="auto"/>
        <w:rPr>
          <w:rFonts w:hint="eastAsia" w:hAnsi="宋体"/>
          <w:b/>
          <w:sz w:val="24"/>
          <w:szCs w:val="24"/>
        </w:rPr>
      </w:pPr>
      <w:bookmarkStart w:id="38" w:name="_Toc7338_WPSOffice_Level1"/>
      <w:r>
        <w:rPr>
          <w:rFonts w:hint="eastAsia" w:hAnsi="宋体"/>
          <w:b/>
          <w:sz w:val="24"/>
          <w:szCs w:val="24"/>
        </w:rPr>
        <w:t>七、估价原则</w:t>
      </w:r>
      <w:bookmarkEnd w:id="38"/>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175"/>
        <w:textAlignment w:val="auto"/>
        <w:rPr>
          <w:rFonts w:hAnsi="宋体"/>
          <w:sz w:val="24"/>
          <w:szCs w:val="24"/>
        </w:rPr>
      </w:pPr>
      <w:r>
        <w:rPr>
          <w:rFonts w:hint="eastAsia" w:hAnsi="宋体"/>
          <w:sz w:val="24"/>
          <w:szCs w:val="24"/>
        </w:rPr>
        <w:t>本评估报告遵循独立、客观、公正原则、合法原则、价值时点原则、替代原则、最高最佳利用原则等房地产估价原则。</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175"/>
        <w:textAlignment w:val="auto"/>
        <w:rPr>
          <w:rFonts w:hint="eastAsia" w:hAnsi="宋体"/>
          <w:sz w:val="24"/>
          <w:szCs w:val="24"/>
        </w:rPr>
      </w:pPr>
      <w:r>
        <w:rPr>
          <w:rFonts w:hint="eastAsia" w:hAnsi="宋体"/>
          <w:sz w:val="24"/>
          <w:szCs w:val="24"/>
        </w:rPr>
        <w:t>1. 独立、客观、公正原则</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175"/>
        <w:textAlignment w:val="auto"/>
        <w:rPr>
          <w:rFonts w:hint="eastAsia" w:hAnsi="宋体"/>
          <w:sz w:val="24"/>
          <w:szCs w:val="24"/>
        </w:rPr>
      </w:pPr>
      <w:r>
        <w:rPr>
          <w:rFonts w:hint="eastAsia" w:hAnsi="宋体"/>
          <w:sz w:val="24"/>
          <w:szCs w:val="24"/>
        </w:rPr>
        <w:t>独立、客观、公正原则要求房地产估价师站在中立的立场，评估出对各方当事人来说均是公平合理的价格。</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20" w:firstLineChars="175"/>
        <w:textAlignment w:val="auto"/>
        <w:rPr>
          <w:rFonts w:hint="eastAsia" w:hAnsi="宋体"/>
          <w:sz w:val="24"/>
          <w:szCs w:val="24"/>
        </w:rPr>
      </w:pPr>
      <w:r>
        <w:rPr>
          <w:rFonts w:hint="eastAsia" w:hAnsi="宋体"/>
          <w:sz w:val="24"/>
          <w:szCs w:val="24"/>
        </w:rPr>
        <w:t>2.合法原则:要求评估价值是在依法判定的估价对象状况下的价值或价格。遵循合法原则并不意味着只有合法的房地产才能成为估价对象，而是指依法判定估价对象是哪种状况下的房地产，就应将其作为那种状况下的房地产来估价。</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3. 价值时点原则: 遵循价值时点原则，要求估价结果应是在根据估价目的确定的某一特定时间的客观合理价格或价值。</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4. 替代原则:遵循替代原则，要求估价结果不得明显偏离类似房地产在同等条件下的正常价格。在同一供求圈内，在用途、规模、档次、建筑结构等方面类似的房地产之间具有相互影响作用，其价格会相互影响而趋于一致。</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5.最高最佳使用原则: 遵循最高最佳使用原则，应以估价对象的最高最佳使用为前提估价。在合法使用前提下，房地产只有在最高最佳使用状态下才能发挥最大效用。最高最佳使用应是法律上允许、技术上可能、经济上可行，经过充分合理的论证，能使估价对象产生最高价值的使用方式。</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2" w:firstLineChars="200"/>
        <w:textAlignment w:val="auto"/>
        <w:rPr>
          <w:rFonts w:hint="eastAsia" w:hAnsi="宋体"/>
          <w:b/>
          <w:sz w:val="24"/>
          <w:szCs w:val="24"/>
        </w:rPr>
      </w:pPr>
      <w:bookmarkStart w:id="39" w:name="_Toc24105_WPSOffice_Level1"/>
      <w:r>
        <w:rPr>
          <w:rFonts w:hint="eastAsia" w:hAnsi="宋体"/>
          <w:b/>
          <w:sz w:val="24"/>
          <w:szCs w:val="24"/>
        </w:rPr>
        <w:t>八、估价依据</w:t>
      </w:r>
      <w:bookmarkEnd w:id="39"/>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1.法律、法规和政策性文件</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ascii="Calibri" w:hAnsi="Calibri" w:cs="Calibri"/>
          <w:sz w:val="24"/>
          <w:szCs w:val="24"/>
        </w:rPr>
        <w:t>①</w:t>
      </w:r>
      <w:r>
        <w:rPr>
          <w:rFonts w:hint="eastAsia" w:hAnsi="宋体"/>
          <w:sz w:val="24"/>
          <w:szCs w:val="24"/>
        </w:rPr>
        <w:t>《中华人民共和国城市房地产管理法》；</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②《中华人民共和国土地管理法》及施行细则；</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ascii="Calibri" w:hAnsi="Calibri" w:cs="Calibri"/>
          <w:sz w:val="24"/>
          <w:szCs w:val="24"/>
        </w:rPr>
        <w:t>③</w:t>
      </w:r>
      <w:r>
        <w:rPr>
          <w:rFonts w:hint="eastAsia" w:hAnsi="宋体"/>
          <w:sz w:val="24"/>
          <w:szCs w:val="24"/>
        </w:rPr>
        <w:t>《中华人民共和国城乡规划法》；</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④《中华人民共和国物权法》及最高人民法院的司法解释；</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⑤《中华人民共和国资产评估法》；</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eastAsia="宋体"/>
          <w:sz w:val="24"/>
          <w:szCs w:val="24"/>
          <w:lang w:eastAsia="zh-CN"/>
        </w:rPr>
      </w:pPr>
      <w:r>
        <w:rPr>
          <w:rFonts w:hint="eastAsia" w:hAnsi="宋体"/>
          <w:sz w:val="24"/>
          <w:szCs w:val="24"/>
          <w:lang w:eastAsia="zh-CN"/>
        </w:rPr>
        <w:t>⑥《最高人民法院关于人民法院委托评估、拍卖和变卖工作的若干规定》；</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2.技术标准、规程、规范</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ascii="Calibri" w:hAnsi="Calibri" w:cs="Calibri"/>
          <w:sz w:val="24"/>
          <w:szCs w:val="24"/>
        </w:rPr>
        <w:t>①</w:t>
      </w:r>
      <w:r>
        <w:rPr>
          <w:rFonts w:hint="eastAsia" w:hAnsi="宋体"/>
          <w:sz w:val="24"/>
          <w:szCs w:val="24"/>
        </w:rPr>
        <w:t>中华人民共和国国家标准《房地产估价规范》GB/T 50291-2015；</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②《房地产估价基本术语标准》GB/T 50899-2013；</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ascii="Calibri" w:hAnsi="Calibri" w:cs="Calibri"/>
          <w:sz w:val="24"/>
          <w:szCs w:val="24"/>
        </w:rPr>
        <w:t>③</w:t>
      </w:r>
      <w:r>
        <w:rPr>
          <w:rFonts w:hint="eastAsia" w:hAnsi="宋体"/>
          <w:sz w:val="24"/>
          <w:szCs w:val="24"/>
        </w:rPr>
        <w:t>《城镇土地估价规程》；GB/T 18508-2014；</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3.委托方提供的相关资料</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highlight w:val="none"/>
        </w:rPr>
      </w:pPr>
      <w:r>
        <w:rPr>
          <w:rFonts w:hint="eastAsia" w:hAnsi="宋体"/>
          <w:sz w:val="24"/>
          <w:szCs w:val="24"/>
        </w:rPr>
        <w:t>①</w:t>
      </w:r>
      <w:r>
        <w:rPr>
          <w:rFonts w:hint="eastAsia" w:hAnsi="宋体"/>
          <w:sz w:val="24"/>
          <w:szCs w:val="24"/>
          <w:highlight w:val="none"/>
        </w:rPr>
        <w:t>《</w:t>
      </w:r>
      <w:r>
        <w:rPr>
          <w:rFonts w:hint="eastAsia" w:hAnsi="宋体"/>
          <w:sz w:val="24"/>
          <w:szCs w:val="24"/>
          <w:highlight w:val="none"/>
          <w:lang w:eastAsia="zh-CN"/>
        </w:rPr>
        <w:t>乌苏市人民法院委托书</w:t>
      </w:r>
      <w:r>
        <w:rPr>
          <w:rFonts w:hint="eastAsia" w:hAnsi="宋体"/>
          <w:sz w:val="24"/>
          <w:szCs w:val="24"/>
          <w:highlight w:val="none"/>
        </w:rPr>
        <w:t>》；</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eastAsia="宋体"/>
          <w:sz w:val="24"/>
          <w:szCs w:val="24"/>
          <w:lang w:eastAsia="zh-CN"/>
        </w:rPr>
      </w:pPr>
      <w:r>
        <w:rPr>
          <w:rFonts w:hint="eastAsia" w:hAnsi="宋体"/>
          <w:sz w:val="24"/>
          <w:szCs w:val="24"/>
          <w:highlight w:val="none"/>
        </w:rPr>
        <w:t>②</w:t>
      </w:r>
      <w:r>
        <w:rPr>
          <w:rFonts w:hint="eastAsia" w:hAnsi="宋体"/>
          <w:sz w:val="24"/>
          <w:szCs w:val="24"/>
          <w:lang w:eastAsia="zh-CN"/>
        </w:rPr>
        <w:t>《乌苏市房屋登记信息查询结果》复印件；</w:t>
      </w:r>
    </w:p>
    <w:p>
      <w:pPr>
        <w:pStyle w:val="3"/>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hint="eastAsia" w:hAnsi="宋体"/>
          <w:sz w:val="24"/>
          <w:szCs w:val="24"/>
        </w:rPr>
      </w:pPr>
      <w:r>
        <w:rPr>
          <w:rFonts w:hint="eastAsia" w:hAnsi="宋体"/>
          <w:sz w:val="24"/>
          <w:szCs w:val="24"/>
        </w:rPr>
        <w:t>4.估价人员调查收集的相关资料</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①估价人员现场查勘和估价机构掌握的其他相关资料；</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80" w:firstLineChars="200"/>
        <w:textAlignment w:val="auto"/>
        <w:rPr>
          <w:rFonts w:hint="eastAsia" w:hAnsi="宋体"/>
          <w:sz w:val="24"/>
          <w:szCs w:val="24"/>
        </w:rPr>
      </w:pPr>
      <w:r>
        <w:rPr>
          <w:rFonts w:hint="eastAsia" w:hAnsi="宋体"/>
          <w:sz w:val="24"/>
          <w:szCs w:val="24"/>
        </w:rPr>
        <w:t>②估价对象所在区域的房地产市场状况、同类房地产市场交易等数据资料。</w:t>
      </w:r>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Chars="0" w:firstLine="482" w:firstLineChars="200"/>
        <w:textAlignment w:val="auto"/>
        <w:rPr>
          <w:rFonts w:hint="eastAsia" w:hAnsi="宋体"/>
          <w:b/>
          <w:sz w:val="24"/>
          <w:szCs w:val="24"/>
        </w:rPr>
      </w:pPr>
      <w:bookmarkStart w:id="40" w:name="_Toc1543_WPSOffice_Level1"/>
      <w:r>
        <w:rPr>
          <w:rFonts w:hint="eastAsia" w:hAnsi="宋体"/>
          <w:b/>
          <w:sz w:val="24"/>
          <w:szCs w:val="24"/>
          <w:lang w:val="en-US" w:eastAsia="zh-CN"/>
        </w:rPr>
        <w:t xml:space="preserve">九、 </w:t>
      </w:r>
      <w:r>
        <w:rPr>
          <w:rFonts w:hint="eastAsia" w:hAnsi="宋体"/>
          <w:b/>
          <w:sz w:val="24"/>
          <w:szCs w:val="24"/>
        </w:rPr>
        <w:t>估价方法</w:t>
      </w:r>
      <w:bookmarkEnd w:id="40"/>
    </w:p>
    <w:p>
      <w:pPr>
        <w:pStyle w:val="3"/>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left="0" w:leftChars="0" w:firstLine="0" w:firstLineChars="0"/>
        <w:textAlignment w:val="auto"/>
        <w:rPr>
          <w:rFonts w:hint="eastAsia" w:hAnsi="宋体"/>
          <w:sz w:val="24"/>
          <w:szCs w:val="24"/>
        </w:rPr>
      </w:pPr>
      <w:r>
        <w:rPr>
          <w:rFonts w:hint="eastAsia" w:hAnsi="宋体"/>
          <w:sz w:val="24"/>
          <w:szCs w:val="24"/>
        </w:rPr>
        <w:t xml:space="preserve">  </w:t>
      </w:r>
      <w:r>
        <w:rPr>
          <w:rFonts w:hint="eastAsia" w:hAnsi="宋体"/>
          <w:sz w:val="24"/>
          <w:szCs w:val="24"/>
          <w:lang w:val="en-US" w:eastAsia="zh-CN"/>
        </w:rPr>
        <w:t xml:space="preserve">  </w:t>
      </w:r>
      <w:r>
        <w:rPr>
          <w:rFonts w:hint="eastAsia" w:hAnsi="宋体"/>
          <w:sz w:val="24"/>
          <w:szCs w:val="24"/>
        </w:rPr>
        <w:t>房地产估价师认真分析所掌握的资料结合周边同类房地产市场状况，结合估价对象的具体特点及估价目的，</w:t>
      </w:r>
      <w:r>
        <w:rPr>
          <w:rFonts w:hint="eastAsia" w:hAnsi="宋体"/>
          <w:sz w:val="24"/>
          <w:szCs w:val="24"/>
          <w:lang w:eastAsia="zh-CN"/>
        </w:rPr>
        <w:t>估价对象选用</w:t>
      </w:r>
      <w:r>
        <w:rPr>
          <w:rFonts w:hint="eastAsia" w:hAnsi="宋体"/>
          <w:sz w:val="24"/>
          <w:szCs w:val="24"/>
          <w:lang w:val="en-US" w:eastAsia="zh-CN"/>
        </w:rPr>
        <w:t>成本法</w:t>
      </w:r>
      <w:r>
        <w:rPr>
          <w:rFonts w:hint="eastAsia" w:hAnsi="宋体"/>
          <w:sz w:val="24"/>
          <w:szCs w:val="24"/>
        </w:rPr>
        <w:t>进行评估。</w:t>
      </w:r>
    </w:p>
    <w:p>
      <w:pPr>
        <w:pStyle w:val="3"/>
        <w:adjustRightInd w:val="0"/>
        <w:ind w:firstLine="480" w:firstLineChars="200"/>
        <w:rPr>
          <w:rFonts w:hint="eastAsia" w:hAnsi="宋体"/>
          <w:sz w:val="24"/>
          <w:szCs w:val="24"/>
          <w:highlight w:val="yellow"/>
        </w:rPr>
      </w:pPr>
      <w:r>
        <w:rPr>
          <w:rFonts w:hint="eastAsia" w:hAnsi="宋体"/>
          <w:sz w:val="24"/>
          <w:szCs w:val="24"/>
          <w:lang w:val="en-US" w:eastAsia="zh-CN"/>
        </w:rPr>
        <w:t>成本法</w:t>
      </w:r>
      <w:r>
        <w:rPr>
          <w:rFonts w:hint="eastAsia" w:hAnsi="宋体"/>
          <w:sz w:val="24"/>
          <w:szCs w:val="24"/>
        </w:rPr>
        <w:t>：成本法定义：是测算估价对象在价值时点的重置成本或重建成本和折旧，将重置成本或重建成本减去折旧得到估价对象价值或价格的方法。</w:t>
      </w:r>
    </w:p>
    <w:p>
      <w:pPr>
        <w:pStyle w:val="3"/>
        <w:keepNext w:val="0"/>
        <w:keepLines w:val="0"/>
        <w:pageBreakBefore w:val="0"/>
        <w:widowControl w:val="0"/>
        <w:kinsoku/>
        <w:wordWrap/>
        <w:overflowPunct/>
        <w:topLinePunct w:val="0"/>
        <w:autoSpaceDE/>
        <w:autoSpaceDN/>
        <w:bidi w:val="0"/>
        <w:adjustRightInd w:val="0"/>
        <w:snapToGrid w:val="0"/>
        <w:spacing w:line="500" w:lineRule="exact"/>
        <w:ind w:left="0" w:leftChars="0" w:firstLine="422" w:firstLineChars="175"/>
        <w:textAlignment w:val="auto"/>
        <w:rPr>
          <w:rFonts w:hint="eastAsia" w:hAnsi="宋体"/>
          <w:b/>
          <w:sz w:val="24"/>
          <w:szCs w:val="24"/>
        </w:rPr>
      </w:pPr>
      <w:bookmarkStart w:id="41" w:name="_Toc21073_WPSOffice_Level1"/>
      <w:r>
        <w:rPr>
          <w:rFonts w:hint="eastAsia" w:hAnsi="宋体"/>
          <w:b/>
          <w:sz w:val="24"/>
          <w:szCs w:val="24"/>
        </w:rPr>
        <w:t>十、估价结果</w:t>
      </w:r>
      <w:bookmarkEnd w:id="41"/>
    </w:p>
    <w:p>
      <w:pPr>
        <w:pStyle w:val="3"/>
        <w:snapToGrid w:val="0"/>
        <w:spacing w:line="400" w:lineRule="exact"/>
        <w:ind w:firstLine="480" w:firstLineChars="200"/>
        <w:rPr>
          <w:rFonts w:hint="eastAsia" w:hAnsi="宋体"/>
          <w:sz w:val="24"/>
          <w:szCs w:val="24"/>
        </w:rPr>
      </w:pPr>
      <w:r>
        <w:rPr>
          <w:rFonts w:hint="eastAsia" w:hAnsi="宋体"/>
          <w:sz w:val="24"/>
          <w:szCs w:val="24"/>
        </w:rPr>
        <w:t>估价人员根据估价目的，遵照《中华人民共和国城市房地产管理法》、国家标准《房地产估价规范》等法律法规和技术标准，遵循独立、客观、公正、合法、谨慎等估价原则，按照法定的估价工作程序，运用科学的估价方法，在对估价对象实地查勘以后，认真分析现有文件、资料的基础上，评估得出估价对象在价值时点</w:t>
      </w:r>
      <w:r>
        <w:rPr>
          <w:rFonts w:hint="eastAsia" w:hAnsi="宋体"/>
          <w:sz w:val="24"/>
          <w:szCs w:val="24"/>
          <w:lang w:eastAsia="zh-CN"/>
        </w:rPr>
        <w:t>（2019年</w:t>
      </w:r>
      <w:r>
        <w:rPr>
          <w:rFonts w:hint="eastAsia" w:hAnsi="宋体"/>
          <w:sz w:val="24"/>
          <w:szCs w:val="24"/>
          <w:lang w:val="en-US" w:eastAsia="zh-CN"/>
        </w:rPr>
        <w:t>10</w:t>
      </w:r>
      <w:r>
        <w:rPr>
          <w:rFonts w:hint="eastAsia" w:hAnsi="宋体"/>
          <w:sz w:val="24"/>
          <w:szCs w:val="24"/>
          <w:lang w:eastAsia="zh-CN"/>
        </w:rPr>
        <w:t>月</w:t>
      </w:r>
      <w:r>
        <w:rPr>
          <w:rFonts w:hint="eastAsia" w:hAnsi="宋体"/>
          <w:sz w:val="24"/>
          <w:szCs w:val="24"/>
          <w:lang w:val="en-US" w:eastAsia="zh-CN"/>
        </w:rPr>
        <w:t>17</w:t>
      </w:r>
      <w:r>
        <w:rPr>
          <w:rFonts w:hint="eastAsia" w:hAnsi="宋体"/>
          <w:sz w:val="24"/>
          <w:szCs w:val="24"/>
          <w:lang w:eastAsia="zh-CN"/>
        </w:rPr>
        <w:t>日）</w:t>
      </w:r>
      <w:r>
        <w:rPr>
          <w:rFonts w:hint="eastAsia" w:hAnsi="宋体"/>
          <w:sz w:val="24"/>
          <w:szCs w:val="24"/>
        </w:rPr>
        <w:t>满足本次估价的全部假设和限制条件下的估价结果。估价结果如下表所示：</w:t>
      </w:r>
    </w:p>
    <w:p>
      <w:pPr>
        <w:pStyle w:val="3"/>
        <w:snapToGrid w:val="0"/>
        <w:spacing w:line="440" w:lineRule="exact"/>
        <w:ind w:firstLine="480"/>
        <w:jc w:val="center"/>
        <w:rPr>
          <w:rFonts w:hint="eastAsia" w:hAnsi="宋体"/>
          <w:b/>
          <w:color w:val="auto"/>
          <w:sz w:val="28"/>
          <w:szCs w:val="28"/>
          <w:highlight w:val="none"/>
        </w:rPr>
      </w:pPr>
      <w:r>
        <w:rPr>
          <w:rFonts w:hint="eastAsia" w:hAnsi="宋体"/>
          <w:b/>
          <w:color w:val="auto"/>
          <w:sz w:val="28"/>
          <w:szCs w:val="28"/>
          <w:highlight w:val="none"/>
        </w:rPr>
        <w:t>估价结果汇总表</w:t>
      </w:r>
    </w:p>
    <w:p>
      <w:pPr>
        <w:pStyle w:val="3"/>
        <w:snapToGrid w:val="0"/>
        <w:spacing w:line="440" w:lineRule="exact"/>
        <w:jc w:val="both"/>
        <w:rPr>
          <w:rFonts w:hint="default" w:hAnsi="宋体"/>
          <w:sz w:val="24"/>
          <w:szCs w:val="24"/>
          <w:lang w:val="en-US" w:eastAsia="zh-CN"/>
        </w:rPr>
      </w:pPr>
      <w:r>
        <w:rPr>
          <w:rFonts w:hint="eastAsia" w:hAnsi="宋体"/>
          <w:sz w:val="24"/>
          <w:szCs w:val="24"/>
          <w:lang w:val="en-US" w:eastAsia="zh-CN"/>
        </w:rPr>
        <w:t xml:space="preserve">                                                        （币种：人民币） </w:t>
      </w:r>
    </w:p>
    <w:tbl>
      <w:tblPr>
        <w:tblStyle w:val="7"/>
        <w:tblpPr w:leftFromText="180" w:rightFromText="180" w:vertAnchor="text" w:horzAnchor="page" w:tblpX="1785" w:tblpY="313"/>
        <w:tblOverlap w:val="never"/>
        <w:tblW w:w="84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249"/>
        <w:gridCol w:w="2591"/>
        <w:gridCol w:w="2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0" w:hRule="atLeast"/>
        </w:trPr>
        <w:tc>
          <w:tcPr>
            <w:tcW w:w="3249" w:type="dxa"/>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 xml:space="preserve">          项目</w:t>
            </w:r>
          </w:p>
          <w:p>
            <w:pPr>
              <w:keepNext w:val="0"/>
              <w:keepLines w:val="0"/>
              <w:widowControl/>
              <w:suppressLineNumbers w:val="0"/>
              <w:ind w:firstLine="720" w:firstLineChars="300"/>
              <w:jc w:val="both"/>
              <w:textAlignment w:val="bottom"/>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结果</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土地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32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单价(元/平方米)</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1009</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32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面积(平方米)</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32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总价(元)</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245187</w:t>
            </w:r>
          </w:p>
        </w:tc>
        <w:tc>
          <w:tcPr>
            <w:tcW w:w="259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color w:val="000000"/>
                <w:sz w:val="24"/>
                <w:szCs w:val="24"/>
                <w:u w:val="none"/>
                <w:lang w:val="en-US"/>
              </w:rPr>
            </w:pPr>
            <w:r>
              <w:rPr>
                <w:rFonts w:hint="eastAsia" w:ascii="宋体" w:hAnsi="宋体" w:cs="宋体"/>
                <w:i w:val="0"/>
                <w:color w:val="000000"/>
                <w:kern w:val="0"/>
                <w:sz w:val="24"/>
                <w:szCs w:val="24"/>
                <w:u w:val="none"/>
                <w:lang w:val="en-US" w:eastAsia="zh-CN" w:bidi="ar"/>
              </w:rPr>
              <w:t>65120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32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合计(元)</w:t>
            </w:r>
          </w:p>
        </w:tc>
        <w:tc>
          <w:tcPr>
            <w:tcW w:w="518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310307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91" w:hRule="atLeast"/>
        </w:trPr>
        <w:tc>
          <w:tcPr>
            <w:tcW w:w="324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大写(元)</w:t>
            </w:r>
          </w:p>
        </w:tc>
        <w:tc>
          <w:tcPr>
            <w:tcW w:w="5182"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dotted"/>
                <w:lang w:val="en-US" w:eastAsia="zh-CN" w:bidi="ar"/>
              </w:rPr>
              <w:t>叁拾壹万零叁佰零柒</w:t>
            </w:r>
          </w:p>
        </w:tc>
      </w:tr>
    </w:tbl>
    <w:p>
      <w:pPr>
        <w:pStyle w:val="3"/>
        <w:snapToGrid w:val="0"/>
        <w:spacing w:line="400" w:lineRule="exact"/>
        <w:rPr>
          <w:rFonts w:hint="eastAsia" w:hAnsi="宋体"/>
          <w:b/>
          <w:sz w:val="24"/>
          <w:szCs w:val="24"/>
        </w:rPr>
      </w:pPr>
    </w:p>
    <w:p>
      <w:pPr>
        <w:pStyle w:val="3"/>
        <w:snapToGrid w:val="0"/>
        <w:spacing w:line="400" w:lineRule="exact"/>
        <w:rPr>
          <w:rFonts w:hint="eastAsia" w:hAnsi="宋体"/>
          <w:b/>
          <w:sz w:val="24"/>
          <w:szCs w:val="24"/>
        </w:rPr>
      </w:pPr>
    </w:p>
    <w:p>
      <w:pPr>
        <w:pStyle w:val="3"/>
        <w:snapToGrid w:val="0"/>
        <w:spacing w:line="400" w:lineRule="exact"/>
        <w:rPr>
          <w:rFonts w:hint="eastAsia" w:hAnsi="宋体"/>
          <w:b/>
          <w:sz w:val="24"/>
          <w:szCs w:val="24"/>
        </w:rPr>
      </w:pPr>
      <w:bookmarkStart w:id="42" w:name="_Toc28791_WPSOffice_Level1"/>
      <w:r>
        <w:rPr>
          <w:rFonts w:hint="eastAsia" w:hAnsi="宋体"/>
          <w:b/>
          <w:sz w:val="24"/>
          <w:szCs w:val="24"/>
        </w:rPr>
        <w:t>十一、注册房地产估价师</w:t>
      </w:r>
      <w:bookmarkEnd w:id="42"/>
    </w:p>
    <w:tbl>
      <w:tblPr>
        <w:tblStyle w:val="7"/>
        <w:tblW w:w="86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4"/>
        <w:gridCol w:w="2535"/>
        <w:gridCol w:w="2246"/>
        <w:gridCol w:w="26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3" w:hRule="atLeast"/>
        </w:trPr>
        <w:tc>
          <w:tcPr>
            <w:tcW w:w="1224" w:type="dxa"/>
            <w:noWrap w:val="0"/>
            <w:vAlign w:val="center"/>
          </w:tcPr>
          <w:p>
            <w:pPr>
              <w:tabs>
                <w:tab w:val="left" w:pos="540"/>
                <w:tab w:val="left" w:pos="1080"/>
              </w:tabs>
              <w:snapToGrid w:val="0"/>
              <w:spacing w:line="500" w:lineRule="exact"/>
              <w:jc w:val="center"/>
              <w:rPr>
                <w:kern w:val="0"/>
                <w:szCs w:val="21"/>
              </w:rPr>
            </w:pPr>
            <w:r>
              <w:rPr>
                <w:kern w:val="0"/>
                <w:szCs w:val="21"/>
              </w:rPr>
              <w:t>姓名</w:t>
            </w:r>
          </w:p>
        </w:tc>
        <w:tc>
          <w:tcPr>
            <w:tcW w:w="2535" w:type="dxa"/>
            <w:noWrap w:val="0"/>
            <w:vAlign w:val="center"/>
          </w:tcPr>
          <w:p>
            <w:pPr>
              <w:tabs>
                <w:tab w:val="left" w:pos="540"/>
                <w:tab w:val="left" w:pos="1080"/>
              </w:tabs>
              <w:snapToGrid w:val="0"/>
              <w:spacing w:line="500" w:lineRule="exact"/>
              <w:jc w:val="center"/>
              <w:rPr>
                <w:kern w:val="0"/>
                <w:szCs w:val="21"/>
              </w:rPr>
            </w:pPr>
            <w:r>
              <w:rPr>
                <w:kern w:val="0"/>
                <w:szCs w:val="21"/>
              </w:rPr>
              <w:t>注册号</w:t>
            </w:r>
          </w:p>
        </w:tc>
        <w:tc>
          <w:tcPr>
            <w:tcW w:w="2246" w:type="dxa"/>
            <w:noWrap w:val="0"/>
            <w:vAlign w:val="center"/>
          </w:tcPr>
          <w:p>
            <w:pPr>
              <w:tabs>
                <w:tab w:val="left" w:pos="540"/>
                <w:tab w:val="left" w:pos="1080"/>
              </w:tabs>
              <w:snapToGrid w:val="0"/>
              <w:spacing w:line="500" w:lineRule="exact"/>
              <w:jc w:val="center"/>
              <w:rPr>
                <w:kern w:val="0"/>
                <w:szCs w:val="21"/>
              </w:rPr>
            </w:pPr>
            <w:r>
              <w:rPr>
                <w:kern w:val="0"/>
                <w:szCs w:val="21"/>
              </w:rPr>
              <w:t>签名</w:t>
            </w:r>
          </w:p>
        </w:tc>
        <w:tc>
          <w:tcPr>
            <w:tcW w:w="2612" w:type="dxa"/>
            <w:noWrap w:val="0"/>
            <w:vAlign w:val="center"/>
          </w:tcPr>
          <w:p>
            <w:pPr>
              <w:tabs>
                <w:tab w:val="left" w:pos="540"/>
                <w:tab w:val="left" w:pos="1080"/>
              </w:tabs>
              <w:snapToGrid w:val="0"/>
              <w:spacing w:line="500" w:lineRule="exact"/>
              <w:jc w:val="center"/>
              <w:rPr>
                <w:kern w:val="0"/>
                <w:szCs w:val="21"/>
              </w:rPr>
            </w:pPr>
            <w:r>
              <w:rPr>
                <w:kern w:val="0"/>
                <w:szCs w:val="21"/>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5" w:hRule="atLeast"/>
        </w:trPr>
        <w:tc>
          <w:tcPr>
            <w:tcW w:w="1224" w:type="dxa"/>
            <w:noWrap w:val="0"/>
            <w:vAlign w:val="center"/>
          </w:tcPr>
          <w:p>
            <w:pPr>
              <w:tabs>
                <w:tab w:val="left" w:pos="540"/>
                <w:tab w:val="left" w:pos="1080"/>
              </w:tabs>
              <w:snapToGrid w:val="0"/>
              <w:spacing w:line="500" w:lineRule="exact"/>
              <w:jc w:val="center"/>
              <w:rPr>
                <w:kern w:val="0"/>
                <w:szCs w:val="21"/>
              </w:rPr>
            </w:pPr>
            <w:r>
              <w:rPr>
                <w:kern w:val="0"/>
                <w:szCs w:val="21"/>
              </w:rPr>
              <w:t>贾俊丽</w:t>
            </w:r>
          </w:p>
        </w:tc>
        <w:tc>
          <w:tcPr>
            <w:tcW w:w="2535" w:type="dxa"/>
            <w:noWrap w:val="0"/>
            <w:vAlign w:val="center"/>
          </w:tcPr>
          <w:p>
            <w:pPr>
              <w:tabs>
                <w:tab w:val="left" w:pos="540"/>
                <w:tab w:val="left" w:pos="1080"/>
              </w:tabs>
              <w:snapToGrid w:val="0"/>
              <w:spacing w:line="500" w:lineRule="exact"/>
              <w:jc w:val="center"/>
              <w:rPr>
                <w:kern w:val="0"/>
                <w:szCs w:val="21"/>
              </w:rPr>
            </w:pPr>
            <w:r>
              <w:rPr>
                <w:color w:val="000000"/>
                <w:kern w:val="0"/>
                <w:szCs w:val="21"/>
              </w:rPr>
              <w:t>6520060041</w:t>
            </w:r>
          </w:p>
        </w:tc>
        <w:tc>
          <w:tcPr>
            <w:tcW w:w="2246" w:type="dxa"/>
            <w:noWrap w:val="0"/>
            <w:vAlign w:val="center"/>
          </w:tcPr>
          <w:p>
            <w:pPr>
              <w:tabs>
                <w:tab w:val="left" w:pos="540"/>
                <w:tab w:val="left" w:pos="1080"/>
              </w:tabs>
              <w:snapToGrid w:val="0"/>
              <w:spacing w:line="500" w:lineRule="exact"/>
              <w:jc w:val="center"/>
              <w:rPr>
                <w:kern w:val="0"/>
                <w:szCs w:val="21"/>
              </w:rPr>
            </w:pPr>
          </w:p>
        </w:tc>
        <w:tc>
          <w:tcPr>
            <w:tcW w:w="2612" w:type="dxa"/>
            <w:noWrap w:val="0"/>
            <w:vAlign w:val="center"/>
          </w:tcPr>
          <w:p>
            <w:pPr>
              <w:tabs>
                <w:tab w:val="left" w:pos="540"/>
                <w:tab w:val="left" w:pos="1080"/>
              </w:tabs>
              <w:snapToGrid w:val="0"/>
              <w:spacing w:line="500" w:lineRule="exact"/>
              <w:jc w:val="center"/>
              <w:rPr>
                <w:kern w:val="0"/>
                <w:szCs w:val="21"/>
              </w:rPr>
            </w:pPr>
            <w:r>
              <w:rPr>
                <w:kern w:val="0"/>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45" w:hRule="atLeast"/>
        </w:trPr>
        <w:tc>
          <w:tcPr>
            <w:tcW w:w="1224" w:type="dxa"/>
            <w:noWrap w:val="0"/>
            <w:vAlign w:val="center"/>
          </w:tcPr>
          <w:p>
            <w:pPr>
              <w:keepNext w:val="0"/>
              <w:keepLines w:val="0"/>
              <w:pageBreakBefore w:val="0"/>
              <w:widowControl w:val="0"/>
              <w:tabs>
                <w:tab w:val="left" w:pos="540"/>
                <w:tab w:val="left" w:pos="1080"/>
              </w:tabs>
              <w:kinsoku/>
              <w:wordWrap/>
              <w:overflowPunct/>
              <w:topLinePunct w:val="0"/>
              <w:autoSpaceDE/>
              <w:autoSpaceDN/>
              <w:bidi w:val="0"/>
              <w:adjustRightInd/>
              <w:snapToGrid w:val="0"/>
              <w:spacing w:line="500" w:lineRule="exact"/>
              <w:jc w:val="center"/>
              <w:textAlignment w:val="auto"/>
              <w:rPr>
                <w:rFonts w:hint="eastAsia" w:eastAsia="宋体"/>
                <w:kern w:val="0"/>
                <w:szCs w:val="21"/>
                <w:lang w:eastAsia="zh-CN"/>
              </w:rPr>
            </w:pPr>
            <w:r>
              <w:rPr>
                <w:rFonts w:hint="eastAsia"/>
                <w:kern w:val="0"/>
                <w:szCs w:val="21"/>
                <w:lang w:eastAsia="zh-CN"/>
              </w:rPr>
              <w:t>文春滠</w:t>
            </w:r>
          </w:p>
        </w:tc>
        <w:tc>
          <w:tcPr>
            <w:tcW w:w="2535" w:type="dxa"/>
            <w:noWrap w:val="0"/>
            <w:vAlign w:val="center"/>
          </w:tcPr>
          <w:p>
            <w:pPr>
              <w:keepNext w:val="0"/>
              <w:keepLines w:val="0"/>
              <w:pageBreakBefore w:val="0"/>
              <w:widowControl w:val="0"/>
              <w:tabs>
                <w:tab w:val="left" w:pos="540"/>
                <w:tab w:val="left" w:pos="1080"/>
              </w:tabs>
              <w:kinsoku/>
              <w:wordWrap/>
              <w:overflowPunct/>
              <w:topLinePunct w:val="0"/>
              <w:autoSpaceDE/>
              <w:autoSpaceDN/>
              <w:bidi w:val="0"/>
              <w:adjustRightInd/>
              <w:snapToGrid w:val="0"/>
              <w:spacing w:line="500" w:lineRule="exact"/>
              <w:jc w:val="center"/>
              <w:textAlignment w:val="auto"/>
              <w:rPr>
                <w:rFonts w:hint="default" w:eastAsia="宋体"/>
                <w:kern w:val="0"/>
                <w:szCs w:val="21"/>
                <w:lang w:val="en-US" w:eastAsia="zh-CN"/>
              </w:rPr>
            </w:pPr>
            <w:r>
              <w:rPr>
                <w:rFonts w:hint="eastAsia"/>
                <w:b w:val="0"/>
                <w:bCs w:val="0"/>
                <w:color w:val="000000"/>
                <w:kern w:val="0"/>
                <w:szCs w:val="21"/>
                <w:lang w:val="en-US" w:eastAsia="zh-CN"/>
              </w:rPr>
              <w:t>6520190007</w:t>
            </w:r>
          </w:p>
        </w:tc>
        <w:tc>
          <w:tcPr>
            <w:tcW w:w="2246" w:type="dxa"/>
            <w:noWrap w:val="0"/>
            <w:vAlign w:val="center"/>
          </w:tcPr>
          <w:p>
            <w:pPr>
              <w:tabs>
                <w:tab w:val="left" w:pos="540"/>
                <w:tab w:val="left" w:pos="1080"/>
              </w:tabs>
              <w:snapToGrid w:val="0"/>
              <w:spacing w:line="500" w:lineRule="exact"/>
              <w:jc w:val="center"/>
              <w:rPr>
                <w:kern w:val="0"/>
                <w:szCs w:val="21"/>
              </w:rPr>
            </w:pPr>
          </w:p>
        </w:tc>
        <w:tc>
          <w:tcPr>
            <w:tcW w:w="2612" w:type="dxa"/>
            <w:noWrap w:val="0"/>
            <w:vAlign w:val="center"/>
          </w:tcPr>
          <w:p>
            <w:pPr>
              <w:tabs>
                <w:tab w:val="left" w:pos="540"/>
                <w:tab w:val="left" w:pos="1080"/>
              </w:tabs>
              <w:snapToGrid w:val="0"/>
              <w:spacing w:line="500" w:lineRule="exact"/>
              <w:jc w:val="center"/>
              <w:rPr>
                <w:kern w:val="0"/>
                <w:szCs w:val="21"/>
              </w:rPr>
            </w:pPr>
            <w:r>
              <w:rPr>
                <w:kern w:val="0"/>
                <w:szCs w:val="21"/>
              </w:rPr>
              <w:t>年   月   日</w:t>
            </w:r>
          </w:p>
        </w:tc>
      </w:tr>
    </w:tbl>
    <w:p>
      <w:pPr>
        <w:pStyle w:val="3"/>
        <w:adjustRightInd w:val="0"/>
        <w:snapToGrid w:val="0"/>
        <w:spacing w:line="440" w:lineRule="exact"/>
        <w:ind w:left="0" w:leftChars="0" w:firstLine="0" w:firstLineChars="0"/>
        <w:rPr>
          <w:rFonts w:hint="eastAsia" w:hAnsi="宋体"/>
          <w:b/>
          <w:sz w:val="24"/>
          <w:szCs w:val="24"/>
        </w:rPr>
      </w:pPr>
    </w:p>
    <w:p>
      <w:pPr>
        <w:pStyle w:val="3"/>
        <w:adjustRightInd w:val="0"/>
        <w:snapToGrid w:val="0"/>
        <w:spacing w:line="440" w:lineRule="exact"/>
        <w:ind w:left="420" w:leftChars="200" w:firstLine="0" w:firstLineChars="0"/>
        <w:rPr>
          <w:rFonts w:hint="eastAsia" w:hAnsi="宋体"/>
          <w:b/>
          <w:sz w:val="24"/>
          <w:szCs w:val="24"/>
        </w:rPr>
      </w:pPr>
      <w:bookmarkStart w:id="43" w:name="_Toc24808_WPSOffice_Level1"/>
      <w:r>
        <w:rPr>
          <w:rFonts w:hint="eastAsia" w:hAnsi="宋体"/>
          <w:b/>
          <w:sz w:val="24"/>
          <w:szCs w:val="24"/>
        </w:rPr>
        <w:t>十二、实地查勘日期</w:t>
      </w:r>
      <w:bookmarkEnd w:id="43"/>
    </w:p>
    <w:p>
      <w:pPr>
        <w:pStyle w:val="3"/>
        <w:adjustRightInd w:val="0"/>
        <w:snapToGrid w:val="0"/>
        <w:spacing w:line="440" w:lineRule="exact"/>
        <w:ind w:left="0" w:leftChars="0" w:firstLine="420" w:firstLineChars="175"/>
        <w:rPr>
          <w:rFonts w:ascii="Times New Roman" w:hAnsi="Times New Roman"/>
          <w:sz w:val="24"/>
          <w:szCs w:val="24"/>
        </w:rPr>
      </w:pPr>
      <w:r>
        <w:rPr>
          <w:rFonts w:ascii="Times New Roman" w:hAnsi="Times New Roman"/>
          <w:sz w:val="24"/>
          <w:szCs w:val="24"/>
        </w:rPr>
        <w:t>估价人员于</w:t>
      </w:r>
      <w:r>
        <w:rPr>
          <w:rFonts w:hint="eastAsia" w:ascii="Times New Roman" w:hAnsi="Times New Roman"/>
          <w:sz w:val="24"/>
          <w:szCs w:val="24"/>
          <w:lang w:eastAsia="zh-CN"/>
        </w:rPr>
        <w:t>2019年</w:t>
      </w:r>
      <w:r>
        <w:rPr>
          <w:rFonts w:hint="eastAsia" w:ascii="Times New Roman" w:hAnsi="Times New Roman"/>
          <w:sz w:val="24"/>
          <w:szCs w:val="24"/>
          <w:lang w:val="en-US" w:eastAsia="zh-CN"/>
        </w:rPr>
        <w:t>10</w:t>
      </w:r>
      <w:r>
        <w:rPr>
          <w:rFonts w:hint="eastAsia" w:ascii="Times New Roman" w:hAnsi="Times New Roman"/>
          <w:sz w:val="24"/>
          <w:szCs w:val="24"/>
          <w:lang w:eastAsia="zh-CN"/>
        </w:rPr>
        <w:t>月</w:t>
      </w:r>
      <w:r>
        <w:rPr>
          <w:rFonts w:hint="eastAsia" w:ascii="Times New Roman" w:hAnsi="Times New Roman"/>
          <w:sz w:val="24"/>
          <w:szCs w:val="24"/>
          <w:lang w:val="en-US" w:eastAsia="zh-CN"/>
        </w:rPr>
        <w:t>17</w:t>
      </w:r>
      <w:r>
        <w:rPr>
          <w:rFonts w:hint="eastAsia" w:ascii="Times New Roman" w:hAnsi="Times New Roman"/>
          <w:sz w:val="24"/>
          <w:szCs w:val="24"/>
          <w:lang w:eastAsia="zh-CN"/>
        </w:rPr>
        <w:t>日当日</w:t>
      </w:r>
      <w:r>
        <w:rPr>
          <w:rFonts w:ascii="Times New Roman" w:hAnsi="Times New Roman"/>
          <w:sz w:val="24"/>
          <w:szCs w:val="24"/>
        </w:rPr>
        <w:t>在委托方的陪同下完成了对估价对象的实地查勘。</w:t>
      </w:r>
    </w:p>
    <w:p>
      <w:pPr>
        <w:pStyle w:val="3"/>
        <w:adjustRightInd w:val="0"/>
        <w:snapToGrid w:val="0"/>
        <w:spacing w:line="440" w:lineRule="exact"/>
        <w:ind w:left="0" w:leftChars="0" w:firstLine="420" w:firstLineChars="175"/>
        <w:rPr>
          <w:rFonts w:ascii="Times New Roman" w:hAnsi="Times New Roman"/>
          <w:sz w:val="24"/>
          <w:szCs w:val="24"/>
        </w:rPr>
      </w:pPr>
    </w:p>
    <w:p>
      <w:pPr>
        <w:pStyle w:val="3"/>
        <w:adjustRightInd w:val="0"/>
        <w:snapToGrid w:val="0"/>
        <w:spacing w:line="440" w:lineRule="exact"/>
        <w:ind w:left="0" w:leftChars="0" w:firstLine="482" w:firstLineChars="200"/>
        <w:rPr>
          <w:rFonts w:hint="eastAsia" w:hAnsi="宋体"/>
          <w:b/>
          <w:sz w:val="24"/>
          <w:szCs w:val="24"/>
        </w:rPr>
      </w:pPr>
      <w:bookmarkStart w:id="44" w:name="_Toc29466_WPSOffice_Level1"/>
      <w:r>
        <w:rPr>
          <w:rFonts w:hint="eastAsia" w:hAnsi="宋体"/>
          <w:b/>
          <w:sz w:val="24"/>
          <w:szCs w:val="24"/>
        </w:rPr>
        <w:t>十三、估价作业日期</w:t>
      </w:r>
      <w:bookmarkEnd w:id="44"/>
    </w:p>
    <w:p>
      <w:pPr>
        <w:pStyle w:val="3"/>
        <w:adjustRightInd w:val="0"/>
        <w:snapToGrid w:val="0"/>
        <w:spacing w:line="440" w:lineRule="exact"/>
        <w:ind w:left="0" w:leftChars="0" w:firstLine="420" w:firstLineChars="175"/>
        <w:rPr>
          <w:rFonts w:hint="eastAsia" w:hAnsi="宋体"/>
          <w:sz w:val="24"/>
          <w:szCs w:val="24"/>
          <w:highlight w:val="none"/>
        </w:rPr>
      </w:pPr>
      <w:r>
        <w:rPr>
          <w:rFonts w:hint="eastAsia" w:hAnsi="宋体"/>
          <w:sz w:val="24"/>
          <w:szCs w:val="24"/>
          <w:highlight w:val="none"/>
        </w:rPr>
        <w:t>估价作业日期</w:t>
      </w:r>
      <w:r>
        <w:rPr>
          <w:rFonts w:hint="eastAsia" w:hAnsi="宋体" w:cs="仿宋_GB2312"/>
          <w:color w:val="000000"/>
          <w:sz w:val="24"/>
          <w:szCs w:val="24"/>
          <w:highlight w:val="none"/>
          <w:lang w:eastAsia="zh-CN"/>
        </w:rPr>
        <w:t>二○一九年</w:t>
      </w:r>
      <w:r>
        <w:rPr>
          <w:rFonts w:hint="eastAsia" w:hAnsi="宋体" w:cs="仿宋_GB2312"/>
          <w:color w:val="000000"/>
          <w:sz w:val="24"/>
          <w:szCs w:val="24"/>
          <w:highlight w:val="none"/>
          <w:lang w:val="en-US" w:eastAsia="zh-CN"/>
        </w:rPr>
        <w:t>十</w:t>
      </w:r>
      <w:r>
        <w:rPr>
          <w:rFonts w:hint="eastAsia" w:hAnsi="宋体" w:cs="仿宋_GB2312"/>
          <w:color w:val="000000"/>
          <w:sz w:val="24"/>
          <w:szCs w:val="24"/>
          <w:highlight w:val="none"/>
          <w:lang w:eastAsia="zh-CN"/>
        </w:rPr>
        <w:t>月</w:t>
      </w:r>
      <w:r>
        <w:rPr>
          <w:rFonts w:hint="eastAsia" w:hAnsi="宋体" w:cs="仿宋_GB2312"/>
          <w:color w:val="000000"/>
          <w:sz w:val="24"/>
          <w:szCs w:val="24"/>
          <w:highlight w:val="none"/>
          <w:lang w:val="en-US" w:eastAsia="zh-CN"/>
        </w:rPr>
        <w:t>十七</w:t>
      </w:r>
      <w:r>
        <w:rPr>
          <w:rFonts w:hint="eastAsia" w:hAnsi="宋体" w:cs="仿宋_GB2312"/>
          <w:color w:val="000000"/>
          <w:sz w:val="24"/>
          <w:szCs w:val="24"/>
          <w:highlight w:val="none"/>
        </w:rPr>
        <w:t>日</w:t>
      </w:r>
      <w:r>
        <w:rPr>
          <w:rFonts w:hint="eastAsia" w:hAnsi="宋体" w:cs="仿宋_GB2312"/>
          <w:color w:val="000000"/>
          <w:sz w:val="24"/>
          <w:szCs w:val="24"/>
          <w:highlight w:val="none"/>
          <w:lang w:eastAsia="zh-CN"/>
        </w:rPr>
        <w:t>至二〇一九年</w:t>
      </w:r>
      <w:r>
        <w:rPr>
          <w:rFonts w:hint="eastAsia" w:hAnsi="宋体" w:cs="仿宋_GB2312"/>
          <w:color w:val="000000"/>
          <w:sz w:val="24"/>
          <w:szCs w:val="24"/>
          <w:highlight w:val="none"/>
          <w:lang w:val="en-US" w:eastAsia="zh-CN"/>
        </w:rPr>
        <w:t>十</w:t>
      </w:r>
      <w:r>
        <w:rPr>
          <w:rFonts w:hint="eastAsia" w:hAnsi="宋体" w:cs="仿宋_GB2312"/>
          <w:color w:val="000000"/>
          <w:sz w:val="24"/>
          <w:szCs w:val="24"/>
          <w:highlight w:val="none"/>
          <w:lang w:eastAsia="zh-CN"/>
        </w:rPr>
        <w:t>月二十</w:t>
      </w:r>
      <w:r>
        <w:rPr>
          <w:rFonts w:hint="eastAsia" w:hAnsi="宋体" w:cs="仿宋_GB2312"/>
          <w:color w:val="000000"/>
          <w:sz w:val="24"/>
          <w:szCs w:val="24"/>
          <w:highlight w:val="none"/>
          <w:lang w:val="en-US" w:eastAsia="zh-CN"/>
        </w:rPr>
        <w:t>三</w:t>
      </w:r>
      <w:r>
        <w:rPr>
          <w:rFonts w:hint="eastAsia" w:hAnsi="宋体" w:cs="仿宋_GB2312"/>
          <w:color w:val="000000"/>
          <w:sz w:val="24"/>
          <w:szCs w:val="24"/>
          <w:highlight w:val="none"/>
          <w:lang w:eastAsia="zh-CN"/>
        </w:rPr>
        <w:t>日</w:t>
      </w:r>
      <w:r>
        <w:rPr>
          <w:rFonts w:hint="eastAsia" w:hAnsi="宋体"/>
          <w:color w:val="000000" w:themeColor="text1"/>
          <w:sz w:val="24"/>
          <w:szCs w:val="24"/>
          <w:highlight w:val="none"/>
          <w14:textFill>
            <w14:solidFill>
              <w14:schemeClr w14:val="tx1"/>
            </w14:solidFill>
          </w14:textFill>
        </w:rPr>
        <w:t>，</w:t>
      </w:r>
      <w:r>
        <w:rPr>
          <w:rFonts w:hint="eastAsia" w:hAnsi="宋体"/>
          <w:sz w:val="24"/>
          <w:szCs w:val="24"/>
          <w:highlight w:val="none"/>
        </w:rPr>
        <w:t>估价报告出具日期</w:t>
      </w:r>
      <w:r>
        <w:rPr>
          <w:rFonts w:hint="eastAsia" w:hAnsi="宋体"/>
          <w:sz w:val="24"/>
          <w:szCs w:val="24"/>
          <w:highlight w:val="none"/>
          <w:lang w:eastAsia="zh-CN"/>
        </w:rPr>
        <w:t>为</w:t>
      </w:r>
      <w:r>
        <w:rPr>
          <w:rFonts w:hAnsi="宋体" w:cs="仿宋_GB2312"/>
          <w:color w:val="000000"/>
          <w:sz w:val="24"/>
          <w:szCs w:val="24"/>
          <w:highlight w:val="none"/>
        </w:rPr>
        <w:t>二○一</w:t>
      </w:r>
      <w:r>
        <w:rPr>
          <w:rFonts w:hint="eastAsia" w:hAnsi="宋体" w:cs="仿宋_GB2312"/>
          <w:color w:val="000000"/>
          <w:sz w:val="24"/>
          <w:szCs w:val="24"/>
          <w:highlight w:val="none"/>
        </w:rPr>
        <w:t>九</w:t>
      </w:r>
      <w:r>
        <w:rPr>
          <w:rFonts w:hAnsi="宋体" w:cs="仿宋_GB2312"/>
          <w:color w:val="000000"/>
          <w:sz w:val="24"/>
          <w:szCs w:val="24"/>
          <w:highlight w:val="none"/>
        </w:rPr>
        <w:t>年</w:t>
      </w:r>
      <w:r>
        <w:rPr>
          <w:rFonts w:hint="eastAsia" w:hAnsi="宋体" w:cs="仿宋_GB2312"/>
          <w:color w:val="000000"/>
          <w:sz w:val="24"/>
          <w:szCs w:val="24"/>
          <w:highlight w:val="none"/>
          <w:lang w:val="en-US" w:eastAsia="zh-CN"/>
        </w:rPr>
        <w:t>十</w:t>
      </w:r>
      <w:r>
        <w:rPr>
          <w:rFonts w:hint="eastAsia" w:hAnsi="宋体" w:cs="仿宋_GB2312"/>
          <w:color w:val="000000"/>
          <w:sz w:val="24"/>
          <w:szCs w:val="24"/>
          <w:highlight w:val="none"/>
        </w:rPr>
        <w:t>月</w:t>
      </w:r>
      <w:r>
        <w:rPr>
          <w:rFonts w:hint="eastAsia" w:hAnsi="宋体" w:cs="仿宋_GB2312"/>
          <w:color w:val="000000"/>
          <w:sz w:val="24"/>
          <w:szCs w:val="24"/>
          <w:highlight w:val="none"/>
          <w:lang w:eastAsia="zh-CN"/>
        </w:rPr>
        <w:t>二十</w:t>
      </w:r>
      <w:r>
        <w:rPr>
          <w:rFonts w:hint="eastAsia" w:hAnsi="宋体" w:cs="仿宋_GB2312"/>
          <w:color w:val="000000"/>
          <w:sz w:val="24"/>
          <w:szCs w:val="24"/>
          <w:highlight w:val="none"/>
          <w:lang w:val="en-US" w:eastAsia="zh-CN"/>
        </w:rPr>
        <w:t>三</w:t>
      </w:r>
      <w:r>
        <w:rPr>
          <w:rFonts w:hint="eastAsia" w:hAnsi="宋体" w:cs="仿宋_GB2312"/>
          <w:color w:val="000000"/>
          <w:sz w:val="24"/>
          <w:szCs w:val="24"/>
          <w:highlight w:val="none"/>
        </w:rPr>
        <w:t>日</w:t>
      </w:r>
      <w:r>
        <w:rPr>
          <w:rFonts w:hint="eastAsia" w:hAnsi="宋体"/>
          <w:sz w:val="24"/>
          <w:szCs w:val="24"/>
          <w:highlight w:val="none"/>
        </w:rPr>
        <w:t>。</w:t>
      </w:r>
    </w:p>
    <w:p>
      <w:pPr>
        <w:pStyle w:val="3"/>
        <w:adjustRightInd w:val="0"/>
        <w:snapToGrid w:val="0"/>
        <w:spacing w:line="440" w:lineRule="exact"/>
        <w:ind w:left="0" w:leftChars="0" w:firstLine="420" w:firstLineChars="175"/>
        <w:rPr>
          <w:rFonts w:hint="eastAsia" w:hAnsi="宋体"/>
          <w:sz w:val="24"/>
          <w:szCs w:val="24"/>
          <w:highlight w:val="none"/>
        </w:rPr>
      </w:pPr>
    </w:p>
    <w:p>
      <w:pPr>
        <w:pStyle w:val="3"/>
        <w:snapToGrid w:val="0"/>
        <w:spacing w:line="400" w:lineRule="exact"/>
        <w:rPr>
          <w:rFonts w:hint="eastAsia" w:hAnsi="宋体"/>
          <w:sz w:val="24"/>
          <w:szCs w:val="24"/>
        </w:rPr>
      </w:pPr>
    </w:p>
    <w:p>
      <w:pPr>
        <w:pStyle w:val="3"/>
        <w:snapToGrid w:val="0"/>
        <w:spacing w:line="400" w:lineRule="exact"/>
        <w:ind w:firstLine="480" w:firstLineChars="200"/>
        <w:jc w:val="right"/>
        <w:rPr>
          <w:rFonts w:hint="eastAsia" w:hAnsi="宋体"/>
          <w:sz w:val="24"/>
          <w:szCs w:val="24"/>
        </w:rPr>
      </w:pPr>
      <w:r>
        <w:rPr>
          <w:rFonts w:hint="eastAsia" w:hAnsi="宋体"/>
          <w:sz w:val="24"/>
          <w:szCs w:val="24"/>
        </w:rPr>
        <w:t>新疆中浩房地产评估有限公司</w:t>
      </w:r>
    </w:p>
    <w:p>
      <w:pPr>
        <w:pStyle w:val="3"/>
        <w:snapToGrid w:val="0"/>
        <w:spacing w:line="400" w:lineRule="exact"/>
        <w:ind w:firstLine="5760" w:firstLineChars="2400"/>
        <w:jc w:val="both"/>
        <w:rPr>
          <w:rFonts w:hint="eastAsia" w:hAnsi="宋体"/>
          <w:sz w:val="24"/>
          <w:szCs w:val="24"/>
          <w:highlight w:val="none"/>
        </w:rPr>
      </w:pPr>
      <w:r>
        <w:rPr>
          <w:rFonts w:hint="eastAsia" w:hAnsi="宋体"/>
          <w:sz w:val="24"/>
          <w:szCs w:val="24"/>
          <w:highlight w:val="none"/>
        </w:rPr>
        <w:t>二○一九年</w:t>
      </w:r>
      <w:r>
        <w:rPr>
          <w:rFonts w:hint="eastAsia" w:hAnsi="宋体"/>
          <w:sz w:val="24"/>
          <w:szCs w:val="24"/>
          <w:highlight w:val="none"/>
          <w:lang w:val="en-US" w:eastAsia="zh-CN"/>
        </w:rPr>
        <w:t>十</w:t>
      </w:r>
      <w:r>
        <w:rPr>
          <w:rFonts w:hint="eastAsia" w:hAnsi="宋体"/>
          <w:sz w:val="24"/>
          <w:szCs w:val="24"/>
          <w:highlight w:val="none"/>
        </w:rPr>
        <w:t>月</w:t>
      </w:r>
      <w:r>
        <w:rPr>
          <w:rFonts w:hint="eastAsia" w:hAnsi="宋体"/>
          <w:sz w:val="24"/>
          <w:szCs w:val="24"/>
          <w:highlight w:val="none"/>
          <w:lang w:eastAsia="zh-CN"/>
        </w:rPr>
        <w:t>二十</w:t>
      </w:r>
      <w:r>
        <w:rPr>
          <w:rFonts w:hint="eastAsia" w:hAnsi="宋体"/>
          <w:sz w:val="24"/>
          <w:szCs w:val="24"/>
          <w:highlight w:val="none"/>
          <w:lang w:val="en-US" w:eastAsia="zh-CN"/>
        </w:rPr>
        <w:t>三</w:t>
      </w:r>
      <w:r>
        <w:rPr>
          <w:rFonts w:hint="eastAsia" w:hAnsi="宋体"/>
          <w:sz w:val="24"/>
          <w:szCs w:val="24"/>
          <w:highlight w:val="none"/>
        </w:rPr>
        <w:t>日</w:t>
      </w: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snapToGrid w:val="0"/>
        <w:spacing w:line="400" w:lineRule="exact"/>
        <w:jc w:val="both"/>
        <w:rPr>
          <w:rFonts w:hint="eastAsia" w:hAnsi="宋体"/>
          <w:sz w:val="24"/>
          <w:szCs w:val="24"/>
          <w:highlight w:val="yellow"/>
        </w:rPr>
      </w:pPr>
    </w:p>
    <w:p>
      <w:pPr>
        <w:pStyle w:val="3"/>
        <w:adjustRightInd w:val="0"/>
        <w:snapToGrid w:val="0"/>
        <w:spacing w:line="360" w:lineRule="exact"/>
        <w:ind w:right="480" w:firstLine="3534" w:firstLineChars="1100"/>
        <w:rPr>
          <w:rFonts w:hint="eastAsia" w:hAnsi="宋体"/>
          <w:sz w:val="24"/>
          <w:szCs w:val="24"/>
        </w:rPr>
      </w:pPr>
      <w:bookmarkStart w:id="45" w:name="_Toc5402_WPSOffice_Level1"/>
      <w:r>
        <w:rPr>
          <w:rFonts w:hint="eastAsia" w:hAnsi="宋体"/>
          <w:b/>
          <w:sz w:val="32"/>
          <w:szCs w:val="32"/>
        </w:rPr>
        <w:t>附</w:t>
      </w:r>
      <w:r>
        <w:rPr>
          <w:rFonts w:hint="eastAsia" w:hAnsi="宋体"/>
          <w:b/>
          <w:sz w:val="32"/>
          <w:szCs w:val="32"/>
          <w:lang w:val="en-US" w:eastAsia="zh-CN"/>
        </w:rPr>
        <w:t xml:space="preserve"> </w:t>
      </w:r>
      <w:r>
        <w:rPr>
          <w:rFonts w:hint="eastAsia" w:hAnsi="宋体"/>
          <w:b/>
          <w:sz w:val="32"/>
          <w:szCs w:val="32"/>
        </w:rPr>
        <w:t>件</w:t>
      </w:r>
      <w:bookmarkEnd w:id="45"/>
    </w:p>
    <w:p>
      <w:pPr>
        <w:snapToGrid w:val="0"/>
        <w:spacing w:line="410" w:lineRule="exact"/>
        <w:ind w:firstLine="960" w:firstLineChars="400"/>
        <w:rPr>
          <w:rFonts w:hint="eastAsia" w:ascii="宋体" w:hAnsi="宋体"/>
          <w:sz w:val="24"/>
          <w:szCs w:val="24"/>
        </w:rPr>
      </w:pPr>
    </w:p>
    <w:p>
      <w:pPr>
        <w:numPr>
          <w:ilvl w:val="0"/>
          <w:numId w:val="3"/>
        </w:numPr>
        <w:snapToGrid w:val="0"/>
        <w:spacing w:line="410" w:lineRule="exact"/>
        <w:ind w:firstLine="960" w:firstLineChars="400"/>
        <w:rPr>
          <w:rFonts w:hint="eastAsia" w:ascii="宋体" w:hAnsi="宋体"/>
          <w:sz w:val="24"/>
          <w:szCs w:val="24"/>
        </w:rPr>
      </w:pPr>
      <w:r>
        <w:rPr>
          <w:rFonts w:hint="eastAsia" w:ascii="宋体" w:hAnsi="宋体"/>
          <w:sz w:val="24"/>
          <w:szCs w:val="24"/>
          <w:lang w:val="en-US" w:eastAsia="zh-CN"/>
        </w:rPr>
        <w:t>《乌苏市人民法院委托书》复印件</w:t>
      </w:r>
    </w:p>
    <w:p>
      <w:pPr>
        <w:numPr>
          <w:ilvl w:val="0"/>
          <w:numId w:val="3"/>
        </w:numPr>
        <w:snapToGrid w:val="0"/>
        <w:spacing w:line="410" w:lineRule="exact"/>
        <w:ind w:left="0" w:leftChars="0" w:firstLine="960" w:firstLineChars="400"/>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乌苏市房屋</w:t>
      </w:r>
      <w:r>
        <w:rPr>
          <w:rFonts w:hint="eastAsia" w:ascii="宋体" w:hAnsi="宋体"/>
          <w:sz w:val="24"/>
          <w:szCs w:val="24"/>
          <w:lang w:eastAsia="zh-CN"/>
        </w:rPr>
        <w:t>登记信息查询</w:t>
      </w:r>
      <w:r>
        <w:rPr>
          <w:rFonts w:hint="eastAsia" w:ascii="宋体" w:hAnsi="宋体"/>
          <w:sz w:val="24"/>
          <w:szCs w:val="24"/>
          <w:lang w:val="en-US" w:eastAsia="zh-CN"/>
        </w:rPr>
        <w:t>结果</w:t>
      </w:r>
      <w:r>
        <w:rPr>
          <w:rFonts w:hint="eastAsia" w:ascii="宋体" w:hAnsi="宋体"/>
          <w:sz w:val="24"/>
          <w:szCs w:val="24"/>
          <w:lang w:eastAsia="zh-CN"/>
        </w:rPr>
        <w:t>》</w:t>
      </w:r>
      <w:r>
        <w:rPr>
          <w:rFonts w:hint="eastAsia" w:ascii="宋体" w:hAnsi="宋体"/>
          <w:sz w:val="24"/>
          <w:szCs w:val="24"/>
          <w:lang w:val="en-US" w:eastAsia="zh-CN"/>
        </w:rPr>
        <w:t>复印件</w:t>
      </w:r>
    </w:p>
    <w:p>
      <w:pPr>
        <w:numPr>
          <w:ilvl w:val="0"/>
          <w:numId w:val="3"/>
        </w:numPr>
        <w:snapToGrid w:val="0"/>
        <w:spacing w:line="410" w:lineRule="exact"/>
        <w:ind w:left="0" w:leftChars="0" w:firstLine="960" w:firstLineChars="400"/>
        <w:rPr>
          <w:rFonts w:hint="eastAsia" w:ascii="宋体" w:hAnsi="宋体"/>
          <w:sz w:val="24"/>
          <w:szCs w:val="24"/>
        </w:rPr>
      </w:pPr>
      <w:r>
        <w:rPr>
          <w:rFonts w:hint="eastAsia" w:ascii="宋体" w:hAnsi="宋体"/>
          <w:sz w:val="24"/>
          <w:szCs w:val="24"/>
          <w:lang w:eastAsia="zh-CN"/>
        </w:rPr>
        <w:t>实地查勘记录表</w:t>
      </w:r>
    </w:p>
    <w:p>
      <w:pPr>
        <w:numPr>
          <w:ilvl w:val="0"/>
          <w:numId w:val="3"/>
        </w:numPr>
        <w:snapToGrid w:val="0"/>
        <w:spacing w:line="410" w:lineRule="exact"/>
        <w:ind w:left="0" w:leftChars="0" w:firstLine="960" w:firstLineChars="400"/>
        <w:rPr>
          <w:rFonts w:hint="eastAsia" w:ascii="宋体" w:hAnsi="宋体"/>
          <w:sz w:val="24"/>
          <w:szCs w:val="24"/>
        </w:rPr>
      </w:pPr>
      <w:r>
        <w:rPr>
          <w:rFonts w:hint="eastAsia" w:ascii="宋体" w:hAnsi="宋体"/>
          <w:sz w:val="24"/>
          <w:szCs w:val="24"/>
        </w:rPr>
        <w:t>估价对象影像资料</w:t>
      </w:r>
    </w:p>
    <w:p>
      <w:pPr>
        <w:snapToGrid w:val="0"/>
        <w:spacing w:line="410" w:lineRule="exact"/>
        <w:ind w:firstLine="960" w:firstLineChars="400"/>
        <w:rPr>
          <w:rFonts w:hint="eastAsia" w:ascii="宋体" w:hAnsi="宋体"/>
          <w:sz w:val="24"/>
          <w:szCs w:val="24"/>
          <w:lang w:val="en-US" w:eastAsia="zh-CN"/>
        </w:rPr>
      </w:pPr>
      <w:r>
        <w:rPr>
          <w:rFonts w:hint="eastAsia" w:ascii="宋体" w:hAnsi="宋体"/>
          <w:sz w:val="24"/>
          <w:szCs w:val="24"/>
          <w:lang w:val="en-US" w:eastAsia="zh-CN"/>
        </w:rPr>
        <w:t>5、</w:t>
      </w:r>
      <w:r>
        <w:rPr>
          <w:rFonts w:hint="eastAsia" w:ascii="宋体" w:hAnsi="宋体"/>
          <w:sz w:val="24"/>
          <w:szCs w:val="24"/>
          <w:lang w:eastAsia="zh-CN"/>
        </w:rPr>
        <w:t>估价对象</w:t>
      </w:r>
      <w:r>
        <w:rPr>
          <w:rFonts w:hint="eastAsia" w:ascii="宋体" w:hAnsi="宋体"/>
          <w:sz w:val="24"/>
          <w:szCs w:val="24"/>
        </w:rPr>
        <w:t>位置示意</w:t>
      </w:r>
    </w:p>
    <w:p>
      <w:pPr>
        <w:numPr>
          <w:ilvl w:val="0"/>
          <w:numId w:val="0"/>
        </w:numPr>
        <w:snapToGrid w:val="0"/>
        <w:spacing w:line="410" w:lineRule="exact"/>
        <w:ind w:firstLine="960" w:firstLineChars="400"/>
        <w:rPr>
          <w:rFonts w:hint="eastAsia" w:ascii="宋体" w:hAnsi="宋体"/>
          <w:sz w:val="24"/>
          <w:szCs w:val="24"/>
          <w:lang w:val="en-US" w:eastAsia="zh-CN"/>
        </w:rPr>
      </w:pPr>
      <w:r>
        <w:rPr>
          <w:rFonts w:hint="eastAsia" w:ascii="宋体" w:hAnsi="宋体"/>
          <w:sz w:val="24"/>
          <w:szCs w:val="24"/>
          <w:lang w:val="en-US" w:eastAsia="zh-CN"/>
        </w:rPr>
        <w:t>6、</w:t>
      </w:r>
      <w:r>
        <w:rPr>
          <w:rFonts w:hint="eastAsia" w:ascii="宋体" w:hAnsi="宋体"/>
          <w:sz w:val="24"/>
          <w:szCs w:val="24"/>
        </w:rPr>
        <w:t>估价机构营业执照复印件及资质证书复印件</w:t>
      </w:r>
    </w:p>
    <w:p>
      <w:pPr>
        <w:numPr>
          <w:ilvl w:val="0"/>
          <w:numId w:val="0"/>
        </w:numPr>
        <w:snapToGrid w:val="0"/>
        <w:spacing w:line="410" w:lineRule="exact"/>
        <w:ind w:firstLine="960" w:firstLineChars="400"/>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注册房地产估价师资质证书复印件</w:t>
      </w:r>
    </w:p>
    <w:p>
      <w:pPr>
        <w:pStyle w:val="3"/>
        <w:adjustRightInd w:val="0"/>
        <w:snapToGrid w:val="0"/>
        <w:spacing w:line="360" w:lineRule="exact"/>
        <w:ind w:right="480" w:firstLine="3534" w:firstLineChars="1100"/>
        <w:rPr>
          <w:rFonts w:hint="eastAsia" w:hAnsi="宋体"/>
          <w:b/>
          <w:sz w:val="32"/>
          <w:szCs w:val="32"/>
        </w:rPr>
      </w:pPr>
    </w:p>
    <w:p>
      <w:pPr>
        <w:pStyle w:val="3"/>
        <w:adjustRightInd w:val="0"/>
        <w:snapToGrid w:val="0"/>
        <w:spacing w:line="360" w:lineRule="exact"/>
        <w:ind w:right="480" w:firstLine="3534" w:firstLineChars="1100"/>
        <w:rPr>
          <w:rFonts w:hint="eastAsia" w:hAnsi="宋体"/>
          <w:b/>
          <w:sz w:val="32"/>
          <w:szCs w:val="32"/>
        </w:rPr>
      </w:pPr>
    </w:p>
    <w:p>
      <w:pPr>
        <w:pStyle w:val="3"/>
        <w:adjustRightInd w:val="0"/>
        <w:snapToGrid w:val="0"/>
        <w:spacing w:line="360" w:lineRule="exact"/>
        <w:ind w:right="480" w:firstLine="3534" w:firstLineChars="1100"/>
        <w:rPr>
          <w:rFonts w:hint="eastAsia" w:hAnsi="宋体"/>
          <w:b/>
          <w:sz w:val="32"/>
          <w:szCs w:val="32"/>
        </w:rPr>
      </w:pPr>
    </w:p>
    <w:p>
      <w:pPr>
        <w:pStyle w:val="3"/>
        <w:adjustRightInd w:val="0"/>
        <w:snapToGrid w:val="0"/>
        <w:spacing w:line="360" w:lineRule="exact"/>
        <w:ind w:right="480" w:firstLine="3534" w:firstLineChars="1100"/>
        <w:rPr>
          <w:rFonts w:hint="eastAsia" w:hAnsi="宋体"/>
          <w:b/>
          <w:sz w:val="32"/>
          <w:szCs w:val="32"/>
        </w:rPr>
      </w:pPr>
    </w:p>
    <w:p>
      <w:pPr>
        <w:pStyle w:val="3"/>
        <w:adjustRightInd w:val="0"/>
        <w:snapToGrid w:val="0"/>
        <w:spacing w:line="360" w:lineRule="exact"/>
        <w:ind w:right="480" w:firstLine="3534" w:firstLineChars="1100"/>
        <w:rPr>
          <w:rFonts w:hint="eastAsia" w:hAnsi="宋体"/>
          <w:b/>
          <w:sz w:val="32"/>
          <w:szCs w:val="32"/>
        </w:rPr>
      </w:pPr>
    </w:p>
    <w:p>
      <w:pPr>
        <w:pStyle w:val="3"/>
        <w:adjustRightInd w:val="0"/>
        <w:snapToGrid w:val="0"/>
        <w:spacing w:line="360" w:lineRule="exact"/>
        <w:ind w:right="480" w:firstLine="3534" w:firstLineChars="1100"/>
        <w:rPr>
          <w:rFonts w:hint="eastAsia" w:hAnsi="宋体"/>
          <w:b/>
          <w:sz w:val="32"/>
          <w:szCs w:val="32"/>
        </w:rPr>
      </w:pPr>
    </w:p>
    <w:p>
      <w:pPr>
        <w:pStyle w:val="3"/>
        <w:adjustRightInd w:val="0"/>
        <w:snapToGrid w:val="0"/>
        <w:spacing w:line="360" w:lineRule="exact"/>
        <w:ind w:right="480" w:firstLine="3534" w:firstLineChars="1100"/>
        <w:rPr>
          <w:rFonts w:hint="eastAsia" w:hAnsi="宋体"/>
          <w:b/>
          <w:sz w:val="32"/>
          <w:szCs w:val="32"/>
        </w:rPr>
      </w:pPr>
    </w:p>
    <w:p>
      <w:pPr>
        <w:pStyle w:val="3"/>
        <w:adjustRightInd w:val="0"/>
        <w:snapToGrid w:val="0"/>
        <w:spacing w:line="360" w:lineRule="exact"/>
        <w:ind w:right="480" w:firstLine="3534" w:firstLineChars="1100"/>
        <w:rPr>
          <w:rFonts w:hint="eastAsia" w:hAnsi="宋体"/>
          <w:b/>
          <w:sz w:val="32"/>
          <w:szCs w:val="32"/>
        </w:rPr>
      </w:pPr>
    </w:p>
    <w:p>
      <w:pPr>
        <w:pStyle w:val="3"/>
        <w:adjustRightInd w:val="0"/>
        <w:snapToGrid w:val="0"/>
        <w:spacing w:line="360" w:lineRule="exact"/>
        <w:ind w:right="480" w:firstLine="3534" w:firstLineChars="1100"/>
        <w:rPr>
          <w:rFonts w:hint="eastAsia" w:hAnsi="宋体"/>
          <w:b/>
          <w:sz w:val="32"/>
          <w:szCs w:val="32"/>
        </w:rPr>
      </w:pPr>
    </w:p>
    <w:p>
      <w:pPr>
        <w:pStyle w:val="3"/>
        <w:adjustRightInd w:val="0"/>
        <w:snapToGrid w:val="0"/>
        <w:spacing w:line="360" w:lineRule="exact"/>
        <w:ind w:right="480" w:firstLine="3534" w:firstLineChars="1100"/>
        <w:rPr>
          <w:rFonts w:hint="eastAsia" w:hAnsi="宋体"/>
          <w:b/>
          <w:sz w:val="32"/>
          <w:szCs w:val="32"/>
        </w:rPr>
      </w:pPr>
    </w:p>
    <w:p>
      <w:pPr>
        <w:tabs>
          <w:tab w:val="left" w:pos="6466"/>
        </w:tabs>
        <w:snapToGrid w:val="0"/>
        <w:spacing w:line="410" w:lineRule="exact"/>
        <w:ind w:firstLine="960" w:firstLineChars="400"/>
        <w:rPr>
          <w:rFonts w:hint="eastAsia" w:ascii="宋体" w:hAnsi="宋体" w:eastAsia="宋体"/>
          <w:sz w:val="24"/>
          <w:szCs w:val="24"/>
          <w:lang w:eastAsia="zh-CN"/>
        </w:rPr>
      </w:pPr>
      <w:r>
        <w:rPr>
          <w:rFonts w:hint="eastAsia" w:ascii="宋体" w:hAnsi="宋体"/>
          <w:sz w:val="24"/>
          <w:szCs w:val="24"/>
          <w:lang w:eastAsia="zh-CN"/>
        </w:rPr>
        <w:tab/>
      </w:r>
    </w:p>
    <w:p>
      <w:pPr>
        <w:snapToGrid w:val="0"/>
        <w:spacing w:line="410" w:lineRule="exact"/>
        <w:ind w:firstLine="960" w:firstLineChars="400"/>
        <w:rPr>
          <w:rFonts w:hint="eastAsia" w:ascii="宋体" w:hAnsi="宋体"/>
          <w:sz w:val="24"/>
          <w:szCs w:val="24"/>
        </w:rPr>
      </w:pPr>
    </w:p>
    <w:p>
      <w:pPr>
        <w:snapToGrid w:val="0"/>
        <w:spacing w:line="410" w:lineRule="exact"/>
        <w:ind w:firstLine="960" w:firstLineChars="400"/>
        <w:rPr>
          <w:rFonts w:hint="eastAsia" w:ascii="宋体" w:hAnsi="宋体"/>
          <w:sz w:val="24"/>
          <w:szCs w:val="24"/>
        </w:rPr>
      </w:pPr>
    </w:p>
    <w:p>
      <w:pPr>
        <w:snapToGrid w:val="0"/>
        <w:spacing w:line="410" w:lineRule="exact"/>
        <w:ind w:firstLine="960" w:firstLineChars="400"/>
        <w:rPr>
          <w:rFonts w:hint="eastAsia" w:ascii="宋体" w:hAnsi="宋体"/>
          <w:sz w:val="24"/>
          <w:szCs w:val="24"/>
        </w:rPr>
      </w:pPr>
    </w:p>
    <w:p>
      <w:pPr>
        <w:snapToGrid w:val="0"/>
        <w:spacing w:line="410" w:lineRule="exact"/>
        <w:ind w:firstLine="960" w:firstLineChars="400"/>
        <w:rPr>
          <w:rFonts w:hint="eastAsia" w:ascii="宋体" w:hAnsi="宋体"/>
          <w:sz w:val="24"/>
          <w:szCs w:val="24"/>
        </w:rPr>
      </w:pPr>
    </w:p>
    <w:p>
      <w:pPr>
        <w:snapToGrid w:val="0"/>
        <w:spacing w:line="410" w:lineRule="exact"/>
        <w:ind w:firstLine="960" w:firstLineChars="400"/>
        <w:rPr>
          <w:rFonts w:hint="eastAsia" w:ascii="宋体" w:hAnsi="宋体"/>
          <w:sz w:val="24"/>
          <w:szCs w:val="24"/>
        </w:rPr>
      </w:pPr>
    </w:p>
    <w:p>
      <w:pPr>
        <w:snapToGrid w:val="0"/>
        <w:spacing w:line="410" w:lineRule="exact"/>
        <w:ind w:firstLine="960" w:firstLineChars="400"/>
        <w:rPr>
          <w:rFonts w:hint="eastAsia" w:ascii="宋体" w:hAnsi="宋体"/>
          <w:sz w:val="24"/>
          <w:szCs w:val="24"/>
        </w:rPr>
      </w:pPr>
    </w:p>
    <w:p>
      <w:pPr>
        <w:snapToGrid w:val="0"/>
        <w:spacing w:line="410" w:lineRule="exact"/>
        <w:ind w:firstLine="960" w:firstLineChars="400"/>
        <w:rPr>
          <w:rFonts w:hint="eastAsia" w:ascii="宋体" w:hAnsi="宋体"/>
          <w:sz w:val="24"/>
          <w:szCs w:val="24"/>
        </w:rPr>
      </w:pPr>
    </w:p>
    <w:p>
      <w:pPr>
        <w:snapToGrid w:val="0"/>
        <w:spacing w:line="410" w:lineRule="exact"/>
        <w:ind w:firstLine="960" w:firstLineChars="400"/>
        <w:rPr>
          <w:rFonts w:hint="eastAsia" w:ascii="宋体" w:hAnsi="宋体"/>
          <w:sz w:val="24"/>
          <w:szCs w:val="24"/>
        </w:rPr>
      </w:pPr>
    </w:p>
    <w:p>
      <w:pPr>
        <w:snapToGrid w:val="0"/>
        <w:spacing w:line="410" w:lineRule="exact"/>
        <w:rPr>
          <w:rFonts w:hint="eastAsia" w:ascii="宋体" w:hAnsi="宋体"/>
          <w:sz w:val="24"/>
          <w:szCs w:val="24"/>
        </w:rPr>
      </w:pPr>
    </w:p>
    <w:p>
      <w:pPr>
        <w:snapToGrid w:val="0"/>
        <w:spacing w:line="410" w:lineRule="exact"/>
        <w:rPr>
          <w:rFonts w:hint="eastAsia" w:ascii="宋体" w:hAnsi="宋体"/>
          <w:sz w:val="24"/>
          <w:szCs w:val="24"/>
        </w:rPr>
      </w:pPr>
    </w:p>
    <w:p>
      <w:pPr>
        <w:snapToGrid w:val="0"/>
        <w:spacing w:line="410" w:lineRule="exact"/>
        <w:rPr>
          <w:rFonts w:hint="eastAsia" w:ascii="宋体" w:hAnsi="宋体"/>
          <w:sz w:val="24"/>
          <w:szCs w:val="24"/>
        </w:rPr>
      </w:pPr>
    </w:p>
    <w:sectPr>
      <w:footerReference r:id="rId7" w:type="first"/>
      <w:footerReference r:id="rId6" w:type="default"/>
      <w:pgSz w:w="11907" w:h="16840"/>
      <w:pgMar w:top="1417" w:right="1701" w:bottom="1417" w:left="1805" w:header="851" w:footer="992" w:gutter="0"/>
      <w:pgNumType w:fmt="decimal" w:start="1"/>
      <w:cols w:space="0" w:num="1"/>
      <w:titlePg/>
      <w:rtlGutter w:val="0"/>
      <w:docGrid w:type="lines" w:linePitch="47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Fonts w:hint="eastAsia" w:eastAsia="宋体"/>
        <w:lang w:val="en-US" w:eastAsia="zh-CN"/>
      </w:rPr>
    </w:pPr>
    <w:r>
      <w:rPr>
        <w:rFonts w:hint="eastAsia"/>
        <w:lang w:val="en-US" w:eastAsia="zh-CN"/>
      </w:rPr>
      <w:t>1</w:t>
    </w:r>
  </w:p>
  <w:p>
    <w:pPr>
      <w:pStyle w:val="4"/>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fldChar w:fldCharType="begin"/>
    </w:r>
    <w:r>
      <w:rPr>
        <w:rStyle w:val="9"/>
      </w:rPr>
      <w:instrText xml:space="preserve">PAGE  </w:instrText>
    </w:r>
    <w:r>
      <w:fldChar w:fldCharType="separate"/>
    </w:r>
    <w:r>
      <w:rPr>
        <w:rStyle w:val="9"/>
      </w:rPr>
      <w:t>1</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9"/>
        <w:rFonts w:hint="eastAsia" w:eastAsia="宋体"/>
        <w:lang w:val="en-US"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p>
    <w:pPr>
      <w:pStyle w:val="4"/>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default" w:eastAsia="宋体"/>
        <w:lang w:val="en-US" w:eastAsia="zh-CN"/>
      </w:rPr>
    </w:pPr>
    <w:r>
      <w:rPr>
        <w:rFonts w:hint="eastAsia"/>
        <w:lang w:eastAsia="zh-CN"/>
      </w:rPr>
      <w:t>新疆中浩房地产评估有限公司</w:t>
    </w:r>
    <w:r>
      <w:rPr>
        <w:rFonts w:hint="eastAsia"/>
        <w:lang w:val="en-US" w:eastAsia="zh-CN"/>
      </w:rPr>
      <w:t xml:space="preserve">    0991-4672635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62AF"/>
    <w:multiLevelType w:val="singleLevel"/>
    <w:tmpl w:val="1D5B62AF"/>
    <w:lvl w:ilvl="0" w:tentative="0">
      <w:start w:val="1"/>
      <w:numFmt w:val="chineseCounting"/>
      <w:suff w:val="nothing"/>
      <w:lvlText w:val="（%1）"/>
      <w:lvlJc w:val="left"/>
      <w:rPr>
        <w:rFonts w:hint="eastAsia"/>
      </w:rPr>
    </w:lvl>
  </w:abstractNum>
  <w:abstractNum w:abstractNumId="1">
    <w:nsid w:val="1FF0D347"/>
    <w:multiLevelType w:val="singleLevel"/>
    <w:tmpl w:val="1FF0D347"/>
    <w:lvl w:ilvl="0" w:tentative="0">
      <w:start w:val="3"/>
      <w:numFmt w:val="chineseCounting"/>
      <w:suff w:val="nothing"/>
      <w:lvlText w:val="%1、"/>
      <w:lvlJc w:val="left"/>
      <w:rPr>
        <w:rFonts w:hint="eastAsia"/>
      </w:rPr>
    </w:lvl>
  </w:abstractNum>
  <w:abstractNum w:abstractNumId="2">
    <w:nsid w:val="53901E9E"/>
    <w:multiLevelType w:val="singleLevel"/>
    <w:tmpl w:val="53901E9E"/>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101F9"/>
    <w:rsid w:val="020E0CB8"/>
    <w:rsid w:val="02272B67"/>
    <w:rsid w:val="03A979A9"/>
    <w:rsid w:val="043443EC"/>
    <w:rsid w:val="047D193C"/>
    <w:rsid w:val="09B81E1F"/>
    <w:rsid w:val="0D962665"/>
    <w:rsid w:val="0E675DAE"/>
    <w:rsid w:val="0E697AAA"/>
    <w:rsid w:val="117E4F05"/>
    <w:rsid w:val="11840B20"/>
    <w:rsid w:val="13193721"/>
    <w:rsid w:val="14721984"/>
    <w:rsid w:val="18183D9E"/>
    <w:rsid w:val="18355102"/>
    <w:rsid w:val="18A97855"/>
    <w:rsid w:val="1BCA7140"/>
    <w:rsid w:val="1D5148F4"/>
    <w:rsid w:val="2065784D"/>
    <w:rsid w:val="20B81D41"/>
    <w:rsid w:val="20DF4CB9"/>
    <w:rsid w:val="20F92D9E"/>
    <w:rsid w:val="21C05225"/>
    <w:rsid w:val="21D4703B"/>
    <w:rsid w:val="22192377"/>
    <w:rsid w:val="23082BDC"/>
    <w:rsid w:val="23934892"/>
    <w:rsid w:val="239C76FC"/>
    <w:rsid w:val="23B32B8E"/>
    <w:rsid w:val="24022618"/>
    <w:rsid w:val="25113C82"/>
    <w:rsid w:val="256222CF"/>
    <w:rsid w:val="27145266"/>
    <w:rsid w:val="291342BF"/>
    <w:rsid w:val="2AF31FF4"/>
    <w:rsid w:val="2B806576"/>
    <w:rsid w:val="2DB41609"/>
    <w:rsid w:val="2E665293"/>
    <w:rsid w:val="2E6D6B9E"/>
    <w:rsid w:val="2F8E1563"/>
    <w:rsid w:val="30926B7D"/>
    <w:rsid w:val="33220176"/>
    <w:rsid w:val="340618D9"/>
    <w:rsid w:val="368166C9"/>
    <w:rsid w:val="38063EC9"/>
    <w:rsid w:val="38137CD3"/>
    <w:rsid w:val="382C4665"/>
    <w:rsid w:val="38CA19C3"/>
    <w:rsid w:val="3A7543AE"/>
    <w:rsid w:val="3C591EDA"/>
    <w:rsid w:val="3CA6395B"/>
    <w:rsid w:val="40D3702F"/>
    <w:rsid w:val="434D4C34"/>
    <w:rsid w:val="43BD2124"/>
    <w:rsid w:val="43EF4E3F"/>
    <w:rsid w:val="4450254F"/>
    <w:rsid w:val="48536632"/>
    <w:rsid w:val="486517A1"/>
    <w:rsid w:val="498102A7"/>
    <w:rsid w:val="49B84C69"/>
    <w:rsid w:val="4A165265"/>
    <w:rsid w:val="51482431"/>
    <w:rsid w:val="5160759A"/>
    <w:rsid w:val="532E44A7"/>
    <w:rsid w:val="5369127A"/>
    <w:rsid w:val="555A1DB8"/>
    <w:rsid w:val="5AE717E3"/>
    <w:rsid w:val="5B587EC5"/>
    <w:rsid w:val="5B9E57A4"/>
    <w:rsid w:val="5EDF474B"/>
    <w:rsid w:val="610C552F"/>
    <w:rsid w:val="619A64A5"/>
    <w:rsid w:val="63D04D26"/>
    <w:rsid w:val="678D0199"/>
    <w:rsid w:val="684454CD"/>
    <w:rsid w:val="68A52C95"/>
    <w:rsid w:val="6BF32C35"/>
    <w:rsid w:val="6CBB3D1E"/>
    <w:rsid w:val="6DCC4830"/>
    <w:rsid w:val="70DA7110"/>
    <w:rsid w:val="71705143"/>
    <w:rsid w:val="722E7BCB"/>
    <w:rsid w:val="725271B2"/>
    <w:rsid w:val="725C2984"/>
    <w:rsid w:val="72832997"/>
    <w:rsid w:val="72E01783"/>
    <w:rsid w:val="74017FF4"/>
    <w:rsid w:val="74801B5F"/>
    <w:rsid w:val="759E6CA3"/>
    <w:rsid w:val="76887161"/>
    <w:rsid w:val="77B6201F"/>
    <w:rsid w:val="78560E5A"/>
    <w:rsid w:val="7A9526EB"/>
    <w:rsid w:val="7EB22A83"/>
    <w:rsid w:val="7F5C62CA"/>
    <w:rsid w:val="7F622C64"/>
    <w:rsid w:val="7FD40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font11"/>
    <w:basedOn w:val="8"/>
    <w:qFormat/>
    <w:uiPriority w:val="0"/>
    <w:rPr>
      <w:rFonts w:hint="eastAsia" w:ascii="宋体" w:hAnsi="宋体" w:eastAsia="宋体" w:cs="宋体"/>
      <w:color w:val="000000"/>
      <w:sz w:val="21"/>
      <w:szCs w:val="21"/>
      <w:u w:val="none"/>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b33dc68-a237-4c2f-97fb-459f24ce959c}"/>
        <w:style w:val=""/>
        <w:category>
          <w:name w:val="常规"/>
          <w:gallery w:val="placeholder"/>
        </w:category>
        <w:types>
          <w:type w:val="bbPlcHdr"/>
        </w:types>
        <w:behaviors>
          <w:behavior w:val="content"/>
        </w:behaviors>
        <w:description w:val=""/>
        <w:guid w:val="{8b33dc68-a237-4c2f-97fb-459f24ce959c}"/>
      </w:docPartPr>
      <w:docPartBody>
        <w:p>
          <w:r>
            <w:rPr>
              <w:color w:val="808080"/>
            </w:rPr>
            <w:t>单击此处输入文字。</w:t>
          </w:r>
        </w:p>
      </w:docPartBody>
    </w:docPart>
    <w:docPart>
      <w:docPartPr>
        <w:name w:val="{4dec4339-f82a-437e-b58c-e3177e115b7a}"/>
        <w:style w:val=""/>
        <w:category>
          <w:name w:val="常规"/>
          <w:gallery w:val="placeholder"/>
        </w:category>
        <w:types>
          <w:type w:val="bbPlcHdr"/>
        </w:types>
        <w:behaviors>
          <w:behavior w:val="content"/>
        </w:behaviors>
        <w:description w:val=""/>
        <w:guid w:val="{4dec4339-f82a-437e-b58c-e3177e115b7a}"/>
      </w:docPartPr>
      <w:docPartBody>
        <w:p>
          <w:r>
            <w:rPr>
              <w:color w:val="808080"/>
            </w:rPr>
            <w:t>单击此处输入文字。</w:t>
          </w:r>
        </w:p>
      </w:docPartBody>
    </w:docPart>
    <w:docPart>
      <w:docPartPr>
        <w:name w:val="{faf37306-c587-4ccb-8161-99360577373e}"/>
        <w:style w:val=""/>
        <w:category>
          <w:name w:val="常规"/>
          <w:gallery w:val="placeholder"/>
        </w:category>
        <w:types>
          <w:type w:val="bbPlcHdr"/>
        </w:types>
        <w:behaviors>
          <w:behavior w:val="content"/>
        </w:behaviors>
        <w:description w:val=""/>
        <w:guid w:val="{faf37306-c587-4ccb-8161-99360577373e}"/>
      </w:docPartPr>
      <w:docPartBody>
        <w:p>
          <w:r>
            <w:rPr>
              <w:color w:val="808080"/>
            </w:rPr>
            <w:t>单击此处输入文字。</w:t>
          </w:r>
        </w:p>
      </w:docPartBody>
    </w:docPart>
    <w:docPart>
      <w:docPartPr>
        <w:name w:val="{ff4638bb-e9e6-44c8-951f-f40bbdd47910}"/>
        <w:style w:val=""/>
        <w:category>
          <w:name w:val="常规"/>
          <w:gallery w:val="placeholder"/>
        </w:category>
        <w:types>
          <w:type w:val="bbPlcHdr"/>
        </w:types>
        <w:behaviors>
          <w:behavior w:val="content"/>
        </w:behaviors>
        <w:description w:val=""/>
        <w:guid w:val="{ff4638bb-e9e6-44c8-951f-f40bbdd47910}"/>
      </w:docPartPr>
      <w:docPartBody>
        <w:p>
          <w:r>
            <w:rPr>
              <w:color w:val="808080"/>
            </w:rPr>
            <w:t>单击此处输入文字。</w:t>
          </w:r>
        </w:p>
      </w:docPartBody>
    </w:docPart>
    <w:docPart>
      <w:docPartPr>
        <w:name w:val="{3212448e-46d9-45b0-9f50-f9ec6ab6bd9c}"/>
        <w:style w:val=""/>
        <w:category>
          <w:name w:val="常规"/>
          <w:gallery w:val="placeholder"/>
        </w:category>
        <w:types>
          <w:type w:val="bbPlcHdr"/>
        </w:types>
        <w:behaviors>
          <w:behavior w:val="content"/>
        </w:behaviors>
        <w:description w:val=""/>
        <w:guid w:val="{3212448e-46d9-45b0-9f50-f9ec6ab6bd9c}"/>
      </w:docPartPr>
      <w:docPartBody>
        <w:p>
          <w:r>
            <w:rPr>
              <w:color w:val="808080"/>
            </w:rPr>
            <w:t>单击此处输入文字。</w:t>
          </w:r>
        </w:p>
      </w:docPartBody>
    </w:docPart>
    <w:docPart>
      <w:docPartPr>
        <w:name w:val="{2ae5b365-9c3c-40ae-8619-8ecca7e572eb}"/>
        <w:style w:val=""/>
        <w:category>
          <w:name w:val="常规"/>
          <w:gallery w:val="placeholder"/>
        </w:category>
        <w:types>
          <w:type w:val="bbPlcHdr"/>
        </w:types>
        <w:behaviors>
          <w:behavior w:val="content"/>
        </w:behaviors>
        <w:description w:val=""/>
        <w:guid w:val="{2ae5b365-9c3c-40ae-8619-8ecca7e572eb}"/>
      </w:docPartPr>
      <w:docPartBody>
        <w:p>
          <w:r>
            <w:rPr>
              <w:color w:val="808080"/>
            </w:rPr>
            <w:t>单击此处输入文字。</w:t>
          </w:r>
        </w:p>
      </w:docPartBody>
    </w:docPart>
    <w:docPart>
      <w:docPartPr>
        <w:name w:val="{fc922628-bb85-4310-8fe7-71fc9acc9f56}"/>
        <w:style w:val=""/>
        <w:category>
          <w:name w:val="常规"/>
          <w:gallery w:val="placeholder"/>
        </w:category>
        <w:types>
          <w:type w:val="bbPlcHdr"/>
        </w:types>
        <w:behaviors>
          <w:behavior w:val="content"/>
        </w:behaviors>
        <w:description w:val=""/>
        <w:guid w:val="{fc922628-bb85-4310-8fe7-71fc9acc9f56}"/>
      </w:docPartPr>
      <w:docPartBody>
        <w:p>
          <w:r>
            <w:rPr>
              <w:color w:val="808080"/>
            </w:rPr>
            <w:t>单击此处输入文字。</w:t>
          </w:r>
        </w:p>
      </w:docPartBody>
    </w:docPart>
    <w:docPart>
      <w:docPartPr>
        <w:name w:val="{1d484a83-be55-4464-bd99-2a18e2cc5b2a}"/>
        <w:style w:val=""/>
        <w:category>
          <w:name w:val="常规"/>
          <w:gallery w:val="placeholder"/>
        </w:category>
        <w:types>
          <w:type w:val="bbPlcHdr"/>
        </w:types>
        <w:behaviors>
          <w:behavior w:val="content"/>
        </w:behaviors>
        <w:description w:val=""/>
        <w:guid w:val="{1d484a83-be55-4464-bd99-2a18e2cc5b2a}"/>
      </w:docPartPr>
      <w:docPartBody>
        <w:p>
          <w:r>
            <w:rPr>
              <w:color w:val="808080"/>
            </w:rPr>
            <w:t>单击此处输入文字。</w:t>
          </w:r>
        </w:p>
      </w:docPartBody>
    </w:docPart>
    <w:docPart>
      <w:docPartPr>
        <w:name w:val="{ff2f171e-af47-4613-9c5e-e398a27b6be3}"/>
        <w:style w:val=""/>
        <w:category>
          <w:name w:val="常规"/>
          <w:gallery w:val="placeholder"/>
        </w:category>
        <w:types>
          <w:type w:val="bbPlcHdr"/>
        </w:types>
        <w:behaviors>
          <w:behavior w:val="content"/>
        </w:behaviors>
        <w:description w:val=""/>
        <w:guid w:val="{ff2f171e-af47-4613-9c5e-e398a27b6be3}"/>
      </w:docPartPr>
      <w:docPartBody>
        <w:p>
          <w:r>
            <w:rPr>
              <w:color w:val="808080"/>
            </w:rPr>
            <w:t>单击此处输入文字。</w:t>
          </w:r>
        </w:p>
      </w:docPartBody>
    </w:docPart>
    <w:docPart>
      <w:docPartPr>
        <w:name w:val="{8fe78898-32db-4075-b70d-5a3e1593f77a}"/>
        <w:style w:val=""/>
        <w:category>
          <w:name w:val="常规"/>
          <w:gallery w:val="placeholder"/>
        </w:category>
        <w:types>
          <w:type w:val="bbPlcHdr"/>
        </w:types>
        <w:behaviors>
          <w:behavior w:val="content"/>
        </w:behaviors>
        <w:description w:val=""/>
        <w:guid w:val="{8fe78898-32db-4075-b70d-5a3e1593f77a}"/>
      </w:docPartPr>
      <w:docPartBody>
        <w:p>
          <w:r>
            <w:rPr>
              <w:color w:val="808080"/>
            </w:rPr>
            <w:t>单击此处输入文字。</w:t>
          </w:r>
        </w:p>
      </w:docPartBody>
    </w:docPart>
    <w:docPart>
      <w:docPartPr>
        <w:name w:val="{7e387220-4122-44d1-803b-9c0978003dc2}"/>
        <w:style w:val=""/>
        <w:category>
          <w:name w:val="常规"/>
          <w:gallery w:val="placeholder"/>
        </w:category>
        <w:types>
          <w:type w:val="bbPlcHdr"/>
        </w:types>
        <w:behaviors>
          <w:behavior w:val="content"/>
        </w:behaviors>
        <w:description w:val=""/>
        <w:guid w:val="{7e387220-4122-44d1-803b-9c0978003dc2}"/>
      </w:docPartPr>
      <w:docPartBody>
        <w:p>
          <w:r>
            <w:rPr>
              <w:color w:val="808080"/>
            </w:rPr>
            <w:t>单击此处输入文字。</w:t>
          </w:r>
        </w:p>
      </w:docPartBody>
    </w:docPart>
    <w:docPart>
      <w:docPartPr>
        <w:name w:val="{47c3b73a-09d0-45b2-8981-35c688d5dab6}"/>
        <w:style w:val=""/>
        <w:category>
          <w:name w:val="常规"/>
          <w:gallery w:val="placeholder"/>
        </w:category>
        <w:types>
          <w:type w:val="bbPlcHdr"/>
        </w:types>
        <w:behaviors>
          <w:behavior w:val="content"/>
        </w:behaviors>
        <w:description w:val=""/>
        <w:guid w:val="{47c3b73a-09d0-45b2-8981-35c688d5dab6}"/>
      </w:docPartPr>
      <w:docPartBody>
        <w:p>
          <w:r>
            <w:rPr>
              <w:color w:val="808080"/>
            </w:rPr>
            <w:t>单击此处输入文字。</w:t>
          </w:r>
        </w:p>
      </w:docPartBody>
    </w:docPart>
    <w:docPart>
      <w:docPartPr>
        <w:name w:val="{d81b6fb4-f096-4953-98e5-89f0f1dc6cee}"/>
        <w:style w:val=""/>
        <w:category>
          <w:name w:val="常规"/>
          <w:gallery w:val="placeholder"/>
        </w:category>
        <w:types>
          <w:type w:val="bbPlcHdr"/>
        </w:types>
        <w:behaviors>
          <w:behavior w:val="content"/>
        </w:behaviors>
        <w:description w:val=""/>
        <w:guid w:val="{d81b6fb4-f096-4953-98e5-89f0f1dc6cee}"/>
      </w:docPartPr>
      <w:docPartBody>
        <w:p>
          <w:r>
            <w:rPr>
              <w:color w:val="808080"/>
            </w:rPr>
            <w:t>单击此处输入文字。</w:t>
          </w:r>
        </w:p>
      </w:docPartBody>
    </w:docPart>
    <w:docPart>
      <w:docPartPr>
        <w:name w:val="{03d5acdf-2901-4a2e-ab6a-6e0fc3248bb0}"/>
        <w:style w:val=""/>
        <w:category>
          <w:name w:val="常规"/>
          <w:gallery w:val="placeholder"/>
        </w:category>
        <w:types>
          <w:type w:val="bbPlcHdr"/>
        </w:types>
        <w:behaviors>
          <w:behavior w:val="content"/>
        </w:behaviors>
        <w:description w:val=""/>
        <w:guid w:val="{03d5acdf-2901-4a2e-ab6a-6e0fc3248bb0}"/>
      </w:docPartPr>
      <w:docPartBody>
        <w:p>
          <w:r>
            <w:rPr>
              <w:color w:val="808080"/>
            </w:rPr>
            <w:t>单击此处输入文字。</w:t>
          </w:r>
        </w:p>
      </w:docPartBody>
    </w:docPart>
    <w:docPart>
      <w:docPartPr>
        <w:name w:val="{8d414608-5a7d-4a54-b79b-f01d84328420}"/>
        <w:style w:val=""/>
        <w:category>
          <w:name w:val="常规"/>
          <w:gallery w:val="placeholder"/>
        </w:category>
        <w:types>
          <w:type w:val="bbPlcHdr"/>
        </w:types>
        <w:behaviors>
          <w:behavior w:val="content"/>
        </w:behaviors>
        <w:description w:val=""/>
        <w:guid w:val="{8d414608-5a7d-4a54-b79b-f01d84328420}"/>
      </w:docPartPr>
      <w:docPartBody>
        <w:p>
          <w:r>
            <w:rPr>
              <w:color w:val="808080"/>
            </w:rPr>
            <w:t>单击此处输入文字。</w:t>
          </w:r>
        </w:p>
      </w:docPartBody>
    </w:docPart>
    <w:docPart>
      <w:docPartPr>
        <w:name w:val="{c7d3a193-6f2a-45b1-beb2-58cdce9d22b6}"/>
        <w:style w:val=""/>
        <w:category>
          <w:name w:val="常规"/>
          <w:gallery w:val="placeholder"/>
        </w:category>
        <w:types>
          <w:type w:val="bbPlcHdr"/>
        </w:types>
        <w:behaviors>
          <w:behavior w:val="content"/>
        </w:behaviors>
        <w:description w:val=""/>
        <w:guid w:val="{c7d3a193-6f2a-45b1-beb2-58cdce9d22b6}"/>
      </w:docPartPr>
      <w:docPartBody>
        <w:p>
          <w:r>
            <w:rPr>
              <w:color w:val="808080"/>
            </w:rPr>
            <w:t>单击此处输入文字。</w:t>
          </w:r>
        </w:p>
      </w:docPartBody>
    </w:docPart>
    <w:docPart>
      <w:docPartPr>
        <w:name w:val="{867a5b32-2505-4947-ac14-a6c349892c98}"/>
        <w:style w:val=""/>
        <w:category>
          <w:name w:val="常规"/>
          <w:gallery w:val="placeholder"/>
        </w:category>
        <w:types>
          <w:type w:val="bbPlcHdr"/>
        </w:types>
        <w:behaviors>
          <w:behavior w:val="content"/>
        </w:behaviors>
        <w:description w:val=""/>
        <w:guid w:val="{867a5b32-2505-4947-ac14-a6c349892c98}"/>
      </w:docPartPr>
      <w:docPartBody>
        <w:p>
          <w:r>
            <w:rPr>
              <w:color w:val="808080"/>
            </w:rPr>
            <w:t>单击此处输入文字。</w:t>
          </w:r>
        </w:p>
      </w:docPartBody>
    </w:docPart>
    <w:docPart>
      <w:docPartPr>
        <w:name w:val="{3b637d93-00a4-4c35-9d0f-943e0ccc8035}"/>
        <w:style w:val=""/>
        <w:category>
          <w:name w:val="常规"/>
          <w:gallery w:val="placeholder"/>
        </w:category>
        <w:types>
          <w:type w:val="bbPlcHdr"/>
        </w:types>
        <w:behaviors>
          <w:behavior w:val="content"/>
        </w:behaviors>
        <w:description w:val=""/>
        <w:guid w:val="{3b637d93-00a4-4c35-9d0f-943e0ccc8035}"/>
      </w:docPartPr>
      <w:docPartBody>
        <w:p>
          <w:r>
            <w:rPr>
              <w:color w:val="808080"/>
            </w:rPr>
            <w:t>单击此处输入文字。</w:t>
          </w:r>
        </w:p>
      </w:docPartBody>
    </w:docPart>
    <w:docPart>
      <w:docPartPr>
        <w:name w:val="{15fa45c3-c14f-4619-87b9-d032fe5a10a6}"/>
        <w:style w:val=""/>
        <w:category>
          <w:name w:val="常规"/>
          <w:gallery w:val="placeholder"/>
        </w:category>
        <w:types>
          <w:type w:val="bbPlcHdr"/>
        </w:types>
        <w:behaviors>
          <w:behavior w:val="content"/>
        </w:behaviors>
        <w:description w:val=""/>
        <w:guid w:val="{15fa45c3-c14f-4619-87b9-d032fe5a10a6}"/>
      </w:docPartPr>
      <w:docPartBody>
        <w:p>
          <w:r>
            <w:rPr>
              <w:color w:val="808080"/>
            </w:rPr>
            <w:t>单击此处输入文字。</w:t>
          </w:r>
        </w:p>
      </w:docPartBody>
    </w:docPart>
    <w:docPart>
      <w:docPartPr>
        <w:name w:val="{e76c1654-01dd-42fd-b038-6fa59fd19225}"/>
        <w:style w:val=""/>
        <w:category>
          <w:name w:val="常规"/>
          <w:gallery w:val="placeholder"/>
        </w:category>
        <w:types>
          <w:type w:val="bbPlcHdr"/>
        </w:types>
        <w:behaviors>
          <w:behavior w:val="content"/>
        </w:behaviors>
        <w:description w:val=""/>
        <w:guid w:val="{e76c1654-01dd-42fd-b038-6fa59fd19225}"/>
      </w:docPartPr>
      <w:docPartBody>
        <w:p>
          <w:r>
            <w:rPr>
              <w:color w:val="808080"/>
            </w:rPr>
            <w:t>单击此处输入文字。</w:t>
          </w:r>
        </w:p>
      </w:docPartBody>
    </w:docPart>
    <w:docPart>
      <w:docPartPr>
        <w:name w:val="{56b897b4-94dc-4de4-b316-7863342add4a}"/>
        <w:style w:val=""/>
        <w:category>
          <w:name w:val="常规"/>
          <w:gallery w:val="placeholder"/>
        </w:category>
        <w:types>
          <w:type w:val="bbPlcHdr"/>
        </w:types>
        <w:behaviors>
          <w:behavior w:val="content"/>
        </w:behaviors>
        <w:description w:val=""/>
        <w:guid w:val="{56b897b4-94dc-4de4-b316-7863342add4a}"/>
      </w:docPartPr>
      <w:docPartBody>
        <w:p>
          <w:r>
            <w:rPr>
              <w:color w:val="808080"/>
            </w:rPr>
            <w:t>单击此处输入文字。</w:t>
          </w:r>
        </w:p>
      </w:docPartBody>
    </w:docPart>
    <w:docPart>
      <w:docPartPr>
        <w:name w:val="{89be484b-cd24-4a0b-8483-d44f92c30ef6}"/>
        <w:style w:val=""/>
        <w:category>
          <w:name w:val="常规"/>
          <w:gallery w:val="placeholder"/>
        </w:category>
        <w:types>
          <w:type w:val="bbPlcHdr"/>
        </w:types>
        <w:behaviors>
          <w:behavior w:val="content"/>
        </w:behaviors>
        <w:description w:val=""/>
        <w:guid w:val="{89be484b-cd24-4a0b-8483-d44f92c30ef6}"/>
      </w:docPartPr>
      <w:docPartBody>
        <w:p>
          <w:r>
            <w:rPr>
              <w:color w:val="808080"/>
            </w:rPr>
            <w:t>单击此处输入文字。</w:t>
          </w:r>
        </w:p>
      </w:docPartBody>
    </w:docPart>
    <w:docPart>
      <w:docPartPr>
        <w:name w:val="{e3e4fe8e-80ee-4bbb-8cf8-92cbd268708a}"/>
        <w:style w:val=""/>
        <w:category>
          <w:name w:val="常规"/>
          <w:gallery w:val="placeholder"/>
        </w:category>
        <w:types>
          <w:type w:val="bbPlcHdr"/>
        </w:types>
        <w:behaviors>
          <w:behavior w:val="content"/>
        </w:behaviors>
        <w:description w:val=""/>
        <w:guid w:val="{e3e4fe8e-80ee-4bbb-8cf8-92cbd268708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wchunshe</dc:creator>
  <cp:lastModifiedBy>Administrator</cp:lastModifiedBy>
  <dcterms:modified xsi:type="dcterms:W3CDTF">2019-10-22T10:18:55Z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