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eastAsia="仿宋_GB2312"/>
          <w:b/>
          <w:color w:val="auto"/>
          <w:sz w:val="28"/>
          <w:szCs w:val="28"/>
          <w:lang w:val="en-US" w:eastAsia="zh-CN"/>
        </w:rPr>
      </w:pPr>
      <w:bookmarkStart w:id="186" w:name="_GoBack"/>
      <w:bookmarkEnd w:id="186"/>
    </w:p>
    <w:p>
      <w:pPr>
        <w:jc w:val="center"/>
        <w:rPr>
          <w:rFonts w:eastAsia="楷体_GB2312"/>
          <w:b/>
          <w:color w:val="auto"/>
          <w:sz w:val="44"/>
          <w:szCs w:val="44"/>
        </w:rPr>
      </w:pPr>
    </w:p>
    <w:p>
      <w:pPr>
        <w:jc w:val="center"/>
        <w:rPr>
          <w:rFonts w:eastAsia="楷体_GB2312"/>
          <w:b/>
          <w:color w:val="auto"/>
          <w:sz w:val="44"/>
          <w:szCs w:val="44"/>
        </w:rPr>
      </w:pPr>
    </w:p>
    <w:p>
      <w:pPr>
        <w:jc w:val="center"/>
        <w:rPr>
          <w:rFonts w:eastAsia="楷体_GB2312"/>
          <w:b/>
          <w:color w:val="auto"/>
          <w:sz w:val="44"/>
          <w:szCs w:val="44"/>
        </w:rPr>
      </w:pPr>
    </w:p>
    <w:p>
      <w:pPr>
        <w:jc w:val="center"/>
        <w:rPr>
          <w:rFonts w:eastAsia="楷体_GB2312"/>
          <w:b/>
          <w:color w:val="auto"/>
          <w:sz w:val="44"/>
          <w:szCs w:val="44"/>
        </w:rPr>
      </w:pPr>
      <w:r>
        <w:rPr>
          <w:rFonts w:eastAsia="楷体_GB2312"/>
          <w:b/>
          <w:color w:val="auto"/>
          <w:sz w:val="44"/>
          <w:szCs w:val="44"/>
        </w:rPr>
        <w:t>房地产</w:t>
      </w:r>
      <w:r>
        <w:rPr>
          <w:rFonts w:hint="eastAsia" w:eastAsia="楷体_GB2312"/>
          <w:b/>
          <w:color w:val="auto"/>
          <w:sz w:val="44"/>
          <w:szCs w:val="44"/>
          <w:lang w:eastAsia="zh-CN"/>
        </w:rPr>
        <w:t>司法拍卖</w:t>
      </w:r>
      <w:r>
        <w:rPr>
          <w:rFonts w:eastAsia="楷体_GB2312"/>
          <w:b/>
          <w:color w:val="auto"/>
          <w:sz w:val="44"/>
          <w:szCs w:val="44"/>
        </w:rPr>
        <w:t>估价报告</w:t>
      </w:r>
    </w:p>
    <w:p>
      <w:pPr>
        <w:tabs>
          <w:tab w:val="left" w:pos="709"/>
        </w:tabs>
        <w:adjustRightInd w:val="0"/>
        <w:snapToGrid w:val="0"/>
        <w:spacing w:line="432" w:lineRule="auto"/>
        <w:rPr>
          <w:rFonts w:eastAsia="楷体_GB2312"/>
          <w:b/>
          <w:color w:val="auto"/>
          <w:sz w:val="32"/>
          <w:szCs w:val="32"/>
        </w:rPr>
      </w:pPr>
    </w:p>
    <w:p>
      <w:pPr>
        <w:tabs>
          <w:tab w:val="left" w:pos="709"/>
        </w:tabs>
        <w:adjustRightInd w:val="0"/>
        <w:snapToGrid w:val="0"/>
        <w:spacing w:line="432" w:lineRule="auto"/>
        <w:rPr>
          <w:rFonts w:eastAsia="楷体_GB2312"/>
          <w:color w:val="auto"/>
          <w:sz w:val="32"/>
          <w:szCs w:val="32"/>
        </w:rPr>
      </w:pPr>
      <w:r>
        <w:rPr>
          <w:rFonts w:eastAsia="楷体_GB2312"/>
          <w:b/>
          <w:color w:val="auto"/>
          <w:sz w:val="32"/>
          <w:szCs w:val="32"/>
        </w:rPr>
        <w:t>估价项目名称</w:t>
      </w:r>
      <w:r>
        <w:rPr>
          <w:rFonts w:eastAsia="楷体_GB2312"/>
          <w:color w:val="auto"/>
          <w:sz w:val="32"/>
          <w:szCs w:val="32"/>
        </w:rPr>
        <w:t>：</w:t>
      </w:r>
    </w:p>
    <w:p>
      <w:pPr>
        <w:tabs>
          <w:tab w:val="left" w:pos="709"/>
        </w:tabs>
        <w:adjustRightInd w:val="0"/>
        <w:snapToGrid w:val="0"/>
        <w:spacing w:line="432" w:lineRule="auto"/>
        <w:ind w:firstLine="643" w:firstLineChars="200"/>
        <w:rPr>
          <w:rFonts w:eastAsia="楷体_GB2312"/>
          <w:b/>
          <w:color w:val="auto"/>
          <w:sz w:val="32"/>
          <w:szCs w:val="32"/>
        </w:rPr>
      </w:pPr>
      <w:bookmarkStart w:id="0" w:name="OLE_LINK3"/>
      <w:bookmarkStart w:id="1" w:name="OLE_LINK4"/>
      <w:r>
        <w:rPr>
          <w:rFonts w:hint="eastAsia" w:eastAsia="楷体_GB2312"/>
          <w:b/>
          <w:color w:val="auto"/>
          <w:sz w:val="32"/>
          <w:szCs w:val="32"/>
          <w:lang w:eastAsia="zh-CN"/>
        </w:rPr>
        <w:t>燕飞龙、何翠娥</w:t>
      </w:r>
      <w:r>
        <w:rPr>
          <w:rFonts w:eastAsia="楷体_GB2312"/>
          <w:b/>
          <w:color w:val="auto"/>
          <w:sz w:val="32"/>
          <w:szCs w:val="32"/>
        </w:rPr>
        <w:t>位于</w:t>
      </w:r>
      <w:r>
        <w:rPr>
          <w:rFonts w:hint="eastAsia" w:eastAsia="楷体_GB2312"/>
          <w:b/>
          <w:color w:val="auto"/>
          <w:sz w:val="32"/>
          <w:szCs w:val="32"/>
          <w:lang w:eastAsia="zh-CN"/>
        </w:rPr>
        <w:t>五原县隆兴昌镇中意佳苑</w:t>
      </w:r>
      <w:r>
        <w:rPr>
          <w:rFonts w:hint="eastAsia" w:eastAsia="楷体_GB2312"/>
          <w:b/>
          <w:color w:val="auto"/>
          <w:sz w:val="32"/>
          <w:szCs w:val="32"/>
          <w:lang w:val="en-US" w:eastAsia="zh-CN"/>
        </w:rPr>
        <w:t>2-4-941</w:t>
      </w:r>
      <w:r>
        <w:rPr>
          <w:rFonts w:eastAsia="楷体_GB2312"/>
          <w:b/>
          <w:color w:val="auto"/>
          <w:sz w:val="32"/>
          <w:szCs w:val="32"/>
        </w:rPr>
        <w:t>住宅房地产</w:t>
      </w:r>
      <w:r>
        <w:rPr>
          <w:rFonts w:hint="eastAsia" w:eastAsia="楷体_GB2312"/>
          <w:b/>
          <w:color w:val="auto"/>
          <w:sz w:val="32"/>
          <w:szCs w:val="32"/>
          <w:lang w:eastAsia="zh-CN"/>
        </w:rPr>
        <w:t>司法拍卖</w:t>
      </w:r>
      <w:r>
        <w:rPr>
          <w:rFonts w:eastAsia="楷体_GB2312"/>
          <w:b/>
          <w:color w:val="auto"/>
          <w:sz w:val="32"/>
          <w:szCs w:val="32"/>
        </w:rPr>
        <w:t>价值评估（巴彦淖尔市）</w:t>
      </w:r>
    </w:p>
    <w:bookmarkEnd w:id="0"/>
    <w:bookmarkEnd w:id="1"/>
    <w:p>
      <w:pPr>
        <w:tabs>
          <w:tab w:val="left" w:pos="709"/>
          <w:tab w:val="left" w:pos="851"/>
          <w:tab w:val="left" w:pos="993"/>
          <w:tab w:val="left" w:pos="1560"/>
        </w:tabs>
        <w:adjustRightInd w:val="0"/>
        <w:snapToGrid w:val="0"/>
        <w:spacing w:line="432" w:lineRule="auto"/>
        <w:rPr>
          <w:rFonts w:hint="eastAsia" w:eastAsia="楷体_GB2312"/>
          <w:b/>
          <w:color w:val="auto"/>
          <w:sz w:val="32"/>
          <w:szCs w:val="32"/>
          <w:lang w:eastAsia="zh-CN"/>
        </w:rPr>
      </w:pPr>
      <w:r>
        <w:rPr>
          <w:rFonts w:eastAsia="楷体_GB2312"/>
          <w:b/>
          <w:color w:val="auto"/>
          <w:sz w:val="32"/>
          <w:szCs w:val="32"/>
        </w:rPr>
        <w:t>估价委托方</w:t>
      </w:r>
      <w:r>
        <w:rPr>
          <w:rFonts w:eastAsia="楷体_GB2312"/>
          <w:color w:val="auto"/>
          <w:sz w:val="32"/>
          <w:szCs w:val="32"/>
        </w:rPr>
        <w:t>：</w:t>
      </w:r>
      <w:r>
        <w:rPr>
          <w:rFonts w:hint="eastAsia" w:eastAsia="楷体_GB2312"/>
          <w:b/>
          <w:color w:val="auto"/>
          <w:sz w:val="32"/>
          <w:szCs w:val="32"/>
          <w:lang w:eastAsia="zh-CN"/>
        </w:rPr>
        <w:t>内蒙古五原县人民法院</w:t>
      </w:r>
    </w:p>
    <w:p>
      <w:pPr>
        <w:tabs>
          <w:tab w:val="left" w:pos="709"/>
        </w:tabs>
        <w:adjustRightInd w:val="0"/>
        <w:snapToGrid w:val="0"/>
        <w:spacing w:line="432" w:lineRule="auto"/>
        <w:rPr>
          <w:rFonts w:eastAsia="楷体_GB2312"/>
          <w:b/>
          <w:color w:val="auto"/>
          <w:sz w:val="32"/>
          <w:szCs w:val="32"/>
        </w:rPr>
      </w:pPr>
      <w:r>
        <w:rPr>
          <w:rFonts w:eastAsia="楷体_GB2312"/>
          <w:b/>
          <w:color w:val="auto"/>
          <w:sz w:val="32"/>
          <w:szCs w:val="32"/>
        </w:rPr>
        <w:t>房地产估价机构</w:t>
      </w:r>
      <w:r>
        <w:rPr>
          <w:rFonts w:eastAsia="楷体_GB2312"/>
          <w:color w:val="auto"/>
          <w:sz w:val="32"/>
          <w:szCs w:val="32"/>
        </w:rPr>
        <w:t>：</w:t>
      </w:r>
      <w:r>
        <w:rPr>
          <w:rFonts w:eastAsia="楷体_GB2312"/>
          <w:b/>
          <w:color w:val="auto"/>
          <w:sz w:val="32"/>
          <w:szCs w:val="32"/>
        </w:rPr>
        <w:t>内蒙古科瑞房地产土地资产评估有限公司</w:t>
      </w:r>
    </w:p>
    <w:p>
      <w:pPr>
        <w:tabs>
          <w:tab w:val="left" w:pos="2520"/>
        </w:tabs>
        <w:adjustRightInd w:val="0"/>
        <w:snapToGrid w:val="0"/>
        <w:spacing w:line="432" w:lineRule="auto"/>
        <w:rPr>
          <w:rFonts w:eastAsia="楷体_GB2312"/>
          <w:b/>
          <w:color w:val="auto"/>
          <w:sz w:val="32"/>
          <w:szCs w:val="32"/>
        </w:rPr>
      </w:pPr>
      <w:r>
        <w:rPr>
          <w:rFonts w:eastAsia="楷体_GB2312"/>
          <w:b/>
          <w:color w:val="auto"/>
          <w:sz w:val="32"/>
          <w:szCs w:val="32"/>
        </w:rPr>
        <w:t>注册房地产估价师</w:t>
      </w:r>
      <w:r>
        <w:rPr>
          <w:rFonts w:eastAsia="楷体_GB2312"/>
          <w:color w:val="auto"/>
          <w:sz w:val="32"/>
          <w:szCs w:val="32"/>
        </w:rPr>
        <w:t>：</w:t>
      </w:r>
      <w:r>
        <w:rPr>
          <w:rFonts w:eastAsia="楷体_GB2312"/>
          <w:b/>
          <w:color w:val="auto"/>
          <w:sz w:val="32"/>
          <w:szCs w:val="32"/>
        </w:rPr>
        <w:t xml:space="preserve">历福友   </w:t>
      </w:r>
      <w:r>
        <w:rPr>
          <w:rFonts w:hint="eastAsia" w:eastAsia="楷体_GB2312"/>
          <w:b/>
          <w:color w:val="auto"/>
          <w:sz w:val="32"/>
          <w:szCs w:val="32"/>
        </w:rPr>
        <w:t xml:space="preserve"> </w:t>
      </w:r>
      <w:r>
        <w:rPr>
          <w:rFonts w:eastAsia="楷体_GB2312"/>
          <w:b/>
          <w:color w:val="auto"/>
          <w:sz w:val="32"/>
          <w:szCs w:val="32"/>
        </w:rPr>
        <w:t>1520050003</w:t>
      </w:r>
    </w:p>
    <w:p>
      <w:pPr>
        <w:tabs>
          <w:tab w:val="left" w:pos="2520"/>
        </w:tabs>
        <w:adjustRightInd w:val="0"/>
        <w:snapToGrid w:val="0"/>
        <w:spacing w:line="432" w:lineRule="auto"/>
        <w:ind w:firstLine="2875" w:firstLineChars="895"/>
        <w:rPr>
          <w:rFonts w:hint="eastAsia" w:eastAsia="楷体_GB2312"/>
          <w:color w:val="auto"/>
          <w:sz w:val="32"/>
          <w:szCs w:val="32"/>
          <w:lang w:val="en-US" w:eastAsia="zh-CN"/>
        </w:rPr>
      </w:pPr>
      <w:r>
        <w:rPr>
          <w:rFonts w:hint="eastAsia" w:eastAsia="楷体_GB2312"/>
          <w:b/>
          <w:color w:val="auto"/>
          <w:sz w:val="32"/>
          <w:szCs w:val="32"/>
          <w:lang w:eastAsia="zh-CN"/>
        </w:rPr>
        <w:t>崔雪</w:t>
      </w:r>
      <w:r>
        <w:rPr>
          <w:rFonts w:eastAsia="楷体_GB2312"/>
          <w:b/>
          <w:color w:val="auto"/>
          <w:sz w:val="32"/>
          <w:szCs w:val="32"/>
        </w:rPr>
        <w:t>梅    1520</w:t>
      </w:r>
      <w:r>
        <w:rPr>
          <w:rFonts w:hint="eastAsia" w:eastAsia="楷体_GB2312"/>
          <w:b/>
          <w:color w:val="auto"/>
          <w:sz w:val="32"/>
          <w:szCs w:val="32"/>
          <w:lang w:val="en-US" w:eastAsia="zh-CN"/>
        </w:rPr>
        <w:t>160011</w:t>
      </w:r>
    </w:p>
    <w:p>
      <w:pPr>
        <w:tabs>
          <w:tab w:val="left" w:pos="540"/>
        </w:tabs>
        <w:snapToGrid w:val="0"/>
        <w:spacing w:line="432" w:lineRule="auto"/>
        <w:rPr>
          <w:rFonts w:eastAsia="楷体_GB2312"/>
          <w:b/>
          <w:color w:val="auto"/>
          <w:sz w:val="32"/>
          <w:szCs w:val="32"/>
        </w:rPr>
      </w:pPr>
      <w:r>
        <w:rPr>
          <w:rFonts w:eastAsia="楷体_GB2312"/>
          <w:b/>
          <w:color w:val="auto"/>
          <w:sz w:val="32"/>
          <w:szCs w:val="32"/>
        </w:rPr>
        <w:t>估价报告出具日期</w:t>
      </w:r>
      <w:r>
        <w:rPr>
          <w:rFonts w:eastAsia="楷体_GB2312"/>
          <w:color w:val="auto"/>
          <w:sz w:val="32"/>
          <w:szCs w:val="32"/>
        </w:rPr>
        <w:t>：</w:t>
      </w:r>
      <w:r>
        <w:rPr>
          <w:rFonts w:eastAsia="楷体_GB2312"/>
          <w:b/>
          <w:color w:val="auto"/>
          <w:sz w:val="32"/>
          <w:szCs w:val="32"/>
        </w:rPr>
        <w:t>二0一</w:t>
      </w:r>
      <w:r>
        <w:rPr>
          <w:rFonts w:hint="eastAsia" w:eastAsia="楷体_GB2312"/>
          <w:b/>
          <w:color w:val="auto"/>
          <w:sz w:val="32"/>
          <w:szCs w:val="32"/>
          <w:lang w:eastAsia="zh-CN"/>
        </w:rPr>
        <w:t>九</w:t>
      </w:r>
      <w:r>
        <w:rPr>
          <w:rFonts w:eastAsia="楷体_GB2312"/>
          <w:b/>
          <w:color w:val="auto"/>
          <w:sz w:val="32"/>
          <w:szCs w:val="32"/>
        </w:rPr>
        <w:t>年</w:t>
      </w:r>
      <w:r>
        <w:rPr>
          <w:rFonts w:hint="eastAsia" w:eastAsia="楷体_GB2312"/>
          <w:b/>
          <w:color w:val="auto"/>
          <w:sz w:val="32"/>
          <w:szCs w:val="32"/>
          <w:lang w:eastAsia="zh-CN"/>
        </w:rPr>
        <w:t>二</w:t>
      </w:r>
      <w:r>
        <w:rPr>
          <w:rFonts w:eastAsia="楷体_GB2312"/>
          <w:b/>
          <w:color w:val="auto"/>
          <w:sz w:val="32"/>
          <w:szCs w:val="32"/>
        </w:rPr>
        <w:t>月</w:t>
      </w:r>
      <w:r>
        <w:rPr>
          <w:rFonts w:hint="eastAsia" w:eastAsia="楷体_GB2312"/>
          <w:b/>
          <w:color w:val="auto"/>
          <w:sz w:val="32"/>
          <w:szCs w:val="32"/>
          <w:lang w:eastAsia="zh-CN"/>
        </w:rPr>
        <w:t>二十八</w:t>
      </w:r>
      <w:r>
        <w:rPr>
          <w:rFonts w:eastAsia="楷体_GB2312"/>
          <w:b/>
          <w:color w:val="auto"/>
          <w:sz w:val="32"/>
          <w:szCs w:val="32"/>
        </w:rPr>
        <w:t>日</w:t>
      </w:r>
    </w:p>
    <w:p>
      <w:pPr>
        <w:rPr>
          <w:rFonts w:eastAsia="楷体_GB2312"/>
          <w:b/>
          <w:color w:val="auto"/>
          <w:sz w:val="32"/>
          <w:szCs w:val="32"/>
        </w:rPr>
      </w:pPr>
      <w:r>
        <w:rPr>
          <w:rFonts w:eastAsia="楷体_GB2312"/>
          <w:b/>
          <w:color w:val="auto"/>
          <w:sz w:val="32"/>
          <w:szCs w:val="32"/>
        </w:rPr>
        <w:t>估价报告编号：</w:t>
      </w:r>
      <w:r>
        <w:rPr>
          <w:rFonts w:hint="eastAsia" w:eastAsia="楷体_GB2312"/>
          <w:b/>
          <w:color w:val="auto"/>
          <w:sz w:val="32"/>
          <w:szCs w:val="32"/>
        </w:rPr>
        <w:t>（巴彦淖尔市）内科瑞估字[201</w:t>
      </w:r>
      <w:r>
        <w:rPr>
          <w:rFonts w:hint="eastAsia" w:eastAsia="楷体_GB2312"/>
          <w:b/>
          <w:color w:val="auto"/>
          <w:sz w:val="32"/>
          <w:szCs w:val="32"/>
          <w:lang w:val="en-US" w:eastAsia="zh-CN"/>
        </w:rPr>
        <w:t>9</w:t>
      </w:r>
      <w:r>
        <w:rPr>
          <w:rFonts w:hint="eastAsia" w:eastAsia="楷体_GB2312"/>
          <w:b/>
          <w:color w:val="auto"/>
          <w:sz w:val="32"/>
          <w:szCs w:val="32"/>
        </w:rPr>
        <w:t>]第</w:t>
      </w:r>
      <w:r>
        <w:rPr>
          <w:rFonts w:hint="eastAsia" w:eastAsia="楷体_GB2312"/>
          <w:b/>
          <w:color w:val="auto"/>
          <w:sz w:val="32"/>
          <w:szCs w:val="32"/>
          <w:lang w:val="en-US" w:eastAsia="zh-CN"/>
        </w:rPr>
        <w:t>0005</w:t>
      </w:r>
      <w:r>
        <w:rPr>
          <w:rFonts w:hint="eastAsia" w:eastAsia="楷体_GB2312"/>
          <w:b/>
          <w:color w:val="auto"/>
          <w:sz w:val="32"/>
          <w:szCs w:val="32"/>
        </w:rPr>
        <w:t>号</w:t>
      </w:r>
    </w:p>
    <w:p>
      <w:pPr>
        <w:tabs>
          <w:tab w:val="left" w:pos="540"/>
        </w:tabs>
        <w:snapToGrid w:val="0"/>
        <w:spacing w:line="432" w:lineRule="auto"/>
        <w:rPr>
          <w:rFonts w:eastAsia="楷体_GB2312"/>
          <w:b/>
          <w:color w:val="auto"/>
          <w:sz w:val="32"/>
          <w:szCs w:val="32"/>
        </w:rPr>
      </w:pPr>
    </w:p>
    <w:p>
      <w:pPr>
        <w:tabs>
          <w:tab w:val="left" w:pos="540"/>
        </w:tabs>
        <w:snapToGrid w:val="0"/>
        <w:spacing w:line="432" w:lineRule="auto"/>
        <w:rPr>
          <w:rFonts w:eastAsia="楷体_GB2312"/>
          <w:b/>
          <w:color w:val="auto"/>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814" w:right="1133" w:bottom="1418" w:left="1701" w:header="1417" w:footer="737" w:gutter="0"/>
          <w:pgNumType w:start="1"/>
          <w:cols w:space="720" w:num="1"/>
          <w:titlePg/>
          <w:docGrid w:linePitch="286" w:charSpace="0"/>
        </w:sectPr>
      </w:pPr>
    </w:p>
    <w:p>
      <w:pPr>
        <w:pStyle w:val="2"/>
        <w:spacing w:line="600" w:lineRule="exact"/>
        <w:rPr>
          <w:color w:val="auto"/>
          <w:szCs w:val="28"/>
        </w:rPr>
      </w:pPr>
      <w:bookmarkStart w:id="2" w:name="_Toc521268497"/>
      <w:r>
        <w:rPr>
          <w:color w:val="auto"/>
          <w:szCs w:val="28"/>
        </w:rPr>
        <w:t>致估价委托方函</w:t>
      </w:r>
      <w:bookmarkEnd w:id="2"/>
    </w:p>
    <w:p>
      <w:pPr>
        <w:adjustRightInd w:val="0"/>
        <w:snapToGrid w:val="0"/>
        <w:spacing w:line="600" w:lineRule="exact"/>
        <w:jc w:val="left"/>
        <w:rPr>
          <w:rFonts w:eastAsia="仿宋_GB2312"/>
          <w:color w:val="auto"/>
          <w:sz w:val="28"/>
          <w:szCs w:val="28"/>
        </w:rPr>
      </w:pPr>
      <w:r>
        <w:rPr>
          <w:rFonts w:hint="eastAsia" w:eastAsia="仿宋_GB2312"/>
          <w:color w:val="auto"/>
          <w:sz w:val="28"/>
          <w:szCs w:val="28"/>
          <w:lang w:eastAsia="zh-CN"/>
        </w:rPr>
        <w:t>内蒙古五原县人民法院</w:t>
      </w:r>
      <w:r>
        <w:rPr>
          <w:rFonts w:eastAsia="仿宋_GB2312"/>
          <w:color w:val="auto"/>
          <w:sz w:val="28"/>
          <w:szCs w:val="28"/>
        </w:rPr>
        <w:t>：</w:t>
      </w:r>
    </w:p>
    <w:p>
      <w:pPr>
        <w:adjustRightInd w:val="0"/>
        <w:snapToGrid w:val="0"/>
        <w:spacing w:beforeLines="50" w:line="600" w:lineRule="exact"/>
        <w:ind w:firstLine="560" w:firstLineChars="200"/>
        <w:rPr>
          <w:rFonts w:eastAsia="仿宋_GB2312"/>
          <w:color w:val="auto"/>
          <w:sz w:val="28"/>
          <w:szCs w:val="28"/>
        </w:rPr>
      </w:pPr>
      <w:r>
        <w:rPr>
          <w:rFonts w:eastAsia="仿宋_GB2312"/>
          <w:color w:val="auto"/>
          <w:sz w:val="28"/>
          <w:szCs w:val="28"/>
        </w:rPr>
        <w:t>承蒙委托，我公司对</w:t>
      </w:r>
      <w:r>
        <w:rPr>
          <w:rFonts w:hint="eastAsia" w:eastAsia="仿宋_GB2312"/>
          <w:color w:val="auto"/>
          <w:sz w:val="28"/>
          <w:szCs w:val="28"/>
          <w:lang w:eastAsia="zh-CN"/>
        </w:rPr>
        <w:t>燕飞龙、何翠娥</w:t>
      </w:r>
      <w:r>
        <w:rPr>
          <w:rFonts w:eastAsia="仿宋_GB2312"/>
          <w:color w:val="auto"/>
          <w:sz w:val="28"/>
          <w:szCs w:val="28"/>
        </w:rPr>
        <w:t>位于</w:t>
      </w:r>
      <w:r>
        <w:rPr>
          <w:rFonts w:hint="eastAsia" w:eastAsia="仿宋_GB2312"/>
          <w:color w:val="auto"/>
          <w:sz w:val="28"/>
          <w:szCs w:val="28"/>
          <w:lang w:eastAsia="zh-CN"/>
        </w:rPr>
        <w:t>五原县隆兴昌镇中意佳苑</w:t>
      </w:r>
      <w:r>
        <w:rPr>
          <w:rFonts w:hint="eastAsia" w:eastAsia="楷体_GB2312"/>
          <w:b w:val="0"/>
          <w:bCs/>
          <w:color w:val="auto"/>
          <w:sz w:val="28"/>
          <w:szCs w:val="28"/>
          <w:lang w:val="en-US" w:eastAsia="zh-CN"/>
        </w:rPr>
        <w:t>2-4-941</w:t>
      </w:r>
      <w:r>
        <w:rPr>
          <w:rFonts w:eastAsia="仿宋_GB2312"/>
          <w:color w:val="auto"/>
          <w:sz w:val="28"/>
          <w:szCs w:val="28"/>
        </w:rPr>
        <w:t>住宅房地产（</w:t>
      </w:r>
      <w:r>
        <w:rPr>
          <w:rFonts w:hint="eastAsia" w:eastAsia="仿宋_GB2312"/>
          <w:color w:val="auto"/>
          <w:sz w:val="28"/>
          <w:szCs w:val="28"/>
        </w:rPr>
        <w:t>房屋所有权人</w:t>
      </w:r>
      <w:r>
        <w:rPr>
          <w:rFonts w:eastAsia="仿宋_GB2312"/>
          <w:color w:val="auto"/>
          <w:sz w:val="28"/>
          <w:szCs w:val="28"/>
        </w:rPr>
        <w:t>为</w:t>
      </w:r>
      <w:r>
        <w:rPr>
          <w:rFonts w:hint="eastAsia" w:eastAsia="仿宋_GB2312"/>
          <w:color w:val="auto"/>
          <w:sz w:val="28"/>
          <w:szCs w:val="28"/>
          <w:lang w:eastAsia="zh-CN"/>
        </w:rPr>
        <w:t>燕飞龙、何翠娥</w:t>
      </w:r>
      <w:r>
        <w:rPr>
          <w:rFonts w:eastAsia="仿宋_GB2312"/>
          <w:color w:val="auto"/>
          <w:sz w:val="28"/>
          <w:szCs w:val="28"/>
        </w:rPr>
        <w:t>，</w:t>
      </w:r>
      <w:r>
        <w:rPr>
          <w:rFonts w:hint="eastAsia" w:eastAsia="仿宋_GB2312"/>
          <w:color w:val="auto"/>
          <w:sz w:val="28"/>
          <w:szCs w:val="28"/>
        </w:rPr>
        <w:t>规划用途为住宅，</w:t>
      </w:r>
      <w:r>
        <w:rPr>
          <w:rFonts w:eastAsia="仿宋_GB2312"/>
          <w:color w:val="auto"/>
          <w:sz w:val="28"/>
          <w:szCs w:val="28"/>
        </w:rPr>
        <w:t>建筑面积为</w:t>
      </w:r>
      <w:r>
        <w:rPr>
          <w:rFonts w:hint="eastAsia" w:eastAsia="仿宋_GB2312"/>
          <w:color w:val="auto"/>
          <w:sz w:val="28"/>
          <w:szCs w:val="28"/>
          <w:lang w:val="en-US" w:eastAsia="zh-CN"/>
        </w:rPr>
        <w:t>138.65</w:t>
      </w:r>
      <w:r>
        <w:rPr>
          <w:rFonts w:eastAsia="仿宋_GB2312"/>
          <w:color w:val="auto"/>
          <w:sz w:val="28"/>
          <w:szCs w:val="28"/>
        </w:rPr>
        <w:t>平方米）的市场价值进行了评估。估价对象状况见下表：</w:t>
      </w:r>
    </w:p>
    <w:p>
      <w:pPr>
        <w:adjustRightInd w:val="0"/>
        <w:snapToGrid w:val="0"/>
        <w:spacing w:beforeLines="50" w:line="360" w:lineRule="auto"/>
        <w:ind w:firstLine="562" w:firstLineChars="200"/>
        <w:jc w:val="center"/>
        <w:rPr>
          <w:rFonts w:eastAsia="仿宋_GB2312"/>
          <w:b/>
          <w:color w:val="auto"/>
          <w:sz w:val="28"/>
          <w:szCs w:val="28"/>
        </w:rPr>
      </w:pPr>
      <w:r>
        <w:rPr>
          <w:rFonts w:eastAsia="仿宋_GB2312"/>
          <w:b/>
          <w:color w:val="auto"/>
          <w:sz w:val="28"/>
          <w:szCs w:val="28"/>
        </w:rPr>
        <w:t>估价对象状况表</w:t>
      </w:r>
    </w:p>
    <w:tbl>
      <w:tblPr>
        <w:tblStyle w:val="47"/>
        <w:tblW w:w="9180" w:type="dxa"/>
        <w:jc w:val="center"/>
        <w:tblInd w:w="0" w:type="dxa"/>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951"/>
        <w:gridCol w:w="1501"/>
        <w:gridCol w:w="1515"/>
        <w:gridCol w:w="1825"/>
        <w:gridCol w:w="2388"/>
      </w:tblGrid>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535" w:hRule="atLeast"/>
          <w:jc w:val="center"/>
        </w:trPr>
        <w:tc>
          <w:tcPr>
            <w:tcW w:w="1951" w:type="dxa"/>
            <w:vAlign w:val="center"/>
          </w:tcPr>
          <w:p>
            <w:pPr>
              <w:spacing w:beforeLines="50"/>
              <w:jc w:val="center"/>
              <w:rPr>
                <w:rFonts w:ascii="仿宋" w:hAnsi="仿宋" w:eastAsia="仿宋"/>
                <w:b/>
                <w:color w:val="auto"/>
                <w:szCs w:val="21"/>
              </w:rPr>
            </w:pPr>
            <w:r>
              <w:rPr>
                <w:rFonts w:hint="eastAsia" w:ascii="仿宋" w:hAnsi="仿宋" w:eastAsia="仿宋"/>
                <w:b/>
                <w:color w:val="auto"/>
                <w:szCs w:val="21"/>
              </w:rPr>
              <w:t>房屋所有权人</w:t>
            </w:r>
          </w:p>
        </w:tc>
        <w:tc>
          <w:tcPr>
            <w:tcW w:w="7229" w:type="dxa"/>
            <w:gridSpan w:val="4"/>
            <w:vAlign w:val="center"/>
          </w:tcPr>
          <w:p>
            <w:pPr>
              <w:spacing w:beforeLines="50"/>
              <w:ind w:firstLine="2940" w:firstLineChars="1400"/>
              <w:jc w:val="left"/>
              <w:rPr>
                <w:rFonts w:hint="eastAsia" w:ascii="仿宋" w:hAnsi="仿宋" w:eastAsia="仿宋"/>
                <w:color w:val="auto"/>
                <w:szCs w:val="21"/>
                <w:lang w:eastAsia="zh-CN"/>
              </w:rPr>
            </w:pPr>
            <w:r>
              <w:rPr>
                <w:rFonts w:hint="eastAsia" w:ascii="仿宋" w:hAnsi="仿宋" w:eastAsia="仿宋"/>
                <w:color w:val="auto"/>
                <w:szCs w:val="21"/>
                <w:lang w:eastAsia="zh-CN"/>
              </w:rPr>
              <w:t>燕飞龙、何翠娥</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535" w:hRule="atLeast"/>
          <w:jc w:val="center"/>
        </w:trPr>
        <w:tc>
          <w:tcPr>
            <w:tcW w:w="1951" w:type="dxa"/>
            <w:vAlign w:val="center"/>
          </w:tcPr>
          <w:p>
            <w:pPr>
              <w:spacing w:before="50"/>
              <w:jc w:val="center"/>
              <w:rPr>
                <w:rFonts w:ascii="仿宋" w:hAnsi="仿宋" w:eastAsia="仿宋"/>
                <w:b/>
                <w:color w:val="auto"/>
                <w:szCs w:val="21"/>
              </w:rPr>
            </w:pPr>
            <w:r>
              <w:rPr>
                <w:rFonts w:hint="eastAsia" w:ascii="仿宋" w:hAnsi="仿宋" w:eastAsia="仿宋"/>
                <w:b/>
                <w:color w:val="auto"/>
                <w:szCs w:val="21"/>
              </w:rPr>
              <w:t>产权证号</w:t>
            </w:r>
          </w:p>
        </w:tc>
        <w:tc>
          <w:tcPr>
            <w:tcW w:w="7229" w:type="dxa"/>
            <w:gridSpan w:val="4"/>
            <w:vAlign w:val="center"/>
          </w:tcPr>
          <w:p>
            <w:pPr>
              <w:spacing w:before="50"/>
              <w:jc w:val="center"/>
              <w:rPr>
                <w:rFonts w:ascii="仿宋" w:hAnsi="仿宋" w:eastAsia="仿宋"/>
                <w:color w:val="auto"/>
                <w:szCs w:val="21"/>
              </w:rPr>
            </w:pPr>
            <w:r>
              <w:rPr>
                <w:rFonts w:hint="eastAsia" w:ascii="仿宋" w:hAnsi="仿宋" w:eastAsia="仿宋"/>
                <w:color w:val="auto"/>
                <w:szCs w:val="21"/>
                <w:lang w:val="en-US" w:eastAsia="zh-CN"/>
              </w:rPr>
              <w:t>103021300731</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535" w:hRule="atLeast"/>
          <w:jc w:val="center"/>
        </w:trPr>
        <w:tc>
          <w:tcPr>
            <w:tcW w:w="1951" w:type="dxa"/>
            <w:vAlign w:val="center"/>
          </w:tcPr>
          <w:p>
            <w:pPr>
              <w:spacing w:before="50"/>
              <w:jc w:val="center"/>
              <w:rPr>
                <w:rFonts w:ascii="仿宋" w:hAnsi="仿宋" w:eastAsia="仿宋"/>
                <w:b/>
                <w:color w:val="auto"/>
                <w:szCs w:val="21"/>
              </w:rPr>
            </w:pPr>
            <w:r>
              <w:rPr>
                <w:rFonts w:hint="eastAsia" w:ascii="仿宋" w:hAnsi="仿宋" w:eastAsia="仿宋"/>
                <w:b/>
                <w:color w:val="auto"/>
                <w:szCs w:val="21"/>
              </w:rPr>
              <w:t>房屋坐落</w:t>
            </w:r>
          </w:p>
        </w:tc>
        <w:tc>
          <w:tcPr>
            <w:tcW w:w="7229" w:type="dxa"/>
            <w:gridSpan w:val="4"/>
            <w:vAlign w:val="center"/>
          </w:tcPr>
          <w:p>
            <w:pPr>
              <w:spacing w:before="50"/>
              <w:jc w:val="center"/>
              <w:rPr>
                <w:rFonts w:hint="eastAsia" w:ascii="仿宋" w:hAnsi="仿宋" w:eastAsia="仿宋"/>
                <w:color w:val="auto"/>
                <w:szCs w:val="21"/>
                <w:lang w:val="en-US" w:eastAsia="zh-CN"/>
              </w:rPr>
            </w:pPr>
            <w:r>
              <w:rPr>
                <w:rFonts w:hint="eastAsia" w:ascii="仿宋" w:hAnsi="仿宋" w:eastAsia="仿宋"/>
                <w:color w:val="auto"/>
                <w:szCs w:val="21"/>
              </w:rPr>
              <w:t>内蒙古自治区</w:t>
            </w:r>
            <w:r>
              <w:rPr>
                <w:rFonts w:hint="eastAsia" w:ascii="仿宋" w:hAnsi="仿宋" w:eastAsia="仿宋"/>
                <w:color w:val="auto"/>
                <w:szCs w:val="21"/>
                <w:lang w:eastAsia="zh-CN"/>
              </w:rPr>
              <w:t>五原县隆兴昌镇中意佳苑</w:t>
            </w:r>
            <w:r>
              <w:rPr>
                <w:rFonts w:hint="eastAsia" w:eastAsia="楷体_GB2312"/>
                <w:b w:val="0"/>
                <w:bCs/>
                <w:color w:val="auto"/>
                <w:sz w:val="21"/>
                <w:szCs w:val="21"/>
                <w:lang w:val="en-US" w:eastAsia="zh-CN"/>
              </w:rPr>
              <w:t>2-4-941</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535" w:hRule="atLeast"/>
          <w:jc w:val="center"/>
        </w:trPr>
        <w:tc>
          <w:tcPr>
            <w:tcW w:w="1951" w:type="dxa"/>
            <w:vAlign w:val="center"/>
          </w:tcPr>
          <w:p>
            <w:pPr>
              <w:jc w:val="center"/>
              <w:rPr>
                <w:rFonts w:ascii="仿宋" w:hAnsi="仿宋" w:eastAsia="仿宋"/>
                <w:b/>
                <w:color w:val="auto"/>
                <w:szCs w:val="21"/>
              </w:rPr>
            </w:pPr>
            <w:r>
              <w:rPr>
                <w:rFonts w:hint="eastAsia" w:ascii="仿宋" w:hAnsi="仿宋" w:eastAsia="仿宋"/>
                <w:b/>
                <w:color w:val="auto"/>
                <w:szCs w:val="21"/>
              </w:rPr>
              <w:t>幢号</w:t>
            </w:r>
          </w:p>
        </w:tc>
        <w:tc>
          <w:tcPr>
            <w:tcW w:w="1501" w:type="dxa"/>
            <w:vAlign w:val="center"/>
          </w:tcPr>
          <w:p>
            <w:pPr>
              <w:jc w:val="center"/>
              <w:rPr>
                <w:rFonts w:ascii="仿宋" w:hAnsi="仿宋" w:eastAsia="仿宋"/>
                <w:b/>
                <w:color w:val="auto"/>
                <w:szCs w:val="21"/>
              </w:rPr>
            </w:pPr>
            <w:r>
              <w:rPr>
                <w:rFonts w:hint="eastAsia" w:ascii="仿宋" w:hAnsi="仿宋" w:eastAsia="仿宋"/>
                <w:b/>
                <w:color w:val="auto"/>
                <w:szCs w:val="21"/>
              </w:rPr>
              <w:t>单元</w:t>
            </w:r>
          </w:p>
        </w:tc>
        <w:tc>
          <w:tcPr>
            <w:tcW w:w="1515" w:type="dxa"/>
            <w:vAlign w:val="center"/>
          </w:tcPr>
          <w:p>
            <w:pPr>
              <w:jc w:val="center"/>
              <w:rPr>
                <w:rFonts w:ascii="仿宋" w:hAnsi="仿宋" w:eastAsia="仿宋"/>
                <w:b/>
                <w:color w:val="auto"/>
                <w:szCs w:val="21"/>
              </w:rPr>
            </w:pPr>
            <w:r>
              <w:rPr>
                <w:rFonts w:hint="eastAsia" w:ascii="仿宋" w:hAnsi="仿宋" w:eastAsia="仿宋"/>
                <w:b/>
                <w:color w:val="auto"/>
                <w:szCs w:val="21"/>
              </w:rPr>
              <w:t>所在层次</w:t>
            </w:r>
          </w:p>
        </w:tc>
        <w:tc>
          <w:tcPr>
            <w:tcW w:w="1825" w:type="dxa"/>
            <w:vAlign w:val="center"/>
          </w:tcPr>
          <w:p>
            <w:pPr>
              <w:jc w:val="center"/>
              <w:rPr>
                <w:rFonts w:ascii="仿宋" w:hAnsi="仿宋" w:eastAsia="仿宋"/>
                <w:b/>
                <w:color w:val="auto"/>
                <w:szCs w:val="21"/>
              </w:rPr>
            </w:pPr>
            <w:r>
              <w:rPr>
                <w:rFonts w:hint="eastAsia" w:ascii="仿宋" w:hAnsi="仿宋" w:eastAsia="仿宋"/>
                <w:b/>
                <w:color w:val="auto"/>
                <w:szCs w:val="21"/>
              </w:rPr>
              <w:t>户号</w:t>
            </w:r>
          </w:p>
        </w:tc>
        <w:tc>
          <w:tcPr>
            <w:tcW w:w="2388" w:type="dxa"/>
            <w:vAlign w:val="center"/>
          </w:tcPr>
          <w:p>
            <w:pPr>
              <w:jc w:val="center"/>
              <w:rPr>
                <w:rFonts w:ascii="仿宋" w:hAnsi="仿宋" w:eastAsia="仿宋"/>
                <w:b/>
                <w:color w:val="auto"/>
                <w:szCs w:val="21"/>
              </w:rPr>
            </w:pPr>
            <w:r>
              <w:rPr>
                <w:rFonts w:hint="eastAsia" w:ascii="仿宋" w:hAnsi="仿宋" w:eastAsia="仿宋"/>
                <w:b/>
                <w:color w:val="auto"/>
                <w:szCs w:val="21"/>
              </w:rPr>
              <w:t>总层数</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535" w:hRule="atLeast"/>
          <w:jc w:val="center"/>
        </w:trPr>
        <w:tc>
          <w:tcPr>
            <w:tcW w:w="1951" w:type="dxa"/>
            <w:vAlign w:val="center"/>
          </w:tcPr>
          <w:p>
            <w:pPr>
              <w:jc w:val="center"/>
              <w:rPr>
                <w:rFonts w:hint="eastAsia" w:ascii="仿宋" w:hAnsi="仿宋" w:eastAsia="仿宋"/>
                <w:color w:val="auto"/>
                <w:szCs w:val="21"/>
                <w:lang w:eastAsia="zh-CN"/>
              </w:rPr>
            </w:pPr>
            <w:r>
              <w:rPr>
                <w:rFonts w:hint="eastAsia" w:ascii="仿宋" w:hAnsi="仿宋" w:eastAsia="仿宋"/>
                <w:color w:val="auto"/>
                <w:szCs w:val="21"/>
                <w:lang w:val="en-US" w:eastAsia="zh-CN"/>
              </w:rPr>
              <w:t>2</w:t>
            </w:r>
          </w:p>
        </w:tc>
        <w:tc>
          <w:tcPr>
            <w:tcW w:w="1501" w:type="dxa"/>
            <w:vAlign w:val="center"/>
          </w:tcPr>
          <w:p>
            <w:pPr>
              <w:jc w:val="center"/>
              <w:rPr>
                <w:rFonts w:hint="eastAsia" w:ascii="仿宋" w:hAnsi="仿宋" w:eastAsia="仿宋"/>
                <w:color w:val="auto"/>
                <w:szCs w:val="21"/>
                <w:lang w:eastAsia="zh-CN"/>
              </w:rPr>
            </w:pPr>
            <w:r>
              <w:rPr>
                <w:rFonts w:hint="eastAsia" w:ascii="仿宋" w:hAnsi="仿宋" w:eastAsia="仿宋"/>
                <w:color w:val="auto"/>
                <w:szCs w:val="21"/>
                <w:lang w:val="en-US" w:eastAsia="zh-CN"/>
              </w:rPr>
              <w:t>4</w:t>
            </w:r>
          </w:p>
        </w:tc>
        <w:tc>
          <w:tcPr>
            <w:tcW w:w="1515" w:type="dxa"/>
            <w:vAlign w:val="center"/>
          </w:tcPr>
          <w:p>
            <w:pPr>
              <w:jc w:val="center"/>
              <w:rPr>
                <w:rFonts w:hint="eastAsia" w:ascii="仿宋" w:hAnsi="仿宋" w:eastAsia="仿宋"/>
                <w:color w:val="auto"/>
                <w:szCs w:val="21"/>
                <w:lang w:val="en-US" w:eastAsia="zh-CN"/>
              </w:rPr>
            </w:pPr>
            <w:r>
              <w:rPr>
                <w:rFonts w:hint="eastAsia" w:ascii="仿宋" w:hAnsi="仿宋" w:eastAsia="仿宋"/>
                <w:color w:val="auto"/>
                <w:szCs w:val="21"/>
                <w:lang w:val="en-US" w:eastAsia="zh-CN"/>
              </w:rPr>
              <w:t>9</w:t>
            </w:r>
          </w:p>
        </w:tc>
        <w:tc>
          <w:tcPr>
            <w:tcW w:w="1825" w:type="dxa"/>
            <w:vAlign w:val="center"/>
          </w:tcPr>
          <w:p>
            <w:pPr>
              <w:jc w:val="center"/>
              <w:rPr>
                <w:rFonts w:hint="eastAsia" w:ascii="仿宋" w:hAnsi="仿宋" w:eastAsia="仿宋"/>
                <w:color w:val="auto"/>
                <w:szCs w:val="21"/>
                <w:lang w:val="en-US" w:eastAsia="zh-CN"/>
              </w:rPr>
            </w:pPr>
            <w:r>
              <w:rPr>
                <w:rFonts w:hint="eastAsia" w:ascii="仿宋" w:hAnsi="仿宋" w:eastAsia="仿宋"/>
                <w:color w:val="auto"/>
                <w:szCs w:val="21"/>
                <w:lang w:val="en-US" w:eastAsia="zh-CN"/>
              </w:rPr>
              <w:t>941</w:t>
            </w:r>
          </w:p>
        </w:tc>
        <w:tc>
          <w:tcPr>
            <w:tcW w:w="2388" w:type="dxa"/>
            <w:vAlign w:val="center"/>
          </w:tcPr>
          <w:p>
            <w:pPr>
              <w:jc w:val="center"/>
              <w:rPr>
                <w:rFonts w:hint="eastAsia" w:ascii="仿宋" w:hAnsi="仿宋" w:eastAsia="仿宋"/>
                <w:color w:val="auto"/>
                <w:szCs w:val="21"/>
                <w:lang w:val="en-US" w:eastAsia="zh-CN"/>
              </w:rPr>
            </w:pPr>
            <w:r>
              <w:rPr>
                <w:rFonts w:hint="eastAsia" w:ascii="仿宋" w:hAnsi="仿宋" w:eastAsia="仿宋"/>
                <w:color w:val="auto"/>
                <w:szCs w:val="21"/>
                <w:lang w:val="en-US" w:eastAsia="zh-CN"/>
              </w:rPr>
              <w:t>11</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535" w:hRule="atLeast"/>
          <w:jc w:val="center"/>
        </w:trPr>
        <w:tc>
          <w:tcPr>
            <w:tcW w:w="1951" w:type="dxa"/>
            <w:vAlign w:val="center"/>
          </w:tcPr>
          <w:p>
            <w:pPr>
              <w:jc w:val="center"/>
              <w:rPr>
                <w:rFonts w:ascii="仿宋" w:hAnsi="仿宋" w:eastAsia="仿宋"/>
                <w:b/>
                <w:color w:val="auto"/>
                <w:szCs w:val="21"/>
              </w:rPr>
            </w:pPr>
            <w:r>
              <w:rPr>
                <w:rFonts w:hint="eastAsia" w:ascii="仿宋" w:hAnsi="仿宋" w:eastAsia="仿宋"/>
                <w:b/>
                <w:color w:val="auto"/>
                <w:szCs w:val="21"/>
              </w:rPr>
              <w:t>建筑结构</w:t>
            </w:r>
          </w:p>
        </w:tc>
        <w:tc>
          <w:tcPr>
            <w:tcW w:w="1501" w:type="dxa"/>
            <w:vAlign w:val="center"/>
          </w:tcPr>
          <w:p>
            <w:pPr>
              <w:jc w:val="center"/>
              <w:rPr>
                <w:rFonts w:ascii="仿宋" w:hAnsi="仿宋" w:eastAsia="仿宋"/>
                <w:b/>
                <w:color w:val="auto"/>
                <w:szCs w:val="21"/>
              </w:rPr>
            </w:pPr>
            <w:r>
              <w:rPr>
                <w:rFonts w:hint="eastAsia" w:ascii="仿宋" w:hAnsi="仿宋" w:eastAsia="仿宋"/>
                <w:b/>
                <w:color w:val="auto"/>
                <w:szCs w:val="21"/>
              </w:rPr>
              <w:t>建成年份</w:t>
            </w:r>
          </w:p>
        </w:tc>
        <w:tc>
          <w:tcPr>
            <w:tcW w:w="1515" w:type="dxa"/>
            <w:vAlign w:val="center"/>
          </w:tcPr>
          <w:p>
            <w:pPr>
              <w:jc w:val="center"/>
              <w:rPr>
                <w:rFonts w:ascii="仿宋" w:hAnsi="仿宋" w:eastAsia="仿宋"/>
                <w:b/>
                <w:color w:val="auto"/>
                <w:szCs w:val="21"/>
              </w:rPr>
            </w:pPr>
            <w:r>
              <w:rPr>
                <w:rFonts w:hint="eastAsia" w:ascii="仿宋" w:hAnsi="仿宋" w:eastAsia="仿宋"/>
                <w:b/>
                <w:color w:val="auto"/>
                <w:szCs w:val="21"/>
              </w:rPr>
              <w:t>用途</w:t>
            </w:r>
          </w:p>
        </w:tc>
        <w:tc>
          <w:tcPr>
            <w:tcW w:w="1825" w:type="dxa"/>
            <w:vAlign w:val="center"/>
          </w:tcPr>
          <w:p>
            <w:pPr>
              <w:jc w:val="center"/>
              <w:rPr>
                <w:rFonts w:ascii="仿宋" w:hAnsi="仿宋" w:eastAsia="仿宋"/>
                <w:b/>
                <w:color w:val="auto"/>
                <w:szCs w:val="21"/>
              </w:rPr>
            </w:pPr>
            <w:r>
              <w:rPr>
                <w:rFonts w:hint="eastAsia" w:ascii="仿宋" w:hAnsi="仿宋" w:eastAsia="仿宋"/>
                <w:b/>
                <w:color w:val="auto"/>
                <w:szCs w:val="21"/>
              </w:rPr>
              <w:t>建筑面积（㎡）</w:t>
            </w:r>
          </w:p>
        </w:tc>
        <w:tc>
          <w:tcPr>
            <w:tcW w:w="2388" w:type="dxa"/>
            <w:vAlign w:val="center"/>
          </w:tcPr>
          <w:p>
            <w:pPr>
              <w:jc w:val="center"/>
              <w:rPr>
                <w:rFonts w:ascii="仿宋" w:hAnsi="仿宋" w:eastAsia="仿宋"/>
                <w:b/>
                <w:color w:val="auto"/>
                <w:szCs w:val="21"/>
              </w:rPr>
            </w:pPr>
            <w:r>
              <w:rPr>
                <w:rFonts w:hint="eastAsia" w:ascii="仿宋" w:hAnsi="仿宋" w:eastAsia="仿宋"/>
                <w:b/>
                <w:color w:val="auto"/>
                <w:szCs w:val="21"/>
              </w:rPr>
              <w:t>分摊土地面积（㎡）</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89" w:hRule="atLeast"/>
          <w:jc w:val="center"/>
        </w:trPr>
        <w:tc>
          <w:tcPr>
            <w:tcW w:w="1951" w:type="dxa"/>
            <w:vAlign w:val="center"/>
          </w:tcPr>
          <w:p>
            <w:pPr>
              <w:jc w:val="center"/>
              <w:rPr>
                <w:rFonts w:hint="eastAsia" w:ascii="仿宋" w:hAnsi="仿宋" w:eastAsia="仿宋"/>
                <w:color w:val="auto"/>
                <w:szCs w:val="21"/>
                <w:lang w:eastAsia="zh-CN"/>
              </w:rPr>
            </w:pPr>
            <w:r>
              <w:rPr>
                <w:rFonts w:hint="eastAsia" w:ascii="仿宋" w:hAnsi="仿宋" w:eastAsia="仿宋"/>
                <w:color w:val="auto"/>
                <w:szCs w:val="21"/>
                <w:lang w:eastAsia="zh-CN"/>
              </w:rPr>
              <w:t>砖混</w:t>
            </w:r>
          </w:p>
        </w:tc>
        <w:tc>
          <w:tcPr>
            <w:tcW w:w="1501" w:type="dxa"/>
            <w:vAlign w:val="center"/>
          </w:tcPr>
          <w:p>
            <w:pPr>
              <w:jc w:val="center"/>
              <w:rPr>
                <w:rFonts w:hint="eastAsia" w:ascii="仿宋" w:hAnsi="仿宋" w:eastAsia="仿宋"/>
                <w:color w:val="auto"/>
                <w:szCs w:val="21"/>
                <w:lang w:val="en-US" w:eastAsia="zh-CN"/>
              </w:rPr>
            </w:pPr>
            <w:r>
              <w:rPr>
                <w:rFonts w:hint="eastAsia" w:ascii="仿宋" w:hAnsi="仿宋" w:eastAsia="仿宋"/>
                <w:color w:val="auto"/>
                <w:szCs w:val="21"/>
                <w:lang w:val="en-US" w:eastAsia="zh-CN"/>
              </w:rPr>
              <w:t>2010</w:t>
            </w:r>
          </w:p>
        </w:tc>
        <w:tc>
          <w:tcPr>
            <w:tcW w:w="1515" w:type="dxa"/>
            <w:vAlign w:val="center"/>
          </w:tcPr>
          <w:p>
            <w:pPr>
              <w:jc w:val="center"/>
              <w:rPr>
                <w:rFonts w:ascii="仿宋" w:hAnsi="仿宋" w:eastAsia="仿宋"/>
                <w:color w:val="auto"/>
                <w:szCs w:val="21"/>
              </w:rPr>
            </w:pPr>
            <w:r>
              <w:rPr>
                <w:rFonts w:hint="eastAsia" w:ascii="仿宋" w:hAnsi="仿宋" w:eastAsia="仿宋"/>
                <w:color w:val="auto"/>
                <w:szCs w:val="21"/>
              </w:rPr>
              <w:t>住宅</w:t>
            </w:r>
          </w:p>
        </w:tc>
        <w:tc>
          <w:tcPr>
            <w:tcW w:w="1825" w:type="dxa"/>
            <w:vAlign w:val="center"/>
          </w:tcPr>
          <w:p>
            <w:pPr>
              <w:jc w:val="center"/>
              <w:rPr>
                <w:rFonts w:hint="eastAsia" w:ascii="仿宋" w:hAnsi="仿宋" w:eastAsia="仿宋"/>
                <w:color w:val="auto"/>
                <w:szCs w:val="21"/>
                <w:lang w:val="en-US" w:eastAsia="zh-CN"/>
              </w:rPr>
            </w:pPr>
            <w:r>
              <w:rPr>
                <w:rFonts w:hint="eastAsia" w:ascii="仿宋" w:hAnsi="仿宋" w:eastAsia="仿宋"/>
                <w:color w:val="auto"/>
                <w:szCs w:val="21"/>
                <w:lang w:val="en-US" w:eastAsia="zh-CN"/>
              </w:rPr>
              <w:t>138.65</w:t>
            </w:r>
          </w:p>
        </w:tc>
        <w:tc>
          <w:tcPr>
            <w:tcW w:w="2388" w:type="dxa"/>
            <w:vAlign w:val="center"/>
          </w:tcPr>
          <w:p>
            <w:pPr>
              <w:jc w:val="center"/>
              <w:rPr>
                <w:rFonts w:ascii="仿宋" w:hAnsi="仿宋" w:eastAsia="仿宋"/>
                <w:color w:val="auto"/>
                <w:szCs w:val="21"/>
              </w:rPr>
            </w:pPr>
            <w:r>
              <w:rPr>
                <w:rFonts w:hint="eastAsia" w:ascii="仿宋" w:hAnsi="仿宋" w:eastAsia="仿宋"/>
                <w:color w:val="auto"/>
                <w:szCs w:val="21"/>
              </w:rPr>
              <w:t>--</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535" w:hRule="atLeast"/>
          <w:jc w:val="center"/>
        </w:trPr>
        <w:tc>
          <w:tcPr>
            <w:tcW w:w="1951" w:type="dxa"/>
            <w:vAlign w:val="center"/>
          </w:tcPr>
          <w:p>
            <w:pPr>
              <w:jc w:val="center"/>
              <w:rPr>
                <w:rFonts w:ascii="仿宋" w:hAnsi="仿宋" w:eastAsia="仿宋"/>
                <w:b/>
                <w:color w:val="auto"/>
                <w:szCs w:val="21"/>
              </w:rPr>
            </w:pPr>
            <w:r>
              <w:rPr>
                <w:rFonts w:hint="eastAsia" w:ascii="仿宋" w:hAnsi="仿宋" w:eastAsia="仿宋"/>
                <w:b/>
                <w:color w:val="auto"/>
                <w:szCs w:val="21"/>
              </w:rPr>
              <w:t>共有情况</w:t>
            </w:r>
          </w:p>
        </w:tc>
        <w:tc>
          <w:tcPr>
            <w:tcW w:w="1501" w:type="dxa"/>
            <w:vAlign w:val="center"/>
          </w:tcPr>
          <w:p>
            <w:pPr>
              <w:jc w:val="center"/>
              <w:rPr>
                <w:rFonts w:ascii="仿宋" w:hAnsi="仿宋" w:eastAsia="仿宋"/>
                <w:b/>
                <w:color w:val="auto"/>
                <w:szCs w:val="21"/>
              </w:rPr>
            </w:pPr>
            <w:r>
              <w:rPr>
                <w:rFonts w:hint="eastAsia" w:ascii="仿宋" w:hAnsi="仿宋" w:eastAsia="仿宋"/>
                <w:b/>
                <w:color w:val="auto"/>
                <w:szCs w:val="21"/>
              </w:rPr>
              <w:t>产别</w:t>
            </w:r>
          </w:p>
        </w:tc>
        <w:tc>
          <w:tcPr>
            <w:tcW w:w="1515" w:type="dxa"/>
            <w:vAlign w:val="center"/>
          </w:tcPr>
          <w:p>
            <w:pPr>
              <w:jc w:val="center"/>
              <w:rPr>
                <w:rFonts w:ascii="仿宋" w:hAnsi="仿宋" w:eastAsia="仿宋"/>
                <w:b/>
                <w:color w:val="auto"/>
                <w:szCs w:val="21"/>
              </w:rPr>
            </w:pPr>
            <w:r>
              <w:rPr>
                <w:rFonts w:hint="eastAsia" w:ascii="仿宋" w:hAnsi="仿宋" w:eastAsia="仿宋"/>
                <w:b/>
                <w:color w:val="auto"/>
                <w:szCs w:val="21"/>
              </w:rPr>
              <w:t>土地用途</w:t>
            </w:r>
          </w:p>
        </w:tc>
        <w:tc>
          <w:tcPr>
            <w:tcW w:w="1825" w:type="dxa"/>
            <w:vAlign w:val="center"/>
          </w:tcPr>
          <w:p>
            <w:pPr>
              <w:jc w:val="center"/>
              <w:rPr>
                <w:rFonts w:ascii="仿宋" w:hAnsi="仿宋" w:eastAsia="仿宋"/>
                <w:b/>
                <w:color w:val="auto"/>
                <w:szCs w:val="21"/>
              </w:rPr>
            </w:pPr>
            <w:r>
              <w:rPr>
                <w:rFonts w:hint="eastAsia" w:ascii="仿宋" w:hAnsi="仿宋" w:eastAsia="仿宋"/>
                <w:b/>
                <w:color w:val="auto"/>
                <w:szCs w:val="21"/>
              </w:rPr>
              <w:t>土地使用权类型</w:t>
            </w:r>
          </w:p>
        </w:tc>
        <w:tc>
          <w:tcPr>
            <w:tcW w:w="2388" w:type="dxa"/>
            <w:vAlign w:val="center"/>
          </w:tcPr>
          <w:p>
            <w:pPr>
              <w:jc w:val="center"/>
              <w:rPr>
                <w:rFonts w:ascii="仿宋" w:hAnsi="仿宋" w:eastAsia="仿宋"/>
                <w:b/>
                <w:color w:val="auto"/>
                <w:szCs w:val="21"/>
              </w:rPr>
            </w:pPr>
            <w:r>
              <w:rPr>
                <w:rFonts w:hint="eastAsia" w:ascii="仿宋" w:hAnsi="仿宋" w:eastAsia="仿宋"/>
                <w:b/>
                <w:color w:val="auto"/>
                <w:szCs w:val="21"/>
              </w:rPr>
              <w:t>登记时间</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535" w:hRule="atLeast"/>
          <w:jc w:val="center"/>
        </w:trPr>
        <w:tc>
          <w:tcPr>
            <w:tcW w:w="1951" w:type="dxa"/>
            <w:vAlign w:val="center"/>
          </w:tcPr>
          <w:p>
            <w:pPr>
              <w:jc w:val="center"/>
              <w:rPr>
                <w:rFonts w:hint="eastAsia" w:ascii="仿宋" w:hAnsi="仿宋" w:eastAsia="仿宋"/>
                <w:color w:val="auto"/>
                <w:szCs w:val="21"/>
                <w:lang w:eastAsia="zh-CN"/>
              </w:rPr>
            </w:pPr>
            <w:r>
              <w:rPr>
                <w:rFonts w:hint="eastAsia" w:ascii="仿宋" w:hAnsi="仿宋" w:eastAsia="仿宋"/>
                <w:color w:val="auto"/>
                <w:szCs w:val="21"/>
                <w:lang w:eastAsia="zh-CN"/>
              </w:rPr>
              <w:t>共同共有</w:t>
            </w:r>
          </w:p>
        </w:tc>
        <w:tc>
          <w:tcPr>
            <w:tcW w:w="1501" w:type="dxa"/>
            <w:vAlign w:val="center"/>
          </w:tcPr>
          <w:p>
            <w:pPr>
              <w:jc w:val="center"/>
              <w:rPr>
                <w:rFonts w:ascii="仿宋" w:hAnsi="仿宋" w:eastAsia="仿宋"/>
                <w:color w:val="auto"/>
                <w:szCs w:val="21"/>
              </w:rPr>
            </w:pPr>
            <w:r>
              <w:rPr>
                <w:rFonts w:hint="eastAsia" w:ascii="仿宋" w:hAnsi="仿宋" w:eastAsia="仿宋"/>
                <w:color w:val="auto"/>
                <w:szCs w:val="21"/>
              </w:rPr>
              <w:t>——</w:t>
            </w:r>
          </w:p>
        </w:tc>
        <w:tc>
          <w:tcPr>
            <w:tcW w:w="1515" w:type="dxa"/>
            <w:vAlign w:val="center"/>
          </w:tcPr>
          <w:p>
            <w:pPr>
              <w:jc w:val="center"/>
              <w:rPr>
                <w:rFonts w:ascii="仿宋" w:hAnsi="仿宋" w:eastAsia="仿宋"/>
                <w:color w:val="auto"/>
                <w:szCs w:val="21"/>
              </w:rPr>
            </w:pPr>
            <w:r>
              <w:rPr>
                <w:rFonts w:hint="eastAsia" w:ascii="仿宋" w:hAnsi="仿宋" w:eastAsia="仿宋"/>
                <w:color w:val="auto"/>
                <w:szCs w:val="21"/>
              </w:rPr>
              <w:t>--</w:t>
            </w:r>
          </w:p>
        </w:tc>
        <w:tc>
          <w:tcPr>
            <w:tcW w:w="1825" w:type="dxa"/>
            <w:vAlign w:val="center"/>
          </w:tcPr>
          <w:p>
            <w:pPr>
              <w:jc w:val="center"/>
              <w:rPr>
                <w:rFonts w:ascii="仿宋" w:hAnsi="仿宋" w:eastAsia="仿宋"/>
                <w:color w:val="auto"/>
                <w:szCs w:val="21"/>
              </w:rPr>
            </w:pPr>
            <w:r>
              <w:rPr>
                <w:rFonts w:hint="eastAsia" w:ascii="仿宋" w:hAnsi="仿宋" w:eastAsia="仿宋"/>
                <w:color w:val="auto"/>
                <w:szCs w:val="21"/>
              </w:rPr>
              <w:t>--</w:t>
            </w:r>
          </w:p>
        </w:tc>
        <w:tc>
          <w:tcPr>
            <w:tcW w:w="2388" w:type="dxa"/>
            <w:vAlign w:val="center"/>
          </w:tcPr>
          <w:p>
            <w:pPr>
              <w:jc w:val="center"/>
              <w:rPr>
                <w:rFonts w:ascii="仿宋" w:hAnsi="仿宋" w:eastAsia="仿宋"/>
                <w:color w:val="auto"/>
                <w:szCs w:val="21"/>
              </w:rPr>
            </w:pPr>
            <w:r>
              <w:rPr>
                <w:rFonts w:hint="eastAsia" w:ascii="仿宋" w:hAnsi="仿宋" w:eastAsia="仿宋"/>
                <w:color w:val="auto"/>
                <w:szCs w:val="21"/>
              </w:rPr>
              <w:t>201</w:t>
            </w:r>
            <w:r>
              <w:rPr>
                <w:rFonts w:hint="eastAsia" w:ascii="仿宋" w:hAnsi="仿宋" w:eastAsia="仿宋"/>
                <w:color w:val="auto"/>
                <w:szCs w:val="21"/>
                <w:lang w:val="en-US" w:eastAsia="zh-CN"/>
              </w:rPr>
              <w:t>3</w:t>
            </w:r>
            <w:r>
              <w:rPr>
                <w:rFonts w:hint="eastAsia" w:ascii="仿宋" w:hAnsi="仿宋" w:eastAsia="仿宋"/>
                <w:color w:val="auto"/>
                <w:szCs w:val="21"/>
              </w:rPr>
              <w:t>年</w:t>
            </w:r>
            <w:r>
              <w:rPr>
                <w:rFonts w:hint="eastAsia" w:ascii="仿宋" w:hAnsi="仿宋" w:eastAsia="仿宋"/>
                <w:color w:val="auto"/>
                <w:szCs w:val="21"/>
                <w:lang w:val="en-US" w:eastAsia="zh-CN"/>
              </w:rPr>
              <w:t>8</w:t>
            </w:r>
            <w:r>
              <w:rPr>
                <w:rFonts w:hint="eastAsia" w:ascii="仿宋" w:hAnsi="仿宋" w:eastAsia="仿宋"/>
                <w:color w:val="auto"/>
                <w:szCs w:val="21"/>
              </w:rPr>
              <w:t>月</w:t>
            </w:r>
            <w:r>
              <w:rPr>
                <w:rFonts w:hint="eastAsia" w:ascii="仿宋" w:hAnsi="仿宋" w:eastAsia="仿宋"/>
                <w:color w:val="auto"/>
                <w:szCs w:val="21"/>
                <w:lang w:val="en-US" w:eastAsia="zh-CN"/>
              </w:rPr>
              <w:t>13</w:t>
            </w:r>
            <w:r>
              <w:rPr>
                <w:rFonts w:hint="eastAsia" w:ascii="仿宋" w:hAnsi="仿宋" w:eastAsia="仿宋"/>
                <w:color w:val="auto"/>
                <w:szCs w:val="21"/>
              </w:rPr>
              <w:t>日</w:t>
            </w:r>
          </w:p>
        </w:tc>
      </w:tr>
    </w:tbl>
    <w:p>
      <w:pPr>
        <w:adjustRightInd w:val="0"/>
        <w:snapToGrid w:val="0"/>
        <w:spacing w:line="600" w:lineRule="exact"/>
        <w:ind w:firstLine="562" w:firstLineChars="200"/>
        <w:rPr>
          <w:rFonts w:eastAsia="仿宋_GB2312"/>
          <w:color w:val="auto"/>
          <w:sz w:val="28"/>
          <w:szCs w:val="28"/>
        </w:rPr>
      </w:pPr>
      <w:r>
        <w:rPr>
          <w:rFonts w:eastAsia="仿宋_GB2312"/>
          <w:b/>
          <w:color w:val="auto"/>
          <w:sz w:val="28"/>
          <w:szCs w:val="28"/>
        </w:rPr>
        <w:t>估价目的</w:t>
      </w:r>
      <w:r>
        <w:rPr>
          <w:rFonts w:eastAsia="仿宋_GB2312"/>
          <w:color w:val="auto"/>
          <w:sz w:val="28"/>
          <w:szCs w:val="28"/>
        </w:rPr>
        <w:t>：</w:t>
      </w:r>
    </w:p>
    <w:p>
      <w:pPr>
        <w:adjustRightInd w:val="0"/>
        <w:snapToGrid w:val="0"/>
        <w:spacing w:line="600" w:lineRule="exact"/>
        <w:ind w:firstLine="560" w:firstLineChars="200"/>
        <w:rPr>
          <w:rFonts w:eastAsia="仿宋_GB2312"/>
          <w:color w:val="auto"/>
          <w:sz w:val="28"/>
          <w:szCs w:val="28"/>
        </w:rPr>
      </w:pPr>
      <w:r>
        <w:rPr>
          <w:rFonts w:eastAsia="仿宋_GB2312"/>
          <w:color w:val="auto"/>
          <w:sz w:val="28"/>
          <w:szCs w:val="28"/>
        </w:rPr>
        <w:t>委托方欲核实被申请人</w:t>
      </w:r>
      <w:r>
        <w:rPr>
          <w:rFonts w:hint="eastAsia" w:eastAsia="仿宋_GB2312"/>
          <w:color w:val="auto"/>
          <w:sz w:val="28"/>
          <w:szCs w:val="28"/>
          <w:lang w:eastAsia="zh-CN"/>
        </w:rPr>
        <w:t>燕飞龙、何翠娥</w:t>
      </w:r>
      <w:r>
        <w:rPr>
          <w:rFonts w:eastAsia="仿宋_GB2312"/>
          <w:color w:val="auto"/>
          <w:sz w:val="28"/>
          <w:szCs w:val="28"/>
        </w:rPr>
        <w:t>位于</w:t>
      </w:r>
      <w:r>
        <w:rPr>
          <w:rFonts w:hint="eastAsia" w:eastAsia="仿宋_GB2312"/>
          <w:color w:val="auto"/>
          <w:sz w:val="28"/>
          <w:szCs w:val="28"/>
          <w:lang w:eastAsia="zh-CN"/>
        </w:rPr>
        <w:t>五原县隆兴昌镇中意佳苑</w:t>
      </w:r>
      <w:r>
        <w:rPr>
          <w:rFonts w:hint="eastAsia" w:eastAsia="楷体_GB2312"/>
          <w:b w:val="0"/>
          <w:bCs/>
          <w:color w:val="auto"/>
          <w:sz w:val="28"/>
          <w:szCs w:val="28"/>
          <w:lang w:val="en-US" w:eastAsia="zh-CN"/>
        </w:rPr>
        <w:t>2-4-941</w:t>
      </w:r>
      <w:r>
        <w:rPr>
          <w:rFonts w:eastAsia="仿宋_GB2312"/>
          <w:color w:val="auto"/>
          <w:sz w:val="28"/>
          <w:szCs w:val="28"/>
        </w:rPr>
        <w:t>住宅房地产的价值，为委托方进行</w:t>
      </w:r>
      <w:r>
        <w:rPr>
          <w:rFonts w:hint="eastAsia" w:eastAsia="仿宋_GB2312"/>
          <w:color w:val="auto"/>
          <w:sz w:val="28"/>
          <w:szCs w:val="28"/>
          <w:lang w:eastAsia="zh-CN"/>
        </w:rPr>
        <w:t>司法拍卖</w:t>
      </w:r>
      <w:r>
        <w:rPr>
          <w:rFonts w:eastAsia="仿宋_GB2312"/>
          <w:color w:val="auto"/>
          <w:sz w:val="28"/>
          <w:szCs w:val="28"/>
        </w:rPr>
        <w:t>提供市场价格参考依据。</w:t>
      </w:r>
    </w:p>
    <w:p>
      <w:pPr>
        <w:adjustRightInd w:val="0"/>
        <w:snapToGrid w:val="0"/>
        <w:spacing w:line="600" w:lineRule="exact"/>
        <w:ind w:firstLine="562" w:firstLineChars="200"/>
        <w:rPr>
          <w:rFonts w:eastAsia="仿宋_GB2312"/>
          <w:color w:val="auto"/>
          <w:sz w:val="28"/>
          <w:szCs w:val="28"/>
        </w:rPr>
      </w:pPr>
      <w:r>
        <w:rPr>
          <w:rFonts w:eastAsia="仿宋_GB2312"/>
          <w:b/>
          <w:color w:val="auto"/>
          <w:sz w:val="28"/>
          <w:szCs w:val="28"/>
        </w:rPr>
        <w:t>价值时点：</w:t>
      </w:r>
      <w:r>
        <w:rPr>
          <w:rFonts w:eastAsia="仿宋_GB2312"/>
          <w:color w:val="auto"/>
          <w:sz w:val="28"/>
          <w:szCs w:val="28"/>
        </w:rPr>
        <w:t>201</w:t>
      </w:r>
      <w:r>
        <w:rPr>
          <w:rFonts w:hint="eastAsia" w:eastAsia="仿宋_GB2312"/>
          <w:color w:val="auto"/>
          <w:sz w:val="28"/>
          <w:szCs w:val="28"/>
          <w:lang w:val="en-US" w:eastAsia="zh-CN"/>
        </w:rPr>
        <w:t>9</w:t>
      </w:r>
      <w:r>
        <w:rPr>
          <w:rFonts w:eastAsia="仿宋_GB2312"/>
          <w:color w:val="auto"/>
          <w:sz w:val="28"/>
          <w:szCs w:val="28"/>
        </w:rPr>
        <w:t>年</w:t>
      </w:r>
      <w:r>
        <w:rPr>
          <w:rFonts w:hint="eastAsia" w:eastAsia="仿宋_GB2312"/>
          <w:color w:val="auto"/>
          <w:sz w:val="28"/>
          <w:szCs w:val="28"/>
          <w:lang w:val="en-US" w:eastAsia="zh-CN"/>
        </w:rPr>
        <w:t>1</w:t>
      </w:r>
      <w:r>
        <w:rPr>
          <w:rFonts w:eastAsia="仿宋_GB2312"/>
          <w:color w:val="auto"/>
          <w:sz w:val="28"/>
          <w:szCs w:val="28"/>
        </w:rPr>
        <w:t>月</w:t>
      </w:r>
      <w:r>
        <w:rPr>
          <w:rFonts w:hint="eastAsia" w:eastAsia="仿宋_GB2312"/>
          <w:color w:val="auto"/>
          <w:sz w:val="28"/>
          <w:szCs w:val="28"/>
          <w:lang w:val="en-US" w:eastAsia="zh-CN"/>
        </w:rPr>
        <w:t>24</w:t>
      </w:r>
      <w:r>
        <w:rPr>
          <w:rFonts w:eastAsia="仿宋_GB2312"/>
          <w:color w:val="auto"/>
          <w:sz w:val="28"/>
          <w:szCs w:val="28"/>
        </w:rPr>
        <w:t>日</w:t>
      </w:r>
    </w:p>
    <w:p>
      <w:pPr>
        <w:adjustRightInd w:val="0"/>
        <w:snapToGrid w:val="0"/>
        <w:spacing w:line="600" w:lineRule="exact"/>
        <w:ind w:firstLine="562" w:firstLineChars="200"/>
        <w:rPr>
          <w:rFonts w:eastAsia="仿宋_GB2312"/>
          <w:color w:val="auto"/>
          <w:sz w:val="28"/>
          <w:szCs w:val="28"/>
        </w:rPr>
      </w:pPr>
      <w:r>
        <w:rPr>
          <w:rFonts w:eastAsia="仿宋_GB2312"/>
          <w:b/>
          <w:color w:val="auto"/>
          <w:sz w:val="28"/>
          <w:szCs w:val="28"/>
        </w:rPr>
        <w:t>价值类型：</w:t>
      </w:r>
      <w:r>
        <w:rPr>
          <w:rFonts w:eastAsia="仿宋_GB2312"/>
          <w:color w:val="auto"/>
          <w:sz w:val="28"/>
          <w:szCs w:val="28"/>
        </w:rPr>
        <w:t>待估对象在</w:t>
      </w:r>
      <w:r>
        <w:rPr>
          <w:rFonts w:hint="eastAsia" w:eastAsia="仿宋_GB2312"/>
          <w:color w:val="auto"/>
          <w:sz w:val="28"/>
          <w:szCs w:val="28"/>
          <w:lang w:eastAsia="zh-CN"/>
        </w:rPr>
        <w:t>一</w:t>
      </w:r>
      <w:r>
        <w:rPr>
          <w:rFonts w:eastAsia="仿宋_GB2312"/>
          <w:color w:val="auto"/>
          <w:sz w:val="28"/>
          <w:szCs w:val="28"/>
        </w:rPr>
        <w:t>级房地产市场的公开市场价格。市场价值是指某种房地产在市场上的一般、平均水平价格。</w:t>
      </w:r>
    </w:p>
    <w:p>
      <w:pPr>
        <w:adjustRightInd w:val="0"/>
        <w:snapToGrid w:val="0"/>
        <w:spacing w:line="600" w:lineRule="exact"/>
        <w:ind w:firstLine="562" w:firstLineChars="200"/>
        <w:rPr>
          <w:rFonts w:eastAsia="仿宋_GB2312"/>
          <w:color w:val="auto"/>
          <w:sz w:val="28"/>
          <w:szCs w:val="28"/>
        </w:rPr>
      </w:pPr>
      <w:r>
        <w:rPr>
          <w:rFonts w:eastAsia="仿宋_GB2312"/>
          <w:b/>
          <w:color w:val="auto"/>
          <w:sz w:val="28"/>
          <w:szCs w:val="28"/>
        </w:rPr>
        <w:t>估价方法：</w:t>
      </w:r>
      <w:r>
        <w:rPr>
          <w:rFonts w:eastAsia="仿宋_GB2312"/>
          <w:color w:val="auto"/>
          <w:sz w:val="28"/>
          <w:szCs w:val="28"/>
        </w:rPr>
        <w:t>本次评估选用比较法、收益法进行评估。</w:t>
      </w:r>
    </w:p>
    <w:p>
      <w:pPr>
        <w:tabs>
          <w:tab w:val="left" w:pos="993"/>
        </w:tabs>
        <w:adjustRightInd w:val="0"/>
        <w:snapToGrid w:val="0"/>
        <w:spacing w:line="600" w:lineRule="exact"/>
        <w:ind w:firstLine="562" w:firstLineChars="200"/>
        <w:rPr>
          <w:rFonts w:eastAsia="仿宋_GB2312"/>
          <w:color w:val="auto"/>
          <w:sz w:val="28"/>
          <w:szCs w:val="28"/>
        </w:rPr>
      </w:pPr>
      <w:r>
        <w:rPr>
          <w:rFonts w:hint="eastAsia" w:eastAsia="仿宋_GB2312"/>
          <w:b/>
          <w:color w:val="auto"/>
          <w:sz w:val="28"/>
          <w:szCs w:val="28"/>
        </w:rPr>
        <w:t>估价结果：</w:t>
      </w:r>
      <w:r>
        <w:rPr>
          <w:rFonts w:eastAsia="仿宋_GB2312"/>
          <w:color w:val="auto"/>
          <w:sz w:val="28"/>
          <w:szCs w:val="28"/>
        </w:rPr>
        <w:t>估价人员遵循各项估价原则，根据估价目的和国家有关房地产估价的规范、规定，按照估价程序，经过实地查勘与市场调查，并进行了分析、测算和判断，确定估价对象（</w:t>
      </w:r>
      <w:r>
        <w:rPr>
          <w:rFonts w:hint="eastAsia" w:eastAsia="仿宋_GB2312"/>
          <w:color w:val="auto"/>
          <w:sz w:val="28"/>
          <w:szCs w:val="28"/>
          <w:lang w:eastAsia="zh-CN"/>
        </w:rPr>
        <w:t>五原县隆兴昌镇中意佳苑</w:t>
      </w:r>
      <w:r>
        <w:rPr>
          <w:rFonts w:hint="eastAsia" w:eastAsia="楷体_GB2312"/>
          <w:b w:val="0"/>
          <w:bCs/>
          <w:color w:val="auto"/>
          <w:sz w:val="28"/>
          <w:szCs w:val="28"/>
          <w:lang w:val="en-US" w:eastAsia="zh-CN"/>
        </w:rPr>
        <w:t>2-4-941</w:t>
      </w:r>
      <w:r>
        <w:rPr>
          <w:rFonts w:eastAsia="仿宋_GB2312"/>
          <w:color w:val="auto"/>
          <w:sz w:val="28"/>
          <w:szCs w:val="28"/>
        </w:rPr>
        <w:t>住宅房地产）在满足全部假设和限制条件下于价值时点</w:t>
      </w:r>
      <w:r>
        <w:rPr>
          <w:rFonts w:hint="eastAsia" w:eastAsia="仿宋_GB2312"/>
          <w:color w:val="auto"/>
          <w:sz w:val="28"/>
          <w:szCs w:val="28"/>
        </w:rPr>
        <w:t>201</w:t>
      </w:r>
      <w:r>
        <w:rPr>
          <w:rFonts w:hint="eastAsia" w:eastAsia="仿宋_GB2312"/>
          <w:color w:val="auto"/>
          <w:sz w:val="28"/>
          <w:szCs w:val="28"/>
          <w:lang w:val="en-US" w:eastAsia="zh-CN"/>
        </w:rPr>
        <w:t>9</w:t>
      </w:r>
      <w:r>
        <w:rPr>
          <w:rFonts w:hint="eastAsia" w:eastAsia="仿宋_GB2312"/>
          <w:color w:val="auto"/>
          <w:sz w:val="28"/>
          <w:szCs w:val="28"/>
        </w:rPr>
        <w:t>年</w:t>
      </w:r>
      <w:r>
        <w:rPr>
          <w:rFonts w:hint="eastAsia" w:eastAsia="仿宋_GB2312"/>
          <w:color w:val="auto"/>
          <w:sz w:val="28"/>
          <w:szCs w:val="28"/>
          <w:lang w:val="en-US" w:eastAsia="zh-CN"/>
        </w:rPr>
        <w:t>1</w:t>
      </w:r>
      <w:r>
        <w:rPr>
          <w:rFonts w:hint="eastAsia" w:eastAsia="仿宋_GB2312"/>
          <w:color w:val="auto"/>
          <w:sz w:val="28"/>
          <w:szCs w:val="28"/>
        </w:rPr>
        <w:t>月</w:t>
      </w:r>
      <w:r>
        <w:rPr>
          <w:rFonts w:hint="eastAsia" w:eastAsia="仿宋_GB2312"/>
          <w:color w:val="auto"/>
          <w:sz w:val="28"/>
          <w:szCs w:val="28"/>
          <w:lang w:val="en-US" w:eastAsia="zh-CN"/>
        </w:rPr>
        <w:t>24</w:t>
      </w:r>
      <w:r>
        <w:rPr>
          <w:rFonts w:hint="eastAsia" w:eastAsia="仿宋_GB2312"/>
          <w:color w:val="auto"/>
          <w:sz w:val="28"/>
          <w:szCs w:val="28"/>
        </w:rPr>
        <w:t>日</w:t>
      </w:r>
      <w:r>
        <w:rPr>
          <w:rFonts w:eastAsia="仿宋_GB2312"/>
          <w:color w:val="auto"/>
          <w:sz w:val="28"/>
          <w:szCs w:val="28"/>
        </w:rPr>
        <w:t>的估价结果如下：（币种：人民币）</w:t>
      </w:r>
    </w:p>
    <w:p>
      <w:pPr>
        <w:spacing w:beforeLines="50"/>
        <w:ind w:firstLine="2937" w:firstLineChars="1045"/>
        <w:rPr>
          <w:rFonts w:eastAsia="楷体_GB2312"/>
          <w:b/>
          <w:bCs/>
          <w:color w:val="auto"/>
          <w:sz w:val="28"/>
          <w:szCs w:val="28"/>
        </w:rPr>
      </w:pPr>
      <w:r>
        <w:rPr>
          <w:rFonts w:eastAsia="楷体_GB2312"/>
          <w:b/>
          <w:bCs/>
          <w:color w:val="auto"/>
          <w:sz w:val="28"/>
          <w:szCs w:val="28"/>
        </w:rPr>
        <w:t>估价结果一览表</w:t>
      </w:r>
    </w:p>
    <w:tbl>
      <w:tblPr>
        <w:tblStyle w:val="47"/>
        <w:tblpPr w:leftFromText="180" w:rightFromText="180" w:vertAnchor="text" w:horzAnchor="margin" w:tblpXSpec="center" w:tblpY="313"/>
        <w:tblW w:w="9174" w:type="dxa"/>
        <w:tblInd w:w="0" w:type="dxa"/>
        <w:tblBorders>
          <w:top w:val="double" w:color="auto" w:sz="4" w:space="0"/>
          <w:left w:val="dotted" w:color="auto" w:sz="4" w:space="0"/>
          <w:bottom w:val="double"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1115"/>
        <w:gridCol w:w="1114"/>
        <w:gridCol w:w="1327"/>
        <w:gridCol w:w="1435"/>
        <w:gridCol w:w="1378"/>
        <w:gridCol w:w="2805"/>
      </w:tblGrid>
      <w:tr>
        <w:tblPrEx>
          <w:tblBorders>
            <w:top w:val="double" w:color="auto" w:sz="4" w:space="0"/>
            <w:left w:val="dotted" w:color="auto" w:sz="4" w:space="0"/>
            <w:bottom w:val="double"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90" w:hRule="atLeast"/>
        </w:trPr>
        <w:tc>
          <w:tcPr>
            <w:tcW w:w="1115" w:type="dxa"/>
            <w:tcBorders>
              <w:top w:val="double" w:color="auto" w:sz="4" w:space="0"/>
              <w:bottom w:val="single" w:color="auto" w:sz="4" w:space="0"/>
            </w:tcBorders>
            <w:vAlign w:val="center"/>
          </w:tcPr>
          <w:p>
            <w:pPr>
              <w:jc w:val="center"/>
              <w:rPr>
                <w:rFonts w:ascii="仿宋_GB2312" w:eastAsia="仿宋_GB2312"/>
                <w:b/>
                <w:color w:val="auto"/>
                <w:szCs w:val="21"/>
              </w:rPr>
            </w:pPr>
            <w:r>
              <w:rPr>
                <w:rFonts w:hint="eastAsia" w:ascii="仿宋_GB2312" w:eastAsia="仿宋_GB2312"/>
                <w:b/>
                <w:color w:val="auto"/>
                <w:szCs w:val="21"/>
              </w:rPr>
              <w:t>序号</w:t>
            </w:r>
          </w:p>
        </w:tc>
        <w:tc>
          <w:tcPr>
            <w:tcW w:w="1114" w:type="dxa"/>
            <w:tcBorders>
              <w:top w:val="double" w:color="auto" w:sz="4" w:space="0"/>
              <w:bottom w:val="single" w:color="auto" w:sz="4" w:space="0"/>
            </w:tcBorders>
            <w:vAlign w:val="center"/>
          </w:tcPr>
          <w:p>
            <w:pPr>
              <w:jc w:val="center"/>
              <w:rPr>
                <w:rFonts w:ascii="仿宋_GB2312" w:eastAsia="仿宋_GB2312"/>
                <w:b/>
                <w:color w:val="auto"/>
                <w:szCs w:val="21"/>
              </w:rPr>
            </w:pPr>
            <w:r>
              <w:rPr>
                <w:rFonts w:hint="eastAsia" w:ascii="仿宋_GB2312" w:eastAsia="仿宋_GB2312"/>
                <w:b/>
                <w:color w:val="auto"/>
                <w:szCs w:val="21"/>
              </w:rPr>
              <w:t>房号</w:t>
            </w:r>
          </w:p>
        </w:tc>
        <w:tc>
          <w:tcPr>
            <w:tcW w:w="1327" w:type="dxa"/>
            <w:tcBorders>
              <w:top w:val="double" w:color="auto" w:sz="4" w:space="0"/>
              <w:bottom w:val="single" w:color="auto" w:sz="4" w:space="0"/>
            </w:tcBorders>
            <w:vAlign w:val="center"/>
          </w:tcPr>
          <w:p>
            <w:pPr>
              <w:jc w:val="center"/>
              <w:rPr>
                <w:rFonts w:ascii="仿宋_GB2312" w:eastAsia="仿宋_GB2312"/>
                <w:b/>
                <w:color w:val="auto"/>
                <w:szCs w:val="21"/>
              </w:rPr>
            </w:pPr>
            <w:r>
              <w:rPr>
                <w:rFonts w:hint="eastAsia" w:ascii="仿宋_GB2312" w:eastAsia="仿宋_GB2312"/>
                <w:b/>
                <w:color w:val="auto"/>
                <w:szCs w:val="21"/>
              </w:rPr>
              <w:t>建筑面积（</w:t>
            </w:r>
            <w:r>
              <w:rPr>
                <w:rFonts w:hint="eastAsia" w:ascii="仿宋_GB2312" w:eastAsia="仿宋"/>
                <w:b/>
                <w:color w:val="auto"/>
                <w:szCs w:val="21"/>
              </w:rPr>
              <w:t>㎡</w:t>
            </w:r>
            <w:r>
              <w:rPr>
                <w:rFonts w:hint="eastAsia" w:ascii="仿宋_GB2312" w:eastAsia="仿宋_GB2312"/>
                <w:b/>
                <w:color w:val="auto"/>
                <w:szCs w:val="21"/>
              </w:rPr>
              <w:t>）</w:t>
            </w:r>
          </w:p>
        </w:tc>
        <w:tc>
          <w:tcPr>
            <w:tcW w:w="1435" w:type="dxa"/>
            <w:tcBorders>
              <w:top w:val="double" w:color="auto" w:sz="4" w:space="0"/>
              <w:bottom w:val="single" w:color="auto" w:sz="4" w:space="0"/>
            </w:tcBorders>
            <w:vAlign w:val="center"/>
          </w:tcPr>
          <w:p>
            <w:pPr>
              <w:jc w:val="center"/>
              <w:rPr>
                <w:rFonts w:ascii="仿宋_GB2312" w:eastAsia="仿宋_GB2312"/>
                <w:b/>
                <w:color w:val="auto"/>
                <w:szCs w:val="21"/>
              </w:rPr>
            </w:pPr>
            <w:r>
              <w:rPr>
                <w:rFonts w:hint="eastAsia" w:ascii="仿宋_GB2312" w:eastAsia="仿宋_GB2312"/>
                <w:b/>
                <w:color w:val="auto"/>
                <w:szCs w:val="21"/>
              </w:rPr>
              <w:t>单价（元/</w:t>
            </w:r>
            <w:r>
              <w:rPr>
                <w:rFonts w:hint="eastAsia" w:ascii="仿宋_GB2312" w:eastAsia="仿宋"/>
                <w:b/>
                <w:color w:val="auto"/>
                <w:szCs w:val="21"/>
              </w:rPr>
              <w:t>㎡</w:t>
            </w:r>
            <w:r>
              <w:rPr>
                <w:rFonts w:hint="eastAsia" w:ascii="仿宋_GB2312" w:eastAsia="仿宋_GB2312"/>
                <w:b/>
                <w:color w:val="auto"/>
                <w:szCs w:val="21"/>
              </w:rPr>
              <w:t>）</w:t>
            </w:r>
          </w:p>
        </w:tc>
        <w:tc>
          <w:tcPr>
            <w:tcW w:w="1378" w:type="dxa"/>
            <w:tcBorders>
              <w:top w:val="double" w:color="auto" w:sz="4" w:space="0"/>
              <w:bottom w:val="single" w:color="auto" w:sz="4" w:space="0"/>
            </w:tcBorders>
            <w:vAlign w:val="center"/>
          </w:tcPr>
          <w:p>
            <w:pPr>
              <w:jc w:val="center"/>
              <w:rPr>
                <w:rFonts w:ascii="仿宋_GB2312" w:eastAsia="仿宋_GB2312"/>
                <w:b/>
                <w:color w:val="auto"/>
                <w:szCs w:val="21"/>
              </w:rPr>
            </w:pPr>
            <w:r>
              <w:rPr>
                <w:rFonts w:hint="eastAsia" w:ascii="仿宋_GB2312" w:eastAsia="仿宋_GB2312"/>
                <w:b/>
                <w:color w:val="auto"/>
                <w:szCs w:val="21"/>
              </w:rPr>
              <w:t>总价（万元）</w:t>
            </w:r>
          </w:p>
        </w:tc>
        <w:tc>
          <w:tcPr>
            <w:tcW w:w="2805" w:type="dxa"/>
            <w:tcBorders>
              <w:top w:val="double" w:color="auto" w:sz="4" w:space="0"/>
              <w:bottom w:val="single" w:color="auto" w:sz="4" w:space="0"/>
            </w:tcBorders>
            <w:vAlign w:val="center"/>
          </w:tcPr>
          <w:p>
            <w:pPr>
              <w:jc w:val="center"/>
              <w:rPr>
                <w:rFonts w:ascii="仿宋_GB2312" w:eastAsia="仿宋_GB2312"/>
                <w:b/>
                <w:color w:val="auto"/>
                <w:szCs w:val="21"/>
              </w:rPr>
            </w:pPr>
            <w:r>
              <w:rPr>
                <w:rFonts w:hint="eastAsia" w:ascii="仿宋_GB2312" w:eastAsia="仿宋_GB2312"/>
                <w:b/>
                <w:color w:val="auto"/>
                <w:szCs w:val="21"/>
              </w:rPr>
              <w:t>总价（人民币大写）</w:t>
            </w:r>
          </w:p>
        </w:tc>
      </w:tr>
      <w:tr>
        <w:tblPrEx>
          <w:tblBorders>
            <w:top w:val="double" w:color="auto" w:sz="4" w:space="0"/>
            <w:left w:val="dotted" w:color="auto" w:sz="4" w:space="0"/>
            <w:bottom w:val="double"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54" w:hRule="atLeast"/>
        </w:trPr>
        <w:tc>
          <w:tcPr>
            <w:tcW w:w="1115" w:type="dxa"/>
            <w:tcBorders>
              <w:top w:val="single" w:color="auto" w:sz="4" w:space="0"/>
            </w:tcBorders>
            <w:vAlign w:val="center"/>
          </w:tcPr>
          <w:p>
            <w:pPr>
              <w:jc w:val="center"/>
              <w:rPr>
                <w:rFonts w:ascii="仿宋_GB2312" w:eastAsia="仿宋_GB2312"/>
                <w:color w:val="auto"/>
                <w:szCs w:val="21"/>
              </w:rPr>
            </w:pPr>
            <w:r>
              <w:rPr>
                <w:rFonts w:hint="eastAsia" w:ascii="仿宋_GB2312" w:eastAsia="仿宋_GB2312"/>
                <w:color w:val="auto"/>
                <w:szCs w:val="21"/>
              </w:rPr>
              <w:t>1</w:t>
            </w:r>
          </w:p>
        </w:tc>
        <w:tc>
          <w:tcPr>
            <w:tcW w:w="1114" w:type="dxa"/>
            <w:tcBorders>
              <w:top w:val="single" w:color="auto" w:sz="4" w:space="0"/>
            </w:tcBorders>
            <w:vAlign w:val="center"/>
          </w:tcPr>
          <w:p>
            <w:pPr>
              <w:jc w:val="center"/>
              <w:rPr>
                <w:rFonts w:hint="eastAsia" w:ascii="仿宋_GB2312" w:eastAsia="仿宋_GB2312"/>
                <w:color w:val="auto"/>
                <w:szCs w:val="21"/>
                <w:lang w:val="en-US" w:eastAsia="zh-CN"/>
              </w:rPr>
            </w:pPr>
            <w:r>
              <w:rPr>
                <w:rFonts w:hint="eastAsia" w:ascii="仿宋_GB2312" w:eastAsia="仿宋_GB2312"/>
                <w:color w:val="auto"/>
                <w:szCs w:val="21"/>
                <w:lang w:val="en-US" w:eastAsia="zh-CN"/>
              </w:rPr>
              <w:t>2-941</w:t>
            </w:r>
          </w:p>
        </w:tc>
        <w:tc>
          <w:tcPr>
            <w:tcW w:w="1327" w:type="dxa"/>
            <w:tcBorders>
              <w:top w:val="single" w:color="auto" w:sz="4" w:space="0"/>
            </w:tcBorders>
            <w:vAlign w:val="center"/>
          </w:tcPr>
          <w:p>
            <w:pPr>
              <w:jc w:val="center"/>
              <w:rPr>
                <w:rFonts w:hint="eastAsia" w:ascii="仿宋_GB2312" w:eastAsia="仿宋_GB2312"/>
                <w:color w:val="auto"/>
                <w:szCs w:val="21"/>
                <w:lang w:val="en-US" w:eastAsia="zh-CN"/>
              </w:rPr>
            </w:pPr>
            <w:r>
              <w:rPr>
                <w:rFonts w:hint="eastAsia" w:ascii="仿宋_GB2312" w:eastAsia="仿宋_GB2312"/>
                <w:color w:val="auto"/>
                <w:szCs w:val="21"/>
                <w:lang w:val="en-US" w:eastAsia="zh-CN"/>
              </w:rPr>
              <w:t>138.65</w:t>
            </w:r>
          </w:p>
        </w:tc>
        <w:tc>
          <w:tcPr>
            <w:tcW w:w="1435" w:type="dxa"/>
            <w:tcBorders>
              <w:top w:val="single" w:color="auto" w:sz="4" w:space="0"/>
            </w:tcBorders>
            <w:vAlign w:val="center"/>
          </w:tcPr>
          <w:p>
            <w:pPr>
              <w:jc w:val="center"/>
              <w:rPr>
                <w:rFonts w:hint="eastAsia" w:ascii="仿宋_GB2312" w:eastAsia="仿宋_GB2312"/>
                <w:color w:val="auto"/>
                <w:szCs w:val="21"/>
                <w:lang w:val="en-US" w:eastAsia="zh-CN"/>
              </w:rPr>
            </w:pPr>
            <w:r>
              <w:rPr>
                <w:rFonts w:hint="eastAsia" w:ascii="仿宋_GB2312" w:eastAsia="仿宋_GB2312"/>
                <w:color w:val="auto"/>
                <w:szCs w:val="21"/>
                <w:lang w:val="en-US" w:eastAsia="zh-CN"/>
              </w:rPr>
              <w:t>3592</w:t>
            </w:r>
          </w:p>
        </w:tc>
        <w:tc>
          <w:tcPr>
            <w:tcW w:w="1378" w:type="dxa"/>
            <w:tcBorders>
              <w:top w:val="single" w:color="auto" w:sz="4" w:space="0"/>
            </w:tcBorders>
            <w:vAlign w:val="center"/>
          </w:tcPr>
          <w:p>
            <w:pPr>
              <w:jc w:val="center"/>
              <w:rPr>
                <w:rFonts w:hint="eastAsia" w:ascii="仿宋_GB2312" w:eastAsia="仿宋_GB2312"/>
                <w:color w:val="auto"/>
                <w:szCs w:val="21"/>
                <w:lang w:val="en-US" w:eastAsia="zh-CN"/>
              </w:rPr>
            </w:pPr>
            <w:r>
              <w:rPr>
                <w:rFonts w:hint="eastAsia" w:ascii="仿宋_GB2312" w:eastAsia="仿宋_GB2312"/>
                <w:color w:val="auto"/>
                <w:szCs w:val="21"/>
                <w:lang w:val="en-US" w:eastAsia="zh-CN"/>
              </w:rPr>
              <w:t>49.8031</w:t>
            </w:r>
          </w:p>
        </w:tc>
        <w:tc>
          <w:tcPr>
            <w:tcW w:w="2805" w:type="dxa"/>
            <w:tcBorders>
              <w:top w:val="single" w:color="auto" w:sz="4" w:space="0"/>
            </w:tcBorders>
            <w:vAlign w:val="center"/>
          </w:tcPr>
          <w:p>
            <w:pPr>
              <w:jc w:val="center"/>
              <w:rPr>
                <w:rFonts w:hint="eastAsia" w:ascii="仿宋_GB2312" w:eastAsia="仿宋_GB2312"/>
                <w:color w:val="auto"/>
                <w:szCs w:val="21"/>
                <w:lang w:eastAsia="zh-CN"/>
              </w:rPr>
            </w:pPr>
            <w:r>
              <w:rPr>
                <w:rFonts w:hint="eastAsia" w:ascii="仿宋_GB2312" w:eastAsia="仿宋_GB2312"/>
                <w:color w:val="auto"/>
                <w:szCs w:val="21"/>
                <w:lang w:eastAsia="zh-CN"/>
              </w:rPr>
              <w:t>肆拾玖万捌仟零叁拾壹元整</w:t>
            </w:r>
          </w:p>
        </w:tc>
      </w:tr>
      <w:tr>
        <w:tblPrEx>
          <w:tblBorders>
            <w:top w:val="double" w:color="auto" w:sz="4" w:space="0"/>
            <w:left w:val="dotted" w:color="auto" w:sz="4" w:space="0"/>
            <w:bottom w:val="double"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54" w:hRule="atLeast"/>
        </w:trPr>
        <w:tc>
          <w:tcPr>
            <w:tcW w:w="1115" w:type="dxa"/>
            <w:vAlign w:val="center"/>
          </w:tcPr>
          <w:p>
            <w:pPr>
              <w:jc w:val="center"/>
              <w:rPr>
                <w:rFonts w:ascii="仿宋_GB2312" w:eastAsia="仿宋_GB2312"/>
                <w:color w:val="auto"/>
                <w:kern w:val="0"/>
                <w:szCs w:val="21"/>
              </w:rPr>
            </w:pPr>
            <w:r>
              <w:rPr>
                <w:rFonts w:hint="eastAsia" w:ascii="仿宋_GB2312" w:eastAsia="仿宋_GB2312"/>
                <w:color w:val="auto"/>
                <w:kern w:val="0"/>
                <w:szCs w:val="21"/>
              </w:rPr>
              <w:t>合计</w:t>
            </w:r>
          </w:p>
        </w:tc>
        <w:tc>
          <w:tcPr>
            <w:tcW w:w="1114" w:type="dxa"/>
            <w:vAlign w:val="center"/>
          </w:tcPr>
          <w:p>
            <w:pPr>
              <w:rPr>
                <w:rFonts w:ascii="仿宋_GB2312" w:eastAsia="仿宋_GB2312"/>
                <w:color w:val="auto"/>
                <w:szCs w:val="21"/>
              </w:rPr>
            </w:pPr>
            <w:r>
              <w:rPr>
                <w:rFonts w:hint="eastAsia" w:ascii="仿宋_GB2312" w:eastAsia="仿宋_GB2312"/>
                <w:color w:val="auto"/>
                <w:szCs w:val="21"/>
              </w:rPr>
              <w:t>　</w:t>
            </w:r>
          </w:p>
        </w:tc>
        <w:tc>
          <w:tcPr>
            <w:tcW w:w="1327" w:type="dxa"/>
            <w:vAlign w:val="center"/>
          </w:tcPr>
          <w:p>
            <w:pPr>
              <w:jc w:val="center"/>
              <w:rPr>
                <w:rFonts w:hint="eastAsia" w:ascii="仿宋_GB2312" w:eastAsia="仿宋_GB2312"/>
                <w:color w:val="auto"/>
                <w:szCs w:val="21"/>
                <w:lang w:val="en-US" w:eastAsia="zh-CN"/>
              </w:rPr>
            </w:pPr>
            <w:r>
              <w:rPr>
                <w:rFonts w:hint="eastAsia" w:ascii="仿宋_GB2312" w:eastAsia="仿宋_GB2312"/>
                <w:color w:val="auto"/>
                <w:szCs w:val="21"/>
                <w:lang w:val="en-US" w:eastAsia="zh-CN"/>
              </w:rPr>
              <w:t>138.65</w:t>
            </w:r>
          </w:p>
        </w:tc>
        <w:tc>
          <w:tcPr>
            <w:tcW w:w="1435" w:type="dxa"/>
            <w:vAlign w:val="center"/>
          </w:tcPr>
          <w:p>
            <w:pPr>
              <w:rPr>
                <w:rFonts w:ascii="仿宋_GB2312" w:eastAsia="仿宋_GB2312"/>
                <w:color w:val="auto"/>
                <w:szCs w:val="21"/>
              </w:rPr>
            </w:pPr>
          </w:p>
        </w:tc>
        <w:tc>
          <w:tcPr>
            <w:tcW w:w="1378" w:type="dxa"/>
            <w:vAlign w:val="center"/>
          </w:tcPr>
          <w:p>
            <w:pPr>
              <w:jc w:val="center"/>
              <w:rPr>
                <w:rFonts w:ascii="仿宋_GB2312" w:eastAsia="仿宋_GB2312"/>
                <w:color w:val="auto"/>
                <w:szCs w:val="21"/>
              </w:rPr>
            </w:pPr>
          </w:p>
        </w:tc>
        <w:tc>
          <w:tcPr>
            <w:tcW w:w="2805" w:type="dxa"/>
            <w:vAlign w:val="center"/>
          </w:tcPr>
          <w:p>
            <w:pPr>
              <w:jc w:val="center"/>
              <w:rPr>
                <w:rFonts w:ascii="仿宋_GB2312" w:eastAsia="仿宋_GB2312"/>
                <w:color w:val="auto"/>
                <w:szCs w:val="21"/>
              </w:rPr>
            </w:pPr>
          </w:p>
        </w:tc>
      </w:tr>
    </w:tbl>
    <w:p>
      <w:pPr>
        <w:spacing w:line="600" w:lineRule="exact"/>
        <w:ind w:firstLine="562" w:firstLineChars="200"/>
        <w:rPr>
          <w:rFonts w:eastAsia="楷体_GB2312"/>
          <w:b/>
          <w:bCs/>
          <w:color w:val="auto"/>
          <w:sz w:val="28"/>
          <w:szCs w:val="28"/>
        </w:rPr>
      </w:pPr>
      <w:r>
        <w:rPr>
          <w:rFonts w:hint="eastAsia" w:eastAsia="楷体_GB2312"/>
          <w:b/>
          <w:bCs/>
          <w:color w:val="auto"/>
          <w:sz w:val="28"/>
          <w:szCs w:val="28"/>
        </w:rPr>
        <w:t>特别提示：</w:t>
      </w:r>
    </w:p>
    <w:p>
      <w:pPr>
        <w:numPr>
          <w:ilvl w:val="0"/>
          <w:numId w:val="2"/>
        </w:numPr>
        <w:spacing w:line="600" w:lineRule="exact"/>
        <w:ind w:left="0" w:firstLine="560" w:firstLineChars="200"/>
        <w:rPr>
          <w:rFonts w:eastAsia="仿宋_GB2312"/>
          <w:color w:val="auto"/>
          <w:sz w:val="28"/>
          <w:szCs w:val="28"/>
        </w:rPr>
      </w:pPr>
      <w:r>
        <w:rPr>
          <w:rFonts w:hint="eastAsia" w:eastAsia="仿宋_GB2312"/>
          <w:color w:val="auto"/>
          <w:sz w:val="28"/>
          <w:szCs w:val="28"/>
        </w:rPr>
        <w:t>本次评估委托方提供了估价对象的《</w:t>
      </w:r>
      <w:r>
        <w:rPr>
          <w:rFonts w:hint="eastAsia" w:eastAsia="仿宋_GB2312"/>
          <w:color w:val="auto"/>
          <w:sz w:val="28"/>
          <w:szCs w:val="28"/>
          <w:lang w:eastAsia="zh-CN"/>
        </w:rPr>
        <w:t>房地产权属登记簿</w:t>
      </w:r>
      <w:r>
        <w:rPr>
          <w:rFonts w:hint="eastAsia" w:eastAsia="仿宋_GB2312"/>
          <w:color w:val="auto"/>
          <w:sz w:val="28"/>
          <w:szCs w:val="28"/>
        </w:rPr>
        <w:t>》，评估结果是在现有收集到的资料信息基础上评估测算的结果。</w:t>
      </w:r>
    </w:p>
    <w:p>
      <w:pPr>
        <w:numPr>
          <w:ilvl w:val="0"/>
          <w:numId w:val="2"/>
        </w:numPr>
        <w:spacing w:line="600" w:lineRule="exact"/>
        <w:ind w:left="0" w:firstLine="560" w:firstLineChars="200"/>
        <w:rPr>
          <w:rFonts w:eastAsia="仿宋_GB2312"/>
          <w:color w:val="auto"/>
          <w:sz w:val="28"/>
          <w:szCs w:val="28"/>
        </w:rPr>
      </w:pPr>
      <w:r>
        <w:rPr>
          <w:rFonts w:eastAsia="仿宋_GB2312"/>
          <w:color w:val="auto"/>
          <w:sz w:val="28"/>
          <w:szCs w:val="28"/>
        </w:rPr>
        <w:t>根据</w:t>
      </w:r>
      <w:r>
        <w:rPr>
          <w:rFonts w:hint="eastAsia" w:eastAsia="仿宋_GB2312"/>
          <w:color w:val="auto"/>
          <w:sz w:val="28"/>
          <w:szCs w:val="28"/>
        </w:rPr>
        <w:t>委托方提供的</w:t>
      </w:r>
      <w:r>
        <w:rPr>
          <w:rFonts w:eastAsia="仿宋_GB2312"/>
          <w:color w:val="auto"/>
          <w:sz w:val="28"/>
          <w:szCs w:val="28"/>
        </w:rPr>
        <w:t>《</w:t>
      </w:r>
      <w:r>
        <w:rPr>
          <w:rFonts w:hint="eastAsia" w:eastAsia="仿宋_GB2312"/>
          <w:color w:val="auto"/>
          <w:sz w:val="28"/>
          <w:szCs w:val="28"/>
          <w:lang w:eastAsia="zh-CN"/>
        </w:rPr>
        <w:t>内蒙古五原县人民法院执行裁定书</w:t>
      </w:r>
      <w:r>
        <w:rPr>
          <w:rFonts w:eastAsia="仿宋_GB2312"/>
          <w:color w:val="auto"/>
          <w:sz w:val="28"/>
          <w:szCs w:val="28"/>
        </w:rPr>
        <w:t>》</w:t>
      </w:r>
      <w:r>
        <w:rPr>
          <w:rFonts w:hint="eastAsia" w:eastAsia="仿宋_GB2312"/>
          <w:color w:val="auto"/>
          <w:sz w:val="28"/>
          <w:szCs w:val="28"/>
        </w:rPr>
        <w:t>可知</w:t>
      </w:r>
      <w:r>
        <w:rPr>
          <w:rFonts w:eastAsia="仿宋_GB2312"/>
          <w:color w:val="auto"/>
          <w:sz w:val="28"/>
          <w:szCs w:val="28"/>
        </w:rPr>
        <w:t>，待估对象存在查封情况。根据《房地产估价规范》（GB/T50291-2015）第5.4条：“房地产司法拍卖估价时，评估价值的影响因素应包括拍卖房地产的瑕疵，但不应包括拍卖房地产被查封及拍卖房地产上原有的担保物权和其他优先受偿权。”故本次评估未考虑其查封情况。</w:t>
      </w:r>
    </w:p>
    <w:p>
      <w:pPr>
        <w:numPr>
          <w:ilvl w:val="0"/>
          <w:numId w:val="2"/>
        </w:numPr>
        <w:spacing w:line="600" w:lineRule="exact"/>
        <w:ind w:left="0" w:firstLine="560" w:firstLineChars="200"/>
        <w:rPr>
          <w:rFonts w:eastAsia="仿宋_GB2312"/>
          <w:color w:val="auto"/>
          <w:sz w:val="28"/>
          <w:szCs w:val="28"/>
        </w:rPr>
      </w:pPr>
      <w:r>
        <w:rPr>
          <w:rFonts w:hint="eastAsia" w:eastAsia="仿宋_GB2312"/>
          <w:color w:val="auto"/>
          <w:sz w:val="28"/>
          <w:szCs w:val="28"/>
        </w:rPr>
        <w:t>本次估价结果受价值时点的限制，且本估价报告使用期限自估价报告出具之日二0一</w:t>
      </w:r>
      <w:r>
        <w:rPr>
          <w:rFonts w:hint="eastAsia" w:eastAsia="仿宋_GB2312"/>
          <w:color w:val="auto"/>
          <w:sz w:val="28"/>
          <w:szCs w:val="28"/>
          <w:lang w:eastAsia="zh-CN"/>
        </w:rPr>
        <w:t>九</w:t>
      </w:r>
      <w:r>
        <w:rPr>
          <w:rFonts w:hint="eastAsia" w:eastAsia="仿宋_GB2312"/>
          <w:color w:val="auto"/>
          <w:sz w:val="28"/>
          <w:szCs w:val="28"/>
        </w:rPr>
        <w:t>年</w:t>
      </w:r>
      <w:r>
        <w:rPr>
          <w:rFonts w:hint="eastAsia" w:eastAsia="仿宋_GB2312"/>
          <w:color w:val="auto"/>
          <w:sz w:val="28"/>
          <w:szCs w:val="28"/>
          <w:lang w:eastAsia="zh-CN"/>
        </w:rPr>
        <w:t>二</w:t>
      </w:r>
      <w:r>
        <w:rPr>
          <w:rFonts w:hint="eastAsia" w:eastAsia="仿宋_GB2312"/>
          <w:color w:val="auto"/>
          <w:sz w:val="28"/>
          <w:szCs w:val="28"/>
        </w:rPr>
        <w:t>月</w:t>
      </w:r>
      <w:r>
        <w:rPr>
          <w:rFonts w:hint="eastAsia" w:eastAsia="仿宋_GB2312"/>
          <w:color w:val="auto"/>
          <w:sz w:val="28"/>
          <w:szCs w:val="28"/>
          <w:lang w:eastAsia="zh-CN"/>
        </w:rPr>
        <w:t>二十八</w:t>
      </w:r>
      <w:r>
        <w:rPr>
          <w:rFonts w:hint="eastAsia" w:eastAsia="仿宋_GB2312"/>
          <w:color w:val="auto"/>
          <w:sz w:val="28"/>
          <w:szCs w:val="28"/>
        </w:rPr>
        <w:t>日起为壹年。提醒委托人在使用报告时关注此点。</w:t>
      </w:r>
    </w:p>
    <w:p>
      <w:pPr>
        <w:adjustRightInd w:val="0"/>
        <w:snapToGrid w:val="0"/>
        <w:spacing w:line="480" w:lineRule="auto"/>
        <w:ind w:firstLine="3612" w:firstLineChars="1290"/>
        <w:rPr>
          <w:rFonts w:eastAsia="仿宋_GB2312"/>
          <w:color w:val="auto"/>
          <w:sz w:val="28"/>
          <w:szCs w:val="28"/>
        </w:rPr>
      </w:pPr>
      <w:r>
        <w:rPr>
          <w:rFonts w:hint="eastAsia" w:eastAsia="仿宋_GB2312"/>
          <w:color w:val="auto"/>
          <w:sz w:val="28"/>
          <w:szCs w:val="28"/>
        </w:rPr>
        <w:t xml:space="preserve"> </w:t>
      </w:r>
    </w:p>
    <w:p>
      <w:pPr>
        <w:adjustRightInd w:val="0"/>
        <w:snapToGrid w:val="0"/>
        <w:spacing w:line="480" w:lineRule="auto"/>
        <w:ind w:firstLine="3612" w:firstLineChars="1290"/>
        <w:rPr>
          <w:rFonts w:eastAsia="仿宋_GB2312"/>
          <w:color w:val="auto"/>
          <w:sz w:val="28"/>
          <w:szCs w:val="28"/>
        </w:rPr>
      </w:pPr>
    </w:p>
    <w:p>
      <w:pPr>
        <w:adjustRightInd w:val="0"/>
        <w:snapToGrid w:val="0"/>
        <w:spacing w:line="480" w:lineRule="auto"/>
        <w:ind w:firstLine="3612" w:firstLineChars="1290"/>
        <w:rPr>
          <w:rFonts w:eastAsia="仿宋_GB2312"/>
          <w:color w:val="auto"/>
          <w:sz w:val="28"/>
          <w:szCs w:val="28"/>
        </w:rPr>
      </w:pPr>
    </w:p>
    <w:p>
      <w:pPr>
        <w:adjustRightInd w:val="0"/>
        <w:snapToGrid w:val="0"/>
        <w:spacing w:line="480" w:lineRule="auto"/>
        <w:ind w:firstLine="3612" w:firstLineChars="1290"/>
        <w:rPr>
          <w:rFonts w:eastAsia="仿宋_GB2312"/>
          <w:color w:val="auto"/>
          <w:sz w:val="28"/>
          <w:szCs w:val="28"/>
        </w:rPr>
      </w:pPr>
    </w:p>
    <w:p>
      <w:pPr>
        <w:adjustRightInd w:val="0"/>
        <w:snapToGrid w:val="0"/>
        <w:spacing w:line="480" w:lineRule="auto"/>
        <w:ind w:firstLine="3612" w:firstLineChars="1290"/>
        <w:rPr>
          <w:rFonts w:eastAsia="仿宋_GB2312"/>
          <w:color w:val="auto"/>
          <w:sz w:val="28"/>
          <w:szCs w:val="28"/>
        </w:rPr>
      </w:pPr>
    </w:p>
    <w:p>
      <w:pPr>
        <w:adjustRightInd w:val="0"/>
        <w:snapToGrid w:val="0"/>
        <w:spacing w:line="480" w:lineRule="auto"/>
        <w:ind w:firstLine="3612" w:firstLineChars="1290"/>
        <w:rPr>
          <w:rFonts w:eastAsia="仿宋_GB2312"/>
          <w:color w:val="auto"/>
          <w:sz w:val="28"/>
          <w:szCs w:val="28"/>
        </w:rPr>
      </w:pPr>
      <w:r>
        <w:rPr>
          <w:rFonts w:eastAsia="仿宋_GB2312"/>
          <w:color w:val="auto"/>
          <w:sz w:val="28"/>
          <w:szCs w:val="28"/>
        </w:rPr>
        <w:t>内蒙古科瑞房地产土地资产评估有限公司</w:t>
      </w:r>
    </w:p>
    <w:p>
      <w:pPr>
        <w:adjustRightInd w:val="0"/>
        <w:snapToGrid w:val="0"/>
        <w:spacing w:line="480" w:lineRule="auto"/>
        <w:ind w:firstLine="5040" w:firstLineChars="1800"/>
        <w:rPr>
          <w:rFonts w:eastAsia="仿宋_GB2312"/>
          <w:color w:val="auto"/>
          <w:sz w:val="28"/>
          <w:szCs w:val="28"/>
        </w:rPr>
      </w:pPr>
    </w:p>
    <w:p>
      <w:pPr>
        <w:adjustRightInd w:val="0"/>
        <w:snapToGrid w:val="0"/>
        <w:spacing w:line="480" w:lineRule="auto"/>
        <w:ind w:firstLine="5040" w:firstLineChars="1800"/>
        <w:rPr>
          <w:rFonts w:eastAsia="仿宋_GB2312"/>
          <w:color w:val="auto"/>
          <w:sz w:val="28"/>
          <w:szCs w:val="28"/>
        </w:rPr>
      </w:pPr>
      <w:r>
        <w:rPr>
          <w:rFonts w:eastAsia="仿宋_GB2312"/>
          <w:color w:val="auto"/>
          <w:sz w:val="28"/>
          <w:szCs w:val="28"/>
        </w:rPr>
        <w:t>法定代表人：</w:t>
      </w:r>
    </w:p>
    <w:p>
      <w:pPr>
        <w:adjustRightInd w:val="0"/>
        <w:snapToGrid w:val="0"/>
        <w:spacing w:line="480" w:lineRule="auto"/>
        <w:ind w:firstLine="5040" w:firstLineChars="1800"/>
        <w:rPr>
          <w:rFonts w:eastAsia="仿宋_GB2312"/>
          <w:color w:val="auto"/>
          <w:sz w:val="28"/>
          <w:szCs w:val="28"/>
        </w:rPr>
      </w:pPr>
    </w:p>
    <w:p>
      <w:pPr>
        <w:adjustRightInd w:val="0"/>
        <w:snapToGrid w:val="0"/>
        <w:spacing w:line="480" w:lineRule="auto"/>
        <w:ind w:firstLine="5040" w:firstLineChars="1800"/>
        <w:rPr>
          <w:rFonts w:eastAsia="仿宋_GB2312"/>
          <w:color w:val="auto"/>
          <w:sz w:val="28"/>
          <w:szCs w:val="28"/>
        </w:rPr>
        <w:sectPr>
          <w:pgSz w:w="11906" w:h="16838"/>
          <w:pgMar w:top="1814" w:right="1133" w:bottom="1418" w:left="1701" w:header="1417" w:footer="737" w:gutter="0"/>
          <w:pgNumType w:start="1"/>
          <w:cols w:space="720" w:num="1"/>
          <w:docGrid w:linePitch="286" w:charSpace="0"/>
        </w:sectPr>
      </w:pPr>
      <w:r>
        <w:rPr>
          <w:rFonts w:eastAsia="仿宋_GB2312"/>
          <w:color w:val="auto"/>
          <w:sz w:val="28"/>
          <w:szCs w:val="28"/>
        </w:rPr>
        <w:t xml:space="preserve"> 二0一</w:t>
      </w:r>
      <w:r>
        <w:rPr>
          <w:rFonts w:hint="eastAsia" w:eastAsia="仿宋_GB2312"/>
          <w:color w:val="auto"/>
          <w:sz w:val="28"/>
          <w:szCs w:val="28"/>
          <w:lang w:eastAsia="zh-CN"/>
        </w:rPr>
        <w:t>九</w:t>
      </w:r>
      <w:r>
        <w:rPr>
          <w:rFonts w:eastAsia="仿宋_GB2312"/>
          <w:color w:val="auto"/>
          <w:sz w:val="28"/>
          <w:szCs w:val="28"/>
        </w:rPr>
        <w:t>年</w:t>
      </w:r>
      <w:r>
        <w:rPr>
          <w:rFonts w:hint="eastAsia" w:eastAsia="仿宋_GB2312"/>
          <w:color w:val="auto"/>
          <w:sz w:val="28"/>
          <w:szCs w:val="28"/>
          <w:lang w:eastAsia="zh-CN"/>
        </w:rPr>
        <w:t>二</w:t>
      </w:r>
      <w:r>
        <w:rPr>
          <w:rFonts w:eastAsia="仿宋_GB2312"/>
          <w:color w:val="auto"/>
          <w:sz w:val="28"/>
          <w:szCs w:val="28"/>
        </w:rPr>
        <w:t>月</w:t>
      </w:r>
      <w:r>
        <w:rPr>
          <w:rFonts w:hint="eastAsia" w:eastAsia="仿宋_GB2312"/>
          <w:color w:val="auto"/>
          <w:sz w:val="28"/>
          <w:szCs w:val="28"/>
          <w:lang w:eastAsia="zh-CN"/>
        </w:rPr>
        <w:t>二十八</w:t>
      </w:r>
      <w:r>
        <w:rPr>
          <w:rFonts w:eastAsia="仿宋_GB2312"/>
          <w:color w:val="auto"/>
          <w:sz w:val="28"/>
          <w:szCs w:val="28"/>
        </w:rPr>
        <w:t>日</w:t>
      </w:r>
    </w:p>
    <w:p>
      <w:pPr>
        <w:adjustRightInd w:val="0"/>
        <w:snapToGrid w:val="0"/>
        <w:spacing w:line="360" w:lineRule="auto"/>
        <w:ind w:firstLine="374" w:firstLineChars="133"/>
        <w:jc w:val="center"/>
        <w:rPr>
          <w:rFonts w:eastAsia="仿宋_GB2312"/>
          <w:b/>
          <w:snapToGrid w:val="0"/>
          <w:color w:val="auto"/>
          <w:kern w:val="0"/>
          <w:sz w:val="28"/>
          <w:szCs w:val="28"/>
        </w:rPr>
      </w:pPr>
      <w:r>
        <w:rPr>
          <w:rFonts w:eastAsia="仿宋_GB2312"/>
          <w:b/>
          <w:snapToGrid w:val="0"/>
          <w:color w:val="auto"/>
          <w:kern w:val="0"/>
          <w:sz w:val="28"/>
          <w:szCs w:val="28"/>
        </w:rPr>
        <w:t>目  录</w:t>
      </w:r>
    </w:p>
    <w:p>
      <w:pPr>
        <w:pStyle w:val="28"/>
        <w:tabs>
          <w:tab w:val="right" w:leader="dot" w:pos="8948"/>
        </w:tabs>
        <w:rPr>
          <w:rFonts w:ascii="仿宋_GB2312" w:eastAsia="仿宋_GB2312" w:cs="Times New Roman"/>
          <w:b w:val="0"/>
          <w:bCs w:val="0"/>
          <w:caps w:val="0"/>
          <w:color w:val="auto"/>
          <w:sz w:val="28"/>
          <w:szCs w:val="28"/>
        </w:rPr>
      </w:pPr>
      <w:r>
        <w:rPr>
          <w:rFonts w:hint="eastAsia" w:ascii="仿宋_GB2312" w:hAnsi="Times New Roman" w:eastAsia="仿宋_GB2312" w:cs="Times New Roman"/>
          <w:snapToGrid w:val="0"/>
          <w:color w:val="auto"/>
          <w:kern w:val="0"/>
          <w:sz w:val="28"/>
          <w:szCs w:val="28"/>
        </w:rPr>
        <w:fldChar w:fldCharType="begin"/>
      </w:r>
      <w:r>
        <w:rPr>
          <w:rFonts w:hint="eastAsia" w:ascii="仿宋_GB2312" w:hAnsi="Times New Roman" w:eastAsia="仿宋_GB2312" w:cs="Times New Roman"/>
          <w:snapToGrid w:val="0"/>
          <w:color w:val="auto"/>
          <w:kern w:val="0"/>
          <w:sz w:val="28"/>
          <w:szCs w:val="28"/>
        </w:rPr>
        <w:instrText xml:space="preserve"> TOC \o "1-3" \h \z \u </w:instrText>
      </w:r>
      <w:r>
        <w:rPr>
          <w:rFonts w:hint="eastAsia" w:ascii="仿宋_GB2312" w:hAnsi="Times New Roman" w:eastAsia="仿宋_GB2312" w:cs="Times New Roman"/>
          <w:snapToGrid w:val="0"/>
          <w:color w:val="auto"/>
          <w:kern w:val="0"/>
          <w:sz w:val="28"/>
          <w:szCs w:val="28"/>
        </w:rPr>
        <w:fldChar w:fldCharType="separate"/>
      </w:r>
      <w:r>
        <w:rPr>
          <w:color w:val="auto"/>
        </w:rPr>
        <w:fldChar w:fldCharType="begin"/>
      </w:r>
      <w:r>
        <w:rPr>
          <w:color w:val="auto"/>
        </w:rPr>
        <w:instrText xml:space="preserve"> HYPERLINK \l "_Toc521268497" </w:instrText>
      </w:r>
      <w:r>
        <w:rPr>
          <w:color w:val="auto"/>
        </w:rPr>
        <w:fldChar w:fldCharType="separate"/>
      </w:r>
      <w:r>
        <w:rPr>
          <w:rStyle w:val="45"/>
          <w:rFonts w:hint="eastAsia" w:ascii="仿宋_GB2312" w:eastAsia="仿宋_GB2312"/>
          <w:color w:val="auto"/>
          <w:sz w:val="28"/>
          <w:szCs w:val="28"/>
        </w:rPr>
        <w:t>致估价委托方函</w:t>
      </w:r>
      <w:r>
        <w:rPr>
          <w:rFonts w:hint="eastAsia" w:ascii="仿宋_GB2312" w:eastAsia="仿宋_GB2312"/>
          <w:color w:val="auto"/>
          <w:sz w:val="28"/>
          <w:szCs w:val="28"/>
        </w:rPr>
        <w:tab/>
      </w:r>
      <w:r>
        <w:rPr>
          <w:rFonts w:hint="eastAsia" w:ascii="仿宋_GB2312" w:eastAsia="仿宋_GB2312"/>
          <w:color w:val="auto"/>
          <w:sz w:val="28"/>
          <w:szCs w:val="28"/>
        </w:rPr>
        <w:fldChar w:fldCharType="begin"/>
      </w:r>
      <w:r>
        <w:rPr>
          <w:rFonts w:hint="eastAsia" w:ascii="仿宋_GB2312" w:eastAsia="仿宋_GB2312"/>
          <w:color w:val="auto"/>
          <w:sz w:val="28"/>
          <w:szCs w:val="28"/>
        </w:rPr>
        <w:instrText xml:space="preserve"> PAGEREF _Toc521268497 \h </w:instrText>
      </w:r>
      <w:r>
        <w:rPr>
          <w:rFonts w:hint="eastAsia" w:ascii="仿宋_GB2312" w:eastAsia="仿宋_GB2312"/>
          <w:color w:val="auto"/>
          <w:sz w:val="28"/>
          <w:szCs w:val="28"/>
        </w:rPr>
        <w:fldChar w:fldCharType="separate"/>
      </w:r>
      <w:r>
        <w:rPr>
          <w:rFonts w:ascii="仿宋_GB2312" w:eastAsia="仿宋_GB2312"/>
          <w:color w:val="auto"/>
          <w:sz w:val="28"/>
          <w:szCs w:val="28"/>
        </w:rPr>
        <w:t>1</w:t>
      </w:r>
      <w:r>
        <w:rPr>
          <w:rFonts w:hint="eastAsia" w:ascii="仿宋_GB2312" w:eastAsia="仿宋_GB2312"/>
          <w:color w:val="auto"/>
          <w:sz w:val="28"/>
          <w:szCs w:val="28"/>
        </w:rPr>
        <w:fldChar w:fldCharType="end"/>
      </w:r>
      <w:r>
        <w:rPr>
          <w:rFonts w:hint="eastAsia" w:ascii="仿宋_GB2312" w:eastAsia="仿宋_GB2312"/>
          <w:color w:val="auto"/>
          <w:sz w:val="28"/>
          <w:szCs w:val="28"/>
        </w:rPr>
        <w:fldChar w:fldCharType="end"/>
      </w:r>
    </w:p>
    <w:p>
      <w:pPr>
        <w:pStyle w:val="28"/>
        <w:tabs>
          <w:tab w:val="right" w:leader="dot" w:pos="8948"/>
        </w:tabs>
        <w:rPr>
          <w:rFonts w:ascii="仿宋_GB2312" w:eastAsia="仿宋_GB2312" w:cs="Times New Roman"/>
          <w:b w:val="0"/>
          <w:bCs w:val="0"/>
          <w:caps w:val="0"/>
          <w:color w:val="auto"/>
          <w:sz w:val="28"/>
          <w:szCs w:val="28"/>
        </w:rPr>
      </w:pPr>
      <w:r>
        <w:rPr>
          <w:color w:val="auto"/>
        </w:rPr>
        <w:fldChar w:fldCharType="begin"/>
      </w:r>
      <w:r>
        <w:rPr>
          <w:color w:val="auto"/>
        </w:rPr>
        <w:instrText xml:space="preserve"> HYPERLINK \l "_Toc521268498" </w:instrText>
      </w:r>
      <w:r>
        <w:rPr>
          <w:color w:val="auto"/>
        </w:rPr>
        <w:fldChar w:fldCharType="separate"/>
      </w:r>
      <w:r>
        <w:rPr>
          <w:rStyle w:val="45"/>
          <w:rFonts w:hint="eastAsia" w:ascii="仿宋_GB2312" w:eastAsia="仿宋_GB2312"/>
          <w:color w:val="auto"/>
          <w:sz w:val="28"/>
          <w:szCs w:val="28"/>
        </w:rPr>
        <w:t>一、估价师声明</w:t>
      </w:r>
      <w:r>
        <w:rPr>
          <w:rFonts w:hint="eastAsia" w:ascii="仿宋_GB2312" w:eastAsia="仿宋_GB2312"/>
          <w:color w:val="auto"/>
          <w:sz w:val="28"/>
          <w:szCs w:val="28"/>
        </w:rPr>
        <w:tab/>
      </w:r>
      <w:r>
        <w:rPr>
          <w:rFonts w:hint="eastAsia" w:ascii="仿宋_GB2312" w:eastAsia="仿宋_GB2312"/>
          <w:color w:val="auto"/>
          <w:sz w:val="28"/>
          <w:szCs w:val="28"/>
        </w:rPr>
        <w:fldChar w:fldCharType="begin"/>
      </w:r>
      <w:r>
        <w:rPr>
          <w:rFonts w:hint="eastAsia" w:ascii="仿宋_GB2312" w:eastAsia="仿宋_GB2312"/>
          <w:color w:val="auto"/>
          <w:sz w:val="28"/>
          <w:szCs w:val="28"/>
        </w:rPr>
        <w:instrText xml:space="preserve"> PAGEREF _Toc521268498 \h </w:instrText>
      </w:r>
      <w:r>
        <w:rPr>
          <w:rFonts w:hint="eastAsia" w:ascii="仿宋_GB2312" w:eastAsia="仿宋_GB2312"/>
          <w:color w:val="auto"/>
          <w:sz w:val="28"/>
          <w:szCs w:val="28"/>
        </w:rPr>
        <w:fldChar w:fldCharType="separate"/>
      </w:r>
      <w:r>
        <w:rPr>
          <w:rFonts w:ascii="仿宋_GB2312" w:eastAsia="仿宋_GB2312"/>
          <w:color w:val="auto"/>
          <w:sz w:val="28"/>
          <w:szCs w:val="28"/>
        </w:rPr>
        <w:t>5</w:t>
      </w:r>
      <w:r>
        <w:rPr>
          <w:rFonts w:hint="eastAsia" w:ascii="仿宋_GB2312" w:eastAsia="仿宋_GB2312"/>
          <w:color w:val="auto"/>
          <w:sz w:val="28"/>
          <w:szCs w:val="28"/>
        </w:rPr>
        <w:fldChar w:fldCharType="end"/>
      </w:r>
      <w:r>
        <w:rPr>
          <w:rFonts w:hint="eastAsia" w:ascii="仿宋_GB2312" w:eastAsia="仿宋_GB2312"/>
          <w:color w:val="auto"/>
          <w:sz w:val="28"/>
          <w:szCs w:val="28"/>
        </w:rPr>
        <w:fldChar w:fldCharType="end"/>
      </w:r>
    </w:p>
    <w:p>
      <w:pPr>
        <w:pStyle w:val="28"/>
        <w:tabs>
          <w:tab w:val="right" w:leader="dot" w:pos="8948"/>
        </w:tabs>
        <w:rPr>
          <w:rFonts w:ascii="仿宋_GB2312" w:eastAsia="仿宋_GB2312" w:cs="Times New Roman"/>
          <w:b w:val="0"/>
          <w:bCs w:val="0"/>
          <w:caps w:val="0"/>
          <w:color w:val="auto"/>
          <w:sz w:val="28"/>
          <w:szCs w:val="28"/>
        </w:rPr>
      </w:pPr>
      <w:r>
        <w:rPr>
          <w:color w:val="auto"/>
        </w:rPr>
        <w:fldChar w:fldCharType="begin"/>
      </w:r>
      <w:r>
        <w:rPr>
          <w:color w:val="auto"/>
        </w:rPr>
        <w:instrText xml:space="preserve"> HYPERLINK \l "_Toc521268499" </w:instrText>
      </w:r>
      <w:r>
        <w:rPr>
          <w:color w:val="auto"/>
        </w:rPr>
        <w:fldChar w:fldCharType="separate"/>
      </w:r>
      <w:r>
        <w:rPr>
          <w:rStyle w:val="45"/>
          <w:rFonts w:hint="eastAsia" w:ascii="仿宋_GB2312" w:eastAsia="仿宋_GB2312"/>
          <w:color w:val="auto"/>
          <w:sz w:val="28"/>
          <w:szCs w:val="28"/>
        </w:rPr>
        <w:t>二、估价假设和限制条件</w:t>
      </w:r>
      <w:r>
        <w:rPr>
          <w:rFonts w:hint="eastAsia" w:ascii="仿宋_GB2312" w:eastAsia="仿宋_GB2312"/>
          <w:color w:val="auto"/>
          <w:sz w:val="28"/>
          <w:szCs w:val="28"/>
        </w:rPr>
        <w:tab/>
      </w:r>
      <w:r>
        <w:rPr>
          <w:rFonts w:hint="eastAsia" w:ascii="仿宋_GB2312" w:eastAsia="仿宋_GB2312"/>
          <w:color w:val="auto"/>
          <w:sz w:val="28"/>
          <w:szCs w:val="28"/>
        </w:rPr>
        <w:fldChar w:fldCharType="begin"/>
      </w:r>
      <w:r>
        <w:rPr>
          <w:rFonts w:hint="eastAsia" w:ascii="仿宋_GB2312" w:eastAsia="仿宋_GB2312"/>
          <w:color w:val="auto"/>
          <w:sz w:val="28"/>
          <w:szCs w:val="28"/>
        </w:rPr>
        <w:instrText xml:space="preserve"> PAGEREF _Toc521268499 \h </w:instrText>
      </w:r>
      <w:r>
        <w:rPr>
          <w:rFonts w:hint="eastAsia" w:ascii="仿宋_GB2312" w:eastAsia="仿宋_GB2312"/>
          <w:color w:val="auto"/>
          <w:sz w:val="28"/>
          <w:szCs w:val="28"/>
        </w:rPr>
        <w:fldChar w:fldCharType="separate"/>
      </w:r>
      <w:r>
        <w:rPr>
          <w:rFonts w:ascii="仿宋_GB2312" w:eastAsia="仿宋_GB2312"/>
          <w:color w:val="auto"/>
          <w:sz w:val="28"/>
          <w:szCs w:val="28"/>
        </w:rPr>
        <w:t>7</w:t>
      </w:r>
      <w:r>
        <w:rPr>
          <w:rFonts w:hint="eastAsia" w:ascii="仿宋_GB2312" w:eastAsia="仿宋_GB2312"/>
          <w:color w:val="auto"/>
          <w:sz w:val="28"/>
          <w:szCs w:val="28"/>
        </w:rPr>
        <w:fldChar w:fldCharType="end"/>
      </w:r>
      <w:r>
        <w:rPr>
          <w:rFonts w:hint="eastAsia" w:ascii="仿宋_GB2312" w:eastAsia="仿宋_GB2312"/>
          <w:color w:val="auto"/>
          <w:sz w:val="28"/>
          <w:szCs w:val="28"/>
        </w:rPr>
        <w:fldChar w:fldCharType="end"/>
      </w:r>
    </w:p>
    <w:p>
      <w:pPr>
        <w:pStyle w:val="28"/>
        <w:tabs>
          <w:tab w:val="right" w:leader="dot" w:pos="8948"/>
        </w:tabs>
        <w:rPr>
          <w:rFonts w:ascii="仿宋_GB2312" w:eastAsia="仿宋_GB2312" w:cs="Times New Roman"/>
          <w:b w:val="0"/>
          <w:bCs w:val="0"/>
          <w:caps w:val="0"/>
          <w:color w:val="auto"/>
          <w:sz w:val="28"/>
          <w:szCs w:val="28"/>
        </w:rPr>
      </w:pPr>
      <w:r>
        <w:rPr>
          <w:color w:val="auto"/>
        </w:rPr>
        <w:fldChar w:fldCharType="begin"/>
      </w:r>
      <w:r>
        <w:rPr>
          <w:color w:val="auto"/>
        </w:rPr>
        <w:instrText xml:space="preserve"> HYPERLINK \l "_Toc521268500" </w:instrText>
      </w:r>
      <w:r>
        <w:rPr>
          <w:color w:val="auto"/>
        </w:rPr>
        <w:fldChar w:fldCharType="separate"/>
      </w:r>
      <w:r>
        <w:rPr>
          <w:rStyle w:val="45"/>
          <w:rFonts w:hint="eastAsia" w:ascii="仿宋_GB2312" w:eastAsia="仿宋_GB2312"/>
          <w:color w:val="auto"/>
          <w:sz w:val="28"/>
          <w:szCs w:val="28"/>
        </w:rPr>
        <w:t>三、估价结果报告</w:t>
      </w:r>
      <w:r>
        <w:rPr>
          <w:rFonts w:hint="eastAsia" w:ascii="仿宋_GB2312" w:eastAsia="仿宋_GB2312"/>
          <w:color w:val="auto"/>
          <w:sz w:val="28"/>
          <w:szCs w:val="28"/>
        </w:rPr>
        <w:tab/>
      </w:r>
      <w:r>
        <w:rPr>
          <w:rFonts w:hint="eastAsia" w:ascii="仿宋_GB2312" w:eastAsia="仿宋_GB2312"/>
          <w:color w:val="auto"/>
          <w:sz w:val="28"/>
          <w:szCs w:val="28"/>
        </w:rPr>
        <w:fldChar w:fldCharType="begin"/>
      </w:r>
      <w:r>
        <w:rPr>
          <w:rFonts w:hint="eastAsia" w:ascii="仿宋_GB2312" w:eastAsia="仿宋_GB2312"/>
          <w:color w:val="auto"/>
          <w:sz w:val="28"/>
          <w:szCs w:val="28"/>
        </w:rPr>
        <w:instrText xml:space="preserve"> PAGEREF _Toc521268500 \h </w:instrText>
      </w:r>
      <w:r>
        <w:rPr>
          <w:rFonts w:hint="eastAsia" w:ascii="仿宋_GB2312" w:eastAsia="仿宋_GB2312"/>
          <w:color w:val="auto"/>
          <w:sz w:val="28"/>
          <w:szCs w:val="28"/>
        </w:rPr>
        <w:fldChar w:fldCharType="separate"/>
      </w:r>
      <w:r>
        <w:rPr>
          <w:rFonts w:ascii="仿宋_GB2312" w:eastAsia="仿宋_GB2312"/>
          <w:color w:val="auto"/>
          <w:sz w:val="28"/>
          <w:szCs w:val="28"/>
        </w:rPr>
        <w:t>11</w:t>
      </w:r>
      <w:r>
        <w:rPr>
          <w:rFonts w:hint="eastAsia" w:ascii="仿宋_GB2312" w:eastAsia="仿宋_GB2312"/>
          <w:color w:val="auto"/>
          <w:sz w:val="28"/>
          <w:szCs w:val="28"/>
        </w:rPr>
        <w:fldChar w:fldCharType="end"/>
      </w:r>
      <w:r>
        <w:rPr>
          <w:rFonts w:hint="eastAsia" w:ascii="仿宋_GB2312" w:eastAsia="仿宋_GB2312"/>
          <w:color w:val="auto"/>
          <w:sz w:val="28"/>
          <w:szCs w:val="28"/>
        </w:rPr>
        <w:fldChar w:fldCharType="end"/>
      </w:r>
    </w:p>
    <w:p>
      <w:pPr>
        <w:pStyle w:val="37"/>
        <w:tabs>
          <w:tab w:val="right" w:leader="dot" w:pos="8948"/>
        </w:tabs>
        <w:rPr>
          <w:rFonts w:ascii="仿宋_GB2312" w:eastAsia="仿宋_GB2312" w:cs="Times New Roman"/>
          <w:smallCaps w:val="0"/>
          <w:color w:val="auto"/>
          <w:sz w:val="28"/>
          <w:szCs w:val="28"/>
        </w:rPr>
      </w:pPr>
      <w:r>
        <w:rPr>
          <w:color w:val="auto"/>
        </w:rPr>
        <w:fldChar w:fldCharType="begin"/>
      </w:r>
      <w:r>
        <w:rPr>
          <w:color w:val="auto"/>
        </w:rPr>
        <w:instrText xml:space="preserve"> HYPERLINK \l "_Toc521268501" </w:instrText>
      </w:r>
      <w:r>
        <w:rPr>
          <w:color w:val="auto"/>
        </w:rPr>
        <w:fldChar w:fldCharType="separate"/>
      </w:r>
      <w:r>
        <w:rPr>
          <w:rStyle w:val="45"/>
          <w:rFonts w:hint="eastAsia" w:ascii="仿宋_GB2312" w:hAnsi="Times New Roman" w:eastAsia="仿宋_GB2312"/>
          <w:color w:val="auto"/>
          <w:sz w:val="28"/>
          <w:szCs w:val="28"/>
        </w:rPr>
        <w:t>（一）估价委托人</w:t>
      </w:r>
      <w:r>
        <w:rPr>
          <w:rFonts w:hint="eastAsia" w:ascii="仿宋_GB2312" w:eastAsia="仿宋_GB2312"/>
          <w:color w:val="auto"/>
          <w:sz w:val="28"/>
          <w:szCs w:val="28"/>
        </w:rPr>
        <w:tab/>
      </w:r>
      <w:r>
        <w:rPr>
          <w:rFonts w:hint="eastAsia" w:ascii="仿宋_GB2312" w:eastAsia="仿宋_GB2312"/>
          <w:color w:val="auto"/>
          <w:sz w:val="28"/>
          <w:szCs w:val="28"/>
        </w:rPr>
        <w:fldChar w:fldCharType="begin"/>
      </w:r>
      <w:r>
        <w:rPr>
          <w:rFonts w:hint="eastAsia" w:ascii="仿宋_GB2312" w:eastAsia="仿宋_GB2312"/>
          <w:color w:val="auto"/>
          <w:sz w:val="28"/>
          <w:szCs w:val="28"/>
        </w:rPr>
        <w:instrText xml:space="preserve"> PAGEREF _Toc521268501 \h </w:instrText>
      </w:r>
      <w:r>
        <w:rPr>
          <w:rFonts w:hint="eastAsia" w:ascii="仿宋_GB2312" w:eastAsia="仿宋_GB2312"/>
          <w:color w:val="auto"/>
          <w:sz w:val="28"/>
          <w:szCs w:val="28"/>
        </w:rPr>
        <w:fldChar w:fldCharType="separate"/>
      </w:r>
      <w:r>
        <w:rPr>
          <w:rFonts w:ascii="仿宋_GB2312" w:eastAsia="仿宋_GB2312"/>
          <w:color w:val="auto"/>
          <w:sz w:val="28"/>
          <w:szCs w:val="28"/>
        </w:rPr>
        <w:t>11</w:t>
      </w:r>
      <w:r>
        <w:rPr>
          <w:rFonts w:hint="eastAsia" w:ascii="仿宋_GB2312" w:eastAsia="仿宋_GB2312"/>
          <w:color w:val="auto"/>
          <w:sz w:val="28"/>
          <w:szCs w:val="28"/>
        </w:rPr>
        <w:fldChar w:fldCharType="end"/>
      </w:r>
      <w:r>
        <w:rPr>
          <w:rFonts w:hint="eastAsia" w:ascii="仿宋_GB2312" w:eastAsia="仿宋_GB2312"/>
          <w:color w:val="auto"/>
          <w:sz w:val="28"/>
          <w:szCs w:val="28"/>
        </w:rPr>
        <w:fldChar w:fldCharType="end"/>
      </w:r>
    </w:p>
    <w:p>
      <w:pPr>
        <w:pStyle w:val="37"/>
        <w:tabs>
          <w:tab w:val="right" w:leader="dot" w:pos="8948"/>
        </w:tabs>
        <w:rPr>
          <w:rFonts w:ascii="仿宋_GB2312" w:eastAsia="仿宋_GB2312" w:cs="Times New Roman"/>
          <w:smallCaps w:val="0"/>
          <w:color w:val="auto"/>
          <w:sz w:val="28"/>
          <w:szCs w:val="28"/>
        </w:rPr>
      </w:pPr>
      <w:r>
        <w:rPr>
          <w:color w:val="auto"/>
        </w:rPr>
        <w:fldChar w:fldCharType="begin"/>
      </w:r>
      <w:r>
        <w:rPr>
          <w:color w:val="auto"/>
        </w:rPr>
        <w:instrText xml:space="preserve"> HYPERLINK \l "_Toc521268502" </w:instrText>
      </w:r>
      <w:r>
        <w:rPr>
          <w:color w:val="auto"/>
        </w:rPr>
        <w:fldChar w:fldCharType="separate"/>
      </w:r>
      <w:r>
        <w:rPr>
          <w:rStyle w:val="45"/>
          <w:rFonts w:hint="eastAsia" w:ascii="仿宋_GB2312" w:hAnsi="Times New Roman" w:eastAsia="仿宋_GB2312"/>
          <w:color w:val="auto"/>
          <w:sz w:val="28"/>
          <w:szCs w:val="28"/>
        </w:rPr>
        <w:t>（二）房地产估价机构</w:t>
      </w:r>
      <w:r>
        <w:rPr>
          <w:rFonts w:hint="eastAsia" w:ascii="仿宋_GB2312" w:eastAsia="仿宋_GB2312"/>
          <w:color w:val="auto"/>
          <w:sz w:val="28"/>
          <w:szCs w:val="28"/>
        </w:rPr>
        <w:tab/>
      </w:r>
      <w:r>
        <w:rPr>
          <w:rFonts w:hint="eastAsia" w:ascii="仿宋_GB2312" w:eastAsia="仿宋_GB2312"/>
          <w:color w:val="auto"/>
          <w:sz w:val="28"/>
          <w:szCs w:val="28"/>
        </w:rPr>
        <w:fldChar w:fldCharType="begin"/>
      </w:r>
      <w:r>
        <w:rPr>
          <w:rFonts w:hint="eastAsia" w:ascii="仿宋_GB2312" w:eastAsia="仿宋_GB2312"/>
          <w:color w:val="auto"/>
          <w:sz w:val="28"/>
          <w:szCs w:val="28"/>
        </w:rPr>
        <w:instrText xml:space="preserve"> PAGEREF _Toc521268502 \h </w:instrText>
      </w:r>
      <w:r>
        <w:rPr>
          <w:rFonts w:hint="eastAsia" w:ascii="仿宋_GB2312" w:eastAsia="仿宋_GB2312"/>
          <w:color w:val="auto"/>
          <w:sz w:val="28"/>
          <w:szCs w:val="28"/>
        </w:rPr>
        <w:fldChar w:fldCharType="separate"/>
      </w:r>
      <w:r>
        <w:rPr>
          <w:rFonts w:ascii="仿宋_GB2312" w:eastAsia="仿宋_GB2312"/>
          <w:color w:val="auto"/>
          <w:sz w:val="28"/>
          <w:szCs w:val="28"/>
        </w:rPr>
        <w:t>11</w:t>
      </w:r>
      <w:r>
        <w:rPr>
          <w:rFonts w:hint="eastAsia" w:ascii="仿宋_GB2312" w:eastAsia="仿宋_GB2312"/>
          <w:color w:val="auto"/>
          <w:sz w:val="28"/>
          <w:szCs w:val="28"/>
        </w:rPr>
        <w:fldChar w:fldCharType="end"/>
      </w:r>
      <w:r>
        <w:rPr>
          <w:rFonts w:hint="eastAsia" w:ascii="仿宋_GB2312" w:eastAsia="仿宋_GB2312"/>
          <w:color w:val="auto"/>
          <w:sz w:val="28"/>
          <w:szCs w:val="28"/>
        </w:rPr>
        <w:fldChar w:fldCharType="end"/>
      </w:r>
    </w:p>
    <w:p>
      <w:pPr>
        <w:pStyle w:val="37"/>
        <w:tabs>
          <w:tab w:val="right" w:leader="dot" w:pos="8948"/>
        </w:tabs>
        <w:rPr>
          <w:rFonts w:ascii="仿宋_GB2312" w:eastAsia="仿宋_GB2312" w:cs="Times New Roman"/>
          <w:smallCaps w:val="0"/>
          <w:color w:val="auto"/>
          <w:sz w:val="28"/>
          <w:szCs w:val="28"/>
        </w:rPr>
      </w:pPr>
      <w:r>
        <w:rPr>
          <w:color w:val="auto"/>
        </w:rPr>
        <w:fldChar w:fldCharType="begin"/>
      </w:r>
      <w:r>
        <w:rPr>
          <w:color w:val="auto"/>
        </w:rPr>
        <w:instrText xml:space="preserve"> HYPERLINK \l "_Toc521268503" </w:instrText>
      </w:r>
      <w:r>
        <w:rPr>
          <w:color w:val="auto"/>
        </w:rPr>
        <w:fldChar w:fldCharType="separate"/>
      </w:r>
      <w:r>
        <w:rPr>
          <w:rStyle w:val="45"/>
          <w:rFonts w:hint="eastAsia" w:ascii="仿宋_GB2312" w:hAnsi="Times New Roman" w:eastAsia="仿宋_GB2312"/>
          <w:color w:val="auto"/>
          <w:sz w:val="28"/>
          <w:szCs w:val="28"/>
        </w:rPr>
        <w:t>（三）估价目的</w:t>
      </w:r>
      <w:r>
        <w:rPr>
          <w:rFonts w:hint="eastAsia" w:ascii="仿宋_GB2312" w:eastAsia="仿宋_GB2312"/>
          <w:color w:val="auto"/>
          <w:sz w:val="28"/>
          <w:szCs w:val="28"/>
        </w:rPr>
        <w:tab/>
      </w:r>
      <w:r>
        <w:rPr>
          <w:rFonts w:hint="eastAsia" w:ascii="仿宋_GB2312" w:eastAsia="仿宋_GB2312"/>
          <w:color w:val="auto"/>
          <w:sz w:val="28"/>
          <w:szCs w:val="28"/>
        </w:rPr>
        <w:fldChar w:fldCharType="begin"/>
      </w:r>
      <w:r>
        <w:rPr>
          <w:rFonts w:hint="eastAsia" w:ascii="仿宋_GB2312" w:eastAsia="仿宋_GB2312"/>
          <w:color w:val="auto"/>
          <w:sz w:val="28"/>
          <w:szCs w:val="28"/>
        </w:rPr>
        <w:instrText xml:space="preserve"> PAGEREF _Toc521268503 \h </w:instrText>
      </w:r>
      <w:r>
        <w:rPr>
          <w:rFonts w:hint="eastAsia" w:ascii="仿宋_GB2312" w:eastAsia="仿宋_GB2312"/>
          <w:color w:val="auto"/>
          <w:sz w:val="28"/>
          <w:szCs w:val="28"/>
        </w:rPr>
        <w:fldChar w:fldCharType="separate"/>
      </w:r>
      <w:r>
        <w:rPr>
          <w:rFonts w:ascii="仿宋_GB2312" w:eastAsia="仿宋_GB2312"/>
          <w:color w:val="auto"/>
          <w:sz w:val="28"/>
          <w:szCs w:val="28"/>
        </w:rPr>
        <w:t>11</w:t>
      </w:r>
      <w:r>
        <w:rPr>
          <w:rFonts w:hint="eastAsia" w:ascii="仿宋_GB2312" w:eastAsia="仿宋_GB2312"/>
          <w:color w:val="auto"/>
          <w:sz w:val="28"/>
          <w:szCs w:val="28"/>
        </w:rPr>
        <w:fldChar w:fldCharType="end"/>
      </w:r>
      <w:r>
        <w:rPr>
          <w:rFonts w:hint="eastAsia" w:ascii="仿宋_GB2312" w:eastAsia="仿宋_GB2312"/>
          <w:color w:val="auto"/>
          <w:sz w:val="28"/>
          <w:szCs w:val="28"/>
        </w:rPr>
        <w:fldChar w:fldCharType="end"/>
      </w:r>
    </w:p>
    <w:p>
      <w:pPr>
        <w:pStyle w:val="37"/>
        <w:tabs>
          <w:tab w:val="right" w:leader="dot" w:pos="8948"/>
        </w:tabs>
        <w:rPr>
          <w:rFonts w:ascii="仿宋_GB2312" w:eastAsia="仿宋_GB2312" w:cs="Times New Roman"/>
          <w:smallCaps w:val="0"/>
          <w:color w:val="auto"/>
          <w:sz w:val="28"/>
          <w:szCs w:val="28"/>
        </w:rPr>
      </w:pPr>
      <w:r>
        <w:rPr>
          <w:color w:val="auto"/>
        </w:rPr>
        <w:fldChar w:fldCharType="begin"/>
      </w:r>
      <w:r>
        <w:rPr>
          <w:color w:val="auto"/>
        </w:rPr>
        <w:instrText xml:space="preserve"> HYPERLINK \l "_Toc521268504" </w:instrText>
      </w:r>
      <w:r>
        <w:rPr>
          <w:color w:val="auto"/>
        </w:rPr>
        <w:fldChar w:fldCharType="separate"/>
      </w:r>
      <w:r>
        <w:rPr>
          <w:rStyle w:val="45"/>
          <w:rFonts w:hint="eastAsia" w:ascii="仿宋_GB2312" w:hAnsi="Times New Roman" w:eastAsia="仿宋_GB2312"/>
          <w:color w:val="auto"/>
          <w:sz w:val="28"/>
          <w:szCs w:val="28"/>
        </w:rPr>
        <w:t>（四）估价对象</w:t>
      </w:r>
      <w:r>
        <w:rPr>
          <w:rFonts w:hint="eastAsia" w:ascii="仿宋_GB2312" w:eastAsia="仿宋_GB2312"/>
          <w:color w:val="auto"/>
          <w:sz w:val="28"/>
          <w:szCs w:val="28"/>
        </w:rPr>
        <w:tab/>
      </w:r>
      <w:r>
        <w:rPr>
          <w:rFonts w:hint="eastAsia" w:ascii="仿宋_GB2312" w:eastAsia="仿宋_GB2312"/>
          <w:color w:val="auto"/>
          <w:sz w:val="28"/>
          <w:szCs w:val="28"/>
        </w:rPr>
        <w:fldChar w:fldCharType="begin"/>
      </w:r>
      <w:r>
        <w:rPr>
          <w:rFonts w:hint="eastAsia" w:ascii="仿宋_GB2312" w:eastAsia="仿宋_GB2312"/>
          <w:color w:val="auto"/>
          <w:sz w:val="28"/>
          <w:szCs w:val="28"/>
        </w:rPr>
        <w:instrText xml:space="preserve"> PAGEREF _Toc521268504 \h </w:instrText>
      </w:r>
      <w:r>
        <w:rPr>
          <w:rFonts w:hint="eastAsia" w:ascii="仿宋_GB2312" w:eastAsia="仿宋_GB2312"/>
          <w:color w:val="auto"/>
          <w:sz w:val="28"/>
          <w:szCs w:val="28"/>
        </w:rPr>
        <w:fldChar w:fldCharType="separate"/>
      </w:r>
      <w:r>
        <w:rPr>
          <w:rFonts w:ascii="仿宋_GB2312" w:eastAsia="仿宋_GB2312"/>
          <w:color w:val="auto"/>
          <w:sz w:val="28"/>
          <w:szCs w:val="28"/>
        </w:rPr>
        <w:t>11</w:t>
      </w:r>
      <w:r>
        <w:rPr>
          <w:rFonts w:hint="eastAsia" w:ascii="仿宋_GB2312" w:eastAsia="仿宋_GB2312"/>
          <w:color w:val="auto"/>
          <w:sz w:val="28"/>
          <w:szCs w:val="28"/>
        </w:rPr>
        <w:fldChar w:fldCharType="end"/>
      </w:r>
      <w:r>
        <w:rPr>
          <w:rFonts w:hint="eastAsia" w:ascii="仿宋_GB2312" w:eastAsia="仿宋_GB2312"/>
          <w:color w:val="auto"/>
          <w:sz w:val="28"/>
          <w:szCs w:val="28"/>
        </w:rPr>
        <w:fldChar w:fldCharType="end"/>
      </w:r>
    </w:p>
    <w:p>
      <w:pPr>
        <w:pStyle w:val="37"/>
        <w:tabs>
          <w:tab w:val="right" w:leader="dot" w:pos="8948"/>
        </w:tabs>
        <w:rPr>
          <w:rFonts w:ascii="仿宋_GB2312" w:eastAsia="仿宋_GB2312" w:cs="Times New Roman"/>
          <w:smallCaps w:val="0"/>
          <w:color w:val="auto"/>
          <w:sz w:val="28"/>
          <w:szCs w:val="28"/>
        </w:rPr>
      </w:pPr>
      <w:r>
        <w:rPr>
          <w:color w:val="auto"/>
        </w:rPr>
        <w:fldChar w:fldCharType="begin"/>
      </w:r>
      <w:r>
        <w:rPr>
          <w:color w:val="auto"/>
        </w:rPr>
        <w:instrText xml:space="preserve"> HYPERLINK \l "_Toc521268505" </w:instrText>
      </w:r>
      <w:r>
        <w:rPr>
          <w:color w:val="auto"/>
        </w:rPr>
        <w:fldChar w:fldCharType="separate"/>
      </w:r>
      <w:r>
        <w:rPr>
          <w:rStyle w:val="45"/>
          <w:rFonts w:hint="eastAsia" w:ascii="仿宋_GB2312" w:hAnsi="Times New Roman" w:eastAsia="仿宋_GB2312"/>
          <w:color w:val="auto"/>
          <w:sz w:val="28"/>
          <w:szCs w:val="28"/>
        </w:rPr>
        <w:t>（五）价值时点</w:t>
      </w:r>
      <w:r>
        <w:rPr>
          <w:rFonts w:hint="eastAsia" w:ascii="仿宋_GB2312" w:eastAsia="仿宋_GB2312"/>
          <w:color w:val="auto"/>
          <w:sz w:val="28"/>
          <w:szCs w:val="28"/>
        </w:rPr>
        <w:tab/>
      </w:r>
      <w:r>
        <w:rPr>
          <w:rFonts w:hint="eastAsia" w:ascii="仿宋_GB2312" w:eastAsia="仿宋_GB2312"/>
          <w:color w:val="auto"/>
          <w:sz w:val="28"/>
          <w:szCs w:val="28"/>
        </w:rPr>
        <w:fldChar w:fldCharType="begin"/>
      </w:r>
      <w:r>
        <w:rPr>
          <w:rFonts w:hint="eastAsia" w:ascii="仿宋_GB2312" w:eastAsia="仿宋_GB2312"/>
          <w:color w:val="auto"/>
          <w:sz w:val="28"/>
          <w:szCs w:val="28"/>
        </w:rPr>
        <w:instrText xml:space="preserve"> PAGEREF _Toc521268505 \h </w:instrText>
      </w:r>
      <w:r>
        <w:rPr>
          <w:rFonts w:hint="eastAsia" w:ascii="仿宋_GB2312" w:eastAsia="仿宋_GB2312"/>
          <w:color w:val="auto"/>
          <w:sz w:val="28"/>
          <w:szCs w:val="28"/>
        </w:rPr>
        <w:fldChar w:fldCharType="separate"/>
      </w:r>
      <w:r>
        <w:rPr>
          <w:rFonts w:ascii="仿宋_GB2312" w:eastAsia="仿宋_GB2312"/>
          <w:color w:val="auto"/>
          <w:sz w:val="28"/>
          <w:szCs w:val="28"/>
        </w:rPr>
        <w:t>12</w:t>
      </w:r>
      <w:r>
        <w:rPr>
          <w:rFonts w:hint="eastAsia" w:ascii="仿宋_GB2312" w:eastAsia="仿宋_GB2312"/>
          <w:color w:val="auto"/>
          <w:sz w:val="28"/>
          <w:szCs w:val="28"/>
        </w:rPr>
        <w:fldChar w:fldCharType="end"/>
      </w:r>
      <w:r>
        <w:rPr>
          <w:rFonts w:hint="eastAsia" w:ascii="仿宋_GB2312" w:eastAsia="仿宋_GB2312"/>
          <w:color w:val="auto"/>
          <w:sz w:val="28"/>
          <w:szCs w:val="28"/>
        </w:rPr>
        <w:fldChar w:fldCharType="end"/>
      </w:r>
    </w:p>
    <w:p>
      <w:pPr>
        <w:pStyle w:val="37"/>
        <w:tabs>
          <w:tab w:val="right" w:leader="dot" w:pos="8948"/>
        </w:tabs>
        <w:rPr>
          <w:rFonts w:ascii="仿宋_GB2312" w:eastAsia="仿宋_GB2312" w:cs="Times New Roman"/>
          <w:smallCaps w:val="0"/>
          <w:color w:val="auto"/>
          <w:sz w:val="28"/>
          <w:szCs w:val="28"/>
        </w:rPr>
      </w:pPr>
      <w:r>
        <w:rPr>
          <w:color w:val="auto"/>
        </w:rPr>
        <w:fldChar w:fldCharType="begin"/>
      </w:r>
      <w:r>
        <w:rPr>
          <w:color w:val="auto"/>
        </w:rPr>
        <w:instrText xml:space="preserve"> HYPERLINK \l "_Toc521268506" </w:instrText>
      </w:r>
      <w:r>
        <w:rPr>
          <w:color w:val="auto"/>
        </w:rPr>
        <w:fldChar w:fldCharType="separate"/>
      </w:r>
      <w:r>
        <w:rPr>
          <w:rStyle w:val="45"/>
          <w:rFonts w:hint="eastAsia" w:ascii="仿宋_GB2312" w:hAnsi="Times New Roman" w:eastAsia="仿宋_GB2312"/>
          <w:color w:val="auto"/>
          <w:sz w:val="28"/>
          <w:szCs w:val="28"/>
        </w:rPr>
        <w:t>（六）价值类型</w:t>
      </w:r>
      <w:r>
        <w:rPr>
          <w:rFonts w:hint="eastAsia" w:ascii="仿宋_GB2312" w:eastAsia="仿宋_GB2312"/>
          <w:color w:val="auto"/>
          <w:sz w:val="28"/>
          <w:szCs w:val="28"/>
        </w:rPr>
        <w:tab/>
      </w:r>
      <w:r>
        <w:rPr>
          <w:rFonts w:hint="eastAsia" w:ascii="仿宋_GB2312" w:eastAsia="仿宋_GB2312"/>
          <w:color w:val="auto"/>
          <w:sz w:val="28"/>
          <w:szCs w:val="28"/>
        </w:rPr>
        <w:fldChar w:fldCharType="begin"/>
      </w:r>
      <w:r>
        <w:rPr>
          <w:rFonts w:hint="eastAsia" w:ascii="仿宋_GB2312" w:eastAsia="仿宋_GB2312"/>
          <w:color w:val="auto"/>
          <w:sz w:val="28"/>
          <w:szCs w:val="28"/>
        </w:rPr>
        <w:instrText xml:space="preserve"> PAGEREF _Toc521268506 \h </w:instrText>
      </w:r>
      <w:r>
        <w:rPr>
          <w:rFonts w:hint="eastAsia" w:ascii="仿宋_GB2312" w:eastAsia="仿宋_GB2312"/>
          <w:color w:val="auto"/>
          <w:sz w:val="28"/>
          <w:szCs w:val="28"/>
        </w:rPr>
        <w:fldChar w:fldCharType="separate"/>
      </w:r>
      <w:r>
        <w:rPr>
          <w:rFonts w:ascii="仿宋_GB2312" w:eastAsia="仿宋_GB2312"/>
          <w:color w:val="auto"/>
          <w:sz w:val="28"/>
          <w:szCs w:val="28"/>
        </w:rPr>
        <w:t>13</w:t>
      </w:r>
      <w:r>
        <w:rPr>
          <w:rFonts w:hint="eastAsia" w:ascii="仿宋_GB2312" w:eastAsia="仿宋_GB2312"/>
          <w:color w:val="auto"/>
          <w:sz w:val="28"/>
          <w:szCs w:val="28"/>
        </w:rPr>
        <w:fldChar w:fldCharType="end"/>
      </w:r>
      <w:r>
        <w:rPr>
          <w:rFonts w:hint="eastAsia" w:ascii="仿宋_GB2312" w:eastAsia="仿宋_GB2312"/>
          <w:color w:val="auto"/>
          <w:sz w:val="28"/>
          <w:szCs w:val="28"/>
        </w:rPr>
        <w:fldChar w:fldCharType="end"/>
      </w:r>
    </w:p>
    <w:p>
      <w:pPr>
        <w:pStyle w:val="37"/>
        <w:tabs>
          <w:tab w:val="right" w:leader="dot" w:pos="8948"/>
        </w:tabs>
        <w:rPr>
          <w:rFonts w:ascii="仿宋_GB2312" w:eastAsia="仿宋_GB2312" w:cs="Times New Roman"/>
          <w:smallCaps w:val="0"/>
          <w:color w:val="auto"/>
          <w:sz w:val="28"/>
          <w:szCs w:val="28"/>
        </w:rPr>
      </w:pPr>
      <w:r>
        <w:rPr>
          <w:color w:val="auto"/>
        </w:rPr>
        <w:fldChar w:fldCharType="begin"/>
      </w:r>
      <w:r>
        <w:rPr>
          <w:color w:val="auto"/>
        </w:rPr>
        <w:instrText xml:space="preserve"> HYPERLINK \l "_Toc521268507" </w:instrText>
      </w:r>
      <w:r>
        <w:rPr>
          <w:color w:val="auto"/>
        </w:rPr>
        <w:fldChar w:fldCharType="separate"/>
      </w:r>
      <w:r>
        <w:rPr>
          <w:rStyle w:val="45"/>
          <w:rFonts w:hint="eastAsia" w:ascii="仿宋_GB2312" w:hAnsi="Times New Roman" w:eastAsia="仿宋_GB2312"/>
          <w:color w:val="auto"/>
          <w:sz w:val="28"/>
          <w:szCs w:val="28"/>
        </w:rPr>
        <w:t>（七）估价原则</w:t>
      </w:r>
      <w:r>
        <w:rPr>
          <w:rFonts w:hint="eastAsia" w:ascii="仿宋_GB2312" w:eastAsia="仿宋_GB2312"/>
          <w:color w:val="auto"/>
          <w:sz w:val="28"/>
          <w:szCs w:val="28"/>
        </w:rPr>
        <w:tab/>
      </w:r>
      <w:r>
        <w:rPr>
          <w:rFonts w:hint="eastAsia" w:ascii="仿宋_GB2312" w:eastAsia="仿宋_GB2312"/>
          <w:color w:val="auto"/>
          <w:sz w:val="28"/>
          <w:szCs w:val="28"/>
        </w:rPr>
        <w:fldChar w:fldCharType="begin"/>
      </w:r>
      <w:r>
        <w:rPr>
          <w:rFonts w:hint="eastAsia" w:ascii="仿宋_GB2312" w:eastAsia="仿宋_GB2312"/>
          <w:color w:val="auto"/>
          <w:sz w:val="28"/>
          <w:szCs w:val="28"/>
        </w:rPr>
        <w:instrText xml:space="preserve"> PAGEREF _Toc521268507 \h </w:instrText>
      </w:r>
      <w:r>
        <w:rPr>
          <w:rFonts w:hint="eastAsia" w:ascii="仿宋_GB2312" w:eastAsia="仿宋_GB2312"/>
          <w:color w:val="auto"/>
          <w:sz w:val="28"/>
          <w:szCs w:val="28"/>
        </w:rPr>
        <w:fldChar w:fldCharType="separate"/>
      </w:r>
      <w:r>
        <w:rPr>
          <w:rFonts w:ascii="仿宋_GB2312" w:eastAsia="仿宋_GB2312"/>
          <w:color w:val="auto"/>
          <w:sz w:val="28"/>
          <w:szCs w:val="28"/>
        </w:rPr>
        <w:t>13</w:t>
      </w:r>
      <w:r>
        <w:rPr>
          <w:rFonts w:hint="eastAsia" w:ascii="仿宋_GB2312" w:eastAsia="仿宋_GB2312"/>
          <w:color w:val="auto"/>
          <w:sz w:val="28"/>
          <w:szCs w:val="28"/>
        </w:rPr>
        <w:fldChar w:fldCharType="end"/>
      </w:r>
      <w:r>
        <w:rPr>
          <w:rFonts w:hint="eastAsia" w:ascii="仿宋_GB2312" w:eastAsia="仿宋_GB2312"/>
          <w:color w:val="auto"/>
          <w:sz w:val="28"/>
          <w:szCs w:val="28"/>
        </w:rPr>
        <w:fldChar w:fldCharType="end"/>
      </w:r>
    </w:p>
    <w:p>
      <w:pPr>
        <w:pStyle w:val="37"/>
        <w:tabs>
          <w:tab w:val="right" w:leader="dot" w:pos="8948"/>
        </w:tabs>
        <w:rPr>
          <w:rFonts w:ascii="仿宋_GB2312" w:eastAsia="仿宋_GB2312" w:cs="Times New Roman"/>
          <w:smallCaps w:val="0"/>
          <w:color w:val="auto"/>
          <w:sz w:val="28"/>
          <w:szCs w:val="28"/>
        </w:rPr>
      </w:pPr>
      <w:r>
        <w:rPr>
          <w:color w:val="auto"/>
        </w:rPr>
        <w:fldChar w:fldCharType="begin"/>
      </w:r>
      <w:r>
        <w:rPr>
          <w:color w:val="auto"/>
        </w:rPr>
        <w:instrText xml:space="preserve"> HYPERLINK \l "_Toc521268508" </w:instrText>
      </w:r>
      <w:r>
        <w:rPr>
          <w:color w:val="auto"/>
        </w:rPr>
        <w:fldChar w:fldCharType="separate"/>
      </w:r>
      <w:r>
        <w:rPr>
          <w:rStyle w:val="45"/>
          <w:rFonts w:hint="eastAsia" w:ascii="仿宋_GB2312" w:hAnsi="Times New Roman" w:eastAsia="仿宋_GB2312"/>
          <w:color w:val="auto"/>
          <w:sz w:val="28"/>
          <w:szCs w:val="28"/>
        </w:rPr>
        <w:t>（八）估价依据</w:t>
      </w:r>
      <w:r>
        <w:rPr>
          <w:rFonts w:hint="eastAsia" w:ascii="仿宋_GB2312" w:eastAsia="仿宋_GB2312"/>
          <w:color w:val="auto"/>
          <w:sz w:val="28"/>
          <w:szCs w:val="28"/>
        </w:rPr>
        <w:tab/>
      </w:r>
      <w:r>
        <w:rPr>
          <w:rFonts w:hint="eastAsia" w:ascii="仿宋_GB2312" w:eastAsia="仿宋_GB2312"/>
          <w:color w:val="auto"/>
          <w:sz w:val="28"/>
          <w:szCs w:val="28"/>
        </w:rPr>
        <w:fldChar w:fldCharType="begin"/>
      </w:r>
      <w:r>
        <w:rPr>
          <w:rFonts w:hint="eastAsia" w:ascii="仿宋_GB2312" w:eastAsia="仿宋_GB2312"/>
          <w:color w:val="auto"/>
          <w:sz w:val="28"/>
          <w:szCs w:val="28"/>
        </w:rPr>
        <w:instrText xml:space="preserve"> PAGEREF _Toc521268508 \h </w:instrText>
      </w:r>
      <w:r>
        <w:rPr>
          <w:rFonts w:hint="eastAsia" w:ascii="仿宋_GB2312" w:eastAsia="仿宋_GB2312"/>
          <w:color w:val="auto"/>
          <w:sz w:val="28"/>
          <w:szCs w:val="28"/>
        </w:rPr>
        <w:fldChar w:fldCharType="separate"/>
      </w:r>
      <w:r>
        <w:rPr>
          <w:rFonts w:ascii="仿宋_GB2312" w:eastAsia="仿宋_GB2312"/>
          <w:color w:val="auto"/>
          <w:sz w:val="28"/>
          <w:szCs w:val="28"/>
        </w:rPr>
        <w:t>14</w:t>
      </w:r>
      <w:r>
        <w:rPr>
          <w:rFonts w:hint="eastAsia" w:ascii="仿宋_GB2312" w:eastAsia="仿宋_GB2312"/>
          <w:color w:val="auto"/>
          <w:sz w:val="28"/>
          <w:szCs w:val="28"/>
        </w:rPr>
        <w:fldChar w:fldCharType="end"/>
      </w:r>
      <w:r>
        <w:rPr>
          <w:rFonts w:hint="eastAsia" w:ascii="仿宋_GB2312" w:eastAsia="仿宋_GB2312"/>
          <w:color w:val="auto"/>
          <w:sz w:val="28"/>
          <w:szCs w:val="28"/>
        </w:rPr>
        <w:fldChar w:fldCharType="end"/>
      </w:r>
    </w:p>
    <w:p>
      <w:pPr>
        <w:pStyle w:val="37"/>
        <w:tabs>
          <w:tab w:val="right" w:leader="dot" w:pos="8948"/>
        </w:tabs>
        <w:rPr>
          <w:rFonts w:ascii="仿宋_GB2312" w:eastAsia="仿宋_GB2312" w:cs="Times New Roman"/>
          <w:smallCaps w:val="0"/>
          <w:color w:val="auto"/>
          <w:sz w:val="28"/>
          <w:szCs w:val="28"/>
        </w:rPr>
      </w:pPr>
      <w:r>
        <w:rPr>
          <w:color w:val="auto"/>
        </w:rPr>
        <w:fldChar w:fldCharType="begin"/>
      </w:r>
      <w:r>
        <w:rPr>
          <w:color w:val="auto"/>
        </w:rPr>
        <w:instrText xml:space="preserve"> HYPERLINK \l "_Toc521268509" </w:instrText>
      </w:r>
      <w:r>
        <w:rPr>
          <w:color w:val="auto"/>
        </w:rPr>
        <w:fldChar w:fldCharType="separate"/>
      </w:r>
      <w:r>
        <w:rPr>
          <w:rStyle w:val="45"/>
          <w:rFonts w:hint="eastAsia" w:ascii="仿宋_GB2312" w:hAnsi="Times New Roman" w:eastAsia="仿宋_GB2312"/>
          <w:color w:val="auto"/>
          <w:sz w:val="28"/>
          <w:szCs w:val="28"/>
        </w:rPr>
        <w:t>（九）估价方法</w:t>
      </w:r>
      <w:r>
        <w:rPr>
          <w:rFonts w:hint="eastAsia" w:ascii="仿宋_GB2312" w:eastAsia="仿宋_GB2312"/>
          <w:color w:val="auto"/>
          <w:sz w:val="28"/>
          <w:szCs w:val="28"/>
        </w:rPr>
        <w:tab/>
      </w:r>
      <w:r>
        <w:rPr>
          <w:rFonts w:hint="eastAsia" w:ascii="仿宋_GB2312" w:eastAsia="仿宋_GB2312"/>
          <w:color w:val="auto"/>
          <w:sz w:val="28"/>
          <w:szCs w:val="28"/>
        </w:rPr>
        <w:fldChar w:fldCharType="begin"/>
      </w:r>
      <w:r>
        <w:rPr>
          <w:rFonts w:hint="eastAsia" w:ascii="仿宋_GB2312" w:eastAsia="仿宋_GB2312"/>
          <w:color w:val="auto"/>
          <w:sz w:val="28"/>
          <w:szCs w:val="28"/>
        </w:rPr>
        <w:instrText xml:space="preserve"> PAGEREF _Toc521268509 \h </w:instrText>
      </w:r>
      <w:r>
        <w:rPr>
          <w:rFonts w:hint="eastAsia" w:ascii="仿宋_GB2312" w:eastAsia="仿宋_GB2312"/>
          <w:color w:val="auto"/>
          <w:sz w:val="28"/>
          <w:szCs w:val="28"/>
        </w:rPr>
        <w:fldChar w:fldCharType="separate"/>
      </w:r>
      <w:r>
        <w:rPr>
          <w:rFonts w:ascii="仿宋_GB2312" w:eastAsia="仿宋_GB2312"/>
          <w:color w:val="auto"/>
          <w:sz w:val="28"/>
          <w:szCs w:val="28"/>
        </w:rPr>
        <w:t>15</w:t>
      </w:r>
      <w:r>
        <w:rPr>
          <w:rFonts w:hint="eastAsia" w:ascii="仿宋_GB2312" w:eastAsia="仿宋_GB2312"/>
          <w:color w:val="auto"/>
          <w:sz w:val="28"/>
          <w:szCs w:val="28"/>
        </w:rPr>
        <w:fldChar w:fldCharType="end"/>
      </w:r>
      <w:r>
        <w:rPr>
          <w:rFonts w:hint="eastAsia" w:ascii="仿宋_GB2312" w:eastAsia="仿宋_GB2312"/>
          <w:color w:val="auto"/>
          <w:sz w:val="28"/>
          <w:szCs w:val="28"/>
        </w:rPr>
        <w:fldChar w:fldCharType="end"/>
      </w:r>
    </w:p>
    <w:p>
      <w:pPr>
        <w:pStyle w:val="37"/>
        <w:tabs>
          <w:tab w:val="right" w:leader="dot" w:pos="8948"/>
        </w:tabs>
        <w:rPr>
          <w:rFonts w:ascii="仿宋_GB2312" w:eastAsia="仿宋_GB2312" w:cs="Times New Roman"/>
          <w:smallCaps w:val="0"/>
          <w:color w:val="auto"/>
          <w:sz w:val="28"/>
          <w:szCs w:val="28"/>
        </w:rPr>
      </w:pPr>
      <w:r>
        <w:rPr>
          <w:color w:val="auto"/>
        </w:rPr>
        <w:fldChar w:fldCharType="begin"/>
      </w:r>
      <w:r>
        <w:rPr>
          <w:color w:val="auto"/>
        </w:rPr>
        <w:instrText xml:space="preserve"> HYPERLINK \l "_Toc521268510" </w:instrText>
      </w:r>
      <w:r>
        <w:rPr>
          <w:color w:val="auto"/>
        </w:rPr>
        <w:fldChar w:fldCharType="separate"/>
      </w:r>
      <w:r>
        <w:rPr>
          <w:rStyle w:val="45"/>
          <w:rFonts w:hint="eastAsia" w:ascii="仿宋_GB2312" w:hAnsi="Times New Roman" w:eastAsia="仿宋_GB2312"/>
          <w:color w:val="auto"/>
          <w:sz w:val="28"/>
          <w:szCs w:val="28"/>
        </w:rPr>
        <w:t>（十）估价结果</w:t>
      </w:r>
      <w:r>
        <w:rPr>
          <w:rFonts w:hint="eastAsia" w:ascii="仿宋_GB2312" w:eastAsia="仿宋_GB2312"/>
          <w:color w:val="auto"/>
          <w:sz w:val="28"/>
          <w:szCs w:val="28"/>
        </w:rPr>
        <w:tab/>
      </w:r>
      <w:r>
        <w:rPr>
          <w:rFonts w:hint="eastAsia" w:ascii="仿宋_GB2312" w:eastAsia="仿宋_GB2312"/>
          <w:color w:val="auto"/>
          <w:sz w:val="28"/>
          <w:szCs w:val="28"/>
        </w:rPr>
        <w:fldChar w:fldCharType="begin"/>
      </w:r>
      <w:r>
        <w:rPr>
          <w:rFonts w:hint="eastAsia" w:ascii="仿宋_GB2312" w:eastAsia="仿宋_GB2312"/>
          <w:color w:val="auto"/>
          <w:sz w:val="28"/>
          <w:szCs w:val="28"/>
        </w:rPr>
        <w:instrText xml:space="preserve"> PAGEREF _Toc521268510 \h </w:instrText>
      </w:r>
      <w:r>
        <w:rPr>
          <w:rFonts w:hint="eastAsia" w:ascii="仿宋_GB2312" w:eastAsia="仿宋_GB2312"/>
          <w:color w:val="auto"/>
          <w:sz w:val="28"/>
          <w:szCs w:val="28"/>
        </w:rPr>
        <w:fldChar w:fldCharType="separate"/>
      </w:r>
      <w:r>
        <w:rPr>
          <w:rFonts w:ascii="仿宋_GB2312" w:eastAsia="仿宋_GB2312"/>
          <w:color w:val="auto"/>
          <w:sz w:val="28"/>
          <w:szCs w:val="28"/>
        </w:rPr>
        <w:t>15</w:t>
      </w:r>
      <w:r>
        <w:rPr>
          <w:rFonts w:hint="eastAsia" w:ascii="仿宋_GB2312" w:eastAsia="仿宋_GB2312"/>
          <w:color w:val="auto"/>
          <w:sz w:val="28"/>
          <w:szCs w:val="28"/>
        </w:rPr>
        <w:fldChar w:fldCharType="end"/>
      </w:r>
      <w:r>
        <w:rPr>
          <w:rFonts w:hint="eastAsia" w:ascii="仿宋_GB2312" w:eastAsia="仿宋_GB2312"/>
          <w:color w:val="auto"/>
          <w:sz w:val="28"/>
          <w:szCs w:val="28"/>
        </w:rPr>
        <w:fldChar w:fldCharType="end"/>
      </w:r>
    </w:p>
    <w:p>
      <w:pPr>
        <w:pStyle w:val="37"/>
        <w:tabs>
          <w:tab w:val="right" w:leader="dot" w:pos="8948"/>
        </w:tabs>
        <w:rPr>
          <w:rFonts w:ascii="仿宋_GB2312" w:eastAsia="仿宋_GB2312" w:cs="Times New Roman"/>
          <w:smallCaps w:val="0"/>
          <w:color w:val="auto"/>
          <w:sz w:val="28"/>
          <w:szCs w:val="28"/>
        </w:rPr>
      </w:pPr>
      <w:r>
        <w:rPr>
          <w:color w:val="auto"/>
        </w:rPr>
        <w:fldChar w:fldCharType="begin"/>
      </w:r>
      <w:r>
        <w:rPr>
          <w:color w:val="auto"/>
        </w:rPr>
        <w:instrText xml:space="preserve"> HYPERLINK \l "_Toc521268511" </w:instrText>
      </w:r>
      <w:r>
        <w:rPr>
          <w:color w:val="auto"/>
        </w:rPr>
        <w:fldChar w:fldCharType="separate"/>
      </w:r>
      <w:r>
        <w:rPr>
          <w:rStyle w:val="45"/>
          <w:rFonts w:hint="eastAsia" w:ascii="仿宋_GB2312" w:hAnsi="Times New Roman" w:eastAsia="仿宋_GB2312"/>
          <w:color w:val="auto"/>
          <w:sz w:val="28"/>
          <w:szCs w:val="28"/>
        </w:rPr>
        <w:t>（十一）注册房地产估价师</w:t>
      </w:r>
      <w:r>
        <w:rPr>
          <w:rFonts w:hint="eastAsia" w:ascii="仿宋_GB2312" w:eastAsia="仿宋_GB2312"/>
          <w:color w:val="auto"/>
          <w:sz w:val="28"/>
          <w:szCs w:val="28"/>
        </w:rPr>
        <w:tab/>
      </w:r>
      <w:r>
        <w:rPr>
          <w:rFonts w:hint="eastAsia" w:ascii="仿宋_GB2312" w:eastAsia="仿宋_GB2312"/>
          <w:color w:val="auto"/>
          <w:sz w:val="28"/>
          <w:szCs w:val="28"/>
        </w:rPr>
        <w:fldChar w:fldCharType="begin"/>
      </w:r>
      <w:r>
        <w:rPr>
          <w:rFonts w:hint="eastAsia" w:ascii="仿宋_GB2312" w:eastAsia="仿宋_GB2312"/>
          <w:color w:val="auto"/>
          <w:sz w:val="28"/>
          <w:szCs w:val="28"/>
        </w:rPr>
        <w:instrText xml:space="preserve"> PAGEREF _Toc521268511 \h </w:instrText>
      </w:r>
      <w:r>
        <w:rPr>
          <w:rFonts w:hint="eastAsia" w:ascii="仿宋_GB2312" w:eastAsia="仿宋_GB2312"/>
          <w:color w:val="auto"/>
          <w:sz w:val="28"/>
          <w:szCs w:val="28"/>
        </w:rPr>
        <w:fldChar w:fldCharType="separate"/>
      </w:r>
      <w:r>
        <w:rPr>
          <w:rFonts w:ascii="仿宋_GB2312" w:eastAsia="仿宋_GB2312"/>
          <w:color w:val="auto"/>
          <w:sz w:val="28"/>
          <w:szCs w:val="28"/>
        </w:rPr>
        <w:t>16</w:t>
      </w:r>
      <w:r>
        <w:rPr>
          <w:rFonts w:hint="eastAsia" w:ascii="仿宋_GB2312" w:eastAsia="仿宋_GB2312"/>
          <w:color w:val="auto"/>
          <w:sz w:val="28"/>
          <w:szCs w:val="28"/>
        </w:rPr>
        <w:fldChar w:fldCharType="end"/>
      </w:r>
      <w:r>
        <w:rPr>
          <w:rFonts w:hint="eastAsia" w:ascii="仿宋_GB2312" w:eastAsia="仿宋_GB2312"/>
          <w:color w:val="auto"/>
          <w:sz w:val="28"/>
          <w:szCs w:val="28"/>
        </w:rPr>
        <w:fldChar w:fldCharType="end"/>
      </w:r>
    </w:p>
    <w:p>
      <w:pPr>
        <w:pStyle w:val="37"/>
        <w:tabs>
          <w:tab w:val="right" w:leader="dot" w:pos="8948"/>
        </w:tabs>
        <w:rPr>
          <w:rFonts w:ascii="仿宋_GB2312" w:eastAsia="仿宋_GB2312" w:cs="Times New Roman"/>
          <w:smallCaps w:val="0"/>
          <w:color w:val="auto"/>
          <w:sz w:val="28"/>
          <w:szCs w:val="28"/>
        </w:rPr>
      </w:pPr>
      <w:r>
        <w:rPr>
          <w:color w:val="auto"/>
        </w:rPr>
        <w:fldChar w:fldCharType="begin"/>
      </w:r>
      <w:r>
        <w:rPr>
          <w:color w:val="auto"/>
        </w:rPr>
        <w:instrText xml:space="preserve"> HYPERLINK \l "_Toc521268512" </w:instrText>
      </w:r>
      <w:r>
        <w:rPr>
          <w:color w:val="auto"/>
        </w:rPr>
        <w:fldChar w:fldCharType="separate"/>
      </w:r>
      <w:r>
        <w:rPr>
          <w:rStyle w:val="45"/>
          <w:rFonts w:hint="eastAsia" w:ascii="仿宋_GB2312" w:hAnsi="Times New Roman" w:eastAsia="仿宋_GB2312"/>
          <w:color w:val="auto"/>
          <w:sz w:val="28"/>
          <w:szCs w:val="28"/>
        </w:rPr>
        <w:t>（十二）实地查勘期</w:t>
      </w:r>
      <w:r>
        <w:rPr>
          <w:rFonts w:hint="eastAsia" w:ascii="仿宋_GB2312" w:eastAsia="仿宋_GB2312"/>
          <w:color w:val="auto"/>
          <w:sz w:val="28"/>
          <w:szCs w:val="28"/>
        </w:rPr>
        <w:tab/>
      </w:r>
      <w:r>
        <w:rPr>
          <w:rFonts w:hint="eastAsia" w:ascii="仿宋_GB2312" w:eastAsia="仿宋_GB2312"/>
          <w:color w:val="auto"/>
          <w:sz w:val="28"/>
          <w:szCs w:val="28"/>
        </w:rPr>
        <w:fldChar w:fldCharType="begin"/>
      </w:r>
      <w:r>
        <w:rPr>
          <w:rFonts w:hint="eastAsia" w:ascii="仿宋_GB2312" w:eastAsia="仿宋_GB2312"/>
          <w:color w:val="auto"/>
          <w:sz w:val="28"/>
          <w:szCs w:val="28"/>
        </w:rPr>
        <w:instrText xml:space="preserve"> PAGEREF _Toc521268512 \h </w:instrText>
      </w:r>
      <w:r>
        <w:rPr>
          <w:rFonts w:hint="eastAsia" w:ascii="仿宋_GB2312" w:eastAsia="仿宋_GB2312"/>
          <w:color w:val="auto"/>
          <w:sz w:val="28"/>
          <w:szCs w:val="28"/>
        </w:rPr>
        <w:fldChar w:fldCharType="separate"/>
      </w:r>
      <w:r>
        <w:rPr>
          <w:rFonts w:ascii="仿宋_GB2312" w:eastAsia="仿宋_GB2312"/>
          <w:color w:val="auto"/>
          <w:sz w:val="28"/>
          <w:szCs w:val="28"/>
        </w:rPr>
        <w:t>16</w:t>
      </w:r>
      <w:r>
        <w:rPr>
          <w:rFonts w:hint="eastAsia" w:ascii="仿宋_GB2312" w:eastAsia="仿宋_GB2312"/>
          <w:color w:val="auto"/>
          <w:sz w:val="28"/>
          <w:szCs w:val="28"/>
        </w:rPr>
        <w:fldChar w:fldCharType="end"/>
      </w:r>
      <w:r>
        <w:rPr>
          <w:rFonts w:hint="eastAsia" w:ascii="仿宋_GB2312" w:eastAsia="仿宋_GB2312"/>
          <w:color w:val="auto"/>
          <w:sz w:val="28"/>
          <w:szCs w:val="28"/>
        </w:rPr>
        <w:fldChar w:fldCharType="end"/>
      </w:r>
    </w:p>
    <w:p>
      <w:pPr>
        <w:pStyle w:val="37"/>
        <w:tabs>
          <w:tab w:val="right" w:leader="dot" w:pos="8948"/>
        </w:tabs>
        <w:rPr>
          <w:rFonts w:ascii="仿宋_GB2312" w:eastAsia="仿宋_GB2312" w:cs="Times New Roman"/>
          <w:smallCaps w:val="0"/>
          <w:color w:val="auto"/>
          <w:sz w:val="28"/>
          <w:szCs w:val="28"/>
        </w:rPr>
      </w:pPr>
      <w:r>
        <w:rPr>
          <w:color w:val="auto"/>
        </w:rPr>
        <w:fldChar w:fldCharType="begin"/>
      </w:r>
      <w:r>
        <w:rPr>
          <w:color w:val="auto"/>
        </w:rPr>
        <w:instrText xml:space="preserve"> HYPERLINK \l "_Toc521268513" </w:instrText>
      </w:r>
      <w:r>
        <w:rPr>
          <w:color w:val="auto"/>
        </w:rPr>
        <w:fldChar w:fldCharType="separate"/>
      </w:r>
      <w:r>
        <w:rPr>
          <w:rStyle w:val="45"/>
          <w:rFonts w:hint="eastAsia" w:ascii="仿宋_GB2312" w:hAnsi="Times New Roman" w:eastAsia="仿宋_GB2312"/>
          <w:color w:val="auto"/>
          <w:sz w:val="28"/>
          <w:szCs w:val="28"/>
        </w:rPr>
        <w:t>（十三）估价作业期</w:t>
      </w:r>
      <w:r>
        <w:rPr>
          <w:rFonts w:hint="eastAsia" w:ascii="仿宋_GB2312" w:eastAsia="仿宋_GB2312"/>
          <w:color w:val="auto"/>
          <w:sz w:val="28"/>
          <w:szCs w:val="28"/>
        </w:rPr>
        <w:tab/>
      </w:r>
      <w:r>
        <w:rPr>
          <w:rFonts w:hint="eastAsia" w:ascii="仿宋_GB2312" w:eastAsia="仿宋_GB2312"/>
          <w:color w:val="auto"/>
          <w:sz w:val="28"/>
          <w:szCs w:val="28"/>
        </w:rPr>
        <w:fldChar w:fldCharType="begin"/>
      </w:r>
      <w:r>
        <w:rPr>
          <w:rFonts w:hint="eastAsia" w:ascii="仿宋_GB2312" w:eastAsia="仿宋_GB2312"/>
          <w:color w:val="auto"/>
          <w:sz w:val="28"/>
          <w:szCs w:val="28"/>
        </w:rPr>
        <w:instrText xml:space="preserve"> PAGEREF _Toc521268513 \h </w:instrText>
      </w:r>
      <w:r>
        <w:rPr>
          <w:rFonts w:hint="eastAsia" w:ascii="仿宋_GB2312" w:eastAsia="仿宋_GB2312"/>
          <w:color w:val="auto"/>
          <w:sz w:val="28"/>
          <w:szCs w:val="28"/>
        </w:rPr>
        <w:fldChar w:fldCharType="separate"/>
      </w:r>
      <w:r>
        <w:rPr>
          <w:rFonts w:ascii="仿宋_GB2312" w:eastAsia="仿宋_GB2312"/>
          <w:color w:val="auto"/>
          <w:sz w:val="28"/>
          <w:szCs w:val="28"/>
        </w:rPr>
        <w:t>16</w:t>
      </w:r>
      <w:r>
        <w:rPr>
          <w:rFonts w:hint="eastAsia" w:ascii="仿宋_GB2312" w:eastAsia="仿宋_GB2312"/>
          <w:color w:val="auto"/>
          <w:sz w:val="28"/>
          <w:szCs w:val="28"/>
        </w:rPr>
        <w:fldChar w:fldCharType="end"/>
      </w:r>
      <w:r>
        <w:rPr>
          <w:rFonts w:hint="eastAsia" w:ascii="仿宋_GB2312" w:eastAsia="仿宋_GB2312"/>
          <w:color w:val="auto"/>
          <w:sz w:val="28"/>
          <w:szCs w:val="28"/>
        </w:rPr>
        <w:fldChar w:fldCharType="end"/>
      </w:r>
    </w:p>
    <w:p>
      <w:pPr>
        <w:pStyle w:val="28"/>
        <w:tabs>
          <w:tab w:val="right" w:leader="dot" w:pos="8948"/>
        </w:tabs>
        <w:rPr>
          <w:rFonts w:ascii="仿宋_GB2312" w:eastAsia="仿宋_GB2312" w:cs="Times New Roman"/>
          <w:b w:val="0"/>
          <w:bCs w:val="0"/>
          <w:caps w:val="0"/>
          <w:color w:val="auto"/>
          <w:sz w:val="28"/>
          <w:szCs w:val="28"/>
        </w:rPr>
      </w:pPr>
      <w:r>
        <w:rPr>
          <w:color w:val="auto"/>
        </w:rPr>
        <w:fldChar w:fldCharType="begin"/>
      </w:r>
      <w:r>
        <w:rPr>
          <w:color w:val="auto"/>
        </w:rPr>
        <w:instrText xml:space="preserve"> HYPERLINK \l "_Toc521268514" </w:instrText>
      </w:r>
      <w:r>
        <w:rPr>
          <w:color w:val="auto"/>
        </w:rPr>
        <w:fldChar w:fldCharType="separate"/>
      </w:r>
      <w:r>
        <w:rPr>
          <w:rStyle w:val="45"/>
          <w:rFonts w:hint="eastAsia" w:ascii="仿宋_GB2312" w:eastAsia="仿宋_GB2312"/>
          <w:color w:val="auto"/>
          <w:sz w:val="28"/>
          <w:szCs w:val="28"/>
        </w:rPr>
        <w:t>四、估价技术报告</w:t>
      </w:r>
      <w:r>
        <w:rPr>
          <w:rFonts w:hint="eastAsia" w:ascii="仿宋_GB2312" w:eastAsia="仿宋_GB2312"/>
          <w:color w:val="auto"/>
          <w:sz w:val="28"/>
          <w:szCs w:val="28"/>
        </w:rPr>
        <w:tab/>
      </w:r>
      <w:r>
        <w:rPr>
          <w:rFonts w:hint="eastAsia" w:ascii="仿宋_GB2312" w:eastAsia="仿宋_GB2312"/>
          <w:color w:val="auto"/>
          <w:sz w:val="28"/>
          <w:szCs w:val="28"/>
        </w:rPr>
        <w:fldChar w:fldCharType="begin"/>
      </w:r>
      <w:r>
        <w:rPr>
          <w:rFonts w:hint="eastAsia" w:ascii="仿宋_GB2312" w:eastAsia="仿宋_GB2312"/>
          <w:color w:val="auto"/>
          <w:sz w:val="28"/>
          <w:szCs w:val="28"/>
        </w:rPr>
        <w:instrText xml:space="preserve"> PAGEREF _Toc521268514 \h </w:instrText>
      </w:r>
      <w:r>
        <w:rPr>
          <w:rFonts w:hint="eastAsia" w:ascii="仿宋_GB2312" w:eastAsia="仿宋_GB2312"/>
          <w:color w:val="auto"/>
          <w:sz w:val="28"/>
          <w:szCs w:val="28"/>
        </w:rPr>
        <w:fldChar w:fldCharType="separate"/>
      </w:r>
      <w:r>
        <w:rPr>
          <w:rFonts w:ascii="仿宋_GB2312" w:eastAsia="仿宋_GB2312"/>
          <w:color w:val="auto"/>
          <w:sz w:val="28"/>
          <w:szCs w:val="28"/>
        </w:rPr>
        <w:t>17</w:t>
      </w:r>
      <w:r>
        <w:rPr>
          <w:rFonts w:hint="eastAsia" w:ascii="仿宋_GB2312" w:eastAsia="仿宋_GB2312"/>
          <w:color w:val="auto"/>
          <w:sz w:val="28"/>
          <w:szCs w:val="28"/>
        </w:rPr>
        <w:fldChar w:fldCharType="end"/>
      </w:r>
      <w:r>
        <w:rPr>
          <w:rFonts w:hint="eastAsia" w:ascii="仿宋_GB2312" w:eastAsia="仿宋_GB2312"/>
          <w:color w:val="auto"/>
          <w:sz w:val="28"/>
          <w:szCs w:val="28"/>
        </w:rPr>
        <w:fldChar w:fldCharType="end"/>
      </w:r>
    </w:p>
    <w:p>
      <w:pPr>
        <w:pStyle w:val="37"/>
        <w:tabs>
          <w:tab w:val="right" w:leader="dot" w:pos="8948"/>
        </w:tabs>
        <w:rPr>
          <w:rFonts w:ascii="仿宋_GB2312" w:eastAsia="仿宋_GB2312" w:cs="Times New Roman"/>
          <w:smallCaps w:val="0"/>
          <w:color w:val="auto"/>
          <w:sz w:val="28"/>
          <w:szCs w:val="28"/>
        </w:rPr>
      </w:pPr>
      <w:r>
        <w:rPr>
          <w:color w:val="auto"/>
        </w:rPr>
        <w:fldChar w:fldCharType="begin"/>
      </w:r>
      <w:r>
        <w:rPr>
          <w:color w:val="auto"/>
        </w:rPr>
        <w:instrText xml:space="preserve"> HYPERLINK \l "_Toc521268515" </w:instrText>
      </w:r>
      <w:r>
        <w:rPr>
          <w:color w:val="auto"/>
        </w:rPr>
        <w:fldChar w:fldCharType="separate"/>
      </w:r>
      <w:r>
        <w:rPr>
          <w:rStyle w:val="45"/>
          <w:rFonts w:hint="eastAsia" w:ascii="仿宋_GB2312" w:hAnsi="Times New Roman" w:eastAsia="仿宋_GB2312"/>
          <w:color w:val="auto"/>
          <w:sz w:val="28"/>
          <w:szCs w:val="28"/>
        </w:rPr>
        <w:t>（一）实物状况描述与分析</w:t>
      </w:r>
      <w:r>
        <w:rPr>
          <w:rFonts w:hint="eastAsia" w:ascii="仿宋_GB2312" w:eastAsia="仿宋_GB2312"/>
          <w:color w:val="auto"/>
          <w:sz w:val="28"/>
          <w:szCs w:val="28"/>
        </w:rPr>
        <w:tab/>
      </w:r>
      <w:r>
        <w:rPr>
          <w:rFonts w:hint="eastAsia" w:ascii="仿宋_GB2312" w:eastAsia="仿宋_GB2312"/>
          <w:color w:val="auto"/>
          <w:sz w:val="28"/>
          <w:szCs w:val="28"/>
        </w:rPr>
        <w:fldChar w:fldCharType="begin"/>
      </w:r>
      <w:r>
        <w:rPr>
          <w:rFonts w:hint="eastAsia" w:ascii="仿宋_GB2312" w:eastAsia="仿宋_GB2312"/>
          <w:color w:val="auto"/>
          <w:sz w:val="28"/>
          <w:szCs w:val="28"/>
        </w:rPr>
        <w:instrText xml:space="preserve"> PAGEREF _Toc521268515 \h </w:instrText>
      </w:r>
      <w:r>
        <w:rPr>
          <w:rFonts w:hint="eastAsia" w:ascii="仿宋_GB2312" w:eastAsia="仿宋_GB2312"/>
          <w:color w:val="auto"/>
          <w:sz w:val="28"/>
          <w:szCs w:val="28"/>
        </w:rPr>
        <w:fldChar w:fldCharType="separate"/>
      </w:r>
      <w:r>
        <w:rPr>
          <w:rFonts w:ascii="仿宋_GB2312" w:eastAsia="仿宋_GB2312"/>
          <w:color w:val="auto"/>
          <w:sz w:val="28"/>
          <w:szCs w:val="28"/>
        </w:rPr>
        <w:t>17</w:t>
      </w:r>
      <w:r>
        <w:rPr>
          <w:rFonts w:hint="eastAsia" w:ascii="仿宋_GB2312" w:eastAsia="仿宋_GB2312"/>
          <w:color w:val="auto"/>
          <w:sz w:val="28"/>
          <w:szCs w:val="28"/>
        </w:rPr>
        <w:fldChar w:fldCharType="end"/>
      </w:r>
      <w:r>
        <w:rPr>
          <w:rFonts w:hint="eastAsia" w:ascii="仿宋_GB2312" w:eastAsia="仿宋_GB2312"/>
          <w:color w:val="auto"/>
          <w:sz w:val="28"/>
          <w:szCs w:val="28"/>
        </w:rPr>
        <w:fldChar w:fldCharType="end"/>
      </w:r>
    </w:p>
    <w:p>
      <w:pPr>
        <w:pStyle w:val="37"/>
        <w:tabs>
          <w:tab w:val="right" w:leader="dot" w:pos="8948"/>
        </w:tabs>
        <w:rPr>
          <w:rFonts w:ascii="仿宋_GB2312" w:eastAsia="仿宋_GB2312" w:cs="Times New Roman"/>
          <w:smallCaps w:val="0"/>
          <w:color w:val="auto"/>
          <w:sz w:val="28"/>
          <w:szCs w:val="28"/>
        </w:rPr>
      </w:pPr>
      <w:r>
        <w:rPr>
          <w:color w:val="auto"/>
        </w:rPr>
        <w:fldChar w:fldCharType="begin"/>
      </w:r>
      <w:r>
        <w:rPr>
          <w:color w:val="auto"/>
        </w:rPr>
        <w:instrText xml:space="preserve"> HYPERLINK \l "_Toc521268516" </w:instrText>
      </w:r>
      <w:r>
        <w:rPr>
          <w:color w:val="auto"/>
        </w:rPr>
        <w:fldChar w:fldCharType="separate"/>
      </w:r>
      <w:r>
        <w:rPr>
          <w:rStyle w:val="45"/>
          <w:rFonts w:hint="eastAsia" w:ascii="仿宋_GB2312" w:hAnsi="Times New Roman" w:eastAsia="仿宋_GB2312"/>
          <w:color w:val="auto"/>
          <w:sz w:val="28"/>
          <w:szCs w:val="28"/>
        </w:rPr>
        <w:t>（二）权益状况描述与分析</w:t>
      </w:r>
      <w:r>
        <w:rPr>
          <w:rFonts w:hint="eastAsia" w:ascii="仿宋_GB2312" w:eastAsia="仿宋_GB2312"/>
          <w:color w:val="auto"/>
          <w:sz w:val="28"/>
          <w:szCs w:val="28"/>
        </w:rPr>
        <w:tab/>
      </w:r>
      <w:r>
        <w:rPr>
          <w:rFonts w:hint="eastAsia" w:ascii="仿宋_GB2312" w:eastAsia="仿宋_GB2312"/>
          <w:color w:val="auto"/>
          <w:sz w:val="28"/>
          <w:szCs w:val="28"/>
        </w:rPr>
        <w:fldChar w:fldCharType="begin"/>
      </w:r>
      <w:r>
        <w:rPr>
          <w:rFonts w:hint="eastAsia" w:ascii="仿宋_GB2312" w:eastAsia="仿宋_GB2312"/>
          <w:color w:val="auto"/>
          <w:sz w:val="28"/>
          <w:szCs w:val="28"/>
        </w:rPr>
        <w:instrText xml:space="preserve"> PAGEREF _Toc521268516 \h </w:instrText>
      </w:r>
      <w:r>
        <w:rPr>
          <w:rFonts w:hint="eastAsia" w:ascii="仿宋_GB2312" w:eastAsia="仿宋_GB2312"/>
          <w:color w:val="auto"/>
          <w:sz w:val="28"/>
          <w:szCs w:val="28"/>
        </w:rPr>
        <w:fldChar w:fldCharType="separate"/>
      </w:r>
      <w:r>
        <w:rPr>
          <w:rFonts w:ascii="仿宋_GB2312" w:eastAsia="仿宋_GB2312"/>
          <w:color w:val="auto"/>
          <w:sz w:val="28"/>
          <w:szCs w:val="28"/>
        </w:rPr>
        <w:t>19</w:t>
      </w:r>
      <w:r>
        <w:rPr>
          <w:rFonts w:hint="eastAsia" w:ascii="仿宋_GB2312" w:eastAsia="仿宋_GB2312"/>
          <w:color w:val="auto"/>
          <w:sz w:val="28"/>
          <w:szCs w:val="28"/>
        </w:rPr>
        <w:fldChar w:fldCharType="end"/>
      </w:r>
      <w:r>
        <w:rPr>
          <w:rFonts w:hint="eastAsia" w:ascii="仿宋_GB2312" w:eastAsia="仿宋_GB2312"/>
          <w:color w:val="auto"/>
          <w:sz w:val="28"/>
          <w:szCs w:val="28"/>
        </w:rPr>
        <w:fldChar w:fldCharType="end"/>
      </w:r>
    </w:p>
    <w:p>
      <w:pPr>
        <w:pStyle w:val="37"/>
        <w:tabs>
          <w:tab w:val="right" w:leader="dot" w:pos="8948"/>
        </w:tabs>
        <w:rPr>
          <w:rFonts w:ascii="仿宋_GB2312" w:eastAsia="仿宋_GB2312" w:cs="Times New Roman"/>
          <w:smallCaps w:val="0"/>
          <w:color w:val="auto"/>
          <w:sz w:val="28"/>
          <w:szCs w:val="28"/>
        </w:rPr>
      </w:pPr>
      <w:r>
        <w:rPr>
          <w:color w:val="auto"/>
        </w:rPr>
        <w:fldChar w:fldCharType="begin"/>
      </w:r>
      <w:r>
        <w:rPr>
          <w:color w:val="auto"/>
        </w:rPr>
        <w:instrText xml:space="preserve"> HYPERLINK \l "_Toc521268517" </w:instrText>
      </w:r>
      <w:r>
        <w:rPr>
          <w:color w:val="auto"/>
        </w:rPr>
        <w:fldChar w:fldCharType="separate"/>
      </w:r>
      <w:r>
        <w:rPr>
          <w:rStyle w:val="45"/>
          <w:rFonts w:hint="eastAsia" w:ascii="仿宋_GB2312" w:hAnsi="Times New Roman" w:eastAsia="仿宋_GB2312"/>
          <w:color w:val="auto"/>
          <w:sz w:val="28"/>
          <w:szCs w:val="28"/>
        </w:rPr>
        <w:t>（三）区位状况描述与分析</w:t>
      </w:r>
      <w:r>
        <w:rPr>
          <w:rFonts w:hint="eastAsia" w:ascii="仿宋_GB2312" w:eastAsia="仿宋_GB2312"/>
          <w:color w:val="auto"/>
          <w:sz w:val="28"/>
          <w:szCs w:val="28"/>
        </w:rPr>
        <w:tab/>
      </w:r>
      <w:r>
        <w:rPr>
          <w:rFonts w:hint="eastAsia" w:ascii="仿宋_GB2312" w:eastAsia="仿宋_GB2312"/>
          <w:color w:val="auto"/>
          <w:sz w:val="28"/>
          <w:szCs w:val="28"/>
        </w:rPr>
        <w:fldChar w:fldCharType="begin"/>
      </w:r>
      <w:r>
        <w:rPr>
          <w:rFonts w:hint="eastAsia" w:ascii="仿宋_GB2312" w:eastAsia="仿宋_GB2312"/>
          <w:color w:val="auto"/>
          <w:sz w:val="28"/>
          <w:szCs w:val="28"/>
        </w:rPr>
        <w:instrText xml:space="preserve"> PAGEREF _Toc521268517 \h </w:instrText>
      </w:r>
      <w:r>
        <w:rPr>
          <w:rFonts w:hint="eastAsia" w:ascii="仿宋_GB2312" w:eastAsia="仿宋_GB2312"/>
          <w:color w:val="auto"/>
          <w:sz w:val="28"/>
          <w:szCs w:val="28"/>
        </w:rPr>
        <w:fldChar w:fldCharType="separate"/>
      </w:r>
      <w:r>
        <w:rPr>
          <w:rFonts w:ascii="仿宋_GB2312" w:eastAsia="仿宋_GB2312"/>
          <w:color w:val="auto"/>
          <w:sz w:val="28"/>
          <w:szCs w:val="28"/>
        </w:rPr>
        <w:t>20</w:t>
      </w:r>
      <w:r>
        <w:rPr>
          <w:rFonts w:hint="eastAsia" w:ascii="仿宋_GB2312" w:eastAsia="仿宋_GB2312"/>
          <w:color w:val="auto"/>
          <w:sz w:val="28"/>
          <w:szCs w:val="28"/>
        </w:rPr>
        <w:fldChar w:fldCharType="end"/>
      </w:r>
      <w:r>
        <w:rPr>
          <w:rFonts w:hint="eastAsia" w:ascii="仿宋_GB2312" w:eastAsia="仿宋_GB2312"/>
          <w:color w:val="auto"/>
          <w:sz w:val="28"/>
          <w:szCs w:val="28"/>
        </w:rPr>
        <w:fldChar w:fldCharType="end"/>
      </w:r>
    </w:p>
    <w:p>
      <w:pPr>
        <w:pStyle w:val="37"/>
        <w:tabs>
          <w:tab w:val="right" w:leader="dot" w:pos="8948"/>
        </w:tabs>
        <w:rPr>
          <w:rFonts w:ascii="仿宋_GB2312" w:eastAsia="仿宋_GB2312" w:cs="Times New Roman"/>
          <w:smallCaps w:val="0"/>
          <w:color w:val="auto"/>
          <w:sz w:val="28"/>
          <w:szCs w:val="28"/>
        </w:rPr>
      </w:pPr>
      <w:r>
        <w:rPr>
          <w:color w:val="auto"/>
        </w:rPr>
        <w:fldChar w:fldCharType="begin"/>
      </w:r>
      <w:r>
        <w:rPr>
          <w:color w:val="auto"/>
        </w:rPr>
        <w:instrText xml:space="preserve"> HYPERLINK \l "_Toc521268518" </w:instrText>
      </w:r>
      <w:r>
        <w:rPr>
          <w:color w:val="auto"/>
        </w:rPr>
        <w:fldChar w:fldCharType="separate"/>
      </w:r>
      <w:r>
        <w:rPr>
          <w:rStyle w:val="45"/>
          <w:rFonts w:hint="eastAsia" w:ascii="仿宋_GB2312" w:hAnsi="Times New Roman" w:eastAsia="仿宋_GB2312"/>
          <w:color w:val="auto"/>
          <w:sz w:val="28"/>
          <w:szCs w:val="28"/>
        </w:rPr>
        <w:t>（四）市场背景描述与分析</w:t>
      </w:r>
      <w:r>
        <w:rPr>
          <w:rFonts w:hint="eastAsia" w:ascii="仿宋_GB2312" w:eastAsia="仿宋_GB2312"/>
          <w:color w:val="auto"/>
          <w:sz w:val="28"/>
          <w:szCs w:val="28"/>
        </w:rPr>
        <w:tab/>
      </w:r>
      <w:r>
        <w:rPr>
          <w:rFonts w:hint="eastAsia" w:ascii="仿宋_GB2312" w:eastAsia="仿宋_GB2312"/>
          <w:color w:val="auto"/>
          <w:sz w:val="28"/>
          <w:szCs w:val="28"/>
        </w:rPr>
        <w:fldChar w:fldCharType="begin"/>
      </w:r>
      <w:r>
        <w:rPr>
          <w:rFonts w:hint="eastAsia" w:ascii="仿宋_GB2312" w:eastAsia="仿宋_GB2312"/>
          <w:color w:val="auto"/>
          <w:sz w:val="28"/>
          <w:szCs w:val="28"/>
        </w:rPr>
        <w:instrText xml:space="preserve"> PAGEREF _Toc521268518 \h </w:instrText>
      </w:r>
      <w:r>
        <w:rPr>
          <w:rFonts w:hint="eastAsia" w:ascii="仿宋_GB2312" w:eastAsia="仿宋_GB2312"/>
          <w:color w:val="auto"/>
          <w:sz w:val="28"/>
          <w:szCs w:val="28"/>
        </w:rPr>
        <w:fldChar w:fldCharType="separate"/>
      </w:r>
      <w:r>
        <w:rPr>
          <w:rFonts w:ascii="仿宋_GB2312" w:eastAsia="仿宋_GB2312"/>
          <w:color w:val="auto"/>
          <w:sz w:val="28"/>
          <w:szCs w:val="28"/>
        </w:rPr>
        <w:t>20</w:t>
      </w:r>
      <w:r>
        <w:rPr>
          <w:rFonts w:hint="eastAsia" w:ascii="仿宋_GB2312" w:eastAsia="仿宋_GB2312"/>
          <w:color w:val="auto"/>
          <w:sz w:val="28"/>
          <w:szCs w:val="28"/>
        </w:rPr>
        <w:fldChar w:fldCharType="end"/>
      </w:r>
      <w:r>
        <w:rPr>
          <w:rFonts w:hint="eastAsia" w:ascii="仿宋_GB2312" w:eastAsia="仿宋_GB2312"/>
          <w:color w:val="auto"/>
          <w:sz w:val="28"/>
          <w:szCs w:val="28"/>
        </w:rPr>
        <w:fldChar w:fldCharType="end"/>
      </w:r>
    </w:p>
    <w:p>
      <w:pPr>
        <w:pStyle w:val="37"/>
        <w:tabs>
          <w:tab w:val="right" w:leader="dot" w:pos="8948"/>
        </w:tabs>
        <w:rPr>
          <w:rFonts w:ascii="仿宋_GB2312" w:eastAsia="仿宋_GB2312" w:cs="Times New Roman"/>
          <w:smallCaps w:val="0"/>
          <w:color w:val="auto"/>
          <w:sz w:val="28"/>
          <w:szCs w:val="28"/>
        </w:rPr>
      </w:pPr>
      <w:r>
        <w:rPr>
          <w:color w:val="auto"/>
        </w:rPr>
        <w:fldChar w:fldCharType="begin"/>
      </w:r>
      <w:r>
        <w:rPr>
          <w:color w:val="auto"/>
        </w:rPr>
        <w:instrText xml:space="preserve"> HYPERLINK \l "_Toc521268519" </w:instrText>
      </w:r>
      <w:r>
        <w:rPr>
          <w:color w:val="auto"/>
        </w:rPr>
        <w:fldChar w:fldCharType="separate"/>
      </w:r>
      <w:r>
        <w:rPr>
          <w:rStyle w:val="45"/>
          <w:rFonts w:hint="eastAsia" w:ascii="仿宋_GB2312" w:hAnsi="Times New Roman" w:eastAsia="仿宋_GB2312"/>
          <w:color w:val="auto"/>
          <w:sz w:val="28"/>
          <w:szCs w:val="28"/>
        </w:rPr>
        <w:t>（五）最高最佳利用分析</w:t>
      </w:r>
      <w:r>
        <w:rPr>
          <w:rFonts w:hint="eastAsia" w:ascii="仿宋_GB2312" w:eastAsia="仿宋_GB2312"/>
          <w:color w:val="auto"/>
          <w:sz w:val="28"/>
          <w:szCs w:val="28"/>
        </w:rPr>
        <w:tab/>
      </w:r>
      <w:r>
        <w:rPr>
          <w:rFonts w:hint="eastAsia" w:ascii="仿宋_GB2312" w:eastAsia="仿宋_GB2312"/>
          <w:color w:val="auto"/>
          <w:sz w:val="28"/>
          <w:szCs w:val="28"/>
        </w:rPr>
        <w:fldChar w:fldCharType="begin"/>
      </w:r>
      <w:r>
        <w:rPr>
          <w:rFonts w:hint="eastAsia" w:ascii="仿宋_GB2312" w:eastAsia="仿宋_GB2312"/>
          <w:color w:val="auto"/>
          <w:sz w:val="28"/>
          <w:szCs w:val="28"/>
        </w:rPr>
        <w:instrText xml:space="preserve"> PAGEREF _Toc521268519 \h </w:instrText>
      </w:r>
      <w:r>
        <w:rPr>
          <w:rFonts w:hint="eastAsia" w:ascii="仿宋_GB2312" w:eastAsia="仿宋_GB2312"/>
          <w:color w:val="auto"/>
          <w:sz w:val="28"/>
          <w:szCs w:val="28"/>
        </w:rPr>
        <w:fldChar w:fldCharType="separate"/>
      </w:r>
      <w:r>
        <w:rPr>
          <w:rFonts w:ascii="仿宋_GB2312" w:eastAsia="仿宋_GB2312"/>
          <w:color w:val="auto"/>
          <w:sz w:val="28"/>
          <w:szCs w:val="28"/>
        </w:rPr>
        <w:t>21</w:t>
      </w:r>
      <w:r>
        <w:rPr>
          <w:rFonts w:hint="eastAsia" w:ascii="仿宋_GB2312" w:eastAsia="仿宋_GB2312"/>
          <w:color w:val="auto"/>
          <w:sz w:val="28"/>
          <w:szCs w:val="28"/>
        </w:rPr>
        <w:fldChar w:fldCharType="end"/>
      </w:r>
      <w:r>
        <w:rPr>
          <w:rFonts w:hint="eastAsia" w:ascii="仿宋_GB2312" w:eastAsia="仿宋_GB2312"/>
          <w:color w:val="auto"/>
          <w:sz w:val="28"/>
          <w:szCs w:val="28"/>
        </w:rPr>
        <w:fldChar w:fldCharType="end"/>
      </w:r>
    </w:p>
    <w:p>
      <w:pPr>
        <w:pStyle w:val="37"/>
        <w:tabs>
          <w:tab w:val="right" w:leader="dot" w:pos="8948"/>
        </w:tabs>
        <w:rPr>
          <w:rFonts w:ascii="仿宋_GB2312" w:eastAsia="仿宋_GB2312" w:cs="Times New Roman"/>
          <w:smallCaps w:val="0"/>
          <w:color w:val="auto"/>
          <w:sz w:val="28"/>
          <w:szCs w:val="28"/>
        </w:rPr>
      </w:pPr>
      <w:r>
        <w:rPr>
          <w:color w:val="auto"/>
        </w:rPr>
        <w:fldChar w:fldCharType="begin"/>
      </w:r>
      <w:r>
        <w:rPr>
          <w:color w:val="auto"/>
        </w:rPr>
        <w:instrText xml:space="preserve"> HYPERLINK \l "_Toc521268520" </w:instrText>
      </w:r>
      <w:r>
        <w:rPr>
          <w:color w:val="auto"/>
        </w:rPr>
        <w:fldChar w:fldCharType="separate"/>
      </w:r>
      <w:r>
        <w:rPr>
          <w:rStyle w:val="45"/>
          <w:rFonts w:hint="eastAsia" w:ascii="仿宋_GB2312" w:hAnsi="Times New Roman" w:eastAsia="仿宋_GB2312"/>
          <w:color w:val="auto"/>
          <w:sz w:val="28"/>
          <w:szCs w:val="28"/>
        </w:rPr>
        <w:t>（六）估价方法选用</w:t>
      </w:r>
      <w:r>
        <w:rPr>
          <w:rFonts w:hint="eastAsia" w:ascii="仿宋_GB2312" w:eastAsia="仿宋_GB2312"/>
          <w:color w:val="auto"/>
          <w:sz w:val="28"/>
          <w:szCs w:val="28"/>
        </w:rPr>
        <w:tab/>
      </w:r>
      <w:r>
        <w:rPr>
          <w:rFonts w:hint="eastAsia" w:ascii="仿宋_GB2312" w:eastAsia="仿宋_GB2312"/>
          <w:color w:val="auto"/>
          <w:sz w:val="28"/>
          <w:szCs w:val="28"/>
        </w:rPr>
        <w:fldChar w:fldCharType="begin"/>
      </w:r>
      <w:r>
        <w:rPr>
          <w:rFonts w:hint="eastAsia" w:ascii="仿宋_GB2312" w:eastAsia="仿宋_GB2312"/>
          <w:color w:val="auto"/>
          <w:sz w:val="28"/>
          <w:szCs w:val="28"/>
        </w:rPr>
        <w:instrText xml:space="preserve"> PAGEREF _Toc521268520 \h </w:instrText>
      </w:r>
      <w:r>
        <w:rPr>
          <w:rFonts w:hint="eastAsia" w:ascii="仿宋_GB2312" w:eastAsia="仿宋_GB2312"/>
          <w:color w:val="auto"/>
          <w:sz w:val="28"/>
          <w:szCs w:val="28"/>
        </w:rPr>
        <w:fldChar w:fldCharType="separate"/>
      </w:r>
      <w:r>
        <w:rPr>
          <w:rFonts w:ascii="仿宋_GB2312" w:eastAsia="仿宋_GB2312"/>
          <w:color w:val="auto"/>
          <w:sz w:val="28"/>
          <w:szCs w:val="28"/>
        </w:rPr>
        <w:t>22</w:t>
      </w:r>
      <w:r>
        <w:rPr>
          <w:rFonts w:hint="eastAsia" w:ascii="仿宋_GB2312" w:eastAsia="仿宋_GB2312"/>
          <w:color w:val="auto"/>
          <w:sz w:val="28"/>
          <w:szCs w:val="28"/>
        </w:rPr>
        <w:fldChar w:fldCharType="end"/>
      </w:r>
      <w:r>
        <w:rPr>
          <w:rFonts w:hint="eastAsia" w:ascii="仿宋_GB2312" w:eastAsia="仿宋_GB2312"/>
          <w:color w:val="auto"/>
          <w:sz w:val="28"/>
          <w:szCs w:val="28"/>
        </w:rPr>
        <w:fldChar w:fldCharType="end"/>
      </w:r>
    </w:p>
    <w:p>
      <w:pPr>
        <w:pStyle w:val="37"/>
        <w:tabs>
          <w:tab w:val="right" w:leader="dot" w:pos="8948"/>
        </w:tabs>
        <w:rPr>
          <w:rFonts w:ascii="仿宋_GB2312" w:eastAsia="仿宋_GB2312" w:cs="Times New Roman"/>
          <w:smallCaps w:val="0"/>
          <w:color w:val="auto"/>
          <w:sz w:val="28"/>
          <w:szCs w:val="28"/>
        </w:rPr>
      </w:pPr>
      <w:r>
        <w:rPr>
          <w:color w:val="auto"/>
        </w:rPr>
        <w:fldChar w:fldCharType="begin"/>
      </w:r>
      <w:r>
        <w:rPr>
          <w:color w:val="auto"/>
        </w:rPr>
        <w:instrText xml:space="preserve"> HYPERLINK \l "_Toc521268521" </w:instrText>
      </w:r>
      <w:r>
        <w:rPr>
          <w:color w:val="auto"/>
        </w:rPr>
        <w:fldChar w:fldCharType="separate"/>
      </w:r>
      <w:r>
        <w:rPr>
          <w:rStyle w:val="45"/>
          <w:rFonts w:hint="eastAsia" w:ascii="仿宋_GB2312" w:hAnsi="Times New Roman" w:eastAsia="仿宋_GB2312"/>
          <w:color w:val="auto"/>
          <w:sz w:val="28"/>
          <w:szCs w:val="28"/>
        </w:rPr>
        <w:t>（七） 估价测算过程</w:t>
      </w:r>
      <w:r>
        <w:rPr>
          <w:rFonts w:hint="eastAsia" w:ascii="仿宋_GB2312" w:eastAsia="仿宋_GB2312"/>
          <w:color w:val="auto"/>
          <w:sz w:val="28"/>
          <w:szCs w:val="28"/>
        </w:rPr>
        <w:tab/>
      </w:r>
      <w:r>
        <w:rPr>
          <w:rFonts w:hint="eastAsia" w:ascii="仿宋_GB2312" w:eastAsia="仿宋_GB2312"/>
          <w:color w:val="auto"/>
          <w:sz w:val="28"/>
          <w:szCs w:val="28"/>
        </w:rPr>
        <w:fldChar w:fldCharType="begin"/>
      </w:r>
      <w:r>
        <w:rPr>
          <w:rFonts w:hint="eastAsia" w:ascii="仿宋_GB2312" w:eastAsia="仿宋_GB2312"/>
          <w:color w:val="auto"/>
          <w:sz w:val="28"/>
          <w:szCs w:val="28"/>
        </w:rPr>
        <w:instrText xml:space="preserve"> PAGEREF _Toc521268521 \h </w:instrText>
      </w:r>
      <w:r>
        <w:rPr>
          <w:rFonts w:hint="eastAsia" w:ascii="仿宋_GB2312" w:eastAsia="仿宋_GB2312"/>
          <w:color w:val="auto"/>
          <w:sz w:val="28"/>
          <w:szCs w:val="28"/>
        </w:rPr>
        <w:fldChar w:fldCharType="separate"/>
      </w:r>
      <w:r>
        <w:rPr>
          <w:rFonts w:ascii="仿宋_GB2312" w:eastAsia="仿宋_GB2312"/>
          <w:color w:val="auto"/>
          <w:sz w:val="28"/>
          <w:szCs w:val="28"/>
        </w:rPr>
        <w:t>23</w:t>
      </w:r>
      <w:r>
        <w:rPr>
          <w:rFonts w:hint="eastAsia" w:ascii="仿宋_GB2312" w:eastAsia="仿宋_GB2312"/>
          <w:color w:val="auto"/>
          <w:sz w:val="28"/>
          <w:szCs w:val="28"/>
        </w:rPr>
        <w:fldChar w:fldCharType="end"/>
      </w:r>
      <w:r>
        <w:rPr>
          <w:rFonts w:hint="eastAsia" w:ascii="仿宋_GB2312" w:eastAsia="仿宋_GB2312"/>
          <w:color w:val="auto"/>
          <w:sz w:val="28"/>
          <w:szCs w:val="28"/>
        </w:rPr>
        <w:fldChar w:fldCharType="end"/>
      </w:r>
    </w:p>
    <w:p>
      <w:pPr>
        <w:pStyle w:val="37"/>
        <w:tabs>
          <w:tab w:val="right" w:leader="dot" w:pos="8948"/>
        </w:tabs>
        <w:rPr>
          <w:rFonts w:ascii="仿宋_GB2312" w:eastAsia="仿宋_GB2312" w:cs="Times New Roman"/>
          <w:smallCaps w:val="0"/>
          <w:color w:val="auto"/>
          <w:sz w:val="28"/>
          <w:szCs w:val="28"/>
        </w:rPr>
      </w:pPr>
      <w:r>
        <w:rPr>
          <w:color w:val="auto"/>
        </w:rPr>
        <w:fldChar w:fldCharType="begin"/>
      </w:r>
      <w:r>
        <w:rPr>
          <w:color w:val="auto"/>
        </w:rPr>
        <w:instrText xml:space="preserve"> HYPERLINK \l "_Toc521268522" </w:instrText>
      </w:r>
      <w:r>
        <w:rPr>
          <w:color w:val="auto"/>
        </w:rPr>
        <w:fldChar w:fldCharType="separate"/>
      </w:r>
      <w:r>
        <w:rPr>
          <w:rStyle w:val="45"/>
          <w:rFonts w:hint="eastAsia" w:ascii="仿宋_GB2312" w:hAnsi="Times New Roman" w:eastAsia="仿宋_GB2312"/>
          <w:color w:val="auto"/>
          <w:sz w:val="28"/>
          <w:szCs w:val="28"/>
        </w:rPr>
        <w:t>（八）估价结果</w:t>
      </w:r>
      <w:r>
        <w:rPr>
          <w:rFonts w:hint="eastAsia" w:ascii="仿宋_GB2312" w:eastAsia="仿宋_GB2312"/>
          <w:color w:val="auto"/>
          <w:sz w:val="28"/>
          <w:szCs w:val="28"/>
        </w:rPr>
        <w:tab/>
      </w:r>
      <w:r>
        <w:rPr>
          <w:rFonts w:hint="eastAsia" w:ascii="仿宋_GB2312" w:eastAsia="仿宋_GB2312"/>
          <w:color w:val="auto"/>
          <w:sz w:val="28"/>
          <w:szCs w:val="28"/>
        </w:rPr>
        <w:fldChar w:fldCharType="begin"/>
      </w:r>
      <w:r>
        <w:rPr>
          <w:rFonts w:hint="eastAsia" w:ascii="仿宋_GB2312" w:eastAsia="仿宋_GB2312"/>
          <w:color w:val="auto"/>
          <w:sz w:val="28"/>
          <w:szCs w:val="28"/>
        </w:rPr>
        <w:instrText xml:space="preserve"> PAGEREF _Toc521268522 \h </w:instrText>
      </w:r>
      <w:r>
        <w:rPr>
          <w:rFonts w:hint="eastAsia" w:ascii="仿宋_GB2312" w:eastAsia="仿宋_GB2312"/>
          <w:color w:val="auto"/>
          <w:sz w:val="28"/>
          <w:szCs w:val="28"/>
        </w:rPr>
        <w:fldChar w:fldCharType="separate"/>
      </w:r>
      <w:r>
        <w:rPr>
          <w:rFonts w:ascii="仿宋_GB2312" w:eastAsia="仿宋_GB2312"/>
          <w:color w:val="auto"/>
          <w:sz w:val="28"/>
          <w:szCs w:val="28"/>
        </w:rPr>
        <w:t>46</w:t>
      </w:r>
      <w:r>
        <w:rPr>
          <w:rFonts w:hint="eastAsia" w:ascii="仿宋_GB2312" w:eastAsia="仿宋_GB2312"/>
          <w:color w:val="auto"/>
          <w:sz w:val="28"/>
          <w:szCs w:val="28"/>
        </w:rPr>
        <w:fldChar w:fldCharType="end"/>
      </w:r>
      <w:r>
        <w:rPr>
          <w:rFonts w:hint="eastAsia" w:ascii="仿宋_GB2312" w:eastAsia="仿宋_GB2312"/>
          <w:color w:val="auto"/>
          <w:sz w:val="28"/>
          <w:szCs w:val="28"/>
        </w:rPr>
        <w:fldChar w:fldCharType="end"/>
      </w:r>
    </w:p>
    <w:p>
      <w:pPr>
        <w:pStyle w:val="28"/>
        <w:tabs>
          <w:tab w:val="right" w:leader="dot" w:pos="8948"/>
        </w:tabs>
        <w:rPr>
          <w:rFonts w:ascii="仿宋_GB2312" w:eastAsia="仿宋_GB2312" w:cs="Times New Roman"/>
          <w:b w:val="0"/>
          <w:bCs w:val="0"/>
          <w:caps w:val="0"/>
          <w:color w:val="auto"/>
          <w:sz w:val="28"/>
          <w:szCs w:val="28"/>
        </w:rPr>
      </w:pPr>
      <w:r>
        <w:rPr>
          <w:color w:val="auto"/>
        </w:rPr>
        <w:fldChar w:fldCharType="begin"/>
      </w:r>
      <w:r>
        <w:rPr>
          <w:color w:val="auto"/>
        </w:rPr>
        <w:instrText xml:space="preserve"> HYPERLINK \l "_Toc521268523" </w:instrText>
      </w:r>
      <w:r>
        <w:rPr>
          <w:color w:val="auto"/>
        </w:rPr>
        <w:fldChar w:fldCharType="separate"/>
      </w:r>
      <w:r>
        <w:rPr>
          <w:rStyle w:val="45"/>
          <w:rFonts w:hint="eastAsia" w:ascii="仿宋_GB2312" w:eastAsia="仿宋_GB2312"/>
          <w:color w:val="auto"/>
          <w:sz w:val="28"/>
          <w:szCs w:val="28"/>
        </w:rPr>
        <w:t>五、附件</w:t>
      </w:r>
      <w:r>
        <w:rPr>
          <w:rFonts w:hint="eastAsia" w:ascii="仿宋_GB2312" w:eastAsia="仿宋_GB2312"/>
          <w:color w:val="auto"/>
          <w:sz w:val="28"/>
          <w:szCs w:val="28"/>
        </w:rPr>
        <w:tab/>
      </w:r>
      <w:r>
        <w:rPr>
          <w:rFonts w:hint="eastAsia" w:ascii="仿宋_GB2312" w:eastAsia="仿宋_GB2312"/>
          <w:color w:val="auto"/>
          <w:sz w:val="28"/>
          <w:szCs w:val="28"/>
        </w:rPr>
        <w:fldChar w:fldCharType="begin"/>
      </w:r>
      <w:r>
        <w:rPr>
          <w:rFonts w:hint="eastAsia" w:ascii="仿宋_GB2312" w:eastAsia="仿宋_GB2312"/>
          <w:color w:val="auto"/>
          <w:sz w:val="28"/>
          <w:szCs w:val="28"/>
        </w:rPr>
        <w:instrText xml:space="preserve"> PAGEREF _Toc521268523 \h </w:instrText>
      </w:r>
      <w:r>
        <w:rPr>
          <w:rFonts w:hint="eastAsia" w:ascii="仿宋_GB2312" w:eastAsia="仿宋_GB2312"/>
          <w:color w:val="auto"/>
          <w:sz w:val="28"/>
          <w:szCs w:val="28"/>
        </w:rPr>
        <w:fldChar w:fldCharType="separate"/>
      </w:r>
      <w:r>
        <w:rPr>
          <w:rFonts w:ascii="仿宋_GB2312" w:eastAsia="仿宋_GB2312"/>
          <w:color w:val="auto"/>
          <w:sz w:val="28"/>
          <w:szCs w:val="28"/>
        </w:rPr>
        <w:t>48</w:t>
      </w:r>
      <w:r>
        <w:rPr>
          <w:rFonts w:hint="eastAsia" w:ascii="仿宋_GB2312" w:eastAsia="仿宋_GB2312"/>
          <w:color w:val="auto"/>
          <w:sz w:val="28"/>
          <w:szCs w:val="28"/>
        </w:rPr>
        <w:fldChar w:fldCharType="end"/>
      </w:r>
      <w:r>
        <w:rPr>
          <w:rFonts w:hint="eastAsia" w:ascii="仿宋_GB2312" w:eastAsia="仿宋_GB2312"/>
          <w:color w:val="auto"/>
          <w:sz w:val="28"/>
          <w:szCs w:val="28"/>
        </w:rPr>
        <w:fldChar w:fldCharType="end"/>
      </w:r>
      <w:r>
        <w:rPr>
          <w:rStyle w:val="45"/>
          <w:rFonts w:hint="eastAsia" w:ascii="仿宋_GB2312" w:eastAsia="仿宋_GB2312"/>
          <w:color w:val="auto"/>
          <w:sz w:val="28"/>
          <w:szCs w:val="28"/>
          <w:u w:val="none"/>
        </w:rPr>
        <w:t>-63</w:t>
      </w:r>
    </w:p>
    <w:p>
      <w:pPr>
        <w:tabs>
          <w:tab w:val="left" w:pos="8222"/>
        </w:tabs>
        <w:adjustRightInd w:val="0"/>
        <w:snapToGrid w:val="0"/>
        <w:spacing w:line="360" w:lineRule="auto"/>
        <w:ind w:firstLine="372" w:firstLineChars="133"/>
        <w:rPr>
          <w:rFonts w:eastAsia="仿宋_GB2312"/>
          <w:snapToGrid w:val="0"/>
          <w:color w:val="auto"/>
          <w:kern w:val="0"/>
          <w:sz w:val="28"/>
          <w:szCs w:val="28"/>
        </w:rPr>
      </w:pPr>
      <w:r>
        <w:rPr>
          <w:rFonts w:hint="eastAsia" w:ascii="仿宋_GB2312" w:eastAsia="仿宋_GB2312"/>
          <w:snapToGrid w:val="0"/>
          <w:color w:val="auto"/>
          <w:kern w:val="0"/>
          <w:sz w:val="28"/>
          <w:szCs w:val="28"/>
        </w:rPr>
        <w:fldChar w:fldCharType="end"/>
      </w:r>
    </w:p>
    <w:p>
      <w:pPr>
        <w:pStyle w:val="2"/>
        <w:spacing w:line="600" w:lineRule="exact"/>
        <w:rPr>
          <w:color w:val="auto"/>
          <w:szCs w:val="28"/>
        </w:rPr>
      </w:pPr>
      <w:bookmarkStart w:id="3" w:name="_Toc297122050"/>
      <w:bookmarkStart w:id="4" w:name="_Toc301369710"/>
      <w:bookmarkStart w:id="5" w:name="_Toc367869492"/>
      <w:bookmarkStart w:id="6" w:name="_Toc297196345"/>
      <w:bookmarkStart w:id="7" w:name="_Toc521268498"/>
      <w:r>
        <w:rPr>
          <w:color w:val="auto"/>
          <w:szCs w:val="28"/>
        </w:rPr>
        <w:t>一、估价师声明</w:t>
      </w:r>
      <w:bookmarkEnd w:id="3"/>
      <w:bookmarkEnd w:id="4"/>
      <w:bookmarkEnd w:id="5"/>
      <w:bookmarkEnd w:id="6"/>
      <w:bookmarkEnd w:id="7"/>
    </w:p>
    <w:p>
      <w:pPr>
        <w:spacing w:line="600" w:lineRule="exact"/>
        <w:ind w:firstLine="551" w:firstLineChars="196"/>
        <w:rPr>
          <w:rFonts w:eastAsia="仿宋_GB2312"/>
          <w:b/>
          <w:color w:val="auto"/>
          <w:sz w:val="28"/>
          <w:szCs w:val="28"/>
        </w:rPr>
      </w:pPr>
      <w:bookmarkStart w:id="8" w:name="_Toc362509711"/>
      <w:r>
        <w:rPr>
          <w:rFonts w:eastAsia="仿宋_GB2312"/>
          <w:b/>
          <w:color w:val="auto"/>
          <w:sz w:val="28"/>
          <w:szCs w:val="28"/>
        </w:rPr>
        <w:t>我们郑重声明：</w:t>
      </w:r>
      <w:bookmarkEnd w:id="8"/>
    </w:p>
    <w:p>
      <w:pPr>
        <w:spacing w:line="600" w:lineRule="exact"/>
        <w:ind w:firstLine="548" w:firstLineChars="196"/>
        <w:rPr>
          <w:rFonts w:eastAsia="仿宋_GB2312"/>
          <w:b/>
          <w:color w:val="auto"/>
          <w:sz w:val="28"/>
          <w:szCs w:val="28"/>
        </w:rPr>
      </w:pPr>
      <w:r>
        <w:rPr>
          <w:rFonts w:eastAsia="仿宋_GB2312"/>
          <w:color w:val="auto"/>
          <w:sz w:val="28"/>
          <w:szCs w:val="28"/>
        </w:rPr>
        <w:t xml:space="preserve">1、我们在本估价报告中陈述的事实是真实的和准确的，没有虚假记载、误导性陈述和重大遗漏。 </w:t>
      </w:r>
    </w:p>
    <w:p>
      <w:pPr>
        <w:spacing w:line="600" w:lineRule="exact"/>
        <w:ind w:firstLine="548" w:firstLineChars="196"/>
        <w:rPr>
          <w:rFonts w:eastAsia="仿宋_GB2312"/>
          <w:b/>
          <w:color w:val="auto"/>
          <w:sz w:val="28"/>
          <w:szCs w:val="28"/>
        </w:rPr>
      </w:pPr>
      <w:r>
        <w:rPr>
          <w:rFonts w:eastAsia="仿宋_GB2312"/>
          <w:color w:val="auto"/>
          <w:sz w:val="28"/>
          <w:szCs w:val="28"/>
        </w:rPr>
        <w:t>2、本估价报告中的分析、意见和结论是我们自己独立、客观、公正的专业分析、意见和结论，但受到本估价报告中已说明的假设和限制条件的限制。</w:t>
      </w:r>
    </w:p>
    <w:p>
      <w:pPr>
        <w:spacing w:line="600" w:lineRule="exact"/>
        <w:ind w:firstLine="548" w:firstLineChars="196"/>
        <w:rPr>
          <w:rFonts w:eastAsia="仿宋_GB2312"/>
          <w:color w:val="auto"/>
          <w:sz w:val="28"/>
          <w:szCs w:val="28"/>
        </w:rPr>
      </w:pPr>
      <w:r>
        <w:rPr>
          <w:rFonts w:eastAsia="仿宋_GB2312"/>
          <w:color w:val="auto"/>
          <w:sz w:val="28"/>
          <w:szCs w:val="28"/>
        </w:rPr>
        <w:t>3</w:t>
      </w:r>
      <w:r>
        <w:rPr>
          <w:rFonts w:eastAsia="仿宋_GB2312"/>
          <w:b/>
          <w:color w:val="auto"/>
          <w:sz w:val="28"/>
          <w:szCs w:val="28"/>
        </w:rPr>
        <w:t>、</w:t>
      </w:r>
      <w:r>
        <w:rPr>
          <w:rFonts w:eastAsia="仿宋_GB2312"/>
          <w:color w:val="auto"/>
          <w:sz w:val="28"/>
          <w:szCs w:val="28"/>
        </w:rPr>
        <w:t>我们与本估价报告中的估价对象没有现实或潜在的利益，也与估价委托人及估价利害关系人没有利害关系。</w:t>
      </w:r>
    </w:p>
    <w:p>
      <w:pPr>
        <w:spacing w:line="600" w:lineRule="exact"/>
        <w:ind w:firstLine="548" w:firstLineChars="196"/>
        <w:rPr>
          <w:rFonts w:eastAsia="仿宋_GB2312"/>
          <w:color w:val="auto"/>
          <w:sz w:val="28"/>
          <w:szCs w:val="28"/>
        </w:rPr>
      </w:pPr>
      <w:r>
        <w:rPr>
          <w:rFonts w:eastAsia="仿宋_GB2312"/>
          <w:color w:val="auto"/>
          <w:sz w:val="28"/>
          <w:szCs w:val="28"/>
        </w:rPr>
        <w:t>4</w:t>
      </w:r>
      <w:r>
        <w:rPr>
          <w:rFonts w:eastAsia="仿宋_GB2312"/>
          <w:b/>
          <w:color w:val="auto"/>
          <w:sz w:val="28"/>
          <w:szCs w:val="28"/>
        </w:rPr>
        <w:t>、</w:t>
      </w:r>
      <w:r>
        <w:rPr>
          <w:rFonts w:eastAsia="仿宋_GB2312"/>
          <w:color w:val="auto"/>
          <w:sz w:val="28"/>
          <w:szCs w:val="28"/>
        </w:rPr>
        <w:t>我们对估价报告中的估价对象、估价委托人及估价利害关系人没有偏见。</w:t>
      </w:r>
    </w:p>
    <w:p>
      <w:pPr>
        <w:spacing w:line="600" w:lineRule="exact"/>
        <w:ind w:firstLine="548" w:firstLineChars="196"/>
        <w:rPr>
          <w:rFonts w:eastAsia="仿宋_GB2312"/>
          <w:color w:val="auto"/>
          <w:sz w:val="28"/>
          <w:szCs w:val="28"/>
        </w:rPr>
      </w:pPr>
      <w:r>
        <w:rPr>
          <w:rFonts w:eastAsia="仿宋_GB2312"/>
          <w:color w:val="auto"/>
          <w:sz w:val="28"/>
          <w:szCs w:val="28"/>
        </w:rPr>
        <w:t>5</w:t>
      </w:r>
      <w:r>
        <w:rPr>
          <w:rFonts w:eastAsia="仿宋_GB2312"/>
          <w:b/>
          <w:color w:val="auto"/>
          <w:sz w:val="28"/>
          <w:szCs w:val="28"/>
        </w:rPr>
        <w:t>、</w:t>
      </w:r>
      <w:r>
        <w:rPr>
          <w:rFonts w:eastAsia="仿宋_GB2312"/>
          <w:color w:val="auto"/>
          <w:sz w:val="28"/>
          <w:szCs w:val="28"/>
        </w:rPr>
        <w:t>我们依照中华人民共和国国家标准《房地产估价规范》【GB/T 50291-2015】、《房地产估价基本术语标准》【GB/T 50899-2013】进行分析，形成意见和结论，撰写本估价报告。</w:t>
      </w:r>
    </w:p>
    <w:p>
      <w:pPr>
        <w:spacing w:line="600" w:lineRule="exact"/>
        <w:ind w:firstLine="548" w:firstLineChars="196"/>
        <w:rPr>
          <w:rFonts w:eastAsia="仿宋_GB2312"/>
          <w:b/>
          <w:color w:val="auto"/>
          <w:sz w:val="28"/>
          <w:szCs w:val="28"/>
        </w:rPr>
      </w:pPr>
      <w:r>
        <w:rPr>
          <w:rFonts w:eastAsia="仿宋_GB2312"/>
          <w:color w:val="auto"/>
          <w:sz w:val="28"/>
          <w:szCs w:val="28"/>
        </w:rPr>
        <w:t>6</w:t>
      </w:r>
      <w:r>
        <w:rPr>
          <w:rFonts w:eastAsia="仿宋_GB2312"/>
          <w:b/>
          <w:color w:val="auto"/>
          <w:sz w:val="28"/>
          <w:szCs w:val="28"/>
        </w:rPr>
        <w:t>、</w:t>
      </w:r>
      <w:r>
        <w:rPr>
          <w:rFonts w:eastAsia="仿宋_GB2312"/>
          <w:color w:val="auto"/>
          <w:sz w:val="28"/>
          <w:szCs w:val="28"/>
        </w:rPr>
        <w:t>本次估价中所依据估价委托人提供的有关资料和证件，估价委托人对其真实性负责，因其失实造成的后果，估价机构和估价人员不承担相应责任。</w:t>
      </w:r>
    </w:p>
    <w:p>
      <w:pPr>
        <w:spacing w:line="600" w:lineRule="exact"/>
        <w:ind w:firstLine="561"/>
        <w:rPr>
          <w:rFonts w:eastAsia="仿宋_GB2312"/>
          <w:color w:val="auto"/>
          <w:sz w:val="28"/>
          <w:szCs w:val="28"/>
        </w:rPr>
      </w:pPr>
      <w:r>
        <w:rPr>
          <w:rFonts w:eastAsia="仿宋_GB2312"/>
          <w:color w:val="auto"/>
          <w:sz w:val="28"/>
          <w:szCs w:val="28"/>
        </w:rPr>
        <w:t>7、注册房地产估价师历福友、</w:t>
      </w:r>
      <w:r>
        <w:rPr>
          <w:rFonts w:hint="eastAsia" w:eastAsia="仿宋_GB2312"/>
          <w:color w:val="auto"/>
          <w:sz w:val="28"/>
          <w:szCs w:val="28"/>
          <w:lang w:eastAsia="zh-CN"/>
        </w:rPr>
        <w:t>崔雪梅</w:t>
      </w:r>
      <w:r>
        <w:rPr>
          <w:rFonts w:eastAsia="仿宋_GB2312"/>
          <w:color w:val="auto"/>
          <w:sz w:val="28"/>
          <w:szCs w:val="28"/>
        </w:rPr>
        <w:t>已于201</w:t>
      </w:r>
      <w:r>
        <w:rPr>
          <w:rFonts w:hint="eastAsia" w:eastAsia="仿宋_GB2312"/>
          <w:color w:val="auto"/>
          <w:sz w:val="28"/>
          <w:szCs w:val="28"/>
          <w:lang w:val="en-US" w:eastAsia="zh-CN"/>
        </w:rPr>
        <w:t>9</w:t>
      </w:r>
      <w:r>
        <w:rPr>
          <w:rFonts w:eastAsia="仿宋_GB2312"/>
          <w:color w:val="auto"/>
          <w:sz w:val="28"/>
          <w:szCs w:val="28"/>
        </w:rPr>
        <w:t>年</w:t>
      </w:r>
      <w:r>
        <w:rPr>
          <w:rFonts w:hint="eastAsia" w:eastAsia="仿宋_GB2312"/>
          <w:color w:val="auto"/>
          <w:sz w:val="28"/>
          <w:szCs w:val="28"/>
          <w:lang w:val="en-US" w:eastAsia="zh-CN"/>
        </w:rPr>
        <w:t>1</w:t>
      </w:r>
      <w:r>
        <w:rPr>
          <w:rFonts w:eastAsia="仿宋_GB2312"/>
          <w:color w:val="auto"/>
          <w:sz w:val="28"/>
          <w:szCs w:val="28"/>
        </w:rPr>
        <w:t>月</w:t>
      </w:r>
      <w:r>
        <w:rPr>
          <w:rFonts w:hint="eastAsia" w:eastAsia="仿宋_GB2312"/>
          <w:color w:val="auto"/>
          <w:sz w:val="28"/>
          <w:szCs w:val="28"/>
          <w:lang w:val="en-US" w:eastAsia="zh-CN"/>
        </w:rPr>
        <w:t>24</w:t>
      </w:r>
      <w:r>
        <w:rPr>
          <w:rFonts w:eastAsia="仿宋_GB2312"/>
          <w:color w:val="auto"/>
          <w:sz w:val="28"/>
          <w:szCs w:val="28"/>
        </w:rPr>
        <w:t>日对估价报告中的估价对象进行了实地查勘，但估价人员对估价对象的勘察，只限于其外观和使用状况。估价人员不承担对估价对象建筑结构质量进行调查的责任，也不承担其被遮盖、未暴露及难于接触到的部分进行检视的责任。</w:t>
      </w:r>
    </w:p>
    <w:p>
      <w:pPr>
        <w:spacing w:line="600" w:lineRule="exact"/>
        <w:ind w:firstLine="561"/>
        <w:rPr>
          <w:rFonts w:eastAsia="仿宋_GB2312"/>
          <w:color w:val="auto"/>
          <w:sz w:val="28"/>
          <w:szCs w:val="28"/>
        </w:rPr>
      </w:pPr>
      <w:r>
        <w:rPr>
          <w:rFonts w:eastAsia="仿宋_GB2312"/>
          <w:color w:val="auto"/>
          <w:sz w:val="28"/>
          <w:szCs w:val="28"/>
        </w:rPr>
        <w:t>8、没有外部专家和单位对本估价报告提供重要专业帮助。</w:t>
      </w:r>
    </w:p>
    <w:p>
      <w:pPr>
        <w:pStyle w:val="137"/>
        <w:adjustRightInd w:val="0"/>
        <w:snapToGrid w:val="0"/>
        <w:spacing w:line="600" w:lineRule="exact"/>
        <w:ind w:firstLineChars="0"/>
        <w:rPr>
          <w:rFonts w:eastAsia="仿宋_GB2312"/>
          <w:color w:val="auto"/>
          <w:sz w:val="28"/>
          <w:szCs w:val="28"/>
        </w:rPr>
      </w:pPr>
      <w:r>
        <w:rPr>
          <w:rFonts w:eastAsia="仿宋_GB2312"/>
          <w:color w:val="auto"/>
          <w:sz w:val="28"/>
          <w:szCs w:val="28"/>
        </w:rPr>
        <w:t xml:space="preserve">参加本次估价的注册房地产估价师为： </w:t>
      </w:r>
    </w:p>
    <w:tbl>
      <w:tblPr>
        <w:tblStyle w:val="47"/>
        <w:tblW w:w="8701" w:type="dxa"/>
        <w:jc w:val="center"/>
        <w:tblInd w:w="0" w:type="dxa"/>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694"/>
        <w:gridCol w:w="2280"/>
        <w:gridCol w:w="2397"/>
        <w:gridCol w:w="2330"/>
      </w:tblGrid>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432" w:hRule="atLeast"/>
          <w:jc w:val="center"/>
        </w:trPr>
        <w:tc>
          <w:tcPr>
            <w:tcW w:w="1694" w:type="dxa"/>
            <w:tcBorders>
              <w:top w:val="thinThickSmallGap" w:color="auto" w:sz="12" w:space="0"/>
              <w:bottom w:val="single" w:color="auto" w:sz="4" w:space="0"/>
            </w:tcBorders>
            <w:vAlign w:val="center"/>
          </w:tcPr>
          <w:p>
            <w:pPr>
              <w:pStyle w:val="20"/>
              <w:adjustRightInd w:val="0"/>
              <w:snapToGrid w:val="0"/>
              <w:spacing w:line="360" w:lineRule="auto"/>
              <w:jc w:val="center"/>
              <w:rPr>
                <w:rFonts w:ascii="Times New Roman" w:hAnsi="Times New Roman" w:eastAsia="仿宋_GB2312"/>
                <w:b/>
                <w:color w:val="auto"/>
                <w:sz w:val="28"/>
                <w:szCs w:val="28"/>
              </w:rPr>
            </w:pPr>
            <w:r>
              <w:rPr>
                <w:rFonts w:ascii="Times New Roman" w:hAnsi="Times New Roman" w:eastAsia="仿宋_GB2312"/>
                <w:b/>
                <w:color w:val="auto"/>
                <w:sz w:val="28"/>
                <w:szCs w:val="28"/>
              </w:rPr>
              <w:t>姓名</w:t>
            </w:r>
          </w:p>
        </w:tc>
        <w:tc>
          <w:tcPr>
            <w:tcW w:w="2280" w:type="dxa"/>
            <w:tcBorders>
              <w:top w:val="thinThickSmallGap" w:color="auto" w:sz="12" w:space="0"/>
              <w:bottom w:val="single" w:color="auto" w:sz="4" w:space="0"/>
            </w:tcBorders>
            <w:vAlign w:val="center"/>
          </w:tcPr>
          <w:p>
            <w:pPr>
              <w:pStyle w:val="20"/>
              <w:adjustRightInd w:val="0"/>
              <w:snapToGrid w:val="0"/>
              <w:spacing w:line="360" w:lineRule="auto"/>
              <w:ind w:hanging="10"/>
              <w:jc w:val="center"/>
              <w:rPr>
                <w:rFonts w:ascii="Times New Roman" w:hAnsi="Times New Roman" w:eastAsia="仿宋_GB2312"/>
                <w:b/>
                <w:color w:val="auto"/>
                <w:sz w:val="28"/>
                <w:szCs w:val="28"/>
              </w:rPr>
            </w:pPr>
            <w:r>
              <w:rPr>
                <w:rFonts w:ascii="Times New Roman" w:hAnsi="Times New Roman" w:eastAsia="仿宋_GB2312"/>
                <w:b/>
                <w:color w:val="auto"/>
                <w:sz w:val="28"/>
                <w:szCs w:val="28"/>
              </w:rPr>
              <w:t>注册号</w:t>
            </w:r>
          </w:p>
        </w:tc>
        <w:tc>
          <w:tcPr>
            <w:tcW w:w="2397" w:type="dxa"/>
            <w:tcBorders>
              <w:top w:val="thinThickSmallGap" w:color="auto" w:sz="12" w:space="0"/>
              <w:bottom w:val="single" w:color="auto" w:sz="4" w:space="0"/>
            </w:tcBorders>
            <w:vAlign w:val="center"/>
          </w:tcPr>
          <w:p>
            <w:pPr>
              <w:pStyle w:val="20"/>
              <w:adjustRightInd w:val="0"/>
              <w:snapToGrid w:val="0"/>
              <w:spacing w:line="360" w:lineRule="auto"/>
              <w:ind w:hanging="10"/>
              <w:jc w:val="center"/>
              <w:rPr>
                <w:rFonts w:ascii="Times New Roman" w:hAnsi="Times New Roman" w:eastAsia="仿宋_GB2312"/>
                <w:b/>
                <w:color w:val="auto"/>
                <w:sz w:val="28"/>
                <w:szCs w:val="28"/>
              </w:rPr>
            </w:pPr>
            <w:r>
              <w:rPr>
                <w:rFonts w:ascii="Times New Roman" w:hAnsi="Times New Roman" w:eastAsia="仿宋_GB2312"/>
                <w:b/>
                <w:color w:val="auto"/>
                <w:sz w:val="28"/>
                <w:szCs w:val="28"/>
              </w:rPr>
              <w:t>签    名</w:t>
            </w:r>
          </w:p>
        </w:tc>
        <w:tc>
          <w:tcPr>
            <w:tcW w:w="2330" w:type="dxa"/>
            <w:tcBorders>
              <w:top w:val="thinThickSmallGap" w:color="auto" w:sz="12" w:space="0"/>
              <w:bottom w:val="single" w:color="auto" w:sz="4" w:space="0"/>
            </w:tcBorders>
            <w:vAlign w:val="center"/>
          </w:tcPr>
          <w:p>
            <w:pPr>
              <w:pStyle w:val="20"/>
              <w:adjustRightInd w:val="0"/>
              <w:snapToGrid w:val="0"/>
              <w:spacing w:line="360" w:lineRule="auto"/>
              <w:ind w:hanging="10"/>
              <w:jc w:val="center"/>
              <w:rPr>
                <w:rFonts w:ascii="Times New Roman" w:hAnsi="Times New Roman" w:eastAsia="仿宋_GB2312"/>
                <w:b/>
                <w:color w:val="auto"/>
                <w:sz w:val="28"/>
                <w:szCs w:val="28"/>
              </w:rPr>
            </w:pPr>
            <w:r>
              <w:rPr>
                <w:rFonts w:ascii="Times New Roman" w:hAnsi="Times New Roman" w:eastAsia="仿宋_GB2312"/>
                <w:b/>
                <w:color w:val="auto"/>
                <w:sz w:val="28"/>
                <w:szCs w:val="28"/>
              </w:rPr>
              <w:t>签名日期</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1694" w:hRule="atLeast"/>
          <w:jc w:val="center"/>
        </w:trPr>
        <w:tc>
          <w:tcPr>
            <w:tcW w:w="1694" w:type="dxa"/>
            <w:tcBorders>
              <w:top w:val="single" w:color="auto" w:sz="4" w:space="0"/>
            </w:tcBorders>
            <w:vAlign w:val="center"/>
          </w:tcPr>
          <w:p>
            <w:pPr>
              <w:pStyle w:val="20"/>
              <w:adjustRightInd w:val="0"/>
              <w:snapToGrid w:val="0"/>
              <w:spacing w:line="360" w:lineRule="auto"/>
              <w:jc w:val="center"/>
              <w:rPr>
                <w:rFonts w:ascii="Times New Roman" w:hAnsi="Times New Roman" w:eastAsia="仿宋_GB2312"/>
                <w:color w:val="auto"/>
                <w:sz w:val="28"/>
                <w:szCs w:val="28"/>
              </w:rPr>
            </w:pPr>
            <w:r>
              <w:rPr>
                <w:rFonts w:ascii="Times New Roman" w:hAnsi="Times New Roman" w:eastAsia="仿宋_GB2312"/>
                <w:bCs/>
                <w:color w:val="auto"/>
                <w:sz w:val="28"/>
                <w:szCs w:val="28"/>
              </w:rPr>
              <w:t>历福友</w:t>
            </w:r>
          </w:p>
        </w:tc>
        <w:tc>
          <w:tcPr>
            <w:tcW w:w="2280" w:type="dxa"/>
            <w:tcBorders>
              <w:top w:val="single" w:color="auto" w:sz="4" w:space="0"/>
            </w:tcBorders>
            <w:vAlign w:val="center"/>
          </w:tcPr>
          <w:p>
            <w:pPr>
              <w:pStyle w:val="20"/>
              <w:adjustRightInd w:val="0"/>
              <w:snapToGrid w:val="0"/>
              <w:spacing w:line="360" w:lineRule="auto"/>
              <w:jc w:val="center"/>
              <w:rPr>
                <w:rFonts w:ascii="Times New Roman" w:hAnsi="Times New Roman" w:eastAsia="仿宋_GB2312"/>
                <w:bCs/>
                <w:color w:val="auto"/>
                <w:sz w:val="28"/>
                <w:szCs w:val="28"/>
              </w:rPr>
            </w:pPr>
            <w:r>
              <w:rPr>
                <w:rFonts w:ascii="Times New Roman" w:hAnsi="Times New Roman" w:eastAsia="仿宋_GB2312"/>
                <w:bCs/>
                <w:color w:val="auto"/>
                <w:sz w:val="28"/>
                <w:szCs w:val="28"/>
              </w:rPr>
              <w:t>1520050003</w:t>
            </w:r>
          </w:p>
        </w:tc>
        <w:tc>
          <w:tcPr>
            <w:tcW w:w="2397" w:type="dxa"/>
            <w:tcBorders>
              <w:top w:val="single" w:color="auto" w:sz="4" w:space="0"/>
            </w:tcBorders>
            <w:vAlign w:val="center"/>
          </w:tcPr>
          <w:p>
            <w:pPr>
              <w:pStyle w:val="20"/>
              <w:adjustRightInd w:val="0"/>
              <w:snapToGrid w:val="0"/>
              <w:spacing w:line="360" w:lineRule="auto"/>
              <w:ind w:firstLine="562"/>
              <w:jc w:val="center"/>
              <w:rPr>
                <w:rFonts w:ascii="Times New Roman" w:hAnsi="Times New Roman" w:eastAsia="仿宋_GB2312"/>
                <w:color w:val="auto"/>
                <w:sz w:val="28"/>
                <w:szCs w:val="28"/>
              </w:rPr>
            </w:pPr>
          </w:p>
        </w:tc>
        <w:tc>
          <w:tcPr>
            <w:tcW w:w="2330" w:type="dxa"/>
            <w:tcBorders>
              <w:top w:val="single" w:color="auto" w:sz="4" w:space="0"/>
            </w:tcBorders>
            <w:vAlign w:val="center"/>
          </w:tcPr>
          <w:p>
            <w:pPr>
              <w:pStyle w:val="20"/>
              <w:adjustRightInd w:val="0"/>
              <w:snapToGrid w:val="0"/>
              <w:spacing w:line="360" w:lineRule="auto"/>
              <w:ind w:firstLine="562"/>
              <w:jc w:val="center"/>
              <w:rPr>
                <w:rFonts w:ascii="Times New Roman" w:hAnsi="Times New Roman" w:eastAsia="仿宋_GB2312"/>
                <w:color w:val="auto"/>
                <w:sz w:val="28"/>
                <w:szCs w:val="28"/>
              </w:rPr>
            </w:pP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1832" w:hRule="atLeast"/>
          <w:jc w:val="center"/>
        </w:trPr>
        <w:tc>
          <w:tcPr>
            <w:tcW w:w="1694" w:type="dxa"/>
            <w:tcBorders>
              <w:bottom w:val="thickThinSmallGap" w:color="auto" w:sz="12" w:space="0"/>
            </w:tcBorders>
            <w:vAlign w:val="center"/>
          </w:tcPr>
          <w:p>
            <w:pPr>
              <w:pStyle w:val="20"/>
              <w:adjustRightInd w:val="0"/>
              <w:snapToGrid w:val="0"/>
              <w:spacing w:line="360" w:lineRule="auto"/>
              <w:jc w:val="center"/>
              <w:rPr>
                <w:rFonts w:hint="eastAsia" w:ascii="Times New Roman" w:hAnsi="Times New Roman" w:eastAsia="仿宋_GB2312"/>
                <w:color w:val="auto"/>
                <w:sz w:val="28"/>
                <w:szCs w:val="28"/>
                <w:lang w:eastAsia="zh-CN"/>
              </w:rPr>
            </w:pPr>
            <w:r>
              <w:rPr>
                <w:rFonts w:hint="eastAsia" w:ascii="Times New Roman" w:hAnsi="Times New Roman" w:eastAsia="仿宋_GB2312"/>
                <w:bCs/>
                <w:color w:val="auto"/>
                <w:sz w:val="28"/>
                <w:szCs w:val="28"/>
                <w:lang w:eastAsia="zh-CN"/>
              </w:rPr>
              <w:t>崔雪梅</w:t>
            </w:r>
          </w:p>
        </w:tc>
        <w:tc>
          <w:tcPr>
            <w:tcW w:w="2280" w:type="dxa"/>
            <w:tcBorders>
              <w:bottom w:val="thickThinSmallGap" w:color="auto" w:sz="12" w:space="0"/>
            </w:tcBorders>
            <w:vAlign w:val="center"/>
          </w:tcPr>
          <w:p>
            <w:pPr>
              <w:pStyle w:val="20"/>
              <w:adjustRightInd w:val="0"/>
              <w:snapToGrid w:val="0"/>
              <w:spacing w:line="360" w:lineRule="auto"/>
              <w:jc w:val="center"/>
              <w:rPr>
                <w:rFonts w:hint="eastAsia" w:ascii="Times New Roman" w:hAnsi="Times New Roman" w:eastAsia="仿宋_GB2312"/>
                <w:bCs/>
                <w:color w:val="auto"/>
                <w:sz w:val="28"/>
                <w:szCs w:val="28"/>
                <w:lang w:eastAsia="zh-CN"/>
              </w:rPr>
            </w:pPr>
            <w:r>
              <w:rPr>
                <w:rFonts w:hint="eastAsia" w:ascii="Times New Roman" w:hAnsi="Times New Roman" w:eastAsia="仿宋_GB2312"/>
                <w:bCs/>
                <w:color w:val="auto"/>
                <w:sz w:val="28"/>
                <w:szCs w:val="28"/>
                <w:lang w:eastAsia="zh-CN"/>
              </w:rPr>
              <w:t>1520160011</w:t>
            </w:r>
          </w:p>
        </w:tc>
        <w:tc>
          <w:tcPr>
            <w:tcW w:w="2397" w:type="dxa"/>
            <w:tcBorders>
              <w:bottom w:val="thickThinSmallGap" w:color="auto" w:sz="12" w:space="0"/>
            </w:tcBorders>
            <w:vAlign w:val="center"/>
          </w:tcPr>
          <w:p>
            <w:pPr>
              <w:pStyle w:val="20"/>
              <w:adjustRightInd w:val="0"/>
              <w:snapToGrid w:val="0"/>
              <w:spacing w:line="360" w:lineRule="auto"/>
              <w:ind w:firstLine="562"/>
              <w:jc w:val="center"/>
              <w:rPr>
                <w:rFonts w:ascii="Times New Roman" w:hAnsi="Times New Roman" w:eastAsia="仿宋_GB2312"/>
                <w:color w:val="auto"/>
                <w:sz w:val="28"/>
                <w:szCs w:val="28"/>
              </w:rPr>
            </w:pPr>
          </w:p>
        </w:tc>
        <w:tc>
          <w:tcPr>
            <w:tcW w:w="2330" w:type="dxa"/>
            <w:tcBorders>
              <w:bottom w:val="thickThinSmallGap" w:color="auto" w:sz="12" w:space="0"/>
            </w:tcBorders>
            <w:vAlign w:val="center"/>
          </w:tcPr>
          <w:p>
            <w:pPr>
              <w:pStyle w:val="20"/>
              <w:adjustRightInd w:val="0"/>
              <w:snapToGrid w:val="0"/>
              <w:spacing w:line="360" w:lineRule="auto"/>
              <w:ind w:firstLine="562"/>
              <w:jc w:val="center"/>
              <w:rPr>
                <w:rFonts w:ascii="Times New Roman" w:hAnsi="Times New Roman" w:eastAsia="仿宋_GB2312"/>
                <w:color w:val="auto"/>
                <w:sz w:val="28"/>
                <w:szCs w:val="28"/>
              </w:rPr>
            </w:pPr>
          </w:p>
        </w:tc>
      </w:tr>
    </w:tbl>
    <w:p>
      <w:pPr>
        <w:adjustRightInd w:val="0"/>
        <w:snapToGrid w:val="0"/>
        <w:spacing w:beforeLines="100" w:line="288" w:lineRule="auto"/>
        <w:rPr>
          <w:rFonts w:eastAsia="仿宋_GB2312"/>
          <w:snapToGrid w:val="0"/>
          <w:color w:val="auto"/>
          <w:kern w:val="0"/>
          <w:sz w:val="28"/>
          <w:szCs w:val="28"/>
        </w:rPr>
      </w:pPr>
    </w:p>
    <w:p>
      <w:pPr>
        <w:adjustRightInd w:val="0"/>
        <w:snapToGrid w:val="0"/>
        <w:spacing w:beforeLines="100" w:line="288" w:lineRule="auto"/>
        <w:rPr>
          <w:rFonts w:eastAsia="仿宋_GB2312"/>
          <w:snapToGrid w:val="0"/>
          <w:color w:val="auto"/>
          <w:kern w:val="0"/>
          <w:sz w:val="28"/>
          <w:szCs w:val="28"/>
        </w:rPr>
      </w:pPr>
    </w:p>
    <w:p>
      <w:pPr>
        <w:adjustRightInd w:val="0"/>
        <w:snapToGrid w:val="0"/>
        <w:spacing w:beforeLines="100" w:line="288" w:lineRule="auto"/>
        <w:rPr>
          <w:rFonts w:eastAsia="仿宋_GB2312"/>
          <w:snapToGrid w:val="0"/>
          <w:color w:val="auto"/>
          <w:kern w:val="0"/>
          <w:sz w:val="28"/>
          <w:szCs w:val="28"/>
        </w:rPr>
      </w:pPr>
    </w:p>
    <w:p>
      <w:pPr>
        <w:adjustRightInd w:val="0"/>
        <w:snapToGrid w:val="0"/>
        <w:spacing w:beforeLines="100" w:line="288" w:lineRule="auto"/>
        <w:rPr>
          <w:rFonts w:eastAsia="仿宋_GB2312"/>
          <w:snapToGrid w:val="0"/>
          <w:color w:val="auto"/>
          <w:kern w:val="0"/>
          <w:sz w:val="28"/>
          <w:szCs w:val="28"/>
        </w:rPr>
      </w:pPr>
    </w:p>
    <w:p>
      <w:pPr>
        <w:adjustRightInd w:val="0"/>
        <w:snapToGrid w:val="0"/>
        <w:spacing w:beforeLines="100" w:line="288" w:lineRule="auto"/>
        <w:rPr>
          <w:rFonts w:eastAsia="仿宋_GB2312"/>
          <w:snapToGrid w:val="0"/>
          <w:color w:val="auto"/>
          <w:kern w:val="0"/>
          <w:sz w:val="28"/>
          <w:szCs w:val="28"/>
        </w:rPr>
      </w:pPr>
    </w:p>
    <w:p>
      <w:pPr>
        <w:adjustRightInd w:val="0"/>
        <w:snapToGrid w:val="0"/>
        <w:spacing w:beforeLines="100" w:line="288" w:lineRule="auto"/>
        <w:rPr>
          <w:rFonts w:eastAsia="仿宋_GB2312"/>
          <w:snapToGrid w:val="0"/>
          <w:color w:val="auto"/>
          <w:kern w:val="0"/>
          <w:sz w:val="28"/>
          <w:szCs w:val="28"/>
        </w:rPr>
      </w:pPr>
    </w:p>
    <w:p>
      <w:pPr>
        <w:adjustRightInd w:val="0"/>
        <w:snapToGrid w:val="0"/>
        <w:spacing w:beforeLines="100" w:line="288" w:lineRule="auto"/>
        <w:rPr>
          <w:rFonts w:eastAsia="仿宋_GB2312"/>
          <w:snapToGrid w:val="0"/>
          <w:color w:val="auto"/>
          <w:kern w:val="0"/>
          <w:sz w:val="28"/>
          <w:szCs w:val="28"/>
        </w:rPr>
      </w:pPr>
    </w:p>
    <w:p>
      <w:pPr>
        <w:adjustRightInd w:val="0"/>
        <w:snapToGrid w:val="0"/>
        <w:spacing w:beforeLines="100" w:line="288" w:lineRule="auto"/>
        <w:rPr>
          <w:rFonts w:eastAsia="仿宋_GB2312"/>
          <w:snapToGrid w:val="0"/>
          <w:color w:val="auto"/>
          <w:kern w:val="0"/>
          <w:sz w:val="28"/>
          <w:szCs w:val="28"/>
        </w:rPr>
      </w:pPr>
    </w:p>
    <w:p>
      <w:pPr>
        <w:adjustRightInd w:val="0"/>
        <w:snapToGrid w:val="0"/>
        <w:spacing w:beforeLines="100" w:line="288" w:lineRule="auto"/>
        <w:rPr>
          <w:rFonts w:eastAsia="仿宋_GB2312"/>
          <w:snapToGrid w:val="0"/>
          <w:color w:val="auto"/>
          <w:kern w:val="0"/>
          <w:sz w:val="28"/>
          <w:szCs w:val="28"/>
        </w:rPr>
      </w:pPr>
    </w:p>
    <w:p>
      <w:pPr>
        <w:adjustRightInd w:val="0"/>
        <w:snapToGrid w:val="0"/>
        <w:spacing w:beforeLines="100" w:line="288" w:lineRule="auto"/>
        <w:rPr>
          <w:rFonts w:eastAsia="仿宋_GB2312"/>
          <w:snapToGrid w:val="0"/>
          <w:color w:val="auto"/>
          <w:kern w:val="0"/>
          <w:sz w:val="28"/>
          <w:szCs w:val="28"/>
        </w:rPr>
      </w:pPr>
    </w:p>
    <w:p>
      <w:pPr>
        <w:adjustRightInd w:val="0"/>
        <w:snapToGrid w:val="0"/>
        <w:spacing w:beforeLines="100" w:line="288" w:lineRule="auto"/>
        <w:rPr>
          <w:rFonts w:eastAsia="仿宋_GB2312"/>
          <w:snapToGrid w:val="0"/>
          <w:color w:val="auto"/>
          <w:kern w:val="0"/>
          <w:sz w:val="28"/>
          <w:szCs w:val="28"/>
        </w:rPr>
      </w:pPr>
    </w:p>
    <w:p>
      <w:pPr>
        <w:adjustRightInd w:val="0"/>
        <w:snapToGrid w:val="0"/>
        <w:spacing w:beforeLines="100" w:line="288" w:lineRule="auto"/>
        <w:rPr>
          <w:rFonts w:eastAsia="仿宋_GB2312"/>
          <w:snapToGrid w:val="0"/>
          <w:color w:val="auto"/>
          <w:kern w:val="0"/>
          <w:sz w:val="28"/>
          <w:szCs w:val="28"/>
        </w:rPr>
      </w:pPr>
    </w:p>
    <w:p>
      <w:pPr>
        <w:pStyle w:val="2"/>
        <w:spacing w:line="600" w:lineRule="exact"/>
        <w:rPr>
          <w:color w:val="auto"/>
          <w:szCs w:val="28"/>
        </w:rPr>
      </w:pPr>
      <w:bookmarkStart w:id="9" w:name="_Toc521268499"/>
      <w:r>
        <w:rPr>
          <w:color w:val="auto"/>
          <w:szCs w:val="28"/>
        </w:rPr>
        <w:t>二、估价假设和限制条件</w:t>
      </w:r>
      <w:bookmarkEnd w:id="9"/>
    </w:p>
    <w:p>
      <w:pPr>
        <w:spacing w:line="600" w:lineRule="exact"/>
        <w:ind w:firstLine="562" w:firstLineChars="200"/>
        <w:rPr>
          <w:rFonts w:eastAsia="仿宋_GB2312"/>
          <w:b/>
          <w:color w:val="auto"/>
          <w:sz w:val="28"/>
          <w:szCs w:val="28"/>
        </w:rPr>
      </w:pPr>
      <w:r>
        <w:rPr>
          <w:rFonts w:eastAsia="仿宋_GB2312"/>
          <w:b/>
          <w:color w:val="auto"/>
          <w:sz w:val="28"/>
          <w:szCs w:val="28"/>
        </w:rPr>
        <w:t>1.一般假设</w:t>
      </w:r>
    </w:p>
    <w:p>
      <w:pPr>
        <w:spacing w:line="600" w:lineRule="exact"/>
        <w:ind w:firstLine="560" w:firstLineChars="200"/>
        <w:rPr>
          <w:rFonts w:eastAsia="仿宋_GB2312"/>
          <w:color w:val="auto"/>
          <w:sz w:val="28"/>
          <w:szCs w:val="28"/>
        </w:rPr>
      </w:pPr>
      <w:r>
        <w:rPr>
          <w:rFonts w:eastAsia="仿宋_GB2312"/>
          <w:color w:val="auto"/>
          <w:sz w:val="28"/>
          <w:szCs w:val="28"/>
        </w:rPr>
        <w:t>（1）在价值时点的房地产市场为公开、平等、自愿的交易市场。</w:t>
      </w:r>
    </w:p>
    <w:p>
      <w:pPr>
        <w:spacing w:line="600" w:lineRule="exact"/>
        <w:ind w:firstLine="560" w:firstLineChars="200"/>
        <w:rPr>
          <w:rFonts w:eastAsia="仿宋_GB2312"/>
          <w:color w:val="auto"/>
          <w:sz w:val="28"/>
          <w:szCs w:val="28"/>
        </w:rPr>
      </w:pPr>
      <w:r>
        <w:rPr>
          <w:rFonts w:eastAsia="仿宋_GB2312"/>
          <w:color w:val="auto"/>
          <w:sz w:val="28"/>
          <w:szCs w:val="28"/>
        </w:rPr>
        <w:t>（2）估价对象产权明晰，手续齐全，可在公开市场上自由转让。</w:t>
      </w:r>
    </w:p>
    <w:p>
      <w:pPr>
        <w:spacing w:line="600" w:lineRule="exact"/>
        <w:ind w:firstLine="560" w:firstLineChars="200"/>
        <w:rPr>
          <w:rFonts w:eastAsia="仿宋_GB2312"/>
          <w:color w:val="auto"/>
          <w:sz w:val="28"/>
          <w:szCs w:val="28"/>
        </w:rPr>
      </w:pPr>
      <w:r>
        <w:rPr>
          <w:rFonts w:eastAsia="仿宋_GB2312"/>
          <w:color w:val="auto"/>
          <w:sz w:val="28"/>
          <w:szCs w:val="28"/>
        </w:rPr>
        <w:t>（3）任何有关估价对象的运作方式、程序均符合国家、地方的有关法律、法规。</w:t>
      </w:r>
    </w:p>
    <w:p>
      <w:pPr>
        <w:spacing w:line="600" w:lineRule="exact"/>
        <w:ind w:firstLine="560" w:firstLineChars="200"/>
        <w:rPr>
          <w:rFonts w:eastAsia="仿宋_GB2312"/>
          <w:color w:val="auto"/>
          <w:sz w:val="28"/>
          <w:szCs w:val="28"/>
        </w:rPr>
      </w:pPr>
      <w:r>
        <w:rPr>
          <w:rFonts w:eastAsia="仿宋_GB2312"/>
          <w:color w:val="auto"/>
          <w:sz w:val="28"/>
          <w:szCs w:val="28"/>
        </w:rPr>
        <w:t>（4）本次估价结果未考虑国家宏观经济政策发生重大变化以及遇有自然力和其他不可抗力对估价结论的影响。</w:t>
      </w:r>
    </w:p>
    <w:p>
      <w:pPr>
        <w:spacing w:line="600" w:lineRule="exact"/>
        <w:ind w:firstLine="560" w:firstLineChars="200"/>
        <w:rPr>
          <w:rFonts w:eastAsia="仿宋_GB2312"/>
          <w:color w:val="auto"/>
          <w:sz w:val="28"/>
          <w:szCs w:val="28"/>
        </w:rPr>
      </w:pPr>
      <w:r>
        <w:rPr>
          <w:rFonts w:eastAsia="仿宋_GB2312"/>
          <w:color w:val="auto"/>
          <w:sz w:val="28"/>
          <w:szCs w:val="28"/>
        </w:rPr>
        <w:t>（5）本报告以估价对象在价值时点时的状况为依据进行的，且以该状况在估价报告使用期限内无重大变化为前提。</w:t>
      </w:r>
    </w:p>
    <w:p>
      <w:pPr>
        <w:spacing w:line="600" w:lineRule="exact"/>
        <w:ind w:firstLine="560" w:firstLineChars="200"/>
        <w:rPr>
          <w:rFonts w:eastAsia="仿宋_GB2312"/>
          <w:color w:val="auto"/>
          <w:sz w:val="28"/>
          <w:szCs w:val="28"/>
        </w:rPr>
      </w:pPr>
      <w:r>
        <w:rPr>
          <w:rFonts w:eastAsia="仿宋_GB2312"/>
          <w:color w:val="auto"/>
          <w:sz w:val="28"/>
          <w:szCs w:val="28"/>
        </w:rPr>
        <w:t>（6）本次估价未考虑除已披露事项外可能与估价对象产权人有关的债权及债务情况对估价结果的影响。</w:t>
      </w:r>
    </w:p>
    <w:p>
      <w:pPr>
        <w:spacing w:line="600" w:lineRule="exact"/>
        <w:ind w:firstLine="560" w:firstLineChars="200"/>
        <w:rPr>
          <w:rFonts w:eastAsia="仿宋_GB2312"/>
          <w:color w:val="auto"/>
          <w:sz w:val="28"/>
          <w:szCs w:val="28"/>
        </w:rPr>
      </w:pPr>
      <w:r>
        <w:rPr>
          <w:rFonts w:eastAsia="仿宋_GB2312"/>
          <w:color w:val="auto"/>
          <w:sz w:val="28"/>
          <w:szCs w:val="28"/>
        </w:rPr>
        <w:t>（7）本次估价价值时点为201</w:t>
      </w:r>
      <w:r>
        <w:rPr>
          <w:rFonts w:hint="eastAsia" w:eastAsia="仿宋_GB2312"/>
          <w:color w:val="auto"/>
          <w:sz w:val="28"/>
          <w:szCs w:val="28"/>
          <w:lang w:val="en-US" w:eastAsia="zh-CN"/>
        </w:rPr>
        <w:t>9</w:t>
      </w:r>
      <w:r>
        <w:rPr>
          <w:rFonts w:eastAsia="仿宋_GB2312"/>
          <w:color w:val="auto"/>
          <w:sz w:val="28"/>
          <w:szCs w:val="28"/>
        </w:rPr>
        <w:t>年</w:t>
      </w:r>
      <w:r>
        <w:rPr>
          <w:rFonts w:hint="eastAsia" w:eastAsia="仿宋_GB2312"/>
          <w:color w:val="auto"/>
          <w:sz w:val="28"/>
          <w:szCs w:val="28"/>
          <w:lang w:val="en-US" w:eastAsia="zh-CN"/>
        </w:rPr>
        <w:t>1</w:t>
      </w:r>
      <w:r>
        <w:rPr>
          <w:rFonts w:eastAsia="仿宋_GB2312"/>
          <w:color w:val="auto"/>
          <w:sz w:val="28"/>
          <w:szCs w:val="28"/>
        </w:rPr>
        <w:t>月</w:t>
      </w:r>
      <w:r>
        <w:rPr>
          <w:rFonts w:hint="eastAsia" w:eastAsia="仿宋_GB2312"/>
          <w:color w:val="auto"/>
          <w:sz w:val="28"/>
          <w:szCs w:val="28"/>
          <w:lang w:val="en-US" w:eastAsia="zh-CN"/>
        </w:rPr>
        <w:t>24</w:t>
      </w:r>
      <w:r>
        <w:rPr>
          <w:rFonts w:eastAsia="仿宋_GB2312"/>
          <w:color w:val="auto"/>
          <w:sz w:val="28"/>
          <w:szCs w:val="28"/>
        </w:rPr>
        <w:t>日，实地查勘日期为201</w:t>
      </w:r>
      <w:r>
        <w:rPr>
          <w:rFonts w:hint="eastAsia" w:eastAsia="仿宋_GB2312"/>
          <w:color w:val="auto"/>
          <w:sz w:val="28"/>
          <w:szCs w:val="28"/>
          <w:lang w:val="en-US" w:eastAsia="zh-CN"/>
        </w:rPr>
        <w:t>9</w:t>
      </w:r>
      <w:r>
        <w:rPr>
          <w:rFonts w:eastAsia="仿宋_GB2312"/>
          <w:color w:val="auto"/>
          <w:sz w:val="28"/>
          <w:szCs w:val="28"/>
        </w:rPr>
        <w:t>年</w:t>
      </w:r>
      <w:r>
        <w:rPr>
          <w:rFonts w:hint="eastAsia" w:eastAsia="仿宋_GB2312"/>
          <w:color w:val="auto"/>
          <w:sz w:val="28"/>
          <w:szCs w:val="28"/>
          <w:lang w:val="en-US" w:eastAsia="zh-CN"/>
        </w:rPr>
        <w:t>1</w:t>
      </w:r>
      <w:r>
        <w:rPr>
          <w:rFonts w:eastAsia="仿宋_GB2312"/>
          <w:color w:val="auto"/>
          <w:sz w:val="28"/>
          <w:szCs w:val="28"/>
        </w:rPr>
        <w:t>月</w:t>
      </w:r>
      <w:r>
        <w:rPr>
          <w:rFonts w:hint="eastAsia" w:eastAsia="仿宋_GB2312"/>
          <w:color w:val="auto"/>
          <w:sz w:val="28"/>
          <w:szCs w:val="28"/>
          <w:lang w:val="en-US" w:eastAsia="zh-CN"/>
        </w:rPr>
        <w:t>24</w:t>
      </w:r>
      <w:r>
        <w:rPr>
          <w:rFonts w:eastAsia="仿宋_GB2312"/>
          <w:color w:val="auto"/>
          <w:sz w:val="28"/>
          <w:szCs w:val="28"/>
        </w:rPr>
        <w:t>日，本次估价价值时点的状况与完成实地查勘之日的状况一致。</w:t>
      </w:r>
    </w:p>
    <w:p>
      <w:pPr>
        <w:spacing w:line="600" w:lineRule="exact"/>
        <w:ind w:firstLine="560" w:firstLineChars="200"/>
        <w:rPr>
          <w:rFonts w:eastAsia="仿宋_GB2312"/>
          <w:color w:val="auto"/>
          <w:sz w:val="28"/>
          <w:szCs w:val="28"/>
        </w:rPr>
      </w:pPr>
      <w:r>
        <w:rPr>
          <w:rFonts w:eastAsia="仿宋_GB2312"/>
          <w:color w:val="auto"/>
          <w:sz w:val="28"/>
          <w:szCs w:val="28"/>
        </w:rPr>
        <w:t>（8）本次估价对象的房屋权属情况均以《</w:t>
      </w:r>
      <w:r>
        <w:rPr>
          <w:rFonts w:hint="eastAsia" w:eastAsia="仿宋_GB2312"/>
          <w:color w:val="auto"/>
          <w:sz w:val="28"/>
          <w:szCs w:val="28"/>
          <w:lang w:eastAsia="zh-CN"/>
        </w:rPr>
        <w:t>内蒙古五原县人民法院</w:t>
      </w:r>
      <w:r>
        <w:rPr>
          <w:rFonts w:eastAsia="仿宋_GB2312"/>
          <w:color w:val="auto"/>
          <w:sz w:val="28"/>
          <w:szCs w:val="28"/>
        </w:rPr>
        <w:t>评估委托书》</w:t>
      </w:r>
      <w:r>
        <w:rPr>
          <w:rFonts w:hint="eastAsia" w:eastAsia="仿宋_GB2312"/>
          <w:color w:val="auto"/>
          <w:sz w:val="28"/>
          <w:szCs w:val="28"/>
        </w:rPr>
        <w:t>（</w:t>
      </w:r>
      <w:r>
        <w:rPr>
          <w:rFonts w:eastAsia="仿宋_GB2312"/>
          <w:color w:val="auto"/>
          <w:sz w:val="28"/>
          <w:szCs w:val="28"/>
        </w:rPr>
        <w:t>（2018）内</w:t>
      </w:r>
      <w:r>
        <w:rPr>
          <w:rFonts w:hint="eastAsia" w:eastAsia="仿宋_GB2312"/>
          <w:color w:val="auto"/>
          <w:sz w:val="28"/>
          <w:szCs w:val="28"/>
          <w:lang w:val="en-US" w:eastAsia="zh-CN"/>
        </w:rPr>
        <w:t>0821</w:t>
      </w:r>
      <w:r>
        <w:rPr>
          <w:rFonts w:eastAsia="仿宋_GB2312"/>
          <w:color w:val="auto"/>
          <w:sz w:val="28"/>
          <w:szCs w:val="28"/>
        </w:rPr>
        <w:t>委评</w:t>
      </w:r>
      <w:r>
        <w:rPr>
          <w:rFonts w:hint="eastAsia" w:eastAsia="仿宋_GB2312"/>
          <w:color w:val="auto"/>
          <w:sz w:val="28"/>
          <w:szCs w:val="28"/>
          <w:lang w:val="en-US" w:eastAsia="zh-CN"/>
        </w:rPr>
        <w:t>86</w:t>
      </w:r>
      <w:r>
        <w:rPr>
          <w:rFonts w:eastAsia="仿宋_GB2312"/>
          <w:color w:val="auto"/>
          <w:sz w:val="28"/>
          <w:szCs w:val="28"/>
        </w:rPr>
        <w:t>号）</w:t>
      </w:r>
      <w:r>
        <w:rPr>
          <w:rFonts w:hint="eastAsia" w:eastAsia="仿宋_GB2312"/>
          <w:color w:val="auto"/>
          <w:sz w:val="28"/>
          <w:szCs w:val="28"/>
        </w:rPr>
        <w:t>、</w:t>
      </w:r>
      <w:r>
        <w:rPr>
          <w:rFonts w:eastAsia="仿宋_GB2312"/>
          <w:color w:val="auto"/>
          <w:sz w:val="28"/>
          <w:szCs w:val="28"/>
        </w:rPr>
        <w:t>《</w:t>
      </w:r>
      <w:r>
        <w:rPr>
          <w:rFonts w:hint="eastAsia" w:eastAsia="仿宋_GB2312"/>
          <w:color w:val="auto"/>
          <w:sz w:val="28"/>
          <w:szCs w:val="28"/>
          <w:lang w:eastAsia="zh-CN"/>
        </w:rPr>
        <w:t>房地产权属登记簿</w:t>
      </w:r>
      <w:r>
        <w:rPr>
          <w:rFonts w:eastAsia="仿宋_GB2312"/>
          <w:color w:val="auto"/>
          <w:sz w:val="28"/>
          <w:szCs w:val="28"/>
        </w:rPr>
        <w:t>》</w:t>
      </w:r>
      <w:r>
        <w:rPr>
          <w:rFonts w:hint="eastAsia" w:eastAsia="仿宋_GB2312"/>
          <w:color w:val="auto"/>
          <w:sz w:val="28"/>
          <w:szCs w:val="28"/>
        </w:rPr>
        <w:t>复印件</w:t>
      </w:r>
      <w:r>
        <w:rPr>
          <w:rFonts w:eastAsia="仿宋_GB2312"/>
          <w:color w:val="auto"/>
          <w:sz w:val="28"/>
          <w:szCs w:val="28"/>
        </w:rPr>
        <w:t>为依据。如上述情况发生变化，估价结果需做相应调整。</w:t>
      </w:r>
    </w:p>
    <w:p>
      <w:pPr>
        <w:spacing w:line="600" w:lineRule="exact"/>
        <w:ind w:firstLine="560" w:firstLineChars="200"/>
        <w:rPr>
          <w:rFonts w:eastAsia="仿宋_GB2312"/>
          <w:color w:val="auto"/>
          <w:sz w:val="28"/>
          <w:szCs w:val="28"/>
        </w:rPr>
      </w:pPr>
      <w:r>
        <w:rPr>
          <w:rFonts w:eastAsia="仿宋_GB2312"/>
          <w:color w:val="auto"/>
          <w:sz w:val="28"/>
          <w:szCs w:val="28"/>
        </w:rPr>
        <w:t>（9）本次估价是以估价委托人提供的与估价对象有关的法律文件、权属证明及相关资料真实、合法、准确、完整为前提。如因委托人提供资料有误而造成评估值失实，估价机构和估价人员不承担相应责任。</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eastAsia="仿宋_GB2312"/>
          <w:color w:val="auto"/>
          <w:sz w:val="28"/>
          <w:szCs w:val="28"/>
          <w:lang w:val="en-US" w:eastAsia="zh-CN"/>
        </w:rPr>
      </w:pPr>
      <w:r>
        <w:rPr>
          <w:rFonts w:eastAsia="仿宋_GB2312"/>
          <w:color w:val="auto"/>
          <w:sz w:val="28"/>
          <w:szCs w:val="28"/>
        </w:rPr>
        <w:t>（10）根据委托方提供的《</w:t>
      </w:r>
      <w:r>
        <w:rPr>
          <w:rFonts w:hint="eastAsia" w:eastAsia="仿宋_GB2312"/>
          <w:color w:val="auto"/>
          <w:sz w:val="28"/>
          <w:szCs w:val="28"/>
          <w:lang w:eastAsia="zh-CN"/>
        </w:rPr>
        <w:t>房地产权属登记簿</w:t>
      </w:r>
      <w:r>
        <w:rPr>
          <w:rFonts w:eastAsia="仿宋_GB2312"/>
          <w:color w:val="auto"/>
          <w:sz w:val="28"/>
          <w:szCs w:val="28"/>
        </w:rPr>
        <w:t>》可知，</w:t>
      </w:r>
      <w:r>
        <w:rPr>
          <w:rFonts w:hint="eastAsia" w:eastAsia="仿宋_GB2312"/>
          <w:color w:val="auto"/>
          <w:sz w:val="28"/>
          <w:szCs w:val="28"/>
        </w:rPr>
        <w:t>房屋所有权人为</w:t>
      </w:r>
      <w:r>
        <w:rPr>
          <w:rFonts w:hint="eastAsia" w:eastAsia="仿宋_GB2312"/>
          <w:color w:val="auto"/>
          <w:sz w:val="28"/>
          <w:szCs w:val="28"/>
          <w:lang w:eastAsia="zh-CN"/>
        </w:rPr>
        <w:t>燕飞龙、何翠娥</w:t>
      </w:r>
      <w:r>
        <w:rPr>
          <w:rFonts w:hint="eastAsia" w:eastAsia="仿宋_GB2312"/>
          <w:color w:val="auto"/>
          <w:sz w:val="28"/>
          <w:szCs w:val="28"/>
        </w:rPr>
        <w:t>，</w:t>
      </w:r>
      <w:r>
        <w:rPr>
          <w:rFonts w:eastAsia="仿宋_GB2312"/>
          <w:color w:val="auto"/>
          <w:sz w:val="28"/>
          <w:szCs w:val="28"/>
        </w:rPr>
        <w:t>建筑面积为</w:t>
      </w:r>
      <w:r>
        <w:rPr>
          <w:rFonts w:hint="eastAsia" w:eastAsia="仿宋_GB2312"/>
          <w:color w:val="auto"/>
          <w:sz w:val="28"/>
          <w:szCs w:val="28"/>
          <w:lang w:val="en-US" w:eastAsia="zh-CN"/>
        </w:rPr>
        <w:t>138.65</w:t>
      </w:r>
      <w:r>
        <w:rPr>
          <w:rFonts w:eastAsia="仿宋_GB2312"/>
          <w:color w:val="auto"/>
          <w:sz w:val="28"/>
          <w:szCs w:val="28"/>
        </w:rPr>
        <w:t>平方米</w:t>
      </w:r>
      <w:r>
        <w:rPr>
          <w:rFonts w:hint="eastAsia" w:eastAsia="仿宋_GB2312"/>
          <w:color w:val="auto"/>
          <w:sz w:val="28"/>
          <w:szCs w:val="28"/>
        </w:rPr>
        <w:t>，建筑结构为</w:t>
      </w:r>
      <w:r>
        <w:rPr>
          <w:rFonts w:hint="eastAsia" w:eastAsia="仿宋_GB2312"/>
          <w:color w:val="auto"/>
          <w:sz w:val="28"/>
          <w:szCs w:val="28"/>
          <w:lang w:eastAsia="zh-CN"/>
        </w:rPr>
        <w:t>砖混</w:t>
      </w:r>
      <w:r>
        <w:rPr>
          <w:rFonts w:hint="eastAsia" w:eastAsia="仿宋_GB2312"/>
          <w:color w:val="auto"/>
          <w:sz w:val="28"/>
          <w:szCs w:val="28"/>
        </w:rPr>
        <w:t>结构，用途为住宅。如与实际不符对估价结果造成影响，估价机构不承担任何责任。</w:t>
      </w:r>
      <w:r>
        <w:rPr>
          <w:rFonts w:hint="eastAsia" w:eastAsia="仿宋_GB2312"/>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eastAsia="仿宋_GB2312"/>
          <w:color w:val="auto"/>
          <w:sz w:val="28"/>
          <w:szCs w:val="28"/>
        </w:rPr>
      </w:pPr>
      <w:r>
        <w:rPr>
          <w:rFonts w:eastAsia="仿宋_GB2312"/>
          <w:color w:val="auto"/>
          <w:sz w:val="28"/>
          <w:szCs w:val="28"/>
        </w:rPr>
        <w:t>（1</w:t>
      </w:r>
      <w:r>
        <w:rPr>
          <w:rFonts w:hint="eastAsia" w:eastAsia="仿宋_GB2312"/>
          <w:color w:val="auto"/>
          <w:sz w:val="28"/>
          <w:szCs w:val="28"/>
        </w:rPr>
        <w:t>1</w:t>
      </w:r>
      <w:r>
        <w:rPr>
          <w:rFonts w:eastAsia="仿宋_GB2312"/>
          <w:color w:val="auto"/>
          <w:sz w:val="28"/>
          <w:szCs w:val="28"/>
        </w:rPr>
        <w:t>）估价人员于201</w:t>
      </w:r>
      <w:r>
        <w:rPr>
          <w:rFonts w:hint="eastAsia" w:eastAsia="仿宋_GB2312"/>
          <w:color w:val="auto"/>
          <w:sz w:val="28"/>
          <w:szCs w:val="28"/>
          <w:lang w:val="en-US" w:eastAsia="zh-CN"/>
        </w:rPr>
        <w:t>9</w:t>
      </w:r>
      <w:r>
        <w:rPr>
          <w:rFonts w:eastAsia="仿宋_GB2312"/>
          <w:color w:val="auto"/>
          <w:sz w:val="28"/>
          <w:szCs w:val="28"/>
        </w:rPr>
        <w:t>年</w:t>
      </w:r>
      <w:r>
        <w:rPr>
          <w:rFonts w:hint="eastAsia" w:eastAsia="仿宋_GB2312"/>
          <w:color w:val="auto"/>
          <w:sz w:val="28"/>
          <w:szCs w:val="28"/>
          <w:lang w:val="en-US" w:eastAsia="zh-CN"/>
        </w:rPr>
        <w:t>1</w:t>
      </w:r>
      <w:r>
        <w:rPr>
          <w:rFonts w:eastAsia="仿宋_GB2312"/>
          <w:color w:val="auto"/>
          <w:sz w:val="28"/>
          <w:szCs w:val="28"/>
        </w:rPr>
        <w:t>月</w:t>
      </w:r>
      <w:r>
        <w:rPr>
          <w:rFonts w:hint="eastAsia" w:eastAsia="仿宋_GB2312"/>
          <w:color w:val="auto"/>
          <w:sz w:val="28"/>
          <w:szCs w:val="28"/>
          <w:lang w:val="en-US" w:eastAsia="zh-CN"/>
        </w:rPr>
        <w:t>24</w:t>
      </w:r>
      <w:r>
        <w:rPr>
          <w:rFonts w:eastAsia="仿宋_GB2312"/>
          <w:color w:val="auto"/>
          <w:sz w:val="28"/>
          <w:szCs w:val="28"/>
        </w:rPr>
        <w:t>日对估价对象进行了实地查勘，但估价人员对估价对象的现场查勘仅限于估价对象的外观和使用状况、内部布局、装修及设备情况，并未对估价对象做建筑物基础、房屋结构上的测量和实验，因此无法确认其内部有无缺损、是否存在结构性损坏。对被遮盖、未暴露及难以接触到的房屋结构部分及其内部设施、设备，本报告假设其无建筑物基础、房屋结构等方面的重大质量问题，符合国家有关技术、质量、验收规范，且符合国家有关安全使用标准。</w:t>
      </w:r>
    </w:p>
    <w:p>
      <w:pPr>
        <w:spacing w:line="600" w:lineRule="exact"/>
        <w:ind w:firstLine="562" w:firstLineChars="200"/>
        <w:rPr>
          <w:rFonts w:eastAsia="仿宋_GB2312"/>
          <w:b/>
          <w:color w:val="auto"/>
          <w:sz w:val="28"/>
          <w:szCs w:val="28"/>
        </w:rPr>
      </w:pPr>
      <w:r>
        <w:rPr>
          <w:rFonts w:eastAsia="仿宋_GB2312"/>
          <w:b/>
          <w:color w:val="auto"/>
          <w:sz w:val="28"/>
          <w:szCs w:val="28"/>
        </w:rPr>
        <w:t>2.未定事项假设</w:t>
      </w:r>
    </w:p>
    <w:p>
      <w:pPr>
        <w:spacing w:line="600" w:lineRule="exact"/>
        <w:ind w:firstLine="560" w:firstLineChars="200"/>
        <w:rPr>
          <w:rFonts w:eastAsia="仿宋_GB2312"/>
          <w:bCs/>
          <w:color w:val="auto"/>
          <w:sz w:val="28"/>
          <w:szCs w:val="28"/>
        </w:rPr>
      </w:pPr>
      <w:r>
        <w:rPr>
          <w:rFonts w:hint="eastAsia" w:eastAsia="仿宋_GB2312"/>
          <w:bCs/>
          <w:color w:val="auto"/>
          <w:sz w:val="28"/>
          <w:szCs w:val="28"/>
        </w:rPr>
        <w:t>无未定事项假设。</w:t>
      </w:r>
    </w:p>
    <w:p>
      <w:pPr>
        <w:spacing w:line="600" w:lineRule="exact"/>
        <w:ind w:firstLine="562" w:firstLineChars="200"/>
        <w:rPr>
          <w:rFonts w:eastAsia="仿宋_GB2312"/>
          <w:b/>
          <w:color w:val="auto"/>
          <w:sz w:val="28"/>
          <w:szCs w:val="28"/>
        </w:rPr>
      </w:pPr>
      <w:r>
        <w:rPr>
          <w:rFonts w:eastAsia="仿宋_GB2312"/>
          <w:b/>
          <w:color w:val="auto"/>
          <w:sz w:val="28"/>
          <w:szCs w:val="28"/>
        </w:rPr>
        <w:t>3.背离事实假设</w:t>
      </w:r>
    </w:p>
    <w:p>
      <w:pPr>
        <w:spacing w:line="600" w:lineRule="exact"/>
        <w:ind w:firstLine="560" w:firstLineChars="200"/>
        <w:rPr>
          <w:rFonts w:eastAsia="仿宋_GB2312"/>
          <w:color w:val="auto"/>
          <w:sz w:val="28"/>
          <w:szCs w:val="28"/>
        </w:rPr>
      </w:pPr>
      <w:r>
        <w:rPr>
          <w:rFonts w:eastAsia="仿宋_GB2312"/>
          <w:color w:val="auto"/>
          <w:sz w:val="28"/>
          <w:szCs w:val="28"/>
        </w:rPr>
        <w:t>根据</w:t>
      </w:r>
      <w:r>
        <w:rPr>
          <w:rFonts w:hint="eastAsia" w:eastAsia="仿宋_GB2312"/>
          <w:color w:val="auto"/>
          <w:sz w:val="28"/>
          <w:szCs w:val="28"/>
        </w:rPr>
        <w:t>委托方提供的</w:t>
      </w:r>
      <w:r>
        <w:rPr>
          <w:rFonts w:eastAsia="仿宋_GB2312"/>
          <w:color w:val="auto"/>
          <w:sz w:val="28"/>
          <w:szCs w:val="28"/>
        </w:rPr>
        <w:t>《</w:t>
      </w:r>
      <w:r>
        <w:rPr>
          <w:rFonts w:hint="eastAsia" w:eastAsia="仿宋_GB2312"/>
          <w:color w:val="auto"/>
          <w:sz w:val="28"/>
          <w:szCs w:val="28"/>
          <w:lang w:eastAsia="zh-CN"/>
        </w:rPr>
        <w:t>内蒙古五原县人民法院执行裁定书</w:t>
      </w:r>
      <w:r>
        <w:rPr>
          <w:rFonts w:eastAsia="仿宋_GB2312"/>
          <w:color w:val="auto"/>
          <w:sz w:val="28"/>
          <w:szCs w:val="28"/>
        </w:rPr>
        <w:t>》</w:t>
      </w:r>
      <w:r>
        <w:rPr>
          <w:rFonts w:hint="eastAsia" w:eastAsia="仿宋_GB2312"/>
          <w:color w:val="auto"/>
          <w:sz w:val="28"/>
          <w:szCs w:val="28"/>
        </w:rPr>
        <w:t>可知</w:t>
      </w:r>
      <w:r>
        <w:rPr>
          <w:rFonts w:eastAsia="仿宋_GB2312"/>
          <w:color w:val="auto"/>
          <w:sz w:val="28"/>
          <w:szCs w:val="28"/>
        </w:rPr>
        <w:t>，待估对象存在查封情况。根据《房地产估价规范》（GB/T50291-2015）第5.4条：“房地产司法拍卖估价时，评估价值的影响因素应包括拍卖房地产的瑕疵，但不应包括拍卖房地产被查封及拍卖房地产上原有的担保物权和其他优先受偿权。”故本次评估未考虑其查封情况。</w:t>
      </w:r>
    </w:p>
    <w:p>
      <w:pPr>
        <w:spacing w:line="600" w:lineRule="exact"/>
        <w:ind w:firstLine="562" w:firstLineChars="200"/>
        <w:rPr>
          <w:rFonts w:eastAsia="仿宋_GB2312"/>
          <w:b/>
          <w:color w:val="auto"/>
          <w:sz w:val="28"/>
          <w:szCs w:val="28"/>
        </w:rPr>
      </w:pPr>
      <w:r>
        <w:rPr>
          <w:rFonts w:eastAsia="仿宋_GB2312"/>
          <w:b/>
          <w:color w:val="auto"/>
          <w:sz w:val="28"/>
          <w:szCs w:val="28"/>
        </w:rPr>
        <w:t>4.不相一致假设</w:t>
      </w:r>
    </w:p>
    <w:p>
      <w:pPr>
        <w:spacing w:line="600" w:lineRule="exact"/>
        <w:ind w:firstLine="560" w:firstLineChars="200"/>
        <w:rPr>
          <w:rFonts w:eastAsia="仿宋_GB2312"/>
          <w:color w:val="auto"/>
          <w:sz w:val="28"/>
          <w:szCs w:val="28"/>
        </w:rPr>
      </w:pPr>
      <w:r>
        <w:rPr>
          <w:rFonts w:hint="eastAsia" w:eastAsia="仿宋_GB2312"/>
          <w:color w:val="auto"/>
          <w:sz w:val="28"/>
          <w:szCs w:val="28"/>
        </w:rPr>
        <w:t>无不相一致假设。</w:t>
      </w:r>
    </w:p>
    <w:p>
      <w:pPr>
        <w:spacing w:line="600" w:lineRule="exact"/>
        <w:ind w:firstLine="562" w:firstLineChars="200"/>
        <w:rPr>
          <w:rFonts w:eastAsia="仿宋_GB2312"/>
          <w:b/>
          <w:color w:val="auto"/>
          <w:sz w:val="28"/>
          <w:szCs w:val="28"/>
        </w:rPr>
      </w:pPr>
      <w:r>
        <w:rPr>
          <w:rFonts w:eastAsia="仿宋_GB2312"/>
          <w:b/>
          <w:color w:val="auto"/>
          <w:sz w:val="28"/>
          <w:szCs w:val="28"/>
        </w:rPr>
        <w:t>5.依据不足假设</w:t>
      </w:r>
    </w:p>
    <w:p>
      <w:pPr>
        <w:spacing w:line="540" w:lineRule="exact"/>
        <w:ind w:firstLine="560" w:firstLineChars="200"/>
        <w:rPr>
          <w:rFonts w:ascii="仿宋_GB2312" w:hAnsi="仿宋" w:eastAsia="仿宋_GB2312"/>
          <w:color w:val="auto"/>
          <w:sz w:val="28"/>
          <w:szCs w:val="28"/>
        </w:rPr>
      </w:pPr>
      <w:r>
        <w:rPr>
          <w:rFonts w:hint="eastAsia" w:ascii="仿宋_GB2312" w:hAnsi="仿宋" w:eastAsia="仿宋_GB2312"/>
          <w:color w:val="auto"/>
          <w:sz w:val="28"/>
          <w:szCs w:val="28"/>
        </w:rPr>
        <w:t>（1）委托方未能提供待估房产所占用土地的权属证明，故此处假设本次评估结果成立前提条件之一为待估对象的土地权属无争议，并且委托方享有按其建筑面积所应分摊土地资产的使用权所带来的收益。</w:t>
      </w:r>
    </w:p>
    <w:p>
      <w:pPr>
        <w:spacing w:line="540" w:lineRule="exact"/>
        <w:ind w:firstLine="560" w:firstLineChars="200"/>
        <w:rPr>
          <w:rFonts w:ascii="仿宋_GB2312" w:hAnsi="仿宋" w:eastAsia="仿宋_GB2312"/>
          <w:color w:val="auto"/>
          <w:sz w:val="28"/>
          <w:szCs w:val="28"/>
        </w:rPr>
      </w:pPr>
      <w:r>
        <w:rPr>
          <w:rFonts w:hint="eastAsia" w:ascii="仿宋_GB2312" w:hAnsi="仿宋" w:eastAsia="仿宋_GB2312"/>
          <w:color w:val="auto"/>
          <w:sz w:val="28"/>
          <w:szCs w:val="28"/>
        </w:rPr>
        <w:t>（2）委托方未能提供该房地产建成时间的证明文件，经估价师现场踏勘、多方询问，该房地产建成于</w:t>
      </w:r>
      <w:r>
        <w:rPr>
          <w:rFonts w:hint="eastAsia" w:ascii="仿宋_GB2312" w:hAnsi="仿宋" w:eastAsia="仿宋_GB2312"/>
          <w:color w:val="auto"/>
          <w:sz w:val="28"/>
          <w:szCs w:val="28"/>
          <w:lang w:val="en-US" w:eastAsia="zh-CN"/>
        </w:rPr>
        <w:t>2010</w:t>
      </w:r>
      <w:r>
        <w:rPr>
          <w:rFonts w:hint="eastAsia" w:ascii="仿宋_GB2312" w:hAnsi="仿宋" w:eastAsia="仿宋_GB2312"/>
          <w:color w:val="auto"/>
          <w:sz w:val="28"/>
          <w:szCs w:val="28"/>
        </w:rPr>
        <w:t>年，故此处假设该房地产建成于</w:t>
      </w:r>
      <w:r>
        <w:rPr>
          <w:rFonts w:hint="eastAsia" w:ascii="仿宋_GB2312" w:hAnsi="仿宋" w:eastAsia="仿宋_GB2312"/>
          <w:color w:val="auto"/>
          <w:sz w:val="28"/>
          <w:szCs w:val="28"/>
          <w:lang w:val="en-US" w:eastAsia="zh-CN"/>
        </w:rPr>
        <w:t>2010</w:t>
      </w:r>
      <w:r>
        <w:rPr>
          <w:rFonts w:hint="eastAsia" w:ascii="仿宋_GB2312" w:hAnsi="仿宋" w:eastAsia="仿宋_GB2312"/>
          <w:color w:val="auto"/>
          <w:sz w:val="28"/>
          <w:szCs w:val="28"/>
        </w:rPr>
        <w:t>年，如上述情况发生变化，估价结果须做相应调整。</w:t>
      </w:r>
    </w:p>
    <w:p>
      <w:pPr>
        <w:spacing w:line="600" w:lineRule="exact"/>
        <w:ind w:firstLine="562" w:firstLineChars="200"/>
        <w:rPr>
          <w:rFonts w:eastAsia="仿宋_GB2312"/>
          <w:b/>
          <w:color w:val="auto"/>
          <w:sz w:val="28"/>
          <w:szCs w:val="28"/>
        </w:rPr>
      </w:pPr>
      <w:r>
        <w:rPr>
          <w:rFonts w:eastAsia="仿宋_GB2312"/>
          <w:b/>
          <w:color w:val="auto"/>
          <w:sz w:val="28"/>
          <w:szCs w:val="28"/>
        </w:rPr>
        <w:t>6.估价报告使用限制</w:t>
      </w:r>
    </w:p>
    <w:p>
      <w:pPr>
        <w:spacing w:line="600" w:lineRule="exact"/>
        <w:ind w:firstLine="560" w:firstLineChars="200"/>
        <w:rPr>
          <w:rFonts w:eastAsia="仿宋_GB2312"/>
          <w:color w:val="auto"/>
          <w:sz w:val="28"/>
          <w:szCs w:val="28"/>
        </w:rPr>
      </w:pPr>
      <w:r>
        <w:rPr>
          <w:rFonts w:eastAsia="仿宋_GB2312"/>
          <w:color w:val="auto"/>
          <w:sz w:val="28"/>
          <w:szCs w:val="28"/>
        </w:rPr>
        <w:t>（1）</w:t>
      </w:r>
      <w:r>
        <w:rPr>
          <w:rFonts w:eastAsia="仿宋_GB2312"/>
          <w:bCs/>
          <w:color w:val="auto"/>
          <w:sz w:val="28"/>
          <w:szCs w:val="28"/>
        </w:rPr>
        <w:t>本估价报告书仅为</w:t>
      </w:r>
      <w:r>
        <w:rPr>
          <w:rFonts w:eastAsia="仿宋_GB2312"/>
          <w:color w:val="auto"/>
          <w:sz w:val="28"/>
          <w:szCs w:val="28"/>
        </w:rPr>
        <w:t>房地产</w:t>
      </w:r>
      <w:r>
        <w:rPr>
          <w:rFonts w:hint="eastAsia" w:eastAsia="仿宋_GB2312"/>
          <w:color w:val="auto"/>
          <w:sz w:val="28"/>
          <w:szCs w:val="28"/>
          <w:lang w:eastAsia="zh-CN"/>
        </w:rPr>
        <w:t>司法拍卖</w:t>
      </w:r>
      <w:r>
        <w:rPr>
          <w:rFonts w:eastAsia="仿宋_GB2312"/>
          <w:bCs/>
          <w:color w:val="auto"/>
          <w:sz w:val="28"/>
          <w:szCs w:val="28"/>
        </w:rPr>
        <w:t>提供参考依据，</w:t>
      </w:r>
      <w:r>
        <w:rPr>
          <w:rFonts w:eastAsia="仿宋_GB2312"/>
          <w:color w:val="auto"/>
          <w:sz w:val="28"/>
          <w:szCs w:val="28"/>
        </w:rPr>
        <w:t>不作其他估价目的之用。如果估价条件或目的发生变化，估价报告需做相应调整。</w:t>
      </w:r>
    </w:p>
    <w:p>
      <w:pPr>
        <w:spacing w:line="600" w:lineRule="exact"/>
        <w:ind w:firstLine="560" w:firstLineChars="200"/>
        <w:rPr>
          <w:rFonts w:eastAsia="仿宋_GB2312"/>
          <w:color w:val="auto"/>
          <w:sz w:val="28"/>
          <w:szCs w:val="28"/>
        </w:rPr>
      </w:pPr>
      <w:r>
        <w:rPr>
          <w:rFonts w:eastAsia="仿宋_GB2312"/>
          <w:color w:val="auto"/>
          <w:sz w:val="28"/>
          <w:szCs w:val="28"/>
        </w:rPr>
        <w:t>（2）未经本估价机构书面同意，本报告的全部或任何一部分均不得向估价委托人、报告使用者、报告审查部门之外的单位和个人提供，也不得以任何形式公开发表。</w:t>
      </w:r>
    </w:p>
    <w:p>
      <w:pPr>
        <w:spacing w:line="600" w:lineRule="exact"/>
        <w:ind w:firstLine="560" w:firstLineChars="200"/>
        <w:rPr>
          <w:rFonts w:eastAsia="仿宋_GB2312"/>
          <w:color w:val="auto"/>
          <w:sz w:val="28"/>
          <w:szCs w:val="28"/>
        </w:rPr>
      </w:pPr>
      <w:r>
        <w:rPr>
          <w:rFonts w:eastAsia="仿宋_GB2312"/>
          <w:color w:val="auto"/>
          <w:sz w:val="28"/>
          <w:szCs w:val="28"/>
        </w:rPr>
        <w:t>（3）本报告必须完整使用方为有效，对仅使用本报告中部分内容而导致可能的损失，本估价机构不承担责任。</w:t>
      </w:r>
    </w:p>
    <w:p>
      <w:pPr>
        <w:spacing w:line="600" w:lineRule="exact"/>
        <w:ind w:firstLine="560" w:firstLineChars="200"/>
        <w:rPr>
          <w:rFonts w:eastAsia="仿宋_GB2312"/>
          <w:color w:val="auto"/>
          <w:sz w:val="28"/>
          <w:szCs w:val="28"/>
        </w:rPr>
      </w:pPr>
      <w:r>
        <w:rPr>
          <w:rFonts w:eastAsia="仿宋_GB2312"/>
          <w:color w:val="auto"/>
          <w:sz w:val="28"/>
          <w:szCs w:val="28"/>
        </w:rPr>
        <w:t>（4）本次估价结果受价值时点的限制，且本估价报告使用期限自估价报告出具之日二0一</w:t>
      </w:r>
      <w:r>
        <w:rPr>
          <w:rFonts w:hint="eastAsia" w:eastAsia="仿宋_GB2312"/>
          <w:color w:val="auto"/>
          <w:sz w:val="28"/>
          <w:szCs w:val="28"/>
          <w:lang w:eastAsia="zh-CN"/>
        </w:rPr>
        <w:t>九</w:t>
      </w:r>
      <w:r>
        <w:rPr>
          <w:rFonts w:eastAsia="仿宋_GB2312"/>
          <w:color w:val="auto"/>
          <w:sz w:val="28"/>
          <w:szCs w:val="28"/>
        </w:rPr>
        <w:t>年</w:t>
      </w:r>
      <w:r>
        <w:rPr>
          <w:rFonts w:hint="eastAsia" w:eastAsia="仿宋_GB2312"/>
          <w:color w:val="auto"/>
          <w:sz w:val="28"/>
          <w:szCs w:val="28"/>
          <w:lang w:eastAsia="zh-CN"/>
        </w:rPr>
        <w:t>二</w:t>
      </w:r>
      <w:r>
        <w:rPr>
          <w:rFonts w:eastAsia="仿宋_GB2312"/>
          <w:color w:val="auto"/>
          <w:sz w:val="28"/>
          <w:szCs w:val="28"/>
        </w:rPr>
        <w:t>月</w:t>
      </w:r>
      <w:r>
        <w:rPr>
          <w:rFonts w:hint="eastAsia" w:eastAsia="仿宋_GB2312"/>
          <w:color w:val="auto"/>
          <w:sz w:val="28"/>
          <w:szCs w:val="28"/>
          <w:lang w:eastAsia="zh-CN"/>
        </w:rPr>
        <w:t>二十八</w:t>
      </w:r>
      <w:r>
        <w:rPr>
          <w:rFonts w:eastAsia="仿宋_GB2312"/>
          <w:color w:val="auto"/>
          <w:sz w:val="28"/>
          <w:szCs w:val="28"/>
        </w:rPr>
        <w:t>日起为壹年。若报告使用期限内，房地产市场、建筑市场或估价对象自身状况发生重大变化，估价结果也需做相应调整或委托估价机构重新估价。</w:t>
      </w:r>
    </w:p>
    <w:p>
      <w:pPr>
        <w:spacing w:line="600" w:lineRule="exact"/>
        <w:ind w:firstLine="560" w:firstLineChars="200"/>
        <w:rPr>
          <w:rFonts w:eastAsia="仿宋_GB2312"/>
          <w:color w:val="auto"/>
          <w:sz w:val="28"/>
          <w:szCs w:val="28"/>
        </w:rPr>
      </w:pPr>
      <w:r>
        <w:rPr>
          <w:rFonts w:eastAsia="仿宋_GB2312"/>
          <w:color w:val="auto"/>
          <w:sz w:val="28"/>
          <w:szCs w:val="28"/>
        </w:rPr>
        <w:t>（5）本次估价结果是指在目前房地产市场状况下、估价对象在现状利用条件下的房地产市场价值，包括国有土地使用权价值和与房屋有关的土建、安装、装饰装修及室外附属工程价值，不包括可移动的家具、电器等物品价值。</w:t>
      </w:r>
    </w:p>
    <w:p>
      <w:pPr>
        <w:spacing w:line="480" w:lineRule="exact"/>
        <w:ind w:firstLine="560" w:firstLineChars="200"/>
        <w:rPr>
          <w:rFonts w:eastAsia="仿宋_GB2312"/>
          <w:color w:val="auto"/>
          <w:sz w:val="28"/>
          <w:szCs w:val="28"/>
        </w:rPr>
        <w:sectPr>
          <w:headerReference r:id="rId11" w:type="first"/>
          <w:headerReference r:id="rId9" w:type="default"/>
          <w:footerReference r:id="rId12" w:type="default"/>
          <w:headerReference r:id="rId10" w:type="even"/>
          <w:footerReference r:id="rId13" w:type="even"/>
          <w:pgSz w:w="11906" w:h="16838"/>
          <w:pgMar w:top="1814" w:right="1247" w:bottom="1418" w:left="1701" w:header="1417" w:footer="737" w:gutter="0"/>
          <w:cols w:space="720" w:num="1"/>
          <w:docGrid w:linePitch="286" w:charSpace="0"/>
        </w:sectPr>
      </w:pPr>
    </w:p>
    <w:p>
      <w:pPr>
        <w:pStyle w:val="2"/>
        <w:spacing w:line="600" w:lineRule="exact"/>
        <w:rPr>
          <w:color w:val="auto"/>
          <w:szCs w:val="28"/>
        </w:rPr>
      </w:pPr>
      <w:bookmarkStart w:id="10" w:name="_Toc297196349"/>
      <w:bookmarkStart w:id="11" w:name="_Toc257051888"/>
      <w:bookmarkStart w:id="12" w:name="_Toc301369712"/>
      <w:bookmarkStart w:id="13" w:name="_Toc521268500"/>
      <w:bookmarkStart w:id="14" w:name="_Toc297122054"/>
      <w:bookmarkStart w:id="15" w:name="_Toc367869494"/>
      <w:bookmarkStart w:id="16" w:name="_Toc135016170"/>
      <w:bookmarkStart w:id="17" w:name="_Toc254875137"/>
      <w:bookmarkStart w:id="18" w:name="_Toc130033720"/>
      <w:bookmarkStart w:id="19" w:name="_Toc270691065"/>
      <w:bookmarkStart w:id="20" w:name="_Toc254860123"/>
      <w:bookmarkStart w:id="21" w:name="_Toc269132866"/>
      <w:bookmarkStart w:id="22" w:name="_Toc243111712"/>
      <w:bookmarkStart w:id="23" w:name="_Toc243111683"/>
      <w:r>
        <w:rPr>
          <w:color w:val="auto"/>
          <w:szCs w:val="28"/>
        </w:rPr>
        <w:t>三、估价结果报告</w:t>
      </w:r>
      <w:bookmarkEnd w:id="10"/>
      <w:bookmarkEnd w:id="11"/>
      <w:bookmarkEnd w:id="12"/>
      <w:bookmarkEnd w:id="13"/>
      <w:bookmarkEnd w:id="14"/>
      <w:bookmarkEnd w:id="15"/>
    </w:p>
    <w:bookmarkEnd w:id="16"/>
    <w:bookmarkEnd w:id="17"/>
    <w:bookmarkEnd w:id="18"/>
    <w:bookmarkEnd w:id="19"/>
    <w:bookmarkEnd w:id="20"/>
    <w:bookmarkEnd w:id="21"/>
    <w:bookmarkEnd w:id="22"/>
    <w:bookmarkEnd w:id="23"/>
    <w:p>
      <w:pPr>
        <w:pStyle w:val="3"/>
        <w:spacing w:before="0" w:after="0" w:line="560" w:lineRule="exact"/>
        <w:ind w:right="420" w:firstLine="562"/>
        <w:rPr>
          <w:rFonts w:ascii="Times New Roman" w:hAnsi="Times New Roman"/>
          <w:color w:val="auto"/>
        </w:rPr>
      </w:pPr>
      <w:bookmarkStart w:id="24" w:name="_Toc521268501"/>
      <w:bookmarkStart w:id="25" w:name="_Toc367869495"/>
      <w:bookmarkStart w:id="26" w:name="_Toc301369713"/>
      <w:bookmarkStart w:id="27" w:name="_Toc299005654"/>
      <w:bookmarkStart w:id="28" w:name="_Toc243111728"/>
      <w:bookmarkStart w:id="29" w:name="_Toc301369583"/>
      <w:bookmarkStart w:id="30" w:name="_Toc94587045"/>
      <w:bookmarkStart w:id="31" w:name="_Toc243111699"/>
      <w:bookmarkStart w:id="32" w:name="_Toc301369729"/>
      <w:bookmarkStart w:id="33" w:name="_Toc299007139"/>
      <w:bookmarkStart w:id="34" w:name="_Toc94587103"/>
      <w:bookmarkStart w:id="35" w:name="_Toc269132882"/>
      <w:bookmarkStart w:id="36" w:name="_Toc135016185"/>
      <w:bookmarkStart w:id="37" w:name="_Toc299006852"/>
      <w:bookmarkStart w:id="38" w:name="_Toc298936729"/>
      <w:bookmarkStart w:id="39" w:name="_Toc270691081"/>
      <w:bookmarkStart w:id="40" w:name="_Toc298936786"/>
      <w:bookmarkStart w:id="41" w:name="_Toc254860139"/>
      <w:bookmarkStart w:id="42" w:name="_Toc367869511"/>
      <w:bookmarkStart w:id="43" w:name="_Toc254860169"/>
      <w:bookmarkStart w:id="44" w:name="_Toc254875153"/>
      <w:bookmarkStart w:id="45" w:name="_Toc299004833"/>
      <w:r>
        <w:rPr>
          <w:rFonts w:ascii="Times New Roman" w:hAnsi="Times New Roman"/>
          <w:color w:val="auto"/>
        </w:rPr>
        <w:t>（一）估价委托人</w:t>
      </w:r>
      <w:bookmarkEnd w:id="24"/>
      <w:bookmarkEnd w:id="25"/>
      <w:bookmarkEnd w:id="26"/>
    </w:p>
    <w:p>
      <w:pPr>
        <w:spacing w:line="540" w:lineRule="exact"/>
        <w:ind w:firstLine="560" w:firstLineChars="200"/>
        <w:rPr>
          <w:rFonts w:hint="eastAsia" w:ascii="仿宋_GB2312" w:hAnsi="仿宋" w:eastAsia="仿宋_GB2312"/>
          <w:color w:val="auto"/>
          <w:sz w:val="28"/>
          <w:szCs w:val="28"/>
          <w:lang w:eastAsia="zh-CN"/>
        </w:rPr>
      </w:pPr>
      <w:bookmarkStart w:id="46" w:name="_Toc270691066"/>
      <w:bookmarkStart w:id="47" w:name="_Toc301369714"/>
      <w:bookmarkStart w:id="48" w:name="_Toc254875138"/>
      <w:bookmarkStart w:id="49" w:name="_Toc367869496"/>
      <w:bookmarkStart w:id="50" w:name="_Toc130033721"/>
      <w:bookmarkStart w:id="51" w:name="_Toc135016171"/>
      <w:bookmarkStart w:id="52" w:name="_Toc254860124"/>
      <w:bookmarkStart w:id="53" w:name="_Toc269132867"/>
      <w:bookmarkStart w:id="54" w:name="_Toc243111684"/>
      <w:bookmarkStart w:id="55" w:name="_Toc243111713"/>
      <w:bookmarkStart w:id="56" w:name="_Toc521268502"/>
      <w:r>
        <w:rPr>
          <w:rFonts w:hint="eastAsia" w:ascii="仿宋_GB2312" w:hAnsi="仿宋" w:eastAsia="仿宋_GB2312"/>
          <w:color w:val="auto"/>
          <w:sz w:val="28"/>
          <w:szCs w:val="28"/>
        </w:rPr>
        <w:t>1、委托人：</w:t>
      </w:r>
      <w:r>
        <w:rPr>
          <w:rFonts w:hint="eastAsia" w:ascii="仿宋_GB2312" w:hAnsi="仿宋" w:eastAsia="仿宋_GB2312"/>
          <w:color w:val="auto"/>
          <w:sz w:val="28"/>
          <w:szCs w:val="28"/>
          <w:lang w:eastAsia="zh-CN"/>
        </w:rPr>
        <w:t>内蒙古五原县人民法院</w:t>
      </w:r>
    </w:p>
    <w:p>
      <w:pPr>
        <w:spacing w:line="540" w:lineRule="exact"/>
        <w:ind w:firstLine="560" w:firstLineChars="200"/>
        <w:rPr>
          <w:rFonts w:hint="eastAsia" w:ascii="仿宋_GB2312" w:hAnsi="仿宋" w:eastAsia="仿宋_GB2312"/>
          <w:color w:val="auto"/>
          <w:sz w:val="28"/>
          <w:szCs w:val="28"/>
          <w:lang w:eastAsia="zh-CN"/>
        </w:rPr>
      </w:pPr>
      <w:r>
        <w:rPr>
          <w:rFonts w:hint="eastAsia" w:ascii="仿宋_GB2312" w:hAnsi="仿宋" w:eastAsia="仿宋_GB2312"/>
          <w:color w:val="auto"/>
          <w:sz w:val="28"/>
          <w:szCs w:val="28"/>
        </w:rPr>
        <w:t xml:space="preserve">2、联系人： </w:t>
      </w:r>
      <w:r>
        <w:rPr>
          <w:rFonts w:hint="eastAsia" w:ascii="仿宋_GB2312" w:hAnsi="仿宋" w:eastAsia="仿宋_GB2312"/>
          <w:color w:val="auto"/>
          <w:sz w:val="28"/>
          <w:szCs w:val="28"/>
          <w:lang w:eastAsia="zh-CN"/>
        </w:rPr>
        <w:t>邓蕾</w:t>
      </w:r>
    </w:p>
    <w:p>
      <w:pPr>
        <w:spacing w:line="540" w:lineRule="exact"/>
        <w:ind w:firstLine="560" w:firstLineChars="200"/>
        <w:rPr>
          <w:rFonts w:hint="eastAsia" w:ascii="仿宋_GB2312" w:hAnsi="仿宋" w:eastAsia="仿宋_GB2312"/>
          <w:color w:val="auto"/>
          <w:sz w:val="28"/>
          <w:szCs w:val="28"/>
          <w:lang w:val="en-US" w:eastAsia="zh-CN"/>
        </w:rPr>
      </w:pPr>
      <w:r>
        <w:rPr>
          <w:rFonts w:hint="eastAsia" w:ascii="仿宋_GB2312" w:hAnsi="仿宋" w:eastAsia="仿宋_GB2312"/>
          <w:color w:val="auto"/>
          <w:sz w:val="28"/>
          <w:szCs w:val="28"/>
        </w:rPr>
        <w:t>3、联系电话：</w:t>
      </w:r>
      <w:r>
        <w:rPr>
          <w:rFonts w:hint="eastAsia" w:ascii="仿宋_GB2312" w:hAnsi="仿宋" w:eastAsia="仿宋_GB2312"/>
          <w:color w:val="auto"/>
          <w:sz w:val="28"/>
          <w:szCs w:val="28"/>
          <w:lang w:val="en-US" w:eastAsia="zh-CN"/>
        </w:rPr>
        <w:t>0478-5583381</w:t>
      </w:r>
    </w:p>
    <w:p>
      <w:pPr>
        <w:pStyle w:val="3"/>
        <w:spacing w:before="0" w:after="0" w:line="560" w:lineRule="exact"/>
        <w:ind w:firstLine="562"/>
        <w:rPr>
          <w:rFonts w:ascii="Times New Roman" w:hAnsi="Times New Roman"/>
          <w:color w:val="auto"/>
        </w:rPr>
      </w:pPr>
      <w:r>
        <w:rPr>
          <w:rFonts w:ascii="Times New Roman" w:hAnsi="Times New Roman"/>
          <w:color w:val="auto"/>
        </w:rPr>
        <w:t>（二）房地产估价</w:t>
      </w:r>
      <w:bookmarkEnd w:id="46"/>
      <w:bookmarkEnd w:id="47"/>
      <w:bookmarkEnd w:id="48"/>
      <w:bookmarkEnd w:id="49"/>
      <w:bookmarkEnd w:id="50"/>
      <w:bookmarkEnd w:id="51"/>
      <w:bookmarkEnd w:id="52"/>
      <w:bookmarkEnd w:id="53"/>
      <w:bookmarkEnd w:id="54"/>
      <w:bookmarkEnd w:id="55"/>
      <w:r>
        <w:rPr>
          <w:rFonts w:ascii="Times New Roman" w:hAnsi="Times New Roman"/>
          <w:color w:val="auto"/>
        </w:rPr>
        <w:t>机构</w:t>
      </w:r>
      <w:bookmarkEnd w:id="56"/>
    </w:p>
    <w:p>
      <w:pPr>
        <w:spacing w:line="560" w:lineRule="exact"/>
        <w:ind w:firstLine="560" w:firstLineChars="200"/>
        <w:rPr>
          <w:rFonts w:eastAsia="仿宋_GB2312"/>
          <w:color w:val="auto"/>
          <w:sz w:val="28"/>
          <w:szCs w:val="28"/>
        </w:rPr>
      </w:pPr>
      <w:bookmarkStart w:id="57" w:name="_Toc269132868"/>
      <w:bookmarkStart w:id="58" w:name="_Toc254860125"/>
      <w:bookmarkStart w:id="59" w:name="_Toc254875139"/>
      <w:bookmarkStart w:id="60" w:name="_Toc243111685"/>
      <w:bookmarkStart w:id="61" w:name="_Toc243111714"/>
      <w:bookmarkStart w:id="62" w:name="_Toc130033722"/>
      <w:bookmarkStart w:id="63" w:name="_Toc135016172"/>
      <w:bookmarkStart w:id="64" w:name="_Toc270691067"/>
      <w:r>
        <w:rPr>
          <w:rFonts w:eastAsia="仿宋_GB2312"/>
          <w:color w:val="auto"/>
          <w:sz w:val="28"/>
          <w:szCs w:val="28"/>
        </w:rPr>
        <w:t>房地产估价机构：内蒙古科瑞房地产土地资产评估有限公司</w:t>
      </w:r>
    </w:p>
    <w:p>
      <w:pPr>
        <w:adjustRightInd w:val="0"/>
        <w:snapToGrid w:val="0"/>
        <w:spacing w:line="560" w:lineRule="exact"/>
        <w:ind w:firstLine="560" w:firstLineChars="200"/>
        <w:rPr>
          <w:rFonts w:eastAsia="仿宋_GB2312"/>
          <w:color w:val="auto"/>
          <w:sz w:val="28"/>
          <w:szCs w:val="28"/>
        </w:rPr>
      </w:pPr>
      <w:r>
        <w:rPr>
          <w:rFonts w:eastAsia="仿宋_GB2312"/>
          <w:color w:val="auto"/>
          <w:sz w:val="28"/>
          <w:szCs w:val="28"/>
        </w:rPr>
        <w:t>法定代表人：赵闻科</w:t>
      </w:r>
    </w:p>
    <w:p>
      <w:pPr>
        <w:adjustRightInd w:val="0"/>
        <w:snapToGrid w:val="0"/>
        <w:spacing w:line="560" w:lineRule="exact"/>
        <w:ind w:firstLine="560" w:firstLineChars="200"/>
        <w:rPr>
          <w:rFonts w:eastAsia="仿宋_GB2312"/>
          <w:color w:val="auto"/>
          <w:sz w:val="28"/>
          <w:szCs w:val="28"/>
        </w:rPr>
      </w:pPr>
      <w:r>
        <w:rPr>
          <w:rFonts w:eastAsia="仿宋_GB2312"/>
          <w:color w:val="auto"/>
          <w:sz w:val="28"/>
          <w:szCs w:val="28"/>
        </w:rPr>
        <w:t>住所：呼市新城区丁香路10号兴诚花园东区办公园区</w:t>
      </w:r>
    </w:p>
    <w:p>
      <w:pPr>
        <w:adjustRightInd w:val="0"/>
        <w:snapToGrid w:val="0"/>
        <w:spacing w:line="560" w:lineRule="exact"/>
        <w:ind w:firstLine="560" w:firstLineChars="200"/>
        <w:rPr>
          <w:rFonts w:eastAsia="仿宋_GB2312"/>
          <w:color w:val="auto"/>
          <w:sz w:val="28"/>
          <w:szCs w:val="28"/>
        </w:rPr>
      </w:pPr>
      <w:r>
        <w:rPr>
          <w:rFonts w:eastAsia="仿宋_GB2312"/>
          <w:color w:val="auto"/>
          <w:sz w:val="28"/>
          <w:szCs w:val="28"/>
        </w:rPr>
        <w:t>资质等级：一级</w:t>
      </w:r>
    </w:p>
    <w:p>
      <w:pPr>
        <w:adjustRightInd w:val="0"/>
        <w:snapToGrid w:val="0"/>
        <w:spacing w:line="560" w:lineRule="exact"/>
        <w:ind w:firstLine="560" w:firstLineChars="200"/>
        <w:rPr>
          <w:rFonts w:eastAsia="仿宋_GB2312"/>
          <w:color w:val="auto"/>
          <w:sz w:val="28"/>
          <w:szCs w:val="28"/>
        </w:rPr>
      </w:pPr>
      <w:r>
        <w:rPr>
          <w:rFonts w:eastAsia="仿宋_GB2312"/>
          <w:color w:val="auto"/>
          <w:sz w:val="28"/>
          <w:szCs w:val="28"/>
        </w:rPr>
        <w:t>证书编号：内建房估证字[2016]第076号</w:t>
      </w:r>
    </w:p>
    <w:p>
      <w:pPr>
        <w:adjustRightInd w:val="0"/>
        <w:snapToGrid w:val="0"/>
        <w:spacing w:line="560" w:lineRule="exact"/>
        <w:ind w:firstLine="560" w:firstLineChars="200"/>
        <w:rPr>
          <w:rFonts w:eastAsia="仿宋_GB2312"/>
          <w:color w:val="auto"/>
          <w:sz w:val="28"/>
          <w:szCs w:val="28"/>
        </w:rPr>
      </w:pPr>
      <w:r>
        <w:rPr>
          <w:rFonts w:eastAsia="仿宋_GB2312"/>
          <w:color w:val="auto"/>
          <w:sz w:val="28"/>
          <w:szCs w:val="28"/>
        </w:rPr>
        <w:t>联系人：</w:t>
      </w:r>
      <w:r>
        <w:rPr>
          <w:rFonts w:hint="eastAsia" w:eastAsia="仿宋_GB2312"/>
          <w:color w:val="auto"/>
          <w:sz w:val="28"/>
          <w:szCs w:val="28"/>
        </w:rPr>
        <w:t>史敏</w:t>
      </w:r>
    </w:p>
    <w:p>
      <w:pPr>
        <w:spacing w:line="560" w:lineRule="exact"/>
        <w:ind w:firstLine="560"/>
        <w:rPr>
          <w:rFonts w:eastAsia="仿宋_GB2312"/>
          <w:color w:val="auto"/>
          <w:sz w:val="28"/>
          <w:szCs w:val="28"/>
        </w:rPr>
      </w:pPr>
      <w:r>
        <w:rPr>
          <w:rFonts w:eastAsia="仿宋_GB2312"/>
          <w:color w:val="auto"/>
          <w:sz w:val="28"/>
          <w:szCs w:val="28"/>
        </w:rPr>
        <w:t xml:space="preserve">联系电话： </w:t>
      </w:r>
      <w:r>
        <w:rPr>
          <w:rFonts w:hint="eastAsia" w:eastAsia="仿宋_GB2312"/>
          <w:color w:val="auto"/>
          <w:sz w:val="28"/>
          <w:szCs w:val="28"/>
        </w:rPr>
        <w:t>0478-8772659</w:t>
      </w:r>
    </w:p>
    <w:p>
      <w:pPr>
        <w:pStyle w:val="3"/>
        <w:spacing w:before="0" w:after="0" w:line="560" w:lineRule="exact"/>
        <w:ind w:firstLine="562"/>
        <w:rPr>
          <w:rFonts w:ascii="Times New Roman" w:hAnsi="Times New Roman"/>
          <w:color w:val="auto"/>
        </w:rPr>
      </w:pPr>
      <w:bookmarkStart w:id="65" w:name="_Toc521268503"/>
      <w:bookmarkStart w:id="66" w:name="_Toc301369715"/>
      <w:bookmarkStart w:id="67" w:name="_Toc367869497"/>
      <w:r>
        <w:rPr>
          <w:rFonts w:ascii="Times New Roman" w:hAnsi="Times New Roman"/>
          <w:color w:val="auto"/>
        </w:rPr>
        <w:t>（三）估价目的</w:t>
      </w:r>
      <w:bookmarkEnd w:id="65"/>
    </w:p>
    <w:p>
      <w:pPr>
        <w:adjustRightInd w:val="0"/>
        <w:snapToGrid w:val="0"/>
        <w:spacing w:line="560" w:lineRule="exact"/>
        <w:ind w:firstLine="560" w:firstLineChars="200"/>
        <w:rPr>
          <w:rFonts w:eastAsia="仿宋_GB2312"/>
          <w:color w:val="auto"/>
          <w:sz w:val="28"/>
          <w:szCs w:val="28"/>
        </w:rPr>
      </w:pPr>
      <w:r>
        <w:rPr>
          <w:rFonts w:eastAsia="仿宋_GB2312"/>
          <w:color w:val="auto"/>
          <w:sz w:val="28"/>
          <w:szCs w:val="28"/>
        </w:rPr>
        <w:t>委托方欲核实</w:t>
      </w:r>
      <w:r>
        <w:rPr>
          <w:rFonts w:hint="eastAsia" w:eastAsia="仿宋_GB2312"/>
          <w:color w:val="auto"/>
          <w:sz w:val="28"/>
          <w:szCs w:val="28"/>
        </w:rPr>
        <w:t>被申请人</w:t>
      </w:r>
      <w:r>
        <w:rPr>
          <w:rFonts w:hint="eastAsia" w:eastAsia="仿宋_GB2312"/>
          <w:color w:val="auto"/>
          <w:sz w:val="28"/>
          <w:szCs w:val="28"/>
          <w:lang w:eastAsia="zh-CN"/>
        </w:rPr>
        <w:t>燕飞龙、何翠娥</w:t>
      </w:r>
      <w:r>
        <w:rPr>
          <w:rFonts w:eastAsia="仿宋_GB2312"/>
          <w:color w:val="auto"/>
          <w:sz w:val="28"/>
          <w:szCs w:val="28"/>
        </w:rPr>
        <w:t>位于</w:t>
      </w:r>
      <w:r>
        <w:rPr>
          <w:rFonts w:hint="eastAsia" w:eastAsia="仿宋_GB2312"/>
          <w:color w:val="auto"/>
          <w:sz w:val="28"/>
          <w:szCs w:val="28"/>
          <w:lang w:eastAsia="zh-CN"/>
        </w:rPr>
        <w:t>五原县隆兴昌镇中意佳苑</w:t>
      </w:r>
      <w:r>
        <w:rPr>
          <w:rFonts w:hint="eastAsia" w:eastAsia="仿宋_GB2312"/>
          <w:color w:val="auto"/>
          <w:sz w:val="28"/>
          <w:szCs w:val="28"/>
          <w:lang w:val="en-US" w:eastAsia="zh-CN"/>
        </w:rPr>
        <w:t>2-4-941</w:t>
      </w:r>
      <w:r>
        <w:rPr>
          <w:rFonts w:eastAsia="仿宋_GB2312"/>
          <w:color w:val="auto"/>
          <w:sz w:val="28"/>
          <w:szCs w:val="28"/>
        </w:rPr>
        <w:t>住宅房地产市场价值，为委托方进行</w:t>
      </w:r>
      <w:r>
        <w:rPr>
          <w:rFonts w:hint="eastAsia" w:eastAsia="仿宋_GB2312"/>
          <w:color w:val="auto"/>
          <w:sz w:val="28"/>
          <w:szCs w:val="28"/>
          <w:lang w:eastAsia="zh-CN"/>
        </w:rPr>
        <w:t>司法拍卖</w:t>
      </w:r>
      <w:r>
        <w:rPr>
          <w:rFonts w:eastAsia="仿宋_GB2312"/>
          <w:color w:val="auto"/>
          <w:sz w:val="28"/>
          <w:szCs w:val="28"/>
        </w:rPr>
        <w:t>提供市场价格参考依据。</w:t>
      </w:r>
    </w:p>
    <w:p>
      <w:pPr>
        <w:pStyle w:val="3"/>
        <w:spacing w:before="0" w:after="0" w:line="600" w:lineRule="exact"/>
        <w:ind w:firstLine="562"/>
        <w:rPr>
          <w:rFonts w:ascii="Times New Roman" w:hAnsi="Times New Roman"/>
          <w:color w:val="auto"/>
        </w:rPr>
      </w:pPr>
      <w:bookmarkStart w:id="68" w:name="_Toc521268504"/>
      <w:r>
        <w:rPr>
          <w:rFonts w:ascii="Times New Roman" w:hAnsi="Times New Roman"/>
          <w:color w:val="auto"/>
        </w:rPr>
        <w:t>（四）估价对象</w:t>
      </w:r>
      <w:bookmarkEnd w:id="57"/>
      <w:bookmarkEnd w:id="58"/>
      <w:bookmarkEnd w:id="59"/>
      <w:bookmarkEnd w:id="60"/>
      <w:bookmarkEnd w:id="61"/>
      <w:bookmarkEnd w:id="62"/>
      <w:bookmarkEnd w:id="63"/>
      <w:bookmarkEnd w:id="64"/>
      <w:bookmarkEnd w:id="66"/>
      <w:bookmarkEnd w:id="67"/>
      <w:bookmarkEnd w:id="68"/>
    </w:p>
    <w:p>
      <w:pPr>
        <w:adjustRightInd w:val="0"/>
        <w:snapToGrid w:val="0"/>
        <w:spacing w:line="600" w:lineRule="exact"/>
        <w:ind w:firstLine="562" w:firstLineChars="200"/>
        <w:rPr>
          <w:rFonts w:eastAsia="仿宋_GB2312"/>
          <w:b/>
          <w:color w:val="auto"/>
          <w:sz w:val="28"/>
          <w:szCs w:val="28"/>
        </w:rPr>
      </w:pPr>
      <w:r>
        <w:rPr>
          <w:rFonts w:eastAsia="仿宋_GB2312"/>
          <w:b/>
          <w:color w:val="auto"/>
          <w:sz w:val="28"/>
          <w:szCs w:val="28"/>
        </w:rPr>
        <w:t>1.估价对象权利登记状况</w:t>
      </w:r>
    </w:p>
    <w:tbl>
      <w:tblPr>
        <w:tblStyle w:val="47"/>
        <w:tblW w:w="9460" w:type="dxa"/>
        <w:jc w:val="center"/>
        <w:tblInd w:w="0" w:type="dxa"/>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360"/>
        <w:gridCol w:w="1239"/>
        <w:gridCol w:w="2028"/>
        <w:gridCol w:w="1347"/>
        <w:gridCol w:w="814"/>
        <w:gridCol w:w="267"/>
        <w:gridCol w:w="810"/>
        <w:gridCol w:w="1595"/>
      </w:tblGrid>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449" w:hRule="atLeast"/>
          <w:jc w:val="center"/>
        </w:trPr>
        <w:tc>
          <w:tcPr>
            <w:tcW w:w="1360" w:type="dxa"/>
            <w:shd w:val="clear" w:color="auto" w:fill="auto"/>
            <w:vAlign w:val="center"/>
          </w:tcPr>
          <w:p>
            <w:pPr>
              <w:widowControl/>
              <w:jc w:val="center"/>
              <w:rPr>
                <w:rFonts w:ascii="仿宋_GB2312" w:hAnsi="仿宋" w:eastAsia="仿宋_GB2312" w:cs="宋体"/>
                <w:b/>
                <w:color w:val="auto"/>
                <w:kern w:val="0"/>
                <w:sz w:val="18"/>
                <w:szCs w:val="18"/>
              </w:rPr>
            </w:pPr>
            <w:r>
              <w:rPr>
                <w:rFonts w:hint="eastAsia" w:ascii="仿宋_GB2312" w:hAnsi="仿宋" w:eastAsia="仿宋_GB2312" w:cs="宋体"/>
                <w:b/>
                <w:color w:val="auto"/>
                <w:kern w:val="0"/>
                <w:sz w:val="18"/>
                <w:szCs w:val="18"/>
              </w:rPr>
              <w:t>房屋坐落</w:t>
            </w:r>
          </w:p>
        </w:tc>
        <w:tc>
          <w:tcPr>
            <w:tcW w:w="8100" w:type="dxa"/>
            <w:gridSpan w:val="7"/>
            <w:shd w:val="clear" w:color="auto" w:fill="auto"/>
            <w:noWrap/>
            <w:vAlign w:val="center"/>
          </w:tcPr>
          <w:p>
            <w:pPr>
              <w:widowControl/>
              <w:jc w:val="center"/>
              <w:rPr>
                <w:rFonts w:hint="eastAsia" w:ascii="仿宋_GB2312" w:hAnsi="仿宋" w:eastAsia="仿宋_GB2312" w:cs="宋体"/>
                <w:color w:val="auto"/>
                <w:kern w:val="0"/>
                <w:sz w:val="18"/>
                <w:szCs w:val="18"/>
                <w:lang w:val="en-US" w:eastAsia="zh-CN"/>
              </w:rPr>
            </w:pPr>
            <w:r>
              <w:rPr>
                <w:rFonts w:hint="eastAsia" w:ascii="仿宋_GB2312" w:hAnsi="仿宋" w:eastAsia="仿宋_GB2312" w:cs="宋体"/>
                <w:color w:val="auto"/>
                <w:kern w:val="0"/>
                <w:sz w:val="18"/>
                <w:szCs w:val="18"/>
              </w:rPr>
              <w:t>内蒙古自治区</w:t>
            </w:r>
            <w:r>
              <w:rPr>
                <w:rFonts w:hint="eastAsia" w:ascii="仿宋_GB2312" w:hAnsi="仿宋" w:eastAsia="仿宋_GB2312" w:cs="宋体"/>
                <w:color w:val="auto"/>
                <w:kern w:val="0"/>
                <w:sz w:val="18"/>
                <w:szCs w:val="18"/>
                <w:lang w:eastAsia="zh-CN"/>
              </w:rPr>
              <w:t>五原县隆兴昌镇中意佳苑</w:t>
            </w:r>
            <w:r>
              <w:rPr>
                <w:rFonts w:hint="eastAsia" w:ascii="仿宋_GB2312" w:hAnsi="仿宋" w:eastAsia="仿宋_GB2312" w:cs="宋体"/>
                <w:color w:val="auto"/>
                <w:kern w:val="0"/>
                <w:sz w:val="18"/>
                <w:szCs w:val="18"/>
                <w:lang w:val="en-US" w:eastAsia="zh-CN"/>
              </w:rPr>
              <w:t>2-4-941</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449" w:hRule="atLeast"/>
          <w:jc w:val="center"/>
        </w:trPr>
        <w:tc>
          <w:tcPr>
            <w:tcW w:w="1360" w:type="dxa"/>
            <w:shd w:val="clear" w:color="auto" w:fill="auto"/>
            <w:vAlign w:val="center"/>
          </w:tcPr>
          <w:p>
            <w:pPr>
              <w:widowControl/>
              <w:jc w:val="center"/>
              <w:rPr>
                <w:rFonts w:ascii="仿宋_GB2312" w:hAnsi="仿宋" w:eastAsia="仿宋_GB2312" w:cs="宋体"/>
                <w:b/>
                <w:color w:val="auto"/>
                <w:kern w:val="0"/>
                <w:sz w:val="18"/>
                <w:szCs w:val="18"/>
              </w:rPr>
            </w:pPr>
            <w:r>
              <w:rPr>
                <w:rFonts w:hint="eastAsia" w:ascii="仿宋_GB2312" w:hAnsi="仿宋" w:eastAsia="仿宋_GB2312" w:cs="宋体"/>
                <w:b/>
                <w:color w:val="auto"/>
                <w:kern w:val="0"/>
                <w:sz w:val="18"/>
                <w:szCs w:val="18"/>
              </w:rPr>
              <w:t>四至</w:t>
            </w:r>
          </w:p>
        </w:tc>
        <w:tc>
          <w:tcPr>
            <w:tcW w:w="8100" w:type="dxa"/>
            <w:gridSpan w:val="7"/>
            <w:shd w:val="clear" w:color="auto" w:fill="auto"/>
            <w:noWrap/>
            <w:vAlign w:val="center"/>
          </w:tcPr>
          <w:p>
            <w:pPr>
              <w:jc w:val="center"/>
              <w:rPr>
                <w:rFonts w:hint="eastAsia" w:ascii="仿宋_GB2312" w:hAnsi="仿宋" w:eastAsia="仿宋_GB2312" w:cs="宋体"/>
                <w:color w:val="auto"/>
                <w:kern w:val="0"/>
                <w:sz w:val="18"/>
                <w:szCs w:val="18"/>
                <w:lang w:eastAsia="zh-CN"/>
              </w:rPr>
            </w:pPr>
            <w:r>
              <w:rPr>
                <w:rFonts w:hint="eastAsia" w:ascii="仿宋_GB2312" w:hAnsi="仿宋" w:eastAsia="仿宋_GB2312" w:cs="宋体"/>
                <w:color w:val="auto"/>
                <w:kern w:val="0"/>
                <w:sz w:val="18"/>
                <w:szCs w:val="18"/>
              </w:rPr>
              <w:t>东至：</w:t>
            </w:r>
            <w:r>
              <w:rPr>
                <w:rFonts w:hint="eastAsia" w:ascii="仿宋_GB2312" w:hAnsi="仿宋" w:eastAsia="仿宋_GB2312" w:cs="宋体"/>
                <w:color w:val="auto"/>
                <w:kern w:val="0"/>
                <w:sz w:val="18"/>
                <w:szCs w:val="18"/>
                <w:lang w:eastAsia="zh-CN"/>
              </w:rPr>
              <w:t>中山北路</w:t>
            </w:r>
            <w:r>
              <w:rPr>
                <w:rFonts w:hint="eastAsia" w:ascii="仿宋_GB2312" w:hAnsi="仿宋" w:eastAsia="仿宋_GB2312" w:cs="宋体"/>
                <w:color w:val="auto"/>
                <w:kern w:val="0"/>
                <w:sz w:val="18"/>
                <w:szCs w:val="18"/>
              </w:rPr>
              <w:t xml:space="preserve">   南至：</w:t>
            </w:r>
            <w:r>
              <w:rPr>
                <w:rFonts w:hint="eastAsia" w:ascii="仿宋_GB2312" w:hAnsi="仿宋" w:eastAsia="仿宋_GB2312" w:cs="宋体"/>
                <w:color w:val="auto"/>
                <w:kern w:val="0"/>
                <w:sz w:val="18"/>
                <w:szCs w:val="18"/>
                <w:lang w:eastAsia="zh-CN"/>
              </w:rPr>
              <w:t>平房区</w:t>
            </w:r>
            <w:r>
              <w:rPr>
                <w:rFonts w:hint="eastAsia" w:ascii="仿宋_GB2312" w:hAnsi="仿宋" w:eastAsia="仿宋_GB2312" w:cs="宋体"/>
                <w:color w:val="auto"/>
                <w:kern w:val="0"/>
                <w:sz w:val="18"/>
                <w:szCs w:val="18"/>
              </w:rPr>
              <w:t xml:space="preserve">   西至：</w:t>
            </w:r>
            <w:r>
              <w:rPr>
                <w:rFonts w:hint="eastAsia" w:ascii="仿宋_GB2312" w:hAnsi="仿宋" w:eastAsia="仿宋_GB2312" w:cs="宋体"/>
                <w:color w:val="auto"/>
                <w:kern w:val="0"/>
                <w:sz w:val="18"/>
                <w:szCs w:val="18"/>
                <w:lang w:eastAsia="zh-CN"/>
              </w:rPr>
              <w:t>前进北路</w:t>
            </w:r>
            <w:r>
              <w:rPr>
                <w:rFonts w:hint="eastAsia" w:ascii="仿宋_GB2312" w:hAnsi="仿宋" w:eastAsia="仿宋_GB2312" w:cs="宋体"/>
                <w:color w:val="auto"/>
                <w:kern w:val="0"/>
                <w:sz w:val="18"/>
                <w:szCs w:val="18"/>
              </w:rPr>
              <w:t xml:space="preserve">   北至：</w:t>
            </w:r>
            <w:r>
              <w:rPr>
                <w:rFonts w:hint="eastAsia" w:ascii="仿宋_GB2312" w:hAnsi="仿宋" w:eastAsia="仿宋_GB2312" w:cs="宋体"/>
                <w:color w:val="auto"/>
                <w:kern w:val="0"/>
                <w:sz w:val="18"/>
                <w:szCs w:val="18"/>
                <w:lang w:eastAsia="zh-CN"/>
              </w:rPr>
              <w:t>红旗东路</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449" w:hRule="atLeast"/>
          <w:jc w:val="center"/>
        </w:trPr>
        <w:tc>
          <w:tcPr>
            <w:tcW w:w="1360" w:type="dxa"/>
            <w:shd w:val="clear" w:color="auto" w:fill="auto"/>
            <w:vAlign w:val="center"/>
          </w:tcPr>
          <w:p>
            <w:pPr>
              <w:widowControl/>
              <w:jc w:val="center"/>
              <w:rPr>
                <w:rFonts w:ascii="仿宋_GB2312" w:hAnsi="仿宋" w:eastAsia="仿宋_GB2312" w:cs="宋体"/>
                <w:b/>
                <w:color w:val="auto"/>
                <w:kern w:val="0"/>
                <w:sz w:val="18"/>
                <w:szCs w:val="18"/>
              </w:rPr>
            </w:pPr>
            <w:r>
              <w:rPr>
                <w:rFonts w:hint="eastAsia" w:ascii="仿宋_GB2312" w:hAnsi="仿宋" w:eastAsia="仿宋_GB2312" w:cs="宋体"/>
                <w:b/>
                <w:color w:val="auto"/>
                <w:kern w:val="0"/>
                <w:sz w:val="18"/>
                <w:szCs w:val="18"/>
              </w:rPr>
              <w:t>产权证件（名称及证号）</w:t>
            </w:r>
          </w:p>
        </w:tc>
        <w:tc>
          <w:tcPr>
            <w:tcW w:w="8100" w:type="dxa"/>
            <w:gridSpan w:val="7"/>
            <w:shd w:val="clear" w:color="auto" w:fill="auto"/>
            <w:noWrap/>
            <w:vAlign w:val="center"/>
          </w:tcPr>
          <w:p>
            <w:pPr>
              <w:widowControl/>
              <w:jc w:val="center"/>
              <w:rPr>
                <w:rFonts w:ascii="仿宋_GB2312" w:hAnsi="仿宋" w:eastAsia="仿宋_GB2312" w:cs="宋体"/>
                <w:color w:val="auto"/>
                <w:kern w:val="0"/>
                <w:sz w:val="18"/>
                <w:szCs w:val="18"/>
              </w:rPr>
            </w:pPr>
            <w:r>
              <w:rPr>
                <w:rFonts w:hint="eastAsia" w:ascii="仿宋_GB2312" w:hAnsi="仿宋" w:eastAsia="仿宋_GB2312" w:cs="宋体"/>
                <w:color w:val="auto"/>
                <w:kern w:val="0"/>
                <w:sz w:val="18"/>
                <w:szCs w:val="18"/>
              </w:rPr>
              <w:t>《</w:t>
            </w:r>
            <w:r>
              <w:rPr>
                <w:rFonts w:hint="eastAsia" w:ascii="仿宋_GB2312" w:hAnsi="仿宋" w:eastAsia="仿宋_GB2312" w:cs="宋体"/>
                <w:color w:val="auto"/>
                <w:kern w:val="0"/>
                <w:sz w:val="18"/>
                <w:szCs w:val="18"/>
                <w:lang w:eastAsia="zh-CN"/>
              </w:rPr>
              <w:t>房地产权属登记簿</w:t>
            </w:r>
            <w:r>
              <w:rPr>
                <w:rFonts w:hint="eastAsia" w:ascii="仿宋_GB2312" w:hAnsi="仿宋" w:eastAsia="仿宋_GB2312" w:cs="宋体"/>
                <w:color w:val="auto"/>
                <w:kern w:val="0"/>
                <w:sz w:val="18"/>
                <w:szCs w:val="18"/>
              </w:rPr>
              <w:t>》</w:t>
            </w:r>
            <w:r>
              <w:rPr>
                <w:rFonts w:hint="eastAsia" w:ascii="仿宋_GB2312" w:hAnsi="仿宋" w:eastAsia="仿宋_GB2312" w:cs="宋体"/>
                <w:color w:val="auto"/>
                <w:kern w:val="0"/>
                <w:sz w:val="18"/>
                <w:szCs w:val="18"/>
                <w:lang w:val="en-US" w:eastAsia="zh-CN"/>
              </w:rPr>
              <w:t>103021300731</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449" w:hRule="atLeast"/>
          <w:jc w:val="center"/>
        </w:trPr>
        <w:tc>
          <w:tcPr>
            <w:tcW w:w="1360" w:type="dxa"/>
            <w:shd w:val="clear" w:color="auto" w:fill="auto"/>
            <w:vAlign w:val="center"/>
          </w:tcPr>
          <w:p>
            <w:pPr>
              <w:widowControl/>
              <w:jc w:val="center"/>
              <w:rPr>
                <w:rFonts w:ascii="仿宋_GB2312" w:hAnsi="仿宋" w:eastAsia="仿宋_GB2312" w:cs="宋体"/>
                <w:b/>
                <w:color w:val="auto"/>
                <w:kern w:val="0"/>
                <w:sz w:val="18"/>
                <w:szCs w:val="18"/>
              </w:rPr>
            </w:pPr>
            <w:r>
              <w:rPr>
                <w:rFonts w:hint="eastAsia" w:ascii="仿宋_GB2312" w:hAnsi="仿宋" w:eastAsia="仿宋_GB2312" w:cs="宋体"/>
                <w:b/>
                <w:color w:val="auto"/>
                <w:kern w:val="0"/>
                <w:sz w:val="18"/>
                <w:szCs w:val="18"/>
              </w:rPr>
              <w:t>产权证书填发日期</w:t>
            </w:r>
          </w:p>
        </w:tc>
        <w:tc>
          <w:tcPr>
            <w:tcW w:w="3267" w:type="dxa"/>
            <w:gridSpan w:val="2"/>
            <w:shd w:val="clear" w:color="auto" w:fill="auto"/>
            <w:noWrap/>
            <w:vAlign w:val="center"/>
          </w:tcPr>
          <w:p>
            <w:pPr>
              <w:widowControl/>
              <w:jc w:val="center"/>
              <w:rPr>
                <w:rFonts w:hint="eastAsia" w:ascii="仿宋_GB2312" w:hAnsi="仿宋" w:eastAsia="仿宋_GB2312" w:cs="宋体"/>
                <w:color w:val="auto"/>
                <w:kern w:val="0"/>
                <w:sz w:val="18"/>
                <w:szCs w:val="18"/>
                <w:lang w:val="en-US" w:eastAsia="zh-CN"/>
              </w:rPr>
            </w:pPr>
            <w:r>
              <w:rPr>
                <w:rFonts w:hint="eastAsia" w:ascii="仿宋_GB2312" w:hAnsi="仿宋" w:eastAsia="仿宋_GB2312" w:cs="宋体"/>
                <w:color w:val="auto"/>
                <w:kern w:val="0"/>
                <w:sz w:val="18"/>
                <w:szCs w:val="18"/>
              </w:rPr>
              <w:t>201</w:t>
            </w:r>
            <w:r>
              <w:rPr>
                <w:rFonts w:hint="eastAsia" w:ascii="仿宋_GB2312" w:hAnsi="仿宋" w:eastAsia="仿宋_GB2312" w:cs="宋体"/>
                <w:color w:val="auto"/>
                <w:kern w:val="0"/>
                <w:sz w:val="18"/>
                <w:szCs w:val="18"/>
                <w:lang w:val="en-US" w:eastAsia="zh-CN"/>
              </w:rPr>
              <w:t>3</w:t>
            </w:r>
            <w:r>
              <w:rPr>
                <w:rFonts w:hint="eastAsia" w:ascii="仿宋_GB2312" w:hAnsi="仿宋" w:eastAsia="仿宋_GB2312" w:cs="宋体"/>
                <w:color w:val="auto"/>
                <w:kern w:val="0"/>
                <w:sz w:val="18"/>
                <w:szCs w:val="18"/>
              </w:rPr>
              <w:t>-</w:t>
            </w:r>
            <w:r>
              <w:rPr>
                <w:rFonts w:hint="eastAsia" w:ascii="仿宋_GB2312" w:hAnsi="仿宋" w:eastAsia="仿宋_GB2312" w:cs="宋体"/>
                <w:color w:val="auto"/>
                <w:kern w:val="0"/>
                <w:sz w:val="18"/>
                <w:szCs w:val="18"/>
                <w:lang w:val="en-US" w:eastAsia="zh-CN"/>
              </w:rPr>
              <w:t>08</w:t>
            </w:r>
            <w:r>
              <w:rPr>
                <w:rFonts w:hint="eastAsia" w:ascii="仿宋_GB2312" w:hAnsi="仿宋" w:eastAsia="仿宋_GB2312" w:cs="宋体"/>
                <w:color w:val="auto"/>
                <w:kern w:val="0"/>
                <w:sz w:val="18"/>
                <w:szCs w:val="18"/>
              </w:rPr>
              <w:t>-</w:t>
            </w:r>
            <w:r>
              <w:rPr>
                <w:rFonts w:hint="eastAsia" w:ascii="仿宋_GB2312" w:hAnsi="仿宋" w:eastAsia="仿宋_GB2312" w:cs="宋体"/>
                <w:color w:val="auto"/>
                <w:kern w:val="0"/>
                <w:sz w:val="18"/>
                <w:szCs w:val="18"/>
                <w:lang w:val="en-US" w:eastAsia="zh-CN"/>
              </w:rPr>
              <w:t>13</w:t>
            </w:r>
          </w:p>
        </w:tc>
        <w:tc>
          <w:tcPr>
            <w:tcW w:w="2161" w:type="dxa"/>
            <w:gridSpan w:val="2"/>
            <w:shd w:val="clear" w:color="auto" w:fill="auto"/>
            <w:vAlign w:val="center"/>
          </w:tcPr>
          <w:p>
            <w:pPr>
              <w:widowControl/>
              <w:jc w:val="center"/>
              <w:rPr>
                <w:rFonts w:ascii="仿宋_GB2312" w:hAnsi="仿宋" w:eastAsia="仿宋_GB2312" w:cs="宋体"/>
                <w:color w:val="auto"/>
                <w:kern w:val="0"/>
                <w:sz w:val="18"/>
                <w:szCs w:val="18"/>
              </w:rPr>
            </w:pPr>
            <w:r>
              <w:rPr>
                <w:rFonts w:hint="eastAsia" w:ascii="仿宋_GB2312" w:hAnsi="仿宋" w:eastAsia="仿宋_GB2312" w:cs="宋体"/>
                <w:b/>
                <w:color w:val="auto"/>
                <w:kern w:val="0"/>
                <w:sz w:val="18"/>
                <w:szCs w:val="18"/>
              </w:rPr>
              <w:t>房屋所有权人</w:t>
            </w:r>
          </w:p>
        </w:tc>
        <w:tc>
          <w:tcPr>
            <w:tcW w:w="2672" w:type="dxa"/>
            <w:gridSpan w:val="3"/>
            <w:shd w:val="clear" w:color="auto" w:fill="auto"/>
            <w:vAlign w:val="center"/>
          </w:tcPr>
          <w:p>
            <w:pPr>
              <w:widowControl/>
              <w:jc w:val="center"/>
              <w:rPr>
                <w:rFonts w:hint="eastAsia" w:ascii="仿宋_GB2312" w:hAnsi="仿宋" w:eastAsia="仿宋_GB2312" w:cs="宋体"/>
                <w:color w:val="auto"/>
                <w:kern w:val="0"/>
                <w:sz w:val="18"/>
                <w:szCs w:val="18"/>
                <w:lang w:eastAsia="zh-CN"/>
              </w:rPr>
            </w:pPr>
            <w:r>
              <w:rPr>
                <w:rFonts w:hint="eastAsia" w:ascii="仿宋_GB2312" w:eastAsia="仿宋_GB2312"/>
                <w:color w:val="auto"/>
                <w:sz w:val="18"/>
                <w:szCs w:val="18"/>
                <w:lang w:eastAsia="zh-CN"/>
              </w:rPr>
              <w:t>燕飞龙、何翠娥</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449" w:hRule="atLeast"/>
          <w:jc w:val="center"/>
        </w:trPr>
        <w:tc>
          <w:tcPr>
            <w:tcW w:w="1360" w:type="dxa"/>
            <w:shd w:val="clear" w:color="auto" w:fill="auto"/>
            <w:vAlign w:val="center"/>
          </w:tcPr>
          <w:p>
            <w:pPr>
              <w:widowControl/>
              <w:jc w:val="center"/>
              <w:rPr>
                <w:rFonts w:ascii="仿宋_GB2312" w:hAnsi="仿宋" w:eastAsia="仿宋_GB2312" w:cs="宋体"/>
                <w:b/>
                <w:color w:val="auto"/>
                <w:kern w:val="0"/>
                <w:sz w:val="18"/>
                <w:szCs w:val="18"/>
              </w:rPr>
            </w:pPr>
            <w:r>
              <w:rPr>
                <w:rFonts w:hint="eastAsia" w:ascii="仿宋_GB2312" w:hAnsi="仿宋" w:eastAsia="仿宋_GB2312" w:cs="宋体"/>
                <w:b/>
                <w:color w:val="auto"/>
                <w:kern w:val="0"/>
                <w:sz w:val="18"/>
                <w:szCs w:val="18"/>
              </w:rPr>
              <w:t>共有情况</w:t>
            </w:r>
          </w:p>
        </w:tc>
        <w:tc>
          <w:tcPr>
            <w:tcW w:w="1239" w:type="dxa"/>
            <w:shd w:val="clear" w:color="auto" w:fill="auto"/>
            <w:noWrap/>
            <w:vAlign w:val="center"/>
          </w:tcPr>
          <w:p>
            <w:pPr>
              <w:widowControl/>
              <w:jc w:val="center"/>
              <w:rPr>
                <w:rFonts w:hint="eastAsia" w:ascii="仿宋_GB2312" w:hAnsi="仿宋" w:eastAsia="仿宋_GB2312" w:cs="宋体"/>
                <w:color w:val="auto"/>
                <w:kern w:val="0"/>
                <w:sz w:val="18"/>
                <w:szCs w:val="18"/>
                <w:lang w:eastAsia="zh-CN"/>
              </w:rPr>
            </w:pPr>
            <w:r>
              <w:rPr>
                <w:rFonts w:hint="eastAsia" w:ascii="仿宋_GB2312" w:hAnsi="仿宋" w:eastAsia="仿宋_GB2312" w:cs="宋体"/>
                <w:color w:val="auto"/>
                <w:kern w:val="0"/>
                <w:sz w:val="18"/>
                <w:szCs w:val="18"/>
                <w:lang w:eastAsia="zh-CN"/>
              </w:rPr>
              <w:t>共同共有</w:t>
            </w:r>
          </w:p>
        </w:tc>
        <w:tc>
          <w:tcPr>
            <w:tcW w:w="2028" w:type="dxa"/>
            <w:shd w:val="clear" w:color="auto" w:fill="auto"/>
            <w:noWrap/>
            <w:vAlign w:val="center"/>
          </w:tcPr>
          <w:p>
            <w:pPr>
              <w:widowControl/>
              <w:jc w:val="center"/>
              <w:rPr>
                <w:rFonts w:ascii="仿宋_GB2312" w:hAnsi="仿宋" w:eastAsia="仿宋_GB2312" w:cs="宋体"/>
                <w:b/>
                <w:color w:val="auto"/>
                <w:kern w:val="0"/>
                <w:sz w:val="18"/>
                <w:szCs w:val="18"/>
              </w:rPr>
            </w:pPr>
            <w:r>
              <w:rPr>
                <w:rFonts w:hint="eastAsia" w:ascii="仿宋_GB2312" w:hAnsi="仿宋" w:eastAsia="仿宋_GB2312" w:cs="宋体"/>
                <w:b/>
                <w:color w:val="auto"/>
                <w:kern w:val="0"/>
                <w:sz w:val="18"/>
                <w:szCs w:val="18"/>
              </w:rPr>
              <w:t>不动产单元号</w:t>
            </w:r>
          </w:p>
        </w:tc>
        <w:tc>
          <w:tcPr>
            <w:tcW w:w="2161" w:type="dxa"/>
            <w:gridSpan w:val="2"/>
            <w:shd w:val="clear" w:color="auto" w:fill="auto"/>
            <w:noWrap/>
            <w:vAlign w:val="center"/>
          </w:tcPr>
          <w:p>
            <w:pPr>
              <w:widowControl/>
              <w:jc w:val="center"/>
              <w:rPr>
                <w:rFonts w:ascii="仿宋_GB2312" w:hAnsi="仿宋" w:eastAsia="仿宋_GB2312" w:cs="宋体"/>
                <w:color w:val="auto"/>
                <w:kern w:val="0"/>
                <w:sz w:val="18"/>
                <w:szCs w:val="18"/>
              </w:rPr>
            </w:pPr>
            <w:r>
              <w:rPr>
                <w:rFonts w:hint="eastAsia" w:ascii="仿宋_GB2312" w:hAnsi="仿宋" w:eastAsia="仿宋_GB2312" w:cs="宋体"/>
                <w:color w:val="auto"/>
                <w:kern w:val="0"/>
                <w:sz w:val="18"/>
                <w:szCs w:val="18"/>
              </w:rPr>
              <w:t>--</w:t>
            </w:r>
          </w:p>
        </w:tc>
        <w:tc>
          <w:tcPr>
            <w:tcW w:w="1077" w:type="dxa"/>
            <w:gridSpan w:val="2"/>
            <w:shd w:val="clear" w:color="auto" w:fill="auto"/>
            <w:noWrap/>
            <w:vAlign w:val="center"/>
          </w:tcPr>
          <w:p>
            <w:pPr>
              <w:widowControl/>
              <w:jc w:val="center"/>
              <w:rPr>
                <w:rFonts w:ascii="仿宋_GB2312" w:hAnsi="仿宋" w:eastAsia="仿宋_GB2312" w:cs="宋体"/>
                <w:b/>
                <w:color w:val="auto"/>
                <w:kern w:val="0"/>
                <w:sz w:val="18"/>
                <w:szCs w:val="18"/>
              </w:rPr>
            </w:pPr>
            <w:r>
              <w:rPr>
                <w:rFonts w:hint="eastAsia" w:ascii="仿宋_GB2312" w:hAnsi="仿宋" w:eastAsia="仿宋_GB2312" w:cs="宋体"/>
                <w:b/>
                <w:color w:val="auto"/>
                <w:kern w:val="0"/>
                <w:sz w:val="18"/>
                <w:szCs w:val="18"/>
              </w:rPr>
              <w:t>房屋结构</w:t>
            </w:r>
          </w:p>
        </w:tc>
        <w:tc>
          <w:tcPr>
            <w:tcW w:w="1595" w:type="dxa"/>
            <w:shd w:val="clear" w:color="auto" w:fill="auto"/>
            <w:vAlign w:val="center"/>
          </w:tcPr>
          <w:p>
            <w:pPr>
              <w:widowControl/>
              <w:jc w:val="center"/>
              <w:rPr>
                <w:rFonts w:ascii="仿宋_GB2312" w:hAnsi="仿宋" w:eastAsia="仿宋_GB2312" w:cs="宋体"/>
                <w:color w:val="auto"/>
                <w:kern w:val="0"/>
                <w:sz w:val="18"/>
                <w:szCs w:val="18"/>
              </w:rPr>
            </w:pPr>
            <w:r>
              <w:rPr>
                <w:rFonts w:hint="eastAsia" w:ascii="仿宋_GB2312" w:hAnsi="仿宋" w:eastAsia="仿宋_GB2312" w:cs="宋体"/>
                <w:color w:val="auto"/>
                <w:kern w:val="0"/>
                <w:sz w:val="18"/>
                <w:szCs w:val="18"/>
                <w:lang w:eastAsia="zh-CN"/>
              </w:rPr>
              <w:t>砖</w:t>
            </w:r>
            <w:r>
              <w:rPr>
                <w:rFonts w:hint="eastAsia" w:ascii="仿宋_GB2312" w:hAnsi="仿宋" w:eastAsia="仿宋_GB2312" w:cs="宋体"/>
                <w:color w:val="auto"/>
                <w:kern w:val="0"/>
                <w:sz w:val="18"/>
                <w:szCs w:val="18"/>
              </w:rPr>
              <w:t>混</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449" w:hRule="atLeast"/>
          <w:jc w:val="center"/>
        </w:trPr>
        <w:tc>
          <w:tcPr>
            <w:tcW w:w="1360" w:type="dxa"/>
            <w:shd w:val="clear" w:color="auto" w:fill="auto"/>
            <w:vAlign w:val="center"/>
          </w:tcPr>
          <w:p>
            <w:pPr>
              <w:widowControl/>
              <w:jc w:val="center"/>
              <w:rPr>
                <w:rFonts w:ascii="仿宋_GB2312" w:hAnsi="仿宋" w:eastAsia="仿宋_GB2312" w:cs="宋体"/>
                <w:b/>
                <w:color w:val="auto"/>
                <w:kern w:val="0"/>
                <w:sz w:val="18"/>
                <w:szCs w:val="18"/>
              </w:rPr>
            </w:pPr>
            <w:r>
              <w:rPr>
                <w:rFonts w:hint="eastAsia" w:ascii="仿宋_GB2312" w:hAnsi="仿宋" w:eastAsia="仿宋_GB2312" w:cs="宋体"/>
                <w:b/>
                <w:color w:val="auto"/>
                <w:kern w:val="0"/>
                <w:sz w:val="18"/>
                <w:szCs w:val="18"/>
              </w:rPr>
              <w:t>房屋总层数</w:t>
            </w:r>
          </w:p>
        </w:tc>
        <w:tc>
          <w:tcPr>
            <w:tcW w:w="1239" w:type="dxa"/>
            <w:shd w:val="clear" w:color="auto" w:fill="auto"/>
            <w:noWrap/>
            <w:vAlign w:val="center"/>
          </w:tcPr>
          <w:p>
            <w:pPr>
              <w:widowControl/>
              <w:jc w:val="center"/>
              <w:rPr>
                <w:rFonts w:ascii="仿宋_GB2312" w:hAnsi="仿宋" w:eastAsia="仿宋_GB2312" w:cs="宋体"/>
                <w:color w:val="auto"/>
                <w:kern w:val="0"/>
                <w:sz w:val="18"/>
                <w:szCs w:val="18"/>
              </w:rPr>
            </w:pPr>
            <w:r>
              <w:rPr>
                <w:rFonts w:hint="eastAsia" w:ascii="仿宋_GB2312" w:hAnsi="仿宋" w:eastAsia="仿宋_GB2312" w:cs="宋体"/>
                <w:color w:val="auto"/>
                <w:kern w:val="0"/>
                <w:sz w:val="18"/>
                <w:szCs w:val="18"/>
                <w:lang w:val="en-US" w:eastAsia="zh-CN"/>
              </w:rPr>
              <w:t>11</w:t>
            </w:r>
            <w:r>
              <w:rPr>
                <w:rFonts w:hint="eastAsia" w:ascii="仿宋_GB2312" w:hAnsi="仿宋" w:eastAsia="仿宋_GB2312" w:cs="宋体"/>
                <w:color w:val="auto"/>
                <w:kern w:val="0"/>
                <w:sz w:val="18"/>
                <w:szCs w:val="18"/>
              </w:rPr>
              <w:t>层</w:t>
            </w:r>
          </w:p>
        </w:tc>
        <w:tc>
          <w:tcPr>
            <w:tcW w:w="2028" w:type="dxa"/>
            <w:shd w:val="clear" w:color="auto" w:fill="auto"/>
            <w:noWrap/>
            <w:vAlign w:val="center"/>
          </w:tcPr>
          <w:p>
            <w:pPr>
              <w:widowControl/>
              <w:jc w:val="center"/>
              <w:rPr>
                <w:rFonts w:ascii="仿宋_GB2312" w:hAnsi="仿宋" w:eastAsia="仿宋_GB2312" w:cs="宋体"/>
                <w:b/>
                <w:color w:val="auto"/>
                <w:kern w:val="0"/>
                <w:sz w:val="18"/>
                <w:szCs w:val="18"/>
              </w:rPr>
            </w:pPr>
            <w:r>
              <w:rPr>
                <w:rFonts w:hint="eastAsia" w:ascii="仿宋_GB2312" w:hAnsi="仿宋" w:eastAsia="仿宋_GB2312" w:cs="宋体"/>
                <w:b/>
                <w:color w:val="auto"/>
                <w:kern w:val="0"/>
                <w:sz w:val="18"/>
                <w:szCs w:val="18"/>
              </w:rPr>
              <w:t>所在层数</w:t>
            </w:r>
          </w:p>
        </w:tc>
        <w:tc>
          <w:tcPr>
            <w:tcW w:w="1347" w:type="dxa"/>
            <w:shd w:val="clear" w:color="auto" w:fill="auto"/>
            <w:noWrap/>
            <w:vAlign w:val="center"/>
          </w:tcPr>
          <w:p>
            <w:pPr>
              <w:widowControl/>
              <w:jc w:val="center"/>
              <w:rPr>
                <w:rFonts w:ascii="仿宋_GB2312" w:hAnsi="仿宋" w:eastAsia="仿宋_GB2312" w:cs="宋体"/>
                <w:color w:val="auto"/>
                <w:kern w:val="0"/>
                <w:sz w:val="18"/>
                <w:szCs w:val="18"/>
              </w:rPr>
            </w:pPr>
            <w:r>
              <w:rPr>
                <w:rFonts w:hint="eastAsia" w:ascii="仿宋_GB2312" w:hAnsi="仿宋" w:eastAsia="仿宋_GB2312" w:cs="宋体"/>
                <w:color w:val="auto"/>
                <w:kern w:val="0"/>
                <w:sz w:val="18"/>
                <w:szCs w:val="18"/>
                <w:lang w:val="en-US" w:eastAsia="zh-CN"/>
              </w:rPr>
              <w:t>9</w:t>
            </w:r>
            <w:r>
              <w:rPr>
                <w:rFonts w:hint="eastAsia" w:ascii="仿宋_GB2312" w:hAnsi="仿宋" w:eastAsia="仿宋_GB2312" w:cs="宋体"/>
                <w:color w:val="auto"/>
                <w:kern w:val="0"/>
                <w:sz w:val="18"/>
                <w:szCs w:val="18"/>
              </w:rPr>
              <w:t>层</w:t>
            </w:r>
          </w:p>
        </w:tc>
        <w:tc>
          <w:tcPr>
            <w:tcW w:w="1081" w:type="dxa"/>
            <w:gridSpan w:val="2"/>
            <w:shd w:val="clear" w:color="auto" w:fill="auto"/>
            <w:noWrap/>
            <w:vAlign w:val="center"/>
          </w:tcPr>
          <w:p>
            <w:pPr>
              <w:widowControl/>
              <w:jc w:val="center"/>
              <w:rPr>
                <w:rFonts w:ascii="仿宋_GB2312" w:hAnsi="仿宋" w:eastAsia="仿宋_GB2312" w:cs="宋体"/>
                <w:color w:val="auto"/>
                <w:kern w:val="0"/>
                <w:sz w:val="18"/>
                <w:szCs w:val="18"/>
              </w:rPr>
            </w:pPr>
            <w:r>
              <w:rPr>
                <w:rFonts w:hint="eastAsia" w:ascii="仿宋_GB2312" w:hAnsi="仿宋" w:eastAsia="仿宋_GB2312" w:cs="宋体"/>
                <w:b/>
                <w:color w:val="auto"/>
                <w:kern w:val="0"/>
                <w:sz w:val="18"/>
                <w:szCs w:val="18"/>
              </w:rPr>
              <w:t>建筑面积</w:t>
            </w:r>
            <w:r>
              <w:rPr>
                <w:rFonts w:hint="eastAsia" w:ascii="仿宋_GB2312" w:hAnsi="仿宋" w:eastAsia="仿宋_GB2312" w:cs="宋体"/>
                <w:color w:val="auto"/>
                <w:kern w:val="0"/>
                <w:sz w:val="18"/>
                <w:szCs w:val="18"/>
              </w:rPr>
              <w:t>(平方米)</w:t>
            </w:r>
          </w:p>
        </w:tc>
        <w:tc>
          <w:tcPr>
            <w:tcW w:w="2405" w:type="dxa"/>
            <w:gridSpan w:val="2"/>
            <w:shd w:val="clear" w:color="auto" w:fill="auto"/>
            <w:noWrap/>
            <w:vAlign w:val="center"/>
          </w:tcPr>
          <w:p>
            <w:pPr>
              <w:widowControl/>
              <w:jc w:val="center"/>
              <w:rPr>
                <w:rFonts w:hint="eastAsia" w:ascii="仿宋_GB2312" w:hAnsi="仿宋" w:eastAsia="仿宋_GB2312" w:cs="宋体"/>
                <w:color w:val="auto"/>
                <w:kern w:val="0"/>
                <w:sz w:val="18"/>
                <w:szCs w:val="18"/>
                <w:lang w:val="en-US" w:eastAsia="zh-CN"/>
              </w:rPr>
            </w:pPr>
            <w:r>
              <w:rPr>
                <w:rFonts w:hint="eastAsia" w:ascii="仿宋_GB2312" w:hAnsi="仿宋" w:eastAsia="仿宋_GB2312" w:cs="宋体"/>
                <w:color w:val="auto"/>
                <w:kern w:val="0"/>
                <w:sz w:val="18"/>
                <w:szCs w:val="18"/>
                <w:lang w:val="en-US" w:eastAsia="zh-CN"/>
              </w:rPr>
              <w:t>138.65</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449" w:hRule="atLeast"/>
          <w:jc w:val="center"/>
        </w:trPr>
        <w:tc>
          <w:tcPr>
            <w:tcW w:w="1360" w:type="dxa"/>
            <w:shd w:val="clear" w:color="auto" w:fill="auto"/>
            <w:vAlign w:val="center"/>
          </w:tcPr>
          <w:p>
            <w:pPr>
              <w:widowControl/>
              <w:jc w:val="center"/>
              <w:rPr>
                <w:rFonts w:ascii="仿宋_GB2312" w:hAnsi="仿宋" w:eastAsia="仿宋_GB2312" w:cs="宋体"/>
                <w:b/>
                <w:color w:val="auto"/>
                <w:kern w:val="0"/>
                <w:sz w:val="18"/>
                <w:szCs w:val="18"/>
              </w:rPr>
            </w:pPr>
            <w:r>
              <w:rPr>
                <w:rFonts w:hint="eastAsia" w:ascii="仿宋_GB2312" w:hAnsi="仿宋" w:eastAsia="仿宋_GB2312" w:cs="宋体"/>
                <w:b/>
                <w:color w:val="auto"/>
                <w:kern w:val="0"/>
                <w:sz w:val="18"/>
                <w:szCs w:val="18"/>
              </w:rPr>
              <w:t>建成年份</w:t>
            </w:r>
          </w:p>
        </w:tc>
        <w:tc>
          <w:tcPr>
            <w:tcW w:w="1239" w:type="dxa"/>
            <w:shd w:val="clear" w:color="auto" w:fill="auto"/>
            <w:noWrap/>
            <w:vAlign w:val="center"/>
          </w:tcPr>
          <w:p>
            <w:pPr>
              <w:widowControl/>
              <w:jc w:val="center"/>
              <w:rPr>
                <w:rFonts w:ascii="仿宋_GB2312" w:hAnsi="仿宋" w:eastAsia="仿宋_GB2312" w:cs="宋体"/>
                <w:color w:val="auto"/>
                <w:kern w:val="0"/>
                <w:sz w:val="18"/>
                <w:szCs w:val="18"/>
              </w:rPr>
            </w:pPr>
            <w:r>
              <w:rPr>
                <w:rFonts w:hint="eastAsia" w:ascii="仿宋_GB2312" w:hAnsi="仿宋" w:eastAsia="仿宋_GB2312" w:cs="宋体"/>
                <w:color w:val="auto"/>
                <w:kern w:val="0"/>
                <w:sz w:val="18"/>
                <w:szCs w:val="18"/>
                <w:lang w:val="en-US" w:eastAsia="zh-CN"/>
              </w:rPr>
              <w:t>2010</w:t>
            </w:r>
            <w:r>
              <w:rPr>
                <w:rFonts w:hint="eastAsia" w:ascii="仿宋_GB2312" w:hAnsi="仿宋" w:eastAsia="仿宋_GB2312" w:cs="宋体"/>
                <w:color w:val="auto"/>
                <w:kern w:val="0"/>
                <w:sz w:val="18"/>
                <w:szCs w:val="18"/>
              </w:rPr>
              <w:t>年</w:t>
            </w:r>
          </w:p>
        </w:tc>
        <w:tc>
          <w:tcPr>
            <w:tcW w:w="2028" w:type="dxa"/>
            <w:shd w:val="clear" w:color="auto" w:fill="auto"/>
            <w:noWrap/>
            <w:vAlign w:val="center"/>
          </w:tcPr>
          <w:p>
            <w:pPr>
              <w:widowControl/>
              <w:jc w:val="center"/>
              <w:rPr>
                <w:rFonts w:ascii="仿宋_GB2312" w:hAnsi="仿宋" w:eastAsia="仿宋_GB2312" w:cs="宋体"/>
                <w:b/>
                <w:color w:val="auto"/>
                <w:kern w:val="0"/>
                <w:sz w:val="18"/>
                <w:szCs w:val="18"/>
              </w:rPr>
            </w:pPr>
            <w:r>
              <w:rPr>
                <w:rFonts w:hint="eastAsia" w:ascii="仿宋_GB2312" w:hAnsi="仿宋" w:eastAsia="仿宋_GB2312" w:cs="宋体"/>
                <w:b/>
                <w:color w:val="auto"/>
                <w:kern w:val="0"/>
                <w:sz w:val="18"/>
                <w:szCs w:val="18"/>
              </w:rPr>
              <w:t>房屋设计用途</w:t>
            </w:r>
          </w:p>
        </w:tc>
        <w:tc>
          <w:tcPr>
            <w:tcW w:w="1347" w:type="dxa"/>
            <w:shd w:val="clear" w:color="auto" w:fill="auto"/>
            <w:noWrap/>
            <w:vAlign w:val="center"/>
          </w:tcPr>
          <w:p>
            <w:pPr>
              <w:widowControl/>
              <w:jc w:val="center"/>
              <w:rPr>
                <w:rFonts w:ascii="仿宋_GB2312" w:hAnsi="仿宋" w:eastAsia="仿宋_GB2312" w:cs="宋体"/>
                <w:color w:val="auto"/>
                <w:kern w:val="0"/>
                <w:sz w:val="18"/>
                <w:szCs w:val="18"/>
              </w:rPr>
            </w:pPr>
            <w:r>
              <w:rPr>
                <w:rFonts w:hint="eastAsia" w:ascii="仿宋_GB2312" w:hAnsi="仿宋" w:eastAsia="仿宋_GB2312" w:cs="宋体"/>
                <w:color w:val="auto"/>
                <w:kern w:val="0"/>
                <w:sz w:val="18"/>
                <w:szCs w:val="18"/>
              </w:rPr>
              <w:t>住宅</w:t>
            </w:r>
          </w:p>
        </w:tc>
        <w:tc>
          <w:tcPr>
            <w:tcW w:w="1081" w:type="dxa"/>
            <w:gridSpan w:val="2"/>
            <w:shd w:val="clear" w:color="auto" w:fill="auto"/>
            <w:noWrap/>
            <w:vAlign w:val="center"/>
          </w:tcPr>
          <w:p>
            <w:pPr>
              <w:widowControl/>
              <w:jc w:val="center"/>
              <w:rPr>
                <w:rFonts w:ascii="仿宋_GB2312" w:hAnsi="仿宋" w:eastAsia="仿宋_GB2312" w:cs="宋体"/>
                <w:b/>
                <w:color w:val="auto"/>
                <w:kern w:val="0"/>
                <w:sz w:val="18"/>
                <w:szCs w:val="18"/>
              </w:rPr>
            </w:pPr>
            <w:r>
              <w:rPr>
                <w:rFonts w:hint="eastAsia" w:ascii="仿宋_GB2312" w:hAnsi="仿宋" w:eastAsia="仿宋_GB2312" w:cs="宋体"/>
                <w:b/>
                <w:color w:val="auto"/>
                <w:kern w:val="0"/>
                <w:sz w:val="18"/>
                <w:szCs w:val="18"/>
              </w:rPr>
              <w:t>房屋实际用途</w:t>
            </w:r>
          </w:p>
        </w:tc>
        <w:tc>
          <w:tcPr>
            <w:tcW w:w="2405" w:type="dxa"/>
            <w:gridSpan w:val="2"/>
            <w:shd w:val="clear" w:color="auto" w:fill="auto"/>
            <w:vAlign w:val="center"/>
          </w:tcPr>
          <w:p>
            <w:pPr>
              <w:widowControl/>
              <w:jc w:val="center"/>
              <w:rPr>
                <w:rFonts w:ascii="仿宋_GB2312" w:hAnsi="仿宋" w:eastAsia="仿宋_GB2312" w:cs="宋体"/>
                <w:color w:val="auto"/>
                <w:kern w:val="0"/>
                <w:sz w:val="18"/>
                <w:szCs w:val="18"/>
              </w:rPr>
            </w:pPr>
            <w:r>
              <w:rPr>
                <w:rFonts w:hint="eastAsia" w:ascii="仿宋_GB2312" w:hAnsi="仿宋" w:eastAsia="仿宋_GB2312" w:cs="宋体"/>
                <w:color w:val="auto"/>
                <w:kern w:val="0"/>
                <w:sz w:val="18"/>
                <w:szCs w:val="18"/>
              </w:rPr>
              <w:t>住宅</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449" w:hRule="atLeast"/>
          <w:jc w:val="center"/>
        </w:trPr>
        <w:tc>
          <w:tcPr>
            <w:tcW w:w="1360" w:type="dxa"/>
            <w:shd w:val="clear" w:color="auto" w:fill="auto"/>
            <w:vAlign w:val="center"/>
          </w:tcPr>
          <w:p>
            <w:pPr>
              <w:widowControl/>
              <w:jc w:val="center"/>
              <w:rPr>
                <w:rFonts w:ascii="仿宋_GB2312" w:hAnsi="仿宋" w:eastAsia="仿宋_GB2312" w:cs="宋体"/>
                <w:b/>
                <w:color w:val="auto"/>
                <w:kern w:val="0"/>
                <w:sz w:val="18"/>
                <w:szCs w:val="18"/>
              </w:rPr>
            </w:pPr>
            <w:r>
              <w:rPr>
                <w:rFonts w:hint="eastAsia" w:ascii="仿宋_GB2312" w:hAnsi="仿宋" w:eastAsia="仿宋_GB2312" w:cs="宋体"/>
                <w:b/>
                <w:color w:val="auto"/>
                <w:kern w:val="0"/>
                <w:sz w:val="18"/>
                <w:szCs w:val="18"/>
              </w:rPr>
              <w:t>土地使用权类型</w:t>
            </w:r>
          </w:p>
        </w:tc>
        <w:tc>
          <w:tcPr>
            <w:tcW w:w="3267" w:type="dxa"/>
            <w:gridSpan w:val="2"/>
            <w:shd w:val="clear" w:color="auto" w:fill="auto"/>
            <w:noWrap/>
            <w:vAlign w:val="center"/>
          </w:tcPr>
          <w:p>
            <w:pPr>
              <w:widowControl/>
              <w:jc w:val="center"/>
              <w:rPr>
                <w:rFonts w:ascii="仿宋_GB2312" w:hAnsi="仿宋" w:eastAsia="仿宋_GB2312" w:cs="宋体"/>
                <w:b/>
                <w:color w:val="auto"/>
                <w:kern w:val="0"/>
                <w:sz w:val="18"/>
                <w:szCs w:val="18"/>
              </w:rPr>
            </w:pPr>
            <w:r>
              <w:rPr>
                <w:rFonts w:hint="eastAsia" w:ascii="仿宋_GB2312" w:hAnsi="仿宋" w:eastAsia="仿宋_GB2312" w:cs="宋体"/>
                <w:color w:val="auto"/>
                <w:kern w:val="0"/>
                <w:sz w:val="18"/>
                <w:szCs w:val="18"/>
              </w:rPr>
              <w:t>--</w:t>
            </w:r>
          </w:p>
        </w:tc>
        <w:tc>
          <w:tcPr>
            <w:tcW w:w="1347" w:type="dxa"/>
            <w:shd w:val="clear" w:color="auto" w:fill="auto"/>
            <w:noWrap/>
            <w:vAlign w:val="center"/>
          </w:tcPr>
          <w:p>
            <w:pPr>
              <w:widowControl/>
              <w:jc w:val="center"/>
              <w:rPr>
                <w:rFonts w:ascii="仿宋_GB2312" w:hAnsi="仿宋" w:eastAsia="仿宋_GB2312" w:cs="宋体"/>
                <w:b/>
                <w:color w:val="auto"/>
                <w:kern w:val="0"/>
                <w:sz w:val="18"/>
                <w:szCs w:val="18"/>
              </w:rPr>
            </w:pPr>
            <w:r>
              <w:rPr>
                <w:rFonts w:hint="eastAsia" w:ascii="仿宋_GB2312" w:hAnsi="仿宋" w:eastAsia="仿宋_GB2312" w:cs="宋体"/>
                <w:b/>
                <w:color w:val="auto"/>
                <w:kern w:val="0"/>
                <w:sz w:val="18"/>
                <w:szCs w:val="18"/>
              </w:rPr>
              <w:t>土地使用期限</w:t>
            </w:r>
          </w:p>
        </w:tc>
        <w:tc>
          <w:tcPr>
            <w:tcW w:w="3486" w:type="dxa"/>
            <w:gridSpan w:val="4"/>
            <w:shd w:val="clear" w:color="auto" w:fill="auto"/>
            <w:noWrap/>
            <w:vAlign w:val="center"/>
          </w:tcPr>
          <w:p>
            <w:pPr>
              <w:widowControl/>
              <w:jc w:val="center"/>
              <w:rPr>
                <w:rFonts w:ascii="仿宋_GB2312" w:hAnsi="仿宋" w:eastAsia="仿宋_GB2312" w:cs="宋体"/>
                <w:color w:val="auto"/>
                <w:kern w:val="0"/>
                <w:sz w:val="18"/>
                <w:szCs w:val="18"/>
              </w:rPr>
            </w:pPr>
            <w:r>
              <w:rPr>
                <w:rFonts w:hint="eastAsia" w:ascii="仿宋_GB2312" w:hAnsi="仿宋" w:eastAsia="仿宋_GB2312" w:cs="宋体"/>
                <w:color w:val="auto"/>
                <w:kern w:val="0"/>
                <w:sz w:val="18"/>
                <w:szCs w:val="18"/>
              </w:rPr>
              <w:t>--</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449" w:hRule="atLeast"/>
          <w:jc w:val="center"/>
        </w:trPr>
        <w:tc>
          <w:tcPr>
            <w:tcW w:w="1360" w:type="dxa"/>
            <w:shd w:val="clear" w:color="auto" w:fill="auto"/>
            <w:vAlign w:val="center"/>
          </w:tcPr>
          <w:p>
            <w:pPr>
              <w:widowControl/>
              <w:jc w:val="center"/>
              <w:rPr>
                <w:rFonts w:ascii="仿宋_GB2312" w:hAnsi="仿宋" w:eastAsia="仿宋_GB2312" w:cs="宋体"/>
                <w:b/>
                <w:color w:val="auto"/>
                <w:kern w:val="0"/>
                <w:sz w:val="18"/>
                <w:szCs w:val="18"/>
              </w:rPr>
            </w:pPr>
            <w:r>
              <w:rPr>
                <w:rFonts w:hint="eastAsia" w:ascii="仿宋_GB2312" w:hAnsi="仿宋" w:eastAsia="仿宋_GB2312" w:cs="宋体"/>
                <w:b/>
                <w:color w:val="auto"/>
                <w:kern w:val="0"/>
                <w:sz w:val="18"/>
                <w:szCs w:val="18"/>
              </w:rPr>
              <w:t>土地开发程度</w:t>
            </w:r>
          </w:p>
        </w:tc>
        <w:tc>
          <w:tcPr>
            <w:tcW w:w="3267" w:type="dxa"/>
            <w:gridSpan w:val="2"/>
            <w:shd w:val="clear" w:color="auto" w:fill="auto"/>
            <w:noWrap/>
            <w:vAlign w:val="center"/>
          </w:tcPr>
          <w:p>
            <w:pPr>
              <w:widowControl/>
              <w:jc w:val="center"/>
              <w:rPr>
                <w:rFonts w:ascii="仿宋_GB2312" w:hAnsi="仿宋" w:eastAsia="仿宋_GB2312" w:cs="宋体"/>
                <w:color w:val="auto"/>
                <w:kern w:val="0"/>
                <w:sz w:val="18"/>
                <w:szCs w:val="18"/>
              </w:rPr>
            </w:pPr>
            <w:r>
              <w:rPr>
                <w:rFonts w:hint="eastAsia" w:ascii="仿宋_GB2312" w:hAnsi="仿宋" w:eastAsia="仿宋_GB2312" w:cs="宋体"/>
                <w:color w:val="auto"/>
                <w:kern w:val="0"/>
                <w:sz w:val="18"/>
                <w:szCs w:val="18"/>
              </w:rPr>
              <w:t>七通</w:t>
            </w:r>
          </w:p>
        </w:tc>
        <w:tc>
          <w:tcPr>
            <w:tcW w:w="2428" w:type="dxa"/>
            <w:gridSpan w:val="3"/>
            <w:shd w:val="clear" w:color="auto" w:fill="auto"/>
            <w:noWrap/>
            <w:vAlign w:val="center"/>
          </w:tcPr>
          <w:p>
            <w:pPr>
              <w:widowControl/>
              <w:jc w:val="center"/>
              <w:rPr>
                <w:rFonts w:ascii="仿宋_GB2312" w:hAnsi="仿宋" w:eastAsia="仿宋_GB2312" w:cs="宋体"/>
                <w:b/>
                <w:color w:val="auto"/>
                <w:kern w:val="0"/>
                <w:sz w:val="18"/>
                <w:szCs w:val="18"/>
              </w:rPr>
            </w:pPr>
            <w:r>
              <w:rPr>
                <w:rFonts w:hint="eastAsia" w:ascii="仿宋_GB2312" w:hAnsi="仿宋" w:eastAsia="仿宋_GB2312" w:cs="宋体"/>
                <w:b/>
                <w:color w:val="auto"/>
                <w:kern w:val="0"/>
                <w:sz w:val="18"/>
                <w:szCs w:val="18"/>
              </w:rPr>
              <w:t>他项权利状况</w:t>
            </w:r>
          </w:p>
        </w:tc>
        <w:tc>
          <w:tcPr>
            <w:tcW w:w="2405" w:type="dxa"/>
            <w:gridSpan w:val="2"/>
            <w:shd w:val="clear" w:color="auto" w:fill="auto"/>
            <w:vAlign w:val="center"/>
          </w:tcPr>
          <w:p>
            <w:pPr>
              <w:widowControl/>
              <w:ind w:left="-122" w:leftChars="-58" w:right="-17" w:rightChars="-8"/>
              <w:jc w:val="center"/>
              <w:rPr>
                <w:rFonts w:ascii="仿宋_GB2312" w:hAnsi="仿宋" w:eastAsia="仿宋_GB2312" w:cs="宋体"/>
                <w:color w:val="auto"/>
                <w:kern w:val="0"/>
                <w:sz w:val="18"/>
                <w:szCs w:val="18"/>
              </w:rPr>
            </w:pPr>
            <w:r>
              <w:rPr>
                <w:rFonts w:hint="eastAsia" w:ascii="仿宋_GB2312" w:hAnsi="仿宋" w:eastAsia="仿宋_GB2312" w:cs="宋体"/>
                <w:color w:val="auto"/>
                <w:kern w:val="0"/>
                <w:sz w:val="18"/>
                <w:szCs w:val="18"/>
              </w:rPr>
              <w:t>□抵押 □租赁 □其它</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449" w:hRule="atLeast"/>
          <w:jc w:val="center"/>
        </w:trPr>
        <w:tc>
          <w:tcPr>
            <w:tcW w:w="1360" w:type="dxa"/>
            <w:shd w:val="clear" w:color="auto" w:fill="auto"/>
            <w:vAlign w:val="center"/>
          </w:tcPr>
          <w:p>
            <w:pPr>
              <w:widowControl/>
              <w:jc w:val="center"/>
              <w:rPr>
                <w:rFonts w:ascii="仿宋_GB2312" w:hAnsi="仿宋" w:eastAsia="仿宋_GB2312" w:cs="宋体"/>
                <w:b/>
                <w:color w:val="auto"/>
                <w:kern w:val="0"/>
                <w:sz w:val="18"/>
                <w:szCs w:val="18"/>
              </w:rPr>
            </w:pPr>
            <w:r>
              <w:rPr>
                <w:rFonts w:hint="eastAsia" w:ascii="仿宋_GB2312" w:hAnsi="仿宋" w:eastAsia="仿宋_GB2312" w:cs="宋体"/>
                <w:b/>
                <w:color w:val="auto"/>
                <w:kern w:val="0"/>
                <w:sz w:val="18"/>
                <w:szCs w:val="18"/>
              </w:rPr>
              <w:t>备    注</w:t>
            </w:r>
          </w:p>
        </w:tc>
        <w:tc>
          <w:tcPr>
            <w:tcW w:w="8100" w:type="dxa"/>
            <w:gridSpan w:val="7"/>
            <w:shd w:val="clear" w:color="auto" w:fill="auto"/>
            <w:vAlign w:val="center"/>
          </w:tcPr>
          <w:p>
            <w:pPr>
              <w:widowControl/>
              <w:jc w:val="center"/>
              <w:rPr>
                <w:rFonts w:ascii="仿宋_GB2312" w:hAnsi="仿宋" w:eastAsia="仿宋_GB2312" w:cs="宋体"/>
                <w:color w:val="auto"/>
                <w:kern w:val="0"/>
                <w:sz w:val="18"/>
                <w:szCs w:val="18"/>
              </w:rPr>
            </w:pPr>
            <w:r>
              <w:rPr>
                <w:rFonts w:hint="eastAsia" w:ascii="仿宋_GB2312" w:hAnsi="仿宋" w:eastAsia="仿宋_GB2312" w:cs="宋体"/>
                <w:color w:val="auto"/>
                <w:kern w:val="0"/>
                <w:sz w:val="18"/>
                <w:szCs w:val="18"/>
              </w:rPr>
              <w:t>--</w:t>
            </w:r>
          </w:p>
        </w:tc>
      </w:tr>
    </w:tbl>
    <w:p>
      <w:pPr>
        <w:adjustRightInd w:val="0"/>
        <w:snapToGrid w:val="0"/>
        <w:spacing w:beforeLines="50" w:line="360" w:lineRule="auto"/>
        <w:ind w:firstLine="562" w:firstLineChars="200"/>
        <w:rPr>
          <w:rFonts w:eastAsia="仿宋_GB2312"/>
          <w:b/>
          <w:color w:val="auto"/>
          <w:sz w:val="28"/>
          <w:szCs w:val="28"/>
        </w:rPr>
      </w:pPr>
      <w:r>
        <w:rPr>
          <w:rFonts w:eastAsia="仿宋_GB2312"/>
          <w:b/>
          <w:color w:val="auto"/>
          <w:sz w:val="28"/>
          <w:szCs w:val="28"/>
        </w:rPr>
        <w:t>2.估价对象基本情况</w:t>
      </w:r>
    </w:p>
    <w:tbl>
      <w:tblPr>
        <w:tblStyle w:val="47"/>
        <w:tblW w:w="9704" w:type="dxa"/>
        <w:jc w:val="center"/>
        <w:tblInd w:w="0" w:type="dxa"/>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630"/>
        <w:gridCol w:w="1295"/>
        <w:gridCol w:w="1498"/>
        <w:gridCol w:w="1184"/>
        <w:gridCol w:w="1091"/>
        <w:gridCol w:w="1184"/>
        <w:gridCol w:w="1822"/>
      </w:tblGrid>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72" w:hRule="atLeast"/>
          <w:jc w:val="center"/>
        </w:trPr>
        <w:tc>
          <w:tcPr>
            <w:tcW w:w="1630" w:type="dxa"/>
            <w:shd w:val="clear" w:color="auto" w:fill="auto"/>
            <w:noWrap/>
            <w:vAlign w:val="center"/>
          </w:tcPr>
          <w:p>
            <w:pPr>
              <w:widowControl/>
              <w:jc w:val="center"/>
              <w:rPr>
                <w:rFonts w:ascii="仿宋_GB2312" w:hAnsi="宋体" w:eastAsia="仿宋_GB2312"/>
                <w:b/>
                <w:color w:val="auto"/>
                <w:sz w:val="18"/>
                <w:szCs w:val="18"/>
              </w:rPr>
            </w:pPr>
            <w:r>
              <w:rPr>
                <w:rFonts w:hint="eastAsia" w:ascii="仿宋_GB2312" w:hAnsi="宋体" w:eastAsia="仿宋_GB2312"/>
                <w:b/>
                <w:color w:val="auto"/>
                <w:sz w:val="18"/>
                <w:szCs w:val="18"/>
              </w:rPr>
              <w:t>名称</w:t>
            </w:r>
          </w:p>
        </w:tc>
        <w:tc>
          <w:tcPr>
            <w:tcW w:w="2793" w:type="dxa"/>
            <w:gridSpan w:val="2"/>
            <w:shd w:val="clear" w:color="auto" w:fill="auto"/>
            <w:noWrap/>
            <w:vAlign w:val="center"/>
          </w:tcPr>
          <w:p>
            <w:pPr>
              <w:widowControl/>
              <w:jc w:val="center"/>
              <w:rPr>
                <w:rFonts w:hint="eastAsia" w:ascii="仿宋_GB2312" w:hAnsi="宋体" w:eastAsia="仿宋_GB2312"/>
                <w:color w:val="auto"/>
                <w:sz w:val="18"/>
                <w:szCs w:val="18"/>
                <w:lang w:eastAsia="zh-CN"/>
              </w:rPr>
            </w:pPr>
            <w:r>
              <w:rPr>
                <w:rFonts w:hint="eastAsia" w:ascii="仿宋_GB2312" w:hAnsi="宋体" w:eastAsia="仿宋_GB2312"/>
                <w:color w:val="auto"/>
                <w:sz w:val="18"/>
                <w:szCs w:val="18"/>
                <w:lang w:eastAsia="zh-CN"/>
              </w:rPr>
              <w:t>燕飞龙、何翠娥</w:t>
            </w:r>
          </w:p>
        </w:tc>
        <w:tc>
          <w:tcPr>
            <w:tcW w:w="1184" w:type="dxa"/>
            <w:shd w:val="clear" w:color="auto" w:fill="auto"/>
            <w:noWrap/>
            <w:vAlign w:val="center"/>
          </w:tcPr>
          <w:p>
            <w:pPr>
              <w:widowControl/>
              <w:jc w:val="center"/>
              <w:rPr>
                <w:rFonts w:ascii="仿宋_GB2312" w:hAnsi="宋体" w:eastAsia="仿宋_GB2312"/>
                <w:b/>
                <w:color w:val="auto"/>
                <w:sz w:val="18"/>
                <w:szCs w:val="18"/>
              </w:rPr>
            </w:pPr>
            <w:r>
              <w:rPr>
                <w:rFonts w:hint="eastAsia" w:ascii="仿宋_GB2312" w:hAnsi="宋体" w:eastAsia="仿宋_GB2312"/>
                <w:b/>
                <w:color w:val="auto"/>
                <w:sz w:val="18"/>
                <w:szCs w:val="18"/>
              </w:rPr>
              <w:t>规模</w:t>
            </w:r>
          </w:p>
        </w:tc>
        <w:tc>
          <w:tcPr>
            <w:tcW w:w="1091" w:type="dxa"/>
            <w:shd w:val="clear" w:color="auto" w:fill="auto"/>
            <w:noWrap/>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rPr>
              <w:t>较好</w:t>
            </w:r>
          </w:p>
        </w:tc>
        <w:tc>
          <w:tcPr>
            <w:tcW w:w="1184" w:type="dxa"/>
            <w:shd w:val="clear" w:color="auto" w:fill="auto"/>
            <w:noWrap/>
            <w:vAlign w:val="center"/>
          </w:tcPr>
          <w:p>
            <w:pPr>
              <w:widowControl/>
              <w:jc w:val="center"/>
              <w:rPr>
                <w:rFonts w:ascii="仿宋_GB2312" w:hAnsi="宋体" w:eastAsia="仿宋_GB2312"/>
                <w:b/>
                <w:color w:val="auto"/>
                <w:sz w:val="18"/>
                <w:szCs w:val="18"/>
              </w:rPr>
            </w:pPr>
            <w:r>
              <w:rPr>
                <w:rFonts w:hint="eastAsia" w:ascii="仿宋_GB2312" w:hAnsi="宋体" w:eastAsia="仿宋_GB2312"/>
                <w:b/>
                <w:color w:val="auto"/>
                <w:sz w:val="18"/>
                <w:szCs w:val="18"/>
              </w:rPr>
              <w:t>社区成熟度</w:t>
            </w:r>
          </w:p>
        </w:tc>
        <w:tc>
          <w:tcPr>
            <w:tcW w:w="1822" w:type="dxa"/>
            <w:shd w:val="clear" w:color="auto" w:fill="auto"/>
            <w:noWrap/>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rPr>
              <w:t>较好</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72" w:hRule="atLeast"/>
          <w:jc w:val="center"/>
        </w:trPr>
        <w:tc>
          <w:tcPr>
            <w:tcW w:w="1630" w:type="dxa"/>
            <w:shd w:val="clear" w:color="auto" w:fill="auto"/>
            <w:noWrap/>
            <w:vAlign w:val="center"/>
          </w:tcPr>
          <w:p>
            <w:pPr>
              <w:widowControl/>
              <w:jc w:val="center"/>
              <w:rPr>
                <w:rFonts w:ascii="仿宋_GB2312" w:hAnsi="宋体" w:eastAsia="仿宋_GB2312"/>
                <w:b/>
                <w:color w:val="auto"/>
                <w:sz w:val="18"/>
                <w:szCs w:val="18"/>
              </w:rPr>
            </w:pPr>
            <w:r>
              <w:rPr>
                <w:rFonts w:hint="eastAsia" w:ascii="仿宋_GB2312" w:hAnsi="宋体" w:eastAsia="仿宋_GB2312"/>
                <w:b/>
                <w:color w:val="auto"/>
                <w:sz w:val="18"/>
                <w:szCs w:val="18"/>
              </w:rPr>
              <w:t>环境</w:t>
            </w:r>
          </w:p>
        </w:tc>
        <w:tc>
          <w:tcPr>
            <w:tcW w:w="2793" w:type="dxa"/>
            <w:gridSpan w:val="2"/>
            <w:shd w:val="clear" w:color="auto" w:fill="auto"/>
            <w:noWrap/>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rPr>
              <w:t>较好</w:t>
            </w:r>
          </w:p>
        </w:tc>
        <w:tc>
          <w:tcPr>
            <w:tcW w:w="1184" w:type="dxa"/>
            <w:shd w:val="clear" w:color="auto" w:fill="auto"/>
            <w:noWrap/>
            <w:vAlign w:val="center"/>
          </w:tcPr>
          <w:p>
            <w:pPr>
              <w:widowControl/>
              <w:jc w:val="center"/>
              <w:rPr>
                <w:rFonts w:ascii="仿宋_GB2312" w:hAnsi="宋体" w:eastAsia="仿宋_GB2312"/>
                <w:b/>
                <w:color w:val="auto"/>
                <w:sz w:val="18"/>
                <w:szCs w:val="18"/>
              </w:rPr>
            </w:pPr>
            <w:r>
              <w:rPr>
                <w:rFonts w:hint="eastAsia" w:ascii="仿宋_GB2312" w:hAnsi="宋体" w:eastAsia="仿宋_GB2312"/>
                <w:b/>
                <w:color w:val="auto"/>
                <w:sz w:val="18"/>
                <w:szCs w:val="18"/>
              </w:rPr>
              <w:t>绿地率</w:t>
            </w:r>
          </w:p>
        </w:tc>
        <w:tc>
          <w:tcPr>
            <w:tcW w:w="1091" w:type="dxa"/>
            <w:shd w:val="clear" w:color="auto" w:fill="auto"/>
            <w:noWrap/>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1184" w:type="dxa"/>
            <w:shd w:val="clear" w:color="auto" w:fill="auto"/>
            <w:noWrap/>
            <w:vAlign w:val="center"/>
          </w:tcPr>
          <w:p>
            <w:pPr>
              <w:widowControl/>
              <w:jc w:val="center"/>
              <w:rPr>
                <w:rFonts w:ascii="仿宋_GB2312" w:hAnsi="宋体" w:eastAsia="仿宋_GB2312"/>
                <w:b/>
                <w:color w:val="auto"/>
                <w:sz w:val="18"/>
                <w:szCs w:val="18"/>
              </w:rPr>
            </w:pPr>
            <w:r>
              <w:rPr>
                <w:rFonts w:hint="eastAsia" w:ascii="仿宋_GB2312" w:hAnsi="宋体" w:eastAsia="仿宋_GB2312"/>
                <w:b/>
                <w:color w:val="auto"/>
                <w:sz w:val="18"/>
                <w:szCs w:val="18"/>
              </w:rPr>
              <w:t>停车状况</w:t>
            </w:r>
          </w:p>
        </w:tc>
        <w:tc>
          <w:tcPr>
            <w:tcW w:w="1822" w:type="dxa"/>
            <w:shd w:val="clear" w:color="auto" w:fill="auto"/>
            <w:vAlign w:val="center"/>
          </w:tcPr>
          <w:p>
            <w:pPr>
              <w:widowControl/>
              <w:jc w:val="center"/>
              <w:rPr>
                <w:rFonts w:ascii="仿宋_GB2312" w:hAnsi="宋体" w:eastAsia="仿宋_GB2312"/>
                <w:color w:val="auto"/>
                <w:sz w:val="18"/>
                <w:szCs w:val="18"/>
              </w:rPr>
            </w:pPr>
            <w:r>
              <w:rPr>
                <w:rFonts w:eastAsia="仿宋_GB2312"/>
                <w:color w:val="auto"/>
                <w:sz w:val="18"/>
                <w:szCs w:val="18"/>
              </w:rPr>
              <w:t>地上停车位</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72" w:hRule="atLeast"/>
          <w:jc w:val="center"/>
        </w:trPr>
        <w:tc>
          <w:tcPr>
            <w:tcW w:w="1630" w:type="dxa"/>
            <w:shd w:val="clear" w:color="auto" w:fill="auto"/>
            <w:noWrap/>
            <w:vAlign w:val="center"/>
          </w:tcPr>
          <w:p>
            <w:pPr>
              <w:widowControl/>
              <w:jc w:val="center"/>
              <w:rPr>
                <w:rFonts w:ascii="仿宋_GB2312" w:hAnsi="宋体" w:eastAsia="仿宋_GB2312"/>
                <w:b/>
                <w:color w:val="auto"/>
                <w:sz w:val="18"/>
                <w:szCs w:val="18"/>
              </w:rPr>
            </w:pPr>
            <w:r>
              <w:rPr>
                <w:rFonts w:hint="eastAsia" w:ascii="仿宋_GB2312" w:hAnsi="宋体" w:eastAsia="仿宋_GB2312"/>
                <w:b/>
                <w:color w:val="auto"/>
                <w:sz w:val="18"/>
                <w:szCs w:val="18"/>
              </w:rPr>
              <w:t>物业管理公司</w:t>
            </w:r>
          </w:p>
        </w:tc>
        <w:tc>
          <w:tcPr>
            <w:tcW w:w="2793" w:type="dxa"/>
            <w:gridSpan w:val="2"/>
            <w:shd w:val="clear" w:color="auto" w:fill="auto"/>
            <w:noWrap/>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1184" w:type="dxa"/>
            <w:shd w:val="clear" w:color="auto" w:fill="auto"/>
            <w:noWrap/>
            <w:vAlign w:val="center"/>
          </w:tcPr>
          <w:p>
            <w:pPr>
              <w:widowControl/>
              <w:jc w:val="center"/>
              <w:rPr>
                <w:rFonts w:ascii="仿宋_GB2312" w:hAnsi="宋体" w:eastAsia="仿宋_GB2312"/>
                <w:b/>
                <w:color w:val="auto"/>
                <w:sz w:val="18"/>
                <w:szCs w:val="18"/>
              </w:rPr>
            </w:pPr>
            <w:r>
              <w:rPr>
                <w:rFonts w:hint="eastAsia" w:ascii="仿宋_GB2312" w:hAnsi="宋体" w:eastAsia="仿宋_GB2312"/>
                <w:b/>
                <w:color w:val="auto"/>
                <w:sz w:val="18"/>
                <w:szCs w:val="18"/>
              </w:rPr>
              <w:t>管理形式</w:t>
            </w:r>
          </w:p>
        </w:tc>
        <w:tc>
          <w:tcPr>
            <w:tcW w:w="1091" w:type="dxa"/>
            <w:shd w:val="clear" w:color="auto" w:fill="auto"/>
            <w:noWrap/>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rPr>
              <w:t>开放</w:t>
            </w:r>
          </w:p>
        </w:tc>
        <w:tc>
          <w:tcPr>
            <w:tcW w:w="1184" w:type="dxa"/>
            <w:shd w:val="clear" w:color="auto" w:fill="auto"/>
            <w:noWrap/>
            <w:vAlign w:val="center"/>
          </w:tcPr>
          <w:p>
            <w:pPr>
              <w:widowControl/>
              <w:jc w:val="center"/>
              <w:rPr>
                <w:rFonts w:ascii="仿宋_GB2312" w:hAnsi="宋体" w:eastAsia="仿宋_GB2312"/>
                <w:b/>
                <w:color w:val="auto"/>
                <w:sz w:val="18"/>
                <w:szCs w:val="18"/>
              </w:rPr>
            </w:pPr>
            <w:r>
              <w:rPr>
                <w:rFonts w:hint="eastAsia" w:ascii="仿宋_GB2312" w:hAnsi="宋体" w:eastAsia="仿宋_GB2312"/>
                <w:b/>
                <w:color w:val="auto"/>
                <w:sz w:val="18"/>
                <w:szCs w:val="18"/>
              </w:rPr>
              <w:t>物业费</w:t>
            </w:r>
          </w:p>
        </w:tc>
        <w:tc>
          <w:tcPr>
            <w:tcW w:w="1822" w:type="dxa"/>
            <w:shd w:val="clear" w:color="auto" w:fill="auto"/>
            <w:noWrap/>
            <w:vAlign w:val="center"/>
          </w:tcPr>
          <w:p>
            <w:pPr>
              <w:widowControl/>
              <w:jc w:val="center"/>
              <w:rPr>
                <w:rFonts w:ascii="仿宋_GB2312" w:hAnsi="宋体" w:eastAsia="仿宋_GB2312"/>
                <w:color w:val="auto"/>
                <w:sz w:val="18"/>
                <w:szCs w:val="18"/>
              </w:rPr>
            </w:pPr>
            <w:r>
              <w:rPr>
                <w:rFonts w:hint="eastAsia" w:ascii="仿宋_GB2312" w:hAnsi="仿宋" w:eastAsia="仿宋_GB2312" w:cs="宋体"/>
                <w:color w:val="auto"/>
                <w:kern w:val="0"/>
                <w:sz w:val="18"/>
                <w:szCs w:val="18"/>
              </w:rPr>
              <w:t>--</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72" w:hRule="atLeast"/>
          <w:jc w:val="center"/>
        </w:trPr>
        <w:tc>
          <w:tcPr>
            <w:tcW w:w="1630" w:type="dxa"/>
            <w:shd w:val="clear" w:color="auto" w:fill="auto"/>
            <w:noWrap/>
            <w:vAlign w:val="center"/>
          </w:tcPr>
          <w:p>
            <w:pPr>
              <w:widowControl/>
              <w:jc w:val="center"/>
              <w:rPr>
                <w:rFonts w:ascii="仿宋_GB2312" w:hAnsi="宋体" w:eastAsia="仿宋_GB2312"/>
                <w:b/>
                <w:color w:val="auto"/>
                <w:sz w:val="18"/>
                <w:szCs w:val="18"/>
              </w:rPr>
            </w:pPr>
            <w:r>
              <w:rPr>
                <w:rFonts w:hint="eastAsia" w:ascii="仿宋_GB2312" w:hAnsi="宋体" w:eastAsia="仿宋_GB2312"/>
                <w:b/>
                <w:color w:val="auto"/>
                <w:sz w:val="18"/>
                <w:szCs w:val="18"/>
              </w:rPr>
              <w:t>建筑形式</w:t>
            </w:r>
          </w:p>
        </w:tc>
        <w:tc>
          <w:tcPr>
            <w:tcW w:w="2793" w:type="dxa"/>
            <w:gridSpan w:val="2"/>
            <w:shd w:val="clear" w:color="auto" w:fill="auto"/>
            <w:noWrap/>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rPr>
              <w:t>板式</w:t>
            </w:r>
          </w:p>
        </w:tc>
        <w:tc>
          <w:tcPr>
            <w:tcW w:w="1184" w:type="dxa"/>
            <w:shd w:val="clear" w:color="auto" w:fill="auto"/>
            <w:noWrap/>
            <w:vAlign w:val="center"/>
          </w:tcPr>
          <w:p>
            <w:pPr>
              <w:widowControl/>
              <w:jc w:val="center"/>
              <w:rPr>
                <w:rFonts w:ascii="仿宋_GB2312" w:hAnsi="宋体" w:eastAsia="仿宋_GB2312"/>
                <w:b/>
                <w:color w:val="auto"/>
                <w:sz w:val="18"/>
                <w:szCs w:val="18"/>
              </w:rPr>
            </w:pPr>
            <w:r>
              <w:rPr>
                <w:rFonts w:hint="eastAsia" w:ascii="仿宋_GB2312" w:hAnsi="宋体" w:eastAsia="仿宋_GB2312"/>
                <w:b/>
                <w:color w:val="auto"/>
                <w:sz w:val="18"/>
                <w:szCs w:val="18"/>
              </w:rPr>
              <w:t>屋面形式</w:t>
            </w:r>
          </w:p>
        </w:tc>
        <w:tc>
          <w:tcPr>
            <w:tcW w:w="1091" w:type="dxa"/>
            <w:shd w:val="clear" w:color="auto" w:fill="auto"/>
            <w:noWrap/>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rPr>
              <w:t>平层</w:t>
            </w:r>
          </w:p>
        </w:tc>
        <w:tc>
          <w:tcPr>
            <w:tcW w:w="1184" w:type="dxa"/>
            <w:shd w:val="clear" w:color="auto" w:fill="auto"/>
            <w:noWrap/>
            <w:vAlign w:val="center"/>
          </w:tcPr>
          <w:p>
            <w:pPr>
              <w:widowControl/>
              <w:jc w:val="center"/>
              <w:rPr>
                <w:rFonts w:ascii="仿宋_GB2312" w:hAnsi="宋体" w:eastAsia="仿宋_GB2312"/>
                <w:b/>
                <w:color w:val="auto"/>
                <w:sz w:val="18"/>
                <w:szCs w:val="18"/>
              </w:rPr>
            </w:pPr>
            <w:r>
              <w:rPr>
                <w:rFonts w:hint="eastAsia" w:ascii="仿宋_GB2312" w:hAnsi="宋体" w:eastAsia="仿宋_GB2312"/>
                <w:b/>
                <w:color w:val="auto"/>
                <w:sz w:val="18"/>
                <w:szCs w:val="18"/>
              </w:rPr>
              <w:t>景观</w:t>
            </w:r>
          </w:p>
        </w:tc>
        <w:tc>
          <w:tcPr>
            <w:tcW w:w="1822" w:type="dxa"/>
            <w:shd w:val="clear" w:color="auto" w:fill="auto"/>
            <w:noWrap/>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rPr>
              <w:t>葵花广场</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72" w:hRule="atLeast"/>
          <w:jc w:val="center"/>
        </w:trPr>
        <w:tc>
          <w:tcPr>
            <w:tcW w:w="1630" w:type="dxa"/>
            <w:shd w:val="clear" w:color="auto" w:fill="auto"/>
            <w:noWrap/>
            <w:vAlign w:val="center"/>
          </w:tcPr>
          <w:p>
            <w:pPr>
              <w:widowControl/>
              <w:jc w:val="center"/>
              <w:rPr>
                <w:rFonts w:ascii="Calibri" w:hAnsi="Calibri" w:eastAsia="仿宋_GB2312"/>
                <w:b/>
                <w:color w:val="auto"/>
                <w:sz w:val="18"/>
                <w:szCs w:val="18"/>
              </w:rPr>
            </w:pPr>
            <w:r>
              <w:rPr>
                <w:rFonts w:ascii="Calibri" w:hAnsi="Calibri" w:eastAsia="仿宋_GB2312"/>
                <w:b/>
                <w:color w:val="auto"/>
                <w:sz w:val="18"/>
                <w:szCs w:val="18"/>
              </w:rPr>
              <w:t>户型</w:t>
            </w:r>
          </w:p>
        </w:tc>
        <w:tc>
          <w:tcPr>
            <w:tcW w:w="2793" w:type="dxa"/>
            <w:gridSpan w:val="2"/>
            <w:shd w:val="clear" w:color="auto" w:fill="auto"/>
            <w:noWrap/>
            <w:vAlign w:val="center"/>
          </w:tcPr>
          <w:p>
            <w:pPr>
              <w:widowControl/>
              <w:jc w:val="center"/>
              <w:rPr>
                <w:rFonts w:ascii="Calibri" w:hAnsi="Calibri" w:eastAsia="仿宋_GB2312"/>
                <w:color w:val="auto"/>
                <w:sz w:val="18"/>
                <w:szCs w:val="18"/>
              </w:rPr>
            </w:pPr>
            <w:r>
              <w:rPr>
                <w:rFonts w:hint="eastAsia" w:ascii="Calibri" w:hAnsi="Calibri" w:eastAsia="仿宋_GB2312"/>
                <w:color w:val="auto"/>
                <w:sz w:val="18"/>
                <w:szCs w:val="18"/>
                <w:lang w:eastAsia="zh-CN"/>
              </w:rPr>
              <w:t>一梯两户</w:t>
            </w:r>
          </w:p>
        </w:tc>
        <w:tc>
          <w:tcPr>
            <w:tcW w:w="1184" w:type="dxa"/>
            <w:shd w:val="clear" w:color="auto" w:fill="auto"/>
            <w:noWrap/>
            <w:vAlign w:val="center"/>
          </w:tcPr>
          <w:p>
            <w:pPr>
              <w:widowControl/>
              <w:jc w:val="center"/>
              <w:rPr>
                <w:rFonts w:ascii="Calibri" w:hAnsi="Calibri" w:eastAsia="仿宋_GB2312"/>
                <w:b/>
                <w:color w:val="auto"/>
                <w:sz w:val="18"/>
                <w:szCs w:val="18"/>
              </w:rPr>
            </w:pPr>
            <w:r>
              <w:rPr>
                <w:rFonts w:ascii="Calibri" w:hAnsi="Calibri" w:eastAsia="仿宋_GB2312"/>
                <w:b/>
                <w:color w:val="auto"/>
                <w:sz w:val="18"/>
                <w:szCs w:val="18"/>
              </w:rPr>
              <w:t>平面布局</w:t>
            </w:r>
          </w:p>
        </w:tc>
        <w:tc>
          <w:tcPr>
            <w:tcW w:w="1091" w:type="dxa"/>
            <w:shd w:val="clear" w:color="auto" w:fill="auto"/>
            <w:noWrap/>
            <w:vAlign w:val="center"/>
          </w:tcPr>
          <w:p>
            <w:pPr>
              <w:widowControl/>
              <w:jc w:val="center"/>
              <w:rPr>
                <w:rFonts w:ascii="Calibri" w:hAnsi="Calibri" w:eastAsia="仿宋_GB2312"/>
                <w:color w:val="auto"/>
                <w:sz w:val="18"/>
                <w:szCs w:val="18"/>
              </w:rPr>
            </w:pPr>
            <w:r>
              <w:rPr>
                <w:rFonts w:ascii="Calibri" w:hAnsi="Calibri" w:eastAsia="仿宋_GB2312"/>
                <w:color w:val="auto"/>
                <w:sz w:val="18"/>
                <w:szCs w:val="18"/>
              </w:rPr>
              <w:t>合理</w:t>
            </w:r>
          </w:p>
        </w:tc>
        <w:tc>
          <w:tcPr>
            <w:tcW w:w="1184" w:type="dxa"/>
            <w:shd w:val="clear" w:color="auto" w:fill="auto"/>
            <w:noWrap/>
            <w:vAlign w:val="center"/>
          </w:tcPr>
          <w:p>
            <w:pPr>
              <w:widowControl/>
              <w:jc w:val="center"/>
              <w:rPr>
                <w:rFonts w:ascii="Calibri" w:hAnsi="Calibri" w:eastAsia="仿宋_GB2312"/>
                <w:b/>
                <w:color w:val="auto"/>
                <w:sz w:val="18"/>
                <w:szCs w:val="18"/>
              </w:rPr>
            </w:pPr>
            <w:r>
              <w:rPr>
                <w:rFonts w:ascii="Calibri" w:hAnsi="Calibri" w:eastAsia="仿宋_GB2312"/>
                <w:b/>
                <w:color w:val="auto"/>
                <w:sz w:val="18"/>
                <w:szCs w:val="18"/>
              </w:rPr>
              <w:t>户型结构</w:t>
            </w:r>
          </w:p>
        </w:tc>
        <w:tc>
          <w:tcPr>
            <w:tcW w:w="1822" w:type="dxa"/>
            <w:shd w:val="clear" w:color="auto" w:fill="auto"/>
            <w:noWrap/>
            <w:vAlign w:val="center"/>
          </w:tcPr>
          <w:p>
            <w:pPr>
              <w:widowControl/>
              <w:jc w:val="center"/>
              <w:rPr>
                <w:rFonts w:ascii="Calibri" w:hAnsi="Calibri" w:eastAsia="仿宋_GB2312"/>
                <w:color w:val="auto"/>
                <w:sz w:val="18"/>
                <w:szCs w:val="18"/>
              </w:rPr>
            </w:pPr>
            <w:r>
              <w:rPr>
                <w:rFonts w:hint="eastAsia" w:eastAsia="仿宋_GB2312"/>
                <w:color w:val="auto"/>
                <w:sz w:val="18"/>
                <w:szCs w:val="18"/>
                <w:lang w:eastAsia="zh-CN"/>
              </w:rPr>
              <w:t>三</w:t>
            </w:r>
            <w:r>
              <w:rPr>
                <w:rFonts w:hint="eastAsia" w:eastAsia="仿宋_GB2312"/>
                <w:color w:val="auto"/>
                <w:sz w:val="18"/>
                <w:szCs w:val="18"/>
              </w:rPr>
              <w:t>室两厅</w:t>
            </w:r>
            <w:r>
              <w:rPr>
                <w:rFonts w:hint="eastAsia" w:eastAsia="仿宋_GB2312"/>
                <w:color w:val="auto"/>
                <w:sz w:val="18"/>
                <w:szCs w:val="18"/>
                <w:lang w:eastAsia="zh-CN"/>
              </w:rPr>
              <w:t>两</w:t>
            </w:r>
            <w:r>
              <w:rPr>
                <w:rFonts w:hint="eastAsia" w:eastAsia="仿宋_GB2312"/>
                <w:color w:val="auto"/>
                <w:sz w:val="18"/>
                <w:szCs w:val="18"/>
              </w:rPr>
              <w:t>卫</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72" w:hRule="atLeast"/>
          <w:jc w:val="center"/>
        </w:trPr>
        <w:tc>
          <w:tcPr>
            <w:tcW w:w="1630" w:type="dxa"/>
            <w:shd w:val="clear" w:color="auto" w:fill="auto"/>
            <w:noWrap/>
            <w:vAlign w:val="center"/>
          </w:tcPr>
          <w:p>
            <w:pPr>
              <w:widowControl/>
              <w:jc w:val="center"/>
              <w:rPr>
                <w:rFonts w:ascii="Calibri" w:hAnsi="Calibri" w:eastAsia="仿宋_GB2312"/>
                <w:b/>
                <w:color w:val="auto"/>
                <w:sz w:val="18"/>
                <w:szCs w:val="18"/>
              </w:rPr>
            </w:pPr>
            <w:r>
              <w:rPr>
                <w:rFonts w:ascii="Calibri" w:hAnsi="Calibri" w:eastAsia="仿宋_GB2312"/>
                <w:b/>
                <w:color w:val="auto"/>
                <w:sz w:val="18"/>
                <w:szCs w:val="18"/>
              </w:rPr>
              <w:t>门禁系统</w:t>
            </w:r>
          </w:p>
        </w:tc>
        <w:tc>
          <w:tcPr>
            <w:tcW w:w="2793" w:type="dxa"/>
            <w:gridSpan w:val="2"/>
            <w:shd w:val="clear" w:color="auto" w:fill="auto"/>
            <w:noWrap/>
            <w:vAlign w:val="center"/>
          </w:tcPr>
          <w:p>
            <w:pPr>
              <w:widowControl/>
              <w:jc w:val="center"/>
              <w:rPr>
                <w:rFonts w:ascii="Calibri" w:hAnsi="Calibri" w:eastAsia="仿宋_GB2312"/>
                <w:color w:val="auto"/>
                <w:sz w:val="18"/>
                <w:szCs w:val="18"/>
              </w:rPr>
            </w:pPr>
            <w:r>
              <w:rPr>
                <w:rFonts w:hint="eastAsia" w:ascii="Calibri" w:hAnsi="Calibri" w:eastAsia="仿宋_GB2312"/>
                <w:color w:val="auto"/>
                <w:sz w:val="18"/>
                <w:szCs w:val="18"/>
                <w:lang w:eastAsia="zh-CN"/>
              </w:rPr>
              <w:t>门禁</w:t>
            </w:r>
            <w:r>
              <w:rPr>
                <w:rFonts w:hint="eastAsia" w:ascii="Calibri" w:hAnsi="Calibri" w:eastAsia="仿宋_GB2312"/>
                <w:color w:val="auto"/>
                <w:sz w:val="18"/>
                <w:szCs w:val="18"/>
              </w:rPr>
              <w:t>对讲系统</w:t>
            </w:r>
          </w:p>
        </w:tc>
        <w:tc>
          <w:tcPr>
            <w:tcW w:w="1184" w:type="dxa"/>
            <w:shd w:val="clear" w:color="auto" w:fill="auto"/>
            <w:noWrap/>
            <w:vAlign w:val="center"/>
          </w:tcPr>
          <w:p>
            <w:pPr>
              <w:widowControl/>
              <w:jc w:val="center"/>
              <w:rPr>
                <w:rFonts w:ascii="Calibri" w:hAnsi="Calibri" w:eastAsia="仿宋_GB2312"/>
                <w:b/>
                <w:color w:val="auto"/>
                <w:sz w:val="18"/>
                <w:szCs w:val="18"/>
              </w:rPr>
            </w:pPr>
            <w:r>
              <w:rPr>
                <w:rFonts w:ascii="Calibri" w:hAnsi="Calibri" w:eastAsia="仿宋_GB2312"/>
                <w:b/>
                <w:color w:val="auto"/>
                <w:sz w:val="18"/>
                <w:szCs w:val="18"/>
              </w:rPr>
              <w:t>电梯情况</w:t>
            </w:r>
          </w:p>
        </w:tc>
        <w:tc>
          <w:tcPr>
            <w:tcW w:w="4097" w:type="dxa"/>
            <w:gridSpan w:val="3"/>
            <w:shd w:val="clear" w:color="auto" w:fill="auto"/>
            <w:noWrap/>
            <w:vAlign w:val="center"/>
          </w:tcPr>
          <w:p>
            <w:pPr>
              <w:widowControl/>
              <w:jc w:val="center"/>
              <w:rPr>
                <w:rFonts w:ascii="仿宋_GB2312" w:hAnsi="宋体" w:eastAsia="仿宋_GB2312"/>
                <w:color w:val="auto"/>
                <w:sz w:val="18"/>
                <w:szCs w:val="18"/>
              </w:rPr>
            </w:pPr>
            <w:r>
              <w:rPr>
                <w:rFonts w:hint="eastAsia" w:ascii="Calibri" w:hAnsi="Calibri" w:eastAsia="仿宋_GB2312"/>
                <w:color w:val="auto"/>
                <w:kern w:val="0"/>
                <w:sz w:val="18"/>
                <w:szCs w:val="18"/>
              </w:rPr>
              <w:t>电梯</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72" w:hRule="atLeast"/>
          <w:jc w:val="center"/>
        </w:trPr>
        <w:tc>
          <w:tcPr>
            <w:tcW w:w="1630" w:type="dxa"/>
            <w:shd w:val="clear" w:color="auto" w:fill="auto"/>
            <w:noWrap/>
            <w:vAlign w:val="center"/>
          </w:tcPr>
          <w:p>
            <w:pPr>
              <w:widowControl/>
              <w:jc w:val="center"/>
              <w:rPr>
                <w:rFonts w:ascii="仿宋_GB2312" w:hAnsi="宋体" w:eastAsia="仿宋_GB2312"/>
                <w:b/>
                <w:color w:val="auto"/>
                <w:sz w:val="18"/>
                <w:szCs w:val="18"/>
              </w:rPr>
            </w:pPr>
            <w:r>
              <w:rPr>
                <w:rFonts w:hint="eastAsia" w:ascii="仿宋_GB2312" w:hAnsi="宋体" w:eastAsia="仿宋_GB2312"/>
                <w:b/>
                <w:color w:val="auto"/>
                <w:sz w:val="18"/>
                <w:szCs w:val="18"/>
              </w:rPr>
              <w:t>设施、设备</w:t>
            </w:r>
          </w:p>
        </w:tc>
        <w:tc>
          <w:tcPr>
            <w:tcW w:w="8074" w:type="dxa"/>
            <w:gridSpan w:val="6"/>
            <w:shd w:val="clear" w:color="auto" w:fill="auto"/>
            <w:vAlign w:val="center"/>
          </w:tcPr>
          <w:p>
            <w:pPr>
              <w:widowControl/>
              <w:jc w:val="center"/>
              <w:rPr>
                <w:rFonts w:ascii="仿宋_GB2312" w:hAnsi="宋体" w:eastAsia="仿宋_GB2312"/>
                <w:color w:val="auto"/>
                <w:sz w:val="18"/>
                <w:szCs w:val="18"/>
              </w:rPr>
            </w:pPr>
            <w:r>
              <w:rPr>
                <w:rFonts w:hint="eastAsia" w:eastAsia="仿宋_GB2312"/>
                <w:color w:val="auto"/>
                <w:sz w:val="18"/>
                <w:szCs w:val="18"/>
              </w:rPr>
              <w:t>一般完备（门禁对讲系统、消防系统）</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72" w:hRule="atLeast"/>
          <w:jc w:val="center"/>
        </w:trPr>
        <w:tc>
          <w:tcPr>
            <w:tcW w:w="1630" w:type="dxa"/>
            <w:shd w:val="clear" w:color="auto" w:fill="auto"/>
            <w:noWrap/>
            <w:vAlign w:val="center"/>
          </w:tcPr>
          <w:p>
            <w:pPr>
              <w:widowControl/>
              <w:jc w:val="center"/>
              <w:rPr>
                <w:rFonts w:ascii="仿宋_GB2312" w:hAnsi="宋体" w:eastAsia="仿宋_GB2312"/>
                <w:b/>
                <w:color w:val="auto"/>
                <w:sz w:val="18"/>
                <w:szCs w:val="18"/>
              </w:rPr>
            </w:pPr>
            <w:r>
              <w:rPr>
                <w:rFonts w:hint="eastAsia" w:ascii="仿宋_GB2312" w:hAnsi="宋体" w:eastAsia="仿宋_GB2312"/>
                <w:b/>
                <w:color w:val="auto"/>
                <w:sz w:val="18"/>
                <w:szCs w:val="18"/>
              </w:rPr>
              <w:t>地形状况</w:t>
            </w:r>
          </w:p>
        </w:tc>
        <w:tc>
          <w:tcPr>
            <w:tcW w:w="1295" w:type="dxa"/>
            <w:shd w:val="clear" w:color="auto" w:fill="auto"/>
            <w:noWrap/>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rPr>
              <w:t>平整</w:t>
            </w:r>
          </w:p>
        </w:tc>
        <w:tc>
          <w:tcPr>
            <w:tcW w:w="1498" w:type="dxa"/>
            <w:shd w:val="clear" w:color="auto" w:fill="auto"/>
            <w:noWrap/>
            <w:vAlign w:val="center"/>
          </w:tcPr>
          <w:p>
            <w:pPr>
              <w:widowControl/>
              <w:jc w:val="center"/>
              <w:rPr>
                <w:rFonts w:ascii="仿宋_GB2312" w:hAnsi="宋体" w:eastAsia="仿宋_GB2312"/>
                <w:b/>
                <w:color w:val="auto"/>
                <w:sz w:val="18"/>
                <w:szCs w:val="18"/>
              </w:rPr>
            </w:pPr>
            <w:r>
              <w:rPr>
                <w:rFonts w:hint="eastAsia" w:ascii="仿宋_GB2312" w:hAnsi="宋体" w:eastAsia="仿宋_GB2312"/>
                <w:b/>
                <w:color w:val="auto"/>
                <w:sz w:val="18"/>
                <w:szCs w:val="18"/>
              </w:rPr>
              <w:t>区域内主要物业类型</w:t>
            </w:r>
          </w:p>
        </w:tc>
        <w:tc>
          <w:tcPr>
            <w:tcW w:w="2275" w:type="dxa"/>
            <w:gridSpan w:val="2"/>
            <w:shd w:val="clear" w:color="auto" w:fill="auto"/>
            <w:noWrap/>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rPr>
              <w:t>住宅</w:t>
            </w:r>
          </w:p>
        </w:tc>
        <w:tc>
          <w:tcPr>
            <w:tcW w:w="1184" w:type="dxa"/>
            <w:shd w:val="clear" w:color="auto" w:fill="auto"/>
            <w:noWrap/>
            <w:vAlign w:val="center"/>
          </w:tcPr>
          <w:p>
            <w:pPr>
              <w:widowControl/>
              <w:jc w:val="center"/>
              <w:rPr>
                <w:rFonts w:ascii="仿宋_GB2312" w:hAnsi="宋体" w:eastAsia="仿宋_GB2312"/>
                <w:b/>
                <w:color w:val="auto"/>
                <w:sz w:val="18"/>
                <w:szCs w:val="18"/>
              </w:rPr>
            </w:pPr>
            <w:r>
              <w:rPr>
                <w:rFonts w:hint="eastAsia" w:ascii="仿宋_GB2312" w:hAnsi="宋体" w:eastAsia="仿宋_GB2312"/>
                <w:b/>
                <w:color w:val="auto"/>
                <w:sz w:val="18"/>
                <w:szCs w:val="18"/>
              </w:rPr>
              <w:t>容积率</w:t>
            </w:r>
          </w:p>
        </w:tc>
        <w:tc>
          <w:tcPr>
            <w:tcW w:w="1822" w:type="dxa"/>
            <w:shd w:val="clear" w:color="auto" w:fill="auto"/>
            <w:noWrap/>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72" w:hRule="atLeast"/>
          <w:jc w:val="center"/>
        </w:trPr>
        <w:tc>
          <w:tcPr>
            <w:tcW w:w="1630" w:type="dxa"/>
            <w:shd w:val="clear" w:color="auto" w:fill="auto"/>
            <w:noWrap/>
            <w:vAlign w:val="center"/>
          </w:tcPr>
          <w:p>
            <w:pPr>
              <w:widowControl/>
              <w:jc w:val="center"/>
              <w:rPr>
                <w:rFonts w:ascii="仿宋_GB2312" w:hAnsi="宋体" w:eastAsia="仿宋_GB2312"/>
                <w:b/>
                <w:color w:val="auto"/>
                <w:sz w:val="18"/>
                <w:szCs w:val="18"/>
              </w:rPr>
            </w:pPr>
            <w:r>
              <w:rPr>
                <w:rFonts w:hint="eastAsia" w:ascii="仿宋_GB2312" w:hAnsi="宋体" w:eastAsia="仿宋_GB2312"/>
                <w:b/>
                <w:color w:val="auto"/>
                <w:sz w:val="18"/>
                <w:szCs w:val="18"/>
              </w:rPr>
              <w:t>外立面装修</w:t>
            </w:r>
          </w:p>
        </w:tc>
        <w:tc>
          <w:tcPr>
            <w:tcW w:w="1295" w:type="dxa"/>
            <w:shd w:val="clear" w:color="auto" w:fill="auto"/>
            <w:noWrap/>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rPr>
              <w:t>涂料</w:t>
            </w:r>
          </w:p>
        </w:tc>
        <w:tc>
          <w:tcPr>
            <w:tcW w:w="1498" w:type="dxa"/>
            <w:shd w:val="clear" w:color="auto" w:fill="auto"/>
            <w:noWrap/>
            <w:vAlign w:val="center"/>
          </w:tcPr>
          <w:p>
            <w:pPr>
              <w:widowControl/>
              <w:jc w:val="center"/>
              <w:rPr>
                <w:rFonts w:ascii="仿宋_GB2312" w:hAnsi="宋体" w:eastAsia="仿宋_GB2312"/>
                <w:b/>
                <w:color w:val="auto"/>
                <w:sz w:val="18"/>
                <w:szCs w:val="18"/>
              </w:rPr>
            </w:pPr>
            <w:r>
              <w:rPr>
                <w:rFonts w:hint="eastAsia" w:ascii="仿宋_GB2312" w:hAnsi="宋体" w:eastAsia="仿宋_GB2312"/>
                <w:b/>
                <w:color w:val="auto"/>
                <w:sz w:val="18"/>
                <w:szCs w:val="18"/>
              </w:rPr>
              <w:t>入户门</w:t>
            </w:r>
          </w:p>
        </w:tc>
        <w:tc>
          <w:tcPr>
            <w:tcW w:w="1184" w:type="dxa"/>
            <w:shd w:val="clear" w:color="auto" w:fill="auto"/>
            <w:noWrap/>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rPr>
              <w:t>防盗门</w:t>
            </w:r>
          </w:p>
        </w:tc>
        <w:tc>
          <w:tcPr>
            <w:tcW w:w="1091" w:type="dxa"/>
            <w:shd w:val="clear" w:color="auto" w:fill="auto"/>
            <w:noWrap/>
            <w:vAlign w:val="center"/>
          </w:tcPr>
          <w:p>
            <w:pPr>
              <w:widowControl/>
              <w:jc w:val="center"/>
              <w:rPr>
                <w:rFonts w:ascii="仿宋_GB2312" w:hAnsi="宋体" w:eastAsia="仿宋_GB2312"/>
                <w:b/>
                <w:color w:val="auto"/>
                <w:sz w:val="18"/>
                <w:szCs w:val="18"/>
              </w:rPr>
            </w:pPr>
            <w:r>
              <w:rPr>
                <w:rFonts w:hint="eastAsia" w:ascii="仿宋_GB2312" w:hAnsi="宋体" w:eastAsia="仿宋_GB2312"/>
                <w:b/>
                <w:color w:val="auto"/>
                <w:sz w:val="18"/>
                <w:szCs w:val="18"/>
              </w:rPr>
              <w:t>内门</w:t>
            </w:r>
          </w:p>
        </w:tc>
        <w:tc>
          <w:tcPr>
            <w:tcW w:w="3006" w:type="dxa"/>
            <w:gridSpan w:val="2"/>
            <w:shd w:val="clear" w:color="auto" w:fill="auto"/>
            <w:noWrap/>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lang w:eastAsia="zh-CN"/>
              </w:rPr>
              <w:t>实</w:t>
            </w:r>
            <w:r>
              <w:rPr>
                <w:rFonts w:hint="eastAsia" w:ascii="仿宋_GB2312" w:hAnsi="宋体" w:eastAsia="仿宋_GB2312"/>
                <w:color w:val="auto"/>
                <w:sz w:val="18"/>
                <w:szCs w:val="18"/>
              </w:rPr>
              <w:t>木门</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72" w:hRule="atLeast"/>
          <w:jc w:val="center"/>
        </w:trPr>
        <w:tc>
          <w:tcPr>
            <w:tcW w:w="1630" w:type="dxa"/>
            <w:shd w:val="clear" w:color="auto" w:fill="auto"/>
            <w:noWrap/>
            <w:vAlign w:val="center"/>
          </w:tcPr>
          <w:p>
            <w:pPr>
              <w:widowControl/>
              <w:jc w:val="center"/>
              <w:rPr>
                <w:rFonts w:ascii="仿宋_GB2312" w:hAnsi="宋体" w:eastAsia="仿宋_GB2312"/>
                <w:b/>
                <w:color w:val="auto"/>
                <w:sz w:val="18"/>
                <w:szCs w:val="18"/>
              </w:rPr>
            </w:pPr>
            <w:r>
              <w:rPr>
                <w:rFonts w:hint="eastAsia" w:ascii="仿宋_GB2312" w:hAnsi="宋体" w:eastAsia="仿宋_GB2312"/>
                <w:b/>
                <w:color w:val="auto"/>
                <w:sz w:val="18"/>
                <w:szCs w:val="18"/>
              </w:rPr>
              <w:t>窗</w:t>
            </w:r>
          </w:p>
        </w:tc>
        <w:tc>
          <w:tcPr>
            <w:tcW w:w="1295" w:type="dxa"/>
            <w:shd w:val="clear" w:color="auto" w:fill="auto"/>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rPr>
              <w:t>塑钢窗</w:t>
            </w:r>
          </w:p>
        </w:tc>
        <w:tc>
          <w:tcPr>
            <w:tcW w:w="1498" w:type="dxa"/>
            <w:shd w:val="clear" w:color="auto" w:fill="auto"/>
            <w:noWrap/>
            <w:vAlign w:val="center"/>
          </w:tcPr>
          <w:p>
            <w:pPr>
              <w:widowControl/>
              <w:ind w:firstLine="89" w:firstLineChars="49"/>
              <w:jc w:val="center"/>
              <w:rPr>
                <w:rFonts w:ascii="仿宋_GB2312" w:hAnsi="仿宋" w:eastAsia="仿宋_GB2312" w:cs="宋体"/>
                <w:b/>
                <w:color w:val="auto"/>
                <w:kern w:val="0"/>
                <w:sz w:val="18"/>
                <w:szCs w:val="18"/>
              </w:rPr>
            </w:pPr>
            <w:r>
              <w:rPr>
                <w:rFonts w:hint="eastAsia" w:ascii="仿宋_GB2312" w:hAnsi="仿宋" w:eastAsia="仿宋_GB2312" w:cs="宋体"/>
                <w:b/>
                <w:color w:val="auto"/>
                <w:kern w:val="0"/>
                <w:sz w:val="18"/>
                <w:szCs w:val="18"/>
              </w:rPr>
              <w:t>装修档次</w:t>
            </w:r>
          </w:p>
        </w:tc>
        <w:tc>
          <w:tcPr>
            <w:tcW w:w="1184" w:type="dxa"/>
            <w:shd w:val="clear" w:color="auto" w:fill="auto"/>
            <w:noWrap/>
            <w:vAlign w:val="center"/>
          </w:tcPr>
          <w:p>
            <w:pPr>
              <w:widowControl/>
              <w:jc w:val="center"/>
              <w:rPr>
                <w:rFonts w:ascii="仿宋_GB2312" w:hAnsi="仿宋" w:eastAsia="仿宋_GB2312" w:cs="宋体"/>
                <w:color w:val="auto"/>
                <w:kern w:val="0"/>
                <w:sz w:val="18"/>
                <w:szCs w:val="18"/>
              </w:rPr>
            </w:pPr>
            <w:r>
              <w:rPr>
                <w:rFonts w:hint="eastAsia" w:ascii="仿宋_GB2312" w:hAnsi="仿宋" w:eastAsia="仿宋_GB2312" w:cs="宋体"/>
                <w:color w:val="auto"/>
                <w:kern w:val="0"/>
                <w:sz w:val="18"/>
                <w:szCs w:val="18"/>
              </w:rPr>
              <w:t>中等装修</w:t>
            </w:r>
          </w:p>
        </w:tc>
        <w:tc>
          <w:tcPr>
            <w:tcW w:w="1091" w:type="dxa"/>
            <w:shd w:val="clear" w:color="auto" w:fill="auto"/>
            <w:noWrap/>
            <w:vAlign w:val="center"/>
          </w:tcPr>
          <w:p>
            <w:pPr>
              <w:widowControl/>
              <w:jc w:val="center"/>
              <w:rPr>
                <w:rFonts w:ascii="仿宋_GB2312" w:hAnsi="宋体" w:eastAsia="仿宋_GB2312"/>
                <w:b/>
                <w:color w:val="auto"/>
                <w:sz w:val="18"/>
                <w:szCs w:val="18"/>
              </w:rPr>
            </w:pPr>
            <w:r>
              <w:rPr>
                <w:rFonts w:hint="eastAsia" w:ascii="仿宋_GB2312" w:hAnsi="宋体" w:eastAsia="仿宋_GB2312"/>
                <w:b/>
                <w:color w:val="auto"/>
                <w:sz w:val="18"/>
                <w:szCs w:val="18"/>
              </w:rPr>
              <w:t>朝向</w:t>
            </w:r>
          </w:p>
        </w:tc>
        <w:tc>
          <w:tcPr>
            <w:tcW w:w="3006" w:type="dxa"/>
            <w:gridSpan w:val="2"/>
            <w:shd w:val="clear" w:color="auto" w:fill="auto"/>
            <w:noWrap/>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rPr>
              <w:t>南北</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72" w:hRule="atLeast"/>
          <w:jc w:val="center"/>
        </w:trPr>
        <w:tc>
          <w:tcPr>
            <w:tcW w:w="1630" w:type="dxa"/>
            <w:shd w:val="clear" w:color="auto" w:fill="auto"/>
            <w:noWrap/>
            <w:vAlign w:val="center"/>
          </w:tcPr>
          <w:p>
            <w:pPr>
              <w:widowControl/>
              <w:jc w:val="center"/>
              <w:rPr>
                <w:rFonts w:ascii="仿宋_GB2312" w:hAnsi="宋体" w:eastAsia="仿宋_GB2312"/>
                <w:b/>
                <w:color w:val="auto"/>
                <w:sz w:val="18"/>
                <w:szCs w:val="18"/>
              </w:rPr>
            </w:pPr>
            <w:r>
              <w:rPr>
                <w:rFonts w:hint="eastAsia" w:ascii="仿宋_GB2312" w:hAnsi="宋体" w:eastAsia="仿宋_GB2312"/>
                <w:b/>
                <w:color w:val="auto"/>
                <w:sz w:val="18"/>
                <w:szCs w:val="18"/>
              </w:rPr>
              <w:t>实际用途</w:t>
            </w:r>
          </w:p>
        </w:tc>
        <w:tc>
          <w:tcPr>
            <w:tcW w:w="1295" w:type="dxa"/>
            <w:shd w:val="clear" w:color="auto" w:fill="auto"/>
            <w:noWrap/>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rPr>
              <w:t>住宅</w:t>
            </w:r>
          </w:p>
        </w:tc>
        <w:tc>
          <w:tcPr>
            <w:tcW w:w="1498" w:type="dxa"/>
            <w:shd w:val="clear" w:color="auto" w:fill="auto"/>
            <w:noWrap/>
            <w:vAlign w:val="center"/>
          </w:tcPr>
          <w:p>
            <w:pPr>
              <w:widowControl/>
              <w:jc w:val="center"/>
              <w:rPr>
                <w:rFonts w:ascii="仿宋_GB2312" w:hAnsi="宋体" w:eastAsia="仿宋_GB2312"/>
                <w:b/>
                <w:color w:val="auto"/>
                <w:sz w:val="18"/>
                <w:szCs w:val="18"/>
              </w:rPr>
            </w:pPr>
            <w:r>
              <w:rPr>
                <w:rFonts w:hint="eastAsia" w:ascii="仿宋_GB2312" w:hAnsi="宋体" w:eastAsia="仿宋_GB2312"/>
                <w:b/>
                <w:color w:val="auto"/>
                <w:sz w:val="18"/>
                <w:szCs w:val="18"/>
              </w:rPr>
              <w:t>使用现状</w:t>
            </w:r>
          </w:p>
        </w:tc>
        <w:tc>
          <w:tcPr>
            <w:tcW w:w="1184" w:type="dxa"/>
            <w:shd w:val="clear" w:color="auto" w:fill="auto"/>
            <w:noWrap/>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rPr>
              <w:t>良好</w:t>
            </w:r>
          </w:p>
        </w:tc>
        <w:tc>
          <w:tcPr>
            <w:tcW w:w="1091" w:type="dxa"/>
            <w:shd w:val="clear" w:color="auto" w:fill="auto"/>
            <w:noWrap/>
            <w:vAlign w:val="center"/>
          </w:tcPr>
          <w:p>
            <w:pPr>
              <w:widowControl/>
              <w:jc w:val="center"/>
              <w:rPr>
                <w:rFonts w:ascii="仿宋_GB2312" w:hAnsi="宋体" w:eastAsia="仿宋_GB2312"/>
                <w:b/>
                <w:color w:val="auto"/>
                <w:sz w:val="18"/>
                <w:szCs w:val="18"/>
              </w:rPr>
            </w:pPr>
            <w:r>
              <w:rPr>
                <w:rFonts w:hint="eastAsia" w:ascii="仿宋_GB2312" w:hAnsi="宋体" w:eastAsia="仿宋_GB2312"/>
                <w:b/>
                <w:color w:val="auto"/>
                <w:sz w:val="18"/>
                <w:szCs w:val="18"/>
              </w:rPr>
              <w:t>单元户数</w:t>
            </w:r>
          </w:p>
        </w:tc>
        <w:tc>
          <w:tcPr>
            <w:tcW w:w="3006" w:type="dxa"/>
            <w:gridSpan w:val="2"/>
            <w:shd w:val="clear" w:color="auto" w:fill="auto"/>
            <w:noWrap/>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rPr>
              <w:t>4个单元</w:t>
            </w:r>
            <w:r>
              <w:rPr>
                <w:rFonts w:hint="eastAsia" w:ascii="仿宋_GB2312" w:hAnsi="宋体" w:eastAsia="仿宋_GB2312"/>
                <w:color w:val="auto"/>
                <w:sz w:val="18"/>
                <w:szCs w:val="18"/>
                <w:lang w:val="en-US" w:eastAsia="zh-CN"/>
              </w:rPr>
              <w:t>72</w:t>
            </w:r>
            <w:r>
              <w:rPr>
                <w:rFonts w:hint="eastAsia" w:ascii="仿宋_GB2312" w:hAnsi="宋体" w:eastAsia="仿宋_GB2312"/>
                <w:color w:val="auto"/>
                <w:sz w:val="18"/>
                <w:szCs w:val="18"/>
              </w:rPr>
              <w:t>户</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273" w:hRule="atLeast"/>
          <w:jc w:val="center"/>
        </w:trPr>
        <w:tc>
          <w:tcPr>
            <w:tcW w:w="1630" w:type="dxa"/>
            <w:shd w:val="clear" w:color="auto" w:fill="auto"/>
            <w:noWrap/>
            <w:vAlign w:val="center"/>
          </w:tcPr>
          <w:p>
            <w:pPr>
              <w:widowControl/>
              <w:jc w:val="center"/>
              <w:rPr>
                <w:rFonts w:ascii="仿宋_GB2312" w:hAnsi="宋体" w:eastAsia="仿宋_GB2312"/>
                <w:b/>
                <w:color w:val="auto"/>
                <w:sz w:val="18"/>
                <w:szCs w:val="18"/>
              </w:rPr>
            </w:pPr>
            <w:r>
              <w:rPr>
                <w:rFonts w:hint="eastAsia" w:ascii="仿宋_GB2312" w:hAnsi="宋体" w:eastAsia="仿宋_GB2312"/>
                <w:b/>
                <w:color w:val="auto"/>
                <w:sz w:val="18"/>
                <w:szCs w:val="18"/>
              </w:rPr>
              <w:t>客厅</w:t>
            </w:r>
          </w:p>
        </w:tc>
        <w:tc>
          <w:tcPr>
            <w:tcW w:w="1295" w:type="dxa"/>
            <w:shd w:val="clear" w:color="auto" w:fill="auto"/>
            <w:noWrap/>
            <w:vAlign w:val="center"/>
          </w:tcPr>
          <w:p>
            <w:pPr>
              <w:widowControl/>
              <w:jc w:val="center"/>
              <w:rPr>
                <w:rFonts w:ascii="仿宋_GB2312" w:hAnsi="宋体" w:eastAsia="仿宋_GB2312"/>
                <w:b/>
                <w:color w:val="auto"/>
                <w:sz w:val="18"/>
                <w:szCs w:val="18"/>
              </w:rPr>
            </w:pPr>
            <w:r>
              <w:rPr>
                <w:rFonts w:hint="eastAsia" w:ascii="仿宋_GB2312" w:hAnsi="宋体" w:eastAsia="仿宋_GB2312"/>
                <w:b/>
                <w:color w:val="auto"/>
                <w:sz w:val="18"/>
                <w:szCs w:val="18"/>
              </w:rPr>
              <w:t>地面</w:t>
            </w:r>
          </w:p>
        </w:tc>
        <w:tc>
          <w:tcPr>
            <w:tcW w:w="1498" w:type="dxa"/>
            <w:shd w:val="clear" w:color="auto" w:fill="auto"/>
            <w:noWrap/>
            <w:vAlign w:val="center"/>
          </w:tcPr>
          <w:p>
            <w:pPr>
              <w:widowControl/>
              <w:jc w:val="center"/>
              <w:rPr>
                <w:rFonts w:hint="eastAsia" w:ascii="仿宋_GB2312" w:hAnsi="宋体" w:eastAsia="仿宋_GB2312"/>
                <w:color w:val="auto"/>
                <w:sz w:val="18"/>
                <w:szCs w:val="18"/>
                <w:lang w:eastAsia="zh-CN"/>
              </w:rPr>
            </w:pPr>
            <w:r>
              <w:rPr>
                <w:rFonts w:hint="eastAsia" w:ascii="仿宋_GB2312" w:hAnsi="宋体" w:eastAsia="仿宋_GB2312"/>
                <w:color w:val="auto"/>
                <w:sz w:val="18"/>
                <w:szCs w:val="18"/>
                <w:lang w:eastAsia="zh-CN"/>
              </w:rPr>
              <w:t>地砖</w:t>
            </w:r>
          </w:p>
        </w:tc>
        <w:tc>
          <w:tcPr>
            <w:tcW w:w="1184" w:type="dxa"/>
            <w:shd w:val="clear" w:color="auto" w:fill="auto"/>
            <w:noWrap/>
            <w:vAlign w:val="center"/>
          </w:tcPr>
          <w:p>
            <w:pPr>
              <w:widowControl/>
              <w:jc w:val="center"/>
              <w:rPr>
                <w:rFonts w:ascii="仿宋_GB2312" w:hAnsi="宋体" w:eastAsia="仿宋_GB2312"/>
                <w:b/>
                <w:color w:val="auto"/>
                <w:sz w:val="18"/>
                <w:szCs w:val="18"/>
              </w:rPr>
            </w:pPr>
            <w:r>
              <w:rPr>
                <w:rFonts w:hint="eastAsia" w:ascii="仿宋_GB2312" w:hAnsi="宋体" w:eastAsia="仿宋_GB2312"/>
                <w:b/>
                <w:color w:val="auto"/>
                <w:sz w:val="18"/>
                <w:szCs w:val="18"/>
              </w:rPr>
              <w:t>墙面</w:t>
            </w:r>
          </w:p>
        </w:tc>
        <w:tc>
          <w:tcPr>
            <w:tcW w:w="1091" w:type="dxa"/>
            <w:shd w:val="clear" w:color="auto" w:fill="auto"/>
            <w:noWrap/>
            <w:vAlign w:val="center"/>
          </w:tcPr>
          <w:p>
            <w:pPr>
              <w:widowControl/>
              <w:jc w:val="center"/>
              <w:rPr>
                <w:rFonts w:hint="eastAsia" w:ascii="仿宋_GB2312" w:hAnsi="宋体" w:eastAsia="仿宋_GB2312"/>
                <w:color w:val="auto"/>
                <w:sz w:val="18"/>
                <w:szCs w:val="18"/>
                <w:lang w:eastAsia="zh-CN"/>
              </w:rPr>
            </w:pPr>
            <w:r>
              <w:rPr>
                <w:rFonts w:hint="eastAsia" w:ascii="仿宋_GB2312" w:hAnsi="宋体" w:eastAsia="仿宋_GB2312"/>
                <w:color w:val="auto"/>
                <w:sz w:val="18"/>
                <w:szCs w:val="18"/>
                <w:lang w:eastAsia="zh-CN"/>
              </w:rPr>
              <w:t>壁纸</w:t>
            </w:r>
          </w:p>
        </w:tc>
        <w:tc>
          <w:tcPr>
            <w:tcW w:w="1184" w:type="dxa"/>
            <w:shd w:val="clear" w:color="auto" w:fill="auto"/>
            <w:noWrap/>
            <w:vAlign w:val="center"/>
          </w:tcPr>
          <w:p>
            <w:pPr>
              <w:widowControl/>
              <w:jc w:val="center"/>
              <w:rPr>
                <w:rFonts w:ascii="仿宋_GB2312" w:hAnsi="宋体" w:eastAsia="仿宋_GB2312"/>
                <w:b/>
                <w:color w:val="auto"/>
                <w:sz w:val="18"/>
                <w:szCs w:val="18"/>
              </w:rPr>
            </w:pPr>
            <w:r>
              <w:rPr>
                <w:rFonts w:hint="eastAsia" w:ascii="仿宋_GB2312" w:hAnsi="宋体" w:eastAsia="仿宋_GB2312"/>
                <w:b/>
                <w:color w:val="auto"/>
                <w:sz w:val="18"/>
                <w:szCs w:val="18"/>
              </w:rPr>
              <w:t>顶棚</w:t>
            </w:r>
          </w:p>
        </w:tc>
        <w:tc>
          <w:tcPr>
            <w:tcW w:w="1822" w:type="dxa"/>
            <w:shd w:val="clear" w:color="auto" w:fill="auto"/>
            <w:noWrap/>
            <w:vAlign w:val="center"/>
          </w:tcPr>
          <w:p>
            <w:pPr>
              <w:widowControl/>
              <w:jc w:val="center"/>
              <w:rPr>
                <w:rFonts w:hint="eastAsia" w:ascii="仿宋_GB2312" w:hAnsi="宋体" w:eastAsia="仿宋_GB2312"/>
                <w:color w:val="auto"/>
                <w:sz w:val="18"/>
                <w:szCs w:val="18"/>
                <w:lang w:eastAsia="zh-CN"/>
              </w:rPr>
            </w:pPr>
            <w:r>
              <w:rPr>
                <w:rFonts w:hint="eastAsia" w:ascii="仿宋_GB2312" w:hAnsi="宋体" w:eastAsia="仿宋_GB2312"/>
                <w:color w:val="auto"/>
                <w:sz w:val="18"/>
                <w:szCs w:val="18"/>
                <w:lang w:eastAsia="zh-CN"/>
              </w:rPr>
              <w:t>壁纸</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72" w:hRule="atLeast"/>
          <w:jc w:val="center"/>
        </w:trPr>
        <w:tc>
          <w:tcPr>
            <w:tcW w:w="1630" w:type="dxa"/>
            <w:shd w:val="clear" w:color="auto" w:fill="auto"/>
            <w:noWrap/>
            <w:vAlign w:val="center"/>
          </w:tcPr>
          <w:p>
            <w:pPr>
              <w:widowControl/>
              <w:jc w:val="center"/>
              <w:rPr>
                <w:rFonts w:ascii="仿宋_GB2312" w:hAnsi="宋体" w:eastAsia="仿宋_GB2312"/>
                <w:b/>
                <w:color w:val="auto"/>
                <w:sz w:val="18"/>
                <w:szCs w:val="18"/>
              </w:rPr>
            </w:pPr>
            <w:r>
              <w:rPr>
                <w:rFonts w:hint="eastAsia" w:ascii="仿宋_GB2312" w:hAnsi="宋体" w:eastAsia="仿宋_GB2312"/>
                <w:b/>
                <w:color w:val="auto"/>
                <w:sz w:val="18"/>
                <w:szCs w:val="18"/>
              </w:rPr>
              <w:t>卧室</w:t>
            </w:r>
          </w:p>
        </w:tc>
        <w:tc>
          <w:tcPr>
            <w:tcW w:w="1295" w:type="dxa"/>
            <w:shd w:val="clear" w:color="auto" w:fill="auto"/>
            <w:noWrap/>
            <w:vAlign w:val="center"/>
          </w:tcPr>
          <w:p>
            <w:pPr>
              <w:widowControl/>
              <w:jc w:val="center"/>
              <w:rPr>
                <w:rFonts w:ascii="仿宋_GB2312" w:hAnsi="宋体" w:eastAsia="仿宋_GB2312"/>
                <w:b/>
                <w:color w:val="auto"/>
                <w:sz w:val="18"/>
                <w:szCs w:val="18"/>
              </w:rPr>
            </w:pPr>
            <w:r>
              <w:rPr>
                <w:rFonts w:hint="eastAsia" w:ascii="仿宋_GB2312" w:hAnsi="宋体" w:eastAsia="仿宋_GB2312"/>
                <w:b/>
                <w:color w:val="auto"/>
                <w:sz w:val="18"/>
                <w:szCs w:val="18"/>
              </w:rPr>
              <w:t>地面</w:t>
            </w:r>
          </w:p>
        </w:tc>
        <w:tc>
          <w:tcPr>
            <w:tcW w:w="1498" w:type="dxa"/>
            <w:shd w:val="clear" w:color="auto" w:fill="auto"/>
            <w:noWrap/>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rPr>
              <w:t>地砖</w:t>
            </w:r>
          </w:p>
        </w:tc>
        <w:tc>
          <w:tcPr>
            <w:tcW w:w="1184" w:type="dxa"/>
            <w:shd w:val="clear" w:color="auto" w:fill="auto"/>
            <w:noWrap/>
            <w:vAlign w:val="center"/>
          </w:tcPr>
          <w:p>
            <w:pPr>
              <w:widowControl/>
              <w:jc w:val="center"/>
              <w:rPr>
                <w:rFonts w:ascii="仿宋_GB2312" w:hAnsi="宋体" w:eastAsia="仿宋_GB2312"/>
                <w:b/>
                <w:color w:val="auto"/>
                <w:sz w:val="18"/>
                <w:szCs w:val="18"/>
              </w:rPr>
            </w:pPr>
            <w:r>
              <w:rPr>
                <w:rFonts w:hint="eastAsia" w:ascii="仿宋_GB2312" w:hAnsi="宋体" w:eastAsia="仿宋_GB2312"/>
                <w:b/>
                <w:color w:val="auto"/>
                <w:sz w:val="18"/>
                <w:szCs w:val="18"/>
              </w:rPr>
              <w:t>墙面</w:t>
            </w:r>
          </w:p>
        </w:tc>
        <w:tc>
          <w:tcPr>
            <w:tcW w:w="1091" w:type="dxa"/>
            <w:shd w:val="clear" w:color="auto" w:fill="auto"/>
            <w:noWrap/>
            <w:vAlign w:val="center"/>
          </w:tcPr>
          <w:p>
            <w:pPr>
              <w:widowControl/>
              <w:jc w:val="center"/>
              <w:rPr>
                <w:rFonts w:hint="eastAsia" w:ascii="仿宋_GB2312" w:hAnsi="宋体" w:eastAsia="仿宋_GB2312"/>
                <w:color w:val="auto"/>
                <w:sz w:val="18"/>
                <w:szCs w:val="18"/>
                <w:lang w:eastAsia="zh-CN"/>
              </w:rPr>
            </w:pPr>
            <w:r>
              <w:rPr>
                <w:rFonts w:hint="eastAsia" w:ascii="仿宋_GB2312" w:hAnsi="宋体" w:eastAsia="仿宋_GB2312"/>
                <w:color w:val="auto"/>
                <w:sz w:val="18"/>
                <w:szCs w:val="18"/>
                <w:lang w:eastAsia="zh-CN"/>
              </w:rPr>
              <w:t>壁纸</w:t>
            </w:r>
          </w:p>
        </w:tc>
        <w:tc>
          <w:tcPr>
            <w:tcW w:w="1184" w:type="dxa"/>
            <w:shd w:val="clear" w:color="auto" w:fill="auto"/>
            <w:noWrap/>
            <w:vAlign w:val="center"/>
          </w:tcPr>
          <w:p>
            <w:pPr>
              <w:widowControl/>
              <w:jc w:val="center"/>
              <w:rPr>
                <w:rFonts w:ascii="仿宋_GB2312" w:hAnsi="宋体" w:eastAsia="仿宋_GB2312"/>
                <w:b/>
                <w:color w:val="auto"/>
                <w:sz w:val="18"/>
                <w:szCs w:val="18"/>
              </w:rPr>
            </w:pPr>
            <w:r>
              <w:rPr>
                <w:rFonts w:hint="eastAsia" w:ascii="仿宋_GB2312" w:hAnsi="宋体" w:eastAsia="仿宋_GB2312"/>
                <w:b/>
                <w:color w:val="auto"/>
                <w:sz w:val="18"/>
                <w:szCs w:val="18"/>
              </w:rPr>
              <w:t>顶棚</w:t>
            </w:r>
          </w:p>
        </w:tc>
        <w:tc>
          <w:tcPr>
            <w:tcW w:w="1822" w:type="dxa"/>
            <w:shd w:val="clear" w:color="auto" w:fill="auto"/>
            <w:noWrap/>
            <w:vAlign w:val="center"/>
          </w:tcPr>
          <w:p>
            <w:pPr>
              <w:widowControl/>
              <w:jc w:val="center"/>
              <w:rPr>
                <w:rFonts w:hint="eastAsia" w:ascii="仿宋_GB2312" w:hAnsi="宋体" w:eastAsia="仿宋_GB2312"/>
                <w:color w:val="auto"/>
                <w:sz w:val="18"/>
                <w:szCs w:val="18"/>
                <w:lang w:eastAsia="zh-CN"/>
              </w:rPr>
            </w:pPr>
            <w:r>
              <w:rPr>
                <w:rFonts w:hint="eastAsia" w:ascii="仿宋_GB2312" w:hAnsi="宋体" w:eastAsia="仿宋_GB2312"/>
                <w:color w:val="auto"/>
                <w:sz w:val="18"/>
                <w:szCs w:val="18"/>
                <w:lang w:eastAsia="zh-CN"/>
              </w:rPr>
              <w:t>壁纸</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72" w:hRule="atLeast"/>
          <w:jc w:val="center"/>
        </w:trPr>
        <w:tc>
          <w:tcPr>
            <w:tcW w:w="1630" w:type="dxa"/>
            <w:shd w:val="clear" w:color="auto" w:fill="auto"/>
            <w:noWrap/>
            <w:vAlign w:val="center"/>
          </w:tcPr>
          <w:p>
            <w:pPr>
              <w:widowControl/>
              <w:jc w:val="center"/>
              <w:rPr>
                <w:rFonts w:ascii="仿宋_GB2312" w:hAnsi="宋体" w:eastAsia="仿宋_GB2312"/>
                <w:b/>
                <w:color w:val="auto"/>
                <w:sz w:val="18"/>
                <w:szCs w:val="18"/>
              </w:rPr>
            </w:pPr>
            <w:r>
              <w:rPr>
                <w:rFonts w:hint="eastAsia" w:ascii="仿宋_GB2312" w:hAnsi="宋体" w:eastAsia="仿宋_GB2312"/>
                <w:b/>
                <w:color w:val="auto"/>
                <w:sz w:val="18"/>
                <w:szCs w:val="18"/>
              </w:rPr>
              <w:t>卫生间</w:t>
            </w:r>
          </w:p>
        </w:tc>
        <w:tc>
          <w:tcPr>
            <w:tcW w:w="1295" w:type="dxa"/>
            <w:shd w:val="clear" w:color="auto" w:fill="auto"/>
            <w:noWrap/>
            <w:vAlign w:val="center"/>
          </w:tcPr>
          <w:p>
            <w:pPr>
              <w:widowControl/>
              <w:jc w:val="center"/>
              <w:rPr>
                <w:rFonts w:ascii="仿宋_GB2312" w:hAnsi="宋体" w:eastAsia="仿宋_GB2312"/>
                <w:b/>
                <w:color w:val="auto"/>
                <w:sz w:val="18"/>
                <w:szCs w:val="18"/>
              </w:rPr>
            </w:pPr>
            <w:r>
              <w:rPr>
                <w:rFonts w:hint="eastAsia" w:ascii="仿宋_GB2312" w:hAnsi="宋体" w:eastAsia="仿宋_GB2312"/>
                <w:b/>
                <w:color w:val="auto"/>
                <w:sz w:val="18"/>
                <w:szCs w:val="18"/>
              </w:rPr>
              <w:t>地面</w:t>
            </w:r>
          </w:p>
        </w:tc>
        <w:tc>
          <w:tcPr>
            <w:tcW w:w="1498" w:type="dxa"/>
            <w:shd w:val="clear" w:color="auto" w:fill="auto"/>
            <w:noWrap/>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rPr>
              <w:t>防滑砖</w:t>
            </w:r>
          </w:p>
        </w:tc>
        <w:tc>
          <w:tcPr>
            <w:tcW w:w="1184" w:type="dxa"/>
            <w:shd w:val="clear" w:color="auto" w:fill="auto"/>
            <w:noWrap/>
            <w:vAlign w:val="center"/>
          </w:tcPr>
          <w:p>
            <w:pPr>
              <w:widowControl/>
              <w:jc w:val="center"/>
              <w:rPr>
                <w:rFonts w:ascii="仿宋_GB2312" w:hAnsi="宋体" w:eastAsia="仿宋_GB2312"/>
                <w:b/>
                <w:color w:val="auto"/>
                <w:sz w:val="18"/>
                <w:szCs w:val="18"/>
              </w:rPr>
            </w:pPr>
            <w:r>
              <w:rPr>
                <w:rFonts w:hint="eastAsia" w:ascii="仿宋_GB2312" w:hAnsi="宋体" w:eastAsia="仿宋_GB2312"/>
                <w:b/>
                <w:color w:val="auto"/>
                <w:sz w:val="18"/>
                <w:szCs w:val="18"/>
              </w:rPr>
              <w:t>墙面</w:t>
            </w:r>
          </w:p>
        </w:tc>
        <w:tc>
          <w:tcPr>
            <w:tcW w:w="1091" w:type="dxa"/>
            <w:shd w:val="clear" w:color="auto" w:fill="auto"/>
            <w:noWrap/>
            <w:vAlign w:val="center"/>
          </w:tcPr>
          <w:p>
            <w:pPr>
              <w:widowControl/>
              <w:jc w:val="center"/>
              <w:rPr>
                <w:rFonts w:hint="eastAsia" w:ascii="仿宋_GB2312" w:hAnsi="宋体" w:eastAsia="仿宋_GB2312"/>
                <w:color w:val="auto"/>
                <w:sz w:val="18"/>
                <w:szCs w:val="18"/>
                <w:lang w:eastAsia="zh-CN"/>
              </w:rPr>
            </w:pPr>
            <w:r>
              <w:rPr>
                <w:rFonts w:hint="eastAsia" w:ascii="仿宋_GB2312" w:hAnsi="宋体" w:eastAsia="仿宋_GB2312"/>
                <w:color w:val="auto"/>
                <w:sz w:val="18"/>
                <w:szCs w:val="18"/>
                <w:lang w:eastAsia="zh-CN"/>
              </w:rPr>
              <w:t>瓷砖</w:t>
            </w:r>
          </w:p>
        </w:tc>
        <w:tc>
          <w:tcPr>
            <w:tcW w:w="1184" w:type="dxa"/>
            <w:shd w:val="clear" w:color="auto" w:fill="auto"/>
            <w:noWrap/>
            <w:vAlign w:val="center"/>
          </w:tcPr>
          <w:p>
            <w:pPr>
              <w:widowControl/>
              <w:jc w:val="center"/>
              <w:rPr>
                <w:rFonts w:ascii="仿宋_GB2312" w:hAnsi="宋体" w:eastAsia="仿宋_GB2312"/>
                <w:b/>
                <w:color w:val="auto"/>
                <w:sz w:val="18"/>
                <w:szCs w:val="18"/>
              </w:rPr>
            </w:pPr>
            <w:r>
              <w:rPr>
                <w:rFonts w:hint="eastAsia" w:ascii="仿宋_GB2312" w:hAnsi="宋体" w:eastAsia="仿宋_GB2312"/>
                <w:b/>
                <w:color w:val="auto"/>
                <w:sz w:val="18"/>
                <w:szCs w:val="18"/>
              </w:rPr>
              <w:t>顶棚</w:t>
            </w:r>
          </w:p>
        </w:tc>
        <w:tc>
          <w:tcPr>
            <w:tcW w:w="1822" w:type="dxa"/>
            <w:shd w:val="clear" w:color="auto" w:fill="auto"/>
            <w:noWrap/>
            <w:vAlign w:val="center"/>
          </w:tcPr>
          <w:p>
            <w:pPr>
              <w:widowControl/>
              <w:jc w:val="center"/>
              <w:rPr>
                <w:rFonts w:hint="eastAsia" w:ascii="仿宋_GB2312" w:hAnsi="宋体" w:eastAsia="仿宋_GB2312"/>
                <w:color w:val="auto"/>
                <w:sz w:val="18"/>
                <w:szCs w:val="18"/>
                <w:lang w:eastAsia="zh-CN"/>
              </w:rPr>
            </w:pPr>
            <w:r>
              <w:rPr>
                <w:rFonts w:hint="eastAsia" w:ascii="仿宋_GB2312" w:hAnsi="宋体" w:eastAsia="仿宋_GB2312"/>
                <w:color w:val="auto"/>
                <w:sz w:val="18"/>
                <w:szCs w:val="18"/>
                <w:lang w:eastAsia="zh-CN"/>
              </w:rPr>
              <w:t>钙塑板顶</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72" w:hRule="atLeast"/>
          <w:jc w:val="center"/>
        </w:trPr>
        <w:tc>
          <w:tcPr>
            <w:tcW w:w="1630" w:type="dxa"/>
            <w:shd w:val="clear" w:color="auto" w:fill="auto"/>
            <w:noWrap/>
            <w:vAlign w:val="center"/>
          </w:tcPr>
          <w:p>
            <w:pPr>
              <w:widowControl/>
              <w:jc w:val="center"/>
              <w:rPr>
                <w:rFonts w:ascii="仿宋_GB2312" w:hAnsi="宋体" w:eastAsia="仿宋_GB2312"/>
                <w:b/>
                <w:color w:val="auto"/>
                <w:sz w:val="18"/>
                <w:szCs w:val="18"/>
              </w:rPr>
            </w:pPr>
            <w:r>
              <w:rPr>
                <w:rFonts w:hint="eastAsia" w:ascii="仿宋_GB2312" w:hAnsi="宋体" w:eastAsia="仿宋_GB2312"/>
                <w:b/>
                <w:color w:val="auto"/>
                <w:sz w:val="18"/>
                <w:szCs w:val="18"/>
              </w:rPr>
              <w:t>厨房</w:t>
            </w:r>
          </w:p>
        </w:tc>
        <w:tc>
          <w:tcPr>
            <w:tcW w:w="1295" w:type="dxa"/>
            <w:shd w:val="clear" w:color="auto" w:fill="auto"/>
            <w:noWrap/>
            <w:vAlign w:val="center"/>
          </w:tcPr>
          <w:p>
            <w:pPr>
              <w:widowControl/>
              <w:jc w:val="center"/>
              <w:rPr>
                <w:rFonts w:ascii="仿宋_GB2312" w:hAnsi="宋体" w:eastAsia="仿宋_GB2312"/>
                <w:b/>
                <w:color w:val="auto"/>
                <w:sz w:val="18"/>
                <w:szCs w:val="18"/>
              </w:rPr>
            </w:pPr>
            <w:r>
              <w:rPr>
                <w:rFonts w:hint="eastAsia" w:ascii="仿宋_GB2312" w:hAnsi="宋体" w:eastAsia="仿宋_GB2312"/>
                <w:b/>
                <w:color w:val="auto"/>
                <w:sz w:val="18"/>
                <w:szCs w:val="18"/>
              </w:rPr>
              <w:t>地面</w:t>
            </w:r>
          </w:p>
        </w:tc>
        <w:tc>
          <w:tcPr>
            <w:tcW w:w="1498" w:type="dxa"/>
            <w:shd w:val="clear" w:color="auto" w:fill="auto"/>
            <w:noWrap/>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rPr>
              <w:t>地砖</w:t>
            </w:r>
          </w:p>
        </w:tc>
        <w:tc>
          <w:tcPr>
            <w:tcW w:w="1184" w:type="dxa"/>
            <w:shd w:val="clear" w:color="auto" w:fill="auto"/>
            <w:noWrap/>
            <w:vAlign w:val="center"/>
          </w:tcPr>
          <w:p>
            <w:pPr>
              <w:widowControl/>
              <w:jc w:val="center"/>
              <w:rPr>
                <w:rFonts w:ascii="仿宋_GB2312" w:hAnsi="宋体" w:eastAsia="仿宋_GB2312"/>
                <w:b/>
                <w:color w:val="auto"/>
                <w:sz w:val="18"/>
                <w:szCs w:val="18"/>
              </w:rPr>
            </w:pPr>
            <w:r>
              <w:rPr>
                <w:rFonts w:hint="eastAsia" w:ascii="仿宋_GB2312" w:hAnsi="宋体" w:eastAsia="仿宋_GB2312"/>
                <w:b/>
                <w:color w:val="auto"/>
                <w:sz w:val="18"/>
                <w:szCs w:val="18"/>
              </w:rPr>
              <w:t>墙面</w:t>
            </w:r>
          </w:p>
        </w:tc>
        <w:tc>
          <w:tcPr>
            <w:tcW w:w="1091" w:type="dxa"/>
            <w:shd w:val="clear" w:color="auto" w:fill="auto"/>
            <w:noWrap/>
            <w:vAlign w:val="center"/>
          </w:tcPr>
          <w:p>
            <w:pPr>
              <w:widowControl/>
              <w:jc w:val="center"/>
              <w:rPr>
                <w:rFonts w:hint="eastAsia" w:ascii="仿宋_GB2312" w:hAnsi="宋体" w:eastAsia="仿宋_GB2312"/>
                <w:color w:val="auto"/>
                <w:sz w:val="18"/>
                <w:szCs w:val="18"/>
                <w:lang w:eastAsia="zh-CN"/>
              </w:rPr>
            </w:pPr>
            <w:r>
              <w:rPr>
                <w:rFonts w:hint="eastAsia" w:ascii="仿宋_GB2312" w:hAnsi="宋体" w:eastAsia="仿宋_GB2312"/>
                <w:color w:val="auto"/>
                <w:sz w:val="18"/>
                <w:szCs w:val="18"/>
                <w:lang w:eastAsia="zh-CN"/>
              </w:rPr>
              <w:t>瓷砖</w:t>
            </w:r>
          </w:p>
        </w:tc>
        <w:tc>
          <w:tcPr>
            <w:tcW w:w="1184" w:type="dxa"/>
            <w:shd w:val="clear" w:color="auto" w:fill="auto"/>
            <w:noWrap/>
            <w:vAlign w:val="center"/>
          </w:tcPr>
          <w:p>
            <w:pPr>
              <w:widowControl/>
              <w:jc w:val="center"/>
              <w:rPr>
                <w:rFonts w:ascii="仿宋_GB2312" w:hAnsi="宋体" w:eastAsia="仿宋_GB2312"/>
                <w:b/>
                <w:color w:val="auto"/>
                <w:sz w:val="18"/>
                <w:szCs w:val="18"/>
              </w:rPr>
            </w:pPr>
            <w:r>
              <w:rPr>
                <w:rFonts w:hint="eastAsia" w:ascii="仿宋_GB2312" w:hAnsi="宋体" w:eastAsia="仿宋_GB2312"/>
                <w:b/>
                <w:color w:val="auto"/>
                <w:sz w:val="18"/>
                <w:szCs w:val="18"/>
              </w:rPr>
              <w:t>顶棚</w:t>
            </w:r>
          </w:p>
        </w:tc>
        <w:tc>
          <w:tcPr>
            <w:tcW w:w="1822" w:type="dxa"/>
            <w:shd w:val="clear" w:color="auto" w:fill="auto"/>
            <w:noWrap/>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lang w:eastAsia="zh-CN"/>
              </w:rPr>
              <w:t>钙塑板顶</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72" w:hRule="atLeast"/>
          <w:jc w:val="center"/>
        </w:trPr>
        <w:tc>
          <w:tcPr>
            <w:tcW w:w="1630" w:type="dxa"/>
            <w:shd w:val="clear" w:color="auto" w:fill="auto"/>
            <w:noWrap/>
            <w:vAlign w:val="center"/>
          </w:tcPr>
          <w:p>
            <w:pPr>
              <w:widowControl/>
              <w:jc w:val="center"/>
              <w:rPr>
                <w:rFonts w:ascii="仿宋_GB2312" w:hAnsi="宋体" w:eastAsia="仿宋_GB2312"/>
                <w:b/>
                <w:color w:val="auto"/>
                <w:sz w:val="18"/>
                <w:szCs w:val="18"/>
              </w:rPr>
            </w:pPr>
            <w:r>
              <w:rPr>
                <w:rFonts w:hint="eastAsia" w:ascii="仿宋_GB2312" w:hAnsi="宋体" w:eastAsia="仿宋_GB2312"/>
                <w:b/>
                <w:color w:val="auto"/>
                <w:sz w:val="18"/>
                <w:szCs w:val="18"/>
              </w:rPr>
              <w:t>餐厅</w:t>
            </w:r>
          </w:p>
        </w:tc>
        <w:tc>
          <w:tcPr>
            <w:tcW w:w="1295" w:type="dxa"/>
            <w:shd w:val="clear" w:color="auto" w:fill="auto"/>
            <w:noWrap/>
            <w:vAlign w:val="center"/>
          </w:tcPr>
          <w:p>
            <w:pPr>
              <w:widowControl/>
              <w:jc w:val="center"/>
              <w:rPr>
                <w:rFonts w:ascii="仿宋_GB2312" w:hAnsi="宋体" w:eastAsia="仿宋_GB2312"/>
                <w:b/>
                <w:color w:val="auto"/>
                <w:sz w:val="18"/>
                <w:szCs w:val="18"/>
              </w:rPr>
            </w:pPr>
            <w:r>
              <w:rPr>
                <w:rFonts w:hint="eastAsia" w:ascii="仿宋_GB2312" w:hAnsi="宋体" w:eastAsia="仿宋_GB2312"/>
                <w:b/>
                <w:color w:val="auto"/>
                <w:sz w:val="18"/>
                <w:szCs w:val="18"/>
              </w:rPr>
              <w:t>地面</w:t>
            </w:r>
          </w:p>
        </w:tc>
        <w:tc>
          <w:tcPr>
            <w:tcW w:w="1498" w:type="dxa"/>
            <w:shd w:val="clear" w:color="auto" w:fill="auto"/>
            <w:noWrap/>
            <w:vAlign w:val="center"/>
          </w:tcPr>
          <w:p>
            <w:pPr>
              <w:widowControl/>
              <w:jc w:val="center"/>
              <w:rPr>
                <w:rFonts w:hint="eastAsia" w:ascii="仿宋_GB2312" w:hAnsi="宋体" w:eastAsia="仿宋_GB2312"/>
                <w:color w:val="auto"/>
                <w:sz w:val="18"/>
                <w:szCs w:val="18"/>
                <w:lang w:eastAsia="zh-CN"/>
              </w:rPr>
            </w:pPr>
            <w:r>
              <w:rPr>
                <w:rFonts w:hint="eastAsia" w:ascii="仿宋_GB2312" w:hAnsi="宋体" w:eastAsia="仿宋_GB2312"/>
                <w:color w:val="auto"/>
                <w:sz w:val="18"/>
                <w:szCs w:val="18"/>
              </w:rPr>
              <w:t>地</w:t>
            </w:r>
            <w:r>
              <w:rPr>
                <w:rFonts w:hint="eastAsia" w:ascii="仿宋_GB2312" w:hAnsi="宋体" w:eastAsia="仿宋_GB2312"/>
                <w:color w:val="auto"/>
                <w:sz w:val="18"/>
                <w:szCs w:val="18"/>
                <w:lang w:eastAsia="zh-CN"/>
              </w:rPr>
              <w:t>砖</w:t>
            </w:r>
          </w:p>
        </w:tc>
        <w:tc>
          <w:tcPr>
            <w:tcW w:w="1184" w:type="dxa"/>
            <w:shd w:val="clear" w:color="auto" w:fill="auto"/>
            <w:noWrap/>
            <w:vAlign w:val="center"/>
          </w:tcPr>
          <w:p>
            <w:pPr>
              <w:widowControl/>
              <w:jc w:val="center"/>
              <w:rPr>
                <w:rFonts w:ascii="仿宋_GB2312" w:hAnsi="宋体" w:eastAsia="仿宋_GB2312"/>
                <w:color w:val="auto"/>
                <w:sz w:val="18"/>
                <w:szCs w:val="18"/>
              </w:rPr>
            </w:pPr>
            <w:r>
              <w:rPr>
                <w:rFonts w:hint="eastAsia" w:ascii="仿宋_GB2312" w:hAnsi="宋体" w:eastAsia="仿宋_GB2312"/>
                <w:b/>
                <w:color w:val="auto"/>
                <w:sz w:val="18"/>
                <w:szCs w:val="18"/>
              </w:rPr>
              <w:t>墙面</w:t>
            </w:r>
          </w:p>
        </w:tc>
        <w:tc>
          <w:tcPr>
            <w:tcW w:w="1091" w:type="dxa"/>
            <w:shd w:val="clear" w:color="auto" w:fill="auto"/>
            <w:noWrap/>
            <w:vAlign w:val="center"/>
          </w:tcPr>
          <w:p>
            <w:pPr>
              <w:widowControl/>
              <w:jc w:val="center"/>
              <w:rPr>
                <w:rFonts w:hint="eastAsia" w:ascii="仿宋_GB2312" w:hAnsi="宋体" w:eastAsia="仿宋_GB2312"/>
                <w:color w:val="auto"/>
                <w:sz w:val="18"/>
                <w:szCs w:val="18"/>
                <w:lang w:eastAsia="zh-CN"/>
              </w:rPr>
            </w:pPr>
            <w:r>
              <w:rPr>
                <w:rFonts w:hint="eastAsia" w:ascii="仿宋_GB2312" w:hAnsi="宋体" w:eastAsia="仿宋_GB2312"/>
                <w:color w:val="auto"/>
                <w:sz w:val="18"/>
                <w:szCs w:val="18"/>
                <w:lang w:eastAsia="zh-CN"/>
              </w:rPr>
              <w:t>瓷砖</w:t>
            </w:r>
          </w:p>
        </w:tc>
        <w:tc>
          <w:tcPr>
            <w:tcW w:w="1184" w:type="dxa"/>
            <w:shd w:val="clear" w:color="auto" w:fill="auto"/>
            <w:noWrap/>
            <w:vAlign w:val="center"/>
          </w:tcPr>
          <w:p>
            <w:pPr>
              <w:widowControl/>
              <w:jc w:val="center"/>
              <w:rPr>
                <w:rFonts w:ascii="仿宋_GB2312" w:hAnsi="宋体" w:eastAsia="仿宋_GB2312"/>
                <w:b/>
                <w:color w:val="auto"/>
                <w:sz w:val="18"/>
                <w:szCs w:val="18"/>
              </w:rPr>
            </w:pPr>
            <w:r>
              <w:rPr>
                <w:rFonts w:hint="eastAsia" w:ascii="仿宋_GB2312" w:hAnsi="宋体" w:eastAsia="仿宋_GB2312"/>
                <w:b/>
                <w:color w:val="auto"/>
                <w:sz w:val="18"/>
                <w:szCs w:val="18"/>
              </w:rPr>
              <w:t>顶棚</w:t>
            </w:r>
          </w:p>
        </w:tc>
        <w:tc>
          <w:tcPr>
            <w:tcW w:w="1822" w:type="dxa"/>
            <w:shd w:val="clear" w:color="auto" w:fill="auto"/>
            <w:noWrap/>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rPr>
              <w:t>吊顶</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72" w:hRule="atLeast"/>
          <w:jc w:val="center"/>
        </w:trPr>
        <w:tc>
          <w:tcPr>
            <w:tcW w:w="1630" w:type="dxa"/>
            <w:shd w:val="clear" w:color="auto" w:fill="auto"/>
            <w:noWrap/>
            <w:vAlign w:val="center"/>
          </w:tcPr>
          <w:p>
            <w:pPr>
              <w:widowControl/>
              <w:jc w:val="center"/>
              <w:rPr>
                <w:rFonts w:ascii="仿宋_GB2312" w:hAnsi="宋体" w:eastAsia="仿宋_GB2312"/>
                <w:b/>
                <w:color w:val="auto"/>
                <w:sz w:val="18"/>
                <w:szCs w:val="18"/>
              </w:rPr>
            </w:pPr>
            <w:r>
              <w:rPr>
                <w:rFonts w:hint="eastAsia" w:ascii="仿宋_GB2312" w:hAnsi="宋体" w:eastAsia="仿宋_GB2312"/>
                <w:b/>
                <w:color w:val="auto"/>
                <w:sz w:val="18"/>
                <w:szCs w:val="18"/>
              </w:rPr>
              <w:t>特殊情况说明</w:t>
            </w:r>
          </w:p>
        </w:tc>
        <w:tc>
          <w:tcPr>
            <w:tcW w:w="8074" w:type="dxa"/>
            <w:gridSpan w:val="6"/>
            <w:shd w:val="clear" w:color="auto" w:fill="auto"/>
            <w:noWrap/>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r>
    </w:tbl>
    <w:p>
      <w:pPr>
        <w:adjustRightInd w:val="0"/>
        <w:snapToGrid w:val="0"/>
        <w:spacing w:beforeLines="100" w:line="360" w:lineRule="auto"/>
        <w:ind w:firstLine="562" w:firstLineChars="200"/>
        <w:rPr>
          <w:rFonts w:eastAsia="仿宋_GB2312"/>
          <w:snapToGrid w:val="0"/>
          <w:color w:val="auto"/>
          <w:kern w:val="0"/>
          <w:sz w:val="28"/>
          <w:szCs w:val="28"/>
        </w:rPr>
      </w:pPr>
      <w:r>
        <w:rPr>
          <w:rFonts w:eastAsia="仿宋_GB2312"/>
          <w:b/>
          <w:snapToGrid w:val="0"/>
          <w:color w:val="auto"/>
          <w:kern w:val="0"/>
          <w:sz w:val="28"/>
          <w:szCs w:val="28"/>
        </w:rPr>
        <w:t>3.区位状况描述与分析</w:t>
      </w:r>
    </w:p>
    <w:tbl>
      <w:tblPr>
        <w:tblStyle w:val="47"/>
        <w:tblW w:w="9613" w:type="dxa"/>
        <w:jc w:val="center"/>
        <w:tblInd w:w="-176" w:type="dxa"/>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923"/>
        <w:gridCol w:w="7690"/>
      </w:tblGrid>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420" w:hRule="atLeast"/>
          <w:jc w:val="center"/>
        </w:trPr>
        <w:tc>
          <w:tcPr>
            <w:tcW w:w="1923" w:type="dxa"/>
            <w:tcBorders>
              <w:top w:val="thinThickSmallGap" w:color="auto" w:sz="12" w:space="0"/>
            </w:tcBorders>
            <w:vAlign w:val="center"/>
          </w:tcPr>
          <w:p>
            <w:pPr>
              <w:widowControl/>
              <w:jc w:val="center"/>
              <w:rPr>
                <w:rFonts w:eastAsia="仿宋_GB2312"/>
                <w:b/>
                <w:color w:val="auto"/>
                <w:kern w:val="0"/>
                <w:sz w:val="18"/>
                <w:szCs w:val="18"/>
              </w:rPr>
            </w:pPr>
            <w:r>
              <w:rPr>
                <w:rFonts w:hint="eastAsia" w:eastAsia="仿宋_GB2312"/>
                <w:b/>
                <w:color w:val="auto"/>
                <w:kern w:val="0"/>
                <w:sz w:val="18"/>
                <w:szCs w:val="18"/>
              </w:rPr>
              <w:t>集聚效应</w:t>
            </w:r>
          </w:p>
        </w:tc>
        <w:tc>
          <w:tcPr>
            <w:tcW w:w="7690" w:type="dxa"/>
            <w:tcBorders>
              <w:top w:val="thinThickSmallGap" w:color="auto" w:sz="12" w:space="0"/>
            </w:tcBorders>
            <w:vAlign w:val="center"/>
          </w:tcPr>
          <w:p>
            <w:pPr>
              <w:widowControl/>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较好</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12" w:hRule="atLeast"/>
          <w:jc w:val="center"/>
        </w:trPr>
        <w:tc>
          <w:tcPr>
            <w:tcW w:w="1923" w:type="dxa"/>
            <w:vAlign w:val="center"/>
          </w:tcPr>
          <w:p>
            <w:pPr>
              <w:widowControl/>
              <w:jc w:val="center"/>
              <w:rPr>
                <w:rFonts w:eastAsia="仿宋_GB2312"/>
                <w:b/>
                <w:color w:val="auto"/>
                <w:kern w:val="0"/>
                <w:sz w:val="18"/>
                <w:szCs w:val="18"/>
              </w:rPr>
            </w:pPr>
            <w:r>
              <w:rPr>
                <w:rFonts w:eastAsia="仿宋_GB2312"/>
                <w:b/>
                <w:color w:val="auto"/>
                <w:kern w:val="0"/>
                <w:sz w:val="18"/>
                <w:szCs w:val="18"/>
              </w:rPr>
              <w:t>基础设施配套</w:t>
            </w:r>
          </w:p>
        </w:tc>
        <w:tc>
          <w:tcPr>
            <w:tcW w:w="7690" w:type="dxa"/>
            <w:vAlign w:val="center"/>
          </w:tcPr>
          <w:p>
            <w:pPr>
              <w:widowControl/>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七通</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260" w:hRule="atLeast"/>
          <w:jc w:val="center"/>
        </w:trPr>
        <w:tc>
          <w:tcPr>
            <w:tcW w:w="1923" w:type="dxa"/>
            <w:vAlign w:val="center"/>
          </w:tcPr>
          <w:p>
            <w:pPr>
              <w:widowControl/>
              <w:jc w:val="center"/>
              <w:rPr>
                <w:rFonts w:eastAsia="仿宋_GB2312"/>
                <w:b/>
                <w:color w:val="auto"/>
                <w:kern w:val="0"/>
                <w:sz w:val="18"/>
                <w:szCs w:val="18"/>
              </w:rPr>
            </w:pPr>
            <w:r>
              <w:rPr>
                <w:rFonts w:eastAsia="仿宋_GB2312"/>
                <w:b/>
                <w:color w:val="auto"/>
                <w:kern w:val="0"/>
                <w:sz w:val="18"/>
                <w:szCs w:val="18"/>
              </w:rPr>
              <w:t>公共服务设施</w:t>
            </w:r>
          </w:p>
        </w:tc>
        <w:tc>
          <w:tcPr>
            <w:tcW w:w="7690" w:type="dxa"/>
            <w:vAlign w:val="center"/>
          </w:tcPr>
          <w:p>
            <w:pPr>
              <w:widowControl/>
              <w:jc w:val="center"/>
              <w:rPr>
                <w:rFonts w:ascii="仿宋_GB2312" w:hAnsi="仿宋" w:eastAsia="仿宋_GB2312" w:cs="宋体"/>
                <w:color w:val="auto"/>
                <w:kern w:val="0"/>
                <w:szCs w:val="21"/>
              </w:rPr>
            </w:pPr>
            <w:r>
              <w:rPr>
                <w:rFonts w:hint="eastAsia" w:ascii="仿宋_GB2312" w:hAnsi="仿宋" w:eastAsia="仿宋_GB2312" w:cs="宋体"/>
                <w:color w:val="auto"/>
                <w:kern w:val="0"/>
                <w:szCs w:val="21"/>
              </w:rPr>
              <w:t>较不完备</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08" w:hRule="atLeast"/>
          <w:jc w:val="center"/>
        </w:trPr>
        <w:tc>
          <w:tcPr>
            <w:tcW w:w="1923" w:type="dxa"/>
            <w:vAlign w:val="center"/>
          </w:tcPr>
          <w:p>
            <w:pPr>
              <w:widowControl/>
              <w:jc w:val="center"/>
              <w:rPr>
                <w:rFonts w:eastAsia="仿宋_GB2312"/>
                <w:b/>
                <w:color w:val="auto"/>
                <w:kern w:val="0"/>
                <w:sz w:val="18"/>
                <w:szCs w:val="18"/>
              </w:rPr>
            </w:pPr>
            <w:r>
              <w:rPr>
                <w:rFonts w:eastAsia="仿宋_GB2312"/>
                <w:b/>
                <w:color w:val="auto"/>
                <w:kern w:val="0"/>
                <w:sz w:val="18"/>
                <w:szCs w:val="18"/>
              </w:rPr>
              <w:t>交通便捷度</w:t>
            </w:r>
          </w:p>
        </w:tc>
        <w:tc>
          <w:tcPr>
            <w:tcW w:w="7690" w:type="dxa"/>
            <w:vAlign w:val="center"/>
          </w:tcPr>
          <w:p>
            <w:pPr>
              <w:widowControl/>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lang w:eastAsia="zh-CN"/>
              </w:rPr>
              <w:t>不</w:t>
            </w:r>
            <w:r>
              <w:rPr>
                <w:rFonts w:hint="eastAsia" w:ascii="仿宋_GB2312" w:hAnsi="宋体" w:eastAsia="仿宋_GB2312" w:cs="宋体"/>
                <w:color w:val="auto"/>
                <w:kern w:val="0"/>
                <w:szCs w:val="21"/>
              </w:rPr>
              <w:t>便捷</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412" w:hRule="atLeast"/>
          <w:jc w:val="center"/>
        </w:trPr>
        <w:tc>
          <w:tcPr>
            <w:tcW w:w="1923" w:type="dxa"/>
            <w:vAlign w:val="center"/>
          </w:tcPr>
          <w:p>
            <w:pPr>
              <w:widowControl/>
              <w:jc w:val="center"/>
              <w:rPr>
                <w:rFonts w:eastAsia="仿宋_GB2312"/>
                <w:b/>
                <w:color w:val="auto"/>
                <w:kern w:val="0"/>
                <w:sz w:val="18"/>
                <w:szCs w:val="18"/>
              </w:rPr>
            </w:pPr>
            <w:r>
              <w:rPr>
                <w:rFonts w:eastAsia="仿宋_GB2312"/>
                <w:b/>
                <w:color w:val="auto"/>
                <w:kern w:val="0"/>
                <w:sz w:val="18"/>
                <w:szCs w:val="18"/>
              </w:rPr>
              <w:t>周边典型物业</w:t>
            </w:r>
          </w:p>
        </w:tc>
        <w:tc>
          <w:tcPr>
            <w:tcW w:w="7690" w:type="dxa"/>
            <w:vAlign w:val="center"/>
          </w:tcPr>
          <w:p>
            <w:pPr>
              <w:widowControl/>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力华园</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20" w:hRule="atLeast"/>
          <w:jc w:val="center"/>
        </w:trPr>
        <w:tc>
          <w:tcPr>
            <w:tcW w:w="1923" w:type="dxa"/>
            <w:tcBorders>
              <w:bottom w:val="thickThinSmallGap" w:color="auto" w:sz="12" w:space="0"/>
            </w:tcBorders>
            <w:vAlign w:val="center"/>
          </w:tcPr>
          <w:p>
            <w:pPr>
              <w:widowControl/>
              <w:jc w:val="center"/>
              <w:rPr>
                <w:rFonts w:eastAsia="仿宋_GB2312"/>
                <w:b/>
                <w:color w:val="auto"/>
                <w:kern w:val="0"/>
                <w:sz w:val="18"/>
                <w:szCs w:val="18"/>
              </w:rPr>
            </w:pPr>
            <w:r>
              <w:rPr>
                <w:rFonts w:eastAsia="仿宋_GB2312"/>
                <w:b/>
                <w:color w:val="auto"/>
                <w:kern w:val="0"/>
                <w:sz w:val="18"/>
                <w:szCs w:val="18"/>
              </w:rPr>
              <w:t>环境景观</w:t>
            </w:r>
          </w:p>
        </w:tc>
        <w:tc>
          <w:tcPr>
            <w:tcW w:w="7690" w:type="dxa"/>
            <w:tcBorders>
              <w:bottom w:val="thickThinSmallGap" w:color="auto" w:sz="12" w:space="0"/>
            </w:tcBorders>
            <w:vAlign w:val="center"/>
          </w:tcPr>
          <w:p>
            <w:pPr>
              <w:widowControl/>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较好</w:t>
            </w:r>
          </w:p>
        </w:tc>
      </w:tr>
    </w:tbl>
    <w:p>
      <w:pPr>
        <w:pStyle w:val="3"/>
        <w:ind w:firstLine="562"/>
        <w:rPr>
          <w:rFonts w:ascii="Times New Roman" w:hAnsi="Times New Roman"/>
          <w:color w:val="auto"/>
        </w:rPr>
      </w:pPr>
      <w:bookmarkStart w:id="69" w:name="_Toc367869501"/>
      <w:bookmarkStart w:id="70" w:name="_Toc270691071"/>
      <w:bookmarkStart w:id="71" w:name="_Toc301369719"/>
      <w:bookmarkStart w:id="72" w:name="_Toc269132872"/>
      <w:bookmarkStart w:id="73" w:name="_Toc254860129"/>
      <w:bookmarkStart w:id="74" w:name="_Toc243111689"/>
      <w:bookmarkStart w:id="75" w:name="_Toc254875143"/>
      <w:bookmarkStart w:id="76" w:name="_Toc243111718"/>
      <w:bookmarkStart w:id="77" w:name="_Toc130033725"/>
      <w:bookmarkStart w:id="78" w:name="_Toc135016175"/>
      <w:bookmarkStart w:id="79" w:name="_Toc521268505"/>
      <w:r>
        <w:rPr>
          <w:rFonts w:ascii="Times New Roman" w:hAnsi="Times New Roman"/>
          <w:color w:val="auto"/>
        </w:rPr>
        <w:t>（</w:t>
      </w:r>
      <w:r>
        <w:rPr>
          <w:rFonts w:hint="eastAsia" w:ascii="Times New Roman" w:hAnsi="Times New Roman"/>
          <w:color w:val="auto"/>
        </w:rPr>
        <w:t>五</w:t>
      </w:r>
      <w:r>
        <w:rPr>
          <w:rFonts w:ascii="Times New Roman" w:hAnsi="Times New Roman"/>
          <w:color w:val="auto"/>
        </w:rPr>
        <w:t>）</w:t>
      </w:r>
      <w:bookmarkEnd w:id="69"/>
      <w:bookmarkEnd w:id="70"/>
      <w:bookmarkEnd w:id="71"/>
      <w:bookmarkEnd w:id="72"/>
      <w:bookmarkEnd w:id="73"/>
      <w:bookmarkEnd w:id="74"/>
      <w:bookmarkEnd w:id="75"/>
      <w:bookmarkEnd w:id="76"/>
      <w:bookmarkEnd w:id="77"/>
      <w:bookmarkEnd w:id="78"/>
      <w:r>
        <w:rPr>
          <w:rFonts w:ascii="Times New Roman" w:hAnsi="Times New Roman"/>
          <w:color w:val="auto"/>
        </w:rPr>
        <w:t>价值时点</w:t>
      </w:r>
      <w:bookmarkEnd w:id="79"/>
    </w:p>
    <w:p>
      <w:pPr>
        <w:adjustRightInd w:val="0"/>
        <w:snapToGrid w:val="0"/>
        <w:spacing w:line="360" w:lineRule="auto"/>
        <w:ind w:firstLine="560" w:firstLineChars="200"/>
        <w:rPr>
          <w:rFonts w:eastAsia="仿宋_GB2312"/>
          <w:snapToGrid w:val="0"/>
          <w:color w:val="auto"/>
          <w:kern w:val="0"/>
          <w:sz w:val="28"/>
          <w:szCs w:val="28"/>
        </w:rPr>
      </w:pPr>
      <w:bookmarkStart w:id="80" w:name="_Toc384323577"/>
      <w:bookmarkStart w:id="81" w:name="_Toc384364487"/>
      <w:r>
        <w:rPr>
          <w:rFonts w:eastAsia="仿宋_GB2312"/>
          <w:snapToGrid w:val="0"/>
          <w:color w:val="auto"/>
          <w:kern w:val="0"/>
          <w:sz w:val="28"/>
          <w:szCs w:val="28"/>
        </w:rPr>
        <w:t>本次估价完成估价对象实地查勘之日为201</w:t>
      </w:r>
      <w:r>
        <w:rPr>
          <w:rFonts w:hint="eastAsia" w:eastAsia="仿宋_GB2312"/>
          <w:snapToGrid w:val="0"/>
          <w:color w:val="auto"/>
          <w:kern w:val="0"/>
          <w:sz w:val="28"/>
          <w:szCs w:val="28"/>
          <w:lang w:val="en-US" w:eastAsia="zh-CN"/>
        </w:rPr>
        <w:t>9</w:t>
      </w:r>
      <w:r>
        <w:rPr>
          <w:rFonts w:eastAsia="仿宋_GB2312"/>
          <w:snapToGrid w:val="0"/>
          <w:color w:val="auto"/>
          <w:kern w:val="0"/>
          <w:sz w:val="28"/>
          <w:szCs w:val="28"/>
        </w:rPr>
        <w:t>年</w:t>
      </w:r>
      <w:r>
        <w:rPr>
          <w:rFonts w:hint="eastAsia" w:eastAsia="仿宋_GB2312"/>
          <w:snapToGrid w:val="0"/>
          <w:color w:val="auto"/>
          <w:kern w:val="0"/>
          <w:sz w:val="28"/>
          <w:szCs w:val="28"/>
          <w:lang w:val="en-US" w:eastAsia="zh-CN"/>
        </w:rPr>
        <w:t>1</w:t>
      </w:r>
      <w:r>
        <w:rPr>
          <w:rFonts w:eastAsia="仿宋_GB2312"/>
          <w:snapToGrid w:val="0"/>
          <w:color w:val="auto"/>
          <w:kern w:val="0"/>
          <w:sz w:val="28"/>
          <w:szCs w:val="28"/>
        </w:rPr>
        <w:t>月</w:t>
      </w:r>
      <w:r>
        <w:rPr>
          <w:rFonts w:hint="eastAsia" w:eastAsia="仿宋_GB2312"/>
          <w:snapToGrid w:val="0"/>
          <w:color w:val="auto"/>
          <w:kern w:val="0"/>
          <w:sz w:val="28"/>
          <w:szCs w:val="28"/>
          <w:lang w:val="en-US" w:eastAsia="zh-CN"/>
        </w:rPr>
        <w:t>24</w:t>
      </w:r>
      <w:r>
        <w:rPr>
          <w:rFonts w:eastAsia="仿宋_GB2312"/>
          <w:snapToGrid w:val="0"/>
          <w:color w:val="auto"/>
          <w:kern w:val="0"/>
          <w:sz w:val="28"/>
          <w:szCs w:val="28"/>
        </w:rPr>
        <w:t>日，经与估价委托人商定，价值时点确定为201</w:t>
      </w:r>
      <w:r>
        <w:rPr>
          <w:rFonts w:hint="eastAsia" w:eastAsia="仿宋_GB2312"/>
          <w:snapToGrid w:val="0"/>
          <w:color w:val="auto"/>
          <w:kern w:val="0"/>
          <w:sz w:val="28"/>
          <w:szCs w:val="28"/>
          <w:lang w:val="en-US" w:eastAsia="zh-CN"/>
        </w:rPr>
        <w:t>9</w:t>
      </w:r>
      <w:r>
        <w:rPr>
          <w:rFonts w:eastAsia="仿宋_GB2312"/>
          <w:snapToGrid w:val="0"/>
          <w:color w:val="auto"/>
          <w:kern w:val="0"/>
          <w:sz w:val="28"/>
          <w:szCs w:val="28"/>
        </w:rPr>
        <w:t>年</w:t>
      </w:r>
      <w:r>
        <w:rPr>
          <w:rFonts w:hint="eastAsia" w:eastAsia="仿宋_GB2312"/>
          <w:snapToGrid w:val="0"/>
          <w:color w:val="auto"/>
          <w:kern w:val="0"/>
          <w:sz w:val="28"/>
          <w:szCs w:val="28"/>
          <w:lang w:val="en-US" w:eastAsia="zh-CN"/>
        </w:rPr>
        <w:t>1</w:t>
      </w:r>
      <w:r>
        <w:rPr>
          <w:rFonts w:eastAsia="仿宋_GB2312"/>
          <w:snapToGrid w:val="0"/>
          <w:color w:val="auto"/>
          <w:kern w:val="0"/>
          <w:sz w:val="28"/>
          <w:szCs w:val="28"/>
        </w:rPr>
        <w:t>月</w:t>
      </w:r>
      <w:r>
        <w:rPr>
          <w:rFonts w:hint="eastAsia" w:eastAsia="仿宋_GB2312"/>
          <w:snapToGrid w:val="0"/>
          <w:color w:val="auto"/>
          <w:kern w:val="0"/>
          <w:sz w:val="28"/>
          <w:szCs w:val="28"/>
          <w:lang w:val="en-US" w:eastAsia="zh-CN"/>
        </w:rPr>
        <w:t>24</w:t>
      </w:r>
      <w:r>
        <w:rPr>
          <w:rFonts w:eastAsia="仿宋_GB2312"/>
          <w:snapToGrid w:val="0"/>
          <w:color w:val="auto"/>
          <w:kern w:val="0"/>
          <w:sz w:val="28"/>
          <w:szCs w:val="28"/>
        </w:rPr>
        <w:t>日。</w:t>
      </w:r>
    </w:p>
    <w:bookmarkEnd w:id="80"/>
    <w:bookmarkEnd w:id="81"/>
    <w:p>
      <w:pPr>
        <w:pStyle w:val="3"/>
        <w:ind w:firstLine="562"/>
        <w:rPr>
          <w:rFonts w:ascii="Times New Roman" w:hAnsi="Times New Roman"/>
          <w:color w:val="auto"/>
        </w:rPr>
      </w:pPr>
      <w:bookmarkStart w:id="82" w:name="_Toc135016176"/>
      <w:bookmarkStart w:id="83" w:name="_Toc243111690"/>
      <w:bookmarkStart w:id="84" w:name="_Toc130033726"/>
      <w:bookmarkStart w:id="85" w:name="_Toc243111719"/>
      <w:bookmarkStart w:id="86" w:name="_Toc270691072"/>
      <w:bookmarkStart w:id="87" w:name="_Toc254860130"/>
      <w:bookmarkStart w:id="88" w:name="_Toc269132873"/>
      <w:bookmarkStart w:id="89" w:name="_Toc301369720"/>
      <w:bookmarkStart w:id="90" w:name="_Toc254875144"/>
      <w:bookmarkStart w:id="91" w:name="_Toc367869502"/>
      <w:bookmarkStart w:id="92" w:name="_Toc521268506"/>
      <w:r>
        <w:rPr>
          <w:rFonts w:ascii="Times New Roman" w:hAnsi="Times New Roman"/>
          <w:color w:val="auto"/>
        </w:rPr>
        <w:t>（</w:t>
      </w:r>
      <w:r>
        <w:rPr>
          <w:rFonts w:hint="eastAsia" w:ascii="Times New Roman" w:hAnsi="Times New Roman"/>
          <w:color w:val="auto"/>
        </w:rPr>
        <w:t>六</w:t>
      </w:r>
      <w:r>
        <w:rPr>
          <w:rFonts w:ascii="Times New Roman" w:hAnsi="Times New Roman"/>
          <w:color w:val="auto"/>
        </w:rPr>
        <w:t>）价值</w:t>
      </w:r>
      <w:bookmarkEnd w:id="82"/>
      <w:bookmarkEnd w:id="83"/>
      <w:bookmarkEnd w:id="84"/>
      <w:bookmarkEnd w:id="85"/>
      <w:bookmarkEnd w:id="86"/>
      <w:bookmarkEnd w:id="87"/>
      <w:bookmarkEnd w:id="88"/>
      <w:bookmarkEnd w:id="89"/>
      <w:bookmarkEnd w:id="90"/>
      <w:bookmarkEnd w:id="91"/>
      <w:r>
        <w:rPr>
          <w:rFonts w:ascii="Times New Roman" w:hAnsi="Times New Roman"/>
          <w:color w:val="auto"/>
        </w:rPr>
        <w:t>类型</w:t>
      </w:r>
      <w:bookmarkEnd w:id="92"/>
    </w:p>
    <w:p>
      <w:pPr>
        <w:adjustRightInd w:val="0"/>
        <w:snapToGrid w:val="0"/>
        <w:spacing w:line="360" w:lineRule="auto"/>
        <w:ind w:firstLine="560" w:firstLineChars="200"/>
        <w:rPr>
          <w:rFonts w:eastAsia="仿宋_GB2312"/>
          <w:snapToGrid w:val="0"/>
          <w:color w:val="auto"/>
          <w:kern w:val="0"/>
          <w:sz w:val="28"/>
          <w:szCs w:val="28"/>
        </w:rPr>
      </w:pPr>
      <w:bookmarkStart w:id="93" w:name="_Toc367869504"/>
      <w:bookmarkStart w:id="94" w:name="_Toc301369722"/>
      <w:bookmarkStart w:id="95" w:name="_Toc135016178"/>
      <w:bookmarkStart w:id="96" w:name="_Toc130033728"/>
      <w:bookmarkStart w:id="97" w:name="_Toc269132875"/>
      <w:bookmarkStart w:id="98" w:name="_Toc243111721"/>
      <w:bookmarkStart w:id="99" w:name="_Toc270691074"/>
      <w:bookmarkStart w:id="100" w:name="_Toc254875146"/>
      <w:bookmarkStart w:id="101" w:name="_Toc254860132"/>
      <w:bookmarkStart w:id="102" w:name="_Toc243111692"/>
      <w:r>
        <w:rPr>
          <w:rFonts w:eastAsia="仿宋_GB2312"/>
          <w:color w:val="auto"/>
          <w:sz w:val="28"/>
          <w:szCs w:val="28"/>
        </w:rPr>
        <w:t>市场价值，是指某种房地产在市场上的一般、平均水平价格。</w:t>
      </w:r>
    </w:p>
    <w:p>
      <w:pPr>
        <w:adjustRightInd w:val="0"/>
        <w:snapToGrid w:val="0"/>
        <w:spacing w:line="360" w:lineRule="auto"/>
        <w:ind w:firstLine="560" w:firstLineChars="200"/>
        <w:rPr>
          <w:rFonts w:eastAsia="仿宋_GB2312"/>
          <w:snapToGrid w:val="0"/>
          <w:color w:val="auto"/>
          <w:kern w:val="0"/>
          <w:sz w:val="28"/>
          <w:szCs w:val="28"/>
        </w:rPr>
      </w:pPr>
      <w:r>
        <w:rPr>
          <w:rFonts w:eastAsia="仿宋_GB2312"/>
          <w:snapToGrid w:val="0"/>
          <w:color w:val="auto"/>
          <w:kern w:val="0"/>
          <w:sz w:val="28"/>
          <w:szCs w:val="28"/>
        </w:rPr>
        <w:t>本次评估待估对象在估价时点201</w:t>
      </w:r>
      <w:r>
        <w:rPr>
          <w:rFonts w:hint="eastAsia" w:eastAsia="仿宋_GB2312"/>
          <w:snapToGrid w:val="0"/>
          <w:color w:val="auto"/>
          <w:kern w:val="0"/>
          <w:sz w:val="28"/>
          <w:szCs w:val="28"/>
          <w:lang w:val="en-US" w:eastAsia="zh-CN"/>
        </w:rPr>
        <w:t>9</w:t>
      </w:r>
      <w:r>
        <w:rPr>
          <w:rFonts w:eastAsia="仿宋_GB2312"/>
          <w:snapToGrid w:val="0"/>
          <w:color w:val="auto"/>
          <w:kern w:val="0"/>
          <w:sz w:val="28"/>
          <w:szCs w:val="28"/>
        </w:rPr>
        <w:t>年</w:t>
      </w:r>
      <w:r>
        <w:rPr>
          <w:rFonts w:hint="eastAsia" w:eastAsia="仿宋_GB2312"/>
          <w:snapToGrid w:val="0"/>
          <w:color w:val="auto"/>
          <w:kern w:val="0"/>
          <w:sz w:val="28"/>
          <w:szCs w:val="28"/>
          <w:lang w:val="en-US" w:eastAsia="zh-CN"/>
        </w:rPr>
        <w:t>1</w:t>
      </w:r>
      <w:r>
        <w:rPr>
          <w:rFonts w:eastAsia="仿宋_GB2312"/>
          <w:snapToGrid w:val="0"/>
          <w:color w:val="auto"/>
          <w:kern w:val="0"/>
          <w:sz w:val="28"/>
          <w:szCs w:val="28"/>
        </w:rPr>
        <w:t>月</w:t>
      </w:r>
      <w:r>
        <w:rPr>
          <w:rFonts w:hint="eastAsia" w:eastAsia="仿宋_GB2312"/>
          <w:snapToGrid w:val="0"/>
          <w:color w:val="auto"/>
          <w:kern w:val="0"/>
          <w:sz w:val="28"/>
          <w:szCs w:val="28"/>
          <w:lang w:val="en-US" w:eastAsia="zh-CN"/>
        </w:rPr>
        <w:t>24</w:t>
      </w:r>
      <w:r>
        <w:rPr>
          <w:rFonts w:eastAsia="仿宋_GB2312"/>
          <w:snapToGrid w:val="0"/>
          <w:color w:val="auto"/>
          <w:kern w:val="0"/>
          <w:sz w:val="28"/>
          <w:szCs w:val="28"/>
        </w:rPr>
        <w:t>日，截止至估价基准日止房产剩余耐用年限为</w:t>
      </w:r>
      <w:r>
        <w:rPr>
          <w:rFonts w:hint="eastAsia" w:eastAsia="仿宋_GB2312"/>
          <w:snapToGrid w:val="0"/>
          <w:color w:val="auto"/>
          <w:kern w:val="0"/>
          <w:sz w:val="28"/>
          <w:szCs w:val="28"/>
          <w:lang w:val="en-US" w:eastAsia="zh-CN"/>
        </w:rPr>
        <w:t>41</w:t>
      </w:r>
      <w:r>
        <w:rPr>
          <w:rFonts w:eastAsia="仿宋_GB2312"/>
          <w:snapToGrid w:val="0"/>
          <w:color w:val="auto"/>
          <w:kern w:val="0"/>
          <w:sz w:val="28"/>
          <w:szCs w:val="28"/>
        </w:rPr>
        <w:t>年，用途为住宅条件下的房产公开市场价值。根据本次评估目的，估价结果应为待估对象在</w:t>
      </w:r>
      <w:r>
        <w:rPr>
          <w:rFonts w:hint="eastAsia" w:eastAsia="仿宋_GB2312"/>
          <w:snapToGrid w:val="0"/>
          <w:color w:val="auto"/>
          <w:kern w:val="0"/>
          <w:sz w:val="28"/>
          <w:szCs w:val="28"/>
          <w:lang w:eastAsia="zh-CN"/>
        </w:rPr>
        <w:t>一</w:t>
      </w:r>
      <w:r>
        <w:rPr>
          <w:rFonts w:eastAsia="仿宋_GB2312"/>
          <w:snapToGrid w:val="0"/>
          <w:color w:val="auto"/>
          <w:kern w:val="0"/>
          <w:sz w:val="28"/>
          <w:szCs w:val="28"/>
        </w:rPr>
        <w:t>级房地产市场的公开市场价格。</w:t>
      </w:r>
    </w:p>
    <w:p>
      <w:pPr>
        <w:pStyle w:val="3"/>
        <w:ind w:firstLine="562"/>
        <w:rPr>
          <w:rFonts w:ascii="Times New Roman" w:hAnsi="Times New Roman"/>
          <w:color w:val="auto"/>
        </w:rPr>
      </w:pPr>
      <w:bookmarkStart w:id="103" w:name="_Toc521268507"/>
      <w:r>
        <w:rPr>
          <w:rFonts w:ascii="Times New Roman" w:hAnsi="Times New Roman"/>
          <w:color w:val="auto"/>
        </w:rPr>
        <w:t>（</w:t>
      </w:r>
      <w:r>
        <w:rPr>
          <w:rFonts w:hint="eastAsia" w:ascii="Times New Roman" w:hAnsi="Times New Roman"/>
          <w:color w:val="auto"/>
        </w:rPr>
        <w:t>七</w:t>
      </w:r>
      <w:r>
        <w:rPr>
          <w:rFonts w:ascii="Times New Roman" w:hAnsi="Times New Roman"/>
          <w:color w:val="auto"/>
        </w:rPr>
        <w:t>）估价原则</w:t>
      </w:r>
      <w:bookmarkEnd w:id="93"/>
      <w:bookmarkEnd w:id="94"/>
      <w:bookmarkEnd w:id="95"/>
      <w:bookmarkEnd w:id="96"/>
      <w:bookmarkEnd w:id="97"/>
      <w:bookmarkEnd w:id="98"/>
      <w:bookmarkEnd w:id="99"/>
      <w:bookmarkEnd w:id="100"/>
      <w:bookmarkEnd w:id="101"/>
      <w:bookmarkEnd w:id="102"/>
      <w:bookmarkEnd w:id="103"/>
    </w:p>
    <w:p>
      <w:pPr>
        <w:adjustRightInd w:val="0"/>
        <w:snapToGrid w:val="0"/>
        <w:spacing w:line="560" w:lineRule="exact"/>
        <w:ind w:firstLine="560" w:firstLineChars="200"/>
        <w:rPr>
          <w:rFonts w:eastAsia="仿宋_GB2312"/>
          <w:color w:val="auto"/>
          <w:sz w:val="28"/>
          <w:szCs w:val="28"/>
        </w:rPr>
      </w:pPr>
      <w:r>
        <w:rPr>
          <w:rFonts w:eastAsia="仿宋_GB2312"/>
          <w:color w:val="auto"/>
          <w:sz w:val="28"/>
          <w:szCs w:val="28"/>
        </w:rPr>
        <w:t>本次估价遵循的房地产估价原则有：独立、客观、公正原则、合法原则、价值时点原则、替代原则、最高最佳利用原则。</w:t>
      </w:r>
    </w:p>
    <w:p>
      <w:pPr>
        <w:adjustRightInd w:val="0"/>
        <w:snapToGrid w:val="0"/>
        <w:spacing w:line="560" w:lineRule="exact"/>
        <w:ind w:firstLine="560" w:firstLineChars="200"/>
        <w:rPr>
          <w:rFonts w:eastAsia="仿宋_GB2312"/>
          <w:color w:val="auto"/>
          <w:sz w:val="28"/>
          <w:szCs w:val="28"/>
        </w:rPr>
      </w:pPr>
      <w:r>
        <w:rPr>
          <w:rFonts w:eastAsia="仿宋_GB2312"/>
          <w:color w:val="auto"/>
          <w:sz w:val="28"/>
          <w:szCs w:val="28"/>
        </w:rPr>
        <w:t>1.独立、客观、公正原则</w:t>
      </w:r>
    </w:p>
    <w:p>
      <w:pPr>
        <w:adjustRightInd w:val="0"/>
        <w:snapToGrid w:val="0"/>
        <w:spacing w:line="560" w:lineRule="exact"/>
        <w:ind w:firstLine="560" w:firstLineChars="200"/>
        <w:rPr>
          <w:rFonts w:eastAsia="仿宋_GB2312"/>
          <w:color w:val="auto"/>
          <w:sz w:val="28"/>
          <w:szCs w:val="28"/>
        </w:rPr>
      </w:pPr>
      <w:r>
        <w:rPr>
          <w:rFonts w:eastAsia="仿宋_GB2312"/>
          <w:color w:val="auto"/>
          <w:sz w:val="28"/>
          <w:szCs w:val="28"/>
        </w:rPr>
        <w:t>要求站在中立的立场上，实事求是、公平正直地评估出对各方估价利害关系人均是公平合理的价值或价格的原则。</w:t>
      </w:r>
    </w:p>
    <w:p>
      <w:pPr>
        <w:adjustRightInd w:val="0"/>
        <w:snapToGrid w:val="0"/>
        <w:spacing w:line="560" w:lineRule="exact"/>
        <w:ind w:firstLine="560" w:firstLineChars="200"/>
        <w:rPr>
          <w:rFonts w:eastAsia="仿宋_GB2312"/>
          <w:color w:val="auto"/>
          <w:sz w:val="28"/>
          <w:szCs w:val="28"/>
        </w:rPr>
      </w:pPr>
      <w:r>
        <w:rPr>
          <w:rFonts w:eastAsia="仿宋_GB2312"/>
          <w:color w:val="auto"/>
          <w:sz w:val="28"/>
          <w:szCs w:val="28"/>
        </w:rPr>
        <w:t>2.合法原则</w:t>
      </w:r>
    </w:p>
    <w:p>
      <w:pPr>
        <w:adjustRightInd w:val="0"/>
        <w:snapToGrid w:val="0"/>
        <w:spacing w:line="560" w:lineRule="exact"/>
        <w:ind w:firstLine="560" w:firstLineChars="200"/>
        <w:rPr>
          <w:rFonts w:eastAsia="仿宋_GB2312"/>
          <w:color w:val="auto"/>
          <w:sz w:val="28"/>
          <w:szCs w:val="28"/>
        </w:rPr>
      </w:pPr>
      <w:r>
        <w:rPr>
          <w:rFonts w:eastAsia="仿宋_GB2312"/>
          <w:color w:val="auto"/>
          <w:sz w:val="28"/>
          <w:szCs w:val="28"/>
        </w:rPr>
        <w:t>要求估价结果是依法判定的估价对象状况下的价值或价格的原则。</w:t>
      </w:r>
    </w:p>
    <w:p>
      <w:pPr>
        <w:adjustRightInd w:val="0"/>
        <w:snapToGrid w:val="0"/>
        <w:spacing w:line="560" w:lineRule="exact"/>
        <w:ind w:firstLine="560" w:firstLineChars="200"/>
        <w:rPr>
          <w:rFonts w:eastAsia="仿宋_GB2312"/>
          <w:color w:val="auto"/>
          <w:sz w:val="28"/>
          <w:szCs w:val="28"/>
        </w:rPr>
      </w:pPr>
      <w:r>
        <w:rPr>
          <w:rFonts w:eastAsia="仿宋_GB2312"/>
          <w:color w:val="auto"/>
          <w:sz w:val="28"/>
          <w:szCs w:val="28"/>
        </w:rPr>
        <w:t xml:space="preserve">3.价值时点原则   </w:t>
      </w:r>
    </w:p>
    <w:p>
      <w:pPr>
        <w:adjustRightInd w:val="0"/>
        <w:snapToGrid w:val="0"/>
        <w:spacing w:line="560" w:lineRule="exact"/>
        <w:ind w:firstLine="560" w:firstLineChars="200"/>
        <w:rPr>
          <w:rFonts w:eastAsia="仿宋_GB2312"/>
          <w:color w:val="auto"/>
          <w:sz w:val="28"/>
          <w:szCs w:val="28"/>
        </w:rPr>
      </w:pPr>
      <w:r>
        <w:rPr>
          <w:rFonts w:eastAsia="仿宋_GB2312"/>
          <w:color w:val="auto"/>
          <w:sz w:val="28"/>
          <w:szCs w:val="28"/>
        </w:rPr>
        <w:t>要求估价结果是在根据估价目的确定的某一特定时间的价值或价格的原则。</w:t>
      </w:r>
    </w:p>
    <w:p>
      <w:pPr>
        <w:adjustRightInd w:val="0"/>
        <w:snapToGrid w:val="0"/>
        <w:spacing w:line="560" w:lineRule="exact"/>
        <w:ind w:firstLine="560" w:firstLineChars="200"/>
        <w:rPr>
          <w:rFonts w:eastAsia="仿宋_GB2312"/>
          <w:color w:val="auto"/>
          <w:sz w:val="28"/>
          <w:szCs w:val="28"/>
        </w:rPr>
      </w:pPr>
      <w:r>
        <w:rPr>
          <w:rFonts w:eastAsia="仿宋_GB2312"/>
          <w:color w:val="auto"/>
          <w:sz w:val="28"/>
          <w:szCs w:val="28"/>
        </w:rPr>
        <w:t>4.替代原则</w:t>
      </w:r>
    </w:p>
    <w:p>
      <w:pPr>
        <w:adjustRightInd w:val="0"/>
        <w:snapToGrid w:val="0"/>
        <w:spacing w:line="560" w:lineRule="exact"/>
        <w:ind w:firstLine="560" w:firstLineChars="200"/>
        <w:rPr>
          <w:rFonts w:eastAsia="仿宋_GB2312"/>
          <w:color w:val="auto"/>
          <w:sz w:val="28"/>
          <w:szCs w:val="28"/>
        </w:rPr>
      </w:pPr>
      <w:r>
        <w:rPr>
          <w:rFonts w:eastAsia="仿宋_GB2312"/>
          <w:color w:val="auto"/>
          <w:sz w:val="28"/>
          <w:szCs w:val="28"/>
        </w:rPr>
        <w:t>要求估价结果与估价对象的类似房地产在同等条件下的价值或价格偏差应在合理范围内的原则。</w:t>
      </w:r>
    </w:p>
    <w:p>
      <w:pPr>
        <w:adjustRightInd w:val="0"/>
        <w:snapToGrid w:val="0"/>
        <w:spacing w:line="560" w:lineRule="exact"/>
        <w:ind w:firstLine="560" w:firstLineChars="200"/>
        <w:rPr>
          <w:rFonts w:eastAsia="仿宋_GB2312"/>
          <w:color w:val="auto"/>
          <w:sz w:val="28"/>
          <w:szCs w:val="28"/>
        </w:rPr>
      </w:pPr>
      <w:r>
        <w:rPr>
          <w:rFonts w:eastAsia="仿宋_GB2312"/>
          <w:color w:val="auto"/>
          <w:sz w:val="28"/>
          <w:szCs w:val="28"/>
        </w:rPr>
        <w:t>5.最高最佳利用原则</w:t>
      </w:r>
    </w:p>
    <w:p>
      <w:pPr>
        <w:adjustRightInd w:val="0"/>
        <w:snapToGrid w:val="0"/>
        <w:spacing w:line="560" w:lineRule="exact"/>
        <w:ind w:firstLine="560" w:firstLineChars="200"/>
        <w:rPr>
          <w:rFonts w:eastAsia="仿宋_GB2312"/>
          <w:color w:val="auto"/>
          <w:sz w:val="28"/>
          <w:szCs w:val="28"/>
        </w:rPr>
      </w:pPr>
      <w:r>
        <w:rPr>
          <w:rFonts w:eastAsia="仿宋_GB2312"/>
          <w:color w:val="auto"/>
          <w:sz w:val="28"/>
          <w:szCs w:val="28"/>
        </w:rPr>
        <w:t>要求估价结果是在估价对象最高最佳利用状况下的价值或价格。</w:t>
      </w:r>
    </w:p>
    <w:p>
      <w:pPr>
        <w:pStyle w:val="3"/>
        <w:spacing w:line="560" w:lineRule="exact"/>
        <w:ind w:firstLine="562"/>
        <w:rPr>
          <w:rFonts w:ascii="Times New Roman" w:hAnsi="Times New Roman"/>
          <w:color w:val="auto"/>
        </w:rPr>
      </w:pPr>
      <w:bookmarkStart w:id="104" w:name="_Toc130033727"/>
      <w:bookmarkStart w:id="105" w:name="_Toc135016177"/>
      <w:bookmarkStart w:id="106" w:name="_Toc243111691"/>
      <w:bookmarkStart w:id="107" w:name="_Toc254875145"/>
      <w:bookmarkStart w:id="108" w:name="_Toc270691073"/>
      <w:bookmarkStart w:id="109" w:name="_Toc254860131"/>
      <w:bookmarkStart w:id="110" w:name="_Toc269132874"/>
      <w:bookmarkStart w:id="111" w:name="_Toc367869503"/>
      <w:bookmarkStart w:id="112" w:name="_Toc301369721"/>
      <w:bookmarkStart w:id="113" w:name="_Toc243111720"/>
      <w:bookmarkStart w:id="114" w:name="_Toc521268508"/>
      <w:r>
        <w:rPr>
          <w:rFonts w:ascii="Times New Roman" w:hAnsi="Times New Roman"/>
          <w:color w:val="auto"/>
        </w:rPr>
        <w:t>（</w:t>
      </w:r>
      <w:r>
        <w:rPr>
          <w:rFonts w:hint="eastAsia" w:ascii="Times New Roman" w:hAnsi="Times New Roman"/>
          <w:color w:val="auto"/>
        </w:rPr>
        <w:t>八</w:t>
      </w:r>
      <w:r>
        <w:rPr>
          <w:rFonts w:ascii="Times New Roman" w:hAnsi="Times New Roman"/>
          <w:color w:val="auto"/>
        </w:rPr>
        <w:t>）估价依据</w:t>
      </w:r>
      <w:bookmarkEnd w:id="104"/>
      <w:bookmarkEnd w:id="105"/>
      <w:bookmarkEnd w:id="106"/>
      <w:bookmarkEnd w:id="107"/>
      <w:bookmarkEnd w:id="108"/>
      <w:bookmarkEnd w:id="109"/>
      <w:bookmarkEnd w:id="110"/>
      <w:bookmarkEnd w:id="111"/>
      <w:bookmarkEnd w:id="112"/>
      <w:bookmarkEnd w:id="113"/>
      <w:bookmarkEnd w:id="114"/>
    </w:p>
    <w:p>
      <w:pPr>
        <w:pStyle w:val="137"/>
        <w:numPr>
          <w:ilvl w:val="1"/>
          <w:numId w:val="3"/>
        </w:numPr>
        <w:tabs>
          <w:tab w:val="left" w:pos="993"/>
        </w:tabs>
        <w:adjustRightInd w:val="0"/>
        <w:snapToGrid w:val="0"/>
        <w:spacing w:line="560" w:lineRule="exact"/>
        <w:ind w:left="0" w:firstLine="633" w:firstLineChars="0"/>
        <w:rPr>
          <w:rFonts w:eastAsia="仿宋_GB2312"/>
          <w:color w:val="auto"/>
          <w:sz w:val="28"/>
          <w:szCs w:val="28"/>
        </w:rPr>
      </w:pPr>
      <w:r>
        <w:rPr>
          <w:rFonts w:eastAsia="仿宋_GB2312"/>
          <w:color w:val="auto"/>
          <w:sz w:val="28"/>
          <w:szCs w:val="28"/>
        </w:rPr>
        <w:t>国家有关法律、行政法规、规章和政策、技术标准文件：</w:t>
      </w:r>
    </w:p>
    <w:p>
      <w:pPr>
        <w:pStyle w:val="20"/>
        <w:numPr>
          <w:ilvl w:val="2"/>
          <w:numId w:val="4"/>
        </w:numPr>
        <w:tabs>
          <w:tab w:val="left" w:pos="-360"/>
          <w:tab w:val="left" w:pos="993"/>
        </w:tabs>
        <w:snapToGrid w:val="0"/>
        <w:spacing w:line="560" w:lineRule="exact"/>
        <w:ind w:left="0" w:firstLine="560" w:firstLineChars="200"/>
        <w:rPr>
          <w:rFonts w:ascii="Times New Roman" w:hAnsi="Times New Roman" w:eastAsia="仿宋_GB2312"/>
          <w:color w:val="auto"/>
          <w:sz w:val="28"/>
          <w:szCs w:val="28"/>
        </w:rPr>
      </w:pPr>
      <w:r>
        <w:rPr>
          <w:rFonts w:ascii="Times New Roman" w:hAnsi="Times New Roman" w:eastAsia="仿宋_GB2312"/>
          <w:color w:val="auto"/>
          <w:sz w:val="28"/>
          <w:szCs w:val="28"/>
        </w:rPr>
        <w:t>《中华人民共和国物权法》（中华人民共和国主席令第62号、2007年10月1日起施行）；</w:t>
      </w:r>
    </w:p>
    <w:p>
      <w:pPr>
        <w:pStyle w:val="20"/>
        <w:numPr>
          <w:ilvl w:val="2"/>
          <w:numId w:val="4"/>
        </w:numPr>
        <w:tabs>
          <w:tab w:val="left" w:pos="-360"/>
          <w:tab w:val="left" w:pos="993"/>
        </w:tabs>
        <w:snapToGrid w:val="0"/>
        <w:spacing w:line="560" w:lineRule="exact"/>
        <w:ind w:left="0" w:firstLine="560" w:firstLineChars="200"/>
        <w:rPr>
          <w:rFonts w:ascii="Times New Roman" w:hAnsi="Times New Roman" w:eastAsia="仿宋_GB2312"/>
          <w:color w:val="auto"/>
          <w:sz w:val="28"/>
          <w:szCs w:val="28"/>
        </w:rPr>
      </w:pPr>
      <w:r>
        <w:rPr>
          <w:rFonts w:hint="eastAsia" w:ascii="仿宋_GB2312" w:hAnsi="仿宋" w:eastAsia="仿宋_GB2312"/>
          <w:bCs/>
          <w:iCs/>
          <w:color w:val="auto"/>
          <w:sz w:val="28"/>
          <w:szCs w:val="28"/>
        </w:rPr>
        <w:t>《中华人民共和国资产评估法》（中华人民共和国主席令第四十六号，2016年12月1日起施行）；</w:t>
      </w:r>
    </w:p>
    <w:p>
      <w:pPr>
        <w:pStyle w:val="20"/>
        <w:numPr>
          <w:ilvl w:val="2"/>
          <w:numId w:val="4"/>
        </w:numPr>
        <w:tabs>
          <w:tab w:val="left" w:pos="-360"/>
          <w:tab w:val="left" w:pos="993"/>
        </w:tabs>
        <w:snapToGrid w:val="0"/>
        <w:spacing w:line="560" w:lineRule="exact"/>
        <w:ind w:left="0" w:firstLine="560" w:firstLineChars="200"/>
        <w:rPr>
          <w:rFonts w:ascii="Times New Roman" w:hAnsi="Times New Roman" w:eastAsia="仿宋_GB2312"/>
          <w:color w:val="auto"/>
          <w:sz w:val="28"/>
          <w:szCs w:val="28"/>
        </w:rPr>
      </w:pPr>
      <w:r>
        <w:rPr>
          <w:rFonts w:ascii="Times New Roman" w:hAnsi="Times New Roman" w:eastAsia="仿宋_GB2312"/>
          <w:color w:val="auto"/>
          <w:sz w:val="28"/>
          <w:szCs w:val="28"/>
        </w:rPr>
        <w:t>《中华人民共和国城市房地产管理法》（1994年7月5日中华人民共和国主席令第29号、1999年1月1日起施行）；</w:t>
      </w:r>
    </w:p>
    <w:p>
      <w:pPr>
        <w:pStyle w:val="20"/>
        <w:numPr>
          <w:ilvl w:val="2"/>
          <w:numId w:val="4"/>
        </w:numPr>
        <w:tabs>
          <w:tab w:val="left" w:pos="-360"/>
          <w:tab w:val="left" w:pos="993"/>
        </w:tabs>
        <w:snapToGrid w:val="0"/>
        <w:spacing w:line="560" w:lineRule="exact"/>
        <w:ind w:left="0" w:firstLine="560" w:firstLineChars="200"/>
        <w:rPr>
          <w:rFonts w:ascii="Times New Roman" w:hAnsi="Times New Roman" w:eastAsia="仿宋_GB2312"/>
          <w:color w:val="auto"/>
          <w:sz w:val="28"/>
          <w:szCs w:val="28"/>
        </w:rPr>
      </w:pPr>
      <w:r>
        <w:rPr>
          <w:rFonts w:ascii="Times New Roman" w:hAnsi="Times New Roman" w:eastAsia="仿宋_GB2312"/>
          <w:color w:val="auto"/>
          <w:sz w:val="28"/>
          <w:szCs w:val="28"/>
        </w:rPr>
        <w:t>《中华人民共和国土地管理法》（2004年8月28日中华人民共和国主席令第28号（第二次修正）、1999年1月1日起施行）；</w:t>
      </w:r>
    </w:p>
    <w:p>
      <w:pPr>
        <w:pStyle w:val="20"/>
        <w:numPr>
          <w:ilvl w:val="2"/>
          <w:numId w:val="4"/>
        </w:numPr>
        <w:tabs>
          <w:tab w:val="left" w:pos="-360"/>
          <w:tab w:val="left" w:pos="993"/>
        </w:tabs>
        <w:snapToGrid w:val="0"/>
        <w:spacing w:line="560" w:lineRule="exact"/>
        <w:ind w:left="0" w:firstLine="560" w:firstLineChars="200"/>
        <w:rPr>
          <w:rFonts w:ascii="Times New Roman" w:hAnsi="Times New Roman" w:eastAsia="仿宋_GB2312"/>
          <w:color w:val="auto"/>
          <w:sz w:val="28"/>
          <w:szCs w:val="28"/>
        </w:rPr>
      </w:pPr>
      <w:r>
        <w:rPr>
          <w:rFonts w:hint="eastAsia" w:ascii="Times New Roman" w:hAnsi="Times New Roman" w:eastAsia="仿宋_GB2312"/>
          <w:color w:val="auto"/>
          <w:sz w:val="28"/>
          <w:szCs w:val="28"/>
        </w:rPr>
        <w:t>《中华人民共和国民事诉讼法》（2017年6月27日修订）；</w:t>
      </w:r>
    </w:p>
    <w:p>
      <w:pPr>
        <w:pStyle w:val="20"/>
        <w:numPr>
          <w:ilvl w:val="2"/>
          <w:numId w:val="4"/>
        </w:numPr>
        <w:tabs>
          <w:tab w:val="left" w:pos="-360"/>
          <w:tab w:val="left" w:pos="993"/>
        </w:tabs>
        <w:snapToGrid w:val="0"/>
        <w:spacing w:line="560" w:lineRule="exact"/>
        <w:ind w:left="0" w:firstLine="560" w:firstLineChars="200"/>
        <w:rPr>
          <w:rFonts w:ascii="Times New Roman" w:hAnsi="Times New Roman" w:eastAsia="仿宋_GB2312"/>
          <w:color w:val="auto"/>
          <w:sz w:val="28"/>
          <w:szCs w:val="28"/>
        </w:rPr>
      </w:pPr>
      <w:r>
        <w:rPr>
          <w:rFonts w:hint="eastAsia" w:ascii="Times New Roman" w:hAnsi="Times New Roman" w:eastAsia="仿宋_GB2312"/>
          <w:color w:val="auto"/>
          <w:sz w:val="28"/>
          <w:szCs w:val="28"/>
        </w:rPr>
        <w:t>《最高人民法院关于人民法院民事执行中拍卖、变卖财产的规定》（法释[2004]16号）；</w:t>
      </w:r>
    </w:p>
    <w:p>
      <w:pPr>
        <w:pStyle w:val="20"/>
        <w:numPr>
          <w:ilvl w:val="2"/>
          <w:numId w:val="4"/>
        </w:numPr>
        <w:tabs>
          <w:tab w:val="left" w:pos="-360"/>
          <w:tab w:val="left" w:pos="993"/>
        </w:tabs>
        <w:snapToGrid w:val="0"/>
        <w:spacing w:line="560" w:lineRule="exact"/>
        <w:ind w:left="0" w:firstLine="560" w:firstLineChars="200"/>
        <w:rPr>
          <w:rFonts w:ascii="Times New Roman" w:hAnsi="Times New Roman" w:eastAsia="仿宋_GB2312"/>
          <w:color w:val="auto"/>
          <w:sz w:val="28"/>
          <w:szCs w:val="28"/>
        </w:rPr>
      </w:pPr>
      <w:r>
        <w:rPr>
          <w:rFonts w:ascii="Times New Roman" w:hAnsi="Times New Roman" w:eastAsia="仿宋_GB2312"/>
          <w:color w:val="auto"/>
          <w:sz w:val="28"/>
          <w:szCs w:val="28"/>
        </w:rPr>
        <w:t>《房地产估价规范》（GB/T 50291-2015）；</w:t>
      </w:r>
    </w:p>
    <w:p>
      <w:pPr>
        <w:pStyle w:val="20"/>
        <w:numPr>
          <w:ilvl w:val="2"/>
          <w:numId w:val="4"/>
        </w:numPr>
        <w:tabs>
          <w:tab w:val="left" w:pos="-360"/>
          <w:tab w:val="left" w:pos="993"/>
        </w:tabs>
        <w:snapToGrid w:val="0"/>
        <w:spacing w:line="560" w:lineRule="exact"/>
        <w:ind w:left="0" w:firstLine="560" w:firstLineChars="200"/>
        <w:rPr>
          <w:rFonts w:ascii="Times New Roman" w:hAnsi="Times New Roman" w:eastAsia="仿宋_GB2312"/>
          <w:color w:val="auto"/>
          <w:sz w:val="28"/>
          <w:szCs w:val="28"/>
        </w:rPr>
      </w:pPr>
      <w:r>
        <w:rPr>
          <w:rFonts w:ascii="Times New Roman" w:hAnsi="Times New Roman" w:eastAsia="仿宋_GB2312"/>
          <w:color w:val="auto"/>
          <w:sz w:val="28"/>
          <w:szCs w:val="28"/>
        </w:rPr>
        <w:t>《房地产估价基本术语标准》（GB/T50899-2013、中华人民共和国住房和城乡建设部、国家质量监督检验检疫总局联合发布、2013年6月26日发布、2013年2月1日实施）；</w:t>
      </w:r>
    </w:p>
    <w:p>
      <w:pPr>
        <w:widowControl/>
        <w:snapToGrid w:val="0"/>
        <w:spacing w:line="560" w:lineRule="exact"/>
        <w:ind w:firstLine="560" w:firstLineChars="200"/>
        <w:jc w:val="left"/>
        <w:rPr>
          <w:rFonts w:eastAsia="仿宋_GB2312"/>
          <w:color w:val="auto"/>
          <w:sz w:val="28"/>
          <w:szCs w:val="28"/>
        </w:rPr>
      </w:pPr>
      <w:r>
        <w:rPr>
          <w:rFonts w:eastAsia="仿宋_GB2312"/>
          <w:color w:val="auto"/>
          <w:sz w:val="28"/>
          <w:szCs w:val="28"/>
        </w:rPr>
        <w:t>2.估价委托人提供的资料</w:t>
      </w:r>
    </w:p>
    <w:p>
      <w:pPr>
        <w:pStyle w:val="20"/>
        <w:numPr>
          <w:ilvl w:val="2"/>
          <w:numId w:val="5"/>
        </w:numPr>
        <w:tabs>
          <w:tab w:val="left" w:pos="-360"/>
        </w:tabs>
        <w:snapToGrid w:val="0"/>
        <w:spacing w:line="540" w:lineRule="exact"/>
        <w:ind w:left="1123" w:leftChars="284" w:right="-6" w:hanging="527"/>
        <w:rPr>
          <w:rFonts w:ascii="仿宋_GB2312" w:hAnsi="仿宋" w:eastAsia="仿宋_GB2312"/>
          <w:color w:val="auto"/>
          <w:sz w:val="28"/>
          <w:szCs w:val="28"/>
        </w:rPr>
      </w:pPr>
      <w:r>
        <w:rPr>
          <w:rFonts w:hint="eastAsia" w:ascii="仿宋_GB2312" w:hAnsi="仿宋" w:eastAsia="仿宋_GB2312"/>
          <w:color w:val="auto"/>
          <w:sz w:val="28"/>
          <w:szCs w:val="28"/>
        </w:rPr>
        <w:t>《</w:t>
      </w:r>
      <w:r>
        <w:rPr>
          <w:rFonts w:hint="eastAsia" w:ascii="仿宋_GB2312" w:hAnsi="仿宋" w:eastAsia="仿宋_GB2312"/>
          <w:color w:val="auto"/>
          <w:sz w:val="28"/>
          <w:szCs w:val="28"/>
          <w:lang w:eastAsia="zh-CN"/>
        </w:rPr>
        <w:t>内蒙古五原县人民法院</w:t>
      </w:r>
      <w:r>
        <w:rPr>
          <w:rFonts w:hint="eastAsia" w:ascii="仿宋_GB2312" w:hAnsi="仿宋" w:eastAsia="仿宋_GB2312"/>
          <w:color w:val="auto"/>
          <w:sz w:val="28"/>
          <w:szCs w:val="28"/>
        </w:rPr>
        <w:t>评估委托书》（2018）内</w:t>
      </w:r>
      <w:r>
        <w:rPr>
          <w:rFonts w:hint="eastAsia" w:ascii="仿宋_GB2312" w:hAnsi="仿宋" w:eastAsia="仿宋_GB2312"/>
          <w:color w:val="auto"/>
          <w:sz w:val="28"/>
          <w:szCs w:val="28"/>
          <w:lang w:val="en-US" w:eastAsia="zh-CN"/>
        </w:rPr>
        <w:t>0821</w:t>
      </w:r>
      <w:r>
        <w:rPr>
          <w:rFonts w:hint="eastAsia" w:ascii="仿宋_GB2312" w:hAnsi="仿宋" w:eastAsia="仿宋_GB2312"/>
          <w:color w:val="auto"/>
          <w:sz w:val="28"/>
          <w:szCs w:val="28"/>
        </w:rPr>
        <w:t>委评</w:t>
      </w:r>
      <w:r>
        <w:rPr>
          <w:rFonts w:hint="eastAsia" w:ascii="仿宋_GB2312" w:hAnsi="仿宋" w:eastAsia="仿宋_GB2312"/>
          <w:color w:val="auto"/>
          <w:sz w:val="28"/>
          <w:szCs w:val="28"/>
          <w:lang w:val="en-US" w:eastAsia="zh-CN"/>
        </w:rPr>
        <w:t>86</w:t>
      </w:r>
      <w:r>
        <w:rPr>
          <w:rFonts w:hint="eastAsia" w:ascii="仿宋_GB2312" w:hAnsi="仿宋" w:eastAsia="仿宋_GB2312"/>
          <w:color w:val="auto"/>
          <w:sz w:val="28"/>
          <w:szCs w:val="28"/>
        </w:rPr>
        <w:t>号；</w:t>
      </w:r>
    </w:p>
    <w:p>
      <w:pPr>
        <w:pStyle w:val="20"/>
        <w:numPr>
          <w:ilvl w:val="2"/>
          <w:numId w:val="5"/>
        </w:numPr>
        <w:tabs>
          <w:tab w:val="left" w:pos="-360"/>
        </w:tabs>
        <w:snapToGrid w:val="0"/>
        <w:spacing w:line="540" w:lineRule="exact"/>
        <w:ind w:left="1123" w:leftChars="284" w:right="-6" w:hanging="527"/>
        <w:rPr>
          <w:rFonts w:ascii="仿宋_GB2312" w:hAnsi="仿宋" w:eastAsia="仿宋_GB2312"/>
          <w:color w:val="auto"/>
          <w:sz w:val="28"/>
          <w:szCs w:val="28"/>
        </w:rPr>
      </w:pPr>
      <w:r>
        <w:rPr>
          <w:rFonts w:hint="eastAsia" w:ascii="仿宋_GB2312" w:hAnsi="仿宋" w:eastAsia="仿宋_GB2312"/>
          <w:color w:val="auto"/>
          <w:sz w:val="28"/>
          <w:szCs w:val="28"/>
        </w:rPr>
        <w:t>《</w:t>
      </w:r>
      <w:r>
        <w:rPr>
          <w:rFonts w:hint="eastAsia" w:ascii="仿宋_GB2312" w:hAnsi="仿宋" w:eastAsia="仿宋_GB2312"/>
          <w:color w:val="auto"/>
          <w:sz w:val="28"/>
          <w:szCs w:val="28"/>
          <w:lang w:eastAsia="zh-CN"/>
        </w:rPr>
        <w:t>房地产权属登记簿</w:t>
      </w:r>
      <w:r>
        <w:rPr>
          <w:rFonts w:hint="eastAsia" w:ascii="仿宋_GB2312" w:hAnsi="仿宋" w:eastAsia="仿宋_GB2312"/>
          <w:color w:val="auto"/>
          <w:sz w:val="28"/>
          <w:szCs w:val="28"/>
        </w:rPr>
        <w:t>》复印件；</w:t>
      </w:r>
    </w:p>
    <w:p>
      <w:pPr>
        <w:pStyle w:val="20"/>
        <w:numPr>
          <w:ilvl w:val="2"/>
          <w:numId w:val="5"/>
        </w:numPr>
        <w:tabs>
          <w:tab w:val="left" w:pos="-360"/>
        </w:tabs>
        <w:snapToGrid w:val="0"/>
        <w:spacing w:line="540" w:lineRule="exact"/>
        <w:ind w:left="1123" w:leftChars="284" w:right="-6" w:hanging="527"/>
        <w:rPr>
          <w:rFonts w:ascii="仿宋_GB2312" w:hAnsi="仿宋" w:eastAsia="仿宋_GB2312"/>
          <w:color w:val="auto"/>
          <w:sz w:val="28"/>
          <w:szCs w:val="28"/>
        </w:rPr>
      </w:pPr>
      <w:r>
        <w:rPr>
          <w:rFonts w:hint="eastAsia" w:ascii="仿宋_GB2312" w:hAnsi="仿宋" w:eastAsia="仿宋_GB2312"/>
          <w:color w:val="auto"/>
          <w:sz w:val="28"/>
          <w:szCs w:val="28"/>
        </w:rPr>
        <w:t>估价委托人提供的其他有关资料。</w:t>
      </w:r>
    </w:p>
    <w:p>
      <w:pPr>
        <w:widowControl/>
        <w:snapToGrid w:val="0"/>
        <w:spacing w:line="560" w:lineRule="exact"/>
        <w:ind w:firstLine="560" w:firstLineChars="200"/>
        <w:jc w:val="left"/>
        <w:rPr>
          <w:rFonts w:eastAsia="仿宋_GB2312"/>
          <w:color w:val="auto"/>
          <w:sz w:val="28"/>
          <w:szCs w:val="28"/>
        </w:rPr>
      </w:pPr>
      <w:r>
        <w:rPr>
          <w:rFonts w:eastAsia="仿宋_GB2312"/>
          <w:color w:val="auto"/>
          <w:sz w:val="28"/>
          <w:szCs w:val="28"/>
        </w:rPr>
        <w:t>3.房地产估价机构掌握的有关资料以及估价人员实地查勘所获取的资料</w:t>
      </w:r>
      <w:r>
        <w:rPr>
          <w:rFonts w:hint="eastAsia" w:eastAsia="仿宋_GB2312"/>
          <w:color w:val="auto"/>
          <w:sz w:val="28"/>
          <w:szCs w:val="28"/>
        </w:rPr>
        <w:t>;</w:t>
      </w:r>
      <w:r>
        <w:rPr>
          <w:rFonts w:eastAsia="仿宋_GB2312"/>
          <w:color w:val="auto"/>
          <w:sz w:val="28"/>
          <w:szCs w:val="28"/>
        </w:rPr>
        <w:t xml:space="preserve"> </w:t>
      </w:r>
    </w:p>
    <w:p>
      <w:pPr>
        <w:pStyle w:val="20"/>
        <w:numPr>
          <w:ilvl w:val="2"/>
          <w:numId w:val="5"/>
        </w:numPr>
        <w:tabs>
          <w:tab w:val="left" w:pos="-360"/>
        </w:tabs>
        <w:snapToGrid w:val="0"/>
        <w:spacing w:line="560" w:lineRule="exact"/>
        <w:ind w:left="0" w:firstLine="560" w:firstLineChars="200"/>
        <w:rPr>
          <w:rFonts w:ascii="Times New Roman" w:hAnsi="Times New Roman" w:eastAsia="仿宋_GB2312"/>
          <w:color w:val="auto"/>
          <w:sz w:val="28"/>
          <w:szCs w:val="28"/>
        </w:rPr>
      </w:pPr>
      <w:r>
        <w:rPr>
          <w:rFonts w:ascii="Times New Roman" w:hAnsi="Times New Roman" w:eastAsia="仿宋_GB2312"/>
          <w:color w:val="auto"/>
          <w:sz w:val="28"/>
          <w:szCs w:val="28"/>
        </w:rPr>
        <w:t>注册房地产估价师实地查勘资料和估价机构掌握的房地产相关资料；</w:t>
      </w:r>
    </w:p>
    <w:p>
      <w:pPr>
        <w:pStyle w:val="20"/>
        <w:numPr>
          <w:ilvl w:val="2"/>
          <w:numId w:val="5"/>
        </w:numPr>
        <w:tabs>
          <w:tab w:val="left" w:pos="-360"/>
        </w:tabs>
        <w:snapToGrid w:val="0"/>
        <w:spacing w:line="560" w:lineRule="exact"/>
        <w:ind w:left="0" w:firstLine="560" w:firstLineChars="200"/>
        <w:rPr>
          <w:rFonts w:ascii="Times New Roman" w:hAnsi="Times New Roman" w:eastAsia="仿宋_GB2312"/>
          <w:color w:val="auto"/>
          <w:sz w:val="28"/>
          <w:szCs w:val="28"/>
        </w:rPr>
      </w:pPr>
      <w:r>
        <w:rPr>
          <w:rFonts w:ascii="Times New Roman" w:hAnsi="Times New Roman" w:eastAsia="仿宋_GB2312"/>
          <w:color w:val="auto"/>
          <w:sz w:val="28"/>
          <w:szCs w:val="28"/>
        </w:rPr>
        <w:t>巴彦淖尔市住宅房地产市场信息及估价对象所在区域的房地产市场状况、同类房地产市场交易等数据资料；</w:t>
      </w:r>
    </w:p>
    <w:p>
      <w:pPr>
        <w:pStyle w:val="20"/>
        <w:numPr>
          <w:ilvl w:val="2"/>
          <w:numId w:val="5"/>
        </w:numPr>
        <w:tabs>
          <w:tab w:val="left" w:pos="-360"/>
        </w:tabs>
        <w:snapToGrid w:val="0"/>
        <w:spacing w:line="560" w:lineRule="exact"/>
        <w:ind w:left="0" w:firstLine="560" w:firstLineChars="200"/>
        <w:rPr>
          <w:rFonts w:ascii="Times New Roman" w:hAnsi="Times New Roman" w:eastAsia="仿宋_GB2312"/>
          <w:color w:val="auto"/>
          <w:sz w:val="28"/>
          <w:szCs w:val="28"/>
        </w:rPr>
      </w:pPr>
      <w:r>
        <w:rPr>
          <w:rFonts w:ascii="Times New Roman" w:hAnsi="Times New Roman" w:eastAsia="仿宋_GB2312"/>
          <w:color w:val="auto"/>
          <w:sz w:val="28"/>
          <w:szCs w:val="28"/>
        </w:rPr>
        <w:t>巴彦淖尔市城市概况、规划、经济发展及自然、人文环境资料；</w:t>
      </w:r>
    </w:p>
    <w:p>
      <w:pPr>
        <w:pStyle w:val="3"/>
        <w:spacing w:line="560" w:lineRule="exact"/>
        <w:ind w:firstLine="562"/>
        <w:rPr>
          <w:rFonts w:ascii="Times New Roman" w:hAnsi="Times New Roman"/>
          <w:color w:val="auto"/>
        </w:rPr>
      </w:pPr>
      <w:bookmarkStart w:id="115" w:name="_Toc521268509"/>
      <w:r>
        <w:rPr>
          <w:rFonts w:ascii="Times New Roman" w:hAnsi="Times New Roman"/>
          <w:color w:val="auto"/>
        </w:rPr>
        <w:t>（</w:t>
      </w:r>
      <w:r>
        <w:rPr>
          <w:rFonts w:hint="eastAsia" w:ascii="Times New Roman" w:hAnsi="Times New Roman"/>
          <w:color w:val="auto"/>
        </w:rPr>
        <w:t>九</w:t>
      </w:r>
      <w:r>
        <w:rPr>
          <w:rFonts w:ascii="Times New Roman" w:hAnsi="Times New Roman"/>
          <w:color w:val="auto"/>
        </w:rPr>
        <w:t>）</w:t>
      </w:r>
      <w:bookmarkStart w:id="116" w:name="_Toc243111693"/>
      <w:bookmarkStart w:id="117" w:name="_Toc130033729"/>
      <w:bookmarkStart w:id="118" w:name="_Toc367869505"/>
      <w:bookmarkStart w:id="119" w:name="_Toc269132876"/>
      <w:bookmarkStart w:id="120" w:name="_Toc254860133"/>
      <w:bookmarkStart w:id="121" w:name="_Toc135016179"/>
      <w:bookmarkStart w:id="122" w:name="_Toc301369723"/>
      <w:bookmarkStart w:id="123" w:name="_Toc270691075"/>
      <w:bookmarkStart w:id="124" w:name="_Toc254875147"/>
      <w:bookmarkStart w:id="125" w:name="_Toc243111722"/>
      <w:r>
        <w:rPr>
          <w:rFonts w:ascii="Times New Roman" w:hAnsi="Times New Roman"/>
          <w:color w:val="auto"/>
        </w:rPr>
        <w:t>估价方法</w:t>
      </w:r>
      <w:bookmarkEnd w:id="115"/>
      <w:bookmarkEnd w:id="116"/>
      <w:bookmarkEnd w:id="117"/>
      <w:bookmarkEnd w:id="118"/>
      <w:bookmarkEnd w:id="119"/>
      <w:bookmarkEnd w:id="120"/>
      <w:bookmarkEnd w:id="121"/>
      <w:bookmarkEnd w:id="122"/>
      <w:bookmarkEnd w:id="123"/>
      <w:bookmarkEnd w:id="124"/>
      <w:bookmarkEnd w:id="125"/>
    </w:p>
    <w:p>
      <w:pPr>
        <w:adjustRightInd w:val="0"/>
        <w:snapToGrid w:val="0"/>
        <w:spacing w:line="360" w:lineRule="auto"/>
        <w:ind w:firstLine="560" w:firstLineChars="200"/>
        <w:rPr>
          <w:rFonts w:eastAsia="仿宋_GB2312"/>
          <w:color w:val="auto"/>
          <w:sz w:val="28"/>
          <w:szCs w:val="28"/>
        </w:rPr>
      </w:pPr>
      <w:bookmarkStart w:id="126" w:name="_Toc130033730"/>
      <w:bookmarkStart w:id="127" w:name="_Toc135016180"/>
      <w:r>
        <w:rPr>
          <w:rFonts w:eastAsia="仿宋_GB2312"/>
          <w:color w:val="auto"/>
          <w:sz w:val="28"/>
          <w:szCs w:val="28"/>
        </w:rPr>
        <w:t>根据《房地产估价规范》，主要的估价方法有比较法、收益法、成本法、假设开发法等。比较法适用于同类房地产交易案例较多的房地产估价；收益法适用于有收益或潜在收益性的房地产估价；可作为独立的开发建设项目进行重新开发建设的，应选用成本法；假设开发法适用于具有开发或再开发潜力的房地产估价。</w:t>
      </w:r>
    </w:p>
    <w:p>
      <w:pPr>
        <w:adjustRightInd w:val="0"/>
        <w:snapToGrid w:val="0"/>
        <w:spacing w:line="360" w:lineRule="auto"/>
        <w:ind w:firstLine="560" w:firstLineChars="200"/>
        <w:rPr>
          <w:rFonts w:eastAsia="仿宋_GB2312"/>
          <w:color w:val="auto"/>
          <w:sz w:val="28"/>
          <w:szCs w:val="28"/>
        </w:rPr>
      </w:pPr>
      <w:r>
        <w:rPr>
          <w:rFonts w:eastAsia="仿宋_GB2312"/>
          <w:color w:val="auto"/>
          <w:sz w:val="28"/>
          <w:szCs w:val="28"/>
        </w:rPr>
        <w:t>本次估价采用了比较法和收益法。</w:t>
      </w:r>
    </w:p>
    <w:p>
      <w:pPr>
        <w:adjustRightInd w:val="0"/>
        <w:snapToGrid w:val="0"/>
        <w:spacing w:line="360" w:lineRule="auto"/>
        <w:ind w:firstLine="560" w:firstLineChars="200"/>
        <w:rPr>
          <w:rFonts w:eastAsia="仿宋_GB2312"/>
          <w:color w:val="auto"/>
          <w:sz w:val="28"/>
          <w:szCs w:val="28"/>
        </w:rPr>
      </w:pPr>
      <w:r>
        <w:rPr>
          <w:rFonts w:eastAsia="仿宋_GB2312"/>
          <w:color w:val="auto"/>
          <w:sz w:val="28"/>
          <w:szCs w:val="28"/>
        </w:rPr>
        <w:t>比较法是指选取一定数量的可比实例，将它们与估价对象进行比较，根据其间的差异对可比实例成交价格进行处理后得到估价对象价值或价格的方法。</w:t>
      </w:r>
    </w:p>
    <w:p>
      <w:pPr>
        <w:adjustRightInd w:val="0"/>
        <w:snapToGrid w:val="0"/>
        <w:spacing w:line="360" w:lineRule="auto"/>
        <w:ind w:firstLine="560" w:firstLineChars="200"/>
        <w:rPr>
          <w:rFonts w:eastAsia="仿宋_GB2312"/>
          <w:color w:val="auto"/>
          <w:sz w:val="28"/>
          <w:szCs w:val="28"/>
        </w:rPr>
      </w:pPr>
      <w:r>
        <w:rPr>
          <w:rFonts w:eastAsia="仿宋_GB2312"/>
          <w:color w:val="auto"/>
          <w:sz w:val="28"/>
          <w:szCs w:val="28"/>
        </w:rPr>
        <w:t>收益法是预测估价对象的未来收益，利用报酬率或资本化率、收益乘数将未来收益转换为价值得到估价对象价值或价格的方法。</w:t>
      </w:r>
    </w:p>
    <w:p>
      <w:pPr>
        <w:pStyle w:val="3"/>
        <w:spacing w:line="360" w:lineRule="auto"/>
        <w:ind w:firstLine="562"/>
        <w:rPr>
          <w:rFonts w:ascii="Times New Roman" w:hAnsi="Times New Roman"/>
          <w:color w:val="auto"/>
        </w:rPr>
      </w:pPr>
      <w:bookmarkStart w:id="128" w:name="_Toc254860134"/>
      <w:bookmarkStart w:id="129" w:name="_Toc301369724"/>
      <w:bookmarkStart w:id="130" w:name="_Toc367869506"/>
      <w:bookmarkStart w:id="131" w:name="_Toc243111694"/>
      <w:bookmarkStart w:id="132" w:name="_Toc254875148"/>
      <w:bookmarkStart w:id="133" w:name="_Toc243111723"/>
      <w:bookmarkStart w:id="134" w:name="_Toc269132877"/>
      <w:bookmarkStart w:id="135" w:name="_Toc270691076"/>
      <w:bookmarkStart w:id="136" w:name="_Toc521268510"/>
      <w:r>
        <w:rPr>
          <w:rFonts w:ascii="Times New Roman" w:hAnsi="Times New Roman"/>
          <w:color w:val="auto"/>
        </w:rPr>
        <w:t>（十）估价结果</w:t>
      </w:r>
      <w:bookmarkEnd w:id="126"/>
      <w:bookmarkEnd w:id="127"/>
      <w:bookmarkEnd w:id="128"/>
      <w:bookmarkEnd w:id="129"/>
      <w:bookmarkEnd w:id="130"/>
      <w:bookmarkEnd w:id="131"/>
      <w:bookmarkEnd w:id="132"/>
      <w:bookmarkEnd w:id="133"/>
      <w:bookmarkEnd w:id="134"/>
      <w:bookmarkEnd w:id="135"/>
      <w:bookmarkEnd w:id="136"/>
    </w:p>
    <w:p>
      <w:pPr>
        <w:tabs>
          <w:tab w:val="left" w:pos="993"/>
        </w:tabs>
        <w:adjustRightInd w:val="0"/>
        <w:snapToGrid w:val="0"/>
        <w:spacing w:line="360" w:lineRule="auto"/>
        <w:ind w:firstLine="506" w:firstLineChars="181"/>
        <w:rPr>
          <w:rFonts w:eastAsia="仿宋_GB2312"/>
          <w:color w:val="auto"/>
          <w:sz w:val="28"/>
          <w:szCs w:val="28"/>
        </w:rPr>
      </w:pPr>
      <w:bookmarkStart w:id="137" w:name="_Toc269132878"/>
      <w:bookmarkStart w:id="138" w:name="_Toc270691077"/>
      <w:bookmarkStart w:id="139" w:name="_Toc301369725"/>
      <w:bookmarkStart w:id="140" w:name="_Toc367869507"/>
      <w:bookmarkStart w:id="141" w:name="_Toc135016181"/>
      <w:bookmarkStart w:id="142" w:name="_Toc130033731"/>
      <w:bookmarkStart w:id="143" w:name="_Toc243111724"/>
      <w:bookmarkStart w:id="144" w:name="_Toc243111695"/>
      <w:bookmarkStart w:id="145" w:name="_Toc254860135"/>
      <w:bookmarkStart w:id="146" w:name="_Toc254875149"/>
      <w:r>
        <w:rPr>
          <w:rFonts w:eastAsia="仿宋_GB2312"/>
          <w:color w:val="auto"/>
          <w:sz w:val="28"/>
          <w:szCs w:val="28"/>
        </w:rPr>
        <w:t>估价人员遵循各项估价原则，根据估价目的和国家有关房地产估价的规范、规定，按照估价程序，经过实地查勘与市场调查，并进行了测算，确定估价对象在满足全部假设和限制条件下于价值时点</w:t>
      </w:r>
      <w:r>
        <w:rPr>
          <w:rFonts w:hint="eastAsia" w:eastAsia="仿宋_GB2312"/>
          <w:color w:val="auto"/>
          <w:sz w:val="28"/>
          <w:szCs w:val="28"/>
        </w:rPr>
        <w:t>201</w:t>
      </w:r>
      <w:r>
        <w:rPr>
          <w:rFonts w:hint="eastAsia" w:eastAsia="仿宋_GB2312"/>
          <w:color w:val="auto"/>
          <w:sz w:val="28"/>
          <w:szCs w:val="28"/>
          <w:lang w:val="en-US" w:eastAsia="zh-CN"/>
        </w:rPr>
        <w:t>9</w:t>
      </w:r>
      <w:r>
        <w:rPr>
          <w:rFonts w:hint="eastAsia" w:eastAsia="仿宋_GB2312"/>
          <w:color w:val="auto"/>
          <w:sz w:val="28"/>
          <w:szCs w:val="28"/>
        </w:rPr>
        <w:t>年</w:t>
      </w:r>
      <w:r>
        <w:rPr>
          <w:rFonts w:hint="eastAsia" w:eastAsia="仿宋_GB2312"/>
          <w:color w:val="auto"/>
          <w:sz w:val="28"/>
          <w:szCs w:val="28"/>
          <w:lang w:val="en-US" w:eastAsia="zh-CN"/>
        </w:rPr>
        <w:t>1</w:t>
      </w:r>
      <w:r>
        <w:rPr>
          <w:rFonts w:hint="eastAsia" w:eastAsia="仿宋_GB2312"/>
          <w:color w:val="auto"/>
          <w:sz w:val="28"/>
          <w:szCs w:val="28"/>
        </w:rPr>
        <w:t>月</w:t>
      </w:r>
      <w:r>
        <w:rPr>
          <w:rFonts w:hint="eastAsia" w:eastAsia="仿宋_GB2312"/>
          <w:color w:val="auto"/>
          <w:sz w:val="28"/>
          <w:szCs w:val="28"/>
          <w:lang w:val="en-US" w:eastAsia="zh-CN"/>
        </w:rPr>
        <w:t>24</w:t>
      </w:r>
      <w:r>
        <w:rPr>
          <w:rFonts w:hint="eastAsia" w:eastAsia="仿宋_GB2312"/>
          <w:color w:val="auto"/>
          <w:sz w:val="28"/>
          <w:szCs w:val="28"/>
        </w:rPr>
        <w:t>日</w:t>
      </w:r>
      <w:r>
        <w:rPr>
          <w:rFonts w:eastAsia="仿宋_GB2312"/>
          <w:color w:val="auto"/>
          <w:sz w:val="28"/>
          <w:szCs w:val="28"/>
        </w:rPr>
        <w:t>的估价结果如下：（币种：人民币）</w:t>
      </w:r>
    </w:p>
    <w:p>
      <w:pPr>
        <w:ind w:firstLine="2937" w:firstLineChars="1045"/>
        <w:jc w:val="left"/>
        <w:rPr>
          <w:rFonts w:eastAsia="楷体_GB2312"/>
          <w:b/>
          <w:bCs/>
          <w:color w:val="auto"/>
          <w:sz w:val="28"/>
          <w:szCs w:val="28"/>
        </w:rPr>
      </w:pPr>
      <w:r>
        <w:rPr>
          <w:rFonts w:eastAsia="楷体_GB2312"/>
          <w:b/>
          <w:bCs/>
          <w:color w:val="auto"/>
          <w:sz w:val="28"/>
          <w:szCs w:val="28"/>
        </w:rPr>
        <w:t>估价结果一览表</w:t>
      </w:r>
    </w:p>
    <w:tbl>
      <w:tblPr>
        <w:tblStyle w:val="47"/>
        <w:tblpPr w:leftFromText="180" w:rightFromText="180" w:vertAnchor="text" w:horzAnchor="margin" w:tblpXSpec="center" w:tblpY="313"/>
        <w:tblW w:w="9174" w:type="dxa"/>
        <w:tblInd w:w="0" w:type="dxa"/>
        <w:tblBorders>
          <w:top w:val="double" w:color="auto" w:sz="4" w:space="0"/>
          <w:left w:val="dotted" w:color="auto" w:sz="4" w:space="0"/>
          <w:bottom w:val="double"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1115"/>
        <w:gridCol w:w="1114"/>
        <w:gridCol w:w="1327"/>
        <w:gridCol w:w="1435"/>
        <w:gridCol w:w="1378"/>
        <w:gridCol w:w="2805"/>
      </w:tblGrid>
      <w:tr>
        <w:tblPrEx>
          <w:tblBorders>
            <w:top w:val="double" w:color="auto" w:sz="4" w:space="0"/>
            <w:left w:val="dotted" w:color="auto" w:sz="4" w:space="0"/>
            <w:bottom w:val="double"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54" w:hRule="atLeast"/>
        </w:trPr>
        <w:tc>
          <w:tcPr>
            <w:tcW w:w="1115" w:type="dxa"/>
            <w:tcBorders>
              <w:top w:val="double" w:color="auto" w:sz="4" w:space="0"/>
              <w:bottom w:val="single" w:color="auto" w:sz="4" w:space="0"/>
            </w:tcBorders>
            <w:vAlign w:val="center"/>
          </w:tcPr>
          <w:p>
            <w:pPr>
              <w:jc w:val="center"/>
              <w:rPr>
                <w:rFonts w:ascii="仿宋_GB2312" w:eastAsia="仿宋_GB2312"/>
                <w:b/>
                <w:color w:val="auto"/>
                <w:szCs w:val="21"/>
              </w:rPr>
            </w:pPr>
            <w:bookmarkStart w:id="147" w:name="_Toc521268511"/>
            <w:r>
              <w:rPr>
                <w:rFonts w:hint="eastAsia" w:ascii="仿宋_GB2312" w:eastAsia="仿宋_GB2312"/>
                <w:b/>
                <w:color w:val="auto"/>
                <w:szCs w:val="21"/>
              </w:rPr>
              <w:t>序号</w:t>
            </w:r>
          </w:p>
        </w:tc>
        <w:tc>
          <w:tcPr>
            <w:tcW w:w="1114" w:type="dxa"/>
            <w:tcBorders>
              <w:top w:val="double" w:color="auto" w:sz="4" w:space="0"/>
              <w:bottom w:val="single" w:color="auto" w:sz="4" w:space="0"/>
            </w:tcBorders>
            <w:vAlign w:val="center"/>
          </w:tcPr>
          <w:p>
            <w:pPr>
              <w:jc w:val="center"/>
              <w:rPr>
                <w:rFonts w:ascii="仿宋_GB2312" w:eastAsia="仿宋_GB2312"/>
                <w:b/>
                <w:color w:val="auto"/>
                <w:szCs w:val="21"/>
              </w:rPr>
            </w:pPr>
            <w:r>
              <w:rPr>
                <w:rFonts w:hint="eastAsia" w:ascii="仿宋_GB2312" w:eastAsia="仿宋_GB2312"/>
                <w:b/>
                <w:color w:val="auto"/>
                <w:szCs w:val="21"/>
              </w:rPr>
              <w:t>房号</w:t>
            </w:r>
          </w:p>
        </w:tc>
        <w:tc>
          <w:tcPr>
            <w:tcW w:w="1327" w:type="dxa"/>
            <w:tcBorders>
              <w:top w:val="double" w:color="auto" w:sz="4" w:space="0"/>
              <w:bottom w:val="single" w:color="auto" w:sz="4" w:space="0"/>
            </w:tcBorders>
            <w:vAlign w:val="center"/>
          </w:tcPr>
          <w:p>
            <w:pPr>
              <w:jc w:val="center"/>
              <w:rPr>
                <w:rFonts w:ascii="仿宋_GB2312" w:eastAsia="仿宋_GB2312"/>
                <w:b/>
                <w:color w:val="auto"/>
                <w:szCs w:val="21"/>
              </w:rPr>
            </w:pPr>
            <w:r>
              <w:rPr>
                <w:rFonts w:hint="eastAsia" w:ascii="仿宋_GB2312" w:eastAsia="仿宋_GB2312"/>
                <w:b/>
                <w:color w:val="auto"/>
                <w:szCs w:val="21"/>
              </w:rPr>
              <w:t>建筑面积（</w:t>
            </w:r>
            <w:r>
              <w:rPr>
                <w:rFonts w:hint="eastAsia" w:ascii="仿宋_GB2312" w:eastAsia="仿宋"/>
                <w:b/>
                <w:color w:val="auto"/>
                <w:szCs w:val="21"/>
              </w:rPr>
              <w:t>㎡</w:t>
            </w:r>
            <w:r>
              <w:rPr>
                <w:rFonts w:hint="eastAsia" w:ascii="仿宋_GB2312" w:eastAsia="仿宋_GB2312"/>
                <w:b/>
                <w:color w:val="auto"/>
                <w:szCs w:val="21"/>
              </w:rPr>
              <w:t>）</w:t>
            </w:r>
          </w:p>
        </w:tc>
        <w:tc>
          <w:tcPr>
            <w:tcW w:w="1435" w:type="dxa"/>
            <w:tcBorders>
              <w:top w:val="double" w:color="auto" w:sz="4" w:space="0"/>
              <w:bottom w:val="single" w:color="auto" w:sz="4" w:space="0"/>
            </w:tcBorders>
            <w:vAlign w:val="center"/>
          </w:tcPr>
          <w:p>
            <w:pPr>
              <w:jc w:val="center"/>
              <w:rPr>
                <w:rFonts w:ascii="仿宋_GB2312" w:eastAsia="仿宋_GB2312"/>
                <w:b/>
                <w:color w:val="auto"/>
                <w:szCs w:val="21"/>
              </w:rPr>
            </w:pPr>
            <w:r>
              <w:rPr>
                <w:rFonts w:hint="eastAsia" w:ascii="仿宋_GB2312" w:eastAsia="仿宋_GB2312"/>
                <w:b/>
                <w:color w:val="auto"/>
                <w:szCs w:val="21"/>
              </w:rPr>
              <w:t>单价（元/</w:t>
            </w:r>
            <w:r>
              <w:rPr>
                <w:rFonts w:hint="eastAsia" w:ascii="仿宋_GB2312" w:eastAsia="仿宋"/>
                <w:b/>
                <w:color w:val="auto"/>
                <w:szCs w:val="21"/>
              </w:rPr>
              <w:t>㎡</w:t>
            </w:r>
            <w:r>
              <w:rPr>
                <w:rFonts w:hint="eastAsia" w:ascii="仿宋_GB2312" w:eastAsia="仿宋_GB2312"/>
                <w:b/>
                <w:color w:val="auto"/>
                <w:szCs w:val="21"/>
              </w:rPr>
              <w:t>）</w:t>
            </w:r>
          </w:p>
        </w:tc>
        <w:tc>
          <w:tcPr>
            <w:tcW w:w="1378" w:type="dxa"/>
            <w:tcBorders>
              <w:top w:val="double" w:color="auto" w:sz="4" w:space="0"/>
              <w:bottom w:val="single" w:color="auto" w:sz="4" w:space="0"/>
            </w:tcBorders>
            <w:vAlign w:val="center"/>
          </w:tcPr>
          <w:p>
            <w:pPr>
              <w:jc w:val="center"/>
              <w:rPr>
                <w:rFonts w:ascii="仿宋_GB2312" w:eastAsia="仿宋_GB2312"/>
                <w:b/>
                <w:color w:val="auto"/>
                <w:szCs w:val="21"/>
              </w:rPr>
            </w:pPr>
            <w:r>
              <w:rPr>
                <w:rFonts w:hint="eastAsia" w:ascii="仿宋_GB2312" w:eastAsia="仿宋_GB2312"/>
                <w:b/>
                <w:color w:val="auto"/>
                <w:szCs w:val="21"/>
              </w:rPr>
              <w:t>总价（万元）</w:t>
            </w:r>
          </w:p>
        </w:tc>
        <w:tc>
          <w:tcPr>
            <w:tcW w:w="2805" w:type="dxa"/>
            <w:tcBorders>
              <w:top w:val="double" w:color="auto" w:sz="4" w:space="0"/>
              <w:bottom w:val="single" w:color="auto" w:sz="4" w:space="0"/>
            </w:tcBorders>
            <w:vAlign w:val="center"/>
          </w:tcPr>
          <w:p>
            <w:pPr>
              <w:jc w:val="center"/>
              <w:rPr>
                <w:rFonts w:ascii="仿宋_GB2312" w:eastAsia="仿宋_GB2312"/>
                <w:b/>
                <w:color w:val="auto"/>
                <w:szCs w:val="21"/>
              </w:rPr>
            </w:pPr>
            <w:r>
              <w:rPr>
                <w:rFonts w:hint="eastAsia" w:ascii="仿宋_GB2312" w:eastAsia="仿宋_GB2312"/>
                <w:b/>
                <w:color w:val="auto"/>
                <w:szCs w:val="21"/>
              </w:rPr>
              <w:t>总价（人民币大写）</w:t>
            </w:r>
          </w:p>
        </w:tc>
      </w:tr>
      <w:tr>
        <w:tblPrEx>
          <w:tblBorders>
            <w:top w:val="double" w:color="auto" w:sz="4" w:space="0"/>
            <w:left w:val="dotted" w:color="auto" w:sz="4" w:space="0"/>
            <w:bottom w:val="double"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54" w:hRule="atLeast"/>
        </w:trPr>
        <w:tc>
          <w:tcPr>
            <w:tcW w:w="1115" w:type="dxa"/>
            <w:tcBorders>
              <w:top w:val="single" w:color="auto" w:sz="4" w:space="0"/>
            </w:tcBorders>
            <w:vAlign w:val="center"/>
          </w:tcPr>
          <w:p>
            <w:pPr>
              <w:jc w:val="center"/>
              <w:rPr>
                <w:rFonts w:ascii="仿宋_GB2312" w:eastAsia="仿宋_GB2312"/>
                <w:color w:val="auto"/>
                <w:szCs w:val="21"/>
              </w:rPr>
            </w:pPr>
            <w:r>
              <w:rPr>
                <w:rFonts w:hint="eastAsia" w:ascii="仿宋_GB2312" w:eastAsia="仿宋_GB2312"/>
                <w:color w:val="auto"/>
                <w:szCs w:val="21"/>
              </w:rPr>
              <w:t>1</w:t>
            </w:r>
          </w:p>
        </w:tc>
        <w:tc>
          <w:tcPr>
            <w:tcW w:w="1114" w:type="dxa"/>
            <w:tcBorders>
              <w:top w:val="single" w:color="auto" w:sz="4" w:space="0"/>
            </w:tcBorders>
            <w:vAlign w:val="center"/>
          </w:tcPr>
          <w:p>
            <w:pPr>
              <w:jc w:val="center"/>
              <w:rPr>
                <w:rFonts w:hint="eastAsia" w:ascii="仿宋_GB2312" w:eastAsia="仿宋_GB2312"/>
                <w:color w:val="auto"/>
                <w:szCs w:val="21"/>
                <w:lang w:val="en-US" w:eastAsia="zh-CN"/>
              </w:rPr>
            </w:pPr>
            <w:r>
              <w:rPr>
                <w:rFonts w:hint="eastAsia" w:ascii="仿宋_GB2312" w:eastAsia="仿宋_GB2312"/>
                <w:color w:val="auto"/>
                <w:szCs w:val="21"/>
                <w:lang w:val="en-US" w:eastAsia="zh-CN"/>
              </w:rPr>
              <w:t>2-941</w:t>
            </w:r>
          </w:p>
        </w:tc>
        <w:tc>
          <w:tcPr>
            <w:tcW w:w="1327" w:type="dxa"/>
            <w:tcBorders>
              <w:top w:val="single" w:color="auto" w:sz="4" w:space="0"/>
            </w:tcBorders>
            <w:vAlign w:val="center"/>
          </w:tcPr>
          <w:p>
            <w:pPr>
              <w:jc w:val="center"/>
              <w:rPr>
                <w:rFonts w:hint="eastAsia" w:ascii="仿宋_GB2312" w:eastAsia="仿宋_GB2312"/>
                <w:color w:val="auto"/>
                <w:szCs w:val="21"/>
                <w:lang w:val="en-US" w:eastAsia="zh-CN"/>
              </w:rPr>
            </w:pPr>
            <w:r>
              <w:rPr>
                <w:rFonts w:hint="eastAsia" w:ascii="仿宋_GB2312" w:eastAsia="仿宋_GB2312"/>
                <w:color w:val="auto"/>
                <w:szCs w:val="21"/>
                <w:lang w:val="en-US" w:eastAsia="zh-CN"/>
              </w:rPr>
              <w:t>138.65</w:t>
            </w:r>
          </w:p>
        </w:tc>
        <w:tc>
          <w:tcPr>
            <w:tcW w:w="1435" w:type="dxa"/>
            <w:tcBorders>
              <w:top w:val="single" w:color="auto" w:sz="4" w:space="0"/>
            </w:tcBorders>
            <w:vAlign w:val="center"/>
          </w:tcPr>
          <w:p>
            <w:pPr>
              <w:jc w:val="center"/>
              <w:rPr>
                <w:rFonts w:hint="eastAsia" w:ascii="仿宋_GB2312" w:eastAsia="仿宋_GB2312"/>
                <w:color w:val="auto"/>
                <w:szCs w:val="21"/>
                <w:lang w:val="en-US" w:eastAsia="zh-CN"/>
              </w:rPr>
            </w:pPr>
            <w:r>
              <w:rPr>
                <w:rFonts w:hint="eastAsia" w:ascii="仿宋_GB2312" w:eastAsia="仿宋_GB2312"/>
                <w:color w:val="auto"/>
                <w:szCs w:val="21"/>
                <w:lang w:val="en-US" w:eastAsia="zh-CN"/>
              </w:rPr>
              <w:t>3592</w:t>
            </w:r>
          </w:p>
        </w:tc>
        <w:tc>
          <w:tcPr>
            <w:tcW w:w="1378" w:type="dxa"/>
            <w:tcBorders>
              <w:top w:val="single" w:color="auto" w:sz="4" w:space="0"/>
            </w:tcBorders>
            <w:vAlign w:val="center"/>
          </w:tcPr>
          <w:p>
            <w:pPr>
              <w:jc w:val="center"/>
              <w:rPr>
                <w:rFonts w:hint="eastAsia" w:ascii="仿宋_GB2312" w:eastAsia="仿宋_GB2312"/>
                <w:color w:val="auto"/>
                <w:szCs w:val="21"/>
                <w:lang w:val="en-US" w:eastAsia="zh-CN"/>
              </w:rPr>
            </w:pPr>
            <w:r>
              <w:rPr>
                <w:rFonts w:hint="eastAsia" w:ascii="仿宋_GB2312" w:eastAsia="仿宋_GB2312"/>
                <w:color w:val="auto"/>
                <w:szCs w:val="21"/>
                <w:lang w:val="en-US" w:eastAsia="zh-CN"/>
              </w:rPr>
              <w:t>49.8031</w:t>
            </w:r>
          </w:p>
        </w:tc>
        <w:tc>
          <w:tcPr>
            <w:tcW w:w="2805" w:type="dxa"/>
            <w:tcBorders>
              <w:top w:val="single" w:color="auto" w:sz="4" w:space="0"/>
            </w:tcBorders>
            <w:vAlign w:val="center"/>
          </w:tcPr>
          <w:p>
            <w:pPr>
              <w:jc w:val="center"/>
              <w:rPr>
                <w:rFonts w:hint="eastAsia" w:ascii="仿宋_GB2312" w:eastAsia="仿宋_GB2312"/>
                <w:color w:val="auto"/>
                <w:szCs w:val="21"/>
                <w:lang w:eastAsia="zh-CN"/>
              </w:rPr>
            </w:pPr>
            <w:r>
              <w:rPr>
                <w:rFonts w:hint="eastAsia" w:ascii="仿宋_GB2312" w:eastAsia="仿宋_GB2312"/>
                <w:color w:val="auto"/>
                <w:szCs w:val="21"/>
                <w:lang w:eastAsia="zh-CN"/>
              </w:rPr>
              <w:t>肆拾玖万捌仟零叁拾壹元整</w:t>
            </w:r>
          </w:p>
        </w:tc>
      </w:tr>
      <w:tr>
        <w:tblPrEx>
          <w:tblBorders>
            <w:top w:val="double" w:color="auto" w:sz="4" w:space="0"/>
            <w:left w:val="dotted" w:color="auto" w:sz="4" w:space="0"/>
            <w:bottom w:val="double"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54" w:hRule="atLeast"/>
        </w:trPr>
        <w:tc>
          <w:tcPr>
            <w:tcW w:w="1115" w:type="dxa"/>
            <w:vAlign w:val="center"/>
          </w:tcPr>
          <w:p>
            <w:pPr>
              <w:jc w:val="center"/>
              <w:rPr>
                <w:rFonts w:ascii="仿宋_GB2312" w:eastAsia="仿宋_GB2312"/>
                <w:color w:val="auto"/>
                <w:kern w:val="0"/>
                <w:szCs w:val="21"/>
              </w:rPr>
            </w:pPr>
            <w:r>
              <w:rPr>
                <w:rFonts w:hint="eastAsia" w:ascii="仿宋_GB2312" w:eastAsia="仿宋_GB2312"/>
                <w:color w:val="auto"/>
                <w:kern w:val="0"/>
                <w:szCs w:val="21"/>
              </w:rPr>
              <w:t>合计</w:t>
            </w:r>
          </w:p>
        </w:tc>
        <w:tc>
          <w:tcPr>
            <w:tcW w:w="1114" w:type="dxa"/>
            <w:vAlign w:val="center"/>
          </w:tcPr>
          <w:p>
            <w:pPr>
              <w:rPr>
                <w:rFonts w:ascii="仿宋_GB2312" w:eastAsia="仿宋_GB2312"/>
                <w:color w:val="auto"/>
                <w:szCs w:val="21"/>
              </w:rPr>
            </w:pPr>
            <w:r>
              <w:rPr>
                <w:rFonts w:hint="eastAsia" w:ascii="仿宋_GB2312" w:eastAsia="仿宋_GB2312"/>
                <w:color w:val="auto"/>
                <w:szCs w:val="21"/>
              </w:rPr>
              <w:t>　</w:t>
            </w:r>
          </w:p>
        </w:tc>
        <w:tc>
          <w:tcPr>
            <w:tcW w:w="1327" w:type="dxa"/>
            <w:vAlign w:val="center"/>
          </w:tcPr>
          <w:p>
            <w:pPr>
              <w:jc w:val="center"/>
              <w:rPr>
                <w:rFonts w:hint="eastAsia" w:ascii="仿宋_GB2312" w:eastAsia="仿宋_GB2312"/>
                <w:color w:val="auto"/>
                <w:szCs w:val="21"/>
                <w:lang w:val="en-US" w:eastAsia="zh-CN"/>
              </w:rPr>
            </w:pPr>
            <w:r>
              <w:rPr>
                <w:rFonts w:hint="eastAsia" w:ascii="仿宋_GB2312" w:eastAsia="仿宋_GB2312"/>
                <w:color w:val="auto"/>
                <w:szCs w:val="21"/>
                <w:lang w:val="en-US" w:eastAsia="zh-CN"/>
              </w:rPr>
              <w:t>138.65</w:t>
            </w:r>
          </w:p>
        </w:tc>
        <w:tc>
          <w:tcPr>
            <w:tcW w:w="1435" w:type="dxa"/>
            <w:vAlign w:val="center"/>
          </w:tcPr>
          <w:p>
            <w:pPr>
              <w:rPr>
                <w:rFonts w:ascii="仿宋_GB2312" w:eastAsia="仿宋_GB2312"/>
                <w:color w:val="auto"/>
                <w:szCs w:val="21"/>
              </w:rPr>
            </w:pPr>
          </w:p>
        </w:tc>
        <w:tc>
          <w:tcPr>
            <w:tcW w:w="1378" w:type="dxa"/>
            <w:vAlign w:val="center"/>
          </w:tcPr>
          <w:p>
            <w:pPr>
              <w:jc w:val="center"/>
              <w:rPr>
                <w:rFonts w:ascii="仿宋_GB2312" w:eastAsia="仿宋_GB2312"/>
                <w:color w:val="auto"/>
                <w:szCs w:val="21"/>
              </w:rPr>
            </w:pPr>
          </w:p>
        </w:tc>
        <w:tc>
          <w:tcPr>
            <w:tcW w:w="2805" w:type="dxa"/>
            <w:vAlign w:val="center"/>
          </w:tcPr>
          <w:p>
            <w:pPr>
              <w:jc w:val="center"/>
              <w:rPr>
                <w:rFonts w:ascii="仿宋_GB2312" w:eastAsia="仿宋_GB2312"/>
                <w:color w:val="auto"/>
                <w:szCs w:val="21"/>
              </w:rPr>
            </w:pPr>
          </w:p>
        </w:tc>
      </w:tr>
    </w:tbl>
    <w:p>
      <w:pPr>
        <w:pStyle w:val="3"/>
        <w:ind w:firstLine="562"/>
        <w:rPr>
          <w:rFonts w:ascii="Times New Roman" w:hAnsi="Times New Roman"/>
          <w:color w:val="auto"/>
        </w:rPr>
      </w:pPr>
      <w:r>
        <w:rPr>
          <w:rFonts w:ascii="Times New Roman" w:hAnsi="Times New Roman"/>
          <w:color w:val="auto"/>
        </w:rPr>
        <w:t>（十</w:t>
      </w:r>
      <w:r>
        <w:rPr>
          <w:rFonts w:hint="eastAsia" w:ascii="Times New Roman" w:hAnsi="Times New Roman"/>
          <w:color w:val="auto"/>
        </w:rPr>
        <w:t>一</w:t>
      </w:r>
      <w:r>
        <w:rPr>
          <w:rFonts w:ascii="Times New Roman" w:hAnsi="Times New Roman"/>
          <w:color w:val="auto"/>
        </w:rPr>
        <w:t>）</w:t>
      </w:r>
      <w:bookmarkEnd w:id="137"/>
      <w:bookmarkEnd w:id="138"/>
      <w:bookmarkEnd w:id="139"/>
      <w:bookmarkEnd w:id="140"/>
      <w:bookmarkEnd w:id="141"/>
      <w:bookmarkEnd w:id="142"/>
      <w:bookmarkEnd w:id="143"/>
      <w:bookmarkEnd w:id="144"/>
      <w:bookmarkEnd w:id="145"/>
      <w:bookmarkEnd w:id="146"/>
      <w:bookmarkStart w:id="148" w:name="_Toc387827702"/>
      <w:r>
        <w:rPr>
          <w:rFonts w:ascii="Times New Roman" w:hAnsi="Times New Roman"/>
          <w:color w:val="auto"/>
        </w:rPr>
        <w:t>注册房地产估价师</w:t>
      </w:r>
      <w:bookmarkEnd w:id="147"/>
      <w:bookmarkEnd w:id="148"/>
    </w:p>
    <w:p>
      <w:pPr>
        <w:adjustRightInd w:val="0"/>
        <w:snapToGrid w:val="0"/>
        <w:spacing w:afterLines="50" w:line="480" w:lineRule="exact"/>
        <w:ind w:firstLine="560" w:firstLineChars="200"/>
        <w:rPr>
          <w:rFonts w:eastAsia="仿宋_GB2312"/>
          <w:color w:val="auto"/>
          <w:sz w:val="28"/>
          <w:szCs w:val="28"/>
        </w:rPr>
      </w:pPr>
      <w:bookmarkStart w:id="149" w:name="_Toc301369726"/>
      <w:bookmarkStart w:id="150" w:name="_Toc269132879"/>
      <w:bookmarkStart w:id="151" w:name="_Toc254875150"/>
      <w:bookmarkStart w:id="152" w:name="_Toc243111725"/>
      <w:bookmarkStart w:id="153" w:name="_Toc135016182"/>
      <w:bookmarkStart w:id="154" w:name="_Toc130033732"/>
      <w:bookmarkStart w:id="155" w:name="_Toc270691078"/>
      <w:bookmarkStart w:id="156" w:name="_Toc254860136"/>
      <w:bookmarkStart w:id="157" w:name="_Toc243111696"/>
      <w:bookmarkStart w:id="158" w:name="_Toc367869508"/>
      <w:r>
        <w:rPr>
          <w:rFonts w:eastAsia="仿宋_GB2312"/>
          <w:color w:val="auto"/>
          <w:sz w:val="28"/>
          <w:szCs w:val="28"/>
        </w:rPr>
        <w:t>参加本次估价的注册房地产估价师为：</w:t>
      </w:r>
    </w:p>
    <w:tbl>
      <w:tblPr>
        <w:tblStyle w:val="47"/>
        <w:tblW w:w="9174" w:type="dxa"/>
        <w:jc w:val="center"/>
        <w:tblInd w:w="0" w:type="dxa"/>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407"/>
        <w:gridCol w:w="3249"/>
        <w:gridCol w:w="2736"/>
        <w:gridCol w:w="1782"/>
      </w:tblGrid>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701" w:hRule="atLeast"/>
          <w:jc w:val="center"/>
        </w:trPr>
        <w:tc>
          <w:tcPr>
            <w:tcW w:w="1407" w:type="dxa"/>
            <w:tcBorders>
              <w:top w:val="thinThickSmallGap" w:color="auto" w:sz="12" w:space="0"/>
              <w:bottom w:val="single" w:color="auto" w:sz="4" w:space="0"/>
            </w:tcBorders>
            <w:vAlign w:val="center"/>
          </w:tcPr>
          <w:p>
            <w:pPr>
              <w:pStyle w:val="20"/>
              <w:adjustRightInd w:val="0"/>
              <w:snapToGrid w:val="0"/>
              <w:spacing w:line="480" w:lineRule="exact"/>
              <w:jc w:val="center"/>
              <w:rPr>
                <w:rFonts w:ascii="Times New Roman" w:hAnsi="Times New Roman" w:eastAsia="仿宋_GB2312"/>
                <w:b/>
                <w:bCs/>
                <w:color w:val="auto"/>
                <w:sz w:val="28"/>
                <w:szCs w:val="28"/>
              </w:rPr>
            </w:pPr>
            <w:r>
              <w:rPr>
                <w:rFonts w:ascii="Times New Roman" w:hAnsi="Times New Roman" w:eastAsia="仿宋_GB2312"/>
                <w:b/>
                <w:bCs/>
                <w:color w:val="auto"/>
                <w:sz w:val="28"/>
                <w:szCs w:val="28"/>
              </w:rPr>
              <w:t>姓名</w:t>
            </w:r>
          </w:p>
        </w:tc>
        <w:tc>
          <w:tcPr>
            <w:tcW w:w="3249" w:type="dxa"/>
            <w:tcBorders>
              <w:top w:val="thinThickSmallGap" w:color="auto" w:sz="12" w:space="0"/>
              <w:bottom w:val="single" w:color="auto" w:sz="4" w:space="0"/>
            </w:tcBorders>
            <w:vAlign w:val="center"/>
          </w:tcPr>
          <w:p>
            <w:pPr>
              <w:pStyle w:val="20"/>
              <w:adjustRightInd w:val="0"/>
              <w:snapToGrid w:val="0"/>
              <w:spacing w:line="480" w:lineRule="exact"/>
              <w:ind w:hanging="10"/>
              <w:jc w:val="center"/>
              <w:rPr>
                <w:rFonts w:ascii="Times New Roman" w:hAnsi="Times New Roman" w:eastAsia="仿宋_GB2312"/>
                <w:b/>
                <w:bCs/>
                <w:color w:val="auto"/>
                <w:sz w:val="28"/>
                <w:szCs w:val="28"/>
              </w:rPr>
            </w:pPr>
            <w:r>
              <w:rPr>
                <w:rFonts w:ascii="Times New Roman" w:hAnsi="Times New Roman" w:eastAsia="仿宋_GB2312"/>
                <w:b/>
                <w:bCs/>
                <w:color w:val="auto"/>
                <w:sz w:val="28"/>
                <w:szCs w:val="28"/>
              </w:rPr>
              <w:t>注册号</w:t>
            </w:r>
          </w:p>
        </w:tc>
        <w:tc>
          <w:tcPr>
            <w:tcW w:w="2736" w:type="dxa"/>
            <w:tcBorders>
              <w:top w:val="thinThickSmallGap" w:color="auto" w:sz="12" w:space="0"/>
              <w:bottom w:val="single" w:color="auto" w:sz="4" w:space="0"/>
            </w:tcBorders>
            <w:vAlign w:val="center"/>
          </w:tcPr>
          <w:p>
            <w:pPr>
              <w:pStyle w:val="20"/>
              <w:adjustRightInd w:val="0"/>
              <w:snapToGrid w:val="0"/>
              <w:spacing w:line="480" w:lineRule="exact"/>
              <w:ind w:hanging="10"/>
              <w:jc w:val="center"/>
              <w:rPr>
                <w:rFonts w:ascii="Times New Roman" w:hAnsi="Times New Roman" w:eastAsia="仿宋_GB2312"/>
                <w:b/>
                <w:bCs/>
                <w:color w:val="auto"/>
                <w:sz w:val="28"/>
                <w:szCs w:val="28"/>
              </w:rPr>
            </w:pPr>
            <w:r>
              <w:rPr>
                <w:rFonts w:ascii="Times New Roman" w:hAnsi="Times New Roman" w:eastAsia="仿宋_GB2312"/>
                <w:b/>
                <w:bCs/>
                <w:color w:val="auto"/>
                <w:sz w:val="28"/>
                <w:szCs w:val="28"/>
              </w:rPr>
              <w:t>签    名</w:t>
            </w:r>
          </w:p>
        </w:tc>
        <w:tc>
          <w:tcPr>
            <w:tcW w:w="1782" w:type="dxa"/>
            <w:tcBorders>
              <w:top w:val="thinThickSmallGap" w:color="auto" w:sz="12" w:space="0"/>
              <w:bottom w:val="single" w:color="auto" w:sz="4" w:space="0"/>
            </w:tcBorders>
            <w:vAlign w:val="center"/>
          </w:tcPr>
          <w:p>
            <w:pPr>
              <w:pStyle w:val="20"/>
              <w:adjustRightInd w:val="0"/>
              <w:snapToGrid w:val="0"/>
              <w:spacing w:line="480" w:lineRule="exact"/>
              <w:jc w:val="center"/>
              <w:rPr>
                <w:rFonts w:ascii="Times New Roman" w:hAnsi="Times New Roman" w:eastAsia="仿宋_GB2312"/>
                <w:b/>
                <w:bCs/>
                <w:color w:val="auto"/>
                <w:sz w:val="28"/>
                <w:szCs w:val="28"/>
              </w:rPr>
            </w:pPr>
            <w:r>
              <w:rPr>
                <w:rFonts w:ascii="Times New Roman" w:hAnsi="Times New Roman" w:eastAsia="仿宋_GB2312"/>
                <w:b/>
                <w:bCs/>
                <w:color w:val="auto"/>
                <w:sz w:val="28"/>
                <w:szCs w:val="28"/>
              </w:rPr>
              <w:t>签名日期</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1554" w:hRule="atLeast"/>
          <w:jc w:val="center"/>
        </w:trPr>
        <w:tc>
          <w:tcPr>
            <w:tcW w:w="1407" w:type="dxa"/>
            <w:tcBorders>
              <w:top w:val="single" w:color="auto" w:sz="4" w:space="0"/>
            </w:tcBorders>
            <w:vAlign w:val="center"/>
          </w:tcPr>
          <w:p>
            <w:pPr>
              <w:pStyle w:val="20"/>
              <w:adjustRightInd w:val="0"/>
              <w:snapToGrid w:val="0"/>
              <w:spacing w:line="480" w:lineRule="exact"/>
              <w:jc w:val="center"/>
              <w:rPr>
                <w:rFonts w:ascii="Times New Roman" w:hAnsi="Times New Roman" w:eastAsia="仿宋_GB2312"/>
                <w:color w:val="auto"/>
                <w:sz w:val="28"/>
                <w:szCs w:val="28"/>
              </w:rPr>
            </w:pPr>
            <w:r>
              <w:rPr>
                <w:rFonts w:ascii="Times New Roman" w:hAnsi="Times New Roman" w:eastAsia="仿宋_GB2312"/>
                <w:bCs/>
                <w:color w:val="auto"/>
                <w:sz w:val="28"/>
                <w:szCs w:val="28"/>
              </w:rPr>
              <w:t>历福友</w:t>
            </w:r>
          </w:p>
        </w:tc>
        <w:tc>
          <w:tcPr>
            <w:tcW w:w="3249" w:type="dxa"/>
            <w:tcBorders>
              <w:top w:val="single" w:color="auto" w:sz="4" w:space="0"/>
            </w:tcBorders>
            <w:vAlign w:val="center"/>
          </w:tcPr>
          <w:p>
            <w:pPr>
              <w:pStyle w:val="20"/>
              <w:adjustRightInd w:val="0"/>
              <w:snapToGrid w:val="0"/>
              <w:spacing w:line="480" w:lineRule="exact"/>
              <w:jc w:val="center"/>
              <w:rPr>
                <w:rFonts w:ascii="Times New Roman" w:hAnsi="Times New Roman" w:eastAsia="仿宋_GB2312"/>
                <w:bCs/>
                <w:color w:val="auto"/>
                <w:sz w:val="28"/>
                <w:szCs w:val="28"/>
              </w:rPr>
            </w:pPr>
            <w:r>
              <w:rPr>
                <w:rFonts w:ascii="Times New Roman" w:hAnsi="Times New Roman" w:eastAsia="仿宋_GB2312"/>
                <w:bCs/>
                <w:color w:val="auto"/>
                <w:sz w:val="28"/>
                <w:szCs w:val="28"/>
              </w:rPr>
              <w:t>1520050003</w:t>
            </w:r>
          </w:p>
        </w:tc>
        <w:tc>
          <w:tcPr>
            <w:tcW w:w="2736" w:type="dxa"/>
            <w:tcBorders>
              <w:top w:val="single" w:color="auto" w:sz="4" w:space="0"/>
            </w:tcBorders>
            <w:vAlign w:val="center"/>
          </w:tcPr>
          <w:p>
            <w:pPr>
              <w:pStyle w:val="20"/>
              <w:adjustRightInd w:val="0"/>
              <w:snapToGrid w:val="0"/>
              <w:spacing w:line="480" w:lineRule="exact"/>
              <w:ind w:firstLine="562"/>
              <w:jc w:val="center"/>
              <w:rPr>
                <w:rFonts w:ascii="Times New Roman" w:hAnsi="Times New Roman" w:eastAsia="仿宋_GB2312"/>
                <w:color w:val="auto"/>
                <w:sz w:val="28"/>
                <w:szCs w:val="28"/>
              </w:rPr>
            </w:pPr>
          </w:p>
        </w:tc>
        <w:tc>
          <w:tcPr>
            <w:tcW w:w="1782" w:type="dxa"/>
            <w:tcBorders>
              <w:top w:val="single" w:color="auto" w:sz="4" w:space="0"/>
            </w:tcBorders>
            <w:vAlign w:val="center"/>
          </w:tcPr>
          <w:p>
            <w:pPr>
              <w:pStyle w:val="20"/>
              <w:adjustRightInd w:val="0"/>
              <w:snapToGrid w:val="0"/>
              <w:spacing w:line="480" w:lineRule="exact"/>
              <w:ind w:firstLine="562"/>
              <w:jc w:val="center"/>
              <w:rPr>
                <w:rFonts w:ascii="Times New Roman" w:hAnsi="Times New Roman" w:eastAsia="仿宋_GB2312"/>
                <w:color w:val="auto"/>
                <w:sz w:val="28"/>
                <w:szCs w:val="28"/>
              </w:rPr>
            </w:pP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1690" w:hRule="atLeast"/>
          <w:jc w:val="center"/>
        </w:trPr>
        <w:tc>
          <w:tcPr>
            <w:tcW w:w="1407" w:type="dxa"/>
            <w:tcBorders>
              <w:bottom w:val="thickThinSmallGap" w:color="auto" w:sz="12" w:space="0"/>
            </w:tcBorders>
            <w:vAlign w:val="center"/>
          </w:tcPr>
          <w:p>
            <w:pPr>
              <w:pStyle w:val="20"/>
              <w:adjustRightInd w:val="0"/>
              <w:snapToGrid w:val="0"/>
              <w:spacing w:line="480" w:lineRule="exact"/>
              <w:jc w:val="center"/>
              <w:rPr>
                <w:rFonts w:hint="eastAsia" w:ascii="Times New Roman" w:hAnsi="Times New Roman" w:eastAsia="仿宋_GB2312"/>
                <w:color w:val="auto"/>
                <w:sz w:val="28"/>
                <w:szCs w:val="28"/>
                <w:lang w:eastAsia="zh-CN"/>
              </w:rPr>
            </w:pPr>
            <w:r>
              <w:rPr>
                <w:rFonts w:hint="eastAsia" w:ascii="Times New Roman" w:hAnsi="Times New Roman" w:eastAsia="仿宋_GB2312"/>
                <w:bCs/>
                <w:color w:val="auto"/>
                <w:sz w:val="28"/>
                <w:szCs w:val="28"/>
                <w:lang w:eastAsia="zh-CN"/>
              </w:rPr>
              <w:t>崔雪梅</w:t>
            </w:r>
          </w:p>
        </w:tc>
        <w:tc>
          <w:tcPr>
            <w:tcW w:w="3249" w:type="dxa"/>
            <w:tcBorders>
              <w:bottom w:val="thickThinSmallGap" w:color="auto" w:sz="12" w:space="0"/>
            </w:tcBorders>
            <w:vAlign w:val="center"/>
          </w:tcPr>
          <w:p>
            <w:pPr>
              <w:pStyle w:val="20"/>
              <w:adjustRightInd w:val="0"/>
              <w:snapToGrid w:val="0"/>
              <w:spacing w:line="480" w:lineRule="exact"/>
              <w:jc w:val="center"/>
              <w:rPr>
                <w:rFonts w:hint="eastAsia" w:ascii="Times New Roman" w:hAnsi="Times New Roman" w:eastAsia="仿宋_GB2312"/>
                <w:bCs/>
                <w:color w:val="auto"/>
                <w:sz w:val="28"/>
                <w:szCs w:val="28"/>
                <w:lang w:eastAsia="zh-CN"/>
              </w:rPr>
            </w:pPr>
            <w:r>
              <w:rPr>
                <w:rFonts w:hint="eastAsia" w:ascii="Times New Roman" w:hAnsi="Times New Roman" w:eastAsia="仿宋_GB2312"/>
                <w:bCs/>
                <w:color w:val="auto"/>
                <w:sz w:val="28"/>
                <w:szCs w:val="28"/>
                <w:lang w:eastAsia="zh-CN"/>
              </w:rPr>
              <w:t>1520160011</w:t>
            </w:r>
          </w:p>
        </w:tc>
        <w:tc>
          <w:tcPr>
            <w:tcW w:w="2736" w:type="dxa"/>
            <w:tcBorders>
              <w:bottom w:val="thickThinSmallGap" w:color="auto" w:sz="12" w:space="0"/>
            </w:tcBorders>
            <w:vAlign w:val="center"/>
          </w:tcPr>
          <w:p>
            <w:pPr>
              <w:pStyle w:val="20"/>
              <w:adjustRightInd w:val="0"/>
              <w:snapToGrid w:val="0"/>
              <w:spacing w:line="480" w:lineRule="exact"/>
              <w:ind w:firstLine="562"/>
              <w:jc w:val="center"/>
              <w:rPr>
                <w:rFonts w:ascii="Times New Roman" w:hAnsi="Times New Roman" w:eastAsia="仿宋_GB2312"/>
                <w:color w:val="auto"/>
                <w:sz w:val="28"/>
                <w:szCs w:val="28"/>
              </w:rPr>
            </w:pPr>
          </w:p>
        </w:tc>
        <w:tc>
          <w:tcPr>
            <w:tcW w:w="1782" w:type="dxa"/>
            <w:tcBorders>
              <w:bottom w:val="thickThinSmallGap" w:color="auto" w:sz="12" w:space="0"/>
            </w:tcBorders>
            <w:vAlign w:val="center"/>
          </w:tcPr>
          <w:p>
            <w:pPr>
              <w:pStyle w:val="20"/>
              <w:adjustRightInd w:val="0"/>
              <w:snapToGrid w:val="0"/>
              <w:spacing w:line="480" w:lineRule="exact"/>
              <w:ind w:firstLine="562"/>
              <w:jc w:val="center"/>
              <w:rPr>
                <w:rFonts w:ascii="Times New Roman" w:hAnsi="Times New Roman" w:eastAsia="仿宋_GB2312"/>
                <w:color w:val="auto"/>
                <w:sz w:val="28"/>
                <w:szCs w:val="28"/>
              </w:rPr>
            </w:pPr>
          </w:p>
        </w:tc>
      </w:tr>
    </w:tbl>
    <w:p>
      <w:pPr>
        <w:pStyle w:val="3"/>
        <w:ind w:firstLine="562"/>
        <w:rPr>
          <w:rFonts w:ascii="Times New Roman" w:hAnsi="Times New Roman"/>
          <w:color w:val="auto"/>
        </w:rPr>
      </w:pPr>
      <w:bookmarkStart w:id="159" w:name="_Toc521268512"/>
      <w:r>
        <w:rPr>
          <w:rFonts w:ascii="Times New Roman" w:hAnsi="Times New Roman"/>
          <w:color w:val="auto"/>
        </w:rPr>
        <w:t>（十</w:t>
      </w:r>
      <w:r>
        <w:rPr>
          <w:rFonts w:hint="eastAsia" w:ascii="Times New Roman" w:hAnsi="Times New Roman"/>
          <w:color w:val="auto"/>
        </w:rPr>
        <w:t>二</w:t>
      </w:r>
      <w:r>
        <w:rPr>
          <w:rFonts w:ascii="Times New Roman" w:hAnsi="Times New Roman"/>
          <w:color w:val="auto"/>
        </w:rPr>
        <w:t>）</w:t>
      </w:r>
      <w:bookmarkEnd w:id="149"/>
      <w:bookmarkEnd w:id="150"/>
      <w:bookmarkEnd w:id="151"/>
      <w:bookmarkEnd w:id="152"/>
      <w:bookmarkEnd w:id="153"/>
      <w:bookmarkEnd w:id="154"/>
      <w:bookmarkEnd w:id="155"/>
      <w:bookmarkEnd w:id="156"/>
      <w:bookmarkEnd w:id="157"/>
      <w:bookmarkEnd w:id="158"/>
      <w:r>
        <w:rPr>
          <w:rFonts w:ascii="Times New Roman" w:hAnsi="Times New Roman"/>
          <w:color w:val="auto"/>
        </w:rPr>
        <w:t>实地查勘期</w:t>
      </w:r>
      <w:bookmarkEnd w:id="159"/>
    </w:p>
    <w:p>
      <w:pPr>
        <w:spacing w:line="480" w:lineRule="exact"/>
        <w:ind w:firstLine="560" w:firstLineChars="200"/>
        <w:rPr>
          <w:rFonts w:eastAsia="仿宋_GB2312"/>
          <w:color w:val="auto"/>
          <w:sz w:val="28"/>
          <w:szCs w:val="28"/>
        </w:rPr>
      </w:pPr>
      <w:r>
        <w:rPr>
          <w:rFonts w:eastAsia="仿宋_GB2312"/>
          <w:color w:val="auto"/>
          <w:sz w:val="28"/>
          <w:szCs w:val="28"/>
        </w:rPr>
        <w:t>201</w:t>
      </w:r>
      <w:r>
        <w:rPr>
          <w:rFonts w:hint="eastAsia" w:eastAsia="仿宋_GB2312"/>
          <w:color w:val="auto"/>
          <w:sz w:val="28"/>
          <w:szCs w:val="28"/>
          <w:lang w:val="en-US" w:eastAsia="zh-CN"/>
        </w:rPr>
        <w:t>9</w:t>
      </w:r>
      <w:r>
        <w:rPr>
          <w:rFonts w:eastAsia="仿宋_GB2312"/>
          <w:color w:val="auto"/>
          <w:sz w:val="28"/>
          <w:szCs w:val="28"/>
        </w:rPr>
        <w:t>年</w:t>
      </w:r>
      <w:r>
        <w:rPr>
          <w:rFonts w:hint="eastAsia" w:eastAsia="仿宋_GB2312"/>
          <w:color w:val="auto"/>
          <w:sz w:val="28"/>
          <w:szCs w:val="28"/>
          <w:lang w:val="en-US" w:eastAsia="zh-CN"/>
        </w:rPr>
        <w:t>1</w:t>
      </w:r>
      <w:r>
        <w:rPr>
          <w:rFonts w:eastAsia="仿宋_GB2312"/>
          <w:color w:val="auto"/>
          <w:sz w:val="28"/>
          <w:szCs w:val="28"/>
        </w:rPr>
        <w:t>月</w:t>
      </w:r>
      <w:r>
        <w:rPr>
          <w:rFonts w:hint="eastAsia" w:eastAsia="仿宋_GB2312"/>
          <w:color w:val="auto"/>
          <w:sz w:val="28"/>
          <w:szCs w:val="28"/>
          <w:lang w:val="en-US" w:eastAsia="zh-CN"/>
        </w:rPr>
        <w:t>24</w:t>
      </w:r>
      <w:r>
        <w:rPr>
          <w:rFonts w:eastAsia="仿宋_GB2312"/>
          <w:color w:val="auto"/>
          <w:sz w:val="28"/>
          <w:szCs w:val="28"/>
        </w:rPr>
        <w:t>日至201</w:t>
      </w:r>
      <w:r>
        <w:rPr>
          <w:rFonts w:hint="eastAsia" w:eastAsia="仿宋_GB2312"/>
          <w:color w:val="auto"/>
          <w:sz w:val="28"/>
          <w:szCs w:val="28"/>
          <w:lang w:val="en-US" w:eastAsia="zh-CN"/>
        </w:rPr>
        <w:t>9</w:t>
      </w:r>
      <w:r>
        <w:rPr>
          <w:rFonts w:eastAsia="仿宋_GB2312"/>
          <w:color w:val="auto"/>
          <w:sz w:val="28"/>
          <w:szCs w:val="28"/>
        </w:rPr>
        <w:t>年</w:t>
      </w:r>
      <w:r>
        <w:rPr>
          <w:rFonts w:hint="eastAsia" w:eastAsia="仿宋_GB2312"/>
          <w:color w:val="auto"/>
          <w:sz w:val="28"/>
          <w:szCs w:val="28"/>
          <w:lang w:val="en-US" w:eastAsia="zh-CN"/>
        </w:rPr>
        <w:t>1</w:t>
      </w:r>
      <w:r>
        <w:rPr>
          <w:rFonts w:eastAsia="仿宋_GB2312"/>
          <w:color w:val="auto"/>
          <w:sz w:val="28"/>
          <w:szCs w:val="28"/>
        </w:rPr>
        <w:t>月</w:t>
      </w:r>
      <w:r>
        <w:rPr>
          <w:rFonts w:hint="eastAsia" w:eastAsia="仿宋_GB2312"/>
          <w:color w:val="auto"/>
          <w:sz w:val="28"/>
          <w:szCs w:val="28"/>
          <w:lang w:val="en-US" w:eastAsia="zh-CN"/>
        </w:rPr>
        <w:t>24</w:t>
      </w:r>
      <w:r>
        <w:rPr>
          <w:rFonts w:eastAsia="仿宋_GB2312"/>
          <w:color w:val="auto"/>
          <w:sz w:val="28"/>
          <w:szCs w:val="28"/>
        </w:rPr>
        <w:t>日（自进入估价对象现场之日起至完成实地查勘之日止）</w:t>
      </w:r>
      <w:bookmarkStart w:id="160" w:name="_Toc130033733"/>
      <w:bookmarkStart w:id="161" w:name="_Toc243111726"/>
      <w:bookmarkStart w:id="162" w:name="_Toc270691079"/>
      <w:bookmarkStart w:id="163" w:name="_Toc243111697"/>
      <w:bookmarkStart w:id="164" w:name="_Toc254860137"/>
      <w:bookmarkStart w:id="165" w:name="_Toc367869509"/>
      <w:bookmarkStart w:id="166" w:name="_Toc301369727"/>
      <w:bookmarkStart w:id="167" w:name="_Toc135016183"/>
      <w:bookmarkStart w:id="168" w:name="_Toc269132880"/>
      <w:bookmarkStart w:id="169" w:name="_Toc254875151"/>
    </w:p>
    <w:p>
      <w:pPr>
        <w:pStyle w:val="3"/>
        <w:ind w:firstLine="562"/>
        <w:rPr>
          <w:rFonts w:ascii="Times New Roman" w:hAnsi="Times New Roman"/>
          <w:color w:val="auto"/>
        </w:rPr>
      </w:pPr>
      <w:bookmarkStart w:id="170" w:name="_Toc521268513"/>
      <w:r>
        <w:rPr>
          <w:rFonts w:ascii="Times New Roman" w:hAnsi="Times New Roman"/>
          <w:color w:val="auto"/>
        </w:rPr>
        <w:t>（十</w:t>
      </w:r>
      <w:r>
        <w:rPr>
          <w:rFonts w:hint="eastAsia" w:ascii="Times New Roman" w:hAnsi="Times New Roman"/>
          <w:color w:val="auto"/>
        </w:rPr>
        <w:t>三</w:t>
      </w:r>
      <w:r>
        <w:rPr>
          <w:rFonts w:ascii="Times New Roman" w:hAnsi="Times New Roman"/>
          <w:color w:val="auto"/>
        </w:rPr>
        <w:t>）</w:t>
      </w:r>
      <w:bookmarkEnd w:id="160"/>
      <w:bookmarkEnd w:id="161"/>
      <w:bookmarkEnd w:id="162"/>
      <w:bookmarkEnd w:id="163"/>
      <w:bookmarkEnd w:id="164"/>
      <w:bookmarkEnd w:id="165"/>
      <w:bookmarkEnd w:id="166"/>
      <w:bookmarkEnd w:id="167"/>
      <w:bookmarkEnd w:id="168"/>
      <w:bookmarkEnd w:id="169"/>
      <w:r>
        <w:rPr>
          <w:rFonts w:ascii="Times New Roman" w:hAnsi="Times New Roman"/>
          <w:color w:val="auto"/>
        </w:rPr>
        <w:t>估价作业期</w:t>
      </w:r>
      <w:bookmarkEnd w:id="170"/>
    </w:p>
    <w:p>
      <w:pPr>
        <w:spacing w:line="540" w:lineRule="exact"/>
        <w:ind w:firstLine="560" w:firstLineChars="200"/>
        <w:rPr>
          <w:rFonts w:ascii="仿宋_GB2312" w:hAnsi="仿宋" w:eastAsia="仿宋_GB2312"/>
          <w:color w:val="auto"/>
          <w:sz w:val="28"/>
          <w:szCs w:val="28"/>
        </w:rPr>
      </w:pPr>
      <w:bookmarkStart w:id="171" w:name="_Toc299004832"/>
      <w:bookmarkStart w:id="172" w:name="_Toc254875152"/>
      <w:bookmarkStart w:id="173" w:name="_Toc299004801"/>
      <w:bookmarkStart w:id="174" w:name="_Toc270691080"/>
      <w:bookmarkStart w:id="175" w:name="_Toc130033734"/>
      <w:bookmarkStart w:id="176" w:name="_Toc135016184"/>
      <w:bookmarkStart w:id="177" w:name="_Toc243111698"/>
      <w:bookmarkStart w:id="178" w:name="_Toc254860138"/>
      <w:bookmarkStart w:id="179" w:name="_Toc243111727"/>
      <w:bookmarkStart w:id="180" w:name="_Toc269132881"/>
      <w:r>
        <w:rPr>
          <w:rFonts w:hint="eastAsia" w:ascii="仿宋_GB2312" w:hAnsi="仿宋" w:eastAsia="仿宋_GB2312"/>
          <w:color w:val="auto"/>
          <w:sz w:val="28"/>
          <w:szCs w:val="28"/>
        </w:rPr>
        <w:t>二○一</w:t>
      </w:r>
      <w:r>
        <w:rPr>
          <w:rFonts w:hint="eastAsia" w:ascii="仿宋_GB2312" w:hAnsi="仿宋" w:eastAsia="仿宋_GB2312"/>
          <w:color w:val="auto"/>
          <w:sz w:val="28"/>
          <w:szCs w:val="28"/>
          <w:lang w:eastAsia="zh-CN"/>
        </w:rPr>
        <w:t>九</w:t>
      </w:r>
      <w:r>
        <w:rPr>
          <w:rFonts w:hint="eastAsia" w:ascii="仿宋_GB2312" w:hAnsi="仿宋" w:eastAsia="仿宋_GB2312"/>
          <w:color w:val="auto"/>
          <w:sz w:val="28"/>
          <w:szCs w:val="28"/>
        </w:rPr>
        <w:t>年</w:t>
      </w:r>
      <w:r>
        <w:rPr>
          <w:rFonts w:hint="eastAsia" w:ascii="仿宋_GB2312" w:hAnsi="仿宋" w:eastAsia="仿宋_GB2312"/>
          <w:color w:val="auto"/>
          <w:sz w:val="28"/>
          <w:szCs w:val="28"/>
          <w:lang w:eastAsia="zh-CN"/>
        </w:rPr>
        <w:t>一</w:t>
      </w:r>
      <w:r>
        <w:rPr>
          <w:rFonts w:hint="eastAsia" w:ascii="仿宋_GB2312" w:hAnsi="仿宋" w:eastAsia="仿宋_GB2312"/>
          <w:color w:val="auto"/>
          <w:sz w:val="28"/>
          <w:szCs w:val="28"/>
        </w:rPr>
        <w:t>月</w:t>
      </w:r>
      <w:r>
        <w:rPr>
          <w:rFonts w:hint="eastAsia" w:ascii="仿宋_GB2312" w:hAnsi="仿宋" w:eastAsia="仿宋_GB2312"/>
          <w:color w:val="auto"/>
          <w:sz w:val="28"/>
          <w:szCs w:val="28"/>
          <w:lang w:eastAsia="zh-CN"/>
        </w:rPr>
        <w:t>二十四</w:t>
      </w:r>
      <w:r>
        <w:rPr>
          <w:rFonts w:hint="eastAsia" w:ascii="仿宋_GB2312" w:hAnsi="仿宋" w:eastAsia="仿宋_GB2312"/>
          <w:color w:val="auto"/>
          <w:sz w:val="28"/>
          <w:szCs w:val="28"/>
        </w:rPr>
        <w:t>日至二0一</w:t>
      </w:r>
      <w:r>
        <w:rPr>
          <w:rFonts w:hint="eastAsia" w:ascii="仿宋_GB2312" w:hAnsi="仿宋" w:eastAsia="仿宋_GB2312"/>
          <w:color w:val="auto"/>
          <w:sz w:val="28"/>
          <w:szCs w:val="28"/>
          <w:lang w:eastAsia="zh-CN"/>
        </w:rPr>
        <w:t>九</w:t>
      </w:r>
      <w:r>
        <w:rPr>
          <w:rFonts w:hint="eastAsia" w:ascii="仿宋_GB2312" w:hAnsi="仿宋" w:eastAsia="仿宋_GB2312"/>
          <w:color w:val="auto"/>
          <w:sz w:val="28"/>
          <w:szCs w:val="28"/>
        </w:rPr>
        <w:t>年</w:t>
      </w:r>
      <w:r>
        <w:rPr>
          <w:rFonts w:hint="eastAsia" w:ascii="仿宋_GB2312" w:hAnsi="仿宋" w:eastAsia="仿宋_GB2312"/>
          <w:color w:val="auto"/>
          <w:sz w:val="28"/>
          <w:szCs w:val="28"/>
          <w:lang w:eastAsia="zh-CN"/>
        </w:rPr>
        <w:t>二</w:t>
      </w:r>
      <w:r>
        <w:rPr>
          <w:rFonts w:hint="eastAsia" w:ascii="仿宋_GB2312" w:hAnsi="仿宋" w:eastAsia="仿宋_GB2312"/>
          <w:color w:val="auto"/>
          <w:sz w:val="28"/>
          <w:szCs w:val="28"/>
        </w:rPr>
        <w:t>月</w:t>
      </w:r>
      <w:r>
        <w:rPr>
          <w:rFonts w:hint="eastAsia" w:ascii="仿宋_GB2312" w:hAnsi="仿宋" w:eastAsia="仿宋_GB2312"/>
          <w:color w:val="auto"/>
          <w:sz w:val="28"/>
          <w:szCs w:val="28"/>
          <w:lang w:eastAsia="zh-CN"/>
        </w:rPr>
        <w:t>二十八</w:t>
      </w:r>
      <w:r>
        <w:rPr>
          <w:rFonts w:hint="eastAsia" w:ascii="仿宋_GB2312" w:hAnsi="仿宋" w:eastAsia="仿宋_GB2312"/>
          <w:color w:val="auto"/>
          <w:sz w:val="28"/>
          <w:szCs w:val="28"/>
        </w:rPr>
        <w:t>日</w:t>
      </w:r>
      <w:bookmarkStart w:id="181" w:name="_Toc512274805"/>
    </w:p>
    <w:bookmarkEnd w:id="171"/>
    <w:bookmarkEnd w:id="172"/>
    <w:bookmarkEnd w:id="173"/>
    <w:bookmarkEnd w:id="174"/>
    <w:bookmarkEnd w:id="175"/>
    <w:bookmarkEnd w:id="176"/>
    <w:bookmarkEnd w:id="177"/>
    <w:bookmarkEnd w:id="178"/>
    <w:bookmarkEnd w:id="179"/>
    <w:bookmarkEnd w:id="180"/>
    <w:bookmarkEnd w:id="181"/>
    <w:p>
      <w:pPr>
        <w:spacing w:line="540" w:lineRule="exact"/>
        <w:ind w:firstLine="723" w:firstLineChars="200"/>
        <w:rPr>
          <w:rFonts w:ascii="仿宋_GB2312" w:hAnsi="Calibri"/>
          <w:b/>
          <w:snapToGrid w:val="0"/>
          <w:color w:val="auto"/>
          <w:kern w:val="0"/>
          <w:sz w:val="36"/>
          <w:szCs w:val="36"/>
        </w:rPr>
      </w:pPr>
      <w:bookmarkStart w:id="182" w:name="_Toc521268514"/>
    </w:p>
    <w:p>
      <w:pPr>
        <w:spacing w:line="540" w:lineRule="exact"/>
        <w:ind w:firstLine="723" w:firstLineChars="200"/>
        <w:jc w:val="center"/>
        <w:rPr>
          <w:rFonts w:ascii="仿宋_GB2312" w:hAnsi="Calibri"/>
          <w:b/>
          <w:snapToGrid w:val="0"/>
          <w:color w:val="auto"/>
          <w:kern w:val="0"/>
          <w:sz w:val="36"/>
          <w:szCs w:val="36"/>
        </w:rPr>
      </w:pPr>
    </w:p>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182"/>
    <w:p>
      <w:pPr>
        <w:rPr>
          <w:color w:val="auto"/>
        </w:rPr>
      </w:pPr>
      <w:bookmarkStart w:id="183" w:name="_Toc301369728"/>
      <w:bookmarkStart w:id="184" w:name="_Toc367869510"/>
    </w:p>
    <w:p>
      <w:pPr>
        <w:pStyle w:val="2"/>
        <w:rPr>
          <w:color w:val="auto"/>
        </w:rPr>
      </w:pPr>
      <w:bookmarkStart w:id="185" w:name="_Toc521268523"/>
      <w:r>
        <w:rPr>
          <w:color w:val="auto"/>
        </w:rPr>
        <w:t>五、附件</w:t>
      </w:r>
      <w:bookmarkEnd w:id="183"/>
      <w:bookmarkEnd w:id="184"/>
      <w:bookmarkEnd w:id="185"/>
    </w:p>
    <w:p>
      <w:pPr>
        <w:pStyle w:val="145"/>
        <w:numPr>
          <w:ilvl w:val="2"/>
          <w:numId w:val="6"/>
        </w:numPr>
        <w:adjustRightInd w:val="0"/>
        <w:snapToGrid w:val="0"/>
        <w:spacing w:line="360" w:lineRule="auto"/>
        <w:ind w:left="766" w:hanging="482" w:firstLineChars="0"/>
        <w:rPr>
          <w:rFonts w:ascii="仿宋_GB2312" w:hAnsi="仿宋" w:eastAsia="仿宋_GB2312"/>
          <w:color w:val="auto"/>
          <w:sz w:val="28"/>
          <w:szCs w:val="28"/>
        </w:rPr>
      </w:pPr>
      <w:r>
        <w:rPr>
          <w:rFonts w:hint="eastAsia" w:ascii="仿宋_GB2312" w:hAnsi="仿宋" w:eastAsia="仿宋_GB2312"/>
          <w:color w:val="auto"/>
          <w:sz w:val="28"/>
          <w:szCs w:val="28"/>
        </w:rPr>
        <w:t>估价对象位置图</w:t>
      </w:r>
    </w:p>
    <w:p>
      <w:pPr>
        <w:pStyle w:val="145"/>
        <w:numPr>
          <w:ilvl w:val="2"/>
          <w:numId w:val="6"/>
        </w:numPr>
        <w:adjustRightInd w:val="0"/>
        <w:snapToGrid w:val="0"/>
        <w:spacing w:line="360" w:lineRule="auto"/>
        <w:ind w:left="766" w:hanging="482" w:firstLineChars="0"/>
        <w:rPr>
          <w:rFonts w:ascii="仿宋_GB2312" w:hAnsi="仿宋" w:eastAsia="仿宋_GB2312"/>
          <w:color w:val="auto"/>
          <w:sz w:val="28"/>
          <w:szCs w:val="28"/>
        </w:rPr>
      </w:pPr>
      <w:r>
        <w:rPr>
          <w:rFonts w:hint="eastAsia" w:ascii="仿宋_GB2312" w:hAnsi="仿宋" w:eastAsia="仿宋_GB2312"/>
          <w:color w:val="auto"/>
          <w:sz w:val="28"/>
          <w:szCs w:val="28"/>
        </w:rPr>
        <w:t>估价对象状况照片</w:t>
      </w:r>
    </w:p>
    <w:p>
      <w:pPr>
        <w:pStyle w:val="145"/>
        <w:numPr>
          <w:ilvl w:val="2"/>
          <w:numId w:val="6"/>
        </w:numPr>
        <w:adjustRightInd w:val="0"/>
        <w:snapToGrid w:val="0"/>
        <w:spacing w:line="360" w:lineRule="auto"/>
        <w:ind w:left="766" w:hanging="482" w:firstLineChars="0"/>
        <w:rPr>
          <w:rFonts w:ascii="仿宋_GB2312" w:hAnsi="仿宋" w:eastAsia="仿宋_GB2312"/>
          <w:color w:val="auto"/>
          <w:sz w:val="28"/>
          <w:szCs w:val="28"/>
        </w:rPr>
      </w:pPr>
      <w:r>
        <w:rPr>
          <w:rFonts w:hint="eastAsia" w:ascii="仿宋_GB2312" w:hAnsi="仿宋" w:eastAsia="仿宋_GB2312"/>
          <w:color w:val="auto"/>
          <w:sz w:val="28"/>
          <w:szCs w:val="28"/>
        </w:rPr>
        <w:t>《</w:t>
      </w:r>
      <w:r>
        <w:rPr>
          <w:rFonts w:hint="eastAsia" w:ascii="仿宋_GB2312" w:hAnsi="仿宋" w:eastAsia="仿宋_GB2312"/>
          <w:color w:val="auto"/>
          <w:sz w:val="28"/>
          <w:szCs w:val="28"/>
          <w:lang w:eastAsia="zh-CN"/>
        </w:rPr>
        <w:t>五原县人民</w:t>
      </w:r>
      <w:r>
        <w:rPr>
          <w:rFonts w:hint="eastAsia" w:ascii="仿宋_GB2312" w:hAnsi="仿宋" w:eastAsia="仿宋_GB2312"/>
          <w:color w:val="auto"/>
          <w:sz w:val="28"/>
          <w:szCs w:val="28"/>
        </w:rPr>
        <w:t>法院评估委托书》复印件</w:t>
      </w:r>
    </w:p>
    <w:p>
      <w:pPr>
        <w:pStyle w:val="145"/>
        <w:numPr>
          <w:ilvl w:val="2"/>
          <w:numId w:val="6"/>
        </w:numPr>
        <w:adjustRightInd w:val="0"/>
        <w:snapToGrid w:val="0"/>
        <w:spacing w:line="360" w:lineRule="auto"/>
        <w:ind w:left="766" w:hanging="482" w:firstLineChars="0"/>
        <w:rPr>
          <w:rFonts w:ascii="仿宋_GB2312" w:hAnsi="仿宋" w:eastAsia="仿宋_GB2312"/>
          <w:color w:val="auto"/>
          <w:sz w:val="28"/>
          <w:szCs w:val="28"/>
        </w:rPr>
      </w:pPr>
      <w:r>
        <w:rPr>
          <w:rFonts w:hint="eastAsia" w:ascii="仿宋_GB2312" w:hAnsi="仿宋" w:eastAsia="仿宋_GB2312"/>
          <w:color w:val="auto"/>
          <w:sz w:val="28"/>
          <w:szCs w:val="28"/>
        </w:rPr>
        <w:t>《房屋所有权证》复印件</w:t>
      </w:r>
    </w:p>
    <w:p>
      <w:pPr>
        <w:pStyle w:val="145"/>
        <w:numPr>
          <w:ilvl w:val="2"/>
          <w:numId w:val="6"/>
        </w:numPr>
        <w:adjustRightInd w:val="0"/>
        <w:snapToGrid w:val="0"/>
        <w:spacing w:line="360" w:lineRule="auto"/>
        <w:ind w:left="766" w:hanging="482" w:firstLineChars="0"/>
        <w:rPr>
          <w:rFonts w:ascii="仿宋_GB2312" w:hAnsi="仿宋" w:eastAsia="仿宋_GB2312"/>
          <w:color w:val="auto"/>
          <w:sz w:val="28"/>
          <w:szCs w:val="28"/>
        </w:rPr>
      </w:pPr>
      <w:r>
        <w:rPr>
          <w:rFonts w:hint="eastAsia" w:ascii="仿宋_GB2312" w:hAnsi="仿宋" w:eastAsia="仿宋_GB2312"/>
          <w:color w:val="auto"/>
          <w:sz w:val="28"/>
          <w:szCs w:val="28"/>
        </w:rPr>
        <w:t>房地产估价机构营业执照复印件</w:t>
      </w:r>
    </w:p>
    <w:p>
      <w:pPr>
        <w:pStyle w:val="145"/>
        <w:numPr>
          <w:ilvl w:val="2"/>
          <w:numId w:val="6"/>
        </w:numPr>
        <w:adjustRightInd w:val="0"/>
        <w:snapToGrid w:val="0"/>
        <w:spacing w:line="360" w:lineRule="auto"/>
        <w:ind w:left="766" w:hanging="482" w:firstLineChars="0"/>
        <w:rPr>
          <w:rFonts w:ascii="仿宋_GB2312" w:hAnsi="仿宋" w:eastAsia="仿宋_GB2312"/>
          <w:color w:val="auto"/>
          <w:sz w:val="28"/>
          <w:szCs w:val="28"/>
        </w:rPr>
      </w:pPr>
      <w:r>
        <w:rPr>
          <w:rFonts w:hint="eastAsia" w:ascii="仿宋_GB2312" w:hAnsi="仿宋" w:eastAsia="仿宋_GB2312"/>
          <w:color w:val="auto"/>
          <w:sz w:val="28"/>
          <w:szCs w:val="28"/>
        </w:rPr>
        <w:t>房地产估价机构资质证书复印件</w:t>
      </w:r>
    </w:p>
    <w:p>
      <w:pPr>
        <w:pStyle w:val="145"/>
        <w:numPr>
          <w:ilvl w:val="2"/>
          <w:numId w:val="6"/>
        </w:numPr>
        <w:adjustRightInd w:val="0"/>
        <w:snapToGrid w:val="0"/>
        <w:spacing w:line="360" w:lineRule="auto"/>
        <w:ind w:left="766" w:hanging="482" w:firstLineChars="0"/>
        <w:rPr>
          <w:rFonts w:ascii="仿宋_GB2312" w:hAnsi="仿宋" w:eastAsia="仿宋_GB2312"/>
          <w:color w:val="auto"/>
          <w:sz w:val="28"/>
          <w:szCs w:val="28"/>
        </w:rPr>
      </w:pPr>
      <w:r>
        <w:rPr>
          <w:rFonts w:hint="eastAsia" w:ascii="仿宋_GB2312" w:hAnsi="仿宋" w:eastAsia="仿宋_GB2312"/>
          <w:color w:val="auto"/>
          <w:sz w:val="28"/>
          <w:szCs w:val="28"/>
        </w:rPr>
        <w:t>注册房地产估价师注册证书复印件</w:t>
      </w:r>
    </w:p>
    <w:p>
      <w:pPr>
        <w:pStyle w:val="145"/>
        <w:adjustRightInd w:val="0"/>
        <w:snapToGrid w:val="0"/>
        <w:spacing w:line="360" w:lineRule="auto"/>
        <w:ind w:left="766" w:firstLine="0" w:firstLineChars="0"/>
        <w:rPr>
          <w:rFonts w:ascii="仿宋_GB2312" w:hAnsi="仿宋" w:eastAsia="仿宋_GB2312"/>
          <w:color w:val="auto"/>
          <w:sz w:val="28"/>
          <w:szCs w:val="28"/>
        </w:rPr>
      </w:pPr>
    </w:p>
    <w:p>
      <w:pPr>
        <w:pStyle w:val="145"/>
        <w:adjustRightInd w:val="0"/>
        <w:snapToGrid w:val="0"/>
        <w:spacing w:line="360" w:lineRule="auto"/>
        <w:ind w:left="766" w:firstLine="0" w:firstLineChars="0"/>
        <w:rPr>
          <w:rFonts w:ascii="仿宋_GB2312" w:hAnsi="仿宋" w:eastAsia="仿宋_GB2312"/>
          <w:color w:val="auto"/>
          <w:sz w:val="28"/>
          <w:szCs w:val="28"/>
        </w:rPr>
      </w:pPr>
    </w:p>
    <w:p>
      <w:pPr>
        <w:pStyle w:val="145"/>
        <w:adjustRightInd w:val="0"/>
        <w:snapToGrid w:val="0"/>
        <w:spacing w:line="360" w:lineRule="auto"/>
        <w:ind w:left="766" w:firstLine="0" w:firstLineChars="0"/>
        <w:rPr>
          <w:rFonts w:ascii="仿宋_GB2312" w:hAnsi="仿宋" w:eastAsia="仿宋_GB2312"/>
          <w:color w:val="auto"/>
          <w:sz w:val="28"/>
          <w:szCs w:val="28"/>
        </w:rPr>
      </w:pPr>
    </w:p>
    <w:p>
      <w:pPr>
        <w:pStyle w:val="145"/>
        <w:adjustRightInd w:val="0"/>
        <w:snapToGrid w:val="0"/>
        <w:spacing w:line="360" w:lineRule="auto"/>
        <w:ind w:left="766" w:firstLine="0" w:firstLineChars="0"/>
        <w:rPr>
          <w:rFonts w:ascii="仿宋_GB2312" w:hAnsi="仿宋" w:eastAsia="仿宋_GB2312"/>
          <w:color w:val="auto"/>
          <w:sz w:val="28"/>
          <w:szCs w:val="28"/>
        </w:rPr>
      </w:pPr>
    </w:p>
    <w:p>
      <w:pPr>
        <w:pStyle w:val="145"/>
        <w:adjustRightInd w:val="0"/>
        <w:snapToGrid w:val="0"/>
        <w:spacing w:line="360" w:lineRule="auto"/>
        <w:ind w:left="766" w:firstLine="0" w:firstLineChars="0"/>
        <w:rPr>
          <w:rFonts w:ascii="仿宋_GB2312" w:hAnsi="仿宋" w:eastAsia="仿宋_GB2312"/>
          <w:color w:val="auto"/>
          <w:sz w:val="28"/>
          <w:szCs w:val="28"/>
        </w:rPr>
      </w:pPr>
    </w:p>
    <w:p>
      <w:pPr>
        <w:pStyle w:val="145"/>
        <w:adjustRightInd w:val="0"/>
        <w:snapToGrid w:val="0"/>
        <w:spacing w:line="360" w:lineRule="auto"/>
        <w:ind w:left="766" w:firstLine="0" w:firstLineChars="0"/>
        <w:rPr>
          <w:rFonts w:ascii="仿宋_GB2312" w:hAnsi="仿宋" w:eastAsia="仿宋_GB2312"/>
          <w:color w:val="auto"/>
          <w:sz w:val="28"/>
          <w:szCs w:val="28"/>
        </w:rPr>
      </w:pPr>
    </w:p>
    <w:p>
      <w:pPr>
        <w:pStyle w:val="145"/>
        <w:adjustRightInd w:val="0"/>
        <w:snapToGrid w:val="0"/>
        <w:spacing w:line="360" w:lineRule="auto"/>
        <w:ind w:left="766" w:firstLine="0" w:firstLineChars="0"/>
        <w:rPr>
          <w:rFonts w:ascii="仿宋_GB2312" w:hAnsi="仿宋" w:eastAsia="仿宋_GB2312"/>
          <w:color w:val="auto"/>
          <w:sz w:val="28"/>
          <w:szCs w:val="28"/>
        </w:rPr>
      </w:pPr>
    </w:p>
    <w:p>
      <w:pPr>
        <w:pStyle w:val="145"/>
        <w:adjustRightInd w:val="0"/>
        <w:snapToGrid w:val="0"/>
        <w:spacing w:line="360" w:lineRule="auto"/>
        <w:ind w:left="766" w:firstLine="0" w:firstLineChars="0"/>
        <w:rPr>
          <w:rFonts w:ascii="仿宋_GB2312" w:hAnsi="仿宋" w:eastAsia="仿宋_GB2312"/>
          <w:color w:val="auto"/>
          <w:sz w:val="28"/>
          <w:szCs w:val="28"/>
        </w:rPr>
      </w:pPr>
    </w:p>
    <w:p>
      <w:pPr>
        <w:pStyle w:val="145"/>
        <w:adjustRightInd w:val="0"/>
        <w:snapToGrid w:val="0"/>
        <w:spacing w:line="360" w:lineRule="auto"/>
        <w:ind w:left="766" w:firstLine="0" w:firstLineChars="0"/>
        <w:rPr>
          <w:rFonts w:ascii="仿宋_GB2312" w:hAnsi="仿宋" w:eastAsia="仿宋_GB2312"/>
          <w:color w:val="auto"/>
          <w:sz w:val="28"/>
          <w:szCs w:val="28"/>
        </w:rPr>
      </w:pPr>
    </w:p>
    <w:p>
      <w:pPr>
        <w:pStyle w:val="145"/>
        <w:adjustRightInd w:val="0"/>
        <w:snapToGrid w:val="0"/>
        <w:spacing w:line="360" w:lineRule="auto"/>
        <w:ind w:left="766" w:firstLine="0" w:firstLineChars="0"/>
        <w:rPr>
          <w:rFonts w:ascii="仿宋_GB2312" w:hAnsi="仿宋" w:eastAsia="仿宋_GB2312"/>
          <w:color w:val="auto"/>
          <w:sz w:val="28"/>
          <w:szCs w:val="28"/>
        </w:rPr>
      </w:pPr>
    </w:p>
    <w:p>
      <w:pPr>
        <w:pStyle w:val="145"/>
        <w:adjustRightInd w:val="0"/>
        <w:snapToGrid w:val="0"/>
        <w:spacing w:line="360" w:lineRule="auto"/>
        <w:ind w:left="766" w:firstLine="0" w:firstLineChars="0"/>
        <w:rPr>
          <w:rFonts w:ascii="仿宋_GB2312" w:hAnsi="仿宋" w:eastAsia="仿宋_GB2312"/>
          <w:color w:val="auto"/>
          <w:sz w:val="28"/>
          <w:szCs w:val="28"/>
        </w:rPr>
      </w:pPr>
    </w:p>
    <w:p>
      <w:pPr>
        <w:pStyle w:val="145"/>
        <w:adjustRightInd w:val="0"/>
        <w:snapToGrid w:val="0"/>
        <w:spacing w:line="360" w:lineRule="auto"/>
        <w:ind w:left="766" w:firstLine="0" w:firstLineChars="0"/>
        <w:rPr>
          <w:rFonts w:ascii="仿宋_GB2312" w:hAnsi="仿宋" w:eastAsia="仿宋_GB2312"/>
          <w:color w:val="auto"/>
          <w:sz w:val="28"/>
          <w:szCs w:val="28"/>
        </w:rPr>
      </w:pPr>
    </w:p>
    <w:p>
      <w:pPr>
        <w:pStyle w:val="145"/>
        <w:adjustRightInd w:val="0"/>
        <w:snapToGrid w:val="0"/>
        <w:spacing w:line="360" w:lineRule="auto"/>
        <w:ind w:left="766" w:firstLine="0" w:firstLineChars="0"/>
        <w:rPr>
          <w:rFonts w:ascii="仿宋_GB2312" w:hAnsi="仿宋" w:eastAsia="仿宋_GB2312"/>
          <w:color w:val="auto"/>
          <w:sz w:val="28"/>
          <w:szCs w:val="28"/>
        </w:rPr>
      </w:pPr>
    </w:p>
    <w:p>
      <w:pPr>
        <w:pStyle w:val="145"/>
        <w:adjustRightInd w:val="0"/>
        <w:snapToGrid w:val="0"/>
        <w:spacing w:line="360" w:lineRule="auto"/>
        <w:ind w:left="766" w:firstLine="0" w:firstLineChars="0"/>
        <w:rPr>
          <w:rFonts w:ascii="仿宋_GB2312" w:hAnsi="仿宋" w:eastAsia="仿宋_GB2312"/>
          <w:color w:val="auto"/>
          <w:sz w:val="28"/>
          <w:szCs w:val="28"/>
        </w:rPr>
      </w:pPr>
    </w:p>
    <w:p>
      <w:pPr>
        <w:pStyle w:val="145"/>
        <w:adjustRightInd w:val="0"/>
        <w:snapToGrid w:val="0"/>
        <w:spacing w:line="360" w:lineRule="auto"/>
        <w:ind w:left="766" w:firstLine="0" w:firstLineChars="0"/>
        <w:jc w:val="center"/>
        <w:rPr>
          <w:rFonts w:ascii="仿宋_GB2312" w:hAnsi="仿宋" w:eastAsia="仿宋_GB2312"/>
          <w:color w:val="auto"/>
          <w:sz w:val="28"/>
          <w:szCs w:val="28"/>
        </w:rPr>
      </w:pPr>
    </w:p>
    <w:p>
      <w:pPr>
        <w:pStyle w:val="145"/>
        <w:adjustRightInd w:val="0"/>
        <w:snapToGrid w:val="0"/>
        <w:spacing w:line="360" w:lineRule="auto"/>
        <w:ind w:left="766" w:firstLine="0" w:firstLineChars="0"/>
        <w:jc w:val="center"/>
        <w:rPr>
          <w:rFonts w:hint="eastAsia" w:ascii="仿宋_GB2312" w:hAnsi="仿宋" w:eastAsia="仿宋_GB2312"/>
          <w:color w:val="auto"/>
          <w:sz w:val="28"/>
          <w:szCs w:val="28"/>
        </w:rPr>
      </w:pPr>
    </w:p>
    <w:p>
      <w:pPr>
        <w:pStyle w:val="145"/>
        <w:adjustRightInd w:val="0"/>
        <w:snapToGrid w:val="0"/>
        <w:spacing w:line="360" w:lineRule="auto"/>
        <w:ind w:left="766" w:firstLine="0" w:firstLineChars="0"/>
        <w:jc w:val="center"/>
        <w:rPr>
          <w:rFonts w:ascii="仿宋_GB2312" w:hAnsi="仿宋" w:eastAsia="仿宋_GB2312"/>
          <w:color w:val="auto"/>
          <w:sz w:val="28"/>
          <w:szCs w:val="28"/>
        </w:rPr>
      </w:pPr>
      <w:r>
        <w:rPr>
          <w:rFonts w:hint="eastAsia" w:ascii="仿宋_GB2312" w:hAnsi="仿宋" w:eastAsia="仿宋_GB2312"/>
          <w:color w:val="auto"/>
          <w:sz w:val="28"/>
          <w:szCs w:val="28"/>
        </w:rPr>
        <w:t>估价对象位置图</w:t>
      </w:r>
    </w:p>
    <w:p>
      <w:pPr>
        <w:pStyle w:val="145"/>
        <w:adjustRightInd w:val="0"/>
        <w:snapToGrid w:val="0"/>
        <w:spacing w:line="360" w:lineRule="auto"/>
        <w:ind w:left="766" w:firstLine="0" w:firstLineChars="0"/>
        <w:jc w:val="center"/>
        <w:rPr>
          <w:rFonts w:hint="eastAsia" w:ascii="仿宋_GB2312" w:hAnsi="仿宋" w:eastAsia="仿宋_GB2312"/>
          <w:color w:val="auto"/>
          <w:sz w:val="28"/>
          <w:szCs w:val="28"/>
          <w:lang w:eastAsia="zh-CN"/>
        </w:rPr>
      </w:pPr>
      <w:r>
        <w:rPr>
          <w:rFonts w:hint="eastAsia" w:ascii="仿宋_GB2312" w:hAnsi="仿宋" w:eastAsia="仿宋_GB2312"/>
          <w:color w:val="auto"/>
          <w:sz w:val="28"/>
          <w:szCs w:val="28"/>
          <w:lang w:eastAsia="zh-CN"/>
        </w:rPr>
        <w:drawing>
          <wp:anchor distT="0" distB="0" distL="114300" distR="114300" simplePos="0" relativeHeight="251660288" behindDoc="0" locked="0" layoutInCell="1" allowOverlap="1">
            <wp:simplePos x="0" y="0"/>
            <wp:positionH relativeFrom="column">
              <wp:posOffset>57785</wp:posOffset>
            </wp:positionH>
            <wp:positionV relativeFrom="paragraph">
              <wp:posOffset>95250</wp:posOffset>
            </wp:positionV>
            <wp:extent cx="5687060" cy="4599305"/>
            <wp:effectExtent l="0" t="0" r="8890" b="10795"/>
            <wp:wrapSquare wrapText="bothSides"/>
            <wp:docPr id="11" name="图片 11" descr="中意佳苑位置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中意佳苑位置图"/>
                    <pic:cNvPicPr>
                      <a:picLocks noChangeAspect="1"/>
                    </pic:cNvPicPr>
                  </pic:nvPicPr>
                  <pic:blipFill>
                    <a:blip r:embed="rId16"/>
                    <a:stretch>
                      <a:fillRect/>
                    </a:stretch>
                  </pic:blipFill>
                  <pic:spPr>
                    <a:xfrm>
                      <a:off x="0" y="0"/>
                      <a:ext cx="5687060" cy="4599305"/>
                    </a:xfrm>
                    <a:prstGeom prst="rect">
                      <a:avLst/>
                    </a:prstGeom>
                  </pic:spPr>
                </pic:pic>
              </a:graphicData>
            </a:graphic>
          </wp:anchor>
        </w:drawing>
      </w:r>
    </w:p>
    <w:p>
      <w:pPr>
        <w:pStyle w:val="145"/>
        <w:adjustRightInd w:val="0"/>
        <w:snapToGrid w:val="0"/>
        <w:spacing w:line="360" w:lineRule="auto"/>
        <w:ind w:left="766" w:firstLine="0" w:firstLineChars="0"/>
        <w:rPr>
          <w:rFonts w:ascii="仿宋_GB2312" w:hAnsi="仿宋" w:eastAsia="仿宋_GB2312"/>
          <w:color w:val="auto"/>
          <w:sz w:val="28"/>
          <w:szCs w:val="28"/>
        </w:rPr>
      </w:pPr>
    </w:p>
    <w:p>
      <w:pPr>
        <w:pStyle w:val="145"/>
        <w:adjustRightInd w:val="0"/>
        <w:snapToGrid w:val="0"/>
        <w:spacing w:line="360" w:lineRule="auto"/>
        <w:ind w:left="766" w:firstLine="0" w:firstLineChars="0"/>
        <w:rPr>
          <w:rFonts w:ascii="仿宋_GB2312" w:hAnsi="仿宋" w:eastAsia="仿宋_GB2312"/>
          <w:color w:val="auto"/>
          <w:sz w:val="28"/>
          <w:szCs w:val="28"/>
        </w:rPr>
      </w:pPr>
    </w:p>
    <w:p>
      <w:pPr>
        <w:pStyle w:val="145"/>
        <w:adjustRightInd w:val="0"/>
        <w:snapToGrid w:val="0"/>
        <w:spacing w:line="360" w:lineRule="auto"/>
        <w:ind w:left="766" w:firstLine="0" w:firstLineChars="0"/>
        <w:rPr>
          <w:rFonts w:ascii="仿宋_GB2312" w:hAnsi="仿宋" w:eastAsia="仿宋_GB2312"/>
          <w:color w:val="auto"/>
          <w:sz w:val="28"/>
          <w:szCs w:val="28"/>
        </w:rPr>
      </w:pPr>
    </w:p>
    <w:p>
      <w:pPr>
        <w:pStyle w:val="145"/>
        <w:adjustRightInd w:val="0"/>
        <w:snapToGrid w:val="0"/>
        <w:spacing w:line="360" w:lineRule="auto"/>
        <w:ind w:left="766" w:firstLine="0" w:firstLineChars="0"/>
        <w:jc w:val="center"/>
        <w:rPr>
          <w:rFonts w:ascii="仿宋_GB2312" w:hAnsi="仿宋" w:eastAsia="仿宋_GB2312"/>
          <w:color w:val="auto"/>
          <w:sz w:val="28"/>
          <w:szCs w:val="28"/>
        </w:rPr>
      </w:pPr>
    </w:p>
    <w:p>
      <w:pPr>
        <w:pStyle w:val="145"/>
        <w:adjustRightInd w:val="0"/>
        <w:snapToGrid w:val="0"/>
        <w:spacing w:line="360" w:lineRule="auto"/>
        <w:ind w:left="766" w:firstLine="0" w:firstLineChars="0"/>
        <w:jc w:val="center"/>
        <w:rPr>
          <w:rFonts w:ascii="仿宋_GB2312" w:hAnsi="仿宋" w:eastAsia="仿宋_GB2312"/>
          <w:color w:val="auto"/>
          <w:sz w:val="28"/>
          <w:szCs w:val="28"/>
        </w:rPr>
      </w:pPr>
    </w:p>
    <w:p>
      <w:pPr>
        <w:pStyle w:val="145"/>
        <w:adjustRightInd w:val="0"/>
        <w:snapToGrid w:val="0"/>
        <w:spacing w:line="360" w:lineRule="auto"/>
        <w:ind w:left="766" w:firstLine="0" w:firstLineChars="0"/>
        <w:jc w:val="center"/>
        <w:rPr>
          <w:rFonts w:ascii="仿宋_GB2312" w:hAnsi="仿宋" w:eastAsia="仿宋_GB2312"/>
          <w:color w:val="auto"/>
          <w:sz w:val="28"/>
          <w:szCs w:val="28"/>
        </w:rPr>
      </w:pPr>
    </w:p>
    <w:p>
      <w:pPr>
        <w:pStyle w:val="145"/>
        <w:adjustRightInd w:val="0"/>
        <w:snapToGrid w:val="0"/>
        <w:spacing w:line="360" w:lineRule="auto"/>
        <w:ind w:left="766" w:firstLine="0" w:firstLineChars="0"/>
        <w:jc w:val="center"/>
        <w:rPr>
          <w:rFonts w:ascii="仿宋_GB2312" w:hAnsi="仿宋" w:eastAsia="仿宋_GB2312"/>
          <w:color w:val="auto"/>
          <w:sz w:val="28"/>
          <w:szCs w:val="28"/>
        </w:rPr>
      </w:pPr>
    </w:p>
    <w:p>
      <w:pPr>
        <w:pStyle w:val="145"/>
        <w:adjustRightInd w:val="0"/>
        <w:snapToGrid w:val="0"/>
        <w:spacing w:line="360" w:lineRule="auto"/>
        <w:ind w:left="766" w:firstLine="0" w:firstLineChars="0"/>
        <w:jc w:val="center"/>
        <w:rPr>
          <w:rFonts w:ascii="仿宋_GB2312" w:hAnsi="仿宋" w:eastAsia="仿宋_GB2312"/>
          <w:color w:val="auto"/>
          <w:sz w:val="28"/>
          <w:szCs w:val="28"/>
        </w:rPr>
      </w:pPr>
    </w:p>
    <w:p>
      <w:pPr>
        <w:pStyle w:val="145"/>
        <w:adjustRightInd w:val="0"/>
        <w:snapToGrid w:val="0"/>
        <w:spacing w:line="360" w:lineRule="auto"/>
        <w:ind w:left="766" w:firstLine="0" w:firstLineChars="0"/>
        <w:jc w:val="center"/>
        <w:rPr>
          <w:rFonts w:ascii="仿宋_GB2312" w:hAnsi="仿宋" w:eastAsia="仿宋_GB2312"/>
          <w:color w:val="auto"/>
          <w:sz w:val="28"/>
          <w:szCs w:val="28"/>
        </w:rPr>
      </w:pPr>
    </w:p>
    <w:p>
      <w:pPr>
        <w:pStyle w:val="145"/>
        <w:adjustRightInd w:val="0"/>
        <w:snapToGrid w:val="0"/>
        <w:spacing w:line="360" w:lineRule="auto"/>
        <w:ind w:left="766" w:firstLine="0" w:firstLineChars="0"/>
        <w:jc w:val="center"/>
        <w:rPr>
          <w:rFonts w:hint="eastAsia" w:ascii="仿宋_GB2312" w:hAnsi="仿宋" w:eastAsia="仿宋_GB2312"/>
          <w:color w:val="auto"/>
          <w:sz w:val="28"/>
          <w:szCs w:val="28"/>
        </w:rPr>
      </w:pPr>
    </w:p>
    <w:p>
      <w:pPr>
        <w:pStyle w:val="145"/>
        <w:adjustRightInd w:val="0"/>
        <w:snapToGrid w:val="0"/>
        <w:spacing w:line="360" w:lineRule="auto"/>
        <w:ind w:left="766" w:firstLine="0" w:firstLineChars="0"/>
        <w:jc w:val="center"/>
        <w:rPr>
          <w:rFonts w:ascii="仿宋_GB2312" w:hAnsi="仿宋" w:eastAsia="仿宋_GB2312"/>
          <w:color w:val="auto"/>
          <w:sz w:val="28"/>
          <w:szCs w:val="28"/>
        </w:rPr>
      </w:pPr>
      <w:r>
        <w:rPr>
          <w:rFonts w:hint="eastAsia" w:ascii="仿宋_GB2312" w:hAnsi="仿宋" w:eastAsia="仿宋_GB2312"/>
          <w:color w:val="auto"/>
          <w:sz w:val="28"/>
          <w:szCs w:val="28"/>
        </w:rPr>
        <w:t>估价对象状况照片</w:t>
      </w:r>
    </w:p>
    <w:p>
      <w:pPr>
        <w:tabs>
          <w:tab w:val="left" w:pos="1560"/>
        </w:tabs>
        <w:spacing w:line="600" w:lineRule="exact"/>
        <w:ind w:firstLine="560" w:firstLineChars="200"/>
        <w:jc w:val="left"/>
        <w:rPr>
          <w:rFonts w:hint="eastAsia" w:ascii="仿宋_GB2312" w:hAnsi="仿宋" w:eastAsia="仿宋_GB2312"/>
          <w:color w:val="auto"/>
          <w:sz w:val="28"/>
          <w:szCs w:val="28"/>
          <w:lang w:eastAsia="zh-CN"/>
        </w:rPr>
      </w:pPr>
      <w:r>
        <w:rPr>
          <w:rFonts w:hint="eastAsia" w:ascii="仿宋_GB2312" w:hAnsi="仿宋" w:eastAsia="仿宋_GB2312"/>
          <w:color w:val="auto"/>
          <w:sz w:val="28"/>
          <w:szCs w:val="28"/>
          <w:lang w:eastAsia="zh-CN"/>
        </w:rPr>
        <w:drawing>
          <wp:anchor distT="0" distB="0" distL="114300" distR="114300" simplePos="0" relativeHeight="251662336" behindDoc="0" locked="0" layoutInCell="1" allowOverlap="1">
            <wp:simplePos x="0" y="0"/>
            <wp:positionH relativeFrom="column">
              <wp:posOffset>3187700</wp:posOffset>
            </wp:positionH>
            <wp:positionV relativeFrom="paragraph">
              <wp:posOffset>133350</wp:posOffset>
            </wp:positionV>
            <wp:extent cx="2507615" cy="1881505"/>
            <wp:effectExtent l="0" t="0" r="6985" b="4445"/>
            <wp:wrapSquare wrapText="bothSides"/>
            <wp:docPr id="12" name="图片 12" descr="DSC03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DSC03928"/>
                    <pic:cNvPicPr>
                      <a:picLocks noChangeAspect="1"/>
                    </pic:cNvPicPr>
                  </pic:nvPicPr>
                  <pic:blipFill>
                    <a:blip r:embed="rId17"/>
                    <a:stretch>
                      <a:fillRect/>
                    </a:stretch>
                  </pic:blipFill>
                  <pic:spPr>
                    <a:xfrm>
                      <a:off x="0" y="0"/>
                      <a:ext cx="2507615" cy="1881505"/>
                    </a:xfrm>
                    <a:prstGeom prst="rect">
                      <a:avLst/>
                    </a:prstGeom>
                  </pic:spPr>
                </pic:pic>
              </a:graphicData>
            </a:graphic>
          </wp:anchor>
        </w:drawing>
      </w:r>
      <w:r>
        <w:rPr>
          <w:rFonts w:hint="eastAsia" w:ascii="仿宋_GB2312" w:hAnsi="仿宋" w:eastAsia="仿宋_GB2312"/>
          <w:color w:val="auto"/>
          <w:sz w:val="28"/>
          <w:szCs w:val="28"/>
          <w:lang w:eastAsia="zh-CN"/>
        </w:rPr>
        <w:drawing>
          <wp:anchor distT="0" distB="0" distL="114300" distR="114300" simplePos="0" relativeHeight="251661312" behindDoc="0" locked="0" layoutInCell="1" allowOverlap="1">
            <wp:simplePos x="0" y="0"/>
            <wp:positionH relativeFrom="column">
              <wp:posOffset>136525</wp:posOffset>
            </wp:positionH>
            <wp:positionV relativeFrom="paragraph">
              <wp:posOffset>171450</wp:posOffset>
            </wp:positionV>
            <wp:extent cx="2533015" cy="1900555"/>
            <wp:effectExtent l="0" t="0" r="635" b="4445"/>
            <wp:wrapSquare wrapText="bothSides"/>
            <wp:docPr id="9" name="图片 9" descr="DSC03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DSC03921"/>
                    <pic:cNvPicPr>
                      <a:picLocks noChangeAspect="1"/>
                    </pic:cNvPicPr>
                  </pic:nvPicPr>
                  <pic:blipFill>
                    <a:blip r:embed="rId18"/>
                    <a:stretch>
                      <a:fillRect/>
                    </a:stretch>
                  </pic:blipFill>
                  <pic:spPr>
                    <a:xfrm>
                      <a:off x="0" y="0"/>
                      <a:ext cx="2533015" cy="1900555"/>
                    </a:xfrm>
                    <a:prstGeom prst="rect">
                      <a:avLst/>
                    </a:prstGeom>
                  </pic:spPr>
                </pic:pic>
              </a:graphicData>
            </a:graphic>
          </wp:anchor>
        </w:drawing>
      </w:r>
    </w:p>
    <w:p>
      <w:pPr>
        <w:rPr>
          <w:rFonts w:hint="eastAsia" w:ascii="仿宋_GB2312" w:hAnsi="仿宋" w:eastAsia="仿宋_GB2312"/>
          <w:color w:val="auto"/>
          <w:sz w:val="28"/>
          <w:szCs w:val="28"/>
          <w:lang w:eastAsia="zh-CN"/>
        </w:rPr>
      </w:pPr>
    </w:p>
    <w:p>
      <w:pPr>
        <w:rPr>
          <w:rFonts w:hint="eastAsia" w:ascii="仿宋_GB2312" w:hAnsi="仿宋" w:eastAsia="仿宋_GB2312"/>
          <w:color w:val="auto"/>
          <w:sz w:val="28"/>
          <w:szCs w:val="28"/>
          <w:lang w:eastAsia="zh-CN"/>
        </w:rPr>
      </w:pPr>
      <w:r>
        <w:rPr>
          <w:rFonts w:hint="eastAsia" w:ascii="仿宋_GB2312" w:hAnsi="仿宋" w:eastAsia="仿宋_GB2312"/>
          <w:color w:val="auto"/>
          <w:sz w:val="28"/>
          <w:szCs w:val="28"/>
          <w:lang w:eastAsia="zh-CN"/>
        </w:rPr>
        <w:drawing>
          <wp:anchor distT="0" distB="0" distL="114300" distR="114300" simplePos="0" relativeHeight="251663360" behindDoc="0" locked="0" layoutInCell="1" allowOverlap="1">
            <wp:simplePos x="0" y="0"/>
            <wp:positionH relativeFrom="column">
              <wp:posOffset>-2686050</wp:posOffset>
            </wp:positionH>
            <wp:positionV relativeFrom="paragraph">
              <wp:posOffset>1905000</wp:posOffset>
            </wp:positionV>
            <wp:extent cx="2548255" cy="1911350"/>
            <wp:effectExtent l="0" t="0" r="4445" b="12700"/>
            <wp:wrapSquare wrapText="bothSides"/>
            <wp:docPr id="13" name="图片 13" descr="DSC03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DSC03932"/>
                    <pic:cNvPicPr>
                      <a:picLocks noChangeAspect="1"/>
                    </pic:cNvPicPr>
                  </pic:nvPicPr>
                  <pic:blipFill>
                    <a:blip r:embed="rId19"/>
                    <a:stretch>
                      <a:fillRect/>
                    </a:stretch>
                  </pic:blipFill>
                  <pic:spPr>
                    <a:xfrm>
                      <a:off x="0" y="0"/>
                      <a:ext cx="2548255" cy="1911350"/>
                    </a:xfrm>
                    <a:prstGeom prst="rect">
                      <a:avLst/>
                    </a:prstGeom>
                  </pic:spPr>
                </pic:pic>
              </a:graphicData>
            </a:graphic>
          </wp:anchor>
        </w:drawing>
      </w:r>
    </w:p>
    <w:p>
      <w:pPr>
        <w:rPr>
          <w:rFonts w:hint="eastAsia" w:ascii="仿宋_GB2312" w:hAnsi="仿宋" w:eastAsia="仿宋_GB2312"/>
          <w:color w:val="auto"/>
          <w:sz w:val="28"/>
          <w:szCs w:val="28"/>
          <w:lang w:eastAsia="zh-CN"/>
        </w:rPr>
      </w:pPr>
    </w:p>
    <w:p>
      <w:pPr>
        <w:rPr>
          <w:rFonts w:ascii="仿宋_GB2312" w:hAnsi="仿宋" w:eastAsia="仿宋_GB2312"/>
          <w:color w:val="auto"/>
          <w:sz w:val="28"/>
          <w:szCs w:val="28"/>
        </w:rPr>
      </w:pPr>
    </w:p>
    <w:p>
      <w:pPr>
        <w:rPr>
          <w:rFonts w:ascii="仿宋_GB2312" w:hAnsi="仿宋" w:eastAsia="仿宋_GB2312"/>
          <w:color w:val="auto"/>
          <w:sz w:val="28"/>
          <w:szCs w:val="28"/>
        </w:rPr>
      </w:pPr>
    </w:p>
    <w:p>
      <w:pPr>
        <w:pStyle w:val="145"/>
        <w:adjustRightInd w:val="0"/>
        <w:snapToGrid w:val="0"/>
        <w:spacing w:line="360" w:lineRule="auto"/>
        <w:ind w:left="766" w:firstLine="0" w:firstLineChars="0"/>
        <w:rPr>
          <w:rFonts w:ascii="仿宋_GB2312" w:hAnsi="仿宋" w:eastAsia="仿宋_GB2312"/>
          <w:color w:val="auto"/>
          <w:sz w:val="28"/>
          <w:szCs w:val="28"/>
        </w:rPr>
      </w:pPr>
    </w:p>
    <w:p>
      <w:pPr>
        <w:adjustRightInd w:val="0"/>
        <w:snapToGrid w:val="0"/>
        <w:spacing w:line="460" w:lineRule="exact"/>
        <w:ind w:firstLine="560" w:firstLineChars="200"/>
        <w:rPr>
          <w:rFonts w:eastAsia="仿宋_GB2312"/>
          <w:color w:val="auto"/>
          <w:sz w:val="26"/>
        </w:rPr>
      </w:pPr>
      <w:r>
        <w:rPr>
          <w:rFonts w:hint="eastAsia" w:ascii="仿宋_GB2312" w:hAnsi="仿宋" w:eastAsia="仿宋_GB2312"/>
          <w:color w:val="auto"/>
          <w:sz w:val="28"/>
          <w:szCs w:val="28"/>
          <w:lang w:eastAsia="zh-CN"/>
        </w:rPr>
        <w:drawing>
          <wp:anchor distT="0" distB="0" distL="114300" distR="114300" simplePos="0" relativeHeight="251665408" behindDoc="0" locked="0" layoutInCell="1" allowOverlap="1">
            <wp:simplePos x="0" y="0"/>
            <wp:positionH relativeFrom="column">
              <wp:posOffset>323850</wp:posOffset>
            </wp:positionH>
            <wp:positionV relativeFrom="paragraph">
              <wp:posOffset>3077210</wp:posOffset>
            </wp:positionV>
            <wp:extent cx="2604770" cy="1983105"/>
            <wp:effectExtent l="0" t="0" r="5080" b="17145"/>
            <wp:wrapSquare wrapText="bothSides"/>
            <wp:docPr id="15" name="图片 15" descr="DSC03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DSC03931"/>
                    <pic:cNvPicPr>
                      <a:picLocks noChangeAspect="1"/>
                    </pic:cNvPicPr>
                  </pic:nvPicPr>
                  <pic:blipFill>
                    <a:blip r:embed="rId20"/>
                    <a:stretch>
                      <a:fillRect/>
                    </a:stretch>
                  </pic:blipFill>
                  <pic:spPr>
                    <a:xfrm>
                      <a:off x="0" y="0"/>
                      <a:ext cx="2604770" cy="1983105"/>
                    </a:xfrm>
                    <a:prstGeom prst="rect">
                      <a:avLst/>
                    </a:prstGeom>
                  </pic:spPr>
                </pic:pic>
              </a:graphicData>
            </a:graphic>
          </wp:anchor>
        </w:drawing>
      </w:r>
      <w:r>
        <w:rPr>
          <w:rFonts w:hint="eastAsia" w:ascii="仿宋_GB2312" w:hAnsi="仿宋" w:eastAsia="仿宋_GB2312"/>
          <w:color w:val="auto"/>
          <w:sz w:val="28"/>
          <w:szCs w:val="28"/>
          <w:lang w:eastAsia="zh-CN"/>
        </w:rPr>
        <w:drawing>
          <wp:anchor distT="0" distB="0" distL="114300" distR="114300" simplePos="0" relativeHeight="251666432" behindDoc="0" locked="0" layoutInCell="1" allowOverlap="1">
            <wp:simplePos x="0" y="0"/>
            <wp:positionH relativeFrom="column">
              <wp:posOffset>-2695575</wp:posOffset>
            </wp:positionH>
            <wp:positionV relativeFrom="paragraph">
              <wp:posOffset>3105785</wp:posOffset>
            </wp:positionV>
            <wp:extent cx="2610485" cy="1958340"/>
            <wp:effectExtent l="0" t="0" r="18415" b="3810"/>
            <wp:wrapSquare wrapText="bothSides"/>
            <wp:docPr id="16" name="图片 16" descr="DSC03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DSC03940"/>
                    <pic:cNvPicPr>
                      <a:picLocks noChangeAspect="1"/>
                    </pic:cNvPicPr>
                  </pic:nvPicPr>
                  <pic:blipFill>
                    <a:blip r:embed="rId21"/>
                    <a:stretch>
                      <a:fillRect/>
                    </a:stretch>
                  </pic:blipFill>
                  <pic:spPr>
                    <a:xfrm>
                      <a:off x="0" y="0"/>
                      <a:ext cx="2610485" cy="1958340"/>
                    </a:xfrm>
                    <a:prstGeom prst="rect">
                      <a:avLst/>
                    </a:prstGeom>
                  </pic:spPr>
                </pic:pic>
              </a:graphicData>
            </a:graphic>
          </wp:anchor>
        </w:drawing>
      </w:r>
      <w:r>
        <w:rPr>
          <w:rFonts w:hint="eastAsia" w:ascii="仿宋_GB2312" w:hAnsi="仿宋" w:eastAsia="仿宋_GB2312"/>
          <w:color w:val="auto"/>
          <w:sz w:val="28"/>
          <w:szCs w:val="28"/>
          <w:lang w:eastAsia="zh-CN"/>
        </w:rPr>
        <w:drawing>
          <wp:anchor distT="0" distB="0" distL="114300" distR="114300" simplePos="0" relativeHeight="251664384" behindDoc="0" locked="0" layoutInCell="1" allowOverlap="1">
            <wp:simplePos x="0" y="0"/>
            <wp:positionH relativeFrom="column">
              <wp:posOffset>342900</wp:posOffset>
            </wp:positionH>
            <wp:positionV relativeFrom="paragraph">
              <wp:posOffset>598805</wp:posOffset>
            </wp:positionV>
            <wp:extent cx="2633345" cy="1975485"/>
            <wp:effectExtent l="0" t="0" r="14605" b="5715"/>
            <wp:wrapSquare wrapText="bothSides"/>
            <wp:docPr id="14" name="图片 14" descr="DSC03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DSC03929"/>
                    <pic:cNvPicPr>
                      <a:picLocks noChangeAspect="1"/>
                    </pic:cNvPicPr>
                  </pic:nvPicPr>
                  <pic:blipFill>
                    <a:blip r:embed="rId22"/>
                    <a:stretch>
                      <a:fillRect/>
                    </a:stretch>
                  </pic:blipFill>
                  <pic:spPr>
                    <a:xfrm>
                      <a:off x="0" y="0"/>
                      <a:ext cx="2633345" cy="1975485"/>
                    </a:xfrm>
                    <a:prstGeom prst="rect">
                      <a:avLst/>
                    </a:prstGeom>
                  </pic:spPr>
                </pic:pic>
              </a:graphicData>
            </a:graphic>
          </wp:anchor>
        </w:drawing>
      </w:r>
    </w:p>
    <w:sectPr>
      <w:headerReference r:id="rId14" w:type="default"/>
      <w:pgSz w:w="11906" w:h="16838"/>
      <w:pgMar w:top="1814" w:right="1247" w:bottom="1418" w:left="1701" w:header="1417" w:footer="737"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Arial Unicode MS">
    <w:panose1 w:val="020B0604020202020204"/>
    <w:charset w:val="86"/>
    <w:family w:val="roman"/>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体">
    <w:altName w:val="宋体"/>
    <w:panose1 w:val="00000000000000000000"/>
    <w:charset w:val="86"/>
    <w:family w:val="auto"/>
    <w:pitch w:val="default"/>
    <w:sig w:usb0="00000000" w:usb1="00000000" w:usb2="00000010" w:usb3="00000000" w:csb0="00040000" w:csb1="00000000"/>
  </w:font>
  <w:font w:name="方正姚体">
    <w:panose1 w:val="02010601030101010101"/>
    <w:charset w:val="86"/>
    <w:family w:val="auto"/>
    <w:pitch w:val="default"/>
    <w:sig w:usb0="00000003"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spacing w:beforeLines="50"/>
      <w:jc w:val="center"/>
      <w:rPr>
        <w:szCs w:val="18"/>
      </w:rPr>
    </w:pPr>
    <w:r>
      <mc:AlternateContent>
        <mc:Choice Requires="wps">
          <w:drawing>
            <wp:anchor distT="0" distB="0" distL="114300" distR="114300" simplePos="0" relativeHeight="251657216" behindDoc="0" locked="0" layoutInCell="1" allowOverlap="1">
              <wp:simplePos x="0" y="0"/>
              <wp:positionH relativeFrom="column">
                <wp:posOffset>-5080</wp:posOffset>
              </wp:positionH>
              <wp:positionV relativeFrom="paragraph">
                <wp:posOffset>57150</wp:posOffset>
              </wp:positionV>
              <wp:extent cx="5725160" cy="0"/>
              <wp:effectExtent l="0" t="0" r="0" b="0"/>
              <wp:wrapNone/>
              <wp:docPr id="5" name="自选图形 2"/>
              <wp:cNvGraphicFramePr/>
              <a:graphic xmlns:a="http://schemas.openxmlformats.org/drawingml/2006/main">
                <a:graphicData uri="http://schemas.microsoft.com/office/word/2010/wordprocessingShape">
                  <wps:wsp>
                    <wps:cNvCnPr/>
                    <wps:spPr>
                      <a:xfrm>
                        <a:off x="0" y="0"/>
                        <a:ext cx="572516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2" o:spid="_x0000_s1026" o:spt="32" type="#_x0000_t32" style="position:absolute;left:0pt;margin-left:-0.4pt;margin-top:4.5pt;height:0pt;width:450.8pt;z-index:251657216;mso-width-relative:page;mso-height-relative:page;" filled="f" stroked="t" coordsize="21600,21600" o:gfxdata="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Kusyv0QAAAAUBAAAPAAAAAAAAAAEAIAAA&#10;ACIAAABkcnMvZG93bnJldi54bWxQSwECFAAUAAAACACHTuJAVZEwS9oBAACVAwAADgAAAAAAAAAB&#10;ACAAAAAgAQAAZHJzL2Uyb0RvYy54bWxQSwUGAAAAAAYABgBZAQAAbAUAAAAA&#10;">
              <v:fill on="f" focussize="0,0"/>
              <v:stroke color="#000000" joinstyle="round"/>
              <v:imagedata o:title=""/>
              <o:lock v:ext="edit" aspectratio="f"/>
            </v:shape>
          </w:pict>
        </mc:Fallback>
      </mc:AlternateContent>
    </w:r>
    <w:r>
      <w:rPr>
        <w:szCs w:val="18"/>
      </w:rPr>
      <w:t xml:space="preserve"> </w:t>
    </w:r>
    <w: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57150</wp:posOffset>
              </wp:positionV>
              <wp:extent cx="5725160" cy="0"/>
              <wp:effectExtent l="0" t="0" r="0" b="0"/>
              <wp:wrapNone/>
              <wp:docPr id="6" name="自选图形 3"/>
              <wp:cNvGraphicFramePr/>
              <a:graphic xmlns:a="http://schemas.openxmlformats.org/drawingml/2006/main">
                <a:graphicData uri="http://schemas.microsoft.com/office/word/2010/wordprocessingShape">
                  <wps:wsp>
                    <wps:cNvCnPr/>
                    <wps:spPr>
                      <a:xfrm>
                        <a:off x="0" y="0"/>
                        <a:ext cx="572516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margin-left:-0.4pt;margin-top:4.5pt;height:0pt;width:450.8pt;z-index:251658240;mso-width-relative:page;mso-height-relative:page;" filled="f" stroked="t" coordsize="21600,21600" o:gfxdata="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Kusyv0QAAAAUBAAAPAAAAAAAAAAEAIAAA&#10;ACIAAABkcnMvZG93bnJldi54bWxQSwECFAAUAAAACACHTuJAHYk0o9oBAACVAwAADgAAAAAAAAAB&#10;ACAAAAAgAQAAZHJzL2Uyb0RvYy54bWxQSwUGAAAAAAYABgBZAQAAbAUAAAAA&#10;">
              <v:fill on="f" focussize="0,0"/>
              <v:stroke color="#000000" joinstyle="round"/>
              <v:imagedata o:title=""/>
              <o:lock v:ext="edit" aspectratio="f"/>
            </v:shape>
          </w:pict>
        </mc:Fallback>
      </mc:AlternateContent>
    </w:r>
    <w:r>
      <w:rPr>
        <w:rFonts w:hint="eastAsia" w:ascii="方正姚体" w:eastAsia="方正姚体"/>
        <w:szCs w:val="18"/>
      </w:rPr>
      <w:t>地址：内蒙古自治区呼和浩特市丁香路</w:t>
    </w:r>
    <w:r>
      <w:rPr>
        <w:rFonts w:ascii="方正姚体" w:eastAsia="方正姚体"/>
        <w:szCs w:val="18"/>
      </w:rPr>
      <w:t>10</w:t>
    </w:r>
    <w:r>
      <w:rPr>
        <w:rFonts w:hint="eastAsia" w:ascii="方正姚体" w:eastAsia="方正姚体"/>
        <w:szCs w:val="18"/>
      </w:rPr>
      <w:t>号</w:t>
    </w:r>
    <w:r>
      <w:rPr>
        <w:rFonts w:ascii="方正姚体" w:eastAsia="方正姚体"/>
        <w:szCs w:val="18"/>
      </w:rPr>
      <w:t xml:space="preserve">                                </w:t>
    </w:r>
    <w:r>
      <w:rPr>
        <w:rFonts w:hint="eastAsia" w:ascii="方正姚体" w:eastAsia="方正姚体"/>
        <w:szCs w:val="18"/>
      </w:rPr>
      <w:t>联系电话：</w:t>
    </w:r>
    <w:r>
      <w:rPr>
        <w:rFonts w:ascii="方正姚体" w:eastAsia="方正姚体"/>
        <w:szCs w:val="18"/>
      </w:rPr>
      <w:t>0471-4663576</w:t>
    </w:r>
  </w:p>
  <w:p>
    <w:pPr>
      <w:pStyle w:val="26"/>
      <w:jc w:val="right"/>
    </w:pPr>
    <w:r>
      <w:rPr>
        <w:szCs w:val="18"/>
      </w:rPr>
      <w:t xml:space="preserve"> </w:t>
    </w:r>
    <w:r>
      <w:rPr>
        <w:rFonts w:hint="eastAsia" w:ascii="方正姚体" w:eastAsia="方正姚体"/>
        <w:szCs w:val="18"/>
      </w:rPr>
      <w:t>第</w:t>
    </w:r>
    <w:r>
      <w:rPr>
        <w:rFonts w:ascii="方正姚体" w:eastAsia="方正姚体"/>
        <w:szCs w:val="18"/>
      </w:rPr>
      <w:t xml:space="preserve"> </w:t>
    </w:r>
    <w:r>
      <w:rPr>
        <w:rFonts w:ascii="方正姚体" w:eastAsia="方正姚体"/>
        <w:szCs w:val="18"/>
      </w:rPr>
      <w:fldChar w:fldCharType="begin"/>
    </w:r>
    <w:r>
      <w:rPr>
        <w:rFonts w:ascii="方正姚体" w:eastAsia="方正姚体"/>
        <w:szCs w:val="18"/>
      </w:rPr>
      <w:instrText xml:space="preserve"> PAGE   \* MERGEFORMAT </w:instrText>
    </w:r>
    <w:r>
      <w:rPr>
        <w:rFonts w:ascii="方正姚体" w:eastAsia="方正姚体"/>
        <w:szCs w:val="18"/>
      </w:rPr>
      <w:fldChar w:fldCharType="separate"/>
    </w:r>
    <w:r>
      <w:rPr>
        <w:rFonts w:ascii="方正姚体" w:eastAsia="方正姚体"/>
        <w:szCs w:val="18"/>
        <w:lang w:val="zh-CN"/>
      </w:rPr>
      <w:t>3</w:t>
    </w:r>
    <w:r>
      <w:rPr>
        <w:rFonts w:ascii="方正姚体" w:eastAsia="方正姚体"/>
        <w:szCs w:val="18"/>
      </w:rPr>
      <w:fldChar w:fldCharType="end"/>
    </w:r>
    <w:r>
      <w:rPr>
        <w:rFonts w:ascii="方正姚体" w:eastAsia="方正姚体"/>
        <w:szCs w:val="18"/>
      </w:rPr>
      <w:t xml:space="preserve"> </w:t>
    </w:r>
    <w:r>
      <w:rPr>
        <w:rFonts w:hint="eastAsia" w:ascii="方正姚体" w:eastAsia="方正姚体"/>
        <w:szCs w:val="18"/>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spacing w:beforeLines="50"/>
      <w:jc w:val="center"/>
      <w:rPr>
        <w:szCs w:val="18"/>
      </w:rPr>
    </w:pPr>
    <w:r>
      <mc:AlternateContent>
        <mc:Choice Requires="wps">
          <w:drawing>
            <wp:anchor distT="0" distB="0" distL="114300" distR="114300" simplePos="0" relativeHeight="251655168" behindDoc="0" locked="0" layoutInCell="1" allowOverlap="1">
              <wp:simplePos x="0" y="0"/>
              <wp:positionH relativeFrom="column">
                <wp:posOffset>-5080</wp:posOffset>
              </wp:positionH>
              <wp:positionV relativeFrom="paragraph">
                <wp:posOffset>57150</wp:posOffset>
              </wp:positionV>
              <wp:extent cx="5725160" cy="0"/>
              <wp:effectExtent l="0" t="0" r="0" b="0"/>
              <wp:wrapNone/>
              <wp:docPr id="2" name="自选图形 8"/>
              <wp:cNvGraphicFramePr/>
              <a:graphic xmlns:a="http://schemas.openxmlformats.org/drawingml/2006/main">
                <a:graphicData uri="http://schemas.microsoft.com/office/word/2010/wordprocessingShape">
                  <wps:wsp>
                    <wps:cNvCnPr/>
                    <wps:spPr>
                      <a:xfrm>
                        <a:off x="0" y="0"/>
                        <a:ext cx="572516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8" o:spid="_x0000_s1026" o:spt="32" type="#_x0000_t32" style="position:absolute;left:0pt;margin-left:-0.4pt;margin-top:4.5pt;height:0pt;width:450.8pt;z-index:251655168;mso-width-relative:page;mso-height-relative:page;" filled="f" stroked="t" coordsize="21600,21600" o:gfxdata="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Kusyv0QAAAAUBAAAPAAAAAAAAAAEAIAAA&#10;ACIAAABkcnMvZG93bnJldi54bWxQSwECFAAUAAAACACHTuJAfpb59NoBAACVAwAADgAAAAAAAAAB&#10;ACAAAAAgAQAAZHJzL2Uyb0RvYy54bWxQSwUGAAAAAAYABgBZAQAAbAUAAAAA&#10;">
              <v:fill on="f" focussize="0,0"/>
              <v:stroke color="#000000" joinstyle="round"/>
              <v:imagedata o:title=""/>
              <o:lock v:ext="edit" aspectratio="f"/>
            </v:shape>
          </w:pict>
        </mc:Fallback>
      </mc:AlternateContent>
    </w:r>
    <w:r>
      <w:rPr>
        <w:rFonts w:hint="eastAsia" w:ascii="方正姚体" w:eastAsia="方正姚体"/>
        <w:szCs w:val="18"/>
      </w:rPr>
      <w:t>地址：内蒙古自治区呼和浩特市丁香路</w:t>
    </w:r>
    <w:r>
      <w:rPr>
        <w:rFonts w:ascii="方正姚体" w:eastAsia="方正姚体"/>
        <w:szCs w:val="18"/>
      </w:rPr>
      <w:t>10</w:t>
    </w:r>
    <w:r>
      <w:rPr>
        <w:rFonts w:hint="eastAsia" w:ascii="方正姚体" w:eastAsia="方正姚体"/>
        <w:szCs w:val="18"/>
      </w:rPr>
      <w:t>号</w:t>
    </w:r>
    <w:r>
      <w:rPr>
        <w:rFonts w:ascii="方正姚体" w:eastAsia="方正姚体"/>
        <w:szCs w:val="18"/>
      </w:rPr>
      <w:t xml:space="preserve">                                </w:t>
    </w:r>
    <w:r>
      <w:rPr>
        <w:rFonts w:hint="eastAsia" w:ascii="方正姚体" w:eastAsia="方正姚体"/>
        <w:szCs w:val="18"/>
      </w:rPr>
      <w:t>联系电话：</w:t>
    </w:r>
    <w:r>
      <w:rPr>
        <w:rFonts w:ascii="方正姚体" w:eastAsia="方正姚体"/>
        <w:szCs w:val="18"/>
      </w:rPr>
      <w:t>0471-4663576</w:t>
    </w:r>
    <w:r>
      <w:rPr>
        <w:szCs w:val="18"/>
      </w:rPr>
      <w:t xml:space="preserve"> </w:t>
    </w:r>
  </w:p>
  <w:p>
    <w:pPr>
      <w:pStyle w:val="26"/>
      <w:jc w:val="right"/>
      <w:rPr>
        <w:kern w:val="2"/>
        <w:sz w:val="21"/>
      </w:rPr>
    </w:pPr>
    <w:r>
      <w:rPr>
        <w:szCs w:val="18"/>
      </w:rPr>
      <w:t xml:space="preserve"> </w:t>
    </w:r>
    <w:r>
      <w:rPr>
        <w:rFonts w:hint="eastAsia" w:ascii="方正姚体" w:eastAsia="方正姚体"/>
        <w:szCs w:val="18"/>
      </w:rPr>
      <w:t>第</w:t>
    </w:r>
    <w:r>
      <w:rPr>
        <w:rFonts w:ascii="方正姚体" w:eastAsia="方正姚体"/>
        <w:szCs w:val="18"/>
      </w:rPr>
      <w:t xml:space="preserve"> </w:t>
    </w:r>
    <w:r>
      <w:rPr>
        <w:rFonts w:ascii="方正姚体" w:eastAsia="方正姚体"/>
        <w:szCs w:val="18"/>
      </w:rPr>
      <w:fldChar w:fldCharType="begin"/>
    </w:r>
    <w:r>
      <w:rPr>
        <w:rFonts w:ascii="方正姚体" w:eastAsia="方正姚体"/>
        <w:szCs w:val="18"/>
      </w:rPr>
      <w:instrText xml:space="preserve"> PAGE   \* MERGEFORMAT </w:instrText>
    </w:r>
    <w:r>
      <w:rPr>
        <w:rFonts w:ascii="方正姚体" w:eastAsia="方正姚体"/>
        <w:szCs w:val="18"/>
      </w:rPr>
      <w:fldChar w:fldCharType="separate"/>
    </w:r>
    <w:r>
      <w:rPr>
        <w:rFonts w:ascii="方正姚体" w:eastAsia="方正姚体"/>
        <w:szCs w:val="18"/>
        <w:lang w:val="zh-CN"/>
      </w:rPr>
      <w:t>49</w:t>
    </w:r>
    <w:r>
      <w:rPr>
        <w:rFonts w:ascii="方正姚体" w:eastAsia="方正姚体"/>
        <w:szCs w:val="18"/>
      </w:rPr>
      <w:fldChar w:fldCharType="end"/>
    </w:r>
    <w:r>
      <w:rPr>
        <w:rFonts w:ascii="方正姚体" w:eastAsia="方正姚体"/>
        <w:szCs w:val="18"/>
      </w:rPr>
      <w:t xml:space="preserve"> </w:t>
    </w:r>
    <w:r>
      <w:rPr>
        <w:rFonts w:hint="eastAsia" w:ascii="方正姚体" w:eastAsia="方正姚体"/>
        <w:szCs w:val="18"/>
      </w:rPr>
      <w:t>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43"/>
      </w:rPr>
    </w:pPr>
    <w:r>
      <w:fldChar w:fldCharType="begin"/>
    </w:r>
    <w:r>
      <w:rPr>
        <w:rStyle w:val="43"/>
      </w:rPr>
      <w:instrText xml:space="preserve">PAGE  </w:instrText>
    </w:r>
    <w:r>
      <w:fldChar w:fldCharType="end"/>
    </w:r>
  </w:p>
  <w:p>
    <w:pPr>
      <w:pStyle w:val="2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4"/>
    </w:pPr>
    <w:r>
      <mc:AlternateContent>
        <mc:Choice Requires="wps">
          <w:drawing>
            <wp:anchor distT="0" distB="0" distL="114300" distR="114300" simplePos="0" relativeHeight="251656192" behindDoc="0" locked="0" layoutInCell="1" allowOverlap="1">
              <wp:simplePos x="0" y="0"/>
              <wp:positionH relativeFrom="column">
                <wp:posOffset>2943225</wp:posOffset>
              </wp:positionH>
              <wp:positionV relativeFrom="paragraph">
                <wp:posOffset>-152400</wp:posOffset>
              </wp:positionV>
              <wp:extent cx="2705100" cy="270510"/>
              <wp:effectExtent l="0" t="0" r="0" b="15240"/>
              <wp:wrapNone/>
              <wp:docPr id="4" name="文本框 1"/>
              <wp:cNvGraphicFramePr/>
              <a:graphic xmlns:a="http://schemas.openxmlformats.org/drawingml/2006/main">
                <a:graphicData uri="http://schemas.microsoft.com/office/word/2010/wordprocessingShape">
                  <wps:wsp>
                    <wps:cNvSpPr txBox="1"/>
                    <wps:spPr>
                      <a:xfrm>
                        <a:off x="0" y="0"/>
                        <a:ext cx="2705100" cy="270510"/>
                      </a:xfrm>
                      <a:prstGeom prst="rect">
                        <a:avLst/>
                      </a:prstGeom>
                      <a:solidFill>
                        <a:srgbClr val="FFFFFF"/>
                      </a:solidFill>
                      <a:ln w="9525">
                        <a:noFill/>
                      </a:ln>
                    </wps:spPr>
                    <wps:txbx>
                      <w:txbxContent>
                        <w:p>
                          <w:pPr>
                            <w:rPr>
                              <w:rFonts w:ascii="楷体" w:hAnsi="楷体" w:eastAsia="楷体"/>
                              <w:b/>
                              <w:color w:val="948A54"/>
                              <w:sz w:val="32"/>
                              <w:szCs w:val="32"/>
                            </w:rPr>
                          </w:pPr>
                          <w:r>
                            <w:rPr>
                              <w:rFonts w:hint="eastAsia" w:ascii="宋体" w:hAnsi="宋体"/>
                            </w:rPr>
                            <w:t>内蒙古科瑞房地产土地资产评估有限公司</w:t>
                          </w:r>
                          <w:r>
                            <w:rPr>
                              <w:rFonts w:ascii="楷体" w:hAnsi="楷体" w:eastAsia="楷体"/>
                              <w:b/>
                              <w:color w:val="948A54"/>
                              <w:sz w:val="32"/>
                              <w:szCs w:val="32"/>
                            </w:rPr>
                            <w:t>LOGO</w:t>
                          </w:r>
                        </w:p>
                      </w:txbxContent>
                    </wps:txbx>
                    <wps:bodyPr upright="1"/>
                  </wps:wsp>
                </a:graphicData>
              </a:graphic>
            </wp:anchor>
          </w:drawing>
        </mc:Choice>
        <mc:Fallback>
          <w:pict>
            <v:shape id="文本框 1" o:spid="_x0000_s1026" o:spt="202" type="#_x0000_t202" style="position:absolute;left:0pt;margin-left:231.75pt;margin-top:-12pt;height:21.3pt;width:213pt;z-index:251656192;mso-width-relative:page;mso-height-relative:page;" fillcolor="#FFFFFF" filled="t" stroked="f" coordsize="21600,21600" o:gfxdata="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ZOhS71wAAAAoBAAAP&#10;AAAAAAAAAAEAIAAAACIAAABkcnMvZG93bnJldi54bWxQSwECFAAUAAAACACHTuJAFoyhZqcBAAAy&#10;AwAADgAAAAAAAAABACAAAAAmAQAAZHJzL2Uyb0RvYy54bWxQSwUGAAAAAAYABgBZAQAAPwUAAAAA&#10;">
              <v:fill on="t" focussize="0,0"/>
              <v:stroke on="f"/>
              <v:imagedata o:title=""/>
              <o:lock v:ext="edit" aspectratio="f"/>
              <v:textbox>
                <w:txbxContent>
                  <w:p>
                    <w:pPr>
                      <w:rPr>
                        <w:rFonts w:ascii="楷体" w:hAnsi="楷体" w:eastAsia="楷体"/>
                        <w:b/>
                        <w:color w:val="948A54"/>
                        <w:sz w:val="32"/>
                        <w:szCs w:val="32"/>
                      </w:rPr>
                    </w:pPr>
                    <w:r>
                      <w:rPr>
                        <w:rFonts w:hint="eastAsia" w:ascii="宋体" w:hAnsi="宋体"/>
                      </w:rPr>
                      <w:t>内蒙古科瑞房地产土地资产评估有限公司</w:t>
                    </w:r>
                    <w:r>
                      <w:rPr>
                        <w:rFonts w:ascii="楷体" w:hAnsi="楷体" w:eastAsia="楷体"/>
                        <w:b/>
                        <w:color w:val="948A54"/>
                        <w:sz w:val="32"/>
                        <w:szCs w:val="32"/>
                      </w:rPr>
                      <w:t>LOGO</w:t>
                    </w:r>
                  </w:p>
                </w:txbxContent>
              </v:textbox>
            </v:shape>
          </w:pict>
        </mc:Fallback>
      </mc:AlternateContent>
    </w:r>
    <w:r>
      <w:drawing>
        <wp:anchor distT="0" distB="0" distL="114300" distR="114300" simplePos="0" relativeHeight="251658240" behindDoc="0" locked="0" layoutInCell="1" allowOverlap="1">
          <wp:simplePos x="0" y="0"/>
          <wp:positionH relativeFrom="page">
            <wp:posOffset>1075055</wp:posOffset>
          </wp:positionH>
          <wp:positionV relativeFrom="page">
            <wp:posOffset>747395</wp:posOffset>
          </wp:positionV>
          <wp:extent cx="826770" cy="278130"/>
          <wp:effectExtent l="19050" t="0" r="0" b="0"/>
          <wp:wrapNone/>
          <wp:docPr id="20" name="图片 3" descr="标志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descr="标志2.jpg"/>
                  <pic:cNvPicPr>
                    <a:picLocks noChangeAspect="1" noChangeArrowheads="1"/>
                  </pic:cNvPicPr>
                </pic:nvPicPr>
                <pic:blipFill>
                  <a:blip r:embed="rId1"/>
                  <a:srcRect/>
                  <a:stretch>
                    <a:fillRect/>
                  </a:stretch>
                </pic:blipFill>
                <pic:spPr>
                  <a:xfrm>
                    <a:off x="0" y="0"/>
                    <a:ext cx="826770" cy="278130"/>
                  </a:xfrm>
                  <a:prstGeom prst="rect">
                    <a:avLst/>
                  </a:prstGeom>
                  <a:noFill/>
                  <a:ln w="9525">
                    <a:noFill/>
                    <a:miter lim="800000"/>
                    <a:headEnd/>
                    <a:tailEnd/>
                  </a:ln>
                </pic:spPr>
              </pic:pic>
            </a:graphicData>
          </a:graphic>
        </wp:anchor>
      </w:drawing>
    </w:r>
    <w:r>
      <w:rPr>
        <w:rFonts w:hint="eastAsia"/>
      </w:rPr>
      <w:t xml:space="preserve">   </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1"/>
    </w:pPr>
    <w:r>
      <mc:AlternateContent>
        <mc:Choice Requires="wps">
          <w:drawing>
            <wp:anchor distT="0" distB="0" distL="114300" distR="114300" simplePos="0" relativeHeight="251654144" behindDoc="0" locked="0" layoutInCell="1" allowOverlap="1">
              <wp:simplePos x="0" y="0"/>
              <wp:positionH relativeFrom="column">
                <wp:posOffset>3060700</wp:posOffset>
              </wp:positionH>
              <wp:positionV relativeFrom="paragraph">
                <wp:posOffset>-151765</wp:posOffset>
              </wp:positionV>
              <wp:extent cx="2599690" cy="261620"/>
              <wp:effectExtent l="0" t="0" r="10160" b="5080"/>
              <wp:wrapNone/>
              <wp:docPr id="1" name="文本框 7"/>
              <wp:cNvGraphicFramePr/>
              <a:graphic xmlns:a="http://schemas.openxmlformats.org/drawingml/2006/main">
                <a:graphicData uri="http://schemas.microsoft.com/office/word/2010/wordprocessingShape">
                  <wps:wsp>
                    <wps:cNvSpPr txBox="1"/>
                    <wps:spPr>
                      <a:xfrm>
                        <a:off x="0" y="0"/>
                        <a:ext cx="2599690" cy="261620"/>
                      </a:xfrm>
                      <a:prstGeom prst="rect">
                        <a:avLst/>
                      </a:prstGeom>
                      <a:solidFill>
                        <a:srgbClr val="FFFFFF"/>
                      </a:solidFill>
                      <a:ln w="9525">
                        <a:noFill/>
                      </a:ln>
                    </wps:spPr>
                    <wps:txbx>
                      <w:txbxContent>
                        <w:p>
                          <w:pPr>
                            <w:rPr>
                              <w:szCs w:val="32"/>
                            </w:rPr>
                          </w:pPr>
                          <w:r>
                            <w:rPr>
                              <w:rFonts w:hint="eastAsia" w:ascii="宋体" w:hAnsi="宋体"/>
                            </w:rPr>
                            <w:t>内蒙古科瑞房地产土地资产评估有限公司</w:t>
                          </w:r>
                        </w:p>
                      </w:txbxContent>
                    </wps:txbx>
                    <wps:bodyPr upright="1"/>
                  </wps:wsp>
                </a:graphicData>
              </a:graphic>
            </wp:anchor>
          </w:drawing>
        </mc:Choice>
        <mc:Fallback>
          <w:pict>
            <v:shape id="文本框 7" o:spid="_x0000_s1026" o:spt="202" type="#_x0000_t202" style="position:absolute;left:0pt;margin-left:241pt;margin-top:-11.95pt;height:20.6pt;width:204.7pt;z-index:251654144;mso-width-relative:page;mso-height-relative:page;" fillcolor="#FFFFFF" filled="t" stroked="f" coordsize="21600,21600" o:gfxdata="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spMeRtkA&#10;AAAKAQAADwAAAAAAAAABACAAAAAiAAAAZHJzL2Rvd25yZXYueG1sUEsBAhQAFAAAAAgAh07iQC3G&#10;ThmsAQAAMgMAAA4AAAAAAAAAAQAgAAAAKAEAAGRycy9lMm9Eb2MueG1sUEsFBgAAAAAGAAYAWQEA&#10;AEYFAAAAAA==&#10;">
              <v:fill on="t" focussize="0,0"/>
              <v:stroke on="f"/>
              <v:imagedata o:title=""/>
              <o:lock v:ext="edit" aspectratio="f"/>
              <v:textbox>
                <w:txbxContent>
                  <w:p>
                    <w:pPr>
                      <w:rPr>
                        <w:szCs w:val="32"/>
                      </w:rPr>
                    </w:pPr>
                    <w:r>
                      <w:rPr>
                        <w:rFonts w:hint="eastAsia" w:ascii="宋体" w:hAnsi="宋体"/>
                      </w:rPr>
                      <w:t>内蒙古科瑞房地产土地资产评估有限公司</w:t>
                    </w:r>
                  </w:p>
                </w:txbxContent>
              </v:textbox>
            </v:shape>
          </w:pict>
        </mc:Fallback>
      </mc:AlternateContent>
    </w:r>
    <w:r>
      <w:drawing>
        <wp:anchor distT="0" distB="0" distL="114300" distR="114300" simplePos="0" relativeHeight="251659264" behindDoc="0" locked="0" layoutInCell="1" allowOverlap="1">
          <wp:simplePos x="0" y="0"/>
          <wp:positionH relativeFrom="page">
            <wp:posOffset>1075055</wp:posOffset>
          </wp:positionH>
          <wp:positionV relativeFrom="page">
            <wp:posOffset>707390</wp:posOffset>
          </wp:positionV>
          <wp:extent cx="850900" cy="302260"/>
          <wp:effectExtent l="19050" t="0" r="6350" b="0"/>
          <wp:wrapNone/>
          <wp:docPr id="21" name="图片 8" descr="标志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8" descr="标志2.jpg"/>
                  <pic:cNvPicPr>
                    <a:picLocks noChangeAspect="1" noChangeArrowheads="1"/>
                  </pic:cNvPicPr>
                </pic:nvPicPr>
                <pic:blipFill>
                  <a:blip r:embed="rId1"/>
                  <a:srcRect/>
                  <a:stretch>
                    <a:fillRect/>
                  </a:stretch>
                </pic:blipFill>
                <pic:spPr>
                  <a:xfrm>
                    <a:off x="0" y="0"/>
                    <a:ext cx="850900" cy="302260"/>
                  </a:xfrm>
                  <a:prstGeom prst="rect">
                    <a:avLst/>
                  </a:prstGeom>
                  <a:noFill/>
                  <a:ln w="9525">
                    <a:noFill/>
                    <a:miter lim="800000"/>
                    <a:headEnd/>
                    <a:tailEnd/>
                  </a:ln>
                </pic:spPr>
              </pic:pic>
            </a:graphicData>
          </a:graphic>
        </wp:anchor>
      </w:drawing>
    </w:r>
    <w:r>
      <w:t xml:space="preserve">                                                                       </w:t>
    </w:r>
    <w:r>
      <w:rPr>
        <w:color w:val="FF0000"/>
      </w:rPr>
      <w:t xml:space="preserve">  </w:t>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4"/>
      <w:numPr>
        <w:ilvl w:val="0"/>
        <w:numId w:val="1"/>
      </w:numPr>
    </w:pPr>
    <w:r>
      <mc:AlternateContent>
        <mc:Choice Requires="wps">
          <w:drawing>
            <wp:anchor distT="0" distB="0" distL="114300" distR="114300" simplePos="0" relativeHeight="251661312" behindDoc="0" locked="0" layoutInCell="1" allowOverlap="1">
              <wp:simplePos x="0" y="0"/>
              <wp:positionH relativeFrom="column">
                <wp:posOffset>3061970</wp:posOffset>
              </wp:positionH>
              <wp:positionV relativeFrom="paragraph">
                <wp:posOffset>-116840</wp:posOffset>
              </wp:positionV>
              <wp:extent cx="2599690" cy="261620"/>
              <wp:effectExtent l="0" t="0" r="10160" b="5080"/>
              <wp:wrapNone/>
              <wp:docPr id="7" name="文本框 29"/>
              <wp:cNvGraphicFramePr/>
              <a:graphic xmlns:a="http://schemas.openxmlformats.org/drawingml/2006/main">
                <a:graphicData uri="http://schemas.microsoft.com/office/word/2010/wordprocessingShape">
                  <wps:wsp>
                    <wps:cNvSpPr txBox="1"/>
                    <wps:spPr>
                      <a:xfrm>
                        <a:off x="0" y="0"/>
                        <a:ext cx="2599690" cy="261620"/>
                      </a:xfrm>
                      <a:prstGeom prst="rect">
                        <a:avLst/>
                      </a:prstGeom>
                      <a:solidFill>
                        <a:srgbClr val="FFFFFF"/>
                      </a:solidFill>
                      <a:ln w="9525">
                        <a:noFill/>
                      </a:ln>
                    </wps:spPr>
                    <wps:txbx>
                      <w:txbxContent>
                        <w:p>
                          <w:pPr>
                            <w:rPr>
                              <w:szCs w:val="32"/>
                            </w:rPr>
                          </w:pPr>
                          <w:r>
                            <w:rPr>
                              <w:rFonts w:hint="eastAsia" w:ascii="宋体" w:hAnsi="宋体"/>
                            </w:rPr>
                            <w:t>内蒙古科瑞房地产土地资产评估有限公司</w:t>
                          </w:r>
                        </w:p>
                      </w:txbxContent>
                    </wps:txbx>
                    <wps:bodyPr upright="1"/>
                  </wps:wsp>
                </a:graphicData>
              </a:graphic>
            </wp:anchor>
          </w:drawing>
        </mc:Choice>
        <mc:Fallback>
          <w:pict>
            <v:shape id="文本框 29" o:spid="_x0000_s1026" o:spt="202" type="#_x0000_t202" style="position:absolute;left:0pt;margin-left:241.1pt;margin-top:-9.2pt;height:20.6pt;width:204.7pt;z-index:251661312;mso-width-relative:page;mso-height-relative:page;" fillcolor="#FFFFFF" filled="t" stroked="f" coordsize="21600,21600" o:gfxdata="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slZfr&#10;2AAAAAoBAAAPAAAAAAAAAAEAIAAAACIAAABkcnMvZG93bnJldi54bWxQSwECFAAUAAAACACHTuJA&#10;hi34sa8BAAAzAwAADgAAAAAAAAABACAAAAAnAQAAZHJzL2Uyb0RvYy54bWxQSwUGAAAAAAYABgBZ&#10;AQAASAUAAAAA&#10;">
              <v:fill on="t" focussize="0,0"/>
              <v:stroke on="f"/>
              <v:imagedata o:title=""/>
              <o:lock v:ext="edit" aspectratio="f"/>
              <v:textbox>
                <w:txbxContent>
                  <w:p>
                    <w:pPr>
                      <w:rPr>
                        <w:szCs w:val="32"/>
                      </w:rPr>
                    </w:pPr>
                    <w:r>
                      <w:rPr>
                        <w:rFonts w:hint="eastAsia" w:ascii="宋体" w:hAnsi="宋体"/>
                      </w:rPr>
                      <w:t>内蒙古科瑞房地产土地资产评估有限公司</w:t>
                    </w:r>
                  </w:p>
                </w:txbxContent>
              </v:textbox>
            </v:shape>
          </w:pict>
        </mc:Fallback>
      </mc:AlternateContent>
    </w:r>
    <w:r>
      <w:drawing>
        <wp:anchor distT="0" distB="0" distL="114300" distR="114300" simplePos="0" relativeHeight="251660288" behindDoc="1" locked="0" layoutInCell="1" allowOverlap="1">
          <wp:simplePos x="0" y="0"/>
          <wp:positionH relativeFrom="column">
            <wp:posOffset>-133350</wp:posOffset>
          </wp:positionH>
          <wp:positionV relativeFrom="paragraph">
            <wp:posOffset>-201930</wp:posOffset>
          </wp:positionV>
          <wp:extent cx="870585" cy="346710"/>
          <wp:effectExtent l="19050" t="0" r="5715" b="0"/>
          <wp:wrapTight wrapText="bothSides">
            <wp:wrapPolygon>
              <wp:start x="-473" y="0"/>
              <wp:lineTo x="-473" y="20176"/>
              <wp:lineTo x="21742" y="20176"/>
              <wp:lineTo x="21742" y="0"/>
              <wp:lineTo x="-473" y="0"/>
            </wp:wrapPolygon>
          </wp:wrapTight>
          <wp:docPr id="26"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9"/>
                  <pic:cNvPicPr>
                    <a:picLocks noChangeAspect="1" noChangeArrowheads="1"/>
                  </pic:cNvPicPr>
                </pic:nvPicPr>
                <pic:blipFill>
                  <a:blip r:embed="rId1"/>
                  <a:srcRect/>
                  <a:stretch>
                    <a:fillRect/>
                  </a:stretch>
                </pic:blipFill>
                <pic:spPr>
                  <a:xfrm>
                    <a:off x="0" y="0"/>
                    <a:ext cx="870585" cy="346710"/>
                  </a:xfrm>
                  <a:prstGeom prst="rect">
                    <a:avLst/>
                  </a:prstGeom>
                  <a:noFill/>
                  <a:ln w="9525">
                    <a:noFill/>
                    <a:miter lim="800000"/>
                    <a:headEnd/>
                    <a:tailEnd/>
                  </a:ln>
                </pic:spPr>
              </pic:pic>
            </a:graphicData>
          </a:graphic>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4290"/>
    <w:multiLevelType w:val="multilevel"/>
    <w:tmpl w:val="04F14290"/>
    <w:lvl w:ilvl="0" w:tentative="0">
      <w:start w:val="1"/>
      <w:numFmt w:val="decimal"/>
      <w:lvlText w:val="%1．"/>
      <w:lvlJc w:val="left"/>
      <w:pPr>
        <w:ind w:left="480" w:hanging="480"/>
      </w:pPr>
      <w:rPr>
        <w:rFonts w:hint="eastAsia" w:cs="Times New Roman"/>
        <w:b/>
        <w:bCs/>
        <w:i w:val="0"/>
        <w:iCs w:val="0"/>
      </w:rPr>
    </w:lvl>
    <w:lvl w:ilvl="1" w:tentative="0">
      <w:start w:val="1"/>
      <w:numFmt w:val="lowerLetter"/>
      <w:lvlText w:val="%2)"/>
      <w:lvlJc w:val="left"/>
      <w:pPr>
        <w:ind w:left="960" w:hanging="480"/>
      </w:pPr>
      <w:rPr>
        <w:rFonts w:cs="Times New Roman"/>
      </w:rPr>
    </w:lvl>
    <w:lvl w:ilvl="2" w:tentative="0">
      <w:start w:val="1"/>
      <w:numFmt w:val="decimal"/>
      <w:lvlText w:val="%3."/>
      <w:lvlJc w:val="left"/>
      <w:pPr>
        <w:ind w:left="764" w:hanging="480"/>
      </w:pPr>
      <w:rPr>
        <w:rFonts w:hint="eastAsia" w:cs="Times New Roman"/>
      </w:rPr>
    </w:lvl>
    <w:lvl w:ilvl="3" w:tentative="0">
      <w:start w:val="1"/>
      <w:numFmt w:val="decimal"/>
      <w:lvlText w:val="%4."/>
      <w:lvlJc w:val="left"/>
      <w:pPr>
        <w:ind w:left="1920" w:hanging="480"/>
      </w:pPr>
      <w:rPr>
        <w:rFonts w:cs="Times New Roman"/>
      </w:rPr>
    </w:lvl>
    <w:lvl w:ilvl="4" w:tentative="0">
      <w:start w:val="1"/>
      <w:numFmt w:val="lowerLetter"/>
      <w:lvlText w:val="%5)"/>
      <w:lvlJc w:val="left"/>
      <w:pPr>
        <w:ind w:left="2400" w:hanging="480"/>
      </w:pPr>
      <w:rPr>
        <w:rFonts w:cs="Times New Roman"/>
      </w:rPr>
    </w:lvl>
    <w:lvl w:ilvl="5" w:tentative="0">
      <w:start w:val="1"/>
      <w:numFmt w:val="lowerRoman"/>
      <w:lvlText w:val="%6."/>
      <w:lvlJc w:val="right"/>
      <w:pPr>
        <w:ind w:left="2880" w:hanging="480"/>
      </w:pPr>
      <w:rPr>
        <w:rFonts w:cs="Times New Roman"/>
      </w:rPr>
    </w:lvl>
    <w:lvl w:ilvl="6" w:tentative="0">
      <w:start w:val="1"/>
      <w:numFmt w:val="decimal"/>
      <w:lvlText w:val="%7."/>
      <w:lvlJc w:val="left"/>
      <w:pPr>
        <w:ind w:left="3360" w:hanging="480"/>
      </w:pPr>
      <w:rPr>
        <w:rFonts w:cs="Times New Roman"/>
      </w:rPr>
    </w:lvl>
    <w:lvl w:ilvl="7" w:tentative="0">
      <w:start w:val="1"/>
      <w:numFmt w:val="lowerLetter"/>
      <w:lvlText w:val="%8)"/>
      <w:lvlJc w:val="left"/>
      <w:pPr>
        <w:ind w:left="3840" w:hanging="480"/>
      </w:pPr>
      <w:rPr>
        <w:rFonts w:cs="Times New Roman"/>
      </w:rPr>
    </w:lvl>
    <w:lvl w:ilvl="8" w:tentative="0">
      <w:start w:val="1"/>
      <w:numFmt w:val="lowerRoman"/>
      <w:lvlText w:val="%9."/>
      <w:lvlJc w:val="right"/>
      <w:pPr>
        <w:ind w:left="4320" w:hanging="480"/>
      </w:pPr>
      <w:rPr>
        <w:rFonts w:cs="Times New Roman"/>
      </w:rPr>
    </w:lvl>
  </w:abstractNum>
  <w:abstractNum w:abstractNumId="1">
    <w:nsid w:val="1EDF7A84"/>
    <w:multiLevelType w:val="multilevel"/>
    <w:tmpl w:val="1EDF7A84"/>
    <w:lvl w:ilvl="0" w:tentative="0">
      <w:start w:val="1"/>
      <w:numFmt w:val="decimalEnclosedCircle"/>
      <w:lvlText w:val="%1"/>
      <w:lvlJc w:val="left"/>
      <w:pPr>
        <w:ind w:left="920" w:hanging="36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26054136"/>
    <w:multiLevelType w:val="multilevel"/>
    <w:tmpl w:val="26054136"/>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3">
    <w:nsid w:val="2A6B14C7"/>
    <w:multiLevelType w:val="multilevel"/>
    <w:tmpl w:val="2A6B14C7"/>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047"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4">
    <w:nsid w:val="2C091F65"/>
    <w:multiLevelType w:val="multilevel"/>
    <w:tmpl w:val="2C091F6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32023A19"/>
    <w:multiLevelType w:val="multilevel"/>
    <w:tmpl w:val="32023A19"/>
    <w:lvl w:ilvl="0" w:tentative="0">
      <w:start w:val="1"/>
      <w:numFmt w:val="decimal"/>
      <w:lvlText w:val="（%1）"/>
      <w:lvlJc w:val="left"/>
      <w:pPr>
        <w:ind w:left="1728" w:hanging="1160"/>
      </w:pPr>
      <w:rPr>
        <w:rFonts w:hint="eastAsia" w:cs="Times New Roman"/>
      </w:rPr>
    </w:lvl>
    <w:lvl w:ilvl="1" w:tentative="0">
      <w:start w:val="1"/>
      <w:numFmt w:val="decimal"/>
      <w:lvlText w:val="%2."/>
      <w:lvlJc w:val="left"/>
      <w:pPr>
        <w:ind w:left="1360" w:hanging="360"/>
      </w:pPr>
      <w:rPr>
        <w:rFonts w:hint="eastAsia" w:cs="Times New Roman"/>
      </w:rPr>
    </w:lvl>
    <w:lvl w:ilvl="2" w:tentative="0">
      <w:start w:val="6"/>
      <w:numFmt w:val="bullet"/>
      <w:lvlText w:val="●"/>
      <w:lvlJc w:val="left"/>
      <w:pPr>
        <w:ind w:left="1840" w:hanging="360"/>
      </w:pPr>
      <w:rPr>
        <w:rFonts w:hint="eastAsia" w:ascii="仿宋_GB2312" w:hAnsi="仿宋" w:eastAsia="仿宋_GB2312"/>
      </w:rPr>
    </w:lvl>
    <w:lvl w:ilvl="3" w:tentative="0">
      <w:start w:val="1"/>
      <w:numFmt w:val="decimal"/>
      <w:lvlText w:val="%4."/>
      <w:lvlJc w:val="left"/>
      <w:pPr>
        <w:ind w:left="2440" w:hanging="480"/>
      </w:pPr>
      <w:rPr>
        <w:rFonts w:cs="Times New Roman"/>
      </w:rPr>
    </w:lvl>
    <w:lvl w:ilvl="4" w:tentative="0">
      <w:start w:val="1"/>
      <w:numFmt w:val="lowerLetter"/>
      <w:lvlText w:val="%5)"/>
      <w:lvlJc w:val="left"/>
      <w:pPr>
        <w:ind w:left="2920" w:hanging="480"/>
      </w:pPr>
      <w:rPr>
        <w:rFonts w:cs="Times New Roman"/>
      </w:rPr>
    </w:lvl>
    <w:lvl w:ilvl="5" w:tentative="0">
      <w:start w:val="1"/>
      <w:numFmt w:val="lowerRoman"/>
      <w:lvlText w:val="%6."/>
      <w:lvlJc w:val="right"/>
      <w:pPr>
        <w:ind w:left="3400" w:hanging="480"/>
      </w:pPr>
      <w:rPr>
        <w:rFonts w:cs="Times New Roman"/>
      </w:rPr>
    </w:lvl>
    <w:lvl w:ilvl="6" w:tentative="0">
      <w:start w:val="1"/>
      <w:numFmt w:val="decimal"/>
      <w:lvlText w:val="%7."/>
      <w:lvlJc w:val="left"/>
      <w:pPr>
        <w:ind w:left="3880" w:hanging="480"/>
      </w:pPr>
      <w:rPr>
        <w:rFonts w:cs="Times New Roman"/>
      </w:rPr>
    </w:lvl>
    <w:lvl w:ilvl="7" w:tentative="0">
      <w:start w:val="1"/>
      <w:numFmt w:val="lowerLetter"/>
      <w:lvlText w:val="%8)"/>
      <w:lvlJc w:val="left"/>
      <w:pPr>
        <w:ind w:left="4360" w:hanging="480"/>
      </w:pPr>
      <w:rPr>
        <w:rFonts w:cs="Times New Roman"/>
      </w:rPr>
    </w:lvl>
    <w:lvl w:ilvl="8" w:tentative="0">
      <w:start w:val="1"/>
      <w:numFmt w:val="lowerRoman"/>
      <w:lvlText w:val="%9."/>
      <w:lvlJc w:val="right"/>
      <w:pPr>
        <w:ind w:left="4840" w:hanging="480"/>
      </w:pPr>
      <w:rPr>
        <w:rFonts w:cs="Times New Roman"/>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4"/>
  <w:drawingGridHorizontalSpacing w:val="105"/>
  <w:drawingGridVerticalSpacing w:val="143"/>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239"/>
    <w:rsid w:val="0000008F"/>
    <w:rsid w:val="00000CB8"/>
    <w:rsid w:val="0000139C"/>
    <w:rsid w:val="00001541"/>
    <w:rsid w:val="000023D0"/>
    <w:rsid w:val="0000292B"/>
    <w:rsid w:val="000032B0"/>
    <w:rsid w:val="000035C4"/>
    <w:rsid w:val="000039E0"/>
    <w:rsid w:val="00003C51"/>
    <w:rsid w:val="00003CBB"/>
    <w:rsid w:val="0000410C"/>
    <w:rsid w:val="00004339"/>
    <w:rsid w:val="00004727"/>
    <w:rsid w:val="00004B63"/>
    <w:rsid w:val="00004EDE"/>
    <w:rsid w:val="00005062"/>
    <w:rsid w:val="00005599"/>
    <w:rsid w:val="00005ABB"/>
    <w:rsid w:val="00005EB8"/>
    <w:rsid w:val="000060F1"/>
    <w:rsid w:val="0000636B"/>
    <w:rsid w:val="000068A9"/>
    <w:rsid w:val="0000738F"/>
    <w:rsid w:val="000108A2"/>
    <w:rsid w:val="000108CF"/>
    <w:rsid w:val="00010918"/>
    <w:rsid w:val="00011220"/>
    <w:rsid w:val="000114E4"/>
    <w:rsid w:val="00011893"/>
    <w:rsid w:val="00011A69"/>
    <w:rsid w:val="00011AF0"/>
    <w:rsid w:val="000121AD"/>
    <w:rsid w:val="00012D42"/>
    <w:rsid w:val="00012E94"/>
    <w:rsid w:val="00012F03"/>
    <w:rsid w:val="00012FAC"/>
    <w:rsid w:val="00013937"/>
    <w:rsid w:val="00013991"/>
    <w:rsid w:val="00013F57"/>
    <w:rsid w:val="00014337"/>
    <w:rsid w:val="00014924"/>
    <w:rsid w:val="00014A6F"/>
    <w:rsid w:val="00014BA9"/>
    <w:rsid w:val="00015984"/>
    <w:rsid w:val="00016152"/>
    <w:rsid w:val="00016558"/>
    <w:rsid w:val="00016938"/>
    <w:rsid w:val="00016BAB"/>
    <w:rsid w:val="00016C40"/>
    <w:rsid w:val="000170EB"/>
    <w:rsid w:val="0001748A"/>
    <w:rsid w:val="00017614"/>
    <w:rsid w:val="00017ADD"/>
    <w:rsid w:val="00017FDB"/>
    <w:rsid w:val="0002093A"/>
    <w:rsid w:val="00022128"/>
    <w:rsid w:val="00023A85"/>
    <w:rsid w:val="00023BA8"/>
    <w:rsid w:val="00023DDD"/>
    <w:rsid w:val="00023F84"/>
    <w:rsid w:val="00025226"/>
    <w:rsid w:val="00025467"/>
    <w:rsid w:val="00025684"/>
    <w:rsid w:val="00026990"/>
    <w:rsid w:val="00026B76"/>
    <w:rsid w:val="000272AE"/>
    <w:rsid w:val="00027746"/>
    <w:rsid w:val="00027CEC"/>
    <w:rsid w:val="00030B6C"/>
    <w:rsid w:val="00030E3F"/>
    <w:rsid w:val="00031829"/>
    <w:rsid w:val="00031F47"/>
    <w:rsid w:val="00031FC4"/>
    <w:rsid w:val="00032DF7"/>
    <w:rsid w:val="0003335C"/>
    <w:rsid w:val="0003480A"/>
    <w:rsid w:val="0003574C"/>
    <w:rsid w:val="00035DF9"/>
    <w:rsid w:val="000360D6"/>
    <w:rsid w:val="000367B5"/>
    <w:rsid w:val="000367E6"/>
    <w:rsid w:val="00036959"/>
    <w:rsid w:val="00036C7C"/>
    <w:rsid w:val="00036F85"/>
    <w:rsid w:val="000375DE"/>
    <w:rsid w:val="0003781E"/>
    <w:rsid w:val="00037F9A"/>
    <w:rsid w:val="0004081C"/>
    <w:rsid w:val="00040912"/>
    <w:rsid w:val="00040F6F"/>
    <w:rsid w:val="0004249A"/>
    <w:rsid w:val="0004289E"/>
    <w:rsid w:val="00042907"/>
    <w:rsid w:val="00042A84"/>
    <w:rsid w:val="00042C29"/>
    <w:rsid w:val="00043BB9"/>
    <w:rsid w:val="00043EF3"/>
    <w:rsid w:val="00044230"/>
    <w:rsid w:val="000444C8"/>
    <w:rsid w:val="00044E12"/>
    <w:rsid w:val="00044F83"/>
    <w:rsid w:val="00045D8A"/>
    <w:rsid w:val="00045FE3"/>
    <w:rsid w:val="000478CD"/>
    <w:rsid w:val="00047BE6"/>
    <w:rsid w:val="00050048"/>
    <w:rsid w:val="00050ED1"/>
    <w:rsid w:val="00050F4B"/>
    <w:rsid w:val="0005105D"/>
    <w:rsid w:val="000514F2"/>
    <w:rsid w:val="00051F67"/>
    <w:rsid w:val="00052138"/>
    <w:rsid w:val="00052553"/>
    <w:rsid w:val="000532A5"/>
    <w:rsid w:val="000536DA"/>
    <w:rsid w:val="00053837"/>
    <w:rsid w:val="00053EDD"/>
    <w:rsid w:val="00054220"/>
    <w:rsid w:val="0005445A"/>
    <w:rsid w:val="00054617"/>
    <w:rsid w:val="000548AA"/>
    <w:rsid w:val="0005497B"/>
    <w:rsid w:val="00054FAE"/>
    <w:rsid w:val="00055226"/>
    <w:rsid w:val="0005576C"/>
    <w:rsid w:val="000558BF"/>
    <w:rsid w:val="00055BB2"/>
    <w:rsid w:val="00056258"/>
    <w:rsid w:val="0005632A"/>
    <w:rsid w:val="00056675"/>
    <w:rsid w:val="000574CC"/>
    <w:rsid w:val="000576CC"/>
    <w:rsid w:val="00057FC8"/>
    <w:rsid w:val="0006029D"/>
    <w:rsid w:val="00060459"/>
    <w:rsid w:val="00060CFD"/>
    <w:rsid w:val="00060E6D"/>
    <w:rsid w:val="00060E71"/>
    <w:rsid w:val="00061776"/>
    <w:rsid w:val="00062059"/>
    <w:rsid w:val="000620CE"/>
    <w:rsid w:val="00062DCB"/>
    <w:rsid w:val="0006311B"/>
    <w:rsid w:val="00063236"/>
    <w:rsid w:val="00063399"/>
    <w:rsid w:val="00063B0A"/>
    <w:rsid w:val="00063DEB"/>
    <w:rsid w:val="0006421C"/>
    <w:rsid w:val="00064485"/>
    <w:rsid w:val="000644DB"/>
    <w:rsid w:val="00064CB6"/>
    <w:rsid w:val="00064F70"/>
    <w:rsid w:val="000650C7"/>
    <w:rsid w:val="00065226"/>
    <w:rsid w:val="00065A1C"/>
    <w:rsid w:val="00065B00"/>
    <w:rsid w:val="00066173"/>
    <w:rsid w:val="00066BE8"/>
    <w:rsid w:val="00067888"/>
    <w:rsid w:val="00067922"/>
    <w:rsid w:val="00067A2F"/>
    <w:rsid w:val="00067A31"/>
    <w:rsid w:val="00067AC4"/>
    <w:rsid w:val="00067B57"/>
    <w:rsid w:val="00067F41"/>
    <w:rsid w:val="000706AB"/>
    <w:rsid w:val="00070869"/>
    <w:rsid w:val="00070E9B"/>
    <w:rsid w:val="000711BF"/>
    <w:rsid w:val="00071823"/>
    <w:rsid w:val="00071B1E"/>
    <w:rsid w:val="00071FD2"/>
    <w:rsid w:val="000721EE"/>
    <w:rsid w:val="0007327A"/>
    <w:rsid w:val="000739B9"/>
    <w:rsid w:val="00073A83"/>
    <w:rsid w:val="00073DF9"/>
    <w:rsid w:val="00073EE2"/>
    <w:rsid w:val="00073EFD"/>
    <w:rsid w:val="0007451F"/>
    <w:rsid w:val="00074758"/>
    <w:rsid w:val="000753F4"/>
    <w:rsid w:val="0007679E"/>
    <w:rsid w:val="00076A9B"/>
    <w:rsid w:val="00076DA4"/>
    <w:rsid w:val="00076E00"/>
    <w:rsid w:val="000771DB"/>
    <w:rsid w:val="00077216"/>
    <w:rsid w:val="000773E7"/>
    <w:rsid w:val="00080025"/>
    <w:rsid w:val="0008055C"/>
    <w:rsid w:val="000807E4"/>
    <w:rsid w:val="000808D2"/>
    <w:rsid w:val="00081468"/>
    <w:rsid w:val="00081BB1"/>
    <w:rsid w:val="00081E29"/>
    <w:rsid w:val="00082DBD"/>
    <w:rsid w:val="00083927"/>
    <w:rsid w:val="00084007"/>
    <w:rsid w:val="00084052"/>
    <w:rsid w:val="0008439A"/>
    <w:rsid w:val="00084495"/>
    <w:rsid w:val="00084AE9"/>
    <w:rsid w:val="0008507E"/>
    <w:rsid w:val="000852BE"/>
    <w:rsid w:val="00085443"/>
    <w:rsid w:val="00085FD7"/>
    <w:rsid w:val="0008608D"/>
    <w:rsid w:val="000860BD"/>
    <w:rsid w:val="00086344"/>
    <w:rsid w:val="0008670F"/>
    <w:rsid w:val="000869E4"/>
    <w:rsid w:val="000879A3"/>
    <w:rsid w:val="000904C1"/>
    <w:rsid w:val="000904C5"/>
    <w:rsid w:val="0009149D"/>
    <w:rsid w:val="000918AA"/>
    <w:rsid w:val="00091CE1"/>
    <w:rsid w:val="00091E5F"/>
    <w:rsid w:val="00092836"/>
    <w:rsid w:val="000929DD"/>
    <w:rsid w:val="00093025"/>
    <w:rsid w:val="0009344F"/>
    <w:rsid w:val="0009359F"/>
    <w:rsid w:val="000935BC"/>
    <w:rsid w:val="000937D6"/>
    <w:rsid w:val="00093DB5"/>
    <w:rsid w:val="00094679"/>
    <w:rsid w:val="00094B99"/>
    <w:rsid w:val="0009642D"/>
    <w:rsid w:val="000971C1"/>
    <w:rsid w:val="00097594"/>
    <w:rsid w:val="000A0251"/>
    <w:rsid w:val="000A0881"/>
    <w:rsid w:val="000A0A67"/>
    <w:rsid w:val="000A0AC8"/>
    <w:rsid w:val="000A208B"/>
    <w:rsid w:val="000A222D"/>
    <w:rsid w:val="000A27AE"/>
    <w:rsid w:val="000A2EBC"/>
    <w:rsid w:val="000A368C"/>
    <w:rsid w:val="000A36C7"/>
    <w:rsid w:val="000A43BA"/>
    <w:rsid w:val="000A460B"/>
    <w:rsid w:val="000A5698"/>
    <w:rsid w:val="000A5F1B"/>
    <w:rsid w:val="000A60B4"/>
    <w:rsid w:val="000A6201"/>
    <w:rsid w:val="000A68BA"/>
    <w:rsid w:val="000A766E"/>
    <w:rsid w:val="000A77A9"/>
    <w:rsid w:val="000B0626"/>
    <w:rsid w:val="000B0B9E"/>
    <w:rsid w:val="000B17EC"/>
    <w:rsid w:val="000B2B3C"/>
    <w:rsid w:val="000B317F"/>
    <w:rsid w:val="000B3C9A"/>
    <w:rsid w:val="000B432A"/>
    <w:rsid w:val="000B433F"/>
    <w:rsid w:val="000B43D9"/>
    <w:rsid w:val="000B4A6D"/>
    <w:rsid w:val="000B4AC0"/>
    <w:rsid w:val="000B4DF8"/>
    <w:rsid w:val="000B4F11"/>
    <w:rsid w:val="000B53F3"/>
    <w:rsid w:val="000B54BF"/>
    <w:rsid w:val="000B5E88"/>
    <w:rsid w:val="000B5F57"/>
    <w:rsid w:val="000B60BD"/>
    <w:rsid w:val="000B7827"/>
    <w:rsid w:val="000C01C3"/>
    <w:rsid w:val="000C028E"/>
    <w:rsid w:val="000C0925"/>
    <w:rsid w:val="000C0B56"/>
    <w:rsid w:val="000C0D21"/>
    <w:rsid w:val="000C1138"/>
    <w:rsid w:val="000C12B2"/>
    <w:rsid w:val="000C1D25"/>
    <w:rsid w:val="000C2319"/>
    <w:rsid w:val="000C2A0B"/>
    <w:rsid w:val="000C31A2"/>
    <w:rsid w:val="000C327A"/>
    <w:rsid w:val="000C3721"/>
    <w:rsid w:val="000C38A2"/>
    <w:rsid w:val="000C4669"/>
    <w:rsid w:val="000C46A4"/>
    <w:rsid w:val="000C4AF4"/>
    <w:rsid w:val="000C5181"/>
    <w:rsid w:val="000C52D8"/>
    <w:rsid w:val="000C53B0"/>
    <w:rsid w:val="000C5710"/>
    <w:rsid w:val="000C5724"/>
    <w:rsid w:val="000C57FB"/>
    <w:rsid w:val="000C5A4F"/>
    <w:rsid w:val="000C5DAA"/>
    <w:rsid w:val="000C5EA7"/>
    <w:rsid w:val="000C69A6"/>
    <w:rsid w:val="000C6A54"/>
    <w:rsid w:val="000C716C"/>
    <w:rsid w:val="000C767C"/>
    <w:rsid w:val="000C7C28"/>
    <w:rsid w:val="000D044E"/>
    <w:rsid w:val="000D058E"/>
    <w:rsid w:val="000D0BDC"/>
    <w:rsid w:val="000D0EAE"/>
    <w:rsid w:val="000D1383"/>
    <w:rsid w:val="000D15AD"/>
    <w:rsid w:val="000D1706"/>
    <w:rsid w:val="000D1DC4"/>
    <w:rsid w:val="000D24C4"/>
    <w:rsid w:val="000D26E2"/>
    <w:rsid w:val="000D2932"/>
    <w:rsid w:val="000D2B14"/>
    <w:rsid w:val="000D2B4F"/>
    <w:rsid w:val="000D3089"/>
    <w:rsid w:val="000D3562"/>
    <w:rsid w:val="000D4192"/>
    <w:rsid w:val="000D42BD"/>
    <w:rsid w:val="000D45A8"/>
    <w:rsid w:val="000D4A99"/>
    <w:rsid w:val="000D52E1"/>
    <w:rsid w:val="000D643F"/>
    <w:rsid w:val="000D6B7B"/>
    <w:rsid w:val="000D6BEB"/>
    <w:rsid w:val="000D71A6"/>
    <w:rsid w:val="000D7661"/>
    <w:rsid w:val="000D7A45"/>
    <w:rsid w:val="000E0245"/>
    <w:rsid w:val="000E0432"/>
    <w:rsid w:val="000E0683"/>
    <w:rsid w:val="000E08F0"/>
    <w:rsid w:val="000E106F"/>
    <w:rsid w:val="000E1855"/>
    <w:rsid w:val="000E1A98"/>
    <w:rsid w:val="000E230A"/>
    <w:rsid w:val="000E2A26"/>
    <w:rsid w:val="000E2A4A"/>
    <w:rsid w:val="000E2CE8"/>
    <w:rsid w:val="000E3261"/>
    <w:rsid w:val="000E33E2"/>
    <w:rsid w:val="000E38EA"/>
    <w:rsid w:val="000E3E22"/>
    <w:rsid w:val="000E4E6F"/>
    <w:rsid w:val="000E4E74"/>
    <w:rsid w:val="000E5134"/>
    <w:rsid w:val="000E572F"/>
    <w:rsid w:val="000E5C9D"/>
    <w:rsid w:val="000E609D"/>
    <w:rsid w:val="000E60F0"/>
    <w:rsid w:val="000E6696"/>
    <w:rsid w:val="000E70FD"/>
    <w:rsid w:val="000E71F0"/>
    <w:rsid w:val="000E7206"/>
    <w:rsid w:val="000E7370"/>
    <w:rsid w:val="000E74BF"/>
    <w:rsid w:val="000E77A7"/>
    <w:rsid w:val="000E79EB"/>
    <w:rsid w:val="000F0269"/>
    <w:rsid w:val="000F0808"/>
    <w:rsid w:val="000F1279"/>
    <w:rsid w:val="000F1760"/>
    <w:rsid w:val="000F1DAD"/>
    <w:rsid w:val="000F2565"/>
    <w:rsid w:val="000F27D9"/>
    <w:rsid w:val="000F2D2F"/>
    <w:rsid w:val="000F4579"/>
    <w:rsid w:val="000F4F0F"/>
    <w:rsid w:val="000F4F70"/>
    <w:rsid w:val="000F52DB"/>
    <w:rsid w:val="000F5305"/>
    <w:rsid w:val="000F56E2"/>
    <w:rsid w:val="000F593B"/>
    <w:rsid w:val="000F5983"/>
    <w:rsid w:val="000F630E"/>
    <w:rsid w:val="000F6B6B"/>
    <w:rsid w:val="000F7029"/>
    <w:rsid w:val="000F7216"/>
    <w:rsid w:val="000F72AA"/>
    <w:rsid w:val="00100321"/>
    <w:rsid w:val="00100563"/>
    <w:rsid w:val="00100628"/>
    <w:rsid w:val="00100906"/>
    <w:rsid w:val="00101151"/>
    <w:rsid w:val="001012FC"/>
    <w:rsid w:val="001016CA"/>
    <w:rsid w:val="00101815"/>
    <w:rsid w:val="00101B8F"/>
    <w:rsid w:val="00101CF7"/>
    <w:rsid w:val="00102056"/>
    <w:rsid w:val="0010282A"/>
    <w:rsid w:val="00103750"/>
    <w:rsid w:val="001039F4"/>
    <w:rsid w:val="00103D37"/>
    <w:rsid w:val="00103DCD"/>
    <w:rsid w:val="001043B7"/>
    <w:rsid w:val="00104CBC"/>
    <w:rsid w:val="0010534E"/>
    <w:rsid w:val="001054B5"/>
    <w:rsid w:val="00105BED"/>
    <w:rsid w:val="001062A4"/>
    <w:rsid w:val="0010668D"/>
    <w:rsid w:val="00106B77"/>
    <w:rsid w:val="00106D1F"/>
    <w:rsid w:val="0010756B"/>
    <w:rsid w:val="00107651"/>
    <w:rsid w:val="00107B08"/>
    <w:rsid w:val="00107F04"/>
    <w:rsid w:val="00107F37"/>
    <w:rsid w:val="00110642"/>
    <w:rsid w:val="00110C56"/>
    <w:rsid w:val="00110E92"/>
    <w:rsid w:val="00111AD1"/>
    <w:rsid w:val="001127AE"/>
    <w:rsid w:val="00113239"/>
    <w:rsid w:val="00113697"/>
    <w:rsid w:val="001137B6"/>
    <w:rsid w:val="0011397C"/>
    <w:rsid w:val="00113AFA"/>
    <w:rsid w:val="001142EC"/>
    <w:rsid w:val="0011480A"/>
    <w:rsid w:val="001148FB"/>
    <w:rsid w:val="001149A0"/>
    <w:rsid w:val="00114DA6"/>
    <w:rsid w:val="00114E07"/>
    <w:rsid w:val="00115B7B"/>
    <w:rsid w:val="00115CC7"/>
    <w:rsid w:val="00116099"/>
    <w:rsid w:val="00116102"/>
    <w:rsid w:val="0011695A"/>
    <w:rsid w:val="001176A0"/>
    <w:rsid w:val="00117E8D"/>
    <w:rsid w:val="001202BA"/>
    <w:rsid w:val="0012038F"/>
    <w:rsid w:val="00121173"/>
    <w:rsid w:val="00121174"/>
    <w:rsid w:val="00121257"/>
    <w:rsid w:val="00121CCB"/>
    <w:rsid w:val="001221AA"/>
    <w:rsid w:val="00122BFA"/>
    <w:rsid w:val="00123132"/>
    <w:rsid w:val="00123981"/>
    <w:rsid w:val="00123AFA"/>
    <w:rsid w:val="00124763"/>
    <w:rsid w:val="00125181"/>
    <w:rsid w:val="001253C7"/>
    <w:rsid w:val="00125503"/>
    <w:rsid w:val="001257F6"/>
    <w:rsid w:val="00126B9A"/>
    <w:rsid w:val="00126BA5"/>
    <w:rsid w:val="00126D95"/>
    <w:rsid w:val="00130218"/>
    <w:rsid w:val="001302D2"/>
    <w:rsid w:val="001306D1"/>
    <w:rsid w:val="001315C3"/>
    <w:rsid w:val="00131819"/>
    <w:rsid w:val="0013194F"/>
    <w:rsid w:val="00131EC8"/>
    <w:rsid w:val="001320ED"/>
    <w:rsid w:val="00132252"/>
    <w:rsid w:val="001327A1"/>
    <w:rsid w:val="00132A98"/>
    <w:rsid w:val="00133016"/>
    <w:rsid w:val="00133605"/>
    <w:rsid w:val="00133EF6"/>
    <w:rsid w:val="001341E6"/>
    <w:rsid w:val="00135201"/>
    <w:rsid w:val="0013536F"/>
    <w:rsid w:val="001356B2"/>
    <w:rsid w:val="001357DC"/>
    <w:rsid w:val="00135A97"/>
    <w:rsid w:val="00135F62"/>
    <w:rsid w:val="00136855"/>
    <w:rsid w:val="00136BA4"/>
    <w:rsid w:val="001373AD"/>
    <w:rsid w:val="001373AE"/>
    <w:rsid w:val="001373CD"/>
    <w:rsid w:val="00137462"/>
    <w:rsid w:val="001402D6"/>
    <w:rsid w:val="0014034F"/>
    <w:rsid w:val="00140638"/>
    <w:rsid w:val="001409BE"/>
    <w:rsid w:val="00140A5A"/>
    <w:rsid w:val="00140E89"/>
    <w:rsid w:val="001414C1"/>
    <w:rsid w:val="00141857"/>
    <w:rsid w:val="00141AF4"/>
    <w:rsid w:val="00142346"/>
    <w:rsid w:val="001424E3"/>
    <w:rsid w:val="00142612"/>
    <w:rsid w:val="00142725"/>
    <w:rsid w:val="00142C89"/>
    <w:rsid w:val="00142F91"/>
    <w:rsid w:val="001430AB"/>
    <w:rsid w:val="0014332F"/>
    <w:rsid w:val="0014411D"/>
    <w:rsid w:val="00144162"/>
    <w:rsid w:val="001446AE"/>
    <w:rsid w:val="00144879"/>
    <w:rsid w:val="00144A57"/>
    <w:rsid w:val="00144C71"/>
    <w:rsid w:val="00144F13"/>
    <w:rsid w:val="0014501F"/>
    <w:rsid w:val="001459BA"/>
    <w:rsid w:val="001461CA"/>
    <w:rsid w:val="00146283"/>
    <w:rsid w:val="00146D53"/>
    <w:rsid w:val="00146F84"/>
    <w:rsid w:val="0014718A"/>
    <w:rsid w:val="00147CA5"/>
    <w:rsid w:val="00147CDE"/>
    <w:rsid w:val="00150935"/>
    <w:rsid w:val="00151410"/>
    <w:rsid w:val="00151599"/>
    <w:rsid w:val="00151657"/>
    <w:rsid w:val="00151FF6"/>
    <w:rsid w:val="00152056"/>
    <w:rsid w:val="0015217B"/>
    <w:rsid w:val="00152B50"/>
    <w:rsid w:val="00153027"/>
    <w:rsid w:val="0015319D"/>
    <w:rsid w:val="001535E3"/>
    <w:rsid w:val="00153B9C"/>
    <w:rsid w:val="00153CFF"/>
    <w:rsid w:val="00154256"/>
    <w:rsid w:val="00154688"/>
    <w:rsid w:val="00154B71"/>
    <w:rsid w:val="00155271"/>
    <w:rsid w:val="00155E9F"/>
    <w:rsid w:val="00156E17"/>
    <w:rsid w:val="0015708D"/>
    <w:rsid w:val="0015793B"/>
    <w:rsid w:val="00160D06"/>
    <w:rsid w:val="00162A96"/>
    <w:rsid w:val="00163FFF"/>
    <w:rsid w:val="001646E3"/>
    <w:rsid w:val="00164B4E"/>
    <w:rsid w:val="00164E3C"/>
    <w:rsid w:val="00164FAE"/>
    <w:rsid w:val="001658E1"/>
    <w:rsid w:val="00165DC1"/>
    <w:rsid w:val="00165FBF"/>
    <w:rsid w:val="00166E11"/>
    <w:rsid w:val="001673E8"/>
    <w:rsid w:val="001675D5"/>
    <w:rsid w:val="001679CD"/>
    <w:rsid w:val="00167A88"/>
    <w:rsid w:val="00170589"/>
    <w:rsid w:val="001718C9"/>
    <w:rsid w:val="00172000"/>
    <w:rsid w:val="00173CE4"/>
    <w:rsid w:val="00174122"/>
    <w:rsid w:val="00174207"/>
    <w:rsid w:val="0017435B"/>
    <w:rsid w:val="00174772"/>
    <w:rsid w:val="00174F0A"/>
    <w:rsid w:val="00175102"/>
    <w:rsid w:val="0017595F"/>
    <w:rsid w:val="00175998"/>
    <w:rsid w:val="0017617E"/>
    <w:rsid w:val="001761BB"/>
    <w:rsid w:val="0017630A"/>
    <w:rsid w:val="001764DC"/>
    <w:rsid w:val="001765DA"/>
    <w:rsid w:val="001765E8"/>
    <w:rsid w:val="001769A8"/>
    <w:rsid w:val="001770A5"/>
    <w:rsid w:val="0017715E"/>
    <w:rsid w:val="0017770D"/>
    <w:rsid w:val="001777FF"/>
    <w:rsid w:val="001803EA"/>
    <w:rsid w:val="00180E5F"/>
    <w:rsid w:val="001815C7"/>
    <w:rsid w:val="0018218D"/>
    <w:rsid w:val="001823DA"/>
    <w:rsid w:val="00182A99"/>
    <w:rsid w:val="001830A4"/>
    <w:rsid w:val="001836E7"/>
    <w:rsid w:val="001839BD"/>
    <w:rsid w:val="00183B09"/>
    <w:rsid w:val="00183CEA"/>
    <w:rsid w:val="001848E5"/>
    <w:rsid w:val="00184BFB"/>
    <w:rsid w:val="001851BE"/>
    <w:rsid w:val="00185604"/>
    <w:rsid w:val="001864C6"/>
    <w:rsid w:val="0018720C"/>
    <w:rsid w:val="001873A3"/>
    <w:rsid w:val="00187510"/>
    <w:rsid w:val="00187853"/>
    <w:rsid w:val="00190C83"/>
    <w:rsid w:val="00191275"/>
    <w:rsid w:val="00191D23"/>
    <w:rsid w:val="001924A6"/>
    <w:rsid w:val="0019260B"/>
    <w:rsid w:val="00192F84"/>
    <w:rsid w:val="001930F4"/>
    <w:rsid w:val="0019322D"/>
    <w:rsid w:val="001934D6"/>
    <w:rsid w:val="0019359F"/>
    <w:rsid w:val="00194201"/>
    <w:rsid w:val="001945C4"/>
    <w:rsid w:val="0019483E"/>
    <w:rsid w:val="00194DFD"/>
    <w:rsid w:val="00194FD4"/>
    <w:rsid w:val="0019502D"/>
    <w:rsid w:val="00195421"/>
    <w:rsid w:val="0019551C"/>
    <w:rsid w:val="00195949"/>
    <w:rsid w:val="001959A1"/>
    <w:rsid w:val="00195AC3"/>
    <w:rsid w:val="00195D76"/>
    <w:rsid w:val="001963D2"/>
    <w:rsid w:val="00196FAB"/>
    <w:rsid w:val="00197610"/>
    <w:rsid w:val="00197779"/>
    <w:rsid w:val="0019798D"/>
    <w:rsid w:val="001A0105"/>
    <w:rsid w:val="001A0346"/>
    <w:rsid w:val="001A17EF"/>
    <w:rsid w:val="001A1C53"/>
    <w:rsid w:val="001A1DF7"/>
    <w:rsid w:val="001A1E15"/>
    <w:rsid w:val="001A1FA5"/>
    <w:rsid w:val="001A2030"/>
    <w:rsid w:val="001A24C7"/>
    <w:rsid w:val="001A25B4"/>
    <w:rsid w:val="001A25BB"/>
    <w:rsid w:val="001A2822"/>
    <w:rsid w:val="001A2D00"/>
    <w:rsid w:val="001A3227"/>
    <w:rsid w:val="001A3406"/>
    <w:rsid w:val="001A3574"/>
    <w:rsid w:val="001A4112"/>
    <w:rsid w:val="001A4160"/>
    <w:rsid w:val="001A442D"/>
    <w:rsid w:val="001A482D"/>
    <w:rsid w:val="001A4CC0"/>
    <w:rsid w:val="001A4DC0"/>
    <w:rsid w:val="001A6787"/>
    <w:rsid w:val="001A6BEA"/>
    <w:rsid w:val="001A7241"/>
    <w:rsid w:val="001A7534"/>
    <w:rsid w:val="001A7BC6"/>
    <w:rsid w:val="001B0438"/>
    <w:rsid w:val="001B048F"/>
    <w:rsid w:val="001B05CF"/>
    <w:rsid w:val="001B14B7"/>
    <w:rsid w:val="001B1992"/>
    <w:rsid w:val="001B1DEB"/>
    <w:rsid w:val="001B2F9C"/>
    <w:rsid w:val="001B2FC6"/>
    <w:rsid w:val="001B35C6"/>
    <w:rsid w:val="001B36A7"/>
    <w:rsid w:val="001B45BC"/>
    <w:rsid w:val="001B49C5"/>
    <w:rsid w:val="001B501F"/>
    <w:rsid w:val="001B5A4E"/>
    <w:rsid w:val="001B5B01"/>
    <w:rsid w:val="001B6DF4"/>
    <w:rsid w:val="001B6E8F"/>
    <w:rsid w:val="001B78F2"/>
    <w:rsid w:val="001B798B"/>
    <w:rsid w:val="001B7DAB"/>
    <w:rsid w:val="001C0AA6"/>
    <w:rsid w:val="001C0B11"/>
    <w:rsid w:val="001C12B1"/>
    <w:rsid w:val="001C17FD"/>
    <w:rsid w:val="001C1C42"/>
    <w:rsid w:val="001C1D20"/>
    <w:rsid w:val="001C217B"/>
    <w:rsid w:val="001C298E"/>
    <w:rsid w:val="001C2A92"/>
    <w:rsid w:val="001C2F6B"/>
    <w:rsid w:val="001C3229"/>
    <w:rsid w:val="001C3591"/>
    <w:rsid w:val="001C3759"/>
    <w:rsid w:val="001C440B"/>
    <w:rsid w:val="001C4A91"/>
    <w:rsid w:val="001C4E11"/>
    <w:rsid w:val="001C50A9"/>
    <w:rsid w:val="001C5298"/>
    <w:rsid w:val="001C5BC1"/>
    <w:rsid w:val="001C5D05"/>
    <w:rsid w:val="001C60C5"/>
    <w:rsid w:val="001C62FA"/>
    <w:rsid w:val="001C6750"/>
    <w:rsid w:val="001C68A4"/>
    <w:rsid w:val="001C6A7E"/>
    <w:rsid w:val="001C6C8C"/>
    <w:rsid w:val="001C6DB8"/>
    <w:rsid w:val="001C6ED7"/>
    <w:rsid w:val="001C6FDE"/>
    <w:rsid w:val="001C7382"/>
    <w:rsid w:val="001D005B"/>
    <w:rsid w:val="001D0128"/>
    <w:rsid w:val="001D2174"/>
    <w:rsid w:val="001D26C2"/>
    <w:rsid w:val="001D2A01"/>
    <w:rsid w:val="001D3850"/>
    <w:rsid w:val="001D3C90"/>
    <w:rsid w:val="001D3D82"/>
    <w:rsid w:val="001D45B8"/>
    <w:rsid w:val="001D46CD"/>
    <w:rsid w:val="001D4825"/>
    <w:rsid w:val="001D5342"/>
    <w:rsid w:val="001D5AC0"/>
    <w:rsid w:val="001D6D59"/>
    <w:rsid w:val="001D74B9"/>
    <w:rsid w:val="001E0215"/>
    <w:rsid w:val="001E0B3C"/>
    <w:rsid w:val="001E0BE5"/>
    <w:rsid w:val="001E1228"/>
    <w:rsid w:val="001E1623"/>
    <w:rsid w:val="001E1A01"/>
    <w:rsid w:val="001E2069"/>
    <w:rsid w:val="001E2271"/>
    <w:rsid w:val="001E25CB"/>
    <w:rsid w:val="001E25D7"/>
    <w:rsid w:val="001E2607"/>
    <w:rsid w:val="001E2709"/>
    <w:rsid w:val="001E2C21"/>
    <w:rsid w:val="001E32E2"/>
    <w:rsid w:val="001E337D"/>
    <w:rsid w:val="001E4176"/>
    <w:rsid w:val="001E5665"/>
    <w:rsid w:val="001E5A74"/>
    <w:rsid w:val="001E6AF4"/>
    <w:rsid w:val="001E766F"/>
    <w:rsid w:val="001E7F4D"/>
    <w:rsid w:val="001E7F91"/>
    <w:rsid w:val="001F0B4A"/>
    <w:rsid w:val="001F0B77"/>
    <w:rsid w:val="001F12D4"/>
    <w:rsid w:val="001F1761"/>
    <w:rsid w:val="001F279B"/>
    <w:rsid w:val="001F27A4"/>
    <w:rsid w:val="001F2C0E"/>
    <w:rsid w:val="001F35AA"/>
    <w:rsid w:val="001F39B5"/>
    <w:rsid w:val="001F3F39"/>
    <w:rsid w:val="001F41FF"/>
    <w:rsid w:val="001F4390"/>
    <w:rsid w:val="001F466C"/>
    <w:rsid w:val="001F4A9D"/>
    <w:rsid w:val="001F51B0"/>
    <w:rsid w:val="001F52F3"/>
    <w:rsid w:val="001F53F4"/>
    <w:rsid w:val="001F5503"/>
    <w:rsid w:val="001F5570"/>
    <w:rsid w:val="001F5F04"/>
    <w:rsid w:val="001F71E5"/>
    <w:rsid w:val="002004C5"/>
    <w:rsid w:val="0020103B"/>
    <w:rsid w:val="00201C8F"/>
    <w:rsid w:val="0020282B"/>
    <w:rsid w:val="00202FB7"/>
    <w:rsid w:val="00203E7D"/>
    <w:rsid w:val="00203EB3"/>
    <w:rsid w:val="002046D3"/>
    <w:rsid w:val="0020507D"/>
    <w:rsid w:val="0020541B"/>
    <w:rsid w:val="002055AC"/>
    <w:rsid w:val="002055B9"/>
    <w:rsid w:val="002055C5"/>
    <w:rsid w:val="00205726"/>
    <w:rsid w:val="00205A4F"/>
    <w:rsid w:val="00205DDF"/>
    <w:rsid w:val="00205FC4"/>
    <w:rsid w:val="00206553"/>
    <w:rsid w:val="002065DE"/>
    <w:rsid w:val="002066C2"/>
    <w:rsid w:val="00206AC9"/>
    <w:rsid w:val="00206B2C"/>
    <w:rsid w:val="00206DC6"/>
    <w:rsid w:val="00207035"/>
    <w:rsid w:val="00207158"/>
    <w:rsid w:val="0020769F"/>
    <w:rsid w:val="00207A69"/>
    <w:rsid w:val="00210673"/>
    <w:rsid w:val="002108D0"/>
    <w:rsid w:val="00210DBD"/>
    <w:rsid w:val="0021184B"/>
    <w:rsid w:val="00211DB1"/>
    <w:rsid w:val="0021212D"/>
    <w:rsid w:val="00212445"/>
    <w:rsid w:val="002126A7"/>
    <w:rsid w:val="00212882"/>
    <w:rsid w:val="002130F6"/>
    <w:rsid w:val="00213AC2"/>
    <w:rsid w:val="002143C9"/>
    <w:rsid w:val="00214732"/>
    <w:rsid w:val="00214B3D"/>
    <w:rsid w:val="00214DCA"/>
    <w:rsid w:val="0021510D"/>
    <w:rsid w:val="00216D2F"/>
    <w:rsid w:val="00216D52"/>
    <w:rsid w:val="00216E25"/>
    <w:rsid w:val="002170B6"/>
    <w:rsid w:val="002171A4"/>
    <w:rsid w:val="0021773C"/>
    <w:rsid w:val="002211AA"/>
    <w:rsid w:val="0022170B"/>
    <w:rsid w:val="00221BA9"/>
    <w:rsid w:val="00221E34"/>
    <w:rsid w:val="00222B80"/>
    <w:rsid w:val="002230A1"/>
    <w:rsid w:val="00223393"/>
    <w:rsid w:val="00223C2D"/>
    <w:rsid w:val="002244D9"/>
    <w:rsid w:val="00224CCD"/>
    <w:rsid w:val="00224E6C"/>
    <w:rsid w:val="0022538D"/>
    <w:rsid w:val="002253E6"/>
    <w:rsid w:val="00225516"/>
    <w:rsid w:val="00225E56"/>
    <w:rsid w:val="0022610B"/>
    <w:rsid w:val="002261E2"/>
    <w:rsid w:val="002263F3"/>
    <w:rsid w:val="00226691"/>
    <w:rsid w:val="0022704F"/>
    <w:rsid w:val="00227CBA"/>
    <w:rsid w:val="00227D3E"/>
    <w:rsid w:val="00230F09"/>
    <w:rsid w:val="00231595"/>
    <w:rsid w:val="00231648"/>
    <w:rsid w:val="0023253E"/>
    <w:rsid w:val="00232763"/>
    <w:rsid w:val="00232F23"/>
    <w:rsid w:val="00232FB9"/>
    <w:rsid w:val="00232FE0"/>
    <w:rsid w:val="0023301B"/>
    <w:rsid w:val="002343B8"/>
    <w:rsid w:val="00234A72"/>
    <w:rsid w:val="00234F81"/>
    <w:rsid w:val="00235457"/>
    <w:rsid w:val="00235735"/>
    <w:rsid w:val="00236064"/>
    <w:rsid w:val="002364F6"/>
    <w:rsid w:val="0023661F"/>
    <w:rsid w:val="00236E43"/>
    <w:rsid w:val="002370EC"/>
    <w:rsid w:val="00237343"/>
    <w:rsid w:val="00240412"/>
    <w:rsid w:val="00240DA9"/>
    <w:rsid w:val="00240E26"/>
    <w:rsid w:val="00240F99"/>
    <w:rsid w:val="00241D42"/>
    <w:rsid w:val="002424BE"/>
    <w:rsid w:val="00242AA0"/>
    <w:rsid w:val="00242CBA"/>
    <w:rsid w:val="00242E24"/>
    <w:rsid w:val="002433D4"/>
    <w:rsid w:val="0024367C"/>
    <w:rsid w:val="0024368A"/>
    <w:rsid w:val="00244201"/>
    <w:rsid w:val="00244482"/>
    <w:rsid w:val="00244827"/>
    <w:rsid w:val="002448BD"/>
    <w:rsid w:val="002448E8"/>
    <w:rsid w:val="00245597"/>
    <w:rsid w:val="002456B3"/>
    <w:rsid w:val="00245CEC"/>
    <w:rsid w:val="00246C4B"/>
    <w:rsid w:val="00247412"/>
    <w:rsid w:val="00247AF2"/>
    <w:rsid w:val="002500EA"/>
    <w:rsid w:val="0025066D"/>
    <w:rsid w:val="00250EA8"/>
    <w:rsid w:val="00250F4D"/>
    <w:rsid w:val="00251827"/>
    <w:rsid w:val="00251A38"/>
    <w:rsid w:val="00251BB3"/>
    <w:rsid w:val="002528F7"/>
    <w:rsid w:val="00252E7E"/>
    <w:rsid w:val="0025314C"/>
    <w:rsid w:val="002533AB"/>
    <w:rsid w:val="0025345E"/>
    <w:rsid w:val="00253CEA"/>
    <w:rsid w:val="00254B46"/>
    <w:rsid w:val="00254E4B"/>
    <w:rsid w:val="0025525A"/>
    <w:rsid w:val="002558B7"/>
    <w:rsid w:val="00255B88"/>
    <w:rsid w:val="0025618A"/>
    <w:rsid w:val="00256248"/>
    <w:rsid w:val="00256552"/>
    <w:rsid w:val="00256812"/>
    <w:rsid w:val="00256993"/>
    <w:rsid w:val="00257DC8"/>
    <w:rsid w:val="002605BB"/>
    <w:rsid w:val="0026092A"/>
    <w:rsid w:val="00260CDD"/>
    <w:rsid w:val="002610F0"/>
    <w:rsid w:val="00261317"/>
    <w:rsid w:val="0026155A"/>
    <w:rsid w:val="00261F5E"/>
    <w:rsid w:val="00261F6D"/>
    <w:rsid w:val="0026298C"/>
    <w:rsid w:val="00262EE4"/>
    <w:rsid w:val="00263242"/>
    <w:rsid w:val="00263B7F"/>
    <w:rsid w:val="00264046"/>
    <w:rsid w:val="002644BD"/>
    <w:rsid w:val="00265626"/>
    <w:rsid w:val="00265A17"/>
    <w:rsid w:val="00265D5D"/>
    <w:rsid w:val="00265EE5"/>
    <w:rsid w:val="00266111"/>
    <w:rsid w:val="002666CB"/>
    <w:rsid w:val="00266F66"/>
    <w:rsid w:val="002673D1"/>
    <w:rsid w:val="002702C6"/>
    <w:rsid w:val="00270705"/>
    <w:rsid w:val="002710A6"/>
    <w:rsid w:val="00271242"/>
    <w:rsid w:val="00271617"/>
    <w:rsid w:val="002717C6"/>
    <w:rsid w:val="002718CF"/>
    <w:rsid w:val="0027297A"/>
    <w:rsid w:val="00272E93"/>
    <w:rsid w:val="002731E3"/>
    <w:rsid w:val="002738FC"/>
    <w:rsid w:val="00273D2F"/>
    <w:rsid w:val="0027472A"/>
    <w:rsid w:val="002747CB"/>
    <w:rsid w:val="00274FB9"/>
    <w:rsid w:val="0027554F"/>
    <w:rsid w:val="00275737"/>
    <w:rsid w:val="00275A27"/>
    <w:rsid w:val="00275E16"/>
    <w:rsid w:val="002762AB"/>
    <w:rsid w:val="002766E4"/>
    <w:rsid w:val="00276857"/>
    <w:rsid w:val="002770BD"/>
    <w:rsid w:val="0028042B"/>
    <w:rsid w:val="00280CFA"/>
    <w:rsid w:val="0028121F"/>
    <w:rsid w:val="0028147A"/>
    <w:rsid w:val="00281931"/>
    <w:rsid w:val="00281942"/>
    <w:rsid w:val="00281949"/>
    <w:rsid w:val="00281B64"/>
    <w:rsid w:val="00281DB2"/>
    <w:rsid w:val="00281ED4"/>
    <w:rsid w:val="0028213A"/>
    <w:rsid w:val="00282970"/>
    <w:rsid w:val="00282A30"/>
    <w:rsid w:val="00282B81"/>
    <w:rsid w:val="00283016"/>
    <w:rsid w:val="00283854"/>
    <w:rsid w:val="0028474B"/>
    <w:rsid w:val="002849E7"/>
    <w:rsid w:val="00284ED5"/>
    <w:rsid w:val="00285143"/>
    <w:rsid w:val="002852F0"/>
    <w:rsid w:val="00285566"/>
    <w:rsid w:val="00285664"/>
    <w:rsid w:val="00285FAE"/>
    <w:rsid w:val="00286162"/>
    <w:rsid w:val="00286287"/>
    <w:rsid w:val="002878D2"/>
    <w:rsid w:val="00287A4E"/>
    <w:rsid w:val="00287A72"/>
    <w:rsid w:val="00287D88"/>
    <w:rsid w:val="0029016E"/>
    <w:rsid w:val="00291451"/>
    <w:rsid w:val="00291491"/>
    <w:rsid w:val="002916C6"/>
    <w:rsid w:val="00291951"/>
    <w:rsid w:val="00291F28"/>
    <w:rsid w:val="00292233"/>
    <w:rsid w:val="00292395"/>
    <w:rsid w:val="002934F1"/>
    <w:rsid w:val="00294431"/>
    <w:rsid w:val="002947B2"/>
    <w:rsid w:val="00294A0B"/>
    <w:rsid w:val="00294A52"/>
    <w:rsid w:val="00295457"/>
    <w:rsid w:val="002962D0"/>
    <w:rsid w:val="0029636A"/>
    <w:rsid w:val="0029642E"/>
    <w:rsid w:val="002967B3"/>
    <w:rsid w:val="00296A51"/>
    <w:rsid w:val="00296C1B"/>
    <w:rsid w:val="002970DC"/>
    <w:rsid w:val="002973B2"/>
    <w:rsid w:val="0029788B"/>
    <w:rsid w:val="00297EF1"/>
    <w:rsid w:val="002A095E"/>
    <w:rsid w:val="002A0A74"/>
    <w:rsid w:val="002A12E3"/>
    <w:rsid w:val="002A1E2A"/>
    <w:rsid w:val="002A1EF2"/>
    <w:rsid w:val="002A2015"/>
    <w:rsid w:val="002A2D47"/>
    <w:rsid w:val="002A3676"/>
    <w:rsid w:val="002A3C2E"/>
    <w:rsid w:val="002A3F0C"/>
    <w:rsid w:val="002A5B71"/>
    <w:rsid w:val="002A5DC8"/>
    <w:rsid w:val="002A5F4A"/>
    <w:rsid w:val="002A6303"/>
    <w:rsid w:val="002A6460"/>
    <w:rsid w:val="002A6BAF"/>
    <w:rsid w:val="002A6EBD"/>
    <w:rsid w:val="002A70BA"/>
    <w:rsid w:val="002A79F2"/>
    <w:rsid w:val="002A7C27"/>
    <w:rsid w:val="002A7F6D"/>
    <w:rsid w:val="002B0317"/>
    <w:rsid w:val="002B0A8D"/>
    <w:rsid w:val="002B0B5C"/>
    <w:rsid w:val="002B0C85"/>
    <w:rsid w:val="002B1434"/>
    <w:rsid w:val="002B1481"/>
    <w:rsid w:val="002B1AD0"/>
    <w:rsid w:val="002B1EF6"/>
    <w:rsid w:val="002B1F94"/>
    <w:rsid w:val="002B2A16"/>
    <w:rsid w:val="002B2BE5"/>
    <w:rsid w:val="002B3197"/>
    <w:rsid w:val="002B3609"/>
    <w:rsid w:val="002B3621"/>
    <w:rsid w:val="002B3833"/>
    <w:rsid w:val="002B3A22"/>
    <w:rsid w:val="002B3A5F"/>
    <w:rsid w:val="002B4D8F"/>
    <w:rsid w:val="002B4E1B"/>
    <w:rsid w:val="002B4E24"/>
    <w:rsid w:val="002B4E50"/>
    <w:rsid w:val="002B5345"/>
    <w:rsid w:val="002B55F7"/>
    <w:rsid w:val="002B5679"/>
    <w:rsid w:val="002B577A"/>
    <w:rsid w:val="002B59F6"/>
    <w:rsid w:val="002B5CEB"/>
    <w:rsid w:val="002B5F4B"/>
    <w:rsid w:val="002B6227"/>
    <w:rsid w:val="002B6960"/>
    <w:rsid w:val="002B6A0D"/>
    <w:rsid w:val="002B715E"/>
    <w:rsid w:val="002B7B16"/>
    <w:rsid w:val="002C00B9"/>
    <w:rsid w:val="002C068F"/>
    <w:rsid w:val="002C132F"/>
    <w:rsid w:val="002C1781"/>
    <w:rsid w:val="002C2A17"/>
    <w:rsid w:val="002C2CD9"/>
    <w:rsid w:val="002C2E41"/>
    <w:rsid w:val="002C383F"/>
    <w:rsid w:val="002C3D46"/>
    <w:rsid w:val="002C46F3"/>
    <w:rsid w:val="002C4957"/>
    <w:rsid w:val="002C4E1A"/>
    <w:rsid w:val="002C5717"/>
    <w:rsid w:val="002C57AB"/>
    <w:rsid w:val="002C6CD6"/>
    <w:rsid w:val="002C6DB9"/>
    <w:rsid w:val="002C6E2D"/>
    <w:rsid w:val="002C7882"/>
    <w:rsid w:val="002C7A73"/>
    <w:rsid w:val="002D18EB"/>
    <w:rsid w:val="002D1C71"/>
    <w:rsid w:val="002D1FC2"/>
    <w:rsid w:val="002D2061"/>
    <w:rsid w:val="002D21D9"/>
    <w:rsid w:val="002D22A0"/>
    <w:rsid w:val="002D2417"/>
    <w:rsid w:val="002D485C"/>
    <w:rsid w:val="002D4905"/>
    <w:rsid w:val="002D52D7"/>
    <w:rsid w:val="002D5543"/>
    <w:rsid w:val="002D5A72"/>
    <w:rsid w:val="002D5FA9"/>
    <w:rsid w:val="002D6D56"/>
    <w:rsid w:val="002D706E"/>
    <w:rsid w:val="002D731B"/>
    <w:rsid w:val="002D7486"/>
    <w:rsid w:val="002D7E71"/>
    <w:rsid w:val="002D7FD1"/>
    <w:rsid w:val="002E00B6"/>
    <w:rsid w:val="002E02B7"/>
    <w:rsid w:val="002E114C"/>
    <w:rsid w:val="002E1741"/>
    <w:rsid w:val="002E19EC"/>
    <w:rsid w:val="002E1B0C"/>
    <w:rsid w:val="002E1DAE"/>
    <w:rsid w:val="002E2C67"/>
    <w:rsid w:val="002E3101"/>
    <w:rsid w:val="002E32E7"/>
    <w:rsid w:val="002E33D7"/>
    <w:rsid w:val="002E340B"/>
    <w:rsid w:val="002E3E70"/>
    <w:rsid w:val="002E3E71"/>
    <w:rsid w:val="002E462A"/>
    <w:rsid w:val="002E4AD5"/>
    <w:rsid w:val="002E57F8"/>
    <w:rsid w:val="002E58A3"/>
    <w:rsid w:val="002E5FEA"/>
    <w:rsid w:val="002E62C2"/>
    <w:rsid w:val="002E662E"/>
    <w:rsid w:val="002E6FB0"/>
    <w:rsid w:val="002E78EA"/>
    <w:rsid w:val="002E7A9D"/>
    <w:rsid w:val="002E7EB6"/>
    <w:rsid w:val="002F00C8"/>
    <w:rsid w:val="002F0ADA"/>
    <w:rsid w:val="002F0B51"/>
    <w:rsid w:val="002F0B98"/>
    <w:rsid w:val="002F0D4A"/>
    <w:rsid w:val="002F0E86"/>
    <w:rsid w:val="002F0ECF"/>
    <w:rsid w:val="002F1578"/>
    <w:rsid w:val="002F1A94"/>
    <w:rsid w:val="002F1B67"/>
    <w:rsid w:val="002F1EA0"/>
    <w:rsid w:val="002F2E77"/>
    <w:rsid w:val="002F2F7D"/>
    <w:rsid w:val="002F32F9"/>
    <w:rsid w:val="002F347A"/>
    <w:rsid w:val="002F3A88"/>
    <w:rsid w:val="002F4092"/>
    <w:rsid w:val="002F4362"/>
    <w:rsid w:val="002F480F"/>
    <w:rsid w:val="002F49F4"/>
    <w:rsid w:val="002F59A7"/>
    <w:rsid w:val="002F5AAE"/>
    <w:rsid w:val="002F5D82"/>
    <w:rsid w:val="002F5D99"/>
    <w:rsid w:val="002F5DCA"/>
    <w:rsid w:val="002F6824"/>
    <w:rsid w:val="002F6AEB"/>
    <w:rsid w:val="002F6C92"/>
    <w:rsid w:val="002F6CB3"/>
    <w:rsid w:val="002F6D4E"/>
    <w:rsid w:val="002F7148"/>
    <w:rsid w:val="002F7290"/>
    <w:rsid w:val="002F73C3"/>
    <w:rsid w:val="002F750B"/>
    <w:rsid w:val="002F78E3"/>
    <w:rsid w:val="00300315"/>
    <w:rsid w:val="00300E9E"/>
    <w:rsid w:val="00300F3F"/>
    <w:rsid w:val="00301433"/>
    <w:rsid w:val="0030160C"/>
    <w:rsid w:val="00302312"/>
    <w:rsid w:val="00302B4C"/>
    <w:rsid w:val="00302C5F"/>
    <w:rsid w:val="00302D8F"/>
    <w:rsid w:val="0030304C"/>
    <w:rsid w:val="0030556A"/>
    <w:rsid w:val="00305886"/>
    <w:rsid w:val="00305FCA"/>
    <w:rsid w:val="00306533"/>
    <w:rsid w:val="00306859"/>
    <w:rsid w:val="003068C9"/>
    <w:rsid w:val="0030697E"/>
    <w:rsid w:val="00307701"/>
    <w:rsid w:val="00307AC8"/>
    <w:rsid w:val="003102FF"/>
    <w:rsid w:val="00311319"/>
    <w:rsid w:val="00311822"/>
    <w:rsid w:val="00311883"/>
    <w:rsid w:val="003118CD"/>
    <w:rsid w:val="00311C35"/>
    <w:rsid w:val="0031252B"/>
    <w:rsid w:val="00312C88"/>
    <w:rsid w:val="00312C8B"/>
    <w:rsid w:val="00313101"/>
    <w:rsid w:val="0031373C"/>
    <w:rsid w:val="00313AAA"/>
    <w:rsid w:val="00314438"/>
    <w:rsid w:val="00315340"/>
    <w:rsid w:val="00315829"/>
    <w:rsid w:val="00316558"/>
    <w:rsid w:val="00316848"/>
    <w:rsid w:val="00316D3B"/>
    <w:rsid w:val="00316FB4"/>
    <w:rsid w:val="0031732E"/>
    <w:rsid w:val="003173F7"/>
    <w:rsid w:val="003179F3"/>
    <w:rsid w:val="00317E54"/>
    <w:rsid w:val="00317FD9"/>
    <w:rsid w:val="0032016B"/>
    <w:rsid w:val="00320DBB"/>
    <w:rsid w:val="00320E51"/>
    <w:rsid w:val="00321ACB"/>
    <w:rsid w:val="00321E27"/>
    <w:rsid w:val="003229B9"/>
    <w:rsid w:val="00322AD6"/>
    <w:rsid w:val="00323D98"/>
    <w:rsid w:val="00324060"/>
    <w:rsid w:val="00325199"/>
    <w:rsid w:val="003265F9"/>
    <w:rsid w:val="003266E9"/>
    <w:rsid w:val="0032688A"/>
    <w:rsid w:val="00326B02"/>
    <w:rsid w:val="00326C89"/>
    <w:rsid w:val="00327A2C"/>
    <w:rsid w:val="00327D25"/>
    <w:rsid w:val="00327F4B"/>
    <w:rsid w:val="003305B4"/>
    <w:rsid w:val="003309D6"/>
    <w:rsid w:val="00330AB2"/>
    <w:rsid w:val="00330D79"/>
    <w:rsid w:val="0033113A"/>
    <w:rsid w:val="003312CC"/>
    <w:rsid w:val="00332148"/>
    <w:rsid w:val="0033294B"/>
    <w:rsid w:val="00332A30"/>
    <w:rsid w:val="00332A94"/>
    <w:rsid w:val="00332D81"/>
    <w:rsid w:val="00333D59"/>
    <w:rsid w:val="00333DA2"/>
    <w:rsid w:val="00333F96"/>
    <w:rsid w:val="00334612"/>
    <w:rsid w:val="0033466C"/>
    <w:rsid w:val="00334F87"/>
    <w:rsid w:val="00335DBC"/>
    <w:rsid w:val="00335DD6"/>
    <w:rsid w:val="00335F07"/>
    <w:rsid w:val="0033668F"/>
    <w:rsid w:val="003369CF"/>
    <w:rsid w:val="00336B9B"/>
    <w:rsid w:val="00336EC9"/>
    <w:rsid w:val="00337647"/>
    <w:rsid w:val="003403F1"/>
    <w:rsid w:val="00340BA8"/>
    <w:rsid w:val="00340D9F"/>
    <w:rsid w:val="003415E8"/>
    <w:rsid w:val="003417DD"/>
    <w:rsid w:val="0034192A"/>
    <w:rsid w:val="00342413"/>
    <w:rsid w:val="003425C5"/>
    <w:rsid w:val="0034288A"/>
    <w:rsid w:val="00343000"/>
    <w:rsid w:val="003434F2"/>
    <w:rsid w:val="0034351A"/>
    <w:rsid w:val="00343573"/>
    <w:rsid w:val="0034364C"/>
    <w:rsid w:val="003437B6"/>
    <w:rsid w:val="00343DA0"/>
    <w:rsid w:val="00344658"/>
    <w:rsid w:val="00344B08"/>
    <w:rsid w:val="00345863"/>
    <w:rsid w:val="00345ED0"/>
    <w:rsid w:val="00346091"/>
    <w:rsid w:val="00346255"/>
    <w:rsid w:val="00346414"/>
    <w:rsid w:val="003466A5"/>
    <w:rsid w:val="003468AD"/>
    <w:rsid w:val="0034690A"/>
    <w:rsid w:val="003470C5"/>
    <w:rsid w:val="003477DF"/>
    <w:rsid w:val="00347AD4"/>
    <w:rsid w:val="00347B56"/>
    <w:rsid w:val="00347B6F"/>
    <w:rsid w:val="00350BA2"/>
    <w:rsid w:val="00351280"/>
    <w:rsid w:val="00351B53"/>
    <w:rsid w:val="00351C87"/>
    <w:rsid w:val="003521A2"/>
    <w:rsid w:val="00352529"/>
    <w:rsid w:val="00352618"/>
    <w:rsid w:val="00352990"/>
    <w:rsid w:val="00353052"/>
    <w:rsid w:val="00353268"/>
    <w:rsid w:val="00353E8C"/>
    <w:rsid w:val="00354234"/>
    <w:rsid w:val="00354474"/>
    <w:rsid w:val="00354842"/>
    <w:rsid w:val="0035499C"/>
    <w:rsid w:val="00354D11"/>
    <w:rsid w:val="00354FCB"/>
    <w:rsid w:val="003555B4"/>
    <w:rsid w:val="00355652"/>
    <w:rsid w:val="0035574C"/>
    <w:rsid w:val="00356510"/>
    <w:rsid w:val="0035676E"/>
    <w:rsid w:val="003567DE"/>
    <w:rsid w:val="00356A2C"/>
    <w:rsid w:val="00356ADC"/>
    <w:rsid w:val="00356B63"/>
    <w:rsid w:val="003577E9"/>
    <w:rsid w:val="00357C88"/>
    <w:rsid w:val="003603BF"/>
    <w:rsid w:val="00360705"/>
    <w:rsid w:val="00360B18"/>
    <w:rsid w:val="00360F29"/>
    <w:rsid w:val="003610EC"/>
    <w:rsid w:val="00361A99"/>
    <w:rsid w:val="003636D7"/>
    <w:rsid w:val="003640BC"/>
    <w:rsid w:val="00364206"/>
    <w:rsid w:val="00364871"/>
    <w:rsid w:val="0036525A"/>
    <w:rsid w:val="003652C9"/>
    <w:rsid w:val="003653A8"/>
    <w:rsid w:val="00365F79"/>
    <w:rsid w:val="00366577"/>
    <w:rsid w:val="00366933"/>
    <w:rsid w:val="00366B92"/>
    <w:rsid w:val="00366C7F"/>
    <w:rsid w:val="00366FF3"/>
    <w:rsid w:val="003672BC"/>
    <w:rsid w:val="003707AC"/>
    <w:rsid w:val="00370912"/>
    <w:rsid w:val="00370982"/>
    <w:rsid w:val="00370F2F"/>
    <w:rsid w:val="0037139D"/>
    <w:rsid w:val="00371DD6"/>
    <w:rsid w:val="003723DB"/>
    <w:rsid w:val="00372551"/>
    <w:rsid w:val="00372574"/>
    <w:rsid w:val="00372C41"/>
    <w:rsid w:val="00372E6A"/>
    <w:rsid w:val="00373168"/>
    <w:rsid w:val="0037363E"/>
    <w:rsid w:val="0037374E"/>
    <w:rsid w:val="00373AA2"/>
    <w:rsid w:val="00373D00"/>
    <w:rsid w:val="00374A7F"/>
    <w:rsid w:val="00374B76"/>
    <w:rsid w:val="003753F0"/>
    <w:rsid w:val="00375B98"/>
    <w:rsid w:val="00375E5C"/>
    <w:rsid w:val="00376397"/>
    <w:rsid w:val="00376589"/>
    <w:rsid w:val="00376A3C"/>
    <w:rsid w:val="003774A1"/>
    <w:rsid w:val="00377839"/>
    <w:rsid w:val="0038072B"/>
    <w:rsid w:val="00381177"/>
    <w:rsid w:val="0038134B"/>
    <w:rsid w:val="00381EE3"/>
    <w:rsid w:val="00382768"/>
    <w:rsid w:val="00382D7E"/>
    <w:rsid w:val="003838FE"/>
    <w:rsid w:val="00383939"/>
    <w:rsid w:val="0038479F"/>
    <w:rsid w:val="0038524B"/>
    <w:rsid w:val="00385644"/>
    <w:rsid w:val="00385B8F"/>
    <w:rsid w:val="003861CB"/>
    <w:rsid w:val="00386466"/>
    <w:rsid w:val="00386520"/>
    <w:rsid w:val="00386A51"/>
    <w:rsid w:val="00386DDB"/>
    <w:rsid w:val="00386F5D"/>
    <w:rsid w:val="003877C2"/>
    <w:rsid w:val="0038781B"/>
    <w:rsid w:val="00387CF6"/>
    <w:rsid w:val="00390D0E"/>
    <w:rsid w:val="00391126"/>
    <w:rsid w:val="003913AE"/>
    <w:rsid w:val="003914CA"/>
    <w:rsid w:val="00391F98"/>
    <w:rsid w:val="003927B5"/>
    <w:rsid w:val="00393426"/>
    <w:rsid w:val="00394146"/>
    <w:rsid w:val="00394173"/>
    <w:rsid w:val="00394A1F"/>
    <w:rsid w:val="00394CB6"/>
    <w:rsid w:val="00395384"/>
    <w:rsid w:val="0039540F"/>
    <w:rsid w:val="00396988"/>
    <w:rsid w:val="00396B77"/>
    <w:rsid w:val="00396E26"/>
    <w:rsid w:val="0039774F"/>
    <w:rsid w:val="00397F17"/>
    <w:rsid w:val="003A00A6"/>
    <w:rsid w:val="003A03BF"/>
    <w:rsid w:val="003A07A9"/>
    <w:rsid w:val="003A0AB1"/>
    <w:rsid w:val="003A166A"/>
    <w:rsid w:val="003A2C8E"/>
    <w:rsid w:val="003A2EB6"/>
    <w:rsid w:val="003A3DE6"/>
    <w:rsid w:val="003A47BD"/>
    <w:rsid w:val="003A47D5"/>
    <w:rsid w:val="003A4936"/>
    <w:rsid w:val="003A4BB3"/>
    <w:rsid w:val="003A4FBC"/>
    <w:rsid w:val="003A54B2"/>
    <w:rsid w:val="003A5B12"/>
    <w:rsid w:val="003A67E6"/>
    <w:rsid w:val="003A6E66"/>
    <w:rsid w:val="003A72B0"/>
    <w:rsid w:val="003B00E4"/>
    <w:rsid w:val="003B09A2"/>
    <w:rsid w:val="003B0F47"/>
    <w:rsid w:val="003B20BA"/>
    <w:rsid w:val="003B2E01"/>
    <w:rsid w:val="003B3264"/>
    <w:rsid w:val="003B4131"/>
    <w:rsid w:val="003B4825"/>
    <w:rsid w:val="003B48AD"/>
    <w:rsid w:val="003B49C2"/>
    <w:rsid w:val="003B4E90"/>
    <w:rsid w:val="003B5B1B"/>
    <w:rsid w:val="003B5B6C"/>
    <w:rsid w:val="003B6488"/>
    <w:rsid w:val="003B756D"/>
    <w:rsid w:val="003B7BB5"/>
    <w:rsid w:val="003B7C4F"/>
    <w:rsid w:val="003C029A"/>
    <w:rsid w:val="003C0B0C"/>
    <w:rsid w:val="003C0B5E"/>
    <w:rsid w:val="003C0CC3"/>
    <w:rsid w:val="003C0F4E"/>
    <w:rsid w:val="003C13B8"/>
    <w:rsid w:val="003C18E8"/>
    <w:rsid w:val="003C1DF3"/>
    <w:rsid w:val="003C2033"/>
    <w:rsid w:val="003C2CD1"/>
    <w:rsid w:val="003C35ED"/>
    <w:rsid w:val="003C3ABE"/>
    <w:rsid w:val="003C3AE7"/>
    <w:rsid w:val="003C3CB1"/>
    <w:rsid w:val="003C3D45"/>
    <w:rsid w:val="003C41BA"/>
    <w:rsid w:val="003C49CB"/>
    <w:rsid w:val="003C525D"/>
    <w:rsid w:val="003C527D"/>
    <w:rsid w:val="003C54AF"/>
    <w:rsid w:val="003C591E"/>
    <w:rsid w:val="003C5DB5"/>
    <w:rsid w:val="003C5DEB"/>
    <w:rsid w:val="003C6449"/>
    <w:rsid w:val="003C6468"/>
    <w:rsid w:val="003C6AA9"/>
    <w:rsid w:val="003D09F4"/>
    <w:rsid w:val="003D1D7B"/>
    <w:rsid w:val="003D2576"/>
    <w:rsid w:val="003D2DE5"/>
    <w:rsid w:val="003D318B"/>
    <w:rsid w:val="003D32B2"/>
    <w:rsid w:val="003D3ADA"/>
    <w:rsid w:val="003D3E64"/>
    <w:rsid w:val="003D4659"/>
    <w:rsid w:val="003D473D"/>
    <w:rsid w:val="003D5746"/>
    <w:rsid w:val="003D5D72"/>
    <w:rsid w:val="003D699F"/>
    <w:rsid w:val="003D73F3"/>
    <w:rsid w:val="003D7B48"/>
    <w:rsid w:val="003E0041"/>
    <w:rsid w:val="003E0431"/>
    <w:rsid w:val="003E04F1"/>
    <w:rsid w:val="003E0584"/>
    <w:rsid w:val="003E060E"/>
    <w:rsid w:val="003E087D"/>
    <w:rsid w:val="003E0A49"/>
    <w:rsid w:val="003E1205"/>
    <w:rsid w:val="003E1376"/>
    <w:rsid w:val="003E1574"/>
    <w:rsid w:val="003E17DF"/>
    <w:rsid w:val="003E2002"/>
    <w:rsid w:val="003E2633"/>
    <w:rsid w:val="003E2C89"/>
    <w:rsid w:val="003E2E5A"/>
    <w:rsid w:val="003E3129"/>
    <w:rsid w:val="003E3371"/>
    <w:rsid w:val="003E36D1"/>
    <w:rsid w:val="003E38B4"/>
    <w:rsid w:val="003E55DC"/>
    <w:rsid w:val="003E5E6C"/>
    <w:rsid w:val="003E6142"/>
    <w:rsid w:val="003E621E"/>
    <w:rsid w:val="003E697D"/>
    <w:rsid w:val="003E6D31"/>
    <w:rsid w:val="003F05EE"/>
    <w:rsid w:val="003F1389"/>
    <w:rsid w:val="003F158B"/>
    <w:rsid w:val="003F1B7B"/>
    <w:rsid w:val="003F2A29"/>
    <w:rsid w:val="003F2A2D"/>
    <w:rsid w:val="003F2DF3"/>
    <w:rsid w:val="003F3057"/>
    <w:rsid w:val="003F3B85"/>
    <w:rsid w:val="003F3D5F"/>
    <w:rsid w:val="003F3E5B"/>
    <w:rsid w:val="003F4596"/>
    <w:rsid w:val="003F50F3"/>
    <w:rsid w:val="003F5829"/>
    <w:rsid w:val="003F5C99"/>
    <w:rsid w:val="003F5E03"/>
    <w:rsid w:val="003F5EAC"/>
    <w:rsid w:val="003F62E3"/>
    <w:rsid w:val="003F6654"/>
    <w:rsid w:val="0040003C"/>
    <w:rsid w:val="0040056F"/>
    <w:rsid w:val="00400BEA"/>
    <w:rsid w:val="0040138E"/>
    <w:rsid w:val="004019B4"/>
    <w:rsid w:val="004021A8"/>
    <w:rsid w:val="0040233A"/>
    <w:rsid w:val="0040242D"/>
    <w:rsid w:val="004026EA"/>
    <w:rsid w:val="0040271D"/>
    <w:rsid w:val="0040299D"/>
    <w:rsid w:val="00402E43"/>
    <w:rsid w:val="004030B3"/>
    <w:rsid w:val="004031CE"/>
    <w:rsid w:val="004032C6"/>
    <w:rsid w:val="00403A21"/>
    <w:rsid w:val="00403B38"/>
    <w:rsid w:val="00405B16"/>
    <w:rsid w:val="00405F8B"/>
    <w:rsid w:val="0040603A"/>
    <w:rsid w:val="00406A3B"/>
    <w:rsid w:val="00406BC0"/>
    <w:rsid w:val="004100D8"/>
    <w:rsid w:val="00410217"/>
    <w:rsid w:val="00410338"/>
    <w:rsid w:val="004115A2"/>
    <w:rsid w:val="00411949"/>
    <w:rsid w:val="0041203E"/>
    <w:rsid w:val="00412AB7"/>
    <w:rsid w:val="00412B80"/>
    <w:rsid w:val="00412BC0"/>
    <w:rsid w:val="00412C5B"/>
    <w:rsid w:val="00412FD1"/>
    <w:rsid w:val="004131C2"/>
    <w:rsid w:val="004133F5"/>
    <w:rsid w:val="004137B5"/>
    <w:rsid w:val="00413827"/>
    <w:rsid w:val="00413A26"/>
    <w:rsid w:val="00413D5B"/>
    <w:rsid w:val="004143D4"/>
    <w:rsid w:val="00414D29"/>
    <w:rsid w:val="00414E8E"/>
    <w:rsid w:val="00414EF7"/>
    <w:rsid w:val="00414F73"/>
    <w:rsid w:val="004152C0"/>
    <w:rsid w:val="00415AE5"/>
    <w:rsid w:val="00415BCE"/>
    <w:rsid w:val="00415C37"/>
    <w:rsid w:val="004163D0"/>
    <w:rsid w:val="00416BDE"/>
    <w:rsid w:val="00417BFB"/>
    <w:rsid w:val="00417E31"/>
    <w:rsid w:val="004209A5"/>
    <w:rsid w:val="00420D83"/>
    <w:rsid w:val="004210DD"/>
    <w:rsid w:val="004213EB"/>
    <w:rsid w:val="004217E0"/>
    <w:rsid w:val="00421C4A"/>
    <w:rsid w:val="00422842"/>
    <w:rsid w:val="00422F9B"/>
    <w:rsid w:val="00422FA2"/>
    <w:rsid w:val="004236B5"/>
    <w:rsid w:val="0042374C"/>
    <w:rsid w:val="00423A08"/>
    <w:rsid w:val="00423BD9"/>
    <w:rsid w:val="00423CFD"/>
    <w:rsid w:val="00424360"/>
    <w:rsid w:val="00424453"/>
    <w:rsid w:val="004249E1"/>
    <w:rsid w:val="00424D97"/>
    <w:rsid w:val="0042563D"/>
    <w:rsid w:val="00426A40"/>
    <w:rsid w:val="00426FFA"/>
    <w:rsid w:val="0042775B"/>
    <w:rsid w:val="00427962"/>
    <w:rsid w:val="0043054F"/>
    <w:rsid w:val="00430C80"/>
    <w:rsid w:val="0043135F"/>
    <w:rsid w:val="00431DE4"/>
    <w:rsid w:val="00432379"/>
    <w:rsid w:val="00432B67"/>
    <w:rsid w:val="00432DE2"/>
    <w:rsid w:val="0043349C"/>
    <w:rsid w:val="00433710"/>
    <w:rsid w:val="00433DD2"/>
    <w:rsid w:val="00433E5C"/>
    <w:rsid w:val="0043441E"/>
    <w:rsid w:val="00435232"/>
    <w:rsid w:val="00435C8F"/>
    <w:rsid w:val="00436282"/>
    <w:rsid w:val="00436924"/>
    <w:rsid w:val="00436D7D"/>
    <w:rsid w:val="00437413"/>
    <w:rsid w:val="004424AB"/>
    <w:rsid w:val="00442E63"/>
    <w:rsid w:val="004433C0"/>
    <w:rsid w:val="0044389F"/>
    <w:rsid w:val="004438D6"/>
    <w:rsid w:val="00443C24"/>
    <w:rsid w:val="0044425E"/>
    <w:rsid w:val="004453E5"/>
    <w:rsid w:val="00445A11"/>
    <w:rsid w:val="00446053"/>
    <w:rsid w:val="00446530"/>
    <w:rsid w:val="004467CC"/>
    <w:rsid w:val="004469EC"/>
    <w:rsid w:val="00447005"/>
    <w:rsid w:val="0044707F"/>
    <w:rsid w:val="004471E9"/>
    <w:rsid w:val="00447238"/>
    <w:rsid w:val="00447262"/>
    <w:rsid w:val="00447F85"/>
    <w:rsid w:val="0045039E"/>
    <w:rsid w:val="0045074B"/>
    <w:rsid w:val="0045081F"/>
    <w:rsid w:val="00450D7F"/>
    <w:rsid w:val="004510B0"/>
    <w:rsid w:val="00451246"/>
    <w:rsid w:val="00451260"/>
    <w:rsid w:val="004514EC"/>
    <w:rsid w:val="0045187C"/>
    <w:rsid w:val="00451CCD"/>
    <w:rsid w:val="004522DA"/>
    <w:rsid w:val="00452BC0"/>
    <w:rsid w:val="00452F0D"/>
    <w:rsid w:val="00453360"/>
    <w:rsid w:val="00454740"/>
    <w:rsid w:val="004565F0"/>
    <w:rsid w:val="0045712A"/>
    <w:rsid w:val="0045715F"/>
    <w:rsid w:val="0045717F"/>
    <w:rsid w:val="004577B1"/>
    <w:rsid w:val="00457965"/>
    <w:rsid w:val="00460745"/>
    <w:rsid w:val="00460AF1"/>
    <w:rsid w:val="00460B4C"/>
    <w:rsid w:val="00460DDC"/>
    <w:rsid w:val="0046121A"/>
    <w:rsid w:val="004616E4"/>
    <w:rsid w:val="004618BF"/>
    <w:rsid w:val="004619C5"/>
    <w:rsid w:val="0046216F"/>
    <w:rsid w:val="004622F0"/>
    <w:rsid w:val="00462757"/>
    <w:rsid w:val="00462B07"/>
    <w:rsid w:val="004633B6"/>
    <w:rsid w:val="004638D3"/>
    <w:rsid w:val="004643FF"/>
    <w:rsid w:val="004645EE"/>
    <w:rsid w:val="00464BD0"/>
    <w:rsid w:val="00464E84"/>
    <w:rsid w:val="00465F01"/>
    <w:rsid w:val="0046640A"/>
    <w:rsid w:val="00466AC1"/>
    <w:rsid w:val="00466D9C"/>
    <w:rsid w:val="00466E8E"/>
    <w:rsid w:val="004674A6"/>
    <w:rsid w:val="00467A6E"/>
    <w:rsid w:val="00470B2C"/>
    <w:rsid w:val="00470E71"/>
    <w:rsid w:val="00471034"/>
    <w:rsid w:val="00471058"/>
    <w:rsid w:val="0047131D"/>
    <w:rsid w:val="0047164F"/>
    <w:rsid w:val="00471908"/>
    <w:rsid w:val="00471C21"/>
    <w:rsid w:val="00471CE9"/>
    <w:rsid w:val="00472013"/>
    <w:rsid w:val="004724E3"/>
    <w:rsid w:val="004724E8"/>
    <w:rsid w:val="00472BA8"/>
    <w:rsid w:val="00472F3D"/>
    <w:rsid w:val="00473040"/>
    <w:rsid w:val="004733E2"/>
    <w:rsid w:val="004735DD"/>
    <w:rsid w:val="00473667"/>
    <w:rsid w:val="0047395C"/>
    <w:rsid w:val="00474A54"/>
    <w:rsid w:val="00475008"/>
    <w:rsid w:val="00475302"/>
    <w:rsid w:val="004754F6"/>
    <w:rsid w:val="00475617"/>
    <w:rsid w:val="004757D7"/>
    <w:rsid w:val="0047613D"/>
    <w:rsid w:val="004762C2"/>
    <w:rsid w:val="004768EF"/>
    <w:rsid w:val="00477083"/>
    <w:rsid w:val="00477686"/>
    <w:rsid w:val="00477A11"/>
    <w:rsid w:val="004800DD"/>
    <w:rsid w:val="004809F3"/>
    <w:rsid w:val="004810E5"/>
    <w:rsid w:val="00481D72"/>
    <w:rsid w:val="0048270A"/>
    <w:rsid w:val="00483435"/>
    <w:rsid w:val="0048376E"/>
    <w:rsid w:val="00483EE0"/>
    <w:rsid w:val="00484927"/>
    <w:rsid w:val="00484AB5"/>
    <w:rsid w:val="00484E1B"/>
    <w:rsid w:val="00484F40"/>
    <w:rsid w:val="0048569D"/>
    <w:rsid w:val="0048583E"/>
    <w:rsid w:val="00485A3E"/>
    <w:rsid w:val="00485DFF"/>
    <w:rsid w:val="00486315"/>
    <w:rsid w:val="004864E5"/>
    <w:rsid w:val="00486606"/>
    <w:rsid w:val="0048660E"/>
    <w:rsid w:val="00486775"/>
    <w:rsid w:val="00487B14"/>
    <w:rsid w:val="00490046"/>
    <w:rsid w:val="00490542"/>
    <w:rsid w:val="0049075B"/>
    <w:rsid w:val="004907E8"/>
    <w:rsid w:val="00490D18"/>
    <w:rsid w:val="004918E7"/>
    <w:rsid w:val="00492C75"/>
    <w:rsid w:val="0049331F"/>
    <w:rsid w:val="004933FD"/>
    <w:rsid w:val="00493E75"/>
    <w:rsid w:val="00494E93"/>
    <w:rsid w:val="004955B0"/>
    <w:rsid w:val="00495904"/>
    <w:rsid w:val="0049646E"/>
    <w:rsid w:val="00496867"/>
    <w:rsid w:val="00496C6B"/>
    <w:rsid w:val="0049737B"/>
    <w:rsid w:val="00497648"/>
    <w:rsid w:val="004976F3"/>
    <w:rsid w:val="00497826"/>
    <w:rsid w:val="004A0C29"/>
    <w:rsid w:val="004A0F59"/>
    <w:rsid w:val="004A15F2"/>
    <w:rsid w:val="004A1F19"/>
    <w:rsid w:val="004A22B8"/>
    <w:rsid w:val="004A2486"/>
    <w:rsid w:val="004A2939"/>
    <w:rsid w:val="004A3115"/>
    <w:rsid w:val="004A3DEC"/>
    <w:rsid w:val="004A4147"/>
    <w:rsid w:val="004A4201"/>
    <w:rsid w:val="004A46C2"/>
    <w:rsid w:val="004A4AE7"/>
    <w:rsid w:val="004A5248"/>
    <w:rsid w:val="004A54C7"/>
    <w:rsid w:val="004A5661"/>
    <w:rsid w:val="004A5C8B"/>
    <w:rsid w:val="004A5CDE"/>
    <w:rsid w:val="004A6401"/>
    <w:rsid w:val="004A66C0"/>
    <w:rsid w:val="004A70C6"/>
    <w:rsid w:val="004B001B"/>
    <w:rsid w:val="004B098F"/>
    <w:rsid w:val="004B09CE"/>
    <w:rsid w:val="004B09E8"/>
    <w:rsid w:val="004B13A6"/>
    <w:rsid w:val="004B14DA"/>
    <w:rsid w:val="004B1526"/>
    <w:rsid w:val="004B2DFB"/>
    <w:rsid w:val="004B3A20"/>
    <w:rsid w:val="004B3B0B"/>
    <w:rsid w:val="004B3BF1"/>
    <w:rsid w:val="004B46F0"/>
    <w:rsid w:val="004B4EDF"/>
    <w:rsid w:val="004B5E87"/>
    <w:rsid w:val="004B6E89"/>
    <w:rsid w:val="004B7283"/>
    <w:rsid w:val="004B7498"/>
    <w:rsid w:val="004B74EC"/>
    <w:rsid w:val="004B7935"/>
    <w:rsid w:val="004C0120"/>
    <w:rsid w:val="004C0254"/>
    <w:rsid w:val="004C0604"/>
    <w:rsid w:val="004C061F"/>
    <w:rsid w:val="004C11F7"/>
    <w:rsid w:val="004C138B"/>
    <w:rsid w:val="004C15D6"/>
    <w:rsid w:val="004C1A02"/>
    <w:rsid w:val="004C1EE0"/>
    <w:rsid w:val="004C236A"/>
    <w:rsid w:val="004C262A"/>
    <w:rsid w:val="004C2D87"/>
    <w:rsid w:val="004C2DB3"/>
    <w:rsid w:val="004C33D0"/>
    <w:rsid w:val="004C396C"/>
    <w:rsid w:val="004C3C99"/>
    <w:rsid w:val="004C413B"/>
    <w:rsid w:val="004C431B"/>
    <w:rsid w:val="004C4C64"/>
    <w:rsid w:val="004C4CD1"/>
    <w:rsid w:val="004C5733"/>
    <w:rsid w:val="004C5898"/>
    <w:rsid w:val="004C5E1F"/>
    <w:rsid w:val="004C6918"/>
    <w:rsid w:val="004C74FE"/>
    <w:rsid w:val="004C754E"/>
    <w:rsid w:val="004D015A"/>
    <w:rsid w:val="004D03A3"/>
    <w:rsid w:val="004D056C"/>
    <w:rsid w:val="004D11A7"/>
    <w:rsid w:val="004D17D7"/>
    <w:rsid w:val="004D1C64"/>
    <w:rsid w:val="004D20D7"/>
    <w:rsid w:val="004D2ABA"/>
    <w:rsid w:val="004D2DD6"/>
    <w:rsid w:val="004D322F"/>
    <w:rsid w:val="004D424E"/>
    <w:rsid w:val="004D4835"/>
    <w:rsid w:val="004D4977"/>
    <w:rsid w:val="004D4D81"/>
    <w:rsid w:val="004D57F0"/>
    <w:rsid w:val="004D5904"/>
    <w:rsid w:val="004D5BE1"/>
    <w:rsid w:val="004D5CCF"/>
    <w:rsid w:val="004D61B9"/>
    <w:rsid w:val="004D64DA"/>
    <w:rsid w:val="004D652C"/>
    <w:rsid w:val="004D656B"/>
    <w:rsid w:val="004D7A12"/>
    <w:rsid w:val="004D7EAA"/>
    <w:rsid w:val="004D7F5A"/>
    <w:rsid w:val="004E08FA"/>
    <w:rsid w:val="004E2CA4"/>
    <w:rsid w:val="004E2E74"/>
    <w:rsid w:val="004E2E9D"/>
    <w:rsid w:val="004E33D6"/>
    <w:rsid w:val="004E3C87"/>
    <w:rsid w:val="004E4222"/>
    <w:rsid w:val="004E489D"/>
    <w:rsid w:val="004E4AEC"/>
    <w:rsid w:val="004E4D35"/>
    <w:rsid w:val="004E5443"/>
    <w:rsid w:val="004E5523"/>
    <w:rsid w:val="004E5AD0"/>
    <w:rsid w:val="004E6375"/>
    <w:rsid w:val="004E65FE"/>
    <w:rsid w:val="004E6A18"/>
    <w:rsid w:val="004E6B58"/>
    <w:rsid w:val="004E6FC9"/>
    <w:rsid w:val="004F194A"/>
    <w:rsid w:val="004F1C52"/>
    <w:rsid w:val="004F2DC0"/>
    <w:rsid w:val="004F3086"/>
    <w:rsid w:val="004F30DC"/>
    <w:rsid w:val="004F31E9"/>
    <w:rsid w:val="004F3618"/>
    <w:rsid w:val="004F3E19"/>
    <w:rsid w:val="004F4AA2"/>
    <w:rsid w:val="004F562F"/>
    <w:rsid w:val="004F58D8"/>
    <w:rsid w:val="004F604E"/>
    <w:rsid w:val="004F619B"/>
    <w:rsid w:val="004F6453"/>
    <w:rsid w:val="004F667C"/>
    <w:rsid w:val="004F7057"/>
    <w:rsid w:val="004F7258"/>
    <w:rsid w:val="004F7FB8"/>
    <w:rsid w:val="005001F8"/>
    <w:rsid w:val="005007B9"/>
    <w:rsid w:val="0050119B"/>
    <w:rsid w:val="00501317"/>
    <w:rsid w:val="005013B4"/>
    <w:rsid w:val="005014CB"/>
    <w:rsid w:val="00501CB4"/>
    <w:rsid w:val="00503445"/>
    <w:rsid w:val="00503493"/>
    <w:rsid w:val="00503560"/>
    <w:rsid w:val="00503AC6"/>
    <w:rsid w:val="0050414F"/>
    <w:rsid w:val="00504241"/>
    <w:rsid w:val="00504E88"/>
    <w:rsid w:val="0050562E"/>
    <w:rsid w:val="005058D0"/>
    <w:rsid w:val="00506020"/>
    <w:rsid w:val="00506829"/>
    <w:rsid w:val="00506A39"/>
    <w:rsid w:val="00506C7E"/>
    <w:rsid w:val="00506EFD"/>
    <w:rsid w:val="00506F0A"/>
    <w:rsid w:val="0050745B"/>
    <w:rsid w:val="00507DEE"/>
    <w:rsid w:val="0051033F"/>
    <w:rsid w:val="0051034E"/>
    <w:rsid w:val="00510CC1"/>
    <w:rsid w:val="00510DCC"/>
    <w:rsid w:val="00510FC7"/>
    <w:rsid w:val="005112E5"/>
    <w:rsid w:val="00511CA5"/>
    <w:rsid w:val="0051278F"/>
    <w:rsid w:val="00512D20"/>
    <w:rsid w:val="00512F0E"/>
    <w:rsid w:val="005136BC"/>
    <w:rsid w:val="0051469F"/>
    <w:rsid w:val="005146B9"/>
    <w:rsid w:val="005158F1"/>
    <w:rsid w:val="00515D25"/>
    <w:rsid w:val="00516916"/>
    <w:rsid w:val="00517164"/>
    <w:rsid w:val="0051743B"/>
    <w:rsid w:val="0051786C"/>
    <w:rsid w:val="00520404"/>
    <w:rsid w:val="005204FC"/>
    <w:rsid w:val="00520A51"/>
    <w:rsid w:val="00520B78"/>
    <w:rsid w:val="005210E1"/>
    <w:rsid w:val="0052112B"/>
    <w:rsid w:val="00522C7C"/>
    <w:rsid w:val="00523B2B"/>
    <w:rsid w:val="00523C8C"/>
    <w:rsid w:val="005247C2"/>
    <w:rsid w:val="00524C5F"/>
    <w:rsid w:val="00524E2A"/>
    <w:rsid w:val="005250EA"/>
    <w:rsid w:val="005259E6"/>
    <w:rsid w:val="00525D75"/>
    <w:rsid w:val="00527158"/>
    <w:rsid w:val="005273C5"/>
    <w:rsid w:val="00527E75"/>
    <w:rsid w:val="00527E90"/>
    <w:rsid w:val="00530969"/>
    <w:rsid w:val="005313DB"/>
    <w:rsid w:val="005314BB"/>
    <w:rsid w:val="00531BA1"/>
    <w:rsid w:val="00532756"/>
    <w:rsid w:val="00532960"/>
    <w:rsid w:val="005329F6"/>
    <w:rsid w:val="00532F43"/>
    <w:rsid w:val="005333C3"/>
    <w:rsid w:val="00533413"/>
    <w:rsid w:val="005336A6"/>
    <w:rsid w:val="00533C8A"/>
    <w:rsid w:val="00533DCE"/>
    <w:rsid w:val="00534031"/>
    <w:rsid w:val="0053457B"/>
    <w:rsid w:val="00534DC9"/>
    <w:rsid w:val="005350B4"/>
    <w:rsid w:val="00535520"/>
    <w:rsid w:val="00535CF0"/>
    <w:rsid w:val="00535D98"/>
    <w:rsid w:val="00536176"/>
    <w:rsid w:val="0053673B"/>
    <w:rsid w:val="00536C29"/>
    <w:rsid w:val="00536E96"/>
    <w:rsid w:val="00536EB4"/>
    <w:rsid w:val="0053729C"/>
    <w:rsid w:val="005373D1"/>
    <w:rsid w:val="00537EEF"/>
    <w:rsid w:val="00540811"/>
    <w:rsid w:val="005411FC"/>
    <w:rsid w:val="00541430"/>
    <w:rsid w:val="0054146B"/>
    <w:rsid w:val="005415F0"/>
    <w:rsid w:val="00541D98"/>
    <w:rsid w:val="005425B2"/>
    <w:rsid w:val="00542953"/>
    <w:rsid w:val="00542DBF"/>
    <w:rsid w:val="00542DE3"/>
    <w:rsid w:val="00543CEE"/>
    <w:rsid w:val="005446B0"/>
    <w:rsid w:val="00544BD3"/>
    <w:rsid w:val="00545B93"/>
    <w:rsid w:val="00545BBD"/>
    <w:rsid w:val="005462E0"/>
    <w:rsid w:val="00546778"/>
    <w:rsid w:val="0054682A"/>
    <w:rsid w:val="005469C0"/>
    <w:rsid w:val="00546D50"/>
    <w:rsid w:val="00547705"/>
    <w:rsid w:val="005505C5"/>
    <w:rsid w:val="005513AB"/>
    <w:rsid w:val="0055165E"/>
    <w:rsid w:val="0055235D"/>
    <w:rsid w:val="005524E2"/>
    <w:rsid w:val="00552514"/>
    <w:rsid w:val="0055263A"/>
    <w:rsid w:val="00552641"/>
    <w:rsid w:val="0055346B"/>
    <w:rsid w:val="00554722"/>
    <w:rsid w:val="00554B2C"/>
    <w:rsid w:val="00555019"/>
    <w:rsid w:val="005555DA"/>
    <w:rsid w:val="005556C7"/>
    <w:rsid w:val="00555803"/>
    <w:rsid w:val="00555D0C"/>
    <w:rsid w:val="005571BD"/>
    <w:rsid w:val="0056033D"/>
    <w:rsid w:val="00560469"/>
    <w:rsid w:val="00560567"/>
    <w:rsid w:val="00560D6D"/>
    <w:rsid w:val="005615EB"/>
    <w:rsid w:val="00561802"/>
    <w:rsid w:val="00561E3D"/>
    <w:rsid w:val="005624B8"/>
    <w:rsid w:val="00562C19"/>
    <w:rsid w:val="00562CF9"/>
    <w:rsid w:val="00562E45"/>
    <w:rsid w:val="00562F8F"/>
    <w:rsid w:val="005635E0"/>
    <w:rsid w:val="005648E4"/>
    <w:rsid w:val="005648FC"/>
    <w:rsid w:val="00564B82"/>
    <w:rsid w:val="005654EC"/>
    <w:rsid w:val="00565503"/>
    <w:rsid w:val="00565507"/>
    <w:rsid w:val="0056563C"/>
    <w:rsid w:val="0056563E"/>
    <w:rsid w:val="005659FC"/>
    <w:rsid w:val="00565AF5"/>
    <w:rsid w:val="00565CFC"/>
    <w:rsid w:val="00565E22"/>
    <w:rsid w:val="005660E9"/>
    <w:rsid w:val="0056624D"/>
    <w:rsid w:val="00566E61"/>
    <w:rsid w:val="005672DC"/>
    <w:rsid w:val="00567447"/>
    <w:rsid w:val="00567616"/>
    <w:rsid w:val="0056789E"/>
    <w:rsid w:val="00567AB5"/>
    <w:rsid w:val="00567CA1"/>
    <w:rsid w:val="00570593"/>
    <w:rsid w:val="005705F7"/>
    <w:rsid w:val="00570942"/>
    <w:rsid w:val="0057136E"/>
    <w:rsid w:val="00571400"/>
    <w:rsid w:val="0057149C"/>
    <w:rsid w:val="00571982"/>
    <w:rsid w:val="00571FE5"/>
    <w:rsid w:val="00572891"/>
    <w:rsid w:val="00572963"/>
    <w:rsid w:val="005733B1"/>
    <w:rsid w:val="005735B7"/>
    <w:rsid w:val="00573806"/>
    <w:rsid w:val="0057383C"/>
    <w:rsid w:val="005740AC"/>
    <w:rsid w:val="0057487B"/>
    <w:rsid w:val="00575AB6"/>
    <w:rsid w:val="00575DA2"/>
    <w:rsid w:val="005769CF"/>
    <w:rsid w:val="00576BF1"/>
    <w:rsid w:val="005774F5"/>
    <w:rsid w:val="00577726"/>
    <w:rsid w:val="005778E3"/>
    <w:rsid w:val="00577992"/>
    <w:rsid w:val="005779D7"/>
    <w:rsid w:val="00577D13"/>
    <w:rsid w:val="00580046"/>
    <w:rsid w:val="005801DA"/>
    <w:rsid w:val="00580236"/>
    <w:rsid w:val="00580413"/>
    <w:rsid w:val="00580BDA"/>
    <w:rsid w:val="00580C28"/>
    <w:rsid w:val="005812D1"/>
    <w:rsid w:val="00581F11"/>
    <w:rsid w:val="00582092"/>
    <w:rsid w:val="005824CC"/>
    <w:rsid w:val="00582F65"/>
    <w:rsid w:val="00582FC3"/>
    <w:rsid w:val="0058439E"/>
    <w:rsid w:val="005844A1"/>
    <w:rsid w:val="0058478B"/>
    <w:rsid w:val="0058544E"/>
    <w:rsid w:val="005855C9"/>
    <w:rsid w:val="00585CC2"/>
    <w:rsid w:val="00585D21"/>
    <w:rsid w:val="005860AE"/>
    <w:rsid w:val="005860C2"/>
    <w:rsid w:val="0058625B"/>
    <w:rsid w:val="005862B4"/>
    <w:rsid w:val="00586504"/>
    <w:rsid w:val="005867F2"/>
    <w:rsid w:val="00586DA1"/>
    <w:rsid w:val="00586DC9"/>
    <w:rsid w:val="0058717D"/>
    <w:rsid w:val="0058720E"/>
    <w:rsid w:val="00587705"/>
    <w:rsid w:val="00587ED0"/>
    <w:rsid w:val="00590549"/>
    <w:rsid w:val="0059073B"/>
    <w:rsid w:val="005908F2"/>
    <w:rsid w:val="00590FC8"/>
    <w:rsid w:val="00591324"/>
    <w:rsid w:val="00591550"/>
    <w:rsid w:val="005916EE"/>
    <w:rsid w:val="00592150"/>
    <w:rsid w:val="00592387"/>
    <w:rsid w:val="005924B4"/>
    <w:rsid w:val="0059340D"/>
    <w:rsid w:val="00593632"/>
    <w:rsid w:val="00593780"/>
    <w:rsid w:val="00594B1B"/>
    <w:rsid w:val="00594E9B"/>
    <w:rsid w:val="00595146"/>
    <w:rsid w:val="00595554"/>
    <w:rsid w:val="00595BC3"/>
    <w:rsid w:val="00597210"/>
    <w:rsid w:val="005973F4"/>
    <w:rsid w:val="005976D7"/>
    <w:rsid w:val="00597A69"/>
    <w:rsid w:val="00597E88"/>
    <w:rsid w:val="005A0089"/>
    <w:rsid w:val="005A02D1"/>
    <w:rsid w:val="005A088B"/>
    <w:rsid w:val="005A0B0A"/>
    <w:rsid w:val="005A1102"/>
    <w:rsid w:val="005A129E"/>
    <w:rsid w:val="005A20B4"/>
    <w:rsid w:val="005A20E6"/>
    <w:rsid w:val="005A213C"/>
    <w:rsid w:val="005A23AE"/>
    <w:rsid w:val="005A3DCB"/>
    <w:rsid w:val="005A3F40"/>
    <w:rsid w:val="005A3F4E"/>
    <w:rsid w:val="005A3FED"/>
    <w:rsid w:val="005A4595"/>
    <w:rsid w:val="005A47FE"/>
    <w:rsid w:val="005A56F2"/>
    <w:rsid w:val="005A5A7C"/>
    <w:rsid w:val="005A5B88"/>
    <w:rsid w:val="005A5E2E"/>
    <w:rsid w:val="005A5E91"/>
    <w:rsid w:val="005A6010"/>
    <w:rsid w:val="005A6114"/>
    <w:rsid w:val="005A6814"/>
    <w:rsid w:val="005A6A32"/>
    <w:rsid w:val="005A6ECA"/>
    <w:rsid w:val="005A6FF5"/>
    <w:rsid w:val="005A791C"/>
    <w:rsid w:val="005A7A94"/>
    <w:rsid w:val="005B01F5"/>
    <w:rsid w:val="005B0384"/>
    <w:rsid w:val="005B07A5"/>
    <w:rsid w:val="005B0BB6"/>
    <w:rsid w:val="005B11D2"/>
    <w:rsid w:val="005B1248"/>
    <w:rsid w:val="005B12BE"/>
    <w:rsid w:val="005B211D"/>
    <w:rsid w:val="005B22DA"/>
    <w:rsid w:val="005B2DCE"/>
    <w:rsid w:val="005B34CC"/>
    <w:rsid w:val="005B398E"/>
    <w:rsid w:val="005B3AB1"/>
    <w:rsid w:val="005B4B1D"/>
    <w:rsid w:val="005B4DCD"/>
    <w:rsid w:val="005B5865"/>
    <w:rsid w:val="005B5E94"/>
    <w:rsid w:val="005B62F0"/>
    <w:rsid w:val="005B65ED"/>
    <w:rsid w:val="005B662A"/>
    <w:rsid w:val="005B6FF1"/>
    <w:rsid w:val="005C0A82"/>
    <w:rsid w:val="005C0CFF"/>
    <w:rsid w:val="005C1566"/>
    <w:rsid w:val="005C1C7F"/>
    <w:rsid w:val="005C1E34"/>
    <w:rsid w:val="005C27D4"/>
    <w:rsid w:val="005C2F89"/>
    <w:rsid w:val="005C32C2"/>
    <w:rsid w:val="005C34F0"/>
    <w:rsid w:val="005C42F6"/>
    <w:rsid w:val="005C43D0"/>
    <w:rsid w:val="005C534E"/>
    <w:rsid w:val="005C5C2D"/>
    <w:rsid w:val="005C5F62"/>
    <w:rsid w:val="005C60B0"/>
    <w:rsid w:val="005C6428"/>
    <w:rsid w:val="005C6465"/>
    <w:rsid w:val="005C65F5"/>
    <w:rsid w:val="005C6690"/>
    <w:rsid w:val="005C6720"/>
    <w:rsid w:val="005C687D"/>
    <w:rsid w:val="005C7A90"/>
    <w:rsid w:val="005D00AD"/>
    <w:rsid w:val="005D012E"/>
    <w:rsid w:val="005D071C"/>
    <w:rsid w:val="005D089E"/>
    <w:rsid w:val="005D0B57"/>
    <w:rsid w:val="005D1BF6"/>
    <w:rsid w:val="005D1E47"/>
    <w:rsid w:val="005D1F41"/>
    <w:rsid w:val="005D267A"/>
    <w:rsid w:val="005D2A3C"/>
    <w:rsid w:val="005D2F9C"/>
    <w:rsid w:val="005D303B"/>
    <w:rsid w:val="005D30EE"/>
    <w:rsid w:val="005D31F7"/>
    <w:rsid w:val="005D3681"/>
    <w:rsid w:val="005D4646"/>
    <w:rsid w:val="005D47BA"/>
    <w:rsid w:val="005D4E41"/>
    <w:rsid w:val="005D5047"/>
    <w:rsid w:val="005D5061"/>
    <w:rsid w:val="005D6196"/>
    <w:rsid w:val="005D7F6F"/>
    <w:rsid w:val="005E05BA"/>
    <w:rsid w:val="005E05E5"/>
    <w:rsid w:val="005E1A0F"/>
    <w:rsid w:val="005E1E5E"/>
    <w:rsid w:val="005E21B0"/>
    <w:rsid w:val="005E2A6E"/>
    <w:rsid w:val="005E2D3C"/>
    <w:rsid w:val="005E2F93"/>
    <w:rsid w:val="005E337E"/>
    <w:rsid w:val="005E350D"/>
    <w:rsid w:val="005E3E8B"/>
    <w:rsid w:val="005E3F9E"/>
    <w:rsid w:val="005E45E4"/>
    <w:rsid w:val="005E5D0E"/>
    <w:rsid w:val="005E5E46"/>
    <w:rsid w:val="005E5EEC"/>
    <w:rsid w:val="005E62D2"/>
    <w:rsid w:val="005E69AD"/>
    <w:rsid w:val="005E6C35"/>
    <w:rsid w:val="005E6E14"/>
    <w:rsid w:val="005E7A15"/>
    <w:rsid w:val="005F0227"/>
    <w:rsid w:val="005F0756"/>
    <w:rsid w:val="005F0AA4"/>
    <w:rsid w:val="005F158A"/>
    <w:rsid w:val="005F18D4"/>
    <w:rsid w:val="005F1BCB"/>
    <w:rsid w:val="005F1D5D"/>
    <w:rsid w:val="005F280A"/>
    <w:rsid w:val="005F2C56"/>
    <w:rsid w:val="005F2F9D"/>
    <w:rsid w:val="005F34B8"/>
    <w:rsid w:val="005F3D5B"/>
    <w:rsid w:val="005F3F13"/>
    <w:rsid w:val="005F41F2"/>
    <w:rsid w:val="005F44F7"/>
    <w:rsid w:val="005F4514"/>
    <w:rsid w:val="005F554D"/>
    <w:rsid w:val="005F5587"/>
    <w:rsid w:val="005F5682"/>
    <w:rsid w:val="005F5E6A"/>
    <w:rsid w:val="005F5ECA"/>
    <w:rsid w:val="005F6AB1"/>
    <w:rsid w:val="005F73F9"/>
    <w:rsid w:val="0060070A"/>
    <w:rsid w:val="006007C3"/>
    <w:rsid w:val="00600C65"/>
    <w:rsid w:val="00600F41"/>
    <w:rsid w:val="006010EA"/>
    <w:rsid w:val="00601F9E"/>
    <w:rsid w:val="006023A0"/>
    <w:rsid w:val="00602A00"/>
    <w:rsid w:val="0060337A"/>
    <w:rsid w:val="00603413"/>
    <w:rsid w:val="006037A8"/>
    <w:rsid w:val="00604797"/>
    <w:rsid w:val="006048D8"/>
    <w:rsid w:val="00604923"/>
    <w:rsid w:val="00604A8C"/>
    <w:rsid w:val="00605410"/>
    <w:rsid w:val="006055EA"/>
    <w:rsid w:val="00606442"/>
    <w:rsid w:val="00607443"/>
    <w:rsid w:val="00607564"/>
    <w:rsid w:val="00607947"/>
    <w:rsid w:val="00610BF2"/>
    <w:rsid w:val="006114B0"/>
    <w:rsid w:val="006115D4"/>
    <w:rsid w:val="006115FC"/>
    <w:rsid w:val="006116BF"/>
    <w:rsid w:val="006122FB"/>
    <w:rsid w:val="0061231C"/>
    <w:rsid w:val="006130D8"/>
    <w:rsid w:val="006145D4"/>
    <w:rsid w:val="0061461E"/>
    <w:rsid w:val="00614DC5"/>
    <w:rsid w:val="00614EB0"/>
    <w:rsid w:val="00614F24"/>
    <w:rsid w:val="00615568"/>
    <w:rsid w:val="00616057"/>
    <w:rsid w:val="00616227"/>
    <w:rsid w:val="006163C8"/>
    <w:rsid w:val="0061685C"/>
    <w:rsid w:val="006169B8"/>
    <w:rsid w:val="006172AC"/>
    <w:rsid w:val="0062000D"/>
    <w:rsid w:val="00620402"/>
    <w:rsid w:val="00620FC5"/>
    <w:rsid w:val="00621DB7"/>
    <w:rsid w:val="00621F44"/>
    <w:rsid w:val="006223B4"/>
    <w:rsid w:val="006224F3"/>
    <w:rsid w:val="006228BB"/>
    <w:rsid w:val="006229CD"/>
    <w:rsid w:val="00622AA2"/>
    <w:rsid w:val="00622DB4"/>
    <w:rsid w:val="00622E29"/>
    <w:rsid w:val="00623706"/>
    <w:rsid w:val="00623F28"/>
    <w:rsid w:val="0062466C"/>
    <w:rsid w:val="00625ED0"/>
    <w:rsid w:val="00625F28"/>
    <w:rsid w:val="00626F0F"/>
    <w:rsid w:val="006270DC"/>
    <w:rsid w:val="00627389"/>
    <w:rsid w:val="00627BCA"/>
    <w:rsid w:val="00627D45"/>
    <w:rsid w:val="00630167"/>
    <w:rsid w:val="00631236"/>
    <w:rsid w:val="0063123E"/>
    <w:rsid w:val="00631366"/>
    <w:rsid w:val="006314FB"/>
    <w:rsid w:val="00631C9C"/>
    <w:rsid w:val="006320D2"/>
    <w:rsid w:val="0063210E"/>
    <w:rsid w:val="00632291"/>
    <w:rsid w:val="006329DB"/>
    <w:rsid w:val="00632C13"/>
    <w:rsid w:val="00632D64"/>
    <w:rsid w:val="0063399C"/>
    <w:rsid w:val="00633C48"/>
    <w:rsid w:val="0063403D"/>
    <w:rsid w:val="0063437F"/>
    <w:rsid w:val="0063448F"/>
    <w:rsid w:val="00634662"/>
    <w:rsid w:val="006346F5"/>
    <w:rsid w:val="00634708"/>
    <w:rsid w:val="00634947"/>
    <w:rsid w:val="006353DA"/>
    <w:rsid w:val="00635880"/>
    <w:rsid w:val="006358A0"/>
    <w:rsid w:val="00635920"/>
    <w:rsid w:val="00635C5A"/>
    <w:rsid w:val="00635F86"/>
    <w:rsid w:val="00636184"/>
    <w:rsid w:val="006364BA"/>
    <w:rsid w:val="00636819"/>
    <w:rsid w:val="00637231"/>
    <w:rsid w:val="00637548"/>
    <w:rsid w:val="006375C4"/>
    <w:rsid w:val="00637DA9"/>
    <w:rsid w:val="00640931"/>
    <w:rsid w:val="00641E31"/>
    <w:rsid w:val="00641E8A"/>
    <w:rsid w:val="00641EDD"/>
    <w:rsid w:val="00641F70"/>
    <w:rsid w:val="00642452"/>
    <w:rsid w:val="0064248F"/>
    <w:rsid w:val="006428CC"/>
    <w:rsid w:val="00642AF6"/>
    <w:rsid w:val="00642E7D"/>
    <w:rsid w:val="00642FC2"/>
    <w:rsid w:val="00643C05"/>
    <w:rsid w:val="00644017"/>
    <w:rsid w:val="0064492D"/>
    <w:rsid w:val="00644DC5"/>
    <w:rsid w:val="0064542B"/>
    <w:rsid w:val="00645458"/>
    <w:rsid w:val="006458A9"/>
    <w:rsid w:val="00645D9C"/>
    <w:rsid w:val="00646313"/>
    <w:rsid w:val="00646349"/>
    <w:rsid w:val="00646C73"/>
    <w:rsid w:val="00646DFB"/>
    <w:rsid w:val="00647577"/>
    <w:rsid w:val="0064760A"/>
    <w:rsid w:val="0064783C"/>
    <w:rsid w:val="00647BA3"/>
    <w:rsid w:val="00647C15"/>
    <w:rsid w:val="00647C91"/>
    <w:rsid w:val="00650788"/>
    <w:rsid w:val="00650834"/>
    <w:rsid w:val="0065261B"/>
    <w:rsid w:val="006528C7"/>
    <w:rsid w:val="006529B8"/>
    <w:rsid w:val="00653081"/>
    <w:rsid w:val="0065342C"/>
    <w:rsid w:val="00653570"/>
    <w:rsid w:val="006539EC"/>
    <w:rsid w:val="00654243"/>
    <w:rsid w:val="00654C43"/>
    <w:rsid w:val="00654F4F"/>
    <w:rsid w:val="00655561"/>
    <w:rsid w:val="0065558F"/>
    <w:rsid w:val="006555D7"/>
    <w:rsid w:val="0065656A"/>
    <w:rsid w:val="00657ECA"/>
    <w:rsid w:val="00657F2A"/>
    <w:rsid w:val="0066001A"/>
    <w:rsid w:val="00660795"/>
    <w:rsid w:val="00660932"/>
    <w:rsid w:val="00660ACD"/>
    <w:rsid w:val="00660B7F"/>
    <w:rsid w:val="006617F3"/>
    <w:rsid w:val="00661C16"/>
    <w:rsid w:val="00661FBC"/>
    <w:rsid w:val="00662267"/>
    <w:rsid w:val="00662291"/>
    <w:rsid w:val="00662F99"/>
    <w:rsid w:val="0066395B"/>
    <w:rsid w:val="00663FFE"/>
    <w:rsid w:val="00664004"/>
    <w:rsid w:val="0066402E"/>
    <w:rsid w:val="00664714"/>
    <w:rsid w:val="00665157"/>
    <w:rsid w:val="006651A7"/>
    <w:rsid w:val="00665322"/>
    <w:rsid w:val="00665382"/>
    <w:rsid w:val="0066549C"/>
    <w:rsid w:val="006654E2"/>
    <w:rsid w:val="00665BAC"/>
    <w:rsid w:val="00666AA1"/>
    <w:rsid w:val="0066795E"/>
    <w:rsid w:val="00667B03"/>
    <w:rsid w:val="00670423"/>
    <w:rsid w:val="006707CB"/>
    <w:rsid w:val="0067167D"/>
    <w:rsid w:val="00671E2B"/>
    <w:rsid w:val="00672223"/>
    <w:rsid w:val="0067267F"/>
    <w:rsid w:val="00672B48"/>
    <w:rsid w:val="00672B55"/>
    <w:rsid w:val="00672BFB"/>
    <w:rsid w:val="00673B64"/>
    <w:rsid w:val="00673C5C"/>
    <w:rsid w:val="00674108"/>
    <w:rsid w:val="00674302"/>
    <w:rsid w:val="0067454E"/>
    <w:rsid w:val="00674951"/>
    <w:rsid w:val="006756F8"/>
    <w:rsid w:val="0067583F"/>
    <w:rsid w:val="006759B9"/>
    <w:rsid w:val="00676098"/>
    <w:rsid w:val="0067622F"/>
    <w:rsid w:val="00676B8F"/>
    <w:rsid w:val="00676FC8"/>
    <w:rsid w:val="0067737D"/>
    <w:rsid w:val="006777CE"/>
    <w:rsid w:val="0067792C"/>
    <w:rsid w:val="00677A44"/>
    <w:rsid w:val="00677AC5"/>
    <w:rsid w:val="00677C0C"/>
    <w:rsid w:val="0068007D"/>
    <w:rsid w:val="00680684"/>
    <w:rsid w:val="00680A34"/>
    <w:rsid w:val="00680F0F"/>
    <w:rsid w:val="006811AC"/>
    <w:rsid w:val="0068147B"/>
    <w:rsid w:val="00681630"/>
    <w:rsid w:val="0068201D"/>
    <w:rsid w:val="00682DD5"/>
    <w:rsid w:val="00682E4C"/>
    <w:rsid w:val="00683136"/>
    <w:rsid w:val="00683644"/>
    <w:rsid w:val="006836EE"/>
    <w:rsid w:val="006837AC"/>
    <w:rsid w:val="00683957"/>
    <w:rsid w:val="00683B32"/>
    <w:rsid w:val="00684214"/>
    <w:rsid w:val="006845E6"/>
    <w:rsid w:val="00684ABE"/>
    <w:rsid w:val="006853D1"/>
    <w:rsid w:val="00685658"/>
    <w:rsid w:val="0068618A"/>
    <w:rsid w:val="0068662F"/>
    <w:rsid w:val="00687434"/>
    <w:rsid w:val="006877D4"/>
    <w:rsid w:val="006879A8"/>
    <w:rsid w:val="00690225"/>
    <w:rsid w:val="00690FD7"/>
    <w:rsid w:val="0069115D"/>
    <w:rsid w:val="00691478"/>
    <w:rsid w:val="00691A90"/>
    <w:rsid w:val="00691B25"/>
    <w:rsid w:val="00693268"/>
    <w:rsid w:val="006932AD"/>
    <w:rsid w:val="0069369D"/>
    <w:rsid w:val="00693AB3"/>
    <w:rsid w:val="00693AB4"/>
    <w:rsid w:val="00693B04"/>
    <w:rsid w:val="00693BA0"/>
    <w:rsid w:val="00693CE3"/>
    <w:rsid w:val="00693E8E"/>
    <w:rsid w:val="00694046"/>
    <w:rsid w:val="00694810"/>
    <w:rsid w:val="006953AF"/>
    <w:rsid w:val="00695471"/>
    <w:rsid w:val="00696103"/>
    <w:rsid w:val="00697714"/>
    <w:rsid w:val="00697B80"/>
    <w:rsid w:val="00697EE7"/>
    <w:rsid w:val="00697F49"/>
    <w:rsid w:val="006A001C"/>
    <w:rsid w:val="006A0B45"/>
    <w:rsid w:val="006A0BA0"/>
    <w:rsid w:val="006A1ACC"/>
    <w:rsid w:val="006A1E70"/>
    <w:rsid w:val="006A21E0"/>
    <w:rsid w:val="006A23C8"/>
    <w:rsid w:val="006A24A0"/>
    <w:rsid w:val="006A2F2D"/>
    <w:rsid w:val="006A2F81"/>
    <w:rsid w:val="006A30CD"/>
    <w:rsid w:val="006A325A"/>
    <w:rsid w:val="006A363D"/>
    <w:rsid w:val="006A3804"/>
    <w:rsid w:val="006A387C"/>
    <w:rsid w:val="006A47A2"/>
    <w:rsid w:val="006A4BE9"/>
    <w:rsid w:val="006A4FE2"/>
    <w:rsid w:val="006A506C"/>
    <w:rsid w:val="006A58B9"/>
    <w:rsid w:val="006A5D85"/>
    <w:rsid w:val="006A60E3"/>
    <w:rsid w:val="006A6405"/>
    <w:rsid w:val="006A649C"/>
    <w:rsid w:val="006A68DA"/>
    <w:rsid w:val="006A6CCC"/>
    <w:rsid w:val="006A751D"/>
    <w:rsid w:val="006A7A02"/>
    <w:rsid w:val="006B0713"/>
    <w:rsid w:val="006B0E9F"/>
    <w:rsid w:val="006B26F5"/>
    <w:rsid w:val="006B2C49"/>
    <w:rsid w:val="006B2D5E"/>
    <w:rsid w:val="006B30E4"/>
    <w:rsid w:val="006B38FD"/>
    <w:rsid w:val="006B3BAA"/>
    <w:rsid w:val="006B47B7"/>
    <w:rsid w:val="006B47D5"/>
    <w:rsid w:val="006B4E29"/>
    <w:rsid w:val="006B4FE9"/>
    <w:rsid w:val="006B4FEF"/>
    <w:rsid w:val="006B5650"/>
    <w:rsid w:val="006B60EE"/>
    <w:rsid w:val="006B68E1"/>
    <w:rsid w:val="006B6C80"/>
    <w:rsid w:val="006B780D"/>
    <w:rsid w:val="006B7CDE"/>
    <w:rsid w:val="006B7FB4"/>
    <w:rsid w:val="006C041F"/>
    <w:rsid w:val="006C177D"/>
    <w:rsid w:val="006C1AB0"/>
    <w:rsid w:val="006C2CD4"/>
    <w:rsid w:val="006C31C0"/>
    <w:rsid w:val="006C37AA"/>
    <w:rsid w:val="006C4788"/>
    <w:rsid w:val="006C4790"/>
    <w:rsid w:val="006C4CA2"/>
    <w:rsid w:val="006C534F"/>
    <w:rsid w:val="006C6332"/>
    <w:rsid w:val="006D03A7"/>
    <w:rsid w:val="006D052D"/>
    <w:rsid w:val="006D0D43"/>
    <w:rsid w:val="006D0EB9"/>
    <w:rsid w:val="006D152D"/>
    <w:rsid w:val="006D15C1"/>
    <w:rsid w:val="006D15C4"/>
    <w:rsid w:val="006D197C"/>
    <w:rsid w:val="006D1D9B"/>
    <w:rsid w:val="006D238E"/>
    <w:rsid w:val="006D2496"/>
    <w:rsid w:val="006D2BAF"/>
    <w:rsid w:val="006D3484"/>
    <w:rsid w:val="006D38C7"/>
    <w:rsid w:val="006D3B78"/>
    <w:rsid w:val="006D3CB7"/>
    <w:rsid w:val="006D3E81"/>
    <w:rsid w:val="006D3F44"/>
    <w:rsid w:val="006D4470"/>
    <w:rsid w:val="006D553A"/>
    <w:rsid w:val="006D5DCB"/>
    <w:rsid w:val="006D66AF"/>
    <w:rsid w:val="006D6D43"/>
    <w:rsid w:val="006D6EF2"/>
    <w:rsid w:val="006E0749"/>
    <w:rsid w:val="006E097C"/>
    <w:rsid w:val="006E097D"/>
    <w:rsid w:val="006E113F"/>
    <w:rsid w:val="006E192E"/>
    <w:rsid w:val="006E1FA1"/>
    <w:rsid w:val="006E238C"/>
    <w:rsid w:val="006E2547"/>
    <w:rsid w:val="006E273A"/>
    <w:rsid w:val="006E286B"/>
    <w:rsid w:val="006E2968"/>
    <w:rsid w:val="006E2DBF"/>
    <w:rsid w:val="006E2FB3"/>
    <w:rsid w:val="006E3149"/>
    <w:rsid w:val="006E328C"/>
    <w:rsid w:val="006E32EA"/>
    <w:rsid w:val="006E44F4"/>
    <w:rsid w:val="006E455D"/>
    <w:rsid w:val="006E4854"/>
    <w:rsid w:val="006E5537"/>
    <w:rsid w:val="006E5A1B"/>
    <w:rsid w:val="006E5F24"/>
    <w:rsid w:val="006E653F"/>
    <w:rsid w:val="006E7616"/>
    <w:rsid w:val="006F03F3"/>
    <w:rsid w:val="006F134C"/>
    <w:rsid w:val="006F14DC"/>
    <w:rsid w:val="006F2C1F"/>
    <w:rsid w:val="006F2E1A"/>
    <w:rsid w:val="006F3417"/>
    <w:rsid w:val="006F3733"/>
    <w:rsid w:val="006F37BC"/>
    <w:rsid w:val="006F39F8"/>
    <w:rsid w:val="006F3EAE"/>
    <w:rsid w:val="006F4293"/>
    <w:rsid w:val="006F5718"/>
    <w:rsid w:val="006F5A48"/>
    <w:rsid w:val="006F5BCD"/>
    <w:rsid w:val="006F5C16"/>
    <w:rsid w:val="006F65A4"/>
    <w:rsid w:val="006F65C8"/>
    <w:rsid w:val="006F6624"/>
    <w:rsid w:val="006F68CA"/>
    <w:rsid w:val="006F6A19"/>
    <w:rsid w:val="006F7125"/>
    <w:rsid w:val="006F7250"/>
    <w:rsid w:val="006F7A9B"/>
    <w:rsid w:val="00700241"/>
    <w:rsid w:val="00700901"/>
    <w:rsid w:val="007011BD"/>
    <w:rsid w:val="007014F4"/>
    <w:rsid w:val="00701DE1"/>
    <w:rsid w:val="00703478"/>
    <w:rsid w:val="00703481"/>
    <w:rsid w:val="00703B0A"/>
    <w:rsid w:val="0070433C"/>
    <w:rsid w:val="00704F0A"/>
    <w:rsid w:val="0070517B"/>
    <w:rsid w:val="00705DE0"/>
    <w:rsid w:val="00705DF4"/>
    <w:rsid w:val="007062D5"/>
    <w:rsid w:val="00706453"/>
    <w:rsid w:val="00706833"/>
    <w:rsid w:val="00706CDE"/>
    <w:rsid w:val="00707EEF"/>
    <w:rsid w:val="007101E8"/>
    <w:rsid w:val="00710439"/>
    <w:rsid w:val="007108A9"/>
    <w:rsid w:val="0071266A"/>
    <w:rsid w:val="00712E00"/>
    <w:rsid w:val="00713D55"/>
    <w:rsid w:val="00713E74"/>
    <w:rsid w:val="00715164"/>
    <w:rsid w:val="007158C1"/>
    <w:rsid w:val="00716556"/>
    <w:rsid w:val="00716F3C"/>
    <w:rsid w:val="007177D6"/>
    <w:rsid w:val="007179D7"/>
    <w:rsid w:val="00717C29"/>
    <w:rsid w:val="00717E91"/>
    <w:rsid w:val="00717EBD"/>
    <w:rsid w:val="00717F64"/>
    <w:rsid w:val="00717FC9"/>
    <w:rsid w:val="00720800"/>
    <w:rsid w:val="00720B7F"/>
    <w:rsid w:val="00721613"/>
    <w:rsid w:val="0072164D"/>
    <w:rsid w:val="00721DDC"/>
    <w:rsid w:val="00722AD4"/>
    <w:rsid w:val="007237AB"/>
    <w:rsid w:val="00723EDA"/>
    <w:rsid w:val="0072417F"/>
    <w:rsid w:val="007243C9"/>
    <w:rsid w:val="00724A41"/>
    <w:rsid w:val="00724BC5"/>
    <w:rsid w:val="00725079"/>
    <w:rsid w:val="00725DA7"/>
    <w:rsid w:val="007264EA"/>
    <w:rsid w:val="007265F2"/>
    <w:rsid w:val="00726C81"/>
    <w:rsid w:val="00726EAD"/>
    <w:rsid w:val="007275F4"/>
    <w:rsid w:val="007278A3"/>
    <w:rsid w:val="0072798D"/>
    <w:rsid w:val="00730424"/>
    <w:rsid w:val="00730844"/>
    <w:rsid w:val="00730CAD"/>
    <w:rsid w:val="00730CB6"/>
    <w:rsid w:val="00731539"/>
    <w:rsid w:val="00731765"/>
    <w:rsid w:val="00731774"/>
    <w:rsid w:val="00731BD5"/>
    <w:rsid w:val="00732166"/>
    <w:rsid w:val="00732264"/>
    <w:rsid w:val="00732523"/>
    <w:rsid w:val="00732737"/>
    <w:rsid w:val="007336D0"/>
    <w:rsid w:val="007338B7"/>
    <w:rsid w:val="00733BA1"/>
    <w:rsid w:val="00733CBF"/>
    <w:rsid w:val="00733D86"/>
    <w:rsid w:val="0073414A"/>
    <w:rsid w:val="00734231"/>
    <w:rsid w:val="00734737"/>
    <w:rsid w:val="00734B51"/>
    <w:rsid w:val="00734BA8"/>
    <w:rsid w:val="00734BAD"/>
    <w:rsid w:val="00734D62"/>
    <w:rsid w:val="007356CD"/>
    <w:rsid w:val="00735C30"/>
    <w:rsid w:val="00735D60"/>
    <w:rsid w:val="00735F17"/>
    <w:rsid w:val="007360AB"/>
    <w:rsid w:val="00736CD0"/>
    <w:rsid w:val="00736FE3"/>
    <w:rsid w:val="0073781D"/>
    <w:rsid w:val="00737D6C"/>
    <w:rsid w:val="0074071B"/>
    <w:rsid w:val="00741460"/>
    <w:rsid w:val="007415A2"/>
    <w:rsid w:val="00741C9C"/>
    <w:rsid w:val="00741E89"/>
    <w:rsid w:val="0074300D"/>
    <w:rsid w:val="0074319F"/>
    <w:rsid w:val="00743C23"/>
    <w:rsid w:val="00743F97"/>
    <w:rsid w:val="00744759"/>
    <w:rsid w:val="00744898"/>
    <w:rsid w:val="00744CA7"/>
    <w:rsid w:val="00745288"/>
    <w:rsid w:val="00745306"/>
    <w:rsid w:val="007453FE"/>
    <w:rsid w:val="00745784"/>
    <w:rsid w:val="00746159"/>
    <w:rsid w:val="007467CE"/>
    <w:rsid w:val="00746D1E"/>
    <w:rsid w:val="00746F0A"/>
    <w:rsid w:val="007479A6"/>
    <w:rsid w:val="00747B09"/>
    <w:rsid w:val="00747B59"/>
    <w:rsid w:val="00750173"/>
    <w:rsid w:val="007502C1"/>
    <w:rsid w:val="00750390"/>
    <w:rsid w:val="007507BD"/>
    <w:rsid w:val="0075098D"/>
    <w:rsid w:val="00750C3C"/>
    <w:rsid w:val="00750EFD"/>
    <w:rsid w:val="00751020"/>
    <w:rsid w:val="007511B6"/>
    <w:rsid w:val="0075172B"/>
    <w:rsid w:val="0075186C"/>
    <w:rsid w:val="00751BAE"/>
    <w:rsid w:val="00751F2C"/>
    <w:rsid w:val="0075275A"/>
    <w:rsid w:val="007527A8"/>
    <w:rsid w:val="00752E2E"/>
    <w:rsid w:val="00752F70"/>
    <w:rsid w:val="00753033"/>
    <w:rsid w:val="007537B9"/>
    <w:rsid w:val="0075471C"/>
    <w:rsid w:val="007549E9"/>
    <w:rsid w:val="00755109"/>
    <w:rsid w:val="007555D1"/>
    <w:rsid w:val="00755870"/>
    <w:rsid w:val="0075620D"/>
    <w:rsid w:val="00756D16"/>
    <w:rsid w:val="00756E55"/>
    <w:rsid w:val="007570DD"/>
    <w:rsid w:val="0075756E"/>
    <w:rsid w:val="00757965"/>
    <w:rsid w:val="00757AC3"/>
    <w:rsid w:val="00757E36"/>
    <w:rsid w:val="007614A1"/>
    <w:rsid w:val="00761E8F"/>
    <w:rsid w:val="00762220"/>
    <w:rsid w:val="007641C9"/>
    <w:rsid w:val="007648BC"/>
    <w:rsid w:val="00764A00"/>
    <w:rsid w:val="00765156"/>
    <w:rsid w:val="00765237"/>
    <w:rsid w:val="007652C8"/>
    <w:rsid w:val="00765B8F"/>
    <w:rsid w:val="00765DA4"/>
    <w:rsid w:val="00765F92"/>
    <w:rsid w:val="007666ED"/>
    <w:rsid w:val="007667A7"/>
    <w:rsid w:val="007669D5"/>
    <w:rsid w:val="00767224"/>
    <w:rsid w:val="00767556"/>
    <w:rsid w:val="00767F69"/>
    <w:rsid w:val="00770636"/>
    <w:rsid w:val="007709E0"/>
    <w:rsid w:val="00770ECB"/>
    <w:rsid w:val="00771061"/>
    <w:rsid w:val="007711D0"/>
    <w:rsid w:val="0077148C"/>
    <w:rsid w:val="0077163C"/>
    <w:rsid w:val="00771977"/>
    <w:rsid w:val="00771B4E"/>
    <w:rsid w:val="00772C7A"/>
    <w:rsid w:val="00773B1F"/>
    <w:rsid w:val="0077445E"/>
    <w:rsid w:val="00775B1D"/>
    <w:rsid w:val="00775C5E"/>
    <w:rsid w:val="0077646D"/>
    <w:rsid w:val="0077660D"/>
    <w:rsid w:val="00776ACD"/>
    <w:rsid w:val="00777055"/>
    <w:rsid w:val="0077706E"/>
    <w:rsid w:val="007770A2"/>
    <w:rsid w:val="007775FD"/>
    <w:rsid w:val="00777FF6"/>
    <w:rsid w:val="00780D60"/>
    <w:rsid w:val="007810E9"/>
    <w:rsid w:val="007811B1"/>
    <w:rsid w:val="007812A9"/>
    <w:rsid w:val="007817BA"/>
    <w:rsid w:val="007817FB"/>
    <w:rsid w:val="00781973"/>
    <w:rsid w:val="00781A5C"/>
    <w:rsid w:val="00781C9D"/>
    <w:rsid w:val="007823D7"/>
    <w:rsid w:val="00782BB4"/>
    <w:rsid w:val="00782FFC"/>
    <w:rsid w:val="007832FB"/>
    <w:rsid w:val="007832FE"/>
    <w:rsid w:val="00783437"/>
    <w:rsid w:val="007838A9"/>
    <w:rsid w:val="00783E3F"/>
    <w:rsid w:val="007846DC"/>
    <w:rsid w:val="00784B38"/>
    <w:rsid w:val="007852F5"/>
    <w:rsid w:val="00785304"/>
    <w:rsid w:val="007856EA"/>
    <w:rsid w:val="00786BDC"/>
    <w:rsid w:val="00787037"/>
    <w:rsid w:val="00787924"/>
    <w:rsid w:val="00787E60"/>
    <w:rsid w:val="00790265"/>
    <w:rsid w:val="00790C53"/>
    <w:rsid w:val="007917CE"/>
    <w:rsid w:val="00791A3F"/>
    <w:rsid w:val="00791DAD"/>
    <w:rsid w:val="00791E69"/>
    <w:rsid w:val="00792091"/>
    <w:rsid w:val="007921B9"/>
    <w:rsid w:val="00792D64"/>
    <w:rsid w:val="0079329B"/>
    <w:rsid w:val="007934DC"/>
    <w:rsid w:val="00793CCD"/>
    <w:rsid w:val="00794478"/>
    <w:rsid w:val="00795542"/>
    <w:rsid w:val="007958C1"/>
    <w:rsid w:val="007959B6"/>
    <w:rsid w:val="00795CBB"/>
    <w:rsid w:val="00795D13"/>
    <w:rsid w:val="00796232"/>
    <w:rsid w:val="007967FA"/>
    <w:rsid w:val="00796A90"/>
    <w:rsid w:val="00797651"/>
    <w:rsid w:val="00797730"/>
    <w:rsid w:val="00797F1D"/>
    <w:rsid w:val="007A02A7"/>
    <w:rsid w:val="007A0A8D"/>
    <w:rsid w:val="007A1127"/>
    <w:rsid w:val="007A1694"/>
    <w:rsid w:val="007A26E7"/>
    <w:rsid w:val="007A2820"/>
    <w:rsid w:val="007A2C5E"/>
    <w:rsid w:val="007A2E2C"/>
    <w:rsid w:val="007A2EF3"/>
    <w:rsid w:val="007A320D"/>
    <w:rsid w:val="007A330B"/>
    <w:rsid w:val="007A3635"/>
    <w:rsid w:val="007A3CAB"/>
    <w:rsid w:val="007A3CD4"/>
    <w:rsid w:val="007A3EB5"/>
    <w:rsid w:val="007A44BA"/>
    <w:rsid w:val="007A4724"/>
    <w:rsid w:val="007A4A17"/>
    <w:rsid w:val="007A4A3E"/>
    <w:rsid w:val="007A4CD5"/>
    <w:rsid w:val="007A4E67"/>
    <w:rsid w:val="007A523D"/>
    <w:rsid w:val="007A5E73"/>
    <w:rsid w:val="007A6AAD"/>
    <w:rsid w:val="007A7F34"/>
    <w:rsid w:val="007B0E5F"/>
    <w:rsid w:val="007B13D9"/>
    <w:rsid w:val="007B1D4B"/>
    <w:rsid w:val="007B23C9"/>
    <w:rsid w:val="007B358F"/>
    <w:rsid w:val="007B3E1F"/>
    <w:rsid w:val="007B3FA1"/>
    <w:rsid w:val="007B407B"/>
    <w:rsid w:val="007B5917"/>
    <w:rsid w:val="007B5D5B"/>
    <w:rsid w:val="007B62AE"/>
    <w:rsid w:val="007B6A03"/>
    <w:rsid w:val="007B71BA"/>
    <w:rsid w:val="007B7FBB"/>
    <w:rsid w:val="007C0088"/>
    <w:rsid w:val="007C01B0"/>
    <w:rsid w:val="007C08F6"/>
    <w:rsid w:val="007C0945"/>
    <w:rsid w:val="007C1C06"/>
    <w:rsid w:val="007C1FDF"/>
    <w:rsid w:val="007C2155"/>
    <w:rsid w:val="007C24BF"/>
    <w:rsid w:val="007C2CF0"/>
    <w:rsid w:val="007C2E6B"/>
    <w:rsid w:val="007C35A4"/>
    <w:rsid w:val="007C3902"/>
    <w:rsid w:val="007C39D2"/>
    <w:rsid w:val="007C3A40"/>
    <w:rsid w:val="007C3B03"/>
    <w:rsid w:val="007C3F29"/>
    <w:rsid w:val="007C45CF"/>
    <w:rsid w:val="007C4710"/>
    <w:rsid w:val="007C4B12"/>
    <w:rsid w:val="007C4D7C"/>
    <w:rsid w:val="007C4DA4"/>
    <w:rsid w:val="007C63CD"/>
    <w:rsid w:val="007C68D2"/>
    <w:rsid w:val="007C7451"/>
    <w:rsid w:val="007C7653"/>
    <w:rsid w:val="007C7AE9"/>
    <w:rsid w:val="007C7C59"/>
    <w:rsid w:val="007C7CC5"/>
    <w:rsid w:val="007D08B5"/>
    <w:rsid w:val="007D0F7D"/>
    <w:rsid w:val="007D100A"/>
    <w:rsid w:val="007D1346"/>
    <w:rsid w:val="007D154D"/>
    <w:rsid w:val="007D19ED"/>
    <w:rsid w:val="007D1C15"/>
    <w:rsid w:val="007D1C31"/>
    <w:rsid w:val="007D1F52"/>
    <w:rsid w:val="007D2055"/>
    <w:rsid w:val="007D41F6"/>
    <w:rsid w:val="007D4927"/>
    <w:rsid w:val="007D5313"/>
    <w:rsid w:val="007D5473"/>
    <w:rsid w:val="007D5526"/>
    <w:rsid w:val="007D55B3"/>
    <w:rsid w:val="007D58BD"/>
    <w:rsid w:val="007D5B26"/>
    <w:rsid w:val="007D5C7E"/>
    <w:rsid w:val="007D5EC1"/>
    <w:rsid w:val="007D5FCD"/>
    <w:rsid w:val="007D6442"/>
    <w:rsid w:val="007D7145"/>
    <w:rsid w:val="007D71C2"/>
    <w:rsid w:val="007D75D3"/>
    <w:rsid w:val="007D7775"/>
    <w:rsid w:val="007D78BF"/>
    <w:rsid w:val="007D7CA0"/>
    <w:rsid w:val="007E132A"/>
    <w:rsid w:val="007E13A9"/>
    <w:rsid w:val="007E2324"/>
    <w:rsid w:val="007E23F4"/>
    <w:rsid w:val="007E278F"/>
    <w:rsid w:val="007E27DA"/>
    <w:rsid w:val="007E2AE4"/>
    <w:rsid w:val="007E3181"/>
    <w:rsid w:val="007E386F"/>
    <w:rsid w:val="007E3C8C"/>
    <w:rsid w:val="007E3DC7"/>
    <w:rsid w:val="007E40E5"/>
    <w:rsid w:val="007E457A"/>
    <w:rsid w:val="007E48CE"/>
    <w:rsid w:val="007E4A3E"/>
    <w:rsid w:val="007E4DAF"/>
    <w:rsid w:val="007E60F8"/>
    <w:rsid w:val="007E62F7"/>
    <w:rsid w:val="007E6401"/>
    <w:rsid w:val="007E640E"/>
    <w:rsid w:val="007E6508"/>
    <w:rsid w:val="007E6710"/>
    <w:rsid w:val="007E687F"/>
    <w:rsid w:val="007E6CC9"/>
    <w:rsid w:val="007E70C1"/>
    <w:rsid w:val="007E72F6"/>
    <w:rsid w:val="007E765A"/>
    <w:rsid w:val="007E7728"/>
    <w:rsid w:val="007F026B"/>
    <w:rsid w:val="007F0A0F"/>
    <w:rsid w:val="007F0FBF"/>
    <w:rsid w:val="007F1B9D"/>
    <w:rsid w:val="007F407B"/>
    <w:rsid w:val="007F417E"/>
    <w:rsid w:val="007F4CE5"/>
    <w:rsid w:val="007F4FCB"/>
    <w:rsid w:val="007F5446"/>
    <w:rsid w:val="007F5B62"/>
    <w:rsid w:val="007F610A"/>
    <w:rsid w:val="007F7F93"/>
    <w:rsid w:val="0080022E"/>
    <w:rsid w:val="0080064A"/>
    <w:rsid w:val="00800904"/>
    <w:rsid w:val="00800B51"/>
    <w:rsid w:val="00800BB9"/>
    <w:rsid w:val="0080281D"/>
    <w:rsid w:val="00804491"/>
    <w:rsid w:val="00804643"/>
    <w:rsid w:val="008046D6"/>
    <w:rsid w:val="00804735"/>
    <w:rsid w:val="008047A7"/>
    <w:rsid w:val="008052A7"/>
    <w:rsid w:val="00805439"/>
    <w:rsid w:val="00805889"/>
    <w:rsid w:val="00805A10"/>
    <w:rsid w:val="00805C69"/>
    <w:rsid w:val="00805CC6"/>
    <w:rsid w:val="00805D1E"/>
    <w:rsid w:val="0080663D"/>
    <w:rsid w:val="0080690F"/>
    <w:rsid w:val="00806A0B"/>
    <w:rsid w:val="00806A39"/>
    <w:rsid w:val="00806B36"/>
    <w:rsid w:val="00806BD5"/>
    <w:rsid w:val="008071C4"/>
    <w:rsid w:val="008078FF"/>
    <w:rsid w:val="00807B1D"/>
    <w:rsid w:val="0081010C"/>
    <w:rsid w:val="00810755"/>
    <w:rsid w:val="008107C4"/>
    <w:rsid w:val="00810A20"/>
    <w:rsid w:val="00810F5D"/>
    <w:rsid w:val="00811026"/>
    <w:rsid w:val="00811A8B"/>
    <w:rsid w:val="008124A8"/>
    <w:rsid w:val="0081252D"/>
    <w:rsid w:val="008130C7"/>
    <w:rsid w:val="0081317F"/>
    <w:rsid w:val="00813DC9"/>
    <w:rsid w:val="00813FD2"/>
    <w:rsid w:val="0081463E"/>
    <w:rsid w:val="0081479A"/>
    <w:rsid w:val="00814803"/>
    <w:rsid w:val="00814E7A"/>
    <w:rsid w:val="00814E8A"/>
    <w:rsid w:val="00815B73"/>
    <w:rsid w:val="008163C0"/>
    <w:rsid w:val="00816F5A"/>
    <w:rsid w:val="00817756"/>
    <w:rsid w:val="00820527"/>
    <w:rsid w:val="00820A4E"/>
    <w:rsid w:val="00820A9E"/>
    <w:rsid w:val="00821596"/>
    <w:rsid w:val="0082163C"/>
    <w:rsid w:val="008222DD"/>
    <w:rsid w:val="00822416"/>
    <w:rsid w:val="008224AD"/>
    <w:rsid w:val="00822805"/>
    <w:rsid w:val="008228EB"/>
    <w:rsid w:val="00822A7E"/>
    <w:rsid w:val="0082306D"/>
    <w:rsid w:val="0082307C"/>
    <w:rsid w:val="00824728"/>
    <w:rsid w:val="00825553"/>
    <w:rsid w:val="00825DBD"/>
    <w:rsid w:val="00825DDD"/>
    <w:rsid w:val="0082600D"/>
    <w:rsid w:val="008269E3"/>
    <w:rsid w:val="00826AA1"/>
    <w:rsid w:val="00826ADE"/>
    <w:rsid w:val="00826BA8"/>
    <w:rsid w:val="00826CF0"/>
    <w:rsid w:val="00826DE1"/>
    <w:rsid w:val="008275C1"/>
    <w:rsid w:val="00827939"/>
    <w:rsid w:val="00827A0A"/>
    <w:rsid w:val="00827B8A"/>
    <w:rsid w:val="0083035F"/>
    <w:rsid w:val="008303D1"/>
    <w:rsid w:val="0083073F"/>
    <w:rsid w:val="00830CCA"/>
    <w:rsid w:val="00831ADD"/>
    <w:rsid w:val="00831BAD"/>
    <w:rsid w:val="00831DF4"/>
    <w:rsid w:val="00832C14"/>
    <w:rsid w:val="00832CE5"/>
    <w:rsid w:val="008349B1"/>
    <w:rsid w:val="00834ADA"/>
    <w:rsid w:val="00834D1D"/>
    <w:rsid w:val="00834EFD"/>
    <w:rsid w:val="00837D24"/>
    <w:rsid w:val="00840A9E"/>
    <w:rsid w:val="00840CB1"/>
    <w:rsid w:val="00840D5B"/>
    <w:rsid w:val="00841149"/>
    <w:rsid w:val="008416AD"/>
    <w:rsid w:val="0084181D"/>
    <w:rsid w:val="00841870"/>
    <w:rsid w:val="00841C81"/>
    <w:rsid w:val="00841F2B"/>
    <w:rsid w:val="00842252"/>
    <w:rsid w:val="008422C5"/>
    <w:rsid w:val="0084276C"/>
    <w:rsid w:val="008427B1"/>
    <w:rsid w:val="008427CE"/>
    <w:rsid w:val="008431E6"/>
    <w:rsid w:val="00843683"/>
    <w:rsid w:val="00843902"/>
    <w:rsid w:val="00844239"/>
    <w:rsid w:val="0084458F"/>
    <w:rsid w:val="0084464C"/>
    <w:rsid w:val="00844A12"/>
    <w:rsid w:val="00844B0E"/>
    <w:rsid w:val="00844F1C"/>
    <w:rsid w:val="00845071"/>
    <w:rsid w:val="00845142"/>
    <w:rsid w:val="00845149"/>
    <w:rsid w:val="008453FD"/>
    <w:rsid w:val="00845504"/>
    <w:rsid w:val="00846335"/>
    <w:rsid w:val="00846466"/>
    <w:rsid w:val="00846764"/>
    <w:rsid w:val="00847383"/>
    <w:rsid w:val="008478CD"/>
    <w:rsid w:val="00847DA3"/>
    <w:rsid w:val="00850763"/>
    <w:rsid w:val="008521CA"/>
    <w:rsid w:val="00852215"/>
    <w:rsid w:val="00852475"/>
    <w:rsid w:val="008530DC"/>
    <w:rsid w:val="008537AC"/>
    <w:rsid w:val="00853F87"/>
    <w:rsid w:val="008540E9"/>
    <w:rsid w:val="00854331"/>
    <w:rsid w:val="00854644"/>
    <w:rsid w:val="00854735"/>
    <w:rsid w:val="00854751"/>
    <w:rsid w:val="008547F5"/>
    <w:rsid w:val="00855157"/>
    <w:rsid w:val="008553A1"/>
    <w:rsid w:val="00856C60"/>
    <w:rsid w:val="00856D79"/>
    <w:rsid w:val="008608D0"/>
    <w:rsid w:val="00860C4F"/>
    <w:rsid w:val="00861432"/>
    <w:rsid w:val="008622B8"/>
    <w:rsid w:val="008624F6"/>
    <w:rsid w:val="0086292D"/>
    <w:rsid w:val="00863057"/>
    <w:rsid w:val="0086356E"/>
    <w:rsid w:val="00863757"/>
    <w:rsid w:val="00863782"/>
    <w:rsid w:val="0086433D"/>
    <w:rsid w:val="0086462D"/>
    <w:rsid w:val="0086467C"/>
    <w:rsid w:val="00864955"/>
    <w:rsid w:val="00864999"/>
    <w:rsid w:val="00864ABC"/>
    <w:rsid w:val="00864EB8"/>
    <w:rsid w:val="00865225"/>
    <w:rsid w:val="00865D91"/>
    <w:rsid w:val="00866E9B"/>
    <w:rsid w:val="0086791B"/>
    <w:rsid w:val="00870950"/>
    <w:rsid w:val="00870C49"/>
    <w:rsid w:val="00870D6C"/>
    <w:rsid w:val="00871845"/>
    <w:rsid w:val="00871E25"/>
    <w:rsid w:val="00871F03"/>
    <w:rsid w:val="00872674"/>
    <w:rsid w:val="00872E3A"/>
    <w:rsid w:val="008736A8"/>
    <w:rsid w:val="008736EF"/>
    <w:rsid w:val="00873946"/>
    <w:rsid w:val="00873A9A"/>
    <w:rsid w:val="00874AF4"/>
    <w:rsid w:val="00874B36"/>
    <w:rsid w:val="00874D74"/>
    <w:rsid w:val="00874FC2"/>
    <w:rsid w:val="00875399"/>
    <w:rsid w:val="008758AA"/>
    <w:rsid w:val="00875A58"/>
    <w:rsid w:val="00875D47"/>
    <w:rsid w:val="008765D8"/>
    <w:rsid w:val="00876621"/>
    <w:rsid w:val="00876CF3"/>
    <w:rsid w:val="0087769B"/>
    <w:rsid w:val="0087770C"/>
    <w:rsid w:val="00880B70"/>
    <w:rsid w:val="00880F54"/>
    <w:rsid w:val="00880FD3"/>
    <w:rsid w:val="0088167E"/>
    <w:rsid w:val="008817C9"/>
    <w:rsid w:val="00881B3B"/>
    <w:rsid w:val="00881D3B"/>
    <w:rsid w:val="0088275A"/>
    <w:rsid w:val="00882CF8"/>
    <w:rsid w:val="008834A2"/>
    <w:rsid w:val="008836E7"/>
    <w:rsid w:val="008837EA"/>
    <w:rsid w:val="0088416A"/>
    <w:rsid w:val="00884FE0"/>
    <w:rsid w:val="00885522"/>
    <w:rsid w:val="0088632B"/>
    <w:rsid w:val="008865B8"/>
    <w:rsid w:val="008872C0"/>
    <w:rsid w:val="008878D0"/>
    <w:rsid w:val="008879A2"/>
    <w:rsid w:val="00887CC3"/>
    <w:rsid w:val="008907B8"/>
    <w:rsid w:val="008908A7"/>
    <w:rsid w:val="0089174F"/>
    <w:rsid w:val="00891BA7"/>
    <w:rsid w:val="00891F94"/>
    <w:rsid w:val="00892092"/>
    <w:rsid w:val="00892A84"/>
    <w:rsid w:val="00893AAF"/>
    <w:rsid w:val="00893DD1"/>
    <w:rsid w:val="0089519F"/>
    <w:rsid w:val="00895828"/>
    <w:rsid w:val="00895833"/>
    <w:rsid w:val="0089588D"/>
    <w:rsid w:val="008967BD"/>
    <w:rsid w:val="00897848"/>
    <w:rsid w:val="00897DA4"/>
    <w:rsid w:val="00897EBA"/>
    <w:rsid w:val="008A0110"/>
    <w:rsid w:val="008A03CB"/>
    <w:rsid w:val="008A08FD"/>
    <w:rsid w:val="008A0BCE"/>
    <w:rsid w:val="008A0C83"/>
    <w:rsid w:val="008A13C3"/>
    <w:rsid w:val="008A13DD"/>
    <w:rsid w:val="008A17CA"/>
    <w:rsid w:val="008A1D1A"/>
    <w:rsid w:val="008A2027"/>
    <w:rsid w:val="008A23E8"/>
    <w:rsid w:val="008A27A9"/>
    <w:rsid w:val="008A2A50"/>
    <w:rsid w:val="008A344B"/>
    <w:rsid w:val="008A367C"/>
    <w:rsid w:val="008A3C33"/>
    <w:rsid w:val="008A5D6E"/>
    <w:rsid w:val="008A626E"/>
    <w:rsid w:val="008A72BF"/>
    <w:rsid w:val="008A7343"/>
    <w:rsid w:val="008A7759"/>
    <w:rsid w:val="008A7DCA"/>
    <w:rsid w:val="008A7E4C"/>
    <w:rsid w:val="008B13E7"/>
    <w:rsid w:val="008B1A55"/>
    <w:rsid w:val="008B2245"/>
    <w:rsid w:val="008B287A"/>
    <w:rsid w:val="008B29F9"/>
    <w:rsid w:val="008B2A1B"/>
    <w:rsid w:val="008B2C2F"/>
    <w:rsid w:val="008B2FDB"/>
    <w:rsid w:val="008B33D5"/>
    <w:rsid w:val="008B37B9"/>
    <w:rsid w:val="008B3911"/>
    <w:rsid w:val="008B4CCD"/>
    <w:rsid w:val="008B52DD"/>
    <w:rsid w:val="008B6318"/>
    <w:rsid w:val="008B6E9E"/>
    <w:rsid w:val="008B781C"/>
    <w:rsid w:val="008C0243"/>
    <w:rsid w:val="008C09DD"/>
    <w:rsid w:val="008C0B80"/>
    <w:rsid w:val="008C0C52"/>
    <w:rsid w:val="008C13F9"/>
    <w:rsid w:val="008C1884"/>
    <w:rsid w:val="008C1F22"/>
    <w:rsid w:val="008C1FAF"/>
    <w:rsid w:val="008C21DA"/>
    <w:rsid w:val="008C3355"/>
    <w:rsid w:val="008C37EC"/>
    <w:rsid w:val="008C3A64"/>
    <w:rsid w:val="008C3C1D"/>
    <w:rsid w:val="008C4716"/>
    <w:rsid w:val="008C4882"/>
    <w:rsid w:val="008C5540"/>
    <w:rsid w:val="008C5915"/>
    <w:rsid w:val="008C5945"/>
    <w:rsid w:val="008C5DB9"/>
    <w:rsid w:val="008C60A9"/>
    <w:rsid w:val="008C62D0"/>
    <w:rsid w:val="008C65AB"/>
    <w:rsid w:val="008C753D"/>
    <w:rsid w:val="008C7572"/>
    <w:rsid w:val="008C78C5"/>
    <w:rsid w:val="008C7A37"/>
    <w:rsid w:val="008C7E73"/>
    <w:rsid w:val="008D015A"/>
    <w:rsid w:val="008D025B"/>
    <w:rsid w:val="008D11E6"/>
    <w:rsid w:val="008D1334"/>
    <w:rsid w:val="008D1BBF"/>
    <w:rsid w:val="008D2532"/>
    <w:rsid w:val="008D3411"/>
    <w:rsid w:val="008D3761"/>
    <w:rsid w:val="008D3CA5"/>
    <w:rsid w:val="008D3D51"/>
    <w:rsid w:val="008D48F7"/>
    <w:rsid w:val="008D4B3F"/>
    <w:rsid w:val="008D4E15"/>
    <w:rsid w:val="008D4E33"/>
    <w:rsid w:val="008D587E"/>
    <w:rsid w:val="008D5998"/>
    <w:rsid w:val="008D5E7D"/>
    <w:rsid w:val="008D6406"/>
    <w:rsid w:val="008D6854"/>
    <w:rsid w:val="008D7F28"/>
    <w:rsid w:val="008E043A"/>
    <w:rsid w:val="008E11C1"/>
    <w:rsid w:val="008E1289"/>
    <w:rsid w:val="008E197F"/>
    <w:rsid w:val="008E1E32"/>
    <w:rsid w:val="008E2077"/>
    <w:rsid w:val="008E21A2"/>
    <w:rsid w:val="008E2297"/>
    <w:rsid w:val="008E2370"/>
    <w:rsid w:val="008E23F3"/>
    <w:rsid w:val="008E2B0C"/>
    <w:rsid w:val="008E462E"/>
    <w:rsid w:val="008E4634"/>
    <w:rsid w:val="008E4A07"/>
    <w:rsid w:val="008E4A62"/>
    <w:rsid w:val="008E4E5E"/>
    <w:rsid w:val="008E5085"/>
    <w:rsid w:val="008E57E5"/>
    <w:rsid w:val="008E57F8"/>
    <w:rsid w:val="008E5BAD"/>
    <w:rsid w:val="008E5C1F"/>
    <w:rsid w:val="008E5D5C"/>
    <w:rsid w:val="008E5DAD"/>
    <w:rsid w:val="008E64B0"/>
    <w:rsid w:val="008E6541"/>
    <w:rsid w:val="008E65C8"/>
    <w:rsid w:val="008E6A36"/>
    <w:rsid w:val="008E6B1A"/>
    <w:rsid w:val="008E7534"/>
    <w:rsid w:val="008F0193"/>
    <w:rsid w:val="008F01F1"/>
    <w:rsid w:val="008F034F"/>
    <w:rsid w:val="008F03D6"/>
    <w:rsid w:val="008F0A45"/>
    <w:rsid w:val="008F0E7E"/>
    <w:rsid w:val="008F12FF"/>
    <w:rsid w:val="008F166F"/>
    <w:rsid w:val="008F196E"/>
    <w:rsid w:val="008F1C33"/>
    <w:rsid w:val="008F21D7"/>
    <w:rsid w:val="008F254D"/>
    <w:rsid w:val="008F2F49"/>
    <w:rsid w:val="008F39B5"/>
    <w:rsid w:val="008F3CD8"/>
    <w:rsid w:val="008F3DC2"/>
    <w:rsid w:val="008F3FCD"/>
    <w:rsid w:val="008F44A5"/>
    <w:rsid w:val="008F4F2D"/>
    <w:rsid w:val="008F59CF"/>
    <w:rsid w:val="008F5EFD"/>
    <w:rsid w:val="008F6022"/>
    <w:rsid w:val="008F7435"/>
    <w:rsid w:val="008F77C8"/>
    <w:rsid w:val="008F7B1B"/>
    <w:rsid w:val="008F7B7F"/>
    <w:rsid w:val="008F7FAE"/>
    <w:rsid w:val="0090060F"/>
    <w:rsid w:val="009007DD"/>
    <w:rsid w:val="00901823"/>
    <w:rsid w:val="00901E87"/>
    <w:rsid w:val="00902351"/>
    <w:rsid w:val="009026CA"/>
    <w:rsid w:val="00902D34"/>
    <w:rsid w:val="0090352C"/>
    <w:rsid w:val="00903C0F"/>
    <w:rsid w:val="009040B3"/>
    <w:rsid w:val="00904346"/>
    <w:rsid w:val="0090499C"/>
    <w:rsid w:val="00905644"/>
    <w:rsid w:val="00905B40"/>
    <w:rsid w:val="00905D3D"/>
    <w:rsid w:val="009062E5"/>
    <w:rsid w:val="00906304"/>
    <w:rsid w:val="009064EB"/>
    <w:rsid w:val="00907049"/>
    <w:rsid w:val="009076A3"/>
    <w:rsid w:val="009076E9"/>
    <w:rsid w:val="00907CCF"/>
    <w:rsid w:val="00910241"/>
    <w:rsid w:val="00910970"/>
    <w:rsid w:val="009109BD"/>
    <w:rsid w:val="009110F6"/>
    <w:rsid w:val="0091156D"/>
    <w:rsid w:val="0091238A"/>
    <w:rsid w:val="00913178"/>
    <w:rsid w:val="0091399D"/>
    <w:rsid w:val="00913B64"/>
    <w:rsid w:val="00914454"/>
    <w:rsid w:val="00914A13"/>
    <w:rsid w:val="00915094"/>
    <w:rsid w:val="009152F4"/>
    <w:rsid w:val="00915775"/>
    <w:rsid w:val="00915DB2"/>
    <w:rsid w:val="00915EC2"/>
    <w:rsid w:val="0091683D"/>
    <w:rsid w:val="00916F42"/>
    <w:rsid w:val="00917F82"/>
    <w:rsid w:val="00920EDC"/>
    <w:rsid w:val="009216FD"/>
    <w:rsid w:val="009217A4"/>
    <w:rsid w:val="00921BB7"/>
    <w:rsid w:val="00921D17"/>
    <w:rsid w:val="00922324"/>
    <w:rsid w:val="00922937"/>
    <w:rsid w:val="00924123"/>
    <w:rsid w:val="0092439B"/>
    <w:rsid w:val="00925261"/>
    <w:rsid w:val="00925761"/>
    <w:rsid w:val="00925F42"/>
    <w:rsid w:val="00925F59"/>
    <w:rsid w:val="00926B71"/>
    <w:rsid w:val="00926FEB"/>
    <w:rsid w:val="009271DC"/>
    <w:rsid w:val="00927666"/>
    <w:rsid w:val="00927D50"/>
    <w:rsid w:val="00930547"/>
    <w:rsid w:val="009306F0"/>
    <w:rsid w:val="0093089C"/>
    <w:rsid w:val="00930BAA"/>
    <w:rsid w:val="00930F14"/>
    <w:rsid w:val="00931078"/>
    <w:rsid w:val="009311B8"/>
    <w:rsid w:val="00931DFA"/>
    <w:rsid w:val="00932682"/>
    <w:rsid w:val="009329C1"/>
    <w:rsid w:val="00933775"/>
    <w:rsid w:val="0093388C"/>
    <w:rsid w:val="00933FCD"/>
    <w:rsid w:val="00934474"/>
    <w:rsid w:val="00934681"/>
    <w:rsid w:val="00934F9A"/>
    <w:rsid w:val="0093524E"/>
    <w:rsid w:val="00935A76"/>
    <w:rsid w:val="00935C16"/>
    <w:rsid w:val="009363FD"/>
    <w:rsid w:val="00936408"/>
    <w:rsid w:val="009364AE"/>
    <w:rsid w:val="0093759B"/>
    <w:rsid w:val="00937859"/>
    <w:rsid w:val="00937AAE"/>
    <w:rsid w:val="00937AF5"/>
    <w:rsid w:val="00937F41"/>
    <w:rsid w:val="00937F76"/>
    <w:rsid w:val="00940962"/>
    <w:rsid w:val="00940A0B"/>
    <w:rsid w:val="00941507"/>
    <w:rsid w:val="009418BD"/>
    <w:rsid w:val="00941B11"/>
    <w:rsid w:val="009426BF"/>
    <w:rsid w:val="009427B6"/>
    <w:rsid w:val="00942A12"/>
    <w:rsid w:val="0094310E"/>
    <w:rsid w:val="00943AA5"/>
    <w:rsid w:val="009443D3"/>
    <w:rsid w:val="0094466C"/>
    <w:rsid w:val="009447AA"/>
    <w:rsid w:val="00944A43"/>
    <w:rsid w:val="00944FEC"/>
    <w:rsid w:val="0094538B"/>
    <w:rsid w:val="00945A16"/>
    <w:rsid w:val="00945C3F"/>
    <w:rsid w:val="0094600B"/>
    <w:rsid w:val="00946715"/>
    <w:rsid w:val="00946789"/>
    <w:rsid w:val="00946B89"/>
    <w:rsid w:val="00946F88"/>
    <w:rsid w:val="009476F3"/>
    <w:rsid w:val="009478CA"/>
    <w:rsid w:val="00947910"/>
    <w:rsid w:val="00947CCC"/>
    <w:rsid w:val="00950515"/>
    <w:rsid w:val="0095056C"/>
    <w:rsid w:val="0095127C"/>
    <w:rsid w:val="009520A7"/>
    <w:rsid w:val="00952FAE"/>
    <w:rsid w:val="00953C24"/>
    <w:rsid w:val="00953F0C"/>
    <w:rsid w:val="009547A5"/>
    <w:rsid w:val="009551A6"/>
    <w:rsid w:val="009551E6"/>
    <w:rsid w:val="00955B8F"/>
    <w:rsid w:val="00955C31"/>
    <w:rsid w:val="009568C1"/>
    <w:rsid w:val="00956B83"/>
    <w:rsid w:val="00956D74"/>
    <w:rsid w:val="00956DBE"/>
    <w:rsid w:val="00956ED9"/>
    <w:rsid w:val="0095713C"/>
    <w:rsid w:val="00957168"/>
    <w:rsid w:val="0095733D"/>
    <w:rsid w:val="0096062E"/>
    <w:rsid w:val="009610A4"/>
    <w:rsid w:val="00961215"/>
    <w:rsid w:val="00961666"/>
    <w:rsid w:val="00961953"/>
    <w:rsid w:val="00961BB3"/>
    <w:rsid w:val="00961E36"/>
    <w:rsid w:val="00961EB1"/>
    <w:rsid w:val="009625F7"/>
    <w:rsid w:val="00962D3B"/>
    <w:rsid w:val="00962FDC"/>
    <w:rsid w:val="00963090"/>
    <w:rsid w:val="009630D5"/>
    <w:rsid w:val="00963949"/>
    <w:rsid w:val="009639B8"/>
    <w:rsid w:val="00963B10"/>
    <w:rsid w:val="00963D7C"/>
    <w:rsid w:val="00963E28"/>
    <w:rsid w:val="00964423"/>
    <w:rsid w:val="0096448F"/>
    <w:rsid w:val="00964DED"/>
    <w:rsid w:val="00964EB7"/>
    <w:rsid w:val="00965354"/>
    <w:rsid w:val="00965602"/>
    <w:rsid w:val="00965FA2"/>
    <w:rsid w:val="00966301"/>
    <w:rsid w:val="00966A53"/>
    <w:rsid w:val="0096789F"/>
    <w:rsid w:val="00967D63"/>
    <w:rsid w:val="00967E2F"/>
    <w:rsid w:val="009702EE"/>
    <w:rsid w:val="009702F8"/>
    <w:rsid w:val="00971428"/>
    <w:rsid w:val="00971801"/>
    <w:rsid w:val="00971C9E"/>
    <w:rsid w:val="00972397"/>
    <w:rsid w:val="00972567"/>
    <w:rsid w:val="00972585"/>
    <w:rsid w:val="009726B2"/>
    <w:rsid w:val="00972EAE"/>
    <w:rsid w:val="009732A0"/>
    <w:rsid w:val="009732D3"/>
    <w:rsid w:val="009739A5"/>
    <w:rsid w:val="00973D3F"/>
    <w:rsid w:val="00974130"/>
    <w:rsid w:val="009748B9"/>
    <w:rsid w:val="00974984"/>
    <w:rsid w:val="00974ADF"/>
    <w:rsid w:val="009752F5"/>
    <w:rsid w:val="00975305"/>
    <w:rsid w:val="00975680"/>
    <w:rsid w:val="00975894"/>
    <w:rsid w:val="00975B9D"/>
    <w:rsid w:val="00976114"/>
    <w:rsid w:val="00976545"/>
    <w:rsid w:val="0097682F"/>
    <w:rsid w:val="009808A4"/>
    <w:rsid w:val="0098139A"/>
    <w:rsid w:val="009814F4"/>
    <w:rsid w:val="00981762"/>
    <w:rsid w:val="0098195A"/>
    <w:rsid w:val="009821BF"/>
    <w:rsid w:val="009827AB"/>
    <w:rsid w:val="0098293A"/>
    <w:rsid w:val="0098365C"/>
    <w:rsid w:val="009839E2"/>
    <w:rsid w:val="009839E4"/>
    <w:rsid w:val="00984DC5"/>
    <w:rsid w:val="00985022"/>
    <w:rsid w:val="00985253"/>
    <w:rsid w:val="0098567C"/>
    <w:rsid w:val="00985E0F"/>
    <w:rsid w:val="00986A6D"/>
    <w:rsid w:val="00987193"/>
    <w:rsid w:val="00987FB7"/>
    <w:rsid w:val="0099089B"/>
    <w:rsid w:val="0099111E"/>
    <w:rsid w:val="00992998"/>
    <w:rsid w:val="009936FD"/>
    <w:rsid w:val="00993DE9"/>
    <w:rsid w:val="00994E1C"/>
    <w:rsid w:val="00994ECF"/>
    <w:rsid w:val="00995290"/>
    <w:rsid w:val="00995690"/>
    <w:rsid w:val="009967C3"/>
    <w:rsid w:val="00996A3E"/>
    <w:rsid w:val="00997D6E"/>
    <w:rsid w:val="009A17EE"/>
    <w:rsid w:val="009A2467"/>
    <w:rsid w:val="009A248F"/>
    <w:rsid w:val="009A25E1"/>
    <w:rsid w:val="009A29CA"/>
    <w:rsid w:val="009A2B8A"/>
    <w:rsid w:val="009A2C11"/>
    <w:rsid w:val="009A3928"/>
    <w:rsid w:val="009A3DD7"/>
    <w:rsid w:val="009A3E86"/>
    <w:rsid w:val="009A4546"/>
    <w:rsid w:val="009A48CC"/>
    <w:rsid w:val="009A5210"/>
    <w:rsid w:val="009A5CA0"/>
    <w:rsid w:val="009A6587"/>
    <w:rsid w:val="009A6981"/>
    <w:rsid w:val="009A6CAA"/>
    <w:rsid w:val="009A6D0D"/>
    <w:rsid w:val="009B079A"/>
    <w:rsid w:val="009B107A"/>
    <w:rsid w:val="009B1368"/>
    <w:rsid w:val="009B1643"/>
    <w:rsid w:val="009B19B9"/>
    <w:rsid w:val="009B1A41"/>
    <w:rsid w:val="009B1A4C"/>
    <w:rsid w:val="009B1BE6"/>
    <w:rsid w:val="009B1C99"/>
    <w:rsid w:val="009B201D"/>
    <w:rsid w:val="009B233E"/>
    <w:rsid w:val="009B278A"/>
    <w:rsid w:val="009B355E"/>
    <w:rsid w:val="009B3AD5"/>
    <w:rsid w:val="009B3BFC"/>
    <w:rsid w:val="009B4F24"/>
    <w:rsid w:val="009B540E"/>
    <w:rsid w:val="009B572F"/>
    <w:rsid w:val="009B5A1E"/>
    <w:rsid w:val="009B5BFF"/>
    <w:rsid w:val="009B5DD8"/>
    <w:rsid w:val="009B61C8"/>
    <w:rsid w:val="009B6363"/>
    <w:rsid w:val="009B6ECA"/>
    <w:rsid w:val="009B7A98"/>
    <w:rsid w:val="009C06BF"/>
    <w:rsid w:val="009C0715"/>
    <w:rsid w:val="009C0DFB"/>
    <w:rsid w:val="009C156E"/>
    <w:rsid w:val="009C1580"/>
    <w:rsid w:val="009C199D"/>
    <w:rsid w:val="009C199F"/>
    <w:rsid w:val="009C2368"/>
    <w:rsid w:val="009C2687"/>
    <w:rsid w:val="009C2784"/>
    <w:rsid w:val="009C2BF4"/>
    <w:rsid w:val="009C2C4D"/>
    <w:rsid w:val="009C402F"/>
    <w:rsid w:val="009C435F"/>
    <w:rsid w:val="009C4A56"/>
    <w:rsid w:val="009C514B"/>
    <w:rsid w:val="009C523D"/>
    <w:rsid w:val="009C53E3"/>
    <w:rsid w:val="009C5D43"/>
    <w:rsid w:val="009C62AE"/>
    <w:rsid w:val="009C64F2"/>
    <w:rsid w:val="009C6709"/>
    <w:rsid w:val="009C7126"/>
    <w:rsid w:val="009C7268"/>
    <w:rsid w:val="009C7562"/>
    <w:rsid w:val="009C7585"/>
    <w:rsid w:val="009D0AC3"/>
    <w:rsid w:val="009D0B8D"/>
    <w:rsid w:val="009D123A"/>
    <w:rsid w:val="009D13DB"/>
    <w:rsid w:val="009D2950"/>
    <w:rsid w:val="009D2C19"/>
    <w:rsid w:val="009D2CED"/>
    <w:rsid w:val="009D3683"/>
    <w:rsid w:val="009D37DD"/>
    <w:rsid w:val="009D38B3"/>
    <w:rsid w:val="009D4429"/>
    <w:rsid w:val="009D4D66"/>
    <w:rsid w:val="009D4DB3"/>
    <w:rsid w:val="009D52AB"/>
    <w:rsid w:val="009D5A1D"/>
    <w:rsid w:val="009D600A"/>
    <w:rsid w:val="009D6F41"/>
    <w:rsid w:val="009D7534"/>
    <w:rsid w:val="009D7726"/>
    <w:rsid w:val="009E0453"/>
    <w:rsid w:val="009E0A2E"/>
    <w:rsid w:val="009E0B48"/>
    <w:rsid w:val="009E1486"/>
    <w:rsid w:val="009E21F1"/>
    <w:rsid w:val="009E2AC0"/>
    <w:rsid w:val="009E2DFB"/>
    <w:rsid w:val="009E358D"/>
    <w:rsid w:val="009E45CF"/>
    <w:rsid w:val="009E45DB"/>
    <w:rsid w:val="009E4654"/>
    <w:rsid w:val="009E47E3"/>
    <w:rsid w:val="009E508B"/>
    <w:rsid w:val="009E5644"/>
    <w:rsid w:val="009E58D9"/>
    <w:rsid w:val="009E5F1C"/>
    <w:rsid w:val="009E64C1"/>
    <w:rsid w:val="009E65E7"/>
    <w:rsid w:val="009E6FD4"/>
    <w:rsid w:val="009E73F2"/>
    <w:rsid w:val="009E7A27"/>
    <w:rsid w:val="009E7D40"/>
    <w:rsid w:val="009E7EC7"/>
    <w:rsid w:val="009F19BB"/>
    <w:rsid w:val="009F1AA5"/>
    <w:rsid w:val="009F1F1A"/>
    <w:rsid w:val="009F3652"/>
    <w:rsid w:val="009F36D3"/>
    <w:rsid w:val="009F3F75"/>
    <w:rsid w:val="009F4488"/>
    <w:rsid w:val="009F49EC"/>
    <w:rsid w:val="009F4FC9"/>
    <w:rsid w:val="009F52B1"/>
    <w:rsid w:val="009F54C1"/>
    <w:rsid w:val="009F5882"/>
    <w:rsid w:val="009F6637"/>
    <w:rsid w:val="009F6835"/>
    <w:rsid w:val="009F725D"/>
    <w:rsid w:val="009F7364"/>
    <w:rsid w:val="009F787F"/>
    <w:rsid w:val="00A00413"/>
    <w:rsid w:val="00A00763"/>
    <w:rsid w:val="00A007A7"/>
    <w:rsid w:val="00A024DC"/>
    <w:rsid w:val="00A0273C"/>
    <w:rsid w:val="00A028E7"/>
    <w:rsid w:val="00A02E64"/>
    <w:rsid w:val="00A02FB7"/>
    <w:rsid w:val="00A03C23"/>
    <w:rsid w:val="00A04BD6"/>
    <w:rsid w:val="00A04F9D"/>
    <w:rsid w:val="00A05721"/>
    <w:rsid w:val="00A05A8C"/>
    <w:rsid w:val="00A05F88"/>
    <w:rsid w:val="00A06387"/>
    <w:rsid w:val="00A06B0A"/>
    <w:rsid w:val="00A06F7E"/>
    <w:rsid w:val="00A07FEA"/>
    <w:rsid w:val="00A10A58"/>
    <w:rsid w:val="00A111AF"/>
    <w:rsid w:val="00A11B62"/>
    <w:rsid w:val="00A11C60"/>
    <w:rsid w:val="00A123A6"/>
    <w:rsid w:val="00A12964"/>
    <w:rsid w:val="00A13C2B"/>
    <w:rsid w:val="00A140FD"/>
    <w:rsid w:val="00A14521"/>
    <w:rsid w:val="00A146F9"/>
    <w:rsid w:val="00A148BB"/>
    <w:rsid w:val="00A14946"/>
    <w:rsid w:val="00A157B8"/>
    <w:rsid w:val="00A15A2A"/>
    <w:rsid w:val="00A15C77"/>
    <w:rsid w:val="00A16968"/>
    <w:rsid w:val="00A17DFC"/>
    <w:rsid w:val="00A202D3"/>
    <w:rsid w:val="00A20BF5"/>
    <w:rsid w:val="00A20E76"/>
    <w:rsid w:val="00A20F08"/>
    <w:rsid w:val="00A2131B"/>
    <w:rsid w:val="00A218D9"/>
    <w:rsid w:val="00A21D61"/>
    <w:rsid w:val="00A21EA6"/>
    <w:rsid w:val="00A221F3"/>
    <w:rsid w:val="00A22C18"/>
    <w:rsid w:val="00A23BFC"/>
    <w:rsid w:val="00A23C45"/>
    <w:rsid w:val="00A24588"/>
    <w:rsid w:val="00A24608"/>
    <w:rsid w:val="00A24B77"/>
    <w:rsid w:val="00A2562D"/>
    <w:rsid w:val="00A2595C"/>
    <w:rsid w:val="00A25CE8"/>
    <w:rsid w:val="00A2632D"/>
    <w:rsid w:val="00A26B6F"/>
    <w:rsid w:val="00A2712E"/>
    <w:rsid w:val="00A27749"/>
    <w:rsid w:val="00A27E97"/>
    <w:rsid w:val="00A3013A"/>
    <w:rsid w:val="00A303E0"/>
    <w:rsid w:val="00A31267"/>
    <w:rsid w:val="00A31990"/>
    <w:rsid w:val="00A324F2"/>
    <w:rsid w:val="00A325AC"/>
    <w:rsid w:val="00A32A02"/>
    <w:rsid w:val="00A32DFF"/>
    <w:rsid w:val="00A33E8F"/>
    <w:rsid w:val="00A346FB"/>
    <w:rsid w:val="00A357C4"/>
    <w:rsid w:val="00A35DBB"/>
    <w:rsid w:val="00A3623B"/>
    <w:rsid w:val="00A36B13"/>
    <w:rsid w:val="00A36F2C"/>
    <w:rsid w:val="00A37005"/>
    <w:rsid w:val="00A379C7"/>
    <w:rsid w:val="00A37C18"/>
    <w:rsid w:val="00A40AA4"/>
    <w:rsid w:val="00A40DC0"/>
    <w:rsid w:val="00A40E96"/>
    <w:rsid w:val="00A41273"/>
    <w:rsid w:val="00A41345"/>
    <w:rsid w:val="00A41B09"/>
    <w:rsid w:val="00A41D47"/>
    <w:rsid w:val="00A422C3"/>
    <w:rsid w:val="00A4404D"/>
    <w:rsid w:val="00A441AD"/>
    <w:rsid w:val="00A4420B"/>
    <w:rsid w:val="00A4454C"/>
    <w:rsid w:val="00A447FE"/>
    <w:rsid w:val="00A4499D"/>
    <w:rsid w:val="00A452D9"/>
    <w:rsid w:val="00A45E29"/>
    <w:rsid w:val="00A46097"/>
    <w:rsid w:val="00A46538"/>
    <w:rsid w:val="00A4680D"/>
    <w:rsid w:val="00A46878"/>
    <w:rsid w:val="00A46C97"/>
    <w:rsid w:val="00A47B11"/>
    <w:rsid w:val="00A505D6"/>
    <w:rsid w:val="00A50B5C"/>
    <w:rsid w:val="00A51CA7"/>
    <w:rsid w:val="00A530EA"/>
    <w:rsid w:val="00A5385D"/>
    <w:rsid w:val="00A53EB0"/>
    <w:rsid w:val="00A545DA"/>
    <w:rsid w:val="00A54BA1"/>
    <w:rsid w:val="00A54E5C"/>
    <w:rsid w:val="00A550CD"/>
    <w:rsid w:val="00A55347"/>
    <w:rsid w:val="00A55BAD"/>
    <w:rsid w:val="00A562F5"/>
    <w:rsid w:val="00A57558"/>
    <w:rsid w:val="00A57BE4"/>
    <w:rsid w:val="00A57CD5"/>
    <w:rsid w:val="00A57DCF"/>
    <w:rsid w:val="00A600BA"/>
    <w:rsid w:val="00A60884"/>
    <w:rsid w:val="00A61625"/>
    <w:rsid w:val="00A62DE8"/>
    <w:rsid w:val="00A63166"/>
    <w:rsid w:val="00A636DB"/>
    <w:rsid w:val="00A639EE"/>
    <w:rsid w:val="00A641DF"/>
    <w:rsid w:val="00A6424A"/>
    <w:rsid w:val="00A6436B"/>
    <w:rsid w:val="00A647A6"/>
    <w:rsid w:val="00A64DDB"/>
    <w:rsid w:val="00A66164"/>
    <w:rsid w:val="00A66651"/>
    <w:rsid w:val="00A66B5F"/>
    <w:rsid w:val="00A670CB"/>
    <w:rsid w:val="00A6750D"/>
    <w:rsid w:val="00A676EC"/>
    <w:rsid w:val="00A677D4"/>
    <w:rsid w:val="00A67965"/>
    <w:rsid w:val="00A67EEA"/>
    <w:rsid w:val="00A701CD"/>
    <w:rsid w:val="00A707AB"/>
    <w:rsid w:val="00A71645"/>
    <w:rsid w:val="00A71A4C"/>
    <w:rsid w:val="00A7218C"/>
    <w:rsid w:val="00A722CF"/>
    <w:rsid w:val="00A7245F"/>
    <w:rsid w:val="00A72A19"/>
    <w:rsid w:val="00A73AA0"/>
    <w:rsid w:val="00A73D09"/>
    <w:rsid w:val="00A73D42"/>
    <w:rsid w:val="00A74482"/>
    <w:rsid w:val="00A75A92"/>
    <w:rsid w:val="00A766E5"/>
    <w:rsid w:val="00A76B4F"/>
    <w:rsid w:val="00A76D54"/>
    <w:rsid w:val="00A80C05"/>
    <w:rsid w:val="00A80DA3"/>
    <w:rsid w:val="00A820E0"/>
    <w:rsid w:val="00A824E0"/>
    <w:rsid w:val="00A82800"/>
    <w:rsid w:val="00A83A68"/>
    <w:rsid w:val="00A83C86"/>
    <w:rsid w:val="00A83F38"/>
    <w:rsid w:val="00A845F5"/>
    <w:rsid w:val="00A84C71"/>
    <w:rsid w:val="00A84F2D"/>
    <w:rsid w:val="00A85F1C"/>
    <w:rsid w:val="00A86BAD"/>
    <w:rsid w:val="00A903C1"/>
    <w:rsid w:val="00A91405"/>
    <w:rsid w:val="00A91A53"/>
    <w:rsid w:val="00A91DA9"/>
    <w:rsid w:val="00A92224"/>
    <w:rsid w:val="00A924B6"/>
    <w:rsid w:val="00A930A7"/>
    <w:rsid w:val="00A9319F"/>
    <w:rsid w:val="00A93536"/>
    <w:rsid w:val="00A939D9"/>
    <w:rsid w:val="00A94291"/>
    <w:rsid w:val="00A9505E"/>
    <w:rsid w:val="00A95437"/>
    <w:rsid w:val="00A95B8B"/>
    <w:rsid w:val="00A96341"/>
    <w:rsid w:val="00A966C3"/>
    <w:rsid w:val="00A9697B"/>
    <w:rsid w:val="00A96EE3"/>
    <w:rsid w:val="00A97397"/>
    <w:rsid w:val="00A97751"/>
    <w:rsid w:val="00AA0362"/>
    <w:rsid w:val="00AA0377"/>
    <w:rsid w:val="00AA118D"/>
    <w:rsid w:val="00AA26F0"/>
    <w:rsid w:val="00AA2FC1"/>
    <w:rsid w:val="00AA3029"/>
    <w:rsid w:val="00AA3085"/>
    <w:rsid w:val="00AA34C0"/>
    <w:rsid w:val="00AA3B55"/>
    <w:rsid w:val="00AA3B6E"/>
    <w:rsid w:val="00AA42D7"/>
    <w:rsid w:val="00AA43B2"/>
    <w:rsid w:val="00AA46C3"/>
    <w:rsid w:val="00AA4E3D"/>
    <w:rsid w:val="00AA5043"/>
    <w:rsid w:val="00AA5084"/>
    <w:rsid w:val="00AA61A2"/>
    <w:rsid w:val="00AA62B4"/>
    <w:rsid w:val="00AA650C"/>
    <w:rsid w:val="00AA65C3"/>
    <w:rsid w:val="00AA6708"/>
    <w:rsid w:val="00AA6AA5"/>
    <w:rsid w:val="00AA6BBE"/>
    <w:rsid w:val="00AA6E5A"/>
    <w:rsid w:val="00AA7057"/>
    <w:rsid w:val="00AA7C5F"/>
    <w:rsid w:val="00AA7F8A"/>
    <w:rsid w:val="00AB10F4"/>
    <w:rsid w:val="00AB1293"/>
    <w:rsid w:val="00AB1454"/>
    <w:rsid w:val="00AB173C"/>
    <w:rsid w:val="00AB25E5"/>
    <w:rsid w:val="00AB261A"/>
    <w:rsid w:val="00AB289E"/>
    <w:rsid w:val="00AB34CB"/>
    <w:rsid w:val="00AB3A1C"/>
    <w:rsid w:val="00AB3B68"/>
    <w:rsid w:val="00AB42E6"/>
    <w:rsid w:val="00AB4374"/>
    <w:rsid w:val="00AB46C3"/>
    <w:rsid w:val="00AB49E5"/>
    <w:rsid w:val="00AB4C75"/>
    <w:rsid w:val="00AB5518"/>
    <w:rsid w:val="00AB5D65"/>
    <w:rsid w:val="00AB656B"/>
    <w:rsid w:val="00AB6956"/>
    <w:rsid w:val="00AB6C40"/>
    <w:rsid w:val="00AC0120"/>
    <w:rsid w:val="00AC0218"/>
    <w:rsid w:val="00AC102F"/>
    <w:rsid w:val="00AC14E7"/>
    <w:rsid w:val="00AC18FC"/>
    <w:rsid w:val="00AC1C25"/>
    <w:rsid w:val="00AC1C37"/>
    <w:rsid w:val="00AC1DF4"/>
    <w:rsid w:val="00AC1FC3"/>
    <w:rsid w:val="00AC2416"/>
    <w:rsid w:val="00AC266F"/>
    <w:rsid w:val="00AC3017"/>
    <w:rsid w:val="00AC34E4"/>
    <w:rsid w:val="00AC3687"/>
    <w:rsid w:val="00AC3724"/>
    <w:rsid w:val="00AC3900"/>
    <w:rsid w:val="00AC4778"/>
    <w:rsid w:val="00AC491C"/>
    <w:rsid w:val="00AC4D92"/>
    <w:rsid w:val="00AC52D7"/>
    <w:rsid w:val="00AC54CE"/>
    <w:rsid w:val="00AC5C3E"/>
    <w:rsid w:val="00AC6A4B"/>
    <w:rsid w:val="00AC6DE2"/>
    <w:rsid w:val="00AC75C6"/>
    <w:rsid w:val="00AC7AAC"/>
    <w:rsid w:val="00AD083F"/>
    <w:rsid w:val="00AD0B60"/>
    <w:rsid w:val="00AD1291"/>
    <w:rsid w:val="00AD14A6"/>
    <w:rsid w:val="00AD2075"/>
    <w:rsid w:val="00AD2267"/>
    <w:rsid w:val="00AD297B"/>
    <w:rsid w:val="00AD3C82"/>
    <w:rsid w:val="00AD60A5"/>
    <w:rsid w:val="00AD60B0"/>
    <w:rsid w:val="00AD61A6"/>
    <w:rsid w:val="00AD62DD"/>
    <w:rsid w:val="00AD6613"/>
    <w:rsid w:val="00AD67EF"/>
    <w:rsid w:val="00AD6C7F"/>
    <w:rsid w:val="00AD7315"/>
    <w:rsid w:val="00AD76FE"/>
    <w:rsid w:val="00AD7D0D"/>
    <w:rsid w:val="00AD7E5D"/>
    <w:rsid w:val="00AD7FEE"/>
    <w:rsid w:val="00AE003D"/>
    <w:rsid w:val="00AE06C4"/>
    <w:rsid w:val="00AE1030"/>
    <w:rsid w:val="00AE1534"/>
    <w:rsid w:val="00AE1F13"/>
    <w:rsid w:val="00AE2092"/>
    <w:rsid w:val="00AE24E9"/>
    <w:rsid w:val="00AE2A03"/>
    <w:rsid w:val="00AE2F86"/>
    <w:rsid w:val="00AE34EA"/>
    <w:rsid w:val="00AE3C1A"/>
    <w:rsid w:val="00AE5CFC"/>
    <w:rsid w:val="00AE5E1A"/>
    <w:rsid w:val="00AE61C6"/>
    <w:rsid w:val="00AE63BB"/>
    <w:rsid w:val="00AE6499"/>
    <w:rsid w:val="00AE728E"/>
    <w:rsid w:val="00AE72AE"/>
    <w:rsid w:val="00AE7C28"/>
    <w:rsid w:val="00AF0475"/>
    <w:rsid w:val="00AF0F02"/>
    <w:rsid w:val="00AF1747"/>
    <w:rsid w:val="00AF28F9"/>
    <w:rsid w:val="00AF2ADB"/>
    <w:rsid w:val="00AF2CA9"/>
    <w:rsid w:val="00AF306F"/>
    <w:rsid w:val="00AF325F"/>
    <w:rsid w:val="00AF3DCC"/>
    <w:rsid w:val="00AF4536"/>
    <w:rsid w:val="00AF4D1A"/>
    <w:rsid w:val="00AF5658"/>
    <w:rsid w:val="00AF575A"/>
    <w:rsid w:val="00AF658D"/>
    <w:rsid w:val="00AF6BD1"/>
    <w:rsid w:val="00AF7043"/>
    <w:rsid w:val="00AF721D"/>
    <w:rsid w:val="00AF7844"/>
    <w:rsid w:val="00B00430"/>
    <w:rsid w:val="00B00958"/>
    <w:rsid w:val="00B0097D"/>
    <w:rsid w:val="00B00B96"/>
    <w:rsid w:val="00B00E5D"/>
    <w:rsid w:val="00B025BA"/>
    <w:rsid w:val="00B02DA2"/>
    <w:rsid w:val="00B02E39"/>
    <w:rsid w:val="00B03252"/>
    <w:rsid w:val="00B0341F"/>
    <w:rsid w:val="00B03592"/>
    <w:rsid w:val="00B0368A"/>
    <w:rsid w:val="00B0383C"/>
    <w:rsid w:val="00B03C96"/>
    <w:rsid w:val="00B03E94"/>
    <w:rsid w:val="00B04428"/>
    <w:rsid w:val="00B04785"/>
    <w:rsid w:val="00B04A70"/>
    <w:rsid w:val="00B04D7F"/>
    <w:rsid w:val="00B0506A"/>
    <w:rsid w:val="00B050CF"/>
    <w:rsid w:val="00B061FD"/>
    <w:rsid w:val="00B066D3"/>
    <w:rsid w:val="00B06D00"/>
    <w:rsid w:val="00B07124"/>
    <w:rsid w:val="00B0770F"/>
    <w:rsid w:val="00B104D5"/>
    <w:rsid w:val="00B108D7"/>
    <w:rsid w:val="00B110DB"/>
    <w:rsid w:val="00B11E16"/>
    <w:rsid w:val="00B11E5D"/>
    <w:rsid w:val="00B12465"/>
    <w:rsid w:val="00B129D8"/>
    <w:rsid w:val="00B12EDE"/>
    <w:rsid w:val="00B13061"/>
    <w:rsid w:val="00B13542"/>
    <w:rsid w:val="00B15BF6"/>
    <w:rsid w:val="00B1766B"/>
    <w:rsid w:val="00B17954"/>
    <w:rsid w:val="00B179F6"/>
    <w:rsid w:val="00B17FB0"/>
    <w:rsid w:val="00B208BE"/>
    <w:rsid w:val="00B20FCE"/>
    <w:rsid w:val="00B21436"/>
    <w:rsid w:val="00B21A13"/>
    <w:rsid w:val="00B22497"/>
    <w:rsid w:val="00B2267E"/>
    <w:rsid w:val="00B23656"/>
    <w:rsid w:val="00B24000"/>
    <w:rsid w:val="00B243BB"/>
    <w:rsid w:val="00B24515"/>
    <w:rsid w:val="00B246D0"/>
    <w:rsid w:val="00B248C2"/>
    <w:rsid w:val="00B2511A"/>
    <w:rsid w:val="00B254E3"/>
    <w:rsid w:val="00B256CC"/>
    <w:rsid w:val="00B26C85"/>
    <w:rsid w:val="00B26D72"/>
    <w:rsid w:val="00B27283"/>
    <w:rsid w:val="00B27BD3"/>
    <w:rsid w:val="00B300E9"/>
    <w:rsid w:val="00B3050B"/>
    <w:rsid w:val="00B3070B"/>
    <w:rsid w:val="00B309D4"/>
    <w:rsid w:val="00B30A0A"/>
    <w:rsid w:val="00B30CD4"/>
    <w:rsid w:val="00B31E57"/>
    <w:rsid w:val="00B3231E"/>
    <w:rsid w:val="00B33889"/>
    <w:rsid w:val="00B338AA"/>
    <w:rsid w:val="00B339DC"/>
    <w:rsid w:val="00B33B84"/>
    <w:rsid w:val="00B340A3"/>
    <w:rsid w:val="00B348BD"/>
    <w:rsid w:val="00B348EC"/>
    <w:rsid w:val="00B35357"/>
    <w:rsid w:val="00B359C4"/>
    <w:rsid w:val="00B35E0E"/>
    <w:rsid w:val="00B36E26"/>
    <w:rsid w:val="00B36E8E"/>
    <w:rsid w:val="00B36F1A"/>
    <w:rsid w:val="00B375B5"/>
    <w:rsid w:val="00B37A3F"/>
    <w:rsid w:val="00B37CF1"/>
    <w:rsid w:val="00B40139"/>
    <w:rsid w:val="00B40501"/>
    <w:rsid w:val="00B40C10"/>
    <w:rsid w:val="00B40DF3"/>
    <w:rsid w:val="00B41118"/>
    <w:rsid w:val="00B42305"/>
    <w:rsid w:val="00B426C1"/>
    <w:rsid w:val="00B42B13"/>
    <w:rsid w:val="00B42B84"/>
    <w:rsid w:val="00B4393B"/>
    <w:rsid w:val="00B43D31"/>
    <w:rsid w:val="00B43DEF"/>
    <w:rsid w:val="00B43E6A"/>
    <w:rsid w:val="00B44245"/>
    <w:rsid w:val="00B44448"/>
    <w:rsid w:val="00B45030"/>
    <w:rsid w:val="00B454B0"/>
    <w:rsid w:val="00B45863"/>
    <w:rsid w:val="00B46A62"/>
    <w:rsid w:val="00B46F80"/>
    <w:rsid w:val="00B46F9D"/>
    <w:rsid w:val="00B4746A"/>
    <w:rsid w:val="00B476E6"/>
    <w:rsid w:val="00B50CF8"/>
    <w:rsid w:val="00B51170"/>
    <w:rsid w:val="00B51467"/>
    <w:rsid w:val="00B51C29"/>
    <w:rsid w:val="00B521CC"/>
    <w:rsid w:val="00B522D0"/>
    <w:rsid w:val="00B5235F"/>
    <w:rsid w:val="00B523FB"/>
    <w:rsid w:val="00B53A1E"/>
    <w:rsid w:val="00B54348"/>
    <w:rsid w:val="00B54CB3"/>
    <w:rsid w:val="00B55AB5"/>
    <w:rsid w:val="00B55E4C"/>
    <w:rsid w:val="00B563DC"/>
    <w:rsid w:val="00B56460"/>
    <w:rsid w:val="00B568FC"/>
    <w:rsid w:val="00B56FEE"/>
    <w:rsid w:val="00B57162"/>
    <w:rsid w:val="00B57402"/>
    <w:rsid w:val="00B57FB8"/>
    <w:rsid w:val="00B608F3"/>
    <w:rsid w:val="00B61767"/>
    <w:rsid w:val="00B61A98"/>
    <w:rsid w:val="00B61CA8"/>
    <w:rsid w:val="00B62110"/>
    <w:rsid w:val="00B623DE"/>
    <w:rsid w:val="00B62582"/>
    <w:rsid w:val="00B626BF"/>
    <w:rsid w:val="00B629AC"/>
    <w:rsid w:val="00B62B28"/>
    <w:rsid w:val="00B63369"/>
    <w:rsid w:val="00B6344C"/>
    <w:rsid w:val="00B63841"/>
    <w:rsid w:val="00B63934"/>
    <w:rsid w:val="00B63CD9"/>
    <w:rsid w:val="00B63FDF"/>
    <w:rsid w:val="00B64759"/>
    <w:rsid w:val="00B64BA3"/>
    <w:rsid w:val="00B64DB3"/>
    <w:rsid w:val="00B65004"/>
    <w:rsid w:val="00B6521E"/>
    <w:rsid w:val="00B6565E"/>
    <w:rsid w:val="00B65775"/>
    <w:rsid w:val="00B65959"/>
    <w:rsid w:val="00B65AD1"/>
    <w:rsid w:val="00B660F1"/>
    <w:rsid w:val="00B664DA"/>
    <w:rsid w:val="00B66DF1"/>
    <w:rsid w:val="00B672E7"/>
    <w:rsid w:val="00B674FC"/>
    <w:rsid w:val="00B67610"/>
    <w:rsid w:val="00B706E0"/>
    <w:rsid w:val="00B70F3C"/>
    <w:rsid w:val="00B70FF7"/>
    <w:rsid w:val="00B71168"/>
    <w:rsid w:val="00B711C0"/>
    <w:rsid w:val="00B715A8"/>
    <w:rsid w:val="00B71647"/>
    <w:rsid w:val="00B71F30"/>
    <w:rsid w:val="00B722BE"/>
    <w:rsid w:val="00B72511"/>
    <w:rsid w:val="00B72DC0"/>
    <w:rsid w:val="00B7333E"/>
    <w:rsid w:val="00B73461"/>
    <w:rsid w:val="00B73EC3"/>
    <w:rsid w:val="00B7426C"/>
    <w:rsid w:val="00B74290"/>
    <w:rsid w:val="00B748BC"/>
    <w:rsid w:val="00B749C7"/>
    <w:rsid w:val="00B755A7"/>
    <w:rsid w:val="00B75A80"/>
    <w:rsid w:val="00B75B66"/>
    <w:rsid w:val="00B75CA8"/>
    <w:rsid w:val="00B75D2B"/>
    <w:rsid w:val="00B764C9"/>
    <w:rsid w:val="00B764DF"/>
    <w:rsid w:val="00B76C2F"/>
    <w:rsid w:val="00B76EC9"/>
    <w:rsid w:val="00B77409"/>
    <w:rsid w:val="00B807DB"/>
    <w:rsid w:val="00B80FAD"/>
    <w:rsid w:val="00B80FB3"/>
    <w:rsid w:val="00B81616"/>
    <w:rsid w:val="00B8175D"/>
    <w:rsid w:val="00B81CA4"/>
    <w:rsid w:val="00B8220E"/>
    <w:rsid w:val="00B82295"/>
    <w:rsid w:val="00B82398"/>
    <w:rsid w:val="00B82409"/>
    <w:rsid w:val="00B8254F"/>
    <w:rsid w:val="00B82B5C"/>
    <w:rsid w:val="00B82D04"/>
    <w:rsid w:val="00B83457"/>
    <w:rsid w:val="00B835D4"/>
    <w:rsid w:val="00B83B34"/>
    <w:rsid w:val="00B83E20"/>
    <w:rsid w:val="00B83FF3"/>
    <w:rsid w:val="00B842DC"/>
    <w:rsid w:val="00B842E3"/>
    <w:rsid w:val="00B8570C"/>
    <w:rsid w:val="00B85954"/>
    <w:rsid w:val="00B86228"/>
    <w:rsid w:val="00B8673F"/>
    <w:rsid w:val="00B869D0"/>
    <w:rsid w:val="00B869D9"/>
    <w:rsid w:val="00B86E86"/>
    <w:rsid w:val="00B87169"/>
    <w:rsid w:val="00B87537"/>
    <w:rsid w:val="00B8765E"/>
    <w:rsid w:val="00B87AC2"/>
    <w:rsid w:val="00B90E61"/>
    <w:rsid w:val="00B91494"/>
    <w:rsid w:val="00B91AC0"/>
    <w:rsid w:val="00B91DF0"/>
    <w:rsid w:val="00B92A40"/>
    <w:rsid w:val="00B92CA2"/>
    <w:rsid w:val="00B93418"/>
    <w:rsid w:val="00B93C3A"/>
    <w:rsid w:val="00B94688"/>
    <w:rsid w:val="00B947A2"/>
    <w:rsid w:val="00B94DF8"/>
    <w:rsid w:val="00B957B0"/>
    <w:rsid w:val="00B95B14"/>
    <w:rsid w:val="00B964A3"/>
    <w:rsid w:val="00B968E3"/>
    <w:rsid w:val="00B96A69"/>
    <w:rsid w:val="00B9787F"/>
    <w:rsid w:val="00BA0839"/>
    <w:rsid w:val="00BA0FBD"/>
    <w:rsid w:val="00BA1991"/>
    <w:rsid w:val="00BA1C01"/>
    <w:rsid w:val="00BA32A5"/>
    <w:rsid w:val="00BA3AE5"/>
    <w:rsid w:val="00BA3BC4"/>
    <w:rsid w:val="00BA439F"/>
    <w:rsid w:val="00BA4FB6"/>
    <w:rsid w:val="00BA5A50"/>
    <w:rsid w:val="00BA5FFD"/>
    <w:rsid w:val="00BA6B6F"/>
    <w:rsid w:val="00BA70DA"/>
    <w:rsid w:val="00BA7A4D"/>
    <w:rsid w:val="00BB0033"/>
    <w:rsid w:val="00BB04A2"/>
    <w:rsid w:val="00BB0A9B"/>
    <w:rsid w:val="00BB0FA7"/>
    <w:rsid w:val="00BB126F"/>
    <w:rsid w:val="00BB13C3"/>
    <w:rsid w:val="00BB1E64"/>
    <w:rsid w:val="00BB273C"/>
    <w:rsid w:val="00BB2755"/>
    <w:rsid w:val="00BB352F"/>
    <w:rsid w:val="00BB3EE0"/>
    <w:rsid w:val="00BB41DA"/>
    <w:rsid w:val="00BB55F8"/>
    <w:rsid w:val="00BB56B1"/>
    <w:rsid w:val="00BB6CF4"/>
    <w:rsid w:val="00BB71BE"/>
    <w:rsid w:val="00BB7349"/>
    <w:rsid w:val="00BB7478"/>
    <w:rsid w:val="00BC07D7"/>
    <w:rsid w:val="00BC084B"/>
    <w:rsid w:val="00BC0AF7"/>
    <w:rsid w:val="00BC15FB"/>
    <w:rsid w:val="00BC19FA"/>
    <w:rsid w:val="00BC2995"/>
    <w:rsid w:val="00BC2BF2"/>
    <w:rsid w:val="00BC2DB2"/>
    <w:rsid w:val="00BC3EB6"/>
    <w:rsid w:val="00BC407F"/>
    <w:rsid w:val="00BC4140"/>
    <w:rsid w:val="00BC4300"/>
    <w:rsid w:val="00BC5860"/>
    <w:rsid w:val="00BC61D4"/>
    <w:rsid w:val="00BC635C"/>
    <w:rsid w:val="00BC75B8"/>
    <w:rsid w:val="00BC77AB"/>
    <w:rsid w:val="00BC787D"/>
    <w:rsid w:val="00BC78C2"/>
    <w:rsid w:val="00BC7AB0"/>
    <w:rsid w:val="00BC7E87"/>
    <w:rsid w:val="00BD0007"/>
    <w:rsid w:val="00BD00AF"/>
    <w:rsid w:val="00BD0130"/>
    <w:rsid w:val="00BD02DC"/>
    <w:rsid w:val="00BD0EC6"/>
    <w:rsid w:val="00BD0F33"/>
    <w:rsid w:val="00BD13A4"/>
    <w:rsid w:val="00BD14E1"/>
    <w:rsid w:val="00BD1B6E"/>
    <w:rsid w:val="00BD1CC0"/>
    <w:rsid w:val="00BD261C"/>
    <w:rsid w:val="00BD2F80"/>
    <w:rsid w:val="00BD32C7"/>
    <w:rsid w:val="00BD3A80"/>
    <w:rsid w:val="00BD3C9E"/>
    <w:rsid w:val="00BD438F"/>
    <w:rsid w:val="00BD4811"/>
    <w:rsid w:val="00BD4A03"/>
    <w:rsid w:val="00BD4DC3"/>
    <w:rsid w:val="00BD50A3"/>
    <w:rsid w:val="00BD5167"/>
    <w:rsid w:val="00BD525A"/>
    <w:rsid w:val="00BD582D"/>
    <w:rsid w:val="00BD5895"/>
    <w:rsid w:val="00BD59A0"/>
    <w:rsid w:val="00BD5DCB"/>
    <w:rsid w:val="00BD63AF"/>
    <w:rsid w:val="00BD6436"/>
    <w:rsid w:val="00BD6AE6"/>
    <w:rsid w:val="00BD7A5F"/>
    <w:rsid w:val="00BE003F"/>
    <w:rsid w:val="00BE0193"/>
    <w:rsid w:val="00BE0276"/>
    <w:rsid w:val="00BE124E"/>
    <w:rsid w:val="00BE1295"/>
    <w:rsid w:val="00BE20C6"/>
    <w:rsid w:val="00BE37EE"/>
    <w:rsid w:val="00BE3A9C"/>
    <w:rsid w:val="00BE4164"/>
    <w:rsid w:val="00BE41E5"/>
    <w:rsid w:val="00BE4A4B"/>
    <w:rsid w:val="00BE4BAF"/>
    <w:rsid w:val="00BE50B0"/>
    <w:rsid w:val="00BE5899"/>
    <w:rsid w:val="00BE5D90"/>
    <w:rsid w:val="00BE60DE"/>
    <w:rsid w:val="00BE6251"/>
    <w:rsid w:val="00BE63AC"/>
    <w:rsid w:val="00BE682A"/>
    <w:rsid w:val="00BE6A25"/>
    <w:rsid w:val="00BE6E2C"/>
    <w:rsid w:val="00BE7167"/>
    <w:rsid w:val="00BE73C4"/>
    <w:rsid w:val="00BF0317"/>
    <w:rsid w:val="00BF0356"/>
    <w:rsid w:val="00BF1B56"/>
    <w:rsid w:val="00BF21E7"/>
    <w:rsid w:val="00BF274F"/>
    <w:rsid w:val="00BF48EC"/>
    <w:rsid w:val="00BF48F7"/>
    <w:rsid w:val="00BF49E2"/>
    <w:rsid w:val="00BF49E5"/>
    <w:rsid w:val="00BF50BC"/>
    <w:rsid w:val="00BF51C0"/>
    <w:rsid w:val="00BF55BD"/>
    <w:rsid w:val="00BF59AF"/>
    <w:rsid w:val="00BF5C31"/>
    <w:rsid w:val="00BF5D3B"/>
    <w:rsid w:val="00BF6191"/>
    <w:rsid w:val="00BF6400"/>
    <w:rsid w:val="00BF6590"/>
    <w:rsid w:val="00BF6616"/>
    <w:rsid w:val="00BF6B6F"/>
    <w:rsid w:val="00BF6C19"/>
    <w:rsid w:val="00BF6EDC"/>
    <w:rsid w:val="00BF749E"/>
    <w:rsid w:val="00BF785B"/>
    <w:rsid w:val="00BF78AA"/>
    <w:rsid w:val="00C008CD"/>
    <w:rsid w:val="00C008E2"/>
    <w:rsid w:val="00C00923"/>
    <w:rsid w:val="00C0145A"/>
    <w:rsid w:val="00C02854"/>
    <w:rsid w:val="00C02E3A"/>
    <w:rsid w:val="00C034A9"/>
    <w:rsid w:val="00C037DE"/>
    <w:rsid w:val="00C0383B"/>
    <w:rsid w:val="00C03E0F"/>
    <w:rsid w:val="00C04A68"/>
    <w:rsid w:val="00C04F11"/>
    <w:rsid w:val="00C053E2"/>
    <w:rsid w:val="00C05E16"/>
    <w:rsid w:val="00C062DD"/>
    <w:rsid w:val="00C068FB"/>
    <w:rsid w:val="00C06AAF"/>
    <w:rsid w:val="00C071C4"/>
    <w:rsid w:val="00C0780B"/>
    <w:rsid w:val="00C07E49"/>
    <w:rsid w:val="00C102B5"/>
    <w:rsid w:val="00C10A29"/>
    <w:rsid w:val="00C11424"/>
    <w:rsid w:val="00C1161E"/>
    <w:rsid w:val="00C1170C"/>
    <w:rsid w:val="00C11FFA"/>
    <w:rsid w:val="00C1240B"/>
    <w:rsid w:val="00C12453"/>
    <w:rsid w:val="00C12D96"/>
    <w:rsid w:val="00C12EBB"/>
    <w:rsid w:val="00C12ED4"/>
    <w:rsid w:val="00C1339F"/>
    <w:rsid w:val="00C13579"/>
    <w:rsid w:val="00C13A0D"/>
    <w:rsid w:val="00C148C5"/>
    <w:rsid w:val="00C14AC1"/>
    <w:rsid w:val="00C14BA2"/>
    <w:rsid w:val="00C162ED"/>
    <w:rsid w:val="00C1657E"/>
    <w:rsid w:val="00C16671"/>
    <w:rsid w:val="00C16A70"/>
    <w:rsid w:val="00C17C47"/>
    <w:rsid w:val="00C20295"/>
    <w:rsid w:val="00C20336"/>
    <w:rsid w:val="00C20C68"/>
    <w:rsid w:val="00C21813"/>
    <w:rsid w:val="00C21BB8"/>
    <w:rsid w:val="00C22B61"/>
    <w:rsid w:val="00C22B9B"/>
    <w:rsid w:val="00C23020"/>
    <w:rsid w:val="00C234E1"/>
    <w:rsid w:val="00C2379F"/>
    <w:rsid w:val="00C247A8"/>
    <w:rsid w:val="00C25396"/>
    <w:rsid w:val="00C26174"/>
    <w:rsid w:val="00C26BDB"/>
    <w:rsid w:val="00C26C08"/>
    <w:rsid w:val="00C27111"/>
    <w:rsid w:val="00C2729A"/>
    <w:rsid w:val="00C27935"/>
    <w:rsid w:val="00C27962"/>
    <w:rsid w:val="00C300A8"/>
    <w:rsid w:val="00C307B1"/>
    <w:rsid w:val="00C31B4E"/>
    <w:rsid w:val="00C329EB"/>
    <w:rsid w:val="00C330D5"/>
    <w:rsid w:val="00C34179"/>
    <w:rsid w:val="00C341D8"/>
    <w:rsid w:val="00C3447D"/>
    <w:rsid w:val="00C3466D"/>
    <w:rsid w:val="00C346A7"/>
    <w:rsid w:val="00C34C13"/>
    <w:rsid w:val="00C34F84"/>
    <w:rsid w:val="00C350E6"/>
    <w:rsid w:val="00C3513A"/>
    <w:rsid w:val="00C3533D"/>
    <w:rsid w:val="00C3686E"/>
    <w:rsid w:val="00C36AC4"/>
    <w:rsid w:val="00C4031B"/>
    <w:rsid w:val="00C40776"/>
    <w:rsid w:val="00C407DC"/>
    <w:rsid w:val="00C407EC"/>
    <w:rsid w:val="00C4107C"/>
    <w:rsid w:val="00C413B6"/>
    <w:rsid w:val="00C415DF"/>
    <w:rsid w:val="00C4194C"/>
    <w:rsid w:val="00C41F88"/>
    <w:rsid w:val="00C428EE"/>
    <w:rsid w:val="00C43BA9"/>
    <w:rsid w:val="00C43C3C"/>
    <w:rsid w:val="00C44613"/>
    <w:rsid w:val="00C44A13"/>
    <w:rsid w:val="00C44ADD"/>
    <w:rsid w:val="00C44C23"/>
    <w:rsid w:val="00C44CD4"/>
    <w:rsid w:val="00C451A2"/>
    <w:rsid w:val="00C459B0"/>
    <w:rsid w:val="00C45B36"/>
    <w:rsid w:val="00C45EDC"/>
    <w:rsid w:val="00C46110"/>
    <w:rsid w:val="00C461ED"/>
    <w:rsid w:val="00C46D21"/>
    <w:rsid w:val="00C46F65"/>
    <w:rsid w:val="00C4701A"/>
    <w:rsid w:val="00C501A1"/>
    <w:rsid w:val="00C503C4"/>
    <w:rsid w:val="00C506C7"/>
    <w:rsid w:val="00C51B2E"/>
    <w:rsid w:val="00C51E24"/>
    <w:rsid w:val="00C52224"/>
    <w:rsid w:val="00C526E3"/>
    <w:rsid w:val="00C527A0"/>
    <w:rsid w:val="00C5284A"/>
    <w:rsid w:val="00C536C8"/>
    <w:rsid w:val="00C54529"/>
    <w:rsid w:val="00C55391"/>
    <w:rsid w:val="00C55588"/>
    <w:rsid w:val="00C56027"/>
    <w:rsid w:val="00C56611"/>
    <w:rsid w:val="00C56919"/>
    <w:rsid w:val="00C56A8B"/>
    <w:rsid w:val="00C56B08"/>
    <w:rsid w:val="00C56ED5"/>
    <w:rsid w:val="00C571D9"/>
    <w:rsid w:val="00C57381"/>
    <w:rsid w:val="00C5759C"/>
    <w:rsid w:val="00C57624"/>
    <w:rsid w:val="00C5792F"/>
    <w:rsid w:val="00C57BD7"/>
    <w:rsid w:val="00C57C99"/>
    <w:rsid w:val="00C57E8A"/>
    <w:rsid w:val="00C609AE"/>
    <w:rsid w:val="00C60D23"/>
    <w:rsid w:val="00C60D67"/>
    <w:rsid w:val="00C61142"/>
    <w:rsid w:val="00C6188C"/>
    <w:rsid w:val="00C61B75"/>
    <w:rsid w:val="00C61D22"/>
    <w:rsid w:val="00C62094"/>
    <w:rsid w:val="00C62767"/>
    <w:rsid w:val="00C632DF"/>
    <w:rsid w:val="00C6358C"/>
    <w:rsid w:val="00C63D56"/>
    <w:rsid w:val="00C647A3"/>
    <w:rsid w:val="00C64911"/>
    <w:rsid w:val="00C64C89"/>
    <w:rsid w:val="00C64D22"/>
    <w:rsid w:val="00C64FD0"/>
    <w:rsid w:val="00C65411"/>
    <w:rsid w:val="00C65559"/>
    <w:rsid w:val="00C659F9"/>
    <w:rsid w:val="00C65C3C"/>
    <w:rsid w:val="00C66345"/>
    <w:rsid w:val="00C6719E"/>
    <w:rsid w:val="00C70946"/>
    <w:rsid w:val="00C70DB6"/>
    <w:rsid w:val="00C70E00"/>
    <w:rsid w:val="00C7129F"/>
    <w:rsid w:val="00C716D9"/>
    <w:rsid w:val="00C71962"/>
    <w:rsid w:val="00C7201C"/>
    <w:rsid w:val="00C72BC3"/>
    <w:rsid w:val="00C73229"/>
    <w:rsid w:val="00C735F4"/>
    <w:rsid w:val="00C737A7"/>
    <w:rsid w:val="00C73A9B"/>
    <w:rsid w:val="00C741A3"/>
    <w:rsid w:val="00C74451"/>
    <w:rsid w:val="00C74EF5"/>
    <w:rsid w:val="00C751CF"/>
    <w:rsid w:val="00C75425"/>
    <w:rsid w:val="00C75667"/>
    <w:rsid w:val="00C758E7"/>
    <w:rsid w:val="00C75D58"/>
    <w:rsid w:val="00C76278"/>
    <w:rsid w:val="00C763B9"/>
    <w:rsid w:val="00C76481"/>
    <w:rsid w:val="00C76838"/>
    <w:rsid w:val="00C775C8"/>
    <w:rsid w:val="00C802A8"/>
    <w:rsid w:val="00C80842"/>
    <w:rsid w:val="00C8142E"/>
    <w:rsid w:val="00C818D5"/>
    <w:rsid w:val="00C818DD"/>
    <w:rsid w:val="00C81A0C"/>
    <w:rsid w:val="00C81BE8"/>
    <w:rsid w:val="00C81FE3"/>
    <w:rsid w:val="00C825B3"/>
    <w:rsid w:val="00C827BE"/>
    <w:rsid w:val="00C83482"/>
    <w:rsid w:val="00C839E1"/>
    <w:rsid w:val="00C83BE8"/>
    <w:rsid w:val="00C84076"/>
    <w:rsid w:val="00C8438F"/>
    <w:rsid w:val="00C848D6"/>
    <w:rsid w:val="00C84EDC"/>
    <w:rsid w:val="00C8516E"/>
    <w:rsid w:val="00C85984"/>
    <w:rsid w:val="00C85E59"/>
    <w:rsid w:val="00C867D0"/>
    <w:rsid w:val="00C86B1C"/>
    <w:rsid w:val="00C86F4F"/>
    <w:rsid w:val="00C87D40"/>
    <w:rsid w:val="00C91359"/>
    <w:rsid w:val="00C91A4F"/>
    <w:rsid w:val="00C91C65"/>
    <w:rsid w:val="00C92555"/>
    <w:rsid w:val="00C9295C"/>
    <w:rsid w:val="00C92C15"/>
    <w:rsid w:val="00C93FC7"/>
    <w:rsid w:val="00C9453A"/>
    <w:rsid w:val="00C950A1"/>
    <w:rsid w:val="00C952BF"/>
    <w:rsid w:val="00C965FC"/>
    <w:rsid w:val="00C96936"/>
    <w:rsid w:val="00C96AF4"/>
    <w:rsid w:val="00C96D40"/>
    <w:rsid w:val="00C96D96"/>
    <w:rsid w:val="00C96DE6"/>
    <w:rsid w:val="00C97092"/>
    <w:rsid w:val="00CA0297"/>
    <w:rsid w:val="00CA08D0"/>
    <w:rsid w:val="00CA0F84"/>
    <w:rsid w:val="00CA1007"/>
    <w:rsid w:val="00CA108E"/>
    <w:rsid w:val="00CA1A7A"/>
    <w:rsid w:val="00CA25E4"/>
    <w:rsid w:val="00CA2745"/>
    <w:rsid w:val="00CA2762"/>
    <w:rsid w:val="00CA2BA2"/>
    <w:rsid w:val="00CA373D"/>
    <w:rsid w:val="00CA3B89"/>
    <w:rsid w:val="00CA40A3"/>
    <w:rsid w:val="00CA4610"/>
    <w:rsid w:val="00CA4A8D"/>
    <w:rsid w:val="00CA4AC3"/>
    <w:rsid w:val="00CA50E5"/>
    <w:rsid w:val="00CA50EB"/>
    <w:rsid w:val="00CA51F0"/>
    <w:rsid w:val="00CA56C3"/>
    <w:rsid w:val="00CA6029"/>
    <w:rsid w:val="00CA6D9E"/>
    <w:rsid w:val="00CA6EA6"/>
    <w:rsid w:val="00CB0A8C"/>
    <w:rsid w:val="00CB12AC"/>
    <w:rsid w:val="00CB16DC"/>
    <w:rsid w:val="00CB1CC8"/>
    <w:rsid w:val="00CB1E54"/>
    <w:rsid w:val="00CB2584"/>
    <w:rsid w:val="00CB33FC"/>
    <w:rsid w:val="00CB353D"/>
    <w:rsid w:val="00CB3DBF"/>
    <w:rsid w:val="00CB3FB0"/>
    <w:rsid w:val="00CB41A0"/>
    <w:rsid w:val="00CB443F"/>
    <w:rsid w:val="00CB4972"/>
    <w:rsid w:val="00CB5119"/>
    <w:rsid w:val="00CB5496"/>
    <w:rsid w:val="00CB5F26"/>
    <w:rsid w:val="00CB7D09"/>
    <w:rsid w:val="00CC06E1"/>
    <w:rsid w:val="00CC07C6"/>
    <w:rsid w:val="00CC0D14"/>
    <w:rsid w:val="00CC0FC5"/>
    <w:rsid w:val="00CC1A35"/>
    <w:rsid w:val="00CC1BF2"/>
    <w:rsid w:val="00CC242C"/>
    <w:rsid w:val="00CC31EA"/>
    <w:rsid w:val="00CC4280"/>
    <w:rsid w:val="00CC441A"/>
    <w:rsid w:val="00CC455E"/>
    <w:rsid w:val="00CC468B"/>
    <w:rsid w:val="00CC521C"/>
    <w:rsid w:val="00CC5514"/>
    <w:rsid w:val="00CC5AD0"/>
    <w:rsid w:val="00CC5F29"/>
    <w:rsid w:val="00CC60C2"/>
    <w:rsid w:val="00CC6809"/>
    <w:rsid w:val="00CC72DE"/>
    <w:rsid w:val="00CC79D4"/>
    <w:rsid w:val="00CC7B46"/>
    <w:rsid w:val="00CC7CA0"/>
    <w:rsid w:val="00CD073F"/>
    <w:rsid w:val="00CD0CE1"/>
    <w:rsid w:val="00CD12B7"/>
    <w:rsid w:val="00CD184D"/>
    <w:rsid w:val="00CD2F23"/>
    <w:rsid w:val="00CD318B"/>
    <w:rsid w:val="00CD341E"/>
    <w:rsid w:val="00CD374D"/>
    <w:rsid w:val="00CD3884"/>
    <w:rsid w:val="00CD424D"/>
    <w:rsid w:val="00CD4655"/>
    <w:rsid w:val="00CD473D"/>
    <w:rsid w:val="00CD5D54"/>
    <w:rsid w:val="00CD5FA0"/>
    <w:rsid w:val="00CD67AE"/>
    <w:rsid w:val="00CD6C0A"/>
    <w:rsid w:val="00CD755D"/>
    <w:rsid w:val="00CD7586"/>
    <w:rsid w:val="00CD7A24"/>
    <w:rsid w:val="00CD7A3A"/>
    <w:rsid w:val="00CE0039"/>
    <w:rsid w:val="00CE1079"/>
    <w:rsid w:val="00CE1F18"/>
    <w:rsid w:val="00CE25B4"/>
    <w:rsid w:val="00CE2851"/>
    <w:rsid w:val="00CE3385"/>
    <w:rsid w:val="00CE3A05"/>
    <w:rsid w:val="00CE439F"/>
    <w:rsid w:val="00CE442D"/>
    <w:rsid w:val="00CE47CE"/>
    <w:rsid w:val="00CE4877"/>
    <w:rsid w:val="00CE520E"/>
    <w:rsid w:val="00CE5312"/>
    <w:rsid w:val="00CE55E5"/>
    <w:rsid w:val="00CE671E"/>
    <w:rsid w:val="00CE73CC"/>
    <w:rsid w:val="00CE76CC"/>
    <w:rsid w:val="00CE7A16"/>
    <w:rsid w:val="00CE7AE4"/>
    <w:rsid w:val="00CE7F3C"/>
    <w:rsid w:val="00CF008C"/>
    <w:rsid w:val="00CF037B"/>
    <w:rsid w:val="00CF037C"/>
    <w:rsid w:val="00CF1102"/>
    <w:rsid w:val="00CF1DE1"/>
    <w:rsid w:val="00CF23B0"/>
    <w:rsid w:val="00CF248F"/>
    <w:rsid w:val="00CF2AB6"/>
    <w:rsid w:val="00CF324D"/>
    <w:rsid w:val="00CF3868"/>
    <w:rsid w:val="00CF393D"/>
    <w:rsid w:val="00CF39B6"/>
    <w:rsid w:val="00CF3B6E"/>
    <w:rsid w:val="00CF49B1"/>
    <w:rsid w:val="00CF529D"/>
    <w:rsid w:val="00CF5346"/>
    <w:rsid w:val="00CF5350"/>
    <w:rsid w:val="00CF5878"/>
    <w:rsid w:val="00CF5B75"/>
    <w:rsid w:val="00CF5E13"/>
    <w:rsid w:val="00CF5F76"/>
    <w:rsid w:val="00CF65B2"/>
    <w:rsid w:val="00CF65C9"/>
    <w:rsid w:val="00CF6B69"/>
    <w:rsid w:val="00CF6E71"/>
    <w:rsid w:val="00CF74BB"/>
    <w:rsid w:val="00CF7870"/>
    <w:rsid w:val="00CF7DAA"/>
    <w:rsid w:val="00CF7DF1"/>
    <w:rsid w:val="00CF7E01"/>
    <w:rsid w:val="00D00331"/>
    <w:rsid w:val="00D004C9"/>
    <w:rsid w:val="00D00AA4"/>
    <w:rsid w:val="00D01048"/>
    <w:rsid w:val="00D01282"/>
    <w:rsid w:val="00D0147E"/>
    <w:rsid w:val="00D01490"/>
    <w:rsid w:val="00D014F3"/>
    <w:rsid w:val="00D0190A"/>
    <w:rsid w:val="00D02631"/>
    <w:rsid w:val="00D03277"/>
    <w:rsid w:val="00D034ED"/>
    <w:rsid w:val="00D03764"/>
    <w:rsid w:val="00D03A4E"/>
    <w:rsid w:val="00D04669"/>
    <w:rsid w:val="00D04A78"/>
    <w:rsid w:val="00D04D44"/>
    <w:rsid w:val="00D04DD9"/>
    <w:rsid w:val="00D0515C"/>
    <w:rsid w:val="00D05751"/>
    <w:rsid w:val="00D069D1"/>
    <w:rsid w:val="00D103EB"/>
    <w:rsid w:val="00D1045D"/>
    <w:rsid w:val="00D10830"/>
    <w:rsid w:val="00D1089D"/>
    <w:rsid w:val="00D10B88"/>
    <w:rsid w:val="00D11241"/>
    <w:rsid w:val="00D12592"/>
    <w:rsid w:val="00D127FD"/>
    <w:rsid w:val="00D1294B"/>
    <w:rsid w:val="00D12E0F"/>
    <w:rsid w:val="00D1326E"/>
    <w:rsid w:val="00D13612"/>
    <w:rsid w:val="00D138D5"/>
    <w:rsid w:val="00D1481E"/>
    <w:rsid w:val="00D14CBF"/>
    <w:rsid w:val="00D154E8"/>
    <w:rsid w:val="00D15C2E"/>
    <w:rsid w:val="00D16271"/>
    <w:rsid w:val="00D16D46"/>
    <w:rsid w:val="00D16D7F"/>
    <w:rsid w:val="00D173B9"/>
    <w:rsid w:val="00D17485"/>
    <w:rsid w:val="00D17AA8"/>
    <w:rsid w:val="00D200E4"/>
    <w:rsid w:val="00D20FD9"/>
    <w:rsid w:val="00D21BC9"/>
    <w:rsid w:val="00D22049"/>
    <w:rsid w:val="00D228A0"/>
    <w:rsid w:val="00D22FEA"/>
    <w:rsid w:val="00D23089"/>
    <w:rsid w:val="00D23201"/>
    <w:rsid w:val="00D23E32"/>
    <w:rsid w:val="00D24CDF"/>
    <w:rsid w:val="00D24EF9"/>
    <w:rsid w:val="00D250A0"/>
    <w:rsid w:val="00D25840"/>
    <w:rsid w:val="00D25DDF"/>
    <w:rsid w:val="00D25E92"/>
    <w:rsid w:val="00D268BC"/>
    <w:rsid w:val="00D27A09"/>
    <w:rsid w:val="00D27A85"/>
    <w:rsid w:val="00D3074A"/>
    <w:rsid w:val="00D310B0"/>
    <w:rsid w:val="00D31896"/>
    <w:rsid w:val="00D318AB"/>
    <w:rsid w:val="00D3214F"/>
    <w:rsid w:val="00D32FA9"/>
    <w:rsid w:val="00D3316E"/>
    <w:rsid w:val="00D3337A"/>
    <w:rsid w:val="00D339C7"/>
    <w:rsid w:val="00D33F35"/>
    <w:rsid w:val="00D3484F"/>
    <w:rsid w:val="00D34C4A"/>
    <w:rsid w:val="00D34F7F"/>
    <w:rsid w:val="00D350B9"/>
    <w:rsid w:val="00D361A1"/>
    <w:rsid w:val="00D36B14"/>
    <w:rsid w:val="00D36F97"/>
    <w:rsid w:val="00D36FA5"/>
    <w:rsid w:val="00D3729A"/>
    <w:rsid w:val="00D37F54"/>
    <w:rsid w:val="00D400EA"/>
    <w:rsid w:val="00D40293"/>
    <w:rsid w:val="00D403D7"/>
    <w:rsid w:val="00D404EB"/>
    <w:rsid w:val="00D406D0"/>
    <w:rsid w:val="00D40939"/>
    <w:rsid w:val="00D41267"/>
    <w:rsid w:val="00D41304"/>
    <w:rsid w:val="00D418F0"/>
    <w:rsid w:val="00D41BCE"/>
    <w:rsid w:val="00D41FBE"/>
    <w:rsid w:val="00D41FD9"/>
    <w:rsid w:val="00D42979"/>
    <w:rsid w:val="00D42DC2"/>
    <w:rsid w:val="00D4320C"/>
    <w:rsid w:val="00D439E9"/>
    <w:rsid w:val="00D43CDB"/>
    <w:rsid w:val="00D44545"/>
    <w:rsid w:val="00D45880"/>
    <w:rsid w:val="00D45DE7"/>
    <w:rsid w:val="00D468FF"/>
    <w:rsid w:val="00D47234"/>
    <w:rsid w:val="00D4729A"/>
    <w:rsid w:val="00D477B9"/>
    <w:rsid w:val="00D5005F"/>
    <w:rsid w:val="00D5028F"/>
    <w:rsid w:val="00D5073A"/>
    <w:rsid w:val="00D50B82"/>
    <w:rsid w:val="00D50EF3"/>
    <w:rsid w:val="00D5102B"/>
    <w:rsid w:val="00D51160"/>
    <w:rsid w:val="00D51507"/>
    <w:rsid w:val="00D5178C"/>
    <w:rsid w:val="00D51938"/>
    <w:rsid w:val="00D51EE2"/>
    <w:rsid w:val="00D5200F"/>
    <w:rsid w:val="00D521ED"/>
    <w:rsid w:val="00D52EED"/>
    <w:rsid w:val="00D549F9"/>
    <w:rsid w:val="00D55737"/>
    <w:rsid w:val="00D557DC"/>
    <w:rsid w:val="00D56121"/>
    <w:rsid w:val="00D56641"/>
    <w:rsid w:val="00D56DD9"/>
    <w:rsid w:val="00D56F8C"/>
    <w:rsid w:val="00D57027"/>
    <w:rsid w:val="00D5706C"/>
    <w:rsid w:val="00D57AFC"/>
    <w:rsid w:val="00D60341"/>
    <w:rsid w:val="00D6097A"/>
    <w:rsid w:val="00D60B68"/>
    <w:rsid w:val="00D60EE2"/>
    <w:rsid w:val="00D6139A"/>
    <w:rsid w:val="00D614CC"/>
    <w:rsid w:val="00D61B15"/>
    <w:rsid w:val="00D62123"/>
    <w:rsid w:val="00D623B9"/>
    <w:rsid w:val="00D625AC"/>
    <w:rsid w:val="00D625B6"/>
    <w:rsid w:val="00D62621"/>
    <w:rsid w:val="00D6301A"/>
    <w:rsid w:val="00D63193"/>
    <w:rsid w:val="00D63D54"/>
    <w:rsid w:val="00D63E88"/>
    <w:rsid w:val="00D63EBE"/>
    <w:rsid w:val="00D6448A"/>
    <w:rsid w:val="00D64A7E"/>
    <w:rsid w:val="00D65167"/>
    <w:rsid w:val="00D659D7"/>
    <w:rsid w:val="00D65EB1"/>
    <w:rsid w:val="00D66A68"/>
    <w:rsid w:val="00D673BF"/>
    <w:rsid w:val="00D6775E"/>
    <w:rsid w:val="00D67A94"/>
    <w:rsid w:val="00D70151"/>
    <w:rsid w:val="00D7018D"/>
    <w:rsid w:val="00D70D59"/>
    <w:rsid w:val="00D713AE"/>
    <w:rsid w:val="00D713CB"/>
    <w:rsid w:val="00D71B14"/>
    <w:rsid w:val="00D7286A"/>
    <w:rsid w:val="00D72AD6"/>
    <w:rsid w:val="00D72BFB"/>
    <w:rsid w:val="00D72E7A"/>
    <w:rsid w:val="00D7348D"/>
    <w:rsid w:val="00D74224"/>
    <w:rsid w:val="00D74D28"/>
    <w:rsid w:val="00D7500B"/>
    <w:rsid w:val="00D751AC"/>
    <w:rsid w:val="00D758A9"/>
    <w:rsid w:val="00D75F53"/>
    <w:rsid w:val="00D762FD"/>
    <w:rsid w:val="00D76557"/>
    <w:rsid w:val="00D7668B"/>
    <w:rsid w:val="00D76E4D"/>
    <w:rsid w:val="00D76F03"/>
    <w:rsid w:val="00D77E8C"/>
    <w:rsid w:val="00D8066F"/>
    <w:rsid w:val="00D80DB2"/>
    <w:rsid w:val="00D80FBC"/>
    <w:rsid w:val="00D812B5"/>
    <w:rsid w:val="00D82B7B"/>
    <w:rsid w:val="00D832AD"/>
    <w:rsid w:val="00D832E3"/>
    <w:rsid w:val="00D83535"/>
    <w:rsid w:val="00D83C99"/>
    <w:rsid w:val="00D83DC5"/>
    <w:rsid w:val="00D8420D"/>
    <w:rsid w:val="00D84612"/>
    <w:rsid w:val="00D84A02"/>
    <w:rsid w:val="00D84B0D"/>
    <w:rsid w:val="00D8525A"/>
    <w:rsid w:val="00D86175"/>
    <w:rsid w:val="00D86216"/>
    <w:rsid w:val="00D862F3"/>
    <w:rsid w:val="00D8683B"/>
    <w:rsid w:val="00D86FFC"/>
    <w:rsid w:val="00D871DF"/>
    <w:rsid w:val="00D872B9"/>
    <w:rsid w:val="00D8738A"/>
    <w:rsid w:val="00D874E1"/>
    <w:rsid w:val="00D87824"/>
    <w:rsid w:val="00D87D22"/>
    <w:rsid w:val="00D87DC9"/>
    <w:rsid w:val="00D90135"/>
    <w:rsid w:val="00D901D9"/>
    <w:rsid w:val="00D90413"/>
    <w:rsid w:val="00D91012"/>
    <w:rsid w:val="00D913B8"/>
    <w:rsid w:val="00D91C75"/>
    <w:rsid w:val="00D9463B"/>
    <w:rsid w:val="00D94972"/>
    <w:rsid w:val="00D94A11"/>
    <w:rsid w:val="00D951ED"/>
    <w:rsid w:val="00D9560E"/>
    <w:rsid w:val="00D95ED7"/>
    <w:rsid w:val="00D960ED"/>
    <w:rsid w:val="00D96D68"/>
    <w:rsid w:val="00D96F39"/>
    <w:rsid w:val="00DA0769"/>
    <w:rsid w:val="00DA17B6"/>
    <w:rsid w:val="00DA1878"/>
    <w:rsid w:val="00DA1DE1"/>
    <w:rsid w:val="00DA3273"/>
    <w:rsid w:val="00DA3655"/>
    <w:rsid w:val="00DA3991"/>
    <w:rsid w:val="00DA3C78"/>
    <w:rsid w:val="00DA3DA4"/>
    <w:rsid w:val="00DA3E67"/>
    <w:rsid w:val="00DA3F5B"/>
    <w:rsid w:val="00DA4102"/>
    <w:rsid w:val="00DA4AF4"/>
    <w:rsid w:val="00DA51A3"/>
    <w:rsid w:val="00DA675B"/>
    <w:rsid w:val="00DA6DB4"/>
    <w:rsid w:val="00DA6E25"/>
    <w:rsid w:val="00DB026C"/>
    <w:rsid w:val="00DB0791"/>
    <w:rsid w:val="00DB0856"/>
    <w:rsid w:val="00DB08F1"/>
    <w:rsid w:val="00DB0D31"/>
    <w:rsid w:val="00DB12B1"/>
    <w:rsid w:val="00DB1956"/>
    <w:rsid w:val="00DB1B31"/>
    <w:rsid w:val="00DB1C60"/>
    <w:rsid w:val="00DB2128"/>
    <w:rsid w:val="00DB2ED9"/>
    <w:rsid w:val="00DB2EF9"/>
    <w:rsid w:val="00DB442C"/>
    <w:rsid w:val="00DB4439"/>
    <w:rsid w:val="00DB4ED1"/>
    <w:rsid w:val="00DB59D3"/>
    <w:rsid w:val="00DB5A16"/>
    <w:rsid w:val="00DB6C67"/>
    <w:rsid w:val="00DB6D44"/>
    <w:rsid w:val="00DB6DC0"/>
    <w:rsid w:val="00DB71E0"/>
    <w:rsid w:val="00DB727F"/>
    <w:rsid w:val="00DB74BB"/>
    <w:rsid w:val="00DB77E8"/>
    <w:rsid w:val="00DB7B28"/>
    <w:rsid w:val="00DB7EED"/>
    <w:rsid w:val="00DC062C"/>
    <w:rsid w:val="00DC07AC"/>
    <w:rsid w:val="00DC0958"/>
    <w:rsid w:val="00DC0D5F"/>
    <w:rsid w:val="00DC1489"/>
    <w:rsid w:val="00DC1520"/>
    <w:rsid w:val="00DC1561"/>
    <w:rsid w:val="00DC1924"/>
    <w:rsid w:val="00DC1984"/>
    <w:rsid w:val="00DC1C10"/>
    <w:rsid w:val="00DC238F"/>
    <w:rsid w:val="00DC2B54"/>
    <w:rsid w:val="00DC354A"/>
    <w:rsid w:val="00DC365D"/>
    <w:rsid w:val="00DC3761"/>
    <w:rsid w:val="00DC3C1D"/>
    <w:rsid w:val="00DC3D63"/>
    <w:rsid w:val="00DC425C"/>
    <w:rsid w:val="00DC5182"/>
    <w:rsid w:val="00DC57A9"/>
    <w:rsid w:val="00DC58E2"/>
    <w:rsid w:val="00DC5F30"/>
    <w:rsid w:val="00DC5F38"/>
    <w:rsid w:val="00DC6D2E"/>
    <w:rsid w:val="00DC6E0F"/>
    <w:rsid w:val="00DC71D1"/>
    <w:rsid w:val="00DC7D0C"/>
    <w:rsid w:val="00DD03ED"/>
    <w:rsid w:val="00DD0512"/>
    <w:rsid w:val="00DD0BBC"/>
    <w:rsid w:val="00DD2262"/>
    <w:rsid w:val="00DD53D4"/>
    <w:rsid w:val="00DD53F3"/>
    <w:rsid w:val="00DD5CBF"/>
    <w:rsid w:val="00DD6295"/>
    <w:rsid w:val="00DD63D5"/>
    <w:rsid w:val="00DD64F5"/>
    <w:rsid w:val="00DD65EF"/>
    <w:rsid w:val="00DD6C70"/>
    <w:rsid w:val="00DD6F23"/>
    <w:rsid w:val="00DD71F6"/>
    <w:rsid w:val="00DD7B93"/>
    <w:rsid w:val="00DD7EE3"/>
    <w:rsid w:val="00DE05D9"/>
    <w:rsid w:val="00DE1133"/>
    <w:rsid w:val="00DE15FD"/>
    <w:rsid w:val="00DE1838"/>
    <w:rsid w:val="00DE1FB9"/>
    <w:rsid w:val="00DE27BD"/>
    <w:rsid w:val="00DE32E4"/>
    <w:rsid w:val="00DE3B4B"/>
    <w:rsid w:val="00DE3C15"/>
    <w:rsid w:val="00DE3EC2"/>
    <w:rsid w:val="00DE402B"/>
    <w:rsid w:val="00DE4092"/>
    <w:rsid w:val="00DE41F2"/>
    <w:rsid w:val="00DE4C36"/>
    <w:rsid w:val="00DE5D55"/>
    <w:rsid w:val="00DE625B"/>
    <w:rsid w:val="00DE769A"/>
    <w:rsid w:val="00DE7798"/>
    <w:rsid w:val="00DE7D63"/>
    <w:rsid w:val="00DE7FCE"/>
    <w:rsid w:val="00DF0846"/>
    <w:rsid w:val="00DF1485"/>
    <w:rsid w:val="00DF1AAA"/>
    <w:rsid w:val="00DF2684"/>
    <w:rsid w:val="00DF2A21"/>
    <w:rsid w:val="00DF2A91"/>
    <w:rsid w:val="00DF2D81"/>
    <w:rsid w:val="00DF31F2"/>
    <w:rsid w:val="00DF365E"/>
    <w:rsid w:val="00DF37F0"/>
    <w:rsid w:val="00DF3B65"/>
    <w:rsid w:val="00DF3DA5"/>
    <w:rsid w:val="00DF3DAF"/>
    <w:rsid w:val="00DF4202"/>
    <w:rsid w:val="00DF4392"/>
    <w:rsid w:val="00DF4601"/>
    <w:rsid w:val="00DF4AE8"/>
    <w:rsid w:val="00DF50A6"/>
    <w:rsid w:val="00DF557F"/>
    <w:rsid w:val="00DF55F5"/>
    <w:rsid w:val="00DF58C6"/>
    <w:rsid w:val="00DF60E6"/>
    <w:rsid w:val="00DF73F5"/>
    <w:rsid w:val="00DF75EB"/>
    <w:rsid w:val="00DF7731"/>
    <w:rsid w:val="00DF7C52"/>
    <w:rsid w:val="00DF7CD7"/>
    <w:rsid w:val="00E005FA"/>
    <w:rsid w:val="00E00DDD"/>
    <w:rsid w:val="00E0111D"/>
    <w:rsid w:val="00E01232"/>
    <w:rsid w:val="00E01522"/>
    <w:rsid w:val="00E01A28"/>
    <w:rsid w:val="00E023C3"/>
    <w:rsid w:val="00E02CC8"/>
    <w:rsid w:val="00E037C6"/>
    <w:rsid w:val="00E03854"/>
    <w:rsid w:val="00E03C8F"/>
    <w:rsid w:val="00E03CE5"/>
    <w:rsid w:val="00E03FE2"/>
    <w:rsid w:val="00E04052"/>
    <w:rsid w:val="00E040D8"/>
    <w:rsid w:val="00E0470C"/>
    <w:rsid w:val="00E04AFD"/>
    <w:rsid w:val="00E04FE4"/>
    <w:rsid w:val="00E0581F"/>
    <w:rsid w:val="00E05AAB"/>
    <w:rsid w:val="00E05BA6"/>
    <w:rsid w:val="00E0681F"/>
    <w:rsid w:val="00E07039"/>
    <w:rsid w:val="00E07289"/>
    <w:rsid w:val="00E077AD"/>
    <w:rsid w:val="00E0781F"/>
    <w:rsid w:val="00E07BA4"/>
    <w:rsid w:val="00E10090"/>
    <w:rsid w:val="00E10091"/>
    <w:rsid w:val="00E10D1D"/>
    <w:rsid w:val="00E110BD"/>
    <w:rsid w:val="00E1128A"/>
    <w:rsid w:val="00E1130A"/>
    <w:rsid w:val="00E11F2A"/>
    <w:rsid w:val="00E128EB"/>
    <w:rsid w:val="00E13754"/>
    <w:rsid w:val="00E139C0"/>
    <w:rsid w:val="00E14309"/>
    <w:rsid w:val="00E148EF"/>
    <w:rsid w:val="00E149A1"/>
    <w:rsid w:val="00E14E31"/>
    <w:rsid w:val="00E15454"/>
    <w:rsid w:val="00E16DCF"/>
    <w:rsid w:val="00E17751"/>
    <w:rsid w:val="00E17B0A"/>
    <w:rsid w:val="00E20268"/>
    <w:rsid w:val="00E207F5"/>
    <w:rsid w:val="00E20C0A"/>
    <w:rsid w:val="00E21235"/>
    <w:rsid w:val="00E21281"/>
    <w:rsid w:val="00E21373"/>
    <w:rsid w:val="00E213BB"/>
    <w:rsid w:val="00E218B2"/>
    <w:rsid w:val="00E21901"/>
    <w:rsid w:val="00E22A98"/>
    <w:rsid w:val="00E22FA8"/>
    <w:rsid w:val="00E241BE"/>
    <w:rsid w:val="00E24839"/>
    <w:rsid w:val="00E254B8"/>
    <w:rsid w:val="00E25533"/>
    <w:rsid w:val="00E258E1"/>
    <w:rsid w:val="00E26487"/>
    <w:rsid w:val="00E26630"/>
    <w:rsid w:val="00E26E6C"/>
    <w:rsid w:val="00E30FB5"/>
    <w:rsid w:val="00E3139E"/>
    <w:rsid w:val="00E31476"/>
    <w:rsid w:val="00E31702"/>
    <w:rsid w:val="00E31D19"/>
    <w:rsid w:val="00E31D47"/>
    <w:rsid w:val="00E32036"/>
    <w:rsid w:val="00E3227E"/>
    <w:rsid w:val="00E322D4"/>
    <w:rsid w:val="00E32733"/>
    <w:rsid w:val="00E33146"/>
    <w:rsid w:val="00E3382D"/>
    <w:rsid w:val="00E338AB"/>
    <w:rsid w:val="00E34181"/>
    <w:rsid w:val="00E3418C"/>
    <w:rsid w:val="00E341DD"/>
    <w:rsid w:val="00E3481A"/>
    <w:rsid w:val="00E35B5B"/>
    <w:rsid w:val="00E35CC9"/>
    <w:rsid w:val="00E35E51"/>
    <w:rsid w:val="00E36784"/>
    <w:rsid w:val="00E36793"/>
    <w:rsid w:val="00E36C43"/>
    <w:rsid w:val="00E36D82"/>
    <w:rsid w:val="00E416FC"/>
    <w:rsid w:val="00E425C0"/>
    <w:rsid w:val="00E4339E"/>
    <w:rsid w:val="00E433BB"/>
    <w:rsid w:val="00E4363D"/>
    <w:rsid w:val="00E441C5"/>
    <w:rsid w:val="00E4422E"/>
    <w:rsid w:val="00E4443D"/>
    <w:rsid w:val="00E4458A"/>
    <w:rsid w:val="00E4556E"/>
    <w:rsid w:val="00E45C75"/>
    <w:rsid w:val="00E465EA"/>
    <w:rsid w:val="00E46ED6"/>
    <w:rsid w:val="00E47E9F"/>
    <w:rsid w:val="00E507AF"/>
    <w:rsid w:val="00E509CA"/>
    <w:rsid w:val="00E50A9C"/>
    <w:rsid w:val="00E5170D"/>
    <w:rsid w:val="00E52425"/>
    <w:rsid w:val="00E52605"/>
    <w:rsid w:val="00E531E5"/>
    <w:rsid w:val="00E53835"/>
    <w:rsid w:val="00E539A7"/>
    <w:rsid w:val="00E539D9"/>
    <w:rsid w:val="00E54063"/>
    <w:rsid w:val="00E55420"/>
    <w:rsid w:val="00E55882"/>
    <w:rsid w:val="00E55943"/>
    <w:rsid w:val="00E562CB"/>
    <w:rsid w:val="00E564D3"/>
    <w:rsid w:val="00E566B6"/>
    <w:rsid w:val="00E56CBA"/>
    <w:rsid w:val="00E56F14"/>
    <w:rsid w:val="00E56FDE"/>
    <w:rsid w:val="00E571A5"/>
    <w:rsid w:val="00E57750"/>
    <w:rsid w:val="00E578A0"/>
    <w:rsid w:val="00E57BD6"/>
    <w:rsid w:val="00E57EB7"/>
    <w:rsid w:val="00E60554"/>
    <w:rsid w:val="00E6059C"/>
    <w:rsid w:val="00E606B5"/>
    <w:rsid w:val="00E61260"/>
    <w:rsid w:val="00E615F4"/>
    <w:rsid w:val="00E6164C"/>
    <w:rsid w:val="00E6165B"/>
    <w:rsid w:val="00E616B4"/>
    <w:rsid w:val="00E62261"/>
    <w:rsid w:val="00E6295F"/>
    <w:rsid w:val="00E6297A"/>
    <w:rsid w:val="00E62AA4"/>
    <w:rsid w:val="00E62F53"/>
    <w:rsid w:val="00E63051"/>
    <w:rsid w:val="00E63A88"/>
    <w:rsid w:val="00E63F8F"/>
    <w:rsid w:val="00E641E7"/>
    <w:rsid w:val="00E6432A"/>
    <w:rsid w:val="00E645C2"/>
    <w:rsid w:val="00E6477B"/>
    <w:rsid w:val="00E649D0"/>
    <w:rsid w:val="00E64DC8"/>
    <w:rsid w:val="00E65E2B"/>
    <w:rsid w:val="00E65E83"/>
    <w:rsid w:val="00E66BC9"/>
    <w:rsid w:val="00E6763F"/>
    <w:rsid w:val="00E67D58"/>
    <w:rsid w:val="00E67DFD"/>
    <w:rsid w:val="00E704CF"/>
    <w:rsid w:val="00E70598"/>
    <w:rsid w:val="00E70AE2"/>
    <w:rsid w:val="00E71CCB"/>
    <w:rsid w:val="00E71E4E"/>
    <w:rsid w:val="00E72AFA"/>
    <w:rsid w:val="00E731A1"/>
    <w:rsid w:val="00E733BF"/>
    <w:rsid w:val="00E73A46"/>
    <w:rsid w:val="00E73C40"/>
    <w:rsid w:val="00E73C62"/>
    <w:rsid w:val="00E74CB0"/>
    <w:rsid w:val="00E75098"/>
    <w:rsid w:val="00E75D8F"/>
    <w:rsid w:val="00E75E4F"/>
    <w:rsid w:val="00E76031"/>
    <w:rsid w:val="00E762A5"/>
    <w:rsid w:val="00E76CF7"/>
    <w:rsid w:val="00E77431"/>
    <w:rsid w:val="00E80953"/>
    <w:rsid w:val="00E80DD7"/>
    <w:rsid w:val="00E81126"/>
    <w:rsid w:val="00E81BDC"/>
    <w:rsid w:val="00E81DF6"/>
    <w:rsid w:val="00E82633"/>
    <w:rsid w:val="00E83238"/>
    <w:rsid w:val="00E83421"/>
    <w:rsid w:val="00E835F8"/>
    <w:rsid w:val="00E837C4"/>
    <w:rsid w:val="00E839B4"/>
    <w:rsid w:val="00E84446"/>
    <w:rsid w:val="00E8471E"/>
    <w:rsid w:val="00E8490C"/>
    <w:rsid w:val="00E84DAD"/>
    <w:rsid w:val="00E84FCC"/>
    <w:rsid w:val="00E85261"/>
    <w:rsid w:val="00E85C02"/>
    <w:rsid w:val="00E85E2F"/>
    <w:rsid w:val="00E85E3B"/>
    <w:rsid w:val="00E85F72"/>
    <w:rsid w:val="00E8708D"/>
    <w:rsid w:val="00E8720C"/>
    <w:rsid w:val="00E87298"/>
    <w:rsid w:val="00E872D8"/>
    <w:rsid w:val="00E87550"/>
    <w:rsid w:val="00E876FA"/>
    <w:rsid w:val="00E877A1"/>
    <w:rsid w:val="00E8781D"/>
    <w:rsid w:val="00E87D0F"/>
    <w:rsid w:val="00E9076B"/>
    <w:rsid w:val="00E91089"/>
    <w:rsid w:val="00E91422"/>
    <w:rsid w:val="00E9168F"/>
    <w:rsid w:val="00E91690"/>
    <w:rsid w:val="00E91C1D"/>
    <w:rsid w:val="00E91D06"/>
    <w:rsid w:val="00E91F0D"/>
    <w:rsid w:val="00E9230E"/>
    <w:rsid w:val="00E92E9B"/>
    <w:rsid w:val="00E933A8"/>
    <w:rsid w:val="00E94350"/>
    <w:rsid w:val="00E9517A"/>
    <w:rsid w:val="00E95802"/>
    <w:rsid w:val="00E96300"/>
    <w:rsid w:val="00E969B4"/>
    <w:rsid w:val="00E97229"/>
    <w:rsid w:val="00EA0057"/>
    <w:rsid w:val="00EA06A0"/>
    <w:rsid w:val="00EA08C8"/>
    <w:rsid w:val="00EA0DB6"/>
    <w:rsid w:val="00EA0F7F"/>
    <w:rsid w:val="00EA11A5"/>
    <w:rsid w:val="00EA131A"/>
    <w:rsid w:val="00EA1647"/>
    <w:rsid w:val="00EA187D"/>
    <w:rsid w:val="00EA1C45"/>
    <w:rsid w:val="00EA2767"/>
    <w:rsid w:val="00EA3A01"/>
    <w:rsid w:val="00EA455D"/>
    <w:rsid w:val="00EA45A8"/>
    <w:rsid w:val="00EA537C"/>
    <w:rsid w:val="00EA5670"/>
    <w:rsid w:val="00EA586A"/>
    <w:rsid w:val="00EA6713"/>
    <w:rsid w:val="00EA6C3F"/>
    <w:rsid w:val="00EA74F9"/>
    <w:rsid w:val="00EA764F"/>
    <w:rsid w:val="00EA77F1"/>
    <w:rsid w:val="00EA78AC"/>
    <w:rsid w:val="00EA7C4A"/>
    <w:rsid w:val="00EB01F7"/>
    <w:rsid w:val="00EB05AD"/>
    <w:rsid w:val="00EB0706"/>
    <w:rsid w:val="00EB08A7"/>
    <w:rsid w:val="00EB0FA2"/>
    <w:rsid w:val="00EB153E"/>
    <w:rsid w:val="00EB1629"/>
    <w:rsid w:val="00EB19DB"/>
    <w:rsid w:val="00EB1A9B"/>
    <w:rsid w:val="00EB1C53"/>
    <w:rsid w:val="00EB1F2E"/>
    <w:rsid w:val="00EB204B"/>
    <w:rsid w:val="00EB2459"/>
    <w:rsid w:val="00EB2B1E"/>
    <w:rsid w:val="00EB2D44"/>
    <w:rsid w:val="00EB2E3A"/>
    <w:rsid w:val="00EB31C2"/>
    <w:rsid w:val="00EB365D"/>
    <w:rsid w:val="00EB39D3"/>
    <w:rsid w:val="00EB3ACC"/>
    <w:rsid w:val="00EB3EE3"/>
    <w:rsid w:val="00EB409E"/>
    <w:rsid w:val="00EB4440"/>
    <w:rsid w:val="00EB46AE"/>
    <w:rsid w:val="00EB5A43"/>
    <w:rsid w:val="00EB5D07"/>
    <w:rsid w:val="00EB66F1"/>
    <w:rsid w:val="00EB676D"/>
    <w:rsid w:val="00EB6899"/>
    <w:rsid w:val="00EB6923"/>
    <w:rsid w:val="00EB6B94"/>
    <w:rsid w:val="00EB776C"/>
    <w:rsid w:val="00EB7D9A"/>
    <w:rsid w:val="00EB7E6A"/>
    <w:rsid w:val="00EC01C4"/>
    <w:rsid w:val="00EC05B2"/>
    <w:rsid w:val="00EC0D80"/>
    <w:rsid w:val="00EC1380"/>
    <w:rsid w:val="00EC157B"/>
    <w:rsid w:val="00EC1C40"/>
    <w:rsid w:val="00EC2586"/>
    <w:rsid w:val="00EC28A2"/>
    <w:rsid w:val="00EC2B09"/>
    <w:rsid w:val="00EC314D"/>
    <w:rsid w:val="00EC39BC"/>
    <w:rsid w:val="00EC3E1B"/>
    <w:rsid w:val="00EC48C4"/>
    <w:rsid w:val="00EC4BE4"/>
    <w:rsid w:val="00EC511E"/>
    <w:rsid w:val="00EC5299"/>
    <w:rsid w:val="00EC63BA"/>
    <w:rsid w:val="00EC6841"/>
    <w:rsid w:val="00EC6DC5"/>
    <w:rsid w:val="00EC6EA8"/>
    <w:rsid w:val="00EC7D04"/>
    <w:rsid w:val="00ED12B4"/>
    <w:rsid w:val="00ED13BC"/>
    <w:rsid w:val="00ED16C6"/>
    <w:rsid w:val="00ED1B15"/>
    <w:rsid w:val="00ED1EE4"/>
    <w:rsid w:val="00ED1FB8"/>
    <w:rsid w:val="00ED23C2"/>
    <w:rsid w:val="00ED2C02"/>
    <w:rsid w:val="00ED2D03"/>
    <w:rsid w:val="00ED2F04"/>
    <w:rsid w:val="00ED36D4"/>
    <w:rsid w:val="00ED39DD"/>
    <w:rsid w:val="00ED3CA0"/>
    <w:rsid w:val="00ED3DDC"/>
    <w:rsid w:val="00ED47CE"/>
    <w:rsid w:val="00ED4B01"/>
    <w:rsid w:val="00ED4D9F"/>
    <w:rsid w:val="00ED4F7E"/>
    <w:rsid w:val="00ED51D3"/>
    <w:rsid w:val="00ED5932"/>
    <w:rsid w:val="00ED65A5"/>
    <w:rsid w:val="00ED6933"/>
    <w:rsid w:val="00ED74AE"/>
    <w:rsid w:val="00ED79FF"/>
    <w:rsid w:val="00ED7CD1"/>
    <w:rsid w:val="00EE0C03"/>
    <w:rsid w:val="00EE1023"/>
    <w:rsid w:val="00EE105A"/>
    <w:rsid w:val="00EE10D6"/>
    <w:rsid w:val="00EE133C"/>
    <w:rsid w:val="00EE136A"/>
    <w:rsid w:val="00EE14BC"/>
    <w:rsid w:val="00EE1DAE"/>
    <w:rsid w:val="00EE1F49"/>
    <w:rsid w:val="00EE2411"/>
    <w:rsid w:val="00EE288F"/>
    <w:rsid w:val="00EE2C01"/>
    <w:rsid w:val="00EE3418"/>
    <w:rsid w:val="00EE37A5"/>
    <w:rsid w:val="00EE3906"/>
    <w:rsid w:val="00EE3918"/>
    <w:rsid w:val="00EE3B44"/>
    <w:rsid w:val="00EE3FD2"/>
    <w:rsid w:val="00EE47F2"/>
    <w:rsid w:val="00EE4E18"/>
    <w:rsid w:val="00EE51C2"/>
    <w:rsid w:val="00EE5545"/>
    <w:rsid w:val="00EE581E"/>
    <w:rsid w:val="00EE65E7"/>
    <w:rsid w:val="00EE6A95"/>
    <w:rsid w:val="00EE7087"/>
    <w:rsid w:val="00EF01BF"/>
    <w:rsid w:val="00EF0402"/>
    <w:rsid w:val="00EF0465"/>
    <w:rsid w:val="00EF2DA4"/>
    <w:rsid w:val="00EF2F22"/>
    <w:rsid w:val="00EF2F2B"/>
    <w:rsid w:val="00EF3CB0"/>
    <w:rsid w:val="00EF4181"/>
    <w:rsid w:val="00EF447E"/>
    <w:rsid w:val="00EF5658"/>
    <w:rsid w:val="00EF56C3"/>
    <w:rsid w:val="00EF5C9D"/>
    <w:rsid w:val="00EF5F19"/>
    <w:rsid w:val="00EF6D57"/>
    <w:rsid w:val="00EF6D7B"/>
    <w:rsid w:val="00EF6D92"/>
    <w:rsid w:val="00EF6FE9"/>
    <w:rsid w:val="00EF73F0"/>
    <w:rsid w:val="00EF7A52"/>
    <w:rsid w:val="00EF7A69"/>
    <w:rsid w:val="00F0089F"/>
    <w:rsid w:val="00F00F63"/>
    <w:rsid w:val="00F01743"/>
    <w:rsid w:val="00F01748"/>
    <w:rsid w:val="00F03A10"/>
    <w:rsid w:val="00F03FED"/>
    <w:rsid w:val="00F04276"/>
    <w:rsid w:val="00F04B70"/>
    <w:rsid w:val="00F056FA"/>
    <w:rsid w:val="00F05A25"/>
    <w:rsid w:val="00F069FF"/>
    <w:rsid w:val="00F06A2C"/>
    <w:rsid w:val="00F06CA8"/>
    <w:rsid w:val="00F07233"/>
    <w:rsid w:val="00F07537"/>
    <w:rsid w:val="00F079C6"/>
    <w:rsid w:val="00F07DF9"/>
    <w:rsid w:val="00F1086D"/>
    <w:rsid w:val="00F10963"/>
    <w:rsid w:val="00F10C27"/>
    <w:rsid w:val="00F11482"/>
    <w:rsid w:val="00F11A43"/>
    <w:rsid w:val="00F11F1D"/>
    <w:rsid w:val="00F132C1"/>
    <w:rsid w:val="00F13CD1"/>
    <w:rsid w:val="00F15808"/>
    <w:rsid w:val="00F16632"/>
    <w:rsid w:val="00F178DA"/>
    <w:rsid w:val="00F200B8"/>
    <w:rsid w:val="00F20280"/>
    <w:rsid w:val="00F2052D"/>
    <w:rsid w:val="00F20926"/>
    <w:rsid w:val="00F21081"/>
    <w:rsid w:val="00F210DD"/>
    <w:rsid w:val="00F2113A"/>
    <w:rsid w:val="00F219B7"/>
    <w:rsid w:val="00F221D6"/>
    <w:rsid w:val="00F2222C"/>
    <w:rsid w:val="00F227B6"/>
    <w:rsid w:val="00F22AC6"/>
    <w:rsid w:val="00F22EBD"/>
    <w:rsid w:val="00F23BE0"/>
    <w:rsid w:val="00F24434"/>
    <w:rsid w:val="00F245B6"/>
    <w:rsid w:val="00F246C3"/>
    <w:rsid w:val="00F2476E"/>
    <w:rsid w:val="00F2485E"/>
    <w:rsid w:val="00F24CE3"/>
    <w:rsid w:val="00F24EFE"/>
    <w:rsid w:val="00F25321"/>
    <w:rsid w:val="00F255A1"/>
    <w:rsid w:val="00F2580C"/>
    <w:rsid w:val="00F2628D"/>
    <w:rsid w:val="00F2659A"/>
    <w:rsid w:val="00F2680E"/>
    <w:rsid w:val="00F26E72"/>
    <w:rsid w:val="00F26F33"/>
    <w:rsid w:val="00F27D52"/>
    <w:rsid w:val="00F30BBD"/>
    <w:rsid w:val="00F30DC4"/>
    <w:rsid w:val="00F30E3B"/>
    <w:rsid w:val="00F314F8"/>
    <w:rsid w:val="00F3150F"/>
    <w:rsid w:val="00F31522"/>
    <w:rsid w:val="00F31CC7"/>
    <w:rsid w:val="00F32923"/>
    <w:rsid w:val="00F32B60"/>
    <w:rsid w:val="00F32CD6"/>
    <w:rsid w:val="00F32EB6"/>
    <w:rsid w:val="00F32FDF"/>
    <w:rsid w:val="00F3314E"/>
    <w:rsid w:val="00F33C0C"/>
    <w:rsid w:val="00F33E5A"/>
    <w:rsid w:val="00F340EE"/>
    <w:rsid w:val="00F3497A"/>
    <w:rsid w:val="00F34A7A"/>
    <w:rsid w:val="00F35827"/>
    <w:rsid w:val="00F36682"/>
    <w:rsid w:val="00F366F3"/>
    <w:rsid w:val="00F369DE"/>
    <w:rsid w:val="00F37442"/>
    <w:rsid w:val="00F374B4"/>
    <w:rsid w:val="00F37905"/>
    <w:rsid w:val="00F37D3F"/>
    <w:rsid w:val="00F40056"/>
    <w:rsid w:val="00F400C4"/>
    <w:rsid w:val="00F40632"/>
    <w:rsid w:val="00F409AC"/>
    <w:rsid w:val="00F40E19"/>
    <w:rsid w:val="00F40E85"/>
    <w:rsid w:val="00F4167D"/>
    <w:rsid w:val="00F42115"/>
    <w:rsid w:val="00F427C9"/>
    <w:rsid w:val="00F42976"/>
    <w:rsid w:val="00F42A14"/>
    <w:rsid w:val="00F42BD4"/>
    <w:rsid w:val="00F43A32"/>
    <w:rsid w:val="00F43C66"/>
    <w:rsid w:val="00F44026"/>
    <w:rsid w:val="00F4479E"/>
    <w:rsid w:val="00F44951"/>
    <w:rsid w:val="00F45001"/>
    <w:rsid w:val="00F450F4"/>
    <w:rsid w:val="00F458DB"/>
    <w:rsid w:val="00F45C35"/>
    <w:rsid w:val="00F460A0"/>
    <w:rsid w:val="00F46FD6"/>
    <w:rsid w:val="00F478F5"/>
    <w:rsid w:val="00F47AF6"/>
    <w:rsid w:val="00F47B0A"/>
    <w:rsid w:val="00F47BDE"/>
    <w:rsid w:val="00F50E15"/>
    <w:rsid w:val="00F51CD7"/>
    <w:rsid w:val="00F521A7"/>
    <w:rsid w:val="00F52218"/>
    <w:rsid w:val="00F5248C"/>
    <w:rsid w:val="00F52A73"/>
    <w:rsid w:val="00F52E09"/>
    <w:rsid w:val="00F52E0A"/>
    <w:rsid w:val="00F53186"/>
    <w:rsid w:val="00F532C5"/>
    <w:rsid w:val="00F533E2"/>
    <w:rsid w:val="00F537B2"/>
    <w:rsid w:val="00F53AAF"/>
    <w:rsid w:val="00F53AB0"/>
    <w:rsid w:val="00F53B69"/>
    <w:rsid w:val="00F54044"/>
    <w:rsid w:val="00F545B6"/>
    <w:rsid w:val="00F552F6"/>
    <w:rsid w:val="00F55661"/>
    <w:rsid w:val="00F562BF"/>
    <w:rsid w:val="00F56ED8"/>
    <w:rsid w:val="00F57179"/>
    <w:rsid w:val="00F57617"/>
    <w:rsid w:val="00F57C9C"/>
    <w:rsid w:val="00F606E0"/>
    <w:rsid w:val="00F60B5B"/>
    <w:rsid w:val="00F61747"/>
    <w:rsid w:val="00F61BD7"/>
    <w:rsid w:val="00F623E4"/>
    <w:rsid w:val="00F62BD8"/>
    <w:rsid w:val="00F634BC"/>
    <w:rsid w:val="00F63A7C"/>
    <w:rsid w:val="00F63BE8"/>
    <w:rsid w:val="00F63C52"/>
    <w:rsid w:val="00F645CF"/>
    <w:rsid w:val="00F652E0"/>
    <w:rsid w:val="00F6538D"/>
    <w:rsid w:val="00F65467"/>
    <w:rsid w:val="00F6572D"/>
    <w:rsid w:val="00F65872"/>
    <w:rsid w:val="00F668CC"/>
    <w:rsid w:val="00F66DE8"/>
    <w:rsid w:val="00F672D9"/>
    <w:rsid w:val="00F67AA4"/>
    <w:rsid w:val="00F717B5"/>
    <w:rsid w:val="00F71AF6"/>
    <w:rsid w:val="00F71C35"/>
    <w:rsid w:val="00F72628"/>
    <w:rsid w:val="00F72F64"/>
    <w:rsid w:val="00F7498C"/>
    <w:rsid w:val="00F7499F"/>
    <w:rsid w:val="00F74A4C"/>
    <w:rsid w:val="00F75A85"/>
    <w:rsid w:val="00F75E35"/>
    <w:rsid w:val="00F75FD3"/>
    <w:rsid w:val="00F76357"/>
    <w:rsid w:val="00F774A2"/>
    <w:rsid w:val="00F77BD1"/>
    <w:rsid w:val="00F77C6C"/>
    <w:rsid w:val="00F81C90"/>
    <w:rsid w:val="00F81CE6"/>
    <w:rsid w:val="00F821C9"/>
    <w:rsid w:val="00F8296F"/>
    <w:rsid w:val="00F82DD6"/>
    <w:rsid w:val="00F83021"/>
    <w:rsid w:val="00F83335"/>
    <w:rsid w:val="00F8387D"/>
    <w:rsid w:val="00F839CD"/>
    <w:rsid w:val="00F84BF0"/>
    <w:rsid w:val="00F8524B"/>
    <w:rsid w:val="00F85A18"/>
    <w:rsid w:val="00F85FF7"/>
    <w:rsid w:val="00F8646A"/>
    <w:rsid w:val="00F86B12"/>
    <w:rsid w:val="00F86C9B"/>
    <w:rsid w:val="00F90644"/>
    <w:rsid w:val="00F9071A"/>
    <w:rsid w:val="00F90B8F"/>
    <w:rsid w:val="00F9163C"/>
    <w:rsid w:val="00F91B20"/>
    <w:rsid w:val="00F91D86"/>
    <w:rsid w:val="00F9259B"/>
    <w:rsid w:val="00F93156"/>
    <w:rsid w:val="00F93947"/>
    <w:rsid w:val="00F94898"/>
    <w:rsid w:val="00F94E5F"/>
    <w:rsid w:val="00F9524B"/>
    <w:rsid w:val="00F95BE9"/>
    <w:rsid w:val="00F95E8F"/>
    <w:rsid w:val="00F9658D"/>
    <w:rsid w:val="00F969D7"/>
    <w:rsid w:val="00F97196"/>
    <w:rsid w:val="00F97569"/>
    <w:rsid w:val="00F97B3C"/>
    <w:rsid w:val="00FA03DF"/>
    <w:rsid w:val="00FA0457"/>
    <w:rsid w:val="00FA0DED"/>
    <w:rsid w:val="00FA0F51"/>
    <w:rsid w:val="00FA1321"/>
    <w:rsid w:val="00FA1651"/>
    <w:rsid w:val="00FA1DDA"/>
    <w:rsid w:val="00FA2BCE"/>
    <w:rsid w:val="00FA31EA"/>
    <w:rsid w:val="00FA374B"/>
    <w:rsid w:val="00FA3907"/>
    <w:rsid w:val="00FA3C97"/>
    <w:rsid w:val="00FA515E"/>
    <w:rsid w:val="00FA537A"/>
    <w:rsid w:val="00FA597A"/>
    <w:rsid w:val="00FA5FDD"/>
    <w:rsid w:val="00FA6C8B"/>
    <w:rsid w:val="00FA6E7A"/>
    <w:rsid w:val="00FA702B"/>
    <w:rsid w:val="00FA731F"/>
    <w:rsid w:val="00FA745A"/>
    <w:rsid w:val="00FA7571"/>
    <w:rsid w:val="00FB025C"/>
    <w:rsid w:val="00FB1065"/>
    <w:rsid w:val="00FB18D5"/>
    <w:rsid w:val="00FB18E5"/>
    <w:rsid w:val="00FB2EC3"/>
    <w:rsid w:val="00FB319C"/>
    <w:rsid w:val="00FB348F"/>
    <w:rsid w:val="00FB366C"/>
    <w:rsid w:val="00FB3A88"/>
    <w:rsid w:val="00FB3DBD"/>
    <w:rsid w:val="00FB40B8"/>
    <w:rsid w:val="00FB40D7"/>
    <w:rsid w:val="00FB4332"/>
    <w:rsid w:val="00FB433B"/>
    <w:rsid w:val="00FB44E6"/>
    <w:rsid w:val="00FB4840"/>
    <w:rsid w:val="00FB4981"/>
    <w:rsid w:val="00FB512E"/>
    <w:rsid w:val="00FB5755"/>
    <w:rsid w:val="00FB57E5"/>
    <w:rsid w:val="00FB5C2E"/>
    <w:rsid w:val="00FB669E"/>
    <w:rsid w:val="00FB699F"/>
    <w:rsid w:val="00FB6C1C"/>
    <w:rsid w:val="00FB7504"/>
    <w:rsid w:val="00FB7E40"/>
    <w:rsid w:val="00FC046C"/>
    <w:rsid w:val="00FC096C"/>
    <w:rsid w:val="00FC0AD8"/>
    <w:rsid w:val="00FC0AE6"/>
    <w:rsid w:val="00FC0B20"/>
    <w:rsid w:val="00FC0DB0"/>
    <w:rsid w:val="00FC0E44"/>
    <w:rsid w:val="00FC16BA"/>
    <w:rsid w:val="00FC17C0"/>
    <w:rsid w:val="00FC181D"/>
    <w:rsid w:val="00FC18E6"/>
    <w:rsid w:val="00FC1BE1"/>
    <w:rsid w:val="00FC1F81"/>
    <w:rsid w:val="00FC2544"/>
    <w:rsid w:val="00FC2755"/>
    <w:rsid w:val="00FC297E"/>
    <w:rsid w:val="00FC2DF6"/>
    <w:rsid w:val="00FC4A96"/>
    <w:rsid w:val="00FC534D"/>
    <w:rsid w:val="00FC547D"/>
    <w:rsid w:val="00FC63AB"/>
    <w:rsid w:val="00FC6C58"/>
    <w:rsid w:val="00FC7225"/>
    <w:rsid w:val="00FC732C"/>
    <w:rsid w:val="00FC739A"/>
    <w:rsid w:val="00FC79BD"/>
    <w:rsid w:val="00FC7CE8"/>
    <w:rsid w:val="00FD028B"/>
    <w:rsid w:val="00FD0A60"/>
    <w:rsid w:val="00FD1BBB"/>
    <w:rsid w:val="00FD1BF1"/>
    <w:rsid w:val="00FD1E79"/>
    <w:rsid w:val="00FD21AD"/>
    <w:rsid w:val="00FD26A9"/>
    <w:rsid w:val="00FD2718"/>
    <w:rsid w:val="00FD27EA"/>
    <w:rsid w:val="00FD2CF3"/>
    <w:rsid w:val="00FD2E59"/>
    <w:rsid w:val="00FD30CE"/>
    <w:rsid w:val="00FD3527"/>
    <w:rsid w:val="00FD3817"/>
    <w:rsid w:val="00FD390F"/>
    <w:rsid w:val="00FD3F0A"/>
    <w:rsid w:val="00FD4D9B"/>
    <w:rsid w:val="00FD5BA2"/>
    <w:rsid w:val="00FD5E29"/>
    <w:rsid w:val="00FD6A08"/>
    <w:rsid w:val="00FD6F3E"/>
    <w:rsid w:val="00FD7835"/>
    <w:rsid w:val="00FE0622"/>
    <w:rsid w:val="00FE10FA"/>
    <w:rsid w:val="00FE1379"/>
    <w:rsid w:val="00FE1ABC"/>
    <w:rsid w:val="00FE1BC6"/>
    <w:rsid w:val="00FE1D67"/>
    <w:rsid w:val="00FE1EE2"/>
    <w:rsid w:val="00FE26C2"/>
    <w:rsid w:val="00FE26DD"/>
    <w:rsid w:val="00FE274C"/>
    <w:rsid w:val="00FE28AF"/>
    <w:rsid w:val="00FE298A"/>
    <w:rsid w:val="00FE29EB"/>
    <w:rsid w:val="00FE394C"/>
    <w:rsid w:val="00FE3E8F"/>
    <w:rsid w:val="00FE4268"/>
    <w:rsid w:val="00FE475B"/>
    <w:rsid w:val="00FE4850"/>
    <w:rsid w:val="00FE49B8"/>
    <w:rsid w:val="00FE5688"/>
    <w:rsid w:val="00FE56A9"/>
    <w:rsid w:val="00FE5BE2"/>
    <w:rsid w:val="00FE5E41"/>
    <w:rsid w:val="00FE616A"/>
    <w:rsid w:val="00FE69F9"/>
    <w:rsid w:val="00FE6AB4"/>
    <w:rsid w:val="00FE6B96"/>
    <w:rsid w:val="00FE6DF6"/>
    <w:rsid w:val="00FE76ED"/>
    <w:rsid w:val="00FE7807"/>
    <w:rsid w:val="00FE7901"/>
    <w:rsid w:val="00FE79F6"/>
    <w:rsid w:val="00FE7B30"/>
    <w:rsid w:val="00FF047F"/>
    <w:rsid w:val="00FF0779"/>
    <w:rsid w:val="00FF0818"/>
    <w:rsid w:val="00FF0834"/>
    <w:rsid w:val="00FF0A96"/>
    <w:rsid w:val="00FF0BED"/>
    <w:rsid w:val="00FF0FFC"/>
    <w:rsid w:val="00FF14E4"/>
    <w:rsid w:val="00FF172B"/>
    <w:rsid w:val="00FF176F"/>
    <w:rsid w:val="00FF26EB"/>
    <w:rsid w:val="00FF2817"/>
    <w:rsid w:val="00FF2866"/>
    <w:rsid w:val="00FF2E03"/>
    <w:rsid w:val="00FF32DA"/>
    <w:rsid w:val="00FF3305"/>
    <w:rsid w:val="00FF333F"/>
    <w:rsid w:val="00FF3551"/>
    <w:rsid w:val="00FF3943"/>
    <w:rsid w:val="00FF4DD1"/>
    <w:rsid w:val="00FF5203"/>
    <w:rsid w:val="00FF5A28"/>
    <w:rsid w:val="00FF5B21"/>
    <w:rsid w:val="00FF6114"/>
    <w:rsid w:val="00FF6EAE"/>
    <w:rsid w:val="00FF7169"/>
    <w:rsid w:val="012226E8"/>
    <w:rsid w:val="01402E45"/>
    <w:rsid w:val="026929FF"/>
    <w:rsid w:val="080F2346"/>
    <w:rsid w:val="09D71932"/>
    <w:rsid w:val="0A264F34"/>
    <w:rsid w:val="0CBF43C2"/>
    <w:rsid w:val="0CE54E38"/>
    <w:rsid w:val="129D4F05"/>
    <w:rsid w:val="13465DAC"/>
    <w:rsid w:val="145D1938"/>
    <w:rsid w:val="14FB2F80"/>
    <w:rsid w:val="151A4A2D"/>
    <w:rsid w:val="15B06226"/>
    <w:rsid w:val="16464B0E"/>
    <w:rsid w:val="17880D50"/>
    <w:rsid w:val="1837151B"/>
    <w:rsid w:val="19ED2D17"/>
    <w:rsid w:val="1A5F392B"/>
    <w:rsid w:val="1A8F0322"/>
    <w:rsid w:val="1BEC1E23"/>
    <w:rsid w:val="1BF7155D"/>
    <w:rsid w:val="1D5774B0"/>
    <w:rsid w:val="1E185370"/>
    <w:rsid w:val="1FA52578"/>
    <w:rsid w:val="1FB516A7"/>
    <w:rsid w:val="1FDE0154"/>
    <w:rsid w:val="23BC5F31"/>
    <w:rsid w:val="24A17F35"/>
    <w:rsid w:val="27015D0E"/>
    <w:rsid w:val="27AA2CA3"/>
    <w:rsid w:val="29431740"/>
    <w:rsid w:val="2A193D21"/>
    <w:rsid w:val="2A700EAD"/>
    <w:rsid w:val="2B3A1BFB"/>
    <w:rsid w:val="2EE203F7"/>
    <w:rsid w:val="309F75FA"/>
    <w:rsid w:val="3113650C"/>
    <w:rsid w:val="3215218C"/>
    <w:rsid w:val="333A04A6"/>
    <w:rsid w:val="34E62497"/>
    <w:rsid w:val="35571310"/>
    <w:rsid w:val="35D460D1"/>
    <w:rsid w:val="366E215D"/>
    <w:rsid w:val="373979B2"/>
    <w:rsid w:val="38EF30F5"/>
    <w:rsid w:val="395822CB"/>
    <w:rsid w:val="39A454BF"/>
    <w:rsid w:val="3A782F7C"/>
    <w:rsid w:val="3B3F4F44"/>
    <w:rsid w:val="3B783EDD"/>
    <w:rsid w:val="3DEE12C7"/>
    <w:rsid w:val="3F577277"/>
    <w:rsid w:val="4138778D"/>
    <w:rsid w:val="41A171BC"/>
    <w:rsid w:val="426E308D"/>
    <w:rsid w:val="43BC4F2D"/>
    <w:rsid w:val="46913751"/>
    <w:rsid w:val="48031435"/>
    <w:rsid w:val="4A901A63"/>
    <w:rsid w:val="4AA94B8B"/>
    <w:rsid w:val="4AF14F7F"/>
    <w:rsid w:val="4D6046FD"/>
    <w:rsid w:val="51B15013"/>
    <w:rsid w:val="521B6C41"/>
    <w:rsid w:val="541648CE"/>
    <w:rsid w:val="55E005F1"/>
    <w:rsid w:val="56504A71"/>
    <w:rsid w:val="566156C7"/>
    <w:rsid w:val="566A2753"/>
    <w:rsid w:val="57C4750C"/>
    <w:rsid w:val="57E72F44"/>
    <w:rsid w:val="580C7901"/>
    <w:rsid w:val="59D714F6"/>
    <w:rsid w:val="5C5B1D9E"/>
    <w:rsid w:val="5CA0231B"/>
    <w:rsid w:val="5F863838"/>
    <w:rsid w:val="5FF37F0D"/>
    <w:rsid w:val="612236EC"/>
    <w:rsid w:val="634C61F4"/>
    <w:rsid w:val="646734C9"/>
    <w:rsid w:val="6510045E"/>
    <w:rsid w:val="65CA38DD"/>
    <w:rsid w:val="65FB005C"/>
    <w:rsid w:val="688F4E56"/>
    <w:rsid w:val="6A1F52A8"/>
    <w:rsid w:val="6C535FE2"/>
    <w:rsid w:val="6C886AE6"/>
    <w:rsid w:val="6EBA5B82"/>
    <w:rsid w:val="72977F10"/>
    <w:rsid w:val="72BA00C5"/>
    <w:rsid w:val="73D15D1A"/>
    <w:rsid w:val="73D47918"/>
    <w:rsid w:val="75FD0222"/>
    <w:rsid w:val="78645734"/>
    <w:rsid w:val="7B4146C2"/>
    <w:rsid w:val="7BC73221"/>
    <w:rsid w:val="7C8E3E56"/>
    <w:rsid w:val="7DCE2296"/>
    <w:rsid w:val="7F4751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qFormat="1" w:unhideWhenUsed="0" w:uiPriority="99" w:name="index 1"/>
    <w:lsdException w:qFormat="1" w:unhideWhenUsed="0" w:uiPriority="99" w:name="index 2"/>
    <w:lsdException w:qFormat="1" w:unhideWhenUsed="0" w:uiPriority="99" w:name="index 3"/>
    <w:lsdException w:qFormat="1" w:unhideWhenUsed="0" w:uiPriority="99" w:name="index 4"/>
    <w:lsdException w:qFormat="1" w:unhideWhenUsed="0" w:uiPriority="99" w:name="index 5"/>
    <w:lsdException w:qFormat="1" w:unhideWhenUsed="0" w:uiPriority="99" w:name="index 6"/>
    <w:lsdException w:qFormat="1" w:unhideWhenUsed="0" w:uiPriority="99" w:name="index 7"/>
    <w:lsdException w:qFormat="1" w:unhideWhenUsed="0" w:uiPriority="99" w:name="index 8"/>
    <w:lsdException w:qFormat="1" w:unhideWhenUsed="0" w:uiPriority="99" w:name="index 9"/>
    <w:lsdException w:qFormat="1" w:unhideWhenUsed="0" w:uiPriority="39" w:semiHidden="0" w:name="toc 1"/>
    <w:lsdException w:qFormat="1" w:unhideWhenUsed="0" w:uiPriority="3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uiPriority="99"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ocked="1"/>
    <w:lsdException w:qFormat="1" w:unhideWhenUsed="0" w:uiPriority="99"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qFormat="1"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53"/>
    <w:qFormat/>
    <w:uiPriority w:val="99"/>
    <w:pPr>
      <w:keepNext/>
      <w:keepLines/>
      <w:spacing w:before="340" w:after="330"/>
      <w:jc w:val="center"/>
      <w:outlineLvl w:val="0"/>
    </w:pPr>
    <w:rPr>
      <w:rFonts w:eastAsia="仿宋_GB2312"/>
      <w:b/>
      <w:bCs/>
      <w:kern w:val="44"/>
      <w:sz w:val="30"/>
      <w:szCs w:val="44"/>
    </w:rPr>
  </w:style>
  <w:style w:type="paragraph" w:styleId="3">
    <w:name w:val="heading 2"/>
    <w:basedOn w:val="1"/>
    <w:next w:val="1"/>
    <w:link w:val="54"/>
    <w:qFormat/>
    <w:uiPriority w:val="99"/>
    <w:pPr>
      <w:keepNext/>
      <w:keepLines/>
      <w:spacing w:before="260" w:after="260"/>
      <w:ind w:firstLine="200" w:firstLineChars="200"/>
      <w:outlineLvl w:val="1"/>
    </w:pPr>
    <w:rPr>
      <w:rFonts w:ascii="Arial" w:hAnsi="Arial" w:eastAsia="仿宋_GB2312"/>
      <w:b/>
      <w:bCs/>
      <w:sz w:val="28"/>
      <w:szCs w:val="32"/>
    </w:rPr>
  </w:style>
  <w:style w:type="paragraph" w:styleId="4">
    <w:name w:val="heading 3"/>
    <w:basedOn w:val="1"/>
    <w:next w:val="1"/>
    <w:link w:val="55"/>
    <w:qFormat/>
    <w:uiPriority w:val="99"/>
    <w:pPr>
      <w:keepNext/>
      <w:keepLines/>
      <w:spacing w:before="260" w:after="260" w:line="416" w:lineRule="auto"/>
      <w:outlineLvl w:val="2"/>
    </w:pPr>
    <w:rPr>
      <w:b/>
      <w:bCs/>
      <w:sz w:val="32"/>
      <w:szCs w:val="32"/>
    </w:rPr>
  </w:style>
  <w:style w:type="paragraph" w:styleId="5">
    <w:name w:val="heading 4"/>
    <w:basedOn w:val="1"/>
    <w:next w:val="1"/>
    <w:link w:val="56"/>
    <w:qFormat/>
    <w:uiPriority w:val="99"/>
    <w:pPr>
      <w:keepNext/>
      <w:keepLines/>
      <w:spacing w:before="280" w:after="290" w:line="376" w:lineRule="auto"/>
      <w:outlineLvl w:val="3"/>
    </w:pPr>
    <w:rPr>
      <w:rFonts w:ascii="Cambria" w:hAnsi="Cambria"/>
      <w:b/>
      <w:bCs/>
      <w:sz w:val="28"/>
      <w:szCs w:val="28"/>
    </w:rPr>
  </w:style>
  <w:style w:type="paragraph" w:styleId="6">
    <w:name w:val="heading 5"/>
    <w:basedOn w:val="1"/>
    <w:next w:val="1"/>
    <w:link w:val="57"/>
    <w:qFormat/>
    <w:uiPriority w:val="99"/>
    <w:pPr>
      <w:keepNext/>
      <w:keepLines/>
      <w:spacing w:before="280" w:after="290" w:line="376" w:lineRule="auto"/>
      <w:outlineLvl w:val="4"/>
    </w:pPr>
    <w:rPr>
      <w:rFonts w:ascii="Calibri" w:hAnsi="Calibri"/>
      <w:b/>
      <w:bCs/>
      <w:sz w:val="28"/>
      <w:szCs w:val="28"/>
    </w:rPr>
  </w:style>
  <w:style w:type="character" w:default="1" w:styleId="41">
    <w:name w:val="Default Paragraph Font"/>
    <w:semiHidden/>
    <w:unhideWhenUsed/>
    <w:qFormat/>
    <w:uiPriority w:val="1"/>
  </w:style>
  <w:style w:type="table" w:default="1" w:styleId="47">
    <w:name w:val="Normal Table"/>
    <w:semiHidden/>
    <w:unhideWhenUsed/>
    <w:qFormat/>
    <w:uiPriority w:val="99"/>
    <w:tblPr>
      <w:tblLayout w:type="fixed"/>
      <w:tblCellMar>
        <w:top w:w="0" w:type="dxa"/>
        <w:left w:w="108" w:type="dxa"/>
        <w:bottom w:w="0" w:type="dxa"/>
        <w:right w:w="108" w:type="dxa"/>
      </w:tblCellMar>
    </w:tblPr>
  </w:style>
  <w:style w:type="paragraph" w:styleId="7">
    <w:name w:val="annotation subject"/>
    <w:basedOn w:val="8"/>
    <w:next w:val="8"/>
    <w:link w:val="73"/>
    <w:qFormat/>
    <w:uiPriority w:val="99"/>
    <w:rPr>
      <w:b/>
      <w:bCs/>
    </w:rPr>
  </w:style>
  <w:style w:type="paragraph" w:styleId="8">
    <w:name w:val="annotation text"/>
    <w:basedOn w:val="1"/>
    <w:link w:val="71"/>
    <w:qFormat/>
    <w:uiPriority w:val="99"/>
    <w:pPr>
      <w:jc w:val="left"/>
    </w:pPr>
  </w:style>
  <w:style w:type="paragraph" w:styleId="9">
    <w:name w:val="toc 7"/>
    <w:basedOn w:val="1"/>
    <w:next w:val="1"/>
    <w:qFormat/>
    <w:uiPriority w:val="99"/>
    <w:pPr>
      <w:ind w:left="1260"/>
      <w:jc w:val="left"/>
    </w:pPr>
    <w:rPr>
      <w:rFonts w:ascii="Calibri" w:hAnsi="Calibri" w:cs="Calibri"/>
      <w:sz w:val="18"/>
      <w:szCs w:val="18"/>
    </w:rPr>
  </w:style>
  <w:style w:type="paragraph" w:styleId="10">
    <w:name w:val="index 8"/>
    <w:basedOn w:val="1"/>
    <w:next w:val="1"/>
    <w:semiHidden/>
    <w:qFormat/>
    <w:uiPriority w:val="99"/>
    <w:pPr>
      <w:ind w:left="1400" w:leftChars="1400"/>
    </w:pPr>
  </w:style>
  <w:style w:type="paragraph" w:styleId="11">
    <w:name w:val="Normal Indent"/>
    <w:basedOn w:val="1"/>
    <w:qFormat/>
    <w:uiPriority w:val="99"/>
    <w:pPr>
      <w:ind w:firstLine="420"/>
    </w:pPr>
  </w:style>
  <w:style w:type="paragraph" w:styleId="12">
    <w:name w:val="index 5"/>
    <w:basedOn w:val="1"/>
    <w:next w:val="1"/>
    <w:semiHidden/>
    <w:qFormat/>
    <w:uiPriority w:val="99"/>
    <w:pPr>
      <w:ind w:left="800" w:leftChars="800"/>
    </w:pPr>
  </w:style>
  <w:style w:type="paragraph" w:styleId="13">
    <w:name w:val="Document Map"/>
    <w:basedOn w:val="1"/>
    <w:link w:val="81"/>
    <w:qFormat/>
    <w:uiPriority w:val="99"/>
    <w:rPr>
      <w:rFonts w:ascii="宋体"/>
      <w:sz w:val="18"/>
      <w:szCs w:val="18"/>
    </w:rPr>
  </w:style>
  <w:style w:type="paragraph" w:styleId="14">
    <w:name w:val="index 6"/>
    <w:basedOn w:val="1"/>
    <w:next w:val="1"/>
    <w:semiHidden/>
    <w:qFormat/>
    <w:uiPriority w:val="99"/>
    <w:pPr>
      <w:ind w:left="1000" w:leftChars="1000"/>
    </w:pPr>
  </w:style>
  <w:style w:type="paragraph" w:styleId="15">
    <w:name w:val="Body Text"/>
    <w:basedOn w:val="1"/>
    <w:link w:val="64"/>
    <w:qFormat/>
    <w:uiPriority w:val="99"/>
    <w:rPr>
      <w:spacing w:val="20"/>
      <w:sz w:val="24"/>
      <w:szCs w:val="24"/>
    </w:rPr>
  </w:style>
  <w:style w:type="paragraph" w:styleId="16">
    <w:name w:val="Body Text Indent"/>
    <w:basedOn w:val="1"/>
    <w:link w:val="76"/>
    <w:qFormat/>
    <w:uiPriority w:val="99"/>
    <w:pPr>
      <w:adjustRightInd w:val="0"/>
      <w:spacing w:line="360" w:lineRule="auto"/>
      <w:ind w:firstLine="660"/>
      <w:textAlignment w:val="baseline"/>
    </w:pPr>
    <w:rPr>
      <w:rFonts w:ascii="宋体"/>
      <w:spacing w:val="20"/>
      <w:kern w:val="0"/>
      <w:sz w:val="28"/>
    </w:rPr>
  </w:style>
  <w:style w:type="paragraph" w:styleId="17">
    <w:name w:val="index 4"/>
    <w:basedOn w:val="1"/>
    <w:next w:val="1"/>
    <w:semiHidden/>
    <w:qFormat/>
    <w:uiPriority w:val="99"/>
    <w:pPr>
      <w:ind w:left="600" w:leftChars="600"/>
    </w:pPr>
  </w:style>
  <w:style w:type="paragraph" w:styleId="18">
    <w:name w:val="toc 5"/>
    <w:basedOn w:val="1"/>
    <w:next w:val="1"/>
    <w:qFormat/>
    <w:uiPriority w:val="99"/>
    <w:pPr>
      <w:ind w:left="840"/>
      <w:jc w:val="left"/>
    </w:pPr>
    <w:rPr>
      <w:rFonts w:ascii="Calibri" w:hAnsi="Calibri" w:cs="Calibri"/>
      <w:sz w:val="18"/>
      <w:szCs w:val="18"/>
    </w:rPr>
  </w:style>
  <w:style w:type="paragraph" w:styleId="19">
    <w:name w:val="toc 3"/>
    <w:basedOn w:val="1"/>
    <w:next w:val="1"/>
    <w:qFormat/>
    <w:uiPriority w:val="99"/>
    <w:pPr>
      <w:ind w:left="420"/>
      <w:jc w:val="left"/>
    </w:pPr>
    <w:rPr>
      <w:rFonts w:ascii="Calibri" w:hAnsi="Calibri" w:cs="Calibri"/>
      <w:i/>
      <w:iCs/>
      <w:sz w:val="20"/>
    </w:rPr>
  </w:style>
  <w:style w:type="paragraph" w:styleId="20">
    <w:name w:val="Plain Text"/>
    <w:basedOn w:val="1"/>
    <w:link w:val="62"/>
    <w:qFormat/>
    <w:uiPriority w:val="99"/>
    <w:pPr>
      <w:spacing w:line="500" w:lineRule="exact"/>
    </w:pPr>
    <w:rPr>
      <w:rFonts w:ascii="宋体" w:hAnsi="Courier New"/>
    </w:rPr>
  </w:style>
  <w:style w:type="paragraph" w:styleId="21">
    <w:name w:val="toc 8"/>
    <w:basedOn w:val="1"/>
    <w:next w:val="1"/>
    <w:qFormat/>
    <w:uiPriority w:val="99"/>
    <w:pPr>
      <w:ind w:left="1470"/>
      <w:jc w:val="left"/>
    </w:pPr>
    <w:rPr>
      <w:rFonts w:ascii="Calibri" w:hAnsi="Calibri" w:cs="Calibri"/>
      <w:sz w:val="18"/>
      <w:szCs w:val="18"/>
    </w:rPr>
  </w:style>
  <w:style w:type="paragraph" w:styleId="22">
    <w:name w:val="index 3"/>
    <w:basedOn w:val="1"/>
    <w:next w:val="1"/>
    <w:semiHidden/>
    <w:qFormat/>
    <w:uiPriority w:val="99"/>
    <w:pPr>
      <w:ind w:left="400" w:leftChars="400"/>
    </w:pPr>
  </w:style>
  <w:style w:type="paragraph" w:styleId="23">
    <w:name w:val="Date"/>
    <w:basedOn w:val="1"/>
    <w:next w:val="1"/>
    <w:link w:val="59"/>
    <w:qFormat/>
    <w:uiPriority w:val="99"/>
    <w:pPr>
      <w:adjustRightInd w:val="0"/>
      <w:spacing w:line="312" w:lineRule="atLeast"/>
      <w:jc w:val="right"/>
      <w:textAlignment w:val="baseline"/>
    </w:pPr>
    <w:rPr>
      <w:rFonts w:ascii="宋体"/>
      <w:spacing w:val="20"/>
      <w:kern w:val="0"/>
      <w:sz w:val="28"/>
    </w:rPr>
  </w:style>
  <w:style w:type="paragraph" w:styleId="24">
    <w:name w:val="Body Text Indent 2"/>
    <w:basedOn w:val="1"/>
    <w:link w:val="80"/>
    <w:qFormat/>
    <w:uiPriority w:val="99"/>
    <w:pPr>
      <w:spacing w:line="360" w:lineRule="auto"/>
      <w:ind w:firstLine="624"/>
    </w:pPr>
    <w:rPr>
      <w:spacing w:val="20"/>
      <w:sz w:val="28"/>
    </w:rPr>
  </w:style>
  <w:style w:type="paragraph" w:styleId="25">
    <w:name w:val="Balloon Text"/>
    <w:basedOn w:val="1"/>
    <w:link w:val="75"/>
    <w:qFormat/>
    <w:uiPriority w:val="99"/>
    <w:rPr>
      <w:sz w:val="18"/>
      <w:szCs w:val="18"/>
    </w:rPr>
  </w:style>
  <w:style w:type="paragraph" w:styleId="26">
    <w:name w:val="footer"/>
    <w:basedOn w:val="1"/>
    <w:link w:val="51"/>
    <w:qFormat/>
    <w:uiPriority w:val="0"/>
    <w:pPr>
      <w:tabs>
        <w:tab w:val="center" w:pos="4153"/>
        <w:tab w:val="right" w:pos="8306"/>
      </w:tabs>
      <w:adjustRightInd w:val="0"/>
      <w:spacing w:line="240" w:lineRule="atLeast"/>
      <w:jc w:val="left"/>
      <w:textAlignment w:val="baseline"/>
    </w:pPr>
    <w:rPr>
      <w:kern w:val="0"/>
      <w:sz w:val="18"/>
    </w:rPr>
  </w:style>
  <w:style w:type="paragraph" w:styleId="27">
    <w:name w:val="header"/>
    <w:basedOn w:val="1"/>
    <w:link w:val="50"/>
    <w:qFormat/>
    <w:uiPriority w:val="0"/>
    <w:pPr>
      <w:tabs>
        <w:tab w:val="center" w:pos="4153"/>
        <w:tab w:val="right" w:pos="8306"/>
      </w:tabs>
      <w:snapToGrid w:val="0"/>
      <w:jc w:val="center"/>
    </w:pPr>
    <w:rPr>
      <w:sz w:val="18"/>
      <w:szCs w:val="18"/>
    </w:rPr>
  </w:style>
  <w:style w:type="paragraph" w:styleId="28">
    <w:name w:val="toc 1"/>
    <w:basedOn w:val="1"/>
    <w:next w:val="1"/>
    <w:qFormat/>
    <w:uiPriority w:val="39"/>
    <w:pPr>
      <w:spacing w:before="120" w:after="120"/>
      <w:jc w:val="left"/>
    </w:pPr>
    <w:rPr>
      <w:rFonts w:ascii="Calibri" w:hAnsi="Calibri" w:cs="Calibri"/>
      <w:b/>
      <w:bCs/>
      <w:caps/>
      <w:sz w:val="20"/>
    </w:rPr>
  </w:style>
  <w:style w:type="paragraph" w:styleId="29">
    <w:name w:val="toc 4"/>
    <w:basedOn w:val="1"/>
    <w:next w:val="1"/>
    <w:qFormat/>
    <w:uiPriority w:val="99"/>
    <w:pPr>
      <w:ind w:left="630"/>
      <w:jc w:val="left"/>
    </w:pPr>
    <w:rPr>
      <w:rFonts w:ascii="Calibri" w:hAnsi="Calibri" w:cs="Calibri"/>
      <w:sz w:val="18"/>
      <w:szCs w:val="18"/>
    </w:rPr>
  </w:style>
  <w:style w:type="paragraph" w:styleId="30">
    <w:name w:val="index heading"/>
    <w:basedOn w:val="1"/>
    <w:next w:val="31"/>
    <w:semiHidden/>
    <w:qFormat/>
    <w:uiPriority w:val="99"/>
  </w:style>
  <w:style w:type="paragraph" w:styleId="31">
    <w:name w:val="index 1"/>
    <w:basedOn w:val="1"/>
    <w:next w:val="1"/>
    <w:semiHidden/>
    <w:qFormat/>
    <w:uiPriority w:val="99"/>
    <w:pPr>
      <w:spacing w:line="360" w:lineRule="auto"/>
      <w:jc w:val="center"/>
    </w:pPr>
    <w:rPr>
      <w:b/>
      <w:bCs/>
      <w:kern w:val="0"/>
      <w:sz w:val="30"/>
    </w:rPr>
  </w:style>
  <w:style w:type="paragraph" w:styleId="32">
    <w:name w:val="Subtitle"/>
    <w:basedOn w:val="1"/>
    <w:next w:val="1"/>
    <w:link w:val="74"/>
    <w:qFormat/>
    <w:uiPriority w:val="99"/>
    <w:pPr>
      <w:spacing w:before="240" w:after="60" w:line="312" w:lineRule="auto"/>
      <w:jc w:val="center"/>
      <w:outlineLvl w:val="1"/>
    </w:pPr>
    <w:rPr>
      <w:rFonts w:ascii="Cambria" w:hAnsi="Cambria"/>
      <w:b/>
      <w:bCs/>
      <w:kern w:val="28"/>
      <w:sz w:val="32"/>
      <w:szCs w:val="32"/>
    </w:rPr>
  </w:style>
  <w:style w:type="paragraph" w:styleId="33">
    <w:name w:val="toc 6"/>
    <w:basedOn w:val="1"/>
    <w:next w:val="1"/>
    <w:qFormat/>
    <w:uiPriority w:val="99"/>
    <w:pPr>
      <w:ind w:left="1050"/>
      <w:jc w:val="left"/>
    </w:pPr>
    <w:rPr>
      <w:rFonts w:ascii="Calibri" w:hAnsi="Calibri" w:cs="Calibri"/>
      <w:sz w:val="18"/>
      <w:szCs w:val="18"/>
    </w:rPr>
  </w:style>
  <w:style w:type="paragraph" w:styleId="34">
    <w:name w:val="Body Text Indent 3"/>
    <w:basedOn w:val="1"/>
    <w:link w:val="63"/>
    <w:qFormat/>
    <w:uiPriority w:val="99"/>
    <w:pPr>
      <w:adjustRightInd w:val="0"/>
      <w:spacing w:line="360" w:lineRule="auto"/>
      <w:ind w:firstLine="660"/>
      <w:jc w:val="left"/>
      <w:textAlignment w:val="baseline"/>
    </w:pPr>
    <w:rPr>
      <w:rFonts w:ascii="宋体"/>
      <w:spacing w:val="20"/>
      <w:kern w:val="0"/>
      <w:sz w:val="28"/>
    </w:rPr>
  </w:style>
  <w:style w:type="paragraph" w:styleId="35">
    <w:name w:val="index 7"/>
    <w:basedOn w:val="1"/>
    <w:next w:val="1"/>
    <w:semiHidden/>
    <w:qFormat/>
    <w:uiPriority w:val="99"/>
    <w:pPr>
      <w:ind w:left="1200" w:leftChars="1200"/>
    </w:pPr>
  </w:style>
  <w:style w:type="paragraph" w:styleId="36">
    <w:name w:val="index 9"/>
    <w:basedOn w:val="1"/>
    <w:next w:val="1"/>
    <w:semiHidden/>
    <w:qFormat/>
    <w:uiPriority w:val="99"/>
    <w:pPr>
      <w:ind w:left="1600" w:leftChars="1600"/>
    </w:pPr>
  </w:style>
  <w:style w:type="paragraph" w:styleId="37">
    <w:name w:val="toc 2"/>
    <w:basedOn w:val="1"/>
    <w:next w:val="1"/>
    <w:qFormat/>
    <w:uiPriority w:val="39"/>
    <w:pPr>
      <w:ind w:left="210"/>
      <w:jc w:val="left"/>
    </w:pPr>
    <w:rPr>
      <w:rFonts w:ascii="Calibri" w:hAnsi="Calibri" w:cs="Calibri"/>
      <w:smallCaps/>
      <w:sz w:val="20"/>
    </w:rPr>
  </w:style>
  <w:style w:type="paragraph" w:styleId="38">
    <w:name w:val="toc 9"/>
    <w:basedOn w:val="1"/>
    <w:next w:val="1"/>
    <w:qFormat/>
    <w:uiPriority w:val="99"/>
    <w:pPr>
      <w:ind w:left="1680"/>
      <w:jc w:val="left"/>
    </w:pPr>
    <w:rPr>
      <w:rFonts w:ascii="Calibri" w:hAnsi="Calibri" w:cs="Calibri"/>
      <w:sz w:val="18"/>
      <w:szCs w:val="18"/>
    </w:rPr>
  </w:style>
  <w:style w:type="paragraph" w:styleId="39">
    <w:name w:val="Normal (Web)"/>
    <w:basedOn w:val="1"/>
    <w:qFormat/>
    <w:uiPriority w:val="99"/>
    <w:pPr>
      <w:widowControl/>
      <w:spacing w:before="100" w:beforeAutospacing="1" w:after="100" w:afterAutospacing="1"/>
      <w:jc w:val="left"/>
    </w:pPr>
    <w:rPr>
      <w:rFonts w:ascii="Arial Unicode MS" w:eastAsia="Times New Roman"/>
      <w:kern w:val="0"/>
      <w:sz w:val="24"/>
      <w:szCs w:val="24"/>
    </w:rPr>
  </w:style>
  <w:style w:type="paragraph" w:styleId="40">
    <w:name w:val="index 2"/>
    <w:basedOn w:val="1"/>
    <w:next w:val="1"/>
    <w:semiHidden/>
    <w:qFormat/>
    <w:uiPriority w:val="99"/>
    <w:pPr>
      <w:ind w:left="200" w:leftChars="200"/>
    </w:pPr>
  </w:style>
  <w:style w:type="character" w:styleId="42">
    <w:name w:val="Strong"/>
    <w:basedOn w:val="41"/>
    <w:qFormat/>
    <w:uiPriority w:val="99"/>
    <w:rPr>
      <w:rFonts w:cs="Times New Roman"/>
      <w:b/>
      <w:bCs/>
    </w:rPr>
  </w:style>
  <w:style w:type="character" w:styleId="43">
    <w:name w:val="page number"/>
    <w:basedOn w:val="41"/>
    <w:qFormat/>
    <w:uiPriority w:val="99"/>
    <w:rPr>
      <w:rFonts w:cs="Times New Roman"/>
    </w:rPr>
  </w:style>
  <w:style w:type="character" w:styleId="44">
    <w:name w:val="FollowedHyperlink"/>
    <w:basedOn w:val="41"/>
    <w:qFormat/>
    <w:uiPriority w:val="99"/>
    <w:rPr>
      <w:rFonts w:cs="Times New Roman"/>
      <w:color w:val="800080"/>
      <w:u w:val="single"/>
    </w:rPr>
  </w:style>
  <w:style w:type="character" w:styleId="45">
    <w:name w:val="Hyperlink"/>
    <w:basedOn w:val="41"/>
    <w:qFormat/>
    <w:uiPriority w:val="99"/>
    <w:rPr>
      <w:rFonts w:cs="Times New Roman"/>
      <w:color w:val="0000FF"/>
      <w:u w:val="single"/>
    </w:rPr>
  </w:style>
  <w:style w:type="character" w:styleId="46">
    <w:name w:val="annotation reference"/>
    <w:basedOn w:val="41"/>
    <w:qFormat/>
    <w:uiPriority w:val="99"/>
    <w:rPr>
      <w:rFonts w:cs="Times New Roman"/>
      <w:sz w:val="21"/>
      <w:szCs w:val="21"/>
    </w:rPr>
  </w:style>
  <w:style w:type="table" w:styleId="48">
    <w:name w:val="Table Grid"/>
    <w:basedOn w:val="47"/>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styleId="49">
    <w:name w:val="Table Theme"/>
    <w:basedOn w:val="4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50">
    <w:name w:val="页眉 Char"/>
    <w:basedOn w:val="41"/>
    <w:link w:val="27"/>
    <w:qFormat/>
    <w:locked/>
    <w:uiPriority w:val="0"/>
    <w:rPr>
      <w:rFonts w:cs="Times New Roman"/>
      <w:kern w:val="2"/>
      <w:sz w:val="18"/>
    </w:rPr>
  </w:style>
  <w:style w:type="character" w:customStyle="1" w:styleId="51">
    <w:name w:val="页脚 Char"/>
    <w:basedOn w:val="41"/>
    <w:link w:val="26"/>
    <w:qFormat/>
    <w:locked/>
    <w:uiPriority w:val="0"/>
    <w:rPr>
      <w:rFonts w:cs="Times New Roman"/>
      <w:sz w:val="18"/>
    </w:rPr>
  </w:style>
  <w:style w:type="paragraph" w:customStyle="1" w:styleId="52">
    <w:name w:val="样式2"/>
    <w:basedOn w:val="27"/>
    <w:qFormat/>
    <w:uiPriority w:val="0"/>
    <w:pPr>
      <w:pBdr>
        <w:bottom w:val="single" w:color="auto" w:sz="4" w:space="1"/>
      </w:pBdr>
      <w:jc w:val="both"/>
    </w:pPr>
    <w:rPr>
      <w:rFonts w:ascii="宋体"/>
      <w:u w:val="single"/>
    </w:rPr>
  </w:style>
  <w:style w:type="character" w:customStyle="1" w:styleId="53">
    <w:name w:val="标题 1 Char"/>
    <w:basedOn w:val="41"/>
    <w:link w:val="2"/>
    <w:qFormat/>
    <w:locked/>
    <w:uiPriority w:val="99"/>
    <w:rPr>
      <w:rFonts w:eastAsia="仿宋_GB2312" w:cs="Times New Roman"/>
      <w:b/>
      <w:bCs/>
      <w:kern w:val="44"/>
      <w:sz w:val="44"/>
      <w:szCs w:val="44"/>
    </w:rPr>
  </w:style>
  <w:style w:type="character" w:customStyle="1" w:styleId="54">
    <w:name w:val="标题 2 Char"/>
    <w:basedOn w:val="41"/>
    <w:link w:val="3"/>
    <w:qFormat/>
    <w:locked/>
    <w:uiPriority w:val="99"/>
    <w:rPr>
      <w:rFonts w:ascii="Arial" w:hAnsi="Arial" w:eastAsia="仿宋_GB2312" w:cs="Times New Roman"/>
      <w:b/>
      <w:bCs/>
      <w:sz w:val="32"/>
      <w:szCs w:val="32"/>
    </w:rPr>
  </w:style>
  <w:style w:type="character" w:customStyle="1" w:styleId="55">
    <w:name w:val="标题 3 Char"/>
    <w:basedOn w:val="41"/>
    <w:link w:val="4"/>
    <w:qFormat/>
    <w:locked/>
    <w:uiPriority w:val="99"/>
    <w:rPr>
      <w:rFonts w:cs="Times New Roman"/>
      <w:b/>
      <w:kern w:val="2"/>
      <w:sz w:val="32"/>
    </w:rPr>
  </w:style>
  <w:style w:type="character" w:customStyle="1" w:styleId="56">
    <w:name w:val="标题 4 Char"/>
    <w:basedOn w:val="41"/>
    <w:link w:val="5"/>
    <w:qFormat/>
    <w:locked/>
    <w:uiPriority w:val="99"/>
    <w:rPr>
      <w:rFonts w:ascii="Cambria" w:hAnsi="Cambria" w:cs="Times New Roman"/>
      <w:b/>
      <w:bCs/>
      <w:kern w:val="2"/>
      <w:sz w:val="28"/>
      <w:szCs w:val="28"/>
    </w:rPr>
  </w:style>
  <w:style w:type="character" w:customStyle="1" w:styleId="57">
    <w:name w:val="标题 5 Char"/>
    <w:basedOn w:val="41"/>
    <w:link w:val="6"/>
    <w:qFormat/>
    <w:locked/>
    <w:uiPriority w:val="99"/>
    <w:rPr>
      <w:rFonts w:ascii="Calibri" w:hAnsi="Calibri" w:cs="Times New Roman"/>
      <w:b/>
      <w:bCs/>
      <w:kern w:val="2"/>
      <w:sz w:val="28"/>
      <w:szCs w:val="28"/>
    </w:rPr>
  </w:style>
  <w:style w:type="character" w:customStyle="1" w:styleId="58">
    <w:name w:val="apple-converted-space"/>
    <w:basedOn w:val="41"/>
    <w:qFormat/>
    <w:uiPriority w:val="99"/>
    <w:rPr>
      <w:rFonts w:cs="Times New Roman"/>
    </w:rPr>
  </w:style>
  <w:style w:type="character" w:customStyle="1" w:styleId="59">
    <w:name w:val="日期 Char"/>
    <w:basedOn w:val="41"/>
    <w:link w:val="23"/>
    <w:qFormat/>
    <w:locked/>
    <w:uiPriority w:val="99"/>
    <w:rPr>
      <w:rFonts w:ascii="宋体" w:cs="Times New Roman"/>
      <w:spacing w:val="20"/>
      <w:sz w:val="28"/>
    </w:rPr>
  </w:style>
  <w:style w:type="character" w:customStyle="1" w:styleId="60">
    <w:name w:val="f101"/>
    <w:qFormat/>
    <w:uiPriority w:val="99"/>
    <w:rPr>
      <w:rFonts w:ascii="Arial" w:hAnsi="Arial"/>
      <w:spacing w:val="480"/>
      <w:sz w:val="18"/>
    </w:rPr>
  </w:style>
  <w:style w:type="character" w:customStyle="1" w:styleId="61">
    <w:name w:val="正文 + 宋体 Char1"/>
    <w:qFormat/>
    <w:uiPriority w:val="99"/>
    <w:rPr>
      <w:rFonts w:eastAsia="宋体"/>
      <w:kern w:val="2"/>
      <w:sz w:val="21"/>
      <w:lang w:val="en-US" w:eastAsia="zh-CN"/>
    </w:rPr>
  </w:style>
  <w:style w:type="character" w:customStyle="1" w:styleId="62">
    <w:name w:val="纯文本 Char"/>
    <w:basedOn w:val="41"/>
    <w:link w:val="20"/>
    <w:qFormat/>
    <w:locked/>
    <w:uiPriority w:val="99"/>
    <w:rPr>
      <w:rFonts w:ascii="宋体" w:hAnsi="Courier New" w:cs="Times New Roman"/>
      <w:kern w:val="2"/>
      <w:sz w:val="21"/>
    </w:rPr>
  </w:style>
  <w:style w:type="character" w:customStyle="1" w:styleId="63">
    <w:name w:val="正文文本缩进 3 Char"/>
    <w:basedOn w:val="41"/>
    <w:link w:val="34"/>
    <w:qFormat/>
    <w:locked/>
    <w:uiPriority w:val="99"/>
    <w:rPr>
      <w:rFonts w:ascii="宋体" w:cs="Times New Roman"/>
      <w:spacing w:val="20"/>
      <w:sz w:val="28"/>
    </w:rPr>
  </w:style>
  <w:style w:type="character" w:customStyle="1" w:styleId="64">
    <w:name w:val="正文文本 Char"/>
    <w:basedOn w:val="41"/>
    <w:link w:val="15"/>
    <w:qFormat/>
    <w:locked/>
    <w:uiPriority w:val="99"/>
    <w:rPr>
      <w:rFonts w:cs="Times New Roman"/>
      <w:spacing w:val="20"/>
      <w:kern w:val="2"/>
      <w:sz w:val="24"/>
    </w:rPr>
  </w:style>
  <w:style w:type="character" w:customStyle="1" w:styleId="65">
    <w:name w:val="short_text1"/>
    <w:basedOn w:val="41"/>
    <w:qFormat/>
    <w:uiPriority w:val="99"/>
    <w:rPr>
      <w:rFonts w:cs="Times New Roman"/>
      <w:sz w:val="29"/>
      <w:szCs w:val="29"/>
    </w:rPr>
  </w:style>
  <w:style w:type="character" w:customStyle="1" w:styleId="66">
    <w:name w:val="ts2"/>
    <w:qFormat/>
    <w:uiPriority w:val="99"/>
    <w:rPr>
      <w:rFonts w:ascii="楷体" w:eastAsia="楷体"/>
      <w:sz w:val="24"/>
    </w:rPr>
  </w:style>
  <w:style w:type="character" w:customStyle="1" w:styleId="67">
    <w:name w:val="正文 + 宋体 Char"/>
    <w:link w:val="68"/>
    <w:qFormat/>
    <w:locked/>
    <w:uiPriority w:val="99"/>
    <w:rPr>
      <w:rFonts w:ascii="宋体" w:eastAsia="宋体"/>
      <w:kern w:val="2"/>
      <w:sz w:val="26"/>
    </w:rPr>
  </w:style>
  <w:style w:type="paragraph" w:customStyle="1" w:styleId="68">
    <w:name w:val="正文 + 宋体"/>
    <w:basedOn w:val="1"/>
    <w:link w:val="67"/>
    <w:qFormat/>
    <w:uiPriority w:val="99"/>
    <w:pPr>
      <w:adjustRightInd w:val="0"/>
      <w:snapToGrid w:val="0"/>
      <w:spacing w:line="360" w:lineRule="auto"/>
      <w:ind w:firstLine="527"/>
    </w:pPr>
    <w:rPr>
      <w:rFonts w:ascii="宋体"/>
      <w:sz w:val="26"/>
    </w:rPr>
  </w:style>
  <w:style w:type="character" w:customStyle="1" w:styleId="69">
    <w:name w:val="bb1"/>
    <w:qFormat/>
    <w:uiPriority w:val="99"/>
    <w:rPr>
      <w:sz w:val="24"/>
    </w:rPr>
  </w:style>
  <w:style w:type="character" w:customStyle="1" w:styleId="70">
    <w:name w:val="duanl"/>
    <w:basedOn w:val="41"/>
    <w:qFormat/>
    <w:uiPriority w:val="99"/>
    <w:rPr>
      <w:rFonts w:cs="Times New Roman"/>
    </w:rPr>
  </w:style>
  <w:style w:type="character" w:customStyle="1" w:styleId="71">
    <w:name w:val="批注文字 Char"/>
    <w:basedOn w:val="41"/>
    <w:link w:val="8"/>
    <w:qFormat/>
    <w:locked/>
    <w:uiPriority w:val="99"/>
    <w:rPr>
      <w:rFonts w:cs="Times New Roman"/>
      <w:kern w:val="2"/>
      <w:sz w:val="21"/>
    </w:rPr>
  </w:style>
  <w:style w:type="character" w:customStyle="1" w:styleId="72">
    <w:name w:val="unnamed11"/>
    <w:qFormat/>
    <w:uiPriority w:val="99"/>
    <w:rPr>
      <w:rFonts w:ascii="宋体" w:hAnsi="宋体" w:eastAsia="宋体"/>
      <w:spacing w:val="240"/>
      <w:sz w:val="18"/>
    </w:rPr>
  </w:style>
  <w:style w:type="character" w:customStyle="1" w:styleId="73">
    <w:name w:val="批注主题 Char"/>
    <w:basedOn w:val="71"/>
    <w:link w:val="7"/>
    <w:qFormat/>
    <w:locked/>
    <w:uiPriority w:val="99"/>
    <w:rPr>
      <w:b/>
      <w:bCs/>
    </w:rPr>
  </w:style>
  <w:style w:type="character" w:customStyle="1" w:styleId="74">
    <w:name w:val="副标题 Char"/>
    <w:basedOn w:val="41"/>
    <w:link w:val="32"/>
    <w:qFormat/>
    <w:locked/>
    <w:uiPriority w:val="99"/>
    <w:rPr>
      <w:rFonts w:ascii="Cambria" w:hAnsi="Cambria" w:cs="Times New Roman"/>
      <w:b/>
      <w:bCs/>
      <w:kern w:val="28"/>
      <w:sz w:val="32"/>
      <w:szCs w:val="32"/>
    </w:rPr>
  </w:style>
  <w:style w:type="character" w:customStyle="1" w:styleId="75">
    <w:name w:val="批注框文本 Char"/>
    <w:basedOn w:val="41"/>
    <w:link w:val="25"/>
    <w:qFormat/>
    <w:locked/>
    <w:uiPriority w:val="99"/>
    <w:rPr>
      <w:rFonts w:cs="Times New Roman"/>
      <w:kern w:val="2"/>
      <w:sz w:val="18"/>
    </w:rPr>
  </w:style>
  <w:style w:type="character" w:customStyle="1" w:styleId="76">
    <w:name w:val="正文文本缩进 Char"/>
    <w:basedOn w:val="41"/>
    <w:link w:val="16"/>
    <w:qFormat/>
    <w:locked/>
    <w:uiPriority w:val="99"/>
    <w:rPr>
      <w:rFonts w:ascii="宋体" w:cs="Times New Roman"/>
      <w:spacing w:val="20"/>
      <w:sz w:val="28"/>
    </w:rPr>
  </w:style>
  <w:style w:type="character" w:customStyle="1" w:styleId="77">
    <w:name w:val="apple-style-span"/>
    <w:basedOn w:val="41"/>
    <w:qFormat/>
    <w:uiPriority w:val="99"/>
    <w:rPr>
      <w:rFonts w:cs="Times New Roman"/>
    </w:rPr>
  </w:style>
  <w:style w:type="character" w:customStyle="1" w:styleId="78">
    <w:name w:val="引用 Char"/>
    <w:basedOn w:val="41"/>
    <w:link w:val="79"/>
    <w:qFormat/>
    <w:locked/>
    <w:uiPriority w:val="99"/>
    <w:rPr>
      <w:rFonts w:cs="Times New Roman"/>
      <w:i/>
      <w:iCs/>
      <w:color w:val="000000"/>
      <w:kern w:val="2"/>
      <w:sz w:val="21"/>
    </w:rPr>
  </w:style>
  <w:style w:type="paragraph" w:customStyle="1" w:styleId="79">
    <w:name w:val="引用1"/>
    <w:basedOn w:val="1"/>
    <w:next w:val="1"/>
    <w:link w:val="78"/>
    <w:qFormat/>
    <w:uiPriority w:val="99"/>
    <w:rPr>
      <w:i/>
      <w:iCs/>
      <w:color w:val="000000"/>
    </w:rPr>
  </w:style>
  <w:style w:type="character" w:customStyle="1" w:styleId="80">
    <w:name w:val="正文文本缩进 2 Char"/>
    <w:basedOn w:val="41"/>
    <w:link w:val="24"/>
    <w:qFormat/>
    <w:locked/>
    <w:uiPriority w:val="99"/>
    <w:rPr>
      <w:rFonts w:cs="Times New Roman"/>
      <w:spacing w:val="20"/>
      <w:kern w:val="2"/>
      <w:sz w:val="28"/>
    </w:rPr>
  </w:style>
  <w:style w:type="character" w:customStyle="1" w:styleId="81">
    <w:name w:val="文档结构图 Char"/>
    <w:basedOn w:val="41"/>
    <w:link w:val="13"/>
    <w:qFormat/>
    <w:locked/>
    <w:uiPriority w:val="99"/>
    <w:rPr>
      <w:rFonts w:ascii="宋体" w:cs="Times New Roman"/>
      <w:kern w:val="2"/>
      <w:sz w:val="18"/>
      <w:szCs w:val="18"/>
    </w:rPr>
  </w:style>
  <w:style w:type="character" w:customStyle="1" w:styleId="82">
    <w:name w:val="divtxt1"/>
    <w:qFormat/>
    <w:uiPriority w:val="99"/>
    <w:rPr>
      <w:color w:val="000000"/>
      <w:spacing w:val="15"/>
    </w:rPr>
  </w:style>
  <w:style w:type="character" w:customStyle="1" w:styleId="83">
    <w:name w:val="f131"/>
    <w:basedOn w:val="41"/>
    <w:qFormat/>
    <w:uiPriority w:val="99"/>
    <w:rPr>
      <w:rFonts w:cs="Times New Roman"/>
    </w:rPr>
  </w:style>
  <w:style w:type="character" w:customStyle="1" w:styleId="84">
    <w:name w:val="批注引用1"/>
    <w:qFormat/>
    <w:uiPriority w:val="99"/>
    <w:rPr>
      <w:sz w:val="21"/>
    </w:rPr>
  </w:style>
  <w:style w:type="paragraph" w:customStyle="1" w:styleId="85">
    <w:name w:val="xl26"/>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16"/>
      <w:szCs w:val="16"/>
    </w:rPr>
  </w:style>
  <w:style w:type="paragraph" w:customStyle="1" w:styleId="86">
    <w:name w:val="xl25"/>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16"/>
      <w:szCs w:val="16"/>
    </w:rPr>
  </w:style>
  <w:style w:type="paragraph" w:customStyle="1" w:styleId="87">
    <w:name w:val="xl33"/>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16"/>
      <w:szCs w:val="16"/>
    </w:rPr>
  </w:style>
  <w:style w:type="paragraph" w:customStyle="1" w:styleId="88">
    <w:name w:val="xl31"/>
    <w:basedOn w:val="1"/>
    <w:qFormat/>
    <w:uiPriority w:val="99"/>
    <w:pPr>
      <w:widowControl/>
      <w:pBdr>
        <w:top w:val="single" w:color="auto" w:sz="4" w:space="0"/>
        <w:left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16"/>
      <w:szCs w:val="16"/>
    </w:rPr>
  </w:style>
  <w:style w:type="paragraph" w:customStyle="1" w:styleId="89">
    <w:name w:val="xl28"/>
    <w:basedOn w:val="1"/>
    <w:qFormat/>
    <w:uiPriority w:val="99"/>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16"/>
      <w:szCs w:val="16"/>
    </w:rPr>
  </w:style>
  <w:style w:type="paragraph" w:customStyle="1" w:styleId="90">
    <w:name w:val="font5"/>
    <w:basedOn w:val="1"/>
    <w:qFormat/>
    <w:uiPriority w:val="99"/>
    <w:pPr>
      <w:widowControl/>
      <w:spacing w:before="100" w:beforeAutospacing="1" w:after="100" w:afterAutospacing="1"/>
      <w:jc w:val="left"/>
    </w:pPr>
    <w:rPr>
      <w:rFonts w:ascii="宋体" w:hAnsi="宋体" w:cs="Arial Unicode MS"/>
      <w:kern w:val="0"/>
      <w:sz w:val="18"/>
      <w:szCs w:val="18"/>
    </w:rPr>
  </w:style>
  <w:style w:type="paragraph" w:customStyle="1" w:styleId="91">
    <w:name w:val="修订1"/>
    <w:semiHidden/>
    <w:qFormat/>
    <w:uiPriority w:val="99"/>
    <w:rPr>
      <w:rFonts w:ascii="Calibri" w:hAnsi="Calibri" w:eastAsia="宋体" w:cs="Times New Roman"/>
      <w:kern w:val="2"/>
      <w:sz w:val="21"/>
      <w:szCs w:val="22"/>
      <w:lang w:val="en-US" w:eastAsia="zh-CN" w:bidi="ar-SA"/>
    </w:rPr>
  </w:style>
  <w:style w:type="paragraph" w:customStyle="1" w:styleId="92">
    <w:name w:val="1"/>
    <w:basedOn w:val="1"/>
    <w:next w:val="39"/>
    <w:qFormat/>
    <w:uiPriority w:val="99"/>
    <w:pPr>
      <w:widowControl/>
      <w:spacing w:before="100" w:after="100"/>
      <w:jc w:val="left"/>
    </w:pPr>
    <w:rPr>
      <w:rFonts w:ascii="宋体" w:hAnsi="宋体"/>
      <w:kern w:val="0"/>
      <w:sz w:val="18"/>
    </w:rPr>
  </w:style>
  <w:style w:type="paragraph" w:customStyle="1" w:styleId="93">
    <w:name w:val="xl30"/>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16"/>
      <w:szCs w:val="16"/>
    </w:rPr>
  </w:style>
  <w:style w:type="paragraph" w:customStyle="1" w:styleId="94">
    <w:name w:val="xl27"/>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16"/>
      <w:szCs w:val="16"/>
    </w:rPr>
  </w:style>
  <w:style w:type="paragraph" w:customStyle="1" w:styleId="95">
    <w:name w:val="彩色列表 - 强调文字颜色 11"/>
    <w:basedOn w:val="1"/>
    <w:qFormat/>
    <w:uiPriority w:val="99"/>
    <w:pPr>
      <w:ind w:firstLine="420" w:firstLineChars="200"/>
    </w:pPr>
    <w:rPr>
      <w:rFonts w:ascii="Calibri" w:hAnsi="Calibri"/>
      <w:szCs w:val="22"/>
    </w:rPr>
  </w:style>
  <w:style w:type="paragraph" w:customStyle="1" w:styleId="96">
    <w:name w:val="xl29"/>
    <w:basedOn w:val="1"/>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16"/>
      <w:szCs w:val="16"/>
    </w:rPr>
  </w:style>
  <w:style w:type="paragraph" w:customStyle="1" w:styleId="97">
    <w:name w:val="xl41"/>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kern w:val="0"/>
      <w:sz w:val="20"/>
    </w:rPr>
  </w:style>
  <w:style w:type="paragraph" w:customStyle="1" w:styleId="98">
    <w:name w:val="Char1 Char Char Char1"/>
    <w:basedOn w:val="1"/>
    <w:qFormat/>
    <w:uiPriority w:val="99"/>
    <w:pPr>
      <w:widowControl/>
      <w:spacing w:after="160" w:line="240" w:lineRule="exact"/>
      <w:jc w:val="left"/>
    </w:pPr>
    <w:rPr>
      <w:rFonts w:ascii="Tahoma" w:hAnsi="Tahoma"/>
      <w:kern w:val="0"/>
      <w:sz w:val="24"/>
      <w:szCs w:val="24"/>
      <w:lang w:eastAsia="en-US"/>
    </w:rPr>
  </w:style>
  <w:style w:type="paragraph" w:customStyle="1" w:styleId="99">
    <w:name w:val="默认段落字体 Para Char Char Char Char Char Char Char"/>
    <w:basedOn w:val="1"/>
    <w:qFormat/>
    <w:uiPriority w:val="99"/>
    <w:rPr>
      <w:rFonts w:ascii="Tahoma" w:hAnsi="Tahoma"/>
      <w:sz w:val="24"/>
    </w:rPr>
  </w:style>
  <w:style w:type="paragraph" w:customStyle="1" w:styleId="100">
    <w:name w:val="xl37"/>
    <w:basedOn w:val="1"/>
    <w:qFormat/>
    <w:uiPriority w:val="99"/>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16"/>
      <w:szCs w:val="16"/>
    </w:rPr>
  </w:style>
  <w:style w:type="paragraph" w:customStyle="1" w:styleId="101">
    <w:name w:val="样式6"/>
    <w:basedOn w:val="27"/>
    <w:qFormat/>
    <w:uiPriority w:val="0"/>
    <w:pPr>
      <w:pBdr>
        <w:bottom w:val="single" w:color="auto" w:sz="4" w:space="1"/>
      </w:pBdr>
      <w:jc w:val="both"/>
    </w:pPr>
    <w:rPr>
      <w:rFonts w:ascii="宋体" w:hAnsi="宋体"/>
      <w:u w:val="single"/>
    </w:rPr>
  </w:style>
  <w:style w:type="paragraph" w:customStyle="1" w:styleId="102">
    <w:name w:val="font7"/>
    <w:basedOn w:val="1"/>
    <w:qFormat/>
    <w:uiPriority w:val="99"/>
    <w:pPr>
      <w:widowControl/>
      <w:spacing w:before="100" w:beforeAutospacing="1" w:after="100" w:afterAutospacing="1"/>
      <w:jc w:val="left"/>
    </w:pPr>
    <w:rPr>
      <w:rFonts w:ascii="宋体" w:hAnsi="宋体" w:cs="Arial Unicode MS"/>
      <w:color w:val="000000"/>
      <w:kern w:val="0"/>
      <w:sz w:val="18"/>
      <w:szCs w:val="18"/>
    </w:rPr>
  </w:style>
  <w:style w:type="paragraph" w:customStyle="1" w:styleId="103">
    <w:name w:val="Char"/>
    <w:basedOn w:val="1"/>
    <w:qFormat/>
    <w:uiPriority w:val="99"/>
    <w:rPr>
      <w:szCs w:val="24"/>
    </w:rPr>
  </w:style>
  <w:style w:type="paragraph" w:customStyle="1" w:styleId="104">
    <w:name w:val="样式7"/>
    <w:basedOn w:val="27"/>
    <w:qFormat/>
    <w:uiPriority w:val="0"/>
    <w:pPr>
      <w:pBdr>
        <w:bottom w:val="single" w:color="auto" w:sz="4" w:space="1"/>
      </w:pBdr>
      <w:jc w:val="both"/>
    </w:pPr>
    <w:rPr>
      <w:rFonts w:ascii="宋体" w:hAnsi="宋体"/>
      <w:u w:val="single"/>
    </w:rPr>
  </w:style>
  <w:style w:type="paragraph" w:customStyle="1" w:styleId="105">
    <w:name w:val="font11"/>
    <w:basedOn w:val="1"/>
    <w:qFormat/>
    <w:uiPriority w:val="99"/>
    <w:pPr>
      <w:widowControl/>
      <w:spacing w:before="100" w:beforeAutospacing="1" w:after="100" w:afterAutospacing="1"/>
      <w:jc w:val="left"/>
    </w:pPr>
    <w:rPr>
      <w:kern w:val="0"/>
      <w:sz w:val="16"/>
      <w:szCs w:val="16"/>
    </w:rPr>
  </w:style>
  <w:style w:type="paragraph" w:customStyle="1" w:styleId="106">
    <w:name w:val="font0"/>
    <w:basedOn w:val="1"/>
    <w:qFormat/>
    <w:uiPriority w:val="99"/>
    <w:pPr>
      <w:widowControl/>
      <w:spacing w:before="100" w:beforeAutospacing="1" w:after="100" w:afterAutospacing="1"/>
      <w:jc w:val="left"/>
    </w:pPr>
    <w:rPr>
      <w:rFonts w:ascii="宋体" w:hAnsi="宋体" w:cs="Arial Unicode MS"/>
      <w:kern w:val="0"/>
      <w:sz w:val="24"/>
      <w:szCs w:val="24"/>
    </w:rPr>
  </w:style>
  <w:style w:type="paragraph" w:customStyle="1" w:styleId="107">
    <w:name w:val="样式4"/>
    <w:basedOn w:val="52"/>
    <w:qFormat/>
    <w:uiPriority w:val="0"/>
    <w:pPr>
      <w:pBdr>
        <w:bottom w:val="none" w:color="auto" w:sz="0" w:space="0"/>
      </w:pBdr>
    </w:pPr>
  </w:style>
  <w:style w:type="paragraph" w:customStyle="1" w:styleId="108">
    <w:name w:val="font12"/>
    <w:basedOn w:val="1"/>
    <w:qFormat/>
    <w:uiPriority w:val="99"/>
    <w:pPr>
      <w:widowControl/>
      <w:spacing w:before="100" w:beforeAutospacing="1" w:after="100" w:afterAutospacing="1"/>
      <w:jc w:val="left"/>
    </w:pPr>
    <w:rPr>
      <w:b/>
      <w:bCs/>
      <w:color w:val="000000"/>
      <w:kern w:val="0"/>
      <w:sz w:val="18"/>
      <w:szCs w:val="18"/>
    </w:rPr>
  </w:style>
  <w:style w:type="paragraph" w:customStyle="1" w:styleId="109">
    <w:name w:val="正文文本缩进 211"/>
    <w:basedOn w:val="1"/>
    <w:qFormat/>
    <w:uiPriority w:val="99"/>
    <w:pPr>
      <w:spacing w:after="120" w:line="480" w:lineRule="auto"/>
      <w:ind w:left="420" w:leftChars="200"/>
    </w:pPr>
  </w:style>
  <w:style w:type="paragraph" w:customStyle="1" w:styleId="110">
    <w:name w:val="3"/>
    <w:basedOn w:val="1"/>
    <w:next w:val="39"/>
    <w:qFormat/>
    <w:uiPriority w:val="99"/>
    <w:pPr>
      <w:widowControl/>
      <w:spacing w:before="100" w:after="100"/>
      <w:jc w:val="left"/>
    </w:pPr>
    <w:rPr>
      <w:rFonts w:ascii="宋体" w:hAnsi="宋体"/>
      <w:kern w:val="0"/>
      <w:sz w:val="18"/>
    </w:rPr>
  </w:style>
  <w:style w:type="paragraph" w:customStyle="1" w:styleId="111">
    <w:name w:val="Default"/>
    <w:qFormat/>
    <w:uiPriority w:val="99"/>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paragraph" w:customStyle="1" w:styleId="112">
    <w:name w:val="Char1 Char Char Char"/>
    <w:basedOn w:val="1"/>
    <w:qFormat/>
    <w:uiPriority w:val="99"/>
    <w:pPr>
      <w:widowControl/>
      <w:spacing w:after="160" w:line="240" w:lineRule="exact"/>
      <w:jc w:val="left"/>
    </w:pPr>
    <w:rPr>
      <w:rFonts w:ascii="Tahoma" w:hAnsi="Tahoma"/>
      <w:kern w:val="0"/>
      <w:sz w:val="24"/>
      <w:szCs w:val="24"/>
      <w:lang w:eastAsia="en-US"/>
    </w:rPr>
  </w:style>
  <w:style w:type="paragraph" w:customStyle="1" w:styleId="113">
    <w:name w:val="xl32"/>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16"/>
      <w:szCs w:val="16"/>
    </w:rPr>
  </w:style>
  <w:style w:type="paragraph" w:customStyle="1" w:styleId="114">
    <w:name w:val="xl36"/>
    <w:basedOn w:val="1"/>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16"/>
      <w:szCs w:val="16"/>
    </w:rPr>
  </w:style>
  <w:style w:type="paragraph" w:customStyle="1" w:styleId="115">
    <w:name w:val="样式1"/>
    <w:basedOn w:val="1"/>
    <w:qFormat/>
    <w:uiPriority w:val="0"/>
    <w:pPr>
      <w:spacing w:line="360" w:lineRule="auto"/>
      <w:ind w:firstLine="360" w:firstLineChars="150"/>
    </w:pPr>
    <w:rPr>
      <w:rFonts w:ascii="仿宋_GB2312" w:hAnsi="宋体" w:eastAsia="仿宋_GB2312"/>
      <w:sz w:val="24"/>
      <w:szCs w:val="24"/>
    </w:rPr>
  </w:style>
  <w:style w:type="paragraph" w:customStyle="1" w:styleId="116">
    <w:name w:val="xl38"/>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16"/>
      <w:szCs w:val="16"/>
    </w:rPr>
  </w:style>
  <w:style w:type="paragraph" w:customStyle="1" w:styleId="117">
    <w:name w:val="font6"/>
    <w:basedOn w:val="1"/>
    <w:qFormat/>
    <w:uiPriority w:val="99"/>
    <w:pPr>
      <w:widowControl/>
      <w:spacing w:before="100" w:beforeAutospacing="1" w:after="100" w:afterAutospacing="1"/>
      <w:jc w:val="left"/>
    </w:pPr>
    <w:rPr>
      <w:kern w:val="0"/>
      <w:sz w:val="18"/>
      <w:szCs w:val="18"/>
    </w:rPr>
  </w:style>
  <w:style w:type="paragraph" w:customStyle="1" w:styleId="118">
    <w:name w:val="普通(网站)1"/>
    <w:basedOn w:val="1"/>
    <w:qFormat/>
    <w:uiPriority w:val="99"/>
    <w:pPr>
      <w:widowControl/>
      <w:spacing w:before="100" w:after="100"/>
      <w:jc w:val="left"/>
    </w:pPr>
    <w:rPr>
      <w:rFonts w:ascii="宋体" w:hAnsi="宋体"/>
      <w:kern w:val="0"/>
      <w:sz w:val="18"/>
    </w:rPr>
  </w:style>
  <w:style w:type="paragraph" w:customStyle="1" w:styleId="119">
    <w:name w:val="xl10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rPr>
  </w:style>
  <w:style w:type="paragraph" w:customStyle="1" w:styleId="120">
    <w:name w:val="xl39"/>
    <w:basedOn w:val="1"/>
    <w:qFormat/>
    <w:uiPriority w:val="99"/>
    <w:pPr>
      <w:widowControl/>
      <w:pBdr>
        <w:top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16"/>
      <w:szCs w:val="16"/>
    </w:rPr>
  </w:style>
  <w:style w:type="paragraph" w:customStyle="1" w:styleId="121">
    <w:name w:val="xl10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rPr>
  </w:style>
  <w:style w:type="paragraph" w:customStyle="1" w:styleId="122">
    <w:name w:val="列出段落11"/>
    <w:basedOn w:val="1"/>
    <w:qFormat/>
    <w:uiPriority w:val="99"/>
    <w:pPr>
      <w:ind w:firstLine="420" w:firstLineChars="200"/>
    </w:pPr>
    <w:rPr>
      <w:rFonts w:ascii="Calibri" w:hAnsi="Calibri"/>
      <w:szCs w:val="22"/>
    </w:rPr>
  </w:style>
  <w:style w:type="paragraph" w:customStyle="1" w:styleId="123">
    <w:name w:val="Char Char Char Char Char Char"/>
    <w:basedOn w:val="1"/>
    <w:qFormat/>
    <w:uiPriority w:val="99"/>
    <w:pPr>
      <w:widowControl/>
      <w:spacing w:after="160" w:line="240" w:lineRule="exact"/>
      <w:jc w:val="left"/>
    </w:pPr>
    <w:rPr>
      <w:rFonts w:ascii="Verdana" w:hAnsi="Verdana" w:cs="Verdana"/>
      <w:kern w:val="0"/>
      <w:sz w:val="20"/>
      <w:lang w:eastAsia="en-US"/>
    </w:rPr>
  </w:style>
  <w:style w:type="paragraph" w:customStyle="1" w:styleId="124">
    <w:name w:val="样式3"/>
    <w:basedOn w:val="1"/>
    <w:qFormat/>
    <w:uiPriority w:val="99"/>
    <w:pPr>
      <w:adjustRightInd w:val="0"/>
      <w:spacing w:line="400" w:lineRule="exact"/>
      <w:ind w:firstLine="737"/>
      <w:jc w:val="left"/>
      <w:textAlignment w:val="baseline"/>
    </w:pPr>
    <w:rPr>
      <w:rFonts w:ascii="仿宋体"/>
      <w:spacing w:val="24"/>
      <w:kern w:val="0"/>
      <w:sz w:val="30"/>
    </w:rPr>
  </w:style>
  <w:style w:type="paragraph" w:customStyle="1" w:styleId="125">
    <w:name w:val="Char11"/>
    <w:basedOn w:val="1"/>
    <w:qFormat/>
    <w:uiPriority w:val="99"/>
    <w:pPr>
      <w:widowControl/>
      <w:spacing w:after="160" w:line="240" w:lineRule="exact"/>
      <w:jc w:val="left"/>
    </w:pPr>
    <w:rPr>
      <w:rFonts w:ascii="Verdana" w:hAnsi="Verdana"/>
      <w:kern w:val="0"/>
      <w:sz w:val="20"/>
      <w:lang w:eastAsia="en-US"/>
    </w:rPr>
  </w:style>
  <w:style w:type="paragraph" w:customStyle="1" w:styleId="126">
    <w:name w:val="xl24"/>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16"/>
      <w:szCs w:val="16"/>
    </w:rPr>
  </w:style>
  <w:style w:type="paragraph" w:customStyle="1" w:styleId="127">
    <w:name w:val="4"/>
    <w:basedOn w:val="1"/>
    <w:next w:val="34"/>
    <w:qFormat/>
    <w:uiPriority w:val="99"/>
    <w:pPr>
      <w:adjustRightInd w:val="0"/>
      <w:spacing w:line="360" w:lineRule="auto"/>
      <w:ind w:left="600" w:firstLine="555"/>
      <w:jc w:val="left"/>
      <w:textAlignment w:val="baseline"/>
      <w:outlineLvl w:val="0"/>
    </w:pPr>
    <w:rPr>
      <w:rFonts w:ascii="楷体_GB2312" w:eastAsia="楷体_GB2312"/>
      <w:sz w:val="28"/>
    </w:rPr>
  </w:style>
  <w:style w:type="paragraph" w:customStyle="1" w:styleId="128">
    <w:name w:val="xl40"/>
    <w:basedOn w:val="1"/>
    <w:qFormat/>
    <w:uiPriority w:val="99"/>
    <w:pPr>
      <w:widowControl/>
      <w:pBdr>
        <w:top w:val="single" w:color="auto" w:sz="4" w:space="0"/>
        <w:right w:val="single" w:color="auto" w:sz="4" w:space="0"/>
      </w:pBdr>
      <w:spacing w:before="100" w:beforeAutospacing="1" w:after="100" w:afterAutospacing="1"/>
      <w:jc w:val="center"/>
      <w:textAlignment w:val="center"/>
    </w:pPr>
    <w:rPr>
      <w:rFonts w:ascii="Arial Unicode MS" w:hAnsi="Arial Unicode MS" w:cs="Arial Unicode MS"/>
      <w:kern w:val="0"/>
      <w:sz w:val="20"/>
    </w:rPr>
  </w:style>
  <w:style w:type="paragraph" w:customStyle="1" w:styleId="129">
    <w:name w:val="font8"/>
    <w:basedOn w:val="1"/>
    <w:qFormat/>
    <w:uiPriority w:val="99"/>
    <w:pPr>
      <w:widowControl/>
      <w:spacing w:before="100" w:beforeAutospacing="1" w:after="100" w:afterAutospacing="1"/>
      <w:jc w:val="left"/>
    </w:pPr>
    <w:rPr>
      <w:rFonts w:ascii="宋体" w:hAnsi="宋体" w:cs="Arial Unicode MS"/>
      <w:kern w:val="0"/>
      <w:sz w:val="16"/>
      <w:szCs w:val="16"/>
    </w:rPr>
  </w:style>
  <w:style w:type="paragraph" w:customStyle="1" w:styleId="130">
    <w:name w:val="font1"/>
    <w:basedOn w:val="1"/>
    <w:qFormat/>
    <w:uiPriority w:val="99"/>
    <w:pPr>
      <w:widowControl/>
      <w:spacing w:before="100" w:beforeAutospacing="1" w:after="100" w:afterAutospacing="1"/>
      <w:jc w:val="left"/>
    </w:pPr>
    <w:rPr>
      <w:rFonts w:ascii="宋体" w:hAnsi="宋体" w:cs="Arial Unicode MS"/>
      <w:b/>
      <w:bCs/>
      <w:kern w:val="0"/>
      <w:sz w:val="24"/>
      <w:szCs w:val="24"/>
    </w:rPr>
  </w:style>
  <w:style w:type="paragraph" w:customStyle="1" w:styleId="131">
    <w:name w:val="正文文本缩进 21"/>
    <w:basedOn w:val="1"/>
    <w:qFormat/>
    <w:uiPriority w:val="99"/>
    <w:pPr>
      <w:spacing w:after="120" w:line="480" w:lineRule="auto"/>
      <w:ind w:left="420" w:leftChars="200"/>
    </w:pPr>
  </w:style>
  <w:style w:type="paragraph" w:customStyle="1" w:styleId="132">
    <w:name w:val="font10"/>
    <w:basedOn w:val="1"/>
    <w:qFormat/>
    <w:uiPriority w:val="99"/>
    <w:pPr>
      <w:widowControl/>
      <w:spacing w:before="100" w:beforeAutospacing="1" w:after="100" w:afterAutospacing="1"/>
      <w:jc w:val="left"/>
    </w:pPr>
    <w:rPr>
      <w:color w:val="000000"/>
      <w:kern w:val="0"/>
      <w:sz w:val="18"/>
      <w:szCs w:val="18"/>
    </w:rPr>
  </w:style>
  <w:style w:type="paragraph" w:customStyle="1" w:styleId="133">
    <w:name w:val="xl34"/>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16"/>
      <w:szCs w:val="16"/>
    </w:rPr>
  </w:style>
  <w:style w:type="paragraph" w:customStyle="1" w:styleId="134">
    <w:name w:val="xl43"/>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kern w:val="0"/>
      <w:sz w:val="20"/>
    </w:rPr>
  </w:style>
  <w:style w:type="paragraph" w:styleId="135">
    <w:name w:val="List Paragraph"/>
    <w:basedOn w:val="1"/>
    <w:qFormat/>
    <w:uiPriority w:val="34"/>
    <w:pPr>
      <w:ind w:firstLine="420" w:firstLineChars="200"/>
    </w:pPr>
  </w:style>
  <w:style w:type="paragraph" w:customStyle="1" w:styleId="136">
    <w:name w:val="2"/>
    <w:basedOn w:val="1"/>
    <w:next w:val="34"/>
    <w:qFormat/>
    <w:uiPriority w:val="99"/>
    <w:pPr>
      <w:adjustRightInd w:val="0"/>
      <w:spacing w:line="360" w:lineRule="auto"/>
      <w:ind w:left="600" w:firstLine="555"/>
      <w:jc w:val="left"/>
      <w:textAlignment w:val="baseline"/>
      <w:outlineLvl w:val="0"/>
    </w:pPr>
    <w:rPr>
      <w:rFonts w:ascii="楷体_GB2312" w:eastAsia="楷体_GB2312"/>
      <w:sz w:val="28"/>
    </w:rPr>
  </w:style>
  <w:style w:type="paragraph" w:customStyle="1" w:styleId="137">
    <w:name w:val="列出段落1"/>
    <w:basedOn w:val="1"/>
    <w:qFormat/>
    <w:uiPriority w:val="99"/>
    <w:pPr>
      <w:ind w:firstLine="420" w:firstLineChars="200"/>
    </w:pPr>
    <w:rPr>
      <w:szCs w:val="24"/>
    </w:rPr>
  </w:style>
  <w:style w:type="paragraph" w:customStyle="1" w:styleId="138">
    <w:name w:val="xl42"/>
    <w:basedOn w:val="1"/>
    <w:qFormat/>
    <w:uiPriority w:val="99"/>
    <w:pPr>
      <w:widowControl/>
      <w:pBdr>
        <w:top w:val="single" w:color="auto" w:sz="4" w:space="0"/>
        <w:bottom w:val="single" w:color="auto" w:sz="4" w:space="0"/>
      </w:pBdr>
      <w:spacing w:before="100" w:beforeAutospacing="1" w:after="100" w:afterAutospacing="1"/>
      <w:jc w:val="center"/>
      <w:textAlignment w:val="center"/>
    </w:pPr>
    <w:rPr>
      <w:rFonts w:ascii="Arial Unicode MS" w:hAnsi="Arial Unicode MS"/>
      <w:kern w:val="0"/>
      <w:sz w:val="20"/>
    </w:rPr>
  </w:style>
  <w:style w:type="paragraph" w:customStyle="1" w:styleId="139">
    <w:name w:val="xl35"/>
    <w:basedOn w:val="1"/>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16"/>
      <w:szCs w:val="16"/>
    </w:rPr>
  </w:style>
  <w:style w:type="paragraph" w:customStyle="1" w:styleId="140">
    <w:name w:val="xl10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rPr>
  </w:style>
  <w:style w:type="paragraph" w:customStyle="1" w:styleId="141">
    <w:name w:val="font9"/>
    <w:basedOn w:val="1"/>
    <w:qFormat/>
    <w:uiPriority w:val="99"/>
    <w:pPr>
      <w:widowControl/>
      <w:spacing w:before="100" w:beforeAutospacing="1" w:after="100" w:afterAutospacing="1"/>
      <w:jc w:val="left"/>
    </w:pPr>
    <w:rPr>
      <w:rFonts w:ascii="宋体" w:hAnsi="宋体" w:cs="Arial Unicode MS"/>
      <w:kern w:val="0"/>
      <w:sz w:val="16"/>
      <w:szCs w:val="16"/>
    </w:rPr>
  </w:style>
  <w:style w:type="paragraph" w:customStyle="1" w:styleId="142">
    <w:name w:val="Char1"/>
    <w:basedOn w:val="1"/>
    <w:qFormat/>
    <w:uiPriority w:val="99"/>
    <w:pPr>
      <w:widowControl/>
      <w:spacing w:after="160" w:line="240" w:lineRule="exact"/>
      <w:jc w:val="left"/>
    </w:pPr>
    <w:rPr>
      <w:rFonts w:ascii="Verdana" w:hAnsi="Verdana"/>
      <w:kern w:val="0"/>
      <w:sz w:val="20"/>
      <w:lang w:eastAsia="en-US"/>
    </w:rPr>
  </w:style>
  <w:style w:type="paragraph" w:customStyle="1" w:styleId="143">
    <w:name w:val="reader-word-laye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44">
    <w:name w:val="样式5"/>
    <w:basedOn w:val="107"/>
    <w:qFormat/>
    <w:uiPriority w:val="0"/>
    <w:pPr>
      <w:pBdr>
        <w:bottom w:val="single" w:color="auto" w:sz="4" w:space="1"/>
      </w:pBdr>
    </w:pPr>
  </w:style>
  <w:style w:type="paragraph" w:customStyle="1" w:styleId="145">
    <w:name w:val="List Paragraph1"/>
    <w:basedOn w:val="1"/>
    <w:qFormat/>
    <w:uiPriority w:val="99"/>
    <w:pPr>
      <w:ind w:firstLine="420" w:firstLineChars="200"/>
    </w:pPr>
    <w:rPr>
      <w:szCs w:val="24"/>
    </w:rPr>
  </w:style>
  <w:style w:type="paragraph" w:customStyle="1" w:styleId="146">
    <w:name w:val="Quote1"/>
    <w:basedOn w:val="1"/>
    <w:next w:val="1"/>
    <w:link w:val="147"/>
    <w:qFormat/>
    <w:uiPriority w:val="99"/>
    <w:rPr>
      <w:i/>
      <w:iCs/>
      <w:color w:val="000000"/>
    </w:rPr>
  </w:style>
  <w:style w:type="character" w:customStyle="1" w:styleId="147">
    <w:name w:val="Quote Char"/>
    <w:basedOn w:val="41"/>
    <w:link w:val="146"/>
    <w:qFormat/>
    <w:locked/>
    <w:uiPriority w:val="99"/>
    <w:rPr>
      <w:i/>
      <w:iCs/>
      <w:color w:val="000000"/>
      <w:kern w:val="2"/>
      <w:sz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8.jpeg"/><Relationship Id="rId21" Type="http://schemas.openxmlformats.org/officeDocument/2006/relationships/image" Target="media/image7.jpeg"/><Relationship Id="rId20" Type="http://schemas.openxmlformats.org/officeDocument/2006/relationships/image" Target="media/image6.jpeg"/><Relationship Id="rId2" Type="http://schemas.openxmlformats.org/officeDocument/2006/relationships/settings" Target="settings.xml"/><Relationship Id="rId19" Type="http://schemas.openxmlformats.org/officeDocument/2006/relationships/image" Target="media/image5.jpeg"/><Relationship Id="rId18" Type="http://schemas.openxmlformats.org/officeDocument/2006/relationships/image" Target="media/image4.jpeg"/><Relationship Id="rId17" Type="http://schemas.openxmlformats.org/officeDocument/2006/relationships/image" Target="media/image3.jpeg"/><Relationship Id="rId16" Type="http://schemas.openxmlformats.org/officeDocument/2006/relationships/image" Target="media/image2.png"/><Relationship Id="rId15" Type="http://schemas.openxmlformats.org/officeDocument/2006/relationships/theme" Target="theme/theme1.xml"/><Relationship Id="rId14" Type="http://schemas.openxmlformats.org/officeDocument/2006/relationships/header" Target="header7.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1CEFF9-CF02-4CCF-8028-01476A71BB1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50</Pages>
  <Words>4338</Words>
  <Characters>24729</Characters>
  <Lines>206</Lines>
  <Paragraphs>58</Paragraphs>
  <TotalTime>28</TotalTime>
  <ScaleCrop>false</ScaleCrop>
  <LinksUpToDate>false</LinksUpToDate>
  <CharactersWithSpaces>29009</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2018-09-28T08:52:00Z</dcterms:created>
  <dc:creator>yu</dc:creator>
  <cp:lastModifiedBy>Administrator</cp:lastModifiedBy>
  <cp:lastPrinted>2018-09-05T01:44:00Z</cp:lastPrinted>
  <dcterms:modified xsi:type="dcterms:W3CDTF">2019-10-25T00:47:01Z</dcterms:modified>
  <dc:title>致 委 托 方 函</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