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宋体" w:hAnsi="宋体" w:eastAsia="宋体" w:cs="宋体"/>
          <w:b/>
          <w:sz w:val="52"/>
          <w:szCs w:val="52"/>
        </w:rPr>
      </w:pPr>
    </w:p>
    <w:p>
      <w:pPr>
        <w:spacing w:line="560" w:lineRule="exact"/>
        <w:ind w:firstLine="0" w:firstLineChars="0"/>
        <w:jc w:val="center"/>
        <w:rPr>
          <w:rFonts w:ascii="宋体" w:hAnsi="宋体" w:eastAsia="宋体" w:cs="宋体"/>
          <w:b/>
          <w:sz w:val="52"/>
          <w:szCs w:val="52"/>
        </w:rPr>
      </w:pPr>
    </w:p>
    <w:p>
      <w:pPr>
        <w:spacing w:line="560" w:lineRule="exact"/>
        <w:ind w:left="1366" w:hanging="1366" w:hangingChars="400"/>
        <w:jc w:val="center"/>
        <w:rPr>
          <w:rFonts w:hint="eastAsia" w:ascii="宋体" w:hAnsi="宋体" w:eastAsia="宋体" w:cs="宋体"/>
          <w:b/>
          <w:spacing w:val="-10"/>
          <w:sz w:val="36"/>
          <w:szCs w:val="36"/>
          <w:lang w:val="en-US" w:eastAsia="zh-CN"/>
        </w:rPr>
      </w:pPr>
      <w:bookmarkStart w:id="0" w:name="_Hlk508702971"/>
      <w:bookmarkStart w:id="1" w:name="_Hlk498065133"/>
    </w:p>
    <w:p>
      <w:pPr>
        <w:spacing w:line="560" w:lineRule="exact"/>
        <w:ind w:left="1366" w:hanging="1366" w:hangingChars="400"/>
        <w:jc w:val="center"/>
        <w:rPr>
          <w:rFonts w:hint="eastAsia" w:ascii="宋体" w:hAnsi="宋体" w:eastAsia="宋体" w:cs="宋体"/>
          <w:b/>
          <w:spacing w:val="-10"/>
          <w:sz w:val="36"/>
          <w:szCs w:val="36"/>
          <w:lang w:val="en-US" w:eastAsia="zh-CN"/>
        </w:rPr>
      </w:pPr>
    </w:p>
    <w:p>
      <w:pPr>
        <w:spacing w:line="240" w:lineRule="auto"/>
        <w:ind w:left="0" w:leftChars="0" w:right="0" w:rightChars="0" w:firstLine="0" w:firstLineChars="0"/>
        <w:jc w:val="center"/>
        <w:rPr>
          <w:rFonts w:hint="eastAsia" w:ascii="宋体" w:hAnsi="宋体" w:eastAsia="宋体" w:cs="宋体"/>
          <w:b/>
          <w:spacing w:val="-10"/>
          <w:sz w:val="36"/>
          <w:szCs w:val="36"/>
        </w:rPr>
      </w:pPr>
      <w:r>
        <w:rPr>
          <w:rFonts w:hint="eastAsia" w:ascii="宋体" w:hAnsi="宋体" w:eastAsia="宋体" w:cs="宋体"/>
          <w:b/>
          <w:spacing w:val="-10"/>
          <w:sz w:val="36"/>
          <w:szCs w:val="36"/>
        </w:rPr>
        <w:t>陕西省城固县人民法院委托的</w:t>
      </w:r>
      <w:bookmarkEnd w:id="0"/>
      <w:r>
        <w:rPr>
          <w:rFonts w:hint="eastAsia" w:ascii="宋体" w:hAnsi="宋体" w:eastAsia="宋体" w:cs="宋体"/>
          <w:b/>
          <w:spacing w:val="-10"/>
          <w:sz w:val="36"/>
          <w:szCs w:val="36"/>
          <w:lang w:eastAsia="zh-CN"/>
        </w:rPr>
        <w:t>李孟贤所属的位于城固县五郎庙乡五郎庙村六组（城许路以西）建筑面积为408.6㎡（博望镇字第20080269号）私有房产</w:t>
      </w:r>
      <w:r>
        <w:rPr>
          <w:rFonts w:hint="eastAsia" w:ascii="宋体" w:hAnsi="宋体" w:eastAsia="宋体" w:cs="宋体"/>
          <w:b/>
          <w:spacing w:val="-10"/>
          <w:sz w:val="36"/>
          <w:szCs w:val="36"/>
        </w:rPr>
        <w:t>司法处分价值评估</w:t>
      </w:r>
      <w:bookmarkEnd w:id="1"/>
    </w:p>
    <w:p>
      <w:pPr>
        <w:spacing w:line="560" w:lineRule="exact"/>
        <w:ind w:firstLine="0" w:firstLineChars="0"/>
        <w:jc w:val="center"/>
        <w:rPr>
          <w:rFonts w:ascii="宋体" w:hAnsi="宋体" w:eastAsia="宋体" w:cs="宋体"/>
          <w:b/>
          <w:sz w:val="48"/>
          <w:szCs w:val="48"/>
        </w:rPr>
      </w:pPr>
      <w:r>
        <w:rPr>
          <w:rFonts w:hint="eastAsia" w:ascii="宋体" w:hAnsi="宋体" w:eastAsia="宋体" w:cs="宋体"/>
          <w:b/>
          <w:sz w:val="48"/>
          <w:szCs w:val="48"/>
        </w:rPr>
        <w:t>资产评估报告书</w:t>
      </w:r>
    </w:p>
    <w:p>
      <w:pPr>
        <w:spacing w:beforeLines="100" w:afterLines="100" w:line="56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汉恒评报字[20</w:t>
      </w:r>
      <w:r>
        <w:rPr>
          <w:rFonts w:hint="eastAsia" w:ascii="宋体" w:hAnsi="宋体" w:eastAsia="宋体" w:cs="宋体"/>
          <w:b/>
          <w:sz w:val="32"/>
          <w:szCs w:val="32"/>
          <w:highlight w:val="none"/>
        </w:rPr>
        <w:t>1</w:t>
      </w:r>
      <w:r>
        <w:rPr>
          <w:rFonts w:hint="eastAsia" w:ascii="宋体" w:hAnsi="宋体" w:eastAsia="宋体" w:cs="宋体"/>
          <w:b/>
          <w:sz w:val="32"/>
          <w:szCs w:val="32"/>
          <w:highlight w:val="none"/>
          <w:lang w:val="en-US" w:eastAsia="zh-CN"/>
        </w:rPr>
        <w:t>9</w:t>
      </w:r>
      <w:r>
        <w:rPr>
          <w:rFonts w:hint="eastAsia" w:ascii="宋体" w:hAnsi="宋体" w:eastAsia="宋体" w:cs="宋体"/>
          <w:b/>
          <w:sz w:val="32"/>
          <w:szCs w:val="32"/>
          <w:highlight w:val="none"/>
        </w:rPr>
        <w:t>]第</w:t>
      </w:r>
      <w:r>
        <w:rPr>
          <w:rFonts w:hint="eastAsia" w:ascii="宋体" w:hAnsi="宋体" w:eastAsia="宋体" w:cs="宋体"/>
          <w:b/>
          <w:sz w:val="32"/>
          <w:szCs w:val="32"/>
          <w:highlight w:val="none"/>
          <w:lang w:val="en-US" w:eastAsia="zh-CN"/>
        </w:rPr>
        <w:t>100号</w:t>
      </w: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汉中恒信资产评估事务所</w:t>
      </w:r>
    </w:p>
    <w:p>
      <w:pPr>
        <w:spacing w:line="560" w:lineRule="exact"/>
        <w:ind w:firstLine="0" w:firstLineChars="0"/>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二〇一</w:t>
      </w:r>
      <w:r>
        <w:rPr>
          <w:rFonts w:hint="eastAsia" w:ascii="宋体" w:hAnsi="宋体" w:eastAsia="宋体" w:cs="宋体"/>
          <w:b/>
          <w:color w:val="auto"/>
          <w:sz w:val="32"/>
          <w:szCs w:val="32"/>
          <w:highlight w:val="none"/>
          <w:lang w:eastAsia="zh-CN"/>
        </w:rPr>
        <w:t>九</w:t>
      </w:r>
      <w:r>
        <w:rPr>
          <w:rFonts w:hint="eastAsia" w:ascii="宋体" w:hAnsi="宋体" w:eastAsia="宋体" w:cs="宋体"/>
          <w:b/>
          <w:color w:val="auto"/>
          <w:sz w:val="32"/>
          <w:szCs w:val="32"/>
          <w:highlight w:val="none"/>
        </w:rPr>
        <w:t>年</w:t>
      </w:r>
      <w:r>
        <w:rPr>
          <w:rFonts w:hint="eastAsia" w:ascii="宋体" w:hAnsi="宋体" w:eastAsia="宋体" w:cs="宋体"/>
          <w:b/>
          <w:color w:val="auto"/>
          <w:sz w:val="32"/>
          <w:szCs w:val="32"/>
          <w:highlight w:val="none"/>
          <w:lang w:eastAsia="zh-CN"/>
        </w:rPr>
        <w:t>七</w:t>
      </w:r>
      <w:r>
        <w:rPr>
          <w:rFonts w:hint="eastAsia" w:ascii="宋体" w:hAnsi="宋体" w:eastAsia="宋体" w:cs="宋体"/>
          <w:b/>
          <w:color w:val="auto"/>
          <w:sz w:val="32"/>
          <w:szCs w:val="32"/>
          <w:highlight w:val="none"/>
        </w:rPr>
        <w:t>月</w:t>
      </w:r>
      <w:r>
        <w:rPr>
          <w:rFonts w:hint="eastAsia" w:ascii="宋体" w:hAnsi="宋体" w:eastAsia="宋体" w:cs="宋体"/>
          <w:b/>
          <w:color w:val="auto"/>
          <w:sz w:val="32"/>
          <w:szCs w:val="32"/>
          <w:highlight w:val="none"/>
          <w:lang w:eastAsia="zh-CN"/>
        </w:rPr>
        <w:t>三十</w:t>
      </w:r>
      <w:r>
        <w:rPr>
          <w:rFonts w:hint="eastAsia" w:ascii="宋体" w:hAnsi="宋体" w:eastAsia="宋体" w:cs="宋体"/>
          <w:b/>
          <w:color w:val="auto"/>
          <w:sz w:val="32"/>
          <w:szCs w:val="32"/>
          <w:highlight w:val="none"/>
        </w:rPr>
        <w:t>日</w:t>
      </w:r>
    </w:p>
    <w:p>
      <w:pPr>
        <w:spacing w:line="560" w:lineRule="exact"/>
        <w:ind w:firstLine="0" w:firstLineChars="0"/>
        <w:jc w:val="center"/>
        <w:rPr>
          <w:rFonts w:ascii="宋体" w:hAnsi="宋体" w:eastAsia="宋体" w:cs="宋体"/>
          <w:b/>
          <w:sz w:val="32"/>
          <w:szCs w:val="32"/>
        </w:rPr>
      </w:pPr>
    </w:p>
    <w:p>
      <w:pPr>
        <w:widowControl/>
        <w:spacing w:line="240" w:lineRule="auto"/>
        <w:ind w:firstLine="1870" w:firstLineChars="850"/>
        <w:jc w:val="left"/>
        <w:rPr>
          <w:rFonts w:ascii="宋体" w:hAnsi="宋体" w:eastAsia="宋体"/>
          <w:kern w:val="0"/>
          <w:sz w:val="22"/>
          <w:szCs w:val="22"/>
        </w:rPr>
      </w:pPr>
      <w:r>
        <w:rPr>
          <w:rFonts w:hint="eastAsia" w:ascii="宋体" w:hAnsi="宋体" w:eastAsia="宋体"/>
          <w:kern w:val="0"/>
          <w:sz w:val="22"/>
          <w:szCs w:val="22"/>
        </w:rPr>
        <w:t xml:space="preserve">地址：汉中市莲湖路与北团结街十字海德城A座802室 </w:t>
      </w:r>
    </w:p>
    <w:p>
      <w:pPr>
        <w:spacing w:line="56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邮编：723000                 电话：0916-2245860</w:t>
      </w:r>
    </w:p>
    <w:p>
      <w:pPr>
        <w:spacing w:line="560" w:lineRule="exact"/>
        <w:ind w:firstLine="0" w:firstLineChars="0"/>
        <w:jc w:val="center"/>
        <w:rPr>
          <w:rFonts w:ascii="宋体" w:hAnsi="宋体" w:eastAsia="宋体"/>
          <w:kern w:val="0"/>
          <w:sz w:val="22"/>
          <w:szCs w:val="22"/>
        </w:rPr>
        <w:sectPr>
          <w:headerReference r:id="rId5" w:type="first"/>
          <w:footerReference r:id="rId8" w:type="first"/>
          <w:headerReference r:id="rId3" w:type="default"/>
          <w:footerReference r:id="rId6" w:type="default"/>
          <w:headerReference r:id="rId4" w:type="even"/>
          <w:footerReference r:id="rId7" w:type="even"/>
          <w:pgSz w:w="11906" w:h="16838"/>
          <w:pgMar w:top="1440" w:right="1133" w:bottom="1276" w:left="1800" w:header="851" w:footer="906" w:gutter="0"/>
          <w:pgBorders>
            <w:top w:val="none" w:sz="0" w:space="0"/>
            <w:left w:val="none" w:sz="0" w:space="0"/>
            <w:bottom w:val="none" w:sz="0" w:space="0"/>
            <w:right w:val="none" w:sz="0" w:space="0"/>
          </w:pgBorders>
          <w:pgNumType w:start="1"/>
          <w:cols w:space="720" w:num="1"/>
          <w:docGrid w:type="lines" w:linePitch="312" w:charSpace="0"/>
        </w:sectPr>
      </w:pPr>
    </w:p>
    <w:p>
      <w:pPr>
        <w:tabs>
          <w:tab w:val="left" w:pos="2443"/>
        </w:tabs>
        <w:ind w:left="0" w:leftChars="0" w:firstLine="0" w:firstLineChars="0"/>
        <w:jc w:val="left"/>
        <w:rPr>
          <w:lang w:val="en-US" w:eastAsia="zh-CN"/>
        </w:rPr>
        <w:sectPr>
          <w:headerReference r:id="rId9" w:type="default"/>
          <w:footerReference r:id="rId10" w:type="default"/>
          <w:type w:val="continuous"/>
          <w:pgSz w:w="11906" w:h="16838"/>
          <w:pgMar w:top="1440" w:right="1133" w:bottom="1440" w:left="1800" w:header="907" w:footer="1191" w:gutter="0"/>
          <w:pgBorders>
            <w:top w:val="none" w:sz="0" w:space="0"/>
            <w:left w:val="none" w:sz="0" w:space="0"/>
            <w:bottom w:val="none" w:sz="0" w:space="0"/>
            <w:right w:val="none" w:sz="0" w:space="0"/>
          </w:pgBorders>
          <w:pgNumType w:fmt="decimal"/>
          <w:cols w:space="720" w:num="1"/>
          <w:docGrid w:type="lines" w:linePitch="326" w:charSpace="0"/>
        </w:sectPr>
      </w:pPr>
    </w:p>
    <w:p>
      <w:pPr>
        <w:pStyle w:val="35"/>
        <w:ind w:firstLine="883"/>
        <w:rPr>
          <w:rStyle w:val="44"/>
          <w:rFonts w:hint="default"/>
          <w:b/>
          <w:color w:val="auto"/>
          <w:sz w:val="44"/>
          <w:szCs w:val="44"/>
        </w:rPr>
      </w:pPr>
      <w:bookmarkStart w:id="2" w:name="_Toc134"/>
      <w:bookmarkStart w:id="3" w:name="_Toc459791558"/>
      <w:r>
        <w:rPr>
          <w:rStyle w:val="44"/>
          <w:rFonts w:hint="default"/>
          <w:b/>
          <w:color w:val="auto"/>
          <w:sz w:val="44"/>
          <w:szCs w:val="44"/>
        </w:rPr>
        <w:t>目   录</w:t>
      </w:r>
      <w:bookmarkEnd w:id="2"/>
      <w:bookmarkEnd w:id="3"/>
    </w:p>
    <w:p>
      <w:pPr>
        <w:pStyle w:val="9"/>
        <w:tabs>
          <w:tab w:val="right" w:leader="dot" w:pos="8973"/>
          <w:tab w:val="clear" w:pos="8364"/>
        </w:tabs>
        <w:rPr>
          <w:rFonts w:hint="eastAsia" w:ascii="宋体-PUA" w:hAnsi="宋体-PUA" w:eastAsia="宋体-PUA" w:cs="宋体-PUA"/>
        </w:rPr>
      </w:pPr>
      <w:bookmarkStart w:id="4" w:name="_Toc454464583"/>
      <w:bookmarkStart w:id="5" w:name="_Toc815"/>
      <w:bookmarkStart w:id="6" w:name="_Toc448307784"/>
      <w:r>
        <w:rPr>
          <w:rFonts w:hint="eastAsia" w:eastAsia="宋体"/>
          <w:kern w:val="0"/>
          <w:szCs w:val="44"/>
        </w:rPr>
        <w:fldChar w:fldCharType="begin"/>
      </w:r>
      <w:r>
        <w:rPr>
          <w:rFonts w:hint="eastAsia" w:eastAsia="宋体"/>
          <w:kern w:val="0"/>
          <w:szCs w:val="44"/>
        </w:rPr>
        <w:instrText xml:space="preserve"> TOC \o "1-3" \h \z \u \* MERGEFORMAT </w:instrText>
      </w:r>
      <w:r>
        <w:rPr>
          <w:rFonts w:hint="eastAsia" w:eastAsia="宋体"/>
          <w:kern w:val="0"/>
          <w:szCs w:val="44"/>
        </w:rPr>
        <w:fldChar w:fldCharType="separate"/>
      </w: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_Toc25569 </w:instrText>
      </w:r>
      <w:r>
        <w:rPr>
          <w:rFonts w:hint="eastAsia" w:ascii="宋体-PUA" w:hAnsi="宋体-PUA" w:eastAsia="宋体-PUA" w:cs="宋体-PUA"/>
          <w:kern w:val="0"/>
          <w:szCs w:val="44"/>
        </w:rPr>
        <w:fldChar w:fldCharType="separate"/>
      </w:r>
      <w:r>
        <w:rPr>
          <w:rFonts w:hint="eastAsia" w:ascii="宋体-PUA" w:hAnsi="宋体-PUA" w:eastAsia="宋体-PUA" w:cs="宋体-PUA"/>
          <w:bCs w:val="0"/>
          <w:kern w:val="0"/>
          <w:szCs w:val="44"/>
        </w:rPr>
        <w:t>资产评估报告声明</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_Toc25569 </w:instrText>
      </w:r>
      <w:r>
        <w:rPr>
          <w:rFonts w:hint="eastAsia" w:ascii="宋体-PUA" w:hAnsi="宋体-PUA" w:eastAsia="宋体-PUA" w:cs="宋体-PUA"/>
        </w:rPr>
        <w:fldChar w:fldCharType="separate"/>
      </w:r>
      <w:r>
        <w:rPr>
          <w:rFonts w:hint="eastAsia" w:ascii="宋体-PUA" w:hAnsi="宋体-PUA" w:eastAsia="宋体-PUA" w:cs="宋体-PUA"/>
        </w:rPr>
        <w:t>2</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_Toc13414 </w:instrText>
      </w:r>
      <w:r>
        <w:rPr>
          <w:rFonts w:hint="eastAsia" w:ascii="宋体-PUA" w:hAnsi="宋体-PUA" w:eastAsia="宋体-PUA" w:cs="宋体-PUA"/>
          <w:kern w:val="0"/>
          <w:szCs w:val="44"/>
        </w:rPr>
        <w:fldChar w:fldCharType="separate"/>
      </w:r>
      <w:r>
        <w:rPr>
          <w:rFonts w:hint="eastAsia" w:ascii="宋体-PUA" w:hAnsi="宋体-PUA" w:eastAsia="宋体-PUA" w:cs="宋体-PUA"/>
          <w:bCs w:val="0"/>
          <w:kern w:val="0"/>
          <w:szCs w:val="44"/>
        </w:rPr>
        <w:t>资产评估报告书摘要</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_Toc13414 </w:instrText>
      </w:r>
      <w:r>
        <w:rPr>
          <w:rFonts w:hint="eastAsia" w:ascii="宋体-PUA" w:hAnsi="宋体-PUA" w:eastAsia="宋体-PUA" w:cs="宋体-PUA"/>
        </w:rPr>
        <w:fldChar w:fldCharType="separate"/>
      </w:r>
      <w:r>
        <w:rPr>
          <w:rFonts w:hint="eastAsia" w:ascii="宋体-PUA" w:hAnsi="宋体-PUA" w:eastAsia="宋体-PUA" w:cs="宋体-PUA"/>
        </w:rPr>
        <w:t>3</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15"/>
        <w:tabs>
          <w:tab w:val="right" w:leader="dot" w:pos="8973"/>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_Toc9750 </w:instrText>
      </w:r>
      <w:r>
        <w:rPr>
          <w:rFonts w:hint="eastAsia" w:ascii="宋体-PUA" w:hAnsi="宋体-PUA" w:eastAsia="宋体-PUA" w:cs="宋体-PUA"/>
          <w:kern w:val="0"/>
          <w:szCs w:val="44"/>
        </w:rPr>
        <w:fldChar w:fldCharType="separate"/>
      </w:r>
      <w:r>
        <w:rPr>
          <w:rFonts w:hint="eastAsia" w:ascii="宋体-PUA" w:hAnsi="宋体-PUA" w:eastAsia="宋体-PUA" w:cs="宋体-PUA"/>
          <w:szCs w:val="44"/>
        </w:rPr>
        <w:t>资产评估报告书</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_Toc9750 </w:instrText>
      </w:r>
      <w:r>
        <w:rPr>
          <w:rFonts w:hint="eastAsia" w:ascii="宋体-PUA" w:hAnsi="宋体-PUA" w:eastAsia="宋体-PUA" w:cs="宋体-PUA"/>
        </w:rPr>
        <w:fldChar w:fldCharType="separate"/>
      </w:r>
      <w:r>
        <w:rPr>
          <w:rFonts w:hint="eastAsia" w:ascii="宋体-PUA" w:hAnsi="宋体-PUA" w:eastAsia="宋体-PUA" w:cs="宋体-PUA"/>
        </w:rPr>
        <w:t>7</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kern w:val="0"/>
          <w:szCs w:val="44"/>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_Toc32764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一、委托人、被评估单位和委托人以外的其他评估报告使用人</w:t>
      </w:r>
      <w:r>
        <w:rPr>
          <w:rFonts w:hint="eastAsia" w:ascii="宋体-PUA" w:hAnsi="宋体-PUA" w:eastAsia="宋体-PUA" w:cs="宋体-PUA"/>
          <w:kern w:val="0"/>
          <w:szCs w:val="44"/>
        </w:rPr>
        <w:tab/>
      </w: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PAGEREF _Toc32764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7</w:t>
      </w:r>
      <w:r>
        <w:rPr>
          <w:rFonts w:hint="eastAsia" w:ascii="宋体-PUA" w:hAnsi="宋体-PUA" w:eastAsia="宋体-PUA" w:cs="宋体-PUA"/>
          <w:kern w:val="0"/>
          <w:szCs w:val="44"/>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kern w:val="0"/>
          <w:szCs w:val="44"/>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_Toc7002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二、评估目的</w:t>
      </w:r>
      <w:r>
        <w:rPr>
          <w:rFonts w:hint="eastAsia" w:ascii="宋体-PUA" w:hAnsi="宋体-PUA" w:eastAsia="宋体-PUA" w:cs="宋体-PUA"/>
          <w:kern w:val="0"/>
          <w:szCs w:val="44"/>
        </w:rPr>
        <w:tab/>
      </w: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PAGEREF _Toc7002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7</w:t>
      </w:r>
      <w:r>
        <w:rPr>
          <w:rFonts w:hint="eastAsia" w:ascii="宋体-PUA" w:hAnsi="宋体-PUA" w:eastAsia="宋体-PUA" w:cs="宋体-PUA"/>
          <w:kern w:val="0"/>
          <w:szCs w:val="44"/>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kern w:val="0"/>
          <w:szCs w:val="44"/>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_Toc27707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三、评估对象和评估范围</w:t>
      </w:r>
      <w:r>
        <w:rPr>
          <w:rFonts w:hint="eastAsia" w:ascii="宋体-PUA" w:hAnsi="宋体-PUA" w:eastAsia="宋体-PUA" w:cs="宋体-PUA"/>
          <w:kern w:val="0"/>
          <w:szCs w:val="44"/>
        </w:rPr>
        <w:tab/>
      </w: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PAGEREF _Toc27707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7</w:t>
      </w:r>
      <w:r>
        <w:rPr>
          <w:rFonts w:hint="eastAsia" w:ascii="宋体-PUA" w:hAnsi="宋体-PUA" w:eastAsia="宋体-PUA" w:cs="宋体-PUA"/>
          <w:kern w:val="0"/>
          <w:szCs w:val="44"/>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_Toc30233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四、价值类型及其定义</w:t>
      </w:r>
      <w:r>
        <w:rPr>
          <w:rFonts w:hint="eastAsia" w:ascii="宋体-PUA" w:hAnsi="宋体-PUA" w:eastAsia="宋体-PUA" w:cs="宋体-PUA"/>
          <w:kern w:val="0"/>
          <w:szCs w:val="44"/>
        </w:rPr>
        <w:tab/>
      </w: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PAGEREF _Toc30233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8</w:t>
      </w:r>
      <w:r>
        <w:rPr>
          <w:rFonts w:hint="eastAsia" w:ascii="宋体-PUA" w:hAnsi="宋体-PUA" w:eastAsia="宋体-PUA" w:cs="宋体-PUA"/>
          <w:kern w:val="0"/>
          <w:szCs w:val="44"/>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_Toc29360 </w:instrText>
      </w:r>
      <w:r>
        <w:rPr>
          <w:rFonts w:hint="eastAsia" w:ascii="宋体-PUA" w:hAnsi="宋体-PUA" w:eastAsia="宋体-PUA" w:cs="宋体-PUA"/>
          <w:kern w:val="0"/>
          <w:szCs w:val="44"/>
        </w:rPr>
        <w:fldChar w:fldCharType="separate"/>
      </w:r>
      <w:r>
        <w:rPr>
          <w:rFonts w:hint="eastAsia" w:ascii="宋体-PUA" w:hAnsi="宋体-PUA" w:eastAsia="宋体-PUA" w:cs="宋体-PUA"/>
        </w:rPr>
        <w:t>五、评估基准日</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_Toc29360 </w:instrText>
      </w:r>
      <w:r>
        <w:rPr>
          <w:rFonts w:hint="eastAsia" w:ascii="宋体-PUA" w:hAnsi="宋体-PUA" w:eastAsia="宋体-PUA" w:cs="宋体-PUA"/>
        </w:rPr>
        <w:fldChar w:fldCharType="separate"/>
      </w:r>
      <w:r>
        <w:rPr>
          <w:rFonts w:hint="eastAsia" w:ascii="宋体-PUA" w:hAnsi="宋体-PUA" w:eastAsia="宋体-PUA" w:cs="宋体-PUA"/>
        </w:rPr>
        <w:t>9</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_Toc16204 </w:instrText>
      </w:r>
      <w:r>
        <w:rPr>
          <w:rFonts w:hint="eastAsia" w:ascii="宋体-PUA" w:hAnsi="宋体-PUA" w:eastAsia="宋体-PUA" w:cs="宋体-PUA"/>
          <w:kern w:val="0"/>
          <w:szCs w:val="44"/>
        </w:rPr>
        <w:fldChar w:fldCharType="separate"/>
      </w:r>
      <w:r>
        <w:rPr>
          <w:rFonts w:hint="eastAsia" w:ascii="宋体-PUA" w:hAnsi="宋体-PUA" w:eastAsia="宋体-PUA" w:cs="宋体-PUA"/>
        </w:rPr>
        <w:t>六、评估依据</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_Toc16204 </w:instrText>
      </w:r>
      <w:r>
        <w:rPr>
          <w:rFonts w:hint="eastAsia" w:ascii="宋体-PUA" w:hAnsi="宋体-PUA" w:eastAsia="宋体-PUA" w:cs="宋体-PUA"/>
        </w:rPr>
        <w:fldChar w:fldCharType="separate"/>
      </w:r>
      <w:r>
        <w:rPr>
          <w:rFonts w:hint="eastAsia" w:ascii="宋体-PUA" w:hAnsi="宋体-PUA" w:eastAsia="宋体-PUA" w:cs="宋体-PUA"/>
        </w:rPr>
        <w:t>9</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_Toc8067 </w:instrText>
      </w:r>
      <w:r>
        <w:rPr>
          <w:rFonts w:hint="eastAsia" w:ascii="宋体-PUA" w:hAnsi="宋体-PUA" w:eastAsia="宋体-PUA" w:cs="宋体-PUA"/>
          <w:kern w:val="0"/>
          <w:szCs w:val="44"/>
        </w:rPr>
        <w:fldChar w:fldCharType="separate"/>
      </w:r>
      <w:r>
        <w:rPr>
          <w:rFonts w:hint="eastAsia" w:ascii="宋体-PUA" w:hAnsi="宋体-PUA" w:eastAsia="宋体-PUA" w:cs="宋体-PUA"/>
        </w:rPr>
        <w:t>七、评估方法</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_Toc8067 </w:instrText>
      </w:r>
      <w:r>
        <w:rPr>
          <w:rFonts w:hint="eastAsia" w:ascii="宋体-PUA" w:hAnsi="宋体-PUA" w:eastAsia="宋体-PUA" w:cs="宋体-PUA"/>
        </w:rPr>
        <w:fldChar w:fldCharType="separate"/>
      </w:r>
      <w:r>
        <w:rPr>
          <w:rFonts w:hint="eastAsia" w:ascii="宋体-PUA" w:hAnsi="宋体-PUA" w:eastAsia="宋体-PUA" w:cs="宋体-PUA"/>
        </w:rPr>
        <w:t>11</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_Toc17707 </w:instrText>
      </w:r>
      <w:r>
        <w:rPr>
          <w:rFonts w:hint="eastAsia" w:ascii="宋体-PUA" w:hAnsi="宋体-PUA" w:eastAsia="宋体-PUA" w:cs="宋体-PUA"/>
          <w:kern w:val="0"/>
          <w:szCs w:val="44"/>
        </w:rPr>
        <w:fldChar w:fldCharType="separate"/>
      </w:r>
      <w:r>
        <w:rPr>
          <w:rFonts w:hint="eastAsia" w:ascii="宋体-PUA" w:hAnsi="宋体-PUA" w:eastAsia="宋体-PUA" w:cs="宋体-PUA"/>
        </w:rPr>
        <w:t>八、评估程序实施过程和情况</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_Toc17707 </w:instrText>
      </w:r>
      <w:r>
        <w:rPr>
          <w:rFonts w:hint="eastAsia" w:ascii="宋体-PUA" w:hAnsi="宋体-PUA" w:eastAsia="宋体-PUA" w:cs="宋体-PUA"/>
        </w:rPr>
        <w:fldChar w:fldCharType="separate"/>
      </w:r>
      <w:r>
        <w:rPr>
          <w:rFonts w:hint="eastAsia" w:ascii="宋体-PUA" w:hAnsi="宋体-PUA" w:eastAsia="宋体-PUA" w:cs="宋体-PUA"/>
        </w:rPr>
        <w:t>12</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_Toc30715 </w:instrText>
      </w:r>
      <w:r>
        <w:rPr>
          <w:rFonts w:hint="eastAsia" w:ascii="宋体-PUA" w:hAnsi="宋体-PUA" w:eastAsia="宋体-PUA" w:cs="宋体-PUA"/>
          <w:kern w:val="0"/>
          <w:szCs w:val="44"/>
        </w:rPr>
        <w:fldChar w:fldCharType="separate"/>
      </w:r>
      <w:r>
        <w:rPr>
          <w:rFonts w:hint="eastAsia" w:ascii="宋体-PUA" w:hAnsi="宋体-PUA" w:eastAsia="宋体-PUA" w:cs="宋体-PUA"/>
        </w:rPr>
        <w:t>九、评估假设</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_Toc30715 </w:instrText>
      </w:r>
      <w:r>
        <w:rPr>
          <w:rFonts w:hint="eastAsia" w:ascii="宋体-PUA" w:hAnsi="宋体-PUA" w:eastAsia="宋体-PUA" w:cs="宋体-PUA"/>
        </w:rPr>
        <w:fldChar w:fldCharType="separate"/>
      </w:r>
      <w:r>
        <w:rPr>
          <w:rFonts w:hint="eastAsia" w:ascii="宋体-PUA" w:hAnsi="宋体-PUA" w:eastAsia="宋体-PUA" w:cs="宋体-PUA"/>
        </w:rPr>
        <w:t>17</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_Toc20520 </w:instrText>
      </w:r>
      <w:r>
        <w:rPr>
          <w:rFonts w:hint="eastAsia" w:ascii="宋体-PUA" w:hAnsi="宋体-PUA" w:eastAsia="宋体-PUA" w:cs="宋体-PUA"/>
          <w:kern w:val="0"/>
          <w:szCs w:val="44"/>
        </w:rPr>
        <w:fldChar w:fldCharType="separate"/>
      </w:r>
      <w:r>
        <w:rPr>
          <w:rFonts w:hint="eastAsia" w:ascii="宋体-PUA" w:hAnsi="宋体-PUA" w:eastAsia="宋体-PUA" w:cs="宋体-PUA"/>
        </w:rPr>
        <w:t>十、评估结论</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_Toc20520 </w:instrText>
      </w:r>
      <w:r>
        <w:rPr>
          <w:rFonts w:hint="eastAsia" w:ascii="宋体-PUA" w:hAnsi="宋体-PUA" w:eastAsia="宋体-PUA" w:cs="宋体-PUA"/>
        </w:rPr>
        <w:fldChar w:fldCharType="separate"/>
      </w:r>
      <w:r>
        <w:rPr>
          <w:rFonts w:hint="eastAsia" w:ascii="宋体-PUA" w:hAnsi="宋体-PUA" w:eastAsia="宋体-PUA" w:cs="宋体-PUA"/>
        </w:rPr>
        <w:t>17</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_Toc8697 </w:instrText>
      </w:r>
      <w:r>
        <w:rPr>
          <w:rFonts w:hint="eastAsia" w:ascii="宋体-PUA" w:hAnsi="宋体-PUA" w:eastAsia="宋体-PUA" w:cs="宋体-PUA"/>
          <w:kern w:val="0"/>
          <w:szCs w:val="44"/>
        </w:rPr>
        <w:fldChar w:fldCharType="separate"/>
      </w:r>
      <w:r>
        <w:rPr>
          <w:rFonts w:hint="eastAsia" w:ascii="宋体-PUA" w:hAnsi="宋体-PUA" w:eastAsia="宋体-PUA" w:cs="宋体-PUA"/>
          <w:highlight w:val="none"/>
        </w:rPr>
        <w:t>十一、特别事项说明</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_Toc8697 </w:instrText>
      </w:r>
      <w:r>
        <w:rPr>
          <w:rFonts w:hint="eastAsia" w:ascii="宋体-PUA" w:hAnsi="宋体-PUA" w:eastAsia="宋体-PUA" w:cs="宋体-PUA"/>
        </w:rPr>
        <w:fldChar w:fldCharType="separate"/>
      </w:r>
      <w:r>
        <w:rPr>
          <w:rFonts w:hint="eastAsia" w:ascii="宋体-PUA" w:hAnsi="宋体-PUA" w:eastAsia="宋体-PUA" w:cs="宋体-PUA"/>
        </w:rPr>
        <w:t>17</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_Toc22766 </w:instrText>
      </w:r>
      <w:r>
        <w:rPr>
          <w:rFonts w:hint="eastAsia" w:ascii="宋体-PUA" w:hAnsi="宋体-PUA" w:eastAsia="宋体-PUA" w:cs="宋体-PUA"/>
          <w:kern w:val="0"/>
          <w:szCs w:val="44"/>
        </w:rPr>
        <w:fldChar w:fldCharType="separate"/>
      </w:r>
      <w:r>
        <w:rPr>
          <w:rFonts w:hint="eastAsia" w:ascii="宋体-PUA" w:hAnsi="宋体-PUA" w:eastAsia="宋体-PUA" w:cs="宋体-PUA"/>
        </w:rPr>
        <w:t>十二、评估报告使用限制说明</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_Toc22766 </w:instrText>
      </w:r>
      <w:r>
        <w:rPr>
          <w:rFonts w:hint="eastAsia" w:ascii="宋体-PUA" w:hAnsi="宋体-PUA" w:eastAsia="宋体-PUA" w:cs="宋体-PUA"/>
        </w:rPr>
        <w:fldChar w:fldCharType="separate"/>
      </w:r>
      <w:r>
        <w:rPr>
          <w:rFonts w:hint="eastAsia" w:ascii="宋体-PUA" w:hAnsi="宋体-PUA" w:eastAsia="宋体-PUA" w:cs="宋体-PUA"/>
        </w:rPr>
        <w:t>18</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_Toc15495 </w:instrText>
      </w:r>
      <w:r>
        <w:rPr>
          <w:rFonts w:hint="eastAsia" w:ascii="宋体-PUA" w:hAnsi="宋体-PUA" w:eastAsia="宋体-PUA" w:cs="宋体-PUA"/>
          <w:kern w:val="0"/>
          <w:szCs w:val="44"/>
        </w:rPr>
        <w:fldChar w:fldCharType="separate"/>
      </w:r>
      <w:r>
        <w:rPr>
          <w:rFonts w:hint="eastAsia" w:ascii="宋体-PUA" w:hAnsi="宋体-PUA" w:eastAsia="宋体-PUA" w:cs="宋体-PUA"/>
        </w:rPr>
        <w:t>十三、评估报告日</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_Toc15495 </w:instrText>
      </w:r>
      <w:r>
        <w:rPr>
          <w:rFonts w:hint="eastAsia" w:ascii="宋体-PUA" w:hAnsi="宋体-PUA" w:eastAsia="宋体-PUA" w:cs="宋体-PUA"/>
        </w:rPr>
        <w:fldChar w:fldCharType="separate"/>
      </w:r>
      <w:r>
        <w:rPr>
          <w:rFonts w:hint="eastAsia" w:ascii="宋体-PUA" w:hAnsi="宋体-PUA" w:eastAsia="宋体-PUA" w:cs="宋体-PUA"/>
        </w:rPr>
        <w:t>20</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hint="eastAsia" w:ascii="宋体-PUA" w:hAnsi="宋体-PUA" w:eastAsia="宋体-PUA" w:cs="宋体-PUA"/>
        </w:rPr>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_Toc3906 </w:instrText>
      </w:r>
      <w:r>
        <w:rPr>
          <w:rFonts w:hint="eastAsia" w:ascii="宋体-PUA" w:hAnsi="宋体-PUA" w:eastAsia="宋体-PUA" w:cs="宋体-PUA"/>
          <w:kern w:val="0"/>
          <w:szCs w:val="44"/>
        </w:rPr>
        <w:fldChar w:fldCharType="separate"/>
      </w:r>
      <w:r>
        <w:rPr>
          <w:rFonts w:hint="eastAsia" w:ascii="宋体-PUA" w:hAnsi="宋体-PUA" w:eastAsia="宋体-PUA" w:cs="宋体-PUA"/>
          <w:lang w:eastAsia="zh-CN"/>
        </w:rPr>
        <w:t>十四、资产评估机构专业人员签名和资产评估机构印章</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_Toc3906 </w:instrText>
      </w:r>
      <w:r>
        <w:rPr>
          <w:rFonts w:hint="eastAsia" w:ascii="宋体-PUA" w:hAnsi="宋体-PUA" w:eastAsia="宋体-PUA" w:cs="宋体-PUA"/>
        </w:rPr>
        <w:fldChar w:fldCharType="separate"/>
      </w:r>
      <w:r>
        <w:rPr>
          <w:rFonts w:hint="eastAsia" w:ascii="宋体-PUA" w:hAnsi="宋体-PUA" w:eastAsia="宋体-PUA" w:cs="宋体-PUA"/>
        </w:rPr>
        <w:t>20</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pP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HYPERLINK \l _Toc6577 </w:instrText>
      </w:r>
      <w:r>
        <w:rPr>
          <w:rFonts w:hint="eastAsia" w:ascii="宋体-PUA" w:hAnsi="宋体-PUA" w:eastAsia="宋体-PUA" w:cs="宋体-PUA"/>
          <w:kern w:val="0"/>
          <w:szCs w:val="44"/>
        </w:rPr>
        <w:fldChar w:fldCharType="separate"/>
      </w:r>
      <w:r>
        <w:rPr>
          <w:rFonts w:hint="eastAsia" w:ascii="宋体-PUA" w:hAnsi="宋体-PUA" w:eastAsia="宋体-PUA" w:cs="宋体-PUA"/>
        </w:rPr>
        <w:t>附件</w:t>
      </w:r>
      <w:r>
        <w:rPr>
          <w:rFonts w:hint="eastAsia" w:ascii="宋体-PUA" w:hAnsi="宋体-PUA" w:eastAsia="宋体-PUA" w:cs="宋体-PUA"/>
        </w:rPr>
        <w:tab/>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_Toc6577 </w:instrText>
      </w:r>
      <w:r>
        <w:rPr>
          <w:rFonts w:hint="eastAsia" w:ascii="宋体-PUA" w:hAnsi="宋体-PUA" w:eastAsia="宋体-PUA" w:cs="宋体-PUA"/>
        </w:rPr>
        <w:fldChar w:fldCharType="separate"/>
      </w:r>
      <w:r>
        <w:rPr>
          <w:rFonts w:hint="eastAsia" w:ascii="宋体-PUA" w:hAnsi="宋体-PUA" w:eastAsia="宋体-PUA" w:cs="宋体-PUA"/>
        </w:rPr>
        <w:t>21</w:t>
      </w:r>
      <w:r>
        <w:rPr>
          <w:rFonts w:hint="eastAsia" w:ascii="宋体-PUA" w:hAnsi="宋体-PUA" w:eastAsia="宋体-PUA" w:cs="宋体-PUA"/>
        </w:rPr>
        <w:fldChar w:fldCharType="end"/>
      </w:r>
      <w:r>
        <w:rPr>
          <w:rFonts w:hint="eastAsia" w:ascii="宋体-PUA" w:hAnsi="宋体-PUA" w:eastAsia="宋体-PUA" w:cs="宋体-PUA"/>
          <w:kern w:val="0"/>
          <w:szCs w:val="44"/>
        </w:rPr>
        <w:fldChar w:fldCharType="end"/>
      </w:r>
    </w:p>
    <w:p>
      <w:pPr>
        <w:pStyle w:val="4"/>
        <w:spacing w:beforeLines="50" w:afterLines="50" w:line="560" w:lineRule="exact"/>
        <w:jc w:val="center"/>
        <w:rPr>
          <w:rFonts w:eastAsia="宋体"/>
          <w:bCs w:val="0"/>
          <w:kern w:val="0"/>
          <w:sz w:val="44"/>
          <w:szCs w:val="44"/>
        </w:rPr>
      </w:pPr>
      <w:r>
        <w:rPr>
          <w:rFonts w:hint="eastAsia" w:eastAsia="宋体"/>
          <w:kern w:val="0"/>
          <w:szCs w:val="44"/>
        </w:rPr>
        <w:fldChar w:fldCharType="end"/>
      </w:r>
      <w:bookmarkStart w:id="7" w:name="_Toc25569"/>
      <w:r>
        <w:rPr>
          <w:rFonts w:hint="eastAsia" w:eastAsia="宋体"/>
          <w:kern w:val="0"/>
          <w:szCs w:val="44"/>
        </w:rPr>
        <w:br w:type="page"/>
      </w:r>
      <w:r>
        <w:rPr>
          <w:rFonts w:hint="eastAsia" w:eastAsia="宋体"/>
          <w:bCs w:val="0"/>
          <w:kern w:val="0"/>
          <w:sz w:val="44"/>
          <w:szCs w:val="44"/>
        </w:rPr>
        <w:t>资产评估报告声明</w:t>
      </w:r>
      <w:bookmarkEnd w:id="4"/>
      <w:bookmarkEnd w:id="5"/>
      <w:bookmarkEnd w:id="6"/>
      <w:bookmarkEnd w:id="7"/>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本资产评估报告依据财政部发布的资产评估基本准则和中国资产评估协会发布的资产评估职业准则和职业道德准则编制。</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资产评估报告仅供委托人、资产评估委托合同中约定的其他资产评估报告使用人和法律、行政法规规定的资产评估报告使用人使用；除此之外，其他任何机构和个人不能成为资产评估报告的使用人。</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资产评估报告使用人应当正确理解评估结论，评估结论不等同于评估对象可实现价格，评估结论不应当被认为是评估对象可实现价格的保证。</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资产评估报告使用人应当关注评估结论成立的假设前提、资产评估报告特别事项说明和使用限制。</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资产评估报告只有当评估基准日与经济行为实现日相距不超过一年时，才可以使用资产评估报告。</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本资产评估报告是在独立、公正、客观、科学的原则下作出的，本所及参加评估工作的评估专业人员在评估资产中没有现实的和预期的利益，同时与经济行为相关各方之间没有个人利益和偏见。评估专业人员在评估过程中恪守职业道德，遵循评估规范，勤勉尽责。</w:t>
      </w:r>
    </w:p>
    <w:p>
      <w:pPr>
        <w:tabs>
          <w:tab w:val="left" w:pos="5280"/>
        </w:tabs>
        <w:ind w:left="0" w:leftChars="0" w:firstLine="0" w:firstLineChars="0"/>
        <w:rPr>
          <w:rFonts w:eastAsia="宋体"/>
        </w:rPr>
      </w:pPr>
      <w:r>
        <w:rPr>
          <w:rFonts w:eastAsia="宋体"/>
        </w:rPr>
        <w:tab/>
      </w:r>
    </w:p>
    <w:p>
      <w:pPr>
        <w:tabs>
          <w:tab w:val="left" w:pos="2460"/>
        </w:tabs>
        <w:ind w:firstLine="480"/>
        <w:rPr>
          <w:rFonts w:eastAsia="宋体"/>
        </w:rPr>
        <w:sectPr>
          <w:headerReference r:id="rId11" w:type="default"/>
          <w:footerReference r:id="rId12" w:type="default"/>
          <w:pgSz w:w="11906" w:h="16838"/>
          <w:pgMar w:top="1440" w:right="1133" w:bottom="1440" w:left="1800" w:header="907" w:footer="1191" w:gutter="0"/>
          <w:pgBorders>
            <w:top w:val="none" w:sz="0" w:space="0"/>
            <w:left w:val="none" w:sz="0" w:space="0"/>
            <w:bottom w:val="none" w:sz="0" w:space="0"/>
            <w:right w:val="none" w:sz="0" w:space="0"/>
          </w:pgBorders>
          <w:pgNumType w:fmt="decimal" w:start="1"/>
          <w:cols w:space="720" w:num="1"/>
          <w:docGrid w:type="lines" w:linePitch="326" w:charSpace="0"/>
        </w:sectPr>
      </w:pPr>
    </w:p>
    <w:p>
      <w:pPr>
        <w:pStyle w:val="4"/>
        <w:spacing w:beforeLines="50" w:afterLines="50" w:line="560" w:lineRule="exact"/>
        <w:jc w:val="center"/>
        <w:rPr>
          <w:rFonts w:eastAsia="宋体"/>
          <w:kern w:val="0"/>
          <w:sz w:val="44"/>
          <w:szCs w:val="44"/>
        </w:rPr>
      </w:pPr>
      <w:bookmarkStart w:id="8" w:name="_Toc3783"/>
      <w:bookmarkStart w:id="9" w:name="_Toc13414"/>
      <w:r>
        <w:rPr>
          <w:rFonts w:hint="eastAsia" w:eastAsia="宋体"/>
          <w:bCs w:val="0"/>
          <w:kern w:val="0"/>
          <w:sz w:val="44"/>
          <w:szCs w:val="44"/>
        </w:rPr>
        <w:t>资产评估报告书摘要</w:t>
      </w:r>
      <w:bookmarkEnd w:id="8"/>
      <w:bookmarkEnd w:id="9"/>
    </w:p>
    <w:tbl>
      <w:tblPr>
        <w:tblStyle w:val="22"/>
        <w:tblW w:w="91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
      <w:tblGrid>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Ex>
        <w:trPr>
          <w:trHeight w:val="976" w:hRule="atLeast"/>
        </w:trPr>
        <w:tc>
          <w:tcPr>
            <w:tcW w:w="9103" w:type="dxa"/>
            <w:shd w:val="pct10" w:color="auto" w:fill="auto"/>
          </w:tcPr>
          <w:p>
            <w:pPr>
              <w:spacing w:line="560" w:lineRule="exact"/>
              <w:ind w:firstLine="0" w:firstLineChars="0"/>
              <w:rPr>
                <w:rFonts w:ascii="宋体" w:hAnsi="宋体" w:eastAsia="宋体" w:cs="宋体"/>
                <w:b/>
                <w:bCs/>
                <w:sz w:val="28"/>
              </w:rPr>
            </w:pPr>
            <w:r>
              <w:rPr>
                <w:rFonts w:hint="eastAsia" w:ascii="宋体" w:hAnsi="宋体" w:eastAsia="宋体" w:cs="宋体"/>
                <w:b/>
                <w:bCs/>
                <w:sz w:val="28"/>
              </w:rPr>
              <w:t>以下内容摘自</w:t>
            </w:r>
            <w:r>
              <w:rPr>
                <w:rFonts w:hint="eastAsia" w:ascii="宋体" w:hAnsi="宋体" w:eastAsia="宋体" w:cs="宋体"/>
                <w:b/>
                <w:sz w:val="28"/>
                <w:szCs w:val="28"/>
              </w:rPr>
              <w:t>汉恒评报字</w:t>
            </w:r>
            <w:r>
              <w:rPr>
                <w:rFonts w:hint="eastAsia" w:ascii="宋体" w:hAnsi="宋体" w:eastAsia="宋体" w:cs="宋体"/>
                <w:b/>
                <w:sz w:val="28"/>
                <w:szCs w:val="28"/>
                <w:highlight w:val="none"/>
              </w:rPr>
              <w:t>[201</w:t>
            </w:r>
            <w:r>
              <w:rPr>
                <w:rFonts w:hint="eastAsia" w:ascii="宋体" w:hAnsi="宋体" w:eastAsia="宋体" w:cs="宋体"/>
                <w:b/>
                <w:sz w:val="28"/>
                <w:szCs w:val="28"/>
                <w:highlight w:val="none"/>
                <w:lang w:val="en-US" w:eastAsia="zh-CN"/>
              </w:rPr>
              <w:t>9</w:t>
            </w:r>
            <w:r>
              <w:rPr>
                <w:rFonts w:hint="eastAsia" w:ascii="宋体" w:hAnsi="宋体" w:eastAsia="宋体" w:cs="宋体"/>
                <w:b/>
                <w:sz w:val="28"/>
                <w:szCs w:val="28"/>
                <w:highlight w:val="none"/>
              </w:rPr>
              <w:t>]第</w:t>
            </w:r>
            <w:r>
              <w:rPr>
                <w:rFonts w:hint="eastAsia" w:ascii="宋体" w:hAnsi="宋体" w:eastAsia="宋体" w:cs="宋体"/>
                <w:b/>
                <w:i w:val="0"/>
                <w:iCs w:val="0"/>
                <w:sz w:val="28"/>
                <w:szCs w:val="28"/>
                <w:highlight w:val="none"/>
                <w:lang w:val="en-US" w:eastAsia="zh-CN"/>
              </w:rPr>
              <w:t>100</w:t>
            </w:r>
            <w:r>
              <w:rPr>
                <w:rFonts w:hint="eastAsia" w:ascii="宋体" w:hAnsi="宋体" w:eastAsia="宋体" w:cs="宋体"/>
                <w:b/>
                <w:i w:val="0"/>
                <w:iCs w:val="0"/>
                <w:sz w:val="28"/>
                <w:szCs w:val="28"/>
                <w:highlight w:val="none"/>
                <w:lang w:val="en-US" w:eastAsia="zh-CN"/>
              </w:rPr>
              <w:t>号</w:t>
            </w:r>
            <w:r>
              <w:rPr>
                <w:rFonts w:hint="eastAsia" w:ascii="宋体" w:hAnsi="宋体" w:eastAsia="宋体" w:cs="宋体"/>
                <w:b/>
                <w:bCs/>
                <w:sz w:val="28"/>
                <w:highlight w:val="none"/>
              </w:rPr>
              <w:t>《资产</w:t>
            </w:r>
            <w:r>
              <w:rPr>
                <w:rFonts w:hint="eastAsia" w:ascii="宋体" w:hAnsi="宋体" w:eastAsia="宋体" w:cs="宋体"/>
                <w:b/>
                <w:bCs/>
                <w:sz w:val="28"/>
              </w:rPr>
              <w:t>评估报告书》，欲了解本评估项目的全面情况，应认真阅读资产评估报告书全文。</w:t>
            </w:r>
          </w:p>
        </w:tc>
      </w:tr>
    </w:tbl>
    <w:p>
      <w:pPr>
        <w:pStyle w:val="8"/>
        <w:spacing w:line="560" w:lineRule="exact"/>
        <w:ind w:left="0" w:leftChars="0" w:firstLine="540"/>
        <w:rPr>
          <w:rFonts w:ascii="宋体" w:hAnsi="宋体" w:cs="宋体"/>
          <w:b/>
          <w:bCs/>
          <w:w w:val="96"/>
          <w:sz w:val="28"/>
        </w:rPr>
      </w:pPr>
      <w:r>
        <w:rPr>
          <w:rFonts w:hint="eastAsia" w:ascii="宋体" w:hAnsi="宋体" w:cs="宋体"/>
          <w:b/>
          <w:bCs/>
          <w:w w:val="96"/>
          <w:sz w:val="28"/>
        </w:rPr>
        <w:t>一、委托方、被评估单位和委托方以外的其他评估报告使用者</w:t>
      </w:r>
    </w:p>
    <w:p>
      <w:pPr>
        <w:numPr>
          <w:ilvl w:val="0"/>
          <w:numId w:val="2"/>
        </w:numPr>
        <w:ind w:firstLine="482"/>
        <w:rPr>
          <w:rFonts w:ascii="宋体" w:hAnsi="宋体" w:eastAsia="宋体"/>
          <w:b/>
          <w:bCs/>
        </w:rPr>
      </w:pPr>
      <w:r>
        <w:rPr>
          <w:rFonts w:ascii="宋体" w:hAnsi="宋体" w:eastAsia="宋体"/>
          <w:b/>
          <w:bCs/>
        </w:rPr>
        <w:t>委托方</w:t>
      </w:r>
      <w:r>
        <w:rPr>
          <w:rFonts w:ascii="宋体" w:hAnsi="宋体" w:eastAsia="宋体"/>
          <w:b/>
          <w:bCs/>
        </w:rPr>
        <w:tab/>
      </w:r>
    </w:p>
    <w:p>
      <w:pPr>
        <w:ind w:firstLine="480"/>
        <w:rPr>
          <w:rFonts w:hint="eastAsia" w:ascii="宋体" w:hAnsi="宋体" w:eastAsia="宋体"/>
          <w:lang w:eastAsia="zh-CN"/>
        </w:rPr>
      </w:pPr>
      <w:r>
        <w:rPr>
          <w:rFonts w:hint="eastAsia" w:ascii="宋体" w:hAnsi="宋体" w:eastAsia="宋体"/>
        </w:rPr>
        <w:t>本评估项目的委托方为陕西省城固县人民法院</w:t>
      </w:r>
      <w:r>
        <w:rPr>
          <w:rFonts w:hint="eastAsia" w:ascii="宋体" w:hAnsi="宋体" w:eastAsia="宋体"/>
          <w:lang w:eastAsia="zh-CN"/>
        </w:rPr>
        <w:t>。</w:t>
      </w:r>
    </w:p>
    <w:p>
      <w:pPr>
        <w:numPr>
          <w:ilvl w:val="0"/>
          <w:numId w:val="3"/>
        </w:numPr>
        <w:ind w:firstLine="482"/>
        <w:rPr>
          <w:rFonts w:ascii="宋体" w:hAnsi="宋体" w:eastAsia="宋体"/>
          <w:b/>
          <w:bCs/>
        </w:rPr>
      </w:pPr>
      <w:r>
        <w:rPr>
          <w:rFonts w:ascii="宋体" w:hAnsi="宋体" w:eastAsia="宋体"/>
          <w:b/>
          <w:bCs/>
        </w:rPr>
        <w:t>被评估单位</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534"/>
        <w:textAlignment w:val="auto"/>
        <w:rPr>
          <w:rFonts w:hint="eastAsia" w:ascii="宋体" w:hAnsi="宋体" w:eastAsia="宋体"/>
          <w:sz w:val="24"/>
          <w:lang w:eastAsia="zh-CN"/>
        </w:rPr>
      </w:pPr>
      <w:r>
        <w:rPr>
          <w:rFonts w:hint="eastAsia" w:ascii="宋体" w:hAnsi="宋体"/>
          <w:sz w:val="24"/>
        </w:rPr>
        <w:t>本评估项目的被评估单位</w:t>
      </w:r>
      <w:r>
        <w:rPr>
          <w:rFonts w:hint="eastAsia" w:ascii="宋体" w:hAnsi="宋体"/>
          <w:sz w:val="24"/>
          <w:lang w:eastAsia="zh-CN"/>
        </w:rPr>
        <w:t>为李孟贤（系被执行人之一）。</w:t>
      </w:r>
    </w:p>
    <w:p>
      <w:pPr>
        <w:numPr>
          <w:ilvl w:val="0"/>
          <w:numId w:val="3"/>
        </w:numPr>
        <w:ind w:firstLine="482"/>
        <w:rPr>
          <w:rFonts w:ascii="宋体" w:hAnsi="宋体" w:eastAsia="宋体"/>
          <w:b/>
          <w:bCs/>
        </w:rPr>
      </w:pPr>
      <w:r>
        <w:rPr>
          <w:rFonts w:hint="eastAsia" w:ascii="宋体" w:hAnsi="宋体" w:eastAsia="宋体"/>
          <w:b/>
          <w:bCs/>
        </w:rPr>
        <w:t>委托方以外的其他评估报告使用人</w:t>
      </w:r>
    </w:p>
    <w:p>
      <w:pPr>
        <w:spacing w:line="560" w:lineRule="exact"/>
        <w:ind w:firstLine="482" w:firstLineChars="0"/>
        <w:rPr>
          <w:rFonts w:hint="eastAsia" w:ascii="宋体" w:hAnsi="宋体" w:eastAsia="宋体" w:cs="宋体"/>
          <w:lang w:eastAsia="zh-CN"/>
        </w:rPr>
      </w:pPr>
      <w:r>
        <w:rPr>
          <w:rFonts w:hint="eastAsia" w:ascii="宋体" w:hAnsi="宋体" w:eastAsia="宋体" w:cs="宋体"/>
        </w:rPr>
        <w:t>委托方以外的其他</w:t>
      </w:r>
      <w:r>
        <w:rPr>
          <w:rFonts w:ascii="宋体" w:hAnsi="宋体" w:eastAsia="宋体" w:cs="宋体"/>
        </w:rPr>
        <w:t>评估报告使用</w:t>
      </w:r>
      <w:r>
        <w:rPr>
          <w:rFonts w:hint="eastAsia" w:ascii="宋体" w:hAnsi="宋体" w:eastAsia="宋体" w:cs="宋体"/>
        </w:rPr>
        <w:t>人</w:t>
      </w:r>
      <w:r>
        <w:rPr>
          <w:rFonts w:ascii="宋体" w:hAnsi="宋体" w:eastAsia="宋体" w:cs="宋体"/>
        </w:rPr>
        <w:t>为法律法规规定的报告使用</w:t>
      </w:r>
      <w:r>
        <w:rPr>
          <w:rFonts w:hint="eastAsia" w:ascii="宋体" w:hAnsi="宋体" w:eastAsia="宋体" w:cs="宋体"/>
        </w:rPr>
        <w:t>人</w:t>
      </w:r>
      <w:r>
        <w:rPr>
          <w:rFonts w:hint="eastAsia" w:ascii="宋体" w:hAnsi="宋体" w:eastAsia="宋体" w:cs="宋体"/>
          <w:lang w:eastAsia="zh-CN"/>
        </w:rPr>
        <w:t>。</w:t>
      </w:r>
    </w:p>
    <w:p>
      <w:pPr>
        <w:pStyle w:val="8"/>
        <w:spacing w:line="560" w:lineRule="exact"/>
        <w:ind w:left="0" w:leftChars="0" w:firstLine="540"/>
        <w:rPr>
          <w:rFonts w:ascii="宋体" w:hAnsi="宋体" w:cs="宋体"/>
          <w:w w:val="96"/>
          <w:sz w:val="28"/>
        </w:rPr>
      </w:pPr>
      <w:r>
        <w:rPr>
          <w:rFonts w:hint="eastAsia" w:ascii="宋体" w:hAnsi="宋体" w:cs="宋体"/>
          <w:b/>
          <w:bCs/>
          <w:w w:val="96"/>
          <w:sz w:val="28"/>
        </w:rPr>
        <w:t>二、评估目的</w:t>
      </w:r>
    </w:p>
    <w:p>
      <w:pPr>
        <w:pStyle w:val="8"/>
        <w:spacing w:after="0" w:line="560" w:lineRule="exact"/>
        <w:ind w:left="0" w:leftChars="0" w:firstLine="534"/>
        <w:rPr>
          <w:rFonts w:hint="eastAsia" w:ascii="宋体" w:hAnsi="宋体" w:cs="宋体"/>
          <w:sz w:val="24"/>
        </w:rPr>
      </w:pPr>
      <w:r>
        <w:rPr>
          <w:rFonts w:hint="eastAsia" w:ascii="宋体" w:hAnsi="宋体" w:cs="宋体"/>
          <w:sz w:val="24"/>
        </w:rPr>
        <w:t>本次评估目的系为陕西省城固县人民法院</w:t>
      </w:r>
      <w:r>
        <w:rPr>
          <w:rFonts w:hint="eastAsia" w:ascii="宋体" w:hAnsi="宋体" w:cs="宋体"/>
          <w:sz w:val="24"/>
          <w:lang w:eastAsia="zh-CN"/>
        </w:rPr>
        <w:t>委托的李孟贤所属的位于城固县五郎庙乡五郎庙村六组（城许路以西）建筑面积为408.6㎡（博望镇字第20080269号）私有房产</w:t>
      </w:r>
      <w:r>
        <w:rPr>
          <w:rFonts w:hint="eastAsia" w:ascii="宋体" w:hAnsi="宋体" w:cs="宋体"/>
          <w:sz w:val="24"/>
        </w:rPr>
        <w:t>司法处分</w:t>
      </w:r>
      <w:r>
        <w:rPr>
          <w:rFonts w:hint="eastAsia" w:ascii="宋体" w:hAnsi="宋体" w:cs="宋体"/>
          <w:sz w:val="24"/>
          <w:lang w:eastAsia="zh-CN"/>
        </w:rPr>
        <w:t>价值进行评估，为陕西省城固县人民法院进行司法处分</w:t>
      </w:r>
      <w:r>
        <w:rPr>
          <w:rFonts w:hint="eastAsia" w:ascii="宋体" w:hAnsi="宋体" w:cs="宋体"/>
          <w:sz w:val="24"/>
        </w:rPr>
        <w:t>提供价值参考意见。</w:t>
      </w:r>
    </w:p>
    <w:p>
      <w:pPr>
        <w:pStyle w:val="8"/>
        <w:spacing w:line="560" w:lineRule="exact"/>
        <w:ind w:left="0" w:leftChars="0" w:firstLine="540"/>
        <w:rPr>
          <w:rFonts w:ascii="宋体" w:hAnsi="宋体" w:cs="宋体"/>
          <w:w w:val="96"/>
          <w:sz w:val="28"/>
        </w:rPr>
      </w:pPr>
      <w:r>
        <w:rPr>
          <w:rFonts w:hint="eastAsia" w:ascii="宋体" w:hAnsi="宋体" w:cs="宋体"/>
          <w:b/>
          <w:bCs/>
          <w:w w:val="96"/>
          <w:sz w:val="28"/>
        </w:rPr>
        <w:t>三、评估对象和评估范围</w:t>
      </w:r>
    </w:p>
    <w:p>
      <w:pPr>
        <w:pStyle w:val="8"/>
        <w:spacing w:after="0" w:line="560" w:lineRule="exact"/>
        <w:ind w:left="0" w:leftChars="0" w:firstLine="534"/>
        <w:rPr>
          <w:rFonts w:ascii="宋体" w:hAnsi="宋体" w:cs="宋体"/>
          <w:sz w:val="24"/>
        </w:rPr>
      </w:pPr>
      <w:r>
        <w:rPr>
          <w:rFonts w:hint="eastAsia" w:ascii="宋体" w:hAnsi="宋体" w:cs="宋体"/>
          <w:sz w:val="24"/>
        </w:rPr>
        <w:t>本次评估对象是</w:t>
      </w:r>
      <w:r>
        <w:rPr>
          <w:rFonts w:hint="eastAsia" w:ascii="宋体" w:hAnsi="宋体" w:cs="宋体"/>
          <w:sz w:val="24"/>
          <w:lang w:eastAsia="zh-CN"/>
        </w:rPr>
        <w:t>陕西省城固县人民法院执行的申请执行人李新红与被执行人张存连、李</w:t>
      </w:r>
      <w:r>
        <w:rPr>
          <w:rFonts w:hint="eastAsia" w:ascii="宋体" w:hAnsi="宋体" w:cs="宋体"/>
          <w:sz w:val="24"/>
          <w:lang w:val="en-US" w:eastAsia="zh-CN"/>
        </w:rPr>
        <w:t>垣洁、李孟贤、邹虎成民间借贷纠纷一案涉及的被执行人李孟贤所有的位于城固县五郎庙乡五郎庙村六组（城许路西侧）建筑面积为408.6㎡（博望镇字第20080269号）私有房产的</w:t>
      </w:r>
      <w:r>
        <w:rPr>
          <w:rFonts w:hint="eastAsia" w:ascii="宋体" w:hAnsi="宋体" w:cs="宋体"/>
          <w:sz w:val="24"/>
          <w:lang w:eastAsia="zh-CN"/>
        </w:rPr>
        <w:t>司法处分价值</w:t>
      </w:r>
      <w:r>
        <w:rPr>
          <w:rFonts w:hint="eastAsia" w:ascii="宋体" w:hAnsi="宋体" w:cs="宋体"/>
          <w:sz w:val="24"/>
        </w:rPr>
        <w:t>。</w:t>
      </w:r>
    </w:p>
    <w:p>
      <w:pPr>
        <w:pStyle w:val="8"/>
        <w:spacing w:after="0" w:line="560" w:lineRule="exact"/>
        <w:ind w:left="0" w:leftChars="0" w:firstLine="534"/>
        <w:rPr>
          <w:rFonts w:hint="eastAsia" w:ascii="宋体" w:hAnsi="宋体" w:cs="宋体"/>
          <w:sz w:val="24"/>
        </w:rPr>
      </w:pPr>
      <w:r>
        <w:rPr>
          <w:rFonts w:hint="eastAsia" w:ascii="宋体" w:hAnsi="宋体" w:cs="宋体"/>
          <w:sz w:val="24"/>
        </w:rPr>
        <w:t>本次评估范围是</w:t>
      </w:r>
      <w:r>
        <w:rPr>
          <w:rFonts w:hint="eastAsia" w:ascii="宋体" w:hAnsi="宋体" w:cs="宋体"/>
          <w:sz w:val="24"/>
          <w:lang w:val="en-US" w:eastAsia="zh-CN"/>
        </w:rPr>
        <w:t>李孟贤所有的位于城固县五郎庙乡五郎庙村六组（城许路西侧）建筑面积为408.6㎡（博望镇字第20080269号）私有房产一幢，评估范围不包含房屋所占用的土地及独立于房屋建筑物的设施设备价值</w:t>
      </w:r>
      <w:r>
        <w:rPr>
          <w:rFonts w:hint="eastAsia" w:ascii="宋体" w:hAnsi="宋体" w:cs="宋体"/>
          <w:sz w:val="24"/>
        </w:rPr>
        <w:t>，</w:t>
      </w:r>
      <w:r>
        <w:rPr>
          <w:rFonts w:hint="eastAsia" w:ascii="宋体" w:hAnsi="宋体" w:cs="宋体"/>
          <w:sz w:val="24"/>
          <w:lang w:eastAsia="zh-CN"/>
        </w:rPr>
        <w:t>房屋权证信息详见</w:t>
      </w:r>
      <w:r>
        <w:rPr>
          <w:rFonts w:hint="eastAsia" w:ascii="宋体" w:hAnsi="宋体" w:cs="宋体"/>
          <w:sz w:val="24"/>
        </w:rPr>
        <w:t>下表：</w:t>
      </w:r>
    </w:p>
    <w:p>
      <w:pPr>
        <w:pStyle w:val="8"/>
        <w:numPr>
          <w:ilvl w:val="0"/>
          <w:numId w:val="0"/>
        </w:numPr>
        <w:spacing w:after="0" w:line="5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《房屋所有权证》登记信息</w:t>
      </w:r>
    </w:p>
    <w:tbl>
      <w:tblPr>
        <w:tblStyle w:val="22"/>
        <w:tblW w:w="8828" w:type="dxa"/>
        <w:tblInd w:w="0" w:type="dxa"/>
        <w:shd w:val="clear" w:color="auto" w:fill="auto"/>
        <w:tblLayout w:type="fixed"/>
        <w:tblCellMar>
          <w:top w:w="0" w:type="dxa"/>
          <w:left w:w="0" w:type="dxa"/>
          <w:bottom w:w="0" w:type="dxa"/>
          <w:right w:w="0" w:type="dxa"/>
        </w:tblCellMar>
      </w:tblPr>
      <w:tblGrid>
        <w:gridCol w:w="1230"/>
        <w:gridCol w:w="1230"/>
        <w:gridCol w:w="912"/>
        <w:gridCol w:w="1514"/>
        <w:gridCol w:w="1314"/>
        <w:gridCol w:w="1314"/>
        <w:gridCol w:w="1314"/>
      </w:tblGrid>
      <w:tr>
        <w:tblPrEx>
          <w:shd w:val="clear" w:color="auto" w:fill="auto"/>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产权证号</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城固县房权证博望镇字第20080269号</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房屋所有权人</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李孟贤</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房屋坐落</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五郎庙乡五郎庙村六队（城许路西侧）</w:t>
            </w:r>
          </w:p>
        </w:tc>
      </w:tr>
      <w:tr>
        <w:tblPrEx>
          <w:tblLayout w:type="fixed"/>
          <w:tblCellMar>
            <w:top w:w="0" w:type="dxa"/>
            <w:left w:w="0" w:type="dxa"/>
            <w:bottom w:w="0" w:type="dxa"/>
            <w:right w:w="0" w:type="dxa"/>
          </w:tblCellMar>
        </w:tblPrEx>
        <w:trPr>
          <w:trHeight w:val="344"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产别</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私产</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幢号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房屋总层数</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所在层数</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建筑面积</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设计用途</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楼房</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266.54</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商住</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楼房</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砖木</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142.06</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住宅</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附记</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自建</w:t>
            </w:r>
          </w:p>
        </w:tc>
      </w:tr>
    </w:tbl>
    <w:p>
      <w:pPr>
        <w:pStyle w:val="8"/>
        <w:spacing w:line="560" w:lineRule="exact"/>
        <w:ind w:left="0" w:leftChars="0" w:firstLine="540"/>
        <w:rPr>
          <w:rFonts w:ascii="宋体" w:hAnsi="宋体" w:cs="宋体"/>
          <w:w w:val="96"/>
          <w:sz w:val="28"/>
        </w:rPr>
      </w:pPr>
      <w:r>
        <w:rPr>
          <w:rFonts w:hint="eastAsia" w:ascii="宋体" w:hAnsi="宋体" w:cs="宋体"/>
          <w:b/>
          <w:bCs/>
          <w:w w:val="96"/>
          <w:sz w:val="28"/>
        </w:rPr>
        <w:t>四、评估基准日</w:t>
      </w:r>
      <w:bookmarkStart w:id="10" w:name="OLE_LINK2"/>
    </w:p>
    <w:bookmarkEnd w:id="10"/>
    <w:p>
      <w:pPr>
        <w:pStyle w:val="8"/>
        <w:spacing w:line="560" w:lineRule="exact"/>
        <w:ind w:left="0" w:leftChars="0" w:firstLine="534"/>
        <w:rPr>
          <w:rFonts w:ascii="宋体" w:hAnsi="宋体" w:cs="宋体"/>
          <w:sz w:val="24"/>
        </w:rPr>
      </w:pPr>
      <w:r>
        <w:rPr>
          <w:rFonts w:hint="eastAsia" w:ascii="宋体" w:hAnsi="宋体" w:cs="宋体"/>
          <w:sz w:val="24"/>
        </w:rPr>
        <w:t>本次评估基准日期以现场勘验日期为准，即本资产评估项目评估基准日为</w:t>
      </w:r>
      <w:r>
        <w:rPr>
          <w:rFonts w:hint="eastAsia" w:ascii="宋体" w:hAnsi="宋体" w:cs="宋体"/>
          <w:sz w:val="24"/>
          <w:lang w:eastAsia="zh-CN"/>
        </w:rPr>
        <w:t>2019年6月11日</w:t>
      </w:r>
      <w:r>
        <w:rPr>
          <w:rFonts w:hint="eastAsia" w:ascii="宋体" w:hAnsi="宋体" w:cs="宋体"/>
          <w:sz w:val="24"/>
        </w:rPr>
        <w:t>，评估中所采用的价格是评估基准日的标准。</w:t>
      </w:r>
    </w:p>
    <w:p>
      <w:pPr>
        <w:spacing w:line="560" w:lineRule="exact"/>
        <w:ind w:firstLine="540"/>
        <w:rPr>
          <w:rFonts w:ascii="宋体" w:hAnsi="宋体" w:eastAsia="宋体" w:cs="宋体"/>
          <w:sz w:val="28"/>
        </w:rPr>
      </w:pPr>
      <w:r>
        <w:rPr>
          <w:rFonts w:hint="eastAsia" w:ascii="宋体" w:hAnsi="宋体" w:eastAsia="宋体" w:cs="宋体"/>
          <w:b/>
          <w:bCs/>
          <w:w w:val="96"/>
          <w:sz w:val="28"/>
        </w:rPr>
        <w:t>五、</w:t>
      </w:r>
      <w:r>
        <w:rPr>
          <w:rFonts w:hint="eastAsia" w:ascii="宋体" w:hAnsi="宋体" w:eastAsia="宋体" w:cs="宋体"/>
          <w:b/>
          <w:bCs/>
          <w:w w:val="96"/>
          <w:sz w:val="28"/>
          <w:lang w:eastAsia="zh-CN"/>
        </w:rPr>
        <w:t>评估方法及</w:t>
      </w:r>
      <w:r>
        <w:rPr>
          <w:rFonts w:hint="eastAsia" w:ascii="宋体" w:hAnsi="宋体" w:eastAsia="宋体" w:cs="宋体"/>
          <w:b/>
          <w:sz w:val="28"/>
        </w:rPr>
        <w:t>价值类型</w:t>
      </w:r>
    </w:p>
    <w:p>
      <w:pPr>
        <w:spacing w:line="560" w:lineRule="exact"/>
        <w:ind w:firstLine="480"/>
        <w:rPr>
          <w:rFonts w:hint="eastAsia" w:ascii="宋体" w:hAnsi="宋体" w:eastAsia="宋体" w:cs="宋体"/>
          <w:highlight w:val="yellow"/>
          <w:lang w:eastAsia="zh-CN"/>
        </w:rPr>
      </w:pPr>
      <w:r>
        <w:rPr>
          <w:rFonts w:hint="eastAsia" w:ascii="宋体" w:hAnsi="宋体" w:eastAsia="宋体" w:cs="宋体"/>
          <w:lang w:eastAsia="zh-CN"/>
        </w:rPr>
        <w:t>根据本次评估目的及委估资</w:t>
      </w:r>
      <w:r>
        <w:rPr>
          <w:rFonts w:hint="eastAsia" w:ascii="宋体" w:hAnsi="宋体" w:eastAsia="宋体" w:cs="宋体"/>
          <w:highlight w:val="none"/>
          <w:lang w:eastAsia="zh-CN"/>
        </w:rPr>
        <w:t>产特征，本次对委估的</w:t>
      </w:r>
      <w:r>
        <w:rPr>
          <w:rFonts w:hint="eastAsia" w:ascii="宋体" w:hAnsi="宋体" w:eastAsia="宋体" w:cs="宋体"/>
          <w:highlight w:val="none"/>
          <w:lang w:val="en-US" w:eastAsia="zh-CN"/>
        </w:rPr>
        <w:t>房屋建筑采用成本法</w:t>
      </w:r>
      <w:r>
        <w:rPr>
          <w:rFonts w:hint="eastAsia" w:ascii="宋体" w:hAnsi="宋体" w:eastAsia="宋体" w:cs="宋体"/>
          <w:highlight w:val="none"/>
          <w:lang w:eastAsia="zh-CN"/>
        </w:rPr>
        <w:t>进行评估。</w:t>
      </w:r>
    </w:p>
    <w:p>
      <w:pPr>
        <w:spacing w:line="560" w:lineRule="exact"/>
        <w:ind w:firstLine="480"/>
        <w:rPr>
          <w:rFonts w:ascii="宋体" w:hAnsi="宋体" w:cs="宋体"/>
        </w:rPr>
      </w:pPr>
      <w:r>
        <w:rPr>
          <w:rFonts w:hint="eastAsia" w:ascii="宋体" w:hAnsi="宋体" w:cs="宋体"/>
        </w:rPr>
        <w:t>通过充分考虑本次评估目的、市场条件、评估对象自身条件因素，本次执行的资产评估业务对市场条件和评估对象等有一定的限制和要求，因此本次评估采用清算假设前提下的清算价值作为选定的价值类型。</w:t>
      </w:r>
    </w:p>
    <w:p>
      <w:pPr>
        <w:spacing w:line="560" w:lineRule="exact"/>
        <w:ind w:firstLine="540"/>
        <w:rPr>
          <w:rFonts w:ascii="宋体" w:hAnsi="宋体" w:cs="宋体"/>
          <w:w w:val="96"/>
          <w:sz w:val="28"/>
        </w:rPr>
      </w:pPr>
      <w:r>
        <w:rPr>
          <w:rFonts w:hint="eastAsia" w:ascii="宋体" w:hAnsi="宋体" w:cs="宋体"/>
          <w:b/>
          <w:bCs/>
          <w:w w:val="96"/>
          <w:sz w:val="28"/>
        </w:rPr>
        <w:t>六、评估结论</w:t>
      </w:r>
    </w:p>
    <w:p>
      <w:pPr>
        <w:spacing w:line="560" w:lineRule="exact"/>
        <w:ind w:firstLine="504"/>
        <w:rPr>
          <w:rFonts w:hint="eastAsia" w:ascii="宋体" w:hAnsi="宋体" w:eastAsia="宋体" w:cs="宋体"/>
          <w:spacing w:val="6"/>
          <w:highlight w:val="yellow"/>
          <w:lang w:val="en-US"/>
        </w:rPr>
      </w:pPr>
      <w:bookmarkStart w:id="11" w:name="_Hlk498076760"/>
      <w:bookmarkStart w:id="12" w:name="_Hlk509319594"/>
      <w:r>
        <w:rPr>
          <w:rFonts w:hint="eastAsia" w:ascii="宋体" w:hAnsi="宋体" w:eastAsia="宋体" w:cs="宋体"/>
          <w:spacing w:val="6"/>
        </w:rPr>
        <w:t>经评估，</w:t>
      </w:r>
      <w:r>
        <w:rPr>
          <w:rFonts w:hint="eastAsia" w:ascii="宋体" w:hAnsi="宋体" w:eastAsia="宋体" w:cs="宋体"/>
          <w:spacing w:val="6"/>
          <w:lang w:eastAsia="zh-CN"/>
        </w:rPr>
        <w:t>本次委托</w:t>
      </w:r>
      <w:r>
        <w:rPr>
          <w:rFonts w:hint="eastAsia" w:ascii="宋体" w:hAnsi="宋体" w:eastAsia="宋体" w:cs="宋体"/>
          <w:spacing w:val="6"/>
        </w:rPr>
        <w:t>的位于</w:t>
      </w:r>
      <w:r>
        <w:rPr>
          <w:rFonts w:hint="eastAsia" w:ascii="宋体" w:hAnsi="宋体" w:eastAsia="宋体" w:cs="宋体"/>
          <w:spacing w:val="6"/>
          <w:lang w:eastAsia="zh-CN"/>
        </w:rPr>
        <w:t>城固县五郎庙乡（现为博望镇）五郎庙村六组建筑面积为408.6㎡的私有房产一幢评估总价值为￥</w:t>
      </w:r>
      <w:r>
        <w:rPr>
          <w:rFonts w:hint="eastAsia" w:ascii="宋体" w:hAnsi="宋体" w:eastAsia="宋体" w:cs="宋体"/>
          <w:spacing w:val="6"/>
          <w:lang w:val="en-US" w:eastAsia="zh-CN"/>
        </w:rPr>
        <w:t xml:space="preserve">800,200.00 </w:t>
      </w:r>
      <w:r>
        <w:rPr>
          <w:rFonts w:hint="eastAsia" w:ascii="宋体" w:hAnsi="宋体" w:eastAsia="宋体" w:cs="宋体"/>
          <w:spacing w:val="6"/>
          <w:lang w:eastAsia="zh-CN"/>
        </w:rPr>
        <w:t>元，大写：人民币</w:t>
      </w:r>
      <w:r>
        <w:rPr>
          <w:rFonts w:hint="eastAsia" w:ascii="宋体" w:hAnsi="宋体" w:eastAsia="宋体" w:cs="宋体"/>
          <w:spacing w:val="6"/>
          <w:lang w:eastAsia="zh-CN"/>
        </w:rPr>
        <w:fldChar w:fldCharType="begin"/>
      </w:r>
      <w:r>
        <w:rPr>
          <w:rFonts w:hint="eastAsia" w:ascii="宋体" w:hAnsi="宋体" w:eastAsia="宋体" w:cs="宋体"/>
          <w:spacing w:val="6"/>
          <w:lang w:eastAsia="zh-CN"/>
        </w:rPr>
        <w:instrText xml:space="preserve"> = 800200 \* CHINESENUM4 \* MERGEFORMAT </w:instrText>
      </w:r>
      <w:r>
        <w:rPr>
          <w:rFonts w:hint="eastAsia" w:ascii="宋体" w:hAnsi="宋体" w:eastAsia="宋体" w:cs="宋体"/>
          <w:spacing w:val="6"/>
          <w:lang w:eastAsia="zh-CN"/>
        </w:rPr>
        <w:fldChar w:fldCharType="separate"/>
      </w:r>
      <w:r>
        <w:rPr>
          <w:rFonts w:hint="eastAsia" w:ascii="宋体" w:hAnsi="宋体" w:eastAsia="宋体" w:cs="宋体"/>
          <w:spacing w:val="6"/>
          <w:lang w:eastAsia="zh-CN"/>
        </w:rPr>
        <w:t>捌拾万零贰佰元整</w:t>
      </w:r>
      <w:r>
        <w:rPr>
          <w:rFonts w:hint="eastAsia" w:ascii="宋体" w:hAnsi="宋体" w:eastAsia="宋体" w:cs="宋体"/>
          <w:spacing w:val="6"/>
          <w:lang w:eastAsia="zh-CN"/>
        </w:rPr>
        <w:fldChar w:fldCharType="end"/>
      </w:r>
      <w:r>
        <w:rPr>
          <w:rFonts w:hint="eastAsia" w:ascii="宋体" w:hAnsi="宋体" w:eastAsia="宋体" w:cs="宋体"/>
          <w:spacing w:val="6"/>
          <w:lang w:val="en-US" w:eastAsia="zh-CN"/>
        </w:rPr>
        <w:t>。</w:t>
      </w:r>
    </w:p>
    <w:p>
      <w:pPr>
        <w:spacing w:line="560" w:lineRule="exact"/>
        <w:ind w:firstLine="504"/>
        <w:rPr>
          <w:rFonts w:hint="eastAsia" w:ascii="宋体" w:hAnsi="宋体" w:eastAsia="宋体" w:cs="宋体"/>
          <w:spacing w:val="6"/>
          <w:highlight w:val="none"/>
        </w:rPr>
      </w:pPr>
      <w:r>
        <w:rPr>
          <w:rFonts w:hint="eastAsia" w:ascii="宋体" w:hAnsi="宋体" w:eastAsia="宋体" w:cs="宋体"/>
          <w:spacing w:val="6"/>
          <w:highlight w:val="none"/>
        </w:rPr>
        <w:t>通常，只有当评估基准日与经济行为实现日相距不超过一年时，才可以使用资产评估报告，因此本评估结论自评估基准日起一年内有效，即评估结论有效期自</w:t>
      </w:r>
      <w:r>
        <w:rPr>
          <w:rFonts w:hint="eastAsia" w:ascii="宋体" w:hAnsi="宋体" w:eastAsia="宋体" w:cs="宋体"/>
          <w:spacing w:val="6"/>
          <w:highlight w:val="none"/>
          <w:lang w:eastAsia="zh-CN"/>
        </w:rPr>
        <w:t>2019年6月11日</w:t>
      </w:r>
      <w:r>
        <w:rPr>
          <w:rFonts w:hint="eastAsia" w:ascii="宋体" w:hAnsi="宋体" w:eastAsia="宋体" w:cs="宋体"/>
          <w:spacing w:val="6"/>
          <w:highlight w:val="none"/>
        </w:rPr>
        <w:t>至20</w:t>
      </w:r>
      <w:r>
        <w:rPr>
          <w:rFonts w:hint="eastAsia" w:ascii="宋体" w:hAnsi="宋体" w:eastAsia="宋体" w:cs="宋体"/>
          <w:spacing w:val="6"/>
          <w:highlight w:val="none"/>
          <w:lang w:val="en-US" w:eastAsia="zh-CN"/>
        </w:rPr>
        <w:t>20</w:t>
      </w:r>
      <w:r>
        <w:rPr>
          <w:rFonts w:hint="eastAsia" w:ascii="宋体" w:hAnsi="宋体" w:eastAsia="宋体" w:cs="宋体"/>
          <w:spacing w:val="6"/>
          <w:highlight w:val="none"/>
        </w:rPr>
        <w:t>年</w:t>
      </w:r>
      <w:r>
        <w:rPr>
          <w:rFonts w:hint="eastAsia" w:ascii="宋体" w:hAnsi="宋体" w:eastAsia="宋体" w:cs="宋体"/>
          <w:spacing w:val="6"/>
          <w:highlight w:val="none"/>
          <w:lang w:val="en-US" w:eastAsia="zh-CN"/>
        </w:rPr>
        <w:t>6</w:t>
      </w:r>
      <w:r>
        <w:rPr>
          <w:rFonts w:hint="eastAsia" w:ascii="宋体" w:hAnsi="宋体" w:eastAsia="宋体" w:cs="宋体"/>
          <w:spacing w:val="6"/>
          <w:highlight w:val="none"/>
        </w:rPr>
        <w:t>月</w:t>
      </w:r>
      <w:r>
        <w:rPr>
          <w:rFonts w:hint="eastAsia" w:ascii="宋体" w:hAnsi="宋体" w:eastAsia="宋体" w:cs="宋体"/>
          <w:spacing w:val="6"/>
          <w:highlight w:val="none"/>
          <w:lang w:val="en-US" w:eastAsia="zh-CN"/>
        </w:rPr>
        <w:t>10</w:t>
      </w:r>
      <w:r>
        <w:rPr>
          <w:rFonts w:hint="eastAsia" w:ascii="宋体" w:hAnsi="宋体" w:eastAsia="宋体" w:cs="宋体"/>
          <w:spacing w:val="6"/>
          <w:highlight w:val="none"/>
        </w:rPr>
        <w:t>日止。</w:t>
      </w:r>
    </w:p>
    <w:p>
      <w:pPr>
        <w:spacing w:line="560" w:lineRule="exact"/>
        <w:ind w:firstLine="504"/>
        <w:rPr>
          <w:rFonts w:hint="eastAsia" w:ascii="宋体" w:hAnsi="宋体" w:eastAsia="宋体" w:cs="宋体"/>
          <w:spacing w:val="6"/>
          <w:highlight w:val="none"/>
        </w:rPr>
      </w:pPr>
    </w:p>
    <w:p>
      <w:pPr>
        <w:spacing w:line="560" w:lineRule="exact"/>
        <w:ind w:firstLine="504"/>
        <w:rPr>
          <w:rFonts w:ascii="宋体" w:hAnsi="宋体" w:eastAsia="宋体" w:cs="宋体"/>
          <w:spacing w:val="6"/>
          <w:highlight w:val="none"/>
        </w:rPr>
      </w:pPr>
      <w:r>
        <w:rPr>
          <w:rFonts w:hint="eastAsia" w:ascii="宋体" w:hAnsi="宋体" w:eastAsia="宋体" w:cs="宋体"/>
          <w:spacing w:val="6"/>
          <w:highlight w:val="none"/>
        </w:rPr>
        <w:t>资 产 评 估 师：                       汉中恒信资产评估事务所</w:t>
      </w:r>
    </w:p>
    <w:p>
      <w:pPr>
        <w:spacing w:line="560" w:lineRule="exact"/>
        <w:ind w:firstLine="0" w:firstLineChars="0"/>
        <w:rPr>
          <w:rFonts w:ascii="宋体" w:hAnsi="宋体" w:eastAsia="宋体" w:cs="宋体"/>
          <w:spacing w:val="6"/>
          <w:highlight w:val="none"/>
        </w:rPr>
      </w:pPr>
    </w:p>
    <w:p>
      <w:pPr>
        <w:spacing w:line="560" w:lineRule="exact"/>
        <w:ind w:firstLine="504"/>
        <w:rPr>
          <w:rFonts w:hint="eastAsia" w:ascii="宋体" w:hAnsi="宋体" w:eastAsia="宋体" w:cs="宋体"/>
          <w:spacing w:val="6"/>
          <w:highlight w:val="none"/>
          <w:lang w:eastAsia="zh-CN"/>
        </w:rPr>
      </w:pPr>
      <w:r>
        <w:rPr>
          <w:rFonts w:hint="eastAsia" w:ascii="宋体" w:hAnsi="宋体" w:eastAsia="宋体" w:cs="宋体"/>
          <w:spacing w:val="6"/>
          <w:highlight w:val="none"/>
        </w:rPr>
        <w:t xml:space="preserve">资 产 评 估 师：                 </w:t>
      </w:r>
      <w:r>
        <w:rPr>
          <w:rFonts w:hint="eastAsia" w:ascii="宋体" w:hAnsi="宋体" w:eastAsia="宋体" w:cs="宋体"/>
          <w:spacing w:val="6"/>
          <w:highlight w:val="none"/>
          <w:lang w:val="en-US" w:eastAsia="zh-CN"/>
        </w:rPr>
        <w:t xml:space="preserve">  </w:t>
      </w:r>
      <w:r>
        <w:rPr>
          <w:rFonts w:hint="eastAsia" w:ascii="宋体" w:hAnsi="宋体" w:eastAsia="宋体" w:cs="宋体"/>
          <w:spacing w:val="6"/>
          <w:highlight w:val="none"/>
        </w:rPr>
        <w:t xml:space="preserve"> 报告日期：</w:t>
      </w:r>
      <w:bookmarkEnd w:id="11"/>
      <w:r>
        <w:rPr>
          <w:rFonts w:hint="eastAsia" w:ascii="宋体" w:hAnsi="宋体" w:eastAsia="宋体" w:cs="宋体"/>
          <w:spacing w:val="6"/>
          <w:highlight w:val="none"/>
          <w:lang w:eastAsia="zh-CN"/>
        </w:rPr>
        <w:t>二〇一九年七月三十日</w:t>
      </w:r>
    </w:p>
    <w:p>
      <w:pPr>
        <w:spacing w:line="560" w:lineRule="exact"/>
        <w:ind w:left="0" w:leftChars="0" w:firstLine="0" w:firstLineChars="0"/>
        <w:rPr>
          <w:rFonts w:hint="eastAsia" w:ascii="宋体" w:hAnsi="宋体" w:eastAsia="宋体" w:cs="宋体"/>
          <w:spacing w:val="6"/>
        </w:rPr>
      </w:pPr>
    </w:p>
    <w:bookmarkEnd w:id="12"/>
    <w:p>
      <w:pPr>
        <w:spacing w:line="560" w:lineRule="exact"/>
        <w:ind w:left="0" w:leftChars="0" w:firstLine="536" w:firstLineChars="200"/>
        <w:rPr>
          <w:rFonts w:ascii="宋体" w:hAnsi="宋体" w:cs="宋体"/>
          <w:b/>
          <w:bCs/>
          <w:w w:val="96"/>
          <w:sz w:val="28"/>
        </w:rPr>
      </w:pPr>
      <w:r>
        <w:rPr>
          <w:rFonts w:hint="eastAsia" w:ascii="宋体" w:hAnsi="宋体" w:cs="宋体"/>
          <w:b/>
          <w:bCs/>
          <w:w w:val="96"/>
          <w:sz w:val="28"/>
        </w:rPr>
        <w:t>七</w:t>
      </w:r>
      <w:r>
        <w:rPr>
          <w:rFonts w:hint="eastAsia" w:ascii="宋体" w:hAnsi="宋体" w:eastAsia="宋体" w:cs="宋体"/>
          <w:b/>
          <w:bCs/>
          <w:w w:val="96"/>
          <w:sz w:val="28"/>
          <w:lang w:eastAsia="zh-CN"/>
        </w:rPr>
        <w:t>、</w:t>
      </w:r>
      <w:r>
        <w:rPr>
          <w:rFonts w:hint="eastAsia" w:ascii="宋体" w:hAnsi="宋体" w:cs="宋体"/>
          <w:b/>
          <w:bCs/>
          <w:w w:val="96"/>
          <w:sz w:val="28"/>
        </w:rPr>
        <w:t>特别事项说明</w:t>
      </w:r>
    </w:p>
    <w:p>
      <w:pPr>
        <w:spacing w:line="560" w:lineRule="exact"/>
        <w:ind w:firstLine="600" w:firstLineChars="250"/>
        <w:rPr>
          <w:rFonts w:ascii="宋体" w:hAnsi="宋体" w:eastAsia="宋体"/>
        </w:rPr>
      </w:pPr>
      <w:bookmarkStart w:id="13" w:name="_Hlk498076961"/>
      <w:bookmarkStart w:id="14" w:name="_Hlk498089639"/>
      <w:r>
        <w:rPr>
          <w:rFonts w:ascii="宋体" w:hAnsi="宋体" w:eastAsia="宋体"/>
        </w:rPr>
        <w:t>本评估报告存在如下特别事项，</w:t>
      </w:r>
      <w:r>
        <w:rPr>
          <w:rFonts w:hint="eastAsia" w:ascii="宋体" w:hAnsi="宋体" w:eastAsia="宋体"/>
        </w:rPr>
        <w:t>会对本报告评估结论产生影响，</w:t>
      </w:r>
      <w:r>
        <w:rPr>
          <w:rFonts w:ascii="宋体" w:hAnsi="宋体" w:eastAsia="宋体"/>
        </w:rPr>
        <w:t>提请报告使用者</w:t>
      </w:r>
      <w:r>
        <w:rPr>
          <w:rFonts w:hint="eastAsia" w:ascii="宋体" w:hAnsi="宋体" w:eastAsia="宋体"/>
        </w:rPr>
        <w:t>在使用本评估结论时应</w:t>
      </w:r>
      <w:r>
        <w:rPr>
          <w:rFonts w:ascii="宋体" w:hAnsi="宋体" w:eastAsia="宋体"/>
        </w:rPr>
        <w:t>予以</w:t>
      </w:r>
      <w:r>
        <w:rPr>
          <w:rFonts w:hint="eastAsia" w:ascii="宋体" w:hAnsi="宋体" w:eastAsia="宋体"/>
        </w:rPr>
        <w:t>重点</w:t>
      </w:r>
      <w:r>
        <w:rPr>
          <w:rFonts w:ascii="宋体" w:hAnsi="宋体" w:eastAsia="宋体"/>
        </w:rPr>
        <w:t>关注：</w:t>
      </w:r>
    </w:p>
    <w:p>
      <w:pPr>
        <w:pStyle w:val="51"/>
        <w:numPr>
          <w:ilvl w:val="0"/>
          <w:numId w:val="4"/>
        </w:numPr>
        <w:spacing w:line="560" w:lineRule="exact"/>
        <w:ind w:firstLineChars="0"/>
        <w:rPr>
          <w:rFonts w:ascii="宋体" w:hAnsi="宋体" w:eastAsia="宋体"/>
        </w:rPr>
      </w:pPr>
      <w:r>
        <w:rPr>
          <w:rFonts w:hint="eastAsia" w:ascii="宋体" w:hAnsi="宋体" w:eastAsia="宋体" w:cs="Times New Roman"/>
          <w:kern w:val="2"/>
          <w:sz w:val="24"/>
          <w:szCs w:val="24"/>
          <w:lang w:val="zh-CN" w:eastAsia="zh-CN" w:bidi="ar-SA"/>
        </w:rPr>
        <w:t>重大期后事项</w:t>
      </w:r>
    </w:p>
    <w:p>
      <w:pPr>
        <w:pStyle w:val="51"/>
        <w:numPr>
          <w:ilvl w:val="0"/>
          <w:numId w:val="0"/>
        </w:numPr>
        <w:spacing w:line="560" w:lineRule="exact"/>
        <w:ind w:left="0" w:leftChars="0" w:firstLine="480" w:firstLineChars="200"/>
        <w:rPr>
          <w:rFonts w:ascii="宋体" w:hAnsi="宋体" w:eastAsia="宋体"/>
        </w:rPr>
      </w:pPr>
      <w:r>
        <w:rPr>
          <w:rFonts w:hint="eastAsia" w:ascii="宋体" w:hAnsi="宋体" w:eastAsia="宋体" w:cs="Times New Roman"/>
          <w:kern w:val="2"/>
          <w:sz w:val="24"/>
          <w:szCs w:val="24"/>
          <w:lang w:val="zh-CN" w:eastAsia="zh-CN" w:bidi="ar-SA"/>
        </w:rPr>
        <w:t>评估基准日后、有效期以内，若资产价格标准发生变化，对评估结论产生影响时，不能直接使用本评估结论，须对评估结论进行调整或重新评估。即：若资产价格标准发生变化、并对资产评估价格已产生了明显影响时，委托方应及时聘请评估机构重新进行评估；</w:t>
      </w:r>
    </w:p>
    <w:p>
      <w:pPr>
        <w:pStyle w:val="51"/>
        <w:numPr>
          <w:ilvl w:val="0"/>
          <w:numId w:val="4"/>
        </w:numPr>
        <w:spacing w:line="560" w:lineRule="exact"/>
        <w:ind w:firstLineChars="0"/>
        <w:rPr>
          <w:rFonts w:ascii="宋体" w:hAnsi="宋体" w:eastAsia="宋体"/>
        </w:rPr>
      </w:pPr>
      <w:r>
        <w:rPr>
          <w:rFonts w:hint="eastAsia" w:ascii="宋体" w:hAnsi="宋体" w:eastAsia="宋体"/>
        </w:rPr>
        <w:t>权属等主要资料不完整或者存在瑕疵的情形；</w:t>
      </w:r>
    </w:p>
    <w:p>
      <w:pPr>
        <w:pStyle w:val="51"/>
        <w:numPr>
          <w:ilvl w:val="0"/>
          <w:numId w:val="0"/>
        </w:numPr>
        <w:spacing w:line="560" w:lineRule="exact"/>
        <w:ind w:left="600" w:leftChars="0" w:firstLine="720" w:firstLineChars="300"/>
        <w:rPr>
          <w:rFonts w:hint="eastAsia" w:ascii="宋体" w:hAnsi="宋体" w:eastAsia="宋体"/>
          <w:lang w:eastAsia="zh-CN"/>
        </w:rPr>
      </w:pPr>
      <w:r>
        <w:rPr>
          <w:rFonts w:hint="eastAsia" w:ascii="宋体" w:hAnsi="宋体" w:eastAsia="宋体"/>
          <w:lang w:eastAsia="zh-CN"/>
        </w:rPr>
        <w:t>无；</w:t>
      </w:r>
    </w:p>
    <w:p>
      <w:pPr>
        <w:pStyle w:val="51"/>
        <w:numPr>
          <w:ilvl w:val="0"/>
          <w:numId w:val="4"/>
        </w:numPr>
        <w:spacing w:line="560" w:lineRule="exact"/>
        <w:ind w:firstLineChars="0"/>
        <w:rPr>
          <w:rFonts w:ascii="宋体" w:hAnsi="宋体" w:eastAsia="宋体"/>
        </w:rPr>
      </w:pPr>
      <w:r>
        <w:rPr>
          <w:rFonts w:hint="eastAsia" w:ascii="宋体" w:hAnsi="宋体" w:eastAsia="宋体"/>
        </w:rPr>
        <w:t>担保、抵押租赁等其他权益事项；</w:t>
      </w:r>
    </w:p>
    <w:p>
      <w:pPr>
        <w:spacing w:line="540" w:lineRule="exact"/>
        <w:ind w:firstLine="960" w:firstLineChars="400"/>
        <w:rPr>
          <w:rFonts w:hint="eastAsia" w:ascii="宋体" w:hAnsi="宋体" w:eastAsia="宋体"/>
          <w:lang w:eastAsia="zh-CN"/>
        </w:rPr>
      </w:pPr>
      <w:r>
        <w:rPr>
          <w:rFonts w:hint="eastAsia" w:ascii="宋体" w:hAnsi="宋体" w:eastAsia="宋体"/>
        </w:rPr>
        <w:t>根据《房地产估价规范》（</w:t>
      </w:r>
      <w:r>
        <w:rPr>
          <w:rFonts w:ascii="宋体" w:hAnsi="宋体" w:eastAsia="宋体"/>
        </w:rPr>
        <w:t>GB/T50291-2015</w:t>
      </w:r>
      <w:r>
        <w:rPr>
          <w:rFonts w:hint="eastAsia" w:ascii="宋体" w:hAnsi="宋体" w:eastAsia="宋体"/>
        </w:rPr>
        <w:t>）的规定及涉及司法鉴定等相关法律法规，本次评估不考虑上述抵押权对评估结果的影响</w:t>
      </w:r>
      <w:r>
        <w:rPr>
          <w:rFonts w:hint="eastAsia" w:ascii="宋体" w:hAnsi="宋体" w:eastAsia="宋体"/>
          <w:lang w:eastAsia="zh-CN"/>
        </w:rPr>
        <w:t>；</w:t>
      </w:r>
    </w:p>
    <w:p>
      <w:pPr>
        <w:pStyle w:val="51"/>
        <w:numPr>
          <w:ilvl w:val="0"/>
          <w:numId w:val="4"/>
        </w:numPr>
        <w:spacing w:line="540" w:lineRule="exact"/>
        <w:ind w:left="1021" w:firstLineChars="0"/>
        <w:rPr>
          <w:rFonts w:ascii="宋体" w:hAnsi="宋体" w:eastAsia="宋体"/>
        </w:rPr>
      </w:pPr>
      <w:r>
        <w:rPr>
          <w:rFonts w:hint="eastAsia" w:ascii="宋体" w:hAnsi="宋体" w:eastAsia="宋体"/>
        </w:rPr>
        <w:t>评估程序受到限制的情形</w:t>
      </w:r>
      <w:r>
        <w:rPr>
          <w:rFonts w:hint="eastAsia" w:ascii="宋体" w:hAnsi="宋体" w:eastAsia="宋体"/>
          <w:lang w:eastAsia="zh-CN"/>
        </w:rPr>
        <w:t>；</w:t>
      </w:r>
    </w:p>
    <w:p>
      <w:pPr>
        <w:spacing w:line="540" w:lineRule="exact"/>
        <w:ind w:left="0" w:leftChars="0" w:firstLine="1200" w:firstLineChars="500"/>
        <w:rPr>
          <w:rFonts w:ascii="宋体" w:hAnsi="宋体" w:eastAsia="宋体"/>
        </w:rPr>
      </w:pPr>
      <w:r>
        <w:rPr>
          <w:rFonts w:hint="eastAsia" w:ascii="宋体" w:hAnsi="宋体" w:eastAsia="宋体"/>
          <w:lang w:eastAsia="zh-CN"/>
        </w:rPr>
        <w:t>无</w:t>
      </w:r>
      <w:r>
        <w:rPr>
          <w:rFonts w:hint="eastAsia" w:ascii="宋体" w:hAnsi="宋体" w:eastAsia="宋体"/>
        </w:rPr>
        <w:t>；</w:t>
      </w:r>
    </w:p>
    <w:p>
      <w:pPr>
        <w:pStyle w:val="51"/>
        <w:numPr>
          <w:ilvl w:val="0"/>
          <w:numId w:val="4"/>
        </w:numPr>
        <w:spacing w:line="540" w:lineRule="exact"/>
        <w:ind w:left="1021" w:firstLineChars="0"/>
        <w:rPr>
          <w:rFonts w:ascii="宋体" w:hAnsi="宋体" w:eastAsia="宋体"/>
        </w:rPr>
      </w:pPr>
      <w:r>
        <w:rPr>
          <w:rFonts w:hint="eastAsia" w:ascii="宋体" w:hAnsi="宋体" w:eastAsia="宋体"/>
        </w:rPr>
        <w:t>重要的利用专家工作及相关报告情况；</w:t>
      </w:r>
    </w:p>
    <w:p>
      <w:pPr>
        <w:pStyle w:val="51"/>
        <w:spacing w:line="540" w:lineRule="exact"/>
        <w:ind w:left="1021" w:firstLine="240" w:firstLineChars="100"/>
        <w:rPr>
          <w:rFonts w:ascii="宋体" w:hAnsi="宋体" w:eastAsia="宋体"/>
        </w:rPr>
      </w:pPr>
      <w:r>
        <w:rPr>
          <w:rFonts w:hint="eastAsia" w:ascii="宋体" w:hAnsi="宋体" w:eastAsia="宋体"/>
        </w:rPr>
        <w:t>无；</w:t>
      </w:r>
    </w:p>
    <w:p>
      <w:pPr>
        <w:pStyle w:val="51"/>
        <w:numPr>
          <w:ilvl w:val="0"/>
          <w:numId w:val="4"/>
        </w:numPr>
        <w:spacing w:line="540" w:lineRule="exact"/>
        <w:ind w:firstLineChars="0"/>
        <w:rPr>
          <w:rFonts w:ascii="宋体" w:hAnsi="宋体" w:eastAsia="宋体"/>
        </w:rPr>
      </w:pPr>
      <w:r>
        <w:rPr>
          <w:rFonts w:hint="eastAsia" w:ascii="宋体" w:hAnsi="宋体" w:eastAsia="宋体"/>
        </w:rPr>
        <w:t>其他事项；</w:t>
      </w:r>
    </w:p>
    <w:p>
      <w:pPr>
        <w:spacing w:line="540" w:lineRule="exact"/>
        <w:rPr>
          <w:rFonts w:hint="eastAsia" w:ascii="宋体" w:hAnsi="宋体" w:eastAsia="宋体"/>
        </w:rPr>
      </w:pPr>
      <w:r>
        <w:rPr>
          <w:rFonts w:hint="eastAsia" w:ascii="宋体" w:hAnsi="宋体" w:eastAsia="宋体"/>
          <w:lang w:val="en-US" w:eastAsia="zh-CN"/>
        </w:rPr>
        <w:t>1.根据评估委托书内容及向承办法官询问确定，本次评估仅为房屋建筑物价值不包含其占用的土地价值，本次评估范围亦不包含独立于房屋建筑物的设施设备价值。</w:t>
      </w:r>
    </w:p>
    <w:p>
      <w:pPr>
        <w:spacing w:line="540" w:lineRule="exact"/>
        <w:rPr>
          <w:rFonts w:hint="eastAsia" w:ascii="宋体" w:hAnsi="宋体" w:eastAsia="宋体"/>
        </w:rPr>
      </w:pPr>
      <w:r>
        <w:rPr>
          <w:rFonts w:hint="eastAsia" w:ascii="宋体" w:hAnsi="宋体" w:eastAsia="宋体"/>
          <w:lang w:val="en-US" w:eastAsia="zh-CN"/>
        </w:rPr>
        <w:t>2.</w:t>
      </w:r>
      <w:r>
        <w:rPr>
          <w:rFonts w:hint="eastAsia" w:ascii="宋体" w:hAnsi="宋体" w:eastAsia="宋体"/>
        </w:rPr>
        <w:t>本评估报告的评估结论是反映委托评估对象在清算假设前提下，于评估基准日所表现的本报告所列明的评估目的下的价值；</w:t>
      </w:r>
    </w:p>
    <w:p>
      <w:pPr>
        <w:spacing w:line="540" w:lineRule="exact"/>
        <w:rPr>
          <w:rFonts w:hint="eastAsia" w:ascii="宋体" w:hAnsi="宋体" w:eastAsia="宋体"/>
        </w:rPr>
      </w:pPr>
      <w:r>
        <w:rPr>
          <w:rFonts w:hint="eastAsia" w:ascii="宋体" w:hAnsi="宋体" w:eastAsia="宋体"/>
          <w:lang w:val="en-US" w:eastAsia="zh-CN"/>
        </w:rPr>
        <w:t>3.</w:t>
      </w:r>
      <w:r>
        <w:rPr>
          <w:rFonts w:hint="eastAsia" w:ascii="宋体" w:hAnsi="宋体" w:eastAsia="宋体"/>
          <w:lang w:eastAsia="zh-CN"/>
        </w:rPr>
        <w:t>委</w:t>
      </w:r>
      <w:r>
        <w:rPr>
          <w:rFonts w:hint="eastAsia" w:ascii="宋体" w:hAnsi="宋体" w:eastAsia="宋体"/>
        </w:rPr>
        <w:t>托方向我们提供了</w:t>
      </w:r>
      <w:r>
        <w:rPr>
          <w:rFonts w:hint="eastAsia" w:ascii="宋体" w:hAnsi="宋体" w:eastAsia="宋体"/>
          <w:lang w:val="en-US" w:eastAsia="zh-CN"/>
        </w:rPr>
        <w:t>城固县房权证博望镇字第20080269号《房屋所有权证》复印件等评估相关资料</w:t>
      </w:r>
      <w:r>
        <w:rPr>
          <w:rFonts w:hint="eastAsia" w:ascii="宋体" w:hAnsi="宋体" w:eastAsia="宋体"/>
        </w:rPr>
        <w:t>，按照</w:t>
      </w:r>
      <w:r>
        <w:rPr>
          <w:rFonts w:hint="eastAsia" w:ascii="宋体" w:hAnsi="宋体" w:eastAsia="宋体"/>
          <w:lang w:eastAsia="zh-CN"/>
        </w:rPr>
        <w:t>资产评估委托合同</w:t>
      </w:r>
      <w:r>
        <w:rPr>
          <w:rFonts w:hint="eastAsia" w:ascii="宋体" w:hAnsi="宋体" w:eastAsia="宋体"/>
        </w:rPr>
        <w:t>及有关文件规定，委托方应对其所提供</w:t>
      </w:r>
      <w:r>
        <w:rPr>
          <w:rFonts w:hint="eastAsia" w:ascii="宋体" w:hAnsi="宋体" w:eastAsia="宋体"/>
          <w:lang w:eastAsia="zh-CN"/>
        </w:rPr>
        <w:t>委估资产</w:t>
      </w:r>
      <w:r>
        <w:rPr>
          <w:rFonts w:hint="eastAsia" w:ascii="宋体" w:hAnsi="宋体" w:eastAsia="宋体"/>
        </w:rPr>
        <w:t>的资料以及产权证明的真实性、合法性和完整性承担责任</w:t>
      </w:r>
      <w:r>
        <w:rPr>
          <w:rFonts w:hint="eastAsia" w:ascii="宋体" w:hAnsi="宋体" w:eastAsia="宋体"/>
          <w:lang w:eastAsia="zh-CN"/>
        </w:rPr>
        <w:t>。</w:t>
      </w:r>
    </w:p>
    <w:p>
      <w:pPr>
        <w:spacing w:line="540" w:lineRule="exact"/>
        <w:rPr>
          <w:rFonts w:hint="eastAsia" w:ascii="宋体" w:hAnsi="宋体" w:eastAsia="宋体"/>
        </w:rPr>
      </w:pPr>
      <w:r>
        <w:rPr>
          <w:rFonts w:hint="eastAsia" w:ascii="宋体" w:hAnsi="宋体" w:eastAsia="宋体"/>
          <w:lang w:val="en-US" w:eastAsia="zh-CN"/>
        </w:rPr>
        <w:t>4.</w:t>
      </w:r>
      <w:r>
        <w:rPr>
          <w:rFonts w:hint="eastAsia" w:ascii="宋体" w:hAnsi="宋体" w:eastAsia="宋体"/>
        </w:rPr>
        <w:t>于本报告评估目的系为司法处分提供价格参考依据，故本次评估结果为清算价值，并考虑资产短期变现处置造成的折扣损失，为快速变现结合当地资产的实际情况确</w:t>
      </w:r>
      <w:r>
        <w:rPr>
          <w:rFonts w:hint="eastAsia" w:ascii="宋体" w:hAnsi="宋体" w:eastAsia="宋体"/>
          <w:lang w:val="en-US" w:eastAsia="zh-CN"/>
        </w:rPr>
        <w:t>定本次委估资产的变现折扣率为5%</w:t>
      </w:r>
      <w:r>
        <w:rPr>
          <w:rFonts w:hint="eastAsia" w:ascii="宋体" w:hAnsi="宋体" w:eastAsia="宋体"/>
        </w:rPr>
        <w:t>；</w:t>
      </w:r>
    </w:p>
    <w:p>
      <w:pPr>
        <w:spacing w:line="540" w:lineRule="exact"/>
        <w:rPr>
          <w:rFonts w:hint="eastAsia" w:ascii="宋体" w:hAnsi="宋体" w:eastAsia="宋体"/>
        </w:rPr>
      </w:pPr>
      <w:r>
        <w:rPr>
          <w:rFonts w:hint="eastAsia" w:ascii="宋体" w:hAnsi="宋体" w:eastAsia="宋体"/>
          <w:lang w:val="en-US" w:eastAsia="zh-CN"/>
        </w:rPr>
        <w:t xml:space="preserve">5.评估人员对评估对象的勘查，限于评估对象的现有外观和使用状况，除非报告中                                                                                                                                                                                                                                                                                                                                                                                                                                                                                                                                                                                                                                                                                                                                                                                                                                                                                                                                                                                                                                                                                                                                                                                                                                                                                                                                                                                                                                                                                                                                                                                                                                                                                                                                                                                                                                                                                                                                                                                                                                                                                                                                                                                                                                                                                                                                                                                                                                                                                                                                                                                                                                                                                                                                                                                                                                                                                                                                                                                                                                                                                                                                                                                                                                                                                                                                                                                                                                                                                                                                                                                                                                                                                                                                                                                                                                                                                                                                                                                                                                                                                                                                                                           </w:t>
      </w:r>
      <w:r>
        <w:rPr>
          <w:rFonts w:hint="eastAsia" w:ascii="宋体" w:hAnsi="宋体" w:eastAsia="宋体"/>
          <w:lang w:val="en-US" w:eastAsia="zh-CN"/>
        </w:rPr>
        <w:t xml:space="preserve">                                                                                                                                                                                                                                                                                                                                                                                                                                                                                                                                                                                                                                                                                                                                                                                                                                                                                                                                                                                                                                                                                                                                                                                                                                                                                                                                                                                                                                                                                                                                                                                                                                                                                                                                                                                                                                                                                                                                                                                                                                                                                                                                                                                                                                                                                                                                                                                                                                                                                                                                                                                                                                                                                                                                                                                                                                                                                                                                                                                                                                                                                                                                                                                                                                                                                                                                                                                                                                                                                                                                                                                                                                                                                                                                                                                                                                                                                                                                                                                                                                                                                                                                                                                                                </w:t>
      </w:r>
      <w:r>
        <w:rPr>
          <w:rFonts w:hint="eastAsia" w:ascii="宋体" w:hAnsi="宋体" w:eastAsia="宋体"/>
          <w:lang w:val="en-US" w:eastAsia="zh-CN"/>
        </w:rPr>
        <w:t xml:space="preserve">                                                                                                                                                                                                                                                                                                                                                                                                                                                                                                                                                                                                                                                                                                                                                                                                                                                                                                                                                                                                                                                                                                                                                                                                                                                                                                                                                                                                                                                                                                                                                                                                                                                                                                                                                                                                                                                                                                                                                                                                                                                                                                                                                                                                                                                                                                                                                                                                                                                                                                                                                                                                                                                                                                                                                                                                                                                                                                                                                                                                                                                                                                                                                                                                                                                                                                                                                                                                                                                                                                                                                                                                                                                                                                                                                                                                                                                                                                                                                                                                                                                                                                                                                                                                                </w:t>
      </w:r>
      <w:r>
        <w:rPr>
          <w:rFonts w:hint="eastAsia" w:ascii="宋体" w:hAnsi="宋体" w:eastAsia="宋体"/>
          <w:lang w:val="en-US" w:eastAsia="zh-CN"/>
        </w:rPr>
        <w:t xml:space="preserve">                                                                                                                                                                                                                                                                                                                                                                                                                                                                                                                                                                                                                                                                                                                                                                                                                                                                                                                                                                                                                                                                                                                                                                                                                                                                                                                                                                                                                                                                                                                                                                                                                                                                                                                                                                                                                                                                                                                                                                                                                                                                                                                                                                                                                                                                                                                                                                                                                                                                                                                                                                                                                                                    另有明确声明，评估人员不承担评估对象建筑物质量及被遮盖、未暴露及难以接触到的部分进行勘查责任</w:t>
      </w:r>
      <w:r>
        <w:rPr>
          <w:rFonts w:hint="eastAsia" w:ascii="宋体" w:hAnsi="宋体" w:eastAsia="宋体"/>
        </w:rPr>
        <w:t>；</w:t>
      </w:r>
    </w:p>
    <w:p>
      <w:pPr>
        <w:spacing w:line="540" w:lineRule="exact"/>
        <w:rPr>
          <w:rFonts w:hint="eastAsia" w:ascii="宋体" w:hAnsi="宋体" w:eastAsia="宋体"/>
        </w:rPr>
      </w:pPr>
      <w:r>
        <w:rPr>
          <w:rFonts w:hint="eastAsia" w:ascii="宋体" w:hAnsi="宋体" w:eastAsia="宋体"/>
          <w:lang w:val="en-US" w:eastAsia="zh-CN"/>
        </w:rPr>
        <w:t>6.</w:t>
      </w:r>
      <w:r>
        <w:rPr>
          <w:rFonts w:hint="eastAsia" w:ascii="宋体" w:hAnsi="宋体" w:eastAsia="宋体"/>
        </w:rPr>
        <w:t>本评估结论是反映评估对象在本次评估的目的下，根据司法处分前提确定的评估价值，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p>
    <w:p>
      <w:pPr>
        <w:spacing w:line="540" w:lineRule="exact"/>
        <w:rPr>
          <w:rFonts w:hint="eastAsia" w:ascii="宋体" w:hAnsi="宋体" w:eastAsia="宋体"/>
        </w:rPr>
      </w:pPr>
      <w:r>
        <w:rPr>
          <w:rFonts w:hint="eastAsia" w:ascii="宋体" w:hAnsi="宋体" w:eastAsia="宋体"/>
          <w:lang w:eastAsia="zh-CN"/>
        </w:rPr>
        <w:t>（</w:t>
      </w:r>
      <w:r>
        <w:rPr>
          <w:rFonts w:hint="eastAsia" w:ascii="宋体" w:hAnsi="宋体" w:eastAsia="宋体"/>
          <w:lang w:val="en-US" w:eastAsia="zh-CN"/>
        </w:rPr>
        <w:t>1</w:t>
      </w:r>
      <w:r>
        <w:rPr>
          <w:rFonts w:hint="eastAsia" w:ascii="宋体" w:hAnsi="宋体" w:eastAsia="宋体"/>
          <w:lang w:eastAsia="zh-CN"/>
        </w:rPr>
        <w:t>）</w:t>
      </w:r>
      <w:r>
        <w:rPr>
          <w:rFonts w:hint="eastAsia" w:ascii="宋体" w:hAnsi="宋体" w:eastAsia="宋体"/>
        </w:rPr>
        <w:t>本评估结论不应当被认为是对评估对象可实现价格的保证；</w:t>
      </w:r>
    </w:p>
    <w:p>
      <w:pPr>
        <w:spacing w:line="540" w:lineRule="exact"/>
        <w:rPr>
          <w:rFonts w:hint="eastAsia" w:ascii="宋体" w:hAnsi="宋体" w:eastAsia="宋体"/>
        </w:rPr>
      </w:pPr>
      <w:r>
        <w:rPr>
          <w:rFonts w:hint="eastAsia" w:ascii="宋体" w:hAnsi="宋体" w:eastAsia="宋体"/>
          <w:lang w:eastAsia="zh-CN"/>
        </w:rPr>
        <w:t>（</w:t>
      </w:r>
      <w:r>
        <w:rPr>
          <w:rFonts w:hint="eastAsia" w:ascii="宋体" w:hAnsi="宋体" w:eastAsia="宋体"/>
          <w:lang w:val="en-US" w:eastAsia="zh-CN"/>
        </w:rPr>
        <w:t>2</w:t>
      </w:r>
      <w:r>
        <w:rPr>
          <w:rFonts w:hint="eastAsia" w:ascii="宋体" w:hAnsi="宋体" w:eastAsia="宋体"/>
          <w:lang w:eastAsia="zh-CN"/>
        </w:rPr>
        <w:t>）</w:t>
      </w:r>
      <w:r>
        <w:rPr>
          <w:rFonts w:hint="eastAsia" w:ascii="宋体" w:hAnsi="宋体" w:eastAsia="宋体"/>
        </w:rPr>
        <w:t>本评估报告仅供委托方为本评估报告所列明的评估目的以及报送有关资产评估主管机关审查使用。委托方应按本评估报告载明的评估目的使用，任何不正确或不恰当地使用本评估报告所造成的不便或损失，将由评估报告使用者自行承担责任</w:t>
      </w:r>
      <w:bookmarkEnd w:id="13"/>
      <w:r>
        <w:rPr>
          <w:rFonts w:hint="eastAsia" w:ascii="宋体" w:hAnsi="宋体" w:eastAsia="宋体"/>
        </w:rPr>
        <w:t>。</w:t>
      </w:r>
    </w:p>
    <w:bookmarkEnd w:id="14"/>
    <w:p>
      <w:pPr>
        <w:spacing w:line="540" w:lineRule="exact"/>
        <w:ind w:firstLine="482"/>
        <w:rPr>
          <w:rFonts w:ascii="宋体" w:hAnsi="宋体" w:eastAsia="宋体"/>
          <w:b/>
          <w:u w:val="single"/>
        </w:rPr>
      </w:pPr>
      <w:r>
        <w:rPr>
          <w:rFonts w:ascii="宋体" w:hAnsi="宋体" w:eastAsia="宋体"/>
          <w:b/>
          <w:u w:val="single"/>
        </w:rPr>
        <w:t>以上内容摘自评估报告正文，欲了解本评估项目的详细情况和合理理解评估结论，应</w:t>
      </w:r>
      <w:r>
        <w:rPr>
          <w:rFonts w:hint="eastAsia" w:ascii="宋体" w:hAnsi="宋体" w:eastAsia="宋体"/>
          <w:b/>
          <w:u w:val="single"/>
        </w:rPr>
        <w:t>当</w:t>
      </w:r>
      <w:r>
        <w:rPr>
          <w:rFonts w:ascii="宋体" w:hAnsi="宋体" w:eastAsia="宋体"/>
          <w:b/>
          <w:u w:val="single"/>
        </w:rPr>
        <w:t>阅读评估报告正文。</w:t>
      </w:r>
    </w:p>
    <w:p>
      <w:pPr>
        <w:spacing w:line="540" w:lineRule="exact"/>
        <w:ind w:firstLine="482"/>
        <w:rPr>
          <w:rFonts w:hint="eastAsia"/>
          <w:sz w:val="44"/>
          <w:szCs w:val="44"/>
        </w:rPr>
      </w:pPr>
      <w:r>
        <w:rPr>
          <w:rFonts w:ascii="宋体" w:hAnsi="宋体" w:eastAsia="宋体"/>
          <w:b/>
          <w:u w:val="single"/>
        </w:rPr>
        <w:br w:type="page"/>
      </w:r>
      <w:bookmarkStart w:id="15" w:name="_Toc15673"/>
    </w:p>
    <w:p>
      <w:pPr>
        <w:pStyle w:val="20"/>
        <w:ind w:firstLine="2831" w:firstLineChars="641"/>
        <w:jc w:val="both"/>
        <w:rPr>
          <w:sz w:val="44"/>
          <w:szCs w:val="44"/>
        </w:rPr>
      </w:pPr>
      <w:bookmarkStart w:id="16" w:name="_Toc9750"/>
      <w:r>
        <w:rPr>
          <w:rFonts w:hint="eastAsia"/>
          <w:sz w:val="44"/>
          <w:szCs w:val="44"/>
        </w:rPr>
        <w:t>资产评估报告书</w:t>
      </w:r>
      <w:bookmarkEnd w:id="15"/>
      <w:bookmarkEnd w:id="16"/>
    </w:p>
    <w:p>
      <w:pPr>
        <w:spacing w:line="560" w:lineRule="exact"/>
        <w:ind w:firstLine="2891" w:firstLineChars="1200"/>
        <w:rPr>
          <w:rFonts w:ascii="宋体" w:hAnsi="宋体" w:eastAsia="宋体" w:cs="宋体"/>
          <w:b/>
          <w:bCs/>
        </w:rPr>
      </w:pPr>
      <w:r>
        <w:rPr>
          <w:rFonts w:hint="eastAsia" w:ascii="宋体" w:hAnsi="宋体" w:eastAsia="宋体" w:cs="宋体"/>
          <w:b/>
          <w:bCs/>
        </w:rPr>
        <w:t>汉恒评报</w:t>
      </w:r>
      <w:r>
        <w:rPr>
          <w:rFonts w:hint="eastAsia" w:ascii="宋体" w:hAnsi="宋体" w:eastAsia="宋体" w:cs="宋体"/>
          <w:b/>
          <w:bCs/>
          <w:highlight w:val="none"/>
        </w:rPr>
        <w:t>字[201</w:t>
      </w:r>
      <w:r>
        <w:rPr>
          <w:rFonts w:hint="eastAsia" w:ascii="宋体" w:hAnsi="宋体" w:eastAsia="宋体" w:cs="宋体"/>
          <w:b/>
          <w:bCs/>
          <w:highlight w:val="none"/>
          <w:lang w:val="en-US" w:eastAsia="zh-CN"/>
        </w:rPr>
        <w:t>9</w:t>
      </w:r>
      <w:r>
        <w:rPr>
          <w:rFonts w:hint="eastAsia" w:ascii="宋体" w:hAnsi="宋体" w:eastAsia="宋体" w:cs="宋体"/>
          <w:b/>
          <w:bCs/>
          <w:highlight w:val="none"/>
        </w:rPr>
        <w:t>]第</w:t>
      </w:r>
      <w:r>
        <w:rPr>
          <w:rFonts w:hint="eastAsia" w:ascii="宋体" w:hAnsi="宋体" w:eastAsia="宋体" w:cs="宋体"/>
          <w:b/>
          <w:bCs/>
          <w:highlight w:val="none"/>
          <w:lang w:val="en-US" w:eastAsia="zh-CN"/>
        </w:rPr>
        <w:t>100号</w:t>
      </w:r>
    </w:p>
    <w:p>
      <w:pPr>
        <w:spacing w:line="560" w:lineRule="exact"/>
        <w:ind w:firstLine="480"/>
        <w:rPr>
          <w:rFonts w:ascii="宋体" w:hAnsi="宋体" w:cs="宋体"/>
        </w:rPr>
      </w:pPr>
      <w:r>
        <w:rPr>
          <w:rFonts w:hint="eastAsia" w:ascii="宋体" w:hAnsi="宋体" w:eastAsia="宋体" w:cs="宋体"/>
        </w:rPr>
        <w:t>汉中恒信资产评估事务所接受陕西省城固县人民法院的委托，根据国家有关资产评估的规定，本着客观、独立、公正、科学的原则，按照公认的资产评估方法，对</w:t>
      </w:r>
      <w:r>
        <w:rPr>
          <w:rFonts w:hint="eastAsia" w:ascii="宋体" w:hAnsi="宋体" w:eastAsia="宋体" w:cs="宋体"/>
          <w:lang w:eastAsia="zh-CN"/>
        </w:rPr>
        <w:t>陕西省</w:t>
      </w:r>
      <w:r>
        <w:rPr>
          <w:rFonts w:hint="eastAsia" w:ascii="宋体" w:hAnsi="宋体" w:cs="宋体"/>
          <w:sz w:val="24"/>
          <w:lang w:eastAsia="zh-CN"/>
        </w:rPr>
        <w:t>城固县人民法院执行的申请执行人李新红与被执行人张存连、李</w:t>
      </w:r>
      <w:r>
        <w:rPr>
          <w:rFonts w:hint="eastAsia" w:ascii="宋体" w:hAnsi="宋体" w:cs="宋体"/>
          <w:sz w:val="24"/>
          <w:lang w:val="en-US" w:eastAsia="zh-CN"/>
        </w:rPr>
        <w:t>垣洁、李孟贤、邹虎成民间借贷纠纷一案涉及的被执行人李孟贤所有的位于城固县五郎庙乡五郎庙村六组（城许路西侧）建筑面积为408.6㎡（博望镇字第20080269号）私有房产的</w:t>
      </w:r>
      <w:r>
        <w:rPr>
          <w:rFonts w:hint="eastAsia" w:ascii="宋体" w:hAnsi="宋体" w:cs="宋体"/>
          <w:sz w:val="24"/>
          <w:lang w:eastAsia="zh-CN"/>
        </w:rPr>
        <w:t>司法处分价值</w:t>
      </w:r>
      <w:r>
        <w:rPr>
          <w:rFonts w:hint="eastAsia" w:ascii="宋体" w:hAnsi="宋体" w:cs="宋体"/>
        </w:rPr>
        <w:t>进行了评估工作。本所评估人员按照必要的评估程序对委托评估的资产实施了实地勘查以及市场调查，对委估资产在</w:t>
      </w:r>
      <w:r>
        <w:rPr>
          <w:rFonts w:hint="eastAsia" w:ascii="宋体" w:hAnsi="宋体" w:eastAsia="宋体" w:cs="宋体"/>
          <w:lang w:eastAsia="zh-CN"/>
        </w:rPr>
        <w:t>2019年6月11日</w:t>
      </w:r>
      <w:r>
        <w:rPr>
          <w:rFonts w:hint="eastAsia" w:ascii="宋体" w:hAnsi="宋体" w:cs="宋体"/>
        </w:rPr>
        <w:t>所表现的司法处分价值做出了公允反映。现将资产评估情况和评估结果报告如下：</w:t>
      </w:r>
    </w:p>
    <w:p>
      <w:pPr>
        <w:pStyle w:val="4"/>
        <w:spacing w:beforeLines="50" w:afterLines="50" w:line="560" w:lineRule="exact"/>
        <w:ind w:left="-2" w:leftChars="-1" w:firstLine="527" w:firstLineChars="196"/>
        <w:rPr>
          <w:rFonts w:ascii="宋体" w:hAnsi="宋体" w:cs="宋体"/>
          <w:w w:val="96"/>
          <w:sz w:val="28"/>
        </w:rPr>
      </w:pPr>
      <w:bookmarkStart w:id="17" w:name="_Toc23141"/>
      <w:bookmarkStart w:id="18" w:name="_Toc32764"/>
      <w:r>
        <w:rPr>
          <w:rFonts w:hint="eastAsia" w:cs="宋体" w:asciiTheme="minorEastAsia" w:hAnsiTheme="minorEastAsia" w:eastAsiaTheme="minorEastAsia"/>
          <w:w w:val="96"/>
          <w:sz w:val="28"/>
        </w:rPr>
        <w:t>一、委托人、被评估单位和委托人以外的其他评估报告使用</w:t>
      </w:r>
      <w:bookmarkEnd w:id="17"/>
      <w:r>
        <w:rPr>
          <w:rFonts w:hint="eastAsia" w:cs="宋体" w:asciiTheme="minorEastAsia" w:hAnsiTheme="minorEastAsia" w:eastAsiaTheme="minorEastAsia"/>
          <w:w w:val="96"/>
          <w:sz w:val="28"/>
        </w:rPr>
        <w:t>人</w:t>
      </w:r>
      <w:bookmarkEnd w:id="18"/>
    </w:p>
    <w:p>
      <w:pPr>
        <w:numPr>
          <w:ilvl w:val="0"/>
          <w:numId w:val="5"/>
        </w:numPr>
        <w:ind w:firstLineChars="0"/>
        <w:rPr>
          <w:rFonts w:ascii="宋体" w:hAnsi="宋体" w:eastAsia="宋体"/>
          <w:b/>
          <w:bCs/>
        </w:rPr>
      </w:pPr>
      <w:bookmarkStart w:id="19" w:name="_Toc29893"/>
      <w:r>
        <w:rPr>
          <w:rFonts w:ascii="宋体" w:hAnsi="宋体" w:eastAsia="宋体"/>
          <w:b/>
          <w:bCs/>
        </w:rPr>
        <w:t>委托方</w:t>
      </w:r>
      <w:r>
        <w:rPr>
          <w:rFonts w:ascii="宋体" w:hAnsi="宋体" w:eastAsia="宋体"/>
          <w:b/>
          <w:bCs/>
        </w:rPr>
        <w:tab/>
      </w:r>
    </w:p>
    <w:p>
      <w:pPr>
        <w:ind w:firstLine="480"/>
        <w:rPr>
          <w:rFonts w:ascii="宋体" w:hAnsi="宋体" w:eastAsia="宋体"/>
        </w:rPr>
      </w:pPr>
      <w:r>
        <w:rPr>
          <w:rFonts w:hint="eastAsia" w:ascii="宋体" w:hAnsi="宋体" w:eastAsia="宋体"/>
        </w:rPr>
        <w:t>本评估项目的委托方为陕西省城固县人民法院；</w:t>
      </w:r>
    </w:p>
    <w:p>
      <w:pPr>
        <w:numPr>
          <w:ilvl w:val="0"/>
          <w:numId w:val="5"/>
        </w:numPr>
        <w:ind w:firstLineChars="0"/>
        <w:rPr>
          <w:rFonts w:ascii="宋体" w:hAnsi="宋体" w:eastAsia="宋体"/>
          <w:b/>
          <w:bCs/>
        </w:rPr>
      </w:pPr>
      <w:r>
        <w:rPr>
          <w:rFonts w:ascii="宋体" w:hAnsi="宋体" w:eastAsia="宋体"/>
          <w:b/>
          <w:bCs/>
        </w:rPr>
        <w:t>被评估单位</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534"/>
        <w:textAlignment w:val="auto"/>
        <w:rPr>
          <w:rFonts w:hint="eastAsia" w:ascii="宋体" w:hAnsi="宋体" w:eastAsia="宋体"/>
          <w:sz w:val="24"/>
          <w:lang w:eastAsia="zh-CN"/>
        </w:rPr>
      </w:pPr>
      <w:r>
        <w:rPr>
          <w:rFonts w:hint="eastAsia" w:ascii="宋体" w:hAnsi="宋体"/>
          <w:sz w:val="24"/>
        </w:rPr>
        <w:t>本评估项目的被评估单位</w:t>
      </w:r>
      <w:r>
        <w:rPr>
          <w:rFonts w:hint="eastAsia" w:ascii="宋体" w:hAnsi="宋体"/>
          <w:sz w:val="24"/>
          <w:lang w:eastAsia="zh-CN"/>
        </w:rPr>
        <w:t>为李孟贤（系被执行人之一）。</w:t>
      </w:r>
    </w:p>
    <w:p>
      <w:pPr>
        <w:numPr>
          <w:ilvl w:val="0"/>
          <w:numId w:val="5"/>
        </w:numPr>
        <w:ind w:firstLineChars="0"/>
        <w:rPr>
          <w:rFonts w:ascii="宋体" w:hAnsi="宋体" w:eastAsia="宋体"/>
          <w:b/>
          <w:bCs/>
        </w:rPr>
      </w:pPr>
      <w:r>
        <w:rPr>
          <w:rFonts w:hint="eastAsia" w:ascii="宋体" w:hAnsi="宋体" w:eastAsia="宋体"/>
          <w:b/>
          <w:bCs/>
        </w:rPr>
        <w:t>委托方以外的其他评估报告使用人</w:t>
      </w:r>
    </w:p>
    <w:p>
      <w:pPr>
        <w:spacing w:line="560" w:lineRule="exact"/>
        <w:ind w:firstLine="679" w:firstLineChars="283"/>
        <w:rPr>
          <w:rFonts w:ascii="宋体" w:hAnsi="宋体" w:eastAsia="宋体" w:cs="宋体"/>
        </w:rPr>
      </w:pPr>
      <w:r>
        <w:rPr>
          <w:rFonts w:hint="eastAsia" w:ascii="宋体" w:hAnsi="宋体" w:eastAsia="宋体" w:cs="宋体"/>
        </w:rPr>
        <w:t>委托方以外的其</w:t>
      </w:r>
      <w:r>
        <w:rPr>
          <w:rFonts w:ascii="宋体" w:hAnsi="宋体" w:eastAsia="宋体" w:cs="宋体"/>
        </w:rPr>
        <w:t>他评估报告使用</w:t>
      </w:r>
      <w:r>
        <w:rPr>
          <w:rFonts w:hint="eastAsia" w:ascii="宋体" w:hAnsi="宋体" w:eastAsia="宋体" w:cs="宋体"/>
        </w:rPr>
        <w:t>人</w:t>
      </w:r>
      <w:r>
        <w:rPr>
          <w:rFonts w:ascii="宋体" w:hAnsi="宋体" w:eastAsia="宋体" w:cs="宋体"/>
        </w:rPr>
        <w:t>为法律法规规定的报告使用</w:t>
      </w:r>
      <w:r>
        <w:rPr>
          <w:rFonts w:hint="eastAsia" w:ascii="宋体" w:hAnsi="宋体" w:eastAsia="宋体" w:cs="宋体"/>
        </w:rPr>
        <w:t>人；</w:t>
      </w:r>
    </w:p>
    <w:p>
      <w:pPr>
        <w:pStyle w:val="4"/>
        <w:spacing w:beforeLines="50" w:afterLines="50" w:line="560" w:lineRule="exact"/>
        <w:ind w:left="-2" w:leftChars="-1" w:firstLine="526" w:firstLineChars="196"/>
        <w:rPr>
          <w:rFonts w:ascii="宋体" w:hAnsi="宋体" w:cs="宋体"/>
          <w:w w:val="96"/>
          <w:sz w:val="28"/>
        </w:rPr>
      </w:pPr>
      <w:bookmarkStart w:id="20" w:name="_Toc7002"/>
      <w:r>
        <w:rPr>
          <w:rFonts w:hint="eastAsia" w:ascii="宋体" w:hAnsi="宋体" w:cs="宋体"/>
          <w:w w:val="96"/>
          <w:sz w:val="28"/>
        </w:rPr>
        <w:t>二、评估目的</w:t>
      </w:r>
      <w:bookmarkEnd w:id="19"/>
      <w:bookmarkEnd w:id="20"/>
    </w:p>
    <w:p>
      <w:pPr>
        <w:pStyle w:val="8"/>
        <w:spacing w:after="0" w:line="560" w:lineRule="exact"/>
        <w:ind w:left="0" w:leftChars="0" w:firstLine="534"/>
        <w:rPr>
          <w:rFonts w:hint="eastAsia" w:ascii="宋体" w:hAnsi="宋体" w:cs="宋体"/>
          <w:sz w:val="24"/>
        </w:rPr>
      </w:pPr>
      <w:bookmarkStart w:id="21" w:name="_Toc27707"/>
      <w:bookmarkStart w:id="22" w:name="_Toc19882"/>
      <w:r>
        <w:rPr>
          <w:rFonts w:hint="eastAsia" w:ascii="宋体" w:hAnsi="宋体" w:cs="宋体"/>
          <w:sz w:val="24"/>
        </w:rPr>
        <w:t>本次评估目的系为陕西省城固县人民法院</w:t>
      </w:r>
      <w:r>
        <w:rPr>
          <w:rFonts w:hint="eastAsia" w:ascii="宋体" w:hAnsi="宋体" w:cs="宋体"/>
          <w:sz w:val="24"/>
          <w:lang w:eastAsia="zh-CN"/>
        </w:rPr>
        <w:t>委托的李孟贤所属的位于城固县五郎庙乡五郎庙村六组（城许路以西）建筑面积为408.6㎡（博望镇字第20080269号）私有房产</w:t>
      </w:r>
      <w:r>
        <w:rPr>
          <w:rFonts w:hint="eastAsia" w:ascii="宋体" w:hAnsi="宋体" w:cs="宋体"/>
          <w:sz w:val="24"/>
        </w:rPr>
        <w:t>司法处分</w:t>
      </w:r>
      <w:r>
        <w:rPr>
          <w:rFonts w:hint="eastAsia" w:ascii="宋体" w:hAnsi="宋体" w:cs="宋体"/>
          <w:sz w:val="24"/>
          <w:lang w:eastAsia="zh-CN"/>
        </w:rPr>
        <w:t>价值进行评估，为陕西省城固县人民法院进行司法处分</w:t>
      </w:r>
      <w:r>
        <w:rPr>
          <w:rFonts w:hint="eastAsia" w:ascii="宋体" w:hAnsi="宋体" w:cs="宋体"/>
          <w:sz w:val="24"/>
        </w:rPr>
        <w:t>提供价值参考意见。</w:t>
      </w:r>
    </w:p>
    <w:p>
      <w:pPr>
        <w:pStyle w:val="8"/>
        <w:spacing w:after="0" w:line="560" w:lineRule="exact"/>
        <w:ind w:left="0" w:leftChars="0" w:firstLine="534"/>
        <w:rPr>
          <w:rFonts w:hint="eastAsia" w:ascii="宋体" w:hAnsi="宋体" w:cs="宋体"/>
          <w:sz w:val="24"/>
        </w:rPr>
      </w:pPr>
    </w:p>
    <w:p>
      <w:pPr>
        <w:pStyle w:val="4"/>
        <w:spacing w:beforeLines="50" w:afterLines="50" w:line="560" w:lineRule="exact"/>
        <w:ind w:left="-2" w:leftChars="-1" w:firstLine="526" w:firstLineChars="196"/>
        <w:rPr>
          <w:rFonts w:ascii="宋体" w:hAnsi="宋体" w:cs="宋体"/>
          <w:w w:val="96"/>
          <w:sz w:val="28"/>
        </w:rPr>
      </w:pPr>
      <w:r>
        <w:rPr>
          <w:rFonts w:hint="eastAsia" w:ascii="宋体" w:hAnsi="宋体" w:cs="宋体"/>
          <w:w w:val="96"/>
          <w:sz w:val="28"/>
        </w:rPr>
        <w:t>三、评估对象和评估范围</w:t>
      </w:r>
      <w:bookmarkEnd w:id="21"/>
      <w:bookmarkEnd w:id="22"/>
    </w:p>
    <w:p>
      <w:pPr>
        <w:pStyle w:val="8"/>
        <w:spacing w:after="0" w:line="560" w:lineRule="exact"/>
        <w:ind w:left="0" w:leftChars="0" w:firstLine="534"/>
        <w:rPr>
          <w:rFonts w:ascii="宋体" w:hAnsi="宋体" w:cs="宋体"/>
          <w:sz w:val="24"/>
        </w:rPr>
      </w:pPr>
      <w:bookmarkStart w:id="23" w:name="_Toc30233"/>
      <w:bookmarkStart w:id="24" w:name="_Toc4572"/>
      <w:r>
        <w:rPr>
          <w:rFonts w:hint="eastAsia" w:ascii="宋体" w:hAnsi="宋体" w:cs="宋体"/>
          <w:sz w:val="24"/>
        </w:rPr>
        <w:t>本次评估对象是</w:t>
      </w:r>
      <w:r>
        <w:rPr>
          <w:rFonts w:hint="eastAsia" w:ascii="宋体" w:hAnsi="宋体" w:cs="宋体"/>
          <w:sz w:val="24"/>
          <w:lang w:eastAsia="zh-CN"/>
        </w:rPr>
        <w:t>陕西省城固县人民法院执行的申请执行人李新红与被执行人张存连、李</w:t>
      </w:r>
      <w:r>
        <w:rPr>
          <w:rFonts w:hint="eastAsia" w:ascii="宋体" w:hAnsi="宋体" w:cs="宋体"/>
          <w:sz w:val="24"/>
          <w:lang w:val="en-US" w:eastAsia="zh-CN"/>
        </w:rPr>
        <w:t>垣洁、李孟贤、邹虎成民间借贷纠纷一案涉及的被执行人李孟贤所有的位于城固县五郎庙乡五郎庙村六组（城许路西侧）建筑面积为408.6㎡（博望镇字第20080269号）私有房产的</w:t>
      </w:r>
      <w:r>
        <w:rPr>
          <w:rFonts w:hint="eastAsia" w:ascii="宋体" w:hAnsi="宋体" w:cs="宋体"/>
          <w:sz w:val="24"/>
          <w:lang w:eastAsia="zh-CN"/>
        </w:rPr>
        <w:t>司法处分价值</w:t>
      </w:r>
      <w:r>
        <w:rPr>
          <w:rFonts w:hint="eastAsia" w:ascii="宋体" w:hAnsi="宋体" w:cs="宋体"/>
          <w:sz w:val="24"/>
        </w:rPr>
        <w:t>。</w:t>
      </w:r>
    </w:p>
    <w:p>
      <w:pPr>
        <w:pStyle w:val="8"/>
        <w:spacing w:after="0" w:line="560" w:lineRule="exact"/>
        <w:ind w:left="0" w:leftChars="0" w:firstLine="534"/>
        <w:rPr>
          <w:rFonts w:hint="eastAsia" w:ascii="宋体" w:hAnsi="宋体" w:cs="宋体"/>
          <w:sz w:val="24"/>
        </w:rPr>
      </w:pPr>
      <w:r>
        <w:rPr>
          <w:rFonts w:hint="eastAsia" w:ascii="宋体" w:hAnsi="宋体" w:cs="宋体"/>
          <w:sz w:val="24"/>
        </w:rPr>
        <w:t>本次评估范围是</w:t>
      </w:r>
      <w:r>
        <w:rPr>
          <w:rFonts w:hint="eastAsia" w:ascii="宋体" w:hAnsi="宋体" w:cs="宋体"/>
          <w:sz w:val="24"/>
          <w:lang w:val="en-US" w:eastAsia="zh-CN"/>
        </w:rPr>
        <w:t>李孟贤所有的位于城固县五郎庙乡五郎庙村六组（城许路西侧）建筑面积为408.6㎡（博望镇字第20080269号）私有房产一幢，评估范围不包含房屋所占用的土地及独立于房屋建筑物的设施设备价值</w:t>
      </w:r>
      <w:r>
        <w:rPr>
          <w:rFonts w:hint="eastAsia" w:ascii="宋体" w:hAnsi="宋体" w:cs="宋体"/>
          <w:sz w:val="24"/>
        </w:rPr>
        <w:t>，</w:t>
      </w:r>
      <w:r>
        <w:rPr>
          <w:rFonts w:hint="eastAsia" w:ascii="宋体" w:hAnsi="宋体" w:cs="宋体"/>
          <w:sz w:val="24"/>
          <w:lang w:eastAsia="zh-CN"/>
        </w:rPr>
        <w:t>房屋权证信息详见</w:t>
      </w:r>
      <w:r>
        <w:rPr>
          <w:rFonts w:hint="eastAsia" w:ascii="宋体" w:hAnsi="宋体" w:cs="宋体"/>
          <w:sz w:val="24"/>
        </w:rPr>
        <w:t>下表：</w:t>
      </w:r>
    </w:p>
    <w:p>
      <w:pPr>
        <w:pStyle w:val="8"/>
        <w:numPr>
          <w:ilvl w:val="0"/>
          <w:numId w:val="0"/>
        </w:numPr>
        <w:spacing w:after="0" w:line="5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《房屋所有权证》登记信息</w:t>
      </w:r>
    </w:p>
    <w:tbl>
      <w:tblPr>
        <w:tblStyle w:val="22"/>
        <w:tblW w:w="8828" w:type="dxa"/>
        <w:tblInd w:w="0" w:type="dxa"/>
        <w:shd w:val="clear" w:color="auto" w:fill="auto"/>
        <w:tblLayout w:type="fixed"/>
        <w:tblCellMar>
          <w:top w:w="0" w:type="dxa"/>
          <w:left w:w="0" w:type="dxa"/>
          <w:bottom w:w="0" w:type="dxa"/>
          <w:right w:w="0" w:type="dxa"/>
        </w:tblCellMar>
      </w:tblPr>
      <w:tblGrid>
        <w:gridCol w:w="1230"/>
        <w:gridCol w:w="1230"/>
        <w:gridCol w:w="912"/>
        <w:gridCol w:w="1514"/>
        <w:gridCol w:w="1314"/>
        <w:gridCol w:w="1314"/>
        <w:gridCol w:w="1314"/>
      </w:tblGrid>
      <w:tr>
        <w:tblPrEx>
          <w:shd w:val="clear" w:color="auto" w:fill="auto"/>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产权证号</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城固县房权证博望镇字第20080269号</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房屋所有权人</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李孟贤</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房屋坐落</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五郎庙乡五郎庙村六队（城许路西侧）</w:t>
            </w:r>
          </w:p>
        </w:tc>
      </w:tr>
      <w:tr>
        <w:tblPrEx>
          <w:tblLayout w:type="fixed"/>
          <w:tblCellMar>
            <w:top w:w="0" w:type="dxa"/>
            <w:left w:w="0" w:type="dxa"/>
            <w:bottom w:w="0" w:type="dxa"/>
            <w:right w:w="0" w:type="dxa"/>
          </w:tblCellMar>
        </w:tblPrEx>
        <w:trPr>
          <w:trHeight w:val="344"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产别</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私产</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幢号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房屋总层数</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所在层数</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建筑面积</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设计用途</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楼房</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266.54</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商住</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楼房</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砖木</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142.06</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住宅</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附记</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自建</w:t>
            </w:r>
          </w:p>
        </w:tc>
      </w:tr>
    </w:tbl>
    <w:p>
      <w:pPr>
        <w:pStyle w:val="4"/>
        <w:spacing w:beforeLines="50" w:afterLines="50" w:line="560" w:lineRule="exact"/>
        <w:ind w:left="-2" w:leftChars="-1" w:firstLine="551" w:firstLineChars="196"/>
        <w:rPr>
          <w:rFonts w:ascii="宋体" w:hAnsi="宋体" w:eastAsia="宋体" w:cs="宋体"/>
          <w:sz w:val="28"/>
        </w:rPr>
      </w:pPr>
      <w:r>
        <w:rPr>
          <w:rFonts w:hint="eastAsia" w:ascii="宋体" w:hAnsi="宋体" w:eastAsia="宋体" w:cs="宋体"/>
          <w:sz w:val="28"/>
        </w:rPr>
        <w:t>四、价值类型及其定义</w:t>
      </w:r>
      <w:bookmarkEnd w:id="23"/>
      <w:bookmarkEnd w:id="24"/>
    </w:p>
    <w:p>
      <w:pPr>
        <w:spacing w:line="560" w:lineRule="exact"/>
        <w:ind w:firstLine="483" w:firstLineChars="192"/>
        <w:rPr>
          <w:rFonts w:hint="eastAsia" w:ascii="宋体" w:hAnsi="宋体" w:eastAsia="宋体" w:cs="宋体"/>
          <w:spacing w:val="6"/>
          <w:lang w:eastAsia="zh-CN"/>
        </w:rPr>
      </w:pPr>
      <w:r>
        <w:rPr>
          <w:rFonts w:hint="eastAsia" w:ascii="宋体" w:hAnsi="宋体" w:eastAsia="宋体" w:cs="宋体"/>
          <w:spacing w:val="6"/>
        </w:rPr>
        <w:t>通过充分考虑本次评估目的、市场条件、评估对象自身条件因素，本次执行的资产评估业务对市场条件和评估对象等有一定的限制和要求，因此本次评估采用清算假设前提下的清算价值作为选定的价值类型</w:t>
      </w:r>
      <w:r>
        <w:rPr>
          <w:rFonts w:hint="eastAsia" w:ascii="宋体" w:hAnsi="宋体" w:eastAsia="宋体" w:cs="宋体"/>
          <w:spacing w:val="6"/>
          <w:lang w:eastAsia="zh-CN"/>
        </w:rPr>
        <w:t>。</w:t>
      </w:r>
    </w:p>
    <w:p>
      <w:pPr>
        <w:spacing w:line="560" w:lineRule="exact"/>
        <w:ind w:firstLine="483" w:firstLineChars="192"/>
        <w:rPr>
          <w:rFonts w:hint="eastAsia" w:ascii="宋体" w:hAnsi="宋体" w:eastAsia="宋体" w:cs="宋体"/>
          <w:spacing w:val="6"/>
        </w:rPr>
      </w:pPr>
      <w:r>
        <w:rPr>
          <w:rFonts w:hint="eastAsia" w:ascii="宋体" w:hAnsi="宋体" w:eastAsia="宋体" w:cs="宋体"/>
          <w:spacing w:val="6"/>
          <w:lang w:eastAsia="zh-CN"/>
        </w:rPr>
        <w:t>清算价值的定义：</w:t>
      </w:r>
      <w:r>
        <w:rPr>
          <w:rFonts w:hint="eastAsia" w:ascii="宋体" w:hAnsi="宋体" w:eastAsia="宋体" w:cs="宋体"/>
          <w:spacing w:val="6"/>
        </w:rPr>
        <w:t>清算价值是指在评估对象处于被迫出售、快速变现等非正常市场条件下的价值估计数额。清算假设是对资产拟进入市场条件的一种假定说明或限定。具体而言，是对资产在非公开市场条件下被迫出售或快速变现条件的假定说明。清算假设首先是基于被评估资产面临清算或具体潜在的被清算的事实或可能性，再根据相应数据资料推定被评估资产处于被迫出售或快速变现的状态。</w:t>
      </w:r>
    </w:p>
    <w:p>
      <w:pPr>
        <w:spacing w:line="560" w:lineRule="exact"/>
        <w:ind w:firstLine="483" w:firstLineChars="192"/>
        <w:rPr>
          <w:rFonts w:hint="eastAsia" w:ascii="宋体" w:hAnsi="宋体" w:eastAsia="宋体" w:cs="宋体"/>
          <w:spacing w:val="6"/>
        </w:rPr>
      </w:pPr>
      <w:r>
        <w:rPr>
          <w:rFonts w:hint="eastAsia" w:ascii="宋体" w:hAnsi="宋体" w:eastAsia="宋体" w:cs="宋体"/>
          <w:spacing w:val="6"/>
          <w:lang w:eastAsia="zh-CN"/>
        </w:rPr>
        <w:t>选择清算价值的理由：选择的价值类型主要是根据评估目的而定。</w:t>
      </w:r>
      <w:r>
        <w:rPr>
          <w:rFonts w:hint="eastAsia" w:ascii="宋体" w:hAnsi="宋体" w:eastAsia="宋体" w:cs="宋体"/>
          <w:spacing w:val="6"/>
        </w:rPr>
        <w:t>（1）</w:t>
      </w:r>
      <w:r>
        <w:rPr>
          <w:rFonts w:hint="eastAsia" w:ascii="宋体" w:hAnsi="宋体" w:eastAsia="宋体" w:cs="宋体"/>
          <w:spacing w:val="6"/>
          <w:lang w:eastAsia="zh-CN"/>
        </w:rPr>
        <w:t>本次</w:t>
      </w:r>
      <w:r>
        <w:rPr>
          <w:rFonts w:hint="eastAsia" w:ascii="宋体" w:hAnsi="宋体" w:eastAsia="宋体" w:cs="宋体"/>
          <w:spacing w:val="6"/>
        </w:rPr>
        <w:t>评估对象面临被迫出售、快速变现或者评估对象具有潜在被迫出售、快速变现等情况，</w:t>
      </w:r>
      <w:r>
        <w:rPr>
          <w:rFonts w:hint="eastAsia" w:ascii="宋体" w:hAnsi="宋体" w:eastAsia="宋体" w:cs="宋体"/>
          <w:spacing w:val="6"/>
          <w:lang w:eastAsia="zh-CN"/>
        </w:rPr>
        <w:t>因此</w:t>
      </w:r>
      <w:r>
        <w:rPr>
          <w:rFonts w:hint="eastAsia" w:ascii="宋体" w:hAnsi="宋体" w:eastAsia="宋体" w:cs="宋体"/>
          <w:spacing w:val="6"/>
        </w:rPr>
        <w:t>选择清算价值类型。</w:t>
      </w:r>
      <w:r>
        <w:rPr>
          <w:rFonts w:hint="eastAsia" w:ascii="宋体" w:hAnsi="宋体" w:eastAsia="宋体" w:cs="宋体"/>
          <w:spacing w:val="6"/>
        </w:rPr>
        <w:br w:type="textWrapping"/>
      </w:r>
      <w:r>
        <w:rPr>
          <w:rFonts w:hint="eastAsia" w:ascii="宋体" w:hAnsi="宋体" w:eastAsia="宋体" w:cs="宋体"/>
          <w:spacing w:val="6"/>
        </w:rPr>
        <w:t>（2）评估对象是处于强制清算过程中</w:t>
      </w:r>
      <w:r>
        <w:rPr>
          <w:rFonts w:hint="eastAsia" w:ascii="宋体" w:hAnsi="宋体" w:eastAsia="宋体" w:cs="宋体"/>
          <w:spacing w:val="6"/>
          <w:lang w:eastAsia="zh-CN"/>
        </w:rPr>
        <w:t>。</w:t>
      </w:r>
      <w:r>
        <w:rPr>
          <w:rFonts w:hint="eastAsia" w:ascii="宋体" w:hAnsi="宋体" w:eastAsia="宋体" w:cs="宋体"/>
          <w:spacing w:val="6"/>
        </w:rPr>
        <w:t>所谓强制清算是指该清算行为已经不在资产所有者控制之下进行，这种清算可能受法院或者法院指定的清算组控制，或者由债权人控制等。</w:t>
      </w:r>
    </w:p>
    <w:p>
      <w:pPr>
        <w:pStyle w:val="4"/>
        <w:spacing w:beforeLines="50" w:afterLines="50" w:line="560" w:lineRule="exact"/>
        <w:ind w:left="-2" w:leftChars="-1" w:firstLine="551" w:firstLineChars="196"/>
        <w:rPr>
          <w:rFonts w:ascii="宋体" w:hAnsi="宋体" w:eastAsia="宋体" w:cs="宋体"/>
          <w:b w:val="0"/>
          <w:bCs w:val="0"/>
          <w:w w:val="96"/>
          <w:sz w:val="28"/>
        </w:rPr>
      </w:pPr>
      <w:bookmarkStart w:id="25" w:name="_Toc17365"/>
      <w:bookmarkStart w:id="26" w:name="_Toc29360"/>
      <w:r>
        <w:rPr>
          <w:rFonts w:hint="eastAsia" w:ascii="宋体" w:hAnsi="宋体" w:eastAsia="宋体" w:cs="宋体"/>
          <w:sz w:val="28"/>
        </w:rPr>
        <w:t>五、评估基准日</w:t>
      </w:r>
      <w:bookmarkEnd w:id="25"/>
      <w:bookmarkEnd w:id="26"/>
    </w:p>
    <w:p>
      <w:pPr>
        <w:pStyle w:val="8"/>
        <w:spacing w:line="560" w:lineRule="exact"/>
        <w:ind w:left="0" w:leftChars="0" w:firstLine="534"/>
        <w:rPr>
          <w:rFonts w:ascii="宋体" w:hAnsi="宋体" w:cs="宋体"/>
          <w:sz w:val="24"/>
        </w:rPr>
      </w:pPr>
      <w:bookmarkStart w:id="27" w:name="_Toc12466"/>
      <w:r>
        <w:rPr>
          <w:rFonts w:hint="eastAsia" w:ascii="宋体" w:hAnsi="宋体" w:cs="宋体"/>
          <w:sz w:val="24"/>
        </w:rPr>
        <w:t>本次评估基准日期以现场勘验日期为准，即本资产评估项目评估基准日为</w:t>
      </w:r>
      <w:r>
        <w:rPr>
          <w:rFonts w:hint="eastAsia" w:ascii="宋体" w:hAnsi="宋体" w:cs="宋体"/>
          <w:sz w:val="24"/>
          <w:lang w:eastAsia="zh-CN"/>
        </w:rPr>
        <w:t>2019年6月11日</w:t>
      </w:r>
      <w:r>
        <w:rPr>
          <w:rFonts w:hint="eastAsia" w:ascii="宋体" w:hAnsi="宋体" w:cs="宋体"/>
          <w:sz w:val="24"/>
        </w:rPr>
        <w:t>，评估中所采用的价格是评估基准日的标准。</w:t>
      </w:r>
    </w:p>
    <w:p>
      <w:pPr>
        <w:pStyle w:val="4"/>
        <w:spacing w:beforeLines="50" w:afterLines="50" w:line="560" w:lineRule="exact"/>
        <w:ind w:left="-2" w:leftChars="-1" w:firstLine="551" w:firstLineChars="196"/>
        <w:rPr>
          <w:rFonts w:ascii="宋体" w:hAnsi="宋体" w:eastAsia="宋体" w:cs="宋体"/>
          <w:sz w:val="28"/>
        </w:rPr>
      </w:pPr>
      <w:bookmarkStart w:id="28" w:name="_Toc16204"/>
      <w:r>
        <w:rPr>
          <w:rFonts w:hint="eastAsia" w:ascii="宋体" w:hAnsi="宋体" w:eastAsia="宋体" w:cs="宋体"/>
          <w:sz w:val="28"/>
        </w:rPr>
        <w:t>六、评估依据</w:t>
      </w:r>
      <w:bookmarkEnd w:id="27"/>
      <w:bookmarkEnd w:id="28"/>
    </w:p>
    <w:p>
      <w:pPr>
        <w:numPr>
          <w:ilvl w:val="0"/>
          <w:numId w:val="6"/>
        </w:numPr>
        <w:tabs>
          <w:tab w:val="left" w:pos="1080"/>
          <w:tab w:val="left" w:pos="1276"/>
          <w:tab w:val="left" w:pos="1418"/>
          <w:tab w:val="clear" w:pos="0"/>
        </w:tabs>
        <w:spacing w:line="560" w:lineRule="exact"/>
        <w:ind w:firstLine="364" w:firstLineChars="151"/>
        <w:rPr>
          <w:rFonts w:ascii="宋体" w:hAnsi="宋体" w:eastAsia="宋体" w:cs="宋体"/>
          <w:b/>
          <w:szCs w:val="28"/>
        </w:rPr>
      </w:pPr>
      <w:r>
        <w:rPr>
          <w:rFonts w:ascii="宋体" w:hAnsi="宋体" w:eastAsia="宋体" w:cs="宋体"/>
          <w:b/>
          <w:szCs w:val="28"/>
        </w:rPr>
        <w:t>行为依据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cs="宋体" w:asciiTheme="minorEastAsia" w:hAnsiTheme="minorEastAsia" w:eastAsiaTheme="minorEastAsia"/>
        </w:rPr>
      </w:pPr>
      <w:r>
        <w:rPr>
          <w:rFonts w:hint="eastAsia" w:ascii="宋体" w:hAnsi="宋体" w:eastAsia="宋体" w:cs="宋体"/>
          <w:lang w:val="en-US" w:eastAsia="zh-CN"/>
        </w:rPr>
        <w:t>城固县人民法院提供的</w:t>
      </w:r>
      <w:r>
        <w:rPr>
          <w:rFonts w:hint="eastAsia" w:cs="宋体" w:asciiTheme="minorEastAsia" w:hAnsiTheme="minorEastAsia" w:eastAsiaTheme="minorEastAsia"/>
          <w:lang w:eastAsia="zh-CN"/>
        </w:rPr>
        <w:t>（2019）陕0722执303、818号</w:t>
      </w:r>
      <w:r>
        <w:rPr>
          <w:rFonts w:hint="eastAsia" w:ascii="宋体" w:hAnsi="宋体" w:cs="宋体"/>
        </w:rPr>
        <w:t>《陕西省城固县人民法院评估委托书</w:t>
      </w:r>
      <w:r>
        <w:rPr>
          <w:rFonts w:hint="eastAsia" w:cs="宋体" w:asciiTheme="minorEastAsia" w:hAnsiTheme="minorEastAsia" w:eastAsiaTheme="minorEastAsia"/>
        </w:rPr>
        <w:t>》；</w:t>
      </w:r>
    </w:p>
    <w:p>
      <w:pPr>
        <w:numPr>
          <w:ilvl w:val="0"/>
          <w:numId w:val="6"/>
        </w:numPr>
        <w:tabs>
          <w:tab w:val="left" w:pos="1080"/>
          <w:tab w:val="left" w:pos="1418"/>
          <w:tab w:val="clear" w:pos="0"/>
        </w:tabs>
        <w:spacing w:line="560" w:lineRule="exact"/>
        <w:ind w:firstLine="364" w:firstLineChars="151"/>
        <w:rPr>
          <w:rFonts w:ascii="宋体" w:hAnsi="宋体" w:eastAsia="宋体" w:cs="宋体"/>
          <w:b/>
          <w:szCs w:val="28"/>
        </w:rPr>
      </w:pPr>
      <w:r>
        <w:rPr>
          <w:rFonts w:hint="eastAsia" w:ascii="宋体" w:hAnsi="宋体" w:eastAsia="宋体" w:cs="宋体"/>
          <w:b/>
          <w:szCs w:val="28"/>
        </w:rPr>
        <w:t>法律依据</w:t>
      </w:r>
    </w:p>
    <w:p>
      <w:pPr>
        <w:numPr>
          <w:ilvl w:val="0"/>
          <w:numId w:val="7"/>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中华人民共和国主席令第46号《中华人民共和国资产评估法》（2016年7月2日）；</w:t>
      </w:r>
    </w:p>
    <w:p>
      <w:pPr>
        <w:numPr>
          <w:ilvl w:val="0"/>
          <w:numId w:val="7"/>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《中华人民共和国物权法》（中华人民共和国主席令第62号）；</w:t>
      </w:r>
    </w:p>
    <w:p>
      <w:pPr>
        <w:numPr>
          <w:ilvl w:val="0"/>
          <w:numId w:val="7"/>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第十届全国人民代表大会常务委员会第二十九次会议修订中华人民共和国主席令第72号《中华人民共和国城市房地产管理法》（2007年8月30日）；</w:t>
      </w:r>
    </w:p>
    <w:p>
      <w:pPr>
        <w:numPr>
          <w:ilvl w:val="0"/>
          <w:numId w:val="7"/>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建设部《中华人民共和国国家标准房地产估价规范》（GB/T50291-2015）；</w:t>
      </w:r>
    </w:p>
    <w:p>
      <w:pPr>
        <w:numPr>
          <w:ilvl w:val="0"/>
          <w:numId w:val="7"/>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《最高人民法院关于人民法院委托评估、拍卖工作的若干规定》（法释【2011】21号及实施有关问题的通知（法释【2012】30号；</w:t>
      </w:r>
    </w:p>
    <w:p>
      <w:pPr>
        <w:numPr>
          <w:ilvl w:val="0"/>
          <w:numId w:val="7"/>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《最高人民法院关于人民法院确定财产处置参考价若干问题的规定》（法释【2018】15号，自2018年9月1日起施行）；</w:t>
      </w:r>
    </w:p>
    <w:p>
      <w:pPr>
        <w:numPr>
          <w:ilvl w:val="0"/>
          <w:numId w:val="7"/>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《人民法院委托评估工作规范》（法办[2018]273号）；</w:t>
      </w:r>
    </w:p>
    <w:p>
      <w:pPr>
        <w:numPr>
          <w:ilvl w:val="0"/>
          <w:numId w:val="7"/>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其他与资产评估相关的法律、法规等</w:t>
      </w:r>
      <w:r>
        <w:rPr>
          <w:rFonts w:hint="eastAsia" w:ascii="宋体" w:hAnsi="宋体" w:eastAsia="宋体"/>
          <w:spacing w:val="6"/>
          <w:lang w:eastAsia="zh-CN"/>
        </w:rPr>
        <w:t>。</w:t>
      </w:r>
    </w:p>
    <w:p>
      <w:pPr>
        <w:numPr>
          <w:ilvl w:val="0"/>
          <w:numId w:val="6"/>
        </w:numPr>
        <w:tabs>
          <w:tab w:val="left" w:pos="1080"/>
          <w:tab w:val="left" w:pos="1134"/>
          <w:tab w:val="left" w:pos="1418"/>
          <w:tab w:val="clear" w:pos="0"/>
        </w:tabs>
        <w:spacing w:line="560" w:lineRule="exact"/>
        <w:ind w:firstLine="424" w:firstLineChars="151"/>
        <w:rPr>
          <w:rFonts w:ascii="宋体" w:hAnsi="宋体" w:eastAsia="宋体" w:cs="宋体"/>
          <w:b/>
          <w:sz w:val="28"/>
          <w:szCs w:val="28"/>
        </w:rPr>
      </w:pPr>
      <w:r>
        <w:rPr>
          <w:rFonts w:hint="eastAsia" w:ascii="宋体" w:hAnsi="宋体" w:eastAsia="宋体" w:cs="宋体"/>
          <w:b/>
          <w:sz w:val="28"/>
          <w:szCs w:val="28"/>
        </w:rPr>
        <w:t>准则依据</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财政部《资产评估基本准则》财资〔</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43</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8</w:t>
      </w:r>
      <w:r>
        <w:rPr>
          <w:rFonts w:hint="eastAsia" w:ascii="宋体" w:hAnsi="宋体" w:eastAsia="宋体" w:cs="宋体"/>
          <w:szCs w:val="28"/>
        </w:rPr>
        <w:t>月</w:t>
      </w:r>
      <w:r>
        <w:rPr>
          <w:rFonts w:ascii="宋体" w:hAnsi="宋体" w:eastAsia="宋体" w:cs="宋体"/>
          <w:szCs w:val="28"/>
        </w:rPr>
        <w:t>29</w:t>
      </w:r>
      <w:r>
        <w:rPr>
          <w:rFonts w:hint="eastAsia" w:ascii="宋体" w:hAnsi="宋体" w:eastAsia="宋体" w:cs="宋体"/>
          <w:szCs w:val="28"/>
        </w:rPr>
        <w:t>日）；</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中国资产评估协会《资产评估职业道德准则》中评协〔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30</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中国资产评估协会《资产评估执业准则——资产评估程序》中评协〔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31</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中国资产评估协会《资产评估执业准则——资产评估报告》中评协〔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32</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中国资产评估协会《资产评估执业准则——资产评估委托合同》中评协〔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33</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中国资产评估协会《资产评估执业准则——资产评估档案》中评协〔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34</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中国资产评估协会《资产评估执业准则——不动产》中评协〔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38</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中国资产评估协会《企业国有资产评估报告指南》中评协〔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42</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日修订）；</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中国资产评估协会《资产评估机构业务质量控制指南》中评协〔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46</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中国资产评估协会《资产评估价值类型指导意见》中评协〔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47</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日修订）；</w:t>
      </w:r>
    </w:p>
    <w:p>
      <w:pPr>
        <w:numPr>
          <w:ilvl w:val="0"/>
          <w:numId w:val="8"/>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中国资产评估协会《资产评估对象法律权属指导意见》中评协〔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48</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r>
        <w:rPr>
          <w:rFonts w:hint="eastAsia" w:ascii="宋体" w:hAnsi="宋体" w:eastAsia="宋体" w:cs="宋体"/>
          <w:szCs w:val="28"/>
          <w:lang w:eastAsia="zh-CN"/>
        </w:rPr>
        <w:t>。</w:t>
      </w:r>
    </w:p>
    <w:p>
      <w:pPr>
        <w:numPr>
          <w:ilvl w:val="0"/>
          <w:numId w:val="6"/>
        </w:numPr>
        <w:tabs>
          <w:tab w:val="left" w:pos="1080"/>
          <w:tab w:val="left" w:pos="1276"/>
          <w:tab w:val="clear" w:pos="0"/>
        </w:tabs>
        <w:spacing w:line="560" w:lineRule="exact"/>
        <w:ind w:firstLine="424" w:firstLineChars="151"/>
        <w:rPr>
          <w:rFonts w:ascii="宋体" w:hAnsi="宋体" w:eastAsia="宋体" w:cs="宋体"/>
          <w:b/>
          <w:color w:val="auto"/>
          <w:sz w:val="28"/>
          <w:szCs w:val="28"/>
        </w:rPr>
      </w:pPr>
      <w:r>
        <w:rPr>
          <w:rFonts w:hint="eastAsia" w:ascii="宋体" w:hAnsi="宋体" w:eastAsia="宋体" w:cs="宋体"/>
          <w:b/>
          <w:color w:val="auto"/>
          <w:sz w:val="28"/>
          <w:szCs w:val="28"/>
        </w:rPr>
        <w:t>权属依据</w:t>
      </w:r>
    </w:p>
    <w:p>
      <w:pPr>
        <w:pStyle w:val="51"/>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auto"/>
          <w:lang w:eastAsia="zh-CN"/>
        </w:rPr>
      </w:pPr>
      <w:r>
        <w:rPr>
          <w:rFonts w:hint="eastAsia" w:ascii="宋体" w:hAnsi="宋体" w:eastAsia="宋体" w:cs="宋体"/>
          <w:color w:val="auto"/>
          <w:lang w:eastAsia="zh-CN"/>
        </w:rPr>
        <w:t>城固县房权证博望镇字第20080269号《</w:t>
      </w:r>
      <w:r>
        <w:rPr>
          <w:rFonts w:hint="eastAsia" w:ascii="宋体" w:hAnsi="宋体" w:eastAsia="宋体" w:cs="宋体"/>
          <w:color w:val="auto"/>
          <w:lang w:val="en-US" w:eastAsia="zh-CN"/>
        </w:rPr>
        <w:t>房屋所有权</w:t>
      </w:r>
      <w:r>
        <w:rPr>
          <w:rFonts w:hint="eastAsia" w:ascii="宋体" w:hAnsi="宋体" w:eastAsia="宋体" w:cs="宋体"/>
          <w:color w:val="auto"/>
          <w:lang w:eastAsia="zh-CN"/>
        </w:rPr>
        <w:t>证》复印件；</w:t>
      </w:r>
    </w:p>
    <w:p>
      <w:pPr>
        <w:numPr>
          <w:ilvl w:val="0"/>
          <w:numId w:val="6"/>
        </w:numPr>
        <w:tabs>
          <w:tab w:val="left" w:pos="1080"/>
          <w:tab w:val="left" w:pos="1276"/>
          <w:tab w:val="left" w:pos="1418"/>
          <w:tab w:val="clear" w:pos="0"/>
        </w:tabs>
        <w:spacing w:line="560" w:lineRule="exact"/>
        <w:ind w:firstLine="424" w:firstLineChars="151"/>
        <w:rPr>
          <w:rFonts w:ascii="宋体" w:hAnsi="宋体" w:eastAsia="宋体"/>
          <w:spacing w:val="6"/>
          <w:highlight w:val="none"/>
        </w:rPr>
      </w:pPr>
      <w:r>
        <w:rPr>
          <w:rFonts w:hint="eastAsia" w:ascii="宋体" w:hAnsi="宋体" w:eastAsia="宋体" w:cs="宋体"/>
          <w:b/>
          <w:sz w:val="28"/>
          <w:szCs w:val="28"/>
          <w:highlight w:val="none"/>
        </w:rPr>
        <w:t>取价依据</w:t>
      </w:r>
    </w:p>
    <w:p>
      <w:pPr>
        <w:keepNext w:val="0"/>
        <w:keepLines w:val="0"/>
        <w:pageBreakBefore w:val="0"/>
        <w:widowControl w:val="0"/>
        <w:numPr>
          <w:ilvl w:val="0"/>
          <w:numId w:val="9"/>
        </w:numPr>
        <w:tabs>
          <w:tab w:val="left" w:pos="0"/>
          <w:tab w:val="left" w:pos="284"/>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spacing w:val="6"/>
        </w:rPr>
      </w:pPr>
      <w:bookmarkStart w:id="29" w:name="_Toc9838"/>
      <w:bookmarkStart w:id="30" w:name="_Toc8067"/>
      <w:r>
        <w:rPr>
          <w:rFonts w:hint="eastAsia" w:ascii="宋体" w:hAnsi="宋体" w:eastAsia="宋体" w:cs="宋体"/>
          <w:spacing w:val="6"/>
        </w:rPr>
        <w:t>《2011~2012版资产评估常用数据与参数手册》（中国经济科学出版社）；</w:t>
      </w:r>
    </w:p>
    <w:p>
      <w:pPr>
        <w:keepNext w:val="0"/>
        <w:keepLines w:val="0"/>
        <w:pageBreakBefore w:val="0"/>
        <w:widowControl w:val="0"/>
        <w:numPr>
          <w:ilvl w:val="0"/>
          <w:numId w:val="9"/>
        </w:numPr>
        <w:tabs>
          <w:tab w:val="left" w:pos="420"/>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rPr>
      </w:pPr>
      <w:r>
        <w:rPr>
          <w:rFonts w:hint="eastAsia" w:ascii="宋体" w:hAnsi="宋体" w:eastAsia="宋体" w:cs="宋体"/>
        </w:rPr>
        <w:t>国家建设部颁发的《房屋建筑物完损等级评定标准》及有关房屋折旧年限的规定文件资料；</w:t>
      </w:r>
    </w:p>
    <w:p>
      <w:pPr>
        <w:keepNext w:val="0"/>
        <w:keepLines w:val="0"/>
        <w:pageBreakBefore w:val="0"/>
        <w:widowControl w:val="0"/>
        <w:numPr>
          <w:ilvl w:val="0"/>
          <w:numId w:val="9"/>
        </w:numPr>
        <w:tabs>
          <w:tab w:val="left" w:pos="0"/>
          <w:tab w:val="left" w:pos="284"/>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spacing w:val="6"/>
        </w:rPr>
      </w:pPr>
      <w:r>
        <w:rPr>
          <w:rFonts w:hint="eastAsia" w:ascii="宋体" w:hAnsi="宋体" w:eastAsia="宋体" w:cs="宋体"/>
          <w:spacing w:val="6"/>
        </w:rPr>
        <w:t>国家计委 建设部关于发布《工程勘查设计收费管理规定》的通知(计价格[2002]10号，2002年1月7日)；</w:t>
      </w:r>
    </w:p>
    <w:p>
      <w:pPr>
        <w:keepNext w:val="0"/>
        <w:keepLines w:val="0"/>
        <w:pageBreakBefore w:val="0"/>
        <w:widowControl w:val="0"/>
        <w:numPr>
          <w:ilvl w:val="0"/>
          <w:numId w:val="9"/>
        </w:numPr>
        <w:tabs>
          <w:tab w:val="left" w:pos="0"/>
          <w:tab w:val="left" w:pos="284"/>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spacing w:val="6"/>
        </w:rPr>
      </w:pPr>
      <w:r>
        <w:rPr>
          <w:rFonts w:hint="eastAsia" w:ascii="宋体" w:hAnsi="宋体" w:eastAsia="宋体" w:cs="宋体"/>
          <w:spacing w:val="6"/>
        </w:rPr>
        <w:t>中国人民银行现行贷款利率；</w:t>
      </w:r>
    </w:p>
    <w:p>
      <w:pPr>
        <w:keepNext w:val="0"/>
        <w:keepLines w:val="0"/>
        <w:pageBreakBefore w:val="0"/>
        <w:widowControl w:val="0"/>
        <w:numPr>
          <w:ilvl w:val="0"/>
          <w:numId w:val="9"/>
        </w:numPr>
        <w:tabs>
          <w:tab w:val="left" w:pos="0"/>
          <w:tab w:val="left" w:pos="284"/>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spacing w:val="6"/>
        </w:rPr>
      </w:pPr>
      <w:r>
        <w:rPr>
          <w:rFonts w:hint="eastAsia" w:ascii="宋体" w:hAnsi="宋体" w:eastAsia="宋体" w:cs="宋体"/>
          <w:spacing w:val="6"/>
        </w:rPr>
        <w:t>国家计委关于印发《招标代理服务收费管理暂行办法》的通知（计价格[2002]1980号，2002年10月15日）；</w:t>
      </w:r>
    </w:p>
    <w:p>
      <w:pPr>
        <w:keepNext w:val="0"/>
        <w:keepLines w:val="0"/>
        <w:pageBreakBefore w:val="0"/>
        <w:widowControl w:val="0"/>
        <w:numPr>
          <w:ilvl w:val="0"/>
          <w:numId w:val="9"/>
        </w:numPr>
        <w:tabs>
          <w:tab w:val="left" w:pos="0"/>
          <w:tab w:val="left" w:pos="284"/>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spacing w:val="6"/>
        </w:rPr>
      </w:pPr>
      <w:r>
        <w:rPr>
          <w:rFonts w:hint="eastAsia" w:ascii="宋体" w:hAnsi="宋体" w:eastAsia="宋体" w:cs="宋体"/>
          <w:spacing w:val="6"/>
        </w:rPr>
        <w:t>国家发改委、建设部关于印发《建设工程监理与相关服务收费管理规定》的通知（发改价字[2007]670号，2007年3月30日）；</w:t>
      </w:r>
    </w:p>
    <w:p>
      <w:pPr>
        <w:numPr>
          <w:ilvl w:val="0"/>
          <w:numId w:val="9"/>
        </w:numPr>
        <w:tabs>
          <w:tab w:val="left" w:pos="0"/>
          <w:tab w:val="left" w:pos="284"/>
          <w:tab w:val="left" w:pos="720"/>
          <w:tab w:val="left" w:pos="960"/>
        </w:tabs>
        <w:spacing w:line="560" w:lineRule="exact"/>
        <w:ind w:left="0" w:leftChars="0" w:firstLine="400" w:firstLineChars="0"/>
        <w:rPr>
          <w:rFonts w:hint="eastAsia" w:ascii="宋体" w:hAnsi="宋体" w:eastAsia="宋体"/>
          <w:spacing w:val="6"/>
        </w:rPr>
      </w:pPr>
      <w:r>
        <w:rPr>
          <w:rFonts w:hint="eastAsia" w:ascii="宋体" w:hAnsi="宋体" w:eastAsia="宋体"/>
          <w:spacing w:val="6"/>
        </w:rPr>
        <w:t>汉中市建设工程造价管理办公室2016年3月公布的《汉中市二0一五年房屋建筑社会平均建筑安装造价参考指标》；</w:t>
      </w:r>
    </w:p>
    <w:p>
      <w:pPr>
        <w:numPr>
          <w:ilvl w:val="0"/>
          <w:numId w:val="9"/>
        </w:numPr>
        <w:tabs>
          <w:tab w:val="left" w:pos="0"/>
          <w:tab w:val="left" w:pos="284"/>
          <w:tab w:val="left" w:pos="960"/>
          <w:tab w:val="left" w:pos="1200"/>
        </w:tabs>
        <w:spacing w:line="560" w:lineRule="exact"/>
        <w:ind w:left="0" w:leftChars="0" w:firstLine="400" w:firstLineChars="0"/>
        <w:rPr>
          <w:rFonts w:hint="eastAsia" w:ascii="宋体" w:hAnsi="宋体" w:eastAsia="宋体"/>
          <w:spacing w:val="6"/>
        </w:rPr>
      </w:pPr>
      <w:r>
        <w:rPr>
          <w:rFonts w:hint="eastAsia" w:ascii="宋体" w:hAnsi="宋体" w:eastAsia="宋体"/>
          <w:spacing w:val="6"/>
        </w:rPr>
        <w:t>汉中建设工程造价信息201</w:t>
      </w:r>
      <w:r>
        <w:rPr>
          <w:rFonts w:hint="eastAsia" w:ascii="宋体" w:hAnsi="宋体" w:eastAsia="宋体"/>
          <w:spacing w:val="6"/>
          <w:lang w:val="en-US" w:eastAsia="zh-CN"/>
        </w:rPr>
        <w:t>9</w:t>
      </w:r>
      <w:r>
        <w:rPr>
          <w:rFonts w:hint="eastAsia" w:ascii="宋体" w:hAnsi="宋体" w:eastAsia="宋体"/>
          <w:spacing w:val="6"/>
        </w:rPr>
        <w:t>年（汉中市建设工程造价管理办公室）；</w:t>
      </w:r>
    </w:p>
    <w:p>
      <w:pPr>
        <w:numPr>
          <w:ilvl w:val="0"/>
          <w:numId w:val="9"/>
        </w:numPr>
        <w:tabs>
          <w:tab w:val="left" w:pos="0"/>
          <w:tab w:val="left" w:pos="284"/>
          <w:tab w:val="left" w:pos="960"/>
        </w:tabs>
        <w:spacing w:line="560" w:lineRule="exact"/>
        <w:ind w:left="0" w:leftChars="0" w:firstLine="400" w:firstLineChars="0"/>
        <w:rPr>
          <w:rFonts w:hint="eastAsia" w:ascii="宋体" w:hAnsi="宋体" w:eastAsia="宋体"/>
          <w:spacing w:val="6"/>
        </w:rPr>
      </w:pPr>
      <w:r>
        <w:rPr>
          <w:rFonts w:hint="eastAsia" w:ascii="宋体" w:hAnsi="宋体" w:eastAsia="宋体"/>
          <w:spacing w:val="6"/>
        </w:rPr>
        <w:t>搜集的相关价格信息、评估师现场察看和市场调查取得的与估价相关的资料。</w:t>
      </w:r>
    </w:p>
    <w:p>
      <w:pPr>
        <w:pStyle w:val="4"/>
        <w:tabs>
          <w:tab w:val="left" w:pos="993"/>
        </w:tabs>
        <w:spacing w:beforeLines="50" w:afterLines="50" w:line="560" w:lineRule="exact"/>
        <w:ind w:left="-2" w:leftChars="-1" w:firstLine="551" w:firstLineChars="196"/>
        <w:rPr>
          <w:rFonts w:ascii="宋体" w:hAnsi="宋体" w:eastAsia="宋体" w:cs="宋体"/>
          <w:sz w:val="28"/>
        </w:rPr>
      </w:pPr>
      <w:r>
        <w:rPr>
          <w:rFonts w:hint="eastAsia" w:ascii="宋体" w:hAnsi="宋体" w:eastAsia="宋体" w:cs="宋体"/>
          <w:sz w:val="28"/>
        </w:rPr>
        <w:t>七、评估方法</w:t>
      </w:r>
      <w:bookmarkEnd w:id="29"/>
      <w:bookmarkEnd w:id="30"/>
    </w:p>
    <w:p>
      <w:pPr>
        <w:widowControl/>
        <w:numPr>
          <w:ilvl w:val="1"/>
          <w:numId w:val="10"/>
        </w:numPr>
        <w:tabs>
          <w:tab w:val="left" w:pos="1134"/>
        </w:tabs>
        <w:spacing w:line="560" w:lineRule="exact"/>
        <w:ind w:hanging="755" w:firstLineChars="0"/>
        <w:jc w:val="left"/>
        <w:rPr>
          <w:kern w:val="0"/>
          <w:highlight w:val="none"/>
        </w:rPr>
      </w:pPr>
      <w:bookmarkStart w:id="31" w:name="_Toc558"/>
      <w:r>
        <w:rPr>
          <w:rFonts w:hint="eastAsia" w:ascii="宋体" w:hAnsi="宋体" w:eastAsia="宋体" w:cs="宋体"/>
          <w:highlight w:val="none"/>
        </w:rPr>
        <w:t>评估方法的选择</w:t>
      </w:r>
    </w:p>
    <w:p>
      <w:pPr>
        <w:pStyle w:val="8"/>
        <w:spacing w:line="560" w:lineRule="exact"/>
        <w:ind w:left="0" w:leftChars="0" w:firstLine="480" w:firstLineChars="200"/>
        <w:rPr>
          <w:rFonts w:hint="eastAsia" w:ascii="宋体" w:hAnsi="宋体" w:eastAsia="宋体" w:cs="宋体"/>
          <w:color w:val="auto"/>
          <w:sz w:val="24"/>
          <w:szCs w:val="24"/>
          <w:highlight w:val="none"/>
          <w:lang w:val="en-US" w:eastAsia="zh-CN" w:bidi="ar-SA"/>
        </w:rPr>
      </w:pPr>
      <w:bookmarkStart w:id="32" w:name="OLE_LINK3"/>
      <w:r>
        <w:rPr>
          <w:rFonts w:hint="eastAsia" w:ascii="宋体" w:hAnsi="宋体" w:eastAsia="宋体" w:cs="宋体"/>
          <w:color w:val="auto"/>
          <w:sz w:val="24"/>
          <w:szCs w:val="24"/>
          <w:highlight w:val="none"/>
          <w:lang w:val="en-US" w:eastAsia="zh-CN" w:bidi="ar-SA"/>
        </w:rPr>
        <w:t>资产评估的基本方法包括收益法、市场法和成本法。</w:t>
      </w:r>
      <w:bookmarkEnd w:id="32"/>
      <w:r>
        <w:rPr>
          <w:rFonts w:hint="eastAsia" w:ascii="宋体" w:hAnsi="宋体" w:eastAsia="宋体" w:cs="宋体"/>
          <w:color w:val="auto"/>
          <w:sz w:val="24"/>
          <w:szCs w:val="24"/>
          <w:highlight w:val="none"/>
          <w:lang w:val="en-US" w:eastAsia="zh-CN" w:bidi="ar-SA"/>
        </w:rPr>
        <w:t xml:space="preserve"> 对于房屋建筑物类资产，根据本次评估的目的及被评估资产的特点，</w:t>
      </w:r>
      <w:r>
        <w:rPr>
          <w:rFonts w:hint="eastAsia" w:ascii="宋体" w:hAnsi="宋体" w:cs="宋体"/>
          <w:color w:val="auto"/>
          <w:sz w:val="24"/>
          <w:szCs w:val="24"/>
          <w:highlight w:val="none"/>
          <w:lang w:val="en-US" w:eastAsia="zh-CN" w:bidi="ar-SA"/>
        </w:rPr>
        <w:t>委估房屋为自建房，</w:t>
      </w:r>
      <w:r>
        <w:rPr>
          <w:rFonts w:hint="eastAsia" w:ascii="宋体" w:hAnsi="宋体" w:eastAsia="宋体" w:cs="宋体"/>
          <w:kern w:val="0"/>
          <w:sz w:val="24"/>
          <w:szCs w:val="24"/>
          <w:lang w:val="en-US" w:eastAsia="zh-CN" w:bidi="ar-SA"/>
        </w:rPr>
        <w:t>该区域内同类型房产交易案例较少，评估人员未收集到近期类似交易案例，因此本次评估不宜采用市场法；由于评估对象经营收入情况及净收益情况无法获取，因此用净收益测算房地产价格无法实现；所处区域内相似的房屋建筑物中没有可供参照的出租案例，区域外的租赁案例又不具有可比性，因此在无法了解该类房屋建筑物的市场租金水平及无相关收益资料的情况下无法采用收益法；由于该区域内房屋建筑物的建设资料易搜集到，区域内房屋建筑物的平均建造成本较易获得，成本法也具有评估合理性的一面，能够保守的测算出评估对象的现有价值，因此本次房屋建构筑物评估可采用成本法进行评估；</w:t>
      </w:r>
    </w:p>
    <w:p>
      <w:pPr>
        <w:widowControl/>
        <w:numPr>
          <w:ilvl w:val="1"/>
          <w:numId w:val="10"/>
        </w:numPr>
        <w:tabs>
          <w:tab w:val="left" w:pos="1134"/>
        </w:tabs>
        <w:spacing w:line="560" w:lineRule="exact"/>
        <w:ind w:hanging="755" w:firstLineChars="0"/>
        <w:jc w:val="left"/>
        <w:rPr>
          <w:rFonts w:ascii="宋体" w:hAnsi="宋体" w:eastAsia="宋体" w:cs="宋体"/>
        </w:rPr>
      </w:pPr>
      <w:r>
        <w:rPr>
          <w:rFonts w:hint="eastAsia" w:ascii="宋体" w:hAnsi="宋体" w:eastAsia="宋体" w:cs="宋体"/>
        </w:rPr>
        <w:t>评估方法简介</w:t>
      </w:r>
    </w:p>
    <w:p>
      <w:pPr>
        <w:pStyle w:val="8"/>
        <w:numPr>
          <w:ilvl w:val="0"/>
          <w:numId w:val="0"/>
        </w:numPr>
        <w:tabs>
          <w:tab w:val="left" w:pos="993"/>
        </w:tabs>
        <w:spacing w:line="560" w:lineRule="exact"/>
        <w:ind w:left="-360" w:leftChars="-150" w:firstLine="840" w:firstLineChars="350"/>
        <w:rPr>
          <w:rFonts w:hint="eastAsia" w:ascii="宋体" w:hAnsi="宋体" w:eastAsia="宋体" w:cs="宋体"/>
          <w:kern w:val="0"/>
          <w:sz w:val="24"/>
          <w:szCs w:val="24"/>
          <w:lang w:val="en-US" w:eastAsia="zh-CN" w:bidi="ar-SA"/>
        </w:rPr>
      </w:pPr>
      <w:bookmarkStart w:id="33" w:name="_Toc17707"/>
      <w:r>
        <w:rPr>
          <w:rFonts w:hint="eastAsia" w:ascii="宋体" w:hAnsi="宋体" w:eastAsia="宋体" w:cs="宋体"/>
          <w:kern w:val="0"/>
          <w:sz w:val="24"/>
          <w:szCs w:val="24"/>
          <w:lang w:val="en-US" w:eastAsia="zh-CN" w:bidi="ar-SA"/>
        </w:rPr>
        <w:t>房屋建筑物的评估-成本法</w:t>
      </w:r>
    </w:p>
    <w:p>
      <w:pPr>
        <w:widowControl/>
        <w:spacing w:line="560" w:lineRule="exact"/>
        <w:ind w:firstLine="482" w:firstLineChars="0"/>
        <w:jc w:val="left"/>
        <w:rPr>
          <w:rFonts w:hint="eastAsia" w:ascii="宋体" w:hAnsi="宋体" w:eastAsia="宋体" w:cs="宋体"/>
          <w:kern w:val="0"/>
        </w:rPr>
      </w:pPr>
      <w:r>
        <w:rPr>
          <w:rFonts w:hint="eastAsia" w:ascii="宋体" w:hAnsi="宋体" w:eastAsia="宋体" w:cs="宋体"/>
          <w:b/>
          <w:bCs/>
          <w:kern w:val="0"/>
        </w:rPr>
        <w:t>成本法</w:t>
      </w:r>
      <w:r>
        <w:rPr>
          <w:rFonts w:hint="eastAsia" w:eastAsia="宋体" w:cs="宋体"/>
          <w:b/>
          <w:bCs/>
          <w:kern w:val="0"/>
          <w:lang w:val="en-US" w:eastAsia="zh-CN"/>
        </w:rPr>
        <w:t>:</w:t>
      </w:r>
      <w:r>
        <w:rPr>
          <w:rFonts w:hint="eastAsia" w:ascii="宋体" w:hAnsi="宋体" w:eastAsia="宋体" w:cs="宋体"/>
          <w:kern w:val="0"/>
        </w:rPr>
        <w:t>也称重置成本法，是从待评估资产在评估基准日的复原重置成本或更新重置成本中扣减其各项价值损耗，确定资产价值的方法。</w:t>
      </w:r>
    </w:p>
    <w:p>
      <w:pPr>
        <w:spacing w:line="560" w:lineRule="exact"/>
        <w:ind w:firstLine="0" w:firstLineChars="0"/>
        <w:rPr>
          <w:rFonts w:hint="eastAsia"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rPr>
        <w:t>成本法评估的计算公式为：</w:t>
      </w:r>
    </w:p>
    <w:p>
      <w:pPr>
        <w:spacing w:line="560" w:lineRule="exact"/>
        <w:ind w:firstLine="480"/>
        <w:rPr>
          <w:rFonts w:hint="eastAsia" w:ascii="宋体" w:hAnsi="宋体" w:eastAsia="宋体" w:cs="宋体"/>
        </w:rPr>
      </w:pPr>
      <w:r>
        <w:rPr>
          <w:rFonts w:hint="eastAsia" w:ascii="宋体" w:hAnsi="宋体" w:eastAsia="宋体" w:cs="宋体"/>
        </w:rPr>
        <w:t>建（构）筑物评估值 ＝重置全价×综合成新率</w:t>
      </w:r>
    </w:p>
    <w:p>
      <w:pPr>
        <w:pStyle w:val="4"/>
        <w:tabs>
          <w:tab w:val="left" w:pos="993"/>
        </w:tabs>
        <w:spacing w:beforeLines="50" w:afterLines="50" w:line="560" w:lineRule="exact"/>
        <w:rPr>
          <w:rFonts w:ascii="宋体" w:hAnsi="宋体" w:eastAsia="宋体" w:cs="宋体"/>
          <w:sz w:val="28"/>
        </w:rPr>
      </w:pPr>
      <w:r>
        <w:rPr>
          <w:rFonts w:hint="eastAsia" w:ascii="宋体" w:hAnsi="宋体" w:eastAsia="宋体" w:cs="宋体"/>
          <w:sz w:val="28"/>
        </w:rPr>
        <w:t>八、评估程序实施过程和情况</w:t>
      </w:r>
      <w:bookmarkEnd w:id="31"/>
      <w:bookmarkEnd w:id="33"/>
    </w:p>
    <w:p>
      <w:pPr>
        <w:spacing w:line="560" w:lineRule="exact"/>
        <w:ind w:firstLine="504"/>
        <w:rPr>
          <w:rFonts w:ascii="宋体" w:hAnsi="宋体" w:eastAsia="宋体" w:cs="宋体"/>
          <w:spacing w:val="6"/>
        </w:rPr>
      </w:pPr>
      <w:r>
        <w:rPr>
          <w:rFonts w:hint="eastAsia" w:ascii="宋体" w:hAnsi="宋体" w:eastAsia="宋体" w:cs="宋体"/>
          <w:spacing w:val="6"/>
        </w:rPr>
        <w:t>评估时间从</w:t>
      </w:r>
      <w:r>
        <w:rPr>
          <w:rFonts w:hint="eastAsia" w:ascii="宋体" w:hAnsi="宋体" w:eastAsia="宋体" w:cs="宋体"/>
          <w:spacing w:val="6"/>
          <w:highlight w:val="none"/>
        </w:rPr>
        <w:t>二零一</w:t>
      </w:r>
      <w:r>
        <w:rPr>
          <w:rFonts w:hint="eastAsia" w:ascii="宋体" w:hAnsi="宋体" w:eastAsia="宋体" w:cs="宋体"/>
          <w:spacing w:val="6"/>
          <w:highlight w:val="none"/>
          <w:lang w:eastAsia="zh-CN"/>
        </w:rPr>
        <w:t>九</w:t>
      </w:r>
      <w:r>
        <w:rPr>
          <w:rFonts w:hint="eastAsia" w:ascii="宋体" w:hAnsi="宋体" w:eastAsia="宋体" w:cs="宋体"/>
          <w:spacing w:val="6"/>
          <w:highlight w:val="none"/>
        </w:rPr>
        <w:t>年</w:t>
      </w:r>
      <w:r>
        <w:rPr>
          <w:rFonts w:hint="eastAsia" w:ascii="宋体" w:hAnsi="宋体" w:eastAsia="宋体" w:cs="宋体"/>
          <w:spacing w:val="6"/>
          <w:highlight w:val="none"/>
          <w:lang w:eastAsia="zh-CN"/>
        </w:rPr>
        <w:t>六</w:t>
      </w:r>
      <w:r>
        <w:rPr>
          <w:rFonts w:hint="eastAsia" w:ascii="宋体" w:hAnsi="宋体" w:eastAsia="宋体" w:cs="宋体"/>
          <w:spacing w:val="6"/>
          <w:highlight w:val="none"/>
        </w:rPr>
        <w:t>月</w:t>
      </w:r>
      <w:r>
        <w:rPr>
          <w:rFonts w:hint="eastAsia" w:ascii="宋体" w:hAnsi="宋体" w:eastAsia="宋体" w:cs="宋体"/>
          <w:spacing w:val="6"/>
          <w:highlight w:val="none"/>
          <w:lang w:eastAsia="zh-CN"/>
        </w:rPr>
        <w:t>十一</w:t>
      </w:r>
      <w:r>
        <w:rPr>
          <w:rFonts w:hint="eastAsia" w:ascii="宋体" w:hAnsi="宋体" w:eastAsia="宋体" w:cs="宋体"/>
          <w:spacing w:val="6"/>
          <w:highlight w:val="none"/>
        </w:rPr>
        <w:t>日至二零一</w:t>
      </w:r>
      <w:r>
        <w:rPr>
          <w:rFonts w:hint="eastAsia" w:ascii="宋体" w:hAnsi="宋体" w:eastAsia="宋体" w:cs="宋体"/>
          <w:spacing w:val="6"/>
          <w:highlight w:val="none"/>
          <w:lang w:eastAsia="zh-CN"/>
        </w:rPr>
        <w:t>九</w:t>
      </w:r>
      <w:r>
        <w:rPr>
          <w:rFonts w:hint="eastAsia" w:ascii="宋体" w:hAnsi="宋体" w:eastAsia="宋体" w:cs="宋体"/>
          <w:spacing w:val="6"/>
          <w:highlight w:val="none"/>
        </w:rPr>
        <w:t>年</w:t>
      </w:r>
      <w:r>
        <w:rPr>
          <w:rFonts w:hint="eastAsia" w:ascii="宋体" w:hAnsi="宋体" w:eastAsia="宋体" w:cs="宋体"/>
          <w:spacing w:val="6"/>
          <w:highlight w:val="none"/>
          <w:lang w:eastAsia="zh-CN"/>
        </w:rPr>
        <w:t>七</w:t>
      </w:r>
      <w:r>
        <w:rPr>
          <w:rFonts w:hint="eastAsia" w:ascii="宋体" w:hAnsi="宋体" w:eastAsia="宋体" w:cs="宋体"/>
          <w:spacing w:val="6"/>
          <w:highlight w:val="none"/>
        </w:rPr>
        <w:t>月</w:t>
      </w:r>
      <w:r>
        <w:rPr>
          <w:rFonts w:hint="eastAsia" w:ascii="宋体" w:hAnsi="宋体" w:eastAsia="宋体" w:cs="宋体"/>
          <w:spacing w:val="6"/>
          <w:highlight w:val="none"/>
          <w:lang w:eastAsia="zh-CN"/>
        </w:rPr>
        <w:t>三十</w:t>
      </w:r>
      <w:r>
        <w:rPr>
          <w:rFonts w:hint="eastAsia" w:ascii="宋体" w:hAnsi="宋体" w:eastAsia="宋体" w:cs="宋体"/>
          <w:spacing w:val="6"/>
          <w:highlight w:val="none"/>
        </w:rPr>
        <w:t>日</w:t>
      </w:r>
      <w:r>
        <w:rPr>
          <w:rFonts w:hint="eastAsia" w:ascii="宋体" w:hAnsi="宋体" w:eastAsia="宋体" w:cs="宋体"/>
          <w:spacing w:val="6"/>
        </w:rPr>
        <w:t>，经过接受委托、资产清查、评定估算、评估汇总、提交报告等过程。具体如下：</w:t>
      </w:r>
    </w:p>
    <w:p>
      <w:pPr>
        <w:spacing w:line="560" w:lineRule="exact"/>
        <w:ind w:firstLine="504"/>
        <w:rPr>
          <w:rFonts w:ascii="宋体" w:hAnsi="宋体" w:eastAsia="宋体" w:cs="宋体"/>
          <w:spacing w:val="6"/>
        </w:rPr>
      </w:pPr>
      <w:r>
        <w:rPr>
          <w:rFonts w:hint="eastAsia" w:ascii="宋体" w:hAnsi="宋体" w:eastAsia="宋体" w:cs="宋体"/>
          <w:spacing w:val="6"/>
        </w:rPr>
        <w:t>（一）明确评估业务基本事项</w:t>
      </w:r>
    </w:p>
    <w:p>
      <w:pPr>
        <w:spacing w:line="560" w:lineRule="exact"/>
        <w:ind w:firstLine="504"/>
        <w:rPr>
          <w:rFonts w:ascii="宋体" w:hAnsi="宋体" w:eastAsia="宋体" w:cs="宋体"/>
          <w:spacing w:val="6"/>
        </w:rPr>
      </w:pPr>
      <w:r>
        <w:rPr>
          <w:rFonts w:hint="eastAsia" w:ascii="宋体" w:hAnsi="宋体" w:eastAsia="宋体" w:cs="宋体"/>
          <w:spacing w:val="6"/>
        </w:rPr>
        <w:t>资产评估师应当根据评估业务具体情况，对自身专业胜任能力、独立性和业务风险进行综合分析和评价，并由评估机构决定承接评估业务。</w:t>
      </w:r>
    </w:p>
    <w:p>
      <w:pPr>
        <w:keepNext w:val="0"/>
        <w:keepLines w:val="0"/>
        <w:pageBreakBefore w:val="0"/>
        <w:widowControl w:val="0"/>
        <w:kinsoku/>
        <w:wordWrap/>
        <w:overflowPunct/>
        <w:topLinePunct w:val="0"/>
        <w:autoSpaceDE/>
        <w:autoSpaceDN/>
        <w:bidi w:val="0"/>
        <w:adjustRightInd/>
        <w:snapToGrid/>
        <w:spacing w:line="520" w:lineRule="exact"/>
        <w:ind w:firstLine="504"/>
        <w:textAlignment w:val="auto"/>
        <w:rPr>
          <w:rFonts w:ascii="宋体" w:hAnsi="宋体" w:eastAsia="宋体" w:cs="宋体"/>
          <w:spacing w:val="6"/>
        </w:rPr>
      </w:pPr>
      <w:r>
        <w:rPr>
          <w:rFonts w:hint="eastAsia" w:ascii="宋体" w:hAnsi="宋体" w:eastAsia="宋体" w:cs="宋体"/>
          <w:spacing w:val="6"/>
        </w:rPr>
        <w:t>（二）签订资产评估委托合同</w:t>
      </w:r>
    </w:p>
    <w:p>
      <w:pPr>
        <w:keepNext w:val="0"/>
        <w:keepLines w:val="0"/>
        <w:pageBreakBefore w:val="0"/>
        <w:widowControl w:val="0"/>
        <w:kinsoku/>
        <w:wordWrap/>
        <w:overflowPunct/>
        <w:topLinePunct w:val="0"/>
        <w:autoSpaceDE/>
        <w:autoSpaceDN/>
        <w:bidi w:val="0"/>
        <w:adjustRightInd/>
        <w:snapToGrid/>
        <w:spacing w:line="520" w:lineRule="exact"/>
        <w:ind w:firstLine="504"/>
        <w:textAlignment w:val="auto"/>
        <w:rPr>
          <w:rFonts w:ascii="宋体" w:hAnsi="宋体" w:eastAsia="宋体" w:cs="宋体"/>
          <w:spacing w:val="6"/>
        </w:rPr>
      </w:pPr>
      <w:r>
        <w:rPr>
          <w:rFonts w:hint="eastAsia" w:ascii="宋体" w:hAnsi="宋体" w:eastAsia="宋体" w:cs="宋体"/>
          <w:spacing w:val="6"/>
        </w:rPr>
        <w:t>通过与委托方沟通交流，针对评估业务具体情况，我所对自身专业胜任能力、独立性和业务风险进行综合分析评价，并决定承接该评估业务，委托方和评估机构在友好协商下签订了资产评估委托合同。</w:t>
      </w:r>
    </w:p>
    <w:p>
      <w:pPr>
        <w:keepNext w:val="0"/>
        <w:keepLines w:val="0"/>
        <w:pageBreakBefore w:val="0"/>
        <w:widowControl w:val="0"/>
        <w:kinsoku/>
        <w:wordWrap/>
        <w:overflowPunct/>
        <w:topLinePunct w:val="0"/>
        <w:autoSpaceDE/>
        <w:autoSpaceDN/>
        <w:bidi w:val="0"/>
        <w:adjustRightInd/>
        <w:snapToGrid/>
        <w:spacing w:line="520" w:lineRule="exact"/>
        <w:ind w:firstLine="504"/>
        <w:textAlignment w:val="auto"/>
        <w:rPr>
          <w:rFonts w:ascii="宋体" w:hAnsi="宋体" w:eastAsia="宋体" w:cs="宋体"/>
          <w:spacing w:val="6"/>
        </w:rPr>
      </w:pPr>
      <w:r>
        <w:rPr>
          <w:rFonts w:hint="eastAsia" w:ascii="宋体" w:hAnsi="宋体" w:eastAsia="宋体" w:cs="宋体"/>
          <w:spacing w:val="6"/>
        </w:rPr>
        <w:t>（三）编制评估计划</w:t>
      </w:r>
    </w:p>
    <w:p>
      <w:pPr>
        <w:keepNext w:val="0"/>
        <w:keepLines w:val="0"/>
        <w:pageBreakBefore w:val="0"/>
        <w:widowControl w:val="0"/>
        <w:kinsoku/>
        <w:wordWrap/>
        <w:overflowPunct/>
        <w:topLinePunct w:val="0"/>
        <w:autoSpaceDE/>
        <w:autoSpaceDN/>
        <w:bidi w:val="0"/>
        <w:adjustRightInd/>
        <w:snapToGrid/>
        <w:spacing w:line="520" w:lineRule="exact"/>
        <w:ind w:firstLine="504"/>
        <w:textAlignment w:val="auto"/>
        <w:rPr>
          <w:rFonts w:ascii="宋体" w:hAnsi="宋体" w:eastAsia="宋体" w:cs="宋体"/>
          <w:spacing w:val="6"/>
        </w:rPr>
      </w:pPr>
      <w:r>
        <w:rPr>
          <w:rFonts w:hint="eastAsia" w:ascii="宋体" w:hAnsi="宋体" w:eastAsia="宋体" w:cs="宋体"/>
          <w:spacing w:val="6"/>
        </w:rPr>
        <w:t>我所承接该评估业务后，组织资产评估师及评估专业人员编制了评估计划。评估计划包括评估的具体步骤、时间进度、人员安排和技术方案等内容。</w:t>
      </w:r>
    </w:p>
    <w:p>
      <w:pPr>
        <w:keepNext w:val="0"/>
        <w:keepLines w:val="0"/>
        <w:pageBreakBefore w:val="0"/>
        <w:widowControl w:val="0"/>
        <w:kinsoku/>
        <w:wordWrap/>
        <w:overflowPunct/>
        <w:topLinePunct w:val="0"/>
        <w:autoSpaceDE/>
        <w:autoSpaceDN/>
        <w:bidi w:val="0"/>
        <w:adjustRightInd/>
        <w:snapToGrid/>
        <w:spacing w:line="520" w:lineRule="exact"/>
        <w:ind w:firstLine="504"/>
        <w:textAlignment w:val="auto"/>
        <w:rPr>
          <w:rFonts w:ascii="宋体" w:hAnsi="宋体" w:eastAsia="宋体" w:cs="宋体"/>
          <w:spacing w:val="6"/>
        </w:rPr>
      </w:pPr>
      <w:r>
        <w:rPr>
          <w:rFonts w:hint="eastAsia" w:ascii="宋体" w:hAnsi="宋体" w:eastAsia="宋体" w:cs="宋体"/>
          <w:spacing w:val="6"/>
        </w:rPr>
        <w:t>（四）现场调查</w:t>
      </w:r>
    </w:p>
    <w:p>
      <w:pPr>
        <w:keepNext w:val="0"/>
        <w:keepLines w:val="0"/>
        <w:pageBreakBefore w:val="0"/>
        <w:widowControl w:val="0"/>
        <w:kinsoku/>
        <w:wordWrap/>
        <w:overflowPunct/>
        <w:topLinePunct w:val="0"/>
        <w:autoSpaceDE/>
        <w:autoSpaceDN/>
        <w:bidi w:val="0"/>
        <w:adjustRightInd/>
        <w:snapToGrid/>
        <w:spacing w:line="520" w:lineRule="exact"/>
        <w:ind w:firstLine="504"/>
        <w:textAlignment w:val="auto"/>
        <w:rPr>
          <w:rFonts w:hint="eastAsia" w:ascii="宋体" w:hAnsi="宋体" w:eastAsia="宋体" w:cs="宋体"/>
          <w:spacing w:val="6"/>
        </w:rPr>
      </w:pPr>
      <w:r>
        <w:rPr>
          <w:rFonts w:hint="eastAsia" w:ascii="宋体" w:hAnsi="宋体" w:eastAsia="宋体" w:cs="宋体"/>
          <w:spacing w:val="6"/>
        </w:rPr>
        <w:t>我们对评估对象进行了现场查勘，了解其现行使用状态，掌握其基本状况，初步确定评估对象现场状况、座落，调查周边房地产利用类型、环境质量状况、区域基本情况等，具体情况如下：</w:t>
      </w:r>
    </w:p>
    <w:p>
      <w:pPr>
        <w:keepNext w:val="0"/>
        <w:keepLines w:val="0"/>
        <w:pageBreakBefore w:val="0"/>
        <w:widowControl w:val="0"/>
        <w:kinsoku/>
        <w:wordWrap/>
        <w:overflowPunct/>
        <w:topLinePunct w:val="0"/>
        <w:autoSpaceDE/>
        <w:autoSpaceDN/>
        <w:bidi w:val="0"/>
        <w:adjustRightInd/>
        <w:snapToGrid/>
        <w:spacing w:line="520" w:lineRule="exact"/>
        <w:ind w:firstLine="504"/>
        <w:textAlignment w:val="auto"/>
        <w:rPr>
          <w:rFonts w:hint="default" w:ascii="宋体" w:hAnsi="宋体" w:eastAsia="宋体" w:cs="宋体"/>
          <w:spacing w:val="6"/>
          <w:lang w:val="en-US" w:eastAsia="zh-CN"/>
        </w:rPr>
      </w:pPr>
      <w:r>
        <w:rPr>
          <w:rFonts w:hint="eastAsia" w:ascii="宋体" w:hAnsi="宋体" w:eastAsia="宋体" w:cs="宋体"/>
          <w:spacing w:val="6"/>
          <w:lang w:val="en-US" w:eastAsia="zh-CN"/>
        </w:rPr>
        <w:t>房屋建筑物情况介绍</w:t>
      </w:r>
    </w:p>
    <w:p>
      <w:pPr>
        <w:pStyle w:val="8"/>
        <w:keepNext w:val="0"/>
        <w:keepLines w:val="0"/>
        <w:pageBreakBefore w:val="0"/>
        <w:widowControl w:val="0"/>
        <w:kinsoku/>
        <w:wordWrap/>
        <w:overflowPunct/>
        <w:topLinePunct w:val="0"/>
        <w:autoSpaceDE/>
        <w:autoSpaceDN/>
        <w:bidi w:val="0"/>
        <w:adjustRightInd/>
        <w:snapToGrid/>
        <w:spacing w:after="0" w:line="520" w:lineRule="exact"/>
        <w:ind w:left="0" w:leftChars="0" w:firstLine="534"/>
        <w:textAlignment w:val="auto"/>
        <w:rPr>
          <w:rFonts w:hint="eastAsia" w:ascii="宋体" w:hAnsi="宋体" w:cs="宋体"/>
          <w:sz w:val="24"/>
        </w:rPr>
      </w:pPr>
      <w:r>
        <w:rPr>
          <w:rFonts w:hint="eastAsia" w:ascii="宋体" w:hAnsi="宋体" w:cs="宋体"/>
          <w:sz w:val="24"/>
        </w:rPr>
        <w:t>本次评估</w:t>
      </w:r>
      <w:r>
        <w:rPr>
          <w:rFonts w:hint="eastAsia" w:ascii="宋体" w:hAnsi="宋体" w:cs="宋体"/>
          <w:sz w:val="24"/>
          <w:lang w:eastAsia="zh-CN"/>
        </w:rPr>
        <w:t>对象</w:t>
      </w:r>
      <w:r>
        <w:rPr>
          <w:rFonts w:hint="eastAsia" w:ascii="宋体" w:hAnsi="宋体" w:cs="宋体"/>
          <w:sz w:val="24"/>
        </w:rPr>
        <w:t>是</w:t>
      </w:r>
      <w:r>
        <w:rPr>
          <w:rFonts w:hint="eastAsia" w:ascii="宋体" w:hAnsi="宋体" w:cs="宋体"/>
          <w:sz w:val="24"/>
          <w:lang w:eastAsia="zh-CN"/>
        </w:rPr>
        <w:t>李孟贤所属的位于城固县五郎庙乡五郎庙村六组（城许路以西）建筑面积为408.6㎡（博望镇字第20080269号）私有房产一幢，权证信息详见</w:t>
      </w:r>
      <w:r>
        <w:rPr>
          <w:rFonts w:hint="eastAsia" w:ascii="宋体" w:hAnsi="宋体" w:cs="宋体"/>
          <w:sz w:val="24"/>
        </w:rPr>
        <w:t>下表：</w:t>
      </w:r>
    </w:p>
    <w:p>
      <w:pPr>
        <w:pStyle w:val="8"/>
        <w:numPr>
          <w:ilvl w:val="0"/>
          <w:numId w:val="0"/>
        </w:numPr>
        <w:spacing w:after="0" w:line="560" w:lineRule="exact"/>
        <w:ind w:left="534" w:leftChars="0"/>
        <w:jc w:val="center"/>
        <w:rPr>
          <w:rFonts w:hint="eastAsia" w:ascii="宋体" w:hAnsi="宋体" w:cs="宋体"/>
          <w:sz w:val="21"/>
          <w:szCs w:val="21"/>
          <w:lang w:val="en-US" w:eastAsia="zh-CN"/>
        </w:rPr>
      </w:pPr>
      <w:r>
        <w:rPr>
          <w:rFonts w:hint="eastAsia" w:ascii="宋体" w:hAnsi="宋体" w:cs="宋体"/>
          <w:sz w:val="21"/>
          <w:szCs w:val="21"/>
          <w:lang w:val="en-US" w:eastAsia="zh-CN"/>
        </w:rPr>
        <w:t>《房屋所有权证》登记信息</w:t>
      </w:r>
    </w:p>
    <w:tbl>
      <w:tblPr>
        <w:tblStyle w:val="22"/>
        <w:tblW w:w="8828" w:type="dxa"/>
        <w:tblInd w:w="0" w:type="dxa"/>
        <w:shd w:val="clear" w:color="auto" w:fill="auto"/>
        <w:tblLayout w:type="fixed"/>
        <w:tblCellMar>
          <w:top w:w="0" w:type="dxa"/>
          <w:left w:w="0" w:type="dxa"/>
          <w:bottom w:w="0" w:type="dxa"/>
          <w:right w:w="0" w:type="dxa"/>
        </w:tblCellMar>
      </w:tblPr>
      <w:tblGrid>
        <w:gridCol w:w="1230"/>
        <w:gridCol w:w="1230"/>
        <w:gridCol w:w="912"/>
        <w:gridCol w:w="1514"/>
        <w:gridCol w:w="1314"/>
        <w:gridCol w:w="1314"/>
        <w:gridCol w:w="1314"/>
      </w:tblGrid>
      <w:tr>
        <w:tblPrEx>
          <w:shd w:val="clear" w:color="auto" w:fill="auto"/>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产权证号</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城固县房权证博望镇字第20080269号</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房屋所有权人</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李孟贤</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房屋坐落</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五郎庙乡五郎庙村六队（城许路西侧）</w:t>
            </w:r>
          </w:p>
        </w:tc>
      </w:tr>
      <w:tr>
        <w:tblPrEx>
          <w:tblLayout w:type="fixed"/>
          <w:tblCellMar>
            <w:top w:w="0" w:type="dxa"/>
            <w:left w:w="0" w:type="dxa"/>
            <w:bottom w:w="0" w:type="dxa"/>
            <w:right w:w="0" w:type="dxa"/>
          </w:tblCellMar>
        </w:tblPrEx>
        <w:trPr>
          <w:trHeight w:val="344"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产别</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私产</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幢号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房屋总层数</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所在层数</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建筑面积</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设计用途</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楼房</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266.54</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商住</w:t>
            </w:r>
          </w:p>
        </w:tc>
      </w:tr>
      <w:tr>
        <w:tblPrEx>
          <w:tblLayout w:type="fixed"/>
          <w:tblCellMar>
            <w:top w:w="0" w:type="dxa"/>
            <w:left w:w="0" w:type="dxa"/>
            <w:bottom w:w="0" w:type="dxa"/>
            <w:right w:w="0" w:type="dxa"/>
          </w:tblCellMar>
        </w:tblPrEx>
        <w:trPr>
          <w:trHeight w:val="28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楼房</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砖木</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142.06</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住宅</w:t>
            </w:r>
          </w:p>
        </w:tc>
      </w:tr>
      <w:tr>
        <w:tblPrEx>
          <w:tblLayout w:type="fixed"/>
          <w:tblCellMar>
            <w:top w:w="0" w:type="dxa"/>
            <w:left w:w="0" w:type="dxa"/>
            <w:bottom w:w="0" w:type="dxa"/>
            <w:right w:w="0" w:type="dxa"/>
          </w:tblCellMar>
        </w:tblPrEx>
        <w:trPr>
          <w:trHeight w:val="285"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附记</w:t>
            </w:r>
          </w:p>
        </w:tc>
        <w:tc>
          <w:tcPr>
            <w:tcW w:w="63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自建</w:t>
            </w:r>
          </w:p>
        </w:tc>
      </w:tr>
    </w:tbl>
    <w:p>
      <w:pPr>
        <w:pStyle w:val="8"/>
        <w:numPr>
          <w:ilvl w:val="0"/>
          <w:numId w:val="0"/>
        </w:numPr>
        <w:spacing w:after="0" w:line="560" w:lineRule="exact"/>
        <w:ind w:left="14" w:leftChars="0" w:firstLine="518" w:firstLineChars="216"/>
        <w:rPr>
          <w:rFonts w:hint="eastAsia" w:ascii="宋体" w:hAnsi="宋体" w:cs="宋体"/>
          <w:sz w:val="24"/>
          <w:highlight w:val="none"/>
          <w:lang w:val="en-US" w:eastAsia="zh-CN"/>
        </w:rPr>
      </w:pPr>
      <w:r>
        <w:rPr>
          <w:rFonts w:hint="eastAsia" w:ascii="宋体" w:hAnsi="宋体" w:cs="宋体"/>
          <w:sz w:val="24"/>
          <w:highlight w:val="none"/>
          <w:lang w:val="en-US" w:eastAsia="zh-CN"/>
        </w:rPr>
        <w:t>根据现场勘查，估价对象为一幢三层房屋，外墙贴墙砖，一层为卷闸门，室内地面水泥砂浆抹平，墙面刷白，顶面刷白，二层室内石膏板吊顶及角线，墙面刷白，地面贴地砖，铝合金窗，三层室内地面水泥砂浆抹平，未做吊顶，未安装门窗；评估对象建成时间未能获取，其产权证发证时间为2008年。委估房屋整体维护保养情况一般，现状为查封状态。</w:t>
      </w:r>
    </w:p>
    <w:p>
      <w:pPr>
        <w:pStyle w:val="8"/>
        <w:numPr>
          <w:ilvl w:val="0"/>
          <w:numId w:val="0"/>
        </w:numPr>
        <w:spacing w:after="0" w:line="560" w:lineRule="exact"/>
        <w:ind w:left="0" w:leftChars="0" w:firstLine="480" w:firstLineChars="200"/>
        <w:rPr>
          <w:rFonts w:hint="default" w:ascii="宋体" w:hAnsi="宋体" w:cs="宋体"/>
          <w:sz w:val="24"/>
          <w:lang w:val="en-US" w:eastAsia="zh-CN"/>
        </w:rPr>
      </w:pPr>
      <w:r>
        <w:rPr>
          <w:rFonts w:hint="eastAsia" w:ascii="宋体" w:hAnsi="宋体" w:cs="宋体"/>
          <w:sz w:val="24"/>
          <w:lang w:val="en-US" w:eastAsia="zh-CN"/>
        </w:rPr>
        <w:t>根据评估委托书内容及向承办法官咨询确认，本次评估范围不包括房屋所占用的土地，本次评估委托方未提供任何土地相关资料</w:t>
      </w:r>
      <w:bookmarkStart w:id="47" w:name="_GoBack"/>
      <w:bookmarkEnd w:id="47"/>
      <w:r>
        <w:rPr>
          <w:rFonts w:hint="eastAsia" w:ascii="宋体" w:hAnsi="宋体" w:cs="宋体"/>
          <w:sz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520" w:lineRule="exact"/>
        <w:ind w:left="504" w:leftChars="0"/>
        <w:textAlignment w:val="auto"/>
        <w:rPr>
          <w:rFonts w:ascii="宋体" w:hAnsi="宋体" w:eastAsia="宋体" w:cs="宋体"/>
          <w:spacing w:val="6"/>
        </w:rPr>
      </w:pPr>
      <w:r>
        <w:rPr>
          <w:rFonts w:hint="eastAsia" w:ascii="宋体" w:hAnsi="宋体" w:eastAsia="宋体" w:cs="宋体"/>
          <w:spacing w:val="6"/>
        </w:rPr>
        <w:t>（五）收集评估资料</w:t>
      </w:r>
    </w:p>
    <w:p>
      <w:pPr>
        <w:keepNext w:val="0"/>
        <w:keepLines w:val="0"/>
        <w:pageBreakBefore w:val="0"/>
        <w:widowControl w:val="0"/>
        <w:kinsoku/>
        <w:wordWrap/>
        <w:overflowPunct/>
        <w:topLinePunct w:val="0"/>
        <w:autoSpaceDE/>
        <w:autoSpaceDN/>
        <w:bidi w:val="0"/>
        <w:spacing w:line="520" w:lineRule="exact"/>
        <w:ind w:firstLine="504"/>
        <w:textAlignment w:val="auto"/>
        <w:rPr>
          <w:rFonts w:ascii="宋体" w:hAnsi="宋体" w:eastAsia="宋体" w:cs="宋体"/>
          <w:spacing w:val="6"/>
        </w:rPr>
      </w:pPr>
      <w:r>
        <w:rPr>
          <w:rFonts w:hint="eastAsia" w:ascii="宋体" w:hAnsi="宋体" w:eastAsia="宋体" w:cs="宋体"/>
          <w:spacing w:val="6"/>
        </w:rPr>
        <w:t>要求委托方提供涉及评估对象和评估范围的详细资料，获取评估业务需要的基础资料，了解评估对象现状，关注评估对象法律权属。</w:t>
      </w:r>
    </w:p>
    <w:p>
      <w:pPr>
        <w:keepNext w:val="0"/>
        <w:keepLines w:val="0"/>
        <w:pageBreakBefore w:val="0"/>
        <w:widowControl w:val="0"/>
        <w:kinsoku/>
        <w:wordWrap/>
        <w:overflowPunct/>
        <w:topLinePunct w:val="0"/>
        <w:autoSpaceDE/>
        <w:autoSpaceDN/>
        <w:bidi w:val="0"/>
        <w:spacing w:line="520" w:lineRule="exact"/>
        <w:ind w:firstLine="504"/>
        <w:textAlignment w:val="auto"/>
        <w:rPr>
          <w:rFonts w:ascii="宋体" w:hAnsi="宋体" w:eastAsia="宋体" w:cs="宋体"/>
          <w:spacing w:val="6"/>
        </w:rPr>
      </w:pPr>
      <w:r>
        <w:rPr>
          <w:rFonts w:hint="eastAsia" w:ascii="宋体" w:hAnsi="宋体" w:eastAsia="宋体" w:cs="宋体"/>
          <w:spacing w:val="6"/>
        </w:rPr>
        <w:t>（六）评定估算</w:t>
      </w:r>
    </w:p>
    <w:p>
      <w:pPr>
        <w:keepNext w:val="0"/>
        <w:keepLines w:val="0"/>
        <w:pageBreakBefore w:val="0"/>
        <w:widowControl w:val="0"/>
        <w:kinsoku/>
        <w:wordWrap/>
        <w:overflowPunct/>
        <w:topLinePunct w:val="0"/>
        <w:autoSpaceDE/>
        <w:autoSpaceDN/>
        <w:bidi w:val="0"/>
        <w:spacing w:line="520" w:lineRule="exact"/>
        <w:ind w:firstLine="504"/>
        <w:textAlignment w:val="auto"/>
        <w:rPr>
          <w:rFonts w:ascii="宋体" w:hAnsi="宋体" w:eastAsia="宋体" w:cs="宋体"/>
        </w:rPr>
      </w:pPr>
      <w:r>
        <w:rPr>
          <w:rFonts w:hint="eastAsia" w:ascii="宋体" w:hAnsi="宋体" w:eastAsia="宋体" w:cs="宋体"/>
          <w:spacing w:val="6"/>
        </w:rPr>
        <w:t>根据评估业务具体情况对收集的评</w:t>
      </w:r>
      <w:r>
        <w:rPr>
          <w:rFonts w:hint="eastAsia" w:ascii="宋体" w:hAnsi="宋体" w:eastAsia="宋体" w:cs="宋体"/>
        </w:rPr>
        <w:t>估资料进行必要分析、归纳和整理，形成评定估算的依据。</w:t>
      </w:r>
    </w:p>
    <w:p>
      <w:pPr>
        <w:keepNext w:val="0"/>
        <w:keepLines w:val="0"/>
        <w:pageBreakBefore w:val="0"/>
        <w:widowControl w:val="0"/>
        <w:kinsoku/>
        <w:wordWrap/>
        <w:overflowPunct/>
        <w:topLinePunct w:val="0"/>
        <w:autoSpaceDE/>
        <w:autoSpaceDN/>
        <w:bidi w:val="0"/>
        <w:spacing w:line="520" w:lineRule="exact"/>
        <w:ind w:firstLine="480"/>
        <w:textAlignment w:val="auto"/>
        <w:rPr>
          <w:rFonts w:ascii="宋体" w:hAnsi="宋体" w:eastAsia="宋体" w:cs="宋体"/>
        </w:rPr>
      </w:pPr>
      <w:r>
        <w:rPr>
          <w:rFonts w:hint="eastAsia" w:ascii="宋体" w:hAnsi="宋体" w:eastAsia="宋体" w:cs="宋体"/>
        </w:rPr>
        <w:t>根据评估对象、价值类型、评估资料收集情况等相关条件，分析市场法、收益法和成本法等资产评估方法的适用性，恰当选择评估方法。</w:t>
      </w:r>
    </w:p>
    <w:p>
      <w:pPr>
        <w:keepNext w:val="0"/>
        <w:keepLines w:val="0"/>
        <w:pageBreakBefore w:val="0"/>
        <w:widowControl w:val="0"/>
        <w:kinsoku/>
        <w:wordWrap/>
        <w:overflowPunct/>
        <w:topLinePunct w:val="0"/>
        <w:autoSpaceDE/>
        <w:autoSpaceDN/>
        <w:bidi w:val="0"/>
        <w:spacing w:line="520" w:lineRule="exact"/>
        <w:ind w:firstLine="480"/>
        <w:textAlignment w:val="auto"/>
        <w:rPr>
          <w:rFonts w:ascii="宋体" w:hAnsi="宋体" w:eastAsia="宋体" w:cs="宋体"/>
        </w:rPr>
      </w:pPr>
      <w:r>
        <w:rPr>
          <w:rFonts w:hint="eastAsia" w:ascii="宋体" w:hAnsi="宋体" w:eastAsia="宋体" w:cs="宋体"/>
        </w:rPr>
        <w:t>根据所采用的评估方法，选取相应的公式和参数进行分析、计算和判断，形成初步评估结论。</w:t>
      </w:r>
    </w:p>
    <w:p>
      <w:pPr>
        <w:keepNext w:val="0"/>
        <w:keepLines w:val="0"/>
        <w:pageBreakBefore w:val="0"/>
        <w:widowControl w:val="0"/>
        <w:kinsoku/>
        <w:wordWrap/>
        <w:overflowPunct/>
        <w:topLinePunct w:val="0"/>
        <w:autoSpaceDE/>
        <w:autoSpaceDN/>
        <w:bidi w:val="0"/>
        <w:spacing w:line="520" w:lineRule="exact"/>
        <w:ind w:firstLine="480"/>
        <w:textAlignment w:val="auto"/>
        <w:rPr>
          <w:rFonts w:ascii="宋体" w:hAnsi="宋体" w:eastAsia="宋体" w:cs="宋体"/>
        </w:rPr>
      </w:pPr>
      <w:r>
        <w:rPr>
          <w:rFonts w:hint="eastAsia" w:ascii="宋体" w:hAnsi="宋体" w:eastAsia="宋体" w:cs="宋体"/>
        </w:rPr>
        <w:t>对形成的初步评估结论进行综合分析，形成最终评估结论。</w:t>
      </w:r>
    </w:p>
    <w:p>
      <w:pPr>
        <w:keepNext w:val="0"/>
        <w:keepLines w:val="0"/>
        <w:pageBreakBefore w:val="0"/>
        <w:widowControl w:val="0"/>
        <w:numPr>
          <w:ilvl w:val="0"/>
          <w:numId w:val="0"/>
        </w:numPr>
        <w:kinsoku/>
        <w:wordWrap/>
        <w:overflowPunct/>
        <w:topLinePunct w:val="0"/>
        <w:autoSpaceDE/>
        <w:autoSpaceDN/>
        <w:bidi w:val="0"/>
        <w:spacing w:line="520" w:lineRule="exact"/>
        <w:ind w:firstLine="482" w:firstLineChars="200"/>
        <w:textAlignment w:val="auto"/>
        <w:rPr>
          <w:rFonts w:hint="eastAsia" w:ascii="宋体" w:hAnsi="宋体" w:eastAsia="宋体" w:cs="宋体"/>
          <w:b/>
          <w:bCs/>
          <w:lang w:eastAsia="zh-CN"/>
        </w:rPr>
      </w:pPr>
      <w:r>
        <w:rPr>
          <w:rFonts w:hint="eastAsia" w:ascii="宋体" w:hAnsi="宋体" w:eastAsia="宋体" w:cs="宋体"/>
          <w:b/>
          <w:bCs/>
          <w:lang w:eastAsia="zh-CN"/>
        </w:rPr>
        <w:t>评估测算过程如下：</w:t>
      </w:r>
    </w:p>
    <w:p>
      <w:pPr>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eastAsia="宋体"/>
          <w:lang w:eastAsia="zh-CN"/>
        </w:rPr>
      </w:pPr>
      <w:r>
        <w:rPr>
          <w:rFonts w:hint="eastAsia"/>
          <w:color w:val="auto"/>
          <w:highlight w:val="none"/>
          <w:lang w:val="en-US" w:eastAsia="zh-CN"/>
        </w:rPr>
        <w:t>（一）、</w:t>
      </w:r>
      <w:r>
        <w:rPr>
          <w:rFonts w:hint="eastAsia"/>
          <w:color w:val="auto"/>
          <w:highlight w:val="none"/>
          <w:lang w:eastAsia="zh-CN"/>
        </w:rPr>
        <w:t>房屋建筑物评估</w:t>
      </w:r>
    </w:p>
    <w:p>
      <w:pPr>
        <w:pStyle w:val="8"/>
        <w:pageBreakBefore w:val="0"/>
        <w:widowControl/>
        <w:numPr>
          <w:ilvl w:val="0"/>
          <w:numId w:val="0"/>
        </w:numPr>
        <w:tabs>
          <w:tab w:val="left" w:pos="993"/>
        </w:tabs>
        <w:kinsoku/>
        <w:wordWrap/>
        <w:overflowPunct/>
        <w:topLinePunct w:val="0"/>
        <w:autoSpaceDE/>
        <w:autoSpaceDN/>
        <w:bidi w:val="0"/>
        <w:adjustRightInd/>
        <w:snapToGrid/>
        <w:spacing w:line="560" w:lineRule="exact"/>
        <w:ind w:left="480" w:leftChars="200" w:right="0" w:rightChars="0" w:firstLine="0" w:firstLineChars="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房屋建（构）筑物的评估-成本法</w:t>
      </w:r>
    </w:p>
    <w:p>
      <w:pPr>
        <w:pageBreakBefore w:val="0"/>
        <w:widowControl/>
        <w:kinsoku/>
        <w:wordWrap/>
        <w:overflowPunct/>
        <w:topLinePunct w:val="0"/>
        <w:autoSpaceDE/>
        <w:autoSpaceDN/>
        <w:bidi w:val="0"/>
        <w:adjustRightInd/>
        <w:snapToGrid/>
        <w:spacing w:line="560" w:lineRule="exact"/>
        <w:ind w:right="0" w:rightChars="0" w:firstLine="482" w:firstLineChars="0"/>
        <w:jc w:val="left"/>
        <w:textAlignment w:val="auto"/>
        <w:rPr>
          <w:rFonts w:hint="eastAsia" w:ascii="宋体" w:hAnsi="宋体" w:eastAsia="宋体" w:cs="宋体"/>
          <w:kern w:val="0"/>
        </w:rPr>
      </w:pPr>
      <w:r>
        <w:rPr>
          <w:rFonts w:hint="eastAsia" w:ascii="宋体" w:hAnsi="宋体" w:eastAsia="宋体" w:cs="宋体"/>
          <w:kern w:val="0"/>
        </w:rPr>
        <w:t>成本法，也称重置成本法，是从待评估资产在评估基准日的复原重置成本或更新重置成本中扣减其各项价值损耗，确定资产价值的方法。</w:t>
      </w:r>
    </w:p>
    <w:p>
      <w:pPr>
        <w:spacing w:line="560" w:lineRule="exact"/>
        <w:ind w:firstLine="0" w:firstLineChars="0"/>
        <w:rPr>
          <w:rFonts w:hint="eastAsia"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rPr>
        <w:t>成本法评估的计算公式为：</w:t>
      </w:r>
    </w:p>
    <w:p>
      <w:pPr>
        <w:spacing w:line="560" w:lineRule="exact"/>
        <w:ind w:firstLine="480"/>
        <w:rPr>
          <w:rFonts w:hint="eastAsia" w:ascii="宋体" w:hAnsi="宋体" w:eastAsia="宋体" w:cs="宋体"/>
        </w:rPr>
      </w:pPr>
      <w:r>
        <w:rPr>
          <w:rFonts w:hint="eastAsia" w:ascii="宋体" w:hAnsi="宋体" w:eastAsia="宋体" w:cs="宋体"/>
        </w:rPr>
        <w:t>建（构）筑物评估值 ＝重置全价×综合成新率</w:t>
      </w:r>
    </w:p>
    <w:p>
      <w:pPr>
        <w:spacing w:line="560" w:lineRule="exact"/>
        <w:ind w:firstLine="480"/>
        <w:rPr>
          <w:rFonts w:hint="eastAsia" w:ascii="宋体" w:hAnsi="宋体" w:eastAsia="宋体" w:cs="宋体"/>
        </w:rPr>
      </w:pPr>
      <w:r>
        <w:rPr>
          <w:rFonts w:hint="eastAsia" w:ascii="宋体" w:hAnsi="宋体" w:eastAsia="宋体" w:cs="宋体"/>
        </w:rPr>
        <w:t>根据不同的评估对象和所选用的评估依据及资料，在成本法基本原则下，建（构）筑物一般采用概（预）算编制、预（决）算调整法及类比法等方法。</w:t>
      </w:r>
    </w:p>
    <w:p>
      <w:pPr>
        <w:spacing w:line="560" w:lineRule="exact"/>
        <w:ind w:firstLine="480"/>
        <w:rPr>
          <w:rFonts w:hint="eastAsia" w:ascii="宋体" w:hAnsi="宋体" w:eastAsia="宋体" w:cs="宋体"/>
        </w:rPr>
      </w:pPr>
      <w:r>
        <w:rPr>
          <w:rFonts w:hint="eastAsia" w:ascii="宋体" w:hAnsi="宋体" w:eastAsia="宋体" w:cs="宋体"/>
        </w:rPr>
        <w:t>(1)、重置全价的确定</w:t>
      </w:r>
    </w:p>
    <w:p>
      <w:pPr>
        <w:spacing w:line="560" w:lineRule="exact"/>
        <w:ind w:firstLine="512" w:firstLineChars="200"/>
        <w:rPr>
          <w:smallCaps/>
          <w:color w:val="000000"/>
          <w:spacing w:val="8"/>
        </w:rPr>
      </w:pPr>
      <w:r>
        <w:rPr>
          <w:smallCaps/>
          <w:color w:val="000000"/>
          <w:spacing w:val="8"/>
        </w:rPr>
        <w:t>重置全价=</w:t>
      </w:r>
      <w:r>
        <w:rPr>
          <w:color w:val="000000"/>
        </w:rPr>
        <w:t>建安工程造价+前期费用及其他费用+资金成本</w:t>
      </w:r>
      <w:r>
        <w:rPr>
          <w:rFonts w:hint="eastAsia"/>
          <w:color w:val="000000"/>
        </w:rPr>
        <w:t>+利润</w:t>
      </w:r>
    </w:p>
    <w:p>
      <w:pPr>
        <w:pStyle w:val="5"/>
        <w:numPr>
          <w:ilvl w:val="0"/>
          <w:numId w:val="11"/>
        </w:numPr>
        <w:spacing w:after="0" w:line="560" w:lineRule="exact"/>
        <w:ind w:left="0" w:leftChars="0" w:firstLine="400" w:firstLineChars="0"/>
        <w:rPr>
          <w:rFonts w:ascii="Times New Roman" w:hAnsi="Times New Roman" w:eastAsia="宋体"/>
          <w:smallCaps/>
          <w:color w:val="000000"/>
          <w:spacing w:val="8"/>
          <w:sz w:val="24"/>
        </w:rPr>
      </w:pPr>
      <w:r>
        <w:rPr>
          <w:rFonts w:ascii="Times New Roman" w:hAnsi="Times New Roman" w:eastAsia="宋体"/>
          <w:smallCaps/>
          <w:color w:val="000000"/>
          <w:spacing w:val="8"/>
          <w:sz w:val="24"/>
        </w:rPr>
        <w:t>建安工程造价：评估人员根据被评估房屋建筑物的具体特点和所取得的相关资料，采用以下方法确定建安工程费。</w:t>
      </w:r>
    </w:p>
    <w:p>
      <w:pPr>
        <w:numPr>
          <w:ilvl w:val="0"/>
          <w:numId w:val="0"/>
        </w:numPr>
        <w:spacing w:line="560" w:lineRule="exact"/>
        <w:ind w:left="0" w:leftChars="0" w:firstLine="717" w:firstLineChars="299"/>
        <w:rPr>
          <w:color w:val="000000"/>
          <w:spacing w:val="6"/>
        </w:rPr>
      </w:pPr>
      <w:r>
        <w:rPr>
          <w:rFonts w:hint="eastAsia"/>
          <w:color w:val="000000"/>
        </w:rPr>
        <w:t>单位造价调整法：根据企业提供的数据资料及评估专业人员现场勘查的结果和</w:t>
      </w:r>
      <w:r>
        <w:rPr>
          <w:rFonts w:hint="eastAsia"/>
          <w:color w:val="000000"/>
          <w:spacing w:val="6"/>
        </w:rPr>
        <w:t>汉中市建设工程造价管理办公室2016年3月公布的《汉中市二0一五年房屋建筑社会平均建筑安装造价参考指标》、汉中建设工程造价信息201</w:t>
      </w:r>
      <w:r>
        <w:rPr>
          <w:rFonts w:hint="eastAsia"/>
          <w:color w:val="000000"/>
          <w:spacing w:val="6"/>
          <w:lang w:val="en-US" w:eastAsia="zh-CN"/>
        </w:rPr>
        <w:t>8</w:t>
      </w:r>
      <w:r>
        <w:rPr>
          <w:rFonts w:hint="eastAsia"/>
          <w:color w:val="000000"/>
          <w:spacing w:val="6"/>
        </w:rPr>
        <w:t>年（汉中市建设工程造价管理办公室）</w:t>
      </w:r>
      <w:r>
        <w:rPr>
          <w:rFonts w:hint="eastAsia"/>
          <w:color w:val="000000"/>
        </w:rPr>
        <w:t>，对待估建筑成本构成项目重新估算其重置成本</w:t>
      </w:r>
      <w:r>
        <w:rPr>
          <w:color w:val="000000"/>
        </w:rPr>
        <w:t>。</w:t>
      </w:r>
    </w:p>
    <w:p>
      <w:pPr>
        <w:pStyle w:val="5"/>
        <w:numPr>
          <w:ilvl w:val="0"/>
          <w:numId w:val="11"/>
        </w:numPr>
        <w:tabs>
          <w:tab w:val="left" w:pos="0"/>
        </w:tabs>
        <w:spacing w:line="560" w:lineRule="exact"/>
        <w:ind w:left="0" w:leftChars="0" w:firstLine="400" w:firstLineChars="0"/>
        <w:rPr>
          <w:rFonts w:ascii="Times New Roman" w:hAnsi="Times New Roman" w:eastAsia="宋体"/>
          <w:sz w:val="24"/>
        </w:rPr>
      </w:pPr>
      <w:r>
        <w:rPr>
          <w:rFonts w:ascii="Times New Roman" w:hAnsi="Times New Roman" w:eastAsia="宋体"/>
          <w:smallCaps/>
          <w:color w:val="000000"/>
          <w:spacing w:val="8"/>
          <w:sz w:val="24"/>
        </w:rPr>
        <w:t>前期费用及其他费用：主要包括</w:t>
      </w:r>
      <w:r>
        <w:rPr>
          <w:rFonts w:hint="eastAsia" w:ascii="Times New Roman" w:hAnsi="Times New Roman" w:eastAsia="宋体"/>
          <w:color w:val="000000"/>
          <w:sz w:val="24"/>
        </w:rPr>
        <w:t>市政公用设施配套费\勘察设计费（民用）、工程定额编制管理费、质量监督费、劳保统筹基金、标</w:t>
      </w:r>
      <w:r>
        <w:rPr>
          <w:rFonts w:hint="eastAsia" w:ascii="Times New Roman" w:hAnsi="Times New Roman" w:eastAsia="宋体"/>
          <w:sz w:val="24"/>
        </w:rPr>
        <w:t>底编制、招投标费、新型墙体材料专项费用、散装水泥专项基金、施工现场“三通”、临时设施费</w:t>
      </w:r>
      <w:r>
        <w:rPr>
          <w:rFonts w:ascii="Times New Roman" w:hAnsi="Times New Roman" w:eastAsia="宋体"/>
          <w:sz w:val="24"/>
        </w:rPr>
        <w:t>以及</w:t>
      </w:r>
      <w:r>
        <w:rPr>
          <w:rFonts w:hint="eastAsia" w:ascii="Times New Roman" w:hAnsi="Times New Roman" w:eastAsia="宋体"/>
          <w:sz w:val="24"/>
        </w:rPr>
        <w:t>汉中</w:t>
      </w:r>
      <w:r>
        <w:rPr>
          <w:rFonts w:ascii="Times New Roman" w:hAnsi="Times New Roman" w:eastAsia="宋体"/>
          <w:sz w:val="24"/>
        </w:rPr>
        <w:t>市规定收取的建设工程相关费用等。</w:t>
      </w:r>
    </w:p>
    <w:p>
      <w:pPr>
        <w:numPr>
          <w:ilvl w:val="0"/>
          <w:numId w:val="11"/>
        </w:numPr>
        <w:spacing w:before="120" w:beforeLines="50" w:line="560" w:lineRule="exact"/>
        <w:ind w:left="0" w:leftChars="0" w:firstLine="400" w:firstLineChars="0"/>
      </w:pPr>
      <w:r>
        <w:t>资金成本</w:t>
      </w:r>
    </w:p>
    <w:p>
      <w:pPr>
        <w:numPr>
          <w:ilvl w:val="0"/>
          <w:numId w:val="0"/>
        </w:numPr>
        <w:spacing w:line="560" w:lineRule="exact"/>
        <w:ind w:firstLine="480" w:firstLineChars="200"/>
      </w:pPr>
      <w:r>
        <w:t>资金成本为委估建筑物正常建设工期内占用资金的筹资成本，本金和计息期按照正常施工建设情况下需占用资金的数额及相应的时间计算，利息率选择评估基准日仍在执行的与正常工期同期的基本建设贷款利率，本次采用1年期</w:t>
      </w:r>
      <w:r>
        <w:rPr>
          <w:rFonts w:hint="eastAsia" w:eastAsia="宋体"/>
          <w:lang w:val="en-US" w:eastAsia="zh-CN"/>
        </w:rPr>
        <w:t>贷款利率</w:t>
      </w:r>
      <w:r>
        <w:t>为</w:t>
      </w:r>
      <w:r>
        <w:rPr>
          <w:rFonts w:hint="eastAsia"/>
        </w:rPr>
        <w:t>4.35</w:t>
      </w:r>
      <w:r>
        <w:t>%。评估时，假设资金均匀投入，计息期取正常工期的一半。</w:t>
      </w:r>
    </w:p>
    <w:p>
      <w:pPr>
        <w:numPr>
          <w:ilvl w:val="0"/>
          <w:numId w:val="0"/>
        </w:numPr>
        <w:spacing w:line="560" w:lineRule="exact"/>
        <w:ind w:left="400" w:leftChars="0"/>
      </w:pPr>
      <w:r>
        <w:t>资金成本=（建安工程造价+前期费用</w:t>
      </w:r>
      <w:r>
        <w:rPr>
          <w:rFonts w:hint="eastAsia"/>
          <w:lang w:val="en-US" w:eastAsia="zh-CN"/>
        </w:rPr>
        <w:t>及</w:t>
      </w:r>
      <w:r>
        <w:t>其他费用）×年利率×1/2×建设工期</w:t>
      </w:r>
    </w:p>
    <w:p>
      <w:pPr>
        <w:numPr>
          <w:ilvl w:val="0"/>
          <w:numId w:val="11"/>
        </w:numPr>
        <w:spacing w:before="120" w:beforeLines="50" w:line="560" w:lineRule="exact"/>
        <w:ind w:left="0" w:leftChars="0" w:firstLine="400" w:firstLineChars="0"/>
      </w:pPr>
      <w:r>
        <w:rPr>
          <w:rFonts w:hint="eastAsia"/>
        </w:rPr>
        <w:t>利润</w:t>
      </w:r>
    </w:p>
    <w:p>
      <w:pPr>
        <w:keepNext w:val="0"/>
        <w:keepLines w:val="0"/>
        <w:pageBreakBefore w:val="0"/>
        <w:widowControl/>
        <w:kinsoku/>
        <w:wordWrap/>
        <w:overflowPunct/>
        <w:autoSpaceDE/>
        <w:autoSpaceDN/>
        <w:bidi w:val="0"/>
        <w:adjustRightInd/>
        <w:snapToGrid/>
        <w:spacing w:before="120" w:beforeLines="50" w:line="520" w:lineRule="exact"/>
        <w:ind w:firstLine="540" w:firstLineChars="225"/>
        <w:textAlignment w:val="auto"/>
        <w:outlineLvl w:val="9"/>
        <w:rPr>
          <w:rFonts w:hint="eastAsia"/>
        </w:rPr>
      </w:pPr>
      <w:r>
        <w:rPr>
          <w:rFonts w:hint="eastAsia"/>
          <w:lang w:val="en-US" w:eastAsia="zh-CN"/>
        </w:rPr>
        <w:t>利润是指该类房地产开发项目正常条件下产权人能获得的行业平均利润，其计算基数为建安造价、前期费用及其他费用之和。利润率根据《企业绩效评价标准值》选取</w:t>
      </w:r>
      <w:r>
        <w:rPr>
          <w:rFonts w:hint="eastAsia"/>
        </w:rPr>
        <w:t>。</w:t>
      </w:r>
    </w:p>
    <w:p>
      <w:pPr>
        <w:keepNext w:val="0"/>
        <w:keepLines w:val="0"/>
        <w:pageBreakBefore w:val="0"/>
        <w:widowControl/>
        <w:kinsoku/>
        <w:wordWrap/>
        <w:overflowPunct/>
        <w:autoSpaceDE/>
        <w:autoSpaceDN/>
        <w:bidi w:val="0"/>
        <w:adjustRightInd/>
        <w:snapToGrid/>
        <w:spacing w:before="120" w:beforeLines="50" w:line="520" w:lineRule="exact"/>
        <w:ind w:firstLine="540" w:firstLineChars="225"/>
        <w:textAlignment w:val="auto"/>
        <w:outlineLvl w:val="9"/>
        <w:rPr>
          <w:rFonts w:hint="eastAsia"/>
        </w:rPr>
      </w:pPr>
      <w:r>
        <w:rPr>
          <w:rFonts w:hint="eastAsia"/>
        </w:rPr>
        <w:t>利润＝（建安造价＋前期费用</w:t>
      </w:r>
      <w:r>
        <w:rPr>
          <w:rFonts w:hint="eastAsia"/>
          <w:lang w:val="en-US" w:eastAsia="zh-CN"/>
        </w:rPr>
        <w:t>及</w:t>
      </w:r>
      <w:r>
        <w:rPr>
          <w:rFonts w:hint="eastAsia"/>
        </w:rPr>
        <w:t>其他费用）×利润率</w:t>
      </w:r>
    </w:p>
    <w:p>
      <w:pPr>
        <w:keepNext w:val="0"/>
        <w:keepLines w:val="0"/>
        <w:pageBreakBefore w:val="0"/>
        <w:widowControl/>
        <w:kinsoku/>
        <w:wordWrap/>
        <w:overflowPunct/>
        <w:autoSpaceDE/>
        <w:autoSpaceDN/>
        <w:bidi w:val="0"/>
        <w:adjustRightInd/>
        <w:snapToGrid/>
        <w:spacing w:line="520" w:lineRule="exact"/>
        <w:ind w:firstLine="504"/>
        <w:textAlignment w:val="auto"/>
        <w:outlineLvl w:val="9"/>
        <w:rPr>
          <w:rFonts w:hint="eastAsia" w:ascii="宋体" w:hAnsi="宋体" w:eastAsia="宋体" w:cs="宋体"/>
          <w:spacing w:val="6"/>
        </w:rPr>
      </w:pPr>
      <w:r>
        <w:rPr>
          <w:rFonts w:hint="eastAsia" w:ascii="宋体" w:hAnsi="宋体" w:eastAsia="宋体" w:cs="宋体"/>
          <w:spacing w:val="6"/>
        </w:rPr>
        <w:t>(2)、成新率的确定</w:t>
      </w:r>
    </w:p>
    <w:p>
      <w:pPr>
        <w:keepNext w:val="0"/>
        <w:keepLines w:val="0"/>
        <w:pageBreakBefore w:val="0"/>
        <w:widowControl/>
        <w:kinsoku/>
        <w:wordWrap/>
        <w:overflowPunct/>
        <w:autoSpaceDE/>
        <w:autoSpaceDN/>
        <w:bidi w:val="0"/>
        <w:adjustRightInd/>
        <w:snapToGrid/>
        <w:spacing w:line="520" w:lineRule="exact"/>
        <w:ind w:firstLine="480"/>
        <w:textAlignment w:val="auto"/>
        <w:outlineLvl w:val="9"/>
      </w:pPr>
      <w:r>
        <w:t>成新率的确定采用年限法和观察法以不同权重加权计算，其中</w:t>
      </w:r>
      <w:r>
        <w:rPr>
          <w:rFonts w:hint="eastAsia"/>
        </w:rPr>
        <w:t>：</w:t>
      </w:r>
      <w:r>
        <w:t>年限法权重取40%</w:t>
      </w:r>
      <w:r>
        <w:rPr>
          <w:rFonts w:hint="eastAsia"/>
        </w:rPr>
        <w:t>，</w:t>
      </w:r>
      <w:r>
        <w:t xml:space="preserve"> 观察法权重取60%。即：</w:t>
      </w:r>
    </w:p>
    <w:p>
      <w:pPr>
        <w:keepNext w:val="0"/>
        <w:keepLines w:val="0"/>
        <w:pageBreakBefore w:val="0"/>
        <w:widowControl/>
        <w:kinsoku/>
        <w:wordWrap/>
        <w:overflowPunct/>
        <w:autoSpaceDE/>
        <w:autoSpaceDN/>
        <w:bidi w:val="0"/>
        <w:adjustRightInd/>
        <w:snapToGrid/>
        <w:spacing w:line="520" w:lineRule="exact"/>
        <w:ind w:firstLine="480"/>
        <w:textAlignment w:val="auto"/>
        <w:outlineLvl w:val="9"/>
      </w:pPr>
      <w:r>
        <w:t>成新率=年限法成新率×40%+观察法成新率×60%</w:t>
      </w:r>
    </w:p>
    <w:p>
      <w:pPr>
        <w:keepNext w:val="0"/>
        <w:keepLines w:val="0"/>
        <w:pageBreakBefore w:val="0"/>
        <w:widowControl/>
        <w:numPr>
          <w:ilvl w:val="0"/>
          <w:numId w:val="12"/>
        </w:numPr>
        <w:kinsoku/>
        <w:wordWrap/>
        <w:overflowPunct/>
        <w:autoSpaceDE/>
        <w:autoSpaceDN/>
        <w:bidi w:val="0"/>
        <w:adjustRightInd/>
        <w:snapToGrid/>
        <w:spacing w:line="520" w:lineRule="exact"/>
        <w:ind w:left="0" w:leftChars="0" w:firstLine="400" w:firstLineChars="0"/>
        <w:textAlignment w:val="auto"/>
        <w:outlineLvl w:val="9"/>
      </w:pPr>
      <w:r>
        <w:t>观察法成新率</w:t>
      </w:r>
    </w:p>
    <w:p>
      <w:pPr>
        <w:keepNext w:val="0"/>
        <w:keepLines w:val="0"/>
        <w:pageBreakBefore w:val="0"/>
        <w:widowControl/>
        <w:numPr>
          <w:ilvl w:val="0"/>
          <w:numId w:val="0"/>
        </w:numPr>
        <w:kinsoku/>
        <w:wordWrap/>
        <w:overflowPunct/>
        <w:autoSpaceDE/>
        <w:autoSpaceDN/>
        <w:bidi w:val="0"/>
        <w:adjustRightInd/>
        <w:snapToGrid/>
        <w:spacing w:line="520" w:lineRule="exact"/>
        <w:ind w:left="400" w:leftChars="0" w:firstLine="480" w:firstLineChars="200"/>
        <w:textAlignment w:val="auto"/>
        <w:outlineLvl w:val="9"/>
      </w:pPr>
      <w:r>
        <w:t>评估人员实地勘查委估建筑物的使用状况，调查、了解建筑物的维护、改造情况，对其主要结构部分、装修部分、设施部分进行现场勘查，结合建筑物完损等级及不同结构部分相应的权重系数确定成新率。</w:t>
      </w:r>
    </w:p>
    <w:p>
      <w:pPr>
        <w:keepNext w:val="0"/>
        <w:keepLines w:val="0"/>
        <w:pageBreakBefore w:val="0"/>
        <w:widowControl/>
        <w:numPr>
          <w:ilvl w:val="0"/>
          <w:numId w:val="0"/>
        </w:numPr>
        <w:kinsoku/>
        <w:wordWrap/>
        <w:overflowPunct/>
        <w:autoSpaceDE/>
        <w:autoSpaceDN/>
        <w:bidi w:val="0"/>
        <w:adjustRightInd/>
        <w:snapToGrid/>
        <w:spacing w:line="520" w:lineRule="exact"/>
        <w:ind w:left="400" w:leftChars="0" w:firstLine="480" w:firstLineChars="200"/>
        <w:textAlignment w:val="auto"/>
        <w:outlineLvl w:val="9"/>
      </w:pPr>
      <w:r>
        <w:t>观察法成新率=结构部分合计得分×权重+装修部分合计得分×权重+设备部分得分×权重</w:t>
      </w:r>
    </w:p>
    <w:p>
      <w:pPr>
        <w:keepNext w:val="0"/>
        <w:keepLines w:val="0"/>
        <w:pageBreakBefore w:val="0"/>
        <w:widowControl/>
        <w:numPr>
          <w:ilvl w:val="0"/>
          <w:numId w:val="12"/>
        </w:numPr>
        <w:kinsoku/>
        <w:wordWrap/>
        <w:overflowPunct/>
        <w:autoSpaceDE/>
        <w:autoSpaceDN/>
        <w:bidi w:val="0"/>
        <w:adjustRightInd/>
        <w:snapToGrid/>
        <w:spacing w:line="520" w:lineRule="exact"/>
        <w:ind w:left="0" w:leftChars="0" w:firstLine="400" w:firstLineChars="0"/>
        <w:textAlignment w:val="auto"/>
        <w:outlineLvl w:val="9"/>
      </w:pPr>
      <w:r>
        <w:t>年限法成新率</w:t>
      </w:r>
    </w:p>
    <w:p>
      <w:pPr>
        <w:keepNext w:val="0"/>
        <w:keepLines w:val="0"/>
        <w:pageBreakBefore w:val="0"/>
        <w:widowControl/>
        <w:kinsoku/>
        <w:wordWrap/>
        <w:overflowPunct/>
        <w:autoSpaceDE/>
        <w:autoSpaceDN/>
        <w:bidi w:val="0"/>
        <w:adjustRightInd/>
        <w:snapToGrid/>
        <w:spacing w:line="520" w:lineRule="exact"/>
        <w:ind w:firstLine="480" w:firstLineChars="200"/>
        <w:textAlignment w:val="auto"/>
        <w:outlineLvl w:val="9"/>
      </w:pPr>
      <w:r>
        <w:t>依据委估建筑物的经济耐用年限、已使用年限和尚可使用年限计算确定房屋建筑物的成新率。计算公式为：</w:t>
      </w:r>
    </w:p>
    <w:p>
      <w:pPr>
        <w:pStyle w:val="10"/>
        <w:keepNext w:val="0"/>
        <w:keepLines w:val="0"/>
        <w:pageBreakBefore w:val="0"/>
        <w:widowControl/>
        <w:kinsoku/>
        <w:wordWrap/>
        <w:overflowPunct/>
        <w:topLinePunct/>
        <w:autoSpaceDE/>
        <w:autoSpaceDN/>
        <w:bidi w:val="0"/>
        <w:adjustRightInd/>
        <w:snapToGrid/>
        <w:spacing w:line="520" w:lineRule="exact"/>
        <w:ind w:firstLine="480" w:firstLineChars="200"/>
        <w:textAlignment w:val="auto"/>
        <w:outlineLvl w:val="9"/>
        <w:rPr>
          <w:rFonts w:ascii="宋体" w:hAnsi="宋体" w:cs="宋体"/>
          <w:sz w:val="24"/>
          <w:szCs w:val="24"/>
          <w:lang w:val="en-US" w:eastAsia="zh-CN" w:bidi="ar-SA"/>
        </w:rPr>
      </w:pPr>
      <w:r>
        <w:rPr>
          <w:rFonts w:ascii="宋体" w:hAnsi="宋体" w:cs="宋体"/>
          <w:sz w:val="24"/>
          <w:szCs w:val="24"/>
          <w:lang w:val="en-US" w:eastAsia="zh-CN" w:bidi="ar-SA"/>
        </w:rPr>
        <w:t>年限法成新率＝尚可使用年限／（已使用年限＋尚可使用年限）×100%</w:t>
      </w:r>
    </w:p>
    <w:p>
      <w:pPr>
        <w:keepNext w:val="0"/>
        <w:keepLines w:val="0"/>
        <w:pageBreakBefore w:val="0"/>
        <w:widowControl/>
        <w:kinsoku/>
        <w:wordWrap/>
        <w:overflowPunct/>
        <w:autoSpaceDE/>
        <w:autoSpaceDN/>
        <w:bidi w:val="0"/>
        <w:adjustRightInd/>
        <w:snapToGrid/>
        <w:spacing w:line="520" w:lineRule="exact"/>
        <w:ind w:firstLine="504"/>
        <w:textAlignment w:val="auto"/>
        <w:outlineLvl w:val="9"/>
        <w:rPr>
          <w:rFonts w:hint="eastAsia" w:ascii="宋体" w:hAnsi="宋体" w:eastAsia="宋体" w:cs="宋体"/>
          <w:spacing w:val="6"/>
        </w:rPr>
      </w:pPr>
      <w:r>
        <w:rPr>
          <w:rFonts w:hint="eastAsia" w:ascii="宋体" w:hAnsi="宋体" w:eastAsia="宋体" w:cs="宋体"/>
          <w:spacing w:val="6"/>
        </w:rPr>
        <w:t xml:space="preserve"> (3)、评估值的计算 </w:t>
      </w:r>
    </w:p>
    <w:p>
      <w:pPr>
        <w:keepNext w:val="0"/>
        <w:keepLines w:val="0"/>
        <w:pageBreakBefore w:val="0"/>
        <w:widowControl/>
        <w:kinsoku/>
        <w:wordWrap/>
        <w:overflowPunct/>
        <w:autoSpaceDE/>
        <w:autoSpaceDN/>
        <w:bidi w:val="0"/>
        <w:adjustRightInd/>
        <w:snapToGrid/>
        <w:spacing w:line="520" w:lineRule="exact"/>
        <w:ind w:left="480" w:firstLine="0" w:firstLineChars="0"/>
        <w:textAlignment w:val="auto"/>
        <w:outlineLvl w:val="9"/>
        <w:rPr>
          <w:rFonts w:hint="eastAsia" w:ascii="宋体" w:hAnsi="宋体" w:eastAsia="宋体" w:cs="宋体"/>
          <w:spacing w:val="6"/>
          <w:highlight w:val="none"/>
        </w:rPr>
      </w:pPr>
      <w:r>
        <w:rPr>
          <w:rFonts w:hint="eastAsia" w:ascii="宋体" w:hAnsi="宋体" w:eastAsia="宋体" w:cs="宋体"/>
          <w:spacing w:val="6"/>
          <w:highlight w:val="none"/>
        </w:rPr>
        <w:t>公式为：建（构）筑物评估值 ＝重置全价×综合成新率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eastAsia="宋体"/>
          <w:snapToGrid w:val="0"/>
          <w:color w:val="auto"/>
          <w:highlight w:val="none"/>
          <w:lang w:eastAsia="zh-CN"/>
        </w:rPr>
      </w:pPr>
      <w:r>
        <w:rPr>
          <w:rFonts w:hint="eastAsia" w:ascii="宋体" w:hAnsi="宋体" w:eastAsia="宋体"/>
          <w:lang w:eastAsia="zh-CN"/>
        </w:rPr>
        <w:t>因</w:t>
      </w:r>
      <w:r>
        <w:rPr>
          <w:rFonts w:hint="eastAsia" w:ascii="宋体" w:hAnsi="宋体" w:eastAsia="宋体"/>
        </w:rPr>
        <w:t>本次</w:t>
      </w:r>
      <w:r>
        <w:rPr>
          <w:rFonts w:hint="eastAsia" w:ascii="宋体" w:hAnsi="宋体" w:eastAsia="宋体"/>
          <w:lang w:eastAsia="zh-CN"/>
        </w:rPr>
        <w:t>选用的价值类型</w:t>
      </w:r>
      <w:r>
        <w:rPr>
          <w:rFonts w:hint="eastAsia" w:ascii="宋体" w:hAnsi="宋体" w:eastAsia="宋体"/>
        </w:rPr>
        <w:t>为清算价值，考虑资产短期变现处置造成的折扣损失，为快速变现结合当地资产的实际情况确定本次委估资产的变现折扣率为</w:t>
      </w:r>
      <w:r>
        <w:rPr>
          <w:rFonts w:hint="eastAsia" w:ascii="宋体" w:hAnsi="宋体" w:eastAsia="宋体"/>
          <w:highlight w:val="none"/>
          <w:lang w:val="en-US" w:eastAsia="zh-CN"/>
        </w:rPr>
        <w:t>5</w:t>
      </w:r>
      <w:r>
        <w:rPr>
          <w:rFonts w:ascii="宋体" w:hAnsi="宋体" w:eastAsia="宋体"/>
          <w:highlight w:val="none"/>
        </w:rPr>
        <w:t>%</w:t>
      </w:r>
      <w:r>
        <w:rPr>
          <w:rFonts w:hint="eastAsia" w:ascii="宋体" w:hAnsi="宋体" w:eastAsia="宋体"/>
          <w:highlight w:val="none"/>
          <w:lang w:eastAsia="zh-CN"/>
        </w:rPr>
        <w:t>；</w:t>
      </w:r>
      <w:r>
        <w:rPr>
          <w:rFonts w:hint="eastAsia" w:ascii="宋体" w:hAnsi="宋体" w:eastAsia="宋体"/>
          <w:lang w:eastAsia="zh-CN"/>
        </w:rPr>
        <w:t>其最终评估结果如下：</w:t>
      </w:r>
      <w:r>
        <w:rPr>
          <w:rFonts w:hint="eastAsia" w:eastAsia="宋体"/>
          <w:snapToGrid w:val="0"/>
          <w:color w:val="auto"/>
          <w:highlight w:val="none"/>
          <w:lang w:eastAsia="zh-CN"/>
        </w:rPr>
        <w:t>（单价取整至十元位，总价取整至百元位）</w:t>
      </w:r>
    </w:p>
    <w:tbl>
      <w:tblPr>
        <w:tblW w:w="9244" w:type="dxa"/>
        <w:tblInd w:w="0" w:type="dxa"/>
        <w:shd w:val="clear"/>
        <w:tblLayout w:type="fixed"/>
        <w:tblCellMar>
          <w:top w:w="0" w:type="dxa"/>
          <w:left w:w="0" w:type="dxa"/>
          <w:bottom w:w="0" w:type="dxa"/>
          <w:right w:w="0" w:type="dxa"/>
        </w:tblCellMar>
      </w:tblPr>
      <w:tblGrid>
        <w:gridCol w:w="270"/>
        <w:gridCol w:w="1140"/>
        <w:gridCol w:w="962"/>
        <w:gridCol w:w="632"/>
        <w:gridCol w:w="494"/>
        <w:gridCol w:w="896"/>
        <w:gridCol w:w="633"/>
        <w:gridCol w:w="634"/>
        <w:gridCol w:w="1135"/>
        <w:gridCol w:w="806"/>
        <w:gridCol w:w="607"/>
        <w:gridCol w:w="1035"/>
      </w:tblGrid>
      <w:tr>
        <w:tblPrEx>
          <w:shd w:val="clear"/>
          <w:tblLayout w:type="fixed"/>
          <w:tblCellMar>
            <w:top w:w="0" w:type="dxa"/>
            <w:left w:w="0" w:type="dxa"/>
            <w:bottom w:w="0" w:type="dxa"/>
            <w:right w:w="0" w:type="dxa"/>
          </w:tblCellMar>
        </w:tblPrEx>
        <w:trPr>
          <w:trHeight w:val="300" w:hRule="atLeast"/>
        </w:trPr>
        <w:tc>
          <w:tcPr>
            <w:tcW w:w="2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序号</w:t>
            </w:r>
          </w:p>
        </w:tc>
        <w:tc>
          <w:tcPr>
            <w:tcW w:w="1140"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权证</w:t>
            </w:r>
          </w:p>
        </w:tc>
        <w:tc>
          <w:tcPr>
            <w:tcW w:w="962"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建筑物</w:t>
            </w:r>
          </w:p>
        </w:tc>
        <w:tc>
          <w:tcPr>
            <w:tcW w:w="632"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结构</w:t>
            </w:r>
          </w:p>
        </w:tc>
        <w:tc>
          <w:tcPr>
            <w:tcW w:w="49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建成</w:t>
            </w:r>
            <w:r>
              <w:rPr>
                <w:rFonts w:hint="eastAsia" w:ascii="宋体-PUA" w:hAnsi="宋体-PUA" w:eastAsia="宋体-PUA" w:cs="宋体-PUA"/>
                <w:b/>
                <w:i w:val="0"/>
                <w:color w:val="000000"/>
                <w:kern w:val="0"/>
                <w:sz w:val="18"/>
                <w:szCs w:val="18"/>
                <w:u w:val="none"/>
                <w:bdr w:val="none" w:color="auto" w:sz="0" w:space="0"/>
                <w:lang w:val="en-US" w:eastAsia="zh-CN" w:bidi="ar"/>
              </w:rPr>
              <w:br w:type="textWrapping"/>
            </w:r>
            <w:r>
              <w:rPr>
                <w:rFonts w:hint="eastAsia" w:ascii="宋体-PUA" w:hAnsi="宋体-PUA" w:eastAsia="宋体-PUA" w:cs="宋体-PUA"/>
                <w:b/>
                <w:i w:val="0"/>
                <w:color w:val="000000"/>
                <w:kern w:val="0"/>
                <w:sz w:val="18"/>
                <w:szCs w:val="18"/>
                <w:u w:val="none"/>
                <w:bdr w:val="none" w:color="auto" w:sz="0" w:space="0"/>
                <w:lang w:val="en-US" w:eastAsia="zh-CN" w:bidi="ar"/>
              </w:rPr>
              <w:t>年月</w:t>
            </w:r>
          </w:p>
        </w:tc>
        <w:tc>
          <w:tcPr>
            <w:tcW w:w="896"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建筑面</w:t>
            </w:r>
          </w:p>
        </w:tc>
        <w:tc>
          <w:tcPr>
            <w:tcW w:w="1267"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账面价值</w:t>
            </w:r>
          </w:p>
        </w:tc>
        <w:tc>
          <w:tcPr>
            <w:tcW w:w="3583"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评估价值（元）</w:t>
            </w:r>
          </w:p>
        </w:tc>
      </w:tr>
      <w:tr>
        <w:tblPrEx>
          <w:tblLayout w:type="fixed"/>
          <w:tblCellMar>
            <w:top w:w="0" w:type="dxa"/>
            <w:left w:w="0" w:type="dxa"/>
            <w:bottom w:w="0" w:type="dxa"/>
            <w:right w:w="0" w:type="dxa"/>
          </w:tblCellMar>
        </w:tblPrEx>
        <w:trPr>
          <w:trHeight w:val="480" w:hRule="atLeast"/>
        </w:trPr>
        <w:tc>
          <w:tcPr>
            <w:tcW w:w="2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b/>
                <w:i w:val="0"/>
                <w:color w:val="000000"/>
                <w:sz w:val="18"/>
                <w:szCs w:val="18"/>
                <w:u w:val="none"/>
              </w:rPr>
            </w:pPr>
          </w:p>
        </w:tc>
        <w:tc>
          <w:tcPr>
            <w:tcW w:w="114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编号</w:t>
            </w:r>
          </w:p>
        </w:tc>
        <w:tc>
          <w:tcPr>
            <w:tcW w:w="962"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名称</w:t>
            </w:r>
          </w:p>
        </w:tc>
        <w:tc>
          <w:tcPr>
            <w:tcW w:w="632"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b/>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PUA" w:hAnsi="宋体-PUA" w:eastAsia="宋体-PUA" w:cs="宋体-PUA"/>
                <w:b/>
                <w:i w:val="0"/>
                <w:color w:val="000000"/>
                <w:sz w:val="18"/>
                <w:szCs w:val="18"/>
                <w:u w:val="none"/>
              </w:rPr>
            </w:pPr>
          </w:p>
        </w:tc>
        <w:tc>
          <w:tcPr>
            <w:tcW w:w="896"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积(㎡)</w:t>
            </w:r>
          </w:p>
        </w:tc>
        <w:tc>
          <w:tcPr>
            <w:tcW w:w="6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原值</w:t>
            </w:r>
          </w:p>
        </w:tc>
        <w:tc>
          <w:tcPr>
            <w:tcW w:w="63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净值</w:t>
            </w:r>
          </w:p>
        </w:tc>
        <w:tc>
          <w:tcPr>
            <w:tcW w:w="11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原值</w:t>
            </w:r>
          </w:p>
        </w:tc>
        <w:tc>
          <w:tcPr>
            <w:tcW w:w="80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成新率</w:t>
            </w:r>
          </w:p>
        </w:tc>
        <w:tc>
          <w:tcPr>
            <w:tcW w:w="6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快速变现折扣</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净值</w:t>
            </w:r>
          </w:p>
        </w:tc>
      </w:tr>
      <w:tr>
        <w:tblPrEx>
          <w:tblLayout w:type="fixed"/>
          <w:tblCellMar>
            <w:top w:w="0" w:type="dxa"/>
            <w:left w:w="0" w:type="dxa"/>
            <w:bottom w:w="0" w:type="dxa"/>
            <w:right w:w="0" w:type="dxa"/>
          </w:tblCellMar>
        </w:tblPrEx>
        <w:trPr>
          <w:trHeight w:val="600" w:hRule="atLeast"/>
        </w:trPr>
        <w:tc>
          <w:tcPr>
            <w:tcW w:w="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城固县房权证博望镇字第20080269号</w:t>
            </w:r>
          </w:p>
        </w:tc>
        <w:tc>
          <w:tcPr>
            <w:tcW w:w="9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1-2层混合</w:t>
            </w:r>
          </w:p>
        </w:tc>
        <w:tc>
          <w:tcPr>
            <w:tcW w:w="6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混合</w:t>
            </w:r>
          </w:p>
        </w:tc>
        <w:tc>
          <w:tcPr>
            <w:tcW w:w="4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i w:val="0"/>
                <w:color w:val="000000"/>
                <w:sz w:val="18"/>
                <w:szCs w:val="18"/>
                <w:u w:val="none"/>
              </w:rPr>
            </w:pPr>
          </w:p>
        </w:tc>
        <w:tc>
          <w:tcPr>
            <w:tcW w:w="89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266.54</w:t>
            </w:r>
          </w:p>
        </w:tc>
        <w:tc>
          <w:tcPr>
            <w:tcW w:w="6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i w:val="0"/>
                <w:color w:val="000000"/>
                <w:sz w:val="18"/>
                <w:szCs w:val="18"/>
                <w:u w:val="none"/>
              </w:rPr>
            </w:pPr>
          </w:p>
        </w:tc>
        <w:tc>
          <w:tcPr>
            <w:tcW w:w="63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i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753,900.00</w:t>
            </w:r>
          </w:p>
        </w:tc>
        <w:tc>
          <w:tcPr>
            <w:tcW w:w="80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80%</w:t>
            </w:r>
          </w:p>
        </w:tc>
        <w:tc>
          <w:tcPr>
            <w:tcW w:w="60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573,000.00</w:t>
            </w:r>
          </w:p>
        </w:tc>
      </w:tr>
      <w:tr>
        <w:tblPrEx>
          <w:tblLayout w:type="fixed"/>
          <w:tblCellMar>
            <w:top w:w="0" w:type="dxa"/>
            <w:left w:w="0" w:type="dxa"/>
            <w:bottom w:w="0" w:type="dxa"/>
            <w:right w:w="0" w:type="dxa"/>
          </w:tblCellMar>
        </w:tblPrEx>
        <w:trPr>
          <w:trHeight w:val="472" w:hRule="atLeast"/>
        </w:trPr>
        <w:tc>
          <w:tcPr>
            <w:tcW w:w="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2</w:t>
            </w: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PUA" w:hAnsi="宋体-PUA" w:eastAsia="宋体-PUA" w:cs="宋体-PUA"/>
                <w:i w:val="0"/>
                <w:color w:val="000000"/>
                <w:sz w:val="18"/>
                <w:szCs w:val="18"/>
                <w:u w:val="none"/>
              </w:rPr>
            </w:pPr>
          </w:p>
        </w:tc>
        <w:tc>
          <w:tcPr>
            <w:tcW w:w="9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3层砖木</w:t>
            </w:r>
          </w:p>
        </w:tc>
        <w:tc>
          <w:tcPr>
            <w:tcW w:w="6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砖木</w:t>
            </w:r>
          </w:p>
        </w:tc>
        <w:tc>
          <w:tcPr>
            <w:tcW w:w="4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i w:val="0"/>
                <w:color w:val="000000"/>
                <w:sz w:val="18"/>
                <w:szCs w:val="18"/>
                <w:u w:val="none"/>
              </w:rPr>
            </w:pPr>
          </w:p>
        </w:tc>
        <w:tc>
          <w:tcPr>
            <w:tcW w:w="89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142.06</w:t>
            </w:r>
          </w:p>
        </w:tc>
        <w:tc>
          <w:tcPr>
            <w:tcW w:w="6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i w:val="0"/>
                <w:color w:val="000000"/>
                <w:sz w:val="18"/>
                <w:szCs w:val="18"/>
                <w:u w:val="none"/>
              </w:rPr>
            </w:pPr>
          </w:p>
        </w:tc>
        <w:tc>
          <w:tcPr>
            <w:tcW w:w="63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i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299,000.00</w:t>
            </w:r>
          </w:p>
        </w:tc>
        <w:tc>
          <w:tcPr>
            <w:tcW w:w="80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80%</w:t>
            </w:r>
          </w:p>
        </w:tc>
        <w:tc>
          <w:tcPr>
            <w:tcW w:w="60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i w:val="0"/>
                <w:color w:val="000000"/>
                <w:sz w:val="18"/>
                <w:szCs w:val="18"/>
                <w:u w:val="none"/>
              </w:rPr>
            </w:pPr>
            <w:r>
              <w:rPr>
                <w:rFonts w:hint="eastAsia" w:ascii="宋体-PUA" w:hAnsi="宋体-PUA" w:eastAsia="宋体-PUA" w:cs="宋体-PUA"/>
                <w:i w:val="0"/>
                <w:color w:val="000000"/>
                <w:kern w:val="0"/>
                <w:sz w:val="18"/>
                <w:szCs w:val="18"/>
                <w:u w:val="none"/>
                <w:bdr w:val="none" w:color="auto" w:sz="0" w:space="0"/>
                <w:lang w:val="en-US" w:eastAsia="zh-CN" w:bidi="ar"/>
              </w:rPr>
              <w:t>227,200.00</w:t>
            </w:r>
          </w:p>
        </w:tc>
      </w:tr>
      <w:tr>
        <w:tblPrEx>
          <w:tblLayout w:type="fixed"/>
          <w:tblCellMar>
            <w:top w:w="0" w:type="dxa"/>
            <w:left w:w="0" w:type="dxa"/>
            <w:bottom w:w="0" w:type="dxa"/>
            <w:right w:w="0" w:type="dxa"/>
          </w:tblCellMar>
        </w:tblPrEx>
        <w:trPr>
          <w:trHeight w:val="620" w:hRule="atLeast"/>
        </w:trPr>
        <w:tc>
          <w:tcPr>
            <w:tcW w:w="3498" w:type="dxa"/>
            <w:gridSpan w:val="5"/>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合计</w:t>
            </w:r>
          </w:p>
        </w:tc>
        <w:tc>
          <w:tcPr>
            <w:tcW w:w="89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408.60</w:t>
            </w:r>
          </w:p>
        </w:tc>
        <w:tc>
          <w:tcPr>
            <w:tcW w:w="6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w:t>
            </w:r>
          </w:p>
        </w:tc>
        <w:tc>
          <w:tcPr>
            <w:tcW w:w="63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1,052,900.00</w:t>
            </w:r>
          </w:p>
        </w:tc>
        <w:tc>
          <w:tcPr>
            <w:tcW w:w="80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b/>
                <w:i w:val="0"/>
                <w:color w:val="FFFFFF"/>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PUA" w:hAnsi="宋体-PUA" w:eastAsia="宋体-PUA" w:cs="宋体-PUA"/>
                <w:b/>
                <w:i w:val="0"/>
                <w:color w:val="FFFFFF"/>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PUA" w:hAnsi="宋体-PUA" w:eastAsia="宋体-PUA" w:cs="宋体-PUA"/>
                <w:b/>
                <w:i w:val="0"/>
                <w:color w:val="000000"/>
                <w:sz w:val="18"/>
                <w:szCs w:val="18"/>
                <w:u w:val="none"/>
              </w:rPr>
            </w:pPr>
            <w:r>
              <w:rPr>
                <w:rFonts w:hint="eastAsia" w:ascii="宋体-PUA" w:hAnsi="宋体-PUA" w:eastAsia="宋体-PUA" w:cs="宋体-PUA"/>
                <w:b/>
                <w:i w:val="0"/>
                <w:color w:val="000000"/>
                <w:kern w:val="0"/>
                <w:sz w:val="18"/>
                <w:szCs w:val="18"/>
                <w:u w:val="none"/>
                <w:bdr w:val="none" w:color="auto" w:sz="0" w:space="0"/>
                <w:lang w:val="en-US" w:eastAsia="zh-CN" w:bidi="ar"/>
              </w:rPr>
              <w:t>800,200.00</w:t>
            </w:r>
          </w:p>
        </w:tc>
      </w:tr>
    </w:tbl>
    <w:p>
      <w:pPr>
        <w:spacing w:line="560" w:lineRule="exact"/>
        <w:ind w:left="0" w:leftChars="0" w:firstLine="240" w:firstLineChars="100"/>
        <w:rPr>
          <w:rFonts w:ascii="宋体" w:hAnsi="宋体" w:eastAsia="宋体" w:cs="宋体"/>
        </w:rPr>
      </w:pPr>
      <w:r>
        <w:rPr>
          <w:rFonts w:hint="eastAsia" w:ascii="宋体" w:hAnsi="宋体" w:eastAsia="宋体" w:cs="宋体"/>
        </w:rPr>
        <w:t>（七）编制和提交评估报告</w:t>
      </w:r>
    </w:p>
    <w:p>
      <w:pPr>
        <w:spacing w:line="560" w:lineRule="exact"/>
        <w:ind w:firstLine="480"/>
        <w:rPr>
          <w:rFonts w:ascii="宋体" w:hAnsi="宋体" w:eastAsia="宋体" w:cs="宋体"/>
        </w:rPr>
      </w:pPr>
      <w:r>
        <w:rPr>
          <w:rFonts w:hint="eastAsia" w:ascii="宋体" w:hAnsi="宋体" w:eastAsia="宋体" w:cs="宋体"/>
        </w:rPr>
        <w:t>在执行评定估算程序后，根据法律、法规和资产评估准则的要求编制评估报告。根据相关法律、法规、资产评估准则和评估机构内部质量控制制度，对评估报告及评估程序执行情况进行必要的内部审核。提交正式评估报告前，在不影响对最终评估结论进行独立判断的前提下，与委托方或者委托方许可的相关当事方就评估报告有关内容进行必要沟通。</w:t>
      </w:r>
    </w:p>
    <w:p>
      <w:pPr>
        <w:spacing w:line="560" w:lineRule="exact"/>
        <w:ind w:firstLine="480"/>
        <w:rPr>
          <w:rFonts w:ascii="宋体" w:hAnsi="宋体" w:eastAsia="宋体" w:cs="宋体"/>
        </w:rPr>
      </w:pPr>
      <w:r>
        <w:rPr>
          <w:rFonts w:hint="eastAsia" w:ascii="宋体" w:hAnsi="宋体" w:eastAsia="宋体" w:cs="宋体"/>
        </w:rPr>
        <w:t>完成上述评估程序后，出具评估报告并按</w:t>
      </w:r>
      <w:r>
        <w:rPr>
          <w:rFonts w:hint="eastAsia" w:ascii="宋体" w:hAnsi="宋体" w:eastAsia="宋体" w:cs="宋体"/>
          <w:lang w:eastAsia="zh-CN"/>
        </w:rPr>
        <w:t>评估委托书</w:t>
      </w:r>
      <w:r>
        <w:rPr>
          <w:rFonts w:hint="eastAsia" w:ascii="宋体" w:hAnsi="宋体" w:eastAsia="宋体" w:cs="宋体"/>
        </w:rPr>
        <w:t>的要求向委托方提交评估报告。</w:t>
      </w:r>
    </w:p>
    <w:p>
      <w:pPr>
        <w:spacing w:line="560" w:lineRule="exact"/>
        <w:ind w:firstLine="480"/>
        <w:rPr>
          <w:rFonts w:ascii="宋体" w:hAnsi="宋体" w:eastAsia="宋体" w:cs="宋体"/>
        </w:rPr>
      </w:pPr>
      <w:r>
        <w:rPr>
          <w:rFonts w:hint="eastAsia" w:ascii="宋体" w:hAnsi="宋体" w:eastAsia="宋体" w:cs="宋体"/>
        </w:rPr>
        <w:t>（八）工作底稿归档</w:t>
      </w:r>
    </w:p>
    <w:p>
      <w:pPr>
        <w:spacing w:line="560" w:lineRule="exact"/>
        <w:ind w:firstLine="480"/>
        <w:rPr>
          <w:rFonts w:ascii="宋体" w:hAnsi="宋体" w:eastAsia="宋体" w:cs="宋体"/>
        </w:rPr>
      </w:pPr>
      <w:r>
        <w:rPr>
          <w:rFonts w:hint="eastAsia" w:ascii="宋体" w:hAnsi="宋体" w:eastAsia="宋体" w:cs="宋体"/>
        </w:rPr>
        <w:t>在提交评估报告后，应当按照法律、法规和资产评估准则的要求对工作底稿进行整理，与评估报告一起及时形成评估档案。</w:t>
      </w:r>
    </w:p>
    <w:p>
      <w:pPr>
        <w:pStyle w:val="4"/>
        <w:tabs>
          <w:tab w:val="left" w:pos="993"/>
        </w:tabs>
        <w:spacing w:beforeLines="50" w:afterLines="50" w:line="560" w:lineRule="exact"/>
        <w:ind w:left="-2" w:leftChars="-1" w:firstLine="551" w:firstLineChars="196"/>
        <w:rPr>
          <w:rFonts w:ascii="宋体" w:hAnsi="宋体" w:eastAsia="宋体" w:cs="宋体"/>
          <w:sz w:val="28"/>
        </w:rPr>
      </w:pPr>
      <w:bookmarkStart w:id="34" w:name="_Toc8768"/>
      <w:bookmarkStart w:id="35" w:name="_Toc30715"/>
      <w:r>
        <w:rPr>
          <w:rFonts w:hint="eastAsia" w:ascii="宋体" w:hAnsi="宋体" w:eastAsia="宋体" w:cs="宋体"/>
          <w:sz w:val="28"/>
        </w:rPr>
        <w:t>九、评估假设</w:t>
      </w:r>
      <w:bookmarkEnd w:id="34"/>
      <w:bookmarkEnd w:id="35"/>
    </w:p>
    <w:p>
      <w:pPr>
        <w:pStyle w:val="5"/>
        <w:numPr>
          <w:ilvl w:val="0"/>
          <w:numId w:val="13"/>
        </w:numPr>
        <w:tabs>
          <w:tab w:val="left" w:pos="851"/>
          <w:tab w:val="left" w:pos="993"/>
        </w:tabs>
        <w:spacing w:line="560" w:lineRule="exact"/>
        <w:ind w:left="0" w:leftChars="0" w:firstLine="400" w:firstLineChars="0"/>
        <w:rPr>
          <w:rFonts w:hAnsi="宋体" w:cs="宋体"/>
          <w:sz w:val="24"/>
          <w:szCs w:val="24"/>
        </w:rPr>
      </w:pPr>
      <w:r>
        <w:rPr>
          <w:rFonts w:hint="eastAsia" w:hAnsi="宋体" w:cs="宋体"/>
          <w:sz w:val="24"/>
          <w:szCs w:val="24"/>
        </w:rPr>
        <w:t>本次评估以本资产评估报告所列明的特定评估目的为基本假设前提；</w:t>
      </w:r>
    </w:p>
    <w:p>
      <w:pPr>
        <w:pStyle w:val="5"/>
        <w:numPr>
          <w:ilvl w:val="0"/>
          <w:numId w:val="13"/>
        </w:numPr>
        <w:tabs>
          <w:tab w:val="left" w:pos="851"/>
          <w:tab w:val="left" w:pos="993"/>
        </w:tabs>
        <w:spacing w:line="560" w:lineRule="exact"/>
        <w:ind w:left="0" w:leftChars="0" w:firstLine="400" w:firstLineChars="0"/>
        <w:rPr>
          <w:rFonts w:hAnsi="宋体" w:cs="宋体"/>
          <w:sz w:val="24"/>
          <w:szCs w:val="24"/>
        </w:rPr>
      </w:pPr>
      <w:r>
        <w:rPr>
          <w:rFonts w:hint="eastAsia" w:hAnsi="宋体" w:cs="宋体"/>
          <w:sz w:val="24"/>
          <w:szCs w:val="24"/>
        </w:rPr>
        <w:t>本次评估假设评估基准日外部经济环境不会发生不可预见的重大变化；</w:t>
      </w:r>
    </w:p>
    <w:p>
      <w:pPr>
        <w:pStyle w:val="5"/>
        <w:numPr>
          <w:ilvl w:val="0"/>
          <w:numId w:val="13"/>
        </w:numPr>
        <w:tabs>
          <w:tab w:val="left" w:pos="840"/>
          <w:tab w:val="left" w:pos="993"/>
        </w:tabs>
        <w:spacing w:line="560" w:lineRule="exact"/>
        <w:ind w:left="0" w:leftChars="0" w:firstLine="400" w:firstLineChars="0"/>
        <w:rPr>
          <w:rFonts w:hAnsi="宋体" w:cs="宋体"/>
          <w:sz w:val="24"/>
          <w:szCs w:val="24"/>
        </w:rPr>
      </w:pPr>
      <w:r>
        <w:rPr>
          <w:rFonts w:hint="eastAsia" w:hAnsi="宋体" w:cs="宋体"/>
          <w:sz w:val="24"/>
          <w:szCs w:val="24"/>
        </w:rPr>
        <w:t>本次评估假设被评估资产现行用途不变并原地持续使用；</w:t>
      </w:r>
    </w:p>
    <w:p>
      <w:pPr>
        <w:pStyle w:val="5"/>
        <w:numPr>
          <w:ilvl w:val="0"/>
          <w:numId w:val="13"/>
        </w:numPr>
        <w:tabs>
          <w:tab w:val="left" w:pos="840"/>
          <w:tab w:val="left" w:pos="993"/>
        </w:tabs>
        <w:spacing w:line="560" w:lineRule="exact"/>
        <w:ind w:left="0" w:leftChars="0" w:firstLine="400" w:firstLineChars="0"/>
        <w:rPr>
          <w:rFonts w:hAnsi="宋体" w:cs="宋体"/>
          <w:sz w:val="24"/>
          <w:szCs w:val="24"/>
        </w:rPr>
      </w:pPr>
      <w:r>
        <w:rPr>
          <w:rFonts w:hint="eastAsia" w:hAnsi="宋体" w:cs="宋体"/>
          <w:sz w:val="24"/>
          <w:szCs w:val="24"/>
        </w:rPr>
        <w:t>本次评估假设被评估资产符合依法建设的要求，不存在违法建设或者违返其他法律法规规定的情形；</w:t>
      </w:r>
    </w:p>
    <w:p>
      <w:pPr>
        <w:pStyle w:val="5"/>
        <w:numPr>
          <w:ilvl w:val="0"/>
          <w:numId w:val="13"/>
        </w:numPr>
        <w:tabs>
          <w:tab w:val="left" w:pos="840"/>
          <w:tab w:val="left" w:pos="993"/>
        </w:tabs>
        <w:spacing w:line="560" w:lineRule="exact"/>
        <w:ind w:left="0" w:leftChars="0" w:firstLine="400" w:firstLineChars="0"/>
        <w:rPr>
          <w:rFonts w:hAnsi="宋体" w:cs="宋体"/>
          <w:sz w:val="24"/>
          <w:szCs w:val="24"/>
        </w:rPr>
      </w:pPr>
      <w:r>
        <w:rPr>
          <w:rFonts w:hint="eastAsia" w:hAnsi="宋体" w:cs="宋体"/>
          <w:sz w:val="24"/>
          <w:szCs w:val="24"/>
        </w:rPr>
        <w:t>产权持有单位和委托方提供的相关基础资料真实、准确、完整；</w:t>
      </w:r>
    </w:p>
    <w:p>
      <w:pPr>
        <w:pStyle w:val="5"/>
        <w:numPr>
          <w:ilvl w:val="0"/>
          <w:numId w:val="13"/>
        </w:numPr>
        <w:tabs>
          <w:tab w:val="left" w:pos="840"/>
          <w:tab w:val="left" w:pos="993"/>
        </w:tabs>
        <w:spacing w:line="560" w:lineRule="exact"/>
        <w:ind w:left="0" w:leftChars="0" w:firstLine="400" w:firstLineChars="0"/>
        <w:rPr>
          <w:rFonts w:hAnsi="宋体" w:cs="宋体"/>
          <w:sz w:val="24"/>
          <w:szCs w:val="24"/>
        </w:rPr>
      </w:pPr>
      <w:r>
        <w:rPr>
          <w:rFonts w:hint="eastAsia" w:hAnsi="宋体" w:cs="宋体"/>
          <w:sz w:val="24"/>
          <w:szCs w:val="24"/>
        </w:rPr>
        <w:t>根据委托方和产权持有单位提供的资料，本次评估假设产权持有单位对委估资产在评估基准日拥有完全产权；</w:t>
      </w:r>
    </w:p>
    <w:p>
      <w:pPr>
        <w:pStyle w:val="5"/>
        <w:numPr>
          <w:ilvl w:val="0"/>
          <w:numId w:val="13"/>
        </w:numPr>
        <w:tabs>
          <w:tab w:val="left" w:pos="840"/>
          <w:tab w:val="left" w:pos="993"/>
        </w:tabs>
        <w:spacing w:line="560" w:lineRule="exact"/>
        <w:ind w:left="0" w:leftChars="0" w:firstLine="400" w:firstLineChars="0"/>
        <w:rPr>
          <w:rFonts w:hAnsi="宋体" w:cs="宋体"/>
          <w:sz w:val="24"/>
          <w:szCs w:val="24"/>
        </w:rPr>
      </w:pPr>
      <w:r>
        <w:rPr>
          <w:rFonts w:hint="eastAsia" w:hAnsi="宋体" w:cs="宋体"/>
          <w:sz w:val="24"/>
          <w:szCs w:val="24"/>
        </w:rPr>
        <w:t>本评估结果是反映评估对象在本次评估目的下根据非公开市场原则确定的快速变现价值，没有考虑到将来国家宏观经济政策发生重大变化以及遇有自然力和其他不可抗力对评估结论的影响；</w:t>
      </w:r>
    </w:p>
    <w:p>
      <w:pPr>
        <w:pStyle w:val="5"/>
        <w:numPr>
          <w:ilvl w:val="0"/>
          <w:numId w:val="13"/>
        </w:numPr>
        <w:tabs>
          <w:tab w:val="left" w:pos="840"/>
          <w:tab w:val="left" w:pos="993"/>
        </w:tabs>
        <w:spacing w:line="560" w:lineRule="exact"/>
        <w:ind w:left="0" w:leftChars="0" w:firstLine="400" w:firstLineChars="0"/>
        <w:rPr>
          <w:rFonts w:hint="eastAsia" w:ascii="宋体" w:hAnsi="宋体" w:eastAsia="宋体" w:cs="宋体"/>
          <w:sz w:val="28"/>
        </w:rPr>
      </w:pPr>
      <w:r>
        <w:rPr>
          <w:rFonts w:hint="eastAsia" w:hAnsi="宋体" w:cs="宋体"/>
          <w:sz w:val="24"/>
          <w:szCs w:val="24"/>
        </w:rPr>
        <w:t>当出现与前述假设条件不一致的事项发生时，本评估结果一般会失效。</w:t>
      </w:r>
      <w:bookmarkStart w:id="36" w:name="_Toc10631"/>
    </w:p>
    <w:p>
      <w:pPr>
        <w:pStyle w:val="4"/>
        <w:tabs>
          <w:tab w:val="left" w:pos="993"/>
        </w:tabs>
        <w:spacing w:beforeLines="50" w:afterLines="50" w:line="560" w:lineRule="exact"/>
        <w:ind w:firstLine="281" w:firstLineChars="100"/>
        <w:rPr>
          <w:rFonts w:hint="eastAsia" w:ascii="宋体" w:hAnsi="宋体" w:eastAsia="宋体" w:cs="宋体"/>
          <w:sz w:val="28"/>
        </w:rPr>
      </w:pPr>
      <w:bookmarkStart w:id="37" w:name="_Toc20520"/>
      <w:r>
        <w:rPr>
          <w:rFonts w:hint="eastAsia" w:ascii="宋体" w:hAnsi="宋体" w:eastAsia="宋体" w:cs="宋体"/>
          <w:sz w:val="28"/>
        </w:rPr>
        <w:t>十、评估结论</w:t>
      </w:r>
      <w:bookmarkEnd w:id="36"/>
      <w:bookmarkEnd w:id="37"/>
    </w:p>
    <w:p>
      <w:pPr>
        <w:spacing w:line="560" w:lineRule="exact"/>
        <w:ind w:firstLine="504"/>
        <w:rPr>
          <w:rFonts w:hint="eastAsia" w:ascii="宋体" w:hAnsi="宋体" w:eastAsia="宋体" w:cs="宋体"/>
          <w:spacing w:val="6"/>
          <w:highlight w:val="yellow"/>
          <w:lang w:val="en-US"/>
        </w:rPr>
      </w:pPr>
      <w:bookmarkStart w:id="38" w:name="_Toc8697"/>
      <w:bookmarkStart w:id="39" w:name="_Toc6385"/>
      <w:r>
        <w:rPr>
          <w:rFonts w:hint="eastAsia" w:ascii="宋体" w:hAnsi="宋体" w:eastAsia="宋体" w:cs="宋体"/>
          <w:spacing w:val="6"/>
        </w:rPr>
        <w:t>经评估，</w:t>
      </w:r>
      <w:r>
        <w:rPr>
          <w:rFonts w:hint="eastAsia" w:ascii="宋体" w:hAnsi="宋体" w:eastAsia="宋体" w:cs="宋体"/>
          <w:spacing w:val="6"/>
          <w:lang w:eastAsia="zh-CN"/>
        </w:rPr>
        <w:t>本次委托</w:t>
      </w:r>
      <w:r>
        <w:rPr>
          <w:rFonts w:hint="eastAsia" w:ascii="宋体" w:hAnsi="宋体" w:eastAsia="宋体" w:cs="宋体"/>
          <w:spacing w:val="6"/>
        </w:rPr>
        <w:t>的位于</w:t>
      </w:r>
      <w:r>
        <w:rPr>
          <w:rFonts w:hint="eastAsia" w:ascii="宋体" w:hAnsi="宋体" w:eastAsia="宋体" w:cs="宋体"/>
          <w:spacing w:val="6"/>
          <w:lang w:eastAsia="zh-CN"/>
        </w:rPr>
        <w:t>城固县五郎庙乡（现为博望镇）五郎庙村六组建筑面积为408.6㎡的私有房产一幢评估总价值为￥</w:t>
      </w:r>
      <w:r>
        <w:rPr>
          <w:rFonts w:hint="eastAsia" w:ascii="宋体" w:hAnsi="宋体" w:eastAsia="宋体" w:cs="宋体"/>
          <w:spacing w:val="6"/>
          <w:lang w:val="en-US" w:eastAsia="zh-CN"/>
        </w:rPr>
        <w:t xml:space="preserve">800,200.00 </w:t>
      </w:r>
      <w:r>
        <w:rPr>
          <w:rFonts w:hint="eastAsia" w:ascii="宋体" w:hAnsi="宋体" w:eastAsia="宋体" w:cs="宋体"/>
          <w:spacing w:val="6"/>
          <w:lang w:eastAsia="zh-CN"/>
        </w:rPr>
        <w:t>元，大写：人民币</w:t>
      </w:r>
      <w:r>
        <w:rPr>
          <w:rFonts w:hint="eastAsia" w:ascii="宋体" w:hAnsi="宋体" w:eastAsia="宋体" w:cs="宋体"/>
          <w:spacing w:val="6"/>
          <w:lang w:eastAsia="zh-CN"/>
        </w:rPr>
        <w:fldChar w:fldCharType="begin"/>
      </w:r>
      <w:r>
        <w:rPr>
          <w:rFonts w:hint="eastAsia" w:ascii="宋体" w:hAnsi="宋体" w:eastAsia="宋体" w:cs="宋体"/>
          <w:spacing w:val="6"/>
          <w:lang w:eastAsia="zh-CN"/>
        </w:rPr>
        <w:instrText xml:space="preserve"> = 800200 \* CHINESENUM4 \* MERGEFORMAT </w:instrText>
      </w:r>
      <w:r>
        <w:rPr>
          <w:rFonts w:hint="eastAsia" w:ascii="宋体" w:hAnsi="宋体" w:eastAsia="宋体" w:cs="宋体"/>
          <w:spacing w:val="6"/>
          <w:lang w:eastAsia="zh-CN"/>
        </w:rPr>
        <w:fldChar w:fldCharType="separate"/>
      </w:r>
      <w:r>
        <w:rPr>
          <w:rFonts w:hint="eastAsia" w:ascii="宋体" w:hAnsi="宋体" w:eastAsia="宋体" w:cs="宋体"/>
          <w:spacing w:val="6"/>
          <w:lang w:eastAsia="zh-CN"/>
        </w:rPr>
        <w:t>捌拾万零贰佰元整</w:t>
      </w:r>
      <w:r>
        <w:rPr>
          <w:rFonts w:hint="eastAsia" w:ascii="宋体" w:hAnsi="宋体" w:eastAsia="宋体" w:cs="宋体"/>
          <w:spacing w:val="6"/>
          <w:lang w:eastAsia="zh-CN"/>
        </w:rPr>
        <w:fldChar w:fldCharType="end"/>
      </w:r>
      <w:r>
        <w:rPr>
          <w:rFonts w:hint="eastAsia" w:ascii="宋体" w:hAnsi="宋体" w:eastAsia="宋体" w:cs="宋体"/>
          <w:spacing w:val="6"/>
          <w:lang w:val="en-US" w:eastAsia="zh-CN"/>
        </w:rPr>
        <w:t>。</w:t>
      </w:r>
    </w:p>
    <w:p>
      <w:pPr>
        <w:spacing w:line="560" w:lineRule="exact"/>
        <w:ind w:firstLine="504"/>
        <w:rPr>
          <w:rFonts w:hint="eastAsia" w:ascii="宋体" w:hAnsi="宋体" w:eastAsia="宋体" w:cs="宋体"/>
          <w:spacing w:val="6"/>
        </w:rPr>
      </w:pPr>
      <w:r>
        <w:rPr>
          <w:rFonts w:hint="eastAsia" w:ascii="宋体" w:hAnsi="宋体" w:eastAsia="宋体" w:cs="宋体"/>
          <w:spacing w:val="6"/>
          <w:highlight w:val="none"/>
        </w:rPr>
        <w:t>通常，只有当评估基准日与经济行为实现日相距不超过一年时，才可以使用资产评估报告，因此本评估结论自评估基准日起一年内有效，即评估结论有效期自</w:t>
      </w:r>
      <w:r>
        <w:rPr>
          <w:rFonts w:hint="eastAsia" w:ascii="宋体" w:hAnsi="宋体" w:eastAsia="宋体" w:cs="宋体"/>
          <w:spacing w:val="6"/>
          <w:highlight w:val="none"/>
          <w:lang w:eastAsia="zh-CN"/>
        </w:rPr>
        <w:t>2019年6月11日</w:t>
      </w:r>
      <w:r>
        <w:rPr>
          <w:rFonts w:hint="eastAsia" w:ascii="宋体" w:hAnsi="宋体" w:eastAsia="宋体" w:cs="宋体"/>
          <w:spacing w:val="6"/>
          <w:highlight w:val="none"/>
        </w:rPr>
        <w:t>至20</w:t>
      </w:r>
      <w:r>
        <w:rPr>
          <w:rFonts w:hint="eastAsia" w:ascii="宋体" w:hAnsi="宋体" w:eastAsia="宋体" w:cs="宋体"/>
          <w:spacing w:val="6"/>
          <w:highlight w:val="none"/>
          <w:lang w:val="en-US" w:eastAsia="zh-CN"/>
        </w:rPr>
        <w:t>20</w:t>
      </w:r>
      <w:r>
        <w:rPr>
          <w:rFonts w:hint="eastAsia" w:ascii="宋体" w:hAnsi="宋体" w:eastAsia="宋体" w:cs="宋体"/>
          <w:spacing w:val="6"/>
          <w:highlight w:val="none"/>
        </w:rPr>
        <w:t>年</w:t>
      </w:r>
      <w:r>
        <w:rPr>
          <w:rFonts w:hint="eastAsia" w:ascii="宋体" w:hAnsi="宋体" w:eastAsia="宋体" w:cs="宋体"/>
          <w:spacing w:val="6"/>
          <w:highlight w:val="none"/>
          <w:lang w:val="en-US" w:eastAsia="zh-CN"/>
        </w:rPr>
        <w:t>6</w:t>
      </w:r>
      <w:r>
        <w:rPr>
          <w:rFonts w:hint="eastAsia" w:ascii="宋体" w:hAnsi="宋体" w:eastAsia="宋体" w:cs="宋体"/>
          <w:spacing w:val="6"/>
          <w:highlight w:val="none"/>
        </w:rPr>
        <w:t>月</w:t>
      </w:r>
      <w:r>
        <w:rPr>
          <w:rFonts w:hint="eastAsia" w:ascii="宋体" w:hAnsi="宋体" w:eastAsia="宋体" w:cs="宋体"/>
          <w:spacing w:val="6"/>
          <w:highlight w:val="none"/>
          <w:lang w:val="en-US" w:eastAsia="zh-CN"/>
        </w:rPr>
        <w:t>10</w:t>
      </w:r>
      <w:r>
        <w:rPr>
          <w:rFonts w:hint="eastAsia" w:ascii="宋体" w:hAnsi="宋体" w:eastAsia="宋体" w:cs="宋体"/>
          <w:spacing w:val="6"/>
          <w:highlight w:val="none"/>
        </w:rPr>
        <w:t>日止</w:t>
      </w:r>
      <w:r>
        <w:rPr>
          <w:rFonts w:hint="eastAsia" w:ascii="宋体" w:hAnsi="宋体" w:eastAsia="宋体" w:cs="宋体"/>
          <w:spacing w:val="6"/>
        </w:rPr>
        <w:t>。</w:t>
      </w:r>
    </w:p>
    <w:p>
      <w:pPr>
        <w:pStyle w:val="4"/>
        <w:spacing w:beforeLines="50" w:afterLines="50" w:line="560" w:lineRule="exact"/>
        <w:ind w:firstLine="281" w:firstLineChars="100"/>
        <w:rPr>
          <w:rFonts w:ascii="宋体" w:hAnsi="宋体" w:eastAsia="宋体" w:cs="宋体"/>
          <w:sz w:val="28"/>
          <w:highlight w:val="none"/>
        </w:rPr>
      </w:pPr>
      <w:r>
        <w:rPr>
          <w:rFonts w:hint="eastAsia" w:ascii="宋体" w:hAnsi="宋体" w:eastAsia="宋体" w:cs="宋体"/>
          <w:sz w:val="28"/>
          <w:highlight w:val="none"/>
        </w:rPr>
        <w:t>十</w:t>
      </w:r>
      <w:r>
        <w:rPr>
          <w:rFonts w:hint="eastAsia" w:ascii="宋体" w:hAnsi="宋体" w:eastAsia="宋体" w:cs="宋体"/>
          <w:color w:val="auto"/>
          <w:sz w:val="28"/>
          <w:highlight w:val="none"/>
        </w:rPr>
        <w:t>一、特别事项说明</w:t>
      </w:r>
      <w:bookmarkEnd w:id="38"/>
      <w:bookmarkEnd w:id="39"/>
    </w:p>
    <w:p>
      <w:pPr>
        <w:spacing w:line="560" w:lineRule="exact"/>
        <w:ind w:firstLine="600" w:firstLineChars="250"/>
        <w:rPr>
          <w:rFonts w:ascii="宋体" w:hAnsi="宋体" w:eastAsia="宋体"/>
        </w:rPr>
      </w:pPr>
      <w:bookmarkStart w:id="40" w:name="_Toc22766"/>
      <w:bookmarkStart w:id="41" w:name="_Toc18408"/>
      <w:r>
        <w:rPr>
          <w:rFonts w:ascii="宋体" w:hAnsi="宋体" w:eastAsia="宋体"/>
        </w:rPr>
        <w:t>本评估报告存在如下特别事项，</w:t>
      </w:r>
      <w:r>
        <w:rPr>
          <w:rFonts w:hint="eastAsia" w:ascii="宋体" w:hAnsi="宋体" w:eastAsia="宋体"/>
        </w:rPr>
        <w:t>会对本报告评估结论产生影响，</w:t>
      </w:r>
      <w:r>
        <w:rPr>
          <w:rFonts w:ascii="宋体" w:hAnsi="宋体" w:eastAsia="宋体"/>
        </w:rPr>
        <w:t>提请报告使用者</w:t>
      </w:r>
      <w:r>
        <w:rPr>
          <w:rFonts w:hint="eastAsia" w:ascii="宋体" w:hAnsi="宋体" w:eastAsia="宋体"/>
        </w:rPr>
        <w:t>在使用本评估结论时应</w:t>
      </w:r>
      <w:r>
        <w:rPr>
          <w:rFonts w:ascii="宋体" w:hAnsi="宋体" w:eastAsia="宋体"/>
        </w:rPr>
        <w:t>予以</w:t>
      </w:r>
      <w:r>
        <w:rPr>
          <w:rFonts w:hint="eastAsia" w:ascii="宋体" w:hAnsi="宋体" w:eastAsia="宋体"/>
        </w:rPr>
        <w:t>重点</w:t>
      </w:r>
      <w:r>
        <w:rPr>
          <w:rFonts w:ascii="宋体" w:hAnsi="宋体" w:eastAsia="宋体"/>
        </w:rPr>
        <w:t>关注：</w:t>
      </w:r>
    </w:p>
    <w:p>
      <w:pPr>
        <w:pStyle w:val="51"/>
        <w:numPr>
          <w:ilvl w:val="0"/>
          <w:numId w:val="14"/>
        </w:numPr>
        <w:spacing w:line="560" w:lineRule="exact"/>
        <w:ind w:firstLineChars="0"/>
        <w:rPr>
          <w:rFonts w:ascii="宋体" w:hAnsi="宋体" w:eastAsia="宋体"/>
        </w:rPr>
      </w:pPr>
      <w:r>
        <w:rPr>
          <w:rFonts w:hint="eastAsia" w:ascii="宋体" w:hAnsi="宋体" w:eastAsia="宋体" w:cs="Times New Roman"/>
          <w:kern w:val="2"/>
          <w:sz w:val="24"/>
          <w:szCs w:val="24"/>
          <w:lang w:val="zh-CN" w:eastAsia="zh-CN" w:bidi="ar-SA"/>
        </w:rPr>
        <w:t>重大期后事项</w:t>
      </w:r>
    </w:p>
    <w:p>
      <w:pPr>
        <w:pStyle w:val="51"/>
        <w:numPr>
          <w:ilvl w:val="0"/>
          <w:numId w:val="0"/>
        </w:numPr>
        <w:spacing w:line="560" w:lineRule="exact"/>
        <w:ind w:left="0" w:leftChars="0" w:firstLine="480" w:firstLineChars="200"/>
        <w:rPr>
          <w:rFonts w:ascii="宋体" w:hAnsi="宋体" w:eastAsia="宋体"/>
        </w:rPr>
      </w:pPr>
      <w:r>
        <w:rPr>
          <w:rFonts w:hint="eastAsia" w:ascii="宋体" w:hAnsi="宋体" w:eastAsia="宋体" w:cs="Times New Roman"/>
          <w:kern w:val="2"/>
          <w:sz w:val="24"/>
          <w:szCs w:val="24"/>
          <w:lang w:val="zh-CN" w:eastAsia="zh-CN" w:bidi="ar-SA"/>
        </w:rPr>
        <w:t>评估基准日后、有效期以内，若资产价格标准发生变化，对评估结论产生影响时，不能直接使用本评估结论，须对评估结论进行调整或重新评估。即：若资产价格标准发生变化、并对资产评估价格已产生了明显影响时，委托方应及时聘请评估机构重新进行评估；</w:t>
      </w:r>
    </w:p>
    <w:p>
      <w:pPr>
        <w:pStyle w:val="51"/>
        <w:numPr>
          <w:ilvl w:val="0"/>
          <w:numId w:val="14"/>
        </w:numPr>
        <w:spacing w:line="560" w:lineRule="exact"/>
        <w:ind w:firstLineChars="0"/>
        <w:rPr>
          <w:rFonts w:ascii="宋体" w:hAnsi="宋体" w:eastAsia="宋体"/>
        </w:rPr>
      </w:pPr>
      <w:r>
        <w:rPr>
          <w:rFonts w:hint="eastAsia" w:ascii="宋体" w:hAnsi="宋体" w:eastAsia="宋体"/>
        </w:rPr>
        <w:t>权属等主要资料不完整或者存在瑕疵的情形；</w:t>
      </w:r>
    </w:p>
    <w:p>
      <w:pPr>
        <w:pStyle w:val="51"/>
        <w:numPr>
          <w:ilvl w:val="0"/>
          <w:numId w:val="0"/>
        </w:numPr>
        <w:spacing w:line="560" w:lineRule="exact"/>
        <w:ind w:left="600" w:leftChars="0" w:firstLine="720" w:firstLineChars="300"/>
        <w:rPr>
          <w:rFonts w:hint="eastAsia" w:ascii="宋体" w:hAnsi="宋体" w:eastAsia="宋体"/>
          <w:lang w:eastAsia="zh-CN"/>
        </w:rPr>
      </w:pPr>
      <w:r>
        <w:rPr>
          <w:rFonts w:hint="eastAsia" w:ascii="宋体" w:hAnsi="宋体" w:eastAsia="宋体"/>
          <w:lang w:eastAsia="zh-CN"/>
        </w:rPr>
        <w:t>无；</w:t>
      </w:r>
    </w:p>
    <w:p>
      <w:pPr>
        <w:pStyle w:val="51"/>
        <w:numPr>
          <w:ilvl w:val="0"/>
          <w:numId w:val="14"/>
        </w:numPr>
        <w:spacing w:line="560" w:lineRule="exact"/>
        <w:ind w:firstLineChars="0"/>
        <w:rPr>
          <w:rFonts w:ascii="宋体" w:hAnsi="宋体" w:eastAsia="宋体"/>
        </w:rPr>
      </w:pPr>
      <w:r>
        <w:rPr>
          <w:rFonts w:hint="eastAsia" w:ascii="宋体" w:hAnsi="宋体" w:eastAsia="宋体"/>
        </w:rPr>
        <w:t>担保、抵押租赁等其他权益事项；</w:t>
      </w:r>
    </w:p>
    <w:p>
      <w:pPr>
        <w:spacing w:line="540" w:lineRule="exact"/>
        <w:ind w:firstLine="960" w:firstLineChars="400"/>
        <w:rPr>
          <w:rFonts w:hint="eastAsia" w:ascii="宋体" w:hAnsi="宋体" w:eastAsia="宋体"/>
          <w:lang w:eastAsia="zh-CN"/>
        </w:rPr>
      </w:pPr>
      <w:r>
        <w:rPr>
          <w:rFonts w:hint="eastAsia" w:ascii="宋体" w:hAnsi="宋体" w:eastAsia="宋体"/>
        </w:rPr>
        <w:t>根据《房地产估价规范》（</w:t>
      </w:r>
      <w:r>
        <w:rPr>
          <w:rFonts w:ascii="宋体" w:hAnsi="宋体" w:eastAsia="宋体"/>
        </w:rPr>
        <w:t>GB/T50291-2015</w:t>
      </w:r>
      <w:r>
        <w:rPr>
          <w:rFonts w:hint="eastAsia" w:ascii="宋体" w:hAnsi="宋体" w:eastAsia="宋体"/>
        </w:rPr>
        <w:t>）的规定及涉及司法鉴定等相关法律法规，本次评估不考虑上述抵押权对评估结果的影响</w:t>
      </w:r>
      <w:r>
        <w:rPr>
          <w:rFonts w:hint="eastAsia" w:ascii="宋体" w:hAnsi="宋体" w:eastAsia="宋体"/>
          <w:lang w:eastAsia="zh-CN"/>
        </w:rPr>
        <w:t>；</w:t>
      </w:r>
    </w:p>
    <w:p>
      <w:pPr>
        <w:pStyle w:val="51"/>
        <w:numPr>
          <w:ilvl w:val="0"/>
          <w:numId w:val="14"/>
        </w:numPr>
        <w:spacing w:line="540" w:lineRule="exact"/>
        <w:ind w:left="1021" w:firstLineChars="0"/>
        <w:rPr>
          <w:rFonts w:ascii="宋体" w:hAnsi="宋体" w:eastAsia="宋体"/>
        </w:rPr>
      </w:pPr>
      <w:r>
        <w:rPr>
          <w:rFonts w:hint="eastAsia" w:ascii="宋体" w:hAnsi="宋体" w:eastAsia="宋体"/>
        </w:rPr>
        <w:t>评估程序受到限制的情形</w:t>
      </w:r>
      <w:r>
        <w:rPr>
          <w:rFonts w:hint="eastAsia" w:ascii="宋体" w:hAnsi="宋体" w:eastAsia="宋体"/>
          <w:lang w:eastAsia="zh-CN"/>
        </w:rPr>
        <w:t>；</w:t>
      </w:r>
    </w:p>
    <w:p>
      <w:pPr>
        <w:spacing w:line="540" w:lineRule="exact"/>
        <w:ind w:left="0" w:leftChars="0" w:firstLine="1200" w:firstLineChars="500"/>
        <w:rPr>
          <w:rFonts w:ascii="宋体" w:hAnsi="宋体" w:eastAsia="宋体"/>
        </w:rPr>
      </w:pPr>
      <w:r>
        <w:rPr>
          <w:rFonts w:hint="eastAsia" w:ascii="宋体" w:hAnsi="宋体" w:eastAsia="宋体"/>
          <w:lang w:eastAsia="zh-CN"/>
        </w:rPr>
        <w:t>无</w:t>
      </w:r>
      <w:r>
        <w:rPr>
          <w:rFonts w:hint="eastAsia" w:ascii="宋体" w:hAnsi="宋体" w:eastAsia="宋体"/>
        </w:rPr>
        <w:t>；</w:t>
      </w:r>
    </w:p>
    <w:p>
      <w:pPr>
        <w:pStyle w:val="51"/>
        <w:numPr>
          <w:ilvl w:val="0"/>
          <w:numId w:val="14"/>
        </w:numPr>
        <w:spacing w:line="540" w:lineRule="exact"/>
        <w:ind w:left="1021" w:firstLineChars="0"/>
        <w:rPr>
          <w:rFonts w:ascii="宋体" w:hAnsi="宋体" w:eastAsia="宋体"/>
        </w:rPr>
      </w:pPr>
      <w:r>
        <w:rPr>
          <w:rFonts w:hint="eastAsia" w:ascii="宋体" w:hAnsi="宋体" w:eastAsia="宋体"/>
        </w:rPr>
        <w:t>重要的利用专家工作及相关报告情况；</w:t>
      </w:r>
    </w:p>
    <w:p>
      <w:pPr>
        <w:pStyle w:val="51"/>
        <w:spacing w:line="540" w:lineRule="exact"/>
        <w:ind w:left="1021" w:firstLine="240" w:firstLineChars="100"/>
        <w:rPr>
          <w:rFonts w:ascii="宋体" w:hAnsi="宋体" w:eastAsia="宋体"/>
        </w:rPr>
      </w:pPr>
      <w:r>
        <w:rPr>
          <w:rFonts w:hint="eastAsia" w:ascii="宋体" w:hAnsi="宋体" w:eastAsia="宋体"/>
        </w:rPr>
        <w:t>无；</w:t>
      </w:r>
    </w:p>
    <w:p>
      <w:pPr>
        <w:pStyle w:val="51"/>
        <w:numPr>
          <w:ilvl w:val="0"/>
          <w:numId w:val="14"/>
        </w:numPr>
        <w:spacing w:line="540" w:lineRule="exact"/>
        <w:ind w:firstLineChars="0"/>
        <w:rPr>
          <w:rFonts w:ascii="宋体" w:hAnsi="宋体" w:eastAsia="宋体"/>
        </w:rPr>
      </w:pPr>
      <w:r>
        <w:rPr>
          <w:rFonts w:hint="eastAsia" w:ascii="宋体" w:hAnsi="宋体" w:eastAsia="宋体"/>
        </w:rPr>
        <w:t>其他事项；</w:t>
      </w:r>
    </w:p>
    <w:p>
      <w:pPr>
        <w:spacing w:line="540" w:lineRule="exact"/>
        <w:rPr>
          <w:rFonts w:hint="eastAsia" w:ascii="宋体" w:hAnsi="宋体" w:eastAsia="宋体"/>
        </w:rPr>
      </w:pPr>
      <w:r>
        <w:rPr>
          <w:rFonts w:hint="eastAsia" w:ascii="宋体" w:hAnsi="宋体" w:eastAsia="宋体"/>
          <w:lang w:val="en-US" w:eastAsia="zh-CN"/>
        </w:rPr>
        <w:t>1.根据评估委托书内容及向承办法官询问确定，本次评估仅为房屋建筑物价值不包含其占用的土地价值，本次评估范围亦不包含独立于房屋建筑物的设施设备价值。</w:t>
      </w:r>
    </w:p>
    <w:p>
      <w:pPr>
        <w:spacing w:line="540" w:lineRule="exact"/>
        <w:rPr>
          <w:rFonts w:hint="eastAsia" w:ascii="宋体" w:hAnsi="宋体" w:eastAsia="宋体"/>
        </w:rPr>
      </w:pPr>
      <w:r>
        <w:rPr>
          <w:rFonts w:hint="eastAsia" w:ascii="宋体" w:hAnsi="宋体" w:eastAsia="宋体"/>
          <w:lang w:val="en-US" w:eastAsia="zh-CN"/>
        </w:rPr>
        <w:t>2.</w:t>
      </w:r>
      <w:r>
        <w:rPr>
          <w:rFonts w:hint="eastAsia" w:ascii="宋体" w:hAnsi="宋体" w:eastAsia="宋体"/>
        </w:rPr>
        <w:t>本评估报告的评估结论是反映委托评估对象在清算假设前提下，于评估基准日所表现的本报告所列明的评估目的下的价值；</w:t>
      </w:r>
    </w:p>
    <w:p>
      <w:pPr>
        <w:spacing w:line="540" w:lineRule="exact"/>
        <w:rPr>
          <w:rFonts w:hint="eastAsia" w:ascii="宋体" w:hAnsi="宋体" w:eastAsia="宋体"/>
        </w:rPr>
      </w:pPr>
      <w:r>
        <w:rPr>
          <w:rFonts w:hint="eastAsia" w:ascii="宋体" w:hAnsi="宋体" w:eastAsia="宋体"/>
          <w:lang w:val="en-US" w:eastAsia="zh-CN"/>
        </w:rPr>
        <w:t>3.</w:t>
      </w:r>
      <w:r>
        <w:rPr>
          <w:rFonts w:hint="eastAsia" w:ascii="宋体" w:hAnsi="宋体" w:eastAsia="宋体"/>
          <w:lang w:eastAsia="zh-CN"/>
        </w:rPr>
        <w:t>委</w:t>
      </w:r>
      <w:r>
        <w:rPr>
          <w:rFonts w:hint="eastAsia" w:ascii="宋体" w:hAnsi="宋体" w:eastAsia="宋体"/>
        </w:rPr>
        <w:t>托方向我们提供了</w:t>
      </w:r>
      <w:r>
        <w:rPr>
          <w:rFonts w:hint="eastAsia" w:ascii="宋体" w:hAnsi="宋体" w:eastAsia="宋体"/>
          <w:lang w:val="en-US" w:eastAsia="zh-CN"/>
        </w:rPr>
        <w:t>城固县房权证博望镇字第20080269号《房屋所有权证》复印件等评估相关资料</w:t>
      </w:r>
      <w:r>
        <w:rPr>
          <w:rFonts w:hint="eastAsia" w:ascii="宋体" w:hAnsi="宋体" w:eastAsia="宋体"/>
        </w:rPr>
        <w:t>，按照</w:t>
      </w:r>
      <w:r>
        <w:rPr>
          <w:rFonts w:hint="eastAsia" w:ascii="宋体" w:hAnsi="宋体" w:eastAsia="宋体"/>
          <w:lang w:eastAsia="zh-CN"/>
        </w:rPr>
        <w:t>资产评估委托合同</w:t>
      </w:r>
      <w:r>
        <w:rPr>
          <w:rFonts w:hint="eastAsia" w:ascii="宋体" w:hAnsi="宋体" w:eastAsia="宋体"/>
        </w:rPr>
        <w:t>及有关文件规定，委托方应对其所提供</w:t>
      </w:r>
      <w:r>
        <w:rPr>
          <w:rFonts w:hint="eastAsia" w:ascii="宋体" w:hAnsi="宋体" w:eastAsia="宋体"/>
          <w:lang w:eastAsia="zh-CN"/>
        </w:rPr>
        <w:t>委估资产</w:t>
      </w:r>
      <w:r>
        <w:rPr>
          <w:rFonts w:hint="eastAsia" w:ascii="宋体" w:hAnsi="宋体" w:eastAsia="宋体"/>
        </w:rPr>
        <w:t>的资料以及产权证明的真实性、合法性和完整性承担责任</w:t>
      </w:r>
      <w:r>
        <w:rPr>
          <w:rFonts w:hint="eastAsia" w:ascii="宋体" w:hAnsi="宋体" w:eastAsia="宋体"/>
          <w:lang w:eastAsia="zh-CN"/>
        </w:rPr>
        <w:t>。</w:t>
      </w:r>
    </w:p>
    <w:p>
      <w:pPr>
        <w:spacing w:line="540" w:lineRule="exact"/>
        <w:rPr>
          <w:rFonts w:hint="eastAsia" w:ascii="宋体" w:hAnsi="宋体" w:eastAsia="宋体"/>
        </w:rPr>
      </w:pPr>
      <w:r>
        <w:rPr>
          <w:rFonts w:hint="eastAsia" w:ascii="宋体" w:hAnsi="宋体" w:eastAsia="宋体"/>
          <w:lang w:val="en-US" w:eastAsia="zh-CN"/>
        </w:rPr>
        <w:t>4.</w:t>
      </w:r>
      <w:r>
        <w:rPr>
          <w:rFonts w:hint="eastAsia" w:ascii="宋体" w:hAnsi="宋体" w:eastAsia="宋体"/>
        </w:rPr>
        <w:t>于本报告评估目的系为司法处分提供价格参考依据，故本次评估结果为清算价值，并考虑资产短期变现处置造成的折扣损失，为快速变现结合当地资产的实际情况确</w:t>
      </w:r>
      <w:r>
        <w:rPr>
          <w:rFonts w:hint="eastAsia" w:ascii="宋体" w:hAnsi="宋体" w:eastAsia="宋体"/>
          <w:lang w:val="en-US" w:eastAsia="zh-CN"/>
        </w:rPr>
        <w:t>定本次委估资产的变现折扣率为5%</w:t>
      </w:r>
      <w:r>
        <w:rPr>
          <w:rFonts w:hint="eastAsia" w:ascii="宋体" w:hAnsi="宋体" w:eastAsia="宋体"/>
        </w:rPr>
        <w:t>；</w:t>
      </w:r>
    </w:p>
    <w:p>
      <w:pPr>
        <w:spacing w:line="540" w:lineRule="exact"/>
        <w:rPr>
          <w:rFonts w:hint="eastAsia" w:ascii="宋体" w:hAnsi="宋体" w:eastAsia="宋体"/>
        </w:rPr>
      </w:pPr>
      <w:r>
        <w:rPr>
          <w:rFonts w:hint="eastAsia" w:ascii="宋体" w:hAnsi="宋体" w:eastAsia="宋体"/>
          <w:lang w:val="en-US" w:eastAsia="zh-CN"/>
        </w:rPr>
        <w:t xml:space="preserve">5.评估人员对评估对象的勘查，限于评估对象的现有外观和使用状况，除非报告中                                                                                                                                                                                                                                                                                                                                                                                                                                                                                                                                                                                                                                                                                                                                                                                                                                                                                                                                                                                                                                                                                                                                                                                                                                                                                                                                                                                                                                                                                                                                                                                                                                                                                                                                                                                                                                                                                                                                                                                                                                                                                                                                                                                                                                                                                                                                                                                                                                                                                                                                                                                                                                                                                                                                                                                                                                                                                                                                                                                                                                                                                                                                                                                                                                                                                                                                                                                                                                                                                                                                                                                                                                                                                                                                                                                                                                                                                                                                                                                                                                                                                                                                                                           </w:t>
      </w:r>
      <w:r>
        <w:rPr>
          <w:rFonts w:hint="eastAsia" w:ascii="宋体" w:hAnsi="宋体" w:eastAsia="宋体"/>
          <w:lang w:val="en-US" w:eastAsia="zh-CN"/>
        </w:rPr>
        <w:t xml:space="preserve">                                                                                                                                                                                                                                                                                                                                                                                                                                                                                                                                                                                                                                                                                                                                                                                                                                                                                                                                                                                                                                                                                                                                                                                                                                                                                                                                                                                                                                                                                                                                                                                                                                                                                                                                                                                                                                                                                                                                                                                                                                                                                                                                                                                                                                                                                                                                                                                                                                                                                                                                                                                                                                                                                                                                                                                                                                                                                                                                                                                                                                                                                                                                                                                                                                                                                                                                                                                                                                                                                                                                                                                                                                                                                                                                                                                                                                                                                                                                                                                                                                                                                                                                                                                                                </w:t>
      </w:r>
      <w:r>
        <w:rPr>
          <w:rFonts w:hint="eastAsia" w:ascii="宋体" w:hAnsi="宋体" w:eastAsia="宋体"/>
          <w:lang w:val="en-US" w:eastAsia="zh-CN"/>
        </w:rPr>
        <w:t xml:space="preserve">                                                                                                                                                                                                                                                                                                                                                                                                                                                                                                                                                                                                                                                                                                                                                                                                                                                                                                                                                                                                                                                                                                                                                                                                                                                                                                                                                                                                                                                                                                                                                                                                                                                                                                                                                                                                                                                                                                                                                                                                                                                                                                                                                                                                                                                                                                                                                                                                                                                                                                                                                                                                                                                                                                                                                                                                                                                                                                                                                                                                                                                                                                                                                                                                                                                                                                                                                                                                                                                                                                                                                                                                                                                                                                                                                                                                                                                                                                                                                                                                                                                                                                                                                                                                                </w:t>
      </w:r>
      <w:r>
        <w:rPr>
          <w:rFonts w:hint="eastAsia" w:ascii="宋体" w:hAnsi="宋体" w:eastAsia="宋体"/>
          <w:lang w:val="en-US" w:eastAsia="zh-CN"/>
        </w:rPr>
        <w:t xml:space="preserve">                                                                                                                                                                                                                                                                                                                                                                                                                                                                                                                                                                                                                                                                                                                                                                                                                                                                                                                                                                                                                                                                                                                                                                                                                                                                                                                                                                                                                                                                                                                                                                                                                                                                                                                                                                                                                                                                                                                                                                                                                                                                                                                                                                                                                                                                                                                                                                                                                                                                                                                                                                                                                                                    另有明确声明，评估人员不承担评估对象建筑物质量及被遮盖、未暴露及难以接触到的部分进行勘查责任</w:t>
      </w:r>
      <w:r>
        <w:rPr>
          <w:rFonts w:hint="eastAsia" w:ascii="宋体" w:hAnsi="宋体" w:eastAsia="宋体"/>
        </w:rPr>
        <w:t>；</w:t>
      </w:r>
    </w:p>
    <w:p>
      <w:pPr>
        <w:spacing w:line="540" w:lineRule="exact"/>
        <w:rPr>
          <w:rFonts w:hint="eastAsia" w:ascii="宋体" w:hAnsi="宋体" w:eastAsia="宋体"/>
        </w:rPr>
      </w:pPr>
      <w:r>
        <w:rPr>
          <w:rFonts w:hint="eastAsia" w:ascii="宋体" w:hAnsi="宋体" w:eastAsia="宋体"/>
          <w:lang w:val="en-US" w:eastAsia="zh-CN"/>
        </w:rPr>
        <w:t>6.</w:t>
      </w:r>
      <w:r>
        <w:rPr>
          <w:rFonts w:hint="eastAsia" w:ascii="宋体" w:hAnsi="宋体" w:eastAsia="宋体"/>
        </w:rPr>
        <w:t>本评估结论是反映评估对象在本次评估的目的下，根据司法处分前提确定的评估价值，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p>
    <w:p>
      <w:pPr>
        <w:spacing w:line="540" w:lineRule="exact"/>
        <w:rPr>
          <w:rFonts w:hint="eastAsia" w:ascii="宋体" w:hAnsi="宋体" w:eastAsia="宋体"/>
        </w:rPr>
      </w:pPr>
      <w:r>
        <w:rPr>
          <w:rFonts w:hint="eastAsia" w:ascii="宋体" w:hAnsi="宋体" w:eastAsia="宋体"/>
          <w:lang w:eastAsia="zh-CN"/>
        </w:rPr>
        <w:t>（</w:t>
      </w:r>
      <w:r>
        <w:rPr>
          <w:rFonts w:hint="eastAsia" w:ascii="宋体" w:hAnsi="宋体" w:eastAsia="宋体"/>
          <w:lang w:val="en-US" w:eastAsia="zh-CN"/>
        </w:rPr>
        <w:t>1</w:t>
      </w:r>
      <w:r>
        <w:rPr>
          <w:rFonts w:hint="eastAsia" w:ascii="宋体" w:hAnsi="宋体" w:eastAsia="宋体"/>
          <w:lang w:eastAsia="zh-CN"/>
        </w:rPr>
        <w:t>）</w:t>
      </w:r>
      <w:r>
        <w:rPr>
          <w:rFonts w:hint="eastAsia" w:ascii="宋体" w:hAnsi="宋体" w:eastAsia="宋体"/>
        </w:rPr>
        <w:t>本评估结论不应当被认为是对评估对象可实现价格的保证；</w:t>
      </w:r>
    </w:p>
    <w:p>
      <w:pPr>
        <w:spacing w:line="540" w:lineRule="exact"/>
        <w:rPr>
          <w:rFonts w:hint="eastAsia" w:ascii="宋体" w:hAnsi="宋体" w:eastAsia="宋体"/>
        </w:rPr>
      </w:pPr>
      <w:r>
        <w:rPr>
          <w:rFonts w:hint="eastAsia" w:ascii="宋体" w:hAnsi="宋体" w:eastAsia="宋体"/>
          <w:lang w:eastAsia="zh-CN"/>
        </w:rPr>
        <w:t>（</w:t>
      </w:r>
      <w:r>
        <w:rPr>
          <w:rFonts w:hint="eastAsia" w:ascii="宋体" w:hAnsi="宋体" w:eastAsia="宋体"/>
          <w:lang w:val="en-US" w:eastAsia="zh-CN"/>
        </w:rPr>
        <w:t>2</w:t>
      </w:r>
      <w:r>
        <w:rPr>
          <w:rFonts w:hint="eastAsia" w:ascii="宋体" w:hAnsi="宋体" w:eastAsia="宋体"/>
          <w:lang w:eastAsia="zh-CN"/>
        </w:rPr>
        <w:t>）</w:t>
      </w:r>
      <w:r>
        <w:rPr>
          <w:rFonts w:hint="eastAsia" w:ascii="宋体" w:hAnsi="宋体" w:eastAsia="宋体"/>
        </w:rPr>
        <w:t>本评估报告仅供委托方为本评估报告所列明的评估目的以及报送有关资产评估主管机关审查使用。委托方应按本评估报告载明的评估目的使用，任何不正确或不恰当地使用本评估报告所造成的不便或损失，将由评估报告使用者自行承担责任。</w:t>
      </w:r>
    </w:p>
    <w:p>
      <w:pPr>
        <w:pStyle w:val="4"/>
        <w:tabs>
          <w:tab w:val="left" w:pos="993"/>
        </w:tabs>
        <w:spacing w:beforeLines="50" w:afterLines="50" w:line="560" w:lineRule="exact"/>
        <w:ind w:left="-2" w:leftChars="-1" w:firstLine="551" w:firstLineChars="196"/>
        <w:rPr>
          <w:rFonts w:ascii="宋体" w:hAnsi="宋体" w:eastAsia="宋体" w:cs="宋体"/>
          <w:sz w:val="28"/>
        </w:rPr>
      </w:pPr>
      <w:r>
        <w:rPr>
          <w:rFonts w:hint="eastAsia" w:ascii="宋体" w:hAnsi="宋体" w:eastAsia="宋体" w:cs="宋体"/>
          <w:sz w:val="28"/>
        </w:rPr>
        <w:t>十二、评估报告使用限制说明</w:t>
      </w:r>
      <w:bookmarkEnd w:id="40"/>
      <w:bookmarkEnd w:id="41"/>
    </w:p>
    <w:p>
      <w:pPr>
        <w:pStyle w:val="8"/>
        <w:numPr>
          <w:ilvl w:val="1"/>
          <w:numId w:val="15"/>
        </w:numPr>
        <w:tabs>
          <w:tab w:val="left" w:pos="1418"/>
          <w:tab w:val="clear" w:pos="1545"/>
        </w:tabs>
        <w:spacing w:after="0" w:line="560" w:lineRule="exact"/>
        <w:ind w:leftChars="0" w:hanging="978"/>
        <w:rPr>
          <w:rFonts w:ascii="宋体" w:hAnsi="宋体" w:cs="宋体"/>
          <w:spacing w:val="6"/>
          <w:sz w:val="24"/>
        </w:rPr>
      </w:pPr>
      <w:r>
        <w:rPr>
          <w:rFonts w:hint="eastAsia" w:ascii="宋体" w:hAnsi="宋体" w:cs="宋体"/>
          <w:spacing w:val="6"/>
          <w:sz w:val="24"/>
        </w:rPr>
        <w:t>评估报告只能用于评估报告载明的评估目的和用途；</w:t>
      </w:r>
    </w:p>
    <w:p>
      <w:pPr>
        <w:pStyle w:val="8"/>
        <w:pageBreakBefore w:val="0"/>
        <w:widowControl w:val="0"/>
        <w:numPr>
          <w:ilvl w:val="1"/>
          <w:numId w:val="15"/>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spacing w:val="6"/>
          <w:sz w:val="24"/>
        </w:rPr>
      </w:pPr>
      <w:r>
        <w:rPr>
          <w:rFonts w:hint="eastAsia" w:ascii="宋体" w:hAnsi="宋体" w:cs="宋体"/>
          <w:spacing w:val="6"/>
          <w:sz w:val="24"/>
        </w:rPr>
        <w:t>委托人或者其他资产评估报告使用人未按照法律、行政法规规定和资产评估报告载明的使用范围使用资产评估报告的，资产评估机构及其资产评估专业人员不承担责任；</w:t>
      </w:r>
    </w:p>
    <w:p>
      <w:pPr>
        <w:pStyle w:val="8"/>
        <w:pageBreakBefore w:val="0"/>
        <w:widowControl w:val="0"/>
        <w:numPr>
          <w:ilvl w:val="1"/>
          <w:numId w:val="15"/>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spacing w:val="6"/>
          <w:sz w:val="24"/>
        </w:rPr>
      </w:pPr>
      <w:r>
        <w:rPr>
          <w:rFonts w:hint="eastAsia" w:ascii="宋体" w:hAnsi="宋体" w:cs="宋体"/>
          <w:spacing w:val="6"/>
          <w:sz w:val="24"/>
        </w:rPr>
        <w:t>除委托人、资产评估委托合同中约定的其他资产评估报告使用人和法律、行政法规规定的资产评估报告使用人之外，其他任何机构和个人不能成为资产评估报告的使用人；</w:t>
      </w:r>
    </w:p>
    <w:p>
      <w:pPr>
        <w:pStyle w:val="8"/>
        <w:pageBreakBefore w:val="0"/>
        <w:widowControl w:val="0"/>
        <w:numPr>
          <w:ilvl w:val="1"/>
          <w:numId w:val="15"/>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spacing w:val="6"/>
          <w:sz w:val="24"/>
        </w:rPr>
      </w:pPr>
      <w:r>
        <w:rPr>
          <w:rFonts w:hint="eastAsia" w:ascii="宋体" w:hAnsi="宋体" w:cs="宋体"/>
          <w:spacing w:val="6"/>
          <w:sz w:val="24"/>
        </w:rPr>
        <w:t>资产评估报告使用人应当正确理解评估结论。评估结论不等同于评估对象可实现价格，评估结论不应当被认为是对评估对象可实现价格的保证；</w:t>
      </w:r>
    </w:p>
    <w:p>
      <w:pPr>
        <w:pStyle w:val="8"/>
        <w:pageBreakBefore w:val="0"/>
        <w:widowControl w:val="0"/>
        <w:numPr>
          <w:ilvl w:val="1"/>
          <w:numId w:val="15"/>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spacing w:val="6"/>
          <w:sz w:val="24"/>
        </w:rPr>
      </w:pPr>
      <w:r>
        <w:rPr>
          <w:rFonts w:hint="eastAsia" w:ascii="宋体" w:hAnsi="宋体" w:cs="宋体"/>
          <w:spacing w:val="6"/>
          <w:sz w:val="24"/>
        </w:rPr>
        <w:t>未征得出具评估报告的评估机构同意，评估报告的内容不得被摘抄、引用或披露于公开媒体，法律、法规规定以及相关当事方另有约定的除外；</w:t>
      </w:r>
    </w:p>
    <w:p>
      <w:pPr>
        <w:pStyle w:val="8"/>
        <w:pageBreakBefore w:val="0"/>
        <w:widowControl w:val="0"/>
        <w:numPr>
          <w:ilvl w:val="1"/>
          <w:numId w:val="15"/>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spacing w:val="6"/>
          <w:sz w:val="24"/>
        </w:rPr>
      </w:pPr>
      <w:r>
        <w:rPr>
          <w:rFonts w:hint="eastAsia" w:ascii="宋体" w:hAnsi="宋体" w:cs="宋体"/>
          <w:spacing w:val="6"/>
          <w:sz w:val="24"/>
        </w:rPr>
        <w:t>评估结论的使用有效期为</w:t>
      </w:r>
      <w:r>
        <w:rPr>
          <w:rFonts w:hint="eastAsia" w:ascii="宋体" w:hAnsi="宋体" w:cs="宋体"/>
          <w:spacing w:val="6"/>
          <w:sz w:val="24"/>
          <w:lang w:eastAsia="zh-CN"/>
        </w:rPr>
        <w:t>2019年6月11日</w:t>
      </w:r>
      <w:r>
        <w:rPr>
          <w:rFonts w:hint="eastAsia" w:ascii="宋体" w:hAnsi="宋体" w:cs="宋体"/>
          <w:spacing w:val="6"/>
          <w:sz w:val="24"/>
          <w:highlight w:val="none"/>
        </w:rPr>
        <w:t>至20</w:t>
      </w:r>
      <w:r>
        <w:rPr>
          <w:rFonts w:hint="eastAsia" w:ascii="宋体" w:hAnsi="宋体" w:cs="宋体"/>
          <w:spacing w:val="6"/>
          <w:sz w:val="24"/>
          <w:highlight w:val="none"/>
          <w:lang w:val="en-US" w:eastAsia="zh-CN"/>
        </w:rPr>
        <w:t>20</w:t>
      </w:r>
      <w:r>
        <w:rPr>
          <w:rFonts w:hint="eastAsia" w:ascii="宋体" w:hAnsi="宋体" w:cs="宋体"/>
          <w:spacing w:val="6"/>
          <w:sz w:val="24"/>
          <w:highlight w:val="none"/>
        </w:rPr>
        <w:t>年</w:t>
      </w:r>
      <w:r>
        <w:rPr>
          <w:rFonts w:hint="eastAsia" w:ascii="宋体" w:hAnsi="宋体" w:cs="宋体"/>
          <w:spacing w:val="6"/>
          <w:sz w:val="24"/>
          <w:highlight w:val="none"/>
          <w:lang w:val="en-US" w:eastAsia="zh-CN"/>
        </w:rPr>
        <w:t>6</w:t>
      </w:r>
      <w:r>
        <w:rPr>
          <w:rFonts w:hint="eastAsia" w:ascii="宋体" w:hAnsi="宋体" w:cs="宋体"/>
          <w:spacing w:val="6"/>
          <w:sz w:val="24"/>
          <w:highlight w:val="none"/>
        </w:rPr>
        <w:t>月</w:t>
      </w:r>
      <w:r>
        <w:rPr>
          <w:rFonts w:hint="eastAsia" w:ascii="宋体" w:hAnsi="宋体" w:cs="宋体"/>
          <w:spacing w:val="6"/>
          <w:sz w:val="24"/>
          <w:highlight w:val="none"/>
          <w:lang w:val="en-US" w:eastAsia="zh-CN"/>
        </w:rPr>
        <w:t>10</w:t>
      </w:r>
      <w:r>
        <w:rPr>
          <w:rFonts w:hint="eastAsia" w:ascii="宋体" w:hAnsi="宋体" w:cs="宋体"/>
          <w:spacing w:val="6"/>
          <w:sz w:val="24"/>
          <w:highlight w:val="none"/>
        </w:rPr>
        <w:t>日</w:t>
      </w:r>
      <w:r>
        <w:rPr>
          <w:rFonts w:hint="eastAsia" w:ascii="宋体" w:hAnsi="宋体" w:cs="宋体"/>
          <w:spacing w:val="6"/>
          <w:sz w:val="24"/>
        </w:rPr>
        <w:t>止。</w:t>
      </w:r>
    </w:p>
    <w:p>
      <w:pPr>
        <w:pStyle w:val="4"/>
        <w:pageBreakBefore w:val="0"/>
        <w:widowControl w:val="0"/>
        <w:tabs>
          <w:tab w:val="left" w:pos="993"/>
        </w:tabs>
        <w:kinsoku/>
        <w:wordWrap/>
        <w:overflowPunct/>
        <w:topLinePunct w:val="0"/>
        <w:autoSpaceDE/>
        <w:autoSpaceDN/>
        <w:bidi w:val="0"/>
        <w:adjustRightInd/>
        <w:snapToGrid/>
        <w:spacing w:beforeLines="50" w:afterLines="50" w:line="600" w:lineRule="exact"/>
        <w:ind w:left="-2" w:leftChars="-1" w:firstLine="551" w:firstLineChars="196"/>
        <w:textAlignment w:val="auto"/>
        <w:rPr>
          <w:rFonts w:ascii="宋体" w:hAnsi="宋体" w:eastAsia="宋体" w:cs="宋体"/>
          <w:sz w:val="28"/>
        </w:rPr>
      </w:pPr>
      <w:bookmarkStart w:id="42" w:name="_Toc15495"/>
      <w:bookmarkStart w:id="43" w:name="_Toc23701"/>
      <w:r>
        <w:rPr>
          <w:rFonts w:hint="eastAsia" w:ascii="宋体" w:hAnsi="宋体" w:eastAsia="宋体" w:cs="宋体"/>
          <w:sz w:val="28"/>
        </w:rPr>
        <w:t>十三、评估报告日</w:t>
      </w:r>
      <w:bookmarkEnd w:id="42"/>
      <w:bookmarkEnd w:id="43"/>
    </w:p>
    <w:p>
      <w:pPr>
        <w:pStyle w:val="8"/>
        <w:pageBreakBefore w:val="0"/>
        <w:widowControl w:val="0"/>
        <w:kinsoku/>
        <w:wordWrap/>
        <w:overflowPunct/>
        <w:topLinePunct w:val="0"/>
        <w:autoSpaceDE/>
        <w:autoSpaceDN/>
        <w:bidi w:val="0"/>
        <w:adjustRightInd/>
        <w:snapToGrid/>
        <w:spacing w:line="600" w:lineRule="exact"/>
        <w:ind w:left="0" w:leftChars="0" w:firstLine="562"/>
        <w:textAlignment w:val="auto"/>
        <w:rPr>
          <w:rFonts w:ascii="宋体" w:hAnsi="宋体" w:cs="宋体"/>
          <w:spacing w:val="6"/>
          <w:sz w:val="24"/>
        </w:rPr>
      </w:pPr>
      <w:r>
        <w:rPr>
          <w:rFonts w:hint="eastAsia" w:ascii="宋体" w:hAnsi="宋体" w:cs="宋体"/>
          <w:sz w:val="24"/>
        </w:rPr>
        <w:t>本</w:t>
      </w:r>
      <w:r>
        <w:rPr>
          <w:rFonts w:hint="eastAsia" w:ascii="宋体" w:hAnsi="宋体" w:cs="宋体"/>
          <w:spacing w:val="6"/>
          <w:sz w:val="24"/>
        </w:rPr>
        <w:t>项目评估报告日为201</w:t>
      </w:r>
      <w:r>
        <w:rPr>
          <w:rFonts w:hint="eastAsia" w:ascii="宋体" w:hAnsi="宋体" w:cs="宋体"/>
          <w:spacing w:val="6"/>
          <w:sz w:val="24"/>
          <w:lang w:val="en-US" w:eastAsia="zh-CN"/>
        </w:rPr>
        <w:t>9</w:t>
      </w:r>
      <w:r>
        <w:rPr>
          <w:rFonts w:hint="eastAsia" w:ascii="宋体" w:hAnsi="宋体" w:cs="宋体"/>
          <w:spacing w:val="6"/>
          <w:sz w:val="24"/>
        </w:rPr>
        <w:t>年</w:t>
      </w:r>
      <w:r>
        <w:rPr>
          <w:rFonts w:hint="eastAsia" w:ascii="宋体" w:hAnsi="宋体" w:cs="宋体"/>
          <w:spacing w:val="6"/>
          <w:sz w:val="24"/>
          <w:lang w:val="en-US" w:eastAsia="zh-CN"/>
        </w:rPr>
        <w:t>7</w:t>
      </w:r>
      <w:r>
        <w:rPr>
          <w:rFonts w:hint="eastAsia" w:ascii="宋体" w:hAnsi="宋体" w:cs="宋体"/>
          <w:spacing w:val="6"/>
          <w:sz w:val="24"/>
        </w:rPr>
        <w:t>月</w:t>
      </w:r>
      <w:r>
        <w:rPr>
          <w:rFonts w:hint="eastAsia" w:ascii="宋体" w:hAnsi="宋体" w:cs="宋体"/>
          <w:spacing w:val="6"/>
          <w:sz w:val="24"/>
          <w:highlight w:val="none"/>
          <w:lang w:val="en-US" w:eastAsia="zh-CN"/>
        </w:rPr>
        <w:t>30</w:t>
      </w:r>
      <w:r>
        <w:rPr>
          <w:rFonts w:hint="eastAsia" w:ascii="宋体" w:hAnsi="宋体" w:cs="宋体"/>
          <w:spacing w:val="6"/>
          <w:sz w:val="24"/>
        </w:rPr>
        <w:t>日。</w:t>
      </w:r>
      <w:bookmarkStart w:id="44" w:name="_Toc11847"/>
    </w:p>
    <w:p>
      <w:pPr>
        <w:pStyle w:val="4"/>
        <w:pageBreakBefore w:val="0"/>
        <w:widowControl w:val="0"/>
        <w:tabs>
          <w:tab w:val="left" w:pos="993"/>
        </w:tabs>
        <w:kinsoku/>
        <w:wordWrap/>
        <w:overflowPunct/>
        <w:topLinePunct w:val="0"/>
        <w:autoSpaceDE/>
        <w:autoSpaceDN/>
        <w:bidi w:val="0"/>
        <w:adjustRightInd/>
        <w:snapToGrid/>
        <w:spacing w:beforeLines="50" w:afterLines="50" w:line="600" w:lineRule="exact"/>
        <w:ind w:left="-2" w:leftChars="-1" w:firstLine="551" w:firstLineChars="196"/>
        <w:textAlignment w:val="auto"/>
        <w:rPr>
          <w:rFonts w:hint="eastAsia" w:ascii="宋体" w:hAnsi="宋体" w:eastAsia="宋体" w:cs="宋体"/>
          <w:sz w:val="28"/>
          <w:lang w:eastAsia="zh-CN"/>
        </w:rPr>
      </w:pPr>
      <w:bookmarkStart w:id="45" w:name="_Toc3906"/>
    </w:p>
    <w:p>
      <w:pPr>
        <w:pStyle w:val="4"/>
        <w:pageBreakBefore w:val="0"/>
        <w:widowControl w:val="0"/>
        <w:tabs>
          <w:tab w:val="left" w:pos="993"/>
        </w:tabs>
        <w:kinsoku/>
        <w:wordWrap/>
        <w:overflowPunct/>
        <w:topLinePunct w:val="0"/>
        <w:autoSpaceDE/>
        <w:autoSpaceDN/>
        <w:bidi w:val="0"/>
        <w:adjustRightInd/>
        <w:snapToGrid/>
        <w:spacing w:beforeLines="50" w:afterLines="50" w:line="600" w:lineRule="exact"/>
        <w:ind w:left="-2" w:leftChars="-1" w:firstLine="551" w:firstLineChars="196"/>
        <w:textAlignment w:val="auto"/>
        <w:rPr>
          <w:rFonts w:hint="eastAsia" w:ascii="宋体" w:hAnsi="宋体" w:cs="宋体"/>
          <w:b/>
          <w:bCs/>
          <w:spacing w:val="6"/>
          <w:sz w:val="24"/>
          <w:lang w:eastAsia="zh-CN"/>
        </w:rPr>
      </w:pPr>
      <w:r>
        <w:rPr>
          <w:rFonts w:hint="eastAsia" w:ascii="宋体" w:hAnsi="宋体" w:eastAsia="宋体" w:cs="宋体"/>
          <w:sz w:val="28"/>
          <w:lang w:eastAsia="zh-CN"/>
        </w:rPr>
        <w:t>十四、资产评估机构专业人员签名和资产评估机构印章</w:t>
      </w:r>
      <w:bookmarkEnd w:id="45"/>
    </w:p>
    <w:p>
      <w:pPr>
        <w:pageBreakBefore w:val="0"/>
        <w:widowControl w:val="0"/>
        <w:kinsoku/>
        <w:wordWrap/>
        <w:overflowPunct/>
        <w:topLinePunct w:val="0"/>
        <w:autoSpaceDE/>
        <w:autoSpaceDN/>
        <w:bidi w:val="0"/>
        <w:adjustRightInd/>
        <w:snapToGrid/>
        <w:spacing w:line="600" w:lineRule="exact"/>
        <w:ind w:firstLine="504"/>
        <w:textAlignment w:val="auto"/>
        <w:rPr>
          <w:rFonts w:ascii="宋体" w:hAnsi="宋体" w:eastAsia="宋体" w:cs="宋体"/>
          <w:spacing w:val="6"/>
        </w:rPr>
      </w:pPr>
      <w:r>
        <w:rPr>
          <w:rFonts w:hint="eastAsia" w:ascii="宋体" w:hAnsi="宋体" w:eastAsia="宋体" w:cs="宋体"/>
          <w:spacing w:val="6"/>
        </w:rPr>
        <w:t>资 产 评 估 师：                       汉中恒信资产评估事务所</w:t>
      </w:r>
    </w:p>
    <w:p>
      <w:pPr>
        <w:pageBreakBefore w:val="0"/>
        <w:widowControl w:val="0"/>
        <w:kinsoku/>
        <w:wordWrap/>
        <w:overflowPunct/>
        <w:topLinePunct w:val="0"/>
        <w:autoSpaceDE/>
        <w:autoSpaceDN/>
        <w:bidi w:val="0"/>
        <w:adjustRightInd/>
        <w:snapToGrid/>
        <w:spacing w:line="600" w:lineRule="exact"/>
        <w:ind w:firstLine="0" w:firstLineChars="0"/>
        <w:textAlignment w:val="auto"/>
        <w:rPr>
          <w:rFonts w:ascii="宋体" w:hAnsi="宋体" w:eastAsia="宋体" w:cs="宋体"/>
          <w:spacing w:val="6"/>
        </w:rPr>
      </w:pPr>
    </w:p>
    <w:p>
      <w:pPr>
        <w:pageBreakBefore w:val="0"/>
        <w:widowControl w:val="0"/>
        <w:kinsoku/>
        <w:wordWrap/>
        <w:overflowPunct/>
        <w:topLinePunct w:val="0"/>
        <w:autoSpaceDE/>
        <w:autoSpaceDN/>
        <w:bidi w:val="0"/>
        <w:adjustRightInd/>
        <w:snapToGrid/>
        <w:spacing w:line="600" w:lineRule="exact"/>
        <w:ind w:firstLine="504"/>
        <w:textAlignment w:val="auto"/>
        <w:rPr>
          <w:rFonts w:hint="eastAsia" w:ascii="宋体" w:hAnsi="宋体" w:eastAsia="宋体" w:cs="宋体"/>
          <w:spacing w:val="6"/>
          <w:lang w:eastAsia="zh-CN"/>
        </w:rPr>
      </w:pPr>
      <w:r>
        <w:rPr>
          <w:rFonts w:hint="eastAsia" w:ascii="宋体" w:hAnsi="宋体" w:eastAsia="宋体" w:cs="宋体"/>
          <w:spacing w:val="6"/>
        </w:rPr>
        <w:t xml:space="preserve">资 产 评 估 师：                </w:t>
      </w:r>
      <w:r>
        <w:rPr>
          <w:rFonts w:hint="eastAsia" w:ascii="宋体" w:hAnsi="宋体" w:eastAsia="宋体" w:cs="宋体"/>
          <w:spacing w:val="6"/>
          <w:lang w:val="en-US" w:eastAsia="zh-CN"/>
        </w:rPr>
        <w:t xml:space="preserve">  </w:t>
      </w:r>
      <w:r>
        <w:rPr>
          <w:rFonts w:hint="eastAsia" w:ascii="宋体" w:hAnsi="宋体" w:eastAsia="宋体" w:cs="宋体"/>
          <w:spacing w:val="6"/>
        </w:rPr>
        <w:t xml:space="preserve">  报告日期：</w:t>
      </w:r>
      <w:r>
        <w:rPr>
          <w:rFonts w:hint="eastAsia" w:ascii="宋体" w:hAnsi="宋体" w:eastAsia="宋体" w:cs="宋体"/>
          <w:spacing w:val="6"/>
          <w:lang w:eastAsia="zh-CN"/>
        </w:rPr>
        <w:t>二〇一九年七月</w:t>
      </w:r>
      <w:r>
        <w:rPr>
          <w:rFonts w:hint="eastAsia" w:ascii="宋体" w:hAnsi="宋体" w:eastAsia="宋体" w:cs="宋体"/>
          <w:spacing w:val="6"/>
          <w:lang w:val="en-US" w:eastAsia="zh-CN"/>
        </w:rPr>
        <w:t>三十</w:t>
      </w:r>
      <w:r>
        <w:rPr>
          <w:rFonts w:hint="eastAsia" w:ascii="宋体" w:hAnsi="宋体" w:eastAsia="宋体" w:cs="宋体"/>
          <w:spacing w:val="6"/>
          <w:lang w:eastAsia="zh-CN"/>
        </w:rPr>
        <w:t>日</w:t>
      </w:r>
    </w:p>
    <w:p>
      <w:pPr>
        <w:pageBreakBefore w:val="0"/>
        <w:widowControl w:val="0"/>
        <w:kinsoku/>
        <w:wordWrap/>
        <w:overflowPunct/>
        <w:topLinePunct w:val="0"/>
        <w:autoSpaceDE/>
        <w:autoSpaceDN/>
        <w:bidi w:val="0"/>
        <w:adjustRightInd/>
        <w:snapToGrid/>
        <w:spacing w:line="600" w:lineRule="exact"/>
        <w:ind w:firstLine="504"/>
        <w:textAlignment w:val="auto"/>
        <w:rPr>
          <w:rFonts w:hint="eastAsia" w:ascii="宋体" w:hAnsi="宋体" w:eastAsia="宋体" w:cs="宋体"/>
          <w:spacing w:val="6"/>
          <w:lang w:eastAsia="zh-CN"/>
        </w:rPr>
      </w:pPr>
    </w:p>
    <w:p>
      <w:pPr>
        <w:pageBreakBefore w:val="0"/>
        <w:widowControl w:val="0"/>
        <w:kinsoku/>
        <w:wordWrap/>
        <w:overflowPunct/>
        <w:topLinePunct w:val="0"/>
        <w:autoSpaceDE/>
        <w:autoSpaceDN/>
        <w:bidi w:val="0"/>
        <w:adjustRightInd/>
        <w:snapToGrid/>
        <w:spacing w:line="600" w:lineRule="exact"/>
        <w:ind w:firstLine="504"/>
        <w:textAlignment w:val="auto"/>
        <w:rPr>
          <w:rFonts w:hint="eastAsia" w:ascii="宋体" w:hAnsi="宋体" w:eastAsia="宋体" w:cs="宋体"/>
          <w:spacing w:val="6"/>
          <w:lang w:eastAsia="zh-CN"/>
        </w:rPr>
      </w:pPr>
    </w:p>
    <w:p>
      <w:pPr>
        <w:pageBreakBefore w:val="0"/>
        <w:widowControl w:val="0"/>
        <w:kinsoku/>
        <w:wordWrap/>
        <w:overflowPunct/>
        <w:topLinePunct w:val="0"/>
        <w:autoSpaceDE/>
        <w:autoSpaceDN/>
        <w:bidi w:val="0"/>
        <w:adjustRightInd/>
        <w:snapToGrid/>
        <w:spacing w:line="600" w:lineRule="exact"/>
        <w:ind w:firstLine="504"/>
        <w:textAlignment w:val="auto"/>
        <w:rPr>
          <w:rFonts w:hint="eastAsia" w:ascii="宋体" w:hAnsi="宋体" w:eastAsia="宋体" w:cs="宋体"/>
          <w:spacing w:val="6"/>
          <w:lang w:eastAsia="zh-CN"/>
        </w:rPr>
      </w:pPr>
    </w:p>
    <w:p>
      <w:pPr>
        <w:pageBreakBefore w:val="0"/>
        <w:widowControl w:val="0"/>
        <w:kinsoku/>
        <w:wordWrap/>
        <w:overflowPunct/>
        <w:topLinePunct w:val="0"/>
        <w:autoSpaceDE/>
        <w:autoSpaceDN/>
        <w:bidi w:val="0"/>
        <w:adjustRightInd/>
        <w:snapToGrid/>
        <w:spacing w:line="600" w:lineRule="exact"/>
        <w:ind w:firstLine="504"/>
        <w:textAlignment w:val="auto"/>
        <w:rPr>
          <w:rFonts w:hint="eastAsia" w:ascii="宋体" w:hAnsi="宋体" w:eastAsia="宋体" w:cs="宋体"/>
          <w:spacing w:val="6"/>
          <w:lang w:eastAsia="zh-CN"/>
        </w:rPr>
      </w:pPr>
    </w:p>
    <w:bookmarkEnd w:id="44"/>
    <w:p>
      <w:pPr>
        <w:pStyle w:val="4"/>
        <w:tabs>
          <w:tab w:val="left" w:pos="2550"/>
        </w:tabs>
        <w:spacing w:beforeLines="50" w:afterLines="50" w:line="560" w:lineRule="exact"/>
        <w:ind w:left="-2" w:leftChars="-1" w:firstLine="551" w:firstLineChars="196"/>
        <w:rPr>
          <w:sz w:val="28"/>
          <w:szCs w:val="28"/>
        </w:rPr>
      </w:pPr>
      <w:bookmarkStart w:id="46" w:name="_Toc6577"/>
      <w:r>
        <w:rPr>
          <w:rFonts w:hint="eastAsia" w:ascii="宋体" w:hAnsi="宋体" w:eastAsia="宋体" w:cs="宋体"/>
          <w:sz w:val="28"/>
        </w:rPr>
        <w:t>附件</w:t>
      </w:r>
      <w:bookmarkEnd w:id="46"/>
    </w:p>
    <w:p>
      <w:pPr>
        <w:pStyle w:val="39"/>
        <w:numPr>
          <w:ilvl w:val="0"/>
          <w:numId w:val="16"/>
        </w:numPr>
        <w:tabs>
          <w:tab w:val="left" w:pos="1276"/>
          <w:tab w:val="left" w:pos="1560"/>
        </w:tabs>
        <w:ind w:hanging="551"/>
        <w:textAlignment w:val="baseline"/>
        <w:rPr>
          <w:rFonts w:ascii="宋体" w:hAnsi="宋体" w:eastAsia="宋体" w:cs="宋体"/>
        </w:rPr>
      </w:pPr>
      <w:r>
        <w:rPr>
          <w:rFonts w:hint="eastAsia" w:ascii="宋体" w:hAnsi="宋体" w:eastAsia="宋体" w:cs="宋体"/>
          <w:lang w:eastAsia="zh-CN"/>
        </w:rPr>
        <w:t>委估</w:t>
      </w:r>
      <w:r>
        <w:rPr>
          <w:rFonts w:hint="eastAsia" w:ascii="宋体" w:hAnsi="宋体" w:eastAsia="宋体" w:cs="宋体"/>
        </w:rPr>
        <w:t>对象</w:t>
      </w:r>
      <w:r>
        <w:rPr>
          <w:rFonts w:hint="eastAsia" w:ascii="宋体" w:hAnsi="宋体" w:eastAsia="宋体" w:cs="宋体"/>
          <w:lang w:eastAsia="zh-CN"/>
        </w:rPr>
        <w:t>位置图</w:t>
      </w:r>
      <w:r>
        <w:rPr>
          <w:rFonts w:hint="eastAsia" w:ascii="宋体" w:hAnsi="宋体" w:eastAsia="宋体" w:cs="宋体"/>
        </w:rPr>
        <w:t>；</w:t>
      </w:r>
    </w:p>
    <w:p>
      <w:pPr>
        <w:pStyle w:val="39"/>
        <w:numPr>
          <w:ilvl w:val="0"/>
          <w:numId w:val="16"/>
        </w:numPr>
        <w:tabs>
          <w:tab w:val="left" w:pos="1276"/>
          <w:tab w:val="left" w:pos="1560"/>
        </w:tabs>
        <w:ind w:hanging="551"/>
        <w:textAlignment w:val="baseline"/>
        <w:rPr>
          <w:rFonts w:ascii="宋体" w:hAnsi="宋体" w:eastAsia="宋体" w:cs="宋体"/>
        </w:rPr>
      </w:pPr>
      <w:r>
        <w:rPr>
          <w:rFonts w:hint="eastAsia" w:ascii="宋体" w:hAnsi="宋体" w:eastAsia="宋体" w:cs="宋体"/>
          <w:lang w:eastAsia="zh-CN"/>
        </w:rPr>
        <w:t>委估对象相关照片；</w:t>
      </w:r>
    </w:p>
    <w:p>
      <w:pPr>
        <w:pStyle w:val="39"/>
        <w:numPr>
          <w:ilvl w:val="0"/>
          <w:numId w:val="16"/>
        </w:numPr>
        <w:tabs>
          <w:tab w:val="left" w:pos="1276"/>
          <w:tab w:val="left" w:pos="1560"/>
        </w:tabs>
        <w:ind w:hanging="551"/>
        <w:textAlignment w:val="baseline"/>
        <w:rPr>
          <w:rFonts w:ascii="宋体" w:hAnsi="宋体" w:eastAsia="宋体" w:cs="宋体"/>
        </w:rPr>
      </w:pPr>
      <w:r>
        <w:rPr>
          <w:rFonts w:hint="eastAsia" w:ascii="宋体" w:hAnsi="宋体" w:eastAsia="宋体" w:cs="宋体"/>
          <w:lang w:eastAsia="zh-CN"/>
        </w:rPr>
        <w:t>房屋建筑物评估明细表；</w:t>
      </w:r>
    </w:p>
    <w:p>
      <w:pPr>
        <w:pStyle w:val="39"/>
        <w:numPr>
          <w:ilvl w:val="0"/>
          <w:numId w:val="16"/>
        </w:numPr>
        <w:tabs>
          <w:tab w:val="left" w:pos="1276"/>
          <w:tab w:val="left" w:pos="1560"/>
        </w:tabs>
        <w:ind w:hanging="551"/>
        <w:textAlignment w:val="baseline"/>
        <w:rPr>
          <w:rFonts w:ascii="宋体" w:hAnsi="宋体" w:eastAsia="宋体" w:cs="宋体"/>
        </w:rPr>
      </w:pPr>
      <w:r>
        <w:rPr>
          <w:rFonts w:hint="eastAsia" w:ascii="宋体" w:hAnsi="宋体" w:eastAsia="宋体" w:cs="宋体"/>
        </w:rPr>
        <w:t>陕西省城固县人民法院</w:t>
      </w:r>
      <w:r>
        <w:rPr>
          <w:rFonts w:hint="eastAsia" w:ascii="宋体" w:hAnsi="宋体" w:eastAsia="宋体" w:cs="宋体"/>
          <w:lang w:eastAsia="zh-CN"/>
        </w:rPr>
        <w:t>（2019）陕0722执303、818号《</w:t>
      </w:r>
      <w:r>
        <w:rPr>
          <w:rFonts w:hint="eastAsia" w:ascii="宋体" w:hAnsi="宋体" w:eastAsia="宋体" w:cs="宋体"/>
        </w:rPr>
        <w:t>评估委托书</w:t>
      </w:r>
      <w:r>
        <w:rPr>
          <w:rFonts w:hint="eastAsia" w:ascii="宋体" w:hAnsi="宋体" w:eastAsia="宋体" w:cs="宋体"/>
          <w:lang w:eastAsia="zh-CN"/>
        </w:rPr>
        <w:t>》</w:t>
      </w:r>
      <w:r>
        <w:rPr>
          <w:rFonts w:hint="eastAsia" w:ascii="宋体" w:hAnsi="宋体" w:eastAsia="宋体" w:cs="宋体"/>
        </w:rPr>
        <w:t>复印件；</w:t>
      </w:r>
    </w:p>
    <w:p>
      <w:pPr>
        <w:pStyle w:val="39"/>
        <w:numPr>
          <w:ilvl w:val="0"/>
          <w:numId w:val="16"/>
        </w:numPr>
        <w:tabs>
          <w:tab w:val="left" w:pos="1276"/>
          <w:tab w:val="left" w:pos="1560"/>
        </w:tabs>
        <w:ind w:hanging="551"/>
        <w:textAlignment w:val="baseline"/>
        <w:rPr>
          <w:rFonts w:ascii="宋体" w:hAnsi="宋体" w:eastAsia="宋体" w:cs="宋体"/>
        </w:rPr>
      </w:pPr>
      <w:r>
        <w:rPr>
          <w:rFonts w:hint="eastAsia" w:ascii="宋体" w:hAnsi="宋体" w:eastAsia="宋体" w:cs="宋体"/>
          <w:lang w:eastAsia="zh-CN"/>
        </w:rPr>
        <w:t>城固县房权证博望镇字第20080269号《</w:t>
      </w:r>
      <w:r>
        <w:rPr>
          <w:rFonts w:hint="eastAsia" w:ascii="宋体" w:hAnsi="宋体" w:eastAsia="宋体" w:cs="宋体"/>
          <w:lang w:val="en-US" w:eastAsia="zh-CN"/>
        </w:rPr>
        <w:t>房屋所有权证</w:t>
      </w:r>
      <w:r>
        <w:rPr>
          <w:rFonts w:hint="eastAsia" w:ascii="宋体" w:hAnsi="宋体" w:eastAsia="宋体" w:cs="宋体"/>
          <w:lang w:eastAsia="zh-CN"/>
        </w:rPr>
        <w:t>》复印件；</w:t>
      </w:r>
    </w:p>
    <w:p>
      <w:pPr>
        <w:pStyle w:val="39"/>
        <w:numPr>
          <w:ilvl w:val="0"/>
          <w:numId w:val="16"/>
        </w:numPr>
        <w:tabs>
          <w:tab w:val="left" w:pos="1276"/>
          <w:tab w:val="left" w:pos="1560"/>
        </w:tabs>
        <w:ind w:hanging="551"/>
        <w:textAlignment w:val="baseline"/>
        <w:rPr>
          <w:rFonts w:ascii="宋体" w:hAnsi="宋体" w:eastAsia="宋体" w:cs="宋体"/>
        </w:rPr>
      </w:pPr>
      <w:r>
        <w:rPr>
          <w:rFonts w:hint="eastAsia" w:ascii="宋体" w:hAnsi="宋体" w:cs="宋体"/>
          <w:sz w:val="24"/>
          <w:lang w:eastAsia="zh-CN"/>
        </w:rPr>
        <w:t>陕西省财政厅备案公告</w:t>
      </w:r>
      <w:r>
        <w:rPr>
          <w:rFonts w:hint="eastAsia" w:ascii="宋体" w:hAnsi="宋体" w:cs="宋体"/>
          <w:sz w:val="24"/>
        </w:rPr>
        <w:t>复印件；</w:t>
      </w:r>
    </w:p>
    <w:p>
      <w:pPr>
        <w:pStyle w:val="39"/>
        <w:numPr>
          <w:ilvl w:val="0"/>
          <w:numId w:val="16"/>
        </w:numPr>
        <w:tabs>
          <w:tab w:val="left" w:pos="1276"/>
          <w:tab w:val="left" w:pos="1560"/>
        </w:tabs>
        <w:ind w:hanging="551"/>
        <w:textAlignment w:val="baseline"/>
        <w:rPr>
          <w:rFonts w:ascii="宋体" w:hAnsi="宋体" w:eastAsia="宋体" w:cs="宋体"/>
        </w:rPr>
      </w:pPr>
      <w:r>
        <w:rPr>
          <w:rFonts w:hint="eastAsia" w:ascii="宋体" w:hAnsi="宋体" w:eastAsia="宋体" w:cs="宋体"/>
        </w:rPr>
        <w:t xml:space="preserve">评估机构营业执照复印件； </w:t>
      </w:r>
    </w:p>
    <w:p>
      <w:pPr>
        <w:pStyle w:val="39"/>
        <w:numPr>
          <w:ilvl w:val="0"/>
          <w:numId w:val="16"/>
        </w:numPr>
        <w:tabs>
          <w:tab w:val="left" w:pos="1276"/>
          <w:tab w:val="left" w:pos="1560"/>
        </w:tabs>
        <w:ind w:hanging="551"/>
        <w:textAlignment w:val="baseline"/>
        <w:rPr>
          <w:rFonts w:ascii="宋体" w:hAnsi="宋体" w:eastAsia="宋体" w:cs="宋体"/>
        </w:rPr>
      </w:pPr>
      <w:r>
        <w:rPr>
          <w:rFonts w:hint="eastAsia" w:ascii="宋体" w:hAnsi="宋体" w:eastAsia="宋体" w:cs="宋体"/>
        </w:rPr>
        <w:t>签字资产评估师</w:t>
      </w:r>
      <w:r>
        <w:rPr>
          <w:rFonts w:hint="eastAsia" w:ascii="宋体" w:hAnsi="宋体" w:eastAsia="宋体" w:cs="宋体"/>
          <w:lang w:eastAsia="zh-CN"/>
        </w:rPr>
        <w:t>登记卡</w:t>
      </w:r>
      <w:r>
        <w:rPr>
          <w:rFonts w:hint="eastAsia" w:ascii="宋体" w:hAnsi="宋体" w:eastAsia="宋体" w:cs="宋体"/>
        </w:rPr>
        <w:t>复印件。</w:t>
      </w:r>
    </w:p>
    <w:p>
      <w:pPr>
        <w:widowControl/>
        <w:spacing w:line="240" w:lineRule="auto"/>
        <w:ind w:firstLine="0" w:firstLineChars="0"/>
        <w:jc w:val="left"/>
        <w:rPr>
          <w:rFonts w:asciiTheme="minorEastAsia" w:hAnsiTheme="minorEastAsia" w:eastAsiaTheme="minorEastAsia" w:cstheme="minorEastAsia"/>
          <w:b/>
        </w:rPr>
      </w:pPr>
      <w:r>
        <w:rPr>
          <w:rFonts w:asciiTheme="minorEastAsia" w:hAnsiTheme="minorEastAsia" w:eastAsiaTheme="minorEastAsia" w:cstheme="minorEastAsia"/>
          <w:b/>
        </w:rPr>
        <w:br w:type="page"/>
      </w:r>
    </w:p>
    <w:p>
      <w:pPr>
        <w:tabs>
          <w:tab w:val="left" w:pos="1935"/>
          <w:tab w:val="left" w:pos="6472"/>
        </w:tabs>
        <w:ind w:firstLine="480"/>
        <w:rPr>
          <w:rFonts w:hint="eastAsia" w:eastAsia="宋体"/>
          <w:lang w:val="en-US" w:eastAsia="zh-CN"/>
        </w:rPr>
      </w:pPr>
      <w:r>
        <w:rPr>
          <w:rFonts w:hint="eastAsia" w:ascii="Times New Roman" w:hAnsi="Times New Roman" w:eastAsia="Times New Roman" w:cs="Times New Roman"/>
          <w:b/>
          <w:bCs/>
          <w:kern w:val="2"/>
          <w:sz w:val="24"/>
          <w:szCs w:val="24"/>
          <w:lang w:val="en-US" w:eastAsia="zh-CN" w:bidi="ar-SA"/>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240665</wp:posOffset>
            </wp:positionV>
            <wp:extent cx="2800350" cy="1979930"/>
            <wp:effectExtent l="9525" t="9525" r="9525" b="10795"/>
            <wp:wrapNone/>
            <wp:docPr id="9" name="图片 9" descr="Screenshot_20190611_153408_com.autonavi.min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Screenshot_20190611_153408_com.autonavi.minimap"/>
                    <pic:cNvPicPr>
                      <a:picLocks noChangeAspect="1"/>
                    </pic:cNvPicPr>
                  </pic:nvPicPr>
                  <pic:blipFill>
                    <a:blip r:embed="rId17"/>
                    <a:srcRect t="29382" b="36591"/>
                    <a:stretch>
                      <a:fillRect/>
                    </a:stretch>
                  </pic:blipFill>
                  <pic:spPr>
                    <a:xfrm>
                      <a:off x="0" y="0"/>
                      <a:ext cx="2800350" cy="1979930"/>
                    </a:xfrm>
                    <a:prstGeom prst="rect">
                      <a:avLst/>
                    </a:prstGeom>
                    <a:ln>
                      <a:solidFill>
                        <a:schemeClr val="tx1"/>
                      </a:solidFill>
                    </a:ln>
                  </pic:spPr>
                </pic:pic>
              </a:graphicData>
            </a:graphic>
          </wp:anchor>
        </w:drawing>
      </w:r>
      <w:r>
        <w:rPr>
          <w:rFonts w:hint="eastAsia" w:ascii="Times New Roman" w:hAnsi="Times New Roman" w:eastAsia="Times New Roman" w:cs="Times New Roman"/>
          <w:b/>
          <w:bCs/>
          <w:kern w:val="2"/>
          <w:sz w:val="24"/>
          <w:szCs w:val="24"/>
          <w:lang w:val="en-US" w:eastAsia="zh-CN" w:bidi="ar-S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240665</wp:posOffset>
            </wp:positionV>
            <wp:extent cx="2940050" cy="1979930"/>
            <wp:effectExtent l="9525" t="9525" r="22225" b="10795"/>
            <wp:wrapNone/>
            <wp:docPr id="8" name="图片 8" descr="Screenshot_20190611_153423_com.autonavi.min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creenshot_20190611_153423_com.autonavi.minimap"/>
                    <pic:cNvPicPr>
                      <a:picLocks noChangeAspect="1"/>
                    </pic:cNvPicPr>
                  </pic:nvPicPr>
                  <pic:blipFill>
                    <a:blip r:embed="rId18"/>
                    <a:srcRect t="24357" b="37465"/>
                    <a:stretch>
                      <a:fillRect/>
                    </a:stretch>
                  </pic:blipFill>
                  <pic:spPr>
                    <a:xfrm>
                      <a:off x="0" y="0"/>
                      <a:ext cx="2940050" cy="1979930"/>
                    </a:xfrm>
                    <a:prstGeom prst="rect">
                      <a:avLst/>
                    </a:prstGeom>
                    <a:ln>
                      <a:solidFill>
                        <a:schemeClr val="tx1"/>
                      </a:solidFill>
                    </a:ln>
                  </pic:spPr>
                </pic:pic>
              </a:graphicData>
            </a:graphic>
          </wp:anchor>
        </w:drawing>
      </w:r>
      <w:r>
        <w:rPr>
          <w:rFonts w:hint="eastAsia" w:asciiTheme="minorEastAsia" w:hAnsiTheme="minorEastAsia" w:eastAsiaTheme="minorEastAsia" w:cstheme="minorEastAsia"/>
          <w:b/>
          <w:sz w:val="22"/>
          <w:szCs w:val="22"/>
        </w:rPr>
        <w:t>评估对象位置图</w:t>
      </w:r>
      <w:r>
        <w:rPr>
          <w:rFonts w:hint="eastAsia" w:asciiTheme="minorEastAsia" w:hAnsiTheme="minorEastAsia" w:eastAsiaTheme="minorEastAsia" w:cstheme="minorEastAsia"/>
          <w:b/>
          <w:sz w:val="22"/>
          <w:szCs w:val="22"/>
          <w:lang w:eastAsia="zh-CN"/>
        </w:rPr>
        <w:t>：</w:t>
      </w:r>
      <w:r>
        <w:rPr>
          <w:rFonts w:hint="eastAsia" w:eastAsia="宋体"/>
          <w:sz w:val="22"/>
          <w:szCs w:val="22"/>
          <w:lang w:val="en-US" w:eastAsia="zh-CN"/>
        </w:rPr>
        <w:t xml:space="preserve"> </w:t>
      </w:r>
      <w:r>
        <w:rPr>
          <w:rFonts w:hint="eastAsia" w:eastAsia="宋体"/>
          <w:lang w:val="en-US" w:eastAsia="zh-CN"/>
        </w:rPr>
        <w:t xml:space="preserve">             </w:t>
      </w:r>
    </w:p>
    <w:p>
      <w:pPr>
        <w:tabs>
          <w:tab w:val="left" w:pos="630"/>
        </w:tabs>
        <w:jc w:val="left"/>
        <w:rPr>
          <w:rFonts w:hint="eastAsia" w:ascii="Times New Roman" w:hAnsi="Times New Roman" w:eastAsia="Times New Roman" w:cs="Times New Roman"/>
          <w:b/>
          <w:bCs/>
          <w:kern w:val="2"/>
          <w:sz w:val="24"/>
          <w:szCs w:val="24"/>
          <w:lang w:val="en-US" w:eastAsia="zh-CN" w:bidi="ar-SA"/>
        </w:rPr>
      </w:pPr>
      <w:r>
        <w:rPr>
          <w:rFonts w:hint="eastAsia" w:cs="Times New Roman"/>
          <w:b/>
          <w:bCs/>
          <w:kern w:val="2"/>
          <w:sz w:val="24"/>
          <w:szCs w:val="24"/>
          <w:lang w:val="en-US" w:eastAsia="zh-CN" w:bidi="ar-SA"/>
        </w:rPr>
        <w:tab/>
      </w:r>
    </w:p>
    <w:p>
      <w:pPr>
        <w:tabs>
          <w:tab w:val="left" w:pos="5573"/>
        </w:tabs>
        <w:jc w:val="left"/>
        <w:rPr>
          <w:rFonts w:hint="eastAsia" w:cs="Times New Roman"/>
          <w:b/>
          <w:bCs/>
          <w:kern w:val="2"/>
          <w:sz w:val="24"/>
          <w:szCs w:val="24"/>
          <w:lang w:val="en-US" w:eastAsia="zh-CN" w:bidi="ar-SA"/>
        </w:rPr>
      </w:pPr>
      <w:r>
        <w:rPr>
          <w:rFonts w:hint="eastAsia" w:cs="Times New Roman"/>
          <w:b/>
          <w:bCs/>
          <w:kern w:val="2"/>
          <w:sz w:val="24"/>
          <w:szCs w:val="24"/>
          <w:lang w:val="en-US" w:eastAsia="zh-CN" w:bidi="ar-SA"/>
        </w:rPr>
        <w:tab/>
      </w:r>
    </w:p>
    <w:p>
      <w:pPr>
        <w:tabs>
          <w:tab w:val="left" w:pos="5873"/>
        </w:tabs>
        <w:jc w:val="left"/>
        <w:rPr>
          <w:rFonts w:hint="eastAsia" w:cs="Times New Roman"/>
          <w:b/>
          <w:bCs/>
          <w:kern w:val="2"/>
          <w:sz w:val="24"/>
          <w:szCs w:val="24"/>
          <w:lang w:val="en-US" w:eastAsia="zh-CN" w:bidi="ar-SA"/>
        </w:rPr>
      </w:pPr>
      <w:r>
        <w:rPr>
          <w:rFonts w:hint="eastAsia" w:cs="Times New Roman"/>
          <w:b/>
          <w:bCs/>
          <w:kern w:val="2"/>
          <w:sz w:val="24"/>
          <w:szCs w:val="24"/>
          <w:lang w:val="en-US" w:eastAsia="zh-CN" w:bidi="ar-SA"/>
        </w:rPr>
        <w:tab/>
      </w:r>
    </w:p>
    <w:p>
      <w:pPr>
        <w:jc w:val="left"/>
        <w:rPr>
          <w:rFonts w:hint="eastAsia" w:cs="Times New Roman"/>
          <w:b/>
          <w:bCs/>
          <w:kern w:val="2"/>
          <w:sz w:val="24"/>
          <w:szCs w:val="24"/>
          <w:lang w:val="en-US" w:eastAsia="zh-CN" w:bidi="ar-SA"/>
        </w:rPr>
      </w:pPr>
    </w:p>
    <w:p>
      <w:pPr>
        <w:jc w:val="left"/>
        <w:rPr>
          <w:rFonts w:hint="eastAsia" w:cs="Times New Roman"/>
          <w:b/>
          <w:bCs/>
          <w:kern w:val="2"/>
          <w:sz w:val="24"/>
          <w:szCs w:val="24"/>
          <w:lang w:val="en-US" w:eastAsia="zh-CN" w:bidi="ar-SA"/>
        </w:rPr>
      </w:pPr>
    </w:p>
    <w:p>
      <w:pPr>
        <w:jc w:val="left"/>
        <w:rPr>
          <w:rFonts w:hint="eastAsia" w:cs="Times New Roman"/>
          <w:b/>
          <w:bCs/>
          <w:kern w:val="2"/>
          <w:sz w:val="24"/>
          <w:szCs w:val="24"/>
          <w:lang w:val="en-US" w:eastAsia="zh-CN" w:bidi="ar-SA"/>
        </w:rPr>
      </w:pPr>
    </w:p>
    <w:p>
      <w:pPr>
        <w:jc w:val="left"/>
        <w:rPr>
          <w:rFonts w:hint="eastAsia" w:ascii="Times New Roman" w:hAnsi="Times New Roman" w:eastAsia="Times New Roman" w:cs="Times New Roman"/>
          <w:kern w:val="2"/>
          <w:sz w:val="22"/>
          <w:szCs w:val="22"/>
          <w:lang w:val="en-US" w:eastAsia="zh-CN" w:bidi="ar-SA"/>
        </w:rPr>
      </w:pPr>
      <w:r>
        <w:rPr>
          <w:rFonts w:hint="eastAsia" w:ascii="Times New Roman" w:hAnsi="Times New Roman" w:eastAsia="Times New Roman" w:cs="Times New Roman"/>
          <w:kern w:val="2"/>
          <w:sz w:val="24"/>
          <w:szCs w:val="24"/>
          <w:lang w:val="en-US" w:eastAsia="zh-CN" w:bidi="ar-SA"/>
        </w:rPr>
        <w:drawing>
          <wp:anchor distT="0" distB="0" distL="114300" distR="114300" simplePos="0" relativeHeight="251662336" behindDoc="1" locked="0" layoutInCell="1" allowOverlap="1">
            <wp:simplePos x="0" y="0"/>
            <wp:positionH relativeFrom="column">
              <wp:posOffset>2924175</wp:posOffset>
            </wp:positionH>
            <wp:positionV relativeFrom="paragraph">
              <wp:posOffset>250190</wp:posOffset>
            </wp:positionV>
            <wp:extent cx="2792095" cy="1979930"/>
            <wp:effectExtent l="9525" t="9525" r="17780" b="10795"/>
            <wp:wrapNone/>
            <wp:docPr id="12" name="图片 12" descr="IMG_20190611_15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190611_153758"/>
                    <pic:cNvPicPr>
                      <a:picLocks noChangeAspect="1"/>
                    </pic:cNvPicPr>
                  </pic:nvPicPr>
                  <pic:blipFill>
                    <a:blip r:embed="rId19"/>
                    <a:stretch>
                      <a:fillRect/>
                    </a:stretch>
                  </pic:blipFill>
                  <pic:spPr>
                    <a:xfrm>
                      <a:off x="0" y="0"/>
                      <a:ext cx="2792095" cy="1979930"/>
                    </a:xfrm>
                    <a:prstGeom prst="rect">
                      <a:avLst/>
                    </a:prstGeom>
                    <a:ln>
                      <a:solidFill>
                        <a:schemeClr val="tx1"/>
                      </a:solidFill>
                    </a:ln>
                  </pic:spPr>
                </pic:pic>
              </a:graphicData>
            </a:graphic>
          </wp:anchor>
        </w:drawing>
      </w:r>
      <w:r>
        <w:rPr>
          <w:rFonts w:hint="eastAsia" w:ascii="Times New Roman" w:hAnsi="Times New Roman" w:eastAsia="Times New Roman" w:cs="Times New Roman"/>
          <w:kern w:val="2"/>
          <w:sz w:val="24"/>
          <w:szCs w:val="24"/>
          <w:lang w:val="en-US" w:eastAsia="zh-CN" w:bidi="ar-SA"/>
        </w:rPr>
        <w:drawing>
          <wp:anchor distT="0" distB="0" distL="114300" distR="114300" simplePos="0" relativeHeight="251660288" behindDoc="1" locked="0" layoutInCell="1" allowOverlap="1">
            <wp:simplePos x="0" y="0"/>
            <wp:positionH relativeFrom="column">
              <wp:posOffset>-142875</wp:posOffset>
            </wp:positionH>
            <wp:positionV relativeFrom="paragraph">
              <wp:posOffset>274955</wp:posOffset>
            </wp:positionV>
            <wp:extent cx="2906395" cy="1951355"/>
            <wp:effectExtent l="9525" t="9525" r="17780" b="20320"/>
            <wp:wrapNone/>
            <wp:docPr id="10" name="图片 10" descr="IMG_20190611_16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190611_162523"/>
                    <pic:cNvPicPr>
                      <a:picLocks noChangeAspect="1"/>
                    </pic:cNvPicPr>
                  </pic:nvPicPr>
                  <pic:blipFill>
                    <a:blip r:embed="rId20"/>
                    <a:stretch>
                      <a:fillRect/>
                    </a:stretch>
                  </pic:blipFill>
                  <pic:spPr>
                    <a:xfrm>
                      <a:off x="0" y="0"/>
                      <a:ext cx="2906395" cy="1951355"/>
                    </a:xfrm>
                    <a:prstGeom prst="rect">
                      <a:avLst/>
                    </a:prstGeom>
                    <a:ln>
                      <a:solidFill>
                        <a:schemeClr val="tx1"/>
                      </a:solidFill>
                    </a:ln>
                  </pic:spPr>
                </pic:pic>
              </a:graphicData>
            </a:graphic>
          </wp:anchor>
        </w:drawing>
      </w:r>
      <w:r>
        <w:rPr>
          <w:rFonts w:hint="eastAsia" w:cs="Times New Roman"/>
          <w:b/>
          <w:bCs/>
          <w:kern w:val="2"/>
          <w:sz w:val="22"/>
          <w:szCs w:val="22"/>
          <w:lang w:val="en-US" w:eastAsia="zh-CN" w:bidi="ar-SA"/>
        </w:rPr>
        <w:t>现场照片：</w:t>
      </w:r>
    </w:p>
    <w:p>
      <w:pPr>
        <w:tabs>
          <w:tab w:val="left" w:pos="5363"/>
        </w:tabs>
        <w:ind w:left="0" w:leftChars="0" w:firstLine="0" w:firstLineChars="0"/>
        <w:jc w:val="left"/>
        <w:rPr>
          <w:rFonts w:hint="eastAsia" w:ascii="Times New Roman" w:hAnsi="Times New Roman" w:eastAsia="Times New Roman" w:cs="Times New Roman"/>
          <w:kern w:val="2"/>
          <w:sz w:val="24"/>
          <w:szCs w:val="24"/>
          <w:lang w:val="en-US" w:eastAsia="zh-CN" w:bidi="ar-SA"/>
        </w:rPr>
      </w:pPr>
    </w:p>
    <w:p>
      <w:pPr>
        <w:tabs>
          <w:tab w:val="left" w:pos="5482"/>
        </w:tabs>
        <w:rPr>
          <w:rFonts w:hint="eastAsia" w:ascii="Times New Roman" w:hAnsi="Times New Roman" w:eastAsia="Times New Roman" w:cs="Times New Roman"/>
          <w:kern w:val="2"/>
          <w:sz w:val="24"/>
          <w:szCs w:val="24"/>
          <w:lang w:val="en-US" w:eastAsia="zh-CN" w:bidi="ar-SA"/>
        </w:rPr>
      </w:pPr>
      <w:r>
        <w:rPr>
          <w:rFonts w:hint="eastAsia" w:cs="Times New Roman"/>
          <w:kern w:val="2"/>
          <w:sz w:val="24"/>
          <w:szCs w:val="24"/>
          <w:lang w:val="en-US" w:eastAsia="zh-CN" w:bidi="ar-SA"/>
        </w:rPr>
        <w:tab/>
      </w:r>
    </w:p>
    <w:p>
      <w:pPr>
        <w:tabs>
          <w:tab w:val="left" w:pos="638"/>
        </w:tabs>
        <w:jc w:val="left"/>
        <w:rPr>
          <w:rFonts w:hint="eastAsia" w:cs="Times New Roman"/>
          <w:kern w:val="2"/>
          <w:sz w:val="24"/>
          <w:szCs w:val="24"/>
          <w:lang w:val="en-US" w:eastAsia="zh-CN" w:bidi="ar-SA"/>
        </w:rPr>
      </w:pPr>
      <w:r>
        <w:rPr>
          <w:rFonts w:hint="eastAsia" w:cs="Times New Roman"/>
          <w:kern w:val="2"/>
          <w:sz w:val="24"/>
          <w:szCs w:val="24"/>
          <w:lang w:val="en-US" w:eastAsia="zh-CN" w:bidi="ar-SA"/>
        </w:rPr>
        <w:tab/>
      </w:r>
    </w:p>
    <w:p>
      <w:pPr>
        <w:rPr>
          <w:rFonts w:hint="eastAsia" w:ascii="Times New Roman" w:hAnsi="Times New Roman" w:eastAsia="Times New Roman" w:cs="Times New Roman"/>
          <w:kern w:val="2"/>
          <w:sz w:val="24"/>
          <w:szCs w:val="24"/>
          <w:lang w:val="en-US" w:eastAsia="zh-CN" w:bidi="ar-SA"/>
        </w:rPr>
      </w:pPr>
    </w:p>
    <w:p>
      <w:pPr>
        <w:rPr>
          <w:rFonts w:hint="eastAsia" w:ascii="Times New Roman" w:hAnsi="Times New Roman" w:eastAsia="Times New Roman" w:cs="Times New Roman"/>
          <w:kern w:val="2"/>
          <w:sz w:val="24"/>
          <w:szCs w:val="24"/>
          <w:lang w:val="en-US" w:eastAsia="zh-CN" w:bidi="ar-SA"/>
        </w:rPr>
      </w:pPr>
    </w:p>
    <w:p>
      <w:pPr>
        <w:rPr>
          <w:rFonts w:hint="eastAsia" w:ascii="Times New Roman" w:hAnsi="Times New Roman" w:eastAsia="Times New Roman" w:cs="Times New Roman"/>
          <w:kern w:val="2"/>
          <w:sz w:val="24"/>
          <w:szCs w:val="24"/>
          <w:lang w:val="en-US" w:eastAsia="zh-CN" w:bidi="ar-SA"/>
        </w:rPr>
      </w:pPr>
    </w:p>
    <w:p>
      <w:pPr>
        <w:rPr>
          <w:rFonts w:hint="eastAsia" w:ascii="Times New Roman" w:hAnsi="Times New Roman" w:eastAsia="Times New Roman" w:cs="Times New Roman"/>
          <w:kern w:val="2"/>
          <w:sz w:val="24"/>
          <w:szCs w:val="24"/>
          <w:lang w:val="en-US" w:eastAsia="zh-CN" w:bidi="ar-SA"/>
        </w:rPr>
      </w:pPr>
      <w:r>
        <w:rPr>
          <w:rFonts w:hint="eastAsia" w:ascii="Times New Roman" w:hAnsi="Times New Roman" w:eastAsia="Times New Roman" w:cs="Times New Roman"/>
          <w:kern w:val="2"/>
          <w:sz w:val="24"/>
          <w:szCs w:val="24"/>
          <w:lang w:val="en-US" w:eastAsia="zh-CN" w:bidi="ar-SA"/>
        </w:rPr>
        <w:drawing>
          <wp:anchor distT="0" distB="0" distL="114300" distR="114300" simplePos="0" relativeHeight="251663360" behindDoc="1" locked="0" layoutInCell="1" allowOverlap="1">
            <wp:simplePos x="0" y="0"/>
            <wp:positionH relativeFrom="column">
              <wp:posOffset>2924175</wp:posOffset>
            </wp:positionH>
            <wp:positionV relativeFrom="paragraph">
              <wp:posOffset>97790</wp:posOffset>
            </wp:positionV>
            <wp:extent cx="2782570" cy="1979930"/>
            <wp:effectExtent l="9525" t="9525" r="27305" b="10795"/>
            <wp:wrapNone/>
            <wp:docPr id="13" name="图片 13" descr="IMG_20190611_16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190611_160352"/>
                    <pic:cNvPicPr>
                      <a:picLocks noChangeAspect="1"/>
                    </pic:cNvPicPr>
                  </pic:nvPicPr>
                  <pic:blipFill>
                    <a:blip r:embed="rId21"/>
                    <a:stretch>
                      <a:fillRect/>
                    </a:stretch>
                  </pic:blipFill>
                  <pic:spPr>
                    <a:xfrm>
                      <a:off x="0" y="0"/>
                      <a:ext cx="2782570" cy="1979930"/>
                    </a:xfrm>
                    <a:prstGeom prst="rect">
                      <a:avLst/>
                    </a:prstGeom>
                    <a:ln>
                      <a:solidFill>
                        <a:schemeClr val="tx1"/>
                      </a:solidFill>
                    </a:ln>
                  </pic:spPr>
                </pic:pic>
              </a:graphicData>
            </a:graphic>
          </wp:anchor>
        </w:drawing>
      </w:r>
      <w:r>
        <w:rPr>
          <w:rFonts w:hint="eastAsia" w:cs="Times New Roman"/>
          <w:kern w:val="2"/>
          <w:sz w:val="24"/>
          <w:szCs w:val="24"/>
          <w:lang w:val="en-US" w:eastAsia="zh-CN" w:bidi="ar-SA"/>
        </w:rPr>
        <w:drawing>
          <wp:anchor distT="0" distB="0" distL="114300" distR="114300" simplePos="0" relativeHeight="251661312" behindDoc="1" locked="0" layoutInCell="1" allowOverlap="1">
            <wp:simplePos x="0" y="0"/>
            <wp:positionH relativeFrom="column">
              <wp:posOffset>-161925</wp:posOffset>
            </wp:positionH>
            <wp:positionV relativeFrom="paragraph">
              <wp:posOffset>97790</wp:posOffset>
            </wp:positionV>
            <wp:extent cx="2877820" cy="1979930"/>
            <wp:effectExtent l="9525" t="9525" r="27305" b="10795"/>
            <wp:wrapNone/>
            <wp:docPr id="11" name="图片 11" descr="IMG_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7351"/>
                    <pic:cNvPicPr>
                      <a:picLocks noChangeAspect="1"/>
                    </pic:cNvPicPr>
                  </pic:nvPicPr>
                  <pic:blipFill>
                    <a:blip r:embed="rId22"/>
                    <a:stretch>
                      <a:fillRect/>
                    </a:stretch>
                  </pic:blipFill>
                  <pic:spPr>
                    <a:xfrm>
                      <a:off x="0" y="0"/>
                      <a:ext cx="2877820" cy="1979930"/>
                    </a:xfrm>
                    <a:prstGeom prst="rect">
                      <a:avLst/>
                    </a:prstGeom>
                    <a:ln>
                      <a:solidFill>
                        <a:schemeClr val="tx1"/>
                      </a:solidFill>
                    </a:ln>
                  </pic:spPr>
                </pic:pic>
              </a:graphicData>
            </a:graphic>
          </wp:anchor>
        </w:drawing>
      </w:r>
    </w:p>
    <w:p>
      <w:pPr>
        <w:rPr>
          <w:rFonts w:hint="eastAsia" w:ascii="Times New Roman" w:hAnsi="Times New Roman" w:eastAsia="Times New Roman" w:cs="Times New Roman"/>
          <w:kern w:val="2"/>
          <w:sz w:val="24"/>
          <w:szCs w:val="24"/>
          <w:lang w:val="en-US" w:eastAsia="zh-CN" w:bidi="ar-SA"/>
        </w:rPr>
      </w:pPr>
    </w:p>
    <w:p>
      <w:pPr>
        <w:rPr>
          <w:rFonts w:hint="eastAsia" w:ascii="Times New Roman" w:hAnsi="Times New Roman" w:eastAsia="Times New Roman" w:cs="Times New Roman"/>
          <w:kern w:val="2"/>
          <w:sz w:val="24"/>
          <w:szCs w:val="24"/>
          <w:lang w:val="en-US" w:eastAsia="zh-CN" w:bidi="ar-SA"/>
        </w:rPr>
      </w:pPr>
    </w:p>
    <w:p>
      <w:pPr>
        <w:tabs>
          <w:tab w:val="left" w:pos="6022"/>
        </w:tabs>
        <w:jc w:val="left"/>
        <w:rPr>
          <w:rFonts w:hint="eastAsia" w:cs="Times New Roman"/>
          <w:kern w:val="2"/>
          <w:sz w:val="24"/>
          <w:szCs w:val="24"/>
          <w:lang w:val="en-US" w:eastAsia="zh-CN" w:bidi="ar-SA"/>
        </w:rPr>
      </w:pPr>
      <w:r>
        <w:rPr>
          <w:rFonts w:hint="eastAsia" w:cs="Times New Roman"/>
          <w:kern w:val="2"/>
          <w:sz w:val="24"/>
          <w:szCs w:val="24"/>
          <w:lang w:val="en-US" w:eastAsia="zh-CN" w:bidi="ar-SA"/>
        </w:rPr>
        <w:tab/>
      </w:r>
    </w:p>
    <w:p>
      <w:pPr>
        <w:rPr>
          <w:rFonts w:hint="eastAsia" w:ascii="Times New Roman" w:hAnsi="Times New Roman" w:eastAsia="Times New Roman" w:cs="Times New Roman"/>
          <w:kern w:val="2"/>
          <w:sz w:val="24"/>
          <w:szCs w:val="24"/>
          <w:lang w:val="en-US" w:eastAsia="zh-CN" w:bidi="ar-SA"/>
        </w:rPr>
      </w:pPr>
    </w:p>
    <w:p>
      <w:pPr>
        <w:rPr>
          <w:rFonts w:hint="eastAsia" w:ascii="Times New Roman" w:hAnsi="Times New Roman" w:eastAsia="Times New Roman" w:cs="Times New Roman"/>
          <w:kern w:val="2"/>
          <w:sz w:val="24"/>
          <w:szCs w:val="24"/>
          <w:lang w:val="en-US" w:eastAsia="zh-CN" w:bidi="ar-SA"/>
        </w:rPr>
      </w:pPr>
    </w:p>
    <w:p>
      <w:pPr>
        <w:rPr>
          <w:rFonts w:hint="eastAsia" w:ascii="Times New Roman" w:hAnsi="Times New Roman" w:eastAsia="Times New Roman" w:cs="Times New Roman"/>
          <w:kern w:val="2"/>
          <w:sz w:val="24"/>
          <w:szCs w:val="24"/>
          <w:lang w:val="en-US" w:eastAsia="zh-CN" w:bidi="ar-SA"/>
        </w:rPr>
      </w:pPr>
    </w:p>
    <w:p>
      <w:pPr>
        <w:rPr>
          <w:rFonts w:hint="eastAsia" w:ascii="Times New Roman" w:hAnsi="Times New Roman" w:eastAsia="Times New Roman" w:cs="Times New Roman"/>
          <w:kern w:val="2"/>
          <w:sz w:val="24"/>
          <w:szCs w:val="24"/>
          <w:lang w:val="en-US" w:eastAsia="zh-CN" w:bidi="ar-SA"/>
        </w:rPr>
      </w:pPr>
      <w:r>
        <w:rPr>
          <w:rFonts w:hint="eastAsia" w:ascii="Times New Roman" w:hAnsi="Times New Roman" w:eastAsia="Times New Roman" w:cs="Times New Roman"/>
          <w:kern w:val="2"/>
          <w:sz w:val="24"/>
          <w:szCs w:val="24"/>
          <w:lang w:val="en-US" w:eastAsia="zh-CN" w:bidi="ar-SA"/>
        </w:rPr>
        <w:drawing>
          <wp:anchor distT="0" distB="0" distL="114300" distR="114300" simplePos="0" relativeHeight="251665408" behindDoc="1" locked="0" layoutInCell="1" allowOverlap="1">
            <wp:simplePos x="0" y="0"/>
            <wp:positionH relativeFrom="column">
              <wp:posOffset>2924175</wp:posOffset>
            </wp:positionH>
            <wp:positionV relativeFrom="paragraph">
              <wp:posOffset>29210</wp:posOffset>
            </wp:positionV>
            <wp:extent cx="2773045" cy="1979930"/>
            <wp:effectExtent l="9525" t="9525" r="17780" b="10795"/>
            <wp:wrapNone/>
            <wp:docPr id="15" name="图片 15" descr="IMG_20190611_16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0190611_160023"/>
                    <pic:cNvPicPr>
                      <a:picLocks noChangeAspect="1"/>
                    </pic:cNvPicPr>
                  </pic:nvPicPr>
                  <pic:blipFill>
                    <a:blip r:embed="rId23"/>
                    <a:stretch>
                      <a:fillRect/>
                    </a:stretch>
                  </pic:blipFill>
                  <pic:spPr>
                    <a:xfrm>
                      <a:off x="0" y="0"/>
                      <a:ext cx="2773045" cy="1979930"/>
                    </a:xfrm>
                    <a:prstGeom prst="rect">
                      <a:avLst/>
                    </a:prstGeom>
                    <a:ln>
                      <a:solidFill>
                        <a:schemeClr val="tx1"/>
                      </a:solidFill>
                    </a:ln>
                  </pic:spPr>
                </pic:pic>
              </a:graphicData>
            </a:graphic>
          </wp:anchor>
        </w:drawing>
      </w:r>
      <w:r>
        <w:rPr>
          <w:rFonts w:hint="eastAsia" w:ascii="Times New Roman" w:hAnsi="Times New Roman" w:eastAsia="Times New Roman" w:cs="Times New Roman"/>
          <w:kern w:val="2"/>
          <w:sz w:val="24"/>
          <w:szCs w:val="24"/>
          <w:lang w:val="en-US" w:eastAsia="zh-CN" w:bidi="ar-SA"/>
        </w:rPr>
        <w:drawing>
          <wp:anchor distT="0" distB="0" distL="114300" distR="114300" simplePos="0" relativeHeight="251664384" behindDoc="1" locked="0" layoutInCell="1" allowOverlap="1">
            <wp:simplePos x="0" y="0"/>
            <wp:positionH relativeFrom="column">
              <wp:posOffset>-161925</wp:posOffset>
            </wp:positionH>
            <wp:positionV relativeFrom="paragraph">
              <wp:posOffset>635</wp:posOffset>
            </wp:positionV>
            <wp:extent cx="2859405" cy="1979930"/>
            <wp:effectExtent l="9525" t="9525" r="26670" b="10795"/>
            <wp:wrapNone/>
            <wp:docPr id="14" name="图片 14" descr="IMG_20190611_16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190611_160403"/>
                    <pic:cNvPicPr>
                      <a:picLocks noChangeAspect="1"/>
                    </pic:cNvPicPr>
                  </pic:nvPicPr>
                  <pic:blipFill>
                    <a:blip r:embed="rId24"/>
                    <a:stretch>
                      <a:fillRect/>
                    </a:stretch>
                  </pic:blipFill>
                  <pic:spPr>
                    <a:xfrm>
                      <a:off x="0" y="0"/>
                      <a:ext cx="2859405" cy="1979930"/>
                    </a:xfrm>
                    <a:prstGeom prst="rect">
                      <a:avLst/>
                    </a:prstGeom>
                    <a:ln>
                      <a:solidFill>
                        <a:schemeClr val="tx1"/>
                      </a:solidFill>
                    </a:ln>
                  </pic:spPr>
                </pic:pic>
              </a:graphicData>
            </a:graphic>
          </wp:anchor>
        </w:drawing>
      </w:r>
    </w:p>
    <w:p>
      <w:pPr>
        <w:rPr>
          <w:rFonts w:hint="eastAsia" w:ascii="Times New Roman" w:hAnsi="Times New Roman" w:eastAsia="Times New Roman" w:cs="Times New Roman"/>
          <w:kern w:val="2"/>
          <w:sz w:val="24"/>
          <w:szCs w:val="24"/>
          <w:lang w:val="en-US" w:eastAsia="zh-CN" w:bidi="ar-SA"/>
        </w:rPr>
      </w:pPr>
    </w:p>
    <w:p>
      <w:pPr>
        <w:rPr>
          <w:rFonts w:hint="eastAsia" w:ascii="Times New Roman" w:hAnsi="Times New Roman" w:eastAsia="Times New Roman" w:cs="Times New Roman"/>
          <w:kern w:val="2"/>
          <w:sz w:val="24"/>
          <w:szCs w:val="24"/>
          <w:lang w:val="en-US" w:eastAsia="zh-CN" w:bidi="ar-SA"/>
        </w:rPr>
      </w:pPr>
    </w:p>
    <w:p>
      <w:pPr>
        <w:tabs>
          <w:tab w:val="left" w:pos="1312"/>
        </w:tabs>
        <w:jc w:val="left"/>
        <w:rPr>
          <w:rFonts w:hint="eastAsia" w:cs="Times New Roman"/>
          <w:kern w:val="2"/>
          <w:sz w:val="24"/>
          <w:szCs w:val="24"/>
          <w:lang w:val="en-US" w:eastAsia="zh-CN" w:bidi="ar-SA"/>
        </w:rPr>
      </w:pPr>
      <w:r>
        <w:rPr>
          <w:rFonts w:hint="eastAsia" w:cs="Times New Roman"/>
          <w:kern w:val="2"/>
          <w:sz w:val="24"/>
          <w:szCs w:val="24"/>
          <w:lang w:val="en-US" w:eastAsia="zh-CN" w:bidi="ar-SA"/>
        </w:rPr>
        <w:tab/>
      </w:r>
    </w:p>
    <w:sectPr>
      <w:headerReference r:id="rId14" w:type="first"/>
      <w:headerReference r:id="rId13" w:type="default"/>
      <w:footerReference r:id="rId15" w:type="default"/>
      <w:type w:val="continuous"/>
      <w:pgSz w:w="11906" w:h="16838"/>
      <w:pgMar w:top="1440" w:right="991" w:bottom="1440" w:left="1701" w:header="907" w:footer="1191" w:gutter="0"/>
      <w:pgBorders>
        <w:top w:val="none" w:sz="0" w:space="0"/>
        <w:left w:val="none" w:sz="0" w:space="0"/>
        <w:bottom w:val="none" w:sz="0" w:space="0"/>
        <w:right w:val="none" w:sz="0" w:space="0"/>
      </w:pgBorders>
      <w:pgNumType w:fmt="decimal"/>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华文细黑">
    <w:altName w:val="微软雅黑"/>
    <w:panose1 w:val="00000000000000000000"/>
    <w:charset w:val="86"/>
    <w:family w:val="auto"/>
    <w:pitch w:val="default"/>
    <w:sig w:usb0="00000000" w:usb1="00000000" w:usb2="00000010" w:usb3="00000000" w:csb0="0004009F" w:csb1="00000000"/>
  </w:font>
  <w:font w:name="Arial Narrow">
    <w:panose1 w:val="020B0506020202030204"/>
    <w:charset w:val="00"/>
    <w:family w:val="swiss"/>
    <w:pitch w:val="default"/>
    <w:sig w:usb0="00000287" w:usb1="00000000" w:usb2="00000000" w:usb3="00000000" w:csb0="2000009F" w:csb1="DFD70000"/>
  </w:font>
  <w:font w:name="幼圆">
    <w:altName w:val="宋体"/>
    <w:panose1 w:val="00000000000000000000"/>
    <w:charset w:val="86"/>
    <w:family w:val="modern"/>
    <w:pitch w:val="default"/>
    <w:sig w:usb0="00000000" w:usb1="00000000" w:usb2="00000010" w:usb3="00000000" w:csb0="00040000" w:csb1="00000000"/>
  </w:font>
  <w:font w:name="宋体-PUA">
    <w:panose1 w:val="02010600030101010101"/>
    <w:charset w:val="86"/>
    <w:family w:val="auto"/>
    <w:pitch w:val="default"/>
    <w:sig w:usb0="00000000" w:usb1="1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0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第 </w:t>
    </w:r>
    <w:r>
      <w:rPr>
        <w:rFonts w:eastAsia="宋体"/>
        <w:kern w:val="20"/>
      </w:rPr>
      <w:fldChar w:fldCharType="begin"/>
    </w:r>
    <w:r>
      <w:rPr>
        <w:rFonts w:eastAsia="宋体"/>
        <w:kern w:val="20"/>
      </w:rPr>
      <w:instrText xml:space="preserve"> PAGE  \* Arabic \* MERGEFORMAT </w:instrText>
    </w:r>
    <w:r>
      <w:rPr>
        <w:rFonts w:eastAsia="宋体"/>
        <w:kern w:val="20"/>
      </w:rPr>
      <w:fldChar w:fldCharType="separate"/>
    </w:r>
    <w:r>
      <w:rPr>
        <w:rFonts w:eastAsia="宋体"/>
        <w:kern w:val="20"/>
      </w:rPr>
      <w:t>7</w:t>
    </w:r>
    <w:r>
      <w:rPr>
        <w:rFonts w:eastAsia="宋体"/>
        <w:kern w:val="20"/>
      </w:rPr>
      <w:fldChar w:fldCharType="end"/>
    </w:r>
    <w:r>
      <w:rPr>
        <w:rFonts w:hint="eastAsia" w:eastAsia="宋体"/>
        <w:kern w:val="2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rPr>
        <w:sz w:val="18"/>
      </w:rPr>
      <w:pict>
        <v:shape id="_x0000_s4098" o:spid="_x0000_s4098"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rPr>
        <w:sz w:val="18"/>
      </w:rPr>
      <w:pict>
        <v:shape id="_x0000_s4099" o:spid="_x0000_s409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val="0"/>
      <w:pBdr>
        <w:top w:val="none" w:color="auto" w:sz="0" w:space="1"/>
        <w:left w:val="none" w:color="auto" w:sz="0" w:space="4"/>
        <w:bottom w:val="none" w:color="auto" w:sz="0" w:space="1"/>
        <w:right w:val="none" w:color="auto" w:sz="0" w:space="4"/>
        <w:between w:val="none" w:color="auto" w:sz="0" w:space="0"/>
      </w:pBdr>
      <w:tabs>
        <w:tab w:val="left" w:pos="7797"/>
      </w:tabs>
      <w:snapToGrid w:val="0"/>
      <w:spacing w:line="240" w:lineRule="auto"/>
      <w:ind w:right="142" w:rightChars="0" w:firstLine="3960" w:firstLineChars="2200"/>
      <w:jc w:val="left"/>
      <w:rPr>
        <w:rFonts w:eastAsia="宋体"/>
      </w:rPr>
    </w:pPr>
    <w:r>
      <w:rPr>
        <w:rFonts w:eastAsia="宋体"/>
      </w:rPr>
      <w:t xml:space="preserve"> </w:t>
    </w:r>
  </w:p>
  <w:p>
    <w:pPr>
      <w:pStyle w:val="14"/>
      <w:pBdr>
        <w:bottom w:val="none" w:color="auto" w:sz="0" w:space="0"/>
      </w:pBdr>
      <w:tabs>
        <w:tab w:val="left" w:pos="7797"/>
      </w:tabs>
      <w:ind w:left="2347" w:leftChars="78" w:right="42" w:hanging="2160" w:hangingChars="1200"/>
      <w:jc w:val="left"/>
      <w:rPr>
        <w:rFonts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7797"/>
      </w:tabs>
      <w:ind w:left="3780" w:leftChars="0" w:right="142" w:hanging="3780" w:hangingChars="2100"/>
      <w:jc w:val="left"/>
      <w:rPr>
        <w:rFonts w:hint="eastAsia" w:eastAsia="宋体"/>
        <w:lang w:val="en-US" w:eastAsia="zh-CN"/>
      </w:rPr>
    </w:pPr>
    <w:r>
      <w:rPr>
        <w:rFonts w:hint="eastAsia" w:eastAsia="宋体"/>
      </w:rPr>
      <w:t>汉中恒信资产评估事务所</w:t>
    </w:r>
    <w:r>
      <w:rPr>
        <w:rFonts w:eastAsia="宋体"/>
      </w:rPr>
      <w:t xml:space="preserve">          </w:t>
    </w:r>
    <w:r>
      <w:rPr>
        <w:rFonts w:hint="eastAsia" w:eastAsia="宋体"/>
        <w:lang w:eastAsia="zh-CN"/>
      </w:rPr>
      <w:t xml:space="preserve">   陕西省城固县人民法院委托位于城固县西环一路桃李花园一层</w:t>
    </w:r>
    <w:r>
      <w:rPr>
        <w:rFonts w:hint="eastAsia" w:eastAsia="宋体"/>
        <w:lang w:val="en-US" w:eastAsia="zh-CN"/>
      </w:rPr>
      <w:t>01号、18</w:t>
    </w:r>
  </w:p>
  <w:p>
    <w:pPr>
      <w:pStyle w:val="14"/>
    </w:pPr>
    <w:r>
      <w:rPr>
        <w:rFonts w:hint="eastAsia" w:eastAsia="宋体"/>
        <w:lang w:val="en-US" w:eastAsia="zh-CN"/>
      </w:rPr>
      <w:t>号、19号</w:t>
    </w:r>
    <w:r>
      <w:rPr>
        <w:rFonts w:hint="eastAsia" w:eastAsia="宋体"/>
        <w:lang w:eastAsia="zh-CN"/>
      </w:rPr>
      <w:t>及二层</w:t>
    </w:r>
    <w:r>
      <w:rPr>
        <w:rFonts w:hint="eastAsia" w:eastAsia="宋体"/>
        <w:lang w:val="en-US" w:eastAsia="zh-CN"/>
      </w:rPr>
      <w:t>01、02号营业</w:t>
    </w:r>
    <w:r>
      <w:rPr>
        <w:rFonts w:hint="eastAsia" w:eastAsia="宋体"/>
        <w:lang w:eastAsia="zh-CN"/>
      </w:rPr>
      <w:t>用房</w:t>
    </w:r>
    <w:r>
      <w:rPr>
        <w:rFonts w:hint="eastAsia" w:eastAsia="宋体"/>
      </w:rPr>
      <w:t>房地产</w:t>
    </w:r>
    <w:r>
      <w:rPr>
        <w:rFonts w:hint="eastAsia" w:eastAsia="宋体"/>
        <w:lang w:eastAsia="zh-CN"/>
      </w:rPr>
      <w:t>司法</w:t>
    </w:r>
    <w:r>
      <w:rPr>
        <w:rFonts w:hint="eastAsia" w:eastAsia="宋体"/>
      </w:rPr>
      <w:t>处分价值资产评估报告书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left" w:pos="7797"/>
      </w:tabs>
      <w:ind w:left="4147" w:leftChars="78" w:right="42" w:hanging="3960" w:hangingChars="2200"/>
      <w:jc w:val="left"/>
      <w:rPr>
        <w:rFonts w:eastAsia="宋体"/>
      </w:rPr>
    </w:pPr>
    <w:r>
      <w:rPr>
        <w:rFonts w:hint="eastAsia" w:eastAsia="宋体"/>
      </w:rPr>
      <w:t>汉中恒信资产评估事务所</w:t>
    </w:r>
    <w:r>
      <w:rPr>
        <w:rFonts w:eastAsia="宋体"/>
      </w:rPr>
      <w:t xml:space="preserve">                      </w:t>
    </w:r>
    <w:r>
      <w:rPr>
        <w:rFonts w:hint="eastAsia" w:eastAsia="宋体"/>
      </w:rPr>
      <w:t xml:space="preserve">陕西省城固县人民法院委托郭海忠拥有的位于城固县朝阳路南侧房地产处分价值评估资产评估报告书  </w:t>
    </w:r>
    <w:r>
      <w:rPr>
        <w:rFonts w:eastAsia="宋体"/>
      </w:rPr>
      <w:t xml:space="preserve">        </w:t>
    </w:r>
    <w:r>
      <w:rPr>
        <w:rFonts w:hint="eastAsia" w:eastAsia="宋体"/>
        <w:lang w:eastAsia="zh-CN"/>
      </w:rPr>
      <w:t>目录</w:t>
    </w:r>
    <w:r>
      <w:rPr>
        <w:rFonts w:eastAsia="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tabs>
        <w:tab w:val="left" w:pos="7797"/>
      </w:tabs>
      <w:kinsoku/>
      <w:wordWrap/>
      <w:overflowPunct/>
      <w:topLinePunct w:val="0"/>
      <w:autoSpaceDE/>
      <w:autoSpaceDN/>
      <w:bidi w:val="0"/>
      <w:adjustRightInd/>
      <w:snapToGrid w:val="0"/>
      <w:ind w:left="-2" w:leftChars="-200" w:right="40" w:hanging="478" w:hangingChars="266"/>
      <w:jc w:val="right"/>
      <w:textAlignment w:val="auto"/>
      <w:rPr>
        <w:rFonts w:hint="eastAsia" w:eastAsia="宋体"/>
        <w:lang w:val="en-US" w:eastAsia="zh-CN"/>
      </w:rPr>
    </w:pPr>
    <w:r>
      <w:rPr>
        <w:rFonts w:hint="eastAsia" w:eastAsia="宋体"/>
        <w:lang w:val="en-US" w:eastAsia="zh-CN"/>
      </w:rPr>
      <w:t xml:space="preserve">     汉中恒信资产评估事务所          陕西省城固县人民法院委托的李孟贤所属的位于城固县五郎庙乡五郎庙村六组（城许路以西）建筑面积为408.6㎡（博望镇字第20080269号）私有房产司法处分价值评估资产评估报告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kinsoku/>
      <w:wordWrap/>
      <w:overflowPunct/>
      <w:topLinePunct w:val="0"/>
      <w:autoSpaceDE/>
      <w:autoSpaceDN/>
      <w:bidi w:val="0"/>
      <w:adjustRightInd/>
      <w:snapToGrid w:val="0"/>
      <w:ind w:left="3060" w:leftChars="0" w:hanging="3060" w:hangingChars="1700"/>
      <w:jc w:val="both"/>
      <w:textAlignment w:val="auto"/>
    </w:pPr>
    <w:r>
      <w:rPr>
        <w:rFonts w:hint="eastAsia" w:eastAsia="宋体"/>
        <w:lang w:val="en-US" w:eastAsia="zh-CN"/>
      </w:rPr>
      <w:t>汉中恒信资产评估事务所            陕西省城固县人民法院委托的李孟贤所属的位于城固县五郎庙乡五郎庙村六组（城许路以西）建筑面积为408.6㎡（博望镇字第20080269号）私有房产司法处分价值评估资产评估报告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3060" w:leftChars="0" w:hanging="3060" w:hangingChars="1700"/>
      <w:jc w:val="both"/>
      <w:textAlignment w:val="auto"/>
      <w:outlineLvl w:val="9"/>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汉中恒信资产评估事务所       </w:t>
    </w:r>
    <w:r>
      <w:rPr>
        <w:rFonts w:hint="eastAsia" w:eastAsia="宋体"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陕西省城固县人民法院委托的</w:t>
    </w:r>
    <w:r>
      <w:rPr>
        <w:rFonts w:hint="eastAsia" w:eastAsia="宋体" w:cs="Times New Roman"/>
        <w:kern w:val="2"/>
        <w:sz w:val="18"/>
        <w:szCs w:val="18"/>
        <w:lang w:val="en-US" w:eastAsia="zh-CN" w:bidi="ar-SA"/>
      </w:rPr>
      <w:t>李孟贤所属的位于城固县五郎庙乡五郎庙村六组（城许路以西）建筑面积为408.6㎡（博望镇字第20080269号）私有房产</w:t>
    </w:r>
    <w:r>
      <w:rPr>
        <w:rFonts w:hint="eastAsia" w:ascii="Times New Roman" w:hAnsi="Times New Roman" w:eastAsia="宋体" w:cs="Times New Roman"/>
        <w:kern w:val="2"/>
        <w:sz w:val="18"/>
        <w:szCs w:val="18"/>
        <w:lang w:val="en-US" w:eastAsia="zh-CN" w:bidi="ar-SA"/>
      </w:rPr>
      <w:t xml:space="preserve">司法处分价值评估资产评估报告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978ED"/>
    <w:multiLevelType w:val="singleLevel"/>
    <w:tmpl w:val="8F9978ED"/>
    <w:lvl w:ilvl="0" w:tentative="0">
      <w:start w:val="1"/>
      <w:numFmt w:val="decimal"/>
      <w:suff w:val="nothing"/>
      <w:lvlText w:val="%1．"/>
      <w:lvlJc w:val="left"/>
      <w:pPr>
        <w:ind w:left="0" w:firstLine="400"/>
      </w:pPr>
      <w:rPr>
        <w:rFonts w:hint="default"/>
      </w:rPr>
    </w:lvl>
  </w:abstractNum>
  <w:abstractNum w:abstractNumId="1">
    <w:nsid w:val="AAC72668"/>
    <w:multiLevelType w:val="singleLevel"/>
    <w:tmpl w:val="AAC72668"/>
    <w:lvl w:ilvl="0" w:tentative="0">
      <w:start w:val="1"/>
      <w:numFmt w:val="decimalEnclosedCircleChinese"/>
      <w:suff w:val="nothing"/>
      <w:lvlText w:val="%1　"/>
      <w:lvlJc w:val="left"/>
      <w:pPr>
        <w:ind w:left="0" w:firstLine="400"/>
      </w:pPr>
      <w:rPr>
        <w:rFonts w:hint="eastAsia"/>
      </w:rPr>
    </w:lvl>
  </w:abstractNum>
  <w:abstractNum w:abstractNumId="2">
    <w:nsid w:val="0000000B"/>
    <w:multiLevelType w:val="multilevel"/>
    <w:tmpl w:val="0000000B"/>
    <w:lvl w:ilvl="0" w:tentative="0">
      <w:start w:val="1"/>
      <w:numFmt w:val="chineseCountingThousand"/>
      <w:lvlText w:val="（%1）"/>
      <w:lvlJc w:val="left"/>
      <w:pPr>
        <w:tabs>
          <w:tab w:val="left" w:pos="0"/>
        </w:tabs>
        <w:ind w:left="0" w:firstLine="0"/>
      </w:pPr>
      <w:rPr>
        <w:rFonts w:hint="eastAsia"/>
        <w:b/>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54D700B"/>
    <w:multiLevelType w:val="multilevel"/>
    <w:tmpl w:val="154D700B"/>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246B4462"/>
    <w:multiLevelType w:val="multilevel"/>
    <w:tmpl w:val="246B4462"/>
    <w:lvl w:ilvl="0" w:tentative="0">
      <w:start w:val="1"/>
      <w:numFmt w:val="chineseCountingThousand"/>
      <w:lvlText w:val="附件%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2614EEEC"/>
    <w:multiLevelType w:val="singleLevel"/>
    <w:tmpl w:val="2614EEEC"/>
    <w:lvl w:ilvl="0" w:tentative="0">
      <w:start w:val="1"/>
      <w:numFmt w:val="decimalEnclosedCircleChinese"/>
      <w:suff w:val="nothing"/>
      <w:lvlText w:val="%1　"/>
      <w:lvlJc w:val="left"/>
      <w:pPr>
        <w:ind w:left="0" w:firstLine="400"/>
      </w:pPr>
      <w:rPr>
        <w:rFonts w:hint="eastAsia"/>
      </w:rPr>
    </w:lvl>
  </w:abstractNum>
  <w:abstractNum w:abstractNumId="6">
    <w:nsid w:val="2DCA7380"/>
    <w:multiLevelType w:val="singleLevel"/>
    <w:tmpl w:val="2DCA7380"/>
    <w:lvl w:ilvl="0" w:tentative="0">
      <w:start w:val="1"/>
      <w:numFmt w:val="decimal"/>
      <w:suff w:val="nothing"/>
      <w:lvlText w:val="%1．"/>
      <w:lvlJc w:val="left"/>
      <w:pPr>
        <w:ind w:left="0" w:firstLine="400"/>
      </w:pPr>
      <w:rPr>
        <w:rFonts w:hint="default"/>
      </w:rPr>
    </w:lvl>
  </w:abstractNum>
  <w:abstractNum w:abstractNumId="7">
    <w:nsid w:val="42D645C2"/>
    <w:multiLevelType w:val="singleLevel"/>
    <w:tmpl w:val="42D645C2"/>
    <w:lvl w:ilvl="0" w:tentative="0">
      <w:start w:val="1"/>
      <w:numFmt w:val="decimal"/>
      <w:suff w:val="nothing"/>
      <w:lvlText w:val="%1．"/>
      <w:lvlJc w:val="left"/>
      <w:pPr>
        <w:ind w:left="168" w:firstLine="400"/>
      </w:pPr>
      <w:rPr>
        <w:rFonts w:hint="default"/>
      </w:rPr>
    </w:lvl>
  </w:abstractNum>
  <w:abstractNum w:abstractNumId="8">
    <w:nsid w:val="43565101"/>
    <w:multiLevelType w:val="multilevel"/>
    <w:tmpl w:val="43565101"/>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4407052B"/>
    <w:multiLevelType w:val="singleLevel"/>
    <w:tmpl w:val="4407052B"/>
    <w:lvl w:ilvl="0" w:tentative="0">
      <w:start w:val="1"/>
      <w:numFmt w:val="chineseCounting"/>
      <w:suff w:val="nothing"/>
      <w:lvlText w:val="（%1）"/>
      <w:lvlJc w:val="left"/>
      <w:pPr>
        <w:ind w:left="0" w:firstLine="420"/>
      </w:pPr>
      <w:rPr>
        <w:rFonts w:hint="eastAsia"/>
      </w:rPr>
    </w:lvl>
  </w:abstractNum>
  <w:abstractNum w:abstractNumId="10">
    <w:nsid w:val="518D5F4B"/>
    <w:multiLevelType w:val="multilevel"/>
    <w:tmpl w:val="518D5F4B"/>
    <w:lvl w:ilvl="0" w:tentative="0">
      <w:start w:val="1"/>
      <w:numFmt w:val="decimal"/>
      <w:lvlText w:val="%1."/>
      <w:lvlJc w:val="left"/>
      <w:pPr>
        <w:tabs>
          <w:tab w:val="left" w:pos="840"/>
        </w:tabs>
        <w:ind w:left="84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BE275C"/>
    <w:multiLevelType w:val="multilevel"/>
    <w:tmpl w:val="55BE275C"/>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2">
    <w:nsid w:val="57132CB7"/>
    <w:multiLevelType w:val="multilevel"/>
    <w:tmpl w:val="57132CB7"/>
    <w:lvl w:ilvl="0" w:tentative="0">
      <w:start w:val="1"/>
      <w:numFmt w:val="decimal"/>
      <w:lvlText w:val="%1."/>
      <w:lvlJc w:val="left"/>
      <w:pPr>
        <w:tabs>
          <w:tab w:val="left" w:pos="420"/>
        </w:tabs>
        <w:ind w:left="420" w:hanging="420"/>
      </w:pPr>
      <w:rPr>
        <w:rFonts w:hint="eastAsia"/>
      </w:rPr>
    </w:lvl>
    <w:lvl w:ilvl="1" w:tentative="0">
      <w:start w:val="1"/>
      <w:numFmt w:val="japaneseCounting"/>
      <w:lvlText w:val="（%2）"/>
      <w:lvlJc w:val="left"/>
      <w:pPr>
        <w:tabs>
          <w:tab w:val="left" w:pos="1545"/>
        </w:tabs>
        <w:ind w:left="1545" w:hanging="1125"/>
      </w:pPr>
      <w:rPr>
        <w:rFonts w:hint="default"/>
      </w:r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8BCADA6"/>
    <w:multiLevelType w:val="singleLevel"/>
    <w:tmpl w:val="58BCADA6"/>
    <w:lvl w:ilvl="0" w:tentative="0">
      <w:start w:val="2"/>
      <w:numFmt w:val="chineseCounting"/>
      <w:suff w:val="nothing"/>
      <w:lvlText w:val="（%1）"/>
      <w:lvlJc w:val="left"/>
    </w:lvl>
  </w:abstractNum>
  <w:abstractNum w:abstractNumId="14">
    <w:nsid w:val="591038A1"/>
    <w:multiLevelType w:val="singleLevel"/>
    <w:tmpl w:val="591038A1"/>
    <w:lvl w:ilvl="0" w:tentative="0">
      <w:start w:val="1"/>
      <w:numFmt w:val="chineseCounting"/>
      <w:suff w:val="nothing"/>
      <w:lvlText w:val="（%1）"/>
      <w:lvlJc w:val="left"/>
      <w:pPr>
        <w:ind w:left="0" w:firstLine="420"/>
      </w:pPr>
      <w:rPr>
        <w:rFonts w:hint="eastAsia"/>
      </w:rPr>
    </w:lvl>
  </w:abstractNum>
  <w:abstractNum w:abstractNumId="15">
    <w:nsid w:val="75034D22"/>
    <w:multiLevelType w:val="multilevel"/>
    <w:tmpl w:val="75034D22"/>
    <w:lvl w:ilvl="0" w:tentative="0">
      <w:start w:val="1"/>
      <w:numFmt w:val="chineseCountingThousand"/>
      <w:lvlText w:val="(%1)"/>
      <w:lvlJc w:val="left"/>
      <w:pPr>
        <w:ind w:left="902" w:hanging="420"/>
      </w:pPr>
    </w:lvl>
    <w:lvl w:ilvl="1" w:tentative="0">
      <w:start w:val="1"/>
      <w:numFmt w:val="chineseCountingThousand"/>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1"/>
  </w:num>
  <w:num w:numId="2">
    <w:abstractNumId w:val="14"/>
  </w:num>
  <w:num w:numId="3">
    <w:abstractNumId w:val="13"/>
  </w:num>
  <w:num w:numId="4">
    <w:abstractNumId w:val="3"/>
  </w:num>
  <w:num w:numId="5">
    <w:abstractNumId w:val="9"/>
  </w:num>
  <w:num w:numId="6">
    <w:abstractNumId w:val="2"/>
  </w:num>
  <w:num w:numId="7">
    <w:abstractNumId w:val="10"/>
  </w:num>
  <w:num w:numId="8">
    <w:abstractNumId w:val="7"/>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0"/>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9C5"/>
    <w:rsid w:val="00004C17"/>
    <w:rsid w:val="000106F8"/>
    <w:rsid w:val="000109C1"/>
    <w:rsid w:val="00021217"/>
    <w:rsid w:val="00030832"/>
    <w:rsid w:val="00031262"/>
    <w:rsid w:val="000552AA"/>
    <w:rsid w:val="00056F0D"/>
    <w:rsid w:val="00056F66"/>
    <w:rsid w:val="0005779A"/>
    <w:rsid w:val="00066F3C"/>
    <w:rsid w:val="000779E0"/>
    <w:rsid w:val="00081EBF"/>
    <w:rsid w:val="0008205B"/>
    <w:rsid w:val="00082E6B"/>
    <w:rsid w:val="000836B3"/>
    <w:rsid w:val="00090973"/>
    <w:rsid w:val="000A13F3"/>
    <w:rsid w:val="000B030E"/>
    <w:rsid w:val="000B07B2"/>
    <w:rsid w:val="000B3B45"/>
    <w:rsid w:val="000B6A96"/>
    <w:rsid w:val="000C0C6D"/>
    <w:rsid w:val="000C586D"/>
    <w:rsid w:val="000D43D4"/>
    <w:rsid w:val="000D5C8C"/>
    <w:rsid w:val="000E009B"/>
    <w:rsid w:val="000E1B43"/>
    <w:rsid w:val="000E4D7D"/>
    <w:rsid w:val="000E5D97"/>
    <w:rsid w:val="000F64E3"/>
    <w:rsid w:val="000F71F8"/>
    <w:rsid w:val="000F74F9"/>
    <w:rsid w:val="001003A0"/>
    <w:rsid w:val="00111965"/>
    <w:rsid w:val="00113799"/>
    <w:rsid w:val="0011409D"/>
    <w:rsid w:val="00121180"/>
    <w:rsid w:val="00125921"/>
    <w:rsid w:val="001351E1"/>
    <w:rsid w:val="0014162B"/>
    <w:rsid w:val="00141B65"/>
    <w:rsid w:val="00144483"/>
    <w:rsid w:val="0015571A"/>
    <w:rsid w:val="00156AFE"/>
    <w:rsid w:val="00164CF5"/>
    <w:rsid w:val="0016677E"/>
    <w:rsid w:val="00167676"/>
    <w:rsid w:val="00171332"/>
    <w:rsid w:val="00172A27"/>
    <w:rsid w:val="00173C0F"/>
    <w:rsid w:val="00177546"/>
    <w:rsid w:val="00183FFA"/>
    <w:rsid w:val="001866D0"/>
    <w:rsid w:val="0019098F"/>
    <w:rsid w:val="00191364"/>
    <w:rsid w:val="00195FA6"/>
    <w:rsid w:val="00196207"/>
    <w:rsid w:val="00196A96"/>
    <w:rsid w:val="001A2FE2"/>
    <w:rsid w:val="001A7D27"/>
    <w:rsid w:val="001B3681"/>
    <w:rsid w:val="001C2E71"/>
    <w:rsid w:val="001C7A80"/>
    <w:rsid w:val="001D1550"/>
    <w:rsid w:val="001D41A9"/>
    <w:rsid w:val="001D7139"/>
    <w:rsid w:val="001D76EE"/>
    <w:rsid w:val="001E73EB"/>
    <w:rsid w:val="001F6BF4"/>
    <w:rsid w:val="002006E8"/>
    <w:rsid w:val="00204EB5"/>
    <w:rsid w:val="00210A30"/>
    <w:rsid w:val="00211228"/>
    <w:rsid w:val="00221994"/>
    <w:rsid w:val="00221BED"/>
    <w:rsid w:val="0022634F"/>
    <w:rsid w:val="00227A53"/>
    <w:rsid w:val="00230961"/>
    <w:rsid w:val="00237ADB"/>
    <w:rsid w:val="002419A2"/>
    <w:rsid w:val="00241E10"/>
    <w:rsid w:val="002426B0"/>
    <w:rsid w:val="00247634"/>
    <w:rsid w:val="00252212"/>
    <w:rsid w:val="002542B8"/>
    <w:rsid w:val="002572AA"/>
    <w:rsid w:val="00264B5F"/>
    <w:rsid w:val="00267673"/>
    <w:rsid w:val="00270741"/>
    <w:rsid w:val="00270F62"/>
    <w:rsid w:val="00274239"/>
    <w:rsid w:val="00276F2B"/>
    <w:rsid w:val="00281277"/>
    <w:rsid w:val="00281AF0"/>
    <w:rsid w:val="002822AC"/>
    <w:rsid w:val="00297956"/>
    <w:rsid w:val="002A22EA"/>
    <w:rsid w:val="002A45D1"/>
    <w:rsid w:val="002A5C25"/>
    <w:rsid w:val="002A7F73"/>
    <w:rsid w:val="002C0C9D"/>
    <w:rsid w:val="002C153F"/>
    <w:rsid w:val="002C7117"/>
    <w:rsid w:val="002C7279"/>
    <w:rsid w:val="002F7418"/>
    <w:rsid w:val="00300736"/>
    <w:rsid w:val="003024F3"/>
    <w:rsid w:val="0030375E"/>
    <w:rsid w:val="00304BF2"/>
    <w:rsid w:val="003128D0"/>
    <w:rsid w:val="003148ED"/>
    <w:rsid w:val="0031544B"/>
    <w:rsid w:val="00316A87"/>
    <w:rsid w:val="00330792"/>
    <w:rsid w:val="00334261"/>
    <w:rsid w:val="00337E4D"/>
    <w:rsid w:val="00341F12"/>
    <w:rsid w:val="0035270E"/>
    <w:rsid w:val="00353146"/>
    <w:rsid w:val="00353647"/>
    <w:rsid w:val="00354D63"/>
    <w:rsid w:val="00360CDC"/>
    <w:rsid w:val="00362A58"/>
    <w:rsid w:val="003639D7"/>
    <w:rsid w:val="0036487A"/>
    <w:rsid w:val="00364898"/>
    <w:rsid w:val="00364F5B"/>
    <w:rsid w:val="003668B2"/>
    <w:rsid w:val="003703D6"/>
    <w:rsid w:val="00370DF8"/>
    <w:rsid w:val="003722B2"/>
    <w:rsid w:val="00382594"/>
    <w:rsid w:val="00386E0D"/>
    <w:rsid w:val="0039435D"/>
    <w:rsid w:val="00394F79"/>
    <w:rsid w:val="003954FC"/>
    <w:rsid w:val="00395A86"/>
    <w:rsid w:val="00397B7A"/>
    <w:rsid w:val="003A4E3A"/>
    <w:rsid w:val="003B0763"/>
    <w:rsid w:val="003B2F7A"/>
    <w:rsid w:val="003B47BD"/>
    <w:rsid w:val="003B5685"/>
    <w:rsid w:val="003B63C7"/>
    <w:rsid w:val="003C33D7"/>
    <w:rsid w:val="003E3711"/>
    <w:rsid w:val="003F399D"/>
    <w:rsid w:val="003F6F70"/>
    <w:rsid w:val="00401EF1"/>
    <w:rsid w:val="0040263A"/>
    <w:rsid w:val="0040523F"/>
    <w:rsid w:val="004105C5"/>
    <w:rsid w:val="00411D87"/>
    <w:rsid w:val="00415C20"/>
    <w:rsid w:val="00435CCF"/>
    <w:rsid w:val="00446C31"/>
    <w:rsid w:val="00461DB2"/>
    <w:rsid w:val="00465EA3"/>
    <w:rsid w:val="00465F3F"/>
    <w:rsid w:val="004676DD"/>
    <w:rsid w:val="004678C1"/>
    <w:rsid w:val="00477DD7"/>
    <w:rsid w:val="00481FF3"/>
    <w:rsid w:val="004874F4"/>
    <w:rsid w:val="00494953"/>
    <w:rsid w:val="00497C12"/>
    <w:rsid w:val="004A6842"/>
    <w:rsid w:val="004B1A5C"/>
    <w:rsid w:val="004B599D"/>
    <w:rsid w:val="004B7B9B"/>
    <w:rsid w:val="004E14AB"/>
    <w:rsid w:val="004E5564"/>
    <w:rsid w:val="00500566"/>
    <w:rsid w:val="00501026"/>
    <w:rsid w:val="005014E4"/>
    <w:rsid w:val="0051378A"/>
    <w:rsid w:val="00525BFC"/>
    <w:rsid w:val="00527153"/>
    <w:rsid w:val="005313E7"/>
    <w:rsid w:val="00536C25"/>
    <w:rsid w:val="00540B71"/>
    <w:rsid w:val="00560CE6"/>
    <w:rsid w:val="005634B5"/>
    <w:rsid w:val="00570BF0"/>
    <w:rsid w:val="00574A6C"/>
    <w:rsid w:val="00576393"/>
    <w:rsid w:val="00580F36"/>
    <w:rsid w:val="00586F9E"/>
    <w:rsid w:val="00590649"/>
    <w:rsid w:val="00592566"/>
    <w:rsid w:val="00594C74"/>
    <w:rsid w:val="005A3734"/>
    <w:rsid w:val="005A65C4"/>
    <w:rsid w:val="005A6FFD"/>
    <w:rsid w:val="005B7AC6"/>
    <w:rsid w:val="005C239F"/>
    <w:rsid w:val="005C341F"/>
    <w:rsid w:val="005D79D2"/>
    <w:rsid w:val="005E1EE6"/>
    <w:rsid w:val="005E28CE"/>
    <w:rsid w:val="005E4A37"/>
    <w:rsid w:val="005F31A6"/>
    <w:rsid w:val="005F35AD"/>
    <w:rsid w:val="005F44C0"/>
    <w:rsid w:val="00602544"/>
    <w:rsid w:val="00602DF3"/>
    <w:rsid w:val="00603036"/>
    <w:rsid w:val="00605F8D"/>
    <w:rsid w:val="00615AAF"/>
    <w:rsid w:val="006168E4"/>
    <w:rsid w:val="00623CED"/>
    <w:rsid w:val="00625829"/>
    <w:rsid w:val="0063720B"/>
    <w:rsid w:val="0065237A"/>
    <w:rsid w:val="00652D8F"/>
    <w:rsid w:val="0065557B"/>
    <w:rsid w:val="00655D00"/>
    <w:rsid w:val="00656322"/>
    <w:rsid w:val="00656672"/>
    <w:rsid w:val="00656F99"/>
    <w:rsid w:val="0066351B"/>
    <w:rsid w:val="0067017C"/>
    <w:rsid w:val="006742F4"/>
    <w:rsid w:val="00675A29"/>
    <w:rsid w:val="00676E35"/>
    <w:rsid w:val="00690D51"/>
    <w:rsid w:val="00691132"/>
    <w:rsid w:val="00697A9C"/>
    <w:rsid w:val="006A03FA"/>
    <w:rsid w:val="006A2067"/>
    <w:rsid w:val="006A361E"/>
    <w:rsid w:val="006A415B"/>
    <w:rsid w:val="006A4EB7"/>
    <w:rsid w:val="006A688F"/>
    <w:rsid w:val="006B13E0"/>
    <w:rsid w:val="006B2B1C"/>
    <w:rsid w:val="006B4DF5"/>
    <w:rsid w:val="006B5C8A"/>
    <w:rsid w:val="006B60F4"/>
    <w:rsid w:val="006C0512"/>
    <w:rsid w:val="006C6BF5"/>
    <w:rsid w:val="006D067B"/>
    <w:rsid w:val="006D1CD0"/>
    <w:rsid w:val="006D231C"/>
    <w:rsid w:val="006D71E2"/>
    <w:rsid w:val="006F6437"/>
    <w:rsid w:val="00702F84"/>
    <w:rsid w:val="00706D54"/>
    <w:rsid w:val="0071090A"/>
    <w:rsid w:val="00713A4E"/>
    <w:rsid w:val="007201BA"/>
    <w:rsid w:val="00722C36"/>
    <w:rsid w:val="007322F6"/>
    <w:rsid w:val="007337E0"/>
    <w:rsid w:val="00737B89"/>
    <w:rsid w:val="00740DFA"/>
    <w:rsid w:val="00741F1A"/>
    <w:rsid w:val="007506FE"/>
    <w:rsid w:val="00753344"/>
    <w:rsid w:val="007537F0"/>
    <w:rsid w:val="00753BF3"/>
    <w:rsid w:val="00756B87"/>
    <w:rsid w:val="007737D0"/>
    <w:rsid w:val="0077595A"/>
    <w:rsid w:val="007765FB"/>
    <w:rsid w:val="00776AB6"/>
    <w:rsid w:val="00776E2E"/>
    <w:rsid w:val="00780F06"/>
    <w:rsid w:val="007821EA"/>
    <w:rsid w:val="00786061"/>
    <w:rsid w:val="0078652F"/>
    <w:rsid w:val="00786C15"/>
    <w:rsid w:val="007A2622"/>
    <w:rsid w:val="007A5336"/>
    <w:rsid w:val="007C1427"/>
    <w:rsid w:val="007C5449"/>
    <w:rsid w:val="007D354D"/>
    <w:rsid w:val="007D39AC"/>
    <w:rsid w:val="007D542A"/>
    <w:rsid w:val="007E68FA"/>
    <w:rsid w:val="007E76DC"/>
    <w:rsid w:val="007E7CF6"/>
    <w:rsid w:val="007F310F"/>
    <w:rsid w:val="007F38CE"/>
    <w:rsid w:val="007F3F2E"/>
    <w:rsid w:val="007F68DD"/>
    <w:rsid w:val="00801AC8"/>
    <w:rsid w:val="00804217"/>
    <w:rsid w:val="00810712"/>
    <w:rsid w:val="008120B7"/>
    <w:rsid w:val="008231E7"/>
    <w:rsid w:val="00823328"/>
    <w:rsid w:val="00824CB0"/>
    <w:rsid w:val="00827532"/>
    <w:rsid w:val="00830227"/>
    <w:rsid w:val="00835D8B"/>
    <w:rsid w:val="00836183"/>
    <w:rsid w:val="008432D4"/>
    <w:rsid w:val="00852E05"/>
    <w:rsid w:val="008543B1"/>
    <w:rsid w:val="00855E70"/>
    <w:rsid w:val="00864321"/>
    <w:rsid w:val="0087021A"/>
    <w:rsid w:val="00873078"/>
    <w:rsid w:val="00875D35"/>
    <w:rsid w:val="00883477"/>
    <w:rsid w:val="00886F4B"/>
    <w:rsid w:val="00887452"/>
    <w:rsid w:val="0089213A"/>
    <w:rsid w:val="008923F8"/>
    <w:rsid w:val="00894A6F"/>
    <w:rsid w:val="008A2BCD"/>
    <w:rsid w:val="008A2BE0"/>
    <w:rsid w:val="008A6B45"/>
    <w:rsid w:val="008C099F"/>
    <w:rsid w:val="008C5B5B"/>
    <w:rsid w:val="008D28B5"/>
    <w:rsid w:val="008E4D60"/>
    <w:rsid w:val="008F2B1D"/>
    <w:rsid w:val="008F5CA7"/>
    <w:rsid w:val="008F679F"/>
    <w:rsid w:val="0090081D"/>
    <w:rsid w:val="00905BA4"/>
    <w:rsid w:val="0091528C"/>
    <w:rsid w:val="00916CD7"/>
    <w:rsid w:val="00917D59"/>
    <w:rsid w:val="00941EAE"/>
    <w:rsid w:val="00942C7F"/>
    <w:rsid w:val="00943ADC"/>
    <w:rsid w:val="0094614F"/>
    <w:rsid w:val="00951B1A"/>
    <w:rsid w:val="00960E71"/>
    <w:rsid w:val="009627D2"/>
    <w:rsid w:val="00963568"/>
    <w:rsid w:val="00964D75"/>
    <w:rsid w:val="009769E7"/>
    <w:rsid w:val="009854F3"/>
    <w:rsid w:val="009A0283"/>
    <w:rsid w:val="009A0E85"/>
    <w:rsid w:val="009A61CF"/>
    <w:rsid w:val="009B135C"/>
    <w:rsid w:val="009C341B"/>
    <w:rsid w:val="009C54D4"/>
    <w:rsid w:val="009C5F01"/>
    <w:rsid w:val="009D0623"/>
    <w:rsid w:val="009E345E"/>
    <w:rsid w:val="009E39D7"/>
    <w:rsid w:val="009F3DFC"/>
    <w:rsid w:val="00A00758"/>
    <w:rsid w:val="00A009ED"/>
    <w:rsid w:val="00A10544"/>
    <w:rsid w:val="00A12DE7"/>
    <w:rsid w:val="00A130BE"/>
    <w:rsid w:val="00A161EE"/>
    <w:rsid w:val="00A22ACA"/>
    <w:rsid w:val="00A23EA4"/>
    <w:rsid w:val="00A314FB"/>
    <w:rsid w:val="00A31876"/>
    <w:rsid w:val="00A320EB"/>
    <w:rsid w:val="00A325A1"/>
    <w:rsid w:val="00A359D0"/>
    <w:rsid w:val="00A37FDA"/>
    <w:rsid w:val="00A44FC2"/>
    <w:rsid w:val="00A503EC"/>
    <w:rsid w:val="00A6039B"/>
    <w:rsid w:val="00A62EDB"/>
    <w:rsid w:val="00A64029"/>
    <w:rsid w:val="00A66A4F"/>
    <w:rsid w:val="00A67DF3"/>
    <w:rsid w:val="00A7541E"/>
    <w:rsid w:val="00A814D6"/>
    <w:rsid w:val="00A8712E"/>
    <w:rsid w:val="00A9058D"/>
    <w:rsid w:val="00A90669"/>
    <w:rsid w:val="00A95926"/>
    <w:rsid w:val="00AB540C"/>
    <w:rsid w:val="00AB7185"/>
    <w:rsid w:val="00AC0756"/>
    <w:rsid w:val="00AC48DB"/>
    <w:rsid w:val="00AC79AC"/>
    <w:rsid w:val="00AD2927"/>
    <w:rsid w:val="00AE6323"/>
    <w:rsid w:val="00AF0009"/>
    <w:rsid w:val="00AF6F9A"/>
    <w:rsid w:val="00AF7CD0"/>
    <w:rsid w:val="00B02865"/>
    <w:rsid w:val="00B03E56"/>
    <w:rsid w:val="00B07296"/>
    <w:rsid w:val="00B15335"/>
    <w:rsid w:val="00B162B0"/>
    <w:rsid w:val="00B31BFA"/>
    <w:rsid w:val="00B33FC4"/>
    <w:rsid w:val="00B3400E"/>
    <w:rsid w:val="00B34DEA"/>
    <w:rsid w:val="00B36202"/>
    <w:rsid w:val="00B37AF0"/>
    <w:rsid w:val="00B4265C"/>
    <w:rsid w:val="00B5665E"/>
    <w:rsid w:val="00B5708B"/>
    <w:rsid w:val="00B6099A"/>
    <w:rsid w:val="00B64191"/>
    <w:rsid w:val="00B64A01"/>
    <w:rsid w:val="00B71EB7"/>
    <w:rsid w:val="00B76569"/>
    <w:rsid w:val="00B773F4"/>
    <w:rsid w:val="00B8051A"/>
    <w:rsid w:val="00B8202A"/>
    <w:rsid w:val="00B908D0"/>
    <w:rsid w:val="00B93CED"/>
    <w:rsid w:val="00B950EC"/>
    <w:rsid w:val="00BB16AB"/>
    <w:rsid w:val="00BD3E85"/>
    <w:rsid w:val="00BD5985"/>
    <w:rsid w:val="00BE0B72"/>
    <w:rsid w:val="00BE3BB7"/>
    <w:rsid w:val="00BF0C7B"/>
    <w:rsid w:val="00BF4EBF"/>
    <w:rsid w:val="00BF6491"/>
    <w:rsid w:val="00C0022D"/>
    <w:rsid w:val="00C023E3"/>
    <w:rsid w:val="00C038AB"/>
    <w:rsid w:val="00C158D0"/>
    <w:rsid w:val="00C15B3A"/>
    <w:rsid w:val="00C16AC2"/>
    <w:rsid w:val="00C20BFB"/>
    <w:rsid w:val="00C31337"/>
    <w:rsid w:val="00C34362"/>
    <w:rsid w:val="00C3494C"/>
    <w:rsid w:val="00C34A76"/>
    <w:rsid w:val="00C437BC"/>
    <w:rsid w:val="00C7609B"/>
    <w:rsid w:val="00C76589"/>
    <w:rsid w:val="00C808A4"/>
    <w:rsid w:val="00C946E8"/>
    <w:rsid w:val="00CA43D2"/>
    <w:rsid w:val="00CA6CBA"/>
    <w:rsid w:val="00CB3748"/>
    <w:rsid w:val="00CB535F"/>
    <w:rsid w:val="00CB6447"/>
    <w:rsid w:val="00CC266E"/>
    <w:rsid w:val="00CC4B27"/>
    <w:rsid w:val="00CD04CE"/>
    <w:rsid w:val="00CD46F9"/>
    <w:rsid w:val="00CE5725"/>
    <w:rsid w:val="00CE7888"/>
    <w:rsid w:val="00CF161A"/>
    <w:rsid w:val="00CF2213"/>
    <w:rsid w:val="00D06A9C"/>
    <w:rsid w:val="00D106D2"/>
    <w:rsid w:val="00D11508"/>
    <w:rsid w:val="00D129D3"/>
    <w:rsid w:val="00D13088"/>
    <w:rsid w:val="00D16A7E"/>
    <w:rsid w:val="00D25295"/>
    <w:rsid w:val="00D271C7"/>
    <w:rsid w:val="00D27D44"/>
    <w:rsid w:val="00D40746"/>
    <w:rsid w:val="00D4125A"/>
    <w:rsid w:val="00D4141E"/>
    <w:rsid w:val="00D4245C"/>
    <w:rsid w:val="00D43C0E"/>
    <w:rsid w:val="00D45062"/>
    <w:rsid w:val="00D455BC"/>
    <w:rsid w:val="00D544E5"/>
    <w:rsid w:val="00D70259"/>
    <w:rsid w:val="00D70758"/>
    <w:rsid w:val="00D72135"/>
    <w:rsid w:val="00D82BA6"/>
    <w:rsid w:val="00D9064A"/>
    <w:rsid w:val="00D9574F"/>
    <w:rsid w:val="00D959AE"/>
    <w:rsid w:val="00DB32E1"/>
    <w:rsid w:val="00DB4834"/>
    <w:rsid w:val="00DB537B"/>
    <w:rsid w:val="00DC05E7"/>
    <w:rsid w:val="00DC1A33"/>
    <w:rsid w:val="00DC2586"/>
    <w:rsid w:val="00DC2F85"/>
    <w:rsid w:val="00DC7D10"/>
    <w:rsid w:val="00DE07F6"/>
    <w:rsid w:val="00DE3CCD"/>
    <w:rsid w:val="00DE75EE"/>
    <w:rsid w:val="00DF2F9E"/>
    <w:rsid w:val="00DF7971"/>
    <w:rsid w:val="00E12A93"/>
    <w:rsid w:val="00E1431E"/>
    <w:rsid w:val="00E15DA1"/>
    <w:rsid w:val="00E17AD9"/>
    <w:rsid w:val="00E17BFE"/>
    <w:rsid w:val="00E22A18"/>
    <w:rsid w:val="00E2578D"/>
    <w:rsid w:val="00E258DE"/>
    <w:rsid w:val="00E376F6"/>
    <w:rsid w:val="00E469C2"/>
    <w:rsid w:val="00E5069A"/>
    <w:rsid w:val="00E51AFF"/>
    <w:rsid w:val="00E5257E"/>
    <w:rsid w:val="00E63026"/>
    <w:rsid w:val="00E66635"/>
    <w:rsid w:val="00E7616A"/>
    <w:rsid w:val="00E85B7E"/>
    <w:rsid w:val="00E91AAB"/>
    <w:rsid w:val="00E950A3"/>
    <w:rsid w:val="00EA40A2"/>
    <w:rsid w:val="00EA687A"/>
    <w:rsid w:val="00EB3164"/>
    <w:rsid w:val="00EB4557"/>
    <w:rsid w:val="00EC0459"/>
    <w:rsid w:val="00EC7166"/>
    <w:rsid w:val="00EC7248"/>
    <w:rsid w:val="00ED257C"/>
    <w:rsid w:val="00ED33CA"/>
    <w:rsid w:val="00ED4DBB"/>
    <w:rsid w:val="00ED7F6B"/>
    <w:rsid w:val="00EE0EAB"/>
    <w:rsid w:val="00EE6201"/>
    <w:rsid w:val="00EE75D3"/>
    <w:rsid w:val="00EE7EED"/>
    <w:rsid w:val="00EF60DF"/>
    <w:rsid w:val="00F07A12"/>
    <w:rsid w:val="00F07D08"/>
    <w:rsid w:val="00F145F7"/>
    <w:rsid w:val="00F14986"/>
    <w:rsid w:val="00F15729"/>
    <w:rsid w:val="00F170E7"/>
    <w:rsid w:val="00F20520"/>
    <w:rsid w:val="00F240E3"/>
    <w:rsid w:val="00F24101"/>
    <w:rsid w:val="00F24DE2"/>
    <w:rsid w:val="00F31BAB"/>
    <w:rsid w:val="00F320D3"/>
    <w:rsid w:val="00F3254B"/>
    <w:rsid w:val="00F332D4"/>
    <w:rsid w:val="00F33887"/>
    <w:rsid w:val="00F338D9"/>
    <w:rsid w:val="00F428C7"/>
    <w:rsid w:val="00F429A9"/>
    <w:rsid w:val="00F55F0C"/>
    <w:rsid w:val="00F63FD6"/>
    <w:rsid w:val="00F64FF5"/>
    <w:rsid w:val="00F71F33"/>
    <w:rsid w:val="00F73C9E"/>
    <w:rsid w:val="00F83C74"/>
    <w:rsid w:val="00F840C1"/>
    <w:rsid w:val="00F84BFC"/>
    <w:rsid w:val="00F87B02"/>
    <w:rsid w:val="00F90510"/>
    <w:rsid w:val="00FA6301"/>
    <w:rsid w:val="00FB0276"/>
    <w:rsid w:val="00FB5BCD"/>
    <w:rsid w:val="00FB5EEA"/>
    <w:rsid w:val="00FC044E"/>
    <w:rsid w:val="00FC16FB"/>
    <w:rsid w:val="00FD22AF"/>
    <w:rsid w:val="00FD37E1"/>
    <w:rsid w:val="00FD5B4E"/>
    <w:rsid w:val="00FE1F12"/>
    <w:rsid w:val="00FE22DF"/>
    <w:rsid w:val="00FE3532"/>
    <w:rsid w:val="00FF10CB"/>
    <w:rsid w:val="010433A6"/>
    <w:rsid w:val="010E669E"/>
    <w:rsid w:val="016E3F38"/>
    <w:rsid w:val="01744CC0"/>
    <w:rsid w:val="0194587B"/>
    <w:rsid w:val="02236142"/>
    <w:rsid w:val="02273F17"/>
    <w:rsid w:val="02280A03"/>
    <w:rsid w:val="0232191D"/>
    <w:rsid w:val="02322C36"/>
    <w:rsid w:val="02907847"/>
    <w:rsid w:val="02EB68D8"/>
    <w:rsid w:val="02F40501"/>
    <w:rsid w:val="034D07FC"/>
    <w:rsid w:val="03840626"/>
    <w:rsid w:val="03A50293"/>
    <w:rsid w:val="03E7727F"/>
    <w:rsid w:val="04301F2C"/>
    <w:rsid w:val="04354E98"/>
    <w:rsid w:val="04C630D4"/>
    <w:rsid w:val="04D45421"/>
    <w:rsid w:val="04EA6DF7"/>
    <w:rsid w:val="04F9316F"/>
    <w:rsid w:val="05BF658F"/>
    <w:rsid w:val="05CD18C1"/>
    <w:rsid w:val="05FA0BF6"/>
    <w:rsid w:val="062507F6"/>
    <w:rsid w:val="069F504A"/>
    <w:rsid w:val="06B0666E"/>
    <w:rsid w:val="06B917E8"/>
    <w:rsid w:val="06ED7489"/>
    <w:rsid w:val="070D2A28"/>
    <w:rsid w:val="07FC068B"/>
    <w:rsid w:val="08B24E25"/>
    <w:rsid w:val="08ED12AE"/>
    <w:rsid w:val="0911756C"/>
    <w:rsid w:val="09273481"/>
    <w:rsid w:val="09617DFD"/>
    <w:rsid w:val="098326E7"/>
    <w:rsid w:val="09E366DA"/>
    <w:rsid w:val="0A211E2D"/>
    <w:rsid w:val="0A281E55"/>
    <w:rsid w:val="0A302C14"/>
    <w:rsid w:val="0A346013"/>
    <w:rsid w:val="0A3A6536"/>
    <w:rsid w:val="0AB30444"/>
    <w:rsid w:val="0B026E20"/>
    <w:rsid w:val="0B044945"/>
    <w:rsid w:val="0B2703CD"/>
    <w:rsid w:val="0B372DD9"/>
    <w:rsid w:val="0B5628D6"/>
    <w:rsid w:val="0C1E21AC"/>
    <w:rsid w:val="0C340187"/>
    <w:rsid w:val="0C7266F9"/>
    <w:rsid w:val="0CAD33EF"/>
    <w:rsid w:val="0D2B7879"/>
    <w:rsid w:val="0D6208E6"/>
    <w:rsid w:val="0D6F561D"/>
    <w:rsid w:val="0D784778"/>
    <w:rsid w:val="0D87072C"/>
    <w:rsid w:val="0E336E2F"/>
    <w:rsid w:val="0E587B15"/>
    <w:rsid w:val="0E5F62A6"/>
    <w:rsid w:val="0EF61428"/>
    <w:rsid w:val="0F04519B"/>
    <w:rsid w:val="0F156483"/>
    <w:rsid w:val="0F50288D"/>
    <w:rsid w:val="0F5C2833"/>
    <w:rsid w:val="0FBB209A"/>
    <w:rsid w:val="105D40C6"/>
    <w:rsid w:val="107D1F64"/>
    <w:rsid w:val="10821456"/>
    <w:rsid w:val="10B97C51"/>
    <w:rsid w:val="10F31C28"/>
    <w:rsid w:val="10F50A00"/>
    <w:rsid w:val="10FD5E84"/>
    <w:rsid w:val="110E0DEF"/>
    <w:rsid w:val="11B542A1"/>
    <w:rsid w:val="11D6743B"/>
    <w:rsid w:val="132836A7"/>
    <w:rsid w:val="135A2C5D"/>
    <w:rsid w:val="13A07901"/>
    <w:rsid w:val="13E31867"/>
    <w:rsid w:val="14242DD3"/>
    <w:rsid w:val="14761C76"/>
    <w:rsid w:val="148A4DCB"/>
    <w:rsid w:val="14D91282"/>
    <w:rsid w:val="15011D68"/>
    <w:rsid w:val="1509147B"/>
    <w:rsid w:val="1516024C"/>
    <w:rsid w:val="151740AC"/>
    <w:rsid w:val="151874D3"/>
    <w:rsid w:val="15CA5B79"/>
    <w:rsid w:val="16326414"/>
    <w:rsid w:val="170C1D83"/>
    <w:rsid w:val="17187BD7"/>
    <w:rsid w:val="174E15FD"/>
    <w:rsid w:val="17657586"/>
    <w:rsid w:val="177B141E"/>
    <w:rsid w:val="17A83E0F"/>
    <w:rsid w:val="185D0024"/>
    <w:rsid w:val="18602E19"/>
    <w:rsid w:val="186531F6"/>
    <w:rsid w:val="18751F3F"/>
    <w:rsid w:val="19105938"/>
    <w:rsid w:val="19452028"/>
    <w:rsid w:val="19BC5C12"/>
    <w:rsid w:val="19C50013"/>
    <w:rsid w:val="19D14688"/>
    <w:rsid w:val="19D8654C"/>
    <w:rsid w:val="19EC2499"/>
    <w:rsid w:val="1A215767"/>
    <w:rsid w:val="1A7E315D"/>
    <w:rsid w:val="1AFA2C31"/>
    <w:rsid w:val="1BF22DE3"/>
    <w:rsid w:val="1C0179A5"/>
    <w:rsid w:val="1C0C62DD"/>
    <w:rsid w:val="1C64101C"/>
    <w:rsid w:val="1C7736D3"/>
    <w:rsid w:val="1C7F613C"/>
    <w:rsid w:val="1CB450AD"/>
    <w:rsid w:val="1CC40DD8"/>
    <w:rsid w:val="1CC853DE"/>
    <w:rsid w:val="1CCF7788"/>
    <w:rsid w:val="1CF32E3D"/>
    <w:rsid w:val="1D5237F3"/>
    <w:rsid w:val="1D77117B"/>
    <w:rsid w:val="1D983CC6"/>
    <w:rsid w:val="1DAE2F9F"/>
    <w:rsid w:val="1DE64E63"/>
    <w:rsid w:val="1E4F294F"/>
    <w:rsid w:val="1E7C51CF"/>
    <w:rsid w:val="1EBC29A6"/>
    <w:rsid w:val="1EF935E0"/>
    <w:rsid w:val="1F02728D"/>
    <w:rsid w:val="1F627D4F"/>
    <w:rsid w:val="1FBB7D4A"/>
    <w:rsid w:val="1FEE2A6C"/>
    <w:rsid w:val="2045227E"/>
    <w:rsid w:val="20574583"/>
    <w:rsid w:val="20657F75"/>
    <w:rsid w:val="206B059F"/>
    <w:rsid w:val="20704396"/>
    <w:rsid w:val="207450DF"/>
    <w:rsid w:val="209E068E"/>
    <w:rsid w:val="210D4AF2"/>
    <w:rsid w:val="211048AD"/>
    <w:rsid w:val="213153AC"/>
    <w:rsid w:val="215D03A4"/>
    <w:rsid w:val="2193443E"/>
    <w:rsid w:val="21CD4AE9"/>
    <w:rsid w:val="22906DF2"/>
    <w:rsid w:val="229B0F08"/>
    <w:rsid w:val="22CD4B9F"/>
    <w:rsid w:val="22D830D9"/>
    <w:rsid w:val="22EF3B3A"/>
    <w:rsid w:val="235A0EB2"/>
    <w:rsid w:val="240134D5"/>
    <w:rsid w:val="241E2378"/>
    <w:rsid w:val="24C02750"/>
    <w:rsid w:val="24C93DE5"/>
    <w:rsid w:val="256F7467"/>
    <w:rsid w:val="25B44C81"/>
    <w:rsid w:val="26260726"/>
    <w:rsid w:val="26654871"/>
    <w:rsid w:val="26926622"/>
    <w:rsid w:val="26B5775C"/>
    <w:rsid w:val="26FC201F"/>
    <w:rsid w:val="26FD0E6C"/>
    <w:rsid w:val="26FF08BD"/>
    <w:rsid w:val="27371F80"/>
    <w:rsid w:val="27493957"/>
    <w:rsid w:val="27DA0E2D"/>
    <w:rsid w:val="281C5501"/>
    <w:rsid w:val="28256981"/>
    <w:rsid w:val="2861037E"/>
    <w:rsid w:val="28720095"/>
    <w:rsid w:val="28E030A6"/>
    <w:rsid w:val="28FC40E0"/>
    <w:rsid w:val="291663D4"/>
    <w:rsid w:val="29235B7F"/>
    <w:rsid w:val="29A2674B"/>
    <w:rsid w:val="29D15FF3"/>
    <w:rsid w:val="29EB11C7"/>
    <w:rsid w:val="29EE7C1F"/>
    <w:rsid w:val="29F005EA"/>
    <w:rsid w:val="2A05694A"/>
    <w:rsid w:val="2A0E3240"/>
    <w:rsid w:val="2A412308"/>
    <w:rsid w:val="2A9A5CE3"/>
    <w:rsid w:val="2B2B6E1E"/>
    <w:rsid w:val="2B3F6A37"/>
    <w:rsid w:val="2BD64F6F"/>
    <w:rsid w:val="2C562CFF"/>
    <w:rsid w:val="2C754E9F"/>
    <w:rsid w:val="2CA53CBD"/>
    <w:rsid w:val="2CE874AA"/>
    <w:rsid w:val="2D585051"/>
    <w:rsid w:val="2D9A1F24"/>
    <w:rsid w:val="2E0E2311"/>
    <w:rsid w:val="2E133F16"/>
    <w:rsid w:val="2E470B32"/>
    <w:rsid w:val="2E626189"/>
    <w:rsid w:val="2EE911D6"/>
    <w:rsid w:val="2EF0239E"/>
    <w:rsid w:val="2F602C2B"/>
    <w:rsid w:val="2F9F377F"/>
    <w:rsid w:val="2FB00BBD"/>
    <w:rsid w:val="2FD45084"/>
    <w:rsid w:val="2FDF3817"/>
    <w:rsid w:val="2FF932AE"/>
    <w:rsid w:val="301C6804"/>
    <w:rsid w:val="302B29E8"/>
    <w:rsid w:val="302B60DF"/>
    <w:rsid w:val="3092706C"/>
    <w:rsid w:val="30F9500B"/>
    <w:rsid w:val="311F056C"/>
    <w:rsid w:val="312335FA"/>
    <w:rsid w:val="3125075F"/>
    <w:rsid w:val="31A56FD4"/>
    <w:rsid w:val="31D65CB6"/>
    <w:rsid w:val="31D9449A"/>
    <w:rsid w:val="31FE68A2"/>
    <w:rsid w:val="323E57DD"/>
    <w:rsid w:val="32A458B5"/>
    <w:rsid w:val="32C9069C"/>
    <w:rsid w:val="33532484"/>
    <w:rsid w:val="337D7A4F"/>
    <w:rsid w:val="33E74ACE"/>
    <w:rsid w:val="343E2327"/>
    <w:rsid w:val="34832F1E"/>
    <w:rsid w:val="34A31B5A"/>
    <w:rsid w:val="35093CBB"/>
    <w:rsid w:val="358F7ABF"/>
    <w:rsid w:val="35EB5CE8"/>
    <w:rsid w:val="361656B7"/>
    <w:rsid w:val="363411B6"/>
    <w:rsid w:val="368348C8"/>
    <w:rsid w:val="368D6C5C"/>
    <w:rsid w:val="3691448D"/>
    <w:rsid w:val="376B3D8D"/>
    <w:rsid w:val="37E00DA9"/>
    <w:rsid w:val="37E6300B"/>
    <w:rsid w:val="383816B0"/>
    <w:rsid w:val="38C50A28"/>
    <w:rsid w:val="38E7625D"/>
    <w:rsid w:val="38ED0484"/>
    <w:rsid w:val="3922746B"/>
    <w:rsid w:val="39432193"/>
    <w:rsid w:val="396B3A71"/>
    <w:rsid w:val="399A3B55"/>
    <w:rsid w:val="39A15FD9"/>
    <w:rsid w:val="39D17AB5"/>
    <w:rsid w:val="3A043BB0"/>
    <w:rsid w:val="3A054EDA"/>
    <w:rsid w:val="3A8B07F6"/>
    <w:rsid w:val="3ACE2D62"/>
    <w:rsid w:val="3AE22FF5"/>
    <w:rsid w:val="3B5E4C55"/>
    <w:rsid w:val="3BAC2A88"/>
    <w:rsid w:val="3BD40449"/>
    <w:rsid w:val="3C6D58C3"/>
    <w:rsid w:val="3CF15D88"/>
    <w:rsid w:val="3D0170C9"/>
    <w:rsid w:val="3D3223C0"/>
    <w:rsid w:val="3D471BC1"/>
    <w:rsid w:val="3D78722F"/>
    <w:rsid w:val="3D806A70"/>
    <w:rsid w:val="3DD23094"/>
    <w:rsid w:val="3E3D167A"/>
    <w:rsid w:val="3E4F666C"/>
    <w:rsid w:val="3E6C3F0E"/>
    <w:rsid w:val="3EE853F8"/>
    <w:rsid w:val="3F53581A"/>
    <w:rsid w:val="3F6258C8"/>
    <w:rsid w:val="3F894798"/>
    <w:rsid w:val="40B02E04"/>
    <w:rsid w:val="40CF0CA1"/>
    <w:rsid w:val="40EE4917"/>
    <w:rsid w:val="41B23A8F"/>
    <w:rsid w:val="41D94C19"/>
    <w:rsid w:val="42195488"/>
    <w:rsid w:val="421D31EE"/>
    <w:rsid w:val="42242DE8"/>
    <w:rsid w:val="426B7CC4"/>
    <w:rsid w:val="42E84F83"/>
    <w:rsid w:val="43141830"/>
    <w:rsid w:val="431569AA"/>
    <w:rsid w:val="43B4345C"/>
    <w:rsid w:val="43CA3111"/>
    <w:rsid w:val="450C0622"/>
    <w:rsid w:val="4512021D"/>
    <w:rsid w:val="45155348"/>
    <w:rsid w:val="454E3A28"/>
    <w:rsid w:val="45642C56"/>
    <w:rsid w:val="45661C15"/>
    <w:rsid w:val="45740B54"/>
    <w:rsid w:val="45AB25C6"/>
    <w:rsid w:val="46636409"/>
    <w:rsid w:val="468F0994"/>
    <w:rsid w:val="46B062DC"/>
    <w:rsid w:val="46BA4206"/>
    <w:rsid w:val="46D123C8"/>
    <w:rsid w:val="4714413B"/>
    <w:rsid w:val="47354E10"/>
    <w:rsid w:val="47563C46"/>
    <w:rsid w:val="476C1551"/>
    <w:rsid w:val="47F97401"/>
    <w:rsid w:val="48453CB2"/>
    <w:rsid w:val="48A62A75"/>
    <w:rsid w:val="48B3696F"/>
    <w:rsid w:val="48D5480F"/>
    <w:rsid w:val="490D7DC6"/>
    <w:rsid w:val="492170A7"/>
    <w:rsid w:val="49474205"/>
    <w:rsid w:val="49501E61"/>
    <w:rsid w:val="495F5D4F"/>
    <w:rsid w:val="4974556A"/>
    <w:rsid w:val="4A037FFD"/>
    <w:rsid w:val="4A15334A"/>
    <w:rsid w:val="4A234A37"/>
    <w:rsid w:val="4A472C58"/>
    <w:rsid w:val="4A657C93"/>
    <w:rsid w:val="4AF5224E"/>
    <w:rsid w:val="4B0C5283"/>
    <w:rsid w:val="4B3063FA"/>
    <w:rsid w:val="4B37495B"/>
    <w:rsid w:val="4B3C762C"/>
    <w:rsid w:val="4B3D5B93"/>
    <w:rsid w:val="4B870DAF"/>
    <w:rsid w:val="4BB174F7"/>
    <w:rsid w:val="4BE92779"/>
    <w:rsid w:val="4CBB7FD5"/>
    <w:rsid w:val="4CDF4900"/>
    <w:rsid w:val="4D967A15"/>
    <w:rsid w:val="4E240AB5"/>
    <w:rsid w:val="4E3D08BB"/>
    <w:rsid w:val="4E441BEA"/>
    <w:rsid w:val="4E517FB4"/>
    <w:rsid w:val="4E7F2545"/>
    <w:rsid w:val="4FC21405"/>
    <w:rsid w:val="4FCB6EBD"/>
    <w:rsid w:val="50714BC2"/>
    <w:rsid w:val="50F205FE"/>
    <w:rsid w:val="51361D4E"/>
    <w:rsid w:val="513B6F56"/>
    <w:rsid w:val="515D0475"/>
    <w:rsid w:val="51957860"/>
    <w:rsid w:val="51B4111A"/>
    <w:rsid w:val="51E21DCB"/>
    <w:rsid w:val="53840CD2"/>
    <w:rsid w:val="541A7DF2"/>
    <w:rsid w:val="543611A2"/>
    <w:rsid w:val="543B4F2C"/>
    <w:rsid w:val="544745EF"/>
    <w:rsid w:val="545E676B"/>
    <w:rsid w:val="54B12576"/>
    <w:rsid w:val="54E512AE"/>
    <w:rsid w:val="55593CC7"/>
    <w:rsid w:val="559972F9"/>
    <w:rsid w:val="56323918"/>
    <w:rsid w:val="56754407"/>
    <w:rsid w:val="56A63B54"/>
    <w:rsid w:val="57A92213"/>
    <w:rsid w:val="57A966D2"/>
    <w:rsid w:val="58071D0E"/>
    <w:rsid w:val="58890C21"/>
    <w:rsid w:val="58DF0F9E"/>
    <w:rsid w:val="59606768"/>
    <w:rsid w:val="59A527BA"/>
    <w:rsid w:val="59D74F41"/>
    <w:rsid w:val="59F20C25"/>
    <w:rsid w:val="5A1029D3"/>
    <w:rsid w:val="5A357B71"/>
    <w:rsid w:val="5A39196A"/>
    <w:rsid w:val="5A971260"/>
    <w:rsid w:val="5AD82C12"/>
    <w:rsid w:val="5AE60FD0"/>
    <w:rsid w:val="5B4F66BA"/>
    <w:rsid w:val="5B591697"/>
    <w:rsid w:val="5B632741"/>
    <w:rsid w:val="5BC17AEA"/>
    <w:rsid w:val="5C476E90"/>
    <w:rsid w:val="5C721C3D"/>
    <w:rsid w:val="5C9A3B57"/>
    <w:rsid w:val="5CA20091"/>
    <w:rsid w:val="5CE47568"/>
    <w:rsid w:val="5DC3261B"/>
    <w:rsid w:val="5DEA3436"/>
    <w:rsid w:val="5E8C2B57"/>
    <w:rsid w:val="5F031BA8"/>
    <w:rsid w:val="5F091996"/>
    <w:rsid w:val="5F4B3843"/>
    <w:rsid w:val="600879F8"/>
    <w:rsid w:val="6013125E"/>
    <w:rsid w:val="602165B4"/>
    <w:rsid w:val="60433303"/>
    <w:rsid w:val="60803FE7"/>
    <w:rsid w:val="60F716B9"/>
    <w:rsid w:val="611942AD"/>
    <w:rsid w:val="614A5D5E"/>
    <w:rsid w:val="615C40CE"/>
    <w:rsid w:val="61C52C27"/>
    <w:rsid w:val="61DD5E40"/>
    <w:rsid w:val="61E15E6D"/>
    <w:rsid w:val="62117120"/>
    <w:rsid w:val="62447DF6"/>
    <w:rsid w:val="62485A9D"/>
    <w:rsid w:val="62846394"/>
    <w:rsid w:val="62B921D7"/>
    <w:rsid w:val="62D17677"/>
    <w:rsid w:val="62D36224"/>
    <w:rsid w:val="62DC5D81"/>
    <w:rsid w:val="630D1708"/>
    <w:rsid w:val="632D14CA"/>
    <w:rsid w:val="63344747"/>
    <w:rsid w:val="640611AD"/>
    <w:rsid w:val="6438415E"/>
    <w:rsid w:val="64565CCC"/>
    <w:rsid w:val="646A373C"/>
    <w:rsid w:val="64C33DF0"/>
    <w:rsid w:val="64F149B7"/>
    <w:rsid w:val="65541B48"/>
    <w:rsid w:val="6586281C"/>
    <w:rsid w:val="65AD0782"/>
    <w:rsid w:val="660E0DCB"/>
    <w:rsid w:val="6610258B"/>
    <w:rsid w:val="66165513"/>
    <w:rsid w:val="66574151"/>
    <w:rsid w:val="668F504D"/>
    <w:rsid w:val="66CE028A"/>
    <w:rsid w:val="66E46249"/>
    <w:rsid w:val="67210AC9"/>
    <w:rsid w:val="676B48FF"/>
    <w:rsid w:val="67835100"/>
    <w:rsid w:val="679378F2"/>
    <w:rsid w:val="67B43E55"/>
    <w:rsid w:val="67F27D50"/>
    <w:rsid w:val="680816F1"/>
    <w:rsid w:val="68587788"/>
    <w:rsid w:val="6894683C"/>
    <w:rsid w:val="68B4646F"/>
    <w:rsid w:val="6908170D"/>
    <w:rsid w:val="69A0211B"/>
    <w:rsid w:val="6A3B347B"/>
    <w:rsid w:val="6A706B6E"/>
    <w:rsid w:val="6ACB3639"/>
    <w:rsid w:val="6AED2185"/>
    <w:rsid w:val="6AEE5AD3"/>
    <w:rsid w:val="6AF3731F"/>
    <w:rsid w:val="6AF770A3"/>
    <w:rsid w:val="6BAE34CF"/>
    <w:rsid w:val="6BF54D68"/>
    <w:rsid w:val="6C1A31F5"/>
    <w:rsid w:val="6C40518F"/>
    <w:rsid w:val="6C5C67F5"/>
    <w:rsid w:val="6CE70F60"/>
    <w:rsid w:val="6D23258E"/>
    <w:rsid w:val="6D3013FC"/>
    <w:rsid w:val="6D49551E"/>
    <w:rsid w:val="6D9154F9"/>
    <w:rsid w:val="6DA70982"/>
    <w:rsid w:val="6DF07A84"/>
    <w:rsid w:val="6E3E48BE"/>
    <w:rsid w:val="6E9E53FE"/>
    <w:rsid w:val="6EA6588A"/>
    <w:rsid w:val="6ECC6884"/>
    <w:rsid w:val="6ED71C40"/>
    <w:rsid w:val="6EE4610D"/>
    <w:rsid w:val="6F9D0BCA"/>
    <w:rsid w:val="6FB22653"/>
    <w:rsid w:val="6FEF5B8F"/>
    <w:rsid w:val="709B1E15"/>
    <w:rsid w:val="70CE1A4E"/>
    <w:rsid w:val="711F4941"/>
    <w:rsid w:val="717F62D2"/>
    <w:rsid w:val="71812D0D"/>
    <w:rsid w:val="723052C5"/>
    <w:rsid w:val="72730545"/>
    <w:rsid w:val="73007413"/>
    <w:rsid w:val="733B047E"/>
    <w:rsid w:val="739D32CE"/>
    <w:rsid w:val="73A7707D"/>
    <w:rsid w:val="73F7626C"/>
    <w:rsid w:val="740F2585"/>
    <w:rsid w:val="74354F51"/>
    <w:rsid w:val="743E44B6"/>
    <w:rsid w:val="748D6281"/>
    <w:rsid w:val="74DD74E5"/>
    <w:rsid w:val="75634B25"/>
    <w:rsid w:val="75964E58"/>
    <w:rsid w:val="75AC7704"/>
    <w:rsid w:val="764652B0"/>
    <w:rsid w:val="767861EA"/>
    <w:rsid w:val="76BC4307"/>
    <w:rsid w:val="76D84DEC"/>
    <w:rsid w:val="773B3C21"/>
    <w:rsid w:val="77A56E20"/>
    <w:rsid w:val="77F96EAA"/>
    <w:rsid w:val="780D5EBA"/>
    <w:rsid w:val="78571B1A"/>
    <w:rsid w:val="788F3508"/>
    <w:rsid w:val="790A0E08"/>
    <w:rsid w:val="79230090"/>
    <w:rsid w:val="792A283F"/>
    <w:rsid w:val="799F2C98"/>
    <w:rsid w:val="79BF6F71"/>
    <w:rsid w:val="79C41F64"/>
    <w:rsid w:val="79F84E0F"/>
    <w:rsid w:val="7AD13EE3"/>
    <w:rsid w:val="7ADA5B78"/>
    <w:rsid w:val="7AFC2805"/>
    <w:rsid w:val="7B375EF8"/>
    <w:rsid w:val="7B994273"/>
    <w:rsid w:val="7C5338F2"/>
    <w:rsid w:val="7C5A77E7"/>
    <w:rsid w:val="7C606750"/>
    <w:rsid w:val="7C950FF4"/>
    <w:rsid w:val="7D084581"/>
    <w:rsid w:val="7D647EE7"/>
    <w:rsid w:val="7E0453A9"/>
    <w:rsid w:val="7E384BF4"/>
    <w:rsid w:val="7E5C0673"/>
    <w:rsid w:val="7E801343"/>
    <w:rsid w:val="7E880EA3"/>
    <w:rsid w:val="7E8F2FA4"/>
    <w:rsid w:val="7EF8331B"/>
    <w:rsid w:val="7EF955D8"/>
    <w:rsid w:val="7EFB3186"/>
    <w:rsid w:val="7F145248"/>
    <w:rsid w:val="7F6E0ADA"/>
    <w:rsid w:val="7F8A7F8E"/>
    <w:rsid w:val="7FD43B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paragraph" w:styleId="2">
    <w:name w:val="heading 1"/>
    <w:basedOn w:val="1"/>
    <w:next w:val="1"/>
    <w:qFormat/>
    <w:uiPriority w:val="0"/>
    <w:pPr>
      <w:keepNext/>
      <w:keepLines/>
      <w:spacing w:beforeLines="100" w:afterLines="100"/>
      <w:ind w:firstLine="0" w:firstLineChars="0"/>
      <w:outlineLvl w:val="0"/>
    </w:pPr>
    <w:rPr>
      <w:b/>
      <w:bCs/>
      <w:kern w:val="44"/>
      <w:sz w:val="36"/>
      <w:szCs w:val="44"/>
    </w:rPr>
  </w:style>
  <w:style w:type="paragraph" w:styleId="3">
    <w:name w:val="heading 2"/>
    <w:basedOn w:val="1"/>
    <w:next w:val="1"/>
    <w:link w:val="41"/>
    <w:qFormat/>
    <w:uiPriority w:val="0"/>
    <w:pPr>
      <w:keepNext/>
      <w:keepLines/>
      <w:spacing w:beforeLines="100" w:afterLines="100"/>
      <w:ind w:firstLine="0" w:firstLineChars="0"/>
      <w:outlineLvl w:val="1"/>
    </w:pPr>
    <w:rPr>
      <w:b/>
      <w:bCs/>
      <w:sz w:val="32"/>
      <w:szCs w:val="32"/>
    </w:rPr>
  </w:style>
  <w:style w:type="paragraph" w:styleId="4">
    <w:name w:val="heading 3"/>
    <w:basedOn w:val="1"/>
    <w:next w:val="1"/>
    <w:qFormat/>
    <w:uiPriority w:val="0"/>
    <w:pPr>
      <w:keepNext/>
      <w:keepLines/>
      <w:spacing w:beforeLines="100" w:afterLines="100"/>
      <w:ind w:firstLine="0" w:firstLineChars="0"/>
      <w:outlineLvl w:val="2"/>
    </w:pPr>
    <w:rPr>
      <w:b/>
      <w:bCs/>
      <w:sz w:val="30"/>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spacing w:line="240" w:lineRule="auto"/>
      <w:ind w:firstLine="420" w:firstLineChars="0"/>
      <w:textAlignment w:val="baseline"/>
    </w:pPr>
    <w:rPr>
      <w:rFonts w:ascii="宋体" w:eastAsia="宋体"/>
      <w:kern w:val="0"/>
      <w:sz w:val="20"/>
      <w:szCs w:val="20"/>
    </w:rPr>
  </w:style>
  <w:style w:type="paragraph" w:styleId="6">
    <w:name w:val="Document Map"/>
    <w:basedOn w:val="1"/>
    <w:link w:val="27"/>
    <w:qFormat/>
    <w:uiPriority w:val="0"/>
    <w:rPr>
      <w:rFonts w:ascii="宋体" w:eastAsia="宋体"/>
      <w:sz w:val="18"/>
      <w:szCs w:val="18"/>
    </w:rPr>
  </w:style>
  <w:style w:type="paragraph" w:styleId="7">
    <w:name w:val="annotation text"/>
    <w:basedOn w:val="1"/>
    <w:qFormat/>
    <w:uiPriority w:val="0"/>
    <w:pPr>
      <w:jc w:val="left"/>
    </w:pPr>
  </w:style>
  <w:style w:type="paragraph" w:styleId="8">
    <w:name w:val="Body Text Indent"/>
    <w:basedOn w:val="1"/>
    <w:link w:val="29"/>
    <w:qFormat/>
    <w:uiPriority w:val="0"/>
    <w:pPr>
      <w:spacing w:after="120" w:line="240" w:lineRule="auto"/>
      <w:ind w:left="420" w:leftChars="200" w:firstLine="0" w:firstLineChars="0"/>
    </w:pPr>
    <w:rPr>
      <w:rFonts w:eastAsia="宋体"/>
      <w:sz w:val="21"/>
    </w:rPr>
  </w:style>
  <w:style w:type="paragraph" w:styleId="9">
    <w:name w:val="toc 3"/>
    <w:basedOn w:val="1"/>
    <w:next w:val="1"/>
    <w:qFormat/>
    <w:uiPriority w:val="39"/>
    <w:pPr>
      <w:tabs>
        <w:tab w:val="right" w:leader="dot" w:pos="8364"/>
      </w:tabs>
      <w:spacing w:line="560" w:lineRule="exact"/>
      <w:ind w:left="960" w:leftChars="178" w:right="468" w:rightChars="195" w:hanging="533" w:hangingChars="222"/>
    </w:pPr>
  </w:style>
  <w:style w:type="paragraph" w:styleId="10">
    <w:name w:val="Plain Text"/>
    <w:basedOn w:val="1"/>
    <w:qFormat/>
    <w:uiPriority w:val="0"/>
    <w:pPr>
      <w:spacing w:line="240" w:lineRule="auto"/>
      <w:ind w:firstLine="0" w:firstLineChars="0"/>
    </w:pPr>
    <w:rPr>
      <w:rFonts w:ascii="宋体" w:hAnsi="Courier New" w:eastAsia="宋体"/>
      <w:sz w:val="21"/>
      <w:szCs w:val="20"/>
    </w:rPr>
  </w:style>
  <w:style w:type="paragraph" w:styleId="11">
    <w:name w:val="Date"/>
    <w:basedOn w:val="1"/>
    <w:next w:val="1"/>
    <w:link w:val="50"/>
    <w:qFormat/>
    <w:uiPriority w:val="0"/>
    <w:pPr>
      <w:ind w:left="100" w:leftChars="25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spacing w:line="240" w:lineRule="auto"/>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qFormat/>
    <w:uiPriority w:val="39"/>
  </w:style>
  <w:style w:type="paragraph" w:styleId="16">
    <w:name w:val="Subtitle"/>
    <w:basedOn w:val="1"/>
    <w:next w:val="1"/>
    <w:link w:val="28"/>
    <w:qFormat/>
    <w:uiPriority w:val="0"/>
    <w:pPr>
      <w:spacing w:before="240" w:after="60" w:line="312" w:lineRule="auto"/>
      <w:jc w:val="center"/>
      <w:outlineLvl w:val="1"/>
    </w:pPr>
    <w:rPr>
      <w:rFonts w:ascii="Cambria" w:hAnsi="Cambria" w:eastAsia="宋体"/>
      <w:b/>
      <w:bCs/>
      <w:kern w:val="28"/>
      <w:sz w:val="32"/>
      <w:szCs w:val="32"/>
    </w:rPr>
  </w:style>
  <w:style w:type="paragraph" w:styleId="17">
    <w:name w:val="Body Text Indent 3"/>
    <w:basedOn w:val="1"/>
    <w:link w:val="37"/>
    <w:unhideWhenUsed/>
    <w:qFormat/>
    <w:uiPriority w:val="99"/>
    <w:pPr>
      <w:spacing w:after="120"/>
      <w:ind w:left="420" w:leftChars="200"/>
    </w:pPr>
    <w:rPr>
      <w:kern w:val="0"/>
      <w:sz w:val="16"/>
      <w:szCs w:val="16"/>
    </w:rPr>
  </w:style>
  <w:style w:type="paragraph" w:styleId="18">
    <w:name w:val="toc 2"/>
    <w:basedOn w:val="1"/>
    <w:next w:val="1"/>
    <w:qFormat/>
    <w:uiPriority w:val="39"/>
    <w:pPr>
      <w:ind w:left="420" w:leftChars="200"/>
    </w:p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Title"/>
    <w:basedOn w:val="1"/>
    <w:next w:val="1"/>
    <w:qFormat/>
    <w:uiPriority w:val="0"/>
    <w:pPr>
      <w:spacing w:before="240" w:after="60"/>
      <w:jc w:val="center"/>
      <w:outlineLvl w:val="0"/>
    </w:pPr>
    <w:rPr>
      <w:rFonts w:ascii="Cambria" w:hAnsi="Cambria" w:eastAsia="宋体"/>
      <w:b/>
      <w:bCs/>
      <w:sz w:val="32"/>
      <w:szCs w:val="32"/>
    </w:rPr>
  </w:style>
  <w:style w:type="paragraph" w:styleId="21">
    <w:name w:val="annotation subject"/>
    <w:basedOn w:val="7"/>
    <w:next w:val="7"/>
    <w:qFormat/>
    <w:uiPriority w:val="0"/>
    <w:rPr>
      <w:b/>
      <w:bCs/>
    </w:rPr>
  </w:style>
  <w:style w:type="character" w:styleId="24">
    <w:name w:val="page number"/>
    <w:basedOn w:val="23"/>
    <w:qFormat/>
    <w:uiPriority w:val="0"/>
  </w:style>
  <w:style w:type="character" w:styleId="25">
    <w:name w:val="Hyperlink"/>
    <w:basedOn w:val="23"/>
    <w:qFormat/>
    <w:uiPriority w:val="99"/>
    <w:rPr>
      <w:color w:val="0000FF"/>
      <w:u w:val="single"/>
    </w:rPr>
  </w:style>
  <w:style w:type="character" w:styleId="26">
    <w:name w:val="annotation reference"/>
    <w:basedOn w:val="23"/>
    <w:qFormat/>
    <w:uiPriority w:val="0"/>
    <w:rPr>
      <w:sz w:val="21"/>
      <w:szCs w:val="21"/>
    </w:rPr>
  </w:style>
  <w:style w:type="character" w:customStyle="1" w:styleId="27">
    <w:name w:val="文档结构图 Char"/>
    <w:basedOn w:val="23"/>
    <w:link w:val="6"/>
    <w:qFormat/>
    <w:uiPriority w:val="0"/>
    <w:rPr>
      <w:rFonts w:ascii="宋体"/>
      <w:kern w:val="2"/>
      <w:sz w:val="18"/>
      <w:szCs w:val="18"/>
    </w:rPr>
  </w:style>
  <w:style w:type="character" w:customStyle="1" w:styleId="28">
    <w:name w:val="副标题 Char"/>
    <w:basedOn w:val="23"/>
    <w:link w:val="16"/>
    <w:qFormat/>
    <w:uiPriority w:val="0"/>
    <w:rPr>
      <w:rFonts w:ascii="Cambria" w:hAnsi="Cambria" w:cs="Times New Roman"/>
      <w:b/>
      <w:bCs/>
      <w:kern w:val="28"/>
      <w:sz w:val="32"/>
      <w:szCs w:val="32"/>
    </w:rPr>
  </w:style>
  <w:style w:type="character" w:customStyle="1" w:styleId="29">
    <w:name w:val="正文文本缩进 Char"/>
    <w:basedOn w:val="23"/>
    <w:link w:val="8"/>
    <w:qFormat/>
    <w:uiPriority w:val="0"/>
    <w:rPr>
      <w:rFonts w:eastAsia="宋体"/>
      <w:kern w:val="2"/>
      <w:sz w:val="21"/>
      <w:szCs w:val="24"/>
      <w:lang w:val="en-US" w:eastAsia="zh-CN" w:bidi="ar-SA"/>
    </w:rPr>
  </w:style>
  <w:style w:type="paragraph" w:customStyle="1" w:styleId="30">
    <w:name w:val="样式 标题 1 + 段前: 1 行 段后: 1 行"/>
    <w:basedOn w:val="2"/>
    <w:qFormat/>
    <w:uiPriority w:val="0"/>
    <w:rPr>
      <w:rFonts w:cs="宋体"/>
      <w:szCs w:val="20"/>
    </w:rPr>
  </w:style>
  <w:style w:type="paragraph" w:customStyle="1" w:styleId="31">
    <w:name w:val="正文文字缩进"/>
    <w:basedOn w:val="1"/>
    <w:qFormat/>
    <w:uiPriority w:val="0"/>
    <w:pPr>
      <w:spacing w:line="240" w:lineRule="auto"/>
      <w:ind w:firstLine="630" w:firstLineChars="0"/>
    </w:pPr>
    <w:rPr>
      <w:rFonts w:eastAsia="宋体"/>
      <w:sz w:val="32"/>
      <w:szCs w:val="20"/>
    </w:rPr>
  </w:style>
  <w:style w:type="paragraph" w:customStyle="1" w:styleId="32">
    <w:name w:val="样式 首行缩进:  2 字符"/>
    <w:basedOn w:val="1"/>
    <w:qFormat/>
    <w:uiPriority w:val="0"/>
    <w:pPr>
      <w:ind w:firstLine="480"/>
    </w:pPr>
    <w:rPr>
      <w:rFonts w:cs="宋体"/>
      <w:szCs w:val="20"/>
    </w:rPr>
  </w:style>
  <w:style w:type="paragraph" w:customStyle="1" w:styleId="33">
    <w:name w:val="样式7"/>
    <w:basedOn w:val="1"/>
    <w:qFormat/>
    <w:uiPriority w:val="0"/>
    <w:pPr>
      <w:ind w:firstLine="567"/>
    </w:pPr>
    <w:rPr>
      <w:rFonts w:ascii="仿宋_GB2312" w:eastAsia="仿宋_GB2312"/>
      <w:sz w:val="28"/>
      <w:lang w:val="zh-CN"/>
    </w:rPr>
  </w:style>
  <w:style w:type="paragraph" w:customStyle="1" w:styleId="34">
    <w:name w:val="Char1"/>
    <w:basedOn w:val="1"/>
    <w:qFormat/>
    <w:uiPriority w:val="0"/>
    <w:pPr>
      <w:spacing w:line="240" w:lineRule="auto"/>
      <w:ind w:firstLine="0" w:firstLineChars="0"/>
    </w:pPr>
    <w:rPr>
      <w:rFonts w:ascii="Tahoma" w:hAnsi="Tahoma" w:eastAsia="宋体"/>
      <w:szCs w:val="20"/>
    </w:rPr>
  </w:style>
  <w:style w:type="paragraph" w:customStyle="1" w:styleId="35">
    <w:name w:val="报告正文 Char"/>
    <w:basedOn w:val="1"/>
    <w:qFormat/>
    <w:uiPriority w:val="0"/>
    <w:pPr>
      <w:spacing w:line="336" w:lineRule="auto"/>
      <w:ind w:left="2603"/>
    </w:pPr>
    <w:rPr>
      <w:rFonts w:ascii="华文细黑" w:eastAsia="华文细黑" w:cs="宋体"/>
      <w:sz w:val="22"/>
    </w:rPr>
  </w:style>
  <w:style w:type="character" w:customStyle="1" w:styleId="36">
    <w:name w:val="正文文本缩进 3 Char"/>
    <w:basedOn w:val="23"/>
    <w:qFormat/>
    <w:uiPriority w:val="99"/>
    <w:rPr>
      <w:rFonts w:eastAsia="Times New Roman"/>
      <w:sz w:val="16"/>
      <w:szCs w:val="16"/>
    </w:rPr>
  </w:style>
  <w:style w:type="character" w:customStyle="1" w:styleId="37">
    <w:name w:val="正文文本缩进 3 Char1"/>
    <w:basedOn w:val="23"/>
    <w:link w:val="17"/>
    <w:qFormat/>
    <w:uiPriority w:val="0"/>
    <w:rPr>
      <w:rFonts w:eastAsia="Times New Roman"/>
      <w:kern w:val="2"/>
      <w:sz w:val="16"/>
      <w:szCs w:val="16"/>
    </w:rPr>
  </w:style>
  <w:style w:type="paragraph" w:customStyle="1" w:styleId="38">
    <w:name w:val="列出段落1"/>
    <w:basedOn w:val="1"/>
    <w:unhideWhenUsed/>
    <w:qFormat/>
    <w:uiPriority w:val="99"/>
    <w:pPr>
      <w:ind w:firstLine="420"/>
    </w:pPr>
  </w:style>
  <w:style w:type="paragraph" w:customStyle="1" w:styleId="39">
    <w:name w:val="zw"/>
    <w:basedOn w:val="1"/>
    <w:qFormat/>
    <w:uiPriority w:val="0"/>
    <w:pPr>
      <w:autoSpaceDE w:val="0"/>
      <w:autoSpaceDN w:val="0"/>
      <w:adjustRightInd w:val="0"/>
      <w:ind w:firstLine="482" w:firstLineChars="0"/>
      <w:textAlignment w:val="bottom"/>
    </w:pPr>
    <w:rPr>
      <w:rFonts w:ascii="Arial Narrow" w:hAnsi="Arial Narrow" w:eastAsia="幼圆"/>
      <w:kern w:val="0"/>
      <w:szCs w:val="20"/>
    </w:rPr>
  </w:style>
  <w:style w:type="paragraph" w:customStyle="1" w:styleId="40">
    <w:name w:val="列出段落11"/>
    <w:basedOn w:val="1"/>
    <w:unhideWhenUsed/>
    <w:qFormat/>
    <w:uiPriority w:val="99"/>
    <w:pPr>
      <w:ind w:firstLine="420"/>
    </w:pPr>
  </w:style>
  <w:style w:type="character" w:customStyle="1" w:styleId="41">
    <w:name w:val="标题 2 Char"/>
    <w:link w:val="3"/>
    <w:qFormat/>
    <w:uiPriority w:val="0"/>
    <w:rPr>
      <w:b/>
      <w:bCs/>
      <w:sz w:val="32"/>
      <w:szCs w:val="32"/>
    </w:rPr>
  </w:style>
  <w:style w:type="character" w:customStyle="1" w:styleId="42">
    <w:name w:val="font21"/>
    <w:basedOn w:val="23"/>
    <w:qFormat/>
    <w:uiPriority w:val="0"/>
    <w:rPr>
      <w:rFonts w:hint="eastAsia" w:ascii="宋体" w:hAnsi="宋体" w:eastAsia="宋体" w:cs="宋体"/>
      <w:b/>
      <w:color w:val="000000"/>
      <w:sz w:val="20"/>
      <w:szCs w:val="20"/>
      <w:u w:val="none"/>
      <w:vertAlign w:val="superscript"/>
    </w:rPr>
  </w:style>
  <w:style w:type="character" w:customStyle="1" w:styleId="43">
    <w:name w:val="font51"/>
    <w:basedOn w:val="23"/>
    <w:qFormat/>
    <w:uiPriority w:val="0"/>
    <w:rPr>
      <w:rFonts w:hint="default" w:ascii="Arial Narrow" w:hAnsi="Arial Narrow" w:eastAsia="Arial Narrow" w:cs="Arial Narrow"/>
      <w:color w:val="000000"/>
      <w:sz w:val="20"/>
      <w:szCs w:val="20"/>
      <w:u w:val="none"/>
    </w:rPr>
  </w:style>
  <w:style w:type="character" w:customStyle="1" w:styleId="44">
    <w:name w:val="font01"/>
    <w:basedOn w:val="23"/>
    <w:qFormat/>
    <w:uiPriority w:val="0"/>
    <w:rPr>
      <w:rFonts w:hint="eastAsia" w:ascii="宋体" w:hAnsi="宋体" w:eastAsia="宋体"/>
      <w:color w:val="000000"/>
      <w:sz w:val="20"/>
      <w:szCs w:val="20"/>
      <w:u w:val="none"/>
    </w:rPr>
  </w:style>
  <w:style w:type="character" w:customStyle="1" w:styleId="45">
    <w:name w:val="font71"/>
    <w:basedOn w:val="23"/>
    <w:qFormat/>
    <w:uiPriority w:val="0"/>
    <w:rPr>
      <w:rFonts w:hint="default" w:ascii="Arial Narrow" w:hAnsi="Arial Narrow"/>
      <w:color w:val="000000"/>
      <w:sz w:val="20"/>
      <w:szCs w:val="20"/>
      <w:u w:val="none"/>
    </w:rPr>
  </w:style>
  <w:style w:type="paragraph" w:customStyle="1" w:styleId="46">
    <w:name w:val="列出段落2"/>
    <w:basedOn w:val="1"/>
    <w:unhideWhenUsed/>
    <w:qFormat/>
    <w:uiPriority w:val="99"/>
    <w:pPr>
      <w:ind w:firstLine="420"/>
    </w:pPr>
  </w:style>
  <w:style w:type="character" w:customStyle="1" w:styleId="47">
    <w:name w:val="font31"/>
    <w:basedOn w:val="23"/>
    <w:qFormat/>
    <w:uiPriority w:val="0"/>
    <w:rPr>
      <w:rFonts w:hint="default" w:ascii="Times New Roman" w:hAnsi="Times New Roman" w:cs="Times New Roman"/>
      <w:b/>
      <w:bCs/>
      <w:color w:val="000000"/>
      <w:sz w:val="18"/>
      <w:szCs w:val="18"/>
      <w:u w:val="none"/>
    </w:rPr>
  </w:style>
  <w:style w:type="character" w:customStyle="1" w:styleId="48">
    <w:name w:val="font61"/>
    <w:basedOn w:val="23"/>
    <w:qFormat/>
    <w:uiPriority w:val="0"/>
    <w:rPr>
      <w:rFonts w:hint="default" w:ascii="Times New Roman" w:hAnsi="Times New Roman" w:cs="Times New Roman"/>
      <w:b/>
      <w:bCs/>
      <w:color w:val="000000"/>
      <w:sz w:val="18"/>
      <w:szCs w:val="18"/>
      <w:u w:val="none"/>
    </w:rPr>
  </w:style>
  <w:style w:type="character" w:customStyle="1" w:styleId="49">
    <w:name w:val="font11"/>
    <w:basedOn w:val="23"/>
    <w:qFormat/>
    <w:uiPriority w:val="0"/>
    <w:rPr>
      <w:rFonts w:hint="eastAsia" w:ascii="宋体" w:hAnsi="宋体" w:eastAsia="宋体" w:cs="宋体"/>
      <w:color w:val="000000"/>
      <w:sz w:val="18"/>
      <w:szCs w:val="18"/>
      <w:u w:val="none"/>
    </w:rPr>
  </w:style>
  <w:style w:type="character" w:customStyle="1" w:styleId="50">
    <w:name w:val="日期 Char"/>
    <w:basedOn w:val="23"/>
    <w:link w:val="11"/>
    <w:qFormat/>
    <w:uiPriority w:val="0"/>
    <w:rPr>
      <w:rFonts w:eastAsia="Times New Roman"/>
      <w:kern w:val="2"/>
      <w:sz w:val="24"/>
      <w:szCs w:val="24"/>
    </w:rPr>
  </w:style>
  <w:style w:type="paragraph" w:styleId="51">
    <w:name w:val="List Paragraph"/>
    <w:basedOn w:val="1"/>
    <w:qFormat/>
    <w:uiPriority w:val="99"/>
    <w:pPr>
      <w:ind w:firstLine="420"/>
    </w:pPr>
  </w:style>
  <w:style w:type="paragraph" w:customStyle="1" w:styleId="52">
    <w:name w:val="Table Paragraph"/>
    <w:basedOn w:val="1"/>
    <w:qFormat/>
    <w:uiPriority w:val="1"/>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jpeg"/><Relationship Id="rId23" Type="http://schemas.openxmlformats.org/officeDocument/2006/relationships/image" Target="media/image7.jpeg"/><Relationship Id="rId22" Type="http://schemas.openxmlformats.org/officeDocument/2006/relationships/image" Target="media/image6.jpe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84A0A-801A-47A8-8CF2-F9553C29A9FC}">
  <ds:schemaRefs/>
</ds:datastoreItem>
</file>

<file path=docProps/app.xml><?xml version="1.0" encoding="utf-8"?>
<Properties xmlns="http://schemas.openxmlformats.org/officeDocument/2006/extended-properties" xmlns:vt="http://schemas.openxmlformats.org/officeDocument/2006/docPropsVTypes">
  <Template>Normal.dotm</Template>
  <Company>wuyalin</Company>
  <Pages>28</Pages>
  <Words>2572</Words>
  <Characters>14661</Characters>
  <Lines>122</Lines>
  <Paragraphs>34</Paragraphs>
  <TotalTime>34</TotalTime>
  <ScaleCrop>false</ScaleCrop>
  <LinksUpToDate>false</LinksUpToDate>
  <CharactersWithSpaces>17199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2018-03-21T01:41:00Z</dcterms:created>
  <dc:creator>吴亚琳</dc:creator>
  <cp:lastModifiedBy>鱼目珍珠☞</cp:lastModifiedBy>
  <cp:lastPrinted>2019-07-31T01:55:25Z</cp:lastPrinted>
  <dcterms:modified xsi:type="dcterms:W3CDTF">2019-07-31T02:24:14Z</dcterms:modified>
  <dc:title>×××公司×××项目资产评估报告书</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