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hAnsi="楷体_GB2312" w:eastAsia="楷体_GB2312" w:cs="楷体_GB2312"/>
          <w:spacing w:val="60"/>
          <w:sz w:val="48"/>
        </w:rPr>
      </w:pPr>
    </w:p>
    <w:p>
      <w:pPr>
        <w:jc w:val="center"/>
        <w:rPr>
          <w:rFonts w:ascii="楷体_GB2312" w:hAnsi="楷体_GB2312" w:eastAsia="楷体_GB2312" w:cs="楷体_GB2312"/>
          <w:spacing w:val="60"/>
          <w:sz w:val="48"/>
        </w:rPr>
      </w:pPr>
    </w:p>
    <w:p>
      <w:pPr>
        <w:jc w:val="center"/>
        <w:rPr>
          <w:rFonts w:ascii="楷体_GB2312" w:hAnsi="楷体_GB2312" w:eastAsia="楷体_GB2312" w:cs="楷体_GB2312"/>
          <w:spacing w:val="60"/>
          <w:sz w:val="28"/>
          <w:szCs w:val="28"/>
        </w:rPr>
      </w:pPr>
    </w:p>
    <w:p>
      <w:pPr>
        <w:jc w:val="center"/>
        <w:rPr>
          <w:rFonts w:ascii="楷体_GB2312" w:hAnsi="楷体_GB2312" w:eastAsia="楷体_GB2312" w:cs="楷体_GB2312"/>
          <w:spacing w:val="60"/>
          <w:sz w:val="28"/>
          <w:szCs w:val="28"/>
        </w:rPr>
      </w:pPr>
    </w:p>
    <w:p>
      <w:pPr>
        <w:jc w:val="center"/>
        <w:rPr>
          <w:rFonts w:ascii="楷体_GB2312" w:hAnsi="楷体_GB2312" w:eastAsia="楷体_GB2312" w:cs="楷体_GB2312"/>
          <w:b/>
          <w:spacing w:val="60"/>
          <w:sz w:val="84"/>
          <w:szCs w:val="84"/>
        </w:rPr>
      </w:pPr>
      <w:r>
        <w:rPr>
          <w:rFonts w:hint="eastAsia" w:ascii="楷体_GB2312" w:hAnsi="楷体_GB2312" w:eastAsia="楷体_GB2312" w:cs="楷体_GB2312"/>
          <w:b/>
          <w:spacing w:val="60"/>
          <w:sz w:val="84"/>
          <w:szCs w:val="84"/>
        </w:rPr>
        <w:t xml:space="preserve"> 涉执房地产处置司法评估报告</w:t>
      </w:r>
    </w:p>
    <w:p>
      <w:pPr>
        <w:tabs>
          <w:tab w:val="left" w:pos="540"/>
          <w:tab w:val="left" w:pos="1980"/>
        </w:tabs>
        <w:ind w:left="1523" w:hanging="622"/>
        <w:rPr>
          <w:rFonts w:ascii="楷体_GB2312" w:hAnsi="楷体_GB2312" w:eastAsia="楷体_GB2312" w:cs="楷体_GB2312"/>
          <w:bCs/>
          <w:sz w:val="28"/>
          <w:szCs w:val="28"/>
        </w:rPr>
      </w:pPr>
    </w:p>
    <w:p>
      <w:pPr>
        <w:tabs>
          <w:tab w:val="left" w:pos="540"/>
          <w:tab w:val="left" w:pos="1980"/>
        </w:tabs>
        <w:ind w:left="1523" w:hanging="622"/>
        <w:rPr>
          <w:rFonts w:ascii="楷体_GB2312" w:hAnsi="楷体_GB2312" w:eastAsia="楷体_GB2312" w:cs="楷体_GB2312"/>
          <w:bCs/>
          <w:sz w:val="28"/>
          <w:szCs w:val="28"/>
        </w:rPr>
      </w:pPr>
    </w:p>
    <w:p>
      <w:pPr>
        <w:tabs>
          <w:tab w:val="left" w:pos="540"/>
          <w:tab w:val="left" w:pos="1980"/>
        </w:tabs>
        <w:rPr>
          <w:rFonts w:ascii="楷体_GB2312" w:hAnsi="楷体_GB2312" w:eastAsia="楷体_GB2312" w:cs="楷体_GB2312"/>
          <w:bCs/>
          <w:sz w:val="28"/>
          <w:szCs w:val="28"/>
        </w:rPr>
      </w:pPr>
    </w:p>
    <w:p>
      <w:pPr>
        <w:tabs>
          <w:tab w:val="left" w:pos="540"/>
          <w:tab w:val="left" w:pos="1980"/>
        </w:tabs>
        <w:ind w:left="3402" w:hanging="2501"/>
        <w:rPr>
          <w:rFonts w:ascii="楷体_GB2312" w:hAnsi="楷体_GB2312" w:eastAsia="楷体_GB2312" w:cs="楷体_GB2312"/>
          <w:b/>
          <w:bCs/>
          <w:sz w:val="32"/>
        </w:rPr>
      </w:pPr>
      <w:r>
        <w:rPr>
          <w:rFonts w:hint="eastAsia" w:ascii="楷体_GB2312" w:hAnsi="楷体_GB2312" w:eastAsia="楷体_GB2312" w:cs="楷体_GB2312"/>
          <w:b/>
          <w:bCs/>
          <w:sz w:val="32"/>
        </w:rPr>
        <w:t>项  目  名  称：遵义市红花岗区人民法院</w:t>
      </w:r>
      <w:r>
        <w:rPr>
          <w:rFonts w:hint="eastAsia" w:ascii="楷体_GB2312" w:hAnsi="楷体_GB2312" w:eastAsia="楷体_GB2312" w:cs="楷体_GB2312"/>
          <w:b/>
          <w:bCs/>
          <w:sz w:val="32"/>
          <w:szCs w:val="32"/>
        </w:rPr>
        <w:t>委托的位于红花岗区遵义国际商贸城二期还房小区4号楼二单元18楼1-A和1-B共计两套住宅用途房地产确定财产处置参考价评估报告</w:t>
      </w:r>
    </w:p>
    <w:p>
      <w:pPr>
        <w:tabs>
          <w:tab w:val="left" w:pos="540"/>
          <w:tab w:val="left" w:pos="1980"/>
        </w:tabs>
        <w:ind w:left="2202" w:hanging="1301"/>
        <w:rPr>
          <w:rFonts w:ascii="楷体_GB2312" w:hAnsi="楷体_GB2312" w:eastAsia="楷体_GB2312" w:cs="楷体_GB2312"/>
          <w:bCs/>
          <w:sz w:val="28"/>
          <w:szCs w:val="28"/>
        </w:rPr>
      </w:pPr>
      <w:r>
        <w:rPr>
          <w:rFonts w:hint="eastAsia" w:ascii="楷体_GB2312" w:hAnsi="楷体_GB2312" w:eastAsia="楷体_GB2312" w:cs="楷体_GB2312"/>
          <w:b/>
          <w:bCs/>
          <w:sz w:val="32"/>
        </w:rPr>
        <w:t>估 价 委 托 方：</w:t>
      </w:r>
      <w:r>
        <w:rPr>
          <w:rFonts w:hint="eastAsia" w:ascii="楷体_GB2312" w:hAnsi="楷体_GB2312" w:eastAsia="楷体_GB2312" w:cs="楷体_GB2312"/>
          <w:bCs/>
          <w:sz w:val="28"/>
          <w:szCs w:val="28"/>
        </w:rPr>
        <w:t>遵义市红花岗区人民法院</w:t>
      </w:r>
    </w:p>
    <w:p>
      <w:pPr>
        <w:tabs>
          <w:tab w:val="left" w:pos="540"/>
          <w:tab w:val="left" w:pos="1980"/>
        </w:tabs>
        <w:ind w:left="2202" w:hanging="1301"/>
        <w:rPr>
          <w:rFonts w:ascii="楷体_GB2312" w:hAnsi="楷体_GB2312" w:eastAsia="楷体_GB2312" w:cs="楷体_GB2312"/>
          <w:sz w:val="32"/>
        </w:rPr>
      </w:pPr>
      <w:r>
        <w:rPr>
          <w:rFonts w:hint="eastAsia" w:ascii="楷体_GB2312" w:hAnsi="楷体_GB2312" w:eastAsia="楷体_GB2312" w:cs="楷体_GB2312"/>
          <w:b/>
          <w:bCs/>
          <w:sz w:val="32"/>
        </w:rPr>
        <w:t>房地产评估机构</w:t>
      </w:r>
      <w:r>
        <w:rPr>
          <w:rFonts w:hint="eastAsia" w:ascii="楷体_GB2312" w:hAnsi="楷体_GB2312" w:eastAsia="楷体_GB2312" w:cs="楷体_GB2312"/>
          <w:bCs/>
          <w:sz w:val="32"/>
        </w:rPr>
        <w:t>：</w:t>
      </w:r>
      <w:r>
        <w:rPr>
          <w:rFonts w:hint="eastAsia" w:ascii="楷体_GB2312" w:hAnsi="楷体_GB2312" w:eastAsia="楷体_GB2312" w:cs="楷体_GB2312"/>
          <w:bCs/>
          <w:sz w:val="28"/>
          <w:szCs w:val="28"/>
        </w:rPr>
        <w:t>贵州众志天和房地产评估事务有限公司</w:t>
      </w:r>
    </w:p>
    <w:p>
      <w:pPr>
        <w:tabs>
          <w:tab w:val="left" w:pos="540"/>
          <w:tab w:val="left" w:pos="1980"/>
        </w:tabs>
        <w:ind w:left="2202" w:hanging="1301"/>
        <w:rPr>
          <w:rFonts w:ascii="楷体_GB2312" w:hAnsi="楷体_GB2312" w:eastAsia="楷体_GB2312" w:cs="楷体_GB2312"/>
          <w:bCs/>
          <w:sz w:val="28"/>
          <w:szCs w:val="28"/>
        </w:rPr>
      </w:pPr>
      <w:r>
        <w:rPr>
          <w:rFonts w:hint="eastAsia" w:ascii="楷体_GB2312" w:hAnsi="楷体_GB2312" w:eastAsia="楷体_GB2312" w:cs="楷体_GB2312"/>
          <w:b/>
          <w:bCs/>
          <w:sz w:val="32"/>
        </w:rPr>
        <w:t>房地产估价人员：</w:t>
      </w:r>
      <w:r>
        <w:rPr>
          <w:rFonts w:hint="eastAsia" w:ascii="楷体_GB2312" w:hAnsi="楷体_GB2312" w:eastAsia="楷体_GB2312" w:cs="楷体_GB2312"/>
          <w:bCs/>
          <w:sz w:val="28"/>
          <w:szCs w:val="28"/>
        </w:rPr>
        <w:t>高颖昕 （注册号：5220040003）</w:t>
      </w:r>
    </w:p>
    <w:p>
      <w:pPr>
        <w:tabs>
          <w:tab w:val="left" w:pos="540"/>
          <w:tab w:val="left" w:pos="1980"/>
        </w:tabs>
        <w:ind w:firstLine="3500" w:firstLineChars="1250"/>
        <w:rPr>
          <w:rFonts w:ascii="楷体_GB2312" w:hAnsi="楷体_GB2312" w:eastAsia="楷体_GB2312" w:cs="楷体_GB2312"/>
          <w:bCs/>
          <w:sz w:val="28"/>
          <w:szCs w:val="28"/>
        </w:rPr>
      </w:pPr>
      <w:r>
        <w:rPr>
          <w:rFonts w:hint="eastAsia" w:ascii="楷体_GB2312" w:hAnsi="楷体_GB2312" w:eastAsia="楷体_GB2312" w:cs="楷体_GB2312"/>
          <w:bCs/>
          <w:sz w:val="28"/>
          <w:szCs w:val="28"/>
        </w:rPr>
        <w:t>徐德雨 （注册号：5220020016）</w:t>
      </w:r>
    </w:p>
    <w:p>
      <w:pPr>
        <w:tabs>
          <w:tab w:val="left" w:pos="540"/>
          <w:tab w:val="left" w:pos="1980"/>
        </w:tabs>
        <w:ind w:left="2202" w:hanging="1301"/>
        <w:rPr>
          <w:rFonts w:ascii="楷体_GB2312" w:hAnsi="楷体_GB2312" w:eastAsia="楷体_GB2312" w:cs="楷体_GB2312"/>
          <w:bCs/>
          <w:spacing w:val="-10"/>
          <w:sz w:val="28"/>
          <w:szCs w:val="28"/>
        </w:rPr>
      </w:pPr>
      <w:r>
        <w:rPr>
          <w:rFonts w:hint="eastAsia" w:ascii="楷体_GB2312" w:hAnsi="楷体_GB2312" w:eastAsia="楷体_GB2312" w:cs="楷体_GB2312"/>
          <w:b/>
          <w:bCs/>
          <w:sz w:val="32"/>
        </w:rPr>
        <w:t>估价作业日期：</w:t>
      </w:r>
      <w:r>
        <w:rPr>
          <w:rFonts w:hint="eastAsia" w:ascii="楷体_GB2312" w:hAnsi="楷体_GB2312" w:eastAsia="楷体_GB2312" w:cs="楷体_GB2312"/>
          <w:bCs/>
          <w:spacing w:val="-10"/>
          <w:sz w:val="28"/>
          <w:szCs w:val="28"/>
        </w:rPr>
        <w:t>二○一九年六月十九日至二○一九年七月一日</w:t>
      </w:r>
    </w:p>
    <w:p>
      <w:pPr>
        <w:tabs>
          <w:tab w:val="left" w:pos="540"/>
          <w:tab w:val="left" w:pos="1980"/>
        </w:tabs>
        <w:ind w:left="2202" w:hanging="1301"/>
        <w:rPr>
          <w:rFonts w:ascii="楷体_GB2312" w:hAnsi="楷体_GB2312" w:eastAsia="楷体_GB2312" w:cs="楷体_GB2312"/>
          <w:bCs/>
          <w:spacing w:val="-10"/>
          <w:sz w:val="28"/>
          <w:szCs w:val="28"/>
        </w:rPr>
      </w:pPr>
      <w:r>
        <w:rPr>
          <w:rFonts w:hint="eastAsia" w:ascii="楷体_GB2312" w:hAnsi="楷体_GB2312" w:eastAsia="楷体_GB2312" w:cs="楷体_GB2312"/>
          <w:b/>
          <w:bCs/>
          <w:sz w:val="32"/>
        </w:rPr>
        <w:t>估价报告编号：</w:t>
      </w:r>
      <w:r>
        <w:rPr>
          <w:rFonts w:hint="eastAsia" w:ascii="楷体_GB2312" w:hAnsi="楷体_GB2312" w:eastAsia="楷体_GB2312" w:cs="楷体_GB2312"/>
          <w:bCs/>
          <w:spacing w:val="-10"/>
          <w:sz w:val="28"/>
          <w:szCs w:val="28"/>
        </w:rPr>
        <w:t>黔众志天和房评字（2019）第</w:t>
      </w:r>
      <w:r>
        <w:rPr>
          <w:rFonts w:ascii="楷体_GB2312" w:hAnsi="楷体_GB2312" w:eastAsia="楷体_GB2312" w:cs="楷体_GB2312"/>
          <w:bCs/>
          <w:spacing w:val="-10"/>
          <w:sz w:val="28"/>
          <w:szCs w:val="28"/>
        </w:rPr>
        <w:t>A-024</w:t>
      </w:r>
      <w:r>
        <w:rPr>
          <w:rFonts w:hint="eastAsia" w:ascii="楷体_GB2312" w:hAnsi="楷体_GB2312" w:eastAsia="楷体_GB2312" w:cs="楷体_GB2312"/>
          <w:bCs/>
          <w:spacing w:val="-10"/>
          <w:sz w:val="28"/>
          <w:szCs w:val="28"/>
        </w:rPr>
        <w:t>号</w:t>
      </w:r>
    </w:p>
    <w:p>
      <w:pPr>
        <w:tabs>
          <w:tab w:val="left" w:pos="540"/>
          <w:tab w:val="left" w:pos="1980"/>
        </w:tabs>
        <w:rPr>
          <w:rFonts w:ascii="楷体_GB2312" w:hAnsi="楷体_GB2312" w:eastAsia="楷体_GB2312" w:cs="楷体_GB2312"/>
          <w:bCs/>
          <w:spacing w:val="-10"/>
          <w:sz w:val="28"/>
          <w:szCs w:val="28"/>
        </w:rPr>
      </w:pPr>
    </w:p>
    <w:p>
      <w:pPr>
        <w:tabs>
          <w:tab w:val="left" w:pos="540"/>
          <w:tab w:val="left" w:pos="1980"/>
        </w:tabs>
        <w:rPr>
          <w:rFonts w:ascii="楷体_GB2312" w:hAnsi="楷体_GB2312" w:eastAsia="楷体_GB2312" w:cs="楷体_GB2312"/>
          <w:bCs/>
          <w:spacing w:val="-10"/>
          <w:sz w:val="28"/>
          <w:szCs w:val="28"/>
        </w:rPr>
      </w:pPr>
    </w:p>
    <w:p>
      <w:pPr>
        <w:spacing w:line="560" w:lineRule="atLeast"/>
        <w:rPr>
          <w:rFonts w:ascii="楷体_GB2312" w:hAnsi="楷体_GB2312" w:eastAsia="楷体_GB2312" w:cs="楷体_GB2312"/>
        </w:rPr>
      </w:pPr>
      <w:bookmarkStart w:id="0" w:name="_Toc430596956"/>
      <w:bookmarkStart w:id="1" w:name="_Toc430597169"/>
    </w:p>
    <w:p>
      <w:pPr>
        <w:pStyle w:val="3"/>
        <w:spacing w:line="560" w:lineRule="exact"/>
        <w:ind w:firstLine="0"/>
        <w:rPr>
          <w:rFonts w:ascii="楷体_GB2312" w:hAnsi="楷体_GB2312" w:eastAsia="楷体_GB2312" w:cs="楷体_GB2312"/>
          <w:sz w:val="72"/>
          <w:szCs w:val="72"/>
        </w:rPr>
      </w:pPr>
      <w:bookmarkStart w:id="2" w:name="_Toc438069497"/>
      <w:bookmarkStart w:id="3" w:name="_Toc6858"/>
      <w:r>
        <w:rPr>
          <w:rFonts w:hint="eastAsia" w:ascii="楷体_GB2312" w:hAnsi="楷体_GB2312" w:eastAsia="楷体_GB2312" w:cs="楷体_GB2312"/>
          <w:sz w:val="72"/>
          <w:szCs w:val="72"/>
        </w:rPr>
        <w:t>致估价委托人函</w:t>
      </w:r>
      <w:bookmarkEnd w:id="0"/>
      <w:bookmarkEnd w:id="1"/>
      <w:bookmarkEnd w:id="2"/>
      <w:bookmarkEnd w:id="3"/>
    </w:p>
    <w:p>
      <w:pPr>
        <w:spacing w:line="540" w:lineRule="exact"/>
        <w:contextualSpacing/>
        <w:rPr>
          <w:rFonts w:ascii="楷体_GB2312" w:hAnsi="楷体_GB2312" w:eastAsia="楷体_GB2312" w:cs="楷体_GB2312"/>
          <w:b/>
          <w:sz w:val="32"/>
          <w:szCs w:val="32"/>
        </w:rPr>
      </w:pPr>
      <w:r>
        <w:rPr>
          <w:rFonts w:hint="eastAsia" w:ascii="楷体_GB2312" w:hAnsi="楷体_GB2312" w:eastAsia="楷体_GB2312" w:cs="楷体_GB2312"/>
          <w:b/>
          <w:bCs/>
          <w:sz w:val="32"/>
          <w:szCs w:val="32"/>
        </w:rPr>
        <w:t>遵义市红花岗区人民法院</w:t>
      </w:r>
      <w:r>
        <w:rPr>
          <w:rFonts w:hint="eastAsia" w:ascii="楷体_GB2312" w:hAnsi="楷体_GB2312" w:eastAsia="楷体_GB2312" w:cs="楷体_GB2312"/>
          <w:b/>
          <w:sz w:val="32"/>
          <w:szCs w:val="32"/>
        </w:rPr>
        <w:t>：</w:t>
      </w:r>
    </w:p>
    <w:p>
      <w:pPr>
        <w:spacing w:line="540" w:lineRule="exact"/>
        <w:ind w:firstLine="560" w:firstLineChars="200"/>
        <w:rPr>
          <w:rFonts w:ascii="楷体_GB2312" w:hAnsi="楷体_GB2312" w:eastAsia="楷体_GB2312" w:cs="楷体_GB2312"/>
          <w:b/>
          <w:i/>
          <w:sz w:val="28"/>
          <w:szCs w:val="28"/>
        </w:rPr>
      </w:pPr>
      <w:bookmarkStart w:id="4" w:name="_Toc320615921"/>
      <w:bookmarkStart w:id="5" w:name="_Toc286433139"/>
      <w:bookmarkStart w:id="6" w:name="_Toc430596957"/>
      <w:r>
        <w:rPr>
          <w:rFonts w:hint="eastAsia" w:ascii="楷体_GB2312" w:hAnsi="楷体_GB2312" w:eastAsia="楷体_GB2312" w:cs="楷体_GB2312"/>
          <w:sz w:val="28"/>
          <w:szCs w:val="28"/>
        </w:rPr>
        <w:t>本公司接受贵院的委托，我们对位于红花岗区遵义国际商贸城二期还房小区4号楼二单元18楼1-A和1-B共计两套</w:t>
      </w:r>
      <w:r>
        <w:rPr>
          <w:rFonts w:hint="eastAsia" w:ascii="楷体_GB2312" w:hAnsi="楷体_GB2312" w:eastAsia="楷体_GB2312" w:cs="楷体_GB2312"/>
          <w:bCs/>
          <w:sz w:val="28"/>
          <w:szCs w:val="28"/>
        </w:rPr>
        <w:t>住宅用途房地产（总建筑面积为229.36平方米）及其对应的分摊土地使用权</w:t>
      </w:r>
      <w:r>
        <w:rPr>
          <w:rFonts w:hint="eastAsia" w:ascii="楷体_GB2312" w:hAnsi="楷体_GB2312" w:eastAsia="楷体_GB2312" w:cs="楷体_GB2312"/>
          <w:sz w:val="28"/>
          <w:szCs w:val="28"/>
        </w:rPr>
        <w:t>的</w:t>
      </w:r>
      <w:r>
        <w:rPr>
          <w:rFonts w:hint="eastAsia" w:ascii="楷体_GB2312" w:hAnsi="楷体_GB2312" w:eastAsia="楷体_GB2312" w:cs="楷体_GB2312"/>
          <w:sz w:val="28"/>
        </w:rPr>
        <w:t>公开市场价值</w:t>
      </w:r>
      <w:r>
        <w:rPr>
          <w:rFonts w:hint="eastAsia" w:ascii="楷体_GB2312" w:hAnsi="楷体_GB2312" w:eastAsia="楷体_GB2312" w:cs="楷体_GB2312"/>
          <w:sz w:val="28"/>
          <w:szCs w:val="28"/>
        </w:rPr>
        <w:t>进行了评估。估价目的是为委托方了解财产处置参考价提供价值参考依据而评估房地产公开市场价值。经过实地查勘和市场调查，遵照《中华人民共和国房地产管理法》、国家标准《房地产估价规范》、有关法律法规和技术标准和我公司掌握的房地产市场资料和长期积累的房地产估价经验，结合委托方提供的资料和本次评估的估价目的，遵循独立、客观、公正、合法、谨慎的原则，按照估价程序，选取市场比较法和收益法，综合分析影响房地产价格的各项因素进行评定、估算，估价对象</w:t>
      </w:r>
      <w:bookmarkEnd w:id="4"/>
      <w:bookmarkEnd w:id="5"/>
      <w:r>
        <w:rPr>
          <w:rFonts w:hint="eastAsia" w:ascii="楷体_GB2312" w:hAnsi="楷体_GB2312" w:eastAsia="楷体_GB2312" w:cs="楷体_GB2312"/>
          <w:sz w:val="28"/>
          <w:szCs w:val="28"/>
        </w:rPr>
        <w:t>在</w:t>
      </w:r>
      <w:bookmarkEnd w:id="6"/>
      <w:bookmarkStart w:id="7" w:name="_Toc430596958"/>
      <w:r>
        <w:rPr>
          <w:rFonts w:hint="eastAsia" w:ascii="楷体_GB2312" w:hAnsi="楷体_GB2312" w:eastAsia="楷体_GB2312" w:cs="楷体_GB2312"/>
          <w:b/>
          <w:i/>
          <w:sz w:val="28"/>
          <w:szCs w:val="28"/>
        </w:rPr>
        <w:t>二○一九年六月十九日</w:t>
      </w:r>
      <w:r>
        <w:rPr>
          <w:rFonts w:hint="eastAsia" w:ascii="楷体_GB2312" w:hAnsi="楷体_GB2312" w:eastAsia="楷体_GB2312" w:cs="楷体_GB2312"/>
          <w:bCs/>
          <w:iCs/>
          <w:sz w:val="28"/>
          <w:szCs w:val="28"/>
        </w:rPr>
        <w:t>在满足各项假设和限制条件的财产处置参考价为</w:t>
      </w:r>
      <w:r>
        <w:rPr>
          <w:rFonts w:hint="eastAsia" w:ascii="楷体_GB2312" w:hAnsi="楷体_GB2312" w:eastAsia="楷体_GB2312" w:cs="楷体_GB2312"/>
          <w:b/>
          <w:i/>
          <w:sz w:val="28"/>
          <w:szCs w:val="28"/>
        </w:rPr>
        <w:t>人民币86.2394万元（大写人民币</w:t>
      </w:r>
      <w:r>
        <w:rPr>
          <w:rFonts w:hint="eastAsia" w:ascii="楷体_GB2312" w:hAnsi="楷体_GB2312" w:eastAsia="楷体_GB2312" w:cs="楷体_GB2312"/>
          <w:b/>
          <w:i/>
          <w:sz w:val="28"/>
          <w:szCs w:val="28"/>
        </w:rPr>
        <w:fldChar w:fldCharType="begin"/>
      </w:r>
      <w:r>
        <w:rPr>
          <w:rFonts w:hint="eastAsia" w:ascii="楷体_GB2312" w:hAnsi="楷体_GB2312" w:eastAsia="楷体_GB2312" w:cs="楷体_GB2312"/>
          <w:b/>
          <w:i/>
          <w:sz w:val="28"/>
          <w:szCs w:val="28"/>
        </w:rPr>
        <w:instrText xml:space="preserve"> =86.2394*10000 \* CHINESENUM4 </w:instrText>
      </w:r>
      <w:r>
        <w:rPr>
          <w:rFonts w:hint="eastAsia" w:ascii="楷体_GB2312" w:hAnsi="楷体_GB2312" w:eastAsia="楷体_GB2312" w:cs="楷体_GB2312"/>
          <w:b/>
          <w:i/>
          <w:sz w:val="28"/>
          <w:szCs w:val="28"/>
        </w:rPr>
        <w:fldChar w:fldCharType="separate"/>
      </w:r>
      <w:r>
        <w:rPr>
          <w:rFonts w:hint="eastAsia" w:ascii="楷体_GB2312" w:hAnsi="楷体_GB2312" w:eastAsia="楷体_GB2312" w:cs="楷体_GB2312"/>
          <w:b/>
          <w:i/>
          <w:sz w:val="28"/>
          <w:szCs w:val="28"/>
        </w:rPr>
        <w:t>捌拾陆万贰仟叁佰玖拾肆元整</w:t>
      </w:r>
      <w:r>
        <w:rPr>
          <w:rFonts w:hint="eastAsia" w:ascii="楷体_GB2312" w:hAnsi="楷体_GB2312" w:eastAsia="楷体_GB2312" w:cs="楷体_GB2312"/>
          <w:b/>
          <w:i/>
          <w:sz w:val="28"/>
          <w:szCs w:val="28"/>
        </w:rPr>
        <w:fldChar w:fldCharType="end"/>
      </w:r>
      <w:r>
        <w:rPr>
          <w:rFonts w:hint="eastAsia" w:ascii="楷体_GB2312" w:hAnsi="楷体_GB2312" w:eastAsia="楷体_GB2312" w:cs="楷体_GB2312"/>
          <w:b/>
          <w:i/>
          <w:sz w:val="28"/>
          <w:szCs w:val="28"/>
        </w:rPr>
        <w:t>），</w:t>
      </w:r>
      <w:bookmarkEnd w:id="7"/>
      <w:bookmarkStart w:id="8" w:name="_Toc320615922"/>
      <w:bookmarkStart w:id="9" w:name="_Toc286433141"/>
      <w:bookmarkStart w:id="10" w:name="_Toc430596959"/>
      <w:r>
        <w:rPr>
          <w:rFonts w:hint="eastAsia" w:ascii="楷体_GB2312" w:hAnsi="楷体_GB2312" w:eastAsia="楷体_GB2312" w:cs="楷体_GB2312"/>
          <w:b/>
          <w:i/>
          <w:sz w:val="28"/>
          <w:szCs w:val="28"/>
        </w:rPr>
        <w:t>评估单价为3760元/平方米。</w:t>
      </w:r>
    </w:p>
    <w:p>
      <w:pPr>
        <w:spacing w:line="540" w:lineRule="exact"/>
        <w:ind w:firstLine="560" w:firstLineChars="200"/>
        <w:jc w:val="center"/>
        <w:rPr>
          <w:rFonts w:ascii="楷体_GB2312" w:hAnsi="楷体_GB2312" w:eastAsia="楷体_GB2312" w:cs="楷体_GB2312"/>
          <w:b/>
          <w:i/>
          <w:sz w:val="28"/>
          <w:szCs w:val="28"/>
        </w:rPr>
      </w:pPr>
      <w:r>
        <w:rPr>
          <w:rFonts w:hint="eastAsia" w:ascii="楷体_GB2312" w:hAnsi="宋体" w:eastAsia="楷体_GB2312" w:cs="楷体_GB2312"/>
          <w:b/>
          <w:kern w:val="0"/>
          <w:sz w:val="28"/>
          <w:szCs w:val="28"/>
        </w:rPr>
        <w:t>《估价结果一览表》</w:t>
      </w:r>
    </w:p>
    <w:tbl>
      <w:tblPr>
        <w:tblStyle w:val="42"/>
        <w:tblW w:w="8825" w:type="dxa"/>
        <w:jc w:val="center"/>
        <w:tblInd w:w="0" w:type="dxa"/>
        <w:tblLayout w:type="fixed"/>
        <w:tblCellMar>
          <w:top w:w="0" w:type="dxa"/>
          <w:left w:w="0" w:type="dxa"/>
          <w:bottom w:w="0" w:type="dxa"/>
          <w:right w:w="0" w:type="dxa"/>
        </w:tblCellMar>
      </w:tblPr>
      <w:tblGrid>
        <w:gridCol w:w="625"/>
        <w:gridCol w:w="3090"/>
        <w:gridCol w:w="710"/>
        <w:gridCol w:w="1222"/>
        <w:gridCol w:w="1441"/>
        <w:gridCol w:w="1737"/>
      </w:tblGrid>
      <w:tr>
        <w:tblPrEx>
          <w:tblLayout w:type="fixed"/>
          <w:tblCellMar>
            <w:top w:w="0" w:type="dxa"/>
            <w:left w:w="0" w:type="dxa"/>
            <w:bottom w:w="0" w:type="dxa"/>
            <w:right w:w="0" w:type="dxa"/>
          </w:tblCellMar>
        </w:tblPrEx>
        <w:trPr>
          <w:trHeight w:val="495"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编号</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座落</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用途</w:t>
            </w:r>
          </w:p>
        </w:tc>
        <w:tc>
          <w:tcPr>
            <w:tcW w:w="1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kern w:val="0"/>
                <w:sz w:val="24"/>
              </w:rPr>
            </w:pPr>
            <w:r>
              <w:rPr>
                <w:rFonts w:hint="eastAsia" w:ascii="楷体_GB2312" w:hAnsi="宋体" w:eastAsia="楷体_GB2312" w:cs="楷体_GB2312"/>
                <w:b/>
                <w:kern w:val="0"/>
                <w:sz w:val="24"/>
              </w:rPr>
              <w:t>建筑面积</w:t>
            </w:r>
          </w:p>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w:t>
            </w:r>
            <w:r>
              <w:rPr>
                <w:rFonts w:hint="eastAsia" w:ascii="宋体" w:hAnsi="宋体" w:cs="宋体"/>
                <w:b/>
                <w:kern w:val="0"/>
                <w:sz w:val="24"/>
              </w:rPr>
              <w:t>㎡</w:t>
            </w:r>
            <w:r>
              <w:rPr>
                <w:rFonts w:hint="eastAsia" w:ascii="楷体_GB2312" w:hAnsi="宋体" w:eastAsia="楷体_GB2312" w:cs="楷体_GB2312"/>
                <w:b/>
                <w:kern w:val="0"/>
                <w:sz w:val="24"/>
              </w:rPr>
              <w:t>)</w:t>
            </w:r>
          </w:p>
        </w:tc>
        <w:tc>
          <w:tcPr>
            <w:tcW w:w="1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kern w:val="0"/>
                <w:sz w:val="24"/>
              </w:rPr>
            </w:pPr>
            <w:r>
              <w:rPr>
                <w:rFonts w:hint="eastAsia" w:ascii="楷体_GB2312" w:hAnsi="宋体" w:eastAsia="楷体_GB2312" w:cs="楷体_GB2312"/>
                <w:b/>
                <w:kern w:val="0"/>
                <w:sz w:val="24"/>
              </w:rPr>
              <w:t>评估单价</w:t>
            </w:r>
          </w:p>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 xml:space="preserve"> (元/</w:t>
            </w:r>
            <w:r>
              <w:rPr>
                <w:rFonts w:hint="eastAsia" w:ascii="宋体" w:hAnsi="宋体" w:cs="宋体"/>
                <w:b/>
                <w:kern w:val="0"/>
                <w:sz w:val="24"/>
              </w:rPr>
              <w:t>㎡</w:t>
            </w:r>
            <w:r>
              <w:rPr>
                <w:rFonts w:hint="eastAsia" w:ascii="楷体_GB2312" w:hAnsi="宋体" w:eastAsia="楷体_GB2312" w:cs="楷体_GB2312"/>
                <w:b/>
                <w:kern w:val="0"/>
                <w:sz w:val="24"/>
              </w:rPr>
              <w:t>)</w:t>
            </w:r>
          </w:p>
        </w:tc>
        <w:tc>
          <w:tcPr>
            <w:tcW w:w="1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kern w:val="0"/>
                <w:sz w:val="24"/>
              </w:rPr>
            </w:pPr>
            <w:r>
              <w:rPr>
                <w:rFonts w:hint="eastAsia" w:ascii="楷体_GB2312" w:hAnsi="宋体" w:eastAsia="楷体_GB2312" w:cs="楷体_GB2312"/>
                <w:b/>
                <w:kern w:val="0"/>
                <w:sz w:val="24"/>
              </w:rPr>
              <w:t>评估总价</w:t>
            </w:r>
          </w:p>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 xml:space="preserve">(万元)    </w:t>
            </w:r>
          </w:p>
        </w:tc>
      </w:tr>
      <w:tr>
        <w:tblPrEx>
          <w:tblLayout w:type="fixed"/>
          <w:tblCellMar>
            <w:top w:w="0" w:type="dxa"/>
            <w:left w:w="0" w:type="dxa"/>
            <w:bottom w:w="0" w:type="dxa"/>
            <w:right w:w="0" w:type="dxa"/>
          </w:tblCellMar>
        </w:tblPrEx>
        <w:trPr>
          <w:trHeight w:val="759"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sz w:val="24"/>
              </w:rPr>
            </w:pPr>
            <w:r>
              <w:rPr>
                <w:rFonts w:hint="eastAsia" w:ascii="楷体_GB2312" w:hAnsi="宋体" w:eastAsia="楷体_GB2312" w:cs="楷体_GB2312"/>
                <w:kern w:val="0"/>
                <w:sz w:val="24"/>
              </w:rPr>
              <w:t>1</w:t>
            </w:r>
            <w:r>
              <w:rPr>
                <w:rFonts w:hint="eastAsia" w:ascii="宋体" w:hAnsi="宋体" w:cs="宋体"/>
                <w:kern w:val="0"/>
                <w:sz w:val="24"/>
              </w:rPr>
              <w:t>#</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sz w:val="24"/>
              </w:rPr>
            </w:pPr>
            <w:r>
              <w:rPr>
                <w:rFonts w:hint="eastAsia" w:ascii="楷体_GB2312" w:hAnsi="宋体" w:eastAsia="楷体_GB2312" w:cs="楷体_GB2312"/>
                <w:kern w:val="0"/>
                <w:sz w:val="24"/>
              </w:rPr>
              <w:t>遵义市红花岗区遵义国际商贸城二期还房小区4号楼二单元18楼1-A号</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sz w:val="24"/>
              </w:rPr>
            </w:pPr>
            <w:r>
              <w:rPr>
                <w:rFonts w:hint="eastAsia" w:ascii="楷体_GB2312" w:hAnsi="宋体" w:eastAsia="楷体_GB2312" w:cs="楷体_GB2312"/>
                <w:kern w:val="0"/>
                <w:sz w:val="24"/>
              </w:rPr>
              <w:t>住宅</w:t>
            </w:r>
          </w:p>
        </w:tc>
        <w:tc>
          <w:tcPr>
            <w:tcW w:w="1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sz w:val="24"/>
              </w:rPr>
            </w:pPr>
            <w:r>
              <w:rPr>
                <w:rFonts w:hint="eastAsia" w:ascii="楷体_GB2312" w:hAnsi="宋体" w:eastAsia="楷体_GB2312" w:cs="楷体_GB2312"/>
                <w:kern w:val="0"/>
                <w:sz w:val="24"/>
              </w:rPr>
              <w:t>114.68</w:t>
            </w:r>
          </w:p>
        </w:tc>
        <w:tc>
          <w:tcPr>
            <w:tcW w:w="1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sz w:val="24"/>
              </w:rPr>
            </w:pPr>
            <w:r>
              <w:rPr>
                <w:rFonts w:hint="eastAsia" w:ascii="楷体_GB2312" w:hAnsi="宋体" w:eastAsia="楷体_GB2312" w:cs="楷体_GB2312"/>
                <w:kern w:val="0"/>
                <w:sz w:val="24"/>
              </w:rPr>
              <w:t>3760</w:t>
            </w:r>
          </w:p>
        </w:tc>
        <w:tc>
          <w:tcPr>
            <w:tcW w:w="1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kern w:val="0"/>
                <w:sz w:val="24"/>
              </w:rPr>
            </w:pPr>
            <w:r>
              <w:rPr>
                <w:rFonts w:hint="eastAsia" w:ascii="楷体_GB2312" w:hAnsi="宋体" w:eastAsia="楷体_GB2312" w:cs="楷体_GB2312"/>
                <w:kern w:val="0"/>
                <w:sz w:val="24"/>
              </w:rPr>
              <w:t xml:space="preserve">43.1197 </w:t>
            </w:r>
          </w:p>
        </w:tc>
      </w:tr>
      <w:tr>
        <w:tblPrEx>
          <w:tblLayout w:type="fixed"/>
          <w:tblCellMar>
            <w:top w:w="0" w:type="dxa"/>
            <w:left w:w="0" w:type="dxa"/>
            <w:bottom w:w="0" w:type="dxa"/>
            <w:right w:w="0" w:type="dxa"/>
          </w:tblCellMar>
        </w:tblPrEx>
        <w:trPr>
          <w:trHeight w:val="759"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sz w:val="24"/>
              </w:rPr>
            </w:pPr>
            <w:r>
              <w:rPr>
                <w:rFonts w:hint="eastAsia" w:ascii="楷体_GB2312" w:hAnsi="宋体" w:eastAsia="楷体_GB2312" w:cs="楷体_GB2312"/>
                <w:kern w:val="0"/>
                <w:sz w:val="24"/>
              </w:rPr>
              <w:t>2#</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sz w:val="24"/>
              </w:rPr>
            </w:pPr>
            <w:r>
              <w:rPr>
                <w:rFonts w:hint="eastAsia" w:ascii="楷体_GB2312" w:hAnsi="宋体" w:eastAsia="楷体_GB2312" w:cs="楷体_GB2312"/>
                <w:kern w:val="0"/>
                <w:sz w:val="24"/>
              </w:rPr>
              <w:t>遵义市红花岗区遵义国际商贸城二期还房小区4号楼二单元18楼1-B号</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sz w:val="24"/>
              </w:rPr>
            </w:pPr>
            <w:r>
              <w:rPr>
                <w:rFonts w:hint="eastAsia" w:ascii="楷体_GB2312" w:hAnsi="宋体" w:eastAsia="楷体_GB2312" w:cs="楷体_GB2312"/>
                <w:kern w:val="0"/>
                <w:sz w:val="24"/>
              </w:rPr>
              <w:t>住宅</w:t>
            </w:r>
          </w:p>
        </w:tc>
        <w:tc>
          <w:tcPr>
            <w:tcW w:w="1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sz w:val="24"/>
              </w:rPr>
            </w:pPr>
            <w:r>
              <w:rPr>
                <w:rFonts w:hint="eastAsia" w:ascii="楷体_GB2312" w:hAnsi="宋体" w:eastAsia="楷体_GB2312" w:cs="楷体_GB2312"/>
                <w:kern w:val="0"/>
                <w:sz w:val="24"/>
              </w:rPr>
              <w:t>114.68</w:t>
            </w:r>
          </w:p>
        </w:tc>
        <w:tc>
          <w:tcPr>
            <w:tcW w:w="1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sz w:val="24"/>
              </w:rPr>
            </w:pPr>
            <w:r>
              <w:rPr>
                <w:rFonts w:hint="eastAsia" w:ascii="楷体_GB2312" w:hAnsi="宋体" w:eastAsia="楷体_GB2312" w:cs="楷体_GB2312"/>
                <w:kern w:val="0"/>
                <w:sz w:val="24"/>
              </w:rPr>
              <w:t>3760</w:t>
            </w:r>
          </w:p>
        </w:tc>
        <w:tc>
          <w:tcPr>
            <w:tcW w:w="1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kern w:val="0"/>
                <w:sz w:val="24"/>
              </w:rPr>
            </w:pPr>
            <w:r>
              <w:rPr>
                <w:rFonts w:hint="eastAsia" w:ascii="楷体_GB2312" w:hAnsi="宋体" w:eastAsia="楷体_GB2312" w:cs="楷体_GB2312"/>
                <w:kern w:val="0"/>
                <w:sz w:val="24"/>
              </w:rPr>
              <w:t xml:space="preserve">43.1197 </w:t>
            </w:r>
          </w:p>
        </w:tc>
      </w:tr>
      <w:tr>
        <w:tblPrEx>
          <w:tblLayout w:type="fixed"/>
          <w:tblCellMar>
            <w:top w:w="0" w:type="dxa"/>
            <w:left w:w="0" w:type="dxa"/>
            <w:bottom w:w="0" w:type="dxa"/>
            <w:right w:w="0" w:type="dxa"/>
          </w:tblCellMar>
        </w:tblPrEx>
        <w:trPr>
          <w:trHeight w:val="274" w:hRule="atLeast"/>
          <w:jc w:val="center"/>
        </w:trPr>
        <w:tc>
          <w:tcPr>
            <w:tcW w:w="37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合计</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fldChar w:fldCharType="begin"/>
            </w:r>
            <w:r>
              <w:rPr>
                <w:rFonts w:hint="eastAsia" w:ascii="楷体_GB2312" w:hAnsi="宋体" w:eastAsia="楷体_GB2312" w:cs="楷体_GB2312"/>
                <w:b/>
                <w:kern w:val="0"/>
                <w:sz w:val="24"/>
              </w:rPr>
              <w:instrText xml:space="preserve"> =sum(above) \# "0.00"</w:instrText>
            </w:r>
            <w:r>
              <w:rPr>
                <w:rFonts w:hint="eastAsia" w:ascii="楷体_GB2312" w:hAnsi="宋体" w:eastAsia="楷体_GB2312" w:cs="楷体_GB2312"/>
                <w:b/>
                <w:kern w:val="0"/>
                <w:sz w:val="24"/>
              </w:rPr>
              <w:fldChar w:fldCharType="separate"/>
            </w:r>
            <w:r>
              <w:rPr>
                <w:rFonts w:hint="eastAsia" w:ascii="楷体_GB2312" w:hAnsi="宋体" w:eastAsia="楷体_GB2312" w:cs="楷体_GB2312"/>
                <w:b/>
                <w:kern w:val="0"/>
                <w:sz w:val="24"/>
              </w:rPr>
              <w:t>229.36</w:t>
            </w:r>
            <w:r>
              <w:rPr>
                <w:rFonts w:hint="eastAsia" w:ascii="楷体_GB2312" w:hAnsi="宋体" w:eastAsia="楷体_GB2312" w:cs="楷体_GB2312"/>
                <w:b/>
                <w:kern w:val="0"/>
                <w:sz w:val="24"/>
              </w:rPr>
              <w:fldChar w:fldCharType="end"/>
            </w:r>
          </w:p>
        </w:tc>
        <w:tc>
          <w:tcPr>
            <w:tcW w:w="1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w:t>
            </w:r>
          </w:p>
        </w:tc>
        <w:tc>
          <w:tcPr>
            <w:tcW w:w="1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fldChar w:fldCharType="begin"/>
            </w:r>
            <w:r>
              <w:rPr>
                <w:rFonts w:hint="eastAsia" w:ascii="楷体_GB2312" w:hAnsi="宋体" w:eastAsia="楷体_GB2312" w:cs="楷体_GB2312"/>
                <w:b/>
                <w:kern w:val="0"/>
                <w:sz w:val="24"/>
              </w:rPr>
              <w:instrText xml:space="preserve"> =sum(above) \# "0.0000"</w:instrText>
            </w:r>
            <w:r>
              <w:rPr>
                <w:rFonts w:hint="eastAsia" w:ascii="楷体_GB2312" w:hAnsi="宋体" w:eastAsia="楷体_GB2312" w:cs="楷体_GB2312"/>
                <w:b/>
                <w:kern w:val="0"/>
                <w:sz w:val="24"/>
              </w:rPr>
              <w:fldChar w:fldCharType="separate"/>
            </w:r>
            <w:r>
              <w:rPr>
                <w:rFonts w:hint="eastAsia" w:ascii="楷体_GB2312" w:hAnsi="宋体" w:eastAsia="楷体_GB2312" w:cs="楷体_GB2312"/>
                <w:b/>
                <w:kern w:val="0"/>
                <w:sz w:val="24"/>
              </w:rPr>
              <w:t>86.2394</w:t>
            </w:r>
            <w:r>
              <w:rPr>
                <w:rFonts w:hint="eastAsia" w:ascii="楷体_GB2312" w:hAnsi="宋体" w:eastAsia="楷体_GB2312" w:cs="楷体_GB2312"/>
                <w:b/>
                <w:kern w:val="0"/>
                <w:sz w:val="24"/>
              </w:rPr>
              <w:fldChar w:fldCharType="end"/>
            </w:r>
          </w:p>
        </w:tc>
      </w:tr>
    </w:tbl>
    <w:p>
      <w:pPr>
        <w:spacing w:line="50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针对本次评估的具体情况，特对评估价值做以下说明：</w:t>
      </w:r>
    </w:p>
    <w:p>
      <w:pPr>
        <w:spacing w:line="50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1、估价结果为均价且已取整；2、估价结果包含房产对应分摊出让土地使用权价值；3、估价结果未扣除估价对象1#-2#后期办理相关产权证资料及其他相关手续费用。</w:t>
      </w:r>
    </w:p>
    <w:p>
      <w:pPr>
        <w:spacing w:line="540" w:lineRule="exact"/>
        <w:ind w:firstLine="560" w:firstLineChars="200"/>
        <w:contextualSpacing/>
        <w:rPr>
          <w:rFonts w:ascii="楷体_GB2312" w:hAnsi="楷体_GB2312" w:eastAsia="楷体_GB2312" w:cs="楷体_GB2312"/>
          <w:b/>
          <w:i/>
          <w:sz w:val="28"/>
          <w:szCs w:val="28"/>
        </w:rPr>
      </w:pPr>
      <w:r>
        <w:rPr>
          <w:rFonts w:hint="eastAsia" w:ascii="楷体_GB2312" w:hAnsi="楷体_GB2312" w:eastAsia="楷体_GB2312" w:cs="楷体_GB2312"/>
          <w:b/>
          <w:i/>
          <w:sz w:val="28"/>
          <w:szCs w:val="28"/>
        </w:rPr>
        <w:t>报告使用人在使用本估价结论时，应认真阅读本报告书全文，特别是“估价的假设和限制条件”，以免使用不当，造成损失！</w:t>
      </w:r>
      <w:bookmarkEnd w:id="8"/>
      <w:bookmarkEnd w:id="9"/>
      <w:bookmarkStart w:id="11" w:name="_Toc320615923"/>
      <w:bookmarkStart w:id="12" w:name="_Toc286433142"/>
      <w:r>
        <w:rPr>
          <w:rFonts w:hint="eastAsia" w:ascii="楷体_GB2312" w:hAnsi="楷体_GB2312" w:eastAsia="楷体_GB2312" w:cs="楷体_GB2312"/>
          <w:b/>
          <w:i/>
          <w:sz w:val="28"/>
          <w:szCs w:val="28"/>
        </w:rPr>
        <w:t>本报告各项附件与报告书具同等效力，不可分割对待，本报告正文共18页</w:t>
      </w:r>
      <w:bookmarkEnd w:id="11"/>
      <w:bookmarkEnd w:id="12"/>
      <w:r>
        <w:rPr>
          <w:rFonts w:hint="eastAsia" w:ascii="楷体_GB2312" w:hAnsi="楷体_GB2312" w:eastAsia="楷体_GB2312" w:cs="楷体_GB2312"/>
          <w:b/>
          <w:i/>
          <w:sz w:val="28"/>
          <w:szCs w:val="28"/>
        </w:rPr>
        <w:t>！</w:t>
      </w:r>
      <w:bookmarkEnd w:id="10"/>
      <w:bookmarkStart w:id="13" w:name="_Toc430596960"/>
    </w:p>
    <w:p>
      <w:pPr>
        <w:spacing w:line="540" w:lineRule="exact"/>
        <w:ind w:firstLine="560" w:firstLineChars="200"/>
        <w:contextualSpacing/>
        <w:rPr>
          <w:rFonts w:ascii="楷体_GB2312" w:hAnsi="楷体_GB2312" w:eastAsia="楷体_GB2312" w:cs="楷体_GB2312"/>
          <w:b/>
          <w:i/>
          <w:sz w:val="28"/>
          <w:szCs w:val="28"/>
        </w:rPr>
      </w:pPr>
    </w:p>
    <w:p>
      <w:pPr>
        <w:spacing w:line="540" w:lineRule="exact"/>
        <w:ind w:firstLine="560" w:firstLineChars="200"/>
        <w:contextualSpacing/>
        <w:rPr>
          <w:rFonts w:ascii="楷体_GB2312" w:hAnsi="楷体_GB2312" w:eastAsia="楷体_GB2312" w:cs="楷体_GB2312"/>
          <w:b/>
          <w:i/>
          <w:sz w:val="28"/>
          <w:szCs w:val="28"/>
        </w:rPr>
      </w:pPr>
    </w:p>
    <w:bookmarkEnd w:id="13"/>
    <w:p>
      <w:pPr>
        <w:spacing w:line="540" w:lineRule="exact"/>
        <w:ind w:firstLine="480" w:firstLineChars="150"/>
        <w:contextualSpacing/>
        <w:rPr>
          <w:rFonts w:ascii="楷体_GB2312" w:hAnsi="楷体_GB2312" w:eastAsia="楷体_GB2312" w:cs="楷体_GB2312"/>
          <w:b/>
          <w:sz w:val="32"/>
          <w:szCs w:val="32"/>
        </w:rPr>
      </w:pPr>
      <w:r>
        <w:rPr>
          <w:rFonts w:hint="eastAsia" w:ascii="楷体_GB2312" w:hAnsi="楷体_GB2312" w:eastAsia="楷体_GB2312" w:cs="楷体_GB2312"/>
          <w:b/>
          <w:sz w:val="32"/>
          <w:szCs w:val="32"/>
        </w:rPr>
        <w:t>法定代表人：高颖昕</w:t>
      </w:r>
    </w:p>
    <w:p>
      <w:pPr>
        <w:spacing w:line="540" w:lineRule="exact"/>
        <w:ind w:firstLine="480" w:firstLineChars="150"/>
        <w:contextualSpacing/>
        <w:rPr>
          <w:rFonts w:ascii="楷体_GB2312" w:hAnsi="楷体_GB2312" w:eastAsia="楷体_GB2312" w:cs="楷体_GB2312"/>
          <w:b/>
          <w:sz w:val="32"/>
          <w:szCs w:val="32"/>
        </w:rPr>
      </w:pPr>
    </w:p>
    <w:p>
      <w:pPr>
        <w:spacing w:line="540" w:lineRule="exact"/>
        <w:ind w:firstLine="480" w:firstLineChars="150"/>
        <w:contextualSpacing/>
        <w:rPr>
          <w:rFonts w:ascii="楷体_GB2312" w:hAnsi="楷体_GB2312" w:eastAsia="楷体_GB2312" w:cs="楷体_GB2312"/>
          <w:b/>
          <w:sz w:val="32"/>
          <w:szCs w:val="32"/>
        </w:rPr>
      </w:pPr>
    </w:p>
    <w:p>
      <w:pPr>
        <w:spacing w:line="540" w:lineRule="exact"/>
        <w:ind w:firstLine="480" w:firstLineChars="150"/>
        <w:contextualSpacing/>
        <w:jc w:val="right"/>
        <w:rPr>
          <w:rFonts w:ascii="楷体_GB2312" w:hAnsi="楷体_GB2312" w:eastAsia="楷体_GB2312" w:cs="楷体_GB2312"/>
          <w:b/>
          <w:sz w:val="32"/>
          <w:szCs w:val="32"/>
        </w:rPr>
      </w:pPr>
      <w:r>
        <w:rPr>
          <w:rFonts w:hint="eastAsia" w:ascii="楷体_GB2312" w:hAnsi="楷体_GB2312" w:eastAsia="楷体_GB2312" w:cs="楷体_GB2312"/>
          <w:b/>
          <w:sz w:val="32"/>
          <w:szCs w:val="32"/>
        </w:rPr>
        <w:t>贵州众志天和房地产评估事务有限公司</w:t>
      </w:r>
    </w:p>
    <w:p>
      <w:pPr>
        <w:tabs>
          <w:tab w:val="left" w:pos="540"/>
          <w:tab w:val="left" w:pos="1980"/>
        </w:tabs>
        <w:ind w:left="2202" w:hanging="1301"/>
        <w:jc w:val="right"/>
        <w:rPr>
          <w:rFonts w:ascii="楷体_GB2312" w:hAnsi="楷体_GB2312" w:eastAsia="楷体_GB2312" w:cs="楷体_GB2312"/>
          <w:bCs/>
          <w:spacing w:val="-10"/>
          <w:sz w:val="28"/>
          <w:szCs w:val="28"/>
        </w:rPr>
      </w:pPr>
      <w:r>
        <w:rPr>
          <w:rFonts w:hint="eastAsia" w:ascii="楷体_GB2312" w:hAnsi="楷体_GB2312" w:eastAsia="楷体_GB2312" w:cs="楷体_GB2312"/>
          <w:b/>
          <w:sz w:val="32"/>
          <w:szCs w:val="32"/>
        </w:rPr>
        <w:t>二○一九年七月一日</w:t>
      </w:r>
    </w:p>
    <w:p>
      <w:pPr>
        <w:spacing w:line="540" w:lineRule="exact"/>
        <w:contextualSpacing/>
        <w:jc w:val="right"/>
        <w:rPr>
          <w:rFonts w:ascii="楷体_GB2312" w:hAnsi="楷体_GB2312" w:eastAsia="楷体_GB2312" w:cs="楷体_GB2312"/>
          <w:b/>
          <w:sz w:val="32"/>
          <w:szCs w:val="32"/>
        </w:rPr>
      </w:pPr>
    </w:p>
    <w:p>
      <w:pPr>
        <w:widowControl/>
        <w:jc w:val="left"/>
        <w:rPr>
          <w:rFonts w:ascii="楷体_GB2312" w:hAnsi="楷体_GB2312" w:eastAsia="楷体_GB2312" w:cs="楷体_GB2312"/>
          <w:b/>
          <w:sz w:val="72"/>
          <w:szCs w:val="72"/>
        </w:rPr>
      </w:pPr>
      <w:r>
        <w:rPr>
          <w:rFonts w:ascii="楷体_GB2312" w:hAnsi="楷体_GB2312" w:eastAsia="楷体_GB2312" w:cs="楷体_GB2312"/>
          <w:b/>
          <w:sz w:val="72"/>
          <w:szCs w:val="72"/>
        </w:rPr>
        <w:br w:type="page"/>
      </w:r>
    </w:p>
    <w:p>
      <w:pPr>
        <w:spacing w:line="720" w:lineRule="exact"/>
        <w:contextualSpacing/>
        <w:jc w:val="center"/>
        <w:rPr>
          <w:rFonts w:hint="eastAsia" w:ascii="楷体_GB2312" w:hAnsi="楷体_GB2312" w:eastAsia="楷体_GB2312" w:cs="楷体_GB2312"/>
          <w:b/>
          <w:sz w:val="72"/>
          <w:szCs w:val="72"/>
        </w:rPr>
      </w:pPr>
    </w:p>
    <w:p>
      <w:pPr>
        <w:spacing w:line="720" w:lineRule="exact"/>
        <w:contextualSpacing/>
        <w:jc w:val="center"/>
        <w:rPr>
          <w:rFonts w:ascii="楷体_GB2312" w:hAnsi="楷体_GB2312" w:eastAsia="楷体_GB2312" w:cs="楷体_GB2312"/>
          <w:b/>
          <w:sz w:val="72"/>
          <w:szCs w:val="72"/>
        </w:rPr>
      </w:pPr>
      <w:r>
        <w:rPr>
          <w:rFonts w:hint="eastAsia" w:ascii="楷体_GB2312" w:hAnsi="楷体_GB2312" w:eastAsia="楷体_GB2312" w:cs="楷体_GB2312"/>
          <w:b/>
          <w:sz w:val="72"/>
          <w:szCs w:val="72"/>
        </w:rPr>
        <w:t>目     录</w:t>
      </w:r>
    </w:p>
    <w:p>
      <w:pPr>
        <w:pStyle w:val="36"/>
        <w:tabs>
          <w:tab w:val="right" w:leader="dot" w:pos="9383"/>
        </w:tabs>
      </w:pPr>
      <w:r>
        <w:rPr>
          <w:rStyle w:val="48"/>
          <w:rFonts w:hint="eastAsia"/>
          <w:color w:val="auto"/>
        </w:rPr>
        <w:fldChar w:fldCharType="begin"/>
      </w:r>
      <w:r>
        <w:rPr>
          <w:rStyle w:val="48"/>
          <w:rFonts w:hint="eastAsia" w:ascii="楷体_GB2312" w:hAnsi="楷体_GB2312" w:eastAsia="楷体_GB2312" w:cs="楷体_GB2312"/>
          <w:color w:val="auto"/>
        </w:rPr>
        <w:instrText xml:space="preserve"> TOC \o "1-3" \h \z \u </w:instrText>
      </w:r>
      <w:r>
        <w:rPr>
          <w:rStyle w:val="48"/>
          <w:rFonts w:hint="eastAsia"/>
          <w:color w:val="auto"/>
        </w:rPr>
        <w:fldChar w:fldCharType="separate"/>
      </w:r>
      <w:r>
        <w:rPr>
          <w:rFonts w:hint="eastAsia"/>
          <w:color w:val="auto"/>
        </w:rPr>
        <w:fldChar w:fldCharType="begin"/>
      </w:r>
      <w:r>
        <w:rPr>
          <w:rFonts w:hint="eastAsia"/>
        </w:rPr>
        <w:instrText xml:space="preserve"> HYPERLINK \l _Toc6858 </w:instrText>
      </w:r>
      <w:r>
        <w:rPr>
          <w:rFonts w:hint="eastAsia"/>
        </w:rPr>
        <w:fldChar w:fldCharType="separate"/>
      </w:r>
      <w:r>
        <w:rPr>
          <w:rFonts w:hint="eastAsia" w:ascii="楷体_GB2312" w:hAnsi="楷体_GB2312" w:eastAsia="楷体_GB2312" w:cs="楷体_GB2312"/>
          <w:szCs w:val="72"/>
        </w:rPr>
        <w:t>致估价委托人函</w:t>
      </w:r>
      <w:r>
        <w:tab/>
      </w:r>
      <w:r>
        <w:fldChar w:fldCharType="begin"/>
      </w:r>
      <w:r>
        <w:instrText xml:space="preserve"> PAGEREF _Toc6858 </w:instrText>
      </w:r>
      <w:r>
        <w:fldChar w:fldCharType="separate"/>
      </w:r>
      <w:r>
        <w:t>1</w:t>
      </w:r>
      <w:r>
        <w:fldChar w:fldCharType="end"/>
      </w:r>
      <w:r>
        <w:rPr>
          <w:rFonts w:hint="eastAsia"/>
          <w:color w:val="auto"/>
        </w:rPr>
        <w:fldChar w:fldCharType="end"/>
      </w:r>
    </w:p>
    <w:p>
      <w:pPr>
        <w:pStyle w:val="36"/>
        <w:tabs>
          <w:tab w:val="right" w:leader="dot" w:pos="9383"/>
        </w:tabs>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_Toc16025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72"/>
        </w:rPr>
        <w:t>一、估 价 师 声 明</w:t>
      </w:r>
      <w:r>
        <w:tab/>
      </w:r>
      <w:r>
        <w:fldChar w:fldCharType="begin"/>
      </w:r>
      <w:r>
        <w:instrText xml:space="preserve"> PAGEREF _Toc16025 </w:instrText>
      </w:r>
      <w:r>
        <w:fldChar w:fldCharType="separate"/>
      </w:r>
      <w:r>
        <w:t>3</w:t>
      </w:r>
      <w:r>
        <w:fldChar w:fldCharType="end"/>
      </w:r>
      <w:r>
        <w:rPr>
          <w:rFonts w:hint="eastAsia" w:ascii="楷体_GB2312" w:hAnsi="楷体_GB2312" w:eastAsia="楷体_GB2312" w:cs="楷体_GB2312"/>
        </w:rPr>
        <w:fldChar w:fldCharType="end"/>
      </w:r>
    </w:p>
    <w:p>
      <w:pPr>
        <w:pStyle w:val="36"/>
        <w:tabs>
          <w:tab w:val="right" w:leader="dot" w:pos="9383"/>
        </w:tabs>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_Toc7634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72"/>
        </w:rPr>
        <w:t>二、估价的假设和限制条件</w:t>
      </w:r>
      <w:r>
        <w:tab/>
      </w:r>
      <w:r>
        <w:fldChar w:fldCharType="begin"/>
      </w:r>
      <w:r>
        <w:instrText xml:space="preserve"> PAGEREF _Toc7634 </w:instrText>
      </w:r>
      <w:r>
        <w:fldChar w:fldCharType="separate"/>
      </w:r>
      <w:r>
        <w:t>4</w:t>
      </w:r>
      <w:r>
        <w:fldChar w:fldCharType="end"/>
      </w:r>
      <w:r>
        <w:rPr>
          <w:rFonts w:hint="eastAsia" w:ascii="楷体_GB2312" w:hAnsi="楷体_GB2312" w:eastAsia="楷体_GB2312" w:cs="楷体_GB2312"/>
        </w:rPr>
        <w:fldChar w:fldCharType="end"/>
      </w:r>
    </w:p>
    <w:p>
      <w:pPr>
        <w:pStyle w:val="22"/>
        <w:tabs>
          <w:tab w:val="right" w:leader="dot" w:pos="9383"/>
        </w:tabs>
        <w:rPr>
          <w:i w:val="0"/>
          <w:iCs w:val="0"/>
        </w:rPr>
      </w:pPr>
      <w:r>
        <w:rPr>
          <w:rFonts w:hint="eastAsia" w:ascii="楷体_GB2312" w:hAnsi="楷体_GB2312" w:eastAsia="楷体_GB2312" w:cs="楷体_GB2312"/>
          <w:i w:val="0"/>
          <w:iCs w:val="0"/>
        </w:rPr>
        <w:fldChar w:fldCharType="begin"/>
      </w:r>
      <w:r>
        <w:rPr>
          <w:rFonts w:hint="eastAsia" w:ascii="楷体_GB2312" w:hAnsi="楷体_GB2312" w:eastAsia="楷体_GB2312" w:cs="楷体_GB2312"/>
          <w:i w:val="0"/>
          <w:iCs w:val="0"/>
        </w:rPr>
        <w:instrText xml:space="preserve"> HYPERLINK \l _Toc27752 </w:instrText>
      </w:r>
      <w:r>
        <w:rPr>
          <w:rFonts w:hint="eastAsia" w:ascii="楷体_GB2312" w:hAnsi="楷体_GB2312" w:eastAsia="楷体_GB2312" w:cs="楷体_GB2312"/>
          <w:i w:val="0"/>
          <w:iCs w:val="0"/>
        </w:rPr>
        <w:fldChar w:fldCharType="separate"/>
      </w:r>
      <w:r>
        <w:rPr>
          <w:rFonts w:hint="eastAsia" w:ascii="楷体_GB2312" w:hAnsi="楷体_GB2312" w:eastAsia="楷体_GB2312" w:cs="楷体_GB2312"/>
          <w:bCs w:val="0"/>
          <w:i w:val="0"/>
          <w:iCs w:val="0"/>
          <w:spacing w:val="0"/>
          <w:szCs w:val="32"/>
        </w:rPr>
        <w:t>（一）本次估价的一般假设</w:t>
      </w:r>
      <w:r>
        <w:rPr>
          <w:i w:val="0"/>
          <w:iCs w:val="0"/>
        </w:rPr>
        <w:tab/>
      </w:r>
      <w:r>
        <w:rPr>
          <w:i w:val="0"/>
          <w:iCs w:val="0"/>
        </w:rPr>
        <w:fldChar w:fldCharType="begin"/>
      </w:r>
      <w:r>
        <w:rPr>
          <w:i w:val="0"/>
          <w:iCs w:val="0"/>
        </w:rPr>
        <w:instrText xml:space="preserve"> PAGEREF _Toc27752 </w:instrText>
      </w:r>
      <w:r>
        <w:rPr>
          <w:i w:val="0"/>
          <w:iCs w:val="0"/>
        </w:rPr>
        <w:fldChar w:fldCharType="separate"/>
      </w:r>
      <w:r>
        <w:rPr>
          <w:i w:val="0"/>
          <w:iCs w:val="0"/>
        </w:rPr>
        <w:t>4</w:t>
      </w:r>
      <w:r>
        <w:rPr>
          <w:i w:val="0"/>
          <w:iCs w:val="0"/>
        </w:rPr>
        <w:fldChar w:fldCharType="end"/>
      </w:r>
      <w:r>
        <w:rPr>
          <w:rFonts w:hint="eastAsia" w:ascii="楷体_GB2312" w:hAnsi="楷体_GB2312" w:eastAsia="楷体_GB2312" w:cs="楷体_GB2312"/>
          <w:i w:val="0"/>
          <w:iCs w:val="0"/>
        </w:rPr>
        <w:fldChar w:fldCharType="end"/>
      </w:r>
    </w:p>
    <w:p>
      <w:pPr>
        <w:pStyle w:val="22"/>
        <w:tabs>
          <w:tab w:val="right" w:leader="dot" w:pos="9383"/>
        </w:tabs>
        <w:rPr>
          <w:i w:val="0"/>
          <w:iCs w:val="0"/>
        </w:rPr>
      </w:pPr>
      <w:r>
        <w:rPr>
          <w:rFonts w:hint="eastAsia" w:ascii="楷体_GB2312" w:hAnsi="楷体_GB2312" w:eastAsia="楷体_GB2312" w:cs="楷体_GB2312"/>
          <w:i w:val="0"/>
          <w:iCs w:val="0"/>
        </w:rPr>
        <w:fldChar w:fldCharType="begin"/>
      </w:r>
      <w:r>
        <w:rPr>
          <w:rFonts w:hint="eastAsia" w:ascii="楷体_GB2312" w:hAnsi="楷体_GB2312" w:eastAsia="楷体_GB2312" w:cs="楷体_GB2312"/>
          <w:i w:val="0"/>
          <w:iCs w:val="0"/>
        </w:rPr>
        <w:instrText xml:space="preserve"> HYPERLINK \l _Toc5972 </w:instrText>
      </w:r>
      <w:r>
        <w:rPr>
          <w:rFonts w:hint="eastAsia" w:ascii="楷体_GB2312" w:hAnsi="楷体_GB2312" w:eastAsia="楷体_GB2312" w:cs="楷体_GB2312"/>
          <w:i w:val="0"/>
          <w:iCs w:val="0"/>
        </w:rPr>
        <w:fldChar w:fldCharType="separate"/>
      </w:r>
      <w:r>
        <w:rPr>
          <w:rFonts w:hint="eastAsia" w:ascii="楷体_GB2312" w:hAnsi="楷体_GB2312" w:eastAsia="楷体_GB2312" w:cs="楷体_GB2312"/>
          <w:bCs w:val="0"/>
          <w:i w:val="0"/>
          <w:iCs w:val="0"/>
          <w:spacing w:val="0"/>
          <w:szCs w:val="32"/>
        </w:rPr>
        <w:t>（二）未定事项假设</w:t>
      </w:r>
      <w:r>
        <w:rPr>
          <w:i w:val="0"/>
          <w:iCs w:val="0"/>
        </w:rPr>
        <w:tab/>
      </w:r>
      <w:r>
        <w:rPr>
          <w:i w:val="0"/>
          <w:iCs w:val="0"/>
        </w:rPr>
        <w:fldChar w:fldCharType="begin"/>
      </w:r>
      <w:r>
        <w:rPr>
          <w:i w:val="0"/>
          <w:iCs w:val="0"/>
        </w:rPr>
        <w:instrText xml:space="preserve"> PAGEREF _Toc5972 </w:instrText>
      </w:r>
      <w:r>
        <w:rPr>
          <w:i w:val="0"/>
          <w:iCs w:val="0"/>
        </w:rPr>
        <w:fldChar w:fldCharType="separate"/>
      </w:r>
      <w:r>
        <w:rPr>
          <w:i w:val="0"/>
          <w:iCs w:val="0"/>
        </w:rPr>
        <w:t>6</w:t>
      </w:r>
      <w:r>
        <w:rPr>
          <w:i w:val="0"/>
          <w:iCs w:val="0"/>
        </w:rPr>
        <w:fldChar w:fldCharType="end"/>
      </w:r>
      <w:r>
        <w:rPr>
          <w:rFonts w:hint="eastAsia" w:ascii="楷体_GB2312" w:hAnsi="楷体_GB2312" w:eastAsia="楷体_GB2312" w:cs="楷体_GB2312"/>
          <w:i w:val="0"/>
          <w:iCs w:val="0"/>
        </w:rPr>
        <w:fldChar w:fldCharType="end"/>
      </w:r>
    </w:p>
    <w:p>
      <w:pPr>
        <w:pStyle w:val="22"/>
        <w:tabs>
          <w:tab w:val="right" w:leader="dot" w:pos="9383"/>
        </w:tabs>
        <w:rPr>
          <w:i w:val="0"/>
          <w:iCs w:val="0"/>
        </w:rPr>
      </w:pPr>
      <w:r>
        <w:rPr>
          <w:rFonts w:hint="eastAsia" w:ascii="楷体_GB2312" w:hAnsi="楷体_GB2312" w:eastAsia="楷体_GB2312" w:cs="楷体_GB2312"/>
          <w:i w:val="0"/>
          <w:iCs w:val="0"/>
        </w:rPr>
        <w:fldChar w:fldCharType="begin"/>
      </w:r>
      <w:r>
        <w:rPr>
          <w:rFonts w:hint="eastAsia" w:ascii="楷体_GB2312" w:hAnsi="楷体_GB2312" w:eastAsia="楷体_GB2312" w:cs="楷体_GB2312"/>
          <w:i w:val="0"/>
          <w:iCs w:val="0"/>
        </w:rPr>
        <w:instrText xml:space="preserve"> HYPERLINK \l _Toc50 </w:instrText>
      </w:r>
      <w:r>
        <w:rPr>
          <w:rFonts w:hint="eastAsia" w:ascii="楷体_GB2312" w:hAnsi="楷体_GB2312" w:eastAsia="楷体_GB2312" w:cs="楷体_GB2312"/>
          <w:i w:val="0"/>
          <w:iCs w:val="0"/>
        </w:rPr>
        <w:fldChar w:fldCharType="separate"/>
      </w:r>
      <w:r>
        <w:rPr>
          <w:rFonts w:hint="eastAsia" w:ascii="楷体_GB2312" w:hAnsi="楷体_GB2312" w:eastAsia="楷体_GB2312" w:cs="楷体_GB2312"/>
          <w:bCs w:val="0"/>
          <w:i w:val="0"/>
          <w:iCs w:val="0"/>
          <w:spacing w:val="0"/>
          <w:szCs w:val="32"/>
        </w:rPr>
        <w:t>（三）背离事实假设</w:t>
      </w:r>
      <w:r>
        <w:rPr>
          <w:i w:val="0"/>
          <w:iCs w:val="0"/>
        </w:rPr>
        <w:tab/>
      </w:r>
      <w:r>
        <w:rPr>
          <w:i w:val="0"/>
          <w:iCs w:val="0"/>
        </w:rPr>
        <w:fldChar w:fldCharType="begin"/>
      </w:r>
      <w:r>
        <w:rPr>
          <w:i w:val="0"/>
          <w:iCs w:val="0"/>
        </w:rPr>
        <w:instrText xml:space="preserve"> PAGEREF _Toc50 </w:instrText>
      </w:r>
      <w:r>
        <w:rPr>
          <w:i w:val="0"/>
          <w:iCs w:val="0"/>
        </w:rPr>
        <w:fldChar w:fldCharType="separate"/>
      </w:r>
      <w:r>
        <w:rPr>
          <w:i w:val="0"/>
          <w:iCs w:val="0"/>
        </w:rPr>
        <w:t>6</w:t>
      </w:r>
      <w:r>
        <w:rPr>
          <w:i w:val="0"/>
          <w:iCs w:val="0"/>
        </w:rPr>
        <w:fldChar w:fldCharType="end"/>
      </w:r>
      <w:r>
        <w:rPr>
          <w:rFonts w:hint="eastAsia" w:ascii="楷体_GB2312" w:hAnsi="楷体_GB2312" w:eastAsia="楷体_GB2312" w:cs="楷体_GB2312"/>
          <w:i w:val="0"/>
          <w:iCs w:val="0"/>
        </w:rPr>
        <w:fldChar w:fldCharType="end"/>
      </w:r>
    </w:p>
    <w:p>
      <w:pPr>
        <w:pStyle w:val="22"/>
        <w:tabs>
          <w:tab w:val="right" w:leader="dot" w:pos="9383"/>
        </w:tabs>
        <w:rPr>
          <w:i w:val="0"/>
          <w:iCs w:val="0"/>
        </w:rPr>
      </w:pPr>
      <w:r>
        <w:rPr>
          <w:rFonts w:hint="eastAsia" w:ascii="楷体_GB2312" w:hAnsi="楷体_GB2312" w:eastAsia="楷体_GB2312" w:cs="楷体_GB2312"/>
          <w:i w:val="0"/>
          <w:iCs w:val="0"/>
        </w:rPr>
        <w:fldChar w:fldCharType="begin"/>
      </w:r>
      <w:r>
        <w:rPr>
          <w:rFonts w:hint="eastAsia" w:ascii="楷体_GB2312" w:hAnsi="楷体_GB2312" w:eastAsia="楷体_GB2312" w:cs="楷体_GB2312"/>
          <w:i w:val="0"/>
          <w:iCs w:val="0"/>
        </w:rPr>
        <w:instrText xml:space="preserve"> HYPERLINK \l _Toc16293 </w:instrText>
      </w:r>
      <w:r>
        <w:rPr>
          <w:rFonts w:hint="eastAsia" w:ascii="楷体_GB2312" w:hAnsi="楷体_GB2312" w:eastAsia="楷体_GB2312" w:cs="楷体_GB2312"/>
          <w:i w:val="0"/>
          <w:iCs w:val="0"/>
        </w:rPr>
        <w:fldChar w:fldCharType="separate"/>
      </w:r>
      <w:r>
        <w:rPr>
          <w:rFonts w:hint="eastAsia" w:ascii="楷体_GB2312" w:hAnsi="楷体_GB2312" w:eastAsia="楷体_GB2312" w:cs="楷体_GB2312"/>
          <w:bCs w:val="0"/>
          <w:i w:val="0"/>
          <w:iCs w:val="0"/>
          <w:spacing w:val="0"/>
          <w:szCs w:val="32"/>
        </w:rPr>
        <w:t>（四）特殊事项说明</w:t>
      </w:r>
      <w:r>
        <w:rPr>
          <w:i w:val="0"/>
          <w:iCs w:val="0"/>
        </w:rPr>
        <w:tab/>
      </w:r>
      <w:r>
        <w:rPr>
          <w:i w:val="0"/>
          <w:iCs w:val="0"/>
        </w:rPr>
        <w:fldChar w:fldCharType="begin"/>
      </w:r>
      <w:r>
        <w:rPr>
          <w:i w:val="0"/>
          <w:iCs w:val="0"/>
        </w:rPr>
        <w:instrText xml:space="preserve"> PAGEREF _Toc16293 </w:instrText>
      </w:r>
      <w:r>
        <w:rPr>
          <w:i w:val="0"/>
          <w:iCs w:val="0"/>
        </w:rPr>
        <w:fldChar w:fldCharType="separate"/>
      </w:r>
      <w:r>
        <w:rPr>
          <w:i w:val="0"/>
          <w:iCs w:val="0"/>
        </w:rPr>
        <w:t>6</w:t>
      </w:r>
      <w:r>
        <w:rPr>
          <w:i w:val="0"/>
          <w:iCs w:val="0"/>
        </w:rPr>
        <w:fldChar w:fldCharType="end"/>
      </w:r>
      <w:r>
        <w:rPr>
          <w:rFonts w:hint="eastAsia" w:ascii="楷体_GB2312" w:hAnsi="楷体_GB2312" w:eastAsia="楷体_GB2312" w:cs="楷体_GB2312"/>
          <w:i w:val="0"/>
          <w:iCs w:val="0"/>
        </w:rPr>
        <w:fldChar w:fldCharType="end"/>
      </w:r>
    </w:p>
    <w:p>
      <w:pPr>
        <w:pStyle w:val="22"/>
        <w:tabs>
          <w:tab w:val="right" w:leader="dot" w:pos="9383"/>
        </w:tabs>
        <w:rPr>
          <w:i w:val="0"/>
          <w:iCs w:val="0"/>
        </w:rPr>
      </w:pPr>
      <w:r>
        <w:rPr>
          <w:rFonts w:hint="eastAsia" w:ascii="楷体_GB2312" w:hAnsi="楷体_GB2312" w:eastAsia="楷体_GB2312" w:cs="楷体_GB2312"/>
          <w:i w:val="0"/>
          <w:iCs w:val="0"/>
        </w:rPr>
        <w:fldChar w:fldCharType="begin"/>
      </w:r>
      <w:r>
        <w:rPr>
          <w:rFonts w:hint="eastAsia" w:ascii="楷体_GB2312" w:hAnsi="楷体_GB2312" w:eastAsia="楷体_GB2312" w:cs="楷体_GB2312"/>
          <w:i w:val="0"/>
          <w:iCs w:val="0"/>
        </w:rPr>
        <w:instrText xml:space="preserve"> HYPERLINK \l _Toc11862 </w:instrText>
      </w:r>
      <w:r>
        <w:rPr>
          <w:rFonts w:hint="eastAsia" w:ascii="楷体_GB2312" w:hAnsi="楷体_GB2312" w:eastAsia="楷体_GB2312" w:cs="楷体_GB2312"/>
          <w:i w:val="0"/>
          <w:iCs w:val="0"/>
        </w:rPr>
        <w:fldChar w:fldCharType="separate"/>
      </w:r>
      <w:r>
        <w:rPr>
          <w:rFonts w:hint="eastAsia" w:ascii="楷体_GB2312" w:hAnsi="楷体_GB2312" w:eastAsia="楷体_GB2312" w:cs="楷体_GB2312"/>
          <w:bCs w:val="0"/>
          <w:i w:val="0"/>
          <w:iCs w:val="0"/>
          <w:spacing w:val="0"/>
          <w:szCs w:val="32"/>
        </w:rPr>
        <w:t>（五）评估结果使用特别提示</w:t>
      </w:r>
      <w:r>
        <w:rPr>
          <w:i w:val="0"/>
          <w:iCs w:val="0"/>
        </w:rPr>
        <w:tab/>
      </w:r>
      <w:r>
        <w:rPr>
          <w:i w:val="0"/>
          <w:iCs w:val="0"/>
        </w:rPr>
        <w:fldChar w:fldCharType="begin"/>
      </w:r>
      <w:r>
        <w:rPr>
          <w:i w:val="0"/>
          <w:iCs w:val="0"/>
        </w:rPr>
        <w:instrText xml:space="preserve"> PAGEREF _Toc11862 </w:instrText>
      </w:r>
      <w:r>
        <w:rPr>
          <w:i w:val="0"/>
          <w:iCs w:val="0"/>
        </w:rPr>
        <w:fldChar w:fldCharType="separate"/>
      </w:r>
      <w:r>
        <w:rPr>
          <w:i w:val="0"/>
          <w:iCs w:val="0"/>
        </w:rPr>
        <w:t>7</w:t>
      </w:r>
      <w:r>
        <w:rPr>
          <w:i w:val="0"/>
          <w:iCs w:val="0"/>
        </w:rPr>
        <w:fldChar w:fldCharType="end"/>
      </w:r>
      <w:r>
        <w:rPr>
          <w:rFonts w:hint="eastAsia" w:ascii="楷体_GB2312" w:hAnsi="楷体_GB2312" w:eastAsia="楷体_GB2312" w:cs="楷体_GB2312"/>
          <w:i w:val="0"/>
          <w:iCs w:val="0"/>
        </w:rPr>
        <w:fldChar w:fldCharType="end"/>
      </w:r>
    </w:p>
    <w:p>
      <w:pPr>
        <w:pStyle w:val="36"/>
        <w:tabs>
          <w:tab w:val="right" w:leader="dot" w:pos="9383"/>
        </w:tabs>
        <w:rPr>
          <w:i w:val="0"/>
          <w:iCs w:val="0"/>
        </w:rPr>
      </w:pPr>
      <w:r>
        <w:rPr>
          <w:rFonts w:hint="eastAsia" w:ascii="楷体_GB2312" w:hAnsi="楷体_GB2312" w:eastAsia="楷体_GB2312" w:cs="楷体_GB2312"/>
          <w:i w:val="0"/>
          <w:iCs w:val="0"/>
        </w:rPr>
        <w:fldChar w:fldCharType="begin"/>
      </w:r>
      <w:r>
        <w:rPr>
          <w:rFonts w:hint="eastAsia" w:ascii="楷体_GB2312" w:hAnsi="楷体_GB2312" w:eastAsia="楷体_GB2312" w:cs="楷体_GB2312"/>
          <w:i w:val="0"/>
          <w:iCs w:val="0"/>
        </w:rPr>
        <w:instrText xml:space="preserve"> HYPERLINK \l _Toc18840 </w:instrText>
      </w:r>
      <w:r>
        <w:rPr>
          <w:rFonts w:hint="eastAsia" w:ascii="楷体_GB2312" w:hAnsi="楷体_GB2312" w:eastAsia="楷体_GB2312" w:cs="楷体_GB2312"/>
          <w:i w:val="0"/>
          <w:iCs w:val="0"/>
        </w:rPr>
        <w:fldChar w:fldCharType="separate"/>
      </w:r>
      <w:r>
        <w:rPr>
          <w:rFonts w:hint="eastAsia" w:ascii="楷体_GB2312" w:hAnsi="楷体_GB2312" w:eastAsia="楷体_GB2312" w:cs="楷体_GB2312"/>
          <w:i w:val="0"/>
          <w:iCs w:val="0"/>
          <w:szCs w:val="72"/>
        </w:rPr>
        <w:t>三、估 价 结 果 报 告</w:t>
      </w:r>
      <w:r>
        <w:rPr>
          <w:i w:val="0"/>
          <w:iCs w:val="0"/>
        </w:rPr>
        <w:tab/>
      </w:r>
      <w:r>
        <w:rPr>
          <w:i w:val="0"/>
          <w:iCs w:val="0"/>
        </w:rPr>
        <w:fldChar w:fldCharType="begin"/>
      </w:r>
      <w:r>
        <w:rPr>
          <w:i w:val="0"/>
          <w:iCs w:val="0"/>
        </w:rPr>
        <w:instrText xml:space="preserve"> PAGEREF _Toc18840 </w:instrText>
      </w:r>
      <w:r>
        <w:rPr>
          <w:i w:val="0"/>
          <w:iCs w:val="0"/>
        </w:rPr>
        <w:fldChar w:fldCharType="separate"/>
      </w:r>
      <w:r>
        <w:rPr>
          <w:i w:val="0"/>
          <w:iCs w:val="0"/>
        </w:rPr>
        <w:t>8</w:t>
      </w:r>
      <w:r>
        <w:rPr>
          <w:i w:val="0"/>
          <w:iCs w:val="0"/>
        </w:rPr>
        <w:fldChar w:fldCharType="end"/>
      </w:r>
      <w:r>
        <w:rPr>
          <w:rFonts w:hint="eastAsia" w:ascii="楷体_GB2312" w:hAnsi="楷体_GB2312" w:eastAsia="楷体_GB2312" w:cs="楷体_GB2312"/>
          <w:i w:val="0"/>
          <w:iCs w:val="0"/>
        </w:rPr>
        <w:fldChar w:fldCharType="end"/>
      </w:r>
    </w:p>
    <w:p>
      <w:pPr>
        <w:pStyle w:val="22"/>
        <w:tabs>
          <w:tab w:val="right" w:leader="dot" w:pos="9383"/>
        </w:tabs>
        <w:rPr>
          <w:i w:val="0"/>
          <w:iCs w:val="0"/>
        </w:rPr>
      </w:pPr>
      <w:r>
        <w:rPr>
          <w:rFonts w:hint="eastAsia" w:ascii="楷体_GB2312" w:hAnsi="楷体_GB2312" w:eastAsia="楷体_GB2312" w:cs="楷体_GB2312"/>
          <w:i w:val="0"/>
          <w:iCs w:val="0"/>
        </w:rPr>
        <w:fldChar w:fldCharType="begin"/>
      </w:r>
      <w:r>
        <w:rPr>
          <w:rFonts w:hint="eastAsia" w:ascii="楷体_GB2312" w:hAnsi="楷体_GB2312" w:eastAsia="楷体_GB2312" w:cs="楷体_GB2312"/>
          <w:i w:val="0"/>
          <w:iCs w:val="0"/>
        </w:rPr>
        <w:instrText xml:space="preserve"> HYPERLINK \l _Toc13954 </w:instrText>
      </w:r>
      <w:r>
        <w:rPr>
          <w:rFonts w:hint="eastAsia" w:ascii="楷体_GB2312" w:hAnsi="楷体_GB2312" w:eastAsia="楷体_GB2312" w:cs="楷体_GB2312"/>
          <w:i w:val="0"/>
          <w:iCs w:val="0"/>
        </w:rPr>
        <w:fldChar w:fldCharType="separate"/>
      </w:r>
      <w:r>
        <w:rPr>
          <w:rFonts w:hint="eastAsia" w:ascii="楷体_GB2312" w:hAnsi="楷体_GB2312" w:eastAsia="楷体_GB2312" w:cs="楷体_GB2312"/>
          <w:bCs w:val="0"/>
          <w:i w:val="0"/>
          <w:iCs w:val="0"/>
          <w:spacing w:val="0"/>
          <w:szCs w:val="32"/>
        </w:rPr>
        <w:t>（一）估价委托方</w:t>
      </w:r>
      <w:r>
        <w:rPr>
          <w:i w:val="0"/>
          <w:iCs w:val="0"/>
        </w:rPr>
        <w:tab/>
      </w:r>
      <w:r>
        <w:rPr>
          <w:i w:val="0"/>
          <w:iCs w:val="0"/>
        </w:rPr>
        <w:fldChar w:fldCharType="begin"/>
      </w:r>
      <w:r>
        <w:rPr>
          <w:i w:val="0"/>
          <w:iCs w:val="0"/>
        </w:rPr>
        <w:instrText xml:space="preserve"> PAGEREF _Toc13954 </w:instrText>
      </w:r>
      <w:r>
        <w:rPr>
          <w:i w:val="0"/>
          <w:iCs w:val="0"/>
        </w:rPr>
        <w:fldChar w:fldCharType="separate"/>
      </w:r>
      <w:r>
        <w:rPr>
          <w:i w:val="0"/>
          <w:iCs w:val="0"/>
        </w:rPr>
        <w:t>8</w:t>
      </w:r>
      <w:r>
        <w:rPr>
          <w:i w:val="0"/>
          <w:iCs w:val="0"/>
        </w:rPr>
        <w:fldChar w:fldCharType="end"/>
      </w:r>
      <w:r>
        <w:rPr>
          <w:rFonts w:hint="eastAsia" w:ascii="楷体_GB2312" w:hAnsi="楷体_GB2312" w:eastAsia="楷体_GB2312" w:cs="楷体_GB2312"/>
          <w:i w:val="0"/>
          <w:iCs w:val="0"/>
        </w:rPr>
        <w:fldChar w:fldCharType="end"/>
      </w:r>
    </w:p>
    <w:p>
      <w:pPr>
        <w:pStyle w:val="22"/>
        <w:tabs>
          <w:tab w:val="right" w:leader="dot" w:pos="9383"/>
        </w:tabs>
        <w:rPr>
          <w:i w:val="0"/>
          <w:iCs w:val="0"/>
        </w:rPr>
      </w:pPr>
      <w:r>
        <w:rPr>
          <w:rFonts w:hint="eastAsia" w:ascii="楷体_GB2312" w:hAnsi="楷体_GB2312" w:eastAsia="楷体_GB2312" w:cs="楷体_GB2312"/>
          <w:i w:val="0"/>
          <w:iCs w:val="0"/>
        </w:rPr>
        <w:fldChar w:fldCharType="begin"/>
      </w:r>
      <w:r>
        <w:rPr>
          <w:rFonts w:hint="eastAsia" w:ascii="楷体_GB2312" w:hAnsi="楷体_GB2312" w:eastAsia="楷体_GB2312" w:cs="楷体_GB2312"/>
          <w:i w:val="0"/>
          <w:iCs w:val="0"/>
        </w:rPr>
        <w:instrText xml:space="preserve"> HYPERLINK \l _Toc5542 </w:instrText>
      </w:r>
      <w:r>
        <w:rPr>
          <w:rFonts w:hint="eastAsia" w:ascii="楷体_GB2312" w:hAnsi="楷体_GB2312" w:eastAsia="楷体_GB2312" w:cs="楷体_GB2312"/>
          <w:i w:val="0"/>
          <w:iCs w:val="0"/>
        </w:rPr>
        <w:fldChar w:fldCharType="separate"/>
      </w:r>
      <w:r>
        <w:rPr>
          <w:rFonts w:hint="eastAsia" w:ascii="楷体_GB2312" w:hAnsi="楷体_GB2312" w:eastAsia="楷体_GB2312" w:cs="楷体_GB2312"/>
          <w:bCs w:val="0"/>
          <w:i w:val="0"/>
          <w:iCs w:val="0"/>
          <w:spacing w:val="0"/>
          <w:szCs w:val="32"/>
        </w:rPr>
        <w:t>（二）房地产估价机构</w:t>
      </w:r>
      <w:r>
        <w:rPr>
          <w:i w:val="0"/>
          <w:iCs w:val="0"/>
        </w:rPr>
        <w:tab/>
      </w:r>
      <w:r>
        <w:rPr>
          <w:i w:val="0"/>
          <w:iCs w:val="0"/>
        </w:rPr>
        <w:fldChar w:fldCharType="begin"/>
      </w:r>
      <w:r>
        <w:rPr>
          <w:i w:val="0"/>
          <w:iCs w:val="0"/>
        </w:rPr>
        <w:instrText xml:space="preserve"> PAGEREF _Toc5542 </w:instrText>
      </w:r>
      <w:r>
        <w:rPr>
          <w:i w:val="0"/>
          <w:iCs w:val="0"/>
        </w:rPr>
        <w:fldChar w:fldCharType="separate"/>
      </w:r>
      <w:r>
        <w:rPr>
          <w:i w:val="0"/>
          <w:iCs w:val="0"/>
        </w:rPr>
        <w:t>8</w:t>
      </w:r>
      <w:r>
        <w:rPr>
          <w:i w:val="0"/>
          <w:iCs w:val="0"/>
        </w:rPr>
        <w:fldChar w:fldCharType="end"/>
      </w:r>
      <w:r>
        <w:rPr>
          <w:rFonts w:hint="eastAsia" w:ascii="楷体_GB2312" w:hAnsi="楷体_GB2312" w:eastAsia="楷体_GB2312" w:cs="楷体_GB2312"/>
          <w:i w:val="0"/>
          <w:iCs w:val="0"/>
        </w:rPr>
        <w:fldChar w:fldCharType="end"/>
      </w:r>
    </w:p>
    <w:p>
      <w:pPr>
        <w:pStyle w:val="22"/>
        <w:tabs>
          <w:tab w:val="right" w:leader="dot" w:pos="9383"/>
        </w:tabs>
        <w:rPr>
          <w:i w:val="0"/>
          <w:iCs w:val="0"/>
        </w:rPr>
      </w:pPr>
      <w:r>
        <w:rPr>
          <w:rFonts w:hint="eastAsia" w:ascii="楷体_GB2312" w:hAnsi="楷体_GB2312" w:eastAsia="楷体_GB2312" w:cs="楷体_GB2312"/>
          <w:i w:val="0"/>
          <w:iCs w:val="0"/>
        </w:rPr>
        <w:fldChar w:fldCharType="begin"/>
      </w:r>
      <w:r>
        <w:rPr>
          <w:rFonts w:hint="eastAsia" w:ascii="楷体_GB2312" w:hAnsi="楷体_GB2312" w:eastAsia="楷体_GB2312" w:cs="楷体_GB2312"/>
          <w:i w:val="0"/>
          <w:iCs w:val="0"/>
        </w:rPr>
        <w:instrText xml:space="preserve"> HYPERLINK \l _Toc8391 </w:instrText>
      </w:r>
      <w:r>
        <w:rPr>
          <w:rFonts w:hint="eastAsia" w:ascii="楷体_GB2312" w:hAnsi="楷体_GB2312" w:eastAsia="楷体_GB2312" w:cs="楷体_GB2312"/>
          <w:i w:val="0"/>
          <w:iCs w:val="0"/>
        </w:rPr>
        <w:fldChar w:fldCharType="separate"/>
      </w:r>
      <w:r>
        <w:rPr>
          <w:rFonts w:hint="eastAsia" w:ascii="楷体_GB2312" w:hAnsi="楷体_GB2312" w:eastAsia="楷体_GB2312" w:cs="楷体_GB2312"/>
          <w:bCs w:val="0"/>
          <w:i w:val="0"/>
          <w:iCs w:val="0"/>
          <w:spacing w:val="0"/>
          <w:szCs w:val="32"/>
        </w:rPr>
        <w:t>（三）估价目的</w:t>
      </w:r>
      <w:r>
        <w:rPr>
          <w:i w:val="0"/>
          <w:iCs w:val="0"/>
        </w:rPr>
        <w:tab/>
      </w:r>
      <w:r>
        <w:rPr>
          <w:i w:val="0"/>
          <w:iCs w:val="0"/>
        </w:rPr>
        <w:fldChar w:fldCharType="begin"/>
      </w:r>
      <w:r>
        <w:rPr>
          <w:i w:val="0"/>
          <w:iCs w:val="0"/>
        </w:rPr>
        <w:instrText xml:space="preserve"> PAGEREF _Toc8391 </w:instrText>
      </w:r>
      <w:r>
        <w:rPr>
          <w:i w:val="0"/>
          <w:iCs w:val="0"/>
        </w:rPr>
        <w:fldChar w:fldCharType="separate"/>
      </w:r>
      <w:r>
        <w:rPr>
          <w:i w:val="0"/>
          <w:iCs w:val="0"/>
        </w:rPr>
        <w:t>8</w:t>
      </w:r>
      <w:r>
        <w:rPr>
          <w:i w:val="0"/>
          <w:iCs w:val="0"/>
        </w:rPr>
        <w:fldChar w:fldCharType="end"/>
      </w:r>
      <w:r>
        <w:rPr>
          <w:rFonts w:hint="eastAsia" w:ascii="楷体_GB2312" w:hAnsi="楷体_GB2312" w:eastAsia="楷体_GB2312" w:cs="楷体_GB2312"/>
          <w:i w:val="0"/>
          <w:iCs w:val="0"/>
        </w:rPr>
        <w:fldChar w:fldCharType="end"/>
      </w:r>
    </w:p>
    <w:p>
      <w:pPr>
        <w:pStyle w:val="22"/>
        <w:tabs>
          <w:tab w:val="right" w:leader="dot" w:pos="9383"/>
        </w:tabs>
        <w:rPr>
          <w:i w:val="0"/>
          <w:iCs w:val="0"/>
        </w:rPr>
      </w:pPr>
      <w:r>
        <w:rPr>
          <w:rFonts w:hint="eastAsia" w:ascii="楷体_GB2312" w:hAnsi="楷体_GB2312" w:eastAsia="楷体_GB2312" w:cs="楷体_GB2312"/>
          <w:i w:val="0"/>
          <w:iCs w:val="0"/>
        </w:rPr>
        <w:fldChar w:fldCharType="begin"/>
      </w:r>
      <w:r>
        <w:rPr>
          <w:rFonts w:hint="eastAsia" w:ascii="楷体_GB2312" w:hAnsi="楷体_GB2312" w:eastAsia="楷体_GB2312" w:cs="楷体_GB2312"/>
          <w:i w:val="0"/>
          <w:iCs w:val="0"/>
        </w:rPr>
        <w:instrText xml:space="preserve"> HYPERLINK \l _Toc30507 </w:instrText>
      </w:r>
      <w:r>
        <w:rPr>
          <w:rFonts w:hint="eastAsia" w:ascii="楷体_GB2312" w:hAnsi="楷体_GB2312" w:eastAsia="楷体_GB2312" w:cs="楷体_GB2312"/>
          <w:i w:val="0"/>
          <w:iCs w:val="0"/>
        </w:rPr>
        <w:fldChar w:fldCharType="separate"/>
      </w:r>
      <w:r>
        <w:rPr>
          <w:rFonts w:hint="eastAsia" w:ascii="楷体_GB2312" w:hAnsi="楷体_GB2312" w:eastAsia="楷体_GB2312" w:cs="楷体_GB2312"/>
          <w:bCs w:val="0"/>
          <w:i w:val="0"/>
          <w:iCs w:val="0"/>
          <w:spacing w:val="0"/>
          <w:szCs w:val="32"/>
        </w:rPr>
        <w:t>（四）估价对象</w:t>
      </w:r>
      <w:r>
        <w:rPr>
          <w:i w:val="0"/>
          <w:iCs w:val="0"/>
        </w:rPr>
        <w:tab/>
      </w:r>
      <w:r>
        <w:rPr>
          <w:i w:val="0"/>
          <w:iCs w:val="0"/>
        </w:rPr>
        <w:fldChar w:fldCharType="begin"/>
      </w:r>
      <w:r>
        <w:rPr>
          <w:i w:val="0"/>
          <w:iCs w:val="0"/>
        </w:rPr>
        <w:instrText xml:space="preserve"> PAGEREF _Toc30507 </w:instrText>
      </w:r>
      <w:r>
        <w:rPr>
          <w:i w:val="0"/>
          <w:iCs w:val="0"/>
        </w:rPr>
        <w:fldChar w:fldCharType="separate"/>
      </w:r>
      <w:r>
        <w:rPr>
          <w:i w:val="0"/>
          <w:iCs w:val="0"/>
        </w:rPr>
        <w:t>8</w:t>
      </w:r>
      <w:r>
        <w:rPr>
          <w:i w:val="0"/>
          <w:iCs w:val="0"/>
        </w:rPr>
        <w:fldChar w:fldCharType="end"/>
      </w:r>
      <w:r>
        <w:rPr>
          <w:rFonts w:hint="eastAsia" w:ascii="楷体_GB2312" w:hAnsi="楷体_GB2312" w:eastAsia="楷体_GB2312" w:cs="楷体_GB2312"/>
          <w:i w:val="0"/>
          <w:iCs w:val="0"/>
        </w:rPr>
        <w:fldChar w:fldCharType="end"/>
      </w:r>
    </w:p>
    <w:p>
      <w:pPr>
        <w:pStyle w:val="22"/>
        <w:tabs>
          <w:tab w:val="right" w:leader="dot" w:pos="9383"/>
        </w:tabs>
        <w:rPr>
          <w:i w:val="0"/>
          <w:iCs w:val="0"/>
        </w:rPr>
      </w:pPr>
      <w:r>
        <w:rPr>
          <w:rFonts w:hint="eastAsia" w:ascii="楷体_GB2312" w:hAnsi="楷体_GB2312" w:eastAsia="楷体_GB2312" w:cs="楷体_GB2312"/>
          <w:i w:val="0"/>
          <w:iCs w:val="0"/>
        </w:rPr>
        <w:fldChar w:fldCharType="begin"/>
      </w:r>
      <w:r>
        <w:rPr>
          <w:rFonts w:hint="eastAsia" w:ascii="楷体_GB2312" w:hAnsi="楷体_GB2312" w:eastAsia="楷体_GB2312" w:cs="楷体_GB2312"/>
          <w:i w:val="0"/>
          <w:iCs w:val="0"/>
        </w:rPr>
        <w:instrText xml:space="preserve"> HYPERLINK \l _Toc30809 </w:instrText>
      </w:r>
      <w:r>
        <w:rPr>
          <w:rFonts w:hint="eastAsia" w:ascii="楷体_GB2312" w:hAnsi="楷体_GB2312" w:eastAsia="楷体_GB2312" w:cs="楷体_GB2312"/>
          <w:i w:val="0"/>
          <w:iCs w:val="0"/>
        </w:rPr>
        <w:fldChar w:fldCharType="separate"/>
      </w:r>
      <w:r>
        <w:rPr>
          <w:rFonts w:hint="eastAsia" w:ascii="楷体_GB2312" w:hAnsi="楷体_GB2312" w:eastAsia="楷体_GB2312" w:cs="楷体_GB2312"/>
          <w:bCs w:val="0"/>
          <w:i w:val="0"/>
          <w:iCs w:val="0"/>
          <w:spacing w:val="0"/>
          <w:szCs w:val="32"/>
        </w:rPr>
        <w:t>（五）价值时点</w:t>
      </w:r>
      <w:r>
        <w:rPr>
          <w:i w:val="0"/>
          <w:iCs w:val="0"/>
        </w:rPr>
        <w:tab/>
      </w:r>
      <w:r>
        <w:rPr>
          <w:i w:val="0"/>
          <w:iCs w:val="0"/>
        </w:rPr>
        <w:fldChar w:fldCharType="begin"/>
      </w:r>
      <w:r>
        <w:rPr>
          <w:i w:val="0"/>
          <w:iCs w:val="0"/>
        </w:rPr>
        <w:instrText xml:space="preserve"> PAGEREF _Toc30809 </w:instrText>
      </w:r>
      <w:r>
        <w:rPr>
          <w:i w:val="0"/>
          <w:iCs w:val="0"/>
        </w:rPr>
        <w:fldChar w:fldCharType="separate"/>
      </w:r>
      <w:r>
        <w:rPr>
          <w:i w:val="0"/>
          <w:iCs w:val="0"/>
        </w:rPr>
        <w:t>11</w:t>
      </w:r>
      <w:r>
        <w:rPr>
          <w:i w:val="0"/>
          <w:iCs w:val="0"/>
        </w:rPr>
        <w:fldChar w:fldCharType="end"/>
      </w:r>
      <w:r>
        <w:rPr>
          <w:rFonts w:hint="eastAsia" w:ascii="楷体_GB2312" w:hAnsi="楷体_GB2312" w:eastAsia="楷体_GB2312" w:cs="楷体_GB2312"/>
          <w:i w:val="0"/>
          <w:iCs w:val="0"/>
        </w:rPr>
        <w:fldChar w:fldCharType="end"/>
      </w:r>
    </w:p>
    <w:p>
      <w:pPr>
        <w:pStyle w:val="22"/>
        <w:tabs>
          <w:tab w:val="right" w:leader="dot" w:pos="9383"/>
        </w:tabs>
        <w:rPr>
          <w:i w:val="0"/>
          <w:iCs w:val="0"/>
        </w:rPr>
      </w:pPr>
      <w:r>
        <w:rPr>
          <w:rFonts w:hint="eastAsia" w:ascii="楷体_GB2312" w:hAnsi="楷体_GB2312" w:eastAsia="楷体_GB2312" w:cs="楷体_GB2312"/>
          <w:i w:val="0"/>
          <w:iCs w:val="0"/>
        </w:rPr>
        <w:fldChar w:fldCharType="begin"/>
      </w:r>
      <w:r>
        <w:rPr>
          <w:rFonts w:hint="eastAsia" w:ascii="楷体_GB2312" w:hAnsi="楷体_GB2312" w:eastAsia="楷体_GB2312" w:cs="楷体_GB2312"/>
          <w:i w:val="0"/>
          <w:iCs w:val="0"/>
        </w:rPr>
        <w:instrText xml:space="preserve"> HYPERLINK \l _Toc25774 </w:instrText>
      </w:r>
      <w:r>
        <w:rPr>
          <w:rFonts w:hint="eastAsia" w:ascii="楷体_GB2312" w:hAnsi="楷体_GB2312" w:eastAsia="楷体_GB2312" w:cs="楷体_GB2312"/>
          <w:i w:val="0"/>
          <w:iCs w:val="0"/>
        </w:rPr>
        <w:fldChar w:fldCharType="separate"/>
      </w:r>
      <w:r>
        <w:rPr>
          <w:rFonts w:hint="eastAsia" w:ascii="楷体_GB2312" w:hAnsi="楷体_GB2312" w:eastAsia="楷体_GB2312" w:cs="楷体_GB2312"/>
          <w:bCs w:val="0"/>
          <w:i w:val="0"/>
          <w:iCs w:val="0"/>
          <w:spacing w:val="0"/>
          <w:szCs w:val="32"/>
        </w:rPr>
        <w:t>（六）价值类型</w:t>
      </w:r>
      <w:r>
        <w:rPr>
          <w:i w:val="0"/>
          <w:iCs w:val="0"/>
        </w:rPr>
        <w:tab/>
      </w:r>
      <w:r>
        <w:rPr>
          <w:i w:val="0"/>
          <w:iCs w:val="0"/>
        </w:rPr>
        <w:fldChar w:fldCharType="begin"/>
      </w:r>
      <w:r>
        <w:rPr>
          <w:i w:val="0"/>
          <w:iCs w:val="0"/>
        </w:rPr>
        <w:instrText xml:space="preserve"> PAGEREF _Toc25774 </w:instrText>
      </w:r>
      <w:r>
        <w:rPr>
          <w:i w:val="0"/>
          <w:iCs w:val="0"/>
        </w:rPr>
        <w:fldChar w:fldCharType="separate"/>
      </w:r>
      <w:r>
        <w:rPr>
          <w:i w:val="0"/>
          <w:iCs w:val="0"/>
        </w:rPr>
        <w:t>12</w:t>
      </w:r>
      <w:r>
        <w:rPr>
          <w:i w:val="0"/>
          <w:iCs w:val="0"/>
        </w:rPr>
        <w:fldChar w:fldCharType="end"/>
      </w:r>
      <w:r>
        <w:rPr>
          <w:rFonts w:hint="eastAsia" w:ascii="楷体_GB2312" w:hAnsi="楷体_GB2312" w:eastAsia="楷体_GB2312" w:cs="楷体_GB2312"/>
          <w:i w:val="0"/>
          <w:iCs w:val="0"/>
        </w:rPr>
        <w:fldChar w:fldCharType="end"/>
      </w:r>
    </w:p>
    <w:p>
      <w:pPr>
        <w:pStyle w:val="22"/>
        <w:tabs>
          <w:tab w:val="right" w:leader="dot" w:pos="9383"/>
        </w:tabs>
        <w:rPr>
          <w:i w:val="0"/>
          <w:iCs w:val="0"/>
        </w:rPr>
      </w:pPr>
      <w:r>
        <w:rPr>
          <w:rFonts w:hint="eastAsia" w:ascii="楷体_GB2312" w:hAnsi="楷体_GB2312" w:eastAsia="楷体_GB2312" w:cs="楷体_GB2312"/>
          <w:i w:val="0"/>
          <w:iCs w:val="0"/>
        </w:rPr>
        <w:fldChar w:fldCharType="begin"/>
      </w:r>
      <w:r>
        <w:rPr>
          <w:rFonts w:hint="eastAsia" w:ascii="楷体_GB2312" w:hAnsi="楷体_GB2312" w:eastAsia="楷体_GB2312" w:cs="楷体_GB2312"/>
          <w:i w:val="0"/>
          <w:iCs w:val="0"/>
        </w:rPr>
        <w:instrText xml:space="preserve"> HYPERLINK \l _Toc6462 </w:instrText>
      </w:r>
      <w:r>
        <w:rPr>
          <w:rFonts w:hint="eastAsia" w:ascii="楷体_GB2312" w:hAnsi="楷体_GB2312" w:eastAsia="楷体_GB2312" w:cs="楷体_GB2312"/>
          <w:i w:val="0"/>
          <w:iCs w:val="0"/>
        </w:rPr>
        <w:fldChar w:fldCharType="separate"/>
      </w:r>
      <w:r>
        <w:rPr>
          <w:rFonts w:hint="eastAsia" w:ascii="楷体_GB2312" w:hAnsi="楷体_GB2312" w:eastAsia="楷体_GB2312" w:cs="楷体_GB2312"/>
          <w:bCs w:val="0"/>
          <w:i w:val="0"/>
          <w:iCs w:val="0"/>
          <w:spacing w:val="0"/>
          <w:szCs w:val="32"/>
        </w:rPr>
        <w:t>（七）估价依据</w:t>
      </w:r>
      <w:r>
        <w:rPr>
          <w:i w:val="0"/>
          <w:iCs w:val="0"/>
        </w:rPr>
        <w:tab/>
      </w:r>
      <w:r>
        <w:rPr>
          <w:i w:val="0"/>
          <w:iCs w:val="0"/>
        </w:rPr>
        <w:fldChar w:fldCharType="begin"/>
      </w:r>
      <w:r>
        <w:rPr>
          <w:i w:val="0"/>
          <w:iCs w:val="0"/>
        </w:rPr>
        <w:instrText xml:space="preserve"> PAGEREF _Toc6462 </w:instrText>
      </w:r>
      <w:r>
        <w:rPr>
          <w:i w:val="0"/>
          <w:iCs w:val="0"/>
        </w:rPr>
        <w:fldChar w:fldCharType="separate"/>
      </w:r>
      <w:r>
        <w:rPr>
          <w:i w:val="0"/>
          <w:iCs w:val="0"/>
        </w:rPr>
        <w:t>12</w:t>
      </w:r>
      <w:r>
        <w:rPr>
          <w:i w:val="0"/>
          <w:iCs w:val="0"/>
        </w:rPr>
        <w:fldChar w:fldCharType="end"/>
      </w:r>
      <w:r>
        <w:rPr>
          <w:rFonts w:hint="eastAsia" w:ascii="楷体_GB2312" w:hAnsi="楷体_GB2312" w:eastAsia="楷体_GB2312" w:cs="楷体_GB2312"/>
          <w:i w:val="0"/>
          <w:iCs w:val="0"/>
        </w:rPr>
        <w:fldChar w:fldCharType="end"/>
      </w:r>
    </w:p>
    <w:p>
      <w:pPr>
        <w:pStyle w:val="22"/>
        <w:tabs>
          <w:tab w:val="right" w:leader="dot" w:pos="9383"/>
        </w:tabs>
        <w:rPr>
          <w:i w:val="0"/>
          <w:iCs w:val="0"/>
        </w:rPr>
      </w:pPr>
      <w:r>
        <w:rPr>
          <w:rFonts w:hint="eastAsia" w:ascii="楷体_GB2312" w:hAnsi="楷体_GB2312" w:eastAsia="楷体_GB2312" w:cs="楷体_GB2312"/>
          <w:i w:val="0"/>
          <w:iCs w:val="0"/>
        </w:rPr>
        <w:fldChar w:fldCharType="begin"/>
      </w:r>
      <w:r>
        <w:rPr>
          <w:rFonts w:hint="eastAsia" w:ascii="楷体_GB2312" w:hAnsi="楷体_GB2312" w:eastAsia="楷体_GB2312" w:cs="楷体_GB2312"/>
          <w:i w:val="0"/>
          <w:iCs w:val="0"/>
        </w:rPr>
        <w:instrText xml:space="preserve"> HYPERLINK \l _Toc29524 </w:instrText>
      </w:r>
      <w:r>
        <w:rPr>
          <w:rFonts w:hint="eastAsia" w:ascii="楷体_GB2312" w:hAnsi="楷体_GB2312" w:eastAsia="楷体_GB2312" w:cs="楷体_GB2312"/>
          <w:i w:val="0"/>
          <w:iCs w:val="0"/>
        </w:rPr>
        <w:fldChar w:fldCharType="separate"/>
      </w:r>
      <w:r>
        <w:rPr>
          <w:rFonts w:hint="eastAsia" w:ascii="楷体_GB2312" w:hAnsi="楷体_GB2312" w:eastAsia="楷体_GB2312" w:cs="楷体_GB2312"/>
          <w:bCs w:val="0"/>
          <w:i w:val="0"/>
          <w:iCs w:val="0"/>
          <w:spacing w:val="0"/>
          <w:szCs w:val="32"/>
        </w:rPr>
        <w:t>（八）估价原则</w:t>
      </w:r>
      <w:r>
        <w:rPr>
          <w:i w:val="0"/>
          <w:iCs w:val="0"/>
        </w:rPr>
        <w:tab/>
      </w:r>
      <w:r>
        <w:rPr>
          <w:i w:val="0"/>
          <w:iCs w:val="0"/>
        </w:rPr>
        <w:fldChar w:fldCharType="begin"/>
      </w:r>
      <w:r>
        <w:rPr>
          <w:i w:val="0"/>
          <w:iCs w:val="0"/>
        </w:rPr>
        <w:instrText xml:space="preserve"> PAGEREF _Toc29524 </w:instrText>
      </w:r>
      <w:r>
        <w:rPr>
          <w:i w:val="0"/>
          <w:iCs w:val="0"/>
        </w:rPr>
        <w:fldChar w:fldCharType="separate"/>
      </w:r>
      <w:r>
        <w:rPr>
          <w:i w:val="0"/>
          <w:iCs w:val="0"/>
        </w:rPr>
        <w:t>13</w:t>
      </w:r>
      <w:r>
        <w:rPr>
          <w:i w:val="0"/>
          <w:iCs w:val="0"/>
        </w:rPr>
        <w:fldChar w:fldCharType="end"/>
      </w:r>
      <w:r>
        <w:rPr>
          <w:rFonts w:hint="eastAsia" w:ascii="楷体_GB2312" w:hAnsi="楷体_GB2312" w:eastAsia="楷体_GB2312" w:cs="楷体_GB2312"/>
          <w:i w:val="0"/>
          <w:iCs w:val="0"/>
        </w:rPr>
        <w:fldChar w:fldCharType="end"/>
      </w:r>
    </w:p>
    <w:p>
      <w:pPr>
        <w:pStyle w:val="22"/>
        <w:tabs>
          <w:tab w:val="right" w:leader="dot" w:pos="9383"/>
        </w:tabs>
        <w:rPr>
          <w:i w:val="0"/>
          <w:iCs w:val="0"/>
        </w:rPr>
      </w:pPr>
      <w:r>
        <w:rPr>
          <w:rFonts w:hint="eastAsia" w:ascii="楷体_GB2312" w:hAnsi="楷体_GB2312" w:eastAsia="楷体_GB2312" w:cs="楷体_GB2312"/>
          <w:i w:val="0"/>
          <w:iCs w:val="0"/>
        </w:rPr>
        <w:fldChar w:fldCharType="begin"/>
      </w:r>
      <w:r>
        <w:rPr>
          <w:rFonts w:hint="eastAsia" w:ascii="楷体_GB2312" w:hAnsi="楷体_GB2312" w:eastAsia="楷体_GB2312" w:cs="楷体_GB2312"/>
          <w:i w:val="0"/>
          <w:iCs w:val="0"/>
        </w:rPr>
        <w:instrText xml:space="preserve"> HYPERLINK \l _Toc4210 </w:instrText>
      </w:r>
      <w:r>
        <w:rPr>
          <w:rFonts w:hint="eastAsia" w:ascii="楷体_GB2312" w:hAnsi="楷体_GB2312" w:eastAsia="楷体_GB2312" w:cs="楷体_GB2312"/>
          <w:i w:val="0"/>
          <w:iCs w:val="0"/>
        </w:rPr>
        <w:fldChar w:fldCharType="separate"/>
      </w:r>
      <w:r>
        <w:rPr>
          <w:rFonts w:hint="eastAsia" w:ascii="楷体_GB2312" w:hAnsi="楷体_GB2312" w:eastAsia="楷体_GB2312" w:cs="楷体_GB2312"/>
          <w:bCs w:val="0"/>
          <w:i w:val="0"/>
          <w:iCs w:val="0"/>
          <w:spacing w:val="0"/>
          <w:szCs w:val="32"/>
        </w:rPr>
        <w:t>（九）估价方法</w:t>
      </w:r>
      <w:r>
        <w:rPr>
          <w:i w:val="0"/>
          <w:iCs w:val="0"/>
        </w:rPr>
        <w:tab/>
      </w:r>
      <w:r>
        <w:rPr>
          <w:i w:val="0"/>
          <w:iCs w:val="0"/>
        </w:rPr>
        <w:fldChar w:fldCharType="begin"/>
      </w:r>
      <w:r>
        <w:rPr>
          <w:i w:val="0"/>
          <w:iCs w:val="0"/>
        </w:rPr>
        <w:instrText xml:space="preserve"> PAGEREF _Toc4210 </w:instrText>
      </w:r>
      <w:r>
        <w:rPr>
          <w:i w:val="0"/>
          <w:iCs w:val="0"/>
        </w:rPr>
        <w:fldChar w:fldCharType="separate"/>
      </w:r>
      <w:r>
        <w:rPr>
          <w:i w:val="0"/>
          <w:iCs w:val="0"/>
        </w:rPr>
        <w:t>14</w:t>
      </w:r>
      <w:r>
        <w:rPr>
          <w:i w:val="0"/>
          <w:iCs w:val="0"/>
        </w:rPr>
        <w:fldChar w:fldCharType="end"/>
      </w:r>
      <w:r>
        <w:rPr>
          <w:rFonts w:hint="eastAsia" w:ascii="楷体_GB2312" w:hAnsi="楷体_GB2312" w:eastAsia="楷体_GB2312" w:cs="楷体_GB2312"/>
          <w:i w:val="0"/>
          <w:iCs w:val="0"/>
        </w:rPr>
        <w:fldChar w:fldCharType="end"/>
      </w:r>
    </w:p>
    <w:p>
      <w:pPr>
        <w:pStyle w:val="22"/>
        <w:tabs>
          <w:tab w:val="right" w:leader="dot" w:pos="9383"/>
        </w:tabs>
        <w:rPr>
          <w:i w:val="0"/>
          <w:iCs w:val="0"/>
        </w:rPr>
      </w:pPr>
      <w:r>
        <w:rPr>
          <w:rFonts w:hint="eastAsia" w:ascii="楷体_GB2312" w:hAnsi="楷体_GB2312" w:eastAsia="楷体_GB2312" w:cs="楷体_GB2312"/>
          <w:i w:val="0"/>
          <w:iCs w:val="0"/>
        </w:rPr>
        <w:fldChar w:fldCharType="begin"/>
      </w:r>
      <w:r>
        <w:rPr>
          <w:rFonts w:hint="eastAsia" w:ascii="楷体_GB2312" w:hAnsi="楷体_GB2312" w:eastAsia="楷体_GB2312" w:cs="楷体_GB2312"/>
          <w:i w:val="0"/>
          <w:iCs w:val="0"/>
        </w:rPr>
        <w:instrText xml:space="preserve"> HYPERLINK \l _Toc16101 </w:instrText>
      </w:r>
      <w:r>
        <w:rPr>
          <w:rFonts w:hint="eastAsia" w:ascii="楷体_GB2312" w:hAnsi="楷体_GB2312" w:eastAsia="楷体_GB2312" w:cs="楷体_GB2312"/>
          <w:i w:val="0"/>
          <w:iCs w:val="0"/>
        </w:rPr>
        <w:fldChar w:fldCharType="separate"/>
      </w:r>
      <w:r>
        <w:rPr>
          <w:rFonts w:hint="eastAsia" w:ascii="楷体_GB2312" w:hAnsi="楷体_GB2312" w:eastAsia="楷体_GB2312" w:cs="楷体_GB2312"/>
          <w:bCs w:val="0"/>
          <w:i w:val="0"/>
          <w:iCs w:val="0"/>
          <w:spacing w:val="0"/>
          <w:szCs w:val="32"/>
        </w:rPr>
        <w:t>（十）估价结果</w:t>
      </w:r>
      <w:r>
        <w:rPr>
          <w:i w:val="0"/>
          <w:iCs w:val="0"/>
        </w:rPr>
        <w:tab/>
      </w:r>
      <w:r>
        <w:rPr>
          <w:i w:val="0"/>
          <w:iCs w:val="0"/>
        </w:rPr>
        <w:fldChar w:fldCharType="begin"/>
      </w:r>
      <w:r>
        <w:rPr>
          <w:i w:val="0"/>
          <w:iCs w:val="0"/>
        </w:rPr>
        <w:instrText xml:space="preserve"> PAGEREF _Toc16101 </w:instrText>
      </w:r>
      <w:r>
        <w:rPr>
          <w:i w:val="0"/>
          <w:iCs w:val="0"/>
        </w:rPr>
        <w:fldChar w:fldCharType="separate"/>
      </w:r>
      <w:r>
        <w:rPr>
          <w:i w:val="0"/>
          <w:iCs w:val="0"/>
        </w:rPr>
        <w:t>16</w:t>
      </w:r>
      <w:r>
        <w:rPr>
          <w:i w:val="0"/>
          <w:iCs w:val="0"/>
        </w:rPr>
        <w:fldChar w:fldCharType="end"/>
      </w:r>
      <w:r>
        <w:rPr>
          <w:rFonts w:hint="eastAsia" w:ascii="楷体_GB2312" w:hAnsi="楷体_GB2312" w:eastAsia="楷体_GB2312" w:cs="楷体_GB2312"/>
          <w:i w:val="0"/>
          <w:iCs w:val="0"/>
        </w:rPr>
        <w:fldChar w:fldCharType="end"/>
      </w:r>
    </w:p>
    <w:p>
      <w:pPr>
        <w:pStyle w:val="22"/>
        <w:tabs>
          <w:tab w:val="right" w:leader="dot" w:pos="9383"/>
        </w:tabs>
        <w:rPr>
          <w:i w:val="0"/>
          <w:iCs w:val="0"/>
        </w:rPr>
      </w:pPr>
      <w:r>
        <w:rPr>
          <w:rFonts w:hint="eastAsia" w:ascii="楷体_GB2312" w:hAnsi="楷体_GB2312" w:eastAsia="楷体_GB2312" w:cs="楷体_GB2312"/>
          <w:i w:val="0"/>
          <w:iCs w:val="0"/>
        </w:rPr>
        <w:fldChar w:fldCharType="begin"/>
      </w:r>
      <w:r>
        <w:rPr>
          <w:rFonts w:hint="eastAsia" w:ascii="楷体_GB2312" w:hAnsi="楷体_GB2312" w:eastAsia="楷体_GB2312" w:cs="楷体_GB2312"/>
          <w:i w:val="0"/>
          <w:iCs w:val="0"/>
        </w:rPr>
        <w:instrText xml:space="preserve"> HYPERLINK \l _Toc19030 </w:instrText>
      </w:r>
      <w:r>
        <w:rPr>
          <w:rFonts w:hint="eastAsia" w:ascii="楷体_GB2312" w:hAnsi="楷体_GB2312" w:eastAsia="楷体_GB2312" w:cs="楷体_GB2312"/>
          <w:i w:val="0"/>
          <w:iCs w:val="0"/>
        </w:rPr>
        <w:fldChar w:fldCharType="separate"/>
      </w:r>
      <w:r>
        <w:rPr>
          <w:rFonts w:hint="eastAsia" w:ascii="楷体_GB2312" w:hAnsi="楷体_GB2312" w:eastAsia="楷体_GB2312" w:cs="楷体_GB2312"/>
          <w:bCs w:val="0"/>
          <w:i w:val="0"/>
          <w:iCs w:val="0"/>
          <w:spacing w:val="0"/>
          <w:szCs w:val="32"/>
        </w:rPr>
        <w:t>（十一）注册房地产估价师</w:t>
      </w:r>
      <w:r>
        <w:rPr>
          <w:i w:val="0"/>
          <w:iCs w:val="0"/>
        </w:rPr>
        <w:tab/>
      </w:r>
      <w:r>
        <w:rPr>
          <w:i w:val="0"/>
          <w:iCs w:val="0"/>
        </w:rPr>
        <w:fldChar w:fldCharType="begin"/>
      </w:r>
      <w:r>
        <w:rPr>
          <w:i w:val="0"/>
          <w:iCs w:val="0"/>
        </w:rPr>
        <w:instrText xml:space="preserve"> PAGEREF _Toc19030 </w:instrText>
      </w:r>
      <w:r>
        <w:rPr>
          <w:i w:val="0"/>
          <w:iCs w:val="0"/>
        </w:rPr>
        <w:fldChar w:fldCharType="separate"/>
      </w:r>
      <w:r>
        <w:rPr>
          <w:i w:val="0"/>
          <w:iCs w:val="0"/>
        </w:rPr>
        <w:t>17</w:t>
      </w:r>
      <w:r>
        <w:rPr>
          <w:i w:val="0"/>
          <w:iCs w:val="0"/>
        </w:rPr>
        <w:fldChar w:fldCharType="end"/>
      </w:r>
      <w:r>
        <w:rPr>
          <w:rFonts w:hint="eastAsia" w:ascii="楷体_GB2312" w:hAnsi="楷体_GB2312" w:eastAsia="楷体_GB2312" w:cs="楷体_GB2312"/>
          <w:i w:val="0"/>
          <w:iCs w:val="0"/>
        </w:rPr>
        <w:fldChar w:fldCharType="end"/>
      </w:r>
    </w:p>
    <w:p>
      <w:pPr>
        <w:pStyle w:val="22"/>
        <w:tabs>
          <w:tab w:val="right" w:leader="dot" w:pos="9383"/>
        </w:tabs>
        <w:rPr>
          <w:i w:val="0"/>
          <w:iCs w:val="0"/>
        </w:rPr>
      </w:pPr>
      <w:r>
        <w:rPr>
          <w:rFonts w:hint="eastAsia" w:ascii="楷体_GB2312" w:hAnsi="楷体_GB2312" w:eastAsia="楷体_GB2312" w:cs="楷体_GB2312"/>
          <w:i w:val="0"/>
          <w:iCs w:val="0"/>
        </w:rPr>
        <w:fldChar w:fldCharType="begin"/>
      </w:r>
      <w:r>
        <w:rPr>
          <w:rFonts w:hint="eastAsia" w:ascii="楷体_GB2312" w:hAnsi="楷体_GB2312" w:eastAsia="楷体_GB2312" w:cs="楷体_GB2312"/>
          <w:i w:val="0"/>
          <w:iCs w:val="0"/>
        </w:rPr>
        <w:instrText xml:space="preserve"> HYPERLINK \l _Toc11028 </w:instrText>
      </w:r>
      <w:r>
        <w:rPr>
          <w:rFonts w:hint="eastAsia" w:ascii="楷体_GB2312" w:hAnsi="楷体_GB2312" w:eastAsia="楷体_GB2312" w:cs="楷体_GB2312"/>
          <w:i w:val="0"/>
          <w:iCs w:val="0"/>
        </w:rPr>
        <w:fldChar w:fldCharType="separate"/>
      </w:r>
      <w:r>
        <w:rPr>
          <w:rFonts w:hint="eastAsia" w:ascii="楷体_GB2312" w:hAnsi="楷体_GB2312" w:eastAsia="楷体_GB2312" w:cs="楷体_GB2312"/>
          <w:bCs w:val="0"/>
          <w:i w:val="0"/>
          <w:iCs w:val="0"/>
          <w:spacing w:val="0"/>
          <w:szCs w:val="32"/>
        </w:rPr>
        <w:t>（十二）参与估价的人员</w:t>
      </w:r>
      <w:r>
        <w:rPr>
          <w:i w:val="0"/>
          <w:iCs w:val="0"/>
        </w:rPr>
        <w:tab/>
      </w:r>
      <w:r>
        <w:rPr>
          <w:i w:val="0"/>
          <w:iCs w:val="0"/>
        </w:rPr>
        <w:fldChar w:fldCharType="begin"/>
      </w:r>
      <w:r>
        <w:rPr>
          <w:i w:val="0"/>
          <w:iCs w:val="0"/>
        </w:rPr>
        <w:instrText xml:space="preserve"> PAGEREF _Toc11028 </w:instrText>
      </w:r>
      <w:r>
        <w:rPr>
          <w:i w:val="0"/>
          <w:iCs w:val="0"/>
        </w:rPr>
        <w:fldChar w:fldCharType="separate"/>
      </w:r>
      <w:r>
        <w:rPr>
          <w:i w:val="0"/>
          <w:iCs w:val="0"/>
        </w:rPr>
        <w:t>17</w:t>
      </w:r>
      <w:r>
        <w:rPr>
          <w:i w:val="0"/>
          <w:iCs w:val="0"/>
        </w:rPr>
        <w:fldChar w:fldCharType="end"/>
      </w:r>
      <w:r>
        <w:rPr>
          <w:rFonts w:hint="eastAsia" w:ascii="楷体_GB2312" w:hAnsi="楷体_GB2312" w:eastAsia="楷体_GB2312" w:cs="楷体_GB2312"/>
          <w:i w:val="0"/>
          <w:iCs w:val="0"/>
        </w:rPr>
        <w:fldChar w:fldCharType="end"/>
      </w:r>
    </w:p>
    <w:p>
      <w:pPr>
        <w:pStyle w:val="22"/>
        <w:tabs>
          <w:tab w:val="right" w:leader="dot" w:pos="9383"/>
        </w:tabs>
        <w:rPr>
          <w:i w:val="0"/>
          <w:iCs w:val="0"/>
        </w:rPr>
      </w:pPr>
      <w:r>
        <w:rPr>
          <w:rFonts w:hint="eastAsia" w:ascii="楷体_GB2312" w:hAnsi="楷体_GB2312" w:eastAsia="楷体_GB2312" w:cs="楷体_GB2312"/>
          <w:i w:val="0"/>
          <w:iCs w:val="0"/>
        </w:rPr>
        <w:fldChar w:fldCharType="begin"/>
      </w:r>
      <w:r>
        <w:rPr>
          <w:rFonts w:hint="eastAsia" w:ascii="楷体_GB2312" w:hAnsi="楷体_GB2312" w:eastAsia="楷体_GB2312" w:cs="楷体_GB2312"/>
          <w:i w:val="0"/>
          <w:iCs w:val="0"/>
        </w:rPr>
        <w:instrText xml:space="preserve"> HYPERLINK \l _Toc26974 </w:instrText>
      </w:r>
      <w:r>
        <w:rPr>
          <w:rFonts w:hint="eastAsia" w:ascii="楷体_GB2312" w:hAnsi="楷体_GB2312" w:eastAsia="楷体_GB2312" w:cs="楷体_GB2312"/>
          <w:i w:val="0"/>
          <w:iCs w:val="0"/>
        </w:rPr>
        <w:fldChar w:fldCharType="separate"/>
      </w:r>
      <w:r>
        <w:rPr>
          <w:rFonts w:hint="eastAsia" w:ascii="楷体_GB2312" w:hAnsi="楷体_GB2312" w:eastAsia="楷体_GB2312" w:cs="楷体_GB2312"/>
          <w:bCs w:val="0"/>
          <w:i w:val="0"/>
          <w:iCs w:val="0"/>
          <w:spacing w:val="0"/>
          <w:szCs w:val="32"/>
        </w:rPr>
        <w:t>（十三）实地查勘期</w:t>
      </w:r>
      <w:r>
        <w:rPr>
          <w:i w:val="0"/>
          <w:iCs w:val="0"/>
        </w:rPr>
        <w:tab/>
      </w:r>
      <w:r>
        <w:rPr>
          <w:i w:val="0"/>
          <w:iCs w:val="0"/>
        </w:rPr>
        <w:fldChar w:fldCharType="begin"/>
      </w:r>
      <w:r>
        <w:rPr>
          <w:i w:val="0"/>
          <w:iCs w:val="0"/>
        </w:rPr>
        <w:instrText xml:space="preserve"> PAGEREF _Toc26974 </w:instrText>
      </w:r>
      <w:r>
        <w:rPr>
          <w:i w:val="0"/>
          <w:iCs w:val="0"/>
        </w:rPr>
        <w:fldChar w:fldCharType="separate"/>
      </w:r>
      <w:r>
        <w:rPr>
          <w:i w:val="0"/>
          <w:iCs w:val="0"/>
        </w:rPr>
        <w:t>17</w:t>
      </w:r>
      <w:r>
        <w:rPr>
          <w:i w:val="0"/>
          <w:iCs w:val="0"/>
        </w:rPr>
        <w:fldChar w:fldCharType="end"/>
      </w:r>
      <w:r>
        <w:rPr>
          <w:rFonts w:hint="eastAsia" w:ascii="楷体_GB2312" w:hAnsi="楷体_GB2312" w:eastAsia="楷体_GB2312" w:cs="楷体_GB2312"/>
          <w:i w:val="0"/>
          <w:iCs w:val="0"/>
        </w:rPr>
        <w:fldChar w:fldCharType="end"/>
      </w:r>
    </w:p>
    <w:p>
      <w:pPr>
        <w:pStyle w:val="22"/>
        <w:tabs>
          <w:tab w:val="right" w:leader="dot" w:pos="9383"/>
        </w:tabs>
        <w:rPr>
          <w:i w:val="0"/>
          <w:iCs w:val="0"/>
        </w:rPr>
      </w:pPr>
      <w:r>
        <w:rPr>
          <w:rFonts w:hint="eastAsia" w:ascii="楷体_GB2312" w:hAnsi="楷体_GB2312" w:eastAsia="楷体_GB2312" w:cs="楷体_GB2312"/>
          <w:i w:val="0"/>
          <w:iCs w:val="0"/>
        </w:rPr>
        <w:fldChar w:fldCharType="begin"/>
      </w:r>
      <w:r>
        <w:rPr>
          <w:rFonts w:hint="eastAsia" w:ascii="楷体_GB2312" w:hAnsi="楷体_GB2312" w:eastAsia="楷体_GB2312" w:cs="楷体_GB2312"/>
          <w:i w:val="0"/>
          <w:iCs w:val="0"/>
        </w:rPr>
        <w:instrText xml:space="preserve"> HYPERLINK \l _Toc4068 </w:instrText>
      </w:r>
      <w:r>
        <w:rPr>
          <w:rFonts w:hint="eastAsia" w:ascii="楷体_GB2312" w:hAnsi="楷体_GB2312" w:eastAsia="楷体_GB2312" w:cs="楷体_GB2312"/>
          <w:i w:val="0"/>
          <w:iCs w:val="0"/>
        </w:rPr>
        <w:fldChar w:fldCharType="separate"/>
      </w:r>
      <w:r>
        <w:rPr>
          <w:rFonts w:hint="eastAsia" w:ascii="楷体_GB2312" w:hAnsi="楷体_GB2312" w:eastAsia="楷体_GB2312" w:cs="楷体_GB2312"/>
          <w:bCs w:val="0"/>
          <w:i w:val="0"/>
          <w:iCs w:val="0"/>
          <w:spacing w:val="0"/>
          <w:szCs w:val="32"/>
        </w:rPr>
        <w:t>（十四）估价作业期</w:t>
      </w:r>
      <w:r>
        <w:rPr>
          <w:i w:val="0"/>
          <w:iCs w:val="0"/>
        </w:rPr>
        <w:tab/>
      </w:r>
      <w:r>
        <w:rPr>
          <w:i w:val="0"/>
          <w:iCs w:val="0"/>
        </w:rPr>
        <w:fldChar w:fldCharType="begin"/>
      </w:r>
      <w:r>
        <w:rPr>
          <w:i w:val="0"/>
          <w:iCs w:val="0"/>
        </w:rPr>
        <w:instrText xml:space="preserve"> PAGEREF _Toc4068 </w:instrText>
      </w:r>
      <w:r>
        <w:rPr>
          <w:i w:val="0"/>
          <w:iCs w:val="0"/>
        </w:rPr>
        <w:fldChar w:fldCharType="separate"/>
      </w:r>
      <w:r>
        <w:rPr>
          <w:i w:val="0"/>
          <w:iCs w:val="0"/>
        </w:rPr>
        <w:t>17</w:t>
      </w:r>
      <w:r>
        <w:rPr>
          <w:i w:val="0"/>
          <w:iCs w:val="0"/>
        </w:rPr>
        <w:fldChar w:fldCharType="end"/>
      </w:r>
      <w:r>
        <w:rPr>
          <w:rFonts w:hint="eastAsia" w:ascii="楷体_GB2312" w:hAnsi="楷体_GB2312" w:eastAsia="楷体_GB2312" w:cs="楷体_GB2312"/>
          <w:i w:val="0"/>
          <w:iCs w:val="0"/>
        </w:rPr>
        <w:fldChar w:fldCharType="end"/>
      </w:r>
    </w:p>
    <w:p>
      <w:pPr>
        <w:pStyle w:val="22"/>
        <w:tabs>
          <w:tab w:val="right" w:leader="dot" w:pos="9383"/>
        </w:tabs>
      </w:pPr>
      <w:r>
        <w:rPr>
          <w:rFonts w:hint="eastAsia" w:ascii="楷体_GB2312" w:hAnsi="楷体_GB2312" w:eastAsia="楷体_GB2312" w:cs="楷体_GB2312"/>
          <w:i w:val="0"/>
          <w:iCs w:val="0"/>
        </w:rPr>
        <w:fldChar w:fldCharType="begin"/>
      </w:r>
      <w:r>
        <w:rPr>
          <w:rFonts w:hint="eastAsia" w:ascii="楷体_GB2312" w:hAnsi="楷体_GB2312" w:eastAsia="楷体_GB2312" w:cs="楷体_GB2312"/>
          <w:i w:val="0"/>
          <w:iCs w:val="0"/>
        </w:rPr>
        <w:instrText xml:space="preserve"> HYPERLINK \l _Toc12118 </w:instrText>
      </w:r>
      <w:r>
        <w:rPr>
          <w:rFonts w:hint="eastAsia" w:ascii="楷体_GB2312" w:hAnsi="楷体_GB2312" w:eastAsia="楷体_GB2312" w:cs="楷体_GB2312"/>
          <w:i w:val="0"/>
          <w:iCs w:val="0"/>
        </w:rPr>
        <w:fldChar w:fldCharType="separate"/>
      </w:r>
      <w:r>
        <w:rPr>
          <w:rFonts w:hint="eastAsia" w:ascii="楷体_GB2312" w:hAnsi="楷体_GB2312" w:eastAsia="楷体_GB2312" w:cs="楷体_GB2312"/>
          <w:bCs w:val="0"/>
          <w:i w:val="0"/>
          <w:iCs w:val="0"/>
          <w:spacing w:val="0"/>
          <w:szCs w:val="32"/>
        </w:rPr>
        <w:t>（十五）估价报告应用的有效期</w:t>
      </w:r>
      <w:r>
        <w:rPr>
          <w:i w:val="0"/>
          <w:iCs w:val="0"/>
        </w:rPr>
        <w:tab/>
      </w:r>
      <w:r>
        <w:rPr>
          <w:i w:val="0"/>
          <w:iCs w:val="0"/>
        </w:rPr>
        <w:fldChar w:fldCharType="begin"/>
      </w:r>
      <w:r>
        <w:rPr>
          <w:i w:val="0"/>
          <w:iCs w:val="0"/>
        </w:rPr>
        <w:instrText xml:space="preserve"> PAGEREF _Toc12118 </w:instrText>
      </w:r>
      <w:r>
        <w:rPr>
          <w:i w:val="0"/>
          <w:iCs w:val="0"/>
        </w:rPr>
        <w:fldChar w:fldCharType="separate"/>
      </w:r>
      <w:r>
        <w:rPr>
          <w:i w:val="0"/>
          <w:iCs w:val="0"/>
        </w:rPr>
        <w:t>17</w:t>
      </w:r>
      <w:r>
        <w:rPr>
          <w:i w:val="0"/>
          <w:iCs w:val="0"/>
        </w:rPr>
        <w:fldChar w:fldCharType="end"/>
      </w:r>
      <w:r>
        <w:rPr>
          <w:rFonts w:hint="eastAsia" w:ascii="楷体_GB2312" w:hAnsi="楷体_GB2312" w:eastAsia="楷体_GB2312" w:cs="楷体_GB2312"/>
          <w:i w:val="0"/>
          <w:iCs w:val="0"/>
        </w:rPr>
        <w:fldChar w:fldCharType="end"/>
      </w:r>
    </w:p>
    <w:p>
      <w:pPr>
        <w:pStyle w:val="36"/>
        <w:tabs>
          <w:tab w:val="right" w:leader="dot" w:pos="9383"/>
        </w:tabs>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_Toc12899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72"/>
        </w:rPr>
        <w:t>四、附  件</w:t>
      </w:r>
      <w:r>
        <w:tab/>
      </w:r>
      <w:r>
        <w:fldChar w:fldCharType="begin"/>
      </w:r>
      <w:r>
        <w:instrText xml:space="preserve"> PAGEREF _Toc12899 </w:instrText>
      </w:r>
      <w:r>
        <w:fldChar w:fldCharType="separate"/>
      </w:r>
      <w:r>
        <w:t>18</w:t>
      </w:r>
      <w:r>
        <w:fldChar w:fldCharType="end"/>
      </w:r>
      <w:r>
        <w:rPr>
          <w:rFonts w:hint="eastAsia" w:ascii="楷体_GB2312" w:hAnsi="楷体_GB2312" w:eastAsia="楷体_GB2312" w:cs="楷体_GB2312"/>
        </w:rPr>
        <w:fldChar w:fldCharType="end"/>
      </w:r>
    </w:p>
    <w:p>
      <w:pPr>
        <w:ind w:firstLine="420" w:firstLineChars="200"/>
        <w:jc w:val="left"/>
        <w:rPr>
          <w:rFonts w:ascii="楷体_GB2312" w:hAnsi="楷体_GB2312" w:eastAsia="楷体_GB2312" w:cs="楷体_GB2312"/>
          <w:sz w:val="20"/>
          <w:szCs w:val="32"/>
        </w:rPr>
      </w:pPr>
      <w:r>
        <w:rPr>
          <w:rFonts w:hint="eastAsia" w:ascii="楷体_GB2312" w:hAnsi="楷体_GB2312" w:eastAsia="楷体_GB2312" w:cs="楷体_GB2312"/>
        </w:rPr>
        <w:fldChar w:fldCharType="end"/>
      </w:r>
      <w:r>
        <w:rPr>
          <w:rFonts w:hint="eastAsia" w:ascii="楷体_GB2312" w:hAnsi="楷体_GB2312" w:eastAsia="楷体_GB2312" w:cs="楷体_GB2312"/>
          <w:sz w:val="20"/>
          <w:szCs w:val="32"/>
        </w:rPr>
        <w:t>1、估价对象位置图及照片</w:t>
      </w:r>
    </w:p>
    <w:p>
      <w:pPr>
        <w:ind w:firstLine="400" w:firstLineChars="200"/>
        <w:jc w:val="left"/>
        <w:rPr>
          <w:rFonts w:ascii="楷体_GB2312" w:hAnsi="楷体_GB2312" w:eastAsia="楷体_GB2312" w:cs="楷体_GB2312"/>
          <w:sz w:val="20"/>
          <w:szCs w:val="32"/>
        </w:rPr>
      </w:pPr>
      <w:r>
        <w:rPr>
          <w:rFonts w:hint="eastAsia" w:ascii="楷体_GB2312" w:hAnsi="楷体_GB2312" w:eastAsia="楷体_GB2312" w:cs="楷体_GB2312"/>
          <w:sz w:val="20"/>
          <w:szCs w:val="32"/>
        </w:rPr>
        <w:t>2、《遵义市红花岗区人民法院委托书》</w:t>
      </w:r>
    </w:p>
    <w:p>
      <w:pPr>
        <w:ind w:firstLine="400" w:firstLineChars="200"/>
        <w:jc w:val="left"/>
        <w:rPr>
          <w:rFonts w:ascii="楷体_GB2312" w:hAnsi="楷体_GB2312" w:eastAsia="楷体_GB2312" w:cs="楷体_GB2312"/>
          <w:sz w:val="20"/>
          <w:szCs w:val="32"/>
        </w:rPr>
      </w:pPr>
      <w:r>
        <w:rPr>
          <w:rFonts w:hint="eastAsia" w:ascii="楷体_GB2312" w:hAnsi="楷体_GB2312" w:eastAsia="楷体_GB2312" w:cs="楷体_GB2312"/>
          <w:sz w:val="20"/>
          <w:szCs w:val="32"/>
        </w:rPr>
        <w:t>3、委托方提供的相关资料复印件</w:t>
      </w:r>
    </w:p>
    <w:p>
      <w:pPr>
        <w:ind w:firstLine="400" w:firstLineChars="200"/>
        <w:jc w:val="left"/>
        <w:rPr>
          <w:rStyle w:val="48"/>
          <w:rFonts w:ascii="楷体_GB2312" w:hAnsi="楷体_GB2312" w:eastAsia="楷体_GB2312" w:cs="楷体_GB2312"/>
          <w:color w:val="auto"/>
          <w:sz w:val="24"/>
        </w:rPr>
      </w:pPr>
      <w:r>
        <w:rPr>
          <w:rFonts w:hint="eastAsia" w:ascii="楷体_GB2312" w:hAnsi="楷体_GB2312" w:eastAsia="楷体_GB2312" w:cs="楷体_GB2312"/>
          <w:sz w:val="20"/>
          <w:szCs w:val="32"/>
        </w:rPr>
        <w:t>4、房地产评估资格证书复印件</w:t>
      </w:r>
    </w:p>
    <w:p>
      <w:pPr>
        <w:spacing w:line="540" w:lineRule="exact"/>
        <w:rPr>
          <w:rStyle w:val="48"/>
          <w:rFonts w:ascii="楷体_GB2312" w:hAnsi="楷体_GB2312" w:eastAsia="楷体_GB2312" w:cs="楷体_GB2312"/>
          <w:color w:val="auto"/>
          <w:sz w:val="24"/>
        </w:rPr>
      </w:pPr>
    </w:p>
    <w:p>
      <w:pPr>
        <w:spacing w:line="540" w:lineRule="exact"/>
        <w:rPr>
          <w:rStyle w:val="48"/>
          <w:rFonts w:ascii="楷体_GB2312" w:hAnsi="楷体_GB2312" w:eastAsia="楷体_GB2312" w:cs="楷体_GB2312"/>
          <w:color w:val="auto"/>
          <w:sz w:val="24"/>
        </w:rPr>
      </w:pPr>
    </w:p>
    <w:p>
      <w:pPr>
        <w:spacing w:line="540" w:lineRule="exact"/>
        <w:rPr>
          <w:rStyle w:val="48"/>
          <w:rFonts w:ascii="楷体_GB2312" w:hAnsi="楷体_GB2312" w:eastAsia="楷体_GB2312" w:cs="楷体_GB2312"/>
          <w:color w:val="auto"/>
          <w:sz w:val="24"/>
        </w:rPr>
      </w:pPr>
    </w:p>
    <w:p>
      <w:pPr>
        <w:spacing w:line="540" w:lineRule="exact"/>
        <w:rPr>
          <w:rStyle w:val="48"/>
          <w:rFonts w:ascii="楷体_GB2312" w:hAnsi="楷体_GB2312" w:eastAsia="楷体_GB2312" w:cs="楷体_GB2312"/>
          <w:color w:val="auto"/>
          <w:sz w:val="24"/>
        </w:rPr>
      </w:pPr>
    </w:p>
    <w:p>
      <w:pPr>
        <w:spacing w:line="540" w:lineRule="exact"/>
        <w:rPr>
          <w:rStyle w:val="48"/>
          <w:rFonts w:ascii="楷体_GB2312" w:hAnsi="楷体_GB2312" w:eastAsia="楷体_GB2312" w:cs="楷体_GB2312"/>
          <w:color w:val="auto"/>
          <w:sz w:val="24"/>
        </w:rPr>
      </w:pPr>
    </w:p>
    <w:p>
      <w:pPr>
        <w:spacing w:line="540" w:lineRule="exact"/>
        <w:rPr>
          <w:rStyle w:val="48"/>
          <w:rFonts w:ascii="楷体_GB2312" w:hAnsi="楷体_GB2312" w:eastAsia="楷体_GB2312" w:cs="楷体_GB2312"/>
          <w:color w:val="auto"/>
          <w:sz w:val="24"/>
        </w:rPr>
      </w:pPr>
      <w:bookmarkStart w:id="130" w:name="_GoBack"/>
      <w:bookmarkEnd w:id="130"/>
    </w:p>
    <w:p>
      <w:pPr>
        <w:pStyle w:val="3"/>
        <w:spacing w:line="560" w:lineRule="exact"/>
        <w:ind w:firstLine="0"/>
        <w:rPr>
          <w:rFonts w:ascii="楷体_GB2312" w:hAnsi="楷体_GB2312" w:eastAsia="楷体_GB2312" w:cs="楷体_GB2312"/>
          <w:sz w:val="72"/>
          <w:szCs w:val="72"/>
        </w:rPr>
      </w:pPr>
      <w:bookmarkStart w:id="14" w:name="_Toc430597170"/>
      <w:bookmarkStart w:id="15" w:name="_Toc438637865"/>
      <w:bookmarkStart w:id="16" w:name="_Toc286433143"/>
      <w:bookmarkStart w:id="17" w:name="_Toc438069498"/>
      <w:bookmarkStart w:id="18" w:name="_Toc430596961"/>
      <w:bookmarkStart w:id="19" w:name="_Toc16025"/>
      <w:bookmarkStart w:id="20" w:name="_Toc286433144"/>
      <w:r>
        <w:rPr>
          <w:rFonts w:hint="eastAsia" w:ascii="楷体_GB2312" w:hAnsi="楷体_GB2312" w:eastAsia="楷体_GB2312" w:cs="楷体_GB2312"/>
          <w:sz w:val="72"/>
          <w:szCs w:val="72"/>
        </w:rPr>
        <w:t>一、估 价 师 声 明</w:t>
      </w:r>
      <w:bookmarkEnd w:id="14"/>
      <w:bookmarkEnd w:id="15"/>
      <w:bookmarkEnd w:id="16"/>
      <w:bookmarkEnd w:id="17"/>
      <w:bookmarkEnd w:id="18"/>
      <w:bookmarkEnd w:id="19"/>
    </w:p>
    <w:p>
      <w:pPr>
        <w:spacing w:line="520" w:lineRule="exact"/>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我们根据自己的专业知识和职业道德，在此郑重声明：</w:t>
      </w:r>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1、我们在本估价报告中对事实的说明是真实和准确的，没有虚假记载、误导性陈述和重大遗漏。</w:t>
      </w:r>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2、本估价报告中的分析、意见和结论是我们独立、客观、公正的专业分析、意见和结论，但受到本估价报告中已经说明的估价假设和限制条件的限制。</w:t>
      </w:r>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3、我们与本估价报告中的估价对象没有现实或潜在的利益，与估价委托人及估价利害关系人没有利害关系。</w:t>
      </w:r>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4、我们对估价报告中的估价对象、估价委托人及估价利害关系人没有偏见。</w:t>
      </w:r>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5、我们是依照中华人民共和国国家标准《房地产估价规范》、《房地产估价基本术语标准》进行分析，形成意见和结论，撰写本估价报告。</w:t>
      </w:r>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6、注册房地产估价师徐德雨与注册房地产估价师高颖昕已于二○一九年六月十九日对本估价报告中的估价对象进行了实地查勘。并对勘察的客观性、真实性、公正性承担责任，但我们对估价对象的现场勘察仅限于其外观和使用状况，对被遮盖、未暴露及难以接触到的部分，依据委托方提供的资料进行评估。除非另有协议，我们不承担对估价对象建筑结构质量进行调查的责任。</w:t>
      </w:r>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7、没有人对本估价报告提供重要专业帮助。</w:t>
      </w:r>
    </w:p>
    <w:tbl>
      <w:tblPr>
        <w:tblStyle w:val="42"/>
        <w:tblW w:w="92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2428"/>
        <w:gridCol w:w="2124"/>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tcPr>
          <w:p>
            <w:pPr>
              <w:spacing w:line="520" w:lineRule="exact"/>
              <w:jc w:val="center"/>
              <w:rPr>
                <w:rFonts w:ascii="楷体_GB2312" w:hAnsi="楷体_GB2312" w:eastAsia="楷体_GB2312" w:cs="楷体_GB2312"/>
                <w:sz w:val="28"/>
              </w:rPr>
            </w:pPr>
            <w:r>
              <w:rPr>
                <w:rFonts w:hint="eastAsia" w:ascii="楷体_GB2312" w:hAnsi="楷体_GB2312" w:eastAsia="楷体_GB2312" w:cs="楷体_GB2312"/>
                <w:sz w:val="28"/>
              </w:rPr>
              <w:t>姓  名</w:t>
            </w:r>
          </w:p>
        </w:tc>
        <w:tc>
          <w:tcPr>
            <w:tcW w:w="2428" w:type="dxa"/>
          </w:tcPr>
          <w:p>
            <w:pPr>
              <w:spacing w:line="520" w:lineRule="exact"/>
              <w:jc w:val="center"/>
              <w:rPr>
                <w:rFonts w:ascii="楷体_GB2312" w:hAnsi="楷体_GB2312" w:eastAsia="楷体_GB2312" w:cs="楷体_GB2312"/>
                <w:sz w:val="28"/>
              </w:rPr>
            </w:pPr>
            <w:r>
              <w:rPr>
                <w:rFonts w:hint="eastAsia" w:ascii="楷体_GB2312" w:hAnsi="楷体_GB2312" w:eastAsia="楷体_GB2312" w:cs="楷体_GB2312"/>
                <w:sz w:val="28"/>
              </w:rPr>
              <w:t>注册号</w:t>
            </w:r>
          </w:p>
        </w:tc>
        <w:tc>
          <w:tcPr>
            <w:tcW w:w="2124" w:type="dxa"/>
          </w:tcPr>
          <w:p>
            <w:pPr>
              <w:spacing w:line="520" w:lineRule="exact"/>
              <w:jc w:val="center"/>
              <w:rPr>
                <w:rFonts w:ascii="楷体_GB2312" w:hAnsi="楷体_GB2312" w:eastAsia="楷体_GB2312" w:cs="楷体_GB2312"/>
                <w:sz w:val="28"/>
              </w:rPr>
            </w:pPr>
            <w:r>
              <w:rPr>
                <w:rFonts w:hint="eastAsia" w:ascii="楷体_GB2312" w:hAnsi="楷体_GB2312" w:eastAsia="楷体_GB2312" w:cs="楷体_GB2312"/>
                <w:sz w:val="28"/>
              </w:rPr>
              <w:t>签  名</w:t>
            </w:r>
          </w:p>
        </w:tc>
        <w:tc>
          <w:tcPr>
            <w:tcW w:w="2758" w:type="dxa"/>
          </w:tcPr>
          <w:p>
            <w:pPr>
              <w:spacing w:line="520" w:lineRule="exact"/>
              <w:ind w:hanging="2"/>
              <w:jc w:val="center"/>
              <w:rPr>
                <w:rFonts w:ascii="楷体_GB2312" w:hAnsi="楷体_GB2312" w:eastAsia="楷体_GB2312" w:cs="楷体_GB2312"/>
                <w:sz w:val="28"/>
              </w:rPr>
            </w:pPr>
            <w:r>
              <w:rPr>
                <w:rFonts w:hint="eastAsia" w:ascii="楷体_GB2312" w:hAnsi="楷体_GB2312" w:eastAsia="楷体_GB2312" w:cs="楷体_GB2312"/>
                <w:sz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tcPr>
          <w:p>
            <w:pPr>
              <w:spacing w:line="520" w:lineRule="exact"/>
              <w:jc w:val="center"/>
              <w:rPr>
                <w:rFonts w:ascii="楷体_GB2312" w:hAnsi="楷体_GB2312" w:eastAsia="楷体_GB2312" w:cs="楷体_GB2312"/>
                <w:sz w:val="28"/>
              </w:rPr>
            </w:pPr>
            <w:r>
              <w:rPr>
                <w:rFonts w:hint="eastAsia" w:ascii="楷体_GB2312" w:hAnsi="楷体_GB2312" w:eastAsia="楷体_GB2312" w:cs="楷体_GB2312"/>
                <w:sz w:val="28"/>
              </w:rPr>
              <w:t>徐德雨</w:t>
            </w:r>
          </w:p>
        </w:tc>
        <w:tc>
          <w:tcPr>
            <w:tcW w:w="2428" w:type="dxa"/>
          </w:tcPr>
          <w:p>
            <w:pPr>
              <w:spacing w:line="520" w:lineRule="exact"/>
              <w:jc w:val="center"/>
              <w:rPr>
                <w:rFonts w:ascii="楷体_GB2312" w:hAnsi="楷体_GB2312" w:eastAsia="楷体_GB2312" w:cs="楷体_GB2312"/>
                <w:sz w:val="28"/>
              </w:rPr>
            </w:pPr>
            <w:r>
              <w:rPr>
                <w:rFonts w:hint="eastAsia" w:ascii="楷体_GB2312" w:hAnsi="楷体_GB2312" w:eastAsia="楷体_GB2312" w:cs="楷体_GB2312"/>
                <w:sz w:val="28"/>
              </w:rPr>
              <w:t>5220020016</w:t>
            </w:r>
          </w:p>
        </w:tc>
        <w:tc>
          <w:tcPr>
            <w:tcW w:w="2124" w:type="dxa"/>
          </w:tcPr>
          <w:p>
            <w:pPr>
              <w:spacing w:line="520" w:lineRule="exact"/>
              <w:jc w:val="center"/>
              <w:rPr>
                <w:rFonts w:ascii="楷体_GB2312" w:hAnsi="楷体_GB2312" w:eastAsia="楷体_GB2312" w:cs="楷体_GB2312"/>
                <w:sz w:val="28"/>
              </w:rPr>
            </w:pPr>
          </w:p>
        </w:tc>
        <w:tc>
          <w:tcPr>
            <w:tcW w:w="2758" w:type="dxa"/>
          </w:tcPr>
          <w:p>
            <w:pPr>
              <w:spacing w:line="52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tcPr>
          <w:p>
            <w:pPr>
              <w:spacing w:line="520" w:lineRule="exact"/>
              <w:jc w:val="center"/>
              <w:rPr>
                <w:rFonts w:ascii="楷体_GB2312" w:hAnsi="楷体_GB2312" w:eastAsia="楷体_GB2312" w:cs="楷体_GB2312"/>
                <w:sz w:val="28"/>
              </w:rPr>
            </w:pPr>
            <w:r>
              <w:rPr>
                <w:rFonts w:hint="eastAsia" w:ascii="楷体_GB2312" w:hAnsi="楷体_GB2312" w:eastAsia="楷体_GB2312" w:cs="楷体_GB2312"/>
                <w:sz w:val="28"/>
              </w:rPr>
              <w:t>高颖昕</w:t>
            </w:r>
          </w:p>
        </w:tc>
        <w:tc>
          <w:tcPr>
            <w:tcW w:w="2428" w:type="dxa"/>
          </w:tcPr>
          <w:p>
            <w:pPr>
              <w:spacing w:line="520" w:lineRule="exact"/>
              <w:jc w:val="center"/>
              <w:rPr>
                <w:rFonts w:ascii="楷体_GB2312" w:hAnsi="楷体_GB2312" w:eastAsia="楷体_GB2312" w:cs="楷体_GB2312"/>
                <w:sz w:val="28"/>
              </w:rPr>
            </w:pPr>
            <w:r>
              <w:rPr>
                <w:rFonts w:hint="eastAsia" w:ascii="楷体_GB2312" w:hAnsi="楷体_GB2312" w:eastAsia="楷体_GB2312" w:cs="楷体_GB2312"/>
                <w:sz w:val="28"/>
                <w:szCs w:val="28"/>
              </w:rPr>
              <w:t>5220040003</w:t>
            </w:r>
          </w:p>
        </w:tc>
        <w:tc>
          <w:tcPr>
            <w:tcW w:w="2124" w:type="dxa"/>
          </w:tcPr>
          <w:p>
            <w:pPr>
              <w:spacing w:line="520" w:lineRule="exact"/>
              <w:jc w:val="center"/>
              <w:rPr>
                <w:rFonts w:ascii="楷体_GB2312" w:hAnsi="楷体_GB2312" w:eastAsia="楷体_GB2312" w:cs="楷体_GB2312"/>
                <w:sz w:val="28"/>
              </w:rPr>
            </w:pPr>
          </w:p>
        </w:tc>
        <w:tc>
          <w:tcPr>
            <w:tcW w:w="2758" w:type="dxa"/>
          </w:tcPr>
          <w:p>
            <w:pPr>
              <w:spacing w:line="52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年  月  日</w:t>
            </w:r>
          </w:p>
        </w:tc>
      </w:tr>
    </w:tbl>
    <w:p>
      <w:pPr>
        <w:spacing w:line="560" w:lineRule="exact"/>
        <w:rPr>
          <w:rFonts w:ascii="楷体_GB2312" w:hAnsi="楷体_GB2312" w:eastAsia="楷体_GB2312" w:cs="楷体_GB2312"/>
        </w:rPr>
      </w:pPr>
      <w:bookmarkStart w:id="21" w:name="_Toc438069499"/>
      <w:bookmarkStart w:id="22" w:name="_Toc430597171"/>
      <w:bookmarkStart w:id="23" w:name="_Toc430596962"/>
    </w:p>
    <w:p>
      <w:pPr>
        <w:pStyle w:val="3"/>
        <w:spacing w:line="560" w:lineRule="exact"/>
        <w:ind w:firstLine="0"/>
        <w:rPr>
          <w:rFonts w:ascii="楷体_GB2312" w:hAnsi="楷体_GB2312" w:eastAsia="楷体_GB2312" w:cs="楷体_GB2312"/>
        </w:rPr>
      </w:pPr>
      <w:bookmarkStart w:id="24" w:name="_Toc438637866"/>
      <w:bookmarkStart w:id="25" w:name="_Toc7634"/>
      <w:r>
        <w:rPr>
          <w:rFonts w:hint="eastAsia" w:ascii="楷体_GB2312" w:hAnsi="楷体_GB2312" w:eastAsia="楷体_GB2312" w:cs="楷体_GB2312"/>
          <w:sz w:val="72"/>
          <w:szCs w:val="72"/>
        </w:rPr>
        <w:t>二、估价的假设和限制条件</w:t>
      </w:r>
      <w:bookmarkEnd w:id="20"/>
      <w:bookmarkEnd w:id="21"/>
      <w:bookmarkEnd w:id="22"/>
      <w:bookmarkEnd w:id="23"/>
      <w:bookmarkEnd w:id="24"/>
      <w:bookmarkEnd w:id="25"/>
      <w:bookmarkStart w:id="26" w:name="_Toc438069500"/>
      <w:bookmarkStart w:id="27" w:name="_Toc438637867"/>
      <w:bookmarkStart w:id="28" w:name="_Toc286433145"/>
      <w:bookmarkStart w:id="29" w:name="_Toc430596963"/>
    </w:p>
    <w:p>
      <w:pPr>
        <w:pStyle w:val="5"/>
        <w:spacing w:before="240" w:line="560" w:lineRule="exact"/>
        <w:ind w:firstLine="0"/>
        <w:rPr>
          <w:rFonts w:ascii="楷体_GB2312" w:hAnsi="楷体_GB2312" w:eastAsia="楷体_GB2312" w:cs="楷体_GB2312"/>
          <w:bCs w:val="0"/>
          <w:spacing w:val="0"/>
          <w:sz w:val="32"/>
          <w:szCs w:val="32"/>
        </w:rPr>
      </w:pPr>
      <w:bookmarkStart w:id="30" w:name="_Toc27752"/>
      <w:r>
        <w:rPr>
          <w:rFonts w:hint="eastAsia" w:ascii="楷体_GB2312" w:hAnsi="楷体_GB2312" w:eastAsia="楷体_GB2312" w:cs="楷体_GB2312"/>
          <w:bCs w:val="0"/>
          <w:spacing w:val="0"/>
          <w:sz w:val="32"/>
          <w:szCs w:val="32"/>
        </w:rPr>
        <w:t>（一）本次估价的一般假设</w:t>
      </w:r>
      <w:bookmarkEnd w:id="26"/>
      <w:bookmarkEnd w:id="27"/>
      <w:bookmarkEnd w:id="28"/>
      <w:bookmarkEnd w:id="29"/>
      <w:bookmarkEnd w:id="30"/>
    </w:p>
    <w:p>
      <w:pPr>
        <w:spacing w:line="540" w:lineRule="exact"/>
        <w:ind w:firstLine="560" w:firstLineChars="200"/>
        <w:contextualSpacing/>
        <w:rPr>
          <w:rFonts w:ascii="楷体_GB2312" w:hAnsi="楷体_GB2312" w:eastAsia="楷体_GB2312" w:cs="楷体_GB2312"/>
          <w:sz w:val="28"/>
          <w:szCs w:val="28"/>
        </w:rPr>
      </w:pPr>
      <w:bookmarkStart w:id="31" w:name="_Toc430596964"/>
      <w:r>
        <w:rPr>
          <w:rFonts w:hint="eastAsia" w:ascii="楷体_GB2312" w:hAnsi="楷体_GB2312" w:eastAsia="楷体_GB2312" w:cs="楷体_GB2312"/>
          <w:sz w:val="28"/>
          <w:szCs w:val="28"/>
        </w:rPr>
        <w:t>1、根据委托方提供的资料，至价值时点估价对象1#-2#均尚未办理《房屋所有权证》、《国有土地使用证》或《不动产权证书》等相关的权属资料，本次评估部分相关参数取值仅依据委托方提供的《遵义市红花岗区人民法院委托书》、《关于国际商贸城还房二期项目部分房屋建筑面积的情况说明》，即：估价对象1#-2#分别坐落于遵义市红花岗区遵义国际商贸城二期还房小区4号楼二单元18楼1-A和1-B，房屋建筑面积均为114.68平方米。由于委托方未提供上述相关的权属资料且在所提供的资料中未明确估价对象规划用途、房屋建筑结构、房屋修建年代、估价对象1#-2#所在宗地的土地使用权类型等内容。综上，结合本次估价目的及估价人员现场踏勘，本次评估设定如下：估价对象1#-2#房屋分别坐落于遵义市红花岗区遵义国际商贸城二期还房小区4号楼二单元18楼1-A和1-B，现状用途：住宅用房，房屋建筑结构：框架结构，房屋修建年代：2018年，土地使用权类型：出让，本次评估价值为估价对象1#-2#在该设定条件下的公开市场价值。</w:t>
      </w:r>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若与相关部门和实际情况登载不一致，应据实调整评估价值甚至本估价报告作废，因其不实造成的影响，本公司不承担任何责任，特提请报告使用者注意！</w:t>
      </w:r>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2、根据遵义市红花岗区人民法院意见结合涉执房地产处置工作实际，按照法律法规规定，转让方和受让方各自负担交易税费。</w:t>
      </w:r>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3、买卖双方的交易目的都是追逐自身最大的经济利益，在适当的期间完成谈判和交易，洽谈交易期间物业价值将保持稳定。</w:t>
      </w:r>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4、市场供应关系、市场结构保持稳定、未发生重大变化或实质性变化。</w:t>
      </w:r>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5、交易双方都具有完全市场信息，对交易对象具有必要的专业知识，不考虑特殊买家的附加出价。</w:t>
      </w:r>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6、为便于报告使用者理解本次评估将坐落于遵义市红花岗区遵义国际商贸城二期还房小区4号楼二单元18楼1-A和1-B依次设定为估价对象1#和2#。</w:t>
      </w:r>
    </w:p>
    <w:p>
      <w:pPr>
        <w:pStyle w:val="5"/>
        <w:spacing w:before="240" w:line="560" w:lineRule="exact"/>
        <w:ind w:firstLine="0"/>
        <w:rPr>
          <w:rFonts w:ascii="楷体_GB2312" w:hAnsi="楷体_GB2312" w:eastAsia="楷体_GB2312" w:cs="楷体_GB2312"/>
          <w:bCs w:val="0"/>
          <w:spacing w:val="0"/>
          <w:sz w:val="32"/>
          <w:szCs w:val="32"/>
        </w:rPr>
      </w:pPr>
      <w:bookmarkStart w:id="32" w:name="_Toc438069501"/>
      <w:bookmarkStart w:id="33" w:name="_Toc438637868"/>
    </w:p>
    <w:p>
      <w:pPr>
        <w:pStyle w:val="5"/>
        <w:spacing w:before="240" w:line="560" w:lineRule="exact"/>
        <w:ind w:firstLine="0"/>
        <w:rPr>
          <w:rFonts w:ascii="楷体_GB2312" w:hAnsi="楷体_GB2312" w:eastAsia="楷体_GB2312" w:cs="楷体_GB2312"/>
          <w:bCs w:val="0"/>
          <w:spacing w:val="0"/>
          <w:sz w:val="32"/>
          <w:szCs w:val="32"/>
        </w:rPr>
      </w:pPr>
      <w:bookmarkStart w:id="34" w:name="_Toc5972"/>
      <w:r>
        <w:rPr>
          <w:rFonts w:hint="eastAsia" w:ascii="楷体_GB2312" w:hAnsi="楷体_GB2312" w:eastAsia="楷体_GB2312" w:cs="楷体_GB2312"/>
          <w:bCs w:val="0"/>
          <w:spacing w:val="0"/>
          <w:sz w:val="32"/>
          <w:szCs w:val="32"/>
        </w:rPr>
        <w:t>（二）未定事项假设</w:t>
      </w:r>
      <w:bookmarkEnd w:id="31"/>
      <w:bookmarkEnd w:id="32"/>
      <w:bookmarkEnd w:id="33"/>
      <w:bookmarkEnd w:id="34"/>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1、估价对象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评估价值的影响。</w:t>
      </w:r>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2、本次评估是以提供给估价机构的估价对象不存在抵押权、典权等他项权利为假设前提，特提请报告使用人注意！</w:t>
      </w:r>
    </w:p>
    <w:p>
      <w:pPr>
        <w:spacing w:line="540" w:lineRule="exact"/>
        <w:ind w:firstLine="560" w:firstLineChars="200"/>
        <w:contextualSpacing/>
        <w:rPr>
          <w:rFonts w:ascii="楷体_GB2312" w:hAnsi="楷体_GB2312" w:eastAsia="楷体_GB2312" w:cs="楷体_GB2312"/>
          <w:sz w:val="28"/>
          <w:szCs w:val="28"/>
        </w:rPr>
      </w:pPr>
    </w:p>
    <w:p>
      <w:pPr>
        <w:pStyle w:val="5"/>
        <w:spacing w:before="240" w:line="560" w:lineRule="exact"/>
        <w:ind w:firstLine="0"/>
        <w:rPr>
          <w:rFonts w:ascii="楷体_GB2312" w:hAnsi="楷体_GB2312" w:eastAsia="楷体_GB2312" w:cs="楷体_GB2312"/>
          <w:bCs w:val="0"/>
          <w:spacing w:val="0"/>
          <w:sz w:val="32"/>
          <w:szCs w:val="32"/>
        </w:rPr>
      </w:pPr>
      <w:bookmarkStart w:id="35" w:name="_Toc438069502"/>
      <w:bookmarkStart w:id="36" w:name="_Toc438637869"/>
      <w:bookmarkStart w:id="37" w:name="_Toc430596965"/>
      <w:bookmarkStart w:id="38" w:name="_Toc50"/>
      <w:r>
        <w:rPr>
          <w:rFonts w:hint="eastAsia" w:ascii="楷体_GB2312" w:hAnsi="楷体_GB2312" w:eastAsia="楷体_GB2312" w:cs="楷体_GB2312"/>
          <w:bCs w:val="0"/>
          <w:spacing w:val="0"/>
          <w:sz w:val="32"/>
          <w:szCs w:val="32"/>
        </w:rPr>
        <w:t>（三）背离事实假设</w:t>
      </w:r>
      <w:bookmarkEnd w:id="35"/>
      <w:bookmarkEnd w:id="36"/>
      <w:bookmarkEnd w:id="37"/>
      <w:bookmarkEnd w:id="38"/>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1、估价结果未考虑未来处置风险。</w:t>
      </w:r>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2、估价对象未考虑估价对象及其所有人已承担的债务、或有债务及经营决策失误或市场运作失当对其价值的影响。</w:t>
      </w:r>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3、估价结果未考虑估价对象被查封以及原有担保物权和其他优先受偿权情况。</w:t>
      </w:r>
    </w:p>
    <w:p>
      <w:pPr>
        <w:tabs>
          <w:tab w:val="left" w:pos="360"/>
        </w:tabs>
        <w:spacing w:line="560" w:lineRule="exact"/>
        <w:ind w:right="-50" w:firstLine="560" w:firstLineChars="200"/>
        <w:jc w:val="left"/>
        <w:rPr>
          <w:rFonts w:ascii="楷体_GB2312" w:hAnsi="楷体_GB2312" w:eastAsia="楷体_GB2312" w:cs="楷体_GB2312"/>
          <w:sz w:val="28"/>
        </w:rPr>
      </w:pPr>
    </w:p>
    <w:p>
      <w:pPr>
        <w:pStyle w:val="5"/>
        <w:spacing w:before="240" w:line="240" w:lineRule="auto"/>
        <w:ind w:firstLine="0"/>
        <w:rPr>
          <w:rFonts w:ascii="楷体_GB2312" w:hAnsi="楷体_GB2312" w:eastAsia="楷体_GB2312" w:cs="楷体_GB2312"/>
          <w:bCs w:val="0"/>
          <w:spacing w:val="0"/>
          <w:sz w:val="32"/>
          <w:szCs w:val="32"/>
        </w:rPr>
      </w:pPr>
      <w:bookmarkStart w:id="39" w:name="_Toc16293"/>
      <w:r>
        <w:rPr>
          <w:rFonts w:hint="eastAsia" w:ascii="楷体_GB2312" w:hAnsi="楷体_GB2312" w:eastAsia="楷体_GB2312" w:cs="楷体_GB2312"/>
          <w:bCs w:val="0"/>
          <w:spacing w:val="0"/>
          <w:sz w:val="32"/>
          <w:szCs w:val="32"/>
        </w:rPr>
        <w:t>（四）特殊事项说明</w:t>
      </w:r>
      <w:bookmarkEnd w:id="39"/>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1、至价值时点估价对象1#-2#均尚未办理《房屋所有权证》、《国有土地使用证》或《不动产权证书》等相关的权属资料，结合估价目的，本次评估均未考虑估价对象1#-2#后期办理相关产权证资料及其他相关手续费用，故本次评估价值均未扣减办理相关产权证资料及其他相关手续费用，特此说明！特提请报告使用人注意！</w:t>
      </w:r>
    </w:p>
    <w:p>
      <w:pPr>
        <w:spacing w:line="540" w:lineRule="exact"/>
        <w:ind w:firstLine="560" w:firstLineChars="200"/>
        <w:contextualSpacing/>
        <w:rPr>
          <w:rFonts w:ascii="楷体_GB2312" w:hAnsi="楷体_GB2312" w:eastAsia="楷体_GB2312" w:cs="楷体_GB2312"/>
          <w:sz w:val="28"/>
          <w:szCs w:val="28"/>
        </w:rPr>
      </w:pPr>
    </w:p>
    <w:p>
      <w:pPr>
        <w:pStyle w:val="5"/>
        <w:spacing w:before="240" w:line="240" w:lineRule="auto"/>
        <w:ind w:firstLine="0"/>
        <w:rPr>
          <w:rFonts w:ascii="楷体_GB2312" w:hAnsi="楷体_GB2312" w:eastAsia="楷体_GB2312" w:cs="楷体_GB2312"/>
          <w:bCs w:val="0"/>
          <w:spacing w:val="0"/>
          <w:sz w:val="32"/>
          <w:szCs w:val="32"/>
        </w:rPr>
      </w:pPr>
      <w:bookmarkStart w:id="40" w:name="_Toc286433147"/>
      <w:bookmarkStart w:id="41" w:name="_Toc438637870"/>
      <w:bookmarkStart w:id="42" w:name="_Toc438069503"/>
      <w:bookmarkStart w:id="43" w:name="_Toc430596967"/>
      <w:bookmarkStart w:id="44" w:name="_Toc11862"/>
      <w:r>
        <w:rPr>
          <w:rFonts w:hint="eastAsia" w:ascii="楷体_GB2312" w:hAnsi="楷体_GB2312" w:eastAsia="楷体_GB2312" w:cs="楷体_GB2312"/>
          <w:bCs w:val="0"/>
          <w:spacing w:val="0"/>
          <w:sz w:val="32"/>
          <w:szCs w:val="32"/>
        </w:rPr>
        <w:t>（五）</w:t>
      </w:r>
      <w:bookmarkEnd w:id="40"/>
      <w:bookmarkEnd w:id="41"/>
      <w:bookmarkEnd w:id="42"/>
      <w:bookmarkEnd w:id="43"/>
      <w:r>
        <w:rPr>
          <w:rFonts w:hint="eastAsia" w:ascii="楷体_GB2312" w:hAnsi="楷体_GB2312" w:eastAsia="楷体_GB2312" w:cs="楷体_GB2312"/>
          <w:bCs w:val="0"/>
          <w:spacing w:val="0"/>
          <w:sz w:val="32"/>
          <w:szCs w:val="32"/>
        </w:rPr>
        <w:t>评估结果使用特别提示</w:t>
      </w:r>
      <w:bookmarkEnd w:id="44"/>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1、财产拍卖（或者变卖）日期与评估报告载明的价值时点不一致的，估价对象状况或者房地产市场状况的变化会对评估结果产生影响；</w:t>
      </w:r>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2、本报告估价结果仅作为委托方在本次估价目的下使用，不对其它用途负责，也不能作为估价对象权属界定的依据。</w:t>
      </w:r>
    </w:p>
    <w:p>
      <w:pPr>
        <w:tabs>
          <w:tab w:val="left" w:pos="360"/>
        </w:tabs>
        <w:spacing w:line="560" w:lineRule="exact"/>
        <w:ind w:right="-50"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bCs/>
          <w:sz w:val="28"/>
        </w:rPr>
        <w:t>3、本估价报告的有效期为</w:t>
      </w:r>
      <w:r>
        <w:rPr>
          <w:rFonts w:hint="eastAsia" w:ascii="楷体_GB2312" w:hAnsi="楷体_GB2312" w:eastAsia="楷体_GB2312" w:cs="楷体_GB2312"/>
          <w:b/>
          <w:bCs/>
          <w:i/>
          <w:sz w:val="28"/>
        </w:rPr>
        <w:t>壹年</w:t>
      </w:r>
      <w:r>
        <w:rPr>
          <w:rFonts w:hint="eastAsia" w:ascii="楷体_GB2312" w:hAnsi="楷体_GB2312" w:eastAsia="楷体_GB2312" w:cs="楷体_GB2312"/>
          <w:bCs/>
          <w:sz w:val="28"/>
        </w:rPr>
        <w:t>，即从</w:t>
      </w:r>
      <w:r>
        <w:rPr>
          <w:rFonts w:hint="eastAsia" w:ascii="楷体_GB2312" w:hAnsi="楷体_GB2312" w:eastAsia="楷体_GB2312" w:cs="楷体_GB2312"/>
          <w:b/>
          <w:i/>
          <w:sz w:val="28"/>
        </w:rPr>
        <w:t>二○一九年</w:t>
      </w:r>
      <w:r>
        <w:rPr>
          <w:rFonts w:hint="eastAsia" w:ascii="楷体_GB2312" w:hAnsi="楷体_GB2312" w:eastAsia="楷体_GB2312" w:cs="楷体_GB2312"/>
          <w:b/>
          <w:i/>
          <w:spacing w:val="-10"/>
          <w:sz w:val="28"/>
          <w:szCs w:val="28"/>
        </w:rPr>
        <w:t>七月一日</w:t>
      </w:r>
      <w:r>
        <w:rPr>
          <w:rFonts w:hint="eastAsia" w:ascii="楷体_GB2312" w:hAnsi="楷体_GB2312" w:eastAsia="楷体_GB2312" w:cs="楷体_GB2312"/>
          <w:b/>
          <w:i/>
          <w:sz w:val="28"/>
        </w:rPr>
        <w:t>至二○二○年六月三十日</w:t>
      </w:r>
      <w:r>
        <w:rPr>
          <w:rFonts w:hint="eastAsia" w:ascii="楷体_GB2312" w:hAnsi="楷体_GB2312" w:eastAsia="楷体_GB2312" w:cs="楷体_GB2312"/>
          <w:bCs/>
          <w:sz w:val="28"/>
        </w:rPr>
        <w:t>。在</w:t>
      </w:r>
      <w:r>
        <w:rPr>
          <w:rFonts w:hint="eastAsia" w:ascii="楷体_GB2312" w:hAnsi="楷体_GB2312" w:eastAsia="楷体_GB2312" w:cs="楷体_GB2312"/>
          <w:sz w:val="28"/>
          <w:szCs w:val="28"/>
        </w:rPr>
        <w:t>估价报告的有效期内随着时间及市场情况的变化，该估价对象价值应作相应调整。如果使用本估价结果的时间超过有效期，我方对应用此结果而造成有关方面的损失不负任何责任。</w:t>
      </w:r>
    </w:p>
    <w:p>
      <w:pPr>
        <w:tabs>
          <w:tab w:val="left" w:pos="360"/>
        </w:tabs>
        <w:spacing w:line="560" w:lineRule="exact"/>
        <w:ind w:right="-50"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4、在评估结果有效期内，评估对象状况或者房地产市场发生明显变化的，评估结果应当进行相应调整。</w:t>
      </w:r>
    </w:p>
    <w:p>
      <w:pPr>
        <w:tabs>
          <w:tab w:val="left" w:pos="360"/>
        </w:tabs>
        <w:spacing w:line="560" w:lineRule="exact"/>
        <w:ind w:right="-50"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5、委托人或者评估报告使用人应当按照法律规定和评估报告载明的使用范围使用评估报告，违反该规定使用评估报告的，房地产估价机构和注册房地产估价师依法不承担责任。</w:t>
      </w:r>
    </w:p>
    <w:p>
      <w:pPr>
        <w:tabs>
          <w:tab w:val="left" w:pos="360"/>
        </w:tabs>
        <w:spacing w:line="560" w:lineRule="exact"/>
        <w:ind w:right="-50"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6、评估结果不等于估价对象处置可实现的成交价，不应被认为是对估价对象处置成交价的保证。</w:t>
      </w:r>
    </w:p>
    <w:p>
      <w:pPr>
        <w:tabs>
          <w:tab w:val="left" w:pos="360"/>
        </w:tabs>
        <w:spacing w:line="560" w:lineRule="exact"/>
        <w:ind w:right="-50" w:firstLine="560" w:firstLineChars="200"/>
        <w:jc w:val="left"/>
        <w:rPr>
          <w:rFonts w:ascii="楷体_GB2312" w:hAnsi="楷体_GB2312" w:eastAsia="楷体_GB2312" w:cs="楷体_GB2312"/>
          <w:sz w:val="28"/>
          <w:szCs w:val="28"/>
        </w:rPr>
      </w:pPr>
    </w:p>
    <w:p>
      <w:pPr>
        <w:widowControl/>
        <w:jc w:val="left"/>
        <w:rPr>
          <w:rFonts w:ascii="楷体_GB2312" w:hAnsi="楷体_GB2312" w:eastAsia="楷体_GB2312" w:cs="楷体_GB2312"/>
          <w:sz w:val="28"/>
          <w:szCs w:val="28"/>
        </w:rPr>
      </w:pPr>
      <w:r>
        <w:rPr>
          <w:rFonts w:ascii="楷体_GB2312" w:hAnsi="楷体_GB2312" w:eastAsia="楷体_GB2312" w:cs="楷体_GB2312"/>
          <w:sz w:val="28"/>
          <w:szCs w:val="28"/>
        </w:rPr>
        <w:br w:type="page"/>
      </w:r>
    </w:p>
    <w:p>
      <w:pPr>
        <w:pStyle w:val="3"/>
        <w:spacing w:line="560" w:lineRule="exact"/>
        <w:ind w:firstLine="0"/>
        <w:rPr>
          <w:rFonts w:ascii="楷体_GB2312" w:hAnsi="楷体_GB2312" w:eastAsia="楷体_GB2312" w:cs="楷体_GB2312"/>
          <w:sz w:val="72"/>
          <w:szCs w:val="72"/>
        </w:rPr>
      </w:pPr>
      <w:bookmarkStart w:id="45" w:name="_Toc438637871"/>
      <w:bookmarkStart w:id="46" w:name="_Toc438069505"/>
      <w:bookmarkStart w:id="47" w:name="_Toc286433148"/>
      <w:bookmarkStart w:id="48" w:name="_Toc430596968"/>
      <w:bookmarkStart w:id="49" w:name="_Toc430597172"/>
    </w:p>
    <w:p>
      <w:pPr>
        <w:pStyle w:val="3"/>
        <w:spacing w:line="560" w:lineRule="exact"/>
        <w:ind w:firstLine="0"/>
        <w:rPr>
          <w:rFonts w:ascii="楷体_GB2312" w:hAnsi="楷体_GB2312" w:eastAsia="楷体_GB2312" w:cs="楷体_GB2312"/>
          <w:sz w:val="72"/>
          <w:szCs w:val="72"/>
        </w:rPr>
      </w:pPr>
      <w:bookmarkStart w:id="50" w:name="_Toc18840"/>
      <w:r>
        <w:rPr>
          <w:rFonts w:hint="eastAsia" w:ascii="楷体_GB2312" w:hAnsi="楷体_GB2312" w:eastAsia="楷体_GB2312" w:cs="楷体_GB2312"/>
          <w:sz w:val="72"/>
          <w:szCs w:val="72"/>
        </w:rPr>
        <w:t>三、估 价 结 果 报 告</w:t>
      </w:r>
      <w:bookmarkEnd w:id="45"/>
      <w:bookmarkEnd w:id="46"/>
      <w:bookmarkEnd w:id="47"/>
      <w:bookmarkEnd w:id="48"/>
      <w:bookmarkEnd w:id="49"/>
      <w:bookmarkEnd w:id="50"/>
    </w:p>
    <w:p>
      <w:pPr>
        <w:pStyle w:val="5"/>
        <w:spacing w:before="240" w:line="560" w:lineRule="exact"/>
        <w:ind w:firstLine="0"/>
        <w:rPr>
          <w:rFonts w:ascii="楷体_GB2312" w:hAnsi="楷体_GB2312" w:eastAsia="楷体_GB2312" w:cs="楷体_GB2312"/>
          <w:bCs w:val="0"/>
          <w:spacing w:val="0"/>
          <w:sz w:val="32"/>
          <w:szCs w:val="32"/>
        </w:rPr>
      </w:pPr>
      <w:bookmarkStart w:id="51" w:name="_Toc438069506"/>
      <w:bookmarkStart w:id="52" w:name="_Toc438637872"/>
      <w:bookmarkStart w:id="53" w:name="_Toc430596969"/>
      <w:bookmarkStart w:id="54" w:name="_Toc286433149"/>
    </w:p>
    <w:p>
      <w:pPr>
        <w:pStyle w:val="5"/>
        <w:spacing w:before="240" w:line="560" w:lineRule="exact"/>
        <w:ind w:firstLine="0"/>
        <w:rPr>
          <w:rFonts w:ascii="楷体_GB2312" w:hAnsi="楷体_GB2312" w:eastAsia="楷体_GB2312" w:cs="楷体_GB2312"/>
          <w:b w:val="0"/>
          <w:bCs w:val="0"/>
          <w:spacing w:val="0"/>
          <w:sz w:val="28"/>
          <w:szCs w:val="28"/>
        </w:rPr>
      </w:pPr>
      <w:bookmarkStart w:id="55" w:name="_Toc13954"/>
      <w:r>
        <w:rPr>
          <w:rFonts w:hint="eastAsia" w:ascii="楷体_GB2312" w:hAnsi="楷体_GB2312" w:eastAsia="楷体_GB2312" w:cs="楷体_GB2312"/>
          <w:bCs w:val="0"/>
          <w:spacing w:val="0"/>
          <w:sz w:val="32"/>
          <w:szCs w:val="32"/>
        </w:rPr>
        <w:t>（一）估价委托方</w:t>
      </w:r>
      <w:bookmarkEnd w:id="51"/>
      <w:bookmarkEnd w:id="52"/>
      <w:bookmarkEnd w:id="53"/>
      <w:bookmarkEnd w:id="54"/>
      <w:bookmarkEnd w:id="55"/>
    </w:p>
    <w:p>
      <w:pPr>
        <w:pStyle w:val="18"/>
        <w:tabs>
          <w:tab w:val="left" w:pos="2880"/>
          <w:tab w:val="left" w:pos="3060"/>
        </w:tabs>
        <w:spacing w:line="560" w:lineRule="exact"/>
        <w:ind w:firstLine="537" w:firstLineChars="192"/>
        <w:rPr>
          <w:rFonts w:ascii="楷体_GB2312" w:hAnsi="楷体_GB2312" w:eastAsia="楷体_GB2312" w:cs="楷体_GB2312"/>
          <w:bCs/>
          <w:sz w:val="28"/>
        </w:rPr>
      </w:pPr>
      <w:r>
        <w:rPr>
          <w:rFonts w:hint="eastAsia" w:ascii="楷体_GB2312" w:hAnsi="楷体_GB2312" w:eastAsia="楷体_GB2312" w:cs="楷体_GB2312"/>
          <w:bCs/>
          <w:sz w:val="28"/>
        </w:rPr>
        <w:t>委     托     方：</w:t>
      </w:r>
      <w:r>
        <w:rPr>
          <w:rFonts w:hint="eastAsia" w:ascii="楷体_GB2312" w:hAnsi="楷体_GB2312" w:eastAsia="楷体_GB2312" w:cs="楷体_GB2312"/>
          <w:bCs/>
          <w:sz w:val="28"/>
          <w:szCs w:val="28"/>
        </w:rPr>
        <w:t>遵义市红花岗区人民法院</w:t>
      </w:r>
    </w:p>
    <w:p>
      <w:pPr>
        <w:pStyle w:val="18"/>
        <w:tabs>
          <w:tab w:val="left" w:pos="2880"/>
          <w:tab w:val="left" w:pos="3060"/>
        </w:tabs>
        <w:spacing w:line="560" w:lineRule="exact"/>
        <w:ind w:firstLine="537" w:firstLineChars="192"/>
        <w:rPr>
          <w:rFonts w:ascii="楷体_GB2312" w:hAnsi="楷体_GB2312" w:eastAsia="楷体_GB2312" w:cs="楷体_GB2312"/>
          <w:bCs/>
          <w:sz w:val="28"/>
          <w:szCs w:val="28"/>
        </w:rPr>
      </w:pPr>
    </w:p>
    <w:p>
      <w:pPr>
        <w:pStyle w:val="5"/>
        <w:spacing w:before="240" w:line="560" w:lineRule="exact"/>
        <w:ind w:firstLine="0"/>
        <w:rPr>
          <w:rFonts w:ascii="楷体_GB2312" w:hAnsi="楷体_GB2312" w:eastAsia="楷体_GB2312" w:cs="楷体_GB2312"/>
          <w:bCs w:val="0"/>
          <w:spacing w:val="0"/>
          <w:sz w:val="32"/>
          <w:szCs w:val="32"/>
        </w:rPr>
      </w:pPr>
      <w:bookmarkStart w:id="56" w:name="_Toc286433150"/>
      <w:bookmarkStart w:id="57" w:name="_Toc438637873"/>
      <w:bookmarkStart w:id="58" w:name="_Toc430596970"/>
      <w:bookmarkStart w:id="59" w:name="_Toc438069507"/>
      <w:bookmarkStart w:id="60" w:name="_Toc5542"/>
      <w:r>
        <w:rPr>
          <w:rFonts w:hint="eastAsia" w:ascii="楷体_GB2312" w:hAnsi="楷体_GB2312" w:eastAsia="楷体_GB2312" w:cs="楷体_GB2312"/>
          <w:bCs w:val="0"/>
          <w:spacing w:val="0"/>
          <w:sz w:val="32"/>
          <w:szCs w:val="32"/>
        </w:rPr>
        <w:t>（二）房地产估价机构</w:t>
      </w:r>
      <w:bookmarkEnd w:id="56"/>
      <w:bookmarkEnd w:id="57"/>
      <w:bookmarkEnd w:id="58"/>
      <w:bookmarkEnd w:id="59"/>
      <w:bookmarkEnd w:id="60"/>
    </w:p>
    <w:p>
      <w:pPr>
        <w:pStyle w:val="18"/>
        <w:tabs>
          <w:tab w:val="left" w:pos="3060"/>
        </w:tabs>
        <w:spacing w:line="480" w:lineRule="atLeast"/>
        <w:ind w:firstLine="537" w:firstLineChars="192"/>
        <w:rPr>
          <w:rFonts w:ascii="楷体_GB2312" w:hAnsi="楷体_GB2312" w:eastAsia="楷体_GB2312" w:cs="楷体_GB2312"/>
          <w:bCs/>
          <w:sz w:val="28"/>
        </w:rPr>
      </w:pPr>
      <w:r>
        <w:rPr>
          <w:rFonts w:hint="eastAsia" w:ascii="楷体_GB2312" w:hAnsi="楷体_GB2312" w:eastAsia="楷体_GB2312" w:cs="楷体_GB2312"/>
          <w:bCs/>
          <w:sz w:val="28"/>
        </w:rPr>
        <w:t>机  构  名  称：贵州众志天和房地产评估事务有限公司</w:t>
      </w:r>
    </w:p>
    <w:p>
      <w:pPr>
        <w:pStyle w:val="18"/>
        <w:tabs>
          <w:tab w:val="left" w:pos="2880"/>
        </w:tabs>
        <w:spacing w:line="480" w:lineRule="atLeast"/>
        <w:ind w:firstLine="560" w:firstLineChars="200"/>
        <w:rPr>
          <w:rFonts w:ascii="楷体_GB2312" w:hAnsi="楷体_GB2312" w:eastAsia="楷体_GB2312" w:cs="楷体_GB2312"/>
          <w:bCs/>
          <w:sz w:val="28"/>
        </w:rPr>
      </w:pPr>
      <w:r>
        <w:rPr>
          <w:rFonts w:hint="eastAsia" w:ascii="楷体_GB2312" w:hAnsi="楷体_GB2312" w:eastAsia="楷体_GB2312" w:cs="楷体_GB2312"/>
          <w:bCs/>
          <w:sz w:val="28"/>
          <w:szCs w:val="28"/>
        </w:rPr>
        <w:t>法 定 代 表 人：</w:t>
      </w:r>
      <w:r>
        <w:rPr>
          <w:rFonts w:hint="eastAsia" w:ascii="楷体_GB2312" w:hAnsi="楷体_GB2312" w:eastAsia="楷体_GB2312" w:cs="楷体_GB2312"/>
          <w:bCs/>
          <w:sz w:val="28"/>
        </w:rPr>
        <w:t>高颖昕</w:t>
      </w:r>
    </w:p>
    <w:p>
      <w:pPr>
        <w:spacing w:line="480" w:lineRule="atLeast"/>
        <w:ind w:left="2800" w:leftChars="267" w:hanging="2240" w:hangingChars="800"/>
        <w:rPr>
          <w:rFonts w:ascii="楷体_GB2312" w:hAnsi="楷体_GB2312" w:eastAsia="楷体_GB2312" w:cs="楷体_GB2312"/>
          <w:bCs/>
          <w:sz w:val="28"/>
        </w:rPr>
      </w:pPr>
      <w:r>
        <w:rPr>
          <w:rFonts w:hint="eastAsia" w:ascii="楷体_GB2312" w:hAnsi="楷体_GB2312" w:eastAsia="楷体_GB2312" w:cs="楷体_GB2312"/>
          <w:sz w:val="28"/>
          <w:szCs w:val="28"/>
        </w:rPr>
        <w:t>住          所：</w:t>
      </w:r>
      <w:r>
        <w:rPr>
          <w:rFonts w:hint="eastAsia" w:ascii="楷体_GB2312" w:hAnsi="楷体_GB2312" w:eastAsia="楷体_GB2312" w:cs="楷体_GB2312"/>
          <w:bCs/>
          <w:sz w:val="28"/>
        </w:rPr>
        <w:t>贵阳市观山湖区诚信北路8号绿地联盛国际3、4号楼4单元5层10号</w:t>
      </w:r>
    </w:p>
    <w:p>
      <w:pPr>
        <w:pStyle w:val="18"/>
        <w:tabs>
          <w:tab w:val="left" w:pos="2880"/>
          <w:tab w:val="left" w:pos="3060"/>
        </w:tabs>
        <w:spacing w:line="480" w:lineRule="atLeast"/>
        <w:ind w:firstLine="560" w:firstLineChars="200"/>
        <w:rPr>
          <w:rFonts w:ascii="楷体_GB2312" w:hAnsi="楷体_GB2312" w:eastAsia="楷体_GB2312" w:cs="楷体_GB2312"/>
          <w:bCs/>
          <w:sz w:val="28"/>
        </w:rPr>
      </w:pPr>
      <w:r>
        <w:rPr>
          <w:rFonts w:hint="eastAsia" w:ascii="楷体_GB2312" w:hAnsi="楷体_GB2312" w:eastAsia="楷体_GB2312" w:cs="楷体_GB2312"/>
          <w:bCs/>
          <w:sz w:val="28"/>
        </w:rPr>
        <w:t>资  格  等  级：贰  级</w:t>
      </w:r>
    </w:p>
    <w:p>
      <w:pPr>
        <w:pStyle w:val="18"/>
        <w:tabs>
          <w:tab w:val="left" w:pos="3060"/>
        </w:tabs>
        <w:spacing w:line="480" w:lineRule="atLeast"/>
        <w:ind w:firstLine="537" w:firstLineChars="192"/>
        <w:rPr>
          <w:rFonts w:ascii="楷体_GB2312" w:hAnsi="楷体_GB2312" w:eastAsia="楷体_GB2312" w:cs="楷体_GB2312"/>
          <w:bCs/>
          <w:sz w:val="28"/>
        </w:rPr>
      </w:pPr>
      <w:r>
        <w:rPr>
          <w:rFonts w:hint="eastAsia" w:ascii="楷体_GB2312" w:hAnsi="楷体_GB2312" w:eastAsia="楷体_GB2312" w:cs="楷体_GB2312"/>
          <w:bCs/>
          <w:sz w:val="28"/>
        </w:rPr>
        <w:t>证  书  编  号：黔建房估字A2007005</w:t>
      </w:r>
    </w:p>
    <w:p>
      <w:pPr>
        <w:pStyle w:val="18"/>
        <w:tabs>
          <w:tab w:val="left" w:pos="3060"/>
        </w:tabs>
        <w:spacing w:line="480" w:lineRule="atLeast"/>
        <w:ind w:firstLine="537" w:firstLineChars="192"/>
        <w:rPr>
          <w:rFonts w:ascii="楷体_GB2312" w:hAnsi="楷体_GB2312" w:eastAsia="楷体_GB2312" w:cs="楷体_GB2312"/>
          <w:bCs/>
          <w:sz w:val="28"/>
        </w:rPr>
      </w:pPr>
      <w:r>
        <w:rPr>
          <w:rFonts w:hint="eastAsia" w:ascii="楷体_GB2312" w:hAnsi="楷体_GB2312" w:eastAsia="楷体_GB2312" w:cs="楷体_GB2312"/>
          <w:bCs/>
          <w:sz w:val="28"/>
        </w:rPr>
        <w:t>统一社会信用代码：91520100798801578E</w:t>
      </w:r>
    </w:p>
    <w:p>
      <w:pPr>
        <w:pStyle w:val="18"/>
        <w:tabs>
          <w:tab w:val="left" w:pos="2880"/>
          <w:tab w:val="left" w:pos="3060"/>
        </w:tabs>
        <w:spacing w:line="560" w:lineRule="exact"/>
        <w:ind w:firstLine="580" w:firstLineChars="242"/>
        <w:rPr>
          <w:rFonts w:ascii="楷体_GB2312" w:hAnsi="楷体_GB2312" w:eastAsia="楷体_GB2312" w:cs="楷体_GB2312"/>
          <w:bCs/>
          <w:spacing w:val="-20"/>
          <w:sz w:val="28"/>
          <w:szCs w:val="28"/>
        </w:rPr>
      </w:pPr>
      <w:bookmarkStart w:id="61" w:name="_Toc286433151"/>
    </w:p>
    <w:p>
      <w:pPr>
        <w:pStyle w:val="5"/>
        <w:spacing w:before="240" w:line="560" w:lineRule="exact"/>
        <w:ind w:firstLine="0"/>
        <w:rPr>
          <w:rFonts w:ascii="楷体_GB2312" w:hAnsi="楷体_GB2312" w:eastAsia="楷体_GB2312" w:cs="楷体_GB2312"/>
          <w:bCs w:val="0"/>
          <w:spacing w:val="0"/>
          <w:sz w:val="32"/>
          <w:szCs w:val="32"/>
        </w:rPr>
      </w:pPr>
      <w:bookmarkStart w:id="62" w:name="_Toc438637874"/>
      <w:bookmarkStart w:id="63" w:name="_Toc438069508"/>
      <w:bookmarkStart w:id="64" w:name="_Toc430596971"/>
      <w:bookmarkStart w:id="65" w:name="_Toc8391"/>
      <w:r>
        <w:rPr>
          <w:rFonts w:hint="eastAsia" w:ascii="楷体_GB2312" w:hAnsi="楷体_GB2312" w:eastAsia="楷体_GB2312" w:cs="楷体_GB2312"/>
          <w:bCs w:val="0"/>
          <w:spacing w:val="0"/>
          <w:sz w:val="32"/>
          <w:szCs w:val="32"/>
        </w:rPr>
        <w:t>（三）</w:t>
      </w:r>
      <w:bookmarkEnd w:id="61"/>
      <w:r>
        <w:rPr>
          <w:rFonts w:hint="eastAsia" w:ascii="楷体_GB2312" w:hAnsi="楷体_GB2312" w:eastAsia="楷体_GB2312" w:cs="楷体_GB2312"/>
          <w:bCs w:val="0"/>
          <w:spacing w:val="0"/>
          <w:sz w:val="32"/>
          <w:szCs w:val="32"/>
        </w:rPr>
        <w:t>估价目的</w:t>
      </w:r>
      <w:bookmarkEnd w:id="62"/>
      <w:bookmarkEnd w:id="63"/>
      <w:bookmarkEnd w:id="64"/>
      <w:bookmarkEnd w:id="65"/>
    </w:p>
    <w:p>
      <w:pPr>
        <w:spacing w:line="560" w:lineRule="exact"/>
        <w:ind w:right="-335" w:firstLine="495" w:firstLineChars="177"/>
        <w:jc w:val="left"/>
        <w:rPr>
          <w:rFonts w:ascii="楷体_GB2312" w:hAnsi="楷体_GB2312" w:eastAsia="楷体_GB2312" w:cs="楷体_GB2312"/>
          <w:sz w:val="28"/>
          <w:szCs w:val="28"/>
        </w:rPr>
      </w:pPr>
      <w:bookmarkStart w:id="66" w:name="_Toc286433152"/>
      <w:r>
        <w:rPr>
          <w:rFonts w:hint="eastAsia" w:ascii="楷体_GB2312" w:hAnsi="楷体_GB2312" w:eastAsia="楷体_GB2312" w:cs="楷体_GB2312"/>
          <w:sz w:val="28"/>
          <w:szCs w:val="28"/>
        </w:rPr>
        <w:t>为人民法院确定财产处置参考价提供价值参考依据而评估房地产公开市场价值。</w:t>
      </w:r>
    </w:p>
    <w:p>
      <w:pPr>
        <w:spacing w:line="560" w:lineRule="exact"/>
        <w:ind w:right="-335" w:firstLine="495" w:firstLineChars="177"/>
        <w:jc w:val="left"/>
        <w:rPr>
          <w:rFonts w:ascii="楷体_GB2312" w:hAnsi="楷体_GB2312" w:eastAsia="楷体_GB2312" w:cs="楷体_GB2312"/>
          <w:bCs/>
          <w:sz w:val="28"/>
        </w:rPr>
      </w:pPr>
    </w:p>
    <w:p>
      <w:pPr>
        <w:pStyle w:val="5"/>
        <w:spacing w:before="240" w:line="560" w:lineRule="exact"/>
        <w:ind w:firstLine="0"/>
        <w:rPr>
          <w:rFonts w:ascii="楷体_GB2312" w:hAnsi="楷体_GB2312" w:eastAsia="楷体_GB2312" w:cs="楷体_GB2312"/>
          <w:bCs w:val="0"/>
          <w:spacing w:val="0"/>
          <w:sz w:val="32"/>
          <w:szCs w:val="32"/>
        </w:rPr>
      </w:pPr>
      <w:bookmarkStart w:id="67" w:name="_Toc438069509"/>
      <w:bookmarkStart w:id="68" w:name="_Toc430596972"/>
      <w:bookmarkStart w:id="69" w:name="_Toc438637875"/>
      <w:bookmarkStart w:id="70" w:name="_Toc30507"/>
      <w:r>
        <w:rPr>
          <w:rFonts w:hint="eastAsia" w:ascii="楷体_GB2312" w:hAnsi="楷体_GB2312" w:eastAsia="楷体_GB2312" w:cs="楷体_GB2312"/>
          <w:bCs w:val="0"/>
          <w:spacing w:val="0"/>
          <w:sz w:val="32"/>
          <w:szCs w:val="32"/>
        </w:rPr>
        <w:t>（四）</w:t>
      </w:r>
      <w:bookmarkEnd w:id="66"/>
      <w:r>
        <w:rPr>
          <w:rFonts w:hint="eastAsia" w:ascii="楷体_GB2312" w:hAnsi="楷体_GB2312" w:eastAsia="楷体_GB2312" w:cs="楷体_GB2312"/>
          <w:bCs w:val="0"/>
          <w:spacing w:val="0"/>
          <w:sz w:val="32"/>
          <w:szCs w:val="32"/>
        </w:rPr>
        <w:t>估价对象</w:t>
      </w:r>
      <w:bookmarkEnd w:id="67"/>
      <w:bookmarkEnd w:id="68"/>
      <w:bookmarkEnd w:id="69"/>
      <w:bookmarkEnd w:id="70"/>
    </w:p>
    <w:p>
      <w:pPr>
        <w:tabs>
          <w:tab w:val="left" w:pos="360"/>
        </w:tabs>
        <w:spacing w:line="540" w:lineRule="exact"/>
        <w:ind w:right="-51"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1、估价对象范围：</w:t>
      </w:r>
    </w:p>
    <w:p>
      <w:pPr>
        <w:tabs>
          <w:tab w:val="left" w:pos="360"/>
        </w:tabs>
        <w:spacing w:line="540" w:lineRule="exact"/>
        <w:ind w:right="-51"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本次估价对象范围为位于红花岗区遵义国际商贸城二期还房小区4号楼二单元18楼1-A和1-B共计两套住宅用途房地产（总建筑面积为229.36平方米）,不包含其室内装饰装修。</w:t>
      </w:r>
    </w:p>
    <w:p>
      <w:pPr>
        <w:tabs>
          <w:tab w:val="left" w:pos="360"/>
        </w:tabs>
        <w:spacing w:line="540" w:lineRule="exact"/>
        <w:ind w:right="-51"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2、估价对象位置及区域环境</w:t>
      </w:r>
    </w:p>
    <w:p>
      <w:pPr>
        <w:tabs>
          <w:tab w:val="left" w:pos="360"/>
        </w:tabs>
        <w:spacing w:line="540" w:lineRule="exact"/>
        <w:ind w:right="-51"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&lt;1&gt;坐落及四至：估价对象位于遵义市红花岗区遵义国际商贸城二期还房小区4号楼二单元18楼1-A和1-B，其四至为：东面临住宅，南面临遵义大道，西面可至湘江大道，北面临住宅； </w:t>
      </w:r>
    </w:p>
    <w:p>
      <w:pPr>
        <w:tabs>
          <w:tab w:val="left" w:pos="360"/>
        </w:tabs>
        <w:spacing w:line="540" w:lineRule="exact"/>
        <w:ind w:right="-51"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&lt;2&gt;交通状况：有11路、26路、30路、37路、305路等多条公交站点在其附近，交通较便捷。</w:t>
      </w:r>
    </w:p>
    <w:p>
      <w:pPr>
        <w:tabs>
          <w:tab w:val="left" w:pos="360"/>
        </w:tabs>
        <w:spacing w:line="540" w:lineRule="exact"/>
        <w:ind w:right="-51"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lt;3&gt;公共基础设施情况：估价对象周边有晶尊国际微商学院、镇隆小学、遵义市第十八中心等教育机构；有贵州农信遵义红花岗农商银行、农村信用社、中国银行等金融机构；有春春便利店、吉祥超市、万客来超市、洋什铺时尚生活馆等生活服务设施，商业繁华程度一般，人口流动情况一般，区域内市政基础设施、生活服务设施配套完善。</w:t>
      </w:r>
    </w:p>
    <w:p>
      <w:pPr>
        <w:tabs>
          <w:tab w:val="left" w:pos="360"/>
        </w:tabs>
        <w:spacing w:line="540" w:lineRule="exact"/>
        <w:ind w:right="-51"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&lt;4&gt;环境状况：</w:t>
      </w:r>
      <w:bookmarkStart w:id="71" w:name="OLE_LINK2"/>
      <w:bookmarkStart w:id="72" w:name="OLE_LINK1"/>
      <w:r>
        <w:rPr>
          <w:rFonts w:hint="eastAsia" w:ascii="楷体_GB2312" w:hAnsi="楷体_GB2312" w:eastAsia="楷体_GB2312" w:cs="楷体_GB2312"/>
          <w:sz w:val="28"/>
          <w:szCs w:val="28"/>
        </w:rPr>
        <w:t>估价对象靠近湘江，区域内整体自然环境良好。</w:t>
      </w:r>
    </w:p>
    <w:bookmarkEnd w:id="71"/>
    <w:bookmarkEnd w:id="72"/>
    <w:p>
      <w:pPr>
        <w:tabs>
          <w:tab w:val="left" w:pos="360"/>
        </w:tabs>
        <w:spacing w:line="540" w:lineRule="exact"/>
        <w:ind w:right="-51"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&lt;5&gt;区位状况及未来变化趋势：</w:t>
      </w:r>
    </w:p>
    <w:p>
      <w:pPr>
        <w:tabs>
          <w:tab w:val="left" w:pos="360"/>
        </w:tabs>
        <w:spacing w:line="540" w:lineRule="exact"/>
        <w:ind w:right="-51" w:firstLine="560" w:firstLineChars="200"/>
        <w:jc w:val="left"/>
        <w:rPr>
          <w:rFonts w:ascii="楷体_GB2312" w:hAnsi="楷体_GB2312" w:eastAsia="楷体_GB2312" w:cs="楷体_GB2312"/>
          <w:sz w:val="28"/>
          <w:szCs w:val="28"/>
          <w:shd w:val="clear" w:color="auto" w:fill="FFFFFF"/>
        </w:rPr>
      </w:pPr>
      <w:r>
        <w:rPr>
          <w:rFonts w:hint="eastAsia" w:ascii="楷体_GB2312" w:hAnsi="楷体_GB2312" w:eastAsia="楷体_GB2312" w:cs="楷体_GB2312"/>
          <w:sz w:val="28"/>
          <w:szCs w:val="28"/>
        </w:rPr>
        <w:t>估价对象位于遵义市红花岗区：</w:t>
      </w:r>
      <w:r>
        <w:rPr>
          <w:rFonts w:hint="eastAsia" w:ascii="楷体_GB2312" w:hAnsi="楷体_GB2312" w:eastAsia="楷体_GB2312" w:cs="楷体_GB2312"/>
          <w:sz w:val="28"/>
          <w:szCs w:val="28"/>
          <w:shd w:val="clear" w:color="auto" w:fill="FFFFFF"/>
        </w:rPr>
        <w:t>红花岗区位于贵州省北部，是遵义市的中心城区之一，历来是遵义市的经济、文化、交通中心，国土面积1422.75平方公里，常住人口78.7万人，辖9个镇、14个街道，共有100个村、82个社区居委会。1935年1月，中共中央在这里召开了具有伟大历史意义的“遵义会议”，因此而名扬中外，彪炳史册，被誉为“转折之城”。</w:t>
      </w:r>
    </w:p>
    <w:p>
      <w:pPr>
        <w:tabs>
          <w:tab w:val="left" w:pos="360"/>
        </w:tabs>
        <w:spacing w:line="540" w:lineRule="exact"/>
        <w:ind w:right="-51" w:firstLine="560" w:firstLineChars="200"/>
        <w:jc w:val="left"/>
        <w:rPr>
          <w:rFonts w:ascii="楷体_GB2312" w:hAnsi="楷体_GB2312" w:eastAsia="楷体_GB2312" w:cs="楷体_GB2312"/>
          <w:sz w:val="28"/>
          <w:szCs w:val="28"/>
          <w:shd w:val="clear" w:color="auto" w:fill="FFFFFF"/>
        </w:rPr>
      </w:pPr>
      <w:r>
        <w:rPr>
          <w:rFonts w:hint="eastAsia" w:ascii="楷体_GB2312" w:hAnsi="楷体_GB2312" w:eastAsia="楷体_GB2312" w:cs="楷体_GB2312"/>
          <w:sz w:val="28"/>
          <w:szCs w:val="28"/>
          <w:shd w:val="clear" w:color="auto" w:fill="FFFFFF"/>
        </w:rPr>
        <w:t xml:space="preserve">2019年总体要求：以习近平新时代中国特色社会主义思想为指导，深入贯彻党的十九大和十九届二中、三中全会精神，以及习近平总书记在贵州省代表团重要讲话精神，统筹推进“五位一体”总体布局，协调推进“四个全面”战略布局，坚持稳中求进工作总基调，坚持新发展理念，贯彻落实“巩固、增强、提升、畅通”八字方针，以供给侧结构性改革为主线，深化市场化改革，扩大高水平开放，推动经济高质量发展，遵循“六稳”要求，坚决打好三大攻坚战，实施三大战略行动，守牢发展和生态两条底线，全面落实市委五届五次、六次全会决策部署，全力抓好稳增长、促改革、调结构、惠民生、防风险各项工作，提高人民群众获得感、幸福感、安全感，为全面建成小康社会收官打下决定性基础，以优异的成绩迎接新中国成立70周年。 </w:t>
      </w:r>
    </w:p>
    <w:p>
      <w:pPr>
        <w:numPr>
          <w:ilvl w:val="0"/>
          <w:numId w:val="2"/>
        </w:numPr>
        <w:tabs>
          <w:tab w:val="left" w:pos="360"/>
        </w:tabs>
        <w:spacing w:line="560" w:lineRule="exact"/>
        <w:ind w:right="-50"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估价对象权属状况</w:t>
      </w:r>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根据委托方提供的资料，至价值时点估价对象1#-2#均尚未办理《房屋所有权证》、《国有土地使用证》或《不动产权证书》等相关的权属资料，本次评估部分相关参数取值仅依据委托方提供的《遵义市红花岗区人民法院委托书》、《关于国际商贸城还房二期项目部分房屋建筑面积的情况说明》，即：估价对象1#-2#分别坐落于遵义市红花岗区遵义国际商贸城二期还房小区4号楼二单元18楼1-A和1-B，房屋建筑面积均为114.68平方米。由于委托方未提供上述相关的权属资料且在所提供的资料中未明确估价对象规划用途、房屋建筑结构、房屋修建年代、估价对象1#-2#所在宗地的土地使用权类型等内容。综上，结合本次估价目的及估价人员现场踏勘，本次评估设定如下：估价对象1#-2#房屋分别坐落于遵义市红花岗区遵义国际商贸城二期还房小区4号楼二单元18楼1-A和1-B，现状用途：住宅用房，房屋建筑结构：框架结构，房屋修建年代：2018年，土地使用权类型：出让，本次评估价值为估价对象1#-2#在该设定条件下的公开市场价值。</w:t>
      </w:r>
    </w:p>
    <w:p>
      <w:pPr>
        <w:spacing w:line="54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若与相关部门和实际情况登载不一致，应据实调整评估价值甚至本估价报告作废，因其不实造成的影响，本公司不承担任何责任，特提请报告使用者注意！</w:t>
      </w:r>
    </w:p>
    <w:p>
      <w:pPr>
        <w:spacing w:line="560" w:lineRule="exact"/>
        <w:ind w:right="-159" w:firstLine="621" w:firstLineChars="222"/>
        <w:rPr>
          <w:rFonts w:ascii="楷体_GB2312" w:hAnsi="楷体_GB2312" w:eastAsia="楷体_GB2312" w:cs="楷体_GB2312"/>
          <w:sz w:val="28"/>
        </w:rPr>
      </w:pPr>
      <w:r>
        <w:rPr>
          <w:rFonts w:hint="eastAsia" w:ascii="楷体_GB2312" w:hAnsi="楷体_GB2312" w:eastAsia="楷体_GB2312" w:cs="楷体_GB2312"/>
          <w:sz w:val="28"/>
        </w:rPr>
        <w:t>4、估价对象概况</w:t>
      </w:r>
    </w:p>
    <w:p>
      <w:pPr>
        <w:spacing w:line="560" w:lineRule="exact"/>
        <w:ind w:right="-159" w:firstLine="621" w:firstLineChars="222"/>
        <w:rPr>
          <w:rFonts w:ascii="楷体_GB2312" w:hAnsi="楷体_GB2312" w:eastAsia="楷体_GB2312" w:cs="楷体_GB2312"/>
          <w:sz w:val="28"/>
        </w:rPr>
      </w:pPr>
      <w:r>
        <w:rPr>
          <w:rFonts w:hint="eastAsia" w:ascii="楷体_GB2312" w:hAnsi="楷体_GB2312" w:eastAsia="楷体_GB2312" w:cs="楷体_GB2312"/>
          <w:sz w:val="28"/>
        </w:rPr>
        <w:t>①项目概况：</w:t>
      </w:r>
    </w:p>
    <w:p>
      <w:pPr>
        <w:spacing w:line="560" w:lineRule="exact"/>
        <w:ind w:right="-159" w:firstLine="621" w:firstLineChars="222"/>
        <w:rPr>
          <w:rFonts w:ascii="楷体_GB2312" w:hAnsi="楷体_GB2312" w:eastAsia="楷体_GB2312" w:cs="楷体_GB2312"/>
          <w:sz w:val="28"/>
        </w:rPr>
      </w:pPr>
      <w:r>
        <w:rPr>
          <w:rFonts w:hint="eastAsia" w:ascii="楷体_GB2312" w:hAnsi="楷体_GB2312" w:eastAsia="楷体_GB2312" w:cs="楷体_GB2312"/>
          <w:sz w:val="28"/>
        </w:rPr>
        <w:t>估价对象位于</w:t>
      </w:r>
      <w:r>
        <w:rPr>
          <w:rFonts w:hint="eastAsia" w:ascii="楷体_GB2312" w:hAnsi="楷体_GB2312" w:eastAsia="楷体_GB2312" w:cs="楷体_GB2312"/>
          <w:sz w:val="28"/>
          <w:szCs w:val="28"/>
        </w:rPr>
        <w:t>遵义市红花岗区遵义国际商贸城二期还房小区4号楼二单元18楼1-A和1-B</w:t>
      </w:r>
      <w:r>
        <w:rPr>
          <w:rFonts w:hint="eastAsia" w:ascii="楷体_GB2312" w:hAnsi="楷体_GB2312" w:eastAsia="楷体_GB2312" w:cs="楷体_GB2312"/>
          <w:sz w:val="28"/>
        </w:rPr>
        <w:t>，所在小区为还房小区，项目四至为</w:t>
      </w:r>
      <w:r>
        <w:rPr>
          <w:rFonts w:hint="eastAsia" w:ascii="楷体_GB2312" w:hAnsi="楷体_GB2312" w:eastAsia="楷体_GB2312" w:cs="楷体_GB2312"/>
          <w:sz w:val="28"/>
          <w:szCs w:val="28"/>
        </w:rPr>
        <w:t>东面临住宅，南面临遵义大道，西面可至湘江大道，北面临住宅；</w:t>
      </w:r>
      <w:r>
        <w:rPr>
          <w:rFonts w:hint="eastAsia" w:ascii="楷体_GB2312" w:hAnsi="楷体_GB2312" w:eastAsia="楷体_GB2312" w:cs="楷体_GB2312"/>
          <w:sz w:val="28"/>
        </w:rPr>
        <w:t>据估价人员了解该小区主要修建于2018年，小区共有4栋高层住宅，8个单元，主要为两梯四户；小区内基本生活配套较齐全。</w:t>
      </w:r>
    </w:p>
    <w:p>
      <w:pPr>
        <w:tabs>
          <w:tab w:val="left" w:pos="360"/>
        </w:tabs>
        <w:spacing w:line="560" w:lineRule="exact"/>
        <w:ind w:right="-50"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②估价对象房屋概况：</w:t>
      </w:r>
    </w:p>
    <w:p>
      <w:pPr>
        <w:tabs>
          <w:tab w:val="left" w:pos="360"/>
        </w:tabs>
        <w:spacing w:line="560" w:lineRule="exact"/>
        <w:ind w:right="-50"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根据委托方提供的相关资料，结合估价人员现场踏勘，估价对象为框架结构，通上下水、通电、通讯，房屋概况如下：</w:t>
      </w:r>
    </w:p>
    <w:p>
      <w:pPr>
        <w:tabs>
          <w:tab w:val="left" w:pos="360"/>
        </w:tabs>
        <w:spacing w:line="560" w:lineRule="exact"/>
        <w:ind w:right="-50"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估价对象位于遵义市红花岗区遵义国际商贸城二期还房小区4号楼二单元18楼1-A和1-B，该单元地上共29层，两梯四户（电梯），属</w:t>
      </w:r>
      <w:r>
        <w:rPr>
          <w:rFonts w:hint="eastAsia" w:ascii="楷体_GB2312" w:hAnsi="楷体_GB2312" w:eastAsia="楷体_GB2312" w:cs="楷体_GB2312"/>
          <w:sz w:val="28"/>
        </w:rPr>
        <w:t>框架</w:t>
      </w:r>
      <w:r>
        <w:rPr>
          <w:rFonts w:hint="eastAsia" w:ascii="楷体_GB2312" w:hAnsi="楷体_GB2312" w:eastAsia="楷体_GB2312" w:cs="楷体_GB2312"/>
          <w:sz w:val="28"/>
          <w:szCs w:val="28"/>
        </w:rPr>
        <w:t>结构，估价对象1#-2#房屋建筑面积均为111.5平方米，户型均为三室两厅两卫，入户为普通防盗门，室内地面均为水泥砂浆，层高均约为2.8米，墙面均为水泥砂浆，窗户均为普通推拉玻璃窗，估价对象采光、通风状况良好。</w:t>
      </w:r>
    </w:p>
    <w:p>
      <w:pPr>
        <w:tabs>
          <w:tab w:val="left" w:pos="360"/>
        </w:tabs>
        <w:spacing w:line="560" w:lineRule="exact"/>
        <w:ind w:right="-50"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③估价对象土地基本状况概况：</w:t>
      </w:r>
    </w:p>
    <w:p>
      <w:pPr>
        <w:tabs>
          <w:tab w:val="left" w:pos="360"/>
        </w:tabs>
        <w:spacing w:line="560" w:lineRule="exact"/>
        <w:ind w:right="-50" w:firstLine="560" w:firstLineChars="200"/>
        <w:jc w:val="left"/>
        <w:rPr>
          <w:rFonts w:ascii="楷体_GB2312" w:hAnsi="楷体_GB2312" w:eastAsia="楷体_GB2312" w:cs="楷体_GB2312"/>
          <w:sz w:val="28"/>
          <w:szCs w:val="28"/>
        </w:rPr>
      </w:pPr>
      <w:bookmarkStart w:id="73" w:name="_Toc430596973"/>
      <w:bookmarkStart w:id="74" w:name="_Toc286433153"/>
      <w:bookmarkStart w:id="75" w:name="_Toc438069510"/>
      <w:bookmarkStart w:id="76" w:name="_Toc438637876"/>
      <w:r>
        <w:rPr>
          <w:rFonts w:hint="eastAsia" w:ascii="楷体_GB2312" w:hAnsi="楷体_GB2312" w:eastAsia="楷体_GB2312" w:cs="楷体_GB2312"/>
          <w:sz w:val="28"/>
          <w:szCs w:val="28"/>
        </w:rPr>
        <w:t>因委托方尚未提供估价对象1#-2#相应的《国有土地使用权证》等相关资料，据估价人员现场踏勘，估价对象所在楼栋宗地四至为：东面临住宅，南面临遵义大道，西面可至湘江大道，北面临住宅，地势平坦。</w:t>
      </w:r>
    </w:p>
    <w:p>
      <w:pPr>
        <w:adjustRightInd w:val="0"/>
        <w:snapToGrid w:val="0"/>
        <w:spacing w:line="560" w:lineRule="exact"/>
        <w:ind w:firstLine="560" w:firstLineChars="200"/>
        <w:rPr>
          <w:rFonts w:ascii="楷体_GB2312" w:hAnsi="楷体_GB2312" w:eastAsia="楷体_GB2312" w:cs="楷体_GB2312"/>
          <w:sz w:val="28"/>
        </w:rPr>
      </w:pPr>
    </w:p>
    <w:p>
      <w:pPr>
        <w:pStyle w:val="5"/>
        <w:spacing w:before="240" w:line="560" w:lineRule="exact"/>
        <w:ind w:firstLine="0"/>
        <w:rPr>
          <w:rFonts w:ascii="楷体_GB2312" w:hAnsi="楷体_GB2312" w:eastAsia="楷体_GB2312" w:cs="楷体_GB2312"/>
          <w:bCs w:val="0"/>
          <w:spacing w:val="0"/>
          <w:sz w:val="32"/>
          <w:szCs w:val="32"/>
        </w:rPr>
      </w:pPr>
      <w:bookmarkStart w:id="77" w:name="_Toc30809"/>
      <w:r>
        <w:rPr>
          <w:rFonts w:hint="eastAsia" w:ascii="楷体_GB2312" w:hAnsi="楷体_GB2312" w:eastAsia="楷体_GB2312" w:cs="楷体_GB2312"/>
          <w:bCs w:val="0"/>
          <w:spacing w:val="0"/>
          <w:sz w:val="32"/>
          <w:szCs w:val="32"/>
        </w:rPr>
        <w:t>（五）价值时点</w:t>
      </w:r>
      <w:bookmarkEnd w:id="73"/>
      <w:bookmarkEnd w:id="74"/>
      <w:bookmarkEnd w:id="75"/>
      <w:bookmarkEnd w:id="76"/>
      <w:bookmarkEnd w:id="77"/>
    </w:p>
    <w:p>
      <w:pPr>
        <w:pStyle w:val="25"/>
        <w:spacing w:line="560" w:lineRule="exact"/>
        <w:ind w:left="0" w:leftChars="0" w:right="14" w:firstLine="560" w:firstLineChars="200"/>
        <w:rPr>
          <w:rFonts w:ascii="楷体_GB2312" w:hAnsi="楷体_GB2312" w:eastAsia="楷体_GB2312" w:cs="楷体_GB2312"/>
          <w:sz w:val="28"/>
        </w:rPr>
      </w:pPr>
      <w:r>
        <w:rPr>
          <w:rFonts w:hint="eastAsia" w:ascii="楷体_GB2312" w:hAnsi="楷体_GB2312" w:eastAsia="楷体_GB2312" w:cs="楷体_GB2312"/>
          <w:sz w:val="28"/>
          <w:szCs w:val="28"/>
        </w:rPr>
        <w:t>根据《房地产估价规范》规定：价值时点原则上为完成估价对象实地查勘之日，本项目估价师于二○一九年六月十九日进行现场踏勘，故本次评估确定价值时点为</w:t>
      </w:r>
      <w:r>
        <w:rPr>
          <w:rFonts w:hint="eastAsia" w:ascii="楷体_GB2312" w:hAnsi="楷体_GB2312" w:eastAsia="楷体_GB2312" w:cs="楷体_GB2312"/>
          <w:b/>
          <w:sz w:val="28"/>
        </w:rPr>
        <w:t>二○一九年六月十九日</w:t>
      </w:r>
      <w:r>
        <w:rPr>
          <w:rFonts w:hint="eastAsia" w:ascii="楷体_GB2312" w:hAnsi="楷体_GB2312" w:eastAsia="楷体_GB2312" w:cs="楷体_GB2312"/>
          <w:sz w:val="28"/>
        </w:rPr>
        <w:t>。</w:t>
      </w:r>
    </w:p>
    <w:p>
      <w:pPr>
        <w:rPr>
          <w:rFonts w:ascii="楷体_GB2312" w:hAnsi="楷体_GB2312" w:eastAsia="楷体_GB2312" w:cs="楷体_GB2312"/>
        </w:rPr>
      </w:pPr>
    </w:p>
    <w:p>
      <w:pPr>
        <w:pStyle w:val="5"/>
        <w:spacing w:before="240" w:line="560" w:lineRule="exact"/>
        <w:ind w:firstLine="0"/>
        <w:rPr>
          <w:rFonts w:ascii="楷体_GB2312" w:hAnsi="楷体_GB2312" w:eastAsia="楷体_GB2312" w:cs="楷体_GB2312"/>
          <w:bCs w:val="0"/>
          <w:spacing w:val="0"/>
          <w:sz w:val="32"/>
          <w:szCs w:val="32"/>
        </w:rPr>
      </w:pPr>
      <w:bookmarkStart w:id="78" w:name="_Toc286433154"/>
      <w:bookmarkStart w:id="79" w:name="_Toc438637877"/>
      <w:bookmarkStart w:id="80" w:name="_Toc438069511"/>
      <w:bookmarkStart w:id="81" w:name="_Toc430596974"/>
      <w:bookmarkStart w:id="82" w:name="_Toc25774"/>
      <w:r>
        <w:rPr>
          <w:rFonts w:hint="eastAsia" w:ascii="楷体_GB2312" w:hAnsi="楷体_GB2312" w:eastAsia="楷体_GB2312" w:cs="楷体_GB2312"/>
          <w:bCs w:val="0"/>
          <w:spacing w:val="0"/>
          <w:sz w:val="32"/>
          <w:szCs w:val="32"/>
        </w:rPr>
        <w:t>（六）价值</w:t>
      </w:r>
      <w:bookmarkEnd w:id="78"/>
      <w:r>
        <w:rPr>
          <w:rFonts w:hint="eastAsia" w:ascii="楷体_GB2312" w:hAnsi="楷体_GB2312" w:eastAsia="楷体_GB2312" w:cs="楷体_GB2312"/>
          <w:bCs w:val="0"/>
          <w:spacing w:val="0"/>
          <w:sz w:val="32"/>
          <w:szCs w:val="32"/>
        </w:rPr>
        <w:t>类型</w:t>
      </w:r>
      <w:bookmarkEnd w:id="79"/>
      <w:bookmarkEnd w:id="80"/>
      <w:bookmarkEnd w:id="81"/>
      <w:bookmarkEnd w:id="82"/>
    </w:p>
    <w:p>
      <w:pPr>
        <w:spacing w:line="52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估价中采用公开市场价值，即估价对象经适当营销后，由熟悉情况、谨慎行事且不受强迫的交易双方，以公平交易方式在价值时点自愿进行交易的金额。</w:t>
      </w:r>
    </w:p>
    <w:p>
      <w:pPr>
        <w:spacing w:line="520" w:lineRule="exact"/>
        <w:ind w:firstLine="560" w:firstLineChars="200"/>
        <w:rPr>
          <w:rFonts w:ascii="楷体_GB2312" w:hAnsi="楷体_GB2312" w:eastAsia="楷体_GB2312" w:cs="楷体_GB2312"/>
          <w:sz w:val="28"/>
          <w:szCs w:val="28"/>
        </w:rPr>
      </w:pPr>
    </w:p>
    <w:p>
      <w:pPr>
        <w:pStyle w:val="5"/>
        <w:spacing w:before="240" w:line="560" w:lineRule="exact"/>
        <w:ind w:firstLine="0"/>
        <w:rPr>
          <w:rFonts w:ascii="楷体_GB2312" w:hAnsi="楷体_GB2312" w:eastAsia="楷体_GB2312" w:cs="楷体_GB2312"/>
          <w:bCs w:val="0"/>
          <w:spacing w:val="0"/>
          <w:sz w:val="32"/>
          <w:szCs w:val="32"/>
        </w:rPr>
      </w:pPr>
      <w:bookmarkStart w:id="83" w:name="_Toc286433155"/>
      <w:bookmarkStart w:id="84" w:name="_Toc438069512"/>
      <w:bookmarkStart w:id="85" w:name="_Toc438637878"/>
      <w:bookmarkStart w:id="86" w:name="_Toc430596975"/>
      <w:bookmarkStart w:id="87" w:name="_Toc6462"/>
      <w:r>
        <w:rPr>
          <w:rFonts w:hint="eastAsia" w:ascii="楷体_GB2312" w:hAnsi="楷体_GB2312" w:eastAsia="楷体_GB2312" w:cs="楷体_GB2312"/>
          <w:bCs w:val="0"/>
          <w:spacing w:val="0"/>
          <w:sz w:val="32"/>
          <w:szCs w:val="32"/>
        </w:rPr>
        <w:t>（七）估价依据</w:t>
      </w:r>
      <w:bookmarkEnd w:id="83"/>
      <w:bookmarkEnd w:id="84"/>
      <w:bookmarkEnd w:id="85"/>
      <w:bookmarkEnd w:id="86"/>
      <w:bookmarkEnd w:id="87"/>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1、法律、法规和政策性文件</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①《中华人民共和国城市房地产管理法》（根据2007年8月30日第十届全国人民代表大会常务委员会第二十九次会议《关于修改〈中华人民共和国城市房地产管理法〉的决定》修正）；</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②《中华人民共和国土地管理法》（根据2004年8月28日第十届全国人民代表大会常务委员会第十一次会议《关于修改〈中华人民共和国土地管理法〉的决定》第二次修正）；</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③《中华人民共和国土地管理法实施条例》；</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④《中华人民共和国城镇国有土地使用权出让和转让暂行条例》；</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⑤《最高人民法院关于人民法院确定财产处置参考价若干问题的规定》（法释[2018]15号）。</w:t>
      </w:r>
    </w:p>
    <w:p>
      <w:pPr>
        <w:spacing w:line="50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2、技术标准、规程、规范</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①《房地产估价规范》(GB/T50291－2015)；</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②《城镇土地估价规程》（GB/T18508-2014）。</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3、委托方提供的相关资料</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①《遵义市红花岗区人民法院委托书》（[2019]黔0302执恢376号）；</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②《关于国际商贸城还房二期项目部分房屋建筑面积的情况说明》。</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4、估价人员调查收集的相关资料</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①当地政府有关房地产估价的法律、法规和政策；</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②估价人员现场勘察调查获得的实况和资料；</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③遵义市红花岗区现时房地产市场价格调查。</w:t>
      </w:r>
    </w:p>
    <w:p>
      <w:pPr>
        <w:spacing w:line="560" w:lineRule="exact"/>
        <w:ind w:firstLine="560" w:firstLineChars="200"/>
        <w:rPr>
          <w:rFonts w:ascii="楷体_GB2312" w:hAnsi="楷体_GB2312" w:eastAsia="楷体_GB2312" w:cs="楷体_GB2312"/>
          <w:sz w:val="28"/>
          <w:szCs w:val="28"/>
        </w:rPr>
      </w:pPr>
    </w:p>
    <w:p>
      <w:pPr>
        <w:pStyle w:val="5"/>
        <w:spacing w:before="240" w:line="560" w:lineRule="exact"/>
        <w:ind w:firstLine="0"/>
        <w:rPr>
          <w:rFonts w:ascii="楷体_GB2312" w:hAnsi="楷体_GB2312" w:eastAsia="楷体_GB2312" w:cs="楷体_GB2312"/>
          <w:bCs w:val="0"/>
          <w:spacing w:val="0"/>
          <w:sz w:val="32"/>
          <w:szCs w:val="32"/>
        </w:rPr>
      </w:pPr>
      <w:bookmarkStart w:id="88" w:name="_Toc286433156"/>
      <w:bookmarkStart w:id="89" w:name="_Toc438637879"/>
      <w:bookmarkStart w:id="90" w:name="_Toc438069513"/>
      <w:bookmarkStart w:id="91" w:name="_Toc430596976"/>
      <w:bookmarkStart w:id="92" w:name="_Toc29524"/>
      <w:r>
        <w:rPr>
          <w:rFonts w:hint="eastAsia" w:ascii="楷体_GB2312" w:hAnsi="楷体_GB2312" w:eastAsia="楷体_GB2312" w:cs="楷体_GB2312"/>
          <w:bCs w:val="0"/>
          <w:spacing w:val="0"/>
          <w:sz w:val="32"/>
          <w:szCs w:val="32"/>
        </w:rPr>
        <w:t>（八）估价原则</w:t>
      </w:r>
      <w:bookmarkEnd w:id="88"/>
      <w:bookmarkEnd w:id="89"/>
      <w:bookmarkEnd w:id="90"/>
      <w:bookmarkEnd w:id="91"/>
      <w:bookmarkEnd w:id="92"/>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根据估价委托，结合该估价对象的有关情况，此次估价遵循以下原则：</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合法原则：合法原创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如土地使用权出让合同）等允许的处分方式为依据；在其他方面，如评估出的价格必须符合国家的价格政策。</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最高最佳使用原则：所谓最高最佳使用是估价对象一种最可能的使用，这种可能的使用是法律上允许、技术上可能、财务上可行、经过充分合理的论证，并能给予估价对象带来最高价值的使用。它的一种具体表现，是以能使估价对象获利最多的用途和开发强度来衡量。这是因为在房地产市场中，每位房地产拥有者在主观上都试图充分地发挥房地产的潜力，采用最高最佳利用方式，取得最大的收益。</w:t>
      </w:r>
    </w:p>
    <w:p>
      <w:pPr>
        <w:spacing w:line="54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3、独立客观公正原则：独立、客观公正原则要求</w:t>
      </w:r>
      <w:r>
        <w:fldChar w:fldCharType="begin"/>
      </w:r>
      <w:r>
        <w:instrText xml:space="preserve"> HYPERLINK "http://www.jianshe99.com/web/fdcgjs/" \t "_blank" </w:instrText>
      </w:r>
      <w:r>
        <w:fldChar w:fldCharType="separate"/>
      </w:r>
      <w:r>
        <w:rPr>
          <w:rFonts w:hint="eastAsia" w:ascii="楷体_GB2312" w:hAnsi="楷体_GB2312" w:eastAsia="楷体_GB2312" w:cs="楷体_GB2312"/>
          <w:sz w:val="28"/>
          <w:szCs w:val="28"/>
        </w:rPr>
        <w:t>房地产估价师</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t>站在中立的立场上，评估出对各方当事人来说均是公平合理的价值。房地产估价师要凭借自己的专业知识、经验和应有的职业道德进行估价，不受任何单位和个人的非法干预；从客观实际出发，反映事物的本来面目进行估价，不带着自己的好恶、情感和偏见。公平正直地进行估价，不偏袒相关当事人中的任何一方，应当坚持原则、公平正直地进行估价。</w:t>
      </w:r>
    </w:p>
    <w:p>
      <w:pPr>
        <w:spacing w:line="54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4、价值时点原则：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的状况为准。</w:t>
      </w:r>
    </w:p>
    <w:p>
      <w:pPr>
        <w:spacing w:line="54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5、替代原则：根据市场运行规律，在同一商品市场中，商品或提供服务的效用相同或大致相似时，价格低者吸引需求，即有两个以上互有替代性的商品或服务同时存在时，商品或服务的价格中经过相互影响与比较之后来决定的。房地产价格也同样遵循代替规律，受其他具有相同使用价值的房地产，即同类型具有替代可能的房地产价格所牵制。换言之，具有相同使用价值、替代可能的房地产之间，会相互影响和竞争，使价格相互牵制而趋于一致。</w:t>
      </w:r>
    </w:p>
    <w:p>
      <w:pPr>
        <w:spacing w:line="520" w:lineRule="exact"/>
        <w:ind w:right="-334" w:firstLine="560" w:firstLineChars="200"/>
        <w:jc w:val="left"/>
        <w:rPr>
          <w:rFonts w:ascii="楷体_GB2312" w:hAnsi="楷体_GB2312" w:eastAsia="楷体_GB2312" w:cs="楷体_GB2312"/>
          <w:sz w:val="28"/>
        </w:rPr>
      </w:pPr>
    </w:p>
    <w:p>
      <w:pPr>
        <w:pStyle w:val="5"/>
        <w:spacing w:before="240" w:line="520" w:lineRule="exact"/>
        <w:ind w:firstLine="0"/>
        <w:rPr>
          <w:rFonts w:ascii="楷体_GB2312" w:hAnsi="楷体_GB2312" w:eastAsia="楷体_GB2312" w:cs="楷体_GB2312"/>
          <w:bCs w:val="0"/>
          <w:spacing w:val="0"/>
          <w:sz w:val="32"/>
          <w:szCs w:val="32"/>
        </w:rPr>
      </w:pPr>
      <w:bookmarkStart w:id="93" w:name="_Toc438637880"/>
      <w:bookmarkStart w:id="94" w:name="_Toc286433157"/>
      <w:bookmarkStart w:id="95" w:name="_Toc438069514"/>
      <w:bookmarkStart w:id="96" w:name="_Toc430596977"/>
      <w:bookmarkStart w:id="97" w:name="_Toc4210"/>
      <w:r>
        <w:rPr>
          <w:rFonts w:hint="eastAsia" w:ascii="楷体_GB2312" w:hAnsi="楷体_GB2312" w:eastAsia="楷体_GB2312" w:cs="楷体_GB2312"/>
          <w:bCs w:val="0"/>
          <w:spacing w:val="0"/>
          <w:sz w:val="32"/>
          <w:szCs w:val="32"/>
        </w:rPr>
        <w:t>（九）估价方法</w:t>
      </w:r>
      <w:bookmarkEnd w:id="93"/>
      <w:bookmarkEnd w:id="94"/>
      <w:bookmarkEnd w:id="95"/>
      <w:bookmarkEnd w:id="96"/>
      <w:bookmarkEnd w:id="97"/>
    </w:p>
    <w:p>
      <w:pPr>
        <w:spacing w:line="540" w:lineRule="exact"/>
        <w:ind w:firstLine="560" w:firstLineChars="200"/>
        <w:rPr>
          <w:rFonts w:ascii="楷体_GB2312" w:hAnsi="楷体_GB2312" w:eastAsia="楷体_GB2312" w:cs="楷体_GB2312"/>
          <w:sz w:val="28"/>
          <w:szCs w:val="28"/>
        </w:rPr>
      </w:pPr>
      <w:bookmarkStart w:id="98" w:name="_Toc286433158"/>
      <w:r>
        <w:rPr>
          <w:rFonts w:hint="eastAsia" w:ascii="楷体_GB2312" w:hAnsi="楷体_GB2312" w:eastAsia="楷体_GB2312" w:cs="楷体_GB2312"/>
          <w:sz w:val="28"/>
          <w:szCs w:val="28"/>
        </w:rPr>
        <w:t>根据国家有关房地产估价规范和标准，通行的估价方法有市场比较法、收益还原法、假设开发法、重置成本法等。估价方法的选择应按照评估相关的技术规程。</w:t>
      </w:r>
    </w:p>
    <w:p>
      <w:pPr>
        <w:spacing w:line="54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1、不适宜采用的方法：</w:t>
      </w:r>
    </w:p>
    <w:p>
      <w:pPr>
        <w:spacing w:line="54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假设开发法是求取估价对象未来开发完成后的价值，减去未来的正常开发成本、税费和利润等，以此估算估价对象的客观合理价格或价值的方法。</w:t>
      </w:r>
    </w:p>
    <w:p>
      <w:pPr>
        <w:spacing w:line="540" w:lineRule="exact"/>
        <w:ind w:firstLine="560" w:firstLineChars="200"/>
        <w:rPr>
          <w:rFonts w:ascii="楷体_GB2312" w:hAnsi="楷体_GB2312" w:eastAsia="楷体_GB2312" w:cs="楷体_GB2312"/>
          <w:sz w:val="28"/>
          <w:szCs w:val="28"/>
        </w:rPr>
      </w:pPr>
      <w:r>
        <w:rPr>
          <w:rFonts w:hint="eastAsia" w:ascii="楷体_GB2312" w:hAnsi="宋体" w:eastAsia="楷体_GB2312"/>
          <w:sz w:val="28"/>
          <w:szCs w:val="28"/>
        </w:rPr>
        <w:t>根据委托方提供的《</w:t>
      </w:r>
      <w:r>
        <w:rPr>
          <w:rFonts w:hint="eastAsia" w:ascii="楷体_GB2312" w:hAnsi="楷体_GB2312" w:eastAsia="楷体_GB2312" w:cs="楷体_GB2312"/>
          <w:sz w:val="28"/>
          <w:szCs w:val="28"/>
        </w:rPr>
        <w:t>遵义市红花岗区人民法院委托书</w:t>
      </w:r>
      <w:r>
        <w:rPr>
          <w:rFonts w:hint="eastAsia" w:ascii="楷体_GB2312" w:hAnsi="宋体" w:eastAsia="楷体_GB2312"/>
          <w:sz w:val="28"/>
          <w:szCs w:val="28"/>
        </w:rPr>
        <w:t>》，结合估价目的，估价对象1#-2#在估价时点已竣工验收，可投入使用，</w:t>
      </w:r>
      <w:r>
        <w:rPr>
          <w:rFonts w:hint="eastAsia" w:ascii="楷体_GB2312" w:hAnsi="楷体_GB2312" w:eastAsia="楷体_GB2312" w:cs="楷体_GB2312"/>
          <w:sz w:val="28"/>
          <w:szCs w:val="28"/>
        </w:rPr>
        <w:t>本次评估均未考虑估价对象1#-2#在办理相关产权证资料时需缴纳的各种费用</w:t>
      </w:r>
      <w:r>
        <w:rPr>
          <w:rFonts w:hint="eastAsia" w:ascii="楷体_GB2312" w:hAnsi="宋体" w:eastAsia="楷体_GB2312"/>
          <w:sz w:val="28"/>
          <w:szCs w:val="28"/>
        </w:rPr>
        <w:t>，</w:t>
      </w:r>
      <w:r>
        <w:rPr>
          <w:rFonts w:hint="eastAsia" w:ascii="楷体_GB2312" w:hAnsi="楷体_GB2312" w:eastAsia="楷体_GB2312" w:cs="楷体_GB2312"/>
          <w:sz w:val="28"/>
          <w:szCs w:val="28"/>
        </w:rPr>
        <w:t>故不适宜采用该评估方法。</w:t>
      </w:r>
    </w:p>
    <w:p>
      <w:pPr>
        <w:spacing w:line="52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成本法是求取估价对象在价值时点的重置价格或价值，扣除折旧，以此估算估价对象客观合理价格或价值的方法。由于本次估价对象</w:t>
      </w:r>
      <w:r>
        <w:rPr>
          <w:rFonts w:hint="eastAsia" w:ascii="楷体_GB2312" w:hAnsi="宋体" w:eastAsia="楷体_GB2312"/>
          <w:sz w:val="28"/>
          <w:szCs w:val="28"/>
        </w:rPr>
        <w:t>1#-2#</w:t>
      </w:r>
      <w:r>
        <w:rPr>
          <w:rFonts w:hint="eastAsia" w:ascii="楷体_GB2312" w:hAnsi="楷体_GB2312" w:eastAsia="楷体_GB2312" w:cs="楷体_GB2312"/>
          <w:sz w:val="28"/>
          <w:szCs w:val="28"/>
        </w:rPr>
        <w:t>为住宅用房，求取的是估价对象的现时市场价值，不是估价对象</w:t>
      </w:r>
      <w:r>
        <w:rPr>
          <w:rFonts w:hint="eastAsia" w:ascii="楷体_GB2312" w:hAnsi="宋体" w:eastAsia="楷体_GB2312"/>
          <w:sz w:val="28"/>
          <w:szCs w:val="28"/>
        </w:rPr>
        <w:t>1#-2#</w:t>
      </w:r>
      <w:r>
        <w:rPr>
          <w:rFonts w:hint="eastAsia" w:ascii="楷体_GB2312" w:hAnsi="楷体_GB2312" w:eastAsia="楷体_GB2312" w:cs="楷体_GB2312"/>
          <w:sz w:val="28"/>
          <w:szCs w:val="28"/>
        </w:rPr>
        <w:t>的修建成本，则成本的累加不能够体现出现时的市场价值，故不适用该评估方法。</w:t>
      </w:r>
    </w:p>
    <w:p>
      <w:pPr>
        <w:spacing w:line="520" w:lineRule="exact"/>
        <w:ind w:firstLine="560" w:firstLineChars="200"/>
        <w:contextualSpacing/>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2、适宜采用的方法：</w:t>
      </w:r>
    </w:p>
    <w:p>
      <w:pPr>
        <w:spacing w:line="520" w:lineRule="exact"/>
        <w:ind w:firstLine="560" w:firstLineChars="200"/>
        <w:contextualSpacing/>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市场比较法是将估价对象与价值时点近期有过交易的类似房地产进行比较，对这些类似房地产的已知价格作适当修正，以此估算价格对象的客观合理价格或价值的方法。根据估价人员对该区域内房地产的销售案例的调查。估价对象区域内类似的房地产交易案例较多，也贴近现时的市场价值，故适用该评估方法。</w:t>
      </w:r>
    </w:p>
    <w:p>
      <w:pPr>
        <w:spacing w:line="520" w:lineRule="exact"/>
        <w:ind w:firstLine="560" w:firstLineChars="200"/>
        <w:contextualSpacing/>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收益法：收益法是运用适当的报酬率，将预期的估价对象房地产未来各期（通常为年）的正常纯收益折算到价值时点上的现值，求其之和得出估价对象房地产价格的一种方法。本次估价对象</w:t>
      </w:r>
      <w:r>
        <w:rPr>
          <w:rFonts w:hint="eastAsia" w:ascii="楷体_GB2312" w:hAnsi="宋体" w:eastAsia="楷体_GB2312"/>
          <w:sz w:val="28"/>
          <w:szCs w:val="28"/>
        </w:rPr>
        <w:t>1#-2#</w:t>
      </w:r>
      <w:r>
        <w:rPr>
          <w:rFonts w:hint="eastAsia" w:ascii="楷体_GB2312" w:hAnsi="楷体_GB2312" w:eastAsia="楷体_GB2312" w:cs="楷体_GB2312"/>
          <w:sz w:val="28"/>
          <w:szCs w:val="28"/>
        </w:rPr>
        <w:t>所在区域范围内类似租赁案例较多，故适用该评估方法。</w:t>
      </w:r>
    </w:p>
    <w:p>
      <w:pPr>
        <w:spacing w:line="52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经过估价人员认真分析、综合考虑，决定对估价对象</w:t>
      </w:r>
      <w:r>
        <w:rPr>
          <w:rFonts w:hint="eastAsia" w:ascii="楷体_GB2312" w:hAnsi="宋体" w:eastAsia="楷体_GB2312"/>
          <w:sz w:val="28"/>
          <w:szCs w:val="28"/>
        </w:rPr>
        <w:t>1#-2#</w:t>
      </w:r>
      <w:r>
        <w:rPr>
          <w:rFonts w:hint="eastAsia" w:ascii="楷体_GB2312" w:hAnsi="楷体_GB2312" w:eastAsia="楷体_GB2312" w:cs="楷体_GB2312"/>
          <w:sz w:val="28"/>
          <w:szCs w:val="28"/>
        </w:rPr>
        <w:t>采用市场比较法和收益法作为本次估价方法，对估价结果进行综合分析，最终求取估价对象房地产的评估价值（未扣减估价对象</w:t>
      </w:r>
      <w:r>
        <w:rPr>
          <w:rFonts w:hint="eastAsia" w:ascii="楷体_GB2312" w:hAnsi="宋体" w:eastAsia="楷体_GB2312"/>
          <w:sz w:val="28"/>
          <w:szCs w:val="28"/>
        </w:rPr>
        <w:t>1#-2#</w:t>
      </w:r>
      <w:r>
        <w:rPr>
          <w:rFonts w:hint="eastAsia" w:ascii="楷体_GB2312" w:hAnsi="楷体_GB2312" w:eastAsia="楷体_GB2312" w:cs="楷体_GB2312"/>
          <w:sz w:val="28"/>
          <w:szCs w:val="28"/>
        </w:rPr>
        <w:t>后期办理相关产权证资料及其他相关手续费用）。</w:t>
      </w:r>
    </w:p>
    <w:p>
      <w:pPr>
        <w:spacing w:line="52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3、估价方法定义及公式：</w:t>
      </w:r>
    </w:p>
    <w:p>
      <w:pPr>
        <w:spacing w:line="52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①市场比较法：将估价对象与价值时点近期有过交易的类似房地产进行比较，对这些类似房地产的已知价格作适当修正，以此估算价格对象的客观合理价格或价值的方法。</w:t>
      </w:r>
    </w:p>
    <w:p>
      <w:pPr>
        <w:spacing w:line="52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计算公式：</w:t>
      </w:r>
    </w:p>
    <w:tbl>
      <w:tblPr>
        <w:tblStyle w:val="42"/>
        <w:tblW w:w="9460" w:type="dxa"/>
        <w:jc w:val="center"/>
        <w:tblInd w:w="0" w:type="dxa"/>
        <w:tblLayout w:type="fixed"/>
        <w:tblCellMar>
          <w:top w:w="0" w:type="dxa"/>
          <w:left w:w="108" w:type="dxa"/>
          <w:bottom w:w="0" w:type="dxa"/>
          <w:right w:w="108" w:type="dxa"/>
        </w:tblCellMar>
      </w:tblPr>
      <w:tblGrid>
        <w:gridCol w:w="1139"/>
        <w:gridCol w:w="258"/>
        <w:gridCol w:w="1110"/>
        <w:gridCol w:w="371"/>
        <w:gridCol w:w="1866"/>
        <w:gridCol w:w="371"/>
        <w:gridCol w:w="1883"/>
        <w:gridCol w:w="418"/>
        <w:gridCol w:w="2044"/>
      </w:tblGrid>
      <w:tr>
        <w:tblPrEx>
          <w:tblLayout w:type="fixed"/>
          <w:tblCellMar>
            <w:top w:w="0" w:type="dxa"/>
            <w:left w:w="108" w:type="dxa"/>
            <w:bottom w:w="0" w:type="dxa"/>
            <w:right w:w="108" w:type="dxa"/>
          </w:tblCellMar>
        </w:tblPrEx>
        <w:trPr>
          <w:trHeight w:val="368" w:hRule="atLeast"/>
          <w:jc w:val="center"/>
        </w:trPr>
        <w:tc>
          <w:tcPr>
            <w:tcW w:w="1139" w:type="dxa"/>
            <w:tcBorders>
              <w:top w:val="nil"/>
              <w:left w:val="nil"/>
              <w:bottom w:val="nil"/>
              <w:right w:val="nil"/>
            </w:tcBorders>
            <w:vAlign w:val="center"/>
          </w:tcPr>
          <w:p>
            <w:pPr>
              <w:widowControl/>
              <w:spacing w:line="400" w:lineRule="exact"/>
              <w:jc w:val="left"/>
              <w:rPr>
                <w:rFonts w:ascii="楷体_GB2312" w:hAnsi="楷体_GB2312" w:eastAsia="楷体_GB2312" w:cs="楷体_GB2312"/>
                <w:kern w:val="0"/>
                <w:sz w:val="24"/>
              </w:rPr>
            </w:pPr>
          </w:p>
        </w:tc>
        <w:tc>
          <w:tcPr>
            <w:tcW w:w="258" w:type="dxa"/>
            <w:tcBorders>
              <w:top w:val="nil"/>
              <w:left w:val="nil"/>
              <w:bottom w:val="nil"/>
              <w:right w:val="nil"/>
            </w:tcBorders>
            <w:vAlign w:val="center"/>
          </w:tcPr>
          <w:p>
            <w:pPr>
              <w:widowControl/>
              <w:spacing w:line="400" w:lineRule="exact"/>
              <w:jc w:val="left"/>
              <w:rPr>
                <w:rFonts w:ascii="楷体_GB2312" w:hAnsi="楷体_GB2312" w:eastAsia="楷体_GB2312" w:cs="楷体_GB2312"/>
                <w:kern w:val="0"/>
                <w:sz w:val="24"/>
              </w:rPr>
            </w:pPr>
          </w:p>
        </w:tc>
        <w:tc>
          <w:tcPr>
            <w:tcW w:w="1110" w:type="dxa"/>
            <w:tcBorders>
              <w:top w:val="nil"/>
              <w:left w:val="nil"/>
              <w:bottom w:val="nil"/>
              <w:right w:val="nil"/>
            </w:tcBorders>
            <w:vAlign w:val="center"/>
          </w:tcPr>
          <w:p>
            <w:pPr>
              <w:widowControl/>
              <w:spacing w:line="400" w:lineRule="exact"/>
              <w:jc w:val="left"/>
              <w:rPr>
                <w:rFonts w:ascii="楷体_GB2312" w:hAnsi="楷体_GB2312" w:eastAsia="楷体_GB2312" w:cs="楷体_GB2312"/>
                <w:kern w:val="0"/>
                <w:sz w:val="24"/>
              </w:rPr>
            </w:pPr>
          </w:p>
        </w:tc>
        <w:tc>
          <w:tcPr>
            <w:tcW w:w="371" w:type="dxa"/>
            <w:tcBorders>
              <w:top w:val="nil"/>
              <w:left w:val="nil"/>
              <w:bottom w:val="nil"/>
              <w:right w:val="nil"/>
            </w:tcBorders>
            <w:vAlign w:val="center"/>
          </w:tcPr>
          <w:p>
            <w:pPr>
              <w:widowControl/>
              <w:spacing w:line="400" w:lineRule="exact"/>
              <w:jc w:val="left"/>
              <w:rPr>
                <w:rFonts w:ascii="楷体_GB2312" w:hAnsi="楷体_GB2312" w:eastAsia="楷体_GB2312" w:cs="楷体_GB2312"/>
                <w:kern w:val="0"/>
                <w:sz w:val="24"/>
              </w:rPr>
            </w:pPr>
          </w:p>
        </w:tc>
        <w:tc>
          <w:tcPr>
            <w:tcW w:w="1866" w:type="dxa"/>
            <w:tcBorders>
              <w:top w:val="nil"/>
              <w:left w:val="nil"/>
              <w:bottom w:val="nil"/>
              <w:right w:val="nil"/>
            </w:tcBorders>
            <w:vAlign w:val="center"/>
          </w:tcPr>
          <w:p>
            <w:pPr>
              <w:widowControl/>
              <w:spacing w:line="400" w:lineRule="exact"/>
              <w:rPr>
                <w:rFonts w:ascii="楷体_GB2312" w:hAnsi="楷体_GB2312" w:eastAsia="楷体_GB2312" w:cs="楷体_GB2312"/>
                <w:kern w:val="0"/>
                <w:sz w:val="24"/>
              </w:rPr>
            </w:pPr>
            <w:r>
              <w:rPr>
                <w:rFonts w:hint="eastAsia" w:ascii="楷体_GB2312" w:hAnsi="楷体_GB2312" w:eastAsia="楷体_GB2312" w:cs="楷体_GB2312"/>
                <w:kern w:val="0"/>
                <w:sz w:val="24"/>
              </w:rPr>
              <w:t>交易情况修正</w:t>
            </w:r>
          </w:p>
        </w:tc>
        <w:tc>
          <w:tcPr>
            <w:tcW w:w="371" w:type="dxa"/>
            <w:tcBorders>
              <w:top w:val="nil"/>
              <w:left w:val="nil"/>
              <w:bottom w:val="nil"/>
              <w:right w:val="nil"/>
            </w:tcBorders>
            <w:vAlign w:val="center"/>
          </w:tcPr>
          <w:p>
            <w:pPr>
              <w:widowControl/>
              <w:spacing w:line="400" w:lineRule="exact"/>
              <w:jc w:val="center"/>
              <w:rPr>
                <w:rFonts w:ascii="楷体_GB2312" w:hAnsi="楷体_GB2312" w:eastAsia="楷体_GB2312" w:cs="楷体_GB2312"/>
                <w:kern w:val="0"/>
                <w:sz w:val="24"/>
              </w:rPr>
            </w:pPr>
          </w:p>
        </w:tc>
        <w:tc>
          <w:tcPr>
            <w:tcW w:w="1883" w:type="dxa"/>
            <w:tcBorders>
              <w:top w:val="nil"/>
              <w:left w:val="nil"/>
              <w:bottom w:val="nil"/>
              <w:right w:val="nil"/>
            </w:tcBorders>
            <w:vAlign w:val="center"/>
          </w:tcPr>
          <w:p>
            <w:pPr>
              <w:widowControl/>
              <w:spacing w:line="400" w:lineRule="exact"/>
              <w:rPr>
                <w:rFonts w:ascii="楷体_GB2312" w:hAnsi="楷体_GB2312" w:eastAsia="楷体_GB2312" w:cs="楷体_GB2312"/>
                <w:kern w:val="0"/>
                <w:sz w:val="24"/>
              </w:rPr>
            </w:pPr>
            <w:r>
              <w:rPr>
                <w:rFonts w:hint="eastAsia" w:ascii="楷体_GB2312" w:hAnsi="楷体_GB2312" w:eastAsia="楷体_GB2312" w:cs="楷体_GB2312"/>
                <w:kern w:val="0"/>
                <w:sz w:val="24"/>
              </w:rPr>
              <w:t>交易日期修正</w:t>
            </w:r>
          </w:p>
        </w:tc>
        <w:tc>
          <w:tcPr>
            <w:tcW w:w="418" w:type="dxa"/>
            <w:tcBorders>
              <w:top w:val="nil"/>
              <w:left w:val="nil"/>
              <w:bottom w:val="nil"/>
              <w:right w:val="nil"/>
            </w:tcBorders>
            <w:vAlign w:val="center"/>
          </w:tcPr>
          <w:p>
            <w:pPr>
              <w:widowControl/>
              <w:spacing w:line="400" w:lineRule="exact"/>
              <w:jc w:val="center"/>
              <w:rPr>
                <w:rFonts w:ascii="楷体_GB2312" w:hAnsi="楷体_GB2312" w:eastAsia="楷体_GB2312" w:cs="楷体_GB2312"/>
                <w:kern w:val="0"/>
                <w:sz w:val="24"/>
              </w:rPr>
            </w:pPr>
          </w:p>
        </w:tc>
        <w:tc>
          <w:tcPr>
            <w:tcW w:w="2044" w:type="dxa"/>
            <w:tcBorders>
              <w:top w:val="nil"/>
              <w:left w:val="nil"/>
              <w:bottom w:val="nil"/>
              <w:right w:val="nil"/>
            </w:tcBorders>
            <w:vAlign w:val="center"/>
          </w:tcPr>
          <w:p>
            <w:pPr>
              <w:widowControl/>
              <w:spacing w:line="400" w:lineRule="exact"/>
              <w:rPr>
                <w:rFonts w:ascii="楷体_GB2312" w:hAnsi="楷体_GB2312" w:eastAsia="楷体_GB2312" w:cs="楷体_GB2312"/>
                <w:kern w:val="0"/>
                <w:sz w:val="24"/>
              </w:rPr>
            </w:pPr>
            <w:r>
              <w:rPr>
                <w:rFonts w:hint="eastAsia" w:ascii="楷体_GB2312" w:hAnsi="楷体_GB2312" w:eastAsia="楷体_GB2312" w:cs="楷体_GB2312"/>
                <w:kern w:val="0"/>
                <w:sz w:val="24"/>
              </w:rPr>
              <w:t>房地产状况修正</w:t>
            </w:r>
          </w:p>
        </w:tc>
      </w:tr>
      <w:tr>
        <w:tblPrEx>
          <w:tblLayout w:type="fixed"/>
          <w:tblCellMar>
            <w:top w:w="0" w:type="dxa"/>
            <w:left w:w="108" w:type="dxa"/>
            <w:bottom w:w="0" w:type="dxa"/>
            <w:right w:w="108" w:type="dxa"/>
          </w:tblCellMar>
        </w:tblPrEx>
        <w:trPr>
          <w:trHeight w:val="368" w:hRule="atLeast"/>
          <w:jc w:val="center"/>
        </w:trPr>
        <w:tc>
          <w:tcPr>
            <w:tcW w:w="1139" w:type="dxa"/>
            <w:vMerge w:val="restart"/>
            <w:tcBorders>
              <w:top w:val="nil"/>
              <w:left w:val="nil"/>
              <w:right w:val="nil"/>
            </w:tcBorders>
            <w:vAlign w:val="center"/>
          </w:tcPr>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估价对</w:t>
            </w:r>
          </w:p>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象价格</w:t>
            </w:r>
          </w:p>
        </w:tc>
        <w:tc>
          <w:tcPr>
            <w:tcW w:w="258" w:type="dxa"/>
            <w:vMerge w:val="restart"/>
            <w:tcBorders>
              <w:top w:val="nil"/>
              <w:left w:val="nil"/>
              <w:right w:val="nil"/>
            </w:tcBorders>
            <w:vAlign w:val="center"/>
          </w:tcPr>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w:t>
            </w:r>
          </w:p>
        </w:tc>
        <w:tc>
          <w:tcPr>
            <w:tcW w:w="1110" w:type="dxa"/>
            <w:vMerge w:val="restart"/>
            <w:tcBorders>
              <w:top w:val="nil"/>
              <w:left w:val="nil"/>
              <w:right w:val="nil"/>
            </w:tcBorders>
            <w:vAlign w:val="center"/>
          </w:tcPr>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可比实</w:t>
            </w:r>
          </w:p>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例价格</w:t>
            </w:r>
          </w:p>
        </w:tc>
        <w:tc>
          <w:tcPr>
            <w:tcW w:w="371" w:type="dxa"/>
            <w:vMerge w:val="restart"/>
            <w:tcBorders>
              <w:top w:val="nil"/>
              <w:left w:val="nil"/>
              <w:right w:val="nil"/>
            </w:tcBorders>
            <w:vAlign w:val="center"/>
          </w:tcPr>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w:t>
            </w:r>
          </w:p>
        </w:tc>
        <w:tc>
          <w:tcPr>
            <w:tcW w:w="1866" w:type="dxa"/>
            <w:tcBorders>
              <w:top w:val="nil"/>
              <w:left w:val="nil"/>
              <w:bottom w:val="nil"/>
              <w:right w:val="nil"/>
            </w:tcBorders>
            <w:vAlign w:val="center"/>
          </w:tcPr>
          <w:p>
            <w:pPr>
              <w:widowControl/>
              <w:spacing w:line="400" w:lineRule="exact"/>
              <w:jc w:val="center"/>
              <w:rPr>
                <w:rFonts w:ascii="楷体_GB2312" w:hAnsi="楷体_GB2312" w:eastAsia="楷体_GB2312" w:cs="楷体_GB2312"/>
                <w:kern w:val="0"/>
                <w:sz w:val="24"/>
                <w:u w:val="single"/>
              </w:rPr>
            </w:pPr>
            <w:r>
              <w:rPr>
                <w:rFonts w:hint="eastAsia" w:ascii="楷体_GB2312" w:hAnsi="楷体_GB2312" w:eastAsia="楷体_GB2312" w:cs="楷体_GB2312"/>
                <w:kern w:val="0"/>
                <w:sz w:val="24"/>
                <w:u w:val="single"/>
              </w:rPr>
              <w:t>100</w:t>
            </w:r>
          </w:p>
        </w:tc>
        <w:tc>
          <w:tcPr>
            <w:tcW w:w="371" w:type="dxa"/>
            <w:vMerge w:val="restart"/>
            <w:tcBorders>
              <w:top w:val="nil"/>
              <w:left w:val="nil"/>
              <w:right w:val="nil"/>
            </w:tcBorders>
            <w:vAlign w:val="center"/>
          </w:tcPr>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w:t>
            </w:r>
          </w:p>
        </w:tc>
        <w:tc>
          <w:tcPr>
            <w:tcW w:w="1883" w:type="dxa"/>
            <w:tcBorders>
              <w:top w:val="nil"/>
              <w:left w:val="nil"/>
              <w:right w:val="nil"/>
            </w:tcBorders>
            <w:vAlign w:val="center"/>
          </w:tcPr>
          <w:p>
            <w:pPr>
              <w:widowControl/>
              <w:spacing w:line="400" w:lineRule="exact"/>
              <w:jc w:val="center"/>
              <w:rPr>
                <w:rFonts w:ascii="楷体_GB2312" w:hAnsi="楷体_GB2312" w:eastAsia="楷体_GB2312" w:cs="楷体_GB2312"/>
                <w:kern w:val="0"/>
                <w:sz w:val="24"/>
                <w:u w:val="single"/>
              </w:rPr>
            </w:pPr>
            <w:r>
              <w:rPr>
                <w:rFonts w:hint="eastAsia" w:ascii="楷体_GB2312" w:hAnsi="楷体_GB2312" w:eastAsia="楷体_GB2312" w:cs="楷体_GB2312"/>
                <w:kern w:val="0"/>
                <w:sz w:val="24"/>
                <w:u w:val="single"/>
              </w:rPr>
              <w:t>（ ）</w:t>
            </w:r>
          </w:p>
        </w:tc>
        <w:tc>
          <w:tcPr>
            <w:tcW w:w="418" w:type="dxa"/>
            <w:vMerge w:val="restart"/>
            <w:tcBorders>
              <w:top w:val="nil"/>
              <w:left w:val="nil"/>
              <w:right w:val="nil"/>
            </w:tcBorders>
            <w:vAlign w:val="center"/>
          </w:tcPr>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w:t>
            </w:r>
          </w:p>
        </w:tc>
        <w:tc>
          <w:tcPr>
            <w:tcW w:w="2044" w:type="dxa"/>
            <w:tcBorders>
              <w:top w:val="nil"/>
              <w:left w:val="nil"/>
              <w:right w:val="nil"/>
            </w:tcBorders>
            <w:vAlign w:val="center"/>
          </w:tcPr>
          <w:p>
            <w:pPr>
              <w:widowControl/>
              <w:spacing w:line="400" w:lineRule="exact"/>
              <w:jc w:val="center"/>
              <w:rPr>
                <w:rFonts w:ascii="楷体_GB2312" w:hAnsi="楷体_GB2312" w:eastAsia="楷体_GB2312" w:cs="楷体_GB2312"/>
                <w:kern w:val="0"/>
                <w:sz w:val="24"/>
                <w:u w:val="single"/>
              </w:rPr>
            </w:pPr>
            <w:r>
              <w:rPr>
                <w:rFonts w:hint="eastAsia" w:ascii="楷体_GB2312" w:hAnsi="楷体_GB2312" w:eastAsia="楷体_GB2312" w:cs="楷体_GB2312"/>
                <w:kern w:val="0"/>
                <w:sz w:val="24"/>
                <w:u w:val="single"/>
              </w:rPr>
              <w:t>100</w:t>
            </w:r>
          </w:p>
        </w:tc>
      </w:tr>
      <w:tr>
        <w:tblPrEx>
          <w:tblLayout w:type="fixed"/>
          <w:tblCellMar>
            <w:top w:w="0" w:type="dxa"/>
            <w:left w:w="108" w:type="dxa"/>
            <w:bottom w:w="0" w:type="dxa"/>
            <w:right w:w="108" w:type="dxa"/>
          </w:tblCellMar>
        </w:tblPrEx>
        <w:trPr>
          <w:trHeight w:val="368" w:hRule="atLeast"/>
          <w:jc w:val="center"/>
        </w:trPr>
        <w:tc>
          <w:tcPr>
            <w:tcW w:w="1139" w:type="dxa"/>
            <w:vMerge w:val="continue"/>
            <w:tcBorders>
              <w:left w:val="nil"/>
              <w:bottom w:val="nil"/>
              <w:right w:val="nil"/>
            </w:tcBorders>
            <w:vAlign w:val="center"/>
          </w:tcPr>
          <w:p>
            <w:pPr>
              <w:widowControl/>
              <w:spacing w:line="400" w:lineRule="exact"/>
              <w:jc w:val="center"/>
              <w:rPr>
                <w:rFonts w:ascii="楷体_GB2312" w:hAnsi="楷体_GB2312" w:eastAsia="楷体_GB2312" w:cs="楷体_GB2312"/>
                <w:kern w:val="0"/>
                <w:sz w:val="24"/>
              </w:rPr>
            </w:pPr>
          </w:p>
        </w:tc>
        <w:tc>
          <w:tcPr>
            <w:tcW w:w="258" w:type="dxa"/>
            <w:vMerge w:val="continue"/>
            <w:tcBorders>
              <w:left w:val="nil"/>
              <w:bottom w:val="nil"/>
              <w:right w:val="nil"/>
            </w:tcBorders>
            <w:vAlign w:val="center"/>
          </w:tcPr>
          <w:p>
            <w:pPr>
              <w:widowControl/>
              <w:spacing w:line="400" w:lineRule="exact"/>
              <w:jc w:val="center"/>
              <w:rPr>
                <w:rFonts w:ascii="楷体_GB2312" w:hAnsi="楷体_GB2312" w:eastAsia="楷体_GB2312" w:cs="楷体_GB2312"/>
                <w:kern w:val="0"/>
                <w:sz w:val="24"/>
              </w:rPr>
            </w:pPr>
          </w:p>
        </w:tc>
        <w:tc>
          <w:tcPr>
            <w:tcW w:w="1110" w:type="dxa"/>
            <w:vMerge w:val="continue"/>
            <w:tcBorders>
              <w:left w:val="nil"/>
              <w:bottom w:val="nil"/>
              <w:right w:val="nil"/>
            </w:tcBorders>
            <w:vAlign w:val="center"/>
          </w:tcPr>
          <w:p>
            <w:pPr>
              <w:widowControl/>
              <w:spacing w:line="400" w:lineRule="exact"/>
              <w:jc w:val="center"/>
              <w:rPr>
                <w:rFonts w:ascii="楷体_GB2312" w:hAnsi="楷体_GB2312" w:eastAsia="楷体_GB2312" w:cs="楷体_GB2312"/>
                <w:kern w:val="0"/>
                <w:sz w:val="24"/>
              </w:rPr>
            </w:pPr>
          </w:p>
        </w:tc>
        <w:tc>
          <w:tcPr>
            <w:tcW w:w="371" w:type="dxa"/>
            <w:vMerge w:val="continue"/>
            <w:tcBorders>
              <w:left w:val="nil"/>
              <w:bottom w:val="nil"/>
              <w:right w:val="nil"/>
            </w:tcBorders>
            <w:vAlign w:val="center"/>
          </w:tcPr>
          <w:p>
            <w:pPr>
              <w:widowControl/>
              <w:spacing w:line="400" w:lineRule="exact"/>
              <w:jc w:val="center"/>
              <w:rPr>
                <w:rFonts w:ascii="楷体_GB2312" w:hAnsi="楷体_GB2312" w:eastAsia="楷体_GB2312" w:cs="楷体_GB2312"/>
                <w:kern w:val="0"/>
                <w:sz w:val="24"/>
              </w:rPr>
            </w:pPr>
          </w:p>
        </w:tc>
        <w:tc>
          <w:tcPr>
            <w:tcW w:w="1866" w:type="dxa"/>
            <w:tcBorders>
              <w:top w:val="nil"/>
              <w:left w:val="nil"/>
              <w:bottom w:val="nil"/>
              <w:right w:val="nil"/>
            </w:tcBorders>
            <w:vAlign w:val="center"/>
          </w:tcPr>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 ）</w:t>
            </w:r>
          </w:p>
        </w:tc>
        <w:tc>
          <w:tcPr>
            <w:tcW w:w="371" w:type="dxa"/>
            <w:vMerge w:val="continue"/>
            <w:tcBorders>
              <w:left w:val="nil"/>
              <w:bottom w:val="nil"/>
              <w:right w:val="nil"/>
            </w:tcBorders>
            <w:vAlign w:val="center"/>
          </w:tcPr>
          <w:p>
            <w:pPr>
              <w:widowControl/>
              <w:spacing w:line="400" w:lineRule="exact"/>
              <w:jc w:val="center"/>
              <w:rPr>
                <w:rFonts w:ascii="楷体_GB2312" w:hAnsi="楷体_GB2312" w:eastAsia="楷体_GB2312" w:cs="楷体_GB2312"/>
                <w:kern w:val="0"/>
                <w:sz w:val="24"/>
              </w:rPr>
            </w:pPr>
          </w:p>
        </w:tc>
        <w:tc>
          <w:tcPr>
            <w:tcW w:w="1883" w:type="dxa"/>
            <w:tcBorders>
              <w:left w:val="nil"/>
              <w:bottom w:val="nil"/>
              <w:right w:val="nil"/>
            </w:tcBorders>
            <w:vAlign w:val="center"/>
          </w:tcPr>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100</w:t>
            </w:r>
          </w:p>
        </w:tc>
        <w:tc>
          <w:tcPr>
            <w:tcW w:w="418" w:type="dxa"/>
            <w:vMerge w:val="continue"/>
            <w:tcBorders>
              <w:left w:val="nil"/>
              <w:bottom w:val="nil"/>
              <w:right w:val="nil"/>
            </w:tcBorders>
            <w:vAlign w:val="center"/>
          </w:tcPr>
          <w:p>
            <w:pPr>
              <w:widowControl/>
              <w:spacing w:line="400" w:lineRule="exact"/>
              <w:jc w:val="center"/>
              <w:rPr>
                <w:rFonts w:ascii="楷体_GB2312" w:hAnsi="楷体_GB2312" w:eastAsia="楷体_GB2312" w:cs="楷体_GB2312"/>
                <w:kern w:val="0"/>
                <w:sz w:val="24"/>
              </w:rPr>
            </w:pPr>
          </w:p>
        </w:tc>
        <w:tc>
          <w:tcPr>
            <w:tcW w:w="2044" w:type="dxa"/>
            <w:tcBorders>
              <w:left w:val="nil"/>
              <w:bottom w:val="nil"/>
              <w:right w:val="nil"/>
            </w:tcBorders>
            <w:vAlign w:val="center"/>
          </w:tcPr>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 ）</w:t>
            </w:r>
          </w:p>
        </w:tc>
      </w:tr>
    </w:tbl>
    <w:p>
      <w:pPr>
        <w:pStyle w:val="18"/>
        <w:spacing w:line="480" w:lineRule="exact"/>
        <w:ind w:firstLine="480" w:firstLineChars="200"/>
        <w:rPr>
          <w:rFonts w:ascii="楷体_GB2312" w:hAnsi="楷体_GB2312" w:eastAsia="楷体_GB2312" w:cs="楷体_GB2312"/>
          <w:b/>
          <w:bCs/>
        </w:rPr>
      </w:pPr>
      <w:r>
        <w:rPr>
          <w:rFonts w:hint="eastAsia" w:ascii="楷体_GB2312" w:hAnsi="楷体_GB2312" w:eastAsia="楷体_GB2312" w:cs="楷体_GB2312"/>
          <w:b/>
          <w:bCs/>
        </w:rPr>
        <w:t>注：上式中房地产状况修正为房地产的区域状况因素修正及实物状况因素修正、权</w:t>
      </w:r>
    </w:p>
    <w:p>
      <w:pPr>
        <w:pStyle w:val="18"/>
        <w:spacing w:line="480" w:lineRule="exact"/>
        <w:ind w:firstLine="0" w:firstLineChars="0"/>
        <w:rPr>
          <w:rFonts w:ascii="楷体_GB2312" w:hAnsi="楷体_GB2312" w:eastAsia="楷体_GB2312" w:cs="楷体_GB2312"/>
          <w:b/>
          <w:bCs/>
        </w:rPr>
      </w:pPr>
      <w:r>
        <w:rPr>
          <w:rFonts w:hint="eastAsia" w:ascii="楷体_GB2312" w:hAnsi="楷体_GB2312" w:eastAsia="楷体_GB2312" w:cs="楷体_GB2312"/>
          <w:b/>
          <w:bCs/>
        </w:rPr>
        <w:t>益状况因素修正</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②收益法基本原理：运用适当的报酬率，将预期的估价对象房地产未来各期（通常为年）的正常净收益折现到价值时点上的现值，求其之和得出估价对象房地产价格的一种方法。</w:t>
      </w:r>
    </w:p>
    <w:p>
      <w:pPr>
        <w:spacing w:line="540" w:lineRule="exact"/>
        <w:ind w:right="27" w:rightChars="13"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计算公式：V=a×[1-(1+q)</w:t>
      </w:r>
      <w:r>
        <w:rPr>
          <w:rFonts w:hint="eastAsia" w:ascii="楷体_GB2312" w:hAnsi="楷体_GB2312" w:eastAsia="楷体_GB2312" w:cs="楷体_GB2312"/>
          <w:sz w:val="28"/>
          <w:szCs w:val="28"/>
          <w:vertAlign w:val="superscript"/>
        </w:rPr>
        <w:t>n</w:t>
      </w:r>
      <w:r>
        <w:rPr>
          <w:rFonts w:hint="eastAsia" w:ascii="楷体_GB2312" w:hAnsi="楷体_GB2312" w:eastAsia="楷体_GB2312" w:cs="楷体_GB2312"/>
          <w:sz w:val="28"/>
          <w:szCs w:val="28"/>
        </w:rPr>
        <w:t xml:space="preserve"> /(1+r)</w:t>
      </w:r>
      <w:r>
        <w:rPr>
          <w:rFonts w:hint="eastAsia" w:ascii="楷体_GB2312" w:hAnsi="楷体_GB2312" w:eastAsia="楷体_GB2312" w:cs="楷体_GB2312"/>
          <w:sz w:val="28"/>
          <w:szCs w:val="28"/>
          <w:vertAlign w:val="superscript"/>
        </w:rPr>
        <w:t>n</w:t>
      </w:r>
      <w:r>
        <w:rPr>
          <w:rFonts w:hint="eastAsia" w:ascii="楷体_GB2312" w:hAnsi="楷体_GB2312" w:eastAsia="楷体_GB2312" w:cs="楷体_GB2312"/>
          <w:sz w:val="28"/>
          <w:szCs w:val="28"/>
        </w:rPr>
        <w:t>]/（r－q）</w:t>
      </w:r>
    </w:p>
    <w:p>
      <w:pPr>
        <w:spacing w:line="540" w:lineRule="exact"/>
        <w:ind w:right="27" w:rightChars="13"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式中：V表示收益价值；</w:t>
      </w:r>
    </w:p>
    <w:p>
      <w:pPr>
        <w:spacing w:line="540" w:lineRule="exact"/>
        <w:ind w:right="27" w:rightChars="13" w:firstLine="1400" w:firstLineChars="5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a表示房地产未来各年的净收益；</w:t>
      </w:r>
    </w:p>
    <w:p>
      <w:pPr>
        <w:spacing w:line="540" w:lineRule="exact"/>
        <w:ind w:right="27" w:rightChars="13" w:firstLine="1400" w:firstLineChars="5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r表示报酬率；</w:t>
      </w:r>
    </w:p>
    <w:p>
      <w:pPr>
        <w:spacing w:line="540" w:lineRule="exact"/>
        <w:ind w:right="27" w:rightChars="13" w:firstLine="1400" w:firstLineChars="5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q表示年递增比率、</w:t>
      </w:r>
    </w:p>
    <w:p>
      <w:pPr>
        <w:spacing w:line="480" w:lineRule="exact"/>
        <w:ind w:right="27" w:rightChars="13" w:firstLine="1400" w:firstLineChars="5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n表示未来尚可收益年限。</w:t>
      </w:r>
    </w:p>
    <w:p>
      <w:pPr>
        <w:pStyle w:val="18"/>
        <w:spacing w:line="560" w:lineRule="exact"/>
        <w:ind w:firstLine="480" w:firstLineChars="200"/>
        <w:rPr>
          <w:rFonts w:ascii="楷体_GB2312" w:hAnsi="楷体_GB2312" w:eastAsia="楷体_GB2312" w:cs="楷体_GB2312"/>
          <w:b/>
        </w:rPr>
      </w:pPr>
    </w:p>
    <w:p>
      <w:pPr>
        <w:pStyle w:val="5"/>
        <w:spacing w:before="240" w:line="440" w:lineRule="exact"/>
        <w:ind w:firstLine="0"/>
        <w:rPr>
          <w:rFonts w:ascii="楷体_GB2312" w:hAnsi="楷体_GB2312" w:eastAsia="楷体_GB2312" w:cs="楷体_GB2312"/>
          <w:bCs w:val="0"/>
          <w:spacing w:val="0"/>
          <w:sz w:val="32"/>
          <w:szCs w:val="32"/>
        </w:rPr>
      </w:pPr>
      <w:bookmarkStart w:id="99" w:name="_Toc438637881"/>
      <w:bookmarkStart w:id="100" w:name="_Toc430596978"/>
      <w:bookmarkStart w:id="101" w:name="_Toc438069515"/>
      <w:bookmarkStart w:id="102" w:name="_Toc16101"/>
      <w:r>
        <w:rPr>
          <w:rFonts w:hint="eastAsia" w:ascii="楷体_GB2312" w:hAnsi="楷体_GB2312" w:eastAsia="楷体_GB2312" w:cs="楷体_GB2312"/>
          <w:bCs w:val="0"/>
          <w:spacing w:val="0"/>
          <w:sz w:val="32"/>
          <w:szCs w:val="32"/>
        </w:rPr>
        <w:t>（十）估价结果</w:t>
      </w:r>
      <w:bookmarkEnd w:id="98"/>
      <w:bookmarkEnd w:id="99"/>
      <w:bookmarkEnd w:id="100"/>
      <w:bookmarkEnd w:id="101"/>
      <w:bookmarkEnd w:id="102"/>
    </w:p>
    <w:p>
      <w:pPr>
        <w:spacing w:line="500" w:lineRule="exact"/>
        <w:ind w:firstLine="560" w:firstLineChars="200"/>
        <w:contextualSpacing/>
        <w:jc w:val="left"/>
        <w:rPr>
          <w:rFonts w:ascii="楷体_GB2312" w:hAnsi="楷体_GB2312" w:eastAsia="楷体_GB2312" w:cs="楷体_GB2312"/>
          <w:b/>
          <w:i/>
          <w:sz w:val="28"/>
          <w:szCs w:val="28"/>
        </w:rPr>
      </w:pPr>
      <w:r>
        <w:rPr>
          <w:rFonts w:hint="eastAsia" w:ascii="楷体_GB2312" w:hAnsi="楷体_GB2312" w:eastAsia="楷体_GB2312" w:cs="楷体_GB2312"/>
          <w:sz w:val="28"/>
          <w:szCs w:val="28"/>
        </w:rPr>
        <w:t>评估人员根据估价目的，遵循估价原则，按照评估工作程序，利用科学合理的评估方法，通过对估价对象的位置、环境、用途、现状、市场供求等影响其价值的因素进行综合考虑之后，结合市场调查和估价人员经验，我们对估价对象采用市场比较法和收益法进行评估、测算，估价对象在</w:t>
      </w:r>
      <w:r>
        <w:rPr>
          <w:rFonts w:hint="eastAsia" w:ascii="楷体_GB2312" w:hAnsi="楷体_GB2312" w:eastAsia="楷体_GB2312" w:cs="楷体_GB2312"/>
          <w:b/>
          <w:i/>
          <w:w w:val="90"/>
          <w:sz w:val="28"/>
          <w:szCs w:val="28"/>
        </w:rPr>
        <w:t>二</w:t>
      </w:r>
      <w:r>
        <w:rPr>
          <w:rFonts w:hint="eastAsia" w:ascii="楷体_GB2312" w:hAnsi="楷体_GB2312" w:eastAsia="楷体_GB2312" w:cs="楷体_GB2312"/>
          <w:b/>
          <w:i/>
          <w:sz w:val="28"/>
          <w:szCs w:val="28"/>
        </w:rPr>
        <w:t>○一九年六月十九日</w:t>
      </w:r>
      <w:r>
        <w:rPr>
          <w:rFonts w:hint="eastAsia" w:ascii="楷体_GB2312" w:hAnsi="楷体_GB2312" w:eastAsia="楷体_GB2312" w:cs="楷体_GB2312"/>
          <w:sz w:val="28"/>
          <w:szCs w:val="28"/>
        </w:rPr>
        <w:t>在满足各项假设和限制条件的财产处置参考价为</w:t>
      </w:r>
      <w:r>
        <w:rPr>
          <w:rFonts w:hint="eastAsia" w:ascii="楷体_GB2312" w:hAnsi="楷体_GB2312" w:eastAsia="楷体_GB2312" w:cs="楷体_GB2312"/>
          <w:b/>
          <w:i/>
          <w:sz w:val="28"/>
          <w:szCs w:val="28"/>
        </w:rPr>
        <w:t>人民币86.2394万元（大写人民币</w:t>
      </w:r>
      <w:r>
        <w:rPr>
          <w:rFonts w:hint="eastAsia" w:ascii="楷体_GB2312" w:hAnsi="楷体_GB2312" w:eastAsia="楷体_GB2312" w:cs="楷体_GB2312"/>
          <w:b/>
          <w:i/>
          <w:sz w:val="28"/>
          <w:szCs w:val="28"/>
        </w:rPr>
        <w:fldChar w:fldCharType="begin"/>
      </w:r>
      <w:r>
        <w:rPr>
          <w:rFonts w:hint="eastAsia" w:ascii="楷体_GB2312" w:hAnsi="楷体_GB2312" w:eastAsia="楷体_GB2312" w:cs="楷体_GB2312"/>
          <w:b/>
          <w:i/>
          <w:sz w:val="28"/>
          <w:szCs w:val="28"/>
        </w:rPr>
        <w:instrText xml:space="preserve"> =86.2394*10000 \* CHINESENUM4 </w:instrText>
      </w:r>
      <w:r>
        <w:rPr>
          <w:rFonts w:hint="eastAsia" w:ascii="楷体_GB2312" w:hAnsi="楷体_GB2312" w:eastAsia="楷体_GB2312" w:cs="楷体_GB2312"/>
          <w:b/>
          <w:i/>
          <w:sz w:val="28"/>
          <w:szCs w:val="28"/>
        </w:rPr>
        <w:fldChar w:fldCharType="separate"/>
      </w:r>
      <w:r>
        <w:rPr>
          <w:rFonts w:hint="eastAsia" w:ascii="楷体_GB2312" w:hAnsi="楷体_GB2312" w:eastAsia="楷体_GB2312" w:cs="楷体_GB2312"/>
          <w:b/>
          <w:i/>
          <w:sz w:val="28"/>
          <w:szCs w:val="28"/>
        </w:rPr>
        <w:t>捌拾陆万贰仟叁佰玖拾肆元整</w:t>
      </w:r>
      <w:r>
        <w:rPr>
          <w:rFonts w:hint="eastAsia" w:ascii="楷体_GB2312" w:hAnsi="楷体_GB2312" w:eastAsia="楷体_GB2312" w:cs="楷体_GB2312"/>
          <w:b/>
          <w:i/>
          <w:sz w:val="28"/>
          <w:szCs w:val="28"/>
        </w:rPr>
        <w:fldChar w:fldCharType="end"/>
      </w:r>
      <w:r>
        <w:rPr>
          <w:rFonts w:hint="eastAsia" w:ascii="楷体_GB2312" w:hAnsi="楷体_GB2312" w:eastAsia="楷体_GB2312" w:cs="楷体_GB2312"/>
          <w:b/>
          <w:i/>
          <w:sz w:val="28"/>
          <w:szCs w:val="28"/>
        </w:rPr>
        <w:t>），评估单价为3760元/平方米。</w:t>
      </w:r>
    </w:p>
    <w:p>
      <w:pPr>
        <w:spacing w:line="500" w:lineRule="exact"/>
        <w:ind w:firstLine="560" w:firstLineChars="200"/>
        <w:contextualSpacing/>
        <w:jc w:val="center"/>
        <w:rPr>
          <w:rFonts w:ascii="楷体_GB2312" w:hAnsi="楷体_GB2312" w:eastAsia="楷体_GB2312" w:cs="楷体_GB2312"/>
          <w:b/>
          <w:i/>
          <w:sz w:val="28"/>
          <w:szCs w:val="28"/>
        </w:rPr>
      </w:pPr>
      <w:r>
        <w:rPr>
          <w:rFonts w:hint="eastAsia" w:ascii="楷体_GB2312" w:hAnsi="宋体" w:eastAsia="楷体_GB2312" w:cs="楷体_GB2312"/>
          <w:b/>
          <w:kern w:val="0"/>
          <w:sz w:val="28"/>
          <w:szCs w:val="28"/>
        </w:rPr>
        <w:t>《估价结果一览表》</w:t>
      </w:r>
    </w:p>
    <w:tbl>
      <w:tblPr>
        <w:tblStyle w:val="42"/>
        <w:tblW w:w="9175" w:type="dxa"/>
        <w:tblInd w:w="0" w:type="dxa"/>
        <w:tblLayout w:type="fixed"/>
        <w:tblCellMar>
          <w:top w:w="0" w:type="dxa"/>
          <w:left w:w="0" w:type="dxa"/>
          <w:bottom w:w="0" w:type="dxa"/>
          <w:right w:w="0" w:type="dxa"/>
        </w:tblCellMar>
      </w:tblPr>
      <w:tblGrid>
        <w:gridCol w:w="585"/>
        <w:gridCol w:w="3108"/>
        <w:gridCol w:w="972"/>
        <w:gridCol w:w="1855"/>
        <w:gridCol w:w="1265"/>
        <w:gridCol w:w="1390"/>
      </w:tblGrid>
      <w:tr>
        <w:tblPrEx>
          <w:tblLayout w:type="fixed"/>
          <w:tblCellMar>
            <w:top w:w="0" w:type="dxa"/>
            <w:left w:w="0" w:type="dxa"/>
            <w:bottom w:w="0" w:type="dxa"/>
            <w:right w:w="0" w:type="dxa"/>
          </w:tblCellMar>
        </w:tblPrEx>
        <w:trPr>
          <w:trHeight w:val="119"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sz w:val="24"/>
              </w:rPr>
            </w:pPr>
            <w:bookmarkStart w:id="103" w:name="_Toc286433161"/>
            <w:bookmarkStart w:id="104" w:name="_Toc438637886"/>
            <w:bookmarkStart w:id="105" w:name="_Toc438069520"/>
            <w:bookmarkStart w:id="106" w:name="_Toc430596998"/>
            <w:r>
              <w:rPr>
                <w:rFonts w:hint="eastAsia" w:ascii="楷体_GB2312" w:hAnsi="宋体" w:eastAsia="楷体_GB2312" w:cs="楷体_GB2312"/>
                <w:b/>
                <w:kern w:val="0"/>
                <w:sz w:val="24"/>
              </w:rPr>
              <w:t>编号</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座落</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用途</w:t>
            </w: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kern w:val="0"/>
                <w:sz w:val="24"/>
              </w:rPr>
            </w:pPr>
            <w:r>
              <w:rPr>
                <w:rFonts w:hint="eastAsia" w:ascii="楷体_GB2312" w:hAnsi="宋体" w:eastAsia="楷体_GB2312" w:cs="楷体_GB2312"/>
                <w:b/>
                <w:kern w:val="0"/>
                <w:sz w:val="24"/>
              </w:rPr>
              <w:t>建筑面积</w:t>
            </w:r>
          </w:p>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w:t>
            </w:r>
            <w:r>
              <w:rPr>
                <w:rFonts w:hint="eastAsia" w:ascii="宋体" w:hAnsi="宋体" w:cs="宋体"/>
                <w:b/>
                <w:kern w:val="0"/>
                <w:sz w:val="24"/>
              </w:rPr>
              <w:t>㎡</w:t>
            </w:r>
            <w:r>
              <w:rPr>
                <w:rFonts w:hint="eastAsia" w:ascii="楷体_GB2312" w:hAnsi="宋体" w:eastAsia="楷体_GB2312" w:cs="楷体_GB2312"/>
                <w:b/>
                <w:kern w:val="0"/>
                <w:sz w:val="24"/>
              </w:rPr>
              <w:t>)</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评估单价 (元/</w:t>
            </w:r>
            <w:r>
              <w:rPr>
                <w:rFonts w:hint="eastAsia" w:ascii="宋体" w:hAnsi="宋体" w:cs="宋体"/>
                <w:b/>
                <w:kern w:val="0"/>
                <w:sz w:val="24"/>
              </w:rPr>
              <w:t>㎡</w:t>
            </w:r>
            <w:r>
              <w:rPr>
                <w:rFonts w:hint="eastAsia" w:ascii="楷体_GB2312" w:hAnsi="宋体" w:eastAsia="楷体_GB2312" w:cs="楷体_GB2312"/>
                <w:b/>
                <w:kern w:val="0"/>
                <w:sz w:val="24"/>
              </w:rPr>
              <w:t>)</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kern w:val="0"/>
                <w:sz w:val="24"/>
              </w:rPr>
            </w:pPr>
            <w:r>
              <w:rPr>
                <w:rFonts w:hint="eastAsia" w:ascii="楷体_GB2312" w:hAnsi="宋体" w:eastAsia="楷体_GB2312" w:cs="楷体_GB2312"/>
                <w:b/>
                <w:kern w:val="0"/>
                <w:sz w:val="24"/>
              </w:rPr>
              <w:t xml:space="preserve">评估总价    </w:t>
            </w:r>
          </w:p>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(万元)</w:t>
            </w:r>
          </w:p>
        </w:tc>
      </w:tr>
      <w:tr>
        <w:tblPrEx>
          <w:tblLayout w:type="fixed"/>
          <w:tblCellMar>
            <w:top w:w="0" w:type="dxa"/>
            <w:left w:w="0" w:type="dxa"/>
            <w:bottom w:w="0" w:type="dxa"/>
            <w:right w:w="0" w:type="dxa"/>
          </w:tblCellMar>
        </w:tblPrEx>
        <w:trPr>
          <w:trHeight w:val="9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sz w:val="24"/>
              </w:rPr>
            </w:pPr>
            <w:r>
              <w:rPr>
                <w:rFonts w:hint="eastAsia" w:ascii="楷体_GB2312" w:hAnsi="宋体" w:eastAsia="楷体_GB2312" w:cs="楷体_GB2312"/>
                <w:kern w:val="0"/>
                <w:sz w:val="24"/>
              </w:rPr>
              <w:t>1</w:t>
            </w:r>
            <w:r>
              <w:rPr>
                <w:rFonts w:hint="eastAsia" w:ascii="宋体" w:hAnsi="宋体" w:cs="宋体"/>
                <w:kern w:val="0"/>
                <w:sz w:val="24"/>
              </w:rPr>
              <w:t>#</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sz w:val="24"/>
              </w:rPr>
            </w:pPr>
            <w:r>
              <w:rPr>
                <w:rFonts w:hint="eastAsia" w:ascii="楷体_GB2312" w:hAnsi="宋体" w:eastAsia="楷体_GB2312" w:cs="楷体_GB2312"/>
                <w:kern w:val="0"/>
                <w:sz w:val="24"/>
              </w:rPr>
              <w:t>遵义市红花岗区遵义国际商贸城二期还房小区4号楼二单元18楼1-A号</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sz w:val="24"/>
              </w:rPr>
            </w:pPr>
            <w:r>
              <w:rPr>
                <w:rFonts w:hint="eastAsia" w:ascii="楷体_GB2312" w:hAnsi="宋体" w:eastAsia="楷体_GB2312" w:cs="楷体_GB2312"/>
                <w:kern w:val="0"/>
                <w:sz w:val="24"/>
              </w:rPr>
              <w:t>住宅</w:t>
            </w: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sz w:val="24"/>
              </w:rPr>
            </w:pPr>
            <w:r>
              <w:rPr>
                <w:rFonts w:hint="eastAsia" w:ascii="楷体_GB2312" w:hAnsi="宋体" w:eastAsia="楷体_GB2312" w:cs="楷体_GB2312"/>
                <w:kern w:val="0"/>
                <w:sz w:val="24"/>
              </w:rPr>
              <w:t>114.68</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sz w:val="24"/>
              </w:rPr>
            </w:pPr>
            <w:r>
              <w:rPr>
                <w:rFonts w:hint="eastAsia" w:ascii="楷体_GB2312" w:hAnsi="宋体" w:eastAsia="楷体_GB2312" w:cs="楷体_GB2312"/>
                <w:kern w:val="0"/>
                <w:sz w:val="24"/>
              </w:rPr>
              <w:t>3760</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kern w:val="0"/>
                <w:sz w:val="24"/>
              </w:rPr>
            </w:pPr>
            <w:r>
              <w:rPr>
                <w:rFonts w:hint="eastAsia" w:ascii="楷体_GB2312" w:hAnsi="宋体" w:eastAsia="楷体_GB2312" w:cs="楷体_GB2312"/>
                <w:kern w:val="0"/>
                <w:sz w:val="24"/>
              </w:rPr>
              <w:t xml:space="preserve">43.1197 </w:t>
            </w:r>
          </w:p>
        </w:tc>
      </w:tr>
      <w:tr>
        <w:tblPrEx>
          <w:tblLayout w:type="fixed"/>
          <w:tblCellMar>
            <w:top w:w="0" w:type="dxa"/>
            <w:left w:w="0" w:type="dxa"/>
            <w:bottom w:w="0" w:type="dxa"/>
            <w:right w:w="0" w:type="dxa"/>
          </w:tblCellMar>
        </w:tblPrEx>
        <w:trPr>
          <w:trHeight w:val="9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sz w:val="24"/>
              </w:rPr>
            </w:pPr>
            <w:r>
              <w:rPr>
                <w:rFonts w:hint="eastAsia" w:ascii="楷体_GB2312" w:hAnsi="宋体" w:eastAsia="楷体_GB2312" w:cs="楷体_GB2312"/>
                <w:kern w:val="0"/>
                <w:sz w:val="24"/>
              </w:rPr>
              <w:t>2#</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sz w:val="24"/>
              </w:rPr>
            </w:pPr>
            <w:r>
              <w:rPr>
                <w:rFonts w:hint="eastAsia" w:ascii="楷体_GB2312" w:hAnsi="宋体" w:eastAsia="楷体_GB2312" w:cs="楷体_GB2312"/>
                <w:kern w:val="0"/>
                <w:sz w:val="24"/>
              </w:rPr>
              <w:t>遵义市红花岗区遵义国际商贸城二期还房小区4号楼二单元18楼1-B号</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sz w:val="24"/>
              </w:rPr>
            </w:pPr>
            <w:r>
              <w:rPr>
                <w:rFonts w:hint="eastAsia" w:ascii="楷体_GB2312" w:hAnsi="宋体" w:eastAsia="楷体_GB2312" w:cs="楷体_GB2312"/>
                <w:kern w:val="0"/>
                <w:sz w:val="24"/>
              </w:rPr>
              <w:t>住宅</w:t>
            </w: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sz w:val="24"/>
              </w:rPr>
            </w:pPr>
            <w:r>
              <w:rPr>
                <w:rFonts w:hint="eastAsia" w:ascii="楷体_GB2312" w:hAnsi="宋体" w:eastAsia="楷体_GB2312" w:cs="楷体_GB2312"/>
                <w:kern w:val="0"/>
                <w:sz w:val="24"/>
              </w:rPr>
              <w:t>114.68</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sz w:val="24"/>
              </w:rPr>
            </w:pPr>
            <w:r>
              <w:rPr>
                <w:rFonts w:hint="eastAsia" w:ascii="楷体_GB2312" w:hAnsi="宋体" w:eastAsia="楷体_GB2312" w:cs="楷体_GB2312"/>
                <w:kern w:val="0"/>
                <w:sz w:val="24"/>
              </w:rPr>
              <w:t>3760</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kern w:val="0"/>
                <w:sz w:val="24"/>
              </w:rPr>
            </w:pPr>
            <w:r>
              <w:rPr>
                <w:rFonts w:hint="eastAsia" w:ascii="楷体_GB2312" w:hAnsi="宋体" w:eastAsia="楷体_GB2312" w:cs="楷体_GB2312"/>
                <w:kern w:val="0"/>
                <w:sz w:val="24"/>
              </w:rPr>
              <w:t xml:space="preserve">43.1197 </w:t>
            </w:r>
          </w:p>
        </w:tc>
      </w:tr>
      <w:tr>
        <w:tblPrEx>
          <w:tblLayout w:type="fixed"/>
          <w:tblCellMar>
            <w:top w:w="0" w:type="dxa"/>
            <w:left w:w="0" w:type="dxa"/>
            <w:bottom w:w="0" w:type="dxa"/>
            <w:right w:w="0" w:type="dxa"/>
          </w:tblCellMar>
        </w:tblPrEx>
        <w:trPr>
          <w:trHeight w:val="285" w:hRule="atLeast"/>
        </w:trPr>
        <w:tc>
          <w:tcPr>
            <w:tcW w:w="36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合计</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w:t>
            </w: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fldChar w:fldCharType="begin"/>
            </w:r>
            <w:r>
              <w:rPr>
                <w:rFonts w:hint="eastAsia" w:ascii="楷体_GB2312" w:hAnsi="宋体" w:eastAsia="楷体_GB2312" w:cs="楷体_GB2312"/>
                <w:b/>
                <w:kern w:val="0"/>
                <w:sz w:val="24"/>
              </w:rPr>
              <w:instrText xml:space="preserve"> =sum(above) \# "0.00"</w:instrText>
            </w:r>
            <w:r>
              <w:rPr>
                <w:rFonts w:hint="eastAsia" w:ascii="楷体_GB2312" w:hAnsi="宋体" w:eastAsia="楷体_GB2312" w:cs="楷体_GB2312"/>
                <w:b/>
                <w:kern w:val="0"/>
                <w:sz w:val="24"/>
              </w:rPr>
              <w:fldChar w:fldCharType="separate"/>
            </w:r>
            <w:r>
              <w:rPr>
                <w:rFonts w:hint="eastAsia" w:ascii="楷体_GB2312" w:hAnsi="宋体" w:eastAsia="楷体_GB2312" w:cs="楷体_GB2312"/>
                <w:b/>
                <w:kern w:val="0"/>
                <w:sz w:val="24"/>
              </w:rPr>
              <w:t>229.36</w:t>
            </w:r>
            <w:r>
              <w:rPr>
                <w:rFonts w:hint="eastAsia" w:ascii="楷体_GB2312" w:hAnsi="宋体" w:eastAsia="楷体_GB2312" w:cs="楷体_GB2312"/>
                <w:b/>
                <w:kern w:val="0"/>
                <w:sz w:val="24"/>
              </w:rPr>
              <w:fldChar w:fldCharType="end"/>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t>/</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sz w:val="24"/>
              </w:rPr>
            </w:pPr>
            <w:r>
              <w:rPr>
                <w:rFonts w:hint="eastAsia" w:ascii="楷体_GB2312" w:hAnsi="宋体" w:eastAsia="楷体_GB2312" w:cs="楷体_GB2312"/>
                <w:b/>
                <w:kern w:val="0"/>
                <w:sz w:val="24"/>
              </w:rPr>
              <w:fldChar w:fldCharType="begin"/>
            </w:r>
            <w:r>
              <w:rPr>
                <w:rFonts w:hint="eastAsia" w:ascii="楷体_GB2312" w:hAnsi="宋体" w:eastAsia="楷体_GB2312" w:cs="楷体_GB2312"/>
                <w:b/>
                <w:kern w:val="0"/>
                <w:sz w:val="24"/>
              </w:rPr>
              <w:instrText xml:space="preserve"> =sum(above) \# "0.0000"</w:instrText>
            </w:r>
            <w:r>
              <w:rPr>
                <w:rFonts w:hint="eastAsia" w:ascii="楷体_GB2312" w:hAnsi="宋体" w:eastAsia="楷体_GB2312" w:cs="楷体_GB2312"/>
                <w:b/>
                <w:kern w:val="0"/>
                <w:sz w:val="24"/>
              </w:rPr>
              <w:fldChar w:fldCharType="separate"/>
            </w:r>
            <w:r>
              <w:rPr>
                <w:rFonts w:hint="eastAsia" w:ascii="楷体_GB2312" w:hAnsi="宋体" w:eastAsia="楷体_GB2312" w:cs="楷体_GB2312"/>
                <w:b/>
                <w:kern w:val="0"/>
                <w:sz w:val="24"/>
              </w:rPr>
              <w:t>86.2394</w:t>
            </w:r>
            <w:r>
              <w:rPr>
                <w:rFonts w:hint="eastAsia" w:ascii="楷体_GB2312" w:hAnsi="宋体" w:eastAsia="楷体_GB2312" w:cs="楷体_GB2312"/>
                <w:b/>
                <w:kern w:val="0"/>
                <w:sz w:val="24"/>
              </w:rPr>
              <w:fldChar w:fldCharType="end"/>
            </w:r>
          </w:p>
        </w:tc>
      </w:tr>
    </w:tbl>
    <w:p>
      <w:pPr>
        <w:spacing w:line="50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针对本次评估的具体情况，特对评估价值做以下说明：</w:t>
      </w:r>
    </w:p>
    <w:p>
      <w:pPr>
        <w:numPr>
          <w:ilvl w:val="0"/>
          <w:numId w:val="3"/>
        </w:numPr>
        <w:spacing w:line="500" w:lineRule="exact"/>
        <w:ind w:firstLine="560" w:firstLineChars="200"/>
        <w:contextualSpacing/>
        <w:rPr>
          <w:rFonts w:ascii="楷体_GB2312" w:hAnsi="楷体_GB2312" w:eastAsia="楷体_GB2312" w:cs="楷体_GB2312"/>
          <w:sz w:val="28"/>
          <w:szCs w:val="28"/>
        </w:rPr>
      </w:pPr>
      <w:r>
        <w:rPr>
          <w:rFonts w:hint="eastAsia" w:ascii="楷体_GB2312" w:hAnsi="楷体_GB2312" w:eastAsia="楷体_GB2312" w:cs="楷体_GB2312"/>
          <w:sz w:val="28"/>
          <w:szCs w:val="28"/>
        </w:rPr>
        <w:t>估价结果为均价且已取整；2、估价结果包含房产对应分摊出让土地使用权价值；3、估价结果未扣除估价对象1#-2#后期办理相关产权证资料及其他相关手续费用。</w:t>
      </w:r>
    </w:p>
    <w:p>
      <w:pPr>
        <w:spacing w:line="540" w:lineRule="exact"/>
        <w:contextualSpacing/>
        <w:rPr>
          <w:rFonts w:ascii="楷体_GB2312" w:hAnsi="楷体_GB2312" w:eastAsia="楷体_GB2312" w:cs="楷体_GB2312"/>
          <w:sz w:val="28"/>
          <w:szCs w:val="28"/>
        </w:rPr>
      </w:pPr>
    </w:p>
    <w:bookmarkEnd w:id="103"/>
    <w:p>
      <w:pPr>
        <w:pStyle w:val="5"/>
        <w:spacing w:before="240" w:line="520" w:lineRule="exact"/>
        <w:ind w:firstLine="0"/>
        <w:rPr>
          <w:rFonts w:ascii="楷体_GB2312" w:hAnsi="楷体_GB2312" w:eastAsia="楷体_GB2312" w:cs="楷体_GB2312"/>
          <w:bCs w:val="0"/>
          <w:spacing w:val="0"/>
          <w:sz w:val="32"/>
          <w:szCs w:val="32"/>
        </w:rPr>
      </w:pPr>
      <w:bookmarkStart w:id="107" w:name="_Toc19030"/>
      <w:r>
        <w:rPr>
          <w:rFonts w:hint="eastAsia" w:ascii="楷体_GB2312" w:hAnsi="楷体_GB2312" w:eastAsia="楷体_GB2312" w:cs="楷体_GB2312"/>
          <w:bCs w:val="0"/>
          <w:spacing w:val="0"/>
          <w:sz w:val="32"/>
          <w:szCs w:val="32"/>
        </w:rPr>
        <w:t>（十一）注册房地产估价师</w:t>
      </w:r>
      <w:bookmarkEnd w:id="104"/>
      <w:bookmarkEnd w:id="105"/>
      <w:bookmarkEnd w:id="106"/>
      <w:bookmarkEnd w:id="107"/>
    </w:p>
    <w:tbl>
      <w:tblPr>
        <w:tblStyle w:val="42"/>
        <w:tblW w:w="8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2165"/>
        <w:gridCol w:w="2124"/>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tcPr>
          <w:p>
            <w:pPr>
              <w:spacing w:line="520" w:lineRule="exact"/>
              <w:jc w:val="center"/>
              <w:rPr>
                <w:rFonts w:ascii="楷体_GB2312" w:hAnsi="楷体_GB2312" w:eastAsia="楷体_GB2312" w:cs="楷体_GB2312"/>
                <w:sz w:val="28"/>
              </w:rPr>
            </w:pPr>
            <w:r>
              <w:rPr>
                <w:rFonts w:hint="eastAsia" w:ascii="楷体_GB2312" w:hAnsi="楷体_GB2312" w:eastAsia="楷体_GB2312" w:cs="楷体_GB2312"/>
                <w:sz w:val="28"/>
              </w:rPr>
              <w:t>姓  名</w:t>
            </w:r>
          </w:p>
        </w:tc>
        <w:tc>
          <w:tcPr>
            <w:tcW w:w="2165" w:type="dxa"/>
          </w:tcPr>
          <w:p>
            <w:pPr>
              <w:spacing w:line="520" w:lineRule="exact"/>
              <w:jc w:val="center"/>
              <w:rPr>
                <w:rFonts w:ascii="楷体_GB2312" w:hAnsi="楷体_GB2312" w:eastAsia="楷体_GB2312" w:cs="楷体_GB2312"/>
                <w:sz w:val="28"/>
              </w:rPr>
            </w:pPr>
            <w:r>
              <w:rPr>
                <w:rFonts w:hint="eastAsia" w:ascii="楷体_GB2312" w:hAnsi="楷体_GB2312" w:eastAsia="楷体_GB2312" w:cs="楷体_GB2312"/>
                <w:sz w:val="28"/>
              </w:rPr>
              <w:t>注册号</w:t>
            </w:r>
          </w:p>
        </w:tc>
        <w:tc>
          <w:tcPr>
            <w:tcW w:w="2124" w:type="dxa"/>
          </w:tcPr>
          <w:p>
            <w:pPr>
              <w:spacing w:line="520" w:lineRule="exact"/>
              <w:jc w:val="center"/>
              <w:rPr>
                <w:rFonts w:ascii="楷体_GB2312" w:hAnsi="楷体_GB2312" w:eastAsia="楷体_GB2312" w:cs="楷体_GB2312"/>
                <w:sz w:val="28"/>
              </w:rPr>
            </w:pPr>
            <w:r>
              <w:rPr>
                <w:rFonts w:hint="eastAsia" w:ascii="楷体_GB2312" w:hAnsi="楷体_GB2312" w:eastAsia="楷体_GB2312" w:cs="楷体_GB2312"/>
                <w:sz w:val="28"/>
              </w:rPr>
              <w:t>签  名</w:t>
            </w:r>
          </w:p>
        </w:tc>
        <w:tc>
          <w:tcPr>
            <w:tcW w:w="2653" w:type="dxa"/>
          </w:tcPr>
          <w:p>
            <w:pPr>
              <w:spacing w:line="520" w:lineRule="exact"/>
              <w:ind w:hanging="2"/>
              <w:jc w:val="center"/>
              <w:rPr>
                <w:rFonts w:ascii="楷体_GB2312" w:hAnsi="楷体_GB2312" w:eastAsia="楷体_GB2312" w:cs="楷体_GB2312"/>
                <w:sz w:val="28"/>
              </w:rPr>
            </w:pPr>
            <w:r>
              <w:rPr>
                <w:rFonts w:hint="eastAsia" w:ascii="楷体_GB2312" w:hAnsi="楷体_GB2312" w:eastAsia="楷体_GB2312" w:cs="楷体_GB2312"/>
                <w:sz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tcPr>
          <w:p>
            <w:pPr>
              <w:spacing w:line="520" w:lineRule="exact"/>
              <w:jc w:val="center"/>
              <w:rPr>
                <w:rFonts w:ascii="楷体_GB2312" w:hAnsi="楷体_GB2312" w:eastAsia="楷体_GB2312" w:cs="楷体_GB2312"/>
                <w:sz w:val="28"/>
              </w:rPr>
            </w:pPr>
            <w:r>
              <w:rPr>
                <w:rFonts w:hint="eastAsia" w:ascii="楷体_GB2312" w:hAnsi="楷体_GB2312" w:eastAsia="楷体_GB2312" w:cs="楷体_GB2312"/>
                <w:sz w:val="28"/>
              </w:rPr>
              <w:t>徐德雨</w:t>
            </w:r>
          </w:p>
        </w:tc>
        <w:tc>
          <w:tcPr>
            <w:tcW w:w="2165" w:type="dxa"/>
          </w:tcPr>
          <w:p>
            <w:pPr>
              <w:spacing w:line="520" w:lineRule="exact"/>
              <w:jc w:val="center"/>
              <w:rPr>
                <w:rFonts w:ascii="楷体_GB2312" w:hAnsi="楷体_GB2312" w:eastAsia="楷体_GB2312" w:cs="楷体_GB2312"/>
                <w:sz w:val="28"/>
              </w:rPr>
            </w:pPr>
            <w:r>
              <w:rPr>
                <w:rFonts w:hint="eastAsia" w:ascii="楷体_GB2312" w:hAnsi="楷体_GB2312" w:eastAsia="楷体_GB2312" w:cs="楷体_GB2312"/>
                <w:sz w:val="28"/>
              </w:rPr>
              <w:t>5220020016</w:t>
            </w:r>
          </w:p>
        </w:tc>
        <w:tc>
          <w:tcPr>
            <w:tcW w:w="2124" w:type="dxa"/>
          </w:tcPr>
          <w:p>
            <w:pPr>
              <w:spacing w:line="520" w:lineRule="exact"/>
              <w:jc w:val="center"/>
              <w:rPr>
                <w:rFonts w:ascii="楷体_GB2312" w:hAnsi="楷体_GB2312" w:eastAsia="楷体_GB2312" w:cs="楷体_GB2312"/>
                <w:sz w:val="28"/>
              </w:rPr>
            </w:pPr>
          </w:p>
        </w:tc>
        <w:tc>
          <w:tcPr>
            <w:tcW w:w="2653" w:type="dxa"/>
          </w:tcPr>
          <w:p>
            <w:pPr>
              <w:spacing w:line="52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tcPr>
          <w:p>
            <w:pPr>
              <w:spacing w:line="520" w:lineRule="exact"/>
              <w:jc w:val="center"/>
              <w:rPr>
                <w:rFonts w:ascii="楷体_GB2312" w:hAnsi="楷体_GB2312" w:eastAsia="楷体_GB2312" w:cs="楷体_GB2312"/>
                <w:sz w:val="28"/>
              </w:rPr>
            </w:pPr>
            <w:r>
              <w:rPr>
                <w:rFonts w:hint="eastAsia" w:ascii="楷体_GB2312" w:hAnsi="楷体_GB2312" w:eastAsia="楷体_GB2312" w:cs="楷体_GB2312"/>
                <w:sz w:val="28"/>
              </w:rPr>
              <w:t>高颖昕</w:t>
            </w:r>
          </w:p>
        </w:tc>
        <w:tc>
          <w:tcPr>
            <w:tcW w:w="2165" w:type="dxa"/>
          </w:tcPr>
          <w:p>
            <w:pPr>
              <w:spacing w:line="520" w:lineRule="exact"/>
              <w:jc w:val="center"/>
              <w:rPr>
                <w:rFonts w:ascii="楷体_GB2312" w:hAnsi="楷体_GB2312" w:eastAsia="楷体_GB2312" w:cs="楷体_GB2312"/>
                <w:sz w:val="28"/>
              </w:rPr>
            </w:pPr>
            <w:r>
              <w:rPr>
                <w:rFonts w:hint="eastAsia" w:ascii="楷体_GB2312" w:hAnsi="楷体_GB2312" w:eastAsia="楷体_GB2312" w:cs="楷体_GB2312"/>
                <w:sz w:val="28"/>
                <w:szCs w:val="28"/>
              </w:rPr>
              <w:t>5220040003</w:t>
            </w:r>
          </w:p>
        </w:tc>
        <w:tc>
          <w:tcPr>
            <w:tcW w:w="2124" w:type="dxa"/>
          </w:tcPr>
          <w:p>
            <w:pPr>
              <w:spacing w:line="520" w:lineRule="exact"/>
              <w:jc w:val="center"/>
              <w:rPr>
                <w:rFonts w:ascii="楷体_GB2312" w:hAnsi="楷体_GB2312" w:eastAsia="楷体_GB2312" w:cs="楷体_GB2312"/>
                <w:sz w:val="28"/>
              </w:rPr>
            </w:pPr>
          </w:p>
        </w:tc>
        <w:tc>
          <w:tcPr>
            <w:tcW w:w="2653" w:type="dxa"/>
          </w:tcPr>
          <w:p>
            <w:pPr>
              <w:spacing w:line="52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年  月  日</w:t>
            </w:r>
          </w:p>
        </w:tc>
      </w:tr>
    </w:tbl>
    <w:p>
      <w:pPr>
        <w:pStyle w:val="5"/>
        <w:spacing w:before="240" w:line="520" w:lineRule="exact"/>
        <w:ind w:firstLine="0"/>
        <w:rPr>
          <w:rFonts w:ascii="楷体_GB2312" w:hAnsi="楷体_GB2312" w:eastAsia="楷体_GB2312" w:cs="楷体_GB2312"/>
          <w:bCs w:val="0"/>
          <w:spacing w:val="0"/>
          <w:sz w:val="32"/>
          <w:szCs w:val="32"/>
        </w:rPr>
      </w:pPr>
      <w:bookmarkStart w:id="108" w:name="_Toc438637887"/>
      <w:bookmarkStart w:id="109" w:name="_Toc430596999"/>
      <w:bookmarkStart w:id="110" w:name="_Toc438069521"/>
      <w:bookmarkStart w:id="111" w:name="_Toc286433162"/>
    </w:p>
    <w:p>
      <w:pPr>
        <w:pStyle w:val="5"/>
        <w:spacing w:before="240" w:line="520" w:lineRule="exact"/>
        <w:ind w:firstLine="0"/>
        <w:rPr>
          <w:rFonts w:ascii="楷体_GB2312" w:hAnsi="楷体_GB2312" w:eastAsia="楷体_GB2312" w:cs="楷体_GB2312"/>
          <w:bCs w:val="0"/>
          <w:spacing w:val="0"/>
          <w:sz w:val="32"/>
          <w:szCs w:val="32"/>
        </w:rPr>
      </w:pPr>
      <w:bookmarkStart w:id="112" w:name="_Toc11028"/>
      <w:r>
        <w:rPr>
          <w:rFonts w:hint="eastAsia" w:ascii="楷体_GB2312" w:hAnsi="楷体_GB2312" w:eastAsia="楷体_GB2312" w:cs="楷体_GB2312"/>
          <w:bCs w:val="0"/>
          <w:spacing w:val="0"/>
          <w:sz w:val="32"/>
          <w:szCs w:val="32"/>
        </w:rPr>
        <w:t>（十二）参与估价的人员</w:t>
      </w:r>
      <w:bookmarkEnd w:id="108"/>
      <w:bookmarkEnd w:id="109"/>
      <w:bookmarkEnd w:id="110"/>
      <w:bookmarkEnd w:id="112"/>
    </w:p>
    <w:tbl>
      <w:tblPr>
        <w:tblStyle w:val="42"/>
        <w:tblW w:w="89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3150"/>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2943" w:type="dxa"/>
            <w:vAlign w:val="center"/>
          </w:tcPr>
          <w:p>
            <w:pPr>
              <w:spacing w:line="520" w:lineRule="exact"/>
              <w:jc w:val="center"/>
              <w:rPr>
                <w:rFonts w:ascii="楷体_GB2312" w:hAnsi="楷体_GB2312" w:eastAsia="楷体_GB2312" w:cs="楷体_GB2312"/>
                <w:sz w:val="28"/>
              </w:rPr>
            </w:pPr>
            <w:r>
              <w:rPr>
                <w:rFonts w:hint="eastAsia" w:ascii="楷体_GB2312" w:hAnsi="楷体_GB2312" w:eastAsia="楷体_GB2312" w:cs="楷体_GB2312"/>
                <w:sz w:val="28"/>
              </w:rPr>
              <w:t>姓    名</w:t>
            </w:r>
          </w:p>
        </w:tc>
        <w:tc>
          <w:tcPr>
            <w:tcW w:w="3150" w:type="dxa"/>
            <w:vAlign w:val="center"/>
          </w:tcPr>
          <w:p>
            <w:pPr>
              <w:spacing w:line="520" w:lineRule="exact"/>
              <w:jc w:val="center"/>
              <w:rPr>
                <w:rFonts w:ascii="楷体_GB2312" w:hAnsi="楷体_GB2312" w:eastAsia="楷体_GB2312" w:cs="楷体_GB2312"/>
                <w:sz w:val="28"/>
              </w:rPr>
            </w:pPr>
            <w:r>
              <w:rPr>
                <w:rFonts w:hint="eastAsia" w:ascii="楷体_GB2312" w:hAnsi="楷体_GB2312" w:eastAsia="楷体_GB2312" w:cs="楷体_GB2312"/>
                <w:sz w:val="28"/>
              </w:rPr>
              <w:t>签   名</w:t>
            </w:r>
          </w:p>
        </w:tc>
        <w:tc>
          <w:tcPr>
            <w:tcW w:w="2843" w:type="dxa"/>
            <w:vAlign w:val="center"/>
          </w:tcPr>
          <w:p>
            <w:pPr>
              <w:spacing w:line="520" w:lineRule="exact"/>
              <w:jc w:val="center"/>
              <w:rPr>
                <w:rFonts w:ascii="楷体_GB2312" w:hAnsi="楷体_GB2312" w:eastAsia="楷体_GB2312" w:cs="楷体_GB2312"/>
                <w:sz w:val="28"/>
              </w:rPr>
            </w:pPr>
            <w:r>
              <w:rPr>
                <w:rFonts w:hint="eastAsia" w:ascii="楷体_GB2312" w:hAnsi="楷体_GB2312" w:eastAsia="楷体_GB2312" w:cs="楷体_GB2312"/>
                <w:sz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2943" w:type="dxa"/>
            <w:vAlign w:val="center"/>
          </w:tcPr>
          <w:p>
            <w:pPr>
              <w:spacing w:line="520" w:lineRule="exact"/>
              <w:jc w:val="center"/>
              <w:rPr>
                <w:rFonts w:ascii="楷体_GB2312" w:hAnsi="楷体_GB2312" w:eastAsia="楷体_GB2312" w:cs="楷体_GB2312"/>
                <w:sz w:val="28"/>
              </w:rPr>
            </w:pPr>
            <w:r>
              <w:rPr>
                <w:rFonts w:hint="eastAsia" w:ascii="楷体_GB2312" w:hAnsi="楷体_GB2312" w:eastAsia="楷体_GB2312" w:cs="楷体_GB2312"/>
                <w:sz w:val="28"/>
              </w:rPr>
              <w:t>陈  青</w:t>
            </w:r>
          </w:p>
        </w:tc>
        <w:tc>
          <w:tcPr>
            <w:tcW w:w="3150" w:type="dxa"/>
            <w:vAlign w:val="center"/>
          </w:tcPr>
          <w:p>
            <w:pPr>
              <w:spacing w:line="520" w:lineRule="exact"/>
              <w:jc w:val="center"/>
              <w:rPr>
                <w:rFonts w:ascii="楷体_GB2312" w:hAnsi="楷体_GB2312" w:eastAsia="楷体_GB2312" w:cs="楷体_GB2312"/>
                <w:sz w:val="28"/>
              </w:rPr>
            </w:pPr>
          </w:p>
        </w:tc>
        <w:tc>
          <w:tcPr>
            <w:tcW w:w="2843" w:type="dxa"/>
            <w:vAlign w:val="center"/>
          </w:tcPr>
          <w:p>
            <w:pPr>
              <w:spacing w:line="520" w:lineRule="exact"/>
              <w:jc w:val="center"/>
              <w:rPr>
                <w:rFonts w:ascii="楷体_GB2312" w:hAnsi="楷体_GB2312" w:eastAsia="楷体_GB2312" w:cs="楷体_GB2312"/>
                <w:sz w:val="28"/>
              </w:rPr>
            </w:pPr>
            <w:r>
              <w:rPr>
                <w:rFonts w:hint="eastAsia" w:ascii="楷体_GB2312" w:hAnsi="楷体_GB2312" w:eastAsia="楷体_GB2312" w:cs="楷体_GB2312"/>
                <w:sz w:val="28"/>
              </w:rPr>
              <w:t>年  月  日</w:t>
            </w:r>
          </w:p>
        </w:tc>
      </w:tr>
    </w:tbl>
    <w:p>
      <w:pPr>
        <w:pStyle w:val="5"/>
        <w:snapToGrid w:val="0"/>
        <w:spacing w:before="0" w:line="520" w:lineRule="exact"/>
        <w:ind w:firstLine="0"/>
        <w:rPr>
          <w:rFonts w:ascii="楷体_GB2312" w:hAnsi="楷体_GB2312" w:eastAsia="楷体_GB2312" w:cs="楷体_GB2312"/>
          <w:bCs w:val="0"/>
          <w:spacing w:val="0"/>
          <w:sz w:val="32"/>
          <w:szCs w:val="32"/>
        </w:rPr>
      </w:pPr>
      <w:bookmarkStart w:id="113" w:name="_Toc438637888"/>
      <w:bookmarkStart w:id="114" w:name="_Toc430597000"/>
      <w:bookmarkStart w:id="115" w:name="_Toc438069522"/>
    </w:p>
    <w:p>
      <w:pPr>
        <w:pStyle w:val="5"/>
        <w:snapToGrid w:val="0"/>
        <w:spacing w:before="0" w:line="520" w:lineRule="exact"/>
        <w:ind w:firstLine="0"/>
        <w:rPr>
          <w:rFonts w:ascii="楷体_GB2312" w:hAnsi="楷体_GB2312" w:eastAsia="楷体_GB2312" w:cs="楷体_GB2312"/>
          <w:bCs w:val="0"/>
          <w:spacing w:val="0"/>
          <w:sz w:val="32"/>
          <w:szCs w:val="32"/>
        </w:rPr>
      </w:pPr>
      <w:bookmarkStart w:id="116" w:name="_Toc26974"/>
      <w:r>
        <w:rPr>
          <w:rFonts w:hint="eastAsia" w:ascii="楷体_GB2312" w:hAnsi="楷体_GB2312" w:eastAsia="楷体_GB2312" w:cs="楷体_GB2312"/>
          <w:bCs w:val="0"/>
          <w:spacing w:val="0"/>
          <w:sz w:val="32"/>
          <w:szCs w:val="32"/>
        </w:rPr>
        <w:t>（十三）</w:t>
      </w:r>
      <w:bookmarkEnd w:id="111"/>
      <w:r>
        <w:rPr>
          <w:rFonts w:hint="eastAsia" w:ascii="楷体_GB2312" w:hAnsi="楷体_GB2312" w:eastAsia="楷体_GB2312" w:cs="楷体_GB2312"/>
          <w:bCs w:val="0"/>
          <w:spacing w:val="0"/>
          <w:sz w:val="32"/>
          <w:szCs w:val="32"/>
        </w:rPr>
        <w:t>实地查勘期</w:t>
      </w:r>
      <w:bookmarkEnd w:id="113"/>
      <w:bookmarkEnd w:id="114"/>
      <w:bookmarkEnd w:id="115"/>
      <w:bookmarkEnd w:id="116"/>
    </w:p>
    <w:p>
      <w:pPr>
        <w:adjustRightInd w:val="0"/>
        <w:snapToGrid w:val="0"/>
        <w:spacing w:line="520" w:lineRule="exact"/>
        <w:ind w:firstLine="560" w:firstLineChars="200"/>
        <w:jc w:val="left"/>
        <w:rPr>
          <w:rFonts w:ascii="楷体_GB2312" w:hAnsi="楷体_GB2312" w:eastAsia="楷体_GB2312" w:cs="楷体_GB2312"/>
          <w:sz w:val="28"/>
        </w:rPr>
      </w:pPr>
      <w:r>
        <w:rPr>
          <w:rFonts w:hint="eastAsia" w:ascii="楷体_GB2312" w:hAnsi="楷体_GB2312" w:eastAsia="楷体_GB2312" w:cs="楷体_GB2312"/>
          <w:sz w:val="28"/>
        </w:rPr>
        <w:t>二○一九年六月十九日。</w:t>
      </w:r>
    </w:p>
    <w:p>
      <w:pPr>
        <w:pStyle w:val="5"/>
        <w:snapToGrid w:val="0"/>
        <w:spacing w:before="0" w:line="520" w:lineRule="exact"/>
        <w:ind w:firstLine="0"/>
        <w:rPr>
          <w:rFonts w:ascii="楷体_GB2312" w:hAnsi="楷体_GB2312" w:eastAsia="楷体_GB2312" w:cs="楷体_GB2312"/>
          <w:bCs w:val="0"/>
          <w:spacing w:val="0"/>
          <w:sz w:val="32"/>
          <w:szCs w:val="32"/>
        </w:rPr>
      </w:pPr>
      <w:bookmarkStart w:id="117" w:name="_Toc438637889"/>
    </w:p>
    <w:p>
      <w:pPr>
        <w:pStyle w:val="5"/>
        <w:snapToGrid w:val="0"/>
        <w:spacing w:before="0" w:line="520" w:lineRule="exact"/>
        <w:ind w:firstLine="0"/>
        <w:rPr>
          <w:rFonts w:ascii="楷体_GB2312" w:hAnsi="楷体_GB2312" w:eastAsia="楷体_GB2312" w:cs="楷体_GB2312"/>
          <w:bCs w:val="0"/>
          <w:spacing w:val="0"/>
          <w:sz w:val="32"/>
          <w:szCs w:val="32"/>
        </w:rPr>
      </w:pPr>
      <w:bookmarkStart w:id="118" w:name="_Toc4068"/>
      <w:r>
        <w:rPr>
          <w:rFonts w:hint="eastAsia" w:ascii="楷体_GB2312" w:hAnsi="楷体_GB2312" w:eastAsia="楷体_GB2312" w:cs="楷体_GB2312"/>
          <w:bCs w:val="0"/>
          <w:spacing w:val="0"/>
          <w:sz w:val="32"/>
          <w:szCs w:val="32"/>
        </w:rPr>
        <w:t>（十四）估价作业期</w:t>
      </w:r>
      <w:bookmarkEnd w:id="117"/>
      <w:bookmarkEnd w:id="118"/>
    </w:p>
    <w:p>
      <w:pPr>
        <w:tabs>
          <w:tab w:val="left" w:pos="540"/>
          <w:tab w:val="left" w:pos="1980"/>
        </w:tabs>
        <w:ind w:firstLine="560" w:firstLineChars="200"/>
        <w:rPr>
          <w:rFonts w:ascii="楷体_GB2312" w:hAnsi="楷体_GB2312" w:eastAsia="楷体_GB2312" w:cs="楷体_GB2312"/>
          <w:sz w:val="28"/>
        </w:rPr>
      </w:pPr>
      <w:bookmarkStart w:id="119" w:name="_Toc286433163"/>
      <w:r>
        <w:rPr>
          <w:rFonts w:hint="eastAsia" w:ascii="楷体_GB2312" w:hAnsi="楷体_GB2312" w:eastAsia="楷体_GB2312" w:cs="楷体_GB2312"/>
          <w:sz w:val="28"/>
        </w:rPr>
        <w:t>二○一九年六月十九日至二○一九年六月</w:t>
      </w:r>
      <w:r>
        <w:rPr>
          <w:rFonts w:hint="eastAsia" w:ascii="楷体_GB2312" w:hAnsi="楷体_GB2312" w:eastAsia="楷体_GB2312" w:cs="楷体_GB2312"/>
          <w:bCs/>
          <w:spacing w:val="-10"/>
          <w:sz w:val="28"/>
          <w:szCs w:val="28"/>
        </w:rPr>
        <w:t>七月一日</w:t>
      </w:r>
      <w:r>
        <w:rPr>
          <w:rFonts w:hint="eastAsia" w:ascii="楷体_GB2312" w:hAnsi="楷体_GB2312" w:eastAsia="楷体_GB2312" w:cs="楷体_GB2312"/>
          <w:sz w:val="28"/>
        </w:rPr>
        <w:t>。</w:t>
      </w:r>
    </w:p>
    <w:p>
      <w:pPr>
        <w:pStyle w:val="5"/>
        <w:snapToGrid w:val="0"/>
        <w:spacing w:before="0" w:line="520" w:lineRule="exact"/>
        <w:ind w:firstLine="0"/>
        <w:rPr>
          <w:rFonts w:ascii="楷体_GB2312" w:hAnsi="楷体_GB2312" w:eastAsia="楷体_GB2312" w:cs="楷体_GB2312"/>
          <w:bCs w:val="0"/>
          <w:spacing w:val="0"/>
          <w:sz w:val="32"/>
          <w:szCs w:val="32"/>
        </w:rPr>
      </w:pPr>
      <w:bookmarkStart w:id="120" w:name="_Toc430597002"/>
      <w:bookmarkStart w:id="121" w:name="_Toc438069524"/>
      <w:bookmarkStart w:id="122" w:name="_Toc438637890"/>
    </w:p>
    <w:p>
      <w:pPr>
        <w:pStyle w:val="5"/>
        <w:snapToGrid w:val="0"/>
        <w:spacing w:before="0" w:line="520" w:lineRule="exact"/>
        <w:ind w:firstLine="0"/>
        <w:rPr>
          <w:rFonts w:ascii="楷体_GB2312" w:hAnsi="楷体_GB2312" w:eastAsia="楷体_GB2312" w:cs="楷体_GB2312"/>
          <w:bCs w:val="0"/>
          <w:spacing w:val="0"/>
          <w:sz w:val="32"/>
          <w:szCs w:val="32"/>
        </w:rPr>
      </w:pPr>
      <w:bookmarkStart w:id="123" w:name="_Toc12118"/>
      <w:r>
        <w:rPr>
          <w:rFonts w:hint="eastAsia" w:ascii="楷体_GB2312" w:hAnsi="楷体_GB2312" w:eastAsia="楷体_GB2312" w:cs="楷体_GB2312"/>
          <w:bCs w:val="0"/>
          <w:spacing w:val="0"/>
          <w:sz w:val="32"/>
          <w:szCs w:val="32"/>
        </w:rPr>
        <w:t>（十五）估价报告</w:t>
      </w:r>
      <w:bookmarkEnd w:id="119"/>
      <w:bookmarkEnd w:id="120"/>
      <w:r>
        <w:rPr>
          <w:rFonts w:hint="eastAsia" w:ascii="楷体_GB2312" w:hAnsi="楷体_GB2312" w:eastAsia="楷体_GB2312" w:cs="楷体_GB2312"/>
          <w:bCs w:val="0"/>
          <w:spacing w:val="0"/>
          <w:sz w:val="32"/>
          <w:szCs w:val="32"/>
        </w:rPr>
        <w:t>应用的有效期</w:t>
      </w:r>
      <w:bookmarkEnd w:id="121"/>
      <w:bookmarkEnd w:id="122"/>
      <w:bookmarkEnd w:id="123"/>
    </w:p>
    <w:p>
      <w:pPr>
        <w:adjustRightInd w:val="0"/>
        <w:snapToGrid w:val="0"/>
        <w:spacing w:line="520" w:lineRule="exact"/>
        <w:ind w:firstLine="560" w:firstLineChars="200"/>
        <w:jc w:val="left"/>
        <w:rPr>
          <w:rFonts w:ascii="楷体_GB2312" w:hAnsi="楷体_GB2312" w:eastAsia="楷体_GB2312" w:cs="楷体_GB2312"/>
          <w:sz w:val="28"/>
        </w:rPr>
      </w:pPr>
      <w:r>
        <w:rPr>
          <w:rFonts w:hint="eastAsia" w:ascii="楷体_GB2312" w:hAnsi="楷体_GB2312" w:eastAsia="楷体_GB2312" w:cs="楷体_GB2312"/>
          <w:sz w:val="28"/>
        </w:rPr>
        <w:t>壹年，即从二○一九年</w:t>
      </w:r>
      <w:r>
        <w:rPr>
          <w:rFonts w:hint="eastAsia" w:ascii="楷体_GB2312" w:hAnsi="楷体_GB2312" w:eastAsia="楷体_GB2312" w:cs="楷体_GB2312"/>
          <w:bCs/>
          <w:spacing w:val="-10"/>
          <w:sz w:val="28"/>
          <w:szCs w:val="28"/>
        </w:rPr>
        <w:t>七月一</w:t>
      </w:r>
      <w:r>
        <w:rPr>
          <w:rFonts w:hint="eastAsia" w:ascii="楷体_GB2312" w:hAnsi="楷体_GB2312" w:eastAsia="楷体_GB2312" w:cs="楷体_GB2312"/>
          <w:sz w:val="28"/>
        </w:rPr>
        <w:t>日至二○二○年六月三十日。</w:t>
      </w:r>
    </w:p>
    <w:p>
      <w:pPr>
        <w:adjustRightInd w:val="0"/>
        <w:snapToGrid w:val="0"/>
        <w:spacing w:line="520" w:lineRule="exact"/>
        <w:ind w:firstLine="560" w:firstLineChars="200"/>
        <w:jc w:val="left"/>
        <w:rPr>
          <w:rFonts w:ascii="楷体_GB2312" w:hAnsi="楷体_GB2312" w:eastAsia="楷体_GB2312" w:cs="楷体_GB2312"/>
          <w:sz w:val="28"/>
        </w:rPr>
      </w:pPr>
    </w:p>
    <w:p>
      <w:pPr>
        <w:tabs>
          <w:tab w:val="left" w:pos="1800"/>
        </w:tabs>
        <w:adjustRightInd w:val="0"/>
        <w:snapToGrid w:val="0"/>
        <w:spacing w:line="520" w:lineRule="exact"/>
        <w:jc w:val="right"/>
        <w:rPr>
          <w:rFonts w:ascii="楷体_GB2312" w:hAnsi="楷体_GB2312" w:eastAsia="楷体_GB2312" w:cs="楷体_GB2312"/>
          <w:b/>
          <w:sz w:val="32"/>
          <w:szCs w:val="32"/>
        </w:rPr>
      </w:pPr>
      <w:r>
        <w:rPr>
          <w:rFonts w:hint="eastAsia" w:ascii="楷体_GB2312" w:hAnsi="楷体_GB2312" w:eastAsia="楷体_GB2312" w:cs="楷体_GB2312"/>
          <w:b/>
          <w:sz w:val="32"/>
          <w:szCs w:val="32"/>
        </w:rPr>
        <w:t>贵州众志天和房地产评估事务有限公司</w:t>
      </w:r>
    </w:p>
    <w:p>
      <w:pPr>
        <w:tabs>
          <w:tab w:val="left" w:pos="1800"/>
        </w:tabs>
        <w:adjustRightInd w:val="0"/>
        <w:snapToGrid w:val="0"/>
        <w:spacing w:line="520" w:lineRule="exact"/>
        <w:jc w:val="right"/>
        <w:rPr>
          <w:rFonts w:ascii="楷体_GB2312" w:hAnsi="楷体_GB2312" w:eastAsia="楷体_GB2312" w:cs="楷体_GB2312"/>
        </w:rPr>
      </w:pPr>
      <w:bookmarkStart w:id="124" w:name="_Toc286433164"/>
      <w:r>
        <w:rPr>
          <w:rFonts w:hint="eastAsia" w:ascii="楷体_GB2312" w:hAnsi="楷体_GB2312" w:eastAsia="楷体_GB2312" w:cs="楷体_GB2312"/>
          <w:b/>
          <w:sz w:val="32"/>
          <w:szCs w:val="32"/>
        </w:rPr>
        <w:t>二○一九年七月一日</w:t>
      </w:r>
      <w:r>
        <w:rPr>
          <w:rFonts w:hint="eastAsia" w:ascii="楷体_GB2312" w:hAnsi="楷体_GB2312" w:eastAsia="楷体_GB2312" w:cs="楷体_GB2312"/>
        </w:rPr>
        <w:br w:type="page"/>
      </w:r>
    </w:p>
    <w:p>
      <w:pPr>
        <w:spacing w:line="540" w:lineRule="exact"/>
        <w:ind w:firstLine="520" w:firstLineChars="186"/>
        <w:jc w:val="left"/>
        <w:rPr>
          <w:rFonts w:ascii="楷体_GB2312" w:hAnsi="楷体_GB2312" w:eastAsia="楷体_GB2312" w:cs="楷体_GB2312"/>
          <w:sz w:val="28"/>
        </w:rPr>
      </w:pPr>
      <w:bookmarkStart w:id="125" w:name="_Toc438637891"/>
      <w:bookmarkStart w:id="126" w:name="_Toc430597003"/>
      <w:bookmarkStart w:id="127" w:name="_Toc430597173"/>
      <w:bookmarkStart w:id="128" w:name="_Toc438069525"/>
    </w:p>
    <w:p>
      <w:pPr>
        <w:pStyle w:val="3"/>
        <w:spacing w:line="560" w:lineRule="exact"/>
        <w:ind w:firstLine="0"/>
        <w:rPr>
          <w:rFonts w:ascii="楷体_GB2312" w:hAnsi="楷体_GB2312" w:eastAsia="楷体_GB2312" w:cs="楷体_GB2312"/>
          <w:sz w:val="72"/>
          <w:szCs w:val="72"/>
        </w:rPr>
      </w:pPr>
      <w:bookmarkStart w:id="129" w:name="_Toc12899"/>
      <w:r>
        <w:rPr>
          <w:rFonts w:hint="eastAsia" w:ascii="楷体_GB2312" w:hAnsi="楷体_GB2312" w:eastAsia="楷体_GB2312" w:cs="楷体_GB2312"/>
          <w:sz w:val="72"/>
          <w:szCs w:val="72"/>
        </w:rPr>
        <w:t>四、</w:t>
      </w:r>
      <w:bookmarkEnd w:id="124"/>
      <w:bookmarkEnd w:id="125"/>
      <w:bookmarkEnd w:id="126"/>
      <w:bookmarkEnd w:id="127"/>
      <w:bookmarkEnd w:id="128"/>
      <w:r>
        <w:rPr>
          <w:rFonts w:hint="eastAsia" w:ascii="楷体_GB2312" w:hAnsi="楷体_GB2312" w:eastAsia="楷体_GB2312" w:cs="楷体_GB2312"/>
          <w:sz w:val="72"/>
          <w:szCs w:val="72"/>
        </w:rPr>
        <w:t>附  件</w:t>
      </w:r>
      <w:bookmarkEnd w:id="129"/>
    </w:p>
    <w:p>
      <w:pPr>
        <w:ind w:firstLine="1600" w:firstLineChars="500"/>
        <w:jc w:val="left"/>
        <w:rPr>
          <w:rStyle w:val="48"/>
          <w:rFonts w:ascii="楷体_GB2312" w:hAnsi="楷体_GB2312" w:eastAsia="楷体_GB2312" w:cs="楷体_GB2312"/>
          <w:color w:val="auto"/>
          <w:sz w:val="32"/>
          <w:szCs w:val="32"/>
          <w:u w:val="none"/>
        </w:rPr>
      </w:pPr>
      <w:r>
        <w:rPr>
          <w:rStyle w:val="48"/>
          <w:rFonts w:hint="eastAsia" w:ascii="楷体_GB2312" w:hAnsi="楷体_GB2312" w:eastAsia="楷体_GB2312" w:cs="楷体_GB2312"/>
          <w:color w:val="auto"/>
          <w:sz w:val="32"/>
          <w:szCs w:val="32"/>
          <w:u w:val="none"/>
        </w:rPr>
        <w:t>1、估价对象位置图及照片</w:t>
      </w:r>
    </w:p>
    <w:p>
      <w:pPr>
        <w:ind w:firstLine="1600" w:firstLineChars="500"/>
        <w:jc w:val="left"/>
        <w:rPr>
          <w:rStyle w:val="48"/>
          <w:rFonts w:ascii="楷体_GB2312" w:hAnsi="楷体_GB2312" w:eastAsia="楷体_GB2312" w:cs="楷体_GB2312"/>
          <w:color w:val="auto"/>
          <w:sz w:val="32"/>
          <w:szCs w:val="32"/>
          <w:u w:val="none"/>
        </w:rPr>
      </w:pPr>
      <w:r>
        <w:rPr>
          <w:rStyle w:val="48"/>
          <w:rFonts w:hint="eastAsia" w:ascii="楷体_GB2312" w:hAnsi="楷体_GB2312" w:eastAsia="楷体_GB2312" w:cs="楷体_GB2312"/>
          <w:color w:val="auto"/>
          <w:sz w:val="32"/>
          <w:szCs w:val="32"/>
          <w:u w:val="none"/>
        </w:rPr>
        <w:t>2、《遵义市红花岗区人民法院委托书》</w:t>
      </w:r>
    </w:p>
    <w:p>
      <w:pPr>
        <w:ind w:firstLine="1600" w:firstLineChars="500"/>
        <w:jc w:val="left"/>
        <w:rPr>
          <w:rStyle w:val="48"/>
          <w:rFonts w:ascii="楷体_GB2312" w:hAnsi="楷体_GB2312" w:eastAsia="楷体_GB2312" w:cs="楷体_GB2312"/>
          <w:color w:val="auto"/>
          <w:sz w:val="32"/>
          <w:szCs w:val="32"/>
          <w:u w:val="none"/>
        </w:rPr>
      </w:pPr>
      <w:r>
        <w:rPr>
          <w:rStyle w:val="48"/>
          <w:rFonts w:hint="eastAsia" w:ascii="楷体_GB2312" w:hAnsi="楷体_GB2312" w:eastAsia="楷体_GB2312" w:cs="楷体_GB2312"/>
          <w:color w:val="auto"/>
          <w:sz w:val="32"/>
          <w:szCs w:val="32"/>
          <w:u w:val="none"/>
        </w:rPr>
        <w:t>3、委托方提供的相关资料复印件</w:t>
      </w:r>
    </w:p>
    <w:p>
      <w:pPr>
        <w:ind w:firstLine="1600" w:firstLineChars="500"/>
        <w:jc w:val="left"/>
        <w:rPr>
          <w:rStyle w:val="48"/>
          <w:rFonts w:ascii="楷体_GB2312" w:hAnsi="楷体_GB2312" w:eastAsia="楷体_GB2312" w:cs="楷体_GB2312"/>
          <w:color w:val="auto"/>
          <w:sz w:val="32"/>
          <w:szCs w:val="32"/>
          <w:u w:val="none"/>
        </w:rPr>
      </w:pPr>
      <w:r>
        <w:rPr>
          <w:rStyle w:val="48"/>
          <w:rFonts w:hint="eastAsia" w:ascii="楷体_GB2312" w:hAnsi="楷体_GB2312" w:eastAsia="楷体_GB2312" w:cs="楷体_GB2312"/>
          <w:color w:val="auto"/>
          <w:sz w:val="32"/>
          <w:szCs w:val="32"/>
          <w:u w:val="none"/>
        </w:rPr>
        <w:t>4、房地产评估资格证书复印件</w:t>
      </w:r>
    </w:p>
    <w:p>
      <w:pPr>
        <w:spacing w:line="540" w:lineRule="exact"/>
        <w:ind w:firstLine="560" w:firstLineChars="200"/>
        <w:contextualSpacing/>
        <w:rPr>
          <w:rFonts w:ascii="楷体_GB2312" w:hAnsi="楷体_GB2312" w:eastAsia="楷体_GB2312" w:cs="楷体_GB2312"/>
          <w:sz w:val="28"/>
          <w:szCs w:val="28"/>
        </w:rPr>
      </w:pPr>
    </w:p>
    <w:p>
      <w:pPr>
        <w:spacing w:line="540" w:lineRule="exact"/>
        <w:ind w:firstLine="560" w:firstLineChars="200"/>
        <w:contextualSpacing/>
        <w:rPr>
          <w:rFonts w:ascii="楷体_GB2312" w:hAnsi="楷体_GB2312" w:eastAsia="楷体_GB2312" w:cs="楷体_GB2312"/>
          <w:sz w:val="28"/>
          <w:szCs w:val="28"/>
        </w:rPr>
      </w:pPr>
    </w:p>
    <w:p>
      <w:pPr>
        <w:spacing w:line="560" w:lineRule="exact"/>
        <w:ind w:firstLine="560" w:firstLineChars="200"/>
        <w:jc w:val="left"/>
        <w:rPr>
          <w:rFonts w:ascii="楷体_GB2312" w:hAnsi="楷体_GB2312" w:eastAsia="楷体_GB2312" w:cs="楷体_GB2312"/>
          <w:sz w:val="28"/>
          <w:szCs w:val="28"/>
        </w:rPr>
      </w:pPr>
    </w:p>
    <w:p>
      <w:pPr>
        <w:widowControl/>
        <w:jc w:val="left"/>
        <w:rPr>
          <w:rFonts w:ascii="楷体_GB2312" w:hAnsi="楷体_GB2312" w:eastAsia="楷体_GB2312" w:cs="楷体_GB2312"/>
        </w:rPr>
      </w:pPr>
    </w:p>
    <w:sectPr>
      <w:headerReference r:id="rId3" w:type="default"/>
      <w:footerReference r:id="rId4" w:type="default"/>
      <w:footerReference r:id="rId5" w:type="even"/>
      <w:pgSz w:w="11907" w:h="16840"/>
      <w:pgMar w:top="1304" w:right="1418" w:bottom="953" w:left="1106" w:header="936" w:footer="992" w:gutter="0"/>
      <w:pgNumType w:start="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page" w:x="10239" w:y="2"/>
      <w:jc w:val="right"/>
      <w:rPr>
        <w:rStyle w:val="46"/>
        <w:b/>
        <w:i/>
        <w:color w:val="FF0000"/>
      </w:rPr>
    </w:pPr>
  </w:p>
  <w:p>
    <w:pPr>
      <w:pStyle w:val="28"/>
      <w:framePr w:wrap="around" w:vAnchor="text" w:hAnchor="page" w:x="10239" w:y="2"/>
      <w:jc w:val="right"/>
      <w:rPr>
        <w:rStyle w:val="46"/>
        <w:b/>
        <w:i/>
        <w:color w:val="FF0000"/>
      </w:rPr>
    </w:pPr>
    <w:r>
      <w:rPr>
        <w:rStyle w:val="46"/>
        <w:b/>
        <w:i/>
        <w:color w:val="FF0000"/>
      </w:rPr>
      <w:fldChar w:fldCharType="begin"/>
    </w:r>
    <w:r>
      <w:rPr>
        <w:rStyle w:val="46"/>
        <w:i/>
        <w:color w:val="FF0000"/>
      </w:rPr>
      <w:instrText xml:space="preserve">PAGE  </w:instrText>
    </w:r>
    <w:r>
      <w:rPr>
        <w:rStyle w:val="46"/>
        <w:b/>
        <w:i/>
        <w:color w:val="FF0000"/>
      </w:rPr>
      <w:fldChar w:fldCharType="separate"/>
    </w:r>
    <w:r>
      <w:rPr>
        <w:rStyle w:val="46"/>
        <w:i/>
        <w:color w:val="FF0000"/>
      </w:rPr>
      <w:t>17</w:t>
    </w:r>
    <w:r>
      <w:rPr>
        <w:rStyle w:val="46"/>
        <w:b/>
        <w:i/>
        <w:color w:val="FF0000"/>
      </w:rPr>
      <w:fldChar w:fldCharType="end"/>
    </w:r>
  </w:p>
  <w:p>
    <w:pPr>
      <w:pStyle w:val="28"/>
      <w:rPr>
        <w:rFonts w:ascii="方正舒体" w:eastAsia="方正舒体"/>
        <w:b/>
        <w:i/>
      </w:rPr>
    </w:pPr>
    <w:r>
      <w:rPr>
        <w:rFonts w:hint="eastAsia" w:ascii="方正舒体" w:eastAsia="方正舒体"/>
        <w:b/>
        <w:i/>
      </w:rPr>
      <w:t xml:space="preserve">公司地址：贵阳市金阳诚信北路绿地联盛国际4号楼B座509室                </w:t>
    </w:r>
  </w:p>
  <w:p>
    <w:pPr>
      <w:pStyle w:val="28"/>
      <w:rPr>
        <w:rFonts w:ascii="方正舒体" w:eastAsia="方正舒体"/>
        <w:b/>
        <w:i/>
      </w:rPr>
    </w:pPr>
    <w:r>
      <w:rPr>
        <w:rFonts w:hint="eastAsia" w:ascii="方正舒体" w:eastAsia="方正舒体"/>
        <w:b/>
        <w:i/>
      </w:rPr>
      <w:t>电话：0851-85811555  85842555               传真：85819111</w:t>
    </w:r>
  </w:p>
  <w:p>
    <w:pPr>
      <w:pStyle w:val="28"/>
      <w:jc w:val="center"/>
      <w:rPr>
        <w:b/>
        <w:i/>
        <w:kern w:val="0"/>
        <w:szCs w:val="21"/>
      </w:rPr>
    </w:pPr>
  </w:p>
  <w:p>
    <w:pPr>
      <w:pStyle w:val="28"/>
      <w:jc w:val="center"/>
      <w:rPr>
        <w:b/>
        <w:i/>
      </w:rPr>
    </w:pPr>
    <w:r>
      <w:rPr>
        <w:b/>
        <w:i/>
        <w:kern w:val="0"/>
        <w:szCs w:val="21"/>
      </w:rPr>
      <w:t xml:space="preserve">- </w:t>
    </w:r>
    <w:r>
      <w:rPr>
        <w:b/>
        <w:i/>
        <w:kern w:val="0"/>
        <w:szCs w:val="21"/>
      </w:rPr>
      <w:fldChar w:fldCharType="begin"/>
    </w:r>
    <w:r>
      <w:rPr>
        <w:b/>
        <w:i/>
        <w:kern w:val="0"/>
        <w:szCs w:val="21"/>
      </w:rPr>
      <w:instrText xml:space="preserve"> PAGE </w:instrText>
    </w:r>
    <w:r>
      <w:rPr>
        <w:b/>
        <w:i/>
        <w:kern w:val="0"/>
        <w:szCs w:val="21"/>
      </w:rPr>
      <w:fldChar w:fldCharType="separate"/>
    </w:r>
    <w:r>
      <w:rPr>
        <w:b/>
        <w:i/>
        <w:kern w:val="0"/>
        <w:szCs w:val="21"/>
      </w:rPr>
      <w:t>17</w:t>
    </w:r>
    <w:r>
      <w:rPr>
        <w:b/>
        <w:i/>
        <w:kern w:val="0"/>
        <w:szCs w:val="21"/>
      </w:rPr>
      <w:fldChar w:fldCharType="end"/>
    </w:r>
    <w:r>
      <w:rPr>
        <w:b/>
        <w:i/>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rPr>
        <w:rStyle w:val="46"/>
      </w:rPr>
      <w:fldChar w:fldCharType="begin"/>
    </w:r>
    <w:r>
      <w:rPr>
        <w:rStyle w:val="46"/>
      </w:rPr>
      <w:instrText xml:space="preserve">PAGE  </w:instrText>
    </w:r>
    <w:r>
      <w:rPr>
        <w:rStyle w:val="46"/>
      </w:rPr>
      <w:fldChar w:fldCharType="end"/>
    </w:r>
  </w:p>
  <w:p>
    <w:pPr>
      <w:pStyle w:val="2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方正舒体" w:eastAsia="方正舒体"/>
        <w:b/>
        <w:i/>
      </w:rPr>
    </w:pPr>
    <w:r>
      <w:rPr>
        <w:rFonts w:hint="eastAsia" w:ascii="方正舒体" w:eastAsia="方正舒体"/>
        <w:b/>
        <w:i/>
      </w:rPr>
      <w:t>贵州众志天和房地产评估事务有限公司                                                 〖房地产估价报告〗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6E3D65"/>
    <w:multiLevelType w:val="singleLevel"/>
    <w:tmpl w:val="B76E3D65"/>
    <w:lvl w:ilvl="0" w:tentative="0">
      <w:start w:val="3"/>
      <w:numFmt w:val="decimal"/>
      <w:suff w:val="nothing"/>
      <w:lvlText w:val="%1、"/>
      <w:lvlJc w:val="left"/>
    </w:lvl>
  </w:abstractNum>
  <w:abstractNum w:abstractNumId="1">
    <w:nsid w:val="2E8C64AC"/>
    <w:multiLevelType w:val="singleLevel"/>
    <w:tmpl w:val="2E8C64AC"/>
    <w:lvl w:ilvl="0" w:tentative="0">
      <w:start w:val="6"/>
      <w:numFmt w:val="upperLetter"/>
      <w:pStyle w:val="2"/>
      <w:lvlText w:val="%1、 "/>
      <w:legacy w:legacy="1" w:legacySpace="0" w:legacyIndent="552"/>
      <w:lvlJc w:val="left"/>
      <w:pPr>
        <w:ind w:left="1272" w:hanging="552"/>
      </w:pPr>
      <w:rPr>
        <w:rFonts w:hint="eastAsia" w:ascii="仿宋_GB2312" w:eastAsia="仿宋_GB2312"/>
        <w:b w:val="0"/>
        <w:i w:val="0"/>
        <w:sz w:val="28"/>
        <w:u w:val="none"/>
      </w:rPr>
    </w:lvl>
  </w:abstractNum>
  <w:abstractNum w:abstractNumId="2">
    <w:nsid w:val="60A23218"/>
    <w:multiLevelType w:val="singleLevel"/>
    <w:tmpl w:val="60A23218"/>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94D41"/>
    <w:rsid w:val="00010053"/>
    <w:rsid w:val="00031476"/>
    <w:rsid w:val="000938F0"/>
    <w:rsid w:val="000F2C4C"/>
    <w:rsid w:val="00103078"/>
    <w:rsid w:val="00145333"/>
    <w:rsid w:val="001541D6"/>
    <w:rsid w:val="00185482"/>
    <w:rsid w:val="001A4B68"/>
    <w:rsid w:val="001E7461"/>
    <w:rsid w:val="001F68A9"/>
    <w:rsid w:val="00266F88"/>
    <w:rsid w:val="00277EAA"/>
    <w:rsid w:val="00293DA4"/>
    <w:rsid w:val="002B5D8B"/>
    <w:rsid w:val="002E36F7"/>
    <w:rsid w:val="002F282F"/>
    <w:rsid w:val="00301008"/>
    <w:rsid w:val="003131D5"/>
    <w:rsid w:val="003134F8"/>
    <w:rsid w:val="00314F2A"/>
    <w:rsid w:val="00327459"/>
    <w:rsid w:val="003312B5"/>
    <w:rsid w:val="003552DD"/>
    <w:rsid w:val="00367092"/>
    <w:rsid w:val="00367579"/>
    <w:rsid w:val="00372934"/>
    <w:rsid w:val="003C5416"/>
    <w:rsid w:val="003D48ED"/>
    <w:rsid w:val="00414F74"/>
    <w:rsid w:val="00463EE3"/>
    <w:rsid w:val="0047507E"/>
    <w:rsid w:val="00494D41"/>
    <w:rsid w:val="004D71D7"/>
    <w:rsid w:val="004E1545"/>
    <w:rsid w:val="004E1670"/>
    <w:rsid w:val="004F7CCF"/>
    <w:rsid w:val="005107A6"/>
    <w:rsid w:val="005134B6"/>
    <w:rsid w:val="00575716"/>
    <w:rsid w:val="00604C0B"/>
    <w:rsid w:val="00612B85"/>
    <w:rsid w:val="00650FAA"/>
    <w:rsid w:val="006E151F"/>
    <w:rsid w:val="006F64A7"/>
    <w:rsid w:val="00716D6F"/>
    <w:rsid w:val="00741A30"/>
    <w:rsid w:val="007A4607"/>
    <w:rsid w:val="007C3039"/>
    <w:rsid w:val="007D0D61"/>
    <w:rsid w:val="0080503D"/>
    <w:rsid w:val="00812756"/>
    <w:rsid w:val="0083369F"/>
    <w:rsid w:val="008362E8"/>
    <w:rsid w:val="00882DD8"/>
    <w:rsid w:val="008B6FCA"/>
    <w:rsid w:val="008C63A6"/>
    <w:rsid w:val="00917EF2"/>
    <w:rsid w:val="0093375E"/>
    <w:rsid w:val="00941474"/>
    <w:rsid w:val="00951232"/>
    <w:rsid w:val="009557F7"/>
    <w:rsid w:val="00964501"/>
    <w:rsid w:val="00985C0F"/>
    <w:rsid w:val="009A232A"/>
    <w:rsid w:val="009F0337"/>
    <w:rsid w:val="009F0FE3"/>
    <w:rsid w:val="00A1311F"/>
    <w:rsid w:val="00A3760F"/>
    <w:rsid w:val="00A463A9"/>
    <w:rsid w:val="00A731A1"/>
    <w:rsid w:val="00A762A4"/>
    <w:rsid w:val="00A80902"/>
    <w:rsid w:val="00A964ED"/>
    <w:rsid w:val="00AC0E7B"/>
    <w:rsid w:val="00AD4C29"/>
    <w:rsid w:val="00B464EB"/>
    <w:rsid w:val="00B85DD6"/>
    <w:rsid w:val="00BC7DFD"/>
    <w:rsid w:val="00BD3C98"/>
    <w:rsid w:val="00BE2340"/>
    <w:rsid w:val="00BF4E98"/>
    <w:rsid w:val="00C20391"/>
    <w:rsid w:val="00C323AE"/>
    <w:rsid w:val="00C729DB"/>
    <w:rsid w:val="00C84E14"/>
    <w:rsid w:val="00CB6DCB"/>
    <w:rsid w:val="00CC1BE6"/>
    <w:rsid w:val="00D27A98"/>
    <w:rsid w:val="00D50965"/>
    <w:rsid w:val="00D60557"/>
    <w:rsid w:val="00E001AA"/>
    <w:rsid w:val="00E015BA"/>
    <w:rsid w:val="00E1245B"/>
    <w:rsid w:val="00E31EC2"/>
    <w:rsid w:val="00E471F3"/>
    <w:rsid w:val="00ED7C74"/>
    <w:rsid w:val="00F3282E"/>
    <w:rsid w:val="00FF0A76"/>
    <w:rsid w:val="011A7B71"/>
    <w:rsid w:val="01336FB5"/>
    <w:rsid w:val="013439FE"/>
    <w:rsid w:val="01364ECD"/>
    <w:rsid w:val="013E29AA"/>
    <w:rsid w:val="014902E7"/>
    <w:rsid w:val="01535E86"/>
    <w:rsid w:val="01766E53"/>
    <w:rsid w:val="018F762D"/>
    <w:rsid w:val="01A2372D"/>
    <w:rsid w:val="01B85B6A"/>
    <w:rsid w:val="01B85B8D"/>
    <w:rsid w:val="01CB1F2A"/>
    <w:rsid w:val="01CE0734"/>
    <w:rsid w:val="01E752C3"/>
    <w:rsid w:val="01FF7CD4"/>
    <w:rsid w:val="02087907"/>
    <w:rsid w:val="02173D90"/>
    <w:rsid w:val="024738E3"/>
    <w:rsid w:val="02563DE6"/>
    <w:rsid w:val="026D0A69"/>
    <w:rsid w:val="028266A6"/>
    <w:rsid w:val="028F3BCE"/>
    <w:rsid w:val="02905DD7"/>
    <w:rsid w:val="02B673E0"/>
    <w:rsid w:val="02C901E9"/>
    <w:rsid w:val="02F5515F"/>
    <w:rsid w:val="02F840AD"/>
    <w:rsid w:val="03570455"/>
    <w:rsid w:val="038A024D"/>
    <w:rsid w:val="03916CED"/>
    <w:rsid w:val="03A05130"/>
    <w:rsid w:val="03A66D9F"/>
    <w:rsid w:val="03BA67C0"/>
    <w:rsid w:val="03CD2821"/>
    <w:rsid w:val="04052FDC"/>
    <w:rsid w:val="041F1252"/>
    <w:rsid w:val="043B5279"/>
    <w:rsid w:val="043F125F"/>
    <w:rsid w:val="04575F5A"/>
    <w:rsid w:val="0492745D"/>
    <w:rsid w:val="04DD05F9"/>
    <w:rsid w:val="04DF525C"/>
    <w:rsid w:val="04FD5565"/>
    <w:rsid w:val="04FF4324"/>
    <w:rsid w:val="04FF6C5E"/>
    <w:rsid w:val="050C69BE"/>
    <w:rsid w:val="050E1177"/>
    <w:rsid w:val="051F31BE"/>
    <w:rsid w:val="052875C7"/>
    <w:rsid w:val="055703D0"/>
    <w:rsid w:val="055C1E06"/>
    <w:rsid w:val="057F5783"/>
    <w:rsid w:val="05805876"/>
    <w:rsid w:val="05902FCC"/>
    <w:rsid w:val="059E040C"/>
    <w:rsid w:val="05B168D7"/>
    <w:rsid w:val="05BD259D"/>
    <w:rsid w:val="05D6400A"/>
    <w:rsid w:val="05DC3556"/>
    <w:rsid w:val="05F704F9"/>
    <w:rsid w:val="05FA00BE"/>
    <w:rsid w:val="05FB18A6"/>
    <w:rsid w:val="06044D68"/>
    <w:rsid w:val="060B3017"/>
    <w:rsid w:val="06100A45"/>
    <w:rsid w:val="062936FB"/>
    <w:rsid w:val="06533884"/>
    <w:rsid w:val="065459C3"/>
    <w:rsid w:val="06694BE4"/>
    <w:rsid w:val="06846030"/>
    <w:rsid w:val="068603F8"/>
    <w:rsid w:val="068662A3"/>
    <w:rsid w:val="06927C12"/>
    <w:rsid w:val="06A011EA"/>
    <w:rsid w:val="06D328B7"/>
    <w:rsid w:val="06DC7A48"/>
    <w:rsid w:val="06F47187"/>
    <w:rsid w:val="07401C46"/>
    <w:rsid w:val="074A2EC0"/>
    <w:rsid w:val="0757743E"/>
    <w:rsid w:val="07641701"/>
    <w:rsid w:val="07717659"/>
    <w:rsid w:val="07B71BCA"/>
    <w:rsid w:val="07C75472"/>
    <w:rsid w:val="07CA3DF4"/>
    <w:rsid w:val="07DC6621"/>
    <w:rsid w:val="07F34E78"/>
    <w:rsid w:val="07F806A2"/>
    <w:rsid w:val="0820527F"/>
    <w:rsid w:val="08571F23"/>
    <w:rsid w:val="08714508"/>
    <w:rsid w:val="08760BEB"/>
    <w:rsid w:val="08AC775D"/>
    <w:rsid w:val="08BF2681"/>
    <w:rsid w:val="08FF4E27"/>
    <w:rsid w:val="090A08BE"/>
    <w:rsid w:val="090C7332"/>
    <w:rsid w:val="090F0A01"/>
    <w:rsid w:val="09340477"/>
    <w:rsid w:val="09342211"/>
    <w:rsid w:val="09356B69"/>
    <w:rsid w:val="09414F74"/>
    <w:rsid w:val="09580FC4"/>
    <w:rsid w:val="095C2E5B"/>
    <w:rsid w:val="095F2D86"/>
    <w:rsid w:val="09615B1E"/>
    <w:rsid w:val="097D69C9"/>
    <w:rsid w:val="098B7E7E"/>
    <w:rsid w:val="0991350A"/>
    <w:rsid w:val="09944AD5"/>
    <w:rsid w:val="0999108D"/>
    <w:rsid w:val="09A80F5B"/>
    <w:rsid w:val="09A92885"/>
    <w:rsid w:val="09AC4BC1"/>
    <w:rsid w:val="09AD2039"/>
    <w:rsid w:val="09DE65F1"/>
    <w:rsid w:val="09E034FF"/>
    <w:rsid w:val="09F170C1"/>
    <w:rsid w:val="09FC6275"/>
    <w:rsid w:val="0A335236"/>
    <w:rsid w:val="0A3C4B52"/>
    <w:rsid w:val="0A6A49BC"/>
    <w:rsid w:val="0A9A6FA9"/>
    <w:rsid w:val="0A9D299F"/>
    <w:rsid w:val="0AA13CF5"/>
    <w:rsid w:val="0AAE0769"/>
    <w:rsid w:val="0AD86780"/>
    <w:rsid w:val="0B0E3983"/>
    <w:rsid w:val="0B4530EE"/>
    <w:rsid w:val="0B4E3ACB"/>
    <w:rsid w:val="0B5A2F4D"/>
    <w:rsid w:val="0B732BCD"/>
    <w:rsid w:val="0B825630"/>
    <w:rsid w:val="0B9C5D61"/>
    <w:rsid w:val="0BA24D0E"/>
    <w:rsid w:val="0BB14EF6"/>
    <w:rsid w:val="0BC03AE3"/>
    <w:rsid w:val="0BC26B8B"/>
    <w:rsid w:val="0BEA4550"/>
    <w:rsid w:val="0BEB738C"/>
    <w:rsid w:val="0C113C8E"/>
    <w:rsid w:val="0C136544"/>
    <w:rsid w:val="0C6B5857"/>
    <w:rsid w:val="0C721551"/>
    <w:rsid w:val="0CCA559D"/>
    <w:rsid w:val="0CCE53C9"/>
    <w:rsid w:val="0CF821EA"/>
    <w:rsid w:val="0D035509"/>
    <w:rsid w:val="0D142E37"/>
    <w:rsid w:val="0D274711"/>
    <w:rsid w:val="0D35063E"/>
    <w:rsid w:val="0D3B1263"/>
    <w:rsid w:val="0D4B4E03"/>
    <w:rsid w:val="0D4D6CE1"/>
    <w:rsid w:val="0D53605B"/>
    <w:rsid w:val="0D655071"/>
    <w:rsid w:val="0D694BCC"/>
    <w:rsid w:val="0DC432D3"/>
    <w:rsid w:val="0DCF25A6"/>
    <w:rsid w:val="0DDB6283"/>
    <w:rsid w:val="0DF40FFF"/>
    <w:rsid w:val="0E177AA3"/>
    <w:rsid w:val="0E1D0725"/>
    <w:rsid w:val="0E8A2998"/>
    <w:rsid w:val="0E9B3F10"/>
    <w:rsid w:val="0EDC3E33"/>
    <w:rsid w:val="0EEE75BF"/>
    <w:rsid w:val="0EF7637F"/>
    <w:rsid w:val="0F1146A9"/>
    <w:rsid w:val="0F4F1AF5"/>
    <w:rsid w:val="0F64409D"/>
    <w:rsid w:val="0F955B68"/>
    <w:rsid w:val="0F966D2A"/>
    <w:rsid w:val="0FC63D83"/>
    <w:rsid w:val="0FDB7E7B"/>
    <w:rsid w:val="0FDE4EE9"/>
    <w:rsid w:val="0FDE6558"/>
    <w:rsid w:val="0FF86CC5"/>
    <w:rsid w:val="100A72FC"/>
    <w:rsid w:val="100B3D5D"/>
    <w:rsid w:val="101B6F84"/>
    <w:rsid w:val="103D5F70"/>
    <w:rsid w:val="10414B7A"/>
    <w:rsid w:val="10424E5F"/>
    <w:rsid w:val="105B1737"/>
    <w:rsid w:val="108528FC"/>
    <w:rsid w:val="10C417C4"/>
    <w:rsid w:val="10D92385"/>
    <w:rsid w:val="10E342AD"/>
    <w:rsid w:val="10EA7DE3"/>
    <w:rsid w:val="10EF5DB7"/>
    <w:rsid w:val="10F87953"/>
    <w:rsid w:val="11374B0D"/>
    <w:rsid w:val="114B03A9"/>
    <w:rsid w:val="116770C7"/>
    <w:rsid w:val="117D51B0"/>
    <w:rsid w:val="11A3610D"/>
    <w:rsid w:val="11B05809"/>
    <w:rsid w:val="11B86E4D"/>
    <w:rsid w:val="11CC6B41"/>
    <w:rsid w:val="11F00F78"/>
    <w:rsid w:val="11F4166C"/>
    <w:rsid w:val="120F15C4"/>
    <w:rsid w:val="120F52F8"/>
    <w:rsid w:val="12162F26"/>
    <w:rsid w:val="12170DDF"/>
    <w:rsid w:val="124A2FEB"/>
    <w:rsid w:val="124F6B52"/>
    <w:rsid w:val="1261744B"/>
    <w:rsid w:val="12621871"/>
    <w:rsid w:val="1266021C"/>
    <w:rsid w:val="127016C1"/>
    <w:rsid w:val="12BD37DB"/>
    <w:rsid w:val="12DB151B"/>
    <w:rsid w:val="12F6562D"/>
    <w:rsid w:val="131722CF"/>
    <w:rsid w:val="131954C2"/>
    <w:rsid w:val="131F065E"/>
    <w:rsid w:val="132864EF"/>
    <w:rsid w:val="132D506E"/>
    <w:rsid w:val="132F4AE7"/>
    <w:rsid w:val="133A5253"/>
    <w:rsid w:val="135B5184"/>
    <w:rsid w:val="13972884"/>
    <w:rsid w:val="13A10C0E"/>
    <w:rsid w:val="13A72454"/>
    <w:rsid w:val="13BC2CF5"/>
    <w:rsid w:val="13BD5396"/>
    <w:rsid w:val="13BE71CE"/>
    <w:rsid w:val="13CA13CE"/>
    <w:rsid w:val="14097B05"/>
    <w:rsid w:val="140B4247"/>
    <w:rsid w:val="141D1A73"/>
    <w:rsid w:val="144D78FF"/>
    <w:rsid w:val="14510EC4"/>
    <w:rsid w:val="14547698"/>
    <w:rsid w:val="14664D14"/>
    <w:rsid w:val="14713554"/>
    <w:rsid w:val="14A854DF"/>
    <w:rsid w:val="14C369EC"/>
    <w:rsid w:val="14D637F1"/>
    <w:rsid w:val="14DD2C9D"/>
    <w:rsid w:val="15027139"/>
    <w:rsid w:val="150D511C"/>
    <w:rsid w:val="154B58B8"/>
    <w:rsid w:val="15523288"/>
    <w:rsid w:val="155F11AC"/>
    <w:rsid w:val="1571255B"/>
    <w:rsid w:val="15797B16"/>
    <w:rsid w:val="15893232"/>
    <w:rsid w:val="1595048A"/>
    <w:rsid w:val="15A732F4"/>
    <w:rsid w:val="15AD7DD9"/>
    <w:rsid w:val="15D64AE1"/>
    <w:rsid w:val="160E4ADD"/>
    <w:rsid w:val="160F4661"/>
    <w:rsid w:val="161706F0"/>
    <w:rsid w:val="16353602"/>
    <w:rsid w:val="166631F2"/>
    <w:rsid w:val="168D4FA9"/>
    <w:rsid w:val="16B57314"/>
    <w:rsid w:val="16BC6315"/>
    <w:rsid w:val="173F35B0"/>
    <w:rsid w:val="1743338B"/>
    <w:rsid w:val="174F2F93"/>
    <w:rsid w:val="17510D86"/>
    <w:rsid w:val="177D10AD"/>
    <w:rsid w:val="1796144C"/>
    <w:rsid w:val="17A66E72"/>
    <w:rsid w:val="17F439A1"/>
    <w:rsid w:val="18332369"/>
    <w:rsid w:val="183B6253"/>
    <w:rsid w:val="183B67EE"/>
    <w:rsid w:val="18E469BD"/>
    <w:rsid w:val="18EA1381"/>
    <w:rsid w:val="18FE515A"/>
    <w:rsid w:val="19023549"/>
    <w:rsid w:val="192A48A7"/>
    <w:rsid w:val="19473788"/>
    <w:rsid w:val="1952617A"/>
    <w:rsid w:val="195637B4"/>
    <w:rsid w:val="19926B1B"/>
    <w:rsid w:val="19941B08"/>
    <w:rsid w:val="19972D41"/>
    <w:rsid w:val="19A154EB"/>
    <w:rsid w:val="19E72C2E"/>
    <w:rsid w:val="1A11082C"/>
    <w:rsid w:val="1A254363"/>
    <w:rsid w:val="1A4F1E14"/>
    <w:rsid w:val="1A7F2F01"/>
    <w:rsid w:val="1A830F57"/>
    <w:rsid w:val="1A9A286B"/>
    <w:rsid w:val="1AB31107"/>
    <w:rsid w:val="1AC908A3"/>
    <w:rsid w:val="1ADF631D"/>
    <w:rsid w:val="1AF11809"/>
    <w:rsid w:val="1AFA761D"/>
    <w:rsid w:val="1B0B3721"/>
    <w:rsid w:val="1B220711"/>
    <w:rsid w:val="1B2B362B"/>
    <w:rsid w:val="1B482936"/>
    <w:rsid w:val="1B69112C"/>
    <w:rsid w:val="1B751785"/>
    <w:rsid w:val="1B8B0884"/>
    <w:rsid w:val="1B9B112A"/>
    <w:rsid w:val="1BA3505A"/>
    <w:rsid w:val="1BE83CB9"/>
    <w:rsid w:val="1BF65B44"/>
    <w:rsid w:val="1BFD11F4"/>
    <w:rsid w:val="1C1A5DD8"/>
    <w:rsid w:val="1C430431"/>
    <w:rsid w:val="1C453F82"/>
    <w:rsid w:val="1C5867F1"/>
    <w:rsid w:val="1C587FCF"/>
    <w:rsid w:val="1C6B2FB0"/>
    <w:rsid w:val="1CDE1102"/>
    <w:rsid w:val="1CE6258F"/>
    <w:rsid w:val="1D090E94"/>
    <w:rsid w:val="1D3D4E4D"/>
    <w:rsid w:val="1D416B74"/>
    <w:rsid w:val="1D483403"/>
    <w:rsid w:val="1D620E26"/>
    <w:rsid w:val="1D6B72E2"/>
    <w:rsid w:val="1D9E6646"/>
    <w:rsid w:val="1DC05B02"/>
    <w:rsid w:val="1DD85D21"/>
    <w:rsid w:val="1DE27675"/>
    <w:rsid w:val="1DEA3759"/>
    <w:rsid w:val="1DEB2FD6"/>
    <w:rsid w:val="1E00150F"/>
    <w:rsid w:val="1E011C86"/>
    <w:rsid w:val="1E021611"/>
    <w:rsid w:val="1E49737B"/>
    <w:rsid w:val="1E637700"/>
    <w:rsid w:val="1E6935C0"/>
    <w:rsid w:val="1E7D2068"/>
    <w:rsid w:val="1E947A91"/>
    <w:rsid w:val="1E9C39F6"/>
    <w:rsid w:val="1EAD000E"/>
    <w:rsid w:val="1F0622B7"/>
    <w:rsid w:val="1F094184"/>
    <w:rsid w:val="1F2E106F"/>
    <w:rsid w:val="1F431F57"/>
    <w:rsid w:val="1F586529"/>
    <w:rsid w:val="1F9810DE"/>
    <w:rsid w:val="1F9C75C9"/>
    <w:rsid w:val="1F9F6AA1"/>
    <w:rsid w:val="1FB4483B"/>
    <w:rsid w:val="1FC3709C"/>
    <w:rsid w:val="1FD81BC1"/>
    <w:rsid w:val="1FF7715D"/>
    <w:rsid w:val="201505DB"/>
    <w:rsid w:val="204939FA"/>
    <w:rsid w:val="2057011B"/>
    <w:rsid w:val="206E00DE"/>
    <w:rsid w:val="206E5002"/>
    <w:rsid w:val="209F6AD8"/>
    <w:rsid w:val="20B24F36"/>
    <w:rsid w:val="20B541CB"/>
    <w:rsid w:val="20B628AF"/>
    <w:rsid w:val="20FB05B1"/>
    <w:rsid w:val="21167270"/>
    <w:rsid w:val="21862B40"/>
    <w:rsid w:val="218917FF"/>
    <w:rsid w:val="21B12E4F"/>
    <w:rsid w:val="21F14F54"/>
    <w:rsid w:val="21F73B65"/>
    <w:rsid w:val="21FC1F80"/>
    <w:rsid w:val="21FD71FF"/>
    <w:rsid w:val="221D002C"/>
    <w:rsid w:val="22303B1B"/>
    <w:rsid w:val="223E2605"/>
    <w:rsid w:val="2282022F"/>
    <w:rsid w:val="228A7C5E"/>
    <w:rsid w:val="229660D4"/>
    <w:rsid w:val="22B33B19"/>
    <w:rsid w:val="22E040A7"/>
    <w:rsid w:val="22F50071"/>
    <w:rsid w:val="22F5362A"/>
    <w:rsid w:val="22FE7187"/>
    <w:rsid w:val="230008B9"/>
    <w:rsid w:val="231F5922"/>
    <w:rsid w:val="23634B18"/>
    <w:rsid w:val="23852F3C"/>
    <w:rsid w:val="23950FC8"/>
    <w:rsid w:val="239D1321"/>
    <w:rsid w:val="23A70BCD"/>
    <w:rsid w:val="23C27098"/>
    <w:rsid w:val="23C45446"/>
    <w:rsid w:val="23F12BBC"/>
    <w:rsid w:val="24133110"/>
    <w:rsid w:val="249451B0"/>
    <w:rsid w:val="24BA5EEB"/>
    <w:rsid w:val="24C63A3E"/>
    <w:rsid w:val="24F05C17"/>
    <w:rsid w:val="254B337C"/>
    <w:rsid w:val="256E556E"/>
    <w:rsid w:val="256F2163"/>
    <w:rsid w:val="257A0CD4"/>
    <w:rsid w:val="25916686"/>
    <w:rsid w:val="25B0232A"/>
    <w:rsid w:val="26051254"/>
    <w:rsid w:val="260F6BE7"/>
    <w:rsid w:val="26106C4B"/>
    <w:rsid w:val="263F3C9B"/>
    <w:rsid w:val="266A59F7"/>
    <w:rsid w:val="2684005F"/>
    <w:rsid w:val="26943000"/>
    <w:rsid w:val="269E4759"/>
    <w:rsid w:val="269E555D"/>
    <w:rsid w:val="26B9351C"/>
    <w:rsid w:val="26C84B4D"/>
    <w:rsid w:val="26CD2F52"/>
    <w:rsid w:val="26D6621E"/>
    <w:rsid w:val="26DE15BC"/>
    <w:rsid w:val="26F81143"/>
    <w:rsid w:val="27042078"/>
    <w:rsid w:val="27150AC2"/>
    <w:rsid w:val="271843C3"/>
    <w:rsid w:val="271B5A39"/>
    <w:rsid w:val="272D63A8"/>
    <w:rsid w:val="27422C38"/>
    <w:rsid w:val="274971DF"/>
    <w:rsid w:val="27515B53"/>
    <w:rsid w:val="27724506"/>
    <w:rsid w:val="2781464D"/>
    <w:rsid w:val="27977911"/>
    <w:rsid w:val="27BE0860"/>
    <w:rsid w:val="27E12683"/>
    <w:rsid w:val="27F72FA1"/>
    <w:rsid w:val="27F94FDE"/>
    <w:rsid w:val="28167BA4"/>
    <w:rsid w:val="2817647E"/>
    <w:rsid w:val="282F3EAF"/>
    <w:rsid w:val="2837416D"/>
    <w:rsid w:val="28444FC1"/>
    <w:rsid w:val="284B4532"/>
    <w:rsid w:val="284F67CA"/>
    <w:rsid w:val="288B3A03"/>
    <w:rsid w:val="28B527AA"/>
    <w:rsid w:val="28B538B2"/>
    <w:rsid w:val="28C27EFA"/>
    <w:rsid w:val="28F45100"/>
    <w:rsid w:val="28F81F9E"/>
    <w:rsid w:val="2912275E"/>
    <w:rsid w:val="29184914"/>
    <w:rsid w:val="2949145A"/>
    <w:rsid w:val="294A4D2E"/>
    <w:rsid w:val="295E66A9"/>
    <w:rsid w:val="29643B0B"/>
    <w:rsid w:val="296E3392"/>
    <w:rsid w:val="29B000E1"/>
    <w:rsid w:val="2A0D3D7D"/>
    <w:rsid w:val="2A140F09"/>
    <w:rsid w:val="2A241816"/>
    <w:rsid w:val="2A2568C0"/>
    <w:rsid w:val="2A2B1DA2"/>
    <w:rsid w:val="2A2C71AF"/>
    <w:rsid w:val="2A2C7BB5"/>
    <w:rsid w:val="2A352377"/>
    <w:rsid w:val="2A3D2CF1"/>
    <w:rsid w:val="2A5A6F60"/>
    <w:rsid w:val="2A903647"/>
    <w:rsid w:val="2A987FC4"/>
    <w:rsid w:val="2AAF7131"/>
    <w:rsid w:val="2AB56FCB"/>
    <w:rsid w:val="2AD62B93"/>
    <w:rsid w:val="2ADE5BA7"/>
    <w:rsid w:val="2AE2497D"/>
    <w:rsid w:val="2B134142"/>
    <w:rsid w:val="2B157774"/>
    <w:rsid w:val="2B1B23A6"/>
    <w:rsid w:val="2B25444B"/>
    <w:rsid w:val="2B3E2424"/>
    <w:rsid w:val="2B4D5A5E"/>
    <w:rsid w:val="2B5E3120"/>
    <w:rsid w:val="2B6D13E4"/>
    <w:rsid w:val="2B6F33D0"/>
    <w:rsid w:val="2B827909"/>
    <w:rsid w:val="2BBE30D1"/>
    <w:rsid w:val="2BC239A0"/>
    <w:rsid w:val="2BE96755"/>
    <w:rsid w:val="2BFA1534"/>
    <w:rsid w:val="2C157FF5"/>
    <w:rsid w:val="2C2315C5"/>
    <w:rsid w:val="2C3879CD"/>
    <w:rsid w:val="2C437FB6"/>
    <w:rsid w:val="2C4D1837"/>
    <w:rsid w:val="2C504071"/>
    <w:rsid w:val="2C50586F"/>
    <w:rsid w:val="2C672C6B"/>
    <w:rsid w:val="2C791121"/>
    <w:rsid w:val="2C92661C"/>
    <w:rsid w:val="2C9A7BF0"/>
    <w:rsid w:val="2CD4102B"/>
    <w:rsid w:val="2CED6D46"/>
    <w:rsid w:val="2CFA6A9A"/>
    <w:rsid w:val="2D0A37D6"/>
    <w:rsid w:val="2D504298"/>
    <w:rsid w:val="2D5D3624"/>
    <w:rsid w:val="2D6701BD"/>
    <w:rsid w:val="2D6F10CD"/>
    <w:rsid w:val="2D7506A4"/>
    <w:rsid w:val="2D856B75"/>
    <w:rsid w:val="2D912492"/>
    <w:rsid w:val="2D9443F7"/>
    <w:rsid w:val="2DA50E69"/>
    <w:rsid w:val="2DF054B9"/>
    <w:rsid w:val="2E066685"/>
    <w:rsid w:val="2E3D5F58"/>
    <w:rsid w:val="2E4D57AB"/>
    <w:rsid w:val="2E4F6CE4"/>
    <w:rsid w:val="2E5E24B0"/>
    <w:rsid w:val="2E6211E4"/>
    <w:rsid w:val="2E687F3A"/>
    <w:rsid w:val="2E89665E"/>
    <w:rsid w:val="2E9202E2"/>
    <w:rsid w:val="2EA44E88"/>
    <w:rsid w:val="2ED2145B"/>
    <w:rsid w:val="2ED658BB"/>
    <w:rsid w:val="2ED94855"/>
    <w:rsid w:val="2F05417C"/>
    <w:rsid w:val="2F560E2B"/>
    <w:rsid w:val="2F7D31B6"/>
    <w:rsid w:val="2F9B2849"/>
    <w:rsid w:val="2FF753B9"/>
    <w:rsid w:val="303331B3"/>
    <w:rsid w:val="30334022"/>
    <w:rsid w:val="305637F6"/>
    <w:rsid w:val="305A5C7E"/>
    <w:rsid w:val="30863792"/>
    <w:rsid w:val="30B373B2"/>
    <w:rsid w:val="30B823AE"/>
    <w:rsid w:val="30BF7805"/>
    <w:rsid w:val="30D24F84"/>
    <w:rsid w:val="31052633"/>
    <w:rsid w:val="311A6EC2"/>
    <w:rsid w:val="312C0280"/>
    <w:rsid w:val="312F76CC"/>
    <w:rsid w:val="3173113C"/>
    <w:rsid w:val="317516FD"/>
    <w:rsid w:val="3175666E"/>
    <w:rsid w:val="31887D86"/>
    <w:rsid w:val="31A640B6"/>
    <w:rsid w:val="31AA4BDC"/>
    <w:rsid w:val="31AE0657"/>
    <w:rsid w:val="3206513E"/>
    <w:rsid w:val="320F2C1F"/>
    <w:rsid w:val="32452664"/>
    <w:rsid w:val="325A05E8"/>
    <w:rsid w:val="32687BB3"/>
    <w:rsid w:val="32C76E93"/>
    <w:rsid w:val="32EE26D8"/>
    <w:rsid w:val="33204CC0"/>
    <w:rsid w:val="33437D93"/>
    <w:rsid w:val="33451D3B"/>
    <w:rsid w:val="334B6306"/>
    <w:rsid w:val="33506804"/>
    <w:rsid w:val="33A679AF"/>
    <w:rsid w:val="33B3187A"/>
    <w:rsid w:val="33D0549C"/>
    <w:rsid w:val="33DD582D"/>
    <w:rsid w:val="33E67061"/>
    <w:rsid w:val="33F0540D"/>
    <w:rsid w:val="340118B7"/>
    <w:rsid w:val="34064C2A"/>
    <w:rsid w:val="340856E3"/>
    <w:rsid w:val="340A7907"/>
    <w:rsid w:val="341421D5"/>
    <w:rsid w:val="34327964"/>
    <w:rsid w:val="34412BFD"/>
    <w:rsid w:val="3447151D"/>
    <w:rsid w:val="34616299"/>
    <w:rsid w:val="34651343"/>
    <w:rsid w:val="347E4FF9"/>
    <w:rsid w:val="3483212D"/>
    <w:rsid w:val="34A01555"/>
    <w:rsid w:val="34C64F46"/>
    <w:rsid w:val="350010B1"/>
    <w:rsid w:val="350A1F67"/>
    <w:rsid w:val="350C378D"/>
    <w:rsid w:val="35225FB1"/>
    <w:rsid w:val="355560E1"/>
    <w:rsid w:val="35577BFB"/>
    <w:rsid w:val="356F5412"/>
    <w:rsid w:val="35911917"/>
    <w:rsid w:val="359B4BBB"/>
    <w:rsid w:val="35C7450E"/>
    <w:rsid w:val="35E16C0A"/>
    <w:rsid w:val="35EB35EC"/>
    <w:rsid w:val="35F55A92"/>
    <w:rsid w:val="36106D78"/>
    <w:rsid w:val="361D09DE"/>
    <w:rsid w:val="361E7A56"/>
    <w:rsid w:val="363367EF"/>
    <w:rsid w:val="363E3539"/>
    <w:rsid w:val="364B4B9C"/>
    <w:rsid w:val="36522004"/>
    <w:rsid w:val="36574C3B"/>
    <w:rsid w:val="365E0B7D"/>
    <w:rsid w:val="366C678E"/>
    <w:rsid w:val="36724A55"/>
    <w:rsid w:val="36915C29"/>
    <w:rsid w:val="369F4278"/>
    <w:rsid w:val="36D57686"/>
    <w:rsid w:val="36E67D91"/>
    <w:rsid w:val="37076BC8"/>
    <w:rsid w:val="37316B68"/>
    <w:rsid w:val="37381F55"/>
    <w:rsid w:val="37410BAD"/>
    <w:rsid w:val="376F654A"/>
    <w:rsid w:val="37887A50"/>
    <w:rsid w:val="3790648E"/>
    <w:rsid w:val="37EE15FE"/>
    <w:rsid w:val="37F10F54"/>
    <w:rsid w:val="37F34C07"/>
    <w:rsid w:val="37FD0EF1"/>
    <w:rsid w:val="380B4960"/>
    <w:rsid w:val="38155686"/>
    <w:rsid w:val="385C3671"/>
    <w:rsid w:val="386438EC"/>
    <w:rsid w:val="387D6099"/>
    <w:rsid w:val="389B3E4E"/>
    <w:rsid w:val="389E687F"/>
    <w:rsid w:val="39105CF0"/>
    <w:rsid w:val="392E44BA"/>
    <w:rsid w:val="395B73F1"/>
    <w:rsid w:val="39732C38"/>
    <w:rsid w:val="39975B52"/>
    <w:rsid w:val="39E90715"/>
    <w:rsid w:val="3A264E7A"/>
    <w:rsid w:val="3A26776D"/>
    <w:rsid w:val="3A2D3F34"/>
    <w:rsid w:val="3A6C0426"/>
    <w:rsid w:val="3A95208E"/>
    <w:rsid w:val="3AD27FAE"/>
    <w:rsid w:val="3AE211D7"/>
    <w:rsid w:val="3AE357D9"/>
    <w:rsid w:val="3AF93C29"/>
    <w:rsid w:val="3B1C71A3"/>
    <w:rsid w:val="3B2F3C50"/>
    <w:rsid w:val="3B351A7C"/>
    <w:rsid w:val="3B3A2ADC"/>
    <w:rsid w:val="3B522010"/>
    <w:rsid w:val="3B542777"/>
    <w:rsid w:val="3B753004"/>
    <w:rsid w:val="3B8D4A2E"/>
    <w:rsid w:val="3B954C6E"/>
    <w:rsid w:val="3B9F357B"/>
    <w:rsid w:val="3BC21E1E"/>
    <w:rsid w:val="3BC60CE4"/>
    <w:rsid w:val="3BCB2CCB"/>
    <w:rsid w:val="3C010C7B"/>
    <w:rsid w:val="3C3B781D"/>
    <w:rsid w:val="3C615A79"/>
    <w:rsid w:val="3C715879"/>
    <w:rsid w:val="3C7C3BDE"/>
    <w:rsid w:val="3C94385E"/>
    <w:rsid w:val="3CCF00D5"/>
    <w:rsid w:val="3CCF376F"/>
    <w:rsid w:val="3CD56E3D"/>
    <w:rsid w:val="3CF05C19"/>
    <w:rsid w:val="3D0B70E4"/>
    <w:rsid w:val="3D180FD8"/>
    <w:rsid w:val="3D182AA9"/>
    <w:rsid w:val="3D3D234F"/>
    <w:rsid w:val="3D4E2B0A"/>
    <w:rsid w:val="3D547BA9"/>
    <w:rsid w:val="3D682767"/>
    <w:rsid w:val="3D6E4BF2"/>
    <w:rsid w:val="3D7501AD"/>
    <w:rsid w:val="3D874D72"/>
    <w:rsid w:val="3D8B02BF"/>
    <w:rsid w:val="3D9A054E"/>
    <w:rsid w:val="3DB11626"/>
    <w:rsid w:val="3DB65C85"/>
    <w:rsid w:val="3DDF19C6"/>
    <w:rsid w:val="3DFE18AD"/>
    <w:rsid w:val="3E036595"/>
    <w:rsid w:val="3E14104A"/>
    <w:rsid w:val="3E213BBE"/>
    <w:rsid w:val="3E36513A"/>
    <w:rsid w:val="3E753EF0"/>
    <w:rsid w:val="3E8252EC"/>
    <w:rsid w:val="3E9B7D9D"/>
    <w:rsid w:val="3EAE79C0"/>
    <w:rsid w:val="3EE36016"/>
    <w:rsid w:val="3EF712F8"/>
    <w:rsid w:val="3F1F133B"/>
    <w:rsid w:val="3F4A7930"/>
    <w:rsid w:val="3F665AD5"/>
    <w:rsid w:val="3F692BC3"/>
    <w:rsid w:val="3F807B64"/>
    <w:rsid w:val="3F8173BE"/>
    <w:rsid w:val="3F833141"/>
    <w:rsid w:val="3F9B7512"/>
    <w:rsid w:val="3FA126EB"/>
    <w:rsid w:val="3FBF4B22"/>
    <w:rsid w:val="3FC33EAD"/>
    <w:rsid w:val="3FE42878"/>
    <w:rsid w:val="3FE77B2F"/>
    <w:rsid w:val="4033490D"/>
    <w:rsid w:val="40362295"/>
    <w:rsid w:val="403C3B32"/>
    <w:rsid w:val="404752DD"/>
    <w:rsid w:val="4052296D"/>
    <w:rsid w:val="40532595"/>
    <w:rsid w:val="40662625"/>
    <w:rsid w:val="4068375C"/>
    <w:rsid w:val="406B716D"/>
    <w:rsid w:val="40797B72"/>
    <w:rsid w:val="40800B21"/>
    <w:rsid w:val="408B29E0"/>
    <w:rsid w:val="40E02202"/>
    <w:rsid w:val="40E105EE"/>
    <w:rsid w:val="40EF233C"/>
    <w:rsid w:val="4121090C"/>
    <w:rsid w:val="414E5D06"/>
    <w:rsid w:val="41591F61"/>
    <w:rsid w:val="419945F6"/>
    <w:rsid w:val="41FE1BA8"/>
    <w:rsid w:val="42183F3A"/>
    <w:rsid w:val="424132EC"/>
    <w:rsid w:val="42596E99"/>
    <w:rsid w:val="4286243A"/>
    <w:rsid w:val="42B33423"/>
    <w:rsid w:val="42B46503"/>
    <w:rsid w:val="42B54315"/>
    <w:rsid w:val="42B90AB4"/>
    <w:rsid w:val="42D406F4"/>
    <w:rsid w:val="42E70FFB"/>
    <w:rsid w:val="42ED7941"/>
    <w:rsid w:val="43062410"/>
    <w:rsid w:val="430C0675"/>
    <w:rsid w:val="43452884"/>
    <w:rsid w:val="435560D6"/>
    <w:rsid w:val="436168E2"/>
    <w:rsid w:val="436C467A"/>
    <w:rsid w:val="436D41B8"/>
    <w:rsid w:val="437D2836"/>
    <w:rsid w:val="439A1578"/>
    <w:rsid w:val="440F3C6D"/>
    <w:rsid w:val="442544D6"/>
    <w:rsid w:val="44254FAA"/>
    <w:rsid w:val="44587908"/>
    <w:rsid w:val="446D110D"/>
    <w:rsid w:val="44A126D9"/>
    <w:rsid w:val="44A81067"/>
    <w:rsid w:val="44AC508D"/>
    <w:rsid w:val="44BD0819"/>
    <w:rsid w:val="44D52418"/>
    <w:rsid w:val="45812FB0"/>
    <w:rsid w:val="458510C1"/>
    <w:rsid w:val="458E0B0E"/>
    <w:rsid w:val="45997779"/>
    <w:rsid w:val="459A2F1B"/>
    <w:rsid w:val="459E14F9"/>
    <w:rsid w:val="45A553D4"/>
    <w:rsid w:val="45C70332"/>
    <w:rsid w:val="45CD764D"/>
    <w:rsid w:val="45D05986"/>
    <w:rsid w:val="45DF1651"/>
    <w:rsid w:val="45F0116C"/>
    <w:rsid w:val="45F8022C"/>
    <w:rsid w:val="45F8694B"/>
    <w:rsid w:val="45FF11FC"/>
    <w:rsid w:val="463747F7"/>
    <w:rsid w:val="464916BE"/>
    <w:rsid w:val="46713663"/>
    <w:rsid w:val="469A3681"/>
    <w:rsid w:val="46A02EC6"/>
    <w:rsid w:val="46C650AD"/>
    <w:rsid w:val="46E234DA"/>
    <w:rsid w:val="46E96C18"/>
    <w:rsid w:val="46EC6A01"/>
    <w:rsid w:val="471B456C"/>
    <w:rsid w:val="471C18BE"/>
    <w:rsid w:val="472E5AC5"/>
    <w:rsid w:val="47337560"/>
    <w:rsid w:val="475B51F1"/>
    <w:rsid w:val="47830B4B"/>
    <w:rsid w:val="47871511"/>
    <w:rsid w:val="47885A12"/>
    <w:rsid w:val="478D749A"/>
    <w:rsid w:val="47A011CC"/>
    <w:rsid w:val="47C40CA6"/>
    <w:rsid w:val="47C50532"/>
    <w:rsid w:val="47CB7D13"/>
    <w:rsid w:val="47DA415B"/>
    <w:rsid w:val="47FD7AD2"/>
    <w:rsid w:val="480E61CB"/>
    <w:rsid w:val="482359DE"/>
    <w:rsid w:val="483C3602"/>
    <w:rsid w:val="48465A31"/>
    <w:rsid w:val="48936F53"/>
    <w:rsid w:val="48B37F58"/>
    <w:rsid w:val="48B97830"/>
    <w:rsid w:val="48C0670F"/>
    <w:rsid w:val="48D80FBC"/>
    <w:rsid w:val="48F60BD0"/>
    <w:rsid w:val="48F64C6A"/>
    <w:rsid w:val="48FB5378"/>
    <w:rsid w:val="49764DD6"/>
    <w:rsid w:val="4984288D"/>
    <w:rsid w:val="499E1BBC"/>
    <w:rsid w:val="4A0A3874"/>
    <w:rsid w:val="4A1678AC"/>
    <w:rsid w:val="4A2D3261"/>
    <w:rsid w:val="4A334325"/>
    <w:rsid w:val="4A3A02D2"/>
    <w:rsid w:val="4A4F5B60"/>
    <w:rsid w:val="4A787850"/>
    <w:rsid w:val="4A792172"/>
    <w:rsid w:val="4AA55185"/>
    <w:rsid w:val="4AD97F11"/>
    <w:rsid w:val="4B132D13"/>
    <w:rsid w:val="4B277305"/>
    <w:rsid w:val="4B2803B5"/>
    <w:rsid w:val="4B5E6038"/>
    <w:rsid w:val="4B755F7E"/>
    <w:rsid w:val="4B7D2E41"/>
    <w:rsid w:val="4BAE4CD6"/>
    <w:rsid w:val="4BFB1BA6"/>
    <w:rsid w:val="4C0845B6"/>
    <w:rsid w:val="4C0F41DA"/>
    <w:rsid w:val="4C114204"/>
    <w:rsid w:val="4C1E13C1"/>
    <w:rsid w:val="4C1E6850"/>
    <w:rsid w:val="4C4909E5"/>
    <w:rsid w:val="4C4C4999"/>
    <w:rsid w:val="4C4F1FFE"/>
    <w:rsid w:val="4C766361"/>
    <w:rsid w:val="4C8F72B7"/>
    <w:rsid w:val="4C9F6539"/>
    <w:rsid w:val="4CA8358A"/>
    <w:rsid w:val="4CE153BF"/>
    <w:rsid w:val="4D3D00CF"/>
    <w:rsid w:val="4D3F3E9D"/>
    <w:rsid w:val="4D411C05"/>
    <w:rsid w:val="4D48650A"/>
    <w:rsid w:val="4D4F63E4"/>
    <w:rsid w:val="4D610A35"/>
    <w:rsid w:val="4D7403E3"/>
    <w:rsid w:val="4DD372C0"/>
    <w:rsid w:val="4DDE71D8"/>
    <w:rsid w:val="4E4448BA"/>
    <w:rsid w:val="4E550268"/>
    <w:rsid w:val="4E733F6C"/>
    <w:rsid w:val="4E81141E"/>
    <w:rsid w:val="4EB04AB9"/>
    <w:rsid w:val="4F0C09D2"/>
    <w:rsid w:val="4F255622"/>
    <w:rsid w:val="4F351917"/>
    <w:rsid w:val="4F352E2C"/>
    <w:rsid w:val="4F3C7105"/>
    <w:rsid w:val="4F514149"/>
    <w:rsid w:val="4F561A0F"/>
    <w:rsid w:val="4F7A77E4"/>
    <w:rsid w:val="4F8B3AC5"/>
    <w:rsid w:val="4F920AEB"/>
    <w:rsid w:val="4FD118CC"/>
    <w:rsid w:val="4FE87B68"/>
    <w:rsid w:val="4FFE4760"/>
    <w:rsid w:val="500E5383"/>
    <w:rsid w:val="50186220"/>
    <w:rsid w:val="502B2586"/>
    <w:rsid w:val="50463DF8"/>
    <w:rsid w:val="50513A86"/>
    <w:rsid w:val="506A1171"/>
    <w:rsid w:val="5076499C"/>
    <w:rsid w:val="5081163F"/>
    <w:rsid w:val="50AE1AB6"/>
    <w:rsid w:val="5118523A"/>
    <w:rsid w:val="511E2E99"/>
    <w:rsid w:val="514D2CBF"/>
    <w:rsid w:val="515106D2"/>
    <w:rsid w:val="51565E2B"/>
    <w:rsid w:val="515E2C20"/>
    <w:rsid w:val="519F1BA1"/>
    <w:rsid w:val="51CB3C7C"/>
    <w:rsid w:val="51ED2F8D"/>
    <w:rsid w:val="52556AC5"/>
    <w:rsid w:val="525D6B96"/>
    <w:rsid w:val="52774B7C"/>
    <w:rsid w:val="52794531"/>
    <w:rsid w:val="527D35FB"/>
    <w:rsid w:val="528C0004"/>
    <w:rsid w:val="52BE3D01"/>
    <w:rsid w:val="52C92150"/>
    <w:rsid w:val="52CC06D2"/>
    <w:rsid w:val="52D46D6F"/>
    <w:rsid w:val="52E62A4F"/>
    <w:rsid w:val="52FC5724"/>
    <w:rsid w:val="530A02A8"/>
    <w:rsid w:val="532222CC"/>
    <w:rsid w:val="53350789"/>
    <w:rsid w:val="53502A1F"/>
    <w:rsid w:val="535A76B2"/>
    <w:rsid w:val="53DB5305"/>
    <w:rsid w:val="53F67A36"/>
    <w:rsid w:val="53FD2C68"/>
    <w:rsid w:val="5405567C"/>
    <w:rsid w:val="540E363B"/>
    <w:rsid w:val="541017B8"/>
    <w:rsid w:val="54104D2F"/>
    <w:rsid w:val="542520DB"/>
    <w:rsid w:val="543408EA"/>
    <w:rsid w:val="54360AA3"/>
    <w:rsid w:val="545F5AE5"/>
    <w:rsid w:val="54653E12"/>
    <w:rsid w:val="548B1133"/>
    <w:rsid w:val="54AD1FB5"/>
    <w:rsid w:val="54B5466D"/>
    <w:rsid w:val="54D032AB"/>
    <w:rsid w:val="551E3A64"/>
    <w:rsid w:val="55363464"/>
    <w:rsid w:val="553F5848"/>
    <w:rsid w:val="554C0368"/>
    <w:rsid w:val="555264F4"/>
    <w:rsid w:val="55652C8E"/>
    <w:rsid w:val="55A03E82"/>
    <w:rsid w:val="55A809A1"/>
    <w:rsid w:val="55C4534F"/>
    <w:rsid w:val="55CB6711"/>
    <w:rsid w:val="55EB50A4"/>
    <w:rsid w:val="560A3A68"/>
    <w:rsid w:val="563710EB"/>
    <w:rsid w:val="56624ACC"/>
    <w:rsid w:val="56840836"/>
    <w:rsid w:val="56865887"/>
    <w:rsid w:val="568C01B7"/>
    <w:rsid w:val="56901C51"/>
    <w:rsid w:val="569D0DCC"/>
    <w:rsid w:val="56A8096B"/>
    <w:rsid w:val="56BC7C6C"/>
    <w:rsid w:val="56DA043F"/>
    <w:rsid w:val="571F7EF7"/>
    <w:rsid w:val="57230310"/>
    <w:rsid w:val="572A4EA3"/>
    <w:rsid w:val="575172E0"/>
    <w:rsid w:val="57545DC5"/>
    <w:rsid w:val="57577AD5"/>
    <w:rsid w:val="575F4A59"/>
    <w:rsid w:val="576659B5"/>
    <w:rsid w:val="57806500"/>
    <w:rsid w:val="57A51846"/>
    <w:rsid w:val="57AB529C"/>
    <w:rsid w:val="57C64DE2"/>
    <w:rsid w:val="57DF7F4C"/>
    <w:rsid w:val="57E37282"/>
    <w:rsid w:val="57EC4B23"/>
    <w:rsid w:val="57FF18CB"/>
    <w:rsid w:val="58051D40"/>
    <w:rsid w:val="5850068C"/>
    <w:rsid w:val="587C02EA"/>
    <w:rsid w:val="58893A41"/>
    <w:rsid w:val="58BA5A0E"/>
    <w:rsid w:val="591B13C4"/>
    <w:rsid w:val="59235B3B"/>
    <w:rsid w:val="59480479"/>
    <w:rsid w:val="594836CE"/>
    <w:rsid w:val="594A02C7"/>
    <w:rsid w:val="594B7336"/>
    <w:rsid w:val="59553CAE"/>
    <w:rsid w:val="599D3AAD"/>
    <w:rsid w:val="599F05BB"/>
    <w:rsid w:val="59A10137"/>
    <w:rsid w:val="59B01750"/>
    <w:rsid w:val="59B80BA0"/>
    <w:rsid w:val="59DC552C"/>
    <w:rsid w:val="5A1F0F0E"/>
    <w:rsid w:val="5A2C2DD5"/>
    <w:rsid w:val="5A3163C2"/>
    <w:rsid w:val="5A342810"/>
    <w:rsid w:val="5A4E758D"/>
    <w:rsid w:val="5A756166"/>
    <w:rsid w:val="5A881517"/>
    <w:rsid w:val="5A9E0EC6"/>
    <w:rsid w:val="5B050933"/>
    <w:rsid w:val="5B262A98"/>
    <w:rsid w:val="5B2C60D8"/>
    <w:rsid w:val="5B377022"/>
    <w:rsid w:val="5B3E5694"/>
    <w:rsid w:val="5B4B79DB"/>
    <w:rsid w:val="5B656688"/>
    <w:rsid w:val="5B7B3A10"/>
    <w:rsid w:val="5BE71CF0"/>
    <w:rsid w:val="5C013F85"/>
    <w:rsid w:val="5C2238C0"/>
    <w:rsid w:val="5C3346AB"/>
    <w:rsid w:val="5C63289E"/>
    <w:rsid w:val="5C791985"/>
    <w:rsid w:val="5C9107A7"/>
    <w:rsid w:val="5C940865"/>
    <w:rsid w:val="5CA476C0"/>
    <w:rsid w:val="5CB772A9"/>
    <w:rsid w:val="5CC62410"/>
    <w:rsid w:val="5CCB1AAD"/>
    <w:rsid w:val="5D02103F"/>
    <w:rsid w:val="5D1B0422"/>
    <w:rsid w:val="5D1E7EC0"/>
    <w:rsid w:val="5D285165"/>
    <w:rsid w:val="5D33152C"/>
    <w:rsid w:val="5D986125"/>
    <w:rsid w:val="5DB214CB"/>
    <w:rsid w:val="5DBC4CFE"/>
    <w:rsid w:val="5DCB62F8"/>
    <w:rsid w:val="5DD217E0"/>
    <w:rsid w:val="5DF65C2E"/>
    <w:rsid w:val="5DF86317"/>
    <w:rsid w:val="5E236CBB"/>
    <w:rsid w:val="5E623F0B"/>
    <w:rsid w:val="5E7757C3"/>
    <w:rsid w:val="5E830CB0"/>
    <w:rsid w:val="5E960B78"/>
    <w:rsid w:val="5EA457B5"/>
    <w:rsid w:val="5EB7212B"/>
    <w:rsid w:val="5EC33AA3"/>
    <w:rsid w:val="5EE82B78"/>
    <w:rsid w:val="5EEE7D6D"/>
    <w:rsid w:val="5F067498"/>
    <w:rsid w:val="5F3B4B0F"/>
    <w:rsid w:val="5F614E7E"/>
    <w:rsid w:val="5F7A680B"/>
    <w:rsid w:val="5F997635"/>
    <w:rsid w:val="5FA0026D"/>
    <w:rsid w:val="5FDC79B7"/>
    <w:rsid w:val="60014AA2"/>
    <w:rsid w:val="602A7354"/>
    <w:rsid w:val="60385161"/>
    <w:rsid w:val="60431C30"/>
    <w:rsid w:val="6044714E"/>
    <w:rsid w:val="605D06F1"/>
    <w:rsid w:val="605F4EB8"/>
    <w:rsid w:val="609263A8"/>
    <w:rsid w:val="60994ED7"/>
    <w:rsid w:val="60CA2A92"/>
    <w:rsid w:val="60E646A8"/>
    <w:rsid w:val="60FF59D4"/>
    <w:rsid w:val="611952DB"/>
    <w:rsid w:val="6158201E"/>
    <w:rsid w:val="616217C7"/>
    <w:rsid w:val="617B78AF"/>
    <w:rsid w:val="61B049C1"/>
    <w:rsid w:val="61B5606A"/>
    <w:rsid w:val="61B65D36"/>
    <w:rsid w:val="61CD1D0B"/>
    <w:rsid w:val="62095490"/>
    <w:rsid w:val="621778AA"/>
    <w:rsid w:val="62246C46"/>
    <w:rsid w:val="62335B9D"/>
    <w:rsid w:val="625F3816"/>
    <w:rsid w:val="6282453B"/>
    <w:rsid w:val="629B6030"/>
    <w:rsid w:val="62BF030C"/>
    <w:rsid w:val="62C20C32"/>
    <w:rsid w:val="62C80751"/>
    <w:rsid w:val="62DF3224"/>
    <w:rsid w:val="62EF77AA"/>
    <w:rsid w:val="62F55D66"/>
    <w:rsid w:val="63086F80"/>
    <w:rsid w:val="631237AD"/>
    <w:rsid w:val="6329592F"/>
    <w:rsid w:val="632B3A1C"/>
    <w:rsid w:val="63374B22"/>
    <w:rsid w:val="633A7219"/>
    <w:rsid w:val="633B2BBC"/>
    <w:rsid w:val="633F614F"/>
    <w:rsid w:val="634C5F87"/>
    <w:rsid w:val="636C5E4B"/>
    <w:rsid w:val="63BE49E4"/>
    <w:rsid w:val="63CF77B6"/>
    <w:rsid w:val="63D65395"/>
    <w:rsid w:val="63DF3D15"/>
    <w:rsid w:val="63EB4E6C"/>
    <w:rsid w:val="63EF54DB"/>
    <w:rsid w:val="64195234"/>
    <w:rsid w:val="64422C22"/>
    <w:rsid w:val="6446769A"/>
    <w:rsid w:val="646218C3"/>
    <w:rsid w:val="649213C0"/>
    <w:rsid w:val="64AC6E23"/>
    <w:rsid w:val="64F90D6E"/>
    <w:rsid w:val="64FA7E5C"/>
    <w:rsid w:val="64FE2361"/>
    <w:rsid w:val="651357FC"/>
    <w:rsid w:val="651A2E0F"/>
    <w:rsid w:val="653C35AD"/>
    <w:rsid w:val="65400620"/>
    <w:rsid w:val="654D52FF"/>
    <w:rsid w:val="654E554B"/>
    <w:rsid w:val="65580A74"/>
    <w:rsid w:val="65585F43"/>
    <w:rsid w:val="655A23F7"/>
    <w:rsid w:val="65AE7B29"/>
    <w:rsid w:val="65B37C40"/>
    <w:rsid w:val="65CD41B3"/>
    <w:rsid w:val="65CE3487"/>
    <w:rsid w:val="65CE4D94"/>
    <w:rsid w:val="65D5502F"/>
    <w:rsid w:val="66070023"/>
    <w:rsid w:val="66213670"/>
    <w:rsid w:val="664F3275"/>
    <w:rsid w:val="66576D58"/>
    <w:rsid w:val="668E0591"/>
    <w:rsid w:val="669C3DA0"/>
    <w:rsid w:val="66A903E6"/>
    <w:rsid w:val="66B110FC"/>
    <w:rsid w:val="66D2172B"/>
    <w:rsid w:val="66F8387F"/>
    <w:rsid w:val="671D73E0"/>
    <w:rsid w:val="671E5912"/>
    <w:rsid w:val="67224023"/>
    <w:rsid w:val="67365E7B"/>
    <w:rsid w:val="674366ED"/>
    <w:rsid w:val="67545EA1"/>
    <w:rsid w:val="676E77B5"/>
    <w:rsid w:val="677664E5"/>
    <w:rsid w:val="67830FC9"/>
    <w:rsid w:val="67D46ADA"/>
    <w:rsid w:val="67E73A37"/>
    <w:rsid w:val="67E830D7"/>
    <w:rsid w:val="67F851C6"/>
    <w:rsid w:val="68030A29"/>
    <w:rsid w:val="683A2AF6"/>
    <w:rsid w:val="684709F3"/>
    <w:rsid w:val="6874351A"/>
    <w:rsid w:val="689200D6"/>
    <w:rsid w:val="68A43AB6"/>
    <w:rsid w:val="68A514DB"/>
    <w:rsid w:val="68A83B28"/>
    <w:rsid w:val="68EB49B4"/>
    <w:rsid w:val="69364D7A"/>
    <w:rsid w:val="6945787B"/>
    <w:rsid w:val="69835A68"/>
    <w:rsid w:val="69D6017A"/>
    <w:rsid w:val="69D6762A"/>
    <w:rsid w:val="69F224BE"/>
    <w:rsid w:val="6A300E0A"/>
    <w:rsid w:val="6A3778D5"/>
    <w:rsid w:val="6A434F4F"/>
    <w:rsid w:val="6A514DF5"/>
    <w:rsid w:val="6A677B48"/>
    <w:rsid w:val="6A9A2728"/>
    <w:rsid w:val="6AA32ECA"/>
    <w:rsid w:val="6ADE18A0"/>
    <w:rsid w:val="6ADE2A34"/>
    <w:rsid w:val="6AE72931"/>
    <w:rsid w:val="6AE77340"/>
    <w:rsid w:val="6B173FF3"/>
    <w:rsid w:val="6B4D6102"/>
    <w:rsid w:val="6B710847"/>
    <w:rsid w:val="6B792AE2"/>
    <w:rsid w:val="6BBA3F42"/>
    <w:rsid w:val="6BC6744C"/>
    <w:rsid w:val="6BDC2511"/>
    <w:rsid w:val="6BE21A3F"/>
    <w:rsid w:val="6BE846A9"/>
    <w:rsid w:val="6BF40C05"/>
    <w:rsid w:val="6C0355F5"/>
    <w:rsid w:val="6C0E57E8"/>
    <w:rsid w:val="6C291939"/>
    <w:rsid w:val="6C320ADA"/>
    <w:rsid w:val="6C344A33"/>
    <w:rsid w:val="6C3B12D7"/>
    <w:rsid w:val="6C410EE0"/>
    <w:rsid w:val="6C485771"/>
    <w:rsid w:val="6C804DD0"/>
    <w:rsid w:val="6C900B5E"/>
    <w:rsid w:val="6CC14A04"/>
    <w:rsid w:val="6CCA5C27"/>
    <w:rsid w:val="6CDA6C90"/>
    <w:rsid w:val="6CF23A56"/>
    <w:rsid w:val="6D1417C4"/>
    <w:rsid w:val="6D15602F"/>
    <w:rsid w:val="6D4830DE"/>
    <w:rsid w:val="6D5E7DBF"/>
    <w:rsid w:val="6D600B5B"/>
    <w:rsid w:val="6D7A524A"/>
    <w:rsid w:val="6DB23928"/>
    <w:rsid w:val="6DEE7FB1"/>
    <w:rsid w:val="6DFE140B"/>
    <w:rsid w:val="6E052C3C"/>
    <w:rsid w:val="6E105FE5"/>
    <w:rsid w:val="6E193E46"/>
    <w:rsid w:val="6E295C2E"/>
    <w:rsid w:val="6E5B18FE"/>
    <w:rsid w:val="6E5E44FA"/>
    <w:rsid w:val="6E75497C"/>
    <w:rsid w:val="6E89264A"/>
    <w:rsid w:val="6EA5535F"/>
    <w:rsid w:val="6EA86A33"/>
    <w:rsid w:val="6EB80B95"/>
    <w:rsid w:val="6EC41033"/>
    <w:rsid w:val="6ED0642D"/>
    <w:rsid w:val="6EEE6826"/>
    <w:rsid w:val="6EFD7CF9"/>
    <w:rsid w:val="6F4A177C"/>
    <w:rsid w:val="6F5C4B01"/>
    <w:rsid w:val="6F63405E"/>
    <w:rsid w:val="6F69392C"/>
    <w:rsid w:val="6F750C12"/>
    <w:rsid w:val="6F9A3677"/>
    <w:rsid w:val="6FA47548"/>
    <w:rsid w:val="6FB036A5"/>
    <w:rsid w:val="6FE51C0D"/>
    <w:rsid w:val="70016D73"/>
    <w:rsid w:val="700A2258"/>
    <w:rsid w:val="702252BA"/>
    <w:rsid w:val="703A2959"/>
    <w:rsid w:val="703D3DD2"/>
    <w:rsid w:val="70416658"/>
    <w:rsid w:val="704326EA"/>
    <w:rsid w:val="70802C75"/>
    <w:rsid w:val="70886842"/>
    <w:rsid w:val="708D020C"/>
    <w:rsid w:val="70F20264"/>
    <w:rsid w:val="710A615F"/>
    <w:rsid w:val="710B0C05"/>
    <w:rsid w:val="711F2CF1"/>
    <w:rsid w:val="71685F4C"/>
    <w:rsid w:val="716B389D"/>
    <w:rsid w:val="7182591B"/>
    <w:rsid w:val="71A314BA"/>
    <w:rsid w:val="71B263B5"/>
    <w:rsid w:val="71C12386"/>
    <w:rsid w:val="71D5746C"/>
    <w:rsid w:val="71F15A27"/>
    <w:rsid w:val="7212226F"/>
    <w:rsid w:val="722C7AC9"/>
    <w:rsid w:val="724210FC"/>
    <w:rsid w:val="72AA23E7"/>
    <w:rsid w:val="72B62559"/>
    <w:rsid w:val="72C144AC"/>
    <w:rsid w:val="72CB5D99"/>
    <w:rsid w:val="72D0793C"/>
    <w:rsid w:val="72E64666"/>
    <w:rsid w:val="72F049B0"/>
    <w:rsid w:val="72F22EB4"/>
    <w:rsid w:val="72FA7F48"/>
    <w:rsid w:val="730505A2"/>
    <w:rsid w:val="73090E7C"/>
    <w:rsid w:val="733236B9"/>
    <w:rsid w:val="733A3710"/>
    <w:rsid w:val="73497124"/>
    <w:rsid w:val="738A07D7"/>
    <w:rsid w:val="73AB30D7"/>
    <w:rsid w:val="73AB41C0"/>
    <w:rsid w:val="73B83FB5"/>
    <w:rsid w:val="73F52FDC"/>
    <w:rsid w:val="741232FD"/>
    <w:rsid w:val="74215CA9"/>
    <w:rsid w:val="742E4823"/>
    <w:rsid w:val="746A6527"/>
    <w:rsid w:val="74784E01"/>
    <w:rsid w:val="7489370C"/>
    <w:rsid w:val="748A4F84"/>
    <w:rsid w:val="749502C9"/>
    <w:rsid w:val="749518AC"/>
    <w:rsid w:val="74AF4848"/>
    <w:rsid w:val="74C83B86"/>
    <w:rsid w:val="74E806E2"/>
    <w:rsid w:val="74E853E3"/>
    <w:rsid w:val="74FA536C"/>
    <w:rsid w:val="74FC4F07"/>
    <w:rsid w:val="75223469"/>
    <w:rsid w:val="75233142"/>
    <w:rsid w:val="75444504"/>
    <w:rsid w:val="755622CD"/>
    <w:rsid w:val="75A10475"/>
    <w:rsid w:val="75C319EA"/>
    <w:rsid w:val="75C66965"/>
    <w:rsid w:val="75DF33D3"/>
    <w:rsid w:val="75EB4C79"/>
    <w:rsid w:val="75F12617"/>
    <w:rsid w:val="76021A64"/>
    <w:rsid w:val="76111325"/>
    <w:rsid w:val="7629646E"/>
    <w:rsid w:val="762C70CC"/>
    <w:rsid w:val="76306813"/>
    <w:rsid w:val="76375D07"/>
    <w:rsid w:val="76AE3482"/>
    <w:rsid w:val="76B627D6"/>
    <w:rsid w:val="76CB547C"/>
    <w:rsid w:val="76DA26A5"/>
    <w:rsid w:val="7712656B"/>
    <w:rsid w:val="77261CCC"/>
    <w:rsid w:val="7737366D"/>
    <w:rsid w:val="77636E3F"/>
    <w:rsid w:val="7767182A"/>
    <w:rsid w:val="77714EB0"/>
    <w:rsid w:val="7776531A"/>
    <w:rsid w:val="778F2E52"/>
    <w:rsid w:val="77B133F9"/>
    <w:rsid w:val="77B2383E"/>
    <w:rsid w:val="77CE47CB"/>
    <w:rsid w:val="77D82358"/>
    <w:rsid w:val="77DD37EF"/>
    <w:rsid w:val="78065B92"/>
    <w:rsid w:val="78073E8A"/>
    <w:rsid w:val="78146269"/>
    <w:rsid w:val="78282F24"/>
    <w:rsid w:val="78543D6A"/>
    <w:rsid w:val="787F4A54"/>
    <w:rsid w:val="78904148"/>
    <w:rsid w:val="78997D0D"/>
    <w:rsid w:val="78A87221"/>
    <w:rsid w:val="78B561C9"/>
    <w:rsid w:val="78F3414F"/>
    <w:rsid w:val="79373E59"/>
    <w:rsid w:val="79385568"/>
    <w:rsid w:val="793A7669"/>
    <w:rsid w:val="79450CE0"/>
    <w:rsid w:val="79457A7A"/>
    <w:rsid w:val="79691EB6"/>
    <w:rsid w:val="796A0E04"/>
    <w:rsid w:val="79CA6BA3"/>
    <w:rsid w:val="79D62BC8"/>
    <w:rsid w:val="79E01D98"/>
    <w:rsid w:val="79F703CB"/>
    <w:rsid w:val="79FE1E8B"/>
    <w:rsid w:val="7A071C28"/>
    <w:rsid w:val="7A1E36C0"/>
    <w:rsid w:val="7A2617E5"/>
    <w:rsid w:val="7A3F4CA9"/>
    <w:rsid w:val="7A4E782E"/>
    <w:rsid w:val="7A7C107D"/>
    <w:rsid w:val="7A8703DE"/>
    <w:rsid w:val="7A87760E"/>
    <w:rsid w:val="7AA12BF1"/>
    <w:rsid w:val="7AA95838"/>
    <w:rsid w:val="7AC64171"/>
    <w:rsid w:val="7AF8055B"/>
    <w:rsid w:val="7AFA2C54"/>
    <w:rsid w:val="7B200590"/>
    <w:rsid w:val="7B245610"/>
    <w:rsid w:val="7B303483"/>
    <w:rsid w:val="7B4000AD"/>
    <w:rsid w:val="7B4A20AB"/>
    <w:rsid w:val="7B4C2A82"/>
    <w:rsid w:val="7B5B2B58"/>
    <w:rsid w:val="7B777AE4"/>
    <w:rsid w:val="7B821E85"/>
    <w:rsid w:val="7B944422"/>
    <w:rsid w:val="7BA2769E"/>
    <w:rsid w:val="7BB56DEA"/>
    <w:rsid w:val="7BC66EFA"/>
    <w:rsid w:val="7BD378B3"/>
    <w:rsid w:val="7BF76842"/>
    <w:rsid w:val="7C2A7D29"/>
    <w:rsid w:val="7C581C4A"/>
    <w:rsid w:val="7C666198"/>
    <w:rsid w:val="7C6C26D6"/>
    <w:rsid w:val="7C8E493A"/>
    <w:rsid w:val="7CA57537"/>
    <w:rsid w:val="7CAB06C6"/>
    <w:rsid w:val="7CB84437"/>
    <w:rsid w:val="7CC16F43"/>
    <w:rsid w:val="7D0140A4"/>
    <w:rsid w:val="7D232057"/>
    <w:rsid w:val="7D24527E"/>
    <w:rsid w:val="7D37074D"/>
    <w:rsid w:val="7D5440B7"/>
    <w:rsid w:val="7D565212"/>
    <w:rsid w:val="7D590467"/>
    <w:rsid w:val="7D5F2597"/>
    <w:rsid w:val="7D661DF0"/>
    <w:rsid w:val="7D8C4424"/>
    <w:rsid w:val="7D971900"/>
    <w:rsid w:val="7DBC366F"/>
    <w:rsid w:val="7DEB0564"/>
    <w:rsid w:val="7DED424C"/>
    <w:rsid w:val="7E023FE8"/>
    <w:rsid w:val="7E1D43B1"/>
    <w:rsid w:val="7E27153B"/>
    <w:rsid w:val="7E282314"/>
    <w:rsid w:val="7E295E62"/>
    <w:rsid w:val="7E3706AB"/>
    <w:rsid w:val="7E5B0387"/>
    <w:rsid w:val="7E5C0FDA"/>
    <w:rsid w:val="7E78724E"/>
    <w:rsid w:val="7E842AFA"/>
    <w:rsid w:val="7E9B3AE5"/>
    <w:rsid w:val="7EB00A27"/>
    <w:rsid w:val="7EF85A7C"/>
    <w:rsid w:val="7F080616"/>
    <w:rsid w:val="7F0F586F"/>
    <w:rsid w:val="7F3920E2"/>
    <w:rsid w:val="7F582FEC"/>
    <w:rsid w:val="7F7D3CA6"/>
    <w:rsid w:val="7FBE1205"/>
    <w:rsid w:val="7FED191B"/>
    <w:rsid w:val="7FFE1A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numPr>
        <w:ilvl w:val="0"/>
        <w:numId w:val="1"/>
      </w:numPr>
      <w:autoSpaceDE w:val="0"/>
      <w:autoSpaceDN w:val="0"/>
      <w:adjustRightInd w:val="0"/>
      <w:spacing w:line="312" w:lineRule="atLeast"/>
      <w:ind w:left="0" w:right="-113" w:firstLine="525"/>
      <w:jc w:val="left"/>
      <w:textAlignment w:val="bottom"/>
      <w:outlineLvl w:val="0"/>
    </w:pPr>
    <w:rPr>
      <w:rFonts w:ascii="仿宋体" w:eastAsia="仿宋体"/>
      <w:kern w:val="0"/>
      <w:sz w:val="28"/>
      <w:szCs w:val="20"/>
    </w:rPr>
  </w:style>
  <w:style w:type="paragraph" w:styleId="3">
    <w:name w:val="heading 2"/>
    <w:basedOn w:val="1"/>
    <w:next w:val="4"/>
    <w:link w:val="54"/>
    <w:qFormat/>
    <w:uiPriority w:val="0"/>
    <w:pPr>
      <w:autoSpaceDE w:val="0"/>
      <w:autoSpaceDN w:val="0"/>
      <w:adjustRightInd w:val="0"/>
      <w:spacing w:before="240" w:after="120" w:line="660" w:lineRule="atLeast"/>
      <w:ind w:firstLine="454"/>
      <w:jc w:val="center"/>
      <w:textAlignment w:val="baseline"/>
      <w:outlineLvl w:val="1"/>
    </w:pPr>
    <w:rPr>
      <w:rFonts w:ascii="宋体"/>
      <w:b/>
      <w:spacing w:val="-6"/>
      <w:kern w:val="0"/>
      <w:sz w:val="32"/>
      <w:szCs w:val="20"/>
    </w:rPr>
  </w:style>
  <w:style w:type="paragraph" w:styleId="5">
    <w:name w:val="heading 3"/>
    <w:basedOn w:val="1"/>
    <w:next w:val="4"/>
    <w:link w:val="55"/>
    <w:qFormat/>
    <w:uiPriority w:val="0"/>
    <w:pPr>
      <w:autoSpaceDE w:val="0"/>
      <w:autoSpaceDN w:val="0"/>
      <w:adjustRightInd w:val="0"/>
      <w:spacing w:before="120" w:line="220" w:lineRule="atLeast"/>
      <w:ind w:firstLine="454"/>
      <w:textAlignment w:val="baseline"/>
      <w:outlineLvl w:val="2"/>
    </w:pPr>
    <w:rPr>
      <w:b/>
      <w:bCs/>
      <w:spacing w:val="10"/>
      <w:kern w:val="0"/>
      <w:position w:val="6"/>
      <w:sz w:val="24"/>
    </w:rPr>
  </w:style>
  <w:style w:type="paragraph" w:styleId="6">
    <w:name w:val="heading 4"/>
    <w:basedOn w:val="1"/>
    <w:next w:val="4"/>
    <w:link w:val="56"/>
    <w:qFormat/>
    <w:uiPriority w:val="0"/>
    <w:pPr>
      <w:autoSpaceDE w:val="0"/>
      <w:autoSpaceDN w:val="0"/>
      <w:adjustRightInd w:val="0"/>
      <w:spacing w:before="240" w:after="240" w:line="380" w:lineRule="atLeast"/>
      <w:ind w:firstLine="454"/>
      <w:textAlignment w:val="baseline"/>
      <w:outlineLvl w:val="3"/>
    </w:pPr>
    <w:rPr>
      <w:rFonts w:ascii="黑体" w:eastAsia="黑体"/>
      <w:b/>
      <w:bCs/>
      <w:spacing w:val="-16"/>
      <w:kern w:val="0"/>
      <w:sz w:val="24"/>
    </w:rPr>
  </w:style>
  <w:style w:type="paragraph" w:styleId="7">
    <w:name w:val="heading 5"/>
    <w:basedOn w:val="1"/>
    <w:next w:val="4"/>
    <w:link w:val="57"/>
    <w:qFormat/>
    <w:uiPriority w:val="0"/>
    <w:pPr>
      <w:autoSpaceDE w:val="0"/>
      <w:autoSpaceDN w:val="0"/>
      <w:adjustRightInd w:val="0"/>
      <w:spacing w:before="200" w:after="200" w:line="380" w:lineRule="atLeast"/>
      <w:ind w:firstLine="454"/>
      <w:textAlignment w:val="baseline"/>
      <w:outlineLvl w:val="4"/>
    </w:pPr>
    <w:rPr>
      <w:rFonts w:ascii="仿宋_GB2312" w:eastAsia="仿宋_GB2312"/>
      <w:b/>
      <w:bCs/>
      <w:spacing w:val="-16"/>
      <w:kern w:val="0"/>
      <w:sz w:val="24"/>
    </w:rPr>
  </w:style>
  <w:style w:type="paragraph" w:styleId="8">
    <w:name w:val="heading 6"/>
    <w:basedOn w:val="1"/>
    <w:next w:val="4"/>
    <w:link w:val="58"/>
    <w:qFormat/>
    <w:uiPriority w:val="0"/>
    <w:pPr>
      <w:autoSpaceDE w:val="0"/>
      <w:autoSpaceDN w:val="0"/>
      <w:adjustRightInd w:val="0"/>
      <w:spacing w:before="200" w:after="200" w:line="380" w:lineRule="atLeast"/>
      <w:ind w:firstLine="454"/>
      <w:textAlignment w:val="baseline"/>
      <w:outlineLvl w:val="5"/>
    </w:pPr>
    <w:rPr>
      <w:rFonts w:ascii="黑体" w:eastAsia="黑体"/>
      <w:spacing w:val="-16"/>
      <w:kern w:val="0"/>
      <w:sz w:val="24"/>
    </w:rPr>
  </w:style>
  <w:style w:type="paragraph" w:styleId="9">
    <w:name w:val="heading 7"/>
    <w:basedOn w:val="1"/>
    <w:next w:val="4"/>
    <w:link w:val="59"/>
    <w:qFormat/>
    <w:uiPriority w:val="0"/>
    <w:pPr>
      <w:autoSpaceDE w:val="0"/>
      <w:autoSpaceDN w:val="0"/>
      <w:adjustRightInd w:val="0"/>
      <w:spacing w:before="200" w:after="200" w:line="380" w:lineRule="atLeast"/>
      <w:ind w:firstLine="454"/>
      <w:textAlignment w:val="baseline"/>
      <w:outlineLvl w:val="6"/>
    </w:pPr>
    <w:rPr>
      <w:rFonts w:ascii="仿宋_GB2312" w:eastAsia="仿宋_GB2312"/>
      <w:spacing w:val="-16"/>
      <w:kern w:val="0"/>
      <w:sz w:val="24"/>
    </w:rPr>
  </w:style>
  <w:style w:type="paragraph" w:styleId="10">
    <w:name w:val="heading 8"/>
    <w:basedOn w:val="1"/>
    <w:next w:val="4"/>
    <w:link w:val="60"/>
    <w:qFormat/>
    <w:uiPriority w:val="0"/>
    <w:pPr>
      <w:autoSpaceDE w:val="0"/>
      <w:autoSpaceDN w:val="0"/>
      <w:adjustRightInd w:val="0"/>
      <w:spacing w:before="200" w:after="200" w:line="380" w:lineRule="atLeast"/>
      <w:ind w:firstLine="454"/>
      <w:textAlignment w:val="baseline"/>
      <w:outlineLvl w:val="7"/>
    </w:pPr>
    <w:rPr>
      <w:rFonts w:ascii="黑体" w:eastAsia="黑体"/>
      <w:spacing w:val="-16"/>
      <w:kern w:val="0"/>
      <w:sz w:val="24"/>
    </w:rPr>
  </w:style>
  <w:style w:type="paragraph" w:styleId="11">
    <w:name w:val="heading 9"/>
    <w:basedOn w:val="1"/>
    <w:next w:val="4"/>
    <w:link w:val="61"/>
    <w:qFormat/>
    <w:uiPriority w:val="0"/>
    <w:pPr>
      <w:autoSpaceDE w:val="0"/>
      <w:autoSpaceDN w:val="0"/>
      <w:adjustRightInd w:val="0"/>
      <w:spacing w:before="200" w:after="200" w:line="380" w:lineRule="atLeast"/>
      <w:ind w:firstLine="454"/>
      <w:textAlignment w:val="baseline"/>
      <w:outlineLvl w:val="8"/>
    </w:pPr>
    <w:rPr>
      <w:rFonts w:ascii="黑体" w:eastAsia="黑体"/>
      <w:spacing w:val="-16"/>
      <w:kern w:val="0"/>
      <w:sz w:val="24"/>
    </w:rPr>
  </w:style>
  <w:style w:type="character" w:default="1" w:styleId="44">
    <w:name w:val="Default Paragraph Font"/>
    <w:semiHidden/>
    <w:unhideWhenUsed/>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12">
    <w:name w:val="toc 7"/>
    <w:basedOn w:val="1"/>
    <w:next w:val="1"/>
    <w:qFormat/>
    <w:uiPriority w:val="0"/>
    <w:pPr>
      <w:ind w:left="1260"/>
      <w:jc w:val="left"/>
    </w:pPr>
    <w:rPr>
      <w:rFonts w:ascii="Calibri" w:hAnsi="Calibri"/>
      <w:sz w:val="18"/>
      <w:szCs w:val="18"/>
    </w:rPr>
  </w:style>
  <w:style w:type="paragraph" w:styleId="13">
    <w:name w:val="table of authorities"/>
    <w:basedOn w:val="1"/>
    <w:next w:val="1"/>
    <w:semiHidden/>
    <w:qFormat/>
    <w:uiPriority w:val="0"/>
    <w:pPr>
      <w:ind w:left="420" w:leftChars="200"/>
    </w:p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66"/>
    <w:qFormat/>
    <w:uiPriority w:val="0"/>
    <w:pPr>
      <w:shd w:val="clear" w:color="auto" w:fill="000080"/>
      <w:autoSpaceDE w:val="0"/>
      <w:autoSpaceDN w:val="0"/>
      <w:adjustRightInd w:val="0"/>
      <w:spacing w:line="400" w:lineRule="atLeast"/>
      <w:ind w:firstLine="454"/>
      <w:textAlignment w:val="baseline"/>
    </w:pPr>
    <w:rPr>
      <w:rFonts w:ascii="仿宋_GB2312" w:eastAsia="仿宋_GB2312"/>
      <w:spacing w:val="-12"/>
      <w:kern w:val="0"/>
      <w:sz w:val="24"/>
    </w:rPr>
  </w:style>
  <w:style w:type="paragraph" w:styleId="16">
    <w:name w:val="annotation text"/>
    <w:basedOn w:val="1"/>
    <w:link w:val="62"/>
    <w:semiHidden/>
    <w:unhideWhenUsed/>
    <w:qFormat/>
    <w:uiPriority w:val="0"/>
    <w:pPr>
      <w:jc w:val="left"/>
    </w:pPr>
  </w:style>
  <w:style w:type="paragraph" w:styleId="17">
    <w:name w:val="Body Text"/>
    <w:basedOn w:val="1"/>
    <w:link w:val="64"/>
    <w:unhideWhenUsed/>
    <w:qFormat/>
    <w:uiPriority w:val="0"/>
    <w:pPr>
      <w:spacing w:after="120"/>
    </w:pPr>
  </w:style>
  <w:style w:type="paragraph" w:styleId="18">
    <w:name w:val="Body Text Indent"/>
    <w:basedOn w:val="1"/>
    <w:link w:val="78"/>
    <w:qFormat/>
    <w:uiPriority w:val="99"/>
    <w:pPr>
      <w:spacing w:line="360" w:lineRule="auto"/>
      <w:ind w:right="-334" w:rightChars="-159" w:firstLine="540" w:firstLineChars="225"/>
      <w:jc w:val="left"/>
    </w:pPr>
    <w:rPr>
      <w:rFonts w:ascii="宋体" w:hAnsi="宋体"/>
      <w:sz w:val="24"/>
    </w:rPr>
  </w:style>
  <w:style w:type="paragraph" w:styleId="19">
    <w:name w:val="List 2"/>
    <w:basedOn w:val="1"/>
    <w:qFormat/>
    <w:uiPriority w:val="0"/>
    <w:pPr>
      <w:autoSpaceDE w:val="0"/>
      <w:autoSpaceDN w:val="0"/>
      <w:adjustRightInd w:val="0"/>
      <w:spacing w:line="400" w:lineRule="atLeast"/>
      <w:ind w:left="840" w:hanging="420"/>
      <w:textAlignment w:val="baseline"/>
    </w:pPr>
    <w:rPr>
      <w:rFonts w:ascii="宋体"/>
      <w:spacing w:val="-6"/>
      <w:kern w:val="0"/>
      <w:sz w:val="24"/>
      <w:szCs w:val="20"/>
    </w:rPr>
  </w:style>
  <w:style w:type="paragraph" w:styleId="20">
    <w:name w:val="Block Text"/>
    <w:basedOn w:val="1"/>
    <w:qFormat/>
    <w:uiPriority w:val="0"/>
    <w:pPr>
      <w:spacing w:line="360" w:lineRule="auto"/>
      <w:ind w:left="178" w:leftChars="85" w:right="-334" w:rightChars="-159" w:firstLine="540" w:firstLineChars="225"/>
      <w:jc w:val="left"/>
    </w:pPr>
    <w:rPr>
      <w:rFonts w:ascii="宋体" w:hAnsi="宋体"/>
      <w:sz w:val="24"/>
    </w:rPr>
  </w:style>
  <w:style w:type="paragraph" w:styleId="21">
    <w:name w:val="toc 5"/>
    <w:basedOn w:val="1"/>
    <w:next w:val="1"/>
    <w:qFormat/>
    <w:uiPriority w:val="0"/>
    <w:pPr>
      <w:ind w:left="840"/>
      <w:jc w:val="left"/>
    </w:pPr>
    <w:rPr>
      <w:rFonts w:ascii="Calibri" w:hAnsi="Calibri"/>
      <w:sz w:val="18"/>
      <w:szCs w:val="18"/>
    </w:rPr>
  </w:style>
  <w:style w:type="paragraph" w:styleId="22">
    <w:name w:val="toc 3"/>
    <w:basedOn w:val="1"/>
    <w:next w:val="1"/>
    <w:qFormat/>
    <w:uiPriority w:val="39"/>
    <w:pPr>
      <w:ind w:left="420"/>
      <w:jc w:val="left"/>
    </w:pPr>
    <w:rPr>
      <w:rFonts w:ascii="Calibri" w:hAnsi="Calibri"/>
      <w:i/>
      <w:iCs/>
      <w:sz w:val="20"/>
      <w:szCs w:val="20"/>
    </w:rPr>
  </w:style>
  <w:style w:type="paragraph" w:styleId="23">
    <w:name w:val="Plain Text"/>
    <w:basedOn w:val="1"/>
    <w:link w:val="68"/>
    <w:qFormat/>
    <w:uiPriority w:val="0"/>
    <w:rPr>
      <w:rFonts w:hint="eastAsia" w:ascii="宋体" w:hAnsi="Courier New"/>
      <w:szCs w:val="20"/>
    </w:rPr>
  </w:style>
  <w:style w:type="paragraph" w:styleId="24">
    <w:name w:val="toc 8"/>
    <w:basedOn w:val="1"/>
    <w:next w:val="1"/>
    <w:qFormat/>
    <w:uiPriority w:val="0"/>
    <w:pPr>
      <w:ind w:left="1470"/>
      <w:jc w:val="left"/>
    </w:pPr>
    <w:rPr>
      <w:rFonts w:ascii="Calibri" w:hAnsi="Calibri"/>
      <w:sz w:val="18"/>
      <w:szCs w:val="18"/>
    </w:rPr>
  </w:style>
  <w:style w:type="paragraph" w:styleId="25">
    <w:name w:val="Date"/>
    <w:basedOn w:val="1"/>
    <w:next w:val="1"/>
    <w:link w:val="69"/>
    <w:qFormat/>
    <w:uiPriority w:val="0"/>
    <w:pPr>
      <w:ind w:left="100" w:leftChars="2500"/>
    </w:pPr>
    <w:rPr>
      <w:rFonts w:ascii="宋体" w:hAnsi="宋体"/>
      <w:sz w:val="24"/>
    </w:rPr>
  </w:style>
  <w:style w:type="paragraph" w:styleId="26">
    <w:name w:val="Body Text Indent 2"/>
    <w:basedOn w:val="1"/>
    <w:link w:val="70"/>
    <w:qFormat/>
    <w:uiPriority w:val="99"/>
    <w:pPr>
      <w:spacing w:line="360" w:lineRule="auto"/>
      <w:ind w:firstLine="540" w:firstLineChars="225"/>
      <w:jc w:val="left"/>
    </w:pPr>
    <w:rPr>
      <w:rFonts w:ascii="宋体" w:hAnsi="宋体"/>
      <w:sz w:val="24"/>
    </w:rPr>
  </w:style>
  <w:style w:type="paragraph" w:styleId="27">
    <w:name w:val="Balloon Text"/>
    <w:basedOn w:val="1"/>
    <w:link w:val="71"/>
    <w:semiHidden/>
    <w:qFormat/>
    <w:uiPriority w:val="0"/>
    <w:rPr>
      <w:sz w:val="18"/>
      <w:szCs w:val="18"/>
    </w:rPr>
  </w:style>
  <w:style w:type="paragraph" w:styleId="28">
    <w:name w:val="footer"/>
    <w:basedOn w:val="1"/>
    <w:link w:val="52"/>
    <w:unhideWhenUsed/>
    <w:qFormat/>
    <w:uiPriority w:val="0"/>
    <w:pPr>
      <w:tabs>
        <w:tab w:val="center" w:pos="4153"/>
        <w:tab w:val="right" w:pos="8306"/>
      </w:tabs>
      <w:snapToGrid w:val="0"/>
      <w:jc w:val="left"/>
    </w:pPr>
    <w:rPr>
      <w:sz w:val="18"/>
      <w:szCs w:val="18"/>
    </w:rPr>
  </w:style>
  <w:style w:type="paragraph" w:styleId="29">
    <w:name w:val="header"/>
    <w:basedOn w:val="1"/>
    <w:link w:val="51"/>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right" w:leader="dot" w:pos="9373"/>
      </w:tabs>
      <w:spacing w:before="120" w:after="120"/>
      <w:ind w:firstLine="235" w:firstLineChars="98"/>
      <w:jc w:val="left"/>
    </w:pPr>
    <w:rPr>
      <w:rFonts w:ascii="楷体_GB2312" w:hAnsi="Calibri" w:eastAsia="楷体_GB2312"/>
      <w:bCs/>
      <w:caps/>
      <w:sz w:val="24"/>
    </w:rPr>
  </w:style>
  <w:style w:type="paragraph" w:styleId="31">
    <w:name w:val="toc 4"/>
    <w:basedOn w:val="1"/>
    <w:next w:val="1"/>
    <w:semiHidden/>
    <w:qFormat/>
    <w:uiPriority w:val="0"/>
    <w:pPr>
      <w:ind w:left="630"/>
      <w:jc w:val="left"/>
    </w:pPr>
    <w:rPr>
      <w:rFonts w:ascii="Calibri" w:hAnsi="Calibri"/>
      <w:sz w:val="18"/>
      <w:szCs w:val="18"/>
    </w:rPr>
  </w:style>
  <w:style w:type="paragraph" w:styleId="32">
    <w:name w:val="List"/>
    <w:basedOn w:val="1"/>
    <w:qFormat/>
    <w:uiPriority w:val="0"/>
    <w:pPr>
      <w:autoSpaceDE w:val="0"/>
      <w:autoSpaceDN w:val="0"/>
      <w:adjustRightInd w:val="0"/>
      <w:spacing w:line="400" w:lineRule="atLeast"/>
      <w:ind w:left="420" w:hanging="420"/>
      <w:textAlignment w:val="baseline"/>
    </w:pPr>
    <w:rPr>
      <w:rFonts w:ascii="宋体"/>
      <w:spacing w:val="-6"/>
      <w:kern w:val="0"/>
      <w:sz w:val="24"/>
      <w:szCs w:val="20"/>
    </w:rPr>
  </w:style>
  <w:style w:type="paragraph" w:styleId="33">
    <w:name w:val="footnote text"/>
    <w:basedOn w:val="1"/>
    <w:link w:val="72"/>
    <w:qFormat/>
    <w:uiPriority w:val="0"/>
    <w:pPr>
      <w:autoSpaceDE w:val="0"/>
      <w:autoSpaceDN w:val="0"/>
      <w:adjustRightInd w:val="0"/>
      <w:spacing w:line="380" w:lineRule="atLeast"/>
      <w:ind w:firstLine="454"/>
      <w:textAlignment w:val="baseline"/>
    </w:pPr>
    <w:rPr>
      <w:rFonts w:ascii="仿宋_GB2312" w:eastAsia="仿宋_GB2312"/>
      <w:spacing w:val="-16"/>
      <w:kern w:val="0"/>
      <w:sz w:val="18"/>
      <w:szCs w:val="18"/>
    </w:rPr>
  </w:style>
  <w:style w:type="paragraph" w:styleId="34">
    <w:name w:val="toc 6"/>
    <w:basedOn w:val="1"/>
    <w:next w:val="1"/>
    <w:qFormat/>
    <w:uiPriority w:val="0"/>
    <w:pPr>
      <w:ind w:left="1050"/>
      <w:jc w:val="left"/>
    </w:pPr>
    <w:rPr>
      <w:rFonts w:ascii="Calibri" w:hAnsi="Calibri"/>
      <w:sz w:val="18"/>
      <w:szCs w:val="18"/>
    </w:rPr>
  </w:style>
  <w:style w:type="paragraph" w:styleId="35">
    <w:name w:val="Body Text Indent 3"/>
    <w:basedOn w:val="1"/>
    <w:link w:val="73"/>
    <w:qFormat/>
    <w:uiPriority w:val="0"/>
    <w:pPr>
      <w:spacing w:line="480" w:lineRule="auto"/>
      <w:ind w:right="6" w:firstLine="482"/>
      <w:jc w:val="left"/>
    </w:pPr>
    <w:rPr>
      <w:rFonts w:ascii="幼圆" w:hAnsi="宋体" w:eastAsia="幼圆"/>
      <w:b/>
      <w:sz w:val="24"/>
    </w:rPr>
  </w:style>
  <w:style w:type="paragraph" w:styleId="36">
    <w:name w:val="toc 2"/>
    <w:basedOn w:val="1"/>
    <w:next w:val="1"/>
    <w:qFormat/>
    <w:uiPriority w:val="39"/>
    <w:pPr>
      <w:ind w:left="210"/>
      <w:jc w:val="left"/>
    </w:pPr>
    <w:rPr>
      <w:rFonts w:ascii="Calibri" w:hAnsi="Calibri"/>
      <w:smallCaps/>
      <w:sz w:val="20"/>
      <w:szCs w:val="20"/>
    </w:rPr>
  </w:style>
  <w:style w:type="paragraph" w:styleId="37">
    <w:name w:val="toc 9"/>
    <w:basedOn w:val="1"/>
    <w:next w:val="1"/>
    <w:qFormat/>
    <w:uiPriority w:val="0"/>
    <w:pPr>
      <w:ind w:left="1680"/>
      <w:jc w:val="left"/>
    </w:pPr>
    <w:rPr>
      <w:rFonts w:ascii="Calibri" w:hAnsi="Calibri"/>
      <w:sz w:val="18"/>
      <w:szCs w:val="18"/>
    </w:rPr>
  </w:style>
  <w:style w:type="paragraph" w:styleId="38">
    <w:name w:val="Body Text 2"/>
    <w:basedOn w:val="1"/>
    <w:link w:val="74"/>
    <w:qFormat/>
    <w:uiPriority w:val="0"/>
    <w:pPr>
      <w:spacing w:line="444" w:lineRule="auto"/>
    </w:pPr>
    <w:rPr>
      <w:rFonts w:ascii="仿宋_GB2312" w:eastAsia="仿宋_GB2312"/>
      <w:bCs/>
      <w:sz w:val="28"/>
    </w:rPr>
  </w:style>
  <w:style w:type="paragraph" w:styleId="3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0">
    <w:name w:val="annotation subject"/>
    <w:basedOn w:val="16"/>
    <w:next w:val="16"/>
    <w:link w:val="63"/>
    <w:semiHidden/>
    <w:qFormat/>
    <w:uiPriority w:val="0"/>
    <w:rPr>
      <w:b/>
      <w:bCs/>
    </w:rPr>
  </w:style>
  <w:style w:type="paragraph" w:styleId="41">
    <w:name w:val="Body Text First Indent"/>
    <w:basedOn w:val="17"/>
    <w:link w:val="65"/>
    <w:qFormat/>
    <w:uiPriority w:val="0"/>
    <w:pPr>
      <w:autoSpaceDE w:val="0"/>
      <w:autoSpaceDN w:val="0"/>
      <w:adjustRightInd w:val="0"/>
      <w:spacing w:after="0" w:line="400" w:lineRule="atLeast"/>
      <w:ind w:firstLine="454"/>
      <w:textAlignment w:val="baseline"/>
    </w:pPr>
    <w:rPr>
      <w:rFonts w:ascii="仿宋_GB2312" w:eastAsia="仿宋_GB2312"/>
      <w:spacing w:val="-12"/>
      <w:kern w:val="0"/>
      <w:sz w:val="24"/>
    </w:rPr>
  </w:style>
  <w:style w:type="table" w:styleId="43">
    <w:name w:val="Table Grid"/>
    <w:basedOn w:val="42"/>
    <w:qFormat/>
    <w:uiPriority w:val="0"/>
    <w:pPr>
      <w:widowControl w:val="0"/>
      <w:autoSpaceDE w:val="0"/>
      <w:autoSpaceDN w:val="0"/>
      <w:adjustRightInd w:val="0"/>
      <w:spacing w:line="400" w:lineRule="atLeast"/>
      <w:ind w:firstLine="454"/>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5">
    <w:name w:val="Strong"/>
    <w:basedOn w:val="44"/>
    <w:qFormat/>
    <w:uiPriority w:val="0"/>
    <w:rPr>
      <w:b/>
      <w:bCs/>
    </w:rPr>
  </w:style>
  <w:style w:type="character" w:styleId="46">
    <w:name w:val="page number"/>
    <w:basedOn w:val="44"/>
    <w:qFormat/>
    <w:uiPriority w:val="0"/>
  </w:style>
  <w:style w:type="character" w:styleId="47">
    <w:name w:val="FollowedHyperlink"/>
    <w:basedOn w:val="44"/>
    <w:qFormat/>
    <w:uiPriority w:val="0"/>
    <w:rPr>
      <w:color w:val="800080"/>
      <w:u w:val="single"/>
    </w:rPr>
  </w:style>
  <w:style w:type="character" w:styleId="48">
    <w:name w:val="Hyperlink"/>
    <w:basedOn w:val="44"/>
    <w:qFormat/>
    <w:uiPriority w:val="99"/>
    <w:rPr>
      <w:color w:val="0000FF"/>
      <w:u w:val="single"/>
    </w:rPr>
  </w:style>
  <w:style w:type="character" w:styleId="49">
    <w:name w:val="annotation reference"/>
    <w:basedOn w:val="44"/>
    <w:semiHidden/>
    <w:qFormat/>
    <w:uiPriority w:val="0"/>
    <w:rPr>
      <w:sz w:val="21"/>
      <w:szCs w:val="21"/>
    </w:rPr>
  </w:style>
  <w:style w:type="character" w:styleId="50">
    <w:name w:val="footnote reference"/>
    <w:basedOn w:val="44"/>
    <w:semiHidden/>
    <w:qFormat/>
    <w:uiPriority w:val="0"/>
    <w:rPr>
      <w:rFonts w:ascii="宋体" w:hAnsi="宋体" w:eastAsia="宋体"/>
      <w:position w:val="6"/>
      <w:sz w:val="18"/>
      <w:szCs w:val="18"/>
    </w:rPr>
  </w:style>
  <w:style w:type="character" w:customStyle="1" w:styleId="51">
    <w:name w:val="页眉 Char"/>
    <w:basedOn w:val="44"/>
    <w:link w:val="29"/>
    <w:qFormat/>
    <w:uiPriority w:val="0"/>
    <w:rPr>
      <w:sz w:val="18"/>
      <w:szCs w:val="18"/>
    </w:rPr>
  </w:style>
  <w:style w:type="character" w:customStyle="1" w:styleId="52">
    <w:name w:val="页脚 Char"/>
    <w:basedOn w:val="44"/>
    <w:link w:val="28"/>
    <w:qFormat/>
    <w:uiPriority w:val="0"/>
    <w:rPr>
      <w:sz w:val="18"/>
      <w:szCs w:val="18"/>
    </w:rPr>
  </w:style>
  <w:style w:type="character" w:customStyle="1" w:styleId="53">
    <w:name w:val="标题 1 Char"/>
    <w:basedOn w:val="44"/>
    <w:link w:val="2"/>
    <w:qFormat/>
    <w:uiPriority w:val="0"/>
    <w:rPr>
      <w:rFonts w:ascii="仿宋体" w:hAnsi="Times New Roman" w:eastAsia="仿宋体" w:cs="Times New Roman"/>
      <w:kern w:val="0"/>
      <w:sz w:val="28"/>
      <w:szCs w:val="20"/>
    </w:rPr>
  </w:style>
  <w:style w:type="character" w:customStyle="1" w:styleId="54">
    <w:name w:val="标题 2 Char"/>
    <w:basedOn w:val="44"/>
    <w:link w:val="3"/>
    <w:qFormat/>
    <w:uiPriority w:val="0"/>
    <w:rPr>
      <w:rFonts w:ascii="宋体" w:hAnsi="Times New Roman" w:eastAsia="宋体" w:cs="Times New Roman"/>
      <w:b/>
      <w:spacing w:val="-6"/>
      <w:kern w:val="0"/>
      <w:sz w:val="32"/>
      <w:szCs w:val="20"/>
    </w:rPr>
  </w:style>
  <w:style w:type="character" w:customStyle="1" w:styleId="55">
    <w:name w:val="标题 3 Char"/>
    <w:basedOn w:val="44"/>
    <w:link w:val="5"/>
    <w:qFormat/>
    <w:uiPriority w:val="0"/>
    <w:rPr>
      <w:rFonts w:ascii="Times New Roman" w:hAnsi="Times New Roman" w:eastAsia="宋体" w:cs="Times New Roman"/>
      <w:b/>
      <w:bCs/>
      <w:spacing w:val="10"/>
      <w:kern w:val="0"/>
      <w:position w:val="6"/>
      <w:sz w:val="24"/>
      <w:szCs w:val="24"/>
    </w:rPr>
  </w:style>
  <w:style w:type="character" w:customStyle="1" w:styleId="56">
    <w:name w:val="标题 4 Char"/>
    <w:basedOn w:val="44"/>
    <w:link w:val="6"/>
    <w:qFormat/>
    <w:uiPriority w:val="0"/>
    <w:rPr>
      <w:rFonts w:ascii="黑体" w:hAnsi="Times New Roman" w:eastAsia="黑体" w:cs="Times New Roman"/>
      <w:b/>
      <w:bCs/>
      <w:spacing w:val="-16"/>
      <w:kern w:val="0"/>
      <w:sz w:val="24"/>
      <w:szCs w:val="24"/>
    </w:rPr>
  </w:style>
  <w:style w:type="character" w:customStyle="1" w:styleId="57">
    <w:name w:val="标题 5 Char"/>
    <w:basedOn w:val="44"/>
    <w:link w:val="7"/>
    <w:qFormat/>
    <w:uiPriority w:val="0"/>
    <w:rPr>
      <w:rFonts w:ascii="仿宋_GB2312" w:hAnsi="Times New Roman" w:eastAsia="仿宋_GB2312" w:cs="Times New Roman"/>
      <w:b/>
      <w:bCs/>
      <w:spacing w:val="-16"/>
      <w:kern w:val="0"/>
      <w:sz w:val="24"/>
      <w:szCs w:val="24"/>
    </w:rPr>
  </w:style>
  <w:style w:type="character" w:customStyle="1" w:styleId="58">
    <w:name w:val="标题 6 Char"/>
    <w:basedOn w:val="44"/>
    <w:link w:val="8"/>
    <w:qFormat/>
    <w:uiPriority w:val="0"/>
    <w:rPr>
      <w:rFonts w:ascii="黑体" w:hAnsi="Times New Roman" w:eastAsia="黑体" w:cs="Times New Roman"/>
      <w:spacing w:val="-16"/>
      <w:kern w:val="0"/>
      <w:sz w:val="24"/>
      <w:szCs w:val="24"/>
    </w:rPr>
  </w:style>
  <w:style w:type="character" w:customStyle="1" w:styleId="59">
    <w:name w:val="标题 7 Char"/>
    <w:basedOn w:val="44"/>
    <w:link w:val="9"/>
    <w:qFormat/>
    <w:uiPriority w:val="0"/>
    <w:rPr>
      <w:rFonts w:ascii="仿宋_GB2312" w:hAnsi="Times New Roman" w:eastAsia="仿宋_GB2312" w:cs="Times New Roman"/>
      <w:spacing w:val="-16"/>
      <w:kern w:val="0"/>
      <w:sz w:val="24"/>
      <w:szCs w:val="24"/>
    </w:rPr>
  </w:style>
  <w:style w:type="character" w:customStyle="1" w:styleId="60">
    <w:name w:val="标题 8 Char"/>
    <w:basedOn w:val="44"/>
    <w:link w:val="10"/>
    <w:qFormat/>
    <w:uiPriority w:val="0"/>
    <w:rPr>
      <w:rFonts w:ascii="黑体" w:hAnsi="Times New Roman" w:eastAsia="黑体" w:cs="Times New Roman"/>
      <w:spacing w:val="-16"/>
      <w:kern w:val="0"/>
      <w:sz w:val="24"/>
      <w:szCs w:val="24"/>
    </w:rPr>
  </w:style>
  <w:style w:type="character" w:customStyle="1" w:styleId="61">
    <w:name w:val="标题 9 Char"/>
    <w:basedOn w:val="44"/>
    <w:link w:val="11"/>
    <w:qFormat/>
    <w:uiPriority w:val="0"/>
    <w:rPr>
      <w:rFonts w:ascii="黑体" w:hAnsi="Times New Roman" w:eastAsia="黑体" w:cs="Times New Roman"/>
      <w:spacing w:val="-16"/>
      <w:kern w:val="0"/>
      <w:sz w:val="24"/>
      <w:szCs w:val="24"/>
    </w:rPr>
  </w:style>
  <w:style w:type="character" w:customStyle="1" w:styleId="62">
    <w:name w:val="批注文字 Char"/>
    <w:basedOn w:val="44"/>
    <w:link w:val="16"/>
    <w:semiHidden/>
    <w:qFormat/>
    <w:uiPriority w:val="0"/>
    <w:rPr>
      <w:rFonts w:ascii="Times New Roman" w:hAnsi="Times New Roman" w:eastAsia="宋体" w:cs="Times New Roman"/>
      <w:szCs w:val="24"/>
    </w:rPr>
  </w:style>
  <w:style w:type="character" w:customStyle="1" w:styleId="63">
    <w:name w:val="批注主题 Char"/>
    <w:basedOn w:val="62"/>
    <w:link w:val="40"/>
    <w:semiHidden/>
    <w:qFormat/>
    <w:uiPriority w:val="0"/>
    <w:rPr>
      <w:b/>
      <w:bCs/>
    </w:rPr>
  </w:style>
  <w:style w:type="character" w:customStyle="1" w:styleId="64">
    <w:name w:val="正文文本 Char"/>
    <w:basedOn w:val="44"/>
    <w:link w:val="17"/>
    <w:qFormat/>
    <w:uiPriority w:val="0"/>
    <w:rPr>
      <w:rFonts w:ascii="Times New Roman" w:hAnsi="Times New Roman" w:eastAsia="宋体" w:cs="Times New Roman"/>
      <w:szCs w:val="24"/>
    </w:rPr>
  </w:style>
  <w:style w:type="character" w:customStyle="1" w:styleId="65">
    <w:name w:val="正文首行缩进 Char"/>
    <w:basedOn w:val="64"/>
    <w:link w:val="41"/>
    <w:qFormat/>
    <w:uiPriority w:val="0"/>
    <w:rPr>
      <w:rFonts w:ascii="仿宋_GB2312" w:eastAsia="仿宋_GB2312"/>
      <w:spacing w:val="-12"/>
      <w:kern w:val="0"/>
      <w:sz w:val="24"/>
    </w:rPr>
  </w:style>
  <w:style w:type="character" w:customStyle="1" w:styleId="66">
    <w:name w:val="文档结构图 Char"/>
    <w:basedOn w:val="44"/>
    <w:link w:val="15"/>
    <w:qFormat/>
    <w:uiPriority w:val="0"/>
    <w:rPr>
      <w:rFonts w:ascii="仿宋_GB2312" w:hAnsi="Times New Roman" w:eastAsia="仿宋_GB2312" w:cs="Times New Roman"/>
      <w:spacing w:val="-12"/>
      <w:kern w:val="0"/>
      <w:sz w:val="24"/>
      <w:szCs w:val="24"/>
      <w:shd w:val="clear" w:color="auto" w:fill="000080"/>
    </w:rPr>
  </w:style>
  <w:style w:type="character" w:customStyle="1" w:styleId="67">
    <w:name w:val="正文文本缩进 Char"/>
    <w:basedOn w:val="44"/>
    <w:link w:val="18"/>
    <w:qFormat/>
    <w:uiPriority w:val="0"/>
    <w:rPr>
      <w:rFonts w:ascii="Times New Roman" w:hAnsi="Times New Roman" w:eastAsia="宋体" w:cs="Times New Roman"/>
      <w:szCs w:val="24"/>
    </w:rPr>
  </w:style>
  <w:style w:type="character" w:customStyle="1" w:styleId="68">
    <w:name w:val="纯文本 Char"/>
    <w:basedOn w:val="44"/>
    <w:link w:val="23"/>
    <w:qFormat/>
    <w:uiPriority w:val="0"/>
    <w:rPr>
      <w:rFonts w:ascii="宋体" w:hAnsi="Courier New" w:eastAsia="宋体" w:cs="Times New Roman"/>
      <w:szCs w:val="20"/>
    </w:rPr>
  </w:style>
  <w:style w:type="character" w:customStyle="1" w:styleId="69">
    <w:name w:val="日期 Char"/>
    <w:basedOn w:val="44"/>
    <w:link w:val="25"/>
    <w:qFormat/>
    <w:uiPriority w:val="0"/>
    <w:rPr>
      <w:rFonts w:ascii="宋体" w:hAnsi="宋体" w:eastAsia="宋体" w:cs="Times New Roman"/>
      <w:sz w:val="24"/>
      <w:szCs w:val="24"/>
    </w:rPr>
  </w:style>
  <w:style w:type="character" w:customStyle="1" w:styleId="70">
    <w:name w:val="正文文本缩进 2 Char"/>
    <w:basedOn w:val="44"/>
    <w:link w:val="26"/>
    <w:qFormat/>
    <w:uiPriority w:val="99"/>
    <w:rPr>
      <w:rFonts w:ascii="宋体" w:hAnsi="宋体" w:eastAsia="宋体" w:cs="Times New Roman"/>
      <w:sz w:val="24"/>
      <w:szCs w:val="24"/>
    </w:rPr>
  </w:style>
  <w:style w:type="character" w:customStyle="1" w:styleId="71">
    <w:name w:val="批注框文本 Char"/>
    <w:basedOn w:val="44"/>
    <w:link w:val="27"/>
    <w:semiHidden/>
    <w:qFormat/>
    <w:uiPriority w:val="0"/>
    <w:rPr>
      <w:rFonts w:ascii="Times New Roman" w:hAnsi="Times New Roman" w:eastAsia="宋体" w:cs="Times New Roman"/>
      <w:sz w:val="18"/>
      <w:szCs w:val="18"/>
    </w:rPr>
  </w:style>
  <w:style w:type="character" w:customStyle="1" w:styleId="72">
    <w:name w:val="脚注文本 Char"/>
    <w:basedOn w:val="44"/>
    <w:link w:val="33"/>
    <w:qFormat/>
    <w:uiPriority w:val="0"/>
    <w:rPr>
      <w:rFonts w:ascii="仿宋_GB2312" w:hAnsi="Times New Roman" w:eastAsia="仿宋_GB2312" w:cs="Times New Roman"/>
      <w:spacing w:val="-16"/>
      <w:kern w:val="0"/>
      <w:sz w:val="18"/>
      <w:szCs w:val="18"/>
    </w:rPr>
  </w:style>
  <w:style w:type="character" w:customStyle="1" w:styleId="73">
    <w:name w:val="正文文本缩进 3 Char"/>
    <w:basedOn w:val="44"/>
    <w:link w:val="35"/>
    <w:qFormat/>
    <w:uiPriority w:val="0"/>
    <w:rPr>
      <w:rFonts w:ascii="幼圆" w:hAnsi="宋体" w:eastAsia="幼圆" w:cs="Times New Roman"/>
      <w:b/>
      <w:sz w:val="24"/>
      <w:szCs w:val="24"/>
    </w:rPr>
  </w:style>
  <w:style w:type="character" w:customStyle="1" w:styleId="74">
    <w:name w:val="正文文本 2 Char"/>
    <w:basedOn w:val="44"/>
    <w:link w:val="38"/>
    <w:qFormat/>
    <w:uiPriority w:val="0"/>
    <w:rPr>
      <w:rFonts w:ascii="仿宋_GB2312" w:hAnsi="Times New Roman" w:eastAsia="仿宋_GB2312" w:cs="Times New Roman"/>
      <w:bCs/>
      <w:sz w:val="28"/>
      <w:szCs w:val="24"/>
    </w:rPr>
  </w:style>
  <w:style w:type="paragraph" w:customStyle="1" w:styleId="75">
    <w:name w:val="样式2"/>
    <w:basedOn w:val="13"/>
    <w:next w:val="13"/>
    <w:qFormat/>
    <w:uiPriority w:val="0"/>
    <w:pPr>
      <w:tabs>
        <w:tab w:val="left" w:pos="480"/>
      </w:tabs>
      <w:spacing w:line="360" w:lineRule="auto"/>
      <w:ind w:left="480" w:right="2" w:rightChars="1" w:hanging="480"/>
    </w:pPr>
    <w:rPr>
      <w:sz w:val="24"/>
    </w:rPr>
  </w:style>
  <w:style w:type="paragraph" w:customStyle="1" w:styleId="76">
    <w:name w:val="font7"/>
    <w:basedOn w:val="1"/>
    <w:qFormat/>
    <w:uiPriority w:val="0"/>
    <w:pPr>
      <w:widowControl/>
      <w:spacing w:before="100" w:beforeAutospacing="1" w:after="100" w:afterAutospacing="1"/>
      <w:jc w:val="left"/>
    </w:pPr>
    <w:rPr>
      <w:rFonts w:hint="eastAsia" w:ascii="宋体" w:hAnsi="宋体" w:cs="Arial Unicode MS"/>
      <w:kern w:val="0"/>
      <w:szCs w:val="21"/>
    </w:rPr>
  </w:style>
  <w:style w:type="paragraph" w:customStyle="1" w:styleId="77">
    <w:name w:val="Char"/>
    <w:basedOn w:val="1"/>
    <w:qFormat/>
    <w:uiPriority w:val="0"/>
    <w:rPr>
      <w:rFonts w:ascii="仿宋_GB2312" w:eastAsia="仿宋_GB2312"/>
      <w:b/>
      <w:sz w:val="32"/>
      <w:szCs w:val="32"/>
    </w:rPr>
  </w:style>
  <w:style w:type="character" w:customStyle="1" w:styleId="78">
    <w:name w:val="正文文本缩进 Char1"/>
    <w:basedOn w:val="44"/>
    <w:link w:val="18"/>
    <w:qFormat/>
    <w:uiPriority w:val="99"/>
    <w:rPr>
      <w:rFonts w:ascii="宋体" w:hAnsi="宋体" w:eastAsia="宋体" w:cs="Times New Roman"/>
      <w:sz w:val="24"/>
      <w:szCs w:val="24"/>
    </w:rPr>
  </w:style>
  <w:style w:type="character" w:customStyle="1" w:styleId="79">
    <w:name w:val="Char Char1"/>
    <w:qFormat/>
    <w:uiPriority w:val="0"/>
    <w:rPr>
      <w:rFonts w:ascii="宋体" w:hAnsi="宋体" w:eastAsia="宋体"/>
      <w:kern w:val="2"/>
      <w:sz w:val="24"/>
      <w:szCs w:val="24"/>
      <w:lang w:val="en-US" w:eastAsia="zh-CN" w:bidi="ar-SA"/>
    </w:rPr>
  </w:style>
  <w:style w:type="paragraph" w:customStyle="1" w:styleId="80">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楷体_GB2312"/>
      <w:kern w:val="0"/>
      <w:sz w:val="24"/>
    </w:rPr>
  </w:style>
  <w:style w:type="paragraph" w:customStyle="1" w:styleId="81">
    <w:name w:val="标准"/>
    <w:basedOn w:val="2"/>
    <w:qFormat/>
    <w:uiPriority w:val="0"/>
    <w:pPr>
      <w:keepNext w:val="0"/>
      <w:numPr>
        <w:numId w:val="0"/>
      </w:numPr>
      <w:spacing w:line="947" w:lineRule="atLeast"/>
      <w:ind w:right="0" w:firstLine="454"/>
      <w:jc w:val="center"/>
      <w:textAlignment w:val="baseline"/>
      <w:outlineLvl w:val="9"/>
    </w:pPr>
    <w:rPr>
      <w:rFonts w:ascii="仿宋_GB2312" w:eastAsia="仿宋_GB2312"/>
      <w:b/>
      <w:bCs/>
      <w:spacing w:val="20"/>
      <w:position w:val="6"/>
      <w:sz w:val="44"/>
      <w:szCs w:val="44"/>
    </w:rPr>
  </w:style>
  <w:style w:type="paragraph" w:customStyle="1" w:styleId="8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20"/>
      <w:szCs w:val="20"/>
    </w:rPr>
  </w:style>
  <w:style w:type="paragraph" w:customStyle="1" w:styleId="8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20"/>
      <w:szCs w:val="20"/>
    </w:rPr>
  </w:style>
  <w:style w:type="paragraph" w:customStyle="1" w:styleId="8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kern w:val="0"/>
      <w:sz w:val="20"/>
      <w:szCs w:val="20"/>
    </w:rPr>
  </w:style>
  <w:style w:type="paragraph" w:customStyle="1" w:styleId="8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20"/>
      <w:szCs w:val="20"/>
    </w:rPr>
  </w:style>
  <w:style w:type="paragraph" w:customStyle="1" w:styleId="8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kern w:val="0"/>
      <w:sz w:val="20"/>
      <w:szCs w:val="20"/>
    </w:rPr>
  </w:style>
  <w:style w:type="paragraph" w:customStyle="1" w:styleId="8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20"/>
      <w:szCs w:val="20"/>
    </w:rPr>
  </w:style>
  <w:style w:type="paragraph" w:customStyle="1" w:styleId="8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18"/>
      <w:szCs w:val="18"/>
    </w:rPr>
  </w:style>
  <w:style w:type="paragraph" w:customStyle="1" w:styleId="8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kern w:val="0"/>
      <w:sz w:val="20"/>
      <w:szCs w:val="20"/>
    </w:rPr>
  </w:style>
  <w:style w:type="paragraph" w:customStyle="1" w:styleId="9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_GB2312" w:hAnsi="宋体" w:eastAsia="楷体_GB2312" w:cs="宋体"/>
      <w:kern w:val="0"/>
      <w:sz w:val="24"/>
    </w:rPr>
  </w:style>
  <w:style w:type="paragraph" w:customStyle="1" w:styleId="9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kern w:val="0"/>
      <w:sz w:val="24"/>
    </w:rPr>
  </w:style>
  <w:style w:type="paragraph" w:customStyle="1" w:styleId="9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20"/>
      <w:szCs w:val="20"/>
    </w:rPr>
  </w:style>
  <w:style w:type="paragraph" w:customStyle="1" w:styleId="9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18"/>
      <w:szCs w:val="18"/>
    </w:rPr>
  </w:style>
  <w:style w:type="paragraph" w:customStyle="1" w:styleId="94">
    <w:name w:val="Body Text 21"/>
    <w:basedOn w:val="1"/>
    <w:qFormat/>
    <w:uiPriority w:val="0"/>
    <w:pPr>
      <w:autoSpaceDE w:val="0"/>
      <w:autoSpaceDN w:val="0"/>
      <w:adjustRightInd w:val="0"/>
      <w:spacing w:line="400" w:lineRule="atLeast"/>
      <w:ind w:firstLine="454"/>
      <w:textAlignment w:val="baseline"/>
    </w:pPr>
    <w:rPr>
      <w:rFonts w:ascii="仿宋_GB2312" w:eastAsia="仿宋_GB2312"/>
      <w:spacing w:val="-12"/>
      <w:kern w:val="0"/>
      <w:sz w:val="24"/>
    </w:rPr>
  </w:style>
  <w:style w:type="paragraph" w:customStyle="1" w:styleId="95">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20"/>
      <w:szCs w:val="20"/>
    </w:rPr>
  </w:style>
  <w:style w:type="paragraph" w:customStyle="1" w:styleId="9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20"/>
      <w:szCs w:val="20"/>
    </w:rPr>
  </w:style>
  <w:style w:type="paragraph" w:customStyle="1" w:styleId="9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24"/>
    </w:rPr>
  </w:style>
  <w:style w:type="paragraph" w:customStyle="1" w:styleId="9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20"/>
      <w:szCs w:val="20"/>
    </w:rPr>
  </w:style>
  <w:style w:type="character" w:customStyle="1" w:styleId="101">
    <w:name w:val="Char Char2"/>
    <w:qFormat/>
    <w:uiPriority w:val="0"/>
    <w:rPr>
      <w:rFonts w:ascii="宋体" w:hAnsi="宋体"/>
      <w:kern w:val="2"/>
      <w:sz w:val="24"/>
      <w:szCs w:val="24"/>
    </w:rPr>
  </w:style>
  <w:style w:type="paragraph" w:customStyle="1" w:styleId="102">
    <w:name w:val="样式1"/>
    <w:basedOn w:val="1"/>
    <w:next w:val="1"/>
    <w:qFormat/>
    <w:uiPriority w:val="0"/>
    <w:pPr>
      <w:autoSpaceDE w:val="0"/>
      <w:autoSpaceDN w:val="0"/>
      <w:adjustRightInd w:val="0"/>
      <w:spacing w:line="380" w:lineRule="atLeast"/>
      <w:ind w:firstLine="454"/>
      <w:textAlignment w:val="baseline"/>
    </w:pPr>
    <w:rPr>
      <w:rFonts w:ascii="宋体"/>
      <w:spacing w:val="-6"/>
      <w:kern w:val="0"/>
      <w:sz w:val="24"/>
      <w:szCs w:val="20"/>
    </w:rPr>
  </w:style>
  <w:style w:type="paragraph" w:customStyle="1" w:styleId="103">
    <w:name w:val="日期1"/>
    <w:basedOn w:val="1"/>
    <w:next w:val="1"/>
    <w:qFormat/>
    <w:uiPriority w:val="0"/>
    <w:pPr>
      <w:autoSpaceDE w:val="0"/>
      <w:autoSpaceDN w:val="0"/>
      <w:adjustRightInd w:val="0"/>
      <w:spacing w:line="400" w:lineRule="atLeast"/>
      <w:ind w:firstLine="454"/>
      <w:jc w:val="right"/>
      <w:textAlignment w:val="baseline"/>
    </w:pPr>
    <w:rPr>
      <w:rFonts w:ascii="宋体"/>
      <w:spacing w:val="-6"/>
      <w:kern w:val="0"/>
      <w:sz w:val="24"/>
      <w:szCs w:val="20"/>
    </w:rPr>
  </w:style>
  <w:style w:type="paragraph" w:customStyle="1" w:styleId="104">
    <w:name w:val="正文文本 21"/>
    <w:basedOn w:val="1"/>
    <w:qFormat/>
    <w:uiPriority w:val="0"/>
    <w:pPr>
      <w:autoSpaceDE w:val="0"/>
      <w:autoSpaceDN w:val="0"/>
      <w:adjustRightInd w:val="0"/>
      <w:spacing w:after="120" w:line="400" w:lineRule="atLeast"/>
      <w:ind w:left="420" w:firstLine="454"/>
      <w:textAlignment w:val="baseline"/>
    </w:pPr>
    <w:rPr>
      <w:rFonts w:ascii="宋体"/>
      <w:spacing w:val="-6"/>
      <w:kern w:val="0"/>
      <w:sz w:val="24"/>
      <w:szCs w:val="20"/>
    </w:rPr>
  </w:style>
  <w:style w:type="paragraph" w:customStyle="1" w:styleId="105">
    <w:name w:val="正文文本 31"/>
    <w:basedOn w:val="104"/>
    <w:qFormat/>
    <w:uiPriority w:val="0"/>
  </w:style>
  <w:style w:type="paragraph" w:customStyle="1" w:styleId="106">
    <w:name w:val="正文首行缩进1"/>
    <w:basedOn w:val="17"/>
    <w:qFormat/>
    <w:uiPriority w:val="0"/>
    <w:pPr>
      <w:autoSpaceDE w:val="0"/>
      <w:autoSpaceDN w:val="0"/>
      <w:adjustRightInd w:val="0"/>
      <w:spacing w:after="0" w:line="400" w:lineRule="atLeast"/>
      <w:ind w:firstLine="454"/>
      <w:textAlignment w:val="baseline"/>
    </w:pPr>
    <w:rPr>
      <w:rFonts w:ascii="宋体"/>
      <w:spacing w:val="-12"/>
      <w:kern w:val="0"/>
      <w:sz w:val="24"/>
      <w:szCs w:val="20"/>
    </w:rPr>
  </w:style>
  <w:style w:type="paragraph" w:customStyle="1" w:styleId="107">
    <w:name w:val="纯文本1"/>
    <w:basedOn w:val="1"/>
    <w:qFormat/>
    <w:uiPriority w:val="0"/>
    <w:pPr>
      <w:autoSpaceDE w:val="0"/>
      <w:autoSpaceDN w:val="0"/>
      <w:adjustRightInd w:val="0"/>
      <w:spacing w:line="400" w:lineRule="exact"/>
      <w:ind w:firstLine="454"/>
      <w:textAlignment w:val="baseline"/>
    </w:pPr>
    <w:rPr>
      <w:rFonts w:ascii="宋体"/>
      <w:spacing w:val="-20"/>
      <w:kern w:val="0"/>
      <w:szCs w:val="20"/>
    </w:rPr>
  </w:style>
  <w:style w:type="character" w:customStyle="1" w:styleId="108">
    <w:name w:val="要点1"/>
    <w:qFormat/>
    <w:uiPriority w:val="0"/>
    <w:rPr>
      <w:rFonts w:ascii="宋体"/>
      <w:b/>
      <w:sz w:val="20"/>
    </w:rPr>
  </w:style>
  <w:style w:type="paragraph" w:customStyle="1" w:styleId="109">
    <w:name w:val="正文文本缩进 21"/>
    <w:basedOn w:val="1"/>
    <w:qFormat/>
    <w:uiPriority w:val="0"/>
    <w:pPr>
      <w:autoSpaceDE w:val="0"/>
      <w:autoSpaceDN w:val="0"/>
      <w:adjustRightInd w:val="0"/>
      <w:spacing w:line="400" w:lineRule="atLeast"/>
      <w:ind w:firstLine="669"/>
      <w:textAlignment w:val="baseline"/>
    </w:pPr>
    <w:rPr>
      <w:rFonts w:ascii="宋体"/>
      <w:spacing w:val="-6"/>
      <w:kern w:val="0"/>
      <w:sz w:val="24"/>
      <w:szCs w:val="20"/>
    </w:rPr>
  </w:style>
  <w:style w:type="character" w:customStyle="1" w:styleId="110">
    <w:name w:val="headline-content"/>
    <w:qFormat/>
    <w:uiPriority w:val="0"/>
  </w:style>
  <w:style w:type="character" w:customStyle="1" w:styleId="111">
    <w:name w:val="title-order"/>
    <w:basedOn w:val="44"/>
    <w:qFormat/>
    <w:uiPriority w:val="0"/>
  </w:style>
  <w:style w:type="character" w:customStyle="1" w:styleId="112">
    <w:name w:val="Char Char4"/>
    <w:qFormat/>
    <w:uiPriority w:val="0"/>
    <w:rPr>
      <w:rFonts w:eastAsia="宋体"/>
      <w:b/>
      <w:bCs/>
      <w:spacing w:val="10"/>
      <w:position w:val="6"/>
      <w:sz w:val="24"/>
      <w:szCs w:val="24"/>
      <w:lang w:val="en-US" w:eastAsia="zh-CN" w:bidi="ar-SA"/>
    </w:rPr>
  </w:style>
  <w:style w:type="character" w:customStyle="1" w:styleId="113">
    <w:name w:val="Char Char3"/>
    <w:qFormat/>
    <w:locked/>
    <w:uiPriority w:val="0"/>
    <w:rPr>
      <w:rFonts w:eastAsia="宋体"/>
      <w:b/>
      <w:bCs/>
      <w:spacing w:val="10"/>
      <w:position w:val="6"/>
      <w:sz w:val="24"/>
      <w:szCs w:val="24"/>
      <w:lang w:val="en-US" w:eastAsia="zh-CN" w:bidi="ar-SA"/>
    </w:rPr>
  </w:style>
  <w:style w:type="character" w:customStyle="1" w:styleId="114">
    <w:name w:val="Char Char"/>
    <w:qFormat/>
    <w:locked/>
    <w:uiPriority w:val="0"/>
    <w:rPr>
      <w:rFonts w:ascii="宋体" w:hAnsi="宋体" w:eastAsia="宋体"/>
      <w:b/>
      <w:bCs/>
      <w:color w:val="0000FF"/>
      <w:spacing w:val="20"/>
      <w:position w:val="6"/>
      <w:sz w:val="21"/>
      <w:szCs w:val="21"/>
      <w:lang w:bidi="ar-SA"/>
    </w:rPr>
  </w:style>
  <w:style w:type="paragraph" w:customStyle="1" w:styleId="115">
    <w:name w:val="Char4"/>
    <w:basedOn w:val="1"/>
    <w:qFormat/>
    <w:uiPriority w:val="0"/>
    <w:rPr>
      <w:rFonts w:ascii="Tahoma" w:hAnsi="Tahoma"/>
      <w:sz w:val="24"/>
      <w:szCs w:val="20"/>
    </w:rPr>
  </w:style>
  <w:style w:type="table" w:customStyle="1" w:styleId="116">
    <w:name w:val="浅色底纹1"/>
    <w:basedOn w:val="42"/>
    <w:qFormat/>
    <w:uiPriority w:val="0"/>
    <w:rPr>
      <w:color w:val="000000"/>
    </w:rPr>
    <w:tblPr>
      <w:tblBorders>
        <w:top w:val="single" w:color="000000" w:sz="8" w:space="0"/>
        <w:bottom w:val="single" w:color="000000"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paragraph" w:customStyle="1" w:styleId="117">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18">
    <w:name w:val="apple-converted-space"/>
    <w:basedOn w:val="44"/>
    <w:qFormat/>
    <w:uiPriority w:val="0"/>
  </w:style>
  <w:style w:type="character" w:customStyle="1" w:styleId="119">
    <w:name w:val="bus_type_3"/>
    <w:basedOn w:val="44"/>
    <w:qFormat/>
    <w:uiPriority w:val="0"/>
    <w:rPr>
      <w:rFonts w:cs="Times New Roman"/>
      <w:shd w:val="clear" w:color="auto" w:fill="43CC8D"/>
    </w:rPr>
  </w:style>
  <w:style w:type="character" w:customStyle="1" w:styleId="120">
    <w:name w:val="font11"/>
    <w:basedOn w:val="44"/>
    <w:qFormat/>
    <w:uiPriority w:val="0"/>
    <w:rPr>
      <w:rFonts w:ascii="楷体_GB2312" w:eastAsia="楷体_GB2312" w:cs="楷体_GB2312"/>
      <w:color w:val="000000"/>
      <w:sz w:val="24"/>
      <w:szCs w:val="24"/>
      <w:u w:val="none"/>
    </w:rPr>
  </w:style>
  <w:style w:type="character" w:customStyle="1" w:styleId="121">
    <w:name w:val="font41"/>
    <w:basedOn w:val="44"/>
    <w:qFormat/>
    <w:uiPriority w:val="0"/>
    <w:rPr>
      <w:rFonts w:hint="default" w:ascii="楷体_GB2312" w:eastAsia="楷体_GB2312" w:cs="楷体_GB2312"/>
      <w:color w:val="000000"/>
      <w:sz w:val="24"/>
      <w:szCs w:val="24"/>
      <w:u w:val="none"/>
    </w:rPr>
  </w:style>
  <w:style w:type="character" w:customStyle="1" w:styleId="122">
    <w:name w:val="Char Char11"/>
    <w:qFormat/>
    <w:uiPriority w:val="0"/>
    <w:rPr>
      <w:b/>
      <w:bCs/>
      <w:spacing w:val="10"/>
      <w:position w:val="6"/>
      <w:sz w:val="24"/>
      <w:szCs w:val="24"/>
    </w:rPr>
  </w:style>
  <w:style w:type="character" w:customStyle="1" w:styleId="123">
    <w:name w:val="ts_tip_2"/>
    <w:basedOn w:val="44"/>
    <w:qFormat/>
    <w:uiPriority w:val="0"/>
    <w:rPr>
      <w:rFonts w:cs="Times New Roman"/>
      <w:color w:val="E43023"/>
    </w:rPr>
  </w:style>
  <w:style w:type="character" w:customStyle="1" w:styleId="124">
    <w:name w:val="linebg"/>
    <w:basedOn w:val="44"/>
    <w:qFormat/>
    <w:uiPriority w:val="0"/>
    <w:rPr>
      <w:rFonts w:cs="Times New Roman"/>
    </w:rPr>
  </w:style>
  <w:style w:type="character" w:customStyle="1" w:styleId="125">
    <w:name w:val="Char Char5"/>
    <w:basedOn w:val="44"/>
    <w:qFormat/>
    <w:uiPriority w:val="0"/>
    <w:rPr>
      <w:rFonts w:ascii="黑体" w:eastAsia="黑体"/>
      <w:spacing w:val="-16"/>
      <w:sz w:val="24"/>
      <w:szCs w:val="24"/>
    </w:rPr>
  </w:style>
  <w:style w:type="character" w:customStyle="1" w:styleId="126">
    <w:name w:val="font01"/>
    <w:basedOn w:val="44"/>
    <w:qFormat/>
    <w:uiPriority w:val="0"/>
    <w:rPr>
      <w:rFonts w:ascii="楷体_GB2312" w:eastAsia="楷体_GB2312" w:cs="楷体_GB2312"/>
      <w:color w:val="000000"/>
      <w:sz w:val="24"/>
      <w:szCs w:val="24"/>
      <w:u w:val="none"/>
      <w:vertAlign w:val="superscript"/>
    </w:rPr>
  </w:style>
  <w:style w:type="character" w:customStyle="1" w:styleId="127">
    <w:name w:val="Char Char17"/>
    <w:qFormat/>
    <w:uiPriority w:val="0"/>
    <w:rPr>
      <w:b/>
      <w:bCs/>
      <w:spacing w:val="10"/>
      <w:position w:val="6"/>
      <w:sz w:val="24"/>
      <w:szCs w:val="24"/>
    </w:rPr>
  </w:style>
  <w:style w:type="character" w:customStyle="1" w:styleId="128">
    <w:name w:val="要点2"/>
    <w:qFormat/>
    <w:uiPriority w:val="0"/>
    <w:rPr>
      <w:rFonts w:ascii="宋体"/>
      <w:b/>
      <w:sz w:val="20"/>
    </w:rPr>
  </w:style>
  <w:style w:type="character" w:customStyle="1" w:styleId="129">
    <w:name w:val="bus_type_2"/>
    <w:basedOn w:val="44"/>
    <w:qFormat/>
    <w:uiPriority w:val="0"/>
    <w:rPr>
      <w:rFonts w:cs="Times New Roman"/>
      <w:shd w:val="clear" w:color="auto" w:fill="FF4141"/>
    </w:rPr>
  </w:style>
  <w:style w:type="character" w:customStyle="1" w:styleId="130">
    <w:name w:val="ts_tip_1"/>
    <w:basedOn w:val="44"/>
    <w:qFormat/>
    <w:uiPriority w:val="0"/>
    <w:rPr>
      <w:rFonts w:cs="Times New Roman"/>
      <w:color w:val="468B02"/>
    </w:rPr>
  </w:style>
  <w:style w:type="character" w:customStyle="1" w:styleId="131">
    <w:name w:val="font51"/>
    <w:basedOn w:val="44"/>
    <w:qFormat/>
    <w:uiPriority w:val="0"/>
    <w:rPr>
      <w:rFonts w:hint="eastAsia" w:ascii="楷体_GB2312" w:eastAsia="楷体_GB2312" w:cs="楷体_GB2312"/>
      <w:color w:val="000000"/>
      <w:sz w:val="24"/>
      <w:szCs w:val="24"/>
      <w:u w:val="none"/>
      <w:vertAlign w:val="superscript"/>
    </w:rPr>
  </w:style>
  <w:style w:type="character" w:customStyle="1" w:styleId="132">
    <w:name w:val="bus_type_tip"/>
    <w:basedOn w:val="44"/>
    <w:qFormat/>
    <w:uiPriority w:val="0"/>
    <w:rPr>
      <w:rFonts w:cs="Times New Roman"/>
      <w:color w:val="FFFFFF"/>
      <w:sz w:val="18"/>
      <w:szCs w:val="18"/>
    </w:rPr>
  </w:style>
  <w:style w:type="character" w:customStyle="1" w:styleId="133">
    <w:name w:val="time_dis"/>
    <w:basedOn w:val="44"/>
    <w:qFormat/>
    <w:uiPriority w:val="0"/>
    <w:rPr>
      <w:rFonts w:cs="Times New Roman"/>
    </w:rPr>
  </w:style>
  <w:style w:type="character" w:customStyle="1" w:styleId="134">
    <w:name w:val="bus_type_0"/>
    <w:basedOn w:val="44"/>
    <w:qFormat/>
    <w:uiPriority w:val="0"/>
    <w:rPr>
      <w:rFonts w:cs="Times New Roman"/>
      <w:shd w:val="clear" w:color="auto" w:fill="FF8853"/>
    </w:rPr>
  </w:style>
  <w:style w:type="character" w:customStyle="1" w:styleId="135">
    <w:name w:val="Char Char10"/>
    <w:basedOn w:val="44"/>
    <w:qFormat/>
    <w:uiPriority w:val="0"/>
    <w:rPr>
      <w:rFonts w:ascii="黑体" w:eastAsia="黑体"/>
      <w:b/>
      <w:bCs/>
      <w:spacing w:val="-16"/>
      <w:sz w:val="24"/>
      <w:szCs w:val="24"/>
    </w:rPr>
  </w:style>
  <w:style w:type="character" w:customStyle="1" w:styleId="136">
    <w:name w:val="linebg_on"/>
    <w:basedOn w:val="44"/>
    <w:qFormat/>
    <w:uiPriority w:val="0"/>
    <w:rPr>
      <w:rFonts w:cs="Times New Roman"/>
    </w:rPr>
  </w:style>
  <w:style w:type="character" w:customStyle="1" w:styleId="137">
    <w:name w:val="Char Char8"/>
    <w:basedOn w:val="44"/>
    <w:qFormat/>
    <w:uiPriority w:val="0"/>
    <w:rPr>
      <w:rFonts w:ascii="黑体" w:eastAsia="黑体"/>
      <w:spacing w:val="-16"/>
      <w:sz w:val="24"/>
      <w:szCs w:val="24"/>
    </w:rPr>
  </w:style>
  <w:style w:type="character" w:customStyle="1" w:styleId="138">
    <w:name w:val="正文首行缩进 Char1"/>
    <w:basedOn w:val="64"/>
    <w:qFormat/>
    <w:locked/>
    <w:uiPriority w:val="0"/>
    <w:rPr>
      <w:kern w:val="2"/>
      <w:sz w:val="24"/>
    </w:rPr>
  </w:style>
  <w:style w:type="character" w:customStyle="1" w:styleId="139">
    <w:name w:val="linebg1"/>
    <w:basedOn w:val="44"/>
    <w:qFormat/>
    <w:uiPriority w:val="0"/>
    <w:rPr>
      <w:rFonts w:cs="Times New Roman"/>
    </w:rPr>
  </w:style>
  <w:style w:type="character" w:customStyle="1" w:styleId="140">
    <w:name w:val="font21"/>
    <w:basedOn w:val="44"/>
    <w:qFormat/>
    <w:uiPriority w:val="0"/>
    <w:rPr>
      <w:rFonts w:ascii="楷体_GB2312" w:eastAsia="楷体_GB2312" w:cs="楷体_GB2312"/>
      <w:b/>
      <w:color w:val="000000"/>
      <w:sz w:val="24"/>
      <w:szCs w:val="24"/>
      <w:u w:val="none"/>
    </w:rPr>
  </w:style>
  <w:style w:type="character" w:customStyle="1" w:styleId="141">
    <w:name w:val="Char Char9"/>
    <w:basedOn w:val="44"/>
    <w:qFormat/>
    <w:uiPriority w:val="0"/>
    <w:rPr>
      <w:rFonts w:ascii="仿宋_GB2312" w:eastAsia="仿宋_GB2312"/>
      <w:b/>
      <w:bCs/>
      <w:spacing w:val="-16"/>
      <w:sz w:val="24"/>
      <w:szCs w:val="24"/>
    </w:rPr>
  </w:style>
  <w:style w:type="character" w:customStyle="1" w:styleId="142">
    <w:name w:val="map_taglist"/>
    <w:basedOn w:val="44"/>
    <w:qFormat/>
    <w:uiPriority w:val="0"/>
    <w:rPr>
      <w:rFonts w:cs="Times New Roman"/>
      <w:color w:val="666666"/>
    </w:rPr>
  </w:style>
  <w:style w:type="character" w:customStyle="1" w:styleId="143">
    <w:name w:val="正文文本缩进 Char2"/>
    <w:basedOn w:val="44"/>
    <w:qFormat/>
    <w:locked/>
    <w:uiPriority w:val="0"/>
    <w:rPr>
      <w:rFonts w:ascii="宋体" w:hAnsi="宋体" w:eastAsia="宋体" w:cs="宋体"/>
      <w:kern w:val="2"/>
      <w:sz w:val="24"/>
      <w:szCs w:val="24"/>
      <w:lang w:val="en-US" w:eastAsia="zh-CN"/>
    </w:rPr>
  </w:style>
  <w:style w:type="character" w:customStyle="1" w:styleId="144">
    <w:name w:val="input_span1"/>
    <w:basedOn w:val="44"/>
    <w:qFormat/>
    <w:uiPriority w:val="0"/>
    <w:rPr>
      <w:rFonts w:cs="Times New Roman"/>
    </w:rPr>
  </w:style>
  <w:style w:type="character" w:customStyle="1" w:styleId="145">
    <w:name w:val="bus_type_4"/>
    <w:basedOn w:val="44"/>
    <w:qFormat/>
    <w:uiPriority w:val="0"/>
    <w:rPr>
      <w:rFonts w:cs="Times New Roman"/>
      <w:shd w:val="clear" w:color="auto" w:fill="333F89"/>
    </w:rPr>
  </w:style>
  <w:style w:type="character" w:customStyle="1" w:styleId="146">
    <w:name w:val="linebg_on1"/>
    <w:basedOn w:val="44"/>
    <w:qFormat/>
    <w:uiPriority w:val="0"/>
    <w:rPr>
      <w:rFonts w:cs="Times New Roman"/>
    </w:rPr>
  </w:style>
  <w:style w:type="character" w:customStyle="1" w:styleId="147">
    <w:name w:val="font31"/>
    <w:basedOn w:val="44"/>
    <w:qFormat/>
    <w:uiPriority w:val="0"/>
    <w:rPr>
      <w:rFonts w:ascii="楷体_GB2312" w:eastAsia="楷体_GB2312" w:cs="楷体_GB2312"/>
      <w:color w:val="000000"/>
      <w:sz w:val="24"/>
      <w:szCs w:val="24"/>
      <w:u w:val="none"/>
    </w:rPr>
  </w:style>
  <w:style w:type="character" w:customStyle="1" w:styleId="148">
    <w:name w:val="Char Char6"/>
    <w:basedOn w:val="44"/>
    <w:qFormat/>
    <w:uiPriority w:val="0"/>
    <w:rPr>
      <w:rFonts w:ascii="黑体" w:eastAsia="黑体"/>
      <w:spacing w:val="-16"/>
      <w:sz w:val="24"/>
      <w:szCs w:val="24"/>
    </w:rPr>
  </w:style>
  <w:style w:type="character" w:customStyle="1" w:styleId="149">
    <w:name w:val="Char Char7"/>
    <w:basedOn w:val="44"/>
    <w:qFormat/>
    <w:uiPriority w:val="0"/>
    <w:rPr>
      <w:rFonts w:ascii="仿宋_GB2312" w:eastAsia="仿宋_GB2312"/>
      <w:spacing w:val="-16"/>
      <w:sz w:val="24"/>
      <w:szCs w:val="24"/>
    </w:rPr>
  </w:style>
  <w:style w:type="paragraph" w:customStyle="1" w:styleId="150">
    <w:name w:val="纯文本2"/>
    <w:basedOn w:val="1"/>
    <w:qFormat/>
    <w:uiPriority w:val="0"/>
    <w:pPr>
      <w:autoSpaceDE w:val="0"/>
      <w:autoSpaceDN w:val="0"/>
      <w:adjustRightInd w:val="0"/>
      <w:spacing w:line="400" w:lineRule="exact"/>
      <w:ind w:firstLine="454"/>
      <w:textAlignment w:val="baseline"/>
    </w:pPr>
    <w:rPr>
      <w:rFonts w:ascii="宋体"/>
      <w:spacing w:val="-20"/>
      <w:kern w:val="0"/>
      <w:szCs w:val="20"/>
    </w:rPr>
  </w:style>
  <w:style w:type="paragraph" w:customStyle="1" w:styleId="151">
    <w:name w:val="正文首行缩进2"/>
    <w:basedOn w:val="17"/>
    <w:qFormat/>
    <w:uiPriority w:val="0"/>
    <w:pPr>
      <w:autoSpaceDE w:val="0"/>
      <w:autoSpaceDN w:val="0"/>
      <w:adjustRightInd w:val="0"/>
      <w:spacing w:after="0" w:line="400" w:lineRule="atLeast"/>
      <w:ind w:firstLine="454"/>
      <w:textAlignment w:val="baseline"/>
    </w:pPr>
    <w:rPr>
      <w:rFonts w:ascii="宋体"/>
      <w:spacing w:val="-12"/>
      <w:kern w:val="0"/>
      <w:sz w:val="24"/>
      <w:szCs w:val="20"/>
    </w:rPr>
  </w:style>
  <w:style w:type="paragraph" w:customStyle="1" w:styleId="152">
    <w:name w:val="正文文本 22"/>
    <w:basedOn w:val="1"/>
    <w:qFormat/>
    <w:uiPriority w:val="0"/>
    <w:pPr>
      <w:autoSpaceDE w:val="0"/>
      <w:autoSpaceDN w:val="0"/>
      <w:adjustRightInd w:val="0"/>
      <w:spacing w:after="120" w:line="400" w:lineRule="atLeast"/>
      <w:ind w:left="420" w:firstLine="454"/>
      <w:textAlignment w:val="baseline"/>
    </w:pPr>
    <w:rPr>
      <w:rFonts w:ascii="宋体"/>
      <w:spacing w:val="-6"/>
      <w:kern w:val="0"/>
      <w:sz w:val="24"/>
      <w:szCs w:val="20"/>
    </w:rPr>
  </w:style>
  <w:style w:type="paragraph" w:customStyle="1" w:styleId="153">
    <w:name w:val="日期2"/>
    <w:basedOn w:val="1"/>
    <w:next w:val="1"/>
    <w:qFormat/>
    <w:uiPriority w:val="0"/>
    <w:pPr>
      <w:autoSpaceDE w:val="0"/>
      <w:autoSpaceDN w:val="0"/>
      <w:adjustRightInd w:val="0"/>
      <w:spacing w:line="400" w:lineRule="atLeast"/>
      <w:ind w:firstLine="454"/>
      <w:jc w:val="right"/>
      <w:textAlignment w:val="baseline"/>
    </w:pPr>
    <w:rPr>
      <w:rFonts w:ascii="宋体"/>
      <w:spacing w:val="-6"/>
      <w:kern w:val="0"/>
      <w:sz w:val="24"/>
      <w:szCs w:val="20"/>
    </w:rPr>
  </w:style>
  <w:style w:type="paragraph" w:customStyle="1" w:styleId="154">
    <w:name w:val="正文文本 32"/>
    <w:basedOn w:val="152"/>
    <w:qFormat/>
    <w:uiPriority w:val="0"/>
  </w:style>
  <w:style w:type="paragraph" w:customStyle="1" w:styleId="155">
    <w:name w:val="正文文本缩进 22"/>
    <w:basedOn w:val="1"/>
    <w:qFormat/>
    <w:uiPriority w:val="0"/>
    <w:pPr>
      <w:autoSpaceDE w:val="0"/>
      <w:autoSpaceDN w:val="0"/>
      <w:adjustRightInd w:val="0"/>
      <w:spacing w:line="400" w:lineRule="atLeast"/>
      <w:ind w:firstLine="669"/>
      <w:textAlignment w:val="baseline"/>
    </w:pPr>
    <w:rPr>
      <w:rFonts w:ascii="宋体"/>
      <w:spacing w:val="-6"/>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37</Pages>
  <Words>3642</Words>
  <Characters>20766</Characters>
  <Lines>173</Lines>
  <Paragraphs>48</Paragraphs>
  <TotalTime>1</TotalTime>
  <ScaleCrop>false</ScaleCrop>
  <LinksUpToDate>false</LinksUpToDate>
  <CharactersWithSpaces>24360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2018-11-29T05:01:00Z</dcterms:created>
  <dc:creator>Administrator</dc:creator>
  <cp:lastModifiedBy>白天不懂夜的黑</cp:lastModifiedBy>
  <cp:lastPrinted>2019-06-14T08:12:00Z</cp:lastPrinted>
  <dcterms:modified xsi:type="dcterms:W3CDTF">2019-07-01T03:56:46Z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